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7311A" w14:textId="77777777" w:rsidR="00E9195F" w:rsidRPr="00F16961" w:rsidRDefault="00E9195F" w:rsidP="002B6227">
      <w:pPr>
        <w:pStyle w:val="Textoindependiente"/>
        <w:spacing w:after="0"/>
        <w:jc w:val="right"/>
        <w:rPr>
          <w:rFonts w:ascii="Gotham Black" w:hAnsi="Gotham Black"/>
          <w:b/>
          <w:bCs/>
          <w:sz w:val="34"/>
          <w:szCs w:val="30"/>
          <w:lang w:val="es-MX"/>
        </w:rPr>
      </w:pPr>
      <w:r>
        <w:rPr>
          <w:rFonts w:ascii="Gotham" w:hAnsi="Gotham"/>
          <w:lang w:val="es-MX"/>
        </w:rPr>
        <w:t xml:space="preserve">ASUNTO: </w:t>
      </w:r>
      <w:r w:rsidRPr="00F16961">
        <w:rPr>
          <w:rFonts w:ascii="Gotham Black" w:hAnsi="Gotham Black"/>
          <w:b/>
          <w:bCs/>
          <w:sz w:val="34"/>
          <w:szCs w:val="30"/>
          <w:lang w:val="es-MX"/>
        </w:rPr>
        <w:t>SESIÓN ORDINARIA</w:t>
      </w:r>
    </w:p>
    <w:p w14:paraId="3A47311B" w14:textId="77777777" w:rsidR="00E9195F" w:rsidRPr="00F16961" w:rsidRDefault="00E9195F" w:rsidP="002B6227">
      <w:pPr>
        <w:pStyle w:val="Textoindependiente"/>
        <w:spacing w:after="0"/>
        <w:jc w:val="right"/>
        <w:rPr>
          <w:rFonts w:ascii="Gotham" w:hAnsi="Gotham"/>
          <w:b/>
          <w:bCs/>
          <w:sz w:val="34"/>
          <w:szCs w:val="30"/>
          <w:lang w:val="es-MX"/>
        </w:rPr>
      </w:pPr>
      <w:r w:rsidRPr="00F16961">
        <w:rPr>
          <w:rFonts w:ascii="Gotham Black" w:hAnsi="Gotham Black"/>
          <w:b/>
          <w:bCs/>
          <w:sz w:val="34"/>
          <w:szCs w:val="30"/>
          <w:lang w:val="es-MX"/>
        </w:rPr>
        <w:t>DE AYUNTAMIENTO</w:t>
      </w:r>
    </w:p>
    <w:p w14:paraId="3A47311C" w14:textId="77777777" w:rsidR="00E9195F" w:rsidRDefault="00E9195F" w:rsidP="002B6227">
      <w:pPr>
        <w:pStyle w:val="western"/>
        <w:spacing w:before="0" w:beforeAutospacing="0"/>
        <w:jc w:val="both"/>
        <w:rPr>
          <w:rFonts w:ascii="Gotham" w:hAnsi="Gotham"/>
          <w:sz w:val="20"/>
          <w:szCs w:val="20"/>
        </w:rPr>
      </w:pPr>
    </w:p>
    <w:p w14:paraId="3A47311D" w14:textId="77777777" w:rsidR="00E9195F" w:rsidRPr="00F16961" w:rsidRDefault="00E9195F" w:rsidP="002B6227">
      <w:pPr>
        <w:pStyle w:val="western"/>
        <w:spacing w:before="0" w:beforeAutospacing="0"/>
        <w:jc w:val="both"/>
        <w:rPr>
          <w:rFonts w:ascii="Gotham" w:hAnsi="Gotham"/>
          <w:sz w:val="20"/>
          <w:szCs w:val="20"/>
        </w:rPr>
      </w:pPr>
    </w:p>
    <w:p w14:paraId="3A47311E" w14:textId="77777777" w:rsidR="00E9195F" w:rsidRDefault="00E9195F" w:rsidP="002B6227">
      <w:pPr>
        <w:pStyle w:val="western"/>
        <w:spacing w:before="0" w:beforeAutospacing="0"/>
        <w:jc w:val="both"/>
        <w:rPr>
          <w:rFonts w:ascii="Gotham" w:hAnsi="Gotham"/>
          <w:sz w:val="20"/>
          <w:szCs w:val="20"/>
        </w:rPr>
      </w:pPr>
    </w:p>
    <w:p w14:paraId="3A47311F" w14:textId="77777777" w:rsidR="00E9195F" w:rsidRDefault="00E9195F" w:rsidP="002B6227">
      <w:pPr>
        <w:pStyle w:val="western"/>
        <w:spacing w:before="0" w:beforeAutospacing="0"/>
        <w:ind w:firstLine="709"/>
        <w:jc w:val="both"/>
        <w:rPr>
          <w:rFonts w:ascii="Gotham" w:hAnsi="Gotham"/>
          <w:sz w:val="20"/>
          <w:szCs w:val="20"/>
        </w:rPr>
      </w:pPr>
      <w:r>
        <w:rPr>
          <w:rFonts w:ascii="Gotham" w:hAnsi="Gotham"/>
          <w:sz w:val="20"/>
          <w:szCs w:val="20"/>
        </w:rPr>
        <w:t xml:space="preserve">SIENDO LAS </w:t>
      </w:r>
      <w:r w:rsidRPr="00CA2C91">
        <w:rPr>
          <w:rFonts w:ascii="Gotham" w:hAnsi="Gotham"/>
          <w:sz w:val="20"/>
          <w:szCs w:val="20"/>
        </w:rPr>
        <w:t>DIECISÉIS HORAS CON VEINTIDÓS MINUTOS</w:t>
      </w:r>
      <w:r>
        <w:rPr>
          <w:rFonts w:ascii="Gotham" w:hAnsi="Gotham"/>
          <w:sz w:val="20"/>
          <w:szCs w:val="20"/>
        </w:rPr>
        <w:t xml:space="preserve"> DEL DÍA VEINTICUATRO DE JULIO DEL AÑO DOS MIL </w:t>
      </w:r>
      <w:r w:rsidRPr="00A35876">
        <w:rPr>
          <w:rFonts w:ascii="Gotham" w:hAnsi="Gotham"/>
          <w:sz w:val="20"/>
          <w:szCs w:val="20"/>
        </w:rPr>
        <w:t>VEINTI</w:t>
      </w:r>
      <w:r>
        <w:rPr>
          <w:rFonts w:ascii="Gotham" w:hAnsi="Gotham"/>
          <w:sz w:val="20"/>
          <w:szCs w:val="20"/>
        </w:rPr>
        <w:t xml:space="preserve">CUATRO, EN EL EDIFICIO QUE OCUPA EL PALACIO MUNICIPAL DE TONALÁ, JALISCO, UBICADO EN LA CALLE HIDALGO N0. 21; EN LA SALA DE SESIONES “TONALTECAS ILUSTRES”, SE REUNIERON EL PRESIDENTE MUNICIPAL, SERGIO ARMANDO CHÁVEZ DÁVALOS, Y LA SECRETARIA GENERAL, </w:t>
      </w:r>
      <w:r>
        <w:rPr>
          <w:rFonts w:ascii="Gotham" w:hAnsi="Gotham" w:cs="Arial"/>
          <w:sz w:val="20"/>
          <w:szCs w:val="20"/>
        </w:rPr>
        <w:t>CELIA ISABEL GAUNA RUÍZ DE LEÓN,</w:t>
      </w:r>
      <w:r>
        <w:rPr>
          <w:rFonts w:ascii="Gotham" w:hAnsi="Gotham"/>
          <w:sz w:val="20"/>
          <w:szCs w:val="20"/>
        </w:rPr>
        <w:t xml:space="preserve"> ASÍ COMO LOS DEMÁS INTEGRANTES DEL PLENO DEL AYUNTAMIENTO CONSTITUCIONAL DE TONALÁ, JALISCO; CON EL OBJETO DE CELEBRAR LA TRIGÉSIMO CUARTA SESIÓN ORDINARIA DE AYUNTAMIENTO PARA EL PERIODO 2021-2024, BAJO EL SIGUIENTE ORDEN DEL DÍA:</w:t>
      </w:r>
    </w:p>
    <w:p w14:paraId="3A473120" w14:textId="77777777" w:rsidR="00E9195F" w:rsidRDefault="00E9195F" w:rsidP="002B6227">
      <w:pPr>
        <w:pStyle w:val="western"/>
        <w:spacing w:before="0" w:beforeAutospacing="0"/>
        <w:jc w:val="both"/>
        <w:rPr>
          <w:rFonts w:ascii="Gotham" w:hAnsi="Gotham"/>
          <w:sz w:val="20"/>
          <w:szCs w:val="20"/>
        </w:rPr>
      </w:pPr>
    </w:p>
    <w:p w14:paraId="3A473121" w14:textId="77777777" w:rsidR="00E9195F" w:rsidRDefault="00E9195F" w:rsidP="002B6227">
      <w:pPr>
        <w:pStyle w:val="Prrafodelista"/>
        <w:widowControl w:val="0"/>
        <w:numPr>
          <w:ilvl w:val="0"/>
          <w:numId w:val="1"/>
        </w:numPr>
        <w:spacing w:after="120"/>
        <w:ind w:left="426" w:hanging="426"/>
        <w:contextualSpacing w:val="0"/>
        <w:jc w:val="both"/>
        <w:rPr>
          <w:rFonts w:ascii="Gotham" w:hAnsi="Gotham"/>
          <w:i/>
          <w:sz w:val="20"/>
          <w:szCs w:val="20"/>
        </w:rPr>
      </w:pPr>
      <w:r>
        <w:rPr>
          <w:rFonts w:ascii="Gotham" w:hAnsi="Gotham"/>
          <w:i/>
          <w:sz w:val="20"/>
          <w:szCs w:val="20"/>
        </w:rPr>
        <w:t xml:space="preserve">Lista de </w:t>
      </w:r>
      <w:r w:rsidRPr="00230842">
        <w:rPr>
          <w:rFonts w:ascii="Gotham" w:hAnsi="Gotham"/>
          <w:i/>
          <w:sz w:val="20"/>
          <w:szCs w:val="20"/>
        </w:rPr>
        <w:t xml:space="preserve">asistencia, verificación y declaración </w:t>
      </w:r>
      <w:r>
        <w:rPr>
          <w:rFonts w:ascii="Gotham" w:hAnsi="Gotham"/>
          <w:i/>
          <w:sz w:val="20"/>
          <w:szCs w:val="20"/>
        </w:rPr>
        <w:t>de quórum legal;</w:t>
      </w:r>
    </w:p>
    <w:p w14:paraId="3A473122" w14:textId="77777777" w:rsidR="00E9195F" w:rsidRDefault="00E9195F" w:rsidP="002B6227">
      <w:pPr>
        <w:pStyle w:val="Prrafodelista"/>
        <w:widowControl w:val="0"/>
        <w:numPr>
          <w:ilvl w:val="0"/>
          <w:numId w:val="1"/>
        </w:numPr>
        <w:spacing w:after="120"/>
        <w:ind w:left="426" w:hanging="426"/>
        <w:contextualSpacing w:val="0"/>
        <w:jc w:val="both"/>
        <w:rPr>
          <w:rFonts w:ascii="Gotham" w:hAnsi="Gotham"/>
          <w:i/>
          <w:sz w:val="20"/>
          <w:szCs w:val="20"/>
        </w:rPr>
      </w:pPr>
      <w:r>
        <w:rPr>
          <w:rFonts w:ascii="Gotham" w:hAnsi="Gotham"/>
          <w:i/>
          <w:sz w:val="20"/>
          <w:szCs w:val="20"/>
        </w:rPr>
        <w:t xml:space="preserve">Lectura </w:t>
      </w:r>
      <w:r w:rsidRPr="00230842">
        <w:rPr>
          <w:rFonts w:ascii="Gotham" w:hAnsi="Gotham"/>
          <w:i/>
          <w:sz w:val="20"/>
          <w:szCs w:val="20"/>
        </w:rPr>
        <w:t>y aprobación del orden del día</w:t>
      </w:r>
      <w:r>
        <w:rPr>
          <w:rFonts w:ascii="Gotham" w:hAnsi="Gotham"/>
          <w:i/>
          <w:sz w:val="20"/>
          <w:szCs w:val="20"/>
        </w:rPr>
        <w:t>;</w:t>
      </w:r>
    </w:p>
    <w:p w14:paraId="3A473123" w14:textId="77777777" w:rsidR="00E9195F" w:rsidRPr="00DE0BD1" w:rsidRDefault="00E9195F" w:rsidP="002B6227">
      <w:pPr>
        <w:pStyle w:val="Prrafodelista"/>
        <w:widowControl w:val="0"/>
        <w:numPr>
          <w:ilvl w:val="0"/>
          <w:numId w:val="1"/>
        </w:numPr>
        <w:spacing w:after="120"/>
        <w:ind w:left="426" w:hanging="426"/>
        <w:contextualSpacing w:val="0"/>
        <w:jc w:val="both"/>
        <w:rPr>
          <w:rFonts w:ascii="Gotham" w:hAnsi="Gotham"/>
          <w:i/>
          <w:sz w:val="20"/>
          <w:szCs w:val="20"/>
        </w:rPr>
      </w:pPr>
      <w:r w:rsidRPr="00063039">
        <w:rPr>
          <w:rFonts w:ascii="Gotham" w:hAnsi="Gotham"/>
          <w:i/>
          <w:sz w:val="20"/>
          <w:szCs w:val="20"/>
        </w:rPr>
        <w:t xml:space="preserve">Lectura </w:t>
      </w:r>
      <w:r w:rsidRPr="001C1F5F">
        <w:rPr>
          <w:rFonts w:ascii="Gotham" w:hAnsi="Gotham"/>
          <w:i/>
          <w:sz w:val="20"/>
          <w:szCs w:val="20"/>
        </w:rPr>
        <w:t xml:space="preserve">y aprobación, en su caso, del acta de la Sesión Ordinaria de Ayuntamiento de fecha </w:t>
      </w:r>
      <w:r>
        <w:rPr>
          <w:rFonts w:ascii="Gotham" w:hAnsi="Gotham"/>
          <w:i/>
          <w:sz w:val="20"/>
          <w:szCs w:val="20"/>
        </w:rPr>
        <w:t>13</w:t>
      </w:r>
      <w:r w:rsidRPr="001C1F5F">
        <w:rPr>
          <w:rFonts w:ascii="Gotham" w:hAnsi="Gotham"/>
          <w:i/>
          <w:sz w:val="20"/>
          <w:szCs w:val="20"/>
        </w:rPr>
        <w:t xml:space="preserve"> de </w:t>
      </w:r>
      <w:r>
        <w:rPr>
          <w:rFonts w:ascii="Gotham" w:hAnsi="Gotham"/>
          <w:i/>
          <w:sz w:val="20"/>
          <w:szCs w:val="20"/>
        </w:rPr>
        <w:t xml:space="preserve">junio </w:t>
      </w:r>
      <w:r w:rsidRPr="001C1F5F">
        <w:rPr>
          <w:rFonts w:ascii="Gotham" w:hAnsi="Gotham"/>
          <w:i/>
          <w:sz w:val="20"/>
          <w:szCs w:val="20"/>
        </w:rPr>
        <w:t>de 202</w:t>
      </w:r>
      <w:r>
        <w:rPr>
          <w:rFonts w:ascii="Gotham" w:hAnsi="Gotham"/>
          <w:i/>
          <w:sz w:val="20"/>
          <w:szCs w:val="20"/>
        </w:rPr>
        <w:t>4</w:t>
      </w:r>
      <w:r w:rsidRPr="001C1F5F">
        <w:rPr>
          <w:rFonts w:ascii="Gotham" w:hAnsi="Gotham"/>
          <w:i/>
          <w:sz w:val="20"/>
          <w:szCs w:val="20"/>
        </w:rPr>
        <w:t>;</w:t>
      </w:r>
    </w:p>
    <w:p w14:paraId="3A473124" w14:textId="77777777" w:rsidR="00E9195F" w:rsidRDefault="00E9195F" w:rsidP="002B6227">
      <w:pPr>
        <w:pStyle w:val="Prrafodelista"/>
        <w:widowControl w:val="0"/>
        <w:numPr>
          <w:ilvl w:val="0"/>
          <w:numId w:val="1"/>
        </w:numPr>
        <w:spacing w:after="120"/>
        <w:ind w:left="426" w:hanging="426"/>
        <w:contextualSpacing w:val="0"/>
        <w:jc w:val="both"/>
        <w:rPr>
          <w:rFonts w:ascii="Gotham" w:hAnsi="Gotham"/>
          <w:i/>
          <w:sz w:val="20"/>
          <w:szCs w:val="20"/>
        </w:rPr>
      </w:pPr>
      <w:r>
        <w:rPr>
          <w:rFonts w:ascii="Gotham" w:hAnsi="Gotham"/>
          <w:i/>
          <w:sz w:val="20"/>
          <w:szCs w:val="20"/>
        </w:rPr>
        <w:t>Lectura y trámite de las comunicaciones recibidas;</w:t>
      </w:r>
    </w:p>
    <w:p w14:paraId="3A473125" w14:textId="77777777" w:rsidR="00E9195F" w:rsidRDefault="00E9195F" w:rsidP="002B6227">
      <w:pPr>
        <w:pStyle w:val="Prrafodelista"/>
        <w:widowControl w:val="0"/>
        <w:numPr>
          <w:ilvl w:val="0"/>
          <w:numId w:val="1"/>
        </w:numPr>
        <w:spacing w:after="120"/>
        <w:ind w:left="426" w:hanging="426"/>
        <w:contextualSpacing w:val="0"/>
        <w:jc w:val="both"/>
        <w:rPr>
          <w:rFonts w:ascii="Gotham" w:hAnsi="Gotham"/>
          <w:i/>
          <w:sz w:val="20"/>
          <w:szCs w:val="20"/>
        </w:rPr>
      </w:pPr>
      <w:r>
        <w:rPr>
          <w:rFonts w:ascii="Gotham" w:hAnsi="Gotham"/>
          <w:i/>
          <w:sz w:val="20"/>
          <w:szCs w:val="20"/>
        </w:rPr>
        <w:t>Presentación de iniciativas;</w:t>
      </w:r>
    </w:p>
    <w:p w14:paraId="3A473126" w14:textId="77777777" w:rsidR="00E9195F" w:rsidRDefault="00E9195F" w:rsidP="002B6227">
      <w:pPr>
        <w:pStyle w:val="Prrafodelista"/>
        <w:widowControl w:val="0"/>
        <w:spacing w:after="80"/>
        <w:ind w:left="1134" w:hanging="567"/>
        <w:contextualSpacing w:val="0"/>
        <w:jc w:val="both"/>
        <w:rPr>
          <w:rFonts w:ascii="Gotham" w:hAnsi="Gotham"/>
          <w:i/>
          <w:sz w:val="20"/>
          <w:szCs w:val="20"/>
        </w:rPr>
      </w:pPr>
      <w:r>
        <w:rPr>
          <w:rFonts w:ascii="Gotham" w:hAnsi="Gotham"/>
          <w:i/>
          <w:sz w:val="20"/>
          <w:szCs w:val="20"/>
        </w:rPr>
        <w:t>5.1</w:t>
      </w:r>
      <w:r>
        <w:rPr>
          <w:rFonts w:ascii="Gotham" w:hAnsi="Gotham"/>
          <w:i/>
          <w:sz w:val="20"/>
          <w:szCs w:val="20"/>
        </w:rPr>
        <w:tab/>
        <w:t>Iniciativas con Dispensa de Trámite;</w:t>
      </w:r>
    </w:p>
    <w:p w14:paraId="3A473127" w14:textId="77777777" w:rsidR="00E9195F" w:rsidRDefault="00E9195F" w:rsidP="002B6227">
      <w:pPr>
        <w:pStyle w:val="Prrafodelista"/>
        <w:widowControl w:val="0"/>
        <w:spacing w:after="120"/>
        <w:ind w:left="1134" w:hanging="567"/>
        <w:contextualSpacing w:val="0"/>
        <w:jc w:val="both"/>
        <w:rPr>
          <w:rFonts w:ascii="Gotham" w:hAnsi="Gotham"/>
          <w:i/>
          <w:sz w:val="20"/>
          <w:szCs w:val="20"/>
        </w:rPr>
      </w:pPr>
      <w:r>
        <w:rPr>
          <w:rFonts w:ascii="Gotham" w:hAnsi="Gotham"/>
          <w:i/>
          <w:sz w:val="20"/>
          <w:szCs w:val="20"/>
        </w:rPr>
        <w:t>5.2</w:t>
      </w:r>
      <w:r>
        <w:rPr>
          <w:rFonts w:ascii="Gotham" w:hAnsi="Gotham"/>
          <w:i/>
          <w:sz w:val="20"/>
          <w:szCs w:val="20"/>
        </w:rPr>
        <w:tab/>
        <w:t>Iniciativas con Turno a Comisión;</w:t>
      </w:r>
    </w:p>
    <w:p w14:paraId="3A473128" w14:textId="77777777" w:rsidR="00E9195F" w:rsidRDefault="00E9195F" w:rsidP="002B6227">
      <w:pPr>
        <w:pStyle w:val="Prrafodelista"/>
        <w:widowControl w:val="0"/>
        <w:numPr>
          <w:ilvl w:val="0"/>
          <w:numId w:val="1"/>
        </w:numPr>
        <w:spacing w:after="120"/>
        <w:ind w:left="426" w:hanging="426"/>
        <w:contextualSpacing w:val="0"/>
        <w:jc w:val="both"/>
        <w:rPr>
          <w:rFonts w:ascii="Gotham" w:hAnsi="Gotham"/>
          <w:i/>
          <w:sz w:val="20"/>
          <w:szCs w:val="20"/>
        </w:rPr>
      </w:pPr>
      <w:r>
        <w:rPr>
          <w:rFonts w:ascii="Gotham" w:hAnsi="Gotham"/>
          <w:i/>
          <w:sz w:val="20"/>
          <w:szCs w:val="20"/>
        </w:rPr>
        <w:t>Lectura, debate y aprobación, en su caso, de dictámenes y comunicaciones de las Comisiones Edilicias;</w:t>
      </w:r>
    </w:p>
    <w:p w14:paraId="3A473129" w14:textId="77777777" w:rsidR="00E9195F" w:rsidRDefault="00E9195F" w:rsidP="002B6227">
      <w:pPr>
        <w:pStyle w:val="Prrafodelista"/>
        <w:widowControl w:val="0"/>
        <w:numPr>
          <w:ilvl w:val="0"/>
          <w:numId w:val="1"/>
        </w:numPr>
        <w:spacing w:after="120"/>
        <w:ind w:left="426" w:hanging="426"/>
        <w:contextualSpacing w:val="0"/>
        <w:jc w:val="both"/>
        <w:rPr>
          <w:rFonts w:ascii="Gotham" w:hAnsi="Gotham"/>
          <w:i/>
          <w:sz w:val="20"/>
          <w:szCs w:val="20"/>
        </w:rPr>
      </w:pPr>
      <w:r>
        <w:rPr>
          <w:rFonts w:ascii="Gotham" w:hAnsi="Gotham"/>
          <w:i/>
          <w:sz w:val="20"/>
          <w:szCs w:val="20"/>
        </w:rPr>
        <w:t>Presentación de asuntos varios;</w:t>
      </w:r>
    </w:p>
    <w:p w14:paraId="3A47312A" w14:textId="77777777" w:rsidR="00E9195F" w:rsidRDefault="00E9195F" w:rsidP="002B6227">
      <w:pPr>
        <w:pStyle w:val="Prrafodelista"/>
        <w:widowControl w:val="0"/>
        <w:numPr>
          <w:ilvl w:val="0"/>
          <w:numId w:val="1"/>
        </w:numPr>
        <w:spacing w:after="120"/>
        <w:ind w:left="426" w:hanging="426"/>
        <w:contextualSpacing w:val="0"/>
        <w:jc w:val="both"/>
        <w:rPr>
          <w:rFonts w:ascii="Gotham" w:hAnsi="Gotham"/>
          <w:i/>
          <w:sz w:val="20"/>
          <w:szCs w:val="20"/>
        </w:rPr>
      </w:pPr>
      <w:r>
        <w:rPr>
          <w:rFonts w:ascii="Gotham" w:hAnsi="Gotham"/>
          <w:i/>
          <w:sz w:val="20"/>
          <w:szCs w:val="20"/>
        </w:rPr>
        <w:t>Señalamiento de día y hora de las próximas Sesiones de Ayuntamiento; y</w:t>
      </w:r>
    </w:p>
    <w:p w14:paraId="3A47312B" w14:textId="77777777" w:rsidR="00E9195F" w:rsidRDefault="00E9195F" w:rsidP="002B6227">
      <w:pPr>
        <w:pStyle w:val="Prrafodelista"/>
        <w:widowControl w:val="0"/>
        <w:numPr>
          <w:ilvl w:val="0"/>
          <w:numId w:val="1"/>
        </w:numPr>
        <w:ind w:left="426" w:hanging="426"/>
        <w:jc w:val="both"/>
        <w:rPr>
          <w:rFonts w:ascii="Gotham" w:hAnsi="Gotham"/>
          <w:i/>
          <w:sz w:val="20"/>
          <w:szCs w:val="20"/>
        </w:rPr>
      </w:pPr>
      <w:r>
        <w:rPr>
          <w:rFonts w:ascii="Gotham" w:hAnsi="Gotham"/>
          <w:i/>
          <w:sz w:val="20"/>
          <w:szCs w:val="20"/>
        </w:rPr>
        <w:t>Clausura.</w:t>
      </w:r>
    </w:p>
    <w:p w14:paraId="3A47312C" w14:textId="77777777" w:rsidR="00E9195F" w:rsidRPr="00856813" w:rsidRDefault="00E9195F" w:rsidP="002B6227">
      <w:pPr>
        <w:ind w:firstLine="708"/>
        <w:jc w:val="both"/>
        <w:rPr>
          <w:rFonts w:ascii="Gotham" w:hAnsi="Gotham"/>
          <w:sz w:val="20"/>
          <w:szCs w:val="20"/>
          <w:lang w:val="es-MX"/>
        </w:rPr>
      </w:pPr>
    </w:p>
    <w:p w14:paraId="3A47312D" w14:textId="77777777" w:rsidR="00E9195F" w:rsidRPr="00856813" w:rsidRDefault="00E9195F" w:rsidP="002B6227">
      <w:pPr>
        <w:ind w:firstLine="708"/>
        <w:jc w:val="both"/>
        <w:rPr>
          <w:rFonts w:ascii="Gotham" w:hAnsi="Gotham"/>
          <w:sz w:val="20"/>
          <w:szCs w:val="20"/>
          <w:lang w:val="es-MX"/>
        </w:rPr>
      </w:pPr>
    </w:p>
    <w:p w14:paraId="3A47312E" w14:textId="77777777" w:rsidR="00E9195F" w:rsidRDefault="00E9195F" w:rsidP="002B6227">
      <w:pPr>
        <w:pStyle w:val="Piedepgina"/>
        <w:tabs>
          <w:tab w:val="left" w:pos="708"/>
        </w:tabs>
        <w:jc w:val="both"/>
        <w:rPr>
          <w:rFonts w:ascii="Gotham" w:hAnsi="Gotham"/>
          <w:sz w:val="20"/>
          <w:szCs w:val="20"/>
        </w:rPr>
      </w:pPr>
      <w:r w:rsidRPr="00E156D8">
        <w:rPr>
          <w:rFonts w:ascii="Gotham" w:hAnsi="Gotham"/>
          <w:sz w:val="20"/>
          <w:szCs w:val="20"/>
        </w:rPr>
        <w:tab/>
      </w:r>
      <w:r w:rsidRPr="00856813">
        <w:rPr>
          <w:rFonts w:ascii="Gotham" w:hAnsi="Gotham"/>
          <w:sz w:val="20"/>
          <w:szCs w:val="20"/>
        </w:rPr>
        <w:t xml:space="preserve">En uso de la voz el Presidente Municipal, Sergio Armando Chávez Dávalos, señala que, </w:t>
      </w:r>
      <w:r>
        <w:rPr>
          <w:rFonts w:ascii="Gotham" w:hAnsi="Gotham"/>
          <w:sz w:val="20"/>
          <w:szCs w:val="20"/>
        </w:rPr>
        <w:t xml:space="preserve">muy </w:t>
      </w:r>
      <w:r w:rsidRPr="00856813">
        <w:rPr>
          <w:rFonts w:ascii="Gotham" w:hAnsi="Gotham"/>
          <w:sz w:val="20"/>
          <w:szCs w:val="20"/>
        </w:rPr>
        <w:t>buen</w:t>
      </w:r>
      <w:r>
        <w:rPr>
          <w:rFonts w:ascii="Gotham" w:hAnsi="Gotham"/>
          <w:sz w:val="20"/>
          <w:szCs w:val="20"/>
        </w:rPr>
        <w:t>a</w:t>
      </w:r>
      <w:r w:rsidRPr="00856813">
        <w:rPr>
          <w:rFonts w:ascii="Gotham" w:hAnsi="Gotham"/>
          <w:sz w:val="20"/>
          <w:szCs w:val="20"/>
        </w:rPr>
        <w:t xml:space="preserve">s </w:t>
      </w:r>
      <w:r w:rsidRPr="00E156D8">
        <w:rPr>
          <w:rFonts w:ascii="Gotham" w:hAnsi="Gotham"/>
          <w:sz w:val="20"/>
          <w:szCs w:val="20"/>
        </w:rPr>
        <w:t>tardes compañeras y compañeros integrantes del Pleno de este Ayuntamiento, agradezco la presencia de</w:t>
      </w:r>
      <w:r>
        <w:rPr>
          <w:rFonts w:ascii="Gotham" w:hAnsi="Gotham"/>
          <w:sz w:val="20"/>
          <w:szCs w:val="20"/>
        </w:rPr>
        <w:t xml:space="preserve"> las y los ciudadanos</w:t>
      </w:r>
      <w:r w:rsidRPr="00E156D8">
        <w:rPr>
          <w:rFonts w:ascii="Gotham" w:hAnsi="Gotham"/>
          <w:sz w:val="20"/>
          <w:szCs w:val="20"/>
        </w:rPr>
        <w:t xml:space="preserve"> que nos acompaña</w:t>
      </w:r>
      <w:r>
        <w:rPr>
          <w:rFonts w:ascii="Gotham" w:hAnsi="Gotham"/>
          <w:sz w:val="20"/>
          <w:szCs w:val="20"/>
        </w:rPr>
        <w:t>n</w:t>
      </w:r>
      <w:r w:rsidRPr="00E156D8">
        <w:rPr>
          <w:rFonts w:ascii="Gotham" w:hAnsi="Gotham"/>
          <w:sz w:val="20"/>
          <w:szCs w:val="20"/>
        </w:rPr>
        <w:t xml:space="preserve"> en est</w:t>
      </w:r>
      <w:r>
        <w:rPr>
          <w:rFonts w:ascii="Gotham" w:hAnsi="Gotham"/>
          <w:sz w:val="20"/>
          <w:szCs w:val="20"/>
        </w:rPr>
        <w:t>e</w:t>
      </w:r>
      <w:r w:rsidRPr="00E156D8">
        <w:rPr>
          <w:rFonts w:ascii="Gotham" w:hAnsi="Gotham"/>
          <w:sz w:val="20"/>
          <w:szCs w:val="20"/>
        </w:rPr>
        <w:t xml:space="preserve"> salón</w:t>
      </w:r>
      <w:r>
        <w:rPr>
          <w:rFonts w:ascii="Gotham" w:hAnsi="Gotham"/>
          <w:sz w:val="20"/>
          <w:szCs w:val="20"/>
        </w:rPr>
        <w:t xml:space="preserve"> de sesiones y</w:t>
      </w:r>
      <w:r w:rsidRPr="00E156D8">
        <w:rPr>
          <w:rFonts w:ascii="Gotham" w:hAnsi="Gotham"/>
          <w:sz w:val="20"/>
          <w:szCs w:val="20"/>
        </w:rPr>
        <w:t xml:space="preserve"> a través de las redes sociales, así</w:t>
      </w:r>
      <w:r w:rsidRPr="00227474">
        <w:rPr>
          <w:rFonts w:ascii="Arial" w:hAnsi="Arial" w:cs="Arial"/>
          <w:sz w:val="40"/>
          <w:szCs w:val="40"/>
        </w:rPr>
        <w:t xml:space="preserve"> </w:t>
      </w:r>
      <w:r w:rsidRPr="00E156D8">
        <w:rPr>
          <w:rFonts w:ascii="Gotham" w:hAnsi="Gotham"/>
          <w:sz w:val="20"/>
          <w:szCs w:val="20"/>
        </w:rPr>
        <w:t xml:space="preserve">como de los medios de comunicación que </w:t>
      </w:r>
      <w:r>
        <w:rPr>
          <w:rFonts w:ascii="Gotham" w:hAnsi="Gotham"/>
          <w:sz w:val="20"/>
          <w:szCs w:val="20"/>
        </w:rPr>
        <w:t>dan cobertura</w:t>
      </w:r>
      <w:r w:rsidRPr="00E156D8">
        <w:rPr>
          <w:rFonts w:ascii="Gotham" w:hAnsi="Gotham"/>
          <w:sz w:val="20"/>
          <w:szCs w:val="20"/>
        </w:rPr>
        <w:t xml:space="preserve"> </w:t>
      </w:r>
      <w:r>
        <w:rPr>
          <w:rFonts w:ascii="Gotham" w:hAnsi="Gotham"/>
          <w:sz w:val="20"/>
          <w:szCs w:val="20"/>
        </w:rPr>
        <w:t>a la presente</w:t>
      </w:r>
      <w:r w:rsidRPr="00E156D8">
        <w:rPr>
          <w:rFonts w:ascii="Gotham" w:hAnsi="Gotham"/>
          <w:sz w:val="20"/>
          <w:szCs w:val="20"/>
        </w:rPr>
        <w:t xml:space="preserve">; </w:t>
      </w:r>
      <w:r>
        <w:rPr>
          <w:rFonts w:ascii="Gotham" w:hAnsi="Gotham"/>
          <w:sz w:val="20"/>
          <w:szCs w:val="20"/>
        </w:rPr>
        <w:t>bienvenidos</w:t>
      </w:r>
      <w:r w:rsidRPr="00E156D8">
        <w:rPr>
          <w:rFonts w:ascii="Gotham" w:hAnsi="Gotham"/>
          <w:sz w:val="20"/>
          <w:szCs w:val="20"/>
        </w:rPr>
        <w:t xml:space="preserve"> a la </w:t>
      </w:r>
      <w:r>
        <w:rPr>
          <w:rFonts w:ascii="Gotham" w:hAnsi="Gotham"/>
          <w:sz w:val="20"/>
          <w:szCs w:val="20"/>
        </w:rPr>
        <w:t xml:space="preserve">trigésimo cuarta </w:t>
      </w:r>
      <w:r w:rsidRPr="00E156D8">
        <w:rPr>
          <w:rFonts w:ascii="Gotham" w:hAnsi="Gotham"/>
          <w:sz w:val="20"/>
          <w:szCs w:val="20"/>
        </w:rPr>
        <w:t>Sesión Ordinaria de Ayuntamiento</w:t>
      </w:r>
      <w:r w:rsidRPr="00856813">
        <w:rPr>
          <w:rFonts w:ascii="Gotham" w:hAnsi="Gotham"/>
          <w:sz w:val="20"/>
          <w:szCs w:val="20"/>
        </w:rPr>
        <w:t>. Para dar inic</w:t>
      </w:r>
      <w:r>
        <w:rPr>
          <w:rFonts w:ascii="Gotham" w:hAnsi="Gotham"/>
          <w:sz w:val="20"/>
          <w:szCs w:val="20"/>
        </w:rPr>
        <w:t>io se procede a verificar el quó</w:t>
      </w:r>
      <w:r w:rsidRPr="00856813">
        <w:rPr>
          <w:rFonts w:ascii="Gotham" w:hAnsi="Gotham"/>
          <w:sz w:val="20"/>
          <w:szCs w:val="20"/>
        </w:rPr>
        <w:t>rum legal,</w:t>
      </w:r>
      <w:r>
        <w:rPr>
          <w:rFonts w:ascii="Gotham" w:hAnsi="Gotham"/>
          <w:sz w:val="20"/>
          <w:szCs w:val="20"/>
        </w:rPr>
        <w:t xml:space="preserve"> solicitando</w:t>
      </w:r>
      <w:r w:rsidRPr="00856813">
        <w:rPr>
          <w:rFonts w:ascii="Gotham" w:hAnsi="Gotham"/>
          <w:sz w:val="20"/>
          <w:szCs w:val="20"/>
        </w:rPr>
        <w:t xml:space="preserve"> a la Secretaria General, tome la lista de asistencia </w:t>
      </w:r>
      <w:r>
        <w:rPr>
          <w:rFonts w:ascii="Gotham" w:hAnsi="Gotham"/>
          <w:sz w:val="20"/>
          <w:szCs w:val="20"/>
        </w:rPr>
        <w:t>e informe a esta Presidencia</w:t>
      </w:r>
      <w:r w:rsidRPr="00856813">
        <w:rPr>
          <w:rFonts w:ascii="Gotham" w:hAnsi="Gotham"/>
          <w:sz w:val="20"/>
          <w:szCs w:val="20"/>
        </w:rPr>
        <w:t>.</w:t>
      </w:r>
    </w:p>
    <w:p w14:paraId="3A47312F" w14:textId="77777777" w:rsidR="00E9195F" w:rsidRPr="00856813" w:rsidRDefault="00E9195F" w:rsidP="002B6227">
      <w:pPr>
        <w:pStyle w:val="Piedepgina"/>
        <w:tabs>
          <w:tab w:val="left" w:pos="708"/>
        </w:tabs>
        <w:jc w:val="both"/>
        <w:rPr>
          <w:rFonts w:ascii="Gotham" w:hAnsi="Gotham"/>
          <w:sz w:val="20"/>
          <w:szCs w:val="20"/>
        </w:rPr>
      </w:pPr>
    </w:p>
    <w:p w14:paraId="3A473130" w14:textId="77777777" w:rsidR="00E9195F" w:rsidRDefault="00E9195F" w:rsidP="002B6227">
      <w:pPr>
        <w:pStyle w:val="Piedepgina"/>
        <w:tabs>
          <w:tab w:val="left" w:pos="708"/>
        </w:tabs>
        <w:jc w:val="both"/>
        <w:rPr>
          <w:rFonts w:ascii="Gotham" w:hAnsi="Gotham"/>
          <w:sz w:val="20"/>
          <w:szCs w:val="20"/>
        </w:rPr>
      </w:pPr>
      <w:r w:rsidRPr="004D394C">
        <w:rPr>
          <w:rFonts w:ascii="Gotham" w:hAnsi="Gotham"/>
          <w:sz w:val="20"/>
          <w:szCs w:val="20"/>
        </w:rPr>
        <w:t xml:space="preserve">Pasando al primer punto del orden del día, en uso de la voz la Secretaria General, </w:t>
      </w:r>
      <w:r w:rsidRPr="004D394C">
        <w:rPr>
          <w:rFonts w:ascii="Gotham" w:hAnsi="Gotham" w:cs="Arial"/>
          <w:sz w:val="20"/>
          <w:szCs w:val="20"/>
        </w:rPr>
        <w:t>Celia Isabel Gauna Ruíz de León</w:t>
      </w:r>
      <w:r w:rsidRPr="004D394C">
        <w:rPr>
          <w:rFonts w:ascii="Gotham" w:hAnsi="Gotham"/>
          <w:sz w:val="20"/>
          <w:szCs w:val="20"/>
        </w:rPr>
        <w:t xml:space="preserve">, pasó lista de asistencia, encontrándose presentes, el </w:t>
      </w:r>
      <w:r w:rsidRPr="00856813">
        <w:rPr>
          <w:rFonts w:ascii="Gotham" w:hAnsi="Gotham"/>
          <w:sz w:val="20"/>
          <w:szCs w:val="20"/>
        </w:rPr>
        <w:t xml:space="preserve">Presidente Municipal, Sergio Armando Chávez Dávalos; </w:t>
      </w:r>
      <w:r>
        <w:rPr>
          <w:rFonts w:ascii="Gotham" w:hAnsi="Gotham"/>
          <w:sz w:val="20"/>
          <w:szCs w:val="20"/>
        </w:rPr>
        <w:t xml:space="preserve">el Sínico, Nicolás Maestro Landeros; </w:t>
      </w:r>
      <w:r w:rsidRPr="004D394C">
        <w:rPr>
          <w:rFonts w:ascii="Gotham" w:hAnsi="Gotham"/>
          <w:sz w:val="20"/>
          <w:szCs w:val="20"/>
        </w:rPr>
        <w:t xml:space="preserve">así como las Regidoras y los Regidores, </w:t>
      </w:r>
      <w:r w:rsidRPr="00F50D31">
        <w:rPr>
          <w:rFonts w:ascii="Gotham" w:hAnsi="Gotham"/>
          <w:sz w:val="20"/>
          <w:szCs w:val="20"/>
        </w:rPr>
        <w:t>Laura Liliana Olea Frías</w:t>
      </w:r>
      <w:r w:rsidRPr="004D394C">
        <w:rPr>
          <w:rFonts w:ascii="Gotham" w:hAnsi="Gotham"/>
          <w:sz w:val="20"/>
          <w:szCs w:val="20"/>
        </w:rPr>
        <w:t>, Celia Guadalupe Serrano Villagómez, Karen Yesenia Dávalos Hernández</w:t>
      </w:r>
      <w:r>
        <w:rPr>
          <w:rFonts w:ascii="Gotham" w:hAnsi="Gotham"/>
          <w:sz w:val="20"/>
          <w:szCs w:val="20"/>
        </w:rPr>
        <w:t>,</w:t>
      </w:r>
      <w:r w:rsidRPr="004D394C">
        <w:rPr>
          <w:rFonts w:ascii="Gotham" w:hAnsi="Gotham"/>
          <w:sz w:val="20"/>
          <w:szCs w:val="20"/>
        </w:rPr>
        <w:t xml:space="preserve"> Alejandro Buenrostro Hernández, Marta Estela Arizmendi Fombona, Francisco Javier Reyes Ruiz, Guadalupe Villaseñor Fonseca, José Amado Rodríguez Garza, María Esther Ayala Alba, Juan Carlos Villarreal Salazar</w:t>
      </w:r>
      <w:r>
        <w:rPr>
          <w:rFonts w:ascii="Gotham" w:hAnsi="Gotham"/>
          <w:sz w:val="20"/>
          <w:szCs w:val="20"/>
        </w:rPr>
        <w:t>,</w:t>
      </w:r>
      <w:r w:rsidRPr="004D394C">
        <w:rPr>
          <w:rFonts w:ascii="Gotham" w:hAnsi="Gotham"/>
          <w:sz w:val="20"/>
          <w:szCs w:val="20"/>
        </w:rPr>
        <w:t xml:space="preserve"> Rocío Acosta Cervantes, Edgar Oswaldo Bañales Orozco</w:t>
      </w:r>
      <w:r>
        <w:rPr>
          <w:rFonts w:ascii="Gotham" w:hAnsi="Gotham"/>
          <w:sz w:val="20"/>
          <w:szCs w:val="20"/>
        </w:rPr>
        <w:t>,</w:t>
      </w:r>
      <w:r w:rsidRPr="004D394C">
        <w:rPr>
          <w:rFonts w:ascii="Gotham" w:hAnsi="Gotham"/>
          <w:sz w:val="20"/>
          <w:szCs w:val="20"/>
        </w:rPr>
        <w:t xml:space="preserve"> Dulce Yunuen García Venegas, Manuel Nájera Martínez, Ana Priscila González García</w:t>
      </w:r>
      <w:r>
        <w:rPr>
          <w:rFonts w:ascii="Gotham" w:hAnsi="Gotham"/>
          <w:sz w:val="20"/>
          <w:szCs w:val="20"/>
        </w:rPr>
        <w:t xml:space="preserve"> y</w:t>
      </w:r>
      <w:r w:rsidRPr="004D394C">
        <w:rPr>
          <w:rFonts w:ascii="Gotham" w:hAnsi="Gotham"/>
          <w:sz w:val="20"/>
          <w:szCs w:val="20"/>
        </w:rPr>
        <w:t xml:space="preserve"> </w:t>
      </w:r>
      <w:r>
        <w:rPr>
          <w:rFonts w:ascii="Gotham" w:hAnsi="Gotham"/>
          <w:sz w:val="20"/>
          <w:szCs w:val="20"/>
        </w:rPr>
        <w:t xml:space="preserve">Verónica Isela Murillo Martínez. Continuando con el uso de la voz, la Secretaria General, </w:t>
      </w:r>
      <w:r>
        <w:rPr>
          <w:rFonts w:ascii="Gotham" w:hAnsi="Gotham" w:cs="Arial"/>
          <w:sz w:val="20"/>
          <w:szCs w:val="20"/>
        </w:rPr>
        <w:t>Celia Isabel Gauna Ruíz de León</w:t>
      </w:r>
      <w:r>
        <w:rPr>
          <w:rFonts w:ascii="Gotham" w:hAnsi="Gotham"/>
          <w:sz w:val="20"/>
          <w:szCs w:val="20"/>
        </w:rPr>
        <w:t xml:space="preserve">, manifiesta </w:t>
      </w:r>
      <w:r>
        <w:rPr>
          <w:rFonts w:ascii="Gotham" w:hAnsi="Gotham"/>
          <w:sz w:val="20"/>
          <w:szCs w:val="20"/>
        </w:rPr>
        <w:lastRenderedPageBreak/>
        <w:t xml:space="preserve">que, hago de su conocimiento señor Presidente, que se encuentran presentes </w:t>
      </w:r>
      <w:r w:rsidRPr="00F50D31">
        <w:rPr>
          <w:rFonts w:ascii="Gotham" w:hAnsi="Gotham"/>
          <w:sz w:val="20"/>
          <w:szCs w:val="20"/>
        </w:rPr>
        <w:t>18 de los 19</w:t>
      </w:r>
      <w:r w:rsidRPr="005046AA">
        <w:rPr>
          <w:rFonts w:ascii="Gotham" w:hAnsi="Gotham"/>
          <w:sz w:val="20"/>
          <w:szCs w:val="20"/>
        </w:rPr>
        <w:t xml:space="preserve"> integrantes</w:t>
      </w:r>
      <w:r>
        <w:rPr>
          <w:rFonts w:ascii="Gotham" w:hAnsi="Gotham"/>
          <w:sz w:val="20"/>
          <w:szCs w:val="20"/>
        </w:rPr>
        <w:t xml:space="preserve"> de este Ayuntamiento.</w:t>
      </w:r>
    </w:p>
    <w:p w14:paraId="3A473131" w14:textId="77777777" w:rsidR="00E9195F" w:rsidRDefault="00E9195F" w:rsidP="002B6227">
      <w:pPr>
        <w:pStyle w:val="Piedepgina"/>
        <w:tabs>
          <w:tab w:val="left" w:pos="708"/>
        </w:tabs>
        <w:jc w:val="both"/>
        <w:rPr>
          <w:rFonts w:ascii="Gotham" w:hAnsi="Gotham"/>
          <w:sz w:val="20"/>
          <w:szCs w:val="20"/>
        </w:rPr>
      </w:pPr>
    </w:p>
    <w:p w14:paraId="3A473132" w14:textId="77777777" w:rsidR="00E9195F" w:rsidRDefault="00E9195F" w:rsidP="002B6227">
      <w:pPr>
        <w:pStyle w:val="Piedepgina"/>
        <w:tabs>
          <w:tab w:val="left" w:pos="708"/>
        </w:tabs>
        <w:jc w:val="both"/>
        <w:rPr>
          <w:rFonts w:ascii="Gotham" w:hAnsi="Gotham"/>
          <w:sz w:val="20"/>
          <w:szCs w:val="20"/>
        </w:rPr>
      </w:pPr>
      <w:r>
        <w:rPr>
          <w:rFonts w:ascii="Gotham" w:hAnsi="Gotham"/>
          <w:sz w:val="20"/>
          <w:szCs w:val="20"/>
        </w:rPr>
        <w:t xml:space="preserve">En uso de la voz el Presidente Municipal, Sergio Armando Chávez Dávalos, señala que, gracias Secretaria; </w:t>
      </w:r>
      <w:r w:rsidRPr="001C2034">
        <w:rPr>
          <w:rFonts w:ascii="Gotham" w:hAnsi="Gotham"/>
          <w:sz w:val="20"/>
          <w:szCs w:val="20"/>
        </w:rPr>
        <w:t xml:space="preserve">se declara quórum legal para sesionar y válidos </w:t>
      </w:r>
      <w:r>
        <w:rPr>
          <w:rFonts w:ascii="Gotham" w:hAnsi="Gotham"/>
          <w:sz w:val="20"/>
          <w:szCs w:val="20"/>
        </w:rPr>
        <w:t xml:space="preserve">todos </w:t>
      </w:r>
      <w:r w:rsidRPr="001C2034">
        <w:rPr>
          <w:rFonts w:ascii="Gotham" w:hAnsi="Gotham"/>
          <w:sz w:val="20"/>
          <w:szCs w:val="20"/>
        </w:rPr>
        <w:t>los acuerdos y trabajos que en esta sesión se realicen</w:t>
      </w:r>
      <w:r>
        <w:rPr>
          <w:rFonts w:ascii="Gotham" w:hAnsi="Gotham"/>
          <w:sz w:val="20"/>
          <w:szCs w:val="20"/>
        </w:rPr>
        <w:t>.</w:t>
      </w:r>
    </w:p>
    <w:p w14:paraId="3A473133" w14:textId="77777777" w:rsidR="00E9195F" w:rsidRDefault="00E9195F" w:rsidP="002B6227">
      <w:pPr>
        <w:pStyle w:val="Piedepgina"/>
        <w:tabs>
          <w:tab w:val="left" w:pos="708"/>
        </w:tabs>
        <w:jc w:val="both"/>
        <w:rPr>
          <w:rFonts w:ascii="Gotham" w:hAnsi="Gotham"/>
          <w:sz w:val="20"/>
          <w:szCs w:val="20"/>
        </w:rPr>
      </w:pPr>
    </w:p>
    <w:p w14:paraId="3A473134" w14:textId="77777777" w:rsidR="00E9195F" w:rsidRPr="002B15F1" w:rsidRDefault="00E9195F" w:rsidP="002B6227">
      <w:pPr>
        <w:pStyle w:val="Piedepgina"/>
        <w:tabs>
          <w:tab w:val="left" w:pos="708"/>
        </w:tabs>
        <w:jc w:val="both"/>
        <w:rPr>
          <w:rFonts w:ascii="Gotham" w:hAnsi="Gotham"/>
          <w:sz w:val="20"/>
          <w:szCs w:val="20"/>
        </w:rPr>
      </w:pPr>
      <w:r w:rsidRPr="002B15F1">
        <w:rPr>
          <w:rFonts w:ascii="Gotham" w:hAnsi="Gotham"/>
          <w:sz w:val="20"/>
          <w:szCs w:val="20"/>
        </w:rPr>
        <w:t>A esta Presidencia ha llegado la solicitud de justificación de inasistencia del Regidor Ramón López Mena</w:t>
      </w:r>
      <w:r>
        <w:rPr>
          <w:rFonts w:ascii="Gotham" w:hAnsi="Gotham"/>
          <w:sz w:val="20"/>
          <w:szCs w:val="20"/>
        </w:rPr>
        <w:t>,</w:t>
      </w:r>
      <w:r w:rsidRPr="002B15F1">
        <w:rPr>
          <w:rFonts w:ascii="Gotham" w:hAnsi="Gotham"/>
          <w:sz w:val="20"/>
          <w:szCs w:val="20"/>
        </w:rPr>
        <w:t xml:space="preserve"> en virtud de encontrase impedido para estar presente en esta sesión, por lo que en votación económica les </w:t>
      </w:r>
      <w:r>
        <w:rPr>
          <w:rFonts w:ascii="Gotham" w:hAnsi="Gotham"/>
          <w:sz w:val="20"/>
          <w:szCs w:val="20"/>
        </w:rPr>
        <w:t>consulto</w:t>
      </w:r>
      <w:r w:rsidRPr="002B15F1">
        <w:rPr>
          <w:rFonts w:ascii="Gotham" w:hAnsi="Gotham"/>
          <w:sz w:val="20"/>
          <w:szCs w:val="20"/>
        </w:rPr>
        <w:t xml:space="preserve"> si se aprueba, quien</w:t>
      </w:r>
      <w:r>
        <w:rPr>
          <w:rFonts w:ascii="Gotham" w:hAnsi="Gotham"/>
          <w:sz w:val="20"/>
          <w:szCs w:val="20"/>
        </w:rPr>
        <w:t>es</w:t>
      </w:r>
      <w:r w:rsidRPr="002B15F1">
        <w:rPr>
          <w:rFonts w:ascii="Gotham" w:hAnsi="Gotham"/>
          <w:sz w:val="20"/>
          <w:szCs w:val="20"/>
        </w:rPr>
        <w:t xml:space="preserve"> esté</w:t>
      </w:r>
      <w:r>
        <w:rPr>
          <w:rFonts w:ascii="Gotham" w:hAnsi="Gotham"/>
          <w:sz w:val="20"/>
          <w:szCs w:val="20"/>
        </w:rPr>
        <w:t>n</w:t>
      </w:r>
      <w:r w:rsidRPr="002B15F1">
        <w:rPr>
          <w:rFonts w:ascii="Gotham" w:hAnsi="Gotham"/>
          <w:sz w:val="20"/>
          <w:szCs w:val="20"/>
        </w:rPr>
        <w:t xml:space="preserve"> por la afirmativa</w:t>
      </w:r>
      <w:r>
        <w:rPr>
          <w:rFonts w:ascii="Gotham" w:hAnsi="Gotham"/>
          <w:sz w:val="20"/>
          <w:szCs w:val="20"/>
        </w:rPr>
        <w:t>,</w:t>
      </w:r>
      <w:r w:rsidRPr="002B15F1">
        <w:rPr>
          <w:rFonts w:ascii="Gotham" w:hAnsi="Gotham"/>
          <w:sz w:val="20"/>
          <w:szCs w:val="20"/>
        </w:rPr>
        <w:t xml:space="preserve"> sírva</w:t>
      </w:r>
      <w:r>
        <w:rPr>
          <w:rFonts w:ascii="Gotham" w:hAnsi="Gotham"/>
          <w:sz w:val="20"/>
          <w:szCs w:val="20"/>
        </w:rPr>
        <w:t>n</w:t>
      </w:r>
      <w:r w:rsidRPr="002B15F1">
        <w:rPr>
          <w:rFonts w:ascii="Gotham" w:hAnsi="Gotham"/>
          <w:sz w:val="20"/>
          <w:szCs w:val="20"/>
        </w:rPr>
        <w:t>se manifestarlo levantando su mano; instruyendo a la Secretaria General para que contabilice los votos y nos informe del resultado.</w:t>
      </w:r>
    </w:p>
    <w:p w14:paraId="3A473135" w14:textId="77777777" w:rsidR="00E9195F" w:rsidRPr="002B15F1" w:rsidRDefault="00E9195F" w:rsidP="002B6227">
      <w:pPr>
        <w:pStyle w:val="Piedepgina"/>
        <w:tabs>
          <w:tab w:val="left" w:pos="708"/>
        </w:tabs>
        <w:jc w:val="both"/>
        <w:rPr>
          <w:rFonts w:ascii="Gotham" w:hAnsi="Gotham"/>
          <w:sz w:val="20"/>
          <w:szCs w:val="20"/>
        </w:rPr>
      </w:pPr>
    </w:p>
    <w:p w14:paraId="3A473136" w14:textId="77777777" w:rsidR="00E9195F" w:rsidRPr="002B15F1" w:rsidRDefault="00E9195F" w:rsidP="002B6227">
      <w:pPr>
        <w:pStyle w:val="Piedepgina"/>
        <w:tabs>
          <w:tab w:val="left" w:pos="708"/>
        </w:tabs>
        <w:jc w:val="both"/>
        <w:rPr>
          <w:rFonts w:ascii="Gotham" w:hAnsi="Gotham"/>
          <w:sz w:val="20"/>
          <w:szCs w:val="20"/>
        </w:rPr>
      </w:pPr>
      <w:r w:rsidRPr="002B15F1">
        <w:rPr>
          <w:rFonts w:ascii="Gotham" w:hAnsi="Gotham"/>
          <w:sz w:val="20"/>
          <w:szCs w:val="20"/>
        </w:rPr>
        <w:t>En uso de la voz informativa, la Secretaria General, Celia Isabel Gauna Ruíz de León, menciona que, como lo indica Presidente, le informo que ha sido aprobado con 16 votos a favor; encontrándose ausente</w:t>
      </w:r>
      <w:r>
        <w:rPr>
          <w:rFonts w:ascii="Gotham" w:hAnsi="Gotham"/>
          <w:sz w:val="20"/>
          <w:szCs w:val="20"/>
        </w:rPr>
        <w:t>s</w:t>
      </w:r>
      <w:r w:rsidRPr="002B15F1">
        <w:rPr>
          <w:rFonts w:ascii="Gotham" w:hAnsi="Gotham"/>
          <w:sz w:val="20"/>
          <w:szCs w:val="20"/>
        </w:rPr>
        <w:t xml:space="preserve"> en el momento de la votación el Regidor Edgar Oswaldo Bañales Orozco</w:t>
      </w:r>
      <w:r>
        <w:rPr>
          <w:rFonts w:ascii="Gotham" w:hAnsi="Gotham"/>
          <w:sz w:val="20"/>
          <w:szCs w:val="20"/>
        </w:rPr>
        <w:t xml:space="preserve"> y la Regidora Laura Liliana Olea Frías</w:t>
      </w:r>
      <w:r w:rsidRPr="002B15F1">
        <w:rPr>
          <w:rFonts w:ascii="Gotham" w:hAnsi="Gotham"/>
          <w:sz w:val="20"/>
          <w:szCs w:val="20"/>
        </w:rPr>
        <w:t>.</w:t>
      </w:r>
    </w:p>
    <w:p w14:paraId="3A473137" w14:textId="77777777" w:rsidR="00E9195F" w:rsidRDefault="00E9195F" w:rsidP="002B6227">
      <w:pPr>
        <w:pStyle w:val="Piedepgina"/>
        <w:tabs>
          <w:tab w:val="left" w:pos="708"/>
        </w:tabs>
        <w:jc w:val="both"/>
        <w:rPr>
          <w:rFonts w:ascii="Gotham" w:hAnsi="Gotham"/>
          <w:sz w:val="20"/>
          <w:szCs w:val="20"/>
        </w:rPr>
      </w:pPr>
    </w:p>
    <w:p w14:paraId="3A473138" w14:textId="77777777" w:rsidR="00E9195F" w:rsidRDefault="00E9195F" w:rsidP="002B6227">
      <w:pPr>
        <w:jc w:val="both"/>
        <w:rPr>
          <w:rFonts w:ascii="Gotham" w:hAnsi="Gotham"/>
          <w:sz w:val="20"/>
          <w:szCs w:val="20"/>
        </w:rPr>
      </w:pPr>
    </w:p>
    <w:p w14:paraId="3A473139" w14:textId="77777777" w:rsidR="00E9195F" w:rsidRDefault="00E9195F" w:rsidP="002B6227">
      <w:pPr>
        <w:pStyle w:val="Piedepgina"/>
        <w:ind w:firstLine="708"/>
        <w:jc w:val="both"/>
        <w:rPr>
          <w:rFonts w:ascii="Gotham" w:hAnsi="Gotham"/>
          <w:sz w:val="20"/>
          <w:szCs w:val="20"/>
        </w:rPr>
      </w:pPr>
      <w:r>
        <w:rPr>
          <w:rFonts w:ascii="Gotham" w:hAnsi="Gotham"/>
          <w:sz w:val="20"/>
          <w:szCs w:val="20"/>
        </w:rPr>
        <w:t>En uso de la voz el Presidente Municipal, Sergio Armando Chávez Dávalos, señala que, con relación al segundo punto, habiéndose dado a conocer</w:t>
      </w:r>
      <w:r w:rsidRPr="00D20FA1">
        <w:rPr>
          <w:rFonts w:ascii="Gotham" w:hAnsi="Gotham"/>
          <w:sz w:val="20"/>
          <w:szCs w:val="20"/>
        </w:rPr>
        <w:t xml:space="preserve"> </w:t>
      </w:r>
      <w:r>
        <w:rPr>
          <w:rFonts w:ascii="Gotham" w:hAnsi="Gotham"/>
          <w:sz w:val="20"/>
          <w:szCs w:val="20"/>
        </w:rPr>
        <w:t>el orden del día propuesto para el desarrollo de la Sesión Ordinaria en curso, se pone a consideración de los integrantes del Pleno del Ayuntamiento.</w:t>
      </w:r>
    </w:p>
    <w:p w14:paraId="3A47313A" w14:textId="77777777" w:rsidR="00E9195F" w:rsidRDefault="00E9195F" w:rsidP="002B6227">
      <w:pPr>
        <w:pStyle w:val="Piedepgina"/>
        <w:jc w:val="both"/>
        <w:rPr>
          <w:rFonts w:ascii="Gotham" w:hAnsi="Gotham"/>
          <w:sz w:val="20"/>
          <w:szCs w:val="20"/>
        </w:rPr>
      </w:pPr>
    </w:p>
    <w:p w14:paraId="3A47313B" w14:textId="77777777" w:rsidR="00E9195F" w:rsidRDefault="00E9195F" w:rsidP="002B6227">
      <w:pPr>
        <w:shd w:val="clear" w:color="auto" w:fill="FFFFFF"/>
        <w:jc w:val="both"/>
        <w:rPr>
          <w:rFonts w:ascii="Gotham" w:hAnsi="Gotham"/>
          <w:sz w:val="20"/>
          <w:szCs w:val="20"/>
        </w:rPr>
      </w:pPr>
      <w:r>
        <w:rPr>
          <w:rFonts w:ascii="Gotham" w:hAnsi="Gotham"/>
          <w:sz w:val="20"/>
          <w:szCs w:val="20"/>
        </w:rPr>
        <w:t>En uso de la voz el Síndico, Nicolás Maestro Landeros, manifiesta que, para antes Presidente, si me permite, si tiene a bien se incluya e</w:t>
      </w:r>
      <w:r w:rsidRPr="00275DDF">
        <w:rPr>
          <w:rFonts w:ascii="Gotham" w:hAnsi="Gotham"/>
          <w:sz w:val="20"/>
          <w:szCs w:val="20"/>
        </w:rPr>
        <w:t xml:space="preserve">n el tema </w:t>
      </w:r>
      <w:r>
        <w:rPr>
          <w:rFonts w:ascii="Gotham" w:hAnsi="Gotham"/>
          <w:sz w:val="20"/>
          <w:szCs w:val="20"/>
        </w:rPr>
        <w:t>d</w:t>
      </w:r>
      <w:r w:rsidRPr="00275DDF">
        <w:rPr>
          <w:rFonts w:ascii="Gotham" w:hAnsi="Gotham"/>
          <w:sz w:val="20"/>
          <w:szCs w:val="20"/>
        </w:rPr>
        <w:t>el orden del día</w:t>
      </w:r>
      <w:r>
        <w:rPr>
          <w:rFonts w:ascii="Gotham" w:hAnsi="Gotham"/>
          <w:sz w:val="20"/>
          <w:szCs w:val="20"/>
        </w:rPr>
        <w:t>,</w:t>
      </w:r>
      <w:r w:rsidRPr="00275DDF">
        <w:rPr>
          <w:rFonts w:ascii="Gotham" w:hAnsi="Gotham"/>
          <w:sz w:val="20"/>
          <w:szCs w:val="20"/>
        </w:rPr>
        <w:t xml:space="preserve"> </w:t>
      </w:r>
      <w:r>
        <w:rPr>
          <w:rFonts w:ascii="Gotham" w:hAnsi="Gotham"/>
          <w:sz w:val="20"/>
          <w:szCs w:val="20"/>
        </w:rPr>
        <w:t>en el punto</w:t>
      </w:r>
      <w:r w:rsidRPr="00275DDF">
        <w:rPr>
          <w:rFonts w:ascii="Gotham" w:hAnsi="Gotham"/>
          <w:sz w:val="20"/>
          <w:szCs w:val="20"/>
        </w:rPr>
        <w:t xml:space="preserve"> 6</w:t>
      </w:r>
      <w:r>
        <w:rPr>
          <w:rFonts w:ascii="Gotham" w:hAnsi="Gotham"/>
          <w:sz w:val="20"/>
          <w:szCs w:val="20"/>
        </w:rPr>
        <w:t>,</w:t>
      </w:r>
      <w:r w:rsidRPr="00275DDF">
        <w:rPr>
          <w:rFonts w:ascii="Gotham" w:hAnsi="Gotham"/>
          <w:sz w:val="20"/>
          <w:szCs w:val="20"/>
        </w:rPr>
        <w:t xml:space="preserve"> el dictamen que atiende el turno 290 presentado</w:t>
      </w:r>
      <w:r>
        <w:rPr>
          <w:rFonts w:ascii="Gotham" w:hAnsi="Gotham"/>
          <w:sz w:val="20"/>
          <w:szCs w:val="20"/>
        </w:rPr>
        <w:t xml:space="preserve"> al Pleno </w:t>
      </w:r>
      <w:r w:rsidRPr="00275DDF">
        <w:rPr>
          <w:rFonts w:ascii="Gotham" w:hAnsi="Gotham"/>
          <w:sz w:val="20"/>
          <w:szCs w:val="20"/>
        </w:rPr>
        <w:t xml:space="preserve">de este </w:t>
      </w:r>
      <w:r>
        <w:rPr>
          <w:rFonts w:ascii="Gotham" w:hAnsi="Gotham"/>
          <w:sz w:val="20"/>
          <w:szCs w:val="20"/>
        </w:rPr>
        <w:t>A</w:t>
      </w:r>
      <w:r w:rsidRPr="00275DDF">
        <w:rPr>
          <w:rFonts w:ascii="Gotham" w:hAnsi="Gotham"/>
          <w:sz w:val="20"/>
          <w:szCs w:val="20"/>
        </w:rPr>
        <w:t>yuntamiento el día 28 de julio del año 2022</w:t>
      </w:r>
      <w:r>
        <w:rPr>
          <w:rFonts w:ascii="Gotham" w:hAnsi="Gotham"/>
          <w:sz w:val="20"/>
          <w:szCs w:val="20"/>
        </w:rPr>
        <w:t>,</w:t>
      </w:r>
      <w:r w:rsidRPr="00275DDF">
        <w:rPr>
          <w:rFonts w:ascii="Gotham" w:hAnsi="Gotham"/>
          <w:sz w:val="20"/>
          <w:szCs w:val="20"/>
        </w:rPr>
        <w:t xml:space="preserve"> por la </w:t>
      </w:r>
      <w:r>
        <w:rPr>
          <w:rFonts w:ascii="Gotham" w:hAnsi="Gotham"/>
          <w:sz w:val="20"/>
          <w:szCs w:val="20"/>
        </w:rPr>
        <w:t>R</w:t>
      </w:r>
      <w:r w:rsidRPr="00275DDF">
        <w:rPr>
          <w:rFonts w:ascii="Gotham" w:hAnsi="Gotham"/>
          <w:sz w:val="20"/>
          <w:szCs w:val="20"/>
        </w:rPr>
        <w:t>egidora Verónica Isela Murillo</w:t>
      </w:r>
      <w:r>
        <w:rPr>
          <w:rFonts w:ascii="Gotham" w:hAnsi="Gotham"/>
          <w:sz w:val="20"/>
          <w:szCs w:val="20"/>
        </w:rPr>
        <w:t>,</w:t>
      </w:r>
      <w:r w:rsidRPr="00275DDF">
        <w:rPr>
          <w:rFonts w:ascii="Gotham" w:hAnsi="Gotham"/>
          <w:sz w:val="20"/>
          <w:szCs w:val="20"/>
        </w:rPr>
        <w:t xml:space="preserve"> y en mi calidad de </w:t>
      </w:r>
      <w:r>
        <w:rPr>
          <w:rFonts w:ascii="Gotham" w:hAnsi="Gotham"/>
          <w:sz w:val="20"/>
          <w:szCs w:val="20"/>
        </w:rPr>
        <w:t>S</w:t>
      </w:r>
      <w:r w:rsidRPr="00275DDF">
        <w:rPr>
          <w:rFonts w:ascii="Gotham" w:hAnsi="Gotham"/>
          <w:sz w:val="20"/>
          <w:szCs w:val="20"/>
        </w:rPr>
        <w:t>índico presentar este tema para su aprobación</w:t>
      </w:r>
      <w:r>
        <w:rPr>
          <w:rFonts w:ascii="Gotham" w:hAnsi="Gotham"/>
          <w:sz w:val="20"/>
          <w:szCs w:val="20"/>
        </w:rPr>
        <w:t>;</w:t>
      </w:r>
      <w:r w:rsidRPr="00275DDF">
        <w:rPr>
          <w:rFonts w:ascii="Gotham" w:hAnsi="Gotham"/>
          <w:sz w:val="20"/>
          <w:szCs w:val="20"/>
        </w:rPr>
        <w:t xml:space="preserve"> </w:t>
      </w:r>
      <w:r>
        <w:rPr>
          <w:rFonts w:ascii="Gotham" w:hAnsi="Gotham"/>
          <w:sz w:val="20"/>
          <w:szCs w:val="20"/>
        </w:rPr>
        <w:t xml:space="preserve">es </w:t>
      </w:r>
      <w:r w:rsidRPr="00275DDF">
        <w:rPr>
          <w:rFonts w:ascii="Gotham" w:hAnsi="Gotham"/>
          <w:sz w:val="20"/>
          <w:szCs w:val="20"/>
        </w:rPr>
        <w:t>cu</w:t>
      </w:r>
      <w:r>
        <w:rPr>
          <w:rFonts w:ascii="Gotham" w:hAnsi="Gotham"/>
          <w:sz w:val="20"/>
          <w:szCs w:val="20"/>
        </w:rPr>
        <w:t>a</w:t>
      </w:r>
      <w:r w:rsidRPr="00275DDF">
        <w:rPr>
          <w:rFonts w:ascii="Gotham" w:hAnsi="Gotham"/>
          <w:sz w:val="20"/>
          <w:szCs w:val="20"/>
        </w:rPr>
        <w:t>nto</w:t>
      </w:r>
      <w:r>
        <w:rPr>
          <w:rFonts w:ascii="Gotham" w:hAnsi="Gotham"/>
          <w:sz w:val="20"/>
          <w:szCs w:val="20"/>
        </w:rPr>
        <w:t xml:space="preserve"> Presidente.</w:t>
      </w:r>
    </w:p>
    <w:p w14:paraId="3A47313C" w14:textId="77777777" w:rsidR="00E9195F" w:rsidRDefault="00E9195F" w:rsidP="002B6227">
      <w:pPr>
        <w:shd w:val="clear" w:color="auto" w:fill="FFFFFF"/>
        <w:jc w:val="both"/>
        <w:rPr>
          <w:rFonts w:ascii="Gotham" w:hAnsi="Gotham"/>
          <w:sz w:val="20"/>
          <w:szCs w:val="20"/>
        </w:rPr>
      </w:pPr>
    </w:p>
    <w:p w14:paraId="3A47313D" w14:textId="77777777" w:rsidR="00E9195F" w:rsidRPr="002B15F1" w:rsidRDefault="00E9195F" w:rsidP="002B6227">
      <w:pPr>
        <w:pStyle w:val="Piedepgina"/>
        <w:tabs>
          <w:tab w:val="left" w:pos="708"/>
        </w:tabs>
        <w:jc w:val="both"/>
        <w:rPr>
          <w:rFonts w:ascii="Gotham" w:hAnsi="Gotham"/>
          <w:sz w:val="20"/>
          <w:szCs w:val="20"/>
        </w:rPr>
      </w:pPr>
      <w:r>
        <w:rPr>
          <w:rFonts w:ascii="Gotham" w:hAnsi="Gotham"/>
          <w:sz w:val="20"/>
          <w:szCs w:val="20"/>
        </w:rPr>
        <w:t>En uso de la voz el Presidente Municipal, Sergio Armando Chávez Dávalos, expresa que,</w:t>
      </w:r>
      <w:r w:rsidRPr="00275DDF">
        <w:rPr>
          <w:rFonts w:ascii="Gotham" w:hAnsi="Gotham"/>
          <w:sz w:val="20"/>
          <w:szCs w:val="20"/>
        </w:rPr>
        <w:t xml:space="preserve"> bien</w:t>
      </w:r>
      <w:r>
        <w:rPr>
          <w:rFonts w:ascii="Gotham" w:hAnsi="Gotham"/>
          <w:sz w:val="20"/>
          <w:szCs w:val="20"/>
        </w:rPr>
        <w:t>,</w:t>
      </w:r>
      <w:r w:rsidRPr="00275DDF">
        <w:rPr>
          <w:rFonts w:ascii="Gotham" w:hAnsi="Gotham"/>
          <w:sz w:val="20"/>
          <w:szCs w:val="20"/>
        </w:rPr>
        <w:t xml:space="preserve"> </w:t>
      </w:r>
      <w:r>
        <w:rPr>
          <w:rFonts w:ascii="Gotham" w:hAnsi="Gotham"/>
          <w:sz w:val="20"/>
          <w:szCs w:val="20"/>
        </w:rPr>
        <w:t>g</w:t>
      </w:r>
      <w:r w:rsidRPr="00275DDF">
        <w:rPr>
          <w:rFonts w:ascii="Gotham" w:hAnsi="Gotham"/>
          <w:sz w:val="20"/>
          <w:szCs w:val="20"/>
        </w:rPr>
        <w:t>racias se somete a votación</w:t>
      </w:r>
      <w:r>
        <w:rPr>
          <w:rFonts w:ascii="Gotham" w:hAnsi="Gotham"/>
          <w:sz w:val="20"/>
          <w:szCs w:val="20"/>
        </w:rPr>
        <w:t xml:space="preserve"> el orden del día, con el agregado que hace el Síndico;</w:t>
      </w:r>
      <w:r w:rsidRPr="00275DDF">
        <w:rPr>
          <w:rFonts w:ascii="Gotham" w:hAnsi="Gotham"/>
          <w:sz w:val="20"/>
          <w:szCs w:val="20"/>
        </w:rPr>
        <w:t xml:space="preserve"> </w:t>
      </w:r>
      <w:r>
        <w:rPr>
          <w:rFonts w:ascii="Gotham" w:hAnsi="Gotham"/>
          <w:sz w:val="20"/>
          <w:szCs w:val="20"/>
        </w:rPr>
        <w:t xml:space="preserve">quienes </w:t>
      </w:r>
      <w:r w:rsidRPr="00275DDF">
        <w:rPr>
          <w:rFonts w:ascii="Gotham" w:hAnsi="Gotham"/>
          <w:sz w:val="20"/>
          <w:szCs w:val="20"/>
        </w:rPr>
        <w:t>estén</w:t>
      </w:r>
      <w:r>
        <w:rPr>
          <w:rFonts w:ascii="Gotham" w:hAnsi="Gotham"/>
          <w:sz w:val="20"/>
          <w:szCs w:val="20"/>
        </w:rPr>
        <w:t xml:space="preserve"> por la afirmativa,</w:t>
      </w:r>
      <w:r w:rsidRPr="00275DDF">
        <w:rPr>
          <w:rFonts w:ascii="Gotham" w:hAnsi="Gotham"/>
          <w:sz w:val="20"/>
          <w:szCs w:val="20"/>
        </w:rPr>
        <w:t xml:space="preserve"> favor de </w:t>
      </w:r>
      <w:r>
        <w:rPr>
          <w:rFonts w:ascii="Gotham" w:hAnsi="Gotham"/>
          <w:sz w:val="20"/>
          <w:szCs w:val="20"/>
        </w:rPr>
        <w:t>manifestarlo levantando su mano</w:t>
      </w:r>
      <w:r w:rsidRPr="002B15F1">
        <w:rPr>
          <w:rFonts w:ascii="Gotham" w:hAnsi="Gotham"/>
          <w:sz w:val="20"/>
          <w:szCs w:val="20"/>
        </w:rPr>
        <w:t>; instruyendo a la Secretaria General para que contabilice los votos y nos informe del resultado.</w:t>
      </w:r>
    </w:p>
    <w:p w14:paraId="3A47313E" w14:textId="77777777" w:rsidR="00E9195F" w:rsidRPr="002B15F1" w:rsidRDefault="00E9195F" w:rsidP="002B6227">
      <w:pPr>
        <w:pStyle w:val="Piedepgina"/>
        <w:tabs>
          <w:tab w:val="left" w:pos="708"/>
        </w:tabs>
        <w:jc w:val="both"/>
        <w:rPr>
          <w:rFonts w:ascii="Gotham" w:hAnsi="Gotham"/>
          <w:sz w:val="20"/>
          <w:szCs w:val="20"/>
        </w:rPr>
      </w:pPr>
    </w:p>
    <w:p w14:paraId="3A47313F" w14:textId="77777777" w:rsidR="00E9195F" w:rsidRPr="00FF6667" w:rsidRDefault="00E9195F" w:rsidP="002B6227">
      <w:pPr>
        <w:shd w:val="clear" w:color="auto" w:fill="FFFFFF"/>
        <w:jc w:val="both"/>
        <w:rPr>
          <w:rFonts w:ascii="Gotham" w:hAnsi="Gotham"/>
          <w:sz w:val="20"/>
          <w:szCs w:val="20"/>
        </w:rPr>
      </w:pPr>
      <w:r w:rsidRPr="002B15F1">
        <w:rPr>
          <w:rFonts w:ascii="Gotham" w:hAnsi="Gotham"/>
          <w:sz w:val="20"/>
          <w:szCs w:val="20"/>
        </w:rPr>
        <w:t>En uso de la voz informativa, la Secretaria General, Celia Isabel Gauna Ruíz de León, menciona que, como lo indica Presidente, le informo que ha sido</w:t>
      </w:r>
      <w:r>
        <w:rPr>
          <w:rFonts w:ascii="Gotham" w:hAnsi="Gotham"/>
          <w:sz w:val="20"/>
          <w:szCs w:val="20"/>
        </w:rPr>
        <w:t xml:space="preserve"> </w:t>
      </w:r>
      <w:r w:rsidRPr="00FF6667">
        <w:rPr>
          <w:rFonts w:ascii="Gotham" w:hAnsi="Gotham"/>
          <w:sz w:val="20"/>
          <w:szCs w:val="20"/>
        </w:rPr>
        <w:t>aprob</w:t>
      </w:r>
      <w:r>
        <w:rPr>
          <w:rFonts w:ascii="Gotham" w:hAnsi="Gotham"/>
          <w:sz w:val="20"/>
          <w:szCs w:val="20"/>
        </w:rPr>
        <w:t>a</w:t>
      </w:r>
      <w:r w:rsidRPr="00FF6667">
        <w:rPr>
          <w:rFonts w:ascii="Gotham" w:hAnsi="Gotham"/>
          <w:sz w:val="20"/>
          <w:szCs w:val="20"/>
        </w:rPr>
        <w:t>d</w:t>
      </w:r>
      <w:r>
        <w:rPr>
          <w:rFonts w:ascii="Gotham" w:hAnsi="Gotham"/>
          <w:sz w:val="20"/>
          <w:szCs w:val="20"/>
        </w:rPr>
        <w:t>o</w:t>
      </w:r>
      <w:r w:rsidRPr="00FF6667">
        <w:rPr>
          <w:rFonts w:ascii="Gotham" w:hAnsi="Gotham"/>
          <w:sz w:val="20"/>
          <w:szCs w:val="20"/>
        </w:rPr>
        <w:t xml:space="preserve"> con </w:t>
      </w:r>
      <w:r w:rsidRPr="002B15F1">
        <w:rPr>
          <w:rFonts w:ascii="Gotham" w:hAnsi="Gotham"/>
          <w:sz w:val="20"/>
          <w:szCs w:val="20"/>
        </w:rPr>
        <w:t>1</w:t>
      </w:r>
      <w:r>
        <w:rPr>
          <w:rFonts w:ascii="Gotham" w:hAnsi="Gotham"/>
          <w:sz w:val="20"/>
          <w:szCs w:val="20"/>
        </w:rPr>
        <w:t>6</w:t>
      </w:r>
      <w:r w:rsidRPr="002B15F1">
        <w:rPr>
          <w:rFonts w:ascii="Gotham" w:hAnsi="Gotham"/>
          <w:sz w:val="20"/>
          <w:szCs w:val="20"/>
        </w:rPr>
        <w:t xml:space="preserve"> votos a favor; encontrándose ausente</w:t>
      </w:r>
      <w:r>
        <w:rPr>
          <w:rFonts w:ascii="Gotham" w:hAnsi="Gotham"/>
          <w:sz w:val="20"/>
          <w:szCs w:val="20"/>
        </w:rPr>
        <w:t>s</w:t>
      </w:r>
      <w:r w:rsidRPr="002B15F1">
        <w:rPr>
          <w:rFonts w:ascii="Gotham" w:hAnsi="Gotham"/>
          <w:sz w:val="20"/>
          <w:szCs w:val="20"/>
        </w:rPr>
        <w:t xml:space="preserve"> en el momento de la votación </w:t>
      </w:r>
      <w:r>
        <w:rPr>
          <w:rFonts w:ascii="Gotham" w:hAnsi="Gotham"/>
          <w:sz w:val="20"/>
          <w:szCs w:val="20"/>
        </w:rPr>
        <w:t>la Regidora Laura Liliana Olea Frías y la Regidora Marta Estela Arizmendi Fombona</w:t>
      </w:r>
      <w:r w:rsidRPr="002B15F1">
        <w:rPr>
          <w:rFonts w:ascii="Gotham" w:hAnsi="Gotham"/>
          <w:sz w:val="20"/>
          <w:szCs w:val="20"/>
        </w:rPr>
        <w:t>.</w:t>
      </w:r>
    </w:p>
    <w:p w14:paraId="3A473140" w14:textId="77777777" w:rsidR="00E9195F" w:rsidRDefault="00E9195F" w:rsidP="002B6227">
      <w:pPr>
        <w:ind w:firstLine="708"/>
        <w:jc w:val="both"/>
        <w:rPr>
          <w:rFonts w:ascii="Gotham" w:hAnsi="Gotham"/>
          <w:sz w:val="20"/>
          <w:szCs w:val="20"/>
        </w:rPr>
      </w:pPr>
    </w:p>
    <w:p w14:paraId="3A473141" w14:textId="77777777" w:rsidR="00E9195F" w:rsidRDefault="00E9195F" w:rsidP="002B6227">
      <w:pPr>
        <w:ind w:firstLine="708"/>
        <w:jc w:val="both"/>
        <w:rPr>
          <w:rFonts w:ascii="Gotham" w:hAnsi="Gotham"/>
          <w:sz w:val="20"/>
          <w:szCs w:val="20"/>
        </w:rPr>
      </w:pPr>
    </w:p>
    <w:p w14:paraId="3A473142" w14:textId="77777777" w:rsidR="00E9195F" w:rsidRDefault="00E9195F" w:rsidP="002B6227">
      <w:pPr>
        <w:ind w:firstLine="708"/>
        <w:jc w:val="both"/>
        <w:rPr>
          <w:rFonts w:ascii="Gotham" w:hAnsi="Gotham" w:cs="Arial"/>
          <w:sz w:val="20"/>
          <w:szCs w:val="20"/>
        </w:rPr>
      </w:pPr>
      <w:r>
        <w:rPr>
          <w:rFonts w:ascii="Gotham" w:hAnsi="Gotham"/>
          <w:sz w:val="20"/>
          <w:szCs w:val="20"/>
        </w:rPr>
        <w:t xml:space="preserve">En uso de la voz el Presidente </w:t>
      </w:r>
      <w:r w:rsidRPr="00E156D8">
        <w:rPr>
          <w:rFonts w:ascii="Gotham" w:hAnsi="Gotham"/>
          <w:sz w:val="20"/>
          <w:szCs w:val="20"/>
        </w:rPr>
        <w:t xml:space="preserve">Municipal, Sergio Armando Chávez Dávalos, señala que, pasando al tercer punto del orden del día, respecto a la lectura y aprobación, en su caso, del acta de </w:t>
      </w:r>
      <w:r w:rsidRPr="000351CB">
        <w:rPr>
          <w:rFonts w:ascii="Gotham" w:hAnsi="Gotham" w:cs="Arial"/>
          <w:sz w:val="20"/>
          <w:szCs w:val="20"/>
        </w:rPr>
        <w:t>la</w:t>
      </w:r>
      <w:r>
        <w:rPr>
          <w:rFonts w:ascii="Gotham" w:hAnsi="Gotham" w:cs="Arial"/>
          <w:sz w:val="20"/>
          <w:szCs w:val="20"/>
        </w:rPr>
        <w:t xml:space="preserve"> Sesió</w:t>
      </w:r>
      <w:r w:rsidRPr="000351CB">
        <w:rPr>
          <w:rFonts w:ascii="Gotham" w:hAnsi="Gotham" w:cs="Arial"/>
          <w:sz w:val="20"/>
          <w:szCs w:val="20"/>
        </w:rPr>
        <w:t xml:space="preserve">n Ordinaria de Ayuntamiento </w:t>
      </w:r>
      <w:r>
        <w:rPr>
          <w:rFonts w:ascii="Gotham" w:hAnsi="Gotham" w:cs="Arial"/>
          <w:sz w:val="20"/>
          <w:szCs w:val="20"/>
        </w:rPr>
        <w:t xml:space="preserve">celebrada con </w:t>
      </w:r>
      <w:r w:rsidRPr="000351CB">
        <w:rPr>
          <w:rFonts w:ascii="Gotham" w:hAnsi="Gotham" w:cs="Arial"/>
          <w:sz w:val="20"/>
          <w:szCs w:val="20"/>
        </w:rPr>
        <w:t xml:space="preserve">fecha </w:t>
      </w:r>
      <w:r>
        <w:rPr>
          <w:rFonts w:ascii="Gotham" w:hAnsi="Gotham" w:cs="Arial"/>
          <w:sz w:val="20"/>
          <w:szCs w:val="20"/>
        </w:rPr>
        <w:t>13</w:t>
      </w:r>
      <w:r w:rsidRPr="000351CB">
        <w:rPr>
          <w:rFonts w:ascii="Gotham" w:hAnsi="Gotham" w:cs="Arial"/>
          <w:sz w:val="20"/>
          <w:szCs w:val="20"/>
        </w:rPr>
        <w:t xml:space="preserve"> </w:t>
      </w:r>
      <w:r>
        <w:rPr>
          <w:rFonts w:ascii="Gotham" w:hAnsi="Gotham" w:cs="Arial"/>
          <w:sz w:val="20"/>
          <w:szCs w:val="20"/>
        </w:rPr>
        <w:t xml:space="preserve">de junio de 2024; </w:t>
      </w:r>
      <w:r w:rsidRPr="00E156D8">
        <w:rPr>
          <w:rFonts w:ascii="Gotham" w:hAnsi="Gotham"/>
          <w:sz w:val="20"/>
          <w:szCs w:val="20"/>
        </w:rPr>
        <w:t>toda vez que le</w:t>
      </w:r>
      <w:r>
        <w:rPr>
          <w:rFonts w:ascii="Gotham" w:hAnsi="Gotham"/>
          <w:sz w:val="20"/>
          <w:szCs w:val="20"/>
        </w:rPr>
        <w:t>s</w:t>
      </w:r>
      <w:r w:rsidRPr="00E156D8">
        <w:rPr>
          <w:rFonts w:ascii="Gotham" w:hAnsi="Gotham"/>
          <w:sz w:val="20"/>
          <w:szCs w:val="20"/>
        </w:rPr>
        <w:t xml:space="preserve"> fue</w:t>
      </w:r>
      <w:r>
        <w:rPr>
          <w:rFonts w:ascii="Gotham" w:hAnsi="Gotham"/>
          <w:sz w:val="20"/>
          <w:szCs w:val="20"/>
        </w:rPr>
        <w:t xml:space="preserve"> </w:t>
      </w:r>
      <w:r w:rsidRPr="00E156D8">
        <w:rPr>
          <w:rFonts w:ascii="Gotham" w:hAnsi="Gotham"/>
          <w:sz w:val="20"/>
          <w:szCs w:val="20"/>
        </w:rPr>
        <w:t>enviada con anticipación, se les consulta si se omite su lectura, quienes estén por la afirmativa, sírvase manifestarlo levantando su mano</w:t>
      </w:r>
      <w:r>
        <w:rPr>
          <w:rFonts w:ascii="Gotham" w:hAnsi="Gotham" w:cs="Arial"/>
          <w:sz w:val="20"/>
          <w:szCs w:val="20"/>
        </w:rPr>
        <w:t>; solicitando a la Secretaria General</w:t>
      </w:r>
      <w:r w:rsidRPr="001A65E1">
        <w:rPr>
          <w:rFonts w:ascii="Gotham" w:hAnsi="Gotham"/>
          <w:sz w:val="20"/>
          <w:szCs w:val="20"/>
        </w:rPr>
        <w:t xml:space="preserve"> </w:t>
      </w:r>
      <w:r>
        <w:rPr>
          <w:rFonts w:ascii="Gotham" w:hAnsi="Gotham"/>
          <w:sz w:val="20"/>
          <w:szCs w:val="20"/>
        </w:rPr>
        <w:t>contabilice los votos y nos informe del resultado.</w:t>
      </w:r>
    </w:p>
    <w:p w14:paraId="3A473143" w14:textId="77777777" w:rsidR="00E9195F" w:rsidRPr="005A35E5" w:rsidRDefault="00E9195F" w:rsidP="002B6227">
      <w:pPr>
        <w:ind w:left="567" w:hanging="567"/>
        <w:jc w:val="both"/>
        <w:rPr>
          <w:rFonts w:ascii="Gotham" w:hAnsi="Gotham"/>
          <w:sz w:val="20"/>
          <w:szCs w:val="20"/>
        </w:rPr>
      </w:pPr>
    </w:p>
    <w:p w14:paraId="3A473144" w14:textId="77777777" w:rsidR="00E9195F" w:rsidRDefault="00E9195F" w:rsidP="002B6227">
      <w:pPr>
        <w:jc w:val="both"/>
        <w:rPr>
          <w:rFonts w:ascii="Gotham" w:hAnsi="Gotham"/>
          <w:sz w:val="20"/>
          <w:szCs w:val="20"/>
        </w:rPr>
      </w:pPr>
      <w:r w:rsidRPr="00FF6667">
        <w:rPr>
          <w:rFonts w:ascii="Gotham" w:hAnsi="Gotham"/>
          <w:sz w:val="20"/>
          <w:szCs w:val="20"/>
        </w:rPr>
        <w:t xml:space="preserve">En uso de la voz informativa, la Secretaria General, Celia Isabel Gauna Ruíz de León, menciona que, como lo indica Presidente, le informo que ha sido aprobado con </w:t>
      </w:r>
      <w:r>
        <w:rPr>
          <w:rFonts w:ascii="Gotham" w:hAnsi="Gotham"/>
          <w:sz w:val="20"/>
          <w:szCs w:val="20"/>
        </w:rPr>
        <w:t>17</w:t>
      </w:r>
      <w:r w:rsidRPr="002B15F1">
        <w:rPr>
          <w:rFonts w:ascii="Gotham" w:hAnsi="Gotham"/>
          <w:sz w:val="20"/>
          <w:szCs w:val="20"/>
        </w:rPr>
        <w:t xml:space="preserve"> votos a favor; encontrándose ausente en el momento de la votación </w:t>
      </w:r>
      <w:r>
        <w:rPr>
          <w:rFonts w:ascii="Gotham" w:hAnsi="Gotham"/>
          <w:sz w:val="20"/>
          <w:szCs w:val="20"/>
        </w:rPr>
        <w:t>la Regidora Laura Liliana Olea Frías</w:t>
      </w:r>
      <w:r w:rsidRPr="002B15F1">
        <w:rPr>
          <w:rFonts w:ascii="Gotham" w:hAnsi="Gotham"/>
          <w:sz w:val="20"/>
          <w:szCs w:val="20"/>
        </w:rPr>
        <w:t>.</w:t>
      </w:r>
    </w:p>
    <w:p w14:paraId="3A473145" w14:textId="77777777" w:rsidR="00E9195F" w:rsidRDefault="00E9195F" w:rsidP="002B6227">
      <w:pPr>
        <w:jc w:val="both"/>
        <w:rPr>
          <w:rFonts w:ascii="Gotham" w:hAnsi="Gotham"/>
          <w:sz w:val="20"/>
          <w:szCs w:val="20"/>
        </w:rPr>
      </w:pPr>
    </w:p>
    <w:p w14:paraId="3A473146" w14:textId="77777777" w:rsidR="00E9195F" w:rsidRDefault="00E9195F" w:rsidP="002B6227">
      <w:pPr>
        <w:jc w:val="both"/>
        <w:rPr>
          <w:rFonts w:ascii="Gotham" w:hAnsi="Gotham"/>
          <w:sz w:val="20"/>
          <w:szCs w:val="20"/>
        </w:rPr>
      </w:pPr>
      <w:r>
        <w:rPr>
          <w:rFonts w:ascii="Gotham" w:hAnsi="Gotham"/>
          <w:sz w:val="20"/>
          <w:szCs w:val="20"/>
        </w:rPr>
        <w:t xml:space="preserve">En uso de la voz el Presidente Municipal, Sergio Armando Chávez Dávalos, señala que, gracias Secretaria General; ahora bien, para votar el contenido del acta mencionada, en lo general y en lo particular, se les pregunta a los integrantes de este pleno si se aprueba, quienes estén a favor, sírvanse </w:t>
      </w:r>
      <w:r>
        <w:rPr>
          <w:rFonts w:ascii="Gotham" w:hAnsi="Gotham"/>
          <w:sz w:val="20"/>
          <w:szCs w:val="20"/>
        </w:rPr>
        <w:lastRenderedPageBreak/>
        <w:t xml:space="preserve">manifestarlo levantando su mano; instruyendo a la Secretaria General para que contabilice los votos y nos informe del resultado. </w:t>
      </w:r>
    </w:p>
    <w:p w14:paraId="3A473147" w14:textId="77777777" w:rsidR="00E9195F" w:rsidRDefault="00E9195F" w:rsidP="002B6227">
      <w:pPr>
        <w:jc w:val="both"/>
        <w:rPr>
          <w:rFonts w:ascii="Gotham" w:hAnsi="Gotham"/>
          <w:sz w:val="20"/>
          <w:szCs w:val="20"/>
        </w:rPr>
      </w:pPr>
    </w:p>
    <w:p w14:paraId="3A473148" w14:textId="77777777" w:rsidR="00E9195F" w:rsidRDefault="00E9195F" w:rsidP="002B6227">
      <w:pPr>
        <w:jc w:val="both"/>
        <w:rPr>
          <w:rFonts w:ascii="Gotham" w:hAnsi="Gotham"/>
          <w:sz w:val="20"/>
          <w:szCs w:val="20"/>
        </w:rPr>
      </w:pPr>
      <w:r w:rsidRPr="00FF6667">
        <w:rPr>
          <w:rFonts w:ascii="Gotham" w:hAnsi="Gotham"/>
          <w:sz w:val="20"/>
          <w:szCs w:val="20"/>
        </w:rPr>
        <w:t xml:space="preserve">En uso de la voz informativa, la Secretaria General, Celia Isabel Gauna Ruíz de León, menciona que, como lo indica Presidente, le informo que ha sido aprobado con </w:t>
      </w:r>
      <w:r>
        <w:rPr>
          <w:rFonts w:ascii="Gotham" w:hAnsi="Gotham"/>
          <w:sz w:val="20"/>
          <w:szCs w:val="20"/>
        </w:rPr>
        <w:t>17</w:t>
      </w:r>
      <w:r w:rsidRPr="002B15F1">
        <w:rPr>
          <w:rFonts w:ascii="Gotham" w:hAnsi="Gotham"/>
          <w:sz w:val="20"/>
          <w:szCs w:val="20"/>
        </w:rPr>
        <w:t xml:space="preserve"> votos a favor; encontrándose ausente en el momento de la votación </w:t>
      </w:r>
      <w:r>
        <w:rPr>
          <w:rFonts w:ascii="Gotham" w:hAnsi="Gotham"/>
          <w:sz w:val="20"/>
          <w:szCs w:val="20"/>
        </w:rPr>
        <w:t>la Regidora Laura Liliana Olea Frías</w:t>
      </w:r>
      <w:r w:rsidRPr="002B15F1">
        <w:rPr>
          <w:rFonts w:ascii="Gotham" w:hAnsi="Gotham"/>
          <w:sz w:val="20"/>
          <w:szCs w:val="20"/>
        </w:rPr>
        <w:t>.</w:t>
      </w:r>
    </w:p>
    <w:p w14:paraId="3A473149" w14:textId="77777777" w:rsidR="00E9195F" w:rsidRPr="00C2173B" w:rsidRDefault="00E9195F" w:rsidP="002B6227">
      <w:pPr>
        <w:jc w:val="both"/>
        <w:rPr>
          <w:rFonts w:ascii="Gotham" w:hAnsi="Gotham"/>
          <w:sz w:val="20"/>
          <w:szCs w:val="20"/>
        </w:rPr>
      </w:pPr>
    </w:p>
    <w:p w14:paraId="3A47314A" w14:textId="77777777" w:rsidR="00E9195F" w:rsidRDefault="00E9195F" w:rsidP="002B6227">
      <w:pPr>
        <w:jc w:val="both"/>
        <w:rPr>
          <w:rFonts w:ascii="Gotham" w:hAnsi="Gotham"/>
          <w:sz w:val="20"/>
          <w:szCs w:val="20"/>
          <w:lang w:val="es-MX"/>
        </w:rPr>
      </w:pPr>
    </w:p>
    <w:p w14:paraId="3A47314B" w14:textId="77777777" w:rsidR="00E9195F" w:rsidRDefault="00E9195F" w:rsidP="002B6227">
      <w:pPr>
        <w:ind w:firstLine="708"/>
        <w:jc w:val="both"/>
        <w:rPr>
          <w:rFonts w:ascii="Gotham" w:hAnsi="Gotham"/>
          <w:sz w:val="20"/>
          <w:szCs w:val="20"/>
        </w:rPr>
      </w:pPr>
      <w:r>
        <w:rPr>
          <w:rFonts w:ascii="Gotham" w:hAnsi="Gotham"/>
          <w:sz w:val="20"/>
          <w:szCs w:val="20"/>
        </w:rPr>
        <w:t>En uso de la voz el Presidente Municipal, Sergio Armando Chávez Dávalos, señala que, para el desahogo del cuarto punto del orden del día, se solicita a la Secretaria General dé cuenta a este Pleno de las comunicaciones recibidas.</w:t>
      </w:r>
    </w:p>
    <w:p w14:paraId="3A47314C" w14:textId="77777777" w:rsidR="00E9195F" w:rsidRDefault="00E9195F" w:rsidP="002B6227">
      <w:pPr>
        <w:jc w:val="both"/>
        <w:rPr>
          <w:rFonts w:ascii="Gotham" w:hAnsi="Gotham"/>
          <w:sz w:val="20"/>
          <w:szCs w:val="20"/>
        </w:rPr>
      </w:pPr>
    </w:p>
    <w:p w14:paraId="3A47314D" w14:textId="77777777" w:rsidR="00E9195F" w:rsidRDefault="00E9195F" w:rsidP="002B6227">
      <w:pPr>
        <w:jc w:val="both"/>
        <w:rPr>
          <w:rFonts w:ascii="Gotham" w:hAnsi="Gotham"/>
          <w:sz w:val="20"/>
          <w:szCs w:val="20"/>
        </w:rPr>
      </w:pPr>
      <w:r>
        <w:rPr>
          <w:rFonts w:ascii="Gotham" w:hAnsi="Gotham"/>
          <w:sz w:val="20"/>
          <w:szCs w:val="20"/>
        </w:rPr>
        <w:t xml:space="preserve">En uso de la voz la Secretaria General, </w:t>
      </w:r>
      <w:r>
        <w:rPr>
          <w:rFonts w:ascii="Gotham" w:hAnsi="Gotham" w:cs="Arial"/>
          <w:sz w:val="20"/>
          <w:szCs w:val="20"/>
        </w:rPr>
        <w:t>Celia Isabel Gauna Ruíz de León</w:t>
      </w:r>
      <w:r>
        <w:rPr>
          <w:rFonts w:ascii="Gotham" w:hAnsi="Gotham"/>
          <w:sz w:val="20"/>
          <w:szCs w:val="20"/>
        </w:rPr>
        <w:t>, manifiesta que, como lo indica Presidente, las comunicaciones recibidas son las que a continuación se enlistan:</w:t>
      </w:r>
    </w:p>
    <w:p w14:paraId="3A47314E" w14:textId="77777777" w:rsidR="00E9195F" w:rsidRDefault="00E9195F" w:rsidP="002B6227">
      <w:pPr>
        <w:jc w:val="both"/>
        <w:rPr>
          <w:rFonts w:ascii="Gotham" w:hAnsi="Gotham"/>
          <w:sz w:val="20"/>
          <w:szCs w:val="20"/>
        </w:rPr>
      </w:pPr>
    </w:p>
    <w:p w14:paraId="3A47314F" w14:textId="77777777" w:rsidR="00E9195F" w:rsidRPr="00120D55" w:rsidRDefault="00E9195F" w:rsidP="002B6227">
      <w:pPr>
        <w:ind w:left="567" w:hanging="567"/>
        <w:jc w:val="both"/>
        <w:rPr>
          <w:rFonts w:ascii="Gotham" w:hAnsi="Gotham" w:cs="Arial"/>
          <w:sz w:val="20"/>
          <w:szCs w:val="20"/>
        </w:rPr>
      </w:pPr>
      <w:r w:rsidRPr="00120D55">
        <w:rPr>
          <w:rFonts w:ascii="Gotham" w:hAnsi="Gotham" w:cs="Arial"/>
          <w:sz w:val="20"/>
          <w:szCs w:val="20"/>
        </w:rPr>
        <w:t>4.1.</w:t>
      </w:r>
      <w:r w:rsidRPr="00120D55">
        <w:rPr>
          <w:rFonts w:ascii="Gotham" w:hAnsi="Gotham" w:cs="Arial"/>
          <w:sz w:val="20"/>
          <w:szCs w:val="20"/>
        </w:rPr>
        <w:tab/>
      </w:r>
      <w:r>
        <w:rPr>
          <w:rFonts w:ascii="Gotham" w:hAnsi="Gotham" w:cs="Arial"/>
          <w:sz w:val="20"/>
          <w:szCs w:val="20"/>
        </w:rPr>
        <w:t xml:space="preserve">Oficio </w:t>
      </w:r>
      <w:r w:rsidRPr="000F20FF">
        <w:rPr>
          <w:rFonts w:ascii="Gotham" w:hAnsi="Gotham" w:cs="Arial"/>
          <w:sz w:val="20"/>
          <w:szCs w:val="20"/>
        </w:rPr>
        <w:t>DGPDUS/DPMT/2183/2024</w:t>
      </w:r>
      <w:r>
        <w:rPr>
          <w:rFonts w:ascii="Gotham" w:hAnsi="Gotham" w:cs="Arial"/>
          <w:sz w:val="20"/>
          <w:szCs w:val="20"/>
        </w:rPr>
        <w:t>,</w:t>
      </w:r>
      <w:r w:rsidRPr="000F20FF">
        <w:rPr>
          <w:rFonts w:ascii="Gotham" w:hAnsi="Gotham" w:cs="Arial"/>
          <w:sz w:val="20"/>
          <w:szCs w:val="20"/>
        </w:rPr>
        <w:t xml:space="preserve"> suscrito por la Arq. Verónica Osorio Gándara, en su carácter de Directora General de Planeación y Desarrollo Urbano Sustentable, mediante el cual da cuenta y solicita notificar a este Pleno del Ayuntamiento, la consulta pública para la actualización de los Planes de Desarrollo Urbano de Centro de Población TON-2 Plan de Guajes, TON-9 El Carril y TON-11 Santa Rita, durante un periodo de 30 días en los términos del artículo 98, fracción III</w:t>
      </w:r>
      <w:r>
        <w:rPr>
          <w:rFonts w:ascii="Gotham" w:hAnsi="Gotham" w:cs="Arial"/>
          <w:sz w:val="20"/>
          <w:szCs w:val="20"/>
        </w:rPr>
        <w:t>,</w:t>
      </w:r>
      <w:r w:rsidRPr="000F20FF">
        <w:rPr>
          <w:rFonts w:ascii="Gotham" w:hAnsi="Gotham" w:cs="Arial"/>
          <w:sz w:val="20"/>
          <w:szCs w:val="20"/>
        </w:rPr>
        <w:t xml:space="preserve"> del Código Urbano para el Estado de Jalisco</w:t>
      </w:r>
      <w:r w:rsidRPr="00120D55">
        <w:rPr>
          <w:rFonts w:ascii="Gotham" w:hAnsi="Gotham" w:cs="Arial"/>
          <w:sz w:val="20"/>
          <w:szCs w:val="20"/>
        </w:rPr>
        <w:t>;</w:t>
      </w:r>
    </w:p>
    <w:p w14:paraId="3A473150" w14:textId="77777777" w:rsidR="00E9195F" w:rsidRPr="00120D55" w:rsidRDefault="00E9195F" w:rsidP="002B6227">
      <w:pPr>
        <w:ind w:left="567" w:hanging="567"/>
        <w:jc w:val="both"/>
        <w:rPr>
          <w:rFonts w:ascii="Gotham" w:hAnsi="Gotham" w:cs="Arial"/>
          <w:sz w:val="20"/>
          <w:szCs w:val="20"/>
        </w:rPr>
      </w:pPr>
    </w:p>
    <w:p w14:paraId="3A473151" w14:textId="77777777" w:rsidR="00E9195F" w:rsidRPr="00120D55" w:rsidRDefault="00E9195F" w:rsidP="002B6227">
      <w:pPr>
        <w:ind w:left="567" w:hanging="567"/>
        <w:jc w:val="both"/>
        <w:rPr>
          <w:rFonts w:ascii="Gotham" w:hAnsi="Gotham" w:cs="Arial"/>
          <w:sz w:val="20"/>
          <w:szCs w:val="20"/>
        </w:rPr>
      </w:pPr>
      <w:r>
        <w:rPr>
          <w:rFonts w:ascii="Gotham" w:hAnsi="Gotham" w:cs="Arial"/>
          <w:sz w:val="20"/>
          <w:szCs w:val="20"/>
        </w:rPr>
        <w:t>4.2</w:t>
      </w:r>
      <w:r w:rsidRPr="00120D55">
        <w:rPr>
          <w:rFonts w:ascii="Gotham" w:hAnsi="Gotham" w:cs="Arial"/>
          <w:sz w:val="20"/>
          <w:szCs w:val="20"/>
        </w:rPr>
        <w:tab/>
        <w:t>Oficio S/N suscrito por el C. Sergio Armando Chávez Dávalos, mediante el cual da cuenta y solicita que, en los términos previstos, se autorice y reconozca su reincorporación al cargo de Presidente Municipal de este Ayuntamiento Constitucional, dando así por concluida la vigencia en la licencia sin goce de sueldo que previamente solicitó;</w:t>
      </w:r>
    </w:p>
    <w:p w14:paraId="3A473152" w14:textId="77777777" w:rsidR="00E9195F" w:rsidRPr="00120D55" w:rsidRDefault="00E9195F" w:rsidP="002B6227">
      <w:pPr>
        <w:ind w:left="567" w:hanging="567"/>
        <w:jc w:val="both"/>
        <w:rPr>
          <w:rFonts w:ascii="Gotham" w:hAnsi="Gotham" w:cs="Arial"/>
          <w:sz w:val="20"/>
          <w:szCs w:val="20"/>
        </w:rPr>
      </w:pPr>
    </w:p>
    <w:p w14:paraId="3A473153" w14:textId="77777777" w:rsidR="00E9195F" w:rsidRPr="00120D55" w:rsidRDefault="00E9195F" w:rsidP="002B6227">
      <w:pPr>
        <w:ind w:left="567" w:hanging="567"/>
        <w:jc w:val="both"/>
        <w:rPr>
          <w:rFonts w:ascii="Gotham" w:hAnsi="Gotham" w:cs="Arial"/>
          <w:sz w:val="20"/>
          <w:szCs w:val="20"/>
        </w:rPr>
      </w:pPr>
      <w:r>
        <w:rPr>
          <w:rFonts w:ascii="Gotham" w:hAnsi="Gotham" w:cs="Arial"/>
          <w:sz w:val="20"/>
          <w:szCs w:val="20"/>
        </w:rPr>
        <w:t>4.3</w:t>
      </w:r>
      <w:r>
        <w:rPr>
          <w:rFonts w:ascii="Gotham" w:hAnsi="Gotham" w:cs="Arial"/>
          <w:sz w:val="20"/>
          <w:szCs w:val="20"/>
        </w:rPr>
        <w:tab/>
      </w:r>
      <w:r w:rsidRPr="00120D55">
        <w:rPr>
          <w:rFonts w:ascii="Gotham" w:hAnsi="Gotham" w:cs="Arial"/>
          <w:sz w:val="20"/>
          <w:szCs w:val="20"/>
        </w:rPr>
        <w:t>Oficio S/N suscrito por el Abogado Nicolás Maestro Landeros, en su carácter de Síndico electo para el periodo 2021 – 2024; mediante el cual da cuenta y solicita que se lleve a cabo la reincorporación, enterando al Pleno, a su cargo de elección popular, dando así por concluida la vigencia en la licencia sin goce de sueldo que previamente solicitó;</w:t>
      </w:r>
    </w:p>
    <w:p w14:paraId="3A473154" w14:textId="77777777" w:rsidR="00E9195F" w:rsidRPr="00120D55" w:rsidRDefault="00E9195F" w:rsidP="002B6227">
      <w:pPr>
        <w:ind w:left="567" w:hanging="567"/>
        <w:jc w:val="both"/>
        <w:rPr>
          <w:rFonts w:ascii="Gotham" w:hAnsi="Gotham" w:cs="Arial"/>
          <w:sz w:val="20"/>
          <w:szCs w:val="20"/>
        </w:rPr>
      </w:pPr>
    </w:p>
    <w:p w14:paraId="3A473155" w14:textId="77777777" w:rsidR="00E9195F" w:rsidRPr="00120D55" w:rsidRDefault="00E9195F" w:rsidP="002B6227">
      <w:pPr>
        <w:ind w:left="567" w:hanging="567"/>
        <w:jc w:val="both"/>
        <w:rPr>
          <w:rFonts w:ascii="Gotham" w:hAnsi="Gotham" w:cs="Arial"/>
          <w:sz w:val="20"/>
          <w:szCs w:val="20"/>
        </w:rPr>
      </w:pPr>
      <w:r>
        <w:rPr>
          <w:rFonts w:ascii="Gotham" w:hAnsi="Gotham" w:cs="Arial"/>
          <w:sz w:val="20"/>
          <w:szCs w:val="20"/>
        </w:rPr>
        <w:t>4.4</w:t>
      </w:r>
      <w:r w:rsidRPr="00120D55">
        <w:rPr>
          <w:rFonts w:ascii="Gotham" w:hAnsi="Gotham" w:cs="Arial"/>
          <w:sz w:val="20"/>
          <w:szCs w:val="20"/>
        </w:rPr>
        <w:tab/>
        <w:t>Oficio S/N suscrito por la Mtra. Marta Estela Arizmendi Fombona, mediante el cual informa la conclusión de la licencia sin goce de sueldo que previamente solicitó, reanudando así sus actividades como Regidora de este Ayuntamiento;</w:t>
      </w:r>
    </w:p>
    <w:p w14:paraId="3A473156" w14:textId="77777777" w:rsidR="00E9195F" w:rsidRPr="00120D55" w:rsidRDefault="00E9195F" w:rsidP="002B6227">
      <w:pPr>
        <w:ind w:left="567" w:hanging="567"/>
        <w:jc w:val="both"/>
        <w:rPr>
          <w:rFonts w:ascii="Gotham" w:hAnsi="Gotham" w:cs="Arial"/>
          <w:sz w:val="20"/>
          <w:szCs w:val="20"/>
        </w:rPr>
      </w:pPr>
    </w:p>
    <w:p w14:paraId="3A473157" w14:textId="77777777" w:rsidR="00E9195F" w:rsidRPr="00120D55" w:rsidRDefault="00E9195F" w:rsidP="002B6227">
      <w:pPr>
        <w:ind w:left="567" w:hanging="567"/>
        <w:jc w:val="both"/>
        <w:rPr>
          <w:rFonts w:ascii="Gotham" w:hAnsi="Gotham" w:cs="Arial"/>
          <w:sz w:val="20"/>
          <w:szCs w:val="20"/>
        </w:rPr>
      </w:pPr>
      <w:r>
        <w:rPr>
          <w:rFonts w:ascii="Gotham" w:hAnsi="Gotham" w:cs="Arial"/>
          <w:sz w:val="20"/>
          <w:szCs w:val="20"/>
        </w:rPr>
        <w:t>4.5</w:t>
      </w:r>
      <w:r w:rsidRPr="00120D55">
        <w:rPr>
          <w:rFonts w:ascii="Gotham" w:hAnsi="Gotham" w:cs="Arial"/>
          <w:sz w:val="20"/>
          <w:szCs w:val="20"/>
        </w:rPr>
        <w:tab/>
        <w:t>Oficio S/N suscrito por el Abogado Edgar Oswaldo Bañales Orozco, mediante el cual notifica lo concerniente a la reincorporación a su cargo de Regidor de este Ayuntamiento Constitucional, concluyendo así la licencia sin goce de sueldo solicitada en los términos previstos;</w:t>
      </w:r>
    </w:p>
    <w:p w14:paraId="3A473158" w14:textId="77777777" w:rsidR="00E9195F" w:rsidRPr="00120D55" w:rsidRDefault="00E9195F" w:rsidP="002B6227">
      <w:pPr>
        <w:ind w:left="567" w:hanging="567"/>
        <w:jc w:val="both"/>
        <w:rPr>
          <w:rFonts w:ascii="Gotham" w:hAnsi="Gotham" w:cs="Arial"/>
          <w:sz w:val="20"/>
          <w:szCs w:val="20"/>
        </w:rPr>
      </w:pPr>
    </w:p>
    <w:p w14:paraId="3A473159" w14:textId="77777777" w:rsidR="00E9195F" w:rsidRPr="00120D55" w:rsidRDefault="00E9195F" w:rsidP="002B6227">
      <w:pPr>
        <w:ind w:left="567" w:hanging="567"/>
        <w:jc w:val="both"/>
        <w:rPr>
          <w:rFonts w:ascii="Gotham" w:hAnsi="Gotham" w:cs="Arial"/>
          <w:sz w:val="20"/>
          <w:szCs w:val="20"/>
        </w:rPr>
      </w:pPr>
      <w:r>
        <w:rPr>
          <w:rFonts w:ascii="Gotham" w:hAnsi="Gotham" w:cs="Arial"/>
          <w:sz w:val="20"/>
          <w:szCs w:val="20"/>
        </w:rPr>
        <w:t>4.6</w:t>
      </w:r>
      <w:r w:rsidRPr="00120D55">
        <w:rPr>
          <w:rFonts w:ascii="Gotham" w:hAnsi="Gotham" w:cs="Arial"/>
          <w:sz w:val="20"/>
          <w:szCs w:val="20"/>
        </w:rPr>
        <w:tab/>
        <w:t>Oficio S/N suscrito por el Mtro. Juan Carlos Villarreal Salazar, dirigiéndose a la Secretaria General del Ayuntamiento, con la finalidad de dar cuenta e informar la conclusión de la licencia sin goce de sueldo que previamente solicitó, reanudando así sus actividades como Regidor de este Ayuntamiento;</w:t>
      </w:r>
    </w:p>
    <w:p w14:paraId="3A47315A" w14:textId="77777777" w:rsidR="00E9195F" w:rsidRPr="00120D55" w:rsidRDefault="00E9195F" w:rsidP="002B6227">
      <w:pPr>
        <w:ind w:left="567" w:hanging="567"/>
        <w:jc w:val="both"/>
        <w:rPr>
          <w:rFonts w:ascii="Gotham" w:hAnsi="Gotham" w:cs="Arial"/>
          <w:sz w:val="20"/>
          <w:szCs w:val="20"/>
        </w:rPr>
      </w:pPr>
    </w:p>
    <w:p w14:paraId="3A47315B" w14:textId="77777777" w:rsidR="00E9195F" w:rsidRPr="00120D55" w:rsidRDefault="00E9195F" w:rsidP="002B6227">
      <w:pPr>
        <w:ind w:left="567" w:hanging="567"/>
        <w:jc w:val="both"/>
        <w:rPr>
          <w:rFonts w:ascii="Gotham" w:hAnsi="Gotham" w:cs="Arial"/>
          <w:sz w:val="20"/>
          <w:szCs w:val="20"/>
        </w:rPr>
      </w:pPr>
      <w:r>
        <w:rPr>
          <w:rFonts w:ascii="Gotham" w:hAnsi="Gotham" w:cs="Arial"/>
          <w:sz w:val="20"/>
          <w:szCs w:val="20"/>
        </w:rPr>
        <w:t>4.7</w:t>
      </w:r>
      <w:r w:rsidRPr="00120D55">
        <w:rPr>
          <w:rFonts w:ascii="Gotham" w:hAnsi="Gotham" w:cs="Arial"/>
          <w:sz w:val="20"/>
          <w:szCs w:val="20"/>
        </w:rPr>
        <w:tab/>
        <w:t>Oficio S/N suscrito por la Lic. Celia Guadalupe Serrano Villagómez, mediante el cual notifica lo concerniente a la reincorporación a su cargo de Regidora de este Ayuntamiento Constitucional, concluyendo así la licencia sin goce de sueldo solicitada en los términos previstos;</w:t>
      </w:r>
    </w:p>
    <w:p w14:paraId="3A47315C" w14:textId="77777777" w:rsidR="00E9195F" w:rsidRPr="00120D55" w:rsidRDefault="00E9195F" w:rsidP="002B6227">
      <w:pPr>
        <w:ind w:left="567" w:hanging="567"/>
        <w:jc w:val="both"/>
        <w:rPr>
          <w:rFonts w:ascii="Gotham" w:hAnsi="Gotham" w:cs="Arial"/>
          <w:sz w:val="20"/>
          <w:szCs w:val="20"/>
        </w:rPr>
      </w:pPr>
    </w:p>
    <w:p w14:paraId="3A47315D" w14:textId="77777777" w:rsidR="00E9195F" w:rsidRPr="00120D55" w:rsidRDefault="00E9195F" w:rsidP="002B6227">
      <w:pPr>
        <w:ind w:left="567" w:hanging="567"/>
        <w:jc w:val="both"/>
        <w:rPr>
          <w:rFonts w:ascii="Gotham" w:hAnsi="Gotham" w:cs="Arial"/>
          <w:sz w:val="20"/>
          <w:szCs w:val="20"/>
        </w:rPr>
      </w:pPr>
      <w:r>
        <w:rPr>
          <w:rFonts w:ascii="Gotham" w:hAnsi="Gotham" w:cs="Arial"/>
          <w:sz w:val="20"/>
          <w:szCs w:val="20"/>
        </w:rPr>
        <w:t>4.8</w:t>
      </w:r>
      <w:r w:rsidRPr="00120D55">
        <w:rPr>
          <w:rFonts w:ascii="Gotham" w:hAnsi="Gotham" w:cs="Arial"/>
          <w:sz w:val="20"/>
          <w:szCs w:val="20"/>
        </w:rPr>
        <w:tab/>
        <w:t>Oficio S/N suscrito por la Lic. Guadalupe Villaseñor Fonseca, mediante el cual notifica la reincorporación a su cargo como Regidora de este Ayuntamiento, dando así por concluida la licencia sin goce de sueldo que solicitó con antelación en los términos previstos; y</w:t>
      </w:r>
    </w:p>
    <w:p w14:paraId="3A47315E" w14:textId="77777777" w:rsidR="00E9195F" w:rsidRPr="00120D55" w:rsidRDefault="00E9195F" w:rsidP="002B6227">
      <w:pPr>
        <w:ind w:left="567" w:hanging="567"/>
        <w:jc w:val="both"/>
        <w:rPr>
          <w:rFonts w:ascii="Gotham" w:hAnsi="Gotham" w:cs="Arial"/>
          <w:sz w:val="20"/>
          <w:szCs w:val="20"/>
        </w:rPr>
      </w:pPr>
    </w:p>
    <w:p w14:paraId="3A47315F" w14:textId="77777777" w:rsidR="00E9195F" w:rsidRDefault="00E9195F" w:rsidP="002B6227">
      <w:pPr>
        <w:ind w:left="567" w:hanging="567"/>
        <w:jc w:val="both"/>
        <w:rPr>
          <w:rFonts w:ascii="Gotham" w:hAnsi="Gotham" w:cs="Arial"/>
          <w:sz w:val="20"/>
          <w:szCs w:val="20"/>
        </w:rPr>
      </w:pPr>
      <w:r>
        <w:rPr>
          <w:rFonts w:ascii="Gotham" w:hAnsi="Gotham" w:cs="Arial"/>
          <w:sz w:val="20"/>
          <w:szCs w:val="20"/>
        </w:rPr>
        <w:lastRenderedPageBreak/>
        <w:t>4.9</w:t>
      </w:r>
      <w:r w:rsidRPr="00120D55">
        <w:rPr>
          <w:rFonts w:ascii="Gotham" w:hAnsi="Gotham" w:cs="Arial"/>
          <w:sz w:val="20"/>
          <w:szCs w:val="20"/>
        </w:rPr>
        <w:tab/>
        <w:t>Oficio S/N suscrito por la Mtra. Laura Liliana Olea Frías, en su carácter de Regidora propietaria con licencia en sus funciones sin goce de sueldo de este Ayuntamiento, mediante el cual da cuenta de la reintegración a las labores propias de su encargo, con fundamento en lo dispuesto por los términos previstos.</w:t>
      </w:r>
    </w:p>
    <w:p w14:paraId="3A473160" w14:textId="77777777" w:rsidR="00E9195F" w:rsidRPr="00016FE1" w:rsidRDefault="00E9195F" w:rsidP="002B6227">
      <w:pPr>
        <w:pStyle w:val="Piedepgina"/>
        <w:tabs>
          <w:tab w:val="left" w:pos="708"/>
        </w:tabs>
        <w:jc w:val="both"/>
        <w:rPr>
          <w:rFonts w:ascii="Gotham" w:hAnsi="Gotham"/>
          <w:sz w:val="20"/>
          <w:szCs w:val="20"/>
        </w:rPr>
      </w:pPr>
    </w:p>
    <w:p w14:paraId="3A473161" w14:textId="77777777" w:rsidR="005B6B9E" w:rsidRPr="00016FE1" w:rsidRDefault="005B6B9E" w:rsidP="002B6227">
      <w:pPr>
        <w:pStyle w:val="Piedepgina"/>
        <w:tabs>
          <w:tab w:val="left" w:pos="708"/>
        </w:tabs>
        <w:jc w:val="both"/>
        <w:rPr>
          <w:rFonts w:ascii="Gotham" w:hAnsi="Gotham"/>
          <w:sz w:val="20"/>
          <w:szCs w:val="20"/>
        </w:rPr>
      </w:pPr>
    </w:p>
    <w:p w14:paraId="3A473162" w14:textId="77777777" w:rsidR="00016FE1" w:rsidRDefault="00016FE1" w:rsidP="002B6227">
      <w:pPr>
        <w:ind w:firstLine="708"/>
        <w:jc w:val="both"/>
        <w:rPr>
          <w:rFonts w:ascii="Gotham" w:hAnsi="Gotham"/>
          <w:sz w:val="20"/>
          <w:szCs w:val="20"/>
        </w:rPr>
      </w:pPr>
      <w:r>
        <w:rPr>
          <w:rFonts w:ascii="Gotham" w:hAnsi="Gotham"/>
          <w:sz w:val="20"/>
          <w:szCs w:val="20"/>
        </w:rPr>
        <w:t xml:space="preserve">En uso de la voz el Presidente Municipal, Sergio Armando Chávez Dávalos, menciona que, para el desahogo del quinto </w:t>
      </w:r>
      <w:r w:rsidRPr="000F4BFD">
        <w:rPr>
          <w:rFonts w:ascii="Gotham" w:hAnsi="Gotham"/>
          <w:sz w:val="20"/>
          <w:szCs w:val="20"/>
        </w:rPr>
        <w:t xml:space="preserve">punto del orden del día, relativo a la presentación de iniciativas, en un primer bloque de </w:t>
      </w:r>
      <w:r>
        <w:rPr>
          <w:rFonts w:ascii="Gotham" w:hAnsi="Gotham"/>
          <w:sz w:val="20"/>
          <w:szCs w:val="20"/>
        </w:rPr>
        <w:t>las denominadas</w:t>
      </w:r>
      <w:r w:rsidRPr="000F4BFD">
        <w:rPr>
          <w:rFonts w:ascii="Gotham" w:hAnsi="Gotham"/>
          <w:sz w:val="20"/>
          <w:szCs w:val="20"/>
        </w:rPr>
        <w:t xml:space="preserve"> con dispensa de trámite, se tienen registras las siguientes</w:t>
      </w:r>
      <w:r w:rsidRPr="001452FD">
        <w:rPr>
          <w:rFonts w:ascii="Gotham" w:hAnsi="Gotham"/>
          <w:sz w:val="20"/>
          <w:szCs w:val="20"/>
        </w:rPr>
        <w:t xml:space="preserve">; solicitando a la Secretaria General </w:t>
      </w:r>
      <w:r>
        <w:rPr>
          <w:rFonts w:ascii="Gotham" w:hAnsi="Gotham"/>
          <w:sz w:val="20"/>
          <w:szCs w:val="20"/>
        </w:rPr>
        <w:t>dé</w:t>
      </w:r>
      <w:r w:rsidRPr="001452FD">
        <w:rPr>
          <w:rFonts w:ascii="Gotham" w:hAnsi="Gotham"/>
          <w:sz w:val="20"/>
          <w:szCs w:val="20"/>
        </w:rPr>
        <w:t xml:space="preserve"> lectura </w:t>
      </w:r>
      <w:r>
        <w:rPr>
          <w:rFonts w:ascii="Gotham" w:hAnsi="Gotham"/>
          <w:sz w:val="20"/>
          <w:szCs w:val="20"/>
        </w:rPr>
        <w:t>a</w:t>
      </w:r>
      <w:r w:rsidRPr="001452FD">
        <w:rPr>
          <w:rFonts w:ascii="Gotham" w:hAnsi="Gotham"/>
          <w:sz w:val="20"/>
          <w:szCs w:val="20"/>
        </w:rPr>
        <w:t xml:space="preserve"> l</w:t>
      </w:r>
      <w:r>
        <w:rPr>
          <w:rFonts w:ascii="Gotham" w:hAnsi="Gotham"/>
          <w:sz w:val="20"/>
          <w:szCs w:val="20"/>
        </w:rPr>
        <w:t>a</w:t>
      </w:r>
      <w:r w:rsidRPr="001452FD">
        <w:rPr>
          <w:rFonts w:ascii="Gotham" w:hAnsi="Gotham"/>
          <w:sz w:val="20"/>
          <w:szCs w:val="20"/>
        </w:rPr>
        <w:t>s mism</w:t>
      </w:r>
      <w:r>
        <w:rPr>
          <w:rFonts w:ascii="Gotham" w:hAnsi="Gotham"/>
          <w:sz w:val="20"/>
          <w:szCs w:val="20"/>
        </w:rPr>
        <w:t>as.</w:t>
      </w:r>
    </w:p>
    <w:p w14:paraId="3A473163" w14:textId="77777777" w:rsidR="00016FE1" w:rsidRDefault="00016FE1" w:rsidP="002B6227">
      <w:pPr>
        <w:jc w:val="both"/>
        <w:rPr>
          <w:rFonts w:ascii="Gotham" w:hAnsi="Gotham"/>
          <w:sz w:val="20"/>
          <w:szCs w:val="20"/>
        </w:rPr>
      </w:pPr>
    </w:p>
    <w:p w14:paraId="3A473164" w14:textId="77777777" w:rsidR="00016FE1" w:rsidRPr="001452FD" w:rsidRDefault="00016FE1" w:rsidP="002B6227">
      <w:pPr>
        <w:jc w:val="both"/>
        <w:rPr>
          <w:rFonts w:ascii="Gotham" w:hAnsi="Gotham"/>
          <w:sz w:val="20"/>
          <w:szCs w:val="20"/>
        </w:rPr>
      </w:pPr>
      <w:r>
        <w:rPr>
          <w:rFonts w:ascii="Gotham" w:hAnsi="Gotham"/>
          <w:sz w:val="20"/>
          <w:szCs w:val="20"/>
        </w:rPr>
        <w:t>En uso de la voz informativa, la Secretaria General, Celia Isabel Gauna Ruíz de León, menciona que, c</w:t>
      </w:r>
      <w:r w:rsidRPr="001452FD">
        <w:rPr>
          <w:rFonts w:ascii="Gotham" w:hAnsi="Gotham"/>
          <w:sz w:val="20"/>
          <w:szCs w:val="20"/>
        </w:rPr>
        <w:t>omo lo indica</w:t>
      </w:r>
      <w:r>
        <w:rPr>
          <w:rFonts w:ascii="Gotham" w:hAnsi="Gotham"/>
          <w:sz w:val="20"/>
          <w:szCs w:val="20"/>
        </w:rPr>
        <w:t xml:space="preserve"> señor</w:t>
      </w:r>
      <w:r w:rsidRPr="001452FD">
        <w:rPr>
          <w:rFonts w:ascii="Gotham" w:hAnsi="Gotham"/>
          <w:sz w:val="20"/>
          <w:szCs w:val="20"/>
        </w:rPr>
        <w:t xml:space="preserve"> Presidente: </w:t>
      </w:r>
    </w:p>
    <w:p w14:paraId="3A473165" w14:textId="77777777" w:rsidR="00016FE1" w:rsidRDefault="00016FE1" w:rsidP="002B6227">
      <w:pPr>
        <w:ind w:left="709" w:hanging="709"/>
        <w:jc w:val="both"/>
        <w:rPr>
          <w:rFonts w:ascii="Gotham" w:hAnsi="Gotham" w:cs="Arial"/>
          <w:sz w:val="20"/>
          <w:szCs w:val="20"/>
        </w:rPr>
      </w:pPr>
    </w:p>
    <w:p w14:paraId="3A473166" w14:textId="77777777" w:rsidR="00016FE1" w:rsidRPr="002E40D6" w:rsidRDefault="00016FE1" w:rsidP="002B6227">
      <w:pPr>
        <w:ind w:left="709" w:hanging="709"/>
        <w:jc w:val="both"/>
        <w:rPr>
          <w:rFonts w:ascii="Gotham" w:hAnsi="Gotham" w:cs="Arial"/>
          <w:sz w:val="20"/>
          <w:szCs w:val="20"/>
        </w:rPr>
      </w:pPr>
      <w:r w:rsidRPr="002E40D6">
        <w:rPr>
          <w:rFonts w:ascii="Gotham" w:hAnsi="Gotham" w:cs="Arial"/>
          <w:sz w:val="20"/>
          <w:szCs w:val="20"/>
        </w:rPr>
        <w:t xml:space="preserve">5.1.1 </w:t>
      </w:r>
      <w:r>
        <w:rPr>
          <w:rFonts w:ascii="Gotham" w:hAnsi="Gotham" w:cs="Arial"/>
          <w:sz w:val="20"/>
          <w:szCs w:val="20"/>
        </w:rPr>
        <w:tab/>
      </w:r>
      <w:r w:rsidRPr="002E40D6">
        <w:rPr>
          <w:rFonts w:ascii="Gotham" w:hAnsi="Gotham" w:cs="Arial"/>
          <w:sz w:val="20"/>
          <w:szCs w:val="20"/>
        </w:rPr>
        <w:t xml:space="preserve">Iniciativa con Dispensa de Trámite que aprueba la celebración de las </w:t>
      </w:r>
      <w:r>
        <w:rPr>
          <w:rFonts w:ascii="Gotham" w:hAnsi="Gotham" w:cs="Arial"/>
          <w:sz w:val="20"/>
          <w:szCs w:val="20"/>
        </w:rPr>
        <w:t>S</w:t>
      </w:r>
      <w:r w:rsidRPr="002E40D6">
        <w:rPr>
          <w:rFonts w:ascii="Gotham" w:hAnsi="Gotham" w:cs="Arial"/>
          <w:sz w:val="20"/>
          <w:szCs w:val="20"/>
        </w:rPr>
        <w:t xml:space="preserve">esiones </w:t>
      </w:r>
      <w:r>
        <w:rPr>
          <w:rFonts w:ascii="Gotham" w:hAnsi="Gotham" w:cs="Arial"/>
          <w:sz w:val="20"/>
          <w:szCs w:val="20"/>
        </w:rPr>
        <w:t>S</w:t>
      </w:r>
      <w:r w:rsidRPr="002E40D6">
        <w:rPr>
          <w:rFonts w:ascii="Gotham" w:hAnsi="Gotham" w:cs="Arial"/>
          <w:sz w:val="20"/>
          <w:szCs w:val="20"/>
        </w:rPr>
        <w:t xml:space="preserve">olemnes contempladas en los </w:t>
      </w:r>
      <w:r>
        <w:rPr>
          <w:rFonts w:ascii="Gotham" w:hAnsi="Gotham" w:cs="Arial"/>
          <w:sz w:val="20"/>
          <w:szCs w:val="20"/>
        </w:rPr>
        <w:t>A</w:t>
      </w:r>
      <w:r w:rsidRPr="002E40D6">
        <w:rPr>
          <w:rFonts w:ascii="Gotham" w:hAnsi="Gotham" w:cs="Arial"/>
          <w:sz w:val="20"/>
          <w:szCs w:val="20"/>
        </w:rPr>
        <w:t xml:space="preserve">cuerdos de </w:t>
      </w:r>
      <w:r>
        <w:rPr>
          <w:rFonts w:ascii="Gotham" w:hAnsi="Gotham" w:cs="Arial"/>
          <w:sz w:val="20"/>
          <w:szCs w:val="20"/>
        </w:rPr>
        <w:t>A</w:t>
      </w:r>
      <w:r w:rsidRPr="002E40D6">
        <w:rPr>
          <w:rFonts w:ascii="Gotham" w:hAnsi="Gotham" w:cs="Arial"/>
          <w:sz w:val="20"/>
          <w:szCs w:val="20"/>
        </w:rPr>
        <w:t>yuntamiento 1090 y 1024, el mismo día en el mes de agosto de 2024, previo citatorio remitido en tiempo y forma por el Presidente Municipal, autorizando como Recinto Oficial para su realización el Salón “Tonalt</w:t>
      </w:r>
      <w:r>
        <w:rPr>
          <w:rFonts w:ascii="Gotham" w:hAnsi="Gotham" w:cs="Arial"/>
          <w:sz w:val="20"/>
          <w:szCs w:val="20"/>
        </w:rPr>
        <w:t>e</w:t>
      </w:r>
      <w:r w:rsidRPr="002E40D6">
        <w:rPr>
          <w:rFonts w:ascii="Gotham" w:hAnsi="Gotham" w:cs="Arial"/>
          <w:sz w:val="20"/>
          <w:szCs w:val="20"/>
        </w:rPr>
        <w:t>cas Ilustres”, de este Palacio Municipal;</w:t>
      </w:r>
      <w:r w:rsidR="003B30D3">
        <w:rPr>
          <w:rFonts w:ascii="Gotham" w:hAnsi="Gotham" w:cs="Arial"/>
          <w:sz w:val="20"/>
          <w:szCs w:val="20"/>
        </w:rPr>
        <w:t xml:space="preserve"> </w:t>
      </w:r>
    </w:p>
    <w:p w14:paraId="3A473167" w14:textId="77777777" w:rsidR="00016FE1" w:rsidRPr="002E40D6" w:rsidRDefault="00016FE1" w:rsidP="002B6227">
      <w:pPr>
        <w:ind w:left="709" w:hanging="709"/>
        <w:jc w:val="both"/>
        <w:rPr>
          <w:rFonts w:ascii="Gotham" w:hAnsi="Gotham" w:cs="Arial"/>
          <w:sz w:val="20"/>
          <w:szCs w:val="20"/>
        </w:rPr>
      </w:pPr>
      <w:r w:rsidRPr="002E40D6">
        <w:rPr>
          <w:rFonts w:ascii="Gotham" w:hAnsi="Gotham" w:cs="Arial"/>
          <w:sz w:val="20"/>
          <w:szCs w:val="20"/>
        </w:rPr>
        <w:tab/>
      </w:r>
    </w:p>
    <w:p w14:paraId="3A473168" w14:textId="77777777" w:rsidR="00016FE1" w:rsidRPr="002E40D6" w:rsidRDefault="00016FE1" w:rsidP="002B6227">
      <w:pPr>
        <w:ind w:left="709" w:hanging="709"/>
        <w:jc w:val="both"/>
        <w:rPr>
          <w:rFonts w:ascii="Gotham" w:hAnsi="Gotham" w:cs="Arial"/>
          <w:sz w:val="20"/>
          <w:szCs w:val="20"/>
        </w:rPr>
      </w:pPr>
      <w:r w:rsidRPr="002E40D6">
        <w:rPr>
          <w:rFonts w:ascii="Gotham" w:hAnsi="Gotham" w:cs="Arial"/>
          <w:sz w:val="20"/>
          <w:szCs w:val="20"/>
        </w:rPr>
        <w:t xml:space="preserve">5.1.2 </w:t>
      </w:r>
      <w:r>
        <w:rPr>
          <w:rFonts w:ascii="Gotham" w:hAnsi="Gotham" w:cs="Arial"/>
          <w:sz w:val="20"/>
          <w:szCs w:val="20"/>
        </w:rPr>
        <w:tab/>
      </w:r>
      <w:r w:rsidRPr="002E40D6">
        <w:rPr>
          <w:rFonts w:ascii="Gotham" w:hAnsi="Gotham" w:cs="Arial"/>
          <w:sz w:val="20"/>
          <w:szCs w:val="20"/>
        </w:rPr>
        <w:t>Iniciativa con Dispensa de Trámite que tiene por objeto llevar a cabo la construcción de un Puente Peatonal sobre la carretera lib</w:t>
      </w:r>
      <w:r>
        <w:rPr>
          <w:rFonts w:ascii="Gotham" w:hAnsi="Gotham" w:cs="Arial"/>
          <w:sz w:val="20"/>
          <w:szCs w:val="20"/>
        </w:rPr>
        <w:t>re a Zapotlanejo en la colonia P</w:t>
      </w:r>
      <w:r w:rsidRPr="002E40D6">
        <w:rPr>
          <w:rFonts w:ascii="Gotham" w:hAnsi="Gotham" w:cs="Arial"/>
          <w:sz w:val="20"/>
          <w:szCs w:val="20"/>
        </w:rPr>
        <w:t>ajaritos, de esta municipalidad;</w:t>
      </w:r>
    </w:p>
    <w:p w14:paraId="3A473169" w14:textId="77777777" w:rsidR="00016FE1" w:rsidRPr="002E40D6" w:rsidRDefault="00016FE1" w:rsidP="002B6227">
      <w:pPr>
        <w:ind w:left="709" w:hanging="709"/>
        <w:jc w:val="both"/>
        <w:rPr>
          <w:rFonts w:ascii="Gotham" w:hAnsi="Gotham" w:cs="Arial"/>
          <w:sz w:val="20"/>
          <w:szCs w:val="20"/>
        </w:rPr>
      </w:pPr>
    </w:p>
    <w:p w14:paraId="3A47316A" w14:textId="77777777" w:rsidR="00016FE1" w:rsidRPr="002E40D6" w:rsidRDefault="00016FE1" w:rsidP="002B6227">
      <w:pPr>
        <w:ind w:left="709" w:hanging="709"/>
        <w:jc w:val="both"/>
        <w:rPr>
          <w:rFonts w:ascii="Gotham" w:hAnsi="Gotham" w:cs="Arial"/>
          <w:sz w:val="20"/>
          <w:szCs w:val="20"/>
        </w:rPr>
      </w:pPr>
      <w:r w:rsidRPr="002E40D6">
        <w:rPr>
          <w:rFonts w:ascii="Gotham" w:hAnsi="Gotham" w:cs="Arial"/>
          <w:sz w:val="20"/>
          <w:szCs w:val="20"/>
        </w:rPr>
        <w:t xml:space="preserve">5.1.3 </w:t>
      </w:r>
      <w:r>
        <w:rPr>
          <w:rFonts w:ascii="Gotham" w:hAnsi="Gotham" w:cs="Arial"/>
          <w:sz w:val="20"/>
          <w:szCs w:val="20"/>
        </w:rPr>
        <w:tab/>
      </w:r>
      <w:r w:rsidRPr="002E40D6">
        <w:rPr>
          <w:rFonts w:ascii="Gotham" w:hAnsi="Gotham" w:cs="Arial"/>
          <w:sz w:val="20"/>
          <w:szCs w:val="20"/>
        </w:rPr>
        <w:t xml:space="preserve">Iniciativa con Dispensa de Trámite que tiene por objeto se realice el estudio técnico hidráulico para resolver el problema de reubicación de algunas familias afectadas de la colonia Rubén Jaramillo; </w:t>
      </w:r>
    </w:p>
    <w:p w14:paraId="3A47316B" w14:textId="77777777" w:rsidR="00016FE1" w:rsidRPr="002E40D6" w:rsidRDefault="00016FE1" w:rsidP="002B6227">
      <w:pPr>
        <w:ind w:left="709" w:hanging="709"/>
        <w:jc w:val="both"/>
        <w:rPr>
          <w:rFonts w:ascii="Gotham" w:hAnsi="Gotham" w:cs="Arial"/>
          <w:sz w:val="20"/>
          <w:szCs w:val="20"/>
        </w:rPr>
      </w:pPr>
    </w:p>
    <w:p w14:paraId="3A47316C" w14:textId="77777777" w:rsidR="00016FE1" w:rsidRPr="002E40D6" w:rsidRDefault="00016FE1" w:rsidP="002B6227">
      <w:pPr>
        <w:ind w:left="709" w:hanging="709"/>
        <w:jc w:val="both"/>
        <w:rPr>
          <w:rFonts w:ascii="Gotham" w:hAnsi="Gotham" w:cs="Arial"/>
          <w:sz w:val="20"/>
          <w:szCs w:val="20"/>
        </w:rPr>
      </w:pPr>
      <w:r w:rsidRPr="002E40D6">
        <w:rPr>
          <w:rFonts w:ascii="Gotham" w:hAnsi="Gotham" w:cs="Arial"/>
          <w:sz w:val="20"/>
          <w:szCs w:val="20"/>
        </w:rPr>
        <w:t xml:space="preserve">5.1.4 </w:t>
      </w:r>
      <w:r>
        <w:rPr>
          <w:rFonts w:ascii="Gotham" w:hAnsi="Gotham" w:cs="Arial"/>
          <w:sz w:val="20"/>
          <w:szCs w:val="20"/>
        </w:rPr>
        <w:tab/>
      </w:r>
      <w:r w:rsidRPr="002E40D6">
        <w:rPr>
          <w:rFonts w:ascii="Gotham" w:hAnsi="Gotham" w:cs="Arial"/>
          <w:sz w:val="20"/>
          <w:szCs w:val="20"/>
        </w:rPr>
        <w:t xml:space="preserve">Iniciativa con Dispensa de Trámite que tiene por objeto la realización de un convenio de colaboración entre este municipio y la empresa </w:t>
      </w:r>
      <w:r>
        <w:rPr>
          <w:rFonts w:ascii="Gotham" w:hAnsi="Gotham" w:cs="Arial"/>
          <w:sz w:val="20"/>
          <w:szCs w:val="20"/>
        </w:rPr>
        <w:t>que sea más conveniente, interesada</w:t>
      </w:r>
      <w:r w:rsidRPr="002E40D6">
        <w:rPr>
          <w:rFonts w:ascii="Gotham" w:hAnsi="Gotham" w:cs="Arial"/>
          <w:sz w:val="20"/>
          <w:szCs w:val="20"/>
        </w:rPr>
        <w:t xml:space="preserve"> para llevar a cabo la colecta y manejo de llantas en el municipio, sin cargo al erario público, debiendo instrumentar el presente acto</w:t>
      </w:r>
      <w:r>
        <w:rPr>
          <w:rFonts w:ascii="Gotham" w:hAnsi="Gotham" w:cs="Arial"/>
          <w:sz w:val="20"/>
          <w:szCs w:val="20"/>
        </w:rPr>
        <w:t xml:space="preserve"> mediante convenio ante</w:t>
      </w:r>
      <w:r w:rsidRPr="002E40D6">
        <w:rPr>
          <w:rFonts w:ascii="Gotham" w:hAnsi="Gotham" w:cs="Arial"/>
          <w:sz w:val="20"/>
          <w:szCs w:val="20"/>
        </w:rPr>
        <w:t xml:space="preserve"> la Dirección Jurídica de este Ayuntamiento;</w:t>
      </w:r>
    </w:p>
    <w:p w14:paraId="3A47316D" w14:textId="77777777" w:rsidR="00016FE1" w:rsidRPr="002E40D6" w:rsidRDefault="00016FE1" w:rsidP="002B6227">
      <w:pPr>
        <w:ind w:left="709" w:hanging="709"/>
        <w:jc w:val="both"/>
        <w:rPr>
          <w:rFonts w:ascii="Gotham" w:hAnsi="Gotham" w:cs="Arial"/>
          <w:sz w:val="20"/>
          <w:szCs w:val="20"/>
        </w:rPr>
      </w:pPr>
    </w:p>
    <w:p w14:paraId="3A47316E" w14:textId="77777777" w:rsidR="00016FE1" w:rsidRPr="002E40D6" w:rsidRDefault="00016FE1" w:rsidP="002B6227">
      <w:pPr>
        <w:ind w:left="709" w:hanging="709"/>
        <w:jc w:val="both"/>
        <w:rPr>
          <w:rFonts w:ascii="Gotham" w:hAnsi="Gotham" w:cs="Arial"/>
          <w:sz w:val="20"/>
          <w:szCs w:val="20"/>
        </w:rPr>
      </w:pPr>
      <w:r w:rsidRPr="002E40D6">
        <w:rPr>
          <w:rFonts w:ascii="Gotham" w:hAnsi="Gotham" w:cs="Arial"/>
          <w:sz w:val="20"/>
          <w:szCs w:val="20"/>
        </w:rPr>
        <w:t xml:space="preserve">5.1.5 </w:t>
      </w:r>
      <w:r>
        <w:rPr>
          <w:rFonts w:ascii="Gotham" w:hAnsi="Gotham" w:cs="Arial"/>
          <w:sz w:val="20"/>
          <w:szCs w:val="20"/>
        </w:rPr>
        <w:tab/>
      </w:r>
      <w:r w:rsidRPr="002E40D6">
        <w:rPr>
          <w:rFonts w:ascii="Gotham" w:hAnsi="Gotham" w:cs="Arial"/>
          <w:sz w:val="20"/>
          <w:szCs w:val="20"/>
        </w:rPr>
        <w:t>Iniciativa con Dispensa de Trámite que tiene por objeto aprobar las modificaciones y ajustes a la Plantilla de Personal de los Servidores Públicos de este Ayuntamiento Constitucional de Tonalá, Jalisco, para el presente ejercicio fiscal 2024;</w:t>
      </w:r>
    </w:p>
    <w:p w14:paraId="3A47316F" w14:textId="77777777" w:rsidR="00016FE1" w:rsidRPr="002E40D6" w:rsidRDefault="00016FE1" w:rsidP="002B6227">
      <w:pPr>
        <w:ind w:left="709" w:hanging="709"/>
        <w:jc w:val="both"/>
        <w:rPr>
          <w:rFonts w:ascii="Gotham" w:hAnsi="Gotham" w:cs="Arial"/>
          <w:sz w:val="20"/>
          <w:szCs w:val="20"/>
        </w:rPr>
      </w:pPr>
    </w:p>
    <w:p w14:paraId="3A473170" w14:textId="77777777" w:rsidR="00016FE1" w:rsidRPr="00E83B89" w:rsidRDefault="00016FE1" w:rsidP="002B6227">
      <w:pPr>
        <w:ind w:left="709" w:hanging="709"/>
        <w:jc w:val="both"/>
        <w:rPr>
          <w:rFonts w:ascii="Gotham" w:hAnsi="Gotham" w:cs="Arial"/>
          <w:sz w:val="20"/>
          <w:szCs w:val="20"/>
        </w:rPr>
      </w:pPr>
      <w:r w:rsidRPr="002E40D6">
        <w:rPr>
          <w:rFonts w:ascii="Gotham" w:hAnsi="Gotham" w:cs="Arial"/>
          <w:sz w:val="20"/>
          <w:szCs w:val="20"/>
        </w:rPr>
        <w:t xml:space="preserve">5.1.6 </w:t>
      </w:r>
      <w:r>
        <w:rPr>
          <w:rFonts w:ascii="Gotham" w:hAnsi="Gotham" w:cs="Arial"/>
          <w:sz w:val="20"/>
          <w:szCs w:val="20"/>
        </w:rPr>
        <w:tab/>
      </w:r>
      <w:r w:rsidRPr="002E40D6">
        <w:rPr>
          <w:rFonts w:ascii="Gotham" w:hAnsi="Gotham" w:cs="Arial"/>
          <w:sz w:val="20"/>
          <w:szCs w:val="20"/>
        </w:rPr>
        <w:t>Iniciativa con Dispensa de Trámite que tiene por objeto la modificación del resolutivo tercero del Acuerdo de Ayuntamiento No. 845 de la Sesión Ordinaria de Ayuntamiento de fecha 28 de septiembre del 2023.</w:t>
      </w:r>
    </w:p>
    <w:p w14:paraId="3A473171" w14:textId="77777777" w:rsidR="00016FE1" w:rsidRPr="00CF3418" w:rsidRDefault="00016FE1" w:rsidP="002B6227">
      <w:pPr>
        <w:tabs>
          <w:tab w:val="left" w:pos="142"/>
          <w:tab w:val="left" w:pos="284"/>
        </w:tabs>
        <w:jc w:val="both"/>
        <w:rPr>
          <w:rFonts w:ascii="Gotham" w:hAnsi="Gotham" w:cs="Arial"/>
          <w:sz w:val="20"/>
          <w:szCs w:val="20"/>
        </w:rPr>
      </w:pPr>
    </w:p>
    <w:p w14:paraId="3A473172" w14:textId="77777777" w:rsidR="00016FE1" w:rsidRPr="001A1D09" w:rsidRDefault="00016FE1" w:rsidP="002B6227">
      <w:pPr>
        <w:tabs>
          <w:tab w:val="left" w:pos="142"/>
          <w:tab w:val="left" w:pos="284"/>
        </w:tabs>
        <w:jc w:val="both"/>
        <w:rPr>
          <w:rFonts w:ascii="Gotham" w:hAnsi="Gotham" w:cs="Arial"/>
          <w:sz w:val="20"/>
          <w:szCs w:val="20"/>
        </w:rPr>
      </w:pPr>
      <w:r w:rsidRPr="001A1D09">
        <w:rPr>
          <w:rFonts w:ascii="Gotham" w:hAnsi="Gotham" w:cs="Arial"/>
          <w:sz w:val="20"/>
          <w:szCs w:val="20"/>
        </w:rPr>
        <w:t>Es cuanto señor Presidente.</w:t>
      </w:r>
    </w:p>
    <w:p w14:paraId="3A473173" w14:textId="77777777" w:rsidR="00016FE1" w:rsidRPr="001A1D09" w:rsidRDefault="00016FE1" w:rsidP="002B6227">
      <w:pPr>
        <w:tabs>
          <w:tab w:val="left" w:pos="142"/>
          <w:tab w:val="left" w:pos="284"/>
        </w:tabs>
        <w:jc w:val="both"/>
        <w:rPr>
          <w:rFonts w:ascii="Gotham" w:hAnsi="Gotham" w:cs="Arial"/>
          <w:sz w:val="20"/>
          <w:szCs w:val="20"/>
        </w:rPr>
      </w:pPr>
    </w:p>
    <w:p w14:paraId="3A473174" w14:textId="77777777" w:rsidR="00016FE1" w:rsidRPr="001A1D09" w:rsidRDefault="00016FE1" w:rsidP="002B6227">
      <w:pPr>
        <w:tabs>
          <w:tab w:val="left" w:pos="142"/>
          <w:tab w:val="left" w:pos="284"/>
        </w:tabs>
        <w:jc w:val="both"/>
        <w:rPr>
          <w:rFonts w:ascii="Gotham" w:hAnsi="Gotham" w:cs="Arial"/>
          <w:sz w:val="20"/>
          <w:szCs w:val="20"/>
        </w:rPr>
      </w:pPr>
      <w:r>
        <w:rPr>
          <w:rFonts w:ascii="Gotham" w:hAnsi="Gotham" w:cs="Arial"/>
          <w:sz w:val="20"/>
          <w:szCs w:val="20"/>
        </w:rPr>
        <w:t>En uso de la voz el Presidente Municipal, Sergio Armando Chávez Dávalos,</w:t>
      </w:r>
      <w:r w:rsidRPr="001A1D09">
        <w:rPr>
          <w:rFonts w:ascii="Gotham" w:hAnsi="Gotham" w:cs="Arial"/>
          <w:sz w:val="20"/>
          <w:szCs w:val="20"/>
        </w:rPr>
        <w:t xml:space="preserve"> expresa que, gracias Secretaria; con fundamento en lo dispuesto por el artículo 17 Bis del Reglamento para el Funcionamiento Interno de Sesiones del Ayuntamiento Constitucional de Tonalá, Jalisco, les consulto si se aprueba la dispensa del trámite, con la finalidad de que sean votadas en esta misma sesión; quienes estén </w:t>
      </w:r>
      <w:r>
        <w:rPr>
          <w:rFonts w:ascii="Gotham" w:hAnsi="Gotham" w:cs="Arial"/>
          <w:sz w:val="20"/>
          <w:szCs w:val="20"/>
        </w:rPr>
        <w:t>por la afirmativa</w:t>
      </w:r>
      <w:r w:rsidRPr="001A1D09">
        <w:rPr>
          <w:rFonts w:ascii="Gotham" w:hAnsi="Gotham" w:cs="Arial"/>
          <w:sz w:val="20"/>
          <w:szCs w:val="20"/>
        </w:rPr>
        <w:t>, sírvanse manifestarlo levantando su mano; solicitando a la Secretaria General contabilice los votos y nos informe del resultado.</w:t>
      </w:r>
    </w:p>
    <w:p w14:paraId="3A473175" w14:textId="77777777" w:rsidR="00016FE1" w:rsidRPr="001A1D09" w:rsidRDefault="00016FE1" w:rsidP="002B6227">
      <w:pPr>
        <w:tabs>
          <w:tab w:val="left" w:pos="142"/>
          <w:tab w:val="left" w:pos="284"/>
        </w:tabs>
        <w:jc w:val="both"/>
        <w:rPr>
          <w:rFonts w:ascii="Gotham" w:hAnsi="Gotham" w:cs="Arial"/>
          <w:sz w:val="20"/>
          <w:szCs w:val="20"/>
        </w:rPr>
      </w:pPr>
    </w:p>
    <w:p w14:paraId="3A473176" w14:textId="77777777" w:rsidR="00016FE1" w:rsidRPr="001A1D09" w:rsidRDefault="00016FE1" w:rsidP="002B6227">
      <w:pPr>
        <w:tabs>
          <w:tab w:val="left" w:pos="142"/>
          <w:tab w:val="left" w:pos="284"/>
        </w:tabs>
        <w:jc w:val="both"/>
        <w:rPr>
          <w:rFonts w:ascii="Gotham" w:hAnsi="Gotham" w:cs="Arial"/>
          <w:sz w:val="20"/>
          <w:szCs w:val="20"/>
        </w:rPr>
      </w:pPr>
      <w:r w:rsidRPr="001A1D09">
        <w:rPr>
          <w:rFonts w:ascii="Gotham" w:hAnsi="Gotham" w:cs="Arial"/>
          <w:sz w:val="20"/>
          <w:szCs w:val="20"/>
        </w:rPr>
        <w:lastRenderedPageBreak/>
        <w:t>En uso de la voz informativa, la Secretaria General, Celia Isabel Gauna Ruíz de León, menciona que, como lo indica, le informo Presidente, q</w:t>
      </w:r>
      <w:r>
        <w:rPr>
          <w:rFonts w:ascii="Gotham" w:hAnsi="Gotham" w:cs="Arial"/>
          <w:sz w:val="20"/>
          <w:szCs w:val="20"/>
        </w:rPr>
        <w:t>ue se aprueba con un total de 17</w:t>
      </w:r>
      <w:r w:rsidRPr="001A1D09">
        <w:rPr>
          <w:rFonts w:ascii="Gotham" w:hAnsi="Gotham" w:cs="Arial"/>
          <w:sz w:val="20"/>
          <w:szCs w:val="20"/>
        </w:rPr>
        <w:t xml:space="preserve"> votos a favor</w:t>
      </w:r>
      <w:r w:rsidRPr="003E6D9C">
        <w:rPr>
          <w:rFonts w:ascii="Gotham" w:hAnsi="Gotham"/>
          <w:sz w:val="20"/>
          <w:szCs w:val="20"/>
        </w:rPr>
        <w:t xml:space="preserve">; encontrándose ausente en el momento de la votación </w:t>
      </w:r>
      <w:r>
        <w:rPr>
          <w:rFonts w:ascii="Gotham" w:hAnsi="Gotham"/>
          <w:sz w:val="20"/>
          <w:szCs w:val="20"/>
        </w:rPr>
        <w:t>e</w:t>
      </w:r>
      <w:r w:rsidRPr="003E6D9C">
        <w:rPr>
          <w:rFonts w:ascii="Gotham" w:hAnsi="Gotham"/>
          <w:sz w:val="20"/>
          <w:szCs w:val="20"/>
        </w:rPr>
        <w:t xml:space="preserve">l </w:t>
      </w:r>
      <w:r>
        <w:rPr>
          <w:rFonts w:ascii="Gotham" w:hAnsi="Gotham"/>
          <w:sz w:val="20"/>
          <w:szCs w:val="20"/>
        </w:rPr>
        <w:t>Regidor Alejandro Buenrostro Hernández</w:t>
      </w:r>
      <w:r w:rsidRPr="001A1D09">
        <w:rPr>
          <w:rFonts w:ascii="Gotham" w:hAnsi="Gotham" w:cs="Arial"/>
          <w:sz w:val="20"/>
          <w:szCs w:val="20"/>
        </w:rPr>
        <w:t xml:space="preserve">. </w:t>
      </w:r>
    </w:p>
    <w:p w14:paraId="3A473177" w14:textId="77777777" w:rsidR="00016FE1" w:rsidRDefault="00016FE1" w:rsidP="002B6227">
      <w:pPr>
        <w:tabs>
          <w:tab w:val="left" w:pos="142"/>
          <w:tab w:val="left" w:pos="284"/>
        </w:tabs>
        <w:jc w:val="both"/>
        <w:rPr>
          <w:rFonts w:ascii="Gotham" w:hAnsi="Gotham" w:cs="Arial"/>
          <w:sz w:val="20"/>
          <w:szCs w:val="20"/>
        </w:rPr>
      </w:pPr>
    </w:p>
    <w:p w14:paraId="3A473178" w14:textId="77777777" w:rsidR="00016FE1" w:rsidRDefault="00016FE1" w:rsidP="002B6227">
      <w:pPr>
        <w:tabs>
          <w:tab w:val="left" w:pos="142"/>
          <w:tab w:val="left" w:pos="284"/>
        </w:tabs>
        <w:jc w:val="both"/>
        <w:rPr>
          <w:rFonts w:ascii="Gotham" w:hAnsi="Gotham" w:cs="Arial"/>
          <w:sz w:val="20"/>
          <w:szCs w:val="20"/>
        </w:rPr>
      </w:pPr>
    </w:p>
    <w:p w14:paraId="3A473179" w14:textId="77777777" w:rsidR="00016FE1" w:rsidRPr="00C52792" w:rsidRDefault="00016FE1" w:rsidP="002B6227">
      <w:pPr>
        <w:pStyle w:val="western"/>
        <w:spacing w:before="0" w:beforeAutospacing="0"/>
        <w:jc w:val="right"/>
        <w:rPr>
          <w:rFonts w:ascii="Gotham" w:hAnsi="Gotham"/>
          <w:b/>
          <w:sz w:val="22"/>
          <w:szCs w:val="22"/>
          <w:u w:val="single"/>
        </w:rPr>
      </w:pPr>
      <w:r w:rsidRPr="00C52792">
        <w:rPr>
          <w:rFonts w:ascii="Gotham" w:hAnsi="Gotham"/>
          <w:b/>
          <w:sz w:val="22"/>
          <w:szCs w:val="22"/>
          <w:u w:val="single"/>
        </w:rPr>
        <w:t xml:space="preserve">ACUERDO NO. </w:t>
      </w:r>
      <w:r>
        <w:rPr>
          <w:rFonts w:ascii="Gotham" w:hAnsi="Gotham"/>
          <w:b/>
          <w:sz w:val="22"/>
          <w:szCs w:val="22"/>
          <w:u w:val="single"/>
        </w:rPr>
        <w:t>1108</w:t>
      </w:r>
    </w:p>
    <w:p w14:paraId="3A47317A" w14:textId="77777777" w:rsidR="00016FE1" w:rsidRPr="0012765C" w:rsidRDefault="00016FE1" w:rsidP="002B6227">
      <w:pPr>
        <w:jc w:val="both"/>
        <w:rPr>
          <w:rFonts w:ascii="Gotham" w:hAnsi="Gotham"/>
          <w:sz w:val="20"/>
          <w:szCs w:val="20"/>
        </w:rPr>
      </w:pPr>
      <w:r w:rsidRPr="00995F28">
        <w:rPr>
          <w:rFonts w:ascii="Gotham" w:hAnsi="Gotham"/>
          <w:b/>
          <w:bCs/>
          <w:smallCaps/>
          <w:sz w:val="20"/>
          <w:szCs w:val="20"/>
        </w:rPr>
        <w:t>Primera</w:t>
      </w:r>
      <w:r w:rsidRPr="00C52792">
        <w:rPr>
          <w:rFonts w:ascii="Gotham" w:hAnsi="Gotham"/>
          <w:b/>
          <w:bCs/>
          <w:smallCaps/>
          <w:sz w:val="20"/>
          <w:szCs w:val="20"/>
        </w:rPr>
        <w:t xml:space="preserve"> Iniciativa con Dispensa de Trámite</w:t>
      </w:r>
      <w:r w:rsidRPr="00C52792">
        <w:rPr>
          <w:rFonts w:ascii="Gotham" w:hAnsi="Gotham"/>
          <w:b/>
          <w:bCs/>
          <w:sz w:val="20"/>
          <w:szCs w:val="20"/>
        </w:rPr>
        <w:t xml:space="preserve">.- </w:t>
      </w:r>
      <w:r>
        <w:rPr>
          <w:rFonts w:ascii="Gotham" w:hAnsi="Gotham" w:cs="Arial"/>
          <w:sz w:val="20"/>
          <w:szCs w:val="20"/>
        </w:rPr>
        <w:t>En uso de la voz el Presidente Municipal, Sergio Armando Chávez Dávalos, señala que, e</w:t>
      </w:r>
      <w:r w:rsidRPr="0012765C">
        <w:rPr>
          <w:rFonts w:ascii="Gotham" w:hAnsi="Gotham"/>
          <w:sz w:val="20"/>
          <w:szCs w:val="20"/>
        </w:rPr>
        <w:t>l que suscribe, Sergio Armando Chávez Dávalos, Presidente Municipal del Ayuntamiento Constitucional de Tonalá, Jalisco, en uso de la facultad de que me confieren los artículos 115, fracciones I y II de la Constitución Política de los Estados Unidos Mexicanos; 77 de nuestra Constitución Política del Estado de Jalisco; 41 de la Ley del Gobierno y la Administración Pública Municipal del Estado de Jalisco, 53 del Reglamento del Gobierno y la Administración Pública del Ayuntamiento Constitucional de Tonalá, Jalisco, así como 17 bis, 82 fracción I y 83 del Reglamento para el Funcionamiento Interno de Sesiones del Ayuntamiento Constitucional de Tonalá, Jalisco, someto a la elevada consideración de este Ayuntamiento la presente iniciativa con carácter de dispensa de trámite que tiene por objeto aprobar la modificación de la fecha para la celebración de las Sesiones Solemnes: “Galardón Cualli Tonalli 2024” y “Cabildo de las Personas Adultas Mayores 2024”, autorizándose se lleven a cabo el mismo día en el mes de ago</w:t>
      </w:r>
      <w:r>
        <w:rPr>
          <w:rFonts w:ascii="Gotham" w:hAnsi="Gotham"/>
          <w:sz w:val="20"/>
          <w:szCs w:val="20"/>
        </w:rPr>
        <w:t>sto, en razón de los siguientes:</w:t>
      </w:r>
    </w:p>
    <w:p w14:paraId="3A47317B" w14:textId="77777777" w:rsidR="00016FE1" w:rsidRDefault="00016FE1" w:rsidP="002B6227">
      <w:pPr>
        <w:jc w:val="center"/>
        <w:rPr>
          <w:rFonts w:ascii="Gotham" w:hAnsi="Gotham"/>
          <w:sz w:val="20"/>
          <w:szCs w:val="20"/>
        </w:rPr>
      </w:pPr>
    </w:p>
    <w:p w14:paraId="3A47317C" w14:textId="77777777" w:rsidR="00016FE1" w:rsidRPr="0012765C" w:rsidRDefault="00016FE1" w:rsidP="002B6227">
      <w:pPr>
        <w:jc w:val="center"/>
        <w:rPr>
          <w:rFonts w:ascii="Gotham" w:hAnsi="Gotham"/>
          <w:sz w:val="20"/>
          <w:szCs w:val="20"/>
        </w:rPr>
      </w:pPr>
      <w:r w:rsidRPr="0012765C">
        <w:rPr>
          <w:rFonts w:ascii="Gotham" w:hAnsi="Gotham"/>
          <w:sz w:val="20"/>
          <w:szCs w:val="20"/>
        </w:rPr>
        <w:t>A N T E C E D E N T E S</w:t>
      </w:r>
    </w:p>
    <w:p w14:paraId="3A47317D" w14:textId="77777777" w:rsidR="00016FE1" w:rsidRDefault="00016FE1" w:rsidP="002B6227">
      <w:pPr>
        <w:jc w:val="both"/>
        <w:rPr>
          <w:rFonts w:ascii="Gotham" w:hAnsi="Gotham"/>
          <w:bCs/>
          <w:sz w:val="20"/>
          <w:szCs w:val="20"/>
        </w:rPr>
      </w:pPr>
    </w:p>
    <w:p w14:paraId="3A47317E" w14:textId="77777777" w:rsidR="00016FE1" w:rsidRPr="0012765C" w:rsidRDefault="00016FE1" w:rsidP="002B6227">
      <w:pPr>
        <w:ind w:left="567" w:hanging="567"/>
        <w:jc w:val="both"/>
        <w:rPr>
          <w:rFonts w:ascii="Gotham" w:hAnsi="Gotham"/>
          <w:sz w:val="20"/>
          <w:szCs w:val="20"/>
        </w:rPr>
      </w:pPr>
      <w:r w:rsidRPr="0012765C">
        <w:rPr>
          <w:rFonts w:ascii="Gotham" w:hAnsi="Gotham"/>
          <w:bCs/>
          <w:sz w:val="20"/>
          <w:szCs w:val="20"/>
        </w:rPr>
        <w:t>1.-</w:t>
      </w:r>
      <w:r w:rsidRPr="0012765C">
        <w:rPr>
          <w:rFonts w:ascii="Gotham" w:hAnsi="Gotham"/>
          <w:sz w:val="20"/>
          <w:szCs w:val="20"/>
        </w:rPr>
        <w:t xml:space="preserve"> </w:t>
      </w:r>
      <w:r>
        <w:rPr>
          <w:rFonts w:ascii="Gotham" w:hAnsi="Gotham"/>
          <w:sz w:val="20"/>
          <w:szCs w:val="20"/>
        </w:rPr>
        <w:tab/>
      </w:r>
      <w:r w:rsidRPr="0012765C">
        <w:rPr>
          <w:rFonts w:ascii="Gotham" w:hAnsi="Gotham"/>
          <w:sz w:val="20"/>
          <w:szCs w:val="20"/>
        </w:rPr>
        <w:t xml:space="preserve">Mediante acuerdo de ayuntamiento con </w:t>
      </w:r>
      <w:r w:rsidRPr="0012765C">
        <w:rPr>
          <w:rFonts w:ascii="Gotham" w:hAnsi="Gotham"/>
          <w:bCs/>
          <w:sz w:val="20"/>
          <w:szCs w:val="20"/>
        </w:rPr>
        <w:t>N. 320</w:t>
      </w:r>
      <w:r w:rsidRPr="0012765C">
        <w:rPr>
          <w:rFonts w:ascii="Gotham" w:hAnsi="Gotham"/>
          <w:sz w:val="20"/>
          <w:szCs w:val="20"/>
        </w:rPr>
        <w:t>, de la Sesión Ordinaria celebrada el 28 de julio de 2022, se aprobó declarar el 30 de agosto de cada año, como el “</w:t>
      </w:r>
      <w:r w:rsidRPr="0012765C">
        <w:rPr>
          <w:rFonts w:ascii="Gotham" w:hAnsi="Gotham"/>
          <w:bCs/>
          <w:sz w:val="20"/>
          <w:szCs w:val="20"/>
        </w:rPr>
        <w:t>Día de la Participación Ciudadana</w:t>
      </w:r>
      <w:r w:rsidRPr="0012765C">
        <w:rPr>
          <w:rFonts w:ascii="Gotham" w:hAnsi="Gotham"/>
          <w:sz w:val="20"/>
          <w:szCs w:val="20"/>
        </w:rPr>
        <w:t>”, y en consecuencia otorgar el “</w:t>
      </w:r>
      <w:r w:rsidRPr="0012765C">
        <w:rPr>
          <w:rFonts w:ascii="Gotham" w:hAnsi="Gotham"/>
          <w:bCs/>
          <w:sz w:val="20"/>
          <w:szCs w:val="20"/>
        </w:rPr>
        <w:t>Galardón Cualli Tonalli</w:t>
      </w:r>
      <w:r w:rsidRPr="0012765C">
        <w:rPr>
          <w:rFonts w:ascii="Gotham" w:hAnsi="Gotham"/>
          <w:sz w:val="20"/>
          <w:szCs w:val="20"/>
        </w:rPr>
        <w:t>” a los ciudadanos sobresalientes por su labor social.</w:t>
      </w:r>
    </w:p>
    <w:p w14:paraId="3A47317F" w14:textId="77777777" w:rsidR="00016FE1" w:rsidRDefault="00016FE1" w:rsidP="002B6227">
      <w:pPr>
        <w:ind w:left="567" w:hanging="567"/>
        <w:jc w:val="both"/>
        <w:rPr>
          <w:rFonts w:ascii="Gotham" w:hAnsi="Gotham"/>
          <w:bCs/>
          <w:sz w:val="20"/>
          <w:szCs w:val="20"/>
        </w:rPr>
      </w:pPr>
    </w:p>
    <w:p w14:paraId="3A473180" w14:textId="77777777" w:rsidR="00016FE1" w:rsidRPr="0012765C" w:rsidRDefault="00016FE1" w:rsidP="002B6227">
      <w:pPr>
        <w:ind w:left="567" w:hanging="567"/>
        <w:jc w:val="both"/>
        <w:rPr>
          <w:rFonts w:ascii="Gotham" w:hAnsi="Gotham"/>
          <w:sz w:val="20"/>
          <w:szCs w:val="20"/>
        </w:rPr>
      </w:pPr>
      <w:r w:rsidRPr="0012765C">
        <w:rPr>
          <w:rFonts w:ascii="Gotham" w:hAnsi="Gotham"/>
          <w:bCs/>
          <w:sz w:val="20"/>
          <w:szCs w:val="20"/>
        </w:rPr>
        <w:t xml:space="preserve">2.- </w:t>
      </w:r>
      <w:r>
        <w:rPr>
          <w:rFonts w:ascii="Gotham" w:hAnsi="Gotham"/>
          <w:bCs/>
          <w:sz w:val="20"/>
          <w:szCs w:val="20"/>
        </w:rPr>
        <w:tab/>
      </w:r>
      <w:r w:rsidRPr="0012765C">
        <w:rPr>
          <w:rFonts w:ascii="Gotham" w:hAnsi="Gotham"/>
          <w:sz w:val="20"/>
          <w:szCs w:val="20"/>
        </w:rPr>
        <w:t xml:space="preserve">A su vez, a través del acuerdo de ayuntamiento con </w:t>
      </w:r>
      <w:r w:rsidRPr="0012765C">
        <w:rPr>
          <w:rFonts w:ascii="Gotham" w:hAnsi="Gotham"/>
          <w:bCs/>
          <w:sz w:val="20"/>
          <w:szCs w:val="20"/>
        </w:rPr>
        <w:t>N. 1024</w:t>
      </w:r>
      <w:r w:rsidRPr="0012765C">
        <w:rPr>
          <w:rFonts w:ascii="Gotham" w:hAnsi="Gotham"/>
          <w:sz w:val="20"/>
          <w:szCs w:val="20"/>
        </w:rPr>
        <w:t>, de la Sesión ordinaria de fecha 27 de febrero de 2024, se aprobó la propuesta de modificación del contenido de la convocatoria del “</w:t>
      </w:r>
      <w:r w:rsidRPr="0012765C">
        <w:rPr>
          <w:rFonts w:ascii="Gotham" w:hAnsi="Gotham"/>
          <w:bCs/>
          <w:sz w:val="20"/>
          <w:szCs w:val="20"/>
        </w:rPr>
        <w:t>Galardón Cualli Tonalli</w:t>
      </w:r>
      <w:r w:rsidRPr="0012765C">
        <w:rPr>
          <w:rFonts w:ascii="Gotham" w:hAnsi="Gotham"/>
          <w:sz w:val="20"/>
          <w:szCs w:val="20"/>
        </w:rPr>
        <w:t xml:space="preserve">”, aprobada por conducto del Acuerdo </w:t>
      </w:r>
      <w:r w:rsidRPr="0012765C">
        <w:rPr>
          <w:rFonts w:ascii="Gotham" w:hAnsi="Gotham"/>
          <w:bCs/>
          <w:sz w:val="20"/>
          <w:szCs w:val="20"/>
        </w:rPr>
        <w:t>N. º320</w:t>
      </w:r>
      <w:r w:rsidRPr="0012765C">
        <w:rPr>
          <w:rFonts w:ascii="Gotham" w:hAnsi="Gotham"/>
          <w:sz w:val="20"/>
          <w:szCs w:val="20"/>
        </w:rPr>
        <w:t xml:space="preserve"> con motivo del día de la Participación Ciudadana, en virtud de las consideraciones señaladas por la Comisión Edilicia de Bienestar, Desarrollo, Asistencia Social y Familiar, en aras de perfeccionar y optimizar los procesos de selección y premiación. Asimismo, aprobándose celebrar en Sesión Solemne de Ayuntamiento la entrega de dicho galardón en el mes de agosto de 2024. </w:t>
      </w:r>
    </w:p>
    <w:p w14:paraId="3A473181" w14:textId="77777777" w:rsidR="00016FE1" w:rsidRDefault="00016FE1" w:rsidP="002B6227">
      <w:pPr>
        <w:ind w:left="567" w:hanging="567"/>
        <w:jc w:val="both"/>
        <w:rPr>
          <w:rFonts w:ascii="Gotham" w:hAnsi="Gotham"/>
          <w:bCs/>
          <w:sz w:val="20"/>
          <w:szCs w:val="20"/>
        </w:rPr>
      </w:pPr>
    </w:p>
    <w:p w14:paraId="3A473182" w14:textId="77777777" w:rsidR="00016FE1" w:rsidRPr="0012765C" w:rsidRDefault="00016FE1" w:rsidP="002B6227">
      <w:pPr>
        <w:ind w:left="567" w:hanging="567"/>
        <w:jc w:val="both"/>
        <w:rPr>
          <w:rFonts w:ascii="Gotham" w:hAnsi="Gotham"/>
          <w:sz w:val="20"/>
          <w:szCs w:val="20"/>
        </w:rPr>
      </w:pPr>
      <w:r w:rsidRPr="0012765C">
        <w:rPr>
          <w:rFonts w:ascii="Gotham" w:hAnsi="Gotham"/>
          <w:bCs/>
          <w:sz w:val="20"/>
          <w:szCs w:val="20"/>
        </w:rPr>
        <w:t xml:space="preserve">3.- </w:t>
      </w:r>
      <w:r>
        <w:rPr>
          <w:rFonts w:ascii="Gotham" w:hAnsi="Gotham"/>
          <w:bCs/>
          <w:sz w:val="20"/>
          <w:szCs w:val="20"/>
        </w:rPr>
        <w:tab/>
      </w:r>
      <w:r w:rsidRPr="0012765C">
        <w:rPr>
          <w:rFonts w:ascii="Gotham" w:hAnsi="Gotham"/>
          <w:sz w:val="20"/>
          <w:szCs w:val="20"/>
        </w:rPr>
        <w:t xml:space="preserve">Por último, en el mes de mayo de la presente anualidad, mediante el acuerdo </w:t>
      </w:r>
      <w:r w:rsidRPr="0012765C">
        <w:rPr>
          <w:rFonts w:ascii="Gotham" w:hAnsi="Gotham"/>
          <w:bCs/>
          <w:sz w:val="20"/>
          <w:szCs w:val="20"/>
        </w:rPr>
        <w:t>No. 1090</w:t>
      </w:r>
      <w:r w:rsidRPr="0012765C">
        <w:rPr>
          <w:rFonts w:ascii="Gotham" w:hAnsi="Gotham"/>
          <w:sz w:val="20"/>
          <w:szCs w:val="20"/>
        </w:rPr>
        <w:t>, de la Trigésimo Segunda Sesión Ordinaria de Ayuntamiento, se aprobó la celebración de la Sesión Solemne de Ayuntamiento para la realización del “</w:t>
      </w:r>
      <w:r w:rsidRPr="0012765C">
        <w:rPr>
          <w:rFonts w:ascii="Gotham" w:hAnsi="Gotham"/>
          <w:bCs/>
          <w:sz w:val="20"/>
          <w:szCs w:val="20"/>
        </w:rPr>
        <w:t>Cabildo de las Personas Adultas Mayores 2024</w:t>
      </w:r>
      <w:r w:rsidRPr="0012765C">
        <w:rPr>
          <w:rFonts w:ascii="Gotham" w:hAnsi="Gotham"/>
          <w:sz w:val="20"/>
          <w:szCs w:val="20"/>
        </w:rPr>
        <w:t>”, autoriz</w:t>
      </w:r>
      <w:r>
        <w:rPr>
          <w:rFonts w:ascii="Gotham" w:hAnsi="Gotham"/>
          <w:sz w:val="20"/>
          <w:szCs w:val="20"/>
        </w:rPr>
        <w:t>án</w:t>
      </w:r>
      <w:r w:rsidRPr="0012765C">
        <w:rPr>
          <w:rFonts w:ascii="Gotham" w:hAnsi="Gotham"/>
          <w:sz w:val="20"/>
          <w:szCs w:val="20"/>
        </w:rPr>
        <w:t xml:space="preserve">dose su verificativo el día 28 de agosto del 2024, dentro del marco de la conmemoración del “Día Nacional de las Personas Mayores”. </w:t>
      </w:r>
    </w:p>
    <w:p w14:paraId="3A473183" w14:textId="77777777" w:rsidR="00016FE1" w:rsidRDefault="00016FE1" w:rsidP="002B6227">
      <w:pPr>
        <w:jc w:val="both"/>
        <w:rPr>
          <w:rFonts w:ascii="Gotham" w:hAnsi="Gotham"/>
          <w:sz w:val="20"/>
          <w:szCs w:val="20"/>
        </w:rPr>
      </w:pPr>
    </w:p>
    <w:p w14:paraId="3A473184" w14:textId="77777777" w:rsidR="00016FE1" w:rsidRPr="0012765C" w:rsidRDefault="00016FE1" w:rsidP="002B6227">
      <w:pPr>
        <w:jc w:val="both"/>
        <w:rPr>
          <w:rFonts w:ascii="Gotham" w:hAnsi="Gotham"/>
          <w:sz w:val="20"/>
          <w:szCs w:val="20"/>
        </w:rPr>
      </w:pPr>
      <w:r w:rsidRPr="0012765C">
        <w:rPr>
          <w:rFonts w:ascii="Gotham" w:hAnsi="Gotham"/>
          <w:sz w:val="20"/>
          <w:szCs w:val="20"/>
        </w:rPr>
        <w:t xml:space="preserve">Por lo que por lo anteriormente dicho someto a su consideración la siguiente iniciativa de: </w:t>
      </w:r>
    </w:p>
    <w:p w14:paraId="3A473185" w14:textId="77777777" w:rsidR="00016FE1" w:rsidRDefault="00016FE1" w:rsidP="002B6227">
      <w:pPr>
        <w:jc w:val="center"/>
        <w:rPr>
          <w:rFonts w:ascii="Gotham" w:hAnsi="Gotham"/>
          <w:sz w:val="20"/>
          <w:szCs w:val="20"/>
        </w:rPr>
      </w:pPr>
    </w:p>
    <w:p w14:paraId="3A473186" w14:textId="77777777" w:rsidR="00016FE1" w:rsidRPr="0012765C" w:rsidRDefault="00016FE1" w:rsidP="002B6227">
      <w:pPr>
        <w:jc w:val="center"/>
        <w:rPr>
          <w:rFonts w:ascii="Gotham" w:hAnsi="Gotham"/>
          <w:sz w:val="20"/>
          <w:szCs w:val="20"/>
        </w:rPr>
      </w:pPr>
      <w:r w:rsidRPr="0012765C">
        <w:rPr>
          <w:rFonts w:ascii="Gotham" w:hAnsi="Gotham"/>
          <w:sz w:val="20"/>
          <w:szCs w:val="20"/>
        </w:rPr>
        <w:t>A C U E R D O</w:t>
      </w:r>
    </w:p>
    <w:p w14:paraId="3A473187" w14:textId="77777777" w:rsidR="00016FE1" w:rsidRDefault="00016FE1" w:rsidP="002B6227">
      <w:pPr>
        <w:jc w:val="both"/>
        <w:rPr>
          <w:rFonts w:ascii="Gotham" w:hAnsi="Gotham"/>
          <w:sz w:val="20"/>
          <w:szCs w:val="20"/>
        </w:rPr>
      </w:pPr>
    </w:p>
    <w:p w14:paraId="3A473188" w14:textId="77777777" w:rsidR="00016FE1" w:rsidRPr="0012765C" w:rsidRDefault="00016FE1" w:rsidP="002B6227">
      <w:pPr>
        <w:jc w:val="both"/>
        <w:rPr>
          <w:rFonts w:ascii="Gotham" w:hAnsi="Gotham"/>
          <w:sz w:val="20"/>
          <w:szCs w:val="20"/>
        </w:rPr>
      </w:pPr>
      <w:r w:rsidRPr="0012765C">
        <w:rPr>
          <w:rFonts w:ascii="Gotham" w:hAnsi="Gotham"/>
          <w:sz w:val="20"/>
          <w:szCs w:val="20"/>
        </w:rPr>
        <w:t xml:space="preserve">PRIMERO. Se aprueba la </w:t>
      </w:r>
      <w:r w:rsidRPr="0012765C">
        <w:rPr>
          <w:rFonts w:ascii="Gotham" w:hAnsi="Gotham"/>
          <w:bCs/>
          <w:sz w:val="20"/>
          <w:szCs w:val="20"/>
        </w:rPr>
        <w:t>celebración de las Sesiones Solemnes: “Galardón Cualli Tonalli 2024” y “Cabildo de las Personas Adultas Mayores 2024”, el mismo día en el mes de agosto de 2024, previo citatorio remitido en tiempo y forma por el Presidente Municipal, autorizando su celebración en el Recinto Oficial del Salón “Tonaltecas Ilustres”, dentro del edificio que ocupa el Palacio Municipal de Tonalá, Jalisco; ubicado en Hidalgo N</w:t>
      </w:r>
      <w:proofErr w:type="gramStart"/>
      <w:r w:rsidRPr="0012765C">
        <w:rPr>
          <w:rFonts w:ascii="Gotham" w:hAnsi="Gotham"/>
          <w:bCs/>
          <w:sz w:val="20"/>
          <w:szCs w:val="20"/>
        </w:rPr>
        <w:t>.º</w:t>
      </w:r>
      <w:proofErr w:type="gramEnd"/>
      <w:r w:rsidRPr="0012765C">
        <w:rPr>
          <w:rFonts w:ascii="Gotham" w:hAnsi="Gotham"/>
          <w:bCs/>
          <w:sz w:val="20"/>
          <w:szCs w:val="20"/>
        </w:rPr>
        <w:t>21.</w:t>
      </w:r>
    </w:p>
    <w:p w14:paraId="3A473189" w14:textId="77777777" w:rsidR="00016FE1" w:rsidRDefault="00016FE1" w:rsidP="002B6227">
      <w:pPr>
        <w:jc w:val="both"/>
        <w:rPr>
          <w:rFonts w:ascii="Gotham" w:hAnsi="Gotham"/>
          <w:sz w:val="20"/>
          <w:szCs w:val="20"/>
        </w:rPr>
      </w:pPr>
    </w:p>
    <w:p w14:paraId="3A47318A" w14:textId="77777777" w:rsidR="00016FE1" w:rsidRPr="0012765C" w:rsidRDefault="00016FE1" w:rsidP="002B6227">
      <w:pPr>
        <w:jc w:val="both"/>
        <w:rPr>
          <w:rFonts w:ascii="Gotham" w:hAnsi="Gotham" w:cs="Arial"/>
          <w:bCs/>
          <w:sz w:val="20"/>
          <w:szCs w:val="20"/>
        </w:rPr>
      </w:pPr>
      <w:r w:rsidRPr="0012765C">
        <w:rPr>
          <w:rFonts w:ascii="Gotham" w:hAnsi="Gotham"/>
          <w:sz w:val="20"/>
          <w:szCs w:val="20"/>
        </w:rPr>
        <w:lastRenderedPageBreak/>
        <w:t xml:space="preserve">SEGUNDO. </w:t>
      </w:r>
      <w:r w:rsidRPr="0012765C">
        <w:rPr>
          <w:rFonts w:ascii="Gotham" w:hAnsi="Gotham"/>
          <w:bCs/>
          <w:sz w:val="20"/>
          <w:szCs w:val="20"/>
        </w:rPr>
        <w:t>Notifíquese al Organismo Público Descentralizado Sistema Integral para la Familia DIF, para su conocimiento como coordinador de manera general los trabajos para la realización del “Cabildo de las Personas Adultas Mayores 2024".</w:t>
      </w:r>
    </w:p>
    <w:p w14:paraId="3A47318B" w14:textId="77777777" w:rsidR="00016FE1" w:rsidRDefault="00016FE1" w:rsidP="002B6227">
      <w:pPr>
        <w:jc w:val="both"/>
        <w:rPr>
          <w:rFonts w:ascii="Gotham" w:hAnsi="Gotham"/>
          <w:sz w:val="20"/>
          <w:szCs w:val="20"/>
        </w:rPr>
      </w:pPr>
    </w:p>
    <w:p w14:paraId="3A47318C" w14:textId="77777777" w:rsidR="00016FE1" w:rsidRPr="0012765C" w:rsidRDefault="00016FE1" w:rsidP="002B6227">
      <w:pPr>
        <w:jc w:val="both"/>
        <w:rPr>
          <w:rFonts w:ascii="Gotham" w:hAnsi="Gotham"/>
          <w:sz w:val="20"/>
          <w:szCs w:val="20"/>
        </w:rPr>
      </w:pPr>
      <w:r w:rsidRPr="0012765C">
        <w:rPr>
          <w:rFonts w:ascii="Gotham" w:hAnsi="Gotham"/>
          <w:sz w:val="20"/>
          <w:szCs w:val="20"/>
        </w:rPr>
        <w:t xml:space="preserve">TERCERO. </w:t>
      </w:r>
      <w:r w:rsidRPr="0012765C">
        <w:rPr>
          <w:rFonts w:ascii="Gotham" w:hAnsi="Gotham"/>
          <w:bCs/>
          <w:sz w:val="20"/>
          <w:szCs w:val="20"/>
        </w:rPr>
        <w:t xml:space="preserve">Notifíquese a las Comisiones de Bienestar y Desarrollo Asistencia Social y Familiar, y la presidenta de la Comisión Edilicia de Festividades Cívicas, Espectáculos Públicos y Crónica Municipal, por lo que ve a la celebración del “Galardón Cualli Tonalli 2024”, a fin de que informe a los participantes respecto del día y hora de su celebración. </w:t>
      </w:r>
    </w:p>
    <w:p w14:paraId="3A47318D" w14:textId="77777777" w:rsidR="00016FE1" w:rsidRDefault="00016FE1" w:rsidP="002B6227">
      <w:pPr>
        <w:jc w:val="both"/>
        <w:rPr>
          <w:rFonts w:ascii="Gotham" w:hAnsi="Gotham"/>
          <w:sz w:val="20"/>
          <w:szCs w:val="20"/>
        </w:rPr>
      </w:pPr>
    </w:p>
    <w:p w14:paraId="3A47318E" w14:textId="77777777" w:rsidR="00016FE1" w:rsidRPr="0012765C" w:rsidRDefault="00016FE1" w:rsidP="002B6227">
      <w:pPr>
        <w:jc w:val="both"/>
        <w:rPr>
          <w:rFonts w:ascii="Gotham" w:hAnsi="Gotham"/>
          <w:sz w:val="20"/>
          <w:szCs w:val="20"/>
        </w:rPr>
      </w:pPr>
      <w:r w:rsidRPr="0012765C">
        <w:rPr>
          <w:rFonts w:ascii="Gotham" w:hAnsi="Gotham"/>
          <w:sz w:val="20"/>
          <w:szCs w:val="20"/>
        </w:rPr>
        <w:t xml:space="preserve">CUARTO. </w:t>
      </w:r>
      <w:r w:rsidRPr="0012765C">
        <w:rPr>
          <w:rFonts w:ascii="Gotham" w:hAnsi="Gotham"/>
          <w:bCs/>
          <w:sz w:val="20"/>
          <w:szCs w:val="20"/>
        </w:rPr>
        <w:t xml:space="preserve">Se instruye a la dirección de Comunicación </w:t>
      </w:r>
      <w:r>
        <w:rPr>
          <w:rFonts w:ascii="Gotham" w:hAnsi="Gotham"/>
          <w:bCs/>
          <w:sz w:val="20"/>
          <w:szCs w:val="20"/>
        </w:rPr>
        <w:t>S</w:t>
      </w:r>
      <w:r w:rsidRPr="0012765C">
        <w:rPr>
          <w:rFonts w:ascii="Gotham" w:hAnsi="Gotham"/>
          <w:bCs/>
          <w:sz w:val="20"/>
          <w:szCs w:val="20"/>
        </w:rPr>
        <w:t>ocial, para que realice la difusión necesaria, de la celebración de las Sesiones Solemnes aquí mencionadas.</w:t>
      </w:r>
    </w:p>
    <w:p w14:paraId="3A47318F" w14:textId="77777777" w:rsidR="00016FE1" w:rsidRDefault="00016FE1" w:rsidP="002B6227">
      <w:pPr>
        <w:jc w:val="both"/>
        <w:rPr>
          <w:rFonts w:ascii="Gotham" w:hAnsi="Gotham"/>
          <w:sz w:val="20"/>
          <w:szCs w:val="20"/>
        </w:rPr>
      </w:pPr>
    </w:p>
    <w:p w14:paraId="3A473190" w14:textId="77777777" w:rsidR="00016FE1" w:rsidRPr="0012765C" w:rsidRDefault="00016FE1" w:rsidP="002B6227">
      <w:pPr>
        <w:jc w:val="both"/>
        <w:rPr>
          <w:rFonts w:ascii="Gotham" w:hAnsi="Gotham"/>
          <w:bCs/>
          <w:sz w:val="20"/>
          <w:szCs w:val="20"/>
        </w:rPr>
      </w:pPr>
      <w:r w:rsidRPr="0012765C">
        <w:rPr>
          <w:rFonts w:ascii="Gotham" w:hAnsi="Gotham"/>
          <w:sz w:val="20"/>
          <w:szCs w:val="20"/>
        </w:rPr>
        <w:t xml:space="preserve">QUINTO. </w:t>
      </w:r>
      <w:r w:rsidRPr="0012765C">
        <w:rPr>
          <w:rFonts w:ascii="Gotham" w:hAnsi="Gotham"/>
          <w:bCs/>
          <w:sz w:val="20"/>
          <w:szCs w:val="20"/>
        </w:rPr>
        <w:t>Notifíquese a la Jefatura de Relaciones Públicas</w:t>
      </w:r>
      <w:r>
        <w:rPr>
          <w:rFonts w:ascii="Gotham" w:hAnsi="Gotham"/>
          <w:bCs/>
          <w:sz w:val="20"/>
          <w:szCs w:val="20"/>
        </w:rPr>
        <w:t>,</w:t>
      </w:r>
      <w:r w:rsidRPr="0012765C">
        <w:rPr>
          <w:rFonts w:ascii="Gotham" w:hAnsi="Gotham"/>
          <w:bCs/>
          <w:sz w:val="20"/>
          <w:szCs w:val="20"/>
        </w:rPr>
        <w:t xml:space="preserve"> así como a la de Logística, para que coadyuven de acuerdo a sus facultades, en la celebración de dichas Sesiones Solemnes. </w:t>
      </w:r>
    </w:p>
    <w:p w14:paraId="3A473191" w14:textId="77777777" w:rsidR="00016FE1" w:rsidRDefault="00016FE1" w:rsidP="002B6227">
      <w:pPr>
        <w:jc w:val="both"/>
        <w:rPr>
          <w:rFonts w:ascii="Gotham" w:hAnsi="Gotham"/>
          <w:sz w:val="20"/>
          <w:szCs w:val="20"/>
        </w:rPr>
      </w:pPr>
    </w:p>
    <w:p w14:paraId="3A473192" w14:textId="77777777" w:rsidR="00016FE1" w:rsidRDefault="00016FE1" w:rsidP="002B6227">
      <w:pPr>
        <w:tabs>
          <w:tab w:val="left" w:pos="142"/>
          <w:tab w:val="left" w:pos="284"/>
        </w:tabs>
        <w:jc w:val="both"/>
        <w:rPr>
          <w:rFonts w:ascii="Gotham" w:hAnsi="Gotham"/>
          <w:bCs/>
          <w:sz w:val="20"/>
          <w:szCs w:val="20"/>
        </w:rPr>
      </w:pPr>
      <w:r w:rsidRPr="0012765C">
        <w:rPr>
          <w:rFonts w:ascii="Gotham" w:hAnsi="Gotham"/>
          <w:sz w:val="20"/>
          <w:szCs w:val="20"/>
        </w:rPr>
        <w:t xml:space="preserve">SEXTO. </w:t>
      </w:r>
      <w:r w:rsidRPr="0012765C">
        <w:rPr>
          <w:rFonts w:ascii="Gotham" w:hAnsi="Gotham"/>
          <w:bCs/>
          <w:sz w:val="20"/>
          <w:szCs w:val="20"/>
        </w:rPr>
        <w:t>Se faculta al presidente Municipal, Síndico y Secretaria General de este Ayuntamiento Constitucional de Tonalá, Jalisco, para que suscriban la documentación necesaria para el cumplimiento del presente acuerdo.</w:t>
      </w:r>
    </w:p>
    <w:p w14:paraId="3A473193" w14:textId="77777777" w:rsidR="00016FE1" w:rsidRDefault="00016FE1" w:rsidP="002B6227">
      <w:pPr>
        <w:tabs>
          <w:tab w:val="left" w:pos="142"/>
          <w:tab w:val="left" w:pos="284"/>
        </w:tabs>
        <w:jc w:val="both"/>
        <w:rPr>
          <w:rFonts w:ascii="Gotham" w:hAnsi="Gotham"/>
          <w:bCs/>
          <w:sz w:val="20"/>
          <w:szCs w:val="20"/>
        </w:rPr>
      </w:pPr>
    </w:p>
    <w:p w14:paraId="3A473194"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señala que, en consecuencia, se abre la discusión, en lo general y en lo particular, con referencia a la presente Iniciativa con Dispensa de Trámite, consultando a las y los Regidores si alguien desea hacer uso de la voz; instruyendo a la Secretaria General, para que registre a los oradores.</w:t>
      </w:r>
    </w:p>
    <w:p w14:paraId="3A473195" w14:textId="77777777" w:rsidR="00016FE1" w:rsidRDefault="00016FE1" w:rsidP="002B6227">
      <w:pPr>
        <w:jc w:val="both"/>
        <w:rPr>
          <w:rFonts w:ascii="Gotham" w:eastAsia="Gotham" w:hAnsi="Gotham" w:cs="Gotham"/>
          <w:sz w:val="20"/>
          <w:szCs w:val="20"/>
        </w:rPr>
      </w:pPr>
    </w:p>
    <w:p w14:paraId="3A473196"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informativa, la Secretaria General, Celia Isabel Gauna Ruíz de León, manifiesta que, como lo indica señor Presidente, le informo que no se cuenta con registro de oradores.</w:t>
      </w:r>
    </w:p>
    <w:p w14:paraId="3A473197" w14:textId="77777777" w:rsidR="00016FE1" w:rsidRDefault="00016FE1" w:rsidP="002B6227">
      <w:pPr>
        <w:jc w:val="both"/>
        <w:rPr>
          <w:rFonts w:ascii="Gotham" w:eastAsia="Gotham" w:hAnsi="Gotham" w:cs="Gotham"/>
          <w:sz w:val="20"/>
          <w:szCs w:val="20"/>
        </w:rPr>
      </w:pPr>
    </w:p>
    <w:p w14:paraId="3A473198"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3A473199" w14:textId="77777777" w:rsidR="00016FE1" w:rsidRDefault="00016FE1" w:rsidP="002B6227">
      <w:pPr>
        <w:jc w:val="both"/>
        <w:rPr>
          <w:rFonts w:ascii="Gotham" w:eastAsia="Gotham" w:hAnsi="Gotham" w:cs="Gotham"/>
          <w:sz w:val="20"/>
          <w:szCs w:val="20"/>
        </w:rPr>
      </w:pPr>
    </w:p>
    <w:p w14:paraId="3A47319A"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 xml:space="preserve">En uso de la voz informativa, la Secretaria General, Celia Isabel Gauna Ruíz de León, menciona que, como lo indica señor Presidente, le informo que se registraron un total de </w:t>
      </w:r>
      <w:r w:rsidRPr="001618F1">
        <w:rPr>
          <w:rFonts w:ascii="Gotham" w:eastAsia="Gotham" w:hAnsi="Gotham" w:cs="Gotham"/>
          <w:sz w:val="20"/>
          <w:szCs w:val="20"/>
        </w:rPr>
        <w:t>17 votos a favor; encontrándose ausente en el momento de la votación el Regidor Alejandro Buenrostro Hernández</w:t>
      </w:r>
      <w:r>
        <w:rPr>
          <w:rFonts w:ascii="Gotham" w:eastAsia="Gotham" w:hAnsi="Gotham" w:cs="Gotham"/>
          <w:sz w:val="20"/>
          <w:szCs w:val="20"/>
        </w:rPr>
        <w:t>.</w:t>
      </w:r>
    </w:p>
    <w:p w14:paraId="3A47319B" w14:textId="77777777" w:rsidR="00016FE1" w:rsidRDefault="00016FE1" w:rsidP="002B6227">
      <w:pPr>
        <w:tabs>
          <w:tab w:val="left" w:pos="142"/>
          <w:tab w:val="left" w:pos="284"/>
        </w:tabs>
        <w:jc w:val="both"/>
        <w:rPr>
          <w:rFonts w:ascii="Gotham" w:hAnsi="Gotham" w:cs="Arial"/>
          <w:sz w:val="20"/>
          <w:szCs w:val="20"/>
        </w:rPr>
      </w:pPr>
    </w:p>
    <w:p w14:paraId="3A47319C" w14:textId="77777777" w:rsidR="00016FE1" w:rsidRDefault="00016FE1" w:rsidP="002B6227">
      <w:pPr>
        <w:jc w:val="both"/>
      </w:pPr>
      <w:r>
        <w:rPr>
          <w:rFonts w:ascii="Gotham" w:eastAsia="Gotham" w:hAnsi="Gotham" w:cs="Gotham"/>
          <w:sz w:val="20"/>
          <w:szCs w:val="20"/>
        </w:rPr>
        <w:t>En uso de la voz el Presidente Municipal, Sergio Armando Chávez Dávalos, señala que, gracias Secretaria; queda aprobado.</w:t>
      </w:r>
    </w:p>
    <w:p w14:paraId="3A47319D" w14:textId="77777777" w:rsidR="00016FE1" w:rsidRDefault="00016FE1" w:rsidP="002B6227">
      <w:pPr>
        <w:tabs>
          <w:tab w:val="left" w:pos="142"/>
          <w:tab w:val="left" w:pos="284"/>
        </w:tabs>
        <w:jc w:val="both"/>
        <w:rPr>
          <w:rFonts w:ascii="Gotham" w:hAnsi="Gotham" w:cs="Arial"/>
          <w:sz w:val="20"/>
          <w:szCs w:val="20"/>
        </w:rPr>
      </w:pPr>
    </w:p>
    <w:p w14:paraId="3A47319E" w14:textId="77777777" w:rsidR="00016FE1" w:rsidRDefault="00016FE1" w:rsidP="002B6227">
      <w:pPr>
        <w:tabs>
          <w:tab w:val="left" w:pos="142"/>
          <w:tab w:val="left" w:pos="284"/>
        </w:tabs>
        <w:jc w:val="both"/>
        <w:rPr>
          <w:rFonts w:ascii="Gotham" w:hAnsi="Gotham" w:cs="Arial"/>
          <w:sz w:val="20"/>
          <w:szCs w:val="20"/>
        </w:rPr>
      </w:pPr>
    </w:p>
    <w:p w14:paraId="3A47319F" w14:textId="77777777" w:rsidR="00016FE1" w:rsidRPr="00C52792" w:rsidRDefault="00016FE1" w:rsidP="002B6227">
      <w:pPr>
        <w:pStyle w:val="western"/>
        <w:spacing w:before="0" w:beforeAutospacing="0"/>
        <w:jc w:val="right"/>
        <w:rPr>
          <w:rFonts w:ascii="Gotham" w:hAnsi="Gotham"/>
          <w:b/>
          <w:sz w:val="22"/>
          <w:szCs w:val="22"/>
          <w:u w:val="single"/>
        </w:rPr>
      </w:pPr>
      <w:r w:rsidRPr="00C52792">
        <w:rPr>
          <w:rFonts w:ascii="Gotham" w:hAnsi="Gotham"/>
          <w:b/>
          <w:sz w:val="22"/>
          <w:szCs w:val="22"/>
          <w:u w:val="single"/>
        </w:rPr>
        <w:t xml:space="preserve">ACUERDO NO. </w:t>
      </w:r>
      <w:r>
        <w:rPr>
          <w:rFonts w:ascii="Gotham" w:hAnsi="Gotham"/>
          <w:b/>
          <w:sz w:val="22"/>
          <w:szCs w:val="22"/>
          <w:u w:val="single"/>
        </w:rPr>
        <w:t>1109</w:t>
      </w:r>
    </w:p>
    <w:p w14:paraId="3A4731A0" w14:textId="77777777" w:rsidR="00016FE1" w:rsidRPr="00C554B0" w:rsidRDefault="00016FE1" w:rsidP="002B6227">
      <w:pPr>
        <w:tabs>
          <w:tab w:val="left" w:pos="142"/>
          <w:tab w:val="left" w:pos="284"/>
        </w:tabs>
        <w:jc w:val="both"/>
        <w:rPr>
          <w:rFonts w:ascii="Gotham" w:hAnsi="Gotham" w:cs="Helvetica"/>
          <w:sz w:val="20"/>
          <w:szCs w:val="20"/>
        </w:rPr>
      </w:pPr>
      <w:r w:rsidRPr="00C52792">
        <w:rPr>
          <w:rFonts w:ascii="Gotham" w:hAnsi="Gotham"/>
          <w:b/>
          <w:bCs/>
          <w:smallCaps/>
          <w:sz w:val="20"/>
          <w:szCs w:val="20"/>
        </w:rPr>
        <w:t>Segunda Iniciativa con Dispensa de Trámite</w:t>
      </w:r>
      <w:r w:rsidRPr="00C52792">
        <w:rPr>
          <w:rFonts w:ascii="Gotham" w:hAnsi="Gotham"/>
          <w:b/>
          <w:bCs/>
          <w:sz w:val="20"/>
          <w:szCs w:val="20"/>
        </w:rPr>
        <w:t xml:space="preserve">.- </w:t>
      </w:r>
      <w:r>
        <w:rPr>
          <w:rFonts w:ascii="Gotham" w:hAnsi="Gotham" w:cs="Arial"/>
          <w:sz w:val="20"/>
          <w:szCs w:val="20"/>
        </w:rPr>
        <w:t>En uso de la voz la Regidora María Esther Ayala Alba, manifiesta que, c</w:t>
      </w:r>
      <w:r w:rsidRPr="00C554B0">
        <w:rPr>
          <w:rFonts w:ascii="Gotham" w:hAnsi="Gotham" w:cs="Helvetica"/>
          <w:sz w:val="20"/>
          <w:szCs w:val="20"/>
        </w:rPr>
        <w:t xml:space="preserve">on su </w:t>
      </w:r>
      <w:r>
        <w:rPr>
          <w:rFonts w:ascii="Gotham" w:hAnsi="Gotham" w:cs="Helvetica"/>
          <w:sz w:val="20"/>
          <w:szCs w:val="20"/>
        </w:rPr>
        <w:t>p</w:t>
      </w:r>
      <w:r w:rsidRPr="00C554B0">
        <w:rPr>
          <w:rFonts w:ascii="Gotham" w:hAnsi="Gotham" w:cs="Helvetica"/>
          <w:sz w:val="20"/>
          <w:szCs w:val="20"/>
        </w:rPr>
        <w:t>ermiso Ciudadano Presidente Municipal; Sergio Amando Chávez Dávalos, Síndico municipal Nicolás Maestro Landeros, Secretaria General Celia Isabel Gauna Ruiz de León, compañeros Regidores y Regidoras de este Honorable Pleno de Cabildo, Administración 2021- 2024, con fundamento en los artículos 13, 14, 22, 25, 28, 29, 70, 82 fracción II y 83 del Reglamento para el Funcionamiento Interno de las Sesiones y Comisiones del Ayuntamiento Constitucional de Tonalá, Jalisco, lo dispuesto por los artículos 3º, 27, 29, 34, 35, 36 fracción 11, 37, 38, 41, 44, 49, 50, 94, 103, 111, 115, 127, 128, 129, 135, 136, y 141 de la Ley del Gobierno y de la Administración Pública Municipal del Estado de Jalisco, los artículos 1, 6, 15, 18, 26, 27, 29, 30, 32, 33, 34, 35</w:t>
      </w:r>
      <w:r>
        <w:rPr>
          <w:rFonts w:ascii="Gotham" w:hAnsi="Gotham" w:cs="Helvetica"/>
          <w:sz w:val="20"/>
          <w:szCs w:val="20"/>
        </w:rPr>
        <w:t xml:space="preserve">, </w:t>
      </w:r>
      <w:r w:rsidRPr="00C554B0">
        <w:rPr>
          <w:rFonts w:ascii="Gotham" w:hAnsi="Gotham" w:cs="Helvetica"/>
          <w:sz w:val="20"/>
          <w:szCs w:val="20"/>
        </w:rPr>
        <w:t>38, 39 fracción XVII, 53 fracción LV, 55, 56, 73, 92, 93, 94, 97, 9</w:t>
      </w:r>
      <w:r>
        <w:rPr>
          <w:rFonts w:ascii="Gotham" w:hAnsi="Gotham" w:cs="Helvetica"/>
          <w:sz w:val="20"/>
          <w:szCs w:val="20"/>
        </w:rPr>
        <w:t>9, 100, 102, 116, 118, 120, 128</w:t>
      </w:r>
      <w:r w:rsidRPr="00C554B0">
        <w:rPr>
          <w:rFonts w:ascii="Gotham" w:hAnsi="Gotham" w:cs="Helvetica"/>
          <w:sz w:val="20"/>
          <w:szCs w:val="20"/>
        </w:rPr>
        <w:t xml:space="preserve">, 201 fracción V, 211, 212, 254, 258, 267, 268, </w:t>
      </w:r>
      <w:r w:rsidRPr="00C554B0">
        <w:rPr>
          <w:rFonts w:ascii="Gotham" w:hAnsi="Gotham" w:cs="Helvetica"/>
          <w:sz w:val="20"/>
          <w:szCs w:val="20"/>
        </w:rPr>
        <w:lastRenderedPageBreak/>
        <w:t>269, 271, 272, 273, 274, 275, 276, 277, 278, 279, 280, 281, 282, 283, 284, 291, 292, 293, 294, 295, 308, 309, 310, 311, 312, 313, 328 relativos y aplicables del Reglamento del Gobierno y de la Administración Pública del Ayuntamiento Constitucional de Tonalá, Jalisco. Honorable Ayuntamiento del este Municipio, y con el debido respeto señalo la siguiente INICIATIVA CON DISPENSA DE TRAMITE que tiene por objeto de "LA CONSTRUCCION DE UN PUENTE PEATONAL SOBRE LA CARRETERA LIBRE A ZAPOTLANEJO EN LA COLONIA PAJARITOS, DE ESTA MUNICIPALIDAD".</w:t>
      </w:r>
    </w:p>
    <w:p w14:paraId="3A4731A1" w14:textId="77777777" w:rsidR="00016FE1" w:rsidRPr="00C554B0"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p>
    <w:p w14:paraId="3A4731A2" w14:textId="77777777" w:rsidR="00016FE1" w:rsidRPr="00C554B0"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r w:rsidRPr="00C554B0">
        <w:rPr>
          <w:rFonts w:ascii="Gotham" w:hAnsi="Gotham" w:cs="Helvetica"/>
          <w:sz w:val="20"/>
          <w:szCs w:val="20"/>
        </w:rPr>
        <w:t>EXPOSICIÓN DE MOTIVO</w:t>
      </w:r>
    </w:p>
    <w:p w14:paraId="3A4731A3" w14:textId="77777777" w:rsidR="00016FE1" w:rsidRPr="00C554B0"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p>
    <w:p w14:paraId="3A4731A4" w14:textId="77777777" w:rsidR="00016FE1" w:rsidRPr="00C554B0" w:rsidRDefault="00016FE1" w:rsidP="002B6227">
      <w:pPr>
        <w:pStyle w:val="Prrafodelista"/>
        <w:autoSpaceDE w:val="0"/>
        <w:autoSpaceDN w:val="0"/>
        <w:adjustRightInd w:val="0"/>
        <w:ind w:left="426" w:hanging="426"/>
        <w:jc w:val="both"/>
        <w:rPr>
          <w:rFonts w:ascii="Gotham" w:hAnsi="Gotham" w:cs="Helvetica"/>
          <w:sz w:val="20"/>
          <w:szCs w:val="20"/>
        </w:rPr>
      </w:pPr>
      <w:r>
        <w:rPr>
          <w:rFonts w:ascii="Gotham" w:hAnsi="Gotham" w:cs="Helvetica"/>
          <w:sz w:val="20"/>
          <w:szCs w:val="20"/>
        </w:rPr>
        <w:t xml:space="preserve">a) </w:t>
      </w:r>
      <w:r>
        <w:rPr>
          <w:rFonts w:ascii="Gotham" w:hAnsi="Gotham" w:cs="Helvetica"/>
          <w:sz w:val="20"/>
          <w:szCs w:val="20"/>
        </w:rPr>
        <w:tab/>
      </w:r>
      <w:r w:rsidRPr="00C554B0">
        <w:rPr>
          <w:rFonts w:ascii="Gotham" w:hAnsi="Gotham" w:cs="Helvetica"/>
          <w:sz w:val="20"/>
          <w:szCs w:val="20"/>
        </w:rPr>
        <w:t xml:space="preserve">A solicitud de los habitantes de la colonia pajaritos para la construcción de un puente peatonal, al cruce de la carretera (en ambos sentidos de la vialidad), y que es la entrada principal y directa a la colonia antes mencionada, así también como de la cruz verde Dr. Alfredo Lepe Oliva, de este municipio. </w:t>
      </w:r>
      <w:r>
        <w:rPr>
          <w:rFonts w:ascii="Gotham" w:hAnsi="Gotham" w:cs="Helvetica"/>
          <w:sz w:val="20"/>
          <w:szCs w:val="20"/>
        </w:rPr>
        <w:t>P</w:t>
      </w:r>
      <w:r w:rsidRPr="00C554B0">
        <w:rPr>
          <w:rFonts w:ascii="Gotham" w:hAnsi="Gotham" w:cs="Helvetica"/>
          <w:sz w:val="20"/>
          <w:szCs w:val="20"/>
        </w:rPr>
        <w:t>roblema que ha ocasionado muchos accidentes y futuros inconvenientes para los transeúntes con vehículos, como de a pie en esta zona.</w:t>
      </w:r>
    </w:p>
    <w:p w14:paraId="3A4731A5" w14:textId="77777777" w:rsidR="00016FE1" w:rsidRPr="00C554B0" w:rsidRDefault="00016FE1" w:rsidP="002B6227">
      <w:pPr>
        <w:autoSpaceDE w:val="0"/>
        <w:autoSpaceDN w:val="0"/>
        <w:adjustRightInd w:val="0"/>
        <w:ind w:left="426" w:hanging="426"/>
        <w:jc w:val="both"/>
        <w:rPr>
          <w:rFonts w:ascii="Gotham" w:hAnsi="Gotham" w:cs="Helvetica"/>
          <w:sz w:val="20"/>
          <w:szCs w:val="20"/>
        </w:rPr>
      </w:pPr>
    </w:p>
    <w:p w14:paraId="3A4731A6" w14:textId="77777777" w:rsidR="00016FE1" w:rsidRPr="00C554B0" w:rsidRDefault="00016FE1" w:rsidP="002B6227">
      <w:pPr>
        <w:autoSpaceDE w:val="0"/>
        <w:autoSpaceDN w:val="0"/>
        <w:adjustRightInd w:val="0"/>
        <w:ind w:left="426"/>
        <w:jc w:val="both"/>
        <w:rPr>
          <w:rFonts w:ascii="Gotham" w:hAnsi="Gotham" w:cs="Helvetica"/>
          <w:sz w:val="20"/>
          <w:szCs w:val="20"/>
        </w:rPr>
      </w:pPr>
      <w:r w:rsidRPr="00C554B0">
        <w:rPr>
          <w:rFonts w:ascii="Gotham" w:hAnsi="Gotham" w:cs="Helvetica"/>
          <w:sz w:val="20"/>
          <w:szCs w:val="20"/>
        </w:rPr>
        <w:t>Situación que hemos gestionado el 03 agosto de 2023, con el CENTRO SCT JALISCO, DIRECCION GENERAL, el Ing. Ernesto Rubio Avalos, mismo que en su respuesta nos afirma el apoyo para la co</w:t>
      </w:r>
      <w:r>
        <w:rPr>
          <w:rFonts w:ascii="Gotham" w:hAnsi="Gotham" w:cs="Helvetica"/>
          <w:sz w:val="20"/>
          <w:szCs w:val="20"/>
        </w:rPr>
        <w:t>nstrucción; que a su letra dice:</w:t>
      </w:r>
    </w:p>
    <w:p w14:paraId="3A4731A7" w14:textId="77777777" w:rsidR="00016FE1" w:rsidRPr="00C554B0" w:rsidRDefault="00016FE1" w:rsidP="002B6227">
      <w:pPr>
        <w:autoSpaceDE w:val="0"/>
        <w:autoSpaceDN w:val="0"/>
        <w:adjustRightInd w:val="0"/>
        <w:ind w:left="426" w:hanging="426"/>
        <w:jc w:val="both"/>
        <w:rPr>
          <w:rFonts w:ascii="Gotham" w:hAnsi="Gotham" w:cs="Helvetica"/>
          <w:sz w:val="20"/>
          <w:szCs w:val="20"/>
        </w:rPr>
      </w:pPr>
    </w:p>
    <w:p w14:paraId="3A4731A8" w14:textId="77777777" w:rsidR="00016FE1" w:rsidRPr="00C554B0" w:rsidRDefault="00016FE1" w:rsidP="002B6227">
      <w:pPr>
        <w:autoSpaceDE w:val="0"/>
        <w:autoSpaceDN w:val="0"/>
        <w:adjustRightInd w:val="0"/>
        <w:ind w:left="709" w:right="283"/>
        <w:jc w:val="both"/>
        <w:rPr>
          <w:rFonts w:ascii="Gotham" w:hAnsi="Gotham" w:cs="Helvetica"/>
          <w:i/>
          <w:sz w:val="19"/>
          <w:szCs w:val="19"/>
        </w:rPr>
      </w:pPr>
      <w:r w:rsidRPr="00C554B0">
        <w:rPr>
          <w:rFonts w:ascii="Gotham" w:hAnsi="Gotham" w:cs="Helvetica"/>
          <w:i/>
          <w:sz w:val="19"/>
          <w:szCs w:val="19"/>
        </w:rPr>
        <w:t>Me refiero a su escrito de fecha 02 de agosto del presente año, en el que solicita</w:t>
      </w:r>
      <w:r>
        <w:rPr>
          <w:rFonts w:ascii="Gotham" w:hAnsi="Gotham" w:cs="Helvetica"/>
          <w:i/>
          <w:sz w:val="19"/>
          <w:szCs w:val="19"/>
        </w:rPr>
        <w:t xml:space="preserve"> la </w:t>
      </w:r>
      <w:r w:rsidRPr="00C554B0">
        <w:rPr>
          <w:rFonts w:ascii="Gotham" w:hAnsi="Gotham" w:cs="Helvetica"/>
          <w:i/>
          <w:sz w:val="19"/>
          <w:szCs w:val="19"/>
        </w:rPr>
        <w:t>construcción de un puente peatonal sobre la carretera libre a Zapotlanejo, en su cruce con la calle hidalgo en la colonia pajaritos de su municipio.</w:t>
      </w:r>
    </w:p>
    <w:p w14:paraId="3A4731A9" w14:textId="77777777" w:rsidR="00016FE1" w:rsidRPr="00C554B0" w:rsidRDefault="00016FE1" w:rsidP="002B6227">
      <w:pPr>
        <w:autoSpaceDE w:val="0"/>
        <w:autoSpaceDN w:val="0"/>
        <w:adjustRightInd w:val="0"/>
        <w:ind w:left="709" w:right="283" w:hanging="426"/>
        <w:jc w:val="both"/>
        <w:rPr>
          <w:rFonts w:ascii="Gotham" w:hAnsi="Gotham" w:cs="Helvetica"/>
          <w:i/>
          <w:sz w:val="19"/>
          <w:szCs w:val="19"/>
        </w:rPr>
      </w:pPr>
    </w:p>
    <w:p w14:paraId="3A4731AA" w14:textId="77777777" w:rsidR="00016FE1" w:rsidRPr="00C554B0" w:rsidRDefault="00016FE1" w:rsidP="002B6227">
      <w:pPr>
        <w:autoSpaceDE w:val="0"/>
        <w:autoSpaceDN w:val="0"/>
        <w:adjustRightInd w:val="0"/>
        <w:ind w:left="709" w:right="283"/>
        <w:jc w:val="both"/>
        <w:rPr>
          <w:rFonts w:ascii="Gotham" w:hAnsi="Gotham" w:cs="Helvetica"/>
          <w:i/>
          <w:sz w:val="19"/>
          <w:szCs w:val="19"/>
        </w:rPr>
      </w:pPr>
      <w:r w:rsidRPr="00C554B0">
        <w:rPr>
          <w:rFonts w:ascii="Gotham" w:hAnsi="Gotham" w:cs="Helvetica"/>
          <w:i/>
          <w:sz w:val="19"/>
          <w:szCs w:val="19"/>
        </w:rPr>
        <w:t>Al respecto me permito informar a usted que en el presente ejercicio no se autorizaron recursos a este CENTRO SCT, para la construcción de puentes peatonales. por lo que, de momento no es posible atender su solicitud.</w:t>
      </w:r>
    </w:p>
    <w:p w14:paraId="3A4731AB" w14:textId="77777777" w:rsidR="00016FE1" w:rsidRPr="00C554B0" w:rsidRDefault="00016FE1" w:rsidP="002B6227">
      <w:pPr>
        <w:autoSpaceDE w:val="0"/>
        <w:autoSpaceDN w:val="0"/>
        <w:adjustRightInd w:val="0"/>
        <w:ind w:left="709" w:right="283" w:hanging="426"/>
        <w:jc w:val="both"/>
        <w:rPr>
          <w:rFonts w:ascii="Gotham" w:hAnsi="Gotham" w:cs="Helvetica"/>
          <w:i/>
          <w:sz w:val="19"/>
          <w:szCs w:val="19"/>
        </w:rPr>
      </w:pPr>
    </w:p>
    <w:p w14:paraId="3A4731AC" w14:textId="77777777" w:rsidR="00016FE1" w:rsidRPr="00C554B0" w:rsidRDefault="00016FE1" w:rsidP="002B6227">
      <w:pPr>
        <w:autoSpaceDE w:val="0"/>
        <w:autoSpaceDN w:val="0"/>
        <w:adjustRightInd w:val="0"/>
        <w:ind w:left="709" w:right="283"/>
        <w:jc w:val="both"/>
        <w:rPr>
          <w:rFonts w:ascii="Gotham" w:hAnsi="Gotham" w:cs="Helvetica"/>
          <w:i/>
          <w:sz w:val="19"/>
          <w:szCs w:val="19"/>
        </w:rPr>
      </w:pPr>
      <w:r w:rsidRPr="00C554B0">
        <w:rPr>
          <w:rFonts w:ascii="Gotham" w:hAnsi="Gotham" w:cs="Helvetica"/>
          <w:i/>
          <w:sz w:val="19"/>
          <w:szCs w:val="19"/>
        </w:rPr>
        <w:t>SIN EMBARGO, SI EL MUNICIPIO DE TONALA ESTA EN POSIBILIDADES DE EJECUTAR DICHA OBRA, ESTA DEPENDENCIA SE ENCUENTRA EN LA MEJOR DISPOSICION DE PROPORCIONAR EL PROYECTO TIPO, ASI COMO EL PERMISO CORRESPODIENTE Y LA SUPERVISION TECNICA DEL MISMO.</w:t>
      </w:r>
    </w:p>
    <w:p w14:paraId="3A4731AD" w14:textId="77777777" w:rsidR="00016FE1" w:rsidRPr="00C554B0" w:rsidRDefault="00016FE1" w:rsidP="002B6227">
      <w:pPr>
        <w:autoSpaceDE w:val="0"/>
        <w:autoSpaceDN w:val="0"/>
        <w:adjustRightInd w:val="0"/>
        <w:ind w:left="709" w:right="283" w:hanging="426"/>
        <w:jc w:val="both"/>
        <w:rPr>
          <w:rFonts w:ascii="Gotham" w:hAnsi="Gotham" w:cs="Helvetica"/>
          <w:i/>
          <w:sz w:val="19"/>
          <w:szCs w:val="19"/>
        </w:rPr>
      </w:pPr>
    </w:p>
    <w:p w14:paraId="3A4731AE" w14:textId="77777777" w:rsidR="00016FE1" w:rsidRPr="00C554B0" w:rsidRDefault="00016FE1" w:rsidP="002B6227">
      <w:pPr>
        <w:autoSpaceDE w:val="0"/>
        <w:autoSpaceDN w:val="0"/>
        <w:adjustRightInd w:val="0"/>
        <w:ind w:left="709" w:right="283"/>
        <w:jc w:val="both"/>
        <w:rPr>
          <w:rFonts w:ascii="Gotham" w:hAnsi="Gotham" w:cs="Helvetica"/>
          <w:i/>
          <w:sz w:val="19"/>
          <w:szCs w:val="19"/>
        </w:rPr>
      </w:pPr>
      <w:r w:rsidRPr="00C554B0">
        <w:rPr>
          <w:rFonts w:ascii="Gotham" w:hAnsi="Gotham" w:cs="Helvetica"/>
          <w:i/>
          <w:sz w:val="19"/>
          <w:szCs w:val="19"/>
        </w:rPr>
        <w:t>En lo que respecta a los vibradores se dará mantenimiento para ayudar a disminuir la velocidad. Sin más por el momento, reciba un cordial saludo.</w:t>
      </w:r>
    </w:p>
    <w:p w14:paraId="3A4731AF" w14:textId="77777777" w:rsidR="00016FE1" w:rsidRPr="00C554B0"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Gotham" w:hAnsi="Gotham" w:cs="Helvetica"/>
          <w:sz w:val="20"/>
          <w:szCs w:val="20"/>
        </w:rPr>
      </w:pPr>
    </w:p>
    <w:p w14:paraId="3A4731B0" w14:textId="77777777" w:rsidR="00016FE1" w:rsidRPr="00C554B0"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r w:rsidRPr="00C554B0">
        <w:rPr>
          <w:rFonts w:ascii="Gotham" w:hAnsi="Gotham" w:cs="Helvetica"/>
          <w:sz w:val="20"/>
          <w:szCs w:val="20"/>
        </w:rPr>
        <w:t>PROPONGO</w:t>
      </w:r>
    </w:p>
    <w:p w14:paraId="3A4731B1" w14:textId="77777777" w:rsidR="00016FE1" w:rsidRPr="00C554B0"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p>
    <w:p w14:paraId="3A4731B2" w14:textId="77777777" w:rsidR="00016FE1" w:rsidRPr="00C554B0"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r w:rsidRPr="00C554B0">
        <w:rPr>
          <w:rFonts w:ascii="Gotham" w:hAnsi="Gotham" w:cs="Helvetica"/>
          <w:bCs/>
          <w:sz w:val="20"/>
          <w:szCs w:val="20"/>
        </w:rPr>
        <w:t>ÚNICO</w:t>
      </w:r>
      <w:r w:rsidRPr="00C554B0">
        <w:rPr>
          <w:rFonts w:ascii="Gotham" w:hAnsi="Gotham" w:cs="Helvetica"/>
          <w:sz w:val="20"/>
          <w:szCs w:val="20"/>
        </w:rPr>
        <w:t>. - Se turne a la dirección correspondiente, la presente iniciativa que tiene como objeto el apoyo para que "LA CONSTRUCCION DE UN PUENTE PEATONAL SOBRE LA CARRETERA LIBRE A ZAPOTLANEJO EN LA COLONIA PAJARITOS, DE ESTA MUNICIPALIDAD.</w:t>
      </w:r>
    </w:p>
    <w:p w14:paraId="3A4731B3" w14:textId="77777777" w:rsidR="00016FE1" w:rsidRDefault="00016FE1" w:rsidP="002B6227">
      <w:pPr>
        <w:tabs>
          <w:tab w:val="left" w:pos="142"/>
          <w:tab w:val="left" w:pos="284"/>
        </w:tabs>
        <w:jc w:val="both"/>
        <w:rPr>
          <w:rFonts w:ascii="Gotham" w:hAnsi="Gotham" w:cs="Arial"/>
          <w:sz w:val="20"/>
          <w:szCs w:val="20"/>
        </w:rPr>
      </w:pPr>
    </w:p>
    <w:p w14:paraId="3A4731B4"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señala que, en consecuencia, se abre la discusión, en lo general y en lo particular, con referencia a la presente Iniciativa con Dispensa de Trámite, consultando a las y los Regidores si alguien desea hacer uso de la voz; instruyendo a la Secretaria General, para que registre a los oradores.</w:t>
      </w:r>
    </w:p>
    <w:p w14:paraId="3A4731B5" w14:textId="77777777" w:rsidR="00016FE1" w:rsidRDefault="00016FE1" w:rsidP="002B6227">
      <w:pPr>
        <w:jc w:val="both"/>
        <w:rPr>
          <w:rFonts w:ascii="Gotham" w:eastAsia="Gotham" w:hAnsi="Gotham" w:cs="Gotham"/>
          <w:sz w:val="20"/>
          <w:szCs w:val="20"/>
        </w:rPr>
      </w:pPr>
    </w:p>
    <w:p w14:paraId="3A4731B6"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informativa, la Secretaria General, Celia Isabel Gauna Ruíz de León, manifiesta que, como lo indica señor Presidente, le informo que no se cuenta con registro de oradores.</w:t>
      </w:r>
    </w:p>
    <w:p w14:paraId="3A4731B7" w14:textId="77777777" w:rsidR="00016FE1" w:rsidRDefault="00016FE1" w:rsidP="002B6227">
      <w:pPr>
        <w:jc w:val="both"/>
        <w:rPr>
          <w:rFonts w:ascii="Gotham" w:eastAsia="Gotham" w:hAnsi="Gotham" w:cs="Gotham"/>
          <w:sz w:val="20"/>
          <w:szCs w:val="20"/>
        </w:rPr>
      </w:pPr>
    </w:p>
    <w:p w14:paraId="3A4731B8"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 xml:space="preserve">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w:t>
      </w:r>
      <w:r>
        <w:rPr>
          <w:rFonts w:ascii="Gotham" w:eastAsia="Gotham" w:hAnsi="Gotham" w:cs="Gotham"/>
          <w:sz w:val="20"/>
          <w:szCs w:val="20"/>
        </w:rPr>
        <w:lastRenderedPageBreak/>
        <w:t xml:space="preserve">levantando su mano; instruyendo a la </w:t>
      </w:r>
      <w:bookmarkStart w:id="0" w:name="_Int_TMSuNRzC"/>
      <w:r>
        <w:rPr>
          <w:rFonts w:ascii="Gotham" w:eastAsia="Gotham" w:hAnsi="Gotham" w:cs="Gotham"/>
          <w:sz w:val="20"/>
          <w:szCs w:val="20"/>
        </w:rPr>
        <w:t>Secretaria General</w:t>
      </w:r>
      <w:bookmarkEnd w:id="0"/>
      <w:r>
        <w:rPr>
          <w:rFonts w:ascii="Gotham" w:eastAsia="Gotham" w:hAnsi="Gotham" w:cs="Gotham"/>
          <w:sz w:val="20"/>
          <w:szCs w:val="20"/>
        </w:rPr>
        <w:t xml:space="preserve"> para que contabilice los votos y nos informe del resultado.</w:t>
      </w:r>
    </w:p>
    <w:p w14:paraId="3A4731B9" w14:textId="77777777" w:rsidR="00016FE1" w:rsidRDefault="00016FE1" w:rsidP="002B6227">
      <w:pPr>
        <w:jc w:val="both"/>
        <w:rPr>
          <w:rFonts w:ascii="Gotham" w:eastAsia="Gotham" w:hAnsi="Gotham" w:cs="Gotham"/>
          <w:sz w:val="20"/>
          <w:szCs w:val="20"/>
        </w:rPr>
      </w:pPr>
    </w:p>
    <w:p w14:paraId="3A4731BA"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 xml:space="preserve">En uso de la voz informativa, la Secretaria General, Celia Isabel Gauna Ruíz de León, menciona que, como lo indica señor Presidente, le informo que se registraron un total de </w:t>
      </w:r>
      <w:r w:rsidRPr="001618F1">
        <w:rPr>
          <w:rFonts w:ascii="Gotham" w:eastAsia="Gotham" w:hAnsi="Gotham" w:cs="Gotham"/>
          <w:sz w:val="20"/>
          <w:szCs w:val="20"/>
        </w:rPr>
        <w:t>17 votos a favor; encontrándose ausente en el momento de la votación el Regidor Alejandro Buenrostro Hernández</w:t>
      </w:r>
      <w:r>
        <w:rPr>
          <w:rFonts w:ascii="Gotham" w:eastAsia="Gotham" w:hAnsi="Gotham" w:cs="Gotham"/>
          <w:sz w:val="20"/>
          <w:szCs w:val="20"/>
        </w:rPr>
        <w:t>.</w:t>
      </w:r>
    </w:p>
    <w:p w14:paraId="3A4731BB" w14:textId="77777777" w:rsidR="00016FE1" w:rsidRDefault="00016FE1" w:rsidP="002B6227">
      <w:pPr>
        <w:tabs>
          <w:tab w:val="left" w:pos="142"/>
          <w:tab w:val="left" w:pos="284"/>
        </w:tabs>
        <w:jc w:val="both"/>
        <w:rPr>
          <w:rFonts w:ascii="Gotham" w:hAnsi="Gotham" w:cs="Arial"/>
          <w:sz w:val="20"/>
          <w:szCs w:val="20"/>
        </w:rPr>
      </w:pPr>
    </w:p>
    <w:p w14:paraId="3A4731BC" w14:textId="77777777" w:rsidR="00016FE1" w:rsidRDefault="00016FE1" w:rsidP="002B6227">
      <w:pPr>
        <w:jc w:val="both"/>
      </w:pPr>
      <w:r>
        <w:rPr>
          <w:rFonts w:ascii="Gotham" w:eastAsia="Gotham" w:hAnsi="Gotham" w:cs="Gotham"/>
          <w:sz w:val="20"/>
          <w:szCs w:val="20"/>
        </w:rPr>
        <w:t>En uso de la voz el Presidente Municipal, Sergio Armando Chávez Dávalos, señala que, gracias Secretaria; queda aprobado.</w:t>
      </w:r>
    </w:p>
    <w:p w14:paraId="3A4731BD" w14:textId="77777777" w:rsidR="00016FE1" w:rsidRDefault="00016FE1" w:rsidP="002B6227">
      <w:pPr>
        <w:tabs>
          <w:tab w:val="left" w:pos="142"/>
          <w:tab w:val="left" w:pos="284"/>
        </w:tabs>
        <w:jc w:val="both"/>
        <w:rPr>
          <w:rFonts w:ascii="Gotham" w:hAnsi="Gotham" w:cs="Arial"/>
          <w:sz w:val="20"/>
          <w:szCs w:val="20"/>
        </w:rPr>
      </w:pPr>
    </w:p>
    <w:p w14:paraId="3A4731BE" w14:textId="77777777" w:rsidR="00016FE1" w:rsidRDefault="00016FE1" w:rsidP="002B6227">
      <w:pPr>
        <w:tabs>
          <w:tab w:val="left" w:pos="142"/>
          <w:tab w:val="left" w:pos="284"/>
        </w:tabs>
        <w:jc w:val="both"/>
        <w:rPr>
          <w:rFonts w:ascii="Gotham" w:hAnsi="Gotham" w:cs="Arial"/>
          <w:sz w:val="20"/>
          <w:szCs w:val="20"/>
        </w:rPr>
      </w:pPr>
    </w:p>
    <w:p w14:paraId="3A4731BF" w14:textId="77777777" w:rsidR="00016FE1" w:rsidRPr="00C52792" w:rsidRDefault="00016FE1" w:rsidP="002B6227">
      <w:pPr>
        <w:pStyle w:val="western"/>
        <w:spacing w:before="0" w:beforeAutospacing="0"/>
        <w:jc w:val="right"/>
        <w:rPr>
          <w:rFonts w:ascii="Gotham" w:hAnsi="Gotham"/>
          <w:b/>
          <w:sz w:val="22"/>
          <w:szCs w:val="22"/>
          <w:u w:val="single"/>
        </w:rPr>
      </w:pPr>
      <w:r w:rsidRPr="00C52792">
        <w:rPr>
          <w:rFonts w:ascii="Gotham" w:hAnsi="Gotham"/>
          <w:b/>
          <w:sz w:val="22"/>
          <w:szCs w:val="22"/>
          <w:u w:val="single"/>
        </w:rPr>
        <w:t xml:space="preserve">ACUERDO NO. </w:t>
      </w:r>
      <w:r>
        <w:rPr>
          <w:rFonts w:ascii="Gotham" w:hAnsi="Gotham"/>
          <w:b/>
          <w:sz w:val="22"/>
          <w:szCs w:val="22"/>
          <w:u w:val="single"/>
        </w:rPr>
        <w:t>1110</w:t>
      </w:r>
    </w:p>
    <w:p w14:paraId="3A4731C0" w14:textId="77777777" w:rsidR="00016FE1" w:rsidRPr="00982C7E" w:rsidRDefault="00016FE1" w:rsidP="002B6227">
      <w:pPr>
        <w:tabs>
          <w:tab w:val="left" w:pos="142"/>
          <w:tab w:val="left" w:pos="284"/>
        </w:tabs>
        <w:jc w:val="both"/>
        <w:rPr>
          <w:rFonts w:ascii="Gotham" w:hAnsi="Gotham" w:cs="Helvetica"/>
          <w:sz w:val="20"/>
          <w:szCs w:val="20"/>
        </w:rPr>
      </w:pPr>
      <w:r w:rsidRPr="00C52792">
        <w:rPr>
          <w:rFonts w:ascii="Gotham" w:hAnsi="Gotham"/>
          <w:b/>
          <w:bCs/>
          <w:smallCaps/>
          <w:sz w:val="20"/>
          <w:szCs w:val="20"/>
        </w:rPr>
        <w:t>Tercera Iniciativa con Dispensa de Trámite</w:t>
      </w:r>
      <w:r w:rsidRPr="00C52792">
        <w:rPr>
          <w:rFonts w:ascii="Gotham" w:hAnsi="Gotham"/>
          <w:b/>
          <w:bCs/>
          <w:sz w:val="20"/>
          <w:szCs w:val="20"/>
        </w:rPr>
        <w:t xml:space="preserve">.- </w:t>
      </w:r>
      <w:r>
        <w:rPr>
          <w:rFonts w:ascii="Gotham" w:hAnsi="Gotham" w:cs="Arial"/>
          <w:sz w:val="20"/>
          <w:szCs w:val="20"/>
        </w:rPr>
        <w:t>En uso de la voz la Regidora María Esther Ayala Alba,</w:t>
      </w:r>
      <w:r w:rsidRPr="00C52792">
        <w:rPr>
          <w:rFonts w:ascii="Gotham" w:hAnsi="Gotham" w:cs="Arial"/>
          <w:sz w:val="20"/>
          <w:szCs w:val="20"/>
        </w:rPr>
        <w:t xml:space="preserve"> menciona que, </w:t>
      </w:r>
      <w:r>
        <w:rPr>
          <w:rFonts w:ascii="Gotham" w:hAnsi="Gotham" w:cs="Arial"/>
          <w:sz w:val="20"/>
          <w:szCs w:val="20"/>
        </w:rPr>
        <w:t>c</w:t>
      </w:r>
      <w:r w:rsidRPr="00982C7E">
        <w:rPr>
          <w:rFonts w:ascii="Gotham" w:hAnsi="Gotham" w:cs="Helvetica"/>
          <w:sz w:val="20"/>
          <w:szCs w:val="20"/>
        </w:rPr>
        <w:t xml:space="preserve">on su </w:t>
      </w:r>
      <w:r>
        <w:rPr>
          <w:rFonts w:ascii="Gotham" w:hAnsi="Gotham" w:cs="Helvetica"/>
          <w:sz w:val="20"/>
          <w:szCs w:val="20"/>
        </w:rPr>
        <w:t>p</w:t>
      </w:r>
      <w:r w:rsidRPr="00982C7E">
        <w:rPr>
          <w:rFonts w:ascii="Gotham" w:hAnsi="Gotham" w:cs="Helvetica"/>
          <w:sz w:val="20"/>
          <w:szCs w:val="20"/>
        </w:rPr>
        <w:t>ermiso Ciudadano Presidente Municipal; Sergio Amando Chávez Dávalos, Síndico municipal Nicolás Maestro Landeros, Secretaria General Celia Isabel Gauna Ruiz de León, compañeros Regidores y Regidoras de este Honorable Pleno de Cabildo, Administración 2021-2024, con fundamento en los artículos 13, 14, 22, 25, 28, 29, 70, 82 fracción II y 83 del Reglamento para el Funcionamiento Interno de las Sesiones y Comisiones del Ayuntamiento Constitucional de Tonalá, Jalisco, lo dispuesto por los artículos 3°, 27, 29, 34, 35, 36 fracción 11, 37, 38, 41, 44, 49, 50, 94, 103, 111, 115, 127, 128, 129, 135, 136, y 141 de la Ley del Gobierno y de la Administración Pública Municipal del Estado de Jalisco, los artículos 1, 6, 15, 18, 26, 27, 29, 30, 32, 33, 34, 35 38, 39 fracción XVII, 53 fracción LV, 55, 56, 73, 92, 93, 94, 97, 99, 100, 102, 116, 118, 120, 128, 201 fracción V, 211, 212, 254, 258, 267, 268, 269, 271, 272, 273, 274, 275, 276, 277, 278, 279, 280, 281, 282, 283, 284, 291, 292, 293, 294, 295, 308, 309, 310, 311, 312, 313, 328 relativos y aplicables del Reglamento del Gobierno y de la Administración Pública del Ayuntamiento Constitucional de Tonalá, Jalisco. Honorable Ayuntamiento del este Municipio, y con el debido respeto señalo la siguiente INICIATIVA CON DISPENSA DE TRAMITE que tiene por objeto de "SE REALICE EL ESTUDIO TECNICO HIDRAULICO".</w:t>
      </w:r>
    </w:p>
    <w:p w14:paraId="3A4731C1"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p>
    <w:p w14:paraId="3A4731C2"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r w:rsidRPr="00982C7E">
        <w:rPr>
          <w:rFonts w:ascii="Gotham" w:hAnsi="Gotham" w:cs="Helvetica"/>
          <w:sz w:val="20"/>
          <w:szCs w:val="20"/>
        </w:rPr>
        <w:t>EXPOSICIÓN DE MOTIVO</w:t>
      </w:r>
    </w:p>
    <w:p w14:paraId="3A4731C3"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p>
    <w:p w14:paraId="3A4731C4"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r w:rsidRPr="00982C7E">
        <w:rPr>
          <w:rFonts w:ascii="Gotham" w:hAnsi="Gotham" w:cs="Helvetica"/>
          <w:sz w:val="20"/>
          <w:szCs w:val="20"/>
        </w:rPr>
        <w:t>Los habitantes de la Colonia Rubén Jaramillo solicitan el apoyo del municipio con el estudio técnico hidráulico para resolver el problema de reubicación de algunas familias afectadas para con ello darle seguimiento al tema de regulación de la misma colonia.</w:t>
      </w:r>
    </w:p>
    <w:p w14:paraId="3A4731C5"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p>
    <w:p w14:paraId="3A4731C6"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r w:rsidRPr="00982C7E">
        <w:rPr>
          <w:rFonts w:ascii="Gotham" w:hAnsi="Gotham" w:cs="Helvetica"/>
          <w:sz w:val="20"/>
          <w:szCs w:val="20"/>
        </w:rPr>
        <w:t>Cabe mencionar que su servidora envió un oficio No. SR/MEAA/857/2023 con dirección a CONAGUA, y recibimos contestación de la cual nos solicita dicho Estudio, para poder Dictaminar, con este tendremos la posibilidad de dar seguimiento a la regularización, para la titulación, de dicha colonia.</w:t>
      </w:r>
    </w:p>
    <w:p w14:paraId="3A4731C7"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p>
    <w:p w14:paraId="3A4731C8" w14:textId="77777777" w:rsidR="00016FE1" w:rsidRPr="00982C7E" w:rsidRDefault="00016FE1" w:rsidP="002B6227">
      <w:pPr>
        <w:autoSpaceDE w:val="0"/>
        <w:autoSpaceDN w:val="0"/>
        <w:adjustRightInd w:val="0"/>
        <w:ind w:left="283" w:right="283"/>
        <w:jc w:val="both"/>
        <w:rPr>
          <w:rFonts w:ascii="Gotham" w:hAnsi="Gotham" w:cs="Helvetica"/>
          <w:i/>
          <w:sz w:val="19"/>
          <w:szCs w:val="19"/>
        </w:rPr>
      </w:pPr>
      <w:r w:rsidRPr="00982C7E">
        <w:rPr>
          <w:rFonts w:ascii="Gotham" w:hAnsi="Gotham" w:cs="Helvetica"/>
          <w:i/>
          <w:sz w:val="19"/>
          <w:szCs w:val="19"/>
        </w:rPr>
        <w:t>"Que como se dirige oficio de fecha 23 de agosto del 2023, con oficio SR/MEAA/857/2023 CONAGUA, a la dirección técnica jefatura de aguas superficiales del organismo de cuenca Lerma Santiago pacifico, quien tampoco emite el oficio técnico del estudio antes mencionado; señalando que conocen la ubicación del predio con las coordenadas geográficas 20°40'21.9"N 103°14'52.8"0 (primero) región hidrológica no.12 LERMA SANTIAGO, las aguas de este arroyo son afluentes directos del rio Santiago, cuenta con una declaratoria de propiedad nacional No. 2 publicada en el diario oficial de la federación el día 29 de enero de 1938 (segundo). Pero no emite su dictamen técnico hidrológico."</w:t>
      </w:r>
    </w:p>
    <w:p w14:paraId="3A4731C9"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w:hAnsi="Gotham" w:cs="Helvetica"/>
          <w:sz w:val="20"/>
          <w:szCs w:val="20"/>
        </w:rPr>
      </w:pPr>
    </w:p>
    <w:p w14:paraId="3A4731CA"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r w:rsidRPr="00982C7E">
        <w:rPr>
          <w:rFonts w:ascii="Gotham" w:hAnsi="Gotham" w:cs="Helvetica"/>
          <w:sz w:val="20"/>
          <w:szCs w:val="20"/>
        </w:rPr>
        <w:t>Mismas gestiones que no han logrado su objetivo final de conseguir su estudio correspondiente del suelo y la zona para su regularización, o reubicación de los mismos residentes afectados. A lo cual</w:t>
      </w:r>
    </w:p>
    <w:p w14:paraId="3A4731CB"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p>
    <w:p w14:paraId="3A4731CC"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r w:rsidRPr="00982C7E">
        <w:rPr>
          <w:rFonts w:ascii="Gotham" w:hAnsi="Gotham" w:cs="Helvetica"/>
          <w:sz w:val="20"/>
          <w:szCs w:val="20"/>
        </w:rPr>
        <w:t>SOLICITO</w:t>
      </w:r>
    </w:p>
    <w:p w14:paraId="3A4731CD"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p>
    <w:p w14:paraId="3A4731CE" w14:textId="77777777" w:rsidR="00016FE1" w:rsidRPr="00982C7E"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r w:rsidRPr="00982C7E">
        <w:rPr>
          <w:rFonts w:ascii="Gotham" w:hAnsi="Gotham" w:cs="Helvetica"/>
          <w:sz w:val="20"/>
          <w:szCs w:val="20"/>
        </w:rPr>
        <w:t>ÚNICO. - Se turne a la dirección correspondiente, la presente iniciativa que tiene como objeto e apoyo para que "SE REALICE EL ESTUDIO TECNICO HIDRAULICO".</w:t>
      </w:r>
    </w:p>
    <w:p w14:paraId="3A4731CF" w14:textId="77777777" w:rsidR="00016FE1" w:rsidRDefault="00016FE1" w:rsidP="002B6227">
      <w:pPr>
        <w:tabs>
          <w:tab w:val="left" w:pos="142"/>
          <w:tab w:val="left" w:pos="284"/>
        </w:tabs>
        <w:jc w:val="both"/>
        <w:rPr>
          <w:rFonts w:ascii="Gotham" w:hAnsi="Gotham" w:cs="Arial"/>
          <w:sz w:val="20"/>
          <w:szCs w:val="20"/>
        </w:rPr>
      </w:pPr>
    </w:p>
    <w:p w14:paraId="3A4731D0"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señala que, en consecuencia, se abre la discusión, en lo general y en lo particular, con referencia a la presente Iniciativa con Dispensa de Trámite, consultando a las y los Regidores si alguien desea hacer uso de la voz; instruyendo a la Secretaria General, para que registre a los oradores.</w:t>
      </w:r>
    </w:p>
    <w:p w14:paraId="3A4731D1" w14:textId="77777777" w:rsidR="00016FE1" w:rsidRDefault="00016FE1" w:rsidP="002B6227">
      <w:pPr>
        <w:jc w:val="both"/>
        <w:rPr>
          <w:rFonts w:ascii="Gotham" w:eastAsia="Gotham" w:hAnsi="Gotham" w:cs="Gotham"/>
          <w:sz w:val="20"/>
          <w:szCs w:val="20"/>
        </w:rPr>
      </w:pPr>
    </w:p>
    <w:p w14:paraId="3A4731D2"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informativa, la Secretaria General, Celia Isabel Gauna Ruíz de León, manifiesta que, como lo indica señor Presidente, le informo que no se cuenta con registro de oradores.</w:t>
      </w:r>
    </w:p>
    <w:p w14:paraId="3A4731D3" w14:textId="77777777" w:rsidR="00016FE1" w:rsidRDefault="00016FE1" w:rsidP="002B6227">
      <w:pPr>
        <w:jc w:val="both"/>
        <w:rPr>
          <w:rFonts w:ascii="Gotham" w:eastAsia="Gotham" w:hAnsi="Gotham" w:cs="Gotham"/>
          <w:sz w:val="20"/>
          <w:szCs w:val="20"/>
        </w:rPr>
      </w:pPr>
    </w:p>
    <w:p w14:paraId="3A4731D4"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3A4731D5" w14:textId="77777777" w:rsidR="00016FE1" w:rsidRDefault="00016FE1" w:rsidP="002B6227">
      <w:pPr>
        <w:jc w:val="both"/>
        <w:rPr>
          <w:rFonts w:ascii="Gotham" w:eastAsia="Gotham" w:hAnsi="Gotham" w:cs="Gotham"/>
          <w:sz w:val="20"/>
          <w:szCs w:val="20"/>
        </w:rPr>
      </w:pPr>
    </w:p>
    <w:p w14:paraId="3A4731D6"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 xml:space="preserve">En uso de la voz informativa, la Secretaria General, Celia Isabel Gauna Ruíz de León, menciona que, como lo indica señor Presidente, le informo que se registraron un total de </w:t>
      </w:r>
      <w:r w:rsidRPr="001618F1">
        <w:rPr>
          <w:rFonts w:ascii="Gotham" w:eastAsia="Gotham" w:hAnsi="Gotham" w:cs="Gotham"/>
          <w:sz w:val="20"/>
          <w:szCs w:val="20"/>
        </w:rPr>
        <w:t>17 votos a favor; encontrándose ausente en el momento de la votación el Regidor Alejandro Buenrostro Hernández</w:t>
      </w:r>
      <w:r>
        <w:rPr>
          <w:rFonts w:ascii="Gotham" w:eastAsia="Gotham" w:hAnsi="Gotham" w:cs="Gotham"/>
          <w:sz w:val="20"/>
          <w:szCs w:val="20"/>
        </w:rPr>
        <w:t>.</w:t>
      </w:r>
    </w:p>
    <w:p w14:paraId="3A4731D7" w14:textId="77777777" w:rsidR="00016FE1" w:rsidRDefault="00016FE1" w:rsidP="002B6227">
      <w:pPr>
        <w:tabs>
          <w:tab w:val="left" w:pos="142"/>
          <w:tab w:val="left" w:pos="284"/>
        </w:tabs>
        <w:jc w:val="both"/>
        <w:rPr>
          <w:rFonts w:ascii="Gotham" w:hAnsi="Gotham" w:cs="Arial"/>
          <w:sz w:val="20"/>
          <w:szCs w:val="20"/>
        </w:rPr>
      </w:pPr>
    </w:p>
    <w:p w14:paraId="3A4731D8" w14:textId="77777777" w:rsidR="00016FE1" w:rsidRDefault="00016FE1" w:rsidP="002B6227">
      <w:pPr>
        <w:jc w:val="both"/>
      </w:pPr>
      <w:r>
        <w:rPr>
          <w:rFonts w:ascii="Gotham" w:eastAsia="Gotham" w:hAnsi="Gotham" w:cs="Gotham"/>
          <w:sz w:val="20"/>
          <w:szCs w:val="20"/>
        </w:rPr>
        <w:t>En uso de la voz el Presidente Municipal, Sergio Armando Chávez Dávalos, señala que, gracias Secretaria; queda aprobado.</w:t>
      </w:r>
    </w:p>
    <w:p w14:paraId="3A4731D9" w14:textId="77777777" w:rsidR="00016FE1" w:rsidRDefault="00016FE1" w:rsidP="002B6227">
      <w:pPr>
        <w:tabs>
          <w:tab w:val="left" w:pos="142"/>
          <w:tab w:val="left" w:pos="284"/>
        </w:tabs>
        <w:jc w:val="both"/>
        <w:rPr>
          <w:rFonts w:ascii="Gotham" w:hAnsi="Gotham" w:cs="Arial"/>
          <w:sz w:val="20"/>
          <w:szCs w:val="20"/>
        </w:rPr>
      </w:pPr>
    </w:p>
    <w:p w14:paraId="3A4731DA" w14:textId="77777777" w:rsidR="00016FE1" w:rsidRDefault="00016FE1" w:rsidP="002B6227">
      <w:pPr>
        <w:tabs>
          <w:tab w:val="left" w:pos="142"/>
          <w:tab w:val="left" w:pos="284"/>
        </w:tabs>
        <w:jc w:val="both"/>
        <w:rPr>
          <w:rFonts w:ascii="Gotham" w:hAnsi="Gotham" w:cs="Arial"/>
          <w:sz w:val="20"/>
          <w:szCs w:val="20"/>
        </w:rPr>
      </w:pPr>
    </w:p>
    <w:p w14:paraId="3A4731DB" w14:textId="77777777" w:rsidR="00016FE1" w:rsidRPr="00C52792" w:rsidRDefault="00016FE1" w:rsidP="002B6227">
      <w:pPr>
        <w:pStyle w:val="western"/>
        <w:spacing w:before="0" w:beforeAutospacing="0"/>
        <w:jc w:val="right"/>
        <w:rPr>
          <w:rFonts w:ascii="Gotham" w:hAnsi="Gotham"/>
          <w:b/>
          <w:sz w:val="22"/>
          <w:szCs w:val="22"/>
          <w:u w:val="single"/>
        </w:rPr>
      </w:pPr>
      <w:r w:rsidRPr="00C52792">
        <w:rPr>
          <w:rFonts w:ascii="Gotham" w:hAnsi="Gotham"/>
          <w:b/>
          <w:sz w:val="22"/>
          <w:szCs w:val="22"/>
          <w:u w:val="single"/>
        </w:rPr>
        <w:t xml:space="preserve">ACUERDO NO. </w:t>
      </w:r>
      <w:r>
        <w:rPr>
          <w:rFonts w:ascii="Gotham" w:hAnsi="Gotham"/>
          <w:b/>
          <w:sz w:val="22"/>
          <w:szCs w:val="22"/>
          <w:u w:val="single"/>
        </w:rPr>
        <w:t>1111</w:t>
      </w:r>
    </w:p>
    <w:p w14:paraId="3A4731DC" w14:textId="77777777" w:rsidR="00016FE1" w:rsidRPr="00776F3B" w:rsidRDefault="00016FE1" w:rsidP="002B6227">
      <w:pPr>
        <w:jc w:val="both"/>
        <w:rPr>
          <w:rFonts w:ascii="Gotham" w:hAnsi="Gotham" w:cs="Helvetica"/>
          <w:sz w:val="20"/>
          <w:szCs w:val="20"/>
          <w:lang w:val="es-MX"/>
        </w:rPr>
      </w:pPr>
      <w:r>
        <w:rPr>
          <w:rFonts w:ascii="Gotham" w:hAnsi="Gotham"/>
          <w:b/>
          <w:bCs/>
          <w:smallCaps/>
          <w:sz w:val="20"/>
          <w:szCs w:val="20"/>
        </w:rPr>
        <w:t>Cuarta</w:t>
      </w:r>
      <w:r w:rsidRPr="00643DD0">
        <w:rPr>
          <w:rFonts w:ascii="Gotham" w:hAnsi="Gotham"/>
          <w:b/>
          <w:bCs/>
          <w:smallCaps/>
          <w:sz w:val="20"/>
          <w:szCs w:val="20"/>
        </w:rPr>
        <w:t xml:space="preserve"> Iniciativa</w:t>
      </w:r>
      <w:r>
        <w:rPr>
          <w:rFonts w:ascii="Gotham" w:hAnsi="Gotham"/>
          <w:b/>
          <w:bCs/>
          <w:smallCaps/>
          <w:sz w:val="20"/>
          <w:szCs w:val="20"/>
        </w:rPr>
        <w:t xml:space="preserve"> con Dispensa de Trámite</w:t>
      </w:r>
      <w:r>
        <w:rPr>
          <w:rFonts w:ascii="Gotham" w:hAnsi="Gotham"/>
          <w:b/>
          <w:bCs/>
          <w:sz w:val="20"/>
          <w:szCs w:val="20"/>
        </w:rPr>
        <w:t xml:space="preserve">.- </w:t>
      </w:r>
      <w:r>
        <w:rPr>
          <w:rFonts w:ascii="Gotham" w:hAnsi="Gotham" w:cs="Arial"/>
          <w:sz w:val="20"/>
          <w:szCs w:val="20"/>
        </w:rPr>
        <w:t>En uso de la voz la Regidora María Esther Ayala Alba, señala que, c</w:t>
      </w:r>
      <w:r w:rsidRPr="004A6DF3">
        <w:rPr>
          <w:rFonts w:ascii="Gotham" w:hAnsi="Gotham" w:cs="Helvetica"/>
          <w:sz w:val="20"/>
          <w:szCs w:val="20"/>
        </w:rPr>
        <w:t xml:space="preserve">on su </w:t>
      </w:r>
      <w:r>
        <w:rPr>
          <w:rFonts w:ascii="Gotham" w:hAnsi="Gotham" w:cs="Helvetica"/>
          <w:sz w:val="20"/>
          <w:szCs w:val="20"/>
        </w:rPr>
        <w:t>p</w:t>
      </w:r>
      <w:r w:rsidRPr="004A6DF3">
        <w:rPr>
          <w:rFonts w:ascii="Gotham" w:hAnsi="Gotham" w:cs="Helvetica"/>
          <w:sz w:val="20"/>
          <w:szCs w:val="20"/>
        </w:rPr>
        <w:t>ermiso Ciudadano Presidente Municipal; Sergio Amando Chávez Dávalos, Síndico municipal Nicolás Maestro Landeros, Secretaria General Celia Isabel Gauna Ruiz de León, compañeros Regidores y Regidoras de este Honorable Pleno de Cabildo, Administración 2021-2024, con fundamento en los artículos 13, 14, 22, 25, 28, 29, 70, 82 fracción II y 83 del Reglamento para el Funcionamiento Interno de las Sesiones y Comisiones del Ayuntamiento Constitucional de Tonalá, Jalisco, lo dispuesto por los artículos 3º, 27, 29, 34, 35, 36 fracción II, 37, 38, 41, 44, 49, 50, 94, 103, 111, 115, 127, 128, 129, 135, 136, y 141 de la Ley del Gobierno y de la Administración Pública Municipal del Esta do de Jalisco, los artículos 1, 6, 15, 18, 26, 27, 29, 30, 32, 33, 34, 35, 38, 39 fracción XVII, 53 fracción LV, 55, 56, 73, 92, 93, 94, 97, 99, 100, 102, 116, 118, 120, 128, 201 fracción V, 211, 212, 254, 258, 267, 268, 269, 271, 272, 273, 274, 275, 276, 277, 278, 279; 280, 281, 282, 283, 284, 291, 292, 293, 294, 295, 308, 309, 310, 311, 312, 313, 328 relativos y aplicables del Reglamento del Gobierno y de la Administración Pública del Ayuntamiento Constitucional de Tonalá, Jalisco. Honorable Ayuntamiento del este Municipio, y con el debido respeto señalo la siguiente INICIATIVA CON DISPENSA DE TRAMITE que tiene por objeto de "REALIZAR UN CONVENIO DE COLABORACION CON LA EMPRESA DE LLANTAS (RUEDA), PARA LA COLECTA DE LLANTAS EN TODO EL MUNICIPIO"</w:t>
      </w:r>
      <w:r>
        <w:rPr>
          <w:rFonts w:ascii="Gotham" w:hAnsi="Gotham" w:cs="Helvetica"/>
          <w:sz w:val="20"/>
          <w:szCs w:val="20"/>
        </w:rPr>
        <w:t>:</w:t>
      </w:r>
      <w:r>
        <w:rPr>
          <w:rFonts w:ascii="Gotham" w:hAnsi="Gotham" w:cs="Helvetica"/>
          <w:sz w:val="20"/>
          <w:szCs w:val="20"/>
          <w:lang w:val="es-MX"/>
        </w:rPr>
        <w:tab/>
      </w:r>
    </w:p>
    <w:p w14:paraId="3A4731DD" w14:textId="77777777" w:rsidR="00016FE1" w:rsidRPr="004A6DF3"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p>
    <w:p w14:paraId="3A4731DE" w14:textId="77777777" w:rsidR="00016FE1" w:rsidRPr="004A6DF3"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otham" w:hAnsi="Gotham" w:cs="Helvetica"/>
          <w:sz w:val="20"/>
          <w:szCs w:val="20"/>
        </w:rPr>
      </w:pPr>
      <w:r w:rsidRPr="004A6DF3">
        <w:rPr>
          <w:rFonts w:ascii="Gotham" w:hAnsi="Gotham" w:cs="Helvetica"/>
          <w:sz w:val="20"/>
          <w:szCs w:val="20"/>
        </w:rPr>
        <w:t>EXPOSICIÓN DE MOTIVO</w:t>
      </w:r>
    </w:p>
    <w:p w14:paraId="3A4731DF" w14:textId="77777777" w:rsidR="00016FE1"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p>
    <w:p w14:paraId="3A4731E0" w14:textId="77777777" w:rsidR="00016FE1" w:rsidRPr="004A6DF3"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r w:rsidRPr="004A6DF3">
        <w:rPr>
          <w:rFonts w:ascii="Gotham" w:hAnsi="Gotham" w:cs="Helvetica"/>
          <w:sz w:val="20"/>
          <w:szCs w:val="20"/>
        </w:rPr>
        <w:t>El municipio de Tonalá se enfrenta a la contaminación por las llantas, abandonadas en terrenos baldíos, misma situación que provoca la proliferación del mosquito del dengue, chinconcuya, y paludismos, que nos ha ocasionado problema ambiental en el municipio, mismos que en nuestra comisión edilicia hemos enfrentado con varias observaciones por parte de la secretaria de salud del estado, principalmente de los habitantes que se quejan con la autoridad y la comisión de salud. (SE ANEXA CONVENIO).</w:t>
      </w:r>
    </w:p>
    <w:p w14:paraId="3A4731E1" w14:textId="77777777" w:rsidR="00016FE1" w:rsidRPr="004A6DF3" w:rsidRDefault="00016FE1" w:rsidP="002B6227">
      <w:pPr>
        <w:jc w:val="both"/>
        <w:rPr>
          <w:rFonts w:ascii="Gotham" w:hAnsi="Gotham" w:cs="Helvetica"/>
          <w:sz w:val="20"/>
          <w:szCs w:val="20"/>
        </w:rPr>
      </w:pPr>
    </w:p>
    <w:p w14:paraId="3A4731E2" w14:textId="77777777" w:rsidR="00016FE1" w:rsidRPr="004A6DF3" w:rsidRDefault="00016FE1" w:rsidP="002B6227">
      <w:pPr>
        <w:jc w:val="center"/>
        <w:rPr>
          <w:rFonts w:ascii="Gotham" w:hAnsi="Gotham" w:cs="Helvetica"/>
          <w:sz w:val="20"/>
          <w:szCs w:val="20"/>
        </w:rPr>
      </w:pPr>
      <w:r w:rsidRPr="004A6DF3">
        <w:rPr>
          <w:rFonts w:ascii="Gotham" w:hAnsi="Gotham" w:cs="Helvetica"/>
          <w:sz w:val="20"/>
          <w:szCs w:val="20"/>
        </w:rPr>
        <w:t>PROPONGO</w:t>
      </w:r>
    </w:p>
    <w:p w14:paraId="3A4731E3" w14:textId="77777777" w:rsidR="00016FE1" w:rsidRPr="004A6DF3"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p>
    <w:p w14:paraId="3A4731E4" w14:textId="77777777" w:rsidR="00016FE1" w:rsidRPr="004A6DF3" w:rsidRDefault="00016FE1" w:rsidP="002B6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tham" w:hAnsi="Gotham" w:cs="Helvetica"/>
          <w:sz w:val="20"/>
          <w:szCs w:val="20"/>
        </w:rPr>
      </w:pPr>
      <w:r w:rsidRPr="004A6DF3">
        <w:rPr>
          <w:rFonts w:ascii="Gotham" w:hAnsi="Gotham" w:cs="Helvetica"/>
          <w:sz w:val="20"/>
          <w:szCs w:val="20"/>
        </w:rPr>
        <w:lastRenderedPageBreak/>
        <w:t>ÚNICO. - Se turne a Sindicatura, la presente iniciativa que tiene como objeto el apoyo para "REALIZAR UN CONVENIO DE COLABORACION CON LA EMPRESA DE LLANTAS (RUEDA), PARA LA COLECTA DE LLANTAS EN TODO EL MUNICIPIO"</w:t>
      </w:r>
      <w:r>
        <w:rPr>
          <w:rFonts w:ascii="Gotham" w:hAnsi="Gotham" w:cs="Helvetica"/>
          <w:sz w:val="20"/>
          <w:szCs w:val="20"/>
        </w:rPr>
        <w:t xml:space="preserve">. </w:t>
      </w:r>
    </w:p>
    <w:p w14:paraId="3A4731E5" w14:textId="77777777" w:rsidR="00016FE1" w:rsidRDefault="00016FE1" w:rsidP="002B6227">
      <w:pPr>
        <w:tabs>
          <w:tab w:val="left" w:pos="142"/>
          <w:tab w:val="left" w:pos="284"/>
        </w:tabs>
        <w:jc w:val="both"/>
        <w:rPr>
          <w:rFonts w:ascii="Gotham" w:hAnsi="Gotham" w:cs="Arial"/>
          <w:sz w:val="20"/>
          <w:szCs w:val="20"/>
        </w:rPr>
      </w:pPr>
    </w:p>
    <w:p w14:paraId="3A4731E6" w14:textId="77777777" w:rsidR="00016FE1" w:rsidRDefault="00016FE1" w:rsidP="002B6227">
      <w:pPr>
        <w:tabs>
          <w:tab w:val="left" w:pos="142"/>
          <w:tab w:val="left" w:pos="284"/>
        </w:tabs>
        <w:jc w:val="both"/>
        <w:rPr>
          <w:rFonts w:ascii="Gotham" w:hAnsi="Gotham" w:cs="Arial"/>
          <w:sz w:val="20"/>
          <w:szCs w:val="20"/>
        </w:rPr>
      </w:pPr>
    </w:p>
    <w:p w14:paraId="3A4731E7"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señala que, en consecuencia, se abre la discusión, en lo general y en lo particular, con referencia a la presente Iniciativa con Dispensa de Trámite, consultando a las y los Regidores si alguien desea hacer uso de la voz; instruyendo a la Secretaria General, para que registre a los oradores.</w:t>
      </w:r>
    </w:p>
    <w:p w14:paraId="3A4731E8" w14:textId="77777777" w:rsidR="00016FE1" w:rsidRDefault="00016FE1" w:rsidP="002B6227">
      <w:pPr>
        <w:jc w:val="both"/>
        <w:rPr>
          <w:rFonts w:ascii="Gotham" w:eastAsia="Gotham" w:hAnsi="Gotham" w:cs="Gotham"/>
          <w:sz w:val="20"/>
          <w:szCs w:val="20"/>
        </w:rPr>
      </w:pPr>
    </w:p>
    <w:p w14:paraId="3A4731E9"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informativa, la Secretaria General, Celia Isabel Gauna Ruíz de León, manifiesta que, como lo indica señor Presidente, le informo que no se cuenta con registro de oradores.</w:t>
      </w:r>
    </w:p>
    <w:p w14:paraId="3A4731EA" w14:textId="77777777" w:rsidR="00016FE1" w:rsidRDefault="00016FE1" w:rsidP="002B6227">
      <w:pPr>
        <w:jc w:val="both"/>
        <w:rPr>
          <w:rFonts w:ascii="Gotham" w:eastAsia="Gotham" w:hAnsi="Gotham" w:cs="Gotham"/>
          <w:sz w:val="20"/>
          <w:szCs w:val="20"/>
        </w:rPr>
      </w:pPr>
    </w:p>
    <w:p w14:paraId="3A4731EB"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3A4731EC" w14:textId="77777777" w:rsidR="00016FE1" w:rsidRDefault="00016FE1" w:rsidP="002B6227">
      <w:pPr>
        <w:jc w:val="both"/>
        <w:rPr>
          <w:rFonts w:ascii="Gotham" w:eastAsia="Gotham" w:hAnsi="Gotham" w:cs="Gotham"/>
          <w:sz w:val="20"/>
          <w:szCs w:val="20"/>
        </w:rPr>
      </w:pPr>
    </w:p>
    <w:p w14:paraId="3A4731ED"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 xml:space="preserve">En uso de la voz informativa, la Secretaria General, Celia Isabel Gauna Ruíz de León, menciona que, como lo indica señor Presidente, le informo que se registraron un total de </w:t>
      </w:r>
      <w:r w:rsidRPr="001618F1">
        <w:rPr>
          <w:rFonts w:ascii="Gotham" w:eastAsia="Gotham" w:hAnsi="Gotham" w:cs="Gotham"/>
          <w:sz w:val="20"/>
          <w:szCs w:val="20"/>
        </w:rPr>
        <w:t>17 votos a favor; encontrándose ausente en el momento de la votación el Regidor Alejandro Buenrostro Hernández</w:t>
      </w:r>
      <w:r>
        <w:rPr>
          <w:rFonts w:ascii="Gotham" w:eastAsia="Gotham" w:hAnsi="Gotham" w:cs="Gotham"/>
          <w:sz w:val="20"/>
          <w:szCs w:val="20"/>
        </w:rPr>
        <w:t>.</w:t>
      </w:r>
    </w:p>
    <w:p w14:paraId="3A4731EE" w14:textId="77777777" w:rsidR="00016FE1" w:rsidRDefault="00016FE1" w:rsidP="002B6227">
      <w:pPr>
        <w:tabs>
          <w:tab w:val="left" w:pos="142"/>
          <w:tab w:val="left" w:pos="284"/>
        </w:tabs>
        <w:jc w:val="both"/>
        <w:rPr>
          <w:rFonts w:ascii="Gotham" w:hAnsi="Gotham" w:cs="Arial"/>
          <w:sz w:val="20"/>
          <w:szCs w:val="20"/>
        </w:rPr>
      </w:pPr>
    </w:p>
    <w:p w14:paraId="3A4731EF" w14:textId="77777777" w:rsidR="00016FE1" w:rsidRDefault="00016FE1" w:rsidP="002B6227">
      <w:pPr>
        <w:jc w:val="both"/>
      </w:pPr>
      <w:r>
        <w:rPr>
          <w:rFonts w:ascii="Gotham" w:eastAsia="Gotham" w:hAnsi="Gotham" w:cs="Gotham"/>
          <w:sz w:val="20"/>
          <w:szCs w:val="20"/>
        </w:rPr>
        <w:t>En uso de la voz el Presidente Municipal, Sergio Armando Chávez Dávalos, señala que, gracias Secretaria; queda aprobado.</w:t>
      </w:r>
    </w:p>
    <w:p w14:paraId="3A4731F0" w14:textId="77777777" w:rsidR="00016FE1" w:rsidRDefault="00016FE1" w:rsidP="002B6227">
      <w:pPr>
        <w:tabs>
          <w:tab w:val="left" w:pos="142"/>
          <w:tab w:val="left" w:pos="284"/>
        </w:tabs>
        <w:jc w:val="both"/>
        <w:rPr>
          <w:rFonts w:ascii="Gotham" w:hAnsi="Gotham" w:cs="Arial"/>
          <w:sz w:val="20"/>
          <w:szCs w:val="20"/>
        </w:rPr>
      </w:pPr>
    </w:p>
    <w:p w14:paraId="3A4731F1" w14:textId="77777777" w:rsidR="00016FE1" w:rsidRDefault="00016FE1" w:rsidP="002B6227">
      <w:pPr>
        <w:tabs>
          <w:tab w:val="left" w:pos="142"/>
          <w:tab w:val="left" w:pos="284"/>
        </w:tabs>
        <w:jc w:val="both"/>
        <w:rPr>
          <w:rFonts w:ascii="Gotham" w:hAnsi="Gotham" w:cs="Arial"/>
          <w:sz w:val="20"/>
          <w:szCs w:val="20"/>
        </w:rPr>
      </w:pPr>
    </w:p>
    <w:p w14:paraId="3A4731F2" w14:textId="77777777" w:rsidR="00016FE1" w:rsidRPr="00C52792" w:rsidRDefault="00016FE1" w:rsidP="002B6227">
      <w:pPr>
        <w:pStyle w:val="western"/>
        <w:spacing w:before="0" w:beforeAutospacing="0"/>
        <w:jc w:val="right"/>
        <w:rPr>
          <w:rFonts w:ascii="Gotham" w:hAnsi="Gotham"/>
          <w:b/>
          <w:sz w:val="22"/>
          <w:szCs w:val="22"/>
          <w:u w:val="single"/>
        </w:rPr>
      </w:pPr>
      <w:r w:rsidRPr="00C52792">
        <w:rPr>
          <w:rFonts w:ascii="Gotham" w:hAnsi="Gotham"/>
          <w:b/>
          <w:sz w:val="22"/>
          <w:szCs w:val="22"/>
          <w:u w:val="single"/>
        </w:rPr>
        <w:t xml:space="preserve">ACUERDO NO. </w:t>
      </w:r>
      <w:r>
        <w:rPr>
          <w:rFonts w:ascii="Gotham" w:hAnsi="Gotham"/>
          <w:b/>
          <w:sz w:val="22"/>
          <w:szCs w:val="22"/>
          <w:u w:val="single"/>
        </w:rPr>
        <w:t>1112</w:t>
      </w:r>
    </w:p>
    <w:p w14:paraId="3A4731F3" w14:textId="77777777" w:rsidR="00016FE1" w:rsidRPr="009315F1" w:rsidRDefault="00016FE1" w:rsidP="002B6227">
      <w:pPr>
        <w:tabs>
          <w:tab w:val="left" w:pos="142"/>
          <w:tab w:val="left" w:pos="284"/>
        </w:tabs>
        <w:jc w:val="both"/>
        <w:rPr>
          <w:rFonts w:ascii="Gotham" w:hAnsi="Gotham"/>
          <w:sz w:val="20"/>
          <w:szCs w:val="20"/>
        </w:rPr>
      </w:pPr>
      <w:r w:rsidRPr="00C52792">
        <w:rPr>
          <w:rFonts w:ascii="Gotham" w:hAnsi="Gotham"/>
          <w:b/>
          <w:bCs/>
          <w:smallCaps/>
          <w:sz w:val="20"/>
          <w:szCs w:val="20"/>
        </w:rPr>
        <w:t>Quinta Iniciativa con Dispensa de Trámite</w:t>
      </w:r>
      <w:r w:rsidRPr="00C52792">
        <w:rPr>
          <w:rFonts w:ascii="Gotham" w:hAnsi="Gotham"/>
          <w:b/>
          <w:bCs/>
          <w:sz w:val="20"/>
          <w:szCs w:val="20"/>
        </w:rPr>
        <w:t xml:space="preserve">.- </w:t>
      </w:r>
      <w:r>
        <w:rPr>
          <w:rFonts w:ascii="Gotham" w:hAnsi="Gotham" w:cs="Arial"/>
          <w:sz w:val="20"/>
          <w:szCs w:val="20"/>
        </w:rPr>
        <w:t>En uso de la voz la Regidora Celia Guadalupe Serrano Villagómez, expresa que, l</w:t>
      </w:r>
      <w:r w:rsidRPr="009315F1">
        <w:rPr>
          <w:rFonts w:ascii="Gotham" w:hAnsi="Gotham"/>
          <w:color w:val="181818"/>
          <w:sz w:val="20"/>
          <w:szCs w:val="20"/>
        </w:rPr>
        <w:t xml:space="preserve">a </w:t>
      </w:r>
      <w:r w:rsidRPr="009315F1">
        <w:rPr>
          <w:rFonts w:ascii="Gotham" w:hAnsi="Gotham"/>
          <w:color w:val="151515"/>
          <w:sz w:val="20"/>
          <w:szCs w:val="20"/>
        </w:rPr>
        <w:t xml:space="preserve">que </w:t>
      </w:r>
      <w:r w:rsidRPr="009315F1">
        <w:rPr>
          <w:rFonts w:ascii="Gotham" w:hAnsi="Gotham"/>
          <w:sz w:val="20"/>
          <w:szCs w:val="20"/>
        </w:rPr>
        <w:t xml:space="preserve">suscribe </w:t>
      </w:r>
      <w:r w:rsidRPr="009315F1">
        <w:rPr>
          <w:rFonts w:ascii="Gotham" w:hAnsi="Gotham"/>
          <w:color w:val="343434"/>
          <w:sz w:val="20"/>
          <w:szCs w:val="20"/>
        </w:rPr>
        <w:t xml:space="preserve">Regidora </w:t>
      </w:r>
      <w:r w:rsidRPr="009315F1">
        <w:rPr>
          <w:rFonts w:ascii="Gotham" w:hAnsi="Gotham"/>
          <w:color w:val="313131"/>
          <w:sz w:val="20"/>
          <w:szCs w:val="20"/>
        </w:rPr>
        <w:t xml:space="preserve">Municipal </w:t>
      </w:r>
      <w:r w:rsidRPr="009315F1">
        <w:rPr>
          <w:rFonts w:ascii="Gotham" w:hAnsi="Gotham"/>
          <w:color w:val="4F4F4F"/>
          <w:sz w:val="20"/>
          <w:szCs w:val="20"/>
        </w:rPr>
        <w:t xml:space="preserve">Celia </w:t>
      </w:r>
      <w:r w:rsidRPr="009315F1">
        <w:rPr>
          <w:rFonts w:ascii="Gotham" w:hAnsi="Gotham"/>
          <w:color w:val="2A2A2A"/>
          <w:sz w:val="20"/>
          <w:szCs w:val="20"/>
        </w:rPr>
        <w:t xml:space="preserve">Guadalupe </w:t>
      </w:r>
      <w:r w:rsidRPr="009315F1">
        <w:rPr>
          <w:rFonts w:ascii="Gotham" w:hAnsi="Gotham"/>
          <w:color w:val="363636"/>
          <w:sz w:val="20"/>
          <w:szCs w:val="20"/>
        </w:rPr>
        <w:t xml:space="preserve">Serrano </w:t>
      </w:r>
      <w:r w:rsidRPr="009315F1">
        <w:rPr>
          <w:rFonts w:ascii="Gotham" w:hAnsi="Gotham"/>
          <w:color w:val="0F0F0F"/>
          <w:sz w:val="20"/>
          <w:szCs w:val="20"/>
        </w:rPr>
        <w:t xml:space="preserve">Villagómez, </w:t>
      </w:r>
      <w:r w:rsidRPr="009315F1">
        <w:rPr>
          <w:rFonts w:ascii="Gotham" w:hAnsi="Gotham"/>
          <w:color w:val="161616"/>
          <w:sz w:val="20"/>
          <w:szCs w:val="20"/>
        </w:rPr>
        <w:t>con</w:t>
      </w:r>
      <w:r w:rsidRPr="009315F1">
        <w:rPr>
          <w:rFonts w:ascii="Gotham" w:hAnsi="Gotham"/>
          <w:color w:val="161616"/>
          <w:spacing w:val="-14"/>
          <w:sz w:val="20"/>
          <w:szCs w:val="20"/>
        </w:rPr>
        <w:t xml:space="preserve"> </w:t>
      </w:r>
      <w:r w:rsidRPr="009315F1">
        <w:rPr>
          <w:rFonts w:ascii="Gotham" w:hAnsi="Gotham"/>
          <w:sz w:val="20"/>
          <w:szCs w:val="20"/>
        </w:rPr>
        <w:t>fundamento</w:t>
      </w:r>
      <w:r w:rsidRPr="009315F1">
        <w:rPr>
          <w:rFonts w:ascii="Gotham" w:hAnsi="Gotham"/>
          <w:spacing w:val="-2"/>
          <w:sz w:val="20"/>
          <w:szCs w:val="20"/>
        </w:rPr>
        <w:t xml:space="preserve"> </w:t>
      </w:r>
      <w:r w:rsidRPr="009315F1">
        <w:rPr>
          <w:rFonts w:ascii="Gotham" w:hAnsi="Gotham"/>
          <w:color w:val="262626"/>
          <w:sz w:val="20"/>
          <w:szCs w:val="20"/>
        </w:rPr>
        <w:t>en</w:t>
      </w:r>
      <w:r w:rsidRPr="009315F1">
        <w:rPr>
          <w:rFonts w:ascii="Gotham" w:hAnsi="Gotham"/>
          <w:color w:val="262626"/>
          <w:spacing w:val="-16"/>
          <w:sz w:val="20"/>
          <w:szCs w:val="20"/>
        </w:rPr>
        <w:t xml:space="preserve"> </w:t>
      </w:r>
      <w:r w:rsidRPr="009315F1">
        <w:rPr>
          <w:rFonts w:ascii="Gotham" w:hAnsi="Gotham"/>
          <w:color w:val="131313"/>
          <w:sz w:val="20"/>
          <w:szCs w:val="20"/>
        </w:rPr>
        <w:t>las</w:t>
      </w:r>
      <w:r w:rsidRPr="009315F1">
        <w:rPr>
          <w:rFonts w:ascii="Gotham" w:hAnsi="Gotham"/>
          <w:color w:val="131313"/>
          <w:spacing w:val="-13"/>
          <w:sz w:val="20"/>
          <w:szCs w:val="20"/>
        </w:rPr>
        <w:t xml:space="preserve"> </w:t>
      </w:r>
      <w:r w:rsidRPr="009315F1">
        <w:rPr>
          <w:rFonts w:ascii="Gotham" w:hAnsi="Gotham"/>
          <w:sz w:val="20"/>
          <w:szCs w:val="20"/>
        </w:rPr>
        <w:t>facultades</w:t>
      </w:r>
      <w:r w:rsidRPr="009315F1">
        <w:rPr>
          <w:rFonts w:ascii="Gotham" w:hAnsi="Gotham"/>
          <w:spacing w:val="-3"/>
          <w:sz w:val="20"/>
          <w:szCs w:val="20"/>
        </w:rPr>
        <w:t xml:space="preserve"> </w:t>
      </w:r>
      <w:r w:rsidRPr="009315F1">
        <w:rPr>
          <w:rFonts w:ascii="Gotham" w:hAnsi="Gotham"/>
          <w:color w:val="151515"/>
          <w:sz w:val="20"/>
          <w:szCs w:val="20"/>
        </w:rPr>
        <w:t>que</w:t>
      </w:r>
      <w:r w:rsidRPr="009315F1">
        <w:rPr>
          <w:rFonts w:ascii="Gotham" w:hAnsi="Gotham"/>
          <w:color w:val="151515"/>
          <w:spacing w:val="-17"/>
          <w:sz w:val="20"/>
          <w:szCs w:val="20"/>
        </w:rPr>
        <w:t xml:space="preserve"> </w:t>
      </w:r>
      <w:r w:rsidRPr="009315F1">
        <w:rPr>
          <w:rFonts w:ascii="Gotham" w:hAnsi="Gotham"/>
          <w:color w:val="0C0C0C"/>
          <w:sz w:val="20"/>
          <w:szCs w:val="20"/>
        </w:rPr>
        <w:t>me</w:t>
      </w:r>
      <w:r w:rsidRPr="009315F1">
        <w:rPr>
          <w:rFonts w:ascii="Gotham" w:hAnsi="Gotham"/>
          <w:color w:val="0C0C0C"/>
          <w:spacing w:val="-17"/>
          <w:sz w:val="20"/>
          <w:szCs w:val="20"/>
        </w:rPr>
        <w:t xml:space="preserve"> </w:t>
      </w:r>
      <w:r w:rsidRPr="009315F1">
        <w:rPr>
          <w:rFonts w:ascii="Gotham" w:hAnsi="Gotham"/>
          <w:color w:val="0F0F0F"/>
          <w:sz w:val="20"/>
          <w:szCs w:val="20"/>
        </w:rPr>
        <w:t>confieren</w:t>
      </w:r>
      <w:r w:rsidRPr="009315F1">
        <w:rPr>
          <w:rFonts w:ascii="Gotham" w:hAnsi="Gotham"/>
          <w:color w:val="0F0F0F"/>
          <w:spacing w:val="-9"/>
          <w:sz w:val="20"/>
          <w:szCs w:val="20"/>
        </w:rPr>
        <w:t xml:space="preserve"> </w:t>
      </w:r>
      <w:r w:rsidRPr="009315F1">
        <w:rPr>
          <w:rFonts w:ascii="Gotham" w:hAnsi="Gotham"/>
          <w:color w:val="181818"/>
          <w:sz w:val="20"/>
          <w:szCs w:val="20"/>
        </w:rPr>
        <w:t>los</w:t>
      </w:r>
      <w:r w:rsidRPr="009315F1">
        <w:rPr>
          <w:rFonts w:ascii="Gotham" w:hAnsi="Gotham"/>
          <w:color w:val="181818"/>
          <w:spacing w:val="-15"/>
          <w:sz w:val="20"/>
          <w:szCs w:val="20"/>
        </w:rPr>
        <w:t xml:space="preserve"> </w:t>
      </w:r>
      <w:r w:rsidRPr="009315F1">
        <w:rPr>
          <w:rFonts w:ascii="Gotham" w:hAnsi="Gotham"/>
          <w:sz w:val="20"/>
          <w:szCs w:val="20"/>
        </w:rPr>
        <w:t>artículos</w:t>
      </w:r>
      <w:r w:rsidRPr="009315F1">
        <w:rPr>
          <w:rFonts w:ascii="Gotham" w:hAnsi="Gotham"/>
          <w:spacing w:val="-9"/>
          <w:sz w:val="20"/>
          <w:szCs w:val="20"/>
        </w:rPr>
        <w:t xml:space="preserve"> </w:t>
      </w:r>
      <w:r w:rsidRPr="009315F1">
        <w:rPr>
          <w:rFonts w:ascii="Gotham" w:hAnsi="Gotham"/>
          <w:color w:val="0C0C0C"/>
          <w:sz w:val="20"/>
          <w:szCs w:val="20"/>
        </w:rPr>
        <w:t>27</w:t>
      </w:r>
      <w:r w:rsidRPr="009315F1">
        <w:rPr>
          <w:rFonts w:ascii="Gotham" w:hAnsi="Gotham"/>
          <w:color w:val="0C0C0C"/>
          <w:spacing w:val="-13"/>
          <w:sz w:val="20"/>
          <w:szCs w:val="20"/>
        </w:rPr>
        <w:t xml:space="preserve"> </w:t>
      </w:r>
      <w:r w:rsidRPr="009315F1">
        <w:rPr>
          <w:rFonts w:ascii="Gotham" w:hAnsi="Gotham"/>
          <w:color w:val="595959"/>
          <w:sz w:val="20"/>
          <w:szCs w:val="20"/>
        </w:rPr>
        <w:t>y</w:t>
      </w:r>
      <w:r w:rsidRPr="009315F1">
        <w:rPr>
          <w:rFonts w:ascii="Gotham" w:hAnsi="Gotham"/>
          <w:color w:val="595959"/>
          <w:spacing w:val="-15"/>
          <w:sz w:val="20"/>
          <w:szCs w:val="20"/>
        </w:rPr>
        <w:t xml:space="preserve"> </w:t>
      </w:r>
      <w:r w:rsidRPr="009315F1">
        <w:rPr>
          <w:rFonts w:ascii="Gotham" w:hAnsi="Gotham"/>
          <w:color w:val="2A2A2A"/>
          <w:sz w:val="20"/>
          <w:szCs w:val="20"/>
        </w:rPr>
        <w:t>50</w:t>
      </w:r>
      <w:r w:rsidRPr="009315F1">
        <w:rPr>
          <w:rFonts w:ascii="Gotham" w:hAnsi="Gotham"/>
          <w:color w:val="2A2A2A"/>
          <w:spacing w:val="-12"/>
          <w:sz w:val="20"/>
          <w:szCs w:val="20"/>
        </w:rPr>
        <w:t xml:space="preserve"> </w:t>
      </w:r>
      <w:r w:rsidRPr="009315F1">
        <w:rPr>
          <w:rFonts w:ascii="Gotham" w:hAnsi="Gotham"/>
          <w:color w:val="3A3A3A"/>
          <w:sz w:val="20"/>
          <w:szCs w:val="20"/>
        </w:rPr>
        <w:t>de</w:t>
      </w:r>
      <w:r w:rsidRPr="009315F1">
        <w:rPr>
          <w:rFonts w:ascii="Gotham" w:hAnsi="Gotham"/>
          <w:color w:val="3A3A3A"/>
          <w:spacing w:val="-15"/>
          <w:sz w:val="20"/>
          <w:szCs w:val="20"/>
        </w:rPr>
        <w:t xml:space="preserve"> </w:t>
      </w:r>
      <w:r w:rsidRPr="009315F1">
        <w:rPr>
          <w:rFonts w:ascii="Gotham" w:hAnsi="Gotham"/>
          <w:color w:val="151515"/>
          <w:sz w:val="20"/>
          <w:szCs w:val="20"/>
        </w:rPr>
        <w:t xml:space="preserve">la </w:t>
      </w:r>
      <w:r w:rsidRPr="009315F1">
        <w:rPr>
          <w:rFonts w:ascii="Gotham" w:hAnsi="Gotham"/>
          <w:color w:val="212121"/>
          <w:sz w:val="20"/>
          <w:szCs w:val="20"/>
        </w:rPr>
        <w:t>Ley</w:t>
      </w:r>
      <w:r w:rsidRPr="009315F1">
        <w:rPr>
          <w:rFonts w:ascii="Gotham" w:hAnsi="Gotham"/>
          <w:color w:val="212121"/>
          <w:spacing w:val="40"/>
          <w:sz w:val="20"/>
          <w:szCs w:val="20"/>
        </w:rPr>
        <w:t xml:space="preserve"> </w:t>
      </w:r>
      <w:r w:rsidRPr="009315F1">
        <w:rPr>
          <w:rFonts w:ascii="Gotham" w:hAnsi="Gotham"/>
          <w:color w:val="0C0C0C"/>
          <w:sz w:val="20"/>
          <w:szCs w:val="20"/>
        </w:rPr>
        <w:t>del</w:t>
      </w:r>
      <w:r w:rsidRPr="009315F1">
        <w:rPr>
          <w:rFonts w:ascii="Gotham" w:hAnsi="Gotham"/>
          <w:color w:val="0C0C0C"/>
          <w:spacing w:val="40"/>
          <w:sz w:val="20"/>
          <w:szCs w:val="20"/>
        </w:rPr>
        <w:t xml:space="preserve"> </w:t>
      </w:r>
      <w:r w:rsidRPr="009315F1">
        <w:rPr>
          <w:rFonts w:ascii="Gotham" w:hAnsi="Gotham"/>
          <w:color w:val="0C0C0C"/>
          <w:sz w:val="20"/>
          <w:szCs w:val="20"/>
        </w:rPr>
        <w:t>Gobierno</w:t>
      </w:r>
      <w:r w:rsidRPr="009315F1">
        <w:rPr>
          <w:rFonts w:ascii="Gotham" w:hAnsi="Gotham"/>
          <w:color w:val="0C0C0C"/>
          <w:spacing w:val="40"/>
          <w:sz w:val="20"/>
          <w:szCs w:val="20"/>
        </w:rPr>
        <w:t xml:space="preserve"> </w:t>
      </w:r>
      <w:r w:rsidRPr="009315F1">
        <w:rPr>
          <w:rFonts w:ascii="Gotham" w:hAnsi="Gotham"/>
          <w:color w:val="2D2D2D"/>
          <w:sz w:val="20"/>
          <w:szCs w:val="20"/>
        </w:rPr>
        <w:t>y</w:t>
      </w:r>
      <w:r w:rsidRPr="009315F1">
        <w:rPr>
          <w:rFonts w:ascii="Gotham" w:hAnsi="Gotham"/>
          <w:color w:val="2D2D2D"/>
          <w:spacing w:val="40"/>
          <w:sz w:val="20"/>
          <w:szCs w:val="20"/>
        </w:rPr>
        <w:t xml:space="preserve"> </w:t>
      </w:r>
      <w:r w:rsidRPr="009315F1">
        <w:rPr>
          <w:rFonts w:ascii="Gotham" w:hAnsi="Gotham"/>
          <w:sz w:val="20"/>
          <w:szCs w:val="20"/>
        </w:rPr>
        <w:t>la</w:t>
      </w:r>
      <w:r w:rsidRPr="009315F1">
        <w:rPr>
          <w:rFonts w:ascii="Gotham" w:hAnsi="Gotham"/>
          <w:spacing w:val="40"/>
          <w:sz w:val="20"/>
          <w:szCs w:val="20"/>
        </w:rPr>
        <w:t xml:space="preserve"> </w:t>
      </w:r>
      <w:r w:rsidRPr="009315F1">
        <w:rPr>
          <w:rFonts w:ascii="Gotham" w:hAnsi="Gotham"/>
          <w:color w:val="131313"/>
          <w:sz w:val="20"/>
          <w:szCs w:val="20"/>
        </w:rPr>
        <w:t>Administración</w:t>
      </w:r>
      <w:r w:rsidRPr="009315F1">
        <w:rPr>
          <w:rFonts w:ascii="Gotham" w:hAnsi="Gotham"/>
          <w:color w:val="131313"/>
          <w:spacing w:val="40"/>
          <w:sz w:val="20"/>
          <w:szCs w:val="20"/>
        </w:rPr>
        <w:t xml:space="preserve"> </w:t>
      </w:r>
      <w:r w:rsidRPr="009315F1">
        <w:rPr>
          <w:rFonts w:ascii="Gotham" w:hAnsi="Gotham"/>
          <w:sz w:val="20"/>
          <w:szCs w:val="20"/>
        </w:rPr>
        <w:t>Pública</w:t>
      </w:r>
      <w:r w:rsidRPr="009315F1">
        <w:rPr>
          <w:rFonts w:ascii="Gotham" w:hAnsi="Gotham"/>
          <w:spacing w:val="40"/>
          <w:sz w:val="20"/>
          <w:szCs w:val="20"/>
        </w:rPr>
        <w:t xml:space="preserve"> </w:t>
      </w:r>
      <w:r w:rsidRPr="009315F1">
        <w:rPr>
          <w:rFonts w:ascii="Gotham" w:hAnsi="Gotham"/>
          <w:sz w:val="20"/>
          <w:szCs w:val="20"/>
        </w:rPr>
        <w:t>Municipal</w:t>
      </w:r>
      <w:r w:rsidRPr="009315F1">
        <w:rPr>
          <w:rFonts w:ascii="Gotham" w:hAnsi="Gotham"/>
          <w:spacing w:val="40"/>
          <w:sz w:val="20"/>
          <w:szCs w:val="20"/>
        </w:rPr>
        <w:t xml:space="preserve"> </w:t>
      </w:r>
      <w:r w:rsidRPr="009315F1">
        <w:rPr>
          <w:rFonts w:ascii="Gotham" w:hAnsi="Gotham"/>
          <w:color w:val="242424"/>
          <w:sz w:val="20"/>
          <w:szCs w:val="20"/>
        </w:rPr>
        <w:t>del</w:t>
      </w:r>
      <w:r w:rsidRPr="009315F1">
        <w:rPr>
          <w:rFonts w:ascii="Gotham" w:hAnsi="Gotham"/>
          <w:color w:val="242424"/>
          <w:spacing w:val="40"/>
          <w:sz w:val="20"/>
          <w:szCs w:val="20"/>
        </w:rPr>
        <w:t xml:space="preserve"> </w:t>
      </w:r>
      <w:r w:rsidRPr="009315F1">
        <w:rPr>
          <w:rFonts w:ascii="Gotham" w:hAnsi="Gotham"/>
          <w:color w:val="131313"/>
          <w:sz w:val="20"/>
          <w:szCs w:val="20"/>
        </w:rPr>
        <w:t>Estado</w:t>
      </w:r>
      <w:r w:rsidRPr="009315F1">
        <w:rPr>
          <w:rFonts w:ascii="Gotham" w:hAnsi="Gotham"/>
          <w:color w:val="131313"/>
          <w:spacing w:val="40"/>
          <w:sz w:val="20"/>
          <w:szCs w:val="20"/>
        </w:rPr>
        <w:t xml:space="preserve"> </w:t>
      </w:r>
      <w:r w:rsidRPr="009315F1">
        <w:rPr>
          <w:rFonts w:ascii="Gotham" w:hAnsi="Gotham"/>
          <w:color w:val="111111"/>
          <w:sz w:val="20"/>
          <w:szCs w:val="20"/>
        </w:rPr>
        <w:t>de</w:t>
      </w:r>
      <w:r w:rsidRPr="009315F1">
        <w:rPr>
          <w:rFonts w:ascii="Gotham" w:hAnsi="Gotham"/>
          <w:color w:val="111111"/>
          <w:spacing w:val="40"/>
          <w:sz w:val="20"/>
          <w:szCs w:val="20"/>
        </w:rPr>
        <w:t xml:space="preserve"> </w:t>
      </w:r>
      <w:r w:rsidRPr="009315F1">
        <w:rPr>
          <w:rFonts w:ascii="Gotham" w:hAnsi="Gotham"/>
          <w:sz w:val="20"/>
          <w:szCs w:val="20"/>
        </w:rPr>
        <w:t xml:space="preserve">Jalisco, </w:t>
      </w:r>
      <w:r w:rsidRPr="009315F1">
        <w:rPr>
          <w:rFonts w:ascii="Gotham" w:hAnsi="Gotham"/>
          <w:color w:val="181818"/>
          <w:spacing w:val="-2"/>
          <w:sz w:val="20"/>
          <w:szCs w:val="20"/>
        </w:rPr>
        <w:t>así</w:t>
      </w:r>
      <w:r w:rsidRPr="009315F1">
        <w:rPr>
          <w:rFonts w:ascii="Gotham" w:hAnsi="Gotham"/>
          <w:color w:val="181818"/>
          <w:spacing w:val="-16"/>
          <w:sz w:val="20"/>
          <w:szCs w:val="20"/>
        </w:rPr>
        <w:t xml:space="preserve"> </w:t>
      </w:r>
      <w:r w:rsidRPr="009315F1">
        <w:rPr>
          <w:rFonts w:ascii="Gotham" w:hAnsi="Gotham"/>
          <w:color w:val="0F0F0F"/>
          <w:spacing w:val="-2"/>
          <w:sz w:val="20"/>
          <w:szCs w:val="20"/>
        </w:rPr>
        <w:t>como</w:t>
      </w:r>
      <w:r w:rsidRPr="009315F1">
        <w:rPr>
          <w:rFonts w:ascii="Gotham" w:hAnsi="Gotham"/>
          <w:color w:val="0F0F0F"/>
          <w:spacing w:val="-14"/>
          <w:sz w:val="20"/>
          <w:szCs w:val="20"/>
        </w:rPr>
        <w:t xml:space="preserve"> </w:t>
      </w:r>
      <w:r w:rsidRPr="009315F1">
        <w:rPr>
          <w:rFonts w:ascii="Gotham" w:hAnsi="Gotham"/>
          <w:spacing w:val="-2"/>
          <w:sz w:val="20"/>
          <w:szCs w:val="20"/>
        </w:rPr>
        <w:t>lo</w:t>
      </w:r>
      <w:r w:rsidRPr="009315F1">
        <w:rPr>
          <w:rFonts w:ascii="Gotham" w:hAnsi="Gotham"/>
          <w:spacing w:val="-14"/>
          <w:sz w:val="20"/>
          <w:szCs w:val="20"/>
        </w:rPr>
        <w:t xml:space="preserve"> </w:t>
      </w:r>
      <w:r w:rsidRPr="009315F1">
        <w:rPr>
          <w:rFonts w:ascii="Gotham" w:hAnsi="Gotham"/>
          <w:spacing w:val="-2"/>
          <w:sz w:val="20"/>
          <w:szCs w:val="20"/>
        </w:rPr>
        <w:t>señalado</w:t>
      </w:r>
      <w:r w:rsidRPr="009315F1">
        <w:rPr>
          <w:rFonts w:ascii="Gotham" w:hAnsi="Gotham"/>
          <w:spacing w:val="-5"/>
          <w:sz w:val="20"/>
          <w:szCs w:val="20"/>
        </w:rPr>
        <w:t xml:space="preserve"> </w:t>
      </w:r>
      <w:r w:rsidRPr="009315F1">
        <w:rPr>
          <w:rFonts w:ascii="Gotham" w:hAnsi="Gotham"/>
          <w:color w:val="111111"/>
          <w:spacing w:val="-2"/>
          <w:sz w:val="20"/>
          <w:szCs w:val="20"/>
        </w:rPr>
        <w:t>en</w:t>
      </w:r>
      <w:r w:rsidRPr="009315F1">
        <w:rPr>
          <w:rFonts w:ascii="Gotham" w:hAnsi="Gotham"/>
          <w:color w:val="111111"/>
          <w:spacing w:val="-16"/>
          <w:sz w:val="20"/>
          <w:szCs w:val="20"/>
        </w:rPr>
        <w:t xml:space="preserve"> </w:t>
      </w:r>
      <w:r w:rsidRPr="009315F1">
        <w:rPr>
          <w:rFonts w:ascii="Gotham" w:hAnsi="Gotham"/>
          <w:spacing w:val="-2"/>
          <w:sz w:val="20"/>
          <w:szCs w:val="20"/>
        </w:rPr>
        <w:t>los</w:t>
      </w:r>
      <w:r w:rsidRPr="009315F1">
        <w:rPr>
          <w:rFonts w:ascii="Gotham" w:hAnsi="Gotham"/>
          <w:spacing w:val="-14"/>
          <w:sz w:val="20"/>
          <w:szCs w:val="20"/>
        </w:rPr>
        <w:t xml:space="preserve"> </w:t>
      </w:r>
      <w:r w:rsidRPr="009315F1">
        <w:rPr>
          <w:rFonts w:ascii="Gotham" w:hAnsi="Gotham"/>
          <w:spacing w:val="-2"/>
          <w:sz w:val="20"/>
          <w:szCs w:val="20"/>
        </w:rPr>
        <w:t>artículos</w:t>
      </w:r>
      <w:r w:rsidRPr="009315F1">
        <w:rPr>
          <w:rFonts w:ascii="Gotham" w:hAnsi="Gotham"/>
          <w:spacing w:val="-10"/>
          <w:sz w:val="20"/>
          <w:szCs w:val="20"/>
        </w:rPr>
        <w:t xml:space="preserve"> </w:t>
      </w:r>
      <w:r w:rsidRPr="009315F1">
        <w:rPr>
          <w:rFonts w:ascii="Gotham" w:hAnsi="Gotham"/>
          <w:spacing w:val="-2"/>
          <w:sz w:val="20"/>
          <w:szCs w:val="20"/>
        </w:rPr>
        <w:t xml:space="preserve">relativos </w:t>
      </w:r>
      <w:r w:rsidRPr="009315F1">
        <w:rPr>
          <w:rFonts w:ascii="Gotham" w:hAnsi="Gotham"/>
          <w:color w:val="0F0F0F"/>
          <w:spacing w:val="-2"/>
          <w:sz w:val="20"/>
          <w:szCs w:val="20"/>
        </w:rPr>
        <w:t>al</w:t>
      </w:r>
      <w:r w:rsidRPr="009315F1">
        <w:rPr>
          <w:rFonts w:ascii="Gotham" w:hAnsi="Gotham"/>
          <w:color w:val="0F0F0F"/>
          <w:spacing w:val="-16"/>
          <w:sz w:val="20"/>
          <w:szCs w:val="20"/>
        </w:rPr>
        <w:t xml:space="preserve"> </w:t>
      </w:r>
      <w:r w:rsidRPr="009315F1">
        <w:rPr>
          <w:rFonts w:ascii="Gotham" w:hAnsi="Gotham"/>
          <w:spacing w:val="-2"/>
          <w:sz w:val="20"/>
          <w:szCs w:val="20"/>
        </w:rPr>
        <w:t>Reglamento</w:t>
      </w:r>
      <w:r w:rsidRPr="009315F1">
        <w:rPr>
          <w:rFonts w:ascii="Gotham" w:hAnsi="Gotham"/>
          <w:spacing w:val="-7"/>
          <w:sz w:val="20"/>
          <w:szCs w:val="20"/>
        </w:rPr>
        <w:t xml:space="preserve"> </w:t>
      </w:r>
      <w:r w:rsidRPr="009315F1">
        <w:rPr>
          <w:rFonts w:ascii="Gotham" w:hAnsi="Gotham"/>
          <w:spacing w:val="-2"/>
          <w:sz w:val="20"/>
          <w:szCs w:val="20"/>
        </w:rPr>
        <w:t>del</w:t>
      </w:r>
      <w:r w:rsidRPr="009315F1">
        <w:rPr>
          <w:rFonts w:ascii="Gotham" w:hAnsi="Gotham"/>
          <w:spacing w:val="-16"/>
          <w:sz w:val="20"/>
          <w:szCs w:val="20"/>
        </w:rPr>
        <w:t xml:space="preserve"> </w:t>
      </w:r>
      <w:r w:rsidRPr="009315F1">
        <w:rPr>
          <w:rFonts w:ascii="Gotham" w:hAnsi="Gotham"/>
          <w:color w:val="111111"/>
          <w:spacing w:val="-2"/>
          <w:sz w:val="20"/>
          <w:szCs w:val="20"/>
        </w:rPr>
        <w:t xml:space="preserve">Gobierno </w:t>
      </w:r>
      <w:r w:rsidRPr="009315F1">
        <w:rPr>
          <w:rFonts w:ascii="Gotham" w:hAnsi="Gotham"/>
          <w:color w:val="545454"/>
          <w:spacing w:val="-2"/>
          <w:sz w:val="20"/>
          <w:szCs w:val="20"/>
        </w:rPr>
        <w:t>y</w:t>
      </w:r>
      <w:r w:rsidRPr="009315F1">
        <w:rPr>
          <w:rFonts w:ascii="Gotham" w:hAnsi="Gotham"/>
          <w:color w:val="545454"/>
          <w:spacing w:val="-14"/>
          <w:sz w:val="20"/>
          <w:szCs w:val="20"/>
        </w:rPr>
        <w:t xml:space="preserve"> </w:t>
      </w:r>
      <w:r w:rsidRPr="009315F1">
        <w:rPr>
          <w:rFonts w:ascii="Gotham" w:hAnsi="Gotham"/>
          <w:color w:val="131313"/>
          <w:spacing w:val="-2"/>
          <w:sz w:val="20"/>
          <w:szCs w:val="20"/>
        </w:rPr>
        <w:t xml:space="preserve">la </w:t>
      </w:r>
      <w:r w:rsidRPr="009315F1">
        <w:rPr>
          <w:rFonts w:ascii="Gotham" w:hAnsi="Gotham"/>
          <w:spacing w:val="-4"/>
          <w:sz w:val="20"/>
          <w:szCs w:val="20"/>
        </w:rPr>
        <w:t>Administración</w:t>
      </w:r>
      <w:r w:rsidRPr="009315F1">
        <w:rPr>
          <w:rFonts w:ascii="Gotham" w:hAnsi="Gotham"/>
          <w:spacing w:val="-14"/>
          <w:sz w:val="20"/>
          <w:szCs w:val="20"/>
        </w:rPr>
        <w:t xml:space="preserve"> </w:t>
      </w:r>
      <w:r w:rsidRPr="009315F1">
        <w:rPr>
          <w:rFonts w:ascii="Gotham" w:hAnsi="Gotham"/>
          <w:color w:val="0C0C0C"/>
          <w:spacing w:val="-4"/>
          <w:sz w:val="20"/>
          <w:szCs w:val="20"/>
        </w:rPr>
        <w:t>Pública</w:t>
      </w:r>
      <w:r w:rsidRPr="009315F1">
        <w:rPr>
          <w:rFonts w:ascii="Gotham" w:hAnsi="Gotham"/>
          <w:color w:val="0C0C0C"/>
          <w:spacing w:val="-8"/>
          <w:sz w:val="20"/>
          <w:szCs w:val="20"/>
        </w:rPr>
        <w:t xml:space="preserve"> </w:t>
      </w:r>
      <w:r w:rsidRPr="009315F1">
        <w:rPr>
          <w:rFonts w:ascii="Gotham" w:hAnsi="Gotham"/>
          <w:spacing w:val="-4"/>
          <w:sz w:val="20"/>
          <w:szCs w:val="20"/>
        </w:rPr>
        <w:t>del</w:t>
      </w:r>
      <w:r w:rsidRPr="009315F1">
        <w:rPr>
          <w:rFonts w:ascii="Gotham" w:hAnsi="Gotham"/>
          <w:spacing w:val="-13"/>
          <w:sz w:val="20"/>
          <w:szCs w:val="20"/>
        </w:rPr>
        <w:t xml:space="preserve"> </w:t>
      </w:r>
      <w:r w:rsidRPr="009315F1">
        <w:rPr>
          <w:rFonts w:ascii="Gotham" w:hAnsi="Gotham"/>
          <w:spacing w:val="-4"/>
          <w:sz w:val="20"/>
          <w:szCs w:val="20"/>
        </w:rPr>
        <w:t>Ayuntamiento</w:t>
      </w:r>
      <w:r w:rsidRPr="009315F1">
        <w:rPr>
          <w:rFonts w:ascii="Gotham" w:hAnsi="Gotham"/>
          <w:sz w:val="20"/>
          <w:szCs w:val="20"/>
        </w:rPr>
        <w:t xml:space="preserve"> </w:t>
      </w:r>
      <w:r w:rsidRPr="009315F1">
        <w:rPr>
          <w:rFonts w:ascii="Gotham" w:hAnsi="Gotham"/>
          <w:spacing w:val="-4"/>
          <w:sz w:val="20"/>
          <w:szCs w:val="20"/>
        </w:rPr>
        <w:t>Constitucional</w:t>
      </w:r>
      <w:r w:rsidRPr="009315F1">
        <w:rPr>
          <w:rFonts w:ascii="Gotham" w:hAnsi="Gotham"/>
          <w:spacing w:val="-14"/>
          <w:sz w:val="20"/>
          <w:szCs w:val="20"/>
        </w:rPr>
        <w:t xml:space="preserve"> </w:t>
      </w:r>
      <w:r w:rsidRPr="009315F1">
        <w:rPr>
          <w:rFonts w:ascii="Gotham" w:hAnsi="Gotham"/>
          <w:color w:val="0E0E0E"/>
          <w:spacing w:val="-4"/>
          <w:sz w:val="20"/>
          <w:szCs w:val="20"/>
        </w:rPr>
        <w:t>de</w:t>
      </w:r>
      <w:r w:rsidRPr="009315F1">
        <w:rPr>
          <w:rFonts w:ascii="Gotham" w:hAnsi="Gotham"/>
          <w:color w:val="0E0E0E"/>
          <w:spacing w:val="-13"/>
          <w:sz w:val="20"/>
          <w:szCs w:val="20"/>
        </w:rPr>
        <w:t xml:space="preserve"> </w:t>
      </w:r>
      <w:r w:rsidRPr="009315F1">
        <w:rPr>
          <w:rFonts w:ascii="Gotham" w:hAnsi="Gotham"/>
          <w:spacing w:val="-4"/>
          <w:sz w:val="20"/>
          <w:szCs w:val="20"/>
        </w:rPr>
        <w:t>Tonalá Jalisco;</w:t>
      </w:r>
      <w:r w:rsidRPr="009315F1">
        <w:rPr>
          <w:rFonts w:ascii="Gotham" w:hAnsi="Gotham"/>
          <w:spacing w:val="-6"/>
          <w:sz w:val="20"/>
          <w:szCs w:val="20"/>
        </w:rPr>
        <w:t xml:space="preserve"> </w:t>
      </w:r>
      <w:r w:rsidRPr="009315F1">
        <w:rPr>
          <w:rFonts w:ascii="Gotham" w:hAnsi="Gotham"/>
          <w:color w:val="2D2D2D"/>
          <w:spacing w:val="-4"/>
          <w:sz w:val="20"/>
          <w:szCs w:val="20"/>
        </w:rPr>
        <w:t>y</w:t>
      </w:r>
      <w:r w:rsidRPr="009315F1">
        <w:rPr>
          <w:rFonts w:ascii="Gotham" w:hAnsi="Gotham"/>
          <w:color w:val="2D2D2D"/>
          <w:spacing w:val="-14"/>
          <w:sz w:val="20"/>
          <w:szCs w:val="20"/>
        </w:rPr>
        <w:t xml:space="preserve"> </w:t>
      </w:r>
      <w:r w:rsidRPr="009315F1">
        <w:rPr>
          <w:rFonts w:ascii="Gotham" w:hAnsi="Gotham"/>
          <w:color w:val="181818"/>
          <w:spacing w:val="-4"/>
          <w:sz w:val="20"/>
          <w:szCs w:val="20"/>
        </w:rPr>
        <w:t xml:space="preserve">los </w:t>
      </w:r>
      <w:r w:rsidRPr="009315F1">
        <w:rPr>
          <w:rFonts w:ascii="Gotham" w:hAnsi="Gotham"/>
          <w:sz w:val="20"/>
          <w:szCs w:val="20"/>
        </w:rPr>
        <w:t xml:space="preserve">diversos </w:t>
      </w:r>
      <w:r w:rsidRPr="009315F1">
        <w:rPr>
          <w:rFonts w:ascii="Gotham" w:hAnsi="Gotham"/>
          <w:color w:val="3A3A3A"/>
          <w:sz w:val="20"/>
          <w:szCs w:val="20"/>
        </w:rPr>
        <w:t xml:space="preserve">y </w:t>
      </w:r>
      <w:r w:rsidRPr="009315F1">
        <w:rPr>
          <w:rFonts w:ascii="Gotham" w:hAnsi="Gotham"/>
          <w:sz w:val="20"/>
          <w:szCs w:val="20"/>
        </w:rPr>
        <w:t xml:space="preserve">aplicables </w:t>
      </w:r>
      <w:r w:rsidRPr="009315F1">
        <w:rPr>
          <w:rFonts w:ascii="Gotham" w:hAnsi="Gotham"/>
          <w:color w:val="0A0A0A"/>
          <w:sz w:val="20"/>
          <w:szCs w:val="20"/>
        </w:rPr>
        <w:t xml:space="preserve">del </w:t>
      </w:r>
      <w:r w:rsidRPr="009315F1">
        <w:rPr>
          <w:rFonts w:ascii="Gotham" w:hAnsi="Gotham"/>
          <w:sz w:val="20"/>
          <w:szCs w:val="20"/>
        </w:rPr>
        <w:t xml:space="preserve">Reglamento </w:t>
      </w:r>
      <w:r w:rsidRPr="009315F1">
        <w:rPr>
          <w:rFonts w:ascii="Gotham" w:hAnsi="Gotham"/>
          <w:color w:val="131313"/>
          <w:sz w:val="20"/>
          <w:szCs w:val="20"/>
        </w:rPr>
        <w:t xml:space="preserve">para </w:t>
      </w:r>
      <w:r w:rsidRPr="009315F1">
        <w:rPr>
          <w:rFonts w:ascii="Gotham" w:hAnsi="Gotham"/>
          <w:sz w:val="20"/>
          <w:szCs w:val="20"/>
        </w:rPr>
        <w:t>el</w:t>
      </w:r>
      <w:r w:rsidRPr="009315F1">
        <w:rPr>
          <w:rFonts w:ascii="Gotham" w:hAnsi="Gotham"/>
          <w:spacing w:val="-1"/>
          <w:sz w:val="20"/>
          <w:szCs w:val="20"/>
        </w:rPr>
        <w:t xml:space="preserve"> </w:t>
      </w:r>
      <w:r w:rsidRPr="009315F1">
        <w:rPr>
          <w:rFonts w:ascii="Gotham" w:hAnsi="Gotham"/>
          <w:sz w:val="20"/>
          <w:szCs w:val="20"/>
        </w:rPr>
        <w:t>Funcionamiento</w:t>
      </w:r>
      <w:r w:rsidRPr="009315F1">
        <w:rPr>
          <w:rFonts w:ascii="Gotham" w:hAnsi="Gotham"/>
          <w:spacing w:val="-1"/>
          <w:sz w:val="20"/>
          <w:szCs w:val="20"/>
        </w:rPr>
        <w:t xml:space="preserve"> </w:t>
      </w:r>
      <w:r w:rsidRPr="009315F1">
        <w:rPr>
          <w:rFonts w:ascii="Gotham" w:hAnsi="Gotham"/>
          <w:sz w:val="20"/>
          <w:szCs w:val="20"/>
        </w:rPr>
        <w:t xml:space="preserve">Interno </w:t>
      </w:r>
      <w:r w:rsidRPr="009315F1">
        <w:rPr>
          <w:rFonts w:ascii="Gotham" w:hAnsi="Gotham"/>
          <w:color w:val="212121"/>
          <w:sz w:val="20"/>
          <w:szCs w:val="20"/>
        </w:rPr>
        <w:t xml:space="preserve">de </w:t>
      </w:r>
      <w:r w:rsidRPr="009315F1">
        <w:rPr>
          <w:rFonts w:ascii="Gotham" w:hAnsi="Gotham"/>
          <w:sz w:val="20"/>
          <w:szCs w:val="20"/>
        </w:rPr>
        <w:t xml:space="preserve">las Sesiones del Ayuntamiento Constitucional del Tonalá, Jalisco; </w:t>
      </w:r>
      <w:r w:rsidRPr="009315F1">
        <w:rPr>
          <w:rFonts w:ascii="Gotham" w:hAnsi="Gotham"/>
          <w:color w:val="161616"/>
          <w:sz w:val="20"/>
          <w:szCs w:val="20"/>
        </w:rPr>
        <w:t xml:space="preserve">someto </w:t>
      </w:r>
      <w:r w:rsidRPr="009315F1">
        <w:rPr>
          <w:rFonts w:ascii="Gotham" w:hAnsi="Gotham"/>
          <w:color w:val="232323"/>
          <w:sz w:val="20"/>
          <w:szCs w:val="20"/>
        </w:rPr>
        <w:t xml:space="preserve">a </w:t>
      </w:r>
      <w:r w:rsidRPr="009315F1">
        <w:rPr>
          <w:rFonts w:ascii="Gotham" w:hAnsi="Gotham"/>
          <w:sz w:val="20"/>
          <w:szCs w:val="20"/>
        </w:rPr>
        <w:t xml:space="preserve">la consideración </w:t>
      </w:r>
      <w:r w:rsidRPr="009315F1">
        <w:rPr>
          <w:rFonts w:ascii="Gotham" w:hAnsi="Gotham"/>
          <w:color w:val="2F2F2F"/>
          <w:sz w:val="20"/>
          <w:szCs w:val="20"/>
        </w:rPr>
        <w:t xml:space="preserve">de </w:t>
      </w:r>
      <w:r w:rsidRPr="009315F1">
        <w:rPr>
          <w:rFonts w:ascii="Gotham" w:hAnsi="Gotham"/>
          <w:sz w:val="20"/>
          <w:szCs w:val="20"/>
        </w:rPr>
        <w:t xml:space="preserve">esta Asamblea, </w:t>
      </w:r>
      <w:r w:rsidRPr="009315F1">
        <w:rPr>
          <w:rFonts w:ascii="Gotham" w:hAnsi="Gotham"/>
          <w:color w:val="0F0F0F"/>
          <w:sz w:val="20"/>
          <w:szCs w:val="20"/>
        </w:rPr>
        <w:t xml:space="preserve">la </w:t>
      </w:r>
      <w:r w:rsidRPr="009315F1">
        <w:rPr>
          <w:rFonts w:ascii="Gotham" w:hAnsi="Gotham"/>
          <w:color w:val="181818"/>
          <w:sz w:val="20"/>
          <w:szCs w:val="20"/>
        </w:rPr>
        <w:t xml:space="preserve">presente </w:t>
      </w:r>
      <w:r w:rsidRPr="009315F1">
        <w:rPr>
          <w:rFonts w:ascii="Gotham" w:hAnsi="Gotham"/>
          <w:sz w:val="20"/>
          <w:szCs w:val="20"/>
        </w:rPr>
        <w:t xml:space="preserve">iniciativa </w:t>
      </w:r>
      <w:r w:rsidRPr="009315F1">
        <w:rPr>
          <w:rFonts w:ascii="Gotham" w:hAnsi="Gotham"/>
          <w:color w:val="111111"/>
          <w:sz w:val="20"/>
          <w:szCs w:val="20"/>
        </w:rPr>
        <w:t xml:space="preserve">con </w:t>
      </w:r>
      <w:r w:rsidRPr="009315F1">
        <w:rPr>
          <w:rFonts w:ascii="Gotham" w:hAnsi="Gotham"/>
          <w:sz w:val="20"/>
          <w:szCs w:val="20"/>
        </w:rPr>
        <w:t xml:space="preserve">DISPENSA </w:t>
      </w:r>
      <w:r w:rsidRPr="009315F1">
        <w:rPr>
          <w:rFonts w:ascii="Gotham" w:hAnsi="Gotham"/>
          <w:color w:val="111111"/>
          <w:sz w:val="20"/>
          <w:szCs w:val="20"/>
        </w:rPr>
        <w:t xml:space="preserve">DE </w:t>
      </w:r>
      <w:r w:rsidRPr="009315F1">
        <w:rPr>
          <w:rFonts w:ascii="Gotham" w:hAnsi="Gotham"/>
          <w:spacing w:val="-4"/>
          <w:sz w:val="20"/>
          <w:szCs w:val="20"/>
        </w:rPr>
        <w:t>TRÁMITE</w:t>
      </w:r>
      <w:r w:rsidRPr="009315F1">
        <w:rPr>
          <w:rFonts w:ascii="Gotham" w:hAnsi="Gotham"/>
          <w:spacing w:val="-14"/>
          <w:sz w:val="20"/>
          <w:szCs w:val="20"/>
        </w:rPr>
        <w:t xml:space="preserve"> </w:t>
      </w:r>
      <w:r w:rsidRPr="009315F1">
        <w:rPr>
          <w:rFonts w:ascii="Gotham" w:hAnsi="Gotham"/>
          <w:color w:val="0C0C0C"/>
          <w:spacing w:val="-4"/>
          <w:sz w:val="20"/>
          <w:szCs w:val="20"/>
        </w:rPr>
        <w:t>que</w:t>
      </w:r>
      <w:r w:rsidRPr="009315F1">
        <w:rPr>
          <w:rFonts w:ascii="Gotham" w:hAnsi="Gotham"/>
          <w:color w:val="0C0C0C"/>
          <w:spacing w:val="-13"/>
          <w:sz w:val="20"/>
          <w:szCs w:val="20"/>
        </w:rPr>
        <w:t xml:space="preserve"> </w:t>
      </w:r>
      <w:r w:rsidRPr="009315F1">
        <w:rPr>
          <w:rFonts w:ascii="Gotham" w:hAnsi="Gotham"/>
          <w:color w:val="111111"/>
          <w:spacing w:val="-4"/>
          <w:sz w:val="20"/>
          <w:szCs w:val="20"/>
        </w:rPr>
        <w:t>tiene</w:t>
      </w:r>
      <w:r w:rsidRPr="009315F1">
        <w:rPr>
          <w:rFonts w:ascii="Gotham" w:hAnsi="Gotham"/>
          <w:color w:val="111111"/>
          <w:spacing w:val="-14"/>
          <w:sz w:val="20"/>
          <w:szCs w:val="20"/>
        </w:rPr>
        <w:t xml:space="preserve"> </w:t>
      </w:r>
      <w:r w:rsidRPr="009315F1">
        <w:rPr>
          <w:rFonts w:ascii="Gotham" w:hAnsi="Gotham"/>
          <w:spacing w:val="-4"/>
          <w:sz w:val="20"/>
          <w:szCs w:val="20"/>
        </w:rPr>
        <w:t>por</w:t>
      </w:r>
      <w:r w:rsidRPr="009315F1">
        <w:rPr>
          <w:rFonts w:ascii="Gotham" w:hAnsi="Gotham"/>
          <w:spacing w:val="-13"/>
          <w:sz w:val="20"/>
          <w:szCs w:val="20"/>
        </w:rPr>
        <w:t xml:space="preserve"> </w:t>
      </w:r>
      <w:r w:rsidRPr="009315F1">
        <w:rPr>
          <w:rFonts w:ascii="Gotham" w:hAnsi="Gotham"/>
          <w:color w:val="1C1C1C"/>
          <w:spacing w:val="-4"/>
          <w:sz w:val="20"/>
          <w:szCs w:val="20"/>
        </w:rPr>
        <w:t>objeto</w:t>
      </w:r>
      <w:r w:rsidRPr="009315F1">
        <w:rPr>
          <w:rFonts w:ascii="Gotham" w:hAnsi="Gotham"/>
          <w:color w:val="1C1C1C"/>
          <w:spacing w:val="-13"/>
          <w:sz w:val="20"/>
          <w:szCs w:val="20"/>
        </w:rPr>
        <w:t xml:space="preserve"> </w:t>
      </w:r>
      <w:r w:rsidRPr="009315F1">
        <w:rPr>
          <w:rFonts w:ascii="Gotham" w:hAnsi="Gotham"/>
          <w:spacing w:val="-4"/>
          <w:sz w:val="20"/>
          <w:szCs w:val="20"/>
        </w:rPr>
        <w:t>aprobar</w:t>
      </w:r>
      <w:r w:rsidRPr="009315F1">
        <w:rPr>
          <w:rFonts w:ascii="Gotham" w:hAnsi="Gotham"/>
          <w:spacing w:val="-5"/>
          <w:sz w:val="20"/>
          <w:szCs w:val="20"/>
        </w:rPr>
        <w:t xml:space="preserve"> </w:t>
      </w:r>
      <w:r w:rsidRPr="009315F1">
        <w:rPr>
          <w:rFonts w:ascii="Gotham" w:hAnsi="Gotham"/>
          <w:spacing w:val="-4"/>
          <w:sz w:val="20"/>
          <w:szCs w:val="20"/>
        </w:rPr>
        <w:t>las</w:t>
      </w:r>
      <w:r w:rsidRPr="009315F1">
        <w:rPr>
          <w:rFonts w:ascii="Gotham" w:hAnsi="Gotham"/>
          <w:spacing w:val="-14"/>
          <w:sz w:val="20"/>
          <w:szCs w:val="20"/>
        </w:rPr>
        <w:t xml:space="preserve"> </w:t>
      </w:r>
      <w:r w:rsidRPr="009315F1">
        <w:rPr>
          <w:rFonts w:ascii="Gotham" w:hAnsi="Gotham"/>
          <w:spacing w:val="-4"/>
          <w:sz w:val="20"/>
          <w:szCs w:val="20"/>
        </w:rPr>
        <w:t>modificaciones</w:t>
      </w:r>
      <w:r w:rsidRPr="009315F1">
        <w:rPr>
          <w:rFonts w:ascii="Gotham" w:hAnsi="Gotham"/>
          <w:spacing w:val="-13"/>
          <w:sz w:val="20"/>
          <w:szCs w:val="20"/>
        </w:rPr>
        <w:t xml:space="preserve"> </w:t>
      </w:r>
      <w:r w:rsidRPr="009315F1">
        <w:rPr>
          <w:rFonts w:ascii="Gotham" w:hAnsi="Gotham"/>
          <w:color w:val="1C1C1C"/>
          <w:spacing w:val="-4"/>
          <w:sz w:val="20"/>
          <w:szCs w:val="20"/>
        </w:rPr>
        <w:t>y</w:t>
      </w:r>
      <w:r w:rsidRPr="009315F1">
        <w:rPr>
          <w:rFonts w:ascii="Gotham" w:hAnsi="Gotham"/>
          <w:color w:val="1C1C1C"/>
          <w:spacing w:val="-13"/>
          <w:sz w:val="20"/>
          <w:szCs w:val="20"/>
        </w:rPr>
        <w:t xml:space="preserve"> </w:t>
      </w:r>
      <w:r w:rsidRPr="009315F1">
        <w:rPr>
          <w:rFonts w:ascii="Gotham" w:hAnsi="Gotham"/>
          <w:color w:val="0C0C0C"/>
          <w:spacing w:val="-4"/>
          <w:sz w:val="20"/>
          <w:szCs w:val="20"/>
        </w:rPr>
        <w:t xml:space="preserve">ajustes </w:t>
      </w:r>
      <w:r w:rsidRPr="009315F1">
        <w:rPr>
          <w:rFonts w:ascii="Gotham" w:hAnsi="Gotham"/>
          <w:color w:val="1A1A1A"/>
          <w:spacing w:val="-4"/>
          <w:sz w:val="20"/>
          <w:szCs w:val="20"/>
        </w:rPr>
        <w:t>a</w:t>
      </w:r>
      <w:r w:rsidRPr="009315F1">
        <w:rPr>
          <w:rFonts w:ascii="Gotham" w:hAnsi="Gotham"/>
          <w:color w:val="1A1A1A"/>
          <w:spacing w:val="-14"/>
          <w:sz w:val="20"/>
          <w:szCs w:val="20"/>
        </w:rPr>
        <w:t xml:space="preserve"> </w:t>
      </w:r>
      <w:r w:rsidRPr="009315F1">
        <w:rPr>
          <w:rFonts w:ascii="Gotham" w:hAnsi="Gotham"/>
          <w:spacing w:val="-4"/>
          <w:sz w:val="20"/>
          <w:szCs w:val="20"/>
        </w:rPr>
        <w:t>la</w:t>
      </w:r>
      <w:r w:rsidRPr="009315F1">
        <w:rPr>
          <w:rFonts w:ascii="Gotham" w:hAnsi="Gotham"/>
          <w:spacing w:val="-13"/>
          <w:sz w:val="20"/>
          <w:szCs w:val="20"/>
        </w:rPr>
        <w:t xml:space="preserve"> </w:t>
      </w:r>
      <w:r w:rsidRPr="009315F1">
        <w:rPr>
          <w:rFonts w:ascii="Gotham" w:hAnsi="Gotham"/>
          <w:spacing w:val="-4"/>
          <w:sz w:val="20"/>
          <w:szCs w:val="20"/>
        </w:rPr>
        <w:t xml:space="preserve">Plantilla </w:t>
      </w:r>
      <w:r w:rsidRPr="009315F1">
        <w:rPr>
          <w:rFonts w:ascii="Gotham" w:hAnsi="Gotham"/>
          <w:color w:val="0C0C0C"/>
          <w:spacing w:val="-4"/>
          <w:sz w:val="20"/>
          <w:szCs w:val="20"/>
        </w:rPr>
        <w:t>de</w:t>
      </w:r>
      <w:r w:rsidRPr="009315F1">
        <w:rPr>
          <w:rFonts w:ascii="Gotham" w:hAnsi="Gotham"/>
          <w:color w:val="0C0C0C"/>
          <w:spacing w:val="-14"/>
          <w:sz w:val="20"/>
          <w:szCs w:val="20"/>
        </w:rPr>
        <w:t xml:space="preserve"> </w:t>
      </w:r>
      <w:r w:rsidRPr="009315F1">
        <w:rPr>
          <w:rFonts w:ascii="Gotham" w:hAnsi="Gotham"/>
          <w:spacing w:val="-4"/>
          <w:sz w:val="20"/>
          <w:szCs w:val="20"/>
        </w:rPr>
        <w:t>Personal</w:t>
      </w:r>
      <w:r w:rsidRPr="009315F1">
        <w:rPr>
          <w:rFonts w:ascii="Gotham" w:hAnsi="Gotham"/>
          <w:spacing w:val="-5"/>
          <w:sz w:val="20"/>
          <w:szCs w:val="20"/>
        </w:rPr>
        <w:t xml:space="preserve"> </w:t>
      </w:r>
      <w:r w:rsidRPr="009315F1">
        <w:rPr>
          <w:rFonts w:ascii="Gotham" w:hAnsi="Gotham"/>
          <w:color w:val="0E0E0E"/>
          <w:spacing w:val="-4"/>
          <w:sz w:val="20"/>
          <w:szCs w:val="20"/>
        </w:rPr>
        <w:t>de</w:t>
      </w:r>
      <w:r w:rsidRPr="009315F1">
        <w:rPr>
          <w:rFonts w:ascii="Gotham" w:hAnsi="Gotham"/>
          <w:color w:val="0E0E0E"/>
          <w:spacing w:val="-14"/>
          <w:sz w:val="20"/>
          <w:szCs w:val="20"/>
        </w:rPr>
        <w:t xml:space="preserve"> </w:t>
      </w:r>
      <w:r w:rsidRPr="009315F1">
        <w:rPr>
          <w:rFonts w:ascii="Gotham" w:hAnsi="Gotham"/>
          <w:color w:val="0F0F0F"/>
          <w:spacing w:val="-4"/>
          <w:sz w:val="20"/>
          <w:szCs w:val="20"/>
        </w:rPr>
        <w:t>los</w:t>
      </w:r>
      <w:r w:rsidRPr="009315F1">
        <w:rPr>
          <w:rFonts w:ascii="Gotham" w:hAnsi="Gotham"/>
          <w:color w:val="0F0F0F"/>
          <w:spacing w:val="-10"/>
          <w:sz w:val="20"/>
          <w:szCs w:val="20"/>
        </w:rPr>
        <w:t xml:space="preserve"> </w:t>
      </w:r>
      <w:r w:rsidRPr="009315F1">
        <w:rPr>
          <w:rFonts w:ascii="Gotham" w:hAnsi="Gotham"/>
          <w:color w:val="0A0A0A"/>
          <w:spacing w:val="-4"/>
          <w:sz w:val="20"/>
          <w:szCs w:val="20"/>
        </w:rPr>
        <w:t xml:space="preserve">Servidores </w:t>
      </w:r>
      <w:r w:rsidRPr="009315F1">
        <w:rPr>
          <w:rFonts w:ascii="Gotham" w:hAnsi="Gotham"/>
          <w:spacing w:val="-4"/>
          <w:sz w:val="20"/>
          <w:szCs w:val="20"/>
        </w:rPr>
        <w:t xml:space="preserve">Públicos </w:t>
      </w:r>
      <w:r w:rsidRPr="009315F1">
        <w:rPr>
          <w:rFonts w:ascii="Gotham" w:hAnsi="Gotham"/>
          <w:color w:val="0C0C0C"/>
          <w:spacing w:val="-4"/>
          <w:sz w:val="20"/>
          <w:szCs w:val="20"/>
        </w:rPr>
        <w:t>de</w:t>
      </w:r>
      <w:r w:rsidRPr="009315F1">
        <w:rPr>
          <w:rFonts w:ascii="Gotham" w:hAnsi="Gotham"/>
          <w:color w:val="0C0C0C"/>
          <w:spacing w:val="-14"/>
          <w:sz w:val="20"/>
          <w:szCs w:val="20"/>
        </w:rPr>
        <w:t xml:space="preserve"> </w:t>
      </w:r>
      <w:r w:rsidRPr="009315F1">
        <w:rPr>
          <w:rFonts w:ascii="Gotham" w:hAnsi="Gotham"/>
          <w:color w:val="161616"/>
          <w:spacing w:val="-4"/>
          <w:sz w:val="20"/>
          <w:szCs w:val="20"/>
        </w:rPr>
        <w:t>este</w:t>
      </w:r>
      <w:r w:rsidRPr="009315F1">
        <w:rPr>
          <w:rFonts w:ascii="Gotham" w:hAnsi="Gotham"/>
          <w:color w:val="161616"/>
          <w:spacing w:val="-8"/>
          <w:sz w:val="20"/>
          <w:szCs w:val="20"/>
        </w:rPr>
        <w:t xml:space="preserve"> </w:t>
      </w:r>
      <w:r w:rsidRPr="009315F1">
        <w:rPr>
          <w:rFonts w:ascii="Gotham" w:hAnsi="Gotham"/>
          <w:spacing w:val="-4"/>
          <w:sz w:val="20"/>
          <w:szCs w:val="20"/>
        </w:rPr>
        <w:t>Ayuntamiento Constitucional</w:t>
      </w:r>
      <w:r w:rsidRPr="009315F1">
        <w:rPr>
          <w:rFonts w:ascii="Gotham" w:hAnsi="Gotham"/>
          <w:spacing w:val="-14"/>
          <w:sz w:val="20"/>
          <w:szCs w:val="20"/>
        </w:rPr>
        <w:t xml:space="preserve"> </w:t>
      </w:r>
      <w:r w:rsidRPr="009315F1">
        <w:rPr>
          <w:rFonts w:ascii="Gotham" w:hAnsi="Gotham"/>
          <w:spacing w:val="-4"/>
          <w:sz w:val="20"/>
          <w:szCs w:val="20"/>
        </w:rPr>
        <w:t xml:space="preserve">de </w:t>
      </w:r>
      <w:r w:rsidRPr="009315F1">
        <w:rPr>
          <w:rFonts w:ascii="Gotham" w:hAnsi="Gotham"/>
          <w:sz w:val="20"/>
          <w:szCs w:val="20"/>
        </w:rPr>
        <w:t>Tonalá,</w:t>
      </w:r>
      <w:r w:rsidRPr="009315F1">
        <w:rPr>
          <w:rFonts w:ascii="Gotham" w:hAnsi="Gotham"/>
          <w:spacing w:val="-1"/>
          <w:sz w:val="20"/>
          <w:szCs w:val="20"/>
        </w:rPr>
        <w:t xml:space="preserve"> </w:t>
      </w:r>
      <w:r w:rsidRPr="009315F1">
        <w:rPr>
          <w:rFonts w:ascii="Gotham" w:hAnsi="Gotham"/>
          <w:color w:val="111111"/>
          <w:sz w:val="20"/>
          <w:szCs w:val="20"/>
        </w:rPr>
        <w:t>del</w:t>
      </w:r>
      <w:r w:rsidRPr="009315F1">
        <w:rPr>
          <w:rFonts w:ascii="Gotham" w:hAnsi="Gotham"/>
          <w:color w:val="111111"/>
          <w:spacing w:val="-8"/>
          <w:sz w:val="20"/>
          <w:szCs w:val="20"/>
        </w:rPr>
        <w:t xml:space="preserve"> </w:t>
      </w:r>
      <w:r w:rsidRPr="009315F1">
        <w:rPr>
          <w:rFonts w:ascii="Gotham" w:hAnsi="Gotham"/>
          <w:sz w:val="20"/>
          <w:szCs w:val="20"/>
        </w:rPr>
        <w:t>presente</w:t>
      </w:r>
      <w:r w:rsidRPr="009315F1">
        <w:rPr>
          <w:rFonts w:ascii="Gotham" w:hAnsi="Gotham"/>
          <w:spacing w:val="-2"/>
          <w:sz w:val="20"/>
          <w:szCs w:val="20"/>
        </w:rPr>
        <w:t xml:space="preserve"> </w:t>
      </w:r>
      <w:r w:rsidRPr="009315F1">
        <w:rPr>
          <w:rFonts w:ascii="Gotham" w:hAnsi="Gotham"/>
          <w:color w:val="0E0E0E"/>
          <w:sz w:val="20"/>
          <w:szCs w:val="20"/>
        </w:rPr>
        <w:t xml:space="preserve">ejercicio </w:t>
      </w:r>
      <w:r w:rsidRPr="009315F1">
        <w:rPr>
          <w:rFonts w:ascii="Gotham" w:hAnsi="Gotham"/>
          <w:sz w:val="20"/>
          <w:szCs w:val="20"/>
        </w:rPr>
        <w:t>2024,</w:t>
      </w:r>
      <w:r w:rsidRPr="009315F1">
        <w:rPr>
          <w:rFonts w:ascii="Gotham" w:hAnsi="Gotham"/>
          <w:spacing w:val="-2"/>
          <w:sz w:val="20"/>
          <w:szCs w:val="20"/>
        </w:rPr>
        <w:t xml:space="preserve"> </w:t>
      </w:r>
      <w:r w:rsidRPr="009315F1">
        <w:rPr>
          <w:rFonts w:ascii="Gotham" w:hAnsi="Gotham"/>
          <w:color w:val="151515"/>
          <w:sz w:val="20"/>
          <w:szCs w:val="20"/>
        </w:rPr>
        <w:t>con</w:t>
      </w:r>
      <w:r w:rsidRPr="009315F1">
        <w:rPr>
          <w:rFonts w:ascii="Gotham" w:hAnsi="Gotham"/>
          <w:color w:val="151515"/>
          <w:spacing w:val="-7"/>
          <w:sz w:val="20"/>
          <w:szCs w:val="20"/>
        </w:rPr>
        <w:t xml:space="preserve"> </w:t>
      </w:r>
      <w:r w:rsidRPr="009315F1">
        <w:rPr>
          <w:rFonts w:ascii="Gotham" w:hAnsi="Gotham"/>
          <w:sz w:val="20"/>
          <w:szCs w:val="20"/>
        </w:rPr>
        <w:t xml:space="preserve">motivo </w:t>
      </w:r>
      <w:r w:rsidRPr="009315F1">
        <w:rPr>
          <w:rFonts w:ascii="Gotham" w:hAnsi="Gotham"/>
          <w:color w:val="0F0F0F"/>
          <w:sz w:val="20"/>
          <w:szCs w:val="20"/>
        </w:rPr>
        <w:t>del</w:t>
      </w:r>
      <w:r w:rsidRPr="009315F1">
        <w:rPr>
          <w:rFonts w:ascii="Gotham" w:hAnsi="Gotham"/>
          <w:color w:val="0F0F0F"/>
          <w:spacing w:val="-9"/>
          <w:sz w:val="20"/>
          <w:szCs w:val="20"/>
        </w:rPr>
        <w:t xml:space="preserve"> </w:t>
      </w:r>
      <w:r w:rsidRPr="009315F1">
        <w:rPr>
          <w:rFonts w:ascii="Gotham" w:hAnsi="Gotham"/>
          <w:sz w:val="20"/>
          <w:szCs w:val="20"/>
        </w:rPr>
        <w:t>incremento anual</w:t>
      </w:r>
      <w:r w:rsidRPr="009315F1">
        <w:rPr>
          <w:rFonts w:ascii="Gotham" w:hAnsi="Gotham"/>
          <w:spacing w:val="-5"/>
          <w:sz w:val="20"/>
          <w:szCs w:val="20"/>
        </w:rPr>
        <w:t xml:space="preserve"> </w:t>
      </w:r>
      <w:r w:rsidRPr="009315F1">
        <w:rPr>
          <w:rFonts w:ascii="Gotham" w:hAnsi="Gotham"/>
          <w:color w:val="1C1C1C"/>
          <w:sz w:val="20"/>
          <w:szCs w:val="20"/>
        </w:rPr>
        <w:t>que</w:t>
      </w:r>
      <w:r w:rsidRPr="009315F1">
        <w:rPr>
          <w:rFonts w:ascii="Gotham" w:hAnsi="Gotham"/>
          <w:color w:val="1C1C1C"/>
          <w:spacing w:val="-6"/>
          <w:sz w:val="20"/>
          <w:szCs w:val="20"/>
        </w:rPr>
        <w:t xml:space="preserve"> </w:t>
      </w:r>
      <w:r w:rsidRPr="009315F1">
        <w:rPr>
          <w:rFonts w:ascii="Gotham" w:hAnsi="Gotham"/>
          <w:sz w:val="20"/>
          <w:szCs w:val="20"/>
        </w:rPr>
        <w:t xml:space="preserve">les fue aplicado, basado </w:t>
      </w:r>
      <w:r w:rsidRPr="009315F1">
        <w:rPr>
          <w:rFonts w:ascii="Gotham" w:hAnsi="Gotham"/>
          <w:color w:val="2D2D2D"/>
          <w:sz w:val="20"/>
          <w:szCs w:val="20"/>
        </w:rPr>
        <w:t xml:space="preserve">en </w:t>
      </w:r>
      <w:r w:rsidRPr="009315F1">
        <w:rPr>
          <w:rFonts w:ascii="Gotham" w:hAnsi="Gotham"/>
          <w:sz w:val="20"/>
          <w:szCs w:val="20"/>
        </w:rPr>
        <w:t>la siguiente</w:t>
      </w:r>
    </w:p>
    <w:p w14:paraId="3A4731F4" w14:textId="77777777" w:rsidR="00016FE1" w:rsidRPr="009315F1" w:rsidRDefault="00016FE1" w:rsidP="002B6227">
      <w:pPr>
        <w:pStyle w:val="Textoindependiente"/>
        <w:spacing w:after="0"/>
        <w:ind w:right="49"/>
        <w:rPr>
          <w:rFonts w:ascii="Gotham" w:hAnsi="Gotham"/>
          <w:sz w:val="20"/>
          <w:szCs w:val="20"/>
        </w:rPr>
      </w:pPr>
    </w:p>
    <w:p w14:paraId="3A4731F5" w14:textId="77777777" w:rsidR="00016FE1" w:rsidRPr="009315F1" w:rsidRDefault="00016FE1" w:rsidP="002B6227">
      <w:pPr>
        <w:ind w:right="49"/>
        <w:jc w:val="center"/>
        <w:rPr>
          <w:rFonts w:ascii="Gotham" w:hAnsi="Gotham"/>
          <w:sz w:val="20"/>
          <w:szCs w:val="20"/>
        </w:rPr>
      </w:pPr>
      <w:r w:rsidRPr="009315F1">
        <w:rPr>
          <w:rFonts w:ascii="Gotham" w:hAnsi="Gotham"/>
          <w:color w:val="1D1D1D"/>
          <w:w w:val="105"/>
          <w:sz w:val="20"/>
          <w:szCs w:val="20"/>
        </w:rPr>
        <w:t>EXPOSICIÓN</w:t>
      </w:r>
      <w:r w:rsidRPr="009315F1">
        <w:rPr>
          <w:rFonts w:ascii="Gotham" w:hAnsi="Gotham"/>
          <w:color w:val="1D1D1D"/>
          <w:spacing w:val="-8"/>
          <w:w w:val="105"/>
          <w:sz w:val="20"/>
          <w:szCs w:val="20"/>
        </w:rPr>
        <w:t xml:space="preserve"> </w:t>
      </w:r>
      <w:r w:rsidRPr="009315F1">
        <w:rPr>
          <w:rFonts w:ascii="Gotham" w:hAnsi="Gotham"/>
          <w:color w:val="424242"/>
          <w:w w:val="105"/>
          <w:sz w:val="20"/>
          <w:szCs w:val="20"/>
        </w:rPr>
        <w:t>DE</w:t>
      </w:r>
      <w:r w:rsidRPr="009315F1">
        <w:rPr>
          <w:rFonts w:ascii="Gotham" w:hAnsi="Gotham"/>
          <w:color w:val="424242"/>
          <w:spacing w:val="-17"/>
          <w:w w:val="105"/>
          <w:sz w:val="20"/>
          <w:szCs w:val="20"/>
        </w:rPr>
        <w:t xml:space="preserve"> </w:t>
      </w:r>
      <w:r w:rsidRPr="009315F1">
        <w:rPr>
          <w:rFonts w:ascii="Gotham" w:hAnsi="Gotham"/>
          <w:color w:val="242424"/>
          <w:spacing w:val="-2"/>
          <w:w w:val="105"/>
          <w:sz w:val="20"/>
          <w:szCs w:val="20"/>
        </w:rPr>
        <w:t>MOTIVOS:</w:t>
      </w:r>
    </w:p>
    <w:p w14:paraId="3A4731F6" w14:textId="77777777" w:rsidR="00016FE1" w:rsidRPr="009315F1" w:rsidRDefault="00016FE1" w:rsidP="002B6227">
      <w:pPr>
        <w:pStyle w:val="Textoindependiente"/>
        <w:spacing w:after="0"/>
        <w:ind w:right="49"/>
        <w:rPr>
          <w:rFonts w:ascii="Gotham" w:hAnsi="Gotham"/>
          <w:sz w:val="20"/>
          <w:szCs w:val="20"/>
        </w:rPr>
      </w:pPr>
    </w:p>
    <w:p w14:paraId="3A4731F7" w14:textId="77777777" w:rsidR="00016FE1" w:rsidRPr="009315F1" w:rsidRDefault="00016FE1" w:rsidP="002B6227">
      <w:pPr>
        <w:ind w:left="567" w:right="49" w:hanging="573"/>
        <w:jc w:val="both"/>
        <w:rPr>
          <w:rFonts w:ascii="Gotham" w:hAnsi="Gotham"/>
          <w:sz w:val="20"/>
          <w:szCs w:val="20"/>
        </w:rPr>
      </w:pPr>
      <w:r w:rsidRPr="009315F1">
        <w:rPr>
          <w:rFonts w:ascii="Gotham" w:hAnsi="Gotham"/>
          <w:color w:val="131313"/>
          <w:spacing w:val="-4"/>
          <w:sz w:val="20"/>
          <w:szCs w:val="20"/>
        </w:rPr>
        <w:t>1.-</w:t>
      </w:r>
      <w:r w:rsidRPr="009315F1">
        <w:rPr>
          <w:rFonts w:ascii="Gotham" w:hAnsi="Gotham"/>
          <w:color w:val="131313"/>
          <w:spacing w:val="-12"/>
          <w:sz w:val="20"/>
          <w:szCs w:val="20"/>
        </w:rPr>
        <w:t xml:space="preserve"> </w:t>
      </w:r>
      <w:r>
        <w:rPr>
          <w:rFonts w:ascii="Gotham" w:hAnsi="Gotham"/>
          <w:color w:val="131313"/>
          <w:spacing w:val="-12"/>
          <w:sz w:val="20"/>
          <w:szCs w:val="20"/>
        </w:rPr>
        <w:tab/>
      </w:r>
      <w:r w:rsidRPr="009315F1">
        <w:rPr>
          <w:rFonts w:ascii="Gotham" w:hAnsi="Gotham"/>
          <w:color w:val="232323"/>
          <w:spacing w:val="-4"/>
          <w:sz w:val="20"/>
          <w:szCs w:val="20"/>
        </w:rPr>
        <w:t>Que</w:t>
      </w:r>
      <w:r w:rsidRPr="009315F1">
        <w:rPr>
          <w:rFonts w:ascii="Gotham" w:hAnsi="Gotham"/>
          <w:color w:val="232323"/>
          <w:spacing w:val="-12"/>
          <w:sz w:val="20"/>
          <w:szCs w:val="20"/>
        </w:rPr>
        <w:t xml:space="preserve"> </w:t>
      </w:r>
      <w:r w:rsidRPr="009315F1">
        <w:rPr>
          <w:rFonts w:ascii="Gotham" w:hAnsi="Gotham"/>
          <w:spacing w:val="-4"/>
          <w:sz w:val="20"/>
          <w:szCs w:val="20"/>
        </w:rPr>
        <w:t>en</w:t>
      </w:r>
      <w:r w:rsidRPr="009315F1">
        <w:rPr>
          <w:rFonts w:ascii="Gotham" w:hAnsi="Gotham"/>
          <w:spacing w:val="-12"/>
          <w:sz w:val="20"/>
          <w:szCs w:val="20"/>
        </w:rPr>
        <w:t xml:space="preserve"> </w:t>
      </w:r>
      <w:r w:rsidRPr="009315F1">
        <w:rPr>
          <w:rFonts w:ascii="Gotham" w:hAnsi="Gotham"/>
          <w:spacing w:val="-4"/>
          <w:sz w:val="20"/>
          <w:szCs w:val="20"/>
        </w:rPr>
        <w:t>Sesión</w:t>
      </w:r>
      <w:r w:rsidRPr="009315F1">
        <w:rPr>
          <w:rFonts w:ascii="Gotham" w:hAnsi="Gotham"/>
          <w:spacing w:val="-12"/>
          <w:sz w:val="20"/>
          <w:szCs w:val="20"/>
        </w:rPr>
        <w:t xml:space="preserve"> </w:t>
      </w:r>
      <w:r w:rsidRPr="009315F1">
        <w:rPr>
          <w:rFonts w:ascii="Gotham" w:hAnsi="Gotham"/>
          <w:spacing w:val="-4"/>
          <w:sz w:val="20"/>
          <w:szCs w:val="20"/>
        </w:rPr>
        <w:t>Ordinaria</w:t>
      </w:r>
      <w:r w:rsidRPr="009315F1">
        <w:rPr>
          <w:rFonts w:ascii="Gotham" w:hAnsi="Gotham"/>
          <w:spacing w:val="-12"/>
          <w:sz w:val="20"/>
          <w:szCs w:val="20"/>
        </w:rPr>
        <w:t xml:space="preserve"> </w:t>
      </w:r>
      <w:r w:rsidRPr="009315F1">
        <w:rPr>
          <w:rFonts w:ascii="Gotham" w:hAnsi="Gotham"/>
          <w:spacing w:val="-4"/>
          <w:sz w:val="20"/>
          <w:szCs w:val="20"/>
        </w:rPr>
        <w:t>de</w:t>
      </w:r>
      <w:r w:rsidRPr="009315F1">
        <w:rPr>
          <w:rFonts w:ascii="Gotham" w:hAnsi="Gotham"/>
          <w:spacing w:val="-12"/>
          <w:sz w:val="20"/>
          <w:szCs w:val="20"/>
        </w:rPr>
        <w:t xml:space="preserve"> </w:t>
      </w:r>
      <w:r w:rsidRPr="009315F1">
        <w:rPr>
          <w:rFonts w:ascii="Gotham" w:hAnsi="Gotham"/>
          <w:spacing w:val="-4"/>
          <w:sz w:val="20"/>
          <w:szCs w:val="20"/>
        </w:rPr>
        <w:t>Ayuntamiento,</w:t>
      </w:r>
      <w:r w:rsidRPr="009315F1">
        <w:rPr>
          <w:rFonts w:ascii="Gotham" w:hAnsi="Gotham"/>
          <w:spacing w:val="8"/>
          <w:sz w:val="20"/>
          <w:szCs w:val="20"/>
        </w:rPr>
        <w:t xml:space="preserve"> </w:t>
      </w:r>
      <w:r w:rsidRPr="009315F1">
        <w:rPr>
          <w:rFonts w:ascii="Gotham" w:hAnsi="Gotham"/>
          <w:spacing w:val="-4"/>
          <w:sz w:val="20"/>
          <w:szCs w:val="20"/>
        </w:rPr>
        <w:t>celebrada el</w:t>
      </w:r>
      <w:r w:rsidRPr="009315F1">
        <w:rPr>
          <w:rFonts w:ascii="Gotham" w:hAnsi="Gotham"/>
          <w:spacing w:val="-12"/>
          <w:sz w:val="20"/>
          <w:szCs w:val="20"/>
        </w:rPr>
        <w:t xml:space="preserve"> </w:t>
      </w:r>
      <w:r w:rsidRPr="009315F1">
        <w:rPr>
          <w:rFonts w:ascii="Gotham" w:hAnsi="Gotham"/>
          <w:color w:val="131313"/>
          <w:spacing w:val="-4"/>
          <w:sz w:val="20"/>
          <w:szCs w:val="20"/>
        </w:rPr>
        <w:t>30</w:t>
      </w:r>
      <w:r w:rsidRPr="009315F1">
        <w:rPr>
          <w:rFonts w:ascii="Gotham" w:hAnsi="Gotham"/>
          <w:color w:val="131313"/>
          <w:spacing w:val="-12"/>
          <w:sz w:val="20"/>
          <w:szCs w:val="20"/>
        </w:rPr>
        <w:t xml:space="preserve"> </w:t>
      </w:r>
      <w:r w:rsidRPr="009315F1">
        <w:rPr>
          <w:rFonts w:ascii="Gotham" w:hAnsi="Gotham"/>
          <w:spacing w:val="-4"/>
          <w:sz w:val="20"/>
          <w:szCs w:val="20"/>
        </w:rPr>
        <w:t>treinta</w:t>
      </w:r>
      <w:r w:rsidRPr="009315F1">
        <w:rPr>
          <w:rFonts w:ascii="Gotham" w:hAnsi="Gotham"/>
          <w:spacing w:val="-9"/>
          <w:sz w:val="20"/>
          <w:szCs w:val="20"/>
        </w:rPr>
        <w:t xml:space="preserve"> </w:t>
      </w:r>
      <w:r w:rsidRPr="009315F1">
        <w:rPr>
          <w:rFonts w:ascii="Gotham" w:hAnsi="Gotham"/>
          <w:color w:val="1C1C1C"/>
          <w:spacing w:val="-4"/>
          <w:sz w:val="20"/>
          <w:szCs w:val="20"/>
        </w:rPr>
        <w:t>de</w:t>
      </w:r>
      <w:r w:rsidRPr="009315F1">
        <w:rPr>
          <w:rFonts w:ascii="Gotham" w:hAnsi="Gotham"/>
          <w:color w:val="1C1C1C"/>
          <w:spacing w:val="-12"/>
          <w:sz w:val="20"/>
          <w:szCs w:val="20"/>
        </w:rPr>
        <w:t xml:space="preserve"> </w:t>
      </w:r>
      <w:r w:rsidRPr="009315F1">
        <w:rPr>
          <w:rFonts w:ascii="Gotham" w:hAnsi="Gotham"/>
          <w:spacing w:val="-4"/>
          <w:sz w:val="20"/>
          <w:szCs w:val="20"/>
        </w:rPr>
        <w:t>noviembre</w:t>
      </w:r>
      <w:r w:rsidRPr="009315F1">
        <w:rPr>
          <w:rFonts w:ascii="Gotham" w:hAnsi="Gotham"/>
          <w:sz w:val="20"/>
          <w:szCs w:val="20"/>
        </w:rPr>
        <w:t xml:space="preserve"> </w:t>
      </w:r>
      <w:r w:rsidRPr="009315F1">
        <w:rPr>
          <w:rFonts w:ascii="Gotham" w:hAnsi="Gotham"/>
          <w:spacing w:val="-4"/>
          <w:sz w:val="20"/>
          <w:szCs w:val="20"/>
        </w:rPr>
        <w:t xml:space="preserve">del </w:t>
      </w:r>
      <w:r w:rsidRPr="009315F1">
        <w:rPr>
          <w:rFonts w:ascii="Gotham" w:hAnsi="Gotham"/>
          <w:sz w:val="20"/>
          <w:szCs w:val="20"/>
        </w:rPr>
        <w:t xml:space="preserve">año 2023 dos mil veintitrés, mediante acuerdo número 953, </w:t>
      </w:r>
      <w:r w:rsidRPr="009315F1">
        <w:rPr>
          <w:rFonts w:ascii="Gotham" w:hAnsi="Gotham"/>
          <w:color w:val="212121"/>
          <w:sz w:val="20"/>
          <w:szCs w:val="20"/>
        </w:rPr>
        <w:t xml:space="preserve">se </w:t>
      </w:r>
      <w:r w:rsidRPr="009315F1">
        <w:rPr>
          <w:rFonts w:ascii="Gotham" w:hAnsi="Gotham"/>
          <w:sz w:val="20"/>
          <w:szCs w:val="20"/>
        </w:rPr>
        <w:t xml:space="preserve">aprobó el decreto municipal </w:t>
      </w:r>
      <w:r w:rsidRPr="009315F1">
        <w:rPr>
          <w:rFonts w:ascii="Gotham" w:hAnsi="Gotham"/>
          <w:color w:val="0F0F0F"/>
          <w:sz w:val="20"/>
          <w:szCs w:val="20"/>
        </w:rPr>
        <w:t xml:space="preserve">que </w:t>
      </w:r>
      <w:r w:rsidRPr="009315F1">
        <w:rPr>
          <w:rFonts w:ascii="Gotham" w:hAnsi="Gotham"/>
          <w:sz w:val="20"/>
          <w:szCs w:val="20"/>
        </w:rPr>
        <w:t xml:space="preserve">aprueba la estimación </w:t>
      </w:r>
      <w:r w:rsidRPr="009315F1">
        <w:rPr>
          <w:rFonts w:ascii="Gotham" w:hAnsi="Gotham"/>
          <w:color w:val="161616"/>
          <w:sz w:val="20"/>
          <w:szCs w:val="20"/>
        </w:rPr>
        <w:t xml:space="preserve">de </w:t>
      </w:r>
      <w:r w:rsidRPr="009315F1">
        <w:rPr>
          <w:rFonts w:ascii="Gotham" w:hAnsi="Gotham"/>
          <w:sz w:val="20"/>
          <w:szCs w:val="20"/>
        </w:rPr>
        <w:t xml:space="preserve">Ingresos, el Proyecto </w:t>
      </w:r>
      <w:r w:rsidRPr="009315F1">
        <w:rPr>
          <w:rFonts w:ascii="Gotham" w:hAnsi="Gotham"/>
          <w:color w:val="1C1C1C"/>
          <w:sz w:val="20"/>
          <w:szCs w:val="20"/>
        </w:rPr>
        <w:t xml:space="preserve">de </w:t>
      </w:r>
      <w:r w:rsidRPr="009315F1">
        <w:rPr>
          <w:rFonts w:ascii="Gotham" w:hAnsi="Gotham"/>
          <w:sz w:val="20"/>
          <w:szCs w:val="20"/>
        </w:rPr>
        <w:t xml:space="preserve">Presupuesto de </w:t>
      </w:r>
      <w:r w:rsidRPr="009315F1">
        <w:rPr>
          <w:rFonts w:ascii="Gotham" w:hAnsi="Gotham"/>
          <w:spacing w:val="-2"/>
          <w:sz w:val="20"/>
          <w:szCs w:val="20"/>
        </w:rPr>
        <w:t>Egresos,</w:t>
      </w:r>
      <w:r w:rsidRPr="009315F1">
        <w:rPr>
          <w:rFonts w:ascii="Gotham" w:hAnsi="Gotham"/>
          <w:spacing w:val="-14"/>
          <w:sz w:val="20"/>
          <w:szCs w:val="20"/>
        </w:rPr>
        <w:t xml:space="preserve"> </w:t>
      </w:r>
      <w:r w:rsidRPr="009315F1">
        <w:rPr>
          <w:rFonts w:ascii="Gotham" w:hAnsi="Gotham"/>
          <w:spacing w:val="-2"/>
          <w:sz w:val="20"/>
          <w:szCs w:val="20"/>
        </w:rPr>
        <w:t>el</w:t>
      </w:r>
      <w:r w:rsidRPr="009315F1">
        <w:rPr>
          <w:rFonts w:ascii="Gotham" w:hAnsi="Gotham"/>
          <w:spacing w:val="-14"/>
          <w:sz w:val="20"/>
          <w:szCs w:val="20"/>
        </w:rPr>
        <w:t xml:space="preserve"> </w:t>
      </w:r>
      <w:r w:rsidRPr="009315F1">
        <w:rPr>
          <w:rFonts w:ascii="Gotham" w:hAnsi="Gotham"/>
          <w:spacing w:val="-2"/>
          <w:sz w:val="20"/>
          <w:szCs w:val="20"/>
        </w:rPr>
        <w:t>Organigrama</w:t>
      </w:r>
      <w:r w:rsidRPr="009315F1">
        <w:rPr>
          <w:rFonts w:ascii="Gotham" w:hAnsi="Gotham"/>
          <w:spacing w:val="-14"/>
          <w:sz w:val="20"/>
          <w:szCs w:val="20"/>
        </w:rPr>
        <w:t xml:space="preserve"> </w:t>
      </w:r>
      <w:r w:rsidRPr="009315F1">
        <w:rPr>
          <w:rFonts w:ascii="Gotham" w:hAnsi="Gotham"/>
          <w:color w:val="343434"/>
          <w:spacing w:val="-2"/>
          <w:sz w:val="20"/>
          <w:szCs w:val="20"/>
        </w:rPr>
        <w:t>y</w:t>
      </w:r>
      <w:r w:rsidRPr="009315F1">
        <w:rPr>
          <w:rFonts w:ascii="Gotham" w:hAnsi="Gotham"/>
          <w:color w:val="343434"/>
          <w:spacing w:val="-14"/>
          <w:sz w:val="20"/>
          <w:szCs w:val="20"/>
        </w:rPr>
        <w:t xml:space="preserve"> </w:t>
      </w:r>
      <w:r w:rsidRPr="009315F1">
        <w:rPr>
          <w:rFonts w:ascii="Gotham" w:hAnsi="Gotham"/>
          <w:spacing w:val="-2"/>
          <w:sz w:val="20"/>
          <w:szCs w:val="20"/>
        </w:rPr>
        <w:t>la</w:t>
      </w:r>
      <w:r w:rsidRPr="009315F1">
        <w:rPr>
          <w:rFonts w:ascii="Gotham" w:hAnsi="Gotham"/>
          <w:spacing w:val="-14"/>
          <w:sz w:val="20"/>
          <w:szCs w:val="20"/>
        </w:rPr>
        <w:t xml:space="preserve"> </w:t>
      </w:r>
      <w:r w:rsidRPr="009315F1">
        <w:rPr>
          <w:rFonts w:ascii="Gotham" w:hAnsi="Gotham"/>
          <w:spacing w:val="-2"/>
          <w:sz w:val="20"/>
          <w:szCs w:val="20"/>
        </w:rPr>
        <w:t>Plantilla</w:t>
      </w:r>
      <w:r w:rsidRPr="009315F1">
        <w:rPr>
          <w:rFonts w:ascii="Gotham" w:hAnsi="Gotham"/>
          <w:spacing w:val="-14"/>
          <w:sz w:val="20"/>
          <w:szCs w:val="20"/>
        </w:rPr>
        <w:t xml:space="preserve"> </w:t>
      </w:r>
      <w:r w:rsidRPr="009315F1">
        <w:rPr>
          <w:rFonts w:ascii="Gotham" w:hAnsi="Gotham"/>
          <w:spacing w:val="-2"/>
          <w:sz w:val="20"/>
          <w:szCs w:val="20"/>
        </w:rPr>
        <w:t>Laboral</w:t>
      </w:r>
      <w:r w:rsidRPr="009315F1">
        <w:rPr>
          <w:rFonts w:ascii="Gotham" w:hAnsi="Gotham"/>
          <w:spacing w:val="-14"/>
          <w:sz w:val="20"/>
          <w:szCs w:val="20"/>
        </w:rPr>
        <w:t xml:space="preserve"> </w:t>
      </w:r>
      <w:r w:rsidRPr="009315F1">
        <w:rPr>
          <w:rFonts w:ascii="Gotham" w:hAnsi="Gotham"/>
          <w:spacing w:val="-2"/>
          <w:sz w:val="20"/>
          <w:szCs w:val="20"/>
        </w:rPr>
        <w:t>del</w:t>
      </w:r>
      <w:r w:rsidRPr="009315F1">
        <w:rPr>
          <w:rFonts w:ascii="Gotham" w:hAnsi="Gotham"/>
          <w:spacing w:val="-14"/>
          <w:sz w:val="20"/>
          <w:szCs w:val="20"/>
        </w:rPr>
        <w:t xml:space="preserve"> </w:t>
      </w:r>
      <w:r w:rsidRPr="009315F1">
        <w:rPr>
          <w:rFonts w:ascii="Gotham" w:hAnsi="Gotham"/>
          <w:spacing w:val="-2"/>
          <w:sz w:val="20"/>
          <w:szCs w:val="20"/>
        </w:rPr>
        <w:t>Municipio</w:t>
      </w:r>
      <w:r w:rsidRPr="009315F1">
        <w:rPr>
          <w:rFonts w:ascii="Gotham" w:hAnsi="Gotham"/>
          <w:spacing w:val="-14"/>
          <w:sz w:val="20"/>
          <w:szCs w:val="20"/>
        </w:rPr>
        <w:t xml:space="preserve"> </w:t>
      </w:r>
      <w:r w:rsidRPr="009315F1">
        <w:rPr>
          <w:rFonts w:ascii="Gotham" w:hAnsi="Gotham"/>
          <w:spacing w:val="-2"/>
          <w:sz w:val="20"/>
          <w:szCs w:val="20"/>
        </w:rPr>
        <w:t>de</w:t>
      </w:r>
      <w:r w:rsidRPr="009315F1">
        <w:rPr>
          <w:rFonts w:ascii="Gotham" w:hAnsi="Gotham"/>
          <w:spacing w:val="-14"/>
          <w:sz w:val="20"/>
          <w:szCs w:val="20"/>
        </w:rPr>
        <w:t xml:space="preserve"> </w:t>
      </w:r>
      <w:r w:rsidRPr="009315F1">
        <w:rPr>
          <w:rFonts w:ascii="Gotham" w:hAnsi="Gotham"/>
          <w:spacing w:val="-2"/>
          <w:sz w:val="20"/>
          <w:szCs w:val="20"/>
        </w:rPr>
        <w:t>Tonalá,</w:t>
      </w:r>
      <w:r w:rsidRPr="009315F1">
        <w:rPr>
          <w:rFonts w:ascii="Gotham" w:hAnsi="Gotham"/>
          <w:spacing w:val="-14"/>
          <w:sz w:val="20"/>
          <w:szCs w:val="20"/>
        </w:rPr>
        <w:t xml:space="preserve"> </w:t>
      </w:r>
      <w:r w:rsidRPr="009315F1">
        <w:rPr>
          <w:rFonts w:ascii="Gotham" w:hAnsi="Gotham"/>
          <w:spacing w:val="-2"/>
          <w:sz w:val="20"/>
          <w:szCs w:val="20"/>
        </w:rPr>
        <w:t>Jalisco,</w:t>
      </w:r>
      <w:r w:rsidRPr="009315F1">
        <w:rPr>
          <w:rFonts w:ascii="Gotham" w:hAnsi="Gotham"/>
          <w:spacing w:val="-14"/>
          <w:sz w:val="20"/>
          <w:szCs w:val="20"/>
        </w:rPr>
        <w:t xml:space="preserve"> </w:t>
      </w:r>
      <w:r w:rsidRPr="009315F1">
        <w:rPr>
          <w:rFonts w:ascii="Gotham" w:hAnsi="Gotham"/>
          <w:spacing w:val="-2"/>
          <w:sz w:val="20"/>
          <w:szCs w:val="20"/>
        </w:rPr>
        <w:t>para</w:t>
      </w:r>
      <w:r w:rsidRPr="009315F1">
        <w:rPr>
          <w:rFonts w:ascii="Gotham" w:hAnsi="Gotham"/>
          <w:spacing w:val="-14"/>
          <w:sz w:val="20"/>
          <w:szCs w:val="20"/>
        </w:rPr>
        <w:t xml:space="preserve"> </w:t>
      </w:r>
      <w:r w:rsidRPr="009315F1">
        <w:rPr>
          <w:rFonts w:ascii="Gotham" w:hAnsi="Gotham"/>
          <w:spacing w:val="-2"/>
          <w:sz w:val="20"/>
          <w:szCs w:val="20"/>
        </w:rPr>
        <w:t xml:space="preserve">el </w:t>
      </w:r>
      <w:r w:rsidRPr="009315F1">
        <w:rPr>
          <w:rFonts w:ascii="Gotham" w:hAnsi="Gotham"/>
          <w:sz w:val="20"/>
          <w:szCs w:val="20"/>
        </w:rPr>
        <w:t>ejercicio fiscal 2024.</w:t>
      </w:r>
    </w:p>
    <w:p w14:paraId="3A4731F8" w14:textId="77777777" w:rsidR="00016FE1" w:rsidRPr="009315F1" w:rsidRDefault="00016FE1" w:rsidP="002B6227">
      <w:pPr>
        <w:pStyle w:val="Textoindependiente"/>
        <w:spacing w:after="0"/>
        <w:ind w:left="567" w:right="49" w:hanging="573"/>
        <w:rPr>
          <w:rFonts w:ascii="Gotham" w:hAnsi="Gotham"/>
          <w:sz w:val="20"/>
          <w:szCs w:val="20"/>
        </w:rPr>
      </w:pPr>
    </w:p>
    <w:p w14:paraId="3A4731F9" w14:textId="77777777" w:rsidR="00016FE1" w:rsidRPr="009315F1" w:rsidRDefault="00016FE1" w:rsidP="002B6227">
      <w:pPr>
        <w:ind w:left="567" w:right="49" w:hanging="573"/>
        <w:jc w:val="both"/>
        <w:rPr>
          <w:rFonts w:ascii="Gotham" w:hAnsi="Gotham"/>
          <w:sz w:val="20"/>
          <w:szCs w:val="20"/>
        </w:rPr>
      </w:pPr>
      <w:r w:rsidRPr="009315F1">
        <w:rPr>
          <w:rFonts w:ascii="Gotham" w:hAnsi="Gotham"/>
          <w:color w:val="212121"/>
          <w:spacing w:val="-2"/>
          <w:sz w:val="20"/>
          <w:szCs w:val="20"/>
        </w:rPr>
        <w:t>2.-</w:t>
      </w:r>
      <w:r w:rsidRPr="009315F1">
        <w:rPr>
          <w:rFonts w:ascii="Gotham" w:hAnsi="Gotham"/>
          <w:color w:val="212121"/>
          <w:spacing w:val="-14"/>
          <w:sz w:val="20"/>
          <w:szCs w:val="20"/>
        </w:rPr>
        <w:t xml:space="preserve"> </w:t>
      </w:r>
      <w:r>
        <w:rPr>
          <w:rFonts w:ascii="Gotham" w:hAnsi="Gotham"/>
          <w:color w:val="212121"/>
          <w:spacing w:val="-14"/>
          <w:sz w:val="20"/>
          <w:szCs w:val="20"/>
        </w:rPr>
        <w:tab/>
      </w:r>
      <w:r w:rsidRPr="009315F1">
        <w:rPr>
          <w:rFonts w:ascii="Gotham" w:hAnsi="Gotham"/>
          <w:color w:val="0F0F0F"/>
          <w:spacing w:val="-2"/>
          <w:sz w:val="20"/>
          <w:szCs w:val="20"/>
        </w:rPr>
        <w:t>Que</w:t>
      </w:r>
      <w:r w:rsidRPr="009315F1">
        <w:rPr>
          <w:rFonts w:ascii="Gotham" w:hAnsi="Gotham"/>
          <w:color w:val="0F0F0F"/>
          <w:spacing w:val="-14"/>
          <w:sz w:val="20"/>
          <w:szCs w:val="20"/>
        </w:rPr>
        <w:t xml:space="preserve"> </w:t>
      </w:r>
      <w:r w:rsidRPr="009315F1">
        <w:rPr>
          <w:rFonts w:ascii="Gotham" w:hAnsi="Gotham"/>
          <w:spacing w:val="-2"/>
          <w:sz w:val="20"/>
          <w:szCs w:val="20"/>
        </w:rPr>
        <w:t>mediante oficio</w:t>
      </w:r>
      <w:r w:rsidRPr="009315F1">
        <w:rPr>
          <w:rFonts w:ascii="Gotham" w:hAnsi="Gotham"/>
          <w:spacing w:val="-8"/>
          <w:sz w:val="20"/>
          <w:szCs w:val="20"/>
        </w:rPr>
        <w:t xml:space="preserve"> </w:t>
      </w:r>
      <w:r w:rsidRPr="009315F1">
        <w:rPr>
          <w:rFonts w:ascii="Gotham" w:hAnsi="Gotham"/>
          <w:spacing w:val="-2"/>
          <w:sz w:val="20"/>
          <w:szCs w:val="20"/>
        </w:rPr>
        <w:t>número</w:t>
      </w:r>
      <w:r w:rsidRPr="009315F1">
        <w:rPr>
          <w:rFonts w:ascii="Gotham" w:hAnsi="Gotham"/>
          <w:spacing w:val="-6"/>
          <w:sz w:val="20"/>
          <w:szCs w:val="20"/>
        </w:rPr>
        <w:t xml:space="preserve"> </w:t>
      </w:r>
      <w:r w:rsidRPr="009315F1">
        <w:rPr>
          <w:rFonts w:ascii="Gotham" w:hAnsi="Gotham"/>
          <w:spacing w:val="-2"/>
          <w:sz w:val="20"/>
          <w:szCs w:val="20"/>
        </w:rPr>
        <w:t>DGADH/1927/2024,</w:t>
      </w:r>
      <w:r w:rsidRPr="009315F1">
        <w:rPr>
          <w:rFonts w:ascii="Gotham" w:hAnsi="Gotham"/>
          <w:spacing w:val="-6"/>
          <w:sz w:val="20"/>
          <w:szCs w:val="20"/>
        </w:rPr>
        <w:t xml:space="preserve"> </w:t>
      </w:r>
      <w:r w:rsidRPr="009315F1">
        <w:rPr>
          <w:rFonts w:ascii="Gotham" w:hAnsi="Gotham"/>
          <w:spacing w:val="-2"/>
          <w:sz w:val="20"/>
          <w:szCs w:val="20"/>
        </w:rPr>
        <w:t>suscrito</w:t>
      </w:r>
      <w:r w:rsidRPr="009315F1">
        <w:rPr>
          <w:rFonts w:ascii="Gotham" w:hAnsi="Gotham"/>
          <w:spacing w:val="-7"/>
          <w:sz w:val="20"/>
          <w:szCs w:val="20"/>
        </w:rPr>
        <w:t xml:space="preserve"> </w:t>
      </w:r>
      <w:r w:rsidRPr="009315F1">
        <w:rPr>
          <w:rFonts w:ascii="Gotham" w:hAnsi="Gotham"/>
          <w:spacing w:val="-2"/>
          <w:sz w:val="20"/>
          <w:szCs w:val="20"/>
        </w:rPr>
        <w:t>por</w:t>
      </w:r>
      <w:r w:rsidRPr="009315F1">
        <w:rPr>
          <w:rFonts w:ascii="Gotham" w:hAnsi="Gotham"/>
          <w:spacing w:val="-12"/>
          <w:sz w:val="20"/>
          <w:szCs w:val="20"/>
        </w:rPr>
        <w:t xml:space="preserve"> </w:t>
      </w:r>
      <w:r w:rsidRPr="009315F1">
        <w:rPr>
          <w:rFonts w:ascii="Gotham" w:hAnsi="Gotham"/>
          <w:spacing w:val="-2"/>
          <w:sz w:val="20"/>
          <w:szCs w:val="20"/>
        </w:rPr>
        <w:t>el</w:t>
      </w:r>
      <w:r w:rsidRPr="009315F1">
        <w:rPr>
          <w:rFonts w:ascii="Gotham" w:hAnsi="Gotham"/>
          <w:spacing w:val="-14"/>
          <w:sz w:val="20"/>
          <w:szCs w:val="20"/>
        </w:rPr>
        <w:t xml:space="preserve"> </w:t>
      </w:r>
      <w:r w:rsidRPr="009315F1">
        <w:rPr>
          <w:rFonts w:ascii="Gotham" w:hAnsi="Gotham"/>
          <w:spacing w:val="-2"/>
          <w:sz w:val="20"/>
          <w:szCs w:val="20"/>
        </w:rPr>
        <w:t>Mtro.</w:t>
      </w:r>
      <w:r w:rsidRPr="009315F1">
        <w:rPr>
          <w:rFonts w:ascii="Gotham" w:hAnsi="Gotham"/>
          <w:spacing w:val="-6"/>
          <w:sz w:val="20"/>
          <w:szCs w:val="20"/>
        </w:rPr>
        <w:t xml:space="preserve"> </w:t>
      </w:r>
      <w:r w:rsidRPr="009315F1">
        <w:rPr>
          <w:rFonts w:ascii="Gotham" w:hAnsi="Gotham"/>
          <w:spacing w:val="-2"/>
          <w:sz w:val="20"/>
          <w:szCs w:val="20"/>
        </w:rPr>
        <w:t>Luis</w:t>
      </w:r>
      <w:r w:rsidRPr="009315F1">
        <w:rPr>
          <w:rFonts w:ascii="Gotham" w:hAnsi="Gotham"/>
          <w:spacing w:val="-10"/>
          <w:sz w:val="20"/>
          <w:szCs w:val="20"/>
        </w:rPr>
        <w:t xml:space="preserve"> </w:t>
      </w:r>
      <w:r w:rsidRPr="009315F1">
        <w:rPr>
          <w:rFonts w:ascii="Gotham" w:hAnsi="Gotham"/>
          <w:spacing w:val="-2"/>
          <w:sz w:val="20"/>
          <w:szCs w:val="20"/>
        </w:rPr>
        <w:t xml:space="preserve">Ramón </w:t>
      </w:r>
      <w:r w:rsidRPr="009315F1">
        <w:rPr>
          <w:rFonts w:ascii="Gotham" w:hAnsi="Gotham"/>
          <w:spacing w:val="-4"/>
          <w:sz w:val="20"/>
          <w:szCs w:val="20"/>
        </w:rPr>
        <w:t>Esparza</w:t>
      </w:r>
      <w:r w:rsidRPr="009315F1">
        <w:rPr>
          <w:rFonts w:ascii="Gotham" w:hAnsi="Gotham"/>
          <w:spacing w:val="-12"/>
          <w:sz w:val="20"/>
          <w:szCs w:val="20"/>
        </w:rPr>
        <w:t xml:space="preserve"> </w:t>
      </w:r>
      <w:r w:rsidRPr="009315F1">
        <w:rPr>
          <w:rFonts w:ascii="Gotham" w:hAnsi="Gotham"/>
          <w:spacing w:val="-4"/>
          <w:sz w:val="20"/>
          <w:szCs w:val="20"/>
        </w:rPr>
        <w:t>Sezate,</w:t>
      </w:r>
      <w:r w:rsidRPr="009315F1">
        <w:rPr>
          <w:rFonts w:ascii="Gotham" w:hAnsi="Gotham"/>
          <w:spacing w:val="-12"/>
          <w:sz w:val="20"/>
          <w:szCs w:val="20"/>
        </w:rPr>
        <w:t xml:space="preserve"> </w:t>
      </w:r>
      <w:r w:rsidRPr="009315F1">
        <w:rPr>
          <w:rFonts w:ascii="Gotham" w:hAnsi="Gotham"/>
          <w:spacing w:val="-4"/>
          <w:sz w:val="20"/>
          <w:szCs w:val="20"/>
        </w:rPr>
        <w:t>Director</w:t>
      </w:r>
      <w:r w:rsidRPr="009315F1">
        <w:rPr>
          <w:rFonts w:ascii="Gotham" w:hAnsi="Gotham"/>
          <w:spacing w:val="-12"/>
          <w:sz w:val="20"/>
          <w:szCs w:val="20"/>
        </w:rPr>
        <w:t xml:space="preserve"> </w:t>
      </w:r>
      <w:r w:rsidRPr="009315F1">
        <w:rPr>
          <w:rFonts w:ascii="Gotham" w:hAnsi="Gotham"/>
          <w:spacing w:val="-4"/>
          <w:sz w:val="20"/>
          <w:szCs w:val="20"/>
        </w:rPr>
        <w:t>General</w:t>
      </w:r>
      <w:r w:rsidRPr="009315F1">
        <w:rPr>
          <w:rFonts w:ascii="Gotham" w:hAnsi="Gotham"/>
          <w:spacing w:val="-12"/>
          <w:sz w:val="20"/>
          <w:szCs w:val="20"/>
        </w:rPr>
        <w:t xml:space="preserve"> </w:t>
      </w:r>
      <w:r w:rsidRPr="009315F1">
        <w:rPr>
          <w:rFonts w:ascii="Gotham" w:hAnsi="Gotham"/>
          <w:color w:val="0C0C0C"/>
          <w:spacing w:val="-4"/>
          <w:sz w:val="20"/>
          <w:szCs w:val="20"/>
        </w:rPr>
        <w:t>de</w:t>
      </w:r>
      <w:r w:rsidRPr="009315F1">
        <w:rPr>
          <w:rFonts w:ascii="Gotham" w:hAnsi="Gotham"/>
          <w:color w:val="0C0C0C"/>
          <w:spacing w:val="-12"/>
          <w:sz w:val="20"/>
          <w:szCs w:val="20"/>
        </w:rPr>
        <w:t xml:space="preserve"> </w:t>
      </w:r>
      <w:r w:rsidRPr="009315F1">
        <w:rPr>
          <w:rFonts w:ascii="Gotham" w:hAnsi="Gotham"/>
          <w:spacing w:val="-4"/>
          <w:sz w:val="20"/>
          <w:szCs w:val="20"/>
        </w:rPr>
        <w:t>Administración</w:t>
      </w:r>
      <w:r w:rsidRPr="009315F1">
        <w:rPr>
          <w:rFonts w:ascii="Gotham" w:hAnsi="Gotham"/>
          <w:spacing w:val="-12"/>
          <w:sz w:val="20"/>
          <w:szCs w:val="20"/>
        </w:rPr>
        <w:t xml:space="preserve"> </w:t>
      </w:r>
      <w:r w:rsidRPr="009315F1">
        <w:rPr>
          <w:rFonts w:ascii="Gotham" w:hAnsi="Gotham"/>
          <w:color w:val="383838"/>
          <w:spacing w:val="-4"/>
          <w:sz w:val="20"/>
          <w:szCs w:val="20"/>
        </w:rPr>
        <w:t>y</w:t>
      </w:r>
      <w:r w:rsidRPr="009315F1">
        <w:rPr>
          <w:rFonts w:ascii="Gotham" w:hAnsi="Gotham"/>
          <w:color w:val="383838"/>
          <w:spacing w:val="-12"/>
          <w:sz w:val="20"/>
          <w:szCs w:val="20"/>
        </w:rPr>
        <w:t xml:space="preserve"> </w:t>
      </w:r>
      <w:r w:rsidRPr="009315F1">
        <w:rPr>
          <w:rFonts w:ascii="Gotham" w:hAnsi="Gotham"/>
          <w:spacing w:val="-4"/>
          <w:sz w:val="20"/>
          <w:szCs w:val="20"/>
        </w:rPr>
        <w:t>Desarrollo</w:t>
      </w:r>
      <w:r w:rsidRPr="009315F1">
        <w:rPr>
          <w:rFonts w:ascii="Gotham" w:hAnsi="Gotham"/>
          <w:spacing w:val="-12"/>
          <w:sz w:val="20"/>
          <w:szCs w:val="20"/>
        </w:rPr>
        <w:t xml:space="preserve"> </w:t>
      </w:r>
      <w:r w:rsidRPr="009315F1">
        <w:rPr>
          <w:rFonts w:ascii="Gotham" w:hAnsi="Gotham"/>
          <w:spacing w:val="-4"/>
          <w:sz w:val="20"/>
          <w:szCs w:val="20"/>
        </w:rPr>
        <w:t>Humano,</w:t>
      </w:r>
      <w:r w:rsidRPr="009315F1">
        <w:rPr>
          <w:rFonts w:ascii="Gotham" w:hAnsi="Gotham"/>
          <w:spacing w:val="-12"/>
          <w:sz w:val="20"/>
          <w:szCs w:val="20"/>
        </w:rPr>
        <w:t xml:space="preserve"> </w:t>
      </w:r>
      <w:r w:rsidRPr="009315F1">
        <w:rPr>
          <w:rFonts w:ascii="Gotham" w:hAnsi="Gotham"/>
          <w:spacing w:val="-4"/>
          <w:sz w:val="20"/>
          <w:szCs w:val="20"/>
        </w:rPr>
        <w:t>informa</w:t>
      </w:r>
      <w:r w:rsidRPr="009315F1">
        <w:rPr>
          <w:rFonts w:ascii="Gotham" w:hAnsi="Gotham"/>
          <w:spacing w:val="-12"/>
          <w:sz w:val="20"/>
          <w:szCs w:val="20"/>
        </w:rPr>
        <w:t xml:space="preserve"> </w:t>
      </w:r>
      <w:r w:rsidRPr="009315F1">
        <w:rPr>
          <w:rFonts w:ascii="Gotham" w:hAnsi="Gotham"/>
          <w:spacing w:val="-4"/>
          <w:sz w:val="20"/>
          <w:szCs w:val="20"/>
        </w:rPr>
        <w:t xml:space="preserve">que </w:t>
      </w:r>
      <w:r w:rsidRPr="009315F1">
        <w:rPr>
          <w:rFonts w:ascii="Gotham" w:hAnsi="Gotham"/>
          <w:sz w:val="20"/>
          <w:szCs w:val="20"/>
        </w:rPr>
        <w:t>hace</w:t>
      </w:r>
      <w:r w:rsidRPr="009315F1">
        <w:rPr>
          <w:rFonts w:ascii="Gotham" w:hAnsi="Gotham"/>
          <w:spacing w:val="-4"/>
          <w:sz w:val="20"/>
          <w:szCs w:val="20"/>
        </w:rPr>
        <w:t xml:space="preserve"> </w:t>
      </w:r>
      <w:r w:rsidRPr="009315F1">
        <w:rPr>
          <w:rFonts w:ascii="Gotham" w:hAnsi="Gotham"/>
          <w:sz w:val="20"/>
          <w:szCs w:val="20"/>
        </w:rPr>
        <w:t>entrega de</w:t>
      </w:r>
      <w:r w:rsidRPr="009315F1">
        <w:rPr>
          <w:rFonts w:ascii="Gotham" w:hAnsi="Gotham"/>
          <w:spacing w:val="-7"/>
          <w:sz w:val="20"/>
          <w:szCs w:val="20"/>
        </w:rPr>
        <w:t xml:space="preserve"> </w:t>
      </w:r>
      <w:r w:rsidRPr="009315F1">
        <w:rPr>
          <w:rFonts w:ascii="Gotham" w:hAnsi="Gotham"/>
          <w:sz w:val="20"/>
          <w:szCs w:val="20"/>
        </w:rPr>
        <w:t>la</w:t>
      </w:r>
      <w:r w:rsidRPr="009315F1">
        <w:rPr>
          <w:rFonts w:ascii="Gotham" w:hAnsi="Gotham"/>
          <w:spacing w:val="-6"/>
          <w:sz w:val="20"/>
          <w:szCs w:val="20"/>
        </w:rPr>
        <w:t xml:space="preserve"> </w:t>
      </w:r>
      <w:r w:rsidRPr="009315F1">
        <w:rPr>
          <w:rFonts w:ascii="Gotham" w:hAnsi="Gotham"/>
          <w:sz w:val="20"/>
          <w:szCs w:val="20"/>
        </w:rPr>
        <w:t>propuesta de</w:t>
      </w:r>
      <w:r w:rsidRPr="009315F1">
        <w:rPr>
          <w:rFonts w:ascii="Gotham" w:hAnsi="Gotham"/>
          <w:spacing w:val="-9"/>
          <w:sz w:val="20"/>
          <w:szCs w:val="20"/>
        </w:rPr>
        <w:t xml:space="preserve"> </w:t>
      </w:r>
      <w:r w:rsidRPr="009315F1">
        <w:rPr>
          <w:rFonts w:ascii="Gotham" w:hAnsi="Gotham"/>
          <w:sz w:val="20"/>
          <w:szCs w:val="20"/>
        </w:rPr>
        <w:t>modificación a</w:t>
      </w:r>
      <w:r w:rsidRPr="009315F1">
        <w:rPr>
          <w:rFonts w:ascii="Gotham" w:hAnsi="Gotham"/>
          <w:spacing w:val="-9"/>
          <w:sz w:val="20"/>
          <w:szCs w:val="20"/>
        </w:rPr>
        <w:t xml:space="preserve"> </w:t>
      </w:r>
      <w:r w:rsidRPr="009315F1">
        <w:rPr>
          <w:rFonts w:ascii="Gotham" w:hAnsi="Gotham"/>
          <w:sz w:val="20"/>
          <w:szCs w:val="20"/>
        </w:rPr>
        <w:t>la</w:t>
      </w:r>
      <w:r w:rsidRPr="009315F1">
        <w:rPr>
          <w:rFonts w:ascii="Gotham" w:hAnsi="Gotham"/>
          <w:spacing w:val="-7"/>
          <w:sz w:val="20"/>
          <w:szCs w:val="20"/>
        </w:rPr>
        <w:t xml:space="preserve"> </w:t>
      </w:r>
      <w:r w:rsidRPr="009315F1">
        <w:rPr>
          <w:rFonts w:ascii="Gotham" w:hAnsi="Gotham"/>
          <w:sz w:val="20"/>
          <w:szCs w:val="20"/>
        </w:rPr>
        <w:t>Plantilla de</w:t>
      </w:r>
      <w:r w:rsidRPr="009315F1">
        <w:rPr>
          <w:rFonts w:ascii="Gotham" w:hAnsi="Gotham"/>
          <w:spacing w:val="-4"/>
          <w:sz w:val="20"/>
          <w:szCs w:val="20"/>
        </w:rPr>
        <w:t xml:space="preserve"> </w:t>
      </w:r>
      <w:r w:rsidRPr="009315F1">
        <w:rPr>
          <w:rFonts w:ascii="Gotham" w:hAnsi="Gotham"/>
          <w:sz w:val="20"/>
          <w:szCs w:val="20"/>
        </w:rPr>
        <w:t xml:space="preserve">Trabajadores </w:t>
      </w:r>
      <w:r w:rsidRPr="009315F1">
        <w:rPr>
          <w:rFonts w:ascii="Gotham" w:hAnsi="Gotham"/>
          <w:color w:val="0F0F0F"/>
          <w:sz w:val="20"/>
          <w:szCs w:val="20"/>
        </w:rPr>
        <w:t>de</w:t>
      </w:r>
      <w:r w:rsidRPr="009315F1">
        <w:rPr>
          <w:rFonts w:ascii="Gotham" w:hAnsi="Gotham"/>
          <w:color w:val="0F0F0F"/>
          <w:spacing w:val="-8"/>
          <w:sz w:val="20"/>
          <w:szCs w:val="20"/>
        </w:rPr>
        <w:t xml:space="preserve"> </w:t>
      </w:r>
      <w:r w:rsidRPr="009315F1">
        <w:rPr>
          <w:rFonts w:ascii="Gotham" w:hAnsi="Gotham"/>
          <w:color w:val="0F0F0F"/>
          <w:sz w:val="20"/>
          <w:szCs w:val="20"/>
        </w:rPr>
        <w:t xml:space="preserve">este </w:t>
      </w:r>
      <w:r w:rsidRPr="009315F1">
        <w:rPr>
          <w:rFonts w:ascii="Gotham" w:hAnsi="Gotham"/>
          <w:spacing w:val="-4"/>
          <w:sz w:val="20"/>
          <w:szCs w:val="20"/>
        </w:rPr>
        <w:t>Ayuntamiento,</w:t>
      </w:r>
      <w:r w:rsidRPr="009315F1">
        <w:rPr>
          <w:rFonts w:ascii="Gotham" w:hAnsi="Gotham"/>
          <w:spacing w:val="15"/>
          <w:sz w:val="20"/>
          <w:szCs w:val="20"/>
        </w:rPr>
        <w:t xml:space="preserve"> </w:t>
      </w:r>
      <w:r w:rsidRPr="009315F1">
        <w:rPr>
          <w:rFonts w:ascii="Gotham" w:hAnsi="Gotham"/>
          <w:spacing w:val="-4"/>
          <w:sz w:val="20"/>
          <w:szCs w:val="20"/>
        </w:rPr>
        <w:t>derivado</w:t>
      </w:r>
      <w:r w:rsidRPr="009315F1">
        <w:rPr>
          <w:rFonts w:ascii="Gotham" w:hAnsi="Gotham"/>
          <w:sz w:val="20"/>
          <w:szCs w:val="20"/>
        </w:rPr>
        <w:t xml:space="preserve"> </w:t>
      </w:r>
      <w:r w:rsidRPr="009315F1">
        <w:rPr>
          <w:rFonts w:ascii="Gotham" w:hAnsi="Gotham"/>
          <w:spacing w:val="-4"/>
          <w:sz w:val="20"/>
          <w:szCs w:val="20"/>
        </w:rPr>
        <w:t>del acuerdo al</w:t>
      </w:r>
      <w:r w:rsidRPr="009315F1">
        <w:rPr>
          <w:rFonts w:ascii="Gotham" w:hAnsi="Gotham"/>
          <w:spacing w:val="-9"/>
          <w:sz w:val="20"/>
          <w:szCs w:val="20"/>
        </w:rPr>
        <w:t xml:space="preserve"> </w:t>
      </w:r>
      <w:r w:rsidRPr="009315F1">
        <w:rPr>
          <w:rFonts w:ascii="Gotham" w:hAnsi="Gotham"/>
          <w:spacing w:val="-4"/>
          <w:sz w:val="20"/>
          <w:szCs w:val="20"/>
        </w:rPr>
        <w:t>incremento</w:t>
      </w:r>
      <w:r w:rsidRPr="009315F1">
        <w:rPr>
          <w:rFonts w:ascii="Gotham" w:hAnsi="Gotham"/>
          <w:sz w:val="20"/>
          <w:szCs w:val="20"/>
        </w:rPr>
        <w:t xml:space="preserve"> </w:t>
      </w:r>
      <w:r w:rsidRPr="009315F1">
        <w:rPr>
          <w:rFonts w:ascii="Gotham" w:hAnsi="Gotham"/>
          <w:spacing w:val="-4"/>
          <w:sz w:val="20"/>
          <w:szCs w:val="20"/>
        </w:rPr>
        <w:t>salarial</w:t>
      </w:r>
      <w:r w:rsidRPr="009315F1">
        <w:rPr>
          <w:rFonts w:ascii="Gotham" w:hAnsi="Gotham"/>
          <w:sz w:val="20"/>
          <w:szCs w:val="20"/>
        </w:rPr>
        <w:t xml:space="preserve"> </w:t>
      </w:r>
      <w:r w:rsidRPr="009315F1">
        <w:rPr>
          <w:rFonts w:ascii="Gotham" w:hAnsi="Gotham"/>
          <w:spacing w:val="-4"/>
          <w:sz w:val="20"/>
          <w:szCs w:val="20"/>
        </w:rPr>
        <w:t>para el</w:t>
      </w:r>
      <w:r w:rsidRPr="009315F1">
        <w:rPr>
          <w:rFonts w:ascii="Gotham" w:hAnsi="Gotham"/>
          <w:spacing w:val="-7"/>
          <w:sz w:val="20"/>
          <w:szCs w:val="20"/>
        </w:rPr>
        <w:t xml:space="preserve"> </w:t>
      </w:r>
      <w:r w:rsidRPr="009315F1">
        <w:rPr>
          <w:rFonts w:ascii="Gotham" w:hAnsi="Gotham"/>
          <w:spacing w:val="-4"/>
          <w:sz w:val="20"/>
          <w:szCs w:val="20"/>
        </w:rPr>
        <w:t>ejercicio fiscal 2024</w:t>
      </w:r>
      <w:r w:rsidRPr="009315F1">
        <w:rPr>
          <w:rFonts w:ascii="Gotham" w:hAnsi="Gotham"/>
          <w:sz w:val="20"/>
          <w:szCs w:val="20"/>
        </w:rPr>
        <w:t xml:space="preserve"> </w:t>
      </w:r>
      <w:r w:rsidRPr="009315F1">
        <w:rPr>
          <w:rFonts w:ascii="Gotham" w:hAnsi="Gotham"/>
          <w:spacing w:val="-4"/>
          <w:sz w:val="20"/>
          <w:szCs w:val="20"/>
        </w:rPr>
        <w:t>los</w:t>
      </w:r>
      <w:r w:rsidRPr="009315F1">
        <w:rPr>
          <w:rFonts w:ascii="Gotham" w:hAnsi="Gotham"/>
          <w:spacing w:val="-12"/>
          <w:sz w:val="20"/>
          <w:szCs w:val="20"/>
        </w:rPr>
        <w:t xml:space="preserve"> </w:t>
      </w:r>
      <w:r w:rsidRPr="009315F1">
        <w:rPr>
          <w:rFonts w:ascii="Gotham" w:hAnsi="Gotham"/>
          <w:spacing w:val="-4"/>
          <w:sz w:val="20"/>
          <w:szCs w:val="20"/>
        </w:rPr>
        <w:t>servidores</w:t>
      </w:r>
      <w:r w:rsidRPr="009315F1">
        <w:rPr>
          <w:rFonts w:ascii="Gotham" w:hAnsi="Gotham"/>
          <w:spacing w:val="-12"/>
          <w:sz w:val="20"/>
          <w:szCs w:val="20"/>
        </w:rPr>
        <w:t xml:space="preserve"> </w:t>
      </w:r>
      <w:r w:rsidRPr="009315F1">
        <w:rPr>
          <w:rFonts w:ascii="Gotham" w:hAnsi="Gotham"/>
          <w:spacing w:val="-4"/>
          <w:sz w:val="20"/>
          <w:szCs w:val="20"/>
        </w:rPr>
        <w:t>públicos</w:t>
      </w:r>
      <w:r w:rsidRPr="009315F1">
        <w:rPr>
          <w:rFonts w:ascii="Gotham" w:hAnsi="Gotham"/>
          <w:spacing w:val="-12"/>
          <w:sz w:val="20"/>
          <w:szCs w:val="20"/>
        </w:rPr>
        <w:t xml:space="preserve"> </w:t>
      </w:r>
      <w:r w:rsidRPr="009315F1">
        <w:rPr>
          <w:rFonts w:ascii="Gotham" w:hAnsi="Gotham"/>
          <w:spacing w:val="-4"/>
          <w:sz w:val="20"/>
          <w:szCs w:val="20"/>
        </w:rPr>
        <w:t>que</w:t>
      </w:r>
      <w:r w:rsidRPr="009315F1">
        <w:rPr>
          <w:rFonts w:ascii="Gotham" w:hAnsi="Gotham"/>
          <w:spacing w:val="-12"/>
          <w:sz w:val="20"/>
          <w:szCs w:val="20"/>
        </w:rPr>
        <w:t xml:space="preserve"> </w:t>
      </w:r>
      <w:r w:rsidRPr="009315F1">
        <w:rPr>
          <w:rFonts w:ascii="Gotham" w:hAnsi="Gotham"/>
          <w:color w:val="1D1D1D"/>
          <w:spacing w:val="-4"/>
          <w:sz w:val="20"/>
          <w:szCs w:val="20"/>
        </w:rPr>
        <w:t>se</w:t>
      </w:r>
      <w:r w:rsidRPr="009315F1">
        <w:rPr>
          <w:rFonts w:ascii="Gotham" w:hAnsi="Gotham"/>
          <w:color w:val="1D1D1D"/>
          <w:spacing w:val="-12"/>
          <w:sz w:val="20"/>
          <w:szCs w:val="20"/>
        </w:rPr>
        <w:t xml:space="preserve"> </w:t>
      </w:r>
      <w:r w:rsidRPr="009315F1">
        <w:rPr>
          <w:rFonts w:ascii="Gotham" w:hAnsi="Gotham"/>
          <w:spacing w:val="-4"/>
          <w:sz w:val="20"/>
          <w:szCs w:val="20"/>
        </w:rPr>
        <w:t>encuentran</w:t>
      </w:r>
      <w:r w:rsidRPr="009315F1">
        <w:rPr>
          <w:rFonts w:ascii="Gotham" w:hAnsi="Gotham"/>
          <w:spacing w:val="-5"/>
          <w:sz w:val="20"/>
          <w:szCs w:val="20"/>
        </w:rPr>
        <w:t xml:space="preserve"> </w:t>
      </w:r>
      <w:r w:rsidRPr="009315F1">
        <w:rPr>
          <w:rFonts w:ascii="Gotham" w:hAnsi="Gotham"/>
          <w:spacing w:val="-4"/>
          <w:sz w:val="20"/>
          <w:szCs w:val="20"/>
        </w:rPr>
        <w:t>sindicalizados.</w:t>
      </w:r>
    </w:p>
    <w:p w14:paraId="3A4731FA" w14:textId="77777777" w:rsidR="00016FE1" w:rsidRPr="009315F1" w:rsidRDefault="00016FE1" w:rsidP="002B6227">
      <w:pPr>
        <w:pStyle w:val="Textoindependiente"/>
        <w:spacing w:after="0"/>
        <w:ind w:left="567" w:right="49" w:hanging="573"/>
        <w:rPr>
          <w:rFonts w:ascii="Gotham" w:hAnsi="Gotham"/>
          <w:sz w:val="20"/>
          <w:szCs w:val="20"/>
        </w:rPr>
      </w:pPr>
    </w:p>
    <w:p w14:paraId="3A4731FB" w14:textId="77777777" w:rsidR="00016FE1" w:rsidRPr="009315F1" w:rsidRDefault="00016FE1" w:rsidP="002B6227">
      <w:pPr>
        <w:pStyle w:val="Textoindependiente"/>
        <w:spacing w:after="0"/>
        <w:ind w:left="567" w:right="49"/>
        <w:jc w:val="both"/>
        <w:rPr>
          <w:rFonts w:ascii="Gotham" w:hAnsi="Gotham"/>
          <w:sz w:val="20"/>
          <w:szCs w:val="20"/>
        </w:rPr>
      </w:pPr>
      <w:r w:rsidRPr="009315F1">
        <w:rPr>
          <w:rFonts w:ascii="Gotham" w:hAnsi="Gotham"/>
          <w:color w:val="4D4D4D"/>
          <w:sz w:val="20"/>
          <w:szCs w:val="20"/>
        </w:rPr>
        <w:lastRenderedPageBreak/>
        <w:t>Lo</w:t>
      </w:r>
      <w:r w:rsidRPr="009315F1">
        <w:rPr>
          <w:rFonts w:ascii="Gotham" w:hAnsi="Gotham"/>
          <w:color w:val="4D4D4D"/>
          <w:spacing w:val="40"/>
          <w:sz w:val="20"/>
          <w:szCs w:val="20"/>
        </w:rPr>
        <w:t xml:space="preserve"> </w:t>
      </w:r>
      <w:r w:rsidRPr="009315F1">
        <w:rPr>
          <w:rFonts w:ascii="Gotham" w:hAnsi="Gotham"/>
          <w:color w:val="343434"/>
          <w:sz w:val="20"/>
          <w:szCs w:val="20"/>
        </w:rPr>
        <w:t>anterior</w:t>
      </w:r>
      <w:r w:rsidRPr="009315F1">
        <w:rPr>
          <w:rFonts w:ascii="Gotham" w:hAnsi="Gotham"/>
          <w:color w:val="343434"/>
          <w:spacing w:val="79"/>
          <w:sz w:val="20"/>
          <w:szCs w:val="20"/>
        </w:rPr>
        <w:t xml:space="preserve"> </w:t>
      </w:r>
      <w:r w:rsidRPr="009315F1">
        <w:rPr>
          <w:rFonts w:ascii="Gotham" w:hAnsi="Gotham"/>
          <w:color w:val="414141"/>
          <w:sz w:val="20"/>
          <w:szCs w:val="20"/>
        </w:rPr>
        <w:t>con</w:t>
      </w:r>
      <w:r w:rsidRPr="009315F1">
        <w:rPr>
          <w:rFonts w:ascii="Gotham" w:hAnsi="Gotham"/>
          <w:color w:val="414141"/>
          <w:spacing w:val="40"/>
          <w:sz w:val="20"/>
          <w:szCs w:val="20"/>
        </w:rPr>
        <w:t xml:space="preserve"> </w:t>
      </w:r>
      <w:r w:rsidRPr="009315F1">
        <w:rPr>
          <w:rFonts w:ascii="Gotham" w:hAnsi="Gotham"/>
          <w:color w:val="424242"/>
          <w:sz w:val="20"/>
          <w:szCs w:val="20"/>
        </w:rPr>
        <w:t>el</w:t>
      </w:r>
      <w:r w:rsidRPr="009315F1">
        <w:rPr>
          <w:rFonts w:ascii="Gotham" w:hAnsi="Gotham"/>
          <w:color w:val="424242"/>
          <w:spacing w:val="40"/>
          <w:sz w:val="20"/>
          <w:szCs w:val="20"/>
        </w:rPr>
        <w:t xml:space="preserve"> </w:t>
      </w:r>
      <w:r w:rsidRPr="009315F1">
        <w:rPr>
          <w:rFonts w:ascii="Gotham" w:hAnsi="Gotham"/>
          <w:color w:val="424242"/>
          <w:sz w:val="20"/>
          <w:szCs w:val="20"/>
        </w:rPr>
        <w:t>fin</w:t>
      </w:r>
      <w:r w:rsidRPr="009315F1">
        <w:rPr>
          <w:rFonts w:ascii="Gotham" w:hAnsi="Gotham"/>
          <w:color w:val="424242"/>
          <w:spacing w:val="40"/>
          <w:sz w:val="20"/>
          <w:szCs w:val="20"/>
        </w:rPr>
        <w:t xml:space="preserve"> </w:t>
      </w:r>
      <w:r w:rsidRPr="009315F1">
        <w:rPr>
          <w:rFonts w:ascii="Gotham" w:hAnsi="Gotham"/>
          <w:color w:val="494949"/>
          <w:sz w:val="20"/>
          <w:szCs w:val="20"/>
        </w:rPr>
        <w:t>de</w:t>
      </w:r>
      <w:r w:rsidRPr="009315F1">
        <w:rPr>
          <w:rFonts w:ascii="Gotham" w:hAnsi="Gotham"/>
          <w:color w:val="494949"/>
          <w:spacing w:val="64"/>
          <w:sz w:val="20"/>
          <w:szCs w:val="20"/>
        </w:rPr>
        <w:t xml:space="preserve"> </w:t>
      </w:r>
      <w:r w:rsidRPr="009315F1">
        <w:rPr>
          <w:rFonts w:ascii="Gotham" w:hAnsi="Gotham"/>
          <w:color w:val="3D3D3D"/>
          <w:sz w:val="20"/>
          <w:szCs w:val="20"/>
        </w:rPr>
        <w:t>que</w:t>
      </w:r>
      <w:r w:rsidRPr="009315F1">
        <w:rPr>
          <w:rFonts w:ascii="Gotham" w:hAnsi="Gotham"/>
          <w:color w:val="3D3D3D"/>
          <w:spacing w:val="68"/>
          <w:sz w:val="20"/>
          <w:szCs w:val="20"/>
        </w:rPr>
        <w:t xml:space="preserve"> </w:t>
      </w:r>
      <w:r w:rsidRPr="009315F1">
        <w:rPr>
          <w:rFonts w:ascii="Gotham" w:hAnsi="Gotham"/>
          <w:color w:val="5B5B5B"/>
          <w:sz w:val="20"/>
          <w:szCs w:val="20"/>
        </w:rPr>
        <w:t>sea</w:t>
      </w:r>
      <w:r w:rsidRPr="009315F1">
        <w:rPr>
          <w:rFonts w:ascii="Gotham" w:hAnsi="Gotham"/>
          <w:color w:val="5B5B5B"/>
          <w:spacing w:val="70"/>
          <w:sz w:val="20"/>
          <w:szCs w:val="20"/>
        </w:rPr>
        <w:t xml:space="preserve"> </w:t>
      </w:r>
      <w:r w:rsidRPr="009315F1">
        <w:rPr>
          <w:rFonts w:ascii="Gotham" w:hAnsi="Gotham"/>
          <w:color w:val="313131"/>
          <w:sz w:val="20"/>
          <w:szCs w:val="20"/>
        </w:rPr>
        <w:t>considerada</w:t>
      </w:r>
      <w:r w:rsidRPr="009315F1">
        <w:rPr>
          <w:rFonts w:ascii="Gotham" w:hAnsi="Gotham"/>
          <w:color w:val="313131"/>
          <w:spacing w:val="80"/>
          <w:sz w:val="20"/>
          <w:szCs w:val="20"/>
        </w:rPr>
        <w:t xml:space="preserve"> </w:t>
      </w:r>
      <w:r w:rsidRPr="009315F1">
        <w:rPr>
          <w:rFonts w:ascii="Gotham" w:hAnsi="Gotham"/>
          <w:color w:val="3A3A3A"/>
          <w:sz w:val="20"/>
          <w:szCs w:val="20"/>
        </w:rPr>
        <w:t>la</w:t>
      </w:r>
      <w:r w:rsidRPr="009315F1">
        <w:rPr>
          <w:rFonts w:ascii="Gotham" w:hAnsi="Gotham"/>
          <w:color w:val="3A3A3A"/>
          <w:spacing w:val="67"/>
          <w:sz w:val="20"/>
          <w:szCs w:val="20"/>
        </w:rPr>
        <w:t xml:space="preserve"> </w:t>
      </w:r>
      <w:r w:rsidRPr="009315F1">
        <w:rPr>
          <w:rFonts w:ascii="Gotham" w:hAnsi="Gotham"/>
          <w:color w:val="2D2D2D"/>
          <w:sz w:val="20"/>
          <w:szCs w:val="20"/>
        </w:rPr>
        <w:t>suficiencia</w:t>
      </w:r>
      <w:r w:rsidRPr="009315F1">
        <w:rPr>
          <w:rFonts w:ascii="Gotham" w:hAnsi="Gotham"/>
          <w:color w:val="2D2D2D"/>
          <w:spacing w:val="77"/>
          <w:sz w:val="20"/>
          <w:szCs w:val="20"/>
        </w:rPr>
        <w:t xml:space="preserve"> </w:t>
      </w:r>
      <w:r w:rsidRPr="009315F1">
        <w:rPr>
          <w:rFonts w:ascii="Gotham" w:hAnsi="Gotham"/>
          <w:color w:val="2A2A2A"/>
          <w:sz w:val="20"/>
          <w:szCs w:val="20"/>
        </w:rPr>
        <w:t>presupuestal</w:t>
      </w:r>
      <w:r w:rsidRPr="009315F1">
        <w:rPr>
          <w:rFonts w:ascii="Gotham" w:hAnsi="Gotham"/>
          <w:color w:val="2A2A2A"/>
          <w:spacing w:val="72"/>
          <w:sz w:val="20"/>
          <w:szCs w:val="20"/>
        </w:rPr>
        <w:t xml:space="preserve"> </w:t>
      </w:r>
      <w:r w:rsidRPr="009315F1">
        <w:rPr>
          <w:rFonts w:ascii="Gotham" w:hAnsi="Gotham"/>
          <w:color w:val="282828"/>
          <w:sz w:val="20"/>
          <w:szCs w:val="20"/>
        </w:rPr>
        <w:t>previo</w:t>
      </w:r>
      <w:r w:rsidRPr="009315F1">
        <w:rPr>
          <w:rFonts w:ascii="Gotham" w:hAnsi="Gotham"/>
          <w:color w:val="282828"/>
          <w:spacing w:val="73"/>
          <w:sz w:val="20"/>
          <w:szCs w:val="20"/>
        </w:rPr>
        <w:t xml:space="preserve"> </w:t>
      </w:r>
      <w:r w:rsidRPr="009315F1">
        <w:rPr>
          <w:rFonts w:ascii="Gotham" w:hAnsi="Gotham"/>
          <w:color w:val="383838"/>
          <w:sz w:val="20"/>
          <w:szCs w:val="20"/>
        </w:rPr>
        <w:t xml:space="preserve">al </w:t>
      </w:r>
      <w:r w:rsidRPr="009315F1">
        <w:rPr>
          <w:rFonts w:ascii="Gotham" w:hAnsi="Gotham"/>
          <w:color w:val="414141"/>
          <w:sz w:val="20"/>
          <w:szCs w:val="20"/>
        </w:rPr>
        <w:t xml:space="preserve">acuerdo </w:t>
      </w:r>
      <w:r w:rsidRPr="009315F1">
        <w:rPr>
          <w:rFonts w:ascii="Gotham" w:hAnsi="Gotham"/>
          <w:color w:val="484848"/>
          <w:sz w:val="20"/>
          <w:szCs w:val="20"/>
        </w:rPr>
        <w:t xml:space="preserve">de </w:t>
      </w:r>
      <w:r w:rsidRPr="009315F1">
        <w:rPr>
          <w:rFonts w:ascii="Gotham" w:hAnsi="Gotham"/>
          <w:color w:val="3F3F3F"/>
          <w:sz w:val="20"/>
          <w:szCs w:val="20"/>
        </w:rPr>
        <w:t>autorización</w:t>
      </w:r>
      <w:r w:rsidRPr="009315F1">
        <w:rPr>
          <w:rFonts w:ascii="Gotham" w:hAnsi="Gotham"/>
          <w:color w:val="3F3F3F"/>
          <w:spacing w:val="40"/>
          <w:sz w:val="20"/>
          <w:szCs w:val="20"/>
        </w:rPr>
        <w:t xml:space="preserve"> </w:t>
      </w:r>
      <w:r w:rsidRPr="009315F1">
        <w:rPr>
          <w:rFonts w:ascii="Gotham" w:hAnsi="Gotham"/>
          <w:color w:val="4B4B4B"/>
          <w:sz w:val="20"/>
          <w:szCs w:val="20"/>
        </w:rPr>
        <w:t xml:space="preserve">de </w:t>
      </w:r>
      <w:r w:rsidRPr="009315F1">
        <w:rPr>
          <w:rFonts w:ascii="Gotham" w:hAnsi="Gotham"/>
          <w:color w:val="4F4F4F"/>
          <w:sz w:val="20"/>
          <w:szCs w:val="20"/>
        </w:rPr>
        <w:t xml:space="preserve">la </w:t>
      </w:r>
      <w:r w:rsidRPr="009315F1">
        <w:rPr>
          <w:rFonts w:ascii="Gotham" w:hAnsi="Gotham"/>
          <w:color w:val="3B3B3B"/>
          <w:sz w:val="20"/>
          <w:szCs w:val="20"/>
        </w:rPr>
        <w:t>plantilla</w:t>
      </w:r>
      <w:r w:rsidRPr="009315F1">
        <w:rPr>
          <w:rFonts w:ascii="Gotham" w:hAnsi="Gotham"/>
          <w:color w:val="3B3B3B"/>
          <w:spacing w:val="40"/>
          <w:sz w:val="20"/>
          <w:szCs w:val="20"/>
        </w:rPr>
        <w:t xml:space="preserve"> </w:t>
      </w:r>
      <w:r w:rsidRPr="009315F1">
        <w:rPr>
          <w:rFonts w:ascii="Gotham" w:hAnsi="Gotham"/>
          <w:color w:val="343434"/>
          <w:sz w:val="20"/>
          <w:szCs w:val="20"/>
        </w:rPr>
        <w:t>anteriormente</w:t>
      </w:r>
      <w:r w:rsidRPr="009315F1">
        <w:rPr>
          <w:rFonts w:ascii="Gotham" w:hAnsi="Gotham"/>
          <w:color w:val="343434"/>
          <w:spacing w:val="40"/>
          <w:sz w:val="20"/>
          <w:szCs w:val="20"/>
        </w:rPr>
        <w:t xml:space="preserve"> </w:t>
      </w:r>
      <w:r w:rsidRPr="009315F1">
        <w:rPr>
          <w:rFonts w:ascii="Gotham" w:hAnsi="Gotham"/>
          <w:color w:val="363636"/>
          <w:sz w:val="20"/>
          <w:szCs w:val="20"/>
        </w:rPr>
        <w:t>mencionada.</w:t>
      </w:r>
    </w:p>
    <w:p w14:paraId="3A4731FC" w14:textId="77777777" w:rsidR="00016FE1" w:rsidRPr="009315F1" w:rsidRDefault="00016FE1" w:rsidP="002B6227">
      <w:pPr>
        <w:pStyle w:val="Textoindependiente"/>
        <w:spacing w:after="0"/>
        <w:ind w:left="567" w:right="49" w:hanging="573"/>
        <w:rPr>
          <w:rFonts w:ascii="Gotham" w:hAnsi="Gotham"/>
          <w:sz w:val="20"/>
          <w:szCs w:val="20"/>
        </w:rPr>
      </w:pPr>
    </w:p>
    <w:p w14:paraId="3A4731FD" w14:textId="77777777" w:rsidR="00016FE1" w:rsidRPr="009315F1" w:rsidRDefault="00016FE1" w:rsidP="002B6227">
      <w:pPr>
        <w:pStyle w:val="Textoindependiente"/>
        <w:spacing w:after="0"/>
        <w:ind w:left="567" w:right="49" w:hanging="573"/>
        <w:jc w:val="both"/>
        <w:rPr>
          <w:rFonts w:ascii="Gotham" w:hAnsi="Gotham"/>
          <w:sz w:val="20"/>
          <w:szCs w:val="20"/>
        </w:rPr>
      </w:pPr>
      <w:r w:rsidRPr="009315F1">
        <w:rPr>
          <w:rFonts w:ascii="Gotham" w:hAnsi="Gotham"/>
          <w:color w:val="464646"/>
          <w:sz w:val="20"/>
          <w:szCs w:val="20"/>
        </w:rPr>
        <w:t>3.-</w:t>
      </w:r>
      <w:r w:rsidRPr="009315F1">
        <w:rPr>
          <w:rFonts w:ascii="Gotham" w:hAnsi="Gotham"/>
          <w:color w:val="464646"/>
          <w:spacing w:val="40"/>
          <w:sz w:val="20"/>
          <w:szCs w:val="20"/>
        </w:rPr>
        <w:t xml:space="preserve"> </w:t>
      </w:r>
      <w:r>
        <w:rPr>
          <w:rFonts w:ascii="Gotham" w:hAnsi="Gotham"/>
          <w:color w:val="464646"/>
          <w:spacing w:val="40"/>
          <w:sz w:val="20"/>
          <w:szCs w:val="20"/>
        </w:rPr>
        <w:tab/>
      </w:r>
      <w:r w:rsidRPr="009315F1">
        <w:rPr>
          <w:rFonts w:ascii="Gotham" w:hAnsi="Gotham"/>
          <w:color w:val="383838"/>
          <w:sz w:val="20"/>
          <w:szCs w:val="20"/>
        </w:rPr>
        <w:t xml:space="preserve">En </w:t>
      </w:r>
      <w:r w:rsidRPr="009315F1">
        <w:rPr>
          <w:rFonts w:ascii="Gotham" w:hAnsi="Gotham"/>
          <w:color w:val="4B4B4B"/>
          <w:sz w:val="20"/>
          <w:szCs w:val="20"/>
        </w:rPr>
        <w:t xml:space="preserve">este </w:t>
      </w:r>
      <w:r w:rsidRPr="009315F1">
        <w:rPr>
          <w:rFonts w:ascii="Gotham" w:hAnsi="Gotham"/>
          <w:color w:val="3B3B3B"/>
          <w:sz w:val="20"/>
          <w:szCs w:val="20"/>
        </w:rPr>
        <w:t xml:space="preserve">sentido consideramos </w:t>
      </w:r>
      <w:r w:rsidRPr="009315F1">
        <w:rPr>
          <w:rFonts w:ascii="Gotham" w:hAnsi="Gotham"/>
          <w:color w:val="383838"/>
          <w:sz w:val="20"/>
          <w:szCs w:val="20"/>
        </w:rPr>
        <w:t xml:space="preserve">oportuno </w:t>
      </w:r>
      <w:r w:rsidRPr="009315F1">
        <w:rPr>
          <w:rFonts w:ascii="Gotham" w:hAnsi="Gotham"/>
          <w:color w:val="4B4B4B"/>
          <w:sz w:val="20"/>
          <w:szCs w:val="20"/>
        </w:rPr>
        <w:t xml:space="preserve">la </w:t>
      </w:r>
      <w:r w:rsidRPr="009315F1">
        <w:rPr>
          <w:rFonts w:ascii="Gotham" w:hAnsi="Gotham"/>
          <w:color w:val="3D3D3D"/>
          <w:sz w:val="20"/>
          <w:szCs w:val="20"/>
        </w:rPr>
        <w:t xml:space="preserve">aprobación </w:t>
      </w:r>
      <w:r w:rsidRPr="009315F1">
        <w:rPr>
          <w:rFonts w:ascii="Gotham" w:hAnsi="Gotham"/>
          <w:color w:val="545454"/>
          <w:sz w:val="20"/>
          <w:szCs w:val="20"/>
        </w:rPr>
        <w:t xml:space="preserve">de </w:t>
      </w:r>
      <w:r w:rsidRPr="009315F1">
        <w:rPr>
          <w:rFonts w:ascii="Gotham" w:hAnsi="Gotham"/>
          <w:color w:val="494949"/>
          <w:sz w:val="20"/>
          <w:szCs w:val="20"/>
        </w:rPr>
        <w:t xml:space="preserve">la </w:t>
      </w:r>
      <w:r w:rsidRPr="009315F1">
        <w:rPr>
          <w:rFonts w:ascii="Gotham" w:hAnsi="Gotham"/>
          <w:color w:val="3B3B3B"/>
          <w:sz w:val="20"/>
          <w:szCs w:val="20"/>
        </w:rPr>
        <w:t xml:space="preserve">presente </w:t>
      </w:r>
      <w:r w:rsidRPr="009315F1">
        <w:rPr>
          <w:rFonts w:ascii="Gotham" w:hAnsi="Gotham"/>
          <w:color w:val="383838"/>
          <w:sz w:val="20"/>
          <w:szCs w:val="20"/>
        </w:rPr>
        <w:t xml:space="preserve">iniciativa </w:t>
      </w:r>
      <w:r w:rsidRPr="009315F1">
        <w:rPr>
          <w:rFonts w:ascii="Gotham" w:hAnsi="Gotham"/>
          <w:color w:val="343434"/>
          <w:sz w:val="20"/>
          <w:szCs w:val="20"/>
        </w:rPr>
        <w:t xml:space="preserve">para </w:t>
      </w:r>
      <w:r w:rsidRPr="009315F1">
        <w:rPr>
          <w:rFonts w:ascii="Gotham" w:hAnsi="Gotham"/>
          <w:color w:val="2F2F2F"/>
          <w:sz w:val="20"/>
          <w:szCs w:val="20"/>
        </w:rPr>
        <w:t>sustentar</w:t>
      </w:r>
      <w:r w:rsidRPr="009315F1">
        <w:rPr>
          <w:rFonts w:ascii="Gotham" w:hAnsi="Gotham"/>
          <w:color w:val="2F2F2F"/>
          <w:spacing w:val="40"/>
          <w:sz w:val="20"/>
          <w:szCs w:val="20"/>
        </w:rPr>
        <w:t xml:space="preserve"> </w:t>
      </w:r>
      <w:r w:rsidRPr="009315F1">
        <w:rPr>
          <w:rFonts w:ascii="Gotham" w:hAnsi="Gotham"/>
          <w:color w:val="282828"/>
          <w:sz w:val="20"/>
          <w:szCs w:val="20"/>
        </w:rPr>
        <w:t>debidamente</w:t>
      </w:r>
      <w:r w:rsidRPr="009315F1">
        <w:rPr>
          <w:rFonts w:ascii="Gotham" w:hAnsi="Gotham"/>
          <w:color w:val="282828"/>
          <w:spacing w:val="40"/>
          <w:sz w:val="20"/>
          <w:szCs w:val="20"/>
        </w:rPr>
        <w:t xml:space="preserve"> </w:t>
      </w:r>
      <w:r w:rsidRPr="009315F1">
        <w:rPr>
          <w:rFonts w:ascii="Gotham" w:hAnsi="Gotham"/>
          <w:color w:val="1A1A1A"/>
          <w:sz w:val="20"/>
          <w:szCs w:val="20"/>
        </w:rPr>
        <w:t>las</w:t>
      </w:r>
      <w:r w:rsidRPr="009315F1">
        <w:rPr>
          <w:rFonts w:ascii="Gotham" w:hAnsi="Gotham"/>
          <w:color w:val="1A1A1A"/>
          <w:spacing w:val="40"/>
          <w:sz w:val="20"/>
          <w:szCs w:val="20"/>
        </w:rPr>
        <w:t xml:space="preserve"> </w:t>
      </w:r>
      <w:r w:rsidRPr="009315F1">
        <w:rPr>
          <w:rFonts w:ascii="Gotham" w:hAnsi="Gotham"/>
          <w:color w:val="2A2A2A"/>
          <w:sz w:val="20"/>
          <w:szCs w:val="20"/>
        </w:rPr>
        <w:t>modificaciones</w:t>
      </w:r>
      <w:r w:rsidRPr="009315F1">
        <w:rPr>
          <w:rFonts w:ascii="Gotham" w:hAnsi="Gotham"/>
          <w:color w:val="2A2A2A"/>
          <w:spacing w:val="40"/>
          <w:sz w:val="20"/>
          <w:szCs w:val="20"/>
        </w:rPr>
        <w:t xml:space="preserve"> </w:t>
      </w:r>
      <w:r w:rsidRPr="009315F1">
        <w:rPr>
          <w:rFonts w:ascii="Gotham" w:hAnsi="Gotham"/>
          <w:color w:val="626262"/>
          <w:sz w:val="20"/>
          <w:szCs w:val="20"/>
        </w:rPr>
        <w:t>y</w:t>
      </w:r>
      <w:r w:rsidRPr="009315F1">
        <w:rPr>
          <w:rFonts w:ascii="Gotham" w:hAnsi="Gotham"/>
          <w:color w:val="626262"/>
          <w:spacing w:val="40"/>
          <w:sz w:val="20"/>
          <w:szCs w:val="20"/>
        </w:rPr>
        <w:t xml:space="preserve"> </w:t>
      </w:r>
      <w:r w:rsidRPr="009315F1">
        <w:rPr>
          <w:rFonts w:ascii="Gotham" w:hAnsi="Gotham"/>
          <w:color w:val="313131"/>
          <w:sz w:val="20"/>
          <w:szCs w:val="20"/>
        </w:rPr>
        <w:t>ajustes</w:t>
      </w:r>
      <w:r w:rsidRPr="009315F1">
        <w:rPr>
          <w:rFonts w:ascii="Gotham" w:hAnsi="Gotham"/>
          <w:color w:val="313131"/>
          <w:spacing w:val="40"/>
          <w:sz w:val="20"/>
          <w:szCs w:val="20"/>
        </w:rPr>
        <w:t xml:space="preserve"> </w:t>
      </w:r>
      <w:r w:rsidRPr="009315F1">
        <w:rPr>
          <w:rFonts w:ascii="Gotham" w:hAnsi="Gotham"/>
          <w:color w:val="696969"/>
          <w:sz w:val="20"/>
          <w:szCs w:val="20"/>
        </w:rPr>
        <w:t>a</w:t>
      </w:r>
      <w:r w:rsidRPr="009315F1">
        <w:rPr>
          <w:rFonts w:ascii="Gotham" w:hAnsi="Gotham"/>
          <w:color w:val="696969"/>
          <w:spacing w:val="40"/>
          <w:sz w:val="20"/>
          <w:szCs w:val="20"/>
        </w:rPr>
        <w:t xml:space="preserve"> </w:t>
      </w:r>
      <w:r w:rsidRPr="009315F1">
        <w:rPr>
          <w:rFonts w:ascii="Gotham" w:hAnsi="Gotham"/>
          <w:color w:val="3D3D3D"/>
          <w:sz w:val="20"/>
          <w:szCs w:val="20"/>
        </w:rPr>
        <w:t>la</w:t>
      </w:r>
      <w:r w:rsidRPr="009315F1">
        <w:rPr>
          <w:rFonts w:ascii="Gotham" w:hAnsi="Gotham"/>
          <w:color w:val="3D3D3D"/>
          <w:spacing w:val="40"/>
          <w:sz w:val="20"/>
          <w:szCs w:val="20"/>
        </w:rPr>
        <w:t xml:space="preserve"> </w:t>
      </w:r>
      <w:r w:rsidRPr="009315F1">
        <w:rPr>
          <w:rFonts w:ascii="Gotham" w:hAnsi="Gotham"/>
          <w:color w:val="313131"/>
          <w:sz w:val="20"/>
          <w:szCs w:val="20"/>
        </w:rPr>
        <w:t>plantilla</w:t>
      </w:r>
      <w:r w:rsidRPr="009315F1">
        <w:rPr>
          <w:rFonts w:ascii="Gotham" w:hAnsi="Gotham"/>
          <w:color w:val="313131"/>
          <w:spacing w:val="40"/>
          <w:sz w:val="20"/>
          <w:szCs w:val="20"/>
        </w:rPr>
        <w:t xml:space="preserve"> </w:t>
      </w:r>
      <w:r w:rsidRPr="009315F1">
        <w:rPr>
          <w:rFonts w:ascii="Gotham" w:hAnsi="Gotham"/>
          <w:color w:val="3D3D3D"/>
          <w:sz w:val="20"/>
          <w:szCs w:val="20"/>
        </w:rPr>
        <w:t>de</w:t>
      </w:r>
      <w:r w:rsidRPr="009315F1">
        <w:rPr>
          <w:rFonts w:ascii="Gotham" w:hAnsi="Gotham"/>
          <w:color w:val="3D3D3D"/>
          <w:spacing w:val="40"/>
          <w:sz w:val="20"/>
          <w:szCs w:val="20"/>
        </w:rPr>
        <w:t xml:space="preserve"> </w:t>
      </w:r>
      <w:r w:rsidRPr="009315F1">
        <w:rPr>
          <w:rFonts w:ascii="Gotham" w:hAnsi="Gotham"/>
          <w:color w:val="2D2D2D"/>
          <w:sz w:val="20"/>
          <w:szCs w:val="20"/>
        </w:rPr>
        <w:t>personal</w:t>
      </w:r>
      <w:r w:rsidRPr="009315F1">
        <w:rPr>
          <w:rFonts w:ascii="Gotham" w:hAnsi="Gotham"/>
          <w:color w:val="2D2D2D"/>
          <w:spacing w:val="40"/>
          <w:sz w:val="20"/>
          <w:szCs w:val="20"/>
        </w:rPr>
        <w:t xml:space="preserve"> </w:t>
      </w:r>
      <w:r w:rsidRPr="009315F1">
        <w:rPr>
          <w:rFonts w:ascii="Gotham" w:hAnsi="Gotham"/>
          <w:color w:val="383838"/>
          <w:sz w:val="20"/>
          <w:szCs w:val="20"/>
        </w:rPr>
        <w:t xml:space="preserve">del </w:t>
      </w:r>
      <w:r w:rsidRPr="009315F1">
        <w:rPr>
          <w:rFonts w:ascii="Gotham" w:hAnsi="Gotham"/>
          <w:color w:val="242424"/>
          <w:sz w:val="20"/>
          <w:szCs w:val="20"/>
        </w:rPr>
        <w:t>ejercicio</w:t>
      </w:r>
      <w:r w:rsidRPr="009315F1">
        <w:rPr>
          <w:rFonts w:ascii="Gotham" w:hAnsi="Gotham"/>
          <w:color w:val="242424"/>
          <w:spacing w:val="40"/>
          <w:sz w:val="20"/>
          <w:szCs w:val="20"/>
        </w:rPr>
        <w:t xml:space="preserve"> </w:t>
      </w:r>
      <w:r w:rsidRPr="009315F1">
        <w:rPr>
          <w:rFonts w:ascii="Gotham" w:hAnsi="Gotham"/>
          <w:sz w:val="20"/>
          <w:szCs w:val="20"/>
        </w:rPr>
        <w:t xml:space="preserve">2024, </w:t>
      </w:r>
      <w:r w:rsidRPr="009315F1">
        <w:rPr>
          <w:rFonts w:ascii="Gotham" w:hAnsi="Gotham"/>
          <w:color w:val="2A2A2A"/>
          <w:sz w:val="20"/>
          <w:szCs w:val="20"/>
        </w:rPr>
        <w:t xml:space="preserve">en </w:t>
      </w:r>
      <w:r w:rsidRPr="009315F1">
        <w:rPr>
          <w:rFonts w:ascii="Gotham" w:hAnsi="Gotham"/>
          <w:color w:val="333333"/>
          <w:sz w:val="20"/>
          <w:szCs w:val="20"/>
        </w:rPr>
        <w:t xml:space="preserve">los </w:t>
      </w:r>
      <w:r w:rsidRPr="009315F1">
        <w:rPr>
          <w:rFonts w:ascii="Gotham" w:hAnsi="Gotham"/>
          <w:color w:val="2D2D2D"/>
          <w:sz w:val="20"/>
          <w:szCs w:val="20"/>
        </w:rPr>
        <w:t xml:space="preserve">términos </w:t>
      </w:r>
      <w:r w:rsidRPr="009315F1">
        <w:rPr>
          <w:rFonts w:ascii="Gotham" w:hAnsi="Gotham"/>
          <w:color w:val="3F3F3F"/>
          <w:sz w:val="20"/>
          <w:szCs w:val="20"/>
        </w:rPr>
        <w:t xml:space="preserve">en </w:t>
      </w:r>
      <w:r w:rsidRPr="009315F1">
        <w:rPr>
          <w:rFonts w:ascii="Gotham" w:hAnsi="Gotham"/>
          <w:color w:val="212121"/>
          <w:sz w:val="20"/>
          <w:szCs w:val="20"/>
        </w:rPr>
        <w:t xml:space="preserve">que </w:t>
      </w:r>
      <w:r w:rsidRPr="009315F1">
        <w:rPr>
          <w:rFonts w:ascii="Gotham" w:hAnsi="Gotham"/>
          <w:color w:val="4F4F4F"/>
          <w:sz w:val="20"/>
          <w:szCs w:val="20"/>
        </w:rPr>
        <w:t xml:space="preserve">se </w:t>
      </w:r>
      <w:r w:rsidRPr="009315F1">
        <w:rPr>
          <w:rFonts w:ascii="Gotham" w:hAnsi="Gotham"/>
          <w:color w:val="313131"/>
          <w:sz w:val="20"/>
          <w:szCs w:val="20"/>
        </w:rPr>
        <w:t xml:space="preserve">adjunta </w:t>
      </w:r>
      <w:r w:rsidRPr="009315F1">
        <w:rPr>
          <w:rFonts w:ascii="Gotham" w:hAnsi="Gotham"/>
          <w:color w:val="464646"/>
          <w:sz w:val="20"/>
          <w:szCs w:val="20"/>
        </w:rPr>
        <w:t xml:space="preserve">a </w:t>
      </w:r>
      <w:r w:rsidRPr="009315F1">
        <w:rPr>
          <w:rFonts w:ascii="Gotham" w:hAnsi="Gotham"/>
          <w:color w:val="1F1F1F"/>
          <w:sz w:val="20"/>
          <w:szCs w:val="20"/>
        </w:rPr>
        <w:t xml:space="preserve">la </w:t>
      </w:r>
      <w:r w:rsidRPr="009315F1">
        <w:rPr>
          <w:rFonts w:ascii="Gotham" w:hAnsi="Gotham"/>
          <w:color w:val="131313"/>
          <w:sz w:val="20"/>
          <w:szCs w:val="20"/>
        </w:rPr>
        <w:t xml:space="preserve">presente, </w:t>
      </w:r>
      <w:r w:rsidRPr="009315F1">
        <w:rPr>
          <w:rFonts w:ascii="Gotham" w:hAnsi="Gotham"/>
          <w:color w:val="313131"/>
          <w:sz w:val="20"/>
          <w:szCs w:val="20"/>
        </w:rPr>
        <w:t xml:space="preserve">que </w:t>
      </w:r>
      <w:r w:rsidRPr="009315F1">
        <w:rPr>
          <w:rFonts w:ascii="Gotham" w:hAnsi="Gotham"/>
          <w:color w:val="333333"/>
          <w:sz w:val="20"/>
          <w:szCs w:val="20"/>
        </w:rPr>
        <w:t xml:space="preserve">no </w:t>
      </w:r>
      <w:r w:rsidRPr="009315F1">
        <w:rPr>
          <w:rFonts w:ascii="Gotham" w:hAnsi="Gotham"/>
          <w:color w:val="363636"/>
          <w:sz w:val="20"/>
          <w:szCs w:val="20"/>
        </w:rPr>
        <w:t xml:space="preserve">obstante </w:t>
      </w:r>
      <w:r w:rsidRPr="009315F1">
        <w:rPr>
          <w:rFonts w:ascii="Gotham" w:hAnsi="Gotham"/>
          <w:color w:val="3B3B3B"/>
          <w:sz w:val="20"/>
          <w:szCs w:val="20"/>
        </w:rPr>
        <w:t xml:space="preserve">la </w:t>
      </w:r>
      <w:r w:rsidRPr="009315F1">
        <w:rPr>
          <w:rFonts w:ascii="Gotham" w:hAnsi="Gotham"/>
          <w:color w:val="161616"/>
          <w:sz w:val="20"/>
          <w:szCs w:val="20"/>
        </w:rPr>
        <w:t xml:space="preserve">situación </w:t>
      </w:r>
      <w:r w:rsidRPr="009315F1">
        <w:rPr>
          <w:rFonts w:ascii="Gotham" w:hAnsi="Gotham"/>
          <w:color w:val="1D1D1D"/>
          <w:sz w:val="20"/>
          <w:szCs w:val="20"/>
        </w:rPr>
        <w:t xml:space="preserve">financiera </w:t>
      </w:r>
      <w:r w:rsidRPr="009315F1">
        <w:rPr>
          <w:rFonts w:ascii="Gotham" w:hAnsi="Gotham"/>
          <w:color w:val="2D2D2D"/>
          <w:sz w:val="20"/>
          <w:szCs w:val="20"/>
        </w:rPr>
        <w:t xml:space="preserve">que </w:t>
      </w:r>
      <w:r w:rsidRPr="009315F1">
        <w:rPr>
          <w:rFonts w:ascii="Gotham" w:hAnsi="Gotham"/>
          <w:color w:val="282828"/>
          <w:sz w:val="20"/>
          <w:szCs w:val="20"/>
        </w:rPr>
        <w:t xml:space="preserve">atraviesa </w:t>
      </w:r>
      <w:r w:rsidRPr="009315F1">
        <w:rPr>
          <w:rFonts w:ascii="Gotham" w:hAnsi="Gotham"/>
          <w:color w:val="424242"/>
          <w:sz w:val="20"/>
          <w:szCs w:val="20"/>
        </w:rPr>
        <w:t xml:space="preserve">este </w:t>
      </w:r>
      <w:r w:rsidRPr="009315F1">
        <w:rPr>
          <w:rFonts w:ascii="Gotham" w:hAnsi="Gotham"/>
          <w:sz w:val="20"/>
          <w:szCs w:val="20"/>
        </w:rPr>
        <w:t>Ayuntamiento,</w:t>
      </w:r>
      <w:r w:rsidRPr="009315F1">
        <w:rPr>
          <w:rFonts w:ascii="Gotham" w:hAnsi="Gotham"/>
          <w:spacing w:val="40"/>
          <w:sz w:val="20"/>
          <w:szCs w:val="20"/>
        </w:rPr>
        <w:t xml:space="preserve"> </w:t>
      </w:r>
      <w:r w:rsidRPr="009315F1">
        <w:rPr>
          <w:rFonts w:ascii="Gotham" w:hAnsi="Gotham"/>
          <w:color w:val="414141"/>
          <w:sz w:val="20"/>
          <w:szCs w:val="20"/>
        </w:rPr>
        <w:t xml:space="preserve">se </w:t>
      </w:r>
      <w:r w:rsidRPr="009315F1">
        <w:rPr>
          <w:rFonts w:ascii="Gotham" w:hAnsi="Gotham"/>
          <w:color w:val="2A2A2A"/>
          <w:sz w:val="20"/>
          <w:szCs w:val="20"/>
        </w:rPr>
        <w:t xml:space="preserve">ha </w:t>
      </w:r>
      <w:r w:rsidRPr="009315F1">
        <w:rPr>
          <w:rFonts w:ascii="Gotham" w:hAnsi="Gotham"/>
          <w:color w:val="232323"/>
          <w:sz w:val="20"/>
          <w:szCs w:val="20"/>
        </w:rPr>
        <w:t xml:space="preserve">procurado </w:t>
      </w:r>
      <w:r w:rsidRPr="009315F1">
        <w:rPr>
          <w:rFonts w:ascii="Gotham" w:hAnsi="Gotham"/>
          <w:color w:val="2D2D2D"/>
          <w:sz w:val="20"/>
          <w:szCs w:val="20"/>
        </w:rPr>
        <w:t xml:space="preserve">que </w:t>
      </w:r>
      <w:r w:rsidRPr="009315F1">
        <w:rPr>
          <w:rFonts w:ascii="Gotham" w:hAnsi="Gotham"/>
          <w:color w:val="3A3A3A"/>
          <w:sz w:val="20"/>
          <w:szCs w:val="20"/>
        </w:rPr>
        <w:t>los</w:t>
      </w:r>
      <w:r w:rsidRPr="009315F1">
        <w:rPr>
          <w:rFonts w:ascii="Gotham" w:hAnsi="Gotham"/>
          <w:color w:val="3A3A3A"/>
          <w:spacing w:val="40"/>
          <w:sz w:val="20"/>
          <w:szCs w:val="20"/>
        </w:rPr>
        <w:t xml:space="preserve"> </w:t>
      </w:r>
      <w:r w:rsidRPr="009315F1">
        <w:rPr>
          <w:rFonts w:ascii="Gotham" w:hAnsi="Gotham"/>
          <w:color w:val="111111"/>
          <w:sz w:val="20"/>
          <w:szCs w:val="20"/>
        </w:rPr>
        <w:t>trabajadores</w:t>
      </w:r>
      <w:r w:rsidRPr="009315F1">
        <w:rPr>
          <w:rFonts w:ascii="Gotham" w:hAnsi="Gotham"/>
          <w:color w:val="111111"/>
          <w:spacing w:val="40"/>
          <w:sz w:val="20"/>
          <w:szCs w:val="20"/>
        </w:rPr>
        <w:t xml:space="preserve"> </w:t>
      </w:r>
      <w:r w:rsidRPr="009315F1">
        <w:rPr>
          <w:rFonts w:ascii="Gotham" w:hAnsi="Gotham"/>
          <w:color w:val="232323"/>
          <w:sz w:val="20"/>
          <w:szCs w:val="20"/>
        </w:rPr>
        <w:t>de</w:t>
      </w:r>
      <w:r w:rsidRPr="009315F1">
        <w:rPr>
          <w:rFonts w:ascii="Gotham" w:hAnsi="Gotham"/>
          <w:color w:val="232323"/>
          <w:spacing w:val="40"/>
          <w:sz w:val="20"/>
          <w:szCs w:val="20"/>
        </w:rPr>
        <w:t xml:space="preserve"> </w:t>
      </w:r>
      <w:r w:rsidRPr="009315F1">
        <w:rPr>
          <w:rFonts w:ascii="Gotham" w:hAnsi="Gotham"/>
          <w:color w:val="282828"/>
          <w:sz w:val="20"/>
          <w:szCs w:val="20"/>
        </w:rPr>
        <w:t>base,</w:t>
      </w:r>
      <w:r w:rsidRPr="009315F1">
        <w:rPr>
          <w:rFonts w:ascii="Gotham" w:hAnsi="Gotham"/>
          <w:color w:val="282828"/>
          <w:spacing w:val="40"/>
          <w:sz w:val="20"/>
          <w:szCs w:val="20"/>
        </w:rPr>
        <w:t xml:space="preserve"> </w:t>
      </w:r>
      <w:r w:rsidRPr="009315F1">
        <w:rPr>
          <w:rFonts w:ascii="Gotham" w:hAnsi="Gotham"/>
          <w:color w:val="2B2B2B"/>
          <w:sz w:val="20"/>
          <w:szCs w:val="20"/>
        </w:rPr>
        <w:t>que</w:t>
      </w:r>
      <w:r w:rsidRPr="009315F1">
        <w:rPr>
          <w:rFonts w:ascii="Gotham" w:hAnsi="Gotham"/>
          <w:color w:val="2B2B2B"/>
          <w:spacing w:val="40"/>
          <w:sz w:val="20"/>
          <w:szCs w:val="20"/>
        </w:rPr>
        <w:t xml:space="preserve"> </w:t>
      </w:r>
      <w:r w:rsidRPr="009315F1">
        <w:rPr>
          <w:rFonts w:ascii="Gotham" w:hAnsi="Gotham"/>
          <w:color w:val="2F2F2F"/>
          <w:sz w:val="20"/>
          <w:szCs w:val="20"/>
        </w:rPr>
        <w:t>son</w:t>
      </w:r>
      <w:r w:rsidRPr="009315F1">
        <w:rPr>
          <w:rFonts w:ascii="Gotham" w:hAnsi="Gotham"/>
          <w:color w:val="2F2F2F"/>
          <w:spacing w:val="40"/>
          <w:sz w:val="20"/>
          <w:szCs w:val="20"/>
        </w:rPr>
        <w:t xml:space="preserve"> </w:t>
      </w:r>
      <w:r w:rsidRPr="009315F1">
        <w:rPr>
          <w:rFonts w:ascii="Gotham" w:hAnsi="Gotham"/>
          <w:color w:val="212121"/>
          <w:sz w:val="20"/>
          <w:szCs w:val="20"/>
        </w:rPr>
        <w:t>quienes</w:t>
      </w:r>
      <w:r w:rsidRPr="009315F1">
        <w:rPr>
          <w:rFonts w:ascii="Gotham" w:hAnsi="Gotham"/>
          <w:color w:val="212121"/>
          <w:spacing w:val="40"/>
          <w:sz w:val="20"/>
          <w:szCs w:val="20"/>
        </w:rPr>
        <w:t xml:space="preserve"> </w:t>
      </w:r>
      <w:r w:rsidRPr="009315F1">
        <w:rPr>
          <w:rFonts w:ascii="Gotham" w:hAnsi="Gotham"/>
          <w:color w:val="1C1C1C"/>
          <w:sz w:val="20"/>
          <w:szCs w:val="20"/>
        </w:rPr>
        <w:t>integran</w:t>
      </w:r>
      <w:r w:rsidRPr="009315F1">
        <w:rPr>
          <w:rFonts w:ascii="Gotham" w:hAnsi="Gotham"/>
          <w:color w:val="1C1C1C"/>
          <w:spacing w:val="40"/>
          <w:sz w:val="20"/>
          <w:szCs w:val="20"/>
        </w:rPr>
        <w:t xml:space="preserve"> </w:t>
      </w:r>
      <w:r w:rsidRPr="009315F1">
        <w:rPr>
          <w:rFonts w:ascii="Gotham" w:hAnsi="Gotham"/>
          <w:color w:val="242424"/>
          <w:sz w:val="20"/>
          <w:szCs w:val="20"/>
        </w:rPr>
        <w:t>la</w:t>
      </w:r>
      <w:r w:rsidRPr="009315F1">
        <w:rPr>
          <w:rFonts w:ascii="Gotham" w:hAnsi="Gotham"/>
          <w:color w:val="242424"/>
          <w:spacing w:val="40"/>
          <w:sz w:val="20"/>
          <w:szCs w:val="20"/>
        </w:rPr>
        <w:t xml:space="preserve"> </w:t>
      </w:r>
      <w:r w:rsidRPr="009315F1">
        <w:rPr>
          <w:rFonts w:ascii="Gotham" w:hAnsi="Gotham"/>
          <w:color w:val="1A1A1A"/>
          <w:sz w:val="20"/>
          <w:szCs w:val="20"/>
        </w:rPr>
        <w:t>maquinaria</w:t>
      </w:r>
      <w:r w:rsidRPr="009315F1">
        <w:rPr>
          <w:rFonts w:ascii="Gotham" w:hAnsi="Gotham"/>
          <w:color w:val="1A1A1A"/>
          <w:spacing w:val="40"/>
          <w:sz w:val="20"/>
          <w:szCs w:val="20"/>
        </w:rPr>
        <w:t xml:space="preserve"> </w:t>
      </w:r>
      <w:r w:rsidRPr="009315F1">
        <w:rPr>
          <w:rFonts w:ascii="Gotham" w:hAnsi="Gotham"/>
          <w:color w:val="4B4B4B"/>
          <w:sz w:val="20"/>
          <w:szCs w:val="20"/>
        </w:rPr>
        <w:t>de</w:t>
      </w:r>
      <w:r w:rsidRPr="009315F1">
        <w:rPr>
          <w:rFonts w:ascii="Gotham" w:hAnsi="Gotham"/>
          <w:color w:val="4B4B4B"/>
          <w:spacing w:val="40"/>
          <w:sz w:val="20"/>
          <w:szCs w:val="20"/>
        </w:rPr>
        <w:t xml:space="preserve"> </w:t>
      </w:r>
      <w:r w:rsidRPr="009315F1">
        <w:rPr>
          <w:rFonts w:ascii="Gotham" w:hAnsi="Gotham"/>
          <w:color w:val="232323"/>
          <w:sz w:val="20"/>
          <w:szCs w:val="20"/>
        </w:rPr>
        <w:t>operación</w:t>
      </w:r>
      <w:r w:rsidRPr="009315F1">
        <w:rPr>
          <w:rFonts w:ascii="Gotham" w:hAnsi="Gotham"/>
          <w:color w:val="232323"/>
          <w:spacing w:val="40"/>
          <w:sz w:val="20"/>
          <w:szCs w:val="20"/>
        </w:rPr>
        <w:t xml:space="preserve"> </w:t>
      </w:r>
      <w:r w:rsidRPr="009315F1">
        <w:rPr>
          <w:rFonts w:ascii="Gotham" w:hAnsi="Gotham"/>
          <w:color w:val="525252"/>
          <w:sz w:val="20"/>
          <w:szCs w:val="20"/>
        </w:rPr>
        <w:t xml:space="preserve">y </w:t>
      </w:r>
      <w:r w:rsidRPr="009315F1">
        <w:rPr>
          <w:rFonts w:ascii="Gotham" w:hAnsi="Gotham"/>
          <w:color w:val="0E0E0E"/>
          <w:sz w:val="20"/>
          <w:szCs w:val="20"/>
        </w:rPr>
        <w:t xml:space="preserve">prestación </w:t>
      </w:r>
      <w:r w:rsidRPr="009315F1">
        <w:rPr>
          <w:rFonts w:ascii="Gotham" w:hAnsi="Gotham"/>
          <w:color w:val="343434"/>
          <w:sz w:val="20"/>
          <w:szCs w:val="20"/>
        </w:rPr>
        <w:t xml:space="preserve">de </w:t>
      </w:r>
      <w:r w:rsidRPr="009315F1">
        <w:rPr>
          <w:rFonts w:ascii="Gotham" w:hAnsi="Gotham"/>
          <w:sz w:val="20"/>
          <w:szCs w:val="20"/>
        </w:rPr>
        <w:t xml:space="preserve">servicios </w:t>
      </w:r>
      <w:r w:rsidRPr="009315F1">
        <w:rPr>
          <w:rFonts w:ascii="Gotham" w:hAnsi="Gotham"/>
          <w:color w:val="3F3F3F"/>
          <w:sz w:val="20"/>
          <w:szCs w:val="20"/>
        </w:rPr>
        <w:t xml:space="preserve">de </w:t>
      </w:r>
      <w:r w:rsidRPr="009315F1">
        <w:rPr>
          <w:rFonts w:ascii="Gotham" w:hAnsi="Gotham"/>
          <w:color w:val="383838"/>
          <w:sz w:val="20"/>
          <w:szCs w:val="20"/>
        </w:rPr>
        <w:t xml:space="preserve">este </w:t>
      </w:r>
      <w:r w:rsidRPr="009315F1">
        <w:rPr>
          <w:rFonts w:ascii="Gotham" w:hAnsi="Gotham"/>
          <w:sz w:val="20"/>
          <w:szCs w:val="20"/>
        </w:rPr>
        <w:t xml:space="preserve">Ayuntamiento, </w:t>
      </w:r>
      <w:r w:rsidRPr="009315F1">
        <w:rPr>
          <w:rFonts w:ascii="Gotham" w:hAnsi="Gotham"/>
          <w:color w:val="181818"/>
          <w:sz w:val="20"/>
          <w:szCs w:val="20"/>
        </w:rPr>
        <w:t xml:space="preserve">cuenten </w:t>
      </w:r>
      <w:r w:rsidRPr="009315F1">
        <w:rPr>
          <w:rFonts w:ascii="Gotham" w:hAnsi="Gotham"/>
          <w:color w:val="2A2A2A"/>
          <w:sz w:val="20"/>
          <w:szCs w:val="20"/>
        </w:rPr>
        <w:t xml:space="preserve">con </w:t>
      </w:r>
      <w:r w:rsidRPr="009315F1">
        <w:rPr>
          <w:rFonts w:ascii="Gotham" w:hAnsi="Gotham"/>
          <w:color w:val="1C1C1C"/>
          <w:sz w:val="20"/>
          <w:szCs w:val="20"/>
        </w:rPr>
        <w:t xml:space="preserve">este </w:t>
      </w:r>
      <w:r w:rsidRPr="009315F1">
        <w:rPr>
          <w:rFonts w:ascii="Gotham" w:hAnsi="Gotham"/>
          <w:color w:val="1D1D1D"/>
          <w:sz w:val="20"/>
          <w:szCs w:val="20"/>
        </w:rPr>
        <w:t xml:space="preserve">incremento </w:t>
      </w:r>
      <w:r w:rsidRPr="009315F1">
        <w:rPr>
          <w:rFonts w:ascii="Gotham" w:hAnsi="Gotham"/>
          <w:sz w:val="20"/>
          <w:szCs w:val="20"/>
        </w:rPr>
        <w:t xml:space="preserve">salarial </w:t>
      </w:r>
      <w:r w:rsidRPr="009315F1">
        <w:rPr>
          <w:rFonts w:ascii="Gotham" w:hAnsi="Gotham"/>
          <w:color w:val="444444"/>
          <w:sz w:val="20"/>
          <w:szCs w:val="20"/>
        </w:rPr>
        <w:t xml:space="preserve">de </w:t>
      </w:r>
      <w:r w:rsidRPr="009315F1">
        <w:rPr>
          <w:rFonts w:ascii="Gotham" w:hAnsi="Gotham"/>
          <w:color w:val="151515"/>
          <w:sz w:val="20"/>
          <w:szCs w:val="20"/>
        </w:rPr>
        <w:t>manera</w:t>
      </w:r>
      <w:r w:rsidRPr="009315F1">
        <w:rPr>
          <w:rFonts w:ascii="Gotham" w:hAnsi="Gotham"/>
          <w:color w:val="151515"/>
          <w:spacing w:val="40"/>
          <w:sz w:val="20"/>
          <w:szCs w:val="20"/>
        </w:rPr>
        <w:t xml:space="preserve"> </w:t>
      </w:r>
      <w:r w:rsidRPr="009315F1">
        <w:rPr>
          <w:rFonts w:ascii="Gotham" w:hAnsi="Gotham"/>
          <w:color w:val="161616"/>
          <w:sz w:val="20"/>
          <w:szCs w:val="20"/>
        </w:rPr>
        <w:t xml:space="preserve">anual </w:t>
      </w:r>
      <w:r w:rsidRPr="009315F1">
        <w:rPr>
          <w:rFonts w:ascii="Gotham" w:hAnsi="Gotham"/>
          <w:color w:val="0E0E0E"/>
          <w:sz w:val="20"/>
          <w:szCs w:val="20"/>
        </w:rPr>
        <w:t xml:space="preserve">para </w:t>
      </w:r>
      <w:r w:rsidRPr="009315F1">
        <w:rPr>
          <w:rFonts w:ascii="Gotham" w:hAnsi="Gotham"/>
          <w:color w:val="1A1A1A"/>
          <w:sz w:val="20"/>
          <w:szCs w:val="20"/>
        </w:rPr>
        <w:t xml:space="preserve">que </w:t>
      </w:r>
      <w:r w:rsidRPr="009315F1">
        <w:rPr>
          <w:rFonts w:ascii="Gotham" w:hAnsi="Gotham"/>
          <w:color w:val="3B3B3B"/>
          <w:sz w:val="20"/>
          <w:szCs w:val="20"/>
        </w:rPr>
        <w:t xml:space="preserve">su </w:t>
      </w:r>
      <w:r w:rsidRPr="009315F1">
        <w:rPr>
          <w:rFonts w:ascii="Gotham" w:hAnsi="Gotham"/>
          <w:color w:val="232323"/>
          <w:sz w:val="20"/>
          <w:szCs w:val="20"/>
        </w:rPr>
        <w:t xml:space="preserve">salario </w:t>
      </w:r>
      <w:r w:rsidRPr="009315F1">
        <w:rPr>
          <w:rFonts w:ascii="Gotham" w:hAnsi="Gotham"/>
          <w:color w:val="212121"/>
          <w:sz w:val="20"/>
          <w:szCs w:val="20"/>
        </w:rPr>
        <w:t xml:space="preserve">no </w:t>
      </w:r>
      <w:r w:rsidRPr="009315F1">
        <w:rPr>
          <w:rFonts w:ascii="Gotham" w:hAnsi="Gotham"/>
          <w:color w:val="3F3F3F"/>
          <w:sz w:val="20"/>
          <w:szCs w:val="20"/>
        </w:rPr>
        <w:t xml:space="preserve">se </w:t>
      </w:r>
      <w:r w:rsidRPr="009315F1">
        <w:rPr>
          <w:rFonts w:ascii="Gotham" w:hAnsi="Gotham"/>
          <w:color w:val="1F1F1F"/>
          <w:sz w:val="20"/>
          <w:szCs w:val="20"/>
        </w:rPr>
        <w:t>vea</w:t>
      </w:r>
      <w:r w:rsidRPr="009315F1">
        <w:rPr>
          <w:rFonts w:ascii="Gotham" w:hAnsi="Gotham"/>
          <w:color w:val="1F1F1F"/>
          <w:spacing w:val="40"/>
          <w:sz w:val="20"/>
          <w:szCs w:val="20"/>
        </w:rPr>
        <w:t xml:space="preserve"> </w:t>
      </w:r>
      <w:r w:rsidRPr="009315F1">
        <w:rPr>
          <w:rFonts w:ascii="Gotham" w:hAnsi="Gotham"/>
          <w:color w:val="111111"/>
          <w:sz w:val="20"/>
          <w:szCs w:val="20"/>
        </w:rPr>
        <w:t>disminuido</w:t>
      </w:r>
      <w:r w:rsidRPr="009315F1">
        <w:rPr>
          <w:rFonts w:ascii="Gotham" w:hAnsi="Gotham"/>
          <w:color w:val="111111"/>
          <w:spacing w:val="40"/>
          <w:sz w:val="20"/>
          <w:szCs w:val="20"/>
        </w:rPr>
        <w:t xml:space="preserve"> </w:t>
      </w:r>
      <w:r w:rsidRPr="009315F1">
        <w:rPr>
          <w:rFonts w:ascii="Gotham" w:hAnsi="Gotham"/>
          <w:color w:val="181818"/>
          <w:sz w:val="20"/>
          <w:szCs w:val="20"/>
        </w:rPr>
        <w:t xml:space="preserve">con </w:t>
      </w:r>
      <w:r w:rsidRPr="009315F1">
        <w:rPr>
          <w:rFonts w:ascii="Gotham" w:hAnsi="Gotham"/>
          <w:sz w:val="20"/>
          <w:szCs w:val="20"/>
        </w:rPr>
        <w:t>respecto</w:t>
      </w:r>
      <w:r w:rsidRPr="009315F1">
        <w:rPr>
          <w:rFonts w:ascii="Gotham" w:hAnsi="Gotham"/>
          <w:spacing w:val="40"/>
          <w:sz w:val="20"/>
          <w:szCs w:val="20"/>
        </w:rPr>
        <w:t xml:space="preserve"> </w:t>
      </w:r>
      <w:r w:rsidRPr="009315F1">
        <w:rPr>
          <w:rFonts w:ascii="Gotham" w:hAnsi="Gotham"/>
          <w:color w:val="0C0C0C"/>
          <w:sz w:val="20"/>
          <w:szCs w:val="20"/>
        </w:rPr>
        <w:t>incremento</w:t>
      </w:r>
      <w:r w:rsidRPr="009315F1">
        <w:rPr>
          <w:rFonts w:ascii="Gotham" w:hAnsi="Gotham"/>
          <w:color w:val="0C0C0C"/>
          <w:spacing w:val="40"/>
          <w:sz w:val="20"/>
          <w:szCs w:val="20"/>
        </w:rPr>
        <w:t xml:space="preserve"> </w:t>
      </w:r>
      <w:r w:rsidRPr="009315F1">
        <w:rPr>
          <w:rFonts w:ascii="Gotham" w:hAnsi="Gotham"/>
          <w:color w:val="383838"/>
          <w:sz w:val="20"/>
          <w:szCs w:val="20"/>
        </w:rPr>
        <w:t xml:space="preserve">de </w:t>
      </w:r>
      <w:r w:rsidRPr="009315F1">
        <w:rPr>
          <w:rFonts w:ascii="Gotham" w:hAnsi="Gotham"/>
          <w:color w:val="0C0C0C"/>
          <w:sz w:val="20"/>
          <w:szCs w:val="20"/>
        </w:rPr>
        <w:t>bienes</w:t>
      </w:r>
      <w:r w:rsidRPr="009315F1">
        <w:rPr>
          <w:rFonts w:ascii="Gotham" w:hAnsi="Gotham"/>
          <w:color w:val="0C0C0C"/>
          <w:spacing w:val="40"/>
          <w:sz w:val="20"/>
          <w:szCs w:val="20"/>
        </w:rPr>
        <w:t xml:space="preserve"> </w:t>
      </w:r>
      <w:r w:rsidRPr="009315F1">
        <w:rPr>
          <w:rFonts w:ascii="Gotham" w:hAnsi="Gotham"/>
          <w:color w:val="484848"/>
          <w:sz w:val="20"/>
          <w:szCs w:val="20"/>
        </w:rPr>
        <w:t>y</w:t>
      </w:r>
      <w:r w:rsidRPr="009315F1">
        <w:rPr>
          <w:rFonts w:ascii="Gotham" w:hAnsi="Gotham"/>
          <w:color w:val="484848"/>
          <w:spacing w:val="40"/>
          <w:sz w:val="20"/>
          <w:szCs w:val="20"/>
        </w:rPr>
        <w:t xml:space="preserve"> </w:t>
      </w:r>
      <w:r w:rsidRPr="009315F1">
        <w:rPr>
          <w:rFonts w:ascii="Gotham" w:hAnsi="Gotham"/>
          <w:color w:val="181818"/>
          <w:sz w:val="20"/>
          <w:szCs w:val="20"/>
        </w:rPr>
        <w:t>servicios</w:t>
      </w:r>
      <w:r w:rsidRPr="009315F1">
        <w:rPr>
          <w:rFonts w:ascii="Gotham" w:hAnsi="Gotham"/>
          <w:color w:val="181818"/>
          <w:spacing w:val="40"/>
          <w:sz w:val="20"/>
          <w:szCs w:val="20"/>
        </w:rPr>
        <w:t xml:space="preserve"> </w:t>
      </w:r>
      <w:r w:rsidRPr="009315F1">
        <w:rPr>
          <w:rFonts w:ascii="Gotham" w:hAnsi="Gotham"/>
          <w:color w:val="131313"/>
          <w:sz w:val="20"/>
          <w:szCs w:val="20"/>
        </w:rPr>
        <w:t>que</w:t>
      </w:r>
      <w:r w:rsidRPr="009315F1">
        <w:rPr>
          <w:rFonts w:ascii="Gotham" w:hAnsi="Gotham"/>
          <w:color w:val="131313"/>
          <w:spacing w:val="40"/>
          <w:sz w:val="20"/>
          <w:szCs w:val="20"/>
        </w:rPr>
        <w:t xml:space="preserve"> </w:t>
      </w:r>
      <w:r w:rsidRPr="009315F1">
        <w:rPr>
          <w:rFonts w:ascii="Gotham" w:hAnsi="Gotham"/>
          <w:color w:val="151515"/>
          <w:sz w:val="20"/>
          <w:szCs w:val="20"/>
        </w:rPr>
        <w:t>deben</w:t>
      </w:r>
      <w:r w:rsidRPr="009315F1">
        <w:rPr>
          <w:rFonts w:ascii="Gotham" w:hAnsi="Gotham"/>
          <w:color w:val="151515"/>
          <w:spacing w:val="40"/>
          <w:sz w:val="20"/>
          <w:szCs w:val="20"/>
        </w:rPr>
        <w:t xml:space="preserve"> </w:t>
      </w:r>
      <w:r w:rsidRPr="009315F1">
        <w:rPr>
          <w:rFonts w:ascii="Gotham" w:hAnsi="Gotham"/>
          <w:color w:val="080808"/>
          <w:sz w:val="20"/>
          <w:szCs w:val="20"/>
        </w:rPr>
        <w:t>solventar</w:t>
      </w:r>
      <w:r w:rsidRPr="009315F1">
        <w:rPr>
          <w:rFonts w:ascii="Gotham" w:hAnsi="Gotham"/>
          <w:color w:val="080808"/>
          <w:spacing w:val="40"/>
          <w:sz w:val="20"/>
          <w:szCs w:val="20"/>
        </w:rPr>
        <w:t xml:space="preserve"> </w:t>
      </w:r>
      <w:r w:rsidRPr="009315F1">
        <w:rPr>
          <w:rFonts w:ascii="Gotham" w:hAnsi="Gotham"/>
          <w:color w:val="131313"/>
          <w:sz w:val="20"/>
          <w:szCs w:val="20"/>
        </w:rPr>
        <w:t>para</w:t>
      </w:r>
      <w:r w:rsidRPr="009315F1">
        <w:rPr>
          <w:rFonts w:ascii="Gotham" w:hAnsi="Gotham"/>
          <w:color w:val="131313"/>
          <w:spacing w:val="40"/>
          <w:sz w:val="20"/>
          <w:szCs w:val="20"/>
        </w:rPr>
        <w:t xml:space="preserve"> </w:t>
      </w:r>
      <w:r w:rsidRPr="009315F1">
        <w:rPr>
          <w:rFonts w:ascii="Gotham" w:hAnsi="Gotham"/>
          <w:color w:val="151515"/>
          <w:sz w:val="20"/>
          <w:szCs w:val="20"/>
        </w:rPr>
        <w:t>satisfacer</w:t>
      </w:r>
      <w:r w:rsidRPr="009315F1">
        <w:rPr>
          <w:rFonts w:ascii="Gotham" w:hAnsi="Gotham"/>
          <w:color w:val="151515"/>
          <w:spacing w:val="40"/>
          <w:sz w:val="20"/>
          <w:szCs w:val="20"/>
        </w:rPr>
        <w:t xml:space="preserve"> </w:t>
      </w:r>
      <w:r w:rsidRPr="009315F1">
        <w:rPr>
          <w:rFonts w:ascii="Gotham" w:hAnsi="Gotham"/>
          <w:color w:val="212121"/>
          <w:sz w:val="20"/>
          <w:szCs w:val="20"/>
        </w:rPr>
        <w:t>las</w:t>
      </w:r>
      <w:r w:rsidRPr="009315F1">
        <w:rPr>
          <w:rFonts w:ascii="Gotham" w:hAnsi="Gotham"/>
          <w:color w:val="212121"/>
          <w:spacing w:val="40"/>
          <w:sz w:val="20"/>
          <w:szCs w:val="20"/>
        </w:rPr>
        <w:t xml:space="preserve"> </w:t>
      </w:r>
      <w:r w:rsidRPr="009315F1">
        <w:rPr>
          <w:rFonts w:ascii="Gotham" w:hAnsi="Gotham"/>
          <w:sz w:val="20"/>
          <w:szCs w:val="20"/>
        </w:rPr>
        <w:t>necesidades</w:t>
      </w:r>
      <w:r w:rsidRPr="009315F1">
        <w:rPr>
          <w:rFonts w:ascii="Gotham" w:hAnsi="Gotham"/>
          <w:spacing w:val="40"/>
          <w:sz w:val="20"/>
          <w:szCs w:val="20"/>
        </w:rPr>
        <w:t xml:space="preserve"> </w:t>
      </w:r>
      <w:r w:rsidRPr="009315F1">
        <w:rPr>
          <w:rFonts w:ascii="Gotham" w:hAnsi="Gotham"/>
          <w:color w:val="111111"/>
          <w:sz w:val="20"/>
          <w:szCs w:val="20"/>
        </w:rPr>
        <w:t>básicas</w:t>
      </w:r>
      <w:r w:rsidRPr="009315F1">
        <w:rPr>
          <w:rFonts w:ascii="Gotham" w:hAnsi="Gotham"/>
          <w:color w:val="111111"/>
          <w:spacing w:val="40"/>
          <w:sz w:val="20"/>
          <w:szCs w:val="20"/>
        </w:rPr>
        <w:t xml:space="preserve"> </w:t>
      </w:r>
      <w:r w:rsidRPr="009315F1">
        <w:rPr>
          <w:rFonts w:ascii="Gotham" w:hAnsi="Gotham"/>
          <w:color w:val="1C1C1C"/>
          <w:sz w:val="20"/>
          <w:szCs w:val="20"/>
        </w:rPr>
        <w:t xml:space="preserve">para </w:t>
      </w:r>
      <w:r w:rsidRPr="009315F1">
        <w:rPr>
          <w:rFonts w:ascii="Gotham" w:hAnsi="Gotham"/>
          <w:color w:val="3D3D3D"/>
          <w:sz w:val="20"/>
          <w:szCs w:val="20"/>
        </w:rPr>
        <w:t xml:space="preserve">sus </w:t>
      </w:r>
      <w:r w:rsidRPr="009315F1">
        <w:rPr>
          <w:rFonts w:ascii="Gotham" w:hAnsi="Gotham"/>
          <w:sz w:val="20"/>
          <w:szCs w:val="20"/>
        </w:rPr>
        <w:t>familias.</w:t>
      </w:r>
    </w:p>
    <w:p w14:paraId="3A4731FE" w14:textId="77777777" w:rsidR="00016FE1" w:rsidRPr="009315F1" w:rsidRDefault="00016FE1" w:rsidP="002B6227">
      <w:pPr>
        <w:pStyle w:val="Textoindependiente"/>
        <w:spacing w:after="0"/>
        <w:ind w:right="49"/>
        <w:rPr>
          <w:rFonts w:ascii="Gotham" w:hAnsi="Gotham"/>
          <w:sz w:val="20"/>
          <w:szCs w:val="20"/>
        </w:rPr>
      </w:pPr>
    </w:p>
    <w:p w14:paraId="3A4731FF" w14:textId="77777777" w:rsidR="00016FE1" w:rsidRPr="009315F1" w:rsidRDefault="00016FE1" w:rsidP="002B6227">
      <w:pPr>
        <w:ind w:right="49"/>
        <w:jc w:val="center"/>
        <w:rPr>
          <w:rFonts w:ascii="Gotham" w:hAnsi="Gotham"/>
          <w:sz w:val="20"/>
          <w:szCs w:val="20"/>
        </w:rPr>
      </w:pPr>
      <w:r w:rsidRPr="009315F1">
        <w:rPr>
          <w:rFonts w:ascii="Gotham" w:hAnsi="Gotham"/>
          <w:color w:val="2D2D2D"/>
          <w:spacing w:val="-2"/>
          <w:sz w:val="20"/>
          <w:szCs w:val="20"/>
        </w:rPr>
        <w:t>CONSIDERACIONES</w:t>
      </w:r>
    </w:p>
    <w:p w14:paraId="3A473200" w14:textId="77777777" w:rsidR="00016FE1" w:rsidRPr="009315F1" w:rsidRDefault="00016FE1" w:rsidP="002B6227">
      <w:pPr>
        <w:pStyle w:val="Textoindependiente"/>
        <w:spacing w:after="0"/>
        <w:ind w:right="49"/>
        <w:rPr>
          <w:rFonts w:ascii="Gotham" w:hAnsi="Gotham"/>
          <w:sz w:val="20"/>
          <w:szCs w:val="20"/>
        </w:rPr>
      </w:pPr>
    </w:p>
    <w:p w14:paraId="3A473201" w14:textId="77777777" w:rsidR="00016FE1" w:rsidRPr="009315F1" w:rsidRDefault="00016FE1" w:rsidP="002B6227">
      <w:pPr>
        <w:pStyle w:val="Textoindependiente"/>
        <w:spacing w:after="0"/>
        <w:ind w:left="567" w:hanging="567"/>
        <w:jc w:val="both"/>
        <w:rPr>
          <w:rFonts w:ascii="Gotham" w:hAnsi="Gotham"/>
          <w:sz w:val="20"/>
          <w:szCs w:val="20"/>
        </w:rPr>
      </w:pPr>
      <w:r w:rsidRPr="009315F1">
        <w:rPr>
          <w:rFonts w:ascii="Gotham" w:hAnsi="Gotham"/>
          <w:color w:val="232323"/>
          <w:sz w:val="20"/>
          <w:szCs w:val="20"/>
        </w:rPr>
        <w:t>I.-</w:t>
      </w:r>
      <w:r w:rsidRPr="009315F1">
        <w:rPr>
          <w:rFonts w:ascii="Gotham" w:hAnsi="Gotham"/>
          <w:color w:val="232323"/>
          <w:spacing w:val="40"/>
          <w:sz w:val="20"/>
          <w:szCs w:val="20"/>
        </w:rPr>
        <w:t xml:space="preserve"> </w:t>
      </w:r>
      <w:r>
        <w:rPr>
          <w:rFonts w:ascii="Gotham" w:hAnsi="Gotham"/>
          <w:color w:val="232323"/>
          <w:spacing w:val="40"/>
          <w:sz w:val="20"/>
          <w:szCs w:val="20"/>
        </w:rPr>
        <w:tab/>
      </w:r>
      <w:r w:rsidRPr="009315F1">
        <w:rPr>
          <w:rFonts w:ascii="Gotham" w:hAnsi="Gotham"/>
          <w:sz w:val="20"/>
          <w:szCs w:val="20"/>
        </w:rPr>
        <w:t xml:space="preserve">De conformidad en lo establecido en </w:t>
      </w:r>
      <w:r w:rsidRPr="009315F1">
        <w:rPr>
          <w:rFonts w:ascii="Gotham" w:hAnsi="Gotham"/>
          <w:color w:val="0C0C0C"/>
          <w:sz w:val="20"/>
          <w:szCs w:val="20"/>
        </w:rPr>
        <w:t xml:space="preserve">el </w:t>
      </w:r>
      <w:r w:rsidRPr="009315F1">
        <w:rPr>
          <w:rFonts w:ascii="Gotham" w:hAnsi="Gotham"/>
          <w:sz w:val="20"/>
          <w:szCs w:val="20"/>
        </w:rPr>
        <w:t xml:space="preserve">artículo 115 de la Constitución </w:t>
      </w:r>
      <w:r w:rsidRPr="009315F1">
        <w:rPr>
          <w:rFonts w:ascii="Gotham" w:hAnsi="Gotham"/>
          <w:color w:val="1A1A1A"/>
          <w:sz w:val="20"/>
          <w:szCs w:val="20"/>
        </w:rPr>
        <w:t xml:space="preserve">de </w:t>
      </w:r>
      <w:r w:rsidRPr="009315F1">
        <w:rPr>
          <w:rFonts w:ascii="Gotham" w:hAnsi="Gotham"/>
          <w:sz w:val="20"/>
          <w:szCs w:val="20"/>
        </w:rPr>
        <w:t xml:space="preserve">los Estados Unidos Mexicanos, el municipio </w:t>
      </w:r>
      <w:r w:rsidRPr="009315F1">
        <w:rPr>
          <w:rFonts w:ascii="Gotham" w:hAnsi="Gotham"/>
          <w:color w:val="0C0C0C"/>
          <w:sz w:val="20"/>
          <w:szCs w:val="20"/>
        </w:rPr>
        <w:t xml:space="preserve">es </w:t>
      </w:r>
      <w:r w:rsidRPr="009315F1">
        <w:rPr>
          <w:rFonts w:ascii="Gotham" w:hAnsi="Gotham"/>
          <w:color w:val="131313"/>
          <w:sz w:val="20"/>
          <w:szCs w:val="20"/>
        </w:rPr>
        <w:t xml:space="preserve">la base </w:t>
      </w:r>
      <w:r w:rsidRPr="009315F1">
        <w:rPr>
          <w:rFonts w:ascii="Gotham" w:hAnsi="Gotham"/>
          <w:sz w:val="20"/>
          <w:szCs w:val="20"/>
        </w:rPr>
        <w:t xml:space="preserve">de </w:t>
      </w:r>
      <w:r w:rsidRPr="009315F1">
        <w:rPr>
          <w:rFonts w:ascii="Gotham" w:hAnsi="Gotham"/>
          <w:color w:val="0C0C0C"/>
          <w:sz w:val="20"/>
          <w:szCs w:val="20"/>
        </w:rPr>
        <w:t xml:space="preserve">la </w:t>
      </w:r>
      <w:r w:rsidRPr="009315F1">
        <w:rPr>
          <w:rFonts w:ascii="Gotham" w:hAnsi="Gotham"/>
          <w:sz w:val="20"/>
          <w:szCs w:val="20"/>
        </w:rPr>
        <w:t xml:space="preserve">división territorial de los Estados </w:t>
      </w:r>
      <w:r w:rsidRPr="009315F1">
        <w:rPr>
          <w:rFonts w:ascii="Gotham" w:hAnsi="Gotham"/>
          <w:color w:val="4D4D4D"/>
          <w:sz w:val="20"/>
          <w:szCs w:val="20"/>
        </w:rPr>
        <w:t xml:space="preserve">y </w:t>
      </w:r>
      <w:r w:rsidRPr="009315F1">
        <w:rPr>
          <w:rFonts w:ascii="Gotham" w:hAnsi="Gotham"/>
          <w:color w:val="2A2A2A"/>
          <w:sz w:val="20"/>
          <w:szCs w:val="20"/>
        </w:rPr>
        <w:t xml:space="preserve">se </w:t>
      </w:r>
      <w:r w:rsidRPr="009315F1">
        <w:rPr>
          <w:rFonts w:ascii="Gotham" w:hAnsi="Gotham"/>
          <w:sz w:val="20"/>
          <w:szCs w:val="20"/>
        </w:rPr>
        <w:t>establece al Ayuntamiento como la primera instancia de gobierno que representa la circunscripción territorial del municipio.</w:t>
      </w:r>
    </w:p>
    <w:p w14:paraId="3A473202" w14:textId="77777777" w:rsidR="00016FE1" w:rsidRPr="009315F1" w:rsidRDefault="00016FE1" w:rsidP="002B6227">
      <w:pPr>
        <w:pStyle w:val="Textoindependiente"/>
        <w:spacing w:after="0"/>
        <w:ind w:left="567" w:hanging="567"/>
        <w:rPr>
          <w:rFonts w:ascii="Gotham" w:hAnsi="Gotham"/>
          <w:sz w:val="20"/>
          <w:szCs w:val="20"/>
        </w:rPr>
      </w:pPr>
    </w:p>
    <w:p w14:paraId="3A473203" w14:textId="77777777" w:rsidR="00016FE1" w:rsidRPr="009315F1" w:rsidRDefault="00016FE1" w:rsidP="002B6227">
      <w:pPr>
        <w:pStyle w:val="Textoindependiente"/>
        <w:spacing w:after="0"/>
        <w:ind w:left="567" w:hanging="567"/>
        <w:jc w:val="both"/>
        <w:rPr>
          <w:rFonts w:ascii="Gotham" w:hAnsi="Gotham"/>
          <w:sz w:val="20"/>
          <w:szCs w:val="20"/>
        </w:rPr>
      </w:pPr>
      <w:r>
        <w:rPr>
          <w:rFonts w:ascii="Gotham" w:hAnsi="Gotham"/>
          <w:sz w:val="20"/>
          <w:szCs w:val="20"/>
        </w:rPr>
        <w:t>II</w:t>
      </w:r>
      <w:r w:rsidRPr="009315F1">
        <w:rPr>
          <w:rFonts w:ascii="Gotham" w:hAnsi="Gotham"/>
          <w:sz w:val="20"/>
          <w:szCs w:val="20"/>
        </w:rPr>
        <w:t>.-</w:t>
      </w:r>
      <w:r w:rsidRPr="009315F1">
        <w:rPr>
          <w:rFonts w:ascii="Gotham" w:hAnsi="Gotham"/>
          <w:spacing w:val="40"/>
          <w:sz w:val="20"/>
          <w:szCs w:val="20"/>
        </w:rPr>
        <w:t xml:space="preserve"> </w:t>
      </w:r>
      <w:r>
        <w:rPr>
          <w:rFonts w:ascii="Gotham" w:hAnsi="Gotham"/>
          <w:spacing w:val="40"/>
          <w:sz w:val="20"/>
          <w:szCs w:val="20"/>
        </w:rPr>
        <w:tab/>
      </w:r>
      <w:r w:rsidRPr="009315F1">
        <w:rPr>
          <w:rFonts w:ascii="Gotham" w:hAnsi="Gotham"/>
          <w:sz w:val="20"/>
          <w:szCs w:val="20"/>
        </w:rPr>
        <w:t xml:space="preserve">Asimismo, la Carta Magna establece </w:t>
      </w:r>
      <w:r w:rsidRPr="009315F1">
        <w:rPr>
          <w:rFonts w:ascii="Gotham" w:hAnsi="Gotham"/>
          <w:color w:val="212121"/>
          <w:sz w:val="20"/>
          <w:szCs w:val="20"/>
        </w:rPr>
        <w:t xml:space="preserve">a </w:t>
      </w:r>
      <w:r w:rsidRPr="009315F1">
        <w:rPr>
          <w:rFonts w:ascii="Gotham" w:hAnsi="Gotham"/>
          <w:sz w:val="20"/>
          <w:szCs w:val="20"/>
        </w:rPr>
        <w:t xml:space="preserve">través </w:t>
      </w:r>
      <w:r w:rsidRPr="009315F1">
        <w:rPr>
          <w:rFonts w:ascii="Gotham" w:hAnsi="Gotham"/>
          <w:color w:val="0C0C0C"/>
          <w:sz w:val="20"/>
          <w:szCs w:val="20"/>
        </w:rPr>
        <w:t xml:space="preserve">del </w:t>
      </w:r>
      <w:r w:rsidRPr="009315F1">
        <w:rPr>
          <w:rFonts w:ascii="Gotham" w:hAnsi="Gotham"/>
          <w:sz w:val="20"/>
          <w:szCs w:val="20"/>
        </w:rPr>
        <w:t xml:space="preserve">artículo 123, </w:t>
      </w:r>
      <w:r w:rsidRPr="009315F1">
        <w:rPr>
          <w:rFonts w:ascii="Gotham" w:hAnsi="Gotham"/>
          <w:color w:val="0F0F0F"/>
          <w:sz w:val="20"/>
          <w:szCs w:val="20"/>
        </w:rPr>
        <w:t xml:space="preserve">que </w:t>
      </w:r>
      <w:r w:rsidRPr="009315F1">
        <w:rPr>
          <w:rFonts w:ascii="Gotham" w:hAnsi="Gotham"/>
          <w:color w:val="111111"/>
          <w:sz w:val="20"/>
          <w:szCs w:val="20"/>
        </w:rPr>
        <w:t xml:space="preserve">toda </w:t>
      </w:r>
      <w:r w:rsidRPr="009315F1">
        <w:rPr>
          <w:rFonts w:ascii="Gotham" w:hAnsi="Gotham"/>
          <w:sz w:val="20"/>
          <w:szCs w:val="20"/>
        </w:rPr>
        <w:t xml:space="preserve">persona tiene derecho al trabajo digno </w:t>
      </w:r>
      <w:r w:rsidRPr="009315F1">
        <w:rPr>
          <w:rFonts w:ascii="Gotham" w:hAnsi="Gotham"/>
          <w:color w:val="464646"/>
          <w:sz w:val="20"/>
          <w:szCs w:val="20"/>
        </w:rPr>
        <w:t xml:space="preserve">y </w:t>
      </w:r>
      <w:r w:rsidRPr="009315F1">
        <w:rPr>
          <w:rFonts w:ascii="Gotham" w:hAnsi="Gotham"/>
          <w:sz w:val="20"/>
          <w:szCs w:val="20"/>
        </w:rPr>
        <w:t xml:space="preserve">socialmente útil, determinándose en su apartado </w:t>
      </w:r>
      <w:r w:rsidRPr="009315F1">
        <w:rPr>
          <w:rFonts w:ascii="Gotham" w:hAnsi="Gotham"/>
          <w:color w:val="1F1F1F"/>
          <w:sz w:val="20"/>
          <w:szCs w:val="20"/>
        </w:rPr>
        <w:t xml:space="preserve">B </w:t>
      </w:r>
      <w:r w:rsidRPr="009315F1">
        <w:rPr>
          <w:rFonts w:ascii="Gotham" w:hAnsi="Gotham"/>
          <w:sz w:val="20"/>
          <w:szCs w:val="20"/>
        </w:rPr>
        <w:t xml:space="preserve">que las distintas instancias </w:t>
      </w:r>
      <w:r w:rsidRPr="009315F1">
        <w:rPr>
          <w:rFonts w:ascii="Gotham" w:hAnsi="Gotham"/>
          <w:color w:val="1C1C1C"/>
          <w:sz w:val="20"/>
          <w:szCs w:val="20"/>
        </w:rPr>
        <w:t xml:space="preserve">de </w:t>
      </w:r>
      <w:r w:rsidRPr="009315F1">
        <w:rPr>
          <w:rFonts w:ascii="Gotham" w:hAnsi="Gotham"/>
          <w:sz w:val="20"/>
          <w:szCs w:val="20"/>
        </w:rPr>
        <w:t xml:space="preserve">gobierno deberán contemplar en sus presupuestos respectivos la remuneración que deberán percibir </w:t>
      </w:r>
      <w:r w:rsidRPr="009315F1">
        <w:rPr>
          <w:rFonts w:ascii="Gotham" w:hAnsi="Gotham"/>
          <w:color w:val="2F2F2F"/>
          <w:sz w:val="20"/>
          <w:szCs w:val="20"/>
        </w:rPr>
        <w:t xml:space="preserve">sus </w:t>
      </w:r>
      <w:r w:rsidRPr="009315F1">
        <w:rPr>
          <w:rFonts w:ascii="Gotham" w:hAnsi="Gotham"/>
          <w:sz w:val="20"/>
          <w:szCs w:val="20"/>
        </w:rPr>
        <w:t>servidores públicos.</w:t>
      </w:r>
    </w:p>
    <w:p w14:paraId="3A473204" w14:textId="77777777" w:rsidR="00016FE1" w:rsidRPr="009315F1" w:rsidRDefault="00016FE1" w:rsidP="002B6227">
      <w:pPr>
        <w:pStyle w:val="Textoindependiente"/>
        <w:spacing w:after="0"/>
        <w:ind w:left="567" w:hanging="567"/>
        <w:rPr>
          <w:rFonts w:ascii="Gotham" w:hAnsi="Gotham"/>
          <w:sz w:val="20"/>
          <w:szCs w:val="20"/>
        </w:rPr>
      </w:pPr>
    </w:p>
    <w:p w14:paraId="3A473205" w14:textId="77777777" w:rsidR="00016FE1" w:rsidRPr="009315F1" w:rsidRDefault="00016FE1" w:rsidP="002B6227">
      <w:pPr>
        <w:pStyle w:val="Textoindependiente"/>
        <w:spacing w:after="0"/>
        <w:ind w:left="567" w:hanging="567"/>
        <w:jc w:val="both"/>
        <w:rPr>
          <w:rFonts w:ascii="Gotham" w:hAnsi="Gotham"/>
          <w:sz w:val="20"/>
          <w:szCs w:val="20"/>
        </w:rPr>
      </w:pPr>
      <w:r w:rsidRPr="009315F1">
        <w:rPr>
          <w:rFonts w:ascii="Gotham" w:hAnsi="Gotham"/>
          <w:color w:val="0C0C0C"/>
          <w:sz w:val="20"/>
          <w:szCs w:val="20"/>
        </w:rPr>
        <w:t>III.-</w:t>
      </w:r>
      <w:r w:rsidRPr="009315F1">
        <w:rPr>
          <w:rFonts w:ascii="Gotham" w:hAnsi="Gotham"/>
          <w:color w:val="0C0C0C"/>
          <w:spacing w:val="40"/>
          <w:sz w:val="20"/>
          <w:szCs w:val="20"/>
        </w:rPr>
        <w:t xml:space="preserve"> </w:t>
      </w:r>
      <w:r>
        <w:rPr>
          <w:rFonts w:ascii="Gotham" w:hAnsi="Gotham"/>
          <w:color w:val="0C0C0C"/>
          <w:spacing w:val="40"/>
          <w:sz w:val="20"/>
          <w:szCs w:val="20"/>
        </w:rPr>
        <w:tab/>
      </w:r>
      <w:r w:rsidRPr="009315F1">
        <w:rPr>
          <w:rFonts w:ascii="Gotham" w:hAnsi="Gotham"/>
          <w:sz w:val="20"/>
          <w:szCs w:val="20"/>
        </w:rPr>
        <w:t xml:space="preserve">La Constitución Política del Estado </w:t>
      </w:r>
      <w:r w:rsidRPr="009315F1">
        <w:rPr>
          <w:rFonts w:ascii="Gotham" w:hAnsi="Gotham"/>
          <w:color w:val="151515"/>
          <w:sz w:val="20"/>
          <w:szCs w:val="20"/>
        </w:rPr>
        <w:t xml:space="preserve">de </w:t>
      </w:r>
      <w:r w:rsidRPr="009315F1">
        <w:rPr>
          <w:rFonts w:ascii="Gotham" w:hAnsi="Gotham"/>
          <w:sz w:val="20"/>
          <w:szCs w:val="20"/>
        </w:rPr>
        <w:t xml:space="preserve">Jalisco, en su artículo 73 establece que el municipio libre </w:t>
      </w:r>
      <w:r w:rsidRPr="009315F1">
        <w:rPr>
          <w:rFonts w:ascii="Gotham" w:hAnsi="Gotham"/>
          <w:color w:val="111111"/>
          <w:sz w:val="20"/>
          <w:szCs w:val="20"/>
        </w:rPr>
        <w:t xml:space="preserve">es </w:t>
      </w:r>
      <w:r w:rsidRPr="009315F1">
        <w:rPr>
          <w:rFonts w:ascii="Gotham" w:hAnsi="Gotham"/>
          <w:sz w:val="20"/>
          <w:szCs w:val="20"/>
        </w:rPr>
        <w:t xml:space="preserve">base de la división territorial </w:t>
      </w:r>
      <w:r w:rsidRPr="009315F1">
        <w:rPr>
          <w:rFonts w:ascii="Gotham" w:hAnsi="Gotham"/>
          <w:color w:val="4D4D4D"/>
          <w:sz w:val="20"/>
          <w:szCs w:val="20"/>
        </w:rPr>
        <w:t xml:space="preserve">y </w:t>
      </w:r>
      <w:r w:rsidRPr="009315F1">
        <w:rPr>
          <w:rFonts w:ascii="Gotham" w:hAnsi="Gotham"/>
          <w:color w:val="0F0F0F"/>
          <w:sz w:val="20"/>
          <w:szCs w:val="20"/>
        </w:rPr>
        <w:t xml:space="preserve">de </w:t>
      </w:r>
      <w:r w:rsidRPr="009315F1">
        <w:rPr>
          <w:rFonts w:ascii="Gotham" w:hAnsi="Gotham"/>
          <w:sz w:val="20"/>
          <w:szCs w:val="20"/>
        </w:rPr>
        <w:t xml:space="preserve">la organización política </w:t>
      </w:r>
      <w:r w:rsidRPr="009315F1">
        <w:rPr>
          <w:rFonts w:ascii="Gotham" w:hAnsi="Gotham"/>
          <w:color w:val="1F1F1F"/>
          <w:sz w:val="20"/>
          <w:szCs w:val="20"/>
        </w:rPr>
        <w:t xml:space="preserve">y </w:t>
      </w:r>
      <w:r w:rsidRPr="009315F1">
        <w:rPr>
          <w:rFonts w:ascii="Gotham" w:hAnsi="Gotham"/>
          <w:sz w:val="20"/>
          <w:szCs w:val="20"/>
        </w:rPr>
        <w:t xml:space="preserve">administrativa del Estado de Jalisco, investido de personalidad jurídica y patrimonio propios, con las facultades </w:t>
      </w:r>
      <w:r w:rsidRPr="009315F1">
        <w:rPr>
          <w:rFonts w:ascii="Gotham" w:hAnsi="Gotham"/>
          <w:color w:val="111111"/>
          <w:sz w:val="20"/>
          <w:szCs w:val="20"/>
        </w:rPr>
        <w:t xml:space="preserve">y </w:t>
      </w:r>
      <w:r w:rsidRPr="009315F1">
        <w:rPr>
          <w:rFonts w:ascii="Gotham" w:hAnsi="Gotham"/>
          <w:sz w:val="20"/>
          <w:szCs w:val="20"/>
        </w:rPr>
        <w:t xml:space="preserve">limitaciones establecidas en la Constitución Política de los Estados Unidos </w:t>
      </w:r>
      <w:r w:rsidRPr="009315F1">
        <w:rPr>
          <w:rFonts w:ascii="Gotham" w:hAnsi="Gotham"/>
          <w:spacing w:val="-2"/>
          <w:sz w:val="20"/>
          <w:szCs w:val="20"/>
        </w:rPr>
        <w:t>Mexicanos.</w:t>
      </w:r>
    </w:p>
    <w:p w14:paraId="3A473206" w14:textId="77777777" w:rsidR="00016FE1" w:rsidRPr="009315F1" w:rsidRDefault="00016FE1" w:rsidP="002B6227">
      <w:pPr>
        <w:pStyle w:val="Textoindependiente"/>
        <w:spacing w:after="0"/>
        <w:ind w:left="567" w:hanging="567"/>
        <w:rPr>
          <w:rFonts w:ascii="Gotham" w:hAnsi="Gotham"/>
          <w:sz w:val="20"/>
          <w:szCs w:val="20"/>
        </w:rPr>
      </w:pPr>
    </w:p>
    <w:p w14:paraId="3A473207" w14:textId="77777777" w:rsidR="00016FE1" w:rsidRPr="009315F1" w:rsidRDefault="00016FE1" w:rsidP="002B6227">
      <w:pPr>
        <w:pStyle w:val="Textoindependiente"/>
        <w:spacing w:after="0"/>
        <w:ind w:left="567" w:hanging="567"/>
        <w:jc w:val="both"/>
        <w:rPr>
          <w:rFonts w:ascii="Gotham" w:hAnsi="Gotham"/>
          <w:spacing w:val="-2"/>
          <w:sz w:val="20"/>
          <w:szCs w:val="20"/>
        </w:rPr>
      </w:pPr>
      <w:r w:rsidRPr="009315F1">
        <w:rPr>
          <w:rFonts w:ascii="Gotham" w:hAnsi="Gotham"/>
          <w:sz w:val="20"/>
          <w:szCs w:val="20"/>
        </w:rPr>
        <w:t>IV.-</w:t>
      </w:r>
      <w:r w:rsidRPr="009315F1">
        <w:rPr>
          <w:rFonts w:ascii="Gotham" w:hAnsi="Gotham"/>
          <w:spacing w:val="40"/>
          <w:sz w:val="20"/>
          <w:szCs w:val="20"/>
        </w:rPr>
        <w:t xml:space="preserve"> </w:t>
      </w:r>
      <w:r>
        <w:rPr>
          <w:rFonts w:ascii="Gotham" w:hAnsi="Gotham"/>
          <w:spacing w:val="40"/>
          <w:sz w:val="20"/>
          <w:szCs w:val="20"/>
        </w:rPr>
        <w:tab/>
      </w:r>
      <w:r w:rsidRPr="009315F1">
        <w:rPr>
          <w:rFonts w:ascii="Gotham" w:hAnsi="Gotham"/>
          <w:sz w:val="20"/>
          <w:szCs w:val="20"/>
        </w:rPr>
        <w:t xml:space="preserve">Además la </w:t>
      </w:r>
      <w:r w:rsidRPr="009315F1">
        <w:rPr>
          <w:rFonts w:ascii="Gotham" w:hAnsi="Gotham"/>
          <w:color w:val="232323"/>
          <w:sz w:val="20"/>
          <w:szCs w:val="20"/>
        </w:rPr>
        <w:t xml:space="preserve">Ley </w:t>
      </w:r>
      <w:r w:rsidRPr="009315F1">
        <w:rPr>
          <w:rFonts w:ascii="Gotham" w:hAnsi="Gotham"/>
          <w:sz w:val="20"/>
          <w:szCs w:val="20"/>
        </w:rPr>
        <w:t xml:space="preserve">del Gobierno </w:t>
      </w:r>
      <w:r w:rsidRPr="009315F1">
        <w:rPr>
          <w:rFonts w:ascii="Gotham" w:hAnsi="Gotham"/>
          <w:color w:val="4D4D4D"/>
          <w:sz w:val="20"/>
          <w:szCs w:val="20"/>
        </w:rPr>
        <w:t xml:space="preserve">y </w:t>
      </w:r>
      <w:r w:rsidRPr="009315F1">
        <w:rPr>
          <w:rFonts w:ascii="Gotham" w:hAnsi="Gotham"/>
          <w:sz w:val="20"/>
          <w:szCs w:val="20"/>
        </w:rPr>
        <w:t>la Administración</w:t>
      </w:r>
      <w:r w:rsidRPr="009315F1">
        <w:rPr>
          <w:rFonts w:ascii="Gotham" w:hAnsi="Gotham"/>
          <w:spacing w:val="-6"/>
          <w:sz w:val="20"/>
          <w:szCs w:val="20"/>
        </w:rPr>
        <w:t xml:space="preserve"> </w:t>
      </w:r>
      <w:r w:rsidRPr="009315F1">
        <w:rPr>
          <w:rFonts w:ascii="Gotham" w:hAnsi="Gotham"/>
          <w:sz w:val="20"/>
          <w:szCs w:val="20"/>
        </w:rPr>
        <w:t xml:space="preserve">Pública Municipal del </w:t>
      </w:r>
      <w:r w:rsidRPr="009315F1">
        <w:rPr>
          <w:rFonts w:ascii="Gotham" w:hAnsi="Gotham"/>
          <w:color w:val="111111"/>
          <w:sz w:val="20"/>
          <w:szCs w:val="20"/>
        </w:rPr>
        <w:t xml:space="preserve">Estado </w:t>
      </w:r>
      <w:r w:rsidRPr="009315F1">
        <w:rPr>
          <w:rFonts w:ascii="Gotham" w:hAnsi="Gotham"/>
          <w:sz w:val="20"/>
          <w:szCs w:val="20"/>
        </w:rPr>
        <w:t xml:space="preserve">de Jalisco, establece un capítulo especial denominado “De los Servidores Públicos Municipales” </w:t>
      </w:r>
      <w:r w:rsidRPr="009315F1">
        <w:rPr>
          <w:rFonts w:ascii="Gotham" w:hAnsi="Gotham"/>
          <w:color w:val="181818"/>
          <w:sz w:val="20"/>
          <w:szCs w:val="20"/>
        </w:rPr>
        <w:t xml:space="preserve">a </w:t>
      </w:r>
      <w:r w:rsidRPr="009315F1">
        <w:rPr>
          <w:rFonts w:ascii="Gotham" w:hAnsi="Gotham"/>
          <w:sz w:val="20"/>
          <w:szCs w:val="20"/>
        </w:rPr>
        <w:t>través del cual se señala que las funciones que desarrollan los servidores públicos</w:t>
      </w:r>
      <w:r w:rsidRPr="009315F1">
        <w:rPr>
          <w:rFonts w:ascii="Gotham" w:hAnsi="Gotham"/>
          <w:spacing w:val="21"/>
          <w:sz w:val="20"/>
          <w:szCs w:val="20"/>
        </w:rPr>
        <w:t xml:space="preserve"> </w:t>
      </w:r>
      <w:r w:rsidRPr="009315F1">
        <w:rPr>
          <w:rFonts w:ascii="Gotham" w:hAnsi="Gotham"/>
          <w:sz w:val="20"/>
          <w:szCs w:val="20"/>
        </w:rPr>
        <w:t>que</w:t>
      </w:r>
      <w:r w:rsidRPr="009315F1">
        <w:rPr>
          <w:rFonts w:ascii="Gotham" w:hAnsi="Gotham"/>
          <w:spacing w:val="19"/>
          <w:sz w:val="20"/>
          <w:szCs w:val="20"/>
        </w:rPr>
        <w:t xml:space="preserve"> </w:t>
      </w:r>
      <w:r w:rsidRPr="009315F1">
        <w:rPr>
          <w:rFonts w:ascii="Gotham" w:hAnsi="Gotham"/>
          <w:sz w:val="20"/>
          <w:szCs w:val="20"/>
        </w:rPr>
        <w:t>laboran</w:t>
      </w:r>
      <w:r w:rsidRPr="009315F1">
        <w:rPr>
          <w:rFonts w:ascii="Gotham" w:hAnsi="Gotham"/>
          <w:spacing w:val="26"/>
          <w:sz w:val="20"/>
          <w:szCs w:val="20"/>
        </w:rPr>
        <w:t xml:space="preserve"> </w:t>
      </w:r>
      <w:r w:rsidRPr="009315F1">
        <w:rPr>
          <w:rFonts w:ascii="Gotham" w:hAnsi="Gotham"/>
          <w:sz w:val="20"/>
          <w:szCs w:val="20"/>
        </w:rPr>
        <w:t>para</w:t>
      </w:r>
      <w:r w:rsidRPr="009315F1">
        <w:rPr>
          <w:rFonts w:ascii="Gotham" w:hAnsi="Gotham"/>
          <w:spacing w:val="24"/>
          <w:sz w:val="20"/>
          <w:szCs w:val="20"/>
        </w:rPr>
        <w:t xml:space="preserve"> </w:t>
      </w:r>
      <w:r w:rsidRPr="009315F1">
        <w:rPr>
          <w:rFonts w:ascii="Gotham" w:hAnsi="Gotham"/>
          <w:sz w:val="20"/>
          <w:szCs w:val="20"/>
        </w:rPr>
        <w:t>el</w:t>
      </w:r>
      <w:r w:rsidRPr="009315F1">
        <w:rPr>
          <w:rFonts w:ascii="Gotham" w:hAnsi="Gotham"/>
          <w:spacing w:val="14"/>
          <w:sz w:val="20"/>
          <w:szCs w:val="20"/>
        </w:rPr>
        <w:t xml:space="preserve"> </w:t>
      </w:r>
      <w:r w:rsidRPr="009315F1">
        <w:rPr>
          <w:rFonts w:ascii="Gotham" w:hAnsi="Gotham"/>
          <w:sz w:val="20"/>
          <w:szCs w:val="20"/>
        </w:rPr>
        <w:t>Gobierno</w:t>
      </w:r>
      <w:r w:rsidRPr="009315F1">
        <w:rPr>
          <w:rFonts w:ascii="Gotham" w:hAnsi="Gotham"/>
          <w:spacing w:val="26"/>
          <w:sz w:val="20"/>
          <w:szCs w:val="20"/>
        </w:rPr>
        <w:t xml:space="preserve"> </w:t>
      </w:r>
      <w:r w:rsidRPr="009315F1">
        <w:rPr>
          <w:rFonts w:ascii="Gotham" w:hAnsi="Gotham"/>
          <w:sz w:val="20"/>
          <w:szCs w:val="20"/>
        </w:rPr>
        <w:t>Municipal,</w:t>
      </w:r>
      <w:r w:rsidRPr="009315F1">
        <w:rPr>
          <w:rFonts w:ascii="Gotham" w:hAnsi="Gotham"/>
          <w:spacing w:val="27"/>
          <w:sz w:val="20"/>
          <w:szCs w:val="20"/>
        </w:rPr>
        <w:t xml:space="preserve"> </w:t>
      </w:r>
      <w:r w:rsidRPr="009315F1">
        <w:rPr>
          <w:rFonts w:ascii="Gotham" w:hAnsi="Gotham"/>
          <w:sz w:val="20"/>
          <w:szCs w:val="20"/>
        </w:rPr>
        <w:t>serán</w:t>
      </w:r>
      <w:r w:rsidRPr="009315F1">
        <w:rPr>
          <w:rFonts w:ascii="Gotham" w:hAnsi="Gotham"/>
          <w:spacing w:val="25"/>
          <w:sz w:val="20"/>
          <w:szCs w:val="20"/>
        </w:rPr>
        <w:t xml:space="preserve"> </w:t>
      </w:r>
      <w:r w:rsidRPr="009315F1">
        <w:rPr>
          <w:rFonts w:ascii="Gotham" w:hAnsi="Gotham"/>
          <w:sz w:val="20"/>
          <w:szCs w:val="20"/>
        </w:rPr>
        <w:t>de</w:t>
      </w:r>
      <w:r w:rsidRPr="009315F1">
        <w:rPr>
          <w:rFonts w:ascii="Gotham" w:hAnsi="Gotham"/>
          <w:spacing w:val="17"/>
          <w:sz w:val="20"/>
          <w:szCs w:val="20"/>
        </w:rPr>
        <w:t xml:space="preserve"> </w:t>
      </w:r>
      <w:r w:rsidRPr="009315F1">
        <w:rPr>
          <w:rFonts w:ascii="Gotham" w:hAnsi="Gotham"/>
          <w:sz w:val="20"/>
          <w:szCs w:val="20"/>
        </w:rPr>
        <w:t>acuerdo</w:t>
      </w:r>
      <w:r w:rsidRPr="009315F1">
        <w:rPr>
          <w:rFonts w:ascii="Gotham" w:hAnsi="Gotham"/>
          <w:spacing w:val="27"/>
          <w:sz w:val="20"/>
          <w:szCs w:val="20"/>
        </w:rPr>
        <w:t xml:space="preserve"> </w:t>
      </w:r>
      <w:r w:rsidRPr="009315F1">
        <w:rPr>
          <w:rFonts w:ascii="Gotham" w:hAnsi="Gotham"/>
          <w:color w:val="1C1C1C"/>
          <w:sz w:val="20"/>
          <w:szCs w:val="20"/>
        </w:rPr>
        <w:t>a</w:t>
      </w:r>
      <w:r w:rsidRPr="009315F1">
        <w:rPr>
          <w:rFonts w:ascii="Gotham" w:hAnsi="Gotham"/>
          <w:color w:val="1C1C1C"/>
          <w:spacing w:val="18"/>
          <w:sz w:val="20"/>
          <w:szCs w:val="20"/>
        </w:rPr>
        <w:t xml:space="preserve"> </w:t>
      </w:r>
      <w:r w:rsidRPr="009315F1">
        <w:rPr>
          <w:rFonts w:ascii="Gotham" w:hAnsi="Gotham"/>
          <w:sz w:val="20"/>
          <w:szCs w:val="20"/>
        </w:rPr>
        <w:t>la</w:t>
      </w:r>
      <w:r w:rsidRPr="009315F1">
        <w:rPr>
          <w:rFonts w:ascii="Gotham" w:hAnsi="Gotham"/>
          <w:spacing w:val="18"/>
          <w:sz w:val="20"/>
          <w:szCs w:val="20"/>
        </w:rPr>
        <w:t xml:space="preserve"> </w:t>
      </w:r>
      <w:r w:rsidRPr="009315F1">
        <w:rPr>
          <w:rFonts w:ascii="Gotham" w:hAnsi="Gotham"/>
          <w:sz w:val="20"/>
          <w:szCs w:val="20"/>
        </w:rPr>
        <w:t>naturaleza</w:t>
      </w:r>
      <w:r w:rsidRPr="009315F1">
        <w:rPr>
          <w:rFonts w:ascii="Gotham" w:hAnsi="Gotham"/>
          <w:spacing w:val="30"/>
          <w:sz w:val="20"/>
          <w:szCs w:val="20"/>
        </w:rPr>
        <w:t xml:space="preserve"> </w:t>
      </w:r>
      <w:r w:rsidRPr="009315F1">
        <w:rPr>
          <w:rFonts w:ascii="Gotham" w:hAnsi="Gotham"/>
          <w:sz w:val="20"/>
          <w:szCs w:val="20"/>
        </w:rPr>
        <w:t>de</w:t>
      </w:r>
      <w:r w:rsidRPr="009315F1">
        <w:rPr>
          <w:rFonts w:ascii="Gotham" w:hAnsi="Gotham"/>
          <w:spacing w:val="16"/>
          <w:sz w:val="20"/>
          <w:szCs w:val="20"/>
        </w:rPr>
        <w:t xml:space="preserve"> </w:t>
      </w:r>
      <w:r w:rsidRPr="009315F1">
        <w:rPr>
          <w:rFonts w:ascii="Gotham" w:hAnsi="Gotham"/>
          <w:sz w:val="20"/>
          <w:szCs w:val="20"/>
        </w:rPr>
        <w:t>su c</w:t>
      </w:r>
      <w:r w:rsidRPr="009315F1">
        <w:rPr>
          <w:rFonts w:ascii="Gotham" w:hAnsi="Gotham"/>
          <w:spacing w:val="40"/>
          <w:sz w:val="20"/>
          <w:szCs w:val="20"/>
        </w:rPr>
        <w:t>a</w:t>
      </w:r>
      <w:r w:rsidRPr="009315F1">
        <w:rPr>
          <w:rFonts w:ascii="Gotham" w:hAnsi="Gotham"/>
          <w:sz w:val="20"/>
          <w:szCs w:val="20"/>
        </w:rPr>
        <w:t>rgo</w:t>
      </w:r>
      <w:r w:rsidRPr="009315F1">
        <w:rPr>
          <w:rFonts w:ascii="Gotham" w:hAnsi="Gotham"/>
          <w:spacing w:val="39"/>
          <w:sz w:val="20"/>
          <w:szCs w:val="20"/>
        </w:rPr>
        <w:t xml:space="preserve"> </w:t>
      </w:r>
      <w:r w:rsidRPr="009315F1">
        <w:rPr>
          <w:rFonts w:ascii="Gotham" w:hAnsi="Gotham"/>
          <w:sz w:val="20"/>
          <w:szCs w:val="20"/>
        </w:rPr>
        <w:t>y</w:t>
      </w:r>
      <w:r w:rsidRPr="009315F1">
        <w:rPr>
          <w:rFonts w:ascii="Gotham" w:hAnsi="Gotham"/>
          <w:spacing w:val="29"/>
          <w:sz w:val="20"/>
          <w:szCs w:val="20"/>
        </w:rPr>
        <w:t xml:space="preserve"> </w:t>
      </w:r>
      <w:r w:rsidRPr="009315F1">
        <w:rPr>
          <w:rFonts w:ascii="Gotham" w:hAnsi="Gotham"/>
          <w:sz w:val="20"/>
          <w:szCs w:val="20"/>
        </w:rPr>
        <w:t>estarán</w:t>
      </w:r>
      <w:r w:rsidRPr="009315F1">
        <w:rPr>
          <w:rFonts w:ascii="Gotham" w:hAnsi="Gotham"/>
          <w:spacing w:val="35"/>
          <w:sz w:val="20"/>
          <w:szCs w:val="20"/>
        </w:rPr>
        <w:t xml:space="preserve"> </w:t>
      </w:r>
      <w:r w:rsidRPr="009315F1">
        <w:rPr>
          <w:rFonts w:ascii="Gotham" w:hAnsi="Gotham"/>
          <w:sz w:val="20"/>
          <w:szCs w:val="20"/>
        </w:rPr>
        <w:t>sujetos</w:t>
      </w:r>
      <w:r w:rsidRPr="009315F1">
        <w:rPr>
          <w:rFonts w:ascii="Gotham" w:hAnsi="Gotham"/>
          <w:spacing w:val="35"/>
          <w:sz w:val="20"/>
          <w:szCs w:val="20"/>
        </w:rPr>
        <w:t xml:space="preserve"> </w:t>
      </w:r>
      <w:r w:rsidRPr="009315F1">
        <w:rPr>
          <w:rFonts w:ascii="Gotham" w:hAnsi="Gotham"/>
          <w:color w:val="161616"/>
          <w:sz w:val="20"/>
          <w:szCs w:val="20"/>
        </w:rPr>
        <w:t>a</w:t>
      </w:r>
      <w:r w:rsidRPr="009315F1">
        <w:rPr>
          <w:rFonts w:ascii="Gotham" w:hAnsi="Gotham"/>
          <w:color w:val="161616"/>
          <w:spacing w:val="32"/>
          <w:sz w:val="20"/>
          <w:szCs w:val="20"/>
        </w:rPr>
        <w:t xml:space="preserve"> </w:t>
      </w:r>
      <w:r w:rsidRPr="009315F1">
        <w:rPr>
          <w:rFonts w:ascii="Gotham" w:hAnsi="Gotham"/>
          <w:sz w:val="20"/>
          <w:szCs w:val="20"/>
        </w:rPr>
        <w:t>la</w:t>
      </w:r>
      <w:r w:rsidRPr="009315F1">
        <w:rPr>
          <w:rFonts w:ascii="Gotham" w:hAnsi="Gotham"/>
          <w:spacing w:val="27"/>
          <w:sz w:val="20"/>
          <w:szCs w:val="20"/>
        </w:rPr>
        <w:t xml:space="preserve"> </w:t>
      </w:r>
      <w:r w:rsidRPr="009315F1">
        <w:rPr>
          <w:rFonts w:ascii="Gotham" w:hAnsi="Gotham"/>
          <w:sz w:val="20"/>
          <w:szCs w:val="20"/>
        </w:rPr>
        <w:t>Ley</w:t>
      </w:r>
      <w:r w:rsidRPr="009315F1">
        <w:rPr>
          <w:rFonts w:ascii="Gotham" w:hAnsi="Gotham"/>
          <w:spacing w:val="30"/>
          <w:sz w:val="20"/>
          <w:szCs w:val="20"/>
        </w:rPr>
        <w:t xml:space="preserve"> </w:t>
      </w:r>
      <w:r w:rsidRPr="009315F1">
        <w:rPr>
          <w:rFonts w:ascii="Gotham" w:hAnsi="Gotham"/>
          <w:sz w:val="20"/>
          <w:szCs w:val="20"/>
        </w:rPr>
        <w:t>de</w:t>
      </w:r>
      <w:r w:rsidRPr="009315F1">
        <w:rPr>
          <w:rFonts w:ascii="Gotham" w:hAnsi="Gotham"/>
          <w:spacing w:val="29"/>
          <w:sz w:val="20"/>
          <w:szCs w:val="20"/>
        </w:rPr>
        <w:t xml:space="preserve"> </w:t>
      </w:r>
      <w:r w:rsidRPr="009315F1">
        <w:rPr>
          <w:rFonts w:ascii="Gotham" w:hAnsi="Gotham"/>
          <w:sz w:val="20"/>
          <w:szCs w:val="20"/>
        </w:rPr>
        <w:t>los</w:t>
      </w:r>
      <w:r w:rsidRPr="009315F1">
        <w:rPr>
          <w:rFonts w:ascii="Gotham" w:hAnsi="Gotham"/>
          <w:spacing w:val="30"/>
          <w:sz w:val="20"/>
          <w:szCs w:val="20"/>
        </w:rPr>
        <w:t xml:space="preserve"> </w:t>
      </w:r>
      <w:r w:rsidRPr="009315F1">
        <w:rPr>
          <w:rFonts w:ascii="Gotham" w:hAnsi="Gotham"/>
          <w:sz w:val="20"/>
          <w:szCs w:val="20"/>
        </w:rPr>
        <w:t>Servidores</w:t>
      </w:r>
      <w:r w:rsidRPr="009315F1">
        <w:rPr>
          <w:rFonts w:ascii="Gotham" w:hAnsi="Gotham"/>
          <w:spacing w:val="40"/>
          <w:sz w:val="20"/>
          <w:szCs w:val="20"/>
        </w:rPr>
        <w:t xml:space="preserve"> </w:t>
      </w:r>
      <w:r w:rsidRPr="009315F1">
        <w:rPr>
          <w:rFonts w:ascii="Gotham" w:hAnsi="Gotham"/>
          <w:sz w:val="20"/>
          <w:szCs w:val="20"/>
        </w:rPr>
        <w:t>Públicos</w:t>
      </w:r>
      <w:r w:rsidRPr="009315F1">
        <w:rPr>
          <w:rFonts w:ascii="Gotham" w:hAnsi="Gotham"/>
          <w:spacing w:val="38"/>
          <w:sz w:val="20"/>
          <w:szCs w:val="20"/>
        </w:rPr>
        <w:t xml:space="preserve"> </w:t>
      </w:r>
      <w:r w:rsidRPr="009315F1">
        <w:rPr>
          <w:rFonts w:ascii="Gotham" w:hAnsi="Gotham"/>
          <w:sz w:val="20"/>
          <w:szCs w:val="20"/>
        </w:rPr>
        <w:t>del</w:t>
      </w:r>
      <w:r w:rsidRPr="009315F1">
        <w:rPr>
          <w:rFonts w:ascii="Gotham" w:hAnsi="Gotham"/>
          <w:spacing w:val="28"/>
          <w:sz w:val="20"/>
          <w:szCs w:val="20"/>
        </w:rPr>
        <w:t xml:space="preserve"> </w:t>
      </w:r>
      <w:r w:rsidRPr="009315F1">
        <w:rPr>
          <w:rFonts w:ascii="Gotham" w:hAnsi="Gotham"/>
          <w:sz w:val="20"/>
          <w:szCs w:val="20"/>
        </w:rPr>
        <w:t>Estado</w:t>
      </w:r>
      <w:r w:rsidRPr="009315F1">
        <w:rPr>
          <w:rFonts w:ascii="Gotham" w:hAnsi="Gotham"/>
          <w:spacing w:val="39"/>
          <w:sz w:val="20"/>
          <w:szCs w:val="20"/>
        </w:rPr>
        <w:t xml:space="preserve"> </w:t>
      </w:r>
      <w:r w:rsidRPr="009315F1">
        <w:rPr>
          <w:rFonts w:ascii="Gotham" w:hAnsi="Gotham"/>
          <w:color w:val="131313"/>
          <w:sz w:val="20"/>
          <w:szCs w:val="20"/>
        </w:rPr>
        <w:t>de</w:t>
      </w:r>
      <w:r w:rsidRPr="009315F1">
        <w:rPr>
          <w:rFonts w:ascii="Gotham" w:hAnsi="Gotham"/>
          <w:color w:val="131313"/>
          <w:spacing w:val="31"/>
          <w:sz w:val="20"/>
          <w:szCs w:val="20"/>
        </w:rPr>
        <w:t xml:space="preserve"> </w:t>
      </w:r>
      <w:r w:rsidRPr="009315F1">
        <w:rPr>
          <w:rFonts w:ascii="Gotham" w:hAnsi="Gotham"/>
          <w:sz w:val="20"/>
          <w:szCs w:val="20"/>
        </w:rPr>
        <w:t>Jalisco</w:t>
      </w:r>
      <w:r w:rsidRPr="009315F1">
        <w:rPr>
          <w:rFonts w:ascii="Gotham" w:hAnsi="Gotham"/>
          <w:spacing w:val="40"/>
          <w:sz w:val="20"/>
          <w:szCs w:val="20"/>
        </w:rPr>
        <w:t xml:space="preserve"> </w:t>
      </w:r>
      <w:r w:rsidRPr="009315F1">
        <w:rPr>
          <w:rFonts w:ascii="Gotham" w:hAnsi="Gotham"/>
          <w:color w:val="3A3A3A"/>
          <w:sz w:val="20"/>
          <w:szCs w:val="20"/>
        </w:rPr>
        <w:t>y</w:t>
      </w:r>
      <w:r w:rsidRPr="009315F1">
        <w:rPr>
          <w:rFonts w:ascii="Gotham" w:hAnsi="Gotham"/>
          <w:color w:val="3A3A3A"/>
          <w:spacing w:val="37"/>
          <w:sz w:val="20"/>
          <w:szCs w:val="20"/>
        </w:rPr>
        <w:t xml:space="preserve"> </w:t>
      </w:r>
      <w:r w:rsidRPr="009315F1">
        <w:rPr>
          <w:rFonts w:ascii="Gotham" w:hAnsi="Gotham"/>
          <w:sz w:val="20"/>
          <w:szCs w:val="20"/>
        </w:rPr>
        <w:t xml:space="preserve">sus </w:t>
      </w:r>
      <w:r w:rsidRPr="009315F1">
        <w:rPr>
          <w:rFonts w:ascii="Gotham" w:hAnsi="Gotham"/>
          <w:spacing w:val="-2"/>
          <w:sz w:val="20"/>
          <w:szCs w:val="20"/>
        </w:rPr>
        <w:t>municipios.</w:t>
      </w:r>
    </w:p>
    <w:p w14:paraId="3A473208" w14:textId="77777777" w:rsidR="00016FE1" w:rsidRPr="009315F1" w:rsidRDefault="00016FE1" w:rsidP="002B6227">
      <w:pPr>
        <w:pStyle w:val="Textoindependiente"/>
        <w:spacing w:after="0"/>
        <w:ind w:left="567" w:hanging="567"/>
        <w:jc w:val="both"/>
        <w:rPr>
          <w:rFonts w:ascii="Gotham" w:hAnsi="Gotham"/>
          <w:sz w:val="20"/>
          <w:szCs w:val="20"/>
        </w:rPr>
      </w:pPr>
    </w:p>
    <w:p w14:paraId="3A473209" w14:textId="77777777" w:rsidR="00016FE1" w:rsidRPr="009315F1" w:rsidRDefault="00016FE1" w:rsidP="002B6227">
      <w:pPr>
        <w:pStyle w:val="Textoindependiente"/>
        <w:spacing w:after="0"/>
        <w:ind w:left="567" w:hanging="567"/>
        <w:jc w:val="both"/>
        <w:rPr>
          <w:rFonts w:ascii="Gotham" w:hAnsi="Gotham"/>
          <w:sz w:val="20"/>
          <w:szCs w:val="20"/>
        </w:rPr>
      </w:pPr>
      <w:r w:rsidRPr="009315F1">
        <w:rPr>
          <w:rFonts w:ascii="Gotham" w:hAnsi="Gotham"/>
          <w:color w:val="414141"/>
          <w:sz w:val="20"/>
          <w:szCs w:val="20"/>
        </w:rPr>
        <w:t>V.-</w:t>
      </w:r>
      <w:r>
        <w:rPr>
          <w:rFonts w:ascii="Gotham" w:hAnsi="Gotham"/>
          <w:color w:val="414141"/>
          <w:sz w:val="20"/>
          <w:szCs w:val="20"/>
        </w:rPr>
        <w:tab/>
      </w:r>
      <w:r w:rsidRPr="009315F1">
        <w:rPr>
          <w:rFonts w:ascii="Gotham" w:hAnsi="Gotham"/>
          <w:color w:val="414141"/>
          <w:sz w:val="20"/>
          <w:szCs w:val="20"/>
        </w:rPr>
        <w:t>La</w:t>
      </w:r>
      <w:r w:rsidRPr="009315F1">
        <w:rPr>
          <w:rFonts w:ascii="Gotham" w:hAnsi="Gotham"/>
          <w:color w:val="414141"/>
          <w:spacing w:val="40"/>
          <w:sz w:val="20"/>
          <w:szCs w:val="20"/>
        </w:rPr>
        <w:t xml:space="preserve"> </w:t>
      </w:r>
      <w:r w:rsidRPr="009315F1">
        <w:rPr>
          <w:rFonts w:ascii="Gotham" w:hAnsi="Gotham"/>
          <w:color w:val="6E6E6E"/>
          <w:sz w:val="20"/>
          <w:szCs w:val="20"/>
        </w:rPr>
        <w:t>Ley</w:t>
      </w:r>
      <w:r w:rsidRPr="009315F1">
        <w:rPr>
          <w:rFonts w:ascii="Gotham" w:hAnsi="Gotham"/>
          <w:color w:val="6E6E6E"/>
          <w:spacing w:val="40"/>
          <w:sz w:val="20"/>
          <w:szCs w:val="20"/>
        </w:rPr>
        <w:t xml:space="preserve"> </w:t>
      </w:r>
      <w:r w:rsidRPr="009315F1">
        <w:rPr>
          <w:rFonts w:ascii="Gotham" w:hAnsi="Gotham"/>
          <w:color w:val="444444"/>
          <w:sz w:val="20"/>
          <w:szCs w:val="20"/>
        </w:rPr>
        <w:t>de</w:t>
      </w:r>
      <w:r w:rsidRPr="009315F1">
        <w:rPr>
          <w:rFonts w:ascii="Gotham" w:hAnsi="Gotham"/>
          <w:color w:val="444444"/>
          <w:spacing w:val="33"/>
          <w:sz w:val="20"/>
          <w:szCs w:val="20"/>
        </w:rPr>
        <w:t xml:space="preserve"> </w:t>
      </w:r>
      <w:r w:rsidRPr="009315F1">
        <w:rPr>
          <w:rFonts w:ascii="Gotham" w:hAnsi="Gotham"/>
          <w:color w:val="383838"/>
          <w:sz w:val="20"/>
          <w:szCs w:val="20"/>
        </w:rPr>
        <w:t>Hacienda</w:t>
      </w:r>
      <w:r w:rsidRPr="009315F1">
        <w:rPr>
          <w:rFonts w:ascii="Gotham" w:hAnsi="Gotham"/>
          <w:color w:val="383838"/>
          <w:spacing w:val="40"/>
          <w:sz w:val="20"/>
          <w:szCs w:val="20"/>
        </w:rPr>
        <w:t xml:space="preserve"> </w:t>
      </w:r>
      <w:r w:rsidRPr="009315F1">
        <w:rPr>
          <w:rFonts w:ascii="Gotham" w:hAnsi="Gotham"/>
          <w:color w:val="444444"/>
          <w:sz w:val="20"/>
          <w:szCs w:val="20"/>
        </w:rPr>
        <w:t>Municipal</w:t>
      </w:r>
      <w:r w:rsidRPr="009315F1">
        <w:rPr>
          <w:rFonts w:ascii="Gotham" w:hAnsi="Gotham"/>
          <w:color w:val="444444"/>
          <w:spacing w:val="40"/>
          <w:sz w:val="20"/>
          <w:szCs w:val="20"/>
        </w:rPr>
        <w:t xml:space="preserve"> </w:t>
      </w:r>
      <w:r w:rsidRPr="009315F1">
        <w:rPr>
          <w:rFonts w:ascii="Gotham" w:hAnsi="Gotham"/>
          <w:color w:val="3F3F3F"/>
          <w:sz w:val="20"/>
          <w:szCs w:val="20"/>
        </w:rPr>
        <w:t xml:space="preserve">del </w:t>
      </w:r>
      <w:r w:rsidRPr="009315F1">
        <w:rPr>
          <w:rFonts w:ascii="Gotham" w:hAnsi="Gotham"/>
          <w:color w:val="282828"/>
          <w:sz w:val="20"/>
          <w:szCs w:val="20"/>
        </w:rPr>
        <w:t>Estado</w:t>
      </w:r>
      <w:r w:rsidRPr="009315F1">
        <w:rPr>
          <w:rFonts w:ascii="Gotham" w:hAnsi="Gotham"/>
          <w:color w:val="282828"/>
          <w:spacing w:val="40"/>
          <w:sz w:val="20"/>
          <w:szCs w:val="20"/>
        </w:rPr>
        <w:t xml:space="preserve"> </w:t>
      </w:r>
      <w:r w:rsidRPr="009315F1">
        <w:rPr>
          <w:rFonts w:ascii="Gotham" w:hAnsi="Gotham"/>
          <w:color w:val="2F2F2F"/>
          <w:sz w:val="20"/>
          <w:szCs w:val="20"/>
        </w:rPr>
        <w:t>de</w:t>
      </w:r>
      <w:r w:rsidRPr="009315F1">
        <w:rPr>
          <w:rFonts w:ascii="Gotham" w:hAnsi="Gotham"/>
          <w:color w:val="2F2F2F"/>
          <w:spacing w:val="33"/>
          <w:sz w:val="20"/>
          <w:szCs w:val="20"/>
        </w:rPr>
        <w:t xml:space="preserve"> </w:t>
      </w:r>
      <w:r w:rsidRPr="009315F1">
        <w:rPr>
          <w:rFonts w:ascii="Gotham" w:hAnsi="Gotham"/>
          <w:color w:val="161616"/>
          <w:sz w:val="20"/>
          <w:szCs w:val="20"/>
        </w:rPr>
        <w:t>Jalisco,</w:t>
      </w:r>
      <w:r w:rsidRPr="009315F1">
        <w:rPr>
          <w:rFonts w:ascii="Gotham" w:hAnsi="Gotham"/>
          <w:color w:val="161616"/>
          <w:spacing w:val="40"/>
          <w:sz w:val="20"/>
          <w:szCs w:val="20"/>
        </w:rPr>
        <w:t xml:space="preserve"> </w:t>
      </w:r>
      <w:r w:rsidRPr="009315F1">
        <w:rPr>
          <w:rFonts w:ascii="Gotham" w:hAnsi="Gotham"/>
          <w:color w:val="2D2D2D"/>
          <w:sz w:val="20"/>
          <w:szCs w:val="20"/>
        </w:rPr>
        <w:t>establece</w:t>
      </w:r>
      <w:r w:rsidRPr="009315F1">
        <w:rPr>
          <w:rFonts w:ascii="Gotham" w:hAnsi="Gotham"/>
          <w:color w:val="2D2D2D"/>
          <w:spacing w:val="40"/>
          <w:sz w:val="20"/>
          <w:szCs w:val="20"/>
        </w:rPr>
        <w:t xml:space="preserve"> </w:t>
      </w:r>
      <w:r w:rsidRPr="009315F1">
        <w:rPr>
          <w:rFonts w:ascii="Gotham" w:hAnsi="Gotham"/>
          <w:color w:val="3D3D3D"/>
          <w:sz w:val="20"/>
          <w:szCs w:val="20"/>
        </w:rPr>
        <w:t>en</w:t>
      </w:r>
      <w:r w:rsidRPr="009315F1">
        <w:rPr>
          <w:rFonts w:ascii="Gotham" w:hAnsi="Gotham"/>
          <w:color w:val="3D3D3D"/>
          <w:spacing w:val="39"/>
          <w:sz w:val="20"/>
          <w:szCs w:val="20"/>
        </w:rPr>
        <w:t xml:space="preserve"> </w:t>
      </w:r>
      <w:r w:rsidRPr="009315F1">
        <w:rPr>
          <w:rFonts w:ascii="Gotham" w:hAnsi="Gotham"/>
          <w:color w:val="3F3F3F"/>
          <w:sz w:val="20"/>
          <w:szCs w:val="20"/>
        </w:rPr>
        <w:t>su</w:t>
      </w:r>
      <w:r w:rsidRPr="009315F1">
        <w:rPr>
          <w:rFonts w:ascii="Gotham" w:hAnsi="Gotham"/>
          <w:color w:val="3F3F3F"/>
          <w:spacing w:val="38"/>
          <w:sz w:val="20"/>
          <w:szCs w:val="20"/>
        </w:rPr>
        <w:t xml:space="preserve"> </w:t>
      </w:r>
      <w:r w:rsidRPr="009315F1">
        <w:rPr>
          <w:rFonts w:ascii="Gotham" w:hAnsi="Gotham"/>
          <w:color w:val="181818"/>
          <w:sz w:val="20"/>
          <w:szCs w:val="20"/>
        </w:rPr>
        <w:t>artículo</w:t>
      </w:r>
      <w:r w:rsidRPr="009315F1">
        <w:rPr>
          <w:rFonts w:ascii="Gotham" w:hAnsi="Gotham"/>
          <w:color w:val="181818"/>
          <w:spacing w:val="40"/>
          <w:sz w:val="20"/>
          <w:szCs w:val="20"/>
        </w:rPr>
        <w:t xml:space="preserve"> </w:t>
      </w:r>
      <w:r w:rsidRPr="009315F1">
        <w:rPr>
          <w:rFonts w:ascii="Gotham" w:hAnsi="Gotham"/>
          <w:color w:val="181818"/>
          <w:sz w:val="20"/>
          <w:szCs w:val="20"/>
        </w:rPr>
        <w:t xml:space="preserve">212, </w:t>
      </w:r>
      <w:r w:rsidRPr="009315F1">
        <w:rPr>
          <w:rFonts w:ascii="Gotham" w:hAnsi="Gotham"/>
          <w:color w:val="3D3D3D"/>
          <w:sz w:val="20"/>
          <w:szCs w:val="20"/>
        </w:rPr>
        <w:t xml:space="preserve">que </w:t>
      </w:r>
      <w:r w:rsidRPr="009315F1">
        <w:rPr>
          <w:rFonts w:ascii="Gotham" w:hAnsi="Gotham"/>
          <w:color w:val="363636"/>
          <w:sz w:val="20"/>
          <w:szCs w:val="20"/>
        </w:rPr>
        <w:t>los</w:t>
      </w:r>
      <w:r w:rsidRPr="009315F1">
        <w:rPr>
          <w:rFonts w:ascii="Gotham" w:hAnsi="Gotham"/>
          <w:color w:val="363636"/>
          <w:spacing w:val="-1"/>
          <w:sz w:val="20"/>
          <w:szCs w:val="20"/>
        </w:rPr>
        <w:t xml:space="preserve"> </w:t>
      </w:r>
      <w:r w:rsidRPr="009315F1">
        <w:rPr>
          <w:rFonts w:ascii="Gotham" w:hAnsi="Gotham"/>
          <w:color w:val="3A3A3A"/>
          <w:sz w:val="20"/>
          <w:szCs w:val="20"/>
        </w:rPr>
        <w:t xml:space="preserve">anteproyectos </w:t>
      </w:r>
      <w:r w:rsidRPr="009315F1">
        <w:rPr>
          <w:rFonts w:ascii="Gotham" w:hAnsi="Gotham"/>
          <w:color w:val="424242"/>
          <w:sz w:val="20"/>
          <w:szCs w:val="20"/>
        </w:rPr>
        <w:t>de</w:t>
      </w:r>
      <w:r w:rsidRPr="009315F1">
        <w:rPr>
          <w:rFonts w:ascii="Gotham" w:hAnsi="Gotham"/>
          <w:color w:val="424242"/>
          <w:spacing w:val="-5"/>
          <w:sz w:val="20"/>
          <w:szCs w:val="20"/>
        </w:rPr>
        <w:t xml:space="preserve"> </w:t>
      </w:r>
      <w:r w:rsidRPr="009315F1">
        <w:rPr>
          <w:rFonts w:ascii="Gotham" w:hAnsi="Gotham"/>
          <w:color w:val="2D2D2D"/>
          <w:sz w:val="20"/>
          <w:szCs w:val="20"/>
        </w:rPr>
        <w:t xml:space="preserve">presupuesto </w:t>
      </w:r>
      <w:r w:rsidRPr="009315F1">
        <w:rPr>
          <w:rFonts w:ascii="Gotham" w:hAnsi="Gotham"/>
          <w:color w:val="363636"/>
          <w:sz w:val="20"/>
          <w:szCs w:val="20"/>
        </w:rPr>
        <w:t xml:space="preserve">deben contener </w:t>
      </w:r>
      <w:r w:rsidRPr="009315F1">
        <w:rPr>
          <w:rFonts w:ascii="Gotham" w:hAnsi="Gotham"/>
          <w:color w:val="3F3F3F"/>
          <w:sz w:val="20"/>
          <w:szCs w:val="20"/>
        </w:rPr>
        <w:t>las</w:t>
      </w:r>
      <w:r w:rsidRPr="009315F1">
        <w:rPr>
          <w:rFonts w:ascii="Gotham" w:hAnsi="Gotham"/>
          <w:color w:val="3F3F3F"/>
          <w:spacing w:val="-5"/>
          <w:sz w:val="20"/>
          <w:szCs w:val="20"/>
        </w:rPr>
        <w:t xml:space="preserve"> </w:t>
      </w:r>
      <w:r w:rsidRPr="009315F1">
        <w:rPr>
          <w:rFonts w:ascii="Gotham" w:hAnsi="Gotham"/>
          <w:color w:val="333333"/>
          <w:sz w:val="20"/>
          <w:szCs w:val="20"/>
        </w:rPr>
        <w:t xml:space="preserve">plantillas </w:t>
      </w:r>
      <w:r w:rsidRPr="009315F1">
        <w:rPr>
          <w:rFonts w:ascii="Gotham" w:hAnsi="Gotham"/>
          <w:color w:val="3B3B3B"/>
          <w:sz w:val="20"/>
          <w:szCs w:val="20"/>
        </w:rPr>
        <w:t>de</w:t>
      </w:r>
      <w:r w:rsidRPr="009315F1">
        <w:rPr>
          <w:rFonts w:ascii="Gotham" w:hAnsi="Gotham"/>
          <w:color w:val="3B3B3B"/>
          <w:spacing w:val="-9"/>
          <w:sz w:val="20"/>
          <w:szCs w:val="20"/>
        </w:rPr>
        <w:t xml:space="preserve"> </w:t>
      </w:r>
      <w:r w:rsidRPr="009315F1">
        <w:rPr>
          <w:rFonts w:ascii="Gotham" w:hAnsi="Gotham"/>
          <w:color w:val="2D2D2D"/>
          <w:sz w:val="20"/>
          <w:szCs w:val="20"/>
        </w:rPr>
        <w:t xml:space="preserve">personal </w:t>
      </w:r>
      <w:r w:rsidRPr="009315F1">
        <w:rPr>
          <w:rFonts w:ascii="Gotham" w:hAnsi="Gotham"/>
          <w:color w:val="444444"/>
          <w:sz w:val="20"/>
          <w:szCs w:val="20"/>
        </w:rPr>
        <w:t>en</w:t>
      </w:r>
      <w:r w:rsidRPr="009315F1">
        <w:rPr>
          <w:rFonts w:ascii="Gotham" w:hAnsi="Gotham"/>
          <w:color w:val="444444"/>
          <w:spacing w:val="-6"/>
          <w:sz w:val="20"/>
          <w:szCs w:val="20"/>
        </w:rPr>
        <w:t xml:space="preserve"> </w:t>
      </w:r>
      <w:r w:rsidRPr="009315F1">
        <w:rPr>
          <w:rFonts w:ascii="Gotham" w:hAnsi="Gotham"/>
          <w:color w:val="3B3B3B"/>
          <w:sz w:val="20"/>
          <w:szCs w:val="20"/>
        </w:rPr>
        <w:t>las</w:t>
      </w:r>
      <w:r w:rsidRPr="009315F1">
        <w:rPr>
          <w:rFonts w:ascii="Gotham" w:hAnsi="Gotham"/>
          <w:color w:val="3B3B3B"/>
          <w:spacing w:val="-1"/>
          <w:sz w:val="20"/>
          <w:szCs w:val="20"/>
        </w:rPr>
        <w:t xml:space="preserve"> </w:t>
      </w:r>
      <w:r w:rsidRPr="009315F1">
        <w:rPr>
          <w:rFonts w:ascii="Gotham" w:hAnsi="Gotham"/>
          <w:color w:val="414141"/>
          <w:sz w:val="20"/>
          <w:szCs w:val="20"/>
        </w:rPr>
        <w:t xml:space="preserve">que </w:t>
      </w:r>
      <w:r w:rsidRPr="009315F1">
        <w:rPr>
          <w:rFonts w:ascii="Gotham" w:hAnsi="Gotham"/>
          <w:color w:val="444444"/>
          <w:sz w:val="20"/>
          <w:szCs w:val="20"/>
        </w:rPr>
        <w:t xml:space="preserve">se </w:t>
      </w:r>
      <w:r w:rsidRPr="009315F1">
        <w:rPr>
          <w:rFonts w:ascii="Gotham" w:hAnsi="Gotham"/>
          <w:color w:val="2A2A2A"/>
          <w:sz w:val="20"/>
          <w:szCs w:val="20"/>
        </w:rPr>
        <w:t xml:space="preserve">especifiquen </w:t>
      </w:r>
      <w:r w:rsidRPr="009315F1">
        <w:rPr>
          <w:rFonts w:ascii="Gotham" w:hAnsi="Gotham"/>
          <w:color w:val="383838"/>
          <w:sz w:val="20"/>
          <w:szCs w:val="20"/>
        </w:rPr>
        <w:t xml:space="preserve">los </w:t>
      </w:r>
      <w:r w:rsidRPr="009315F1">
        <w:rPr>
          <w:rFonts w:ascii="Gotham" w:hAnsi="Gotham"/>
          <w:color w:val="3F3F3F"/>
          <w:sz w:val="20"/>
          <w:szCs w:val="20"/>
        </w:rPr>
        <w:t xml:space="preserve">empleos </w:t>
      </w:r>
      <w:r w:rsidRPr="009315F1">
        <w:rPr>
          <w:rFonts w:ascii="Gotham" w:hAnsi="Gotham"/>
          <w:color w:val="3B3B3B"/>
          <w:sz w:val="20"/>
          <w:szCs w:val="20"/>
        </w:rPr>
        <w:t xml:space="preserve">públicos </w:t>
      </w:r>
      <w:r w:rsidRPr="009315F1">
        <w:rPr>
          <w:rFonts w:ascii="Gotham" w:hAnsi="Gotham"/>
          <w:color w:val="363636"/>
          <w:sz w:val="20"/>
          <w:szCs w:val="20"/>
        </w:rPr>
        <w:t xml:space="preserve">del </w:t>
      </w:r>
      <w:r w:rsidRPr="009315F1">
        <w:rPr>
          <w:rFonts w:ascii="Gotham" w:hAnsi="Gotham"/>
          <w:color w:val="2F2F2F"/>
          <w:sz w:val="20"/>
          <w:szCs w:val="20"/>
        </w:rPr>
        <w:t xml:space="preserve">municipio </w:t>
      </w:r>
      <w:r w:rsidRPr="009315F1">
        <w:rPr>
          <w:rFonts w:ascii="Gotham" w:hAnsi="Gotham"/>
          <w:color w:val="676767"/>
          <w:sz w:val="20"/>
          <w:szCs w:val="20"/>
        </w:rPr>
        <w:t xml:space="preserve">y </w:t>
      </w:r>
      <w:r w:rsidRPr="009315F1">
        <w:rPr>
          <w:rFonts w:ascii="Gotham" w:hAnsi="Gotham"/>
          <w:color w:val="2F2F2F"/>
          <w:sz w:val="20"/>
          <w:szCs w:val="20"/>
        </w:rPr>
        <w:t xml:space="preserve">se </w:t>
      </w:r>
      <w:r w:rsidRPr="009315F1">
        <w:rPr>
          <w:rFonts w:ascii="Gotham" w:hAnsi="Gotham"/>
          <w:color w:val="3B3B3B"/>
          <w:sz w:val="20"/>
          <w:szCs w:val="20"/>
        </w:rPr>
        <w:t xml:space="preserve">señale </w:t>
      </w:r>
      <w:r w:rsidRPr="009315F1">
        <w:rPr>
          <w:rFonts w:ascii="Gotham" w:hAnsi="Gotham"/>
          <w:color w:val="424242"/>
          <w:sz w:val="20"/>
          <w:szCs w:val="20"/>
        </w:rPr>
        <w:t xml:space="preserve">el </w:t>
      </w:r>
      <w:r w:rsidRPr="009315F1">
        <w:rPr>
          <w:rFonts w:ascii="Gotham" w:hAnsi="Gotham"/>
          <w:color w:val="3F3F3F"/>
          <w:sz w:val="20"/>
          <w:szCs w:val="20"/>
        </w:rPr>
        <w:t xml:space="preserve">total </w:t>
      </w:r>
      <w:r w:rsidRPr="009315F1">
        <w:rPr>
          <w:rFonts w:ascii="Gotham" w:hAnsi="Gotham"/>
          <w:color w:val="444444"/>
          <w:sz w:val="20"/>
          <w:szCs w:val="20"/>
        </w:rPr>
        <w:t xml:space="preserve">de </w:t>
      </w:r>
      <w:r w:rsidRPr="009315F1">
        <w:rPr>
          <w:rFonts w:ascii="Gotham" w:hAnsi="Gotham"/>
          <w:color w:val="3B3B3B"/>
          <w:sz w:val="20"/>
          <w:szCs w:val="20"/>
        </w:rPr>
        <w:t xml:space="preserve">las </w:t>
      </w:r>
      <w:r w:rsidRPr="009315F1">
        <w:rPr>
          <w:rFonts w:ascii="Gotham" w:hAnsi="Gotham"/>
          <w:color w:val="2B2B2B"/>
          <w:sz w:val="20"/>
          <w:szCs w:val="20"/>
        </w:rPr>
        <w:t xml:space="preserve">remuneraciones </w:t>
      </w:r>
      <w:r w:rsidRPr="009315F1">
        <w:rPr>
          <w:rFonts w:ascii="Gotham" w:hAnsi="Gotham"/>
          <w:color w:val="4F4F4F"/>
          <w:sz w:val="20"/>
          <w:szCs w:val="20"/>
        </w:rPr>
        <w:t xml:space="preserve">a </w:t>
      </w:r>
      <w:r w:rsidRPr="009315F1">
        <w:rPr>
          <w:rFonts w:ascii="Gotham" w:hAnsi="Gotham"/>
          <w:color w:val="3A3A3A"/>
          <w:sz w:val="20"/>
          <w:szCs w:val="20"/>
        </w:rPr>
        <w:t xml:space="preserve">que </w:t>
      </w:r>
      <w:r w:rsidRPr="009315F1">
        <w:rPr>
          <w:rFonts w:ascii="Gotham" w:hAnsi="Gotham"/>
          <w:color w:val="333333"/>
          <w:sz w:val="20"/>
          <w:szCs w:val="20"/>
        </w:rPr>
        <w:t xml:space="preserve">tengan </w:t>
      </w:r>
      <w:r w:rsidRPr="009315F1">
        <w:rPr>
          <w:rFonts w:ascii="Gotham" w:hAnsi="Gotham"/>
          <w:color w:val="363636"/>
          <w:sz w:val="20"/>
          <w:szCs w:val="20"/>
        </w:rPr>
        <w:t xml:space="preserve">derecho </w:t>
      </w:r>
      <w:r w:rsidRPr="009315F1">
        <w:rPr>
          <w:rFonts w:ascii="Gotham" w:hAnsi="Gotham"/>
          <w:color w:val="494949"/>
          <w:sz w:val="20"/>
          <w:szCs w:val="20"/>
        </w:rPr>
        <w:t xml:space="preserve">cada </w:t>
      </w:r>
      <w:r w:rsidRPr="009315F1">
        <w:rPr>
          <w:rFonts w:ascii="Gotham" w:hAnsi="Gotham"/>
          <w:color w:val="424242"/>
          <w:sz w:val="20"/>
          <w:szCs w:val="20"/>
        </w:rPr>
        <w:t xml:space="preserve">uno </w:t>
      </w:r>
      <w:r w:rsidRPr="009315F1">
        <w:rPr>
          <w:rFonts w:ascii="Gotham" w:hAnsi="Gotham"/>
          <w:color w:val="464646"/>
          <w:sz w:val="20"/>
          <w:szCs w:val="20"/>
        </w:rPr>
        <w:t xml:space="preserve">de </w:t>
      </w:r>
      <w:r w:rsidRPr="009315F1">
        <w:rPr>
          <w:rFonts w:ascii="Gotham" w:hAnsi="Gotham"/>
          <w:color w:val="3B3B3B"/>
          <w:sz w:val="20"/>
          <w:szCs w:val="20"/>
        </w:rPr>
        <w:t xml:space="preserve">los </w:t>
      </w:r>
      <w:r w:rsidRPr="009315F1">
        <w:rPr>
          <w:rFonts w:ascii="Gotham" w:hAnsi="Gotham"/>
          <w:color w:val="363636"/>
          <w:sz w:val="20"/>
          <w:szCs w:val="20"/>
        </w:rPr>
        <w:t xml:space="preserve">servidores </w:t>
      </w:r>
      <w:r w:rsidRPr="009315F1">
        <w:rPr>
          <w:rFonts w:ascii="Gotham" w:hAnsi="Gotham"/>
          <w:color w:val="3F3F3F"/>
          <w:sz w:val="20"/>
          <w:szCs w:val="20"/>
        </w:rPr>
        <w:t xml:space="preserve">públicos </w:t>
      </w:r>
      <w:r w:rsidRPr="009315F1">
        <w:rPr>
          <w:rFonts w:ascii="Gotham" w:hAnsi="Gotham"/>
          <w:color w:val="333333"/>
          <w:sz w:val="20"/>
          <w:szCs w:val="20"/>
        </w:rPr>
        <w:t>municipales,</w:t>
      </w:r>
      <w:r w:rsidRPr="009315F1">
        <w:rPr>
          <w:rFonts w:ascii="Gotham" w:hAnsi="Gotham"/>
          <w:color w:val="333333"/>
          <w:spacing w:val="40"/>
          <w:sz w:val="20"/>
          <w:szCs w:val="20"/>
        </w:rPr>
        <w:t xml:space="preserve"> </w:t>
      </w:r>
      <w:r w:rsidRPr="009315F1">
        <w:rPr>
          <w:rFonts w:ascii="Gotham" w:hAnsi="Gotham"/>
          <w:color w:val="363636"/>
          <w:sz w:val="20"/>
          <w:szCs w:val="20"/>
        </w:rPr>
        <w:t>las</w:t>
      </w:r>
      <w:r w:rsidRPr="009315F1">
        <w:rPr>
          <w:rFonts w:ascii="Gotham" w:hAnsi="Gotham"/>
          <w:color w:val="363636"/>
          <w:spacing w:val="-5"/>
          <w:sz w:val="20"/>
          <w:szCs w:val="20"/>
        </w:rPr>
        <w:t xml:space="preserve"> </w:t>
      </w:r>
      <w:r w:rsidRPr="009315F1">
        <w:rPr>
          <w:rFonts w:ascii="Gotham" w:hAnsi="Gotham"/>
          <w:color w:val="3A3A3A"/>
          <w:sz w:val="20"/>
          <w:szCs w:val="20"/>
        </w:rPr>
        <w:t xml:space="preserve">cuales </w:t>
      </w:r>
      <w:r w:rsidRPr="009315F1">
        <w:rPr>
          <w:rFonts w:ascii="Gotham" w:hAnsi="Gotham"/>
          <w:color w:val="343434"/>
          <w:sz w:val="20"/>
          <w:szCs w:val="20"/>
        </w:rPr>
        <w:t xml:space="preserve">deben </w:t>
      </w:r>
      <w:r w:rsidRPr="009315F1">
        <w:rPr>
          <w:rFonts w:ascii="Gotham" w:hAnsi="Gotham"/>
          <w:color w:val="444444"/>
          <w:sz w:val="20"/>
          <w:szCs w:val="20"/>
        </w:rPr>
        <w:t xml:space="preserve">ser </w:t>
      </w:r>
      <w:r w:rsidRPr="009315F1">
        <w:rPr>
          <w:rFonts w:ascii="Gotham" w:hAnsi="Gotham"/>
          <w:color w:val="3B3B3B"/>
          <w:sz w:val="20"/>
          <w:szCs w:val="20"/>
        </w:rPr>
        <w:t xml:space="preserve">acordes </w:t>
      </w:r>
      <w:r w:rsidRPr="009315F1">
        <w:rPr>
          <w:rFonts w:ascii="Gotham" w:hAnsi="Gotham"/>
          <w:color w:val="3A3A3A"/>
          <w:sz w:val="20"/>
          <w:szCs w:val="20"/>
        </w:rPr>
        <w:t>a</w:t>
      </w:r>
      <w:r w:rsidRPr="009315F1">
        <w:rPr>
          <w:rFonts w:ascii="Gotham" w:hAnsi="Gotham"/>
          <w:color w:val="3A3A3A"/>
          <w:spacing w:val="-5"/>
          <w:sz w:val="20"/>
          <w:szCs w:val="20"/>
        </w:rPr>
        <w:t xml:space="preserve"> </w:t>
      </w:r>
      <w:r w:rsidRPr="009315F1">
        <w:rPr>
          <w:rFonts w:ascii="Gotham" w:hAnsi="Gotham"/>
          <w:color w:val="3B3B3B"/>
          <w:sz w:val="20"/>
          <w:szCs w:val="20"/>
        </w:rPr>
        <w:t>lo</w:t>
      </w:r>
      <w:r w:rsidRPr="009315F1">
        <w:rPr>
          <w:rFonts w:ascii="Gotham" w:hAnsi="Gotham"/>
          <w:color w:val="3B3B3B"/>
          <w:spacing w:val="-10"/>
          <w:sz w:val="20"/>
          <w:szCs w:val="20"/>
        </w:rPr>
        <w:t xml:space="preserve"> </w:t>
      </w:r>
      <w:r w:rsidRPr="009315F1">
        <w:rPr>
          <w:rFonts w:ascii="Gotham" w:hAnsi="Gotham"/>
          <w:color w:val="3B3B3B"/>
          <w:sz w:val="20"/>
          <w:szCs w:val="20"/>
        </w:rPr>
        <w:t xml:space="preserve">dispuesto </w:t>
      </w:r>
      <w:r w:rsidRPr="009315F1">
        <w:rPr>
          <w:rFonts w:ascii="Gotham" w:hAnsi="Gotham"/>
          <w:color w:val="363636"/>
          <w:sz w:val="20"/>
          <w:szCs w:val="20"/>
        </w:rPr>
        <w:t>por</w:t>
      </w:r>
      <w:r w:rsidRPr="009315F1">
        <w:rPr>
          <w:rFonts w:ascii="Gotham" w:hAnsi="Gotham"/>
          <w:color w:val="363636"/>
          <w:spacing w:val="-8"/>
          <w:sz w:val="20"/>
          <w:szCs w:val="20"/>
        </w:rPr>
        <w:t xml:space="preserve"> </w:t>
      </w:r>
      <w:r w:rsidRPr="009315F1">
        <w:rPr>
          <w:rFonts w:ascii="Gotham" w:hAnsi="Gotham"/>
          <w:color w:val="3D3D3D"/>
          <w:sz w:val="20"/>
          <w:szCs w:val="20"/>
        </w:rPr>
        <w:t>los</w:t>
      </w:r>
      <w:r w:rsidRPr="009315F1">
        <w:rPr>
          <w:rFonts w:ascii="Gotham" w:hAnsi="Gotham"/>
          <w:color w:val="3D3D3D"/>
          <w:spacing w:val="-5"/>
          <w:sz w:val="20"/>
          <w:szCs w:val="20"/>
        </w:rPr>
        <w:t xml:space="preserve"> </w:t>
      </w:r>
      <w:r w:rsidRPr="009315F1">
        <w:rPr>
          <w:rFonts w:ascii="Gotham" w:hAnsi="Gotham"/>
          <w:color w:val="343434"/>
          <w:sz w:val="20"/>
          <w:szCs w:val="20"/>
        </w:rPr>
        <w:t xml:space="preserve">artículos </w:t>
      </w:r>
      <w:r w:rsidRPr="009315F1">
        <w:rPr>
          <w:rFonts w:ascii="Gotham" w:hAnsi="Gotham"/>
          <w:color w:val="3B3B3B"/>
          <w:sz w:val="20"/>
          <w:szCs w:val="20"/>
        </w:rPr>
        <w:t>127</w:t>
      </w:r>
      <w:r w:rsidRPr="009315F1">
        <w:rPr>
          <w:rFonts w:ascii="Gotham" w:hAnsi="Gotham"/>
          <w:color w:val="3B3B3B"/>
          <w:spacing w:val="-7"/>
          <w:sz w:val="20"/>
          <w:szCs w:val="20"/>
        </w:rPr>
        <w:t xml:space="preserve"> </w:t>
      </w:r>
      <w:r w:rsidRPr="009315F1">
        <w:rPr>
          <w:rFonts w:ascii="Gotham" w:hAnsi="Gotham"/>
          <w:color w:val="484848"/>
          <w:sz w:val="20"/>
          <w:szCs w:val="20"/>
        </w:rPr>
        <w:t>de</w:t>
      </w:r>
      <w:r w:rsidRPr="009315F1">
        <w:rPr>
          <w:rFonts w:ascii="Gotham" w:hAnsi="Gotham"/>
          <w:color w:val="484848"/>
          <w:spacing w:val="-6"/>
          <w:sz w:val="20"/>
          <w:szCs w:val="20"/>
        </w:rPr>
        <w:t xml:space="preserve"> </w:t>
      </w:r>
      <w:r w:rsidRPr="009315F1">
        <w:rPr>
          <w:rFonts w:ascii="Gotham" w:hAnsi="Gotham"/>
          <w:color w:val="444444"/>
          <w:sz w:val="20"/>
          <w:szCs w:val="20"/>
        </w:rPr>
        <w:t>la</w:t>
      </w:r>
      <w:r w:rsidRPr="009315F1">
        <w:rPr>
          <w:rFonts w:ascii="Gotham" w:hAnsi="Gotham"/>
          <w:color w:val="444444"/>
          <w:spacing w:val="-6"/>
          <w:sz w:val="20"/>
          <w:szCs w:val="20"/>
        </w:rPr>
        <w:t xml:space="preserve"> </w:t>
      </w:r>
      <w:r w:rsidRPr="009315F1">
        <w:rPr>
          <w:rFonts w:ascii="Gotham" w:hAnsi="Gotham"/>
          <w:color w:val="333333"/>
          <w:sz w:val="20"/>
          <w:szCs w:val="20"/>
        </w:rPr>
        <w:t xml:space="preserve">Constitución </w:t>
      </w:r>
      <w:r w:rsidRPr="009315F1">
        <w:rPr>
          <w:rFonts w:ascii="Gotham" w:hAnsi="Gotham"/>
          <w:color w:val="383838"/>
          <w:sz w:val="20"/>
          <w:szCs w:val="20"/>
        </w:rPr>
        <w:t xml:space="preserve">Política </w:t>
      </w:r>
      <w:r w:rsidRPr="009315F1">
        <w:rPr>
          <w:rFonts w:ascii="Gotham" w:hAnsi="Gotham"/>
          <w:color w:val="3D3D3D"/>
          <w:sz w:val="20"/>
          <w:szCs w:val="20"/>
        </w:rPr>
        <w:t xml:space="preserve">de </w:t>
      </w:r>
      <w:r w:rsidRPr="009315F1">
        <w:rPr>
          <w:rFonts w:ascii="Gotham" w:hAnsi="Gotham"/>
          <w:color w:val="2F2F2F"/>
          <w:sz w:val="20"/>
          <w:szCs w:val="20"/>
        </w:rPr>
        <w:t xml:space="preserve">los </w:t>
      </w:r>
      <w:r w:rsidRPr="009315F1">
        <w:rPr>
          <w:rFonts w:ascii="Gotham" w:hAnsi="Gotham"/>
          <w:color w:val="383838"/>
          <w:sz w:val="20"/>
          <w:szCs w:val="20"/>
        </w:rPr>
        <w:t xml:space="preserve">Estados </w:t>
      </w:r>
      <w:r w:rsidRPr="009315F1">
        <w:rPr>
          <w:rFonts w:ascii="Gotham" w:hAnsi="Gotham"/>
          <w:color w:val="2A2A2A"/>
          <w:sz w:val="20"/>
          <w:szCs w:val="20"/>
        </w:rPr>
        <w:t xml:space="preserve">Unidos </w:t>
      </w:r>
      <w:r w:rsidRPr="009315F1">
        <w:rPr>
          <w:rFonts w:ascii="Gotham" w:hAnsi="Gotham"/>
          <w:color w:val="343434"/>
          <w:sz w:val="20"/>
          <w:szCs w:val="20"/>
        </w:rPr>
        <w:t xml:space="preserve">Mexicanos </w:t>
      </w:r>
      <w:r w:rsidRPr="009315F1">
        <w:rPr>
          <w:rFonts w:ascii="Gotham" w:hAnsi="Gotham"/>
          <w:color w:val="4D4D4D"/>
          <w:sz w:val="20"/>
          <w:szCs w:val="20"/>
        </w:rPr>
        <w:t xml:space="preserve">y </w:t>
      </w:r>
      <w:r w:rsidRPr="009315F1">
        <w:rPr>
          <w:rFonts w:ascii="Gotham" w:hAnsi="Gotham"/>
          <w:color w:val="2F2F2F"/>
          <w:sz w:val="20"/>
          <w:szCs w:val="20"/>
        </w:rPr>
        <w:t xml:space="preserve">111 </w:t>
      </w:r>
      <w:r w:rsidRPr="009315F1">
        <w:rPr>
          <w:rFonts w:ascii="Gotham" w:hAnsi="Gotham"/>
          <w:color w:val="383838"/>
          <w:sz w:val="20"/>
          <w:szCs w:val="20"/>
        </w:rPr>
        <w:t xml:space="preserve">de </w:t>
      </w:r>
      <w:r w:rsidRPr="009315F1">
        <w:rPr>
          <w:rFonts w:ascii="Gotham" w:hAnsi="Gotham"/>
          <w:color w:val="343434"/>
          <w:sz w:val="20"/>
          <w:szCs w:val="20"/>
        </w:rPr>
        <w:t xml:space="preserve">la </w:t>
      </w:r>
      <w:r w:rsidRPr="009315F1">
        <w:rPr>
          <w:rFonts w:ascii="Gotham" w:hAnsi="Gotham"/>
          <w:color w:val="242424"/>
          <w:sz w:val="20"/>
          <w:szCs w:val="20"/>
        </w:rPr>
        <w:t xml:space="preserve">Constitución </w:t>
      </w:r>
      <w:r w:rsidRPr="009315F1">
        <w:rPr>
          <w:rFonts w:ascii="Gotham" w:hAnsi="Gotham"/>
          <w:color w:val="1C1C1C"/>
          <w:sz w:val="20"/>
          <w:szCs w:val="20"/>
        </w:rPr>
        <w:t xml:space="preserve">Política </w:t>
      </w:r>
      <w:r w:rsidRPr="009315F1">
        <w:rPr>
          <w:rFonts w:ascii="Gotham" w:hAnsi="Gotham"/>
          <w:color w:val="3A3A3A"/>
          <w:sz w:val="20"/>
          <w:szCs w:val="20"/>
        </w:rPr>
        <w:t xml:space="preserve">del </w:t>
      </w:r>
      <w:r w:rsidRPr="009315F1">
        <w:rPr>
          <w:rFonts w:ascii="Gotham" w:hAnsi="Gotham"/>
          <w:color w:val="2F2F2F"/>
          <w:sz w:val="20"/>
          <w:szCs w:val="20"/>
        </w:rPr>
        <w:t xml:space="preserve">Estado </w:t>
      </w:r>
      <w:r w:rsidRPr="009315F1">
        <w:rPr>
          <w:rFonts w:ascii="Gotham" w:hAnsi="Gotham"/>
          <w:color w:val="565656"/>
          <w:sz w:val="20"/>
          <w:szCs w:val="20"/>
        </w:rPr>
        <w:t xml:space="preserve">de </w:t>
      </w:r>
      <w:r w:rsidRPr="009315F1">
        <w:rPr>
          <w:rFonts w:ascii="Gotham" w:hAnsi="Gotham"/>
          <w:color w:val="2B2B2B"/>
          <w:sz w:val="20"/>
          <w:szCs w:val="20"/>
        </w:rPr>
        <w:t xml:space="preserve">Jalisco, </w:t>
      </w:r>
      <w:r w:rsidRPr="009315F1">
        <w:rPr>
          <w:rFonts w:ascii="Gotham" w:hAnsi="Gotham"/>
          <w:color w:val="313131"/>
          <w:sz w:val="20"/>
          <w:szCs w:val="20"/>
        </w:rPr>
        <w:t xml:space="preserve">así </w:t>
      </w:r>
      <w:r w:rsidRPr="009315F1">
        <w:rPr>
          <w:rFonts w:ascii="Gotham" w:hAnsi="Gotham"/>
          <w:color w:val="1C1C1C"/>
          <w:sz w:val="20"/>
          <w:szCs w:val="20"/>
        </w:rPr>
        <w:t xml:space="preserve">como </w:t>
      </w:r>
      <w:r w:rsidRPr="009315F1">
        <w:rPr>
          <w:rFonts w:ascii="Gotham" w:hAnsi="Gotham"/>
          <w:color w:val="414141"/>
          <w:sz w:val="20"/>
          <w:szCs w:val="20"/>
        </w:rPr>
        <w:t xml:space="preserve">a </w:t>
      </w:r>
      <w:r w:rsidRPr="009315F1">
        <w:rPr>
          <w:rFonts w:ascii="Gotham" w:hAnsi="Gotham"/>
          <w:color w:val="343434"/>
          <w:sz w:val="20"/>
          <w:szCs w:val="20"/>
        </w:rPr>
        <w:t>lo</w:t>
      </w:r>
      <w:r w:rsidRPr="009315F1">
        <w:rPr>
          <w:rFonts w:ascii="Gotham" w:hAnsi="Gotham"/>
          <w:color w:val="343434"/>
          <w:spacing w:val="-2"/>
          <w:sz w:val="20"/>
          <w:szCs w:val="20"/>
        </w:rPr>
        <w:t xml:space="preserve"> </w:t>
      </w:r>
      <w:r w:rsidRPr="009315F1">
        <w:rPr>
          <w:rFonts w:ascii="Gotham" w:hAnsi="Gotham"/>
          <w:color w:val="282828"/>
          <w:sz w:val="20"/>
          <w:szCs w:val="20"/>
        </w:rPr>
        <w:t xml:space="preserve">dispuesto </w:t>
      </w:r>
      <w:r w:rsidRPr="009315F1">
        <w:rPr>
          <w:rFonts w:ascii="Gotham" w:hAnsi="Gotham"/>
          <w:color w:val="313131"/>
          <w:sz w:val="20"/>
          <w:szCs w:val="20"/>
        </w:rPr>
        <w:t xml:space="preserve">por </w:t>
      </w:r>
      <w:r w:rsidRPr="009315F1">
        <w:rPr>
          <w:rFonts w:ascii="Gotham" w:hAnsi="Gotham"/>
          <w:color w:val="262626"/>
          <w:sz w:val="20"/>
          <w:szCs w:val="20"/>
        </w:rPr>
        <w:t xml:space="preserve">la </w:t>
      </w:r>
      <w:r w:rsidRPr="009315F1">
        <w:rPr>
          <w:rFonts w:ascii="Gotham" w:hAnsi="Gotham"/>
          <w:color w:val="4D4D4D"/>
          <w:sz w:val="20"/>
          <w:szCs w:val="20"/>
        </w:rPr>
        <w:t xml:space="preserve">Ley </w:t>
      </w:r>
      <w:r w:rsidRPr="009315F1">
        <w:rPr>
          <w:rFonts w:ascii="Gotham" w:hAnsi="Gotham"/>
          <w:color w:val="343434"/>
          <w:sz w:val="20"/>
          <w:szCs w:val="20"/>
        </w:rPr>
        <w:t>de</w:t>
      </w:r>
      <w:r w:rsidRPr="009315F1">
        <w:rPr>
          <w:rFonts w:ascii="Gotham" w:hAnsi="Gotham"/>
          <w:color w:val="343434"/>
          <w:spacing w:val="-3"/>
          <w:sz w:val="20"/>
          <w:szCs w:val="20"/>
        </w:rPr>
        <w:t xml:space="preserve"> </w:t>
      </w:r>
      <w:r w:rsidRPr="009315F1">
        <w:rPr>
          <w:rFonts w:ascii="Gotham" w:hAnsi="Gotham"/>
          <w:color w:val="2D2D2D"/>
          <w:sz w:val="20"/>
          <w:szCs w:val="20"/>
        </w:rPr>
        <w:t xml:space="preserve">Disciplina </w:t>
      </w:r>
      <w:r w:rsidRPr="009315F1">
        <w:rPr>
          <w:rFonts w:ascii="Gotham" w:hAnsi="Gotham"/>
          <w:color w:val="2A2A2A"/>
          <w:sz w:val="20"/>
          <w:szCs w:val="20"/>
        </w:rPr>
        <w:t xml:space="preserve">Financiera </w:t>
      </w:r>
      <w:r w:rsidRPr="009315F1">
        <w:rPr>
          <w:rFonts w:ascii="Gotham" w:hAnsi="Gotham"/>
          <w:color w:val="2F2F2F"/>
          <w:sz w:val="20"/>
          <w:szCs w:val="20"/>
        </w:rPr>
        <w:t>de</w:t>
      </w:r>
      <w:r w:rsidRPr="009315F1">
        <w:rPr>
          <w:rFonts w:ascii="Gotham" w:hAnsi="Gotham"/>
          <w:color w:val="2F2F2F"/>
          <w:spacing w:val="-5"/>
          <w:sz w:val="20"/>
          <w:szCs w:val="20"/>
        </w:rPr>
        <w:t xml:space="preserve"> </w:t>
      </w:r>
      <w:r w:rsidRPr="009315F1">
        <w:rPr>
          <w:rFonts w:ascii="Gotham" w:hAnsi="Gotham"/>
          <w:color w:val="212121"/>
          <w:sz w:val="20"/>
          <w:szCs w:val="20"/>
        </w:rPr>
        <w:t xml:space="preserve">las </w:t>
      </w:r>
      <w:r w:rsidRPr="009315F1">
        <w:rPr>
          <w:rFonts w:ascii="Gotham" w:hAnsi="Gotham"/>
          <w:color w:val="2F2F2F"/>
          <w:sz w:val="20"/>
          <w:szCs w:val="20"/>
        </w:rPr>
        <w:t xml:space="preserve">Entidades Federativas </w:t>
      </w:r>
      <w:r w:rsidRPr="009315F1">
        <w:rPr>
          <w:rFonts w:ascii="Gotham" w:hAnsi="Gotham"/>
          <w:color w:val="424242"/>
          <w:sz w:val="20"/>
          <w:szCs w:val="20"/>
        </w:rPr>
        <w:t xml:space="preserve">y </w:t>
      </w:r>
      <w:r w:rsidRPr="009315F1">
        <w:rPr>
          <w:rFonts w:ascii="Gotham" w:hAnsi="Gotham"/>
          <w:color w:val="262626"/>
          <w:sz w:val="20"/>
          <w:szCs w:val="20"/>
        </w:rPr>
        <w:t xml:space="preserve">los </w:t>
      </w:r>
      <w:r w:rsidRPr="009315F1">
        <w:rPr>
          <w:rFonts w:ascii="Gotham" w:hAnsi="Gotham"/>
          <w:color w:val="1F1F1F"/>
          <w:sz w:val="20"/>
          <w:szCs w:val="20"/>
        </w:rPr>
        <w:t xml:space="preserve">Municipios </w:t>
      </w:r>
      <w:r w:rsidRPr="009315F1">
        <w:rPr>
          <w:rFonts w:ascii="Gotham" w:hAnsi="Gotham"/>
          <w:color w:val="646464"/>
          <w:sz w:val="20"/>
          <w:szCs w:val="20"/>
        </w:rPr>
        <w:t xml:space="preserve">y </w:t>
      </w:r>
      <w:r w:rsidRPr="009315F1">
        <w:rPr>
          <w:rFonts w:ascii="Gotham" w:hAnsi="Gotham"/>
          <w:color w:val="181818"/>
          <w:sz w:val="20"/>
          <w:szCs w:val="20"/>
        </w:rPr>
        <w:t xml:space="preserve">demás </w:t>
      </w:r>
      <w:r w:rsidRPr="009315F1">
        <w:rPr>
          <w:rFonts w:ascii="Gotham" w:hAnsi="Gotham"/>
          <w:color w:val="1C1C1C"/>
          <w:sz w:val="20"/>
          <w:szCs w:val="20"/>
        </w:rPr>
        <w:t xml:space="preserve">disposiciones </w:t>
      </w:r>
      <w:r w:rsidRPr="009315F1">
        <w:rPr>
          <w:rFonts w:ascii="Gotham" w:hAnsi="Gotham"/>
          <w:color w:val="2D2D2D"/>
          <w:sz w:val="20"/>
          <w:szCs w:val="20"/>
        </w:rPr>
        <w:t xml:space="preserve">legales </w:t>
      </w:r>
      <w:r w:rsidRPr="009315F1">
        <w:rPr>
          <w:rFonts w:ascii="Gotham" w:hAnsi="Gotham"/>
          <w:sz w:val="20"/>
          <w:szCs w:val="20"/>
        </w:rPr>
        <w:t xml:space="preserve">aplicables, </w:t>
      </w:r>
      <w:r w:rsidRPr="009315F1">
        <w:rPr>
          <w:rFonts w:ascii="Gotham" w:hAnsi="Gotham"/>
          <w:color w:val="2F2F2F"/>
          <w:sz w:val="20"/>
          <w:szCs w:val="20"/>
        </w:rPr>
        <w:t xml:space="preserve">sin que </w:t>
      </w:r>
      <w:r w:rsidRPr="009315F1">
        <w:rPr>
          <w:rFonts w:ascii="Gotham" w:hAnsi="Gotham"/>
          <w:color w:val="262626"/>
          <w:sz w:val="20"/>
          <w:szCs w:val="20"/>
        </w:rPr>
        <w:t xml:space="preserve">bajo </w:t>
      </w:r>
      <w:r w:rsidRPr="009315F1">
        <w:rPr>
          <w:rFonts w:ascii="Gotham" w:hAnsi="Gotham"/>
          <w:color w:val="1F1F1F"/>
          <w:sz w:val="20"/>
          <w:szCs w:val="20"/>
        </w:rPr>
        <w:t xml:space="preserve">ninguna </w:t>
      </w:r>
      <w:r w:rsidRPr="009315F1">
        <w:rPr>
          <w:rFonts w:ascii="Gotham" w:hAnsi="Gotham"/>
          <w:color w:val="161616"/>
          <w:sz w:val="20"/>
          <w:szCs w:val="20"/>
        </w:rPr>
        <w:t xml:space="preserve">circunstancia, </w:t>
      </w:r>
      <w:r w:rsidRPr="009315F1">
        <w:rPr>
          <w:rFonts w:ascii="Gotham" w:hAnsi="Gotham"/>
          <w:color w:val="1A1A1A"/>
          <w:sz w:val="20"/>
          <w:szCs w:val="20"/>
        </w:rPr>
        <w:t xml:space="preserve">puedan </w:t>
      </w:r>
      <w:r w:rsidRPr="009315F1">
        <w:rPr>
          <w:rFonts w:ascii="Gotham" w:hAnsi="Gotham"/>
          <w:color w:val="232323"/>
          <w:sz w:val="20"/>
          <w:szCs w:val="20"/>
        </w:rPr>
        <w:t xml:space="preserve">incorporarse </w:t>
      </w:r>
      <w:r w:rsidRPr="009315F1">
        <w:rPr>
          <w:rFonts w:ascii="Gotham" w:hAnsi="Gotham"/>
          <w:color w:val="282828"/>
          <w:sz w:val="20"/>
          <w:szCs w:val="20"/>
        </w:rPr>
        <w:t xml:space="preserve">ingresos </w:t>
      </w:r>
      <w:r w:rsidRPr="009315F1">
        <w:rPr>
          <w:rFonts w:ascii="Gotham" w:hAnsi="Gotham"/>
          <w:color w:val="1D1D1D"/>
          <w:sz w:val="20"/>
          <w:szCs w:val="20"/>
        </w:rPr>
        <w:t xml:space="preserve">extraordinarios </w:t>
      </w:r>
      <w:r w:rsidRPr="009315F1">
        <w:rPr>
          <w:rFonts w:ascii="Gotham" w:hAnsi="Gotham"/>
          <w:color w:val="282828"/>
          <w:sz w:val="20"/>
          <w:szCs w:val="20"/>
        </w:rPr>
        <w:t xml:space="preserve">o </w:t>
      </w:r>
      <w:r w:rsidRPr="009315F1">
        <w:rPr>
          <w:rFonts w:ascii="Gotham" w:hAnsi="Gotham"/>
          <w:color w:val="232323"/>
          <w:sz w:val="20"/>
          <w:szCs w:val="20"/>
        </w:rPr>
        <w:t xml:space="preserve">por </w:t>
      </w:r>
      <w:r w:rsidRPr="009315F1">
        <w:rPr>
          <w:rFonts w:ascii="Gotham" w:hAnsi="Gotham"/>
          <w:color w:val="282828"/>
          <w:sz w:val="20"/>
          <w:szCs w:val="20"/>
        </w:rPr>
        <w:t xml:space="preserve">el </w:t>
      </w:r>
      <w:r w:rsidRPr="009315F1">
        <w:rPr>
          <w:rFonts w:ascii="Gotham" w:hAnsi="Gotham"/>
          <w:color w:val="242424"/>
          <w:sz w:val="20"/>
          <w:szCs w:val="20"/>
        </w:rPr>
        <w:t xml:space="preserve">fin </w:t>
      </w:r>
      <w:r w:rsidRPr="009315F1">
        <w:rPr>
          <w:rFonts w:ascii="Gotham" w:hAnsi="Gotham"/>
          <w:color w:val="212121"/>
          <w:sz w:val="20"/>
          <w:szCs w:val="20"/>
        </w:rPr>
        <w:t xml:space="preserve">del </w:t>
      </w:r>
      <w:r w:rsidRPr="009315F1">
        <w:rPr>
          <w:rFonts w:ascii="Gotham" w:hAnsi="Gotham"/>
          <w:sz w:val="20"/>
          <w:szCs w:val="20"/>
        </w:rPr>
        <w:t xml:space="preserve">encargo, </w:t>
      </w:r>
      <w:r w:rsidRPr="009315F1">
        <w:rPr>
          <w:rFonts w:ascii="Gotham" w:hAnsi="Gotham"/>
          <w:color w:val="181818"/>
          <w:sz w:val="20"/>
          <w:szCs w:val="20"/>
        </w:rPr>
        <w:t xml:space="preserve">adicionales </w:t>
      </w:r>
      <w:r w:rsidRPr="009315F1">
        <w:rPr>
          <w:rFonts w:ascii="Gotham" w:hAnsi="Gotham"/>
          <w:color w:val="2A2A2A"/>
          <w:sz w:val="20"/>
          <w:szCs w:val="20"/>
        </w:rPr>
        <w:t xml:space="preserve">a </w:t>
      </w:r>
      <w:r w:rsidRPr="009315F1">
        <w:rPr>
          <w:rFonts w:ascii="Gotham" w:hAnsi="Gotham"/>
          <w:color w:val="212121"/>
          <w:sz w:val="20"/>
          <w:szCs w:val="20"/>
        </w:rPr>
        <w:t xml:space="preserve">la </w:t>
      </w:r>
      <w:r w:rsidRPr="009315F1">
        <w:rPr>
          <w:rFonts w:ascii="Gotham" w:hAnsi="Gotham"/>
          <w:color w:val="151515"/>
          <w:sz w:val="20"/>
          <w:szCs w:val="20"/>
        </w:rPr>
        <w:t>remuneración.</w:t>
      </w:r>
    </w:p>
    <w:p w14:paraId="3A47320A" w14:textId="77777777" w:rsidR="00016FE1" w:rsidRPr="009315F1" w:rsidRDefault="00016FE1" w:rsidP="002B6227">
      <w:pPr>
        <w:pStyle w:val="Textoindependiente"/>
        <w:spacing w:after="0"/>
        <w:ind w:left="567" w:hanging="567"/>
        <w:rPr>
          <w:rFonts w:ascii="Gotham" w:hAnsi="Gotham"/>
          <w:sz w:val="20"/>
          <w:szCs w:val="20"/>
        </w:rPr>
      </w:pPr>
    </w:p>
    <w:p w14:paraId="3A47320B" w14:textId="77777777" w:rsidR="00016FE1" w:rsidRPr="009315F1" w:rsidRDefault="00016FE1" w:rsidP="002B6227">
      <w:pPr>
        <w:pStyle w:val="Textoindependiente"/>
        <w:spacing w:after="0"/>
        <w:ind w:left="567" w:hanging="567"/>
        <w:jc w:val="both"/>
        <w:rPr>
          <w:rFonts w:ascii="Gotham" w:hAnsi="Gotham"/>
          <w:sz w:val="20"/>
          <w:szCs w:val="20"/>
        </w:rPr>
      </w:pPr>
      <w:r w:rsidRPr="009315F1">
        <w:rPr>
          <w:rFonts w:ascii="Gotham" w:hAnsi="Gotham"/>
          <w:color w:val="0F0F0F"/>
          <w:sz w:val="20"/>
          <w:szCs w:val="20"/>
        </w:rPr>
        <w:t>VI.-</w:t>
      </w:r>
      <w:r w:rsidRPr="009315F1">
        <w:rPr>
          <w:rFonts w:ascii="Gotham" w:hAnsi="Gotham"/>
          <w:color w:val="0F0F0F"/>
          <w:spacing w:val="40"/>
          <w:sz w:val="20"/>
          <w:szCs w:val="20"/>
        </w:rPr>
        <w:t xml:space="preserve"> </w:t>
      </w:r>
      <w:r>
        <w:rPr>
          <w:rFonts w:ascii="Gotham" w:hAnsi="Gotham"/>
          <w:color w:val="0F0F0F"/>
          <w:spacing w:val="40"/>
          <w:sz w:val="20"/>
          <w:szCs w:val="20"/>
        </w:rPr>
        <w:tab/>
      </w:r>
      <w:r w:rsidRPr="009315F1">
        <w:rPr>
          <w:rFonts w:ascii="Gotham" w:hAnsi="Gotham"/>
          <w:color w:val="2F2F2F"/>
          <w:sz w:val="20"/>
          <w:szCs w:val="20"/>
        </w:rPr>
        <w:t xml:space="preserve">La </w:t>
      </w:r>
      <w:r w:rsidRPr="009315F1">
        <w:rPr>
          <w:rFonts w:ascii="Gotham" w:hAnsi="Gotham"/>
          <w:color w:val="343434"/>
          <w:sz w:val="20"/>
          <w:szCs w:val="20"/>
        </w:rPr>
        <w:t xml:space="preserve">Ley </w:t>
      </w:r>
      <w:r w:rsidRPr="009315F1">
        <w:rPr>
          <w:rFonts w:ascii="Gotham" w:hAnsi="Gotham"/>
          <w:color w:val="0C0C0C"/>
          <w:sz w:val="20"/>
          <w:szCs w:val="20"/>
        </w:rPr>
        <w:t xml:space="preserve">para </w:t>
      </w:r>
      <w:r w:rsidRPr="009315F1">
        <w:rPr>
          <w:rFonts w:ascii="Gotham" w:hAnsi="Gotham"/>
          <w:color w:val="1D1D1D"/>
          <w:sz w:val="20"/>
          <w:szCs w:val="20"/>
        </w:rPr>
        <w:t xml:space="preserve">los </w:t>
      </w:r>
      <w:r w:rsidRPr="009315F1">
        <w:rPr>
          <w:rFonts w:ascii="Gotham" w:hAnsi="Gotham"/>
          <w:color w:val="212121"/>
          <w:sz w:val="20"/>
          <w:szCs w:val="20"/>
        </w:rPr>
        <w:t xml:space="preserve">Servidores </w:t>
      </w:r>
      <w:r w:rsidRPr="009315F1">
        <w:rPr>
          <w:rFonts w:ascii="Gotham" w:hAnsi="Gotham"/>
          <w:color w:val="1C1C1C"/>
          <w:sz w:val="20"/>
          <w:szCs w:val="20"/>
        </w:rPr>
        <w:t>Públicos</w:t>
      </w:r>
      <w:r w:rsidRPr="009315F1">
        <w:rPr>
          <w:rFonts w:ascii="Gotham" w:hAnsi="Gotham"/>
          <w:color w:val="1C1C1C"/>
          <w:spacing w:val="40"/>
          <w:sz w:val="20"/>
          <w:szCs w:val="20"/>
        </w:rPr>
        <w:t xml:space="preserve"> </w:t>
      </w:r>
      <w:r w:rsidRPr="009315F1">
        <w:rPr>
          <w:rFonts w:ascii="Gotham" w:hAnsi="Gotham"/>
          <w:color w:val="232323"/>
          <w:sz w:val="20"/>
          <w:szCs w:val="20"/>
        </w:rPr>
        <w:t xml:space="preserve">del </w:t>
      </w:r>
      <w:r w:rsidRPr="009315F1">
        <w:rPr>
          <w:rFonts w:ascii="Gotham" w:hAnsi="Gotham"/>
          <w:color w:val="0C0C0C"/>
          <w:sz w:val="20"/>
          <w:szCs w:val="20"/>
        </w:rPr>
        <w:t xml:space="preserve">Estado </w:t>
      </w:r>
      <w:r w:rsidRPr="009315F1">
        <w:rPr>
          <w:rFonts w:ascii="Gotham" w:hAnsi="Gotham"/>
          <w:color w:val="363636"/>
          <w:sz w:val="20"/>
          <w:szCs w:val="20"/>
        </w:rPr>
        <w:t xml:space="preserve">de </w:t>
      </w:r>
      <w:r w:rsidRPr="009315F1">
        <w:rPr>
          <w:rFonts w:ascii="Gotham" w:hAnsi="Gotham"/>
          <w:color w:val="0C0C0C"/>
          <w:sz w:val="20"/>
          <w:szCs w:val="20"/>
        </w:rPr>
        <w:t xml:space="preserve">Jalisco </w:t>
      </w:r>
      <w:r w:rsidRPr="009315F1">
        <w:rPr>
          <w:rFonts w:ascii="Gotham" w:hAnsi="Gotham"/>
          <w:color w:val="565656"/>
          <w:sz w:val="20"/>
          <w:szCs w:val="20"/>
        </w:rPr>
        <w:t xml:space="preserve">y </w:t>
      </w:r>
      <w:r w:rsidRPr="009315F1">
        <w:rPr>
          <w:rFonts w:ascii="Gotham" w:hAnsi="Gotham"/>
          <w:color w:val="282828"/>
          <w:sz w:val="20"/>
          <w:szCs w:val="20"/>
        </w:rPr>
        <w:t xml:space="preserve">sus </w:t>
      </w:r>
      <w:r w:rsidRPr="009315F1">
        <w:rPr>
          <w:rFonts w:ascii="Gotham" w:hAnsi="Gotham"/>
          <w:color w:val="111111"/>
          <w:sz w:val="20"/>
          <w:szCs w:val="20"/>
        </w:rPr>
        <w:t xml:space="preserve">Municipios, </w:t>
      </w:r>
      <w:r w:rsidRPr="009315F1">
        <w:rPr>
          <w:rFonts w:ascii="Gotham" w:hAnsi="Gotham"/>
          <w:sz w:val="20"/>
          <w:szCs w:val="20"/>
        </w:rPr>
        <w:t>contempla, por</w:t>
      </w:r>
      <w:r w:rsidRPr="009315F1">
        <w:rPr>
          <w:rFonts w:ascii="Gotham" w:hAnsi="Gotham"/>
          <w:spacing w:val="-3"/>
          <w:sz w:val="20"/>
          <w:szCs w:val="20"/>
        </w:rPr>
        <w:t xml:space="preserve"> </w:t>
      </w:r>
      <w:r w:rsidRPr="009315F1">
        <w:rPr>
          <w:rFonts w:ascii="Gotham" w:hAnsi="Gotham"/>
          <w:color w:val="131313"/>
          <w:sz w:val="20"/>
          <w:szCs w:val="20"/>
        </w:rPr>
        <w:t>su</w:t>
      </w:r>
      <w:r w:rsidRPr="009315F1">
        <w:rPr>
          <w:rFonts w:ascii="Gotham" w:hAnsi="Gotham"/>
          <w:color w:val="131313"/>
          <w:spacing w:val="-13"/>
          <w:sz w:val="20"/>
          <w:szCs w:val="20"/>
        </w:rPr>
        <w:t xml:space="preserve"> </w:t>
      </w:r>
      <w:r w:rsidRPr="009315F1">
        <w:rPr>
          <w:rFonts w:ascii="Gotham" w:hAnsi="Gotham"/>
          <w:sz w:val="20"/>
          <w:szCs w:val="20"/>
        </w:rPr>
        <w:t>parte, que</w:t>
      </w:r>
      <w:r w:rsidRPr="009315F1">
        <w:rPr>
          <w:rFonts w:ascii="Gotham" w:hAnsi="Gotham"/>
          <w:spacing w:val="-6"/>
          <w:sz w:val="20"/>
          <w:szCs w:val="20"/>
        </w:rPr>
        <w:t xml:space="preserve"> </w:t>
      </w:r>
      <w:r w:rsidRPr="009315F1">
        <w:rPr>
          <w:rFonts w:ascii="Gotham" w:hAnsi="Gotham"/>
          <w:color w:val="131313"/>
          <w:sz w:val="20"/>
          <w:szCs w:val="20"/>
        </w:rPr>
        <w:t>el</w:t>
      </w:r>
      <w:r w:rsidRPr="009315F1">
        <w:rPr>
          <w:rFonts w:ascii="Gotham" w:hAnsi="Gotham"/>
          <w:color w:val="131313"/>
          <w:spacing w:val="-8"/>
          <w:sz w:val="20"/>
          <w:szCs w:val="20"/>
        </w:rPr>
        <w:t xml:space="preserve"> </w:t>
      </w:r>
      <w:r w:rsidRPr="009315F1">
        <w:rPr>
          <w:rFonts w:ascii="Gotham" w:hAnsi="Gotham"/>
          <w:sz w:val="20"/>
          <w:szCs w:val="20"/>
        </w:rPr>
        <w:t>sueldo es</w:t>
      </w:r>
      <w:r w:rsidRPr="009315F1">
        <w:rPr>
          <w:rFonts w:ascii="Gotham" w:hAnsi="Gotham"/>
          <w:spacing w:val="-7"/>
          <w:sz w:val="20"/>
          <w:szCs w:val="20"/>
        </w:rPr>
        <w:t xml:space="preserve"> </w:t>
      </w:r>
      <w:r w:rsidRPr="009315F1">
        <w:rPr>
          <w:rFonts w:ascii="Gotham" w:hAnsi="Gotham"/>
          <w:color w:val="111111"/>
          <w:sz w:val="20"/>
          <w:szCs w:val="20"/>
        </w:rPr>
        <w:t>la</w:t>
      </w:r>
      <w:r w:rsidRPr="009315F1">
        <w:rPr>
          <w:rFonts w:ascii="Gotham" w:hAnsi="Gotham"/>
          <w:color w:val="111111"/>
          <w:spacing w:val="-7"/>
          <w:sz w:val="20"/>
          <w:szCs w:val="20"/>
        </w:rPr>
        <w:t xml:space="preserve"> </w:t>
      </w:r>
      <w:r w:rsidRPr="009315F1">
        <w:rPr>
          <w:rFonts w:ascii="Gotham" w:hAnsi="Gotham"/>
          <w:sz w:val="20"/>
          <w:szCs w:val="20"/>
        </w:rPr>
        <w:t xml:space="preserve">remuneración </w:t>
      </w:r>
      <w:r w:rsidRPr="009315F1">
        <w:rPr>
          <w:rFonts w:ascii="Gotham" w:hAnsi="Gotham"/>
          <w:color w:val="161616"/>
          <w:sz w:val="20"/>
          <w:szCs w:val="20"/>
        </w:rPr>
        <w:t>o</w:t>
      </w:r>
      <w:r w:rsidRPr="009315F1">
        <w:rPr>
          <w:rFonts w:ascii="Gotham" w:hAnsi="Gotham"/>
          <w:color w:val="161616"/>
          <w:spacing w:val="-7"/>
          <w:sz w:val="20"/>
          <w:szCs w:val="20"/>
        </w:rPr>
        <w:t xml:space="preserve"> </w:t>
      </w:r>
      <w:r w:rsidRPr="009315F1">
        <w:rPr>
          <w:rFonts w:ascii="Gotham" w:hAnsi="Gotham"/>
          <w:sz w:val="20"/>
          <w:szCs w:val="20"/>
        </w:rPr>
        <w:t>retribución que</w:t>
      </w:r>
      <w:r w:rsidRPr="009315F1">
        <w:rPr>
          <w:rFonts w:ascii="Gotham" w:hAnsi="Gotham"/>
          <w:spacing w:val="-5"/>
          <w:sz w:val="20"/>
          <w:szCs w:val="20"/>
        </w:rPr>
        <w:t xml:space="preserve"> </w:t>
      </w:r>
      <w:r w:rsidRPr="009315F1">
        <w:rPr>
          <w:rFonts w:ascii="Gotham" w:hAnsi="Gotham"/>
          <w:color w:val="131313"/>
          <w:sz w:val="20"/>
          <w:szCs w:val="20"/>
        </w:rPr>
        <w:t>debe</w:t>
      </w:r>
      <w:r w:rsidRPr="009315F1">
        <w:rPr>
          <w:rFonts w:ascii="Gotham" w:hAnsi="Gotham"/>
          <w:color w:val="131313"/>
          <w:spacing w:val="-5"/>
          <w:sz w:val="20"/>
          <w:szCs w:val="20"/>
        </w:rPr>
        <w:t xml:space="preserve"> </w:t>
      </w:r>
      <w:r w:rsidRPr="009315F1">
        <w:rPr>
          <w:rFonts w:ascii="Gotham" w:hAnsi="Gotham"/>
          <w:sz w:val="20"/>
          <w:szCs w:val="20"/>
        </w:rPr>
        <w:t xml:space="preserve">pagarse </w:t>
      </w:r>
      <w:r w:rsidRPr="009315F1">
        <w:rPr>
          <w:rFonts w:ascii="Gotham" w:hAnsi="Gotham"/>
          <w:color w:val="1A1A1A"/>
          <w:sz w:val="20"/>
          <w:szCs w:val="20"/>
        </w:rPr>
        <w:t xml:space="preserve">al </w:t>
      </w:r>
      <w:r w:rsidRPr="009315F1">
        <w:rPr>
          <w:rFonts w:ascii="Gotham" w:hAnsi="Gotham"/>
          <w:color w:val="0C0C0C"/>
          <w:sz w:val="20"/>
          <w:szCs w:val="20"/>
        </w:rPr>
        <w:t xml:space="preserve">servidor </w:t>
      </w:r>
      <w:r w:rsidRPr="009315F1">
        <w:rPr>
          <w:rFonts w:ascii="Gotham" w:hAnsi="Gotham"/>
          <w:sz w:val="20"/>
          <w:szCs w:val="20"/>
        </w:rPr>
        <w:t xml:space="preserve">público </w:t>
      </w:r>
      <w:r w:rsidRPr="009315F1">
        <w:rPr>
          <w:rFonts w:ascii="Gotham" w:hAnsi="Gotham"/>
          <w:color w:val="0F0F0F"/>
          <w:sz w:val="20"/>
          <w:szCs w:val="20"/>
        </w:rPr>
        <w:t xml:space="preserve">por </w:t>
      </w:r>
      <w:r w:rsidRPr="009315F1">
        <w:rPr>
          <w:rFonts w:ascii="Gotham" w:hAnsi="Gotham"/>
          <w:sz w:val="20"/>
          <w:szCs w:val="20"/>
        </w:rPr>
        <w:t xml:space="preserve">los servicios prestados </w:t>
      </w:r>
      <w:r w:rsidRPr="009315F1">
        <w:rPr>
          <w:rFonts w:ascii="Gotham" w:hAnsi="Gotham"/>
          <w:color w:val="383838"/>
          <w:sz w:val="20"/>
          <w:szCs w:val="20"/>
        </w:rPr>
        <w:t xml:space="preserve">y </w:t>
      </w:r>
      <w:r w:rsidRPr="009315F1">
        <w:rPr>
          <w:rFonts w:ascii="Gotham" w:hAnsi="Gotham"/>
          <w:sz w:val="20"/>
          <w:szCs w:val="20"/>
        </w:rPr>
        <w:t xml:space="preserve">éste </w:t>
      </w:r>
      <w:r w:rsidRPr="009315F1">
        <w:rPr>
          <w:rFonts w:ascii="Gotham" w:hAnsi="Gotham"/>
          <w:color w:val="0F0F0F"/>
          <w:sz w:val="20"/>
          <w:szCs w:val="20"/>
        </w:rPr>
        <w:t xml:space="preserve">será </w:t>
      </w:r>
      <w:r w:rsidRPr="009315F1">
        <w:rPr>
          <w:rFonts w:ascii="Gotham" w:hAnsi="Gotham"/>
          <w:sz w:val="20"/>
          <w:szCs w:val="20"/>
        </w:rPr>
        <w:t xml:space="preserve">determinado </w:t>
      </w:r>
      <w:r w:rsidRPr="009315F1">
        <w:rPr>
          <w:rFonts w:ascii="Gotham" w:hAnsi="Gotham"/>
          <w:color w:val="0F0F0F"/>
          <w:sz w:val="20"/>
          <w:szCs w:val="20"/>
        </w:rPr>
        <w:t xml:space="preserve">por </w:t>
      </w:r>
      <w:r w:rsidRPr="009315F1">
        <w:rPr>
          <w:rFonts w:ascii="Gotham" w:hAnsi="Gotham"/>
          <w:sz w:val="20"/>
          <w:szCs w:val="20"/>
        </w:rPr>
        <w:t xml:space="preserve">anualidad </w:t>
      </w:r>
      <w:r w:rsidRPr="009315F1">
        <w:rPr>
          <w:rFonts w:ascii="Gotham" w:hAnsi="Gotham"/>
          <w:color w:val="363636"/>
          <w:sz w:val="20"/>
          <w:szCs w:val="20"/>
        </w:rPr>
        <w:t xml:space="preserve">y </w:t>
      </w:r>
      <w:r w:rsidRPr="009315F1">
        <w:rPr>
          <w:rFonts w:ascii="Gotham" w:hAnsi="Gotham"/>
          <w:sz w:val="20"/>
          <w:szCs w:val="20"/>
        </w:rPr>
        <w:t xml:space="preserve">en forma equitativa </w:t>
      </w:r>
      <w:r w:rsidRPr="009315F1">
        <w:rPr>
          <w:rFonts w:ascii="Gotham" w:hAnsi="Gotham"/>
          <w:color w:val="414141"/>
          <w:sz w:val="20"/>
          <w:szCs w:val="20"/>
        </w:rPr>
        <w:t>y</w:t>
      </w:r>
      <w:r w:rsidRPr="009315F1">
        <w:rPr>
          <w:rFonts w:ascii="Gotham" w:hAnsi="Gotham"/>
          <w:color w:val="414141"/>
          <w:spacing w:val="-4"/>
          <w:sz w:val="20"/>
          <w:szCs w:val="20"/>
        </w:rPr>
        <w:t xml:space="preserve"> </w:t>
      </w:r>
      <w:r w:rsidRPr="009315F1">
        <w:rPr>
          <w:rFonts w:ascii="Gotham" w:hAnsi="Gotham"/>
          <w:sz w:val="20"/>
          <w:szCs w:val="20"/>
        </w:rPr>
        <w:t xml:space="preserve">proporcional </w:t>
      </w:r>
      <w:r w:rsidRPr="009315F1">
        <w:rPr>
          <w:rFonts w:ascii="Gotham" w:hAnsi="Gotham"/>
          <w:color w:val="333333"/>
          <w:sz w:val="20"/>
          <w:szCs w:val="20"/>
        </w:rPr>
        <w:t xml:space="preserve">a </w:t>
      </w:r>
      <w:r w:rsidRPr="009315F1">
        <w:rPr>
          <w:rFonts w:ascii="Gotham" w:hAnsi="Gotham"/>
          <w:color w:val="0F0F0F"/>
          <w:sz w:val="20"/>
          <w:szCs w:val="20"/>
        </w:rPr>
        <w:t>la</w:t>
      </w:r>
      <w:r w:rsidRPr="009315F1">
        <w:rPr>
          <w:rFonts w:ascii="Gotham" w:hAnsi="Gotham"/>
          <w:color w:val="0F0F0F"/>
          <w:spacing w:val="-1"/>
          <w:sz w:val="20"/>
          <w:szCs w:val="20"/>
        </w:rPr>
        <w:t xml:space="preserve"> </w:t>
      </w:r>
      <w:r w:rsidRPr="009315F1">
        <w:rPr>
          <w:rFonts w:ascii="Gotham" w:hAnsi="Gotham"/>
          <w:sz w:val="20"/>
          <w:szCs w:val="20"/>
        </w:rPr>
        <w:t xml:space="preserve">función desempeñada, </w:t>
      </w:r>
      <w:r w:rsidRPr="009315F1">
        <w:rPr>
          <w:rFonts w:ascii="Gotham" w:hAnsi="Gotham"/>
          <w:color w:val="181818"/>
          <w:sz w:val="20"/>
          <w:szCs w:val="20"/>
        </w:rPr>
        <w:t xml:space="preserve">a </w:t>
      </w:r>
      <w:r w:rsidRPr="009315F1">
        <w:rPr>
          <w:rFonts w:ascii="Gotham" w:hAnsi="Gotham"/>
          <w:sz w:val="20"/>
          <w:szCs w:val="20"/>
        </w:rPr>
        <w:t>través de los</w:t>
      </w:r>
      <w:r w:rsidRPr="009315F1">
        <w:rPr>
          <w:rFonts w:ascii="Gotham" w:hAnsi="Gotham"/>
          <w:spacing w:val="-1"/>
          <w:sz w:val="20"/>
          <w:szCs w:val="20"/>
        </w:rPr>
        <w:t xml:space="preserve"> </w:t>
      </w:r>
      <w:r w:rsidRPr="009315F1">
        <w:rPr>
          <w:rFonts w:ascii="Gotham" w:hAnsi="Gotham"/>
          <w:sz w:val="20"/>
          <w:szCs w:val="20"/>
        </w:rPr>
        <w:t xml:space="preserve">presupuestos </w:t>
      </w:r>
      <w:r w:rsidRPr="009315F1">
        <w:rPr>
          <w:rFonts w:ascii="Gotham" w:hAnsi="Gotham"/>
          <w:color w:val="131313"/>
          <w:sz w:val="20"/>
          <w:szCs w:val="20"/>
        </w:rPr>
        <w:t xml:space="preserve">de </w:t>
      </w:r>
      <w:r w:rsidRPr="009315F1">
        <w:rPr>
          <w:rFonts w:ascii="Gotham" w:hAnsi="Gotham"/>
          <w:sz w:val="20"/>
          <w:szCs w:val="20"/>
        </w:rPr>
        <w:t>egresos correspondientes.</w:t>
      </w:r>
    </w:p>
    <w:p w14:paraId="3A47320C" w14:textId="77777777" w:rsidR="00016FE1" w:rsidRPr="009315F1" w:rsidRDefault="00016FE1" w:rsidP="002B6227">
      <w:pPr>
        <w:pStyle w:val="Textoindependiente"/>
        <w:spacing w:after="0"/>
        <w:ind w:right="49"/>
        <w:rPr>
          <w:rFonts w:ascii="Gotham" w:hAnsi="Gotham"/>
          <w:sz w:val="20"/>
          <w:szCs w:val="20"/>
        </w:rPr>
      </w:pPr>
    </w:p>
    <w:p w14:paraId="3A47320D" w14:textId="77777777" w:rsidR="00016FE1" w:rsidRPr="009315F1" w:rsidRDefault="00016FE1" w:rsidP="002B6227">
      <w:pPr>
        <w:pStyle w:val="Textoindependiente"/>
        <w:spacing w:after="0"/>
        <w:ind w:right="49"/>
        <w:jc w:val="both"/>
        <w:rPr>
          <w:rFonts w:ascii="Gotham" w:hAnsi="Gotham"/>
          <w:sz w:val="20"/>
          <w:szCs w:val="20"/>
        </w:rPr>
      </w:pPr>
      <w:r w:rsidRPr="009315F1">
        <w:rPr>
          <w:rFonts w:ascii="Gotham" w:hAnsi="Gotham"/>
          <w:sz w:val="20"/>
          <w:szCs w:val="20"/>
        </w:rPr>
        <w:t>Por</w:t>
      </w:r>
      <w:r w:rsidRPr="009315F1">
        <w:rPr>
          <w:rFonts w:ascii="Gotham" w:hAnsi="Gotham"/>
          <w:spacing w:val="16"/>
          <w:sz w:val="20"/>
          <w:szCs w:val="20"/>
        </w:rPr>
        <w:t xml:space="preserve"> </w:t>
      </w:r>
      <w:r w:rsidRPr="009315F1">
        <w:rPr>
          <w:rFonts w:ascii="Gotham" w:hAnsi="Gotham"/>
          <w:sz w:val="20"/>
          <w:szCs w:val="20"/>
        </w:rPr>
        <w:t>lo</w:t>
      </w:r>
      <w:r w:rsidRPr="009315F1">
        <w:rPr>
          <w:rFonts w:ascii="Gotham" w:hAnsi="Gotham"/>
          <w:spacing w:val="20"/>
          <w:sz w:val="20"/>
          <w:szCs w:val="20"/>
        </w:rPr>
        <w:t xml:space="preserve"> </w:t>
      </w:r>
      <w:r w:rsidRPr="009315F1">
        <w:rPr>
          <w:rFonts w:ascii="Gotham" w:hAnsi="Gotham"/>
          <w:sz w:val="20"/>
          <w:szCs w:val="20"/>
        </w:rPr>
        <w:t>anteriormente</w:t>
      </w:r>
      <w:r w:rsidRPr="009315F1">
        <w:rPr>
          <w:rFonts w:ascii="Gotham" w:hAnsi="Gotham"/>
          <w:spacing w:val="38"/>
          <w:sz w:val="20"/>
          <w:szCs w:val="20"/>
        </w:rPr>
        <w:t xml:space="preserve"> </w:t>
      </w:r>
      <w:r w:rsidRPr="009315F1">
        <w:rPr>
          <w:rFonts w:ascii="Gotham" w:hAnsi="Gotham"/>
          <w:color w:val="151515"/>
          <w:sz w:val="20"/>
          <w:szCs w:val="20"/>
        </w:rPr>
        <w:t>expuesto</w:t>
      </w:r>
      <w:r w:rsidRPr="009315F1">
        <w:rPr>
          <w:rFonts w:ascii="Gotham" w:hAnsi="Gotham"/>
          <w:color w:val="151515"/>
          <w:spacing w:val="39"/>
          <w:sz w:val="20"/>
          <w:szCs w:val="20"/>
        </w:rPr>
        <w:t xml:space="preserve"> </w:t>
      </w:r>
      <w:r w:rsidRPr="009315F1">
        <w:rPr>
          <w:rFonts w:ascii="Gotham" w:hAnsi="Gotham"/>
          <w:sz w:val="20"/>
          <w:szCs w:val="20"/>
        </w:rPr>
        <w:t>someto</w:t>
      </w:r>
      <w:r w:rsidRPr="009315F1">
        <w:rPr>
          <w:rFonts w:ascii="Gotham" w:hAnsi="Gotham"/>
          <w:spacing w:val="29"/>
          <w:sz w:val="20"/>
          <w:szCs w:val="20"/>
        </w:rPr>
        <w:t xml:space="preserve"> </w:t>
      </w:r>
      <w:r w:rsidRPr="009315F1">
        <w:rPr>
          <w:rFonts w:ascii="Gotham" w:hAnsi="Gotham"/>
          <w:color w:val="3D3D3D"/>
          <w:sz w:val="20"/>
          <w:szCs w:val="20"/>
        </w:rPr>
        <w:t>a</w:t>
      </w:r>
      <w:r w:rsidRPr="009315F1">
        <w:rPr>
          <w:rFonts w:ascii="Gotham" w:hAnsi="Gotham"/>
          <w:color w:val="3D3D3D"/>
          <w:spacing w:val="16"/>
          <w:sz w:val="20"/>
          <w:szCs w:val="20"/>
        </w:rPr>
        <w:t xml:space="preserve"> </w:t>
      </w:r>
      <w:r w:rsidRPr="009315F1">
        <w:rPr>
          <w:rFonts w:ascii="Gotham" w:hAnsi="Gotham"/>
          <w:color w:val="212121"/>
          <w:sz w:val="20"/>
          <w:szCs w:val="20"/>
        </w:rPr>
        <w:t>su</w:t>
      </w:r>
      <w:r w:rsidRPr="009315F1">
        <w:rPr>
          <w:rFonts w:ascii="Gotham" w:hAnsi="Gotham"/>
          <w:color w:val="212121"/>
          <w:spacing w:val="17"/>
          <w:sz w:val="20"/>
          <w:szCs w:val="20"/>
        </w:rPr>
        <w:t xml:space="preserve"> </w:t>
      </w:r>
      <w:r w:rsidRPr="009315F1">
        <w:rPr>
          <w:rFonts w:ascii="Gotham" w:hAnsi="Gotham"/>
          <w:sz w:val="20"/>
          <w:szCs w:val="20"/>
        </w:rPr>
        <w:t>consideración</w:t>
      </w:r>
      <w:r w:rsidRPr="009315F1">
        <w:rPr>
          <w:rFonts w:ascii="Gotham" w:hAnsi="Gotham"/>
          <w:spacing w:val="35"/>
          <w:sz w:val="20"/>
          <w:szCs w:val="20"/>
        </w:rPr>
        <w:t xml:space="preserve"> </w:t>
      </w:r>
      <w:r w:rsidRPr="009315F1">
        <w:rPr>
          <w:rFonts w:ascii="Gotham" w:hAnsi="Gotham"/>
          <w:sz w:val="20"/>
          <w:szCs w:val="20"/>
        </w:rPr>
        <w:t>los</w:t>
      </w:r>
      <w:r w:rsidRPr="009315F1">
        <w:rPr>
          <w:rFonts w:ascii="Gotham" w:hAnsi="Gotham"/>
          <w:spacing w:val="20"/>
          <w:sz w:val="20"/>
          <w:szCs w:val="20"/>
        </w:rPr>
        <w:t xml:space="preserve"> </w:t>
      </w:r>
      <w:r w:rsidRPr="009315F1">
        <w:rPr>
          <w:rFonts w:ascii="Gotham" w:hAnsi="Gotham"/>
          <w:sz w:val="20"/>
          <w:szCs w:val="20"/>
        </w:rPr>
        <w:t>siguientes</w:t>
      </w:r>
      <w:r w:rsidRPr="009315F1">
        <w:rPr>
          <w:rFonts w:ascii="Gotham" w:hAnsi="Gotham"/>
          <w:spacing w:val="27"/>
          <w:sz w:val="20"/>
          <w:szCs w:val="20"/>
        </w:rPr>
        <w:t xml:space="preserve"> </w:t>
      </w:r>
      <w:r w:rsidRPr="009315F1">
        <w:rPr>
          <w:rFonts w:ascii="Gotham" w:hAnsi="Gotham"/>
          <w:sz w:val="20"/>
          <w:szCs w:val="20"/>
        </w:rPr>
        <w:t>puntos</w:t>
      </w:r>
      <w:r w:rsidRPr="009315F1">
        <w:rPr>
          <w:rFonts w:ascii="Gotham" w:hAnsi="Gotham"/>
          <w:spacing w:val="28"/>
          <w:sz w:val="20"/>
          <w:szCs w:val="20"/>
        </w:rPr>
        <w:t xml:space="preserve"> </w:t>
      </w:r>
      <w:r w:rsidRPr="009315F1">
        <w:rPr>
          <w:rFonts w:ascii="Gotham" w:hAnsi="Gotham"/>
          <w:spacing w:val="-5"/>
          <w:sz w:val="20"/>
          <w:szCs w:val="20"/>
        </w:rPr>
        <w:t>de</w:t>
      </w:r>
    </w:p>
    <w:p w14:paraId="3A47320E" w14:textId="77777777" w:rsidR="00016FE1" w:rsidRPr="009315F1" w:rsidRDefault="00016FE1" w:rsidP="002B6227">
      <w:pPr>
        <w:pStyle w:val="Textoindependiente"/>
        <w:spacing w:after="0"/>
        <w:ind w:right="49"/>
        <w:rPr>
          <w:rFonts w:ascii="Gotham" w:hAnsi="Gotham"/>
          <w:sz w:val="20"/>
          <w:szCs w:val="20"/>
        </w:rPr>
      </w:pPr>
    </w:p>
    <w:p w14:paraId="3A47320F" w14:textId="77777777" w:rsidR="00016FE1" w:rsidRPr="003F61C5" w:rsidRDefault="00016FE1" w:rsidP="002B6227">
      <w:pPr>
        <w:tabs>
          <w:tab w:val="left" w:pos="142"/>
          <w:tab w:val="left" w:pos="284"/>
        </w:tabs>
        <w:jc w:val="center"/>
        <w:rPr>
          <w:rFonts w:ascii="Gotham" w:hAnsi="Gotham"/>
          <w:sz w:val="20"/>
          <w:szCs w:val="20"/>
        </w:rPr>
      </w:pPr>
      <w:r w:rsidRPr="003F61C5">
        <w:rPr>
          <w:rFonts w:ascii="Gotham" w:hAnsi="Gotham"/>
          <w:sz w:val="20"/>
          <w:szCs w:val="20"/>
        </w:rPr>
        <w:lastRenderedPageBreak/>
        <w:t>ACUERDO</w:t>
      </w:r>
    </w:p>
    <w:p w14:paraId="3A473210" w14:textId="77777777" w:rsidR="00016FE1" w:rsidRPr="003F61C5" w:rsidRDefault="00016FE1" w:rsidP="002B6227">
      <w:pPr>
        <w:tabs>
          <w:tab w:val="left" w:pos="142"/>
          <w:tab w:val="left" w:pos="284"/>
        </w:tabs>
        <w:jc w:val="both"/>
        <w:rPr>
          <w:rFonts w:ascii="Gotham" w:hAnsi="Gotham"/>
          <w:sz w:val="20"/>
          <w:szCs w:val="20"/>
        </w:rPr>
      </w:pPr>
    </w:p>
    <w:p w14:paraId="3A473211" w14:textId="77777777" w:rsidR="00016FE1" w:rsidRPr="003F61C5" w:rsidRDefault="00016FE1" w:rsidP="002B6227">
      <w:pPr>
        <w:tabs>
          <w:tab w:val="left" w:pos="142"/>
          <w:tab w:val="left" w:pos="284"/>
        </w:tabs>
        <w:jc w:val="both"/>
        <w:rPr>
          <w:rFonts w:ascii="Gotham" w:hAnsi="Gotham"/>
          <w:sz w:val="20"/>
          <w:szCs w:val="20"/>
        </w:rPr>
      </w:pPr>
      <w:r w:rsidRPr="003F61C5">
        <w:rPr>
          <w:rFonts w:ascii="Gotham" w:hAnsi="Gotham"/>
          <w:sz w:val="20"/>
          <w:szCs w:val="20"/>
        </w:rPr>
        <w:t>PRIMERO.- Se autorizan las modificaciones y ajustes a la Plantilla de Personal de los Servidores Públicos de este Ayuntamiento Constitucional de Tonalá, del ejercicio fiscal 2024, con motivo del incremento anual que les fue aplicado, en los términos en que se adjunta a la presente iniciativa.</w:t>
      </w:r>
    </w:p>
    <w:p w14:paraId="3A473212" w14:textId="77777777" w:rsidR="00016FE1" w:rsidRPr="003F61C5" w:rsidRDefault="00016FE1" w:rsidP="002B6227">
      <w:pPr>
        <w:tabs>
          <w:tab w:val="left" w:pos="142"/>
          <w:tab w:val="left" w:pos="284"/>
        </w:tabs>
        <w:jc w:val="both"/>
        <w:rPr>
          <w:rFonts w:ascii="Gotham" w:hAnsi="Gotham"/>
          <w:sz w:val="20"/>
          <w:szCs w:val="20"/>
        </w:rPr>
      </w:pPr>
    </w:p>
    <w:p w14:paraId="3A473213" w14:textId="77777777" w:rsidR="00016FE1" w:rsidRPr="003F61C5" w:rsidRDefault="00016FE1" w:rsidP="002B6227">
      <w:pPr>
        <w:tabs>
          <w:tab w:val="left" w:pos="142"/>
          <w:tab w:val="left" w:pos="284"/>
        </w:tabs>
        <w:jc w:val="both"/>
        <w:rPr>
          <w:rFonts w:ascii="Gotham" w:hAnsi="Gotham"/>
          <w:sz w:val="20"/>
          <w:szCs w:val="20"/>
        </w:rPr>
      </w:pPr>
      <w:r w:rsidRPr="003F61C5">
        <w:rPr>
          <w:rFonts w:ascii="Gotham" w:hAnsi="Gotham"/>
          <w:sz w:val="20"/>
          <w:szCs w:val="20"/>
        </w:rPr>
        <w:t>SEGUNDO.- Con fundamento en lo establecido por el artículo 79 de la Ley del Gobierno y la Administración Pública Municipal del Estado de Jalisco, se faculta al Encargado de la Hacienda Municipal para que realice las ampliaciones y/o adecuaciones que sean necesarias al presupuesto de egresos para el año 2024.</w:t>
      </w:r>
    </w:p>
    <w:p w14:paraId="3A473214" w14:textId="77777777" w:rsidR="00016FE1" w:rsidRPr="003F61C5" w:rsidRDefault="00016FE1" w:rsidP="002B6227">
      <w:pPr>
        <w:tabs>
          <w:tab w:val="left" w:pos="142"/>
          <w:tab w:val="left" w:pos="284"/>
        </w:tabs>
        <w:jc w:val="both"/>
        <w:rPr>
          <w:rFonts w:ascii="Gotham" w:hAnsi="Gotham"/>
          <w:sz w:val="20"/>
          <w:szCs w:val="20"/>
        </w:rPr>
      </w:pPr>
    </w:p>
    <w:p w14:paraId="3A473215" w14:textId="77777777" w:rsidR="00016FE1" w:rsidRPr="003F61C5" w:rsidRDefault="00016FE1" w:rsidP="002B6227">
      <w:pPr>
        <w:tabs>
          <w:tab w:val="left" w:pos="142"/>
          <w:tab w:val="left" w:pos="284"/>
        </w:tabs>
        <w:jc w:val="both"/>
        <w:rPr>
          <w:rFonts w:ascii="Gotham" w:hAnsi="Gotham"/>
          <w:sz w:val="20"/>
          <w:szCs w:val="20"/>
        </w:rPr>
      </w:pPr>
      <w:r w:rsidRPr="003F61C5">
        <w:rPr>
          <w:rFonts w:ascii="Gotham" w:hAnsi="Gotham"/>
          <w:sz w:val="20"/>
          <w:szCs w:val="20"/>
        </w:rPr>
        <w:t>TERCERO.- instrúyase al Director General de Administración y Desarrollo Humano, para que por su conducto se aplique los incrementos señalados en el presente acuerdo.</w:t>
      </w:r>
    </w:p>
    <w:p w14:paraId="3A473216" w14:textId="77777777" w:rsidR="00016FE1" w:rsidRPr="003F61C5" w:rsidRDefault="00016FE1" w:rsidP="002B6227">
      <w:pPr>
        <w:tabs>
          <w:tab w:val="left" w:pos="142"/>
          <w:tab w:val="left" w:pos="284"/>
        </w:tabs>
        <w:jc w:val="both"/>
        <w:rPr>
          <w:rFonts w:ascii="Gotham" w:hAnsi="Gotham"/>
          <w:sz w:val="20"/>
          <w:szCs w:val="20"/>
        </w:rPr>
      </w:pPr>
    </w:p>
    <w:p w14:paraId="3A473217" w14:textId="77777777" w:rsidR="00016FE1" w:rsidRPr="003F61C5" w:rsidRDefault="00016FE1" w:rsidP="002B6227">
      <w:pPr>
        <w:tabs>
          <w:tab w:val="left" w:pos="142"/>
          <w:tab w:val="left" w:pos="284"/>
        </w:tabs>
        <w:jc w:val="both"/>
        <w:rPr>
          <w:rFonts w:ascii="Gotham" w:hAnsi="Gotham"/>
          <w:sz w:val="20"/>
          <w:szCs w:val="20"/>
        </w:rPr>
      </w:pPr>
      <w:r w:rsidRPr="003F61C5">
        <w:rPr>
          <w:rFonts w:ascii="Gotham" w:hAnsi="Gotham"/>
          <w:sz w:val="20"/>
          <w:szCs w:val="20"/>
        </w:rPr>
        <w:t>CUARTO.- Se faculta al Presidente Municipal, Secretaria General y Síndico Municipal, para que suscriban la documentación necesaria que den cumplimiento al presente acuerdo.</w:t>
      </w:r>
    </w:p>
    <w:p w14:paraId="3A473218" w14:textId="77777777" w:rsidR="00016FE1" w:rsidRPr="003F61C5" w:rsidRDefault="00016FE1" w:rsidP="002B6227">
      <w:pPr>
        <w:tabs>
          <w:tab w:val="left" w:pos="142"/>
          <w:tab w:val="left" w:pos="284"/>
        </w:tabs>
        <w:jc w:val="both"/>
        <w:rPr>
          <w:rFonts w:ascii="Gotham" w:hAnsi="Gotham"/>
          <w:sz w:val="20"/>
          <w:szCs w:val="20"/>
        </w:rPr>
      </w:pPr>
    </w:p>
    <w:p w14:paraId="3A473219" w14:textId="77777777" w:rsidR="00016FE1" w:rsidRPr="003F61C5" w:rsidRDefault="00016FE1" w:rsidP="002B6227">
      <w:pPr>
        <w:tabs>
          <w:tab w:val="left" w:pos="142"/>
          <w:tab w:val="left" w:pos="284"/>
        </w:tabs>
        <w:jc w:val="both"/>
        <w:rPr>
          <w:rFonts w:ascii="Gotham" w:hAnsi="Gotham"/>
          <w:sz w:val="20"/>
          <w:szCs w:val="20"/>
        </w:rPr>
      </w:pPr>
      <w:r w:rsidRPr="003F61C5">
        <w:rPr>
          <w:rFonts w:ascii="Gotham" w:hAnsi="Gotham"/>
          <w:sz w:val="20"/>
          <w:szCs w:val="20"/>
        </w:rPr>
        <w:t>En uso de la voz el Presidente Municipal, Sergio Armando Chávez Dávalos, señala que, en consecuencia, se abre la discusión, en lo general y en lo particular, con referencia a la presente Iniciativa con Dispensa de Trámite, consultando a las y los Regidores si alguien desea hacer uso de la voz; instruyendo a la Secretaria General, para que registre a los oradores.</w:t>
      </w:r>
    </w:p>
    <w:p w14:paraId="3A47321A" w14:textId="77777777" w:rsidR="00016FE1" w:rsidRPr="003F61C5" w:rsidRDefault="00016FE1" w:rsidP="002B6227">
      <w:pPr>
        <w:tabs>
          <w:tab w:val="left" w:pos="142"/>
          <w:tab w:val="left" w:pos="284"/>
        </w:tabs>
        <w:jc w:val="both"/>
        <w:rPr>
          <w:rFonts w:ascii="Gotham" w:hAnsi="Gotham"/>
          <w:sz w:val="20"/>
          <w:szCs w:val="20"/>
        </w:rPr>
      </w:pPr>
    </w:p>
    <w:p w14:paraId="3A47321B" w14:textId="77777777" w:rsidR="00016FE1" w:rsidRPr="003F61C5" w:rsidRDefault="00016FE1" w:rsidP="002B6227">
      <w:pPr>
        <w:tabs>
          <w:tab w:val="left" w:pos="142"/>
          <w:tab w:val="left" w:pos="284"/>
        </w:tabs>
        <w:jc w:val="both"/>
        <w:rPr>
          <w:rFonts w:ascii="Gotham" w:hAnsi="Gotham"/>
          <w:sz w:val="20"/>
          <w:szCs w:val="20"/>
        </w:rPr>
      </w:pPr>
      <w:r w:rsidRPr="003F61C5">
        <w:rPr>
          <w:rFonts w:ascii="Gotham" w:hAnsi="Gotham"/>
          <w:sz w:val="20"/>
          <w:szCs w:val="20"/>
        </w:rPr>
        <w:t>En uso de la voz informativa, la Secretaria General, Celia Isabel Gauna Ruíz de León, manifiesta que, como lo indica señor Presidente, le informo que no se cuenta con registro de oradores.</w:t>
      </w:r>
    </w:p>
    <w:p w14:paraId="3A47321C" w14:textId="77777777" w:rsidR="00016FE1" w:rsidRPr="003F61C5" w:rsidRDefault="00016FE1" w:rsidP="002B6227">
      <w:pPr>
        <w:tabs>
          <w:tab w:val="left" w:pos="142"/>
          <w:tab w:val="left" w:pos="284"/>
        </w:tabs>
        <w:jc w:val="both"/>
        <w:rPr>
          <w:rFonts w:ascii="Gotham" w:hAnsi="Gotham"/>
          <w:sz w:val="20"/>
          <w:szCs w:val="20"/>
        </w:rPr>
      </w:pPr>
    </w:p>
    <w:p w14:paraId="3A47321D" w14:textId="77777777" w:rsidR="00016FE1" w:rsidRPr="003F61C5" w:rsidRDefault="00016FE1" w:rsidP="002B6227">
      <w:pPr>
        <w:tabs>
          <w:tab w:val="left" w:pos="142"/>
          <w:tab w:val="left" w:pos="284"/>
        </w:tabs>
        <w:jc w:val="both"/>
        <w:rPr>
          <w:rFonts w:ascii="Gotham" w:hAnsi="Gotham"/>
          <w:sz w:val="20"/>
          <w:szCs w:val="20"/>
        </w:rPr>
      </w:pPr>
      <w:r w:rsidRPr="003F61C5">
        <w:rPr>
          <w:rFonts w:ascii="Gotham" w:hAnsi="Gotham"/>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3A47321E" w14:textId="77777777" w:rsidR="00016FE1" w:rsidRPr="003F61C5" w:rsidRDefault="00016FE1" w:rsidP="002B6227">
      <w:pPr>
        <w:tabs>
          <w:tab w:val="left" w:pos="142"/>
          <w:tab w:val="left" w:pos="284"/>
        </w:tabs>
        <w:jc w:val="both"/>
        <w:rPr>
          <w:rFonts w:ascii="Gotham" w:hAnsi="Gotham"/>
          <w:sz w:val="20"/>
          <w:szCs w:val="20"/>
        </w:rPr>
      </w:pPr>
    </w:p>
    <w:p w14:paraId="3A47321F" w14:textId="77777777" w:rsidR="00016FE1" w:rsidRPr="003F61C5" w:rsidRDefault="00016FE1" w:rsidP="002B6227">
      <w:pPr>
        <w:tabs>
          <w:tab w:val="left" w:pos="142"/>
          <w:tab w:val="left" w:pos="284"/>
        </w:tabs>
        <w:jc w:val="both"/>
        <w:rPr>
          <w:rFonts w:ascii="Gotham" w:hAnsi="Gotham"/>
          <w:sz w:val="20"/>
          <w:szCs w:val="20"/>
        </w:rPr>
      </w:pPr>
      <w:r w:rsidRPr="003F61C5">
        <w:rPr>
          <w:rFonts w:ascii="Gotham" w:hAnsi="Gotham"/>
          <w:sz w:val="20"/>
          <w:szCs w:val="20"/>
        </w:rPr>
        <w:t>En uso de la voz informativa, la Secretaria General, Celia Isabel Gauna Ruíz de León, menciona que, como lo indica señor Presidente, le informo que se registraron un total de 17 votos a favor; encontrándose ausente en el momento de la votación el Regidor Alejandro Buenrostro Hernández.</w:t>
      </w:r>
    </w:p>
    <w:p w14:paraId="3A473220" w14:textId="77777777" w:rsidR="00016FE1" w:rsidRPr="003F61C5" w:rsidRDefault="00016FE1" w:rsidP="002B6227">
      <w:pPr>
        <w:tabs>
          <w:tab w:val="left" w:pos="142"/>
          <w:tab w:val="left" w:pos="284"/>
        </w:tabs>
        <w:jc w:val="both"/>
        <w:rPr>
          <w:rFonts w:ascii="Gotham" w:hAnsi="Gotham"/>
          <w:sz w:val="20"/>
          <w:szCs w:val="20"/>
        </w:rPr>
      </w:pPr>
    </w:p>
    <w:p w14:paraId="3A473221" w14:textId="77777777" w:rsidR="00016FE1" w:rsidRPr="009315F1" w:rsidRDefault="00016FE1" w:rsidP="002B6227">
      <w:pPr>
        <w:tabs>
          <w:tab w:val="left" w:pos="142"/>
          <w:tab w:val="left" w:pos="284"/>
        </w:tabs>
        <w:jc w:val="both"/>
        <w:rPr>
          <w:rFonts w:ascii="Gotham" w:hAnsi="Gotham"/>
          <w:sz w:val="20"/>
          <w:szCs w:val="20"/>
        </w:rPr>
      </w:pPr>
      <w:r w:rsidRPr="003F61C5">
        <w:rPr>
          <w:rFonts w:ascii="Gotham" w:hAnsi="Gotham"/>
          <w:sz w:val="20"/>
          <w:szCs w:val="20"/>
        </w:rPr>
        <w:t>En uso de la voz el Presidente Municipal, Sergio Armando Chávez Dávalos, señala que, gracias Secretaria; queda aprobado.</w:t>
      </w:r>
    </w:p>
    <w:p w14:paraId="3A473222" w14:textId="77777777" w:rsidR="00016FE1" w:rsidRPr="003F61C5" w:rsidRDefault="00016FE1" w:rsidP="002B6227">
      <w:pPr>
        <w:tabs>
          <w:tab w:val="left" w:pos="142"/>
          <w:tab w:val="left" w:pos="284"/>
        </w:tabs>
        <w:jc w:val="both"/>
        <w:rPr>
          <w:rFonts w:ascii="Gotham" w:hAnsi="Gotham"/>
          <w:sz w:val="20"/>
          <w:szCs w:val="20"/>
        </w:rPr>
      </w:pPr>
    </w:p>
    <w:p w14:paraId="3A473223" w14:textId="77777777" w:rsidR="00016FE1" w:rsidRPr="003F61C5" w:rsidRDefault="00016FE1" w:rsidP="002B6227">
      <w:pPr>
        <w:tabs>
          <w:tab w:val="left" w:pos="142"/>
          <w:tab w:val="left" w:pos="284"/>
        </w:tabs>
        <w:jc w:val="both"/>
        <w:rPr>
          <w:rFonts w:ascii="Gotham" w:hAnsi="Gotham"/>
          <w:sz w:val="20"/>
          <w:szCs w:val="20"/>
        </w:rPr>
      </w:pPr>
    </w:p>
    <w:p w14:paraId="3A473224" w14:textId="77777777" w:rsidR="00016FE1" w:rsidRPr="00C52792" w:rsidRDefault="00016FE1" w:rsidP="002B6227">
      <w:pPr>
        <w:pStyle w:val="western"/>
        <w:spacing w:before="0" w:beforeAutospacing="0"/>
        <w:jc w:val="right"/>
        <w:rPr>
          <w:rFonts w:ascii="Gotham" w:hAnsi="Gotham"/>
          <w:b/>
          <w:sz w:val="22"/>
          <w:szCs w:val="22"/>
          <w:u w:val="single"/>
        </w:rPr>
      </w:pPr>
      <w:r w:rsidRPr="00C52792">
        <w:rPr>
          <w:rFonts w:ascii="Gotham" w:hAnsi="Gotham"/>
          <w:b/>
          <w:sz w:val="22"/>
          <w:szCs w:val="22"/>
          <w:u w:val="single"/>
        </w:rPr>
        <w:t xml:space="preserve">ACUERDO NO. </w:t>
      </w:r>
      <w:r>
        <w:rPr>
          <w:rFonts w:ascii="Gotham" w:hAnsi="Gotham"/>
          <w:b/>
          <w:sz w:val="22"/>
          <w:szCs w:val="22"/>
          <w:u w:val="single"/>
        </w:rPr>
        <w:t>1113</w:t>
      </w:r>
    </w:p>
    <w:p w14:paraId="3A473225" w14:textId="77777777" w:rsidR="00016FE1" w:rsidRPr="00B65437" w:rsidRDefault="00016FE1" w:rsidP="002B6227">
      <w:pPr>
        <w:jc w:val="both"/>
        <w:rPr>
          <w:rFonts w:ascii="Gotham" w:eastAsia="Century Gothic" w:hAnsi="Gotham" w:cs="Century Gothic"/>
          <w:sz w:val="20"/>
          <w:szCs w:val="20"/>
        </w:rPr>
      </w:pPr>
      <w:r w:rsidRPr="00A0693A">
        <w:rPr>
          <w:rFonts w:ascii="Gotham" w:hAnsi="Gotham"/>
          <w:b/>
          <w:bCs/>
          <w:smallCaps/>
          <w:sz w:val="20"/>
          <w:szCs w:val="20"/>
        </w:rPr>
        <w:t>Sexta Iniciativa con Dispensa de Trámite</w:t>
      </w:r>
      <w:r w:rsidRPr="00A0693A">
        <w:rPr>
          <w:rFonts w:ascii="Gotham" w:hAnsi="Gotham"/>
          <w:b/>
          <w:bCs/>
          <w:sz w:val="20"/>
          <w:szCs w:val="20"/>
        </w:rPr>
        <w:t xml:space="preserve">.- </w:t>
      </w:r>
      <w:r>
        <w:rPr>
          <w:rFonts w:ascii="Gotham" w:hAnsi="Gotham" w:cs="Arial"/>
          <w:sz w:val="20"/>
          <w:szCs w:val="20"/>
        </w:rPr>
        <w:t>En uso de la voz la Regidora Verónica Isela Murillo Martínez, manifiesta que, l</w:t>
      </w:r>
      <w:r w:rsidRPr="00B65437">
        <w:rPr>
          <w:rFonts w:ascii="Gotham" w:eastAsia="Century Gothic" w:hAnsi="Gotham" w:cs="Century Gothic"/>
          <w:sz w:val="20"/>
          <w:szCs w:val="20"/>
        </w:rPr>
        <w:t>a que suscribe, Regidora del Ayuntamiento Constitucional de Tonalá, Jalisco; Abogada Verónica Isela Murillo Martínez, en uso de las facultades que me confieren los artículos 115, fracciones I y II de la Constitución Política de los Estados Unidos Mexicanos; así como los artículos 73 fracciones I y II, 77 de la Constitución Política del Estado de Jalisco; los artículos 38, 41 fracción II y 50 de la Ley del Gobierno y la Administración Pública Municipal del Estado de Jalisco; los artículos 53 y 56 del Reglamento del Gobierno y la Administración Pública del Ayuntamiento Constitucional de Tonalá, Jalisco, así como los artículos 17 Bis, 82 fracción II y 83 del Reglamento Para el Funcionamiento Interno de Sesiones del Ayuntamiento Constitucional de Tonalá, Jalisco, someto a consideración de esta soberanía, la presente Iniciativa con Dispensa de Trámite, que tiene por objeto la modificación del resolutivo tercero del Acuerdo de Ayuntamiento No. 845, de la Sesión Ordinaria de Ayuntamiento de fecha 28 de septiembre del 2023; de conformidad con la siguiente:</w:t>
      </w:r>
    </w:p>
    <w:p w14:paraId="3A473226" w14:textId="77777777" w:rsidR="00016FE1" w:rsidRPr="00B65437" w:rsidRDefault="00016FE1" w:rsidP="002B6227">
      <w:pPr>
        <w:jc w:val="both"/>
        <w:rPr>
          <w:rFonts w:ascii="Gotham" w:eastAsia="Century Gothic" w:hAnsi="Gotham" w:cs="Century Gothic"/>
          <w:sz w:val="20"/>
          <w:szCs w:val="20"/>
        </w:rPr>
      </w:pPr>
    </w:p>
    <w:p w14:paraId="3A473227" w14:textId="77777777" w:rsidR="00016FE1" w:rsidRPr="00B65437" w:rsidRDefault="00016FE1" w:rsidP="002B6227">
      <w:pPr>
        <w:jc w:val="center"/>
        <w:rPr>
          <w:rFonts w:ascii="Gotham" w:eastAsia="Century Gothic" w:hAnsi="Gotham" w:cs="Century Gothic"/>
          <w:sz w:val="20"/>
          <w:szCs w:val="20"/>
        </w:rPr>
      </w:pPr>
      <w:r w:rsidRPr="00B65437">
        <w:rPr>
          <w:rFonts w:ascii="Gotham" w:eastAsia="Century Gothic" w:hAnsi="Gotham" w:cs="Century Gothic"/>
          <w:sz w:val="20"/>
          <w:szCs w:val="20"/>
        </w:rPr>
        <w:t>EXPOSICION DE MOTIVOS</w:t>
      </w:r>
    </w:p>
    <w:p w14:paraId="3A473228" w14:textId="77777777" w:rsidR="00016FE1" w:rsidRPr="00B65437" w:rsidRDefault="00016FE1" w:rsidP="002B6227">
      <w:pPr>
        <w:jc w:val="both"/>
        <w:rPr>
          <w:rFonts w:ascii="Gotham" w:eastAsia="Century Gothic" w:hAnsi="Gotham" w:cs="Century Gothic"/>
          <w:sz w:val="20"/>
          <w:szCs w:val="20"/>
        </w:rPr>
      </w:pPr>
    </w:p>
    <w:p w14:paraId="3A473229" w14:textId="77777777" w:rsidR="00016FE1" w:rsidRPr="00B65437" w:rsidRDefault="00016FE1" w:rsidP="002B6227">
      <w:pPr>
        <w:jc w:val="right"/>
        <w:rPr>
          <w:rFonts w:ascii="Gotham" w:eastAsia="Century Gothic" w:hAnsi="Gotham" w:cs="Century Gothic"/>
          <w:i/>
          <w:sz w:val="19"/>
          <w:szCs w:val="19"/>
        </w:rPr>
      </w:pPr>
      <w:r w:rsidRPr="00B65437">
        <w:rPr>
          <w:rFonts w:ascii="Gotham" w:eastAsia="Century Gothic" w:hAnsi="Gotham" w:cs="Century Gothic"/>
          <w:i/>
          <w:sz w:val="19"/>
          <w:szCs w:val="19"/>
        </w:rPr>
        <w:t>“Vestirse de Charro es vestirse de México”.</w:t>
      </w:r>
    </w:p>
    <w:p w14:paraId="3A47322A" w14:textId="77777777" w:rsidR="00016FE1" w:rsidRPr="00B65437" w:rsidRDefault="00016FE1" w:rsidP="002B6227">
      <w:pPr>
        <w:jc w:val="right"/>
        <w:rPr>
          <w:rFonts w:ascii="Gotham" w:eastAsia="Century Gothic" w:hAnsi="Gotham" w:cs="Century Gothic"/>
          <w:i/>
          <w:sz w:val="19"/>
          <w:szCs w:val="19"/>
        </w:rPr>
      </w:pPr>
      <w:r w:rsidRPr="00B65437">
        <w:rPr>
          <w:rFonts w:ascii="Gotham" w:eastAsia="Century Gothic" w:hAnsi="Gotham" w:cs="Century Gothic"/>
          <w:i/>
          <w:sz w:val="19"/>
          <w:szCs w:val="19"/>
        </w:rPr>
        <w:t>Manuel Benítez Carrasco, Poeta.</w:t>
      </w:r>
    </w:p>
    <w:p w14:paraId="3A47322B" w14:textId="77777777" w:rsidR="00016FE1" w:rsidRPr="00B65437" w:rsidRDefault="00016FE1" w:rsidP="002B6227">
      <w:pPr>
        <w:jc w:val="both"/>
        <w:rPr>
          <w:rFonts w:ascii="Gotham" w:eastAsia="Century Gothic" w:hAnsi="Gotham" w:cs="Century Gothic"/>
          <w:sz w:val="20"/>
          <w:szCs w:val="20"/>
        </w:rPr>
      </w:pPr>
    </w:p>
    <w:p w14:paraId="3A47322C"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La charrería es una tradición mexicana que se remonta a los tiempos de la colonización española. Es considerada el deporte nacional de México y se caracteriza por su elegancia, destreza y valentía.</w:t>
      </w:r>
    </w:p>
    <w:p w14:paraId="3A47322D" w14:textId="77777777" w:rsidR="00016FE1" w:rsidRPr="00B65437" w:rsidRDefault="00016FE1" w:rsidP="002B6227">
      <w:pPr>
        <w:jc w:val="both"/>
        <w:rPr>
          <w:rFonts w:ascii="Gotham" w:eastAsia="Century Gothic" w:hAnsi="Gotham" w:cs="Century Gothic"/>
          <w:sz w:val="20"/>
          <w:szCs w:val="20"/>
        </w:rPr>
      </w:pPr>
    </w:p>
    <w:p w14:paraId="3A47322E"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Considerada como deporte nacional por excelencia mismo que brinda representatividad y solidifica nuestra identidad como país, puesto que nos permite como nación tener el reconocimiento internacional consintiendo derribar fronteras al ser símbolo mexicano de tradición, cultura, deporte y tradición.</w:t>
      </w:r>
    </w:p>
    <w:p w14:paraId="3A47322F" w14:textId="77777777" w:rsidR="00016FE1" w:rsidRPr="00B65437" w:rsidRDefault="00016FE1" w:rsidP="002B6227">
      <w:pPr>
        <w:jc w:val="both"/>
        <w:rPr>
          <w:rFonts w:ascii="Gotham" w:eastAsia="Century Gothic" w:hAnsi="Gotham" w:cs="Century Gothic"/>
          <w:sz w:val="20"/>
          <w:szCs w:val="20"/>
        </w:rPr>
      </w:pPr>
    </w:p>
    <w:p w14:paraId="3A473230"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 xml:space="preserve">Es un deporte catalogado como uno de los más completos porque se practica al aire libre y en él se activan todos los músculos del cuerpo al comenzar el movimiento del caballo. </w:t>
      </w:r>
    </w:p>
    <w:p w14:paraId="3A473231" w14:textId="77777777" w:rsidR="00016FE1" w:rsidRPr="00B65437" w:rsidRDefault="00016FE1" w:rsidP="002B6227">
      <w:pPr>
        <w:jc w:val="both"/>
        <w:rPr>
          <w:rFonts w:ascii="Gotham" w:eastAsia="Century Gothic" w:hAnsi="Gotham" w:cs="Century Gothic"/>
          <w:sz w:val="20"/>
          <w:szCs w:val="20"/>
        </w:rPr>
      </w:pPr>
    </w:p>
    <w:p w14:paraId="3A473232"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Ha sido tema de poetas, pintores, músicos, historiadores, artesanos y personas de reconocida cultura; todos ellos amantes de nuestras tradiciones y raíces.</w:t>
      </w:r>
    </w:p>
    <w:p w14:paraId="3A473233" w14:textId="77777777" w:rsidR="00016FE1" w:rsidRPr="00B65437" w:rsidRDefault="00016FE1" w:rsidP="002B6227">
      <w:pPr>
        <w:jc w:val="both"/>
        <w:rPr>
          <w:rFonts w:ascii="Gotham" w:eastAsia="Century Gothic" w:hAnsi="Gotham" w:cs="Century Gothic"/>
          <w:sz w:val="20"/>
          <w:szCs w:val="20"/>
        </w:rPr>
      </w:pPr>
    </w:p>
    <w:p w14:paraId="3A473234"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La magnitud de su importancia en diversos ámbitos ha generado que la Organización de las Naciones Unidas para la Educación, la Ciencia y la Cultura, por sus siglas UNESCO, haya declarado en el año 2016 a la Charrería Mexicana como Patrimonio Cultural Inmaterial de la Humanidad; toda vez que es considerada como una destreza ecuestre y tradición ganadera, clasificándola como un deporte único en el que las habilidades crean de forma magnánima el arte de la ejecución de las suertes, la disciplina constante que permita fortalecer el físico del charro, escaramuza y del ganado como parte esencial para el perfeccionamiento del deporte, y la cultura que da paso a sumergirse en el apasionante mundo de la charrería llena de símbolos plasmados en la vestimenta y en el porte de cada uno de los trajes.</w:t>
      </w:r>
    </w:p>
    <w:p w14:paraId="3A473235" w14:textId="77777777" w:rsidR="00016FE1" w:rsidRPr="00B65437" w:rsidRDefault="00016FE1" w:rsidP="002B6227">
      <w:pPr>
        <w:jc w:val="both"/>
        <w:rPr>
          <w:rFonts w:ascii="Gotham" w:eastAsia="Century Gothic" w:hAnsi="Gotham" w:cs="Century Gothic"/>
          <w:sz w:val="20"/>
          <w:szCs w:val="20"/>
        </w:rPr>
      </w:pPr>
    </w:p>
    <w:p w14:paraId="3A473236"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Y en un acto de equidad de género la Charrería ha incorporado la participación de la mujer a este deporte, denominándose Escaramuzas Charras, las cuales en una forma valiente y temeraria realizan sus movimientos a galope sobre sus cabalgaduras ejecutando pasadas y cruzadas en forma de Escaramuzas.</w:t>
      </w:r>
    </w:p>
    <w:p w14:paraId="3A473237" w14:textId="77777777" w:rsidR="00016FE1" w:rsidRPr="00B65437" w:rsidRDefault="00016FE1" w:rsidP="002B6227">
      <w:pPr>
        <w:jc w:val="both"/>
        <w:rPr>
          <w:rFonts w:ascii="Gotham" w:eastAsia="Century Gothic" w:hAnsi="Gotham" w:cs="Century Gothic"/>
          <w:sz w:val="20"/>
          <w:szCs w:val="20"/>
        </w:rPr>
      </w:pPr>
    </w:p>
    <w:p w14:paraId="3A473238"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La participación patriótica del Charro se remonta desde los tiempos de la Revolución y se considera al mismo como una fuerza militar. El Charro andaba armado, era el arma complemento del traje Charro, pero en los tiempos que gobernó México, López Portillo, se le quitó el arma al Charro, pero se le sigue considerando como una fuerza marcial.</w:t>
      </w:r>
    </w:p>
    <w:p w14:paraId="3A473239" w14:textId="77777777" w:rsidR="00016FE1" w:rsidRPr="00B65437" w:rsidRDefault="00016FE1" w:rsidP="002B6227">
      <w:pPr>
        <w:jc w:val="both"/>
        <w:rPr>
          <w:rFonts w:ascii="Gotham" w:eastAsia="Century Gothic" w:hAnsi="Gotham" w:cs="Century Gothic"/>
          <w:sz w:val="20"/>
          <w:szCs w:val="20"/>
        </w:rPr>
      </w:pPr>
    </w:p>
    <w:p w14:paraId="3A47323A"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Es importante destacar que actualmente hay mil 500 Asociaciones de Charros tanto en México como en estados norteamericanos como Texas, Nuevo México, Arizona, Colorado e Illinois, que siguen preservando el arte de la Charrería.</w:t>
      </w:r>
    </w:p>
    <w:p w14:paraId="3A47323B" w14:textId="77777777" w:rsidR="00016FE1" w:rsidRDefault="00016FE1" w:rsidP="002B6227">
      <w:pPr>
        <w:jc w:val="both"/>
        <w:rPr>
          <w:rFonts w:ascii="Gotham" w:eastAsia="Century Gothic" w:hAnsi="Gotham" w:cs="Century Gothic"/>
          <w:sz w:val="20"/>
          <w:szCs w:val="20"/>
        </w:rPr>
      </w:pPr>
    </w:p>
    <w:p w14:paraId="3A47323C"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En este orden de ideas y dada la importancia de esta tradición en nuestro municipio, es que en Sesión Ordinaria de Ayuntamiento de fecha 28 de septiembre del 2023, la compañera Regidora Mtra. Laura Liliana Olea Frías; presentó una iniciativa con dispensa de trámite bajo Acuerdo de Ayuntamiento No. 845, cuyo objetivo era y sigue siendo otorgar al Mérito de la Charrería el Premio “Roberto Chávez Garay” como parte de la Celebración del “Día del Charro” mismo que desde 1931 quedara institucionalizado a conmemorarse cada 14 de septiembre.</w:t>
      </w:r>
    </w:p>
    <w:p w14:paraId="3A47323D" w14:textId="77777777" w:rsidR="00016FE1" w:rsidRPr="00B65437" w:rsidRDefault="00016FE1" w:rsidP="002B6227">
      <w:pPr>
        <w:jc w:val="both"/>
        <w:rPr>
          <w:rFonts w:ascii="Gotham" w:eastAsia="Century Gothic" w:hAnsi="Gotham" w:cs="Century Gothic"/>
          <w:sz w:val="20"/>
          <w:szCs w:val="20"/>
        </w:rPr>
      </w:pPr>
    </w:p>
    <w:p w14:paraId="3A47323E"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 xml:space="preserve">Que en dicho Acuerdo, se estableció como Coordinadora de los Trabajos a la Comisión Edilicia de Atención a la Juventud y Deporte; llevándose a cabo por primera vez la entrega del reconocimiento </w:t>
      </w:r>
      <w:r w:rsidRPr="00B65437">
        <w:rPr>
          <w:rFonts w:ascii="Gotham" w:eastAsia="Century Gothic" w:hAnsi="Gotham" w:cs="Century Gothic"/>
          <w:sz w:val="20"/>
          <w:szCs w:val="20"/>
        </w:rPr>
        <w:lastRenderedPageBreak/>
        <w:t>al charro más longevo de Tonalá, realizándose en el año 2023 y por única ocasión dentro del desfile conmemorativo a la revolución mexicana.</w:t>
      </w:r>
    </w:p>
    <w:p w14:paraId="3A47323F" w14:textId="77777777" w:rsidR="00016FE1" w:rsidRPr="00B65437" w:rsidRDefault="00016FE1" w:rsidP="002B6227">
      <w:pPr>
        <w:jc w:val="both"/>
        <w:rPr>
          <w:rFonts w:ascii="Gotham" w:eastAsia="Century Gothic" w:hAnsi="Gotham" w:cs="Century Gothic"/>
          <w:sz w:val="20"/>
          <w:szCs w:val="20"/>
        </w:rPr>
      </w:pPr>
    </w:p>
    <w:p w14:paraId="3A473240"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Bajo este tenor, en la iniciativa en comento dentro del apartado de los resolutivos, se estableció textualmente que:</w:t>
      </w:r>
    </w:p>
    <w:p w14:paraId="3A473241" w14:textId="77777777" w:rsidR="00016FE1" w:rsidRPr="00B65437" w:rsidRDefault="00016FE1" w:rsidP="002B6227">
      <w:pPr>
        <w:jc w:val="both"/>
        <w:rPr>
          <w:rFonts w:ascii="Gotham" w:eastAsia="Century Gothic" w:hAnsi="Gotham" w:cs="Century Gothic"/>
          <w:sz w:val="20"/>
          <w:szCs w:val="20"/>
        </w:rPr>
      </w:pPr>
    </w:p>
    <w:p w14:paraId="3A473242" w14:textId="77777777" w:rsidR="00016FE1" w:rsidRPr="00B65437" w:rsidRDefault="00016FE1" w:rsidP="002B6227">
      <w:pPr>
        <w:ind w:left="284" w:right="283"/>
        <w:jc w:val="both"/>
        <w:rPr>
          <w:rFonts w:ascii="Gotham" w:eastAsia="Century Gothic" w:hAnsi="Gotham" w:cs="Century Gothic"/>
          <w:i/>
          <w:sz w:val="19"/>
          <w:szCs w:val="19"/>
        </w:rPr>
      </w:pPr>
      <w:r w:rsidRPr="00B65437">
        <w:rPr>
          <w:rFonts w:ascii="Gotham" w:eastAsia="Century Gothic" w:hAnsi="Gotham" w:cs="Century Gothic"/>
          <w:i/>
          <w:sz w:val="19"/>
          <w:szCs w:val="19"/>
        </w:rPr>
        <w:t>TERCERO: Es de aprobarse que se institucionalice que en lo subsecuente en la Sesión Ordinaria de Ayuntamiento correspondiente al mes de septiembre de cada año en concordancia a ser el mes de la celebración del “Día del Charro”, se destine un punto en el orden del día para que sea entregado el reconocimiento “Roberto Chávez Garay” a la persona seleccionada y destacada en el ámbito de la charrería.</w:t>
      </w:r>
    </w:p>
    <w:p w14:paraId="3A473243" w14:textId="77777777" w:rsidR="00016FE1" w:rsidRDefault="00016FE1" w:rsidP="002B6227">
      <w:pPr>
        <w:jc w:val="both"/>
        <w:rPr>
          <w:rFonts w:ascii="Gotham" w:eastAsia="Century Gothic" w:hAnsi="Gotham" w:cs="Century Gothic"/>
          <w:sz w:val="20"/>
          <w:szCs w:val="20"/>
        </w:rPr>
      </w:pPr>
    </w:p>
    <w:p w14:paraId="3A473244"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Quedando de esa manera establecida la sede y la forma para realizar la entrega del reconocimiento en cita en años subsecuentes.</w:t>
      </w:r>
    </w:p>
    <w:p w14:paraId="3A473245" w14:textId="77777777" w:rsidR="00016FE1" w:rsidRPr="00B65437" w:rsidRDefault="00016FE1" w:rsidP="002B6227">
      <w:pPr>
        <w:jc w:val="both"/>
        <w:rPr>
          <w:rFonts w:ascii="Gotham" w:eastAsia="Century Gothic" w:hAnsi="Gotham" w:cs="Century Gothic"/>
          <w:sz w:val="20"/>
          <w:szCs w:val="20"/>
        </w:rPr>
      </w:pPr>
    </w:p>
    <w:p w14:paraId="3A473246"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 xml:space="preserve">Ahora bien, el pasado 09 nueve de julio del presente año, cité a Sesión de la Comisión Edilicia que presido para dar a conocer a sus integrantes el proyecto de Convocatoria para la entrega de dicho premio; haciendo parte también a la proponente de la iniciativa y junto con ella, se analizó y deliberó que la entrega de este reconocimiento debía realizarse por su importancia, dentro del “Desfile Cívico Militar” del 16 de septiembre de cada año a partir del presente por ser este el mes en que se conmemora el antes citado “Día del Charro”. </w:t>
      </w:r>
    </w:p>
    <w:p w14:paraId="3A473247" w14:textId="77777777" w:rsidR="00016FE1" w:rsidRPr="00B65437" w:rsidRDefault="00016FE1" w:rsidP="002B6227">
      <w:pPr>
        <w:jc w:val="both"/>
        <w:rPr>
          <w:rFonts w:ascii="Gotham" w:eastAsia="Century Gothic" w:hAnsi="Gotham" w:cs="Century Gothic"/>
          <w:sz w:val="20"/>
          <w:szCs w:val="20"/>
        </w:rPr>
      </w:pPr>
    </w:p>
    <w:p w14:paraId="3A473248"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Lo anterior, en razón de lo que representa para muchas familias tonaltecas esta fecha así como del considerable número de asistentes que se dan cita ha dicho desfile.</w:t>
      </w:r>
    </w:p>
    <w:p w14:paraId="3A473249" w14:textId="77777777" w:rsidR="00016FE1" w:rsidRPr="00B65437" w:rsidRDefault="00016FE1" w:rsidP="002B6227">
      <w:pPr>
        <w:jc w:val="both"/>
        <w:rPr>
          <w:rFonts w:ascii="Gotham" w:eastAsia="Century Gothic" w:hAnsi="Gotham" w:cs="Century Gothic"/>
          <w:sz w:val="20"/>
          <w:szCs w:val="20"/>
        </w:rPr>
      </w:pPr>
    </w:p>
    <w:p w14:paraId="3A47324A"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Y por último pero no menos importante, se eligió ese desfile por el simbolismo en el protocolo de la charrería que está tan vinculado a la patria, a nuestra cultura y tradiciones. Y más allá del carácter deportivo, los charros también poseen un significado institucional, pues son considerados parte de la reserva del Ejército Mexicano, e incluso tienen participación en los típicos desfiles del 16 de septiembre de todo el país.</w:t>
      </w:r>
      <w:r w:rsidR="003B30D3">
        <w:rPr>
          <w:rFonts w:ascii="Gotham" w:eastAsia="Century Gothic" w:hAnsi="Gotham" w:cs="Century Gothic"/>
          <w:sz w:val="20"/>
          <w:szCs w:val="20"/>
        </w:rPr>
        <w:t xml:space="preserve"> </w:t>
      </w:r>
    </w:p>
    <w:p w14:paraId="3A47324B" w14:textId="77777777" w:rsidR="00016FE1" w:rsidRPr="00B65437" w:rsidRDefault="00016FE1" w:rsidP="002B6227">
      <w:pPr>
        <w:jc w:val="both"/>
        <w:rPr>
          <w:rFonts w:ascii="Gotham" w:eastAsia="Century Gothic" w:hAnsi="Gotham" w:cs="Century Gothic"/>
          <w:i/>
          <w:sz w:val="20"/>
          <w:szCs w:val="20"/>
        </w:rPr>
      </w:pPr>
    </w:p>
    <w:p w14:paraId="3A47324C"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Por lo anteriormente expuesto, fundado y motivado, someto a su consideración la siguiente “Iniciativa con dispensa de trámite” bajo los siguientes punto</w:t>
      </w:r>
      <w:r>
        <w:rPr>
          <w:rFonts w:ascii="Gotham" w:eastAsia="Century Gothic" w:hAnsi="Gotham" w:cs="Century Gothic"/>
          <w:sz w:val="20"/>
          <w:szCs w:val="20"/>
        </w:rPr>
        <w:t>s</w:t>
      </w:r>
      <w:r w:rsidRPr="00B65437">
        <w:rPr>
          <w:rFonts w:ascii="Gotham" w:eastAsia="Century Gothic" w:hAnsi="Gotham" w:cs="Century Gothic"/>
          <w:sz w:val="20"/>
          <w:szCs w:val="20"/>
        </w:rPr>
        <w:t xml:space="preserve"> de </w:t>
      </w:r>
    </w:p>
    <w:p w14:paraId="3A47324D" w14:textId="77777777" w:rsidR="00016FE1" w:rsidRPr="00B65437" w:rsidRDefault="00016FE1" w:rsidP="002B6227">
      <w:pPr>
        <w:jc w:val="both"/>
        <w:rPr>
          <w:rFonts w:ascii="Gotham" w:eastAsia="Century Gothic" w:hAnsi="Gotham" w:cs="Century Gothic"/>
          <w:sz w:val="20"/>
          <w:szCs w:val="20"/>
        </w:rPr>
      </w:pPr>
    </w:p>
    <w:p w14:paraId="3A47324E" w14:textId="77777777" w:rsidR="00016FE1" w:rsidRPr="00B65437" w:rsidRDefault="00016FE1" w:rsidP="002B6227">
      <w:pPr>
        <w:jc w:val="center"/>
        <w:rPr>
          <w:rFonts w:ascii="Gotham" w:eastAsia="Century Gothic" w:hAnsi="Gotham" w:cs="Century Gothic"/>
          <w:sz w:val="20"/>
          <w:szCs w:val="20"/>
        </w:rPr>
      </w:pPr>
      <w:r w:rsidRPr="00B65437">
        <w:rPr>
          <w:rFonts w:ascii="Gotham" w:eastAsia="Century Gothic" w:hAnsi="Gotham" w:cs="Century Gothic"/>
          <w:sz w:val="20"/>
          <w:szCs w:val="20"/>
        </w:rPr>
        <w:t>ACUERDO:</w:t>
      </w:r>
    </w:p>
    <w:p w14:paraId="3A47324F" w14:textId="77777777" w:rsidR="00016FE1" w:rsidRPr="00B65437" w:rsidRDefault="00016FE1" w:rsidP="002B6227">
      <w:pPr>
        <w:rPr>
          <w:rFonts w:ascii="Gotham" w:eastAsia="Century Gothic" w:hAnsi="Gotham" w:cs="Century Gothic"/>
          <w:sz w:val="20"/>
          <w:szCs w:val="20"/>
        </w:rPr>
      </w:pPr>
    </w:p>
    <w:p w14:paraId="3A473250"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PRIMERO.- Se aprueba realizar la entrega del Premio “Roberto Chávez Garay” dentro del “Desfile Cívico Militar” del 16 de septiembre de cada año a partir del presente, en adhesión y respecto del resolutivo tercero del Acuerdo de Ayuntamiento No. 845, de la Sesión Ordinaria de Ayuntamiento de fecha 28 de septiembre del 2023.</w:t>
      </w:r>
    </w:p>
    <w:p w14:paraId="3A473251" w14:textId="77777777" w:rsidR="00016FE1" w:rsidRPr="00B65437" w:rsidRDefault="00016FE1" w:rsidP="002B6227">
      <w:pPr>
        <w:jc w:val="both"/>
        <w:rPr>
          <w:rFonts w:ascii="Gotham" w:eastAsia="Century Gothic" w:hAnsi="Gotham" w:cs="Century Gothic"/>
          <w:sz w:val="20"/>
          <w:szCs w:val="20"/>
        </w:rPr>
      </w:pPr>
    </w:p>
    <w:p w14:paraId="3A473252" w14:textId="77777777" w:rsidR="00016FE1" w:rsidRPr="00B65437" w:rsidRDefault="00016FE1" w:rsidP="002B6227">
      <w:pPr>
        <w:jc w:val="both"/>
        <w:rPr>
          <w:rFonts w:ascii="Gotham" w:eastAsia="Century Gothic" w:hAnsi="Gotham" w:cs="Century Gothic"/>
          <w:sz w:val="20"/>
          <w:szCs w:val="20"/>
        </w:rPr>
      </w:pPr>
      <w:r w:rsidRPr="00B65437">
        <w:rPr>
          <w:rFonts w:ascii="Gotham" w:eastAsia="Century Gothic" w:hAnsi="Gotham" w:cs="Century Gothic"/>
          <w:sz w:val="20"/>
          <w:szCs w:val="20"/>
        </w:rPr>
        <w:t>SEGUNDO.- Se faculta al Presidente Municipal y Secretaria General para que suscriban la documentación y giren las instrucciones necesarias que den cumplimiento al presente acuerdo.</w:t>
      </w:r>
    </w:p>
    <w:p w14:paraId="3A473253" w14:textId="77777777" w:rsidR="00016FE1" w:rsidRDefault="00016FE1" w:rsidP="002B6227">
      <w:pPr>
        <w:tabs>
          <w:tab w:val="left" w:pos="142"/>
          <w:tab w:val="left" w:pos="284"/>
        </w:tabs>
        <w:jc w:val="both"/>
        <w:rPr>
          <w:rFonts w:ascii="Gotham" w:hAnsi="Gotham" w:cs="Arial"/>
          <w:sz w:val="20"/>
          <w:szCs w:val="20"/>
        </w:rPr>
      </w:pPr>
    </w:p>
    <w:p w14:paraId="3A473254"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señala que, en consecuencia, se abre la discusión, en lo general y en lo particular, con referencia a la presente Iniciativa con Dispensa de Trámite, consultando a las y los Regidores si alguien desea hacer uso de la voz; instruyendo a la Secretaria General, para que registre a los oradores.</w:t>
      </w:r>
    </w:p>
    <w:p w14:paraId="3A473255" w14:textId="77777777" w:rsidR="00016FE1" w:rsidRDefault="00016FE1" w:rsidP="002B6227">
      <w:pPr>
        <w:jc w:val="both"/>
        <w:rPr>
          <w:rFonts w:ascii="Gotham" w:eastAsia="Gotham" w:hAnsi="Gotham" w:cs="Gotham"/>
          <w:sz w:val="20"/>
          <w:szCs w:val="20"/>
        </w:rPr>
      </w:pPr>
    </w:p>
    <w:p w14:paraId="3A473256"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En uso de la voz informativa, la Secretaria General, Celia Isabel Gauna Ruíz de León, manifiesta que, como lo indica señor Presidente, le informo que no se cuenta con registro de oradores.</w:t>
      </w:r>
    </w:p>
    <w:p w14:paraId="3A473257" w14:textId="77777777" w:rsidR="00016FE1" w:rsidRDefault="00016FE1" w:rsidP="002B6227">
      <w:pPr>
        <w:jc w:val="both"/>
        <w:rPr>
          <w:rFonts w:ascii="Gotham" w:eastAsia="Gotham" w:hAnsi="Gotham" w:cs="Gotham"/>
          <w:sz w:val="20"/>
          <w:szCs w:val="20"/>
        </w:rPr>
      </w:pPr>
    </w:p>
    <w:p w14:paraId="3A473258"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lastRenderedPageBreak/>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3A473259" w14:textId="77777777" w:rsidR="00016FE1" w:rsidRDefault="00016FE1" w:rsidP="002B6227">
      <w:pPr>
        <w:jc w:val="both"/>
        <w:rPr>
          <w:rFonts w:ascii="Gotham" w:eastAsia="Gotham" w:hAnsi="Gotham" w:cs="Gotham"/>
          <w:sz w:val="20"/>
          <w:szCs w:val="20"/>
        </w:rPr>
      </w:pPr>
    </w:p>
    <w:p w14:paraId="3A47325A" w14:textId="77777777" w:rsidR="00016FE1" w:rsidRDefault="00016FE1" w:rsidP="002B6227">
      <w:pPr>
        <w:jc w:val="both"/>
        <w:rPr>
          <w:rFonts w:ascii="Gotham" w:eastAsia="Gotham" w:hAnsi="Gotham" w:cs="Gotham"/>
          <w:sz w:val="20"/>
          <w:szCs w:val="20"/>
        </w:rPr>
      </w:pPr>
      <w:r>
        <w:rPr>
          <w:rFonts w:ascii="Gotham" w:eastAsia="Gotham" w:hAnsi="Gotham" w:cs="Gotham"/>
          <w:sz w:val="20"/>
          <w:szCs w:val="20"/>
        </w:rPr>
        <w:t xml:space="preserve">En uso de la voz informativa, la Secretaria General, Celia Isabel Gauna Ruíz de León, menciona que, como lo indica señor Presidente, le informo que se registraron un total de </w:t>
      </w:r>
      <w:r w:rsidRPr="001618F1">
        <w:rPr>
          <w:rFonts w:ascii="Gotham" w:eastAsia="Gotham" w:hAnsi="Gotham" w:cs="Gotham"/>
          <w:sz w:val="20"/>
          <w:szCs w:val="20"/>
        </w:rPr>
        <w:t>17 votos a favor; encontrándose ausente en el momento de la votación el Regidor Alejandro Buenrostro Hernández</w:t>
      </w:r>
      <w:r>
        <w:rPr>
          <w:rFonts w:ascii="Gotham" w:eastAsia="Gotham" w:hAnsi="Gotham" w:cs="Gotham"/>
          <w:sz w:val="20"/>
          <w:szCs w:val="20"/>
        </w:rPr>
        <w:t>.</w:t>
      </w:r>
    </w:p>
    <w:p w14:paraId="3A47325B" w14:textId="77777777" w:rsidR="00016FE1" w:rsidRDefault="00016FE1" w:rsidP="002B6227">
      <w:pPr>
        <w:jc w:val="both"/>
        <w:rPr>
          <w:rFonts w:ascii="Gotham" w:eastAsia="Gotham" w:hAnsi="Gotham" w:cs="Gotham"/>
          <w:sz w:val="20"/>
          <w:szCs w:val="20"/>
        </w:rPr>
      </w:pPr>
    </w:p>
    <w:p w14:paraId="3A47325C" w14:textId="77777777" w:rsidR="00E9195F" w:rsidRDefault="00016FE1" w:rsidP="002B6227">
      <w:pPr>
        <w:pStyle w:val="Piedepgina"/>
        <w:tabs>
          <w:tab w:val="left" w:pos="708"/>
        </w:tabs>
        <w:jc w:val="both"/>
        <w:rPr>
          <w:rFonts w:ascii="Gotham" w:eastAsia="Gotham" w:hAnsi="Gotham" w:cs="Gotham"/>
          <w:sz w:val="20"/>
          <w:szCs w:val="20"/>
        </w:rPr>
      </w:pPr>
      <w:r>
        <w:rPr>
          <w:rFonts w:ascii="Gotham" w:eastAsia="Gotham" w:hAnsi="Gotham" w:cs="Gotham"/>
          <w:sz w:val="20"/>
          <w:szCs w:val="20"/>
        </w:rPr>
        <w:t>En uso de la voz el Presidente Municipal, Sergio Armando Chávez Dávalos, señala que, gracias Secretaria; queda aprobado.</w:t>
      </w:r>
    </w:p>
    <w:p w14:paraId="3A47325D" w14:textId="77777777" w:rsidR="00016FE1" w:rsidRDefault="00016FE1" w:rsidP="002B6227">
      <w:pPr>
        <w:pStyle w:val="Piedepgina"/>
        <w:tabs>
          <w:tab w:val="left" w:pos="708"/>
        </w:tabs>
        <w:jc w:val="both"/>
        <w:rPr>
          <w:rFonts w:ascii="Gotham" w:eastAsia="Gotham" w:hAnsi="Gotham" w:cs="Gotham"/>
          <w:sz w:val="20"/>
          <w:szCs w:val="20"/>
        </w:rPr>
      </w:pPr>
    </w:p>
    <w:p w14:paraId="3A47325E" w14:textId="77777777" w:rsidR="00016FE1" w:rsidRDefault="00016FE1" w:rsidP="002B6227">
      <w:pPr>
        <w:pStyle w:val="Piedepgina"/>
        <w:tabs>
          <w:tab w:val="left" w:pos="708"/>
        </w:tabs>
        <w:jc w:val="both"/>
        <w:rPr>
          <w:rFonts w:ascii="Gotham" w:eastAsia="Gotham" w:hAnsi="Gotham" w:cs="Gotham"/>
          <w:sz w:val="20"/>
          <w:szCs w:val="20"/>
        </w:rPr>
      </w:pPr>
    </w:p>
    <w:p w14:paraId="3A47325F" w14:textId="77777777" w:rsidR="00016FE1" w:rsidRPr="00296E8E" w:rsidRDefault="00016FE1" w:rsidP="002B6227">
      <w:pPr>
        <w:ind w:firstLine="708"/>
        <w:jc w:val="both"/>
        <w:rPr>
          <w:rFonts w:ascii="Gotham" w:hAnsi="Gotham"/>
          <w:sz w:val="20"/>
          <w:szCs w:val="20"/>
        </w:rPr>
      </w:pPr>
      <w:r>
        <w:rPr>
          <w:rFonts w:ascii="Gotham" w:hAnsi="Gotham"/>
          <w:sz w:val="20"/>
          <w:szCs w:val="20"/>
        </w:rPr>
        <w:t>En uso de la voz el Presidente Municipal, Sergio Armando Chávez Dávalos, señala que, p</w:t>
      </w:r>
      <w:r w:rsidRPr="00296E8E">
        <w:rPr>
          <w:rFonts w:ascii="Gotham" w:hAnsi="Gotham"/>
          <w:sz w:val="20"/>
          <w:szCs w:val="20"/>
        </w:rPr>
        <w:t xml:space="preserve">asando al siguiente bloque de este punto, referente a las Iniciativas </w:t>
      </w:r>
      <w:r>
        <w:rPr>
          <w:rFonts w:ascii="Gotham" w:hAnsi="Gotham"/>
          <w:sz w:val="20"/>
          <w:szCs w:val="20"/>
        </w:rPr>
        <w:t>c</w:t>
      </w:r>
      <w:r w:rsidRPr="00296E8E">
        <w:rPr>
          <w:rFonts w:ascii="Gotham" w:hAnsi="Gotham"/>
          <w:sz w:val="20"/>
          <w:szCs w:val="20"/>
        </w:rPr>
        <w:t xml:space="preserve">on Turno </w:t>
      </w:r>
      <w:r>
        <w:rPr>
          <w:rFonts w:ascii="Gotham" w:hAnsi="Gotham"/>
          <w:sz w:val="20"/>
          <w:szCs w:val="20"/>
        </w:rPr>
        <w:t>a</w:t>
      </w:r>
      <w:r w:rsidRPr="00296E8E">
        <w:rPr>
          <w:rFonts w:ascii="Gotham" w:hAnsi="Gotham"/>
          <w:sz w:val="20"/>
          <w:szCs w:val="20"/>
        </w:rPr>
        <w:t xml:space="preserve"> Comisión, solicito a la Secretaria General dé lectura a la síntesis de las mismas, y a su vez, integre en su totalidad los documentos al acta correspondiente:</w:t>
      </w:r>
    </w:p>
    <w:p w14:paraId="3A473260" w14:textId="77777777" w:rsidR="00016FE1" w:rsidRDefault="00016FE1" w:rsidP="002B6227">
      <w:pPr>
        <w:ind w:firstLine="708"/>
        <w:jc w:val="both"/>
        <w:rPr>
          <w:rFonts w:ascii="Gotham" w:hAnsi="Gotham"/>
          <w:sz w:val="20"/>
          <w:szCs w:val="20"/>
        </w:rPr>
      </w:pPr>
    </w:p>
    <w:p w14:paraId="3A473261" w14:textId="77777777" w:rsidR="00016FE1" w:rsidRPr="001452FD" w:rsidRDefault="00016FE1" w:rsidP="002B6227">
      <w:pPr>
        <w:jc w:val="both"/>
        <w:rPr>
          <w:rFonts w:ascii="Gotham" w:hAnsi="Gotham"/>
          <w:sz w:val="20"/>
          <w:szCs w:val="20"/>
        </w:rPr>
      </w:pPr>
      <w:r>
        <w:rPr>
          <w:rFonts w:ascii="Gotham" w:hAnsi="Gotham"/>
          <w:sz w:val="20"/>
          <w:szCs w:val="20"/>
        </w:rPr>
        <w:t>En uso de la voz informativa, la Secretaria General, Celia Isabel Gauna Ruíz de León, manifiesta que, c</w:t>
      </w:r>
      <w:r w:rsidRPr="001452FD">
        <w:rPr>
          <w:rFonts w:ascii="Gotham" w:hAnsi="Gotham"/>
          <w:sz w:val="20"/>
          <w:szCs w:val="20"/>
        </w:rPr>
        <w:t>omo lo indica</w:t>
      </w:r>
      <w:r>
        <w:rPr>
          <w:rFonts w:ascii="Gotham" w:hAnsi="Gotham"/>
          <w:sz w:val="20"/>
          <w:szCs w:val="20"/>
        </w:rPr>
        <w:t xml:space="preserve"> señor</w:t>
      </w:r>
      <w:r w:rsidRPr="001452FD">
        <w:rPr>
          <w:rFonts w:ascii="Gotham" w:hAnsi="Gotham"/>
          <w:sz w:val="20"/>
          <w:szCs w:val="20"/>
        </w:rPr>
        <w:t xml:space="preserve"> Presidente: </w:t>
      </w:r>
    </w:p>
    <w:p w14:paraId="3A473262" w14:textId="77777777" w:rsidR="00016FE1" w:rsidRPr="00A07C14" w:rsidRDefault="00016FE1" w:rsidP="002B6227">
      <w:pPr>
        <w:ind w:firstLine="708"/>
        <w:jc w:val="both"/>
        <w:rPr>
          <w:rFonts w:ascii="Gotham" w:hAnsi="Gotham" w:cs="Arial"/>
          <w:sz w:val="20"/>
          <w:szCs w:val="20"/>
        </w:rPr>
      </w:pPr>
    </w:p>
    <w:p w14:paraId="3A473263" w14:textId="77777777" w:rsidR="00016FE1" w:rsidRPr="000C1EE6" w:rsidRDefault="00016FE1" w:rsidP="002B6227">
      <w:pPr>
        <w:ind w:left="709" w:hanging="709"/>
        <w:jc w:val="both"/>
        <w:rPr>
          <w:rFonts w:ascii="Gotham" w:hAnsi="Gotham" w:cs="Arial"/>
          <w:sz w:val="20"/>
          <w:szCs w:val="20"/>
        </w:rPr>
      </w:pPr>
      <w:r w:rsidRPr="000C1EE6">
        <w:rPr>
          <w:rFonts w:ascii="Gotham" w:hAnsi="Gotham" w:cs="Arial"/>
          <w:sz w:val="20"/>
          <w:szCs w:val="20"/>
        </w:rPr>
        <w:t xml:space="preserve">5.2.1 </w:t>
      </w:r>
      <w:r>
        <w:rPr>
          <w:rFonts w:ascii="Gotham" w:hAnsi="Gotham" w:cs="Arial"/>
          <w:sz w:val="20"/>
          <w:szCs w:val="20"/>
        </w:rPr>
        <w:tab/>
        <w:t>SE TRASLADA A ASUNTOS VARIOS.</w:t>
      </w:r>
    </w:p>
    <w:p w14:paraId="3A473264" w14:textId="77777777" w:rsidR="00016FE1" w:rsidRDefault="00016FE1" w:rsidP="002B6227">
      <w:pPr>
        <w:jc w:val="both"/>
        <w:rPr>
          <w:rFonts w:ascii="Gotham" w:hAnsi="Gotham"/>
          <w:sz w:val="20"/>
          <w:szCs w:val="20"/>
        </w:rPr>
      </w:pPr>
    </w:p>
    <w:p w14:paraId="3A473265"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5.2.2  </w:t>
      </w:r>
      <w:r>
        <w:rPr>
          <w:rFonts w:ascii="Gotham" w:hAnsi="Gotham" w:cs="Arial"/>
          <w:sz w:val="20"/>
          <w:szCs w:val="20"/>
        </w:rPr>
        <w:tab/>
      </w:r>
      <w:r w:rsidRPr="00EC1525">
        <w:rPr>
          <w:rFonts w:ascii="Gotham" w:hAnsi="Gotham" w:cs="Arial"/>
          <w:sz w:val="20"/>
          <w:szCs w:val="20"/>
        </w:rPr>
        <w:t>Iniciativa con turno a la Comisión Edilicia de Hacienda Municipal y Presupuestos, que tiene por objeto estudiar, analizar y dictaminar lo concerniente al cumplimiento del pago de los diversos laudos, sentencias y requerimientos en curso, derivados de juicios de amparo que actualmente enfrenta este Ayuntamiento Constitucional.</w:t>
      </w:r>
    </w:p>
    <w:p w14:paraId="3A473266" w14:textId="77777777" w:rsidR="00016FE1" w:rsidRPr="00EC1525" w:rsidRDefault="00016FE1" w:rsidP="002B6227">
      <w:pPr>
        <w:ind w:left="709" w:hanging="709"/>
        <w:jc w:val="both"/>
        <w:rPr>
          <w:rFonts w:ascii="Gotham" w:hAnsi="Gotham" w:cs="Arial"/>
          <w:sz w:val="20"/>
          <w:szCs w:val="20"/>
        </w:rPr>
      </w:pPr>
    </w:p>
    <w:p w14:paraId="3A473267"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5.2.3 </w:t>
      </w:r>
      <w:r w:rsidRPr="00EC1525">
        <w:rPr>
          <w:rFonts w:ascii="Gotham" w:hAnsi="Gotham" w:cs="Arial"/>
          <w:sz w:val="20"/>
          <w:szCs w:val="20"/>
        </w:rPr>
        <w:tab/>
        <w:t xml:space="preserve">Iniciativa con turno a la Comisión Edilicia de Reglamentos, </w:t>
      </w:r>
      <w:bookmarkStart w:id="1" w:name="_Hlk172642190"/>
      <w:r w:rsidRPr="00EC1525">
        <w:rPr>
          <w:rFonts w:ascii="Gotham" w:hAnsi="Gotham" w:cs="Arial"/>
          <w:sz w:val="20"/>
          <w:szCs w:val="20"/>
        </w:rPr>
        <w:t>Puntos Constitucionales, Administración y Planeación Legislativa,</w:t>
      </w:r>
      <w:bookmarkEnd w:id="1"/>
      <w:r w:rsidRPr="00EC1525">
        <w:rPr>
          <w:rFonts w:ascii="Gotham" w:hAnsi="Gotham" w:cs="Arial"/>
          <w:sz w:val="20"/>
          <w:szCs w:val="20"/>
        </w:rPr>
        <w:t xml:space="preserve"> que tiene por objeto la creación del Reglamento para </w:t>
      </w:r>
      <w:r>
        <w:rPr>
          <w:rFonts w:ascii="Gotham" w:hAnsi="Gotham" w:cs="Arial"/>
          <w:sz w:val="20"/>
          <w:szCs w:val="20"/>
        </w:rPr>
        <w:t>P</w:t>
      </w:r>
      <w:r w:rsidRPr="00EC1525">
        <w:rPr>
          <w:rFonts w:ascii="Gotham" w:hAnsi="Gotham" w:cs="Arial"/>
          <w:sz w:val="20"/>
          <w:szCs w:val="20"/>
        </w:rPr>
        <w:t xml:space="preserve">revenir y </w:t>
      </w:r>
      <w:r>
        <w:rPr>
          <w:rFonts w:ascii="Gotham" w:hAnsi="Gotham" w:cs="Arial"/>
          <w:sz w:val="20"/>
          <w:szCs w:val="20"/>
        </w:rPr>
        <w:t>E</w:t>
      </w:r>
      <w:r w:rsidRPr="00EC1525">
        <w:rPr>
          <w:rFonts w:ascii="Gotham" w:hAnsi="Gotham" w:cs="Arial"/>
          <w:sz w:val="20"/>
          <w:szCs w:val="20"/>
        </w:rPr>
        <w:t>liminar la discriminación para el municipio de Tonalá, Jalisco;</w:t>
      </w:r>
    </w:p>
    <w:p w14:paraId="3A473268" w14:textId="77777777" w:rsidR="00016FE1" w:rsidRPr="00EC1525" w:rsidRDefault="00016FE1" w:rsidP="002B6227">
      <w:pPr>
        <w:ind w:left="709" w:hanging="709"/>
        <w:jc w:val="both"/>
        <w:rPr>
          <w:rFonts w:ascii="Gotham" w:hAnsi="Gotham" w:cs="Arial"/>
          <w:sz w:val="20"/>
          <w:szCs w:val="20"/>
        </w:rPr>
      </w:pPr>
    </w:p>
    <w:p w14:paraId="3A473269"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5.2.4  </w:t>
      </w:r>
      <w:r w:rsidRPr="00EC1525">
        <w:rPr>
          <w:rFonts w:ascii="Gotham" w:hAnsi="Gotham" w:cs="Arial"/>
          <w:sz w:val="20"/>
          <w:szCs w:val="20"/>
        </w:rPr>
        <w:tab/>
        <w:t xml:space="preserve">Iniciativa con turno a la Comisión Edilicia de Hacienda Municipal y Presupuestos, que tiene por objeto otorgar en </w:t>
      </w:r>
      <w:r>
        <w:rPr>
          <w:rFonts w:ascii="Gotham" w:hAnsi="Gotham" w:cs="Arial"/>
          <w:sz w:val="20"/>
          <w:szCs w:val="20"/>
        </w:rPr>
        <w:t>c</w:t>
      </w:r>
      <w:r w:rsidRPr="00EC1525">
        <w:rPr>
          <w:rFonts w:ascii="Gotham" w:hAnsi="Gotham" w:cs="Arial"/>
          <w:sz w:val="20"/>
          <w:szCs w:val="20"/>
        </w:rPr>
        <w:t>omodato los espacios públicos de las vialidades Loma Zacoalco, Loma Usmajac Oriente, Loma Usmajac Poniente, Loma Zapotlanejo y el área de servidumbre que colinda con el canal en el circuito Loma Dos, de la acción urbanística "Parque las Lomas" ubicado en Loma Dorada Norte número 300 de este municipio de Tonalá, con una superficie total de 2,964.00 dos mil novecientos sesenta y cuatro metros cuadrados;</w:t>
      </w:r>
      <w:bookmarkStart w:id="2" w:name="_Hlk172642086"/>
    </w:p>
    <w:p w14:paraId="3A47326A" w14:textId="77777777" w:rsidR="00016FE1" w:rsidRPr="00EC1525" w:rsidRDefault="00016FE1" w:rsidP="002B6227">
      <w:pPr>
        <w:ind w:left="709" w:hanging="709"/>
        <w:jc w:val="both"/>
        <w:rPr>
          <w:rFonts w:ascii="Gotham" w:hAnsi="Gotham" w:cs="Arial"/>
          <w:sz w:val="20"/>
          <w:szCs w:val="20"/>
        </w:rPr>
      </w:pPr>
    </w:p>
    <w:bookmarkEnd w:id="2"/>
    <w:p w14:paraId="3A47326B"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5.2.5 </w:t>
      </w:r>
      <w:r w:rsidRPr="00EC1525">
        <w:rPr>
          <w:rFonts w:ascii="Gotham" w:hAnsi="Gotham" w:cs="Arial"/>
          <w:sz w:val="20"/>
          <w:szCs w:val="20"/>
        </w:rPr>
        <w:tab/>
        <w:t>Iniciativa con turno a la Comisión Edilicia de Hacienda Municipal y Presupuestos, que tiene por objeto el estudio y análisis de aprobar la suscripción de convenio con la Organización AIESEC México A.C.;</w:t>
      </w:r>
    </w:p>
    <w:p w14:paraId="3A47326C" w14:textId="77777777" w:rsidR="00016FE1" w:rsidRPr="00EC1525" w:rsidRDefault="00016FE1" w:rsidP="002B6227">
      <w:pPr>
        <w:ind w:left="709" w:hanging="709"/>
        <w:jc w:val="both"/>
        <w:rPr>
          <w:rFonts w:ascii="Gotham" w:hAnsi="Gotham" w:cs="Arial"/>
          <w:sz w:val="20"/>
          <w:szCs w:val="20"/>
        </w:rPr>
      </w:pPr>
    </w:p>
    <w:p w14:paraId="3A47326D"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5.2.6 </w:t>
      </w:r>
      <w:r w:rsidRPr="00EC1525">
        <w:rPr>
          <w:rFonts w:ascii="Gotham" w:hAnsi="Gotham" w:cs="Arial"/>
          <w:sz w:val="20"/>
          <w:szCs w:val="20"/>
        </w:rPr>
        <w:tab/>
        <w:t xml:space="preserve">Iniciativa con Turno a la Comisión Edilicia de Reglamentos y de Administración, Transparencia y Rendición de Cuentas, que tiene por objeto ampliar el punto de </w:t>
      </w:r>
      <w:r>
        <w:rPr>
          <w:rFonts w:ascii="Gotham" w:hAnsi="Gotham" w:cs="Arial"/>
          <w:sz w:val="20"/>
          <w:szCs w:val="20"/>
        </w:rPr>
        <w:t>A</w:t>
      </w:r>
      <w:r w:rsidRPr="00EC1525">
        <w:rPr>
          <w:rFonts w:ascii="Gotham" w:hAnsi="Gotham" w:cs="Arial"/>
          <w:sz w:val="20"/>
          <w:szCs w:val="20"/>
        </w:rPr>
        <w:t xml:space="preserve">cuerdo </w:t>
      </w:r>
      <w:r>
        <w:rPr>
          <w:rFonts w:ascii="Gotham" w:hAnsi="Gotham" w:cs="Arial"/>
          <w:sz w:val="20"/>
          <w:szCs w:val="20"/>
        </w:rPr>
        <w:t xml:space="preserve">No. </w:t>
      </w:r>
      <w:r w:rsidRPr="00EC1525">
        <w:rPr>
          <w:rFonts w:ascii="Gotham" w:hAnsi="Gotham" w:cs="Arial"/>
          <w:sz w:val="20"/>
          <w:szCs w:val="20"/>
        </w:rPr>
        <w:t>996 presentado en la Vigésima Octava Sesión Ordinaria de Ayuntamiento, de fecha 25 de enero del año 2024, para que se realice un estudio en cuanto a la propuesta de participación de los ciudadanos en la elección de Delegados y Agentes Municipales;</w:t>
      </w:r>
    </w:p>
    <w:p w14:paraId="3A47326E" w14:textId="77777777" w:rsidR="00016FE1" w:rsidRPr="00EC1525" w:rsidRDefault="00016FE1" w:rsidP="002B6227">
      <w:pPr>
        <w:ind w:left="709" w:hanging="709"/>
        <w:jc w:val="both"/>
        <w:rPr>
          <w:rFonts w:ascii="Gotham" w:hAnsi="Gotham" w:cs="Arial"/>
          <w:sz w:val="20"/>
          <w:szCs w:val="20"/>
        </w:rPr>
      </w:pPr>
    </w:p>
    <w:p w14:paraId="3A47326F"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5.2.7 </w:t>
      </w:r>
      <w:r w:rsidRPr="00EC1525">
        <w:rPr>
          <w:rFonts w:ascii="Gotham" w:hAnsi="Gotham" w:cs="Arial"/>
          <w:sz w:val="20"/>
          <w:szCs w:val="20"/>
        </w:rPr>
        <w:tab/>
        <w:t>Iniciativa con Turno a la Comisión Edilicia de Hacienda Municipal y Presupuestos que tiene por objeto se estudie y lleve a cabo el Proye</w:t>
      </w:r>
      <w:r>
        <w:rPr>
          <w:rFonts w:ascii="Gotham" w:hAnsi="Gotham" w:cs="Arial"/>
          <w:sz w:val="20"/>
          <w:szCs w:val="20"/>
        </w:rPr>
        <w:t>cto de Ley de Ingresos para el E</w:t>
      </w:r>
      <w:r w:rsidRPr="00EC1525">
        <w:rPr>
          <w:rFonts w:ascii="Gotham" w:hAnsi="Gotham" w:cs="Arial"/>
          <w:sz w:val="20"/>
          <w:szCs w:val="20"/>
        </w:rPr>
        <w:t>jercicio Fiscal 2025, y Proyect</w:t>
      </w:r>
      <w:r>
        <w:rPr>
          <w:rFonts w:ascii="Gotham" w:hAnsi="Gotham" w:cs="Arial"/>
          <w:sz w:val="20"/>
          <w:szCs w:val="20"/>
        </w:rPr>
        <w:t>o de Tablas de Valores para el M</w:t>
      </w:r>
      <w:r w:rsidRPr="00EC1525">
        <w:rPr>
          <w:rFonts w:ascii="Gotham" w:hAnsi="Gotham" w:cs="Arial"/>
          <w:sz w:val="20"/>
          <w:szCs w:val="20"/>
        </w:rPr>
        <w:t>unicipio de Tonalá, Jalisco;</w:t>
      </w:r>
    </w:p>
    <w:p w14:paraId="3A473270" w14:textId="77777777" w:rsidR="00016FE1" w:rsidRPr="00EC1525" w:rsidRDefault="00016FE1" w:rsidP="002B6227">
      <w:pPr>
        <w:ind w:left="709" w:hanging="709"/>
        <w:jc w:val="both"/>
        <w:rPr>
          <w:rFonts w:ascii="Gotham" w:hAnsi="Gotham" w:cs="Arial"/>
          <w:sz w:val="20"/>
          <w:szCs w:val="20"/>
        </w:rPr>
      </w:pPr>
    </w:p>
    <w:p w14:paraId="3A473271"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5.2.8 </w:t>
      </w:r>
      <w:r w:rsidRPr="00EC1525">
        <w:rPr>
          <w:rFonts w:ascii="Gotham" w:hAnsi="Gotham" w:cs="Arial"/>
          <w:sz w:val="20"/>
          <w:szCs w:val="20"/>
        </w:rPr>
        <w:tab/>
        <w:t>Iniciativa con Turno a la Comisión Edilicia de Hacienda Municipal y Presupuestos, así como a la de Seguridad y Prevención Ciudadana, que tiene por objeto se realice un incremento del 10% a los elementos de la Comisaría de seguridad pública municipal, Protección Civil y Bomberos, Paramédicos;</w:t>
      </w:r>
    </w:p>
    <w:p w14:paraId="3A473272" w14:textId="77777777" w:rsidR="00016FE1" w:rsidRPr="00EC1525" w:rsidRDefault="00016FE1" w:rsidP="002B6227">
      <w:pPr>
        <w:ind w:left="709" w:hanging="709"/>
        <w:jc w:val="both"/>
        <w:rPr>
          <w:rFonts w:ascii="Gotham" w:hAnsi="Gotham" w:cs="Arial"/>
          <w:sz w:val="20"/>
          <w:szCs w:val="20"/>
        </w:rPr>
      </w:pPr>
    </w:p>
    <w:p w14:paraId="3A473273"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5.2.9 </w:t>
      </w:r>
      <w:r w:rsidRPr="00EC1525">
        <w:rPr>
          <w:rFonts w:ascii="Gotham" w:hAnsi="Gotham" w:cs="Arial"/>
          <w:sz w:val="20"/>
          <w:szCs w:val="20"/>
        </w:rPr>
        <w:tab/>
        <w:t>Iniciativa con Turno a la Comisión Edilicia de Hacienda Municipal y Presupuestos así como a la de Protección Civil y Bomberos, que tiene por objeto el otorgamiento de bono a elementos de Protección Civil y Bomberos, para el día del bombero (22 de agosto de 2024);</w:t>
      </w:r>
    </w:p>
    <w:p w14:paraId="3A473274" w14:textId="77777777" w:rsidR="00016FE1" w:rsidRPr="00EC1525" w:rsidRDefault="00016FE1" w:rsidP="002B6227">
      <w:pPr>
        <w:ind w:left="709" w:hanging="709"/>
        <w:jc w:val="both"/>
        <w:rPr>
          <w:rFonts w:ascii="Gotham" w:hAnsi="Gotham" w:cs="Arial"/>
          <w:sz w:val="20"/>
          <w:szCs w:val="20"/>
        </w:rPr>
      </w:pPr>
    </w:p>
    <w:p w14:paraId="3A473275"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5.2.10 </w:t>
      </w:r>
      <w:r w:rsidRPr="00EC1525">
        <w:rPr>
          <w:rFonts w:ascii="Gotham" w:hAnsi="Gotham" w:cs="Arial"/>
          <w:sz w:val="20"/>
          <w:szCs w:val="20"/>
        </w:rPr>
        <w:tab/>
        <w:t>Iniciativa con Turno a la Comisión Edilicia de Hacienda Municipal y Presupuestos así como a la de Protección Civil y Bomberos, que tiene por objeto la adquisición de 02 de ambulancias electro-médicamente equipadas para el ejercicio fiscal 2024;</w:t>
      </w:r>
    </w:p>
    <w:p w14:paraId="3A473276" w14:textId="77777777" w:rsidR="00016FE1" w:rsidRPr="00EC1525" w:rsidRDefault="00016FE1" w:rsidP="002B6227">
      <w:pPr>
        <w:ind w:left="709" w:hanging="709"/>
        <w:jc w:val="both"/>
        <w:rPr>
          <w:rFonts w:ascii="Gotham" w:hAnsi="Gotham" w:cs="Arial"/>
          <w:sz w:val="20"/>
          <w:szCs w:val="20"/>
        </w:rPr>
      </w:pPr>
    </w:p>
    <w:p w14:paraId="3A473277"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5.2.11 </w:t>
      </w:r>
      <w:r w:rsidRPr="00EC1525">
        <w:rPr>
          <w:rFonts w:ascii="Gotham" w:hAnsi="Gotham" w:cs="Arial"/>
          <w:sz w:val="20"/>
          <w:szCs w:val="20"/>
        </w:rPr>
        <w:tab/>
        <w:t>Iniciativa con Turno a la Comisión Edilicia de Obras Públicas así como a la de Protección Civil y Bomberos, que tiene por objeto llevar a cabo la actualización del Atlas de Riesgo Municipal;</w:t>
      </w:r>
    </w:p>
    <w:p w14:paraId="3A473278" w14:textId="77777777" w:rsidR="00016FE1" w:rsidRPr="00EC1525" w:rsidRDefault="00016FE1" w:rsidP="002B6227">
      <w:pPr>
        <w:ind w:left="709" w:hanging="709"/>
        <w:jc w:val="both"/>
        <w:rPr>
          <w:rFonts w:ascii="Gotham" w:hAnsi="Gotham" w:cs="Arial"/>
          <w:sz w:val="20"/>
          <w:szCs w:val="20"/>
        </w:rPr>
      </w:pPr>
    </w:p>
    <w:p w14:paraId="3A473279"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5.2.12 </w:t>
      </w:r>
      <w:r w:rsidRPr="00EC1525">
        <w:rPr>
          <w:rFonts w:ascii="Gotham" w:hAnsi="Gotham" w:cs="Arial"/>
          <w:sz w:val="20"/>
          <w:szCs w:val="20"/>
        </w:rPr>
        <w:tab/>
        <w:t>Iniciativa con Turno a la Comisión Edilicia de Seguridad y Prevención Ciudadana y de Servicios Médicos, Salubridad e Higiene, que tiene por objeto se implementen protocolos de atención psicológica e intervención de crisis a los elementos de la Comisaría de Seguridad Pública municipal, Protección Civil y Bomberos y Paramédicos, que participen en acciones o servicios propios a sus funciones que arriesguen sus vidas;</w:t>
      </w:r>
    </w:p>
    <w:p w14:paraId="3A47327A" w14:textId="77777777" w:rsidR="00016FE1" w:rsidRPr="00EC1525" w:rsidRDefault="00016FE1" w:rsidP="002B6227">
      <w:pPr>
        <w:ind w:left="709" w:hanging="709"/>
        <w:jc w:val="both"/>
        <w:rPr>
          <w:rFonts w:ascii="Gotham" w:hAnsi="Gotham" w:cs="Arial"/>
          <w:sz w:val="20"/>
          <w:szCs w:val="20"/>
        </w:rPr>
      </w:pPr>
    </w:p>
    <w:p w14:paraId="3A47327B"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5.2.13 </w:t>
      </w:r>
      <w:r w:rsidRPr="00EC1525">
        <w:rPr>
          <w:rFonts w:ascii="Gotham" w:hAnsi="Gotham" w:cs="Arial"/>
          <w:sz w:val="20"/>
          <w:szCs w:val="20"/>
        </w:rPr>
        <w:tab/>
        <w:t>Iniciativa con Turno a la Comisión Edilicia de Reglamentos, Puntos Constitucionales, Administración y Planeación Legislativa</w:t>
      </w:r>
      <w:r>
        <w:rPr>
          <w:rFonts w:ascii="Gotham" w:hAnsi="Gotham" w:cs="Arial"/>
          <w:sz w:val="20"/>
          <w:szCs w:val="20"/>
        </w:rPr>
        <w:t>,</w:t>
      </w:r>
      <w:r w:rsidRPr="00EC1525">
        <w:rPr>
          <w:rFonts w:ascii="Gotham" w:hAnsi="Gotham" w:cs="Arial"/>
          <w:sz w:val="20"/>
          <w:szCs w:val="20"/>
        </w:rPr>
        <w:t xml:space="preserve"> así como a la de Hacienda Municipal y Presupuestos, que tiene por objeto llevar a cabo la jerarquización en la Dirección de Protección Civil y Bomberos.</w:t>
      </w:r>
    </w:p>
    <w:p w14:paraId="3A47327C" w14:textId="77777777" w:rsidR="00016FE1" w:rsidRPr="00EC1525" w:rsidRDefault="00016FE1" w:rsidP="002B6227">
      <w:pPr>
        <w:ind w:left="709" w:hanging="709"/>
        <w:jc w:val="both"/>
        <w:rPr>
          <w:rFonts w:ascii="Gotham" w:hAnsi="Gotham" w:cs="Arial"/>
          <w:sz w:val="20"/>
          <w:szCs w:val="20"/>
        </w:rPr>
      </w:pPr>
    </w:p>
    <w:p w14:paraId="3A47327D"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5.2.14 </w:t>
      </w:r>
      <w:r w:rsidRPr="00EC1525">
        <w:rPr>
          <w:rFonts w:ascii="Gotham" w:hAnsi="Gotham" w:cs="Arial"/>
          <w:sz w:val="20"/>
          <w:szCs w:val="20"/>
        </w:rPr>
        <w:tab/>
        <w:t>Iniciativa con Turno a la Edilicia de Hacienda Municipal y Presupuestos que tiene por objeto la Renovación de la marca “Tonalá, Capital Mexicana de las Artesanías”;</w:t>
      </w:r>
    </w:p>
    <w:p w14:paraId="3A47327E" w14:textId="77777777" w:rsidR="00016FE1" w:rsidRDefault="00016FE1" w:rsidP="002B6227">
      <w:pPr>
        <w:ind w:left="709" w:hanging="709"/>
        <w:jc w:val="both"/>
        <w:rPr>
          <w:rFonts w:ascii="Gotham" w:hAnsi="Gotham" w:cs="Arial"/>
          <w:sz w:val="20"/>
          <w:szCs w:val="20"/>
        </w:rPr>
      </w:pPr>
    </w:p>
    <w:p w14:paraId="3A47327F" w14:textId="77777777" w:rsidR="00016FE1" w:rsidRPr="00EC1525" w:rsidRDefault="00016FE1" w:rsidP="002B6227">
      <w:pPr>
        <w:ind w:left="709" w:hanging="709"/>
        <w:jc w:val="both"/>
        <w:rPr>
          <w:rFonts w:ascii="Gotham" w:hAnsi="Gotham" w:cs="Arial"/>
          <w:sz w:val="20"/>
          <w:szCs w:val="20"/>
        </w:rPr>
      </w:pPr>
      <w:r w:rsidRPr="00EC1525">
        <w:rPr>
          <w:rFonts w:ascii="Gotham" w:hAnsi="Gotham" w:cs="Arial"/>
          <w:sz w:val="20"/>
          <w:szCs w:val="20"/>
        </w:rPr>
        <w:t xml:space="preserve">5.2.15 </w:t>
      </w:r>
      <w:r w:rsidRPr="00EC1525">
        <w:rPr>
          <w:rFonts w:ascii="Gotham" w:hAnsi="Gotham" w:cs="Arial"/>
          <w:sz w:val="20"/>
          <w:szCs w:val="20"/>
        </w:rPr>
        <w:tab/>
        <w:t>Iniciativa con Turno a la Edilicia de Atención a la Juventud y Deporte, que tiene por objeto la realización de la carrera atlética “Corriendo por un Milagro” a beneficio de la A.C. sin fines de lucro denominada “Donación de Milagros”;</w:t>
      </w:r>
    </w:p>
    <w:p w14:paraId="3A473280" w14:textId="77777777" w:rsidR="00016FE1" w:rsidRDefault="00016FE1" w:rsidP="002B6227">
      <w:pPr>
        <w:jc w:val="both"/>
        <w:rPr>
          <w:rFonts w:ascii="Gotham" w:hAnsi="Gotham"/>
          <w:sz w:val="20"/>
          <w:szCs w:val="20"/>
        </w:rPr>
      </w:pPr>
    </w:p>
    <w:p w14:paraId="3A473281" w14:textId="77777777" w:rsidR="00016FE1" w:rsidRPr="00075CE6" w:rsidRDefault="00016FE1" w:rsidP="002B6227">
      <w:pPr>
        <w:jc w:val="both"/>
        <w:rPr>
          <w:rFonts w:ascii="Gotham" w:hAnsi="Gotham"/>
          <w:sz w:val="20"/>
          <w:szCs w:val="20"/>
        </w:rPr>
      </w:pPr>
    </w:p>
    <w:p w14:paraId="3A473282" w14:textId="77777777" w:rsidR="00016FE1" w:rsidRDefault="00016FE1" w:rsidP="002B6227">
      <w:pPr>
        <w:tabs>
          <w:tab w:val="left" w:pos="841"/>
        </w:tabs>
        <w:jc w:val="both"/>
        <w:rPr>
          <w:rFonts w:ascii="Gotham" w:hAnsi="Gotham" w:cs="Arial"/>
          <w:color w:val="000000"/>
          <w:sz w:val="20"/>
          <w:szCs w:val="20"/>
          <w:bdr w:val="none" w:sz="0" w:space="0" w:color="auto" w:frame="1"/>
          <w:lang w:eastAsia="es-MX"/>
        </w:rPr>
      </w:pPr>
      <w:r w:rsidRPr="000F7447">
        <w:rPr>
          <w:rFonts w:ascii="Gotham" w:hAnsi="Gotham"/>
          <w:b/>
          <w:bCs/>
          <w:smallCaps/>
          <w:sz w:val="20"/>
          <w:szCs w:val="20"/>
        </w:rPr>
        <w:t>Primera Iniciativa con Turno a Comisión</w:t>
      </w:r>
      <w:r w:rsidRPr="000F7447">
        <w:rPr>
          <w:rFonts w:ascii="Gotham" w:hAnsi="Gotham"/>
          <w:b/>
          <w:bCs/>
          <w:sz w:val="20"/>
          <w:szCs w:val="20"/>
        </w:rPr>
        <w:t xml:space="preserve">.- </w:t>
      </w:r>
      <w:r>
        <w:rPr>
          <w:rFonts w:ascii="Gotham" w:hAnsi="Gotham" w:cs="Arial"/>
          <w:sz w:val="20"/>
          <w:szCs w:val="20"/>
        </w:rPr>
        <w:t>SE TRASLADA A ASUNTOS VARIOS</w:t>
      </w:r>
      <w:r>
        <w:rPr>
          <w:rFonts w:ascii="Gotham" w:hAnsi="Gotham" w:cs="Arial"/>
          <w:color w:val="000000"/>
          <w:sz w:val="20"/>
          <w:szCs w:val="20"/>
          <w:bdr w:val="none" w:sz="0" w:space="0" w:color="auto" w:frame="1"/>
          <w:lang w:eastAsia="es-MX"/>
        </w:rPr>
        <w:t>.</w:t>
      </w:r>
    </w:p>
    <w:p w14:paraId="3A473283" w14:textId="77777777" w:rsidR="00016FE1" w:rsidRDefault="00016FE1" w:rsidP="002B6227">
      <w:pPr>
        <w:tabs>
          <w:tab w:val="left" w:pos="841"/>
        </w:tabs>
        <w:jc w:val="both"/>
        <w:rPr>
          <w:rFonts w:ascii="Gotham" w:hAnsi="Gotham"/>
          <w:sz w:val="20"/>
          <w:szCs w:val="20"/>
        </w:rPr>
      </w:pPr>
    </w:p>
    <w:p w14:paraId="3A473284" w14:textId="77777777" w:rsidR="00016FE1" w:rsidRPr="000F7447" w:rsidRDefault="00016FE1" w:rsidP="002B6227">
      <w:pPr>
        <w:jc w:val="both"/>
        <w:rPr>
          <w:rFonts w:ascii="Gotham" w:hAnsi="Gotham"/>
          <w:sz w:val="20"/>
          <w:szCs w:val="20"/>
        </w:rPr>
      </w:pPr>
    </w:p>
    <w:p w14:paraId="3A473285"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1114</w:t>
      </w:r>
    </w:p>
    <w:p w14:paraId="3A473286" w14:textId="77777777" w:rsidR="00016FE1" w:rsidRPr="00167449" w:rsidRDefault="00016FE1" w:rsidP="002B6227">
      <w:pPr>
        <w:jc w:val="both"/>
        <w:rPr>
          <w:rFonts w:ascii="Gotham" w:hAnsi="Gotham"/>
          <w:sz w:val="20"/>
          <w:szCs w:val="20"/>
        </w:rPr>
      </w:pPr>
      <w:r w:rsidRPr="000F7447">
        <w:rPr>
          <w:rFonts w:ascii="Gotham" w:hAnsi="Gotham"/>
          <w:b/>
          <w:bCs/>
          <w:smallCaps/>
          <w:sz w:val="20"/>
          <w:szCs w:val="20"/>
        </w:rPr>
        <w:t>Segunda Iniciativa con Turno a Comisión</w:t>
      </w:r>
      <w:r w:rsidRPr="000F7447">
        <w:rPr>
          <w:rFonts w:ascii="Gotham" w:hAnsi="Gotham"/>
          <w:b/>
          <w:bCs/>
          <w:sz w:val="20"/>
          <w:szCs w:val="20"/>
        </w:rPr>
        <w:t xml:space="preserve">.- </w:t>
      </w:r>
      <w:r>
        <w:rPr>
          <w:rFonts w:ascii="Gotham" w:hAnsi="Gotham"/>
          <w:sz w:val="20"/>
          <w:szCs w:val="20"/>
        </w:rPr>
        <w:t xml:space="preserve">En uso de la voz el Presidente Municipal, Sergio Armando Chávez Dávalos, </w:t>
      </w:r>
      <w:r w:rsidRPr="000F7447">
        <w:rPr>
          <w:rFonts w:ascii="Gotham" w:hAnsi="Gotham"/>
          <w:sz w:val="20"/>
          <w:szCs w:val="20"/>
        </w:rPr>
        <w:t>manifiesta que,</w:t>
      </w:r>
      <w:r>
        <w:rPr>
          <w:rFonts w:ascii="Gotham" w:hAnsi="Gotham"/>
          <w:sz w:val="20"/>
          <w:szCs w:val="20"/>
        </w:rPr>
        <w:t xml:space="preserve"> e</w:t>
      </w:r>
      <w:r w:rsidRPr="00167449">
        <w:rPr>
          <w:rFonts w:ascii="Gotham" w:hAnsi="Gotham"/>
          <w:sz w:val="20"/>
          <w:szCs w:val="20"/>
        </w:rPr>
        <w:t>l que suscribe, Sergio Armando Chávez Dávalos, Presidente Municipal del Ayuntamiento Constitucional de Tonalá, Jalisco, en uso de las facultades que me confieren los artículos 115, fracciones I y II de la Constitución Política de los Estados Unidos Mexicanos; 77 de nuestra Constitución Política del Estado de Jalisco; 41 de la Ley del Gobierno y la Administración Pública Municipal del Estado de Jalisco, 53 del Reglamento del Gobierno y la Administración Pública del Ayuntamiento Constitucional de Tonalá, Jalisco, así como 17 bis, 82 fracción I y 83 del Reglamento para el Funcionamiento Interno de Sesiones del Ayuntamiento Constitucional de Tonalá, Jalisco, someto a la elevada consideración de este Ayuntamiento la presente iniciativa con turno a la Comisión Edilicia de Hacienda Municipal y Presupuestos, en razón de los siguientes:</w:t>
      </w:r>
    </w:p>
    <w:p w14:paraId="3A473287" w14:textId="77777777" w:rsidR="00016FE1" w:rsidRPr="00167449" w:rsidRDefault="00016FE1" w:rsidP="002B6227">
      <w:pPr>
        <w:jc w:val="both"/>
        <w:rPr>
          <w:rFonts w:ascii="Gotham" w:hAnsi="Gotham"/>
          <w:sz w:val="20"/>
          <w:szCs w:val="20"/>
        </w:rPr>
      </w:pPr>
    </w:p>
    <w:p w14:paraId="3A473288" w14:textId="77777777" w:rsidR="00016FE1" w:rsidRPr="00167449" w:rsidRDefault="00016FE1" w:rsidP="002B6227">
      <w:pPr>
        <w:jc w:val="center"/>
        <w:rPr>
          <w:rFonts w:ascii="Gotham" w:hAnsi="Gotham"/>
          <w:sz w:val="20"/>
          <w:szCs w:val="20"/>
        </w:rPr>
      </w:pPr>
      <w:r w:rsidRPr="00167449">
        <w:rPr>
          <w:rFonts w:ascii="Gotham" w:hAnsi="Gotham"/>
          <w:sz w:val="20"/>
          <w:szCs w:val="20"/>
        </w:rPr>
        <w:t>A  N  T  E  C  E  D  E  N  T  E  S</w:t>
      </w:r>
    </w:p>
    <w:p w14:paraId="3A473289" w14:textId="77777777" w:rsidR="00016FE1" w:rsidRPr="00167449" w:rsidRDefault="00016FE1" w:rsidP="002B6227">
      <w:pPr>
        <w:jc w:val="both"/>
        <w:rPr>
          <w:rFonts w:ascii="Gotham" w:hAnsi="Gotham"/>
          <w:sz w:val="20"/>
          <w:szCs w:val="20"/>
        </w:rPr>
      </w:pPr>
    </w:p>
    <w:p w14:paraId="3A47328A"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t xml:space="preserve">1.- </w:t>
      </w:r>
      <w:r>
        <w:rPr>
          <w:rFonts w:ascii="Gotham" w:hAnsi="Gotham"/>
          <w:sz w:val="20"/>
          <w:szCs w:val="20"/>
        </w:rPr>
        <w:tab/>
      </w:r>
      <w:r w:rsidRPr="00167449">
        <w:rPr>
          <w:rFonts w:ascii="Gotham" w:hAnsi="Gotham"/>
          <w:sz w:val="20"/>
          <w:szCs w:val="20"/>
        </w:rPr>
        <w:t>Con fecha del 12 de junio del presente año, por conducto de los oficios. 24268/2024, 24269/2024 y 24270/2024, el Juzgado Segundo de Distrito en Materia Administrativa, Civil y de Trabajo en el Estado de Jalisco, informó a la Dirección Jurídica de este Ayuntamiento el contenido del acuerdo pronunciado el pasado 10 de junio de 2024, en referencia al Juicio de Amparo 1243/2021-II, promovido por la quejosa C. Laura Cajiga Rivera, en donde se requiere, entre otros, a este Ayuntamiento Constitucional para que dentro del término de tres días se informe a la Autoridad Jurisdiccional respecto al cumplimiento de la sentencia; tramitando y concluyendo el procedimiento de ejecución de laudo en el expediente 1005/2012-E1 y su acumulado 1483/2012-C2, a través de la adecuación de las partidas presupuestarias por la cantidad de $327,421.18 (trescientos veintisiete mil cuatrocientos veintiuno pesos 18/100 m.n.);</w:t>
      </w:r>
    </w:p>
    <w:p w14:paraId="3A47328B" w14:textId="77777777" w:rsidR="00016FE1" w:rsidRPr="00167449" w:rsidRDefault="00016FE1" w:rsidP="002B6227">
      <w:pPr>
        <w:ind w:left="567" w:hanging="567"/>
        <w:jc w:val="both"/>
        <w:rPr>
          <w:rFonts w:ascii="Gotham" w:hAnsi="Gotham"/>
          <w:sz w:val="20"/>
          <w:szCs w:val="20"/>
        </w:rPr>
      </w:pPr>
    </w:p>
    <w:p w14:paraId="3A47328C"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t xml:space="preserve">2.- </w:t>
      </w:r>
      <w:r>
        <w:rPr>
          <w:rFonts w:ascii="Gotham" w:hAnsi="Gotham"/>
          <w:sz w:val="20"/>
          <w:szCs w:val="20"/>
        </w:rPr>
        <w:tab/>
      </w:r>
      <w:r w:rsidRPr="00167449">
        <w:rPr>
          <w:rFonts w:ascii="Gotham" w:hAnsi="Gotham"/>
          <w:sz w:val="20"/>
          <w:szCs w:val="20"/>
        </w:rPr>
        <w:t xml:space="preserve">Asimismo, con fecha del 21 de junio del presente 2024, se notificó a la Dirección Jurídica de este Ayuntamiento, a través de los oficios 26902/2023, 26903/2024 y 26904/2024, que el Juzgado Tercero de Distrito en Materias Administrativa, Civil y de Trabajo en el Estado de Jalisco, pronunció acuerdo en referencia al Juicio de Amparo 1810/2017, promovido por la C. Blanca Selene Rodríguez Martínez, en donde se requiere a este Ayuntamiento, para que dentro del término otorgado de tres días, dé cumplimiento con la ejecutoria de amparo traducida al pago de la cantidad líquida a la que ascienden las condenas impuestas en el laudo emitido dentro del juicio laboral 744/2010-G2, por la cantidad de $873,711.52 (ochocientos </w:t>
      </w:r>
      <w:r w:rsidRPr="004506F5">
        <w:rPr>
          <w:rFonts w:ascii="Gotham" w:hAnsi="Gotham"/>
          <w:sz w:val="20"/>
          <w:szCs w:val="20"/>
        </w:rPr>
        <w:t>setenta y</w:t>
      </w:r>
      <w:r w:rsidRPr="00167449">
        <w:rPr>
          <w:rFonts w:ascii="Gotham" w:hAnsi="Gotham"/>
          <w:sz w:val="20"/>
          <w:szCs w:val="20"/>
        </w:rPr>
        <w:t xml:space="preserve"> tres mil setecientos once pesos 53/100 m.n.).; y</w:t>
      </w:r>
    </w:p>
    <w:p w14:paraId="3A47328D" w14:textId="77777777" w:rsidR="00016FE1" w:rsidRPr="00167449" w:rsidRDefault="00016FE1" w:rsidP="002B6227">
      <w:pPr>
        <w:ind w:left="567" w:hanging="567"/>
        <w:jc w:val="both"/>
        <w:rPr>
          <w:rFonts w:ascii="Gotham" w:hAnsi="Gotham"/>
          <w:sz w:val="20"/>
          <w:szCs w:val="20"/>
        </w:rPr>
      </w:pPr>
    </w:p>
    <w:p w14:paraId="3A47328E"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t xml:space="preserve">3.- </w:t>
      </w:r>
      <w:r>
        <w:rPr>
          <w:rFonts w:ascii="Gotham" w:hAnsi="Gotham"/>
          <w:sz w:val="20"/>
          <w:szCs w:val="20"/>
        </w:rPr>
        <w:tab/>
      </w:r>
      <w:r w:rsidRPr="00167449">
        <w:rPr>
          <w:rFonts w:ascii="Gotham" w:hAnsi="Gotham"/>
          <w:sz w:val="20"/>
          <w:szCs w:val="20"/>
        </w:rPr>
        <w:t xml:space="preserve">Finalmente, el 10 de julio de 2024, el </w:t>
      </w:r>
      <w:r w:rsidRPr="004506F5">
        <w:rPr>
          <w:rFonts w:ascii="Gotham" w:hAnsi="Gotham"/>
          <w:sz w:val="20"/>
          <w:szCs w:val="20"/>
        </w:rPr>
        <w:t>Juzgado</w:t>
      </w:r>
      <w:r w:rsidRPr="00167449">
        <w:rPr>
          <w:rFonts w:ascii="Gotham" w:hAnsi="Gotham"/>
          <w:sz w:val="20"/>
          <w:szCs w:val="20"/>
        </w:rPr>
        <w:t xml:space="preserve"> Octavo de Distrito en Materias Administrativa, Civil y de Trabajo en el Estado de Jalisco, por conducto del acuerdo dictado el pasado 08 de julio de 2024; requirió al Pleno de este Ayuntamiento Constitucional, para que dentro del plazo otorgado de tres días, dé </w:t>
      </w:r>
      <w:r w:rsidRPr="00A14E0A">
        <w:rPr>
          <w:rFonts w:ascii="Gotham" w:hAnsi="Gotham"/>
          <w:sz w:val="20"/>
          <w:szCs w:val="20"/>
        </w:rPr>
        <w:t>cumplimiento</w:t>
      </w:r>
      <w:r w:rsidRPr="00167449">
        <w:rPr>
          <w:rFonts w:ascii="Gotham" w:hAnsi="Gotham"/>
          <w:sz w:val="20"/>
          <w:szCs w:val="20"/>
        </w:rPr>
        <w:t xml:space="preserve"> a la ejecutoria dentro del Juicio de Amparo 1459/2023-9 acatando a lo requerido por el Tribunal de Arbitraje y Escalafón del Estado dentro del juicio laboral 1320/2012-F1, esto es, mediante la acreditación de haber realizado las gestiones presupuestales correspondientes con las deducciones correspondientes por la cantidad de $594,419.67 (quinientos noventa y cuatro mil cuatrocientos diecinueve 67/100 m.n.).</w:t>
      </w:r>
    </w:p>
    <w:p w14:paraId="3A47328F" w14:textId="77777777" w:rsidR="00016FE1" w:rsidRPr="00167449" w:rsidRDefault="00016FE1" w:rsidP="002B6227">
      <w:pPr>
        <w:jc w:val="both"/>
        <w:rPr>
          <w:rFonts w:ascii="Gotham" w:hAnsi="Gotham"/>
          <w:sz w:val="20"/>
          <w:szCs w:val="20"/>
        </w:rPr>
      </w:pPr>
    </w:p>
    <w:p w14:paraId="3A473290" w14:textId="77777777" w:rsidR="00016FE1" w:rsidRPr="00167449" w:rsidRDefault="00016FE1" w:rsidP="002B6227">
      <w:pPr>
        <w:jc w:val="both"/>
        <w:rPr>
          <w:rFonts w:ascii="Gotham" w:hAnsi="Gotham"/>
          <w:sz w:val="20"/>
          <w:szCs w:val="20"/>
        </w:rPr>
      </w:pPr>
      <w:r w:rsidRPr="00167449">
        <w:rPr>
          <w:rFonts w:ascii="Gotham" w:hAnsi="Gotham"/>
          <w:sz w:val="20"/>
          <w:szCs w:val="20"/>
        </w:rPr>
        <w:t>En virtud de lo anterior, es conveniente contemplar las siguientes:</w:t>
      </w:r>
    </w:p>
    <w:p w14:paraId="3A473291" w14:textId="77777777" w:rsidR="00016FE1" w:rsidRPr="00167449" w:rsidRDefault="00016FE1" w:rsidP="002B6227">
      <w:pPr>
        <w:jc w:val="both"/>
        <w:rPr>
          <w:rFonts w:ascii="Gotham" w:hAnsi="Gotham"/>
          <w:sz w:val="20"/>
          <w:szCs w:val="20"/>
        </w:rPr>
      </w:pPr>
    </w:p>
    <w:p w14:paraId="3A473292" w14:textId="77777777" w:rsidR="00016FE1" w:rsidRPr="00167449" w:rsidRDefault="00016FE1" w:rsidP="002B6227">
      <w:pPr>
        <w:jc w:val="center"/>
        <w:rPr>
          <w:rFonts w:ascii="Gotham" w:hAnsi="Gotham"/>
          <w:sz w:val="20"/>
          <w:szCs w:val="20"/>
        </w:rPr>
      </w:pPr>
      <w:r w:rsidRPr="00167449">
        <w:rPr>
          <w:rFonts w:ascii="Gotham" w:hAnsi="Gotham"/>
          <w:sz w:val="20"/>
          <w:szCs w:val="20"/>
        </w:rPr>
        <w:t>C O N S I D E R A C I O N E S</w:t>
      </w:r>
    </w:p>
    <w:p w14:paraId="3A473293" w14:textId="77777777" w:rsidR="00016FE1" w:rsidRPr="00167449" w:rsidRDefault="00016FE1" w:rsidP="002B6227">
      <w:pPr>
        <w:jc w:val="both"/>
        <w:rPr>
          <w:rFonts w:ascii="Gotham" w:hAnsi="Gotham"/>
          <w:sz w:val="20"/>
          <w:szCs w:val="20"/>
        </w:rPr>
      </w:pPr>
    </w:p>
    <w:p w14:paraId="3A473294"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t xml:space="preserve">1.- </w:t>
      </w:r>
      <w:r>
        <w:rPr>
          <w:rFonts w:ascii="Gotham" w:hAnsi="Gotham"/>
          <w:sz w:val="20"/>
          <w:szCs w:val="20"/>
        </w:rPr>
        <w:tab/>
      </w:r>
      <w:r w:rsidRPr="00167449">
        <w:rPr>
          <w:rFonts w:ascii="Gotham" w:hAnsi="Gotham"/>
          <w:sz w:val="20"/>
          <w:szCs w:val="20"/>
        </w:rPr>
        <w:t>El artículo 115 de la Constitución Política de los Estados Unidos Mexicanos constituye el marco fundamental que establece la estructura y el alcance de la autonomía municipal. En consonancia con este artículo, cada municipio es regido por un Ayuntamiento, liderado por un Presidente o Presidenta Municipal y compuesto por el número de regidurías y sindicaturas que la legislación determine, en observancia del principio de paridad. En este contexto, la competencia otorgada por la Constitución al gobierno municipal se ejerce exclusivamente por el Ayuntamiento, sin intermediarios entre él y el gobierno estatal.</w:t>
      </w:r>
    </w:p>
    <w:p w14:paraId="3A473295" w14:textId="77777777" w:rsidR="00016FE1" w:rsidRPr="00167449" w:rsidRDefault="00016FE1" w:rsidP="002B6227">
      <w:pPr>
        <w:ind w:left="567" w:hanging="567"/>
        <w:jc w:val="both"/>
        <w:rPr>
          <w:rFonts w:ascii="Gotham" w:hAnsi="Gotham"/>
          <w:sz w:val="20"/>
          <w:szCs w:val="20"/>
        </w:rPr>
      </w:pPr>
    </w:p>
    <w:p w14:paraId="3A473296"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La fracción II del artículo mencionado reconoce a los municipios como entidades investidas de personalidad jurídica, facultándolos para administrar su patrimonio de conformidad con la ley. Esta disposición refleja la naturaleza autónoma de los municipios en la gestión de sus asuntos y recursos, resaltando la importancia de la legalidad en la administración de sus activos.</w:t>
      </w:r>
    </w:p>
    <w:p w14:paraId="3A473297" w14:textId="77777777" w:rsidR="00016FE1" w:rsidRPr="00167449" w:rsidRDefault="00016FE1" w:rsidP="002B6227">
      <w:pPr>
        <w:ind w:left="567" w:hanging="567"/>
        <w:jc w:val="both"/>
        <w:rPr>
          <w:rFonts w:ascii="Gotham" w:hAnsi="Gotham"/>
          <w:sz w:val="20"/>
          <w:szCs w:val="20"/>
        </w:rPr>
      </w:pPr>
    </w:p>
    <w:p w14:paraId="3A473298"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 xml:space="preserve">En la fracción IV del mismo artículo, se consagra la autonomía financiera de los municipios. En virtud de esta fracción, los municipios tienen la prerrogativa de administrar su hacienda de manera libre. Dicha hacienda se nutre de los rendimientos de los bienes de su propiedad, así como de las contribuciones y otros ingresos que las legislaturas locales establezcan en su favor. Los presupuestos de egresos, que contemplan los gastos municipales, deben ser aprobados por </w:t>
      </w:r>
      <w:r w:rsidRPr="00167449">
        <w:rPr>
          <w:rFonts w:ascii="Gotham" w:hAnsi="Gotham"/>
          <w:sz w:val="20"/>
          <w:szCs w:val="20"/>
        </w:rPr>
        <w:lastRenderedPageBreak/>
        <w:t>los Ayuntamientos tomando en consideración sus ingresos disponibles. Además, se dispone que los recursos que componen la hacienda municipal se ejerzan directamente por los Ayuntamientos o por quien ellos autoricen, siempre en consonancia con lo establecido por la ley.</w:t>
      </w:r>
    </w:p>
    <w:p w14:paraId="3A473299" w14:textId="77777777" w:rsidR="00016FE1" w:rsidRPr="00167449" w:rsidRDefault="00016FE1" w:rsidP="002B6227">
      <w:pPr>
        <w:ind w:left="567" w:hanging="567"/>
        <w:jc w:val="both"/>
        <w:rPr>
          <w:rFonts w:ascii="Gotham" w:hAnsi="Gotham"/>
          <w:sz w:val="20"/>
          <w:szCs w:val="20"/>
        </w:rPr>
      </w:pPr>
    </w:p>
    <w:p w14:paraId="3A47329A"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t xml:space="preserve">2.- </w:t>
      </w:r>
      <w:r>
        <w:rPr>
          <w:rFonts w:ascii="Gotham" w:hAnsi="Gotham"/>
          <w:sz w:val="20"/>
          <w:szCs w:val="20"/>
        </w:rPr>
        <w:tab/>
        <w:t>L</w:t>
      </w:r>
      <w:r w:rsidRPr="00167449">
        <w:rPr>
          <w:rFonts w:ascii="Gotham" w:hAnsi="Gotham"/>
          <w:sz w:val="20"/>
          <w:szCs w:val="20"/>
        </w:rPr>
        <w:t>a Ley de Disciplina Financiera de las Entidades Federativas y los Municipios, en su artículo 1º y párrafo segundo, establece claramente las directrices a seguir. En concreto, esta ley establece que tanto las Entidades Federativas, los Municipios y sus respectivos Entes Públicos, estarán sujetos a las disposiciones establecidas en dicha ley.</w:t>
      </w:r>
    </w:p>
    <w:p w14:paraId="3A47329B" w14:textId="77777777" w:rsidR="00016FE1" w:rsidRPr="00167449" w:rsidRDefault="00016FE1" w:rsidP="002B6227">
      <w:pPr>
        <w:ind w:left="567" w:hanging="567"/>
        <w:jc w:val="both"/>
        <w:rPr>
          <w:rFonts w:ascii="Gotham" w:hAnsi="Gotham"/>
          <w:sz w:val="20"/>
          <w:szCs w:val="20"/>
        </w:rPr>
      </w:pPr>
    </w:p>
    <w:p w14:paraId="3A47329C"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Uno de los principios fundamentales en los cuales deben basar su actuar es el de la legalidad, lo que implica que todas sus acciones y decisiones deben ser acordes con las normativas vigentes. Asimismo, los principios de honestidad, eficacia, eficiencia, economía y racionalidad guían la gestión de recursos para asegurar que los fondos públicos se utilicen de manera adecuada y en beneficio de la población.</w:t>
      </w:r>
    </w:p>
    <w:p w14:paraId="3A47329D" w14:textId="77777777" w:rsidR="00016FE1" w:rsidRPr="00167449" w:rsidRDefault="00016FE1" w:rsidP="002B6227">
      <w:pPr>
        <w:ind w:left="567" w:hanging="567"/>
        <w:jc w:val="both"/>
        <w:rPr>
          <w:rFonts w:ascii="Gotham" w:hAnsi="Gotham"/>
          <w:sz w:val="20"/>
          <w:szCs w:val="20"/>
        </w:rPr>
      </w:pPr>
    </w:p>
    <w:p w14:paraId="3A47329E"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La austeridad es otro de los principios rectoras que busca que el manejo de los recursos se realice de manera prudente y responsable, evitando gastos innecesarios o superfluos. La transparencia, el control y la rendición de cuentas son aspectos clave que garantizan que la ciudadanía pueda conocer y evaluar cómo se utilizan los recursos públicos.</w:t>
      </w:r>
    </w:p>
    <w:p w14:paraId="3A47329F" w14:textId="77777777" w:rsidR="00016FE1" w:rsidRPr="00167449" w:rsidRDefault="00016FE1" w:rsidP="002B6227">
      <w:pPr>
        <w:ind w:left="567" w:hanging="567"/>
        <w:jc w:val="both"/>
        <w:rPr>
          <w:rFonts w:ascii="Gotham" w:hAnsi="Gotham"/>
          <w:sz w:val="20"/>
          <w:szCs w:val="20"/>
        </w:rPr>
      </w:pPr>
    </w:p>
    <w:p w14:paraId="3A4732A0"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En conjunto, estos principios delinean un marco ético y operativo sólido para la administración de los recursos públicos, asegurando que sean manejados de manera eficiente, responsable y en consonancia con el bienestar de la sociedad. La Ley de Disciplina Financiera refuerza la importancia de la gestión responsable y la rendición de cuentas en el ámbito financiero de las Entidades Federativas, los Municipios y sus Entes Públicos.</w:t>
      </w:r>
    </w:p>
    <w:p w14:paraId="3A4732A1" w14:textId="77777777" w:rsidR="00016FE1" w:rsidRPr="00167449" w:rsidRDefault="00016FE1" w:rsidP="002B6227">
      <w:pPr>
        <w:ind w:left="567" w:hanging="567"/>
        <w:jc w:val="both"/>
        <w:rPr>
          <w:rFonts w:ascii="Gotham" w:hAnsi="Gotham"/>
          <w:sz w:val="20"/>
          <w:szCs w:val="20"/>
        </w:rPr>
      </w:pPr>
    </w:p>
    <w:p w14:paraId="3A4732A2"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t xml:space="preserve">3.- </w:t>
      </w:r>
      <w:r>
        <w:rPr>
          <w:rFonts w:ascii="Gotham" w:hAnsi="Gotham"/>
          <w:sz w:val="20"/>
          <w:szCs w:val="20"/>
        </w:rPr>
        <w:tab/>
      </w:r>
      <w:r w:rsidRPr="00167449">
        <w:rPr>
          <w:rFonts w:ascii="Gotham" w:hAnsi="Gotham"/>
          <w:sz w:val="20"/>
          <w:szCs w:val="20"/>
        </w:rPr>
        <w:t>Igualmente, el artículo 73 de la Constitución Política del Estado establece que el municipio libre es un pilar fundamental de la organización política y administrativa de la entidad. Concede a cada municipio personalidad jurídica y patrimonio propios, definiendo sus facultades y limitaciones según lo establecido en la Constitución Política de los Estados Unidos Mexicanos. Es importante resaltar que el municipio es un ente con autonomía para administrar sus asuntos y recursos.</w:t>
      </w:r>
    </w:p>
    <w:p w14:paraId="3A4732A3" w14:textId="77777777" w:rsidR="00016FE1" w:rsidRPr="00167449" w:rsidRDefault="00016FE1" w:rsidP="002B6227">
      <w:pPr>
        <w:ind w:left="567" w:hanging="567"/>
        <w:jc w:val="both"/>
        <w:rPr>
          <w:rFonts w:ascii="Gotham" w:hAnsi="Gotham"/>
          <w:sz w:val="20"/>
          <w:szCs w:val="20"/>
        </w:rPr>
      </w:pPr>
    </w:p>
    <w:p w14:paraId="3A4732A4"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El artículo 89 de la misma Constitución destaca la relevancia de los presupuestos de egresos municipales. Establece que la aprobación de estos presupuestos recae en los ayuntamientos y debe llevarse a cabo conforme a las directrices establecidas por la legislación en materia de disciplina financiera. Además, se subraya que dicha aprobación se basará en los ingresos disponibles, acatando los principios de sostenibilidad financiera y responsabilidad hacendaria. Es importante mencionar que estos principios garantizan la viabilidad de las finanzas municipales y su alineación con los objetivos de responsabilidad fiscal.</w:t>
      </w:r>
    </w:p>
    <w:p w14:paraId="3A4732A5" w14:textId="77777777" w:rsidR="00016FE1" w:rsidRPr="00167449" w:rsidRDefault="00016FE1" w:rsidP="002B6227">
      <w:pPr>
        <w:ind w:left="567" w:hanging="567"/>
        <w:jc w:val="both"/>
        <w:rPr>
          <w:rFonts w:ascii="Gotham" w:hAnsi="Gotham"/>
          <w:sz w:val="20"/>
          <w:szCs w:val="20"/>
        </w:rPr>
      </w:pPr>
    </w:p>
    <w:p w14:paraId="3A4732A6"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 xml:space="preserve">De igual manera, se hace hincapié en la importancia de cumplir con las reglas estipuladas en las leyes municipales pertinentes. Esto refuerza la necesidad de que los municipios sigan procedimientos normativos claros y preestablecidos en la toma de decisiones financieras. </w:t>
      </w:r>
    </w:p>
    <w:p w14:paraId="3A4732A7" w14:textId="77777777" w:rsidR="00016FE1" w:rsidRDefault="00016FE1" w:rsidP="002B6227">
      <w:pPr>
        <w:ind w:left="567" w:hanging="567"/>
        <w:jc w:val="both"/>
        <w:rPr>
          <w:rFonts w:ascii="Gotham" w:hAnsi="Gotham"/>
          <w:sz w:val="20"/>
          <w:szCs w:val="20"/>
        </w:rPr>
      </w:pPr>
    </w:p>
    <w:p w14:paraId="3A4732A8"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La disposición del artículo 89 busca asegurar la gestión adecuada de los recursos municipales, así como la transparencia en el uso de los mismos.</w:t>
      </w:r>
    </w:p>
    <w:p w14:paraId="3A4732A9" w14:textId="77777777" w:rsidR="00016FE1" w:rsidRPr="00167449" w:rsidRDefault="00016FE1" w:rsidP="002B6227">
      <w:pPr>
        <w:ind w:left="567" w:hanging="567"/>
        <w:jc w:val="both"/>
        <w:rPr>
          <w:rFonts w:ascii="Gotham" w:hAnsi="Gotham"/>
          <w:sz w:val="20"/>
          <w:szCs w:val="20"/>
        </w:rPr>
      </w:pPr>
    </w:p>
    <w:p w14:paraId="3A4732AA"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 xml:space="preserve">En conjunto, estos artículos constitucionales del Estado de Jalisco enriquecen y detallan las responsabilidades y facultades de los municipios en materia financiera, destacando su autonomía en la administración de recursos y estableciendo las bases para un manejo financiero responsable y sostenible. </w:t>
      </w:r>
    </w:p>
    <w:p w14:paraId="3A4732AB" w14:textId="77777777" w:rsidR="00016FE1" w:rsidRPr="00167449" w:rsidRDefault="00016FE1" w:rsidP="002B6227">
      <w:pPr>
        <w:ind w:left="567" w:hanging="567"/>
        <w:jc w:val="both"/>
        <w:rPr>
          <w:rFonts w:ascii="Gotham" w:hAnsi="Gotham"/>
          <w:sz w:val="20"/>
          <w:szCs w:val="20"/>
        </w:rPr>
      </w:pPr>
    </w:p>
    <w:p w14:paraId="3A4732AC"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lastRenderedPageBreak/>
        <w:t xml:space="preserve">4.- </w:t>
      </w:r>
      <w:r>
        <w:rPr>
          <w:rFonts w:ascii="Gotham" w:hAnsi="Gotham"/>
          <w:sz w:val="20"/>
          <w:szCs w:val="20"/>
        </w:rPr>
        <w:tab/>
      </w:r>
      <w:r w:rsidRPr="00167449">
        <w:rPr>
          <w:rFonts w:ascii="Gotham" w:hAnsi="Gotham"/>
          <w:sz w:val="20"/>
          <w:szCs w:val="20"/>
        </w:rPr>
        <w:t>De conformidad con el artículo 79 de la Ley del Gobierno y la Administración Pública Municipal, dispone que corresponde a los Ayuntamientos la aprobación de sus presupuestos de egresos, los cuales deben ser congruentes con los criterios generales de política económica y las estimaciones de las participaciones y transferencias federales etiquetadas, las cuales no deberán exceder de las previstas en la iniciativa de la Ley de Ingresos de la Federación y en el proyecto de Presupuesto de Egresos de la Federación, así como aquellas transferencias de la Entidad Federativa correspondiente.</w:t>
      </w:r>
    </w:p>
    <w:p w14:paraId="3A4732AD" w14:textId="77777777" w:rsidR="00016FE1" w:rsidRPr="00167449" w:rsidRDefault="00016FE1" w:rsidP="002B6227">
      <w:pPr>
        <w:ind w:left="567" w:hanging="567"/>
        <w:jc w:val="both"/>
        <w:rPr>
          <w:rFonts w:ascii="Gotham" w:hAnsi="Gotham"/>
          <w:sz w:val="20"/>
          <w:szCs w:val="20"/>
        </w:rPr>
      </w:pPr>
    </w:p>
    <w:p w14:paraId="3A4732AE"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t xml:space="preserve">5.- </w:t>
      </w:r>
      <w:r>
        <w:rPr>
          <w:rFonts w:ascii="Gotham" w:hAnsi="Gotham"/>
          <w:sz w:val="20"/>
          <w:szCs w:val="20"/>
        </w:rPr>
        <w:tab/>
      </w:r>
      <w:r w:rsidRPr="00167449">
        <w:rPr>
          <w:rFonts w:ascii="Gotham" w:hAnsi="Gotham"/>
          <w:sz w:val="20"/>
          <w:szCs w:val="20"/>
        </w:rPr>
        <w:t>Por otra parte, el artículo 15 párrafo tercero de la Ley de Hacienda Municipal del Estado de Jalisco, establece que, para la elaboración de presupuestos y control de las erogaciones municipales, se estará a lo que disponga la Ley Reglamentaria del Título Quinto de la Constitución Política del Estado de Jalisco, La Ley de Fiscalización Superior Rendición de Cuentas del Estado de Jalisco y sus Municipios y demás ordenamientos.</w:t>
      </w:r>
    </w:p>
    <w:p w14:paraId="3A4732AF" w14:textId="77777777" w:rsidR="00016FE1" w:rsidRPr="00167449" w:rsidRDefault="00016FE1" w:rsidP="002B6227">
      <w:pPr>
        <w:ind w:left="567" w:hanging="567"/>
        <w:jc w:val="both"/>
        <w:rPr>
          <w:rFonts w:ascii="Gotham" w:hAnsi="Gotham"/>
          <w:sz w:val="20"/>
          <w:szCs w:val="20"/>
        </w:rPr>
      </w:pPr>
    </w:p>
    <w:p w14:paraId="3A4732B0"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Asimismo, el artículo 201, de la citada Ley de Hacienda Municipal del Estado de Jalisco, establece que gasto público municipal, es el conjunto de las erogaciones por concepto de gasto corriente, inversión física, inversión financiera, así como pagos de pasivo y deuda pública que realice el Ayuntamiento.</w:t>
      </w:r>
    </w:p>
    <w:p w14:paraId="3A4732B1" w14:textId="77777777" w:rsidR="00016FE1" w:rsidRPr="00167449" w:rsidRDefault="00016FE1" w:rsidP="002B6227">
      <w:pPr>
        <w:ind w:left="567" w:hanging="567"/>
        <w:jc w:val="both"/>
        <w:rPr>
          <w:rFonts w:ascii="Gotham" w:hAnsi="Gotham"/>
          <w:sz w:val="20"/>
          <w:szCs w:val="20"/>
        </w:rPr>
      </w:pPr>
    </w:p>
    <w:p w14:paraId="3A4732B2"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En este mismo sentido el artículo 202, establece que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14:paraId="3A4732B3" w14:textId="77777777" w:rsidR="00016FE1" w:rsidRPr="00167449" w:rsidRDefault="00016FE1" w:rsidP="002B6227">
      <w:pPr>
        <w:ind w:left="567" w:hanging="567"/>
        <w:jc w:val="both"/>
        <w:rPr>
          <w:rFonts w:ascii="Gotham" w:hAnsi="Gotham"/>
          <w:sz w:val="20"/>
          <w:szCs w:val="20"/>
        </w:rPr>
      </w:pPr>
    </w:p>
    <w:p w14:paraId="3A4732B4" w14:textId="77777777" w:rsidR="00016FE1" w:rsidRPr="00167449" w:rsidRDefault="00016FE1" w:rsidP="002B6227">
      <w:pPr>
        <w:ind w:left="567"/>
        <w:jc w:val="both"/>
        <w:rPr>
          <w:rFonts w:ascii="Gotham" w:hAnsi="Gotham"/>
          <w:sz w:val="20"/>
          <w:szCs w:val="20"/>
        </w:rPr>
      </w:pPr>
      <w:r w:rsidRPr="00167449">
        <w:rPr>
          <w:rFonts w:ascii="Gotham" w:hAnsi="Gotham"/>
          <w:sz w:val="20"/>
          <w:szCs w:val="20"/>
        </w:rPr>
        <w:t xml:space="preserve">Asimismo, que dichos indicadores de desempeño corresponderán a un índice, medida, cociente o fórmula que permita establecer un parámetro de medición de lo que se pretende lograr en un año expresado en términos de cobertura, eficiencia, impacto económico y social, calidad y equidad. </w:t>
      </w:r>
    </w:p>
    <w:p w14:paraId="3A4732B5" w14:textId="77777777" w:rsidR="00016FE1" w:rsidRPr="00167449" w:rsidRDefault="00016FE1" w:rsidP="002B6227">
      <w:pPr>
        <w:ind w:left="567" w:hanging="567"/>
        <w:jc w:val="both"/>
        <w:rPr>
          <w:rFonts w:ascii="Gotham" w:hAnsi="Gotham"/>
          <w:sz w:val="20"/>
          <w:szCs w:val="20"/>
        </w:rPr>
      </w:pPr>
    </w:p>
    <w:p w14:paraId="3A4732B6" w14:textId="77777777" w:rsidR="00016FE1" w:rsidRPr="00167449" w:rsidRDefault="00016FE1" w:rsidP="002B6227">
      <w:pPr>
        <w:ind w:left="567" w:hanging="567"/>
        <w:jc w:val="both"/>
        <w:rPr>
          <w:rFonts w:ascii="Gotham" w:hAnsi="Gotham"/>
          <w:sz w:val="20"/>
          <w:szCs w:val="20"/>
        </w:rPr>
      </w:pPr>
      <w:r w:rsidRPr="00167449">
        <w:rPr>
          <w:rFonts w:ascii="Gotham" w:hAnsi="Gotham"/>
          <w:sz w:val="20"/>
          <w:szCs w:val="20"/>
        </w:rPr>
        <w:t xml:space="preserve">6.- </w:t>
      </w:r>
      <w:r>
        <w:rPr>
          <w:rFonts w:ascii="Gotham" w:hAnsi="Gotham"/>
          <w:sz w:val="20"/>
          <w:szCs w:val="20"/>
        </w:rPr>
        <w:tab/>
      </w:r>
      <w:r w:rsidRPr="00167449">
        <w:rPr>
          <w:rFonts w:ascii="Gotham" w:hAnsi="Gotham"/>
          <w:sz w:val="20"/>
          <w:szCs w:val="20"/>
        </w:rPr>
        <w:t>Finalmente, el Reglamento del Gobierno y la Administración Pública del Ayuntamiento Constitucional de Tonalá, Jalisco, en su artículo 102 establece que son atribuciones de la Comisión Edilicia de Hacienda y Presupuestos, la señalada en la fracción IV, dictaminar en relación con los estudios y proyectos presupuestarios generales y particulares de la Administración Municipal, y en su fracción V, verificar que se efectúe el examen constante y actualizado de toda la información necesaria para integrarse a los presupuestos que se sometan a consideración del Ayuntamiento, así mismo también le corresponde de acuerdo con la fracción VII, proponer, analizar, estudiar y dictaminar las iniciativas concernientes a la hacienda y las finanzas públicas del municipio.</w:t>
      </w:r>
    </w:p>
    <w:p w14:paraId="3A4732B7" w14:textId="77777777" w:rsidR="00016FE1" w:rsidRPr="00167449" w:rsidRDefault="00016FE1" w:rsidP="002B6227">
      <w:pPr>
        <w:jc w:val="both"/>
        <w:rPr>
          <w:rFonts w:ascii="Gotham" w:hAnsi="Gotham"/>
          <w:sz w:val="20"/>
          <w:szCs w:val="20"/>
        </w:rPr>
      </w:pPr>
    </w:p>
    <w:p w14:paraId="3A4732B8" w14:textId="77777777" w:rsidR="00016FE1" w:rsidRPr="00167449" w:rsidRDefault="00016FE1" w:rsidP="002B6227">
      <w:pPr>
        <w:jc w:val="both"/>
        <w:rPr>
          <w:rFonts w:ascii="Gotham" w:hAnsi="Gotham"/>
          <w:sz w:val="20"/>
          <w:szCs w:val="20"/>
        </w:rPr>
      </w:pPr>
      <w:r w:rsidRPr="00167449">
        <w:rPr>
          <w:rFonts w:ascii="Gotham" w:hAnsi="Gotham"/>
          <w:sz w:val="20"/>
          <w:szCs w:val="20"/>
        </w:rPr>
        <w:t xml:space="preserve">En virtud de lo anteriormente expuesto, fundado y motivado, de conformidad con lo establecido por los artículos 115 de la Constitución Política de los Estados Unidos Mexicanos; 77 de la Constitución Política del Estado de Jalisco; 41, fracción I, 47 y 48 de la Ley del Gobierno y la Administración Pública Municipal del Estado de Jalisco; 53 del Reglamento del Gobierno del Gobierno y la Administración Pública del Ayuntamiento Constitucional de Tonalá, Jalisco, así como el 17 bis. y 82, fracción I, del Reglamento para el Funcionamiento Interno de las Sesiones del Ayuntamiento Constitucional de Tonalá, Jalisco, someto a su consideración la siguiente iniciativa de: </w:t>
      </w:r>
    </w:p>
    <w:p w14:paraId="3A4732B9" w14:textId="77777777" w:rsidR="00016FE1" w:rsidRPr="00001F0C" w:rsidRDefault="00016FE1" w:rsidP="002B6227">
      <w:pPr>
        <w:jc w:val="both"/>
        <w:rPr>
          <w:rFonts w:ascii="Gotham" w:hAnsi="Gotham"/>
          <w:sz w:val="20"/>
          <w:szCs w:val="20"/>
        </w:rPr>
      </w:pPr>
    </w:p>
    <w:p w14:paraId="3A4732BA" w14:textId="77777777" w:rsidR="00016FE1" w:rsidRPr="00001F0C" w:rsidRDefault="00016FE1" w:rsidP="002B6227">
      <w:pPr>
        <w:jc w:val="center"/>
        <w:rPr>
          <w:rFonts w:ascii="Gotham" w:hAnsi="Gotham"/>
          <w:sz w:val="20"/>
          <w:szCs w:val="20"/>
        </w:rPr>
      </w:pPr>
      <w:r w:rsidRPr="00001F0C">
        <w:rPr>
          <w:rFonts w:ascii="Gotham" w:hAnsi="Gotham"/>
          <w:sz w:val="20"/>
          <w:szCs w:val="20"/>
        </w:rPr>
        <w:t>A C U E R D O</w:t>
      </w:r>
    </w:p>
    <w:p w14:paraId="3A4732BB" w14:textId="77777777" w:rsidR="00016FE1" w:rsidRPr="00001F0C" w:rsidRDefault="00016FE1" w:rsidP="002B6227">
      <w:pPr>
        <w:jc w:val="both"/>
        <w:rPr>
          <w:rFonts w:ascii="Gotham" w:hAnsi="Gotham"/>
          <w:sz w:val="20"/>
          <w:szCs w:val="20"/>
        </w:rPr>
      </w:pPr>
    </w:p>
    <w:p w14:paraId="3A4732BC" w14:textId="77777777" w:rsidR="00016FE1" w:rsidRPr="00001F0C" w:rsidRDefault="00016FE1" w:rsidP="002B6227">
      <w:pPr>
        <w:jc w:val="both"/>
        <w:rPr>
          <w:rFonts w:ascii="Gotham" w:hAnsi="Gotham"/>
          <w:sz w:val="20"/>
          <w:szCs w:val="20"/>
        </w:rPr>
      </w:pPr>
      <w:r w:rsidRPr="00001F0C">
        <w:rPr>
          <w:rFonts w:ascii="Gotham" w:hAnsi="Gotham"/>
          <w:sz w:val="20"/>
          <w:szCs w:val="20"/>
        </w:rPr>
        <w:t xml:space="preserve">PRIMERO. – Se aprueba turnar la presente iniciativa a la Comisión Edilicia de Hacienda Municipal y Presupuestos para que, en términos de lo dictado por los Juzgados de Distritos en Materias </w:t>
      </w:r>
      <w:r w:rsidRPr="00001F0C">
        <w:rPr>
          <w:rFonts w:ascii="Gotham" w:hAnsi="Gotham"/>
          <w:sz w:val="20"/>
          <w:szCs w:val="20"/>
        </w:rPr>
        <w:lastRenderedPageBreak/>
        <w:t>Administrativa, Civil y del Trabajo en el Estado, previamente citados; estudie, analice y dictamine lo conveniente para la consecución del cumplimiento de lo requerido.</w:t>
      </w:r>
    </w:p>
    <w:p w14:paraId="3A4732BD" w14:textId="77777777" w:rsidR="00016FE1" w:rsidRPr="00001F0C" w:rsidRDefault="00016FE1" w:rsidP="002B6227">
      <w:pPr>
        <w:jc w:val="both"/>
        <w:rPr>
          <w:rFonts w:ascii="Gotham" w:hAnsi="Gotham"/>
          <w:sz w:val="20"/>
          <w:szCs w:val="20"/>
        </w:rPr>
      </w:pPr>
    </w:p>
    <w:p w14:paraId="3A4732BE" w14:textId="77777777" w:rsidR="00016FE1" w:rsidRPr="005C31E5" w:rsidRDefault="00016FE1" w:rsidP="002B6227">
      <w:pPr>
        <w:jc w:val="center"/>
        <w:rPr>
          <w:rFonts w:ascii="Montserrat" w:hAnsi="Montserrat" w:cs="Arial"/>
          <w:sz w:val="22"/>
          <w:szCs w:val="22"/>
        </w:rPr>
      </w:pPr>
      <w:r w:rsidRPr="00836C62">
        <w:rPr>
          <w:rFonts w:ascii="Montserrat" w:hAnsi="Montserrat" w:cs="Arial"/>
          <w:noProof/>
          <w:sz w:val="22"/>
          <w:szCs w:val="22"/>
          <w:lang w:val="es-MX" w:eastAsia="es-MX"/>
        </w:rPr>
        <w:drawing>
          <wp:inline distT="0" distB="0" distL="0" distR="0" wp14:anchorId="3A47687E" wp14:editId="3A47687F">
            <wp:extent cx="6276524" cy="1658679"/>
            <wp:effectExtent l="0" t="0" r="0" b="0"/>
            <wp:docPr id="49600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0135" name=""/>
                    <pic:cNvPicPr/>
                  </pic:nvPicPr>
                  <pic:blipFill>
                    <a:blip r:embed="rId7"/>
                    <a:stretch>
                      <a:fillRect/>
                    </a:stretch>
                  </pic:blipFill>
                  <pic:spPr>
                    <a:xfrm>
                      <a:off x="0" y="0"/>
                      <a:ext cx="6283434" cy="1660505"/>
                    </a:xfrm>
                    <a:prstGeom prst="rect">
                      <a:avLst/>
                    </a:prstGeom>
                  </pic:spPr>
                </pic:pic>
              </a:graphicData>
            </a:graphic>
          </wp:inline>
        </w:drawing>
      </w:r>
    </w:p>
    <w:p w14:paraId="3A4732BF" w14:textId="77777777" w:rsidR="00016FE1" w:rsidRPr="00001F0C" w:rsidRDefault="00016FE1" w:rsidP="002B6227">
      <w:pPr>
        <w:jc w:val="both"/>
        <w:rPr>
          <w:rFonts w:ascii="Gotham" w:hAnsi="Gotham"/>
          <w:sz w:val="20"/>
          <w:szCs w:val="20"/>
        </w:rPr>
      </w:pPr>
    </w:p>
    <w:p w14:paraId="3A4732C0" w14:textId="77777777" w:rsidR="00016FE1" w:rsidRPr="00001F0C" w:rsidRDefault="00016FE1" w:rsidP="002B6227">
      <w:pPr>
        <w:jc w:val="both"/>
        <w:rPr>
          <w:rFonts w:ascii="Gotham" w:hAnsi="Gotham"/>
          <w:sz w:val="20"/>
          <w:szCs w:val="20"/>
        </w:rPr>
      </w:pPr>
      <w:r w:rsidRPr="00001F0C">
        <w:rPr>
          <w:rFonts w:ascii="Gotham" w:hAnsi="Gotham"/>
          <w:sz w:val="20"/>
          <w:szCs w:val="20"/>
        </w:rPr>
        <w:t>SEGUNDO. – Notifíquese a la Dirección Jurídica de este Ayuntamiento, para que, conforme a las facultades que tiene para ello establecidas; remita y facilite, a la Comisión Edilicia de Hacienda Municipal y Presupuestos, toda la información y correspondencia relativa al trámite de los juicios precitados en el apartado de ANTECEDENTE de la presente iniciativa.</w:t>
      </w:r>
    </w:p>
    <w:p w14:paraId="3A4732C1" w14:textId="77777777" w:rsidR="00016FE1" w:rsidRPr="00001F0C" w:rsidRDefault="00016FE1" w:rsidP="002B6227">
      <w:pPr>
        <w:jc w:val="both"/>
        <w:rPr>
          <w:rFonts w:ascii="Gotham" w:hAnsi="Gotham"/>
          <w:sz w:val="20"/>
          <w:szCs w:val="20"/>
        </w:rPr>
      </w:pPr>
    </w:p>
    <w:p w14:paraId="3A4732C2" w14:textId="77777777" w:rsidR="00016FE1" w:rsidRDefault="00016FE1" w:rsidP="002B6227">
      <w:pPr>
        <w:jc w:val="both"/>
        <w:rPr>
          <w:rFonts w:ascii="Gotham" w:hAnsi="Gotham"/>
          <w:sz w:val="20"/>
          <w:szCs w:val="20"/>
        </w:rPr>
      </w:pPr>
      <w:r w:rsidRPr="00001F0C">
        <w:rPr>
          <w:rFonts w:ascii="Gotham" w:hAnsi="Gotham"/>
          <w:sz w:val="20"/>
          <w:szCs w:val="20"/>
        </w:rPr>
        <w:t>TERCERO. - Se faculta al Presidente Municipal, al Síndico, a la Secretaria General y al Tesorero Municipal a suscribir y llevar a cabo todos aquellos actos que resulten necesarios para la consecución y cumplimiento de lo respectivo al presente acuerdo.</w:t>
      </w:r>
    </w:p>
    <w:p w14:paraId="3A4732C3" w14:textId="77777777" w:rsidR="00016FE1" w:rsidRDefault="00016FE1" w:rsidP="002B6227">
      <w:pPr>
        <w:jc w:val="both"/>
        <w:rPr>
          <w:rFonts w:ascii="Gotham" w:hAnsi="Gotham"/>
          <w:sz w:val="20"/>
          <w:szCs w:val="20"/>
        </w:rPr>
      </w:pPr>
    </w:p>
    <w:p w14:paraId="3A4732C4" w14:textId="77777777" w:rsidR="00016FE1" w:rsidRPr="00351AD1" w:rsidRDefault="00016FE1" w:rsidP="002B6227">
      <w:pPr>
        <w:jc w:val="both"/>
        <w:rPr>
          <w:rFonts w:ascii="Gotham" w:hAnsi="Gotham" w:cs="Arial"/>
          <w:sz w:val="20"/>
          <w:szCs w:val="20"/>
        </w:rPr>
      </w:pPr>
      <w:r>
        <w:rPr>
          <w:rFonts w:ascii="Gotham" w:hAnsi="Gotham"/>
          <w:sz w:val="20"/>
          <w:szCs w:val="20"/>
        </w:rPr>
        <w:t>En uso de la voz el Presidente Municipal, Sergio Armando Chávez Dávalos, expresa que, se propone su turno a la Comisión Edilicia de Hacienda Municipal y Presupuestos;</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2C5" w14:textId="77777777" w:rsidR="00016FE1" w:rsidRPr="00351AD1" w:rsidRDefault="00016FE1" w:rsidP="002B6227">
      <w:pPr>
        <w:jc w:val="both"/>
        <w:rPr>
          <w:rFonts w:ascii="Gotham" w:hAnsi="Gotham" w:cs="Arial"/>
          <w:sz w:val="20"/>
          <w:szCs w:val="20"/>
        </w:rPr>
      </w:pPr>
    </w:p>
    <w:p w14:paraId="3A4732C6"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2C7" w14:textId="77777777" w:rsidR="00016FE1" w:rsidRPr="00351AD1" w:rsidRDefault="00016FE1" w:rsidP="002B6227">
      <w:pPr>
        <w:jc w:val="both"/>
        <w:rPr>
          <w:rFonts w:ascii="Gotham" w:hAnsi="Gotham" w:cs="Arial"/>
          <w:sz w:val="20"/>
          <w:szCs w:val="20"/>
        </w:rPr>
      </w:pPr>
    </w:p>
    <w:p w14:paraId="3A4732C8"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2C9" w14:textId="77777777" w:rsidR="00016FE1" w:rsidRPr="008D5AC8" w:rsidRDefault="00016FE1" w:rsidP="002B6227">
      <w:pPr>
        <w:jc w:val="both"/>
        <w:rPr>
          <w:rFonts w:ascii="Gotham" w:hAnsi="Gotham"/>
          <w:sz w:val="20"/>
          <w:szCs w:val="20"/>
        </w:rPr>
      </w:pPr>
    </w:p>
    <w:p w14:paraId="3A4732CA" w14:textId="77777777" w:rsidR="00016FE1" w:rsidRPr="000F7447" w:rsidRDefault="00016FE1" w:rsidP="002B6227">
      <w:pPr>
        <w:jc w:val="both"/>
        <w:rPr>
          <w:rFonts w:ascii="Gotham" w:hAnsi="Gotham"/>
          <w:sz w:val="20"/>
          <w:szCs w:val="20"/>
        </w:rPr>
      </w:pPr>
    </w:p>
    <w:p w14:paraId="3A4732CB"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1115</w:t>
      </w:r>
    </w:p>
    <w:p w14:paraId="3A4732CC" w14:textId="77777777" w:rsidR="00016FE1" w:rsidRPr="00296603" w:rsidRDefault="00016FE1" w:rsidP="002B6227">
      <w:pPr>
        <w:jc w:val="both"/>
        <w:rPr>
          <w:rFonts w:ascii="Gotham" w:eastAsia="Calibri" w:hAnsi="Gotham"/>
          <w:sz w:val="20"/>
          <w:szCs w:val="20"/>
          <w:lang w:val="es-MX" w:eastAsia="en-US"/>
        </w:rPr>
      </w:pPr>
      <w:r w:rsidRPr="000F7447">
        <w:rPr>
          <w:rFonts w:ascii="Gotham" w:hAnsi="Gotham"/>
          <w:b/>
          <w:bCs/>
          <w:smallCaps/>
          <w:sz w:val="20"/>
          <w:szCs w:val="20"/>
        </w:rPr>
        <w:t>Tercera Iniciativa con Turno a Comisión</w:t>
      </w:r>
      <w:r w:rsidRPr="000F7447">
        <w:rPr>
          <w:rFonts w:ascii="Gotham" w:hAnsi="Gotham"/>
          <w:b/>
          <w:bCs/>
          <w:sz w:val="20"/>
          <w:szCs w:val="20"/>
        </w:rPr>
        <w:t xml:space="preserve">.- </w:t>
      </w:r>
      <w:r>
        <w:rPr>
          <w:rFonts w:ascii="Gotham" w:hAnsi="Gotham"/>
          <w:sz w:val="20"/>
          <w:szCs w:val="20"/>
        </w:rPr>
        <w:t xml:space="preserve">En uso de la voz el Síndico, Nicolás Maestro Landeros, </w:t>
      </w:r>
      <w:r w:rsidRPr="000F7447">
        <w:rPr>
          <w:rFonts w:ascii="Gotham" w:hAnsi="Gotham"/>
          <w:sz w:val="20"/>
          <w:szCs w:val="20"/>
        </w:rPr>
        <w:t xml:space="preserve">menciona que, </w:t>
      </w:r>
      <w:r>
        <w:rPr>
          <w:rFonts w:ascii="Gotham" w:hAnsi="Gotham"/>
          <w:sz w:val="20"/>
          <w:szCs w:val="20"/>
        </w:rPr>
        <w:t>e</w:t>
      </w:r>
      <w:r w:rsidRPr="00296603">
        <w:rPr>
          <w:rFonts w:ascii="Gotham" w:eastAsia="Calibri" w:hAnsi="Gotham"/>
          <w:sz w:val="20"/>
          <w:szCs w:val="20"/>
          <w:lang w:val="es-MX" w:eastAsia="en-US"/>
        </w:rPr>
        <w:t>l que suscribe Abogado Nicolás Maestro Landeros, Síndico del Ayuntamiento Constitucional de Tonalá, Jalisco, en uso de las facultades que me confiere el artículo 56, fracción III, del Reglamento de Gobierno y Administración Pública, así como los artículos 22 fracción V, 82, fracción III y demás artículos aplicables del Reglamento para el funcionamiento interno de Sesiones, ambos del Ayuntamiento de Constitucional de Tonalá, Jalisco, someto a consideración a ustedes la siguiente INICIATIVA DE ORDENAMIENTO MUNICIPAL con turno a Comisión, que tien</w:t>
      </w:r>
      <w:r>
        <w:rPr>
          <w:rFonts w:ascii="Gotham" w:eastAsia="Calibri" w:hAnsi="Gotham"/>
          <w:sz w:val="20"/>
          <w:szCs w:val="20"/>
          <w:lang w:val="es-MX" w:eastAsia="en-US"/>
        </w:rPr>
        <w:t>e por crear el Reglamento para P</w:t>
      </w:r>
      <w:r w:rsidRPr="00296603">
        <w:rPr>
          <w:rFonts w:ascii="Gotham" w:eastAsia="Calibri" w:hAnsi="Gotham"/>
          <w:sz w:val="20"/>
          <w:szCs w:val="20"/>
          <w:lang w:val="es-MX" w:eastAsia="en-US"/>
        </w:rPr>
        <w:t xml:space="preserve">revenir y </w:t>
      </w:r>
      <w:r>
        <w:rPr>
          <w:rFonts w:ascii="Gotham" w:eastAsia="Calibri" w:hAnsi="Gotham"/>
          <w:sz w:val="20"/>
          <w:szCs w:val="20"/>
          <w:lang w:val="es-MX" w:eastAsia="en-US"/>
        </w:rPr>
        <w:t>E</w:t>
      </w:r>
      <w:r w:rsidRPr="00296603">
        <w:rPr>
          <w:rFonts w:ascii="Gotham" w:eastAsia="Calibri" w:hAnsi="Gotham"/>
          <w:sz w:val="20"/>
          <w:szCs w:val="20"/>
          <w:lang w:val="es-MX" w:eastAsia="en-US"/>
        </w:rPr>
        <w:t>liminar la Discriminación para el Municipio de Tonalá, Jalisco; así como modificar el Reglamento del Gobierno y la Administración Pública del Ayuntamiento Co</w:t>
      </w:r>
      <w:r w:rsidR="003B30D3">
        <w:rPr>
          <w:rFonts w:ascii="Gotham" w:eastAsia="Calibri" w:hAnsi="Gotham"/>
          <w:sz w:val="20"/>
          <w:szCs w:val="20"/>
          <w:lang w:val="es-MX" w:eastAsia="en-US"/>
        </w:rPr>
        <w:t>nstitucional de Tonalá, Jalisco;</w:t>
      </w:r>
      <w:r w:rsidRPr="00296603">
        <w:rPr>
          <w:rFonts w:ascii="Gotham" w:eastAsia="Calibri" w:hAnsi="Gotham"/>
          <w:sz w:val="20"/>
          <w:szCs w:val="20"/>
          <w:lang w:val="es-MX" w:eastAsia="en-US"/>
        </w:rPr>
        <w:t xml:space="preserve"> lo anterior de conformidad con la siguiente: </w:t>
      </w:r>
    </w:p>
    <w:p w14:paraId="3A4732CD" w14:textId="77777777" w:rsidR="00016FE1" w:rsidRPr="00296603" w:rsidRDefault="00016FE1" w:rsidP="002B6227">
      <w:pPr>
        <w:jc w:val="both"/>
        <w:rPr>
          <w:rFonts w:ascii="Gotham" w:eastAsia="Calibri" w:hAnsi="Gotham"/>
          <w:sz w:val="20"/>
          <w:szCs w:val="20"/>
          <w:lang w:val="es-MX" w:eastAsia="en-US"/>
        </w:rPr>
      </w:pPr>
    </w:p>
    <w:p w14:paraId="3A4732CE" w14:textId="77777777" w:rsidR="00016FE1" w:rsidRPr="00296603" w:rsidRDefault="00016FE1" w:rsidP="002B6227">
      <w:pPr>
        <w:jc w:val="center"/>
        <w:rPr>
          <w:rFonts w:ascii="Gotham" w:eastAsia="Calibri" w:hAnsi="Gotham"/>
          <w:sz w:val="20"/>
          <w:szCs w:val="20"/>
          <w:lang w:val="es-MX" w:eastAsia="en-US"/>
        </w:rPr>
      </w:pPr>
      <w:r w:rsidRPr="00296603">
        <w:rPr>
          <w:rFonts w:ascii="Gotham" w:eastAsia="Calibri" w:hAnsi="Gotham"/>
          <w:sz w:val="20"/>
          <w:szCs w:val="20"/>
          <w:lang w:val="es-MX" w:eastAsia="en-US"/>
        </w:rPr>
        <w:t>E X P O S I C I Ó N   D E   M O T I V O S:</w:t>
      </w:r>
    </w:p>
    <w:p w14:paraId="3A4732CF" w14:textId="77777777" w:rsidR="00016FE1" w:rsidRPr="00296603" w:rsidRDefault="00016FE1" w:rsidP="002B6227">
      <w:pPr>
        <w:jc w:val="center"/>
        <w:rPr>
          <w:rFonts w:ascii="Gotham" w:eastAsia="Calibri" w:hAnsi="Gotham"/>
          <w:sz w:val="20"/>
          <w:szCs w:val="20"/>
          <w:lang w:val="es-MX" w:eastAsia="en-US"/>
        </w:rPr>
      </w:pPr>
    </w:p>
    <w:p w14:paraId="3A4732D0" w14:textId="77777777" w:rsidR="00016FE1" w:rsidRPr="00296603" w:rsidRDefault="00016FE1" w:rsidP="002B6227">
      <w:pPr>
        <w:ind w:left="567" w:hanging="567"/>
        <w:jc w:val="both"/>
        <w:rPr>
          <w:rFonts w:ascii="Gotham" w:eastAsia="Calibri" w:hAnsi="Gotham"/>
          <w:sz w:val="20"/>
          <w:szCs w:val="20"/>
          <w:lang w:val="es-MX" w:eastAsia="en-US"/>
        </w:rPr>
      </w:pPr>
      <w:r w:rsidRPr="00296603">
        <w:rPr>
          <w:rFonts w:ascii="Gotham" w:eastAsia="Calibri" w:hAnsi="Gotham"/>
          <w:sz w:val="20"/>
          <w:szCs w:val="20"/>
          <w:lang w:val="es-MX" w:eastAsia="en-US"/>
        </w:rPr>
        <w:lastRenderedPageBreak/>
        <w:t xml:space="preserve">I. </w:t>
      </w:r>
      <w:r>
        <w:rPr>
          <w:rFonts w:ascii="Gotham" w:eastAsia="Calibri" w:hAnsi="Gotham"/>
          <w:sz w:val="20"/>
          <w:szCs w:val="20"/>
          <w:lang w:val="es-MX" w:eastAsia="en-US"/>
        </w:rPr>
        <w:tab/>
      </w:r>
      <w:r w:rsidRPr="00296603">
        <w:rPr>
          <w:rFonts w:ascii="Gotham" w:eastAsia="Calibri" w:hAnsi="Gotham"/>
          <w:sz w:val="20"/>
          <w:szCs w:val="20"/>
          <w:lang w:val="es-MX" w:eastAsia="en-US"/>
        </w:rPr>
        <w:t>Cualquier tipo de acción o decisión de las personas tendiente a distinguir, separar o segregar a otras es uno de los actos más degradantes y lamentables en una sociedad contemporánea y en pleno ejercicio de recomposición; es un fenómeno social que no conoce ni distingue condiciones socioeconómicas ni geográficas.</w:t>
      </w:r>
      <w:r w:rsidR="008402EC">
        <w:rPr>
          <w:rFonts w:ascii="Gotham" w:eastAsia="Calibri" w:hAnsi="Gotham"/>
          <w:sz w:val="20"/>
          <w:szCs w:val="20"/>
          <w:lang w:val="es-MX" w:eastAsia="en-US"/>
        </w:rPr>
        <w:t xml:space="preserve"> </w:t>
      </w:r>
      <w:r w:rsidRPr="00296603">
        <w:rPr>
          <w:rFonts w:ascii="Gotham" w:eastAsia="Calibri" w:hAnsi="Gotham"/>
          <w:sz w:val="20"/>
          <w:szCs w:val="20"/>
          <w:lang w:val="es-MX" w:eastAsia="en-US"/>
        </w:rPr>
        <w:t xml:space="preserve">Para Amnistía Internacional tiene lugar cuando una persona no puede disfrutar a plenitud de sus derechos en condiciones de igualdad con relación a otras personas debido a una distinción injustificada. </w:t>
      </w:r>
    </w:p>
    <w:p w14:paraId="3A4732D1" w14:textId="77777777" w:rsidR="00016FE1" w:rsidRPr="00296603" w:rsidRDefault="00016FE1" w:rsidP="002B6227">
      <w:pPr>
        <w:ind w:left="567" w:hanging="567"/>
        <w:jc w:val="both"/>
        <w:rPr>
          <w:rFonts w:ascii="Gotham" w:eastAsia="Calibri" w:hAnsi="Gotham"/>
          <w:sz w:val="20"/>
          <w:szCs w:val="20"/>
          <w:lang w:val="es-MX" w:eastAsia="en-US"/>
        </w:rPr>
      </w:pPr>
    </w:p>
    <w:p w14:paraId="3A4732D2" w14:textId="77777777" w:rsidR="00016FE1" w:rsidRPr="00296603" w:rsidRDefault="00016FE1" w:rsidP="002B6227">
      <w:pPr>
        <w:ind w:left="567" w:hanging="567"/>
        <w:jc w:val="both"/>
        <w:rPr>
          <w:rFonts w:ascii="Gotham" w:eastAsia="Calibri" w:hAnsi="Gotham"/>
          <w:sz w:val="20"/>
          <w:szCs w:val="20"/>
          <w:lang w:val="es-MX" w:eastAsia="en-US"/>
        </w:rPr>
      </w:pPr>
      <w:r w:rsidRPr="00296603">
        <w:rPr>
          <w:rFonts w:ascii="Gotham" w:eastAsia="Calibri" w:hAnsi="Gotham"/>
          <w:sz w:val="20"/>
          <w:szCs w:val="20"/>
          <w:lang w:val="es-MX" w:eastAsia="en-US"/>
        </w:rPr>
        <w:t xml:space="preserve">II. </w:t>
      </w:r>
      <w:r>
        <w:rPr>
          <w:rFonts w:ascii="Gotham" w:eastAsia="Calibri" w:hAnsi="Gotham"/>
          <w:sz w:val="20"/>
          <w:szCs w:val="20"/>
          <w:lang w:val="es-MX" w:eastAsia="en-US"/>
        </w:rPr>
        <w:tab/>
      </w:r>
      <w:r w:rsidRPr="00296603">
        <w:rPr>
          <w:rFonts w:ascii="Gotham" w:eastAsia="Calibri" w:hAnsi="Gotham"/>
          <w:sz w:val="20"/>
          <w:szCs w:val="20"/>
          <w:lang w:val="es-MX" w:eastAsia="en-US"/>
        </w:rPr>
        <w:t xml:space="preserve">De acuerdo con un estudio efectuado por el Centro de Opinión Pública de la UVM (Universidad del Valle de México) el 26% de los mexicanos se han sentido discriminados debido a su apariencia física o el estilo de vestimenta, el 15% por su género y el 13% por el estrato económico en el que se encuentra. Para la CONAPRED (Consejo Nacional para Prevenir la Discriminación) los efectos de la discriminación son totalmente negativos, dolorosos y atentatorios de la dignidad humana que provocan la pérdida de los derechos y desigualdades para acceder a ellos, ocasionando aislamiento, vivir violencia o causar la muerte. </w:t>
      </w:r>
    </w:p>
    <w:p w14:paraId="3A4732D3" w14:textId="77777777" w:rsidR="00016FE1" w:rsidRPr="00296603" w:rsidRDefault="00016FE1" w:rsidP="002B6227">
      <w:pPr>
        <w:ind w:left="567" w:hanging="567"/>
        <w:jc w:val="both"/>
        <w:rPr>
          <w:rFonts w:ascii="Gotham" w:eastAsia="Calibri" w:hAnsi="Gotham"/>
          <w:sz w:val="20"/>
          <w:szCs w:val="20"/>
          <w:lang w:val="es-MX" w:eastAsia="en-US"/>
        </w:rPr>
      </w:pPr>
    </w:p>
    <w:p w14:paraId="3A4732D4" w14:textId="77777777" w:rsidR="00016FE1" w:rsidRPr="00296603" w:rsidRDefault="00016FE1" w:rsidP="002B6227">
      <w:pPr>
        <w:ind w:left="567" w:hanging="567"/>
        <w:jc w:val="both"/>
        <w:rPr>
          <w:rFonts w:ascii="Gotham" w:eastAsia="Calibri" w:hAnsi="Gotham"/>
          <w:sz w:val="20"/>
          <w:szCs w:val="20"/>
          <w:lang w:val="es-MX" w:eastAsia="en-US"/>
        </w:rPr>
      </w:pPr>
      <w:r w:rsidRPr="00296603">
        <w:rPr>
          <w:rFonts w:ascii="Gotham" w:eastAsia="Calibri" w:hAnsi="Gotham"/>
          <w:sz w:val="20"/>
          <w:szCs w:val="20"/>
          <w:lang w:val="es-MX" w:eastAsia="en-US"/>
        </w:rPr>
        <w:t xml:space="preserve">III. </w:t>
      </w:r>
      <w:r>
        <w:rPr>
          <w:rFonts w:ascii="Gotham" w:eastAsia="Calibri" w:hAnsi="Gotham"/>
          <w:sz w:val="20"/>
          <w:szCs w:val="20"/>
          <w:lang w:val="es-MX" w:eastAsia="en-US"/>
        </w:rPr>
        <w:tab/>
      </w:r>
      <w:r w:rsidRPr="00296603">
        <w:rPr>
          <w:rFonts w:ascii="Gotham" w:eastAsia="Calibri" w:hAnsi="Gotham"/>
          <w:sz w:val="20"/>
          <w:szCs w:val="20"/>
          <w:lang w:val="es-MX" w:eastAsia="en-US"/>
        </w:rPr>
        <w:t xml:space="preserve">El artículo 1 Constitucional base de la igualdad y la no discriminación en el País, que devienen fundamentalmente de sus reformas en los años 2001 y 2011,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3A4732D5" w14:textId="77777777" w:rsidR="00016FE1" w:rsidRPr="00296603" w:rsidRDefault="00016FE1" w:rsidP="002B6227">
      <w:pPr>
        <w:ind w:left="567" w:hanging="567"/>
        <w:jc w:val="both"/>
        <w:rPr>
          <w:rFonts w:ascii="Gotham" w:eastAsia="Calibri" w:hAnsi="Gotham"/>
          <w:sz w:val="20"/>
          <w:szCs w:val="20"/>
          <w:lang w:val="es-MX" w:eastAsia="en-US"/>
        </w:rPr>
      </w:pPr>
    </w:p>
    <w:p w14:paraId="3A4732D6" w14:textId="77777777" w:rsidR="00016FE1" w:rsidRPr="00296603" w:rsidRDefault="00016FE1" w:rsidP="002B6227">
      <w:pPr>
        <w:ind w:left="567" w:hanging="567"/>
        <w:jc w:val="both"/>
        <w:rPr>
          <w:rFonts w:ascii="Gotham" w:eastAsia="Calibri" w:hAnsi="Gotham"/>
          <w:sz w:val="20"/>
          <w:szCs w:val="20"/>
          <w:lang w:val="es-MX" w:eastAsia="en-US"/>
        </w:rPr>
      </w:pPr>
      <w:r w:rsidRPr="00296603">
        <w:rPr>
          <w:rFonts w:ascii="Gotham" w:eastAsia="Calibri" w:hAnsi="Gotham"/>
          <w:sz w:val="20"/>
          <w:szCs w:val="20"/>
          <w:lang w:val="es-MX" w:eastAsia="en-US"/>
        </w:rPr>
        <w:t xml:space="preserve">IV. </w:t>
      </w:r>
      <w:r>
        <w:rPr>
          <w:rFonts w:ascii="Gotham" w:eastAsia="Calibri" w:hAnsi="Gotham"/>
          <w:sz w:val="20"/>
          <w:szCs w:val="20"/>
          <w:lang w:val="es-MX" w:eastAsia="en-US"/>
        </w:rPr>
        <w:tab/>
      </w:r>
      <w:r w:rsidRPr="00296603">
        <w:rPr>
          <w:rFonts w:ascii="Gotham" w:eastAsia="Calibri" w:hAnsi="Gotham"/>
          <w:sz w:val="20"/>
          <w:szCs w:val="20"/>
          <w:lang w:val="es-MX" w:eastAsia="en-US"/>
        </w:rPr>
        <w:t xml:space="preserve">Que la igualdad y la no discriminación se encuentran sustentadas y protegidas en un sistema jurídico nacional e internacional compuesto, además de la Constitución Política de los Estados Unidos Mexicanos, en las leyes secundarias, los Tratados Internacionales, los Protocolos de actuación y los criterios jurisprudenciales buscando su </w:t>
      </w:r>
      <w:r w:rsidRPr="00346C9F">
        <w:rPr>
          <w:rFonts w:ascii="Gotham" w:eastAsia="Calibri" w:hAnsi="Gotham"/>
          <w:sz w:val="20"/>
          <w:szCs w:val="20"/>
          <w:lang w:val="es-MX" w:eastAsia="en-US"/>
        </w:rPr>
        <w:t>garantización</w:t>
      </w:r>
      <w:r w:rsidRPr="00296603">
        <w:rPr>
          <w:rFonts w:ascii="Gotham" w:eastAsia="Calibri" w:hAnsi="Gotham"/>
          <w:sz w:val="20"/>
          <w:szCs w:val="20"/>
          <w:lang w:val="es-MX" w:eastAsia="en-US"/>
        </w:rPr>
        <w:t xml:space="preserve"> sustancial. </w:t>
      </w:r>
    </w:p>
    <w:p w14:paraId="3A4732D7" w14:textId="77777777" w:rsidR="00016FE1" w:rsidRPr="00296603" w:rsidRDefault="00016FE1" w:rsidP="002B6227">
      <w:pPr>
        <w:ind w:left="567" w:hanging="567"/>
        <w:jc w:val="both"/>
        <w:rPr>
          <w:rFonts w:ascii="Gotham" w:eastAsia="Calibri" w:hAnsi="Gotham"/>
          <w:sz w:val="20"/>
          <w:szCs w:val="20"/>
          <w:lang w:val="es-MX" w:eastAsia="en-US"/>
        </w:rPr>
      </w:pPr>
    </w:p>
    <w:p w14:paraId="3A4732D8" w14:textId="77777777" w:rsidR="00016FE1" w:rsidRPr="00296603" w:rsidRDefault="00016FE1" w:rsidP="002B6227">
      <w:pPr>
        <w:ind w:left="567"/>
        <w:jc w:val="both"/>
        <w:rPr>
          <w:rFonts w:ascii="Gotham" w:eastAsia="Calibri" w:hAnsi="Gotham"/>
          <w:sz w:val="20"/>
          <w:szCs w:val="20"/>
          <w:lang w:val="es-MX" w:eastAsia="en-US"/>
        </w:rPr>
      </w:pPr>
      <w:r w:rsidRPr="00296603">
        <w:rPr>
          <w:rFonts w:ascii="Gotham" w:eastAsia="Calibri" w:hAnsi="Gotham"/>
          <w:sz w:val="20"/>
          <w:szCs w:val="20"/>
          <w:lang w:val="es-MX" w:eastAsia="en-US"/>
        </w:rPr>
        <w:t>Bajo este criterio, la Ley Federal para Prevenir y Eliminar la Discriminación que entró en vigor en junio del 2003 de manera expresa prohíbe de manera categórica, toda práctica discriminatoria que tenga por objeto o efecto impedir o anular el reconocimiento o ejercicio de los derechos y la igualdad real de oportunidades en términos del artículo primero constitucional (Artículo 4).</w:t>
      </w:r>
    </w:p>
    <w:p w14:paraId="3A4732D9" w14:textId="77777777" w:rsidR="00016FE1" w:rsidRPr="00296603" w:rsidRDefault="00016FE1" w:rsidP="002B6227">
      <w:pPr>
        <w:ind w:left="567" w:hanging="567"/>
        <w:jc w:val="both"/>
        <w:rPr>
          <w:rFonts w:ascii="Gotham" w:eastAsia="Calibri" w:hAnsi="Gotham"/>
          <w:sz w:val="20"/>
          <w:szCs w:val="20"/>
          <w:lang w:val="es-MX" w:eastAsia="en-US"/>
        </w:rPr>
      </w:pPr>
    </w:p>
    <w:p w14:paraId="3A4732DA" w14:textId="77777777" w:rsidR="00016FE1" w:rsidRPr="00296603" w:rsidRDefault="00016FE1" w:rsidP="002B6227">
      <w:pPr>
        <w:ind w:left="567" w:hanging="567"/>
        <w:jc w:val="both"/>
        <w:rPr>
          <w:rFonts w:ascii="Gotham" w:eastAsia="Calibri" w:hAnsi="Gotham"/>
          <w:sz w:val="20"/>
          <w:szCs w:val="20"/>
          <w:lang w:val="es-MX" w:eastAsia="en-US"/>
        </w:rPr>
      </w:pPr>
      <w:r w:rsidRPr="00296603">
        <w:rPr>
          <w:rFonts w:ascii="Gotham" w:eastAsia="Calibri" w:hAnsi="Gotham"/>
          <w:sz w:val="20"/>
          <w:szCs w:val="20"/>
          <w:lang w:val="es-MX" w:eastAsia="en-US"/>
        </w:rPr>
        <w:t xml:space="preserve">V. </w:t>
      </w:r>
      <w:r>
        <w:rPr>
          <w:rFonts w:ascii="Gotham" w:eastAsia="Calibri" w:hAnsi="Gotham"/>
          <w:sz w:val="20"/>
          <w:szCs w:val="20"/>
          <w:lang w:val="es-MX" w:eastAsia="en-US"/>
        </w:rPr>
        <w:tab/>
      </w:r>
      <w:r w:rsidRPr="00296603">
        <w:rPr>
          <w:rFonts w:ascii="Gotham" w:eastAsia="Calibri" w:hAnsi="Gotham"/>
          <w:sz w:val="20"/>
          <w:szCs w:val="20"/>
          <w:lang w:val="es-MX" w:eastAsia="en-US"/>
        </w:rPr>
        <w:t xml:space="preserve">En lo que respecta a nuestro Estado, la Ley para promover la igualdad, prevenir y eliminar la discriminación, su numeral 4 obliga a todas las dependencias municipales a garantizar que todas las personas gocen sin discriminación alguna, de sus derechos humanos reconocidos en la Constitución Federal y en la particular de nuestro Estado, en instrumentos internacionales y las leyes estatales y demás ordenamientos aplicables; así mismo impone el deber de eliminar los obstáculos que impidan el pleno desarrollo y la efectiva participación de las personas en la vida política, económica, cultural y social. </w:t>
      </w:r>
    </w:p>
    <w:p w14:paraId="3A4732DB" w14:textId="77777777" w:rsidR="00016FE1" w:rsidRPr="00296603" w:rsidRDefault="00016FE1" w:rsidP="002B6227">
      <w:pPr>
        <w:ind w:left="567" w:hanging="567"/>
        <w:jc w:val="both"/>
        <w:rPr>
          <w:rFonts w:ascii="Gotham" w:hAnsi="Gotham"/>
          <w:bCs/>
          <w:sz w:val="20"/>
          <w:szCs w:val="20"/>
        </w:rPr>
      </w:pPr>
    </w:p>
    <w:p w14:paraId="3A4732DC" w14:textId="77777777" w:rsidR="00016FE1" w:rsidRPr="00296603" w:rsidRDefault="00016FE1" w:rsidP="002B6227">
      <w:pPr>
        <w:ind w:left="567" w:hanging="567"/>
        <w:jc w:val="both"/>
        <w:rPr>
          <w:rFonts w:ascii="Gotham" w:hAnsi="Gotham"/>
          <w:bCs/>
          <w:sz w:val="20"/>
          <w:szCs w:val="20"/>
        </w:rPr>
      </w:pPr>
      <w:r w:rsidRPr="00296603">
        <w:rPr>
          <w:rFonts w:ascii="Gotham" w:hAnsi="Gotham"/>
          <w:bCs/>
          <w:sz w:val="20"/>
          <w:szCs w:val="20"/>
        </w:rPr>
        <w:t xml:space="preserve">VI. </w:t>
      </w:r>
      <w:r>
        <w:rPr>
          <w:rFonts w:ascii="Gotham" w:hAnsi="Gotham"/>
          <w:bCs/>
          <w:sz w:val="20"/>
          <w:szCs w:val="20"/>
        </w:rPr>
        <w:tab/>
      </w:r>
      <w:r w:rsidRPr="00296603">
        <w:rPr>
          <w:rFonts w:ascii="Gotham" w:hAnsi="Gotham"/>
          <w:bCs/>
          <w:sz w:val="20"/>
          <w:szCs w:val="20"/>
        </w:rPr>
        <w:t xml:space="preserve">No se soslaya la función que realiza el Consejo Nacional para Prevenir la Discriminación (CONAPRED) que tiene en su esfera de responsabilidades el diseño del Programa para la igualdad y la No discriminación, por sus siglas PRONAIND 2021-2024, con el objeto de combatir precisamente las desigualdades sociales, económicas y de trato, y garantizar el pleno respeto de los derechos de todas las personas, sin discriminación alguna. </w:t>
      </w:r>
    </w:p>
    <w:p w14:paraId="3A4732DD" w14:textId="77777777" w:rsidR="00016FE1" w:rsidRPr="00296603" w:rsidRDefault="00016FE1" w:rsidP="002B6227">
      <w:pPr>
        <w:ind w:left="567" w:hanging="567"/>
        <w:jc w:val="both"/>
        <w:rPr>
          <w:rFonts w:ascii="Gotham" w:hAnsi="Gotham"/>
          <w:bCs/>
          <w:sz w:val="20"/>
          <w:szCs w:val="20"/>
        </w:rPr>
      </w:pPr>
    </w:p>
    <w:p w14:paraId="3A4732DE" w14:textId="77777777" w:rsidR="00016FE1" w:rsidRPr="00296603" w:rsidRDefault="00016FE1" w:rsidP="002B6227">
      <w:pPr>
        <w:ind w:left="567"/>
        <w:jc w:val="both"/>
        <w:rPr>
          <w:rFonts w:ascii="Gotham" w:hAnsi="Gotham"/>
          <w:bCs/>
          <w:sz w:val="20"/>
          <w:szCs w:val="20"/>
        </w:rPr>
      </w:pPr>
      <w:r w:rsidRPr="00296603">
        <w:rPr>
          <w:rFonts w:ascii="Gotham" w:hAnsi="Gotham"/>
          <w:bCs/>
          <w:sz w:val="20"/>
          <w:szCs w:val="20"/>
        </w:rPr>
        <w:t xml:space="preserve">Para el Consejo Nacional la implementación del Programa está basado en la transversalidad del derecho a la igualdad y no discriminación y en la actuación coordinada de todas las dependencias y entidades federales. </w:t>
      </w:r>
    </w:p>
    <w:p w14:paraId="3A4732DF" w14:textId="77777777" w:rsidR="00016FE1" w:rsidRPr="00296603" w:rsidRDefault="00016FE1" w:rsidP="002B6227">
      <w:pPr>
        <w:ind w:left="567" w:hanging="567"/>
        <w:jc w:val="both"/>
        <w:rPr>
          <w:rFonts w:ascii="Gotham" w:hAnsi="Gotham"/>
          <w:bCs/>
          <w:sz w:val="20"/>
          <w:szCs w:val="20"/>
        </w:rPr>
      </w:pPr>
    </w:p>
    <w:p w14:paraId="3A4732E0" w14:textId="77777777" w:rsidR="00016FE1" w:rsidRPr="00296603" w:rsidRDefault="00016FE1" w:rsidP="002B6227">
      <w:pPr>
        <w:ind w:left="567" w:hanging="567"/>
        <w:jc w:val="both"/>
        <w:rPr>
          <w:rFonts w:ascii="Gotham" w:hAnsi="Gotham"/>
          <w:color w:val="0D0D0D"/>
          <w:sz w:val="20"/>
          <w:szCs w:val="20"/>
          <w:highlight w:val="white"/>
        </w:rPr>
      </w:pPr>
      <w:r w:rsidRPr="00296603">
        <w:rPr>
          <w:rFonts w:ascii="Gotham" w:hAnsi="Gotham"/>
          <w:color w:val="0D0D0D"/>
          <w:sz w:val="20"/>
          <w:szCs w:val="20"/>
          <w:highlight w:val="white"/>
        </w:rPr>
        <w:t xml:space="preserve">VII. </w:t>
      </w:r>
      <w:r>
        <w:rPr>
          <w:rFonts w:ascii="Gotham" w:hAnsi="Gotham"/>
          <w:color w:val="0D0D0D"/>
          <w:sz w:val="20"/>
          <w:szCs w:val="20"/>
          <w:highlight w:val="white"/>
        </w:rPr>
        <w:tab/>
      </w:r>
      <w:r w:rsidRPr="00296603">
        <w:rPr>
          <w:rFonts w:ascii="Gotham" w:hAnsi="Gotham"/>
          <w:color w:val="0D0D0D"/>
          <w:sz w:val="20"/>
          <w:szCs w:val="20"/>
          <w:highlight w:val="white"/>
        </w:rPr>
        <w:t xml:space="preserve">Nuestro Municipio no se excluye de presentar casos de diferentes formas de discriminación, lo que nos compromete para implementar acciones frontales para combatirla, desde la implementación de un programa base como la que existe a nivel federal y municipal, política </w:t>
      </w:r>
      <w:r w:rsidRPr="00296603">
        <w:rPr>
          <w:rFonts w:ascii="Gotham" w:hAnsi="Gotham"/>
          <w:color w:val="0D0D0D"/>
          <w:sz w:val="20"/>
          <w:szCs w:val="20"/>
          <w:highlight w:val="white"/>
        </w:rPr>
        <w:lastRenderedPageBreak/>
        <w:t xml:space="preserve">pública de igualdad y no discriminación y la creación de un ordenamiento municipal que tutele y garantice la igualdad, prevenga y sancione la discriminación. </w:t>
      </w:r>
    </w:p>
    <w:p w14:paraId="3A4732E1" w14:textId="77777777" w:rsidR="00016FE1" w:rsidRPr="00296603" w:rsidRDefault="00016FE1" w:rsidP="002B6227">
      <w:pPr>
        <w:ind w:left="567" w:hanging="567"/>
        <w:jc w:val="both"/>
        <w:rPr>
          <w:rFonts w:ascii="Gotham" w:hAnsi="Gotham"/>
          <w:color w:val="0D0D0D"/>
          <w:sz w:val="20"/>
          <w:szCs w:val="20"/>
          <w:highlight w:val="white"/>
        </w:rPr>
      </w:pPr>
    </w:p>
    <w:p w14:paraId="3A4732E2" w14:textId="77777777" w:rsidR="00016FE1" w:rsidRPr="00296603" w:rsidRDefault="00016FE1" w:rsidP="002B6227">
      <w:pPr>
        <w:ind w:left="567" w:hanging="567"/>
        <w:jc w:val="both"/>
        <w:rPr>
          <w:rFonts w:ascii="Gotham" w:eastAsia="Calibri" w:hAnsi="Gotham"/>
          <w:sz w:val="20"/>
          <w:szCs w:val="20"/>
          <w:lang w:val="es-MX" w:eastAsia="en-US"/>
        </w:rPr>
      </w:pPr>
      <w:r w:rsidRPr="00296603">
        <w:rPr>
          <w:rFonts w:ascii="Gotham" w:eastAsia="Calibri" w:hAnsi="Gotham"/>
          <w:sz w:val="20"/>
          <w:szCs w:val="20"/>
          <w:lang w:val="es-MX" w:eastAsia="en-US"/>
        </w:rPr>
        <w:t xml:space="preserve">VIII. </w:t>
      </w:r>
      <w:r>
        <w:rPr>
          <w:rFonts w:ascii="Gotham" w:eastAsia="Calibri" w:hAnsi="Gotham"/>
          <w:sz w:val="20"/>
          <w:szCs w:val="20"/>
          <w:lang w:val="es-MX" w:eastAsia="en-US"/>
        </w:rPr>
        <w:tab/>
      </w:r>
      <w:r w:rsidRPr="00296603">
        <w:rPr>
          <w:rFonts w:ascii="Gotham" w:eastAsia="Calibri" w:hAnsi="Gotham"/>
          <w:sz w:val="20"/>
          <w:szCs w:val="20"/>
          <w:lang w:val="es-MX" w:eastAsia="en-US"/>
        </w:rPr>
        <w:t xml:space="preserve">De esta manera, es fundamental e impostergable que este cuerpo colegiado de gobierno apruebe ordenamientos en materia de derechos humanos en estricta armonía legislativa con la Ley Estatal para Prevenir y Combatir la Discriminación, y en esa línea crear un Reglamento que tutele y garantice los derechos de igualdad y no discriminación en general, en los que se comprendan todos los derechos de las personas y la prohibición de distinciones por preferencias o condiciones como el que se presenta en esta iniciativa. </w:t>
      </w:r>
    </w:p>
    <w:p w14:paraId="3A4732E3" w14:textId="77777777" w:rsidR="00016FE1" w:rsidRPr="00296603" w:rsidRDefault="00016FE1" w:rsidP="002B6227">
      <w:pPr>
        <w:jc w:val="both"/>
        <w:rPr>
          <w:rFonts w:ascii="Gotham" w:eastAsia="Calibri" w:hAnsi="Gotham"/>
          <w:sz w:val="20"/>
          <w:szCs w:val="20"/>
          <w:lang w:val="es-MX" w:eastAsia="en-US"/>
        </w:rPr>
      </w:pPr>
    </w:p>
    <w:p w14:paraId="3A4732E4" w14:textId="77777777" w:rsidR="00016FE1" w:rsidRPr="00296603" w:rsidRDefault="00016FE1" w:rsidP="002B6227">
      <w:pPr>
        <w:jc w:val="both"/>
        <w:rPr>
          <w:rFonts w:ascii="Gotham" w:eastAsia="Calibri" w:hAnsi="Gotham"/>
          <w:sz w:val="20"/>
          <w:szCs w:val="20"/>
          <w:lang w:val="es-MX" w:eastAsia="en-US"/>
        </w:rPr>
      </w:pPr>
      <w:r w:rsidRPr="00296603">
        <w:rPr>
          <w:rFonts w:ascii="Gotham" w:eastAsia="Calibri" w:hAnsi="Gotham"/>
          <w:sz w:val="20"/>
          <w:szCs w:val="20"/>
          <w:lang w:val="es-MX" w:eastAsia="en-US"/>
        </w:rPr>
        <w:t>Por lo anteriormente expuesto y fundado, la iniciativa que se pone a consideración de esta honorable soberanía tendrá las siguientes repercusiones:</w:t>
      </w:r>
    </w:p>
    <w:p w14:paraId="3A4732E5" w14:textId="77777777" w:rsidR="00016FE1" w:rsidRPr="00296603" w:rsidRDefault="00016FE1" w:rsidP="002B6227">
      <w:pPr>
        <w:jc w:val="both"/>
        <w:rPr>
          <w:rFonts w:ascii="Gotham" w:eastAsia="Calibri" w:hAnsi="Gotham"/>
          <w:sz w:val="20"/>
          <w:szCs w:val="20"/>
          <w:lang w:val="es-MX" w:eastAsia="en-US"/>
        </w:rPr>
      </w:pPr>
    </w:p>
    <w:p w14:paraId="3A4732E6" w14:textId="77777777" w:rsidR="00016FE1" w:rsidRPr="00296603" w:rsidRDefault="00016FE1" w:rsidP="002B6227">
      <w:pPr>
        <w:jc w:val="both"/>
        <w:rPr>
          <w:rFonts w:ascii="Gotham" w:eastAsia="Calibri" w:hAnsi="Gotham"/>
          <w:sz w:val="20"/>
          <w:szCs w:val="20"/>
          <w:lang w:val="es-MX" w:eastAsia="en-US"/>
        </w:rPr>
      </w:pPr>
      <w:r w:rsidRPr="00296603">
        <w:rPr>
          <w:rFonts w:ascii="Gotham" w:eastAsia="Calibri" w:hAnsi="Gotham"/>
          <w:sz w:val="20"/>
          <w:szCs w:val="20"/>
          <w:lang w:val="es-MX" w:eastAsia="en-US"/>
        </w:rPr>
        <w:t xml:space="preserve">En lo jurídico: Con la aprobación del Reglamento que garantice la igualdad y prohíba la discriminación en nuestro Municipio, no sólo nos ponemos a nivel de otros municipios del área metropolitana que ya cuentan con su ordenamiento, sino que se establecen disposiciones armonizándolas con la Constitución Federal y las leyes de la materia tanto federal como local. </w:t>
      </w:r>
    </w:p>
    <w:p w14:paraId="3A4732E7" w14:textId="77777777" w:rsidR="00016FE1" w:rsidRPr="00296603" w:rsidRDefault="00016FE1" w:rsidP="002B6227">
      <w:pPr>
        <w:jc w:val="both"/>
        <w:rPr>
          <w:rFonts w:ascii="Gotham" w:eastAsia="Calibri" w:hAnsi="Gotham"/>
          <w:sz w:val="20"/>
          <w:szCs w:val="20"/>
          <w:lang w:val="es-MX" w:eastAsia="en-US"/>
        </w:rPr>
      </w:pPr>
    </w:p>
    <w:p w14:paraId="3A4732E8" w14:textId="77777777" w:rsidR="00016FE1" w:rsidRPr="00296603" w:rsidRDefault="00016FE1" w:rsidP="002B6227">
      <w:pPr>
        <w:jc w:val="both"/>
        <w:rPr>
          <w:rFonts w:ascii="Gotham" w:eastAsia="Calibri" w:hAnsi="Gotham"/>
          <w:sz w:val="20"/>
          <w:szCs w:val="20"/>
          <w:lang w:val="es-MX" w:eastAsia="en-US"/>
        </w:rPr>
      </w:pPr>
      <w:r w:rsidRPr="00296603">
        <w:rPr>
          <w:rFonts w:ascii="Gotham" w:eastAsia="Calibri" w:hAnsi="Gotham"/>
          <w:sz w:val="20"/>
          <w:szCs w:val="20"/>
          <w:lang w:val="es-MX" w:eastAsia="en-US"/>
        </w:rPr>
        <w:t xml:space="preserve">En lo económico: El Reglamento que se propone no es generadora de gasto o erogación económica alguna por el Ayuntamiento, ya que se trata de garantizar la protección del derecho humano a la igualdad y la no discriminación en nuestro Municipio a que alude el artículo 1 de la Constitución General de la República, dando competencia y acotando responsabilidades a las autoridades municipales cuyas tareas administrativas y políticas sean las propias para lograr aquella protección sustantiva. </w:t>
      </w:r>
    </w:p>
    <w:p w14:paraId="3A4732E9" w14:textId="77777777" w:rsidR="00016FE1" w:rsidRPr="00296603" w:rsidRDefault="00016FE1" w:rsidP="002B6227">
      <w:pPr>
        <w:jc w:val="both"/>
        <w:rPr>
          <w:rFonts w:ascii="Gotham" w:eastAsia="Calibri" w:hAnsi="Gotham"/>
          <w:sz w:val="20"/>
          <w:szCs w:val="20"/>
          <w:lang w:val="es-MX" w:eastAsia="en-US"/>
        </w:rPr>
      </w:pPr>
    </w:p>
    <w:p w14:paraId="3A4732EA" w14:textId="77777777" w:rsidR="00016FE1" w:rsidRPr="00296603" w:rsidRDefault="00016FE1" w:rsidP="002B6227">
      <w:pPr>
        <w:jc w:val="both"/>
        <w:rPr>
          <w:rFonts w:ascii="Gotham" w:eastAsia="Calibri" w:hAnsi="Gotham"/>
          <w:sz w:val="20"/>
          <w:szCs w:val="20"/>
          <w:lang w:val="es-MX" w:eastAsia="en-US"/>
        </w:rPr>
      </w:pPr>
      <w:r w:rsidRPr="00296603">
        <w:rPr>
          <w:rFonts w:ascii="Gotham" w:eastAsia="Calibri" w:hAnsi="Gotham"/>
          <w:sz w:val="20"/>
          <w:szCs w:val="20"/>
          <w:lang w:val="es-MX" w:eastAsia="en-US"/>
        </w:rPr>
        <w:t xml:space="preserve">En lo social: Deja constancia de la responsabilidad y compromiso que asume este Ayuntamiento para crear ordenamientos que tutelen los derechos humanos y se garantice su protección para todas las personas que se encuentren en el territorio del Municipio. </w:t>
      </w:r>
    </w:p>
    <w:p w14:paraId="3A4732EB" w14:textId="77777777" w:rsidR="00016FE1" w:rsidRPr="00296603" w:rsidRDefault="00016FE1" w:rsidP="002B6227">
      <w:pPr>
        <w:jc w:val="both"/>
        <w:rPr>
          <w:rFonts w:ascii="Gotham" w:eastAsia="Calibri" w:hAnsi="Gotham"/>
          <w:sz w:val="20"/>
          <w:szCs w:val="20"/>
          <w:lang w:val="es-MX" w:eastAsia="en-US"/>
        </w:rPr>
      </w:pPr>
    </w:p>
    <w:p w14:paraId="3A4732EC" w14:textId="77777777" w:rsidR="00016FE1" w:rsidRPr="00296603" w:rsidRDefault="00016FE1" w:rsidP="002B6227">
      <w:pPr>
        <w:jc w:val="both"/>
        <w:rPr>
          <w:rFonts w:ascii="Gotham" w:eastAsia="Calibri" w:hAnsi="Gotham"/>
          <w:sz w:val="20"/>
          <w:szCs w:val="20"/>
          <w:lang w:val="es-UY" w:eastAsia="en-US"/>
        </w:rPr>
      </w:pPr>
      <w:r w:rsidRPr="00296603">
        <w:rPr>
          <w:rFonts w:ascii="Gotham" w:eastAsia="Calibri" w:hAnsi="Gotham"/>
          <w:sz w:val="20"/>
          <w:szCs w:val="20"/>
          <w:lang w:val="es-UY" w:eastAsia="en-US"/>
        </w:rPr>
        <w:t xml:space="preserve">De conformidad a lo dispuesto por los artículos </w:t>
      </w:r>
      <w:r w:rsidRPr="00296603">
        <w:rPr>
          <w:rFonts w:ascii="Gotham" w:hAnsi="Gotham"/>
          <w:sz w:val="20"/>
          <w:szCs w:val="20"/>
        </w:rPr>
        <w:t>56, fracción III, del Reglamento del Gobierno y la Administración Públicas del Ayuntamiento Constitucional de Tonalá, Jalisco; así como los artículos 82, fracción III, y 83 del Reglamento para el Funcionamiento Interno de Sesiones del Ayuntamiento Constitucional de Tonalá, Jalisco</w:t>
      </w:r>
      <w:r w:rsidRPr="00296603">
        <w:rPr>
          <w:rFonts w:ascii="Gotham" w:eastAsia="Calibri" w:hAnsi="Gotham"/>
          <w:sz w:val="20"/>
          <w:szCs w:val="20"/>
          <w:lang w:val="es-UY" w:eastAsia="en-US"/>
        </w:rPr>
        <w:t>, someto a su consideración la siguiente iniciativa de:</w:t>
      </w:r>
    </w:p>
    <w:p w14:paraId="3A4732ED" w14:textId="77777777" w:rsidR="00016FE1" w:rsidRPr="00296603" w:rsidRDefault="00016FE1" w:rsidP="002B6227">
      <w:pPr>
        <w:jc w:val="both"/>
        <w:rPr>
          <w:rFonts w:ascii="Gotham" w:eastAsia="Calibri" w:hAnsi="Gotham"/>
          <w:sz w:val="20"/>
          <w:szCs w:val="20"/>
          <w:lang w:val="es-UY" w:eastAsia="en-US"/>
        </w:rPr>
      </w:pPr>
    </w:p>
    <w:p w14:paraId="3A4732EE" w14:textId="77777777" w:rsidR="00016FE1" w:rsidRPr="00565FE6" w:rsidRDefault="00016FE1" w:rsidP="002B6227">
      <w:pPr>
        <w:ind w:left="284" w:right="283"/>
        <w:jc w:val="center"/>
        <w:rPr>
          <w:rFonts w:ascii="Gotham" w:eastAsia="Calibri" w:hAnsi="Gotham"/>
          <w:b/>
          <w:bCs/>
          <w:sz w:val="19"/>
          <w:szCs w:val="19"/>
          <w:lang w:val="es-UY" w:eastAsia="en-US"/>
        </w:rPr>
      </w:pPr>
      <w:r w:rsidRPr="00565FE6">
        <w:rPr>
          <w:rFonts w:ascii="Gotham" w:eastAsia="Calibri" w:hAnsi="Gotham"/>
          <w:b/>
          <w:bCs/>
          <w:sz w:val="19"/>
          <w:szCs w:val="19"/>
          <w:lang w:val="es-UY" w:eastAsia="en-US"/>
        </w:rPr>
        <w:t>ORDENAMIENTO MUNICIPAL</w:t>
      </w:r>
    </w:p>
    <w:p w14:paraId="3A4732EF" w14:textId="77777777" w:rsidR="00016FE1" w:rsidRPr="00565FE6" w:rsidRDefault="00016FE1" w:rsidP="002B6227">
      <w:pPr>
        <w:ind w:left="284" w:right="283"/>
        <w:jc w:val="center"/>
        <w:rPr>
          <w:rFonts w:ascii="Gotham" w:eastAsia="Calibri" w:hAnsi="Gotham"/>
          <w:b/>
          <w:bCs/>
          <w:sz w:val="19"/>
          <w:szCs w:val="19"/>
          <w:lang w:val="es-UY" w:eastAsia="en-US"/>
        </w:rPr>
      </w:pPr>
    </w:p>
    <w:p w14:paraId="3A4732F0" w14:textId="77777777" w:rsidR="00016FE1" w:rsidRPr="00565FE6" w:rsidRDefault="00016FE1" w:rsidP="002B6227">
      <w:pPr>
        <w:ind w:left="284" w:right="283"/>
        <w:jc w:val="both"/>
        <w:rPr>
          <w:rFonts w:ascii="Gotham" w:eastAsia="Calibri" w:hAnsi="Gotham"/>
          <w:sz w:val="19"/>
          <w:szCs w:val="19"/>
          <w:lang w:val="es-UY" w:eastAsia="en-US"/>
        </w:rPr>
      </w:pPr>
      <w:r w:rsidRPr="00565FE6">
        <w:rPr>
          <w:rFonts w:ascii="Gotham" w:eastAsia="Calibri" w:hAnsi="Gotham"/>
          <w:b/>
          <w:bCs/>
          <w:sz w:val="19"/>
          <w:szCs w:val="19"/>
          <w:lang w:val="es-UY" w:eastAsia="en-US"/>
        </w:rPr>
        <w:t>PRIMERO.</w:t>
      </w:r>
      <w:r w:rsidRPr="00565FE6">
        <w:rPr>
          <w:rFonts w:ascii="Gotham" w:eastAsia="Calibri" w:hAnsi="Gotham"/>
          <w:sz w:val="19"/>
          <w:szCs w:val="19"/>
          <w:lang w:val="es-UY" w:eastAsia="en-US"/>
        </w:rPr>
        <w:t xml:space="preserve"> Iniciativa que crear </w:t>
      </w:r>
      <w:r w:rsidRPr="00565FE6">
        <w:rPr>
          <w:rFonts w:ascii="Gotham" w:hAnsi="Gotham"/>
          <w:b/>
          <w:bCs/>
          <w:sz w:val="19"/>
          <w:szCs w:val="19"/>
        </w:rPr>
        <w:t xml:space="preserve">el Reglamento </w:t>
      </w:r>
      <w:r w:rsidRPr="00565FE6">
        <w:rPr>
          <w:rFonts w:ascii="Gotham" w:eastAsia="Calibri" w:hAnsi="Gotham"/>
          <w:b/>
          <w:sz w:val="19"/>
          <w:szCs w:val="19"/>
          <w:lang w:val="es-MX" w:eastAsia="en-US"/>
        </w:rPr>
        <w:t>para Prevenir y Eliminar la Discriminación para el Municipio de Tonalá, Jalisco</w:t>
      </w:r>
      <w:r w:rsidRPr="00565FE6">
        <w:rPr>
          <w:rFonts w:ascii="Gotham" w:hAnsi="Gotham"/>
          <w:b/>
          <w:bCs/>
          <w:sz w:val="19"/>
          <w:szCs w:val="19"/>
        </w:rPr>
        <w:t xml:space="preserve"> </w:t>
      </w:r>
      <w:r w:rsidRPr="00565FE6">
        <w:rPr>
          <w:rFonts w:ascii="Gotham" w:hAnsi="Gotham"/>
          <w:sz w:val="19"/>
          <w:szCs w:val="19"/>
        </w:rPr>
        <w:t>para quedar como sigue:</w:t>
      </w:r>
    </w:p>
    <w:p w14:paraId="3A4732F1" w14:textId="77777777" w:rsidR="00016FE1" w:rsidRDefault="00016FE1" w:rsidP="002B6227">
      <w:pPr>
        <w:ind w:left="284" w:right="283"/>
        <w:jc w:val="both"/>
        <w:rPr>
          <w:rFonts w:ascii="Gotham" w:eastAsia="Calibri" w:hAnsi="Gotham"/>
          <w:sz w:val="19"/>
          <w:szCs w:val="19"/>
          <w:lang w:val="es-MX" w:eastAsia="en-US"/>
        </w:rPr>
      </w:pPr>
    </w:p>
    <w:p w14:paraId="3A4732F2" w14:textId="77777777" w:rsidR="00016FE1" w:rsidRPr="00565FE6" w:rsidRDefault="00016FE1" w:rsidP="002B6227">
      <w:pPr>
        <w:ind w:left="284" w:right="283"/>
        <w:jc w:val="both"/>
        <w:rPr>
          <w:rFonts w:ascii="Gotham" w:eastAsia="Calibri" w:hAnsi="Gotham"/>
          <w:sz w:val="19"/>
          <w:szCs w:val="19"/>
          <w:lang w:val="es-MX" w:eastAsia="en-US"/>
        </w:rPr>
      </w:pPr>
    </w:p>
    <w:p w14:paraId="3A4732F3" w14:textId="77777777" w:rsidR="00016FE1" w:rsidRPr="00565FE6" w:rsidRDefault="00016FE1" w:rsidP="002B6227">
      <w:pPr>
        <w:ind w:left="284" w:right="283"/>
        <w:jc w:val="center"/>
        <w:rPr>
          <w:rFonts w:ascii="Gotham" w:hAnsi="Gotham"/>
          <w:b/>
          <w:sz w:val="19"/>
          <w:szCs w:val="19"/>
        </w:rPr>
      </w:pPr>
      <w:r w:rsidRPr="00565FE6">
        <w:rPr>
          <w:rFonts w:ascii="Gotham" w:hAnsi="Gotham"/>
          <w:b/>
          <w:sz w:val="19"/>
          <w:szCs w:val="19"/>
        </w:rPr>
        <w:t>TÍTULO PRIMERO</w:t>
      </w:r>
    </w:p>
    <w:p w14:paraId="3A4732F4"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DISPOSICIONES GENERALES</w:t>
      </w:r>
    </w:p>
    <w:p w14:paraId="3A4732F5" w14:textId="77777777" w:rsidR="00016FE1" w:rsidRPr="00565FE6" w:rsidRDefault="00016FE1" w:rsidP="002B6227">
      <w:pPr>
        <w:ind w:left="284" w:right="283"/>
        <w:jc w:val="both"/>
        <w:rPr>
          <w:rFonts w:ascii="Gotham" w:hAnsi="Gotham"/>
          <w:color w:val="0D0D0D"/>
          <w:sz w:val="19"/>
          <w:szCs w:val="19"/>
        </w:rPr>
      </w:pPr>
    </w:p>
    <w:p w14:paraId="3A4732F6" w14:textId="77777777" w:rsidR="00016FE1"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1</w:t>
      </w:r>
      <w:r w:rsidRPr="00565FE6">
        <w:rPr>
          <w:rFonts w:ascii="Gotham" w:hAnsi="Gotham"/>
          <w:color w:val="0D0D0D"/>
          <w:sz w:val="19"/>
          <w:szCs w:val="19"/>
        </w:rPr>
        <w:t>. Las disposiciones de este Reglamento son de orden público, de interés social y de observancia general en el Municipio De Tonalá, Jalisco y tiene por objeto:</w:t>
      </w:r>
    </w:p>
    <w:p w14:paraId="3A4732F7" w14:textId="77777777" w:rsidR="00016FE1" w:rsidRPr="00565FE6" w:rsidRDefault="00016FE1" w:rsidP="002B6227">
      <w:pPr>
        <w:ind w:left="284" w:right="283"/>
        <w:jc w:val="both"/>
        <w:rPr>
          <w:rFonts w:ascii="Gotham" w:hAnsi="Gotham"/>
          <w:color w:val="0D0D0D"/>
          <w:sz w:val="19"/>
          <w:szCs w:val="19"/>
        </w:rPr>
      </w:pPr>
    </w:p>
    <w:p w14:paraId="3A4732F8" w14:textId="77777777" w:rsidR="00016FE1" w:rsidRPr="00565FE6" w:rsidRDefault="00016FE1" w:rsidP="002B6227">
      <w:pPr>
        <w:pStyle w:val="Prrafodelista"/>
        <w:numPr>
          <w:ilvl w:val="0"/>
          <w:numId w:val="15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Establecer las bases, principios y criterios para el diseño de políticas públicas dirigidas a proteger el derecho a la igualdad y la prevención, atención, sanción y erradicación de todas las formas de discriminación, así como los mecanismos para su instrumentación, medición y ejecución;</w:t>
      </w:r>
    </w:p>
    <w:p w14:paraId="3A4732F9" w14:textId="77777777" w:rsidR="00016FE1" w:rsidRPr="00565FE6" w:rsidRDefault="00016FE1" w:rsidP="002B6227">
      <w:pPr>
        <w:pStyle w:val="Prrafodelista"/>
        <w:numPr>
          <w:ilvl w:val="0"/>
          <w:numId w:val="15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Prevenir, atender, y erradicar todas las formas de discriminación e intolerancia que se realicen en contra de cualquier persona, grupo o entidad colectiva, como obliga el artículo 1 primero de la Constitución Política de los Estados Unidos Mexicanos y los diversos instrumentos internacionales firmados por el Ejecutivo Federal y ratificados por el Senado </w:t>
      </w:r>
      <w:r w:rsidRPr="00565FE6">
        <w:rPr>
          <w:rFonts w:ascii="Gotham" w:hAnsi="Gotham"/>
          <w:color w:val="0D0D0D"/>
          <w:sz w:val="19"/>
          <w:szCs w:val="19"/>
        </w:rPr>
        <w:lastRenderedPageBreak/>
        <w:t>de la República; promover la igualdad sustantiva de oportunidades y de trato especializado, entendiendo este último como las atenciones que respondan a las particularidades y situaciones de riesgo en que se pueda encontrar la población discriminada;</w:t>
      </w:r>
    </w:p>
    <w:p w14:paraId="3A4732FA" w14:textId="77777777" w:rsidR="00016FE1" w:rsidRPr="00565FE6" w:rsidRDefault="00016FE1" w:rsidP="002B6227">
      <w:pPr>
        <w:pStyle w:val="Prrafodelista"/>
        <w:numPr>
          <w:ilvl w:val="0"/>
          <w:numId w:val="15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Coordinar la ejecución de estrategias y acciones para promover e implementar la adopción de las medidas de nivelación, medidas de inclusión y las acciones afirmativas a través de la armonización normativa sobre las obligaciones de toda autoridad pública y la ejecución de las buenas prácticas a favor de personas, grupos prioritarios y comunidades que se encuentren en riesgo de discriminación y que se identifiquen dentro del ámbito de competencia municipal, de acuerdo con los principios constitucionales y convencionales; así como establecer responsabilidades a cada instancia municipal respecto a la elaboración y cumplimiento a las políticas públicas en materia de derechos humanos; y</w:t>
      </w:r>
    </w:p>
    <w:p w14:paraId="3A4732FB" w14:textId="77777777" w:rsidR="00016FE1" w:rsidRPr="00565FE6" w:rsidRDefault="00016FE1" w:rsidP="002B6227">
      <w:pPr>
        <w:pStyle w:val="Prrafodelista"/>
        <w:numPr>
          <w:ilvl w:val="0"/>
          <w:numId w:val="150"/>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Definir los procedimientos para recibir, conocer y resolver las quejas que presenten las personas o grupos que presuntamente hayan sido objeto de discriminación.</w:t>
      </w:r>
    </w:p>
    <w:p w14:paraId="3A4732FC" w14:textId="77777777" w:rsidR="00016FE1" w:rsidRPr="00565FE6" w:rsidRDefault="00016FE1" w:rsidP="002B6227">
      <w:pPr>
        <w:ind w:left="284" w:right="283"/>
        <w:jc w:val="both"/>
        <w:rPr>
          <w:rFonts w:ascii="Gotham" w:hAnsi="Gotham"/>
          <w:color w:val="0D0D0D"/>
          <w:sz w:val="19"/>
          <w:szCs w:val="19"/>
        </w:rPr>
      </w:pPr>
    </w:p>
    <w:p w14:paraId="3A4732FD"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highlight w:val="white"/>
        </w:rPr>
        <w:t>Artículo 2.</w:t>
      </w:r>
      <w:r w:rsidRPr="00565FE6">
        <w:rPr>
          <w:rFonts w:ascii="Gotham" w:hAnsi="Gotham"/>
          <w:color w:val="0D0D0D"/>
          <w:sz w:val="19"/>
          <w:szCs w:val="19"/>
          <w:highlight w:val="white"/>
        </w:rPr>
        <w:t xml:space="preserve"> </w:t>
      </w:r>
      <w:r w:rsidRPr="00565FE6">
        <w:rPr>
          <w:rFonts w:ascii="Gotham" w:hAnsi="Gotham"/>
          <w:color w:val="0D0D0D"/>
          <w:sz w:val="19"/>
          <w:szCs w:val="19"/>
        </w:rPr>
        <w:t>Los sujetos activos en actos de discriminación pueden tener el carácter de ciudadanos o personas físicas y personas empleadas públicas o funcionarias públicas.</w:t>
      </w:r>
    </w:p>
    <w:p w14:paraId="3A4732FE" w14:textId="77777777" w:rsidR="00016FE1" w:rsidRPr="00565FE6" w:rsidRDefault="00016FE1" w:rsidP="002B6227">
      <w:pPr>
        <w:ind w:left="284" w:right="283"/>
        <w:jc w:val="both"/>
        <w:rPr>
          <w:rFonts w:ascii="Gotham" w:hAnsi="Gotham"/>
          <w:color w:val="0D0D0D"/>
          <w:sz w:val="19"/>
          <w:szCs w:val="19"/>
        </w:rPr>
      </w:pPr>
    </w:p>
    <w:p w14:paraId="3A4732FF"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3</w:t>
      </w:r>
      <w:r w:rsidRPr="00565FE6">
        <w:rPr>
          <w:rFonts w:ascii="Gotham" w:hAnsi="Gotham"/>
          <w:color w:val="0D0D0D"/>
          <w:sz w:val="19"/>
          <w:szCs w:val="19"/>
        </w:rPr>
        <w:t>. Para lo relativo a los actos de discriminación que involucren a personas servidoras públicas, ya sean empleados o funcionarios públicas, aplicará en cuanto al régimen disciplinario, el procedimiento y las competencias de los órganos que intervengan en dichos procesos, la Ley General de Responsabilidades Administrativas y la Ley de Responsabilidades Políticas y Administrativas del Estado de Jalisco.</w:t>
      </w:r>
    </w:p>
    <w:p w14:paraId="3A473300" w14:textId="77777777" w:rsidR="00016FE1" w:rsidRPr="00565FE6" w:rsidRDefault="00016FE1" w:rsidP="002B6227">
      <w:pPr>
        <w:ind w:left="284" w:right="283"/>
        <w:jc w:val="both"/>
        <w:rPr>
          <w:rFonts w:ascii="Gotham" w:hAnsi="Gotham"/>
          <w:color w:val="0D0D0D"/>
          <w:sz w:val="19"/>
          <w:szCs w:val="19"/>
        </w:rPr>
      </w:pPr>
    </w:p>
    <w:p w14:paraId="3A473301"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Para los efectos de lo dispuesto en este artículo, cuando se presenten diferentes interpretaciones en cuánto al alcance de la protección de derechos, se deberá aplicar aquella disposición que favorezca más ampliamente el goce de derechos de las personas o grupos que sean afectados por actos discriminatorios.</w:t>
      </w:r>
    </w:p>
    <w:p w14:paraId="3A473302" w14:textId="77777777" w:rsidR="00016FE1" w:rsidRPr="00565FE6" w:rsidRDefault="00016FE1" w:rsidP="002B6227">
      <w:pPr>
        <w:ind w:left="284" w:right="283"/>
        <w:jc w:val="both"/>
        <w:rPr>
          <w:rFonts w:ascii="Gotham" w:hAnsi="Gotham"/>
          <w:color w:val="0D0D0D"/>
          <w:sz w:val="19"/>
          <w:szCs w:val="19"/>
        </w:rPr>
      </w:pPr>
    </w:p>
    <w:p w14:paraId="3A473303"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w:t>
      </w:r>
      <w:r w:rsidRPr="00565FE6">
        <w:rPr>
          <w:rFonts w:ascii="Gotham" w:hAnsi="Gotham"/>
          <w:color w:val="0D0D0D"/>
          <w:sz w:val="19"/>
          <w:szCs w:val="19"/>
        </w:rPr>
        <w:t>. El presente reglamento se expide con fundamento en los párrafos primero, segundo y quinto del artículo 1 y en el artículo 115 de la Constitución Política de los Estados Unidos Mexicanos; en los artículos 1, 2 y 4 de la Ley Federal para Prevenir y Eliminar la Discriminación; en el párrafo quinto del artículo 4 de la Constitución Política del Estado de Jalisco; en los artículos 1, 2, 3, 4 y 5 de la Ley Estatal para Promover la Igualdad, Prevenir y Eliminar la Discriminación en el Estado de Jalisco; en los artículos 1 y 4 de la Ley de Responsabilidades Políticas y Administrativas del Estado de Jalisco y en los demás ordenamientos relativos aplicables.</w:t>
      </w:r>
    </w:p>
    <w:p w14:paraId="3A473304" w14:textId="77777777" w:rsidR="00016FE1" w:rsidRPr="00565FE6" w:rsidRDefault="00016FE1" w:rsidP="002B6227">
      <w:pPr>
        <w:ind w:left="284" w:right="283"/>
        <w:jc w:val="both"/>
        <w:rPr>
          <w:rFonts w:ascii="Gotham" w:hAnsi="Gotham"/>
          <w:color w:val="0D0D0D"/>
          <w:sz w:val="19"/>
          <w:szCs w:val="19"/>
        </w:rPr>
      </w:pPr>
    </w:p>
    <w:p w14:paraId="3A473305"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5</w:t>
      </w:r>
      <w:r w:rsidRPr="00565FE6">
        <w:rPr>
          <w:rFonts w:ascii="Gotham" w:hAnsi="Gotham"/>
          <w:color w:val="0D0D0D"/>
          <w:sz w:val="19"/>
          <w:szCs w:val="19"/>
        </w:rPr>
        <w:t>. Para los efectos de este ordenamiento se entenderá por:</w:t>
      </w:r>
    </w:p>
    <w:p w14:paraId="3A473306" w14:textId="77777777" w:rsidR="00016FE1" w:rsidRPr="00565FE6" w:rsidRDefault="00016FE1" w:rsidP="002B6227">
      <w:pPr>
        <w:ind w:left="284" w:right="283"/>
        <w:jc w:val="both"/>
        <w:rPr>
          <w:rFonts w:ascii="Gotham" w:hAnsi="Gotham"/>
          <w:color w:val="0D0D0D"/>
          <w:sz w:val="19"/>
          <w:szCs w:val="19"/>
        </w:rPr>
      </w:pPr>
    </w:p>
    <w:p w14:paraId="3A473307"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Accesibilidad</w:t>
      </w:r>
      <w:r w:rsidRPr="00565FE6">
        <w:rPr>
          <w:rFonts w:ascii="Gotham" w:hAnsi="Gotham"/>
          <w:color w:val="0D0D0D"/>
          <w:sz w:val="19"/>
          <w:szCs w:val="19"/>
        </w:rPr>
        <w:t>: Garantizar el acceso de todas las personas en igualdad de condiciones al ejercicio de sus derechos y al acceso a servicios, así como al entorno físico, medios de transporte, la información y comunicaciones, sistemas de tecnologías de la información e instalaciones abiertas al público o de uso público tanto en zonas urbanas como rurales a fin de que todas las personas puedan vivir de forma autónoma y ser partícipes de manera plena en todos los aspectos de la vida;</w:t>
      </w:r>
    </w:p>
    <w:p w14:paraId="3A473308"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Acto, omisión o práctica social discriminatoria</w:t>
      </w:r>
      <w:r w:rsidRPr="00565FE6">
        <w:rPr>
          <w:rFonts w:ascii="Gotham" w:hAnsi="Gotham"/>
          <w:color w:val="0D0D0D"/>
          <w:sz w:val="19"/>
          <w:szCs w:val="19"/>
        </w:rPr>
        <w:t>: aquella que obstaculice, restrinja, impida, menoscabe o anule el reconocimiento, goce o ejercicio del derecho a la vida, a la salud, a la integridad personal, a la libertad, a la seguridad, y los que inciten a un discurso de odio, así como aquella que pueda afectar a una colectividad o grupo de personas y atentan contra la dignidad humana;</w:t>
      </w:r>
    </w:p>
    <w:p w14:paraId="3A473309"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Ajustes razonables:</w:t>
      </w:r>
      <w:r w:rsidRPr="00565FE6">
        <w:rPr>
          <w:rFonts w:ascii="Gotham" w:hAnsi="Gotham"/>
          <w:color w:val="0D0D0D"/>
          <w:sz w:val="19"/>
          <w:szCs w:val="19"/>
        </w:rPr>
        <w:t xml:space="preserve"> modificaciones y adaptaciones necesarias y adecuadas en la infraestructura y los servicios, que al realizarlas no impongan una carga desproporcionada o afecten derechos de terceros, que se aplican cuando se requieran en un caso particular, </w:t>
      </w:r>
      <w:r w:rsidRPr="00565FE6">
        <w:rPr>
          <w:rFonts w:ascii="Gotham" w:hAnsi="Gotham"/>
          <w:color w:val="0D0D0D"/>
          <w:sz w:val="19"/>
          <w:szCs w:val="19"/>
        </w:rPr>
        <w:lastRenderedPageBreak/>
        <w:t>para garantizar que las personas gocen o ejerzan sus derechos en igualdad de condiciones con los demás;</w:t>
      </w:r>
    </w:p>
    <w:p w14:paraId="3A47330A"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Apoyos y salvaguardias</w:t>
      </w:r>
      <w:r w:rsidRPr="00565FE6">
        <w:rPr>
          <w:rFonts w:ascii="Gotham" w:hAnsi="Gotham"/>
          <w:color w:val="0D0D0D"/>
          <w:sz w:val="19"/>
          <w:szCs w:val="19"/>
        </w:rPr>
        <w:t>: son asistencias que se requieren en un caso y momento determinado, en consecuencia de trámites, procesos, o acciones de carácter técnico o personal, que al verse involucradas las personas y que por su condición de vida, requieran de algún ajuste o apoyo específico para facilitar su existencia y su inclusión plena y efectiva en la comunidad, evitando así el aislamiento o separación de ésta como sujeto activo o pasivo; las salvaguardias serán proporcionales al grado en que dichas medidas afecten a los derechos e intereses de las personas y deberán garantizar la salud, la dignidad, el bienestar, la autoestima y la autonomía individual y colectiva;</w:t>
      </w:r>
    </w:p>
    <w:p w14:paraId="3A47330B"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Capacitismo</w:t>
      </w:r>
      <w:r w:rsidRPr="00565FE6">
        <w:rPr>
          <w:rFonts w:ascii="Gotham" w:hAnsi="Gotham"/>
          <w:color w:val="0D0D0D"/>
          <w:sz w:val="19"/>
          <w:szCs w:val="19"/>
        </w:rPr>
        <w:t>: Es la discriminación y el prejuicio social contra las personas con discapacidad. Incluye estereotipos dañinos, conceptos erróneos, las barreras físicas y digitales y la opresión de la autonomía de la persona y parte de una lógica de capacidades y su funcionalidad;</w:t>
      </w:r>
    </w:p>
    <w:p w14:paraId="3A47330C"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Discapacidad</w:t>
      </w:r>
      <w:r w:rsidRPr="00565FE6">
        <w:rPr>
          <w:rFonts w:ascii="Gotham" w:hAnsi="Gotham"/>
          <w:color w:val="0D0D0D"/>
          <w:sz w:val="19"/>
          <w:szCs w:val="19"/>
        </w:rPr>
        <w:t>: Es un concepto que evoluciona y que resulta de la interacción entre las personas con diversidad funcional y las barreras debidas a la actitud y al entorno, que evitan su participación plena y efectiva en la sociedad, en igualdad de condiciones con las demás;</w:t>
      </w:r>
    </w:p>
    <w:p w14:paraId="3A47330D"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Dignidad</w:t>
      </w:r>
      <w:r w:rsidRPr="00565FE6">
        <w:rPr>
          <w:rFonts w:ascii="Gotham" w:hAnsi="Gotham"/>
          <w:color w:val="0D0D0D"/>
          <w:sz w:val="19"/>
          <w:szCs w:val="19"/>
        </w:rPr>
        <w:t>: Valor, principio y derecho fundamental base y condición de todas las personas. Implica la comprensión de la persona como titular y sujeta de derechos, entendiendo por esto que no solo es un precepto meramente moral sino un bien jurídico inherente al ser humano tutelado por la Constitución Política de los Estados Unidos Mexicanos y los tratados internacionales firmados y ratificados por el Estado Mexicano;</w:t>
      </w:r>
    </w:p>
    <w:p w14:paraId="3A47330E"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Discriminación</w:t>
      </w:r>
      <w:r w:rsidRPr="00565FE6">
        <w:rPr>
          <w:rFonts w:ascii="Gotham" w:hAnsi="Gotham"/>
          <w:color w:val="0D0D0D"/>
          <w:sz w:val="19"/>
          <w:szCs w:val="19"/>
        </w:rPr>
        <w:t>: Cualquier distinción, exclusión, restricción o preferencia qué en cualquier ámbito público, privado o social, por acción u omisión, con intención o sin ella, no sea objetiva, racional ni proporcional y tenga por objeto o resultado obstaculizar, impedir, restringir, limitar, anular o menoscabar el reconocimiento, goce o ejercicio de los derechos humanos y libertades en condiciones de igualdad, cuando se base en uno o más de los motivos siguientes: origen étnico o nacional, el color de la piel, la cultura, el sexo, el género, la edad, las discapacidades, la condición social, económica, de salud o jurídica, la religión, las opiniones, las preferencias sexuales, la orientación sexual, la identidad sexo-genérica, el estado civil, la situación familiar, las responsabilidades familiares, la apariencia física, las características genéticas, la condición migratoria, el embarazo, la lactancia materna, la lengua, el idioma, las ideas políticas, la pertenencia a algún grupo, los antecedentes penales o cualquier otro motivo que atente contra la dignidad humana, incluyendo la discriminación directa, indirecta y/o interseccional. También se entenderá como discriminación el ejercicio o la incitación al racismo, la diversifobia, la misoginia, el antisemitismo, la xenofobia, adultocentrismo, así como otras formas conexas de intolerancia;</w:t>
      </w:r>
    </w:p>
    <w:p w14:paraId="3A47330F"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Discriminación directa</w:t>
      </w:r>
      <w:r w:rsidRPr="00565FE6">
        <w:rPr>
          <w:rFonts w:ascii="Gotham" w:hAnsi="Gotham"/>
          <w:color w:val="0D0D0D"/>
          <w:sz w:val="19"/>
          <w:szCs w:val="19"/>
        </w:rPr>
        <w:t>: Cuando la acción u omisión discriminatoria es invocada intencionalmente y explícitamente como motivo de distinción, exclusión o restricción en cualquier ámbito público, privado o social de las personas, que afectan la dignidad, honra, reputación, privacidad, libertad, integridad física o psíquica o cualquier detrimento a sus esferas jurídicas;</w:t>
      </w:r>
    </w:p>
    <w:p w14:paraId="3A473310"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Discriminación indirecta:</w:t>
      </w:r>
      <w:r w:rsidRPr="00565FE6">
        <w:rPr>
          <w:rFonts w:ascii="Gotham" w:hAnsi="Gotham"/>
          <w:color w:val="0D0D0D"/>
          <w:sz w:val="19"/>
          <w:szCs w:val="19"/>
        </w:rPr>
        <w:t xml:space="preserve"> La que se produce, en la esfera pública, privada o social, cuando una disposición, un criterio o una práctica, aparentemente neutro implica una desventaja particular para las personas que pertenecen a un grupo históricamente discriminado, a menos que dicha disposición, criterio o práctica tenga un objetivo o justificación razonable y legítimo a la luz de los derechos humanos;</w:t>
      </w:r>
    </w:p>
    <w:p w14:paraId="3A473311"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Diversifobia</w:t>
      </w:r>
      <w:r w:rsidRPr="00565FE6">
        <w:rPr>
          <w:rFonts w:ascii="Gotham" w:hAnsi="Gotham"/>
          <w:color w:val="0D0D0D"/>
          <w:sz w:val="19"/>
          <w:szCs w:val="19"/>
        </w:rPr>
        <w:t xml:space="preserve">: Es la aversión, rechazo, invisibilización, burlas y otras formas de violencia basadas en prejuicios, estereotipos y estigmas hacia las personas de las disidencias sexuales, es decir, aquellas corporalidades, identidades, deseos y prácticas subversivas a las </w:t>
      </w:r>
      <w:r w:rsidRPr="00565FE6">
        <w:rPr>
          <w:rFonts w:ascii="Gotham" w:hAnsi="Gotham"/>
          <w:color w:val="0D0D0D"/>
          <w:sz w:val="19"/>
          <w:szCs w:val="19"/>
        </w:rPr>
        <w:lastRenderedPageBreak/>
        <w:t>hegemonías sexuales, algunos tipos de diversifobia son: homofobia, lesbofobia, bifobia y transfobia;</w:t>
      </w:r>
    </w:p>
    <w:p w14:paraId="3A473312"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El Sistema:</w:t>
      </w:r>
      <w:r w:rsidRPr="00565FE6">
        <w:rPr>
          <w:rFonts w:ascii="Gotham" w:hAnsi="Gotham"/>
          <w:color w:val="0D0D0D"/>
          <w:sz w:val="19"/>
          <w:szCs w:val="19"/>
        </w:rPr>
        <w:t xml:space="preserve"> Sistema Municipal para Prevenir, Atender y Eliminar la Discriminación;</w:t>
      </w:r>
    </w:p>
    <w:p w14:paraId="3A473313"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sz w:val="19"/>
          <w:szCs w:val="19"/>
        </w:rPr>
        <w:t>Género:</w:t>
      </w:r>
      <w:r w:rsidRPr="00565FE6">
        <w:rPr>
          <w:rFonts w:ascii="Gotham" w:hAnsi="Gotham"/>
          <w:sz w:val="19"/>
          <w:szCs w:val="19"/>
        </w:rPr>
        <w:t xml:space="preserve"> Se refiere al a las características que social, histórica, cultural, económica, política y geográficamente se atribuyen a los seres humanos de cada sexo, entendido este desde un punto de vista sociocultural en lugar de exclusivamente biológico.</w:t>
      </w:r>
    </w:p>
    <w:p w14:paraId="3A473314"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Grupos en situación de vulnerabilidad:</w:t>
      </w:r>
      <w:r w:rsidRPr="00565FE6">
        <w:rPr>
          <w:rFonts w:ascii="Gotham" w:hAnsi="Gotham"/>
          <w:color w:val="0D0D0D"/>
          <w:sz w:val="19"/>
          <w:szCs w:val="19"/>
        </w:rPr>
        <w:t xml:space="preserve"> Son aquellas personas y grupos cuyas condiciones físicas, intelectuales, sensoriales, mentales, históricas, económicas, sociales, religiosas o culturales, entre otras, son tomadas como motivos discriminatorios que hacen probable la existencia de violaciones a sus derechos humanos; focalizados en particular a pueblos originarios y comunidades indígenas, mujeres, personas en contexto de movilidad humana, personas con discapacidad, niñas, niños, adolescentes, juventudes, personas mayores, personas de la diversidad sexual, personas portadoras de VIH o sida, personas en situación de calle, personas privadas de su libertad, personas desaparecidas y sus familiares, defensoras de derechos humanos, periodistas o cualquier otra condición o actividad que las pone en riesgo de atentados contra su dignidad;</w:t>
      </w:r>
    </w:p>
    <w:p w14:paraId="3A473315"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Grupos Prioritarios:</w:t>
      </w:r>
      <w:r w:rsidRPr="00565FE6">
        <w:rPr>
          <w:rFonts w:ascii="Gotham" w:hAnsi="Gotham"/>
          <w:color w:val="0D0D0D"/>
          <w:sz w:val="19"/>
          <w:szCs w:val="19"/>
        </w:rPr>
        <w:t xml:space="preserve"> Son aquellos grupos de personas a las que se les debe garantizar una atención especializada para el pleno ejercicio de sus derechos humanos que debido a la desigualdad estructural que viven, enfrentan discriminación, exclusión, maltrato, abuso, violencia y mayores obstáculos para el pleno ejercicio de sus derechos y libertades fundamentales;</w:t>
      </w:r>
    </w:p>
    <w:p w14:paraId="3A473316"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Inclusión</w:t>
      </w:r>
      <w:r w:rsidRPr="00565FE6">
        <w:rPr>
          <w:rFonts w:ascii="Gotham" w:hAnsi="Gotham"/>
          <w:color w:val="0D0D0D"/>
          <w:sz w:val="19"/>
          <w:szCs w:val="19"/>
        </w:rPr>
        <w:t>: es un enfoque y actitud que responde positivamente a la diversidad de las características o condiciones de grupos y de personas y a las diferencias individuales, entendiendo que la diversidad no es un problema, sino una oportunidad para el enriquecimiento de la sociedad, a través de la activa participación en la vida familiar, en la educación, en el trabajo y en general en todos los procesos sociales, económicos, culturales y en las comunidades;</w:t>
      </w:r>
    </w:p>
    <w:p w14:paraId="3A473317"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Intolerancia:</w:t>
      </w:r>
      <w:r w:rsidRPr="00565FE6">
        <w:rPr>
          <w:rFonts w:ascii="Gotham" w:hAnsi="Gotham"/>
          <w:color w:val="0D0D0D"/>
          <w:sz w:val="19"/>
          <w:szCs w:val="19"/>
        </w:rPr>
        <w:t xml:space="preserve"> Acto o conjunto de actos o manifestaciones que expresan el irrespeto, rechazo o desprecio de la dignidad, características, convicciones u opiniones de los seres humanos por ser diferentes o contrarias;</w:t>
      </w:r>
    </w:p>
    <w:p w14:paraId="3A473318"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Igualdad de trato y de oportunidades:</w:t>
      </w:r>
      <w:r w:rsidRPr="00565FE6">
        <w:rPr>
          <w:rFonts w:ascii="Gotham" w:hAnsi="Gotham"/>
          <w:color w:val="0D0D0D"/>
          <w:sz w:val="19"/>
          <w:szCs w:val="19"/>
        </w:rPr>
        <w:t xml:space="preserve"> es el derecho de toda persona, grupo o entidad colectiva, a ser tratada de manera homogénea, sin exclusión, distinción o restricción arbitrarias, con el fin de que sea capaz de aprovechar plenamente sus derechos y libertades fundamentales y el libre acceso a las oportunidades disponibles;</w:t>
      </w:r>
    </w:p>
    <w:p w14:paraId="3A473319"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Ley Estatal:</w:t>
      </w:r>
      <w:r w:rsidRPr="00565FE6">
        <w:rPr>
          <w:rFonts w:ascii="Gotham" w:hAnsi="Gotham"/>
          <w:color w:val="0D0D0D"/>
          <w:sz w:val="19"/>
          <w:szCs w:val="19"/>
        </w:rPr>
        <w:t xml:space="preserve"> la Ley para Promover la Igualdad, Prevenir y Eliminar la Discriminación en el Estado de Jalisco;</w:t>
      </w:r>
    </w:p>
    <w:p w14:paraId="3A47331A"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 xml:space="preserve">Ley Federal: </w:t>
      </w:r>
      <w:r w:rsidRPr="00565FE6">
        <w:rPr>
          <w:rFonts w:ascii="Gotham" w:hAnsi="Gotham"/>
          <w:color w:val="0D0D0D"/>
          <w:sz w:val="19"/>
          <w:szCs w:val="19"/>
        </w:rPr>
        <w:t>la Ley Federal para Prevenir y Eliminar la Discriminación;</w:t>
      </w:r>
    </w:p>
    <w:p w14:paraId="3A47331B"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Municipio:</w:t>
      </w:r>
      <w:r w:rsidRPr="00565FE6">
        <w:rPr>
          <w:rFonts w:ascii="Gotham" w:hAnsi="Gotham"/>
          <w:color w:val="0D0D0D"/>
          <w:sz w:val="19"/>
          <w:szCs w:val="19"/>
        </w:rPr>
        <w:t xml:space="preserve"> el Municipio de Tonalá, Jalisco;</w:t>
      </w:r>
    </w:p>
    <w:p w14:paraId="3A47331C"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La Población LGBT+:</w:t>
      </w:r>
      <w:r w:rsidRPr="00565FE6">
        <w:rPr>
          <w:rFonts w:ascii="Gotham" w:hAnsi="Gotham"/>
          <w:color w:val="0D0D0D"/>
          <w:sz w:val="19"/>
          <w:szCs w:val="19"/>
        </w:rPr>
        <w:t xml:space="preserve"> Grupo de atención prioritaria integrado por personas Lesbianas, Gays, Bisexuales, Trans, Intersexuales, Queer, Cisgénero o aquellas con orientaciones, géneros, cuerpos, identidades, expresiones y prácticas que no se auto adscriben a la heteronormatividad o cisnormatividad;;</w:t>
      </w:r>
    </w:p>
    <w:p w14:paraId="3A47331D"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Progresividad de derechos:</w:t>
      </w:r>
      <w:r w:rsidRPr="00565FE6">
        <w:rPr>
          <w:rFonts w:ascii="Gotham" w:hAnsi="Gotham"/>
          <w:color w:val="0D0D0D"/>
          <w:sz w:val="19"/>
          <w:szCs w:val="19"/>
        </w:rPr>
        <w:t xml:space="preserve"> el principio de progresividad de los derechos humanos, se refiere a que la efectividad de los derechos, se logra a través de un proceso que supone definir metas, a corto, mediano y largo plazo que aseguren que el disfrute de los derechos siempre debe mejorar;</w:t>
      </w:r>
    </w:p>
    <w:p w14:paraId="3A47331E"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lastRenderedPageBreak/>
        <w:t>Respeto:</w:t>
      </w:r>
      <w:r w:rsidRPr="00565FE6">
        <w:rPr>
          <w:rFonts w:ascii="Gotham" w:hAnsi="Gotham"/>
          <w:color w:val="0D0D0D"/>
          <w:sz w:val="19"/>
          <w:szCs w:val="19"/>
        </w:rPr>
        <w:t xml:space="preserve"> actitud de reconocimiento de los derechos y la dignidad de una persona, grupo o entidad colectiva, ya sea de manera inherente o también relacionado con una habilidad o comportamiento;</w:t>
      </w:r>
    </w:p>
    <w:p w14:paraId="3A47331F"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Tipos de violencia:</w:t>
      </w:r>
      <w:r w:rsidRPr="00565FE6">
        <w:rPr>
          <w:rFonts w:ascii="Gotham" w:hAnsi="Gotham"/>
          <w:color w:val="0D0D0D"/>
          <w:sz w:val="19"/>
          <w:szCs w:val="19"/>
        </w:rPr>
        <w:t xml:space="preserve"> Las violencias se pueden ejercer en los siguientes; Tipos: Física, psicológica, patrimonial, sexual, económica, y género; y en las modalidades: familiar, institucional, laboral, docente, en la comunidad, feminicida, vicaria, política, obstétrica, digital entre otras;</w:t>
      </w:r>
    </w:p>
    <w:p w14:paraId="3A473320"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Violencia:</w:t>
      </w:r>
      <w:r w:rsidRPr="00565FE6">
        <w:rPr>
          <w:rFonts w:ascii="Gotham" w:hAnsi="Gotham"/>
          <w:color w:val="0D0D0D"/>
          <w:sz w:val="19"/>
          <w:szCs w:val="19"/>
        </w:rPr>
        <w:t xml:space="preserve"> Actos u omisiones que dañen la dignidad humana, la integridad y la libertad de las personas, a través del uso deliberado del poder o de la fuerza, ya sea en grado de amenaza efectivo, contra, otra persona o un grupo o población, que cause o tenga probabilidades de causar lesiones, daños psicológicos, trastornos del desarrollo, privaciones o muerte;</w:t>
      </w:r>
    </w:p>
    <w:p w14:paraId="3A473321" w14:textId="77777777" w:rsidR="00016FE1" w:rsidRPr="00565FE6" w:rsidRDefault="00016FE1" w:rsidP="002B6227">
      <w:pPr>
        <w:pStyle w:val="Prrafodelista"/>
        <w:numPr>
          <w:ilvl w:val="0"/>
          <w:numId w:val="140"/>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Violencia Estructural:</w:t>
      </w:r>
      <w:r w:rsidRPr="00565FE6">
        <w:rPr>
          <w:rFonts w:ascii="Gotham" w:hAnsi="Gotham"/>
          <w:color w:val="0D0D0D"/>
          <w:sz w:val="19"/>
          <w:szCs w:val="19"/>
        </w:rPr>
        <w:t xml:space="preserve"> Se refiere a las estructuras institucionales y sociales, como la economía, política, legal, normas sociales y cultural, que generan o provocan agravios que impiden el desarrollo y el ejercicio pleno de los derechos y de las capacidades de las personas, la comunidad o la sociedad; es el resultado de dichos procesos, es decir, sin necesidad de formas de violencia directa en dónde el reparto, acceso o posibilidad de uso de los recursos es resuelto sistemáticamente a favor de algunas personas y en perjuicio de las demás; y</w:t>
      </w:r>
    </w:p>
    <w:p w14:paraId="3A473322" w14:textId="77777777" w:rsidR="00016FE1" w:rsidRPr="00565FE6" w:rsidRDefault="00016FE1" w:rsidP="002B6227">
      <w:pPr>
        <w:pStyle w:val="Prrafodelista"/>
        <w:numPr>
          <w:ilvl w:val="0"/>
          <w:numId w:val="140"/>
        </w:numPr>
        <w:tabs>
          <w:tab w:val="left" w:pos="1134"/>
        </w:tabs>
        <w:ind w:left="1134" w:right="283" w:hanging="850"/>
        <w:contextualSpacing w:val="0"/>
        <w:jc w:val="both"/>
        <w:rPr>
          <w:rFonts w:ascii="Gotham" w:hAnsi="Gotham"/>
          <w:color w:val="0D0D0D"/>
          <w:sz w:val="19"/>
          <w:szCs w:val="19"/>
        </w:rPr>
      </w:pPr>
      <w:r w:rsidRPr="00565FE6">
        <w:rPr>
          <w:rFonts w:ascii="Gotham" w:hAnsi="Gotham"/>
          <w:b/>
          <w:color w:val="0D0D0D"/>
          <w:sz w:val="19"/>
          <w:szCs w:val="19"/>
        </w:rPr>
        <w:t>Xenofobia:</w:t>
      </w:r>
      <w:r w:rsidRPr="00565FE6">
        <w:rPr>
          <w:rFonts w:ascii="Gotham" w:hAnsi="Gotham"/>
          <w:color w:val="0D0D0D"/>
          <w:sz w:val="19"/>
          <w:szCs w:val="19"/>
        </w:rPr>
        <w:t xml:space="preserve"> conjunto de actitudes, prejuicios y comportamientos que entrañan el rechazo, la exclusión y, a menudo, la denigración de personas por ser percibidas como extranjeras o ajenas a la comunidad, a la sociedad o a la identidad nacional.</w:t>
      </w:r>
    </w:p>
    <w:p w14:paraId="3A473323" w14:textId="77777777" w:rsidR="00016FE1" w:rsidRPr="00565FE6" w:rsidRDefault="00016FE1" w:rsidP="002B6227">
      <w:pPr>
        <w:ind w:left="284" w:right="283"/>
        <w:jc w:val="both"/>
        <w:rPr>
          <w:rFonts w:ascii="Gotham" w:hAnsi="Gotham"/>
          <w:color w:val="0D0D0D"/>
          <w:sz w:val="19"/>
          <w:szCs w:val="19"/>
        </w:rPr>
      </w:pPr>
    </w:p>
    <w:p w14:paraId="3A473324"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6</w:t>
      </w:r>
      <w:r w:rsidRPr="00565FE6">
        <w:rPr>
          <w:rFonts w:ascii="Gotham" w:hAnsi="Gotham"/>
          <w:color w:val="0D0D0D"/>
          <w:sz w:val="19"/>
          <w:szCs w:val="19"/>
        </w:rPr>
        <w:t>. En el Municipio queda prohibido realizar acciones u omisiones, que con o sin intención, tengan por objeto anular, obstruir, menoscabar o impedir el goce o libre ejercicio de los derechos fundamentales de toda persona, grupo social o comunidad mediante cualquier forma de discriminación imputable a:</w:t>
      </w:r>
    </w:p>
    <w:p w14:paraId="3A473325" w14:textId="77777777" w:rsidR="00016FE1" w:rsidRPr="00565FE6" w:rsidRDefault="00016FE1" w:rsidP="002B6227">
      <w:pPr>
        <w:ind w:left="284" w:right="283"/>
        <w:jc w:val="both"/>
        <w:rPr>
          <w:rFonts w:ascii="Gotham" w:hAnsi="Gotham"/>
          <w:color w:val="0D0D0D"/>
          <w:sz w:val="19"/>
          <w:szCs w:val="19"/>
        </w:rPr>
      </w:pPr>
    </w:p>
    <w:p w14:paraId="3A473326" w14:textId="77777777" w:rsidR="00016FE1" w:rsidRPr="001160E7" w:rsidRDefault="00016FE1" w:rsidP="002B6227">
      <w:pPr>
        <w:pStyle w:val="Prrafodelista"/>
        <w:numPr>
          <w:ilvl w:val="0"/>
          <w:numId w:val="136"/>
        </w:numPr>
        <w:tabs>
          <w:tab w:val="left" w:pos="1134"/>
        </w:tabs>
        <w:spacing w:after="120"/>
        <w:ind w:left="1134" w:right="283" w:hanging="850"/>
        <w:contextualSpacing w:val="0"/>
        <w:jc w:val="both"/>
        <w:rPr>
          <w:rFonts w:ascii="Gotham" w:hAnsi="Gotham"/>
          <w:color w:val="0D0D0D"/>
          <w:sz w:val="19"/>
          <w:szCs w:val="19"/>
        </w:rPr>
      </w:pPr>
      <w:r w:rsidRPr="001160E7">
        <w:rPr>
          <w:rFonts w:ascii="Gotham" w:hAnsi="Gotham"/>
          <w:color w:val="0D0D0D"/>
          <w:sz w:val="19"/>
          <w:szCs w:val="19"/>
        </w:rPr>
        <w:t>Personas físicas o jurídicas que exploten un giro o una concesión en el Municipio; y</w:t>
      </w:r>
    </w:p>
    <w:p w14:paraId="3A473327" w14:textId="77777777" w:rsidR="00016FE1" w:rsidRPr="00565FE6" w:rsidRDefault="00016FE1" w:rsidP="002B6227">
      <w:pPr>
        <w:pStyle w:val="Prrafodelista"/>
        <w:numPr>
          <w:ilvl w:val="0"/>
          <w:numId w:val="136"/>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Autoridades municipales.</w:t>
      </w:r>
    </w:p>
    <w:p w14:paraId="3A473328" w14:textId="77777777" w:rsidR="00016FE1" w:rsidRPr="00565FE6" w:rsidRDefault="00016FE1" w:rsidP="002B6227">
      <w:pPr>
        <w:ind w:left="284" w:right="283"/>
        <w:jc w:val="both"/>
        <w:rPr>
          <w:rFonts w:ascii="Gotham" w:hAnsi="Gotham"/>
          <w:color w:val="0D0D0D"/>
          <w:sz w:val="19"/>
          <w:szCs w:val="19"/>
        </w:rPr>
      </w:pPr>
    </w:p>
    <w:p w14:paraId="3A473329"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7.</w:t>
      </w:r>
      <w:r w:rsidRPr="00565FE6">
        <w:rPr>
          <w:rFonts w:ascii="Gotham" w:hAnsi="Gotham"/>
          <w:color w:val="0D0D0D"/>
          <w:sz w:val="19"/>
          <w:szCs w:val="19"/>
        </w:rPr>
        <w:t xml:space="preserve"> Las autoridades competentes iniciarán sus actuaciones a petición de parte, dentro del ámbito de su competencia, sin embargo, también podrán actuar de oficio en aquellos actos, omisiones o prácticas sociales discriminatorias graves, que sus titulares así lo determinen o que la Dirección de Derechos Humanos y Grupos Prioritarios, así se los haga saber.</w:t>
      </w:r>
    </w:p>
    <w:p w14:paraId="3A47332A" w14:textId="77777777" w:rsidR="00016FE1" w:rsidRPr="00565FE6" w:rsidRDefault="00016FE1" w:rsidP="002B6227">
      <w:pPr>
        <w:ind w:left="284" w:right="283"/>
        <w:jc w:val="both"/>
        <w:rPr>
          <w:rFonts w:ascii="Gotham" w:hAnsi="Gotham"/>
          <w:color w:val="0D0D0D"/>
          <w:sz w:val="19"/>
          <w:szCs w:val="19"/>
        </w:rPr>
      </w:pPr>
    </w:p>
    <w:p w14:paraId="3A47332B"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8.</w:t>
      </w:r>
      <w:r w:rsidRPr="00565FE6">
        <w:rPr>
          <w:rFonts w:ascii="Gotham" w:hAnsi="Gotham"/>
          <w:color w:val="0D0D0D"/>
          <w:sz w:val="19"/>
          <w:szCs w:val="19"/>
        </w:rPr>
        <w:t xml:space="preserve"> En la interpretación y aplicación del presente Reglamento se deberá tomar en cuenta lo siguiente: </w:t>
      </w:r>
    </w:p>
    <w:p w14:paraId="3A47332C" w14:textId="77777777" w:rsidR="00016FE1" w:rsidRPr="00565FE6" w:rsidRDefault="00016FE1" w:rsidP="002B6227">
      <w:pPr>
        <w:ind w:left="284" w:right="283"/>
        <w:jc w:val="both"/>
        <w:rPr>
          <w:rFonts w:ascii="Gotham" w:hAnsi="Gotham"/>
          <w:color w:val="0D0D0D"/>
          <w:sz w:val="19"/>
          <w:szCs w:val="19"/>
        </w:rPr>
      </w:pPr>
    </w:p>
    <w:p w14:paraId="3A47332D" w14:textId="77777777" w:rsidR="00016FE1" w:rsidRPr="00565FE6" w:rsidRDefault="00016FE1" w:rsidP="002B6227">
      <w:pPr>
        <w:pStyle w:val="Prrafodelista"/>
        <w:numPr>
          <w:ilvl w:val="0"/>
          <w:numId w:val="137"/>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Los principios de protección, universalidad, indivisibilidad, permanencia, interdependencia, progresividad y expansión de los derechos humanos y libertades fundamentales; y</w:t>
      </w:r>
    </w:p>
    <w:p w14:paraId="3A47332E" w14:textId="77777777" w:rsidR="00016FE1" w:rsidRPr="00565FE6" w:rsidRDefault="00016FE1" w:rsidP="002B6227">
      <w:pPr>
        <w:pStyle w:val="Prrafodelista"/>
        <w:numPr>
          <w:ilvl w:val="0"/>
          <w:numId w:val="137"/>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Los ordenamientos e instrumentos sobre la materia, así como la jurisprudencia emitida por los órganos jurisdiccionales internacionales o nacionales, las recomendaciones y resoluciones adoptadas por los organismos multilaterales y regionales y demás principios y legislación aplicable que establezcan un trato más favorable para las personas, grupos o comunidades en situación de discriminación.</w:t>
      </w:r>
    </w:p>
    <w:p w14:paraId="3A47332F" w14:textId="77777777" w:rsidR="00016FE1" w:rsidRPr="00565FE6" w:rsidRDefault="00016FE1" w:rsidP="002B6227">
      <w:pPr>
        <w:ind w:left="284" w:right="283"/>
        <w:jc w:val="both"/>
        <w:rPr>
          <w:rFonts w:ascii="Gotham" w:hAnsi="Gotham"/>
          <w:color w:val="0D0D0D"/>
          <w:sz w:val="19"/>
          <w:szCs w:val="19"/>
        </w:rPr>
      </w:pPr>
    </w:p>
    <w:p w14:paraId="3A473330"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Cuando se presenten diferentes interpretaciones de la legislación aplicable en el Estado de Jalisco y sus municipios, se deberá preferir aquella que brinde mayor protección a las personas o grupo social afectados por conductas discriminatorias o actos por motivos de discriminación.</w:t>
      </w:r>
    </w:p>
    <w:p w14:paraId="3A473331" w14:textId="77777777" w:rsidR="00016FE1" w:rsidRPr="00565FE6" w:rsidRDefault="00016FE1" w:rsidP="002B6227">
      <w:pPr>
        <w:ind w:left="284" w:right="283"/>
        <w:jc w:val="both"/>
        <w:rPr>
          <w:rFonts w:ascii="Gotham" w:hAnsi="Gotham"/>
          <w:color w:val="0D0D0D"/>
          <w:sz w:val="19"/>
          <w:szCs w:val="19"/>
        </w:rPr>
      </w:pPr>
    </w:p>
    <w:p w14:paraId="3A473332"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9</w:t>
      </w:r>
      <w:r w:rsidRPr="00565FE6">
        <w:rPr>
          <w:rFonts w:ascii="Gotham" w:hAnsi="Gotham"/>
          <w:color w:val="0D0D0D"/>
          <w:sz w:val="19"/>
          <w:szCs w:val="19"/>
        </w:rPr>
        <w:t>. Se consideran conductas discriminatorias para toda persona, de manera enunciativa más no limitativa, aquellas que por motivos de discriminación produzcan el efecto de:</w:t>
      </w:r>
    </w:p>
    <w:p w14:paraId="3A473333" w14:textId="77777777" w:rsidR="00016FE1" w:rsidRPr="00565FE6" w:rsidRDefault="00016FE1" w:rsidP="002B6227">
      <w:pPr>
        <w:ind w:left="284" w:right="283"/>
        <w:jc w:val="both"/>
        <w:rPr>
          <w:rFonts w:ascii="Gotham" w:hAnsi="Gotham"/>
          <w:color w:val="0D0D0D"/>
          <w:sz w:val="19"/>
          <w:szCs w:val="19"/>
        </w:rPr>
      </w:pPr>
    </w:p>
    <w:p w14:paraId="3A473334"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Limitar o impedir el acceso o permanencia a la educación pública o privada, así como becas e incentivos en los centros educativos, en los términos de las disposiciones aplicables, por razones de origen étnico o social, nacionalidad, características genéticas, discapacidades, condición social o económica, condiciones de salud, embarazo, lengua, opiniones, orientación sexual, género, estado civil, edad, apariencia física, ocupación o actividad, o cualquier otro supuesto en el que se encuentre el alumno o alguno de sus ascendientes o descendientes directos;</w:t>
      </w:r>
    </w:p>
    <w:p w14:paraId="3A473335"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Incorporar contenidos, metodología o instrumentos pedagógicos en los que se asignen papeles o difundan representaciones, imágenes o situaciones de inferioridad contrarios a los principios de equidad, igualdad, inclusión, justicia social, respeto, no violencia y no discriminación;</w:t>
      </w:r>
    </w:p>
    <w:p w14:paraId="3A473336"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o restringir las oportunidades de elección, acceso, permanencia, promoción y ascenso en el empleo o establecer requisitos para el mismo, que atenten contra los derechos y libertades fundamentales de las personas;</w:t>
      </w:r>
    </w:p>
    <w:p w14:paraId="3A473337"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restringir o establecer diferencias en la remuneración, las prestaciones, los créditos y las condiciones laborales para trabajo igual dentro del mismo centro laboral;</w:t>
      </w:r>
    </w:p>
    <w:p w14:paraId="3A473338"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o limitar el acceso a los programas de capacitación y de desarrollo humano o social, así como de formación profesional;</w:t>
      </w:r>
    </w:p>
    <w:p w14:paraId="3A473339"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Rescindir el contrato de trabajo por alguna de las causas discriminatorias señaladas en el presente ordenamiento;</w:t>
      </w:r>
    </w:p>
    <w:p w14:paraId="3A47333A"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Negar o impedir el acceso a la seguridad social y sus beneficios, a los servidores públicos del Estado y municipales, y sus beneficiarios; </w:t>
      </w:r>
    </w:p>
    <w:p w14:paraId="3A47333B"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Ocultar, limitar o negar la información relativa a los derechos sexuales y reproductivos o impedir el libre ejercicio del derecho a decidir el número y espaciamiento de los hijos;</w:t>
      </w:r>
    </w:p>
    <w:p w14:paraId="3A47333C"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o condicionar el acceso a los servicios de salud y de atención médica;</w:t>
      </w:r>
    </w:p>
    <w:p w14:paraId="3A47333D"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Restringir o negar la información al interesado sobre su estado de salud, impedir la participación en las decisiones respecto del tratamiento médico o terapéutico, no manejar el historial médico en forma confidencial;</w:t>
      </w:r>
    </w:p>
    <w:p w14:paraId="3A47333E"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Impedir o evitar que como usuarios de servicios de salud se conozcan los procedimientos establecidos por las instituciones encargadas, para el cuidado y atención de los pacientes;</w:t>
      </w:r>
    </w:p>
    <w:p w14:paraId="3A47333F"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Obligar a un tratamiento médico, psicológico o psiquiátrico, salvo los casos previstos por las disposiciones legales aplicables;</w:t>
      </w:r>
    </w:p>
    <w:p w14:paraId="3A473340"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el derecho a la convivencia, salvo resolución judicial;</w:t>
      </w:r>
    </w:p>
    <w:p w14:paraId="3A473341"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Impedir la participación en condiciones equitativas en asociaciones civiles, políticas o de cualquier índole;</w:t>
      </w:r>
    </w:p>
    <w:p w14:paraId="3A473342"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Negar, limitar o condicionar el derecho de participación política, al sufragio activo o pasivo, la elegibilidad y el acceso a todos los cargos públicos, salvo los casos previstos en la legislación aplicables, así como la participación en el diseño y ejecución de políticas y programas de gobierno, en los casos y bajo los términos que establezcan las disposiciones aplicables; </w:t>
      </w:r>
    </w:p>
    <w:p w14:paraId="3A473343"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Impedir o limitar el ejercicio de los derechos de propiedad, administración y disposición de bienes, salvo los casos que la legislación prevé por resolución judicial;</w:t>
      </w:r>
      <w:r w:rsidR="008402EC">
        <w:rPr>
          <w:rFonts w:ascii="Gotham" w:hAnsi="Gotham"/>
          <w:color w:val="0D0D0D"/>
          <w:sz w:val="19"/>
          <w:szCs w:val="19"/>
        </w:rPr>
        <w:t xml:space="preserve"> </w:t>
      </w:r>
    </w:p>
    <w:p w14:paraId="3A473344"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Impedir, negar, retardar, obstaculizar o restringir el derecho de acceso a la procuración e impartición de justicia; </w:t>
      </w:r>
    </w:p>
    <w:p w14:paraId="3A473345"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lastRenderedPageBreak/>
        <w:t>Impedir, negar o restringir el derecho a ser oídos y vencidos en procedimientos administrativos o judiciales, a la asistencia por parte de abogados, de especialistas, de intérpretes, traductores; así como el derecho de los niños y las niñas a ser escuchados;</w:t>
      </w:r>
    </w:p>
    <w:p w14:paraId="3A473346"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Aplicar o permitir usos o costumbres que atenten contra los derechos y libertades fundamentales de las personas;</w:t>
      </w:r>
    </w:p>
    <w:p w14:paraId="3A473347"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Obstaculizar, restringir o impedir la libre elección de personas con quien genere vínculos afectivos, salvo que se afecte el interés superior de la niñez, y por resolución judicial;</w:t>
      </w:r>
    </w:p>
    <w:p w14:paraId="3A473348"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Ofender, ridiculizar o promover el odio y la violencia a través de mensajes o imágenes, medios de comunicación masiva o bajo cualquier otra forma;</w:t>
      </w:r>
    </w:p>
    <w:p w14:paraId="3A473349"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Limitar o impedir el ejercicio de la libre expresión de ideas, creencias, conciencia o religión, o de prácticas o costumbres, siempre que éstas no atenten contra el orden público o derechos a terceros;</w:t>
      </w:r>
    </w:p>
    <w:p w14:paraId="3A47334A"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asistencia religiosa a personas privadas de la libertad, internadas en instituciones de salud o asistencia o que presten servicio en las fuerzas armadas;</w:t>
      </w:r>
    </w:p>
    <w:p w14:paraId="3A47334B"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Obstaculizar las condiciones mínimas necesarias para el crecimiento y desarrollo integral de las personas en condiciones de vulnerabilidad;</w:t>
      </w:r>
    </w:p>
    <w:p w14:paraId="3A47334C"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Limitar, obstaculizar o impedir el derecho a la alimentación, la vivienda, la recreación y los servicios de atención médica adecuados para quienes conforme a la ley tengan derecho a ello;</w:t>
      </w:r>
    </w:p>
    <w:p w14:paraId="3A47334D"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u obstaculizar el acceso y la permanencia de cualquier persona, o los ajustes razonables a espacios, instalaciones y servicios públicos, o a institución o establecimiento privado que preste u ofrezca servicios o productos al público;</w:t>
      </w:r>
    </w:p>
    <w:p w14:paraId="3A47334E"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Limitar, obstaculizar o negar el libre desplazamiento de cualquier persona, salvo los casos previstos por la legislación aplicable;</w:t>
      </w:r>
    </w:p>
    <w:p w14:paraId="3A47334F"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Explotar de cualquier manera o dar un trato abusivo o degradante a cualquier persona;</w:t>
      </w:r>
    </w:p>
    <w:p w14:paraId="3A473350"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 Restringir, obstaculizar o impedir el derecho a la participación en actividades académicas, deportivas, recreativas o culturales, salvo que el solicitante incumpla los requisitos previstos por las leyes y normatividad de la materia para acceder a dichas actividades;</w:t>
      </w:r>
    </w:p>
    <w:p w14:paraId="3A473351"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obstaculizar o restringir el reconocimiento, goce o ejercicio de los derechos colectivos de los pueblos indígenas u originarios y de sus integrantes, el uso de sus lenguas, idiomas, costumbres, la práctica de sus sistemas normativos, la reproducción de su cultura y vida comunitaria en contravención a lo dispuesto por el artículo 2 de la Constitución Política de los Estados Unidos Mexicanos y de los convenios y tratados firmados y ratificados por los Estados Unidos Mexicanos;</w:t>
      </w:r>
    </w:p>
    <w:p w14:paraId="3A473352"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Incitar a la persecución, el rechazo, la burla, la difamación, la injuria, el odio y la violencia, o incurrir en el maltrato físico, psicológico, patrimonial o económico por cualquier motivo de discriminación;</w:t>
      </w:r>
    </w:p>
    <w:p w14:paraId="3A473353"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Estigmatizar o negar derechos a personas con adicciones, que tengan alguna discapacidad, que han estado o se encuentran en centros de reclusión o en instituciones de atención a personas con discapacidad mental o psicosocial, que asuman públicamente su preferencia sexual, o que sean portadores del virus de inmunodeficiencia humana;</w:t>
      </w:r>
    </w:p>
    <w:p w14:paraId="3A473354"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Ejercer violencia institucional en contra de personas, grupos o comunidades;</w:t>
      </w:r>
    </w:p>
    <w:p w14:paraId="3A473355"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Limitar o negar el otorgamiento de concesiones, permisos o autorizaciones para el aprovechamiento, administración o usufructo de recursos naturales, una vez satisfechos los requisitos establecidos en la legislación aplicable;</w:t>
      </w:r>
    </w:p>
    <w:p w14:paraId="3A473356"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lastRenderedPageBreak/>
        <w:t>Implementar o ejecutar políticas públicas, programas u otras acciones de gobierno que tengan un impacto desventajoso en los derechos y libertades fundamentales de las personas;</w:t>
      </w:r>
    </w:p>
    <w:p w14:paraId="3A473357"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Negar o restringir el derecho a amamantar al menor en cualquier espacio público;</w:t>
      </w:r>
    </w:p>
    <w:p w14:paraId="3A473358" w14:textId="77777777" w:rsidR="00016FE1" w:rsidRPr="00565FE6" w:rsidRDefault="00016FE1" w:rsidP="002B6227">
      <w:pPr>
        <w:pStyle w:val="Prrafodelista"/>
        <w:numPr>
          <w:ilvl w:val="0"/>
          <w:numId w:val="13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Restringir, por cualquier motivo, el acceso a la información pública o gubernamental, salvo aquellos supuestos que sean establecidos por las disposiciones legales aplicables; y</w:t>
      </w:r>
    </w:p>
    <w:p w14:paraId="3A473359" w14:textId="77777777" w:rsidR="00016FE1" w:rsidRPr="00565FE6" w:rsidRDefault="00016FE1" w:rsidP="002B6227">
      <w:pPr>
        <w:pStyle w:val="Prrafodelista"/>
        <w:numPr>
          <w:ilvl w:val="0"/>
          <w:numId w:val="138"/>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En general, incurrir en cualquier otro acto u omisión discriminatoria que tenga por objeto anular, impedir o menoscabar los derechos, las libertades, la igualdad de oportunidades y de trato de las personas, o que atenten contra su dignidad</w:t>
      </w:r>
    </w:p>
    <w:p w14:paraId="3A47335A" w14:textId="77777777" w:rsidR="00016FE1" w:rsidRPr="00565FE6" w:rsidRDefault="00016FE1" w:rsidP="002B6227">
      <w:pPr>
        <w:pStyle w:val="Prrafodelista"/>
        <w:ind w:left="284" w:right="283"/>
        <w:contextualSpacing w:val="0"/>
        <w:jc w:val="both"/>
        <w:rPr>
          <w:rFonts w:ascii="Gotham" w:hAnsi="Gotham"/>
          <w:color w:val="0D0D0D"/>
          <w:sz w:val="19"/>
          <w:szCs w:val="19"/>
        </w:rPr>
      </w:pPr>
    </w:p>
    <w:p w14:paraId="3A47335B" w14:textId="77777777" w:rsidR="00016FE1"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10</w:t>
      </w:r>
      <w:r w:rsidRPr="00565FE6">
        <w:rPr>
          <w:rFonts w:ascii="Gotham" w:hAnsi="Gotham"/>
          <w:color w:val="0D0D0D"/>
          <w:sz w:val="19"/>
          <w:szCs w:val="19"/>
        </w:rPr>
        <w:t>. Son autoridades competentes para la aplicación del presente</w:t>
      </w:r>
      <w:r>
        <w:rPr>
          <w:rFonts w:ascii="Gotham" w:hAnsi="Gotham"/>
          <w:color w:val="0D0D0D"/>
          <w:sz w:val="19"/>
          <w:szCs w:val="19"/>
        </w:rPr>
        <w:t xml:space="preserve"> </w:t>
      </w:r>
      <w:r w:rsidRPr="00565FE6">
        <w:rPr>
          <w:rFonts w:ascii="Gotham" w:hAnsi="Gotham"/>
          <w:color w:val="0D0D0D"/>
          <w:sz w:val="19"/>
          <w:szCs w:val="19"/>
        </w:rPr>
        <w:t>Reglamento:</w:t>
      </w:r>
    </w:p>
    <w:p w14:paraId="3A47335C" w14:textId="77777777" w:rsidR="00016FE1" w:rsidRPr="00565FE6" w:rsidRDefault="00016FE1" w:rsidP="002B6227">
      <w:pPr>
        <w:ind w:left="284" w:right="283"/>
        <w:jc w:val="both"/>
        <w:rPr>
          <w:rFonts w:ascii="Gotham" w:hAnsi="Gotham"/>
          <w:color w:val="0D0D0D"/>
          <w:sz w:val="19"/>
          <w:szCs w:val="19"/>
        </w:rPr>
      </w:pPr>
    </w:p>
    <w:p w14:paraId="3A47335D" w14:textId="77777777" w:rsidR="00016FE1" w:rsidRPr="00565FE6" w:rsidRDefault="00016FE1" w:rsidP="002B6227">
      <w:pPr>
        <w:numPr>
          <w:ilvl w:val="0"/>
          <w:numId w:val="151"/>
        </w:numPr>
        <w:tabs>
          <w:tab w:val="left" w:pos="1134"/>
        </w:tabs>
        <w:spacing w:after="120"/>
        <w:ind w:right="283" w:hanging="796"/>
        <w:jc w:val="both"/>
        <w:rPr>
          <w:rFonts w:ascii="Gotham" w:hAnsi="Gotham"/>
          <w:color w:val="0D0D0D"/>
          <w:sz w:val="19"/>
          <w:szCs w:val="19"/>
        </w:rPr>
      </w:pPr>
      <w:r w:rsidRPr="00565FE6">
        <w:rPr>
          <w:rFonts w:ascii="Gotham" w:hAnsi="Gotham"/>
          <w:color w:val="0D0D0D"/>
          <w:sz w:val="19"/>
          <w:szCs w:val="19"/>
        </w:rPr>
        <w:t>El Ayuntamiento Constitucional de Tonalá, Jalisco;</w:t>
      </w:r>
    </w:p>
    <w:p w14:paraId="3A47335E" w14:textId="77777777" w:rsidR="00016FE1" w:rsidRPr="00565FE6" w:rsidRDefault="00016FE1" w:rsidP="002B6227">
      <w:pPr>
        <w:numPr>
          <w:ilvl w:val="0"/>
          <w:numId w:val="151"/>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El Presidente Municipal;</w:t>
      </w:r>
    </w:p>
    <w:p w14:paraId="3A47335F" w14:textId="77777777" w:rsidR="00016FE1" w:rsidRPr="00565FE6" w:rsidRDefault="00016FE1" w:rsidP="002B6227">
      <w:pPr>
        <w:numPr>
          <w:ilvl w:val="0"/>
          <w:numId w:val="151"/>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El Secretario General del Ayuntamiento;</w:t>
      </w:r>
    </w:p>
    <w:p w14:paraId="3A473360" w14:textId="77777777" w:rsidR="00016FE1" w:rsidRPr="00565FE6" w:rsidRDefault="00016FE1" w:rsidP="002B6227">
      <w:pPr>
        <w:numPr>
          <w:ilvl w:val="0"/>
          <w:numId w:val="151"/>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El Síndico Municipal;</w:t>
      </w:r>
    </w:p>
    <w:p w14:paraId="3A473361" w14:textId="77777777" w:rsidR="00016FE1" w:rsidRPr="00565FE6" w:rsidRDefault="00016FE1" w:rsidP="002B6227">
      <w:pPr>
        <w:numPr>
          <w:ilvl w:val="0"/>
          <w:numId w:val="151"/>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Dirección General de Bienestar Social</w:t>
      </w:r>
    </w:p>
    <w:p w14:paraId="3A473362" w14:textId="77777777" w:rsidR="00016FE1" w:rsidRPr="00565FE6" w:rsidRDefault="00016FE1" w:rsidP="002B6227">
      <w:pPr>
        <w:numPr>
          <w:ilvl w:val="0"/>
          <w:numId w:val="151"/>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Comisaría de Seguridad Pública Municipal;</w:t>
      </w:r>
    </w:p>
    <w:p w14:paraId="3A473363" w14:textId="77777777" w:rsidR="00016FE1" w:rsidRPr="00565FE6" w:rsidRDefault="00016FE1" w:rsidP="002B6227">
      <w:pPr>
        <w:numPr>
          <w:ilvl w:val="0"/>
          <w:numId w:val="151"/>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Los Juzgados Municipales;</w:t>
      </w:r>
    </w:p>
    <w:p w14:paraId="3A473364" w14:textId="77777777" w:rsidR="00016FE1" w:rsidRPr="00565FE6" w:rsidRDefault="00016FE1" w:rsidP="002B6227">
      <w:pPr>
        <w:numPr>
          <w:ilvl w:val="0"/>
          <w:numId w:val="151"/>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El Órgano Interno de Control; y</w:t>
      </w:r>
    </w:p>
    <w:p w14:paraId="3A473365" w14:textId="77777777" w:rsidR="00016FE1" w:rsidRPr="00565FE6" w:rsidRDefault="00016FE1" w:rsidP="002B6227">
      <w:pPr>
        <w:numPr>
          <w:ilvl w:val="0"/>
          <w:numId w:val="151"/>
        </w:numPr>
        <w:tabs>
          <w:tab w:val="left" w:pos="1134"/>
        </w:tabs>
        <w:ind w:left="1134" w:right="283" w:hanging="850"/>
        <w:jc w:val="both"/>
        <w:rPr>
          <w:rFonts w:ascii="Gotham" w:hAnsi="Gotham"/>
          <w:color w:val="0D0D0D"/>
          <w:sz w:val="19"/>
          <w:szCs w:val="19"/>
        </w:rPr>
      </w:pPr>
      <w:r w:rsidRPr="00565FE6">
        <w:rPr>
          <w:rFonts w:ascii="Gotham" w:hAnsi="Gotham"/>
          <w:color w:val="0D0D0D"/>
          <w:sz w:val="19"/>
          <w:szCs w:val="19"/>
        </w:rPr>
        <w:t xml:space="preserve">La Dirección de Inspección y Reglamentos </w:t>
      </w:r>
    </w:p>
    <w:p w14:paraId="3A473366" w14:textId="77777777" w:rsidR="00016FE1" w:rsidRPr="00565FE6" w:rsidRDefault="00016FE1" w:rsidP="002B6227">
      <w:pPr>
        <w:ind w:left="284" w:right="283"/>
        <w:jc w:val="both"/>
        <w:rPr>
          <w:rFonts w:ascii="Gotham" w:hAnsi="Gotham"/>
          <w:color w:val="0D0D0D"/>
          <w:sz w:val="19"/>
          <w:szCs w:val="19"/>
        </w:rPr>
      </w:pPr>
    </w:p>
    <w:p w14:paraId="3A473367"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11.</w:t>
      </w:r>
      <w:r w:rsidRPr="00565FE6">
        <w:rPr>
          <w:rFonts w:ascii="Gotham" w:hAnsi="Gotham"/>
          <w:color w:val="0D0D0D"/>
          <w:sz w:val="19"/>
          <w:szCs w:val="19"/>
        </w:rPr>
        <w:t xml:space="preserve"> Las autoridades a que se refiere el presente Reglamento iniciarán sus actuaciones a petición de parte, dentro del ámbito de su competencia, sin embargo, también podrán actuar de oficio en aquellos actos, omisiones o prácticas sociales discriminatorias graves, conforme a lo previsto en la Ley Estatal. </w:t>
      </w:r>
      <w:r w:rsidRPr="00565FE6">
        <w:rPr>
          <w:rFonts w:ascii="Gotham" w:hAnsi="Gotham"/>
          <w:color w:val="0D0D0D"/>
          <w:sz w:val="19"/>
          <w:szCs w:val="19"/>
        </w:rPr>
        <w:cr/>
      </w:r>
    </w:p>
    <w:p w14:paraId="3A473368"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12</w:t>
      </w:r>
      <w:r w:rsidRPr="00565FE6">
        <w:rPr>
          <w:rFonts w:ascii="Gotham" w:hAnsi="Gotham"/>
          <w:color w:val="0D0D0D"/>
          <w:sz w:val="19"/>
          <w:szCs w:val="19"/>
        </w:rPr>
        <w:t>. Son obligaciones de las autoridades municipales y de las servidoras y los servidores públicos en el ámbito de sus facultades y atribuciones, las siguientes:</w:t>
      </w:r>
    </w:p>
    <w:p w14:paraId="3A473369" w14:textId="77777777" w:rsidR="00016FE1" w:rsidRPr="00565FE6" w:rsidRDefault="00016FE1" w:rsidP="002B6227">
      <w:pPr>
        <w:ind w:left="284" w:right="283"/>
        <w:jc w:val="both"/>
        <w:rPr>
          <w:rFonts w:ascii="Gotham" w:hAnsi="Gotham"/>
          <w:color w:val="0D0D0D"/>
          <w:sz w:val="19"/>
          <w:szCs w:val="19"/>
        </w:rPr>
      </w:pPr>
    </w:p>
    <w:p w14:paraId="3A47336A" w14:textId="77777777" w:rsidR="00016FE1" w:rsidRPr="00565FE6" w:rsidRDefault="00016FE1" w:rsidP="002B6227">
      <w:pPr>
        <w:pStyle w:val="Prrafodelista"/>
        <w:numPr>
          <w:ilvl w:val="0"/>
          <w:numId w:val="13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Adoptar todas las medidas que se encuentren al alcance del Municipio para que toda persona goce sin discriminación alguna, de todos los derechos y libertades consagradas en la Constitución Política de los Estados Unidos Mexicanos, y en los Tratados Internacionales de los que el Estado Mexicano sea parte, en las Leyes Federales y Estatales;</w:t>
      </w:r>
    </w:p>
    <w:p w14:paraId="3A47336B" w14:textId="77777777" w:rsidR="00016FE1" w:rsidRPr="00565FE6" w:rsidRDefault="00016FE1" w:rsidP="002B6227">
      <w:pPr>
        <w:pStyle w:val="Prrafodelista"/>
        <w:numPr>
          <w:ilvl w:val="0"/>
          <w:numId w:val="13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Llevar a cabo las acciones tendientes a la eliminación de barreras normativas, físicas o culturales de procedimiento administrativo, de hechos o condicionantes sociales que limiten, obstaculicen o impidan el pleno desarrollo y su participación en la vida política, económica, cultural y social del Municipio;</w:t>
      </w:r>
    </w:p>
    <w:p w14:paraId="3A47336C" w14:textId="77777777" w:rsidR="00016FE1" w:rsidRPr="00565FE6" w:rsidRDefault="00016FE1" w:rsidP="002B6227">
      <w:pPr>
        <w:pStyle w:val="Prrafodelista"/>
        <w:numPr>
          <w:ilvl w:val="0"/>
          <w:numId w:val="13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Abstenerse de ejercer actos u omisiones discriminatorios previstos en la Ley Federal y en la Ley Estatal, así como las armonizadas en el presente Reglamento;</w:t>
      </w:r>
    </w:p>
    <w:p w14:paraId="3A47336D" w14:textId="77777777" w:rsidR="00016FE1" w:rsidRPr="00565FE6" w:rsidRDefault="00016FE1" w:rsidP="002B6227">
      <w:pPr>
        <w:pStyle w:val="Prrafodelista"/>
        <w:numPr>
          <w:ilvl w:val="0"/>
          <w:numId w:val="13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Realizar las medidas de nivelación, las medidas de inclusión y las acciones afirmativas a que se refiere la Ley Federal, la Ley Estatal y el presente Reglamento en el ámbito de sus atribuciones; y</w:t>
      </w:r>
    </w:p>
    <w:p w14:paraId="3A47336E" w14:textId="77777777" w:rsidR="00016FE1" w:rsidRPr="00565FE6" w:rsidRDefault="00016FE1" w:rsidP="002B6227">
      <w:pPr>
        <w:pStyle w:val="Prrafodelista"/>
        <w:numPr>
          <w:ilvl w:val="0"/>
          <w:numId w:val="139"/>
        </w:numPr>
        <w:tabs>
          <w:tab w:val="left" w:pos="1134"/>
        </w:tabs>
        <w:ind w:left="1134" w:right="283" w:hanging="850"/>
        <w:contextualSpacing w:val="0"/>
        <w:jc w:val="both"/>
        <w:rPr>
          <w:rFonts w:ascii="Gotham" w:hAnsi="Gotham"/>
          <w:sz w:val="19"/>
          <w:szCs w:val="19"/>
        </w:rPr>
      </w:pPr>
      <w:r w:rsidRPr="00565FE6">
        <w:rPr>
          <w:rFonts w:ascii="Gotham" w:hAnsi="Gotham"/>
          <w:sz w:val="19"/>
          <w:szCs w:val="19"/>
        </w:rPr>
        <w:t>Aplicar las estrategias y líneas de acción del Programa Municipal contra la Discriminación, en el ámbito de sus atribuciones.</w:t>
      </w:r>
    </w:p>
    <w:p w14:paraId="3A47336F" w14:textId="77777777" w:rsidR="00016FE1" w:rsidRPr="00565FE6" w:rsidRDefault="00016FE1" w:rsidP="002B6227">
      <w:pPr>
        <w:ind w:left="284" w:right="283"/>
        <w:jc w:val="both"/>
        <w:rPr>
          <w:rFonts w:ascii="Gotham" w:hAnsi="Gotham"/>
          <w:color w:val="0D0D0D"/>
          <w:sz w:val="19"/>
          <w:szCs w:val="19"/>
        </w:rPr>
      </w:pPr>
    </w:p>
    <w:p w14:paraId="3A473370"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lastRenderedPageBreak/>
        <w:t>Artículo 13.</w:t>
      </w:r>
      <w:r w:rsidRPr="00565FE6">
        <w:rPr>
          <w:rFonts w:ascii="Gotham" w:hAnsi="Gotham"/>
          <w:color w:val="0D0D0D"/>
          <w:sz w:val="19"/>
          <w:szCs w:val="19"/>
        </w:rPr>
        <w:t xml:space="preserve"> El Sistema para Prevenir, Atender y Eliminar la Discriminación es el órgano colegiado encargado de proponer, establecer y dar seguimiento a la implementación del Programa Municipal para Prevenir, Atender y Eliminar la Discriminación, que tiene por objeto marcar la ruta para garantizar la transversalización de la perspectiva de derechos humanos en toda la administración pública de Tonalá, conforme a la legislación municipal, estatal, nacional e internacional aplicable.</w:t>
      </w:r>
    </w:p>
    <w:p w14:paraId="3A473371" w14:textId="77777777" w:rsidR="00016FE1" w:rsidRPr="00565FE6" w:rsidRDefault="00016FE1" w:rsidP="002B6227">
      <w:pPr>
        <w:ind w:left="284" w:right="283"/>
        <w:jc w:val="both"/>
        <w:rPr>
          <w:rFonts w:ascii="Gotham" w:hAnsi="Gotham"/>
          <w:color w:val="0D0D0D"/>
          <w:sz w:val="19"/>
          <w:szCs w:val="19"/>
        </w:rPr>
      </w:pPr>
    </w:p>
    <w:p w14:paraId="3A473372"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14</w:t>
      </w:r>
      <w:r w:rsidRPr="00565FE6">
        <w:rPr>
          <w:rFonts w:ascii="Gotham" w:hAnsi="Gotham"/>
          <w:color w:val="0D0D0D"/>
          <w:sz w:val="19"/>
          <w:szCs w:val="19"/>
        </w:rPr>
        <w:t>. El Programa Municipal contra la Discriminación constituye la estrategia programática que comprende las políticas públicas en materia de combate a la discriminación en el Municipio. En dicho programa se establecen los objetivos, estrategias específicas y líneas de acción que se deberán aplicar de manera obligatoria para prevenir y erradicar la discriminación en el Municipio de Tonalá.</w:t>
      </w:r>
    </w:p>
    <w:p w14:paraId="3A473373" w14:textId="77777777" w:rsidR="00016FE1" w:rsidRPr="00565FE6" w:rsidRDefault="00016FE1" w:rsidP="002B6227">
      <w:pPr>
        <w:ind w:left="284" w:right="283"/>
        <w:jc w:val="both"/>
        <w:rPr>
          <w:rFonts w:ascii="Gotham" w:hAnsi="Gotham"/>
          <w:color w:val="0D0D0D"/>
          <w:sz w:val="19"/>
          <w:szCs w:val="19"/>
        </w:rPr>
      </w:pPr>
    </w:p>
    <w:p w14:paraId="3A473374"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15.</w:t>
      </w:r>
      <w:r w:rsidRPr="00565FE6">
        <w:rPr>
          <w:rFonts w:ascii="Gotham" w:hAnsi="Gotham"/>
          <w:color w:val="0D0D0D"/>
          <w:sz w:val="19"/>
          <w:szCs w:val="19"/>
        </w:rPr>
        <w:t xml:space="preserve"> El Programa Municipal contra la Discriminación, debe ser elaborado y aprobado por el Sistema para Prevenir, Atender y Eliminar la Discriminación, en la sesión inmediata siguiente a la sesión de su instalación y debe ser publicado en la Gaceta Municipal Tlat</w:t>
      </w:r>
      <w:r>
        <w:rPr>
          <w:rFonts w:ascii="Gotham" w:hAnsi="Gotham"/>
          <w:color w:val="0D0D0D"/>
          <w:sz w:val="19"/>
          <w:szCs w:val="19"/>
        </w:rPr>
        <w:t>h</w:t>
      </w:r>
      <w:r w:rsidRPr="00565FE6">
        <w:rPr>
          <w:rFonts w:ascii="Gotham" w:hAnsi="Gotham"/>
          <w:color w:val="0D0D0D"/>
          <w:sz w:val="19"/>
          <w:szCs w:val="19"/>
        </w:rPr>
        <w:t xml:space="preserve">olli. </w:t>
      </w:r>
    </w:p>
    <w:p w14:paraId="3A473375" w14:textId="77777777" w:rsidR="00016FE1" w:rsidRPr="00565FE6" w:rsidRDefault="00016FE1" w:rsidP="002B6227">
      <w:pPr>
        <w:ind w:left="284" w:right="283"/>
        <w:jc w:val="both"/>
        <w:rPr>
          <w:rFonts w:ascii="Gotham" w:hAnsi="Gotham"/>
          <w:color w:val="0D0D0D"/>
          <w:sz w:val="19"/>
          <w:szCs w:val="19"/>
        </w:rPr>
      </w:pPr>
    </w:p>
    <w:p w14:paraId="3A473376"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16</w:t>
      </w:r>
      <w:r w:rsidRPr="00565FE6">
        <w:rPr>
          <w:rFonts w:ascii="Gotham" w:hAnsi="Gotham"/>
          <w:color w:val="0D0D0D"/>
          <w:sz w:val="19"/>
          <w:szCs w:val="19"/>
        </w:rPr>
        <w:t>. El Programa Municipal contra la Discriminación debe incluir objetivos, estrategias y líneas de acción para cumplir con dichos objetivos y debe contener cuando menos los siguientes elementos:</w:t>
      </w:r>
    </w:p>
    <w:p w14:paraId="3A473377" w14:textId="77777777" w:rsidR="00016FE1" w:rsidRPr="00565FE6" w:rsidRDefault="00016FE1" w:rsidP="002B6227">
      <w:pPr>
        <w:ind w:left="284" w:right="283"/>
        <w:jc w:val="both"/>
        <w:rPr>
          <w:rFonts w:ascii="Gotham" w:hAnsi="Gotham"/>
          <w:color w:val="0D0D0D"/>
          <w:sz w:val="19"/>
          <w:szCs w:val="19"/>
        </w:rPr>
      </w:pPr>
    </w:p>
    <w:p w14:paraId="3A473378" w14:textId="77777777" w:rsidR="00016FE1" w:rsidRPr="00565FE6" w:rsidRDefault="00016FE1" w:rsidP="002B6227">
      <w:pPr>
        <w:pStyle w:val="Prrafodelista"/>
        <w:numPr>
          <w:ilvl w:val="0"/>
          <w:numId w:val="142"/>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Diagnóstico situacional;</w:t>
      </w:r>
    </w:p>
    <w:p w14:paraId="3A473379" w14:textId="77777777" w:rsidR="00016FE1" w:rsidRPr="00565FE6" w:rsidRDefault="00016FE1" w:rsidP="002B6227">
      <w:pPr>
        <w:pStyle w:val="Prrafodelista"/>
        <w:numPr>
          <w:ilvl w:val="0"/>
          <w:numId w:val="142"/>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Instrumentos de difusión y promoción; y</w:t>
      </w:r>
    </w:p>
    <w:p w14:paraId="3A47337A" w14:textId="77777777" w:rsidR="00016FE1" w:rsidRPr="00565FE6" w:rsidRDefault="00016FE1" w:rsidP="002B6227">
      <w:pPr>
        <w:pStyle w:val="Prrafodelista"/>
        <w:numPr>
          <w:ilvl w:val="0"/>
          <w:numId w:val="142"/>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Mecanismo de evaluación y seguimiento.</w:t>
      </w:r>
    </w:p>
    <w:p w14:paraId="3A47337B" w14:textId="77777777" w:rsidR="00016FE1" w:rsidRDefault="00016FE1" w:rsidP="002B6227">
      <w:pPr>
        <w:pStyle w:val="Prrafodelista"/>
        <w:ind w:left="284" w:right="283"/>
        <w:contextualSpacing w:val="0"/>
        <w:jc w:val="both"/>
        <w:rPr>
          <w:rFonts w:ascii="Gotham" w:hAnsi="Gotham"/>
          <w:color w:val="0D0D0D"/>
          <w:sz w:val="19"/>
          <w:szCs w:val="19"/>
        </w:rPr>
      </w:pPr>
    </w:p>
    <w:p w14:paraId="3A47337C" w14:textId="77777777" w:rsidR="00016FE1" w:rsidRPr="00565FE6" w:rsidRDefault="00016FE1" w:rsidP="002B6227">
      <w:pPr>
        <w:pStyle w:val="Prrafodelista"/>
        <w:ind w:left="284" w:right="283"/>
        <w:contextualSpacing w:val="0"/>
        <w:jc w:val="both"/>
        <w:rPr>
          <w:rFonts w:ascii="Gotham" w:hAnsi="Gotham"/>
          <w:color w:val="0D0D0D"/>
          <w:sz w:val="19"/>
          <w:szCs w:val="19"/>
        </w:rPr>
      </w:pPr>
    </w:p>
    <w:p w14:paraId="3A47337D"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TITULO TERCERO</w:t>
      </w:r>
    </w:p>
    <w:p w14:paraId="3A47337E" w14:textId="77777777" w:rsidR="00016FE1" w:rsidRPr="00565FE6" w:rsidRDefault="00016FE1" w:rsidP="002B6227">
      <w:pPr>
        <w:ind w:left="284" w:right="283"/>
        <w:jc w:val="center"/>
        <w:rPr>
          <w:rFonts w:ascii="Gotham" w:hAnsi="Gotham"/>
          <w:color w:val="0D0D0D"/>
          <w:sz w:val="19"/>
          <w:szCs w:val="19"/>
        </w:rPr>
      </w:pPr>
      <w:r w:rsidRPr="00565FE6">
        <w:rPr>
          <w:rFonts w:ascii="Gotham" w:hAnsi="Gotham"/>
          <w:color w:val="0D0D0D"/>
          <w:sz w:val="19"/>
          <w:szCs w:val="19"/>
        </w:rPr>
        <w:t>DE LAS HERRAMIENTAS Y MECANISMOS PARA PREVENIR, ATENDER Y ELIMINAR LA DISCRIMINACIÓN</w:t>
      </w:r>
    </w:p>
    <w:p w14:paraId="3A47337F" w14:textId="77777777" w:rsidR="00016FE1" w:rsidRPr="00565FE6" w:rsidRDefault="00016FE1" w:rsidP="002B6227">
      <w:pPr>
        <w:ind w:left="284" w:right="283"/>
        <w:jc w:val="both"/>
        <w:rPr>
          <w:rFonts w:ascii="Gotham" w:hAnsi="Gotham"/>
          <w:color w:val="0D0D0D"/>
          <w:sz w:val="19"/>
          <w:szCs w:val="19"/>
        </w:rPr>
      </w:pPr>
    </w:p>
    <w:p w14:paraId="3A473380"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CAPÍTULO I</w:t>
      </w:r>
    </w:p>
    <w:p w14:paraId="3A473381" w14:textId="77777777" w:rsidR="00016FE1" w:rsidRPr="00565FE6" w:rsidRDefault="00016FE1" w:rsidP="002B6227">
      <w:pPr>
        <w:ind w:left="284" w:right="283"/>
        <w:jc w:val="center"/>
        <w:rPr>
          <w:rFonts w:ascii="Gotham" w:hAnsi="Gotham"/>
          <w:color w:val="0D0D0D"/>
          <w:sz w:val="19"/>
          <w:szCs w:val="19"/>
        </w:rPr>
      </w:pPr>
      <w:r w:rsidRPr="00565FE6">
        <w:rPr>
          <w:rFonts w:ascii="Gotham" w:hAnsi="Gotham"/>
          <w:color w:val="0D0D0D"/>
          <w:sz w:val="19"/>
          <w:szCs w:val="19"/>
        </w:rPr>
        <w:t>DEL SISTEMA PARA PREVENIR, ATENDER Y ELIMINAR LA DISCRIMINACIÓN.</w:t>
      </w:r>
    </w:p>
    <w:p w14:paraId="3A473382" w14:textId="77777777" w:rsidR="00016FE1" w:rsidRPr="00565FE6" w:rsidRDefault="00016FE1" w:rsidP="002B6227">
      <w:pPr>
        <w:ind w:left="284" w:right="283"/>
        <w:jc w:val="both"/>
        <w:rPr>
          <w:rFonts w:ascii="Gotham" w:hAnsi="Gotham"/>
          <w:color w:val="0D0D0D"/>
          <w:sz w:val="19"/>
          <w:szCs w:val="19"/>
        </w:rPr>
      </w:pPr>
    </w:p>
    <w:p w14:paraId="3A473383"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Artículo 17. El Sistema para Prevenir, Atender y Eliminar la Discriminación es el órgano colegiado encargado de proponer, establecer y dar seguimiento a la implementación del Programa Municipal para Prevenir, Atender y Eliminar la Discriminación, que tiene por objeto marcar la ruta para garantizar la transversalización de la perspectiva de derechos humanos en toda la administración pública de Tonalá, conforme a la legislación municipal, estatal, nacional e internacional aplicable.</w:t>
      </w:r>
    </w:p>
    <w:p w14:paraId="3A473384" w14:textId="77777777" w:rsidR="00016FE1" w:rsidRPr="00565FE6" w:rsidRDefault="00016FE1" w:rsidP="002B6227">
      <w:pPr>
        <w:ind w:left="284" w:right="283"/>
        <w:jc w:val="both"/>
        <w:rPr>
          <w:rFonts w:ascii="Gotham" w:hAnsi="Gotham"/>
          <w:color w:val="0D0D0D"/>
          <w:sz w:val="19"/>
          <w:szCs w:val="19"/>
        </w:rPr>
      </w:pPr>
    </w:p>
    <w:p w14:paraId="3A473385" w14:textId="77777777" w:rsidR="00016FE1" w:rsidRDefault="00016FE1" w:rsidP="002B6227">
      <w:pPr>
        <w:ind w:left="284" w:right="283"/>
        <w:jc w:val="both"/>
        <w:rPr>
          <w:rFonts w:ascii="Gotham" w:hAnsi="Gotham"/>
          <w:color w:val="0D0D0D"/>
          <w:sz w:val="19"/>
          <w:szCs w:val="19"/>
        </w:rPr>
      </w:pPr>
      <w:r w:rsidRPr="00565FE6">
        <w:rPr>
          <w:rFonts w:ascii="Gotham" w:hAnsi="Gotham"/>
          <w:color w:val="0D0D0D"/>
          <w:sz w:val="19"/>
          <w:szCs w:val="19"/>
        </w:rPr>
        <w:t>Artículo 18. El Sistema estará integrado de la siguiente manera:</w:t>
      </w:r>
    </w:p>
    <w:p w14:paraId="3A473386" w14:textId="77777777" w:rsidR="00016FE1" w:rsidRPr="00565FE6" w:rsidRDefault="00016FE1" w:rsidP="002B6227">
      <w:pPr>
        <w:ind w:left="284" w:right="283"/>
        <w:jc w:val="both"/>
        <w:rPr>
          <w:rFonts w:ascii="Gotham" w:hAnsi="Gotham"/>
          <w:color w:val="0D0D0D"/>
          <w:sz w:val="19"/>
          <w:szCs w:val="19"/>
        </w:rPr>
      </w:pPr>
    </w:p>
    <w:p w14:paraId="3A473387"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 xml:space="preserve">La persona titular de la presidencia municipal, quien presidirá el Sistema; </w:t>
      </w:r>
    </w:p>
    <w:p w14:paraId="3A473388"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regidora presidenta de la Comisión Edilicia de Igualdad Sustantiva y Derechos Humanos;</w:t>
      </w:r>
    </w:p>
    <w:p w14:paraId="3A473389"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regidora presidenta de la Comisión Edilicia de Atención a la Juventud y el Deporte;</w:t>
      </w:r>
    </w:p>
    <w:p w14:paraId="3A47338A"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regidora presidenta de la Comisión Edilicia de Bienestar, Desarrollo, Asistencia Social Y Familiar;</w:t>
      </w:r>
    </w:p>
    <w:p w14:paraId="3A47338B"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titular del Organismo Público Descentralizado denominado Sistema para el Desarrollo Integral de la Familia de Tonalá, Jalisco;</w:t>
      </w:r>
    </w:p>
    <w:p w14:paraId="3A47338C"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titular del Organismo Público Descentralizado denominado Instituto de Alternativas para los Jóvenes de Tonalá, Jalisco;</w:t>
      </w:r>
    </w:p>
    <w:p w14:paraId="3A47338D"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lastRenderedPageBreak/>
        <w:t>La persona titular del Organismo Público Descentralizado denominado Instituto Municipal de la Mujer para la Igualdad Sustantiva en Tonalá, Jalisco;</w:t>
      </w:r>
    </w:p>
    <w:p w14:paraId="3A47338E"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titular de la Coordinación del Gabinete de Seguridad, Prevención y Servicios de Emergencia de Tonalá, Jalisco;</w:t>
      </w:r>
    </w:p>
    <w:p w14:paraId="3A47338F"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 xml:space="preserve">La persona titular de la Tesorería Municipal de Tonalá, Jalisco; </w:t>
      </w:r>
    </w:p>
    <w:p w14:paraId="3A473390"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 xml:space="preserve">La persona titular de la Dirección General de Bienestar Social de Tonalá, Jalisco; </w:t>
      </w:r>
    </w:p>
    <w:p w14:paraId="3A473391"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titular de la Dirección General de Atracción a la Inversión;</w:t>
      </w:r>
    </w:p>
    <w:p w14:paraId="3A473392"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titular de la Dirección de Servicios Médicos Municipales de Tonalá, Jalisco;</w:t>
      </w:r>
    </w:p>
    <w:p w14:paraId="3A473393"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La persona titular del Sistema de Protección de Niñas, Niños y Adolescentes de Tonalá, Jalisco;</w:t>
      </w:r>
    </w:p>
    <w:p w14:paraId="3A473394"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 xml:space="preserve">La persona titular de la Comisión Estatal de Derechos Humanos de Jalisco; </w:t>
      </w:r>
    </w:p>
    <w:p w14:paraId="3A473395" w14:textId="77777777" w:rsidR="00016FE1" w:rsidRPr="00565FE6" w:rsidRDefault="00016FE1" w:rsidP="002B6227">
      <w:pPr>
        <w:numPr>
          <w:ilvl w:val="0"/>
          <w:numId w:val="152"/>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Hasta tres personas representantes de la sociedad civil de Tonalá, Jalisco; y</w:t>
      </w:r>
    </w:p>
    <w:p w14:paraId="3A473396" w14:textId="77777777" w:rsidR="00016FE1" w:rsidRPr="00565FE6" w:rsidRDefault="00016FE1" w:rsidP="002B6227">
      <w:pPr>
        <w:numPr>
          <w:ilvl w:val="0"/>
          <w:numId w:val="152"/>
        </w:numPr>
        <w:tabs>
          <w:tab w:val="left" w:pos="1134"/>
        </w:tabs>
        <w:ind w:left="1134" w:right="283" w:hanging="850"/>
        <w:jc w:val="both"/>
        <w:rPr>
          <w:rFonts w:ascii="Gotham" w:hAnsi="Gotham"/>
          <w:color w:val="0D0D0D"/>
          <w:sz w:val="19"/>
          <w:szCs w:val="19"/>
        </w:rPr>
      </w:pPr>
      <w:r w:rsidRPr="00565FE6">
        <w:rPr>
          <w:rFonts w:ascii="Gotham" w:hAnsi="Gotham"/>
          <w:color w:val="0D0D0D"/>
          <w:sz w:val="19"/>
          <w:szCs w:val="19"/>
        </w:rPr>
        <w:t>La persona titular de la Jefatura de Diversidad Sexual y de Género, quien estará a cargo de la Secretaria Técnica.</w:t>
      </w:r>
    </w:p>
    <w:p w14:paraId="3A473397" w14:textId="77777777" w:rsidR="00016FE1" w:rsidRPr="00565FE6" w:rsidRDefault="00016FE1" w:rsidP="002B6227">
      <w:pPr>
        <w:ind w:left="284" w:right="283"/>
        <w:jc w:val="both"/>
        <w:rPr>
          <w:rFonts w:ascii="Gotham" w:hAnsi="Gotham"/>
          <w:color w:val="0D0D0D"/>
          <w:sz w:val="19"/>
          <w:szCs w:val="19"/>
        </w:rPr>
      </w:pPr>
    </w:p>
    <w:p w14:paraId="3A473398"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 xml:space="preserve">Artículo 19. El Sistema deberá instalarse los primeros noventa días de ejercicio de cada Gobierno Municipal. </w:t>
      </w:r>
    </w:p>
    <w:p w14:paraId="3A473399" w14:textId="77777777" w:rsidR="00016FE1" w:rsidRPr="00565FE6" w:rsidRDefault="00016FE1" w:rsidP="002B6227">
      <w:pPr>
        <w:ind w:left="284" w:right="283"/>
        <w:jc w:val="both"/>
        <w:rPr>
          <w:rFonts w:ascii="Gotham" w:hAnsi="Gotham"/>
          <w:color w:val="0D0D0D"/>
          <w:sz w:val="19"/>
          <w:szCs w:val="19"/>
        </w:rPr>
      </w:pPr>
    </w:p>
    <w:p w14:paraId="3A47339A"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El cargo que desempeñan las y los integrantes de este Sistema será honoríficos; esto con independencia del presupuesto que el Ayuntamiento deberá proveer para la ejecución transversal del programa municipal y por tanto de las medidas que en este Reglamento se establecen.</w:t>
      </w:r>
    </w:p>
    <w:p w14:paraId="3A47339B" w14:textId="77777777" w:rsidR="00016FE1" w:rsidRPr="00565FE6" w:rsidRDefault="00016FE1" w:rsidP="002B6227">
      <w:pPr>
        <w:ind w:left="284" w:right="283"/>
        <w:jc w:val="both"/>
        <w:rPr>
          <w:rFonts w:ascii="Gotham" w:hAnsi="Gotham"/>
          <w:color w:val="0D0D0D"/>
          <w:sz w:val="19"/>
          <w:szCs w:val="19"/>
        </w:rPr>
      </w:pPr>
    </w:p>
    <w:p w14:paraId="3A47339C"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Las personas integrantes del Sistema deberán designar a un suplente y notificar a la secretaria técnica de quien se trata, para casos de ausencia a sus sesiones. En el caso de las y los servidores públicos, la persona suplente deberá de estar adscrita a la dependencia que representan.</w:t>
      </w:r>
    </w:p>
    <w:p w14:paraId="3A47339D" w14:textId="77777777" w:rsidR="00016FE1" w:rsidRPr="00565FE6" w:rsidRDefault="00016FE1" w:rsidP="002B6227">
      <w:pPr>
        <w:ind w:left="284" w:right="283"/>
        <w:jc w:val="both"/>
        <w:rPr>
          <w:rFonts w:ascii="Gotham" w:hAnsi="Gotham"/>
          <w:color w:val="0D0D0D"/>
          <w:sz w:val="19"/>
          <w:szCs w:val="19"/>
        </w:rPr>
      </w:pPr>
    </w:p>
    <w:p w14:paraId="3A47339E"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 xml:space="preserve">En el caso de quien preside el sistema deberá designar como suplente a otro regidor o regidora. </w:t>
      </w:r>
    </w:p>
    <w:p w14:paraId="3A47339F" w14:textId="77777777" w:rsidR="00016FE1" w:rsidRPr="00565FE6" w:rsidRDefault="00016FE1" w:rsidP="002B6227">
      <w:pPr>
        <w:ind w:left="284" w:right="283"/>
        <w:jc w:val="both"/>
        <w:rPr>
          <w:rFonts w:ascii="Gotham" w:hAnsi="Gotham"/>
          <w:color w:val="0D0D0D"/>
          <w:sz w:val="19"/>
          <w:szCs w:val="19"/>
        </w:rPr>
      </w:pPr>
    </w:p>
    <w:p w14:paraId="3A4733A0"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 xml:space="preserve">En cuanto a la representación de sociedad civil la Secretaria General del Ayuntamiento, emitirá una convocatoria pública dirigida a las organizaciones y personas que trabajen con grupos prioritarios, en especial personas con discapacidad, personas en contexto de movilidad humana, mujeres, pueblos originarios y comunidades indígenas, niñas, niños, adolescentes, personas mayores y personas de la diversidad sexual y de género. En un plazo no mayor a sesenta días naturales las organizaciones interesadas deberán postularse así como a su suplente, y el Sistema en su sesión siguiente inmediata, someterá a discusión y aprobación la integración de hasta tres organizaciones y/o personas. </w:t>
      </w:r>
    </w:p>
    <w:p w14:paraId="3A4733A1" w14:textId="77777777" w:rsidR="00016FE1" w:rsidRPr="00565FE6" w:rsidRDefault="00016FE1" w:rsidP="002B6227">
      <w:pPr>
        <w:ind w:left="284" w:right="283"/>
        <w:jc w:val="both"/>
        <w:rPr>
          <w:rFonts w:ascii="Gotham" w:hAnsi="Gotham"/>
          <w:color w:val="0D0D0D"/>
          <w:sz w:val="19"/>
          <w:szCs w:val="19"/>
        </w:rPr>
      </w:pPr>
    </w:p>
    <w:p w14:paraId="3A4733A2"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 xml:space="preserve">Artículo 20. El Sistema operará de la siguiente manera: </w:t>
      </w:r>
    </w:p>
    <w:p w14:paraId="3A4733A3" w14:textId="77777777" w:rsidR="00016FE1" w:rsidRPr="00565FE6" w:rsidRDefault="00016FE1" w:rsidP="002B6227">
      <w:pPr>
        <w:ind w:left="284" w:right="283"/>
        <w:jc w:val="both"/>
        <w:rPr>
          <w:rFonts w:ascii="Gotham" w:hAnsi="Gotham"/>
          <w:color w:val="0D0D0D"/>
          <w:sz w:val="19"/>
          <w:szCs w:val="19"/>
        </w:rPr>
      </w:pPr>
    </w:p>
    <w:p w14:paraId="3A4733A4"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Deberá de sesionas de forma ordinaria por lo menos una vez cada semestre, y de manera extraordinaria cuando se requiera a través de convocatoria previa emitida por la Secretaría Técnica con un lapso mínimo de cuarenta y ocho horas de anticipación.</w:t>
      </w:r>
    </w:p>
    <w:p w14:paraId="3A4733A5" w14:textId="77777777" w:rsidR="00016FE1" w:rsidRPr="00565FE6" w:rsidRDefault="00016FE1" w:rsidP="002B6227">
      <w:pPr>
        <w:ind w:left="284" w:right="283"/>
        <w:jc w:val="both"/>
        <w:rPr>
          <w:rFonts w:ascii="Gotham" w:hAnsi="Gotham"/>
          <w:color w:val="0D0D0D"/>
          <w:sz w:val="19"/>
          <w:szCs w:val="19"/>
        </w:rPr>
      </w:pPr>
    </w:p>
    <w:p w14:paraId="3A4733A6"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Para el desarrollo de las Sesiones Ordinarias y Extraordinarias, se utilizará supletoriamente el Reglamento para el Funcionamiento Interno de Sesiones del Ayuntamiento Constitucional de Tonalá, Jalisco.</w:t>
      </w:r>
    </w:p>
    <w:p w14:paraId="3A4733A7" w14:textId="77777777" w:rsidR="00016FE1" w:rsidRPr="00565FE6" w:rsidRDefault="00016FE1" w:rsidP="002B6227">
      <w:pPr>
        <w:ind w:left="284" w:right="283"/>
        <w:jc w:val="both"/>
        <w:rPr>
          <w:rFonts w:ascii="Gotham" w:hAnsi="Gotham"/>
          <w:color w:val="0D0D0D"/>
          <w:sz w:val="19"/>
          <w:szCs w:val="19"/>
        </w:rPr>
      </w:pPr>
    </w:p>
    <w:p w14:paraId="3A4733A8" w14:textId="77777777" w:rsidR="00016FE1" w:rsidRDefault="00016FE1" w:rsidP="002B6227">
      <w:pPr>
        <w:ind w:left="284" w:right="283"/>
        <w:jc w:val="both"/>
        <w:rPr>
          <w:rFonts w:ascii="Gotham" w:hAnsi="Gotham"/>
          <w:color w:val="0D0D0D"/>
          <w:sz w:val="19"/>
          <w:szCs w:val="19"/>
        </w:rPr>
      </w:pPr>
      <w:r w:rsidRPr="00565FE6">
        <w:rPr>
          <w:rFonts w:ascii="Gotham" w:hAnsi="Gotham"/>
          <w:color w:val="0D0D0D"/>
          <w:sz w:val="19"/>
          <w:szCs w:val="19"/>
        </w:rPr>
        <w:t>Artículo 21. Las atribuciones de las personas integrantes serán las siguientes:</w:t>
      </w:r>
    </w:p>
    <w:p w14:paraId="3A4733A9" w14:textId="77777777" w:rsidR="00016FE1" w:rsidRPr="00565FE6" w:rsidRDefault="00016FE1" w:rsidP="002B6227">
      <w:pPr>
        <w:ind w:left="284" w:right="283"/>
        <w:jc w:val="both"/>
        <w:rPr>
          <w:rFonts w:ascii="Gotham" w:hAnsi="Gotham"/>
          <w:color w:val="0D0D0D"/>
          <w:sz w:val="19"/>
          <w:szCs w:val="19"/>
        </w:rPr>
      </w:pPr>
    </w:p>
    <w:p w14:paraId="3A4733AA" w14:textId="77777777" w:rsidR="00016FE1" w:rsidRPr="00565FE6" w:rsidRDefault="00016FE1" w:rsidP="002B6227">
      <w:pPr>
        <w:numPr>
          <w:ilvl w:val="0"/>
          <w:numId w:val="153"/>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Asistir a las sesiones;</w:t>
      </w:r>
    </w:p>
    <w:p w14:paraId="3A4733AB" w14:textId="77777777" w:rsidR="00016FE1" w:rsidRPr="00565FE6" w:rsidRDefault="00016FE1" w:rsidP="002B6227">
      <w:pPr>
        <w:numPr>
          <w:ilvl w:val="0"/>
          <w:numId w:val="153"/>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lastRenderedPageBreak/>
        <w:t>Proponer temas a tratar en las sesiones;</w:t>
      </w:r>
    </w:p>
    <w:p w14:paraId="3A4733AC" w14:textId="77777777" w:rsidR="00016FE1" w:rsidRPr="00565FE6" w:rsidRDefault="00016FE1" w:rsidP="002B6227">
      <w:pPr>
        <w:numPr>
          <w:ilvl w:val="0"/>
          <w:numId w:val="153"/>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Discutir y votar los proyectos de Estudio, informes, opiniones o resoluciones y demás asuntos de los que conozca conforme al presente Reglamento;</w:t>
      </w:r>
    </w:p>
    <w:p w14:paraId="3A4733AD" w14:textId="77777777" w:rsidR="00016FE1" w:rsidRPr="00565FE6" w:rsidRDefault="00016FE1" w:rsidP="002B6227">
      <w:pPr>
        <w:numPr>
          <w:ilvl w:val="0"/>
          <w:numId w:val="153"/>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Presentar la documentación correspondiente a los temas a tratar en las sesiones o la que se les sea requerida;</w:t>
      </w:r>
    </w:p>
    <w:p w14:paraId="3A4733AE" w14:textId="77777777" w:rsidR="00016FE1" w:rsidRPr="00565FE6" w:rsidRDefault="00016FE1" w:rsidP="002B6227">
      <w:pPr>
        <w:numPr>
          <w:ilvl w:val="0"/>
          <w:numId w:val="153"/>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Dar seguimiento y vigilar el cumplimiento a los acuerdos aprobados por el Sistema;</w:t>
      </w:r>
    </w:p>
    <w:p w14:paraId="3A4733AF" w14:textId="77777777" w:rsidR="00016FE1" w:rsidRPr="00565FE6" w:rsidRDefault="00016FE1" w:rsidP="002B6227">
      <w:pPr>
        <w:numPr>
          <w:ilvl w:val="0"/>
          <w:numId w:val="153"/>
        </w:numPr>
        <w:tabs>
          <w:tab w:val="left" w:pos="1134"/>
        </w:tabs>
        <w:spacing w:after="120"/>
        <w:ind w:left="1134" w:right="283" w:hanging="850"/>
        <w:jc w:val="both"/>
        <w:rPr>
          <w:rFonts w:ascii="Gotham" w:hAnsi="Gotham"/>
          <w:color w:val="0D0D0D"/>
          <w:sz w:val="19"/>
          <w:szCs w:val="19"/>
        </w:rPr>
      </w:pPr>
      <w:r w:rsidRPr="00565FE6">
        <w:rPr>
          <w:rFonts w:ascii="Gotham" w:hAnsi="Gotham"/>
          <w:color w:val="0D0D0D"/>
          <w:sz w:val="19"/>
          <w:szCs w:val="19"/>
        </w:rPr>
        <w:t>Promover, en el ámbito de sus respectivas competencias, la coordinación e implementación de las acciones que sean necesarias para el cumplimiento de los acuerdos tomados en el Sistema; y</w:t>
      </w:r>
    </w:p>
    <w:p w14:paraId="3A4733B0" w14:textId="77777777" w:rsidR="00016FE1" w:rsidRPr="00565FE6" w:rsidRDefault="00016FE1" w:rsidP="002B6227">
      <w:pPr>
        <w:numPr>
          <w:ilvl w:val="0"/>
          <w:numId w:val="153"/>
        </w:numPr>
        <w:tabs>
          <w:tab w:val="left" w:pos="1134"/>
        </w:tabs>
        <w:ind w:left="1134" w:right="283" w:hanging="850"/>
        <w:jc w:val="both"/>
        <w:rPr>
          <w:rFonts w:ascii="Gotham" w:hAnsi="Gotham"/>
          <w:color w:val="0D0D0D"/>
          <w:sz w:val="19"/>
          <w:szCs w:val="19"/>
        </w:rPr>
      </w:pPr>
      <w:r w:rsidRPr="00565FE6">
        <w:rPr>
          <w:rFonts w:ascii="Gotham" w:hAnsi="Gotham"/>
          <w:color w:val="0D0D0D"/>
          <w:sz w:val="19"/>
          <w:szCs w:val="19"/>
        </w:rPr>
        <w:t xml:space="preserve">Las demás que les confiera el propio Sistema y la normativa vigente. </w:t>
      </w:r>
    </w:p>
    <w:p w14:paraId="3A4733B1" w14:textId="77777777" w:rsidR="00016FE1" w:rsidRPr="00565FE6" w:rsidRDefault="00016FE1" w:rsidP="002B6227">
      <w:pPr>
        <w:ind w:left="284" w:right="283"/>
        <w:jc w:val="both"/>
        <w:rPr>
          <w:rFonts w:ascii="Gotham" w:hAnsi="Gotham"/>
          <w:color w:val="0D0D0D"/>
          <w:sz w:val="19"/>
          <w:szCs w:val="19"/>
        </w:rPr>
      </w:pPr>
    </w:p>
    <w:p w14:paraId="3A4733B2" w14:textId="77777777" w:rsidR="00016FE1" w:rsidRDefault="00016FE1" w:rsidP="002B6227">
      <w:pPr>
        <w:ind w:left="284" w:right="283"/>
        <w:jc w:val="both"/>
        <w:rPr>
          <w:rFonts w:ascii="Gotham" w:hAnsi="Gotham"/>
          <w:color w:val="0D0D0D"/>
          <w:sz w:val="19"/>
          <w:szCs w:val="19"/>
        </w:rPr>
      </w:pPr>
      <w:r w:rsidRPr="00565FE6">
        <w:rPr>
          <w:rFonts w:ascii="Gotham" w:hAnsi="Gotham"/>
          <w:color w:val="0D0D0D"/>
          <w:sz w:val="19"/>
          <w:szCs w:val="19"/>
        </w:rPr>
        <w:t>Artículo 22. Las atribuciones de la persona Titular del Sistema serán las siguientes:</w:t>
      </w:r>
    </w:p>
    <w:p w14:paraId="3A4733B3" w14:textId="77777777" w:rsidR="00016FE1" w:rsidRPr="00565FE6" w:rsidRDefault="00016FE1" w:rsidP="002B6227">
      <w:pPr>
        <w:ind w:left="284" w:right="283"/>
        <w:jc w:val="both"/>
        <w:rPr>
          <w:rFonts w:ascii="Gotham" w:hAnsi="Gotham"/>
          <w:color w:val="0D0D0D"/>
          <w:sz w:val="19"/>
          <w:szCs w:val="19"/>
        </w:rPr>
      </w:pPr>
    </w:p>
    <w:p w14:paraId="3A4733B4"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w:t>
      </w:r>
      <w:r w:rsidRPr="00565FE6">
        <w:rPr>
          <w:rFonts w:ascii="Gotham" w:hAnsi="Gotham"/>
          <w:color w:val="0D0D0D"/>
          <w:sz w:val="19"/>
          <w:szCs w:val="19"/>
        </w:rPr>
        <w:tab/>
        <w:t>Ejercer la representación que ostentan;</w:t>
      </w:r>
    </w:p>
    <w:p w14:paraId="3A4733B5"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II.</w:t>
      </w:r>
      <w:r w:rsidRPr="00565FE6">
        <w:rPr>
          <w:rFonts w:ascii="Gotham" w:hAnsi="Gotham"/>
          <w:color w:val="0D0D0D"/>
          <w:sz w:val="19"/>
          <w:szCs w:val="19"/>
        </w:rPr>
        <w:tab/>
        <w:t>Autorizar el proyecto de orden del día de las sesiones;</w:t>
      </w:r>
    </w:p>
    <w:p w14:paraId="3A4733B6"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III.</w:t>
      </w:r>
      <w:r w:rsidRPr="00565FE6">
        <w:rPr>
          <w:rFonts w:ascii="Gotham" w:hAnsi="Gotham"/>
          <w:color w:val="0D0D0D"/>
          <w:sz w:val="19"/>
          <w:szCs w:val="19"/>
        </w:rPr>
        <w:tab/>
        <w:t>Presidir sus sesiones y dirigir sus actividades;</w:t>
      </w:r>
    </w:p>
    <w:p w14:paraId="3A4733B7"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IV.</w:t>
      </w:r>
      <w:r w:rsidRPr="00565FE6">
        <w:rPr>
          <w:rFonts w:ascii="Gotham" w:hAnsi="Gotham"/>
          <w:color w:val="0D0D0D"/>
          <w:sz w:val="19"/>
          <w:szCs w:val="19"/>
        </w:rPr>
        <w:tab/>
        <w:t>Proponer políticas, planes, programas, presupuestos, informe de actividades, así como los manuales administrativos y protocolos de actuación;</w:t>
      </w:r>
    </w:p>
    <w:p w14:paraId="3A4733B8"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V.</w:t>
      </w:r>
      <w:r w:rsidRPr="00565FE6">
        <w:rPr>
          <w:rFonts w:ascii="Gotham" w:hAnsi="Gotham"/>
          <w:color w:val="0D0D0D"/>
          <w:sz w:val="19"/>
          <w:szCs w:val="19"/>
        </w:rPr>
        <w:tab/>
        <w:t>Instruir a la secretaría técnica para que emita y haga llegar a las y los miembros, con una anticipación no menor a tres días hábiles, las convocatorias a sesiones, el orden del día y documentación concerniente; y</w:t>
      </w:r>
    </w:p>
    <w:p w14:paraId="3A4733B9" w14:textId="77777777" w:rsidR="00016FE1" w:rsidRPr="00565FE6" w:rsidRDefault="00016FE1" w:rsidP="002B6227">
      <w:pPr>
        <w:ind w:left="1134" w:right="283" w:hanging="850"/>
        <w:jc w:val="both"/>
        <w:rPr>
          <w:rFonts w:ascii="Gotham" w:hAnsi="Gotham"/>
          <w:color w:val="0D0D0D"/>
          <w:sz w:val="19"/>
          <w:szCs w:val="19"/>
        </w:rPr>
      </w:pPr>
      <w:r w:rsidRPr="000C5C92">
        <w:rPr>
          <w:rFonts w:ascii="Gotham" w:hAnsi="Gotham"/>
          <w:b/>
          <w:color w:val="0D0D0D"/>
          <w:sz w:val="19"/>
          <w:szCs w:val="19"/>
        </w:rPr>
        <w:t>VI.</w:t>
      </w:r>
      <w:r w:rsidRPr="00565FE6">
        <w:rPr>
          <w:rFonts w:ascii="Gotham" w:hAnsi="Gotham"/>
          <w:color w:val="0D0D0D"/>
          <w:sz w:val="19"/>
          <w:szCs w:val="19"/>
        </w:rPr>
        <w:tab/>
        <w:t>Las que le confiera el Sistema y aquéllas previstas en las leyes y en este Reglamento.</w:t>
      </w:r>
    </w:p>
    <w:p w14:paraId="3A4733BA" w14:textId="77777777" w:rsidR="00016FE1" w:rsidRPr="00565FE6" w:rsidRDefault="00016FE1" w:rsidP="002B6227">
      <w:pPr>
        <w:ind w:left="284" w:right="283"/>
        <w:jc w:val="both"/>
        <w:rPr>
          <w:rFonts w:ascii="Gotham" w:hAnsi="Gotham"/>
          <w:color w:val="0D0D0D"/>
          <w:sz w:val="19"/>
          <w:szCs w:val="19"/>
        </w:rPr>
      </w:pPr>
    </w:p>
    <w:p w14:paraId="3A4733BB" w14:textId="77777777" w:rsidR="00016FE1" w:rsidRDefault="00016FE1" w:rsidP="002B6227">
      <w:pPr>
        <w:ind w:left="284" w:right="283"/>
        <w:jc w:val="both"/>
        <w:rPr>
          <w:rFonts w:ascii="Gotham" w:hAnsi="Gotham"/>
          <w:color w:val="0D0D0D"/>
          <w:sz w:val="19"/>
          <w:szCs w:val="19"/>
        </w:rPr>
      </w:pPr>
      <w:r w:rsidRPr="00565FE6">
        <w:rPr>
          <w:rFonts w:ascii="Gotham" w:hAnsi="Gotham"/>
          <w:color w:val="0D0D0D"/>
          <w:sz w:val="19"/>
          <w:szCs w:val="19"/>
        </w:rPr>
        <w:t>Artículo 23. Las atribuciones de la persona titular de la Secretaria Técnica serán las siguientes:</w:t>
      </w:r>
    </w:p>
    <w:p w14:paraId="3A4733BC" w14:textId="77777777" w:rsidR="00016FE1" w:rsidRPr="00565FE6" w:rsidRDefault="00016FE1" w:rsidP="002B6227">
      <w:pPr>
        <w:ind w:left="284" w:right="283"/>
        <w:jc w:val="both"/>
        <w:rPr>
          <w:rFonts w:ascii="Gotham" w:hAnsi="Gotham"/>
          <w:color w:val="0D0D0D"/>
          <w:sz w:val="19"/>
          <w:szCs w:val="19"/>
        </w:rPr>
      </w:pPr>
    </w:p>
    <w:p w14:paraId="3A4733BD"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w:t>
      </w:r>
      <w:r w:rsidRPr="00565FE6">
        <w:rPr>
          <w:rFonts w:ascii="Gotham" w:hAnsi="Gotham"/>
          <w:color w:val="0D0D0D"/>
          <w:sz w:val="19"/>
          <w:szCs w:val="19"/>
        </w:rPr>
        <w:tab/>
        <w:t>Convocar cuando así se lo Instruya el Titular Sistema, a las sesiones ordinarias y extraordinarias conforme a lo dispuesto en la normatividad Municipal;</w:t>
      </w:r>
    </w:p>
    <w:p w14:paraId="3A4733BE"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II.</w:t>
      </w:r>
      <w:r w:rsidRPr="00565FE6">
        <w:rPr>
          <w:rFonts w:ascii="Gotham" w:hAnsi="Gotham"/>
          <w:color w:val="0D0D0D"/>
          <w:sz w:val="19"/>
          <w:szCs w:val="19"/>
        </w:rPr>
        <w:tab/>
        <w:t>Elaborar las actas, llevar su registro, administrar y conservar los documentos del Sistema;</w:t>
      </w:r>
    </w:p>
    <w:p w14:paraId="3A4733BF"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III.</w:t>
      </w:r>
      <w:r w:rsidRPr="00565FE6">
        <w:rPr>
          <w:rFonts w:ascii="Gotham" w:hAnsi="Gotham"/>
          <w:color w:val="0D0D0D"/>
          <w:sz w:val="19"/>
          <w:szCs w:val="19"/>
        </w:rPr>
        <w:tab/>
        <w:t xml:space="preserve"> Elaborar los proyectos de Estudio, así como los Programa Municipal para Prevenir, Atender y Eliminar la Discriminación e incorporar las reformas y recomendaciones que se generen durante el proceso de aprobación;</w:t>
      </w:r>
    </w:p>
    <w:p w14:paraId="3A4733C0"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IV.</w:t>
      </w:r>
      <w:r w:rsidRPr="00565FE6">
        <w:rPr>
          <w:rFonts w:ascii="Gotham" w:hAnsi="Gotham"/>
          <w:color w:val="0D0D0D"/>
          <w:sz w:val="19"/>
          <w:szCs w:val="19"/>
        </w:rPr>
        <w:tab/>
        <w:t>Distribuir el Programa entre todas las dependencias y entidades de la administración pública municipal;</w:t>
      </w:r>
    </w:p>
    <w:p w14:paraId="3A4733C1"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V.</w:t>
      </w:r>
      <w:r w:rsidRPr="00565FE6">
        <w:rPr>
          <w:rFonts w:ascii="Gotham" w:hAnsi="Gotham"/>
          <w:color w:val="0D0D0D"/>
          <w:sz w:val="19"/>
          <w:szCs w:val="19"/>
        </w:rPr>
        <w:tab/>
        <w:t>Elaborar, mantener actualizados y vigilar el cumplimiento de los lineamientos y protocolos para la atención de personas víctimas de discriminación; y</w:t>
      </w:r>
    </w:p>
    <w:p w14:paraId="3A4733C2" w14:textId="77777777" w:rsidR="00016FE1" w:rsidRPr="00565FE6" w:rsidRDefault="00016FE1" w:rsidP="002B6227">
      <w:pPr>
        <w:ind w:left="1134" w:right="283" w:hanging="850"/>
        <w:jc w:val="both"/>
        <w:rPr>
          <w:rFonts w:ascii="Gotham" w:hAnsi="Gotham"/>
          <w:color w:val="0D0D0D"/>
          <w:sz w:val="19"/>
          <w:szCs w:val="19"/>
        </w:rPr>
      </w:pPr>
      <w:r w:rsidRPr="000C5C92">
        <w:rPr>
          <w:rFonts w:ascii="Gotham" w:hAnsi="Gotham"/>
          <w:b/>
          <w:color w:val="0D0D0D"/>
          <w:sz w:val="19"/>
          <w:szCs w:val="19"/>
        </w:rPr>
        <w:t>VI.</w:t>
      </w:r>
      <w:r w:rsidRPr="00565FE6">
        <w:rPr>
          <w:rFonts w:ascii="Gotham" w:hAnsi="Gotham"/>
          <w:color w:val="0D0D0D"/>
          <w:sz w:val="19"/>
          <w:szCs w:val="19"/>
        </w:rPr>
        <w:tab/>
        <w:t>Sistematizar el informe de cumplimiento y evaluación de resultados del Programa.</w:t>
      </w:r>
    </w:p>
    <w:p w14:paraId="3A4733C3" w14:textId="77777777" w:rsidR="00016FE1" w:rsidRPr="00565FE6" w:rsidRDefault="00016FE1" w:rsidP="002B6227">
      <w:pPr>
        <w:ind w:left="284" w:right="283"/>
        <w:jc w:val="both"/>
        <w:rPr>
          <w:rFonts w:ascii="Gotham" w:hAnsi="Gotham"/>
          <w:color w:val="0D0D0D"/>
          <w:sz w:val="19"/>
          <w:szCs w:val="19"/>
        </w:rPr>
      </w:pPr>
    </w:p>
    <w:p w14:paraId="3A4733C4"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Artículo 24. El Sistema tendrá las siguientes atribuciones:</w:t>
      </w:r>
    </w:p>
    <w:p w14:paraId="3A4733C5" w14:textId="77777777" w:rsidR="00016FE1" w:rsidRPr="00565FE6" w:rsidRDefault="00016FE1" w:rsidP="002B6227">
      <w:pPr>
        <w:ind w:left="284" w:right="283"/>
        <w:jc w:val="both"/>
        <w:rPr>
          <w:rFonts w:ascii="Gotham" w:hAnsi="Gotham"/>
          <w:color w:val="0D0D0D"/>
          <w:sz w:val="19"/>
          <w:szCs w:val="19"/>
        </w:rPr>
      </w:pPr>
    </w:p>
    <w:p w14:paraId="3A4733C6"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w:t>
      </w:r>
      <w:r w:rsidRPr="00565FE6">
        <w:rPr>
          <w:rFonts w:ascii="Gotham" w:hAnsi="Gotham"/>
          <w:color w:val="0D0D0D"/>
          <w:sz w:val="19"/>
          <w:szCs w:val="19"/>
        </w:rPr>
        <w:tab/>
        <w:t>Discutir, nutrir y aprobar el Programa Municipal para Prevenir, Atender y Eliminar la Discriminación del cual se desprendan las estrategias, líneas de acción y actividades que realizará cada instancia;</w:t>
      </w:r>
    </w:p>
    <w:p w14:paraId="3A4733C7"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II.</w:t>
      </w:r>
      <w:r w:rsidRPr="00565FE6">
        <w:rPr>
          <w:rFonts w:ascii="Gotham" w:hAnsi="Gotham"/>
          <w:color w:val="0D0D0D"/>
          <w:sz w:val="19"/>
          <w:szCs w:val="19"/>
        </w:rPr>
        <w:tab/>
        <w:t>Proponer políticas, planes, programas, presupuestos, informe de actividades, así como los manuales administrativos y protocolos de actuación;</w:t>
      </w:r>
    </w:p>
    <w:p w14:paraId="3A4733C8"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lastRenderedPageBreak/>
        <w:t>III.</w:t>
      </w:r>
      <w:r w:rsidRPr="00565FE6">
        <w:rPr>
          <w:rFonts w:ascii="Gotham" w:hAnsi="Gotham"/>
          <w:color w:val="0D0D0D"/>
          <w:sz w:val="19"/>
          <w:szCs w:val="19"/>
        </w:rPr>
        <w:tab/>
        <w:t>Coordinar el diseño, ejecución y evaluación de las políticas públicas, programas, planes, manuales, modelos, protocolos y demás acciones generales y particulares concernientes al cumplimiento del objeto de las Leyes y el presente Reglamento;</w:t>
      </w:r>
    </w:p>
    <w:p w14:paraId="3A4733C9"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IV.</w:t>
      </w:r>
      <w:r w:rsidRPr="00565FE6">
        <w:rPr>
          <w:rFonts w:ascii="Gotham" w:hAnsi="Gotham"/>
          <w:color w:val="0D0D0D"/>
          <w:sz w:val="19"/>
          <w:szCs w:val="19"/>
        </w:rPr>
        <w:tab/>
        <w:t>Planear, programar, ejecutar las acciones de verificación para supervisar el cumplimiento de los instrumentos normativos en materia de igualdad y no discriminación;</w:t>
      </w:r>
    </w:p>
    <w:p w14:paraId="3A4733CA"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V.</w:t>
      </w:r>
      <w:r w:rsidRPr="00565FE6">
        <w:rPr>
          <w:rFonts w:ascii="Gotham" w:hAnsi="Gotham"/>
          <w:color w:val="0D0D0D"/>
          <w:sz w:val="19"/>
          <w:szCs w:val="19"/>
        </w:rPr>
        <w:tab/>
        <w:t>Promover la vinculación y coordinación interinstitucional entre las dependencias municipales, entidades del Poder Ejecutivo del Estado, la Comisión Estatal de Derechos Humanos Jalisco, y con las expresiones de la sociedad civil organizada para el cumplimiento de las atribuciones que les asigna la normativa aplicable, así como impulsar el establecimiento de los enlaces respectivos que faciliten dichas tareas;</w:t>
      </w:r>
    </w:p>
    <w:p w14:paraId="3A4733CB"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VI.</w:t>
      </w:r>
      <w:r w:rsidRPr="00565FE6">
        <w:rPr>
          <w:rFonts w:ascii="Gotham" w:hAnsi="Gotham"/>
          <w:color w:val="0D0D0D"/>
          <w:sz w:val="19"/>
          <w:szCs w:val="19"/>
        </w:rPr>
        <w:tab/>
        <w:t>Requerir información relevante a los objetivos del presente Reglamento a las instancias municipales;</w:t>
      </w:r>
    </w:p>
    <w:p w14:paraId="3A4733CC"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VII.</w:t>
      </w:r>
      <w:r w:rsidRPr="00565FE6">
        <w:rPr>
          <w:rFonts w:ascii="Gotham" w:hAnsi="Gotham"/>
          <w:color w:val="0D0D0D"/>
          <w:sz w:val="19"/>
          <w:szCs w:val="19"/>
        </w:rPr>
        <w:tab/>
        <w:t>Aprobar, a propuesta de su titular la integración de grupos de trabajo que se requieren para el cumplimiento de sus funciones;</w:t>
      </w:r>
    </w:p>
    <w:p w14:paraId="3A4733CD" w14:textId="77777777" w:rsidR="00016FE1" w:rsidRPr="00565FE6" w:rsidRDefault="00016FE1" w:rsidP="002B6227">
      <w:pPr>
        <w:spacing w:after="120"/>
        <w:ind w:left="1134" w:right="283" w:hanging="850"/>
        <w:jc w:val="both"/>
        <w:rPr>
          <w:rFonts w:ascii="Gotham" w:hAnsi="Gotham"/>
          <w:color w:val="0D0D0D"/>
          <w:sz w:val="19"/>
          <w:szCs w:val="19"/>
        </w:rPr>
      </w:pPr>
      <w:r w:rsidRPr="000C5C92">
        <w:rPr>
          <w:rFonts w:ascii="Gotham" w:hAnsi="Gotham"/>
          <w:b/>
          <w:color w:val="0D0D0D"/>
          <w:sz w:val="19"/>
          <w:szCs w:val="19"/>
        </w:rPr>
        <w:t>VIII.</w:t>
      </w:r>
      <w:r w:rsidRPr="00565FE6">
        <w:rPr>
          <w:rFonts w:ascii="Gotham" w:hAnsi="Gotham"/>
          <w:color w:val="0D0D0D"/>
          <w:sz w:val="19"/>
          <w:szCs w:val="19"/>
        </w:rPr>
        <w:tab/>
        <w:t>Realizar actividades y campañas de difusión, divulgación y orientación sobre las funciones que ejerce; y</w:t>
      </w:r>
    </w:p>
    <w:p w14:paraId="3A4733CE" w14:textId="77777777" w:rsidR="00016FE1" w:rsidRPr="00565FE6" w:rsidRDefault="00016FE1" w:rsidP="002B6227">
      <w:pPr>
        <w:ind w:left="1134" w:right="283" w:hanging="850"/>
        <w:jc w:val="both"/>
        <w:rPr>
          <w:rFonts w:ascii="Gotham" w:hAnsi="Gotham"/>
          <w:color w:val="0D0D0D"/>
          <w:sz w:val="19"/>
          <w:szCs w:val="19"/>
        </w:rPr>
      </w:pPr>
      <w:r w:rsidRPr="000C5C92">
        <w:rPr>
          <w:rFonts w:ascii="Gotham" w:hAnsi="Gotham"/>
          <w:b/>
          <w:color w:val="0D0D0D"/>
          <w:sz w:val="19"/>
          <w:szCs w:val="19"/>
        </w:rPr>
        <w:t>IX.</w:t>
      </w:r>
      <w:r w:rsidRPr="00565FE6">
        <w:rPr>
          <w:rFonts w:ascii="Gotham" w:hAnsi="Gotham"/>
          <w:color w:val="0D0D0D"/>
          <w:sz w:val="19"/>
          <w:szCs w:val="19"/>
        </w:rPr>
        <w:tab/>
        <w:t>Fungir como órgano garante y de supervisión del cumplimiento de lo establecido en la Ley Federal, Ley Estatal y el presente Reglamento.</w:t>
      </w:r>
    </w:p>
    <w:p w14:paraId="3A4733CF" w14:textId="77777777" w:rsidR="00016FE1" w:rsidRDefault="00016FE1" w:rsidP="002B6227">
      <w:pPr>
        <w:ind w:left="284" w:right="283"/>
        <w:jc w:val="both"/>
        <w:rPr>
          <w:rFonts w:ascii="Gotham" w:hAnsi="Gotham"/>
          <w:b/>
          <w:color w:val="0D0D0D"/>
          <w:sz w:val="19"/>
          <w:szCs w:val="19"/>
        </w:rPr>
      </w:pPr>
    </w:p>
    <w:p w14:paraId="3A4733D0" w14:textId="77777777" w:rsidR="00016FE1" w:rsidRPr="00565FE6" w:rsidRDefault="00016FE1" w:rsidP="002B6227">
      <w:pPr>
        <w:ind w:left="284" w:right="283"/>
        <w:jc w:val="both"/>
        <w:rPr>
          <w:rFonts w:ascii="Gotham" w:hAnsi="Gotham"/>
          <w:b/>
          <w:color w:val="0D0D0D"/>
          <w:sz w:val="19"/>
          <w:szCs w:val="19"/>
        </w:rPr>
      </w:pPr>
    </w:p>
    <w:p w14:paraId="3A4733D1"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TÍTULO TERCERO</w:t>
      </w:r>
    </w:p>
    <w:p w14:paraId="3A4733D2" w14:textId="77777777" w:rsidR="00016FE1" w:rsidRPr="00565FE6" w:rsidRDefault="00016FE1" w:rsidP="002B6227">
      <w:pPr>
        <w:ind w:left="284" w:right="283"/>
        <w:jc w:val="center"/>
        <w:rPr>
          <w:rFonts w:ascii="Gotham" w:hAnsi="Gotham"/>
          <w:b/>
          <w:color w:val="0D0D0D"/>
          <w:sz w:val="19"/>
          <w:szCs w:val="19"/>
          <w:highlight w:val="white"/>
        </w:rPr>
      </w:pPr>
      <w:r w:rsidRPr="00565FE6">
        <w:rPr>
          <w:rFonts w:ascii="Gotham" w:hAnsi="Gotham"/>
          <w:b/>
          <w:color w:val="0D0D0D"/>
          <w:sz w:val="19"/>
          <w:szCs w:val="19"/>
        </w:rPr>
        <w:t>MEDIDAS PARA PREVENIR, ATENDER Y ELIMINAR LA DISCRIMINACIÓN</w:t>
      </w:r>
    </w:p>
    <w:p w14:paraId="3A4733D3" w14:textId="77777777" w:rsidR="00016FE1" w:rsidRPr="00565FE6" w:rsidRDefault="00016FE1" w:rsidP="002B6227">
      <w:pPr>
        <w:ind w:left="284" w:right="283"/>
        <w:jc w:val="center"/>
        <w:rPr>
          <w:rFonts w:ascii="Gotham" w:hAnsi="Gotham"/>
          <w:color w:val="0D0D0D"/>
          <w:sz w:val="19"/>
          <w:szCs w:val="19"/>
          <w:highlight w:val="white"/>
        </w:rPr>
      </w:pPr>
    </w:p>
    <w:p w14:paraId="3A4733D4"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25.</w:t>
      </w:r>
      <w:r w:rsidRPr="00565FE6">
        <w:rPr>
          <w:rFonts w:ascii="Gotham" w:hAnsi="Gotham"/>
          <w:color w:val="0D0D0D"/>
          <w:sz w:val="19"/>
          <w:szCs w:val="19"/>
        </w:rPr>
        <w:t xml:space="preserve"> Las medidas para prevenir, atender y eliminar la discriminación tienen por objeto:</w:t>
      </w:r>
    </w:p>
    <w:p w14:paraId="3A4733D5" w14:textId="77777777" w:rsidR="00016FE1" w:rsidRPr="00565FE6" w:rsidRDefault="00016FE1" w:rsidP="002B6227">
      <w:pPr>
        <w:ind w:left="284" w:right="283"/>
        <w:jc w:val="both"/>
        <w:rPr>
          <w:rFonts w:ascii="Gotham" w:hAnsi="Gotham"/>
          <w:color w:val="0D0D0D"/>
          <w:sz w:val="19"/>
          <w:szCs w:val="19"/>
        </w:rPr>
      </w:pPr>
    </w:p>
    <w:p w14:paraId="3A4733D6" w14:textId="77777777" w:rsidR="00016FE1" w:rsidRPr="00565FE6" w:rsidRDefault="00016FE1" w:rsidP="002B6227">
      <w:pPr>
        <w:pStyle w:val="Prrafodelista"/>
        <w:numPr>
          <w:ilvl w:val="0"/>
          <w:numId w:val="141"/>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Garantizar el derecho humano a la igualdad y a la no discriminación;</w:t>
      </w:r>
    </w:p>
    <w:p w14:paraId="3A4733D7" w14:textId="77777777" w:rsidR="00016FE1" w:rsidRPr="00565FE6" w:rsidRDefault="00016FE1" w:rsidP="002B6227">
      <w:pPr>
        <w:pStyle w:val="Prrafodelista"/>
        <w:numPr>
          <w:ilvl w:val="0"/>
          <w:numId w:val="141"/>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Eliminar los obstáculos y las prácticas que en los hechos y en el derecho condicionen la igualdad de las personas y les impidan el pleno desarrollo y su participación en la vida política, económica, cultural, familiar y social del Municipio;</w:t>
      </w:r>
    </w:p>
    <w:p w14:paraId="3A4733D8" w14:textId="77777777" w:rsidR="00016FE1" w:rsidRPr="00565FE6" w:rsidRDefault="00016FE1" w:rsidP="002B6227">
      <w:pPr>
        <w:pStyle w:val="Prrafodelista"/>
        <w:numPr>
          <w:ilvl w:val="0"/>
          <w:numId w:val="141"/>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Promover y establecer políticas públicas, mecanismos y medidas tendientes a que las instituciones de la administración pública municipal lleven a cabo una efectiva protección contra actos discriminatorios, y garanticen en el ámbito de su competencia, el libre goce y ejercicio de los derechos fundamentales de las personas que viven o transitan en el Municipio;</w:t>
      </w:r>
    </w:p>
    <w:p w14:paraId="3A4733D9" w14:textId="77777777" w:rsidR="00016FE1" w:rsidRPr="00565FE6" w:rsidRDefault="00016FE1" w:rsidP="002B6227">
      <w:pPr>
        <w:pStyle w:val="Prrafodelista"/>
        <w:numPr>
          <w:ilvl w:val="0"/>
          <w:numId w:val="141"/>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Promover e impulsar la armonización del orden normativo municipal en materia de igualdad y no discriminación;</w:t>
      </w:r>
    </w:p>
    <w:p w14:paraId="3A4733DA" w14:textId="77777777" w:rsidR="00016FE1" w:rsidRPr="00565FE6" w:rsidRDefault="00016FE1" w:rsidP="002B6227">
      <w:pPr>
        <w:pStyle w:val="Prrafodelista"/>
        <w:numPr>
          <w:ilvl w:val="0"/>
          <w:numId w:val="141"/>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Promover los Derechos de las niñas, niños y adolescentes; y</w:t>
      </w:r>
    </w:p>
    <w:p w14:paraId="3A4733DB" w14:textId="77777777" w:rsidR="00016FE1" w:rsidRPr="00565FE6" w:rsidRDefault="00016FE1" w:rsidP="002B6227">
      <w:pPr>
        <w:pStyle w:val="Prrafodelista"/>
        <w:numPr>
          <w:ilvl w:val="0"/>
          <w:numId w:val="141"/>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Fortalecer la participación ciudadana en la formación de una nueva conciencia social y cultural en favor de la igualdad, diversidad, inclusión y no discriminación.</w:t>
      </w:r>
      <w:r w:rsidRPr="00565FE6">
        <w:rPr>
          <w:rFonts w:ascii="Gotham" w:hAnsi="Gotham"/>
          <w:color w:val="0D0D0D"/>
          <w:sz w:val="19"/>
          <w:szCs w:val="19"/>
        </w:rPr>
        <w:cr/>
      </w:r>
    </w:p>
    <w:p w14:paraId="3A4733DC"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26</w:t>
      </w:r>
      <w:r w:rsidRPr="00565FE6">
        <w:rPr>
          <w:rFonts w:ascii="Gotham" w:hAnsi="Gotham"/>
          <w:color w:val="0D0D0D"/>
          <w:sz w:val="19"/>
          <w:szCs w:val="19"/>
        </w:rPr>
        <w:t>. Las medidas de nivelación son aquellas que buscan hacer efectivo el acceso de todas las personas a la igualdad real de oportunidades eliminando las barreras físicas, comunicacionales, normativas o de otro tipo, que obstaculizan el ejercicio de derechos y libertades prioritariamente a las mujeres y a los grupos en situación de discriminación o vulnerabilidad.</w:t>
      </w:r>
    </w:p>
    <w:p w14:paraId="3A4733DD" w14:textId="77777777" w:rsidR="00016FE1" w:rsidRPr="00565FE6" w:rsidRDefault="00016FE1" w:rsidP="002B6227">
      <w:pPr>
        <w:ind w:left="284" w:right="283"/>
        <w:jc w:val="both"/>
        <w:rPr>
          <w:rFonts w:ascii="Gotham" w:hAnsi="Gotham"/>
          <w:color w:val="0D0D0D"/>
          <w:sz w:val="19"/>
          <w:szCs w:val="19"/>
        </w:rPr>
      </w:pPr>
    </w:p>
    <w:p w14:paraId="3A4733DE"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27</w:t>
      </w:r>
      <w:r w:rsidRPr="00565FE6">
        <w:rPr>
          <w:rFonts w:ascii="Gotham" w:hAnsi="Gotham"/>
          <w:color w:val="0D0D0D"/>
          <w:sz w:val="19"/>
          <w:szCs w:val="19"/>
        </w:rPr>
        <w:t>. Las medidas de inclusión son aquellas disposiciones, de carácter preventivo o correctivo, tienen por objeto eliminar prácticas, políticas o mecanismos de exclusión o diferenciaciones desventajosas para que todas las personas, grupos o entidad colectiva, gocen y ejerzan sus derechos en igualdad de trato.</w:t>
      </w:r>
    </w:p>
    <w:p w14:paraId="3A4733DF" w14:textId="77777777" w:rsidR="00016FE1" w:rsidRPr="00565FE6" w:rsidRDefault="00016FE1" w:rsidP="002B6227">
      <w:pPr>
        <w:ind w:left="284" w:right="283"/>
        <w:jc w:val="both"/>
        <w:rPr>
          <w:rFonts w:ascii="Gotham" w:hAnsi="Gotham"/>
          <w:color w:val="0D0D0D"/>
          <w:sz w:val="19"/>
          <w:szCs w:val="19"/>
        </w:rPr>
      </w:pPr>
    </w:p>
    <w:p w14:paraId="3A4733E0"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Las medidas de inclusión comprenden aquellas establecidas en la Ley Federal y en la Ley Estatal, sumadas además de dichas medidas, la promoción de la igualdad y la diversidad de las distintas expresiones sociales que convergen en el Municipio, así como el desarrollo de políticas que favorezcan la inclusión a favor de los grupos históricamente discriminados.</w:t>
      </w:r>
    </w:p>
    <w:p w14:paraId="3A4733E1" w14:textId="77777777" w:rsidR="00016FE1" w:rsidRPr="00565FE6" w:rsidRDefault="00016FE1" w:rsidP="002B6227">
      <w:pPr>
        <w:ind w:left="284" w:right="283"/>
        <w:jc w:val="both"/>
        <w:rPr>
          <w:rFonts w:ascii="Gotham" w:hAnsi="Gotham"/>
          <w:color w:val="0D0D0D"/>
          <w:sz w:val="19"/>
          <w:szCs w:val="19"/>
        </w:rPr>
      </w:pPr>
    </w:p>
    <w:p w14:paraId="3A4733E2" w14:textId="77777777" w:rsidR="00016FE1" w:rsidRPr="00565FE6" w:rsidRDefault="00016FE1" w:rsidP="002B6227">
      <w:pPr>
        <w:ind w:left="284" w:right="283"/>
        <w:jc w:val="both"/>
        <w:rPr>
          <w:rFonts w:ascii="Gotham" w:hAnsi="Gotham"/>
          <w:bCs/>
          <w:sz w:val="19"/>
          <w:szCs w:val="19"/>
        </w:rPr>
      </w:pPr>
      <w:r w:rsidRPr="00565FE6">
        <w:rPr>
          <w:rFonts w:ascii="Gotham" w:hAnsi="Gotham"/>
          <w:b/>
          <w:bCs/>
          <w:sz w:val="19"/>
          <w:szCs w:val="19"/>
        </w:rPr>
        <w:t xml:space="preserve">Artículo 28. </w:t>
      </w:r>
      <w:r w:rsidRPr="00565FE6">
        <w:rPr>
          <w:rFonts w:ascii="Gotham" w:hAnsi="Gotham"/>
          <w:bCs/>
          <w:sz w:val="19"/>
          <w:szCs w:val="19"/>
        </w:rPr>
        <w:t>Las dependencias y entidades públicas, realizarán las medidas de nivelación, inclusión y las acciones afirmativas necesarias para garantizar a toda persona la igualdad real de oportunidades y el derecho a la no discriminación.</w:t>
      </w:r>
    </w:p>
    <w:p w14:paraId="3A4733E3" w14:textId="77777777" w:rsidR="00016FE1" w:rsidRPr="00565FE6" w:rsidRDefault="00016FE1" w:rsidP="002B6227">
      <w:pPr>
        <w:ind w:left="284" w:right="283"/>
        <w:jc w:val="both"/>
        <w:rPr>
          <w:rFonts w:ascii="Gotham" w:hAnsi="Gotham"/>
          <w:b/>
          <w:bCs/>
          <w:sz w:val="19"/>
          <w:szCs w:val="19"/>
        </w:rPr>
      </w:pPr>
    </w:p>
    <w:p w14:paraId="3A4733E4" w14:textId="77777777" w:rsidR="00016FE1" w:rsidRPr="00565FE6" w:rsidRDefault="00016FE1" w:rsidP="002B6227">
      <w:pPr>
        <w:ind w:left="284" w:right="283"/>
        <w:jc w:val="both"/>
        <w:rPr>
          <w:rFonts w:ascii="Gotham" w:hAnsi="Gotham"/>
          <w:bCs/>
          <w:sz w:val="19"/>
          <w:szCs w:val="19"/>
        </w:rPr>
      </w:pPr>
      <w:r w:rsidRPr="00565FE6">
        <w:rPr>
          <w:rFonts w:ascii="Gotham" w:hAnsi="Gotham"/>
          <w:b/>
          <w:bCs/>
          <w:sz w:val="19"/>
          <w:szCs w:val="19"/>
        </w:rPr>
        <w:t xml:space="preserve">Artículo 29. </w:t>
      </w:r>
      <w:r w:rsidRPr="00565FE6">
        <w:rPr>
          <w:rFonts w:ascii="Gotham" w:hAnsi="Gotham"/>
          <w:bCs/>
          <w:sz w:val="19"/>
          <w:szCs w:val="19"/>
        </w:rPr>
        <w:t>Los entes públicos en el ámbito de sus atribuciones deberán proporcionar a quien lo solicite, la información sobre el cumplimiento de las medidas de nivelación, de inclusión y acciones afirmativas.</w:t>
      </w:r>
    </w:p>
    <w:p w14:paraId="3A4733E5" w14:textId="77777777" w:rsidR="00016FE1" w:rsidRPr="00565FE6" w:rsidRDefault="00016FE1" w:rsidP="002B6227">
      <w:pPr>
        <w:ind w:left="284" w:right="283"/>
        <w:jc w:val="both"/>
        <w:rPr>
          <w:rFonts w:ascii="Gotham" w:hAnsi="Gotham"/>
          <w:bCs/>
          <w:sz w:val="19"/>
          <w:szCs w:val="19"/>
        </w:rPr>
      </w:pPr>
    </w:p>
    <w:p w14:paraId="3A4733E6"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30.</w:t>
      </w:r>
      <w:r w:rsidRPr="00565FE6">
        <w:rPr>
          <w:rFonts w:ascii="Gotham" w:hAnsi="Gotham"/>
          <w:color w:val="0D0D0D"/>
          <w:sz w:val="19"/>
          <w:szCs w:val="19"/>
        </w:rPr>
        <w:t xml:space="preserve"> Las medidas de nivelación incluyen, entre otras: </w:t>
      </w:r>
    </w:p>
    <w:p w14:paraId="3A4733E7" w14:textId="77777777" w:rsidR="00016FE1" w:rsidRPr="00565FE6" w:rsidRDefault="00016FE1" w:rsidP="002B6227">
      <w:pPr>
        <w:ind w:left="284" w:right="283"/>
        <w:jc w:val="both"/>
        <w:rPr>
          <w:rFonts w:ascii="Gotham" w:hAnsi="Gotham"/>
          <w:color w:val="0D0D0D"/>
          <w:sz w:val="19"/>
          <w:szCs w:val="19"/>
        </w:rPr>
      </w:pPr>
    </w:p>
    <w:p w14:paraId="3A4733E8"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565FE6">
        <w:rPr>
          <w:rFonts w:ascii="Gotham" w:hAnsi="Gotham"/>
          <w:b/>
          <w:color w:val="0D0D0D"/>
          <w:sz w:val="19"/>
          <w:szCs w:val="19"/>
        </w:rPr>
        <w:t>I.</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Ajustes razonables en materia de accesibilidad física, de información y comunicaciones;</w:t>
      </w:r>
    </w:p>
    <w:p w14:paraId="3A4733E9"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565FE6">
        <w:rPr>
          <w:rFonts w:ascii="Gotham" w:hAnsi="Gotham"/>
          <w:b/>
          <w:color w:val="0D0D0D"/>
          <w:sz w:val="19"/>
          <w:szCs w:val="19"/>
        </w:rPr>
        <w:t>II.</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 xml:space="preserve">Diseño y distribución de comunicaciones oficiales, convocatorias públicas, libros de texto, licitaciones, de fácil acceso para las personas con discapacidad y personas indígenas; </w:t>
      </w:r>
    </w:p>
    <w:p w14:paraId="3A4733EA"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565FE6">
        <w:rPr>
          <w:rFonts w:ascii="Gotham" w:hAnsi="Gotham"/>
          <w:b/>
          <w:color w:val="0D0D0D"/>
          <w:sz w:val="19"/>
          <w:szCs w:val="19"/>
        </w:rPr>
        <w:t>III.</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 xml:space="preserve">Uso de intérpretes de lengua de señas mexicana en eventos públicos de las dependencias gubernamentales, así como el uso de intérpretes y traductores de lenguas indígenas cuando así se requiera; </w:t>
      </w:r>
    </w:p>
    <w:p w14:paraId="3A4733EB"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565FE6">
        <w:rPr>
          <w:rFonts w:ascii="Gotham" w:hAnsi="Gotham"/>
          <w:b/>
          <w:color w:val="0D0D0D"/>
          <w:sz w:val="19"/>
          <w:szCs w:val="19"/>
        </w:rPr>
        <w:t>IV</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 xml:space="preserve">La accesibilidad del entorno social, incluyendo acceso físico, de comunicaciones y de información; </w:t>
      </w:r>
    </w:p>
    <w:p w14:paraId="3A4733EC"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565FE6">
        <w:rPr>
          <w:rFonts w:ascii="Gotham" w:hAnsi="Gotham"/>
          <w:b/>
          <w:color w:val="0D0D0D"/>
          <w:sz w:val="19"/>
          <w:szCs w:val="19"/>
        </w:rPr>
        <w:t>V.</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Derogación o abrogación de las disposiciones normativas que resulten discriminatorias; y</w:t>
      </w:r>
    </w:p>
    <w:p w14:paraId="3A4733ED" w14:textId="77777777" w:rsidR="00016FE1" w:rsidRPr="00565FE6" w:rsidRDefault="00016FE1" w:rsidP="002B6227">
      <w:pPr>
        <w:pStyle w:val="Prrafodelista"/>
        <w:tabs>
          <w:tab w:val="left" w:pos="1134"/>
        </w:tabs>
        <w:ind w:left="1134" w:right="283" w:hanging="850"/>
        <w:contextualSpacing w:val="0"/>
        <w:jc w:val="both"/>
        <w:rPr>
          <w:rFonts w:ascii="Gotham" w:hAnsi="Gotham"/>
          <w:color w:val="0D0D0D"/>
          <w:sz w:val="19"/>
          <w:szCs w:val="19"/>
        </w:rPr>
      </w:pPr>
      <w:r w:rsidRPr="00565FE6">
        <w:rPr>
          <w:rFonts w:ascii="Gotham" w:hAnsi="Gotham"/>
          <w:b/>
          <w:color w:val="0D0D0D"/>
          <w:sz w:val="19"/>
          <w:szCs w:val="19"/>
        </w:rPr>
        <w:t>VI</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La implementación de licencias de paternidad, homologación de condiciones de derechos y prestaciones para los grupos en situación de discriminación o vulnerabilidad</w:t>
      </w:r>
    </w:p>
    <w:p w14:paraId="3A4733EE" w14:textId="77777777" w:rsidR="00016FE1" w:rsidRPr="00565FE6" w:rsidRDefault="00016FE1" w:rsidP="002B6227">
      <w:pPr>
        <w:ind w:left="284" w:right="283"/>
        <w:jc w:val="both"/>
        <w:rPr>
          <w:rFonts w:ascii="Gotham" w:hAnsi="Gotham"/>
          <w:color w:val="0D0D0D"/>
          <w:sz w:val="19"/>
          <w:szCs w:val="19"/>
        </w:rPr>
      </w:pPr>
    </w:p>
    <w:p w14:paraId="3A4733EF" w14:textId="77777777" w:rsidR="00016FE1" w:rsidRPr="00565FE6" w:rsidRDefault="00016FE1" w:rsidP="002B6227">
      <w:pPr>
        <w:ind w:left="284" w:right="283"/>
        <w:jc w:val="both"/>
        <w:rPr>
          <w:rFonts w:ascii="Gotham" w:hAnsi="Gotham"/>
          <w:sz w:val="19"/>
          <w:szCs w:val="19"/>
        </w:rPr>
      </w:pPr>
      <w:r w:rsidRPr="00565FE6">
        <w:rPr>
          <w:rFonts w:ascii="Gotham" w:hAnsi="Gotham"/>
          <w:b/>
          <w:bCs/>
          <w:sz w:val="19"/>
          <w:szCs w:val="19"/>
        </w:rPr>
        <w:t>Artículo 31.</w:t>
      </w:r>
      <w:r w:rsidRPr="00565FE6">
        <w:rPr>
          <w:rFonts w:ascii="Gotham" w:hAnsi="Gotham"/>
          <w:sz w:val="19"/>
          <w:szCs w:val="19"/>
        </w:rPr>
        <w:t xml:space="preserve"> Las medidas de inclusión podrán comprender, entre otras, las siguientes: </w:t>
      </w:r>
    </w:p>
    <w:p w14:paraId="3A4733F0" w14:textId="77777777" w:rsidR="00016FE1" w:rsidRPr="00565FE6" w:rsidRDefault="00016FE1" w:rsidP="002B6227">
      <w:pPr>
        <w:ind w:left="284" w:right="283"/>
        <w:jc w:val="both"/>
        <w:rPr>
          <w:rFonts w:ascii="Gotham" w:hAnsi="Gotham"/>
          <w:sz w:val="19"/>
          <w:szCs w:val="19"/>
        </w:rPr>
      </w:pPr>
    </w:p>
    <w:p w14:paraId="3A4733F1" w14:textId="77777777" w:rsidR="00016FE1" w:rsidRPr="00565FE6" w:rsidRDefault="00016FE1" w:rsidP="002B6227">
      <w:pPr>
        <w:tabs>
          <w:tab w:val="left" w:pos="1134"/>
        </w:tabs>
        <w:spacing w:after="120"/>
        <w:ind w:left="1134" w:right="283" w:hanging="850"/>
        <w:jc w:val="both"/>
        <w:rPr>
          <w:rFonts w:ascii="Gotham" w:hAnsi="Gotham"/>
          <w:sz w:val="19"/>
          <w:szCs w:val="19"/>
        </w:rPr>
      </w:pPr>
      <w:r w:rsidRPr="000C5C92">
        <w:rPr>
          <w:rFonts w:ascii="Gotham" w:hAnsi="Gotham"/>
          <w:b/>
          <w:sz w:val="19"/>
          <w:szCs w:val="19"/>
        </w:rPr>
        <w:t>I.</w:t>
      </w:r>
      <w:r w:rsidRPr="00565FE6">
        <w:rPr>
          <w:rFonts w:ascii="Gotham" w:hAnsi="Gotham"/>
          <w:sz w:val="19"/>
          <w:szCs w:val="19"/>
        </w:rPr>
        <w:t xml:space="preserve"> </w:t>
      </w:r>
      <w:r>
        <w:rPr>
          <w:rFonts w:ascii="Gotham" w:hAnsi="Gotham"/>
          <w:sz w:val="19"/>
          <w:szCs w:val="19"/>
        </w:rPr>
        <w:tab/>
      </w:r>
      <w:r w:rsidRPr="00565FE6">
        <w:rPr>
          <w:rFonts w:ascii="Gotham" w:hAnsi="Gotham"/>
          <w:sz w:val="19"/>
          <w:szCs w:val="19"/>
        </w:rPr>
        <w:t xml:space="preserve">La educación para la igualdad y la diversidad dentro del sistema educativo estatal; </w:t>
      </w:r>
    </w:p>
    <w:p w14:paraId="3A4733F2" w14:textId="77777777" w:rsidR="00016FE1" w:rsidRPr="00565FE6" w:rsidRDefault="00016FE1" w:rsidP="002B6227">
      <w:pPr>
        <w:tabs>
          <w:tab w:val="left" w:pos="1134"/>
        </w:tabs>
        <w:spacing w:after="120"/>
        <w:ind w:left="1134" w:right="283" w:hanging="850"/>
        <w:jc w:val="both"/>
        <w:rPr>
          <w:rFonts w:ascii="Gotham" w:hAnsi="Gotham"/>
          <w:sz w:val="19"/>
          <w:szCs w:val="19"/>
        </w:rPr>
      </w:pPr>
      <w:r w:rsidRPr="000C5C92">
        <w:rPr>
          <w:rFonts w:ascii="Gotham" w:hAnsi="Gotham"/>
          <w:b/>
          <w:sz w:val="19"/>
          <w:szCs w:val="19"/>
        </w:rPr>
        <w:t>II.</w:t>
      </w:r>
      <w:r w:rsidRPr="00565FE6">
        <w:rPr>
          <w:rFonts w:ascii="Gotham" w:hAnsi="Gotham"/>
          <w:sz w:val="19"/>
          <w:szCs w:val="19"/>
        </w:rPr>
        <w:t xml:space="preserve"> </w:t>
      </w:r>
      <w:r>
        <w:rPr>
          <w:rFonts w:ascii="Gotham" w:hAnsi="Gotham"/>
          <w:sz w:val="19"/>
          <w:szCs w:val="19"/>
        </w:rPr>
        <w:tab/>
      </w:r>
      <w:r w:rsidRPr="00565FE6">
        <w:rPr>
          <w:rFonts w:ascii="Gotham" w:hAnsi="Gotham"/>
          <w:sz w:val="19"/>
          <w:szCs w:val="19"/>
        </w:rPr>
        <w:t xml:space="preserve">La integración en el diseño, instrumentación y evaluación de las políticas públicas del derecho a la igualdad y no discriminación; </w:t>
      </w:r>
    </w:p>
    <w:p w14:paraId="3A4733F3" w14:textId="77777777" w:rsidR="00016FE1" w:rsidRPr="00565FE6" w:rsidRDefault="00016FE1" w:rsidP="002B6227">
      <w:pPr>
        <w:tabs>
          <w:tab w:val="left" w:pos="1134"/>
        </w:tabs>
        <w:spacing w:after="120"/>
        <w:ind w:left="1134" w:right="283" w:hanging="850"/>
        <w:jc w:val="both"/>
        <w:rPr>
          <w:rFonts w:ascii="Gotham" w:hAnsi="Gotham"/>
          <w:sz w:val="19"/>
          <w:szCs w:val="19"/>
        </w:rPr>
      </w:pPr>
      <w:r w:rsidRPr="000C5C92">
        <w:rPr>
          <w:rFonts w:ascii="Gotham" w:hAnsi="Gotham"/>
          <w:b/>
          <w:sz w:val="19"/>
          <w:szCs w:val="19"/>
        </w:rPr>
        <w:t>III.</w:t>
      </w:r>
      <w:r w:rsidRPr="00565FE6">
        <w:rPr>
          <w:rFonts w:ascii="Gotham" w:hAnsi="Gotham"/>
          <w:sz w:val="19"/>
          <w:szCs w:val="19"/>
        </w:rPr>
        <w:t xml:space="preserve"> </w:t>
      </w:r>
      <w:r>
        <w:rPr>
          <w:rFonts w:ascii="Gotham" w:hAnsi="Gotham"/>
          <w:sz w:val="19"/>
          <w:szCs w:val="19"/>
        </w:rPr>
        <w:tab/>
      </w:r>
      <w:r w:rsidRPr="00565FE6">
        <w:rPr>
          <w:rFonts w:ascii="Gotham" w:hAnsi="Gotham"/>
          <w:sz w:val="19"/>
          <w:szCs w:val="19"/>
        </w:rPr>
        <w:t>El desarrollo de políticas contra la misoginia, xenofobia o discriminación por apariencia;</w:t>
      </w:r>
    </w:p>
    <w:p w14:paraId="3A4733F4" w14:textId="77777777" w:rsidR="00016FE1" w:rsidRPr="00565FE6" w:rsidRDefault="00016FE1" w:rsidP="002B6227">
      <w:pPr>
        <w:tabs>
          <w:tab w:val="left" w:pos="1134"/>
        </w:tabs>
        <w:spacing w:after="120"/>
        <w:ind w:left="1134" w:right="283" w:hanging="850"/>
        <w:jc w:val="both"/>
        <w:rPr>
          <w:rFonts w:ascii="Gotham" w:hAnsi="Gotham"/>
          <w:sz w:val="19"/>
          <w:szCs w:val="19"/>
        </w:rPr>
      </w:pPr>
      <w:r w:rsidRPr="000C5C92">
        <w:rPr>
          <w:rFonts w:ascii="Gotham" w:hAnsi="Gotham"/>
          <w:b/>
          <w:sz w:val="19"/>
          <w:szCs w:val="19"/>
        </w:rPr>
        <w:t>IV.</w:t>
      </w:r>
      <w:r w:rsidRPr="00565FE6">
        <w:rPr>
          <w:rFonts w:ascii="Gotham" w:hAnsi="Gotham"/>
          <w:sz w:val="19"/>
          <w:szCs w:val="19"/>
        </w:rPr>
        <w:t xml:space="preserve"> </w:t>
      </w:r>
      <w:r>
        <w:rPr>
          <w:rFonts w:ascii="Gotham" w:hAnsi="Gotham"/>
          <w:sz w:val="19"/>
          <w:szCs w:val="19"/>
        </w:rPr>
        <w:tab/>
      </w:r>
      <w:r w:rsidRPr="00565FE6">
        <w:rPr>
          <w:rFonts w:ascii="Gotham" w:hAnsi="Gotham"/>
          <w:sz w:val="19"/>
          <w:szCs w:val="19"/>
        </w:rPr>
        <w:t>Las acciones de sensibilización y capacitación dirigidas a servidores públicos con el objetivo de combatir actitudes discriminatorias; y</w:t>
      </w:r>
    </w:p>
    <w:p w14:paraId="3A4733F5" w14:textId="77777777" w:rsidR="00016FE1" w:rsidRPr="00565FE6" w:rsidRDefault="00016FE1" w:rsidP="002B6227">
      <w:pPr>
        <w:tabs>
          <w:tab w:val="left" w:pos="1134"/>
        </w:tabs>
        <w:ind w:left="1134" w:right="283" w:hanging="850"/>
        <w:jc w:val="both"/>
        <w:rPr>
          <w:rFonts w:ascii="Gotham" w:hAnsi="Gotham"/>
          <w:sz w:val="19"/>
          <w:szCs w:val="19"/>
        </w:rPr>
      </w:pPr>
      <w:r w:rsidRPr="000C5C92">
        <w:rPr>
          <w:rFonts w:ascii="Gotham" w:hAnsi="Gotham"/>
          <w:b/>
          <w:sz w:val="19"/>
          <w:szCs w:val="19"/>
        </w:rPr>
        <w:t>V.</w:t>
      </w:r>
      <w:r w:rsidRPr="00565FE6">
        <w:rPr>
          <w:rFonts w:ascii="Gotham" w:hAnsi="Gotham"/>
          <w:sz w:val="19"/>
          <w:szCs w:val="19"/>
        </w:rPr>
        <w:t xml:space="preserve"> </w:t>
      </w:r>
      <w:r>
        <w:rPr>
          <w:rFonts w:ascii="Gotham" w:hAnsi="Gotham"/>
          <w:sz w:val="19"/>
          <w:szCs w:val="19"/>
        </w:rPr>
        <w:tab/>
      </w:r>
      <w:r w:rsidRPr="00565FE6">
        <w:rPr>
          <w:rFonts w:ascii="Gotham" w:hAnsi="Gotham"/>
          <w:sz w:val="19"/>
          <w:szCs w:val="19"/>
        </w:rPr>
        <w:t xml:space="preserve">El llevar a cabo campañas de difusión al interior de los poderes públicos estatales. </w:t>
      </w:r>
    </w:p>
    <w:p w14:paraId="3A4733F6" w14:textId="77777777" w:rsidR="00016FE1" w:rsidRPr="00565FE6" w:rsidRDefault="00016FE1" w:rsidP="002B6227">
      <w:pPr>
        <w:ind w:left="284" w:right="283"/>
        <w:jc w:val="both"/>
        <w:rPr>
          <w:rFonts w:ascii="Gotham" w:hAnsi="Gotham"/>
          <w:color w:val="0D0D0D"/>
          <w:sz w:val="19"/>
          <w:szCs w:val="19"/>
        </w:rPr>
      </w:pPr>
    </w:p>
    <w:p w14:paraId="3A4733F7" w14:textId="77777777" w:rsidR="00016FE1" w:rsidRPr="00565FE6" w:rsidRDefault="00016FE1" w:rsidP="002B6227">
      <w:pPr>
        <w:ind w:left="284" w:right="283"/>
        <w:jc w:val="both"/>
        <w:rPr>
          <w:rFonts w:ascii="Gotham" w:hAnsi="Gotham"/>
          <w:sz w:val="19"/>
          <w:szCs w:val="19"/>
        </w:rPr>
      </w:pPr>
      <w:r w:rsidRPr="00565FE6">
        <w:rPr>
          <w:rFonts w:ascii="Gotham" w:hAnsi="Gotham"/>
          <w:b/>
          <w:bCs/>
          <w:sz w:val="19"/>
          <w:szCs w:val="19"/>
        </w:rPr>
        <w:t>Artículo 32.</w:t>
      </w:r>
      <w:r w:rsidRPr="00565FE6">
        <w:rPr>
          <w:rFonts w:ascii="Gotham" w:hAnsi="Gotham"/>
          <w:sz w:val="19"/>
          <w:szCs w:val="19"/>
        </w:rPr>
        <w:t xml:space="preserve"> Las acciones afirmativas son las medidas especiales, específicas y de carácter temporal, a favor de personas o grupos en situación de discriminación, cuyo objetivo es corregir situaciones patentes de desigualdad en el disfrute o ejercicio de derechos y libertades, aplicables mientras subsistan dichas situaciones. Se adecuarán a la situación que quiera remediarse, deberán ser legítimas y respetar los principios de justicia y proporcionalidad. </w:t>
      </w:r>
    </w:p>
    <w:p w14:paraId="3A4733F8" w14:textId="77777777" w:rsidR="00016FE1" w:rsidRPr="00565FE6" w:rsidRDefault="00016FE1" w:rsidP="002B6227">
      <w:pPr>
        <w:ind w:left="284" w:right="283"/>
        <w:jc w:val="both"/>
        <w:rPr>
          <w:rFonts w:ascii="Gotham" w:hAnsi="Gotham"/>
          <w:sz w:val="19"/>
          <w:szCs w:val="19"/>
        </w:rPr>
      </w:pPr>
    </w:p>
    <w:p w14:paraId="3A4733F9" w14:textId="77777777" w:rsidR="00016FE1" w:rsidRPr="00565FE6" w:rsidRDefault="00016FE1" w:rsidP="002B6227">
      <w:pPr>
        <w:ind w:left="284" w:right="283"/>
        <w:jc w:val="both"/>
        <w:rPr>
          <w:rFonts w:ascii="Gotham" w:hAnsi="Gotham"/>
          <w:sz w:val="19"/>
          <w:szCs w:val="19"/>
        </w:rPr>
      </w:pPr>
      <w:r w:rsidRPr="00565FE6">
        <w:rPr>
          <w:rFonts w:ascii="Gotham" w:hAnsi="Gotham"/>
          <w:b/>
          <w:bCs/>
          <w:sz w:val="19"/>
          <w:szCs w:val="19"/>
        </w:rPr>
        <w:t>Artículo 33.</w:t>
      </w:r>
      <w:r w:rsidRPr="00565FE6">
        <w:rPr>
          <w:rFonts w:ascii="Gotham" w:hAnsi="Gotham"/>
          <w:sz w:val="19"/>
          <w:szCs w:val="19"/>
        </w:rPr>
        <w:t xml:space="preserve"> Las acciones afirmativas podrán incluir, entre otras, las medidas para favorecer el acceso, permanencia y promoción de personas pertenecientes a grupos en condiciones de vulnerabilidad y subrepresentados, en espacios educativos, laborales y cargos de elección popular a través del establecimiento de porcentajes o cuotas. </w:t>
      </w:r>
    </w:p>
    <w:p w14:paraId="3A4733FA" w14:textId="77777777" w:rsidR="00016FE1" w:rsidRPr="00565FE6" w:rsidRDefault="00016FE1" w:rsidP="002B6227">
      <w:pPr>
        <w:ind w:left="284" w:right="283"/>
        <w:jc w:val="both"/>
        <w:rPr>
          <w:rFonts w:ascii="Gotham" w:hAnsi="Gotham"/>
          <w:sz w:val="19"/>
          <w:szCs w:val="19"/>
        </w:rPr>
      </w:pPr>
    </w:p>
    <w:p w14:paraId="3A4733FB" w14:textId="77777777" w:rsidR="00016FE1" w:rsidRPr="00565FE6" w:rsidRDefault="00016FE1" w:rsidP="002B6227">
      <w:pPr>
        <w:ind w:left="284" w:right="283"/>
        <w:jc w:val="both"/>
        <w:rPr>
          <w:rFonts w:ascii="Gotham" w:hAnsi="Gotham"/>
          <w:sz w:val="19"/>
          <w:szCs w:val="19"/>
        </w:rPr>
      </w:pPr>
      <w:r w:rsidRPr="00565FE6">
        <w:rPr>
          <w:rFonts w:ascii="Gotham" w:hAnsi="Gotham"/>
          <w:sz w:val="19"/>
          <w:szCs w:val="19"/>
        </w:rPr>
        <w:lastRenderedPageBreak/>
        <w:t xml:space="preserve">Las acciones afirmativas serán prioritariamente aplicables hacia personas pertenecientes a los pueblos indígenas, afrodescendientes, mujeres, niñas, niños y adolescentes, personas con discapacidad y personas adultas mayores. </w:t>
      </w:r>
    </w:p>
    <w:p w14:paraId="3A4733FC" w14:textId="77777777" w:rsidR="00016FE1" w:rsidRPr="00565FE6" w:rsidRDefault="00016FE1" w:rsidP="002B6227">
      <w:pPr>
        <w:ind w:left="284" w:right="283"/>
        <w:jc w:val="both"/>
        <w:rPr>
          <w:rFonts w:ascii="Gotham" w:hAnsi="Gotham"/>
          <w:color w:val="0D0D0D"/>
          <w:sz w:val="19"/>
          <w:szCs w:val="19"/>
        </w:rPr>
      </w:pPr>
    </w:p>
    <w:p w14:paraId="3A4733FD"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34.</w:t>
      </w:r>
      <w:r w:rsidR="008402EC">
        <w:rPr>
          <w:rFonts w:ascii="Gotham" w:hAnsi="Gotham"/>
          <w:color w:val="0D0D0D"/>
          <w:sz w:val="19"/>
          <w:szCs w:val="19"/>
        </w:rPr>
        <w:t xml:space="preserve"> </w:t>
      </w:r>
      <w:r w:rsidRPr="00565FE6">
        <w:rPr>
          <w:rFonts w:ascii="Gotham" w:hAnsi="Gotham"/>
          <w:color w:val="0D0D0D"/>
          <w:sz w:val="19"/>
          <w:szCs w:val="19"/>
        </w:rPr>
        <w:t xml:space="preserve">El Ayuntamiento deberá prever en el presupuesto de egresos para cada ejercicio fiscal las asignaciones correspondientes para llevar a cabo las medidas y acciones a que se refiere el presente ordenamiento, de conformidad con la disponibilidad presupuestal y en los términos que el Ayuntamiento lo determine al aprobar el Presupuesto de Egresos para cada anualidad. </w:t>
      </w:r>
    </w:p>
    <w:p w14:paraId="3A4733FE" w14:textId="77777777" w:rsidR="00016FE1" w:rsidRPr="00565FE6" w:rsidRDefault="00016FE1" w:rsidP="002B6227">
      <w:pPr>
        <w:ind w:left="284" w:right="283"/>
        <w:jc w:val="both"/>
        <w:rPr>
          <w:rFonts w:ascii="Gotham" w:hAnsi="Gotham"/>
          <w:color w:val="0D0D0D"/>
          <w:sz w:val="19"/>
          <w:szCs w:val="19"/>
        </w:rPr>
      </w:pPr>
    </w:p>
    <w:p w14:paraId="3A4733FF"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Para efecto de lo anterior, deberán llevar a cabo la planeación, programación, aplicación y evaluación de las políticas públicas en materia de no discriminación, así como los lineamientos, instrumentos legales y procedimientos legales para su implementación.</w:t>
      </w:r>
    </w:p>
    <w:p w14:paraId="3A473400" w14:textId="77777777" w:rsidR="00016FE1" w:rsidRPr="00565FE6" w:rsidRDefault="00016FE1" w:rsidP="002B6227">
      <w:pPr>
        <w:ind w:left="284" w:right="283"/>
        <w:jc w:val="both"/>
        <w:rPr>
          <w:rFonts w:ascii="Gotham" w:hAnsi="Gotham"/>
          <w:bCs/>
          <w:sz w:val="19"/>
          <w:szCs w:val="19"/>
        </w:rPr>
      </w:pPr>
    </w:p>
    <w:p w14:paraId="3A473401"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La adopción de estas medidas forma parte de un ejercicio de la administración pública municipal con perspectiva de derechos humanos, género y no discriminación, que debe ser implementada de manera transversal y progresiva en el diseño, implementación y evaluación de las políticas públicas, así como la elaboración de un presupuesto con igualdad de trato que se lleven a cabo en el Municipio.</w:t>
      </w:r>
    </w:p>
    <w:p w14:paraId="3A473402" w14:textId="77777777" w:rsidR="00016FE1" w:rsidRPr="00565FE6" w:rsidRDefault="00016FE1" w:rsidP="002B6227">
      <w:pPr>
        <w:ind w:left="284" w:right="283"/>
        <w:jc w:val="both"/>
        <w:rPr>
          <w:rFonts w:ascii="Gotham" w:hAnsi="Gotham"/>
          <w:color w:val="0D0D0D"/>
          <w:sz w:val="19"/>
          <w:szCs w:val="19"/>
        </w:rPr>
      </w:pPr>
    </w:p>
    <w:p w14:paraId="3A473403"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35.</w:t>
      </w:r>
      <w:r w:rsidRPr="00565FE6">
        <w:rPr>
          <w:rFonts w:ascii="Gotham" w:hAnsi="Gotham"/>
          <w:color w:val="0D0D0D"/>
          <w:sz w:val="19"/>
          <w:szCs w:val="19"/>
        </w:rPr>
        <w:t xml:space="preserve"> Las medidas de prevención en la esfera de la educación son las siguientes: </w:t>
      </w:r>
    </w:p>
    <w:p w14:paraId="3A473404" w14:textId="77777777" w:rsidR="00016FE1" w:rsidRPr="00565FE6" w:rsidRDefault="00016FE1" w:rsidP="002B6227">
      <w:pPr>
        <w:ind w:left="284" w:right="283"/>
        <w:jc w:val="both"/>
        <w:rPr>
          <w:rFonts w:ascii="Gotham" w:hAnsi="Gotham"/>
          <w:color w:val="0D0D0D"/>
          <w:sz w:val="19"/>
          <w:szCs w:val="19"/>
        </w:rPr>
      </w:pPr>
    </w:p>
    <w:p w14:paraId="3A473405"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9500EE">
        <w:rPr>
          <w:rFonts w:ascii="Gotham" w:hAnsi="Gotham"/>
          <w:b/>
          <w:color w:val="0D0D0D"/>
          <w:sz w:val="19"/>
          <w:szCs w:val="19"/>
        </w:rPr>
        <w:t>I.</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Implementar los ajustes razonables bajo el principio de diseño universal en los centros educativos que así lo requieran;</w:t>
      </w:r>
    </w:p>
    <w:p w14:paraId="3A473406"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9500EE">
        <w:rPr>
          <w:rFonts w:ascii="Gotham" w:hAnsi="Gotham"/>
          <w:b/>
          <w:color w:val="0D0D0D"/>
          <w:sz w:val="19"/>
          <w:szCs w:val="19"/>
        </w:rPr>
        <w:t>II.</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 xml:space="preserve">La implementación de acciones de sensibilización e información dirigidas al personal docente, administrativo, estudiantes, madres y padres de familia de los centros educativos del Estado, en materia de no discriminación, no violencia y de igualdad de trato y oportunidades; </w:t>
      </w:r>
    </w:p>
    <w:p w14:paraId="3A473407"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9500EE">
        <w:rPr>
          <w:rFonts w:ascii="Gotham" w:hAnsi="Gotham"/>
          <w:b/>
          <w:color w:val="0D0D0D"/>
          <w:sz w:val="19"/>
          <w:szCs w:val="19"/>
        </w:rPr>
        <w:t>III.</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La promoción de la enseñanza bilingüe y pluricultural en los centros educativos en donde se encuentren estudiantes pertenecientes a pueblos indígenas u originarios, así como comunidades afromexicanas;</w:t>
      </w:r>
    </w:p>
    <w:p w14:paraId="3A473408" w14:textId="77777777" w:rsidR="00016FE1" w:rsidRPr="00565FE6" w:rsidRDefault="00016FE1" w:rsidP="002B6227">
      <w:pPr>
        <w:tabs>
          <w:tab w:val="left" w:pos="1134"/>
        </w:tabs>
        <w:spacing w:after="120"/>
        <w:ind w:left="1134" w:right="283" w:hanging="850"/>
        <w:jc w:val="both"/>
        <w:rPr>
          <w:rFonts w:ascii="Gotham" w:hAnsi="Gotham"/>
          <w:color w:val="0D0D0D"/>
          <w:sz w:val="19"/>
          <w:szCs w:val="19"/>
        </w:rPr>
      </w:pPr>
      <w:r w:rsidRPr="009500EE">
        <w:rPr>
          <w:rFonts w:ascii="Gotham" w:hAnsi="Gotham"/>
          <w:b/>
          <w:color w:val="0D0D0D"/>
          <w:sz w:val="19"/>
          <w:szCs w:val="19"/>
        </w:rPr>
        <w:t>IV.</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Utilizar la lengua de señas mexicana para el alumnado que así lo requiera; e</w:t>
      </w:r>
    </w:p>
    <w:p w14:paraId="3A473409" w14:textId="77777777" w:rsidR="00016FE1" w:rsidRPr="00565FE6" w:rsidRDefault="00016FE1" w:rsidP="002B6227">
      <w:pPr>
        <w:tabs>
          <w:tab w:val="left" w:pos="1134"/>
        </w:tabs>
        <w:ind w:left="1134" w:right="283" w:hanging="850"/>
        <w:jc w:val="both"/>
        <w:rPr>
          <w:rFonts w:ascii="Gotham" w:hAnsi="Gotham"/>
          <w:color w:val="0D0D0D"/>
          <w:sz w:val="19"/>
          <w:szCs w:val="19"/>
        </w:rPr>
      </w:pPr>
      <w:r w:rsidRPr="009500EE">
        <w:rPr>
          <w:rFonts w:ascii="Gotham" w:hAnsi="Gotham"/>
          <w:b/>
          <w:color w:val="0D0D0D"/>
          <w:sz w:val="19"/>
          <w:szCs w:val="19"/>
        </w:rPr>
        <w:t>V.</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Incluir en los planes de estudio contenidos relativos a la composición multicultural y a los derechos y libertades fundamentales de las personas.</w:t>
      </w:r>
    </w:p>
    <w:p w14:paraId="3A47340A" w14:textId="77777777" w:rsidR="00016FE1" w:rsidRPr="00565FE6" w:rsidRDefault="00016FE1" w:rsidP="002B6227">
      <w:pPr>
        <w:ind w:left="284" w:right="283"/>
        <w:jc w:val="both"/>
        <w:rPr>
          <w:rFonts w:ascii="Gotham" w:hAnsi="Gotham"/>
          <w:b/>
          <w:color w:val="0D0D0D"/>
          <w:sz w:val="19"/>
          <w:szCs w:val="19"/>
        </w:rPr>
      </w:pPr>
    </w:p>
    <w:p w14:paraId="3A47340B"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36.</w:t>
      </w:r>
      <w:r w:rsidRPr="00565FE6">
        <w:rPr>
          <w:rFonts w:ascii="Gotham" w:hAnsi="Gotham"/>
          <w:color w:val="0D0D0D"/>
          <w:sz w:val="19"/>
          <w:szCs w:val="19"/>
        </w:rPr>
        <w:t xml:space="preserve"> Las medidas de prevención relativas a la participación en la vida pública de las personas, grupos y comunidades son las siguientes:</w:t>
      </w:r>
    </w:p>
    <w:p w14:paraId="3A47340C" w14:textId="77777777" w:rsidR="00016FE1" w:rsidRPr="00565FE6" w:rsidRDefault="00016FE1" w:rsidP="002B6227">
      <w:pPr>
        <w:ind w:left="284" w:right="283"/>
        <w:jc w:val="both"/>
        <w:rPr>
          <w:rFonts w:ascii="Gotham" w:hAnsi="Gotham"/>
          <w:color w:val="0D0D0D"/>
          <w:sz w:val="19"/>
          <w:szCs w:val="19"/>
        </w:rPr>
      </w:pPr>
    </w:p>
    <w:p w14:paraId="3A47340D" w14:textId="77777777" w:rsidR="00016FE1" w:rsidRPr="00565FE6" w:rsidRDefault="00016FE1" w:rsidP="002B6227">
      <w:pPr>
        <w:pStyle w:val="Prrafodelista"/>
        <w:numPr>
          <w:ilvl w:val="0"/>
          <w:numId w:val="146"/>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Fomentar los cambios al marco legal correspondiente para permitir el acceso a la administración pública, a los cargos de elección popular y a la construcción de políticas públicas;</w:t>
      </w:r>
    </w:p>
    <w:p w14:paraId="3A47340E" w14:textId="77777777" w:rsidR="00016FE1" w:rsidRPr="00565FE6" w:rsidRDefault="00016FE1" w:rsidP="002B6227">
      <w:pPr>
        <w:pStyle w:val="Prrafodelista"/>
        <w:numPr>
          <w:ilvl w:val="0"/>
          <w:numId w:val="146"/>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Diseño y distribución de comunicaciones oficiales, convocatorias públicas, libros de texto, licitaciones, entre otros, en formato braille o en lenguas indígenas;</w:t>
      </w:r>
    </w:p>
    <w:p w14:paraId="3A47340F" w14:textId="77777777" w:rsidR="00016FE1" w:rsidRPr="00565FE6" w:rsidRDefault="00016FE1" w:rsidP="002B6227">
      <w:pPr>
        <w:pStyle w:val="Prrafodelista"/>
        <w:numPr>
          <w:ilvl w:val="0"/>
          <w:numId w:val="146"/>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Uso de intérpretes de lengua de señas mexicana en los eventos públicos de todas las dependencias gubernamentales y en los tiempos oficiales de televisión; y</w:t>
      </w:r>
    </w:p>
    <w:p w14:paraId="3A473410" w14:textId="77777777" w:rsidR="00016FE1" w:rsidRPr="00565FE6" w:rsidRDefault="00016FE1" w:rsidP="002B6227">
      <w:pPr>
        <w:pStyle w:val="Prrafodelista"/>
        <w:numPr>
          <w:ilvl w:val="0"/>
          <w:numId w:val="146"/>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Fortalecer los mecanismos de participación ciudadana existentes en la legislación. </w:t>
      </w:r>
    </w:p>
    <w:p w14:paraId="3A473411" w14:textId="77777777" w:rsidR="00016FE1" w:rsidRPr="00565FE6" w:rsidRDefault="00016FE1" w:rsidP="002B6227">
      <w:pPr>
        <w:ind w:left="284" w:right="283"/>
        <w:jc w:val="both"/>
        <w:rPr>
          <w:rFonts w:ascii="Gotham" w:hAnsi="Gotham"/>
          <w:color w:val="0D0D0D"/>
          <w:sz w:val="19"/>
          <w:szCs w:val="19"/>
        </w:rPr>
      </w:pPr>
    </w:p>
    <w:p w14:paraId="3A473412"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37.</w:t>
      </w:r>
      <w:r w:rsidRPr="00565FE6">
        <w:rPr>
          <w:rFonts w:ascii="Gotham" w:hAnsi="Gotham"/>
          <w:color w:val="0D0D0D"/>
          <w:sz w:val="19"/>
          <w:szCs w:val="19"/>
        </w:rPr>
        <w:t xml:space="preserve"> Las medidas de prevención en la esfera de la procuración y administración de justicia son las siguientes:</w:t>
      </w:r>
    </w:p>
    <w:p w14:paraId="3A473413" w14:textId="77777777" w:rsidR="00016FE1" w:rsidRPr="00565FE6" w:rsidRDefault="00016FE1" w:rsidP="002B6227">
      <w:pPr>
        <w:ind w:left="284" w:right="283"/>
        <w:jc w:val="both"/>
        <w:rPr>
          <w:rFonts w:ascii="Gotham" w:hAnsi="Gotham"/>
          <w:color w:val="0D0D0D"/>
          <w:sz w:val="19"/>
          <w:szCs w:val="19"/>
        </w:rPr>
      </w:pPr>
    </w:p>
    <w:p w14:paraId="3A473414" w14:textId="77777777" w:rsidR="00016FE1" w:rsidRPr="00565FE6" w:rsidRDefault="00016FE1" w:rsidP="002B6227">
      <w:pPr>
        <w:pStyle w:val="Prrafodelista"/>
        <w:numPr>
          <w:ilvl w:val="0"/>
          <w:numId w:val="145"/>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Garantizar la igualdad de acceso al sistema judicial y de procuración de justicia, proporcionando la ayuda necesaria de acuerdo a sus características específicas; y</w:t>
      </w:r>
    </w:p>
    <w:p w14:paraId="3A473415" w14:textId="77777777" w:rsidR="00016FE1" w:rsidRPr="00565FE6" w:rsidRDefault="00016FE1" w:rsidP="002B6227">
      <w:pPr>
        <w:pStyle w:val="Prrafodelista"/>
        <w:numPr>
          <w:ilvl w:val="0"/>
          <w:numId w:val="145"/>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lastRenderedPageBreak/>
        <w:t>Proporcionar, en los términos de la legislación aplicable, asistencia legal y psicológica gratuita; intérpretes y traductores a todas las personas que lo requieran, velando equitativamente por sus derechos en los procedimientos judiciales o administrativos en que sea procedente.</w:t>
      </w:r>
    </w:p>
    <w:p w14:paraId="3A473416" w14:textId="77777777" w:rsidR="00016FE1" w:rsidRPr="00565FE6" w:rsidRDefault="00016FE1" w:rsidP="002B6227">
      <w:pPr>
        <w:ind w:left="284" w:right="283"/>
        <w:jc w:val="both"/>
        <w:rPr>
          <w:rFonts w:ascii="Gotham" w:hAnsi="Gotham"/>
          <w:color w:val="0D0D0D"/>
          <w:sz w:val="19"/>
          <w:szCs w:val="19"/>
        </w:rPr>
      </w:pPr>
    </w:p>
    <w:p w14:paraId="3A473417"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38.</w:t>
      </w:r>
      <w:r w:rsidRPr="00565FE6">
        <w:rPr>
          <w:rFonts w:ascii="Gotham" w:hAnsi="Gotham"/>
          <w:color w:val="0D0D0D"/>
          <w:sz w:val="19"/>
          <w:szCs w:val="19"/>
        </w:rPr>
        <w:t xml:space="preserve"> Las medidas de prevención en la esfera de la seguridad y la integridad de las personas, grupos y comunidades son las siguientes:</w:t>
      </w:r>
    </w:p>
    <w:p w14:paraId="3A473418" w14:textId="77777777" w:rsidR="00016FE1" w:rsidRPr="00565FE6" w:rsidRDefault="00016FE1" w:rsidP="002B6227">
      <w:pPr>
        <w:ind w:left="284" w:right="283"/>
        <w:jc w:val="both"/>
        <w:rPr>
          <w:rFonts w:ascii="Gotham" w:hAnsi="Gotham"/>
          <w:color w:val="0D0D0D"/>
          <w:sz w:val="19"/>
          <w:szCs w:val="19"/>
        </w:rPr>
      </w:pPr>
    </w:p>
    <w:p w14:paraId="3A473419" w14:textId="77777777" w:rsidR="00016FE1" w:rsidRPr="00565FE6" w:rsidRDefault="00016FE1" w:rsidP="002B6227">
      <w:pPr>
        <w:pStyle w:val="Prrafodelista"/>
        <w:numPr>
          <w:ilvl w:val="0"/>
          <w:numId w:val="144"/>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Adoptar medidas para evitar los actos de violencia, así como investigar y sancionar de resultar procedente, a los responsables; y</w:t>
      </w:r>
    </w:p>
    <w:p w14:paraId="3A47341A" w14:textId="77777777" w:rsidR="00016FE1" w:rsidRPr="00565FE6" w:rsidRDefault="00016FE1" w:rsidP="002B6227">
      <w:pPr>
        <w:pStyle w:val="Prrafodelista"/>
        <w:numPr>
          <w:ilvl w:val="0"/>
          <w:numId w:val="144"/>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Generar mecanismos para garantizar el respeto, la no discriminación y la no violencia institucional por parte de los cuerpos de seguridad pública.</w:t>
      </w:r>
    </w:p>
    <w:p w14:paraId="3A47341B" w14:textId="77777777" w:rsidR="00016FE1" w:rsidRPr="00565FE6" w:rsidRDefault="00016FE1" w:rsidP="002B6227">
      <w:pPr>
        <w:ind w:left="284" w:right="283"/>
        <w:jc w:val="both"/>
        <w:rPr>
          <w:rFonts w:ascii="Gotham" w:hAnsi="Gotham"/>
          <w:color w:val="0D0D0D"/>
          <w:sz w:val="19"/>
          <w:szCs w:val="19"/>
        </w:rPr>
      </w:pPr>
    </w:p>
    <w:p w14:paraId="3A47341C"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39.</w:t>
      </w:r>
      <w:r w:rsidRPr="00565FE6">
        <w:rPr>
          <w:rFonts w:ascii="Gotham" w:hAnsi="Gotham"/>
          <w:color w:val="0D0D0D"/>
          <w:sz w:val="19"/>
          <w:szCs w:val="19"/>
        </w:rPr>
        <w:t xml:space="preserve"> Las medidas de prevención relativas a los medios de comunicación son las siguientes:</w:t>
      </w:r>
    </w:p>
    <w:p w14:paraId="3A47341D" w14:textId="77777777" w:rsidR="00016FE1" w:rsidRPr="00565FE6" w:rsidRDefault="00016FE1" w:rsidP="002B6227">
      <w:pPr>
        <w:ind w:left="284" w:right="283"/>
        <w:jc w:val="both"/>
        <w:rPr>
          <w:rFonts w:ascii="Gotham" w:hAnsi="Gotham"/>
          <w:color w:val="0D0D0D"/>
          <w:sz w:val="19"/>
          <w:szCs w:val="19"/>
        </w:rPr>
      </w:pPr>
    </w:p>
    <w:p w14:paraId="3A47341E" w14:textId="77777777" w:rsidR="00016FE1" w:rsidRPr="00565FE6" w:rsidRDefault="00016FE1" w:rsidP="002B6227">
      <w:pPr>
        <w:pStyle w:val="Prrafodelista"/>
        <w:numPr>
          <w:ilvl w:val="0"/>
          <w:numId w:val="143"/>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Promover que las personas o empresas anunciantes, las agencias de publicidad y en general los medios masivos de comunicación eliminen contenidos que inciten al odio, la superioridad de algunos grupos, la discriminación y la violencia;</w:t>
      </w:r>
    </w:p>
    <w:p w14:paraId="3A47341F" w14:textId="77777777" w:rsidR="00016FE1" w:rsidRPr="00565FE6" w:rsidRDefault="00016FE1" w:rsidP="002B6227">
      <w:pPr>
        <w:pStyle w:val="Prrafodelista"/>
        <w:numPr>
          <w:ilvl w:val="0"/>
          <w:numId w:val="143"/>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Publicar en coordinación con los medios masivos de comunicación, campañas de información que condenen toda forma de discriminación y violencia; y </w:t>
      </w:r>
    </w:p>
    <w:p w14:paraId="3A473420" w14:textId="77777777" w:rsidR="00016FE1" w:rsidRPr="00565FE6" w:rsidRDefault="00016FE1" w:rsidP="002B6227">
      <w:pPr>
        <w:pStyle w:val="Prrafodelista"/>
        <w:numPr>
          <w:ilvl w:val="0"/>
          <w:numId w:val="143"/>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Garantizar que los entes públicos destinen parte de sus espacios en los medios masivos de comunicación para promover la igualdad de trato y oportunidades.</w:t>
      </w:r>
    </w:p>
    <w:p w14:paraId="3A473421" w14:textId="77777777" w:rsidR="00016FE1" w:rsidRDefault="00016FE1" w:rsidP="002B6227">
      <w:pPr>
        <w:ind w:left="284" w:right="283"/>
        <w:jc w:val="both"/>
        <w:rPr>
          <w:rFonts w:ascii="Gotham" w:hAnsi="Gotham"/>
          <w:color w:val="0D0D0D"/>
          <w:sz w:val="19"/>
          <w:szCs w:val="19"/>
        </w:rPr>
      </w:pPr>
    </w:p>
    <w:p w14:paraId="3A473422" w14:textId="77777777" w:rsidR="00016FE1" w:rsidRPr="00565FE6" w:rsidRDefault="00016FE1" w:rsidP="002B6227">
      <w:pPr>
        <w:ind w:left="284" w:right="283"/>
        <w:jc w:val="both"/>
        <w:rPr>
          <w:rFonts w:ascii="Gotham" w:hAnsi="Gotham"/>
          <w:color w:val="0D0D0D"/>
          <w:sz w:val="19"/>
          <w:szCs w:val="19"/>
        </w:rPr>
      </w:pPr>
    </w:p>
    <w:p w14:paraId="3A473423"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TÍTULO TERCERO</w:t>
      </w:r>
    </w:p>
    <w:p w14:paraId="3A473424"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DE LA ORIENTACIÓN Y LA QUEJA</w:t>
      </w:r>
    </w:p>
    <w:p w14:paraId="3A473425" w14:textId="77777777" w:rsidR="00016FE1" w:rsidRPr="00565FE6" w:rsidRDefault="00016FE1" w:rsidP="002B6227">
      <w:pPr>
        <w:ind w:left="284" w:right="283"/>
        <w:jc w:val="both"/>
        <w:rPr>
          <w:rFonts w:ascii="Gotham" w:hAnsi="Gotham"/>
          <w:b/>
          <w:color w:val="0D0D0D"/>
          <w:sz w:val="19"/>
          <w:szCs w:val="19"/>
        </w:rPr>
      </w:pPr>
    </w:p>
    <w:p w14:paraId="3A473426"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 xml:space="preserve">Artículo 40. </w:t>
      </w:r>
      <w:r w:rsidRPr="00565FE6">
        <w:rPr>
          <w:rFonts w:ascii="Gotham" w:hAnsi="Gotham"/>
          <w:color w:val="0D0D0D"/>
          <w:sz w:val="19"/>
          <w:szCs w:val="19"/>
        </w:rPr>
        <w:t xml:space="preserve">Para la orientación de las y los ciudadanos respecto a los derechos que les asisten y los medios para hacerlos valer, el Municipio dispondrá de medios de divulgación para prestar asesoría y orientación en materia del presente Reglamento. </w:t>
      </w:r>
    </w:p>
    <w:p w14:paraId="3A473427" w14:textId="77777777" w:rsidR="00016FE1" w:rsidRPr="00565FE6" w:rsidRDefault="00016FE1" w:rsidP="002B6227">
      <w:pPr>
        <w:ind w:left="284" w:right="283"/>
        <w:jc w:val="both"/>
        <w:rPr>
          <w:rFonts w:ascii="Gotham" w:hAnsi="Gotham"/>
          <w:color w:val="0D0D0D"/>
          <w:sz w:val="19"/>
          <w:szCs w:val="19"/>
        </w:rPr>
      </w:pPr>
    </w:p>
    <w:p w14:paraId="3A473428"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41.</w:t>
      </w:r>
      <w:r w:rsidRPr="00565FE6">
        <w:rPr>
          <w:rFonts w:ascii="Gotham" w:hAnsi="Gotham"/>
          <w:color w:val="0D0D0D"/>
          <w:sz w:val="19"/>
          <w:szCs w:val="19"/>
        </w:rPr>
        <w:t xml:space="preserve"> De los presuntos actos, omisiones o prácticas sociales discriminatorias a que se refiere el presente Reglamento, atribuibles a servidoras y servidores públicos, así como a personas que tengan una relación jurídica o administrativa con el Municipio y dispondrá de medios de divulgación derivados de canales institucionales, página web, vía telefónica y/o redes sociales, para prestar asesoría y orientación en materia de prevención y combate a la discriminación.</w:t>
      </w:r>
    </w:p>
    <w:p w14:paraId="3A473429" w14:textId="77777777" w:rsidR="00016FE1" w:rsidRPr="00565FE6" w:rsidRDefault="00016FE1" w:rsidP="002B6227">
      <w:pPr>
        <w:ind w:left="284" w:right="283"/>
        <w:jc w:val="both"/>
        <w:rPr>
          <w:rFonts w:ascii="Gotham" w:hAnsi="Gotham"/>
          <w:color w:val="0D0D0D"/>
          <w:sz w:val="19"/>
          <w:szCs w:val="19"/>
        </w:rPr>
      </w:pPr>
    </w:p>
    <w:p w14:paraId="3A47342A"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42.</w:t>
      </w:r>
      <w:r w:rsidRPr="00565FE6">
        <w:rPr>
          <w:rFonts w:ascii="Gotham" w:hAnsi="Gotham"/>
          <w:color w:val="0D0D0D"/>
          <w:sz w:val="19"/>
          <w:szCs w:val="19"/>
        </w:rPr>
        <w:t xml:space="preserve"> Tratándose de personas cuya lengua materna no sea el español, aquellas pertenecientes a pueblos originarios y comunidades indígenas, personas con discapacidad auditiva, visual o personas que así lo requieran, se les proporcionará gratuitamente desde el primer momento posible, la versión braille de lo requerido, un traductor o intérprete que tenga conocimiento de su lengua y de preferencia de su contexto cultural, o en su caso interprete de Lengua de Señas Mexicana</w:t>
      </w:r>
    </w:p>
    <w:p w14:paraId="3A47342B" w14:textId="77777777" w:rsidR="00016FE1" w:rsidRPr="00565FE6" w:rsidRDefault="00016FE1" w:rsidP="002B6227">
      <w:pPr>
        <w:ind w:left="284" w:right="283"/>
        <w:jc w:val="both"/>
        <w:rPr>
          <w:rFonts w:ascii="Gotham" w:hAnsi="Gotham"/>
          <w:color w:val="0D0D0D"/>
          <w:sz w:val="19"/>
          <w:szCs w:val="19"/>
        </w:rPr>
      </w:pPr>
    </w:p>
    <w:p w14:paraId="3A47342C"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43.</w:t>
      </w:r>
      <w:r w:rsidRPr="00565FE6">
        <w:rPr>
          <w:rFonts w:ascii="Gotham" w:hAnsi="Gotham"/>
          <w:color w:val="0D0D0D"/>
          <w:sz w:val="19"/>
          <w:szCs w:val="19"/>
        </w:rPr>
        <w:t xml:space="preserve"> La Dirección de Participación Ciudadana recibirá, atenderá y canalizará a las personas con motivo de presuntos actos, omisiones o prácticas sociales discriminatorias.</w:t>
      </w:r>
    </w:p>
    <w:p w14:paraId="3A47342D" w14:textId="77777777" w:rsidR="00016FE1" w:rsidRPr="00565FE6" w:rsidRDefault="00016FE1" w:rsidP="002B6227">
      <w:pPr>
        <w:ind w:left="284" w:right="283"/>
        <w:jc w:val="both"/>
        <w:rPr>
          <w:rFonts w:ascii="Gotham" w:hAnsi="Gotham"/>
          <w:color w:val="0D0D0D"/>
          <w:sz w:val="19"/>
          <w:szCs w:val="19"/>
        </w:rPr>
      </w:pPr>
    </w:p>
    <w:p w14:paraId="3A47342E"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44.</w:t>
      </w:r>
      <w:r w:rsidRPr="00565FE6">
        <w:rPr>
          <w:rFonts w:ascii="Gotham" w:hAnsi="Gotham"/>
          <w:color w:val="0D0D0D"/>
          <w:sz w:val="19"/>
          <w:szCs w:val="19"/>
        </w:rPr>
        <w:t xml:space="preserve"> Cualquier persona por sí o por medio de su representante podrá informar sobre actos, hechos, omisiones o prácticas que considere discriminatorias, pudiendo ser de manera anónima, debiendo constar por escrito ante la Dirección de Participación Ciudadana, para el caso de no serlo deberá contar con la firma o huella digital de la parte peticionaria y deberá contener lo siguiente:</w:t>
      </w:r>
    </w:p>
    <w:p w14:paraId="3A47342F" w14:textId="77777777" w:rsidR="00016FE1" w:rsidRPr="00565FE6" w:rsidRDefault="00016FE1" w:rsidP="002B6227">
      <w:pPr>
        <w:ind w:left="284" w:right="283"/>
        <w:jc w:val="both"/>
        <w:rPr>
          <w:rFonts w:ascii="Gotham" w:hAnsi="Gotham"/>
          <w:color w:val="0D0D0D"/>
          <w:sz w:val="19"/>
          <w:szCs w:val="19"/>
        </w:rPr>
      </w:pPr>
    </w:p>
    <w:p w14:paraId="3A473430" w14:textId="77777777" w:rsidR="00016FE1" w:rsidRPr="00565FE6" w:rsidRDefault="00016FE1" w:rsidP="002B6227">
      <w:pPr>
        <w:pStyle w:val="Prrafodelista"/>
        <w:numPr>
          <w:ilvl w:val="0"/>
          <w:numId w:val="147"/>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Datos mínimos de identificación, nombre y apellidos de la parte peticionaria. Este requisito no aplica en caso de que la persona opte por el anonimato;</w:t>
      </w:r>
    </w:p>
    <w:p w14:paraId="3A473431" w14:textId="77777777" w:rsidR="00016FE1" w:rsidRPr="00565FE6" w:rsidRDefault="00016FE1" w:rsidP="002B6227">
      <w:pPr>
        <w:pStyle w:val="Prrafodelista"/>
        <w:numPr>
          <w:ilvl w:val="0"/>
          <w:numId w:val="147"/>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lastRenderedPageBreak/>
        <w:t>Domicilio y, en su caso, número telefónico o correo electrónico;</w:t>
      </w:r>
    </w:p>
    <w:p w14:paraId="3A473432" w14:textId="77777777" w:rsidR="00016FE1" w:rsidRPr="00565FE6" w:rsidRDefault="00016FE1" w:rsidP="002B6227">
      <w:pPr>
        <w:pStyle w:val="Prrafodelista"/>
        <w:numPr>
          <w:ilvl w:val="0"/>
          <w:numId w:val="147"/>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Un relato preciso de los hechos que considera discriminatorios atendiendo a circunstancias de modo, tiempo y lugar en que ocurrieron los hechos; y</w:t>
      </w:r>
    </w:p>
    <w:p w14:paraId="3A473433" w14:textId="77777777" w:rsidR="00016FE1" w:rsidRPr="00565FE6" w:rsidRDefault="00016FE1" w:rsidP="002B6227">
      <w:pPr>
        <w:pStyle w:val="Prrafodelista"/>
        <w:numPr>
          <w:ilvl w:val="0"/>
          <w:numId w:val="147"/>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La información que permita la identificación de la persona o personas autoras del presunto acto, omisión o práctica social discriminatoria.</w:t>
      </w:r>
    </w:p>
    <w:p w14:paraId="3A473434" w14:textId="77777777" w:rsidR="00016FE1" w:rsidRPr="00565FE6" w:rsidRDefault="00016FE1" w:rsidP="002B6227">
      <w:pPr>
        <w:ind w:left="284" w:right="283"/>
        <w:jc w:val="both"/>
        <w:rPr>
          <w:rFonts w:ascii="Gotham" w:hAnsi="Gotham"/>
          <w:color w:val="0D0D0D"/>
          <w:sz w:val="19"/>
          <w:szCs w:val="19"/>
        </w:rPr>
      </w:pPr>
    </w:p>
    <w:p w14:paraId="3A473435"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45.</w:t>
      </w:r>
      <w:r w:rsidRPr="00565FE6">
        <w:rPr>
          <w:rFonts w:ascii="Gotham" w:hAnsi="Gotham"/>
          <w:color w:val="0D0D0D"/>
          <w:sz w:val="19"/>
          <w:szCs w:val="19"/>
        </w:rPr>
        <w:t xml:space="preserve"> La Dirección de Derechos Humanos y Grupos Prioritarios deberá recibir las quejas que presenten por actos, hechos, omisiones o prácticas discriminatorias efectuadas por ciudadanos o personas físicas privadas cumpliendo con los requisitos señalados en el artículo que antecede, no obstante, en el supuesto de que la o el quejoso no pueda identificar a la persona o personas físicas o jurídicas, a las autoridades o servidoras y servidores públicos que presuntamente llevaron a cabo los actos u omisiones que considera que afectaron sus derechos fundamentales de conformidad con las disposiciones de este reglamento.</w:t>
      </w:r>
    </w:p>
    <w:p w14:paraId="3A473436" w14:textId="77777777" w:rsidR="00016FE1" w:rsidRPr="00565FE6" w:rsidRDefault="00016FE1" w:rsidP="002B6227">
      <w:pPr>
        <w:ind w:left="284" w:right="283"/>
        <w:jc w:val="both"/>
        <w:rPr>
          <w:rFonts w:ascii="Gotham" w:hAnsi="Gotham"/>
          <w:color w:val="0D0D0D"/>
          <w:sz w:val="19"/>
          <w:szCs w:val="19"/>
        </w:rPr>
      </w:pPr>
    </w:p>
    <w:p w14:paraId="3A473437"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46.</w:t>
      </w:r>
      <w:r w:rsidRPr="00565FE6">
        <w:rPr>
          <w:rFonts w:ascii="Gotham" w:hAnsi="Gotham"/>
          <w:color w:val="0D0D0D"/>
          <w:sz w:val="19"/>
          <w:szCs w:val="19"/>
        </w:rPr>
        <w:t xml:space="preserve"> Las quejas por actos u omisiones a que se refiere el presente ordenamiento por actos, hechos, omisiones o prácticas discriminatorias efectuadas por ciudadanos o personas físicas privadas también podrán presentarse de forma verbal mediante comparecencia ante la Dirección de Derechos Humanos y Grupos Prioritarios, por vía telefónica, video llamada, plataformas de comunicación a distancia empleando medios telemáticos, electrónicos, ópticos o cualquier otra tecnología, o a través del correo electrónico institucional, las cuales deberán ratificarse dentro de los 5 cinco días hábiles siguientes a su presentación, pues de lo contrario se tendrán por no presentadas.</w:t>
      </w:r>
      <w:r w:rsidRPr="00565FE6">
        <w:rPr>
          <w:rFonts w:ascii="Gotham" w:hAnsi="Gotham"/>
          <w:color w:val="0D0D0D"/>
          <w:sz w:val="19"/>
          <w:szCs w:val="19"/>
        </w:rPr>
        <w:cr/>
      </w:r>
    </w:p>
    <w:p w14:paraId="3A473438"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 xml:space="preserve">Artículo 47. </w:t>
      </w:r>
      <w:r w:rsidRPr="00565FE6">
        <w:rPr>
          <w:rFonts w:ascii="Gotham" w:hAnsi="Gotham"/>
          <w:color w:val="0D0D0D"/>
          <w:sz w:val="19"/>
          <w:szCs w:val="19"/>
        </w:rPr>
        <w:t>Las organizaciones no gubernamentales legalmente constituidas o cualquier persona que tenga conocimiento, podrán acudir ante las autoridades competentes en los términos previstos en el presente ordenamiento, para denunciar los hechos discriminatorios respecto de personas que, por sus condiciones físicas, mentales, económicas y culturales, no tengan la capacidad efectiva de presentar la queja de manera directa.</w:t>
      </w:r>
    </w:p>
    <w:p w14:paraId="3A473439" w14:textId="77777777" w:rsidR="00016FE1" w:rsidRDefault="00016FE1" w:rsidP="002B6227">
      <w:pPr>
        <w:ind w:left="284" w:right="283"/>
        <w:jc w:val="both"/>
        <w:rPr>
          <w:rFonts w:ascii="Gotham" w:hAnsi="Gotham"/>
          <w:color w:val="0D0D0D"/>
          <w:sz w:val="19"/>
          <w:szCs w:val="19"/>
        </w:rPr>
      </w:pPr>
    </w:p>
    <w:p w14:paraId="3A47343A" w14:textId="77777777" w:rsidR="00016FE1" w:rsidRPr="00565FE6" w:rsidRDefault="00016FE1" w:rsidP="002B6227">
      <w:pPr>
        <w:ind w:left="284" w:right="283"/>
        <w:jc w:val="both"/>
        <w:rPr>
          <w:rFonts w:ascii="Gotham" w:hAnsi="Gotham"/>
          <w:color w:val="0D0D0D"/>
          <w:sz w:val="19"/>
          <w:szCs w:val="19"/>
        </w:rPr>
      </w:pPr>
    </w:p>
    <w:p w14:paraId="3A47343B"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TÍTULO CUARTO</w:t>
      </w:r>
    </w:p>
    <w:p w14:paraId="3A47343C"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DE LAS SANCIONES</w:t>
      </w:r>
    </w:p>
    <w:p w14:paraId="3A47343D" w14:textId="77777777" w:rsidR="00016FE1" w:rsidRPr="00565FE6" w:rsidRDefault="00016FE1" w:rsidP="002B6227">
      <w:pPr>
        <w:ind w:left="284" w:right="283"/>
        <w:jc w:val="both"/>
        <w:rPr>
          <w:rFonts w:ascii="Gotham" w:hAnsi="Gotham"/>
          <w:color w:val="0D0D0D"/>
          <w:sz w:val="19"/>
          <w:szCs w:val="19"/>
        </w:rPr>
      </w:pPr>
    </w:p>
    <w:p w14:paraId="3A47343E"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48.</w:t>
      </w:r>
      <w:r w:rsidRPr="00565FE6">
        <w:rPr>
          <w:rFonts w:ascii="Gotham" w:hAnsi="Gotham"/>
          <w:color w:val="0D0D0D"/>
          <w:sz w:val="19"/>
          <w:szCs w:val="19"/>
        </w:rPr>
        <w:t xml:space="preserve"> Las autoridades municipales competentes, aplicarán las sanciones a las personas que cometan algún acto u omisión discriminatoria establecida en la Ley Estatal, la Ley de Responsabilidades Político Administrativas y en el presente Reglamento, conforme a la investigación o procedimiento administrativo que al efecto hagan de los hechos, a:</w:t>
      </w:r>
    </w:p>
    <w:p w14:paraId="3A47343F" w14:textId="77777777" w:rsidR="00016FE1" w:rsidRPr="00565FE6" w:rsidRDefault="00016FE1" w:rsidP="002B6227">
      <w:pPr>
        <w:ind w:left="284" w:right="283"/>
        <w:jc w:val="both"/>
        <w:rPr>
          <w:rFonts w:ascii="Gotham" w:hAnsi="Gotham"/>
          <w:color w:val="0D0D0D"/>
          <w:sz w:val="19"/>
          <w:szCs w:val="19"/>
        </w:rPr>
      </w:pPr>
    </w:p>
    <w:p w14:paraId="3A473440" w14:textId="77777777" w:rsidR="00016FE1" w:rsidRPr="00565FE6" w:rsidRDefault="00016FE1" w:rsidP="002B6227">
      <w:pPr>
        <w:pStyle w:val="Prrafodelista"/>
        <w:numPr>
          <w:ilvl w:val="0"/>
          <w:numId w:val="148"/>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El órgano interno de Control:</w:t>
      </w:r>
    </w:p>
    <w:p w14:paraId="3A473441" w14:textId="77777777" w:rsidR="00016FE1" w:rsidRPr="00565FE6" w:rsidRDefault="00016FE1" w:rsidP="002B6227">
      <w:pPr>
        <w:tabs>
          <w:tab w:val="left" w:pos="1560"/>
        </w:tabs>
        <w:spacing w:after="120"/>
        <w:ind w:left="1560" w:right="283" w:hanging="426"/>
        <w:jc w:val="both"/>
        <w:rPr>
          <w:rFonts w:ascii="Gotham" w:hAnsi="Gotham"/>
          <w:color w:val="0D0D0D"/>
          <w:sz w:val="19"/>
          <w:szCs w:val="19"/>
        </w:rPr>
      </w:pPr>
      <w:r w:rsidRPr="006654B6">
        <w:rPr>
          <w:rFonts w:ascii="Gotham" w:hAnsi="Gotham"/>
          <w:b/>
          <w:color w:val="0D0D0D"/>
          <w:sz w:val="19"/>
          <w:szCs w:val="19"/>
        </w:rPr>
        <w:t>a)</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Amonestación pública o privada, con copia al expediente de servicio de la servidora o servidor público; y</w:t>
      </w:r>
    </w:p>
    <w:p w14:paraId="3A473442" w14:textId="77777777" w:rsidR="00016FE1" w:rsidRPr="00565FE6" w:rsidRDefault="00016FE1" w:rsidP="002B6227">
      <w:pPr>
        <w:tabs>
          <w:tab w:val="left" w:pos="1560"/>
        </w:tabs>
        <w:ind w:left="1560" w:right="283" w:hanging="426"/>
        <w:jc w:val="both"/>
        <w:rPr>
          <w:rFonts w:ascii="Gotham" w:hAnsi="Gotham"/>
          <w:color w:val="0D0D0D"/>
          <w:sz w:val="19"/>
          <w:szCs w:val="19"/>
        </w:rPr>
      </w:pPr>
      <w:r w:rsidRPr="006654B6">
        <w:rPr>
          <w:rFonts w:ascii="Gotham" w:hAnsi="Gotham"/>
          <w:b/>
          <w:color w:val="0D0D0D"/>
          <w:sz w:val="19"/>
          <w:szCs w:val="19"/>
        </w:rPr>
        <w:t>b)</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 xml:space="preserve">Suspensión temporal; </w:t>
      </w:r>
    </w:p>
    <w:p w14:paraId="3A473443" w14:textId="77777777" w:rsidR="00016FE1" w:rsidRPr="00565FE6" w:rsidRDefault="00016FE1" w:rsidP="002B6227">
      <w:pPr>
        <w:ind w:left="284" w:right="283"/>
        <w:jc w:val="both"/>
        <w:rPr>
          <w:rFonts w:ascii="Gotham" w:hAnsi="Gotham"/>
          <w:color w:val="0D0D0D"/>
          <w:sz w:val="19"/>
          <w:szCs w:val="19"/>
        </w:rPr>
      </w:pPr>
    </w:p>
    <w:p w14:paraId="3A473444"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Para la aplicación de las sanciones, se tomarán en consideración los elementos que señalan las disposiciones aplicables en materia de responsabilidades administrativas.</w:t>
      </w:r>
    </w:p>
    <w:p w14:paraId="3A473445" w14:textId="77777777" w:rsidR="00016FE1" w:rsidRPr="00565FE6" w:rsidRDefault="00016FE1" w:rsidP="002B6227">
      <w:pPr>
        <w:ind w:left="284" w:right="283"/>
        <w:jc w:val="both"/>
        <w:rPr>
          <w:rFonts w:ascii="Gotham" w:hAnsi="Gotham"/>
          <w:color w:val="0D0D0D"/>
          <w:sz w:val="19"/>
          <w:szCs w:val="19"/>
        </w:rPr>
      </w:pPr>
    </w:p>
    <w:p w14:paraId="3A473446"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En todo caso, la servidora o servidor público que haya cometido algún acto u omisión discriminatoria, deberá asistir a cursos, talleres o seminarios que sensibilicen y promuevan el respeto y protección a los Derechos Humanos, de conformidad con la normatividad aplicable.</w:t>
      </w:r>
    </w:p>
    <w:p w14:paraId="3A473447" w14:textId="77777777" w:rsidR="00016FE1" w:rsidRPr="00565FE6" w:rsidRDefault="00016FE1" w:rsidP="002B6227">
      <w:pPr>
        <w:pStyle w:val="Prrafodelista"/>
        <w:ind w:left="284" w:right="283"/>
        <w:contextualSpacing w:val="0"/>
        <w:jc w:val="both"/>
        <w:rPr>
          <w:rFonts w:ascii="Gotham" w:hAnsi="Gotham"/>
          <w:color w:val="0D0D0D"/>
          <w:sz w:val="19"/>
          <w:szCs w:val="19"/>
        </w:rPr>
      </w:pPr>
    </w:p>
    <w:p w14:paraId="3A473448" w14:textId="77777777" w:rsidR="00016FE1" w:rsidRPr="00565FE6" w:rsidRDefault="00016FE1" w:rsidP="002B6227">
      <w:pPr>
        <w:pStyle w:val="Prrafodelista"/>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b/>
          <w:color w:val="0D0D0D"/>
          <w:sz w:val="19"/>
          <w:szCs w:val="19"/>
        </w:rPr>
        <w:t>II.</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Los Juzgados Municipales:</w:t>
      </w:r>
    </w:p>
    <w:p w14:paraId="3A473449" w14:textId="77777777" w:rsidR="00016FE1" w:rsidRPr="00565FE6" w:rsidRDefault="00016FE1" w:rsidP="002B6227">
      <w:pPr>
        <w:tabs>
          <w:tab w:val="left" w:pos="1560"/>
        </w:tabs>
        <w:spacing w:after="120"/>
        <w:ind w:left="1560" w:right="283" w:hanging="426"/>
        <w:jc w:val="both"/>
        <w:rPr>
          <w:rFonts w:ascii="Gotham" w:hAnsi="Gotham"/>
          <w:color w:val="0D0D0D"/>
          <w:sz w:val="19"/>
          <w:szCs w:val="19"/>
        </w:rPr>
      </w:pPr>
      <w:r w:rsidRPr="006654B6">
        <w:rPr>
          <w:rFonts w:ascii="Gotham" w:hAnsi="Gotham"/>
          <w:b/>
          <w:color w:val="0D0D0D"/>
          <w:sz w:val="19"/>
          <w:szCs w:val="19"/>
        </w:rPr>
        <w:t>a)</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Multa;</w:t>
      </w:r>
    </w:p>
    <w:p w14:paraId="3A47344A" w14:textId="77777777" w:rsidR="00016FE1" w:rsidRPr="00565FE6" w:rsidRDefault="00016FE1" w:rsidP="002B6227">
      <w:pPr>
        <w:tabs>
          <w:tab w:val="left" w:pos="1560"/>
        </w:tabs>
        <w:spacing w:after="120"/>
        <w:ind w:left="1560" w:right="283" w:hanging="426"/>
        <w:jc w:val="both"/>
        <w:rPr>
          <w:rFonts w:ascii="Gotham" w:hAnsi="Gotham"/>
          <w:color w:val="0D0D0D"/>
          <w:sz w:val="19"/>
          <w:szCs w:val="19"/>
        </w:rPr>
      </w:pPr>
      <w:r w:rsidRPr="006654B6">
        <w:rPr>
          <w:rFonts w:ascii="Gotham" w:hAnsi="Gotham"/>
          <w:b/>
          <w:color w:val="0D0D0D"/>
          <w:sz w:val="19"/>
          <w:szCs w:val="19"/>
        </w:rPr>
        <w:t xml:space="preserve">b) </w:t>
      </w:r>
      <w:r w:rsidRPr="006654B6">
        <w:rPr>
          <w:rFonts w:ascii="Gotham" w:hAnsi="Gotham"/>
          <w:b/>
          <w:color w:val="0D0D0D"/>
          <w:sz w:val="19"/>
          <w:szCs w:val="19"/>
        </w:rPr>
        <w:tab/>
      </w:r>
      <w:r w:rsidRPr="00565FE6">
        <w:rPr>
          <w:rFonts w:ascii="Gotham" w:hAnsi="Gotham"/>
          <w:color w:val="0D0D0D"/>
          <w:sz w:val="19"/>
          <w:szCs w:val="19"/>
        </w:rPr>
        <w:t>Clausura temporal del establecimiento;</w:t>
      </w:r>
    </w:p>
    <w:p w14:paraId="3A47344B" w14:textId="77777777" w:rsidR="00016FE1" w:rsidRPr="00565FE6" w:rsidRDefault="00016FE1" w:rsidP="002B6227">
      <w:pPr>
        <w:tabs>
          <w:tab w:val="left" w:pos="1560"/>
        </w:tabs>
        <w:spacing w:after="120"/>
        <w:ind w:left="1560" w:right="283" w:hanging="426"/>
        <w:jc w:val="both"/>
        <w:rPr>
          <w:rFonts w:ascii="Gotham" w:hAnsi="Gotham"/>
          <w:color w:val="0D0D0D"/>
          <w:sz w:val="19"/>
          <w:szCs w:val="19"/>
        </w:rPr>
      </w:pPr>
      <w:r w:rsidRPr="006654B6">
        <w:rPr>
          <w:rFonts w:ascii="Gotham" w:hAnsi="Gotham"/>
          <w:b/>
          <w:color w:val="0D0D0D"/>
          <w:sz w:val="19"/>
          <w:szCs w:val="19"/>
        </w:rPr>
        <w:lastRenderedPageBreak/>
        <w:t>c)</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Suspensión de la licencia, permiso o concesión, según sea el caso; o</w:t>
      </w:r>
    </w:p>
    <w:p w14:paraId="3A47344C" w14:textId="77777777" w:rsidR="00016FE1" w:rsidRPr="00565FE6" w:rsidRDefault="00016FE1" w:rsidP="002B6227">
      <w:pPr>
        <w:tabs>
          <w:tab w:val="left" w:pos="1560"/>
        </w:tabs>
        <w:ind w:left="1560" w:right="283" w:hanging="426"/>
        <w:jc w:val="both"/>
        <w:rPr>
          <w:rFonts w:ascii="Gotham" w:hAnsi="Gotham"/>
          <w:color w:val="0D0D0D"/>
          <w:sz w:val="19"/>
          <w:szCs w:val="19"/>
        </w:rPr>
      </w:pPr>
      <w:r w:rsidRPr="006654B6">
        <w:rPr>
          <w:rFonts w:ascii="Gotham" w:hAnsi="Gotham"/>
          <w:b/>
          <w:color w:val="0D0D0D"/>
          <w:sz w:val="19"/>
          <w:szCs w:val="19"/>
        </w:rPr>
        <w:t>d)</w:t>
      </w:r>
      <w:r w:rsidRPr="00565FE6">
        <w:rPr>
          <w:rFonts w:ascii="Gotham" w:hAnsi="Gotham"/>
          <w:color w:val="0D0D0D"/>
          <w:sz w:val="19"/>
          <w:szCs w:val="19"/>
        </w:rPr>
        <w:t xml:space="preserve"> </w:t>
      </w:r>
      <w:r>
        <w:rPr>
          <w:rFonts w:ascii="Gotham" w:hAnsi="Gotham"/>
          <w:color w:val="0D0D0D"/>
          <w:sz w:val="19"/>
          <w:szCs w:val="19"/>
        </w:rPr>
        <w:tab/>
      </w:r>
      <w:r w:rsidRPr="00565FE6">
        <w:rPr>
          <w:rFonts w:ascii="Gotham" w:hAnsi="Gotham"/>
          <w:color w:val="0D0D0D"/>
          <w:sz w:val="19"/>
          <w:szCs w:val="19"/>
        </w:rPr>
        <w:t>Remitir las constancias respectivas para el inicio del procedimiento de revocación de la licencia, permiso o concesión, según sea el caso.</w:t>
      </w:r>
    </w:p>
    <w:p w14:paraId="3A47344D" w14:textId="77777777" w:rsidR="00016FE1" w:rsidRPr="00565FE6" w:rsidRDefault="00016FE1" w:rsidP="002B6227">
      <w:pPr>
        <w:ind w:left="284" w:right="283"/>
        <w:jc w:val="both"/>
        <w:rPr>
          <w:rFonts w:ascii="Gotham" w:hAnsi="Gotham"/>
          <w:color w:val="0D0D0D"/>
          <w:sz w:val="19"/>
          <w:szCs w:val="19"/>
        </w:rPr>
      </w:pPr>
    </w:p>
    <w:p w14:paraId="3A47344E"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color w:val="0D0D0D"/>
          <w:sz w:val="19"/>
          <w:szCs w:val="19"/>
        </w:rPr>
        <w:t xml:space="preserve">Para la aplicación de estas sanciones se debe atender a lo dispuesto en el Reglamento de Justicia Cívica Municipal y en la Ley de Ingresos del Municipio de Tonalá. </w:t>
      </w:r>
    </w:p>
    <w:p w14:paraId="3A47344F" w14:textId="77777777" w:rsidR="00016FE1" w:rsidRPr="00565FE6" w:rsidRDefault="00016FE1" w:rsidP="002B6227">
      <w:pPr>
        <w:ind w:left="284" w:right="283"/>
        <w:jc w:val="both"/>
        <w:rPr>
          <w:rFonts w:ascii="Gotham" w:hAnsi="Gotham"/>
          <w:color w:val="0D0D0D"/>
          <w:sz w:val="19"/>
          <w:szCs w:val="19"/>
        </w:rPr>
      </w:pPr>
    </w:p>
    <w:p w14:paraId="3A473450"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49.</w:t>
      </w:r>
      <w:r w:rsidRPr="00565FE6">
        <w:rPr>
          <w:rFonts w:ascii="Gotham" w:hAnsi="Gotham"/>
          <w:color w:val="0D0D0D"/>
          <w:sz w:val="19"/>
          <w:szCs w:val="19"/>
        </w:rPr>
        <w:t xml:space="preserve"> Las sanciones anteriormente señaladas se aplicarán sin perjuicio de la responsabilidad civil o penal a que hubiere lugar.</w:t>
      </w:r>
    </w:p>
    <w:p w14:paraId="3A473451" w14:textId="77777777" w:rsidR="00016FE1" w:rsidRPr="00565FE6" w:rsidRDefault="00016FE1" w:rsidP="002B6227">
      <w:pPr>
        <w:ind w:left="284" w:right="283"/>
        <w:jc w:val="both"/>
        <w:rPr>
          <w:rFonts w:ascii="Gotham" w:hAnsi="Gotham"/>
          <w:color w:val="0D0D0D"/>
          <w:sz w:val="19"/>
          <w:szCs w:val="19"/>
        </w:rPr>
      </w:pPr>
    </w:p>
    <w:p w14:paraId="3A473452" w14:textId="77777777" w:rsidR="00016FE1"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50.</w:t>
      </w:r>
      <w:r w:rsidRPr="00565FE6">
        <w:rPr>
          <w:rFonts w:ascii="Gotham" w:hAnsi="Gotham"/>
          <w:color w:val="0D0D0D"/>
          <w:sz w:val="19"/>
          <w:szCs w:val="19"/>
        </w:rPr>
        <w:t xml:space="preserve"> La aplicación de las sanciones se hará tomando en consideración:</w:t>
      </w:r>
    </w:p>
    <w:p w14:paraId="3A473453" w14:textId="77777777" w:rsidR="00016FE1" w:rsidRPr="00565FE6" w:rsidRDefault="00016FE1" w:rsidP="002B6227">
      <w:pPr>
        <w:ind w:left="284" w:right="283"/>
        <w:jc w:val="both"/>
        <w:rPr>
          <w:rFonts w:ascii="Gotham" w:hAnsi="Gotham"/>
          <w:color w:val="0D0D0D"/>
          <w:sz w:val="19"/>
          <w:szCs w:val="19"/>
        </w:rPr>
      </w:pPr>
    </w:p>
    <w:p w14:paraId="3A473454" w14:textId="77777777" w:rsidR="00016FE1" w:rsidRPr="00565FE6" w:rsidRDefault="00016FE1" w:rsidP="002B6227">
      <w:pPr>
        <w:pStyle w:val="Prrafodelista"/>
        <w:numPr>
          <w:ilvl w:val="0"/>
          <w:numId w:val="14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La gravedad del acto u omisión discriminatoria;</w:t>
      </w:r>
    </w:p>
    <w:p w14:paraId="3A473455" w14:textId="77777777" w:rsidR="00016FE1" w:rsidRPr="00565FE6" w:rsidRDefault="00016FE1" w:rsidP="002B6227">
      <w:pPr>
        <w:pStyle w:val="Prrafodelista"/>
        <w:numPr>
          <w:ilvl w:val="0"/>
          <w:numId w:val="14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Las circunstancias del acto u omisión discriminatoria;</w:t>
      </w:r>
    </w:p>
    <w:p w14:paraId="3A473456" w14:textId="77777777" w:rsidR="00016FE1" w:rsidRPr="00565FE6" w:rsidRDefault="00016FE1" w:rsidP="002B6227">
      <w:pPr>
        <w:pStyle w:val="Prrafodelista"/>
        <w:numPr>
          <w:ilvl w:val="0"/>
          <w:numId w:val="14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Sus efectos en perjuicio del interés público;</w:t>
      </w:r>
    </w:p>
    <w:p w14:paraId="3A473457" w14:textId="77777777" w:rsidR="00016FE1" w:rsidRPr="00565FE6" w:rsidRDefault="00016FE1" w:rsidP="002B6227">
      <w:pPr>
        <w:pStyle w:val="Prrafodelista"/>
        <w:numPr>
          <w:ilvl w:val="0"/>
          <w:numId w:val="14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Las condiciones socioeconómicas del sujeto que presuntamente haya cometido un acto u omisión discriminatoria;</w:t>
      </w:r>
    </w:p>
    <w:p w14:paraId="3A473458" w14:textId="77777777" w:rsidR="00016FE1" w:rsidRPr="00565FE6" w:rsidRDefault="00016FE1" w:rsidP="002B6227">
      <w:pPr>
        <w:pStyle w:val="Prrafodelista"/>
        <w:numPr>
          <w:ilvl w:val="0"/>
          <w:numId w:val="14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La reincidencia; </w:t>
      </w:r>
    </w:p>
    <w:p w14:paraId="3A473459" w14:textId="77777777" w:rsidR="00016FE1" w:rsidRPr="00565FE6" w:rsidRDefault="00016FE1" w:rsidP="002B6227">
      <w:pPr>
        <w:pStyle w:val="Prrafodelista"/>
        <w:numPr>
          <w:ilvl w:val="0"/>
          <w:numId w:val="149"/>
        </w:numPr>
        <w:tabs>
          <w:tab w:val="left" w:pos="1134"/>
        </w:tabs>
        <w:spacing w:after="120"/>
        <w:ind w:left="1134" w:right="283" w:hanging="850"/>
        <w:contextualSpacing w:val="0"/>
        <w:jc w:val="both"/>
        <w:rPr>
          <w:rFonts w:ascii="Gotham" w:hAnsi="Gotham"/>
          <w:color w:val="0D0D0D"/>
          <w:sz w:val="19"/>
          <w:szCs w:val="19"/>
        </w:rPr>
      </w:pPr>
      <w:r w:rsidRPr="00565FE6">
        <w:rPr>
          <w:rFonts w:ascii="Gotham" w:hAnsi="Gotham"/>
          <w:color w:val="0D0D0D"/>
          <w:sz w:val="19"/>
          <w:szCs w:val="19"/>
        </w:rPr>
        <w:t>El beneficio o provecho obtenido con motivo del acto u omisión discriminatoria; y</w:t>
      </w:r>
    </w:p>
    <w:p w14:paraId="3A47345A" w14:textId="77777777" w:rsidR="00016FE1" w:rsidRPr="00565FE6" w:rsidRDefault="00016FE1" w:rsidP="002B6227">
      <w:pPr>
        <w:pStyle w:val="Prrafodelista"/>
        <w:numPr>
          <w:ilvl w:val="0"/>
          <w:numId w:val="149"/>
        </w:numPr>
        <w:tabs>
          <w:tab w:val="left" w:pos="1134"/>
        </w:tabs>
        <w:ind w:left="1134" w:right="283" w:hanging="850"/>
        <w:contextualSpacing w:val="0"/>
        <w:jc w:val="both"/>
        <w:rPr>
          <w:rFonts w:ascii="Gotham" w:hAnsi="Gotham"/>
          <w:color w:val="0D0D0D"/>
          <w:sz w:val="19"/>
          <w:szCs w:val="19"/>
        </w:rPr>
      </w:pPr>
      <w:r w:rsidRPr="00565FE6">
        <w:rPr>
          <w:rFonts w:ascii="Gotham" w:hAnsi="Gotham"/>
          <w:color w:val="0D0D0D"/>
          <w:sz w:val="19"/>
          <w:szCs w:val="19"/>
        </w:rPr>
        <w:t xml:space="preserve">Las previstas en el Reglamento de Justicia Cívica para el Municipio de Tonalá, Jalisco. </w:t>
      </w:r>
    </w:p>
    <w:p w14:paraId="3A47345B" w14:textId="77777777" w:rsidR="00016FE1" w:rsidRDefault="00016FE1" w:rsidP="002B6227">
      <w:pPr>
        <w:ind w:left="284" w:right="283"/>
        <w:jc w:val="both"/>
        <w:rPr>
          <w:rFonts w:ascii="Gotham" w:hAnsi="Gotham"/>
          <w:b/>
          <w:color w:val="0D0D0D"/>
          <w:sz w:val="19"/>
          <w:szCs w:val="19"/>
        </w:rPr>
      </w:pPr>
    </w:p>
    <w:p w14:paraId="3A47345C" w14:textId="77777777" w:rsidR="00016FE1" w:rsidRPr="00565FE6" w:rsidRDefault="00016FE1" w:rsidP="002B6227">
      <w:pPr>
        <w:ind w:left="284" w:right="283"/>
        <w:jc w:val="both"/>
        <w:rPr>
          <w:rFonts w:ascii="Gotham" w:hAnsi="Gotham"/>
          <w:b/>
          <w:color w:val="0D0D0D"/>
          <w:sz w:val="19"/>
          <w:szCs w:val="19"/>
        </w:rPr>
      </w:pPr>
    </w:p>
    <w:p w14:paraId="3A47345D"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TÍTULO QUINTO</w:t>
      </w:r>
    </w:p>
    <w:p w14:paraId="3A47345E" w14:textId="77777777" w:rsidR="00016FE1" w:rsidRPr="00565FE6" w:rsidRDefault="00016FE1" w:rsidP="002B6227">
      <w:pPr>
        <w:ind w:left="284" w:right="283"/>
        <w:jc w:val="center"/>
        <w:rPr>
          <w:rFonts w:ascii="Gotham" w:hAnsi="Gotham"/>
          <w:b/>
          <w:color w:val="0D0D0D"/>
          <w:sz w:val="19"/>
          <w:szCs w:val="19"/>
        </w:rPr>
      </w:pPr>
      <w:r w:rsidRPr="00565FE6">
        <w:rPr>
          <w:rFonts w:ascii="Gotham" w:hAnsi="Gotham"/>
          <w:b/>
          <w:color w:val="0D0D0D"/>
          <w:sz w:val="19"/>
          <w:szCs w:val="19"/>
        </w:rPr>
        <w:t>CAPACITACION A LAS Y LOS SERVIDORES PUBLICOS</w:t>
      </w:r>
    </w:p>
    <w:p w14:paraId="3A47345F" w14:textId="77777777" w:rsidR="00016FE1" w:rsidRPr="00565FE6" w:rsidRDefault="00016FE1" w:rsidP="002B6227">
      <w:pPr>
        <w:ind w:left="284" w:right="283"/>
        <w:jc w:val="both"/>
        <w:rPr>
          <w:rFonts w:ascii="Gotham" w:hAnsi="Gotham"/>
          <w:b/>
          <w:color w:val="0D0D0D"/>
          <w:sz w:val="19"/>
          <w:szCs w:val="19"/>
        </w:rPr>
      </w:pPr>
    </w:p>
    <w:p w14:paraId="3A473460"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51.</w:t>
      </w:r>
      <w:r w:rsidRPr="00565FE6">
        <w:rPr>
          <w:rFonts w:ascii="Gotham" w:hAnsi="Gotham"/>
          <w:color w:val="0D0D0D"/>
          <w:sz w:val="19"/>
          <w:szCs w:val="19"/>
        </w:rPr>
        <w:t xml:space="preserve"> La Dirección de Derechos Humanos, coordinará el diseño e implementación de los programas de capacitación, formación y actualización permanente de todas y todos los servidores públicos municipales en materia de prevención y erradicación de toda forma de discriminación.</w:t>
      </w:r>
    </w:p>
    <w:p w14:paraId="3A473461" w14:textId="77777777" w:rsidR="00016FE1" w:rsidRPr="00565FE6" w:rsidRDefault="00016FE1" w:rsidP="002B6227">
      <w:pPr>
        <w:ind w:left="284" w:right="283"/>
        <w:jc w:val="both"/>
        <w:rPr>
          <w:rFonts w:ascii="Gotham" w:hAnsi="Gotham"/>
          <w:color w:val="0D0D0D"/>
          <w:sz w:val="19"/>
          <w:szCs w:val="19"/>
        </w:rPr>
      </w:pPr>
    </w:p>
    <w:p w14:paraId="3A473462" w14:textId="77777777" w:rsidR="00016FE1" w:rsidRPr="00565FE6" w:rsidRDefault="00016FE1" w:rsidP="002B6227">
      <w:pPr>
        <w:ind w:left="284" w:right="283"/>
        <w:jc w:val="both"/>
        <w:rPr>
          <w:rFonts w:ascii="Gotham" w:hAnsi="Gotham"/>
          <w:color w:val="0D0D0D"/>
          <w:sz w:val="19"/>
          <w:szCs w:val="19"/>
        </w:rPr>
      </w:pPr>
      <w:r w:rsidRPr="00565FE6">
        <w:rPr>
          <w:rFonts w:ascii="Gotham" w:hAnsi="Gotham"/>
          <w:b/>
          <w:color w:val="0D0D0D"/>
          <w:sz w:val="19"/>
          <w:szCs w:val="19"/>
        </w:rPr>
        <w:t>Artículo 52.</w:t>
      </w:r>
      <w:r w:rsidRPr="00565FE6">
        <w:rPr>
          <w:rFonts w:ascii="Gotham" w:hAnsi="Gotham"/>
          <w:color w:val="0D0D0D"/>
          <w:sz w:val="19"/>
          <w:szCs w:val="19"/>
        </w:rPr>
        <w:t xml:space="preserve"> El </w:t>
      </w:r>
      <w:r w:rsidRPr="00565FE6">
        <w:rPr>
          <w:rFonts w:ascii="Gotham" w:hAnsi="Gotham"/>
          <w:sz w:val="19"/>
          <w:szCs w:val="19"/>
        </w:rPr>
        <w:t>Sistema para Prevenir, Atender y Eliminar la Discriminación</w:t>
      </w:r>
      <w:r w:rsidRPr="00565FE6">
        <w:rPr>
          <w:rFonts w:ascii="Gotham" w:hAnsi="Gotham"/>
          <w:color w:val="0D0D0D"/>
          <w:sz w:val="19"/>
          <w:szCs w:val="19"/>
        </w:rPr>
        <w:t xml:space="preserve"> deberá dar seguimiento a las acciones de capacitación, formación o actualización que se implementen en los términos del artículo anterior, a efecto de instruir a la Dirección de Derechos Humanos los ajustes que se consideren pertinentes.</w:t>
      </w:r>
    </w:p>
    <w:p w14:paraId="3A473463" w14:textId="77777777" w:rsidR="00016FE1" w:rsidRDefault="00016FE1" w:rsidP="002B6227">
      <w:pPr>
        <w:ind w:left="284" w:right="283"/>
        <w:jc w:val="both"/>
        <w:rPr>
          <w:rFonts w:ascii="Gotham" w:hAnsi="Gotham"/>
          <w:color w:val="0D0D0D"/>
          <w:sz w:val="19"/>
          <w:szCs w:val="19"/>
        </w:rPr>
      </w:pPr>
    </w:p>
    <w:p w14:paraId="3A473464" w14:textId="77777777" w:rsidR="00AD51C5" w:rsidRPr="00565FE6" w:rsidRDefault="00AD51C5" w:rsidP="002B6227">
      <w:pPr>
        <w:ind w:left="284" w:right="283"/>
        <w:jc w:val="both"/>
        <w:rPr>
          <w:rFonts w:ascii="Gotham" w:hAnsi="Gotham"/>
          <w:color w:val="0D0D0D"/>
          <w:sz w:val="19"/>
          <w:szCs w:val="19"/>
        </w:rPr>
      </w:pPr>
    </w:p>
    <w:p w14:paraId="3A473465" w14:textId="77777777" w:rsidR="00016FE1" w:rsidRPr="00565FE6" w:rsidRDefault="00016FE1" w:rsidP="002B6227">
      <w:pPr>
        <w:keepNext/>
        <w:keepLines/>
        <w:ind w:left="284" w:right="283"/>
        <w:jc w:val="center"/>
        <w:outlineLvl w:val="1"/>
        <w:rPr>
          <w:rFonts w:ascii="Gotham" w:hAnsi="Gotham"/>
          <w:b/>
          <w:sz w:val="19"/>
          <w:szCs w:val="19"/>
        </w:rPr>
      </w:pPr>
      <w:r w:rsidRPr="00565FE6">
        <w:rPr>
          <w:rFonts w:ascii="Gotham" w:hAnsi="Gotham"/>
          <w:b/>
          <w:sz w:val="19"/>
          <w:szCs w:val="19"/>
        </w:rPr>
        <w:t>ARTICULOS TRANSITORIOS</w:t>
      </w:r>
    </w:p>
    <w:p w14:paraId="3A473466" w14:textId="77777777" w:rsidR="00016FE1" w:rsidRPr="00565FE6" w:rsidRDefault="00016FE1" w:rsidP="002B6227">
      <w:pPr>
        <w:ind w:left="284" w:right="283"/>
        <w:jc w:val="both"/>
        <w:rPr>
          <w:rFonts w:ascii="Gotham" w:hAnsi="Gotham"/>
          <w:i/>
          <w:sz w:val="19"/>
          <w:szCs w:val="19"/>
        </w:rPr>
      </w:pPr>
    </w:p>
    <w:p w14:paraId="3A473467" w14:textId="77777777" w:rsidR="00016FE1" w:rsidRPr="00565FE6" w:rsidRDefault="00016FE1" w:rsidP="002B6227">
      <w:pPr>
        <w:ind w:left="284" w:right="283"/>
        <w:jc w:val="both"/>
        <w:rPr>
          <w:rFonts w:ascii="Gotham" w:hAnsi="Gotham"/>
          <w:i/>
          <w:sz w:val="19"/>
          <w:szCs w:val="19"/>
        </w:rPr>
      </w:pPr>
      <w:r w:rsidRPr="00565FE6">
        <w:rPr>
          <w:rFonts w:ascii="Gotham" w:hAnsi="Gotham"/>
          <w:b/>
          <w:bCs/>
          <w:i/>
          <w:sz w:val="19"/>
          <w:szCs w:val="19"/>
        </w:rPr>
        <w:t>PRIMERO.-</w:t>
      </w:r>
      <w:r w:rsidRPr="00565FE6">
        <w:rPr>
          <w:rFonts w:ascii="Gotham" w:hAnsi="Gotham"/>
          <w:i/>
          <w:sz w:val="19"/>
          <w:szCs w:val="19"/>
        </w:rPr>
        <w:t xml:space="preserve"> El presente reglamento entrará en vigor treinta días naturales después de su publicación en la Gaceta “Tlatholli” del Municipio de Tonalá, Jalisco.</w:t>
      </w:r>
    </w:p>
    <w:p w14:paraId="3A473468" w14:textId="77777777" w:rsidR="00016FE1" w:rsidRPr="00565FE6" w:rsidRDefault="00016FE1" w:rsidP="002B6227">
      <w:pPr>
        <w:ind w:left="284" w:right="283"/>
        <w:jc w:val="both"/>
        <w:rPr>
          <w:rFonts w:ascii="Gotham" w:hAnsi="Gotham"/>
          <w:i/>
          <w:sz w:val="19"/>
          <w:szCs w:val="19"/>
        </w:rPr>
      </w:pPr>
    </w:p>
    <w:p w14:paraId="3A473469" w14:textId="77777777" w:rsidR="00016FE1" w:rsidRPr="00565FE6" w:rsidRDefault="00016FE1" w:rsidP="002B6227">
      <w:pPr>
        <w:ind w:left="284" w:right="283"/>
        <w:jc w:val="both"/>
        <w:rPr>
          <w:rFonts w:ascii="Gotham" w:hAnsi="Gotham"/>
          <w:i/>
          <w:sz w:val="19"/>
          <w:szCs w:val="19"/>
        </w:rPr>
      </w:pPr>
      <w:r w:rsidRPr="00565FE6">
        <w:rPr>
          <w:rFonts w:ascii="Gotham" w:hAnsi="Gotham"/>
          <w:b/>
          <w:bCs/>
          <w:i/>
          <w:sz w:val="19"/>
          <w:szCs w:val="19"/>
        </w:rPr>
        <w:t>SEGUNDO.</w:t>
      </w:r>
      <w:r w:rsidRPr="00565FE6">
        <w:rPr>
          <w:rFonts w:ascii="Gotham" w:hAnsi="Gotham"/>
          <w:i/>
          <w:sz w:val="19"/>
          <w:szCs w:val="19"/>
        </w:rPr>
        <w:t xml:space="preserve">- Se derogan todas aquellas disposiciones que se contrapongan a lo dispuesto por el presente ordenamiento. </w:t>
      </w:r>
    </w:p>
    <w:p w14:paraId="3A47346A" w14:textId="77777777" w:rsidR="00016FE1" w:rsidRPr="00565FE6" w:rsidRDefault="00016FE1" w:rsidP="002B6227">
      <w:pPr>
        <w:ind w:left="284" w:right="283"/>
        <w:jc w:val="both"/>
        <w:rPr>
          <w:rFonts w:ascii="Gotham" w:hAnsi="Gotham"/>
          <w:i/>
          <w:sz w:val="19"/>
          <w:szCs w:val="19"/>
        </w:rPr>
      </w:pPr>
    </w:p>
    <w:p w14:paraId="3A47346B" w14:textId="77777777" w:rsidR="00016FE1" w:rsidRPr="00565FE6" w:rsidRDefault="00016FE1" w:rsidP="002B6227">
      <w:pPr>
        <w:ind w:left="284" w:right="283"/>
        <w:jc w:val="both"/>
        <w:rPr>
          <w:rFonts w:ascii="Gotham" w:hAnsi="Gotham"/>
          <w:i/>
          <w:sz w:val="19"/>
          <w:szCs w:val="19"/>
        </w:rPr>
      </w:pPr>
      <w:r w:rsidRPr="00565FE6">
        <w:rPr>
          <w:rFonts w:ascii="Gotham" w:hAnsi="Gotham"/>
          <w:b/>
          <w:bCs/>
          <w:i/>
          <w:sz w:val="19"/>
          <w:szCs w:val="19"/>
        </w:rPr>
        <w:t>TERCERO</w:t>
      </w:r>
      <w:r w:rsidRPr="00565FE6">
        <w:rPr>
          <w:rFonts w:ascii="Gotham" w:hAnsi="Gotham"/>
          <w:i/>
          <w:sz w:val="19"/>
          <w:szCs w:val="19"/>
        </w:rPr>
        <w:t>.</w:t>
      </w:r>
      <w:r>
        <w:rPr>
          <w:rFonts w:ascii="Gotham" w:hAnsi="Gotham"/>
          <w:i/>
          <w:sz w:val="19"/>
          <w:szCs w:val="19"/>
        </w:rPr>
        <w:t>-</w:t>
      </w:r>
      <w:r w:rsidRPr="00565FE6">
        <w:rPr>
          <w:rFonts w:ascii="Gotham" w:hAnsi="Gotham"/>
          <w:i/>
          <w:sz w:val="19"/>
          <w:szCs w:val="19"/>
        </w:rPr>
        <w:t xml:space="preserve"> Una vez publicado este ordenamiento, remítase mediante oficio un tanto de este al Congreso del Estado de Jalisco, para el cumplimiento de los efectos ordenados en el artículo 42 fracción VII de la Ley del Gobierno y la Administración Pública Municipal del Estado de Jalisco.</w:t>
      </w:r>
    </w:p>
    <w:p w14:paraId="3A47346C" w14:textId="77777777" w:rsidR="00016FE1" w:rsidRPr="00565FE6" w:rsidRDefault="00016FE1" w:rsidP="002B6227">
      <w:pPr>
        <w:ind w:left="284" w:right="283"/>
        <w:jc w:val="both"/>
        <w:rPr>
          <w:rFonts w:ascii="Gotham" w:hAnsi="Gotham"/>
          <w:i/>
          <w:sz w:val="19"/>
          <w:szCs w:val="19"/>
        </w:rPr>
      </w:pPr>
    </w:p>
    <w:p w14:paraId="3A47346D" w14:textId="77777777" w:rsidR="00016FE1" w:rsidRPr="00565FE6" w:rsidRDefault="00016FE1" w:rsidP="002B6227">
      <w:pPr>
        <w:tabs>
          <w:tab w:val="left" w:pos="-720"/>
        </w:tabs>
        <w:suppressAutoHyphens/>
        <w:ind w:left="284" w:right="283"/>
        <w:jc w:val="both"/>
        <w:rPr>
          <w:rFonts w:ascii="Gotham" w:hAnsi="Gotham"/>
          <w:i/>
          <w:sz w:val="19"/>
          <w:szCs w:val="19"/>
          <w:lang w:val="es-ES_tradnl"/>
        </w:rPr>
      </w:pPr>
      <w:r w:rsidRPr="00565FE6">
        <w:rPr>
          <w:rFonts w:ascii="Gotham" w:eastAsia="Calibri" w:hAnsi="Gotham"/>
          <w:b/>
          <w:bCs/>
          <w:i/>
          <w:sz w:val="19"/>
          <w:szCs w:val="19"/>
          <w:lang w:val="es-MX" w:eastAsia="en-US"/>
        </w:rPr>
        <w:t>CUARTO</w:t>
      </w:r>
      <w:r>
        <w:rPr>
          <w:rFonts w:ascii="Gotham" w:hAnsi="Gotham"/>
          <w:b/>
          <w:bCs/>
          <w:i/>
          <w:sz w:val="19"/>
          <w:szCs w:val="19"/>
          <w:lang w:val="es-ES_tradnl"/>
        </w:rPr>
        <w:t>.</w:t>
      </w:r>
      <w:r w:rsidRPr="00565FE6">
        <w:rPr>
          <w:rFonts w:ascii="Gotham" w:hAnsi="Gotham"/>
          <w:b/>
          <w:bCs/>
          <w:i/>
          <w:sz w:val="19"/>
          <w:szCs w:val="19"/>
          <w:lang w:val="es-ES_tradnl"/>
        </w:rPr>
        <w:t>-</w:t>
      </w:r>
      <w:r w:rsidRPr="00565FE6">
        <w:rPr>
          <w:rFonts w:ascii="Gotham" w:hAnsi="Gotham"/>
          <w:i/>
          <w:sz w:val="19"/>
          <w:szCs w:val="19"/>
          <w:lang w:val="es-ES_tradnl"/>
        </w:rPr>
        <w:t xml:space="preserve"> Túrnese la presente iniciativa a la Comisión de Reglamentos, Puntos Constitucionales, Administración y Planeación Legislativa para su análisis y correspondiente dictaminación. </w:t>
      </w:r>
    </w:p>
    <w:p w14:paraId="3A47346E" w14:textId="77777777" w:rsidR="00016FE1" w:rsidRPr="00296603" w:rsidRDefault="00016FE1" w:rsidP="002B6227">
      <w:pPr>
        <w:tabs>
          <w:tab w:val="left" w:pos="-720"/>
        </w:tabs>
        <w:suppressAutoHyphens/>
        <w:jc w:val="both"/>
        <w:rPr>
          <w:rFonts w:ascii="Gotham" w:hAnsi="Gotham"/>
          <w:b/>
          <w:bCs/>
          <w:sz w:val="20"/>
          <w:szCs w:val="20"/>
          <w:lang w:val="es-ES_tradnl"/>
        </w:rPr>
      </w:pPr>
    </w:p>
    <w:p w14:paraId="3A47346F" w14:textId="77777777" w:rsidR="00016FE1" w:rsidRPr="00296603" w:rsidRDefault="00016FE1" w:rsidP="002B6227">
      <w:pPr>
        <w:tabs>
          <w:tab w:val="left" w:pos="-720"/>
        </w:tabs>
        <w:suppressAutoHyphens/>
        <w:jc w:val="both"/>
        <w:rPr>
          <w:rFonts w:ascii="Gotham" w:hAnsi="Gotham"/>
          <w:sz w:val="20"/>
          <w:szCs w:val="20"/>
          <w:lang w:val="es-ES_tradnl"/>
        </w:rPr>
      </w:pPr>
      <w:r w:rsidRPr="00296603">
        <w:rPr>
          <w:rFonts w:ascii="Gotham" w:hAnsi="Gotham"/>
          <w:b/>
          <w:bCs/>
          <w:sz w:val="20"/>
          <w:szCs w:val="20"/>
          <w:lang w:val="es-ES_tradnl"/>
        </w:rPr>
        <w:lastRenderedPageBreak/>
        <w:t xml:space="preserve">SEGUNDO. </w:t>
      </w:r>
      <w:r w:rsidRPr="00296603">
        <w:rPr>
          <w:rFonts w:ascii="Gotham" w:hAnsi="Gotham"/>
          <w:bCs/>
          <w:sz w:val="20"/>
          <w:szCs w:val="20"/>
          <w:lang w:val="es-ES_tradnl"/>
        </w:rPr>
        <w:t>Se propone</w:t>
      </w:r>
      <w:r w:rsidRPr="00296603">
        <w:rPr>
          <w:rFonts w:ascii="Gotham" w:hAnsi="Gotham"/>
          <w:b/>
          <w:bCs/>
          <w:sz w:val="20"/>
          <w:szCs w:val="20"/>
          <w:lang w:val="es-ES_tradnl"/>
        </w:rPr>
        <w:t xml:space="preserve"> </w:t>
      </w:r>
      <w:r w:rsidRPr="00296603">
        <w:rPr>
          <w:rFonts w:ascii="Gotham" w:hAnsi="Gotham"/>
          <w:sz w:val="20"/>
          <w:szCs w:val="20"/>
          <w:lang w:val="es-ES_tradnl"/>
        </w:rPr>
        <w:t>Reformar el Reglamento de Gobierno y la Administración Pública del Ayuntamiento Constitucional de Tonalá, Jalisco; para la creación de La Dirección o Jefatura de Derechos Humanos y Grupos Prioritarios; que dependerá de la Dirección Jurídica del Municipio, para quedar como a continuación.</w:t>
      </w:r>
    </w:p>
    <w:p w14:paraId="3A473470" w14:textId="77777777" w:rsidR="00016FE1" w:rsidRPr="00296603" w:rsidRDefault="00016FE1" w:rsidP="002B6227">
      <w:pPr>
        <w:tabs>
          <w:tab w:val="left" w:pos="-720"/>
        </w:tabs>
        <w:suppressAutoHyphens/>
        <w:jc w:val="both"/>
        <w:rPr>
          <w:rFonts w:ascii="Gotham" w:hAnsi="Gotham"/>
          <w:sz w:val="20"/>
          <w:szCs w:val="20"/>
          <w:lang w:val="es-ES_tradnl"/>
        </w:rPr>
      </w:pPr>
    </w:p>
    <w:p w14:paraId="3A473471" w14:textId="77777777" w:rsidR="00016FE1" w:rsidRPr="00565FE6" w:rsidRDefault="00016FE1" w:rsidP="002B6227">
      <w:pPr>
        <w:tabs>
          <w:tab w:val="left" w:pos="-720"/>
        </w:tabs>
        <w:suppressAutoHyphens/>
        <w:spacing w:after="120"/>
        <w:ind w:left="284" w:right="283"/>
        <w:jc w:val="both"/>
        <w:rPr>
          <w:rFonts w:ascii="Gotham" w:hAnsi="Gotham"/>
          <w:i/>
          <w:sz w:val="19"/>
          <w:szCs w:val="19"/>
          <w:lang w:val="es-ES_tradnl"/>
        </w:rPr>
      </w:pPr>
      <w:r w:rsidRPr="00565FE6">
        <w:rPr>
          <w:rFonts w:ascii="Gotham" w:hAnsi="Gotham"/>
          <w:b/>
          <w:i/>
          <w:sz w:val="19"/>
          <w:szCs w:val="19"/>
          <w:lang w:val="es-ES_tradnl"/>
        </w:rPr>
        <w:t>Artículo 89.-</w:t>
      </w:r>
      <w:r w:rsidRPr="00565FE6">
        <w:rPr>
          <w:rFonts w:ascii="Gotham" w:hAnsi="Gotham"/>
          <w:i/>
          <w:sz w:val="19"/>
          <w:szCs w:val="19"/>
          <w:lang w:val="es-ES_tradnl"/>
        </w:rPr>
        <w:t xml:space="preserve"> Para el adecuado desempeño de sus funciones, el estudio, la gestión, la planeación, el despacho y la resolución de los asuntos de su competencia la Dirección Jurídica tendrá a su cargo y contará con las siguientes jefaturas:</w:t>
      </w:r>
    </w:p>
    <w:p w14:paraId="3A473472" w14:textId="77777777" w:rsidR="00016FE1" w:rsidRPr="00806314" w:rsidRDefault="00016FE1" w:rsidP="002B6227">
      <w:pPr>
        <w:suppressAutoHyphens/>
        <w:spacing w:after="120"/>
        <w:ind w:left="709" w:right="283" w:hanging="425"/>
        <w:jc w:val="both"/>
        <w:rPr>
          <w:rFonts w:ascii="Gotham" w:hAnsi="Gotham"/>
          <w:i/>
          <w:sz w:val="19"/>
          <w:szCs w:val="19"/>
          <w:lang w:val="es-ES_tradnl"/>
        </w:rPr>
      </w:pPr>
      <w:r w:rsidRPr="00A31DA1">
        <w:rPr>
          <w:rFonts w:ascii="Gotham" w:hAnsi="Gotham"/>
          <w:b/>
          <w:i/>
          <w:sz w:val="19"/>
          <w:szCs w:val="19"/>
          <w:lang w:val="es-ES_tradnl"/>
        </w:rPr>
        <w:t>I.</w:t>
      </w:r>
      <w:r w:rsidRPr="00806314">
        <w:rPr>
          <w:rFonts w:ascii="Gotham" w:hAnsi="Gotham"/>
          <w:i/>
          <w:sz w:val="19"/>
          <w:szCs w:val="19"/>
          <w:lang w:val="es-ES_tradnl"/>
        </w:rPr>
        <w:t xml:space="preserve"> </w:t>
      </w:r>
      <w:r>
        <w:rPr>
          <w:rFonts w:ascii="Gotham" w:hAnsi="Gotham"/>
          <w:i/>
          <w:sz w:val="19"/>
          <w:szCs w:val="19"/>
          <w:lang w:val="es-ES_tradnl"/>
        </w:rPr>
        <w:tab/>
      </w:r>
      <w:r w:rsidRPr="00806314">
        <w:rPr>
          <w:rFonts w:ascii="Gotham" w:hAnsi="Gotham"/>
          <w:i/>
          <w:sz w:val="19"/>
          <w:szCs w:val="19"/>
          <w:lang w:val="es-ES_tradnl"/>
        </w:rPr>
        <w:t>Jefatura Contencioso Administrativo y Consultivo;</w:t>
      </w:r>
    </w:p>
    <w:p w14:paraId="3A473473" w14:textId="77777777" w:rsidR="00016FE1" w:rsidRPr="00806314" w:rsidRDefault="00016FE1" w:rsidP="002B6227">
      <w:pPr>
        <w:suppressAutoHyphens/>
        <w:spacing w:after="120"/>
        <w:ind w:left="709" w:right="283" w:hanging="425"/>
        <w:jc w:val="both"/>
        <w:rPr>
          <w:rFonts w:ascii="Gotham" w:hAnsi="Gotham"/>
          <w:i/>
          <w:sz w:val="19"/>
          <w:szCs w:val="19"/>
          <w:lang w:val="es-ES_tradnl"/>
        </w:rPr>
      </w:pPr>
      <w:r w:rsidRPr="00A31DA1">
        <w:rPr>
          <w:rFonts w:ascii="Gotham" w:hAnsi="Gotham"/>
          <w:b/>
          <w:i/>
          <w:sz w:val="19"/>
          <w:szCs w:val="19"/>
          <w:lang w:val="es-ES_tradnl"/>
        </w:rPr>
        <w:t>II.</w:t>
      </w:r>
      <w:r w:rsidRPr="00806314">
        <w:rPr>
          <w:rFonts w:ascii="Gotham" w:hAnsi="Gotham"/>
          <w:i/>
          <w:sz w:val="19"/>
          <w:szCs w:val="19"/>
          <w:lang w:val="es-ES_tradnl"/>
        </w:rPr>
        <w:t xml:space="preserve"> </w:t>
      </w:r>
      <w:r>
        <w:rPr>
          <w:rFonts w:ascii="Gotham" w:hAnsi="Gotham"/>
          <w:i/>
          <w:sz w:val="19"/>
          <w:szCs w:val="19"/>
          <w:lang w:val="es-ES_tradnl"/>
        </w:rPr>
        <w:tab/>
      </w:r>
      <w:r w:rsidRPr="00806314">
        <w:rPr>
          <w:rFonts w:ascii="Gotham" w:hAnsi="Gotham"/>
          <w:i/>
          <w:sz w:val="19"/>
          <w:szCs w:val="19"/>
          <w:lang w:val="es-ES_tradnl"/>
        </w:rPr>
        <w:t xml:space="preserve">Jefatura de Control y Seguimiento; </w:t>
      </w:r>
    </w:p>
    <w:p w14:paraId="3A473474" w14:textId="77777777" w:rsidR="00016FE1" w:rsidRPr="00806314" w:rsidRDefault="00016FE1" w:rsidP="002B6227">
      <w:pPr>
        <w:suppressAutoHyphens/>
        <w:spacing w:after="120"/>
        <w:ind w:left="709" w:hanging="425"/>
        <w:jc w:val="both"/>
        <w:rPr>
          <w:rFonts w:ascii="Gotham" w:hAnsi="Gotham"/>
          <w:i/>
          <w:sz w:val="19"/>
          <w:szCs w:val="19"/>
          <w:lang w:val="es-MX"/>
        </w:rPr>
      </w:pPr>
      <w:r w:rsidRPr="00A31DA1">
        <w:rPr>
          <w:rFonts w:ascii="Gotham" w:hAnsi="Gotham"/>
          <w:b/>
          <w:i/>
          <w:sz w:val="19"/>
          <w:szCs w:val="19"/>
          <w:lang w:val="es-MX"/>
        </w:rPr>
        <w:t>III.</w:t>
      </w:r>
      <w:r w:rsidRPr="00806314">
        <w:rPr>
          <w:rFonts w:ascii="Gotham" w:hAnsi="Gotham"/>
          <w:i/>
          <w:sz w:val="19"/>
          <w:szCs w:val="19"/>
          <w:lang w:val="es-MX"/>
        </w:rPr>
        <w:t xml:space="preserve"> </w:t>
      </w:r>
      <w:r>
        <w:rPr>
          <w:rFonts w:ascii="Gotham" w:hAnsi="Gotham"/>
          <w:i/>
          <w:sz w:val="19"/>
          <w:szCs w:val="19"/>
          <w:lang w:val="es-MX"/>
        </w:rPr>
        <w:tab/>
      </w:r>
      <w:r w:rsidRPr="00806314">
        <w:rPr>
          <w:rFonts w:ascii="Gotham" w:hAnsi="Gotham"/>
          <w:i/>
          <w:sz w:val="19"/>
          <w:szCs w:val="19"/>
          <w:lang w:val="es-MX"/>
        </w:rPr>
        <w:t>Jefatura de Instrumentos Jurídicos;</w:t>
      </w:r>
      <w:r>
        <w:rPr>
          <w:rFonts w:ascii="Gotham" w:hAnsi="Gotham"/>
          <w:i/>
          <w:sz w:val="19"/>
          <w:szCs w:val="19"/>
          <w:lang w:val="es-MX"/>
        </w:rPr>
        <w:t xml:space="preserve"> </w:t>
      </w:r>
      <w:r w:rsidRPr="00806314">
        <w:rPr>
          <w:rFonts w:ascii="Gotham" w:hAnsi="Gotham"/>
          <w:i/>
          <w:sz w:val="19"/>
          <w:szCs w:val="19"/>
          <w:lang w:val="es-MX"/>
        </w:rPr>
        <w:t>y</w:t>
      </w:r>
    </w:p>
    <w:p w14:paraId="3A473475" w14:textId="77777777" w:rsidR="00016FE1" w:rsidRPr="00806314" w:rsidRDefault="00016FE1" w:rsidP="002B6227">
      <w:pPr>
        <w:suppressAutoHyphens/>
        <w:ind w:left="709" w:hanging="425"/>
        <w:jc w:val="both"/>
        <w:rPr>
          <w:rFonts w:ascii="Gotham" w:hAnsi="Gotham"/>
          <w:i/>
          <w:sz w:val="19"/>
          <w:szCs w:val="19"/>
          <w:lang w:val="es-ES_tradnl"/>
        </w:rPr>
      </w:pPr>
      <w:r w:rsidRPr="00A31DA1">
        <w:rPr>
          <w:rFonts w:ascii="Gotham" w:hAnsi="Gotham"/>
          <w:b/>
          <w:i/>
          <w:sz w:val="19"/>
          <w:szCs w:val="19"/>
          <w:lang w:val="es-ES_tradnl"/>
        </w:rPr>
        <w:t>IV.</w:t>
      </w:r>
      <w:r w:rsidRPr="00806314">
        <w:rPr>
          <w:rFonts w:ascii="Gotham" w:hAnsi="Gotham"/>
          <w:i/>
          <w:sz w:val="19"/>
          <w:szCs w:val="19"/>
          <w:lang w:val="es-ES_tradnl"/>
        </w:rPr>
        <w:t xml:space="preserve"> </w:t>
      </w:r>
      <w:r>
        <w:rPr>
          <w:rFonts w:ascii="Gotham" w:hAnsi="Gotham"/>
          <w:i/>
          <w:sz w:val="19"/>
          <w:szCs w:val="19"/>
          <w:lang w:val="es-ES_tradnl"/>
        </w:rPr>
        <w:tab/>
      </w:r>
      <w:r w:rsidRPr="00806314">
        <w:rPr>
          <w:rFonts w:ascii="Gotham" w:hAnsi="Gotham"/>
          <w:i/>
          <w:sz w:val="19"/>
          <w:szCs w:val="19"/>
          <w:lang w:val="es-ES_tradnl"/>
        </w:rPr>
        <w:t>Jefatura de Derechos Humanos y Grupos Prioritarios.</w:t>
      </w:r>
    </w:p>
    <w:p w14:paraId="3A473476" w14:textId="77777777" w:rsidR="00016FE1" w:rsidRDefault="00016FE1" w:rsidP="002B6227">
      <w:pPr>
        <w:jc w:val="both"/>
        <w:rPr>
          <w:rFonts w:ascii="Gotham" w:eastAsia="Calibri" w:hAnsi="Gotham"/>
          <w:b/>
          <w:sz w:val="20"/>
          <w:szCs w:val="20"/>
          <w:lang w:val="es-MX" w:eastAsia="en-US"/>
        </w:rPr>
      </w:pPr>
    </w:p>
    <w:p w14:paraId="3A473477" w14:textId="77777777" w:rsidR="00016FE1" w:rsidRPr="00351AD1" w:rsidRDefault="00016FE1" w:rsidP="002B6227">
      <w:pPr>
        <w:jc w:val="both"/>
        <w:rPr>
          <w:rFonts w:ascii="Gotham" w:hAnsi="Gotham" w:cs="Arial"/>
          <w:sz w:val="20"/>
          <w:szCs w:val="20"/>
        </w:rPr>
      </w:pPr>
      <w:r>
        <w:rPr>
          <w:rFonts w:ascii="Gotham" w:hAnsi="Gotham"/>
          <w:sz w:val="20"/>
          <w:szCs w:val="20"/>
        </w:rPr>
        <w:t xml:space="preserve">En uso de la voz el Presidente Municipal, Sergio Armando Chávez Dávalos, expresa que, se propone su turno a la Comisión Edilicia de </w:t>
      </w:r>
      <w:r w:rsidRPr="00EC1525">
        <w:rPr>
          <w:rFonts w:ascii="Gotham" w:hAnsi="Gotham" w:cs="Arial"/>
          <w:sz w:val="20"/>
          <w:szCs w:val="20"/>
        </w:rPr>
        <w:t>Reglamentos, Puntos Constitucionales, Administración y Planeación Legislativa</w:t>
      </w:r>
      <w:r>
        <w:rPr>
          <w:rFonts w:ascii="Gotham" w:hAnsi="Gotham"/>
          <w:sz w:val="20"/>
          <w:szCs w:val="20"/>
        </w:rPr>
        <w:t>;</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478" w14:textId="77777777" w:rsidR="00016FE1" w:rsidRPr="00351AD1" w:rsidRDefault="00016FE1" w:rsidP="002B6227">
      <w:pPr>
        <w:jc w:val="both"/>
        <w:rPr>
          <w:rFonts w:ascii="Gotham" w:hAnsi="Gotham" w:cs="Arial"/>
          <w:sz w:val="20"/>
          <w:szCs w:val="20"/>
        </w:rPr>
      </w:pPr>
    </w:p>
    <w:p w14:paraId="3A473479"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47A" w14:textId="77777777" w:rsidR="00016FE1" w:rsidRPr="00351AD1" w:rsidRDefault="00016FE1" w:rsidP="002B6227">
      <w:pPr>
        <w:jc w:val="both"/>
        <w:rPr>
          <w:rFonts w:ascii="Gotham" w:hAnsi="Gotham" w:cs="Arial"/>
          <w:sz w:val="20"/>
          <w:szCs w:val="20"/>
        </w:rPr>
      </w:pPr>
    </w:p>
    <w:p w14:paraId="3A47347B"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47C" w14:textId="77777777" w:rsidR="00016FE1" w:rsidRPr="00296603" w:rsidRDefault="00016FE1" w:rsidP="002B6227">
      <w:pPr>
        <w:jc w:val="both"/>
        <w:rPr>
          <w:rFonts w:ascii="Gotham" w:eastAsia="Calibri" w:hAnsi="Gotham"/>
          <w:b/>
          <w:sz w:val="20"/>
          <w:szCs w:val="20"/>
          <w:lang w:val="es-MX" w:eastAsia="en-US"/>
        </w:rPr>
      </w:pPr>
    </w:p>
    <w:p w14:paraId="3A47347D" w14:textId="77777777" w:rsidR="00016FE1" w:rsidRPr="000F7447" w:rsidRDefault="00016FE1" w:rsidP="002B6227">
      <w:pPr>
        <w:jc w:val="both"/>
        <w:rPr>
          <w:rFonts w:ascii="Gotham" w:hAnsi="Gotham"/>
          <w:sz w:val="20"/>
          <w:szCs w:val="20"/>
        </w:rPr>
      </w:pPr>
    </w:p>
    <w:p w14:paraId="3A47347E"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1116</w:t>
      </w:r>
    </w:p>
    <w:p w14:paraId="3A47347F" w14:textId="77777777" w:rsidR="00016FE1" w:rsidRPr="00E7063C" w:rsidRDefault="00016FE1" w:rsidP="002B6227">
      <w:pPr>
        <w:shd w:val="clear" w:color="auto" w:fill="FFFFFF"/>
        <w:jc w:val="both"/>
        <w:rPr>
          <w:rFonts w:ascii="Gotham" w:hAnsi="Gotham" w:cs="Arial"/>
          <w:sz w:val="20"/>
          <w:szCs w:val="20"/>
        </w:rPr>
      </w:pPr>
      <w:r w:rsidRPr="000F7447">
        <w:rPr>
          <w:rFonts w:ascii="Gotham" w:hAnsi="Gotham"/>
          <w:b/>
          <w:bCs/>
          <w:smallCaps/>
          <w:sz w:val="20"/>
          <w:szCs w:val="20"/>
        </w:rPr>
        <w:t>Cuarta Iniciativa con Turno a Comisión</w:t>
      </w:r>
      <w:r w:rsidRPr="000F7447">
        <w:rPr>
          <w:rFonts w:ascii="Gotham" w:hAnsi="Gotham"/>
          <w:b/>
          <w:bCs/>
          <w:sz w:val="20"/>
          <w:szCs w:val="20"/>
        </w:rPr>
        <w:t xml:space="preserve">.- </w:t>
      </w:r>
      <w:r>
        <w:rPr>
          <w:rFonts w:ascii="Gotham" w:hAnsi="Gotham"/>
          <w:sz w:val="20"/>
          <w:szCs w:val="20"/>
        </w:rPr>
        <w:t xml:space="preserve">En uso de la voz el Síndico, Nicolás Maestro Landeros, </w:t>
      </w:r>
      <w:r w:rsidRPr="000F7447">
        <w:rPr>
          <w:rFonts w:ascii="Gotham" w:hAnsi="Gotham"/>
          <w:sz w:val="20"/>
          <w:szCs w:val="20"/>
        </w:rPr>
        <w:t xml:space="preserve">expresa que, </w:t>
      </w:r>
      <w:r>
        <w:rPr>
          <w:rFonts w:ascii="Gotham" w:hAnsi="Gotham"/>
          <w:sz w:val="20"/>
          <w:szCs w:val="20"/>
        </w:rPr>
        <w:t>e</w:t>
      </w:r>
      <w:r w:rsidRPr="00E7063C">
        <w:rPr>
          <w:rFonts w:ascii="Gotham" w:hAnsi="Gotham" w:cs="Arial"/>
          <w:sz w:val="20"/>
          <w:szCs w:val="20"/>
        </w:rPr>
        <w:t xml:space="preserve">l que suscribe, Síndico del Ayuntamiento Constitucional de Tonalá; Jalisco; Abogado Nicolás Maestro Landeros, en uso de la facultad que me confieren los artículos 41, fracción III, y 50 de la Ley del Gobierno y la Administración Pública Municipal del Estado de Jalisco; el artículo 56, fracción III, del Reglamento del Gobierno y la Administración Pública del Ayuntamiento Constitucional de Tonalá, Jalisco; así como los artículos 82, fracción III, y 83 del Reglamento para el Funcionamiento Interno de Sesiones del Ayuntamiento Constitucional de Tonalá, Jalisco; someto a consideración de este Ayuntamiento la presente Iniciativa </w:t>
      </w:r>
      <w:r w:rsidRPr="00E7063C">
        <w:rPr>
          <w:rFonts w:ascii="Gotham" w:hAnsi="Gotham" w:cs="Arial"/>
          <w:sz w:val="20"/>
          <w:szCs w:val="20"/>
          <w:lang w:val="es-MX"/>
        </w:rPr>
        <w:t>con turno</w:t>
      </w:r>
      <w:r w:rsidRPr="00E7063C">
        <w:rPr>
          <w:rFonts w:ascii="Gotham" w:hAnsi="Gotham" w:cs="Arial"/>
          <w:sz w:val="20"/>
          <w:szCs w:val="20"/>
        </w:rPr>
        <w:t xml:space="preserve"> a comisión por objeto estudiar el aprobar suscribir contrato de Comodato de los espacios públicos de las vialidades Loma Zacoalco, Loma Usmajac Oriente, Loma Usmajac Poniente, Loma Zapotlanejo y el área de servidumbre que colinda con el canal en el circuito Loma Dos, de la acción urbanística “Parque las Lomas” ubicado en</w:t>
      </w:r>
      <w:r w:rsidR="008402EC">
        <w:rPr>
          <w:rFonts w:ascii="Gotham" w:hAnsi="Gotham" w:cs="Arial"/>
          <w:sz w:val="20"/>
          <w:szCs w:val="20"/>
        </w:rPr>
        <w:t xml:space="preserve"> </w:t>
      </w:r>
      <w:r w:rsidRPr="00E7063C">
        <w:rPr>
          <w:rFonts w:ascii="Gotham" w:hAnsi="Gotham" w:cs="Arial"/>
          <w:sz w:val="20"/>
          <w:szCs w:val="20"/>
        </w:rPr>
        <w:t>Loma Dorada Norte número 300 de este municipio de Tonalá, con una superficie total de</w:t>
      </w:r>
      <w:r w:rsidRPr="00E7063C">
        <w:rPr>
          <w:rFonts w:ascii="Gotham" w:hAnsi="Gotham" w:cs="Arial"/>
          <w:color w:val="C00000"/>
          <w:sz w:val="20"/>
          <w:szCs w:val="20"/>
        </w:rPr>
        <w:t xml:space="preserve"> </w:t>
      </w:r>
      <w:r w:rsidRPr="00E7063C">
        <w:rPr>
          <w:rFonts w:ascii="Gotham" w:hAnsi="Gotham" w:cs="Arial"/>
          <w:sz w:val="20"/>
          <w:szCs w:val="20"/>
        </w:rPr>
        <w:t>2,964.00 dos mil novecientos sesenta y cuatro metros cuadrados, de conformidad con la siguiente:</w:t>
      </w:r>
    </w:p>
    <w:p w14:paraId="3A473480" w14:textId="77777777" w:rsidR="00016FE1" w:rsidRPr="00E7063C" w:rsidRDefault="00016FE1" w:rsidP="002B6227">
      <w:pPr>
        <w:rPr>
          <w:rFonts w:ascii="Gotham" w:hAnsi="Gotham"/>
          <w:sz w:val="20"/>
          <w:szCs w:val="20"/>
        </w:rPr>
      </w:pPr>
    </w:p>
    <w:p w14:paraId="3A473481" w14:textId="77777777" w:rsidR="00016FE1" w:rsidRPr="00E7063C" w:rsidRDefault="00016FE1" w:rsidP="002B6227">
      <w:pPr>
        <w:jc w:val="center"/>
        <w:rPr>
          <w:rFonts w:ascii="Gotham" w:hAnsi="Gotham" w:cs="Arial"/>
          <w:sz w:val="20"/>
          <w:szCs w:val="20"/>
        </w:rPr>
      </w:pPr>
      <w:r w:rsidRPr="00E7063C">
        <w:rPr>
          <w:rFonts w:ascii="Gotham" w:hAnsi="Gotham" w:cs="Arial"/>
          <w:sz w:val="20"/>
          <w:szCs w:val="20"/>
        </w:rPr>
        <w:t>EXPOSICIÓN DE MOTIVOS</w:t>
      </w:r>
    </w:p>
    <w:p w14:paraId="3A473482" w14:textId="77777777" w:rsidR="00016FE1" w:rsidRPr="00E7063C" w:rsidRDefault="00016FE1" w:rsidP="002B6227">
      <w:pPr>
        <w:jc w:val="center"/>
        <w:rPr>
          <w:rFonts w:ascii="Gotham" w:hAnsi="Gotham" w:cs="Arial"/>
          <w:sz w:val="20"/>
          <w:szCs w:val="20"/>
        </w:rPr>
      </w:pPr>
    </w:p>
    <w:p w14:paraId="3A473483" w14:textId="77777777" w:rsidR="00016FE1" w:rsidRPr="00E7063C" w:rsidRDefault="00016FE1" w:rsidP="002B6227">
      <w:pPr>
        <w:ind w:left="567" w:hanging="567"/>
        <w:jc w:val="both"/>
        <w:rPr>
          <w:rFonts w:ascii="Gotham" w:hAnsi="Gotham" w:cs="Arial"/>
          <w:sz w:val="20"/>
          <w:szCs w:val="20"/>
        </w:rPr>
      </w:pPr>
      <w:r>
        <w:rPr>
          <w:rFonts w:ascii="Gotham" w:hAnsi="Gotham" w:cs="Arial"/>
          <w:sz w:val="20"/>
          <w:szCs w:val="20"/>
        </w:rPr>
        <w:t xml:space="preserve">1. </w:t>
      </w:r>
      <w:r>
        <w:rPr>
          <w:rFonts w:ascii="Gotham" w:hAnsi="Gotham" w:cs="Arial"/>
          <w:sz w:val="20"/>
          <w:szCs w:val="20"/>
        </w:rPr>
        <w:tab/>
      </w:r>
      <w:r w:rsidRPr="00E7063C">
        <w:rPr>
          <w:rFonts w:ascii="Gotham" w:hAnsi="Gotham" w:cs="Arial"/>
          <w:sz w:val="20"/>
          <w:szCs w:val="20"/>
        </w:rPr>
        <w:t>Con fecha del 30 de marzo de 2023; La Asociación de Colonos del circuito “Loma Dorada Dos” conformada por los ciudadanos Fabián Gavina Granjeno, Oscar Santos Cervantes, en su carácter de Presidente, Secretario y Tesorero, presentaron una solicitud a esta Sindicatura con número de folio 002986, solicitando se les entreguen en comodato los espacios públicos de las vialidades Loma Zacoalco, Loma Usmajac Oriente, Loma Usmajac Poniente, loma Zapotlanejo y el área de servidumbre que colinda con el canal de</w:t>
      </w:r>
      <w:r w:rsidR="008402EC">
        <w:rPr>
          <w:rFonts w:ascii="Gotham" w:hAnsi="Gotham" w:cs="Arial"/>
          <w:sz w:val="20"/>
          <w:szCs w:val="20"/>
        </w:rPr>
        <w:t xml:space="preserve"> </w:t>
      </w:r>
      <w:r w:rsidRPr="00E7063C">
        <w:rPr>
          <w:rFonts w:ascii="Gotham" w:hAnsi="Gotham" w:cs="Arial"/>
          <w:sz w:val="20"/>
          <w:szCs w:val="20"/>
        </w:rPr>
        <w:t>circuito Loma Dos, de la acción urbanística “Parque las Lomas”</w:t>
      </w:r>
      <w:r w:rsidR="008402EC">
        <w:rPr>
          <w:rFonts w:ascii="Gotham" w:hAnsi="Gotham" w:cs="Arial"/>
          <w:sz w:val="20"/>
          <w:szCs w:val="20"/>
        </w:rPr>
        <w:t xml:space="preserve"> </w:t>
      </w:r>
      <w:r w:rsidRPr="00E7063C">
        <w:rPr>
          <w:rFonts w:ascii="Gotham" w:hAnsi="Gotham" w:cs="Arial"/>
          <w:sz w:val="20"/>
          <w:szCs w:val="20"/>
        </w:rPr>
        <w:t>ubicado en la calle</w:t>
      </w:r>
      <w:r w:rsidR="008402EC">
        <w:rPr>
          <w:rFonts w:ascii="Gotham" w:hAnsi="Gotham" w:cs="Arial"/>
          <w:sz w:val="20"/>
          <w:szCs w:val="20"/>
        </w:rPr>
        <w:t xml:space="preserve"> </w:t>
      </w:r>
      <w:r w:rsidRPr="00E7063C">
        <w:rPr>
          <w:rFonts w:ascii="Gotham" w:hAnsi="Gotham" w:cs="Arial"/>
          <w:sz w:val="20"/>
          <w:szCs w:val="20"/>
        </w:rPr>
        <w:t xml:space="preserve">de Loma Dorada Norte número 300 de este municipio de Tonalá, con </w:t>
      </w:r>
      <w:r w:rsidRPr="00E7063C">
        <w:rPr>
          <w:rFonts w:ascii="Gotham" w:hAnsi="Gotham" w:cs="Arial"/>
          <w:sz w:val="20"/>
          <w:szCs w:val="20"/>
        </w:rPr>
        <w:lastRenderedPageBreak/>
        <w:t>una superficie de 2,964.00 dos mil novecientos sesenta y cuatro metros cuadrados</w:t>
      </w:r>
      <w:r w:rsidRPr="00E7063C">
        <w:rPr>
          <w:rFonts w:ascii="Gotham" w:hAnsi="Gotham" w:cs="Arial"/>
          <w:color w:val="FF0000"/>
          <w:sz w:val="20"/>
          <w:szCs w:val="20"/>
        </w:rPr>
        <w:t xml:space="preserve"> </w:t>
      </w:r>
      <w:r w:rsidRPr="00E7063C">
        <w:rPr>
          <w:rFonts w:ascii="Gotham" w:hAnsi="Gotham" w:cs="Arial"/>
          <w:sz w:val="20"/>
          <w:szCs w:val="20"/>
        </w:rPr>
        <w:t>para la prestación de servicios, dar mantenimiento a las vialidades y cuidado de las áreas públicas del Fraccionamiento antes mencionado.</w:t>
      </w:r>
    </w:p>
    <w:p w14:paraId="3A473484" w14:textId="77777777" w:rsidR="00016FE1" w:rsidRPr="00E7063C" w:rsidRDefault="00016FE1" w:rsidP="002B6227">
      <w:pPr>
        <w:ind w:left="567" w:hanging="567"/>
        <w:jc w:val="both"/>
        <w:rPr>
          <w:rFonts w:ascii="Gotham" w:hAnsi="Gotham" w:cs="Arial"/>
          <w:sz w:val="20"/>
          <w:szCs w:val="20"/>
        </w:rPr>
      </w:pPr>
    </w:p>
    <w:p w14:paraId="3A473485" w14:textId="77777777" w:rsidR="00016FE1" w:rsidRPr="00E7063C" w:rsidRDefault="00016FE1" w:rsidP="002B6227">
      <w:pPr>
        <w:ind w:left="567" w:hanging="567"/>
        <w:jc w:val="both"/>
        <w:rPr>
          <w:rFonts w:ascii="Gotham" w:hAnsi="Gotham" w:cs="Arial"/>
          <w:sz w:val="20"/>
          <w:szCs w:val="20"/>
        </w:rPr>
      </w:pPr>
      <w:r w:rsidRPr="00E7063C">
        <w:rPr>
          <w:rFonts w:ascii="Gotham" w:hAnsi="Gotham" w:cs="Arial"/>
          <w:sz w:val="20"/>
          <w:szCs w:val="20"/>
        </w:rPr>
        <w:t xml:space="preserve">2. </w:t>
      </w:r>
      <w:r>
        <w:rPr>
          <w:rFonts w:ascii="Gotham" w:hAnsi="Gotham" w:cs="Arial"/>
          <w:sz w:val="20"/>
          <w:szCs w:val="20"/>
        </w:rPr>
        <w:tab/>
      </w:r>
      <w:r w:rsidRPr="00E7063C">
        <w:rPr>
          <w:rFonts w:ascii="Gotham" w:hAnsi="Gotham" w:cs="Arial"/>
          <w:sz w:val="20"/>
          <w:szCs w:val="20"/>
        </w:rPr>
        <w:t>La Sindicatura del Ayuntamiento, mediante el oficio SINDICATURA/NML/00894/2023 solicito a la Dirección General de Planeación y Desarrollo Urbano Sustentable una opinión técnica de los usos y estructuras viales adecuadas que permitan realizar, un convenio de comodato para el uso de los espacios públicos de las vialidades Loma Zacoalco, Loma Usmajac Oriente, Loma Usmajac Poniente, loma Zapotlanejo y el área de servidumbre que colinda con el canal de</w:t>
      </w:r>
      <w:r w:rsidR="008402EC">
        <w:rPr>
          <w:rFonts w:ascii="Gotham" w:hAnsi="Gotham" w:cs="Arial"/>
          <w:sz w:val="20"/>
          <w:szCs w:val="20"/>
        </w:rPr>
        <w:t xml:space="preserve"> </w:t>
      </w:r>
      <w:r w:rsidRPr="00E7063C">
        <w:rPr>
          <w:rFonts w:ascii="Gotham" w:hAnsi="Gotham" w:cs="Arial"/>
          <w:sz w:val="20"/>
          <w:szCs w:val="20"/>
        </w:rPr>
        <w:t>circuito Loma Dos, de la acción urbanística “Parque las Lomas”</w:t>
      </w:r>
      <w:r w:rsidR="008402EC">
        <w:rPr>
          <w:rFonts w:ascii="Gotham" w:hAnsi="Gotham" w:cs="Arial"/>
          <w:sz w:val="20"/>
          <w:szCs w:val="20"/>
        </w:rPr>
        <w:t xml:space="preserve"> </w:t>
      </w:r>
      <w:r w:rsidRPr="00E7063C">
        <w:rPr>
          <w:rFonts w:ascii="Gotham" w:hAnsi="Gotham" w:cs="Arial"/>
          <w:sz w:val="20"/>
          <w:szCs w:val="20"/>
        </w:rPr>
        <w:t>ubicado en la calle</w:t>
      </w:r>
      <w:r w:rsidR="008402EC">
        <w:rPr>
          <w:rFonts w:ascii="Gotham" w:hAnsi="Gotham" w:cs="Arial"/>
          <w:sz w:val="20"/>
          <w:szCs w:val="20"/>
        </w:rPr>
        <w:t xml:space="preserve"> </w:t>
      </w:r>
      <w:r w:rsidRPr="00E7063C">
        <w:rPr>
          <w:rFonts w:ascii="Gotham" w:hAnsi="Gotham" w:cs="Arial"/>
          <w:sz w:val="20"/>
          <w:szCs w:val="20"/>
        </w:rPr>
        <w:t>de Loma Dorada Norte número 300 de este municipio de Tonalá., emitiendo su respuesta mediante el oficio DGPDUS/DUR/1345/2023 en el cual indica que se localizó el oficio DGOT/DUR/!485/2020 el cual menciona la Recepción de Obras Complementarias de la Etapa II, escritura pública 58,344 cincuenta y ocho mil trecientos cuarenta y cuatro “Escritura de Donación” la cual señala que se reciben las vialidades citadas, así como el ACD (B23) considerando el carácter de las vialidades y el ACD como propiedades municipales y con una jerarquía de vialidades locales, por lo que la Dirección</w:t>
      </w:r>
      <w:r w:rsidR="008402EC">
        <w:rPr>
          <w:rFonts w:ascii="Gotham" w:hAnsi="Gotham" w:cs="Arial"/>
          <w:sz w:val="20"/>
          <w:szCs w:val="20"/>
        </w:rPr>
        <w:t xml:space="preserve"> </w:t>
      </w:r>
      <w:r w:rsidRPr="00E7063C">
        <w:rPr>
          <w:rFonts w:ascii="Gotham" w:hAnsi="Gotham" w:cs="Arial"/>
          <w:sz w:val="20"/>
          <w:szCs w:val="20"/>
        </w:rPr>
        <w:t>General de Planeación y Desarrollo Urbano Sustentable con base en el artículo 305 del Código Urbano para el Estado de Jalisco, considera VIABLE realizar el comodato de las vialidades mencionadas al igual que el total de la superficie de ACD (B23) consignando que al ser entregadas en comodato, los vecinos deberán cumplir con las normas establecidas en la materia.</w:t>
      </w:r>
    </w:p>
    <w:p w14:paraId="3A473486" w14:textId="77777777" w:rsidR="00016FE1" w:rsidRPr="00E7063C" w:rsidRDefault="00016FE1" w:rsidP="002B6227">
      <w:pPr>
        <w:ind w:left="567" w:hanging="567"/>
        <w:jc w:val="both"/>
        <w:rPr>
          <w:rFonts w:ascii="Gotham" w:hAnsi="Gotham" w:cs="Arial"/>
          <w:sz w:val="20"/>
          <w:szCs w:val="20"/>
        </w:rPr>
      </w:pPr>
    </w:p>
    <w:p w14:paraId="3A473487" w14:textId="77777777" w:rsidR="00016FE1" w:rsidRPr="00E7063C" w:rsidRDefault="00016FE1" w:rsidP="002B6227">
      <w:pPr>
        <w:ind w:left="567" w:hanging="567"/>
        <w:jc w:val="both"/>
        <w:rPr>
          <w:rFonts w:ascii="Gotham" w:hAnsi="Gotham" w:cs="Arial"/>
          <w:sz w:val="20"/>
          <w:szCs w:val="20"/>
        </w:rPr>
      </w:pPr>
      <w:r w:rsidRPr="00E7063C">
        <w:rPr>
          <w:rFonts w:ascii="Gotham" w:hAnsi="Gotham" w:cs="Arial"/>
          <w:sz w:val="20"/>
          <w:szCs w:val="20"/>
        </w:rPr>
        <w:t xml:space="preserve">3. </w:t>
      </w:r>
      <w:r>
        <w:rPr>
          <w:rFonts w:ascii="Gotham" w:hAnsi="Gotham" w:cs="Arial"/>
          <w:sz w:val="20"/>
          <w:szCs w:val="20"/>
        </w:rPr>
        <w:tab/>
      </w:r>
      <w:r w:rsidRPr="00E7063C">
        <w:rPr>
          <w:rFonts w:ascii="Gotham" w:hAnsi="Gotham" w:cs="Arial"/>
          <w:sz w:val="20"/>
          <w:szCs w:val="20"/>
        </w:rPr>
        <w:t>La Sindicatura del Ayuntamiento mediante oficio SINDICATURA/NML/0124/2024, solicito a la Dirección de Patrimonio copia simple de la escritura pública con número 58,344 (cincuenta y ocho mil trecientos cuarenta y cuatro) la cual ampara el inmueble que se ubica en Loma Dorada # 300 Parques las Lomas Circuito Dos de este municipio de Tonalá, emitiendo su respuesta mediante oficio DPM/0047/2024 en el cual remite copia de la escritura pública 58,344 (cincuenta y ocho mil trecientos cuarenta y cuatro) de fecha 29 de Septiembre del 2018, mediante la fe del Notario Público Titular número 119 Licenciado Diego Olivares Quiroz, de Guadalajara Jalisco.</w:t>
      </w:r>
    </w:p>
    <w:p w14:paraId="3A473488" w14:textId="77777777" w:rsidR="00016FE1" w:rsidRPr="00E7063C" w:rsidRDefault="00016FE1" w:rsidP="002B6227">
      <w:pPr>
        <w:ind w:left="567" w:hanging="567"/>
        <w:jc w:val="both"/>
        <w:rPr>
          <w:rFonts w:ascii="Gotham" w:hAnsi="Gotham" w:cs="Arial"/>
          <w:sz w:val="20"/>
          <w:szCs w:val="20"/>
        </w:rPr>
      </w:pPr>
    </w:p>
    <w:p w14:paraId="3A473489" w14:textId="77777777" w:rsidR="00016FE1" w:rsidRDefault="00016FE1" w:rsidP="002B6227">
      <w:pPr>
        <w:ind w:left="567" w:hanging="567"/>
        <w:jc w:val="both"/>
        <w:rPr>
          <w:rFonts w:ascii="Gotham" w:hAnsi="Gotham" w:cs="Arial"/>
          <w:sz w:val="20"/>
          <w:szCs w:val="20"/>
        </w:rPr>
      </w:pPr>
      <w:r w:rsidRPr="00E7063C">
        <w:rPr>
          <w:rFonts w:ascii="Gotham" w:hAnsi="Gotham" w:cs="Arial"/>
          <w:sz w:val="20"/>
          <w:szCs w:val="20"/>
        </w:rPr>
        <w:t xml:space="preserve">4. </w:t>
      </w:r>
      <w:r>
        <w:rPr>
          <w:rFonts w:ascii="Gotham" w:hAnsi="Gotham" w:cs="Arial"/>
          <w:sz w:val="20"/>
          <w:szCs w:val="20"/>
        </w:rPr>
        <w:tab/>
      </w:r>
      <w:r w:rsidRPr="00E7063C">
        <w:rPr>
          <w:rFonts w:ascii="Gotham" w:hAnsi="Gotham" w:cs="Arial"/>
          <w:sz w:val="20"/>
          <w:szCs w:val="20"/>
        </w:rPr>
        <w:t>La Sindicatura mediante oficio SINDICATURA/NML/0176/ 2024, solicita a los Colonos Organizados de Circuito Loma Dos A.C, documentos donde se constituye y/o acredite la personalidad jurídica como Asociación Civil, para efectos de comprobar la capacidad de otorgarle en comodato de lo solicitado. Emitiendo los documentos mediante oficio con folio 135 de fecha 31 de Enero de 2024, en el cual remite lo siguiente:</w:t>
      </w:r>
    </w:p>
    <w:p w14:paraId="3A47348A" w14:textId="77777777" w:rsidR="00016FE1" w:rsidRPr="00E7063C" w:rsidRDefault="00016FE1" w:rsidP="002B6227">
      <w:pPr>
        <w:jc w:val="both"/>
        <w:rPr>
          <w:rFonts w:ascii="Gotham" w:hAnsi="Gotham" w:cs="Arial"/>
          <w:sz w:val="20"/>
          <w:szCs w:val="20"/>
        </w:rPr>
      </w:pPr>
    </w:p>
    <w:p w14:paraId="3A47348B" w14:textId="77777777" w:rsidR="00016FE1" w:rsidRPr="00E7063C" w:rsidRDefault="00016FE1" w:rsidP="002B6227">
      <w:pPr>
        <w:pStyle w:val="Prrafodelista"/>
        <w:numPr>
          <w:ilvl w:val="0"/>
          <w:numId w:val="154"/>
        </w:numPr>
        <w:spacing w:after="120"/>
        <w:ind w:left="993" w:hanging="426"/>
        <w:contextualSpacing w:val="0"/>
        <w:jc w:val="both"/>
        <w:rPr>
          <w:rFonts w:ascii="Gotham" w:hAnsi="Gotham" w:cs="Arial"/>
          <w:sz w:val="20"/>
          <w:szCs w:val="20"/>
        </w:rPr>
      </w:pPr>
      <w:r w:rsidRPr="00E7063C">
        <w:rPr>
          <w:rFonts w:ascii="Gotham" w:hAnsi="Gotham" w:cs="Arial"/>
          <w:sz w:val="20"/>
          <w:szCs w:val="20"/>
        </w:rPr>
        <w:t>Copia de la Escritura Pública número 561 (quinientos sesenta y uno) de fecha 04 de febrero de 2020 ante la fe del Notario Público número 11 de Zapopan, Jalisco, Licenciado Carlos Márquez Rico, inscrita en el registro público de la propiedad y de comercio bajo el folio electrónico 38246 el 04 marzo de 2020.</w:t>
      </w:r>
    </w:p>
    <w:p w14:paraId="3A47348C" w14:textId="77777777" w:rsidR="00016FE1" w:rsidRPr="00E7063C" w:rsidRDefault="00016FE1" w:rsidP="002B6227">
      <w:pPr>
        <w:pStyle w:val="Prrafodelista"/>
        <w:numPr>
          <w:ilvl w:val="0"/>
          <w:numId w:val="154"/>
        </w:numPr>
        <w:spacing w:after="120"/>
        <w:ind w:left="993" w:hanging="426"/>
        <w:contextualSpacing w:val="0"/>
        <w:jc w:val="both"/>
        <w:rPr>
          <w:rFonts w:ascii="Gotham" w:hAnsi="Gotham" w:cs="Arial"/>
          <w:sz w:val="20"/>
          <w:szCs w:val="20"/>
        </w:rPr>
      </w:pPr>
      <w:r w:rsidRPr="00E7063C">
        <w:rPr>
          <w:rFonts w:ascii="Gotham" w:hAnsi="Gotham" w:cs="Arial"/>
          <w:sz w:val="20"/>
          <w:szCs w:val="20"/>
        </w:rPr>
        <w:t>La Escritura Pública número 3106 de fecha 11 de mayo de 2022, celebrada ante la fe del Licenciado Carlos Márquez Rico, notario público número 11 de Zapopan Jalisco, inscrita en el Registro Público de la Propiedad y de Comercio bajo folio electrónico 38246 del 13 de Julio 2022. Y</w:t>
      </w:r>
    </w:p>
    <w:p w14:paraId="3A47348D" w14:textId="77777777" w:rsidR="00016FE1" w:rsidRPr="00E7063C" w:rsidRDefault="00016FE1" w:rsidP="002B6227">
      <w:pPr>
        <w:pStyle w:val="Prrafodelista"/>
        <w:numPr>
          <w:ilvl w:val="0"/>
          <w:numId w:val="154"/>
        </w:numPr>
        <w:ind w:left="993" w:hanging="426"/>
        <w:contextualSpacing w:val="0"/>
        <w:jc w:val="both"/>
        <w:rPr>
          <w:rFonts w:ascii="Gotham" w:hAnsi="Gotham" w:cs="Arial"/>
          <w:sz w:val="20"/>
          <w:szCs w:val="20"/>
        </w:rPr>
      </w:pPr>
      <w:r w:rsidRPr="00E7063C">
        <w:rPr>
          <w:rFonts w:ascii="Gotham" w:hAnsi="Gotham" w:cs="Arial"/>
          <w:sz w:val="20"/>
          <w:szCs w:val="20"/>
        </w:rPr>
        <w:t>La Escritura Certificada número 3,463 (tres mil cuatrocientos sesenta y tres) de fecha 5 de Agosto de 2022, celebrada ante el Licenciado Carlos Márquez Rico, notario Público número 11 de Zapopan Jalisco, inscrita en el Registro Público de la Propiedad y de Comercio bajo folio electrónico 38246 del 23 de agosto de 2022.</w:t>
      </w:r>
    </w:p>
    <w:p w14:paraId="3A47348E" w14:textId="77777777" w:rsidR="00016FE1" w:rsidRPr="00E7063C" w:rsidRDefault="00016FE1" w:rsidP="002B6227">
      <w:pPr>
        <w:jc w:val="center"/>
        <w:rPr>
          <w:rFonts w:ascii="Gotham" w:hAnsi="Gotham" w:cs="Arial"/>
          <w:bCs/>
          <w:sz w:val="20"/>
          <w:szCs w:val="20"/>
        </w:rPr>
      </w:pPr>
    </w:p>
    <w:p w14:paraId="3A47348F" w14:textId="77777777" w:rsidR="00016FE1" w:rsidRPr="00E7063C" w:rsidRDefault="00016FE1" w:rsidP="002B6227">
      <w:pPr>
        <w:jc w:val="center"/>
        <w:rPr>
          <w:rFonts w:ascii="Gotham" w:hAnsi="Gotham" w:cs="Arial"/>
          <w:bCs/>
          <w:sz w:val="20"/>
          <w:szCs w:val="20"/>
        </w:rPr>
      </w:pPr>
      <w:r w:rsidRPr="00E7063C">
        <w:rPr>
          <w:rFonts w:ascii="Gotham" w:hAnsi="Gotham" w:cs="Arial"/>
          <w:bCs/>
          <w:sz w:val="20"/>
          <w:szCs w:val="20"/>
        </w:rPr>
        <w:t>CONSIDERACIONES</w:t>
      </w:r>
    </w:p>
    <w:p w14:paraId="3A473490" w14:textId="77777777" w:rsidR="00016FE1" w:rsidRPr="00E7063C" w:rsidRDefault="00016FE1" w:rsidP="002B6227">
      <w:pPr>
        <w:jc w:val="both"/>
        <w:rPr>
          <w:rFonts w:ascii="Gotham" w:hAnsi="Gotham" w:cs="Arial"/>
          <w:bCs/>
          <w:sz w:val="20"/>
          <w:szCs w:val="20"/>
        </w:rPr>
      </w:pPr>
    </w:p>
    <w:p w14:paraId="3A473491" w14:textId="77777777" w:rsidR="00016FE1" w:rsidRPr="00E7063C" w:rsidRDefault="00016FE1" w:rsidP="002B6227">
      <w:pPr>
        <w:jc w:val="both"/>
        <w:rPr>
          <w:rFonts w:ascii="Gotham" w:hAnsi="Gotham" w:cs="Arial"/>
          <w:sz w:val="20"/>
          <w:szCs w:val="20"/>
        </w:rPr>
      </w:pPr>
      <w:r w:rsidRPr="00E7063C">
        <w:rPr>
          <w:rFonts w:ascii="Gotham" w:hAnsi="Gotham" w:cs="Arial"/>
          <w:sz w:val="20"/>
          <w:szCs w:val="20"/>
        </w:rPr>
        <w:t>Los vecinos deberán cumplir con las normas establecidas en el Código Urbano para el Estado de Jalisco que versa lo siguiente:</w:t>
      </w:r>
    </w:p>
    <w:p w14:paraId="3A473492" w14:textId="77777777" w:rsidR="00016FE1" w:rsidRPr="00E7063C" w:rsidRDefault="00016FE1" w:rsidP="002B6227">
      <w:pPr>
        <w:jc w:val="both"/>
        <w:rPr>
          <w:rFonts w:ascii="Gotham" w:hAnsi="Gotham" w:cs="Arial"/>
          <w:sz w:val="20"/>
          <w:szCs w:val="20"/>
        </w:rPr>
      </w:pPr>
    </w:p>
    <w:p w14:paraId="3A473493" w14:textId="77777777" w:rsidR="00016FE1" w:rsidRPr="00AF7085" w:rsidRDefault="00016FE1" w:rsidP="002B6227">
      <w:pPr>
        <w:spacing w:after="120"/>
        <w:ind w:left="284" w:right="283"/>
        <w:jc w:val="both"/>
        <w:rPr>
          <w:rFonts w:ascii="Gotham" w:hAnsi="Gotham" w:cs="Arial"/>
          <w:bCs/>
          <w:i/>
          <w:iCs/>
          <w:sz w:val="19"/>
          <w:szCs w:val="19"/>
        </w:rPr>
      </w:pPr>
      <w:r w:rsidRPr="00AF7085">
        <w:rPr>
          <w:rFonts w:ascii="Gotham" w:hAnsi="Gotham" w:cs="Arial"/>
          <w:i/>
          <w:iCs/>
          <w:sz w:val="19"/>
          <w:szCs w:val="19"/>
        </w:rPr>
        <w:t>Artículo 305.</w:t>
      </w:r>
      <w:r w:rsidRPr="00AF7085">
        <w:rPr>
          <w:rFonts w:ascii="Gotham" w:hAnsi="Gotham" w:cs="Arial"/>
          <w:bCs/>
          <w:i/>
          <w:iCs/>
          <w:sz w:val="19"/>
          <w:szCs w:val="19"/>
        </w:rPr>
        <w:t xml:space="preserve"> Las asociaciones de vecinos quienes en los términos de la ley en materia de administración pública municipal podrán solicitar al municipio la concesión para administrar en forma total o parcial los servicios públicos municipales en la zona, colonia o barrio, de acuerdo con las siguientes disposiciones: </w:t>
      </w:r>
    </w:p>
    <w:p w14:paraId="3A473494" w14:textId="77777777" w:rsidR="00016FE1" w:rsidRPr="00AF7085" w:rsidRDefault="00016FE1" w:rsidP="002B6227">
      <w:pPr>
        <w:spacing w:after="120"/>
        <w:ind w:left="709" w:right="283" w:hanging="425"/>
        <w:jc w:val="both"/>
        <w:rPr>
          <w:rFonts w:ascii="Gotham" w:hAnsi="Gotham" w:cs="Arial"/>
          <w:bCs/>
          <w:i/>
          <w:iCs/>
          <w:sz w:val="19"/>
          <w:szCs w:val="19"/>
        </w:rPr>
      </w:pPr>
      <w:r w:rsidRPr="00AF7085">
        <w:rPr>
          <w:rFonts w:ascii="Gotham" w:hAnsi="Gotham" w:cs="Arial"/>
          <w:i/>
          <w:iCs/>
          <w:sz w:val="19"/>
          <w:szCs w:val="19"/>
        </w:rPr>
        <w:t>I</w:t>
      </w:r>
      <w:r w:rsidRPr="00AF7085">
        <w:rPr>
          <w:rFonts w:ascii="Gotham" w:hAnsi="Gotham" w:cs="Arial"/>
          <w:bCs/>
          <w:i/>
          <w:iCs/>
          <w:sz w:val="19"/>
          <w:szCs w:val="19"/>
        </w:rPr>
        <w:t xml:space="preserve">. </w:t>
      </w:r>
      <w:r>
        <w:rPr>
          <w:rFonts w:ascii="Gotham" w:hAnsi="Gotham" w:cs="Arial"/>
          <w:bCs/>
          <w:i/>
          <w:iCs/>
          <w:sz w:val="19"/>
          <w:szCs w:val="19"/>
        </w:rPr>
        <w:tab/>
      </w:r>
      <w:r w:rsidRPr="00AF7085">
        <w:rPr>
          <w:rFonts w:ascii="Gotham" w:hAnsi="Gotham" w:cs="Arial"/>
          <w:bCs/>
          <w:i/>
          <w:iCs/>
          <w:sz w:val="19"/>
          <w:szCs w:val="19"/>
        </w:rPr>
        <w:t xml:space="preserve">La solicitud y resolución de la concesión se tramitará conforme a las leyes y reglamentos aplicables; </w:t>
      </w:r>
      <w:r w:rsidRPr="00AF7085">
        <w:rPr>
          <w:rFonts w:ascii="Gotham" w:hAnsi="Gotham" w:cs="Arial"/>
          <w:i/>
          <w:iCs/>
          <w:sz w:val="19"/>
          <w:szCs w:val="19"/>
        </w:rPr>
        <w:t>II.</w:t>
      </w:r>
      <w:r w:rsidRPr="00AF7085">
        <w:rPr>
          <w:rFonts w:ascii="Gotham" w:hAnsi="Gotham" w:cs="Arial"/>
          <w:bCs/>
          <w:i/>
          <w:iCs/>
          <w:sz w:val="19"/>
          <w:szCs w:val="19"/>
        </w:rPr>
        <w:t xml:space="preserve"> Si la concesión parcial o total para administrar los servicios públicos se resuelve con anticipación a la entrega y recepción de obras de urbanización, el representante legal de la asociación deberá concurrir al acto previsto en el artículo que antecede, a efecto de verificar la aceptación de las obras de infraestructura y equipamiento correspondientes; y </w:t>
      </w:r>
    </w:p>
    <w:p w14:paraId="3A473495" w14:textId="77777777" w:rsidR="00016FE1" w:rsidRPr="00AF7085" w:rsidRDefault="00016FE1" w:rsidP="002B6227">
      <w:pPr>
        <w:ind w:left="709" w:right="283" w:hanging="425"/>
        <w:jc w:val="both"/>
        <w:rPr>
          <w:rFonts w:ascii="Gotham" w:hAnsi="Gotham" w:cs="Arial"/>
          <w:bCs/>
          <w:i/>
          <w:iCs/>
          <w:sz w:val="19"/>
          <w:szCs w:val="19"/>
        </w:rPr>
      </w:pPr>
      <w:r w:rsidRPr="00AF7085">
        <w:rPr>
          <w:rFonts w:ascii="Gotham" w:hAnsi="Gotham" w:cs="Arial"/>
          <w:i/>
          <w:iCs/>
          <w:sz w:val="19"/>
          <w:szCs w:val="19"/>
        </w:rPr>
        <w:t>III.</w:t>
      </w:r>
      <w:r w:rsidRPr="00AF7085">
        <w:rPr>
          <w:rFonts w:ascii="Gotham" w:hAnsi="Gotham" w:cs="Arial"/>
          <w:bCs/>
          <w:i/>
          <w:iCs/>
          <w:sz w:val="19"/>
          <w:szCs w:val="19"/>
        </w:rPr>
        <w:t xml:space="preserve"> </w:t>
      </w:r>
      <w:r>
        <w:rPr>
          <w:rFonts w:ascii="Gotham" w:hAnsi="Gotham" w:cs="Arial"/>
          <w:bCs/>
          <w:i/>
          <w:iCs/>
          <w:sz w:val="19"/>
          <w:szCs w:val="19"/>
        </w:rPr>
        <w:tab/>
      </w:r>
      <w:r w:rsidRPr="00AF7085">
        <w:rPr>
          <w:rFonts w:ascii="Gotham" w:hAnsi="Gotham" w:cs="Arial"/>
          <w:bCs/>
          <w:i/>
          <w:iCs/>
          <w:sz w:val="19"/>
          <w:szCs w:val="19"/>
        </w:rPr>
        <w:t>La concesión de servicios municipales relativos a obras de vialidad, cuando implique una restricción al libre tránsito y acceso de personas o vehículos, sólo se otorgará si los elementos de infraestructura y equipamiento constituyen un servicio local, como vialidades locales, calles tranquilizadas o andadores.</w:t>
      </w:r>
    </w:p>
    <w:p w14:paraId="3A473496" w14:textId="77777777" w:rsidR="00016FE1" w:rsidRPr="00E7063C" w:rsidRDefault="00016FE1" w:rsidP="002B6227">
      <w:pPr>
        <w:rPr>
          <w:rFonts w:ascii="Gotham" w:hAnsi="Gotham"/>
          <w:sz w:val="20"/>
          <w:szCs w:val="20"/>
        </w:rPr>
      </w:pPr>
    </w:p>
    <w:p w14:paraId="3A473497" w14:textId="77777777" w:rsidR="00016FE1" w:rsidRPr="00E7063C" w:rsidRDefault="00016FE1" w:rsidP="002B6227">
      <w:pPr>
        <w:jc w:val="both"/>
        <w:rPr>
          <w:rFonts w:ascii="Gotham" w:hAnsi="Gotham" w:cs="Arial"/>
          <w:sz w:val="20"/>
          <w:szCs w:val="20"/>
        </w:rPr>
      </w:pPr>
      <w:r w:rsidRPr="00E7063C">
        <w:rPr>
          <w:rFonts w:ascii="Gotham" w:hAnsi="Gotham" w:cs="Arial"/>
          <w:sz w:val="20"/>
          <w:szCs w:val="20"/>
        </w:rPr>
        <w:t xml:space="preserve">Con los </w:t>
      </w:r>
      <w:r>
        <w:rPr>
          <w:rFonts w:ascii="Gotham" w:hAnsi="Gotham" w:cs="Arial"/>
          <w:sz w:val="20"/>
          <w:szCs w:val="20"/>
        </w:rPr>
        <w:t>a</w:t>
      </w:r>
      <w:r w:rsidRPr="00E7063C">
        <w:rPr>
          <w:rFonts w:ascii="Gotham" w:hAnsi="Gotham" w:cs="Arial"/>
          <w:sz w:val="20"/>
          <w:szCs w:val="20"/>
        </w:rPr>
        <w:t>rgumentos antes expuestos es que un servidor propone a este Cuerpo Edilicio la Siguiente iniciativa de:</w:t>
      </w:r>
    </w:p>
    <w:p w14:paraId="3A473498" w14:textId="77777777" w:rsidR="00016FE1" w:rsidRPr="00E7063C" w:rsidRDefault="00016FE1" w:rsidP="002B6227">
      <w:pPr>
        <w:jc w:val="both"/>
        <w:rPr>
          <w:rFonts w:ascii="Gotham" w:hAnsi="Gotham" w:cs="Arial"/>
          <w:sz w:val="20"/>
          <w:szCs w:val="20"/>
        </w:rPr>
      </w:pPr>
    </w:p>
    <w:p w14:paraId="3A473499" w14:textId="77777777" w:rsidR="00016FE1" w:rsidRPr="00E7063C" w:rsidRDefault="00016FE1" w:rsidP="002B6227">
      <w:pPr>
        <w:jc w:val="center"/>
        <w:rPr>
          <w:rFonts w:ascii="Gotham" w:hAnsi="Gotham" w:cs="Arial"/>
          <w:sz w:val="20"/>
          <w:szCs w:val="20"/>
        </w:rPr>
      </w:pPr>
      <w:r w:rsidRPr="00E7063C">
        <w:rPr>
          <w:rFonts w:ascii="Gotham" w:hAnsi="Gotham" w:cs="Arial"/>
          <w:sz w:val="20"/>
          <w:szCs w:val="20"/>
        </w:rPr>
        <w:t>ACUERDO MUNICIPAL</w:t>
      </w:r>
    </w:p>
    <w:p w14:paraId="3A47349A" w14:textId="77777777" w:rsidR="00016FE1" w:rsidRPr="00E7063C" w:rsidRDefault="00016FE1" w:rsidP="002B6227">
      <w:pPr>
        <w:jc w:val="center"/>
        <w:rPr>
          <w:rFonts w:ascii="Gotham" w:hAnsi="Gotham" w:cs="Arial"/>
          <w:sz w:val="20"/>
          <w:szCs w:val="20"/>
        </w:rPr>
      </w:pPr>
    </w:p>
    <w:p w14:paraId="3A47349B" w14:textId="77777777" w:rsidR="00016FE1" w:rsidRPr="00E7063C" w:rsidRDefault="00016FE1" w:rsidP="002B6227">
      <w:pPr>
        <w:pStyle w:val="Encabezado"/>
        <w:jc w:val="both"/>
        <w:rPr>
          <w:rFonts w:ascii="Gotham" w:hAnsi="Gotham" w:cs="Arial"/>
          <w:sz w:val="20"/>
          <w:szCs w:val="20"/>
        </w:rPr>
      </w:pPr>
      <w:r w:rsidRPr="00E7063C">
        <w:rPr>
          <w:rFonts w:ascii="Gotham" w:hAnsi="Gotham" w:cs="Arial"/>
          <w:sz w:val="20"/>
          <w:szCs w:val="20"/>
        </w:rPr>
        <w:t xml:space="preserve">PRIMERO.– </w:t>
      </w:r>
      <w:r>
        <w:rPr>
          <w:rFonts w:ascii="Gotham" w:hAnsi="Gotham" w:cs="Arial"/>
          <w:sz w:val="20"/>
          <w:szCs w:val="20"/>
        </w:rPr>
        <w:t>Se propone t</w:t>
      </w:r>
      <w:r w:rsidRPr="00E7063C">
        <w:rPr>
          <w:rFonts w:ascii="Gotham" w:hAnsi="Gotham" w:cs="Arial"/>
          <w:sz w:val="20"/>
          <w:szCs w:val="20"/>
        </w:rPr>
        <w:t>urno a la Comisión Edilicia de Hacienda y Presupuestos, con la finalidad de que se realice el estudio, análisis y el dictamen correspondiente con el objeto de que apruebe suscribir instrumento de comodato a la Asociación Civil denominada “Colonos Organizados del Circuito Loma Dos”, por los espació descritos en la presente Iniciativa de Acuerdo Municipal.</w:t>
      </w:r>
    </w:p>
    <w:p w14:paraId="3A47349C" w14:textId="77777777" w:rsidR="00016FE1" w:rsidRPr="00E7063C" w:rsidRDefault="00016FE1" w:rsidP="002B6227">
      <w:pPr>
        <w:pStyle w:val="Encabezado"/>
        <w:jc w:val="both"/>
        <w:rPr>
          <w:rFonts w:ascii="Gotham" w:hAnsi="Gotham" w:cs="Arial"/>
          <w:sz w:val="20"/>
          <w:szCs w:val="20"/>
        </w:rPr>
      </w:pPr>
    </w:p>
    <w:p w14:paraId="3A47349D" w14:textId="77777777" w:rsidR="00016FE1" w:rsidRPr="00E7063C" w:rsidRDefault="00016FE1" w:rsidP="002B6227">
      <w:pPr>
        <w:pStyle w:val="Encabezado"/>
        <w:jc w:val="both"/>
        <w:rPr>
          <w:rFonts w:ascii="Gotham" w:hAnsi="Gotham" w:cs="Arial"/>
          <w:sz w:val="20"/>
          <w:szCs w:val="20"/>
        </w:rPr>
      </w:pPr>
      <w:r w:rsidRPr="00E7063C">
        <w:rPr>
          <w:rFonts w:ascii="Gotham" w:hAnsi="Gotham" w:cs="Arial"/>
          <w:sz w:val="20"/>
          <w:szCs w:val="20"/>
        </w:rPr>
        <w:t>SEGUNDO.</w:t>
      </w:r>
      <w:r>
        <w:rPr>
          <w:rFonts w:ascii="Gotham" w:hAnsi="Gotham" w:cs="Arial"/>
          <w:sz w:val="20"/>
          <w:szCs w:val="20"/>
        </w:rPr>
        <w:t>-</w:t>
      </w:r>
      <w:r w:rsidRPr="00E7063C">
        <w:rPr>
          <w:rFonts w:ascii="Gotham" w:hAnsi="Gotham" w:cs="Arial"/>
          <w:sz w:val="20"/>
          <w:szCs w:val="20"/>
        </w:rPr>
        <w:t xml:space="preserve"> Se </w:t>
      </w:r>
      <w:r>
        <w:rPr>
          <w:rFonts w:ascii="Gotham" w:hAnsi="Gotham" w:cs="Arial"/>
          <w:sz w:val="20"/>
          <w:szCs w:val="20"/>
        </w:rPr>
        <w:t>f</w:t>
      </w:r>
      <w:r w:rsidRPr="00E7063C">
        <w:rPr>
          <w:rFonts w:ascii="Gotham" w:hAnsi="Gotham" w:cs="Arial"/>
          <w:sz w:val="20"/>
          <w:szCs w:val="20"/>
        </w:rPr>
        <w:t>aculta al Presidente Municipal y a la Secretaria General para que suscriban la documentación necesaria en cumplimiento al presente Acuerdo Municipal.</w:t>
      </w:r>
    </w:p>
    <w:p w14:paraId="3A47349E" w14:textId="77777777" w:rsidR="00016FE1" w:rsidRDefault="00016FE1" w:rsidP="002B6227">
      <w:pPr>
        <w:jc w:val="both"/>
        <w:rPr>
          <w:rFonts w:ascii="Gotham" w:hAnsi="Gotham"/>
          <w:sz w:val="20"/>
          <w:szCs w:val="20"/>
        </w:rPr>
      </w:pPr>
    </w:p>
    <w:p w14:paraId="3A47349F" w14:textId="77777777" w:rsidR="00016FE1" w:rsidRPr="00351AD1" w:rsidRDefault="00016FE1" w:rsidP="002B6227">
      <w:pPr>
        <w:jc w:val="both"/>
        <w:rPr>
          <w:rFonts w:ascii="Gotham" w:hAnsi="Gotham" w:cs="Arial"/>
          <w:sz w:val="20"/>
          <w:szCs w:val="20"/>
        </w:rPr>
      </w:pPr>
      <w:r>
        <w:rPr>
          <w:rFonts w:ascii="Gotham" w:hAnsi="Gotham"/>
          <w:sz w:val="20"/>
          <w:szCs w:val="20"/>
        </w:rPr>
        <w:t>En uso de la voz el Presidente Municipal, Sergio Armando Chávez Dávalos, expresa que, se propone su turno a la Comisión Edilicia de Hacienda Municipal y Presupuestos;</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4A0" w14:textId="77777777" w:rsidR="00016FE1" w:rsidRPr="00351AD1" w:rsidRDefault="00016FE1" w:rsidP="002B6227">
      <w:pPr>
        <w:jc w:val="both"/>
        <w:rPr>
          <w:rFonts w:ascii="Gotham" w:hAnsi="Gotham" w:cs="Arial"/>
          <w:sz w:val="20"/>
          <w:szCs w:val="20"/>
        </w:rPr>
      </w:pPr>
    </w:p>
    <w:p w14:paraId="3A4734A1"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4A2" w14:textId="77777777" w:rsidR="00016FE1" w:rsidRPr="00351AD1" w:rsidRDefault="00016FE1" w:rsidP="002B6227">
      <w:pPr>
        <w:jc w:val="both"/>
        <w:rPr>
          <w:rFonts w:ascii="Gotham" w:hAnsi="Gotham" w:cs="Arial"/>
          <w:sz w:val="20"/>
          <w:szCs w:val="20"/>
        </w:rPr>
      </w:pPr>
    </w:p>
    <w:p w14:paraId="3A4734A3"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4A4" w14:textId="77777777" w:rsidR="00016FE1" w:rsidRPr="000F7447" w:rsidRDefault="00016FE1" w:rsidP="002B6227">
      <w:pPr>
        <w:jc w:val="both"/>
        <w:rPr>
          <w:rFonts w:ascii="Gotham" w:hAnsi="Gotham"/>
          <w:sz w:val="20"/>
          <w:szCs w:val="20"/>
        </w:rPr>
      </w:pPr>
    </w:p>
    <w:p w14:paraId="3A4734A5" w14:textId="77777777" w:rsidR="00016FE1" w:rsidRPr="000F7447" w:rsidRDefault="00016FE1" w:rsidP="002B6227">
      <w:pPr>
        <w:jc w:val="both"/>
        <w:rPr>
          <w:rFonts w:ascii="Gotham" w:hAnsi="Gotham"/>
          <w:sz w:val="20"/>
          <w:szCs w:val="20"/>
        </w:rPr>
      </w:pPr>
    </w:p>
    <w:p w14:paraId="3A4734A6"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1117</w:t>
      </w:r>
    </w:p>
    <w:p w14:paraId="3A4734A7" w14:textId="77777777" w:rsidR="00016FE1" w:rsidRPr="00BC1D67" w:rsidRDefault="00016FE1" w:rsidP="002B6227">
      <w:pPr>
        <w:jc w:val="both"/>
        <w:rPr>
          <w:rFonts w:ascii="Gotham" w:hAnsi="Gotham" w:cs="Arial"/>
          <w:sz w:val="20"/>
          <w:szCs w:val="20"/>
        </w:rPr>
      </w:pPr>
      <w:r w:rsidRPr="000F7447">
        <w:rPr>
          <w:rFonts w:ascii="Gotham" w:hAnsi="Gotham"/>
          <w:b/>
          <w:bCs/>
          <w:smallCaps/>
          <w:sz w:val="20"/>
          <w:szCs w:val="20"/>
        </w:rPr>
        <w:t>Quinta Iniciativa con Turno a Comisión</w:t>
      </w:r>
      <w:r w:rsidRPr="000F7447">
        <w:rPr>
          <w:rFonts w:ascii="Gotham" w:hAnsi="Gotham"/>
          <w:b/>
          <w:bCs/>
          <w:sz w:val="20"/>
          <w:szCs w:val="20"/>
        </w:rPr>
        <w:t xml:space="preserve">.- </w:t>
      </w:r>
      <w:r>
        <w:rPr>
          <w:rFonts w:ascii="Gotham" w:hAnsi="Gotham"/>
          <w:sz w:val="20"/>
          <w:szCs w:val="20"/>
        </w:rPr>
        <w:t>En uso de la voz el Síndico, Nicolás Maestro Landeros,</w:t>
      </w:r>
      <w:r w:rsidRPr="000F7447">
        <w:rPr>
          <w:rFonts w:ascii="Gotham" w:hAnsi="Gotham"/>
          <w:sz w:val="20"/>
          <w:szCs w:val="20"/>
        </w:rPr>
        <w:t xml:space="preserve"> manifiesta que, </w:t>
      </w:r>
      <w:r>
        <w:rPr>
          <w:rFonts w:ascii="Gotham" w:hAnsi="Gotham"/>
          <w:sz w:val="20"/>
          <w:szCs w:val="20"/>
        </w:rPr>
        <w:t>e</w:t>
      </w:r>
      <w:r w:rsidRPr="00BC1D67">
        <w:rPr>
          <w:rFonts w:ascii="Gotham" w:hAnsi="Gotham" w:cs="Arial"/>
          <w:sz w:val="20"/>
          <w:szCs w:val="20"/>
        </w:rPr>
        <w:t xml:space="preserve">l que suscribe, Síndico del Ayuntamiento Constitucional de Tonalá; Jalisco; Abogado Nicolás Maestro Landeros, en uso de la facultad que me confieren los artículos 41, fracción III, y 50 de la Ley del Gobierno y la Administración Pública Municipal del Estado de Jalisco; el artículo 56, fracción III, del Reglamento del Gobierno y la Administración Pública del Ayuntamiento Constitucional de Tonalá, Jalisco; así como los artículos 82, fracción III, y 83 del Reglamento para el Funcionamiento </w:t>
      </w:r>
      <w:r w:rsidRPr="00BC1D67">
        <w:rPr>
          <w:rFonts w:ascii="Gotham" w:hAnsi="Gotham" w:cs="Arial"/>
          <w:sz w:val="20"/>
          <w:szCs w:val="20"/>
        </w:rPr>
        <w:lastRenderedPageBreak/>
        <w:t xml:space="preserve">Interno de Sesiones del Ayuntamiento Constitucional de Tonalá, Jalisco; someto a consideración de este Ayuntamiento la presente Iniciativa </w:t>
      </w:r>
      <w:r w:rsidRPr="00BC1D67">
        <w:rPr>
          <w:rFonts w:ascii="Gotham" w:hAnsi="Gotham" w:cs="Arial"/>
          <w:sz w:val="20"/>
          <w:szCs w:val="20"/>
          <w:lang w:val="es-MX"/>
        </w:rPr>
        <w:t>con turno</w:t>
      </w:r>
      <w:r w:rsidRPr="00BC1D67">
        <w:rPr>
          <w:rFonts w:ascii="Gotham" w:hAnsi="Gotham" w:cs="Arial"/>
          <w:sz w:val="20"/>
          <w:szCs w:val="20"/>
        </w:rPr>
        <w:t xml:space="preserve"> a comisión que tiene por objeto el estudio y análisis Aprobar el Convenio con la Organización AIESEC México A.C., de conformidad con la siguiente:</w:t>
      </w:r>
    </w:p>
    <w:p w14:paraId="3A4734A8" w14:textId="77777777" w:rsidR="00016FE1" w:rsidRPr="00BC1D67" w:rsidRDefault="00016FE1" w:rsidP="002B6227">
      <w:pPr>
        <w:rPr>
          <w:rFonts w:ascii="Gotham" w:hAnsi="Gotham"/>
          <w:sz w:val="20"/>
          <w:szCs w:val="20"/>
        </w:rPr>
      </w:pPr>
    </w:p>
    <w:p w14:paraId="3A4734A9" w14:textId="77777777" w:rsidR="00016FE1" w:rsidRPr="00BC1D67" w:rsidRDefault="00016FE1" w:rsidP="002B6227">
      <w:pPr>
        <w:jc w:val="center"/>
        <w:rPr>
          <w:rFonts w:ascii="Gotham" w:hAnsi="Gotham" w:cs="Arial"/>
          <w:sz w:val="20"/>
          <w:szCs w:val="20"/>
        </w:rPr>
      </w:pPr>
      <w:r w:rsidRPr="00BC1D67">
        <w:rPr>
          <w:rFonts w:ascii="Gotham" w:hAnsi="Gotham" w:cs="Arial"/>
          <w:sz w:val="20"/>
          <w:szCs w:val="20"/>
        </w:rPr>
        <w:t>EXPOSICIÓN DE MOTIVOS</w:t>
      </w:r>
    </w:p>
    <w:p w14:paraId="3A4734AA" w14:textId="77777777" w:rsidR="00016FE1" w:rsidRPr="00BC1D67" w:rsidRDefault="00016FE1" w:rsidP="002B6227">
      <w:pPr>
        <w:jc w:val="center"/>
        <w:rPr>
          <w:rFonts w:ascii="Gotham" w:hAnsi="Gotham" w:cs="Arial"/>
          <w:sz w:val="20"/>
          <w:szCs w:val="20"/>
        </w:rPr>
      </w:pPr>
    </w:p>
    <w:p w14:paraId="3A4734AB" w14:textId="77777777" w:rsidR="00016FE1" w:rsidRPr="00BC1D67" w:rsidRDefault="00016FE1" w:rsidP="002B6227">
      <w:pPr>
        <w:pStyle w:val="Prrafodelista"/>
        <w:numPr>
          <w:ilvl w:val="0"/>
          <w:numId w:val="155"/>
        </w:numPr>
        <w:ind w:left="567" w:hanging="567"/>
        <w:contextualSpacing w:val="0"/>
        <w:jc w:val="both"/>
        <w:rPr>
          <w:rFonts w:ascii="Gotham" w:hAnsi="Gotham" w:cs="Arial"/>
          <w:sz w:val="20"/>
          <w:szCs w:val="20"/>
        </w:rPr>
      </w:pPr>
      <w:r w:rsidRPr="00BC1D67">
        <w:rPr>
          <w:rFonts w:ascii="Gotham" w:hAnsi="Gotham" w:cs="Arial"/>
          <w:sz w:val="20"/>
          <w:szCs w:val="20"/>
        </w:rPr>
        <w:t>A esta Sindicatura acudió Director Local de Talento Global en Guadalajara; Cuauhtli Yetuani Curiel Padilla, quien expuso en lo general el programa denominado Talento Global en Guadalajara; AIESEC es una organización global liderada por jóvenes con el objetivo de alcanzar la paz y el pleno desarrollo potencial humano. La organización busca desarrollar cualidades de liderazgo en los jóvenes a través de experiencias prácticas en ambientes retadores, en conjunto con organizaciones y empresas asociadas, AIESEC facilita una red de intercambios multiculturales creando experiencia de voluntariado y profesionales.</w:t>
      </w:r>
    </w:p>
    <w:p w14:paraId="3A4734AC" w14:textId="77777777" w:rsidR="00016FE1" w:rsidRPr="00BC1D67" w:rsidRDefault="00016FE1" w:rsidP="002B6227">
      <w:pPr>
        <w:ind w:left="567" w:hanging="567"/>
        <w:jc w:val="both"/>
        <w:rPr>
          <w:rFonts w:ascii="Gotham" w:hAnsi="Gotham" w:cs="Arial"/>
          <w:sz w:val="20"/>
          <w:szCs w:val="20"/>
        </w:rPr>
      </w:pPr>
    </w:p>
    <w:p w14:paraId="3A4734AD" w14:textId="77777777" w:rsidR="00016FE1" w:rsidRPr="00BC1D67" w:rsidRDefault="00016FE1" w:rsidP="002B6227">
      <w:pPr>
        <w:pStyle w:val="Estilo"/>
        <w:widowControl/>
        <w:numPr>
          <w:ilvl w:val="0"/>
          <w:numId w:val="155"/>
        </w:numPr>
        <w:autoSpaceDE/>
        <w:autoSpaceDN/>
        <w:adjustRightInd/>
        <w:ind w:left="567" w:hanging="567"/>
        <w:jc w:val="both"/>
        <w:rPr>
          <w:rFonts w:ascii="Gotham" w:hAnsi="Gotham"/>
          <w:sz w:val="20"/>
          <w:szCs w:val="20"/>
          <w:lang w:eastAsia="es-MX"/>
        </w:rPr>
      </w:pPr>
      <w:r w:rsidRPr="00BC1D67">
        <w:rPr>
          <w:rFonts w:ascii="Gotham" w:hAnsi="Gotham"/>
          <w:sz w:val="20"/>
          <w:szCs w:val="20"/>
        </w:rPr>
        <w:t>Algunos programas que AIESEC nos ofrece como gobierno son:</w:t>
      </w:r>
    </w:p>
    <w:p w14:paraId="3A4734AE" w14:textId="77777777" w:rsidR="00016FE1" w:rsidRPr="00BC1D67" w:rsidRDefault="00016FE1" w:rsidP="002B6227">
      <w:pPr>
        <w:pStyle w:val="Estilo"/>
        <w:ind w:left="720"/>
        <w:rPr>
          <w:rFonts w:ascii="Gotham" w:hAnsi="Gotham"/>
          <w:sz w:val="20"/>
          <w:szCs w:val="20"/>
          <w:lang w:eastAsia="es-MX"/>
        </w:rPr>
      </w:pPr>
    </w:p>
    <w:p w14:paraId="3A4734AF" w14:textId="77777777" w:rsidR="00016FE1" w:rsidRPr="00BC1D67" w:rsidRDefault="00016FE1" w:rsidP="002B6227">
      <w:pPr>
        <w:pStyle w:val="Prrafodelista"/>
        <w:numPr>
          <w:ilvl w:val="0"/>
          <w:numId w:val="156"/>
        </w:numPr>
        <w:ind w:left="993" w:hanging="426"/>
        <w:contextualSpacing w:val="0"/>
        <w:jc w:val="both"/>
        <w:rPr>
          <w:rFonts w:ascii="Gotham" w:hAnsi="Gotham" w:cs="Arial"/>
          <w:sz w:val="20"/>
          <w:szCs w:val="20"/>
        </w:rPr>
      </w:pPr>
      <w:r w:rsidRPr="00BC1D67">
        <w:rPr>
          <w:rFonts w:ascii="Gotham" w:hAnsi="Gotham" w:cs="Arial"/>
          <w:bCs/>
          <w:sz w:val="20"/>
          <w:szCs w:val="20"/>
          <w:shd w:val="clear" w:color="auto" w:fill="FFFFFF"/>
        </w:rPr>
        <w:t>Programa de Talento Global: </w:t>
      </w:r>
      <w:r w:rsidRPr="00BC1D67">
        <w:rPr>
          <w:rFonts w:ascii="Gotham" w:hAnsi="Gotham" w:cs="Arial"/>
          <w:sz w:val="20"/>
          <w:szCs w:val="20"/>
          <w:shd w:val="clear" w:color="auto" w:fill="FFFFFF"/>
        </w:rPr>
        <w:t>Ofrece una pasantía en México a jóvenes de diferentes países en Start Ups, gobierno y grandes empresas donde puedan desarrollar su liderazgo e impulsar sus perspectivas de carrera con una pasantía internacional.</w:t>
      </w:r>
    </w:p>
    <w:p w14:paraId="3A4734B0" w14:textId="77777777" w:rsidR="00016FE1" w:rsidRPr="00BC1D67" w:rsidRDefault="00016FE1" w:rsidP="002B6227">
      <w:pPr>
        <w:ind w:left="993" w:hanging="426"/>
        <w:jc w:val="both"/>
        <w:rPr>
          <w:rFonts w:ascii="Gotham" w:hAnsi="Gotham" w:cs="Arial"/>
          <w:sz w:val="20"/>
          <w:szCs w:val="20"/>
        </w:rPr>
      </w:pPr>
    </w:p>
    <w:p w14:paraId="3A4734B1" w14:textId="77777777" w:rsidR="00016FE1" w:rsidRPr="00BC1D67" w:rsidRDefault="00016FE1" w:rsidP="002B6227">
      <w:pPr>
        <w:pStyle w:val="Prrafodelista"/>
        <w:numPr>
          <w:ilvl w:val="0"/>
          <w:numId w:val="156"/>
        </w:numPr>
        <w:ind w:left="993" w:hanging="426"/>
        <w:contextualSpacing w:val="0"/>
        <w:jc w:val="both"/>
        <w:rPr>
          <w:rFonts w:ascii="Gotham" w:hAnsi="Gotham" w:cs="Arial"/>
          <w:sz w:val="20"/>
          <w:szCs w:val="20"/>
        </w:rPr>
      </w:pPr>
      <w:r w:rsidRPr="00BC1D67">
        <w:rPr>
          <w:rFonts w:ascii="Gotham" w:hAnsi="Gotham" w:cs="Arial"/>
          <w:bCs/>
          <w:sz w:val="20"/>
          <w:szCs w:val="20"/>
          <w:shd w:val="clear" w:color="auto" w:fill="FFFFFF"/>
        </w:rPr>
        <w:t>Programa de Voluntario Global: </w:t>
      </w:r>
      <w:r w:rsidRPr="00BC1D67">
        <w:rPr>
          <w:rFonts w:ascii="Gotham" w:hAnsi="Gotham" w:cs="Arial"/>
          <w:sz w:val="20"/>
          <w:szCs w:val="20"/>
          <w:shd w:val="clear" w:color="auto" w:fill="FFFFFF"/>
        </w:rPr>
        <w:t>Ofrece una pasantía en México a jóvenes de diferentes países en ONGs, gobierno y escuelas donde puedan prestar un voluntariado impactando a los SDGs, desarrollar su liderazgo e impulsar profesión con una pasantía internacional.</w:t>
      </w:r>
    </w:p>
    <w:p w14:paraId="3A4734B2" w14:textId="77777777" w:rsidR="00016FE1" w:rsidRPr="00BC1D67" w:rsidRDefault="00016FE1" w:rsidP="002B6227">
      <w:pPr>
        <w:pStyle w:val="Prrafodelista"/>
        <w:ind w:left="993" w:hanging="426"/>
        <w:contextualSpacing w:val="0"/>
        <w:rPr>
          <w:rFonts w:ascii="Gotham" w:hAnsi="Gotham" w:cs="Arial"/>
          <w:sz w:val="20"/>
          <w:szCs w:val="20"/>
        </w:rPr>
      </w:pPr>
    </w:p>
    <w:p w14:paraId="3A4734B3" w14:textId="77777777" w:rsidR="00016FE1" w:rsidRPr="00BC1D67" w:rsidRDefault="00016FE1" w:rsidP="002B6227">
      <w:pPr>
        <w:pStyle w:val="Prrafodelista"/>
        <w:numPr>
          <w:ilvl w:val="0"/>
          <w:numId w:val="156"/>
        </w:numPr>
        <w:ind w:left="993" w:hanging="426"/>
        <w:contextualSpacing w:val="0"/>
        <w:jc w:val="both"/>
        <w:rPr>
          <w:rFonts w:ascii="Gotham" w:hAnsi="Gotham" w:cs="Arial"/>
          <w:sz w:val="20"/>
          <w:szCs w:val="20"/>
          <w:lang w:val="es-MX" w:eastAsia="es-MX"/>
        </w:rPr>
      </w:pPr>
      <w:r w:rsidRPr="00BC1D67">
        <w:rPr>
          <w:rFonts w:ascii="Gotham" w:hAnsi="Gotham" w:cs="Arial"/>
          <w:bCs/>
          <w:sz w:val="20"/>
          <w:szCs w:val="20"/>
        </w:rPr>
        <w:t>Programa de apoyo a mexicanos</w:t>
      </w:r>
      <w:r w:rsidRPr="00BC1D67">
        <w:rPr>
          <w:rFonts w:ascii="Gotham" w:hAnsi="Gotham" w:cs="Arial"/>
          <w:sz w:val="20"/>
          <w:szCs w:val="20"/>
        </w:rPr>
        <w:t>: Apoyos a los jóvenes mexicanos que desean tomar una experiencia de voluntariado o práctica profesional en el extranjero</w:t>
      </w:r>
    </w:p>
    <w:p w14:paraId="3A4734B4" w14:textId="77777777" w:rsidR="00016FE1" w:rsidRPr="00BC1D67" w:rsidRDefault="00016FE1" w:rsidP="002B6227">
      <w:pPr>
        <w:ind w:left="993" w:hanging="426"/>
        <w:jc w:val="both"/>
        <w:rPr>
          <w:rFonts w:ascii="Gotham" w:hAnsi="Gotham" w:cs="Arial"/>
          <w:bCs/>
          <w:sz w:val="20"/>
          <w:szCs w:val="20"/>
        </w:rPr>
      </w:pPr>
    </w:p>
    <w:p w14:paraId="3A4734B5" w14:textId="77777777" w:rsidR="00016FE1" w:rsidRPr="00BC1D67" w:rsidRDefault="00016FE1" w:rsidP="002B6227">
      <w:pPr>
        <w:pStyle w:val="Prrafodelista"/>
        <w:numPr>
          <w:ilvl w:val="0"/>
          <w:numId w:val="156"/>
        </w:numPr>
        <w:ind w:left="993" w:hanging="426"/>
        <w:contextualSpacing w:val="0"/>
        <w:jc w:val="both"/>
        <w:rPr>
          <w:rFonts w:ascii="Gotham" w:hAnsi="Gotham" w:cs="Arial"/>
          <w:sz w:val="20"/>
          <w:szCs w:val="20"/>
        </w:rPr>
      </w:pPr>
      <w:r w:rsidRPr="00BC1D67">
        <w:rPr>
          <w:rFonts w:ascii="Gotham" w:hAnsi="Gotham" w:cs="Arial"/>
          <w:bCs/>
          <w:sz w:val="20"/>
          <w:szCs w:val="20"/>
        </w:rPr>
        <w:t>Programa de apoyo a AIESEC en Guadalajara</w:t>
      </w:r>
      <w:r w:rsidRPr="00BC1D67">
        <w:rPr>
          <w:rFonts w:ascii="Gotham" w:hAnsi="Gotham" w:cs="Arial"/>
          <w:sz w:val="20"/>
          <w:szCs w:val="20"/>
        </w:rPr>
        <w:t>: Apoyos a los jóvenes mexicanos dentro de la organización que desean tomar seminarios y congresos nacional y localmente para desarrollar su liderazgo y profesión.</w:t>
      </w:r>
    </w:p>
    <w:p w14:paraId="3A4734B6" w14:textId="77777777" w:rsidR="00016FE1" w:rsidRPr="00BC1D67" w:rsidRDefault="00016FE1" w:rsidP="002B6227">
      <w:pPr>
        <w:jc w:val="both"/>
        <w:rPr>
          <w:rFonts w:ascii="Gotham" w:hAnsi="Gotham" w:cs="Arial"/>
          <w:bCs/>
          <w:sz w:val="20"/>
          <w:szCs w:val="20"/>
        </w:rPr>
      </w:pPr>
    </w:p>
    <w:p w14:paraId="3A4734B7" w14:textId="77777777" w:rsidR="00016FE1" w:rsidRDefault="00016FE1" w:rsidP="002B6227">
      <w:pPr>
        <w:jc w:val="center"/>
        <w:rPr>
          <w:rFonts w:ascii="Gotham" w:hAnsi="Gotham" w:cs="Arial"/>
          <w:bCs/>
          <w:sz w:val="20"/>
          <w:szCs w:val="20"/>
        </w:rPr>
      </w:pPr>
      <w:r w:rsidRPr="00BC1D67">
        <w:rPr>
          <w:rFonts w:ascii="Gotham" w:hAnsi="Gotham" w:cs="Arial"/>
          <w:bCs/>
          <w:sz w:val="20"/>
          <w:szCs w:val="20"/>
        </w:rPr>
        <w:t>CONSIDERACIONES</w:t>
      </w:r>
    </w:p>
    <w:p w14:paraId="3A4734B8" w14:textId="77777777" w:rsidR="00016FE1" w:rsidRPr="00BC1D67" w:rsidRDefault="00016FE1" w:rsidP="002B6227">
      <w:pPr>
        <w:jc w:val="center"/>
        <w:rPr>
          <w:rFonts w:ascii="Gotham" w:hAnsi="Gotham" w:cs="Arial"/>
          <w:bCs/>
          <w:sz w:val="20"/>
          <w:szCs w:val="20"/>
        </w:rPr>
      </w:pPr>
    </w:p>
    <w:p w14:paraId="3A4734B9" w14:textId="77777777" w:rsidR="00016FE1" w:rsidRPr="00BC1D67" w:rsidRDefault="00016FE1" w:rsidP="002B6227">
      <w:pPr>
        <w:ind w:left="567" w:hanging="567"/>
        <w:jc w:val="both"/>
        <w:rPr>
          <w:rFonts w:ascii="Gotham" w:hAnsi="Gotham" w:cs="Arial"/>
          <w:sz w:val="20"/>
          <w:szCs w:val="20"/>
        </w:rPr>
      </w:pPr>
      <w:r w:rsidRPr="00BC1D67">
        <w:rPr>
          <w:rFonts w:ascii="Gotham" w:hAnsi="Gotham" w:cs="Arial"/>
          <w:sz w:val="20"/>
          <w:szCs w:val="20"/>
        </w:rPr>
        <w:t xml:space="preserve">I.- </w:t>
      </w:r>
      <w:r>
        <w:rPr>
          <w:rFonts w:ascii="Gotham" w:hAnsi="Gotham" w:cs="Arial"/>
          <w:sz w:val="20"/>
          <w:szCs w:val="20"/>
        </w:rPr>
        <w:tab/>
      </w:r>
      <w:r w:rsidRPr="00BC1D67">
        <w:rPr>
          <w:rFonts w:ascii="Gotham" w:hAnsi="Gotham" w:cs="Arial"/>
          <w:sz w:val="20"/>
          <w:szCs w:val="20"/>
        </w:rPr>
        <w:t>Que la Constitución Política de los Estados Unidos Mexicanos, en su artículo 115, estipula que:</w:t>
      </w:r>
      <w:r w:rsidR="008402EC">
        <w:rPr>
          <w:rFonts w:ascii="Gotham" w:hAnsi="Gotham" w:cs="Arial"/>
          <w:sz w:val="20"/>
          <w:szCs w:val="20"/>
        </w:rPr>
        <w:t xml:space="preserve"> </w:t>
      </w:r>
      <w:r w:rsidRPr="00BC1D67">
        <w:rPr>
          <w:rFonts w:ascii="Gotham" w:hAnsi="Gotham" w:cs="Arial"/>
          <w:sz w:val="20"/>
          <w:szCs w:val="20"/>
        </w:rPr>
        <w:t>“Los estados adoptarán, para su régimen interior, la forma de gobierno republicano, representativo, democrático, laico y popular, teniendo como base de su división territorial y de su organización política y administrativa, el municipio libre…Cada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3A4734BA" w14:textId="77777777" w:rsidR="00016FE1" w:rsidRPr="00BC1D67" w:rsidRDefault="00016FE1" w:rsidP="002B6227">
      <w:pPr>
        <w:rPr>
          <w:rFonts w:ascii="Gotham" w:hAnsi="Gotham" w:cs="Arial"/>
          <w:sz w:val="20"/>
          <w:szCs w:val="20"/>
        </w:rPr>
      </w:pPr>
    </w:p>
    <w:p w14:paraId="3A4734BB" w14:textId="77777777" w:rsidR="00016FE1" w:rsidRPr="00C237AB" w:rsidRDefault="00016FE1" w:rsidP="002B6227">
      <w:pPr>
        <w:spacing w:after="120"/>
        <w:ind w:left="851" w:right="283"/>
        <w:rPr>
          <w:rFonts w:ascii="Gotham" w:hAnsi="Gotham" w:cs="Arial"/>
          <w:i/>
          <w:sz w:val="19"/>
          <w:szCs w:val="19"/>
        </w:rPr>
      </w:pPr>
      <w:r w:rsidRPr="00C237AB">
        <w:rPr>
          <w:rFonts w:ascii="Gotham" w:hAnsi="Gotham" w:cs="Arial"/>
          <w:i/>
          <w:sz w:val="19"/>
          <w:szCs w:val="19"/>
        </w:rPr>
        <w:t>Artículo 115. (…)</w:t>
      </w:r>
    </w:p>
    <w:p w14:paraId="3A4734BC" w14:textId="77777777" w:rsidR="00016FE1" w:rsidRPr="00C237AB" w:rsidRDefault="00016FE1" w:rsidP="002B6227">
      <w:pPr>
        <w:spacing w:after="120"/>
        <w:ind w:left="1276" w:right="283" w:hanging="425"/>
        <w:rPr>
          <w:rFonts w:ascii="Gotham" w:hAnsi="Gotham" w:cs="Arial"/>
          <w:i/>
          <w:sz w:val="19"/>
          <w:szCs w:val="19"/>
        </w:rPr>
      </w:pPr>
      <w:r w:rsidRPr="00C237AB">
        <w:rPr>
          <w:rFonts w:ascii="Gotham" w:hAnsi="Gotham" w:cs="Arial"/>
          <w:i/>
          <w:sz w:val="19"/>
          <w:szCs w:val="19"/>
        </w:rPr>
        <w:t xml:space="preserve">III.- </w:t>
      </w:r>
      <w:r>
        <w:rPr>
          <w:rFonts w:ascii="Gotham" w:hAnsi="Gotham" w:cs="Arial"/>
          <w:i/>
          <w:sz w:val="19"/>
          <w:szCs w:val="19"/>
        </w:rPr>
        <w:tab/>
      </w:r>
      <w:r w:rsidRPr="00C237AB">
        <w:rPr>
          <w:rFonts w:ascii="Gotham" w:hAnsi="Gotham" w:cs="Arial"/>
          <w:i/>
          <w:sz w:val="19"/>
          <w:szCs w:val="19"/>
        </w:rPr>
        <w:t>Los Municipios tendrán a su cargo las funciones y servicios públicos siguientes:</w:t>
      </w:r>
    </w:p>
    <w:p w14:paraId="3A4734BD"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t xml:space="preserve">a).- </w:t>
      </w:r>
      <w:r>
        <w:rPr>
          <w:rFonts w:ascii="Gotham" w:hAnsi="Gotham" w:cs="Arial"/>
          <w:i/>
          <w:sz w:val="19"/>
          <w:szCs w:val="19"/>
        </w:rPr>
        <w:tab/>
      </w:r>
      <w:r w:rsidRPr="00C237AB">
        <w:rPr>
          <w:rFonts w:ascii="Gotham" w:hAnsi="Gotham" w:cs="Arial"/>
          <w:i/>
          <w:sz w:val="19"/>
          <w:szCs w:val="19"/>
        </w:rPr>
        <w:t>Agua potable, drenaje, alcantarillado, tratamiento y disposición de sus aguas residuales.</w:t>
      </w:r>
    </w:p>
    <w:p w14:paraId="3A4734BE"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t xml:space="preserve">b).- </w:t>
      </w:r>
      <w:r>
        <w:rPr>
          <w:rFonts w:ascii="Gotham" w:hAnsi="Gotham" w:cs="Arial"/>
          <w:i/>
          <w:sz w:val="19"/>
          <w:szCs w:val="19"/>
        </w:rPr>
        <w:tab/>
      </w:r>
      <w:r w:rsidRPr="00C237AB">
        <w:rPr>
          <w:rFonts w:ascii="Gotham" w:hAnsi="Gotham" w:cs="Arial"/>
          <w:i/>
          <w:sz w:val="19"/>
          <w:szCs w:val="19"/>
        </w:rPr>
        <w:t>Alumbrado público.</w:t>
      </w:r>
    </w:p>
    <w:p w14:paraId="3A4734BF"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t xml:space="preserve">c).- </w:t>
      </w:r>
      <w:r>
        <w:rPr>
          <w:rFonts w:ascii="Gotham" w:hAnsi="Gotham" w:cs="Arial"/>
          <w:i/>
          <w:sz w:val="19"/>
          <w:szCs w:val="19"/>
        </w:rPr>
        <w:tab/>
      </w:r>
      <w:r w:rsidRPr="00C237AB">
        <w:rPr>
          <w:rFonts w:ascii="Gotham" w:hAnsi="Gotham" w:cs="Arial"/>
          <w:i/>
          <w:sz w:val="19"/>
          <w:szCs w:val="19"/>
        </w:rPr>
        <w:t>Limpia, recolección, traslado, tratamiento y disposición final de residuos.</w:t>
      </w:r>
    </w:p>
    <w:p w14:paraId="3A4734C0"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lastRenderedPageBreak/>
        <w:t xml:space="preserve">d).- </w:t>
      </w:r>
      <w:r>
        <w:rPr>
          <w:rFonts w:ascii="Gotham" w:hAnsi="Gotham" w:cs="Arial"/>
          <w:i/>
          <w:sz w:val="19"/>
          <w:szCs w:val="19"/>
        </w:rPr>
        <w:tab/>
      </w:r>
      <w:r w:rsidRPr="00C237AB">
        <w:rPr>
          <w:rFonts w:ascii="Gotham" w:hAnsi="Gotham" w:cs="Arial"/>
          <w:i/>
          <w:sz w:val="19"/>
          <w:szCs w:val="19"/>
        </w:rPr>
        <w:t>Mercados y centrales de abasto.</w:t>
      </w:r>
    </w:p>
    <w:p w14:paraId="3A4734C1"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t xml:space="preserve">e).- </w:t>
      </w:r>
      <w:r>
        <w:rPr>
          <w:rFonts w:ascii="Gotham" w:hAnsi="Gotham" w:cs="Arial"/>
          <w:i/>
          <w:sz w:val="19"/>
          <w:szCs w:val="19"/>
        </w:rPr>
        <w:tab/>
      </w:r>
      <w:r w:rsidRPr="00C237AB">
        <w:rPr>
          <w:rFonts w:ascii="Gotham" w:hAnsi="Gotham" w:cs="Arial"/>
          <w:i/>
          <w:sz w:val="19"/>
          <w:szCs w:val="19"/>
        </w:rPr>
        <w:t>Panteones.</w:t>
      </w:r>
    </w:p>
    <w:p w14:paraId="3A4734C2"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t xml:space="preserve">f).- </w:t>
      </w:r>
      <w:r>
        <w:rPr>
          <w:rFonts w:ascii="Gotham" w:hAnsi="Gotham" w:cs="Arial"/>
          <w:i/>
          <w:sz w:val="19"/>
          <w:szCs w:val="19"/>
        </w:rPr>
        <w:tab/>
      </w:r>
      <w:r w:rsidRPr="00C237AB">
        <w:rPr>
          <w:rFonts w:ascii="Gotham" w:hAnsi="Gotham" w:cs="Arial"/>
          <w:i/>
          <w:sz w:val="19"/>
          <w:szCs w:val="19"/>
        </w:rPr>
        <w:t>Rastro.</w:t>
      </w:r>
    </w:p>
    <w:p w14:paraId="3A4734C3"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t xml:space="preserve">g).- </w:t>
      </w:r>
      <w:r>
        <w:rPr>
          <w:rFonts w:ascii="Gotham" w:hAnsi="Gotham" w:cs="Arial"/>
          <w:i/>
          <w:sz w:val="19"/>
          <w:szCs w:val="19"/>
        </w:rPr>
        <w:tab/>
      </w:r>
      <w:r w:rsidRPr="00C237AB">
        <w:rPr>
          <w:rFonts w:ascii="Gotham" w:hAnsi="Gotham" w:cs="Arial"/>
          <w:i/>
          <w:sz w:val="19"/>
          <w:szCs w:val="19"/>
        </w:rPr>
        <w:t>Calles, parques y jardines y su equipamiento.</w:t>
      </w:r>
    </w:p>
    <w:p w14:paraId="3A4734C4"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t xml:space="preserve">h).- </w:t>
      </w:r>
      <w:r>
        <w:rPr>
          <w:rFonts w:ascii="Gotham" w:hAnsi="Gotham" w:cs="Arial"/>
          <w:i/>
          <w:sz w:val="19"/>
          <w:szCs w:val="19"/>
        </w:rPr>
        <w:tab/>
      </w:r>
      <w:r w:rsidRPr="00C237AB">
        <w:rPr>
          <w:rFonts w:ascii="Gotham" w:hAnsi="Gotham" w:cs="Arial"/>
          <w:i/>
          <w:sz w:val="19"/>
          <w:szCs w:val="19"/>
        </w:rPr>
        <w:t>Seguridad pública, en los términos del artículo 21 de esta Constitución, policía preventiva municipal y tránsito; e</w:t>
      </w:r>
    </w:p>
    <w:p w14:paraId="3A4734C5" w14:textId="77777777" w:rsidR="00016FE1" w:rsidRPr="00C237AB" w:rsidRDefault="00016FE1" w:rsidP="002B6227">
      <w:pPr>
        <w:spacing w:after="120"/>
        <w:ind w:left="1701" w:right="283" w:hanging="425"/>
        <w:jc w:val="both"/>
        <w:rPr>
          <w:rFonts w:ascii="Gotham" w:hAnsi="Gotham" w:cs="Arial"/>
          <w:i/>
          <w:sz w:val="19"/>
          <w:szCs w:val="19"/>
        </w:rPr>
      </w:pPr>
      <w:r w:rsidRPr="00C237AB">
        <w:rPr>
          <w:rFonts w:ascii="Gotham" w:hAnsi="Gotham" w:cs="Arial"/>
          <w:i/>
          <w:sz w:val="19"/>
          <w:szCs w:val="19"/>
        </w:rPr>
        <w:t xml:space="preserve">i).- </w:t>
      </w:r>
      <w:r>
        <w:rPr>
          <w:rFonts w:ascii="Gotham" w:hAnsi="Gotham" w:cs="Arial"/>
          <w:i/>
          <w:sz w:val="19"/>
          <w:szCs w:val="19"/>
        </w:rPr>
        <w:tab/>
      </w:r>
      <w:r w:rsidRPr="00C237AB">
        <w:rPr>
          <w:rFonts w:ascii="Gotham" w:hAnsi="Gotham" w:cs="Arial"/>
          <w:i/>
          <w:sz w:val="19"/>
          <w:szCs w:val="19"/>
        </w:rPr>
        <w:t>Los demás que las Legislaturas locales determinen según las condiciones territoriales y socio-económicas de los Municipios, así como su capacidad administrativa y financiera.</w:t>
      </w:r>
    </w:p>
    <w:p w14:paraId="3A4734C6" w14:textId="77777777" w:rsidR="00016FE1" w:rsidRPr="00C237AB" w:rsidRDefault="00016FE1" w:rsidP="002B6227">
      <w:pPr>
        <w:ind w:left="1701" w:right="283" w:hanging="425"/>
        <w:jc w:val="both"/>
        <w:rPr>
          <w:rFonts w:ascii="Gotham" w:hAnsi="Gotham" w:cs="Arial"/>
          <w:i/>
          <w:sz w:val="19"/>
          <w:szCs w:val="19"/>
        </w:rPr>
      </w:pPr>
      <w:r w:rsidRPr="00C237AB">
        <w:rPr>
          <w:rFonts w:ascii="Gotham" w:hAnsi="Gotham" w:cs="Arial"/>
          <w:i/>
          <w:sz w:val="19"/>
          <w:szCs w:val="19"/>
        </w:rPr>
        <w:t xml:space="preserve">h).- </w:t>
      </w:r>
      <w:r>
        <w:rPr>
          <w:rFonts w:ascii="Gotham" w:hAnsi="Gotham" w:cs="Arial"/>
          <w:i/>
          <w:sz w:val="19"/>
          <w:szCs w:val="19"/>
        </w:rPr>
        <w:tab/>
      </w:r>
      <w:r w:rsidRPr="00C237AB">
        <w:rPr>
          <w:rFonts w:ascii="Gotham" w:hAnsi="Gotham" w:cs="Arial"/>
          <w:i/>
          <w:sz w:val="19"/>
          <w:szCs w:val="19"/>
        </w:rPr>
        <w:t>Seguridad pública, en los términos del artículo 21 de esta Constitución, policía preventiva municipal y tránsito;</w:t>
      </w:r>
    </w:p>
    <w:p w14:paraId="3A4734C7" w14:textId="77777777" w:rsidR="00016FE1" w:rsidRPr="00BC1D67" w:rsidRDefault="00016FE1" w:rsidP="002B6227">
      <w:pPr>
        <w:rPr>
          <w:rFonts w:ascii="Gotham" w:hAnsi="Gotham" w:cs="Arial"/>
          <w:sz w:val="20"/>
          <w:szCs w:val="20"/>
        </w:rPr>
      </w:pPr>
    </w:p>
    <w:p w14:paraId="3A4734C8" w14:textId="77777777" w:rsidR="00016FE1" w:rsidRPr="00BC1D67" w:rsidRDefault="00016FE1" w:rsidP="002B6227">
      <w:pPr>
        <w:ind w:left="567" w:hanging="567"/>
        <w:jc w:val="both"/>
        <w:rPr>
          <w:rFonts w:ascii="Gotham" w:hAnsi="Gotham" w:cs="Arial"/>
          <w:sz w:val="20"/>
          <w:szCs w:val="20"/>
        </w:rPr>
      </w:pPr>
      <w:r w:rsidRPr="00BC1D67">
        <w:rPr>
          <w:rFonts w:ascii="Gotham" w:hAnsi="Gotham" w:cs="Arial"/>
          <w:sz w:val="20"/>
          <w:szCs w:val="20"/>
        </w:rPr>
        <w:t xml:space="preserve">II.- </w:t>
      </w:r>
      <w:r>
        <w:rPr>
          <w:rFonts w:ascii="Gotham" w:hAnsi="Gotham" w:cs="Arial"/>
          <w:sz w:val="20"/>
          <w:szCs w:val="20"/>
        </w:rPr>
        <w:tab/>
      </w:r>
      <w:r w:rsidRPr="00BC1D67">
        <w:rPr>
          <w:rFonts w:ascii="Gotham" w:hAnsi="Gotham" w:cs="Arial"/>
          <w:sz w:val="20"/>
          <w:szCs w:val="20"/>
        </w:rPr>
        <w:t>Que la Constitución Política del Estado de Jalisco, en sus numerales 73 y 77, establece que:</w:t>
      </w:r>
    </w:p>
    <w:p w14:paraId="3A4734C9" w14:textId="77777777" w:rsidR="00016FE1" w:rsidRPr="00BC1D67" w:rsidRDefault="00016FE1" w:rsidP="002B6227">
      <w:pPr>
        <w:rPr>
          <w:rFonts w:ascii="Gotham" w:hAnsi="Gotham" w:cs="Arial"/>
          <w:sz w:val="20"/>
          <w:szCs w:val="20"/>
        </w:rPr>
      </w:pPr>
    </w:p>
    <w:p w14:paraId="3A4734CA" w14:textId="77777777" w:rsidR="00016FE1" w:rsidRPr="00E41F24" w:rsidRDefault="00016FE1" w:rsidP="002B6227">
      <w:pPr>
        <w:ind w:left="851" w:right="283"/>
        <w:jc w:val="both"/>
        <w:rPr>
          <w:rFonts w:ascii="Gotham" w:hAnsi="Gotham" w:cs="Arial"/>
          <w:i/>
          <w:sz w:val="19"/>
          <w:szCs w:val="19"/>
        </w:rPr>
      </w:pPr>
      <w:r w:rsidRPr="00E41F24">
        <w:rPr>
          <w:rFonts w:ascii="Gotham" w:hAnsi="Gotham" w:cs="Arial"/>
          <w:i/>
          <w:sz w:val="19"/>
          <w:szCs w:val="19"/>
        </w:rPr>
        <w:t>Artículo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Mexicanos”…;y</w:t>
      </w:r>
    </w:p>
    <w:p w14:paraId="3A4734CB" w14:textId="77777777" w:rsidR="00016FE1" w:rsidRPr="00E41F24" w:rsidRDefault="00016FE1" w:rsidP="002B6227">
      <w:pPr>
        <w:ind w:left="851" w:right="283"/>
        <w:jc w:val="both"/>
        <w:rPr>
          <w:rFonts w:ascii="Gotham" w:hAnsi="Gotham" w:cs="Arial"/>
          <w:i/>
          <w:sz w:val="19"/>
          <w:szCs w:val="19"/>
        </w:rPr>
      </w:pPr>
    </w:p>
    <w:p w14:paraId="3A4734CC" w14:textId="77777777" w:rsidR="00016FE1" w:rsidRPr="00E41F24" w:rsidRDefault="00016FE1" w:rsidP="002B6227">
      <w:pPr>
        <w:spacing w:after="120"/>
        <w:ind w:left="851" w:right="283"/>
        <w:jc w:val="both"/>
        <w:rPr>
          <w:rFonts w:ascii="Gotham" w:hAnsi="Gotham" w:cs="Arial"/>
          <w:i/>
          <w:sz w:val="19"/>
          <w:szCs w:val="19"/>
        </w:rPr>
      </w:pPr>
      <w:r w:rsidRPr="00E41F24">
        <w:rPr>
          <w:rFonts w:ascii="Gotham" w:hAnsi="Gotham" w:cs="Arial"/>
          <w:i/>
          <w:sz w:val="19"/>
          <w:szCs w:val="19"/>
        </w:rPr>
        <w:t>Artículo 77.- Los ayuntamientos tendrán facultades para aprobar, de acuerdo con las leyes en materia municipal que expida el Congreso del Estado</w:t>
      </w:r>
    </w:p>
    <w:p w14:paraId="3A4734CD" w14:textId="77777777" w:rsidR="00016FE1" w:rsidRPr="00E41F24" w:rsidRDefault="00016FE1" w:rsidP="002B6227">
      <w:pPr>
        <w:spacing w:after="120"/>
        <w:ind w:left="1276" w:right="283" w:hanging="425"/>
        <w:jc w:val="both"/>
        <w:rPr>
          <w:rFonts w:ascii="Gotham" w:hAnsi="Gotham" w:cs="Arial"/>
          <w:i/>
          <w:sz w:val="19"/>
          <w:szCs w:val="19"/>
        </w:rPr>
      </w:pPr>
      <w:r w:rsidRPr="00E41F24">
        <w:rPr>
          <w:rFonts w:ascii="Gotham" w:hAnsi="Gotham" w:cs="Arial"/>
          <w:i/>
          <w:sz w:val="19"/>
          <w:szCs w:val="19"/>
        </w:rPr>
        <w:t xml:space="preserve">II. </w:t>
      </w:r>
      <w:r>
        <w:rPr>
          <w:rFonts w:ascii="Gotham" w:hAnsi="Gotham" w:cs="Arial"/>
          <w:i/>
          <w:sz w:val="19"/>
          <w:szCs w:val="19"/>
        </w:rPr>
        <w:tab/>
      </w:r>
      <w:r w:rsidRPr="00E41F24">
        <w:rPr>
          <w:rFonts w:ascii="Gotham" w:hAnsi="Gotham" w:cs="Arial"/>
          <w:i/>
          <w:sz w:val="19"/>
          <w:szCs w:val="19"/>
        </w:rPr>
        <w:t>Los reglamentos, circulares y disposiciones administrativas de observancia general dentro de sus respectivas jurisdicciones, con el objeto de:</w:t>
      </w:r>
    </w:p>
    <w:p w14:paraId="3A4734CE" w14:textId="77777777" w:rsidR="00016FE1" w:rsidRPr="00E41F24" w:rsidRDefault="00016FE1" w:rsidP="002B6227">
      <w:pPr>
        <w:ind w:left="1701" w:right="283" w:hanging="425"/>
        <w:jc w:val="both"/>
        <w:rPr>
          <w:rFonts w:ascii="Gotham" w:hAnsi="Gotham" w:cs="Arial"/>
          <w:i/>
          <w:sz w:val="19"/>
          <w:szCs w:val="19"/>
        </w:rPr>
      </w:pPr>
      <w:r w:rsidRPr="00E41F24">
        <w:rPr>
          <w:rFonts w:ascii="Gotham" w:hAnsi="Gotham" w:cs="Arial"/>
          <w:i/>
          <w:sz w:val="19"/>
          <w:szCs w:val="19"/>
        </w:rPr>
        <w:t xml:space="preserve">b)  </w:t>
      </w:r>
      <w:r>
        <w:rPr>
          <w:rFonts w:ascii="Gotham" w:hAnsi="Gotham" w:cs="Arial"/>
          <w:i/>
          <w:sz w:val="19"/>
          <w:szCs w:val="19"/>
        </w:rPr>
        <w:tab/>
      </w:r>
      <w:r w:rsidRPr="00E41F24">
        <w:rPr>
          <w:rFonts w:ascii="Gotham" w:hAnsi="Gotham" w:cs="Arial"/>
          <w:i/>
          <w:sz w:val="19"/>
          <w:szCs w:val="19"/>
        </w:rPr>
        <w:t>Regular las materias, procedimientos, funciones y servicios públicos de su competencia; y</w:t>
      </w:r>
    </w:p>
    <w:p w14:paraId="3A4734CF" w14:textId="77777777" w:rsidR="00016FE1" w:rsidRPr="00BC1D67" w:rsidRDefault="00016FE1" w:rsidP="002B6227">
      <w:pPr>
        <w:rPr>
          <w:rFonts w:ascii="Gotham" w:hAnsi="Gotham" w:cs="Arial"/>
          <w:sz w:val="20"/>
          <w:szCs w:val="20"/>
        </w:rPr>
      </w:pPr>
    </w:p>
    <w:p w14:paraId="3A4734D0" w14:textId="77777777" w:rsidR="00016FE1" w:rsidRPr="00BC1D67" w:rsidRDefault="00016FE1" w:rsidP="002B6227">
      <w:pPr>
        <w:ind w:left="567" w:hanging="567"/>
        <w:jc w:val="both"/>
        <w:rPr>
          <w:rFonts w:ascii="Gotham" w:hAnsi="Gotham" w:cs="Arial"/>
          <w:sz w:val="20"/>
          <w:szCs w:val="20"/>
        </w:rPr>
      </w:pPr>
      <w:r w:rsidRPr="00BC1D67">
        <w:rPr>
          <w:rFonts w:ascii="Gotham" w:hAnsi="Gotham" w:cs="Arial"/>
          <w:sz w:val="20"/>
          <w:szCs w:val="20"/>
        </w:rPr>
        <w:t xml:space="preserve">III.- </w:t>
      </w:r>
      <w:r>
        <w:rPr>
          <w:rFonts w:ascii="Gotham" w:hAnsi="Gotham" w:cs="Arial"/>
          <w:sz w:val="20"/>
          <w:szCs w:val="20"/>
        </w:rPr>
        <w:tab/>
      </w:r>
      <w:r w:rsidRPr="00BC1D67">
        <w:rPr>
          <w:rFonts w:ascii="Gotham" w:hAnsi="Gotham" w:cs="Arial"/>
          <w:sz w:val="20"/>
          <w:szCs w:val="20"/>
        </w:rPr>
        <w:t>La norma en materia municipal, del Estado es la Ley del Gobierno y la Administración Pública Municipal del</w:t>
      </w:r>
      <w:r>
        <w:rPr>
          <w:rFonts w:ascii="Gotham" w:hAnsi="Gotham" w:cs="Arial"/>
          <w:sz w:val="20"/>
          <w:szCs w:val="20"/>
        </w:rPr>
        <w:t xml:space="preserve"> </w:t>
      </w:r>
      <w:r w:rsidRPr="00BC1D67">
        <w:rPr>
          <w:rFonts w:ascii="Gotham" w:hAnsi="Gotham" w:cs="Arial"/>
          <w:sz w:val="20"/>
          <w:szCs w:val="20"/>
        </w:rPr>
        <w:t>Estado de Jalisco, que en su artículo 3, y 38 prevé lo siguiente:</w:t>
      </w:r>
    </w:p>
    <w:p w14:paraId="3A4734D1" w14:textId="77777777" w:rsidR="00016FE1" w:rsidRDefault="00016FE1" w:rsidP="002B6227">
      <w:pPr>
        <w:ind w:left="567"/>
        <w:rPr>
          <w:rFonts w:ascii="Gotham" w:hAnsi="Gotham" w:cs="Arial"/>
          <w:sz w:val="20"/>
          <w:szCs w:val="20"/>
        </w:rPr>
      </w:pPr>
    </w:p>
    <w:p w14:paraId="3A4734D2" w14:textId="77777777" w:rsidR="00016FE1" w:rsidRPr="00E41F24" w:rsidRDefault="00016FE1" w:rsidP="002B6227">
      <w:pPr>
        <w:ind w:left="851" w:right="283"/>
        <w:jc w:val="both"/>
        <w:rPr>
          <w:rFonts w:ascii="Gotham" w:hAnsi="Gotham" w:cs="Arial"/>
          <w:i/>
          <w:sz w:val="19"/>
          <w:szCs w:val="19"/>
        </w:rPr>
      </w:pPr>
      <w:r w:rsidRPr="00E41F24">
        <w:rPr>
          <w:rFonts w:ascii="Gotham" w:hAnsi="Gotham" w:cs="Arial"/>
          <w:i/>
          <w:sz w:val="19"/>
          <w:szCs w:val="19"/>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3A4734D3" w14:textId="77777777" w:rsidR="00016FE1" w:rsidRDefault="00016FE1" w:rsidP="002B6227">
      <w:pPr>
        <w:ind w:left="851" w:right="283"/>
        <w:jc w:val="both"/>
        <w:rPr>
          <w:rFonts w:ascii="Gotham" w:hAnsi="Gotham" w:cs="Arial"/>
          <w:i/>
          <w:sz w:val="19"/>
          <w:szCs w:val="19"/>
        </w:rPr>
      </w:pPr>
    </w:p>
    <w:p w14:paraId="3A4734D4" w14:textId="77777777" w:rsidR="00016FE1" w:rsidRPr="00E41F24" w:rsidRDefault="00016FE1" w:rsidP="002B6227">
      <w:pPr>
        <w:spacing w:after="120"/>
        <w:ind w:left="851" w:right="283"/>
        <w:jc w:val="both"/>
        <w:rPr>
          <w:rFonts w:ascii="Gotham" w:hAnsi="Gotham" w:cs="Arial"/>
          <w:i/>
          <w:sz w:val="19"/>
          <w:szCs w:val="19"/>
        </w:rPr>
      </w:pPr>
      <w:r w:rsidRPr="00E41F24">
        <w:rPr>
          <w:rFonts w:ascii="Gotham" w:hAnsi="Gotham" w:cs="Arial"/>
          <w:i/>
          <w:sz w:val="19"/>
          <w:szCs w:val="19"/>
        </w:rPr>
        <w:t>Artículo 38.- Son facultades de los Ayuntamientos:</w:t>
      </w:r>
    </w:p>
    <w:p w14:paraId="3A4734D5" w14:textId="77777777" w:rsidR="00016FE1" w:rsidRPr="00E41F24" w:rsidRDefault="00016FE1" w:rsidP="002B6227">
      <w:pPr>
        <w:spacing w:after="120"/>
        <w:ind w:left="1276" w:right="283" w:hanging="425"/>
        <w:jc w:val="both"/>
        <w:rPr>
          <w:rFonts w:ascii="Gotham" w:hAnsi="Gotham" w:cs="Arial"/>
          <w:i/>
          <w:sz w:val="19"/>
          <w:szCs w:val="19"/>
        </w:rPr>
      </w:pPr>
      <w:r w:rsidRPr="00E41F24">
        <w:rPr>
          <w:rFonts w:ascii="Gotham" w:hAnsi="Gotham" w:cs="Arial"/>
          <w:i/>
          <w:sz w:val="19"/>
          <w:szCs w:val="19"/>
        </w:rPr>
        <w:t xml:space="preserve">I. </w:t>
      </w:r>
      <w:r>
        <w:rPr>
          <w:rFonts w:ascii="Gotham" w:hAnsi="Gotham" w:cs="Arial"/>
          <w:i/>
          <w:sz w:val="19"/>
          <w:szCs w:val="19"/>
        </w:rPr>
        <w:tab/>
      </w:r>
      <w:r w:rsidRPr="00E41F24">
        <w:rPr>
          <w:rFonts w:ascii="Gotham" w:hAnsi="Gotham" w:cs="Arial"/>
          <w:i/>
          <w:sz w:val="19"/>
          <w:szCs w:val="19"/>
        </w:rPr>
        <w:t>(…) ;</w:t>
      </w:r>
    </w:p>
    <w:p w14:paraId="3A4734D6" w14:textId="77777777" w:rsidR="00016FE1" w:rsidRPr="00E41F24" w:rsidRDefault="00016FE1" w:rsidP="002B6227">
      <w:pPr>
        <w:ind w:left="1276" w:right="283" w:hanging="425"/>
        <w:jc w:val="both"/>
        <w:rPr>
          <w:rFonts w:ascii="Gotham" w:hAnsi="Gotham" w:cs="Arial"/>
          <w:i/>
          <w:sz w:val="19"/>
          <w:szCs w:val="19"/>
        </w:rPr>
      </w:pPr>
      <w:r w:rsidRPr="00E41F24">
        <w:rPr>
          <w:rFonts w:ascii="Gotham" w:hAnsi="Gotham" w:cs="Arial"/>
          <w:i/>
          <w:sz w:val="19"/>
          <w:szCs w:val="19"/>
        </w:rPr>
        <w:t xml:space="preserve">II. </w:t>
      </w:r>
      <w:r>
        <w:rPr>
          <w:rFonts w:ascii="Gotham" w:hAnsi="Gotham" w:cs="Arial"/>
          <w:i/>
          <w:sz w:val="19"/>
          <w:szCs w:val="19"/>
        </w:rPr>
        <w:tab/>
      </w:r>
      <w:r w:rsidRPr="00E41F24">
        <w:rPr>
          <w:rFonts w:ascii="Gotham" w:hAnsi="Gotham" w:cs="Arial"/>
          <w:i/>
          <w:sz w:val="19"/>
          <w:szCs w:val="19"/>
        </w:rPr>
        <w:t>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p>
    <w:p w14:paraId="3A4734D7" w14:textId="77777777" w:rsidR="00016FE1" w:rsidRPr="00BC1D67" w:rsidRDefault="00016FE1" w:rsidP="002B6227">
      <w:pPr>
        <w:rPr>
          <w:rFonts w:ascii="Gotham" w:hAnsi="Gotham" w:cs="Arial"/>
          <w:sz w:val="20"/>
          <w:szCs w:val="20"/>
        </w:rPr>
      </w:pPr>
    </w:p>
    <w:p w14:paraId="3A4734D8" w14:textId="77777777" w:rsidR="00016FE1" w:rsidRPr="00BC1D67" w:rsidRDefault="00016FE1" w:rsidP="002B6227">
      <w:pPr>
        <w:ind w:left="567" w:hanging="567"/>
        <w:jc w:val="both"/>
        <w:rPr>
          <w:rFonts w:ascii="Gotham" w:hAnsi="Gotham" w:cs="Arial"/>
          <w:sz w:val="20"/>
          <w:szCs w:val="20"/>
        </w:rPr>
      </w:pPr>
      <w:r w:rsidRPr="00BC1D67">
        <w:rPr>
          <w:rFonts w:ascii="Gotham" w:hAnsi="Gotham" w:cs="Arial"/>
          <w:sz w:val="20"/>
          <w:szCs w:val="20"/>
        </w:rPr>
        <w:t xml:space="preserve">IV.- </w:t>
      </w:r>
      <w:r>
        <w:rPr>
          <w:rFonts w:ascii="Gotham" w:hAnsi="Gotham" w:cs="Arial"/>
          <w:sz w:val="20"/>
          <w:szCs w:val="20"/>
        </w:rPr>
        <w:tab/>
      </w:r>
      <w:r w:rsidRPr="00BC1D67">
        <w:rPr>
          <w:rFonts w:ascii="Gotham" w:hAnsi="Gotham" w:cs="Arial"/>
          <w:sz w:val="20"/>
          <w:szCs w:val="20"/>
        </w:rPr>
        <w:t>En materia municipal se cuenta con el Reglamento del Gobierno y la Administración Publica del Ayuntamiento Constitucional de Tonalá, Jalisco, conforme a los numerales 53 y 301.</w:t>
      </w:r>
    </w:p>
    <w:p w14:paraId="3A4734D9" w14:textId="77777777" w:rsidR="00016FE1" w:rsidRPr="00BC1D67" w:rsidRDefault="00016FE1" w:rsidP="002B6227">
      <w:pPr>
        <w:ind w:left="567" w:hanging="567"/>
        <w:jc w:val="both"/>
        <w:rPr>
          <w:rFonts w:ascii="Gotham" w:hAnsi="Gotham" w:cs="Arial"/>
          <w:sz w:val="20"/>
          <w:szCs w:val="20"/>
        </w:rPr>
      </w:pPr>
    </w:p>
    <w:p w14:paraId="3A4734DA" w14:textId="77777777" w:rsidR="00016FE1" w:rsidRPr="0062271D" w:rsidRDefault="00016FE1" w:rsidP="002B6227">
      <w:pPr>
        <w:spacing w:after="120"/>
        <w:ind w:left="851" w:right="283"/>
        <w:jc w:val="both"/>
        <w:rPr>
          <w:rFonts w:ascii="Gotham" w:hAnsi="Gotham" w:cs="Arial"/>
          <w:i/>
          <w:sz w:val="19"/>
          <w:szCs w:val="19"/>
        </w:rPr>
      </w:pPr>
      <w:r w:rsidRPr="0062271D">
        <w:rPr>
          <w:rFonts w:ascii="Gotham" w:hAnsi="Gotham" w:cs="Arial"/>
          <w:i/>
          <w:sz w:val="19"/>
          <w:szCs w:val="19"/>
        </w:rPr>
        <w:t>Artículo 53.- Además de lo establecido en la legislación y normatividad aplicable, son facultades y obligaciones del Ayuntamiento, las siguientes:</w:t>
      </w:r>
    </w:p>
    <w:p w14:paraId="3A4734DB" w14:textId="77777777" w:rsidR="00016FE1" w:rsidRPr="0062271D" w:rsidRDefault="00016FE1" w:rsidP="002B6227">
      <w:pPr>
        <w:spacing w:after="120"/>
        <w:ind w:left="851" w:right="283"/>
        <w:jc w:val="both"/>
        <w:rPr>
          <w:rFonts w:ascii="Gotham" w:hAnsi="Gotham" w:cs="Arial"/>
          <w:i/>
          <w:sz w:val="19"/>
          <w:szCs w:val="19"/>
        </w:rPr>
      </w:pPr>
      <w:r w:rsidRPr="0062271D">
        <w:rPr>
          <w:rFonts w:ascii="Gotham" w:hAnsi="Gotham" w:cs="Arial"/>
          <w:i/>
          <w:sz w:val="19"/>
          <w:szCs w:val="19"/>
        </w:rPr>
        <w:t>I al XXXIX (…)</w:t>
      </w:r>
    </w:p>
    <w:p w14:paraId="3A4734DC" w14:textId="77777777" w:rsidR="00016FE1" w:rsidRPr="0062271D" w:rsidRDefault="00016FE1" w:rsidP="002B6227">
      <w:pPr>
        <w:ind w:left="1560" w:right="283" w:hanging="709"/>
        <w:jc w:val="both"/>
        <w:rPr>
          <w:rFonts w:ascii="Gotham" w:hAnsi="Gotham" w:cs="Arial"/>
          <w:i/>
          <w:sz w:val="19"/>
          <w:szCs w:val="19"/>
        </w:rPr>
      </w:pPr>
      <w:r w:rsidRPr="0062271D">
        <w:rPr>
          <w:rFonts w:ascii="Gotham" w:hAnsi="Gotham" w:cs="Arial"/>
          <w:i/>
          <w:sz w:val="19"/>
          <w:szCs w:val="19"/>
        </w:rPr>
        <w:lastRenderedPageBreak/>
        <w:t>XXXIX</w:t>
      </w:r>
      <w:r>
        <w:rPr>
          <w:rFonts w:ascii="Gotham" w:hAnsi="Gotham" w:cs="Arial"/>
          <w:i/>
          <w:sz w:val="19"/>
          <w:szCs w:val="19"/>
        </w:rPr>
        <w:t>.</w:t>
      </w:r>
      <w:r w:rsidRPr="0062271D">
        <w:rPr>
          <w:rFonts w:ascii="Gotham" w:hAnsi="Gotham" w:cs="Arial"/>
          <w:i/>
          <w:sz w:val="19"/>
          <w:szCs w:val="19"/>
        </w:rPr>
        <w:t xml:space="preserve"> </w:t>
      </w:r>
      <w:r>
        <w:rPr>
          <w:rFonts w:ascii="Gotham" w:hAnsi="Gotham" w:cs="Arial"/>
          <w:i/>
          <w:sz w:val="19"/>
          <w:szCs w:val="19"/>
        </w:rPr>
        <w:tab/>
      </w:r>
      <w:r w:rsidRPr="0062271D">
        <w:rPr>
          <w:rFonts w:ascii="Gotham" w:hAnsi="Gotham" w:cs="Arial"/>
          <w:i/>
          <w:sz w:val="19"/>
          <w:szCs w:val="19"/>
        </w:rPr>
        <w:t>Aprobar la celebración de todo tipo de convenios o contratos para el mejor ejercicio de sus funciones, la realización de obras y acciones de interés general, la colaboración corresponsable con la ciudadanía para el cuidado de los espacios públicos o la prestación de los servicios públicos a su cargo. No se requerirá aprobación del Ayuntamiento en los casos en que exista un beneficio directo al municipio y no represente carga onerosa o cuando no se comprometa el patrimonio municipal;</w:t>
      </w:r>
    </w:p>
    <w:p w14:paraId="3A4734DD" w14:textId="77777777" w:rsidR="00016FE1" w:rsidRPr="00BC1D67" w:rsidRDefault="00016FE1" w:rsidP="002B6227">
      <w:pPr>
        <w:rPr>
          <w:rFonts w:ascii="Gotham" w:hAnsi="Gotham" w:cs="Arial"/>
          <w:sz w:val="20"/>
          <w:szCs w:val="20"/>
        </w:rPr>
      </w:pPr>
    </w:p>
    <w:p w14:paraId="3A4734DE" w14:textId="77777777" w:rsidR="00016FE1" w:rsidRPr="00BC1D67" w:rsidRDefault="00016FE1" w:rsidP="002B6227">
      <w:pPr>
        <w:jc w:val="both"/>
        <w:rPr>
          <w:rFonts w:ascii="Gotham" w:hAnsi="Gotham" w:cs="Arial"/>
          <w:sz w:val="20"/>
          <w:szCs w:val="20"/>
        </w:rPr>
      </w:pPr>
      <w:r w:rsidRPr="00BC1D67">
        <w:rPr>
          <w:rFonts w:ascii="Gotham" w:hAnsi="Gotham" w:cs="Arial"/>
          <w:sz w:val="20"/>
          <w:szCs w:val="20"/>
        </w:rPr>
        <w:t>Con los Argumentos antes expuestos es que un servidor propone a este Cuerpo Edilicio la Siguiente iniciativa de:</w:t>
      </w:r>
    </w:p>
    <w:p w14:paraId="3A4734DF" w14:textId="77777777" w:rsidR="00016FE1" w:rsidRPr="00BC1D67" w:rsidRDefault="00016FE1" w:rsidP="002B6227">
      <w:pPr>
        <w:rPr>
          <w:rFonts w:ascii="Gotham" w:hAnsi="Gotham" w:cs="Arial"/>
          <w:sz w:val="20"/>
          <w:szCs w:val="20"/>
        </w:rPr>
      </w:pPr>
    </w:p>
    <w:p w14:paraId="3A4734E0" w14:textId="77777777" w:rsidR="00016FE1" w:rsidRPr="00BC1D67" w:rsidRDefault="00016FE1" w:rsidP="002B6227">
      <w:pPr>
        <w:jc w:val="center"/>
        <w:rPr>
          <w:rFonts w:ascii="Gotham" w:hAnsi="Gotham" w:cs="Arial"/>
          <w:sz w:val="20"/>
          <w:szCs w:val="20"/>
        </w:rPr>
      </w:pPr>
      <w:r w:rsidRPr="00BC1D67">
        <w:rPr>
          <w:rFonts w:ascii="Gotham" w:hAnsi="Gotham" w:cs="Arial"/>
          <w:sz w:val="20"/>
          <w:szCs w:val="20"/>
        </w:rPr>
        <w:t>ACUERDO MUNICIPAL</w:t>
      </w:r>
    </w:p>
    <w:p w14:paraId="3A4734E1" w14:textId="77777777" w:rsidR="00016FE1" w:rsidRPr="00BC1D67" w:rsidRDefault="00016FE1" w:rsidP="002B6227">
      <w:pPr>
        <w:pStyle w:val="Encabezado"/>
        <w:jc w:val="both"/>
        <w:rPr>
          <w:rFonts w:ascii="Gotham" w:hAnsi="Gotham" w:cs="Arial"/>
          <w:sz w:val="20"/>
          <w:szCs w:val="20"/>
        </w:rPr>
      </w:pPr>
    </w:p>
    <w:p w14:paraId="3A4734E2" w14:textId="77777777" w:rsidR="00016FE1" w:rsidRPr="00BC1D67" w:rsidRDefault="00016FE1" w:rsidP="002B6227">
      <w:pPr>
        <w:pStyle w:val="Encabezado"/>
        <w:jc w:val="both"/>
        <w:rPr>
          <w:rFonts w:ascii="Gotham" w:hAnsi="Gotham" w:cs="Arial"/>
          <w:sz w:val="20"/>
          <w:szCs w:val="20"/>
        </w:rPr>
      </w:pPr>
      <w:r w:rsidRPr="00BC1D67">
        <w:rPr>
          <w:rFonts w:ascii="Gotham" w:hAnsi="Gotham" w:cs="Arial"/>
          <w:sz w:val="20"/>
          <w:szCs w:val="20"/>
        </w:rPr>
        <w:t xml:space="preserve">PRIMERO.- </w:t>
      </w:r>
      <w:r w:rsidRPr="00723B3A">
        <w:rPr>
          <w:rFonts w:ascii="Gotham" w:hAnsi="Gotham" w:cs="Arial"/>
          <w:sz w:val="20"/>
          <w:szCs w:val="20"/>
        </w:rPr>
        <w:t>Se propone</w:t>
      </w:r>
      <w:r>
        <w:rPr>
          <w:rFonts w:ascii="Gotham" w:hAnsi="Gotham" w:cs="Arial"/>
          <w:sz w:val="20"/>
          <w:szCs w:val="20"/>
        </w:rPr>
        <w:t xml:space="preserve"> </w:t>
      </w:r>
      <w:r w:rsidRPr="00BC1D67">
        <w:rPr>
          <w:rFonts w:ascii="Gotham" w:hAnsi="Gotham" w:cs="Arial"/>
          <w:sz w:val="20"/>
          <w:szCs w:val="20"/>
        </w:rPr>
        <w:t xml:space="preserve">a este </w:t>
      </w:r>
      <w:r>
        <w:rPr>
          <w:rFonts w:ascii="Gotham" w:hAnsi="Gotham" w:cs="Arial"/>
          <w:sz w:val="20"/>
          <w:szCs w:val="20"/>
        </w:rPr>
        <w:t>A</w:t>
      </w:r>
      <w:r w:rsidRPr="00BC1D67">
        <w:rPr>
          <w:rFonts w:ascii="Gotham" w:hAnsi="Gotham" w:cs="Arial"/>
          <w:sz w:val="20"/>
          <w:szCs w:val="20"/>
        </w:rPr>
        <w:t>yuntamiento el aprobar el turno a las Comisiones Edilicias de Gobernación, Justicia, Asuntos Metropolitanos y Fortalecimiento Municipal en conjunto con Atención a la Juventud y Deporte.</w:t>
      </w:r>
    </w:p>
    <w:p w14:paraId="3A4734E3" w14:textId="77777777" w:rsidR="00016FE1" w:rsidRPr="00BC1D67" w:rsidRDefault="00016FE1" w:rsidP="002B6227">
      <w:pPr>
        <w:pStyle w:val="Encabezado"/>
        <w:jc w:val="both"/>
        <w:rPr>
          <w:rFonts w:ascii="Gotham" w:hAnsi="Gotham" w:cs="Arial"/>
          <w:sz w:val="20"/>
          <w:szCs w:val="20"/>
        </w:rPr>
      </w:pPr>
    </w:p>
    <w:p w14:paraId="3A4734E4" w14:textId="77777777" w:rsidR="00016FE1" w:rsidRDefault="00016FE1" w:rsidP="002B6227">
      <w:pPr>
        <w:pStyle w:val="Encabezado"/>
        <w:jc w:val="both"/>
        <w:rPr>
          <w:rFonts w:ascii="Gotham" w:hAnsi="Gotham" w:cs="Arial"/>
          <w:sz w:val="20"/>
          <w:szCs w:val="20"/>
        </w:rPr>
      </w:pPr>
      <w:r w:rsidRPr="00BC1D67">
        <w:rPr>
          <w:rFonts w:ascii="Gotham" w:hAnsi="Gotham" w:cs="Arial"/>
          <w:sz w:val="20"/>
          <w:szCs w:val="20"/>
        </w:rPr>
        <w:t>SEGUNDO.</w:t>
      </w:r>
      <w:r>
        <w:rPr>
          <w:rFonts w:ascii="Gotham" w:hAnsi="Gotham" w:cs="Arial"/>
          <w:sz w:val="20"/>
          <w:szCs w:val="20"/>
        </w:rPr>
        <w:t>-</w:t>
      </w:r>
      <w:r w:rsidRPr="00BC1D67">
        <w:rPr>
          <w:rFonts w:ascii="Gotham" w:hAnsi="Gotham" w:cs="Arial"/>
          <w:sz w:val="20"/>
          <w:szCs w:val="20"/>
        </w:rPr>
        <w:t xml:space="preserve"> Se </w:t>
      </w:r>
      <w:r>
        <w:rPr>
          <w:rFonts w:ascii="Gotham" w:hAnsi="Gotham" w:cs="Arial"/>
          <w:sz w:val="20"/>
          <w:szCs w:val="20"/>
        </w:rPr>
        <w:t>f</w:t>
      </w:r>
      <w:r w:rsidRPr="00BC1D67">
        <w:rPr>
          <w:rFonts w:ascii="Gotham" w:hAnsi="Gotham" w:cs="Arial"/>
          <w:sz w:val="20"/>
          <w:szCs w:val="20"/>
        </w:rPr>
        <w:t>aculta al Presidente Municipal y a la Secretaria General para que suscriban la documentación necesaria en cumplimiento al presente Acuerdo Municipal.</w:t>
      </w:r>
    </w:p>
    <w:p w14:paraId="3A4734E5" w14:textId="77777777" w:rsidR="00016FE1" w:rsidRDefault="00016FE1" w:rsidP="002B6227">
      <w:pPr>
        <w:pStyle w:val="Encabezado"/>
        <w:jc w:val="both"/>
        <w:rPr>
          <w:rFonts w:ascii="Gotham" w:hAnsi="Gotham" w:cs="Arial"/>
          <w:sz w:val="20"/>
          <w:szCs w:val="20"/>
        </w:rPr>
      </w:pPr>
    </w:p>
    <w:p w14:paraId="3A4734E6" w14:textId="77777777" w:rsidR="00016FE1" w:rsidRPr="00351AD1" w:rsidRDefault="00016FE1" w:rsidP="002B6227">
      <w:pPr>
        <w:jc w:val="both"/>
        <w:rPr>
          <w:rFonts w:ascii="Gotham" w:hAnsi="Gotham" w:cs="Arial"/>
          <w:sz w:val="20"/>
          <w:szCs w:val="20"/>
        </w:rPr>
      </w:pPr>
      <w:r>
        <w:rPr>
          <w:rFonts w:ascii="Gotham" w:hAnsi="Gotham"/>
          <w:sz w:val="20"/>
          <w:szCs w:val="20"/>
        </w:rPr>
        <w:t>En uso de la voz el Presidente Municipal, Sergio Armando Chávez Dávalos, expresa que, se propone su turno a la Comisión Edilicia de Hacienda Municipal y Presupuestos;</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4E7" w14:textId="77777777" w:rsidR="00016FE1" w:rsidRPr="00351AD1" w:rsidRDefault="00016FE1" w:rsidP="002B6227">
      <w:pPr>
        <w:jc w:val="both"/>
        <w:rPr>
          <w:rFonts w:ascii="Gotham" w:hAnsi="Gotham" w:cs="Arial"/>
          <w:sz w:val="20"/>
          <w:szCs w:val="20"/>
        </w:rPr>
      </w:pPr>
    </w:p>
    <w:p w14:paraId="3A4734E8"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4E9" w14:textId="77777777" w:rsidR="00016FE1" w:rsidRPr="00351AD1" w:rsidRDefault="00016FE1" w:rsidP="002B6227">
      <w:pPr>
        <w:jc w:val="both"/>
        <w:rPr>
          <w:rFonts w:ascii="Gotham" w:hAnsi="Gotham" w:cs="Arial"/>
          <w:sz w:val="20"/>
          <w:szCs w:val="20"/>
        </w:rPr>
      </w:pPr>
    </w:p>
    <w:p w14:paraId="3A4734EA"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4EB" w14:textId="77777777" w:rsidR="00016FE1" w:rsidRDefault="00016FE1" w:rsidP="002B6227">
      <w:pPr>
        <w:jc w:val="both"/>
        <w:rPr>
          <w:rFonts w:ascii="Gotham" w:hAnsi="Gotham"/>
          <w:sz w:val="20"/>
          <w:szCs w:val="20"/>
        </w:rPr>
      </w:pPr>
    </w:p>
    <w:p w14:paraId="3A4734EC" w14:textId="77777777" w:rsidR="00016FE1" w:rsidRPr="000F7447" w:rsidRDefault="00016FE1" w:rsidP="002B6227">
      <w:pPr>
        <w:jc w:val="both"/>
        <w:rPr>
          <w:rFonts w:ascii="Gotham" w:hAnsi="Gotham"/>
          <w:sz w:val="20"/>
          <w:szCs w:val="20"/>
        </w:rPr>
      </w:pPr>
    </w:p>
    <w:p w14:paraId="3A4734ED"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1118</w:t>
      </w:r>
    </w:p>
    <w:p w14:paraId="3A4734EE" w14:textId="77777777" w:rsidR="00016FE1" w:rsidRPr="00A333D2" w:rsidRDefault="00016FE1" w:rsidP="002B6227">
      <w:pPr>
        <w:tabs>
          <w:tab w:val="left" w:pos="-284"/>
        </w:tabs>
        <w:jc w:val="both"/>
        <w:rPr>
          <w:rFonts w:ascii="Gotham" w:hAnsi="Gotham"/>
          <w:sz w:val="20"/>
          <w:szCs w:val="20"/>
        </w:rPr>
      </w:pPr>
      <w:r w:rsidRPr="000F7447">
        <w:rPr>
          <w:rFonts w:ascii="Gotham" w:hAnsi="Gotham"/>
          <w:b/>
          <w:bCs/>
          <w:smallCaps/>
          <w:sz w:val="20"/>
          <w:szCs w:val="20"/>
        </w:rPr>
        <w:t>Sexta Iniciativa con Turno a Comisión</w:t>
      </w:r>
      <w:r w:rsidRPr="000F7447">
        <w:rPr>
          <w:rFonts w:ascii="Gotham" w:hAnsi="Gotham"/>
          <w:b/>
          <w:bCs/>
          <w:sz w:val="20"/>
          <w:szCs w:val="20"/>
        </w:rPr>
        <w:t xml:space="preserve">.- </w:t>
      </w:r>
      <w:r>
        <w:rPr>
          <w:rFonts w:ascii="Gotham" w:hAnsi="Gotham"/>
          <w:sz w:val="20"/>
          <w:szCs w:val="20"/>
        </w:rPr>
        <w:t xml:space="preserve">En uso de la voz el Regidor Ramón López Mena, </w:t>
      </w:r>
      <w:r w:rsidRPr="000F7447">
        <w:rPr>
          <w:rFonts w:ascii="Gotham" w:hAnsi="Gotham"/>
          <w:sz w:val="20"/>
          <w:szCs w:val="20"/>
        </w:rPr>
        <w:t xml:space="preserve">menciona que, </w:t>
      </w:r>
      <w:r>
        <w:rPr>
          <w:rFonts w:ascii="Gotham" w:hAnsi="Gotham"/>
          <w:sz w:val="20"/>
          <w:szCs w:val="20"/>
        </w:rPr>
        <w:t>e</w:t>
      </w:r>
      <w:r w:rsidRPr="00A333D2">
        <w:rPr>
          <w:rFonts w:ascii="Gotham" w:hAnsi="Gotham"/>
          <w:sz w:val="20"/>
          <w:szCs w:val="20"/>
        </w:rPr>
        <w:t xml:space="preserve">l que suscribe, Licenciado Ramón López Mena, Regidor del Ayuntamiento Constitucional de Tonalá, Jalisco; en uso de la facultad que me confieren los artículos 49 y 50 de la Ley del Gobierno y la Administración Pública Municipal del Estado de Jalisco; el artículo 56, fracción </w:t>
      </w:r>
      <w:r>
        <w:rPr>
          <w:rFonts w:ascii="Gotham" w:hAnsi="Gotham"/>
          <w:sz w:val="20"/>
          <w:szCs w:val="20"/>
        </w:rPr>
        <w:t>II</w:t>
      </w:r>
      <w:r w:rsidRPr="00A333D2">
        <w:rPr>
          <w:rFonts w:ascii="Gotham" w:hAnsi="Gotham"/>
          <w:sz w:val="20"/>
          <w:szCs w:val="20"/>
        </w:rPr>
        <w:t xml:space="preserve">, del Reglamento del Gobierno y la Administración Pública del Ayuntamiento Constitucional de Tonalá, Jalisco; así como los artículos 17, 82, fracción </w:t>
      </w:r>
      <w:r>
        <w:rPr>
          <w:rFonts w:ascii="Gotham" w:hAnsi="Gotham"/>
          <w:sz w:val="20"/>
          <w:szCs w:val="20"/>
        </w:rPr>
        <w:t>II</w:t>
      </w:r>
      <w:r w:rsidRPr="00A333D2">
        <w:rPr>
          <w:rFonts w:ascii="Gotham" w:hAnsi="Gotham"/>
          <w:sz w:val="20"/>
          <w:szCs w:val="20"/>
        </w:rPr>
        <w:t>, y 83 del Reglamento para el Funcionamiento Interno de Sesiones del Ayuntamiento Constitucional de Tonalá, Jalisco; someto a consideración de este Ayuntamiento la presente Iniciativa de turno a comisión "que tiene por objeto ampliar el punto de acuerdo 996 presentado en la vigesimoctava sesión de Ayuntamiento de fecha 25 de enero del 2024", de conformidad con la siguiente:</w:t>
      </w:r>
    </w:p>
    <w:p w14:paraId="3A4734EF" w14:textId="77777777" w:rsidR="00016FE1" w:rsidRDefault="00016FE1" w:rsidP="002B6227">
      <w:pPr>
        <w:tabs>
          <w:tab w:val="left" w:pos="-284"/>
        </w:tabs>
        <w:jc w:val="center"/>
        <w:rPr>
          <w:rFonts w:ascii="Gotham" w:hAnsi="Gotham"/>
          <w:sz w:val="20"/>
          <w:szCs w:val="20"/>
        </w:rPr>
      </w:pPr>
      <w:r w:rsidRPr="00A333D2">
        <w:rPr>
          <w:rFonts w:ascii="Gotham" w:hAnsi="Gotham"/>
          <w:sz w:val="20"/>
          <w:szCs w:val="20"/>
        </w:rPr>
        <w:t>EXPOSICIÓN DE MOTIVOS</w:t>
      </w:r>
    </w:p>
    <w:p w14:paraId="3A4734F0" w14:textId="77777777" w:rsidR="00016FE1" w:rsidRPr="00A333D2" w:rsidRDefault="00016FE1" w:rsidP="002B6227">
      <w:pPr>
        <w:tabs>
          <w:tab w:val="left" w:pos="-284"/>
        </w:tabs>
        <w:jc w:val="center"/>
        <w:rPr>
          <w:rFonts w:ascii="Gotham" w:hAnsi="Gotham"/>
          <w:sz w:val="20"/>
          <w:szCs w:val="20"/>
        </w:rPr>
      </w:pPr>
    </w:p>
    <w:p w14:paraId="3A4734F1" w14:textId="77777777" w:rsidR="00016FE1" w:rsidRDefault="00016FE1" w:rsidP="002B6227">
      <w:pPr>
        <w:tabs>
          <w:tab w:val="left" w:pos="-284"/>
        </w:tabs>
        <w:jc w:val="both"/>
        <w:rPr>
          <w:rFonts w:ascii="Gotham" w:hAnsi="Gotham"/>
          <w:sz w:val="20"/>
          <w:szCs w:val="20"/>
        </w:rPr>
      </w:pPr>
      <w:r w:rsidRPr="00A333D2">
        <w:rPr>
          <w:rFonts w:ascii="Gotham" w:hAnsi="Gotham"/>
          <w:sz w:val="20"/>
          <w:szCs w:val="20"/>
        </w:rPr>
        <w:t>Desde que los municipios tomaron vida para ayudar a la sociedad, uno de los principales problemas para la población, fue su concentración, ya que muchas de las dependencias, se encontraban muy lejos de las poblaciones que comprendía dicho ente jurídico. Fue el motivo por el cual, se creó la figura jurídica de las Delegaciones y Agencias Municipales, que servían para eficientar los servicios públicos en las localidades, alejadas de las cabeceras municipales.</w:t>
      </w:r>
    </w:p>
    <w:p w14:paraId="3A4734F2" w14:textId="77777777" w:rsidR="00016FE1" w:rsidRDefault="00016FE1" w:rsidP="002B6227">
      <w:pPr>
        <w:tabs>
          <w:tab w:val="left" w:pos="-284"/>
        </w:tabs>
        <w:jc w:val="both"/>
        <w:rPr>
          <w:rFonts w:ascii="Gotham" w:hAnsi="Gotham"/>
          <w:sz w:val="20"/>
          <w:szCs w:val="20"/>
        </w:rPr>
      </w:pPr>
    </w:p>
    <w:p w14:paraId="3A4734F3" w14:textId="77777777" w:rsidR="00016FE1" w:rsidRPr="00523E3B" w:rsidRDefault="00016FE1" w:rsidP="002B6227">
      <w:pPr>
        <w:tabs>
          <w:tab w:val="left" w:pos="-284"/>
        </w:tabs>
        <w:jc w:val="both"/>
        <w:rPr>
          <w:rFonts w:ascii="Gotham" w:hAnsi="Gotham"/>
          <w:sz w:val="20"/>
          <w:szCs w:val="20"/>
        </w:rPr>
      </w:pPr>
      <w:r w:rsidRPr="00523E3B">
        <w:rPr>
          <w:rFonts w:ascii="Gotham" w:hAnsi="Gotham"/>
          <w:sz w:val="20"/>
          <w:szCs w:val="20"/>
        </w:rPr>
        <w:lastRenderedPageBreak/>
        <w:t xml:space="preserve">Cabe señalar, que en nuestro municipio aún existen localidades alejadas de la cabecera municipal, como </w:t>
      </w:r>
      <w:r>
        <w:rPr>
          <w:rFonts w:ascii="Gotham" w:hAnsi="Gotham"/>
          <w:sz w:val="20"/>
          <w:szCs w:val="20"/>
        </w:rPr>
        <w:t>lo</w:t>
      </w:r>
      <w:r w:rsidRPr="00523E3B">
        <w:rPr>
          <w:rFonts w:ascii="Gotham" w:hAnsi="Gotham"/>
          <w:sz w:val="20"/>
          <w:szCs w:val="20"/>
        </w:rPr>
        <w:t xml:space="preserve"> son Tololotl</w:t>
      </w:r>
      <w:r>
        <w:rPr>
          <w:rFonts w:ascii="Gotham" w:hAnsi="Gotham"/>
          <w:sz w:val="20"/>
          <w:szCs w:val="20"/>
        </w:rPr>
        <w:t>á</w:t>
      </w:r>
      <w:r w:rsidRPr="00523E3B">
        <w:rPr>
          <w:rFonts w:ascii="Gotham" w:hAnsi="Gotham"/>
          <w:sz w:val="20"/>
          <w:szCs w:val="20"/>
        </w:rPr>
        <w:t>n, San Miguel de la Punta, Agua Blanca, San Francisco de la Soledad, Puente Grande, El Vado, entre otras; más sin embargo existen localidades, que se encuentran ya absorbidas por la mancha urbana, donde los ciudadanos cuentan con amplias posibilidades de poder trasladarse a la cabecera municipal y poder realizar los trámites pertinentes; eso sin mencionar las ventajas de los medios de comunicación.</w:t>
      </w:r>
    </w:p>
    <w:p w14:paraId="3A4734F4" w14:textId="77777777" w:rsidR="00016FE1" w:rsidRDefault="00016FE1" w:rsidP="002B6227">
      <w:pPr>
        <w:tabs>
          <w:tab w:val="left" w:pos="-284"/>
        </w:tabs>
        <w:jc w:val="both"/>
        <w:rPr>
          <w:rFonts w:ascii="Gotham" w:hAnsi="Gotham"/>
          <w:sz w:val="20"/>
          <w:szCs w:val="20"/>
        </w:rPr>
      </w:pPr>
    </w:p>
    <w:p w14:paraId="3A4734F5" w14:textId="77777777" w:rsidR="00016FE1" w:rsidRDefault="00016FE1" w:rsidP="002B6227">
      <w:pPr>
        <w:tabs>
          <w:tab w:val="left" w:pos="-284"/>
        </w:tabs>
        <w:jc w:val="both"/>
        <w:rPr>
          <w:rFonts w:ascii="Gotham" w:hAnsi="Gotham"/>
          <w:sz w:val="20"/>
          <w:szCs w:val="20"/>
        </w:rPr>
      </w:pPr>
      <w:r w:rsidRPr="00523E3B">
        <w:rPr>
          <w:rFonts w:ascii="Gotham" w:hAnsi="Gotham"/>
          <w:sz w:val="20"/>
          <w:szCs w:val="20"/>
        </w:rPr>
        <w:t>Esta situación se ha visto contemplada por municipios como Guadalajara, el cual ha dejado de tener Delegaciones y Agencias municipales; eficientando las Unidades Administrativas que posee en sus localidades.</w:t>
      </w:r>
    </w:p>
    <w:p w14:paraId="3A4734F6" w14:textId="77777777" w:rsidR="00016FE1" w:rsidRDefault="00016FE1" w:rsidP="002B6227">
      <w:pPr>
        <w:tabs>
          <w:tab w:val="left" w:pos="-284"/>
        </w:tabs>
        <w:jc w:val="both"/>
        <w:rPr>
          <w:rFonts w:ascii="Gotham" w:hAnsi="Gotham"/>
          <w:sz w:val="20"/>
          <w:szCs w:val="20"/>
        </w:rPr>
      </w:pPr>
    </w:p>
    <w:p w14:paraId="3A4734F7" w14:textId="77777777" w:rsidR="00016FE1" w:rsidRPr="001961FA" w:rsidRDefault="00016FE1" w:rsidP="002B6227">
      <w:pPr>
        <w:tabs>
          <w:tab w:val="left" w:pos="-284"/>
        </w:tabs>
        <w:jc w:val="both"/>
        <w:rPr>
          <w:rFonts w:ascii="Gotham" w:hAnsi="Gotham"/>
          <w:sz w:val="20"/>
          <w:szCs w:val="20"/>
        </w:rPr>
      </w:pPr>
      <w:r w:rsidRPr="001961FA">
        <w:rPr>
          <w:rFonts w:ascii="Gotham" w:hAnsi="Gotham"/>
          <w:sz w:val="20"/>
          <w:szCs w:val="20"/>
        </w:rPr>
        <w:t>En este sentido se propone a este órgano colegiado, ampliar el punto de acuerdo 996 presentado en la vigésimo octava sesión de Ayuntamiento de fecha 25 de enero del 2024; El cual propone la participación de los ciudadanos en la elección de Delegados y Agentes municipales.</w:t>
      </w:r>
    </w:p>
    <w:p w14:paraId="3A4734F8" w14:textId="77777777" w:rsidR="00016FE1" w:rsidRDefault="00016FE1" w:rsidP="002B6227">
      <w:pPr>
        <w:tabs>
          <w:tab w:val="left" w:pos="-284"/>
        </w:tabs>
        <w:jc w:val="both"/>
        <w:rPr>
          <w:rFonts w:ascii="Gotham" w:hAnsi="Gotham"/>
          <w:sz w:val="20"/>
          <w:szCs w:val="20"/>
        </w:rPr>
      </w:pPr>
    </w:p>
    <w:p w14:paraId="3A4734F9" w14:textId="77777777" w:rsidR="00016FE1" w:rsidRPr="001961FA" w:rsidRDefault="00016FE1" w:rsidP="002B6227">
      <w:pPr>
        <w:tabs>
          <w:tab w:val="left" w:pos="-284"/>
        </w:tabs>
        <w:jc w:val="both"/>
        <w:rPr>
          <w:rFonts w:ascii="Gotham" w:hAnsi="Gotham"/>
          <w:sz w:val="20"/>
          <w:szCs w:val="20"/>
        </w:rPr>
      </w:pPr>
      <w:r w:rsidRPr="001961FA">
        <w:rPr>
          <w:rFonts w:ascii="Gotham" w:hAnsi="Gotham"/>
          <w:sz w:val="20"/>
          <w:szCs w:val="20"/>
        </w:rPr>
        <w:t>De esta forma se estaría analizando la viabilidad, de transitar a una figura diferente como lo son las Unidades Administrativas, como lo han hecho otros Municipios como Guadalajara</w:t>
      </w:r>
    </w:p>
    <w:p w14:paraId="3A4734FA" w14:textId="77777777" w:rsidR="00016FE1" w:rsidRDefault="00016FE1" w:rsidP="002B6227">
      <w:pPr>
        <w:tabs>
          <w:tab w:val="left" w:pos="-284"/>
        </w:tabs>
        <w:jc w:val="both"/>
        <w:rPr>
          <w:rFonts w:ascii="Gotham" w:hAnsi="Gotham"/>
          <w:sz w:val="20"/>
          <w:szCs w:val="20"/>
        </w:rPr>
      </w:pPr>
    </w:p>
    <w:p w14:paraId="3A4734FB" w14:textId="77777777" w:rsidR="00016FE1" w:rsidRPr="001961FA" w:rsidRDefault="00016FE1" w:rsidP="002B6227">
      <w:pPr>
        <w:tabs>
          <w:tab w:val="left" w:pos="-284"/>
        </w:tabs>
        <w:jc w:val="both"/>
        <w:rPr>
          <w:rFonts w:ascii="Gotham" w:hAnsi="Gotham"/>
          <w:sz w:val="20"/>
          <w:szCs w:val="20"/>
        </w:rPr>
      </w:pPr>
      <w:r w:rsidRPr="001961FA">
        <w:rPr>
          <w:rFonts w:ascii="Gotham" w:hAnsi="Gotham"/>
          <w:sz w:val="20"/>
          <w:szCs w:val="20"/>
        </w:rPr>
        <w:t>Una vez expresada la exposición de motivos, es que se fundamentan y se argumentan las siguientes:</w:t>
      </w:r>
    </w:p>
    <w:p w14:paraId="3A4734FC" w14:textId="77777777" w:rsidR="00016FE1" w:rsidRDefault="00016FE1" w:rsidP="002B6227">
      <w:pPr>
        <w:tabs>
          <w:tab w:val="left" w:pos="-284"/>
        </w:tabs>
        <w:jc w:val="both"/>
        <w:rPr>
          <w:rFonts w:ascii="Gotham" w:hAnsi="Gotham"/>
          <w:sz w:val="20"/>
          <w:szCs w:val="20"/>
        </w:rPr>
      </w:pPr>
    </w:p>
    <w:p w14:paraId="3A4734FD" w14:textId="77777777" w:rsidR="00016FE1" w:rsidRDefault="00016FE1" w:rsidP="002B6227">
      <w:pPr>
        <w:tabs>
          <w:tab w:val="left" w:pos="-284"/>
        </w:tabs>
        <w:jc w:val="center"/>
        <w:rPr>
          <w:rFonts w:ascii="Gotham" w:hAnsi="Gotham"/>
          <w:sz w:val="20"/>
          <w:szCs w:val="20"/>
        </w:rPr>
      </w:pPr>
      <w:r w:rsidRPr="001961FA">
        <w:rPr>
          <w:rFonts w:ascii="Gotham" w:hAnsi="Gotham"/>
          <w:sz w:val="20"/>
          <w:szCs w:val="20"/>
        </w:rPr>
        <w:t>CONSIDERACIONES</w:t>
      </w:r>
    </w:p>
    <w:p w14:paraId="3A4734FE" w14:textId="77777777" w:rsidR="00016FE1" w:rsidRDefault="00016FE1" w:rsidP="002B6227">
      <w:pPr>
        <w:tabs>
          <w:tab w:val="left" w:pos="-284"/>
        </w:tabs>
        <w:jc w:val="center"/>
        <w:rPr>
          <w:rFonts w:ascii="Gotham" w:hAnsi="Gotham"/>
          <w:sz w:val="20"/>
          <w:szCs w:val="20"/>
        </w:rPr>
      </w:pPr>
    </w:p>
    <w:p w14:paraId="3A4734FF" w14:textId="77777777" w:rsidR="00016FE1" w:rsidRPr="003C10E0" w:rsidRDefault="00016FE1" w:rsidP="002B6227">
      <w:pPr>
        <w:tabs>
          <w:tab w:val="left" w:pos="-284"/>
        </w:tabs>
        <w:ind w:left="567" w:right="333" w:hanging="567"/>
        <w:jc w:val="both"/>
        <w:rPr>
          <w:rFonts w:ascii="Gotham" w:hAnsi="Gotham"/>
          <w:sz w:val="20"/>
          <w:szCs w:val="20"/>
        </w:rPr>
      </w:pPr>
      <w:r w:rsidRPr="003C10E0">
        <w:rPr>
          <w:rFonts w:ascii="Gotham" w:hAnsi="Gotham"/>
          <w:sz w:val="20"/>
          <w:szCs w:val="20"/>
        </w:rPr>
        <w:t xml:space="preserve">l. </w:t>
      </w:r>
      <w:r w:rsidR="00B90F89">
        <w:rPr>
          <w:rFonts w:ascii="Gotham" w:hAnsi="Gotham"/>
          <w:sz w:val="20"/>
          <w:szCs w:val="20"/>
        </w:rPr>
        <w:tab/>
      </w:r>
      <w:r w:rsidRPr="003C10E0">
        <w:rPr>
          <w:rFonts w:ascii="Gotham" w:hAnsi="Gotham"/>
          <w:sz w:val="20"/>
          <w:szCs w:val="20"/>
        </w:rPr>
        <w:t>Que la Constitución Política de los Estados Unidos Mexicanos, en su artículo 115, estipula que:</w:t>
      </w:r>
    </w:p>
    <w:p w14:paraId="3A473500" w14:textId="77777777" w:rsidR="00016FE1" w:rsidRDefault="00016FE1" w:rsidP="002B6227">
      <w:pPr>
        <w:tabs>
          <w:tab w:val="left" w:pos="-284"/>
        </w:tabs>
        <w:ind w:left="567" w:right="333" w:hanging="567"/>
        <w:jc w:val="both"/>
        <w:rPr>
          <w:rFonts w:ascii="Gotham" w:hAnsi="Gotham"/>
          <w:sz w:val="20"/>
          <w:szCs w:val="20"/>
        </w:rPr>
      </w:pPr>
    </w:p>
    <w:p w14:paraId="3A473501" w14:textId="77777777" w:rsidR="00016FE1" w:rsidRPr="00B90F89" w:rsidRDefault="00016FE1" w:rsidP="002B6227">
      <w:pPr>
        <w:ind w:left="851" w:right="283"/>
        <w:jc w:val="both"/>
        <w:rPr>
          <w:rFonts w:ascii="Gotham" w:hAnsi="Gotham" w:cs="Arial"/>
          <w:i/>
          <w:sz w:val="19"/>
          <w:szCs w:val="19"/>
        </w:rPr>
      </w:pPr>
      <w:r w:rsidRPr="00B90F89">
        <w:rPr>
          <w:rFonts w:ascii="Gotham" w:hAnsi="Gotham" w:cs="Arial"/>
          <w:i/>
          <w:sz w:val="19"/>
          <w:szCs w:val="19"/>
        </w:rPr>
        <w:t>"Los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3A473502" w14:textId="77777777" w:rsidR="00016FE1" w:rsidRDefault="00016FE1" w:rsidP="002B6227">
      <w:pPr>
        <w:tabs>
          <w:tab w:val="left" w:pos="-284"/>
        </w:tabs>
        <w:ind w:right="333"/>
        <w:rPr>
          <w:rFonts w:ascii="Gotham" w:hAnsi="Gotham"/>
          <w:i/>
          <w:iCs/>
          <w:sz w:val="20"/>
          <w:szCs w:val="20"/>
        </w:rPr>
      </w:pPr>
    </w:p>
    <w:p w14:paraId="3A473503" w14:textId="77777777" w:rsidR="00016FE1" w:rsidRPr="004666C4" w:rsidRDefault="00016FE1" w:rsidP="002B6227">
      <w:pPr>
        <w:tabs>
          <w:tab w:val="left" w:pos="-284"/>
        </w:tabs>
        <w:ind w:left="567" w:right="333" w:hanging="567"/>
        <w:jc w:val="both"/>
        <w:rPr>
          <w:rFonts w:ascii="Gotham" w:hAnsi="Gotham"/>
          <w:sz w:val="20"/>
          <w:szCs w:val="20"/>
        </w:rPr>
      </w:pPr>
      <w:r w:rsidRPr="004666C4">
        <w:rPr>
          <w:rFonts w:ascii="Gotham" w:hAnsi="Gotham"/>
          <w:sz w:val="20"/>
          <w:szCs w:val="20"/>
        </w:rPr>
        <w:t>II.</w:t>
      </w:r>
      <w:r>
        <w:rPr>
          <w:rFonts w:ascii="Gotham" w:hAnsi="Gotham"/>
          <w:sz w:val="20"/>
          <w:szCs w:val="20"/>
        </w:rPr>
        <w:t xml:space="preserve"> </w:t>
      </w:r>
      <w:r w:rsidR="00B90F89">
        <w:rPr>
          <w:rFonts w:ascii="Gotham" w:hAnsi="Gotham"/>
          <w:sz w:val="20"/>
          <w:szCs w:val="20"/>
        </w:rPr>
        <w:tab/>
      </w:r>
      <w:r w:rsidRPr="004666C4">
        <w:rPr>
          <w:rFonts w:ascii="Gotham" w:hAnsi="Gotham"/>
          <w:sz w:val="20"/>
          <w:szCs w:val="20"/>
        </w:rPr>
        <w:t>Que la Constitución Política del Estado de Jalisco, en su numeral 73, establece que:</w:t>
      </w:r>
      <w:r w:rsidR="008402EC">
        <w:rPr>
          <w:rFonts w:ascii="Gotham" w:hAnsi="Gotham"/>
          <w:sz w:val="20"/>
          <w:szCs w:val="20"/>
        </w:rPr>
        <w:t xml:space="preserve"> </w:t>
      </w:r>
    </w:p>
    <w:p w14:paraId="3A473504" w14:textId="77777777" w:rsidR="00016FE1" w:rsidRPr="00B90F89" w:rsidRDefault="00016FE1" w:rsidP="002B6227">
      <w:pPr>
        <w:tabs>
          <w:tab w:val="left" w:pos="-284"/>
        </w:tabs>
        <w:ind w:left="567" w:right="333" w:hanging="567"/>
        <w:jc w:val="both"/>
        <w:rPr>
          <w:rFonts w:ascii="Gotham" w:hAnsi="Gotham"/>
          <w:sz w:val="20"/>
          <w:szCs w:val="20"/>
        </w:rPr>
      </w:pPr>
    </w:p>
    <w:p w14:paraId="3A473505" w14:textId="77777777" w:rsidR="00016FE1" w:rsidRPr="00B90F89" w:rsidRDefault="00016FE1" w:rsidP="002B6227">
      <w:pPr>
        <w:ind w:left="851" w:right="283"/>
        <w:jc w:val="both"/>
        <w:rPr>
          <w:rFonts w:ascii="Gotham" w:hAnsi="Gotham" w:cs="Arial"/>
          <w:i/>
          <w:sz w:val="19"/>
          <w:szCs w:val="19"/>
        </w:rPr>
      </w:pPr>
      <w:r w:rsidRPr="00B90F89">
        <w:rPr>
          <w:rFonts w:ascii="Gotham" w:hAnsi="Gotham" w:cs="Arial"/>
          <w:i/>
          <w:sz w:val="19"/>
          <w:szCs w:val="19"/>
        </w:rPr>
        <w:t xml:space="preserve">"El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A473506" w14:textId="77777777" w:rsidR="00016FE1" w:rsidRPr="00B90F89" w:rsidRDefault="00016FE1" w:rsidP="002B6227">
      <w:pPr>
        <w:tabs>
          <w:tab w:val="left" w:pos="-284"/>
        </w:tabs>
        <w:ind w:left="567" w:right="333" w:hanging="567"/>
        <w:rPr>
          <w:rFonts w:ascii="Gotham" w:hAnsi="Gotham"/>
          <w:sz w:val="20"/>
          <w:szCs w:val="20"/>
        </w:rPr>
      </w:pPr>
    </w:p>
    <w:p w14:paraId="3A473507" w14:textId="77777777" w:rsidR="00016FE1" w:rsidRPr="00B90F89" w:rsidRDefault="00016FE1" w:rsidP="002B6227">
      <w:pPr>
        <w:tabs>
          <w:tab w:val="left" w:pos="-284"/>
        </w:tabs>
        <w:ind w:left="567" w:right="333" w:hanging="567"/>
        <w:jc w:val="both"/>
        <w:rPr>
          <w:rFonts w:ascii="Gotham" w:hAnsi="Gotham"/>
          <w:sz w:val="20"/>
          <w:szCs w:val="20"/>
        </w:rPr>
      </w:pPr>
      <w:r w:rsidRPr="00B90F89">
        <w:rPr>
          <w:rFonts w:ascii="Gotham" w:hAnsi="Gotham"/>
          <w:sz w:val="20"/>
          <w:szCs w:val="20"/>
        </w:rPr>
        <w:t xml:space="preserve">III. </w:t>
      </w:r>
      <w:r w:rsidR="00B90F89">
        <w:rPr>
          <w:rFonts w:ascii="Gotham" w:hAnsi="Gotham"/>
          <w:sz w:val="20"/>
          <w:szCs w:val="20"/>
        </w:rPr>
        <w:tab/>
      </w:r>
      <w:r w:rsidRPr="00B90F89">
        <w:rPr>
          <w:rFonts w:ascii="Gotham" w:hAnsi="Gotham"/>
          <w:sz w:val="20"/>
          <w:szCs w:val="20"/>
        </w:rPr>
        <w:t>La norma general en materia municipal, del Estado, es la Ley del Gobierno y la Administración Pública Municipal del Estado de Jalisco, que en su artículo 3 y 37</w:t>
      </w:r>
      <w:r w:rsidR="00B90F89">
        <w:rPr>
          <w:rFonts w:ascii="Gotham" w:hAnsi="Gotham"/>
          <w:sz w:val="20"/>
          <w:szCs w:val="20"/>
        </w:rPr>
        <w:t>,</w:t>
      </w:r>
      <w:r w:rsidRPr="00B90F89">
        <w:rPr>
          <w:rFonts w:ascii="Gotham" w:hAnsi="Gotham"/>
          <w:sz w:val="20"/>
          <w:szCs w:val="20"/>
        </w:rPr>
        <w:t xml:space="preserve"> fracción VIII, prevé lo siguiente:</w:t>
      </w:r>
    </w:p>
    <w:p w14:paraId="3A473508" w14:textId="77777777" w:rsidR="00016FE1" w:rsidRPr="00B90F89" w:rsidRDefault="00016FE1" w:rsidP="002B6227">
      <w:pPr>
        <w:tabs>
          <w:tab w:val="left" w:pos="-284"/>
        </w:tabs>
        <w:ind w:left="567" w:right="333" w:hanging="567"/>
        <w:rPr>
          <w:rFonts w:ascii="Gotham" w:hAnsi="Gotham"/>
          <w:sz w:val="20"/>
          <w:szCs w:val="20"/>
        </w:rPr>
      </w:pPr>
    </w:p>
    <w:p w14:paraId="3A473509" w14:textId="77777777" w:rsidR="00016FE1" w:rsidRPr="00B90F89" w:rsidRDefault="00016FE1" w:rsidP="002B6227">
      <w:pPr>
        <w:ind w:left="851" w:right="283"/>
        <w:jc w:val="both"/>
        <w:rPr>
          <w:rFonts w:ascii="Gotham" w:hAnsi="Gotham" w:cs="Arial"/>
          <w:i/>
          <w:sz w:val="19"/>
          <w:szCs w:val="19"/>
        </w:rPr>
      </w:pPr>
      <w:r w:rsidRPr="00B90F89">
        <w:rPr>
          <w:rFonts w:ascii="Gotham" w:hAnsi="Gotham" w:cs="Arial"/>
          <w:i/>
          <w:sz w:val="19"/>
          <w:szCs w:val="19"/>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3A47350A" w14:textId="77777777" w:rsidR="00016FE1" w:rsidRPr="00B90F89" w:rsidRDefault="00016FE1" w:rsidP="002B6227">
      <w:pPr>
        <w:ind w:left="851" w:right="283"/>
        <w:jc w:val="both"/>
        <w:rPr>
          <w:rFonts w:ascii="Gotham" w:hAnsi="Gotham" w:cs="Arial"/>
          <w:i/>
          <w:sz w:val="19"/>
          <w:szCs w:val="19"/>
        </w:rPr>
      </w:pPr>
    </w:p>
    <w:p w14:paraId="3A47350B" w14:textId="77777777" w:rsidR="00016FE1" w:rsidRPr="00B90F89" w:rsidRDefault="00016FE1" w:rsidP="002B6227">
      <w:pPr>
        <w:spacing w:after="120"/>
        <w:ind w:left="851" w:right="283"/>
        <w:jc w:val="both"/>
        <w:rPr>
          <w:rFonts w:ascii="Gotham" w:hAnsi="Gotham" w:cs="Arial"/>
          <w:i/>
          <w:sz w:val="19"/>
          <w:szCs w:val="19"/>
        </w:rPr>
      </w:pPr>
      <w:r w:rsidRPr="00B90F89">
        <w:rPr>
          <w:rFonts w:ascii="Gotham" w:hAnsi="Gotham" w:cs="Arial"/>
          <w:i/>
          <w:sz w:val="19"/>
          <w:szCs w:val="19"/>
        </w:rPr>
        <w:t>Artículo 37. Son obligaciones de los Ayuntamientos, las siguientes:</w:t>
      </w:r>
    </w:p>
    <w:p w14:paraId="3A47350C" w14:textId="77777777" w:rsidR="00016FE1" w:rsidRPr="00B90F89" w:rsidRDefault="00016FE1" w:rsidP="002B6227">
      <w:pPr>
        <w:ind w:left="1418" w:right="283" w:hanging="567"/>
        <w:jc w:val="both"/>
        <w:rPr>
          <w:rFonts w:ascii="Gotham" w:hAnsi="Gotham" w:cs="Arial"/>
          <w:i/>
          <w:sz w:val="19"/>
          <w:szCs w:val="19"/>
        </w:rPr>
      </w:pPr>
      <w:r w:rsidRPr="00B90F89">
        <w:rPr>
          <w:rFonts w:ascii="Gotham" w:hAnsi="Gotham" w:cs="Arial"/>
          <w:i/>
          <w:sz w:val="19"/>
          <w:szCs w:val="19"/>
        </w:rPr>
        <w:t xml:space="preserve">VIII.- </w:t>
      </w:r>
      <w:r w:rsidR="004B3F6B">
        <w:rPr>
          <w:rFonts w:ascii="Gotham" w:hAnsi="Gotham" w:cs="Arial"/>
          <w:i/>
          <w:sz w:val="19"/>
          <w:szCs w:val="19"/>
        </w:rPr>
        <w:tab/>
      </w:r>
      <w:r w:rsidRPr="00B90F89">
        <w:rPr>
          <w:rFonts w:ascii="Gotham" w:hAnsi="Gotham" w:cs="Arial"/>
          <w:i/>
          <w:sz w:val="19"/>
          <w:szCs w:val="19"/>
        </w:rPr>
        <w:t>Celebrar Expedir y aplicar los reglamentos relativos a la prestación de los servicios de agua potable, drenaje, alcantarillado, tratamiento y disposición de aguas residuales, conforme a las bases generales definidas por las leyes federales y estatales en la materia;</w:t>
      </w:r>
    </w:p>
    <w:p w14:paraId="3A47350D" w14:textId="77777777" w:rsidR="00016FE1" w:rsidRDefault="00016FE1" w:rsidP="002B6227">
      <w:pPr>
        <w:tabs>
          <w:tab w:val="left" w:pos="-284"/>
        </w:tabs>
        <w:ind w:right="333"/>
        <w:rPr>
          <w:rFonts w:ascii="Gotham" w:hAnsi="Gotham"/>
          <w:i/>
          <w:iCs/>
          <w:sz w:val="19"/>
          <w:szCs w:val="19"/>
        </w:rPr>
      </w:pPr>
    </w:p>
    <w:p w14:paraId="3A47350E" w14:textId="77777777" w:rsidR="00016FE1" w:rsidRPr="00804830" w:rsidRDefault="00016FE1" w:rsidP="002B6227">
      <w:pPr>
        <w:tabs>
          <w:tab w:val="left" w:pos="-284"/>
        </w:tabs>
        <w:ind w:left="567" w:right="333" w:hanging="567"/>
        <w:jc w:val="both"/>
        <w:rPr>
          <w:rFonts w:ascii="Gotham" w:hAnsi="Gotham"/>
          <w:sz w:val="20"/>
          <w:szCs w:val="20"/>
        </w:rPr>
      </w:pPr>
      <w:r w:rsidRPr="00804830">
        <w:rPr>
          <w:rFonts w:ascii="Gotham" w:hAnsi="Gotham"/>
          <w:sz w:val="20"/>
          <w:szCs w:val="20"/>
        </w:rPr>
        <w:lastRenderedPageBreak/>
        <w:t>IV.</w:t>
      </w:r>
      <w:r>
        <w:rPr>
          <w:rFonts w:ascii="Gotham" w:hAnsi="Gotham"/>
          <w:sz w:val="20"/>
          <w:szCs w:val="20"/>
        </w:rPr>
        <w:t xml:space="preserve"> </w:t>
      </w:r>
      <w:r w:rsidR="004B3F6B">
        <w:rPr>
          <w:rFonts w:ascii="Gotham" w:hAnsi="Gotham"/>
          <w:sz w:val="20"/>
          <w:szCs w:val="20"/>
        </w:rPr>
        <w:tab/>
      </w:r>
      <w:r w:rsidRPr="00804830">
        <w:rPr>
          <w:rFonts w:ascii="Gotham" w:hAnsi="Gotham"/>
          <w:sz w:val="20"/>
          <w:szCs w:val="20"/>
        </w:rPr>
        <w:t>En materia municipal se cuenta con el Reglamento del Gobierno y la Administración Pública del Ayuntamiento Constitucional de Tonalá, Jalisco, conforme lo establecido en el artículo 55 en sus fracciones II y III.</w:t>
      </w:r>
    </w:p>
    <w:p w14:paraId="3A47350F" w14:textId="77777777" w:rsidR="00016FE1" w:rsidRPr="004B3F6B" w:rsidRDefault="00016FE1" w:rsidP="002B6227">
      <w:pPr>
        <w:tabs>
          <w:tab w:val="left" w:pos="-284"/>
        </w:tabs>
        <w:ind w:left="567" w:right="333" w:hanging="567"/>
        <w:jc w:val="both"/>
        <w:rPr>
          <w:rFonts w:ascii="Gotham" w:hAnsi="Gotham"/>
          <w:sz w:val="20"/>
          <w:szCs w:val="20"/>
        </w:rPr>
      </w:pPr>
    </w:p>
    <w:p w14:paraId="3A473510" w14:textId="77777777" w:rsidR="00016FE1" w:rsidRPr="004B3F6B" w:rsidRDefault="00016FE1" w:rsidP="002B6227">
      <w:pPr>
        <w:spacing w:after="120"/>
        <w:ind w:left="851" w:right="283"/>
        <w:jc w:val="both"/>
        <w:rPr>
          <w:rFonts w:ascii="Gotham" w:hAnsi="Gotham" w:cs="Arial"/>
          <w:i/>
          <w:sz w:val="19"/>
          <w:szCs w:val="19"/>
        </w:rPr>
      </w:pPr>
      <w:r w:rsidRPr="004B3F6B">
        <w:rPr>
          <w:rFonts w:ascii="Gotham" w:hAnsi="Gotham" w:cs="Arial"/>
          <w:i/>
          <w:sz w:val="19"/>
          <w:szCs w:val="19"/>
        </w:rPr>
        <w:t>Artículo 55.- El Ayuntamiento tiene facultad para aprobar y expedir:</w:t>
      </w:r>
    </w:p>
    <w:p w14:paraId="3A473511" w14:textId="77777777" w:rsidR="00016FE1" w:rsidRPr="004B3F6B" w:rsidRDefault="00016FE1" w:rsidP="002B6227">
      <w:pPr>
        <w:spacing w:after="120"/>
        <w:ind w:left="1276" w:right="283" w:hanging="425"/>
        <w:jc w:val="both"/>
        <w:rPr>
          <w:rFonts w:ascii="Gotham" w:hAnsi="Gotham" w:cs="Arial"/>
          <w:i/>
          <w:sz w:val="19"/>
          <w:szCs w:val="19"/>
        </w:rPr>
      </w:pPr>
      <w:r w:rsidRPr="004B3F6B">
        <w:rPr>
          <w:rFonts w:ascii="Gotham" w:hAnsi="Gotham" w:cs="Arial"/>
          <w:i/>
          <w:sz w:val="19"/>
          <w:szCs w:val="19"/>
        </w:rPr>
        <w:t xml:space="preserve">II.- </w:t>
      </w:r>
      <w:r w:rsidR="004B3F6B">
        <w:rPr>
          <w:rFonts w:ascii="Gotham" w:hAnsi="Gotham" w:cs="Arial"/>
          <w:i/>
          <w:sz w:val="19"/>
          <w:szCs w:val="19"/>
        </w:rPr>
        <w:tab/>
      </w:r>
      <w:r w:rsidRPr="004B3F6B">
        <w:rPr>
          <w:rFonts w:ascii="Gotham" w:hAnsi="Gotham" w:cs="Arial"/>
          <w:i/>
          <w:sz w:val="19"/>
          <w:szCs w:val="19"/>
        </w:rPr>
        <w:t>Los reglamentos, circulares y disposiciones administrativas de observancia general, dentro de la jurisdicción municipal, con el objeto de; a) Organizar la Administración Pública Municipal; b) Regular las materias, procedimientos funciones y servicios públicos de su competencia; c) Asegurar la participación ciudadana y vecinal en los términos que señalen las leyes;</w:t>
      </w:r>
    </w:p>
    <w:p w14:paraId="3A473512" w14:textId="77777777" w:rsidR="00016FE1" w:rsidRPr="004B3F6B" w:rsidRDefault="00016FE1" w:rsidP="002B6227">
      <w:pPr>
        <w:ind w:left="1276" w:right="283" w:hanging="425"/>
        <w:jc w:val="both"/>
        <w:rPr>
          <w:rFonts w:ascii="Gotham" w:hAnsi="Gotham" w:cs="Arial"/>
          <w:i/>
          <w:sz w:val="19"/>
          <w:szCs w:val="19"/>
        </w:rPr>
      </w:pPr>
      <w:r w:rsidRPr="004B3F6B">
        <w:rPr>
          <w:rFonts w:ascii="Gotham" w:hAnsi="Gotham" w:cs="Arial"/>
          <w:i/>
          <w:sz w:val="19"/>
          <w:szCs w:val="19"/>
        </w:rPr>
        <w:t xml:space="preserve">III.- </w:t>
      </w:r>
      <w:r w:rsidR="004B3F6B">
        <w:rPr>
          <w:rFonts w:ascii="Gotham" w:hAnsi="Gotham" w:cs="Arial"/>
          <w:i/>
          <w:sz w:val="19"/>
          <w:szCs w:val="19"/>
        </w:rPr>
        <w:tab/>
      </w:r>
      <w:r w:rsidRPr="004B3F6B">
        <w:rPr>
          <w:rFonts w:ascii="Gotham" w:hAnsi="Gotham" w:cs="Arial"/>
          <w:i/>
          <w:sz w:val="19"/>
          <w:szCs w:val="19"/>
        </w:rPr>
        <w:t>Los reglamentos y disposiciones administrativas que fueren necesarios para cumplir con los fines señalados en los artículos 27 tercer párrafo y 7 75, fracciones III y V de la Constitución Política de los Estados Unidos Mexicanos; y</w:t>
      </w:r>
    </w:p>
    <w:p w14:paraId="3A473513" w14:textId="77777777" w:rsidR="00016FE1" w:rsidRDefault="00016FE1" w:rsidP="002B6227">
      <w:pPr>
        <w:ind w:right="333"/>
        <w:jc w:val="both"/>
        <w:rPr>
          <w:i/>
          <w:iCs/>
          <w:sz w:val="19"/>
          <w:szCs w:val="19"/>
        </w:rPr>
      </w:pPr>
    </w:p>
    <w:p w14:paraId="3A473514" w14:textId="77777777" w:rsidR="00016FE1" w:rsidRPr="00501A6A" w:rsidRDefault="00016FE1" w:rsidP="002B6227">
      <w:pPr>
        <w:ind w:right="333"/>
        <w:jc w:val="both"/>
        <w:rPr>
          <w:sz w:val="20"/>
          <w:szCs w:val="20"/>
        </w:rPr>
      </w:pPr>
    </w:p>
    <w:p w14:paraId="3A473515" w14:textId="77777777" w:rsidR="00016FE1" w:rsidRPr="00FB1A43" w:rsidRDefault="00016FE1" w:rsidP="002B6227">
      <w:pPr>
        <w:tabs>
          <w:tab w:val="left" w:pos="-284"/>
        </w:tabs>
        <w:ind w:right="49"/>
        <w:jc w:val="both"/>
        <w:rPr>
          <w:rFonts w:ascii="Gotham" w:hAnsi="Gotham"/>
          <w:sz w:val="20"/>
          <w:szCs w:val="20"/>
        </w:rPr>
      </w:pPr>
      <w:r w:rsidRPr="00FB1A43">
        <w:rPr>
          <w:rFonts w:ascii="Gotham" w:hAnsi="Gotham"/>
          <w:sz w:val="20"/>
          <w:szCs w:val="20"/>
        </w:rPr>
        <w:t>En virtud de lo establecido anteriormente, y derivado de lo señalado en los preceptos legales y requisitos normativos en el caso que no ocupa, el que suscribe en mi carácter de Regidor del Ayuntamiento Constitucional de Tonalá, Jalisco,</w:t>
      </w:r>
      <w:r>
        <w:rPr>
          <w:rFonts w:ascii="Gotham" w:hAnsi="Gotham"/>
          <w:sz w:val="20"/>
          <w:szCs w:val="20"/>
        </w:rPr>
        <w:t xml:space="preserve"> </w:t>
      </w:r>
      <w:r w:rsidRPr="00FB1A43">
        <w:rPr>
          <w:rFonts w:ascii="Gotham" w:hAnsi="Gotham"/>
          <w:sz w:val="20"/>
          <w:szCs w:val="20"/>
        </w:rPr>
        <w:t>propongo a los integrantes del Pleno de Ayuntamiento la siguiente:</w:t>
      </w:r>
    </w:p>
    <w:p w14:paraId="3A473516" w14:textId="77777777" w:rsidR="00016FE1" w:rsidRDefault="00016FE1" w:rsidP="002B6227">
      <w:pPr>
        <w:tabs>
          <w:tab w:val="left" w:pos="-284"/>
        </w:tabs>
        <w:ind w:right="49"/>
        <w:rPr>
          <w:rFonts w:ascii="Gotham" w:hAnsi="Gotham"/>
          <w:sz w:val="20"/>
          <w:szCs w:val="20"/>
        </w:rPr>
      </w:pPr>
    </w:p>
    <w:p w14:paraId="3A473517" w14:textId="77777777" w:rsidR="00016FE1" w:rsidRPr="00FB1A43" w:rsidRDefault="00016FE1" w:rsidP="002B6227">
      <w:pPr>
        <w:tabs>
          <w:tab w:val="left" w:pos="-284"/>
        </w:tabs>
        <w:ind w:right="49"/>
        <w:jc w:val="center"/>
        <w:rPr>
          <w:rFonts w:ascii="Gotham" w:hAnsi="Gotham"/>
          <w:sz w:val="20"/>
          <w:szCs w:val="20"/>
        </w:rPr>
      </w:pPr>
      <w:r w:rsidRPr="00FB1A43">
        <w:rPr>
          <w:rFonts w:ascii="Gotham" w:hAnsi="Gotham"/>
          <w:sz w:val="20"/>
          <w:szCs w:val="20"/>
        </w:rPr>
        <w:t>INICIATIVA CON TURNO A COMISION</w:t>
      </w:r>
    </w:p>
    <w:p w14:paraId="3A473518" w14:textId="77777777" w:rsidR="00016FE1" w:rsidRDefault="00016FE1" w:rsidP="002B6227">
      <w:pPr>
        <w:tabs>
          <w:tab w:val="left" w:pos="-284"/>
        </w:tabs>
        <w:ind w:right="49"/>
        <w:rPr>
          <w:rFonts w:ascii="Gotham" w:hAnsi="Gotham"/>
          <w:sz w:val="20"/>
          <w:szCs w:val="20"/>
        </w:rPr>
      </w:pPr>
    </w:p>
    <w:p w14:paraId="3A473519" w14:textId="77777777" w:rsidR="00016FE1" w:rsidRPr="00804830" w:rsidRDefault="00016FE1" w:rsidP="002B6227">
      <w:pPr>
        <w:tabs>
          <w:tab w:val="left" w:pos="-284"/>
        </w:tabs>
        <w:ind w:right="49"/>
        <w:jc w:val="both"/>
        <w:rPr>
          <w:rFonts w:ascii="Gotham" w:hAnsi="Gotham"/>
          <w:sz w:val="20"/>
          <w:szCs w:val="20"/>
        </w:rPr>
      </w:pPr>
      <w:r w:rsidRPr="00FB1A43">
        <w:rPr>
          <w:rFonts w:ascii="Gotham" w:hAnsi="Gotham"/>
          <w:sz w:val="20"/>
          <w:szCs w:val="20"/>
        </w:rPr>
        <w:t>ÚNICO.- Se aprueba ampliar el punto de acuerdo 996 presentado en la vigesimoctava sesión de Ayuntamiento de fecha 25 de enero del 2024, para que se realice un estudio de dichas iniciativas en conjunto y se</w:t>
      </w:r>
      <w:r>
        <w:rPr>
          <w:rFonts w:ascii="Gotham" w:hAnsi="Gotham"/>
          <w:sz w:val="20"/>
          <w:szCs w:val="20"/>
        </w:rPr>
        <w:t xml:space="preserve"> ordene turnar ambas para su análisis, estudio y dictaminación a la comisión edilicia de Reglamentos, Puntos Constitucionales, Administración y Planeación Legislativa.</w:t>
      </w:r>
      <w:r w:rsidR="008402EC">
        <w:rPr>
          <w:rFonts w:ascii="Gotham" w:hAnsi="Gotham"/>
          <w:sz w:val="20"/>
          <w:szCs w:val="20"/>
        </w:rPr>
        <w:t xml:space="preserve"> </w:t>
      </w:r>
    </w:p>
    <w:p w14:paraId="3A47351A" w14:textId="77777777" w:rsidR="00016FE1" w:rsidRDefault="00016FE1" w:rsidP="002B6227">
      <w:pPr>
        <w:tabs>
          <w:tab w:val="left" w:pos="-284"/>
        </w:tabs>
        <w:jc w:val="both"/>
        <w:rPr>
          <w:rFonts w:ascii="Gotham" w:hAnsi="Gotham"/>
          <w:sz w:val="20"/>
          <w:szCs w:val="20"/>
        </w:rPr>
      </w:pPr>
    </w:p>
    <w:p w14:paraId="3A47351B" w14:textId="77777777" w:rsidR="00016FE1" w:rsidRPr="00AA54FE" w:rsidRDefault="00016FE1" w:rsidP="002B6227">
      <w:pPr>
        <w:jc w:val="both"/>
        <w:rPr>
          <w:rFonts w:ascii="Gotham" w:hAnsi="Gotham" w:cs="Arial"/>
          <w:color w:val="000000" w:themeColor="text1"/>
          <w:sz w:val="20"/>
          <w:szCs w:val="20"/>
        </w:rPr>
      </w:pPr>
      <w:r w:rsidRPr="00AA54FE">
        <w:rPr>
          <w:rFonts w:ascii="Gotham" w:hAnsi="Gotham"/>
          <w:color w:val="000000" w:themeColor="text1"/>
          <w:sz w:val="20"/>
          <w:szCs w:val="20"/>
        </w:rPr>
        <w:t xml:space="preserve">En uso de la voz el Presidente Municipal, Sergio Armando Chávez Dávalos, expresa que, se propone su turno a la Comisión Edilicia de </w:t>
      </w:r>
      <w:r w:rsidRPr="00AA54FE">
        <w:rPr>
          <w:rFonts w:ascii="Gotham" w:hAnsi="Gotham" w:cs="Arial"/>
          <w:color w:val="000000" w:themeColor="text1"/>
          <w:sz w:val="20"/>
          <w:szCs w:val="20"/>
        </w:rPr>
        <w:t>Reglamentos, Puntos Constitucionales, Administración y Planeación Legislativa; y a la de Administración, Transparencia y Rendición de Cuentas</w:t>
      </w:r>
      <w:r w:rsidRPr="00AA54FE">
        <w:rPr>
          <w:rFonts w:ascii="Gotham" w:hAnsi="Gotham"/>
          <w:color w:val="000000" w:themeColor="text1"/>
          <w:sz w:val="20"/>
          <w:szCs w:val="20"/>
        </w:rPr>
        <w:t>; quienes estén por la afirmativa sírvase a manifestarlo levantando su mano;</w:t>
      </w:r>
      <w:r w:rsidRPr="00AA54FE">
        <w:rPr>
          <w:rFonts w:ascii="Gotham" w:hAnsi="Gotham" w:cs="Arial"/>
          <w:color w:val="000000" w:themeColor="text1"/>
          <w:sz w:val="20"/>
          <w:szCs w:val="20"/>
        </w:rPr>
        <w:t xml:space="preserve"> instruyendo a la Secretaria General para que contabilice los votos y nos informe del resultado.</w:t>
      </w:r>
    </w:p>
    <w:p w14:paraId="3A47351C" w14:textId="77777777" w:rsidR="00016FE1" w:rsidRPr="00AA54FE" w:rsidRDefault="00016FE1" w:rsidP="002B6227">
      <w:pPr>
        <w:jc w:val="both"/>
        <w:rPr>
          <w:rFonts w:ascii="Gotham" w:hAnsi="Gotham" w:cs="Arial"/>
          <w:color w:val="000000" w:themeColor="text1"/>
          <w:sz w:val="20"/>
          <w:szCs w:val="20"/>
        </w:rPr>
      </w:pPr>
    </w:p>
    <w:p w14:paraId="3A47351D" w14:textId="77777777" w:rsidR="00016FE1" w:rsidRPr="00AA54FE" w:rsidRDefault="00016FE1" w:rsidP="002B6227">
      <w:pPr>
        <w:jc w:val="both"/>
        <w:rPr>
          <w:rFonts w:ascii="Gotham" w:hAnsi="Gotham" w:cs="Arial"/>
          <w:color w:val="000000" w:themeColor="text1"/>
          <w:sz w:val="20"/>
          <w:szCs w:val="20"/>
        </w:rPr>
      </w:pPr>
      <w:r w:rsidRPr="00AA54FE">
        <w:rPr>
          <w:rFonts w:ascii="Gotham" w:hAnsi="Gotham" w:cs="Arial"/>
          <w:color w:val="000000" w:themeColor="text1"/>
          <w:sz w:val="20"/>
          <w:szCs w:val="20"/>
        </w:rPr>
        <w:t>En uso de la voz informativa la Secretaria General, Mtra. Celia Isabel Gauna Ruiz de León, como lo indica Presidente, le informo que se registraron un total de 17 votos a favor; encontrándose ausente en el momento de la votación, la Regidora Ana Priscila González García.</w:t>
      </w:r>
    </w:p>
    <w:p w14:paraId="3A47351E" w14:textId="77777777" w:rsidR="00016FE1" w:rsidRPr="00AA54FE" w:rsidRDefault="00016FE1" w:rsidP="002B6227">
      <w:pPr>
        <w:jc w:val="both"/>
        <w:rPr>
          <w:rFonts w:ascii="Gotham" w:hAnsi="Gotham" w:cs="Arial"/>
          <w:color w:val="000000" w:themeColor="text1"/>
          <w:sz w:val="20"/>
          <w:szCs w:val="20"/>
        </w:rPr>
      </w:pPr>
    </w:p>
    <w:p w14:paraId="3A47351F" w14:textId="77777777" w:rsidR="00016FE1" w:rsidRPr="00AA54FE" w:rsidRDefault="00016FE1" w:rsidP="002B6227">
      <w:pPr>
        <w:jc w:val="both"/>
        <w:rPr>
          <w:rFonts w:ascii="Gotham" w:hAnsi="Gotham"/>
          <w:color w:val="000000" w:themeColor="text1"/>
          <w:sz w:val="20"/>
          <w:szCs w:val="20"/>
        </w:rPr>
      </w:pPr>
      <w:r w:rsidRPr="00AA54FE">
        <w:rPr>
          <w:rFonts w:ascii="Gotham" w:hAnsi="Gotham" w:cs="Arial"/>
          <w:color w:val="000000" w:themeColor="text1"/>
          <w:sz w:val="20"/>
          <w:szCs w:val="20"/>
        </w:rPr>
        <w:t>En uso de la voz el Presidente Municipal, Sergio Armando Chávez Dávalos, expresa que, gracias Secretaria; queda aprobado.</w:t>
      </w:r>
    </w:p>
    <w:p w14:paraId="3A473520" w14:textId="77777777" w:rsidR="00016FE1" w:rsidRPr="00EF402F" w:rsidRDefault="00016FE1" w:rsidP="002B6227">
      <w:pPr>
        <w:tabs>
          <w:tab w:val="left" w:pos="-284"/>
        </w:tabs>
        <w:jc w:val="both"/>
        <w:rPr>
          <w:rFonts w:ascii="Gotham" w:hAnsi="Gotham"/>
          <w:sz w:val="20"/>
          <w:szCs w:val="20"/>
        </w:rPr>
      </w:pPr>
    </w:p>
    <w:p w14:paraId="3A473521" w14:textId="77777777" w:rsidR="00016FE1" w:rsidRPr="000F7447" w:rsidRDefault="00016FE1" w:rsidP="002B6227">
      <w:pPr>
        <w:tabs>
          <w:tab w:val="left" w:pos="-284"/>
        </w:tabs>
        <w:jc w:val="both"/>
        <w:rPr>
          <w:rFonts w:ascii="Gotham" w:hAnsi="Gotham"/>
          <w:sz w:val="20"/>
          <w:szCs w:val="20"/>
        </w:rPr>
      </w:pPr>
    </w:p>
    <w:p w14:paraId="3A473522"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1119</w:t>
      </w:r>
    </w:p>
    <w:p w14:paraId="3A473523" w14:textId="77777777" w:rsidR="00016FE1" w:rsidRPr="009A6B16" w:rsidRDefault="00016FE1" w:rsidP="002B6227">
      <w:pPr>
        <w:jc w:val="both"/>
        <w:rPr>
          <w:rFonts w:ascii="Gotham" w:hAnsi="Gotham"/>
          <w:sz w:val="20"/>
          <w:szCs w:val="20"/>
        </w:rPr>
      </w:pPr>
      <w:r w:rsidRPr="000F7447">
        <w:rPr>
          <w:rFonts w:ascii="Gotham" w:hAnsi="Gotham"/>
          <w:b/>
          <w:bCs/>
          <w:smallCaps/>
          <w:sz w:val="20"/>
          <w:szCs w:val="20"/>
        </w:rPr>
        <w:t>Séptima Iniciativa con Turno a Comisión</w:t>
      </w:r>
      <w:r w:rsidRPr="000F7447">
        <w:rPr>
          <w:rFonts w:ascii="Gotham" w:hAnsi="Gotham"/>
          <w:b/>
          <w:bCs/>
          <w:sz w:val="20"/>
          <w:szCs w:val="20"/>
        </w:rPr>
        <w:t xml:space="preserve">.- </w:t>
      </w:r>
      <w:r>
        <w:rPr>
          <w:rFonts w:ascii="Gotham" w:hAnsi="Gotham"/>
          <w:sz w:val="20"/>
          <w:szCs w:val="20"/>
        </w:rPr>
        <w:t xml:space="preserve">En uso de la voz la Regidora Celia Guadalupe Serrano Villagómez, </w:t>
      </w:r>
      <w:r w:rsidRPr="000F7447">
        <w:rPr>
          <w:rFonts w:ascii="Gotham" w:hAnsi="Gotham"/>
          <w:sz w:val="20"/>
          <w:szCs w:val="20"/>
        </w:rPr>
        <w:t xml:space="preserve">manifiesta que, </w:t>
      </w:r>
      <w:r>
        <w:rPr>
          <w:rFonts w:ascii="Gotham" w:hAnsi="Gotham"/>
          <w:sz w:val="20"/>
          <w:szCs w:val="20"/>
        </w:rPr>
        <w:t>l</w:t>
      </w:r>
      <w:r w:rsidRPr="009A6B16">
        <w:rPr>
          <w:rFonts w:ascii="Gotham" w:hAnsi="Gotham"/>
          <w:sz w:val="20"/>
          <w:szCs w:val="20"/>
        </w:rPr>
        <w:t xml:space="preserve">a que suscribe Licenciada Celia Guadalupe Serrano Villagómez, en mi carácter de Presidenta de la Comisión de Hacienda Municipal y Presupuestos, en uso de las facultades que me confieren los artículos 115 de la Constitución Política de los Estados Unidos Mexicanos, 73, 77, 86 y demás relativos y aplicables de la Constitución Política del Estado de Jalisco, así como el artículo 50 de la Ley del Gobierno y la Administración Pública Municipal del Estado de Jalisco y demás reglamentación municipal aplicable, someto a consideración de esta Asamblea, la presente INICIATIVA CON TURNO A COMISIÓN que propone se estudie y lleve a cabo el Proyecto de Ley de Ingresos para el Ejercicio Fiscal de 2025 y Proyecto de Tablas de Valores para el Municipio de Tonalá, Jalisco, </w:t>
      </w:r>
      <w:r w:rsidRPr="009A6B16">
        <w:rPr>
          <w:rFonts w:ascii="Gotham" w:hAnsi="Gotham"/>
          <w:sz w:val="20"/>
          <w:szCs w:val="20"/>
        </w:rPr>
        <w:lastRenderedPageBreak/>
        <w:t>correspondiente al Ejercicio Fiscal de 2025, y sea remitido al Honorable Poder Legislativo del Estado de Jalisco, de conformidad con la siguiente:</w:t>
      </w:r>
    </w:p>
    <w:p w14:paraId="3A473524" w14:textId="77777777" w:rsidR="00016FE1" w:rsidRPr="009A6B16" w:rsidRDefault="00016FE1" w:rsidP="002B6227">
      <w:pPr>
        <w:jc w:val="both"/>
        <w:rPr>
          <w:rFonts w:ascii="Gotham" w:hAnsi="Gotham"/>
          <w:sz w:val="20"/>
          <w:szCs w:val="20"/>
        </w:rPr>
      </w:pPr>
    </w:p>
    <w:p w14:paraId="3A473525" w14:textId="77777777" w:rsidR="00016FE1" w:rsidRPr="009A6B16" w:rsidRDefault="00016FE1" w:rsidP="002B6227">
      <w:pPr>
        <w:jc w:val="center"/>
        <w:rPr>
          <w:rFonts w:ascii="Gotham" w:hAnsi="Gotham"/>
          <w:sz w:val="20"/>
          <w:szCs w:val="20"/>
        </w:rPr>
      </w:pPr>
      <w:r w:rsidRPr="009A6B16">
        <w:rPr>
          <w:rFonts w:ascii="Gotham" w:hAnsi="Gotham"/>
          <w:sz w:val="20"/>
          <w:szCs w:val="20"/>
        </w:rPr>
        <w:t>EXPOSICIÓN DE MOTIVOS</w:t>
      </w:r>
    </w:p>
    <w:p w14:paraId="3A473526" w14:textId="77777777" w:rsidR="00016FE1" w:rsidRPr="009A6B16" w:rsidRDefault="00016FE1" w:rsidP="002B6227">
      <w:pPr>
        <w:jc w:val="both"/>
        <w:rPr>
          <w:rFonts w:ascii="Gotham" w:hAnsi="Gotham"/>
          <w:sz w:val="20"/>
          <w:szCs w:val="20"/>
        </w:rPr>
      </w:pPr>
    </w:p>
    <w:p w14:paraId="3A473527" w14:textId="77777777" w:rsidR="00016FE1" w:rsidRPr="009A6B16" w:rsidRDefault="00016FE1" w:rsidP="002B6227">
      <w:pPr>
        <w:ind w:left="567" w:hanging="567"/>
        <w:jc w:val="both"/>
        <w:rPr>
          <w:rFonts w:ascii="Gotham" w:hAnsi="Gotham"/>
          <w:sz w:val="20"/>
          <w:szCs w:val="20"/>
        </w:rPr>
      </w:pPr>
      <w:r w:rsidRPr="009A6B16">
        <w:rPr>
          <w:rFonts w:ascii="Gotham" w:hAnsi="Gotham"/>
          <w:sz w:val="20"/>
          <w:szCs w:val="20"/>
        </w:rPr>
        <w:t xml:space="preserve">1.- </w:t>
      </w:r>
      <w:r w:rsidR="007A13DA">
        <w:rPr>
          <w:rFonts w:ascii="Gotham" w:hAnsi="Gotham"/>
          <w:sz w:val="20"/>
          <w:szCs w:val="20"/>
        </w:rPr>
        <w:tab/>
      </w:r>
      <w:r w:rsidRPr="009A6B16">
        <w:rPr>
          <w:rFonts w:ascii="Gotham" w:hAnsi="Gotham"/>
          <w:sz w:val="20"/>
          <w:szCs w:val="20"/>
        </w:rPr>
        <w:t>Uno de los problemas principales que enfrentan los municipios es la falta de recursos para realizar proyectos y programas que impulsen el desarrollo del mismo, y que se llevan a cabo, bajo la directriz del Plan Municipal de Desarrollo, dicho plan contempla un diagnóstico y acciones que responden</w:t>
      </w:r>
      <w:r w:rsidR="008402EC">
        <w:rPr>
          <w:rFonts w:ascii="Gotham" w:hAnsi="Gotham"/>
          <w:sz w:val="20"/>
          <w:szCs w:val="20"/>
        </w:rPr>
        <w:t xml:space="preserve"> </w:t>
      </w:r>
      <w:r w:rsidRPr="009A6B16">
        <w:rPr>
          <w:rFonts w:ascii="Gotham" w:hAnsi="Gotham"/>
          <w:sz w:val="20"/>
          <w:szCs w:val="20"/>
        </w:rPr>
        <w:t xml:space="preserve">a las necesidades que se identifican en las comunidades; un ejemplo de ello es la falta de infraestructura para la prestación de servicios básicos (luz, agua, drenaje, etc.), el mantenimiento de caminos o la falta de infraestructura de comunicación a las poblaciones más retiradas de la cabecera municipal, o los espacios de esparcimiento familiar que necesitan los ciudadanos para generar un ambiente de convivencia sana. </w:t>
      </w:r>
    </w:p>
    <w:p w14:paraId="3A473528" w14:textId="77777777" w:rsidR="00016FE1" w:rsidRPr="009A6B16" w:rsidRDefault="00016FE1" w:rsidP="002B6227">
      <w:pPr>
        <w:ind w:left="567" w:hanging="567"/>
        <w:jc w:val="both"/>
        <w:rPr>
          <w:rFonts w:ascii="Gotham" w:hAnsi="Gotham"/>
          <w:sz w:val="20"/>
          <w:szCs w:val="20"/>
        </w:rPr>
      </w:pPr>
    </w:p>
    <w:p w14:paraId="3A473529" w14:textId="77777777" w:rsidR="00016FE1" w:rsidRPr="009A6B16" w:rsidRDefault="00016FE1" w:rsidP="002B6227">
      <w:pPr>
        <w:ind w:left="567"/>
        <w:jc w:val="both"/>
        <w:rPr>
          <w:rFonts w:ascii="Gotham" w:hAnsi="Gotham"/>
          <w:sz w:val="20"/>
          <w:szCs w:val="20"/>
        </w:rPr>
      </w:pPr>
      <w:r w:rsidRPr="009A6B16">
        <w:rPr>
          <w:rFonts w:ascii="Gotham" w:hAnsi="Gotham"/>
          <w:sz w:val="20"/>
          <w:szCs w:val="20"/>
        </w:rPr>
        <w:t xml:space="preserve">En ese sentido, la facultad que le otorga al municipio el artículo 115, fracción IV, de la Constitución Política de los Estados Unidos Mexicanos, le permite hacerse allegar de recursos propios, que define a través de cuotas, tarifas y tasas aplicables a impuestos, derechos y contribuciones de mejoras que proponga a la legislatura estatal en su iniciativa de Ley de Ingresos Municipal. </w:t>
      </w:r>
    </w:p>
    <w:p w14:paraId="3A47352A" w14:textId="77777777" w:rsidR="00016FE1" w:rsidRPr="009A6B16" w:rsidRDefault="00016FE1" w:rsidP="002B6227">
      <w:pPr>
        <w:ind w:left="567" w:hanging="567"/>
        <w:jc w:val="both"/>
        <w:rPr>
          <w:rFonts w:ascii="Gotham" w:hAnsi="Gotham"/>
          <w:sz w:val="20"/>
          <w:szCs w:val="20"/>
        </w:rPr>
      </w:pPr>
    </w:p>
    <w:p w14:paraId="3A47352B" w14:textId="77777777" w:rsidR="00016FE1" w:rsidRPr="009A6B16" w:rsidRDefault="00016FE1" w:rsidP="002B6227">
      <w:pPr>
        <w:ind w:left="567"/>
        <w:jc w:val="both"/>
        <w:rPr>
          <w:rFonts w:ascii="Gotham" w:hAnsi="Gotham"/>
          <w:sz w:val="20"/>
          <w:szCs w:val="20"/>
        </w:rPr>
      </w:pPr>
      <w:r w:rsidRPr="009A6B16">
        <w:rPr>
          <w:rFonts w:ascii="Gotham" w:hAnsi="Gotham"/>
          <w:sz w:val="20"/>
          <w:szCs w:val="20"/>
        </w:rPr>
        <w:t xml:space="preserve">Por ello, el Ayuntamiento de Tonalá, Jalisco, propone en la presente Iniciativa de Ley de Ingresos un incremento general del 5% a las cuotas y tarifas de los rubros de derechos, productos, contribuciones especiales y aprovechamientos, conforme a los indicadores financieros que se visualizan en el 2025 y conforme a las tendencias económicas previstas por organismos de análisis macro económico, considerando que esto permitirá la actualización de las cuotas y tarifas, a fin de establecer un equilibrio entre los servicios que se otorgan y el costo que representa otorgarlos, sin que se vea afectada la capacidad adquisitiva del municipio para obtener los bienes y servicios que se requieren para solventar las crecientes necesidades de la población en cuanto a obras, servicios, infraestructura, programa sociales y de innovación de la Administración Pública Municipal. </w:t>
      </w:r>
    </w:p>
    <w:p w14:paraId="3A47352C" w14:textId="77777777" w:rsidR="00016FE1" w:rsidRPr="009A6B16" w:rsidRDefault="00016FE1" w:rsidP="002B6227">
      <w:pPr>
        <w:ind w:left="567" w:hanging="567"/>
        <w:jc w:val="both"/>
        <w:rPr>
          <w:rFonts w:ascii="Gotham" w:hAnsi="Gotham"/>
          <w:sz w:val="20"/>
          <w:szCs w:val="20"/>
        </w:rPr>
      </w:pPr>
    </w:p>
    <w:p w14:paraId="3A47352D" w14:textId="77777777" w:rsidR="00016FE1" w:rsidRPr="009A6B16" w:rsidRDefault="00016FE1" w:rsidP="002B6227">
      <w:pPr>
        <w:ind w:left="567"/>
        <w:jc w:val="both"/>
        <w:rPr>
          <w:rFonts w:ascii="Gotham" w:hAnsi="Gotham"/>
          <w:sz w:val="20"/>
          <w:szCs w:val="20"/>
        </w:rPr>
      </w:pPr>
      <w:r w:rsidRPr="009A6B16">
        <w:rPr>
          <w:rFonts w:ascii="Gotham" w:hAnsi="Gotham"/>
          <w:sz w:val="20"/>
          <w:szCs w:val="20"/>
        </w:rPr>
        <w:t xml:space="preserve">El incremento general, junto con las particularidades que aquí se proponen, permitirá fortalecer las finanzas públicas del municipio, con el menor impacto en la economía de los contribuyentes, considerando que realizar incrementos desmedidos a las cuotas y tarifas de las diversas contribuciones, pudiera generar cuentas incobrables o generar la imposibilidad de pago por parte de los usuarios. </w:t>
      </w:r>
    </w:p>
    <w:p w14:paraId="3A47352E" w14:textId="77777777" w:rsidR="00016FE1" w:rsidRPr="009A6B16" w:rsidRDefault="00016FE1" w:rsidP="002B6227">
      <w:pPr>
        <w:ind w:left="567" w:hanging="567"/>
        <w:jc w:val="both"/>
        <w:rPr>
          <w:rFonts w:ascii="Gotham" w:hAnsi="Gotham"/>
          <w:sz w:val="20"/>
          <w:szCs w:val="20"/>
        </w:rPr>
      </w:pPr>
    </w:p>
    <w:p w14:paraId="3A47352F" w14:textId="77777777" w:rsidR="00016FE1" w:rsidRPr="009A6B16" w:rsidRDefault="00016FE1" w:rsidP="002B6227">
      <w:pPr>
        <w:ind w:left="567" w:hanging="567"/>
        <w:jc w:val="both"/>
        <w:rPr>
          <w:rFonts w:ascii="Gotham" w:hAnsi="Gotham"/>
          <w:sz w:val="20"/>
          <w:szCs w:val="20"/>
        </w:rPr>
      </w:pPr>
      <w:r w:rsidRPr="009A6B16">
        <w:rPr>
          <w:rFonts w:ascii="Gotham" w:hAnsi="Gotham"/>
          <w:sz w:val="20"/>
          <w:szCs w:val="20"/>
        </w:rPr>
        <w:t xml:space="preserve">2.- </w:t>
      </w:r>
      <w:r w:rsidR="007A13DA">
        <w:rPr>
          <w:rFonts w:ascii="Gotham" w:hAnsi="Gotham"/>
          <w:sz w:val="20"/>
          <w:szCs w:val="20"/>
        </w:rPr>
        <w:tab/>
      </w:r>
      <w:r w:rsidRPr="009A6B16">
        <w:rPr>
          <w:rFonts w:ascii="Gotham" w:hAnsi="Gotham"/>
          <w:sz w:val="20"/>
          <w:szCs w:val="20"/>
        </w:rPr>
        <w:t>Que mediante oficio número HM/1076/2024 el Tesorero Municipal el Mtro. Iván Antonio Peña Rocha, solicita al Presidente Municipal P.A.S. Sergio Armando Chávez Dávalos, sea puesta a consideración en la próxima sesión del pleno del Ayuntamiento, proyecto de la Ley de Ingresos para el ejercicio fiscal 2025, así como tablas de valores de precios unitarios de suelo y construcción, para que este sea turnado a la comisión de Hacienda Municipal y Presupuestos del municipio, en los siguientes términos:</w:t>
      </w:r>
    </w:p>
    <w:p w14:paraId="3A473530" w14:textId="77777777" w:rsidR="00016FE1" w:rsidRPr="009A6B16" w:rsidRDefault="00016FE1" w:rsidP="002B6227">
      <w:pPr>
        <w:jc w:val="both"/>
        <w:rPr>
          <w:rFonts w:ascii="Gotham" w:hAnsi="Gotham"/>
          <w:sz w:val="20"/>
          <w:szCs w:val="20"/>
        </w:rPr>
      </w:pPr>
    </w:p>
    <w:p w14:paraId="3A473531" w14:textId="77777777" w:rsidR="00016FE1" w:rsidRPr="009A6B16" w:rsidRDefault="00016FE1" w:rsidP="002B6227">
      <w:pPr>
        <w:spacing w:after="120"/>
        <w:ind w:left="851" w:right="283"/>
        <w:jc w:val="both"/>
        <w:rPr>
          <w:rFonts w:ascii="Gotham" w:hAnsi="Gotham"/>
          <w:i/>
          <w:iCs/>
          <w:sz w:val="19"/>
          <w:szCs w:val="19"/>
        </w:rPr>
      </w:pPr>
      <w:r w:rsidRPr="009A6B16">
        <w:rPr>
          <w:rFonts w:ascii="Gotham" w:hAnsi="Gotham"/>
          <w:i/>
          <w:iCs/>
          <w:sz w:val="19"/>
          <w:szCs w:val="19"/>
        </w:rPr>
        <w:t>“…</w:t>
      </w:r>
    </w:p>
    <w:p w14:paraId="3A473532" w14:textId="77777777" w:rsidR="00016FE1" w:rsidRPr="009A6B16" w:rsidRDefault="00016FE1" w:rsidP="002B6227">
      <w:pPr>
        <w:ind w:left="851" w:right="283"/>
        <w:jc w:val="both"/>
        <w:rPr>
          <w:rFonts w:ascii="Gotham" w:hAnsi="Gotham"/>
          <w:i/>
          <w:iCs/>
          <w:sz w:val="19"/>
          <w:szCs w:val="19"/>
        </w:rPr>
      </w:pPr>
      <w:r w:rsidRPr="009A6B16">
        <w:rPr>
          <w:rFonts w:ascii="Gotham" w:hAnsi="Gotham"/>
          <w:i/>
          <w:iCs/>
          <w:sz w:val="19"/>
          <w:szCs w:val="19"/>
        </w:rPr>
        <w:t>Por medio de la presente le envió un cordial saludo, ocasión que aprovecho para solicitar a usted sea puesta a consideración en la próxima sesión del pleno del ayuntamiento, proyecto de la ley de ingresos para el ejercicio fiscal 2025, para que este sea turnado a la comisión de Hacienda Municipal y Presupuestos del municipio.</w:t>
      </w:r>
    </w:p>
    <w:p w14:paraId="3A473533" w14:textId="77777777" w:rsidR="00016FE1" w:rsidRPr="009A6B16" w:rsidRDefault="00016FE1" w:rsidP="002B6227">
      <w:pPr>
        <w:ind w:left="851" w:right="283"/>
        <w:jc w:val="both"/>
        <w:rPr>
          <w:rFonts w:ascii="Gotham" w:hAnsi="Gotham"/>
          <w:i/>
          <w:iCs/>
          <w:sz w:val="19"/>
          <w:szCs w:val="19"/>
        </w:rPr>
      </w:pPr>
    </w:p>
    <w:p w14:paraId="3A473534" w14:textId="77777777" w:rsidR="00016FE1" w:rsidRPr="009A6B16" w:rsidRDefault="00016FE1" w:rsidP="002B6227">
      <w:pPr>
        <w:ind w:left="851" w:right="283"/>
        <w:jc w:val="both"/>
        <w:rPr>
          <w:rFonts w:ascii="Gotham" w:hAnsi="Gotham"/>
          <w:i/>
          <w:iCs/>
          <w:sz w:val="19"/>
          <w:szCs w:val="19"/>
        </w:rPr>
      </w:pPr>
      <w:r w:rsidRPr="009A6B16">
        <w:rPr>
          <w:rFonts w:ascii="Gotham" w:hAnsi="Gotham"/>
          <w:i/>
          <w:iCs/>
          <w:sz w:val="19"/>
          <w:szCs w:val="19"/>
        </w:rPr>
        <w:t xml:space="preserve">Lo anterior para su análisis y dictaminación por parte de la comisión edilicia encargada de revisar y analizar temas correspondientes a la determinación de cuotas y tarifas aplicables para el cobro de los bienes y servicios que otorga el municipio a la población, de esta forma estar en </w:t>
      </w:r>
      <w:r w:rsidRPr="009A6B16">
        <w:rPr>
          <w:rFonts w:ascii="Gotham" w:hAnsi="Gotham"/>
          <w:i/>
          <w:iCs/>
          <w:sz w:val="19"/>
          <w:szCs w:val="19"/>
        </w:rPr>
        <w:lastRenderedPageBreak/>
        <w:t>posibilidades de enviar la propuesta al Congreso del Estado para su aprobación y publicación correspondiente.</w:t>
      </w:r>
    </w:p>
    <w:p w14:paraId="3A473535" w14:textId="77777777" w:rsidR="00016FE1" w:rsidRPr="009A6B16" w:rsidRDefault="00016FE1" w:rsidP="002B6227">
      <w:pPr>
        <w:ind w:left="851" w:right="283"/>
        <w:jc w:val="both"/>
        <w:rPr>
          <w:rFonts w:ascii="Gotham" w:hAnsi="Gotham"/>
          <w:i/>
          <w:iCs/>
          <w:sz w:val="19"/>
          <w:szCs w:val="19"/>
        </w:rPr>
      </w:pPr>
    </w:p>
    <w:p w14:paraId="3A473536" w14:textId="77777777" w:rsidR="00016FE1" w:rsidRPr="009A6B16" w:rsidRDefault="00016FE1" w:rsidP="002B6227">
      <w:pPr>
        <w:ind w:left="851" w:right="283"/>
        <w:jc w:val="both"/>
        <w:rPr>
          <w:rFonts w:ascii="Gotham" w:hAnsi="Gotham"/>
          <w:i/>
          <w:iCs/>
          <w:sz w:val="19"/>
          <w:szCs w:val="19"/>
        </w:rPr>
      </w:pPr>
      <w:r w:rsidRPr="009A6B16">
        <w:rPr>
          <w:rFonts w:ascii="Gotham" w:hAnsi="Gotham"/>
          <w:i/>
          <w:iCs/>
          <w:sz w:val="19"/>
          <w:szCs w:val="19"/>
        </w:rPr>
        <w:t xml:space="preserve">Con esto atender lo establecido en la fracción IV del artículo 115 de la Constitución Política de los Estados Unidos Mexicanos y del artículo 89 de la Constitución Política del Estado de Jalisco. </w:t>
      </w:r>
    </w:p>
    <w:p w14:paraId="3A473537" w14:textId="77777777" w:rsidR="00016FE1" w:rsidRPr="009A6B16" w:rsidRDefault="00016FE1" w:rsidP="002B6227">
      <w:pPr>
        <w:ind w:left="851" w:right="283"/>
        <w:jc w:val="both"/>
        <w:rPr>
          <w:rFonts w:ascii="Gotham" w:hAnsi="Gotham"/>
          <w:i/>
          <w:iCs/>
          <w:sz w:val="19"/>
          <w:szCs w:val="19"/>
        </w:rPr>
      </w:pPr>
    </w:p>
    <w:p w14:paraId="3A473538" w14:textId="77777777" w:rsidR="00016FE1" w:rsidRPr="009A6B16" w:rsidRDefault="00016FE1" w:rsidP="002B6227">
      <w:pPr>
        <w:ind w:left="851" w:right="283"/>
        <w:jc w:val="both"/>
        <w:rPr>
          <w:rFonts w:ascii="Gotham" w:hAnsi="Gotham"/>
          <w:i/>
          <w:iCs/>
          <w:sz w:val="19"/>
          <w:szCs w:val="19"/>
        </w:rPr>
      </w:pPr>
      <w:r w:rsidRPr="009A6B16">
        <w:rPr>
          <w:rFonts w:ascii="Gotham" w:hAnsi="Gotham"/>
          <w:i/>
          <w:iCs/>
          <w:sz w:val="19"/>
          <w:szCs w:val="19"/>
        </w:rPr>
        <w:t>Sin más por el momento y en espera que dicho análisis sirva para la determinación de la iniciativa presentada, me despido de usted con un cordial saludo”.</w:t>
      </w:r>
    </w:p>
    <w:p w14:paraId="3A473539" w14:textId="77777777" w:rsidR="00016FE1" w:rsidRPr="009A6B16" w:rsidRDefault="00016FE1" w:rsidP="002B6227">
      <w:pPr>
        <w:jc w:val="both"/>
        <w:rPr>
          <w:rFonts w:ascii="Gotham" w:hAnsi="Gotham"/>
          <w:sz w:val="20"/>
          <w:szCs w:val="20"/>
        </w:rPr>
      </w:pPr>
    </w:p>
    <w:p w14:paraId="3A47353A" w14:textId="77777777" w:rsidR="00016FE1" w:rsidRPr="009A6B16" w:rsidRDefault="00016FE1" w:rsidP="002B6227">
      <w:pPr>
        <w:jc w:val="both"/>
        <w:rPr>
          <w:rFonts w:ascii="Gotham" w:hAnsi="Gotham"/>
          <w:sz w:val="20"/>
          <w:szCs w:val="20"/>
        </w:rPr>
      </w:pPr>
      <w:r w:rsidRPr="009A6B16">
        <w:rPr>
          <w:rFonts w:ascii="Gotham" w:hAnsi="Gotham"/>
          <w:sz w:val="20"/>
          <w:szCs w:val="20"/>
        </w:rPr>
        <w:t>Lo anterior con fundamento en la legislación siguiente:</w:t>
      </w:r>
    </w:p>
    <w:p w14:paraId="3A47353B" w14:textId="77777777" w:rsidR="00016FE1" w:rsidRPr="009A6B16" w:rsidRDefault="00016FE1" w:rsidP="002B6227">
      <w:pPr>
        <w:jc w:val="both"/>
        <w:rPr>
          <w:rFonts w:ascii="Gotham" w:hAnsi="Gotham"/>
          <w:sz w:val="20"/>
          <w:szCs w:val="20"/>
        </w:rPr>
      </w:pPr>
    </w:p>
    <w:p w14:paraId="3A47353C" w14:textId="77777777" w:rsidR="00016FE1" w:rsidRPr="009A6B16" w:rsidRDefault="00016FE1" w:rsidP="002B6227">
      <w:pPr>
        <w:jc w:val="both"/>
        <w:rPr>
          <w:rFonts w:ascii="Gotham" w:hAnsi="Gotham"/>
          <w:sz w:val="20"/>
          <w:szCs w:val="20"/>
        </w:rPr>
      </w:pPr>
      <w:r w:rsidRPr="009A6B16">
        <w:rPr>
          <w:rFonts w:ascii="Gotham" w:hAnsi="Gotham"/>
          <w:sz w:val="20"/>
          <w:szCs w:val="20"/>
        </w:rPr>
        <w:t>La Ley Del Gobierno y la Administración Pública Municipal del Estado de Jalisco, en su Artículo 37 establece las obligaciones de los Ayuntamientos, entre ellas la siguiente:</w:t>
      </w:r>
    </w:p>
    <w:p w14:paraId="3A47353D" w14:textId="77777777" w:rsidR="00016FE1" w:rsidRPr="009A6B16" w:rsidRDefault="00016FE1" w:rsidP="002B6227">
      <w:pPr>
        <w:jc w:val="both"/>
        <w:rPr>
          <w:rFonts w:ascii="Gotham" w:hAnsi="Gotham"/>
          <w:sz w:val="20"/>
          <w:szCs w:val="20"/>
        </w:rPr>
      </w:pPr>
    </w:p>
    <w:p w14:paraId="3A47353E" w14:textId="77777777" w:rsidR="00016FE1" w:rsidRPr="009A6B16" w:rsidRDefault="00016FE1" w:rsidP="002B6227">
      <w:pPr>
        <w:ind w:left="709" w:right="283" w:hanging="425"/>
        <w:jc w:val="both"/>
        <w:rPr>
          <w:rFonts w:ascii="Gotham" w:hAnsi="Gotham"/>
          <w:i/>
          <w:iCs/>
          <w:sz w:val="19"/>
          <w:szCs w:val="19"/>
        </w:rPr>
      </w:pPr>
      <w:r w:rsidRPr="009A6B16">
        <w:rPr>
          <w:rFonts w:ascii="Gotham" w:hAnsi="Gotham"/>
          <w:i/>
          <w:iCs/>
          <w:sz w:val="19"/>
          <w:szCs w:val="19"/>
        </w:rPr>
        <w:t xml:space="preserve">I. </w:t>
      </w:r>
      <w:r w:rsidR="002B6227">
        <w:rPr>
          <w:rFonts w:ascii="Gotham" w:hAnsi="Gotham"/>
          <w:i/>
          <w:iCs/>
          <w:sz w:val="19"/>
          <w:szCs w:val="19"/>
        </w:rPr>
        <w:tab/>
      </w:r>
      <w:r w:rsidRPr="009A6B16">
        <w:rPr>
          <w:rFonts w:ascii="Gotham" w:hAnsi="Gotham"/>
          <w:i/>
          <w:iCs/>
          <w:sz w:val="19"/>
          <w:szCs w:val="19"/>
        </w:rPr>
        <w:t>Presentar al Congreso del Estado las iniciativas de sus leyes de ingresos a más tardar el día 31 de agosto de cada año; en caso de no hacerlo, se tomarán como iniciativas las leyes que hubiesen regido durante el año fiscal inmediato anterior. Los ayuntamientos pueden solicitar al Congreso del Estado las ampliaciones que a su juicio ameriten sus leyes de ingresos ya aprobadas.</w:t>
      </w:r>
    </w:p>
    <w:p w14:paraId="3A47353F" w14:textId="77777777" w:rsidR="00016FE1" w:rsidRPr="009A6B16" w:rsidRDefault="00016FE1" w:rsidP="002B6227">
      <w:pPr>
        <w:jc w:val="both"/>
        <w:rPr>
          <w:rFonts w:ascii="Gotham" w:hAnsi="Gotham"/>
          <w:sz w:val="20"/>
          <w:szCs w:val="20"/>
        </w:rPr>
      </w:pPr>
    </w:p>
    <w:p w14:paraId="3A473540" w14:textId="77777777" w:rsidR="00016FE1" w:rsidRPr="009A6B16" w:rsidRDefault="00016FE1" w:rsidP="002B6227">
      <w:pPr>
        <w:jc w:val="both"/>
        <w:rPr>
          <w:rFonts w:ascii="Gotham" w:hAnsi="Gotham"/>
          <w:sz w:val="20"/>
          <w:szCs w:val="20"/>
        </w:rPr>
      </w:pPr>
      <w:r w:rsidRPr="009A6B16">
        <w:rPr>
          <w:rFonts w:ascii="Gotham" w:hAnsi="Gotham"/>
          <w:sz w:val="20"/>
          <w:szCs w:val="20"/>
        </w:rPr>
        <w:t>De igual forma, este mismo cuerpo normativo nos dice en su artículo 79, que tanto las leyes de ingresos como sus presupuestos, deben ser congruentes con los criterios generales de política económica y contemplar en el caso de la Ley de Ingresos entre otros aspectos, lo siguiente:</w:t>
      </w:r>
    </w:p>
    <w:p w14:paraId="3A473541" w14:textId="77777777" w:rsidR="00016FE1" w:rsidRPr="009A6B16" w:rsidRDefault="00016FE1" w:rsidP="002B6227">
      <w:pPr>
        <w:jc w:val="both"/>
        <w:rPr>
          <w:rFonts w:ascii="Gotham" w:hAnsi="Gotham"/>
          <w:sz w:val="20"/>
          <w:szCs w:val="20"/>
        </w:rPr>
      </w:pPr>
    </w:p>
    <w:p w14:paraId="3A473542" w14:textId="77777777" w:rsidR="00016FE1" w:rsidRPr="002B6227" w:rsidRDefault="00016FE1" w:rsidP="002B6227">
      <w:pPr>
        <w:spacing w:after="120"/>
        <w:ind w:left="284" w:right="283"/>
        <w:jc w:val="both"/>
        <w:rPr>
          <w:rFonts w:ascii="Gotham" w:hAnsi="Gotham"/>
          <w:i/>
          <w:iCs/>
          <w:sz w:val="19"/>
          <w:szCs w:val="19"/>
        </w:rPr>
      </w:pPr>
      <w:r w:rsidRPr="002B6227">
        <w:rPr>
          <w:rFonts w:ascii="Gotham" w:hAnsi="Gotham"/>
          <w:i/>
          <w:iCs/>
          <w:sz w:val="19"/>
          <w:szCs w:val="19"/>
        </w:rPr>
        <w:t>Artículo 79. El Congreso del Estado debe aprobar las leyes de ingresos de los municipios sujetándose a las disposiciones y requisitos establecidos en la Ley de Disciplina Financiera de las Entidades Federativas y los Municipios. Los presupuestos de egresos deben ser aprobados por los Ayuntamientos, con base en sus ingresos disponibles, de conformidad con la Ley de Hacienda Municipal del Estado de Jalisco y los criterios generales de política económica.</w:t>
      </w:r>
    </w:p>
    <w:p w14:paraId="3A473543" w14:textId="77777777" w:rsidR="00016FE1" w:rsidRPr="002B6227" w:rsidRDefault="00016FE1" w:rsidP="002B6227">
      <w:pPr>
        <w:spacing w:after="120"/>
        <w:ind w:left="284" w:right="283"/>
        <w:jc w:val="both"/>
        <w:rPr>
          <w:rFonts w:ascii="Gotham" w:hAnsi="Gotham"/>
          <w:i/>
          <w:iCs/>
          <w:sz w:val="19"/>
          <w:szCs w:val="19"/>
        </w:rPr>
      </w:pPr>
      <w:r w:rsidRPr="002B6227">
        <w:rPr>
          <w:rFonts w:ascii="Gotham" w:hAnsi="Gotham"/>
          <w:i/>
          <w:iCs/>
          <w:sz w:val="19"/>
          <w:szCs w:val="19"/>
        </w:rPr>
        <w:t>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w:t>
      </w:r>
    </w:p>
    <w:p w14:paraId="3A473544" w14:textId="77777777" w:rsidR="00016FE1" w:rsidRPr="002B6227" w:rsidRDefault="00016FE1" w:rsidP="002B6227">
      <w:pPr>
        <w:spacing w:after="120"/>
        <w:ind w:left="284" w:right="283"/>
        <w:jc w:val="both"/>
        <w:rPr>
          <w:rFonts w:ascii="Gotham" w:hAnsi="Gotham"/>
          <w:i/>
          <w:iCs/>
          <w:sz w:val="19"/>
          <w:szCs w:val="19"/>
        </w:rPr>
      </w:pPr>
      <w:r w:rsidRPr="002B6227">
        <w:rPr>
          <w:rFonts w:ascii="Gotham" w:hAnsi="Gotham"/>
          <w:i/>
          <w:iCs/>
          <w:sz w:val="19"/>
          <w:szCs w:val="19"/>
        </w:rPr>
        <w:t>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3A473545" w14:textId="77777777" w:rsidR="00016FE1" w:rsidRPr="002B6227" w:rsidRDefault="00016FE1" w:rsidP="002B6227">
      <w:pPr>
        <w:spacing w:after="120"/>
        <w:ind w:left="284" w:right="283"/>
        <w:jc w:val="both"/>
        <w:rPr>
          <w:rFonts w:ascii="Gotham" w:hAnsi="Gotham"/>
          <w:i/>
          <w:iCs/>
          <w:sz w:val="19"/>
          <w:szCs w:val="19"/>
        </w:rPr>
      </w:pPr>
      <w:r w:rsidRPr="002B6227">
        <w:rPr>
          <w:rFonts w:ascii="Gotham" w:hAnsi="Gotham"/>
          <w:i/>
          <w:iCs/>
          <w:sz w:val="19"/>
          <w:szCs w:val="19"/>
        </w:rPr>
        <w:t xml:space="preserve">Adicionalmente, la iniciativa de leyes de ingresos </w:t>
      </w:r>
      <w:proofErr w:type="gramStart"/>
      <w:r w:rsidRPr="002B6227">
        <w:rPr>
          <w:rFonts w:ascii="Gotham" w:hAnsi="Gotham"/>
          <w:i/>
          <w:iCs/>
          <w:sz w:val="19"/>
          <w:szCs w:val="19"/>
        </w:rPr>
        <w:t>deberán</w:t>
      </w:r>
      <w:proofErr w:type="gramEnd"/>
      <w:r w:rsidRPr="002B6227">
        <w:rPr>
          <w:rFonts w:ascii="Gotham" w:hAnsi="Gotham"/>
          <w:i/>
          <w:iCs/>
          <w:sz w:val="19"/>
          <w:szCs w:val="19"/>
        </w:rPr>
        <w:t xml:space="preserve"> incluir lo siguiente:</w:t>
      </w:r>
    </w:p>
    <w:p w14:paraId="3A473546" w14:textId="77777777" w:rsidR="00016FE1" w:rsidRPr="002B6227" w:rsidRDefault="00016FE1" w:rsidP="002B6227">
      <w:pPr>
        <w:spacing w:after="120"/>
        <w:ind w:left="709" w:right="283" w:hanging="425"/>
        <w:jc w:val="both"/>
        <w:rPr>
          <w:rFonts w:ascii="Gotham" w:hAnsi="Gotham"/>
          <w:i/>
          <w:iCs/>
          <w:sz w:val="19"/>
          <w:szCs w:val="19"/>
        </w:rPr>
      </w:pPr>
      <w:r w:rsidRPr="002B6227">
        <w:rPr>
          <w:rFonts w:ascii="Gotham" w:hAnsi="Gotham"/>
          <w:i/>
          <w:iCs/>
          <w:sz w:val="19"/>
          <w:szCs w:val="19"/>
        </w:rPr>
        <w:t xml:space="preserve">I. </w:t>
      </w:r>
      <w:r w:rsidR="002B6227">
        <w:rPr>
          <w:rFonts w:ascii="Gotham" w:hAnsi="Gotham"/>
          <w:i/>
          <w:iCs/>
          <w:sz w:val="19"/>
          <w:szCs w:val="19"/>
        </w:rPr>
        <w:tab/>
      </w:r>
      <w:r w:rsidRPr="002B6227">
        <w:rPr>
          <w:rFonts w:ascii="Gotham" w:hAnsi="Gotham"/>
          <w:i/>
          <w:iCs/>
          <w:sz w:val="19"/>
          <w:szCs w:val="19"/>
        </w:rPr>
        <w:t>Proyecciones de finanzas públicas, considerando las premisas empleadas en los Criterios Generales de Política Económica.</w:t>
      </w:r>
    </w:p>
    <w:p w14:paraId="3A473547" w14:textId="77777777" w:rsidR="00016FE1" w:rsidRPr="002B6227" w:rsidRDefault="00016FE1" w:rsidP="002B6227">
      <w:pPr>
        <w:spacing w:after="120"/>
        <w:ind w:left="709" w:right="283" w:hanging="1"/>
        <w:jc w:val="both"/>
        <w:rPr>
          <w:rFonts w:ascii="Gotham" w:hAnsi="Gotham"/>
          <w:i/>
          <w:iCs/>
          <w:sz w:val="19"/>
          <w:szCs w:val="19"/>
        </w:rPr>
      </w:pPr>
      <w:r w:rsidRPr="002B6227">
        <w:rPr>
          <w:rFonts w:ascii="Gotham" w:hAnsi="Gotham"/>
          <w:i/>
          <w:iCs/>
          <w:sz w:val="19"/>
          <w:szCs w:val="19"/>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14:paraId="3A473548" w14:textId="77777777" w:rsidR="00016FE1" w:rsidRPr="002B6227" w:rsidRDefault="00016FE1" w:rsidP="002B6227">
      <w:pPr>
        <w:spacing w:after="120"/>
        <w:ind w:left="709" w:right="283" w:hanging="425"/>
        <w:jc w:val="both"/>
        <w:rPr>
          <w:rFonts w:ascii="Gotham" w:hAnsi="Gotham"/>
          <w:i/>
          <w:iCs/>
          <w:sz w:val="19"/>
          <w:szCs w:val="19"/>
        </w:rPr>
      </w:pPr>
      <w:r w:rsidRPr="002B6227">
        <w:rPr>
          <w:rFonts w:ascii="Gotham" w:hAnsi="Gotham"/>
          <w:i/>
          <w:iCs/>
          <w:sz w:val="19"/>
          <w:szCs w:val="19"/>
        </w:rPr>
        <w:t xml:space="preserve">II. </w:t>
      </w:r>
      <w:r w:rsidR="002B6227">
        <w:rPr>
          <w:rFonts w:ascii="Gotham" w:hAnsi="Gotham"/>
          <w:i/>
          <w:iCs/>
          <w:sz w:val="19"/>
          <w:szCs w:val="19"/>
        </w:rPr>
        <w:tab/>
      </w:r>
      <w:r w:rsidRPr="002B6227">
        <w:rPr>
          <w:rFonts w:ascii="Gotham" w:hAnsi="Gotham"/>
          <w:i/>
          <w:iCs/>
          <w:sz w:val="19"/>
          <w:szCs w:val="19"/>
        </w:rPr>
        <w:t>Descripción de los riesgos relevantes para las finanzas públicas, incluyendo los montos de deuda contingente, acompañados de propuestas de acción para enfrentarlos;</w:t>
      </w:r>
    </w:p>
    <w:p w14:paraId="3A473549" w14:textId="77777777" w:rsidR="00016FE1" w:rsidRPr="002B6227" w:rsidRDefault="00016FE1" w:rsidP="002B6227">
      <w:pPr>
        <w:spacing w:after="120"/>
        <w:ind w:left="709" w:right="283" w:hanging="425"/>
        <w:jc w:val="both"/>
        <w:rPr>
          <w:rFonts w:ascii="Gotham" w:hAnsi="Gotham"/>
          <w:i/>
          <w:iCs/>
          <w:sz w:val="19"/>
          <w:szCs w:val="19"/>
        </w:rPr>
      </w:pPr>
      <w:r w:rsidRPr="002B6227">
        <w:rPr>
          <w:rFonts w:ascii="Gotham" w:hAnsi="Gotham"/>
          <w:i/>
          <w:iCs/>
          <w:sz w:val="19"/>
          <w:szCs w:val="19"/>
        </w:rPr>
        <w:lastRenderedPageBreak/>
        <w:t xml:space="preserve">III. </w:t>
      </w:r>
      <w:r w:rsidR="002B6227">
        <w:rPr>
          <w:rFonts w:ascii="Gotham" w:hAnsi="Gotham"/>
          <w:i/>
          <w:iCs/>
          <w:sz w:val="19"/>
          <w:szCs w:val="19"/>
        </w:rPr>
        <w:tab/>
      </w:r>
      <w:r w:rsidRPr="002B6227">
        <w:rPr>
          <w:rFonts w:ascii="Gotham" w:hAnsi="Gotham"/>
          <w:i/>
          <w:iCs/>
          <w:sz w:val="19"/>
          <w:szCs w:val="19"/>
        </w:rPr>
        <w:t>Los resultados de las finanzas públicas que abarquen un periodo de los tres últimos años y el ejercicio fiscal en cuestión, de acuerdo con los formatos que emita el Consejo Nacional de Armonización Contable para este fin, y</w:t>
      </w:r>
    </w:p>
    <w:p w14:paraId="3A47354A" w14:textId="77777777" w:rsidR="00016FE1" w:rsidRPr="002B6227" w:rsidRDefault="00016FE1" w:rsidP="002B6227">
      <w:pPr>
        <w:ind w:left="284" w:right="283"/>
        <w:jc w:val="both"/>
        <w:rPr>
          <w:rFonts w:ascii="Gotham" w:hAnsi="Gotham"/>
          <w:i/>
          <w:iCs/>
          <w:sz w:val="19"/>
          <w:szCs w:val="19"/>
        </w:rPr>
      </w:pPr>
      <w:r w:rsidRPr="002B6227">
        <w:rPr>
          <w:rFonts w:ascii="Gotham" w:hAnsi="Gotham"/>
          <w:i/>
          <w:iCs/>
          <w:sz w:val="19"/>
          <w:szCs w:val="19"/>
        </w:rPr>
        <w:t xml:space="preserve">Las proyecciones y resultados a que se refieren las fracciones I y III precedentes, respectivamente, comprenderán sólo un año para el caso de los Municipios con una población menor a 200,000 habitantes, de acuerdo con el último censo o conteo de población que publique el Instituto Nacional de Estadística y Geografía. </w:t>
      </w:r>
    </w:p>
    <w:p w14:paraId="3A47354B" w14:textId="77777777" w:rsidR="00016FE1" w:rsidRPr="009E693A" w:rsidRDefault="00016FE1" w:rsidP="002B6227">
      <w:pPr>
        <w:ind w:right="333"/>
        <w:jc w:val="both"/>
        <w:rPr>
          <w:rFonts w:ascii="Gotham" w:hAnsi="Gotham"/>
          <w:i/>
          <w:iCs/>
          <w:sz w:val="20"/>
          <w:szCs w:val="20"/>
        </w:rPr>
      </w:pPr>
    </w:p>
    <w:p w14:paraId="3A47354C" w14:textId="77777777" w:rsidR="00016FE1" w:rsidRPr="00A0418E" w:rsidRDefault="00016FE1" w:rsidP="002B6227">
      <w:pPr>
        <w:ind w:right="333"/>
        <w:jc w:val="both"/>
        <w:rPr>
          <w:rFonts w:ascii="Gotham" w:hAnsi="Gotham"/>
          <w:sz w:val="20"/>
          <w:szCs w:val="20"/>
        </w:rPr>
      </w:pPr>
      <w:r w:rsidRPr="00A0418E">
        <w:rPr>
          <w:rFonts w:ascii="Gotham" w:hAnsi="Gotham"/>
          <w:sz w:val="20"/>
          <w:szCs w:val="20"/>
        </w:rPr>
        <w:t>Así mismo, la Ley de Hacienda Municipal del Estado de Jalisco, en lo concerniente al asunto que nos atañe, instituye que:</w:t>
      </w:r>
    </w:p>
    <w:p w14:paraId="3A47354D" w14:textId="77777777" w:rsidR="00016FE1" w:rsidRPr="009A6B16" w:rsidRDefault="00016FE1" w:rsidP="002B6227">
      <w:pPr>
        <w:jc w:val="both"/>
        <w:rPr>
          <w:rFonts w:ascii="Gotham" w:hAnsi="Gotham"/>
          <w:sz w:val="20"/>
          <w:szCs w:val="20"/>
        </w:rPr>
      </w:pPr>
    </w:p>
    <w:p w14:paraId="3A47354E" w14:textId="77777777" w:rsidR="00016FE1" w:rsidRPr="00A0418E" w:rsidRDefault="00016FE1" w:rsidP="001077DF">
      <w:pPr>
        <w:spacing w:after="120"/>
        <w:ind w:left="284" w:right="283"/>
        <w:jc w:val="both"/>
        <w:rPr>
          <w:rFonts w:ascii="Gotham" w:hAnsi="Gotham"/>
          <w:i/>
          <w:iCs/>
          <w:sz w:val="19"/>
          <w:szCs w:val="19"/>
        </w:rPr>
      </w:pPr>
      <w:r w:rsidRPr="00A0418E">
        <w:rPr>
          <w:rFonts w:ascii="Gotham" w:hAnsi="Gotham"/>
          <w:i/>
          <w:iCs/>
          <w:sz w:val="19"/>
          <w:szCs w:val="19"/>
        </w:rPr>
        <w:t xml:space="preserve">“Artículo. 1°. La Hacienda Pública de los Municipios del Estado de Jalisco, para cubrir los gastos de su administración, percibirá en cada Ejercicio Fiscal los ingresos derivados de los Impuestos, Contribuciones Especiales, Derechos, Productos, </w:t>
      </w:r>
    </w:p>
    <w:p w14:paraId="3A47354F" w14:textId="77777777" w:rsidR="00016FE1" w:rsidRPr="00A0418E" w:rsidRDefault="00016FE1" w:rsidP="001077DF">
      <w:pPr>
        <w:spacing w:after="120"/>
        <w:ind w:left="284" w:right="283"/>
        <w:jc w:val="both"/>
        <w:rPr>
          <w:rFonts w:ascii="Gotham" w:hAnsi="Gotham"/>
          <w:i/>
          <w:iCs/>
          <w:sz w:val="19"/>
          <w:szCs w:val="19"/>
        </w:rPr>
      </w:pPr>
      <w:r w:rsidRPr="00A0418E">
        <w:rPr>
          <w:rFonts w:ascii="Gotham" w:hAnsi="Gotham"/>
          <w:i/>
          <w:iCs/>
          <w:sz w:val="19"/>
          <w:szCs w:val="19"/>
        </w:rPr>
        <w:t>Aprovechamientos y Participaciones que se establezcan en las Leyes Fiscales y Convenios de Coordinación subscritos, o que se subscriban, para tales efectos.</w:t>
      </w:r>
    </w:p>
    <w:p w14:paraId="3A473550" w14:textId="77777777" w:rsidR="00016FE1" w:rsidRPr="00A0418E" w:rsidRDefault="00016FE1" w:rsidP="002B6227">
      <w:pPr>
        <w:ind w:left="284" w:right="283"/>
        <w:jc w:val="both"/>
        <w:rPr>
          <w:rFonts w:ascii="Gotham" w:hAnsi="Gotham"/>
          <w:i/>
          <w:iCs/>
          <w:sz w:val="19"/>
          <w:szCs w:val="19"/>
        </w:rPr>
      </w:pPr>
      <w:r w:rsidRPr="00A0418E">
        <w:rPr>
          <w:rFonts w:ascii="Gotham" w:hAnsi="Gotham"/>
          <w:i/>
          <w:iCs/>
          <w:sz w:val="19"/>
          <w:szCs w:val="19"/>
        </w:rPr>
        <w:t xml:space="preserve"> …</w:t>
      </w:r>
    </w:p>
    <w:p w14:paraId="3A473551" w14:textId="77777777" w:rsidR="00016FE1" w:rsidRPr="00A0418E" w:rsidRDefault="00016FE1" w:rsidP="002B6227">
      <w:pPr>
        <w:ind w:left="284" w:right="283"/>
        <w:jc w:val="both"/>
        <w:rPr>
          <w:rFonts w:ascii="Gotham" w:hAnsi="Gotham"/>
          <w:i/>
          <w:iCs/>
          <w:sz w:val="19"/>
          <w:szCs w:val="19"/>
        </w:rPr>
      </w:pPr>
    </w:p>
    <w:p w14:paraId="3A473552" w14:textId="77777777" w:rsidR="00016FE1" w:rsidRPr="00A0418E" w:rsidRDefault="00016FE1" w:rsidP="002B6227">
      <w:pPr>
        <w:ind w:left="284" w:right="283"/>
        <w:jc w:val="both"/>
        <w:rPr>
          <w:rFonts w:ascii="Gotham" w:hAnsi="Gotham"/>
          <w:i/>
          <w:iCs/>
          <w:sz w:val="19"/>
          <w:szCs w:val="19"/>
        </w:rPr>
      </w:pPr>
      <w:r w:rsidRPr="00A0418E">
        <w:rPr>
          <w:rFonts w:ascii="Gotham" w:hAnsi="Gotham"/>
          <w:i/>
          <w:iCs/>
          <w:sz w:val="19"/>
          <w:szCs w:val="19"/>
        </w:rPr>
        <w:t>Artículo. 10°. Las Leyes de ingresos municipales establecerán, anualmente los ingresos ordinarios de naturaleza fiscal que deban recaudarse, así como las tarifas correspondientes.</w:t>
      </w:r>
    </w:p>
    <w:p w14:paraId="3A473553" w14:textId="77777777" w:rsidR="00016FE1" w:rsidRPr="00A0418E" w:rsidRDefault="00016FE1" w:rsidP="002B6227">
      <w:pPr>
        <w:ind w:left="284" w:right="283"/>
        <w:jc w:val="both"/>
        <w:rPr>
          <w:rFonts w:ascii="Gotham" w:hAnsi="Gotham"/>
          <w:i/>
          <w:iCs/>
          <w:sz w:val="19"/>
          <w:szCs w:val="19"/>
        </w:rPr>
      </w:pPr>
    </w:p>
    <w:p w14:paraId="3A473554" w14:textId="77777777" w:rsidR="00016FE1" w:rsidRPr="00A0418E" w:rsidRDefault="00016FE1" w:rsidP="001077DF">
      <w:pPr>
        <w:spacing w:after="120"/>
        <w:ind w:left="284" w:right="283"/>
        <w:jc w:val="both"/>
        <w:rPr>
          <w:rFonts w:ascii="Gotham" w:hAnsi="Gotham"/>
          <w:i/>
          <w:iCs/>
          <w:sz w:val="19"/>
          <w:szCs w:val="19"/>
        </w:rPr>
      </w:pPr>
      <w:r w:rsidRPr="00A0418E">
        <w:rPr>
          <w:rFonts w:ascii="Gotham" w:hAnsi="Gotham"/>
          <w:i/>
          <w:iCs/>
          <w:sz w:val="19"/>
          <w:szCs w:val="19"/>
        </w:rPr>
        <w:t>Artículo. 12°. Son Leyes Fiscales del Municipio:</w:t>
      </w:r>
    </w:p>
    <w:p w14:paraId="3A473555" w14:textId="77777777" w:rsidR="00016FE1" w:rsidRPr="00A0418E" w:rsidRDefault="00016FE1" w:rsidP="001077DF">
      <w:pPr>
        <w:spacing w:after="120"/>
        <w:ind w:left="709" w:right="283" w:hanging="425"/>
        <w:jc w:val="both"/>
        <w:rPr>
          <w:rFonts w:ascii="Gotham" w:hAnsi="Gotham"/>
          <w:i/>
          <w:iCs/>
          <w:sz w:val="19"/>
          <w:szCs w:val="19"/>
        </w:rPr>
      </w:pPr>
      <w:r w:rsidRPr="00A0418E">
        <w:rPr>
          <w:rFonts w:ascii="Gotham" w:hAnsi="Gotham"/>
          <w:i/>
          <w:iCs/>
          <w:sz w:val="19"/>
          <w:szCs w:val="19"/>
        </w:rPr>
        <w:t xml:space="preserve">I. </w:t>
      </w:r>
      <w:r w:rsidR="001077DF">
        <w:rPr>
          <w:rFonts w:ascii="Gotham" w:hAnsi="Gotham"/>
          <w:i/>
          <w:iCs/>
          <w:sz w:val="19"/>
          <w:szCs w:val="19"/>
        </w:rPr>
        <w:tab/>
      </w:r>
      <w:r w:rsidRPr="00A0418E">
        <w:rPr>
          <w:rFonts w:ascii="Gotham" w:hAnsi="Gotham"/>
          <w:i/>
          <w:iCs/>
          <w:sz w:val="19"/>
          <w:szCs w:val="19"/>
        </w:rPr>
        <w:t>La presente Ley;</w:t>
      </w:r>
    </w:p>
    <w:p w14:paraId="3A473556" w14:textId="77777777" w:rsidR="00016FE1" w:rsidRPr="00A0418E" w:rsidRDefault="00016FE1" w:rsidP="001077DF">
      <w:pPr>
        <w:spacing w:after="120"/>
        <w:ind w:left="709" w:right="283" w:hanging="425"/>
        <w:jc w:val="both"/>
        <w:rPr>
          <w:rFonts w:ascii="Gotham" w:hAnsi="Gotham"/>
          <w:i/>
          <w:iCs/>
          <w:sz w:val="19"/>
          <w:szCs w:val="19"/>
        </w:rPr>
      </w:pPr>
      <w:r w:rsidRPr="00A0418E">
        <w:rPr>
          <w:rFonts w:ascii="Gotham" w:hAnsi="Gotham"/>
          <w:i/>
          <w:iCs/>
          <w:sz w:val="19"/>
          <w:szCs w:val="19"/>
        </w:rPr>
        <w:t xml:space="preserve">II. </w:t>
      </w:r>
      <w:r w:rsidR="001077DF">
        <w:rPr>
          <w:rFonts w:ascii="Gotham" w:hAnsi="Gotham"/>
          <w:i/>
          <w:iCs/>
          <w:sz w:val="19"/>
          <w:szCs w:val="19"/>
        </w:rPr>
        <w:tab/>
      </w:r>
      <w:r w:rsidRPr="00A0418E">
        <w:rPr>
          <w:rFonts w:ascii="Gotham" w:hAnsi="Gotham"/>
          <w:i/>
          <w:iCs/>
          <w:sz w:val="19"/>
          <w:szCs w:val="19"/>
        </w:rPr>
        <w:t>La Ley de Ingresos de cada Municipio; y</w:t>
      </w:r>
    </w:p>
    <w:p w14:paraId="3A473557" w14:textId="77777777" w:rsidR="00016FE1" w:rsidRPr="00A0418E" w:rsidRDefault="00016FE1" w:rsidP="001077DF">
      <w:pPr>
        <w:ind w:left="709" w:right="283" w:hanging="425"/>
        <w:jc w:val="both"/>
        <w:rPr>
          <w:rFonts w:ascii="Gotham" w:hAnsi="Gotham"/>
          <w:i/>
          <w:iCs/>
          <w:sz w:val="19"/>
          <w:szCs w:val="19"/>
        </w:rPr>
      </w:pPr>
      <w:r w:rsidRPr="00A0418E">
        <w:rPr>
          <w:rFonts w:ascii="Gotham" w:hAnsi="Gotham"/>
          <w:i/>
          <w:iCs/>
          <w:sz w:val="19"/>
          <w:szCs w:val="19"/>
        </w:rPr>
        <w:t xml:space="preserve">III. </w:t>
      </w:r>
      <w:r w:rsidR="001077DF">
        <w:rPr>
          <w:rFonts w:ascii="Gotham" w:hAnsi="Gotham"/>
          <w:i/>
          <w:iCs/>
          <w:sz w:val="19"/>
          <w:szCs w:val="19"/>
        </w:rPr>
        <w:tab/>
      </w:r>
      <w:r w:rsidRPr="00A0418E">
        <w:rPr>
          <w:rFonts w:ascii="Gotham" w:hAnsi="Gotham"/>
          <w:i/>
          <w:iCs/>
          <w:sz w:val="19"/>
          <w:szCs w:val="19"/>
        </w:rPr>
        <w:t>Las Leyes y demás disposiciones de carácter hacendario, aplicables en el Municipio.</w:t>
      </w:r>
    </w:p>
    <w:p w14:paraId="3A473558" w14:textId="77777777" w:rsidR="00016FE1" w:rsidRPr="00A0418E" w:rsidRDefault="00016FE1" w:rsidP="002B6227">
      <w:pPr>
        <w:ind w:left="284" w:right="283"/>
        <w:jc w:val="both"/>
        <w:rPr>
          <w:rFonts w:ascii="Gotham" w:hAnsi="Gotham"/>
          <w:i/>
          <w:iCs/>
          <w:sz w:val="19"/>
          <w:szCs w:val="19"/>
        </w:rPr>
      </w:pPr>
    </w:p>
    <w:p w14:paraId="3A473559" w14:textId="77777777" w:rsidR="00016FE1" w:rsidRPr="00A0418E" w:rsidRDefault="00016FE1" w:rsidP="002B6227">
      <w:pPr>
        <w:ind w:left="284" w:right="283"/>
        <w:jc w:val="both"/>
        <w:rPr>
          <w:rFonts w:ascii="Gotham" w:hAnsi="Gotham"/>
          <w:i/>
          <w:iCs/>
          <w:sz w:val="19"/>
          <w:szCs w:val="19"/>
        </w:rPr>
      </w:pPr>
      <w:r w:rsidRPr="00A0418E">
        <w:rPr>
          <w:rFonts w:ascii="Gotham" w:hAnsi="Gotham"/>
          <w:i/>
          <w:iCs/>
          <w:sz w:val="19"/>
          <w:szCs w:val="19"/>
        </w:rPr>
        <w:t>Art. 15. El Congreso del Estado aprobará a más tardar al día treinta de noviembre de cada año, las leyes de ingresos de los municipios, en las que se determinarán las tarifas, cuotas y tasas con que deba afectarse cada uno (sic) de las fuentes específicas por esta ley y, en su caso, las bases para su fijación.”</w:t>
      </w:r>
    </w:p>
    <w:p w14:paraId="3A47355A" w14:textId="77777777" w:rsidR="00016FE1" w:rsidRPr="009A6B16" w:rsidRDefault="00016FE1" w:rsidP="002B6227">
      <w:pPr>
        <w:jc w:val="both"/>
        <w:rPr>
          <w:rFonts w:ascii="Gotham" w:hAnsi="Gotham"/>
          <w:sz w:val="20"/>
          <w:szCs w:val="20"/>
        </w:rPr>
      </w:pPr>
    </w:p>
    <w:p w14:paraId="3A47355B" w14:textId="77777777" w:rsidR="00016FE1" w:rsidRPr="009A6B16" w:rsidRDefault="00016FE1" w:rsidP="002B6227">
      <w:pPr>
        <w:jc w:val="both"/>
        <w:rPr>
          <w:rFonts w:ascii="Gotham" w:hAnsi="Gotham"/>
          <w:sz w:val="20"/>
          <w:szCs w:val="20"/>
        </w:rPr>
      </w:pPr>
      <w:r w:rsidRPr="009A6B16">
        <w:rPr>
          <w:rFonts w:ascii="Gotham" w:hAnsi="Gotham"/>
          <w:sz w:val="20"/>
          <w:szCs w:val="20"/>
        </w:rPr>
        <w:t>Además el Reglamento del Gobierno y la Administración Pública del Ayuntamiento Constitucional de Tonalá, Jalisco, en su Artículo 53 además de lo establecido en la legislación y normatividad aplicable, son facultades y obligaciones del Ayuntamiento, las siguientes:</w:t>
      </w:r>
    </w:p>
    <w:p w14:paraId="3A47355C" w14:textId="77777777" w:rsidR="00016FE1" w:rsidRPr="009A6B16" w:rsidRDefault="00016FE1" w:rsidP="002B6227">
      <w:pPr>
        <w:jc w:val="both"/>
        <w:rPr>
          <w:rFonts w:ascii="Gotham" w:hAnsi="Gotham"/>
          <w:sz w:val="20"/>
          <w:szCs w:val="20"/>
        </w:rPr>
      </w:pPr>
    </w:p>
    <w:p w14:paraId="3A47355D" w14:textId="77777777" w:rsidR="00016FE1" w:rsidRPr="00A0418E" w:rsidRDefault="001077DF" w:rsidP="001077DF">
      <w:pPr>
        <w:ind w:left="851" w:right="283" w:hanging="567"/>
        <w:jc w:val="both"/>
        <w:rPr>
          <w:rFonts w:ascii="Gotham" w:hAnsi="Gotham"/>
          <w:i/>
          <w:iCs/>
          <w:sz w:val="19"/>
          <w:szCs w:val="19"/>
        </w:rPr>
      </w:pPr>
      <w:r>
        <w:rPr>
          <w:rFonts w:ascii="Gotham" w:hAnsi="Gotham"/>
          <w:i/>
          <w:iCs/>
          <w:sz w:val="19"/>
          <w:szCs w:val="19"/>
        </w:rPr>
        <w:t>LIII.-</w:t>
      </w:r>
      <w:r>
        <w:rPr>
          <w:rFonts w:ascii="Gotham" w:hAnsi="Gotham"/>
          <w:i/>
          <w:iCs/>
          <w:sz w:val="19"/>
          <w:szCs w:val="19"/>
        </w:rPr>
        <w:tab/>
      </w:r>
      <w:r w:rsidR="00016FE1" w:rsidRPr="00A0418E">
        <w:rPr>
          <w:rFonts w:ascii="Gotham" w:hAnsi="Gotham"/>
          <w:i/>
          <w:iCs/>
          <w:sz w:val="19"/>
          <w:szCs w:val="19"/>
        </w:rPr>
        <w:t>Aprobar los proyectos de leyes o decretos que se eleven al Congreso del Estado, particularmente aquellos relativos a las leyes de ingresos y tablas de valores unitarios del suelo y construcciones;</w:t>
      </w:r>
    </w:p>
    <w:p w14:paraId="3A47355E" w14:textId="77777777" w:rsidR="00016FE1" w:rsidRPr="009A6B16" w:rsidRDefault="00016FE1" w:rsidP="002B6227">
      <w:pPr>
        <w:jc w:val="both"/>
        <w:rPr>
          <w:rFonts w:ascii="Gotham" w:hAnsi="Gotham"/>
          <w:sz w:val="20"/>
          <w:szCs w:val="20"/>
        </w:rPr>
      </w:pPr>
    </w:p>
    <w:p w14:paraId="3A47355F" w14:textId="77777777" w:rsidR="00016FE1" w:rsidRPr="009A6B16" w:rsidRDefault="00016FE1" w:rsidP="002B6227">
      <w:pPr>
        <w:jc w:val="both"/>
        <w:rPr>
          <w:rFonts w:ascii="Gotham" w:hAnsi="Gotham"/>
          <w:sz w:val="20"/>
          <w:szCs w:val="20"/>
        </w:rPr>
      </w:pPr>
      <w:r w:rsidRPr="009A6B16">
        <w:rPr>
          <w:rFonts w:ascii="Gotham" w:hAnsi="Gotham"/>
          <w:sz w:val="20"/>
          <w:szCs w:val="20"/>
        </w:rPr>
        <w:t>Por lo anteriormente expuesto, fundado y motivado, se pone a consideración de este órgano de gobierno municipal, el siguiente punto de:</w:t>
      </w:r>
    </w:p>
    <w:p w14:paraId="3A473560" w14:textId="77777777" w:rsidR="001077DF" w:rsidRDefault="001077DF" w:rsidP="002B6227">
      <w:pPr>
        <w:jc w:val="center"/>
        <w:rPr>
          <w:rFonts w:ascii="Gotham" w:hAnsi="Gotham"/>
          <w:sz w:val="20"/>
          <w:szCs w:val="20"/>
        </w:rPr>
      </w:pPr>
    </w:p>
    <w:p w14:paraId="3A473561" w14:textId="77777777" w:rsidR="00016FE1" w:rsidRDefault="00016FE1" w:rsidP="002B6227">
      <w:pPr>
        <w:jc w:val="center"/>
        <w:rPr>
          <w:rFonts w:ascii="Gotham" w:hAnsi="Gotham"/>
          <w:sz w:val="20"/>
          <w:szCs w:val="20"/>
        </w:rPr>
      </w:pPr>
      <w:r w:rsidRPr="009A6B16">
        <w:rPr>
          <w:rFonts w:ascii="Gotham" w:hAnsi="Gotham"/>
          <w:sz w:val="20"/>
          <w:szCs w:val="20"/>
        </w:rPr>
        <w:t>A C U E R D O</w:t>
      </w:r>
    </w:p>
    <w:p w14:paraId="3A473562" w14:textId="77777777" w:rsidR="00016FE1" w:rsidRPr="009A6B16" w:rsidRDefault="00016FE1" w:rsidP="002B6227">
      <w:pPr>
        <w:jc w:val="center"/>
        <w:rPr>
          <w:rFonts w:ascii="Gotham" w:hAnsi="Gotham"/>
          <w:sz w:val="20"/>
          <w:szCs w:val="20"/>
        </w:rPr>
      </w:pPr>
    </w:p>
    <w:p w14:paraId="3A473563" w14:textId="77777777" w:rsidR="00016FE1" w:rsidRPr="009A6B16" w:rsidRDefault="00016FE1" w:rsidP="002B6227">
      <w:pPr>
        <w:jc w:val="both"/>
        <w:rPr>
          <w:rFonts w:ascii="Gotham" w:hAnsi="Gotham"/>
          <w:sz w:val="20"/>
          <w:szCs w:val="20"/>
        </w:rPr>
      </w:pPr>
      <w:r w:rsidRPr="009A6B16">
        <w:rPr>
          <w:rFonts w:ascii="Gotham" w:hAnsi="Gotham"/>
          <w:sz w:val="20"/>
          <w:szCs w:val="20"/>
        </w:rPr>
        <w:t xml:space="preserve">PRIMERO.- Se remite la presente iniciativa a la Comisión Edilicia de Hacienda Municipal y Presupuestos, a efecto de que estudie y analice el Proyecto de Ley de Ingresos y Proyecto de Tablas de Valores de precios unitarios de suelo y construcción del Municipio de Tonalá, Jalisco, correspondiente al ejercicio fiscal de 2025, para efecto de que se apruebe y eventualmente se ponga a consideración del Congreso del Estado de Jalisco, la iniciativa correspondiente. </w:t>
      </w:r>
    </w:p>
    <w:p w14:paraId="3A473564" w14:textId="77777777" w:rsidR="00016FE1" w:rsidRPr="009A6B16" w:rsidRDefault="00016FE1" w:rsidP="002B6227">
      <w:pPr>
        <w:jc w:val="both"/>
        <w:rPr>
          <w:rFonts w:ascii="Gotham" w:hAnsi="Gotham"/>
          <w:sz w:val="20"/>
          <w:szCs w:val="20"/>
        </w:rPr>
      </w:pPr>
    </w:p>
    <w:p w14:paraId="3A473565" w14:textId="77777777" w:rsidR="00016FE1" w:rsidRDefault="00016FE1" w:rsidP="002B6227">
      <w:pPr>
        <w:jc w:val="both"/>
        <w:rPr>
          <w:rFonts w:ascii="Gotham" w:hAnsi="Gotham"/>
          <w:sz w:val="20"/>
          <w:szCs w:val="20"/>
        </w:rPr>
      </w:pPr>
      <w:r w:rsidRPr="009A6B16">
        <w:rPr>
          <w:rFonts w:ascii="Gotham" w:hAnsi="Gotham"/>
          <w:sz w:val="20"/>
          <w:szCs w:val="20"/>
        </w:rPr>
        <w:lastRenderedPageBreak/>
        <w:t>SEGUNDO.- Se faculta al Presidente Municipal, Síndico, Secretaria General y Tesorero Municipal, para que suscriban la documentación necesaria que dé cabal cumplimiento al presente acuerdo.</w:t>
      </w:r>
    </w:p>
    <w:p w14:paraId="3A473566" w14:textId="77777777" w:rsidR="00016FE1" w:rsidRDefault="00016FE1" w:rsidP="002B6227">
      <w:pPr>
        <w:jc w:val="both"/>
        <w:rPr>
          <w:rFonts w:ascii="Gotham" w:hAnsi="Gotham"/>
          <w:sz w:val="20"/>
          <w:szCs w:val="20"/>
        </w:rPr>
      </w:pPr>
    </w:p>
    <w:p w14:paraId="3A473567" w14:textId="77777777" w:rsidR="00016FE1" w:rsidRPr="00AA54FE" w:rsidRDefault="00016FE1" w:rsidP="002B6227">
      <w:pPr>
        <w:jc w:val="both"/>
        <w:rPr>
          <w:rFonts w:ascii="Gotham" w:hAnsi="Gotham" w:cs="Arial"/>
          <w:color w:val="000000" w:themeColor="text1"/>
          <w:sz w:val="20"/>
          <w:szCs w:val="20"/>
        </w:rPr>
      </w:pPr>
      <w:r w:rsidRPr="00AA54FE">
        <w:rPr>
          <w:rFonts w:ascii="Gotham" w:hAnsi="Gotham"/>
          <w:color w:val="000000" w:themeColor="text1"/>
          <w:sz w:val="20"/>
          <w:szCs w:val="20"/>
        </w:rPr>
        <w:t>En uso de la voz el Presidente Municipal, Sergio Armando Chávez Dávalos, expresa que, se propone su turno a la Comisión Edilicia de Hacienda Municipal y Presupuestos; quienes estén por la afirmativa sírvase a manifestarlo levantando su mano;</w:t>
      </w:r>
      <w:r w:rsidRPr="00AA54FE">
        <w:rPr>
          <w:rFonts w:ascii="Gotham" w:hAnsi="Gotham" w:cs="Arial"/>
          <w:color w:val="000000" w:themeColor="text1"/>
          <w:sz w:val="20"/>
          <w:szCs w:val="20"/>
        </w:rPr>
        <w:t xml:space="preserve"> instruyendo a la Secretaria General para que contabilice los votos y nos informe del resultado.</w:t>
      </w:r>
    </w:p>
    <w:p w14:paraId="3A473568" w14:textId="77777777" w:rsidR="00016FE1" w:rsidRPr="00AA54FE" w:rsidRDefault="00016FE1" w:rsidP="002B6227">
      <w:pPr>
        <w:jc w:val="both"/>
        <w:rPr>
          <w:rFonts w:ascii="Gotham" w:hAnsi="Gotham" w:cs="Arial"/>
          <w:color w:val="000000" w:themeColor="text1"/>
          <w:sz w:val="20"/>
          <w:szCs w:val="20"/>
        </w:rPr>
      </w:pPr>
    </w:p>
    <w:p w14:paraId="3A473569" w14:textId="77777777" w:rsidR="00016FE1" w:rsidRPr="00AA54FE" w:rsidRDefault="00016FE1" w:rsidP="002B6227">
      <w:pPr>
        <w:jc w:val="both"/>
        <w:rPr>
          <w:rFonts w:ascii="Gotham" w:hAnsi="Gotham" w:cs="Arial"/>
          <w:color w:val="000000" w:themeColor="text1"/>
          <w:sz w:val="20"/>
          <w:szCs w:val="20"/>
        </w:rPr>
      </w:pPr>
      <w:r w:rsidRPr="00AA54FE">
        <w:rPr>
          <w:rFonts w:ascii="Gotham" w:hAnsi="Gotham" w:cs="Arial"/>
          <w:color w:val="000000" w:themeColor="text1"/>
          <w:sz w:val="20"/>
          <w:szCs w:val="20"/>
        </w:rPr>
        <w:t>En uso de la voz informativa la Secretaria General, Mtra. Celia Isabel Gauna Ruiz de León, como lo indica Presidente, le informo que se registraron un total de 17 votos a favor; encontrándose ausente en el momento de la votación, la Regidora Ana Priscila González García.</w:t>
      </w:r>
    </w:p>
    <w:p w14:paraId="3A47356A" w14:textId="77777777" w:rsidR="00016FE1" w:rsidRPr="00AA54FE" w:rsidRDefault="00016FE1" w:rsidP="002B6227">
      <w:pPr>
        <w:jc w:val="both"/>
        <w:rPr>
          <w:rFonts w:ascii="Gotham" w:hAnsi="Gotham" w:cs="Arial"/>
          <w:color w:val="000000" w:themeColor="text1"/>
          <w:sz w:val="20"/>
          <w:szCs w:val="20"/>
        </w:rPr>
      </w:pPr>
    </w:p>
    <w:p w14:paraId="3A47356B" w14:textId="77777777" w:rsidR="00016FE1" w:rsidRPr="00AA54FE" w:rsidRDefault="00016FE1" w:rsidP="002B6227">
      <w:pPr>
        <w:jc w:val="both"/>
        <w:rPr>
          <w:rFonts w:ascii="Gotham" w:hAnsi="Gotham"/>
          <w:color w:val="000000" w:themeColor="text1"/>
          <w:sz w:val="20"/>
          <w:szCs w:val="20"/>
        </w:rPr>
      </w:pPr>
      <w:r w:rsidRPr="00AA54FE">
        <w:rPr>
          <w:rFonts w:ascii="Gotham" w:hAnsi="Gotham" w:cs="Arial"/>
          <w:color w:val="000000" w:themeColor="text1"/>
          <w:sz w:val="20"/>
          <w:szCs w:val="20"/>
        </w:rPr>
        <w:t>En uso de la voz el Presidente Municipal, Sergio Armando Chávez Dávalos, expresa que, gracias Secretaria; queda aprobado.</w:t>
      </w:r>
    </w:p>
    <w:p w14:paraId="3A47356C" w14:textId="77777777" w:rsidR="00016FE1" w:rsidRPr="00AA54FE" w:rsidRDefault="00016FE1" w:rsidP="002B6227">
      <w:pPr>
        <w:jc w:val="both"/>
        <w:rPr>
          <w:rFonts w:ascii="Gotham" w:hAnsi="Gotham"/>
          <w:color w:val="000000" w:themeColor="text1"/>
          <w:sz w:val="20"/>
          <w:szCs w:val="20"/>
        </w:rPr>
      </w:pPr>
    </w:p>
    <w:p w14:paraId="3A47356D" w14:textId="77777777" w:rsidR="00016FE1" w:rsidRPr="000F7447" w:rsidRDefault="00016FE1" w:rsidP="002B6227">
      <w:pPr>
        <w:jc w:val="both"/>
        <w:rPr>
          <w:rFonts w:ascii="Gotham" w:hAnsi="Gotham"/>
          <w:sz w:val="20"/>
          <w:szCs w:val="20"/>
        </w:rPr>
      </w:pPr>
    </w:p>
    <w:p w14:paraId="3A47356E"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1120</w:t>
      </w:r>
    </w:p>
    <w:p w14:paraId="3A47356F" w14:textId="77777777" w:rsidR="00016FE1" w:rsidRDefault="00016FE1" w:rsidP="002B6227">
      <w:pPr>
        <w:tabs>
          <w:tab w:val="left" w:pos="-284"/>
        </w:tabs>
        <w:jc w:val="both"/>
        <w:rPr>
          <w:rFonts w:ascii="Gotham" w:hAnsi="Gotham"/>
          <w:sz w:val="20"/>
          <w:szCs w:val="20"/>
        </w:rPr>
      </w:pPr>
      <w:r w:rsidRPr="000F7447">
        <w:rPr>
          <w:rFonts w:ascii="Gotham" w:hAnsi="Gotham"/>
          <w:b/>
          <w:bCs/>
          <w:smallCaps/>
          <w:sz w:val="20"/>
          <w:szCs w:val="20"/>
        </w:rPr>
        <w:t>Octava Iniciativa con Turno a Comisión</w:t>
      </w:r>
      <w:r w:rsidRPr="000F7447">
        <w:rPr>
          <w:rFonts w:ascii="Gotham" w:hAnsi="Gotham"/>
          <w:b/>
          <w:bCs/>
          <w:sz w:val="20"/>
          <w:szCs w:val="20"/>
        </w:rPr>
        <w:t xml:space="preserve">.- </w:t>
      </w:r>
      <w:r>
        <w:rPr>
          <w:rFonts w:ascii="Gotham" w:hAnsi="Gotham"/>
          <w:sz w:val="20"/>
          <w:szCs w:val="20"/>
        </w:rPr>
        <w:t xml:space="preserve">En uso de la voz el Regidor Manuel Nájera Martínez, </w:t>
      </w:r>
      <w:r w:rsidRPr="000F7447">
        <w:rPr>
          <w:rFonts w:ascii="Gotham" w:hAnsi="Gotham"/>
          <w:sz w:val="20"/>
          <w:szCs w:val="20"/>
        </w:rPr>
        <w:t>menciona que,</w:t>
      </w:r>
      <w:r>
        <w:rPr>
          <w:rFonts w:ascii="Gotham" w:hAnsi="Gotham"/>
          <w:sz w:val="20"/>
          <w:szCs w:val="20"/>
        </w:rPr>
        <w:t xml:space="preserve"> </w:t>
      </w:r>
      <w:r w:rsidRPr="00EF402F">
        <w:rPr>
          <w:rFonts w:ascii="Gotham" w:hAnsi="Gotham"/>
          <w:sz w:val="20"/>
          <w:szCs w:val="20"/>
        </w:rPr>
        <w:t xml:space="preserve">con el permiso </w:t>
      </w:r>
      <w:r>
        <w:rPr>
          <w:rFonts w:ascii="Gotham" w:hAnsi="Gotham"/>
          <w:sz w:val="20"/>
          <w:szCs w:val="20"/>
        </w:rPr>
        <w:t>s</w:t>
      </w:r>
      <w:r w:rsidRPr="00EF402F">
        <w:rPr>
          <w:rFonts w:ascii="Gotham" w:hAnsi="Gotham"/>
          <w:sz w:val="20"/>
          <w:szCs w:val="20"/>
        </w:rPr>
        <w:t xml:space="preserve">eñor Presidente </w:t>
      </w:r>
      <w:r>
        <w:rPr>
          <w:rFonts w:ascii="Gotham" w:hAnsi="Gotham"/>
          <w:sz w:val="20"/>
          <w:szCs w:val="20"/>
        </w:rPr>
        <w:t>M</w:t>
      </w:r>
      <w:r w:rsidRPr="00EF402F">
        <w:rPr>
          <w:rFonts w:ascii="Gotham" w:hAnsi="Gotham"/>
          <w:sz w:val="20"/>
          <w:szCs w:val="20"/>
        </w:rPr>
        <w:t>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Síndico Municipal</w:t>
      </w:r>
      <w:r>
        <w:rPr>
          <w:rFonts w:ascii="Gotham" w:hAnsi="Gotham"/>
          <w:sz w:val="20"/>
          <w:szCs w:val="20"/>
        </w:rPr>
        <w:t>,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 compañeras Regidoras y compañeros Regidores de este Honorable Pleno</w:t>
      </w:r>
      <w:r>
        <w:rPr>
          <w:rFonts w:ascii="Gotham" w:hAnsi="Gotham"/>
          <w:sz w:val="20"/>
          <w:szCs w:val="20"/>
        </w:rPr>
        <w:t xml:space="preserve"> de Cabildo para los años 2021-2024;</w:t>
      </w:r>
      <w:r w:rsidRPr="00EF402F">
        <w:rPr>
          <w:rFonts w:ascii="Gotham" w:hAnsi="Gotham"/>
          <w:sz w:val="20"/>
          <w:szCs w:val="20"/>
        </w:rPr>
        <w:t xml:space="preserve"> con fundamento en los artículos 13, 14, 22</w:t>
      </w:r>
      <w:r>
        <w:rPr>
          <w:rFonts w:ascii="Gotham" w:hAnsi="Gotham"/>
          <w:sz w:val="20"/>
          <w:szCs w:val="20"/>
        </w:rPr>
        <w:t xml:space="preserve"> y</w:t>
      </w:r>
      <w:r w:rsidRPr="00EF402F">
        <w:rPr>
          <w:rFonts w:ascii="Gotham" w:hAnsi="Gotham"/>
          <w:sz w:val="20"/>
          <w:szCs w:val="20"/>
        </w:rPr>
        <w:t xml:space="preserve"> 82</w:t>
      </w:r>
      <w:r>
        <w:rPr>
          <w:rFonts w:ascii="Gotham" w:hAnsi="Gotham"/>
          <w:sz w:val="20"/>
          <w:szCs w:val="20"/>
        </w:rPr>
        <w:t>,</w:t>
      </w:r>
      <w:r w:rsidRPr="00EF402F">
        <w:rPr>
          <w:rFonts w:ascii="Gotham" w:hAnsi="Gotham"/>
          <w:sz w:val="20"/>
          <w:szCs w:val="20"/>
        </w:rPr>
        <w:t xml:space="preserve"> fracción </w:t>
      </w:r>
      <w:r>
        <w:rPr>
          <w:rFonts w:ascii="Gotham" w:hAnsi="Gotham"/>
          <w:sz w:val="20"/>
          <w:szCs w:val="20"/>
        </w:rPr>
        <w:t>II,</w:t>
      </w:r>
      <w:r w:rsidRPr="00EF402F">
        <w:rPr>
          <w:rFonts w:ascii="Gotham" w:hAnsi="Gotham"/>
          <w:sz w:val="20"/>
          <w:szCs w:val="20"/>
        </w:rPr>
        <w:t xml:space="preserve"> del </w:t>
      </w:r>
      <w:r w:rsidRPr="00FB6744">
        <w:rPr>
          <w:rFonts w:ascii="Gotham" w:hAnsi="Gotham"/>
          <w:sz w:val="20"/>
          <w:szCs w:val="20"/>
        </w:rPr>
        <w:t xml:space="preserve">Reglamento para el Funcionamiento Interno de las Sesiones del Ayuntamiento Constitucional de Tonalá, Jalisco; muy respetuosamente tengo a bien en presentar la siguiente iniciativa con turno a comisión que tiene por objeto "SE REALICE UN </w:t>
      </w:r>
      <w:r w:rsidRPr="00FB6744">
        <w:rPr>
          <w:rFonts w:ascii="Gotham" w:hAnsi="Gotham"/>
          <w:noProof/>
          <w:sz w:val="20"/>
          <w:szCs w:val="20"/>
          <w:lang w:val="es-MX" w:eastAsia="es-MX"/>
        </w:rPr>
        <w:drawing>
          <wp:inline distT="0" distB="0" distL="0" distR="0" wp14:anchorId="3A476880" wp14:editId="3A476881">
            <wp:extent cx="6096" cy="6098"/>
            <wp:effectExtent l="0" t="0" r="0" b="0"/>
            <wp:docPr id="2880" name="Picture 2880"/>
            <wp:cNvGraphicFramePr/>
            <a:graphic xmlns:a="http://schemas.openxmlformats.org/drawingml/2006/main">
              <a:graphicData uri="http://schemas.openxmlformats.org/drawingml/2006/picture">
                <pic:pic xmlns:pic="http://schemas.openxmlformats.org/drawingml/2006/picture">
                  <pic:nvPicPr>
                    <pic:cNvPr id="2880" name="Picture 2880"/>
                    <pic:cNvPicPr/>
                  </pic:nvPicPr>
                  <pic:blipFill>
                    <a:blip r:embed="rId8"/>
                    <a:stretch>
                      <a:fillRect/>
                    </a:stretch>
                  </pic:blipFill>
                  <pic:spPr>
                    <a:xfrm>
                      <a:off x="0" y="0"/>
                      <a:ext cx="6096" cy="6098"/>
                    </a:xfrm>
                    <a:prstGeom prst="rect">
                      <a:avLst/>
                    </a:prstGeom>
                  </pic:spPr>
                </pic:pic>
              </a:graphicData>
            </a:graphic>
          </wp:inline>
        </w:drawing>
      </w:r>
      <w:r w:rsidRPr="00FB6744">
        <w:rPr>
          <w:rFonts w:ascii="Gotham" w:hAnsi="Gotham"/>
          <w:sz w:val="20"/>
          <w:szCs w:val="20"/>
        </w:rPr>
        <w:t>INCREMENTO DEL 10% A LOS ELEMENTOS DE LA COMISARÍA DE SEGURIDAD PÚBL</w:t>
      </w:r>
      <w:r>
        <w:rPr>
          <w:rFonts w:ascii="Gotham" w:hAnsi="Gotham"/>
          <w:sz w:val="20"/>
          <w:szCs w:val="20"/>
        </w:rPr>
        <w:t>ICA MUNICIPAL, PROTECCIÓ</w:t>
      </w:r>
      <w:r w:rsidRPr="00EF402F">
        <w:rPr>
          <w:rFonts w:ascii="Gotham" w:hAnsi="Gotham"/>
          <w:sz w:val="20"/>
          <w:szCs w:val="20"/>
        </w:rPr>
        <w:t>N CIVIL Y BOMBEROS, PARAM</w:t>
      </w:r>
      <w:r>
        <w:rPr>
          <w:rFonts w:ascii="Gotham" w:hAnsi="Gotham"/>
          <w:sz w:val="20"/>
          <w:szCs w:val="20"/>
        </w:rPr>
        <w:t>É</w:t>
      </w:r>
      <w:r w:rsidRPr="00EF402F">
        <w:rPr>
          <w:rFonts w:ascii="Gotham" w:hAnsi="Gotham"/>
          <w:sz w:val="20"/>
          <w:szCs w:val="20"/>
        </w:rPr>
        <w:t>DICOS" para tal efecto señalo la siguiente:</w:t>
      </w:r>
    </w:p>
    <w:p w14:paraId="3A473570" w14:textId="77777777" w:rsidR="00016FE1" w:rsidRPr="00EF402F" w:rsidRDefault="00016FE1" w:rsidP="002B6227">
      <w:pPr>
        <w:tabs>
          <w:tab w:val="left" w:pos="-284"/>
        </w:tabs>
        <w:jc w:val="both"/>
        <w:rPr>
          <w:rFonts w:ascii="Gotham" w:hAnsi="Gotham"/>
          <w:sz w:val="20"/>
          <w:szCs w:val="20"/>
        </w:rPr>
      </w:pPr>
    </w:p>
    <w:p w14:paraId="3A473571" w14:textId="77777777" w:rsidR="00016FE1" w:rsidRPr="00EF402F" w:rsidRDefault="00016FE1" w:rsidP="002B6227">
      <w:pPr>
        <w:tabs>
          <w:tab w:val="left" w:pos="-284"/>
        </w:tabs>
        <w:jc w:val="center"/>
        <w:rPr>
          <w:rFonts w:ascii="Gotham" w:hAnsi="Gotham"/>
          <w:sz w:val="20"/>
          <w:szCs w:val="20"/>
        </w:rPr>
      </w:pPr>
      <w:r w:rsidRPr="00EF402F">
        <w:rPr>
          <w:rFonts w:ascii="Gotham" w:hAnsi="Gotham"/>
          <w:sz w:val="20"/>
          <w:szCs w:val="20"/>
        </w:rPr>
        <w:t>EXPOSICIÓN DE MOTIVO</w:t>
      </w:r>
    </w:p>
    <w:p w14:paraId="3A473572" w14:textId="77777777" w:rsidR="00016FE1" w:rsidRDefault="00016FE1" w:rsidP="002B6227">
      <w:pPr>
        <w:tabs>
          <w:tab w:val="left" w:pos="-284"/>
        </w:tabs>
        <w:jc w:val="both"/>
        <w:rPr>
          <w:rFonts w:ascii="Gotham" w:hAnsi="Gotham"/>
          <w:sz w:val="20"/>
          <w:szCs w:val="20"/>
        </w:rPr>
      </w:pPr>
    </w:p>
    <w:p w14:paraId="3A473573" w14:textId="77777777" w:rsidR="00016FE1" w:rsidRPr="00D351CA" w:rsidRDefault="00016FE1" w:rsidP="002B6227">
      <w:pPr>
        <w:tabs>
          <w:tab w:val="left" w:pos="-284"/>
        </w:tabs>
        <w:jc w:val="both"/>
        <w:rPr>
          <w:rFonts w:ascii="Gotham" w:hAnsi="Gotham"/>
          <w:sz w:val="20"/>
          <w:szCs w:val="20"/>
        </w:rPr>
      </w:pPr>
      <w:r w:rsidRPr="00EF402F">
        <w:rPr>
          <w:rFonts w:ascii="Gotham" w:hAnsi="Gotham"/>
          <w:sz w:val="20"/>
          <w:szCs w:val="20"/>
        </w:rPr>
        <w:t>U</w:t>
      </w:r>
      <w:r>
        <w:rPr>
          <w:rFonts w:ascii="Gotham" w:hAnsi="Gotham"/>
          <w:sz w:val="20"/>
          <w:szCs w:val="20"/>
        </w:rPr>
        <w:t>n placer saludarlos compañeras R</w:t>
      </w:r>
      <w:r w:rsidRPr="00EF402F">
        <w:rPr>
          <w:rFonts w:ascii="Gotham" w:hAnsi="Gotham"/>
          <w:sz w:val="20"/>
          <w:szCs w:val="20"/>
        </w:rPr>
        <w:t xml:space="preserve">egidoras y </w:t>
      </w:r>
      <w:r>
        <w:rPr>
          <w:rFonts w:ascii="Gotham" w:hAnsi="Gotham"/>
          <w:sz w:val="20"/>
          <w:szCs w:val="20"/>
        </w:rPr>
        <w:t>c</w:t>
      </w:r>
      <w:r w:rsidRPr="00EF402F">
        <w:rPr>
          <w:rFonts w:ascii="Gotham" w:hAnsi="Gotham"/>
          <w:sz w:val="20"/>
          <w:szCs w:val="20"/>
        </w:rPr>
        <w:t xml:space="preserve">ompañeros </w:t>
      </w:r>
      <w:r>
        <w:rPr>
          <w:rFonts w:ascii="Gotham" w:hAnsi="Gotham"/>
          <w:sz w:val="20"/>
          <w:szCs w:val="20"/>
        </w:rPr>
        <w:t>R</w:t>
      </w:r>
      <w:r w:rsidRPr="00EF402F">
        <w:rPr>
          <w:rFonts w:ascii="Gotham" w:hAnsi="Gotham"/>
          <w:sz w:val="20"/>
          <w:szCs w:val="20"/>
        </w:rPr>
        <w:t>egidores del Municipio de Tonalá</w:t>
      </w:r>
      <w:r>
        <w:rPr>
          <w:rFonts w:ascii="Gotham" w:hAnsi="Gotham"/>
          <w:sz w:val="20"/>
          <w:szCs w:val="20"/>
        </w:rPr>
        <w:t>,</w:t>
      </w:r>
      <w:r w:rsidRPr="00EF402F">
        <w:rPr>
          <w:rFonts w:ascii="Gotham" w:hAnsi="Gotham"/>
          <w:sz w:val="20"/>
          <w:szCs w:val="20"/>
        </w:rPr>
        <w:t xml:space="preserve"> Jalisco, es importante otorgar un gran agradecimiento y a la vez reconocimiento en favor de nuestros e</w:t>
      </w:r>
      <w:r>
        <w:rPr>
          <w:rFonts w:ascii="Gotham" w:hAnsi="Gotham"/>
          <w:sz w:val="20"/>
          <w:szCs w:val="20"/>
        </w:rPr>
        <w:t>lementos adscritos a la Comisarí</w:t>
      </w:r>
      <w:r w:rsidRPr="00EF402F">
        <w:rPr>
          <w:rFonts w:ascii="Gotham" w:hAnsi="Gotham"/>
          <w:sz w:val="20"/>
          <w:szCs w:val="20"/>
        </w:rPr>
        <w:t xml:space="preserve">a de Seguridad Ciudadana y Prevención Social, Dirección de Protección Civil y Bomberos, Paramédicos adscritos a los Servicios Médicos Municipales (CRUZ VERDE), por su entrega y loable labor en favor de la comunidad </w:t>
      </w:r>
      <w:r>
        <w:rPr>
          <w:rFonts w:ascii="Gotham" w:hAnsi="Gotham"/>
          <w:sz w:val="20"/>
          <w:szCs w:val="20"/>
        </w:rPr>
        <w:t>tonalteca;</w:t>
      </w:r>
      <w:r w:rsidRPr="00EF402F">
        <w:rPr>
          <w:rFonts w:ascii="Gotham" w:hAnsi="Gotham"/>
          <w:sz w:val="20"/>
          <w:szCs w:val="20"/>
        </w:rPr>
        <w:t xml:space="preserve"> cabe mencionar que se han presentado </w:t>
      </w:r>
      <w:r w:rsidRPr="00FB6744">
        <w:rPr>
          <w:rFonts w:ascii="Gotham" w:hAnsi="Gotham"/>
          <w:sz w:val="20"/>
          <w:szCs w:val="20"/>
        </w:rPr>
        <w:t>importantes intervenciones importantes</w:t>
      </w:r>
      <w:r w:rsidRPr="00EF402F">
        <w:rPr>
          <w:rFonts w:ascii="Gotham" w:hAnsi="Gotham"/>
          <w:sz w:val="20"/>
          <w:szCs w:val="20"/>
        </w:rPr>
        <w:t xml:space="preserve"> en servicios solicitados por las y los ciudadanos, aunado en que con la presencia por parte de los </w:t>
      </w:r>
      <w:r>
        <w:rPr>
          <w:rFonts w:ascii="Gotham" w:hAnsi="Gotham"/>
          <w:sz w:val="20"/>
          <w:szCs w:val="20"/>
        </w:rPr>
        <w:t>u</w:t>
      </w:r>
      <w:r w:rsidRPr="00EF402F">
        <w:rPr>
          <w:rFonts w:ascii="Gotham" w:hAnsi="Gotham"/>
          <w:sz w:val="20"/>
          <w:szCs w:val="20"/>
        </w:rPr>
        <w:t>niformados en los diferentes centros de población de nuestra ciudad, se ha logrado disminuir de manera significativa los delitos, tan s</w:t>
      </w:r>
      <w:r>
        <w:rPr>
          <w:rFonts w:ascii="Gotham" w:hAnsi="Gotham"/>
          <w:sz w:val="20"/>
          <w:szCs w:val="20"/>
        </w:rPr>
        <w:t>ó</w:t>
      </w:r>
      <w:r w:rsidRPr="00EF402F">
        <w:rPr>
          <w:rFonts w:ascii="Gotham" w:hAnsi="Gotham"/>
          <w:sz w:val="20"/>
          <w:szCs w:val="20"/>
        </w:rPr>
        <w:t xml:space="preserve">lo con la </w:t>
      </w:r>
      <w:r w:rsidRPr="00EF402F">
        <w:rPr>
          <w:rFonts w:ascii="Gotham" w:hAnsi="Gotham"/>
          <w:noProof/>
          <w:sz w:val="20"/>
          <w:szCs w:val="20"/>
          <w:lang w:val="es-MX" w:eastAsia="es-MX"/>
        </w:rPr>
        <w:drawing>
          <wp:inline distT="0" distB="0" distL="0" distR="0" wp14:anchorId="3A476882" wp14:editId="3A476883">
            <wp:extent cx="6096" cy="9147"/>
            <wp:effectExtent l="0" t="0" r="0" b="0"/>
            <wp:docPr id="2881" name="Picture 2881"/>
            <wp:cNvGraphicFramePr/>
            <a:graphic xmlns:a="http://schemas.openxmlformats.org/drawingml/2006/main">
              <a:graphicData uri="http://schemas.openxmlformats.org/drawingml/2006/picture">
                <pic:pic xmlns:pic="http://schemas.openxmlformats.org/drawingml/2006/picture">
                  <pic:nvPicPr>
                    <pic:cNvPr id="2881" name="Picture 2881"/>
                    <pic:cNvPicPr/>
                  </pic:nvPicPr>
                  <pic:blipFill>
                    <a:blip r:embed="rId9"/>
                    <a:stretch>
                      <a:fillRect/>
                    </a:stretch>
                  </pic:blipFill>
                  <pic:spPr>
                    <a:xfrm>
                      <a:off x="0" y="0"/>
                      <a:ext cx="6096" cy="9147"/>
                    </a:xfrm>
                    <a:prstGeom prst="rect">
                      <a:avLst/>
                    </a:prstGeom>
                  </pic:spPr>
                </pic:pic>
              </a:graphicData>
            </a:graphic>
          </wp:inline>
        </w:drawing>
      </w:r>
      <w:r w:rsidRPr="00EF402F">
        <w:rPr>
          <w:rFonts w:ascii="Gotham" w:hAnsi="Gotham"/>
          <w:sz w:val="20"/>
          <w:szCs w:val="20"/>
        </w:rPr>
        <w:t>presencia de nuestros e</w:t>
      </w:r>
      <w:r>
        <w:rPr>
          <w:rFonts w:ascii="Gotham" w:hAnsi="Gotham"/>
          <w:sz w:val="20"/>
          <w:szCs w:val="20"/>
        </w:rPr>
        <w:t>lementos adscritos a la Comisarí</w:t>
      </w:r>
      <w:r w:rsidRPr="00EF402F">
        <w:rPr>
          <w:rFonts w:ascii="Gotham" w:hAnsi="Gotham"/>
          <w:sz w:val="20"/>
          <w:szCs w:val="20"/>
        </w:rPr>
        <w:t xml:space="preserve">a de Seguridad Pública Municipal, de igual manera se ha logrado la intervención en algunos eventos evitando la consumación de </w:t>
      </w:r>
      <w:r>
        <w:rPr>
          <w:rFonts w:ascii="Gotham" w:hAnsi="Gotham"/>
          <w:sz w:val="20"/>
          <w:szCs w:val="20"/>
        </w:rPr>
        <w:t>d</w:t>
      </w:r>
      <w:r w:rsidRPr="00EF402F">
        <w:rPr>
          <w:rFonts w:ascii="Gotham" w:hAnsi="Gotham"/>
          <w:sz w:val="20"/>
          <w:szCs w:val="20"/>
        </w:rPr>
        <w:t xml:space="preserve">elitos de </w:t>
      </w:r>
      <w:r>
        <w:rPr>
          <w:rFonts w:ascii="Gotham" w:hAnsi="Gotham"/>
          <w:sz w:val="20"/>
          <w:szCs w:val="20"/>
        </w:rPr>
        <w:t>b</w:t>
      </w:r>
      <w:r w:rsidRPr="00EF402F">
        <w:rPr>
          <w:rFonts w:ascii="Gotham" w:hAnsi="Gotham"/>
          <w:sz w:val="20"/>
          <w:szCs w:val="20"/>
        </w:rPr>
        <w:t xml:space="preserve">ajo </w:t>
      </w:r>
      <w:r>
        <w:rPr>
          <w:rFonts w:ascii="Gotham" w:hAnsi="Gotham"/>
          <w:sz w:val="20"/>
          <w:szCs w:val="20"/>
        </w:rPr>
        <w:t>i</w:t>
      </w:r>
      <w:r w:rsidRPr="00EF402F">
        <w:rPr>
          <w:rFonts w:ascii="Gotham" w:hAnsi="Gotham"/>
          <w:sz w:val="20"/>
          <w:szCs w:val="20"/>
        </w:rPr>
        <w:t xml:space="preserve">mpacto, como lo son robo a casa habitación, robo a persona, robo a vehículo, los temas respecto de problemas vecinales, así como los </w:t>
      </w:r>
      <w:r>
        <w:rPr>
          <w:rFonts w:ascii="Gotham" w:hAnsi="Gotham"/>
          <w:sz w:val="20"/>
          <w:szCs w:val="20"/>
        </w:rPr>
        <w:t>d</w:t>
      </w:r>
      <w:r w:rsidRPr="00EF402F">
        <w:rPr>
          <w:rFonts w:ascii="Gotham" w:hAnsi="Gotham"/>
          <w:sz w:val="20"/>
          <w:szCs w:val="20"/>
        </w:rPr>
        <w:t xml:space="preserve">elitos </w:t>
      </w:r>
      <w:r>
        <w:rPr>
          <w:rFonts w:ascii="Gotham" w:hAnsi="Gotham"/>
          <w:sz w:val="20"/>
          <w:szCs w:val="20"/>
        </w:rPr>
        <w:t>a</w:t>
      </w:r>
      <w:r w:rsidRPr="00EF402F">
        <w:rPr>
          <w:rFonts w:ascii="Gotham" w:hAnsi="Gotham"/>
          <w:sz w:val="20"/>
          <w:szCs w:val="20"/>
        </w:rPr>
        <w:t xml:space="preserve">lto </w:t>
      </w:r>
      <w:r>
        <w:rPr>
          <w:rFonts w:ascii="Gotham" w:hAnsi="Gotham"/>
          <w:sz w:val="20"/>
          <w:szCs w:val="20"/>
        </w:rPr>
        <w:t>I</w:t>
      </w:r>
      <w:r w:rsidRPr="00EF402F">
        <w:rPr>
          <w:rFonts w:ascii="Gotham" w:hAnsi="Gotham"/>
          <w:sz w:val="20"/>
          <w:szCs w:val="20"/>
        </w:rPr>
        <w:t xml:space="preserve">mpacto, en general gracias a su intervención y pronta respuesta se han dado resultados favorables, en </w:t>
      </w:r>
      <w:r w:rsidRPr="00FB6744">
        <w:rPr>
          <w:rFonts w:ascii="Gotham" w:hAnsi="Gotham"/>
          <w:sz w:val="20"/>
          <w:szCs w:val="20"/>
        </w:rPr>
        <w:t>la present</w:t>
      </w:r>
      <w:r>
        <w:rPr>
          <w:rFonts w:ascii="Gotham" w:hAnsi="Gotham"/>
          <w:sz w:val="20"/>
          <w:szCs w:val="20"/>
        </w:rPr>
        <w:t>e</w:t>
      </w:r>
      <w:r w:rsidRPr="00FB6744">
        <w:rPr>
          <w:rFonts w:ascii="Gotham" w:hAnsi="Gotham"/>
          <w:sz w:val="20"/>
          <w:szCs w:val="20"/>
        </w:rPr>
        <w:t xml:space="preserve"> administración</w:t>
      </w:r>
      <w:r w:rsidRPr="00EF402F">
        <w:rPr>
          <w:rFonts w:ascii="Gotham" w:hAnsi="Gotham"/>
          <w:sz w:val="20"/>
          <w:szCs w:val="20"/>
        </w:rPr>
        <w:t>; Cabe mencionar la destac</w:t>
      </w:r>
      <w:r>
        <w:rPr>
          <w:rFonts w:ascii="Gotham" w:hAnsi="Gotham"/>
          <w:sz w:val="20"/>
          <w:szCs w:val="20"/>
        </w:rPr>
        <w:t>ada participación de las y los e</w:t>
      </w:r>
      <w:r w:rsidRPr="00EF402F">
        <w:rPr>
          <w:rFonts w:ascii="Gotham" w:hAnsi="Gotham"/>
          <w:sz w:val="20"/>
          <w:szCs w:val="20"/>
        </w:rPr>
        <w:t xml:space="preserve">lementos adscritos a la Dirección de Protección Civil y Bomberos, conocidos como </w:t>
      </w:r>
      <w:r>
        <w:rPr>
          <w:rFonts w:ascii="Gotham" w:hAnsi="Gotham"/>
          <w:sz w:val="20"/>
          <w:szCs w:val="20"/>
        </w:rPr>
        <w:t>h</w:t>
      </w:r>
      <w:r w:rsidRPr="00EF402F">
        <w:rPr>
          <w:rFonts w:ascii="Gotham" w:hAnsi="Gotham"/>
          <w:sz w:val="20"/>
          <w:szCs w:val="20"/>
        </w:rPr>
        <w:t xml:space="preserve">éroes sin capa, quienes </w:t>
      </w:r>
      <w:r w:rsidRPr="00FB6744">
        <w:rPr>
          <w:rFonts w:ascii="Gotham" w:hAnsi="Gotham"/>
          <w:sz w:val="20"/>
          <w:szCs w:val="20"/>
        </w:rPr>
        <w:t>se opacar la</w:t>
      </w:r>
      <w:r w:rsidRPr="00EF402F">
        <w:rPr>
          <w:rFonts w:ascii="Gotham" w:hAnsi="Gotham"/>
          <w:sz w:val="20"/>
          <w:szCs w:val="20"/>
        </w:rPr>
        <w:t xml:space="preserve"> participación de los </w:t>
      </w:r>
      <w:r>
        <w:rPr>
          <w:rFonts w:ascii="Gotham" w:hAnsi="Gotham"/>
          <w:sz w:val="20"/>
          <w:szCs w:val="20"/>
        </w:rPr>
        <w:t>elementos de Comisarí</w:t>
      </w:r>
      <w:r w:rsidRPr="00EF402F">
        <w:rPr>
          <w:rFonts w:ascii="Gotham" w:hAnsi="Gotham"/>
          <w:sz w:val="20"/>
          <w:szCs w:val="20"/>
        </w:rPr>
        <w:t xml:space="preserve">a, </w:t>
      </w:r>
      <w:r w:rsidRPr="00D351CA">
        <w:rPr>
          <w:rFonts w:ascii="Gotham" w:hAnsi="Gotham"/>
          <w:sz w:val="20"/>
          <w:szCs w:val="20"/>
        </w:rPr>
        <w:t>han dado</w:t>
      </w:r>
      <w:r>
        <w:rPr>
          <w:rFonts w:ascii="Gotham" w:hAnsi="Gotham"/>
          <w:sz w:val="20"/>
          <w:szCs w:val="20"/>
        </w:rPr>
        <w:t xml:space="preserve"> </w:t>
      </w:r>
      <w:r w:rsidRPr="00D351CA">
        <w:rPr>
          <w:rFonts w:ascii="Gotham" w:hAnsi="Gotham"/>
          <w:sz w:val="20"/>
          <w:szCs w:val="20"/>
        </w:rPr>
        <w:t xml:space="preserve">excelentes resultados en sus intervenciones de siniestros, accidentes, en general en el área que día a día deben de estar presentes, arriesgando sus vidas a cambio de salvaguardar las de las y los ciudadanos que se encuentran en desgracia en choques o cualquier otro tipo de accidente casero, provocado o imprevisto; existe personal adscritos como Paramédicos en nuestros Servicios Públicos Municipales (cruz verde), quienes de igual manera intervienen para trasladar a las personas lesionadas mujeres u hombres, niñas, niños, adolescentes o personas de la tercera edad, hombres y mujeres de trabajo a quienes deben de tener estabilizados durante el traslado en las Ambulancias, con el equipo necesario, para que lleguen con signos vitales a los diversos hospitales o clínicas, cual contacto tienen </w:t>
      </w:r>
      <w:r w:rsidRPr="00D351CA">
        <w:rPr>
          <w:rFonts w:ascii="Gotham" w:hAnsi="Gotham"/>
          <w:sz w:val="20"/>
          <w:szCs w:val="20"/>
        </w:rPr>
        <w:lastRenderedPageBreak/>
        <w:t>con estos pacientes que de momento desconocen qué tipo de paciente es, si cuenta o no con alguna enfermedad infecto contagiosa, que pueden adquirir con el solo hecho de estar en contacto con ellos, por lo que considero Ciudadano Presidente Municipal Sergio Armando Chávez Dávalos, Regidoras, Regidores de este Honorable Pleno de Cabildo debemos y estamos comprometidos como Máximo Órgano de Gobierno, en otorgar en su totalidad de nuestros elementos mencionados en el cuerpo de la parte iniciativa, UN INCREMENTO DE UN 10% diez por ciento, toda vez que DURANTE VARIAS ADMINISTRACIONES PASADAS NO HAN RECIBIDO UN INCREMENTO A SUS SALARIOS, con ello considero que debemos de ser justos y equitativos, además de reconocer su loable labor, el cual viene a mejorar la calidad de sus vidas así, como de sus familiares esposas e hijos.</w:t>
      </w:r>
    </w:p>
    <w:p w14:paraId="3A473574" w14:textId="77777777" w:rsidR="0084186B" w:rsidRDefault="0084186B" w:rsidP="002B6227">
      <w:pPr>
        <w:tabs>
          <w:tab w:val="left" w:pos="-284"/>
        </w:tabs>
        <w:jc w:val="both"/>
        <w:rPr>
          <w:rFonts w:ascii="Gotham" w:hAnsi="Gotham"/>
          <w:sz w:val="20"/>
          <w:szCs w:val="20"/>
        </w:rPr>
      </w:pPr>
    </w:p>
    <w:p w14:paraId="3A473575" w14:textId="68624502" w:rsidR="00016FE1" w:rsidRPr="00D351CA" w:rsidRDefault="00016FE1" w:rsidP="002B6227">
      <w:pPr>
        <w:tabs>
          <w:tab w:val="left" w:pos="-284"/>
        </w:tabs>
        <w:jc w:val="both"/>
        <w:rPr>
          <w:rFonts w:ascii="Gotham" w:hAnsi="Gotham"/>
          <w:sz w:val="20"/>
          <w:szCs w:val="20"/>
        </w:rPr>
      </w:pPr>
      <w:r w:rsidRPr="00D351CA">
        <w:rPr>
          <w:rFonts w:ascii="Gotham" w:hAnsi="Gotham"/>
          <w:sz w:val="20"/>
          <w:szCs w:val="20"/>
        </w:rPr>
        <w:t xml:space="preserve">Lo anterior debemos de realizar un esfuerzo para este próximo año 2025, se otorgue este incremento toda vez que el BONO que se les ha venido otorgando por parte del Gobierno del Estado de Jalisco, no forma parte de sus salario, este puede ser revocado por cualquiera que ocupe el cargo de gobernador es por ello en que insisto, y hago </w:t>
      </w:r>
      <w:r w:rsidR="00EF238A" w:rsidRPr="00D351CA">
        <w:rPr>
          <w:rFonts w:ascii="Gotham" w:hAnsi="Gotham"/>
          <w:sz w:val="20"/>
          <w:szCs w:val="20"/>
        </w:rPr>
        <w:t>hincapié</w:t>
      </w:r>
      <w:r w:rsidRPr="00D351CA">
        <w:rPr>
          <w:rFonts w:ascii="Gotham" w:hAnsi="Gotham"/>
          <w:sz w:val="20"/>
          <w:szCs w:val="20"/>
        </w:rPr>
        <w:t xml:space="preserve"> en realizar este esfuerzo por este H. Cabildo Municipal.</w:t>
      </w:r>
    </w:p>
    <w:p w14:paraId="3A473576" w14:textId="77777777" w:rsidR="00DF15EC" w:rsidRDefault="00DF15EC" w:rsidP="002B6227">
      <w:pPr>
        <w:tabs>
          <w:tab w:val="left" w:pos="-284"/>
        </w:tabs>
        <w:jc w:val="both"/>
        <w:rPr>
          <w:rFonts w:ascii="Gotham" w:hAnsi="Gotham"/>
          <w:sz w:val="20"/>
          <w:szCs w:val="20"/>
        </w:rPr>
      </w:pPr>
    </w:p>
    <w:p w14:paraId="3A473577" w14:textId="77777777" w:rsidR="00016FE1" w:rsidRPr="00EF402F" w:rsidRDefault="00016FE1" w:rsidP="002B6227">
      <w:pPr>
        <w:tabs>
          <w:tab w:val="left" w:pos="-284"/>
        </w:tabs>
        <w:jc w:val="both"/>
        <w:rPr>
          <w:rFonts w:ascii="Gotham" w:hAnsi="Gotham"/>
          <w:sz w:val="20"/>
          <w:szCs w:val="20"/>
        </w:rPr>
      </w:pPr>
      <w:r w:rsidRPr="00D351CA">
        <w:rPr>
          <w:rFonts w:ascii="Gotham" w:hAnsi="Gotham"/>
          <w:sz w:val="20"/>
          <w:szCs w:val="20"/>
        </w:rPr>
        <w:t>Por lo anteriormente expuesto dejo a consideración de este Honorable Pleno de Cabildo y solicito se apruebe y es de aprobarse:</w:t>
      </w:r>
    </w:p>
    <w:p w14:paraId="3A473578" w14:textId="77777777" w:rsidR="00016FE1" w:rsidRPr="00EF402F" w:rsidRDefault="00016FE1" w:rsidP="002B6227">
      <w:pPr>
        <w:tabs>
          <w:tab w:val="left" w:pos="-284"/>
        </w:tabs>
        <w:jc w:val="both"/>
        <w:rPr>
          <w:rFonts w:ascii="Gotham" w:hAnsi="Gotham"/>
          <w:sz w:val="20"/>
          <w:szCs w:val="20"/>
        </w:rPr>
      </w:pPr>
    </w:p>
    <w:p w14:paraId="3A473579" w14:textId="77777777" w:rsidR="00016FE1" w:rsidRPr="00EF402F" w:rsidRDefault="00016FE1" w:rsidP="002B6227">
      <w:pPr>
        <w:tabs>
          <w:tab w:val="left" w:pos="-284"/>
        </w:tabs>
        <w:jc w:val="both"/>
        <w:rPr>
          <w:rFonts w:ascii="Gotham" w:hAnsi="Gotham"/>
          <w:sz w:val="20"/>
          <w:szCs w:val="20"/>
        </w:rPr>
      </w:pPr>
      <w:r w:rsidRPr="00EF402F">
        <w:rPr>
          <w:rFonts w:ascii="Gotham" w:hAnsi="Gotham"/>
          <w:sz w:val="20"/>
          <w:szCs w:val="20"/>
        </w:rPr>
        <w:t xml:space="preserve">PRIMERO.- Es de </w:t>
      </w:r>
      <w:r>
        <w:rPr>
          <w:rFonts w:ascii="Gotham" w:hAnsi="Gotham"/>
          <w:sz w:val="20"/>
          <w:szCs w:val="20"/>
        </w:rPr>
        <w:t>a</w:t>
      </w:r>
      <w:r w:rsidRPr="00EF402F">
        <w:rPr>
          <w:rFonts w:ascii="Gotham" w:hAnsi="Gotham"/>
          <w:sz w:val="20"/>
          <w:szCs w:val="20"/>
        </w:rPr>
        <w:t xml:space="preserve">probarse y se aprueba se </w:t>
      </w:r>
      <w:r>
        <w:rPr>
          <w:rFonts w:ascii="Gotham" w:hAnsi="Gotham"/>
          <w:sz w:val="20"/>
          <w:szCs w:val="20"/>
        </w:rPr>
        <w:t>t</w:t>
      </w:r>
      <w:r w:rsidRPr="00EF402F">
        <w:rPr>
          <w:rFonts w:ascii="Gotham" w:hAnsi="Gotham"/>
          <w:sz w:val="20"/>
          <w:szCs w:val="20"/>
        </w:rPr>
        <w:t xml:space="preserve">urne a las Comisiones Edilicias de </w:t>
      </w:r>
      <w:r w:rsidRPr="00F858CF">
        <w:rPr>
          <w:rFonts w:ascii="Gotham" w:hAnsi="Gotham"/>
          <w:sz w:val="20"/>
          <w:szCs w:val="20"/>
        </w:rPr>
        <w:t xml:space="preserve">Hacienda Municipal y Presupuestos, como convocante, y Seguridad y Prevención </w:t>
      </w:r>
      <w:r>
        <w:rPr>
          <w:rFonts w:ascii="Gotham" w:hAnsi="Gotham"/>
          <w:sz w:val="20"/>
          <w:szCs w:val="20"/>
        </w:rPr>
        <w:t>Ciudadana</w:t>
      </w:r>
      <w:r w:rsidRPr="00F858CF">
        <w:rPr>
          <w:rFonts w:ascii="Gotham" w:hAnsi="Gotham"/>
          <w:sz w:val="20"/>
          <w:szCs w:val="20"/>
        </w:rPr>
        <w:t>, como coadyuvante, para lleven a cabo el estudio, análisis y dictaminación final de la presente iniciativa.</w:t>
      </w:r>
    </w:p>
    <w:p w14:paraId="3A47357A" w14:textId="77777777" w:rsidR="00016FE1" w:rsidRDefault="00016FE1" w:rsidP="002B6227">
      <w:pPr>
        <w:tabs>
          <w:tab w:val="left" w:pos="-284"/>
        </w:tabs>
        <w:jc w:val="both"/>
        <w:rPr>
          <w:rFonts w:ascii="Gotham" w:hAnsi="Gotham"/>
          <w:sz w:val="20"/>
          <w:szCs w:val="20"/>
        </w:rPr>
      </w:pPr>
    </w:p>
    <w:p w14:paraId="3A47357B" w14:textId="77777777" w:rsidR="00016FE1" w:rsidRPr="00DC5336" w:rsidRDefault="00016FE1" w:rsidP="002B6227">
      <w:pPr>
        <w:jc w:val="both"/>
        <w:rPr>
          <w:rFonts w:ascii="Gotham" w:hAnsi="Gotham" w:cs="Segoe UI"/>
          <w:color w:val="242424"/>
          <w:sz w:val="20"/>
          <w:szCs w:val="20"/>
          <w:lang w:eastAsia="es-MX"/>
        </w:rPr>
      </w:pPr>
      <w:r w:rsidRPr="00F858CF">
        <w:rPr>
          <w:rFonts w:ascii="Gotham" w:hAnsi="Gotham"/>
          <w:sz w:val="20"/>
          <w:szCs w:val="20"/>
        </w:rPr>
        <w:t>SEGUNDO.- Ciudadano</w:t>
      </w:r>
      <w:r w:rsidRPr="00EF402F">
        <w:rPr>
          <w:rFonts w:ascii="Gotham" w:hAnsi="Gotham"/>
          <w:sz w:val="20"/>
          <w:szCs w:val="20"/>
        </w:rPr>
        <w:t xml:space="preserve"> Presidente Municipal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w:t>
      </w:r>
      <w:r>
        <w:rPr>
          <w:rFonts w:ascii="Gotham" w:hAnsi="Gotham"/>
          <w:sz w:val="20"/>
          <w:szCs w:val="20"/>
        </w:rPr>
        <w:t>índico,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w:t>
      </w:r>
      <w:r>
        <w:rPr>
          <w:rFonts w:ascii="Gotham" w:hAnsi="Gotham"/>
          <w:sz w:val="20"/>
          <w:szCs w:val="20"/>
        </w:rPr>
        <w:t>y</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w:t>
      </w:r>
      <w:r>
        <w:rPr>
          <w:rFonts w:ascii="Gotham" w:hAnsi="Gotham"/>
          <w:sz w:val="20"/>
          <w:szCs w:val="20"/>
        </w:rPr>
        <w:t>;</w:t>
      </w:r>
      <w:r w:rsidRPr="00EF402F">
        <w:rPr>
          <w:rFonts w:ascii="Gotham" w:hAnsi="Gotham"/>
          <w:sz w:val="20"/>
          <w:szCs w:val="20"/>
        </w:rPr>
        <w:t xml:space="preserve"> firmen todos y cada uno de los documentos necesarios.</w:t>
      </w:r>
    </w:p>
    <w:p w14:paraId="3A47357C" w14:textId="77777777" w:rsidR="00016FE1" w:rsidRDefault="00016FE1" w:rsidP="002B6227">
      <w:pPr>
        <w:jc w:val="both"/>
        <w:rPr>
          <w:rFonts w:ascii="Gotham" w:hAnsi="Gotham"/>
          <w:sz w:val="20"/>
          <w:szCs w:val="20"/>
        </w:rPr>
      </w:pPr>
    </w:p>
    <w:p w14:paraId="3A47357D" w14:textId="77777777" w:rsidR="00016FE1" w:rsidRPr="00351AD1" w:rsidRDefault="00016FE1" w:rsidP="002B6227">
      <w:pPr>
        <w:jc w:val="both"/>
        <w:rPr>
          <w:rFonts w:ascii="Gotham" w:hAnsi="Gotham" w:cs="Arial"/>
          <w:sz w:val="20"/>
          <w:szCs w:val="20"/>
        </w:rPr>
      </w:pPr>
      <w:r>
        <w:rPr>
          <w:rFonts w:ascii="Gotham" w:hAnsi="Gotham"/>
          <w:sz w:val="20"/>
          <w:szCs w:val="20"/>
        </w:rPr>
        <w:t xml:space="preserve">En uso de la voz el Presidente Municipal, Sergio Armando Chávez Dávalos, expresa que, se propone su turno a la Comisión Edilicia de Hacienda Municipal y Presupuestos, </w:t>
      </w:r>
      <w:r w:rsidRPr="00EC1525">
        <w:rPr>
          <w:rFonts w:ascii="Gotham" w:hAnsi="Gotham" w:cs="Arial"/>
          <w:sz w:val="20"/>
          <w:szCs w:val="20"/>
        </w:rPr>
        <w:t>así como a la de Seguridad y Prevención Ciudadana</w:t>
      </w:r>
      <w:r>
        <w:rPr>
          <w:rFonts w:ascii="Gotham" w:hAnsi="Gotham"/>
          <w:sz w:val="20"/>
          <w:szCs w:val="20"/>
        </w:rPr>
        <w:t>;</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57E" w14:textId="77777777" w:rsidR="00016FE1" w:rsidRPr="00351AD1" w:rsidRDefault="00016FE1" w:rsidP="002B6227">
      <w:pPr>
        <w:jc w:val="both"/>
        <w:rPr>
          <w:rFonts w:ascii="Gotham" w:hAnsi="Gotham" w:cs="Arial"/>
          <w:sz w:val="20"/>
          <w:szCs w:val="20"/>
        </w:rPr>
      </w:pPr>
    </w:p>
    <w:p w14:paraId="3A47357F"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580" w14:textId="77777777" w:rsidR="00016FE1" w:rsidRPr="00351AD1" w:rsidRDefault="00016FE1" w:rsidP="002B6227">
      <w:pPr>
        <w:jc w:val="both"/>
        <w:rPr>
          <w:rFonts w:ascii="Gotham" w:hAnsi="Gotham" w:cs="Arial"/>
          <w:sz w:val="20"/>
          <w:szCs w:val="20"/>
        </w:rPr>
      </w:pPr>
    </w:p>
    <w:p w14:paraId="3A473581"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582" w14:textId="77777777" w:rsidR="00016FE1" w:rsidRPr="00E0456C" w:rsidRDefault="00016FE1" w:rsidP="002B6227">
      <w:pPr>
        <w:jc w:val="both"/>
        <w:rPr>
          <w:rFonts w:ascii="Gotham" w:hAnsi="Gotham"/>
          <w:sz w:val="20"/>
          <w:szCs w:val="20"/>
        </w:rPr>
      </w:pPr>
    </w:p>
    <w:p w14:paraId="3A473583" w14:textId="77777777" w:rsidR="00016FE1" w:rsidRPr="000F7447" w:rsidRDefault="00016FE1" w:rsidP="002B6227">
      <w:pPr>
        <w:jc w:val="both"/>
        <w:rPr>
          <w:rFonts w:ascii="Gotham" w:hAnsi="Gotham"/>
          <w:sz w:val="20"/>
          <w:szCs w:val="20"/>
        </w:rPr>
      </w:pPr>
    </w:p>
    <w:p w14:paraId="3A473584"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1121</w:t>
      </w:r>
    </w:p>
    <w:p w14:paraId="3A473585" w14:textId="77777777" w:rsidR="00016FE1" w:rsidRPr="00CB383D" w:rsidRDefault="00016FE1" w:rsidP="002B6227">
      <w:pPr>
        <w:jc w:val="both"/>
        <w:rPr>
          <w:rFonts w:ascii="Gotham" w:hAnsi="Gotham"/>
          <w:sz w:val="20"/>
          <w:szCs w:val="20"/>
        </w:rPr>
      </w:pPr>
      <w:r w:rsidRPr="000F7447">
        <w:rPr>
          <w:rFonts w:ascii="Gotham" w:hAnsi="Gotham"/>
          <w:b/>
          <w:bCs/>
          <w:smallCaps/>
          <w:sz w:val="20"/>
          <w:szCs w:val="20"/>
        </w:rPr>
        <w:t>Novena Iniciativa con Turno a Comisión</w:t>
      </w:r>
      <w:r w:rsidRPr="000F7447">
        <w:rPr>
          <w:rFonts w:ascii="Gotham" w:hAnsi="Gotham"/>
          <w:b/>
          <w:bCs/>
          <w:sz w:val="20"/>
          <w:szCs w:val="20"/>
        </w:rPr>
        <w:t xml:space="preserve">.- </w:t>
      </w:r>
      <w:r>
        <w:rPr>
          <w:rFonts w:ascii="Gotham" w:hAnsi="Gotham"/>
          <w:sz w:val="20"/>
          <w:szCs w:val="20"/>
        </w:rPr>
        <w:t xml:space="preserve">En uso de la voz el Regidor Manuel Nájera Martínez, </w:t>
      </w:r>
      <w:r w:rsidRPr="000F7447">
        <w:rPr>
          <w:rFonts w:ascii="Gotham" w:hAnsi="Gotham"/>
          <w:sz w:val="20"/>
          <w:szCs w:val="20"/>
        </w:rPr>
        <w:t>expresa que,</w:t>
      </w:r>
      <w:r>
        <w:rPr>
          <w:rFonts w:ascii="Gotham" w:hAnsi="Gotham"/>
          <w:sz w:val="20"/>
          <w:szCs w:val="20"/>
        </w:rPr>
        <w:t xml:space="preserve"> </w:t>
      </w:r>
      <w:bookmarkStart w:id="3" w:name="_Hlk92393335"/>
      <w:r w:rsidRPr="00EF402F">
        <w:rPr>
          <w:rFonts w:ascii="Gotham" w:hAnsi="Gotham"/>
          <w:sz w:val="20"/>
          <w:szCs w:val="20"/>
        </w:rPr>
        <w:t xml:space="preserve">con el permiso </w:t>
      </w:r>
      <w:r>
        <w:rPr>
          <w:rFonts w:ascii="Gotham" w:hAnsi="Gotham"/>
          <w:sz w:val="20"/>
          <w:szCs w:val="20"/>
        </w:rPr>
        <w:t>s</w:t>
      </w:r>
      <w:r w:rsidRPr="00EF402F">
        <w:rPr>
          <w:rFonts w:ascii="Gotham" w:hAnsi="Gotham"/>
          <w:sz w:val="20"/>
          <w:szCs w:val="20"/>
        </w:rPr>
        <w:t xml:space="preserve">eñor Presidente </w:t>
      </w:r>
      <w:r>
        <w:rPr>
          <w:rFonts w:ascii="Gotham" w:hAnsi="Gotham"/>
          <w:sz w:val="20"/>
          <w:szCs w:val="20"/>
        </w:rPr>
        <w:t>M</w:t>
      </w:r>
      <w:r w:rsidRPr="00EF402F">
        <w:rPr>
          <w:rFonts w:ascii="Gotham" w:hAnsi="Gotham"/>
          <w:sz w:val="20"/>
          <w:szCs w:val="20"/>
        </w:rPr>
        <w:t>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Síndico Municipal</w:t>
      </w:r>
      <w:r>
        <w:rPr>
          <w:rFonts w:ascii="Gotham" w:hAnsi="Gotham"/>
          <w:sz w:val="20"/>
          <w:szCs w:val="20"/>
        </w:rPr>
        <w:t>,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 compañeras Regidoras y compañeros Regidores de este Honorable Pleno</w:t>
      </w:r>
      <w:r>
        <w:rPr>
          <w:rFonts w:ascii="Gotham" w:hAnsi="Gotham"/>
          <w:sz w:val="20"/>
          <w:szCs w:val="20"/>
        </w:rPr>
        <w:t xml:space="preserve"> de Cabildo para los años 2021-2024;</w:t>
      </w:r>
      <w:r w:rsidRPr="00EF402F">
        <w:rPr>
          <w:rFonts w:ascii="Gotham" w:hAnsi="Gotham"/>
          <w:sz w:val="20"/>
          <w:szCs w:val="20"/>
        </w:rPr>
        <w:t xml:space="preserve"> con fundamento en los artículos 13, 14, 22</w:t>
      </w:r>
      <w:r>
        <w:rPr>
          <w:rFonts w:ascii="Gotham" w:hAnsi="Gotham"/>
          <w:sz w:val="20"/>
          <w:szCs w:val="20"/>
        </w:rPr>
        <w:t xml:space="preserve"> y</w:t>
      </w:r>
      <w:r w:rsidRPr="00EF402F">
        <w:rPr>
          <w:rFonts w:ascii="Gotham" w:hAnsi="Gotham"/>
          <w:sz w:val="20"/>
          <w:szCs w:val="20"/>
        </w:rPr>
        <w:t xml:space="preserve"> 82</w:t>
      </w:r>
      <w:r>
        <w:rPr>
          <w:rFonts w:ascii="Gotham" w:hAnsi="Gotham"/>
          <w:sz w:val="20"/>
          <w:szCs w:val="20"/>
        </w:rPr>
        <w:t>,</w:t>
      </w:r>
      <w:r w:rsidRPr="00EF402F">
        <w:rPr>
          <w:rFonts w:ascii="Gotham" w:hAnsi="Gotham"/>
          <w:sz w:val="20"/>
          <w:szCs w:val="20"/>
        </w:rPr>
        <w:t xml:space="preserve"> fracción </w:t>
      </w:r>
      <w:r>
        <w:rPr>
          <w:rFonts w:ascii="Gotham" w:hAnsi="Gotham"/>
          <w:sz w:val="20"/>
          <w:szCs w:val="20"/>
        </w:rPr>
        <w:t>II,</w:t>
      </w:r>
      <w:r w:rsidRPr="00EF402F">
        <w:rPr>
          <w:rFonts w:ascii="Gotham" w:hAnsi="Gotham"/>
          <w:sz w:val="20"/>
          <w:szCs w:val="20"/>
        </w:rPr>
        <w:t xml:space="preserve"> del </w:t>
      </w:r>
      <w:r w:rsidRPr="00F858CF">
        <w:rPr>
          <w:rFonts w:ascii="Gotham" w:hAnsi="Gotham"/>
          <w:sz w:val="20"/>
          <w:szCs w:val="20"/>
        </w:rPr>
        <w:t>Reglamento para el Funcionamiento Interno de las Sesiones del Ayuntamiento Constitucional de Tonalá, Jalisco; muy respetuosamente tengo a bien e</w:t>
      </w:r>
      <w:r>
        <w:rPr>
          <w:rFonts w:ascii="Gotham" w:hAnsi="Gotham"/>
          <w:sz w:val="20"/>
          <w:szCs w:val="20"/>
        </w:rPr>
        <w:t>n</w:t>
      </w:r>
      <w:r w:rsidRPr="00F858CF">
        <w:rPr>
          <w:rFonts w:ascii="Gotham" w:hAnsi="Gotham"/>
          <w:sz w:val="20"/>
          <w:szCs w:val="20"/>
        </w:rPr>
        <w:t xml:space="preserve"> presentar el siguiente punto de acuerdo e</w:t>
      </w:r>
      <w:r w:rsidRPr="00CB383D">
        <w:rPr>
          <w:rFonts w:ascii="Gotham" w:hAnsi="Gotham"/>
          <w:sz w:val="20"/>
          <w:szCs w:val="20"/>
        </w:rPr>
        <w:t xml:space="preserve"> instrucción ejecutiva que tiene por objeto "OTORGAMIENTO </w:t>
      </w:r>
      <w:r>
        <w:rPr>
          <w:rFonts w:ascii="Gotham" w:hAnsi="Gotham"/>
          <w:sz w:val="20"/>
          <w:szCs w:val="20"/>
        </w:rPr>
        <w:t>DE BONO A ELEMENTOS DE PROTECCIÓ</w:t>
      </w:r>
      <w:r w:rsidRPr="00CB383D">
        <w:rPr>
          <w:rFonts w:ascii="Gotham" w:hAnsi="Gotham"/>
          <w:sz w:val="20"/>
          <w:szCs w:val="20"/>
        </w:rPr>
        <w:t>N CIVIL Y BOMBEROS, PARA EL D</w:t>
      </w:r>
      <w:r>
        <w:rPr>
          <w:rFonts w:ascii="Gotham" w:hAnsi="Gotham"/>
          <w:sz w:val="20"/>
          <w:szCs w:val="20"/>
        </w:rPr>
        <w:t>Í</w:t>
      </w:r>
      <w:r w:rsidRPr="00CB383D">
        <w:rPr>
          <w:rFonts w:ascii="Gotham" w:hAnsi="Gotham"/>
          <w:sz w:val="20"/>
          <w:szCs w:val="20"/>
        </w:rPr>
        <w:t xml:space="preserve">A </w:t>
      </w:r>
      <w:r w:rsidRPr="00F858CF">
        <w:rPr>
          <w:rFonts w:ascii="Gotham" w:hAnsi="Gotham"/>
          <w:sz w:val="20"/>
          <w:szCs w:val="20"/>
        </w:rPr>
        <w:t>DEL</w:t>
      </w:r>
      <w:r w:rsidRPr="00CB383D">
        <w:rPr>
          <w:rFonts w:ascii="Gotham" w:hAnsi="Gotham"/>
          <w:sz w:val="20"/>
          <w:szCs w:val="20"/>
        </w:rPr>
        <w:t xml:space="preserve"> BOMBERO 22 DE AGOSTO 2024", para tal efecto señalo lo siguiente:</w:t>
      </w:r>
    </w:p>
    <w:p w14:paraId="3A473586" w14:textId="77777777" w:rsidR="00016FE1" w:rsidRDefault="00016FE1" w:rsidP="002B6227">
      <w:pPr>
        <w:jc w:val="both"/>
        <w:rPr>
          <w:rFonts w:ascii="Gotham" w:hAnsi="Gotham"/>
          <w:sz w:val="20"/>
          <w:szCs w:val="20"/>
        </w:rPr>
      </w:pPr>
    </w:p>
    <w:p w14:paraId="3A473587" w14:textId="77777777" w:rsidR="00016FE1" w:rsidRPr="00CB383D" w:rsidRDefault="00016FE1" w:rsidP="002B6227">
      <w:pPr>
        <w:jc w:val="center"/>
        <w:rPr>
          <w:rFonts w:ascii="Gotham" w:hAnsi="Gotham"/>
          <w:sz w:val="20"/>
          <w:szCs w:val="20"/>
        </w:rPr>
      </w:pPr>
      <w:r w:rsidRPr="00CB383D">
        <w:rPr>
          <w:rFonts w:ascii="Gotham" w:hAnsi="Gotham"/>
          <w:sz w:val="20"/>
          <w:szCs w:val="20"/>
        </w:rPr>
        <w:t>EXPOSICIÓN DE MOTIVO</w:t>
      </w:r>
    </w:p>
    <w:p w14:paraId="3A473588" w14:textId="77777777" w:rsidR="00016FE1" w:rsidRDefault="00016FE1" w:rsidP="002B6227">
      <w:pPr>
        <w:jc w:val="both"/>
        <w:rPr>
          <w:rFonts w:ascii="Gotham" w:hAnsi="Gotham"/>
          <w:sz w:val="20"/>
          <w:szCs w:val="20"/>
        </w:rPr>
      </w:pPr>
    </w:p>
    <w:p w14:paraId="3A473589" w14:textId="77777777" w:rsidR="00016FE1" w:rsidRPr="00CB383D" w:rsidRDefault="00016FE1" w:rsidP="002B6227">
      <w:pPr>
        <w:jc w:val="both"/>
        <w:rPr>
          <w:rFonts w:ascii="Gotham" w:hAnsi="Gotham"/>
          <w:sz w:val="20"/>
          <w:szCs w:val="20"/>
        </w:rPr>
      </w:pPr>
      <w:r w:rsidRPr="00CB383D">
        <w:rPr>
          <w:rFonts w:ascii="Gotham" w:hAnsi="Gotham"/>
          <w:sz w:val="20"/>
          <w:szCs w:val="20"/>
        </w:rPr>
        <w:t>Distinguido Pleno de Cabildo</w:t>
      </w:r>
      <w:r>
        <w:rPr>
          <w:rFonts w:ascii="Gotham" w:hAnsi="Gotham"/>
          <w:sz w:val="20"/>
          <w:szCs w:val="20"/>
        </w:rPr>
        <w:t>,</w:t>
      </w:r>
      <w:r w:rsidRPr="00CB383D">
        <w:rPr>
          <w:rFonts w:ascii="Gotham" w:hAnsi="Gotham"/>
          <w:sz w:val="20"/>
          <w:szCs w:val="20"/>
        </w:rPr>
        <w:t xml:space="preserve"> </w:t>
      </w:r>
      <w:r>
        <w:rPr>
          <w:rFonts w:ascii="Gotham" w:hAnsi="Gotham"/>
          <w:sz w:val="20"/>
          <w:szCs w:val="20"/>
        </w:rPr>
        <w:t>c</w:t>
      </w:r>
      <w:r w:rsidRPr="00CB383D">
        <w:rPr>
          <w:rFonts w:ascii="Gotham" w:hAnsi="Gotham"/>
          <w:sz w:val="20"/>
          <w:szCs w:val="20"/>
        </w:rPr>
        <w:t xml:space="preserve">ompañeras Regidoras y Regidores que lo integran, con el respeto que merecen, en mí carácter de Presidente de la Comisión Edilicia de Protección Civil y Bomberos, hago de su más amplio conocimiento como Máximo </w:t>
      </w:r>
      <w:r>
        <w:rPr>
          <w:rFonts w:ascii="Gotham" w:hAnsi="Gotham"/>
          <w:sz w:val="20"/>
          <w:szCs w:val="20"/>
        </w:rPr>
        <w:t>Ó</w:t>
      </w:r>
      <w:r w:rsidRPr="00CB383D">
        <w:rPr>
          <w:rFonts w:ascii="Gotham" w:hAnsi="Gotham"/>
          <w:sz w:val="20"/>
          <w:szCs w:val="20"/>
        </w:rPr>
        <w:t xml:space="preserve">rgano Colegiado, en funciones y facultades inherentes al cargo que ostentamos: La Profesión de Bombero, es una de las más destacadas e importante en </w:t>
      </w:r>
      <w:r w:rsidRPr="00F858CF">
        <w:rPr>
          <w:rFonts w:ascii="Gotham" w:hAnsi="Gotham"/>
          <w:sz w:val="20"/>
          <w:szCs w:val="20"/>
        </w:rPr>
        <w:t>nuestro sociedad</w:t>
      </w:r>
      <w:r w:rsidRPr="00CB383D">
        <w:rPr>
          <w:rFonts w:ascii="Gotham" w:hAnsi="Gotham"/>
          <w:sz w:val="20"/>
          <w:szCs w:val="20"/>
        </w:rPr>
        <w:t xml:space="preserve">, todas y todos aquellos mujeres y hombres, quienes han logrado llegar, tienen el honor de formar parte de nuestro Honorable Cuerpo Protección Civil y Bomberos en nuestro Municipio, son personas que sacrifican sus vidas, convivencias sociales y familiares, porque día a día se </w:t>
      </w:r>
      <w:r w:rsidRPr="00CB383D">
        <w:rPr>
          <w:rFonts w:ascii="Gotham" w:hAnsi="Gotham"/>
          <w:noProof/>
          <w:sz w:val="20"/>
          <w:szCs w:val="20"/>
          <w:lang w:val="es-MX" w:eastAsia="es-MX"/>
        </w:rPr>
        <w:drawing>
          <wp:inline distT="0" distB="0" distL="0" distR="0" wp14:anchorId="3A476884" wp14:editId="3A476885">
            <wp:extent cx="3048" cy="3049"/>
            <wp:effectExtent l="0" t="0" r="0" b="0"/>
            <wp:docPr id="2907" name="Picture 2907"/>
            <wp:cNvGraphicFramePr/>
            <a:graphic xmlns:a="http://schemas.openxmlformats.org/drawingml/2006/main">
              <a:graphicData uri="http://schemas.openxmlformats.org/drawingml/2006/picture">
                <pic:pic xmlns:pic="http://schemas.openxmlformats.org/drawingml/2006/picture">
                  <pic:nvPicPr>
                    <pic:cNvPr id="2907" name="Picture 2907"/>
                    <pic:cNvPicPr/>
                  </pic:nvPicPr>
                  <pic:blipFill>
                    <a:blip r:embed="rId10"/>
                    <a:stretch>
                      <a:fillRect/>
                    </a:stretch>
                  </pic:blipFill>
                  <pic:spPr>
                    <a:xfrm>
                      <a:off x="0" y="0"/>
                      <a:ext cx="3048" cy="3049"/>
                    </a:xfrm>
                    <a:prstGeom prst="rect">
                      <a:avLst/>
                    </a:prstGeom>
                  </pic:spPr>
                </pic:pic>
              </a:graphicData>
            </a:graphic>
          </wp:inline>
        </w:drawing>
      </w:r>
      <w:r w:rsidRPr="00CB383D">
        <w:rPr>
          <w:rFonts w:ascii="Gotham" w:hAnsi="Gotham"/>
          <w:sz w:val="20"/>
          <w:szCs w:val="20"/>
        </w:rPr>
        <w:t xml:space="preserve"> tienen que preparar por medio de capacitaciones, cursos especializados para ser mejores, logrando certificarse, porque en ellos recae la responsabilidad en la atención de siniestros y accidentes, cuya primer obligación es la de rescatar vidas humanas, e inclusive de </w:t>
      </w:r>
      <w:r w:rsidRPr="00CB383D">
        <w:rPr>
          <w:rFonts w:ascii="Gotham" w:hAnsi="Gotham"/>
          <w:noProof/>
          <w:sz w:val="20"/>
          <w:szCs w:val="20"/>
          <w:lang w:val="es-MX" w:eastAsia="es-MX"/>
        </w:rPr>
        <w:drawing>
          <wp:inline distT="0" distB="0" distL="0" distR="0" wp14:anchorId="3A476886" wp14:editId="3A476887">
            <wp:extent cx="9144" cy="9147"/>
            <wp:effectExtent l="0" t="0" r="0" b="0"/>
            <wp:docPr id="2908" name="Picture 2908"/>
            <wp:cNvGraphicFramePr/>
            <a:graphic xmlns:a="http://schemas.openxmlformats.org/drawingml/2006/main">
              <a:graphicData uri="http://schemas.openxmlformats.org/drawingml/2006/picture">
                <pic:pic xmlns:pic="http://schemas.openxmlformats.org/drawingml/2006/picture">
                  <pic:nvPicPr>
                    <pic:cNvPr id="2908" name="Picture 2908"/>
                    <pic:cNvPicPr/>
                  </pic:nvPicPr>
                  <pic:blipFill>
                    <a:blip r:embed="rId11"/>
                    <a:stretch>
                      <a:fillRect/>
                    </a:stretch>
                  </pic:blipFill>
                  <pic:spPr>
                    <a:xfrm>
                      <a:off x="0" y="0"/>
                      <a:ext cx="9144" cy="9147"/>
                    </a:xfrm>
                    <a:prstGeom prst="rect">
                      <a:avLst/>
                    </a:prstGeom>
                  </pic:spPr>
                </pic:pic>
              </a:graphicData>
            </a:graphic>
          </wp:inline>
        </w:drawing>
      </w:r>
      <w:r w:rsidRPr="00CB383D">
        <w:rPr>
          <w:rFonts w:ascii="Gotham" w:hAnsi="Gotham"/>
          <w:sz w:val="20"/>
          <w:szCs w:val="20"/>
        </w:rPr>
        <w:t>animalitos, quienes al encontrase en un siniestro derivado de Incendios, provocados o accidentales, así como en accidentes automovilísticos, o tal vez derivados de acciones humanas por disparos de arma de fuego o situaciones de utilización de sustancias químicas, siempre intervendrán en favor de las y los ciudadanos, aun exponiendo sus propias vidas.</w:t>
      </w:r>
    </w:p>
    <w:p w14:paraId="3A47358A" w14:textId="77777777" w:rsidR="00016FE1" w:rsidRDefault="00016FE1" w:rsidP="002B6227">
      <w:pPr>
        <w:jc w:val="both"/>
        <w:rPr>
          <w:rFonts w:ascii="Gotham" w:hAnsi="Gotham"/>
          <w:sz w:val="20"/>
          <w:szCs w:val="20"/>
        </w:rPr>
      </w:pPr>
    </w:p>
    <w:p w14:paraId="3A47358B" w14:textId="77777777" w:rsidR="00016FE1" w:rsidRPr="00CB383D" w:rsidRDefault="00016FE1" w:rsidP="002B6227">
      <w:pPr>
        <w:jc w:val="both"/>
        <w:rPr>
          <w:rFonts w:ascii="Gotham" w:hAnsi="Gotham"/>
          <w:sz w:val="20"/>
          <w:szCs w:val="20"/>
        </w:rPr>
      </w:pPr>
      <w:r w:rsidRPr="00CB383D">
        <w:rPr>
          <w:rFonts w:ascii="Gotham" w:hAnsi="Gotham"/>
          <w:sz w:val="20"/>
          <w:szCs w:val="20"/>
        </w:rPr>
        <w:t>Cabe destacar que son una parte esencial de nuestro Organigrama Municipal, ya que han transcurr</w:t>
      </w:r>
      <w:r>
        <w:rPr>
          <w:rFonts w:ascii="Gotham" w:hAnsi="Gotham"/>
          <w:sz w:val="20"/>
          <w:szCs w:val="20"/>
        </w:rPr>
        <w:t>ido varias administraciones y só</w:t>
      </w:r>
      <w:r w:rsidRPr="00CB383D">
        <w:rPr>
          <w:rFonts w:ascii="Gotham" w:hAnsi="Gotham"/>
          <w:sz w:val="20"/>
          <w:szCs w:val="20"/>
        </w:rPr>
        <w:t xml:space="preserve">lo en nómina existe </w:t>
      </w:r>
      <w:r>
        <w:rPr>
          <w:rFonts w:ascii="Gotham" w:hAnsi="Gotham"/>
          <w:sz w:val="20"/>
          <w:szCs w:val="20"/>
        </w:rPr>
        <w:t>un centenar de "traga-humo" o "h</w:t>
      </w:r>
      <w:r w:rsidRPr="00CB383D">
        <w:rPr>
          <w:rFonts w:ascii="Gotham" w:hAnsi="Gotham"/>
          <w:sz w:val="20"/>
          <w:szCs w:val="20"/>
        </w:rPr>
        <w:t>éroes sin capa", como coloquialmente les llama la sociedad, a ellos no se ha incrementado sus salarios, al igual que el escalafón está muy lejos de llegar a ellos para reconocerles, con su trayectoria, así como su aportación que re</w:t>
      </w:r>
      <w:r>
        <w:rPr>
          <w:rFonts w:ascii="Gotham" w:hAnsi="Gotham"/>
          <w:sz w:val="20"/>
          <w:szCs w:val="20"/>
        </w:rPr>
        <w:t>alizan día a día a la sociedad t</w:t>
      </w:r>
      <w:r w:rsidRPr="00CB383D">
        <w:rPr>
          <w:rFonts w:ascii="Gotham" w:hAnsi="Gotham"/>
          <w:sz w:val="20"/>
          <w:szCs w:val="20"/>
        </w:rPr>
        <w:t xml:space="preserve">onalteca, e inclusive a </w:t>
      </w:r>
      <w:r>
        <w:rPr>
          <w:rFonts w:ascii="Gotham" w:hAnsi="Gotham"/>
          <w:sz w:val="20"/>
          <w:szCs w:val="20"/>
        </w:rPr>
        <w:t>c</w:t>
      </w:r>
      <w:r w:rsidRPr="00CB383D">
        <w:rPr>
          <w:rFonts w:ascii="Gotham" w:hAnsi="Gotham"/>
          <w:sz w:val="20"/>
          <w:szCs w:val="20"/>
        </w:rPr>
        <w:t>iudadanos que se encuentran de paso en nuestro territorio y que sufren algún siniestro.</w:t>
      </w:r>
    </w:p>
    <w:p w14:paraId="3A47358C" w14:textId="77777777" w:rsidR="00016FE1" w:rsidRDefault="00016FE1" w:rsidP="002B6227">
      <w:pPr>
        <w:jc w:val="both"/>
        <w:rPr>
          <w:rFonts w:ascii="Gotham" w:hAnsi="Gotham"/>
          <w:sz w:val="20"/>
          <w:szCs w:val="20"/>
        </w:rPr>
      </w:pPr>
    </w:p>
    <w:p w14:paraId="3A47358D" w14:textId="77777777" w:rsidR="00016FE1" w:rsidRPr="00CB383D" w:rsidRDefault="00016FE1" w:rsidP="002B6227">
      <w:pPr>
        <w:jc w:val="both"/>
        <w:rPr>
          <w:rFonts w:ascii="Gotham" w:hAnsi="Gotham"/>
          <w:sz w:val="20"/>
          <w:szCs w:val="20"/>
        </w:rPr>
      </w:pPr>
      <w:r>
        <w:rPr>
          <w:rFonts w:ascii="Gotham" w:hAnsi="Gotham"/>
          <w:sz w:val="20"/>
          <w:szCs w:val="20"/>
        </w:rPr>
        <w:t>Es el c</w:t>
      </w:r>
      <w:r w:rsidRPr="00CB383D">
        <w:rPr>
          <w:rFonts w:ascii="Gotham" w:hAnsi="Gotham"/>
          <w:sz w:val="20"/>
          <w:szCs w:val="20"/>
        </w:rPr>
        <w:t>aso en concreto que me ocupa, por esta ocasión, es el solicitar a Usted Presidente Municipal</w:t>
      </w:r>
      <w:r>
        <w:rPr>
          <w:rFonts w:ascii="Gotham" w:hAnsi="Gotham"/>
          <w:sz w:val="20"/>
          <w:szCs w:val="20"/>
        </w:rPr>
        <w:t>,</w:t>
      </w:r>
      <w:r w:rsidRPr="00CB383D">
        <w:rPr>
          <w:rFonts w:ascii="Gotham" w:hAnsi="Gotham"/>
          <w:sz w:val="20"/>
          <w:szCs w:val="20"/>
        </w:rPr>
        <w:t xml:space="preserve"> Sergio Armando Chávez Dávalos, por su gran entrega y su gran corazón que lo distingue en su actuar como Primer Edil, así como a todas y todos ustedes Regidoras y Regidores, tengamos la sensibilidad de este año 2024, "EL OTORGARLES EL BO</w:t>
      </w:r>
      <w:r>
        <w:rPr>
          <w:rFonts w:ascii="Gotham" w:hAnsi="Gotham"/>
          <w:sz w:val="20"/>
          <w:szCs w:val="20"/>
        </w:rPr>
        <w:t>NO DEL DIA DEL BOMBERO", como mé</w:t>
      </w:r>
      <w:r w:rsidRPr="00CB383D">
        <w:rPr>
          <w:rFonts w:ascii="Gotham" w:hAnsi="Gotham"/>
          <w:sz w:val="20"/>
          <w:szCs w:val="20"/>
        </w:rPr>
        <w:t>rito a su actuación en su actividad d</w:t>
      </w:r>
      <w:r>
        <w:rPr>
          <w:rFonts w:ascii="Gotham" w:hAnsi="Gotham"/>
          <w:sz w:val="20"/>
          <w:szCs w:val="20"/>
        </w:rPr>
        <w:t>estacada en el día a día, tan só</w:t>
      </w:r>
      <w:r w:rsidRPr="00CB383D">
        <w:rPr>
          <w:rFonts w:ascii="Gotham" w:hAnsi="Gotham"/>
          <w:sz w:val="20"/>
          <w:szCs w:val="20"/>
        </w:rPr>
        <w:t>lo es algo que merecen por su valía e interés destacada de todos y cada uno de ellos en sus valiosas intervenciones.</w:t>
      </w:r>
    </w:p>
    <w:p w14:paraId="3A47358E" w14:textId="77777777" w:rsidR="00016FE1" w:rsidRDefault="00016FE1" w:rsidP="002B6227">
      <w:pPr>
        <w:jc w:val="both"/>
        <w:rPr>
          <w:rFonts w:ascii="Gotham" w:hAnsi="Gotham"/>
          <w:sz w:val="20"/>
          <w:szCs w:val="20"/>
        </w:rPr>
      </w:pPr>
    </w:p>
    <w:p w14:paraId="3A47358F" w14:textId="77777777" w:rsidR="00016FE1" w:rsidRPr="00CB383D" w:rsidRDefault="00016FE1" w:rsidP="002B6227">
      <w:pPr>
        <w:jc w:val="both"/>
        <w:rPr>
          <w:rFonts w:ascii="Gotham" w:hAnsi="Gotham"/>
          <w:sz w:val="20"/>
          <w:szCs w:val="20"/>
        </w:rPr>
      </w:pPr>
      <w:r w:rsidRPr="00CB383D">
        <w:rPr>
          <w:rFonts w:ascii="Gotham" w:hAnsi="Gotham"/>
          <w:sz w:val="20"/>
          <w:szCs w:val="20"/>
        </w:rPr>
        <w:t>Por lo anteriormente expuesto dejo a consideración de este Honorable Pleno de Cabildo y solicito se apruebe y es de aprobarse:</w:t>
      </w:r>
      <w:r w:rsidRPr="00CB383D">
        <w:rPr>
          <w:rFonts w:ascii="Gotham" w:hAnsi="Gotham"/>
          <w:noProof/>
          <w:sz w:val="20"/>
          <w:szCs w:val="20"/>
          <w:lang w:val="es-MX" w:eastAsia="es-MX"/>
        </w:rPr>
        <w:drawing>
          <wp:inline distT="0" distB="0" distL="0" distR="0" wp14:anchorId="3A476888" wp14:editId="3A476889">
            <wp:extent cx="3048" cy="3049"/>
            <wp:effectExtent l="0" t="0" r="0" b="0"/>
            <wp:docPr id="5740" name="Picture 5740"/>
            <wp:cNvGraphicFramePr/>
            <a:graphic xmlns:a="http://schemas.openxmlformats.org/drawingml/2006/main">
              <a:graphicData uri="http://schemas.openxmlformats.org/drawingml/2006/picture">
                <pic:pic xmlns:pic="http://schemas.openxmlformats.org/drawingml/2006/picture">
                  <pic:nvPicPr>
                    <pic:cNvPr id="5740" name="Picture 5740"/>
                    <pic:cNvPicPr/>
                  </pic:nvPicPr>
                  <pic:blipFill>
                    <a:blip r:embed="rId12"/>
                    <a:stretch>
                      <a:fillRect/>
                    </a:stretch>
                  </pic:blipFill>
                  <pic:spPr>
                    <a:xfrm>
                      <a:off x="0" y="0"/>
                      <a:ext cx="3048" cy="3049"/>
                    </a:xfrm>
                    <a:prstGeom prst="rect">
                      <a:avLst/>
                    </a:prstGeom>
                  </pic:spPr>
                </pic:pic>
              </a:graphicData>
            </a:graphic>
          </wp:inline>
        </w:drawing>
      </w:r>
    </w:p>
    <w:p w14:paraId="3A473590" w14:textId="77777777" w:rsidR="00016FE1" w:rsidRDefault="00016FE1" w:rsidP="002B6227">
      <w:pPr>
        <w:jc w:val="both"/>
        <w:rPr>
          <w:rFonts w:ascii="Gotham" w:hAnsi="Gotham"/>
          <w:sz w:val="20"/>
          <w:szCs w:val="20"/>
        </w:rPr>
      </w:pPr>
    </w:p>
    <w:p w14:paraId="3A473591" w14:textId="77777777" w:rsidR="00016FE1" w:rsidRPr="00CB383D" w:rsidRDefault="00016FE1" w:rsidP="002B6227">
      <w:pPr>
        <w:jc w:val="center"/>
        <w:rPr>
          <w:rFonts w:ascii="Gotham" w:hAnsi="Gotham"/>
          <w:sz w:val="20"/>
          <w:szCs w:val="20"/>
        </w:rPr>
      </w:pPr>
      <w:r w:rsidRPr="00CB383D">
        <w:rPr>
          <w:rFonts w:ascii="Gotham" w:hAnsi="Gotham"/>
          <w:sz w:val="20"/>
          <w:szCs w:val="20"/>
        </w:rPr>
        <w:t>PROPONGO</w:t>
      </w:r>
    </w:p>
    <w:p w14:paraId="3A473592" w14:textId="77777777" w:rsidR="00016FE1" w:rsidRDefault="00016FE1" w:rsidP="002B6227">
      <w:pPr>
        <w:jc w:val="both"/>
        <w:rPr>
          <w:rFonts w:ascii="Gotham" w:hAnsi="Gotham"/>
          <w:sz w:val="20"/>
          <w:szCs w:val="20"/>
        </w:rPr>
      </w:pPr>
    </w:p>
    <w:p w14:paraId="3A473593" w14:textId="77777777" w:rsidR="00016FE1" w:rsidRPr="00CB383D" w:rsidRDefault="00016FE1" w:rsidP="002B6227">
      <w:pPr>
        <w:jc w:val="both"/>
        <w:rPr>
          <w:rFonts w:ascii="Gotham" w:hAnsi="Gotham"/>
          <w:sz w:val="20"/>
          <w:szCs w:val="20"/>
        </w:rPr>
      </w:pPr>
      <w:r w:rsidRPr="00CB383D">
        <w:rPr>
          <w:rFonts w:ascii="Gotham" w:hAnsi="Gotham"/>
          <w:sz w:val="20"/>
          <w:szCs w:val="20"/>
        </w:rPr>
        <w:t xml:space="preserve">PRIMERO.- Es de </w:t>
      </w:r>
      <w:r>
        <w:rPr>
          <w:rFonts w:ascii="Gotham" w:hAnsi="Gotham"/>
          <w:sz w:val="20"/>
          <w:szCs w:val="20"/>
        </w:rPr>
        <w:t>a</w:t>
      </w:r>
      <w:r w:rsidRPr="00CB383D">
        <w:rPr>
          <w:rFonts w:ascii="Gotham" w:hAnsi="Gotham"/>
          <w:sz w:val="20"/>
          <w:szCs w:val="20"/>
        </w:rPr>
        <w:t xml:space="preserve">probarse y se aprueba turnar a las Comisiones Edilicias de </w:t>
      </w:r>
      <w:r w:rsidRPr="00F858CF">
        <w:rPr>
          <w:rFonts w:ascii="Gotham" w:hAnsi="Gotham"/>
          <w:sz w:val="20"/>
          <w:szCs w:val="20"/>
        </w:rPr>
        <w:t>Hacienda Municipal y Presupuestos como convocante, y como coadyuvante la de Protección Civil y Bomberos, para que realicen las acciones pertinentes</w:t>
      </w:r>
      <w:r>
        <w:rPr>
          <w:rFonts w:ascii="Gotham" w:hAnsi="Gotham"/>
          <w:sz w:val="20"/>
          <w:szCs w:val="20"/>
        </w:rPr>
        <w:t>,</w:t>
      </w:r>
      <w:r w:rsidRPr="00CB383D">
        <w:rPr>
          <w:rFonts w:ascii="Gotham" w:hAnsi="Gotham"/>
          <w:sz w:val="20"/>
          <w:szCs w:val="20"/>
        </w:rPr>
        <w:t xml:space="preserve"> así como el estudio, análisis y dictaminarían de la presente.</w:t>
      </w:r>
    </w:p>
    <w:p w14:paraId="3A473594" w14:textId="77777777" w:rsidR="00016FE1" w:rsidRDefault="00016FE1" w:rsidP="002B6227">
      <w:pPr>
        <w:jc w:val="both"/>
        <w:rPr>
          <w:rFonts w:ascii="Gotham" w:hAnsi="Gotham"/>
          <w:sz w:val="20"/>
          <w:szCs w:val="20"/>
        </w:rPr>
      </w:pPr>
    </w:p>
    <w:p w14:paraId="3A473595" w14:textId="77777777" w:rsidR="00016FE1" w:rsidRPr="00CB383D" w:rsidRDefault="00016FE1" w:rsidP="002B6227">
      <w:pPr>
        <w:jc w:val="both"/>
        <w:rPr>
          <w:rFonts w:ascii="Gotham" w:hAnsi="Gotham"/>
          <w:sz w:val="20"/>
          <w:szCs w:val="20"/>
        </w:rPr>
      </w:pPr>
      <w:r w:rsidRPr="00CB383D">
        <w:rPr>
          <w:rFonts w:ascii="Gotham" w:hAnsi="Gotham"/>
          <w:sz w:val="20"/>
          <w:szCs w:val="20"/>
        </w:rPr>
        <w:t xml:space="preserve">SEGUNDO.- Se faculte al </w:t>
      </w:r>
      <w:r w:rsidRPr="00EF402F">
        <w:rPr>
          <w:rFonts w:ascii="Gotham" w:hAnsi="Gotham"/>
          <w:sz w:val="20"/>
          <w:szCs w:val="20"/>
        </w:rPr>
        <w:t>Presidente Municipal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w:t>
      </w:r>
      <w:r>
        <w:rPr>
          <w:rFonts w:ascii="Gotham" w:hAnsi="Gotham"/>
          <w:sz w:val="20"/>
          <w:szCs w:val="20"/>
        </w:rPr>
        <w:t>índico,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w:t>
      </w:r>
      <w:r>
        <w:rPr>
          <w:rFonts w:ascii="Gotham" w:hAnsi="Gotham"/>
          <w:sz w:val="20"/>
          <w:szCs w:val="20"/>
        </w:rPr>
        <w:t>;</w:t>
      </w:r>
      <w:r w:rsidRPr="00CB383D">
        <w:rPr>
          <w:rFonts w:ascii="Gotham" w:hAnsi="Gotham"/>
          <w:sz w:val="20"/>
          <w:szCs w:val="20"/>
        </w:rPr>
        <w:t xml:space="preserve"> para que</w:t>
      </w:r>
      <w:r>
        <w:rPr>
          <w:rFonts w:ascii="Gotham" w:hAnsi="Gotham"/>
          <w:sz w:val="20"/>
          <w:szCs w:val="20"/>
        </w:rPr>
        <w:t>,</w:t>
      </w:r>
      <w:r w:rsidRPr="00CB383D">
        <w:rPr>
          <w:rFonts w:ascii="Gotham" w:hAnsi="Gotham"/>
          <w:sz w:val="20"/>
          <w:szCs w:val="20"/>
        </w:rPr>
        <w:t xml:space="preserve"> de acuerdo a sus facultades</w:t>
      </w:r>
      <w:r>
        <w:rPr>
          <w:rFonts w:ascii="Gotham" w:hAnsi="Gotham"/>
          <w:sz w:val="20"/>
          <w:szCs w:val="20"/>
        </w:rPr>
        <w:t>, firmen todos y cada uno de</w:t>
      </w:r>
      <w:r w:rsidRPr="00CB383D">
        <w:rPr>
          <w:rFonts w:ascii="Gotham" w:hAnsi="Gotham"/>
          <w:noProof/>
          <w:sz w:val="20"/>
          <w:szCs w:val="20"/>
          <w:lang w:val="es-MX" w:eastAsia="es-MX"/>
        </w:rPr>
        <w:drawing>
          <wp:anchor distT="0" distB="0" distL="114300" distR="114300" simplePos="0" relativeHeight="251659264" behindDoc="1" locked="0" layoutInCell="1" allowOverlap="1" wp14:anchorId="3A47688A" wp14:editId="3A47688B">
            <wp:simplePos x="0" y="0"/>
            <wp:positionH relativeFrom="column">
              <wp:posOffset>2447925</wp:posOffset>
            </wp:positionH>
            <wp:positionV relativeFrom="paragraph">
              <wp:posOffset>378460</wp:posOffset>
            </wp:positionV>
            <wp:extent cx="2540" cy="2540"/>
            <wp:effectExtent l="0" t="0" r="0" b="0"/>
            <wp:wrapNone/>
            <wp:docPr id="5744" name="Picture 5744"/>
            <wp:cNvGraphicFramePr/>
            <a:graphic xmlns:a="http://schemas.openxmlformats.org/drawingml/2006/main">
              <a:graphicData uri="http://schemas.openxmlformats.org/drawingml/2006/picture">
                <pic:pic xmlns:pic="http://schemas.openxmlformats.org/drawingml/2006/picture">
                  <pic:nvPicPr>
                    <pic:cNvPr id="5744" name="Picture 5744"/>
                    <pic:cNvPicPr/>
                  </pic:nvPicPr>
                  <pic:blipFill>
                    <a:blip r:embed="rId13"/>
                    <a:stretch>
                      <a:fillRect/>
                    </a:stretch>
                  </pic:blipFill>
                  <pic:spPr>
                    <a:xfrm>
                      <a:off x="0" y="0"/>
                      <a:ext cx="2540" cy="2540"/>
                    </a:xfrm>
                    <a:prstGeom prst="rect">
                      <a:avLst/>
                    </a:prstGeom>
                  </pic:spPr>
                </pic:pic>
              </a:graphicData>
            </a:graphic>
          </wp:anchor>
        </w:drawing>
      </w:r>
      <w:r>
        <w:rPr>
          <w:rFonts w:ascii="Gotham" w:hAnsi="Gotham"/>
          <w:sz w:val="20"/>
          <w:szCs w:val="20"/>
        </w:rPr>
        <w:t xml:space="preserve"> </w:t>
      </w:r>
      <w:r w:rsidRPr="00CB383D">
        <w:rPr>
          <w:rFonts w:ascii="Gotham" w:hAnsi="Gotham"/>
          <w:sz w:val="20"/>
          <w:szCs w:val="20"/>
        </w:rPr>
        <w:t>los documentos necesarios para el cumplimiento del presente acuerdo.</w:t>
      </w:r>
    </w:p>
    <w:p w14:paraId="3A473596" w14:textId="77777777" w:rsidR="00016FE1" w:rsidRDefault="00016FE1" w:rsidP="002B6227">
      <w:pPr>
        <w:jc w:val="both"/>
        <w:rPr>
          <w:rFonts w:ascii="Gotham" w:hAnsi="Gotham"/>
          <w:sz w:val="20"/>
          <w:szCs w:val="20"/>
        </w:rPr>
      </w:pPr>
    </w:p>
    <w:p w14:paraId="3A473597" w14:textId="77777777" w:rsidR="00016FE1" w:rsidRPr="00351AD1" w:rsidRDefault="00016FE1" w:rsidP="002B6227">
      <w:pPr>
        <w:jc w:val="both"/>
        <w:rPr>
          <w:rFonts w:ascii="Gotham" w:hAnsi="Gotham" w:cs="Arial"/>
          <w:sz w:val="20"/>
          <w:szCs w:val="20"/>
        </w:rPr>
      </w:pPr>
      <w:r>
        <w:rPr>
          <w:rFonts w:ascii="Gotham" w:hAnsi="Gotham"/>
          <w:sz w:val="20"/>
          <w:szCs w:val="20"/>
        </w:rPr>
        <w:t xml:space="preserve">En uso de la voz el Presidente Municipal, Sergio Armando Chávez Dávalos, expresa que, se propone su turno a la Comisión Edilicia de Hacienda Municipal y Presupuestos, </w:t>
      </w:r>
      <w:r w:rsidRPr="00EC1525">
        <w:rPr>
          <w:rFonts w:ascii="Gotham" w:hAnsi="Gotham" w:cs="Arial"/>
          <w:sz w:val="20"/>
          <w:szCs w:val="20"/>
        </w:rPr>
        <w:t>así como a la de Protección Civil y Bomberos</w:t>
      </w:r>
      <w:r>
        <w:rPr>
          <w:rFonts w:ascii="Gotham" w:hAnsi="Gotham"/>
          <w:sz w:val="20"/>
          <w:szCs w:val="20"/>
        </w:rPr>
        <w:t>;</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598" w14:textId="77777777" w:rsidR="00016FE1" w:rsidRPr="00351AD1" w:rsidRDefault="00016FE1" w:rsidP="002B6227">
      <w:pPr>
        <w:jc w:val="both"/>
        <w:rPr>
          <w:rFonts w:ascii="Gotham" w:hAnsi="Gotham" w:cs="Arial"/>
          <w:sz w:val="20"/>
          <w:szCs w:val="20"/>
        </w:rPr>
      </w:pPr>
    </w:p>
    <w:p w14:paraId="3A473599"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59A" w14:textId="77777777" w:rsidR="00016FE1" w:rsidRPr="00351AD1" w:rsidRDefault="00016FE1" w:rsidP="002B6227">
      <w:pPr>
        <w:jc w:val="both"/>
        <w:rPr>
          <w:rFonts w:ascii="Gotham" w:hAnsi="Gotham" w:cs="Arial"/>
          <w:sz w:val="20"/>
          <w:szCs w:val="20"/>
        </w:rPr>
      </w:pPr>
    </w:p>
    <w:p w14:paraId="3A47359B" w14:textId="77777777" w:rsidR="00016FE1" w:rsidRDefault="00016FE1" w:rsidP="002B6227">
      <w:pPr>
        <w:jc w:val="both"/>
        <w:rPr>
          <w:rFonts w:ascii="Gotham" w:hAnsi="Gotham"/>
          <w:sz w:val="20"/>
          <w:szCs w:val="20"/>
        </w:rPr>
      </w:pPr>
      <w:r>
        <w:rPr>
          <w:rFonts w:ascii="Gotham" w:hAnsi="Gotham" w:cs="Arial"/>
          <w:sz w:val="20"/>
          <w:szCs w:val="20"/>
        </w:rPr>
        <w:lastRenderedPageBreak/>
        <w:t>En uso de la voz el Presidente Municipal, Sergio Armando Chávez Dávalos,</w:t>
      </w:r>
      <w:r w:rsidRPr="00351AD1">
        <w:rPr>
          <w:rFonts w:ascii="Gotham" w:hAnsi="Gotham" w:cs="Arial"/>
          <w:sz w:val="20"/>
          <w:szCs w:val="20"/>
        </w:rPr>
        <w:t xml:space="preserve"> expresa que, gracias Secretaria; queda aprobado.</w:t>
      </w:r>
    </w:p>
    <w:p w14:paraId="3A47359C" w14:textId="77777777" w:rsidR="00016FE1" w:rsidRDefault="00016FE1" w:rsidP="002B6227">
      <w:pPr>
        <w:jc w:val="both"/>
        <w:rPr>
          <w:rFonts w:ascii="Gotham" w:hAnsi="Gotham"/>
          <w:sz w:val="20"/>
          <w:szCs w:val="20"/>
        </w:rPr>
      </w:pPr>
    </w:p>
    <w:p w14:paraId="3A47359D" w14:textId="77777777" w:rsidR="00016FE1" w:rsidRPr="000F7447" w:rsidRDefault="00016FE1" w:rsidP="002B6227">
      <w:pPr>
        <w:jc w:val="both"/>
        <w:rPr>
          <w:rFonts w:ascii="Gotham" w:hAnsi="Gotham"/>
          <w:sz w:val="20"/>
          <w:szCs w:val="20"/>
        </w:rPr>
      </w:pPr>
    </w:p>
    <w:bookmarkEnd w:id="3"/>
    <w:p w14:paraId="3A47359E"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1122</w:t>
      </w:r>
    </w:p>
    <w:p w14:paraId="3A47359F" w14:textId="77777777" w:rsidR="00016FE1" w:rsidRPr="00CB1B36" w:rsidRDefault="00016FE1" w:rsidP="002B6227">
      <w:pPr>
        <w:jc w:val="both"/>
        <w:rPr>
          <w:rFonts w:ascii="Gotham" w:hAnsi="Gotham"/>
          <w:sz w:val="20"/>
          <w:szCs w:val="20"/>
        </w:rPr>
      </w:pPr>
      <w:r w:rsidRPr="000F7447">
        <w:rPr>
          <w:rFonts w:ascii="Gotham" w:hAnsi="Gotham"/>
          <w:b/>
          <w:bCs/>
          <w:smallCaps/>
          <w:sz w:val="20"/>
          <w:szCs w:val="20"/>
        </w:rPr>
        <w:t>Décima Iniciativa con Turno a Comisión</w:t>
      </w:r>
      <w:r w:rsidRPr="000F7447">
        <w:rPr>
          <w:rFonts w:ascii="Gotham" w:hAnsi="Gotham"/>
          <w:b/>
          <w:bCs/>
          <w:sz w:val="20"/>
          <w:szCs w:val="20"/>
        </w:rPr>
        <w:t xml:space="preserve">.- </w:t>
      </w:r>
      <w:r>
        <w:rPr>
          <w:rFonts w:ascii="Gotham" w:hAnsi="Gotham"/>
          <w:sz w:val="20"/>
          <w:szCs w:val="20"/>
        </w:rPr>
        <w:t xml:space="preserve">En uso de la voz el Regidor Manuel Nájera Martínez, </w:t>
      </w:r>
      <w:r w:rsidRPr="000F7447">
        <w:rPr>
          <w:rFonts w:ascii="Gotham" w:hAnsi="Gotham"/>
          <w:sz w:val="20"/>
          <w:szCs w:val="20"/>
        </w:rPr>
        <w:t>señala que,</w:t>
      </w:r>
      <w:r>
        <w:rPr>
          <w:rFonts w:ascii="Gotham" w:hAnsi="Gotham"/>
          <w:sz w:val="20"/>
          <w:szCs w:val="20"/>
        </w:rPr>
        <w:t xml:space="preserve"> </w:t>
      </w:r>
      <w:r w:rsidRPr="00EF402F">
        <w:rPr>
          <w:rFonts w:ascii="Gotham" w:hAnsi="Gotham"/>
          <w:sz w:val="20"/>
          <w:szCs w:val="20"/>
        </w:rPr>
        <w:t xml:space="preserve">con el permiso </w:t>
      </w:r>
      <w:r>
        <w:rPr>
          <w:rFonts w:ascii="Gotham" w:hAnsi="Gotham"/>
          <w:sz w:val="20"/>
          <w:szCs w:val="20"/>
        </w:rPr>
        <w:t>s</w:t>
      </w:r>
      <w:r w:rsidRPr="00EF402F">
        <w:rPr>
          <w:rFonts w:ascii="Gotham" w:hAnsi="Gotham"/>
          <w:sz w:val="20"/>
          <w:szCs w:val="20"/>
        </w:rPr>
        <w:t xml:space="preserve">eñor Presidente </w:t>
      </w:r>
      <w:r>
        <w:rPr>
          <w:rFonts w:ascii="Gotham" w:hAnsi="Gotham"/>
          <w:sz w:val="20"/>
          <w:szCs w:val="20"/>
        </w:rPr>
        <w:t>M</w:t>
      </w:r>
      <w:r w:rsidRPr="00EF402F">
        <w:rPr>
          <w:rFonts w:ascii="Gotham" w:hAnsi="Gotham"/>
          <w:sz w:val="20"/>
          <w:szCs w:val="20"/>
        </w:rPr>
        <w:t>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Síndico Municipal</w:t>
      </w:r>
      <w:r>
        <w:rPr>
          <w:rFonts w:ascii="Gotham" w:hAnsi="Gotham"/>
          <w:sz w:val="20"/>
          <w:szCs w:val="20"/>
        </w:rPr>
        <w:t>,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 compañeras Regidoras y compañeros Regidores de este Honorable Pleno</w:t>
      </w:r>
      <w:r>
        <w:rPr>
          <w:rFonts w:ascii="Gotham" w:hAnsi="Gotham"/>
          <w:sz w:val="20"/>
          <w:szCs w:val="20"/>
        </w:rPr>
        <w:t xml:space="preserve"> de Cabildo para los años 2021-2024;</w:t>
      </w:r>
      <w:r w:rsidRPr="00EF402F">
        <w:rPr>
          <w:rFonts w:ascii="Gotham" w:hAnsi="Gotham"/>
          <w:sz w:val="20"/>
          <w:szCs w:val="20"/>
        </w:rPr>
        <w:t xml:space="preserve"> con fundamento en los artículos 13, 14, 22</w:t>
      </w:r>
      <w:r>
        <w:rPr>
          <w:rFonts w:ascii="Gotham" w:hAnsi="Gotham"/>
          <w:sz w:val="20"/>
          <w:szCs w:val="20"/>
        </w:rPr>
        <w:t xml:space="preserve"> y</w:t>
      </w:r>
      <w:r w:rsidRPr="00EF402F">
        <w:rPr>
          <w:rFonts w:ascii="Gotham" w:hAnsi="Gotham"/>
          <w:sz w:val="20"/>
          <w:szCs w:val="20"/>
        </w:rPr>
        <w:t xml:space="preserve"> 82</w:t>
      </w:r>
      <w:r>
        <w:rPr>
          <w:rFonts w:ascii="Gotham" w:hAnsi="Gotham"/>
          <w:sz w:val="20"/>
          <w:szCs w:val="20"/>
        </w:rPr>
        <w:t>,</w:t>
      </w:r>
      <w:r w:rsidRPr="00EF402F">
        <w:rPr>
          <w:rFonts w:ascii="Gotham" w:hAnsi="Gotham"/>
          <w:sz w:val="20"/>
          <w:szCs w:val="20"/>
        </w:rPr>
        <w:t xml:space="preserve"> fracción </w:t>
      </w:r>
      <w:r>
        <w:rPr>
          <w:rFonts w:ascii="Gotham" w:hAnsi="Gotham"/>
          <w:sz w:val="20"/>
          <w:szCs w:val="20"/>
        </w:rPr>
        <w:t>II,</w:t>
      </w:r>
      <w:r w:rsidRPr="00EF402F">
        <w:rPr>
          <w:rFonts w:ascii="Gotham" w:hAnsi="Gotham"/>
          <w:sz w:val="20"/>
          <w:szCs w:val="20"/>
        </w:rPr>
        <w:t xml:space="preserve"> del </w:t>
      </w:r>
      <w:r w:rsidRPr="00F858CF">
        <w:rPr>
          <w:rFonts w:ascii="Gotham" w:hAnsi="Gotham"/>
          <w:sz w:val="20"/>
          <w:szCs w:val="20"/>
        </w:rPr>
        <w:t>Reglamento para el Funcionamiento Interno de las Sesiones del Ayuntamiento Constitucional de Tonalá, Jalisco; muy respetuosamente tengo a bien en presentar</w:t>
      </w:r>
      <w:r w:rsidRPr="00EF402F">
        <w:rPr>
          <w:rFonts w:ascii="Gotham" w:hAnsi="Gotham"/>
          <w:sz w:val="20"/>
          <w:szCs w:val="20"/>
        </w:rPr>
        <w:t xml:space="preserve"> la siguiente iniciativa con turno a comisión que tiene por objeto</w:t>
      </w:r>
      <w:r>
        <w:rPr>
          <w:rFonts w:ascii="Gotham" w:hAnsi="Gotham"/>
          <w:sz w:val="20"/>
          <w:szCs w:val="20"/>
        </w:rPr>
        <w:t xml:space="preserve"> </w:t>
      </w:r>
      <w:r w:rsidRPr="00CB1B36">
        <w:rPr>
          <w:rFonts w:ascii="Gotham" w:hAnsi="Gotham"/>
          <w:sz w:val="20"/>
          <w:szCs w:val="20"/>
        </w:rPr>
        <w:t>"QUE TIENE POR OBJETO LA ADQUISICION DE 02 DOS AMBULANCIAS ELECTROMEDICAMENTE EQUIPADAS"</w:t>
      </w:r>
      <w:r>
        <w:rPr>
          <w:rFonts w:ascii="Gotham" w:hAnsi="Gotham"/>
          <w:sz w:val="20"/>
          <w:szCs w:val="20"/>
        </w:rPr>
        <w:t>;</w:t>
      </w:r>
      <w:r w:rsidRPr="00CB1B36">
        <w:rPr>
          <w:rFonts w:ascii="Gotham" w:hAnsi="Gotham"/>
          <w:sz w:val="20"/>
          <w:szCs w:val="20"/>
        </w:rPr>
        <w:t xml:space="preserve"> para tal efecto señalo lo siguiente:</w:t>
      </w:r>
    </w:p>
    <w:p w14:paraId="3A4735A0" w14:textId="77777777" w:rsidR="00016FE1" w:rsidRDefault="00016FE1" w:rsidP="002B6227">
      <w:pPr>
        <w:tabs>
          <w:tab w:val="left" w:pos="841"/>
        </w:tabs>
        <w:jc w:val="both"/>
        <w:rPr>
          <w:rFonts w:ascii="Gotham" w:hAnsi="Gotham"/>
          <w:sz w:val="20"/>
          <w:szCs w:val="20"/>
        </w:rPr>
      </w:pPr>
    </w:p>
    <w:p w14:paraId="3A4735A1" w14:textId="77777777" w:rsidR="00016FE1" w:rsidRPr="00CB1B36" w:rsidRDefault="00016FE1" w:rsidP="002B6227">
      <w:pPr>
        <w:tabs>
          <w:tab w:val="left" w:pos="841"/>
        </w:tabs>
        <w:jc w:val="center"/>
        <w:rPr>
          <w:rFonts w:ascii="Gotham" w:hAnsi="Gotham"/>
          <w:sz w:val="20"/>
          <w:szCs w:val="20"/>
        </w:rPr>
      </w:pPr>
      <w:r w:rsidRPr="00CB1B36">
        <w:rPr>
          <w:rFonts w:ascii="Gotham" w:hAnsi="Gotham"/>
          <w:sz w:val="20"/>
          <w:szCs w:val="20"/>
        </w:rPr>
        <w:t>EXPOSICIÓN DE MOTIVO</w:t>
      </w:r>
    </w:p>
    <w:p w14:paraId="3A4735A2" w14:textId="77777777" w:rsidR="00016FE1" w:rsidRDefault="00016FE1" w:rsidP="002B6227">
      <w:pPr>
        <w:tabs>
          <w:tab w:val="left" w:pos="841"/>
        </w:tabs>
        <w:jc w:val="both"/>
        <w:rPr>
          <w:rFonts w:ascii="Gotham" w:hAnsi="Gotham"/>
          <w:sz w:val="20"/>
          <w:szCs w:val="20"/>
        </w:rPr>
      </w:pPr>
    </w:p>
    <w:p w14:paraId="3A4735A3" w14:textId="77777777" w:rsidR="00016FE1" w:rsidRPr="00CB1B36" w:rsidRDefault="00016FE1" w:rsidP="002B6227">
      <w:pPr>
        <w:tabs>
          <w:tab w:val="left" w:pos="841"/>
        </w:tabs>
        <w:jc w:val="both"/>
        <w:rPr>
          <w:rFonts w:ascii="Gotham" w:hAnsi="Gotham"/>
          <w:sz w:val="20"/>
          <w:szCs w:val="20"/>
        </w:rPr>
      </w:pPr>
      <w:r w:rsidRPr="00CB1B36">
        <w:rPr>
          <w:rFonts w:ascii="Gotham" w:hAnsi="Gotham"/>
          <w:sz w:val="20"/>
          <w:szCs w:val="20"/>
        </w:rPr>
        <w:t xml:space="preserve">En la actualidad esta Administración 2021-2024 ha realizado una inversión importante en la adquisición de vehículos AMBULANCIAS ELECTROMEDICAMENTE EQUIPADAS, para los Servicios Médicos Municipales (CRUZ VERDE) cuenten con un Parque Vehicular suficiente para atender los servicios de siniestros, accidentes vehiculares, accidentes de menores en casa habitación, personas por sumersión en cuerpos de agua, a consecuencia de ello resultan con lesiones simples y/o graves, en general contamos con personal </w:t>
      </w:r>
      <w:r>
        <w:rPr>
          <w:rFonts w:ascii="Gotham" w:hAnsi="Gotham"/>
          <w:sz w:val="20"/>
          <w:szCs w:val="20"/>
        </w:rPr>
        <w:t>c</w:t>
      </w:r>
      <w:r w:rsidRPr="00CB1B36">
        <w:rPr>
          <w:rFonts w:ascii="Gotham" w:hAnsi="Gotham"/>
          <w:sz w:val="20"/>
          <w:szCs w:val="20"/>
        </w:rPr>
        <w:t xml:space="preserve">ertificado como Paramédicos para atender a las víctimas de los accidentes y siniestros que se presentan en el interior de nuestra área geográfica, pero es necesario continuar invirtiendo en equipo, material pero muy en particular </w:t>
      </w:r>
      <w:r>
        <w:rPr>
          <w:rFonts w:ascii="Gotham" w:hAnsi="Gotham"/>
          <w:sz w:val="20"/>
          <w:szCs w:val="20"/>
        </w:rPr>
        <w:t>v</w:t>
      </w:r>
      <w:r w:rsidRPr="00CB1B36">
        <w:rPr>
          <w:rFonts w:ascii="Gotham" w:hAnsi="Gotham"/>
          <w:sz w:val="20"/>
          <w:szCs w:val="20"/>
        </w:rPr>
        <w:t>ehículos que son necesarios e indispensables, para que se continúe atendiendo a las y los ciudadanos que sufren este tipo de lesiones, para que se trasladen y se les otorgue una atención digna y especializada, en sus primeros auxilios, estar en posibilidad de resguardar su vida, en el traslado y llegar a las clínicas o en su caso hospitales con mayor oportunidad al conservar sus signos vitales, y para ello solicito de Usted Presidente Municipal</w:t>
      </w:r>
      <w:r>
        <w:rPr>
          <w:rFonts w:ascii="Gotham" w:hAnsi="Gotham"/>
          <w:sz w:val="20"/>
          <w:szCs w:val="20"/>
        </w:rPr>
        <w:t>,</w:t>
      </w:r>
      <w:r w:rsidRPr="00CB1B36">
        <w:rPr>
          <w:rFonts w:ascii="Gotham" w:hAnsi="Gotham"/>
          <w:sz w:val="20"/>
          <w:szCs w:val="20"/>
        </w:rPr>
        <w:t xml:space="preserve"> Sergio Armando Chávez Dávalos</w:t>
      </w:r>
      <w:r>
        <w:rPr>
          <w:rFonts w:ascii="Gotham" w:hAnsi="Gotham"/>
          <w:sz w:val="20"/>
          <w:szCs w:val="20"/>
        </w:rPr>
        <w:t>,</w:t>
      </w:r>
      <w:r w:rsidRPr="00CB1B36">
        <w:rPr>
          <w:rFonts w:ascii="Gotham" w:hAnsi="Gotham"/>
          <w:sz w:val="20"/>
          <w:szCs w:val="20"/>
        </w:rPr>
        <w:t xml:space="preserve"> su valiosa intervención</w:t>
      </w:r>
      <w:r>
        <w:rPr>
          <w:rFonts w:ascii="Gotham" w:hAnsi="Gotham"/>
          <w:sz w:val="20"/>
          <w:szCs w:val="20"/>
        </w:rPr>
        <w:t>,</w:t>
      </w:r>
      <w:r w:rsidRPr="00CB1B36">
        <w:rPr>
          <w:rFonts w:ascii="Gotham" w:hAnsi="Gotham"/>
          <w:sz w:val="20"/>
          <w:szCs w:val="20"/>
        </w:rPr>
        <w:t xml:space="preserve"> así como de todos ustedes amigas y amigos Regidoras y Regidores</w:t>
      </w:r>
      <w:r>
        <w:rPr>
          <w:rFonts w:ascii="Gotham" w:hAnsi="Gotham"/>
          <w:sz w:val="20"/>
          <w:szCs w:val="20"/>
        </w:rPr>
        <w:t>,</w:t>
      </w:r>
      <w:r w:rsidRPr="00CB1B36">
        <w:rPr>
          <w:rFonts w:ascii="Gotham" w:hAnsi="Gotham"/>
          <w:sz w:val="20"/>
          <w:szCs w:val="20"/>
        </w:rPr>
        <w:t xml:space="preserve"> se autorice la adquisición de 02 DOS AMBULANCIAS ELECTROMEDICAMENTE EQUIPADAS, en este ejercicio </w:t>
      </w:r>
      <w:r>
        <w:rPr>
          <w:rFonts w:ascii="Gotham" w:hAnsi="Gotham"/>
          <w:sz w:val="20"/>
          <w:szCs w:val="20"/>
        </w:rPr>
        <w:t>f</w:t>
      </w:r>
      <w:r w:rsidRPr="00CB1B36">
        <w:rPr>
          <w:rFonts w:ascii="Gotham" w:hAnsi="Gotham"/>
          <w:sz w:val="20"/>
          <w:szCs w:val="20"/>
        </w:rPr>
        <w:t>iscal 2024.</w:t>
      </w:r>
    </w:p>
    <w:p w14:paraId="3A4735A4" w14:textId="77777777" w:rsidR="00016FE1" w:rsidRDefault="00016FE1" w:rsidP="002B6227">
      <w:pPr>
        <w:tabs>
          <w:tab w:val="left" w:pos="841"/>
        </w:tabs>
        <w:jc w:val="both"/>
        <w:rPr>
          <w:rFonts w:ascii="Gotham" w:hAnsi="Gotham"/>
          <w:sz w:val="20"/>
          <w:szCs w:val="20"/>
        </w:rPr>
      </w:pPr>
    </w:p>
    <w:p w14:paraId="3A4735A5" w14:textId="77777777" w:rsidR="00016FE1" w:rsidRPr="00CB1B36" w:rsidRDefault="00016FE1" w:rsidP="002B6227">
      <w:pPr>
        <w:tabs>
          <w:tab w:val="left" w:pos="841"/>
        </w:tabs>
        <w:jc w:val="both"/>
        <w:rPr>
          <w:rFonts w:ascii="Gotham" w:hAnsi="Gotham"/>
          <w:sz w:val="20"/>
          <w:szCs w:val="20"/>
        </w:rPr>
      </w:pPr>
      <w:r w:rsidRPr="00CB1B36">
        <w:rPr>
          <w:rFonts w:ascii="Gotham" w:hAnsi="Gotham"/>
          <w:sz w:val="20"/>
          <w:szCs w:val="20"/>
        </w:rPr>
        <w:t>Lo anterior se desprende y preocupa porque ha crecido en cuanto a la construcción de más á</w:t>
      </w:r>
      <w:r>
        <w:rPr>
          <w:rFonts w:ascii="Gotham" w:hAnsi="Gotham"/>
          <w:sz w:val="20"/>
          <w:szCs w:val="20"/>
        </w:rPr>
        <w:t>reas de atención a la s</w:t>
      </w:r>
      <w:r w:rsidRPr="00CB1B36">
        <w:rPr>
          <w:rFonts w:ascii="Gotham" w:hAnsi="Gotham"/>
          <w:sz w:val="20"/>
          <w:szCs w:val="20"/>
        </w:rPr>
        <w:t xml:space="preserve">alud como lo son la Cruz Verde El Rosario, Cruz Verde Norte Colonia Jalisco, Cruz Verde Tonalá Centro, El Hospitalito en Tonalá Centro, Cruz Verde Pajaritos en Santa Paula, y existe la </w:t>
      </w:r>
      <w:r>
        <w:rPr>
          <w:rFonts w:ascii="Gotham" w:hAnsi="Gotham"/>
          <w:sz w:val="20"/>
          <w:szCs w:val="20"/>
        </w:rPr>
        <w:t>p</w:t>
      </w:r>
      <w:r w:rsidRPr="00CB1B36">
        <w:rPr>
          <w:rFonts w:ascii="Gotham" w:hAnsi="Gotham"/>
          <w:sz w:val="20"/>
          <w:szCs w:val="20"/>
        </w:rPr>
        <w:t xml:space="preserve">osibilidad de la </w:t>
      </w:r>
      <w:r>
        <w:rPr>
          <w:rFonts w:ascii="Gotham" w:hAnsi="Gotham"/>
          <w:sz w:val="20"/>
          <w:szCs w:val="20"/>
        </w:rPr>
        <w:t>c</w:t>
      </w:r>
      <w:r w:rsidRPr="00CB1B36">
        <w:rPr>
          <w:rFonts w:ascii="Gotham" w:hAnsi="Gotham"/>
          <w:sz w:val="20"/>
          <w:szCs w:val="20"/>
        </w:rPr>
        <w:t xml:space="preserve">onstrucción de la Cruz Verde Oriente en </w:t>
      </w:r>
      <w:r>
        <w:rPr>
          <w:rFonts w:ascii="Gotham" w:hAnsi="Gotham"/>
          <w:sz w:val="20"/>
          <w:szCs w:val="20"/>
        </w:rPr>
        <w:t>E</w:t>
      </w:r>
      <w:r w:rsidRPr="00CB1B36">
        <w:rPr>
          <w:rFonts w:ascii="Gotham" w:hAnsi="Gotham"/>
          <w:sz w:val="20"/>
          <w:szCs w:val="20"/>
        </w:rPr>
        <w:t>l Vado y todas requieren contar con más parque vehicular (AMBULANCIAS ELECTROMEDICAMENTE EQUIPADAS), es por ello la necesidad de que aprobemos la adquisición de estos 02 vehículos que son fundamentales para la operatividad de los Servicios Médicos Municipales.</w:t>
      </w:r>
    </w:p>
    <w:p w14:paraId="3A4735A6" w14:textId="77777777" w:rsidR="00016FE1" w:rsidRDefault="00016FE1" w:rsidP="002B6227">
      <w:pPr>
        <w:tabs>
          <w:tab w:val="left" w:pos="841"/>
        </w:tabs>
        <w:jc w:val="both"/>
        <w:rPr>
          <w:rFonts w:ascii="Gotham" w:hAnsi="Gotham"/>
          <w:sz w:val="20"/>
          <w:szCs w:val="20"/>
        </w:rPr>
      </w:pPr>
    </w:p>
    <w:p w14:paraId="3A4735A7" w14:textId="77777777" w:rsidR="00016FE1" w:rsidRPr="00CB1B36" w:rsidRDefault="00016FE1" w:rsidP="002B6227">
      <w:pPr>
        <w:tabs>
          <w:tab w:val="left" w:pos="841"/>
        </w:tabs>
        <w:jc w:val="both"/>
        <w:rPr>
          <w:rFonts w:ascii="Gotham" w:hAnsi="Gotham"/>
          <w:sz w:val="20"/>
          <w:szCs w:val="20"/>
        </w:rPr>
      </w:pPr>
      <w:r w:rsidRPr="00CB1B36">
        <w:rPr>
          <w:rFonts w:ascii="Gotham" w:hAnsi="Gotham"/>
          <w:sz w:val="20"/>
          <w:szCs w:val="20"/>
        </w:rPr>
        <w:t>Por lo anteriormente expuesto</w:t>
      </w:r>
      <w:r>
        <w:rPr>
          <w:rFonts w:ascii="Gotham" w:hAnsi="Gotham"/>
          <w:sz w:val="20"/>
          <w:szCs w:val="20"/>
        </w:rPr>
        <w:t>,</w:t>
      </w:r>
      <w:r w:rsidRPr="00CB1B36">
        <w:rPr>
          <w:rFonts w:ascii="Gotham" w:hAnsi="Gotham"/>
          <w:sz w:val="20"/>
          <w:szCs w:val="20"/>
        </w:rPr>
        <w:t xml:space="preserve"> dejo a consideración de este Honorable Pleno de Cabildo y solicito se apruebe y es de aprobarse:</w:t>
      </w:r>
    </w:p>
    <w:p w14:paraId="3A4735A8" w14:textId="77777777" w:rsidR="00016FE1" w:rsidRDefault="00016FE1" w:rsidP="002B6227">
      <w:pPr>
        <w:tabs>
          <w:tab w:val="left" w:pos="841"/>
        </w:tabs>
        <w:jc w:val="both"/>
        <w:rPr>
          <w:rFonts w:ascii="Gotham" w:hAnsi="Gotham"/>
          <w:sz w:val="20"/>
          <w:szCs w:val="20"/>
        </w:rPr>
      </w:pPr>
    </w:p>
    <w:p w14:paraId="3A4735A9" w14:textId="77777777" w:rsidR="00016FE1" w:rsidRPr="00CB1B36" w:rsidRDefault="00016FE1" w:rsidP="002B6227">
      <w:pPr>
        <w:tabs>
          <w:tab w:val="left" w:pos="841"/>
        </w:tabs>
        <w:jc w:val="center"/>
        <w:rPr>
          <w:rFonts w:ascii="Gotham" w:hAnsi="Gotham"/>
          <w:sz w:val="20"/>
          <w:szCs w:val="20"/>
        </w:rPr>
      </w:pPr>
      <w:r>
        <w:rPr>
          <w:rFonts w:ascii="Gotham" w:hAnsi="Gotham"/>
          <w:sz w:val="20"/>
          <w:szCs w:val="20"/>
        </w:rPr>
        <w:t>PROPONG</w:t>
      </w:r>
      <w:r w:rsidRPr="00CB1B36">
        <w:rPr>
          <w:rFonts w:ascii="Gotham" w:hAnsi="Gotham"/>
          <w:sz w:val="20"/>
          <w:szCs w:val="20"/>
        </w:rPr>
        <w:t>O</w:t>
      </w:r>
    </w:p>
    <w:p w14:paraId="3A4735AA" w14:textId="77777777" w:rsidR="00016FE1" w:rsidRDefault="00016FE1" w:rsidP="002B6227">
      <w:pPr>
        <w:tabs>
          <w:tab w:val="left" w:pos="841"/>
        </w:tabs>
        <w:jc w:val="both"/>
        <w:rPr>
          <w:rFonts w:ascii="Gotham" w:hAnsi="Gotham"/>
          <w:sz w:val="20"/>
          <w:szCs w:val="20"/>
        </w:rPr>
      </w:pPr>
    </w:p>
    <w:p w14:paraId="3A4735AB" w14:textId="77777777" w:rsidR="00016FE1" w:rsidRPr="00CB1B36" w:rsidRDefault="00016FE1" w:rsidP="002B6227">
      <w:pPr>
        <w:tabs>
          <w:tab w:val="left" w:pos="841"/>
        </w:tabs>
        <w:jc w:val="both"/>
        <w:rPr>
          <w:rFonts w:ascii="Gotham" w:hAnsi="Gotham"/>
          <w:sz w:val="20"/>
          <w:szCs w:val="20"/>
        </w:rPr>
      </w:pPr>
      <w:r w:rsidRPr="00CB1B36">
        <w:rPr>
          <w:rFonts w:ascii="Gotham" w:hAnsi="Gotham"/>
          <w:sz w:val="20"/>
          <w:szCs w:val="20"/>
        </w:rPr>
        <w:t xml:space="preserve">PRIMERO.- Es de </w:t>
      </w:r>
      <w:r>
        <w:rPr>
          <w:rFonts w:ascii="Gotham" w:hAnsi="Gotham"/>
          <w:sz w:val="20"/>
          <w:szCs w:val="20"/>
        </w:rPr>
        <w:t>a</w:t>
      </w:r>
      <w:r w:rsidRPr="00CB1B36">
        <w:rPr>
          <w:rFonts w:ascii="Gotham" w:hAnsi="Gotham"/>
          <w:sz w:val="20"/>
          <w:szCs w:val="20"/>
        </w:rPr>
        <w:t xml:space="preserve">probarse y se aprueba turnar a las Comisiones Edilicias de </w:t>
      </w:r>
      <w:r w:rsidRPr="00F858CF">
        <w:rPr>
          <w:rFonts w:ascii="Gotham" w:hAnsi="Gotham"/>
          <w:sz w:val="20"/>
          <w:szCs w:val="20"/>
        </w:rPr>
        <w:t>Hacienda Municipal y Presupuestos como convocante, y como coadyuvante la de Protección Civil y Bomberos, para que realicen la acciones</w:t>
      </w:r>
      <w:r w:rsidRPr="00CB1B36">
        <w:rPr>
          <w:rFonts w:ascii="Gotham" w:hAnsi="Gotham"/>
          <w:sz w:val="20"/>
          <w:szCs w:val="20"/>
        </w:rPr>
        <w:t xml:space="preserve"> pertinentes así como el estudio, análisis y dictaminarían de la presente.</w:t>
      </w:r>
    </w:p>
    <w:p w14:paraId="3A4735AC" w14:textId="77777777" w:rsidR="00016FE1" w:rsidRDefault="00016FE1" w:rsidP="002B6227">
      <w:pPr>
        <w:tabs>
          <w:tab w:val="left" w:pos="841"/>
        </w:tabs>
        <w:jc w:val="both"/>
        <w:rPr>
          <w:rFonts w:ascii="Gotham" w:hAnsi="Gotham"/>
          <w:sz w:val="20"/>
          <w:szCs w:val="20"/>
        </w:rPr>
      </w:pPr>
    </w:p>
    <w:p w14:paraId="3A4735AD" w14:textId="77777777" w:rsidR="00016FE1" w:rsidRPr="00CB383D" w:rsidRDefault="00016FE1" w:rsidP="002B6227">
      <w:pPr>
        <w:jc w:val="both"/>
        <w:rPr>
          <w:rFonts w:ascii="Gotham" w:hAnsi="Gotham"/>
          <w:sz w:val="20"/>
          <w:szCs w:val="20"/>
        </w:rPr>
      </w:pPr>
      <w:r w:rsidRPr="00CB383D">
        <w:rPr>
          <w:rFonts w:ascii="Gotham" w:hAnsi="Gotham"/>
          <w:sz w:val="20"/>
          <w:szCs w:val="20"/>
        </w:rPr>
        <w:t xml:space="preserve">SEGUNDO.- Se faculte al </w:t>
      </w:r>
      <w:r w:rsidRPr="00EF402F">
        <w:rPr>
          <w:rFonts w:ascii="Gotham" w:hAnsi="Gotham"/>
          <w:sz w:val="20"/>
          <w:szCs w:val="20"/>
        </w:rPr>
        <w:t>Presidente Municipal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w:t>
      </w:r>
      <w:r>
        <w:rPr>
          <w:rFonts w:ascii="Gotham" w:hAnsi="Gotham"/>
          <w:sz w:val="20"/>
          <w:szCs w:val="20"/>
        </w:rPr>
        <w:t>índico,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w:t>
      </w:r>
      <w:r>
        <w:rPr>
          <w:rFonts w:ascii="Gotham" w:hAnsi="Gotham"/>
          <w:sz w:val="20"/>
          <w:szCs w:val="20"/>
        </w:rPr>
        <w:t>;</w:t>
      </w:r>
      <w:r w:rsidRPr="00CB383D">
        <w:rPr>
          <w:rFonts w:ascii="Gotham" w:hAnsi="Gotham"/>
          <w:sz w:val="20"/>
          <w:szCs w:val="20"/>
        </w:rPr>
        <w:t xml:space="preserve"> para que</w:t>
      </w:r>
      <w:r>
        <w:rPr>
          <w:rFonts w:ascii="Gotham" w:hAnsi="Gotham"/>
          <w:sz w:val="20"/>
          <w:szCs w:val="20"/>
        </w:rPr>
        <w:t>,</w:t>
      </w:r>
      <w:r w:rsidRPr="00CB383D">
        <w:rPr>
          <w:rFonts w:ascii="Gotham" w:hAnsi="Gotham"/>
          <w:sz w:val="20"/>
          <w:szCs w:val="20"/>
        </w:rPr>
        <w:t xml:space="preserve"> de acuerdo a sus </w:t>
      </w:r>
      <w:r w:rsidRPr="00CB383D">
        <w:rPr>
          <w:rFonts w:ascii="Gotham" w:hAnsi="Gotham"/>
          <w:sz w:val="20"/>
          <w:szCs w:val="20"/>
        </w:rPr>
        <w:lastRenderedPageBreak/>
        <w:t>facultades</w:t>
      </w:r>
      <w:r>
        <w:rPr>
          <w:rFonts w:ascii="Gotham" w:hAnsi="Gotham"/>
          <w:sz w:val="20"/>
          <w:szCs w:val="20"/>
        </w:rPr>
        <w:t>,</w:t>
      </w:r>
      <w:r w:rsidRPr="00CB383D">
        <w:rPr>
          <w:rFonts w:ascii="Gotham" w:hAnsi="Gotham"/>
          <w:sz w:val="20"/>
          <w:szCs w:val="20"/>
        </w:rPr>
        <w:t xml:space="preserve"> firmen todos y cada uno de </w:t>
      </w:r>
      <w:r w:rsidRPr="00CB383D">
        <w:rPr>
          <w:rFonts w:ascii="Gotham" w:hAnsi="Gotham"/>
          <w:noProof/>
          <w:sz w:val="20"/>
          <w:szCs w:val="20"/>
          <w:lang w:val="es-MX" w:eastAsia="es-MX"/>
        </w:rPr>
        <w:drawing>
          <wp:inline distT="0" distB="0" distL="0" distR="0" wp14:anchorId="3A47688C" wp14:editId="3A47688D">
            <wp:extent cx="3048" cy="3049"/>
            <wp:effectExtent l="0" t="0" r="0" b="0"/>
            <wp:docPr id="2" name="Picture 5744"/>
            <wp:cNvGraphicFramePr/>
            <a:graphic xmlns:a="http://schemas.openxmlformats.org/drawingml/2006/main">
              <a:graphicData uri="http://schemas.openxmlformats.org/drawingml/2006/picture">
                <pic:pic xmlns:pic="http://schemas.openxmlformats.org/drawingml/2006/picture">
                  <pic:nvPicPr>
                    <pic:cNvPr id="5744" name="Picture 5744"/>
                    <pic:cNvPicPr/>
                  </pic:nvPicPr>
                  <pic:blipFill>
                    <a:blip r:embed="rId13"/>
                    <a:stretch>
                      <a:fillRect/>
                    </a:stretch>
                  </pic:blipFill>
                  <pic:spPr>
                    <a:xfrm>
                      <a:off x="0" y="0"/>
                      <a:ext cx="3048" cy="3049"/>
                    </a:xfrm>
                    <a:prstGeom prst="rect">
                      <a:avLst/>
                    </a:prstGeom>
                  </pic:spPr>
                </pic:pic>
              </a:graphicData>
            </a:graphic>
          </wp:inline>
        </w:drawing>
      </w:r>
      <w:r w:rsidRPr="00CB383D">
        <w:rPr>
          <w:rFonts w:ascii="Gotham" w:hAnsi="Gotham"/>
          <w:sz w:val="20"/>
          <w:szCs w:val="20"/>
        </w:rPr>
        <w:t>los documentos necesarios para el cumplimiento del presente acuerdo.</w:t>
      </w:r>
    </w:p>
    <w:p w14:paraId="3A4735AE" w14:textId="77777777" w:rsidR="00016FE1" w:rsidRDefault="00016FE1" w:rsidP="002B6227">
      <w:pPr>
        <w:tabs>
          <w:tab w:val="left" w:pos="841"/>
        </w:tabs>
        <w:jc w:val="both"/>
        <w:rPr>
          <w:rFonts w:ascii="Gotham" w:hAnsi="Gotham"/>
          <w:sz w:val="20"/>
          <w:szCs w:val="20"/>
        </w:rPr>
      </w:pPr>
    </w:p>
    <w:p w14:paraId="3A4735AF" w14:textId="77777777" w:rsidR="00016FE1" w:rsidRPr="00351AD1" w:rsidRDefault="00016FE1" w:rsidP="002B6227">
      <w:pPr>
        <w:jc w:val="both"/>
        <w:rPr>
          <w:rFonts w:ascii="Gotham" w:hAnsi="Gotham" w:cs="Arial"/>
          <w:sz w:val="20"/>
          <w:szCs w:val="20"/>
        </w:rPr>
      </w:pPr>
      <w:r>
        <w:rPr>
          <w:rFonts w:ascii="Gotham" w:hAnsi="Gotham"/>
          <w:sz w:val="20"/>
          <w:szCs w:val="20"/>
        </w:rPr>
        <w:t xml:space="preserve">En uso de la voz el Presidente Municipal, Sergio Armando Chávez Dávalos, expresa que, se propone su turno a la Comisión Edilicia de Hacienda Municipal y Presupuestos, </w:t>
      </w:r>
      <w:r w:rsidRPr="00EC1525">
        <w:rPr>
          <w:rFonts w:ascii="Gotham" w:hAnsi="Gotham" w:cs="Arial"/>
          <w:sz w:val="20"/>
          <w:szCs w:val="20"/>
        </w:rPr>
        <w:t>así como a la de Protección Civil y Bomberos</w:t>
      </w:r>
      <w:r>
        <w:rPr>
          <w:rFonts w:ascii="Gotham" w:hAnsi="Gotham"/>
          <w:sz w:val="20"/>
          <w:szCs w:val="20"/>
        </w:rPr>
        <w:t>;</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5B0" w14:textId="77777777" w:rsidR="00016FE1" w:rsidRPr="00351AD1" w:rsidRDefault="00016FE1" w:rsidP="002B6227">
      <w:pPr>
        <w:jc w:val="both"/>
        <w:rPr>
          <w:rFonts w:ascii="Gotham" w:hAnsi="Gotham" w:cs="Arial"/>
          <w:sz w:val="20"/>
          <w:szCs w:val="20"/>
        </w:rPr>
      </w:pPr>
    </w:p>
    <w:p w14:paraId="3A4735B1"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5B2" w14:textId="77777777" w:rsidR="00016FE1" w:rsidRPr="00351AD1" w:rsidRDefault="00016FE1" w:rsidP="002B6227">
      <w:pPr>
        <w:jc w:val="both"/>
        <w:rPr>
          <w:rFonts w:ascii="Gotham" w:hAnsi="Gotham" w:cs="Arial"/>
          <w:sz w:val="20"/>
          <w:szCs w:val="20"/>
        </w:rPr>
      </w:pPr>
    </w:p>
    <w:p w14:paraId="3A4735B3"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5B4" w14:textId="77777777" w:rsidR="00016FE1" w:rsidRPr="00CB1B36" w:rsidRDefault="00016FE1" w:rsidP="002B6227">
      <w:pPr>
        <w:tabs>
          <w:tab w:val="left" w:pos="841"/>
        </w:tabs>
        <w:jc w:val="both"/>
        <w:rPr>
          <w:rFonts w:ascii="Gotham" w:hAnsi="Gotham"/>
          <w:sz w:val="20"/>
          <w:szCs w:val="20"/>
        </w:rPr>
      </w:pPr>
    </w:p>
    <w:p w14:paraId="3A4735B5" w14:textId="77777777" w:rsidR="00016FE1" w:rsidRPr="000F7447" w:rsidRDefault="00016FE1" w:rsidP="002B6227">
      <w:pPr>
        <w:tabs>
          <w:tab w:val="left" w:pos="841"/>
        </w:tabs>
        <w:jc w:val="both"/>
        <w:rPr>
          <w:rFonts w:ascii="Gotham" w:hAnsi="Gotham"/>
          <w:sz w:val="20"/>
          <w:szCs w:val="20"/>
        </w:rPr>
      </w:pPr>
    </w:p>
    <w:p w14:paraId="3A4735B6"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1123</w:t>
      </w:r>
    </w:p>
    <w:p w14:paraId="3A4735B7" w14:textId="77777777" w:rsidR="00016FE1" w:rsidRPr="00830B95" w:rsidRDefault="00016FE1" w:rsidP="002B6227">
      <w:pPr>
        <w:tabs>
          <w:tab w:val="left" w:pos="841"/>
        </w:tabs>
        <w:jc w:val="both"/>
        <w:rPr>
          <w:rFonts w:ascii="Gotham" w:hAnsi="Gotham"/>
          <w:sz w:val="20"/>
          <w:szCs w:val="20"/>
        </w:rPr>
      </w:pPr>
      <w:r w:rsidRPr="000F7447">
        <w:rPr>
          <w:rFonts w:ascii="Gotham" w:hAnsi="Gotham"/>
          <w:b/>
          <w:bCs/>
          <w:smallCaps/>
          <w:sz w:val="20"/>
          <w:szCs w:val="20"/>
        </w:rPr>
        <w:t>Décima Primera Iniciativa con Turno a Comisión</w:t>
      </w:r>
      <w:r w:rsidRPr="000F7447">
        <w:rPr>
          <w:rFonts w:ascii="Gotham" w:hAnsi="Gotham"/>
          <w:b/>
          <w:bCs/>
          <w:sz w:val="20"/>
          <w:szCs w:val="20"/>
        </w:rPr>
        <w:t xml:space="preserve">.- </w:t>
      </w:r>
      <w:r>
        <w:rPr>
          <w:rFonts w:ascii="Gotham" w:hAnsi="Gotham"/>
          <w:sz w:val="20"/>
          <w:szCs w:val="20"/>
        </w:rPr>
        <w:t>En uso de la voz el Regidor Manuel Nájera Martínez, expone</w:t>
      </w:r>
      <w:r w:rsidRPr="000F7447">
        <w:rPr>
          <w:rFonts w:ascii="Gotham" w:hAnsi="Gotham"/>
          <w:sz w:val="20"/>
          <w:szCs w:val="20"/>
        </w:rPr>
        <w:t xml:space="preserve"> que, </w:t>
      </w:r>
      <w:r w:rsidRPr="00EF402F">
        <w:rPr>
          <w:rFonts w:ascii="Gotham" w:hAnsi="Gotham"/>
          <w:sz w:val="20"/>
          <w:szCs w:val="20"/>
        </w:rPr>
        <w:t xml:space="preserve">con el permiso </w:t>
      </w:r>
      <w:r>
        <w:rPr>
          <w:rFonts w:ascii="Gotham" w:hAnsi="Gotham"/>
          <w:sz w:val="20"/>
          <w:szCs w:val="20"/>
        </w:rPr>
        <w:t>s</w:t>
      </w:r>
      <w:r w:rsidRPr="00EF402F">
        <w:rPr>
          <w:rFonts w:ascii="Gotham" w:hAnsi="Gotham"/>
          <w:sz w:val="20"/>
          <w:szCs w:val="20"/>
        </w:rPr>
        <w:t xml:space="preserve">eñor Presidente </w:t>
      </w:r>
      <w:r>
        <w:rPr>
          <w:rFonts w:ascii="Gotham" w:hAnsi="Gotham"/>
          <w:sz w:val="20"/>
          <w:szCs w:val="20"/>
        </w:rPr>
        <w:t>M</w:t>
      </w:r>
      <w:r w:rsidRPr="00EF402F">
        <w:rPr>
          <w:rFonts w:ascii="Gotham" w:hAnsi="Gotham"/>
          <w:sz w:val="20"/>
          <w:szCs w:val="20"/>
        </w:rPr>
        <w:t>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Síndico Municipal</w:t>
      </w:r>
      <w:r>
        <w:rPr>
          <w:rFonts w:ascii="Gotham" w:hAnsi="Gotham"/>
          <w:sz w:val="20"/>
          <w:szCs w:val="20"/>
        </w:rPr>
        <w:t>,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 compañeras Regidoras y compañeros Regidores de este Honorable Pleno</w:t>
      </w:r>
      <w:r>
        <w:rPr>
          <w:rFonts w:ascii="Gotham" w:hAnsi="Gotham"/>
          <w:sz w:val="20"/>
          <w:szCs w:val="20"/>
        </w:rPr>
        <w:t xml:space="preserve"> de Cabildo para los años 2021-2024;</w:t>
      </w:r>
      <w:r w:rsidRPr="00EF402F">
        <w:rPr>
          <w:rFonts w:ascii="Gotham" w:hAnsi="Gotham"/>
          <w:sz w:val="20"/>
          <w:szCs w:val="20"/>
        </w:rPr>
        <w:t xml:space="preserve"> con fundamento en los artículos 13, 14, 22</w:t>
      </w:r>
      <w:r>
        <w:rPr>
          <w:rFonts w:ascii="Gotham" w:hAnsi="Gotham"/>
          <w:sz w:val="20"/>
          <w:szCs w:val="20"/>
        </w:rPr>
        <w:t xml:space="preserve"> y</w:t>
      </w:r>
      <w:r w:rsidRPr="00EF402F">
        <w:rPr>
          <w:rFonts w:ascii="Gotham" w:hAnsi="Gotham"/>
          <w:sz w:val="20"/>
          <w:szCs w:val="20"/>
        </w:rPr>
        <w:t xml:space="preserve"> 82</w:t>
      </w:r>
      <w:r>
        <w:rPr>
          <w:rFonts w:ascii="Gotham" w:hAnsi="Gotham"/>
          <w:sz w:val="20"/>
          <w:szCs w:val="20"/>
        </w:rPr>
        <w:t>,</w:t>
      </w:r>
      <w:r w:rsidRPr="00EF402F">
        <w:rPr>
          <w:rFonts w:ascii="Gotham" w:hAnsi="Gotham"/>
          <w:sz w:val="20"/>
          <w:szCs w:val="20"/>
        </w:rPr>
        <w:t xml:space="preserve"> fracción ll</w:t>
      </w:r>
      <w:r>
        <w:rPr>
          <w:rFonts w:ascii="Gotham" w:hAnsi="Gotham"/>
          <w:sz w:val="20"/>
          <w:szCs w:val="20"/>
        </w:rPr>
        <w:t>,</w:t>
      </w:r>
      <w:r w:rsidRPr="00EF402F">
        <w:rPr>
          <w:rFonts w:ascii="Gotham" w:hAnsi="Gotham"/>
          <w:sz w:val="20"/>
          <w:szCs w:val="20"/>
        </w:rPr>
        <w:t xml:space="preserve"> del </w:t>
      </w:r>
      <w:r w:rsidRPr="00F858CF">
        <w:rPr>
          <w:rFonts w:ascii="Gotham" w:hAnsi="Gotham"/>
          <w:sz w:val="20"/>
          <w:szCs w:val="20"/>
        </w:rPr>
        <w:t>Reglamento para el Funcionamiento Interno de las Sesiones del Ayuntamiento Constitucional de Tonalá, Jalisco; muy respetuosamente tengo a bien en presentar la siguiente iniciativa con</w:t>
      </w:r>
      <w:r w:rsidRPr="00EF402F">
        <w:rPr>
          <w:rFonts w:ascii="Gotham" w:hAnsi="Gotham"/>
          <w:sz w:val="20"/>
          <w:szCs w:val="20"/>
        </w:rPr>
        <w:t xml:space="preserve"> turno a comisión que tiene por objeto</w:t>
      </w:r>
      <w:r>
        <w:rPr>
          <w:rFonts w:ascii="Gotham" w:hAnsi="Gotham"/>
          <w:sz w:val="20"/>
          <w:szCs w:val="20"/>
        </w:rPr>
        <w:t xml:space="preserve"> </w:t>
      </w:r>
      <w:r w:rsidRPr="00830B95">
        <w:rPr>
          <w:rFonts w:ascii="Gotham" w:hAnsi="Gotham"/>
          <w:sz w:val="20"/>
          <w:szCs w:val="20"/>
        </w:rPr>
        <w:t>"ACTUALIZACION DEL ATLAS DE RIESGO MUNICIPAL"</w:t>
      </w:r>
      <w:r>
        <w:rPr>
          <w:rFonts w:ascii="Gotham" w:hAnsi="Gotham"/>
          <w:sz w:val="20"/>
          <w:szCs w:val="20"/>
        </w:rPr>
        <w:t>;</w:t>
      </w:r>
      <w:r w:rsidRPr="00830B95">
        <w:rPr>
          <w:rFonts w:ascii="Gotham" w:hAnsi="Gotham"/>
          <w:sz w:val="20"/>
          <w:szCs w:val="20"/>
        </w:rPr>
        <w:t xml:space="preserve"> para tal efecto señalo la siguiente:</w:t>
      </w:r>
    </w:p>
    <w:p w14:paraId="3A4735B8" w14:textId="77777777" w:rsidR="00016FE1" w:rsidRDefault="00016FE1" w:rsidP="002B6227">
      <w:pPr>
        <w:tabs>
          <w:tab w:val="left" w:pos="841"/>
        </w:tabs>
        <w:jc w:val="both"/>
        <w:rPr>
          <w:rFonts w:ascii="Gotham" w:hAnsi="Gotham"/>
          <w:sz w:val="20"/>
          <w:szCs w:val="20"/>
        </w:rPr>
      </w:pPr>
    </w:p>
    <w:p w14:paraId="3A4735B9" w14:textId="77777777" w:rsidR="00016FE1" w:rsidRPr="00830B95" w:rsidRDefault="00016FE1" w:rsidP="002B6227">
      <w:pPr>
        <w:tabs>
          <w:tab w:val="left" w:pos="841"/>
        </w:tabs>
        <w:jc w:val="center"/>
        <w:rPr>
          <w:rFonts w:ascii="Gotham" w:hAnsi="Gotham"/>
          <w:sz w:val="20"/>
          <w:szCs w:val="20"/>
        </w:rPr>
      </w:pPr>
      <w:r w:rsidRPr="00830B95">
        <w:rPr>
          <w:rFonts w:ascii="Gotham" w:hAnsi="Gotham"/>
          <w:sz w:val="20"/>
          <w:szCs w:val="20"/>
        </w:rPr>
        <w:t>EXPOSICIÓN DE MOTIVO</w:t>
      </w:r>
    </w:p>
    <w:p w14:paraId="3A4735BA" w14:textId="77777777" w:rsidR="00016FE1" w:rsidRDefault="00016FE1" w:rsidP="002B6227">
      <w:pPr>
        <w:tabs>
          <w:tab w:val="left" w:pos="841"/>
        </w:tabs>
        <w:jc w:val="both"/>
        <w:rPr>
          <w:rFonts w:ascii="Gotham" w:hAnsi="Gotham"/>
          <w:sz w:val="20"/>
          <w:szCs w:val="20"/>
        </w:rPr>
      </w:pPr>
    </w:p>
    <w:p w14:paraId="3A4735BB" w14:textId="77777777" w:rsidR="00016FE1" w:rsidRPr="00830B95" w:rsidRDefault="00016FE1" w:rsidP="002B6227">
      <w:pPr>
        <w:tabs>
          <w:tab w:val="left" w:pos="841"/>
        </w:tabs>
        <w:jc w:val="both"/>
        <w:rPr>
          <w:rFonts w:ascii="Gotham" w:hAnsi="Gotham"/>
          <w:sz w:val="20"/>
          <w:szCs w:val="20"/>
        </w:rPr>
      </w:pPr>
      <w:r w:rsidRPr="00830B95">
        <w:rPr>
          <w:rFonts w:ascii="Gotham" w:hAnsi="Gotham"/>
          <w:sz w:val="20"/>
          <w:szCs w:val="20"/>
        </w:rPr>
        <w:t xml:space="preserve">Un placer saludarlos compañeras Regidoras y </w:t>
      </w:r>
      <w:r>
        <w:rPr>
          <w:rFonts w:ascii="Gotham" w:hAnsi="Gotham"/>
          <w:sz w:val="20"/>
          <w:szCs w:val="20"/>
        </w:rPr>
        <w:t>c</w:t>
      </w:r>
      <w:r w:rsidRPr="00830B95">
        <w:rPr>
          <w:rFonts w:ascii="Gotham" w:hAnsi="Gotham"/>
          <w:sz w:val="20"/>
          <w:szCs w:val="20"/>
        </w:rPr>
        <w:t>ompañeros Regidores del Municipio de Tonalá</w:t>
      </w:r>
      <w:r>
        <w:rPr>
          <w:rFonts w:ascii="Gotham" w:hAnsi="Gotham"/>
          <w:sz w:val="20"/>
          <w:szCs w:val="20"/>
        </w:rPr>
        <w:t>,</w:t>
      </w:r>
      <w:r w:rsidRPr="00830B95">
        <w:rPr>
          <w:rFonts w:ascii="Gotham" w:hAnsi="Gotham"/>
          <w:sz w:val="20"/>
          <w:szCs w:val="20"/>
        </w:rPr>
        <w:t xml:space="preserve"> Jalisco, en ocasiones anteriores he manifestado la apremiante necesidad y extrema urgencia de que nuestro Municipio de Tonalá</w:t>
      </w:r>
      <w:r>
        <w:rPr>
          <w:rFonts w:ascii="Gotham" w:hAnsi="Gotham"/>
          <w:sz w:val="20"/>
          <w:szCs w:val="20"/>
        </w:rPr>
        <w:t>,</w:t>
      </w:r>
      <w:r w:rsidRPr="00830B95">
        <w:rPr>
          <w:rFonts w:ascii="Gotham" w:hAnsi="Gotham"/>
          <w:sz w:val="20"/>
          <w:szCs w:val="20"/>
        </w:rPr>
        <w:t xml:space="preserve"> Jalisco, tenga que llevar a cabo la actualización del ATLAS DE RIESGO en nuestro Municipio, pero debemos comprender QUE ES EL ATLAS DE RIESGOS?, la cual giró sobre tres problemáticas: Alcances de los Atlas de </w:t>
      </w:r>
      <w:r w:rsidRPr="00830B95">
        <w:rPr>
          <w:rFonts w:ascii="Gotham" w:hAnsi="Gotham"/>
          <w:noProof/>
          <w:sz w:val="20"/>
          <w:szCs w:val="20"/>
          <w:lang w:val="es-MX" w:eastAsia="es-MX"/>
        </w:rPr>
        <w:drawing>
          <wp:inline distT="0" distB="0" distL="0" distR="0" wp14:anchorId="3A47688E" wp14:editId="3A47688F">
            <wp:extent cx="3048" cy="12196"/>
            <wp:effectExtent l="0" t="0" r="0" b="0"/>
            <wp:docPr id="2693" name="Picture 2693"/>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14"/>
                    <a:stretch>
                      <a:fillRect/>
                    </a:stretch>
                  </pic:blipFill>
                  <pic:spPr>
                    <a:xfrm>
                      <a:off x="0" y="0"/>
                      <a:ext cx="3048" cy="12196"/>
                    </a:xfrm>
                    <a:prstGeom prst="rect">
                      <a:avLst/>
                    </a:prstGeom>
                  </pic:spPr>
                </pic:pic>
              </a:graphicData>
            </a:graphic>
          </wp:inline>
        </w:drawing>
      </w:r>
      <w:r>
        <w:rPr>
          <w:rFonts w:ascii="Gotham" w:hAnsi="Gotham"/>
          <w:sz w:val="20"/>
          <w:szCs w:val="20"/>
        </w:rPr>
        <w:t xml:space="preserve"> Riesgos, i</w:t>
      </w:r>
      <w:r w:rsidRPr="00830B95">
        <w:rPr>
          <w:rFonts w:ascii="Gotham" w:hAnsi="Gotham"/>
          <w:sz w:val="20"/>
          <w:szCs w:val="20"/>
        </w:rPr>
        <w:t>dentificación y ordenamiento de riesgos, y alianzas para la construcción de un Atlas de Riesgo.</w:t>
      </w:r>
    </w:p>
    <w:p w14:paraId="3A4735BC" w14:textId="77777777" w:rsidR="00016FE1" w:rsidRPr="00830B95" w:rsidRDefault="00016FE1" w:rsidP="002B6227">
      <w:pPr>
        <w:tabs>
          <w:tab w:val="left" w:pos="841"/>
        </w:tabs>
        <w:jc w:val="both"/>
        <w:rPr>
          <w:rFonts w:ascii="Gotham" w:hAnsi="Gotham"/>
          <w:sz w:val="20"/>
          <w:szCs w:val="20"/>
        </w:rPr>
      </w:pPr>
    </w:p>
    <w:p w14:paraId="3A4735BD" w14:textId="77777777" w:rsidR="00016FE1" w:rsidRPr="00830B95" w:rsidRDefault="00016FE1" w:rsidP="002B6227">
      <w:pPr>
        <w:tabs>
          <w:tab w:val="left" w:pos="841"/>
        </w:tabs>
        <w:jc w:val="both"/>
        <w:rPr>
          <w:rFonts w:ascii="Gotham" w:hAnsi="Gotham"/>
          <w:sz w:val="20"/>
          <w:szCs w:val="20"/>
        </w:rPr>
      </w:pPr>
      <w:r w:rsidRPr="00830B95">
        <w:rPr>
          <w:rFonts w:ascii="Gotham" w:hAnsi="Gotham"/>
          <w:sz w:val="20"/>
          <w:szCs w:val="20"/>
        </w:rPr>
        <w:t>"Los Atlas de Riesgos son instrumentos que sirven como base de conocimientos del territorio y de los peligros que pueden afectar a la población y a la infraestructura en el sitio, pero también son herramientas que nos permiten hacer una mejor planeación del desarrollo para contar con infraestructura más segura y de esta forma contribuir a la toma de decisiones para la reducción de riesgos de desastres".</w:t>
      </w:r>
      <w:r w:rsidRPr="00830B95">
        <w:rPr>
          <w:rFonts w:ascii="Gotham" w:hAnsi="Gotham"/>
          <w:noProof/>
          <w:sz w:val="20"/>
          <w:szCs w:val="20"/>
          <w:lang w:val="es-MX" w:eastAsia="es-MX"/>
        </w:rPr>
        <w:drawing>
          <wp:inline distT="0" distB="0" distL="0" distR="0" wp14:anchorId="3A476890" wp14:editId="3A476891">
            <wp:extent cx="3048" cy="6098"/>
            <wp:effectExtent l="0" t="0" r="0" b="0"/>
            <wp:docPr id="2694" name="Picture 2694"/>
            <wp:cNvGraphicFramePr/>
            <a:graphic xmlns:a="http://schemas.openxmlformats.org/drawingml/2006/main">
              <a:graphicData uri="http://schemas.openxmlformats.org/drawingml/2006/picture">
                <pic:pic xmlns:pic="http://schemas.openxmlformats.org/drawingml/2006/picture">
                  <pic:nvPicPr>
                    <pic:cNvPr id="2694" name="Picture 2694"/>
                    <pic:cNvPicPr/>
                  </pic:nvPicPr>
                  <pic:blipFill>
                    <a:blip r:embed="rId15"/>
                    <a:stretch>
                      <a:fillRect/>
                    </a:stretch>
                  </pic:blipFill>
                  <pic:spPr>
                    <a:xfrm>
                      <a:off x="0" y="0"/>
                      <a:ext cx="3048" cy="6098"/>
                    </a:xfrm>
                    <a:prstGeom prst="rect">
                      <a:avLst/>
                    </a:prstGeom>
                  </pic:spPr>
                </pic:pic>
              </a:graphicData>
            </a:graphic>
          </wp:inline>
        </w:drawing>
      </w:r>
    </w:p>
    <w:p w14:paraId="3A4735BE" w14:textId="77777777" w:rsidR="00016FE1" w:rsidRDefault="00016FE1" w:rsidP="002B6227">
      <w:pPr>
        <w:tabs>
          <w:tab w:val="left" w:pos="841"/>
        </w:tabs>
        <w:jc w:val="both"/>
        <w:rPr>
          <w:rFonts w:ascii="Gotham" w:hAnsi="Gotham"/>
          <w:sz w:val="20"/>
          <w:szCs w:val="20"/>
        </w:rPr>
      </w:pPr>
    </w:p>
    <w:p w14:paraId="3A4735BF" w14:textId="77777777" w:rsidR="00016FE1" w:rsidRPr="00830B95" w:rsidRDefault="00016FE1" w:rsidP="002B6227">
      <w:pPr>
        <w:ind w:left="567" w:hanging="567"/>
        <w:jc w:val="both"/>
        <w:rPr>
          <w:rFonts w:ascii="Gotham" w:hAnsi="Gotham"/>
          <w:sz w:val="20"/>
          <w:szCs w:val="20"/>
        </w:rPr>
      </w:pPr>
      <w:r w:rsidRPr="00830B95">
        <w:rPr>
          <w:rFonts w:ascii="Gotham" w:hAnsi="Gotham"/>
          <w:sz w:val="20"/>
          <w:szCs w:val="20"/>
        </w:rPr>
        <w:t xml:space="preserve">1.- </w:t>
      </w:r>
      <w:r>
        <w:rPr>
          <w:rFonts w:ascii="Gotham" w:hAnsi="Gotham"/>
          <w:sz w:val="20"/>
          <w:szCs w:val="20"/>
        </w:rPr>
        <w:tab/>
      </w:r>
      <w:r w:rsidRPr="00830B95">
        <w:rPr>
          <w:rFonts w:ascii="Gotham" w:hAnsi="Gotham"/>
          <w:sz w:val="20"/>
          <w:szCs w:val="20"/>
        </w:rPr>
        <w:t>Los Atlas Municipales son instrumentos regulatorios relativamente indefinidos y secundarios, que se definen solo tangencialmente, como un dispositivo jurídico para el control de los usos de suelo municipales o como un insumo para procesos específicos de gestión de riesgos.</w:t>
      </w:r>
    </w:p>
    <w:p w14:paraId="3A4735C0" w14:textId="77777777" w:rsidR="00016FE1" w:rsidRDefault="00016FE1" w:rsidP="002B6227">
      <w:pPr>
        <w:ind w:left="567" w:hanging="567"/>
        <w:jc w:val="both"/>
        <w:rPr>
          <w:rFonts w:ascii="Gotham" w:hAnsi="Gotham"/>
          <w:sz w:val="20"/>
          <w:szCs w:val="20"/>
        </w:rPr>
      </w:pPr>
    </w:p>
    <w:p w14:paraId="3A4735C1" w14:textId="77777777" w:rsidR="00016FE1" w:rsidRPr="00830B95" w:rsidRDefault="00016FE1" w:rsidP="002B6227">
      <w:pPr>
        <w:ind w:left="567" w:hanging="567"/>
        <w:jc w:val="both"/>
        <w:rPr>
          <w:rFonts w:ascii="Gotham" w:hAnsi="Gotham"/>
          <w:sz w:val="20"/>
          <w:szCs w:val="20"/>
        </w:rPr>
      </w:pPr>
      <w:r w:rsidRPr="00830B95">
        <w:rPr>
          <w:rFonts w:ascii="Gotham" w:hAnsi="Gotham"/>
          <w:sz w:val="20"/>
          <w:szCs w:val="20"/>
        </w:rPr>
        <w:t xml:space="preserve">2.- </w:t>
      </w:r>
      <w:r>
        <w:rPr>
          <w:rFonts w:ascii="Gotham" w:hAnsi="Gotham"/>
          <w:sz w:val="20"/>
          <w:szCs w:val="20"/>
        </w:rPr>
        <w:tab/>
      </w:r>
      <w:r w:rsidRPr="00830B95">
        <w:rPr>
          <w:rFonts w:ascii="Gotham" w:hAnsi="Gotham"/>
          <w:sz w:val="20"/>
          <w:szCs w:val="20"/>
        </w:rPr>
        <w:t>Los atlas de riesgo son instrumentos que sirven como base de conocimientos del territorio y de los peligros que pueden afectar a la población y a la infraestructura en el sitio, pero también son herramientas que nos permiten hacer una mejor planeación del desarrollo municipal y así poder contar con infraestructura más segura y de esta forma contribuir con la toma de decisiones para la reducción y prevención de riesgos de desastres tanto naturales o por causas atribuibles a errores humanos</w:t>
      </w:r>
      <w:r>
        <w:rPr>
          <w:rFonts w:ascii="Gotham" w:hAnsi="Gotham"/>
          <w:sz w:val="20"/>
          <w:szCs w:val="20"/>
        </w:rPr>
        <w:t>.</w:t>
      </w:r>
    </w:p>
    <w:p w14:paraId="3A4735C2" w14:textId="77777777" w:rsidR="00016FE1" w:rsidRDefault="00016FE1" w:rsidP="002B6227">
      <w:pPr>
        <w:ind w:left="567" w:hanging="567"/>
        <w:jc w:val="both"/>
        <w:rPr>
          <w:rFonts w:ascii="Gotham" w:hAnsi="Gotham"/>
          <w:sz w:val="20"/>
          <w:szCs w:val="20"/>
        </w:rPr>
      </w:pPr>
    </w:p>
    <w:p w14:paraId="3A4735C3" w14:textId="77777777" w:rsidR="00016FE1" w:rsidRPr="00830B95" w:rsidRDefault="00016FE1" w:rsidP="002B6227">
      <w:pPr>
        <w:ind w:left="567" w:hanging="567"/>
        <w:jc w:val="both"/>
        <w:rPr>
          <w:rFonts w:ascii="Gotham" w:hAnsi="Gotham"/>
          <w:sz w:val="20"/>
          <w:szCs w:val="20"/>
        </w:rPr>
      </w:pPr>
      <w:r w:rsidRPr="00830B95">
        <w:rPr>
          <w:rFonts w:ascii="Gotham" w:hAnsi="Gotham"/>
          <w:sz w:val="20"/>
          <w:szCs w:val="20"/>
        </w:rPr>
        <w:lastRenderedPageBreak/>
        <w:t xml:space="preserve">3.- </w:t>
      </w:r>
      <w:r>
        <w:rPr>
          <w:rFonts w:ascii="Gotham" w:hAnsi="Gotham"/>
          <w:sz w:val="20"/>
          <w:szCs w:val="20"/>
        </w:rPr>
        <w:tab/>
      </w:r>
      <w:r w:rsidRPr="00830B95">
        <w:rPr>
          <w:rFonts w:ascii="Gotham" w:hAnsi="Gotham"/>
          <w:sz w:val="20"/>
          <w:szCs w:val="20"/>
        </w:rPr>
        <w:t xml:space="preserve">Desde hace más de </w:t>
      </w:r>
      <w:r>
        <w:rPr>
          <w:rFonts w:ascii="Gotham" w:hAnsi="Gotham"/>
          <w:sz w:val="20"/>
          <w:szCs w:val="20"/>
        </w:rPr>
        <w:t>10</w:t>
      </w:r>
      <w:r w:rsidRPr="00830B95">
        <w:rPr>
          <w:rFonts w:ascii="Gotham" w:hAnsi="Gotham"/>
          <w:sz w:val="20"/>
          <w:szCs w:val="20"/>
        </w:rPr>
        <w:t xml:space="preserve"> años el tema de los atlas de riesgos se ha convertido en un tópico en la prevención y el Centro Nacional de Prevención de Desastres (CENAPRED), ha sido uno de l</w:t>
      </w:r>
      <w:r>
        <w:rPr>
          <w:rFonts w:ascii="Gotham" w:hAnsi="Gotham"/>
          <w:sz w:val="20"/>
          <w:szCs w:val="20"/>
        </w:rPr>
        <w:t>os promotores al contar con el A</w:t>
      </w:r>
      <w:r w:rsidRPr="00830B95">
        <w:rPr>
          <w:rFonts w:ascii="Gotham" w:hAnsi="Gotham"/>
          <w:sz w:val="20"/>
          <w:szCs w:val="20"/>
        </w:rPr>
        <w:t xml:space="preserve">tlas de </w:t>
      </w:r>
      <w:r>
        <w:rPr>
          <w:rFonts w:ascii="Gotham" w:hAnsi="Gotham"/>
          <w:sz w:val="20"/>
          <w:szCs w:val="20"/>
        </w:rPr>
        <w:t>R</w:t>
      </w:r>
      <w:r w:rsidRPr="00830B95">
        <w:rPr>
          <w:rFonts w:ascii="Gotham" w:hAnsi="Gotham"/>
          <w:sz w:val="20"/>
          <w:szCs w:val="20"/>
        </w:rPr>
        <w:t>iesgo Nacional</w:t>
      </w:r>
    </w:p>
    <w:p w14:paraId="3A4735C4" w14:textId="77777777" w:rsidR="00016FE1" w:rsidRDefault="00016FE1" w:rsidP="002B6227">
      <w:pPr>
        <w:ind w:left="567" w:hanging="567"/>
        <w:jc w:val="both"/>
        <w:rPr>
          <w:rFonts w:ascii="Gotham" w:hAnsi="Gotham"/>
          <w:sz w:val="20"/>
          <w:szCs w:val="20"/>
        </w:rPr>
      </w:pPr>
    </w:p>
    <w:p w14:paraId="3A4735C5" w14:textId="77777777" w:rsidR="00016FE1" w:rsidRPr="00830B95" w:rsidRDefault="00016FE1" w:rsidP="002B6227">
      <w:pPr>
        <w:ind w:left="567" w:hanging="567"/>
        <w:jc w:val="both"/>
        <w:rPr>
          <w:rFonts w:ascii="Gotham" w:hAnsi="Gotham"/>
          <w:sz w:val="20"/>
          <w:szCs w:val="20"/>
        </w:rPr>
      </w:pPr>
      <w:r w:rsidRPr="00830B95">
        <w:rPr>
          <w:rFonts w:ascii="Gotham" w:hAnsi="Gotham"/>
          <w:sz w:val="20"/>
          <w:szCs w:val="20"/>
        </w:rPr>
        <w:t>4.</w:t>
      </w:r>
      <w:r>
        <w:rPr>
          <w:rFonts w:ascii="Gotham" w:hAnsi="Gotham"/>
          <w:sz w:val="20"/>
          <w:szCs w:val="20"/>
        </w:rPr>
        <w:t>-</w:t>
      </w:r>
      <w:r w:rsidRPr="00830B95">
        <w:rPr>
          <w:rFonts w:ascii="Gotham" w:hAnsi="Gotham"/>
          <w:sz w:val="20"/>
          <w:szCs w:val="20"/>
        </w:rPr>
        <w:t xml:space="preserve"> </w:t>
      </w:r>
      <w:r>
        <w:rPr>
          <w:rFonts w:ascii="Gotham" w:hAnsi="Gotham"/>
          <w:sz w:val="20"/>
          <w:szCs w:val="20"/>
        </w:rPr>
        <w:tab/>
      </w:r>
      <w:r w:rsidRPr="00830B95">
        <w:rPr>
          <w:rFonts w:ascii="Gotham" w:hAnsi="Gotham"/>
          <w:sz w:val="20"/>
          <w:szCs w:val="20"/>
        </w:rPr>
        <w:t>En relación a la topografía en el municipio se presentan las tr</w:t>
      </w:r>
      <w:r>
        <w:rPr>
          <w:rFonts w:ascii="Gotham" w:hAnsi="Gotham"/>
          <w:sz w:val="20"/>
          <w:szCs w:val="20"/>
        </w:rPr>
        <w:t>es características de relieve: z</w:t>
      </w:r>
      <w:r w:rsidRPr="00830B95">
        <w:rPr>
          <w:rFonts w:ascii="Gotham" w:hAnsi="Gotham"/>
          <w:sz w:val="20"/>
          <w:szCs w:val="20"/>
        </w:rPr>
        <w:t>onas accidentadas, semiplanas y planas. Las únicas alturas representativas en el municipio son los cerros cúpula de la Reina (1,720 metros) en la Cabecera Municipal y el Xólotl (1</w:t>
      </w:r>
      <w:r>
        <w:rPr>
          <w:rFonts w:ascii="Gotham" w:hAnsi="Gotham"/>
          <w:sz w:val="20"/>
          <w:szCs w:val="20"/>
        </w:rPr>
        <w:t>,720 metros) al suroeste de la c</w:t>
      </w:r>
      <w:r w:rsidRPr="00830B95">
        <w:rPr>
          <w:rFonts w:ascii="Gotham" w:hAnsi="Gotham"/>
          <w:sz w:val="20"/>
          <w:szCs w:val="20"/>
        </w:rPr>
        <w:t>abecera</w:t>
      </w:r>
    </w:p>
    <w:p w14:paraId="3A4735C6" w14:textId="77777777" w:rsidR="00016FE1" w:rsidRDefault="00016FE1" w:rsidP="002B6227">
      <w:pPr>
        <w:ind w:left="567" w:hanging="567"/>
        <w:jc w:val="both"/>
        <w:rPr>
          <w:rFonts w:ascii="Gotham" w:hAnsi="Gotham"/>
          <w:sz w:val="20"/>
          <w:szCs w:val="20"/>
        </w:rPr>
      </w:pPr>
    </w:p>
    <w:p w14:paraId="3A4735C7" w14:textId="77777777" w:rsidR="00016FE1" w:rsidRPr="00830B95" w:rsidRDefault="00016FE1" w:rsidP="002B6227">
      <w:pPr>
        <w:ind w:left="567" w:hanging="567"/>
        <w:jc w:val="both"/>
        <w:rPr>
          <w:rFonts w:ascii="Gotham" w:hAnsi="Gotham"/>
          <w:sz w:val="20"/>
          <w:szCs w:val="20"/>
        </w:rPr>
      </w:pPr>
      <w:r w:rsidRPr="00830B95">
        <w:rPr>
          <w:rFonts w:ascii="Gotham" w:hAnsi="Gotham"/>
          <w:sz w:val="20"/>
          <w:szCs w:val="20"/>
        </w:rPr>
        <w:t>5.-</w:t>
      </w:r>
      <w:r>
        <w:rPr>
          <w:rFonts w:ascii="Gotham" w:hAnsi="Gotham"/>
          <w:sz w:val="20"/>
          <w:szCs w:val="20"/>
        </w:rPr>
        <w:tab/>
      </w:r>
      <w:r w:rsidRPr="00830B95">
        <w:rPr>
          <w:rFonts w:ascii="Gotham" w:hAnsi="Gotham"/>
          <w:sz w:val="20"/>
          <w:szCs w:val="20"/>
        </w:rPr>
        <w:t>En lo que se refiere a la hidrografía del municipio, el río Santiago casi cubre el municipio por sus límites poniente y norte; los afluentes del Santiago son los arroyos del Popul, Las Jícamas y Agua Amarilla, ubicados al este del municipio. Otros arroyos además del Osorio dan lugar a almacenamientos hidráulicos como las presas: La Rusia, De Zermeño y El Ocotillo. Sobre el río Santiago se localiza la presa de Colimilla.</w:t>
      </w:r>
    </w:p>
    <w:p w14:paraId="3A4735C8" w14:textId="77777777" w:rsidR="00016FE1" w:rsidRDefault="00016FE1" w:rsidP="002B6227">
      <w:pPr>
        <w:tabs>
          <w:tab w:val="left" w:pos="841"/>
        </w:tabs>
        <w:jc w:val="both"/>
        <w:rPr>
          <w:rFonts w:ascii="Gotham" w:hAnsi="Gotham"/>
          <w:sz w:val="20"/>
          <w:szCs w:val="20"/>
        </w:rPr>
      </w:pPr>
    </w:p>
    <w:p w14:paraId="3A4735C9" w14:textId="77777777" w:rsidR="00016FE1" w:rsidRPr="00830B95" w:rsidRDefault="00016FE1" w:rsidP="002B6227">
      <w:pPr>
        <w:tabs>
          <w:tab w:val="left" w:pos="841"/>
        </w:tabs>
        <w:jc w:val="both"/>
        <w:rPr>
          <w:rFonts w:ascii="Gotham" w:hAnsi="Gotham"/>
          <w:sz w:val="20"/>
          <w:szCs w:val="20"/>
        </w:rPr>
      </w:pPr>
      <w:r w:rsidRPr="00830B95">
        <w:rPr>
          <w:rFonts w:ascii="Gotham" w:hAnsi="Gotham"/>
          <w:sz w:val="20"/>
          <w:szCs w:val="20"/>
        </w:rPr>
        <w:t>En propuestas previas a la que nos ocupa se presentó iniciativa para suscribir un convenio de colaboración con la Universidad de Guadalajara para la actualización del atlas de riesgo municipal, en los que se generaría un gasto el cual no es gravoso para el municipio, a comparación con otras inversiones que realizo el propio ayuntamiento y que es de todos del conocimiento que nunca cumplieron con la entrega del mismo, Presidente Municipal Sergio Armando Chávez Dávalos, es imperante que se realice dicho convenio de colaboración con la Universidad de Guadalajara o cualquier otra institución pública que cuenta con investigadores especializados en la materia para que lleve a cabo la actualización del Atlas de Riesgo Municipal, ya que la última actualización de que se tiene conocimiento es del año 2012, siendo este ya totalmente obsoleto por los diferentes cambios que ha sufrido el territorio municipal con el paso del tiempo.</w:t>
      </w:r>
    </w:p>
    <w:p w14:paraId="3A4735CA" w14:textId="77777777" w:rsidR="00016FE1" w:rsidRDefault="00016FE1" w:rsidP="002B6227">
      <w:pPr>
        <w:tabs>
          <w:tab w:val="left" w:pos="841"/>
        </w:tabs>
        <w:jc w:val="both"/>
        <w:rPr>
          <w:rFonts w:ascii="Gotham" w:hAnsi="Gotham"/>
          <w:sz w:val="20"/>
          <w:szCs w:val="20"/>
        </w:rPr>
      </w:pPr>
    </w:p>
    <w:p w14:paraId="3A4735CB" w14:textId="77777777" w:rsidR="00016FE1" w:rsidRPr="00830B95" w:rsidRDefault="00016FE1" w:rsidP="002B6227">
      <w:pPr>
        <w:tabs>
          <w:tab w:val="left" w:pos="841"/>
        </w:tabs>
        <w:jc w:val="both"/>
        <w:rPr>
          <w:rFonts w:ascii="Gotham" w:hAnsi="Gotham"/>
          <w:sz w:val="20"/>
          <w:szCs w:val="20"/>
        </w:rPr>
      </w:pPr>
      <w:r w:rsidRPr="00830B95">
        <w:rPr>
          <w:rFonts w:ascii="Gotham" w:hAnsi="Gotham"/>
          <w:sz w:val="20"/>
          <w:szCs w:val="20"/>
        </w:rPr>
        <w:t>Por lo anteriormente expuesto dejo a consideración de este Honorable Pleno de Cabildo y solicito se apruebe y es de aprobarse:</w:t>
      </w:r>
    </w:p>
    <w:p w14:paraId="3A4735CC" w14:textId="77777777" w:rsidR="00016FE1" w:rsidRDefault="00016FE1" w:rsidP="002B6227">
      <w:pPr>
        <w:tabs>
          <w:tab w:val="left" w:pos="841"/>
        </w:tabs>
        <w:jc w:val="both"/>
        <w:rPr>
          <w:rFonts w:ascii="Gotham" w:hAnsi="Gotham"/>
          <w:sz w:val="20"/>
          <w:szCs w:val="20"/>
        </w:rPr>
      </w:pPr>
    </w:p>
    <w:p w14:paraId="3A4735CD" w14:textId="77777777" w:rsidR="00016FE1" w:rsidRPr="00830B95" w:rsidRDefault="00016FE1" w:rsidP="002B6227">
      <w:pPr>
        <w:tabs>
          <w:tab w:val="left" w:pos="841"/>
        </w:tabs>
        <w:jc w:val="center"/>
        <w:rPr>
          <w:rFonts w:ascii="Gotham" w:hAnsi="Gotham"/>
          <w:sz w:val="20"/>
          <w:szCs w:val="20"/>
        </w:rPr>
      </w:pPr>
      <w:r w:rsidRPr="00830B95">
        <w:rPr>
          <w:rFonts w:ascii="Gotham" w:hAnsi="Gotham"/>
          <w:sz w:val="20"/>
          <w:szCs w:val="20"/>
        </w:rPr>
        <w:t>PROPONGO</w:t>
      </w:r>
    </w:p>
    <w:p w14:paraId="3A4735CE" w14:textId="77777777" w:rsidR="00016FE1" w:rsidRDefault="00016FE1" w:rsidP="002B6227">
      <w:pPr>
        <w:tabs>
          <w:tab w:val="left" w:pos="841"/>
        </w:tabs>
        <w:jc w:val="both"/>
        <w:rPr>
          <w:rFonts w:ascii="Gotham" w:hAnsi="Gotham"/>
          <w:sz w:val="20"/>
          <w:szCs w:val="20"/>
        </w:rPr>
      </w:pPr>
    </w:p>
    <w:p w14:paraId="3A4735CF" w14:textId="77777777" w:rsidR="00016FE1" w:rsidRPr="00830B95" w:rsidRDefault="00016FE1" w:rsidP="002B6227">
      <w:pPr>
        <w:tabs>
          <w:tab w:val="left" w:pos="841"/>
        </w:tabs>
        <w:jc w:val="both"/>
        <w:rPr>
          <w:rFonts w:ascii="Gotham" w:hAnsi="Gotham"/>
          <w:sz w:val="20"/>
          <w:szCs w:val="20"/>
        </w:rPr>
      </w:pPr>
      <w:r w:rsidRPr="00830B95">
        <w:rPr>
          <w:rFonts w:ascii="Gotham" w:hAnsi="Gotham"/>
          <w:sz w:val="20"/>
          <w:szCs w:val="20"/>
        </w:rPr>
        <w:t xml:space="preserve">PRIMERO.- Es de </w:t>
      </w:r>
      <w:r>
        <w:rPr>
          <w:rFonts w:ascii="Gotham" w:hAnsi="Gotham"/>
          <w:sz w:val="20"/>
          <w:szCs w:val="20"/>
        </w:rPr>
        <w:t>a</w:t>
      </w:r>
      <w:r w:rsidRPr="00830B95">
        <w:rPr>
          <w:rFonts w:ascii="Gotham" w:hAnsi="Gotham"/>
          <w:sz w:val="20"/>
          <w:szCs w:val="20"/>
        </w:rPr>
        <w:t xml:space="preserve">probarse y se aprueba se </w:t>
      </w:r>
      <w:r>
        <w:rPr>
          <w:rFonts w:ascii="Gotham" w:hAnsi="Gotham"/>
          <w:sz w:val="20"/>
          <w:szCs w:val="20"/>
        </w:rPr>
        <w:t>t</w:t>
      </w:r>
      <w:r w:rsidRPr="00830B95">
        <w:rPr>
          <w:rFonts w:ascii="Gotham" w:hAnsi="Gotham"/>
          <w:sz w:val="20"/>
          <w:szCs w:val="20"/>
        </w:rPr>
        <w:t>urne a las Comisiones Edilicias de Obras Públicas Municipales</w:t>
      </w:r>
      <w:r>
        <w:rPr>
          <w:rFonts w:ascii="Gotham" w:hAnsi="Gotham"/>
          <w:sz w:val="20"/>
          <w:szCs w:val="20"/>
        </w:rPr>
        <w:t>,</w:t>
      </w:r>
      <w:r w:rsidRPr="00830B95">
        <w:rPr>
          <w:rFonts w:ascii="Gotham" w:hAnsi="Gotham"/>
          <w:sz w:val="20"/>
          <w:szCs w:val="20"/>
        </w:rPr>
        <w:t xml:space="preserve"> como coadyuvante</w:t>
      </w:r>
      <w:r>
        <w:rPr>
          <w:rFonts w:ascii="Gotham" w:hAnsi="Gotham"/>
          <w:sz w:val="20"/>
          <w:szCs w:val="20"/>
        </w:rPr>
        <w:t>,</w:t>
      </w:r>
      <w:r w:rsidRPr="00830B95">
        <w:rPr>
          <w:rFonts w:ascii="Gotham" w:hAnsi="Gotham"/>
          <w:sz w:val="20"/>
          <w:szCs w:val="20"/>
        </w:rPr>
        <w:t xml:space="preserve"> y Protección Civil y Bomberos</w:t>
      </w:r>
      <w:r>
        <w:rPr>
          <w:rFonts w:ascii="Gotham" w:hAnsi="Gotham"/>
          <w:sz w:val="20"/>
          <w:szCs w:val="20"/>
        </w:rPr>
        <w:t>,</w:t>
      </w:r>
      <w:r w:rsidRPr="00830B95">
        <w:rPr>
          <w:rFonts w:ascii="Gotham" w:hAnsi="Gotham"/>
          <w:sz w:val="20"/>
          <w:szCs w:val="20"/>
        </w:rPr>
        <w:t xml:space="preserve"> como coadyuvante, </w:t>
      </w:r>
      <w:r w:rsidRPr="00F858CF">
        <w:rPr>
          <w:rFonts w:ascii="Gotham" w:hAnsi="Gotham"/>
          <w:sz w:val="20"/>
          <w:szCs w:val="20"/>
        </w:rPr>
        <w:t>para lleven</w:t>
      </w:r>
      <w:r w:rsidRPr="00830B95">
        <w:rPr>
          <w:rFonts w:ascii="Gotham" w:hAnsi="Gotham"/>
          <w:sz w:val="20"/>
          <w:szCs w:val="20"/>
        </w:rPr>
        <w:t xml:space="preserve"> a cabo el </w:t>
      </w:r>
      <w:r>
        <w:rPr>
          <w:rFonts w:ascii="Gotham" w:hAnsi="Gotham"/>
          <w:sz w:val="20"/>
          <w:szCs w:val="20"/>
        </w:rPr>
        <w:t>estudio, análisis y dictaminació</w:t>
      </w:r>
      <w:r w:rsidRPr="00830B95">
        <w:rPr>
          <w:rFonts w:ascii="Gotham" w:hAnsi="Gotham"/>
          <w:sz w:val="20"/>
          <w:szCs w:val="20"/>
        </w:rPr>
        <w:t>n final de la presente iniciativa.</w:t>
      </w:r>
    </w:p>
    <w:p w14:paraId="3A4735D0" w14:textId="77777777" w:rsidR="00016FE1" w:rsidRDefault="00016FE1" w:rsidP="002B6227">
      <w:pPr>
        <w:tabs>
          <w:tab w:val="left" w:pos="841"/>
        </w:tabs>
        <w:jc w:val="both"/>
        <w:rPr>
          <w:rFonts w:ascii="Gotham" w:hAnsi="Gotham"/>
          <w:sz w:val="20"/>
          <w:szCs w:val="20"/>
        </w:rPr>
      </w:pPr>
    </w:p>
    <w:p w14:paraId="3A4735D1" w14:textId="77777777" w:rsidR="00016FE1" w:rsidRPr="00DC5336" w:rsidRDefault="00016FE1" w:rsidP="002B6227">
      <w:pPr>
        <w:jc w:val="both"/>
        <w:rPr>
          <w:rFonts w:ascii="Gotham" w:hAnsi="Gotham" w:cs="Segoe UI"/>
          <w:color w:val="242424"/>
          <w:sz w:val="20"/>
          <w:szCs w:val="20"/>
          <w:lang w:eastAsia="es-MX"/>
        </w:rPr>
      </w:pPr>
      <w:r w:rsidRPr="00F858CF">
        <w:rPr>
          <w:rFonts w:ascii="Gotham" w:hAnsi="Gotham"/>
          <w:sz w:val="20"/>
          <w:szCs w:val="20"/>
        </w:rPr>
        <w:t>SEGUNDO.- Ciudadano</w:t>
      </w:r>
      <w:r w:rsidRPr="00EF402F">
        <w:rPr>
          <w:rFonts w:ascii="Gotham" w:hAnsi="Gotham"/>
          <w:sz w:val="20"/>
          <w:szCs w:val="20"/>
        </w:rPr>
        <w:t xml:space="preserve"> Presidente Municipal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w:t>
      </w:r>
      <w:r>
        <w:rPr>
          <w:rFonts w:ascii="Gotham" w:hAnsi="Gotham"/>
          <w:sz w:val="20"/>
          <w:szCs w:val="20"/>
        </w:rPr>
        <w:t>índico,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w:t>
      </w:r>
      <w:r>
        <w:rPr>
          <w:rFonts w:ascii="Gotham" w:hAnsi="Gotham"/>
          <w:sz w:val="20"/>
          <w:szCs w:val="20"/>
        </w:rPr>
        <w:t>y</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w:t>
      </w:r>
      <w:r>
        <w:rPr>
          <w:rFonts w:ascii="Gotham" w:hAnsi="Gotham"/>
          <w:sz w:val="20"/>
          <w:szCs w:val="20"/>
        </w:rPr>
        <w:t>;</w:t>
      </w:r>
      <w:r w:rsidRPr="00EF402F">
        <w:rPr>
          <w:rFonts w:ascii="Gotham" w:hAnsi="Gotham"/>
          <w:sz w:val="20"/>
          <w:szCs w:val="20"/>
        </w:rPr>
        <w:t xml:space="preserve"> firmen todos y cada uno de los documentos necesarios.</w:t>
      </w:r>
    </w:p>
    <w:p w14:paraId="3A4735D2" w14:textId="77777777" w:rsidR="00016FE1" w:rsidRDefault="00016FE1" w:rsidP="002B6227">
      <w:pPr>
        <w:tabs>
          <w:tab w:val="left" w:pos="841"/>
        </w:tabs>
        <w:jc w:val="both"/>
        <w:rPr>
          <w:rFonts w:ascii="Gotham" w:hAnsi="Gotham"/>
          <w:sz w:val="20"/>
          <w:szCs w:val="20"/>
        </w:rPr>
      </w:pPr>
    </w:p>
    <w:p w14:paraId="3A4735D3" w14:textId="77777777" w:rsidR="00016FE1" w:rsidRPr="00351AD1" w:rsidRDefault="00016FE1" w:rsidP="002B6227">
      <w:pPr>
        <w:jc w:val="both"/>
        <w:rPr>
          <w:rFonts w:ascii="Gotham" w:hAnsi="Gotham" w:cs="Arial"/>
          <w:sz w:val="20"/>
          <w:szCs w:val="20"/>
        </w:rPr>
      </w:pPr>
      <w:r>
        <w:rPr>
          <w:rFonts w:ascii="Gotham" w:hAnsi="Gotham"/>
          <w:sz w:val="20"/>
          <w:szCs w:val="20"/>
        </w:rPr>
        <w:t xml:space="preserve">En uso de la voz el Presidente Municipal, Sergio Armando Chávez Dávalos, expresa que, se propone su turno a la Comisión Edilicia de Obras Públicas Municipales, </w:t>
      </w:r>
      <w:r w:rsidRPr="00EC1525">
        <w:rPr>
          <w:rFonts w:ascii="Gotham" w:hAnsi="Gotham" w:cs="Arial"/>
          <w:sz w:val="20"/>
          <w:szCs w:val="20"/>
        </w:rPr>
        <w:t>así como a la de Protección Civil y Bomberos</w:t>
      </w:r>
      <w:r>
        <w:rPr>
          <w:rFonts w:ascii="Gotham" w:hAnsi="Gotham"/>
          <w:sz w:val="20"/>
          <w:szCs w:val="20"/>
        </w:rPr>
        <w:t>;</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5D4" w14:textId="77777777" w:rsidR="00016FE1" w:rsidRPr="00351AD1" w:rsidRDefault="00016FE1" w:rsidP="002B6227">
      <w:pPr>
        <w:jc w:val="both"/>
        <w:rPr>
          <w:rFonts w:ascii="Gotham" w:hAnsi="Gotham" w:cs="Arial"/>
          <w:sz w:val="20"/>
          <w:szCs w:val="20"/>
        </w:rPr>
      </w:pPr>
    </w:p>
    <w:p w14:paraId="3A4735D5"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5D6" w14:textId="77777777" w:rsidR="00016FE1" w:rsidRPr="00351AD1" w:rsidRDefault="00016FE1" w:rsidP="002B6227">
      <w:pPr>
        <w:jc w:val="both"/>
        <w:rPr>
          <w:rFonts w:ascii="Gotham" w:hAnsi="Gotham" w:cs="Arial"/>
          <w:sz w:val="20"/>
          <w:szCs w:val="20"/>
        </w:rPr>
      </w:pPr>
    </w:p>
    <w:p w14:paraId="3A4735D7"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5D8" w14:textId="77777777" w:rsidR="00016FE1" w:rsidRDefault="00016FE1" w:rsidP="002B6227">
      <w:pPr>
        <w:tabs>
          <w:tab w:val="left" w:pos="841"/>
        </w:tabs>
        <w:jc w:val="both"/>
        <w:rPr>
          <w:rFonts w:ascii="Gotham" w:hAnsi="Gotham"/>
          <w:sz w:val="20"/>
          <w:szCs w:val="20"/>
        </w:rPr>
      </w:pPr>
    </w:p>
    <w:p w14:paraId="3A4735D9" w14:textId="77777777" w:rsidR="00016FE1" w:rsidRPr="000F7447" w:rsidRDefault="00016FE1" w:rsidP="002B6227">
      <w:pPr>
        <w:tabs>
          <w:tab w:val="left" w:pos="841"/>
        </w:tabs>
        <w:jc w:val="both"/>
        <w:rPr>
          <w:rFonts w:ascii="Gotham" w:hAnsi="Gotham"/>
          <w:sz w:val="20"/>
          <w:szCs w:val="20"/>
        </w:rPr>
      </w:pPr>
    </w:p>
    <w:p w14:paraId="3A4735DA"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lastRenderedPageBreak/>
        <w:t xml:space="preserve">ACUERDO NO. </w:t>
      </w:r>
      <w:r>
        <w:rPr>
          <w:rFonts w:ascii="Gotham" w:hAnsi="Gotham"/>
          <w:b/>
          <w:sz w:val="22"/>
          <w:szCs w:val="22"/>
          <w:u w:val="single"/>
        </w:rPr>
        <w:t>1124</w:t>
      </w:r>
    </w:p>
    <w:p w14:paraId="3A4735DB" w14:textId="77777777" w:rsidR="00016FE1" w:rsidRPr="003122D2" w:rsidRDefault="00016FE1" w:rsidP="002B6227">
      <w:pPr>
        <w:jc w:val="both"/>
        <w:rPr>
          <w:rFonts w:ascii="Gotham" w:hAnsi="Gotham"/>
          <w:sz w:val="20"/>
          <w:szCs w:val="20"/>
        </w:rPr>
      </w:pPr>
      <w:r w:rsidRPr="000F7447">
        <w:rPr>
          <w:rFonts w:ascii="Gotham" w:hAnsi="Gotham"/>
          <w:b/>
          <w:bCs/>
          <w:smallCaps/>
          <w:sz w:val="20"/>
          <w:szCs w:val="20"/>
        </w:rPr>
        <w:t>Décima Segunda Iniciativa con Turno a Comisión</w:t>
      </w:r>
      <w:r w:rsidRPr="000F7447">
        <w:rPr>
          <w:rFonts w:ascii="Gotham" w:hAnsi="Gotham"/>
          <w:b/>
          <w:bCs/>
          <w:sz w:val="20"/>
          <w:szCs w:val="20"/>
        </w:rPr>
        <w:t xml:space="preserve">.- </w:t>
      </w:r>
      <w:r>
        <w:rPr>
          <w:rFonts w:ascii="Gotham" w:hAnsi="Gotham"/>
          <w:sz w:val="20"/>
          <w:szCs w:val="20"/>
        </w:rPr>
        <w:t xml:space="preserve">En uso de la voz el Regidor Manuel Nájera Martínez, </w:t>
      </w:r>
      <w:r w:rsidRPr="000F7447">
        <w:rPr>
          <w:rFonts w:ascii="Gotham" w:hAnsi="Gotham"/>
          <w:sz w:val="20"/>
          <w:szCs w:val="20"/>
        </w:rPr>
        <w:t xml:space="preserve">manifiesta que, </w:t>
      </w:r>
      <w:r w:rsidRPr="00EF402F">
        <w:rPr>
          <w:rFonts w:ascii="Gotham" w:hAnsi="Gotham"/>
          <w:sz w:val="20"/>
          <w:szCs w:val="20"/>
        </w:rPr>
        <w:t xml:space="preserve">con el permiso </w:t>
      </w:r>
      <w:r>
        <w:rPr>
          <w:rFonts w:ascii="Gotham" w:hAnsi="Gotham"/>
          <w:sz w:val="20"/>
          <w:szCs w:val="20"/>
        </w:rPr>
        <w:t>s</w:t>
      </w:r>
      <w:r w:rsidRPr="00EF402F">
        <w:rPr>
          <w:rFonts w:ascii="Gotham" w:hAnsi="Gotham"/>
          <w:sz w:val="20"/>
          <w:szCs w:val="20"/>
        </w:rPr>
        <w:t xml:space="preserve">eñor Presidente </w:t>
      </w:r>
      <w:r>
        <w:rPr>
          <w:rFonts w:ascii="Gotham" w:hAnsi="Gotham"/>
          <w:sz w:val="20"/>
          <w:szCs w:val="20"/>
        </w:rPr>
        <w:t>M</w:t>
      </w:r>
      <w:r w:rsidRPr="00EF402F">
        <w:rPr>
          <w:rFonts w:ascii="Gotham" w:hAnsi="Gotham"/>
          <w:sz w:val="20"/>
          <w:szCs w:val="20"/>
        </w:rPr>
        <w:t>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Síndico Municipal</w:t>
      </w:r>
      <w:r>
        <w:rPr>
          <w:rFonts w:ascii="Gotham" w:hAnsi="Gotham"/>
          <w:sz w:val="20"/>
          <w:szCs w:val="20"/>
        </w:rPr>
        <w:t>,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 compañeras Regidoras y compañeros Regidores de este Honorable Pleno</w:t>
      </w:r>
      <w:r>
        <w:rPr>
          <w:rFonts w:ascii="Gotham" w:hAnsi="Gotham"/>
          <w:sz w:val="20"/>
          <w:szCs w:val="20"/>
        </w:rPr>
        <w:t xml:space="preserve"> de Cabildo para los años 2021-2024;</w:t>
      </w:r>
      <w:r w:rsidRPr="00EF402F">
        <w:rPr>
          <w:rFonts w:ascii="Gotham" w:hAnsi="Gotham"/>
          <w:sz w:val="20"/>
          <w:szCs w:val="20"/>
        </w:rPr>
        <w:t xml:space="preserve"> con fundamento en los artículos 13, 14, 22</w:t>
      </w:r>
      <w:r>
        <w:rPr>
          <w:rFonts w:ascii="Gotham" w:hAnsi="Gotham"/>
          <w:sz w:val="20"/>
          <w:szCs w:val="20"/>
        </w:rPr>
        <w:t xml:space="preserve"> y</w:t>
      </w:r>
      <w:r w:rsidRPr="00EF402F">
        <w:rPr>
          <w:rFonts w:ascii="Gotham" w:hAnsi="Gotham"/>
          <w:sz w:val="20"/>
          <w:szCs w:val="20"/>
        </w:rPr>
        <w:t xml:space="preserve"> 82</w:t>
      </w:r>
      <w:r>
        <w:rPr>
          <w:rFonts w:ascii="Gotham" w:hAnsi="Gotham"/>
          <w:sz w:val="20"/>
          <w:szCs w:val="20"/>
        </w:rPr>
        <w:t>,</w:t>
      </w:r>
      <w:r w:rsidRPr="00EF402F">
        <w:rPr>
          <w:rFonts w:ascii="Gotham" w:hAnsi="Gotham"/>
          <w:sz w:val="20"/>
          <w:szCs w:val="20"/>
        </w:rPr>
        <w:t xml:space="preserve"> fracción </w:t>
      </w:r>
      <w:r>
        <w:rPr>
          <w:rFonts w:ascii="Gotham" w:hAnsi="Gotham"/>
          <w:sz w:val="20"/>
          <w:szCs w:val="20"/>
        </w:rPr>
        <w:t>II,</w:t>
      </w:r>
      <w:r w:rsidRPr="00EF402F">
        <w:rPr>
          <w:rFonts w:ascii="Gotham" w:hAnsi="Gotham"/>
          <w:sz w:val="20"/>
          <w:szCs w:val="20"/>
        </w:rPr>
        <w:t xml:space="preserve"> del </w:t>
      </w:r>
      <w:r w:rsidRPr="00F858CF">
        <w:rPr>
          <w:rFonts w:ascii="Gotham" w:hAnsi="Gotham"/>
          <w:sz w:val="20"/>
          <w:szCs w:val="20"/>
        </w:rPr>
        <w:t>Reglamento para el Funcionamiento Interno de las Sesiones del Ayuntamiento Constitucional de Tonalá, Jalisco; muy respetuosamente tengo a bien en presentar</w:t>
      </w:r>
      <w:r w:rsidRPr="00EF402F">
        <w:rPr>
          <w:rFonts w:ascii="Gotham" w:hAnsi="Gotham"/>
          <w:sz w:val="20"/>
          <w:szCs w:val="20"/>
        </w:rPr>
        <w:t xml:space="preserve"> la siguiente iniciativa con turno a comisión que tiene por objeto</w:t>
      </w:r>
      <w:r>
        <w:rPr>
          <w:rFonts w:ascii="Gotham" w:hAnsi="Gotham"/>
          <w:sz w:val="20"/>
          <w:szCs w:val="20"/>
        </w:rPr>
        <w:t xml:space="preserve"> </w:t>
      </w:r>
      <w:r w:rsidRPr="003122D2">
        <w:rPr>
          <w:rFonts w:ascii="Gotham" w:hAnsi="Gotham"/>
          <w:sz w:val="20"/>
          <w:szCs w:val="20"/>
        </w:rPr>
        <w:t>"SE I</w:t>
      </w:r>
      <w:r>
        <w:rPr>
          <w:rFonts w:ascii="Gotham" w:hAnsi="Gotham"/>
          <w:sz w:val="20"/>
          <w:szCs w:val="20"/>
        </w:rPr>
        <w:t>MPLEMENTEN PROTOCOLOS DE ATENCIÓ</w:t>
      </w:r>
      <w:r w:rsidRPr="003122D2">
        <w:rPr>
          <w:rFonts w:ascii="Gotham" w:hAnsi="Gotham"/>
          <w:sz w:val="20"/>
          <w:szCs w:val="20"/>
        </w:rPr>
        <w:t>N PSICOL</w:t>
      </w:r>
      <w:r>
        <w:rPr>
          <w:rFonts w:ascii="Gotham" w:hAnsi="Gotham"/>
          <w:sz w:val="20"/>
          <w:szCs w:val="20"/>
        </w:rPr>
        <w:t>ÓGICA E INTERVENCIÓ</w:t>
      </w:r>
      <w:r w:rsidRPr="003122D2">
        <w:rPr>
          <w:rFonts w:ascii="Gotham" w:hAnsi="Gotham"/>
          <w:sz w:val="20"/>
          <w:szCs w:val="20"/>
        </w:rPr>
        <w:t>N DE CRISIS A LOS ELEMENTOS DE LA COMI</w:t>
      </w:r>
      <w:r>
        <w:rPr>
          <w:rFonts w:ascii="Gotham" w:hAnsi="Gotham"/>
          <w:sz w:val="20"/>
          <w:szCs w:val="20"/>
        </w:rPr>
        <w:t>SARÍ</w:t>
      </w:r>
      <w:r w:rsidRPr="003122D2">
        <w:rPr>
          <w:rFonts w:ascii="Gotham" w:hAnsi="Gotham"/>
          <w:sz w:val="20"/>
          <w:szCs w:val="20"/>
        </w:rPr>
        <w:t>A DE SEGURIDAD P</w:t>
      </w:r>
      <w:r>
        <w:rPr>
          <w:rFonts w:ascii="Gotham" w:hAnsi="Gotham"/>
          <w:sz w:val="20"/>
          <w:szCs w:val="20"/>
        </w:rPr>
        <w:t>ÚBLICA MUNICIPAL, PROTECCIÓN CIVIL Y BOMBEROS Y PARAMÉ</w:t>
      </w:r>
      <w:r w:rsidRPr="003122D2">
        <w:rPr>
          <w:rFonts w:ascii="Gotham" w:hAnsi="Gotham"/>
          <w:sz w:val="20"/>
          <w:szCs w:val="20"/>
        </w:rPr>
        <w:t>DICOS, QUE PARTICIPEN EN ACCIONES O SERVICIOS PROPIOS A SUS FUNCIONES QUE ARRIESGUEN SUS VIDAS"</w:t>
      </w:r>
      <w:r>
        <w:rPr>
          <w:rFonts w:ascii="Gotham" w:hAnsi="Gotham"/>
          <w:sz w:val="20"/>
          <w:szCs w:val="20"/>
        </w:rPr>
        <w:t>;</w:t>
      </w:r>
      <w:r w:rsidRPr="003122D2">
        <w:rPr>
          <w:rFonts w:ascii="Gotham" w:hAnsi="Gotham"/>
          <w:sz w:val="20"/>
          <w:szCs w:val="20"/>
        </w:rPr>
        <w:t xml:space="preserve"> para tal efecto señalo la siguiente:</w:t>
      </w:r>
    </w:p>
    <w:p w14:paraId="3A4735DC" w14:textId="77777777" w:rsidR="00016FE1" w:rsidRDefault="00016FE1" w:rsidP="002B6227">
      <w:pPr>
        <w:jc w:val="both"/>
        <w:rPr>
          <w:rFonts w:ascii="Gotham" w:hAnsi="Gotham"/>
          <w:sz w:val="20"/>
          <w:szCs w:val="20"/>
        </w:rPr>
      </w:pPr>
    </w:p>
    <w:p w14:paraId="3A4735DD" w14:textId="77777777" w:rsidR="00016FE1" w:rsidRPr="003122D2" w:rsidRDefault="00016FE1" w:rsidP="002B6227">
      <w:pPr>
        <w:jc w:val="center"/>
        <w:rPr>
          <w:rFonts w:ascii="Gotham" w:hAnsi="Gotham"/>
          <w:sz w:val="20"/>
          <w:szCs w:val="20"/>
        </w:rPr>
      </w:pPr>
      <w:r w:rsidRPr="003122D2">
        <w:rPr>
          <w:rFonts w:ascii="Gotham" w:hAnsi="Gotham"/>
          <w:sz w:val="20"/>
          <w:szCs w:val="20"/>
        </w:rPr>
        <w:t>EXPOSICIÓN DE MOTIVO</w:t>
      </w:r>
    </w:p>
    <w:p w14:paraId="3A4735DE" w14:textId="77777777" w:rsidR="00016FE1" w:rsidRPr="003122D2" w:rsidRDefault="00016FE1" w:rsidP="002B6227">
      <w:pPr>
        <w:jc w:val="both"/>
        <w:rPr>
          <w:rFonts w:ascii="Gotham" w:hAnsi="Gotham"/>
          <w:sz w:val="20"/>
          <w:szCs w:val="20"/>
        </w:rPr>
      </w:pPr>
    </w:p>
    <w:p w14:paraId="3A4735DF" w14:textId="73E11897" w:rsidR="00016FE1" w:rsidRPr="003122D2" w:rsidRDefault="00016FE1" w:rsidP="002B6227">
      <w:pPr>
        <w:jc w:val="both"/>
        <w:rPr>
          <w:rFonts w:ascii="Gotham" w:hAnsi="Gotham"/>
          <w:sz w:val="20"/>
          <w:szCs w:val="20"/>
        </w:rPr>
      </w:pPr>
      <w:r w:rsidRPr="003122D2">
        <w:rPr>
          <w:rFonts w:ascii="Gotham" w:hAnsi="Gotham"/>
          <w:sz w:val="20"/>
          <w:szCs w:val="20"/>
        </w:rPr>
        <w:t>Un placer saludarlos compañeras Regidoras y Compañeros Regidores del Municipio de Tonalá</w:t>
      </w:r>
      <w:r>
        <w:rPr>
          <w:rFonts w:ascii="Gotham" w:hAnsi="Gotham"/>
          <w:sz w:val="20"/>
          <w:szCs w:val="20"/>
        </w:rPr>
        <w:t>,</w:t>
      </w:r>
      <w:r w:rsidRPr="003122D2">
        <w:rPr>
          <w:rFonts w:ascii="Gotham" w:hAnsi="Gotham"/>
          <w:sz w:val="20"/>
          <w:szCs w:val="20"/>
        </w:rPr>
        <w:t xml:space="preserve"> Jalisco, nuestros e</w:t>
      </w:r>
      <w:r>
        <w:rPr>
          <w:rFonts w:ascii="Gotham" w:hAnsi="Gotham"/>
          <w:sz w:val="20"/>
          <w:szCs w:val="20"/>
        </w:rPr>
        <w:t>lementos adscritos a la Comisarí</w:t>
      </w:r>
      <w:r w:rsidRPr="003122D2">
        <w:rPr>
          <w:rFonts w:ascii="Gotham" w:hAnsi="Gotham"/>
          <w:sz w:val="20"/>
          <w:szCs w:val="20"/>
        </w:rPr>
        <w:t xml:space="preserve">a de Seguridad Pública Municipal por su valiosa participación en acciones propias a sus funciones, quienes han intervenido en enfrentamientos con delincuentes, en delitos de bajo y alto impacto, como lo son robos a casa habitación, robo a persona, robo a vehículo, aunado a los temas de problemas vecinales, en general se ve afectada su situación en el aspecto psicológico y emocional día a día; sumando a ello el estrés o debido a presiones, según estadísticas de la secretaria de seguridad estatal existen 15 </w:t>
      </w:r>
      <w:r w:rsidRPr="00F858CF">
        <w:rPr>
          <w:rFonts w:ascii="Gotham" w:hAnsi="Gotham"/>
          <w:sz w:val="20"/>
          <w:szCs w:val="20"/>
        </w:rPr>
        <w:t xml:space="preserve">suicidios de policías al año, por lo que existe un llamado a permanecer alerta, en este tema tan importante en la salud física y mental de todas y todos cada uno de los uniformados, ningún solo elemento se encuentra exento que en un momento de tensión tanto laboral, familiar o de cualquier otra índole, pueda o quiera tomar la mala decisión de atentar en contra de su propia vida, existen algunos casos en particular que el problema económico influye de manera importante en el desarrollo de estas crisis emocionales, indistintamente a ello menciono que en el marco del Día Mundial para la Prevención del Suicidio, las autoridades llaman a permanecer alertas y extremar acciones para prevenirlo, luego de que en el 2021 se registraron 728 defunciones por lesiones </w:t>
      </w:r>
      <w:r w:rsidR="000B21EB" w:rsidRPr="00F858CF">
        <w:rPr>
          <w:rFonts w:ascii="Gotham" w:hAnsi="Gotham"/>
          <w:sz w:val="20"/>
          <w:szCs w:val="20"/>
        </w:rPr>
        <w:t>autoinfligidas</w:t>
      </w:r>
      <w:r w:rsidRPr="00F858CF">
        <w:rPr>
          <w:rFonts w:ascii="Gotham" w:hAnsi="Gotham"/>
          <w:sz w:val="20"/>
          <w:szCs w:val="20"/>
        </w:rPr>
        <w:t xml:space="preserve"> intencionalmente y otras 655 defunciones por las mismas causas, se han originado en el 2022.</w:t>
      </w:r>
    </w:p>
    <w:p w14:paraId="3A4735E0" w14:textId="77777777" w:rsidR="00016FE1" w:rsidRDefault="00016FE1" w:rsidP="002B6227">
      <w:pPr>
        <w:jc w:val="both"/>
        <w:rPr>
          <w:rFonts w:ascii="Gotham" w:hAnsi="Gotham"/>
          <w:sz w:val="20"/>
          <w:szCs w:val="20"/>
        </w:rPr>
      </w:pPr>
    </w:p>
    <w:p w14:paraId="3A4735E1" w14:textId="77777777" w:rsidR="00016FE1" w:rsidRPr="003122D2" w:rsidRDefault="00016FE1" w:rsidP="002B6227">
      <w:pPr>
        <w:jc w:val="both"/>
        <w:rPr>
          <w:rFonts w:ascii="Gotham" w:hAnsi="Gotham"/>
          <w:sz w:val="20"/>
          <w:szCs w:val="20"/>
        </w:rPr>
      </w:pPr>
      <w:r w:rsidRPr="003122D2">
        <w:rPr>
          <w:rFonts w:ascii="Gotham" w:hAnsi="Gotham"/>
          <w:sz w:val="20"/>
          <w:szCs w:val="20"/>
        </w:rPr>
        <w:t>La Secretaría de Seguridad del Estado da a conocer que ha brindado primeros auxilios psicológicos en 308 ocasiones.</w:t>
      </w:r>
    </w:p>
    <w:p w14:paraId="3A4735E2" w14:textId="77777777" w:rsidR="00016FE1" w:rsidRDefault="00016FE1" w:rsidP="002B6227">
      <w:pPr>
        <w:jc w:val="both"/>
        <w:rPr>
          <w:rFonts w:ascii="Gotham" w:hAnsi="Gotham"/>
          <w:sz w:val="20"/>
          <w:szCs w:val="20"/>
        </w:rPr>
      </w:pPr>
    </w:p>
    <w:p w14:paraId="3A4735E3" w14:textId="77777777" w:rsidR="00016FE1" w:rsidRPr="003122D2" w:rsidRDefault="00016FE1" w:rsidP="002B6227">
      <w:pPr>
        <w:jc w:val="both"/>
        <w:rPr>
          <w:rFonts w:ascii="Gotham" w:hAnsi="Gotham"/>
          <w:sz w:val="20"/>
          <w:szCs w:val="20"/>
        </w:rPr>
      </w:pPr>
      <w:r w:rsidRPr="003122D2">
        <w:rPr>
          <w:rFonts w:ascii="Gotham" w:hAnsi="Gotham"/>
          <w:sz w:val="20"/>
          <w:szCs w:val="20"/>
        </w:rPr>
        <w:t>México enfrenta una emergencia médica psiquiátrica</w:t>
      </w:r>
      <w:r>
        <w:rPr>
          <w:rFonts w:ascii="Gotham" w:hAnsi="Gotham"/>
          <w:sz w:val="20"/>
          <w:szCs w:val="20"/>
        </w:rPr>
        <w:t>.</w:t>
      </w:r>
    </w:p>
    <w:p w14:paraId="3A4735E4" w14:textId="77777777" w:rsidR="00016FE1" w:rsidRDefault="00016FE1" w:rsidP="002B6227">
      <w:pPr>
        <w:jc w:val="both"/>
        <w:rPr>
          <w:rFonts w:ascii="Gotham" w:hAnsi="Gotham"/>
          <w:sz w:val="20"/>
          <w:szCs w:val="20"/>
        </w:rPr>
      </w:pPr>
    </w:p>
    <w:p w14:paraId="3A4735E5" w14:textId="77777777" w:rsidR="00016FE1" w:rsidRPr="003122D2" w:rsidRDefault="00016FE1" w:rsidP="002B6227">
      <w:pPr>
        <w:jc w:val="both"/>
        <w:rPr>
          <w:rFonts w:ascii="Gotham" w:hAnsi="Gotham"/>
          <w:sz w:val="20"/>
          <w:szCs w:val="20"/>
        </w:rPr>
      </w:pPr>
      <w:r w:rsidRPr="003122D2">
        <w:rPr>
          <w:rFonts w:ascii="Gotham" w:hAnsi="Gotham"/>
          <w:sz w:val="20"/>
          <w:szCs w:val="20"/>
        </w:rPr>
        <w:t xml:space="preserve">En 2021, la tasa estatal de suicidios fue de 8.6 defunciones por cada 100 mil habitantes, lo que significó un incremento del 1.0 por ciento respecto a la de 2020, y así se alcanzó la tasa de suicidios más alta de los últimos 31 años, superando la de 2017 que era de 8.1 defunciones por 100 mil habitantes. </w:t>
      </w:r>
      <w:r w:rsidRPr="00F858CF">
        <w:rPr>
          <w:rFonts w:ascii="Gotham" w:hAnsi="Gotham"/>
          <w:sz w:val="20"/>
          <w:szCs w:val="20"/>
        </w:rPr>
        <w:t>Este 2022 la cifra podría ser mayor.</w:t>
      </w:r>
    </w:p>
    <w:p w14:paraId="3A4735E6" w14:textId="77777777" w:rsidR="00016FE1" w:rsidRDefault="00016FE1" w:rsidP="002B6227">
      <w:pPr>
        <w:jc w:val="both"/>
        <w:rPr>
          <w:rFonts w:ascii="Gotham" w:hAnsi="Gotham"/>
          <w:sz w:val="20"/>
          <w:szCs w:val="20"/>
        </w:rPr>
      </w:pPr>
    </w:p>
    <w:p w14:paraId="3A4735E7" w14:textId="77777777" w:rsidR="00016FE1" w:rsidRPr="003122D2" w:rsidRDefault="00016FE1" w:rsidP="002B6227">
      <w:pPr>
        <w:jc w:val="both"/>
        <w:rPr>
          <w:rFonts w:ascii="Gotham" w:hAnsi="Gotham"/>
          <w:sz w:val="20"/>
          <w:szCs w:val="20"/>
        </w:rPr>
      </w:pPr>
      <w:r w:rsidRPr="003122D2">
        <w:rPr>
          <w:rFonts w:ascii="Gotham" w:hAnsi="Gotham"/>
          <w:sz w:val="20"/>
          <w:szCs w:val="20"/>
        </w:rPr>
        <w:t xml:space="preserve">Especialistas del gobierno de Jalisco destacaron que es importante mantener lazos estrechos de comunicación con nuestros seres queridos y confianza, además de prestar atención a situaciones como: </w:t>
      </w:r>
      <w:r>
        <w:rPr>
          <w:rFonts w:ascii="Gotham" w:hAnsi="Gotham"/>
          <w:sz w:val="20"/>
          <w:szCs w:val="20"/>
        </w:rPr>
        <w:t>c</w:t>
      </w:r>
      <w:r w:rsidRPr="003122D2">
        <w:rPr>
          <w:rFonts w:ascii="Gotham" w:hAnsi="Gotham"/>
          <w:sz w:val="20"/>
          <w:szCs w:val="20"/>
        </w:rPr>
        <w:t>ambios en el estado de ánimo, jornadas irregulares o trastornos del sueño, episodios de ansiedad o depresión, autoagresiones, cambios radicales en la alimentación y aislamiento social frecuente.</w:t>
      </w:r>
    </w:p>
    <w:p w14:paraId="3A4735E8" w14:textId="77777777" w:rsidR="00016FE1" w:rsidRDefault="00016FE1" w:rsidP="002B6227">
      <w:pPr>
        <w:jc w:val="both"/>
        <w:rPr>
          <w:rFonts w:ascii="Gotham" w:hAnsi="Gotham"/>
          <w:sz w:val="20"/>
          <w:szCs w:val="20"/>
        </w:rPr>
      </w:pPr>
    </w:p>
    <w:p w14:paraId="3A4735E9" w14:textId="77777777" w:rsidR="00016FE1" w:rsidRPr="003122D2" w:rsidRDefault="00016FE1" w:rsidP="002B6227">
      <w:pPr>
        <w:jc w:val="both"/>
        <w:rPr>
          <w:rFonts w:ascii="Gotham" w:hAnsi="Gotham"/>
          <w:sz w:val="20"/>
          <w:szCs w:val="20"/>
        </w:rPr>
      </w:pPr>
      <w:r w:rsidRPr="003122D2">
        <w:rPr>
          <w:rFonts w:ascii="Gotham" w:hAnsi="Gotham"/>
          <w:sz w:val="20"/>
          <w:szCs w:val="20"/>
        </w:rPr>
        <w:t xml:space="preserve">La Unidad Policial de Atención en Crisis (UPAC), en ese tenor, brindó primeros auxilios psicológicos y contención emocional en 308 ocasiones, en el período del 1 de enero al 9 de septiembre del 2022, en las cuales personas presentaron episodios de ansiedad o ideación suicida. Pero también no ha faltado quien haga una innecesaria movilización de este servicio y </w:t>
      </w:r>
      <w:r w:rsidRPr="00F858CF">
        <w:rPr>
          <w:rFonts w:ascii="Gotham" w:hAnsi="Gotham"/>
          <w:sz w:val="20"/>
          <w:szCs w:val="20"/>
        </w:rPr>
        <w:t>en lo que va del año 2022</w:t>
      </w:r>
      <w:r w:rsidRPr="003122D2">
        <w:rPr>
          <w:rFonts w:ascii="Gotham" w:hAnsi="Gotham"/>
          <w:sz w:val="20"/>
          <w:szCs w:val="20"/>
        </w:rPr>
        <w:t xml:space="preserve"> la UPAC acudió </w:t>
      </w:r>
      <w:r w:rsidRPr="003122D2">
        <w:rPr>
          <w:rFonts w:ascii="Gotham" w:hAnsi="Gotham"/>
          <w:sz w:val="20"/>
          <w:szCs w:val="20"/>
        </w:rPr>
        <w:lastRenderedPageBreak/>
        <w:t xml:space="preserve">al llamado de 124 reportes que resultaron ser falsos, lo que pudo poner en riesgo la vida </w:t>
      </w:r>
      <w:r w:rsidR="008402EC">
        <w:rPr>
          <w:rFonts w:ascii="Gotham" w:hAnsi="Gotham"/>
          <w:sz w:val="20"/>
          <w:szCs w:val="20"/>
        </w:rPr>
        <w:t xml:space="preserve">de otras personas que realmente </w:t>
      </w:r>
      <w:r w:rsidRPr="003122D2">
        <w:rPr>
          <w:rFonts w:ascii="Gotham" w:hAnsi="Gotham"/>
          <w:sz w:val="20"/>
          <w:szCs w:val="20"/>
        </w:rPr>
        <w:t>necesitaban el servicio de las y los oficiales especializados.</w:t>
      </w:r>
    </w:p>
    <w:p w14:paraId="3A4735EA" w14:textId="77777777" w:rsidR="00016FE1" w:rsidRDefault="00016FE1" w:rsidP="002B6227">
      <w:pPr>
        <w:jc w:val="both"/>
        <w:rPr>
          <w:rFonts w:ascii="Gotham" w:hAnsi="Gotham"/>
          <w:sz w:val="20"/>
          <w:szCs w:val="20"/>
        </w:rPr>
      </w:pPr>
    </w:p>
    <w:p w14:paraId="3A4735EB" w14:textId="77777777" w:rsidR="00016FE1" w:rsidRPr="003122D2" w:rsidRDefault="00016FE1" w:rsidP="002B6227">
      <w:pPr>
        <w:jc w:val="both"/>
        <w:rPr>
          <w:rFonts w:ascii="Gotham" w:hAnsi="Gotham"/>
          <w:sz w:val="20"/>
          <w:szCs w:val="20"/>
        </w:rPr>
      </w:pPr>
      <w:r w:rsidRPr="003122D2">
        <w:rPr>
          <w:rFonts w:ascii="Gotham" w:hAnsi="Gotham"/>
          <w:sz w:val="20"/>
          <w:szCs w:val="20"/>
        </w:rPr>
        <w:t xml:space="preserve">De igual manera los </w:t>
      </w:r>
      <w:r>
        <w:rPr>
          <w:rFonts w:ascii="Gotham" w:hAnsi="Gotham"/>
          <w:sz w:val="20"/>
          <w:szCs w:val="20"/>
        </w:rPr>
        <w:t>e</w:t>
      </w:r>
      <w:r w:rsidRPr="003122D2">
        <w:rPr>
          <w:rFonts w:ascii="Gotham" w:hAnsi="Gotham"/>
          <w:sz w:val="20"/>
          <w:szCs w:val="20"/>
        </w:rPr>
        <w:t>lementos adscritos a la Dirección de Protección Civil y Bomberos, así</w:t>
      </w:r>
      <w:r>
        <w:rPr>
          <w:rFonts w:ascii="Gotham" w:hAnsi="Gotham"/>
          <w:sz w:val="20"/>
          <w:szCs w:val="20"/>
        </w:rPr>
        <w:t xml:space="preserve"> como p</w:t>
      </w:r>
      <w:r w:rsidRPr="003122D2">
        <w:rPr>
          <w:rFonts w:ascii="Gotham" w:hAnsi="Gotham"/>
          <w:sz w:val="20"/>
          <w:szCs w:val="20"/>
        </w:rPr>
        <w:t>aramédicos adscritos a los Servicios Médicos Municipales, quienes gracias a sus intervenciones en siniestros o accidentes, logran rescatar personas con vida, otras es imposible porque sus signos vitales no son compatibles con la vida, así como la atención a personas que pudieran contar con alguna enfermedad infecto contagiosa que de manera mediata la desconocen y logran tener contacto con ellos, e inclusive en situaciones muy extremas recuperar cuerpos en descomposición avanzada, todo ello crea un cuadro psicológico y emocional que afecta sus vidas, estos traumas sumándoles estrés o presiones, llegan afectarles a lo largo de su carrera o profesión, porque día a día, sin darse cuenta llega hacer tanto la afectación que se han dado casos específicos que atentan en contra de su propia vida.</w:t>
      </w:r>
    </w:p>
    <w:p w14:paraId="3A4735EC" w14:textId="77777777" w:rsidR="00016FE1" w:rsidRPr="003122D2" w:rsidRDefault="00016FE1" w:rsidP="002B6227">
      <w:pPr>
        <w:jc w:val="both"/>
        <w:rPr>
          <w:rFonts w:ascii="Gotham" w:hAnsi="Gotham"/>
          <w:sz w:val="20"/>
          <w:szCs w:val="20"/>
        </w:rPr>
      </w:pPr>
    </w:p>
    <w:p w14:paraId="3A4735ED" w14:textId="77777777" w:rsidR="00016FE1" w:rsidRPr="003122D2" w:rsidRDefault="00016FE1" w:rsidP="002B6227">
      <w:pPr>
        <w:jc w:val="both"/>
        <w:rPr>
          <w:rFonts w:ascii="Gotham" w:hAnsi="Gotham"/>
          <w:sz w:val="20"/>
          <w:szCs w:val="20"/>
        </w:rPr>
      </w:pPr>
      <w:r w:rsidRPr="003122D2">
        <w:rPr>
          <w:rFonts w:ascii="Gotham" w:hAnsi="Gotham"/>
          <w:sz w:val="20"/>
          <w:szCs w:val="20"/>
        </w:rPr>
        <w:t>Es por ello debemos d</w:t>
      </w:r>
      <w:r>
        <w:rPr>
          <w:rFonts w:ascii="Gotham" w:hAnsi="Gotham"/>
          <w:sz w:val="20"/>
          <w:szCs w:val="20"/>
        </w:rPr>
        <w:t>e crear acciones directas como m</w:t>
      </w:r>
      <w:r w:rsidRPr="003122D2">
        <w:rPr>
          <w:rFonts w:ascii="Gotham" w:hAnsi="Gotham"/>
          <w:sz w:val="20"/>
          <w:szCs w:val="20"/>
        </w:rPr>
        <w:t xml:space="preserve">áximo órgano de gobierno municipal, aportar los medios idóneos y adecuados, e implementar e instruir a las áreas correspondientes en llevar </w:t>
      </w:r>
      <w:r>
        <w:rPr>
          <w:rFonts w:ascii="Gotham" w:hAnsi="Gotham"/>
          <w:sz w:val="20"/>
          <w:szCs w:val="20"/>
        </w:rPr>
        <w:t>a cabo los PROTOCOLOS DE ATENCIÓ</w:t>
      </w:r>
      <w:r w:rsidRPr="003122D2">
        <w:rPr>
          <w:rFonts w:ascii="Gotham" w:hAnsi="Gotham"/>
          <w:sz w:val="20"/>
          <w:szCs w:val="20"/>
        </w:rPr>
        <w:t>N PSICOL</w:t>
      </w:r>
      <w:r>
        <w:rPr>
          <w:rFonts w:ascii="Gotham" w:hAnsi="Gotham"/>
          <w:sz w:val="20"/>
          <w:szCs w:val="20"/>
        </w:rPr>
        <w:t>ÓGICA E INTERVENCIÓ</w:t>
      </w:r>
      <w:r w:rsidRPr="003122D2">
        <w:rPr>
          <w:rFonts w:ascii="Gotham" w:hAnsi="Gotham"/>
          <w:sz w:val="20"/>
          <w:szCs w:val="20"/>
        </w:rPr>
        <w:t>N DE CRISI</w:t>
      </w:r>
      <w:r>
        <w:rPr>
          <w:rFonts w:ascii="Gotham" w:hAnsi="Gotham"/>
          <w:sz w:val="20"/>
          <w:szCs w:val="20"/>
        </w:rPr>
        <w:t>S A LOS ELEMENTOS DE LA COMISARÍ</w:t>
      </w:r>
      <w:r w:rsidRPr="003122D2">
        <w:rPr>
          <w:rFonts w:ascii="Gotham" w:hAnsi="Gotham"/>
          <w:sz w:val="20"/>
          <w:szCs w:val="20"/>
        </w:rPr>
        <w:t>A DE SEGURIDAD P</w:t>
      </w:r>
      <w:r>
        <w:rPr>
          <w:rFonts w:ascii="Gotham" w:hAnsi="Gotham"/>
          <w:sz w:val="20"/>
          <w:szCs w:val="20"/>
        </w:rPr>
        <w:t>ÚBLICA MUNICIPAL, PROTECCIÓN CIVIL Y BOMBEROS Y PARAMÉ</w:t>
      </w:r>
      <w:r w:rsidRPr="003122D2">
        <w:rPr>
          <w:rFonts w:ascii="Gotham" w:hAnsi="Gotham"/>
          <w:sz w:val="20"/>
          <w:szCs w:val="20"/>
        </w:rPr>
        <w:t>DICOS, QUE PARTICIPEN EN ACCIONES O SERVICIOS PROPIOS A SUS FUNCIONES QUE ARRIESGUEN SUS VIDAS, para que sean atendidos las mujeres policías y hombres policías, quienes en el alto desempeño logran realizar actos que de manera responsable inherentes a sus propias facultades y funciones</w:t>
      </w:r>
      <w:r>
        <w:rPr>
          <w:rFonts w:ascii="Gotham" w:hAnsi="Gotham"/>
          <w:sz w:val="20"/>
          <w:szCs w:val="20"/>
        </w:rPr>
        <w:t>, aú</w:t>
      </w:r>
      <w:r w:rsidRPr="003122D2">
        <w:rPr>
          <w:rFonts w:ascii="Gotham" w:hAnsi="Gotham"/>
          <w:sz w:val="20"/>
          <w:szCs w:val="20"/>
        </w:rPr>
        <w:t>n a</w:t>
      </w:r>
      <w:r>
        <w:rPr>
          <w:rFonts w:ascii="Gotham" w:hAnsi="Gotham"/>
          <w:sz w:val="20"/>
          <w:szCs w:val="20"/>
        </w:rPr>
        <w:t xml:space="preserve"> </w:t>
      </w:r>
      <w:r w:rsidRPr="003122D2">
        <w:rPr>
          <w:rFonts w:ascii="Gotham" w:hAnsi="Gotham"/>
          <w:sz w:val="20"/>
          <w:szCs w:val="20"/>
        </w:rPr>
        <w:t xml:space="preserve">costa de sus propias vidas e integridad física, reaccionando y logrando evitar se cause un daño físico o material en agravio de </w:t>
      </w:r>
      <w:r>
        <w:rPr>
          <w:rFonts w:ascii="Gotham" w:hAnsi="Gotham"/>
          <w:sz w:val="20"/>
          <w:szCs w:val="20"/>
        </w:rPr>
        <w:t>c</w:t>
      </w:r>
      <w:r w:rsidRPr="003122D2">
        <w:rPr>
          <w:rFonts w:ascii="Gotham" w:hAnsi="Gotham"/>
          <w:sz w:val="20"/>
          <w:szCs w:val="20"/>
        </w:rPr>
        <w:t>iudadanas y ciudadanos honestos responsables, quienes son víctimas de sujetos activos que se dedican a cometer delitos sin temor alguno, pero como consecuencia de estos actos afectan su integridad física y emocional por su valiosa intervención y pronta respuesta</w:t>
      </w:r>
      <w:r w:rsidRPr="00F858CF">
        <w:rPr>
          <w:rFonts w:ascii="Gotham" w:hAnsi="Gotham"/>
          <w:sz w:val="20"/>
          <w:szCs w:val="20"/>
        </w:rPr>
        <w:t>, en la presenta</w:t>
      </w:r>
      <w:r w:rsidRPr="003122D2">
        <w:rPr>
          <w:rFonts w:ascii="Gotham" w:hAnsi="Gotham"/>
          <w:sz w:val="20"/>
          <w:szCs w:val="20"/>
        </w:rPr>
        <w:t xml:space="preserve"> administración se han dado resultados favorables.</w:t>
      </w:r>
    </w:p>
    <w:p w14:paraId="3A4735EE" w14:textId="77777777" w:rsidR="00016FE1" w:rsidRDefault="00016FE1" w:rsidP="002B6227">
      <w:pPr>
        <w:jc w:val="both"/>
        <w:rPr>
          <w:rFonts w:ascii="Gotham" w:hAnsi="Gotham"/>
          <w:sz w:val="20"/>
          <w:szCs w:val="20"/>
        </w:rPr>
      </w:pPr>
    </w:p>
    <w:p w14:paraId="3A4735EF" w14:textId="77777777" w:rsidR="00016FE1" w:rsidRPr="003122D2" w:rsidRDefault="00016FE1" w:rsidP="002B6227">
      <w:pPr>
        <w:jc w:val="both"/>
        <w:rPr>
          <w:rFonts w:ascii="Gotham" w:hAnsi="Gotham"/>
          <w:sz w:val="20"/>
          <w:szCs w:val="20"/>
        </w:rPr>
      </w:pPr>
      <w:r w:rsidRPr="003122D2">
        <w:rPr>
          <w:rFonts w:ascii="Gotham" w:hAnsi="Gotham"/>
          <w:sz w:val="20"/>
          <w:szCs w:val="20"/>
        </w:rPr>
        <w:t>Por lo anteriormente expuesto dejo a consideración de este Honorable Pleno de Cabildo y solicito se apruebe y es de aprobarse:</w:t>
      </w:r>
    </w:p>
    <w:p w14:paraId="3A4735F0" w14:textId="77777777" w:rsidR="00016FE1" w:rsidRDefault="00016FE1" w:rsidP="002B6227">
      <w:pPr>
        <w:jc w:val="both"/>
        <w:rPr>
          <w:rFonts w:ascii="Gotham" w:hAnsi="Gotham"/>
          <w:sz w:val="20"/>
          <w:szCs w:val="20"/>
        </w:rPr>
      </w:pPr>
    </w:p>
    <w:p w14:paraId="3A4735F1" w14:textId="77777777" w:rsidR="00016FE1" w:rsidRPr="003122D2" w:rsidRDefault="00016FE1" w:rsidP="002B6227">
      <w:pPr>
        <w:jc w:val="center"/>
        <w:rPr>
          <w:rFonts w:ascii="Gotham" w:hAnsi="Gotham"/>
          <w:sz w:val="20"/>
          <w:szCs w:val="20"/>
        </w:rPr>
      </w:pPr>
      <w:r>
        <w:rPr>
          <w:rFonts w:ascii="Gotham" w:hAnsi="Gotham"/>
          <w:sz w:val="20"/>
          <w:szCs w:val="20"/>
        </w:rPr>
        <w:t>PROPON</w:t>
      </w:r>
      <w:r w:rsidRPr="003122D2">
        <w:rPr>
          <w:rFonts w:ascii="Gotham" w:hAnsi="Gotham"/>
          <w:sz w:val="20"/>
          <w:szCs w:val="20"/>
        </w:rPr>
        <w:t>GO</w:t>
      </w:r>
    </w:p>
    <w:p w14:paraId="3A4735F2" w14:textId="77777777" w:rsidR="00016FE1" w:rsidRDefault="00016FE1" w:rsidP="002B6227">
      <w:pPr>
        <w:jc w:val="both"/>
        <w:rPr>
          <w:rFonts w:ascii="Gotham" w:hAnsi="Gotham"/>
          <w:sz w:val="20"/>
          <w:szCs w:val="20"/>
        </w:rPr>
      </w:pPr>
    </w:p>
    <w:p w14:paraId="3A4735F3" w14:textId="77777777" w:rsidR="00016FE1" w:rsidRPr="003122D2" w:rsidRDefault="00016FE1" w:rsidP="002B6227">
      <w:pPr>
        <w:jc w:val="both"/>
        <w:rPr>
          <w:rFonts w:ascii="Gotham" w:hAnsi="Gotham"/>
          <w:sz w:val="20"/>
          <w:szCs w:val="20"/>
        </w:rPr>
      </w:pPr>
      <w:r w:rsidRPr="003122D2">
        <w:rPr>
          <w:rFonts w:ascii="Gotham" w:hAnsi="Gotham"/>
          <w:sz w:val="20"/>
          <w:szCs w:val="20"/>
        </w:rPr>
        <w:t xml:space="preserve">PRIMERO.- Es de </w:t>
      </w:r>
      <w:r>
        <w:rPr>
          <w:rFonts w:ascii="Gotham" w:hAnsi="Gotham"/>
          <w:sz w:val="20"/>
          <w:szCs w:val="20"/>
        </w:rPr>
        <w:t>aprobarse y se aprueba se t</w:t>
      </w:r>
      <w:r w:rsidRPr="003122D2">
        <w:rPr>
          <w:rFonts w:ascii="Gotham" w:hAnsi="Gotham"/>
          <w:sz w:val="20"/>
          <w:szCs w:val="20"/>
        </w:rPr>
        <w:t>urne a las Comisiones Seguridad Ciudadana y Prevención Social</w:t>
      </w:r>
      <w:r>
        <w:rPr>
          <w:rFonts w:ascii="Gotham" w:hAnsi="Gotham"/>
          <w:sz w:val="20"/>
          <w:szCs w:val="20"/>
        </w:rPr>
        <w:t>,</w:t>
      </w:r>
      <w:r w:rsidRPr="003122D2">
        <w:rPr>
          <w:rFonts w:ascii="Gotham" w:hAnsi="Gotham"/>
          <w:sz w:val="20"/>
          <w:szCs w:val="20"/>
        </w:rPr>
        <w:t xml:space="preserve"> como convocante</w:t>
      </w:r>
      <w:r>
        <w:rPr>
          <w:rFonts w:ascii="Gotham" w:hAnsi="Gotham"/>
          <w:sz w:val="20"/>
          <w:szCs w:val="20"/>
        </w:rPr>
        <w:t>,</w:t>
      </w:r>
      <w:r w:rsidRPr="003122D2">
        <w:rPr>
          <w:rFonts w:ascii="Gotham" w:hAnsi="Gotham"/>
          <w:sz w:val="20"/>
          <w:szCs w:val="20"/>
        </w:rPr>
        <w:t xml:space="preserve"> y la de Servicios Médicos, Salubridad </w:t>
      </w:r>
      <w:r>
        <w:rPr>
          <w:rFonts w:ascii="Gotham" w:hAnsi="Gotham"/>
          <w:sz w:val="20"/>
          <w:szCs w:val="20"/>
        </w:rPr>
        <w:t>e</w:t>
      </w:r>
      <w:r w:rsidRPr="003122D2">
        <w:rPr>
          <w:rFonts w:ascii="Gotham" w:hAnsi="Gotham"/>
          <w:sz w:val="20"/>
          <w:szCs w:val="20"/>
        </w:rPr>
        <w:t xml:space="preserve"> Higiene</w:t>
      </w:r>
      <w:r>
        <w:rPr>
          <w:rFonts w:ascii="Gotham" w:hAnsi="Gotham"/>
          <w:sz w:val="20"/>
          <w:szCs w:val="20"/>
        </w:rPr>
        <w:t>,</w:t>
      </w:r>
      <w:r w:rsidRPr="003122D2">
        <w:rPr>
          <w:rFonts w:ascii="Gotham" w:hAnsi="Gotham"/>
          <w:sz w:val="20"/>
          <w:szCs w:val="20"/>
        </w:rPr>
        <w:t xml:space="preserve"> como coadyuvante</w:t>
      </w:r>
      <w:r>
        <w:rPr>
          <w:rFonts w:ascii="Gotham" w:hAnsi="Gotham"/>
          <w:sz w:val="20"/>
          <w:szCs w:val="20"/>
        </w:rPr>
        <w:t>,</w:t>
      </w:r>
      <w:r w:rsidRPr="003122D2">
        <w:rPr>
          <w:rFonts w:ascii="Gotham" w:hAnsi="Gotham"/>
          <w:sz w:val="20"/>
          <w:szCs w:val="20"/>
        </w:rPr>
        <w:t xml:space="preserve"> </w:t>
      </w:r>
      <w:r w:rsidRPr="00F858CF">
        <w:rPr>
          <w:rFonts w:ascii="Gotham" w:hAnsi="Gotham"/>
          <w:sz w:val="20"/>
          <w:szCs w:val="20"/>
        </w:rPr>
        <w:t>para lleven</w:t>
      </w:r>
      <w:r w:rsidRPr="003122D2">
        <w:rPr>
          <w:rFonts w:ascii="Gotham" w:hAnsi="Gotham"/>
          <w:sz w:val="20"/>
          <w:szCs w:val="20"/>
        </w:rPr>
        <w:t xml:space="preserve"> a cabo el </w:t>
      </w:r>
      <w:r>
        <w:rPr>
          <w:rFonts w:ascii="Gotham" w:hAnsi="Gotham"/>
          <w:sz w:val="20"/>
          <w:szCs w:val="20"/>
        </w:rPr>
        <w:t>estudio, análisis y dictaminació</w:t>
      </w:r>
      <w:r w:rsidRPr="003122D2">
        <w:rPr>
          <w:rFonts w:ascii="Gotham" w:hAnsi="Gotham"/>
          <w:sz w:val="20"/>
          <w:szCs w:val="20"/>
        </w:rPr>
        <w:t>n final de la presente iniciativa.</w:t>
      </w:r>
    </w:p>
    <w:p w14:paraId="3A4735F4" w14:textId="77777777" w:rsidR="00016FE1" w:rsidRDefault="00016FE1" w:rsidP="002B6227">
      <w:pPr>
        <w:jc w:val="both"/>
        <w:rPr>
          <w:rFonts w:ascii="Gotham" w:hAnsi="Gotham"/>
          <w:sz w:val="20"/>
          <w:szCs w:val="20"/>
        </w:rPr>
      </w:pPr>
    </w:p>
    <w:p w14:paraId="3A4735F5" w14:textId="77777777" w:rsidR="00016FE1" w:rsidRPr="00DC5336" w:rsidRDefault="00016FE1" w:rsidP="002B6227">
      <w:pPr>
        <w:jc w:val="both"/>
        <w:rPr>
          <w:rFonts w:ascii="Gotham" w:hAnsi="Gotham" w:cs="Segoe UI"/>
          <w:color w:val="242424"/>
          <w:sz w:val="20"/>
          <w:szCs w:val="20"/>
          <w:lang w:eastAsia="es-MX"/>
        </w:rPr>
      </w:pPr>
      <w:r w:rsidRPr="00F858CF">
        <w:rPr>
          <w:rFonts w:ascii="Gotham" w:hAnsi="Gotham"/>
          <w:sz w:val="20"/>
          <w:szCs w:val="20"/>
        </w:rPr>
        <w:t>SEGUNDO.- Ciudadano</w:t>
      </w:r>
      <w:r w:rsidRPr="00EF402F">
        <w:rPr>
          <w:rFonts w:ascii="Gotham" w:hAnsi="Gotham"/>
          <w:sz w:val="20"/>
          <w:szCs w:val="20"/>
        </w:rPr>
        <w:t xml:space="preserve"> Presidente Municipal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w:t>
      </w:r>
      <w:r>
        <w:rPr>
          <w:rFonts w:ascii="Gotham" w:hAnsi="Gotham"/>
          <w:sz w:val="20"/>
          <w:szCs w:val="20"/>
        </w:rPr>
        <w:t>índico,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w:t>
      </w:r>
      <w:r>
        <w:rPr>
          <w:rFonts w:ascii="Gotham" w:hAnsi="Gotham"/>
          <w:sz w:val="20"/>
          <w:szCs w:val="20"/>
        </w:rPr>
        <w:t>y</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w:t>
      </w:r>
      <w:r>
        <w:rPr>
          <w:rFonts w:ascii="Gotham" w:hAnsi="Gotham"/>
          <w:sz w:val="20"/>
          <w:szCs w:val="20"/>
        </w:rPr>
        <w:t>;</w:t>
      </w:r>
      <w:r w:rsidRPr="00EF402F">
        <w:rPr>
          <w:rFonts w:ascii="Gotham" w:hAnsi="Gotham"/>
          <w:sz w:val="20"/>
          <w:szCs w:val="20"/>
        </w:rPr>
        <w:t xml:space="preserve"> firmen todos y cada uno de los documentos necesarios.</w:t>
      </w:r>
    </w:p>
    <w:p w14:paraId="3A4735F6" w14:textId="77777777" w:rsidR="00016FE1" w:rsidRDefault="00016FE1" w:rsidP="002B6227">
      <w:pPr>
        <w:jc w:val="both"/>
        <w:rPr>
          <w:rFonts w:ascii="Gotham" w:hAnsi="Gotham"/>
          <w:sz w:val="20"/>
          <w:szCs w:val="20"/>
        </w:rPr>
      </w:pPr>
    </w:p>
    <w:p w14:paraId="3A4735F7" w14:textId="77777777" w:rsidR="00016FE1" w:rsidRPr="00351AD1" w:rsidRDefault="00016FE1" w:rsidP="002B6227">
      <w:pPr>
        <w:jc w:val="both"/>
        <w:rPr>
          <w:rFonts w:ascii="Gotham" w:hAnsi="Gotham" w:cs="Arial"/>
          <w:sz w:val="20"/>
          <w:szCs w:val="20"/>
        </w:rPr>
      </w:pPr>
      <w:r>
        <w:rPr>
          <w:rFonts w:ascii="Gotham" w:hAnsi="Gotham"/>
          <w:sz w:val="20"/>
          <w:szCs w:val="20"/>
        </w:rPr>
        <w:t xml:space="preserve">En uso de la voz el Presidente Municipal, Sergio Armando Chávez Dávalos, expresa que, se propone su turno a la Comisión Edilicia de </w:t>
      </w:r>
      <w:r w:rsidRPr="00EC1525">
        <w:rPr>
          <w:rFonts w:ascii="Gotham" w:hAnsi="Gotham" w:cs="Arial"/>
          <w:sz w:val="20"/>
          <w:szCs w:val="20"/>
        </w:rPr>
        <w:t>Seguridad y Prevención Ciudadana</w:t>
      </w:r>
      <w:r>
        <w:rPr>
          <w:rFonts w:ascii="Gotham" w:hAnsi="Gotham" w:cs="Arial"/>
          <w:sz w:val="20"/>
          <w:szCs w:val="20"/>
        </w:rPr>
        <w:t>, así como a la</w:t>
      </w:r>
      <w:r w:rsidRPr="00EC1525">
        <w:rPr>
          <w:rFonts w:ascii="Gotham" w:hAnsi="Gotham" w:cs="Arial"/>
          <w:sz w:val="20"/>
          <w:szCs w:val="20"/>
        </w:rPr>
        <w:t xml:space="preserve"> de Servicios Médicos, Salubridad e Higiene</w:t>
      </w:r>
      <w:r>
        <w:rPr>
          <w:rFonts w:ascii="Gotham" w:hAnsi="Gotham"/>
          <w:sz w:val="20"/>
          <w:szCs w:val="20"/>
        </w:rPr>
        <w:t>;</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5F8" w14:textId="77777777" w:rsidR="00016FE1" w:rsidRPr="00351AD1" w:rsidRDefault="00016FE1" w:rsidP="002B6227">
      <w:pPr>
        <w:jc w:val="both"/>
        <w:rPr>
          <w:rFonts w:ascii="Gotham" w:hAnsi="Gotham" w:cs="Arial"/>
          <w:sz w:val="20"/>
          <w:szCs w:val="20"/>
        </w:rPr>
      </w:pPr>
    </w:p>
    <w:p w14:paraId="3A4735F9"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5FA" w14:textId="77777777" w:rsidR="00016FE1" w:rsidRPr="00351AD1" w:rsidRDefault="00016FE1" w:rsidP="002B6227">
      <w:pPr>
        <w:jc w:val="both"/>
        <w:rPr>
          <w:rFonts w:ascii="Gotham" w:hAnsi="Gotham" w:cs="Arial"/>
          <w:sz w:val="20"/>
          <w:szCs w:val="20"/>
        </w:rPr>
      </w:pPr>
    </w:p>
    <w:p w14:paraId="3A4735FB"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5FC" w14:textId="77777777" w:rsidR="00016FE1" w:rsidRPr="00E0456C" w:rsidRDefault="00016FE1" w:rsidP="002B6227">
      <w:pPr>
        <w:jc w:val="both"/>
        <w:rPr>
          <w:rFonts w:ascii="Gotham" w:hAnsi="Gotham"/>
          <w:sz w:val="20"/>
          <w:szCs w:val="20"/>
        </w:rPr>
      </w:pPr>
    </w:p>
    <w:p w14:paraId="3A4735FD" w14:textId="77777777" w:rsidR="00016FE1" w:rsidRPr="000F7447" w:rsidRDefault="00016FE1" w:rsidP="002B6227">
      <w:pPr>
        <w:jc w:val="both"/>
        <w:rPr>
          <w:rFonts w:ascii="Gotham" w:hAnsi="Gotham"/>
          <w:sz w:val="20"/>
          <w:szCs w:val="20"/>
        </w:rPr>
      </w:pPr>
    </w:p>
    <w:p w14:paraId="3A4735FE"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lastRenderedPageBreak/>
        <w:t xml:space="preserve">ACUERDO NO. </w:t>
      </w:r>
      <w:r>
        <w:rPr>
          <w:rFonts w:ascii="Gotham" w:hAnsi="Gotham"/>
          <w:b/>
          <w:sz w:val="22"/>
          <w:szCs w:val="22"/>
          <w:u w:val="single"/>
        </w:rPr>
        <w:t>1125</w:t>
      </w:r>
    </w:p>
    <w:p w14:paraId="3A4735FF" w14:textId="77777777" w:rsidR="00016FE1" w:rsidRPr="00F2278D" w:rsidRDefault="00016FE1" w:rsidP="002B6227">
      <w:pPr>
        <w:jc w:val="both"/>
        <w:rPr>
          <w:rFonts w:ascii="Gotham" w:hAnsi="Gotham"/>
          <w:sz w:val="20"/>
          <w:szCs w:val="20"/>
        </w:rPr>
      </w:pPr>
      <w:r w:rsidRPr="000F7447">
        <w:rPr>
          <w:rFonts w:ascii="Gotham" w:hAnsi="Gotham"/>
          <w:b/>
          <w:bCs/>
          <w:smallCaps/>
          <w:sz w:val="20"/>
          <w:szCs w:val="20"/>
        </w:rPr>
        <w:t>Décima Tercera Iniciativa con Turno a Comisión</w:t>
      </w:r>
      <w:r w:rsidRPr="000F7447">
        <w:rPr>
          <w:rFonts w:ascii="Gotham" w:hAnsi="Gotham"/>
          <w:b/>
          <w:bCs/>
          <w:sz w:val="20"/>
          <w:szCs w:val="20"/>
        </w:rPr>
        <w:t xml:space="preserve">.- </w:t>
      </w:r>
      <w:r>
        <w:rPr>
          <w:rFonts w:ascii="Gotham" w:hAnsi="Gotham"/>
          <w:sz w:val="20"/>
          <w:szCs w:val="20"/>
        </w:rPr>
        <w:t xml:space="preserve">En uso de la voz el Regidor Manuel Nájera Martínez, </w:t>
      </w:r>
      <w:r w:rsidRPr="000F7447">
        <w:rPr>
          <w:rFonts w:ascii="Gotham" w:hAnsi="Gotham"/>
          <w:sz w:val="20"/>
          <w:szCs w:val="20"/>
        </w:rPr>
        <w:t xml:space="preserve">menciona que, </w:t>
      </w:r>
      <w:r w:rsidRPr="00EF402F">
        <w:rPr>
          <w:rFonts w:ascii="Gotham" w:hAnsi="Gotham"/>
          <w:sz w:val="20"/>
          <w:szCs w:val="20"/>
        </w:rPr>
        <w:t xml:space="preserve">con el permiso </w:t>
      </w:r>
      <w:r>
        <w:rPr>
          <w:rFonts w:ascii="Gotham" w:hAnsi="Gotham"/>
          <w:sz w:val="20"/>
          <w:szCs w:val="20"/>
        </w:rPr>
        <w:t>s</w:t>
      </w:r>
      <w:r w:rsidRPr="00EF402F">
        <w:rPr>
          <w:rFonts w:ascii="Gotham" w:hAnsi="Gotham"/>
          <w:sz w:val="20"/>
          <w:szCs w:val="20"/>
        </w:rPr>
        <w:t xml:space="preserve">eñor Presidente </w:t>
      </w:r>
      <w:r>
        <w:rPr>
          <w:rFonts w:ascii="Gotham" w:hAnsi="Gotham"/>
          <w:sz w:val="20"/>
          <w:szCs w:val="20"/>
        </w:rPr>
        <w:t>M</w:t>
      </w:r>
      <w:r w:rsidRPr="00EF402F">
        <w:rPr>
          <w:rFonts w:ascii="Gotham" w:hAnsi="Gotham"/>
          <w:sz w:val="20"/>
          <w:szCs w:val="20"/>
        </w:rPr>
        <w:t>unicipal</w:t>
      </w:r>
      <w:r>
        <w:rPr>
          <w:rFonts w:ascii="Gotham" w:hAnsi="Gotham"/>
          <w:sz w:val="20"/>
          <w:szCs w:val="20"/>
        </w:rPr>
        <w:t>,</w:t>
      </w:r>
      <w:r w:rsidRPr="00EF402F">
        <w:rPr>
          <w:rFonts w:ascii="Gotham" w:hAnsi="Gotham"/>
          <w:sz w:val="20"/>
          <w:szCs w:val="20"/>
        </w:rPr>
        <w:t xml:space="preserve"> Sergio Armando Ch</w:t>
      </w:r>
      <w:r>
        <w:rPr>
          <w:rFonts w:ascii="Gotham" w:hAnsi="Gotham"/>
          <w:sz w:val="20"/>
          <w:szCs w:val="20"/>
        </w:rPr>
        <w:t>á</w:t>
      </w:r>
      <w:r w:rsidRPr="00EF402F">
        <w:rPr>
          <w:rFonts w:ascii="Gotham" w:hAnsi="Gotham"/>
          <w:sz w:val="20"/>
          <w:szCs w:val="20"/>
        </w:rPr>
        <w:t>vez D</w:t>
      </w:r>
      <w:r>
        <w:rPr>
          <w:rFonts w:ascii="Gotham" w:hAnsi="Gotham"/>
          <w:sz w:val="20"/>
          <w:szCs w:val="20"/>
        </w:rPr>
        <w:t>á</w:t>
      </w:r>
      <w:r w:rsidRPr="00EF402F">
        <w:rPr>
          <w:rFonts w:ascii="Gotham" w:hAnsi="Gotham"/>
          <w:sz w:val="20"/>
          <w:szCs w:val="20"/>
        </w:rPr>
        <w:t>valos</w:t>
      </w:r>
      <w:r>
        <w:rPr>
          <w:rFonts w:ascii="Gotham" w:hAnsi="Gotham"/>
          <w:sz w:val="20"/>
          <w:szCs w:val="20"/>
        </w:rPr>
        <w:t>;</w:t>
      </w:r>
      <w:r w:rsidRPr="00EF402F">
        <w:rPr>
          <w:rFonts w:ascii="Gotham" w:hAnsi="Gotham"/>
          <w:sz w:val="20"/>
          <w:szCs w:val="20"/>
        </w:rPr>
        <w:t xml:space="preserve"> Síndico Municipal</w:t>
      </w:r>
      <w:r>
        <w:rPr>
          <w:rFonts w:ascii="Gotham" w:hAnsi="Gotham"/>
          <w:sz w:val="20"/>
          <w:szCs w:val="20"/>
        </w:rPr>
        <w:t>, Nicolá</w:t>
      </w:r>
      <w:r w:rsidRPr="00EF402F">
        <w:rPr>
          <w:rFonts w:ascii="Gotham" w:hAnsi="Gotham"/>
          <w:sz w:val="20"/>
          <w:szCs w:val="20"/>
        </w:rPr>
        <w:t>s Maestro Landeros</w:t>
      </w:r>
      <w:r>
        <w:rPr>
          <w:rFonts w:ascii="Gotham" w:hAnsi="Gotham"/>
          <w:sz w:val="20"/>
          <w:szCs w:val="20"/>
        </w:rPr>
        <w:t>;</w:t>
      </w:r>
      <w:r w:rsidRPr="00EF402F">
        <w:rPr>
          <w:rFonts w:ascii="Gotham" w:hAnsi="Gotham"/>
          <w:sz w:val="20"/>
          <w:szCs w:val="20"/>
        </w:rPr>
        <w:t xml:space="preserve"> Secretaria General</w:t>
      </w:r>
      <w:r>
        <w:rPr>
          <w:rFonts w:ascii="Gotham" w:hAnsi="Gotham"/>
          <w:sz w:val="20"/>
          <w:szCs w:val="20"/>
        </w:rPr>
        <w:t>, Celia Isabel Gauna Ruiz De Leó</w:t>
      </w:r>
      <w:r w:rsidRPr="00EF402F">
        <w:rPr>
          <w:rFonts w:ascii="Gotham" w:hAnsi="Gotham"/>
          <w:sz w:val="20"/>
          <w:szCs w:val="20"/>
        </w:rPr>
        <w:t>n, compañeras Regidoras y compañeros Regidores de este Honorable Pleno</w:t>
      </w:r>
      <w:r>
        <w:rPr>
          <w:rFonts w:ascii="Gotham" w:hAnsi="Gotham"/>
          <w:sz w:val="20"/>
          <w:szCs w:val="20"/>
        </w:rPr>
        <w:t xml:space="preserve"> de Cabildo para los años 2021-2024;</w:t>
      </w:r>
      <w:r w:rsidRPr="00EF402F">
        <w:rPr>
          <w:rFonts w:ascii="Gotham" w:hAnsi="Gotham"/>
          <w:sz w:val="20"/>
          <w:szCs w:val="20"/>
        </w:rPr>
        <w:t xml:space="preserve"> con fundamento en los artículos 13, 14, 22</w:t>
      </w:r>
      <w:r>
        <w:rPr>
          <w:rFonts w:ascii="Gotham" w:hAnsi="Gotham"/>
          <w:sz w:val="20"/>
          <w:szCs w:val="20"/>
        </w:rPr>
        <w:t xml:space="preserve"> y</w:t>
      </w:r>
      <w:r w:rsidRPr="00EF402F">
        <w:rPr>
          <w:rFonts w:ascii="Gotham" w:hAnsi="Gotham"/>
          <w:sz w:val="20"/>
          <w:szCs w:val="20"/>
        </w:rPr>
        <w:t xml:space="preserve"> 82</w:t>
      </w:r>
      <w:r>
        <w:rPr>
          <w:rFonts w:ascii="Gotham" w:hAnsi="Gotham"/>
          <w:sz w:val="20"/>
          <w:szCs w:val="20"/>
        </w:rPr>
        <w:t>,</w:t>
      </w:r>
      <w:r w:rsidRPr="00EF402F">
        <w:rPr>
          <w:rFonts w:ascii="Gotham" w:hAnsi="Gotham"/>
          <w:sz w:val="20"/>
          <w:szCs w:val="20"/>
        </w:rPr>
        <w:t xml:space="preserve"> fracción </w:t>
      </w:r>
      <w:r>
        <w:rPr>
          <w:rFonts w:ascii="Gotham" w:hAnsi="Gotham"/>
          <w:sz w:val="20"/>
          <w:szCs w:val="20"/>
        </w:rPr>
        <w:t>II,</w:t>
      </w:r>
      <w:r w:rsidRPr="00EF402F">
        <w:rPr>
          <w:rFonts w:ascii="Gotham" w:hAnsi="Gotham"/>
          <w:sz w:val="20"/>
          <w:szCs w:val="20"/>
        </w:rPr>
        <w:t xml:space="preserve"> del </w:t>
      </w:r>
      <w:r w:rsidRPr="00F858CF">
        <w:rPr>
          <w:rFonts w:ascii="Gotham" w:hAnsi="Gotham"/>
          <w:sz w:val="20"/>
          <w:szCs w:val="20"/>
        </w:rPr>
        <w:t>Reglamento para el Funcionamiento Interno de las Sesiones y Comisiones del Ayuntamiento Constitucional de Tonalá, Jalisco; muy respetuosamente tengo a bien en presentar la siguiente iniciativa con turno a comisión que tiene por objeto</w:t>
      </w:r>
      <w:r>
        <w:rPr>
          <w:rFonts w:ascii="Gotham" w:hAnsi="Gotham"/>
          <w:sz w:val="20"/>
          <w:szCs w:val="20"/>
        </w:rPr>
        <w:t xml:space="preserve"> “</w:t>
      </w:r>
      <w:r w:rsidRPr="00F2278D">
        <w:rPr>
          <w:rFonts w:ascii="Gotham" w:hAnsi="Gotham"/>
          <w:sz w:val="20"/>
          <w:szCs w:val="20"/>
        </w:rPr>
        <w:t>ORDENAMIENTO A TRAVEZ DE LA JERARQUIZACION EN LA DIRECCION DE PROTECCION CIVIL Y BOMBEROS" para tal efecto señalo la siguiente:</w:t>
      </w:r>
    </w:p>
    <w:p w14:paraId="3A473600" w14:textId="77777777" w:rsidR="00016FE1" w:rsidRDefault="00016FE1" w:rsidP="002B6227">
      <w:pPr>
        <w:jc w:val="both"/>
        <w:rPr>
          <w:rFonts w:ascii="Gotham" w:hAnsi="Gotham"/>
          <w:sz w:val="20"/>
          <w:szCs w:val="20"/>
        </w:rPr>
      </w:pPr>
    </w:p>
    <w:p w14:paraId="3A473601" w14:textId="77777777" w:rsidR="00016FE1" w:rsidRPr="00F2278D" w:rsidRDefault="00016FE1" w:rsidP="002B6227">
      <w:pPr>
        <w:jc w:val="center"/>
        <w:rPr>
          <w:rFonts w:ascii="Gotham" w:hAnsi="Gotham"/>
          <w:sz w:val="20"/>
          <w:szCs w:val="20"/>
        </w:rPr>
      </w:pPr>
      <w:r w:rsidRPr="00F2278D">
        <w:rPr>
          <w:rFonts w:ascii="Gotham" w:hAnsi="Gotham"/>
          <w:sz w:val="20"/>
          <w:szCs w:val="20"/>
        </w:rPr>
        <w:t>EXPOSICIÓN DE MOTIVO</w:t>
      </w:r>
    </w:p>
    <w:p w14:paraId="3A473602" w14:textId="77777777" w:rsidR="00016FE1" w:rsidRPr="00F2278D" w:rsidRDefault="00016FE1" w:rsidP="002B6227">
      <w:pPr>
        <w:jc w:val="both"/>
        <w:rPr>
          <w:rFonts w:ascii="Gotham" w:hAnsi="Gotham"/>
          <w:sz w:val="20"/>
          <w:szCs w:val="20"/>
        </w:rPr>
      </w:pPr>
    </w:p>
    <w:p w14:paraId="3A473603" w14:textId="77777777" w:rsidR="00016FE1" w:rsidRPr="00F2278D" w:rsidRDefault="00016FE1" w:rsidP="002B6227">
      <w:pPr>
        <w:jc w:val="both"/>
        <w:rPr>
          <w:rFonts w:ascii="Gotham" w:hAnsi="Gotham"/>
          <w:sz w:val="20"/>
          <w:szCs w:val="20"/>
        </w:rPr>
      </w:pPr>
      <w:r w:rsidRPr="00F2278D">
        <w:rPr>
          <w:rFonts w:ascii="Gotham" w:hAnsi="Gotham"/>
          <w:sz w:val="20"/>
          <w:szCs w:val="20"/>
        </w:rPr>
        <w:t>Un placer saludarlos compañeras Regidoras y Compañeros Regidores del Municipio de Tonalá Jalisco, en ocasiones anteriores he manifestado la apremiante necesidad y extrema urgencia de que nuestro Municipio de Tonalá Jalisco, tenga que llevar a cabo la actualización en el ordenamiento a través de la JERARQUIZACION EN LA DIRECCION DE PROTECCION CIVIL Y BOMBEROS, como antecedente importante es que han pasado administraciones que no han mostrado un interés o compromiso directo con los elementos adscritos con la Dirección de Protección Civil y Bomberos, el total de nuestras compañeras y compañeros bomberos, cuentan con un nombramiento de BOMBERO DE LINEA, y solo quienes cuentan con nombramiento directo es el DIRECTOR (01), SUB-DIRECTOR (02), COMANDANTE OPERATIVO (03) y el resto solo cuentan con el nombramiento d</w:t>
      </w:r>
      <w:r>
        <w:rPr>
          <w:rFonts w:ascii="Gotham" w:hAnsi="Gotham"/>
          <w:sz w:val="20"/>
          <w:szCs w:val="20"/>
        </w:rPr>
        <w:t>e BOMBERO DE LÍ</w:t>
      </w:r>
      <w:r w:rsidRPr="00F2278D">
        <w:rPr>
          <w:rFonts w:ascii="Gotham" w:hAnsi="Gotham"/>
          <w:sz w:val="20"/>
          <w:szCs w:val="20"/>
        </w:rPr>
        <w:t xml:space="preserve">NEA, a este grupo se les otorga para efectos del desarrollo en sus funciones de manera discrecional o como comisionados solo algunos de los miembros de este cuerpo de bomberos el de COMANDANTE PRIMERO, COMANDANTE SEGUNDO, siendo un total de 8 ocho miembros, pero solo es eso nombramiento discrecional, porque en sus nombramientos físicamente nunca aparece o se refleja tal grado, mucho menos en sus percepciones dentro de su propia nomina que les paga este Ayuntamiento Constitucional de Tonalá Jalisco, no debe de ser tan complicado llevar a cabo el ordenamiento jerárquico en esta Dirección de Protección Civil y Bomberos, solo falta la Voluntad Política de Todas y Todos nosotros Regidoras y Regidores, para otorgarles el reconocimiento a quienes han llevado a cabo un gran esfuerzo en su preparación personal, de estudios, de cursos, quienes de manera profesional, cuentan ya con bastantes años en el servicio público, atendiendo el llamado de las y los ciudadanos, atendiendo servicios en casos fortuitos de incendios unos provocados y otros derivados por accidentes o descuidos e inclusive por casos de acción u omisión, se preparan en temas de manipulación del manejo de sustancias químicas, fugas de gas, fugas de petróleo, incendios en vehículos con contenido de productos inflamables, productos químicos, actúan de manera importante en desastres naturales como lo son las inundaciones, intervenciones en rescate de personas en cuerpos de agua, debemos comprender que no es nada fácil o simple el llevar actos y acciones en este Dirección Operativa, se debe de tener la </w:t>
      </w:r>
      <w:r>
        <w:rPr>
          <w:rFonts w:ascii="Gotham" w:hAnsi="Gotham"/>
          <w:sz w:val="20"/>
          <w:szCs w:val="20"/>
        </w:rPr>
        <w:t>v</w:t>
      </w:r>
      <w:r w:rsidRPr="00F2278D">
        <w:rPr>
          <w:rFonts w:ascii="Gotham" w:hAnsi="Gotham"/>
          <w:sz w:val="20"/>
          <w:szCs w:val="20"/>
        </w:rPr>
        <w:t>ocación entregarse en cuerpo y alma para lograr los resultados que hoy día podemos presumir o jactarnos ante la sociedad, y menciona el termino presumir o jactarnos porque son ellos quienes se encuentran inmersos en sus actuaciones, son los hechos que hablan de este Cuerpo de Bomberos y no las palabras, son sus acciones, sus principios y sus valores quienes dan cuenta de cada uno de los integrantes, por ende debemos de actuar apegados a nuestras funciones y facultades, darles la seguridad jurídica, cumplirles con sus derechos laborales, pero sobre todo que actuemos de manera responsable en sus derechos humanos, para que mejoren la calidad de vida propia y de sus familias que la integran.</w:t>
      </w:r>
    </w:p>
    <w:p w14:paraId="3A473604" w14:textId="77777777" w:rsidR="00016FE1" w:rsidRDefault="00016FE1" w:rsidP="002B6227">
      <w:pPr>
        <w:jc w:val="both"/>
        <w:rPr>
          <w:rFonts w:ascii="Gotham" w:hAnsi="Gotham"/>
          <w:sz w:val="20"/>
          <w:szCs w:val="20"/>
        </w:rPr>
      </w:pPr>
    </w:p>
    <w:p w14:paraId="3A473605" w14:textId="77777777" w:rsidR="00016FE1" w:rsidRPr="00F2278D" w:rsidRDefault="00016FE1" w:rsidP="002B6227">
      <w:pPr>
        <w:jc w:val="both"/>
        <w:rPr>
          <w:rFonts w:ascii="Gotham" w:hAnsi="Gotham"/>
          <w:sz w:val="20"/>
          <w:szCs w:val="20"/>
        </w:rPr>
      </w:pPr>
      <w:r w:rsidRPr="00F2278D">
        <w:rPr>
          <w:rFonts w:ascii="Gotham" w:hAnsi="Gotham"/>
          <w:sz w:val="20"/>
          <w:szCs w:val="20"/>
        </w:rPr>
        <w:t>Es menester señalar el significado de JERARQUIZACION:</w:t>
      </w:r>
    </w:p>
    <w:p w14:paraId="3A473606" w14:textId="77777777" w:rsidR="00016FE1" w:rsidRDefault="00016FE1" w:rsidP="002B6227">
      <w:pPr>
        <w:jc w:val="both"/>
        <w:rPr>
          <w:rFonts w:ascii="Gotham" w:hAnsi="Gotham"/>
          <w:sz w:val="20"/>
          <w:szCs w:val="20"/>
        </w:rPr>
      </w:pPr>
    </w:p>
    <w:p w14:paraId="3A473607" w14:textId="77777777" w:rsidR="00016FE1" w:rsidRPr="00F2278D" w:rsidRDefault="00016FE1" w:rsidP="002B6227">
      <w:pPr>
        <w:jc w:val="both"/>
        <w:rPr>
          <w:rFonts w:ascii="Gotham" w:hAnsi="Gotham"/>
          <w:sz w:val="20"/>
          <w:szCs w:val="20"/>
        </w:rPr>
      </w:pPr>
      <w:r w:rsidRPr="00F2278D">
        <w:rPr>
          <w:rFonts w:ascii="Gotham" w:hAnsi="Gotham"/>
          <w:sz w:val="20"/>
          <w:szCs w:val="20"/>
        </w:rPr>
        <w:t>"Organizar"; La jerarquización implica ordenar algo de acuerdo a jerarquías.</w:t>
      </w:r>
    </w:p>
    <w:p w14:paraId="3A473608" w14:textId="77777777" w:rsidR="00016FE1" w:rsidRDefault="00016FE1" w:rsidP="002B6227">
      <w:pPr>
        <w:jc w:val="both"/>
        <w:rPr>
          <w:rFonts w:ascii="Gotham" w:hAnsi="Gotham"/>
          <w:sz w:val="20"/>
          <w:szCs w:val="20"/>
        </w:rPr>
      </w:pPr>
    </w:p>
    <w:p w14:paraId="3A473609" w14:textId="77777777" w:rsidR="00016FE1" w:rsidRPr="00F2278D" w:rsidRDefault="00016FE1" w:rsidP="002B6227">
      <w:pPr>
        <w:jc w:val="both"/>
        <w:rPr>
          <w:rFonts w:ascii="Gotham" w:hAnsi="Gotham"/>
          <w:sz w:val="20"/>
          <w:szCs w:val="20"/>
        </w:rPr>
      </w:pPr>
      <w:r w:rsidRPr="00F2278D">
        <w:rPr>
          <w:rFonts w:ascii="Gotham" w:hAnsi="Gotham"/>
          <w:sz w:val="20"/>
          <w:szCs w:val="20"/>
        </w:rPr>
        <w:lastRenderedPageBreak/>
        <w:t>La jerarquización es el acto y la consecuencia de jerarquizar. Este verbo (jerarquizar), en tanto, refiere a ordenar algo según jerarquías: niveles, grados.</w:t>
      </w:r>
    </w:p>
    <w:p w14:paraId="3A47360A" w14:textId="77777777" w:rsidR="00016FE1" w:rsidRDefault="00016FE1" w:rsidP="002B6227">
      <w:pPr>
        <w:jc w:val="both"/>
        <w:rPr>
          <w:rFonts w:ascii="Gotham" w:hAnsi="Gotham"/>
          <w:sz w:val="20"/>
          <w:szCs w:val="20"/>
        </w:rPr>
      </w:pPr>
    </w:p>
    <w:p w14:paraId="3A47360B" w14:textId="77777777" w:rsidR="00016FE1" w:rsidRPr="00F2278D" w:rsidRDefault="00016FE1" w:rsidP="002B6227">
      <w:pPr>
        <w:jc w:val="both"/>
        <w:rPr>
          <w:rFonts w:ascii="Gotham" w:hAnsi="Gotham"/>
          <w:sz w:val="20"/>
          <w:szCs w:val="20"/>
        </w:rPr>
      </w:pPr>
      <w:r w:rsidRPr="00F2278D">
        <w:rPr>
          <w:rFonts w:ascii="Gotham" w:hAnsi="Gotham"/>
          <w:sz w:val="20"/>
          <w:szCs w:val="20"/>
        </w:rPr>
        <w:t>Jerarquización implica organizar o clasificar de acuerdo a rangos o categorías. Con una jerarquización, hay elementos que ocupan una posición superior o preponderante respecto a otros.</w:t>
      </w:r>
    </w:p>
    <w:p w14:paraId="3A47360C" w14:textId="77777777" w:rsidR="00016FE1" w:rsidRDefault="00016FE1" w:rsidP="002B6227">
      <w:pPr>
        <w:jc w:val="both"/>
        <w:rPr>
          <w:rFonts w:ascii="Gotham" w:hAnsi="Gotham"/>
          <w:sz w:val="20"/>
          <w:szCs w:val="20"/>
        </w:rPr>
      </w:pPr>
    </w:p>
    <w:p w14:paraId="3A47360D" w14:textId="77777777" w:rsidR="00016FE1" w:rsidRPr="00F2278D" w:rsidRDefault="00016FE1" w:rsidP="002B6227">
      <w:pPr>
        <w:jc w:val="both"/>
        <w:rPr>
          <w:rFonts w:ascii="Gotham" w:hAnsi="Gotham"/>
          <w:sz w:val="20"/>
          <w:szCs w:val="20"/>
        </w:rPr>
      </w:pPr>
      <w:r w:rsidRPr="00F2278D">
        <w:rPr>
          <w:rFonts w:ascii="Gotham" w:hAnsi="Gotham"/>
          <w:sz w:val="20"/>
          <w:szCs w:val="20"/>
        </w:rPr>
        <w:t>EL CONCEPTO DE JERARQUIZACION EN LAS EMPRESAS:</w:t>
      </w:r>
    </w:p>
    <w:p w14:paraId="3A47360E" w14:textId="77777777" w:rsidR="00016FE1" w:rsidRDefault="00016FE1" w:rsidP="002B6227">
      <w:pPr>
        <w:jc w:val="both"/>
        <w:rPr>
          <w:rFonts w:ascii="Gotham" w:hAnsi="Gotham"/>
          <w:sz w:val="20"/>
          <w:szCs w:val="20"/>
        </w:rPr>
      </w:pPr>
    </w:p>
    <w:p w14:paraId="3A47360F" w14:textId="77777777" w:rsidR="00016FE1" w:rsidRPr="00F2278D" w:rsidRDefault="00016FE1" w:rsidP="002B6227">
      <w:pPr>
        <w:jc w:val="both"/>
        <w:rPr>
          <w:rFonts w:ascii="Gotham" w:hAnsi="Gotham"/>
          <w:sz w:val="20"/>
          <w:szCs w:val="20"/>
        </w:rPr>
      </w:pPr>
      <w:r w:rsidRPr="00F2278D">
        <w:rPr>
          <w:rFonts w:ascii="Gotham" w:hAnsi="Gotham"/>
          <w:sz w:val="20"/>
          <w:szCs w:val="20"/>
        </w:rPr>
        <w:t>La jerarquización empresarial, por otra parte, lleva a determinar qué cargo ocupa cada trabajador y con qué responsabilidades y obligaciones. Así se establece una cadena de mando y quedan claras las funciones de cada uno. Muchas veces, además, la jerarquización es utilizada para definir la escala salarial.</w:t>
      </w:r>
    </w:p>
    <w:p w14:paraId="3A473610" w14:textId="77777777" w:rsidR="00016FE1" w:rsidRPr="00F2278D" w:rsidRDefault="00016FE1" w:rsidP="002B6227">
      <w:pPr>
        <w:jc w:val="both"/>
        <w:rPr>
          <w:rFonts w:ascii="Gotham" w:hAnsi="Gotham"/>
          <w:sz w:val="20"/>
          <w:szCs w:val="20"/>
        </w:rPr>
      </w:pPr>
    </w:p>
    <w:p w14:paraId="3A473611" w14:textId="77777777" w:rsidR="00016FE1" w:rsidRPr="00F2278D" w:rsidRDefault="00016FE1" w:rsidP="002B6227">
      <w:pPr>
        <w:jc w:val="both"/>
        <w:rPr>
          <w:rFonts w:ascii="Gotham" w:hAnsi="Gotham"/>
          <w:sz w:val="20"/>
          <w:szCs w:val="20"/>
        </w:rPr>
      </w:pPr>
      <w:r w:rsidRPr="00F2278D">
        <w:rPr>
          <w:rFonts w:ascii="Gotham" w:hAnsi="Gotham"/>
          <w:sz w:val="20"/>
          <w:szCs w:val="20"/>
        </w:rPr>
        <w:t>Este tema lleva muchos años en el centro de diferentes debates, ya que con frecuencia repercute en casos de abuso de poder, entre otros actos de injusticia. Es muy difícil organizar una compañía de manera jerárquica sin que algunos de sus integrantes sientan que no reciben el trato que merecen; por otro lado, es prácticamente imposible llevarla adelante si todos tienen el mismo rango.</w:t>
      </w:r>
    </w:p>
    <w:p w14:paraId="3A473612" w14:textId="77777777" w:rsidR="00016FE1" w:rsidRDefault="00016FE1" w:rsidP="002B6227">
      <w:pPr>
        <w:jc w:val="both"/>
        <w:rPr>
          <w:rFonts w:ascii="Gotham" w:hAnsi="Gotham"/>
          <w:sz w:val="20"/>
          <w:szCs w:val="20"/>
        </w:rPr>
      </w:pPr>
    </w:p>
    <w:p w14:paraId="3A473613" w14:textId="77777777" w:rsidR="00016FE1" w:rsidRPr="00F2278D" w:rsidRDefault="00016FE1" w:rsidP="002B6227">
      <w:pPr>
        <w:jc w:val="both"/>
        <w:rPr>
          <w:rFonts w:ascii="Gotham" w:hAnsi="Gotham"/>
          <w:sz w:val="20"/>
          <w:szCs w:val="20"/>
        </w:rPr>
      </w:pPr>
      <w:r w:rsidRPr="00F2278D">
        <w:rPr>
          <w:rFonts w:ascii="Gotham" w:hAnsi="Gotham"/>
          <w:sz w:val="20"/>
          <w:szCs w:val="20"/>
        </w:rPr>
        <w:t>El problema comienza cuando interpretamos de forma negativa el hecho de que un empleado tenga autoridad sobre otro: esto no significa necesariamente que pueda hacer con él lo que desee, sino que tiene la responsabilidad de supervisar su trabajo y de coordinarlo con el de otros empleados, para que los resultados sean satisfactorios. La jerarquización permite aprovechar las herramientas de cada uno en pos de la realización de las metas globales, de manera que en teoría no persigue ni avala ningún tipo de abuso.</w:t>
      </w:r>
    </w:p>
    <w:p w14:paraId="3A473614" w14:textId="77777777" w:rsidR="00016FE1" w:rsidRDefault="00016FE1" w:rsidP="002B6227">
      <w:pPr>
        <w:jc w:val="both"/>
        <w:rPr>
          <w:rFonts w:ascii="Gotham" w:hAnsi="Gotham"/>
          <w:sz w:val="20"/>
          <w:szCs w:val="20"/>
        </w:rPr>
      </w:pPr>
    </w:p>
    <w:p w14:paraId="3A473615" w14:textId="77777777" w:rsidR="00016FE1" w:rsidRPr="00F2278D" w:rsidRDefault="00016FE1" w:rsidP="002B6227">
      <w:pPr>
        <w:jc w:val="both"/>
        <w:rPr>
          <w:rFonts w:ascii="Gotham" w:hAnsi="Gotham"/>
          <w:sz w:val="20"/>
          <w:szCs w:val="20"/>
        </w:rPr>
      </w:pPr>
      <w:r w:rsidRPr="00F2278D">
        <w:rPr>
          <w:rFonts w:ascii="Gotham" w:hAnsi="Gotham"/>
          <w:sz w:val="20"/>
          <w:szCs w:val="20"/>
        </w:rPr>
        <w:t>CADENA DE MANDO</w:t>
      </w:r>
    </w:p>
    <w:p w14:paraId="3A473616" w14:textId="77777777" w:rsidR="00016FE1" w:rsidRDefault="00016FE1" w:rsidP="002B6227">
      <w:pPr>
        <w:jc w:val="both"/>
        <w:rPr>
          <w:rFonts w:ascii="Gotham" w:hAnsi="Gotham"/>
          <w:sz w:val="20"/>
          <w:szCs w:val="20"/>
        </w:rPr>
      </w:pPr>
    </w:p>
    <w:p w14:paraId="3A473617" w14:textId="77777777" w:rsidR="00016FE1" w:rsidRPr="00F2278D" w:rsidRDefault="00016FE1" w:rsidP="002B6227">
      <w:pPr>
        <w:jc w:val="both"/>
        <w:rPr>
          <w:rFonts w:ascii="Gotham" w:hAnsi="Gotham"/>
          <w:sz w:val="20"/>
          <w:szCs w:val="20"/>
        </w:rPr>
      </w:pPr>
      <w:r w:rsidRPr="00F2278D">
        <w:rPr>
          <w:rFonts w:ascii="Gotham" w:hAnsi="Gotham"/>
          <w:sz w:val="20"/>
          <w:szCs w:val="20"/>
        </w:rPr>
        <w:t>En una empresa, la jerarquización permite determinar cargos, responsabilidades V obligaciones de cada trabajador.</w:t>
      </w:r>
    </w:p>
    <w:p w14:paraId="3A473618" w14:textId="77777777" w:rsidR="00016FE1" w:rsidRDefault="00016FE1" w:rsidP="002B6227">
      <w:pPr>
        <w:jc w:val="both"/>
        <w:rPr>
          <w:rFonts w:ascii="Gotham" w:hAnsi="Gotham"/>
          <w:sz w:val="20"/>
          <w:szCs w:val="20"/>
        </w:rPr>
      </w:pPr>
    </w:p>
    <w:p w14:paraId="3A473619" w14:textId="77777777" w:rsidR="00016FE1" w:rsidRPr="00F2278D" w:rsidRDefault="00016FE1" w:rsidP="002B6227">
      <w:pPr>
        <w:jc w:val="both"/>
        <w:rPr>
          <w:rFonts w:ascii="Gotham" w:hAnsi="Gotham"/>
          <w:sz w:val="20"/>
          <w:szCs w:val="20"/>
        </w:rPr>
      </w:pPr>
      <w:r w:rsidRPr="00F2278D">
        <w:rPr>
          <w:rFonts w:ascii="Gotham" w:hAnsi="Gotham"/>
          <w:sz w:val="20"/>
          <w:szCs w:val="20"/>
        </w:rPr>
        <w:t>LA JERARQUIZACIÓN COMO MEJORAMIENTO</w:t>
      </w:r>
    </w:p>
    <w:p w14:paraId="3A47361A" w14:textId="77777777" w:rsidR="00016FE1" w:rsidRDefault="00016FE1" w:rsidP="002B6227">
      <w:pPr>
        <w:jc w:val="both"/>
        <w:rPr>
          <w:rFonts w:ascii="Gotham" w:hAnsi="Gotham"/>
          <w:sz w:val="20"/>
          <w:szCs w:val="20"/>
        </w:rPr>
      </w:pPr>
    </w:p>
    <w:p w14:paraId="3A47361B" w14:textId="77777777" w:rsidR="00016FE1" w:rsidRPr="00F2278D" w:rsidRDefault="00016FE1" w:rsidP="002B6227">
      <w:pPr>
        <w:jc w:val="both"/>
        <w:rPr>
          <w:rFonts w:ascii="Gotham" w:hAnsi="Gotham"/>
          <w:sz w:val="20"/>
          <w:szCs w:val="20"/>
        </w:rPr>
      </w:pPr>
      <w:r w:rsidRPr="00F2278D">
        <w:rPr>
          <w:rFonts w:ascii="Gotham" w:hAnsi="Gotham"/>
          <w:sz w:val="20"/>
          <w:szCs w:val="20"/>
        </w:rPr>
        <w:t>Otro uso de la noción de jerarquización está asociado a conferirle mayor jerarquía a algo, en el sentido de mejorarlo. Esta jerarquización supone una optimización o un progreso.</w:t>
      </w:r>
    </w:p>
    <w:p w14:paraId="3A47361C" w14:textId="77777777" w:rsidR="00016FE1" w:rsidRDefault="00016FE1" w:rsidP="002B6227">
      <w:pPr>
        <w:jc w:val="both"/>
        <w:rPr>
          <w:rFonts w:ascii="Gotham" w:hAnsi="Gotham"/>
          <w:sz w:val="20"/>
          <w:szCs w:val="20"/>
        </w:rPr>
      </w:pPr>
    </w:p>
    <w:p w14:paraId="3A47361D" w14:textId="77777777" w:rsidR="00016FE1" w:rsidRPr="00F2278D" w:rsidRDefault="00016FE1" w:rsidP="002B6227">
      <w:pPr>
        <w:jc w:val="both"/>
        <w:rPr>
          <w:rFonts w:ascii="Gotham" w:hAnsi="Gotham"/>
          <w:sz w:val="20"/>
          <w:szCs w:val="20"/>
        </w:rPr>
      </w:pPr>
      <w:r w:rsidRPr="00F2278D">
        <w:rPr>
          <w:rFonts w:ascii="Gotham" w:hAnsi="Gotham"/>
          <w:sz w:val="20"/>
          <w:szCs w:val="20"/>
        </w:rPr>
        <w:t>ESQUEMA</w:t>
      </w:r>
    </w:p>
    <w:p w14:paraId="3A47361E" w14:textId="77777777" w:rsidR="00016FE1" w:rsidRDefault="00016FE1" w:rsidP="002B6227">
      <w:pPr>
        <w:jc w:val="both"/>
        <w:rPr>
          <w:rFonts w:ascii="Gotham" w:hAnsi="Gotham"/>
          <w:sz w:val="20"/>
          <w:szCs w:val="20"/>
        </w:rPr>
      </w:pPr>
    </w:p>
    <w:p w14:paraId="3A47361F" w14:textId="5182FB68" w:rsidR="00016FE1" w:rsidRPr="00F2278D" w:rsidRDefault="00016FE1" w:rsidP="002B6227">
      <w:pPr>
        <w:jc w:val="both"/>
        <w:rPr>
          <w:rFonts w:ascii="Gotham" w:hAnsi="Gotham"/>
          <w:sz w:val="20"/>
          <w:szCs w:val="20"/>
        </w:rPr>
      </w:pPr>
      <w:r w:rsidRPr="00F2278D">
        <w:rPr>
          <w:rFonts w:ascii="Gotham" w:hAnsi="Gotham"/>
          <w:sz w:val="20"/>
          <w:szCs w:val="20"/>
        </w:rPr>
        <w:t>En un organigrama es posible apreciar la jerarquía interna de una empresa o entidad. EL CONCEPTO EN EL ESTADO, LA ZOOLOG</w:t>
      </w:r>
      <w:r w:rsidR="000B21EB">
        <w:rPr>
          <w:rFonts w:ascii="Gotham" w:hAnsi="Gotham"/>
          <w:sz w:val="20"/>
          <w:szCs w:val="20"/>
        </w:rPr>
        <w:t>Í</w:t>
      </w:r>
      <w:r w:rsidRPr="00F2278D">
        <w:rPr>
          <w:rFonts w:ascii="Gotham" w:hAnsi="Gotham"/>
          <w:sz w:val="20"/>
          <w:szCs w:val="20"/>
        </w:rPr>
        <w:t>A Y EL LENGUAJE COTIDIANO</w:t>
      </w:r>
    </w:p>
    <w:p w14:paraId="3A473620" w14:textId="77777777" w:rsidR="00016FE1" w:rsidRPr="00F2278D" w:rsidRDefault="00016FE1" w:rsidP="002B6227">
      <w:pPr>
        <w:jc w:val="both"/>
        <w:rPr>
          <w:rFonts w:ascii="Gotham" w:hAnsi="Gotham"/>
          <w:sz w:val="20"/>
          <w:szCs w:val="20"/>
        </w:rPr>
      </w:pPr>
    </w:p>
    <w:p w14:paraId="3A473621" w14:textId="77777777" w:rsidR="00016FE1" w:rsidRPr="00F2278D" w:rsidRDefault="00016FE1" w:rsidP="002B6227">
      <w:pPr>
        <w:jc w:val="both"/>
        <w:rPr>
          <w:rFonts w:ascii="Gotham" w:hAnsi="Gotham"/>
          <w:sz w:val="20"/>
          <w:szCs w:val="20"/>
        </w:rPr>
      </w:pPr>
      <w:r w:rsidRPr="00F2278D">
        <w:rPr>
          <w:rFonts w:ascii="Gotham" w:hAnsi="Gotham"/>
          <w:sz w:val="20"/>
          <w:szCs w:val="20"/>
        </w:rPr>
        <w:t>El gobierno de un Estado también tiene una organización jerárquica, aunque matizada por la obligación de respetar diversas normativas y procedimientos constitucionales. En una república presidencialista, el presidente es quien ordena a los ministros; estos, a su vez, pueden mandar a los secretarios</w:t>
      </w:r>
    </w:p>
    <w:p w14:paraId="3A473622" w14:textId="77777777" w:rsidR="00016FE1" w:rsidRDefault="00016FE1" w:rsidP="002B6227">
      <w:pPr>
        <w:jc w:val="both"/>
        <w:rPr>
          <w:rFonts w:ascii="Gotham" w:hAnsi="Gotham"/>
          <w:sz w:val="20"/>
          <w:szCs w:val="20"/>
        </w:rPr>
      </w:pPr>
    </w:p>
    <w:p w14:paraId="3A473623" w14:textId="77777777" w:rsidR="00016FE1" w:rsidRPr="00F2278D" w:rsidRDefault="00016FE1" w:rsidP="002B6227">
      <w:pPr>
        <w:jc w:val="both"/>
        <w:rPr>
          <w:rFonts w:ascii="Gotham" w:hAnsi="Gotham"/>
          <w:sz w:val="20"/>
          <w:szCs w:val="20"/>
        </w:rPr>
      </w:pPr>
      <w:r w:rsidRPr="00F2278D">
        <w:rPr>
          <w:rFonts w:ascii="Gotham" w:hAnsi="Gotham"/>
          <w:sz w:val="20"/>
          <w:szCs w:val="20"/>
        </w:rPr>
        <w:t>Por lo anteriormente expuesto dejo a consideración de este Honorable Pleno de Cabildo y solicito se apruebe y es de aprobarse:</w:t>
      </w:r>
    </w:p>
    <w:p w14:paraId="3A473624" w14:textId="77777777" w:rsidR="00016FE1" w:rsidRDefault="00016FE1" w:rsidP="002B6227">
      <w:pPr>
        <w:jc w:val="both"/>
        <w:rPr>
          <w:rFonts w:ascii="Gotham" w:hAnsi="Gotham"/>
          <w:sz w:val="20"/>
          <w:szCs w:val="20"/>
        </w:rPr>
      </w:pPr>
    </w:p>
    <w:p w14:paraId="3A473625" w14:textId="77777777" w:rsidR="00016FE1" w:rsidRPr="00F2278D" w:rsidRDefault="00016FE1" w:rsidP="002B6227">
      <w:pPr>
        <w:jc w:val="center"/>
        <w:rPr>
          <w:rFonts w:ascii="Gotham" w:hAnsi="Gotham"/>
          <w:sz w:val="20"/>
          <w:szCs w:val="20"/>
        </w:rPr>
      </w:pPr>
      <w:r>
        <w:rPr>
          <w:rFonts w:ascii="Gotham" w:hAnsi="Gotham"/>
          <w:sz w:val="20"/>
          <w:szCs w:val="20"/>
        </w:rPr>
        <w:t>PROPON</w:t>
      </w:r>
      <w:r w:rsidRPr="00F2278D">
        <w:rPr>
          <w:rFonts w:ascii="Gotham" w:hAnsi="Gotham"/>
          <w:sz w:val="20"/>
          <w:szCs w:val="20"/>
        </w:rPr>
        <w:t>GO</w:t>
      </w:r>
    </w:p>
    <w:p w14:paraId="3A473626" w14:textId="77777777" w:rsidR="00016FE1" w:rsidRPr="00F2278D" w:rsidRDefault="00016FE1" w:rsidP="002B6227">
      <w:pPr>
        <w:jc w:val="both"/>
        <w:rPr>
          <w:rFonts w:ascii="Gotham" w:hAnsi="Gotham"/>
          <w:sz w:val="20"/>
          <w:szCs w:val="20"/>
        </w:rPr>
      </w:pPr>
    </w:p>
    <w:p w14:paraId="3A473627" w14:textId="77777777" w:rsidR="00016FE1" w:rsidRPr="00F2278D" w:rsidRDefault="00016FE1" w:rsidP="002B6227">
      <w:pPr>
        <w:framePr w:wrap="around" w:vAnchor="page" w:hAnchor="page"/>
        <w:jc w:val="both"/>
        <w:rPr>
          <w:rFonts w:ascii="Gotham" w:hAnsi="Gotham"/>
          <w:sz w:val="20"/>
          <w:szCs w:val="20"/>
        </w:rPr>
      </w:pPr>
    </w:p>
    <w:p w14:paraId="3A473628" w14:textId="77777777" w:rsidR="00016FE1" w:rsidRPr="00B23073" w:rsidRDefault="00016FE1" w:rsidP="002B6227">
      <w:pPr>
        <w:jc w:val="both"/>
        <w:rPr>
          <w:rFonts w:ascii="Gotham" w:hAnsi="Gotham"/>
          <w:sz w:val="20"/>
          <w:szCs w:val="20"/>
        </w:rPr>
      </w:pPr>
      <w:r w:rsidRPr="00F2278D">
        <w:rPr>
          <w:rFonts w:ascii="Gotham" w:hAnsi="Gotham"/>
          <w:sz w:val="20"/>
          <w:szCs w:val="20"/>
        </w:rPr>
        <w:t xml:space="preserve">PRIMERO.- Es de </w:t>
      </w:r>
      <w:r>
        <w:rPr>
          <w:rFonts w:ascii="Gotham" w:hAnsi="Gotham"/>
          <w:sz w:val="20"/>
          <w:szCs w:val="20"/>
        </w:rPr>
        <w:t>a</w:t>
      </w:r>
      <w:r w:rsidRPr="00F2278D">
        <w:rPr>
          <w:rFonts w:ascii="Gotham" w:hAnsi="Gotham"/>
          <w:sz w:val="20"/>
          <w:szCs w:val="20"/>
        </w:rPr>
        <w:t xml:space="preserve">probarse y se aprueba se </w:t>
      </w:r>
      <w:r>
        <w:rPr>
          <w:rFonts w:ascii="Gotham" w:hAnsi="Gotham"/>
          <w:sz w:val="20"/>
          <w:szCs w:val="20"/>
        </w:rPr>
        <w:t>t</w:t>
      </w:r>
      <w:r w:rsidRPr="00F2278D">
        <w:rPr>
          <w:rFonts w:ascii="Gotham" w:hAnsi="Gotham"/>
          <w:sz w:val="20"/>
          <w:szCs w:val="20"/>
        </w:rPr>
        <w:t xml:space="preserve">urne a las </w:t>
      </w:r>
      <w:r w:rsidRPr="00FB5ED7">
        <w:rPr>
          <w:rFonts w:ascii="Gotham" w:hAnsi="Gotham"/>
          <w:sz w:val="20"/>
          <w:szCs w:val="20"/>
        </w:rPr>
        <w:t xml:space="preserve">Comisiones Reglamentos, Puntos Constitucionales, Administración y Planeación Legislativa, como convocante, y la de Hacienda </w:t>
      </w:r>
      <w:r w:rsidRPr="00FB5ED7">
        <w:rPr>
          <w:rFonts w:ascii="Gotham" w:hAnsi="Gotham"/>
          <w:sz w:val="20"/>
          <w:szCs w:val="20"/>
        </w:rPr>
        <w:lastRenderedPageBreak/>
        <w:t>Municipal y Presupuestos como coadyuvante, para lleven a cabo el estudio, análisis y dictaminación final de la presente iniciativa.</w:t>
      </w:r>
    </w:p>
    <w:p w14:paraId="3A473629" w14:textId="77777777" w:rsidR="00016FE1" w:rsidRDefault="00016FE1" w:rsidP="002B6227">
      <w:pPr>
        <w:jc w:val="both"/>
        <w:rPr>
          <w:rFonts w:ascii="Gotham" w:hAnsi="Gotham"/>
          <w:sz w:val="20"/>
          <w:szCs w:val="20"/>
        </w:rPr>
      </w:pPr>
    </w:p>
    <w:p w14:paraId="3A47362A" w14:textId="77777777" w:rsidR="00016FE1" w:rsidRPr="00351AD1" w:rsidRDefault="00016FE1" w:rsidP="002B6227">
      <w:pPr>
        <w:jc w:val="both"/>
        <w:rPr>
          <w:rFonts w:ascii="Gotham" w:hAnsi="Gotham" w:cs="Arial"/>
          <w:sz w:val="20"/>
          <w:szCs w:val="20"/>
        </w:rPr>
      </w:pPr>
      <w:r>
        <w:rPr>
          <w:rFonts w:ascii="Gotham" w:hAnsi="Gotham"/>
          <w:sz w:val="20"/>
          <w:szCs w:val="20"/>
        </w:rPr>
        <w:t xml:space="preserve">En uso de la voz el Presidente Municipal, Sergio Armando Chávez Dávalos, expresa que, se propone su turno a la Comisión Edilicia de </w:t>
      </w:r>
      <w:r w:rsidRPr="00EC1525">
        <w:rPr>
          <w:rFonts w:ascii="Gotham" w:hAnsi="Gotham" w:cs="Arial"/>
          <w:sz w:val="20"/>
          <w:szCs w:val="20"/>
        </w:rPr>
        <w:t>Reglamentos, Puntos Constitucionales, Administración y Planeación Legislativa</w:t>
      </w:r>
      <w:r>
        <w:rPr>
          <w:rFonts w:ascii="Gotham" w:hAnsi="Gotham" w:cs="Arial"/>
          <w:sz w:val="20"/>
          <w:szCs w:val="20"/>
        </w:rPr>
        <w:t>,</w:t>
      </w:r>
      <w:r w:rsidRPr="00EC1525">
        <w:rPr>
          <w:rFonts w:ascii="Gotham" w:hAnsi="Gotham" w:cs="Arial"/>
          <w:sz w:val="20"/>
          <w:szCs w:val="20"/>
        </w:rPr>
        <w:t xml:space="preserve"> así como a la de Hacienda Municipal y Presupuestos</w:t>
      </w:r>
      <w:r>
        <w:rPr>
          <w:rFonts w:ascii="Gotham" w:hAnsi="Gotham"/>
          <w:sz w:val="20"/>
          <w:szCs w:val="20"/>
        </w:rPr>
        <w:t>;</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62B" w14:textId="77777777" w:rsidR="00016FE1" w:rsidRPr="00351AD1" w:rsidRDefault="00016FE1" w:rsidP="002B6227">
      <w:pPr>
        <w:jc w:val="both"/>
        <w:rPr>
          <w:rFonts w:ascii="Gotham" w:hAnsi="Gotham" w:cs="Arial"/>
          <w:sz w:val="20"/>
          <w:szCs w:val="20"/>
        </w:rPr>
      </w:pPr>
    </w:p>
    <w:p w14:paraId="3A47362C"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62D" w14:textId="77777777" w:rsidR="00016FE1" w:rsidRPr="00351AD1" w:rsidRDefault="00016FE1" w:rsidP="002B6227">
      <w:pPr>
        <w:jc w:val="both"/>
        <w:rPr>
          <w:rFonts w:ascii="Gotham" w:hAnsi="Gotham" w:cs="Arial"/>
          <w:sz w:val="20"/>
          <w:szCs w:val="20"/>
        </w:rPr>
      </w:pPr>
    </w:p>
    <w:p w14:paraId="3A47362E" w14:textId="77777777" w:rsidR="00016FE1" w:rsidRDefault="00016FE1" w:rsidP="002B6227">
      <w:pPr>
        <w:jc w:val="both"/>
        <w:rPr>
          <w:rFonts w:ascii="Gotham" w:hAnsi="Gotham" w:cs="Arial"/>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62F" w14:textId="77777777" w:rsidR="00985F61" w:rsidRDefault="00985F61" w:rsidP="002B6227">
      <w:pPr>
        <w:jc w:val="both"/>
        <w:rPr>
          <w:rFonts w:ascii="Gotham" w:hAnsi="Gotham"/>
          <w:sz w:val="20"/>
          <w:szCs w:val="20"/>
        </w:rPr>
      </w:pPr>
    </w:p>
    <w:p w14:paraId="3A473630" w14:textId="77777777" w:rsidR="00016FE1" w:rsidRPr="000F7447" w:rsidRDefault="00016FE1" w:rsidP="002B6227">
      <w:pPr>
        <w:jc w:val="both"/>
        <w:rPr>
          <w:rFonts w:ascii="Gotham" w:hAnsi="Gotham"/>
          <w:sz w:val="20"/>
          <w:szCs w:val="20"/>
        </w:rPr>
      </w:pPr>
    </w:p>
    <w:p w14:paraId="3A473631"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1126</w:t>
      </w:r>
    </w:p>
    <w:p w14:paraId="3A473632" w14:textId="77777777" w:rsidR="00016FE1" w:rsidRDefault="00016FE1" w:rsidP="002B6227">
      <w:pPr>
        <w:jc w:val="both"/>
        <w:rPr>
          <w:rFonts w:ascii="Gotham" w:hAnsi="Gotham" w:cstheme="minorHAnsi"/>
          <w:sz w:val="20"/>
          <w:szCs w:val="20"/>
        </w:rPr>
      </w:pPr>
      <w:r w:rsidRPr="000F7447">
        <w:rPr>
          <w:rFonts w:ascii="Gotham" w:hAnsi="Gotham"/>
          <w:b/>
          <w:bCs/>
          <w:smallCaps/>
          <w:sz w:val="20"/>
          <w:szCs w:val="20"/>
        </w:rPr>
        <w:t>Décima Cuarta Iniciativa con Turno a Comisión</w:t>
      </w:r>
      <w:r w:rsidRPr="000F7447">
        <w:rPr>
          <w:rFonts w:ascii="Gotham" w:hAnsi="Gotham"/>
          <w:b/>
          <w:bCs/>
          <w:sz w:val="20"/>
          <w:szCs w:val="20"/>
        </w:rPr>
        <w:t xml:space="preserve">.- </w:t>
      </w:r>
      <w:r>
        <w:rPr>
          <w:rFonts w:ascii="Gotham" w:hAnsi="Gotham"/>
          <w:sz w:val="20"/>
          <w:szCs w:val="20"/>
        </w:rPr>
        <w:t xml:space="preserve">En uso de la voz la Regidora Laura Liliana Olea Frías, </w:t>
      </w:r>
      <w:r w:rsidRPr="000F7447">
        <w:rPr>
          <w:rFonts w:ascii="Gotham" w:hAnsi="Gotham"/>
          <w:sz w:val="20"/>
          <w:szCs w:val="20"/>
        </w:rPr>
        <w:t xml:space="preserve">expresa que, </w:t>
      </w:r>
      <w:r>
        <w:rPr>
          <w:rFonts w:ascii="Gotham" w:hAnsi="Gotham"/>
          <w:sz w:val="20"/>
          <w:szCs w:val="20"/>
        </w:rPr>
        <w:t>l</w:t>
      </w:r>
      <w:r>
        <w:rPr>
          <w:rFonts w:ascii="Gotham" w:hAnsi="Gotham" w:cstheme="minorHAnsi"/>
          <w:sz w:val="20"/>
          <w:szCs w:val="20"/>
        </w:rPr>
        <w:t>a que suscribe Maestra Laura Liliana Olea Frías, en mi carácter de Regidora</w:t>
      </w:r>
      <w:r>
        <w:rPr>
          <w:rFonts w:ascii="Gotham" w:hAnsi="Gotham" w:cstheme="minorHAnsi"/>
          <w:sz w:val="20"/>
          <w:szCs w:val="20"/>
          <w:lang w:val="es-MX"/>
        </w:rPr>
        <w:t xml:space="preserve"> del Ayuntamiento Constitucional de Tonalá, Jalisco</w:t>
      </w:r>
      <w:r>
        <w:rPr>
          <w:rFonts w:ascii="Gotham" w:hAnsi="Gotham" w:cstheme="minorHAnsi"/>
          <w:sz w:val="20"/>
          <w:szCs w:val="20"/>
        </w:rPr>
        <w:t xml:space="preserve">, en ejercicio de las facultades que me confiere el artículo 50 de la Ley del Gobierno y la Administración Pública Municipal del Estado de Jalisco, así como lo señalado en el arábigo 56, fracción II del Reglamento del Gobierno y la Administración Pública del Ayuntamiento Constitucional de Tonalá, Jalisco; el numeral 82 fracción II del Reglamento para el Funcionamiento Interno de Sesiones del Ayuntamiento Constitucional de Tonalá, Jalisco; y los demás relativos de la legislación aplicable; me permito presentar a su distinguida consideración la INICIATIVA CON TURNO A COMISIÓN, que tiene por objeto la </w:t>
      </w:r>
      <w:r>
        <w:rPr>
          <w:rFonts w:ascii="Gotham" w:hAnsi="Gotham" w:cstheme="minorHAnsi"/>
          <w:i/>
          <w:sz w:val="20"/>
          <w:szCs w:val="20"/>
        </w:rPr>
        <w:t>Renovación de la marca “Tonalá, Capital Mexicana de las Artesanías”</w:t>
      </w:r>
      <w:r>
        <w:rPr>
          <w:rFonts w:ascii="Gotham" w:hAnsi="Gotham" w:cstheme="minorHAnsi"/>
          <w:sz w:val="20"/>
          <w:szCs w:val="20"/>
        </w:rPr>
        <w:t>; y para lo cual realizo la siguiente:</w:t>
      </w:r>
      <w:r w:rsidR="009F075D">
        <w:rPr>
          <w:rFonts w:ascii="Gotham" w:hAnsi="Gotham" w:cstheme="minorHAnsi"/>
          <w:sz w:val="20"/>
          <w:szCs w:val="20"/>
        </w:rPr>
        <w:t xml:space="preserve"> </w:t>
      </w:r>
    </w:p>
    <w:p w14:paraId="3A473633" w14:textId="77777777" w:rsidR="00016FE1" w:rsidRDefault="00016FE1" w:rsidP="002B6227">
      <w:pPr>
        <w:jc w:val="both"/>
        <w:rPr>
          <w:rFonts w:ascii="Gotham" w:hAnsi="Gotham" w:cstheme="minorHAnsi"/>
          <w:sz w:val="20"/>
          <w:szCs w:val="20"/>
        </w:rPr>
      </w:pPr>
    </w:p>
    <w:p w14:paraId="3A473634" w14:textId="77777777" w:rsidR="00016FE1" w:rsidRDefault="00016FE1" w:rsidP="002B6227">
      <w:pPr>
        <w:jc w:val="center"/>
        <w:rPr>
          <w:rFonts w:ascii="Gotham" w:hAnsi="Gotham" w:cstheme="minorHAnsi"/>
          <w:sz w:val="20"/>
          <w:szCs w:val="20"/>
        </w:rPr>
      </w:pPr>
      <w:r>
        <w:rPr>
          <w:rFonts w:ascii="Gotham" w:hAnsi="Gotham" w:cstheme="minorHAnsi"/>
          <w:sz w:val="20"/>
          <w:szCs w:val="20"/>
        </w:rPr>
        <w:t>EXPOSICIÓN DE MOTIVOS</w:t>
      </w:r>
    </w:p>
    <w:p w14:paraId="3A473635" w14:textId="77777777" w:rsidR="00016FE1" w:rsidRDefault="00016FE1" w:rsidP="002B6227">
      <w:pPr>
        <w:jc w:val="center"/>
        <w:rPr>
          <w:rFonts w:ascii="Gotham" w:hAnsi="Gotham" w:cstheme="minorHAnsi"/>
          <w:sz w:val="20"/>
          <w:szCs w:val="20"/>
        </w:rPr>
      </w:pPr>
    </w:p>
    <w:p w14:paraId="3A473636"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eastAsia="es-MX"/>
        </w:rPr>
      </w:pPr>
      <w:r>
        <w:rPr>
          <w:rFonts w:ascii="Gotham" w:hAnsi="Gotham" w:cstheme="minorHAnsi"/>
          <w:sz w:val="20"/>
          <w:szCs w:val="20"/>
          <w:lang w:val="es-MX" w:eastAsia="es-MX"/>
        </w:rPr>
        <w:t xml:space="preserve">1.-  </w:t>
      </w:r>
      <w:r>
        <w:rPr>
          <w:rFonts w:ascii="Gotham" w:hAnsi="Gotham" w:cstheme="minorHAnsi"/>
          <w:sz w:val="20"/>
          <w:szCs w:val="20"/>
          <w:lang w:val="es-MX" w:eastAsia="es-MX"/>
        </w:rPr>
        <w:tab/>
        <w:t xml:space="preserve">En Sesión Ordinaria de Ayuntamiento de fecha 15 de noviembre del 2007, el entonces Presidente Municipal, Lic. Jorge Luis Vizcarra Mayorga, en el quinto punto del orden del día correspondiente a Asuntos Varios, presentó la iniciativa que quedó enumerada bajo Acuerdo No. 445, mismo que se transcribe fielmente: </w:t>
      </w:r>
    </w:p>
    <w:p w14:paraId="3A473637" w14:textId="77777777" w:rsidR="00016FE1" w:rsidRDefault="00016FE1" w:rsidP="002B6227">
      <w:pPr>
        <w:pStyle w:val="NormalWeb"/>
        <w:shd w:val="clear" w:color="auto" w:fill="FFFFFF"/>
        <w:spacing w:before="0" w:beforeAutospacing="0" w:after="0"/>
        <w:jc w:val="both"/>
        <w:rPr>
          <w:rFonts w:ascii="Gotham" w:hAnsi="Gotham" w:cstheme="minorHAnsi"/>
          <w:sz w:val="20"/>
          <w:szCs w:val="20"/>
          <w:lang w:val="es-MX" w:eastAsia="es-MX"/>
        </w:rPr>
      </w:pPr>
    </w:p>
    <w:p w14:paraId="3A473638" w14:textId="77777777" w:rsidR="00016FE1" w:rsidRDefault="00016FE1" w:rsidP="002B6227">
      <w:pPr>
        <w:pStyle w:val="Sangradetextonormal"/>
        <w:spacing w:after="0"/>
        <w:ind w:left="851" w:right="283"/>
        <w:jc w:val="right"/>
        <w:rPr>
          <w:rFonts w:ascii="Gotham" w:hAnsi="Gotham" w:cstheme="minorHAnsi"/>
          <w:b/>
          <w:i/>
          <w:sz w:val="19"/>
          <w:szCs w:val="19"/>
          <w:u w:val="single"/>
          <w:lang w:val="es-MX"/>
        </w:rPr>
      </w:pPr>
      <w:r>
        <w:rPr>
          <w:rFonts w:ascii="Gotham" w:hAnsi="Gotham" w:cstheme="minorHAnsi"/>
          <w:b/>
          <w:i/>
          <w:sz w:val="19"/>
          <w:szCs w:val="19"/>
          <w:u w:val="single"/>
          <w:lang w:val="es-MX"/>
        </w:rPr>
        <w:t>ACUERDO NO. 445</w:t>
      </w:r>
    </w:p>
    <w:p w14:paraId="3A473639" w14:textId="77777777" w:rsidR="00016FE1" w:rsidRDefault="00016FE1" w:rsidP="002B6227">
      <w:pPr>
        <w:ind w:left="851" w:right="283"/>
        <w:jc w:val="both"/>
        <w:outlineLvl w:val="0"/>
        <w:rPr>
          <w:rFonts w:ascii="Gotham" w:hAnsi="Gotham" w:cstheme="minorHAnsi"/>
          <w:i/>
          <w:sz w:val="19"/>
          <w:szCs w:val="19"/>
        </w:rPr>
      </w:pPr>
      <w:r>
        <w:rPr>
          <w:rFonts w:ascii="Gotham" w:hAnsi="Gotham" w:cstheme="minorHAnsi"/>
          <w:b/>
          <w:bCs/>
          <w:i/>
          <w:smallCaps/>
          <w:sz w:val="19"/>
          <w:szCs w:val="19"/>
          <w:lang w:val="es-MX"/>
        </w:rPr>
        <w:t>Cuarto Asunto Vario</w:t>
      </w:r>
      <w:r>
        <w:rPr>
          <w:rFonts w:ascii="Gotham" w:hAnsi="Gotham" w:cstheme="minorHAnsi"/>
          <w:b/>
          <w:i/>
          <w:sz w:val="19"/>
          <w:szCs w:val="19"/>
        </w:rPr>
        <w:t>.-</w:t>
      </w:r>
      <w:r w:rsidR="009F075D">
        <w:rPr>
          <w:rFonts w:ascii="Gotham" w:hAnsi="Gotham" w:cstheme="minorHAnsi"/>
          <w:i/>
          <w:sz w:val="19"/>
          <w:szCs w:val="19"/>
        </w:rPr>
        <w:t xml:space="preserve"> </w:t>
      </w:r>
      <w:r>
        <w:rPr>
          <w:rFonts w:ascii="Gotham" w:hAnsi="Gotham" w:cstheme="minorHAnsi"/>
          <w:i/>
          <w:sz w:val="19"/>
          <w:szCs w:val="19"/>
        </w:rPr>
        <w:t xml:space="preserve">Continuando con el uso de la voz el C. Presidente Municipal, Licenciado Jorge Luis Vizcarra Mayorga, manifiesta que, en mi carácter de Presidente Municipal, doy cuenta a este Pleno del Ayuntamiento, que el Instituto Mexicano de la Propiedad Industrial (IMPI) otorga a este municipio, el título de registro de marca con número 997127, por un lapso de 10 años, y se denomina “Tonalá, Capital Mexicana de las Artesanías”, lo que nos permite que esta leyenda nos confiera identidad y exclusividad, destacándonos como un Municipio eminentemente artesanal; En base a ello me permito citar las siguientes: CONSIDERACIONES 1.- Entendemos por identidad un concepto que vigoriza la vida cívica y enriquece las formas de pensar, con una cultura propia y particular; que rescata la individualidad y, con ella la riqueza de una sociedad tan diversa como la nuestra. 2.- Obtener un título de registro de marca consolida </w:t>
      </w:r>
      <w:proofErr w:type="spellStart"/>
      <w:r>
        <w:rPr>
          <w:rFonts w:ascii="Gotham" w:hAnsi="Gotham" w:cstheme="minorHAnsi"/>
          <w:i/>
          <w:sz w:val="19"/>
          <w:szCs w:val="19"/>
        </w:rPr>
        <w:t>esta</w:t>
      </w:r>
      <w:proofErr w:type="spellEnd"/>
      <w:r>
        <w:rPr>
          <w:rFonts w:ascii="Gotham" w:hAnsi="Gotham" w:cstheme="minorHAnsi"/>
          <w:i/>
          <w:sz w:val="19"/>
          <w:szCs w:val="19"/>
        </w:rPr>
        <w:t xml:space="preserve"> a identidad, se convierte en expresión cultural, propicia la participación ciudadana, proponiendo y asumiendo en nuestro entorno lo que a cada quien le corresponde, como reafirmación colectiva con la que se adquiere sentido de pertenencia. 3.- Es sin duda, el reto que haremos en los próximos años, para enfrentarnos con bases suficientes a un mundo globalizado, rescatando y preservando nuestros orígenes, tradiciones y costumbres, en donde, las respuestas públicas deben darse conforme a las características de cada lugar y atendiendo a los problemas </w:t>
      </w:r>
      <w:r>
        <w:rPr>
          <w:rFonts w:ascii="Gotham" w:hAnsi="Gotham" w:cstheme="minorHAnsi"/>
          <w:i/>
          <w:sz w:val="19"/>
          <w:szCs w:val="19"/>
        </w:rPr>
        <w:lastRenderedPageBreak/>
        <w:t>particulares; en donde la colaboración de cada uno responde a la expectativa de todos y</w:t>
      </w:r>
      <w:r w:rsidR="009F075D">
        <w:rPr>
          <w:rFonts w:ascii="Gotham" w:hAnsi="Gotham" w:cstheme="minorHAnsi"/>
          <w:i/>
          <w:sz w:val="19"/>
          <w:szCs w:val="19"/>
        </w:rPr>
        <w:t xml:space="preserve"> </w:t>
      </w:r>
      <w:r>
        <w:rPr>
          <w:rFonts w:ascii="Gotham" w:hAnsi="Gotham" w:cstheme="minorHAnsi"/>
          <w:i/>
          <w:sz w:val="19"/>
          <w:szCs w:val="19"/>
        </w:rPr>
        <w:t>se logra a la vez, fomentar una cultura de corresponsabilidad. Por lo anteriormente expuesto, someto a votación el siguiente ACUERDO:</w:t>
      </w:r>
      <w:r w:rsidR="009F075D">
        <w:rPr>
          <w:rFonts w:ascii="Gotham" w:hAnsi="Gotham" w:cstheme="minorHAnsi"/>
          <w:i/>
          <w:sz w:val="19"/>
          <w:szCs w:val="19"/>
        </w:rPr>
        <w:t xml:space="preserve"> </w:t>
      </w:r>
      <w:r>
        <w:rPr>
          <w:rFonts w:ascii="Gotham" w:hAnsi="Gotham" w:cstheme="minorHAnsi"/>
          <w:i/>
          <w:sz w:val="19"/>
          <w:szCs w:val="19"/>
        </w:rPr>
        <w:t>PRIMERO.-</w:t>
      </w:r>
      <w:r w:rsidR="009F075D">
        <w:rPr>
          <w:rFonts w:ascii="Gotham" w:hAnsi="Gotham" w:cstheme="minorHAnsi"/>
          <w:i/>
          <w:sz w:val="19"/>
          <w:szCs w:val="19"/>
        </w:rPr>
        <w:t xml:space="preserve"> </w:t>
      </w:r>
      <w:r>
        <w:rPr>
          <w:rFonts w:ascii="Gotham" w:hAnsi="Gotham" w:cstheme="minorHAnsi"/>
          <w:i/>
          <w:sz w:val="19"/>
          <w:szCs w:val="19"/>
        </w:rPr>
        <w:t>Es procedente autorizar y se autoriza, instituir la leyenda “Tonalá, Capital Mexicana de las Artesanías” en toda la documentación oficial de este Ayuntamiento. SEGUNDO.- Notifíquese el presente acuerdo a todas las autoridades estatales y municipales de la zona conurbana de Guadalajara, para su conocimiento. TERCERO.- Gírense las comunicaciones de estilo ante las dependencias internas que conforman la estructura orgánica de este Ayuntamiento, para su conocimiento y efectos que correspondan.</w:t>
      </w:r>
      <w:r w:rsidR="009F075D">
        <w:rPr>
          <w:rFonts w:ascii="Gotham" w:hAnsi="Gotham" w:cstheme="minorHAnsi"/>
          <w:i/>
          <w:sz w:val="19"/>
          <w:szCs w:val="19"/>
        </w:rPr>
        <w:t xml:space="preserve"> </w:t>
      </w:r>
      <w:r>
        <w:rPr>
          <w:rFonts w:ascii="Gotham" w:hAnsi="Gotham" w:cstheme="minorHAnsi"/>
          <w:i/>
          <w:sz w:val="19"/>
          <w:szCs w:val="19"/>
        </w:rPr>
        <w:t xml:space="preserve">CUARTO.- Se facultan al Presidente Municipal y Secretario General, para que suscriban la documentación correspondiente al cumplimiento cabal a este acuerdo, es </w:t>
      </w:r>
      <w:proofErr w:type="spellStart"/>
      <w:r>
        <w:rPr>
          <w:rFonts w:ascii="Gotham" w:hAnsi="Gotham" w:cstheme="minorHAnsi"/>
          <w:i/>
          <w:sz w:val="19"/>
          <w:szCs w:val="19"/>
        </w:rPr>
        <w:t>cuanto</w:t>
      </w:r>
      <w:proofErr w:type="spellEnd"/>
      <w:r>
        <w:rPr>
          <w:rFonts w:ascii="Gotham" w:hAnsi="Gotham" w:cstheme="minorHAnsi"/>
          <w:i/>
          <w:sz w:val="19"/>
          <w:szCs w:val="19"/>
        </w:rPr>
        <w:t>.</w:t>
      </w:r>
      <w:r w:rsidR="009F075D">
        <w:rPr>
          <w:rFonts w:ascii="Gotham" w:hAnsi="Gotham" w:cstheme="minorHAnsi"/>
          <w:i/>
          <w:sz w:val="19"/>
          <w:szCs w:val="19"/>
        </w:rPr>
        <w:t xml:space="preserve"> </w:t>
      </w:r>
      <w:r>
        <w:rPr>
          <w:rFonts w:ascii="Gotham" w:hAnsi="Gotham" w:cstheme="minorHAnsi"/>
          <w:i/>
          <w:sz w:val="19"/>
          <w:szCs w:val="19"/>
        </w:rPr>
        <w:t>En uso de la voz el C. Regidor Doctor J. Salud Pacheco Barrientos, comenta que, si, Señor Presidente, algunas dudas, ¿ya tenemos el título o a penas se va a incluir</w:t>
      </w:r>
      <w:proofErr w:type="gramStart"/>
      <w:r>
        <w:rPr>
          <w:rFonts w:ascii="Gotham" w:hAnsi="Gotham" w:cstheme="minorHAnsi"/>
          <w:i/>
          <w:sz w:val="19"/>
          <w:szCs w:val="19"/>
        </w:rPr>
        <w:t>?.</w:t>
      </w:r>
      <w:proofErr w:type="gramEnd"/>
      <w:r>
        <w:rPr>
          <w:rFonts w:ascii="Gotham" w:hAnsi="Gotham" w:cstheme="minorHAnsi"/>
          <w:i/>
          <w:sz w:val="19"/>
          <w:szCs w:val="19"/>
        </w:rPr>
        <w:t xml:space="preserve"> En uso de la voz el C. Presidente Municipal, Licenciado Jorge Luis Vizcarra Mayorga, aclara que, no, ya está autorizado, ya se dio el número de autorización ya podemos...</w:t>
      </w:r>
      <w:r w:rsidR="009F075D">
        <w:rPr>
          <w:rFonts w:ascii="Gotham" w:hAnsi="Gotham" w:cstheme="minorHAnsi"/>
          <w:i/>
          <w:sz w:val="19"/>
          <w:szCs w:val="19"/>
        </w:rPr>
        <w:t xml:space="preserve"> </w:t>
      </w:r>
      <w:r>
        <w:rPr>
          <w:rFonts w:ascii="Gotham" w:hAnsi="Gotham" w:cstheme="minorHAnsi"/>
          <w:i/>
          <w:sz w:val="19"/>
          <w:szCs w:val="19"/>
        </w:rPr>
        <w:t>En uso de la voz el C. Regidor Doctor J. Salud Pacheco Barrientos, dice que, le solicitamos copia, por favor del título, del registro.</w:t>
      </w:r>
      <w:r w:rsidR="009F075D">
        <w:rPr>
          <w:rFonts w:ascii="Gotham" w:hAnsi="Gotham" w:cstheme="minorHAnsi"/>
          <w:i/>
          <w:sz w:val="19"/>
          <w:szCs w:val="19"/>
        </w:rPr>
        <w:t xml:space="preserve"> </w:t>
      </w:r>
      <w:r>
        <w:rPr>
          <w:rFonts w:ascii="Gotham" w:hAnsi="Gotham" w:cstheme="minorHAnsi"/>
          <w:i/>
          <w:sz w:val="19"/>
          <w:szCs w:val="19"/>
        </w:rPr>
        <w:t>En uso de la voz el C. Presidente Municipal, Licenciado Jorge Luis Vizcarra Mayorga, expresa que, con todo gusto. En uso de la voz el C. Regidor Doctor J. Salud Pacheco Barrientos, agrega que, segundo, ¿cuánto se va a aportar para este programa, para esta acción y de qué partida podría salir</w:t>
      </w:r>
      <w:proofErr w:type="gramStart"/>
      <w:r>
        <w:rPr>
          <w:rFonts w:ascii="Gotham" w:hAnsi="Gotham" w:cstheme="minorHAnsi"/>
          <w:i/>
          <w:sz w:val="19"/>
          <w:szCs w:val="19"/>
        </w:rPr>
        <w:t>?.</w:t>
      </w:r>
      <w:proofErr w:type="gramEnd"/>
      <w:r>
        <w:rPr>
          <w:rFonts w:ascii="Gotham" w:hAnsi="Gotham" w:cstheme="minorHAnsi"/>
          <w:i/>
          <w:sz w:val="19"/>
          <w:szCs w:val="19"/>
        </w:rPr>
        <w:t xml:space="preserve"> En uso de la voz el C. Presidente Municipal, Licenciado Jorge Luis Vizcarra Mayorga, señala que, no se va a erogar nada, toda vez que la papelería que se vaya mandando a hacer, ya va a venir con esa leyenda, si se tiene a bien autorizar así que iría dentro del mismo gasto, únicamente es una marca de identidad que ya fue aceptada por el IMPI, ya tenemos el número de registro. Puesto a votación de los integrantes del Ayuntamiento en Pleno, el presente asunto es aprobado por unanimidad.</w:t>
      </w:r>
    </w:p>
    <w:p w14:paraId="3A47363A" w14:textId="77777777" w:rsidR="00016FE1" w:rsidRDefault="00016FE1" w:rsidP="002B6227">
      <w:pPr>
        <w:pStyle w:val="NormalWeb"/>
        <w:shd w:val="clear" w:color="auto" w:fill="FFFFFF"/>
        <w:spacing w:before="0" w:beforeAutospacing="0" w:after="0"/>
        <w:jc w:val="both"/>
        <w:rPr>
          <w:rFonts w:ascii="Gotham" w:hAnsi="Gotham" w:cstheme="minorHAnsi"/>
          <w:sz w:val="20"/>
          <w:szCs w:val="20"/>
          <w:lang w:eastAsia="es-MX"/>
        </w:rPr>
      </w:pPr>
    </w:p>
    <w:p w14:paraId="3A47363B"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pacing w:val="-5"/>
          <w:sz w:val="20"/>
          <w:szCs w:val="20"/>
          <w:lang w:val="es-MX" w:eastAsia="en-US"/>
        </w:rPr>
      </w:pPr>
      <w:r>
        <w:rPr>
          <w:rFonts w:ascii="Gotham" w:hAnsi="Gotham" w:cstheme="minorHAnsi"/>
          <w:spacing w:val="-5"/>
          <w:sz w:val="20"/>
          <w:szCs w:val="20"/>
          <w:lang w:val="es-MX"/>
        </w:rPr>
        <w:t xml:space="preserve">2.-  </w:t>
      </w:r>
      <w:r>
        <w:rPr>
          <w:rFonts w:ascii="Gotham" w:hAnsi="Gotham" w:cstheme="minorHAnsi"/>
          <w:spacing w:val="-5"/>
          <w:sz w:val="20"/>
          <w:szCs w:val="20"/>
          <w:lang w:val="es-MX"/>
        </w:rPr>
        <w:tab/>
        <w:t xml:space="preserve">De acuerdo a la consulta realizada en la página de Instituto Mexicano de la Propiedad Industrial por sus siglas IMPI, particularmente en el apartado de MARCia, se pudo conocer que la denominación de la marca “TONALÁ CAPITAL MEXICANA DE LAS ARTESANÍAS”, con folio de entrada del trámite 117452, mediante la descripción de solicitud de registro y con fecha de presentación del 26 de junio del 2007, fecha de concesión 08 de agosto del 2007, con Número de Expediente 864195, Número de Registro 997127, contemplaba como fecha de terminación el 06 de junio del 2017, a pesar de ello se continuó utilizando la leyenda como identificación en la documentación oficial, fue hasta esta administración que se dejó de utilizar dando prioridad a las leyendas oficiales estatales y federales. </w:t>
      </w:r>
    </w:p>
    <w:p w14:paraId="3A47363C"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pacing w:val="-5"/>
          <w:sz w:val="20"/>
          <w:szCs w:val="20"/>
          <w:lang w:val="es-MX"/>
        </w:rPr>
      </w:pPr>
    </w:p>
    <w:p w14:paraId="3A47363D"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pacing w:val="-5"/>
          <w:sz w:val="20"/>
          <w:szCs w:val="20"/>
          <w:lang w:val="es-MX"/>
        </w:rPr>
      </w:pPr>
      <w:r>
        <w:rPr>
          <w:rFonts w:ascii="Gotham" w:hAnsi="Gotham" w:cstheme="minorHAnsi"/>
          <w:spacing w:val="-5"/>
          <w:sz w:val="20"/>
          <w:szCs w:val="20"/>
          <w:lang w:val="es-MX"/>
        </w:rPr>
        <w:t xml:space="preserve">3.-  </w:t>
      </w:r>
      <w:r>
        <w:rPr>
          <w:rFonts w:ascii="Gotham" w:hAnsi="Gotham" w:cstheme="minorHAnsi"/>
          <w:spacing w:val="-5"/>
          <w:sz w:val="20"/>
          <w:szCs w:val="20"/>
          <w:lang w:val="es-MX"/>
        </w:rPr>
        <w:tab/>
        <w:t>A partir del registro de la marca “Tonalá, Capital Mexicana de las Artesanías”,</w:t>
      </w:r>
      <w:r w:rsidR="009F075D">
        <w:rPr>
          <w:rFonts w:ascii="Gotham" w:hAnsi="Gotham" w:cstheme="minorHAnsi"/>
          <w:spacing w:val="-5"/>
          <w:sz w:val="20"/>
          <w:szCs w:val="20"/>
          <w:lang w:val="es-MX"/>
        </w:rPr>
        <w:t xml:space="preserve"> </w:t>
      </w:r>
      <w:r>
        <w:rPr>
          <w:rFonts w:ascii="Gotham" w:hAnsi="Gotham" w:cstheme="minorHAnsi"/>
          <w:spacing w:val="-5"/>
          <w:sz w:val="20"/>
          <w:szCs w:val="20"/>
          <w:lang w:val="es-MX"/>
        </w:rPr>
        <w:t>fue utilizada como leyenda de la documentación oficial a manera de resaltar la identidad de nuestro municipio y ser una expresión local, única, representativa, así como posicionar la actividad que por</w:t>
      </w:r>
      <w:r w:rsidR="009F075D">
        <w:rPr>
          <w:rFonts w:ascii="Gotham" w:hAnsi="Gotham" w:cstheme="minorHAnsi"/>
          <w:spacing w:val="-5"/>
          <w:sz w:val="20"/>
          <w:szCs w:val="20"/>
          <w:lang w:val="es-MX"/>
        </w:rPr>
        <w:t xml:space="preserve"> </w:t>
      </w:r>
      <w:r>
        <w:rPr>
          <w:rFonts w:ascii="Gotham" w:hAnsi="Gotham" w:cstheme="minorHAnsi"/>
          <w:spacing w:val="-5"/>
          <w:sz w:val="20"/>
          <w:szCs w:val="20"/>
          <w:lang w:val="es-MX"/>
        </w:rPr>
        <w:t>tradición se ha convertido en un legado con gran alcance, toda vez que como la misma marca lo manifiesta, nuestro municipio es y ha sido cuna de artesanas y artesanos creadores de piezas con composiciones perfectas con el toque humano y sensible plasmadas en técnicas pasmosas.</w:t>
      </w:r>
    </w:p>
    <w:p w14:paraId="3A47363E"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pacing w:val="-5"/>
          <w:sz w:val="20"/>
          <w:szCs w:val="20"/>
        </w:rPr>
      </w:pPr>
    </w:p>
    <w:p w14:paraId="3A47363F"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r>
        <w:rPr>
          <w:rFonts w:ascii="Gotham" w:hAnsi="Gotham" w:cstheme="minorHAnsi"/>
          <w:spacing w:val="-5"/>
          <w:sz w:val="20"/>
          <w:szCs w:val="20"/>
        </w:rPr>
        <w:t xml:space="preserve">4.- </w:t>
      </w:r>
      <w:r>
        <w:rPr>
          <w:rFonts w:ascii="Gotham" w:hAnsi="Gotham" w:cstheme="minorHAnsi"/>
          <w:spacing w:val="-5"/>
          <w:sz w:val="20"/>
          <w:szCs w:val="20"/>
        </w:rPr>
        <w:tab/>
        <w:t xml:space="preserve">Dentro de este contexto, la renovación del registro de la marca apuntala la identidad de nuestro municipio y consolida el sentido de pertenencia, al mismo tiempo que insta a la promoción cultural, a la revaloración de la actividad tonalteca por excelencia, al mismo tiempo que ratifica el sentido de pertenencia. </w:t>
      </w:r>
    </w:p>
    <w:p w14:paraId="3A473640"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p>
    <w:p w14:paraId="3A473641"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r>
        <w:rPr>
          <w:rFonts w:ascii="Gotham" w:hAnsi="Gotham" w:cstheme="minorHAnsi"/>
          <w:sz w:val="20"/>
          <w:szCs w:val="20"/>
          <w:lang w:val="es-MX"/>
        </w:rPr>
        <w:t xml:space="preserve">5.- </w:t>
      </w:r>
      <w:r>
        <w:rPr>
          <w:rFonts w:ascii="Gotham" w:hAnsi="Gotham" w:cstheme="minorHAnsi"/>
          <w:sz w:val="20"/>
          <w:szCs w:val="20"/>
          <w:lang w:val="es-MX"/>
        </w:rPr>
        <w:tab/>
        <w:t>Bajo este tenor, al recuperar y reactivar la marca que identificó a nuestro municipio por más de una década, se impulsará la labor que como gobierno municipal debemos tener a efecto de poder conservar, promover, procurar y fomentar el desarrollo económico de nuestras artesanas y artesanos en el presente y futuro, siendo esta marca una constante en el realce de la actividad que caracteriza a nuestro municipio.</w:t>
      </w:r>
    </w:p>
    <w:p w14:paraId="3A473642"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p>
    <w:p w14:paraId="3A473643"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r>
        <w:rPr>
          <w:rFonts w:ascii="Gotham" w:hAnsi="Gotham" w:cstheme="minorHAnsi"/>
          <w:sz w:val="20"/>
          <w:szCs w:val="20"/>
          <w:lang w:val="es-MX"/>
        </w:rPr>
        <w:t xml:space="preserve">6.- </w:t>
      </w:r>
      <w:r>
        <w:rPr>
          <w:rFonts w:ascii="Gotham" w:hAnsi="Gotham" w:cstheme="minorHAnsi"/>
          <w:sz w:val="20"/>
          <w:szCs w:val="20"/>
          <w:lang w:val="es-MX"/>
        </w:rPr>
        <w:tab/>
        <w:t xml:space="preserve">En función de lo plantado, reavivar la denominación, es hacer un reconocimiento a las mujeres y hombres que han sido ganadores de premios y galardones significativos durante décadas a nivel </w:t>
      </w:r>
      <w:r>
        <w:rPr>
          <w:rFonts w:ascii="Gotham" w:hAnsi="Gotham" w:cstheme="minorHAnsi"/>
          <w:sz w:val="20"/>
          <w:szCs w:val="20"/>
          <w:lang w:val="es-MX"/>
        </w:rPr>
        <w:lastRenderedPageBreak/>
        <w:t>nacional, estatal y municipal; al mismo tiempo que motivamos a las juventudes a que continúen representando a las nuevas generaciones de las familias tradicionalmente dedicadas a esta actividad.</w:t>
      </w:r>
    </w:p>
    <w:p w14:paraId="3A473644"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p>
    <w:p w14:paraId="3A473645"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r>
        <w:rPr>
          <w:rFonts w:ascii="Gotham" w:hAnsi="Gotham" w:cstheme="minorHAnsi"/>
          <w:sz w:val="20"/>
          <w:szCs w:val="20"/>
          <w:lang w:val="es-MX"/>
        </w:rPr>
        <w:t xml:space="preserve">7.- </w:t>
      </w:r>
      <w:r>
        <w:rPr>
          <w:rFonts w:ascii="Gotham" w:hAnsi="Gotham" w:cstheme="minorHAnsi"/>
          <w:sz w:val="20"/>
          <w:szCs w:val="20"/>
          <w:lang w:val="es-MX"/>
        </w:rPr>
        <w:tab/>
        <w:t>Por último es conveniente acotar que Tonalá ha sido conocida como la “Capital Mexicana de las Artesanías”, con la formalidad y legalidad necesaria, por lo que se considera importante contemplar la posibilidad de renovar y en su caso conservar esta denominación que hoy por hoy es utilizada de manera verbal por quienes conocemos la esencia de nuestro municipio y de las magnánimas obras representativas elaboradas por manos de artesanas y artesanos tonaltecas; con base en lo expuesto, es que se considera que la marca en comento una vez renovada, se integre a la imagen corporativa del gobierno municipal, sea establecida como leyenda oficial municipal permanente para ser utilizada en la documentación oficial o en su caso, en los medios digitales.</w:t>
      </w:r>
    </w:p>
    <w:p w14:paraId="3A473646" w14:textId="77777777" w:rsidR="00016FE1" w:rsidRDefault="00016FE1" w:rsidP="002B6227">
      <w:pPr>
        <w:pStyle w:val="NormalWeb"/>
        <w:shd w:val="clear" w:color="auto" w:fill="FFFFFF"/>
        <w:spacing w:before="0" w:beforeAutospacing="0" w:after="0"/>
        <w:jc w:val="both"/>
        <w:rPr>
          <w:rFonts w:ascii="Gotham" w:hAnsi="Gotham" w:cstheme="minorHAnsi"/>
          <w:color w:val="7030A0"/>
          <w:spacing w:val="-5"/>
          <w:sz w:val="20"/>
          <w:szCs w:val="20"/>
          <w:lang w:val="es-MX"/>
        </w:rPr>
      </w:pPr>
    </w:p>
    <w:p w14:paraId="3A473647" w14:textId="77777777" w:rsidR="00016FE1" w:rsidRDefault="00016FE1" w:rsidP="002B6227">
      <w:pPr>
        <w:pStyle w:val="NormalWeb"/>
        <w:shd w:val="clear" w:color="auto" w:fill="FFFFFF"/>
        <w:spacing w:before="0" w:beforeAutospacing="0" w:after="0"/>
        <w:jc w:val="both"/>
        <w:rPr>
          <w:rFonts w:ascii="Gotham" w:hAnsi="Gotham" w:cstheme="minorHAnsi"/>
          <w:spacing w:val="-5"/>
          <w:sz w:val="20"/>
          <w:szCs w:val="20"/>
          <w:lang w:val="es-MX"/>
        </w:rPr>
      </w:pPr>
      <w:r>
        <w:rPr>
          <w:rFonts w:ascii="Gotham" w:hAnsi="Gotham" w:cstheme="minorHAnsi"/>
          <w:spacing w:val="-5"/>
          <w:sz w:val="20"/>
          <w:szCs w:val="20"/>
          <w:lang w:val="es-MX"/>
        </w:rPr>
        <w:t> Expuesto lo anterior, considero procedente hacer la siguiente invocación legal, con las siguientes:</w:t>
      </w:r>
    </w:p>
    <w:p w14:paraId="3A473648" w14:textId="77777777" w:rsidR="00016FE1" w:rsidRDefault="00016FE1" w:rsidP="002B6227">
      <w:pPr>
        <w:pStyle w:val="NormalWeb"/>
        <w:shd w:val="clear" w:color="auto" w:fill="FFFFFF"/>
        <w:spacing w:before="0" w:beforeAutospacing="0" w:after="0"/>
        <w:jc w:val="both"/>
        <w:rPr>
          <w:rFonts w:ascii="Gotham" w:hAnsi="Gotham" w:cstheme="minorHAnsi"/>
          <w:spacing w:val="-5"/>
          <w:sz w:val="20"/>
          <w:szCs w:val="20"/>
          <w:lang w:val="es-MX"/>
        </w:rPr>
      </w:pPr>
    </w:p>
    <w:p w14:paraId="3A473649" w14:textId="77777777" w:rsidR="00016FE1" w:rsidRDefault="00016FE1" w:rsidP="002B6227">
      <w:pPr>
        <w:pStyle w:val="NormalWeb"/>
        <w:shd w:val="clear" w:color="auto" w:fill="FFFFFF"/>
        <w:spacing w:before="0" w:beforeAutospacing="0" w:after="0"/>
        <w:jc w:val="center"/>
        <w:rPr>
          <w:rFonts w:ascii="Gotham" w:hAnsi="Gotham" w:cstheme="minorHAnsi"/>
          <w:spacing w:val="-5"/>
          <w:sz w:val="20"/>
          <w:szCs w:val="20"/>
          <w:lang w:val="es-MX"/>
        </w:rPr>
      </w:pPr>
      <w:r>
        <w:rPr>
          <w:rFonts w:ascii="Gotham" w:hAnsi="Gotham" w:cstheme="minorHAnsi"/>
          <w:spacing w:val="-5"/>
          <w:sz w:val="20"/>
          <w:szCs w:val="20"/>
          <w:lang w:val="es-MX"/>
        </w:rPr>
        <w:t>CONSIDERACIONES</w:t>
      </w:r>
    </w:p>
    <w:p w14:paraId="3A47364A" w14:textId="77777777" w:rsidR="00016FE1" w:rsidRDefault="00016FE1" w:rsidP="002B6227">
      <w:pPr>
        <w:pStyle w:val="NormalWeb"/>
        <w:shd w:val="clear" w:color="auto" w:fill="FFFFFF"/>
        <w:spacing w:before="0" w:beforeAutospacing="0" w:after="0"/>
        <w:jc w:val="center"/>
        <w:rPr>
          <w:rFonts w:ascii="Gotham" w:hAnsi="Gotham" w:cstheme="minorHAnsi"/>
          <w:color w:val="7030A0"/>
          <w:spacing w:val="-5"/>
          <w:sz w:val="20"/>
          <w:szCs w:val="20"/>
          <w:lang w:val="es-MX"/>
        </w:rPr>
      </w:pPr>
    </w:p>
    <w:p w14:paraId="3A47364B"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I.- </w:t>
      </w:r>
      <w:r>
        <w:rPr>
          <w:rFonts w:ascii="Gotham" w:hAnsi="Gotham" w:cstheme="minorHAnsi"/>
          <w:sz w:val="20"/>
          <w:szCs w:val="20"/>
        </w:rPr>
        <w:tab/>
        <w:t>El artículo 115 de la Constitución Política de los Estados Unidos Mexicanos, alude textualmente:</w:t>
      </w:r>
      <w:r w:rsidR="009F075D">
        <w:rPr>
          <w:rFonts w:ascii="Gotham" w:hAnsi="Gotham" w:cstheme="minorHAnsi"/>
          <w:sz w:val="20"/>
          <w:szCs w:val="20"/>
        </w:rPr>
        <w:t xml:space="preserve"> </w:t>
      </w:r>
    </w:p>
    <w:p w14:paraId="3A47364C" w14:textId="77777777" w:rsidR="00016FE1" w:rsidRDefault="00016FE1" w:rsidP="002B6227">
      <w:pPr>
        <w:pStyle w:val="Sinespaciado"/>
        <w:ind w:right="-8"/>
        <w:jc w:val="both"/>
        <w:rPr>
          <w:rFonts w:ascii="Gotham" w:hAnsi="Gotham" w:cstheme="minorHAnsi"/>
          <w:i/>
          <w:sz w:val="20"/>
          <w:szCs w:val="20"/>
        </w:rPr>
      </w:pPr>
      <w:r>
        <w:rPr>
          <w:rFonts w:ascii="Gotham" w:hAnsi="Gotham" w:cstheme="minorHAnsi"/>
          <w:i/>
          <w:sz w:val="20"/>
          <w:szCs w:val="20"/>
        </w:rPr>
        <w:t xml:space="preserve"> </w:t>
      </w:r>
    </w:p>
    <w:p w14:paraId="3A47364D" w14:textId="77777777" w:rsidR="00016FE1" w:rsidRDefault="00016FE1" w:rsidP="002B6227">
      <w:pPr>
        <w:spacing w:after="120"/>
        <w:ind w:left="851" w:right="283"/>
        <w:jc w:val="both"/>
        <w:outlineLvl w:val="0"/>
        <w:rPr>
          <w:rFonts w:ascii="Gotham" w:hAnsi="Gotham" w:cstheme="minorHAnsi"/>
          <w:i/>
          <w:sz w:val="19"/>
          <w:szCs w:val="19"/>
        </w:rPr>
      </w:pPr>
      <w:r>
        <w:rPr>
          <w:rFonts w:ascii="Gotham" w:hAnsi="Gotham" w:cstheme="minorHAnsi"/>
          <w:i/>
          <w:sz w:val="19"/>
          <w:szCs w:val="19"/>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47364E" w14:textId="77777777" w:rsidR="00016FE1" w:rsidRDefault="00016FE1" w:rsidP="002B6227">
      <w:pPr>
        <w:spacing w:after="120"/>
        <w:ind w:left="1276" w:right="283" w:hanging="425"/>
        <w:jc w:val="both"/>
        <w:outlineLvl w:val="0"/>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Los municipios estarán investidos de personalidad jurídica y manejarán su patrimonio conforme a la ley.</w:t>
      </w:r>
    </w:p>
    <w:p w14:paraId="3A47364F" w14:textId="77777777" w:rsidR="00016FE1" w:rsidRDefault="00016FE1" w:rsidP="002B6227">
      <w:pPr>
        <w:ind w:left="851" w:right="283"/>
        <w:jc w:val="both"/>
        <w:outlineLvl w:val="0"/>
        <w:rPr>
          <w:rFonts w:ascii="Gotham" w:hAnsi="Gotham" w:cstheme="minorHAnsi"/>
          <w:i/>
          <w:sz w:val="19"/>
          <w:szCs w:val="19"/>
        </w:rPr>
      </w:pPr>
      <w:r>
        <w:rPr>
          <w:rFonts w:ascii="Gotham" w:hAnsi="Gotham" w:cstheme="minorHAnsi"/>
          <w:i/>
          <w:sz w:val="19"/>
          <w:szCs w:val="19"/>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3650" w14:textId="77777777" w:rsidR="00016FE1" w:rsidRDefault="00016FE1" w:rsidP="002B6227">
      <w:pPr>
        <w:pStyle w:val="Sinespaciado"/>
        <w:ind w:left="567" w:right="559"/>
        <w:jc w:val="both"/>
        <w:rPr>
          <w:rFonts w:ascii="Gotham" w:hAnsi="Gotham" w:cstheme="minorHAnsi"/>
          <w:i/>
          <w:sz w:val="20"/>
          <w:szCs w:val="20"/>
        </w:rPr>
      </w:pPr>
    </w:p>
    <w:p w14:paraId="3A473651"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II.- </w:t>
      </w:r>
      <w:r>
        <w:rPr>
          <w:rFonts w:ascii="Gotham" w:hAnsi="Gotham" w:cstheme="minorHAnsi"/>
          <w:sz w:val="20"/>
          <w:szCs w:val="20"/>
        </w:rPr>
        <w:tab/>
        <w:t>Por su parte, la Ley Federal de Protección a la Propiedad Industrial en su numeral 185, a la letra manifiesta:</w:t>
      </w:r>
    </w:p>
    <w:p w14:paraId="3A473652" w14:textId="77777777" w:rsidR="00016FE1" w:rsidRDefault="00016FE1" w:rsidP="002B6227">
      <w:pPr>
        <w:pStyle w:val="Sinespaciado"/>
        <w:ind w:right="-8"/>
        <w:jc w:val="both"/>
        <w:rPr>
          <w:rFonts w:ascii="Gotham" w:hAnsi="Gotham" w:cstheme="minorHAnsi"/>
          <w:i/>
          <w:sz w:val="20"/>
          <w:szCs w:val="20"/>
        </w:rPr>
      </w:pPr>
    </w:p>
    <w:p w14:paraId="3A473653" w14:textId="77777777" w:rsidR="00016FE1" w:rsidRDefault="00016FE1" w:rsidP="002B6227">
      <w:pPr>
        <w:spacing w:after="120"/>
        <w:ind w:left="851" w:right="283"/>
        <w:jc w:val="both"/>
        <w:outlineLvl w:val="0"/>
        <w:rPr>
          <w:rFonts w:ascii="Gotham" w:hAnsi="Gotham" w:cstheme="minorHAnsi"/>
          <w:i/>
          <w:sz w:val="19"/>
          <w:szCs w:val="19"/>
        </w:rPr>
      </w:pPr>
      <w:r>
        <w:rPr>
          <w:rFonts w:ascii="Gotham" w:hAnsi="Gotham" w:cstheme="minorHAnsi"/>
          <w:i/>
          <w:sz w:val="19"/>
          <w:szCs w:val="19"/>
        </w:rPr>
        <w:t>Artículo 185.- Podrá solicitar el registro cualquier persona moral legalmente constituida que acredite la actividad de certificación de conformidad con su objeto social, siempre y cuando no desarrolle una actividad empresarial que implique el suministro de productos o la prestación del servicio de la misma naturaleza o tipo que aquélla certifica.</w:t>
      </w:r>
    </w:p>
    <w:p w14:paraId="3A473654" w14:textId="77777777" w:rsidR="00016FE1" w:rsidRDefault="00016FE1" w:rsidP="002B6227">
      <w:pPr>
        <w:spacing w:after="120"/>
        <w:ind w:left="851" w:right="283"/>
        <w:jc w:val="both"/>
        <w:outlineLvl w:val="0"/>
        <w:rPr>
          <w:rFonts w:ascii="Gotham" w:hAnsi="Gotham" w:cstheme="minorHAnsi"/>
          <w:i/>
          <w:sz w:val="19"/>
          <w:szCs w:val="19"/>
        </w:rPr>
      </w:pPr>
      <w:r>
        <w:rPr>
          <w:rFonts w:ascii="Gotham" w:hAnsi="Gotham" w:cstheme="minorHAnsi"/>
          <w:i/>
          <w:sz w:val="19"/>
          <w:szCs w:val="19"/>
        </w:rPr>
        <w:t>Cuando la marca de certificación esté conformada por el nombre de una zona geográfica o contenga dicho nombre u otra indicación conocida por hacer referencia a la citada zona que identifique un producto o servicio, solo podrán solicitar el registro:</w:t>
      </w:r>
    </w:p>
    <w:p w14:paraId="3A473655" w14:textId="77777777" w:rsidR="00016FE1" w:rsidRDefault="00016FE1" w:rsidP="002B6227">
      <w:pPr>
        <w:spacing w:after="120"/>
        <w:ind w:left="1276" w:right="283" w:hanging="425"/>
        <w:jc w:val="both"/>
        <w:outlineLvl w:val="0"/>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656" w14:textId="77777777" w:rsidR="00016FE1" w:rsidRDefault="00016FE1" w:rsidP="002B6227">
      <w:pPr>
        <w:spacing w:after="120"/>
        <w:ind w:left="1276" w:right="283" w:hanging="425"/>
        <w:jc w:val="both"/>
        <w:outlineLvl w:val="0"/>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w:t>
      </w:r>
    </w:p>
    <w:p w14:paraId="3A473657" w14:textId="77777777" w:rsidR="00016FE1" w:rsidRDefault="00016FE1" w:rsidP="002B6227">
      <w:pPr>
        <w:ind w:left="1276" w:right="283" w:hanging="425"/>
        <w:jc w:val="both"/>
        <w:outlineLvl w:val="0"/>
        <w:rPr>
          <w:rFonts w:ascii="Gotham" w:hAnsi="Gotham" w:cstheme="minorHAnsi"/>
          <w:i/>
          <w:sz w:val="19"/>
          <w:szCs w:val="19"/>
        </w:rPr>
      </w:pPr>
      <w:r>
        <w:rPr>
          <w:rFonts w:ascii="Gotham" w:hAnsi="Gotham" w:cstheme="minorHAnsi"/>
          <w:i/>
          <w:sz w:val="19"/>
          <w:szCs w:val="19"/>
        </w:rPr>
        <w:t xml:space="preserve">III. </w:t>
      </w:r>
      <w:r>
        <w:rPr>
          <w:rFonts w:ascii="Gotham" w:hAnsi="Gotham" w:cstheme="minorHAnsi"/>
          <w:i/>
          <w:sz w:val="19"/>
          <w:szCs w:val="19"/>
        </w:rPr>
        <w:tab/>
        <w:t>Los gobiernos en cuya zona geográfica se extraiga, produzca o elabore el producto que se pretenda amparar.</w:t>
      </w:r>
    </w:p>
    <w:p w14:paraId="3A473658" w14:textId="77777777" w:rsidR="00016FE1" w:rsidRDefault="00016FE1" w:rsidP="002B6227">
      <w:pPr>
        <w:pStyle w:val="Sinespaciado"/>
        <w:ind w:left="567" w:right="561"/>
        <w:jc w:val="both"/>
        <w:rPr>
          <w:rFonts w:ascii="Gotham" w:hAnsi="Gotham" w:cstheme="minorHAnsi"/>
          <w:bCs/>
          <w:i/>
          <w:spacing w:val="-12"/>
          <w:sz w:val="20"/>
          <w:szCs w:val="20"/>
        </w:rPr>
      </w:pPr>
    </w:p>
    <w:p w14:paraId="3A473659"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III.- </w:t>
      </w:r>
      <w:r>
        <w:rPr>
          <w:rFonts w:ascii="Gotham" w:hAnsi="Gotham" w:cstheme="minorHAnsi"/>
          <w:sz w:val="20"/>
          <w:szCs w:val="20"/>
        </w:rPr>
        <w:tab/>
        <w:t xml:space="preserve">Ahora bien, la Ley del Gobierno y la Administración Pública Municipal del Estado de Jalisco, en su arábigo 3°, estipula: </w:t>
      </w:r>
    </w:p>
    <w:p w14:paraId="3A47365A" w14:textId="77777777" w:rsidR="00016FE1" w:rsidRDefault="00016FE1" w:rsidP="002B6227">
      <w:pPr>
        <w:jc w:val="both"/>
        <w:rPr>
          <w:rFonts w:ascii="Gotham" w:hAnsi="Gotham" w:cstheme="minorHAnsi"/>
          <w:bCs/>
          <w:sz w:val="20"/>
          <w:szCs w:val="20"/>
        </w:rPr>
      </w:pPr>
    </w:p>
    <w:p w14:paraId="3A47365B" w14:textId="77777777" w:rsidR="00016FE1" w:rsidRDefault="00016FE1" w:rsidP="002B6227">
      <w:pPr>
        <w:ind w:left="851" w:right="283"/>
        <w:jc w:val="both"/>
        <w:outlineLvl w:val="0"/>
        <w:rPr>
          <w:rFonts w:ascii="Gotham" w:hAnsi="Gotham" w:cstheme="minorHAnsi"/>
          <w:i/>
          <w:sz w:val="19"/>
          <w:szCs w:val="19"/>
        </w:rPr>
      </w:pPr>
      <w:r>
        <w:rPr>
          <w:rFonts w:ascii="Gotham" w:hAnsi="Gotham" w:cstheme="minorHAnsi"/>
          <w:i/>
          <w:sz w:val="19"/>
          <w:szCs w:val="19"/>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3A47365C" w14:textId="77777777" w:rsidR="00016FE1" w:rsidRDefault="00016FE1" w:rsidP="002B6227">
      <w:pPr>
        <w:ind w:left="567" w:right="283"/>
        <w:jc w:val="both"/>
        <w:rPr>
          <w:rFonts w:ascii="Gotham" w:hAnsi="Gotham" w:cstheme="minorHAnsi"/>
          <w:i/>
          <w:sz w:val="20"/>
          <w:szCs w:val="20"/>
          <w:lang w:val="es-MX" w:eastAsia="en-US"/>
        </w:rPr>
      </w:pPr>
    </w:p>
    <w:p w14:paraId="3A47365D" w14:textId="77777777" w:rsidR="00016FE1" w:rsidRDefault="00016FE1" w:rsidP="002B6227">
      <w:pPr>
        <w:ind w:right="283"/>
        <w:jc w:val="both"/>
        <w:rPr>
          <w:rFonts w:ascii="Gotham" w:hAnsi="Gotham" w:cstheme="minorHAnsi"/>
          <w:sz w:val="20"/>
          <w:szCs w:val="20"/>
          <w:lang w:val="es-MX" w:eastAsia="en-US"/>
        </w:rPr>
      </w:pPr>
      <w:r>
        <w:rPr>
          <w:rFonts w:ascii="Gotham" w:hAnsi="Gotham" w:cstheme="minorHAnsi"/>
          <w:sz w:val="20"/>
          <w:szCs w:val="20"/>
          <w:lang w:val="es-MX" w:eastAsia="en-US"/>
        </w:rPr>
        <w:t>Del mismo modo en su arábigo 38, establece que:</w:t>
      </w:r>
    </w:p>
    <w:p w14:paraId="3A47365E" w14:textId="77777777" w:rsidR="00016FE1" w:rsidRDefault="00016FE1" w:rsidP="002B6227">
      <w:pPr>
        <w:ind w:right="283"/>
        <w:jc w:val="both"/>
        <w:rPr>
          <w:rFonts w:ascii="Gotham" w:hAnsi="Gotham" w:cstheme="minorHAnsi"/>
          <w:i/>
          <w:sz w:val="20"/>
          <w:szCs w:val="20"/>
          <w:lang w:val="es-MX" w:eastAsia="en-US"/>
        </w:rPr>
      </w:pPr>
    </w:p>
    <w:p w14:paraId="3A47365F" w14:textId="77777777" w:rsidR="00016FE1" w:rsidRDefault="00016FE1" w:rsidP="002B6227">
      <w:pPr>
        <w:spacing w:after="120"/>
        <w:ind w:left="851" w:right="283"/>
        <w:jc w:val="both"/>
        <w:outlineLvl w:val="0"/>
        <w:rPr>
          <w:rFonts w:ascii="Gotham" w:hAnsi="Gotham" w:cstheme="minorHAnsi"/>
          <w:i/>
          <w:sz w:val="19"/>
          <w:szCs w:val="19"/>
        </w:rPr>
      </w:pPr>
      <w:r>
        <w:rPr>
          <w:rFonts w:ascii="Gotham" w:hAnsi="Gotham" w:cstheme="minorHAnsi"/>
          <w:i/>
          <w:sz w:val="19"/>
          <w:szCs w:val="19"/>
        </w:rPr>
        <w:t>Artículo 38. Son facultades de los Ayuntamientos:</w:t>
      </w:r>
    </w:p>
    <w:p w14:paraId="3A473660" w14:textId="77777777" w:rsidR="00016FE1" w:rsidRDefault="00016FE1" w:rsidP="002B6227">
      <w:pPr>
        <w:spacing w:after="120"/>
        <w:ind w:left="1276" w:right="283" w:hanging="425"/>
        <w:jc w:val="both"/>
        <w:outlineLvl w:val="0"/>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661" w14:textId="77777777" w:rsidR="00016FE1" w:rsidRDefault="00016FE1" w:rsidP="002B6227">
      <w:pPr>
        <w:spacing w:after="120"/>
        <w:ind w:left="1276" w:right="283" w:hanging="425"/>
        <w:jc w:val="both"/>
        <w:outlineLvl w:val="0"/>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w:t>
      </w:r>
    </w:p>
    <w:p w14:paraId="3A473662" w14:textId="77777777" w:rsidR="00016FE1" w:rsidRDefault="00016FE1" w:rsidP="002B6227">
      <w:pPr>
        <w:ind w:left="1276" w:right="283" w:hanging="425"/>
        <w:jc w:val="both"/>
        <w:outlineLvl w:val="0"/>
        <w:rPr>
          <w:rFonts w:ascii="Gotham" w:hAnsi="Gotham" w:cstheme="minorHAnsi"/>
          <w:i/>
          <w:sz w:val="19"/>
          <w:szCs w:val="19"/>
        </w:rPr>
      </w:pPr>
      <w:r>
        <w:rPr>
          <w:rFonts w:ascii="Gotham" w:hAnsi="Gotham" w:cstheme="minorHAnsi"/>
          <w:i/>
          <w:sz w:val="19"/>
          <w:szCs w:val="19"/>
        </w:rPr>
        <w:t xml:space="preserve">III. </w:t>
      </w:r>
      <w:r>
        <w:rPr>
          <w:rFonts w:ascii="Gotham" w:hAnsi="Gotham" w:cstheme="minorHAnsi"/>
          <w:i/>
          <w:sz w:val="19"/>
          <w:szCs w:val="19"/>
        </w:rPr>
        <w:tab/>
        <w:t>Adquirir bienes en cualquiera de las formas previstas por la Ley;</w:t>
      </w:r>
    </w:p>
    <w:p w14:paraId="3A473663" w14:textId="77777777" w:rsidR="00016FE1" w:rsidRDefault="00016FE1" w:rsidP="002B6227">
      <w:pPr>
        <w:ind w:left="567" w:right="559"/>
        <w:jc w:val="both"/>
        <w:rPr>
          <w:rFonts w:ascii="Gotham" w:hAnsi="Gotham" w:cstheme="minorHAnsi"/>
          <w:i/>
          <w:sz w:val="20"/>
          <w:szCs w:val="20"/>
          <w:lang w:eastAsia="en-US"/>
        </w:rPr>
      </w:pPr>
    </w:p>
    <w:p w14:paraId="3A473664"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IV.- </w:t>
      </w:r>
      <w:r>
        <w:rPr>
          <w:rFonts w:ascii="Gotham" w:hAnsi="Gotham" w:cstheme="minorHAnsi"/>
          <w:sz w:val="20"/>
          <w:szCs w:val="20"/>
        </w:rPr>
        <w:tab/>
        <w:t>Así mismo, en nuestra legislación municipal particularmente en el Reglamento del Gobierno y la Administración Pública del</w:t>
      </w:r>
      <w:r w:rsidR="009F075D">
        <w:rPr>
          <w:rFonts w:ascii="Gotham" w:hAnsi="Gotham" w:cstheme="minorHAnsi"/>
          <w:sz w:val="20"/>
          <w:szCs w:val="20"/>
        </w:rPr>
        <w:t xml:space="preserve"> </w:t>
      </w:r>
      <w:r>
        <w:rPr>
          <w:rFonts w:ascii="Gotham" w:hAnsi="Gotham" w:cstheme="minorHAnsi"/>
          <w:sz w:val="20"/>
          <w:szCs w:val="20"/>
        </w:rPr>
        <w:t xml:space="preserve">Ayuntamiento Constitucional de Tonalá, Jalisco, en su artículo 102, alude textualmente: </w:t>
      </w:r>
    </w:p>
    <w:p w14:paraId="3A473665" w14:textId="77777777" w:rsidR="00016FE1" w:rsidRDefault="00016FE1" w:rsidP="002B6227">
      <w:pPr>
        <w:jc w:val="both"/>
        <w:rPr>
          <w:rFonts w:ascii="Gotham" w:hAnsi="Gotham" w:cstheme="minorHAnsi"/>
          <w:sz w:val="20"/>
          <w:szCs w:val="20"/>
        </w:rPr>
      </w:pPr>
    </w:p>
    <w:p w14:paraId="3A473666" w14:textId="77777777" w:rsidR="00016FE1" w:rsidRDefault="00016FE1" w:rsidP="002B6227">
      <w:pPr>
        <w:spacing w:after="120"/>
        <w:ind w:left="851" w:right="283"/>
        <w:jc w:val="both"/>
        <w:outlineLvl w:val="0"/>
        <w:rPr>
          <w:rFonts w:ascii="Gotham" w:hAnsi="Gotham" w:cstheme="minorHAnsi"/>
          <w:i/>
          <w:sz w:val="19"/>
          <w:szCs w:val="19"/>
        </w:rPr>
      </w:pPr>
      <w:r>
        <w:rPr>
          <w:rFonts w:ascii="Gotham" w:hAnsi="Gotham" w:cstheme="minorHAnsi"/>
          <w:i/>
          <w:sz w:val="19"/>
          <w:szCs w:val="19"/>
        </w:rPr>
        <w:t xml:space="preserve">Artículo 102.- Son atribuciones de la Comisión Edilicia de Hacienda y Presupuestos: </w:t>
      </w:r>
    </w:p>
    <w:p w14:paraId="3A473667" w14:textId="77777777" w:rsidR="00016FE1" w:rsidRDefault="00016FE1" w:rsidP="002B6227">
      <w:pPr>
        <w:spacing w:after="120"/>
        <w:ind w:left="851" w:right="283"/>
        <w:jc w:val="both"/>
        <w:outlineLvl w:val="0"/>
        <w:rPr>
          <w:rFonts w:ascii="Gotham" w:hAnsi="Gotham" w:cstheme="minorHAnsi"/>
          <w:i/>
          <w:sz w:val="19"/>
          <w:szCs w:val="19"/>
        </w:rPr>
      </w:pPr>
      <w:r>
        <w:rPr>
          <w:rFonts w:ascii="Gotham" w:hAnsi="Gotham" w:cstheme="minorHAnsi"/>
          <w:i/>
          <w:sz w:val="19"/>
          <w:szCs w:val="19"/>
        </w:rPr>
        <w:t>I al VIII…</w:t>
      </w:r>
    </w:p>
    <w:p w14:paraId="3A473668" w14:textId="77777777" w:rsidR="00016FE1" w:rsidRDefault="00016FE1" w:rsidP="002B6227">
      <w:pPr>
        <w:spacing w:after="120"/>
        <w:ind w:left="1276" w:right="283" w:hanging="425"/>
        <w:jc w:val="both"/>
        <w:outlineLvl w:val="0"/>
        <w:rPr>
          <w:rFonts w:ascii="Gotham" w:hAnsi="Gotham" w:cstheme="minorHAnsi"/>
          <w:i/>
          <w:sz w:val="19"/>
          <w:szCs w:val="19"/>
        </w:rPr>
      </w:pPr>
      <w:r>
        <w:rPr>
          <w:rFonts w:ascii="Gotham" w:hAnsi="Gotham" w:cstheme="minorHAnsi"/>
          <w:i/>
          <w:sz w:val="19"/>
          <w:szCs w:val="19"/>
        </w:rPr>
        <w:t xml:space="preserve">IX. </w:t>
      </w:r>
      <w:r>
        <w:rPr>
          <w:rFonts w:ascii="Gotham" w:hAnsi="Gotham" w:cstheme="minorHAnsi"/>
          <w:i/>
          <w:sz w:val="19"/>
          <w:szCs w:val="19"/>
        </w:rPr>
        <w:tab/>
        <w:t xml:space="preserve">Proponer, analizar, estudiar y dictaminar las iniciativas concernientes a los bienes de dominio público y privado del municipio; </w:t>
      </w:r>
    </w:p>
    <w:p w14:paraId="3A473669" w14:textId="77777777" w:rsidR="00016FE1" w:rsidRDefault="00016FE1" w:rsidP="002B6227">
      <w:pPr>
        <w:ind w:left="851" w:right="283"/>
        <w:jc w:val="both"/>
        <w:outlineLvl w:val="0"/>
        <w:rPr>
          <w:rFonts w:ascii="Gotham" w:hAnsi="Gotham" w:cstheme="minorHAnsi"/>
          <w:i/>
          <w:sz w:val="19"/>
          <w:szCs w:val="19"/>
        </w:rPr>
      </w:pPr>
      <w:r>
        <w:rPr>
          <w:rFonts w:ascii="Gotham" w:hAnsi="Gotham" w:cstheme="minorHAnsi"/>
          <w:i/>
          <w:sz w:val="19"/>
          <w:szCs w:val="19"/>
        </w:rPr>
        <w:t xml:space="preserve">(…) </w:t>
      </w:r>
    </w:p>
    <w:p w14:paraId="3A47366A" w14:textId="77777777" w:rsidR="00016FE1" w:rsidRDefault="00016FE1" w:rsidP="002B6227">
      <w:pPr>
        <w:pStyle w:val="Prrafodelista"/>
        <w:ind w:left="0" w:right="559"/>
        <w:jc w:val="both"/>
        <w:rPr>
          <w:rFonts w:ascii="Gotham" w:hAnsi="Gotham" w:cstheme="minorHAnsi"/>
          <w:i/>
          <w:sz w:val="20"/>
          <w:szCs w:val="20"/>
          <w:lang w:val="es-MX"/>
        </w:rPr>
      </w:pPr>
    </w:p>
    <w:p w14:paraId="3A47366B"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VI.- </w:t>
      </w:r>
      <w:r>
        <w:rPr>
          <w:rFonts w:ascii="Gotham" w:hAnsi="Gotham" w:cstheme="minorHAnsi"/>
          <w:sz w:val="20"/>
          <w:szCs w:val="20"/>
        </w:rPr>
        <w:tab/>
        <w:t xml:space="preserve">Para concluir el apartado de las consideraciones, se invoca lo establecido en el Reglamento para el Funcionamiento Interno de Sesiones del Ayuntamiento Constitucional de Tonalá, Jalisco, que establece literalmente en su fracción II del Artículo 82: </w:t>
      </w:r>
    </w:p>
    <w:p w14:paraId="3A47366C" w14:textId="77777777" w:rsidR="00016FE1" w:rsidRDefault="00016FE1" w:rsidP="002B6227">
      <w:pPr>
        <w:pStyle w:val="Sinespaciado"/>
        <w:tabs>
          <w:tab w:val="left" w:pos="8222"/>
        </w:tabs>
        <w:ind w:right="-8"/>
        <w:jc w:val="both"/>
        <w:rPr>
          <w:rFonts w:ascii="Gotham" w:hAnsi="Gotham" w:cstheme="minorHAnsi"/>
          <w:sz w:val="20"/>
          <w:szCs w:val="20"/>
          <w:lang w:val="es-ES"/>
        </w:rPr>
      </w:pPr>
    </w:p>
    <w:p w14:paraId="3A47366D" w14:textId="77777777" w:rsidR="00016FE1" w:rsidRDefault="00016FE1" w:rsidP="002B6227">
      <w:pPr>
        <w:spacing w:after="120"/>
        <w:ind w:left="851" w:right="283"/>
        <w:jc w:val="both"/>
        <w:outlineLvl w:val="0"/>
        <w:rPr>
          <w:rFonts w:ascii="Gotham" w:hAnsi="Gotham" w:cstheme="minorHAnsi"/>
          <w:i/>
          <w:sz w:val="19"/>
          <w:szCs w:val="19"/>
        </w:rPr>
      </w:pPr>
      <w:r>
        <w:rPr>
          <w:rFonts w:ascii="Gotham" w:hAnsi="Gotham" w:cstheme="minorHAnsi"/>
          <w:i/>
          <w:sz w:val="19"/>
          <w:szCs w:val="19"/>
        </w:rPr>
        <w:t>Artículo 82. La facultad de presentar iniciativas de ordenamiento municipal, decreto y acuerdo, corresponde:</w:t>
      </w:r>
    </w:p>
    <w:p w14:paraId="3A47366E" w14:textId="77777777" w:rsidR="00016FE1" w:rsidRDefault="00016FE1" w:rsidP="002B6227">
      <w:pPr>
        <w:spacing w:after="120"/>
        <w:ind w:left="1276" w:right="283" w:hanging="425"/>
        <w:jc w:val="both"/>
        <w:outlineLvl w:val="0"/>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66F" w14:textId="77777777" w:rsidR="00016FE1" w:rsidRDefault="00016FE1" w:rsidP="002B6227">
      <w:pPr>
        <w:ind w:left="1276" w:right="283" w:hanging="425"/>
        <w:jc w:val="both"/>
        <w:outlineLvl w:val="0"/>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A los Regidores;</w:t>
      </w:r>
    </w:p>
    <w:p w14:paraId="3A473670" w14:textId="77777777" w:rsidR="00016FE1" w:rsidRDefault="00016FE1" w:rsidP="002B6227">
      <w:pPr>
        <w:pStyle w:val="Sinespaciado"/>
        <w:tabs>
          <w:tab w:val="left" w:pos="8222"/>
        </w:tabs>
        <w:ind w:left="567" w:right="559"/>
        <w:jc w:val="both"/>
        <w:rPr>
          <w:rFonts w:ascii="Gotham" w:hAnsi="Gotham" w:cstheme="minorHAnsi"/>
          <w:i/>
          <w:sz w:val="20"/>
          <w:szCs w:val="20"/>
        </w:rPr>
      </w:pPr>
    </w:p>
    <w:p w14:paraId="3A473671" w14:textId="77777777" w:rsidR="00016FE1" w:rsidRDefault="00016FE1" w:rsidP="002B6227">
      <w:pPr>
        <w:jc w:val="both"/>
        <w:rPr>
          <w:rFonts w:ascii="Gotham" w:hAnsi="Gotham" w:cstheme="minorHAnsi"/>
          <w:sz w:val="20"/>
          <w:szCs w:val="20"/>
        </w:rPr>
      </w:pPr>
      <w:r>
        <w:rPr>
          <w:rFonts w:ascii="Gotham" w:hAnsi="Gotham" w:cstheme="minorHAnsi"/>
          <w:sz w:val="20"/>
          <w:szCs w:val="20"/>
        </w:rPr>
        <w:t>En función de lo anteriormente expuesto, someto a la elevada consideración de este cuerpo edilicio el siguiente punto de:</w:t>
      </w:r>
    </w:p>
    <w:p w14:paraId="3A473672" w14:textId="77777777" w:rsidR="00016FE1" w:rsidRDefault="00016FE1" w:rsidP="002B6227">
      <w:pPr>
        <w:ind w:firstLine="567"/>
        <w:jc w:val="both"/>
        <w:rPr>
          <w:rFonts w:ascii="Gotham" w:hAnsi="Gotham" w:cstheme="minorHAnsi"/>
          <w:color w:val="7030A0"/>
          <w:sz w:val="20"/>
          <w:szCs w:val="20"/>
        </w:rPr>
      </w:pPr>
    </w:p>
    <w:p w14:paraId="3A473673" w14:textId="77777777" w:rsidR="00016FE1" w:rsidRDefault="00016FE1" w:rsidP="002B6227">
      <w:pPr>
        <w:jc w:val="center"/>
        <w:rPr>
          <w:rFonts w:ascii="Gotham" w:hAnsi="Gotham" w:cstheme="minorHAnsi"/>
          <w:sz w:val="20"/>
          <w:szCs w:val="20"/>
        </w:rPr>
      </w:pPr>
      <w:r>
        <w:rPr>
          <w:rFonts w:ascii="Gotham" w:hAnsi="Gotham" w:cstheme="minorHAnsi"/>
          <w:sz w:val="20"/>
          <w:szCs w:val="20"/>
        </w:rPr>
        <w:t>ACUERDO</w:t>
      </w:r>
    </w:p>
    <w:p w14:paraId="3A473674" w14:textId="77777777" w:rsidR="00016FE1" w:rsidRDefault="00016FE1" w:rsidP="002B6227">
      <w:pPr>
        <w:ind w:firstLine="567"/>
        <w:jc w:val="both"/>
        <w:rPr>
          <w:rFonts w:ascii="Gotham" w:hAnsi="Gotham" w:cstheme="minorHAnsi"/>
          <w:sz w:val="20"/>
          <w:szCs w:val="20"/>
        </w:rPr>
      </w:pPr>
    </w:p>
    <w:p w14:paraId="3A473675" w14:textId="77777777" w:rsidR="00016FE1" w:rsidRDefault="00016FE1" w:rsidP="002B6227">
      <w:pPr>
        <w:jc w:val="both"/>
        <w:rPr>
          <w:rFonts w:ascii="Gotham" w:hAnsi="Gotham" w:cstheme="minorHAnsi"/>
          <w:sz w:val="20"/>
          <w:szCs w:val="20"/>
        </w:rPr>
      </w:pPr>
      <w:r>
        <w:rPr>
          <w:rFonts w:ascii="Gotham" w:hAnsi="Gotham" w:cstheme="minorHAnsi"/>
          <w:sz w:val="20"/>
          <w:szCs w:val="20"/>
        </w:rPr>
        <w:t>ÚNICO.- Se aprueba el turno a la Comisión Edilicia de Hacienda Municipal y Presupuestos, la presente iniciativa que tiene por objeto la Renovación de la marca “Tonalá, Capital Mexicana de las Artesanías” para su estudio, análisis y dictamen final.</w:t>
      </w:r>
    </w:p>
    <w:p w14:paraId="3A473676" w14:textId="77777777" w:rsidR="00016FE1" w:rsidRDefault="00016FE1" w:rsidP="002B6227">
      <w:pPr>
        <w:pStyle w:val="Prrafodelista"/>
        <w:ind w:left="0"/>
        <w:jc w:val="both"/>
        <w:rPr>
          <w:rFonts w:ascii="Gotham" w:hAnsi="Gotham"/>
          <w:sz w:val="20"/>
          <w:szCs w:val="20"/>
        </w:rPr>
      </w:pPr>
    </w:p>
    <w:p w14:paraId="3A473677" w14:textId="77777777" w:rsidR="00016FE1" w:rsidRPr="00351AD1" w:rsidRDefault="00016FE1" w:rsidP="002B6227">
      <w:pPr>
        <w:jc w:val="both"/>
        <w:rPr>
          <w:rFonts w:ascii="Gotham" w:hAnsi="Gotham" w:cs="Arial"/>
          <w:sz w:val="20"/>
          <w:szCs w:val="20"/>
        </w:rPr>
      </w:pPr>
      <w:r>
        <w:rPr>
          <w:rFonts w:ascii="Gotham" w:hAnsi="Gotham"/>
          <w:sz w:val="20"/>
          <w:szCs w:val="20"/>
        </w:rPr>
        <w:t>En uso de la voz el Presidente Municipal, Sergio Armando Chávez Dávalos, expresa que, se propone su turno a la Comisión Edilicia de Hacienda Municipal y Presupuestos;</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678" w14:textId="77777777" w:rsidR="00016FE1" w:rsidRPr="00351AD1" w:rsidRDefault="00016FE1" w:rsidP="002B6227">
      <w:pPr>
        <w:jc w:val="both"/>
        <w:rPr>
          <w:rFonts w:ascii="Gotham" w:hAnsi="Gotham" w:cs="Arial"/>
          <w:sz w:val="20"/>
          <w:szCs w:val="20"/>
        </w:rPr>
      </w:pPr>
    </w:p>
    <w:p w14:paraId="3A473679"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67A" w14:textId="77777777" w:rsidR="00016FE1" w:rsidRPr="00351AD1" w:rsidRDefault="00016FE1" w:rsidP="002B6227">
      <w:pPr>
        <w:jc w:val="both"/>
        <w:rPr>
          <w:rFonts w:ascii="Gotham" w:hAnsi="Gotham" w:cs="Arial"/>
          <w:sz w:val="20"/>
          <w:szCs w:val="20"/>
        </w:rPr>
      </w:pPr>
    </w:p>
    <w:p w14:paraId="3A47367B" w14:textId="77777777" w:rsidR="00016FE1" w:rsidRDefault="00016FE1" w:rsidP="002B6227">
      <w:pPr>
        <w:jc w:val="both"/>
        <w:rPr>
          <w:rFonts w:ascii="Gotham" w:hAnsi="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67C" w14:textId="77777777" w:rsidR="00016FE1" w:rsidRPr="000F7447" w:rsidRDefault="00016FE1" w:rsidP="002B6227">
      <w:pPr>
        <w:pStyle w:val="Prrafodelista"/>
        <w:ind w:left="0"/>
        <w:jc w:val="both"/>
        <w:rPr>
          <w:rFonts w:ascii="Gotham" w:hAnsi="Gotham"/>
          <w:sz w:val="20"/>
          <w:szCs w:val="20"/>
        </w:rPr>
      </w:pPr>
    </w:p>
    <w:p w14:paraId="3A47367D" w14:textId="77777777" w:rsidR="00016FE1" w:rsidRPr="000F7447" w:rsidRDefault="00016FE1" w:rsidP="002B6227">
      <w:pPr>
        <w:pStyle w:val="Prrafodelista"/>
        <w:ind w:left="0"/>
        <w:jc w:val="both"/>
        <w:rPr>
          <w:rFonts w:ascii="Gotham" w:hAnsi="Gotham"/>
          <w:sz w:val="20"/>
          <w:szCs w:val="20"/>
        </w:rPr>
      </w:pPr>
    </w:p>
    <w:p w14:paraId="3A47367E" w14:textId="77777777" w:rsidR="00016FE1" w:rsidRPr="000F7447" w:rsidRDefault="00016FE1" w:rsidP="002B6227">
      <w:pPr>
        <w:pStyle w:val="western"/>
        <w:spacing w:before="0" w:beforeAutospacing="0"/>
        <w:jc w:val="right"/>
        <w:rPr>
          <w:rFonts w:ascii="Gotham" w:hAnsi="Gotham"/>
          <w:b/>
          <w:sz w:val="22"/>
          <w:szCs w:val="22"/>
          <w:u w:val="single"/>
        </w:rPr>
      </w:pPr>
      <w:r w:rsidRPr="000F7447">
        <w:rPr>
          <w:rFonts w:ascii="Gotham" w:hAnsi="Gotham"/>
          <w:b/>
          <w:sz w:val="22"/>
          <w:szCs w:val="22"/>
          <w:u w:val="single"/>
        </w:rPr>
        <w:t xml:space="preserve">ACUERDO NO. </w:t>
      </w:r>
      <w:r>
        <w:rPr>
          <w:rFonts w:ascii="Gotham" w:hAnsi="Gotham"/>
          <w:b/>
          <w:sz w:val="22"/>
          <w:szCs w:val="22"/>
          <w:u w:val="single"/>
        </w:rPr>
        <w:t>1127</w:t>
      </w:r>
    </w:p>
    <w:p w14:paraId="3A47367F" w14:textId="77777777" w:rsidR="00016FE1" w:rsidRDefault="00016FE1" w:rsidP="002B6227">
      <w:pPr>
        <w:pStyle w:val="Prrafodelista"/>
        <w:ind w:left="0"/>
        <w:jc w:val="both"/>
        <w:rPr>
          <w:rFonts w:ascii="Gotham" w:hAnsi="Gotham" w:cstheme="minorHAnsi"/>
          <w:sz w:val="20"/>
          <w:szCs w:val="20"/>
        </w:rPr>
      </w:pPr>
      <w:r w:rsidRPr="000F7447">
        <w:rPr>
          <w:rFonts w:ascii="Gotham" w:hAnsi="Gotham"/>
          <w:b/>
          <w:bCs/>
          <w:smallCaps/>
          <w:sz w:val="20"/>
          <w:szCs w:val="20"/>
        </w:rPr>
        <w:t>Décima Quinta Iniciativa con Turno a Comisión</w:t>
      </w:r>
      <w:r w:rsidRPr="000F7447">
        <w:rPr>
          <w:rFonts w:ascii="Gotham" w:hAnsi="Gotham"/>
          <w:b/>
          <w:bCs/>
          <w:sz w:val="20"/>
          <w:szCs w:val="20"/>
        </w:rPr>
        <w:t xml:space="preserve">.- </w:t>
      </w:r>
      <w:r>
        <w:rPr>
          <w:rFonts w:ascii="Gotham" w:hAnsi="Gotham"/>
          <w:sz w:val="20"/>
          <w:szCs w:val="20"/>
        </w:rPr>
        <w:t xml:space="preserve">En uso de la voz la Regidora Laura Liliana Olea Frías, manifiesta que, la </w:t>
      </w:r>
      <w:r>
        <w:rPr>
          <w:rFonts w:ascii="Gotham" w:hAnsi="Gotham" w:cstheme="minorHAnsi"/>
          <w:sz w:val="20"/>
          <w:szCs w:val="20"/>
        </w:rPr>
        <w:t>que suscribe Maestra Laura Liliana Olea Frías, en mi carácter de Regidora</w:t>
      </w:r>
      <w:r>
        <w:rPr>
          <w:rFonts w:ascii="Gotham" w:hAnsi="Gotham" w:cstheme="minorHAnsi"/>
          <w:sz w:val="20"/>
          <w:szCs w:val="20"/>
          <w:lang w:val="es-MX"/>
        </w:rPr>
        <w:t xml:space="preserve"> del Ayuntamiento Constitucional de Tonalá, Jalisco</w:t>
      </w:r>
      <w:r>
        <w:rPr>
          <w:rFonts w:ascii="Gotham" w:hAnsi="Gotham" w:cstheme="minorHAnsi"/>
          <w:sz w:val="20"/>
          <w:szCs w:val="20"/>
        </w:rPr>
        <w:t xml:space="preserve">, en ejercicio de las facultades que me confiere el artículo 50 de la Ley del Gobierno y la Administración Pública Municipal del Estado de Jalisco, así como lo señalado en el arábigo 56, fracción II del Reglamento del Gobierno y la Administración Pública del Ayuntamiento Constitucional de Tonalá, Jalisco; el numeral 82 fracción II del Reglamento para el Funcionamiento Interno de Sesiones del Ayuntamiento Constitucional de Tonalá, Jalisco; y los demás relativos de la legislación aplicable; presento a su distinguida consideración la INICIATIVA CON TURNO A COMISIÓN, que tiene por objeto la </w:t>
      </w:r>
      <w:r>
        <w:rPr>
          <w:rFonts w:ascii="Gotham" w:hAnsi="Gotham" w:cstheme="minorHAnsi"/>
          <w:i/>
          <w:sz w:val="20"/>
          <w:szCs w:val="20"/>
        </w:rPr>
        <w:t>Realización de la carrera atlética “Corriendo por un Milagro” a beneficio de la Asociación Civil sin fines de lucro denominada “Donación de Milagros”, misma que rinda atención integral a personas con insuficiencia renal</w:t>
      </w:r>
      <w:r>
        <w:rPr>
          <w:rFonts w:ascii="Gotham" w:hAnsi="Gotham" w:cstheme="minorHAnsi"/>
          <w:sz w:val="20"/>
          <w:szCs w:val="20"/>
        </w:rPr>
        <w:t>, y para lo cual realizo la siguiente:</w:t>
      </w:r>
      <w:r w:rsidR="009F075D">
        <w:rPr>
          <w:rFonts w:ascii="Gotham" w:hAnsi="Gotham" w:cstheme="minorHAnsi"/>
          <w:sz w:val="20"/>
          <w:szCs w:val="20"/>
        </w:rPr>
        <w:t xml:space="preserve"> </w:t>
      </w:r>
    </w:p>
    <w:p w14:paraId="3A473680" w14:textId="77777777" w:rsidR="00016FE1" w:rsidRDefault="00016FE1" w:rsidP="002B6227">
      <w:pPr>
        <w:jc w:val="both"/>
        <w:rPr>
          <w:rFonts w:ascii="Gotham" w:hAnsi="Gotham" w:cstheme="minorHAnsi"/>
          <w:sz w:val="20"/>
          <w:szCs w:val="20"/>
        </w:rPr>
      </w:pPr>
    </w:p>
    <w:p w14:paraId="3A473681" w14:textId="77777777" w:rsidR="00016FE1" w:rsidRDefault="00016FE1" w:rsidP="002B6227">
      <w:pPr>
        <w:jc w:val="center"/>
        <w:rPr>
          <w:rFonts w:ascii="Gotham" w:hAnsi="Gotham" w:cstheme="minorHAnsi"/>
          <w:sz w:val="20"/>
          <w:szCs w:val="20"/>
        </w:rPr>
      </w:pPr>
      <w:r>
        <w:rPr>
          <w:rFonts w:ascii="Gotham" w:hAnsi="Gotham" w:cstheme="minorHAnsi"/>
          <w:sz w:val="20"/>
          <w:szCs w:val="20"/>
        </w:rPr>
        <w:t>EXPOSICIÓN DE MOTIVOS</w:t>
      </w:r>
    </w:p>
    <w:p w14:paraId="3A473682" w14:textId="77777777" w:rsidR="00016FE1" w:rsidRDefault="00016FE1" w:rsidP="002B6227">
      <w:pPr>
        <w:jc w:val="center"/>
        <w:rPr>
          <w:rFonts w:ascii="Gotham" w:hAnsi="Gotham" w:cstheme="minorHAnsi"/>
          <w:color w:val="FF0000"/>
          <w:sz w:val="20"/>
          <w:szCs w:val="20"/>
        </w:rPr>
      </w:pPr>
    </w:p>
    <w:p w14:paraId="3A473683" w14:textId="77777777" w:rsidR="00016FE1" w:rsidRDefault="00016FE1" w:rsidP="002B6227">
      <w:pPr>
        <w:ind w:left="567" w:hanging="567"/>
        <w:jc w:val="both"/>
        <w:rPr>
          <w:rFonts w:ascii="Gotham" w:hAnsi="Gotham" w:cstheme="minorHAnsi"/>
          <w:sz w:val="20"/>
          <w:szCs w:val="20"/>
        </w:rPr>
      </w:pPr>
      <w:r>
        <w:rPr>
          <w:rFonts w:ascii="Gotham" w:hAnsi="Gotham" w:cstheme="minorHAnsi"/>
          <w:sz w:val="20"/>
          <w:szCs w:val="20"/>
        </w:rPr>
        <w:t xml:space="preserve">1.-  </w:t>
      </w:r>
      <w:r>
        <w:rPr>
          <w:rFonts w:ascii="Gotham" w:hAnsi="Gotham" w:cstheme="minorHAnsi"/>
          <w:sz w:val="20"/>
          <w:szCs w:val="20"/>
        </w:rPr>
        <w:tab/>
        <w:t xml:space="preserve">El 26 de septiembre de cada año se celebra en México el Día Nacional de Donación y Trasplante de Órganos y Tejidos, con el objeto de generar conciencia sobre el valor de dar una oportunidad de vida a quien lo necesita, reflexionando que una persona donadora podría salvar hasta cinco vidas y teniendo presente que hoy por hoy en nuestro país hay miles de personas esperando un trasplante que les dé una esperanza de vida </w:t>
      </w:r>
    </w:p>
    <w:p w14:paraId="3A473684" w14:textId="77777777" w:rsidR="00016FE1" w:rsidRDefault="00016FE1" w:rsidP="002B6227">
      <w:pPr>
        <w:ind w:left="567" w:hanging="567"/>
        <w:jc w:val="both"/>
        <w:rPr>
          <w:rFonts w:ascii="Gotham" w:hAnsi="Gotham" w:cstheme="minorHAnsi"/>
          <w:sz w:val="20"/>
          <w:szCs w:val="20"/>
        </w:rPr>
      </w:pPr>
    </w:p>
    <w:p w14:paraId="3A473685" w14:textId="77777777" w:rsidR="00016FE1" w:rsidRDefault="00016FE1" w:rsidP="002B6227">
      <w:pPr>
        <w:ind w:left="567" w:hanging="567"/>
        <w:jc w:val="both"/>
        <w:rPr>
          <w:rFonts w:ascii="Gotham" w:hAnsi="Gotham" w:cstheme="minorHAnsi"/>
          <w:sz w:val="20"/>
          <w:szCs w:val="20"/>
        </w:rPr>
      </w:pPr>
      <w:r>
        <w:rPr>
          <w:rFonts w:ascii="Gotham" w:hAnsi="Gotham" w:cstheme="minorHAnsi"/>
          <w:sz w:val="20"/>
          <w:szCs w:val="20"/>
        </w:rPr>
        <w:t xml:space="preserve">2.- </w:t>
      </w:r>
      <w:r>
        <w:rPr>
          <w:rFonts w:ascii="Gotham" w:hAnsi="Gotham" w:cstheme="minorHAnsi"/>
          <w:sz w:val="20"/>
          <w:szCs w:val="20"/>
        </w:rPr>
        <w:tab/>
        <w:t>Es importante resaltar que nuestra entidad federativa ha sido un referente nacional al ser líder en cuanto trasplantes de órganos, toda vez que se realizan aproximadamente más de 1,000 al año, lo que denota un resultado favorable en la concientización y sensibilización sobre la donación de órganos, no obstante hay una brecha considerable por acortar respecto a la cultura de dar</w:t>
      </w:r>
      <w:r w:rsidR="009F075D">
        <w:rPr>
          <w:rFonts w:ascii="Gotham" w:hAnsi="Gotham" w:cstheme="minorHAnsi"/>
          <w:sz w:val="20"/>
          <w:szCs w:val="20"/>
        </w:rPr>
        <w:t xml:space="preserve"> </w:t>
      </w:r>
      <w:r>
        <w:rPr>
          <w:rFonts w:ascii="Gotham" w:hAnsi="Gotham" w:cstheme="minorHAnsi"/>
          <w:sz w:val="20"/>
          <w:szCs w:val="20"/>
        </w:rPr>
        <w:t>vida.</w:t>
      </w:r>
    </w:p>
    <w:p w14:paraId="3A473686" w14:textId="77777777" w:rsidR="00016FE1" w:rsidRDefault="00016FE1" w:rsidP="002B6227">
      <w:pPr>
        <w:ind w:left="567" w:hanging="567"/>
        <w:jc w:val="both"/>
        <w:rPr>
          <w:rFonts w:ascii="Gotham" w:hAnsi="Gotham" w:cstheme="minorHAnsi"/>
          <w:color w:val="FF0000"/>
          <w:sz w:val="20"/>
          <w:szCs w:val="20"/>
        </w:rPr>
      </w:pPr>
    </w:p>
    <w:p w14:paraId="3A473687" w14:textId="77777777" w:rsidR="00016FE1" w:rsidRDefault="00016FE1" w:rsidP="002B6227">
      <w:pPr>
        <w:pBdr>
          <w:top w:val="single" w:sz="6" w:space="1" w:color="auto"/>
        </w:pBdr>
        <w:ind w:left="567" w:hanging="567"/>
        <w:rPr>
          <w:rFonts w:ascii="Gotham" w:hAnsi="Gotham" w:cs="Arial"/>
          <w:vanish/>
          <w:sz w:val="20"/>
          <w:szCs w:val="20"/>
          <w:lang w:val="es-MX" w:eastAsia="en-US"/>
        </w:rPr>
      </w:pPr>
      <w:r>
        <w:rPr>
          <w:rFonts w:ascii="Gotham" w:hAnsi="Gotham" w:cs="Arial"/>
          <w:vanish/>
          <w:sz w:val="20"/>
          <w:szCs w:val="20"/>
          <w:lang w:val="es-MX" w:eastAsia="en-US"/>
        </w:rPr>
        <w:t>Final del formulario</w:t>
      </w:r>
    </w:p>
    <w:p w14:paraId="3A473688"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eastAsia="en-US"/>
        </w:rPr>
      </w:pPr>
      <w:r>
        <w:rPr>
          <w:rFonts w:ascii="Gotham" w:hAnsi="Gotham" w:cstheme="minorHAnsi"/>
          <w:sz w:val="20"/>
          <w:szCs w:val="20"/>
          <w:lang w:val="es-MX" w:eastAsia="es-MX"/>
        </w:rPr>
        <w:t xml:space="preserve">3.- </w:t>
      </w:r>
      <w:r>
        <w:rPr>
          <w:rFonts w:ascii="Gotham" w:hAnsi="Gotham" w:cstheme="minorHAnsi"/>
          <w:sz w:val="20"/>
          <w:szCs w:val="20"/>
          <w:lang w:val="es-MX" w:eastAsia="es-MX"/>
        </w:rPr>
        <w:tab/>
        <w:t xml:space="preserve">En relación al párrafo que antecede, la </w:t>
      </w:r>
      <w:r>
        <w:rPr>
          <w:rFonts w:ascii="Gotham" w:hAnsi="Gotham" w:cstheme="minorHAnsi"/>
          <w:sz w:val="20"/>
          <w:szCs w:val="20"/>
          <w:lang w:val="es-MX"/>
        </w:rPr>
        <w:t>Asociación Civil sin fines de lucro denominada “Donación de Milagros”, con domicilio en Paseo de la Arboleda #1082 en la Colonia Jardines del Bosque, fue constituida por Mily Naveja en el año 2018, al convertirse en una persona trasplantada de un órgano vital como lo es el riñón; esta asociación está debidamente afiliada al padrón de la Secretaría de Asistencia Social del Estado de Jalisco con número 6.282 y su misión es fomentar y capacitar sobre la donación de órganos, así como la búsqueda constante de la salud integral de niñas y niños para que encuentren apoyo médico, psicológico y en especie para hacer más llevadero su padecimiento.</w:t>
      </w:r>
    </w:p>
    <w:p w14:paraId="3A473689"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color w:val="FF0000"/>
          <w:sz w:val="20"/>
          <w:szCs w:val="20"/>
          <w:lang w:eastAsia="es-MX"/>
        </w:rPr>
      </w:pPr>
    </w:p>
    <w:p w14:paraId="3A47368A"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eastAsia="en-US"/>
        </w:rPr>
      </w:pPr>
      <w:r>
        <w:rPr>
          <w:rFonts w:ascii="Gotham" w:hAnsi="Gotham" w:cstheme="minorHAnsi"/>
          <w:sz w:val="20"/>
          <w:szCs w:val="20"/>
          <w:lang w:val="es-MX"/>
        </w:rPr>
        <w:t xml:space="preserve">4.- </w:t>
      </w:r>
      <w:r>
        <w:rPr>
          <w:rFonts w:ascii="Gotham" w:hAnsi="Gotham" w:cstheme="minorHAnsi"/>
          <w:sz w:val="20"/>
          <w:szCs w:val="20"/>
          <w:lang w:val="es-MX"/>
        </w:rPr>
        <w:tab/>
        <w:t>Cabe resaltar que la asociación civil en comento, tiene como misión ayudar a niñas y niños enfermos renales de bajos recursos o que no cuentan con algún tipo de seguridad social, apoyándolos en tratamientos sustitutivos y acompañamiento psicológico desde el diagnostico, durante el trasplante y después del mismo.</w:t>
      </w:r>
    </w:p>
    <w:p w14:paraId="3A47368B"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color w:val="FF0000"/>
          <w:sz w:val="20"/>
          <w:szCs w:val="20"/>
          <w:lang w:val="es-MX"/>
        </w:rPr>
      </w:pPr>
    </w:p>
    <w:p w14:paraId="3A47368C"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eastAsia="es-MX"/>
        </w:rPr>
      </w:pPr>
      <w:r>
        <w:rPr>
          <w:rFonts w:ascii="Gotham" w:hAnsi="Gotham" w:cstheme="minorHAnsi"/>
          <w:sz w:val="20"/>
          <w:szCs w:val="20"/>
          <w:lang w:val="es-MX"/>
        </w:rPr>
        <w:t xml:space="preserve">5.- </w:t>
      </w:r>
      <w:r>
        <w:rPr>
          <w:rFonts w:ascii="Gotham" w:hAnsi="Gotham" w:cstheme="minorHAnsi"/>
          <w:sz w:val="20"/>
          <w:szCs w:val="20"/>
          <w:lang w:val="es-MX"/>
        </w:rPr>
        <w:tab/>
        <w:t>Cabe considerar que inicialmente esta asociación se dedicaba a brindar atención integral principalmente a niñas, niños y adolescentes con insuficiencia renal de 1 a 18 años,</w:t>
      </w:r>
      <w:r w:rsidR="009F075D">
        <w:rPr>
          <w:rFonts w:ascii="Gotham" w:hAnsi="Gotham" w:cstheme="minorHAnsi"/>
          <w:sz w:val="20"/>
          <w:szCs w:val="20"/>
          <w:lang w:val="es-MX"/>
        </w:rPr>
        <w:t xml:space="preserve"> </w:t>
      </w:r>
      <w:r>
        <w:rPr>
          <w:rFonts w:ascii="Gotham" w:hAnsi="Gotham" w:cstheme="minorHAnsi"/>
          <w:sz w:val="20"/>
          <w:szCs w:val="20"/>
          <w:lang w:val="es-MX"/>
        </w:rPr>
        <w:t>y a partir del 2023 sumaron el apoyo para adultos aunque en menor cantidad, toda vez que su misión es fomentar y capacitar a la sociedad en general sobre la importancia de la Donación de Órganos, educar sobre prevención renal y explicar el rol tan importante de las personas cuidadoras.</w:t>
      </w:r>
    </w:p>
    <w:p w14:paraId="3A47368D"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color w:val="FF0000"/>
          <w:sz w:val="20"/>
          <w:szCs w:val="20"/>
          <w:lang w:val="es-MX" w:eastAsia="es-MX"/>
        </w:rPr>
      </w:pPr>
    </w:p>
    <w:p w14:paraId="3A47368E" w14:textId="77777777" w:rsidR="00016FE1" w:rsidRDefault="00016FE1" w:rsidP="002B6227">
      <w:pPr>
        <w:ind w:left="567" w:hanging="567"/>
        <w:jc w:val="both"/>
        <w:rPr>
          <w:rFonts w:ascii="Gotham" w:hAnsi="Gotham" w:cstheme="minorHAnsi"/>
          <w:sz w:val="20"/>
          <w:szCs w:val="20"/>
        </w:rPr>
      </w:pPr>
      <w:r>
        <w:rPr>
          <w:rFonts w:ascii="Gotham" w:hAnsi="Gotham" w:cstheme="minorHAnsi"/>
          <w:spacing w:val="-5"/>
          <w:sz w:val="20"/>
          <w:szCs w:val="20"/>
          <w:lang w:val="es-MX"/>
        </w:rPr>
        <w:lastRenderedPageBreak/>
        <w:t xml:space="preserve">6.-  </w:t>
      </w:r>
      <w:r>
        <w:rPr>
          <w:rFonts w:ascii="Gotham" w:hAnsi="Gotham" w:cstheme="minorHAnsi"/>
          <w:spacing w:val="-5"/>
          <w:sz w:val="20"/>
          <w:szCs w:val="20"/>
          <w:lang w:val="es-MX"/>
        </w:rPr>
        <w:tab/>
      </w:r>
      <w:r>
        <w:rPr>
          <w:rFonts w:ascii="Gotham" w:hAnsi="Gotham" w:cstheme="minorHAnsi"/>
          <w:sz w:val="20"/>
          <w:szCs w:val="20"/>
        </w:rPr>
        <w:t>En función de lo planteado en el párrafo que antecede, la asociación en cita realiza muchas actividades las cuales han dado hasta el momento resultados bondadosos permitiendo brindar atención integral a más de 100 familias, las cuales la mayoría son encabezadas por mujeres a las que las circunstancias de la vida las ha llevado a convertirse en jefas de familia; sus gestiones y arduo trabajo han permitido que leche en polvo, paquetes de pañales y más de 10,000 litros de agua embotellada lleguen a ellos,</w:t>
      </w:r>
      <w:r w:rsidR="009F075D">
        <w:rPr>
          <w:rFonts w:ascii="Gotham" w:hAnsi="Gotham" w:cstheme="minorHAnsi"/>
          <w:sz w:val="20"/>
          <w:szCs w:val="20"/>
        </w:rPr>
        <w:t xml:space="preserve"> </w:t>
      </w:r>
      <w:r>
        <w:rPr>
          <w:rFonts w:ascii="Gotham" w:hAnsi="Gotham" w:cstheme="minorHAnsi"/>
          <w:sz w:val="20"/>
          <w:szCs w:val="20"/>
        </w:rPr>
        <w:t>así mismo ha rehabilitado los hogares de más de 100 niñas y niños para garantizar su calidad de vida de las familias que están adaptándose en una nueva oportunidad de existencia y un cambio radical en su entorno bajo una condición difícil, pero esperanzadora.</w:t>
      </w:r>
    </w:p>
    <w:p w14:paraId="3A47368F"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pacing w:val="-5"/>
          <w:sz w:val="20"/>
          <w:szCs w:val="20"/>
          <w:lang w:val="es-MX"/>
        </w:rPr>
      </w:pPr>
    </w:p>
    <w:p w14:paraId="3A473690" w14:textId="77777777" w:rsidR="00016FE1" w:rsidRDefault="00016FE1" w:rsidP="002B6227">
      <w:pPr>
        <w:ind w:left="567" w:hanging="567"/>
        <w:jc w:val="both"/>
        <w:rPr>
          <w:rFonts w:ascii="Gotham" w:hAnsi="Gotham" w:cs="Arial"/>
          <w:sz w:val="20"/>
          <w:szCs w:val="20"/>
          <w:lang w:val="es-MX" w:eastAsia="en-US"/>
        </w:rPr>
      </w:pPr>
      <w:r>
        <w:rPr>
          <w:rFonts w:ascii="Gotham" w:hAnsi="Gotham" w:cstheme="minorHAnsi"/>
          <w:spacing w:val="-5"/>
          <w:sz w:val="20"/>
          <w:szCs w:val="20"/>
          <w:lang w:val="es-MX"/>
        </w:rPr>
        <w:t xml:space="preserve">7.-  </w:t>
      </w:r>
      <w:r>
        <w:rPr>
          <w:rFonts w:ascii="Gotham" w:hAnsi="Gotham" w:cstheme="minorHAnsi"/>
          <w:spacing w:val="-5"/>
          <w:sz w:val="20"/>
          <w:szCs w:val="20"/>
          <w:lang w:val="es-MX"/>
        </w:rPr>
        <w:tab/>
        <w:t xml:space="preserve">Se observa entonces que “Donación de Milagros” está en </w:t>
      </w:r>
      <w:r>
        <w:rPr>
          <w:rFonts w:ascii="Gotham" w:hAnsi="Gotham" w:cstheme="minorHAnsi"/>
          <w:sz w:val="20"/>
          <w:szCs w:val="20"/>
        </w:rPr>
        <w:t>constante búsqueda de recaudación de fondos en la sociedad civil y en el sector empresarial, para con ello, llevar a cabo su cometido que esencialmente es apoyar y aportar de manera económica para el tratamiento de hemodiálisis, medicamentos para antes o después de su trasplante, al mismo tiempo que colabora con atención de diversos especialistas como Nefrólogos, Bariátras, Pediatras, Psicólogos y Nutriólogos, brindando así el acompañamiento en el proceso a enfermos y familiares para poder ofrecerles una mejor calidad de vida.</w:t>
      </w:r>
    </w:p>
    <w:p w14:paraId="3A473691" w14:textId="77777777" w:rsidR="00016FE1" w:rsidRDefault="00016FE1" w:rsidP="002B6227">
      <w:pPr>
        <w:ind w:left="567" w:hanging="567"/>
        <w:jc w:val="both"/>
        <w:rPr>
          <w:rFonts w:ascii="Gotham" w:hAnsi="Gotham" w:cstheme="minorHAnsi"/>
          <w:color w:val="FF0000"/>
          <w:spacing w:val="-5"/>
          <w:sz w:val="20"/>
          <w:szCs w:val="20"/>
          <w:lang w:val="es-MX"/>
        </w:rPr>
      </w:pPr>
    </w:p>
    <w:p w14:paraId="3A473692" w14:textId="77777777" w:rsidR="00016FE1" w:rsidRPr="00EC21E8" w:rsidRDefault="00016FE1" w:rsidP="002B6227">
      <w:pPr>
        <w:ind w:left="567" w:hanging="567"/>
        <w:jc w:val="both"/>
        <w:rPr>
          <w:rFonts w:ascii="Gotham" w:hAnsi="Gotham"/>
          <w:sz w:val="20"/>
          <w:szCs w:val="20"/>
        </w:rPr>
      </w:pPr>
      <w:r>
        <w:rPr>
          <w:rFonts w:ascii="Gotham" w:hAnsi="Gotham" w:cstheme="minorHAnsi"/>
          <w:spacing w:val="-5"/>
          <w:sz w:val="20"/>
          <w:szCs w:val="20"/>
          <w:lang w:val="es-MX"/>
        </w:rPr>
        <w:t xml:space="preserve">8.-  </w:t>
      </w:r>
      <w:r>
        <w:rPr>
          <w:rFonts w:ascii="Gotham" w:hAnsi="Gotham" w:cstheme="minorHAnsi"/>
          <w:spacing w:val="-5"/>
          <w:sz w:val="20"/>
          <w:szCs w:val="20"/>
          <w:lang w:val="es-MX"/>
        </w:rPr>
        <w:tab/>
        <w:t>Ahora bien, el 26 de septiembre de cada año se celebra el Día Nacional de la Donación de Órganos y Trasplante de Órganos, por lo que “Donación de Milagros” enfatiza su campaña</w:t>
      </w:r>
      <w:r w:rsidR="009F075D">
        <w:rPr>
          <w:rFonts w:ascii="Gotham" w:hAnsi="Gotham" w:cstheme="minorHAnsi"/>
          <w:spacing w:val="-5"/>
          <w:sz w:val="20"/>
          <w:szCs w:val="20"/>
          <w:lang w:val="es-MX"/>
        </w:rPr>
        <w:t xml:space="preserve"> </w:t>
      </w:r>
      <w:r>
        <w:rPr>
          <w:rFonts w:ascii="Gotham" w:hAnsi="Gotham" w:cstheme="minorHAnsi"/>
          <w:spacing w:val="-5"/>
          <w:sz w:val="20"/>
          <w:szCs w:val="20"/>
          <w:lang w:val="es-MX"/>
        </w:rPr>
        <w:t xml:space="preserve">denominada “Litros que Salvan Vidas”, la cual consiste en una colecta de botellas de agua purificada y embotellada para las y los pacientes trasplantados, toda vez que este líquido resulta doblemente vital para preservar el órgano recibido, por lo que la meta a recaudar son </w:t>
      </w:r>
      <w:r w:rsidRPr="00EC21E8">
        <w:rPr>
          <w:rFonts w:ascii="Gotham" w:hAnsi="Gotham" w:cstheme="minorHAnsi"/>
          <w:spacing w:val="-5"/>
          <w:sz w:val="20"/>
          <w:szCs w:val="20"/>
          <w:lang w:val="es-MX"/>
        </w:rPr>
        <w:t>10 diez mil litros y para intensificar los acercamientos a diferentes entes gubernamentales con la noble intensión de llegar a la meta o en su caso, recaudar el equivalente para poder lograrlo; así mismo, implementan una colecta mediante alcancías especiales para la recaudación económica, las cuales son entregadas a personas físicas y morales con el objetivo de poder recaudar lo más posible para cumplir la meta.</w:t>
      </w:r>
      <w:r w:rsidRPr="00EC21E8">
        <w:rPr>
          <w:rFonts w:ascii="Gotham" w:hAnsi="Gotham"/>
          <w:sz w:val="20"/>
          <w:szCs w:val="20"/>
        </w:rPr>
        <w:t xml:space="preserve"> </w:t>
      </w:r>
    </w:p>
    <w:p w14:paraId="3A473693" w14:textId="77777777" w:rsidR="00016FE1" w:rsidRPr="00EC21E8" w:rsidRDefault="00016FE1" w:rsidP="002B6227">
      <w:pPr>
        <w:ind w:left="567" w:hanging="567"/>
        <w:jc w:val="both"/>
        <w:rPr>
          <w:rFonts w:ascii="Gotham" w:hAnsi="Gotham"/>
          <w:sz w:val="20"/>
          <w:szCs w:val="20"/>
        </w:rPr>
      </w:pPr>
    </w:p>
    <w:p w14:paraId="3A473694" w14:textId="77777777" w:rsidR="00016FE1" w:rsidRPr="00EC21E8"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r w:rsidRPr="00EC21E8">
        <w:rPr>
          <w:rFonts w:ascii="Gotham" w:hAnsi="Gotham" w:cstheme="minorHAnsi"/>
          <w:sz w:val="20"/>
          <w:szCs w:val="20"/>
          <w:lang w:val="es-MX"/>
        </w:rPr>
        <w:t xml:space="preserve">9.- </w:t>
      </w:r>
      <w:r w:rsidRPr="00EC21E8">
        <w:rPr>
          <w:rFonts w:ascii="Gotham" w:hAnsi="Gotham" w:cstheme="minorHAnsi"/>
          <w:sz w:val="20"/>
          <w:szCs w:val="20"/>
          <w:lang w:val="es-MX"/>
        </w:rPr>
        <w:tab/>
        <w:t>Dentro de este orden de ideas, esta administración ha realizado labores importantes para quienes tienen algún padecimiento renal, y ha ponderado el principio del interés superior a la niñez en muchas de sus políticas públicas, lo que connota a una empatía amplia que muestra apertura en la atención de agendas poco consideradas; así mismo, este gobierno municipal ha generado acciones que han brindado beneficios a asociaciones sin fines de lucro focalizadas en temas de salud, lo que deja de manifiesto como un precedente de atención, apertura y aporte a la sociedad en general.</w:t>
      </w:r>
    </w:p>
    <w:p w14:paraId="3A473695" w14:textId="77777777" w:rsidR="00016FE1" w:rsidRPr="00EC21E8" w:rsidRDefault="00016FE1" w:rsidP="002B6227">
      <w:pPr>
        <w:pStyle w:val="NormalWeb"/>
        <w:shd w:val="clear" w:color="auto" w:fill="FFFFFF"/>
        <w:spacing w:before="0" w:beforeAutospacing="0" w:after="0"/>
        <w:ind w:left="567" w:hanging="567"/>
        <w:jc w:val="both"/>
        <w:rPr>
          <w:rFonts w:ascii="Gotham" w:hAnsi="Gotham" w:cstheme="minorHAnsi"/>
          <w:color w:val="FF0000"/>
          <w:sz w:val="20"/>
          <w:szCs w:val="20"/>
          <w:lang w:val="es-MX"/>
        </w:rPr>
      </w:pPr>
    </w:p>
    <w:p w14:paraId="3A473696"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color w:val="FF0000"/>
          <w:sz w:val="20"/>
          <w:szCs w:val="20"/>
          <w:lang w:val="es-MX"/>
        </w:rPr>
      </w:pPr>
      <w:r w:rsidRPr="00EC21E8">
        <w:rPr>
          <w:rFonts w:ascii="Gotham" w:hAnsi="Gotham" w:cstheme="minorHAnsi"/>
          <w:sz w:val="20"/>
          <w:szCs w:val="20"/>
          <w:lang w:val="es-MX"/>
        </w:rPr>
        <w:t xml:space="preserve">10.- </w:t>
      </w:r>
      <w:r w:rsidRPr="00EC21E8">
        <w:rPr>
          <w:rFonts w:ascii="Gotham" w:hAnsi="Gotham" w:cstheme="minorHAnsi"/>
          <w:sz w:val="20"/>
          <w:szCs w:val="20"/>
          <w:lang w:val="es-MX"/>
        </w:rPr>
        <w:tab/>
        <w:t>En este sentido, se propone apoyar a la asociación civil sin fines de lucro denominada “Donación de Milagros”, con la realización de una carrera atlética denominada “Corriendo por un Milagro”, a efecto de que pueda ser visibilizada para que las niñas, los niños y adolescentes beneficiados</w:t>
      </w:r>
      <w:r w:rsidR="009F075D">
        <w:rPr>
          <w:rFonts w:ascii="Gotham" w:hAnsi="Gotham" w:cstheme="minorHAnsi"/>
          <w:sz w:val="20"/>
          <w:szCs w:val="20"/>
          <w:lang w:val="es-MX"/>
        </w:rPr>
        <w:t xml:space="preserve"> </w:t>
      </w:r>
      <w:r w:rsidRPr="00EC21E8">
        <w:rPr>
          <w:rFonts w:ascii="Gotham" w:hAnsi="Gotham" w:cstheme="minorHAnsi"/>
          <w:sz w:val="20"/>
          <w:szCs w:val="20"/>
          <w:lang w:val="es-MX"/>
        </w:rPr>
        <w:t xml:space="preserve">por ésta, logren una </w:t>
      </w:r>
      <w:proofErr w:type="spellStart"/>
      <w:r w:rsidRPr="00EC21E8">
        <w:rPr>
          <w:rFonts w:ascii="Gotham" w:hAnsi="Gotham" w:cstheme="minorHAnsi"/>
          <w:sz w:val="20"/>
          <w:szCs w:val="20"/>
          <w:lang w:val="es-MX"/>
        </w:rPr>
        <w:t>mejor</w:t>
      </w:r>
      <w:proofErr w:type="spellEnd"/>
      <w:r w:rsidRPr="00EC21E8">
        <w:rPr>
          <w:rFonts w:ascii="Gotham" w:hAnsi="Gotham" w:cstheme="minorHAnsi"/>
          <w:sz w:val="20"/>
          <w:szCs w:val="20"/>
          <w:lang w:val="es-MX"/>
        </w:rPr>
        <w:t xml:space="preserve"> de calidad de vida durante el proceso de diagnóstico, trasplante y en su nueva oportunidad de vivir; por lo que se propone que aunado al costo establecido para los participantes conforme a los lineamientos correspondientes, se solicite adicionalmente una botella de agua purificada, con la intensión de recaudar litros que puedan ser parte de la campaña “Litros que salvan vidas” y con ello abonar a los 10 diez mil litros que es la meta a cumplir.</w:t>
      </w:r>
    </w:p>
    <w:p w14:paraId="3A473697"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color w:val="FF0000"/>
          <w:sz w:val="20"/>
          <w:szCs w:val="20"/>
          <w:lang w:val="es-MX"/>
        </w:rPr>
      </w:pPr>
    </w:p>
    <w:p w14:paraId="3A473698"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z w:val="20"/>
          <w:szCs w:val="20"/>
          <w:lang w:val="es-MX"/>
        </w:rPr>
      </w:pPr>
      <w:r>
        <w:rPr>
          <w:rFonts w:ascii="Gotham" w:hAnsi="Gotham" w:cstheme="minorHAnsi"/>
          <w:sz w:val="20"/>
          <w:szCs w:val="20"/>
          <w:lang w:val="es-MX"/>
        </w:rPr>
        <w:t xml:space="preserve">11.- </w:t>
      </w:r>
      <w:r>
        <w:rPr>
          <w:rFonts w:ascii="Gotham" w:hAnsi="Gotham" w:cstheme="minorHAnsi"/>
          <w:sz w:val="20"/>
          <w:szCs w:val="20"/>
          <w:lang w:val="es-MX"/>
        </w:rPr>
        <w:tab/>
        <w:t xml:space="preserve">Por consiguiente, se plantea que la carrera atlética en mención pudiera ser coordinada por el Organismo Público Descentralizado denominado Consejo Municipal del Deporte (COMUDE) y realizada dentro del marco de la celebración del </w:t>
      </w:r>
      <w:r>
        <w:rPr>
          <w:rFonts w:ascii="Gotham" w:hAnsi="Gotham" w:cstheme="minorHAnsi"/>
          <w:bCs/>
          <w:sz w:val="20"/>
          <w:szCs w:val="20"/>
          <w:lang w:val="es-MX"/>
        </w:rPr>
        <w:t>Día Nacional de la Donación y Trasplante de Órganos y Tejidos</w:t>
      </w:r>
      <w:r>
        <w:rPr>
          <w:rFonts w:ascii="Gotham" w:hAnsi="Gotham" w:cstheme="minorHAnsi"/>
          <w:sz w:val="20"/>
          <w:szCs w:val="20"/>
          <w:lang w:val="es-MX"/>
        </w:rPr>
        <w:t xml:space="preserve">, en la fecha más cercana y optima al 26 de septiembre del 2025, en la cabecera municipal mediante un circuito de 5 kilómetros dentro del centro histórico, con la intensión de que personas de todas las edades puedan sumarse y participar sin importar su condición, </w:t>
      </w:r>
      <w:r>
        <w:rPr>
          <w:rFonts w:ascii="Gotham" w:hAnsi="Gotham" w:cstheme="minorHAnsi"/>
          <w:sz w:val="20"/>
          <w:szCs w:val="20"/>
          <w:lang w:val="es-MX"/>
        </w:rPr>
        <w:lastRenderedPageBreak/>
        <w:t>haciéndolo únicamente en pro de los valores como lo son la empatía, respeto, bondad y generosidad.</w:t>
      </w:r>
    </w:p>
    <w:p w14:paraId="3A473699"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pacing w:val="-5"/>
          <w:sz w:val="20"/>
          <w:szCs w:val="20"/>
          <w:lang w:val="es-MX"/>
        </w:rPr>
      </w:pPr>
    </w:p>
    <w:p w14:paraId="3A47369A" w14:textId="77777777" w:rsidR="00016FE1" w:rsidRDefault="00016FE1" w:rsidP="002B6227">
      <w:pPr>
        <w:pStyle w:val="NormalWeb"/>
        <w:shd w:val="clear" w:color="auto" w:fill="FFFFFF"/>
        <w:spacing w:before="0" w:beforeAutospacing="0" w:after="0"/>
        <w:ind w:left="567" w:hanging="567"/>
        <w:jc w:val="both"/>
        <w:rPr>
          <w:rFonts w:ascii="Gotham" w:hAnsi="Gotham" w:cstheme="minorHAnsi"/>
          <w:spacing w:val="-5"/>
          <w:sz w:val="20"/>
          <w:szCs w:val="20"/>
          <w:lang w:val="es-MX"/>
        </w:rPr>
      </w:pPr>
      <w:r>
        <w:rPr>
          <w:rFonts w:ascii="Gotham" w:hAnsi="Gotham" w:cstheme="minorHAnsi"/>
          <w:spacing w:val="-5"/>
          <w:sz w:val="20"/>
          <w:szCs w:val="20"/>
          <w:lang w:val="es-MX"/>
        </w:rPr>
        <w:t xml:space="preserve">12.- </w:t>
      </w:r>
      <w:r>
        <w:rPr>
          <w:rFonts w:ascii="Gotham" w:hAnsi="Gotham" w:cstheme="minorHAnsi"/>
          <w:spacing w:val="-5"/>
          <w:sz w:val="20"/>
          <w:szCs w:val="20"/>
          <w:lang w:val="es-MX"/>
        </w:rPr>
        <w:tab/>
        <w:t>Y finalmente considerando que la organización de cada carrera atlética realizada lleva su debido proceso y tiempo, es que se sugiere la fecha mencionada, entendiendo que hay una coordinación municipal con la instancia competente del Gobierno del Estado, a efecto de calendarizar las actividades del año subsecuente, por tal razón se propone la fecha mencionada buscando la posibilidad de que sea dictaminada de manera favorable.</w:t>
      </w:r>
    </w:p>
    <w:p w14:paraId="3A47369B" w14:textId="77777777" w:rsidR="00016FE1" w:rsidRDefault="00016FE1" w:rsidP="002B6227">
      <w:pPr>
        <w:pStyle w:val="NormalWeb"/>
        <w:shd w:val="clear" w:color="auto" w:fill="FFFFFF"/>
        <w:spacing w:before="0" w:beforeAutospacing="0" w:after="0"/>
        <w:jc w:val="both"/>
        <w:rPr>
          <w:rFonts w:ascii="Gotham" w:hAnsi="Gotham" w:cstheme="minorHAnsi"/>
          <w:color w:val="FF0000"/>
          <w:sz w:val="20"/>
          <w:szCs w:val="20"/>
          <w:lang w:val="es-MX"/>
        </w:rPr>
      </w:pPr>
    </w:p>
    <w:p w14:paraId="3A47369C" w14:textId="77777777" w:rsidR="00016FE1" w:rsidRDefault="00016FE1" w:rsidP="002B6227">
      <w:pPr>
        <w:pStyle w:val="NormalWeb"/>
        <w:shd w:val="clear" w:color="auto" w:fill="FFFFFF"/>
        <w:spacing w:before="0" w:beforeAutospacing="0" w:after="0"/>
        <w:jc w:val="both"/>
        <w:rPr>
          <w:rFonts w:ascii="Gotham" w:hAnsi="Gotham" w:cstheme="minorHAnsi"/>
          <w:spacing w:val="-5"/>
          <w:sz w:val="20"/>
          <w:szCs w:val="20"/>
          <w:lang w:val="es-MX"/>
        </w:rPr>
      </w:pPr>
      <w:r>
        <w:rPr>
          <w:rFonts w:ascii="Gotham" w:hAnsi="Gotham" w:cstheme="minorHAnsi"/>
          <w:spacing w:val="-5"/>
          <w:sz w:val="20"/>
          <w:szCs w:val="20"/>
          <w:lang w:val="es-MX"/>
        </w:rPr>
        <w:t>Por lo anteriormente expuesto, considero procedente hacer la siguiente invocación legal, con las siguientes:</w:t>
      </w:r>
    </w:p>
    <w:p w14:paraId="3A47369D" w14:textId="77777777" w:rsidR="00016FE1" w:rsidRDefault="00016FE1" w:rsidP="002B6227">
      <w:pPr>
        <w:pStyle w:val="NormalWeb"/>
        <w:shd w:val="clear" w:color="auto" w:fill="FFFFFF"/>
        <w:spacing w:before="0" w:beforeAutospacing="0" w:after="0"/>
        <w:jc w:val="both"/>
        <w:rPr>
          <w:rFonts w:ascii="Gotham" w:hAnsi="Gotham" w:cstheme="minorHAnsi"/>
          <w:spacing w:val="-5"/>
          <w:sz w:val="20"/>
          <w:szCs w:val="20"/>
          <w:lang w:val="es-MX"/>
        </w:rPr>
      </w:pPr>
    </w:p>
    <w:p w14:paraId="3A47369E" w14:textId="77777777" w:rsidR="00016FE1" w:rsidRDefault="00016FE1" w:rsidP="002B6227">
      <w:pPr>
        <w:pStyle w:val="NormalWeb"/>
        <w:shd w:val="clear" w:color="auto" w:fill="FFFFFF"/>
        <w:spacing w:before="0" w:beforeAutospacing="0" w:after="0"/>
        <w:jc w:val="center"/>
        <w:rPr>
          <w:rFonts w:ascii="Gotham" w:hAnsi="Gotham" w:cstheme="minorHAnsi"/>
          <w:spacing w:val="-5"/>
          <w:sz w:val="20"/>
          <w:szCs w:val="20"/>
          <w:lang w:val="es-MX"/>
        </w:rPr>
      </w:pPr>
      <w:r>
        <w:rPr>
          <w:rFonts w:ascii="Gotham" w:hAnsi="Gotham" w:cstheme="minorHAnsi"/>
          <w:spacing w:val="-5"/>
          <w:sz w:val="20"/>
          <w:szCs w:val="20"/>
          <w:lang w:val="es-MX"/>
        </w:rPr>
        <w:t>CONSIDERACIONES</w:t>
      </w:r>
    </w:p>
    <w:p w14:paraId="3A47369F" w14:textId="77777777" w:rsidR="00016FE1" w:rsidRDefault="00016FE1" w:rsidP="000F59BA">
      <w:pPr>
        <w:pStyle w:val="NormalWeb"/>
        <w:shd w:val="clear" w:color="auto" w:fill="FFFFFF"/>
        <w:spacing w:before="0" w:beforeAutospacing="0" w:after="0"/>
        <w:rPr>
          <w:rFonts w:ascii="Gotham" w:hAnsi="Gotham" w:cstheme="minorHAnsi"/>
          <w:color w:val="FF0000"/>
          <w:spacing w:val="-5"/>
          <w:sz w:val="20"/>
          <w:szCs w:val="20"/>
          <w:lang w:val="es-MX"/>
        </w:rPr>
      </w:pPr>
    </w:p>
    <w:p w14:paraId="3A4736A0"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I.- </w:t>
      </w:r>
      <w:r>
        <w:rPr>
          <w:rFonts w:ascii="Gotham" w:hAnsi="Gotham" w:cstheme="minorHAnsi"/>
          <w:sz w:val="20"/>
          <w:szCs w:val="20"/>
        </w:rPr>
        <w:tab/>
        <w:t xml:space="preserve">La Constitución Política de los Estados Unidos Mexicanos, en su numeral 1°, en su párrafo tercero, estipula de manera textual que: </w:t>
      </w:r>
    </w:p>
    <w:p w14:paraId="3A4736A1" w14:textId="77777777" w:rsidR="00016FE1" w:rsidRDefault="00016FE1" w:rsidP="002B6227">
      <w:pPr>
        <w:pStyle w:val="Sinespaciado"/>
        <w:ind w:right="-8"/>
        <w:jc w:val="both"/>
        <w:rPr>
          <w:rFonts w:ascii="Gotham" w:hAnsi="Gotham" w:cstheme="minorHAnsi"/>
          <w:sz w:val="20"/>
          <w:szCs w:val="20"/>
        </w:rPr>
      </w:pPr>
    </w:p>
    <w:p w14:paraId="3A4736A2"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A4736A3"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Las normas relativas a los derechos humanos se interpretarán de conformidad con esta Constitución y con los tratados internacionales de la materia favoreciendo en todo tiempo a las personas la protección más amplia.</w:t>
      </w:r>
    </w:p>
    <w:p w14:paraId="3A4736A4"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A4736A5" w14:textId="77777777" w:rsidR="00016FE1" w:rsidRDefault="00016FE1" w:rsidP="002B6227">
      <w:pPr>
        <w:pStyle w:val="Sinespaciado"/>
        <w:ind w:right="-8"/>
        <w:jc w:val="both"/>
        <w:rPr>
          <w:rFonts w:ascii="Gotham" w:hAnsi="Gotham" w:cstheme="minorHAnsi"/>
          <w:sz w:val="20"/>
          <w:szCs w:val="20"/>
        </w:rPr>
      </w:pPr>
    </w:p>
    <w:p w14:paraId="3A4736A6" w14:textId="77777777" w:rsidR="00016FE1" w:rsidRDefault="00016FE1" w:rsidP="002B6227">
      <w:pPr>
        <w:pStyle w:val="Sinespaciado"/>
        <w:ind w:left="567" w:right="-8"/>
        <w:jc w:val="both"/>
        <w:rPr>
          <w:rFonts w:ascii="Gotham" w:hAnsi="Gotham" w:cstheme="minorHAnsi"/>
          <w:sz w:val="20"/>
          <w:szCs w:val="20"/>
        </w:rPr>
      </w:pPr>
      <w:r>
        <w:rPr>
          <w:rFonts w:ascii="Gotham" w:hAnsi="Gotham" w:cstheme="minorHAnsi"/>
          <w:sz w:val="20"/>
          <w:szCs w:val="20"/>
        </w:rPr>
        <w:t>Así mismo, en su mismo cuerpo en el arábigo 4°, establece en sus párrafos 9 y 11,</w:t>
      </w:r>
      <w:r w:rsidR="009F075D">
        <w:rPr>
          <w:rFonts w:ascii="Gotham" w:hAnsi="Gotham" w:cstheme="minorHAnsi"/>
          <w:sz w:val="20"/>
          <w:szCs w:val="20"/>
        </w:rPr>
        <w:t xml:space="preserve"> </w:t>
      </w:r>
      <w:r>
        <w:rPr>
          <w:rFonts w:ascii="Gotham" w:hAnsi="Gotham" w:cstheme="minorHAnsi"/>
          <w:sz w:val="20"/>
          <w:szCs w:val="20"/>
        </w:rPr>
        <w:t xml:space="preserve">literalmente que: </w:t>
      </w:r>
    </w:p>
    <w:p w14:paraId="3A4736A7" w14:textId="77777777" w:rsidR="00016FE1" w:rsidRDefault="00016FE1" w:rsidP="002B6227">
      <w:pPr>
        <w:pStyle w:val="Sinespaciado"/>
        <w:ind w:right="-8"/>
        <w:jc w:val="both"/>
        <w:rPr>
          <w:rFonts w:ascii="Gotham" w:hAnsi="Gotham" w:cstheme="minorHAnsi"/>
          <w:sz w:val="20"/>
          <w:szCs w:val="20"/>
        </w:rPr>
      </w:pPr>
    </w:p>
    <w:p w14:paraId="3A4736A8"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Artículo 4o.- La mujer y el hombre son iguales ante la ley. Ésta protegerá la organización y el desarrollo de la familia.</w:t>
      </w:r>
    </w:p>
    <w:p w14:paraId="3A4736A9"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w:t>
      </w:r>
    </w:p>
    <w:p w14:paraId="3A4736AA"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3A4736AB"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w:t>
      </w:r>
    </w:p>
    <w:p w14:paraId="3A4736AC"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El Estado otorgará facilidades a los particulares para que coadyuven al cumplimiento de los derechos de la niñez.</w:t>
      </w:r>
    </w:p>
    <w:p w14:paraId="3A4736AD" w14:textId="77777777" w:rsidR="00016FE1" w:rsidRDefault="00016FE1" w:rsidP="002B6227">
      <w:pPr>
        <w:pStyle w:val="Sinespaciado"/>
        <w:ind w:left="567" w:right="-8"/>
        <w:jc w:val="both"/>
        <w:rPr>
          <w:rFonts w:ascii="Gotham" w:hAnsi="Gotham" w:cstheme="minorHAnsi"/>
          <w:sz w:val="20"/>
          <w:szCs w:val="20"/>
        </w:rPr>
      </w:pPr>
    </w:p>
    <w:p w14:paraId="3A4736AE" w14:textId="77777777" w:rsidR="00016FE1" w:rsidRDefault="00016FE1" w:rsidP="002B6227">
      <w:pPr>
        <w:pStyle w:val="Sinespaciado"/>
        <w:ind w:left="567" w:right="-8"/>
        <w:jc w:val="both"/>
        <w:rPr>
          <w:rFonts w:ascii="Gotham" w:hAnsi="Gotham" w:cstheme="minorHAnsi"/>
          <w:sz w:val="20"/>
          <w:szCs w:val="20"/>
        </w:rPr>
      </w:pPr>
      <w:r>
        <w:rPr>
          <w:rFonts w:ascii="Gotham" w:hAnsi="Gotham" w:cstheme="minorHAnsi"/>
          <w:sz w:val="20"/>
          <w:szCs w:val="20"/>
        </w:rPr>
        <w:t>Del mismo modo el artículo 115 de la Constitución Política de los Estados Unidos Mexicanos, alude textualmente:</w:t>
      </w:r>
      <w:r w:rsidR="009F075D">
        <w:rPr>
          <w:rFonts w:ascii="Gotham" w:hAnsi="Gotham" w:cstheme="minorHAnsi"/>
          <w:sz w:val="20"/>
          <w:szCs w:val="20"/>
        </w:rPr>
        <w:t xml:space="preserve"> </w:t>
      </w:r>
    </w:p>
    <w:p w14:paraId="3A4736AF" w14:textId="77777777" w:rsidR="00016FE1" w:rsidRDefault="00016FE1" w:rsidP="002B6227">
      <w:pPr>
        <w:pStyle w:val="Sinespaciado"/>
        <w:ind w:left="567" w:right="-8"/>
        <w:jc w:val="both"/>
        <w:rPr>
          <w:rFonts w:ascii="Gotham" w:hAnsi="Gotham" w:cstheme="minorHAnsi"/>
          <w:sz w:val="20"/>
          <w:szCs w:val="20"/>
        </w:rPr>
      </w:pPr>
      <w:r>
        <w:rPr>
          <w:rFonts w:ascii="Gotham" w:hAnsi="Gotham" w:cstheme="minorHAnsi"/>
          <w:sz w:val="20"/>
          <w:szCs w:val="20"/>
        </w:rPr>
        <w:t xml:space="preserve"> </w:t>
      </w:r>
    </w:p>
    <w:p w14:paraId="3A4736B0"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lastRenderedPageBreak/>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3A4736B1" w14:textId="77777777" w:rsidR="00016FE1" w:rsidRDefault="00016FE1" w:rsidP="002B6227">
      <w:pPr>
        <w:pStyle w:val="Sinespaciado"/>
        <w:spacing w:after="120"/>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6B2" w14:textId="77777777" w:rsidR="00016FE1" w:rsidRDefault="00016FE1" w:rsidP="002B6227">
      <w:pPr>
        <w:pStyle w:val="Sinespaciado"/>
        <w:spacing w:after="120"/>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Los municipios estarán investidos de personalidad jurídica y manejarán su patrimonio conforme a la ley.</w:t>
      </w:r>
    </w:p>
    <w:p w14:paraId="3A4736B3"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36B4" w14:textId="77777777" w:rsidR="00016FE1" w:rsidRDefault="00016FE1" w:rsidP="002B6227">
      <w:pPr>
        <w:pStyle w:val="Sinespaciado"/>
        <w:ind w:left="567" w:right="-8" w:hanging="567"/>
        <w:jc w:val="both"/>
        <w:rPr>
          <w:rFonts w:ascii="Gotham" w:hAnsi="Gotham" w:cstheme="minorHAnsi"/>
          <w:sz w:val="20"/>
          <w:szCs w:val="20"/>
        </w:rPr>
      </w:pPr>
    </w:p>
    <w:p w14:paraId="3A4736B5"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II.- </w:t>
      </w:r>
      <w:r>
        <w:rPr>
          <w:rFonts w:ascii="Gotham" w:hAnsi="Gotham" w:cstheme="minorHAnsi"/>
          <w:sz w:val="20"/>
          <w:szCs w:val="20"/>
        </w:rPr>
        <w:tab/>
        <w:t>Por otra parte la Ley de Asistencia Social, en su arábigo 48, alude que:</w:t>
      </w:r>
    </w:p>
    <w:p w14:paraId="3A4736B6" w14:textId="77777777" w:rsidR="00016FE1" w:rsidRDefault="00016FE1" w:rsidP="002B6227">
      <w:pPr>
        <w:pStyle w:val="Sinespaciado"/>
        <w:ind w:left="567" w:right="-8" w:hanging="567"/>
        <w:jc w:val="both"/>
        <w:rPr>
          <w:rFonts w:ascii="Gotham" w:hAnsi="Gotham" w:cstheme="minorHAnsi"/>
          <w:sz w:val="20"/>
          <w:szCs w:val="20"/>
        </w:rPr>
      </w:pPr>
    </w:p>
    <w:p w14:paraId="3A4736B7"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“Artículo 48.- El Estado, con el objeto de ampliar la cobertura de los servicios de salud de asistencia social, fincados en la solidaridad ciudadana, promoverá en toda la República, la creación de asociaciones de asistencia privada, fundaciones y otras similares, las que con sus propios recursos o con donaciones de cualquier naturaleza que aporte la sociedad en general y con sujeción a los ordenamientos que las rijan, presten dichos servicios.”</w:t>
      </w:r>
    </w:p>
    <w:p w14:paraId="3A4736B8" w14:textId="77777777" w:rsidR="00016FE1" w:rsidRDefault="00016FE1" w:rsidP="002B6227">
      <w:pPr>
        <w:pStyle w:val="Sinespaciado"/>
        <w:ind w:left="567" w:right="-8" w:hanging="567"/>
        <w:jc w:val="both"/>
        <w:rPr>
          <w:rFonts w:ascii="Gotham" w:hAnsi="Gotham" w:cstheme="minorHAnsi"/>
          <w:sz w:val="20"/>
          <w:szCs w:val="20"/>
        </w:rPr>
      </w:pPr>
    </w:p>
    <w:p w14:paraId="3A4736B9"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III.- </w:t>
      </w:r>
      <w:r>
        <w:rPr>
          <w:rFonts w:ascii="Gotham" w:hAnsi="Gotham" w:cstheme="minorHAnsi"/>
          <w:sz w:val="20"/>
          <w:szCs w:val="20"/>
        </w:rPr>
        <w:tab/>
        <w:t xml:space="preserve">DECRETO, por el que se declara Día Nacional de la Donación y Trasplante de Órganos, el 26 de septiembre de cada año, mismo que a la letra dice: </w:t>
      </w:r>
    </w:p>
    <w:p w14:paraId="3A4736BA" w14:textId="77777777" w:rsidR="00016FE1" w:rsidRDefault="00016FE1" w:rsidP="002B6227">
      <w:pPr>
        <w:pStyle w:val="Sinespaciado"/>
        <w:ind w:left="567" w:right="-8" w:hanging="567"/>
        <w:jc w:val="both"/>
        <w:rPr>
          <w:rFonts w:ascii="Gotham" w:hAnsi="Gotham" w:cstheme="minorHAnsi"/>
          <w:sz w:val="20"/>
          <w:szCs w:val="20"/>
        </w:rPr>
      </w:pPr>
    </w:p>
    <w:p w14:paraId="3A4736BB"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Al margen un sello con el Escudo Nacional, que dice: Estados Unidos Mexicanos.- Presidencia de la República.</w:t>
      </w:r>
    </w:p>
    <w:p w14:paraId="3A4736BC" w14:textId="77777777" w:rsidR="00016FE1" w:rsidRDefault="00016FE1" w:rsidP="002B6227">
      <w:pPr>
        <w:pStyle w:val="Sinespaciado"/>
        <w:ind w:left="851" w:right="283"/>
        <w:jc w:val="both"/>
        <w:rPr>
          <w:rFonts w:ascii="Gotham" w:hAnsi="Gotham" w:cstheme="minorHAnsi"/>
          <w:i/>
          <w:sz w:val="19"/>
          <w:szCs w:val="19"/>
        </w:rPr>
      </w:pPr>
    </w:p>
    <w:p w14:paraId="3A4736BD"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VICENTE FOX QUESADA, Presidente de los Estados Unidos Mexicanos, en ejercicio de la facultad que me confiere la fracción I del artículo 89 de la Constitución Política de los Estados Unidos Mexicanos, con fundamento en los artículos 7o., 329 y 339 de la Ley General de Salud, y 39 de la Ley Orgánica de la Administración Pública Federal, y</w:t>
      </w:r>
    </w:p>
    <w:p w14:paraId="3A4736BE" w14:textId="77777777" w:rsidR="00016FE1" w:rsidRDefault="00016FE1" w:rsidP="002B6227">
      <w:pPr>
        <w:pStyle w:val="Sinespaciado"/>
        <w:ind w:left="851" w:right="283"/>
        <w:jc w:val="both"/>
        <w:rPr>
          <w:rFonts w:ascii="Gotham" w:hAnsi="Gotham" w:cstheme="minorHAnsi"/>
          <w:i/>
          <w:sz w:val="19"/>
          <w:szCs w:val="19"/>
        </w:rPr>
      </w:pPr>
    </w:p>
    <w:p w14:paraId="3A4736BF" w14:textId="77777777" w:rsidR="00016FE1" w:rsidRDefault="00016FE1" w:rsidP="002B6227">
      <w:pPr>
        <w:pStyle w:val="Sinespaciado"/>
        <w:ind w:left="851" w:right="283"/>
        <w:jc w:val="center"/>
        <w:rPr>
          <w:rFonts w:ascii="Gotham" w:hAnsi="Gotham" w:cstheme="minorHAnsi"/>
          <w:i/>
          <w:sz w:val="19"/>
          <w:szCs w:val="19"/>
        </w:rPr>
      </w:pPr>
      <w:r>
        <w:rPr>
          <w:rFonts w:ascii="Gotham" w:hAnsi="Gotham" w:cstheme="minorHAnsi"/>
          <w:i/>
          <w:sz w:val="19"/>
          <w:szCs w:val="19"/>
        </w:rPr>
        <w:t>CONSIDERANDO</w:t>
      </w:r>
    </w:p>
    <w:p w14:paraId="3A4736C0" w14:textId="77777777" w:rsidR="00016FE1" w:rsidRDefault="00016FE1" w:rsidP="002B6227">
      <w:pPr>
        <w:pStyle w:val="Sinespaciado"/>
        <w:ind w:left="851" w:right="283"/>
        <w:jc w:val="both"/>
        <w:rPr>
          <w:rFonts w:ascii="Gotham" w:hAnsi="Gotham" w:cstheme="minorHAnsi"/>
          <w:i/>
          <w:sz w:val="19"/>
          <w:szCs w:val="19"/>
        </w:rPr>
      </w:pPr>
    </w:p>
    <w:p w14:paraId="3A4736C1"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Que el artículo 4o. de la Constitución Política de los Estados Unidos Mexicanos consagra, en su párrafo tercero, el derecho de toda persona a la protección de la salud; Que constituye una política fundamental de la presente administración el promover la buena salud como una condición indispensable para una auténtica igualdad de oportunidades, por lo que se ha establecido como uno de los principales objetivos del Gobierno Federal el elevar significativamente el nivel de salud de la población;</w:t>
      </w:r>
    </w:p>
    <w:p w14:paraId="3A4736C2" w14:textId="77777777" w:rsidR="00016FE1" w:rsidRDefault="00016FE1" w:rsidP="002B6227">
      <w:pPr>
        <w:pStyle w:val="Sinespaciado"/>
        <w:ind w:left="851" w:right="283"/>
        <w:jc w:val="both"/>
        <w:rPr>
          <w:rFonts w:ascii="Gotham" w:hAnsi="Gotham" w:cstheme="minorHAnsi"/>
          <w:i/>
          <w:sz w:val="19"/>
          <w:szCs w:val="19"/>
        </w:rPr>
      </w:pPr>
    </w:p>
    <w:p w14:paraId="3A4736C3"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Que para lograr dicho objetivo, es indispensable la participación coordinada de los tres órdenes de gobierno y de la comunidad en general, a efecto de conjuntar esfuerzos y acciones para lograr de manera eficiente el control y tratamiento de las enfermedades;</w:t>
      </w:r>
    </w:p>
    <w:p w14:paraId="3A4736C4" w14:textId="77777777" w:rsidR="00016FE1" w:rsidRDefault="00016FE1" w:rsidP="002B6227">
      <w:pPr>
        <w:pStyle w:val="Sinespaciado"/>
        <w:ind w:left="851" w:right="283"/>
        <w:jc w:val="both"/>
        <w:rPr>
          <w:rFonts w:ascii="Gotham" w:hAnsi="Gotham" w:cstheme="minorHAnsi"/>
          <w:i/>
          <w:sz w:val="19"/>
          <w:szCs w:val="19"/>
        </w:rPr>
      </w:pPr>
    </w:p>
    <w:p w14:paraId="3A4736C5"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Que anualmente, miles de mexicanos enferman de alguna insuficiencia orgánica que, en ocasiones, les produce la muerte, no obstante que entre esos padecimientos existen algunos que son susceptibles de ser tratados y erradicados mediante el trasplante de órganos y tejidos;</w:t>
      </w:r>
    </w:p>
    <w:p w14:paraId="3A4736C6" w14:textId="77777777" w:rsidR="00016FE1" w:rsidRDefault="00016FE1" w:rsidP="002B6227">
      <w:pPr>
        <w:pStyle w:val="Sinespaciado"/>
        <w:ind w:left="851" w:right="283"/>
        <w:jc w:val="both"/>
        <w:rPr>
          <w:rFonts w:ascii="Gotham" w:hAnsi="Gotham" w:cstheme="minorHAnsi"/>
          <w:i/>
          <w:sz w:val="19"/>
          <w:szCs w:val="19"/>
        </w:rPr>
      </w:pPr>
    </w:p>
    <w:p w14:paraId="3A4736C7"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 xml:space="preserve">Que en nuestro país, aun contando con el personal calificado para la realización de trasplantes y con la infraestructura adecuada, el número de éstos es inferior al que se realiza en promedio </w:t>
      </w:r>
      <w:r>
        <w:rPr>
          <w:rFonts w:ascii="Gotham" w:hAnsi="Gotham" w:cstheme="minorHAnsi"/>
          <w:i/>
          <w:sz w:val="19"/>
          <w:szCs w:val="19"/>
        </w:rPr>
        <w:lastRenderedPageBreak/>
        <w:t>en los demás países, debido en gran parte a la escasa disposición de órganos y tejidos para ser trasplantados, y</w:t>
      </w:r>
    </w:p>
    <w:p w14:paraId="3A4736C8" w14:textId="77777777" w:rsidR="00016FE1" w:rsidRDefault="00016FE1" w:rsidP="002B6227">
      <w:pPr>
        <w:pStyle w:val="Sinespaciado"/>
        <w:ind w:left="851" w:right="283"/>
        <w:jc w:val="both"/>
        <w:rPr>
          <w:rFonts w:ascii="Gotham" w:hAnsi="Gotham" w:cstheme="minorHAnsi"/>
          <w:i/>
          <w:sz w:val="19"/>
          <w:szCs w:val="19"/>
        </w:rPr>
      </w:pPr>
    </w:p>
    <w:p w14:paraId="3A4736C9"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Que es indispensable promover y alentar la cultura de la donación de órganos, como un medio indispensable para elevar la calidad de la salud de todos los mexicanos y como una acción de solidaridad social que repercute en el sector salud, he tenido a bien expedir el siguiente</w:t>
      </w:r>
    </w:p>
    <w:p w14:paraId="3A4736CA" w14:textId="77777777" w:rsidR="00016FE1" w:rsidRDefault="00016FE1" w:rsidP="002B6227">
      <w:pPr>
        <w:pStyle w:val="Sinespaciado"/>
        <w:ind w:left="851" w:right="283"/>
        <w:jc w:val="both"/>
        <w:rPr>
          <w:rFonts w:ascii="Gotham" w:hAnsi="Gotham" w:cstheme="minorHAnsi"/>
          <w:i/>
          <w:sz w:val="19"/>
          <w:szCs w:val="19"/>
        </w:rPr>
      </w:pPr>
    </w:p>
    <w:p w14:paraId="3A4736CB" w14:textId="77777777" w:rsidR="00016FE1" w:rsidRDefault="00016FE1" w:rsidP="002B6227">
      <w:pPr>
        <w:pStyle w:val="Sinespaciado"/>
        <w:ind w:left="851" w:right="283"/>
        <w:jc w:val="center"/>
        <w:rPr>
          <w:rFonts w:ascii="Gotham" w:hAnsi="Gotham" w:cstheme="minorHAnsi"/>
          <w:i/>
          <w:sz w:val="19"/>
          <w:szCs w:val="19"/>
        </w:rPr>
      </w:pPr>
      <w:r>
        <w:rPr>
          <w:rFonts w:ascii="Gotham" w:hAnsi="Gotham" w:cstheme="minorHAnsi"/>
          <w:i/>
          <w:sz w:val="19"/>
          <w:szCs w:val="19"/>
        </w:rPr>
        <w:t>DECRETO</w:t>
      </w:r>
    </w:p>
    <w:p w14:paraId="3A4736CC" w14:textId="77777777" w:rsidR="00016FE1" w:rsidRDefault="00016FE1" w:rsidP="002B6227">
      <w:pPr>
        <w:pStyle w:val="Sinespaciado"/>
        <w:ind w:left="851" w:right="283"/>
        <w:jc w:val="both"/>
        <w:rPr>
          <w:rFonts w:ascii="Gotham" w:hAnsi="Gotham" w:cstheme="minorHAnsi"/>
          <w:i/>
          <w:sz w:val="19"/>
          <w:szCs w:val="19"/>
        </w:rPr>
      </w:pPr>
    </w:p>
    <w:p w14:paraId="3A4736CD"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“ARTÍCULO 1o.- Se declara "Día Nacional de la Donación y Trasplante de Órganos", el 26 de septiembre de cada año.</w:t>
      </w:r>
    </w:p>
    <w:p w14:paraId="3A4736CE" w14:textId="77777777" w:rsidR="00016FE1" w:rsidRDefault="00016FE1" w:rsidP="002B6227">
      <w:pPr>
        <w:pStyle w:val="Sinespaciado"/>
        <w:ind w:left="851" w:right="283"/>
        <w:jc w:val="both"/>
        <w:rPr>
          <w:rFonts w:ascii="Gotham" w:hAnsi="Gotham" w:cstheme="minorHAnsi"/>
          <w:i/>
          <w:sz w:val="19"/>
          <w:szCs w:val="19"/>
        </w:rPr>
      </w:pPr>
    </w:p>
    <w:p w14:paraId="3A4736CF"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ARTÍCULO 2o.- En el marco del Día Nacional de la Donación y Trasplante de Órganos, la Secretaría de Salud promoverá la realización de eventos que tengan por objeto promover y fomentar la cultura de la donación de órganos y tejidos y de difundir su valor e importancia en la consecución de una salud de calidad para todos los mexicanos. Asimismo, la Secretaría de Salud fomentará ante los Consejos Estatales de Trasplantes, la realización de acciones y eventos a efecto de hacer patente el mérito y altruismo del donador y de su familia.”</w:t>
      </w:r>
    </w:p>
    <w:p w14:paraId="3A4736D0" w14:textId="77777777" w:rsidR="00016FE1" w:rsidRDefault="00016FE1" w:rsidP="002B6227">
      <w:pPr>
        <w:pStyle w:val="Sinespaciado"/>
        <w:ind w:left="567" w:right="-8" w:hanging="567"/>
        <w:jc w:val="both"/>
        <w:rPr>
          <w:rFonts w:ascii="Gotham" w:hAnsi="Gotham" w:cstheme="minorHAnsi"/>
          <w:sz w:val="20"/>
          <w:szCs w:val="20"/>
        </w:rPr>
      </w:pPr>
    </w:p>
    <w:p w14:paraId="3A4736D1"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IV.- </w:t>
      </w:r>
      <w:r>
        <w:rPr>
          <w:rFonts w:ascii="Gotham" w:hAnsi="Gotham" w:cstheme="minorHAnsi"/>
          <w:sz w:val="20"/>
          <w:szCs w:val="20"/>
        </w:rPr>
        <w:tab/>
        <w:t>El Código Civil del Estado de Jalisco, en su artículo 173 textualmente indica que:</w:t>
      </w:r>
    </w:p>
    <w:p w14:paraId="3A4736D2" w14:textId="77777777" w:rsidR="00016FE1" w:rsidRDefault="00016FE1" w:rsidP="002B6227">
      <w:pPr>
        <w:pStyle w:val="Sinespaciado"/>
        <w:ind w:left="567" w:right="-8" w:hanging="567"/>
        <w:jc w:val="both"/>
        <w:rPr>
          <w:rFonts w:ascii="Gotham" w:hAnsi="Gotham" w:cstheme="minorHAnsi"/>
          <w:sz w:val="20"/>
          <w:szCs w:val="20"/>
        </w:rPr>
      </w:pPr>
    </w:p>
    <w:p w14:paraId="3A4736D3"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Artículo 173.- El acto jurídico por el que se constituya una asociación, debe constar en escritura pública otorgada ante notario, que tenga su adscripción en el domicilio de la asociación.</w:t>
      </w:r>
    </w:p>
    <w:p w14:paraId="3A4736D4"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Tratándose de asociaciones que tengan como objeto aspectos relacionados (sic) con la asistencia social, deberá contar con la anuencia por escrito del Instituto Jalisciense de Asistencia Social, misma que tendrá que presentarse ante el notario previo a su constitución.</w:t>
      </w:r>
    </w:p>
    <w:p w14:paraId="3A4736D5" w14:textId="77777777" w:rsidR="00016FE1" w:rsidRDefault="00016FE1" w:rsidP="002B6227">
      <w:pPr>
        <w:pStyle w:val="Sinespaciado"/>
        <w:ind w:left="567" w:right="-8" w:hanging="567"/>
        <w:jc w:val="both"/>
        <w:rPr>
          <w:rFonts w:ascii="Gotham" w:hAnsi="Gotham" w:cstheme="minorHAnsi"/>
          <w:sz w:val="20"/>
          <w:szCs w:val="20"/>
        </w:rPr>
      </w:pPr>
    </w:p>
    <w:p w14:paraId="3A4736D6"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V.- </w:t>
      </w:r>
      <w:r>
        <w:rPr>
          <w:rFonts w:ascii="Gotham" w:hAnsi="Gotham" w:cstheme="minorHAnsi"/>
          <w:sz w:val="20"/>
          <w:szCs w:val="20"/>
        </w:rPr>
        <w:tab/>
        <w:t xml:space="preserve">Ahora bien, la Ley del Gobierno y la Administración Pública Municipal del Estado de Jalisco, en su arábigo 3°, estipula: </w:t>
      </w:r>
    </w:p>
    <w:p w14:paraId="3A4736D7" w14:textId="77777777" w:rsidR="00016FE1" w:rsidRDefault="00016FE1" w:rsidP="002B6227">
      <w:pPr>
        <w:pStyle w:val="Sinespaciado"/>
        <w:ind w:left="567" w:right="-8" w:hanging="567"/>
        <w:jc w:val="both"/>
        <w:rPr>
          <w:rFonts w:ascii="Gotham" w:hAnsi="Gotham" w:cstheme="minorHAnsi"/>
          <w:sz w:val="20"/>
          <w:szCs w:val="20"/>
        </w:rPr>
      </w:pPr>
    </w:p>
    <w:p w14:paraId="3A4736D8"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3A4736D9" w14:textId="77777777" w:rsidR="00016FE1" w:rsidRDefault="00016FE1" w:rsidP="002B6227">
      <w:pPr>
        <w:pStyle w:val="Sinespaciado"/>
        <w:ind w:left="567" w:right="-8" w:hanging="567"/>
        <w:jc w:val="both"/>
        <w:rPr>
          <w:rFonts w:ascii="Gotham" w:hAnsi="Gotham" w:cstheme="minorHAnsi"/>
          <w:sz w:val="20"/>
          <w:szCs w:val="20"/>
        </w:rPr>
      </w:pPr>
    </w:p>
    <w:p w14:paraId="3A4736DA"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VI.- </w:t>
      </w:r>
      <w:r>
        <w:rPr>
          <w:rFonts w:ascii="Gotham" w:hAnsi="Gotham" w:cstheme="minorHAnsi"/>
          <w:sz w:val="20"/>
          <w:szCs w:val="20"/>
        </w:rPr>
        <w:tab/>
        <w:t>Así mismo, en nuestra legislación municipal particularmente en el Reglamento del Gobierno y la Administración Pública del</w:t>
      </w:r>
      <w:r w:rsidR="009F075D">
        <w:rPr>
          <w:rFonts w:ascii="Gotham" w:hAnsi="Gotham" w:cstheme="minorHAnsi"/>
          <w:sz w:val="20"/>
          <w:szCs w:val="20"/>
        </w:rPr>
        <w:t xml:space="preserve"> </w:t>
      </w:r>
      <w:r>
        <w:rPr>
          <w:rFonts w:ascii="Gotham" w:hAnsi="Gotham" w:cstheme="minorHAnsi"/>
          <w:sz w:val="20"/>
          <w:szCs w:val="20"/>
        </w:rPr>
        <w:t xml:space="preserve">Ayuntamiento Constitucional de Tonalá, Jalisco, en su artículo 117, alude textualmente: </w:t>
      </w:r>
    </w:p>
    <w:p w14:paraId="3A4736DB" w14:textId="77777777" w:rsidR="00016FE1" w:rsidRDefault="00016FE1" w:rsidP="002B6227">
      <w:pPr>
        <w:pStyle w:val="Sinespaciado"/>
        <w:ind w:left="567" w:right="-8" w:hanging="567"/>
        <w:jc w:val="both"/>
        <w:rPr>
          <w:rFonts w:ascii="Gotham" w:hAnsi="Gotham" w:cstheme="minorHAnsi"/>
          <w:sz w:val="20"/>
          <w:szCs w:val="20"/>
        </w:rPr>
      </w:pPr>
    </w:p>
    <w:p w14:paraId="3A4736DC"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Artículo 117.- Son atribuciones de la Comisión Edilicia de Atención a la Juventud y el Deporte:</w:t>
      </w:r>
    </w:p>
    <w:p w14:paraId="3A4736DD" w14:textId="77777777" w:rsidR="00016FE1" w:rsidRDefault="00016FE1" w:rsidP="002B6227">
      <w:pPr>
        <w:pStyle w:val="Sinespaciado"/>
        <w:spacing w:after="120"/>
        <w:ind w:left="1418" w:right="283" w:hanging="567"/>
        <w:jc w:val="both"/>
        <w:rPr>
          <w:rFonts w:ascii="Gotham" w:hAnsi="Gotham" w:cstheme="minorHAnsi"/>
          <w:i/>
          <w:sz w:val="19"/>
          <w:szCs w:val="19"/>
        </w:rPr>
      </w:pPr>
      <w:r>
        <w:rPr>
          <w:rFonts w:ascii="Gotham" w:hAnsi="Gotham" w:cstheme="minorHAnsi"/>
          <w:i/>
          <w:sz w:val="19"/>
          <w:szCs w:val="19"/>
        </w:rPr>
        <w:t xml:space="preserve">V.- </w:t>
      </w:r>
      <w:r>
        <w:rPr>
          <w:rFonts w:ascii="Gotham" w:hAnsi="Gotham" w:cstheme="minorHAnsi"/>
          <w:i/>
          <w:sz w:val="19"/>
          <w:szCs w:val="19"/>
        </w:rPr>
        <w:tab/>
        <w:t>Promover, impulsar, planificar, coordinar y estimular la práctica de los deportes dentro del municipio, para procurar el desarrollo físico y mental de sus habitantes;</w:t>
      </w:r>
    </w:p>
    <w:p w14:paraId="3A4736DE" w14:textId="77777777" w:rsidR="00016FE1" w:rsidRDefault="00016FE1" w:rsidP="002B6227">
      <w:pPr>
        <w:pStyle w:val="Sinespaciado"/>
        <w:spacing w:after="120"/>
        <w:ind w:left="1418" w:right="283" w:hanging="567"/>
        <w:jc w:val="both"/>
        <w:rPr>
          <w:rFonts w:ascii="Gotham" w:hAnsi="Gotham" w:cstheme="minorHAnsi"/>
          <w:i/>
          <w:sz w:val="19"/>
          <w:szCs w:val="19"/>
        </w:rPr>
      </w:pPr>
      <w:r>
        <w:rPr>
          <w:rFonts w:ascii="Gotham" w:hAnsi="Gotham" w:cstheme="minorHAnsi"/>
          <w:i/>
          <w:sz w:val="19"/>
          <w:szCs w:val="19"/>
        </w:rPr>
        <w:t xml:space="preserve">VIII.- </w:t>
      </w:r>
      <w:r>
        <w:rPr>
          <w:rFonts w:ascii="Gotham" w:hAnsi="Gotham" w:cstheme="minorHAnsi"/>
          <w:i/>
          <w:sz w:val="19"/>
          <w:szCs w:val="19"/>
        </w:rPr>
        <w:tab/>
        <w:t>Proponer la coordinación y el establecimiento de relaciones de carácter deportivo con las diferentes autoridades en la materia, clubes privados, instituciones deportivas y equipos deportivos, que incidan en beneficio del desarrollo de las actividades deportivas en el municipio;</w:t>
      </w:r>
    </w:p>
    <w:p w14:paraId="3A4736DF" w14:textId="77777777" w:rsidR="00016FE1" w:rsidRDefault="00016FE1" w:rsidP="002B6227">
      <w:pPr>
        <w:pStyle w:val="Sinespaciado"/>
        <w:spacing w:after="120"/>
        <w:ind w:left="1418" w:right="283" w:hanging="567"/>
        <w:jc w:val="both"/>
        <w:rPr>
          <w:rFonts w:ascii="Gotham" w:hAnsi="Gotham" w:cstheme="minorHAnsi"/>
          <w:i/>
          <w:sz w:val="19"/>
          <w:szCs w:val="19"/>
        </w:rPr>
      </w:pPr>
      <w:r>
        <w:rPr>
          <w:rFonts w:ascii="Gotham" w:hAnsi="Gotham" w:cstheme="minorHAnsi"/>
          <w:i/>
          <w:sz w:val="19"/>
          <w:szCs w:val="19"/>
        </w:rPr>
        <w:t xml:space="preserve">XI.- </w:t>
      </w:r>
      <w:r>
        <w:rPr>
          <w:rFonts w:ascii="Gotham" w:hAnsi="Gotham" w:cstheme="minorHAnsi"/>
          <w:i/>
          <w:sz w:val="19"/>
          <w:szCs w:val="19"/>
        </w:rPr>
        <w:tab/>
        <w:t xml:space="preserve">Propiciar que la dependencia u organismo municipal respectivo gestione la promoción, organización, patrocinio y coordinación de eventos deportivos, en barrios y colonias del municipio, otorgando estímulos honoríficos a los participantes; y </w:t>
      </w:r>
    </w:p>
    <w:p w14:paraId="3A4736E0" w14:textId="77777777" w:rsidR="00016FE1" w:rsidRDefault="00016FE1" w:rsidP="002B6227">
      <w:pPr>
        <w:pStyle w:val="Sinespaciado"/>
        <w:ind w:left="1418" w:right="283" w:hanging="567"/>
        <w:jc w:val="both"/>
        <w:rPr>
          <w:rFonts w:ascii="Gotham" w:hAnsi="Gotham" w:cstheme="minorHAnsi"/>
          <w:i/>
          <w:sz w:val="19"/>
          <w:szCs w:val="19"/>
        </w:rPr>
      </w:pPr>
      <w:r>
        <w:rPr>
          <w:rFonts w:ascii="Gotham" w:hAnsi="Gotham" w:cstheme="minorHAnsi"/>
          <w:i/>
          <w:sz w:val="19"/>
          <w:szCs w:val="19"/>
        </w:rPr>
        <w:t xml:space="preserve">X.- </w:t>
      </w:r>
      <w:r>
        <w:rPr>
          <w:rFonts w:ascii="Gotham" w:hAnsi="Gotham" w:cstheme="minorHAnsi"/>
          <w:i/>
          <w:sz w:val="19"/>
          <w:szCs w:val="19"/>
        </w:rPr>
        <w:tab/>
        <w:t>En general, proponer, analizar, estudiar y dictaminar las iniciativas que tengan por objeto promover la actividad física o la realización de actividades relativas a la materia.</w:t>
      </w:r>
    </w:p>
    <w:p w14:paraId="3A4736E1" w14:textId="77777777" w:rsidR="00016FE1" w:rsidRDefault="00016FE1" w:rsidP="002B6227">
      <w:pPr>
        <w:pStyle w:val="Sinespaciado"/>
        <w:tabs>
          <w:tab w:val="left" w:pos="8222"/>
        </w:tabs>
        <w:ind w:right="-8"/>
        <w:jc w:val="both"/>
        <w:rPr>
          <w:rFonts w:ascii="Gotham" w:hAnsi="Gotham" w:cstheme="minorHAnsi"/>
          <w:sz w:val="20"/>
          <w:szCs w:val="20"/>
          <w:lang w:val="es-ES"/>
        </w:rPr>
      </w:pPr>
    </w:p>
    <w:p w14:paraId="3A4736E2" w14:textId="77777777" w:rsidR="00016FE1" w:rsidRDefault="00016FE1" w:rsidP="002B6227">
      <w:pPr>
        <w:pStyle w:val="Sinespaciado"/>
        <w:tabs>
          <w:tab w:val="left" w:pos="8222"/>
        </w:tabs>
        <w:ind w:left="567" w:right="-8"/>
        <w:jc w:val="both"/>
        <w:rPr>
          <w:rFonts w:ascii="Gotham" w:hAnsi="Gotham" w:cstheme="minorHAnsi"/>
          <w:sz w:val="20"/>
          <w:szCs w:val="20"/>
          <w:lang w:val="es-ES"/>
        </w:rPr>
      </w:pPr>
      <w:r>
        <w:rPr>
          <w:rFonts w:ascii="Gotham" w:hAnsi="Gotham" w:cstheme="minorHAnsi"/>
          <w:sz w:val="20"/>
          <w:szCs w:val="20"/>
          <w:lang w:val="es-ES"/>
        </w:rPr>
        <w:t>Dentro del mismo contexto, en el arábigo 277, del ordenamiento en cita, se señala que:</w:t>
      </w:r>
    </w:p>
    <w:p w14:paraId="3A4736E3" w14:textId="77777777" w:rsidR="00016FE1" w:rsidRDefault="00016FE1" w:rsidP="002B6227">
      <w:pPr>
        <w:pStyle w:val="Sinespaciado"/>
        <w:tabs>
          <w:tab w:val="left" w:pos="8222"/>
        </w:tabs>
        <w:ind w:right="-8"/>
        <w:jc w:val="both"/>
        <w:rPr>
          <w:rFonts w:ascii="Gotham" w:hAnsi="Gotham" w:cstheme="minorHAnsi"/>
          <w:sz w:val="20"/>
          <w:szCs w:val="20"/>
          <w:lang w:val="es-ES"/>
        </w:rPr>
      </w:pPr>
    </w:p>
    <w:p w14:paraId="3A4736E4" w14:textId="77777777" w:rsidR="00016FE1" w:rsidRDefault="00016FE1" w:rsidP="002B6227">
      <w:pPr>
        <w:pStyle w:val="Sinespaciado"/>
        <w:spacing w:after="120"/>
        <w:ind w:left="851" w:right="283"/>
        <w:jc w:val="both"/>
        <w:rPr>
          <w:rFonts w:ascii="Gotham" w:hAnsi="Gotham" w:cstheme="minorHAnsi"/>
          <w:i/>
          <w:sz w:val="19"/>
          <w:szCs w:val="19"/>
        </w:rPr>
      </w:pPr>
      <w:r>
        <w:rPr>
          <w:rFonts w:ascii="Gotham" w:hAnsi="Gotham" w:cstheme="minorHAnsi"/>
          <w:i/>
          <w:sz w:val="19"/>
          <w:szCs w:val="19"/>
        </w:rPr>
        <w:t>Artículo 277.- Son organismos públicos descentralizados, los organismos creados por el Ayuntamiento, mediante la expedición del ordenamiento municipal respectivo, con personalidad jurídica y patrimonio propio, cualquiera que sea la forma o estructura legal que adopten, siempre y cuando reúnan los siguientes requisitos:</w:t>
      </w:r>
    </w:p>
    <w:p w14:paraId="3A4736E5" w14:textId="77777777" w:rsidR="00016FE1" w:rsidRDefault="00016FE1" w:rsidP="002B6227">
      <w:pPr>
        <w:pStyle w:val="Sinespaciado"/>
        <w:spacing w:after="120"/>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6E6" w14:textId="77777777" w:rsidR="00016FE1" w:rsidRDefault="00016FE1" w:rsidP="002B6227">
      <w:pPr>
        <w:pStyle w:val="Sinespaciado"/>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Que su finalidad u objeto, sea la prestación de servicios públicos o el desempeño de una función social, la explotación de bienes o recursos propiedad del municipio, la obtención y aplicación de recursos para fines de asistencia social y a grupos vulnerables, fomento cultural y deportivo, la defensa y rehabilitación del medio ambiente.</w:t>
      </w:r>
    </w:p>
    <w:p w14:paraId="3A4736E7" w14:textId="77777777" w:rsidR="00016FE1" w:rsidRDefault="00016FE1" w:rsidP="002B6227">
      <w:pPr>
        <w:pStyle w:val="Sinespaciado"/>
        <w:tabs>
          <w:tab w:val="left" w:pos="8222"/>
        </w:tabs>
        <w:ind w:left="567" w:right="-8"/>
        <w:jc w:val="both"/>
        <w:rPr>
          <w:rFonts w:ascii="Gotham" w:hAnsi="Gotham" w:cstheme="minorHAnsi"/>
          <w:sz w:val="20"/>
          <w:szCs w:val="20"/>
          <w:lang w:val="es-ES"/>
        </w:rPr>
      </w:pPr>
    </w:p>
    <w:p w14:paraId="3A4736E8" w14:textId="77777777" w:rsidR="00016FE1" w:rsidRDefault="00016FE1" w:rsidP="002B6227">
      <w:pPr>
        <w:pStyle w:val="Sinespaciado"/>
        <w:tabs>
          <w:tab w:val="left" w:pos="8222"/>
        </w:tabs>
        <w:ind w:left="567" w:right="-8"/>
        <w:jc w:val="both"/>
        <w:rPr>
          <w:rFonts w:ascii="Gotham" w:hAnsi="Gotham" w:cstheme="minorHAnsi"/>
          <w:sz w:val="20"/>
          <w:szCs w:val="20"/>
          <w:lang w:val="es-ES"/>
        </w:rPr>
      </w:pPr>
      <w:r>
        <w:rPr>
          <w:rFonts w:ascii="Gotham" w:hAnsi="Gotham" w:cstheme="minorHAnsi"/>
          <w:sz w:val="20"/>
          <w:szCs w:val="20"/>
          <w:lang w:val="es-ES"/>
        </w:rPr>
        <w:t>Por lo que en su numeral 284 del mismo cuerpo jurídico, señala al Consejo Municipal del Deporte, como:</w:t>
      </w:r>
    </w:p>
    <w:p w14:paraId="3A4736E9" w14:textId="77777777" w:rsidR="00016FE1" w:rsidRDefault="00016FE1" w:rsidP="002B6227">
      <w:pPr>
        <w:pStyle w:val="Sinespaciado"/>
        <w:tabs>
          <w:tab w:val="left" w:pos="8222"/>
        </w:tabs>
        <w:ind w:left="567" w:right="-8"/>
        <w:jc w:val="both"/>
        <w:rPr>
          <w:rFonts w:ascii="Gotham" w:hAnsi="Gotham" w:cstheme="minorHAnsi"/>
          <w:sz w:val="20"/>
          <w:szCs w:val="20"/>
          <w:lang w:val="es-ES"/>
        </w:rPr>
      </w:pPr>
    </w:p>
    <w:p w14:paraId="3A4736EA"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Artículo 284.- El Consejo municipal del Deporte de Tonalá (COMUDE) es un organismo público descentralizado de la Administración Pública Municipal, con personalidad jurídica y patrimonio propio, el cual se regirá por las disposiciones contenidas en la legislación y normatividad aplicable.</w:t>
      </w:r>
    </w:p>
    <w:p w14:paraId="3A4736EB" w14:textId="77777777" w:rsidR="00016FE1" w:rsidRDefault="00016FE1" w:rsidP="002B6227">
      <w:pPr>
        <w:pStyle w:val="Sinespaciado"/>
        <w:ind w:left="567" w:right="-8" w:hanging="567"/>
        <w:jc w:val="both"/>
        <w:rPr>
          <w:rFonts w:ascii="Gotham" w:hAnsi="Gotham" w:cstheme="minorHAnsi"/>
          <w:sz w:val="20"/>
          <w:szCs w:val="20"/>
        </w:rPr>
      </w:pPr>
    </w:p>
    <w:p w14:paraId="3A4736EC" w14:textId="77777777" w:rsidR="00016FE1" w:rsidRDefault="00016FE1" w:rsidP="002B6227">
      <w:pPr>
        <w:pStyle w:val="Sinespaciado"/>
        <w:ind w:left="567" w:right="-8" w:hanging="567"/>
        <w:jc w:val="both"/>
        <w:rPr>
          <w:rFonts w:ascii="Gotham" w:hAnsi="Gotham" w:cstheme="minorHAnsi"/>
          <w:sz w:val="20"/>
          <w:szCs w:val="20"/>
        </w:rPr>
      </w:pPr>
      <w:r>
        <w:rPr>
          <w:rFonts w:ascii="Gotham" w:hAnsi="Gotham" w:cstheme="minorHAnsi"/>
          <w:sz w:val="20"/>
          <w:szCs w:val="20"/>
        </w:rPr>
        <w:t xml:space="preserve">VII.- </w:t>
      </w:r>
      <w:r>
        <w:rPr>
          <w:rFonts w:ascii="Gotham" w:hAnsi="Gotham" w:cstheme="minorHAnsi"/>
          <w:sz w:val="20"/>
          <w:szCs w:val="20"/>
        </w:rPr>
        <w:tab/>
        <w:t xml:space="preserve">Para concluir el apartado de las consideraciones, se invoca lo establecido en el Reglamento para el Funcionamiento Interno de Sesiones del Ayuntamiento Constitucional de Tonalá, Jalisco, que establece literalmente en su fracción II del Artículo 82: </w:t>
      </w:r>
    </w:p>
    <w:p w14:paraId="3A4736ED" w14:textId="77777777" w:rsidR="00016FE1" w:rsidRDefault="00016FE1" w:rsidP="002B6227">
      <w:pPr>
        <w:pStyle w:val="Sinespaciado"/>
        <w:ind w:left="567" w:right="-8" w:hanging="567"/>
        <w:jc w:val="both"/>
        <w:rPr>
          <w:rFonts w:ascii="Gotham" w:hAnsi="Gotham" w:cstheme="minorHAnsi"/>
          <w:sz w:val="20"/>
          <w:szCs w:val="20"/>
        </w:rPr>
      </w:pPr>
    </w:p>
    <w:p w14:paraId="3A4736EE" w14:textId="77777777" w:rsidR="00016FE1" w:rsidRDefault="00016FE1" w:rsidP="002B6227">
      <w:pPr>
        <w:pStyle w:val="Sinespaciado"/>
        <w:ind w:left="851" w:right="283"/>
        <w:jc w:val="both"/>
        <w:rPr>
          <w:rFonts w:ascii="Gotham" w:hAnsi="Gotham" w:cstheme="minorHAnsi"/>
          <w:i/>
          <w:sz w:val="19"/>
          <w:szCs w:val="19"/>
        </w:rPr>
      </w:pPr>
      <w:r>
        <w:rPr>
          <w:rFonts w:ascii="Gotham" w:hAnsi="Gotham" w:cstheme="minorHAnsi"/>
          <w:i/>
          <w:sz w:val="19"/>
          <w:szCs w:val="19"/>
        </w:rPr>
        <w:t>Artículo 82. La facultad de presentar iniciativas de ordenamiento municipal, decreto y acuerdo, corresponde:</w:t>
      </w:r>
    </w:p>
    <w:p w14:paraId="3A4736EF" w14:textId="77777777" w:rsidR="00016FE1" w:rsidRDefault="00016FE1" w:rsidP="002B6227">
      <w:pPr>
        <w:pStyle w:val="Sinespaciado"/>
        <w:spacing w:after="120"/>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6F0" w14:textId="77777777" w:rsidR="00016FE1" w:rsidRDefault="00016FE1" w:rsidP="002B6227">
      <w:pPr>
        <w:pStyle w:val="Sinespaciado"/>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A los Regidores;</w:t>
      </w:r>
    </w:p>
    <w:p w14:paraId="3A4736F1" w14:textId="77777777" w:rsidR="00016FE1" w:rsidRDefault="00016FE1" w:rsidP="002B6227">
      <w:pPr>
        <w:pStyle w:val="Sinespaciado"/>
        <w:tabs>
          <w:tab w:val="left" w:pos="8222"/>
        </w:tabs>
        <w:ind w:left="567" w:right="559"/>
        <w:jc w:val="both"/>
        <w:rPr>
          <w:rFonts w:ascii="Gotham" w:hAnsi="Gotham" w:cstheme="minorHAnsi"/>
          <w:i/>
          <w:sz w:val="20"/>
          <w:szCs w:val="20"/>
        </w:rPr>
      </w:pPr>
    </w:p>
    <w:p w14:paraId="3A4736F2" w14:textId="77777777" w:rsidR="00016FE1" w:rsidRDefault="00016FE1" w:rsidP="002B6227">
      <w:pPr>
        <w:jc w:val="both"/>
        <w:rPr>
          <w:rFonts w:ascii="Gotham" w:hAnsi="Gotham" w:cstheme="minorHAnsi"/>
          <w:sz w:val="20"/>
          <w:szCs w:val="20"/>
        </w:rPr>
      </w:pPr>
      <w:r>
        <w:rPr>
          <w:rFonts w:ascii="Gotham" w:hAnsi="Gotham" w:cstheme="minorHAnsi"/>
          <w:sz w:val="20"/>
          <w:szCs w:val="20"/>
        </w:rPr>
        <w:t>En función de lo anteriormente expuesto, someto a la elevada consideración de este cuerpo edilicio los siguientes puntos de:</w:t>
      </w:r>
    </w:p>
    <w:p w14:paraId="3A4736F3" w14:textId="77777777" w:rsidR="00016FE1" w:rsidRDefault="00016FE1" w:rsidP="002B6227">
      <w:pPr>
        <w:jc w:val="both"/>
        <w:rPr>
          <w:rFonts w:ascii="Gotham" w:hAnsi="Gotham" w:cstheme="minorHAnsi"/>
          <w:sz w:val="20"/>
          <w:szCs w:val="20"/>
        </w:rPr>
      </w:pPr>
    </w:p>
    <w:p w14:paraId="3A4736F4" w14:textId="77777777" w:rsidR="00016FE1" w:rsidRDefault="00016FE1" w:rsidP="002B6227">
      <w:pPr>
        <w:jc w:val="center"/>
        <w:rPr>
          <w:rFonts w:ascii="Gotham" w:hAnsi="Gotham" w:cstheme="minorHAnsi"/>
          <w:sz w:val="20"/>
          <w:szCs w:val="20"/>
        </w:rPr>
      </w:pPr>
      <w:r>
        <w:rPr>
          <w:rFonts w:ascii="Gotham" w:hAnsi="Gotham" w:cstheme="minorHAnsi"/>
          <w:sz w:val="20"/>
          <w:szCs w:val="20"/>
        </w:rPr>
        <w:t>ACUERDO</w:t>
      </w:r>
    </w:p>
    <w:p w14:paraId="3A4736F5" w14:textId="77777777" w:rsidR="00016FE1" w:rsidRDefault="00016FE1" w:rsidP="002B6227">
      <w:pPr>
        <w:jc w:val="both"/>
        <w:rPr>
          <w:rFonts w:ascii="Gotham" w:hAnsi="Gotham" w:cstheme="minorHAnsi"/>
          <w:sz w:val="20"/>
          <w:szCs w:val="20"/>
        </w:rPr>
      </w:pPr>
    </w:p>
    <w:p w14:paraId="3A4736F6" w14:textId="77777777" w:rsidR="00016FE1" w:rsidRDefault="00016FE1" w:rsidP="002B6227">
      <w:pPr>
        <w:jc w:val="both"/>
        <w:rPr>
          <w:rFonts w:ascii="Gotham" w:hAnsi="Gotham" w:cstheme="minorHAnsi"/>
          <w:sz w:val="20"/>
          <w:szCs w:val="20"/>
        </w:rPr>
      </w:pPr>
      <w:r>
        <w:rPr>
          <w:rFonts w:ascii="Gotham" w:hAnsi="Gotham" w:cstheme="minorHAnsi"/>
          <w:sz w:val="20"/>
          <w:szCs w:val="20"/>
        </w:rPr>
        <w:t xml:space="preserve">ÚNICO.- Es de aprobarse el turno a la Comisión Edilicia de Atención a la Juventud y Deporte la presente iniciativa que tiene por objeto la </w:t>
      </w:r>
      <w:r>
        <w:rPr>
          <w:rFonts w:ascii="Gotham" w:hAnsi="Gotham" w:cstheme="minorHAnsi"/>
          <w:i/>
          <w:sz w:val="20"/>
          <w:szCs w:val="20"/>
        </w:rPr>
        <w:t xml:space="preserve">Realización de la carrera atlética “Corriendo por un Milagro” a beneficio de la Asociación Civil sin fines de lucro denominada “Donación de Milagros”, misma que rinda atención integral a personas con insuficiencia renal, </w:t>
      </w:r>
      <w:r>
        <w:rPr>
          <w:rFonts w:ascii="Gotham" w:hAnsi="Gotham" w:cstheme="minorHAnsi"/>
          <w:sz w:val="20"/>
          <w:szCs w:val="20"/>
        </w:rPr>
        <w:t>para su estudio, análisis y dictamen final.</w:t>
      </w:r>
    </w:p>
    <w:p w14:paraId="3A4736F7" w14:textId="77777777" w:rsidR="00016FE1" w:rsidRDefault="00016FE1" w:rsidP="002B6227">
      <w:pPr>
        <w:pStyle w:val="Prrafodelista"/>
        <w:ind w:left="0"/>
        <w:jc w:val="both"/>
        <w:rPr>
          <w:rFonts w:ascii="Gotham" w:hAnsi="Gotham"/>
          <w:sz w:val="20"/>
          <w:szCs w:val="20"/>
        </w:rPr>
      </w:pPr>
    </w:p>
    <w:p w14:paraId="3A4736F8" w14:textId="77777777" w:rsidR="00016FE1" w:rsidRPr="00351AD1" w:rsidRDefault="00016FE1" w:rsidP="002B6227">
      <w:pPr>
        <w:jc w:val="both"/>
        <w:rPr>
          <w:rFonts w:ascii="Gotham" w:hAnsi="Gotham" w:cs="Arial"/>
          <w:sz w:val="20"/>
          <w:szCs w:val="20"/>
        </w:rPr>
      </w:pPr>
      <w:r>
        <w:rPr>
          <w:rFonts w:ascii="Gotham" w:hAnsi="Gotham"/>
          <w:sz w:val="20"/>
          <w:szCs w:val="20"/>
        </w:rPr>
        <w:t xml:space="preserve">En uso de la voz el Presidente Municipal, Sergio Armando Chávez Dávalos, expresa que, se propone su turno a la Comisión Edilicia de </w:t>
      </w:r>
      <w:r w:rsidRPr="00EC1525">
        <w:rPr>
          <w:rFonts w:ascii="Gotham" w:hAnsi="Gotham" w:cs="Arial"/>
          <w:sz w:val="20"/>
          <w:szCs w:val="20"/>
        </w:rPr>
        <w:t>Atención a la Juventud y Deporte</w:t>
      </w:r>
      <w:r>
        <w:rPr>
          <w:rFonts w:ascii="Gotham" w:hAnsi="Gotham"/>
          <w:sz w:val="20"/>
          <w:szCs w:val="20"/>
        </w:rPr>
        <w:t>;</w:t>
      </w:r>
      <w:r w:rsidRPr="007A20EE">
        <w:rPr>
          <w:rFonts w:ascii="Gotham" w:hAnsi="Gotham"/>
          <w:sz w:val="20"/>
          <w:szCs w:val="20"/>
        </w:rPr>
        <w:t xml:space="preserve"> </w:t>
      </w:r>
      <w:r w:rsidRPr="00855611">
        <w:rPr>
          <w:rFonts w:ascii="Gotham" w:hAnsi="Gotham"/>
          <w:sz w:val="20"/>
          <w:szCs w:val="20"/>
        </w:rPr>
        <w:t>quien</w:t>
      </w:r>
      <w:r>
        <w:rPr>
          <w:rFonts w:ascii="Gotham" w:hAnsi="Gotham"/>
          <w:sz w:val="20"/>
          <w:szCs w:val="20"/>
        </w:rPr>
        <w:t>es</w:t>
      </w:r>
      <w:r w:rsidRPr="00855611">
        <w:rPr>
          <w:rFonts w:ascii="Gotham" w:hAnsi="Gotham"/>
          <w:sz w:val="20"/>
          <w:szCs w:val="20"/>
        </w:rPr>
        <w:t xml:space="preserve"> esté</w:t>
      </w:r>
      <w:r>
        <w:rPr>
          <w:rFonts w:ascii="Gotham" w:hAnsi="Gotham"/>
          <w:sz w:val="20"/>
          <w:szCs w:val="20"/>
        </w:rPr>
        <w:t>n</w:t>
      </w:r>
      <w:r w:rsidRPr="00855611">
        <w:rPr>
          <w:rFonts w:ascii="Gotham" w:hAnsi="Gotham"/>
          <w:sz w:val="20"/>
          <w:szCs w:val="20"/>
        </w:rPr>
        <w:t xml:space="preserve"> por la afirmativa sírvase a manifestarlo levantando su mano</w:t>
      </w:r>
      <w:r>
        <w:rPr>
          <w:rFonts w:ascii="Gotham" w:hAnsi="Gotham"/>
          <w:sz w:val="20"/>
          <w:szCs w:val="20"/>
        </w:rPr>
        <w:t>;</w:t>
      </w:r>
      <w:r w:rsidRPr="000A099F">
        <w:rPr>
          <w:rFonts w:ascii="Gotham" w:hAnsi="Gotham" w:cs="Arial"/>
          <w:sz w:val="20"/>
          <w:szCs w:val="20"/>
        </w:rPr>
        <w:t xml:space="preserve"> </w:t>
      </w:r>
      <w:r w:rsidRPr="00351AD1">
        <w:rPr>
          <w:rFonts w:ascii="Gotham" w:hAnsi="Gotham" w:cs="Arial"/>
          <w:sz w:val="20"/>
          <w:szCs w:val="20"/>
        </w:rPr>
        <w:t>instruyendo a la Secretaria General para que contabilice los votos y nos informe del resultado.</w:t>
      </w:r>
    </w:p>
    <w:p w14:paraId="3A4736F9" w14:textId="77777777" w:rsidR="00016FE1" w:rsidRPr="00351AD1" w:rsidRDefault="00016FE1" w:rsidP="002B6227">
      <w:pPr>
        <w:jc w:val="both"/>
        <w:rPr>
          <w:rFonts w:ascii="Gotham" w:hAnsi="Gotham" w:cs="Arial"/>
          <w:sz w:val="20"/>
          <w:szCs w:val="20"/>
        </w:rPr>
      </w:pPr>
    </w:p>
    <w:p w14:paraId="3A4736FA" w14:textId="77777777" w:rsidR="00016FE1" w:rsidRPr="00351AD1" w:rsidRDefault="00016FE1" w:rsidP="002B6227">
      <w:pPr>
        <w:jc w:val="both"/>
        <w:rPr>
          <w:rFonts w:ascii="Gotham" w:hAnsi="Gotham" w:cs="Arial"/>
          <w:sz w:val="20"/>
          <w:szCs w:val="20"/>
        </w:rPr>
      </w:pPr>
      <w:r w:rsidRPr="00351AD1">
        <w:rPr>
          <w:rFonts w:ascii="Gotham" w:hAnsi="Gotham" w:cs="Arial"/>
          <w:sz w:val="20"/>
          <w:szCs w:val="20"/>
        </w:rPr>
        <w:t>En uso de la voz informativa la Secretaria General, Mtra. Celia Isabel Gauna Ruiz de León, como lo indica Presidente, le informo que se registraron un total de 1</w:t>
      </w:r>
      <w:r>
        <w:rPr>
          <w:rFonts w:ascii="Gotham" w:hAnsi="Gotham" w:cs="Arial"/>
          <w:sz w:val="20"/>
          <w:szCs w:val="20"/>
        </w:rPr>
        <w:t>7</w:t>
      </w:r>
      <w:r w:rsidRPr="00351AD1">
        <w:rPr>
          <w:rFonts w:ascii="Gotham" w:hAnsi="Gotham" w:cs="Arial"/>
          <w:sz w:val="20"/>
          <w:szCs w:val="20"/>
        </w:rPr>
        <w:t xml:space="preserve"> votos a favor</w:t>
      </w:r>
      <w:r>
        <w:rPr>
          <w:rFonts w:ascii="Gotham" w:hAnsi="Gotham" w:cs="Arial"/>
          <w:sz w:val="20"/>
          <w:szCs w:val="20"/>
        </w:rPr>
        <w:t>; encontrándose ausente en el momento de la votación, la Regidora Ana Priscila González García</w:t>
      </w:r>
      <w:r w:rsidRPr="00351AD1">
        <w:rPr>
          <w:rFonts w:ascii="Gotham" w:hAnsi="Gotham" w:cs="Arial"/>
          <w:sz w:val="20"/>
          <w:szCs w:val="20"/>
        </w:rPr>
        <w:t>.</w:t>
      </w:r>
    </w:p>
    <w:p w14:paraId="3A4736FB" w14:textId="77777777" w:rsidR="00016FE1" w:rsidRPr="00351AD1" w:rsidRDefault="00016FE1" w:rsidP="002B6227">
      <w:pPr>
        <w:jc w:val="both"/>
        <w:rPr>
          <w:rFonts w:ascii="Gotham" w:hAnsi="Gotham" w:cs="Arial"/>
          <w:sz w:val="20"/>
          <w:szCs w:val="20"/>
        </w:rPr>
      </w:pPr>
    </w:p>
    <w:p w14:paraId="3A4736FC" w14:textId="77777777" w:rsidR="00016FE1" w:rsidRDefault="00016FE1" w:rsidP="002B6227">
      <w:pPr>
        <w:pStyle w:val="Piedepgina"/>
        <w:tabs>
          <w:tab w:val="left" w:pos="708"/>
        </w:tabs>
        <w:jc w:val="both"/>
        <w:rPr>
          <w:rFonts w:ascii="Gotham" w:eastAsia="Gotham" w:hAnsi="Gotham" w:cs="Gotham"/>
          <w:sz w:val="20"/>
          <w:szCs w:val="20"/>
        </w:rPr>
      </w:pPr>
      <w:r>
        <w:rPr>
          <w:rFonts w:ascii="Gotham" w:hAnsi="Gotham" w:cs="Arial"/>
          <w:sz w:val="20"/>
          <w:szCs w:val="20"/>
        </w:rPr>
        <w:t>En uso de la voz el Presidente Municipal, Sergio Armando Chávez Dávalos,</w:t>
      </w:r>
      <w:r w:rsidRPr="00351AD1">
        <w:rPr>
          <w:rFonts w:ascii="Gotham" w:hAnsi="Gotham" w:cs="Arial"/>
          <w:sz w:val="20"/>
          <w:szCs w:val="20"/>
        </w:rPr>
        <w:t xml:space="preserve"> expresa que, gracias Secretaria; queda aprobado.</w:t>
      </w:r>
    </w:p>
    <w:p w14:paraId="3A4736FD" w14:textId="77777777" w:rsidR="00016FE1" w:rsidRPr="00016FE1" w:rsidRDefault="00016FE1" w:rsidP="002B6227">
      <w:pPr>
        <w:pStyle w:val="Piedepgina"/>
        <w:tabs>
          <w:tab w:val="left" w:pos="708"/>
        </w:tabs>
        <w:jc w:val="both"/>
        <w:rPr>
          <w:rFonts w:ascii="Gotham" w:hAnsi="Gotham"/>
          <w:sz w:val="20"/>
          <w:szCs w:val="20"/>
        </w:rPr>
      </w:pPr>
    </w:p>
    <w:p w14:paraId="3A4736FE" w14:textId="77777777" w:rsidR="00E9195F" w:rsidRDefault="00E9195F" w:rsidP="002B6227">
      <w:pPr>
        <w:pStyle w:val="Piedepgina"/>
        <w:tabs>
          <w:tab w:val="left" w:pos="708"/>
        </w:tabs>
        <w:jc w:val="both"/>
        <w:rPr>
          <w:rFonts w:ascii="Gotham" w:hAnsi="Gotham"/>
          <w:sz w:val="20"/>
          <w:szCs w:val="20"/>
        </w:rPr>
      </w:pPr>
    </w:p>
    <w:p w14:paraId="3A4736FF" w14:textId="77777777" w:rsidR="00016FE1" w:rsidRDefault="00016FE1" w:rsidP="002B6227">
      <w:pPr>
        <w:ind w:firstLine="708"/>
        <w:jc w:val="both"/>
        <w:rPr>
          <w:rFonts w:ascii="Gotham" w:hAnsi="Gotham" w:cs="Arial"/>
          <w:sz w:val="20"/>
          <w:szCs w:val="20"/>
        </w:rPr>
      </w:pPr>
      <w:r w:rsidRPr="00753AE7">
        <w:rPr>
          <w:rFonts w:ascii="Gotham" w:hAnsi="Gotham" w:cs="Arial"/>
          <w:sz w:val="20"/>
          <w:szCs w:val="20"/>
        </w:rPr>
        <w:t xml:space="preserve">En uso de la voz el Presidente Municipal, Sergio Armando Chávez Dávalos, señala que, </w:t>
      </w:r>
      <w:r>
        <w:rPr>
          <w:rFonts w:ascii="Gotham" w:hAnsi="Gotham" w:cs="Arial"/>
          <w:sz w:val="20"/>
          <w:szCs w:val="20"/>
        </w:rPr>
        <w:t>p</w:t>
      </w:r>
      <w:r w:rsidRPr="00EF0245">
        <w:rPr>
          <w:rFonts w:ascii="Gotham" w:hAnsi="Gotham" w:cs="Arial"/>
          <w:sz w:val="20"/>
          <w:szCs w:val="20"/>
        </w:rPr>
        <w:t xml:space="preserve">asando al sexto punto del orden del día que corresponde </w:t>
      </w:r>
      <w:r>
        <w:rPr>
          <w:rFonts w:ascii="Gotham" w:hAnsi="Gotham" w:cs="Arial"/>
          <w:sz w:val="20"/>
          <w:szCs w:val="20"/>
        </w:rPr>
        <w:t xml:space="preserve">a </w:t>
      </w:r>
      <w:r w:rsidRPr="00EF0245">
        <w:rPr>
          <w:rFonts w:ascii="Gotham" w:hAnsi="Gotham" w:cs="Arial"/>
          <w:sz w:val="20"/>
          <w:szCs w:val="20"/>
        </w:rPr>
        <w:t xml:space="preserve">la lectura, discusión y aprobación, en su caso, de dictámenes y comunicaciones de las Comisiones Edilicias, se someterán a </w:t>
      </w:r>
      <w:r w:rsidRPr="00DB32E6">
        <w:rPr>
          <w:rFonts w:ascii="Gotham" w:hAnsi="Gotham"/>
          <w:sz w:val="20"/>
          <w:szCs w:val="20"/>
        </w:rPr>
        <w:t>votación en bloque, los dictámenes en el sentido que se presentan marcados con los números del 6.1 al 6.</w:t>
      </w:r>
      <w:r>
        <w:rPr>
          <w:rFonts w:ascii="Gotham" w:hAnsi="Gotham"/>
          <w:sz w:val="20"/>
          <w:szCs w:val="20"/>
        </w:rPr>
        <w:t>15</w:t>
      </w:r>
      <w:r w:rsidRPr="00DB32E6">
        <w:rPr>
          <w:rFonts w:ascii="Gotham" w:hAnsi="Gotham"/>
          <w:sz w:val="20"/>
          <w:szCs w:val="20"/>
        </w:rPr>
        <w:t>,</w:t>
      </w:r>
      <w:r w:rsidRPr="00EF0245">
        <w:rPr>
          <w:rFonts w:ascii="Gotham" w:hAnsi="Gotham" w:cs="Arial"/>
          <w:sz w:val="20"/>
          <w:szCs w:val="20"/>
        </w:rPr>
        <w:t xml:space="preserve"> de acuerdo al listado que les</w:t>
      </w:r>
      <w:r>
        <w:rPr>
          <w:rFonts w:ascii="Gotham" w:hAnsi="Gotham" w:cs="Arial"/>
          <w:sz w:val="20"/>
          <w:szCs w:val="20"/>
        </w:rPr>
        <w:t xml:space="preserve"> fue circulado de manera previa; para</w:t>
      </w:r>
      <w:r w:rsidRPr="00EF0245">
        <w:rPr>
          <w:rFonts w:ascii="Gotham" w:hAnsi="Gotham" w:cs="Arial"/>
          <w:sz w:val="20"/>
          <w:szCs w:val="20"/>
        </w:rPr>
        <w:t xml:space="preserve"> lo</w:t>
      </w:r>
      <w:r>
        <w:rPr>
          <w:rFonts w:ascii="Gotham" w:hAnsi="Gotham" w:cs="Arial"/>
          <w:sz w:val="20"/>
          <w:szCs w:val="20"/>
        </w:rPr>
        <w:t xml:space="preserve"> cual</w:t>
      </w:r>
      <w:r w:rsidRPr="00EF0245">
        <w:rPr>
          <w:rFonts w:ascii="Gotham" w:hAnsi="Gotham" w:cs="Arial"/>
          <w:sz w:val="20"/>
          <w:szCs w:val="20"/>
        </w:rPr>
        <w:t xml:space="preserve"> sol</w:t>
      </w:r>
      <w:r>
        <w:rPr>
          <w:rFonts w:ascii="Gotham" w:hAnsi="Gotham" w:cs="Arial"/>
          <w:sz w:val="20"/>
          <w:szCs w:val="20"/>
        </w:rPr>
        <w:t>icito a la Secretaria General dé</w:t>
      </w:r>
      <w:r w:rsidRPr="00EF0245">
        <w:rPr>
          <w:rFonts w:ascii="Gotham" w:hAnsi="Gotham" w:cs="Arial"/>
          <w:sz w:val="20"/>
          <w:szCs w:val="20"/>
        </w:rPr>
        <w:t xml:space="preserve"> lectura</w:t>
      </w:r>
      <w:r>
        <w:rPr>
          <w:rFonts w:ascii="Gotham" w:hAnsi="Gotham" w:cs="Arial"/>
          <w:sz w:val="20"/>
          <w:szCs w:val="20"/>
        </w:rPr>
        <w:t xml:space="preserve"> de los mismos. </w:t>
      </w:r>
    </w:p>
    <w:p w14:paraId="3A473700" w14:textId="77777777" w:rsidR="00016FE1" w:rsidRDefault="00016FE1" w:rsidP="002B6227">
      <w:pPr>
        <w:jc w:val="both"/>
        <w:rPr>
          <w:rFonts w:ascii="Gotham" w:hAnsi="Gotham" w:cs="Arial"/>
          <w:sz w:val="20"/>
          <w:szCs w:val="20"/>
        </w:rPr>
      </w:pPr>
    </w:p>
    <w:p w14:paraId="3A473701" w14:textId="77777777" w:rsidR="00016FE1" w:rsidRPr="001452FD" w:rsidRDefault="00016FE1" w:rsidP="002B6227">
      <w:pPr>
        <w:jc w:val="both"/>
        <w:rPr>
          <w:rFonts w:ascii="Gotham" w:hAnsi="Gotham"/>
          <w:sz w:val="20"/>
          <w:szCs w:val="20"/>
        </w:rPr>
      </w:pPr>
      <w:r>
        <w:rPr>
          <w:rFonts w:ascii="Gotham" w:hAnsi="Gotham"/>
          <w:sz w:val="20"/>
          <w:szCs w:val="20"/>
        </w:rPr>
        <w:t>En uso de la voz informativa, la Secretaria General, Celia Isabel Gauna Ruíz de León, manifiesta que, c</w:t>
      </w:r>
      <w:r w:rsidRPr="001452FD">
        <w:rPr>
          <w:rFonts w:ascii="Gotham" w:hAnsi="Gotham"/>
          <w:sz w:val="20"/>
          <w:szCs w:val="20"/>
        </w:rPr>
        <w:t>omo lo indica</w:t>
      </w:r>
      <w:r>
        <w:rPr>
          <w:rFonts w:ascii="Gotham" w:hAnsi="Gotham"/>
          <w:sz w:val="20"/>
          <w:szCs w:val="20"/>
        </w:rPr>
        <w:t xml:space="preserve"> señor</w:t>
      </w:r>
      <w:r w:rsidRPr="001452FD">
        <w:rPr>
          <w:rFonts w:ascii="Gotham" w:hAnsi="Gotham"/>
          <w:sz w:val="20"/>
          <w:szCs w:val="20"/>
        </w:rPr>
        <w:t xml:space="preserve"> Presidente: </w:t>
      </w:r>
    </w:p>
    <w:p w14:paraId="3A473702" w14:textId="77777777" w:rsidR="00016FE1" w:rsidRPr="00A07C14" w:rsidRDefault="00016FE1" w:rsidP="002B6227">
      <w:pPr>
        <w:ind w:firstLine="708"/>
        <w:jc w:val="both"/>
        <w:rPr>
          <w:rFonts w:ascii="Gotham" w:hAnsi="Gotham" w:cs="Arial"/>
          <w:sz w:val="20"/>
          <w:szCs w:val="20"/>
        </w:rPr>
      </w:pPr>
    </w:p>
    <w:p w14:paraId="3A473703"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6.1 </w:t>
      </w:r>
      <w:r>
        <w:rPr>
          <w:rFonts w:ascii="Gotham" w:hAnsi="Gotham" w:cs="Arial"/>
          <w:sz w:val="20"/>
          <w:szCs w:val="20"/>
        </w:rPr>
        <w:tab/>
      </w:r>
      <w:r w:rsidRPr="00BB0152">
        <w:rPr>
          <w:rFonts w:ascii="Gotham" w:hAnsi="Gotham" w:cs="Arial"/>
          <w:sz w:val="20"/>
          <w:szCs w:val="20"/>
        </w:rPr>
        <w:t>Dictamen final que emite la Comisión Edilicia de Reglamentos y de Servicios Públicos Municipales, atendiendo el turno marcado con el N. º734, que tuvo por objeto la modificación del Reglamento de Cementerios del Municipio; con el propósito de atender a la estrategia nacional de eliminación de criad</w:t>
      </w:r>
      <w:r>
        <w:rPr>
          <w:rFonts w:ascii="Gotham" w:hAnsi="Gotham" w:cs="Arial"/>
          <w:sz w:val="20"/>
          <w:szCs w:val="20"/>
        </w:rPr>
        <w:t>eros del mosquito Aedes Aegypti.</w:t>
      </w:r>
    </w:p>
    <w:p w14:paraId="3A473704" w14:textId="77777777" w:rsidR="00016FE1" w:rsidRPr="00BB0152" w:rsidRDefault="00016FE1" w:rsidP="002B6227">
      <w:pPr>
        <w:ind w:left="709" w:hanging="709"/>
        <w:jc w:val="both"/>
        <w:rPr>
          <w:rFonts w:ascii="Gotham" w:hAnsi="Gotham" w:cs="Arial"/>
          <w:sz w:val="20"/>
          <w:szCs w:val="20"/>
        </w:rPr>
      </w:pPr>
    </w:p>
    <w:p w14:paraId="3A473705"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6.2</w:t>
      </w:r>
      <w:r>
        <w:rPr>
          <w:rFonts w:ascii="Gotham" w:hAnsi="Gotham" w:cs="Arial"/>
          <w:sz w:val="20"/>
          <w:szCs w:val="20"/>
        </w:rPr>
        <w:tab/>
      </w:r>
      <w:r w:rsidRPr="00BB0152">
        <w:rPr>
          <w:rFonts w:ascii="Gotham" w:hAnsi="Gotham" w:cs="Arial"/>
          <w:sz w:val="20"/>
          <w:szCs w:val="20"/>
        </w:rPr>
        <w:t xml:space="preserve">Dictamen final que emite la Comisión Edilicia de Reglamentos y de Atención a la Juventud y Deporte, desechando el turno marcado con el N. º141. </w:t>
      </w:r>
    </w:p>
    <w:p w14:paraId="3A473706" w14:textId="77777777" w:rsidR="00016FE1" w:rsidRPr="00BB0152" w:rsidRDefault="00016FE1" w:rsidP="002B6227">
      <w:pPr>
        <w:ind w:left="709" w:hanging="709"/>
        <w:jc w:val="both"/>
        <w:rPr>
          <w:rFonts w:ascii="Gotham" w:hAnsi="Gotham" w:cs="Arial"/>
          <w:sz w:val="20"/>
          <w:szCs w:val="20"/>
        </w:rPr>
      </w:pPr>
    </w:p>
    <w:p w14:paraId="3A473707"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6.3</w:t>
      </w:r>
      <w:r w:rsidRPr="00BB0152">
        <w:rPr>
          <w:rFonts w:ascii="Gotham" w:hAnsi="Gotham" w:cs="Arial"/>
          <w:sz w:val="20"/>
          <w:szCs w:val="20"/>
        </w:rPr>
        <w:tab/>
        <w:t>Dictamen final que emite la Comisión Edilicia de Reglamentos, atendiendo los turnos marcados con los números 539 y 768, que tienen por objeto reformar el Código para la Protección Ambiental, Cambio Climático y Sustentabilidad del Municipio de Tonalá, Jalisco, en mat</w:t>
      </w:r>
      <w:r>
        <w:rPr>
          <w:rFonts w:ascii="Gotham" w:hAnsi="Gotham" w:cs="Arial"/>
          <w:sz w:val="20"/>
          <w:szCs w:val="20"/>
        </w:rPr>
        <w:t>eria de Contaminación Auditiva.</w:t>
      </w:r>
    </w:p>
    <w:p w14:paraId="3A473708" w14:textId="77777777" w:rsidR="00016FE1" w:rsidRPr="00BB0152" w:rsidRDefault="00016FE1" w:rsidP="002B6227">
      <w:pPr>
        <w:ind w:left="709" w:hanging="709"/>
        <w:jc w:val="both"/>
        <w:rPr>
          <w:rFonts w:ascii="Gotham" w:hAnsi="Gotham" w:cs="Arial"/>
          <w:sz w:val="20"/>
          <w:szCs w:val="20"/>
        </w:rPr>
      </w:pPr>
    </w:p>
    <w:p w14:paraId="3A473709"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6.4</w:t>
      </w:r>
      <w:r w:rsidRPr="00BB0152">
        <w:rPr>
          <w:rFonts w:ascii="Gotham" w:hAnsi="Gotham" w:cs="Arial"/>
          <w:sz w:val="20"/>
          <w:szCs w:val="20"/>
        </w:rPr>
        <w:tab/>
        <w:t>Dictamen final que emite la Comisión Edilicia de Reglamentos y de Gobierno Digital y Promoción de la Ciudad, que atiende el turno marcado con el</w:t>
      </w:r>
      <w:r w:rsidR="009F075D">
        <w:rPr>
          <w:rFonts w:ascii="Gotham" w:hAnsi="Gotham" w:cs="Arial"/>
          <w:sz w:val="20"/>
          <w:szCs w:val="20"/>
        </w:rPr>
        <w:t xml:space="preserve"> </w:t>
      </w:r>
      <w:r w:rsidRPr="00BB0152">
        <w:rPr>
          <w:rFonts w:ascii="Gotham" w:hAnsi="Gotham" w:cs="Arial"/>
          <w:sz w:val="20"/>
          <w:szCs w:val="20"/>
        </w:rPr>
        <w:t xml:space="preserve">N. </w:t>
      </w:r>
      <w:r>
        <w:rPr>
          <w:rFonts w:ascii="Gotham" w:hAnsi="Gotham" w:cs="Arial"/>
          <w:sz w:val="20"/>
          <w:szCs w:val="20"/>
        </w:rPr>
        <w:t>º1067, que tiene por objeto la r</w:t>
      </w:r>
      <w:r w:rsidRPr="00BB0152">
        <w:rPr>
          <w:rFonts w:ascii="Gotham" w:hAnsi="Gotham" w:cs="Arial"/>
          <w:sz w:val="20"/>
          <w:szCs w:val="20"/>
        </w:rPr>
        <w:t>eforma de diversos artículos del Reglamento de Firma Electrónica Avanzada de</w:t>
      </w:r>
      <w:r>
        <w:rPr>
          <w:rFonts w:ascii="Gotham" w:hAnsi="Gotham" w:cs="Arial"/>
          <w:sz w:val="20"/>
          <w:szCs w:val="20"/>
        </w:rPr>
        <w:t>l Municipio de Tonalá, Jalisco.</w:t>
      </w:r>
    </w:p>
    <w:p w14:paraId="3A47370A" w14:textId="77777777" w:rsidR="00016FE1" w:rsidRPr="00BB0152" w:rsidRDefault="00016FE1" w:rsidP="002B6227">
      <w:pPr>
        <w:ind w:left="709" w:hanging="709"/>
        <w:jc w:val="both"/>
        <w:rPr>
          <w:rFonts w:ascii="Gotham" w:hAnsi="Gotham" w:cs="Arial"/>
          <w:sz w:val="20"/>
          <w:szCs w:val="20"/>
        </w:rPr>
      </w:pPr>
    </w:p>
    <w:p w14:paraId="3A47370B"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6.5</w:t>
      </w:r>
      <w:r w:rsidRPr="00BB0152">
        <w:rPr>
          <w:rFonts w:ascii="Gotham" w:hAnsi="Gotham" w:cs="Arial"/>
          <w:sz w:val="20"/>
          <w:szCs w:val="20"/>
        </w:rPr>
        <w:tab/>
        <w:t>Dictamen final que emite la Comisión Edilicia de Reglamentos desechando el turno marcado con el N. º1055.</w:t>
      </w:r>
    </w:p>
    <w:p w14:paraId="3A47370C" w14:textId="77777777" w:rsidR="00016FE1" w:rsidRPr="00BB0152" w:rsidRDefault="00016FE1" w:rsidP="002B6227">
      <w:pPr>
        <w:ind w:left="709" w:hanging="709"/>
        <w:jc w:val="both"/>
        <w:rPr>
          <w:rFonts w:ascii="Gotham" w:hAnsi="Gotham" w:cs="Arial"/>
          <w:sz w:val="20"/>
          <w:szCs w:val="20"/>
        </w:rPr>
      </w:pPr>
    </w:p>
    <w:p w14:paraId="3A47370D"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6.6 </w:t>
      </w:r>
      <w:r w:rsidRPr="00BB0152">
        <w:rPr>
          <w:rFonts w:ascii="Gotham" w:hAnsi="Gotham" w:cs="Arial"/>
          <w:sz w:val="20"/>
          <w:szCs w:val="20"/>
        </w:rPr>
        <w:tab/>
        <w:t>SE RETIRA</w:t>
      </w:r>
      <w:r>
        <w:rPr>
          <w:rFonts w:ascii="Gotham" w:hAnsi="Gotham" w:cs="Arial"/>
          <w:sz w:val="20"/>
          <w:szCs w:val="20"/>
        </w:rPr>
        <w:t>.</w:t>
      </w:r>
    </w:p>
    <w:p w14:paraId="3A47370E" w14:textId="77777777" w:rsidR="00016FE1" w:rsidRPr="00BB0152" w:rsidRDefault="00016FE1" w:rsidP="002B6227">
      <w:pPr>
        <w:ind w:left="709" w:hanging="709"/>
        <w:jc w:val="both"/>
        <w:rPr>
          <w:rFonts w:ascii="Gotham" w:hAnsi="Gotham" w:cs="Arial"/>
          <w:sz w:val="20"/>
          <w:szCs w:val="20"/>
        </w:rPr>
      </w:pPr>
    </w:p>
    <w:p w14:paraId="3A47370F"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6.7 </w:t>
      </w:r>
      <w:r w:rsidRPr="00BB0152">
        <w:rPr>
          <w:rFonts w:ascii="Gotham" w:hAnsi="Gotham" w:cs="Arial"/>
          <w:sz w:val="20"/>
          <w:szCs w:val="20"/>
        </w:rPr>
        <w:tab/>
        <w:t xml:space="preserve">Dictamen final que emite la Comisión Edilicia de Hacienda Municipal y Presupuestos que aprueba desechar la iniciativa del turno a comisión número 853. </w:t>
      </w:r>
    </w:p>
    <w:p w14:paraId="3A473710" w14:textId="77777777" w:rsidR="00016FE1" w:rsidRPr="00BB0152" w:rsidRDefault="00016FE1" w:rsidP="002B6227">
      <w:pPr>
        <w:ind w:left="709" w:hanging="709"/>
        <w:jc w:val="both"/>
        <w:rPr>
          <w:rFonts w:ascii="Gotham" w:hAnsi="Gotham" w:cs="Arial"/>
          <w:sz w:val="20"/>
          <w:szCs w:val="20"/>
        </w:rPr>
      </w:pPr>
    </w:p>
    <w:p w14:paraId="3A473711"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6.8 </w:t>
      </w:r>
      <w:r w:rsidRPr="00BB0152">
        <w:rPr>
          <w:rFonts w:ascii="Gotham" w:hAnsi="Gotham" w:cs="Arial"/>
          <w:sz w:val="20"/>
          <w:szCs w:val="20"/>
        </w:rPr>
        <w:tab/>
        <w:t>Dictamen final que emite la Comisión Edilicia de Hacienda Municipal y Presupuestos que aprueba desechar la iniciativa del turno a comisión número 962.</w:t>
      </w:r>
    </w:p>
    <w:p w14:paraId="3A473712" w14:textId="77777777" w:rsidR="00016FE1" w:rsidRPr="00BB0152" w:rsidRDefault="00016FE1" w:rsidP="002B6227">
      <w:pPr>
        <w:ind w:left="709" w:hanging="709"/>
        <w:jc w:val="both"/>
        <w:rPr>
          <w:rFonts w:ascii="Gotham" w:hAnsi="Gotham" w:cs="Arial"/>
          <w:sz w:val="20"/>
          <w:szCs w:val="20"/>
        </w:rPr>
      </w:pPr>
    </w:p>
    <w:p w14:paraId="3A473713"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6.9 </w:t>
      </w:r>
      <w:r w:rsidRPr="00BB0152">
        <w:rPr>
          <w:rFonts w:ascii="Gotham" w:hAnsi="Gotham" w:cs="Arial"/>
          <w:sz w:val="20"/>
          <w:szCs w:val="20"/>
        </w:rPr>
        <w:tab/>
        <w:t>Dictamen final que emite la Comisión Edilicia de Hacienda Municipal y Presupuestos que aprueba desechar la iniciativa del turno a comisión número 1033.</w:t>
      </w:r>
    </w:p>
    <w:p w14:paraId="3A473714" w14:textId="77777777" w:rsidR="00016FE1" w:rsidRPr="00BB0152" w:rsidRDefault="00016FE1" w:rsidP="002B6227">
      <w:pPr>
        <w:ind w:left="709" w:hanging="709"/>
        <w:jc w:val="both"/>
        <w:rPr>
          <w:rFonts w:ascii="Gotham" w:hAnsi="Gotham" w:cs="Arial"/>
          <w:sz w:val="20"/>
          <w:szCs w:val="20"/>
        </w:rPr>
      </w:pPr>
    </w:p>
    <w:p w14:paraId="3A473715"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6.10 </w:t>
      </w:r>
      <w:r w:rsidRPr="00BB0152">
        <w:rPr>
          <w:rFonts w:ascii="Gotham" w:hAnsi="Gotham" w:cs="Arial"/>
          <w:sz w:val="20"/>
          <w:szCs w:val="20"/>
        </w:rPr>
        <w:tab/>
        <w:t>Dictamen final que emite la Comisión Edilicia de Planeación para el Desarrollo Urbano, Rural y Habitación Popular, que atiende desechando el turno marcado con el N. º371.</w:t>
      </w:r>
    </w:p>
    <w:p w14:paraId="3A473716" w14:textId="77777777" w:rsidR="00016FE1" w:rsidRPr="00BB0152" w:rsidRDefault="00016FE1" w:rsidP="002B6227">
      <w:pPr>
        <w:ind w:left="709" w:hanging="709"/>
        <w:jc w:val="both"/>
        <w:rPr>
          <w:rFonts w:ascii="Gotham" w:hAnsi="Gotham" w:cs="Arial"/>
          <w:sz w:val="20"/>
          <w:szCs w:val="20"/>
        </w:rPr>
      </w:pPr>
    </w:p>
    <w:p w14:paraId="3A473717"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6.11 </w:t>
      </w:r>
      <w:r w:rsidRPr="00BB0152">
        <w:rPr>
          <w:rFonts w:ascii="Gotham" w:hAnsi="Gotham" w:cs="Arial"/>
          <w:sz w:val="20"/>
          <w:szCs w:val="20"/>
        </w:rPr>
        <w:tab/>
        <w:t xml:space="preserve">Dictamen final que emite la Comisión Edilicia de Planeación para el Desarrollo Urbano, Rural y Habitación Popular, que atiende el turno marcado con el N. º491, que tiene por objeto llevar a cabo el procedimiento de entrega-recepción a través de la Sindicatura Municipal y de la Dirección General de Planeación y Desarrollo Urbano Sustentable del fraccionamiento denominado “El Cerrito II”, en los términos que establece el Código Urbano </w:t>
      </w:r>
      <w:r>
        <w:rPr>
          <w:rFonts w:ascii="Gotham" w:hAnsi="Gotham" w:cs="Arial"/>
          <w:sz w:val="20"/>
          <w:szCs w:val="20"/>
        </w:rPr>
        <w:t>para el Estado de Jalisco.</w:t>
      </w:r>
    </w:p>
    <w:p w14:paraId="3A473718" w14:textId="77777777" w:rsidR="00016FE1" w:rsidRPr="00BB0152" w:rsidRDefault="00016FE1" w:rsidP="002B6227">
      <w:pPr>
        <w:ind w:left="709" w:hanging="709"/>
        <w:jc w:val="both"/>
        <w:rPr>
          <w:rFonts w:ascii="Gotham" w:hAnsi="Gotham" w:cs="Arial"/>
          <w:sz w:val="20"/>
          <w:szCs w:val="20"/>
        </w:rPr>
      </w:pPr>
    </w:p>
    <w:p w14:paraId="3A473719"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6.12 </w:t>
      </w:r>
      <w:r w:rsidRPr="00BB0152">
        <w:rPr>
          <w:rFonts w:ascii="Gotham" w:hAnsi="Gotham" w:cs="Arial"/>
          <w:sz w:val="20"/>
          <w:szCs w:val="20"/>
        </w:rPr>
        <w:tab/>
        <w:t>SE RETIRA</w:t>
      </w:r>
      <w:r>
        <w:rPr>
          <w:rFonts w:ascii="Gotham" w:hAnsi="Gotham" w:cs="Arial"/>
          <w:sz w:val="20"/>
          <w:szCs w:val="20"/>
        </w:rPr>
        <w:t>.</w:t>
      </w:r>
    </w:p>
    <w:p w14:paraId="3A47371A" w14:textId="77777777" w:rsidR="00016FE1" w:rsidRPr="00BB0152" w:rsidRDefault="00016FE1" w:rsidP="002B6227">
      <w:pPr>
        <w:ind w:left="709" w:hanging="709"/>
        <w:jc w:val="both"/>
        <w:rPr>
          <w:rFonts w:ascii="Gotham" w:hAnsi="Gotham" w:cs="Arial"/>
          <w:sz w:val="20"/>
          <w:szCs w:val="20"/>
        </w:rPr>
      </w:pPr>
    </w:p>
    <w:p w14:paraId="3A47371B"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6.13 </w:t>
      </w:r>
      <w:r w:rsidRPr="00BB0152">
        <w:rPr>
          <w:rFonts w:ascii="Gotham" w:hAnsi="Gotham" w:cs="Arial"/>
          <w:sz w:val="20"/>
          <w:szCs w:val="20"/>
        </w:rPr>
        <w:tab/>
      </w:r>
      <w:r>
        <w:rPr>
          <w:rFonts w:ascii="Gotham" w:hAnsi="Gotham" w:cs="Arial"/>
          <w:sz w:val="20"/>
          <w:szCs w:val="20"/>
        </w:rPr>
        <w:t>SE RETIRA.</w:t>
      </w:r>
    </w:p>
    <w:p w14:paraId="3A47371C" w14:textId="77777777" w:rsidR="00016FE1" w:rsidRPr="00BB0152" w:rsidRDefault="00016FE1" w:rsidP="002B6227">
      <w:pPr>
        <w:ind w:left="709" w:hanging="709"/>
        <w:jc w:val="both"/>
        <w:rPr>
          <w:rFonts w:ascii="Gotham" w:hAnsi="Gotham" w:cs="Arial"/>
          <w:sz w:val="20"/>
          <w:szCs w:val="20"/>
        </w:rPr>
      </w:pPr>
    </w:p>
    <w:p w14:paraId="3A47371D" w14:textId="77777777" w:rsidR="00016FE1" w:rsidRPr="00BB0152"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6.14 </w:t>
      </w:r>
      <w:r w:rsidRPr="00BB0152">
        <w:rPr>
          <w:rFonts w:ascii="Gotham" w:hAnsi="Gotham" w:cs="Arial"/>
          <w:sz w:val="20"/>
          <w:szCs w:val="20"/>
        </w:rPr>
        <w:tab/>
        <w:t>Dictamen final que emite la Comisión Edilicia de Bienestar, Desarrollo, Asistencia Social y Familiar: y la Comisión Edilicia de Educación, Cultura e Innovación Tecnológica, que atiende el turno marcado con el</w:t>
      </w:r>
      <w:r w:rsidR="009F075D">
        <w:rPr>
          <w:rFonts w:ascii="Gotham" w:hAnsi="Gotham" w:cs="Arial"/>
          <w:sz w:val="20"/>
          <w:szCs w:val="20"/>
        </w:rPr>
        <w:t xml:space="preserve"> </w:t>
      </w:r>
      <w:r w:rsidRPr="00BB0152">
        <w:rPr>
          <w:rFonts w:ascii="Gotham" w:hAnsi="Gotham" w:cs="Arial"/>
          <w:sz w:val="20"/>
          <w:szCs w:val="20"/>
        </w:rPr>
        <w:t>N. º1056, que tiene por objeto la implementación de talleres de comprensión lectora bajo el método de lectura rápida en nuestro municipio en beneficio de niñas y niños del municipio de Tonalá.</w:t>
      </w:r>
    </w:p>
    <w:p w14:paraId="3A47371E" w14:textId="77777777" w:rsidR="00016FE1" w:rsidRPr="00BB0152" w:rsidRDefault="00016FE1" w:rsidP="002B6227">
      <w:pPr>
        <w:ind w:left="709" w:hanging="709"/>
        <w:jc w:val="both"/>
        <w:rPr>
          <w:rFonts w:ascii="Gotham" w:hAnsi="Gotham" w:cs="Arial"/>
          <w:sz w:val="20"/>
          <w:szCs w:val="20"/>
        </w:rPr>
      </w:pPr>
    </w:p>
    <w:p w14:paraId="3A47371F" w14:textId="77777777" w:rsidR="00016FE1" w:rsidRPr="00A009F9" w:rsidRDefault="00016FE1" w:rsidP="002B6227">
      <w:pPr>
        <w:ind w:left="709" w:hanging="709"/>
        <w:jc w:val="both"/>
        <w:rPr>
          <w:rFonts w:ascii="Gotham" w:hAnsi="Gotham" w:cs="Arial"/>
          <w:sz w:val="20"/>
          <w:szCs w:val="20"/>
        </w:rPr>
      </w:pPr>
      <w:r w:rsidRPr="00BB0152">
        <w:rPr>
          <w:rFonts w:ascii="Gotham" w:hAnsi="Gotham" w:cs="Arial"/>
          <w:sz w:val="20"/>
          <w:szCs w:val="20"/>
        </w:rPr>
        <w:t xml:space="preserve">6.15 </w:t>
      </w:r>
      <w:r>
        <w:rPr>
          <w:rFonts w:ascii="Gotham" w:hAnsi="Gotham" w:cs="Arial"/>
          <w:sz w:val="20"/>
          <w:szCs w:val="20"/>
        </w:rPr>
        <w:tab/>
      </w:r>
      <w:r w:rsidRPr="00BB0152">
        <w:rPr>
          <w:rFonts w:ascii="Gotham" w:hAnsi="Gotham" w:cs="Arial"/>
          <w:sz w:val="20"/>
          <w:szCs w:val="20"/>
        </w:rPr>
        <w:t>Dictamen final que emite la Comisión Edilicia de Reglamentos, Puntos Constitucionales, Administración y Planeación Legislativa; que atiende el turno a comisión con N. 290, que aprueba la creación del Reglamento para Promover, Respetar, Proteger y Garantizar, los Derechos de las Personas de La Población LGBT+ en el Municipio de Tonalá, Jalisco.</w:t>
      </w:r>
    </w:p>
    <w:p w14:paraId="3A473720" w14:textId="77777777" w:rsidR="00016FE1" w:rsidRDefault="00016FE1" w:rsidP="002B6227">
      <w:pPr>
        <w:jc w:val="both"/>
        <w:rPr>
          <w:rFonts w:ascii="Gotham" w:hAnsi="Gotham"/>
          <w:sz w:val="20"/>
          <w:szCs w:val="20"/>
        </w:rPr>
      </w:pPr>
    </w:p>
    <w:p w14:paraId="3A473721" w14:textId="77777777" w:rsidR="00016FE1" w:rsidRPr="00E71715" w:rsidRDefault="00016FE1" w:rsidP="002B6227">
      <w:pPr>
        <w:jc w:val="both"/>
        <w:rPr>
          <w:rFonts w:ascii="Gotham" w:hAnsi="Gotham"/>
          <w:sz w:val="20"/>
          <w:szCs w:val="20"/>
        </w:rPr>
      </w:pPr>
    </w:p>
    <w:p w14:paraId="3A473722" w14:textId="77777777" w:rsidR="00016FE1" w:rsidRDefault="00016FE1" w:rsidP="002B6227">
      <w:pPr>
        <w:pStyle w:val="western"/>
        <w:spacing w:before="0" w:beforeAutospacing="0"/>
        <w:jc w:val="right"/>
        <w:rPr>
          <w:rFonts w:ascii="Gotham" w:hAnsi="Gotham"/>
          <w:b/>
          <w:sz w:val="22"/>
          <w:szCs w:val="22"/>
          <w:u w:val="single"/>
        </w:rPr>
      </w:pPr>
      <w:r>
        <w:rPr>
          <w:rFonts w:ascii="Gotham" w:hAnsi="Gotham"/>
          <w:b/>
          <w:sz w:val="22"/>
          <w:szCs w:val="22"/>
          <w:u w:val="single"/>
        </w:rPr>
        <w:t>ACUERDO NO. 1128</w:t>
      </w:r>
    </w:p>
    <w:p w14:paraId="3A473723" w14:textId="77777777" w:rsidR="00016FE1" w:rsidRDefault="00016FE1" w:rsidP="002B6227">
      <w:pPr>
        <w:jc w:val="both"/>
        <w:rPr>
          <w:rFonts w:ascii="Gotham" w:hAnsi="Gotham"/>
          <w:sz w:val="20"/>
          <w:szCs w:val="20"/>
        </w:rPr>
      </w:pPr>
      <w:r w:rsidRPr="00A4249E">
        <w:rPr>
          <w:rFonts w:ascii="Gotham" w:hAnsi="Gotham"/>
          <w:b/>
          <w:bCs/>
          <w:smallCaps/>
          <w:sz w:val="20"/>
          <w:szCs w:val="20"/>
        </w:rPr>
        <w:t>Primer Dictamen de Comisión</w:t>
      </w:r>
      <w:r w:rsidRPr="00A4249E">
        <w:rPr>
          <w:rFonts w:ascii="Gotham" w:hAnsi="Gotham"/>
          <w:b/>
          <w:bCs/>
          <w:sz w:val="20"/>
          <w:szCs w:val="20"/>
        </w:rPr>
        <w:t xml:space="preserve">.- </w:t>
      </w:r>
      <w:r w:rsidRPr="00A4249E">
        <w:rPr>
          <w:rFonts w:ascii="Gotham" w:hAnsi="Gotham"/>
          <w:sz w:val="20"/>
          <w:szCs w:val="20"/>
        </w:rPr>
        <w:t>En uso de la voz el Presidente Municipal, Sergio Armando Chávez Dávalos, expresa que, se da cuenta del dictamen que presenta</w:t>
      </w:r>
      <w:r>
        <w:rPr>
          <w:rFonts w:ascii="Gotham" w:hAnsi="Gotham"/>
          <w:sz w:val="20"/>
          <w:szCs w:val="20"/>
        </w:rPr>
        <w:t>n</w:t>
      </w:r>
      <w:r w:rsidRPr="00A4249E">
        <w:rPr>
          <w:rFonts w:ascii="Gotham" w:hAnsi="Gotham"/>
          <w:sz w:val="20"/>
          <w:szCs w:val="20"/>
        </w:rPr>
        <w:t xml:space="preserve"> la</w:t>
      </w:r>
      <w:r>
        <w:rPr>
          <w:rFonts w:ascii="Gotham" w:hAnsi="Gotham"/>
          <w:sz w:val="20"/>
          <w:szCs w:val="20"/>
        </w:rPr>
        <w:t>s</w:t>
      </w:r>
      <w:r w:rsidRPr="00A4249E">
        <w:rPr>
          <w:rFonts w:ascii="Gotham" w:hAnsi="Gotham"/>
          <w:sz w:val="20"/>
          <w:szCs w:val="20"/>
        </w:rPr>
        <w:t xml:space="preserve"> </w:t>
      </w:r>
      <w:r>
        <w:rPr>
          <w:rFonts w:ascii="Gotham" w:hAnsi="Gotham"/>
          <w:sz w:val="20"/>
          <w:szCs w:val="20"/>
        </w:rPr>
        <w:t>Comisio</w:t>
      </w:r>
      <w:r w:rsidRPr="00A4249E">
        <w:rPr>
          <w:rFonts w:ascii="Gotham" w:hAnsi="Gotham"/>
          <w:sz w:val="20"/>
          <w:szCs w:val="20"/>
        </w:rPr>
        <w:t>n</w:t>
      </w:r>
      <w:r>
        <w:rPr>
          <w:rFonts w:ascii="Gotham" w:hAnsi="Gotham"/>
          <w:sz w:val="20"/>
          <w:szCs w:val="20"/>
        </w:rPr>
        <w:t>es</w:t>
      </w:r>
      <w:r w:rsidRPr="00A4249E">
        <w:rPr>
          <w:rFonts w:ascii="Gotham" w:hAnsi="Gotham"/>
          <w:sz w:val="20"/>
          <w:szCs w:val="20"/>
        </w:rPr>
        <w:t xml:space="preserve"> Edilicia</w:t>
      </w:r>
      <w:r>
        <w:rPr>
          <w:rFonts w:ascii="Gotham" w:hAnsi="Gotham"/>
          <w:sz w:val="20"/>
          <w:szCs w:val="20"/>
        </w:rPr>
        <w:t>s</w:t>
      </w:r>
      <w:r w:rsidRPr="00A4249E">
        <w:rPr>
          <w:rFonts w:ascii="Gotham" w:hAnsi="Gotham"/>
          <w:sz w:val="20"/>
          <w:szCs w:val="20"/>
        </w:rPr>
        <w:t xml:space="preserve"> de </w:t>
      </w:r>
      <w:r>
        <w:rPr>
          <w:rFonts w:ascii="Gotham" w:hAnsi="Gotham" w:cs="Arial"/>
          <w:sz w:val="20"/>
          <w:szCs w:val="20"/>
        </w:rPr>
        <w:t>Reglamentos, Puntos Constitucionales, Administración y Planeación Legislativa, y de Servicios Públicos Municipales</w:t>
      </w:r>
      <w:r w:rsidRPr="00A4249E">
        <w:rPr>
          <w:rFonts w:ascii="Gotham" w:hAnsi="Gotham"/>
          <w:sz w:val="20"/>
          <w:szCs w:val="20"/>
        </w:rPr>
        <w:t>.</w:t>
      </w:r>
    </w:p>
    <w:p w14:paraId="3A473724" w14:textId="77777777" w:rsidR="00016FE1" w:rsidRDefault="00016FE1" w:rsidP="002B6227">
      <w:pPr>
        <w:jc w:val="both"/>
        <w:rPr>
          <w:rFonts w:ascii="Gotham" w:hAnsi="Gotham"/>
          <w:sz w:val="20"/>
          <w:szCs w:val="20"/>
        </w:rPr>
      </w:pPr>
    </w:p>
    <w:p w14:paraId="3A473725" w14:textId="77777777" w:rsidR="00016FE1" w:rsidRDefault="00016FE1" w:rsidP="002B6227">
      <w:pPr>
        <w:jc w:val="both"/>
        <w:rPr>
          <w:rFonts w:ascii="Gotham" w:hAnsi="Gotham" w:cs="Arial"/>
          <w:bCs/>
          <w:sz w:val="20"/>
          <w:szCs w:val="20"/>
          <w:lang w:val="es-MX"/>
        </w:rPr>
      </w:pPr>
      <w:r>
        <w:rPr>
          <w:rFonts w:ascii="Gotham" w:hAnsi="Gotham" w:cs="Arial"/>
          <w:sz w:val="20"/>
          <w:szCs w:val="20"/>
        </w:rPr>
        <w:t xml:space="preserve">A las Comisiones de Reglamentos, Puntos Constitucionales, Administración y Planeación Legislativa, en su calidad de convocante, y Comisión de Servicios Públicos Municipales, en su calidad de coadyuvante, le fue turnada la iniciativa Ordenamiento Municipal presentada por la Regidora Verónica Isela Murillo Martínez mediante el </w:t>
      </w:r>
      <w:r>
        <w:rPr>
          <w:rFonts w:ascii="Gotham" w:hAnsi="Gotham" w:cs="Arial"/>
          <w:bCs/>
          <w:sz w:val="20"/>
          <w:szCs w:val="20"/>
        </w:rPr>
        <w:t>Acuerdo de Ayuntamiento número 734 que tiene como objeto modificar los artículos 15 y 19 del Reglamento de Cementerios del Municipio de Tonalá, Jalisco; con la finalidad de atender la Estrategia nacional de eliminación de criaderos del mosco transmisor del dengue y otras enfermedades,</w:t>
      </w:r>
      <w:r>
        <w:rPr>
          <w:rFonts w:ascii="Gotham" w:hAnsi="Gotham" w:cs="Arial"/>
          <w:sz w:val="20"/>
          <w:szCs w:val="20"/>
        </w:rPr>
        <w:t xml:space="preserve"> con fundamento en lo previsto por los artículos 2, 3 ,37 ,41 fracción II y 50 fracción I y II y demás relativos de la Ley del Gobierno y la Administración Pública Municipal del Estado de Jalisco; así como los artículos 6, 15, 38, 39, 53 fracción II, 57 fracción VIII,</w:t>
      </w:r>
      <w:r w:rsidR="009F075D">
        <w:rPr>
          <w:rFonts w:ascii="Gotham" w:hAnsi="Gotham" w:cs="Arial"/>
          <w:sz w:val="20"/>
          <w:szCs w:val="20"/>
        </w:rPr>
        <w:t xml:space="preserve"> </w:t>
      </w:r>
      <w:r>
        <w:rPr>
          <w:rFonts w:ascii="Gotham" w:hAnsi="Gotham" w:cs="Arial"/>
          <w:sz w:val="20"/>
          <w:szCs w:val="20"/>
        </w:rPr>
        <w:t>92, 93 fracción I, 98 fracción II, 100, 107 del Reglamento del Gobierno y la Administración Pública del Ayuntamiento Constitucional de Tonalá, Jalisco; así como los artículos 25, 26, 28, 42, 43, 70, 87, 88 y demás aplicables del Reglamento para el Funcionamiento Interno de Sesiones del Ayuntamiento Constitucional de Tonalá, Jalisco se expresan los siguientes:</w:t>
      </w:r>
    </w:p>
    <w:p w14:paraId="3A473726" w14:textId="77777777" w:rsidR="00016FE1" w:rsidRDefault="00016FE1" w:rsidP="002B6227">
      <w:pPr>
        <w:jc w:val="center"/>
        <w:rPr>
          <w:rFonts w:ascii="Gotham" w:eastAsiaTheme="minorHAnsi" w:hAnsi="Gotham" w:cs="Arial"/>
          <w:sz w:val="20"/>
          <w:szCs w:val="20"/>
          <w:lang w:eastAsia="en-US"/>
        </w:rPr>
      </w:pPr>
    </w:p>
    <w:p w14:paraId="3A473727" w14:textId="77777777" w:rsidR="00016FE1" w:rsidRDefault="00016FE1" w:rsidP="002B6227">
      <w:pPr>
        <w:jc w:val="center"/>
        <w:rPr>
          <w:rFonts w:ascii="Gotham" w:hAnsi="Gotham" w:cs="Arial"/>
          <w:sz w:val="20"/>
          <w:szCs w:val="20"/>
        </w:rPr>
      </w:pPr>
      <w:r>
        <w:rPr>
          <w:rFonts w:ascii="Gotham" w:hAnsi="Gotham" w:cs="Arial"/>
          <w:sz w:val="20"/>
          <w:szCs w:val="20"/>
        </w:rPr>
        <w:t>ANTECEDENTES</w:t>
      </w:r>
    </w:p>
    <w:p w14:paraId="3A473728" w14:textId="77777777" w:rsidR="00016FE1" w:rsidRDefault="00016FE1" w:rsidP="002B6227">
      <w:pPr>
        <w:jc w:val="center"/>
        <w:rPr>
          <w:rFonts w:ascii="Gotham" w:hAnsi="Gotham" w:cs="Arial"/>
          <w:sz w:val="20"/>
          <w:szCs w:val="20"/>
        </w:rPr>
      </w:pPr>
    </w:p>
    <w:p w14:paraId="3A473729"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I. </w:t>
      </w:r>
      <w:r>
        <w:rPr>
          <w:rFonts w:ascii="Gotham" w:hAnsi="Gotham" w:cs="Arial"/>
          <w:sz w:val="20"/>
          <w:szCs w:val="20"/>
        </w:rPr>
        <w:tab/>
        <w:t xml:space="preserve">Mediante Acuerdo número 734 derivado de la Sesión Ordinaria de este Ayuntamiento </w:t>
      </w:r>
      <w:r>
        <w:rPr>
          <w:rFonts w:ascii="Gotham" w:hAnsi="Gotham" w:cs="Arial"/>
          <w:color w:val="000000"/>
          <w:sz w:val="20"/>
          <w:szCs w:val="20"/>
        </w:rPr>
        <w:t xml:space="preserve">de fecha 29 de junio de año de 2023, se aprobó turnar a las comisiones la iniciativa presentada </w:t>
      </w:r>
      <w:r>
        <w:rPr>
          <w:rFonts w:ascii="Gotham" w:hAnsi="Gotham" w:cs="Arial"/>
          <w:sz w:val="20"/>
          <w:szCs w:val="20"/>
        </w:rPr>
        <w:t xml:space="preserve">la regidora Verónica Isela Murillo Martínez </w:t>
      </w:r>
      <w:r>
        <w:rPr>
          <w:rFonts w:ascii="Gotham" w:hAnsi="Gotham" w:cs="Arial"/>
          <w:color w:val="000000"/>
          <w:sz w:val="20"/>
          <w:szCs w:val="20"/>
        </w:rPr>
        <w:t>la cual,</w:t>
      </w:r>
      <w:r>
        <w:rPr>
          <w:rFonts w:ascii="Gotham" w:hAnsi="Gotham" w:cs="Arial"/>
          <w:sz w:val="20"/>
          <w:szCs w:val="20"/>
        </w:rPr>
        <w:t xml:space="preserve"> entre sus puntos principales, hace referencia a lo siguiente:</w:t>
      </w:r>
    </w:p>
    <w:p w14:paraId="3A47372A" w14:textId="77777777" w:rsidR="00016FE1" w:rsidRDefault="00016FE1" w:rsidP="002B6227">
      <w:pPr>
        <w:jc w:val="both"/>
        <w:rPr>
          <w:rFonts w:ascii="Gotham" w:hAnsi="Gotham" w:cs="Arial"/>
          <w:sz w:val="20"/>
          <w:szCs w:val="20"/>
        </w:rPr>
      </w:pPr>
    </w:p>
    <w:p w14:paraId="3A47372B" w14:textId="77777777" w:rsidR="00016FE1" w:rsidRDefault="00016FE1" w:rsidP="002B6227">
      <w:pPr>
        <w:ind w:left="851" w:right="283"/>
        <w:jc w:val="right"/>
        <w:rPr>
          <w:rFonts w:ascii="Gotham" w:eastAsia="Century" w:hAnsi="Gotham" w:cstheme="minorHAnsi"/>
          <w:b/>
          <w:i/>
          <w:sz w:val="19"/>
          <w:szCs w:val="19"/>
          <w:lang w:val="es-MX" w:eastAsia="en-US"/>
        </w:rPr>
      </w:pPr>
      <w:r>
        <w:rPr>
          <w:rFonts w:ascii="Gotham" w:eastAsia="Century" w:hAnsi="Gotham" w:cstheme="minorHAnsi"/>
          <w:b/>
          <w:i/>
          <w:spacing w:val="-1"/>
          <w:sz w:val="19"/>
          <w:szCs w:val="19"/>
          <w:u w:val="single" w:color="000000"/>
        </w:rPr>
        <w:t>AC</w:t>
      </w:r>
      <w:r>
        <w:rPr>
          <w:rFonts w:ascii="Gotham" w:eastAsia="Century" w:hAnsi="Gotham" w:cstheme="minorHAnsi"/>
          <w:b/>
          <w:i/>
          <w:sz w:val="19"/>
          <w:szCs w:val="19"/>
          <w:u w:val="single" w:color="000000"/>
        </w:rPr>
        <w:t>U</w:t>
      </w:r>
      <w:r>
        <w:rPr>
          <w:rFonts w:ascii="Gotham" w:eastAsia="Century" w:hAnsi="Gotham" w:cstheme="minorHAnsi"/>
          <w:b/>
          <w:i/>
          <w:spacing w:val="1"/>
          <w:sz w:val="19"/>
          <w:szCs w:val="19"/>
          <w:u w:val="single" w:color="000000"/>
        </w:rPr>
        <w:t>E</w:t>
      </w:r>
      <w:r>
        <w:rPr>
          <w:rFonts w:ascii="Gotham" w:eastAsia="Century" w:hAnsi="Gotham" w:cstheme="minorHAnsi"/>
          <w:b/>
          <w:i/>
          <w:spacing w:val="-1"/>
          <w:sz w:val="19"/>
          <w:szCs w:val="19"/>
          <w:u w:val="single" w:color="000000"/>
        </w:rPr>
        <w:t>RD</w:t>
      </w:r>
      <w:r>
        <w:rPr>
          <w:rFonts w:ascii="Gotham" w:eastAsia="Century" w:hAnsi="Gotham" w:cstheme="minorHAnsi"/>
          <w:b/>
          <w:i/>
          <w:sz w:val="19"/>
          <w:szCs w:val="19"/>
          <w:u w:val="single" w:color="000000"/>
        </w:rPr>
        <w:t>O</w:t>
      </w:r>
      <w:r>
        <w:rPr>
          <w:rFonts w:ascii="Gotham" w:eastAsia="Century" w:hAnsi="Gotham" w:cstheme="minorHAnsi"/>
          <w:b/>
          <w:i/>
          <w:spacing w:val="2"/>
          <w:sz w:val="19"/>
          <w:szCs w:val="19"/>
          <w:u w:val="single" w:color="000000"/>
        </w:rPr>
        <w:t xml:space="preserve"> </w:t>
      </w:r>
      <w:r>
        <w:rPr>
          <w:rFonts w:ascii="Gotham" w:eastAsia="Century" w:hAnsi="Gotham" w:cstheme="minorHAnsi"/>
          <w:b/>
          <w:i/>
          <w:spacing w:val="-2"/>
          <w:sz w:val="19"/>
          <w:szCs w:val="19"/>
          <w:u w:val="single" w:color="000000"/>
        </w:rPr>
        <w:t>N</w:t>
      </w:r>
      <w:r>
        <w:rPr>
          <w:rFonts w:ascii="Gotham" w:eastAsia="Century" w:hAnsi="Gotham" w:cstheme="minorHAnsi"/>
          <w:b/>
          <w:i/>
          <w:spacing w:val="1"/>
          <w:sz w:val="19"/>
          <w:szCs w:val="19"/>
          <w:u w:val="single" w:color="000000"/>
        </w:rPr>
        <w:t>O</w:t>
      </w:r>
      <w:r>
        <w:rPr>
          <w:rFonts w:ascii="Gotham" w:eastAsia="Century" w:hAnsi="Gotham" w:cstheme="minorHAnsi"/>
          <w:b/>
          <w:i/>
          <w:sz w:val="19"/>
          <w:szCs w:val="19"/>
          <w:u w:val="single" w:color="000000"/>
        </w:rPr>
        <w:t>.</w:t>
      </w:r>
      <w:r>
        <w:rPr>
          <w:rFonts w:ascii="Gotham" w:eastAsia="Century" w:hAnsi="Gotham" w:cstheme="minorHAnsi"/>
          <w:b/>
          <w:i/>
          <w:spacing w:val="1"/>
          <w:sz w:val="19"/>
          <w:szCs w:val="19"/>
          <w:u w:val="single" w:color="000000"/>
        </w:rPr>
        <w:t xml:space="preserve"> </w:t>
      </w:r>
      <w:r>
        <w:rPr>
          <w:rFonts w:ascii="Gotham" w:eastAsia="Century" w:hAnsi="Gotham" w:cstheme="minorHAnsi"/>
          <w:b/>
          <w:i/>
          <w:sz w:val="19"/>
          <w:szCs w:val="19"/>
          <w:u w:val="single" w:color="000000"/>
        </w:rPr>
        <w:t>734</w:t>
      </w:r>
    </w:p>
    <w:p w14:paraId="3A47372C" w14:textId="77777777" w:rsidR="00016FE1" w:rsidRDefault="00016FE1" w:rsidP="002B6227">
      <w:pPr>
        <w:ind w:left="851" w:right="283"/>
        <w:jc w:val="both"/>
        <w:rPr>
          <w:rFonts w:ascii="Gotham" w:eastAsia="Century" w:hAnsi="Gotham" w:cstheme="minorHAnsi"/>
          <w:i/>
          <w:sz w:val="19"/>
          <w:szCs w:val="19"/>
        </w:rPr>
      </w:pPr>
      <w:r>
        <w:rPr>
          <w:rFonts w:ascii="Gotham" w:eastAsia="Century" w:hAnsi="Gotham" w:cstheme="minorHAnsi"/>
          <w:b/>
          <w:i/>
          <w:smallCaps/>
          <w:sz w:val="19"/>
          <w:szCs w:val="19"/>
        </w:rPr>
        <w:t>Séptima Iniciativa con Turno a Comisión.-</w:t>
      </w:r>
      <w:r>
        <w:rPr>
          <w:rFonts w:ascii="Gotham" w:eastAsia="Century" w:hAnsi="Gotham" w:cstheme="minorHAnsi"/>
          <w:i/>
          <w:sz w:val="19"/>
          <w:szCs w:val="19"/>
        </w:rPr>
        <w:t xml:space="preserve"> En uso de la voz la Regidora Verónica Isela Murillo Martínez, manifiesta que, la que suscribe, Regidora del Ayuntamiento Constitucional de Tonalá, Jalisco; Abogada Verónica Isela Murillo Martínez, en uso de las facultades que me confieren los artículos 115, fracciones I y II de la Constitución Política de los Estados Unidos Mexicanos; así como el artículo 77 de la Constitución Política del Estado de Jalisco; los artículos 38, 41 fracción II y 50 de la Ley del Gobierno y la Administración Pública Municipal del Estado de Jalisco; los artículos 53 y 56 del Reglamento del Gobierno y la Administración Pública del Ayuntamiento Constitucional de Tonalá, Jalisco, así como los artículos 25, 82 fracción II y 83 del Reglamento Para el Funcionamiento Interno de Sesiones del Ayuntamiento Constitucional de Tonalá, Jalisco; </w:t>
      </w:r>
      <w:r>
        <w:rPr>
          <w:rFonts w:ascii="Gotham" w:eastAsia="Century" w:hAnsi="Gotham" w:cstheme="minorHAnsi"/>
          <w:i/>
          <w:sz w:val="19"/>
          <w:szCs w:val="19"/>
        </w:rPr>
        <w:lastRenderedPageBreak/>
        <w:t>someto a consideración de esta soberanía, la presente Iniciativa con Turno a Comisión, que tiene por objeto, MODIFICAR LOS ARTÍCULOS 15 y 19 del REGLAMENTO DE CEMENTERIOS DEL MUNICIPIO DE TONALÁ, JALISCO; con la finalidad de atender la Estrategia nacional de eliminación de criaderos del mosco transmisor del dengue y otras enfermedades, de conformidad con la siguiente: EXPOSICIÓN DE MOTIVOS</w:t>
      </w:r>
    </w:p>
    <w:p w14:paraId="3A47372D" w14:textId="77777777" w:rsidR="00016FE1" w:rsidRDefault="00016FE1" w:rsidP="002B6227">
      <w:pPr>
        <w:ind w:left="851" w:right="283"/>
        <w:jc w:val="both"/>
        <w:rPr>
          <w:rFonts w:ascii="Gotham" w:eastAsia="Century" w:hAnsi="Gotham" w:cstheme="minorHAnsi"/>
          <w:i/>
          <w:spacing w:val="1"/>
          <w:sz w:val="19"/>
          <w:szCs w:val="19"/>
        </w:rPr>
      </w:pPr>
    </w:p>
    <w:p w14:paraId="3A47372E" w14:textId="77777777" w:rsidR="00016FE1" w:rsidRDefault="00016FE1" w:rsidP="002B6227">
      <w:pPr>
        <w:ind w:left="851" w:right="283"/>
        <w:jc w:val="center"/>
        <w:rPr>
          <w:rFonts w:ascii="Gotham" w:eastAsia="Century" w:hAnsi="Gotham" w:cstheme="minorHAnsi"/>
          <w:i/>
          <w:spacing w:val="1"/>
          <w:sz w:val="19"/>
          <w:szCs w:val="19"/>
        </w:rPr>
      </w:pPr>
      <w:r>
        <w:rPr>
          <w:rFonts w:ascii="Gotham" w:eastAsia="Century" w:hAnsi="Gotham" w:cstheme="minorHAnsi"/>
          <w:i/>
          <w:spacing w:val="1"/>
          <w:sz w:val="19"/>
          <w:szCs w:val="19"/>
        </w:rPr>
        <w:t>EXPOSICION DE MOTIVOS</w:t>
      </w:r>
    </w:p>
    <w:p w14:paraId="3A47372F" w14:textId="77777777" w:rsidR="00016FE1" w:rsidRDefault="00016FE1" w:rsidP="002B6227">
      <w:pPr>
        <w:ind w:left="851" w:right="283"/>
        <w:jc w:val="center"/>
        <w:rPr>
          <w:rFonts w:ascii="Gotham" w:eastAsia="Century" w:hAnsi="Gotham" w:cstheme="minorHAnsi"/>
          <w:i/>
          <w:spacing w:val="1"/>
          <w:sz w:val="19"/>
          <w:szCs w:val="19"/>
        </w:rPr>
      </w:pPr>
    </w:p>
    <w:p w14:paraId="3A473730" w14:textId="77777777" w:rsidR="00016FE1" w:rsidRDefault="00016FE1" w:rsidP="002B6227">
      <w:pPr>
        <w:ind w:left="851" w:right="283"/>
        <w:jc w:val="both"/>
        <w:rPr>
          <w:rFonts w:ascii="Gotham" w:eastAsia="Century" w:hAnsi="Gotham" w:cstheme="minorHAnsi"/>
          <w:i/>
          <w:spacing w:val="1"/>
          <w:sz w:val="19"/>
          <w:szCs w:val="19"/>
        </w:rPr>
      </w:pPr>
      <w:r>
        <w:rPr>
          <w:rFonts w:ascii="Gotham" w:eastAsia="Century" w:hAnsi="Gotham" w:cstheme="minorHAnsi"/>
          <w:i/>
          <w:spacing w:val="1"/>
          <w:sz w:val="19"/>
          <w:szCs w:val="19"/>
        </w:rPr>
        <w:t>El dengue es una enfermedad causada por la infección provocada por alguno de los cuatro serotipos del virus (DEN I-IV) transmitidos por el mosquito Aedes Aegypti. Es considerada como la arbovirosis más importante en América y el control de su transmisión se sustenta en el ataque intensivo al mosquito vector, pues no existen vacunas ni medicamentos efectivos para su prevención y tratamiento</w:t>
      </w:r>
      <w:r>
        <w:rPr>
          <w:rStyle w:val="Refdenotaalpie"/>
          <w:rFonts w:ascii="Gotham" w:eastAsia="Century" w:hAnsi="Gotham" w:cstheme="minorHAnsi"/>
          <w:i/>
          <w:spacing w:val="1"/>
          <w:sz w:val="19"/>
          <w:szCs w:val="19"/>
        </w:rPr>
        <w:footnoteReference w:id="1"/>
      </w:r>
    </w:p>
    <w:p w14:paraId="3A473731" w14:textId="77777777" w:rsidR="00016FE1" w:rsidRDefault="00016FE1" w:rsidP="002B6227">
      <w:pPr>
        <w:ind w:left="851" w:right="283"/>
        <w:jc w:val="both"/>
        <w:rPr>
          <w:rFonts w:ascii="Gotham" w:eastAsia="Century" w:hAnsi="Gotham" w:cstheme="minorHAnsi"/>
          <w:i/>
          <w:spacing w:val="1"/>
          <w:sz w:val="19"/>
          <w:szCs w:val="19"/>
        </w:rPr>
      </w:pPr>
    </w:p>
    <w:p w14:paraId="3A473732" w14:textId="77777777" w:rsidR="00016FE1" w:rsidRDefault="00016FE1" w:rsidP="002B6227">
      <w:pPr>
        <w:ind w:left="851" w:right="283"/>
        <w:jc w:val="both"/>
        <w:rPr>
          <w:rFonts w:ascii="Gotham" w:eastAsia="Century" w:hAnsi="Gotham" w:cstheme="minorHAnsi"/>
          <w:i/>
          <w:spacing w:val="1"/>
          <w:sz w:val="19"/>
          <w:szCs w:val="19"/>
        </w:rPr>
      </w:pPr>
      <w:r>
        <w:rPr>
          <w:rFonts w:ascii="Gotham" w:eastAsia="Century" w:hAnsi="Gotham" w:cstheme="minorHAnsi"/>
          <w:i/>
          <w:spacing w:val="1"/>
          <w:sz w:val="19"/>
          <w:szCs w:val="19"/>
        </w:rPr>
        <w:t>El mosquito Aedes Aegypti se desarrolla en cuerpos de agua almacenada en distintos tipos de contenedores dentro y alrededor de las viviendas humanas.</w:t>
      </w:r>
    </w:p>
    <w:p w14:paraId="3A473733" w14:textId="77777777" w:rsidR="00016FE1" w:rsidRDefault="00016FE1" w:rsidP="002B6227">
      <w:pPr>
        <w:ind w:left="851" w:right="283"/>
        <w:jc w:val="both"/>
        <w:rPr>
          <w:rFonts w:ascii="Gotham" w:eastAsia="Century" w:hAnsi="Gotham" w:cstheme="minorHAnsi"/>
          <w:i/>
          <w:spacing w:val="1"/>
          <w:sz w:val="19"/>
          <w:szCs w:val="19"/>
        </w:rPr>
      </w:pPr>
    </w:p>
    <w:p w14:paraId="3A473734" w14:textId="77777777" w:rsidR="00016FE1" w:rsidRDefault="00016FE1" w:rsidP="002B6227">
      <w:pPr>
        <w:ind w:left="851" w:right="283"/>
        <w:jc w:val="both"/>
        <w:rPr>
          <w:rFonts w:ascii="Gotham" w:eastAsia="Century" w:hAnsi="Gotham" w:cstheme="minorHAnsi"/>
          <w:i/>
          <w:spacing w:val="1"/>
          <w:sz w:val="19"/>
          <w:szCs w:val="19"/>
        </w:rPr>
      </w:pPr>
      <w:r>
        <w:rPr>
          <w:rFonts w:ascii="Gotham" w:eastAsia="Century" w:hAnsi="Gotham" w:cstheme="minorHAnsi"/>
          <w:i/>
          <w:spacing w:val="1"/>
          <w:sz w:val="19"/>
          <w:szCs w:val="19"/>
        </w:rPr>
        <w:t>Un método de control apropiado es la eliminación de las fuentes de agua y criaderos, para lo que se ha recomendado el manejo ambiental permanente, que tiene como objetivo modificar físicamente el entorno donde se desarrolla y vive el mosquito para prevenir y minimizar la propagación del dengue a través del contacto vector-humano, a partir de la variante de manipulación ambiental con cambios físicos temporales.</w:t>
      </w:r>
      <w:r>
        <w:rPr>
          <w:rStyle w:val="Refdenotaalpie"/>
          <w:rFonts w:ascii="Gotham" w:eastAsia="Century" w:hAnsi="Gotham" w:cstheme="minorHAnsi"/>
          <w:i/>
          <w:spacing w:val="1"/>
          <w:sz w:val="19"/>
          <w:szCs w:val="19"/>
        </w:rPr>
        <w:footnoteReference w:id="2"/>
      </w:r>
    </w:p>
    <w:p w14:paraId="3A473735" w14:textId="77777777" w:rsidR="00016FE1" w:rsidRDefault="00016FE1" w:rsidP="002B6227">
      <w:pPr>
        <w:ind w:left="851" w:right="283"/>
        <w:jc w:val="both"/>
        <w:rPr>
          <w:rFonts w:ascii="Gotham" w:eastAsia="Century" w:hAnsi="Gotham" w:cstheme="minorHAnsi"/>
          <w:i/>
          <w:spacing w:val="1"/>
          <w:sz w:val="19"/>
          <w:szCs w:val="19"/>
        </w:rPr>
      </w:pPr>
    </w:p>
    <w:p w14:paraId="3A473736" w14:textId="77777777" w:rsidR="00016FE1" w:rsidRDefault="00016FE1" w:rsidP="002B6227">
      <w:pPr>
        <w:ind w:left="851" w:right="283"/>
        <w:jc w:val="both"/>
        <w:rPr>
          <w:rFonts w:ascii="Gotham" w:eastAsia="Century" w:hAnsi="Gotham" w:cstheme="minorHAnsi"/>
          <w:i/>
          <w:spacing w:val="1"/>
          <w:sz w:val="19"/>
          <w:szCs w:val="19"/>
        </w:rPr>
      </w:pPr>
      <w:r>
        <w:rPr>
          <w:rFonts w:ascii="Gotham" w:eastAsia="Century" w:hAnsi="Gotham" w:cstheme="minorHAnsi"/>
          <w:i/>
          <w:spacing w:val="1"/>
          <w:sz w:val="19"/>
          <w:szCs w:val="19"/>
        </w:rPr>
        <w:t>Sobre todo cuando destaca que un mosco puede generar durante su vida entre 200 y 250 huevecillos en promedio, lo que representa el mismo número de larvas y por ende de mosquitos, razón por la que es importante que los ciudadanos hagan labores de limpieza y eliminación de espacios propicios para la proliferación de moscos. Más en las temporadas de lluvias, pues es cuando los riesgos de contagio de dengue, zika y chikungunya se incrementan de manera considerable al haber un aumento de moscos tran</w:t>
      </w:r>
      <w:r w:rsidR="000F59BA">
        <w:rPr>
          <w:rFonts w:ascii="Gotham" w:eastAsia="Century" w:hAnsi="Gotham" w:cstheme="minorHAnsi"/>
          <w:i/>
          <w:spacing w:val="1"/>
          <w:sz w:val="19"/>
          <w:szCs w:val="19"/>
        </w:rPr>
        <w:t>smisores de estos padecimientos.</w:t>
      </w:r>
      <w:r>
        <w:rPr>
          <w:rStyle w:val="Refdenotaalpie"/>
          <w:rFonts w:ascii="Gotham" w:eastAsia="Century" w:hAnsi="Gotham" w:cstheme="minorHAnsi"/>
          <w:i/>
          <w:spacing w:val="1"/>
          <w:sz w:val="19"/>
          <w:szCs w:val="19"/>
        </w:rPr>
        <w:footnoteReference w:id="3"/>
      </w:r>
    </w:p>
    <w:p w14:paraId="3A473737" w14:textId="77777777" w:rsidR="00016FE1" w:rsidRDefault="00016FE1" w:rsidP="002B6227">
      <w:pPr>
        <w:ind w:left="851" w:right="283"/>
        <w:jc w:val="both"/>
        <w:rPr>
          <w:rFonts w:ascii="Gotham" w:eastAsia="Century" w:hAnsi="Gotham" w:cstheme="minorHAnsi"/>
          <w:i/>
          <w:spacing w:val="1"/>
          <w:sz w:val="19"/>
          <w:szCs w:val="19"/>
        </w:rPr>
      </w:pPr>
    </w:p>
    <w:p w14:paraId="3A473738" w14:textId="77777777" w:rsidR="00016FE1" w:rsidRDefault="00016FE1" w:rsidP="002B6227">
      <w:pPr>
        <w:ind w:left="851" w:right="283"/>
        <w:jc w:val="both"/>
        <w:rPr>
          <w:rFonts w:ascii="Gotham" w:eastAsiaTheme="minorHAnsi" w:hAnsi="Gotham" w:cstheme="minorBidi"/>
          <w:i/>
          <w:sz w:val="19"/>
          <w:szCs w:val="19"/>
        </w:rPr>
      </w:pPr>
      <w:r>
        <w:rPr>
          <w:rFonts w:ascii="Gotham" w:hAnsi="Gotham"/>
          <w:i/>
          <w:sz w:val="19"/>
          <w:szCs w:val="19"/>
        </w:rPr>
        <w:t>El mosquito Aedes aegypti, principal transmisor del dengue, encontró en el mundo moderno condiciones ambientales favorables para su propagación y representa un importante problema de salud pública. Las razones de la aparición del dengue han sido bien documentadas e incluyen:</w:t>
      </w:r>
    </w:p>
    <w:p w14:paraId="3A473739" w14:textId="77777777" w:rsidR="00016FE1" w:rsidRDefault="00016FE1" w:rsidP="002B6227">
      <w:pPr>
        <w:ind w:left="851" w:right="283"/>
        <w:jc w:val="both"/>
        <w:rPr>
          <w:rFonts w:ascii="Gotham" w:hAnsi="Gotham"/>
          <w:i/>
          <w:sz w:val="19"/>
          <w:szCs w:val="19"/>
        </w:rPr>
      </w:pPr>
    </w:p>
    <w:p w14:paraId="3A47373A"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 </w:t>
      </w:r>
      <w:r>
        <w:rPr>
          <w:rFonts w:ascii="Gotham" w:hAnsi="Gotham"/>
          <w:i/>
          <w:sz w:val="19"/>
          <w:szCs w:val="19"/>
        </w:rPr>
        <w:tab/>
        <w:t>La rápida urbanización y por lo general no planificada, con servicios deficientes de abastecimiento básico y de eliminación de deshechos. - La circulación de varios tipos del virus del dengue en un área.</w:t>
      </w:r>
    </w:p>
    <w:p w14:paraId="3A47373B"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 - </w:t>
      </w:r>
      <w:r>
        <w:rPr>
          <w:rFonts w:ascii="Gotham" w:hAnsi="Gotham"/>
          <w:i/>
          <w:sz w:val="19"/>
          <w:szCs w:val="19"/>
        </w:rPr>
        <w:tab/>
        <w:t>La adaptabilidad de los vectores (mosquitos transmisores del dengue), principalmente del Aedes Aegypti.</w:t>
      </w:r>
    </w:p>
    <w:p w14:paraId="3A47373C"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 </w:t>
      </w:r>
      <w:r>
        <w:rPr>
          <w:rFonts w:ascii="Gotham" w:hAnsi="Gotham"/>
          <w:i/>
          <w:sz w:val="19"/>
          <w:szCs w:val="19"/>
        </w:rPr>
        <w:tab/>
        <w:t>La producción y el uso no restringido de envases de alimentos y bebidas no biodegradables, barriles y otros recipientes de almacenamiento de agua, que a menudo se convierten en criaderos de mosquitos.</w:t>
      </w:r>
    </w:p>
    <w:p w14:paraId="3A47373D" w14:textId="77777777" w:rsidR="00016FE1" w:rsidRDefault="00016FE1" w:rsidP="002B6227">
      <w:pPr>
        <w:ind w:left="1276" w:right="283" w:hanging="425"/>
        <w:jc w:val="both"/>
        <w:rPr>
          <w:rFonts w:ascii="Gotham" w:eastAsia="Century" w:hAnsi="Gotham" w:cstheme="minorHAnsi"/>
          <w:i/>
          <w:spacing w:val="1"/>
          <w:sz w:val="19"/>
          <w:szCs w:val="19"/>
        </w:rPr>
      </w:pPr>
      <w:r>
        <w:rPr>
          <w:rFonts w:ascii="Gotham" w:hAnsi="Gotham"/>
          <w:i/>
          <w:sz w:val="19"/>
          <w:szCs w:val="19"/>
        </w:rPr>
        <w:t xml:space="preserve">- </w:t>
      </w:r>
      <w:r>
        <w:rPr>
          <w:rFonts w:ascii="Gotham" w:hAnsi="Gotham"/>
          <w:i/>
          <w:sz w:val="19"/>
          <w:szCs w:val="19"/>
        </w:rPr>
        <w:tab/>
        <w:t>La inadecuada disposición de llantas. - Los cambios climáticos con modificaciones en los periodos de lluvia e incremento de la temperatura promedio.</w:t>
      </w:r>
      <w:r>
        <w:rPr>
          <w:rStyle w:val="Refdenotaalpie"/>
          <w:rFonts w:ascii="Gotham" w:hAnsi="Gotham"/>
          <w:i/>
          <w:sz w:val="19"/>
          <w:szCs w:val="19"/>
        </w:rPr>
        <w:footnoteReference w:id="4"/>
      </w:r>
    </w:p>
    <w:p w14:paraId="3A47373E" w14:textId="77777777" w:rsidR="00016FE1" w:rsidRDefault="00016FE1" w:rsidP="002B6227">
      <w:pPr>
        <w:ind w:left="851" w:right="283"/>
        <w:jc w:val="both"/>
        <w:rPr>
          <w:rFonts w:ascii="Gotham" w:eastAsia="Century" w:hAnsi="Gotham" w:cstheme="minorHAnsi"/>
          <w:i/>
          <w:spacing w:val="1"/>
          <w:sz w:val="19"/>
          <w:szCs w:val="19"/>
        </w:rPr>
      </w:pPr>
    </w:p>
    <w:p w14:paraId="3A47373F" w14:textId="77777777" w:rsidR="00016FE1" w:rsidRDefault="00016FE1" w:rsidP="002B6227">
      <w:pPr>
        <w:ind w:left="851" w:right="283"/>
        <w:jc w:val="both"/>
        <w:rPr>
          <w:rFonts w:ascii="Gotham" w:eastAsiaTheme="minorHAnsi" w:hAnsi="Gotham" w:cstheme="minorBidi"/>
          <w:i/>
          <w:sz w:val="19"/>
          <w:szCs w:val="19"/>
        </w:rPr>
      </w:pPr>
      <w:r>
        <w:rPr>
          <w:rFonts w:ascii="Gotham" w:hAnsi="Gotham"/>
          <w:i/>
          <w:sz w:val="19"/>
          <w:szCs w:val="19"/>
        </w:rPr>
        <w:t>Sin embargo, el dengue es una enfermedad prevenible, la mayoría de los factores que facilitan su propagación son controlables mediante prácticas individuales y comunitarias de promoción de salud, por ello es fundamental la participación del municipio en el fortalecimiento de acciones en el nivel local, que faciliten el buen manejo o la eliminación de todos aquellos espacios y recipientes en los que se almacena agua y donde se pueden desarrollar los mosquitos del dengue.</w:t>
      </w:r>
    </w:p>
    <w:p w14:paraId="3A473740" w14:textId="77777777" w:rsidR="00016FE1" w:rsidRDefault="00016FE1" w:rsidP="002B6227">
      <w:pPr>
        <w:ind w:left="851" w:right="283"/>
        <w:jc w:val="both"/>
        <w:rPr>
          <w:rFonts w:ascii="Gotham" w:hAnsi="Gotham"/>
          <w:i/>
          <w:sz w:val="19"/>
          <w:szCs w:val="19"/>
        </w:rPr>
      </w:pPr>
    </w:p>
    <w:p w14:paraId="3A473741" w14:textId="77777777" w:rsidR="00016FE1" w:rsidRDefault="00016FE1" w:rsidP="002B6227">
      <w:pPr>
        <w:ind w:left="851" w:right="283"/>
        <w:jc w:val="both"/>
        <w:rPr>
          <w:rFonts w:ascii="Gotham" w:hAnsi="Gotham"/>
          <w:i/>
          <w:sz w:val="19"/>
          <w:szCs w:val="19"/>
        </w:rPr>
      </w:pPr>
      <w:r>
        <w:rPr>
          <w:rFonts w:ascii="Gotham" w:hAnsi="Gotham"/>
          <w:i/>
          <w:sz w:val="19"/>
          <w:szCs w:val="19"/>
        </w:rPr>
        <w:t>Sin embargo, el dengue es una enfermedad prevenible, la mayoría de los factores que facilitan su propagación son controlables mediante prácticas individuales y comunitarias de promoción de salud, por ello es fundamental la participación del municipio en el fortalecimiento de acciones en el nivel local, que faciliten el buen manejo o la eliminación de todos aquellos espacios y recipientes en los que se almacena agua y donde se pueden desarrollar los mosquitos del dengue.</w:t>
      </w:r>
    </w:p>
    <w:p w14:paraId="3A473742" w14:textId="77777777" w:rsidR="00016FE1" w:rsidRDefault="00016FE1" w:rsidP="002B6227">
      <w:pPr>
        <w:ind w:left="851" w:right="283"/>
        <w:jc w:val="both"/>
        <w:rPr>
          <w:rFonts w:ascii="Gotham" w:hAnsi="Gotham"/>
          <w:i/>
          <w:sz w:val="19"/>
          <w:szCs w:val="19"/>
        </w:rPr>
      </w:pPr>
    </w:p>
    <w:p w14:paraId="3A473743" w14:textId="77777777" w:rsidR="00016FE1" w:rsidRDefault="00016FE1" w:rsidP="002B6227">
      <w:pPr>
        <w:ind w:left="851" w:right="283"/>
        <w:jc w:val="both"/>
        <w:rPr>
          <w:rFonts w:ascii="Gotham" w:hAnsi="Gotham"/>
          <w:i/>
          <w:sz w:val="19"/>
          <w:szCs w:val="19"/>
        </w:rPr>
      </w:pPr>
      <w:r>
        <w:rPr>
          <w:rFonts w:ascii="Gotham" w:hAnsi="Gotham"/>
          <w:i/>
          <w:sz w:val="19"/>
          <w:szCs w:val="19"/>
        </w:rPr>
        <w:t>Los programas de control del dengue se tienen establecidos en la mayoría de los países de acuerdo a sus características como es el caso de México, sin embargo, una de las estrategias generalizadas es la eliminación de posibles objetos que acumulen agua (tinacos, pilas, llantas y floreros, entre otros) y la aplicación de químicos para eliminar las larvas de los mosquitos y a los mosquitos adultos; para ello, es necesaria la participación de todos los sectores y la sociedad.</w:t>
      </w:r>
    </w:p>
    <w:p w14:paraId="3A473744" w14:textId="77777777" w:rsidR="00016FE1" w:rsidRDefault="00016FE1" w:rsidP="002B6227">
      <w:pPr>
        <w:ind w:left="851" w:right="283"/>
        <w:jc w:val="both"/>
        <w:rPr>
          <w:rFonts w:ascii="Gotham" w:hAnsi="Gotham"/>
          <w:i/>
          <w:sz w:val="19"/>
          <w:szCs w:val="19"/>
        </w:rPr>
      </w:pPr>
    </w:p>
    <w:p w14:paraId="3A473745" w14:textId="77777777" w:rsidR="00016FE1" w:rsidRDefault="00016FE1" w:rsidP="002B6227">
      <w:pPr>
        <w:ind w:left="851" w:right="283"/>
        <w:jc w:val="both"/>
        <w:rPr>
          <w:rFonts w:ascii="Gotham" w:hAnsi="Gotham"/>
          <w:i/>
          <w:sz w:val="19"/>
          <w:szCs w:val="19"/>
        </w:rPr>
      </w:pPr>
      <w:r>
        <w:rPr>
          <w:rFonts w:ascii="Gotham" w:hAnsi="Gotham"/>
          <w:i/>
          <w:sz w:val="19"/>
          <w:szCs w:val="19"/>
        </w:rPr>
        <w:t>Reconociendo el carácter estratégico que adquiere el municipio para promover la participación social, realizar intervenciones que mejoran la salud, así como para promover y generar políticas publicas saludables a nivel local; la participación de los municipios en el fortalecimiento de las acciones de promoción de la salud para la prevención y control del dengue, es fundamental.</w:t>
      </w:r>
    </w:p>
    <w:p w14:paraId="3A473746" w14:textId="77777777" w:rsidR="00016FE1" w:rsidRDefault="00016FE1" w:rsidP="002B6227">
      <w:pPr>
        <w:ind w:left="851" w:right="283"/>
        <w:jc w:val="both"/>
        <w:rPr>
          <w:rFonts w:ascii="Gotham" w:hAnsi="Gotham"/>
          <w:i/>
          <w:sz w:val="19"/>
          <w:szCs w:val="19"/>
        </w:rPr>
      </w:pPr>
    </w:p>
    <w:p w14:paraId="3A473747" w14:textId="77777777" w:rsidR="00016FE1" w:rsidRDefault="00016FE1" w:rsidP="002B6227">
      <w:pPr>
        <w:ind w:left="851" w:right="283"/>
        <w:jc w:val="both"/>
        <w:rPr>
          <w:rFonts w:ascii="Gotham" w:hAnsi="Gotham"/>
          <w:i/>
          <w:sz w:val="19"/>
          <w:szCs w:val="19"/>
        </w:rPr>
      </w:pPr>
      <w:r>
        <w:rPr>
          <w:rFonts w:ascii="Gotham" w:hAnsi="Gotham"/>
          <w:i/>
          <w:sz w:val="19"/>
          <w:szCs w:val="19"/>
        </w:rPr>
        <w:t>El dengue es un problema de salud pública; la generación de entornos limpios que favorezcan el control del mosquito transmisor, es responsabilidad de la comunidad y las autoridades en conjunto.</w:t>
      </w:r>
    </w:p>
    <w:p w14:paraId="3A473748" w14:textId="77777777" w:rsidR="00016FE1" w:rsidRDefault="00016FE1" w:rsidP="002B6227">
      <w:pPr>
        <w:ind w:left="851" w:right="283"/>
        <w:jc w:val="both"/>
        <w:rPr>
          <w:rFonts w:ascii="Gotham" w:hAnsi="Gotham"/>
          <w:i/>
          <w:sz w:val="19"/>
          <w:szCs w:val="19"/>
        </w:rPr>
      </w:pPr>
    </w:p>
    <w:p w14:paraId="3A473749" w14:textId="77777777" w:rsidR="00016FE1" w:rsidRDefault="00016FE1" w:rsidP="002B6227">
      <w:pPr>
        <w:ind w:left="851" w:right="283"/>
        <w:jc w:val="both"/>
        <w:rPr>
          <w:rFonts w:ascii="Gotham" w:hAnsi="Gotham"/>
          <w:i/>
          <w:sz w:val="19"/>
          <w:szCs w:val="19"/>
        </w:rPr>
      </w:pPr>
      <w:r>
        <w:rPr>
          <w:rFonts w:ascii="Gotham" w:hAnsi="Gotham"/>
          <w:i/>
          <w:sz w:val="19"/>
          <w:szCs w:val="19"/>
        </w:rPr>
        <w:t>Por lo antes expuesto es que proponemos:</w:t>
      </w:r>
    </w:p>
    <w:p w14:paraId="3A47374A" w14:textId="77777777" w:rsidR="00016FE1" w:rsidRDefault="00016FE1" w:rsidP="002B6227">
      <w:pPr>
        <w:ind w:left="851" w:right="283"/>
        <w:jc w:val="both"/>
        <w:rPr>
          <w:rFonts w:ascii="Gotham" w:hAnsi="Gotham"/>
          <w:i/>
          <w:sz w:val="19"/>
          <w:szCs w:val="19"/>
        </w:rPr>
      </w:pPr>
    </w:p>
    <w:tbl>
      <w:tblPr>
        <w:tblStyle w:val="Tablaconcuadrcula"/>
        <w:tblW w:w="0" w:type="auto"/>
        <w:tblInd w:w="284" w:type="dxa"/>
        <w:tblLook w:val="04A0" w:firstRow="1" w:lastRow="0" w:firstColumn="1" w:lastColumn="0" w:noHBand="0" w:noVBand="1"/>
      </w:tblPr>
      <w:tblGrid>
        <w:gridCol w:w="4839"/>
        <w:gridCol w:w="4839"/>
      </w:tblGrid>
      <w:tr w:rsidR="00016FE1" w14:paraId="3A47374D" w14:textId="77777777" w:rsidTr="00AD51C5">
        <w:tc>
          <w:tcPr>
            <w:tcW w:w="5056" w:type="dxa"/>
            <w:tcBorders>
              <w:top w:val="single" w:sz="4" w:space="0" w:color="auto"/>
              <w:left w:val="single" w:sz="4" w:space="0" w:color="auto"/>
              <w:bottom w:val="single" w:sz="4" w:space="0" w:color="auto"/>
              <w:right w:val="single" w:sz="4" w:space="0" w:color="auto"/>
            </w:tcBorders>
            <w:hideMark/>
          </w:tcPr>
          <w:p w14:paraId="3A47374B" w14:textId="77777777" w:rsidR="00016FE1" w:rsidRDefault="00016FE1" w:rsidP="002B6227">
            <w:pPr>
              <w:spacing w:before="120" w:after="120"/>
              <w:ind w:right="82"/>
              <w:jc w:val="center"/>
              <w:rPr>
                <w:rFonts w:ascii="Gotham" w:eastAsia="Century" w:hAnsi="Gotham" w:cstheme="minorHAnsi"/>
                <w:b/>
                <w:i/>
                <w:spacing w:val="1"/>
                <w:sz w:val="18"/>
                <w:szCs w:val="18"/>
              </w:rPr>
            </w:pPr>
            <w:r>
              <w:rPr>
                <w:rFonts w:ascii="Gotham" w:eastAsia="Century" w:hAnsi="Gotham" w:cstheme="minorHAnsi"/>
                <w:b/>
                <w:i/>
                <w:spacing w:val="1"/>
                <w:sz w:val="18"/>
                <w:szCs w:val="18"/>
              </w:rPr>
              <w:t>ACTUAL</w:t>
            </w:r>
          </w:p>
        </w:tc>
        <w:tc>
          <w:tcPr>
            <w:tcW w:w="5056" w:type="dxa"/>
            <w:tcBorders>
              <w:top w:val="single" w:sz="4" w:space="0" w:color="auto"/>
              <w:left w:val="single" w:sz="4" w:space="0" w:color="auto"/>
              <w:bottom w:val="single" w:sz="4" w:space="0" w:color="auto"/>
              <w:right w:val="single" w:sz="4" w:space="0" w:color="auto"/>
            </w:tcBorders>
            <w:hideMark/>
          </w:tcPr>
          <w:p w14:paraId="3A47374C" w14:textId="77777777" w:rsidR="00016FE1" w:rsidRDefault="00016FE1" w:rsidP="002B6227">
            <w:pPr>
              <w:spacing w:before="120" w:after="120"/>
              <w:ind w:right="82"/>
              <w:jc w:val="center"/>
              <w:rPr>
                <w:rFonts w:ascii="Gotham" w:eastAsia="Century" w:hAnsi="Gotham" w:cstheme="minorHAnsi"/>
                <w:b/>
                <w:i/>
                <w:spacing w:val="1"/>
                <w:sz w:val="18"/>
                <w:szCs w:val="18"/>
              </w:rPr>
            </w:pPr>
            <w:r>
              <w:rPr>
                <w:rFonts w:ascii="Gotham" w:eastAsia="Century" w:hAnsi="Gotham" w:cstheme="minorHAnsi"/>
                <w:b/>
                <w:i/>
                <w:spacing w:val="1"/>
                <w:sz w:val="18"/>
                <w:szCs w:val="18"/>
              </w:rPr>
              <w:t>PROPUESTA</w:t>
            </w:r>
          </w:p>
        </w:tc>
      </w:tr>
      <w:tr w:rsidR="00016FE1" w14:paraId="3A473753" w14:textId="77777777" w:rsidTr="00AD51C5">
        <w:tc>
          <w:tcPr>
            <w:tcW w:w="5056" w:type="dxa"/>
            <w:tcBorders>
              <w:top w:val="single" w:sz="4" w:space="0" w:color="auto"/>
              <w:left w:val="single" w:sz="4" w:space="0" w:color="auto"/>
              <w:bottom w:val="single" w:sz="4" w:space="0" w:color="auto"/>
              <w:right w:val="single" w:sz="4" w:space="0" w:color="auto"/>
            </w:tcBorders>
          </w:tcPr>
          <w:p w14:paraId="3A47374E"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b/>
                <w:i/>
                <w:spacing w:val="1"/>
                <w:sz w:val="18"/>
                <w:szCs w:val="18"/>
              </w:rPr>
              <w:t>Artículo 15.</w:t>
            </w:r>
            <w:r>
              <w:rPr>
                <w:rFonts w:ascii="Gotham" w:eastAsia="Century" w:hAnsi="Gotham" w:cstheme="minorHAnsi"/>
                <w:i/>
                <w:spacing w:val="1"/>
                <w:sz w:val="18"/>
                <w:szCs w:val="18"/>
              </w:rPr>
              <w:t xml:space="preserve"> Las placas, lápidas o mausoleos que se coloquen en los cementerios administrados directamente por el Municipio, quedarán sujetos a las especificaciones técnicas que señale la Jefatura de Cementerios.</w:t>
            </w:r>
          </w:p>
          <w:p w14:paraId="3A47374F"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t>De colocarse un señalamiento en una fosa sin el permiso correspondiente, o no estuviera acorde con los modelos autorizados, será removido con cargo al responsable, notificándose de inmediato al Juez Municipal para que conozca, califique y sancione la infracción.</w:t>
            </w:r>
          </w:p>
          <w:p w14:paraId="3A473750" w14:textId="77777777" w:rsidR="00016FE1" w:rsidRDefault="00016FE1" w:rsidP="00301B4D">
            <w:pPr>
              <w:spacing w:before="120" w:after="120"/>
              <w:ind w:right="82"/>
              <w:jc w:val="both"/>
              <w:rPr>
                <w:rFonts w:ascii="Gotham" w:eastAsia="Century" w:hAnsi="Gotham" w:cstheme="minorHAnsi"/>
                <w:i/>
                <w:spacing w:val="1"/>
                <w:sz w:val="18"/>
                <w:szCs w:val="18"/>
              </w:rPr>
            </w:pPr>
          </w:p>
        </w:tc>
        <w:tc>
          <w:tcPr>
            <w:tcW w:w="5056" w:type="dxa"/>
            <w:tcBorders>
              <w:top w:val="single" w:sz="4" w:space="0" w:color="auto"/>
              <w:left w:val="single" w:sz="4" w:space="0" w:color="auto"/>
              <w:bottom w:val="single" w:sz="4" w:space="0" w:color="auto"/>
              <w:right w:val="single" w:sz="4" w:space="0" w:color="auto"/>
            </w:tcBorders>
            <w:hideMark/>
          </w:tcPr>
          <w:p w14:paraId="3A473751" w14:textId="77777777" w:rsidR="00016FE1" w:rsidRDefault="00016FE1" w:rsidP="00301B4D">
            <w:pPr>
              <w:spacing w:before="120" w:after="120"/>
              <w:ind w:right="82"/>
              <w:jc w:val="both"/>
              <w:rPr>
                <w:rFonts w:ascii="Gotham" w:eastAsia="Century" w:hAnsi="Gotham" w:cstheme="minorHAnsi"/>
                <w:b/>
                <w:i/>
                <w:spacing w:val="1"/>
                <w:sz w:val="18"/>
                <w:szCs w:val="18"/>
              </w:rPr>
            </w:pPr>
            <w:r>
              <w:rPr>
                <w:rFonts w:ascii="Gotham" w:eastAsia="Century" w:hAnsi="Gotham" w:cstheme="minorHAnsi"/>
                <w:b/>
                <w:i/>
                <w:spacing w:val="1"/>
                <w:sz w:val="18"/>
                <w:szCs w:val="18"/>
              </w:rPr>
              <w:t>Artículo 15</w:t>
            </w:r>
            <w:r>
              <w:rPr>
                <w:rFonts w:ascii="Gotham" w:eastAsia="Century" w:hAnsi="Gotham" w:cstheme="minorHAnsi"/>
                <w:i/>
                <w:spacing w:val="1"/>
                <w:sz w:val="18"/>
                <w:szCs w:val="18"/>
              </w:rPr>
              <w:t xml:space="preserve">. Las placas, lápidas o mausoleos que se coloquen en los cementerios administrados directamente por el Municipio, quedarán sujetos a las especificaciones técnicas que señale la Jefatura de Cementerios, </w:t>
            </w:r>
            <w:r>
              <w:rPr>
                <w:rFonts w:ascii="Gotham" w:eastAsia="Century" w:hAnsi="Gotham" w:cstheme="minorHAnsi"/>
                <w:b/>
                <w:i/>
                <w:spacing w:val="1"/>
                <w:sz w:val="18"/>
                <w:szCs w:val="18"/>
              </w:rPr>
              <w:t>para tal efecto solo se autorizará que todo tipo de mausoleo deberá de contar en todo momento con mecanismos de desagüe en los floreros o cuerpos acumuladores de agua.</w:t>
            </w:r>
          </w:p>
          <w:p w14:paraId="3A473752"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t>De colocarse un señalamiento en una fosa sin el permiso correspondiente, o no estuviera acorde con los modelos autorizados, será removido con cargo al responsable, notificando de inmediato al Juez Municipal para que conozca, califique y sancione la infracción.</w:t>
            </w:r>
          </w:p>
        </w:tc>
      </w:tr>
      <w:tr w:rsidR="00016FE1" w14:paraId="3A47375D" w14:textId="77777777" w:rsidTr="00AD51C5">
        <w:tc>
          <w:tcPr>
            <w:tcW w:w="5056" w:type="dxa"/>
            <w:tcBorders>
              <w:top w:val="single" w:sz="4" w:space="0" w:color="auto"/>
              <w:left w:val="single" w:sz="4" w:space="0" w:color="auto"/>
              <w:bottom w:val="single" w:sz="4" w:space="0" w:color="auto"/>
              <w:right w:val="single" w:sz="4" w:space="0" w:color="auto"/>
            </w:tcBorders>
          </w:tcPr>
          <w:p w14:paraId="3A473754"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t>Artículo 19. Corresponde a la Jefatura</w:t>
            </w:r>
            <w:r w:rsidR="009F075D">
              <w:rPr>
                <w:rFonts w:ascii="Gotham" w:eastAsia="Century" w:hAnsi="Gotham" w:cstheme="minorHAnsi"/>
                <w:i/>
                <w:spacing w:val="1"/>
                <w:sz w:val="18"/>
                <w:szCs w:val="18"/>
              </w:rPr>
              <w:t xml:space="preserve"> </w:t>
            </w:r>
            <w:r>
              <w:rPr>
                <w:rFonts w:ascii="Gotham" w:eastAsia="Century" w:hAnsi="Gotham" w:cstheme="minorHAnsi"/>
                <w:i/>
                <w:spacing w:val="1"/>
                <w:sz w:val="18"/>
                <w:szCs w:val="18"/>
              </w:rPr>
              <w:t>de Cementerios:</w:t>
            </w:r>
          </w:p>
          <w:p w14:paraId="3A473755"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t>I a la XIX (…)</w:t>
            </w:r>
          </w:p>
          <w:p w14:paraId="3A473756" w14:textId="77777777" w:rsidR="00016FE1" w:rsidRDefault="00016FE1" w:rsidP="00301B4D">
            <w:pPr>
              <w:spacing w:before="120" w:after="120"/>
              <w:ind w:right="82"/>
              <w:jc w:val="both"/>
              <w:rPr>
                <w:rFonts w:ascii="Gotham" w:eastAsia="Century" w:hAnsi="Gotham" w:cstheme="minorHAnsi"/>
                <w:i/>
                <w:spacing w:val="1"/>
                <w:sz w:val="18"/>
                <w:szCs w:val="18"/>
              </w:rPr>
            </w:pPr>
          </w:p>
          <w:p w14:paraId="3A473757" w14:textId="77777777" w:rsidR="00016FE1" w:rsidRDefault="00016FE1" w:rsidP="00301B4D">
            <w:pPr>
              <w:spacing w:before="120" w:after="120"/>
              <w:ind w:right="82"/>
              <w:jc w:val="both"/>
              <w:rPr>
                <w:rFonts w:ascii="Gotham" w:eastAsia="Century" w:hAnsi="Gotham" w:cstheme="minorHAnsi"/>
                <w:i/>
                <w:spacing w:val="1"/>
                <w:sz w:val="18"/>
                <w:szCs w:val="18"/>
              </w:rPr>
            </w:pPr>
          </w:p>
          <w:p w14:paraId="3A473758"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t>XIX. Las demás funciones o atribuciones establecidas en el presente ordenamiento.</w:t>
            </w:r>
          </w:p>
        </w:tc>
        <w:tc>
          <w:tcPr>
            <w:tcW w:w="5056" w:type="dxa"/>
            <w:tcBorders>
              <w:top w:val="single" w:sz="4" w:space="0" w:color="auto"/>
              <w:left w:val="single" w:sz="4" w:space="0" w:color="auto"/>
              <w:bottom w:val="single" w:sz="4" w:space="0" w:color="auto"/>
              <w:right w:val="single" w:sz="4" w:space="0" w:color="auto"/>
            </w:tcBorders>
            <w:hideMark/>
          </w:tcPr>
          <w:p w14:paraId="3A473759"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lastRenderedPageBreak/>
              <w:t>Artículo 19. Corresponde a la Jefatura</w:t>
            </w:r>
            <w:r w:rsidR="009F075D">
              <w:rPr>
                <w:rFonts w:ascii="Gotham" w:eastAsia="Century" w:hAnsi="Gotham" w:cstheme="minorHAnsi"/>
                <w:i/>
                <w:spacing w:val="1"/>
                <w:sz w:val="18"/>
                <w:szCs w:val="18"/>
              </w:rPr>
              <w:t xml:space="preserve"> </w:t>
            </w:r>
            <w:r>
              <w:rPr>
                <w:rFonts w:ascii="Gotham" w:eastAsia="Century" w:hAnsi="Gotham" w:cstheme="minorHAnsi"/>
                <w:i/>
                <w:spacing w:val="1"/>
                <w:sz w:val="18"/>
                <w:szCs w:val="18"/>
              </w:rPr>
              <w:t>de Cementerios:</w:t>
            </w:r>
          </w:p>
          <w:p w14:paraId="3A47375A"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t>I a la XIX (…)</w:t>
            </w:r>
          </w:p>
          <w:p w14:paraId="3A47375B"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lastRenderedPageBreak/>
              <w:t>XIX. Inspeccionar que no haya acumulación o estancamiento de agua en las lápidas de las tumbas.</w:t>
            </w:r>
          </w:p>
          <w:p w14:paraId="3A47375C" w14:textId="77777777" w:rsidR="00016FE1" w:rsidRDefault="00016FE1" w:rsidP="00301B4D">
            <w:pPr>
              <w:spacing w:before="120" w:after="120"/>
              <w:ind w:right="82"/>
              <w:jc w:val="both"/>
              <w:rPr>
                <w:rFonts w:ascii="Gotham" w:eastAsia="Century" w:hAnsi="Gotham" w:cstheme="minorHAnsi"/>
                <w:i/>
                <w:spacing w:val="1"/>
                <w:sz w:val="18"/>
                <w:szCs w:val="18"/>
              </w:rPr>
            </w:pPr>
            <w:r>
              <w:rPr>
                <w:rFonts w:ascii="Gotham" w:eastAsia="Century" w:hAnsi="Gotham" w:cstheme="minorHAnsi"/>
                <w:i/>
                <w:spacing w:val="1"/>
                <w:sz w:val="18"/>
                <w:szCs w:val="18"/>
              </w:rPr>
              <w:t>XX. Las demás funciones o atribuciones establecidas en el presente ordenamiento.</w:t>
            </w:r>
          </w:p>
        </w:tc>
      </w:tr>
    </w:tbl>
    <w:p w14:paraId="3A47375E" w14:textId="77777777" w:rsidR="00016FE1" w:rsidRDefault="00016FE1" w:rsidP="002B6227">
      <w:pPr>
        <w:ind w:left="284" w:right="82"/>
        <w:jc w:val="both"/>
        <w:rPr>
          <w:rFonts w:ascii="Gotham" w:eastAsia="Century" w:hAnsi="Gotham" w:cstheme="minorHAnsi"/>
          <w:spacing w:val="1"/>
          <w:sz w:val="20"/>
          <w:szCs w:val="20"/>
          <w:lang w:eastAsia="en-US"/>
        </w:rPr>
      </w:pPr>
    </w:p>
    <w:p w14:paraId="3A47375F" w14:textId="77777777" w:rsidR="00016FE1" w:rsidRDefault="00016FE1" w:rsidP="002B6227">
      <w:pPr>
        <w:ind w:left="851" w:right="283"/>
        <w:jc w:val="both"/>
        <w:rPr>
          <w:rFonts w:ascii="Gotham" w:eastAsiaTheme="minorHAnsi" w:hAnsi="Gotham" w:cstheme="minorBidi"/>
          <w:i/>
          <w:sz w:val="19"/>
          <w:szCs w:val="19"/>
        </w:rPr>
      </w:pPr>
      <w:r>
        <w:rPr>
          <w:rFonts w:ascii="Gotham" w:hAnsi="Gotham"/>
          <w:i/>
          <w:sz w:val="19"/>
          <w:szCs w:val="19"/>
        </w:rPr>
        <w:t>Por lo anteriormente expuesto, someto a su consideración la siguiente INICIATIVA CON TURNO A COMISIÓN bajo los siguientes puntos de.</w:t>
      </w:r>
    </w:p>
    <w:p w14:paraId="3A473760" w14:textId="77777777" w:rsidR="00016FE1" w:rsidRDefault="00016FE1" w:rsidP="002B6227">
      <w:pPr>
        <w:ind w:left="851" w:right="283"/>
        <w:jc w:val="both"/>
        <w:rPr>
          <w:rFonts w:ascii="Gotham" w:hAnsi="Gotham"/>
          <w:i/>
          <w:sz w:val="19"/>
          <w:szCs w:val="19"/>
        </w:rPr>
      </w:pPr>
    </w:p>
    <w:p w14:paraId="3A473761" w14:textId="77777777" w:rsidR="00016FE1" w:rsidRDefault="00016FE1" w:rsidP="002B6227">
      <w:pPr>
        <w:ind w:left="851" w:right="283"/>
        <w:jc w:val="center"/>
        <w:rPr>
          <w:rFonts w:ascii="Gotham" w:hAnsi="Gotham"/>
          <w:i/>
          <w:sz w:val="19"/>
          <w:szCs w:val="19"/>
        </w:rPr>
      </w:pPr>
      <w:r>
        <w:rPr>
          <w:rFonts w:ascii="Gotham" w:hAnsi="Gotham"/>
          <w:i/>
          <w:sz w:val="19"/>
          <w:szCs w:val="19"/>
        </w:rPr>
        <w:t>ACUERDO</w:t>
      </w:r>
    </w:p>
    <w:p w14:paraId="3A473762" w14:textId="77777777" w:rsidR="00016FE1" w:rsidRDefault="00016FE1" w:rsidP="002B6227">
      <w:pPr>
        <w:ind w:left="851" w:right="283"/>
        <w:jc w:val="both"/>
        <w:rPr>
          <w:rFonts w:ascii="Gotham" w:hAnsi="Gotham"/>
          <w:i/>
          <w:sz w:val="19"/>
          <w:szCs w:val="19"/>
        </w:rPr>
      </w:pPr>
    </w:p>
    <w:p w14:paraId="3A473763" w14:textId="77777777" w:rsidR="00016FE1" w:rsidRDefault="00016FE1" w:rsidP="002B6227">
      <w:pPr>
        <w:ind w:left="851" w:right="283"/>
        <w:jc w:val="both"/>
        <w:rPr>
          <w:rFonts w:ascii="Gotham" w:hAnsi="Gotham"/>
          <w:i/>
          <w:sz w:val="19"/>
          <w:szCs w:val="19"/>
        </w:rPr>
      </w:pPr>
      <w:r>
        <w:rPr>
          <w:rFonts w:ascii="Gotham" w:hAnsi="Gotham"/>
          <w:i/>
          <w:sz w:val="19"/>
          <w:szCs w:val="19"/>
        </w:rPr>
        <w:t>PRIMERO.- Se turne la presente iniciativa a la Comisión Edilicia de Reglamentos, Puntos Constitucionales, Administración y Planeación Legislativa como convocante y a la Comisión de Servicios Públicos Municipales como coadyuvante.</w:t>
      </w:r>
    </w:p>
    <w:p w14:paraId="3A473764" w14:textId="77777777" w:rsidR="00016FE1" w:rsidRDefault="00016FE1" w:rsidP="002B6227">
      <w:pPr>
        <w:ind w:left="851" w:right="283"/>
        <w:jc w:val="both"/>
        <w:rPr>
          <w:rFonts w:ascii="Gotham" w:hAnsi="Gotham"/>
          <w:i/>
          <w:sz w:val="19"/>
          <w:szCs w:val="19"/>
        </w:rPr>
      </w:pPr>
    </w:p>
    <w:p w14:paraId="3A473765" w14:textId="77777777" w:rsidR="00016FE1" w:rsidRDefault="00016FE1" w:rsidP="002B6227">
      <w:pPr>
        <w:ind w:left="851" w:right="283"/>
        <w:jc w:val="both"/>
        <w:rPr>
          <w:rFonts w:ascii="Gotham" w:hAnsi="Gotham"/>
          <w:i/>
          <w:sz w:val="19"/>
          <w:szCs w:val="19"/>
        </w:rPr>
      </w:pPr>
      <w:r>
        <w:rPr>
          <w:rFonts w:ascii="Gotham" w:hAnsi="Gotham"/>
          <w:i/>
          <w:sz w:val="19"/>
          <w:szCs w:val="19"/>
        </w:rPr>
        <w:t>SEGUNDO.- Se faculta al Presidente Municipal, Síndico y Secretaria General para que suscriban la documentación necesaria en cumplimiento al presente acuerdo.</w:t>
      </w:r>
    </w:p>
    <w:p w14:paraId="3A473766" w14:textId="77777777" w:rsidR="00016FE1" w:rsidRDefault="00016FE1" w:rsidP="002B6227">
      <w:pPr>
        <w:ind w:left="851" w:right="283"/>
        <w:jc w:val="both"/>
        <w:rPr>
          <w:rFonts w:ascii="Gotham" w:hAnsi="Gotham"/>
          <w:i/>
          <w:sz w:val="19"/>
          <w:szCs w:val="19"/>
        </w:rPr>
      </w:pPr>
    </w:p>
    <w:p w14:paraId="3A473767" w14:textId="77777777" w:rsidR="00016FE1" w:rsidRDefault="00016FE1" w:rsidP="002B6227">
      <w:pPr>
        <w:ind w:left="851" w:right="283"/>
        <w:jc w:val="both"/>
        <w:rPr>
          <w:rFonts w:ascii="Gotham" w:hAnsi="Gotham"/>
          <w:i/>
          <w:sz w:val="19"/>
          <w:szCs w:val="19"/>
        </w:rPr>
      </w:pPr>
      <w:r>
        <w:rPr>
          <w:rFonts w:ascii="Gotham" w:hAnsi="Gotham"/>
          <w:i/>
          <w:sz w:val="19"/>
          <w:szCs w:val="19"/>
        </w:rPr>
        <w:t>En uso de la voz el Presidente Municipal, Sergio Armando Chávez Dávalos, señala que, se propone su turno a la Comisión Edilicia de Reglamentos, Puntos Constitucionales, Administración y Planeación Legislativa; y a la de Servicios Públicos Municipales; quienes estén por la afirmativa, favor de manifestarlo levantando su mano; instruyendo a la Secretaria General para que contabilice los votos y nos informe del resultado.</w:t>
      </w:r>
    </w:p>
    <w:p w14:paraId="3A473768" w14:textId="77777777" w:rsidR="00016FE1" w:rsidRDefault="00016FE1" w:rsidP="002B6227">
      <w:pPr>
        <w:ind w:left="851" w:right="283"/>
        <w:jc w:val="both"/>
        <w:rPr>
          <w:rFonts w:ascii="Gotham" w:hAnsi="Gotham"/>
          <w:i/>
          <w:sz w:val="19"/>
          <w:szCs w:val="19"/>
        </w:rPr>
      </w:pPr>
    </w:p>
    <w:p w14:paraId="3A473769" w14:textId="77777777" w:rsidR="00016FE1" w:rsidRDefault="00016FE1" w:rsidP="002B6227">
      <w:pPr>
        <w:ind w:left="851" w:right="283"/>
        <w:jc w:val="both"/>
        <w:rPr>
          <w:rFonts w:ascii="Gotham" w:hAnsi="Gotham"/>
          <w:i/>
          <w:sz w:val="19"/>
          <w:szCs w:val="19"/>
        </w:rPr>
      </w:pPr>
      <w:r>
        <w:rPr>
          <w:rFonts w:ascii="Gotham" w:hAnsi="Gotham"/>
          <w:i/>
          <w:sz w:val="19"/>
          <w:szCs w:val="19"/>
        </w:rPr>
        <w:t>En uso de la voz informativa la Secretaria General, Mtra. Celia Isabel Gauna Ruiz de León, como lo indica Presidente, le informo que se registraron un total de 19 votos a favor.</w:t>
      </w:r>
    </w:p>
    <w:p w14:paraId="3A47376A" w14:textId="77777777" w:rsidR="00016FE1" w:rsidRDefault="00016FE1" w:rsidP="002B6227">
      <w:pPr>
        <w:ind w:left="851" w:right="283"/>
        <w:jc w:val="both"/>
        <w:rPr>
          <w:rFonts w:ascii="Gotham" w:hAnsi="Gotham"/>
          <w:i/>
          <w:sz w:val="19"/>
          <w:szCs w:val="19"/>
        </w:rPr>
      </w:pPr>
      <w:r>
        <w:rPr>
          <w:rFonts w:ascii="Gotham" w:hAnsi="Gotham"/>
          <w:i/>
          <w:sz w:val="19"/>
          <w:szCs w:val="19"/>
        </w:rPr>
        <w:t>En uso de la voz el Presidente Municipal, Sergio Armando Chávez Dávalos, expresa que, gracias Secretaria; queda aprobado.</w:t>
      </w:r>
    </w:p>
    <w:p w14:paraId="3A47376B" w14:textId="77777777" w:rsidR="00016FE1" w:rsidRDefault="00016FE1" w:rsidP="002B6227">
      <w:pPr>
        <w:ind w:left="284" w:right="82"/>
        <w:jc w:val="both"/>
        <w:rPr>
          <w:rFonts w:ascii="Gotham" w:eastAsia="Century" w:hAnsi="Gotham" w:cstheme="minorHAnsi"/>
          <w:spacing w:val="1"/>
          <w:sz w:val="20"/>
          <w:szCs w:val="20"/>
        </w:rPr>
      </w:pPr>
    </w:p>
    <w:p w14:paraId="3A47376C" w14:textId="77777777" w:rsidR="00016FE1" w:rsidRDefault="00016FE1" w:rsidP="002B6227">
      <w:pPr>
        <w:ind w:left="567" w:hanging="567"/>
        <w:jc w:val="both"/>
        <w:rPr>
          <w:rFonts w:ascii="Gotham" w:eastAsiaTheme="minorHAnsi" w:hAnsi="Gotham" w:cs="Arial"/>
          <w:sz w:val="20"/>
          <w:szCs w:val="20"/>
        </w:rPr>
      </w:pPr>
      <w:r>
        <w:rPr>
          <w:rFonts w:ascii="Gotham" w:hAnsi="Gotham" w:cs="Arial"/>
          <w:sz w:val="20"/>
          <w:szCs w:val="20"/>
        </w:rPr>
        <w:t xml:space="preserve">II. </w:t>
      </w:r>
      <w:r>
        <w:rPr>
          <w:rFonts w:ascii="Gotham" w:hAnsi="Gotham" w:cs="Arial"/>
          <w:sz w:val="20"/>
          <w:szCs w:val="20"/>
        </w:rPr>
        <w:tab/>
        <w:t>Ahora bien, mediante oficio SECRETARÍAGENERAL/ 723 /2023, de fecha 12 del mes de julio del año de 2023, la Secretaria General del Ayuntamiento la Mtra. Celia Isabel Gauna Ruiz de León, turno la iniciativa que nos ocupa, para su estudio, análisis y dictaminación a las Comisiones Edilicia Reglamentos, Puntos Constitucionales, Administración y Planeación Legislativa e su carácter de convocante y a la Comisión de Servicios Públicos Municipales como Coadyuvante.</w:t>
      </w:r>
    </w:p>
    <w:p w14:paraId="3A47376D" w14:textId="77777777" w:rsidR="00016FE1" w:rsidRDefault="00016FE1" w:rsidP="002B6227">
      <w:pPr>
        <w:ind w:right="96"/>
        <w:jc w:val="both"/>
        <w:rPr>
          <w:rFonts w:ascii="Gotham" w:hAnsi="Gotham" w:cs="Arial"/>
          <w:sz w:val="20"/>
          <w:szCs w:val="20"/>
        </w:rPr>
      </w:pPr>
    </w:p>
    <w:p w14:paraId="3A47376E" w14:textId="77777777" w:rsidR="00016FE1" w:rsidRDefault="00016FE1" w:rsidP="002B6227">
      <w:pPr>
        <w:jc w:val="both"/>
        <w:rPr>
          <w:rFonts w:ascii="Gotham" w:hAnsi="Gotham" w:cs="Arial"/>
          <w:sz w:val="20"/>
          <w:szCs w:val="20"/>
        </w:rPr>
      </w:pPr>
      <w:r>
        <w:rPr>
          <w:rFonts w:ascii="Gotham" w:hAnsi="Gotham" w:cs="Arial"/>
          <w:sz w:val="20"/>
          <w:szCs w:val="20"/>
        </w:rPr>
        <w:t>Una vez establecido lo anterior, las comisiones dictaminadoras realizamos las siguientes:</w:t>
      </w:r>
    </w:p>
    <w:p w14:paraId="3A47376F" w14:textId="77777777" w:rsidR="00016FE1" w:rsidRDefault="00016FE1" w:rsidP="002B6227">
      <w:pPr>
        <w:jc w:val="both"/>
        <w:rPr>
          <w:rFonts w:ascii="Gotham" w:hAnsi="Gotham" w:cs="Arial"/>
          <w:sz w:val="20"/>
          <w:szCs w:val="20"/>
        </w:rPr>
      </w:pPr>
    </w:p>
    <w:p w14:paraId="3A473770" w14:textId="77777777" w:rsidR="00016FE1" w:rsidRDefault="00016FE1" w:rsidP="002B6227">
      <w:pPr>
        <w:jc w:val="center"/>
        <w:rPr>
          <w:rFonts w:ascii="Gotham" w:hAnsi="Gotham" w:cs="Arial"/>
          <w:sz w:val="20"/>
          <w:szCs w:val="20"/>
        </w:rPr>
      </w:pPr>
      <w:r>
        <w:rPr>
          <w:rFonts w:ascii="Gotham" w:hAnsi="Gotham" w:cs="Arial"/>
          <w:sz w:val="20"/>
          <w:szCs w:val="20"/>
        </w:rPr>
        <w:t>C O N S I D E R A C I O N E S.</w:t>
      </w:r>
    </w:p>
    <w:p w14:paraId="3A473771" w14:textId="77777777" w:rsidR="00016FE1" w:rsidRDefault="00016FE1" w:rsidP="002B6227">
      <w:pPr>
        <w:jc w:val="center"/>
        <w:rPr>
          <w:rFonts w:ascii="Gotham" w:hAnsi="Gotham" w:cs="Arial"/>
          <w:sz w:val="20"/>
          <w:szCs w:val="20"/>
        </w:rPr>
      </w:pPr>
    </w:p>
    <w:p w14:paraId="3A473772" w14:textId="77777777" w:rsidR="00016FE1" w:rsidRDefault="00016FE1" w:rsidP="002B6227">
      <w:pPr>
        <w:ind w:left="567" w:hanging="567"/>
        <w:jc w:val="both"/>
        <w:rPr>
          <w:rFonts w:ascii="Gotham" w:hAnsi="Gotham" w:cs="Arial"/>
          <w:sz w:val="20"/>
          <w:szCs w:val="20"/>
          <w:lang w:eastAsia="es-MX"/>
        </w:rPr>
      </w:pPr>
      <w:r>
        <w:rPr>
          <w:rFonts w:ascii="Gotham" w:hAnsi="Gotham" w:cs="Arial"/>
          <w:sz w:val="20"/>
          <w:szCs w:val="20"/>
          <w:lang w:eastAsia="es-MX"/>
        </w:rPr>
        <w:t xml:space="preserve">I. </w:t>
      </w:r>
      <w:r>
        <w:rPr>
          <w:rFonts w:ascii="Gotham" w:hAnsi="Gotham" w:cs="Arial"/>
          <w:sz w:val="20"/>
          <w:szCs w:val="20"/>
          <w:lang w:eastAsia="es-MX"/>
        </w:rPr>
        <w:tab/>
        <w:t xml:space="preserve">Que la Constitución Política de los Estados Unidos Mexicanos, en su artículo 115, establece que: </w:t>
      </w:r>
    </w:p>
    <w:p w14:paraId="3A473773" w14:textId="77777777" w:rsidR="00016FE1" w:rsidRDefault="00016FE1" w:rsidP="002B6227">
      <w:pPr>
        <w:ind w:left="567" w:hanging="567"/>
        <w:jc w:val="both"/>
        <w:rPr>
          <w:rFonts w:ascii="Gotham" w:hAnsi="Gotham" w:cs="Arial"/>
          <w:i/>
          <w:sz w:val="20"/>
          <w:szCs w:val="20"/>
          <w:lang w:eastAsia="es-MX"/>
        </w:rPr>
      </w:pPr>
    </w:p>
    <w:p w14:paraId="3A473774" w14:textId="77777777" w:rsidR="00016FE1" w:rsidRDefault="00016FE1" w:rsidP="002B6227">
      <w:pPr>
        <w:ind w:left="851" w:right="283"/>
        <w:jc w:val="both"/>
        <w:rPr>
          <w:rFonts w:ascii="Gotham" w:eastAsiaTheme="minorHAnsi" w:hAnsi="Gotham" w:cstheme="minorBidi"/>
          <w:i/>
          <w:sz w:val="19"/>
          <w:szCs w:val="19"/>
          <w:lang w:eastAsia="en-US"/>
        </w:rPr>
      </w:pPr>
      <w:r>
        <w:rPr>
          <w:rFonts w:ascii="Gotham" w:hAnsi="Gotham"/>
          <w:i/>
          <w:sz w:val="19"/>
          <w:szCs w:val="19"/>
        </w:rPr>
        <w:t>“Los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3A473775" w14:textId="77777777" w:rsidR="00016FE1" w:rsidRDefault="00016FE1" w:rsidP="002B6227">
      <w:pPr>
        <w:ind w:left="567" w:hanging="567"/>
        <w:jc w:val="both"/>
        <w:rPr>
          <w:rFonts w:ascii="Gotham" w:hAnsi="Gotham" w:cs="Arial"/>
          <w:sz w:val="20"/>
          <w:szCs w:val="20"/>
          <w:lang w:eastAsia="es-MX"/>
        </w:rPr>
      </w:pPr>
    </w:p>
    <w:p w14:paraId="3A473776" w14:textId="77777777" w:rsidR="00016FE1" w:rsidRDefault="00016FE1" w:rsidP="002B6227">
      <w:pPr>
        <w:autoSpaceDE w:val="0"/>
        <w:autoSpaceDN w:val="0"/>
        <w:adjustRightInd w:val="0"/>
        <w:ind w:left="567" w:hanging="567"/>
        <w:jc w:val="both"/>
        <w:rPr>
          <w:rFonts w:ascii="Gotham" w:eastAsiaTheme="minorHAnsi" w:hAnsi="Gotham" w:cs="Arial"/>
          <w:sz w:val="20"/>
          <w:szCs w:val="20"/>
          <w:lang w:eastAsia="en-US"/>
        </w:rPr>
      </w:pPr>
      <w:r>
        <w:rPr>
          <w:rFonts w:ascii="Gotham" w:hAnsi="Gotham" w:cs="Arial"/>
          <w:sz w:val="20"/>
          <w:szCs w:val="20"/>
        </w:rPr>
        <w:t xml:space="preserve">II. </w:t>
      </w:r>
      <w:r>
        <w:rPr>
          <w:rFonts w:ascii="Gotham" w:hAnsi="Gotham" w:cs="Arial"/>
          <w:sz w:val="20"/>
          <w:szCs w:val="20"/>
        </w:rPr>
        <w:tab/>
        <w:t xml:space="preserve">Que la Constitución Política del Estado de Jalisco, en su numeral 73, estipula que: </w:t>
      </w:r>
    </w:p>
    <w:p w14:paraId="3A473777" w14:textId="77777777" w:rsidR="00016FE1" w:rsidRDefault="00016FE1" w:rsidP="002B6227">
      <w:pPr>
        <w:autoSpaceDE w:val="0"/>
        <w:autoSpaceDN w:val="0"/>
        <w:adjustRightInd w:val="0"/>
        <w:ind w:left="567" w:hanging="567"/>
        <w:jc w:val="both"/>
        <w:rPr>
          <w:rFonts w:ascii="Gotham" w:hAnsi="Gotham" w:cs="Arial"/>
          <w:sz w:val="20"/>
          <w:szCs w:val="20"/>
        </w:rPr>
      </w:pPr>
    </w:p>
    <w:p w14:paraId="3A473778" w14:textId="77777777" w:rsidR="00016FE1" w:rsidRDefault="00016FE1" w:rsidP="002B6227">
      <w:pPr>
        <w:ind w:left="851" w:right="283"/>
        <w:jc w:val="both"/>
        <w:rPr>
          <w:rFonts w:ascii="Gotham" w:hAnsi="Gotham" w:cstheme="minorBidi"/>
          <w:i/>
          <w:sz w:val="19"/>
          <w:szCs w:val="19"/>
        </w:rPr>
      </w:pPr>
      <w:r>
        <w:rPr>
          <w:rFonts w:ascii="Gotham" w:hAnsi="Gotham"/>
          <w:i/>
          <w:sz w:val="19"/>
          <w:szCs w:val="19"/>
        </w:rPr>
        <w:lastRenderedPageBreak/>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p>
    <w:p w14:paraId="3A473779" w14:textId="77777777" w:rsidR="00016FE1" w:rsidRDefault="00016FE1" w:rsidP="002B6227">
      <w:pPr>
        <w:autoSpaceDE w:val="0"/>
        <w:autoSpaceDN w:val="0"/>
        <w:adjustRightInd w:val="0"/>
        <w:ind w:left="567" w:hanging="567"/>
        <w:jc w:val="both"/>
        <w:rPr>
          <w:rFonts w:ascii="Gotham" w:hAnsi="Gotham" w:cs="Arial"/>
          <w:sz w:val="20"/>
          <w:szCs w:val="20"/>
        </w:rPr>
      </w:pPr>
    </w:p>
    <w:p w14:paraId="3A47377A"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III. </w:t>
      </w:r>
      <w:r>
        <w:rPr>
          <w:rFonts w:ascii="Gotham" w:hAnsi="Gotham" w:cs="Arial"/>
          <w:sz w:val="20"/>
          <w:szCs w:val="20"/>
        </w:rPr>
        <w:tab/>
        <w:t xml:space="preserve">Que la Ley del Gobierno y la Administración Pública Municipal del Estado de Jalisco, en su artículo 3, establece que: </w:t>
      </w:r>
    </w:p>
    <w:p w14:paraId="3A47377B" w14:textId="77777777" w:rsidR="00016FE1" w:rsidRDefault="00016FE1" w:rsidP="002B6227">
      <w:pPr>
        <w:ind w:left="567" w:hanging="567"/>
        <w:jc w:val="both"/>
        <w:rPr>
          <w:rFonts w:ascii="Gotham" w:hAnsi="Gotham" w:cs="Arial"/>
          <w:sz w:val="20"/>
          <w:szCs w:val="20"/>
        </w:rPr>
      </w:pPr>
    </w:p>
    <w:p w14:paraId="3A47377C" w14:textId="77777777" w:rsidR="00016FE1" w:rsidRDefault="00016FE1" w:rsidP="002B6227">
      <w:pPr>
        <w:ind w:left="851" w:right="283"/>
        <w:jc w:val="both"/>
        <w:rPr>
          <w:rFonts w:ascii="Gotham" w:hAnsi="Gotham" w:cstheme="minorBidi"/>
          <w:i/>
          <w:sz w:val="19"/>
          <w:szCs w:val="19"/>
        </w:rPr>
      </w:pPr>
      <w:r>
        <w:rPr>
          <w:rFonts w:ascii="Gotham" w:hAnsi="Gotham"/>
          <w:i/>
          <w:sz w:val="19"/>
          <w:szCs w:val="19"/>
        </w:rPr>
        <w:t xml:space="preserve">“Cada Municipio es gobernado por un Ayuntamiento de elección popular directa. Las competencias municipales deben ser ejercidas de manera exclusiva por el Ayuntamiento y no habrá ninguna autoridad intermedia entre éste y el Gobierno del Estado...”. </w:t>
      </w:r>
    </w:p>
    <w:p w14:paraId="3A47377D" w14:textId="77777777" w:rsidR="00016FE1" w:rsidRDefault="00016FE1" w:rsidP="002B6227">
      <w:pPr>
        <w:ind w:left="567"/>
        <w:jc w:val="both"/>
        <w:rPr>
          <w:rFonts w:ascii="Gotham" w:hAnsi="Gotham" w:cs="Arial"/>
          <w:snapToGrid w:val="0"/>
          <w:sz w:val="20"/>
          <w:szCs w:val="20"/>
        </w:rPr>
      </w:pPr>
    </w:p>
    <w:p w14:paraId="3A47377E" w14:textId="77777777" w:rsidR="00016FE1" w:rsidRDefault="00016FE1" w:rsidP="002B6227">
      <w:pPr>
        <w:ind w:left="567"/>
        <w:jc w:val="both"/>
        <w:rPr>
          <w:rFonts w:ascii="Gotham" w:hAnsi="Gotham" w:cs="Arial"/>
          <w:sz w:val="20"/>
          <w:szCs w:val="20"/>
        </w:rPr>
      </w:pPr>
      <w:r>
        <w:rPr>
          <w:rFonts w:ascii="Gotham" w:hAnsi="Gotham" w:cs="Arial"/>
          <w:snapToGrid w:val="0"/>
          <w:sz w:val="20"/>
          <w:szCs w:val="20"/>
        </w:rPr>
        <w:t xml:space="preserve">Asimismo, </w:t>
      </w:r>
      <w:r>
        <w:rPr>
          <w:rFonts w:ascii="Gotham" w:hAnsi="Gotham" w:cs="Arial"/>
          <w:sz w:val="20"/>
          <w:szCs w:val="20"/>
        </w:rPr>
        <w:t xml:space="preserve">en su artículo 27, señala que: </w:t>
      </w:r>
    </w:p>
    <w:p w14:paraId="3A47377F" w14:textId="77777777" w:rsidR="00016FE1" w:rsidRDefault="00016FE1" w:rsidP="002B6227">
      <w:pPr>
        <w:ind w:left="567"/>
        <w:jc w:val="both"/>
        <w:rPr>
          <w:rFonts w:ascii="Gotham" w:hAnsi="Gotham" w:cs="Arial"/>
          <w:sz w:val="20"/>
          <w:szCs w:val="20"/>
        </w:rPr>
      </w:pPr>
    </w:p>
    <w:p w14:paraId="3A473780" w14:textId="77777777" w:rsidR="00016FE1" w:rsidRDefault="00016FE1" w:rsidP="002B6227">
      <w:pPr>
        <w:ind w:left="851" w:right="283"/>
        <w:jc w:val="both"/>
        <w:rPr>
          <w:rFonts w:ascii="Gotham" w:hAnsi="Gotham" w:cstheme="minorBidi"/>
          <w:i/>
          <w:sz w:val="19"/>
          <w:szCs w:val="19"/>
        </w:rPr>
      </w:pPr>
      <w:r>
        <w:rPr>
          <w:rFonts w:ascii="Gotham" w:hAnsi="Gotham"/>
          <w:i/>
          <w:sz w:val="19"/>
          <w:szCs w:val="19"/>
        </w:rPr>
        <w:t>“Los Ayuntamientos, para el estudio, vigilancia y atención de los diversos asuntos que les corresponda conocer, deben funcionar mediante comisiones...”.</w:t>
      </w:r>
    </w:p>
    <w:p w14:paraId="3A473781" w14:textId="77777777" w:rsidR="00016FE1" w:rsidRDefault="00016FE1" w:rsidP="002B6227">
      <w:pPr>
        <w:ind w:left="567" w:hanging="567"/>
        <w:jc w:val="both"/>
        <w:rPr>
          <w:rFonts w:ascii="Gotham" w:hAnsi="Gotham" w:cs="Arial"/>
          <w:snapToGrid w:val="0"/>
          <w:sz w:val="20"/>
          <w:szCs w:val="20"/>
        </w:rPr>
      </w:pPr>
    </w:p>
    <w:p w14:paraId="3A473782"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IV. </w:t>
      </w:r>
      <w:r>
        <w:rPr>
          <w:rFonts w:ascii="Gotham" w:hAnsi="Gotham" w:cs="Arial"/>
          <w:sz w:val="20"/>
          <w:szCs w:val="20"/>
        </w:rPr>
        <w:tab/>
        <w:t xml:space="preserve">Que el Reglamento del Gobierno y la Administración Pública del Ayuntamiento Constitucional de Tonalá, Jalisco, en su artículo 92, estipula que: </w:t>
      </w:r>
    </w:p>
    <w:p w14:paraId="3A473783" w14:textId="77777777" w:rsidR="00016FE1" w:rsidRDefault="00016FE1" w:rsidP="002B6227">
      <w:pPr>
        <w:autoSpaceDE w:val="0"/>
        <w:autoSpaceDN w:val="0"/>
        <w:adjustRightInd w:val="0"/>
        <w:ind w:left="567" w:hanging="567"/>
        <w:jc w:val="both"/>
        <w:rPr>
          <w:rFonts w:ascii="Gotham" w:hAnsi="Gotham" w:cs="Arial"/>
          <w:sz w:val="20"/>
          <w:szCs w:val="20"/>
        </w:rPr>
      </w:pPr>
    </w:p>
    <w:p w14:paraId="3A473784" w14:textId="77777777" w:rsidR="00016FE1" w:rsidRDefault="00016FE1" w:rsidP="002B6227">
      <w:pPr>
        <w:ind w:left="851" w:right="283"/>
        <w:jc w:val="both"/>
        <w:rPr>
          <w:rFonts w:ascii="Gotham" w:hAnsi="Gotham" w:cstheme="minorBidi"/>
          <w:i/>
          <w:sz w:val="19"/>
          <w:szCs w:val="19"/>
        </w:rPr>
      </w:pPr>
      <w:r>
        <w:rPr>
          <w:rFonts w:ascii="Gotham" w:hAnsi="Gotham"/>
          <w:i/>
          <w:sz w:val="19"/>
          <w:szCs w:val="19"/>
        </w:rPr>
        <w:t>“El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3A473785" w14:textId="77777777" w:rsidR="00016FE1" w:rsidRDefault="00016FE1" w:rsidP="002B6227">
      <w:pPr>
        <w:ind w:left="567" w:hanging="567"/>
        <w:jc w:val="both"/>
        <w:rPr>
          <w:rFonts w:ascii="Gotham" w:hAnsi="Gotham" w:cs="Arial"/>
          <w:bCs/>
          <w:sz w:val="20"/>
          <w:szCs w:val="20"/>
        </w:rPr>
      </w:pPr>
    </w:p>
    <w:p w14:paraId="3A473786" w14:textId="77777777" w:rsidR="00016FE1" w:rsidRDefault="00016FE1" w:rsidP="002B6227">
      <w:pPr>
        <w:autoSpaceDE w:val="0"/>
        <w:autoSpaceDN w:val="0"/>
        <w:adjustRightInd w:val="0"/>
        <w:ind w:left="567" w:hanging="567"/>
        <w:jc w:val="both"/>
        <w:rPr>
          <w:rFonts w:ascii="Gotham" w:eastAsiaTheme="minorHAnsi" w:hAnsi="Gotham" w:cs="Arial"/>
          <w:sz w:val="20"/>
          <w:szCs w:val="20"/>
          <w:lang w:val="es-MX" w:eastAsia="en-US"/>
        </w:rPr>
      </w:pPr>
      <w:r>
        <w:rPr>
          <w:rFonts w:ascii="Gotham" w:hAnsi="Gotham" w:cs="Arial"/>
          <w:sz w:val="20"/>
          <w:szCs w:val="20"/>
        </w:rPr>
        <w:t xml:space="preserve">V. </w:t>
      </w:r>
      <w:r>
        <w:rPr>
          <w:rFonts w:ascii="Gotham" w:hAnsi="Gotham" w:cs="Arial"/>
          <w:sz w:val="20"/>
          <w:szCs w:val="20"/>
        </w:rPr>
        <w:tab/>
        <w:t xml:space="preserve">Que el artículo 72 del anterior ordenamiento, establece que las Comisiones Edilicias, poseen, entre otras atribuciones, la facultad de: </w:t>
      </w:r>
    </w:p>
    <w:p w14:paraId="3A473787" w14:textId="77777777" w:rsidR="00016FE1" w:rsidRDefault="00016FE1" w:rsidP="002B6227">
      <w:pPr>
        <w:autoSpaceDE w:val="0"/>
        <w:autoSpaceDN w:val="0"/>
        <w:adjustRightInd w:val="0"/>
        <w:ind w:left="567" w:hanging="567"/>
        <w:jc w:val="both"/>
        <w:rPr>
          <w:rFonts w:ascii="Gotham" w:hAnsi="Gotham" w:cs="Arial"/>
          <w:sz w:val="20"/>
          <w:szCs w:val="20"/>
        </w:rPr>
      </w:pPr>
    </w:p>
    <w:p w14:paraId="3A473788" w14:textId="77777777" w:rsidR="00016FE1" w:rsidRDefault="00016FE1" w:rsidP="002B6227">
      <w:pPr>
        <w:ind w:left="851" w:right="283"/>
        <w:jc w:val="both"/>
        <w:rPr>
          <w:rFonts w:ascii="Gotham" w:hAnsi="Gotham" w:cstheme="minorBidi"/>
          <w:i/>
          <w:sz w:val="19"/>
          <w:szCs w:val="19"/>
        </w:rPr>
      </w:pPr>
      <w:r>
        <w:rPr>
          <w:rFonts w:ascii="Gotham" w:hAnsi="Gotham"/>
          <w:i/>
          <w:sz w:val="19"/>
          <w:szCs w:val="19"/>
        </w:rPr>
        <w:t>“I. Recibir, estudiar, analizar, discutir y dictaminar los asuntos turnados por el ayuntamiento; II. Presentar al ayuntamiento los dictámenes e informes, resultados de sus trabajos e investigaciones y demás documentos relativos a los asuntos que les son turnados;….y IX. Las demás que en razón de la materia les corresponda por disposición legal o reglamentaria. Para que los dictámenes de las comisiones adquieran plena validez deberán ser aprobados por el ayuntamiento, salvo que se trate de acuerdos internos….”.</w:t>
      </w:r>
    </w:p>
    <w:p w14:paraId="3A473789" w14:textId="77777777" w:rsidR="00016FE1" w:rsidRDefault="00016FE1" w:rsidP="002B6227">
      <w:pPr>
        <w:autoSpaceDE w:val="0"/>
        <w:autoSpaceDN w:val="0"/>
        <w:adjustRightInd w:val="0"/>
        <w:ind w:left="567" w:hanging="567"/>
        <w:jc w:val="both"/>
        <w:rPr>
          <w:rFonts w:ascii="Gotham" w:hAnsi="Gotham" w:cs="Arial"/>
          <w:i/>
          <w:sz w:val="20"/>
          <w:szCs w:val="20"/>
        </w:rPr>
      </w:pPr>
    </w:p>
    <w:p w14:paraId="3A47378A"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VI. </w:t>
      </w:r>
      <w:r>
        <w:rPr>
          <w:rFonts w:ascii="Gotham" w:hAnsi="Gotham" w:cs="Arial"/>
          <w:sz w:val="20"/>
          <w:szCs w:val="20"/>
        </w:rPr>
        <w:tab/>
        <w:t xml:space="preserve">Conforme señala el artículo 100 del citado ordenamiento, establece que: </w:t>
      </w:r>
    </w:p>
    <w:p w14:paraId="3A47378B" w14:textId="77777777" w:rsidR="00016FE1" w:rsidRDefault="00016FE1" w:rsidP="002B6227">
      <w:pPr>
        <w:autoSpaceDE w:val="0"/>
        <w:autoSpaceDN w:val="0"/>
        <w:adjustRightInd w:val="0"/>
        <w:ind w:left="567" w:hanging="567"/>
        <w:jc w:val="both"/>
        <w:rPr>
          <w:rFonts w:ascii="Gotham" w:hAnsi="Gotham" w:cs="Arial"/>
          <w:sz w:val="20"/>
          <w:szCs w:val="20"/>
        </w:rPr>
      </w:pPr>
    </w:p>
    <w:p w14:paraId="3A47378C" w14:textId="77777777" w:rsidR="00016FE1" w:rsidRDefault="00016FE1" w:rsidP="002B6227">
      <w:pPr>
        <w:ind w:left="851" w:right="283"/>
        <w:jc w:val="both"/>
        <w:rPr>
          <w:rFonts w:ascii="Gotham" w:hAnsi="Gotham" w:cstheme="minorBidi"/>
          <w:i/>
          <w:sz w:val="19"/>
          <w:szCs w:val="19"/>
        </w:rPr>
      </w:pPr>
      <w:r>
        <w:rPr>
          <w:rFonts w:ascii="Gotham" w:hAnsi="Gotham"/>
          <w:i/>
          <w:sz w:val="19"/>
          <w:szCs w:val="19"/>
        </w:rPr>
        <w:t>“Son atribuciones de la Comisión Edilicia de reglamentos, Puntos Constitucionales, Administración y Planeación Legislativa: "I. 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"III. Estudiar la estructura orgánica de la administración municipal, para efecto de proponer medios de mayor eficiencia y simplificación administrativa ante la población, en miras a obtener la mejor atención en la prestación de los servicios públicos..."</w:t>
      </w:r>
    </w:p>
    <w:p w14:paraId="3A47378D" w14:textId="77777777" w:rsidR="00016FE1" w:rsidRDefault="00016FE1" w:rsidP="002B6227">
      <w:pPr>
        <w:autoSpaceDE w:val="0"/>
        <w:autoSpaceDN w:val="0"/>
        <w:adjustRightInd w:val="0"/>
        <w:ind w:left="567" w:hanging="567"/>
        <w:jc w:val="both"/>
        <w:rPr>
          <w:rFonts w:ascii="Gotham" w:hAnsi="Gotham" w:cs="Arial"/>
          <w:i/>
          <w:sz w:val="20"/>
          <w:szCs w:val="20"/>
        </w:rPr>
      </w:pPr>
    </w:p>
    <w:p w14:paraId="3A47378E"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VII. </w:t>
      </w:r>
      <w:r>
        <w:rPr>
          <w:rFonts w:ascii="Gotham" w:hAnsi="Gotham" w:cs="Arial"/>
          <w:sz w:val="20"/>
          <w:szCs w:val="20"/>
        </w:rPr>
        <w:tab/>
        <w:t xml:space="preserve">Conforme señala el artículo 107 del citado ordenamiento, establece que: </w:t>
      </w:r>
    </w:p>
    <w:p w14:paraId="3A47378F" w14:textId="77777777" w:rsidR="00016FE1" w:rsidRDefault="00016FE1" w:rsidP="002B6227">
      <w:pPr>
        <w:autoSpaceDE w:val="0"/>
        <w:autoSpaceDN w:val="0"/>
        <w:adjustRightInd w:val="0"/>
        <w:ind w:left="567" w:hanging="567"/>
        <w:jc w:val="both"/>
        <w:rPr>
          <w:rFonts w:ascii="Gotham" w:hAnsi="Gotham" w:cs="Arial"/>
          <w:sz w:val="20"/>
          <w:szCs w:val="20"/>
        </w:rPr>
      </w:pPr>
    </w:p>
    <w:p w14:paraId="3A473790" w14:textId="77777777" w:rsidR="00016FE1" w:rsidRDefault="00016FE1" w:rsidP="002B6227">
      <w:pPr>
        <w:ind w:left="851" w:right="283"/>
        <w:jc w:val="both"/>
        <w:rPr>
          <w:rFonts w:ascii="Gotham" w:hAnsi="Gotham" w:cstheme="minorBidi"/>
          <w:i/>
          <w:sz w:val="19"/>
          <w:szCs w:val="19"/>
        </w:rPr>
      </w:pPr>
      <w:r>
        <w:rPr>
          <w:rFonts w:ascii="Gotham" w:hAnsi="Gotham"/>
          <w:i/>
          <w:sz w:val="19"/>
          <w:szCs w:val="19"/>
        </w:rPr>
        <w:t xml:space="preserve">“Son atribuciones de la Comisión Edilicia de Servicios Públicos: “VI. Proponer, analizar, estudiar y dictaminar las iniciativas concernientes al servicio público de panteones municipales, así como de los crematorios;…” </w:t>
      </w:r>
    </w:p>
    <w:p w14:paraId="3A473791" w14:textId="77777777" w:rsidR="00016FE1" w:rsidRDefault="00016FE1" w:rsidP="002B6227">
      <w:pPr>
        <w:ind w:left="567"/>
        <w:jc w:val="both"/>
        <w:rPr>
          <w:rFonts w:ascii="Gotham" w:hAnsi="Gotham" w:cs="Arial"/>
          <w:sz w:val="20"/>
          <w:szCs w:val="20"/>
        </w:rPr>
      </w:pPr>
    </w:p>
    <w:p w14:paraId="3A473792" w14:textId="77777777" w:rsidR="00016FE1" w:rsidRDefault="00016FE1" w:rsidP="002B6227">
      <w:pPr>
        <w:ind w:left="567"/>
        <w:jc w:val="both"/>
        <w:rPr>
          <w:rFonts w:ascii="Gotham" w:hAnsi="Gotham" w:cs="Arial"/>
          <w:sz w:val="20"/>
          <w:szCs w:val="20"/>
        </w:rPr>
      </w:pPr>
      <w:r>
        <w:rPr>
          <w:rFonts w:ascii="Gotham" w:hAnsi="Gotham" w:cs="Arial"/>
          <w:sz w:val="20"/>
          <w:szCs w:val="20"/>
        </w:rPr>
        <w:lastRenderedPageBreak/>
        <w:t>Con forme a lo antes expuesto se argumenta que las comisione Edilicias cuentan con la capacidad de para conocer, estudiar, analizar y dictaminar la iniciativa en objeto del presente dictamen que se estudia.</w:t>
      </w:r>
    </w:p>
    <w:p w14:paraId="3A473793" w14:textId="77777777" w:rsidR="00016FE1" w:rsidRDefault="00016FE1" w:rsidP="002B6227">
      <w:pPr>
        <w:ind w:left="567"/>
        <w:jc w:val="both"/>
        <w:rPr>
          <w:rFonts w:ascii="Gotham" w:hAnsi="Gotham" w:cs="Arial"/>
          <w:sz w:val="20"/>
          <w:szCs w:val="20"/>
        </w:rPr>
      </w:pPr>
    </w:p>
    <w:p w14:paraId="3A473794"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VIII. </w:t>
      </w:r>
      <w:r>
        <w:rPr>
          <w:rFonts w:ascii="Gotham" w:hAnsi="Gotham" w:cs="Arial"/>
          <w:sz w:val="20"/>
          <w:szCs w:val="20"/>
        </w:rPr>
        <w:tab/>
        <w:t>Ahora bien, conforme al estudio presentado en la iniciativa de acuerdo municipal que propone reformar los artículos 15 y adicionando al artículo 19 en su fracción XIX, recorriendo en su orden</w:t>
      </w:r>
      <w:r w:rsidR="009F075D">
        <w:rPr>
          <w:rFonts w:ascii="Gotham" w:hAnsi="Gotham" w:cs="Arial"/>
          <w:sz w:val="20"/>
          <w:szCs w:val="20"/>
        </w:rPr>
        <w:t xml:space="preserve"> </w:t>
      </w:r>
      <w:r>
        <w:rPr>
          <w:rFonts w:ascii="Gotham" w:hAnsi="Gotham" w:cs="Arial"/>
          <w:sz w:val="20"/>
          <w:szCs w:val="20"/>
        </w:rPr>
        <w:t>mediante el cual se tiene como finalidad de atender la estrategia nacional de eliminación de criaderos del mosco transmisor del dengue y otras enfermedades, en los cementerios municipales del Municipio de Tonalá, Jalisco</w:t>
      </w:r>
      <w:r>
        <w:rPr>
          <w:rFonts w:ascii="Gotham" w:hAnsi="Gotham" w:cs="Arial"/>
          <w:color w:val="000000"/>
          <w:sz w:val="20"/>
          <w:szCs w:val="20"/>
        </w:rPr>
        <w:t>.</w:t>
      </w:r>
    </w:p>
    <w:p w14:paraId="3A473795" w14:textId="77777777" w:rsidR="00016FE1" w:rsidRDefault="00016FE1" w:rsidP="002B6227">
      <w:pPr>
        <w:ind w:left="567" w:hanging="567"/>
        <w:jc w:val="both"/>
        <w:rPr>
          <w:rFonts w:ascii="Gotham" w:hAnsi="Gotham" w:cs="Arial"/>
          <w:sz w:val="20"/>
          <w:szCs w:val="20"/>
        </w:rPr>
      </w:pPr>
    </w:p>
    <w:p w14:paraId="3A473796" w14:textId="77777777" w:rsidR="00016FE1" w:rsidRDefault="00016FE1" w:rsidP="002B6227">
      <w:pPr>
        <w:ind w:left="567" w:hanging="567"/>
        <w:jc w:val="both"/>
        <w:rPr>
          <w:rFonts w:ascii="Gotham" w:hAnsi="Gotham" w:cs="Arial"/>
          <w:bCs/>
          <w:sz w:val="20"/>
          <w:szCs w:val="20"/>
        </w:rPr>
      </w:pPr>
      <w:r>
        <w:rPr>
          <w:rFonts w:ascii="Gotham" w:hAnsi="Gotham" w:cs="Arial"/>
          <w:sz w:val="20"/>
          <w:szCs w:val="20"/>
        </w:rPr>
        <w:t xml:space="preserve">IX. </w:t>
      </w:r>
      <w:r>
        <w:rPr>
          <w:rFonts w:ascii="Gotham" w:hAnsi="Gotham" w:cs="Arial"/>
          <w:sz w:val="20"/>
          <w:szCs w:val="20"/>
        </w:rPr>
        <w:tab/>
        <w:t xml:space="preserve">Al respecto y en el caso concreto que nos ocupa la Constitución Política de los Estados Unidos Mexicanos </w:t>
      </w:r>
      <w:r>
        <w:rPr>
          <w:rFonts w:ascii="Gotham" w:hAnsi="Gotham" w:cs="Arial"/>
          <w:bCs/>
          <w:sz w:val="20"/>
          <w:szCs w:val="20"/>
        </w:rPr>
        <w:t>es clara en señalar lo siguiente:</w:t>
      </w:r>
    </w:p>
    <w:p w14:paraId="3A473797" w14:textId="77777777" w:rsidR="00016FE1" w:rsidRDefault="00016FE1" w:rsidP="002B6227">
      <w:pPr>
        <w:jc w:val="both"/>
        <w:rPr>
          <w:rFonts w:ascii="Gotham" w:hAnsi="Gotham" w:cs="Arial"/>
          <w:bCs/>
          <w:sz w:val="20"/>
          <w:szCs w:val="20"/>
        </w:rPr>
      </w:pPr>
    </w:p>
    <w:p w14:paraId="3A473798" w14:textId="77777777" w:rsidR="00016FE1" w:rsidRDefault="00016FE1" w:rsidP="002B6227">
      <w:pPr>
        <w:spacing w:after="120"/>
        <w:ind w:left="851" w:right="283"/>
        <w:jc w:val="both"/>
        <w:rPr>
          <w:rFonts w:ascii="Gotham" w:hAnsi="Gotham" w:cstheme="minorBidi"/>
          <w:i/>
          <w:sz w:val="19"/>
          <w:szCs w:val="19"/>
        </w:rPr>
      </w:pPr>
      <w:r>
        <w:rPr>
          <w:rFonts w:ascii="Gotham" w:hAnsi="Gotham"/>
          <w:i/>
          <w:sz w:val="19"/>
          <w:szCs w:val="19"/>
        </w:rPr>
        <w:t>Art. 115.-Los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473799"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II.- </w:t>
      </w:r>
      <w:r>
        <w:rPr>
          <w:rFonts w:ascii="Gotham" w:hAnsi="Gotham"/>
          <w:i/>
          <w:sz w:val="19"/>
          <w:szCs w:val="19"/>
        </w:rPr>
        <w:tab/>
        <w:t>Los municipios estarán investidos de personalidad jurídica y manejarán su patrimonio conforme a la ley.</w:t>
      </w:r>
    </w:p>
    <w:p w14:paraId="3A47379A" w14:textId="77777777" w:rsidR="00016FE1" w:rsidRDefault="00016FE1" w:rsidP="002B6227">
      <w:pPr>
        <w:ind w:left="851" w:right="283"/>
        <w:jc w:val="both"/>
        <w:rPr>
          <w:rFonts w:ascii="Gotham" w:hAnsi="Gotham"/>
          <w:i/>
          <w:sz w:val="19"/>
          <w:szCs w:val="19"/>
        </w:rPr>
      </w:pPr>
      <w:r>
        <w:rPr>
          <w:rFonts w:ascii="Gotham" w:hAnsi="Gotham"/>
          <w:i/>
          <w:sz w:val="19"/>
          <w:szCs w:val="19"/>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379B" w14:textId="77777777" w:rsidR="00016FE1" w:rsidRDefault="00016FE1" w:rsidP="002B6227">
      <w:pPr>
        <w:jc w:val="both"/>
        <w:rPr>
          <w:rFonts w:ascii="Gotham" w:hAnsi="Gotham" w:cs="Arial"/>
          <w:sz w:val="20"/>
          <w:szCs w:val="20"/>
        </w:rPr>
      </w:pPr>
    </w:p>
    <w:p w14:paraId="3A47379C"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IX. </w:t>
      </w:r>
      <w:r>
        <w:rPr>
          <w:rFonts w:ascii="Gotham" w:hAnsi="Gotham" w:cs="Arial"/>
          <w:sz w:val="20"/>
          <w:szCs w:val="20"/>
        </w:rPr>
        <w:tab/>
        <w:t>Conforme al orden jerárquico de la norma y en el caso concreto que nos ocupa la Constitución Política del Estado de Jalisco</w:t>
      </w:r>
      <w:r w:rsidR="009F075D">
        <w:rPr>
          <w:rFonts w:ascii="Gotham" w:hAnsi="Gotham" w:cs="Arial"/>
          <w:sz w:val="20"/>
          <w:szCs w:val="20"/>
        </w:rPr>
        <w:t xml:space="preserve"> </w:t>
      </w:r>
      <w:r>
        <w:rPr>
          <w:rFonts w:ascii="Gotham" w:hAnsi="Gotham" w:cs="Arial"/>
          <w:sz w:val="20"/>
          <w:szCs w:val="20"/>
        </w:rPr>
        <w:t>como señalar lo siguiente:</w:t>
      </w:r>
    </w:p>
    <w:p w14:paraId="3A47379D" w14:textId="77777777" w:rsidR="00016FE1" w:rsidRDefault="00016FE1" w:rsidP="002B6227">
      <w:pPr>
        <w:jc w:val="both"/>
        <w:rPr>
          <w:rFonts w:ascii="Gotham" w:hAnsi="Gotham" w:cs="Arial"/>
          <w:bCs/>
          <w:sz w:val="20"/>
          <w:szCs w:val="20"/>
        </w:rPr>
      </w:pPr>
    </w:p>
    <w:p w14:paraId="3A47379E" w14:textId="77777777" w:rsidR="00016FE1" w:rsidRDefault="00016FE1" w:rsidP="002B6227">
      <w:pPr>
        <w:ind w:left="851" w:right="283"/>
        <w:jc w:val="both"/>
        <w:rPr>
          <w:rFonts w:ascii="Gotham" w:hAnsi="Gotham" w:cstheme="minorBidi"/>
          <w:i/>
          <w:sz w:val="19"/>
          <w:szCs w:val="19"/>
        </w:rPr>
      </w:pPr>
      <w:r>
        <w:rPr>
          <w:rFonts w:ascii="Gotham" w:hAnsi="Gotham"/>
          <w:i/>
          <w:sz w:val="19"/>
          <w:szCs w:val="19"/>
        </w:rPr>
        <w:t>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3A47379F" w14:textId="77777777" w:rsidR="00016FE1" w:rsidRDefault="00016FE1" w:rsidP="002B6227">
      <w:pPr>
        <w:ind w:left="851" w:right="283"/>
        <w:jc w:val="both"/>
        <w:rPr>
          <w:rFonts w:ascii="Gotham" w:hAnsi="Gotham"/>
          <w:i/>
          <w:sz w:val="19"/>
          <w:szCs w:val="19"/>
        </w:rPr>
      </w:pPr>
    </w:p>
    <w:p w14:paraId="3A4737A0"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Art. 77.- Los ayuntamientos tendrán facultades para aprobar, de acuerdo con las leyes en materia municipal que expida el Congreso del Estado:</w:t>
      </w:r>
    </w:p>
    <w:p w14:paraId="3A4737A1"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 </w:t>
      </w:r>
      <w:r>
        <w:rPr>
          <w:rFonts w:ascii="Gotham" w:hAnsi="Gotham"/>
          <w:i/>
          <w:sz w:val="19"/>
          <w:szCs w:val="19"/>
        </w:rPr>
        <w:tab/>
        <w:t>(…);</w:t>
      </w:r>
    </w:p>
    <w:p w14:paraId="3A4737A2"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II. </w:t>
      </w:r>
      <w:r>
        <w:rPr>
          <w:rFonts w:ascii="Gotham" w:hAnsi="Gotham"/>
          <w:i/>
          <w:sz w:val="19"/>
          <w:szCs w:val="19"/>
        </w:rPr>
        <w:tab/>
        <w:t>Los reglamentos, circulares y disposiciones administrativas de observancia general dentro de sus respectivas jurisdicciones, con el objeto de:</w:t>
      </w:r>
    </w:p>
    <w:p w14:paraId="3A4737A3" w14:textId="77777777" w:rsidR="00016FE1" w:rsidRDefault="00016FE1" w:rsidP="002B6227">
      <w:pPr>
        <w:spacing w:after="120"/>
        <w:ind w:left="1701" w:right="283" w:hanging="425"/>
        <w:jc w:val="both"/>
        <w:rPr>
          <w:rFonts w:ascii="Gotham" w:hAnsi="Gotham"/>
          <w:i/>
          <w:sz w:val="19"/>
          <w:szCs w:val="19"/>
        </w:rPr>
      </w:pPr>
      <w:r>
        <w:rPr>
          <w:rFonts w:ascii="Gotham" w:hAnsi="Gotham"/>
          <w:i/>
          <w:sz w:val="19"/>
          <w:szCs w:val="19"/>
        </w:rPr>
        <w:t xml:space="preserve">a) </w:t>
      </w:r>
      <w:r>
        <w:rPr>
          <w:rFonts w:ascii="Gotham" w:hAnsi="Gotham"/>
          <w:i/>
          <w:sz w:val="19"/>
          <w:szCs w:val="19"/>
        </w:rPr>
        <w:tab/>
        <w:t>Organizar la administración pública municipal;</w:t>
      </w:r>
    </w:p>
    <w:p w14:paraId="3A4737A4" w14:textId="77777777" w:rsidR="00016FE1" w:rsidRDefault="00016FE1" w:rsidP="002B6227">
      <w:pPr>
        <w:ind w:left="1701" w:right="283" w:hanging="425"/>
        <w:jc w:val="both"/>
        <w:rPr>
          <w:rFonts w:ascii="Gotham" w:hAnsi="Gotham"/>
          <w:i/>
          <w:sz w:val="19"/>
          <w:szCs w:val="19"/>
        </w:rPr>
      </w:pPr>
      <w:r>
        <w:rPr>
          <w:rFonts w:ascii="Gotham" w:hAnsi="Gotham"/>
          <w:i/>
          <w:sz w:val="19"/>
          <w:szCs w:val="19"/>
        </w:rPr>
        <w:t xml:space="preserve">b) </w:t>
      </w:r>
      <w:r>
        <w:rPr>
          <w:rFonts w:ascii="Gotham" w:hAnsi="Gotham"/>
          <w:i/>
          <w:sz w:val="19"/>
          <w:szCs w:val="19"/>
        </w:rPr>
        <w:tab/>
        <w:t>Regular las materias, procedimientos, funciones y servicios públicos de su competencia; y</w:t>
      </w:r>
    </w:p>
    <w:p w14:paraId="3A4737A5" w14:textId="77777777" w:rsidR="00016FE1" w:rsidRDefault="00016FE1" w:rsidP="002B6227">
      <w:pPr>
        <w:jc w:val="both"/>
        <w:rPr>
          <w:rFonts w:ascii="Gotham" w:hAnsi="Gotham" w:cs="Arial"/>
          <w:i/>
          <w:sz w:val="20"/>
          <w:szCs w:val="20"/>
        </w:rPr>
      </w:pPr>
    </w:p>
    <w:p w14:paraId="3A4737A6"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X. </w:t>
      </w:r>
      <w:r>
        <w:rPr>
          <w:rFonts w:ascii="Gotham" w:hAnsi="Gotham" w:cs="Arial"/>
          <w:sz w:val="20"/>
          <w:szCs w:val="20"/>
        </w:rPr>
        <w:tab/>
        <w:t xml:space="preserve">En lo que corresponde al funcionamiento de la Administración municipal, será normada mediante la Ley de Gobierno y la Administración Pública del Estado de Jalisco. </w:t>
      </w:r>
    </w:p>
    <w:p w14:paraId="3A4737A7" w14:textId="77777777" w:rsidR="00016FE1" w:rsidRDefault="00016FE1" w:rsidP="002B6227">
      <w:pPr>
        <w:jc w:val="both"/>
        <w:rPr>
          <w:rFonts w:ascii="Gotham" w:hAnsi="Gotham" w:cs="Arial"/>
          <w:i/>
          <w:color w:val="000000"/>
          <w:sz w:val="20"/>
          <w:szCs w:val="20"/>
          <w:shd w:val="clear" w:color="auto" w:fill="FFFFFF"/>
        </w:rPr>
      </w:pPr>
    </w:p>
    <w:p w14:paraId="3A4737A8" w14:textId="77777777" w:rsidR="00016FE1" w:rsidRDefault="00016FE1" w:rsidP="002B6227">
      <w:pPr>
        <w:spacing w:after="120"/>
        <w:ind w:left="851" w:right="283"/>
        <w:jc w:val="both"/>
        <w:rPr>
          <w:rFonts w:ascii="Gotham" w:hAnsi="Gotham" w:cstheme="minorBidi"/>
          <w:i/>
          <w:sz w:val="19"/>
          <w:szCs w:val="19"/>
        </w:rPr>
      </w:pPr>
      <w:r>
        <w:rPr>
          <w:rFonts w:ascii="Gotham" w:hAnsi="Gotham"/>
          <w:i/>
          <w:sz w:val="19"/>
          <w:szCs w:val="19"/>
        </w:rPr>
        <w:t>Artículo 27. Los Ayuntamientos, para el estudio, vigilancia y atención de los diversos asuntos que les corresponda conocer, deben funcionar mediante comisiones.</w:t>
      </w:r>
    </w:p>
    <w:p w14:paraId="3A4737A9"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Los ediles deberán presidir por lo menos una comisión, además cada munícipe debe estar integrado por lo menos a tres comisiones, en los términos de la reglamentación respectiva.</w:t>
      </w:r>
    </w:p>
    <w:p w14:paraId="3A4737AA"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lastRenderedPageBreak/>
        <w:t>La denominación de las comisiones, sus características, obligaciones y facultades, deben ser establecidas en los reglamentos que para tal efecto expida el Ayuntamiento.</w:t>
      </w:r>
    </w:p>
    <w:p w14:paraId="3A4737AB" w14:textId="77777777" w:rsidR="00016FE1" w:rsidRDefault="00016FE1" w:rsidP="002B6227">
      <w:pPr>
        <w:ind w:left="851" w:right="283"/>
        <w:jc w:val="both"/>
        <w:rPr>
          <w:rFonts w:ascii="Gotham" w:hAnsi="Gotham"/>
          <w:i/>
          <w:sz w:val="19"/>
          <w:szCs w:val="19"/>
        </w:rPr>
      </w:pPr>
      <w:r>
        <w:rPr>
          <w:rFonts w:ascii="Gotham" w:hAnsi="Gotham"/>
          <w:i/>
          <w:sz w:val="19"/>
          <w:szCs w:val="19"/>
        </w:rPr>
        <w:t>Las comisiones pueden ser permanentes o transitorias, con integración colegiada para su funcionamiento y desempeño, integradas cuando menos por tres ediles y bajo ninguna circunstancia pueden tener facultades ejecutivas.</w:t>
      </w:r>
    </w:p>
    <w:p w14:paraId="3A4737AC" w14:textId="77777777" w:rsidR="00016FE1" w:rsidRDefault="00016FE1" w:rsidP="002B6227">
      <w:pPr>
        <w:ind w:left="851" w:right="283"/>
        <w:jc w:val="both"/>
        <w:rPr>
          <w:rFonts w:ascii="Gotham" w:hAnsi="Gotham"/>
          <w:i/>
          <w:sz w:val="19"/>
          <w:szCs w:val="19"/>
        </w:rPr>
      </w:pPr>
    </w:p>
    <w:p w14:paraId="3A4737AD"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Artículo 37. Son obligaciones de los Ayuntamientos, las siguientes:</w:t>
      </w:r>
    </w:p>
    <w:p w14:paraId="3A4737AE"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 </w:t>
      </w:r>
      <w:r>
        <w:rPr>
          <w:rFonts w:ascii="Gotham" w:hAnsi="Gotham"/>
          <w:i/>
          <w:sz w:val="19"/>
          <w:szCs w:val="19"/>
        </w:rPr>
        <w:tab/>
        <w:t>(...).</w:t>
      </w:r>
    </w:p>
    <w:p w14:paraId="3A4737AF"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II. </w:t>
      </w:r>
      <w:r>
        <w:rPr>
          <w:rFonts w:ascii="Gotham" w:hAnsi="Gotham"/>
          <w:i/>
          <w:sz w:val="19"/>
          <w:szCs w:val="19"/>
        </w:rPr>
        <w:tab/>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3A4737B0"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II a IX (...).</w:t>
      </w:r>
    </w:p>
    <w:p w14:paraId="3A4737B1"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X. </w:t>
      </w:r>
      <w:r>
        <w:rPr>
          <w:rFonts w:ascii="Gotham" w:hAnsi="Gotham"/>
          <w:i/>
          <w:sz w:val="19"/>
          <w:szCs w:val="19"/>
        </w:rPr>
        <w:tab/>
        <w:t>Atender la seguridad en todo el Municipio y dictar las medidas tendientes a mantener la seguridad, la paz, el orden público, la preservación y garantía de los derechos humanos.</w:t>
      </w:r>
    </w:p>
    <w:p w14:paraId="3A4737B2" w14:textId="77777777" w:rsidR="00016FE1" w:rsidRDefault="00016FE1" w:rsidP="002B6227">
      <w:pPr>
        <w:ind w:left="1276" w:right="283" w:hanging="425"/>
        <w:jc w:val="both"/>
        <w:rPr>
          <w:rFonts w:ascii="Gotham" w:hAnsi="Gotham"/>
          <w:i/>
          <w:sz w:val="19"/>
          <w:szCs w:val="19"/>
        </w:rPr>
      </w:pPr>
      <w:r>
        <w:rPr>
          <w:rFonts w:ascii="Gotham" w:hAnsi="Gotham"/>
          <w:i/>
          <w:sz w:val="19"/>
          <w:szCs w:val="19"/>
        </w:rPr>
        <w:t xml:space="preserve">XI. </w:t>
      </w:r>
      <w:r>
        <w:rPr>
          <w:rFonts w:ascii="Gotham" w:hAnsi="Gotham"/>
          <w:i/>
          <w:sz w:val="19"/>
          <w:szCs w:val="19"/>
        </w:rPr>
        <w:tab/>
        <w:t>Conforme a la norma orgánica y administrativa que rige la vida interna del municipio se cuenta con Reglamento del Gobierno y la Administración Pública del Ayuntamiento Constitucional de Tonalá, Jalisco. Tiene la atribución de general los instrumentos normativos conforme se señala a continuación:</w:t>
      </w:r>
    </w:p>
    <w:p w14:paraId="3A4737B3" w14:textId="77777777" w:rsidR="00016FE1" w:rsidRDefault="00016FE1" w:rsidP="002B6227">
      <w:pPr>
        <w:ind w:left="851" w:right="283"/>
        <w:jc w:val="both"/>
        <w:rPr>
          <w:rFonts w:ascii="Gotham" w:hAnsi="Gotham"/>
          <w:i/>
          <w:sz w:val="19"/>
          <w:szCs w:val="19"/>
        </w:rPr>
      </w:pPr>
    </w:p>
    <w:p w14:paraId="3A4737B4"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Artículo 53.- Además de lo establecido en la legislación y normatividad aplicable, son facultades y obligaciones del Ayuntamiento, las siguientes:</w:t>
      </w:r>
    </w:p>
    <w:p w14:paraId="3A4737B5"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 </w:t>
      </w:r>
      <w:r>
        <w:rPr>
          <w:rFonts w:ascii="Gotham" w:hAnsi="Gotham"/>
          <w:i/>
          <w:sz w:val="19"/>
          <w:szCs w:val="19"/>
        </w:rPr>
        <w:tab/>
        <w:t>(...)</w:t>
      </w:r>
    </w:p>
    <w:p w14:paraId="3A4737B6" w14:textId="77777777" w:rsidR="00016FE1" w:rsidRDefault="00016FE1" w:rsidP="002B6227">
      <w:pPr>
        <w:ind w:left="1276" w:right="283" w:hanging="425"/>
        <w:jc w:val="both"/>
        <w:rPr>
          <w:rFonts w:ascii="Gotham" w:hAnsi="Gotham"/>
          <w:i/>
          <w:sz w:val="19"/>
          <w:szCs w:val="19"/>
        </w:rPr>
      </w:pPr>
      <w:r>
        <w:rPr>
          <w:rFonts w:ascii="Gotham" w:hAnsi="Gotham"/>
          <w:i/>
          <w:sz w:val="19"/>
          <w:szCs w:val="19"/>
        </w:rPr>
        <w:t xml:space="preserve">II. </w:t>
      </w:r>
      <w:r>
        <w:rPr>
          <w:rFonts w:ascii="Gotham" w:hAnsi="Gotham"/>
          <w:i/>
          <w:sz w:val="19"/>
          <w:szCs w:val="19"/>
        </w:rPr>
        <w:tab/>
        <w:t>Expedir los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de acuerdo con las leyes que en materia municipal expida el Congreso del Estado de Jalisco tomando en cuenta las previsiones establecidas en el artículo 6 del presente Reglamento, así como adoptar la normatividad que las instancias competentes emitan en materia de contabilidad gubernamental;</w:t>
      </w:r>
    </w:p>
    <w:p w14:paraId="3A4737B7" w14:textId="77777777" w:rsidR="00016FE1" w:rsidRDefault="00016FE1" w:rsidP="002B6227">
      <w:pPr>
        <w:ind w:left="851" w:right="283"/>
        <w:jc w:val="both"/>
        <w:rPr>
          <w:rFonts w:ascii="Gotham" w:hAnsi="Gotham"/>
          <w:i/>
          <w:sz w:val="19"/>
          <w:szCs w:val="19"/>
        </w:rPr>
      </w:pPr>
    </w:p>
    <w:p w14:paraId="3A4737B8"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Artículo 55.- El Ayuntamiento tiene facultad para aprobar y expedir:</w:t>
      </w:r>
    </w:p>
    <w:p w14:paraId="3A4737B9"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 </w:t>
      </w:r>
      <w:r>
        <w:rPr>
          <w:rFonts w:ascii="Gotham" w:hAnsi="Gotham"/>
          <w:i/>
          <w:sz w:val="19"/>
          <w:szCs w:val="19"/>
        </w:rPr>
        <w:tab/>
        <w:t>(..:)</w:t>
      </w:r>
    </w:p>
    <w:p w14:paraId="3A4737BA"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II. </w:t>
      </w:r>
      <w:r>
        <w:rPr>
          <w:rFonts w:ascii="Gotham" w:hAnsi="Gotham"/>
          <w:i/>
          <w:sz w:val="19"/>
          <w:szCs w:val="19"/>
        </w:rPr>
        <w:tab/>
        <w:t>Los reglamentos, circulares y disposiciones administrativas de observancia general, dentro de la jurisdicción municipal, con el objeto de;</w:t>
      </w:r>
    </w:p>
    <w:p w14:paraId="3A4737BB" w14:textId="77777777" w:rsidR="00016FE1" w:rsidRDefault="00016FE1" w:rsidP="002B6227">
      <w:pPr>
        <w:spacing w:after="120"/>
        <w:ind w:left="1701" w:right="283" w:hanging="425"/>
        <w:jc w:val="both"/>
        <w:rPr>
          <w:rFonts w:ascii="Gotham" w:hAnsi="Gotham"/>
          <w:i/>
          <w:sz w:val="19"/>
          <w:szCs w:val="19"/>
        </w:rPr>
      </w:pPr>
      <w:r>
        <w:rPr>
          <w:rFonts w:ascii="Gotham" w:hAnsi="Gotham"/>
          <w:i/>
          <w:sz w:val="19"/>
          <w:szCs w:val="19"/>
        </w:rPr>
        <w:t xml:space="preserve">a) </w:t>
      </w:r>
      <w:r>
        <w:rPr>
          <w:rFonts w:ascii="Gotham" w:hAnsi="Gotham"/>
          <w:i/>
          <w:sz w:val="19"/>
          <w:szCs w:val="19"/>
        </w:rPr>
        <w:tab/>
        <w:t>Organizar la Administración Pública Municipal;</w:t>
      </w:r>
    </w:p>
    <w:p w14:paraId="3A4737BC" w14:textId="77777777" w:rsidR="00016FE1" w:rsidRDefault="00016FE1" w:rsidP="002B6227">
      <w:pPr>
        <w:ind w:left="1701" w:right="283" w:hanging="425"/>
        <w:jc w:val="both"/>
        <w:rPr>
          <w:rFonts w:ascii="Gotham" w:hAnsi="Gotham"/>
          <w:i/>
          <w:sz w:val="19"/>
          <w:szCs w:val="19"/>
        </w:rPr>
      </w:pPr>
      <w:r>
        <w:rPr>
          <w:rFonts w:ascii="Gotham" w:hAnsi="Gotham"/>
          <w:i/>
          <w:sz w:val="19"/>
          <w:szCs w:val="19"/>
        </w:rPr>
        <w:t xml:space="preserve">b) </w:t>
      </w:r>
      <w:r>
        <w:rPr>
          <w:rFonts w:ascii="Gotham" w:hAnsi="Gotham"/>
          <w:i/>
          <w:sz w:val="19"/>
          <w:szCs w:val="19"/>
        </w:rPr>
        <w:tab/>
        <w:t>Regular las materias, procedimientos, funciones y servicios públicos de su competencia;</w:t>
      </w:r>
    </w:p>
    <w:p w14:paraId="3A4737BD" w14:textId="77777777" w:rsidR="00016FE1" w:rsidRDefault="00016FE1" w:rsidP="002B6227">
      <w:pPr>
        <w:ind w:left="851" w:right="283"/>
        <w:jc w:val="both"/>
        <w:rPr>
          <w:rFonts w:ascii="Gotham" w:hAnsi="Gotham"/>
          <w:i/>
          <w:sz w:val="19"/>
          <w:szCs w:val="19"/>
        </w:rPr>
      </w:pPr>
    </w:p>
    <w:p w14:paraId="3A4737BE"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Artículo 57.- Para la aprobación de los ordenamientos municipales, se deben observar los requisitos previstos en el ordenamiento municipal, expedido para tal efecto, cumpliendo con lo siguiente:</w:t>
      </w:r>
    </w:p>
    <w:p w14:paraId="3A4737BF"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VII. </w:t>
      </w:r>
      <w:r>
        <w:rPr>
          <w:rFonts w:ascii="Gotham" w:hAnsi="Gotham"/>
          <w:i/>
          <w:sz w:val="19"/>
          <w:szCs w:val="19"/>
        </w:rPr>
        <w:tab/>
        <w:t>El Ayuntamiento debe remitir, a través de la Secretaría General, una ejemplar de la Gaceta Municipal donde se publiquen los ordenamientos municipales y sus reformas al Congreso del Estado de Jalisco, para su compendio en la biblioteca del Poder Legislativo; y</w:t>
      </w:r>
    </w:p>
    <w:p w14:paraId="3A4737C0" w14:textId="77777777" w:rsidR="00016FE1" w:rsidRDefault="00016FE1" w:rsidP="002B6227">
      <w:pPr>
        <w:ind w:left="1276" w:right="283" w:hanging="425"/>
        <w:jc w:val="both"/>
        <w:rPr>
          <w:rFonts w:ascii="Gotham" w:hAnsi="Gotham"/>
          <w:i/>
          <w:sz w:val="19"/>
          <w:szCs w:val="19"/>
        </w:rPr>
      </w:pPr>
      <w:r>
        <w:rPr>
          <w:rFonts w:ascii="Gotham" w:hAnsi="Gotham"/>
          <w:i/>
          <w:sz w:val="19"/>
          <w:szCs w:val="19"/>
        </w:rPr>
        <w:lastRenderedPageBreak/>
        <w:t xml:space="preserve">VIII. </w:t>
      </w:r>
      <w:r>
        <w:rPr>
          <w:rFonts w:ascii="Gotham" w:hAnsi="Gotham"/>
          <w:i/>
          <w:sz w:val="19"/>
          <w:szCs w:val="19"/>
        </w:rPr>
        <w:tab/>
        <w:t>Se publicarán en el portal de internet del Gobierno Municipal versiones integradas de los ordenamientos municipales y sus reformas para fines de facilitar su consulta y difusión a la población en general, sin embargo, la versión oficial será aquella que aparezca publicada en la Gaceta Municipal.</w:t>
      </w:r>
    </w:p>
    <w:p w14:paraId="3A4737C1" w14:textId="77777777" w:rsidR="00016FE1" w:rsidRDefault="00016FE1" w:rsidP="002B6227">
      <w:pPr>
        <w:ind w:left="567" w:hanging="567"/>
        <w:jc w:val="both"/>
        <w:rPr>
          <w:rFonts w:ascii="Gotham" w:hAnsi="Gotham" w:cs="Arial"/>
          <w:sz w:val="20"/>
          <w:szCs w:val="20"/>
        </w:rPr>
      </w:pPr>
    </w:p>
    <w:p w14:paraId="3A4737C2"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XI. </w:t>
      </w:r>
      <w:r>
        <w:rPr>
          <w:rFonts w:ascii="Gotham" w:hAnsi="Gotham" w:cs="Arial"/>
          <w:sz w:val="20"/>
          <w:szCs w:val="20"/>
        </w:rPr>
        <w:tab/>
        <w:t>Conforme a los procesos legislativos que deberán de seguir las comisiones edilicias del gobierno municipal se observa el proceso que contempla el Reglamento para el Funcionamiento Interno de Sesiones del Ayuntamiento Constitucional de Tonalá, Jalisco; conforme se señala a continuación:</w:t>
      </w:r>
    </w:p>
    <w:p w14:paraId="3A4737C3" w14:textId="77777777" w:rsidR="00016FE1" w:rsidRDefault="00016FE1" w:rsidP="002B6227">
      <w:pPr>
        <w:ind w:left="567" w:hanging="567"/>
        <w:jc w:val="both"/>
        <w:rPr>
          <w:rFonts w:ascii="Gotham" w:hAnsi="Gotham" w:cs="Arial"/>
          <w:sz w:val="20"/>
          <w:szCs w:val="20"/>
        </w:rPr>
      </w:pPr>
    </w:p>
    <w:p w14:paraId="3A4737C4" w14:textId="77777777" w:rsidR="00016FE1" w:rsidRDefault="00016FE1" w:rsidP="002B6227">
      <w:pPr>
        <w:spacing w:after="120"/>
        <w:ind w:left="851" w:right="283"/>
        <w:jc w:val="both"/>
        <w:rPr>
          <w:rFonts w:ascii="Gotham" w:hAnsi="Gotham" w:cstheme="minorBidi"/>
          <w:i/>
          <w:sz w:val="19"/>
          <w:szCs w:val="19"/>
        </w:rPr>
      </w:pPr>
      <w:r>
        <w:rPr>
          <w:rFonts w:ascii="Gotham" w:hAnsi="Gotham"/>
          <w:i/>
          <w:sz w:val="19"/>
          <w:szCs w:val="19"/>
        </w:rPr>
        <w:t>Artículo 28. Se consideran dictámenes aquellas resoluciones que hayan sido aprobadas por los integrantes de la Comisión correspondiente y que sean dados a conocer al Pleno del Ayuntamiento para ser sometidos a votación.</w:t>
      </w:r>
    </w:p>
    <w:p w14:paraId="3A4737C5"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Los dictámenes deben constar con un apartado de proemio, antecedentes, una parte considerativa y otra resolutiva.</w:t>
      </w:r>
    </w:p>
    <w:p w14:paraId="3A4737C6"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 xml:space="preserve">La parte del </w:t>
      </w:r>
      <w:proofErr w:type="spellStart"/>
      <w:r>
        <w:rPr>
          <w:rFonts w:ascii="Gotham" w:hAnsi="Gotham"/>
          <w:i/>
          <w:sz w:val="19"/>
          <w:szCs w:val="19"/>
        </w:rPr>
        <w:t>proemio</w:t>
      </w:r>
      <w:proofErr w:type="spellEnd"/>
      <w:r>
        <w:rPr>
          <w:rFonts w:ascii="Gotham" w:hAnsi="Gotham"/>
          <w:i/>
          <w:sz w:val="19"/>
          <w:szCs w:val="19"/>
        </w:rPr>
        <w:t xml:space="preserve"> consiste en la exposición de los fundamentos jurídicos que motivan la dictaminación.</w:t>
      </w:r>
    </w:p>
    <w:p w14:paraId="3A4737C7"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La parte de antecedentes consiste en la narración de hechos o actos que incumben directamente en las iniciativas en estudio.</w:t>
      </w:r>
    </w:p>
    <w:p w14:paraId="3A4737C8"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La parte considerativa consiste en el estudio detallado de la iniciativa turnada, así como las conclusiones de la Comisión o Comisiones dictaminadoras, debiendo estar fundada y motivada.</w:t>
      </w:r>
    </w:p>
    <w:p w14:paraId="3A4737C9" w14:textId="77777777" w:rsidR="00016FE1" w:rsidRDefault="00016FE1" w:rsidP="002B6227">
      <w:pPr>
        <w:ind w:left="851" w:right="283"/>
        <w:jc w:val="both"/>
        <w:rPr>
          <w:rFonts w:ascii="Gotham" w:hAnsi="Gotham"/>
          <w:i/>
          <w:sz w:val="19"/>
          <w:szCs w:val="19"/>
        </w:rPr>
      </w:pPr>
      <w:r>
        <w:rPr>
          <w:rFonts w:ascii="Gotham" w:hAnsi="Gotham"/>
          <w:i/>
          <w:sz w:val="19"/>
          <w:szCs w:val="19"/>
        </w:rPr>
        <w:t>Cuando la naturaleza del asunto lo permita, pueden conjuntarse dos o más iniciativas en un mismo dictamen.</w:t>
      </w:r>
    </w:p>
    <w:p w14:paraId="3A4737CA" w14:textId="77777777" w:rsidR="00016FE1" w:rsidRDefault="00016FE1" w:rsidP="002B6227">
      <w:pPr>
        <w:ind w:left="851" w:right="283"/>
        <w:jc w:val="both"/>
        <w:rPr>
          <w:rFonts w:ascii="Gotham" w:hAnsi="Gotham"/>
          <w:i/>
          <w:sz w:val="19"/>
          <w:szCs w:val="19"/>
        </w:rPr>
      </w:pPr>
    </w:p>
    <w:p w14:paraId="3A4737CB" w14:textId="77777777" w:rsidR="00016FE1" w:rsidRDefault="00016FE1" w:rsidP="002B6227">
      <w:pPr>
        <w:ind w:left="851" w:right="283"/>
        <w:jc w:val="both"/>
        <w:rPr>
          <w:rFonts w:ascii="Gotham" w:hAnsi="Gotham"/>
          <w:i/>
          <w:sz w:val="19"/>
          <w:szCs w:val="19"/>
        </w:rPr>
      </w:pPr>
      <w:r>
        <w:rPr>
          <w:rFonts w:ascii="Gotham" w:hAnsi="Gotham"/>
          <w:i/>
          <w:sz w:val="19"/>
          <w:szCs w:val="19"/>
        </w:rPr>
        <w:t>Artículo 42. El Ayuntamiento, para el estudio, vigilancia y atención de los diversos asuntos que le corresponde conocer, funcionará mediante Comisiones.</w:t>
      </w:r>
    </w:p>
    <w:p w14:paraId="3A4737CC" w14:textId="77777777" w:rsidR="00016FE1" w:rsidRDefault="00016FE1" w:rsidP="002B6227">
      <w:pPr>
        <w:ind w:left="851" w:right="283"/>
        <w:jc w:val="both"/>
        <w:rPr>
          <w:rFonts w:ascii="Gotham" w:hAnsi="Gotham"/>
          <w:i/>
          <w:sz w:val="19"/>
          <w:szCs w:val="19"/>
        </w:rPr>
      </w:pPr>
    </w:p>
    <w:p w14:paraId="3A4737CD" w14:textId="77777777" w:rsidR="00016FE1" w:rsidRDefault="00016FE1" w:rsidP="002B6227">
      <w:pPr>
        <w:ind w:left="851" w:right="283"/>
        <w:jc w:val="both"/>
        <w:rPr>
          <w:rFonts w:ascii="Gotham" w:hAnsi="Gotham"/>
          <w:i/>
          <w:sz w:val="19"/>
          <w:szCs w:val="19"/>
        </w:rPr>
      </w:pPr>
      <w:r>
        <w:rPr>
          <w:rFonts w:ascii="Gotham" w:hAnsi="Gotham"/>
          <w:i/>
          <w:sz w:val="19"/>
          <w:szCs w:val="19"/>
        </w:rPr>
        <w:t>Artículo 43. La Comisión es el órgano colegiado del Ayuntamiento encargado de conocer, vigilar, analizar y dictaminar todos aquellos asuntos de interés general y de carácter público y el trámite de los asuntos que le sean turnados de acuerdo a su competencia.</w:t>
      </w:r>
    </w:p>
    <w:p w14:paraId="3A4737CE" w14:textId="77777777" w:rsidR="00016FE1" w:rsidRDefault="00016FE1" w:rsidP="002B6227">
      <w:pPr>
        <w:ind w:left="851" w:right="283"/>
        <w:jc w:val="both"/>
        <w:rPr>
          <w:rFonts w:ascii="Gotham" w:hAnsi="Gotham"/>
          <w:i/>
          <w:sz w:val="19"/>
          <w:szCs w:val="19"/>
        </w:rPr>
      </w:pPr>
    </w:p>
    <w:p w14:paraId="3A4737CF"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Artículo 64. Las Comisiones tendrán las siguientes funciones:</w:t>
      </w:r>
    </w:p>
    <w:p w14:paraId="3A4737D0"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 </w:t>
      </w:r>
      <w:r>
        <w:rPr>
          <w:rFonts w:ascii="Gotham" w:hAnsi="Gotham"/>
          <w:i/>
          <w:sz w:val="19"/>
          <w:szCs w:val="19"/>
        </w:rPr>
        <w:tab/>
        <w:t>Realizar las actividades que deriven de la Ley, así como de los reglamentos municipales vigentes;</w:t>
      </w:r>
    </w:p>
    <w:p w14:paraId="3A4737D1" w14:textId="77777777" w:rsidR="00016FE1" w:rsidRDefault="00016FE1" w:rsidP="002B6227">
      <w:pPr>
        <w:spacing w:after="120"/>
        <w:ind w:left="1276" w:right="283" w:hanging="425"/>
        <w:jc w:val="both"/>
        <w:rPr>
          <w:rFonts w:ascii="Gotham" w:hAnsi="Gotham"/>
          <w:i/>
          <w:sz w:val="19"/>
          <w:szCs w:val="19"/>
        </w:rPr>
      </w:pPr>
      <w:r>
        <w:rPr>
          <w:rFonts w:ascii="Gotham" w:hAnsi="Gotham"/>
          <w:i/>
          <w:sz w:val="19"/>
          <w:szCs w:val="19"/>
        </w:rPr>
        <w:t xml:space="preserve">II. </w:t>
      </w:r>
      <w:r>
        <w:rPr>
          <w:rFonts w:ascii="Gotham" w:hAnsi="Gotham"/>
          <w:i/>
          <w:sz w:val="19"/>
          <w:szCs w:val="19"/>
        </w:rPr>
        <w:tab/>
        <w:t>Atender los asuntos que le sean turnados por el Ayuntamiento, en relación a las materias de su competencia; y</w:t>
      </w:r>
    </w:p>
    <w:p w14:paraId="3A4737D2" w14:textId="77777777" w:rsidR="00016FE1" w:rsidRDefault="00016FE1" w:rsidP="002B6227">
      <w:pPr>
        <w:ind w:left="1276" w:right="283" w:hanging="425"/>
        <w:jc w:val="both"/>
        <w:rPr>
          <w:rFonts w:ascii="Gotham" w:hAnsi="Gotham"/>
          <w:i/>
          <w:sz w:val="19"/>
          <w:szCs w:val="19"/>
        </w:rPr>
      </w:pPr>
      <w:r>
        <w:rPr>
          <w:rFonts w:ascii="Gotham" w:hAnsi="Gotham"/>
          <w:i/>
          <w:sz w:val="19"/>
          <w:szCs w:val="19"/>
        </w:rPr>
        <w:t xml:space="preserve">III. </w:t>
      </w:r>
      <w:r>
        <w:rPr>
          <w:rFonts w:ascii="Gotham" w:hAnsi="Gotham"/>
          <w:i/>
          <w:sz w:val="19"/>
          <w:szCs w:val="19"/>
        </w:rPr>
        <w:tab/>
        <w:t>Presentar y dar cuenta al Ayuntamiento de la resolución de los asuntos que le sean turnados, cuando éste los requiera o de acuerdo a lo que establece la Ley.</w:t>
      </w:r>
    </w:p>
    <w:p w14:paraId="3A4737D3" w14:textId="77777777" w:rsidR="00016FE1" w:rsidRDefault="00016FE1" w:rsidP="002B6227">
      <w:pPr>
        <w:ind w:left="851" w:right="283"/>
        <w:jc w:val="both"/>
        <w:rPr>
          <w:rFonts w:ascii="Gotham" w:hAnsi="Gotham"/>
          <w:i/>
          <w:sz w:val="19"/>
          <w:szCs w:val="19"/>
        </w:rPr>
      </w:pPr>
    </w:p>
    <w:p w14:paraId="3A4737D4"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Artículo 69. En el caso previsto en el artículo que antecede, las Comisiones deberán discutir y aprobar el dictamen que resulte, en sesión conjunta que será convocada por la Comisión convocante.</w:t>
      </w:r>
    </w:p>
    <w:p w14:paraId="3A4737D5"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Las Comisiones podrán celebrar reuniones de trabajo en forma previa a la sesión de discusión y aprobación del dictamen.</w:t>
      </w:r>
    </w:p>
    <w:p w14:paraId="3A4737D6" w14:textId="77777777" w:rsidR="00016FE1" w:rsidRDefault="00016FE1" w:rsidP="002B6227">
      <w:pPr>
        <w:spacing w:after="120"/>
        <w:ind w:left="851" w:right="283"/>
        <w:jc w:val="both"/>
        <w:rPr>
          <w:rFonts w:ascii="Gotham" w:hAnsi="Gotham"/>
          <w:i/>
          <w:sz w:val="19"/>
          <w:szCs w:val="19"/>
        </w:rPr>
      </w:pPr>
      <w:r>
        <w:rPr>
          <w:rFonts w:ascii="Gotham" w:hAnsi="Gotham"/>
          <w:i/>
          <w:sz w:val="19"/>
          <w:szCs w:val="19"/>
        </w:rPr>
        <w:t>Los turnos aprobados por el Ayuntamiento no podrán involucrar a más de tres Comisiones Edilicias.</w:t>
      </w:r>
    </w:p>
    <w:p w14:paraId="3A4737D7" w14:textId="77777777" w:rsidR="00016FE1" w:rsidRDefault="00016FE1" w:rsidP="002B6227">
      <w:pPr>
        <w:ind w:left="851" w:right="283"/>
        <w:jc w:val="both"/>
        <w:rPr>
          <w:rFonts w:ascii="Gotham" w:hAnsi="Gotham"/>
          <w:i/>
          <w:sz w:val="19"/>
          <w:szCs w:val="19"/>
        </w:rPr>
      </w:pPr>
      <w:r>
        <w:rPr>
          <w:rFonts w:ascii="Gotham" w:hAnsi="Gotham"/>
          <w:i/>
          <w:sz w:val="19"/>
          <w:szCs w:val="19"/>
        </w:rPr>
        <w:lastRenderedPageBreak/>
        <w:t>Las Comisiones podrán sesionar de manera separada cuando el presidente de la Comisión convocante lo considere pertinente, en cuyo caso primero votará el dictamen la Comisión convocante y el documento será enviado a la coadyuvante para su adhesión o rechazo. Si no hubiere adhesión los dictámenes que produzcan la convocante y coadyuvante se discutirán en el Pleno del Ayuntamiento.</w:t>
      </w:r>
    </w:p>
    <w:p w14:paraId="3A4737D8" w14:textId="77777777" w:rsidR="00016FE1" w:rsidRDefault="00016FE1" w:rsidP="002B6227">
      <w:pPr>
        <w:ind w:left="567"/>
        <w:jc w:val="both"/>
        <w:rPr>
          <w:rFonts w:ascii="Gotham" w:eastAsia="Arial" w:hAnsi="Gotham" w:cs="Arial"/>
          <w:color w:val="000000"/>
          <w:sz w:val="20"/>
          <w:szCs w:val="20"/>
        </w:rPr>
      </w:pPr>
    </w:p>
    <w:p w14:paraId="3A4737D9" w14:textId="77777777" w:rsidR="00016FE1" w:rsidRDefault="00016FE1" w:rsidP="002B6227">
      <w:pPr>
        <w:jc w:val="both"/>
        <w:rPr>
          <w:rFonts w:ascii="Gotham" w:eastAsiaTheme="minorHAnsi" w:hAnsi="Gotham" w:cs="Arial"/>
          <w:sz w:val="20"/>
          <w:szCs w:val="20"/>
        </w:rPr>
      </w:pPr>
      <w:r>
        <w:rPr>
          <w:rFonts w:ascii="Gotham" w:hAnsi="Gotham" w:cs="Arial"/>
          <w:sz w:val="20"/>
          <w:szCs w:val="20"/>
        </w:rPr>
        <w:t>De lo anterior se infiere que las Comisiones Edilicias que dictaminan tienen la atribución y la competencia</w:t>
      </w:r>
      <w:r w:rsidR="009F075D">
        <w:rPr>
          <w:rFonts w:ascii="Gotham" w:hAnsi="Gotham" w:cs="Arial"/>
          <w:sz w:val="20"/>
          <w:szCs w:val="20"/>
        </w:rPr>
        <w:t xml:space="preserve"> </w:t>
      </w:r>
      <w:r>
        <w:rPr>
          <w:rFonts w:ascii="Gotham" w:hAnsi="Gotham" w:cs="Arial"/>
          <w:sz w:val="20"/>
          <w:szCs w:val="20"/>
        </w:rPr>
        <w:t>y a través del Estudio formulado correspondientes, es por lo anterior entonces que se señalan las siguientes:</w:t>
      </w:r>
    </w:p>
    <w:p w14:paraId="3A4737DA" w14:textId="77777777" w:rsidR="00016FE1" w:rsidRDefault="00016FE1" w:rsidP="002B6227">
      <w:pPr>
        <w:jc w:val="both"/>
        <w:rPr>
          <w:rFonts w:ascii="Gotham" w:hAnsi="Gotham" w:cs="Arial"/>
          <w:sz w:val="20"/>
          <w:szCs w:val="20"/>
        </w:rPr>
      </w:pPr>
    </w:p>
    <w:p w14:paraId="3A4737DB" w14:textId="77777777" w:rsidR="00016FE1" w:rsidRDefault="00016FE1" w:rsidP="002B6227">
      <w:pPr>
        <w:autoSpaceDE w:val="0"/>
        <w:autoSpaceDN w:val="0"/>
        <w:adjustRightInd w:val="0"/>
        <w:jc w:val="center"/>
        <w:rPr>
          <w:rFonts w:ascii="Gotham" w:hAnsi="Gotham" w:cs="Arial"/>
          <w:sz w:val="20"/>
          <w:szCs w:val="20"/>
        </w:rPr>
      </w:pPr>
      <w:r>
        <w:rPr>
          <w:rFonts w:ascii="Gotham" w:hAnsi="Gotham" w:cs="Arial"/>
          <w:sz w:val="20"/>
          <w:szCs w:val="20"/>
        </w:rPr>
        <w:t>C O N C L U S I O N E S</w:t>
      </w:r>
    </w:p>
    <w:p w14:paraId="3A4737DC" w14:textId="77777777" w:rsidR="00016FE1" w:rsidRDefault="00016FE1" w:rsidP="002B6227">
      <w:pPr>
        <w:jc w:val="both"/>
        <w:rPr>
          <w:rFonts w:ascii="Gotham" w:hAnsi="Gotham" w:cs="Arial"/>
          <w:sz w:val="20"/>
          <w:szCs w:val="20"/>
        </w:rPr>
      </w:pPr>
    </w:p>
    <w:p w14:paraId="3A4737DD" w14:textId="77777777" w:rsidR="00016FE1" w:rsidRDefault="00016FE1" w:rsidP="002B6227">
      <w:pPr>
        <w:jc w:val="both"/>
        <w:rPr>
          <w:rFonts w:ascii="Gotham" w:hAnsi="Gotham" w:cs="Arial"/>
          <w:sz w:val="20"/>
          <w:szCs w:val="20"/>
        </w:rPr>
      </w:pPr>
      <w:r>
        <w:rPr>
          <w:rFonts w:ascii="Gotham" w:hAnsi="Gotham" w:cs="Arial"/>
          <w:sz w:val="20"/>
          <w:szCs w:val="20"/>
        </w:rPr>
        <w:t>La comisión Edilicia de Reglamentos, Puntos Constitucionales, Administración y Planeación Legislativa, en su carácter de convocante del estudio realizo la solicitud de opinión técnica a la Jefatura del Departamento de Cementerio, mediante el oficio Sindicatura/1455/2023, con fecha 24 de julio de 2023, mediante el cual remitió la iniciativa de Acuerdo Municipal que propone modificar los artículos 15 y 19 del Reglamento de Cementerios del Municipio de Tonalá, Jalisco, con la finalidad de atender la estrategia nacional de eliminación de criaderos del mosco trasmisor del dengue y otras enfermedades.</w:t>
      </w:r>
    </w:p>
    <w:p w14:paraId="3A4737DE" w14:textId="77777777" w:rsidR="00016FE1" w:rsidRDefault="00016FE1" w:rsidP="002B6227">
      <w:pPr>
        <w:jc w:val="both"/>
        <w:rPr>
          <w:rFonts w:ascii="Gotham" w:hAnsi="Gotham" w:cs="Arial"/>
          <w:sz w:val="20"/>
          <w:szCs w:val="20"/>
        </w:rPr>
      </w:pPr>
    </w:p>
    <w:p w14:paraId="3A4737DF" w14:textId="77777777" w:rsidR="00016FE1" w:rsidRDefault="00016FE1" w:rsidP="002B6227">
      <w:pPr>
        <w:jc w:val="both"/>
        <w:rPr>
          <w:rFonts w:ascii="Gotham" w:hAnsi="Gotham" w:cs="Arial"/>
          <w:sz w:val="20"/>
          <w:szCs w:val="20"/>
        </w:rPr>
      </w:pPr>
      <w:r>
        <w:rPr>
          <w:rFonts w:ascii="Gotham" w:hAnsi="Gotham" w:cs="Arial"/>
          <w:sz w:val="20"/>
          <w:szCs w:val="20"/>
        </w:rPr>
        <w:t>Fue atendido mediante el oficio DC/718/2024 de fecha 20 de mayo de 2024, mediante el cual señala, respecto a lo solicitado se realizó el análisis y estudio sobre la documentación que remite, por lo anterior hago de su conocimiento lo siguiente: periódicamente se coloca abate en todos los floreros de las tumbas de los panteones que administra ésta jefatura de Cementerios, es importante también informarle que se ha tenido contacto con los ciudadanos que acuden a los cementerios y se le ha hecho mención que de ser posible coloquen flores artificiales en los floreros, para que las flores no contengan agua de ésta manera evitemos acumulación de agua en los mismos, esto atendiendo la estrategia nacional de eliminación de criaderos del mosco trasmisor del dengue, pero desafortunadamente no toda la ciudadanía está de acuerdo. Hace mención que es necesario realizar folletos informativos y ser distribuidos en los cementerios para que sean estregados a los dueños y personas que visitan las tumbas en cada uno de los multicitados cementerios, para que de manera la ciudadanía tenga una información más completa y así junto ciudadanía y gobierno atendemos la problemática del dengue.</w:t>
      </w:r>
    </w:p>
    <w:p w14:paraId="3A4737E0" w14:textId="77777777" w:rsidR="00016FE1" w:rsidRDefault="00016FE1" w:rsidP="002B6227">
      <w:pPr>
        <w:jc w:val="both"/>
        <w:rPr>
          <w:rFonts w:ascii="Gotham" w:hAnsi="Gotham" w:cs="Arial"/>
          <w:sz w:val="20"/>
          <w:szCs w:val="20"/>
        </w:rPr>
      </w:pPr>
    </w:p>
    <w:p w14:paraId="3A4737E1" w14:textId="77777777" w:rsidR="00016FE1" w:rsidRDefault="00016FE1" w:rsidP="002B6227">
      <w:pPr>
        <w:jc w:val="both"/>
        <w:rPr>
          <w:rFonts w:ascii="Gotham" w:hAnsi="Gotham" w:cs="Arial"/>
          <w:sz w:val="20"/>
          <w:szCs w:val="20"/>
        </w:rPr>
      </w:pPr>
      <w:r>
        <w:rPr>
          <w:rFonts w:ascii="Gotham" w:hAnsi="Gotham" w:cs="Arial"/>
          <w:sz w:val="20"/>
          <w:szCs w:val="20"/>
        </w:rPr>
        <w:t xml:space="preserve">Se toma la propuesta que realiza a Jefatura del Departamento de Cementerios, para que de forma paralela a la aprobación de la reforma se realice una campaña de socialización por medio de la Dirección de Comunicación Social </w:t>
      </w:r>
    </w:p>
    <w:p w14:paraId="3A4737E2" w14:textId="77777777" w:rsidR="00016FE1" w:rsidRDefault="00016FE1" w:rsidP="002B6227">
      <w:pPr>
        <w:jc w:val="both"/>
        <w:rPr>
          <w:rFonts w:ascii="Gotham" w:hAnsi="Gotham" w:cs="Arial"/>
          <w:sz w:val="20"/>
          <w:szCs w:val="20"/>
        </w:rPr>
      </w:pPr>
    </w:p>
    <w:p w14:paraId="3A4737E3" w14:textId="77777777" w:rsidR="00016FE1" w:rsidRDefault="00016FE1" w:rsidP="002B6227">
      <w:pPr>
        <w:jc w:val="both"/>
        <w:rPr>
          <w:rFonts w:ascii="Gotham" w:hAnsi="Gotham" w:cs="Arial"/>
          <w:sz w:val="20"/>
          <w:szCs w:val="20"/>
        </w:rPr>
      </w:pPr>
      <w:r>
        <w:rPr>
          <w:rFonts w:ascii="Gotham" w:hAnsi="Gotham" w:cs="Arial"/>
          <w:sz w:val="20"/>
          <w:szCs w:val="20"/>
        </w:rPr>
        <w:t>Derivado del estudio y análisis de los considerandos que integran el cuerpo del presente dictamen y de conformidad con la legislación, reglamentación y normatividad que rigen el proceso de estudio, dictaminación y aprobación de esta reforma de ordenamiento que, válidamente, adopta el órgano colegiado de Gobierno Municipal, los integrantes de las Comisión Edilicias que suscriben el presente dictamen, proponemos el siguiente:</w:t>
      </w:r>
    </w:p>
    <w:p w14:paraId="3A4737E4" w14:textId="77777777" w:rsidR="00016FE1" w:rsidRDefault="00016FE1" w:rsidP="002B6227">
      <w:pPr>
        <w:jc w:val="both"/>
        <w:rPr>
          <w:rFonts w:ascii="Gotham" w:hAnsi="Gotham" w:cs="Arial"/>
          <w:sz w:val="20"/>
          <w:szCs w:val="20"/>
        </w:rPr>
      </w:pPr>
    </w:p>
    <w:p w14:paraId="3A4737E5" w14:textId="77777777" w:rsidR="00016FE1" w:rsidRDefault="00016FE1" w:rsidP="002B6227">
      <w:pPr>
        <w:widowControl w:val="0"/>
        <w:suppressAutoHyphens/>
        <w:autoSpaceDN w:val="0"/>
        <w:jc w:val="center"/>
        <w:textAlignment w:val="baseline"/>
        <w:rPr>
          <w:rFonts w:ascii="Gotham" w:eastAsiaTheme="minorHAnsi" w:hAnsi="Gotham" w:cs="Arial"/>
          <w:sz w:val="20"/>
          <w:szCs w:val="20"/>
          <w:lang w:val="es-MX" w:eastAsia="en-US"/>
        </w:rPr>
      </w:pPr>
      <w:r>
        <w:rPr>
          <w:rFonts w:ascii="Gotham" w:hAnsi="Gotham" w:cs="Arial"/>
          <w:sz w:val="20"/>
          <w:szCs w:val="20"/>
        </w:rPr>
        <w:t>ORDENAMIENTO MUNICIPAL</w:t>
      </w:r>
    </w:p>
    <w:p w14:paraId="3A4737E6" w14:textId="77777777" w:rsidR="00016FE1" w:rsidRDefault="00016FE1" w:rsidP="002B6227">
      <w:pPr>
        <w:autoSpaceDE w:val="0"/>
        <w:autoSpaceDN w:val="0"/>
        <w:adjustRightInd w:val="0"/>
        <w:jc w:val="center"/>
        <w:rPr>
          <w:rFonts w:ascii="Gotham" w:hAnsi="Gotham" w:cs="Arial"/>
          <w:sz w:val="20"/>
          <w:szCs w:val="20"/>
        </w:rPr>
      </w:pPr>
    </w:p>
    <w:p w14:paraId="3A4737E7" w14:textId="77777777" w:rsidR="00016FE1" w:rsidRDefault="00016FE1" w:rsidP="002B6227">
      <w:pPr>
        <w:jc w:val="both"/>
        <w:rPr>
          <w:rFonts w:ascii="Gotham" w:hAnsi="Gotham" w:cs="Arial"/>
          <w:sz w:val="20"/>
          <w:szCs w:val="20"/>
        </w:rPr>
      </w:pPr>
      <w:r>
        <w:rPr>
          <w:rFonts w:ascii="Gotham" w:hAnsi="Gotham" w:cs="Arial"/>
          <w:sz w:val="20"/>
          <w:szCs w:val="20"/>
        </w:rPr>
        <w:t>PRIMERO. - Se aprueba reformar el artículo 15 y adicionar al artículo 19 la fracción XIX, recorriendo en su orden, del Reglamento de Cementerios del Municipio de Tonalá, Jalisco; para quedar como sigue:</w:t>
      </w:r>
    </w:p>
    <w:p w14:paraId="3A4737E8" w14:textId="77777777" w:rsidR="00016FE1" w:rsidRDefault="00016FE1" w:rsidP="002B6227">
      <w:pPr>
        <w:ind w:left="426"/>
        <w:jc w:val="both"/>
        <w:rPr>
          <w:rFonts w:ascii="Gotham" w:hAnsi="Gotham" w:cs="Arial"/>
          <w:i/>
          <w:sz w:val="20"/>
          <w:szCs w:val="20"/>
        </w:rPr>
      </w:pPr>
    </w:p>
    <w:p w14:paraId="3A4737E9" w14:textId="77777777" w:rsidR="00016FE1" w:rsidRDefault="00016FE1" w:rsidP="002B6227">
      <w:pPr>
        <w:spacing w:after="120"/>
        <w:ind w:left="284" w:right="283"/>
        <w:jc w:val="both"/>
        <w:rPr>
          <w:rFonts w:ascii="Gotham" w:hAnsi="Gotham" w:cstheme="minorBidi"/>
          <w:i/>
          <w:sz w:val="19"/>
          <w:szCs w:val="19"/>
        </w:rPr>
      </w:pPr>
      <w:r>
        <w:rPr>
          <w:rFonts w:ascii="Gotham" w:hAnsi="Gotham"/>
          <w:i/>
          <w:sz w:val="19"/>
          <w:szCs w:val="19"/>
        </w:rPr>
        <w:t>Artículo 15. Las placas, lápidas o mausoleos que se coloquen en los cementerios administrados directamente por el Municipio, quedarán sujetos a las especificaciones técnicas que señale la Jefatura de Cementerios, para tal efecto solo se autorizará que todo tipo de mausoleo deberá de contar en todo momento con mecanismos de desagüe en los floreros o cuerpos acumuladores de agua.</w:t>
      </w:r>
    </w:p>
    <w:p w14:paraId="3A4737EA" w14:textId="77777777" w:rsidR="00016FE1" w:rsidRDefault="00016FE1" w:rsidP="002B6227">
      <w:pPr>
        <w:ind w:left="284" w:right="283"/>
        <w:jc w:val="both"/>
        <w:rPr>
          <w:rFonts w:ascii="Gotham" w:hAnsi="Gotham"/>
          <w:i/>
          <w:sz w:val="19"/>
          <w:szCs w:val="19"/>
        </w:rPr>
      </w:pPr>
      <w:r>
        <w:rPr>
          <w:rFonts w:ascii="Gotham" w:hAnsi="Gotham"/>
          <w:i/>
          <w:sz w:val="19"/>
          <w:szCs w:val="19"/>
        </w:rPr>
        <w:lastRenderedPageBreak/>
        <w:t>De colocarse un señalamiento en una fosa sin el permiso correspondiente, o no estuviera acorde con los modelos autorizados, será removido con cargo al responsable, notificando de inmediato al Juez cívico Municipal para que conozca, califique y sancione la infracción.</w:t>
      </w:r>
    </w:p>
    <w:p w14:paraId="3A4737EB" w14:textId="77777777" w:rsidR="00016FE1" w:rsidRDefault="00016FE1" w:rsidP="002B6227">
      <w:pPr>
        <w:ind w:left="284" w:right="283"/>
        <w:jc w:val="both"/>
        <w:rPr>
          <w:rFonts w:ascii="Gotham" w:hAnsi="Gotham"/>
          <w:i/>
          <w:sz w:val="19"/>
          <w:szCs w:val="19"/>
        </w:rPr>
      </w:pPr>
    </w:p>
    <w:p w14:paraId="3A4737EC" w14:textId="77777777" w:rsidR="00016FE1" w:rsidRDefault="00016FE1" w:rsidP="002B6227">
      <w:pPr>
        <w:spacing w:after="120"/>
        <w:ind w:left="284" w:right="283"/>
        <w:jc w:val="both"/>
        <w:rPr>
          <w:rFonts w:ascii="Gotham" w:hAnsi="Gotham"/>
          <w:i/>
          <w:sz w:val="19"/>
          <w:szCs w:val="19"/>
        </w:rPr>
      </w:pPr>
      <w:r>
        <w:rPr>
          <w:rFonts w:ascii="Gotham" w:hAnsi="Gotham"/>
          <w:i/>
          <w:sz w:val="19"/>
          <w:szCs w:val="19"/>
        </w:rPr>
        <w:t>Artículo 19. Corresponde a la Jefatura</w:t>
      </w:r>
      <w:r w:rsidR="009F075D">
        <w:rPr>
          <w:rFonts w:ascii="Gotham" w:hAnsi="Gotham"/>
          <w:i/>
          <w:sz w:val="19"/>
          <w:szCs w:val="19"/>
        </w:rPr>
        <w:t xml:space="preserve"> </w:t>
      </w:r>
      <w:r>
        <w:rPr>
          <w:rFonts w:ascii="Gotham" w:hAnsi="Gotham"/>
          <w:i/>
          <w:sz w:val="19"/>
          <w:szCs w:val="19"/>
        </w:rPr>
        <w:t>de Cementerios:</w:t>
      </w:r>
    </w:p>
    <w:p w14:paraId="3A4737ED" w14:textId="77777777" w:rsidR="00016FE1" w:rsidRDefault="00016FE1" w:rsidP="002B6227">
      <w:pPr>
        <w:spacing w:after="120"/>
        <w:ind w:left="284" w:right="283"/>
        <w:jc w:val="both"/>
        <w:rPr>
          <w:rFonts w:ascii="Gotham" w:hAnsi="Gotham"/>
          <w:i/>
          <w:sz w:val="19"/>
          <w:szCs w:val="19"/>
        </w:rPr>
      </w:pPr>
      <w:r>
        <w:rPr>
          <w:rFonts w:ascii="Gotham" w:hAnsi="Gotham"/>
          <w:i/>
          <w:sz w:val="19"/>
          <w:szCs w:val="19"/>
        </w:rPr>
        <w:t>I a la XIX (…)</w:t>
      </w:r>
    </w:p>
    <w:p w14:paraId="3A4737EE" w14:textId="77777777" w:rsidR="00016FE1" w:rsidRDefault="00016FE1" w:rsidP="002B6227">
      <w:pPr>
        <w:spacing w:after="120"/>
        <w:ind w:left="709" w:right="283" w:hanging="425"/>
        <w:jc w:val="both"/>
        <w:rPr>
          <w:rFonts w:ascii="Gotham" w:hAnsi="Gotham"/>
          <w:i/>
          <w:sz w:val="19"/>
          <w:szCs w:val="19"/>
        </w:rPr>
      </w:pPr>
      <w:r>
        <w:rPr>
          <w:rFonts w:ascii="Gotham" w:hAnsi="Gotham"/>
          <w:i/>
          <w:sz w:val="19"/>
          <w:szCs w:val="19"/>
        </w:rPr>
        <w:t xml:space="preserve">XIX. </w:t>
      </w:r>
      <w:r>
        <w:rPr>
          <w:rFonts w:ascii="Gotham" w:hAnsi="Gotham"/>
          <w:i/>
          <w:sz w:val="19"/>
          <w:szCs w:val="19"/>
        </w:rPr>
        <w:tab/>
        <w:t>Inspeccionar que no haya acumulación o estancamiento de agua en las lápidas de las tumbas.</w:t>
      </w:r>
    </w:p>
    <w:p w14:paraId="3A4737EF" w14:textId="77777777" w:rsidR="00016FE1" w:rsidRDefault="00016FE1" w:rsidP="002B6227">
      <w:pPr>
        <w:ind w:left="709" w:right="283" w:hanging="425"/>
        <w:jc w:val="both"/>
        <w:rPr>
          <w:rFonts w:ascii="Gotham" w:hAnsi="Gotham"/>
          <w:i/>
          <w:sz w:val="19"/>
          <w:szCs w:val="19"/>
        </w:rPr>
      </w:pPr>
      <w:r>
        <w:rPr>
          <w:rFonts w:ascii="Gotham" w:hAnsi="Gotham"/>
          <w:i/>
          <w:sz w:val="19"/>
          <w:szCs w:val="19"/>
        </w:rPr>
        <w:t xml:space="preserve">XX. </w:t>
      </w:r>
      <w:r>
        <w:rPr>
          <w:rFonts w:ascii="Gotham" w:hAnsi="Gotham"/>
          <w:i/>
          <w:sz w:val="19"/>
          <w:szCs w:val="19"/>
        </w:rPr>
        <w:tab/>
        <w:t>Las demás funciones o atribuciones establecidas en el presente ordenamiento.</w:t>
      </w:r>
    </w:p>
    <w:p w14:paraId="3A4737F0" w14:textId="77777777" w:rsidR="00016FE1" w:rsidRDefault="00016FE1" w:rsidP="002B6227">
      <w:pPr>
        <w:ind w:left="284" w:right="283"/>
        <w:jc w:val="both"/>
        <w:rPr>
          <w:rFonts w:ascii="Gotham" w:hAnsi="Gotham"/>
          <w:i/>
          <w:sz w:val="19"/>
          <w:szCs w:val="19"/>
        </w:rPr>
      </w:pPr>
    </w:p>
    <w:p w14:paraId="3A4737F1" w14:textId="77777777" w:rsidR="00016FE1" w:rsidRDefault="00016FE1" w:rsidP="002B6227">
      <w:pPr>
        <w:ind w:left="284" w:right="283"/>
        <w:jc w:val="center"/>
        <w:rPr>
          <w:rFonts w:ascii="Gotham" w:hAnsi="Gotham"/>
          <w:i/>
          <w:sz w:val="19"/>
          <w:szCs w:val="19"/>
        </w:rPr>
      </w:pPr>
      <w:r>
        <w:rPr>
          <w:rFonts w:ascii="Gotham" w:hAnsi="Gotham"/>
          <w:i/>
          <w:sz w:val="19"/>
          <w:szCs w:val="19"/>
        </w:rPr>
        <w:t>ARTÍCULOS TRANSITORIOS</w:t>
      </w:r>
    </w:p>
    <w:p w14:paraId="3A4737F2" w14:textId="77777777" w:rsidR="00016FE1" w:rsidRDefault="00016FE1" w:rsidP="002B6227">
      <w:pPr>
        <w:ind w:left="284" w:right="283"/>
        <w:jc w:val="both"/>
        <w:rPr>
          <w:rFonts w:ascii="Gotham" w:hAnsi="Gotham"/>
          <w:i/>
          <w:sz w:val="19"/>
          <w:szCs w:val="19"/>
        </w:rPr>
      </w:pPr>
    </w:p>
    <w:p w14:paraId="3A4737F3" w14:textId="77777777" w:rsidR="00016FE1" w:rsidRDefault="00016FE1" w:rsidP="002B6227">
      <w:pPr>
        <w:ind w:left="284" w:right="283"/>
        <w:jc w:val="both"/>
        <w:rPr>
          <w:rFonts w:ascii="Gotham" w:hAnsi="Gotham"/>
          <w:i/>
          <w:sz w:val="19"/>
          <w:szCs w:val="19"/>
        </w:rPr>
      </w:pPr>
      <w:r>
        <w:rPr>
          <w:rFonts w:ascii="Gotham" w:hAnsi="Gotham"/>
          <w:i/>
          <w:sz w:val="19"/>
          <w:szCs w:val="19"/>
        </w:rPr>
        <w:t>PRIMERO. La presente reforma de Ordenamiento Municipal entrara en vigor al día siguiente de Publicación en la “Gaceta Municipal Tlahtolli”</w:t>
      </w:r>
    </w:p>
    <w:p w14:paraId="3A4737F4" w14:textId="77777777" w:rsidR="00016FE1" w:rsidRDefault="00016FE1" w:rsidP="002B6227">
      <w:pPr>
        <w:ind w:left="284" w:right="283"/>
        <w:jc w:val="both"/>
        <w:rPr>
          <w:rFonts w:ascii="Gotham" w:hAnsi="Gotham"/>
          <w:i/>
          <w:sz w:val="19"/>
          <w:szCs w:val="19"/>
        </w:rPr>
      </w:pPr>
    </w:p>
    <w:p w14:paraId="3A4737F5" w14:textId="77777777" w:rsidR="00016FE1" w:rsidRDefault="00016FE1" w:rsidP="002B6227">
      <w:pPr>
        <w:ind w:left="284" w:right="283"/>
        <w:jc w:val="both"/>
        <w:rPr>
          <w:rFonts w:ascii="Gotham" w:hAnsi="Gotham"/>
          <w:i/>
          <w:sz w:val="19"/>
          <w:szCs w:val="19"/>
        </w:rPr>
      </w:pPr>
      <w:r>
        <w:rPr>
          <w:rFonts w:ascii="Gotham" w:hAnsi="Gotham"/>
          <w:i/>
          <w:sz w:val="19"/>
          <w:szCs w:val="19"/>
        </w:rPr>
        <w:t>SEGUNDO. - Una vez publicadas las presentes reformas remítase, mediante oficio, un tanto de las mismas al Congreso del Estado de Jalisco, para el cumplimiento de los efectos ordenados en el artículo 42 fracción VII de la Ley del Gobierno y la Administración Pública Municipal del Estado de Jalisco; y 57 fracción VII del Reglamento del Gobierno y la Administración Pública del Ayuntamiento Constitucional de Tonalá, Jalisco.</w:t>
      </w:r>
    </w:p>
    <w:p w14:paraId="3A4737F6" w14:textId="77777777" w:rsidR="00016FE1" w:rsidRDefault="00016FE1" w:rsidP="002B6227">
      <w:pPr>
        <w:rPr>
          <w:rFonts w:ascii="Gotham" w:hAnsi="Gotham" w:cs="Arial"/>
          <w:bCs/>
          <w:color w:val="000000"/>
          <w:sz w:val="20"/>
          <w:szCs w:val="20"/>
          <w:lang w:eastAsia="es-MX"/>
        </w:rPr>
      </w:pPr>
    </w:p>
    <w:p w14:paraId="3A4737F7" w14:textId="77777777" w:rsidR="00016FE1" w:rsidRDefault="00016FE1" w:rsidP="002B6227">
      <w:pPr>
        <w:jc w:val="both"/>
        <w:rPr>
          <w:rFonts w:ascii="Gotham" w:hAnsi="Gotham" w:cs="Arial"/>
          <w:sz w:val="20"/>
          <w:szCs w:val="20"/>
          <w:lang w:eastAsia="en-US"/>
        </w:rPr>
      </w:pPr>
      <w:r>
        <w:rPr>
          <w:rFonts w:ascii="Gotham" w:hAnsi="Gotham" w:cs="Arial"/>
          <w:sz w:val="20"/>
          <w:szCs w:val="20"/>
        </w:rPr>
        <w:t>SEGUNDO.- Se aprueba el instruye a la Dirección de Comunicación Social, para que instrumente una campaña de socialización respecto a la estrategia nacional de eliminación de criaderos del mosco trasmisor del dengue, dirigida a los usuarios y visitantes de los cementerios municipales con la finalidad de reforzarla reforma al reglamento de Cementerios del Municipio de Tonalá, Jalisco.</w:t>
      </w:r>
    </w:p>
    <w:p w14:paraId="3A4737F8" w14:textId="77777777" w:rsidR="00016FE1" w:rsidRDefault="00016FE1" w:rsidP="002B6227">
      <w:pPr>
        <w:jc w:val="both"/>
        <w:rPr>
          <w:rFonts w:ascii="Gotham" w:hAnsi="Gotham" w:cs="Arial"/>
          <w:sz w:val="20"/>
          <w:szCs w:val="20"/>
        </w:rPr>
      </w:pPr>
    </w:p>
    <w:p w14:paraId="3A4737F9" w14:textId="77777777" w:rsidR="00016FE1" w:rsidRDefault="00016FE1" w:rsidP="002B6227">
      <w:pPr>
        <w:jc w:val="both"/>
        <w:rPr>
          <w:rFonts w:ascii="Gotham" w:hAnsi="Gotham" w:cs="Arial"/>
          <w:sz w:val="20"/>
          <w:szCs w:val="20"/>
        </w:rPr>
      </w:pPr>
      <w:r>
        <w:rPr>
          <w:rFonts w:ascii="Gotham" w:hAnsi="Gotham" w:cs="Arial"/>
          <w:sz w:val="20"/>
          <w:szCs w:val="20"/>
        </w:rPr>
        <w:t>TERCERO.- Se aprueba notificar a la Jefatura Departamento de Cementerios, de este Ayuntamiento, de los alcances de presente Acuerdo Municipal, para que en un plazo no mayor de 30 treinta días realice las modificaciones a su manual de procesos y organización respecto a la reforma señalada.</w:t>
      </w:r>
    </w:p>
    <w:p w14:paraId="3A4737FA" w14:textId="77777777" w:rsidR="00016FE1" w:rsidRDefault="00016FE1" w:rsidP="002B6227">
      <w:pPr>
        <w:jc w:val="both"/>
        <w:rPr>
          <w:rFonts w:ascii="Gotham" w:hAnsi="Gotham" w:cs="Arial"/>
          <w:sz w:val="20"/>
          <w:szCs w:val="20"/>
        </w:rPr>
      </w:pPr>
    </w:p>
    <w:p w14:paraId="3A4737FB" w14:textId="77777777" w:rsidR="00016FE1" w:rsidRDefault="00016FE1" w:rsidP="002B6227">
      <w:pPr>
        <w:jc w:val="both"/>
        <w:rPr>
          <w:rFonts w:ascii="Gotham" w:hAnsi="Gotham" w:cs="Arial"/>
          <w:sz w:val="20"/>
          <w:szCs w:val="20"/>
        </w:rPr>
      </w:pPr>
      <w:r>
        <w:rPr>
          <w:rFonts w:ascii="Gotham" w:hAnsi="Gotham" w:cs="Arial"/>
          <w:sz w:val="20"/>
          <w:szCs w:val="20"/>
        </w:rPr>
        <w:t xml:space="preserve">CUARTO.- </w:t>
      </w:r>
      <w:r>
        <w:rPr>
          <w:rFonts w:ascii="Gotham" w:eastAsia="Arial" w:hAnsi="Gotham" w:cs="Arial"/>
          <w:sz w:val="20"/>
          <w:szCs w:val="20"/>
        </w:rPr>
        <w:t>Se faculta al Presidente Municipal y a la Secretaria General a efecto de suscribir la documentación necesaria para la publicación del presente.</w:t>
      </w:r>
    </w:p>
    <w:p w14:paraId="3A4737FC" w14:textId="77777777" w:rsidR="00016FE1" w:rsidRDefault="00016FE1" w:rsidP="002B6227">
      <w:pPr>
        <w:jc w:val="both"/>
        <w:rPr>
          <w:rFonts w:ascii="Gotham" w:hAnsi="Gotham"/>
          <w:sz w:val="20"/>
          <w:szCs w:val="20"/>
        </w:rPr>
      </w:pPr>
    </w:p>
    <w:p w14:paraId="3A4737FD"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37FE" w14:textId="77777777" w:rsidR="00016FE1" w:rsidRPr="00CD0531" w:rsidRDefault="00016FE1" w:rsidP="002B6227">
      <w:pPr>
        <w:jc w:val="both"/>
        <w:rPr>
          <w:rFonts w:ascii="Gotham" w:hAnsi="Gotham" w:cs="Arial"/>
          <w:sz w:val="20"/>
          <w:szCs w:val="20"/>
        </w:rPr>
      </w:pPr>
    </w:p>
    <w:p w14:paraId="3A4737FF"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3800" w14:textId="77777777" w:rsidR="00016FE1" w:rsidRPr="00CD0531" w:rsidRDefault="00016FE1" w:rsidP="002B6227">
      <w:pPr>
        <w:jc w:val="both"/>
        <w:rPr>
          <w:rFonts w:ascii="Gotham" w:hAnsi="Gotham" w:cs="Arial"/>
          <w:sz w:val="20"/>
          <w:szCs w:val="20"/>
        </w:rPr>
      </w:pPr>
    </w:p>
    <w:p w14:paraId="3A473801"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3802" w14:textId="77777777" w:rsidR="00016FE1" w:rsidRPr="00CD0531" w:rsidRDefault="00016FE1" w:rsidP="002B6227">
      <w:pPr>
        <w:jc w:val="both"/>
        <w:rPr>
          <w:rFonts w:ascii="Gotham" w:hAnsi="Gotham" w:cs="Arial"/>
          <w:sz w:val="20"/>
          <w:szCs w:val="20"/>
        </w:rPr>
      </w:pPr>
    </w:p>
    <w:p w14:paraId="3A473803"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3804" w14:textId="77777777" w:rsidR="00016FE1" w:rsidRPr="00CD0531" w:rsidRDefault="00016FE1" w:rsidP="002B6227">
      <w:pPr>
        <w:jc w:val="both"/>
        <w:rPr>
          <w:rFonts w:ascii="Gotham" w:hAnsi="Gotham" w:cs="Arial"/>
          <w:sz w:val="20"/>
          <w:szCs w:val="20"/>
        </w:rPr>
      </w:pPr>
    </w:p>
    <w:p w14:paraId="3A473805"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3806" w14:textId="77777777" w:rsidR="00016FE1" w:rsidRPr="007572F1" w:rsidRDefault="00016FE1" w:rsidP="002B6227">
      <w:pPr>
        <w:jc w:val="both"/>
        <w:rPr>
          <w:rFonts w:ascii="Gotham" w:hAnsi="Gotham"/>
          <w:sz w:val="20"/>
          <w:szCs w:val="20"/>
        </w:rPr>
      </w:pPr>
    </w:p>
    <w:p w14:paraId="3A473807" w14:textId="77777777" w:rsidR="00016FE1" w:rsidRPr="00040F49" w:rsidRDefault="00016FE1" w:rsidP="002B6227">
      <w:pPr>
        <w:jc w:val="both"/>
        <w:rPr>
          <w:rFonts w:ascii="Gotham" w:hAnsi="Gotham"/>
          <w:sz w:val="20"/>
          <w:szCs w:val="20"/>
        </w:rPr>
      </w:pPr>
    </w:p>
    <w:p w14:paraId="3A473808" w14:textId="77777777" w:rsidR="00016FE1" w:rsidRDefault="00016FE1" w:rsidP="002B6227">
      <w:pPr>
        <w:pStyle w:val="western"/>
        <w:spacing w:before="0" w:beforeAutospacing="0"/>
        <w:jc w:val="right"/>
        <w:rPr>
          <w:rFonts w:ascii="Gotham" w:hAnsi="Gotham"/>
          <w:b/>
          <w:sz w:val="22"/>
          <w:szCs w:val="22"/>
          <w:u w:val="single"/>
        </w:rPr>
      </w:pPr>
      <w:r>
        <w:rPr>
          <w:rFonts w:ascii="Gotham" w:hAnsi="Gotham"/>
          <w:b/>
          <w:sz w:val="22"/>
          <w:szCs w:val="22"/>
          <w:u w:val="single"/>
        </w:rPr>
        <w:t>ACUERDO NO. 1129</w:t>
      </w:r>
    </w:p>
    <w:p w14:paraId="3A473809" w14:textId="77777777" w:rsidR="00016FE1" w:rsidRPr="00040F49" w:rsidRDefault="00016FE1" w:rsidP="002B6227">
      <w:pPr>
        <w:jc w:val="both"/>
        <w:rPr>
          <w:rFonts w:ascii="Gotham" w:hAnsi="Gotham"/>
          <w:sz w:val="20"/>
          <w:szCs w:val="20"/>
        </w:rPr>
      </w:pPr>
      <w:r w:rsidRPr="00EA45CF">
        <w:rPr>
          <w:rFonts w:ascii="Gotham" w:hAnsi="Gotham"/>
          <w:b/>
          <w:bCs/>
          <w:smallCaps/>
          <w:sz w:val="20"/>
          <w:szCs w:val="20"/>
        </w:rPr>
        <w:t>Segundo Dictamen de Comisión</w:t>
      </w:r>
      <w:r w:rsidRPr="00EA45CF">
        <w:rPr>
          <w:rFonts w:ascii="Gotham" w:hAnsi="Gotham"/>
          <w:b/>
          <w:bCs/>
          <w:sz w:val="20"/>
          <w:szCs w:val="20"/>
        </w:rPr>
        <w:t xml:space="preserve">.- </w:t>
      </w:r>
      <w:r w:rsidRPr="00EA45CF">
        <w:rPr>
          <w:rFonts w:ascii="Gotham" w:hAnsi="Gotham"/>
          <w:sz w:val="20"/>
          <w:szCs w:val="20"/>
        </w:rPr>
        <w:t>En uso de la voz el Presidente Municipal, Sergio Armando Chávez Dávalos, expresa que, se da cuenta del dictamen que presenta</w:t>
      </w:r>
      <w:r>
        <w:rPr>
          <w:rFonts w:ascii="Gotham" w:hAnsi="Gotham"/>
          <w:sz w:val="20"/>
          <w:szCs w:val="20"/>
        </w:rPr>
        <w:t>n</w:t>
      </w:r>
      <w:r w:rsidRPr="00EA45CF">
        <w:rPr>
          <w:rFonts w:ascii="Gotham" w:hAnsi="Gotham"/>
          <w:sz w:val="20"/>
          <w:szCs w:val="20"/>
        </w:rPr>
        <w:t xml:space="preserve"> </w:t>
      </w:r>
      <w:r>
        <w:rPr>
          <w:rFonts w:ascii="Gotham" w:hAnsi="Gotham" w:cs="Arial"/>
          <w:sz w:val="20"/>
          <w:szCs w:val="20"/>
        </w:rPr>
        <w:t>las Comisiones Edilicias de Reglamentos, Puntos Constitucionales, Administración y Planeación Legislativa, y de Atención de la Juventud y Deporte</w:t>
      </w:r>
      <w:r w:rsidRPr="00EA45CF">
        <w:rPr>
          <w:rFonts w:ascii="Gotham" w:hAnsi="Gotham"/>
          <w:sz w:val="20"/>
          <w:szCs w:val="20"/>
        </w:rPr>
        <w:t>.</w:t>
      </w:r>
    </w:p>
    <w:p w14:paraId="3A47380A" w14:textId="77777777" w:rsidR="00016FE1" w:rsidRDefault="00016FE1" w:rsidP="002B6227">
      <w:pPr>
        <w:jc w:val="both"/>
        <w:rPr>
          <w:rFonts w:ascii="Gotham" w:hAnsi="Gotham"/>
          <w:sz w:val="20"/>
          <w:szCs w:val="20"/>
        </w:rPr>
      </w:pPr>
    </w:p>
    <w:p w14:paraId="3A47380B" w14:textId="77777777" w:rsidR="00016FE1" w:rsidRDefault="00016FE1" w:rsidP="002B6227">
      <w:pPr>
        <w:jc w:val="both"/>
        <w:rPr>
          <w:rFonts w:ascii="Gotham" w:hAnsi="Gotham" w:cs="Arial"/>
          <w:sz w:val="20"/>
          <w:szCs w:val="20"/>
        </w:rPr>
      </w:pPr>
      <w:r>
        <w:rPr>
          <w:rFonts w:ascii="Gotham" w:hAnsi="Gotham" w:cs="Arial"/>
          <w:sz w:val="20"/>
          <w:szCs w:val="20"/>
        </w:rPr>
        <w:t>A las Comisiones Edilicias de Reglamentos, Puntos Constitucionales, Administración y Planeación Legislativa, como convocante, y a la Comisión de Atención de la Juventud y Deporte, en su calidad de coadyuvante se le fue turnada la iniciativa de Ordenamiento Municipal mediante el acuerdo de Ayuntamiento número 141 presentada por el Regidor Manuel Salvador Romero Cueva que tiene por objeto crear el reglamento para la prevención Integral de los Delitos Relacionados con la Trata de Personas del Municipio de Tonalá, Jalisco presentado en la Sesión ordinaria de fecha 24 de febrero de 2022; para lo cual con fundamento en lo previsto por los artículos 2, 3 ,37 ,41 fracción II y 50 fracción I y II y demás relativos de la Ley del Gobierno y la Administración Pública Municipal del Estado de Jalisco; así como los artículos 6, 15, 38, 39, 53 fracción II, 57 fracción VIII,</w:t>
      </w:r>
      <w:r w:rsidR="009F075D">
        <w:rPr>
          <w:rFonts w:ascii="Gotham" w:hAnsi="Gotham" w:cs="Arial"/>
          <w:sz w:val="20"/>
          <w:szCs w:val="20"/>
        </w:rPr>
        <w:t xml:space="preserve"> </w:t>
      </w:r>
      <w:r>
        <w:rPr>
          <w:rFonts w:ascii="Gotham" w:hAnsi="Gotham" w:cs="Arial"/>
          <w:sz w:val="20"/>
          <w:szCs w:val="20"/>
        </w:rPr>
        <w:t>92, 93 fracción I, 98 fracción II y II, 100 y 117 del Reglamento del Gobierno y la Administración Pública del Ayuntamiento Constitucional de Tonalá, Jalisco; así como los artículos 25, 26, 28, 42, 43, 70, 87, 88 y demás aplicables del Reglamento Para el Funcionamiento Interno de Sesiones del Ayuntamiento Constitucional de Tonalá, Jalisco se expresan los siguientes:</w:t>
      </w:r>
    </w:p>
    <w:p w14:paraId="3A47380C" w14:textId="77777777" w:rsidR="009771E8" w:rsidRPr="00224933" w:rsidRDefault="009771E8" w:rsidP="002B6227">
      <w:pPr>
        <w:jc w:val="both"/>
        <w:rPr>
          <w:rFonts w:ascii="Gotham" w:hAnsi="Gotham" w:cs="Arial"/>
          <w:sz w:val="20"/>
          <w:szCs w:val="20"/>
          <w:lang w:val="es-MX"/>
        </w:rPr>
      </w:pPr>
    </w:p>
    <w:p w14:paraId="3A47380D" w14:textId="77777777" w:rsidR="00016FE1" w:rsidRDefault="00016FE1" w:rsidP="002B6227">
      <w:pPr>
        <w:jc w:val="center"/>
        <w:rPr>
          <w:rFonts w:ascii="Gotham" w:eastAsia="Calibri" w:hAnsi="Gotham" w:cs="Arial"/>
          <w:sz w:val="20"/>
          <w:szCs w:val="20"/>
          <w:lang w:eastAsia="en-US"/>
        </w:rPr>
      </w:pPr>
      <w:r>
        <w:rPr>
          <w:rFonts w:ascii="Gotham" w:hAnsi="Gotham" w:cs="Arial"/>
          <w:sz w:val="20"/>
          <w:szCs w:val="20"/>
        </w:rPr>
        <w:t>A N T E C E D E N T E S.</w:t>
      </w:r>
    </w:p>
    <w:p w14:paraId="3A47380E" w14:textId="77777777" w:rsidR="00016FE1" w:rsidRDefault="00016FE1" w:rsidP="002B6227">
      <w:pPr>
        <w:jc w:val="both"/>
        <w:rPr>
          <w:rFonts w:ascii="Gotham" w:hAnsi="Gotham" w:cs="Arial"/>
          <w:sz w:val="20"/>
          <w:szCs w:val="20"/>
        </w:rPr>
      </w:pPr>
    </w:p>
    <w:p w14:paraId="3A47380F"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I. </w:t>
      </w:r>
      <w:r>
        <w:rPr>
          <w:rFonts w:ascii="Gotham" w:hAnsi="Gotham" w:cs="Arial"/>
          <w:sz w:val="20"/>
          <w:szCs w:val="20"/>
        </w:rPr>
        <w:tab/>
        <w:t xml:space="preserve">Mediante Acuerdo número 141 derivado de la Sesión Ordinaria de este Ayuntamiento </w:t>
      </w:r>
      <w:r>
        <w:rPr>
          <w:rFonts w:ascii="Gotham" w:hAnsi="Gotham" w:cs="Arial"/>
          <w:color w:val="000000"/>
          <w:sz w:val="20"/>
          <w:szCs w:val="20"/>
        </w:rPr>
        <w:t xml:space="preserve">de fecha 24 de febrero del año de 2022, se aprobó turnar a la Comisión la iniciativa presentada por el </w:t>
      </w:r>
      <w:r>
        <w:rPr>
          <w:rFonts w:ascii="Gotham" w:hAnsi="Gotham" w:cs="Arial"/>
          <w:sz w:val="20"/>
          <w:szCs w:val="20"/>
        </w:rPr>
        <w:t xml:space="preserve">Regidor Manuel Salvador Romero Cueva </w:t>
      </w:r>
      <w:r>
        <w:rPr>
          <w:rFonts w:ascii="Gotham" w:hAnsi="Gotham" w:cs="Arial"/>
          <w:color w:val="000000"/>
          <w:sz w:val="20"/>
          <w:szCs w:val="20"/>
        </w:rPr>
        <w:t>la cual,</w:t>
      </w:r>
      <w:r>
        <w:rPr>
          <w:rFonts w:ascii="Gotham" w:hAnsi="Gotham" w:cs="Arial"/>
          <w:sz w:val="20"/>
          <w:szCs w:val="20"/>
        </w:rPr>
        <w:t xml:space="preserve"> entre sus puntos principales, hace referencia a lo siguiente:</w:t>
      </w:r>
    </w:p>
    <w:p w14:paraId="3A473810" w14:textId="77777777" w:rsidR="00016FE1" w:rsidRDefault="00016FE1" w:rsidP="002B6227">
      <w:pPr>
        <w:jc w:val="both"/>
        <w:rPr>
          <w:rFonts w:ascii="Gotham" w:eastAsia="Calibri" w:hAnsi="Gotham"/>
          <w:sz w:val="20"/>
          <w:szCs w:val="20"/>
          <w:lang w:val="es-MX" w:eastAsia="en-US"/>
        </w:rPr>
      </w:pPr>
    </w:p>
    <w:p w14:paraId="3A473811" w14:textId="77777777" w:rsidR="00016FE1" w:rsidRDefault="00016FE1" w:rsidP="002B6227">
      <w:pPr>
        <w:pStyle w:val="western"/>
        <w:spacing w:before="0" w:beforeAutospacing="0"/>
        <w:ind w:left="851" w:right="283"/>
        <w:jc w:val="right"/>
        <w:rPr>
          <w:rFonts w:ascii="Gotham" w:hAnsi="Gotham" w:cstheme="minorHAnsi"/>
          <w:b/>
          <w:i/>
          <w:sz w:val="19"/>
          <w:szCs w:val="19"/>
          <w:u w:val="single"/>
        </w:rPr>
      </w:pPr>
      <w:r>
        <w:rPr>
          <w:rFonts w:ascii="Gotham" w:hAnsi="Gotham" w:cstheme="minorHAnsi"/>
          <w:b/>
          <w:i/>
          <w:sz w:val="19"/>
          <w:szCs w:val="19"/>
          <w:u w:val="single"/>
        </w:rPr>
        <w:t>ACUERDO NO. 141</w:t>
      </w:r>
    </w:p>
    <w:p w14:paraId="3A473812" w14:textId="77777777" w:rsidR="00016FE1" w:rsidRDefault="00016FE1" w:rsidP="002B6227">
      <w:pPr>
        <w:ind w:left="851" w:right="283"/>
        <w:jc w:val="both"/>
        <w:rPr>
          <w:rFonts w:ascii="Gotham" w:hAnsi="Gotham" w:cstheme="minorHAnsi"/>
          <w:i/>
          <w:sz w:val="19"/>
          <w:szCs w:val="19"/>
        </w:rPr>
      </w:pPr>
      <w:r>
        <w:rPr>
          <w:rFonts w:ascii="Gotham" w:hAnsi="Gotham" w:cstheme="minorHAnsi"/>
          <w:b/>
          <w:i/>
          <w:sz w:val="19"/>
          <w:szCs w:val="19"/>
        </w:rPr>
        <w:t>DÉCIMA INICIATIVA CON TURNO A COMISIÓN</w:t>
      </w:r>
      <w:r>
        <w:rPr>
          <w:rFonts w:ascii="Gotham" w:hAnsi="Gotham" w:cstheme="minorHAnsi"/>
          <w:i/>
          <w:sz w:val="19"/>
          <w:szCs w:val="19"/>
        </w:rPr>
        <w:t>.- En uso de la voz el Regidor Manuel Salvador Romero Cueva, expone que, con su venia Presidente, saludo de igual manera a mis compañeros Regidores, a quienes hoy nos siguen por las transmisiones de las distintas plataformas que utilizan para informar a la ciudadanía de lo que en este órgano colegiado se propone y se aprueba.</w:t>
      </w:r>
    </w:p>
    <w:p w14:paraId="3A473813" w14:textId="77777777" w:rsidR="00016FE1" w:rsidRDefault="00016FE1" w:rsidP="002B6227">
      <w:pPr>
        <w:ind w:left="851" w:right="283"/>
        <w:jc w:val="both"/>
        <w:rPr>
          <w:rFonts w:ascii="Gotham" w:hAnsi="Gotham" w:cstheme="minorHAnsi"/>
          <w:i/>
          <w:sz w:val="19"/>
          <w:szCs w:val="19"/>
        </w:rPr>
      </w:pPr>
    </w:p>
    <w:p w14:paraId="3A473814"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En una primera iniciativa con turno a comisión quisiera pedirle a la Secretario que por economía procesal pudiéramos omitir la fundamentación, pero que sea transcrita tal cual se presentó en la Secretaría en el acta de esta sesión.</w:t>
      </w:r>
    </w:p>
    <w:p w14:paraId="3A473815" w14:textId="77777777" w:rsidR="00016FE1" w:rsidRDefault="00016FE1" w:rsidP="002B6227">
      <w:pPr>
        <w:ind w:left="851" w:right="283"/>
        <w:jc w:val="both"/>
        <w:rPr>
          <w:rFonts w:ascii="Gotham" w:hAnsi="Gotham" w:cstheme="minorHAnsi"/>
          <w:i/>
          <w:sz w:val="19"/>
          <w:szCs w:val="19"/>
        </w:rPr>
      </w:pPr>
    </w:p>
    <w:p w14:paraId="3A473816"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 xml:space="preserve">A lo largo de este periodo Alcalde, compañeros Regidores, he presentado una serie de iniciativas que tienen como principal objetivo el lograr ser el primer municipio libre de trata de personas, esto claro desde la óptica de la prevención que es la función que como municipio podemos abonar en este tema; desde esta óptica Presidente, compañeros Regidores, la propuesta es lograr tener el primer reglamento contra la trata de personas en la zona metropolitana de Guadalajara, aunque existe una Ley general Presidente, compañeros, tanto Federal, como Estatal para la atención donde manifiestan muy puntualmente y claramente que los municipios deberán contar con un reglamento en este tema, hoy lamentablemente ningún municipio metropolitano cuenta con este reglamento, es por eso que creo que deberíamos ser pioneros impulsándolo y me gustaría también verter también aquí que aunque hoy este reglamento se trabajó desde gabinete con técnica legislativa, no quiere decir que nuestra propuesta de reglamento que estoy presentando en la iniciativa, sea la más completa, es por eso que no me voy a quedar con esa propuesta en el transcurso del proceso legislativo mientras se esté en </w:t>
      </w:r>
      <w:r>
        <w:rPr>
          <w:rFonts w:ascii="Gotham" w:hAnsi="Gotham" w:cstheme="minorHAnsi"/>
          <w:i/>
          <w:sz w:val="19"/>
          <w:szCs w:val="19"/>
        </w:rPr>
        <w:lastRenderedPageBreak/>
        <w:t>comisiones, voy a consultar al Instituto Electoral de Participación Ciudadana para que nos recomiende un mecanismo en un modelo de gobernanza que nos permita que este reglamento esté enriquecido con la opinión de jóvenes de expertos especialistas, de universidades y efectivamente con una meteorología que esté evaluada por el mismo Instituto; estoy convencido Presidente que cada minuto que le podamos dar al tratamiento de este problema va a abonar a que existan menos víctimas y evitar el sufrimiento de muchas familias que han perdido a sus hijos por este delito; en este sentido Presidente, propongo el presente acuerdo de ordenamiento:</w:t>
      </w:r>
    </w:p>
    <w:p w14:paraId="3A473817" w14:textId="77777777" w:rsidR="00016FE1" w:rsidRDefault="00016FE1" w:rsidP="002B6227">
      <w:pPr>
        <w:ind w:left="851" w:right="283"/>
        <w:jc w:val="both"/>
        <w:rPr>
          <w:rFonts w:ascii="Gotham" w:hAnsi="Gotham" w:cstheme="minorHAnsi"/>
          <w:i/>
          <w:sz w:val="19"/>
          <w:szCs w:val="19"/>
        </w:rPr>
      </w:pPr>
    </w:p>
    <w:p w14:paraId="3A473818"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El que suscribe, Regidor del Ayuntamiento Constitucional de Tonalá, Jalisco, Abogado Manuel Salvador Romero Cueva, con fundamento en el artículo 115, fracciones I y II, de la Constitución Política de los Estados Unidos Mexicanos; arábigo 77 de la Constitución Política del Estado de Jalisco; artículos 2, 3, 37 y 50 de la Ley del Gobierno y la Administración Pública Municipal del Estado de Jalisco; los similares 53 y 56 del Reglamento del Gobierno y la Administración Pública del Ayuntamiento Constitucional de Tonalá, Jalisco; así como los ordinales 25 y 83 del Reglamento para el Funcionamiento Interno de Sesiones del Ayuntamiento Constitucional de Tonalá, Jalisco; someto a consideración de esta soberanía, la presente iniciativa de Ordenamiento Municipal con turno a Comisión que propone la expedición del Reglamento para la Prevención Integral de los Delitos Relacionados con la Trata de Personas del Municipio de Tonalá, Jalisco; de conformidad con la siguiente:</w:t>
      </w:r>
    </w:p>
    <w:p w14:paraId="3A473819" w14:textId="77777777" w:rsidR="00016FE1" w:rsidRDefault="00016FE1" w:rsidP="002B6227">
      <w:pPr>
        <w:ind w:left="851" w:right="283"/>
        <w:jc w:val="both"/>
        <w:rPr>
          <w:rFonts w:ascii="Gotham" w:hAnsi="Gotham" w:cstheme="minorHAnsi"/>
          <w:i/>
          <w:sz w:val="19"/>
          <w:szCs w:val="19"/>
        </w:rPr>
      </w:pPr>
    </w:p>
    <w:p w14:paraId="3A47381A" w14:textId="77777777" w:rsidR="00016FE1" w:rsidRDefault="00016FE1" w:rsidP="002B6227">
      <w:pPr>
        <w:ind w:left="851" w:right="283"/>
        <w:jc w:val="center"/>
        <w:rPr>
          <w:rFonts w:ascii="Gotham" w:hAnsi="Gotham" w:cstheme="minorHAnsi"/>
          <w:i/>
          <w:sz w:val="19"/>
          <w:szCs w:val="19"/>
        </w:rPr>
      </w:pPr>
      <w:r>
        <w:rPr>
          <w:rFonts w:ascii="Gotham" w:hAnsi="Gotham" w:cstheme="minorHAnsi"/>
          <w:i/>
          <w:sz w:val="19"/>
          <w:szCs w:val="19"/>
        </w:rPr>
        <w:t>EXPOSICIÓN DE MOTIVOS</w:t>
      </w:r>
    </w:p>
    <w:p w14:paraId="3A47381B" w14:textId="77777777" w:rsidR="00016FE1" w:rsidRDefault="00016FE1" w:rsidP="002B6227">
      <w:pPr>
        <w:ind w:left="851" w:right="283"/>
        <w:jc w:val="both"/>
        <w:rPr>
          <w:rFonts w:ascii="Gotham" w:hAnsi="Gotham" w:cstheme="minorHAnsi"/>
          <w:i/>
          <w:sz w:val="19"/>
          <w:szCs w:val="19"/>
        </w:rPr>
      </w:pPr>
    </w:p>
    <w:p w14:paraId="3A47381C"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La trata de personas es un fenómeno social que afecta a una gran cantidad de personas particularmente mujeres, de conformidad con la definición que oferta la Ley General para Prevenir, Sancionar y Erradicar los Delitos en Materia de Trata de Personas y para la Protección y Asistencia a las Víctimas de estos Delitos, entendemos por tal:</w:t>
      </w:r>
    </w:p>
    <w:p w14:paraId="3A47381D" w14:textId="77777777" w:rsidR="00016FE1" w:rsidRDefault="00016FE1" w:rsidP="002B6227">
      <w:pPr>
        <w:ind w:left="1134"/>
        <w:jc w:val="both"/>
        <w:rPr>
          <w:rFonts w:ascii="Gotham" w:hAnsi="Gotham" w:cstheme="minorHAnsi"/>
          <w:i/>
          <w:sz w:val="20"/>
          <w:szCs w:val="20"/>
        </w:rPr>
      </w:pPr>
    </w:p>
    <w:p w14:paraId="3A47381E" w14:textId="77777777" w:rsidR="00016FE1" w:rsidRDefault="00016FE1" w:rsidP="002B6227">
      <w:pPr>
        <w:ind w:left="1560" w:right="567"/>
        <w:jc w:val="both"/>
        <w:rPr>
          <w:rFonts w:ascii="Gotham" w:hAnsi="Gotham" w:cstheme="minorHAnsi"/>
          <w:i/>
          <w:sz w:val="18"/>
          <w:szCs w:val="18"/>
        </w:rPr>
      </w:pPr>
      <w:r>
        <w:rPr>
          <w:rFonts w:ascii="Gotham" w:hAnsi="Gotham" w:cstheme="minorHAnsi"/>
          <w:i/>
          <w:sz w:val="18"/>
          <w:szCs w:val="18"/>
        </w:rPr>
        <w:t>“Toda acción u omisión dolosa de una o varias personas para captar, enganchar, transportar, transferir, retener, entregar, recibir o alojar a una o varias personas con fines de explotación” …</w:t>
      </w:r>
    </w:p>
    <w:p w14:paraId="3A47381F" w14:textId="77777777" w:rsidR="00016FE1" w:rsidRDefault="00016FE1" w:rsidP="002B6227">
      <w:pPr>
        <w:ind w:left="1276" w:right="283"/>
        <w:jc w:val="both"/>
        <w:rPr>
          <w:rFonts w:ascii="Gotham" w:hAnsi="Gotham" w:cstheme="minorHAnsi"/>
          <w:i/>
          <w:sz w:val="19"/>
          <w:szCs w:val="19"/>
        </w:rPr>
      </w:pPr>
    </w:p>
    <w:p w14:paraId="3A473820" w14:textId="77777777" w:rsidR="00016FE1" w:rsidRDefault="00016FE1" w:rsidP="002B6227">
      <w:pPr>
        <w:ind w:left="1276" w:right="283"/>
        <w:jc w:val="both"/>
        <w:rPr>
          <w:rFonts w:ascii="Gotham" w:hAnsi="Gotham" w:cstheme="minorHAnsi"/>
          <w:i/>
          <w:sz w:val="19"/>
          <w:szCs w:val="19"/>
        </w:rPr>
      </w:pPr>
      <w:r>
        <w:rPr>
          <w:rFonts w:ascii="Gotham" w:hAnsi="Gotham" w:cstheme="minorHAnsi"/>
          <w:i/>
          <w:sz w:val="19"/>
          <w:szCs w:val="19"/>
        </w:rPr>
        <w:t>La norma de referencia, fue publicada en el Diario Oficial de la Federación el 14 de junio de 2012, reglamentando el artículo 73, fracción XXI, párrafo primero, en materia de trata de personas, de la Constitución Política de los Estados Unidos Mexicanos, en ese sentido se destaca el grado de jerarquía que el legislador tuvo a bien asignar a esta problemática, al respecto se señalan los siguientes aspectos normativos de la mencionada Ley General, que justifican y hacen necesaria la intervención de los gobiernos municipales en esta materia:</w:t>
      </w:r>
    </w:p>
    <w:p w14:paraId="3A473821" w14:textId="77777777" w:rsidR="00016FE1" w:rsidRDefault="00016FE1" w:rsidP="002B6227">
      <w:pPr>
        <w:ind w:left="1276" w:right="283"/>
        <w:jc w:val="both"/>
        <w:rPr>
          <w:rFonts w:ascii="Gotham" w:hAnsi="Gotham" w:cstheme="minorHAnsi"/>
          <w:i/>
          <w:sz w:val="19"/>
          <w:szCs w:val="19"/>
        </w:rPr>
      </w:pPr>
    </w:p>
    <w:p w14:paraId="3A473822" w14:textId="77777777" w:rsidR="00016FE1" w:rsidRDefault="00016FE1" w:rsidP="002B6227">
      <w:pPr>
        <w:ind w:left="1560" w:right="567"/>
        <w:jc w:val="both"/>
        <w:rPr>
          <w:rFonts w:ascii="Gotham" w:hAnsi="Gotham" w:cstheme="minorHAnsi"/>
          <w:i/>
          <w:sz w:val="18"/>
          <w:szCs w:val="18"/>
        </w:rPr>
      </w:pPr>
      <w:r>
        <w:rPr>
          <w:rFonts w:ascii="Gotham" w:hAnsi="Gotham" w:cstheme="minorHAnsi"/>
          <w:i/>
          <w:sz w:val="18"/>
          <w:szCs w:val="18"/>
        </w:rPr>
        <w:t>“Artículo 6o. La Federación, los estados, los municipios y el Distrito Federal y sus demarcaciones territoriales, estarán obligados a coordinarse, en el ámbito de sus competencias, y en función de las facultades exclusivas y concurrentes previstas en esta Ley, con el objeto de generar prevención general.</w:t>
      </w:r>
    </w:p>
    <w:p w14:paraId="3A473823" w14:textId="77777777" w:rsidR="00016FE1" w:rsidRDefault="00016FE1" w:rsidP="002B6227">
      <w:pPr>
        <w:ind w:left="1560" w:right="567"/>
        <w:jc w:val="both"/>
        <w:rPr>
          <w:rFonts w:ascii="Gotham" w:hAnsi="Gotham" w:cstheme="minorHAnsi"/>
          <w:i/>
          <w:sz w:val="18"/>
          <w:szCs w:val="18"/>
        </w:rPr>
      </w:pPr>
    </w:p>
    <w:p w14:paraId="3A473824" w14:textId="77777777" w:rsidR="00016FE1" w:rsidRDefault="00016FE1" w:rsidP="002B6227">
      <w:pPr>
        <w:ind w:left="1560" w:right="567"/>
        <w:jc w:val="both"/>
        <w:rPr>
          <w:rFonts w:ascii="Gotham" w:hAnsi="Gotham" w:cstheme="minorHAnsi"/>
          <w:i/>
          <w:sz w:val="18"/>
          <w:szCs w:val="18"/>
        </w:rPr>
      </w:pPr>
      <w:r>
        <w:rPr>
          <w:rFonts w:ascii="Gotham" w:hAnsi="Gotham" w:cstheme="minorHAnsi"/>
          <w:i/>
          <w:sz w:val="18"/>
          <w:szCs w:val="18"/>
        </w:rPr>
        <w:t>Artículo 62. Las autoridades responsables de atender a las víctimas del delito en los ámbitos federal, de los estados, municipales, del Distrito Federal y de sus Demarcaciones Territoriales, en sus respectivos ámbitos de competencia, adoptarán medidas tendientes a proteger y asistir debidamente</w:t>
      </w:r>
    </w:p>
    <w:p w14:paraId="3A473825" w14:textId="77777777" w:rsidR="00016FE1" w:rsidRDefault="00016FE1" w:rsidP="002B6227">
      <w:pPr>
        <w:ind w:left="1560" w:right="567"/>
        <w:jc w:val="both"/>
        <w:rPr>
          <w:rFonts w:ascii="Gotham" w:hAnsi="Gotham" w:cstheme="minorHAnsi"/>
          <w:i/>
          <w:sz w:val="18"/>
          <w:szCs w:val="18"/>
        </w:rPr>
      </w:pPr>
      <w:r>
        <w:rPr>
          <w:rFonts w:ascii="Gotham" w:hAnsi="Gotham" w:cstheme="minorHAnsi"/>
          <w:i/>
          <w:sz w:val="18"/>
          <w:szCs w:val="18"/>
        </w:rPr>
        <w:t>a víctimas, ofendidos y testigos…</w:t>
      </w:r>
    </w:p>
    <w:p w14:paraId="3A473826" w14:textId="77777777" w:rsidR="00016FE1" w:rsidRDefault="00016FE1" w:rsidP="002B6227">
      <w:pPr>
        <w:ind w:left="1560" w:right="567"/>
        <w:jc w:val="both"/>
        <w:rPr>
          <w:rFonts w:ascii="Gotham" w:hAnsi="Gotham" w:cstheme="minorHAnsi"/>
          <w:i/>
          <w:sz w:val="18"/>
          <w:szCs w:val="18"/>
        </w:rPr>
      </w:pPr>
    </w:p>
    <w:p w14:paraId="3A473827" w14:textId="77777777" w:rsidR="00016FE1" w:rsidRDefault="00016FE1" w:rsidP="002B6227">
      <w:pPr>
        <w:ind w:left="1560" w:right="567"/>
        <w:jc w:val="both"/>
        <w:rPr>
          <w:rFonts w:ascii="Gotham" w:hAnsi="Gotham" w:cstheme="minorHAnsi"/>
          <w:i/>
          <w:sz w:val="18"/>
          <w:szCs w:val="18"/>
        </w:rPr>
      </w:pPr>
      <w:r>
        <w:rPr>
          <w:rFonts w:ascii="Gotham" w:hAnsi="Gotham" w:cstheme="minorHAnsi"/>
          <w:i/>
          <w:sz w:val="18"/>
          <w:szCs w:val="18"/>
        </w:rPr>
        <w:t xml:space="preserve">Artículo 104. La Secretaría de Seguridad Pública y autoridades estatales, municipales y del Distrito Federal, dentro del ámbito de sus competencias, supervisarán negocios que puedan ser propicios para la comisión del delito previsto en esta Ley, realizando </w:t>
      </w:r>
      <w:r>
        <w:rPr>
          <w:rFonts w:ascii="Gotham" w:hAnsi="Gotham" w:cstheme="minorHAnsi"/>
          <w:i/>
          <w:sz w:val="18"/>
          <w:szCs w:val="18"/>
        </w:rPr>
        <w:lastRenderedPageBreak/>
        <w:t>inspecciones en agencias de modelaje o artísticas, salas de masajes, bares, cantinas, hoteles, cines, servicio de Internet, baños públicos u otros.</w:t>
      </w:r>
    </w:p>
    <w:p w14:paraId="3A473828" w14:textId="77777777" w:rsidR="00016FE1" w:rsidRDefault="00016FE1" w:rsidP="002B6227">
      <w:pPr>
        <w:ind w:left="1560" w:right="567"/>
        <w:jc w:val="both"/>
        <w:rPr>
          <w:rFonts w:ascii="Gotham" w:hAnsi="Gotham" w:cstheme="minorHAnsi"/>
          <w:i/>
          <w:sz w:val="18"/>
          <w:szCs w:val="18"/>
        </w:rPr>
      </w:pPr>
    </w:p>
    <w:p w14:paraId="3A473829" w14:textId="77777777" w:rsidR="00016FE1" w:rsidRDefault="00016FE1" w:rsidP="002B6227">
      <w:pPr>
        <w:spacing w:after="120"/>
        <w:ind w:left="1560" w:right="567"/>
        <w:jc w:val="both"/>
        <w:rPr>
          <w:rFonts w:ascii="Gotham" w:hAnsi="Gotham" w:cstheme="minorHAnsi"/>
          <w:i/>
          <w:sz w:val="18"/>
          <w:szCs w:val="18"/>
        </w:rPr>
      </w:pPr>
      <w:r>
        <w:rPr>
          <w:rFonts w:ascii="Gotham" w:hAnsi="Gotham" w:cstheme="minorHAnsi"/>
          <w:i/>
          <w:sz w:val="18"/>
          <w:szCs w:val="18"/>
        </w:rPr>
        <w:t>Artículo 115. Corresponde a los municipios y a las demarcaciones territoriales del Distrito Federal en el ámbito de sus respectivas facultades y competencias, de conformidad con esta Ley, la legislación aplicable en la materia y las políticas y programas federales, estatales y del Distrito Federal:</w:t>
      </w:r>
    </w:p>
    <w:p w14:paraId="3A47382A" w14:textId="77777777" w:rsidR="00016FE1" w:rsidRDefault="00016FE1" w:rsidP="002B6227">
      <w:pPr>
        <w:spacing w:after="120"/>
        <w:ind w:left="1985" w:right="567" w:hanging="425"/>
        <w:jc w:val="both"/>
        <w:rPr>
          <w:rFonts w:ascii="Gotham" w:hAnsi="Gotham" w:cstheme="minorHAnsi"/>
          <w:i/>
          <w:sz w:val="18"/>
          <w:szCs w:val="18"/>
        </w:rPr>
      </w:pPr>
      <w:r>
        <w:rPr>
          <w:rFonts w:ascii="Gotham" w:hAnsi="Gotham" w:cstheme="minorHAnsi"/>
          <w:i/>
          <w:sz w:val="18"/>
          <w:szCs w:val="18"/>
        </w:rPr>
        <w:t xml:space="preserve">I. </w:t>
      </w:r>
      <w:r>
        <w:rPr>
          <w:rFonts w:ascii="Gotham" w:hAnsi="Gotham" w:cstheme="minorHAnsi"/>
          <w:i/>
          <w:sz w:val="18"/>
          <w:szCs w:val="18"/>
        </w:rPr>
        <w:tab/>
        <w:t>Instrumentar políticas y acciones para prevenir y erradicar la esclavitud, la trata de personas o demás delitos previstos en esta Ley;</w:t>
      </w:r>
    </w:p>
    <w:p w14:paraId="3A47382B" w14:textId="77777777" w:rsidR="00016FE1" w:rsidRDefault="00016FE1" w:rsidP="002B6227">
      <w:pPr>
        <w:spacing w:after="120"/>
        <w:ind w:left="1985" w:right="567" w:hanging="425"/>
        <w:jc w:val="both"/>
        <w:rPr>
          <w:rFonts w:ascii="Gotham" w:hAnsi="Gotham" w:cstheme="minorHAnsi"/>
          <w:i/>
          <w:sz w:val="18"/>
          <w:szCs w:val="18"/>
        </w:rPr>
      </w:pPr>
      <w:r>
        <w:rPr>
          <w:rFonts w:ascii="Gotham" w:hAnsi="Gotham" w:cstheme="minorHAnsi"/>
          <w:i/>
          <w:sz w:val="18"/>
          <w:szCs w:val="18"/>
        </w:rPr>
        <w:t xml:space="preserve">II. </w:t>
      </w:r>
      <w:r>
        <w:rPr>
          <w:rFonts w:ascii="Gotham" w:hAnsi="Gotham" w:cstheme="minorHAnsi"/>
          <w:i/>
          <w:sz w:val="18"/>
          <w:szCs w:val="18"/>
        </w:rPr>
        <w:tab/>
        <w:t>Apoyar la creación de programas de sensibilización y capacitación para las y los servidores públicos y funcionarios que puedan estar en contacto con posibles víctimas de los delitos previstos en esta Ley;</w:t>
      </w:r>
    </w:p>
    <w:p w14:paraId="3A47382C" w14:textId="77777777" w:rsidR="00016FE1" w:rsidRDefault="00016FE1" w:rsidP="002B6227">
      <w:pPr>
        <w:spacing w:after="120"/>
        <w:ind w:left="1985" w:right="567" w:hanging="425"/>
        <w:jc w:val="both"/>
        <w:rPr>
          <w:rFonts w:ascii="Gotham" w:hAnsi="Gotham" w:cstheme="minorHAnsi"/>
          <w:i/>
          <w:sz w:val="18"/>
          <w:szCs w:val="18"/>
        </w:rPr>
      </w:pPr>
      <w:r>
        <w:rPr>
          <w:rFonts w:ascii="Gotham" w:hAnsi="Gotham" w:cstheme="minorHAnsi"/>
          <w:i/>
          <w:sz w:val="18"/>
          <w:szCs w:val="18"/>
        </w:rPr>
        <w:t xml:space="preserve">III. </w:t>
      </w:r>
      <w:r>
        <w:rPr>
          <w:rFonts w:ascii="Gotham" w:hAnsi="Gotham" w:cstheme="minorHAnsi"/>
          <w:i/>
          <w:sz w:val="18"/>
          <w:szCs w:val="18"/>
        </w:rPr>
        <w:tab/>
        <w:t>Apoyar la creación de refugios o modelos de protección y asistencia de emergencia, hasta que la autoridad competente tome conocimiento del hecho y proceda a proteger y asistir a la víctima, ofendido o testigo de los delitos previstos en esta Ley;</w:t>
      </w:r>
    </w:p>
    <w:p w14:paraId="3A47382D" w14:textId="77777777" w:rsidR="00016FE1" w:rsidRDefault="00016FE1" w:rsidP="002B6227">
      <w:pPr>
        <w:spacing w:after="120"/>
        <w:ind w:left="1985" w:right="567" w:hanging="425"/>
        <w:jc w:val="both"/>
        <w:rPr>
          <w:rFonts w:ascii="Gotham" w:hAnsi="Gotham" w:cstheme="minorHAnsi"/>
          <w:i/>
          <w:sz w:val="18"/>
          <w:szCs w:val="18"/>
        </w:rPr>
      </w:pPr>
      <w:r>
        <w:rPr>
          <w:rFonts w:ascii="Gotham" w:hAnsi="Gotham" w:cstheme="minorHAnsi"/>
          <w:i/>
          <w:sz w:val="18"/>
          <w:szCs w:val="18"/>
        </w:rPr>
        <w:t xml:space="preserve">IV. </w:t>
      </w:r>
      <w:r>
        <w:rPr>
          <w:rFonts w:ascii="Gotham" w:hAnsi="Gotham" w:cstheme="minorHAnsi"/>
          <w:i/>
          <w:sz w:val="18"/>
          <w:szCs w:val="18"/>
        </w:rPr>
        <w:tab/>
        <w:t xml:space="preserve">Detectar y prevenir la trata de personas y demás delitos previstos en esta Ley, en el territorio bajo su responsabilidad, a través de la autorización de funcionamiento de establecimientos como bares, clubs nocturnos, lugares de espectáculos, recintos feriales o deportivos, salones de masajes, hoteles, baños, vapores, loncherías, restaurantes, vía pública, cafés internet y otros, así como a través de la vigilancia e inspección de estos negocios, y </w:t>
      </w:r>
    </w:p>
    <w:p w14:paraId="3A47382E" w14:textId="77777777" w:rsidR="00016FE1" w:rsidRDefault="00016FE1" w:rsidP="002B6227">
      <w:pPr>
        <w:ind w:left="1985" w:right="567" w:hanging="425"/>
        <w:jc w:val="both"/>
        <w:rPr>
          <w:rFonts w:ascii="Gotham" w:hAnsi="Gotham" w:cstheme="minorHAnsi"/>
          <w:i/>
          <w:sz w:val="18"/>
          <w:szCs w:val="18"/>
        </w:rPr>
      </w:pPr>
      <w:r>
        <w:rPr>
          <w:rFonts w:ascii="Gotham" w:hAnsi="Gotham" w:cstheme="minorHAnsi"/>
          <w:i/>
          <w:sz w:val="18"/>
          <w:szCs w:val="18"/>
        </w:rPr>
        <w:t xml:space="preserve">V. </w:t>
      </w:r>
      <w:r>
        <w:rPr>
          <w:rFonts w:ascii="Gotham" w:hAnsi="Gotham" w:cstheme="minorHAnsi"/>
          <w:i/>
          <w:sz w:val="18"/>
          <w:szCs w:val="18"/>
        </w:rPr>
        <w:tab/>
        <w:t>Las demás aplicables sobre la materia y las que les confiera esta Ley y otros ordenamientos jurídicos”.</w:t>
      </w:r>
    </w:p>
    <w:p w14:paraId="3A47382F" w14:textId="77777777" w:rsidR="00016FE1" w:rsidRDefault="00016FE1" w:rsidP="002B6227">
      <w:pPr>
        <w:ind w:left="1276" w:right="283" w:hanging="425"/>
        <w:jc w:val="both"/>
        <w:rPr>
          <w:rFonts w:ascii="Gotham" w:hAnsi="Gotham" w:cstheme="minorHAnsi"/>
          <w:i/>
          <w:sz w:val="19"/>
          <w:szCs w:val="19"/>
        </w:rPr>
      </w:pPr>
    </w:p>
    <w:p w14:paraId="3A473830"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De los fundamentos legales antes citados, se desprende una plena competencia del gobierno municipal para intervenir en esta materia, fundamentalmente en un par de aspectos:</w:t>
      </w:r>
    </w:p>
    <w:p w14:paraId="3A473831" w14:textId="77777777" w:rsidR="00016FE1" w:rsidRDefault="00016FE1" w:rsidP="002B6227">
      <w:pPr>
        <w:ind w:left="1276" w:right="283" w:hanging="425"/>
        <w:jc w:val="both"/>
        <w:rPr>
          <w:rFonts w:ascii="Gotham" w:hAnsi="Gotham" w:cstheme="minorHAnsi"/>
          <w:i/>
          <w:sz w:val="19"/>
          <w:szCs w:val="19"/>
        </w:rPr>
      </w:pPr>
    </w:p>
    <w:p w14:paraId="3A473832" w14:textId="77777777" w:rsidR="00016FE1" w:rsidRDefault="00016FE1" w:rsidP="002B6227">
      <w:pPr>
        <w:spacing w:after="120"/>
        <w:ind w:left="1985" w:right="567" w:hanging="425"/>
        <w:jc w:val="both"/>
        <w:rPr>
          <w:rFonts w:ascii="Gotham" w:hAnsi="Gotham" w:cstheme="minorHAnsi"/>
          <w:i/>
          <w:sz w:val="18"/>
          <w:szCs w:val="18"/>
        </w:rPr>
      </w:pPr>
      <w:r>
        <w:rPr>
          <w:rFonts w:ascii="Gotham" w:hAnsi="Gotham" w:cstheme="minorHAnsi"/>
          <w:i/>
          <w:sz w:val="18"/>
          <w:szCs w:val="18"/>
        </w:rPr>
        <w:t xml:space="preserve">a) </w:t>
      </w:r>
      <w:r>
        <w:rPr>
          <w:rFonts w:ascii="Gotham" w:hAnsi="Gotham" w:cstheme="minorHAnsi"/>
          <w:i/>
          <w:sz w:val="18"/>
          <w:szCs w:val="18"/>
        </w:rPr>
        <w:tab/>
        <w:t>El emprendimiento de acciones tendientes a prevenir de manera integral los delitos relacionados con la trata de personas; y</w:t>
      </w:r>
    </w:p>
    <w:p w14:paraId="3A473833" w14:textId="77777777" w:rsidR="00016FE1" w:rsidRDefault="00016FE1" w:rsidP="002B6227">
      <w:pPr>
        <w:ind w:left="1985" w:right="567" w:hanging="425"/>
        <w:jc w:val="both"/>
        <w:rPr>
          <w:rFonts w:ascii="Gotham" w:hAnsi="Gotham" w:cstheme="minorHAnsi"/>
          <w:i/>
          <w:sz w:val="18"/>
          <w:szCs w:val="18"/>
        </w:rPr>
      </w:pPr>
      <w:r>
        <w:rPr>
          <w:rFonts w:ascii="Gotham" w:hAnsi="Gotham" w:cstheme="minorHAnsi"/>
          <w:i/>
          <w:sz w:val="18"/>
          <w:szCs w:val="18"/>
        </w:rPr>
        <w:t xml:space="preserve">b) </w:t>
      </w:r>
      <w:r>
        <w:rPr>
          <w:rFonts w:ascii="Gotham" w:hAnsi="Gotham" w:cstheme="minorHAnsi"/>
          <w:i/>
          <w:sz w:val="18"/>
          <w:szCs w:val="18"/>
        </w:rPr>
        <w:tab/>
        <w:t>Atención a víctimas o posibles víctimas de estos delitos.</w:t>
      </w:r>
    </w:p>
    <w:p w14:paraId="3A473834" w14:textId="77777777" w:rsidR="00016FE1" w:rsidRDefault="00016FE1" w:rsidP="002B6227">
      <w:pPr>
        <w:ind w:left="1276" w:right="283" w:hanging="425"/>
        <w:jc w:val="both"/>
        <w:rPr>
          <w:rFonts w:ascii="Gotham" w:hAnsi="Gotham" w:cstheme="minorHAnsi"/>
          <w:i/>
          <w:sz w:val="19"/>
          <w:szCs w:val="19"/>
        </w:rPr>
      </w:pPr>
    </w:p>
    <w:p w14:paraId="3A473835"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III. </w:t>
      </w:r>
      <w:r>
        <w:rPr>
          <w:rFonts w:ascii="Gotham" w:hAnsi="Gotham" w:cstheme="minorHAnsi"/>
          <w:i/>
          <w:sz w:val="19"/>
          <w:szCs w:val="19"/>
        </w:rPr>
        <w:tab/>
        <w:t>En esa tesitura, es importante mencionar que México no fue el país pionero en abordar este tema, pues la trata de personas ha sido un resultado del intercambio masivo de información y una consecuencia negativa de las transacciones mercantiles transfronterizas, el desempleo, la pobreza y la falta de oportunidades, en consecuencia, se han establecido instituciones normativas de corte internacional; como claro ejemplo podemos citar a la Declaración Universal de los Derechos Humanos de 1948 y la Declaración Americana de los Derechos y Deberes del Hombre, tratados internacionales que han marcado sólidos antecedentes para la defensa de las libertades humanas, y han servido de base para la posteriormente implementación y aterrizaje de los principios de que trajo consigo la reforma constitucional de 2011, entre los que destacan el de control de convencionalidad y el de control difuso.</w:t>
      </w:r>
    </w:p>
    <w:p w14:paraId="3A473836" w14:textId="77777777" w:rsidR="00016FE1" w:rsidRDefault="00016FE1" w:rsidP="002B6227">
      <w:pPr>
        <w:ind w:left="1276" w:right="283" w:hanging="425"/>
        <w:jc w:val="both"/>
        <w:rPr>
          <w:rFonts w:ascii="Gotham" w:hAnsi="Gotham" w:cstheme="minorHAnsi"/>
          <w:i/>
          <w:sz w:val="19"/>
          <w:szCs w:val="19"/>
        </w:rPr>
      </w:pPr>
    </w:p>
    <w:p w14:paraId="3A473837"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IV. </w:t>
      </w:r>
      <w:r>
        <w:rPr>
          <w:rFonts w:ascii="Gotham" w:hAnsi="Gotham" w:cstheme="minorHAnsi"/>
          <w:i/>
          <w:sz w:val="19"/>
          <w:szCs w:val="19"/>
        </w:rPr>
        <w:tab/>
        <w:t xml:space="preserve">He presentado a la consideración de este órgano colegiado, propuestas para abonar desde la trinchera municipal a la prevención de la trata de personas, la reforma mediante la cual se adiciona el artículo 25 Bis al Reglamento de Comercio Municipal, para que los titulares de giros comerciales y establecimientos susceptibles por su naturaleza para desarrollar trata de personas y los delitos relacionados con la misma, coadyuven con acciones puntuales e inhibir este tipo de conductas delictivas; asimismo, presenté una iniciativa para </w:t>
      </w:r>
      <w:r>
        <w:rPr>
          <w:rFonts w:ascii="Gotham" w:hAnsi="Gotham" w:cstheme="minorHAnsi"/>
          <w:i/>
          <w:sz w:val="19"/>
          <w:szCs w:val="19"/>
        </w:rPr>
        <w:lastRenderedPageBreak/>
        <w:t>que el personal de este Ayuntamiento esté capacitado en esta materia y, en consecuencia, pueda sumarse a darle cabal cumplimiento al mandato constitucional para abordar el tema.</w:t>
      </w:r>
    </w:p>
    <w:p w14:paraId="3A473838" w14:textId="77777777" w:rsidR="00016FE1" w:rsidRDefault="00016FE1" w:rsidP="002B6227">
      <w:pPr>
        <w:ind w:left="1276" w:right="283" w:hanging="425"/>
        <w:jc w:val="both"/>
        <w:rPr>
          <w:rFonts w:ascii="Gotham" w:hAnsi="Gotham" w:cstheme="minorHAnsi"/>
          <w:i/>
          <w:sz w:val="19"/>
          <w:szCs w:val="19"/>
        </w:rPr>
      </w:pPr>
    </w:p>
    <w:p w14:paraId="3A473839"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V. </w:t>
      </w:r>
      <w:r>
        <w:rPr>
          <w:rFonts w:ascii="Gotham" w:hAnsi="Gotham" w:cstheme="minorHAnsi"/>
          <w:i/>
          <w:sz w:val="19"/>
          <w:szCs w:val="19"/>
        </w:rPr>
        <w:tab/>
        <w:t>Las acciones antes referidas son importantes y los resultados de su implementación se podrán visualizar a mediano plazo en la medida en que se le dé seguimiento a su ejecución, sin embargo durante el corto camino recorrido al abordar este problema y al intercambiar ideas y puntos de vista con organismos no gubernamentales como la Asociación Civil denominada “Fin de la Esclavitud” , caemos en conclusión que es fundamental que el Ayuntamiento institucionalice por conducto de la regulación jurídico-reglamentaria, una base mínima de acciones tendientes a lograr objetivos específicos en este delicado tema, considerando que será también de vital trascendencia que la propuesta reglamentaria que hoy se pone a consideración, pueda ser discutida de manera pública y abierta, sumando a las diversas instituciones públicas y privadas, a la sociedad civil organizada y sector académico, lo anterior mediante un ejercicio democrático de inclusión y gobernanza edilicia, las y los munícipes tenemos que tener claro que las soluciones no pueden concebirse sólidas desde el gobierno hacia la gente, o a la inversa, es el trabajo en conjunto y de la mano, lo que nos permitirá eventualmente alcanzar resultados que impacten en positivo y de manera sustancial a la ciudadanía, la sinergia y el equipo con la gente es hoy más que una opción una exigencia palpable, por ello considero oportuno proponer el Reglamento para la Prevención Integral de los Delitos Relacionados con la Trata de Personas del Municipio de Tonalá, Jalisco.</w:t>
      </w:r>
    </w:p>
    <w:p w14:paraId="3A47383A" w14:textId="77777777" w:rsidR="00016FE1" w:rsidRDefault="00016FE1" w:rsidP="002B6227">
      <w:pPr>
        <w:ind w:left="1276" w:right="283" w:hanging="425"/>
        <w:jc w:val="both"/>
        <w:rPr>
          <w:rFonts w:ascii="Gotham" w:hAnsi="Gotham" w:cstheme="minorHAnsi"/>
          <w:i/>
          <w:sz w:val="19"/>
          <w:szCs w:val="19"/>
        </w:rPr>
      </w:pPr>
    </w:p>
    <w:p w14:paraId="3A47383B"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VI. </w:t>
      </w:r>
      <w:r>
        <w:rPr>
          <w:rFonts w:ascii="Gotham" w:hAnsi="Gotham" w:cstheme="minorHAnsi"/>
          <w:i/>
          <w:sz w:val="19"/>
          <w:szCs w:val="19"/>
        </w:rPr>
        <w:tab/>
        <w:t>La propuesta que hoy pongo a consideración se vertebra en síntesis en los siguientes puntos:</w:t>
      </w:r>
    </w:p>
    <w:p w14:paraId="3A47383C" w14:textId="77777777" w:rsidR="00016FE1" w:rsidRDefault="00016FE1" w:rsidP="002B6227">
      <w:pPr>
        <w:ind w:left="1276" w:right="283" w:hanging="425"/>
        <w:jc w:val="both"/>
        <w:rPr>
          <w:rFonts w:ascii="Gotham" w:hAnsi="Gotham" w:cstheme="minorHAnsi"/>
          <w:i/>
          <w:sz w:val="19"/>
          <w:szCs w:val="19"/>
        </w:rPr>
      </w:pPr>
    </w:p>
    <w:p w14:paraId="3A47383D" w14:textId="77777777" w:rsidR="00016FE1" w:rsidRDefault="00016FE1" w:rsidP="002B6227">
      <w:pPr>
        <w:ind w:left="1701" w:hanging="425"/>
        <w:jc w:val="both"/>
        <w:rPr>
          <w:rFonts w:ascii="Gotham" w:hAnsi="Gotham" w:cstheme="minorHAnsi"/>
          <w:i/>
          <w:sz w:val="19"/>
          <w:szCs w:val="19"/>
        </w:rPr>
      </w:pPr>
      <w:r>
        <w:rPr>
          <w:rFonts w:ascii="Gotham" w:hAnsi="Gotham" w:cstheme="minorHAnsi"/>
          <w:i/>
          <w:sz w:val="19"/>
          <w:szCs w:val="19"/>
        </w:rPr>
        <w:t xml:space="preserve">1.- </w:t>
      </w:r>
      <w:r>
        <w:rPr>
          <w:rFonts w:ascii="Gotham" w:hAnsi="Gotham" w:cstheme="minorHAnsi"/>
          <w:i/>
          <w:sz w:val="19"/>
          <w:szCs w:val="19"/>
        </w:rPr>
        <w:tab/>
        <w:t>Su objeto es contribuir de forma sustancial a mitigar por conducto del enfoque preventivo, los delitos asociados a la trata de personas; lo anterior, de conformidad a las facultades que para tal efecto instituye la normatividad aplicable;</w:t>
      </w:r>
    </w:p>
    <w:p w14:paraId="3A47383E" w14:textId="77777777" w:rsidR="00016FE1" w:rsidRDefault="00016FE1" w:rsidP="002B6227">
      <w:pPr>
        <w:ind w:left="1701" w:hanging="425"/>
        <w:jc w:val="both"/>
        <w:rPr>
          <w:rFonts w:ascii="Gotham" w:hAnsi="Gotham" w:cstheme="minorHAnsi"/>
          <w:i/>
          <w:sz w:val="19"/>
          <w:szCs w:val="19"/>
        </w:rPr>
      </w:pPr>
    </w:p>
    <w:p w14:paraId="3A47383F" w14:textId="77777777" w:rsidR="00016FE1" w:rsidRDefault="00016FE1" w:rsidP="002B6227">
      <w:pPr>
        <w:ind w:left="1701" w:hanging="425"/>
        <w:jc w:val="both"/>
        <w:rPr>
          <w:rFonts w:ascii="Gotham" w:hAnsi="Gotham" w:cstheme="minorHAnsi"/>
          <w:i/>
          <w:sz w:val="19"/>
          <w:szCs w:val="19"/>
        </w:rPr>
      </w:pPr>
      <w:r>
        <w:rPr>
          <w:rFonts w:ascii="Gotham" w:hAnsi="Gotham" w:cstheme="minorHAnsi"/>
          <w:i/>
          <w:sz w:val="19"/>
          <w:szCs w:val="19"/>
        </w:rPr>
        <w:t xml:space="preserve">2.- </w:t>
      </w:r>
      <w:r>
        <w:rPr>
          <w:rFonts w:ascii="Gotham" w:hAnsi="Gotham" w:cstheme="minorHAnsi"/>
          <w:i/>
          <w:sz w:val="19"/>
          <w:szCs w:val="19"/>
        </w:rPr>
        <w:tab/>
        <w:t>Se prevé la puesta en marcha de un Consejo Técnico integrado de una forma plural con la participación de instituciones educativas y sociedad civil organizada, mismo que estaría facultado entre otras cosas para lo siguiente:</w:t>
      </w:r>
    </w:p>
    <w:p w14:paraId="3A473840" w14:textId="77777777" w:rsidR="00016FE1" w:rsidRDefault="00016FE1" w:rsidP="002B6227">
      <w:pPr>
        <w:ind w:left="1701" w:hanging="425"/>
        <w:jc w:val="both"/>
        <w:rPr>
          <w:rFonts w:ascii="Gotham" w:hAnsi="Gotham" w:cstheme="minorHAnsi"/>
          <w:i/>
          <w:sz w:val="19"/>
          <w:szCs w:val="19"/>
        </w:rPr>
      </w:pPr>
    </w:p>
    <w:p w14:paraId="3A473841" w14:textId="77777777" w:rsidR="00016FE1" w:rsidRDefault="00016FE1" w:rsidP="002B6227">
      <w:pPr>
        <w:spacing w:after="120"/>
        <w:ind w:left="2127" w:hanging="426"/>
        <w:jc w:val="both"/>
        <w:rPr>
          <w:rFonts w:ascii="Gotham" w:hAnsi="Gotham" w:cstheme="minorHAnsi"/>
          <w:i/>
          <w:sz w:val="19"/>
          <w:szCs w:val="19"/>
        </w:rPr>
      </w:pPr>
      <w:r>
        <w:rPr>
          <w:rFonts w:ascii="Gotham" w:hAnsi="Gotham" w:cstheme="minorHAnsi"/>
          <w:i/>
          <w:sz w:val="19"/>
          <w:szCs w:val="19"/>
        </w:rPr>
        <w:t xml:space="preserve">a) </w:t>
      </w:r>
      <w:r>
        <w:rPr>
          <w:rFonts w:ascii="Gotham" w:hAnsi="Gotham" w:cstheme="minorHAnsi"/>
          <w:i/>
          <w:sz w:val="19"/>
          <w:szCs w:val="19"/>
        </w:rPr>
        <w:tab/>
        <w:t>Coordinar el diseño de políticas públicas de corte preventivo y proponerlas para su puesta en marcha ante el Ayuntamiento;</w:t>
      </w:r>
    </w:p>
    <w:p w14:paraId="3A473842" w14:textId="77777777" w:rsidR="00016FE1" w:rsidRDefault="00016FE1" w:rsidP="002B6227">
      <w:pPr>
        <w:spacing w:after="120"/>
        <w:ind w:left="2127" w:hanging="426"/>
        <w:jc w:val="both"/>
        <w:rPr>
          <w:rFonts w:ascii="Gotham" w:hAnsi="Gotham" w:cstheme="minorHAnsi"/>
          <w:i/>
          <w:sz w:val="19"/>
          <w:szCs w:val="19"/>
        </w:rPr>
      </w:pPr>
      <w:r>
        <w:rPr>
          <w:rFonts w:ascii="Gotham" w:hAnsi="Gotham" w:cstheme="minorHAnsi"/>
          <w:i/>
          <w:sz w:val="19"/>
          <w:szCs w:val="19"/>
        </w:rPr>
        <w:t xml:space="preserve">b) </w:t>
      </w:r>
      <w:r>
        <w:rPr>
          <w:rFonts w:ascii="Gotham" w:hAnsi="Gotham" w:cstheme="minorHAnsi"/>
          <w:i/>
          <w:sz w:val="19"/>
          <w:szCs w:val="19"/>
        </w:rPr>
        <w:tab/>
        <w:t xml:space="preserve">Supervisar y dar seguimiento a las acciones y políticas públicas que emprenda el Ayuntamiento; </w:t>
      </w:r>
    </w:p>
    <w:p w14:paraId="3A473843" w14:textId="77777777" w:rsidR="00016FE1" w:rsidRDefault="00016FE1" w:rsidP="002B6227">
      <w:pPr>
        <w:spacing w:after="120"/>
        <w:ind w:left="2127" w:hanging="426"/>
        <w:jc w:val="both"/>
        <w:rPr>
          <w:rFonts w:ascii="Gotham" w:hAnsi="Gotham" w:cstheme="minorHAnsi"/>
          <w:i/>
          <w:sz w:val="19"/>
          <w:szCs w:val="19"/>
        </w:rPr>
      </w:pPr>
      <w:r>
        <w:rPr>
          <w:rFonts w:ascii="Gotham" w:hAnsi="Gotham" w:cstheme="minorHAnsi"/>
          <w:i/>
          <w:sz w:val="19"/>
          <w:szCs w:val="19"/>
        </w:rPr>
        <w:t xml:space="preserve">c) </w:t>
      </w:r>
      <w:r>
        <w:rPr>
          <w:rFonts w:ascii="Gotham" w:hAnsi="Gotham" w:cstheme="minorHAnsi"/>
          <w:i/>
          <w:sz w:val="19"/>
          <w:szCs w:val="19"/>
        </w:rPr>
        <w:tab/>
        <w:t>Proponer la implementación de evaluaciones metodológicamente sustentables para la detección oportuna de aspectos susceptibles de mejora en la política municipal para prevenir la trata;</w:t>
      </w:r>
    </w:p>
    <w:p w14:paraId="3A473844" w14:textId="77777777" w:rsidR="00016FE1" w:rsidRDefault="00016FE1" w:rsidP="002B6227">
      <w:pPr>
        <w:spacing w:after="120"/>
        <w:ind w:left="2127" w:hanging="426"/>
        <w:jc w:val="both"/>
        <w:rPr>
          <w:rFonts w:ascii="Gotham" w:hAnsi="Gotham" w:cstheme="minorHAnsi"/>
          <w:i/>
          <w:sz w:val="19"/>
          <w:szCs w:val="19"/>
        </w:rPr>
      </w:pPr>
      <w:r>
        <w:rPr>
          <w:rFonts w:ascii="Gotham" w:hAnsi="Gotham" w:cstheme="minorHAnsi"/>
          <w:i/>
          <w:sz w:val="19"/>
          <w:szCs w:val="19"/>
        </w:rPr>
        <w:t xml:space="preserve">d) </w:t>
      </w:r>
      <w:r>
        <w:rPr>
          <w:rFonts w:ascii="Gotham" w:hAnsi="Gotham" w:cstheme="minorHAnsi"/>
          <w:i/>
          <w:sz w:val="19"/>
          <w:szCs w:val="19"/>
        </w:rPr>
        <w:tab/>
        <w:t>Emitir recomendaciones que podrían ser vinculantes para los titulares de giros comerciales y establecimientos con el propósito de reducir factores de riesgo y prevenir la trata; y</w:t>
      </w:r>
    </w:p>
    <w:p w14:paraId="3A473845" w14:textId="77777777" w:rsidR="00016FE1" w:rsidRDefault="00016FE1" w:rsidP="002B6227">
      <w:pPr>
        <w:ind w:left="2127" w:hanging="426"/>
        <w:jc w:val="both"/>
        <w:rPr>
          <w:rFonts w:ascii="Gotham" w:hAnsi="Gotham" w:cstheme="minorHAnsi"/>
          <w:i/>
          <w:sz w:val="19"/>
          <w:szCs w:val="19"/>
        </w:rPr>
      </w:pPr>
      <w:r>
        <w:rPr>
          <w:rFonts w:ascii="Gotham" w:hAnsi="Gotham" w:cstheme="minorHAnsi"/>
          <w:i/>
          <w:sz w:val="19"/>
          <w:szCs w:val="19"/>
        </w:rPr>
        <w:t xml:space="preserve">e) </w:t>
      </w:r>
      <w:r>
        <w:rPr>
          <w:rFonts w:ascii="Gotham" w:hAnsi="Gotham" w:cstheme="minorHAnsi"/>
          <w:i/>
          <w:sz w:val="19"/>
          <w:szCs w:val="19"/>
        </w:rPr>
        <w:tab/>
        <w:t>Se prevé un marco jurídico sólido para que pueda actuar y desarrollarse el Consejo Técnico</w:t>
      </w:r>
    </w:p>
    <w:p w14:paraId="3A473846" w14:textId="77777777" w:rsidR="00016FE1" w:rsidRDefault="00016FE1" w:rsidP="002B6227">
      <w:pPr>
        <w:ind w:left="1134"/>
        <w:jc w:val="both"/>
        <w:rPr>
          <w:rFonts w:ascii="Gotham" w:hAnsi="Gotham" w:cstheme="minorHAnsi"/>
          <w:i/>
          <w:sz w:val="19"/>
          <w:szCs w:val="19"/>
        </w:rPr>
      </w:pPr>
    </w:p>
    <w:p w14:paraId="3A473847" w14:textId="77777777" w:rsidR="00016FE1" w:rsidRDefault="00016FE1" w:rsidP="002B6227">
      <w:pPr>
        <w:ind w:left="1701" w:hanging="425"/>
        <w:jc w:val="both"/>
        <w:rPr>
          <w:rFonts w:ascii="Gotham" w:hAnsi="Gotham" w:cstheme="minorHAnsi"/>
          <w:i/>
          <w:sz w:val="19"/>
          <w:szCs w:val="19"/>
        </w:rPr>
      </w:pPr>
      <w:r>
        <w:rPr>
          <w:rFonts w:ascii="Gotham" w:hAnsi="Gotham" w:cstheme="minorHAnsi"/>
          <w:i/>
          <w:sz w:val="19"/>
          <w:szCs w:val="19"/>
        </w:rPr>
        <w:t xml:space="preserve">3.- </w:t>
      </w:r>
      <w:r>
        <w:rPr>
          <w:rFonts w:ascii="Gotham" w:hAnsi="Gotham" w:cstheme="minorHAnsi"/>
          <w:i/>
          <w:sz w:val="19"/>
          <w:szCs w:val="19"/>
        </w:rPr>
        <w:tab/>
        <w:t>La implementación permanente de acciones tendientes a la prevención integral de los delitos relacionados con la trata, destacando la participación de la Dirección de Educación Municipal para difundir en instituciones educativas y de trabajo todo un embalaje informativo dirigido a la sociedad; asimismo, se prevé difusión masiva en los medios de comunicación y redes sociales oficiales del Ayuntamiento;</w:t>
      </w:r>
    </w:p>
    <w:p w14:paraId="3A473848" w14:textId="77777777" w:rsidR="00016FE1" w:rsidRDefault="00016FE1" w:rsidP="002B6227">
      <w:pPr>
        <w:ind w:left="1701" w:hanging="425"/>
        <w:jc w:val="both"/>
        <w:rPr>
          <w:rFonts w:ascii="Gotham" w:hAnsi="Gotham" w:cstheme="minorHAnsi"/>
          <w:i/>
          <w:sz w:val="19"/>
          <w:szCs w:val="19"/>
        </w:rPr>
      </w:pPr>
    </w:p>
    <w:p w14:paraId="3A473849" w14:textId="77777777" w:rsidR="00016FE1" w:rsidRDefault="00016FE1" w:rsidP="002B6227">
      <w:pPr>
        <w:ind w:left="1701" w:hanging="425"/>
        <w:jc w:val="both"/>
        <w:rPr>
          <w:rFonts w:ascii="Gotham" w:hAnsi="Gotham" w:cstheme="minorHAnsi"/>
          <w:i/>
          <w:sz w:val="19"/>
          <w:szCs w:val="19"/>
        </w:rPr>
      </w:pPr>
      <w:r>
        <w:rPr>
          <w:rFonts w:ascii="Gotham" w:hAnsi="Gotham" w:cstheme="minorHAnsi"/>
          <w:i/>
          <w:sz w:val="19"/>
          <w:szCs w:val="19"/>
        </w:rPr>
        <w:t xml:space="preserve">4.- </w:t>
      </w:r>
      <w:r>
        <w:rPr>
          <w:rFonts w:ascii="Gotham" w:hAnsi="Gotham" w:cstheme="minorHAnsi"/>
          <w:i/>
          <w:sz w:val="19"/>
          <w:szCs w:val="19"/>
        </w:rPr>
        <w:tab/>
        <w:t>El diseño de un programa municipal en el que se contemple la precisión de objetivos generales, directrices, políticas, estrategias y líneas de acción encaminadas al fomento de la prevención integral de los delitos relacionados con la trata de personas en una visión de corto, mediano y largo plazo, también se deberá de considerar la implementación y ejecución de acciones conjuntas y coordinadas que deberán llevar a cabo las dependencias y entidades del Ayuntamiento en esta materia;</w:t>
      </w:r>
    </w:p>
    <w:p w14:paraId="3A47384A" w14:textId="77777777" w:rsidR="00016FE1" w:rsidRDefault="00016FE1" w:rsidP="002B6227">
      <w:pPr>
        <w:ind w:left="1701" w:hanging="425"/>
        <w:jc w:val="both"/>
        <w:rPr>
          <w:rFonts w:ascii="Gotham" w:hAnsi="Gotham" w:cstheme="minorHAnsi"/>
          <w:i/>
          <w:sz w:val="19"/>
          <w:szCs w:val="19"/>
        </w:rPr>
      </w:pPr>
    </w:p>
    <w:p w14:paraId="3A47384B" w14:textId="77777777" w:rsidR="00016FE1" w:rsidRDefault="00016FE1" w:rsidP="002B6227">
      <w:pPr>
        <w:ind w:left="1701" w:hanging="425"/>
        <w:jc w:val="both"/>
        <w:rPr>
          <w:rFonts w:ascii="Gotham" w:hAnsi="Gotham" w:cstheme="minorHAnsi"/>
          <w:i/>
          <w:sz w:val="19"/>
          <w:szCs w:val="19"/>
        </w:rPr>
      </w:pPr>
      <w:r>
        <w:rPr>
          <w:rFonts w:ascii="Gotham" w:hAnsi="Gotham" w:cstheme="minorHAnsi"/>
          <w:i/>
          <w:sz w:val="19"/>
          <w:szCs w:val="19"/>
        </w:rPr>
        <w:t xml:space="preserve">5.- </w:t>
      </w:r>
      <w:r>
        <w:rPr>
          <w:rFonts w:ascii="Gotham" w:hAnsi="Gotham" w:cstheme="minorHAnsi"/>
          <w:i/>
          <w:sz w:val="19"/>
          <w:szCs w:val="19"/>
        </w:rPr>
        <w:tab/>
        <w:t>Un proceso administrativo para que el Consejo Técnico pueda recibir denuncias, incluso anónimas, para la eventual emisión de recomendaciones a las o los titulares de giros comerciales o establecimientos no lucrativos; dichas recomendaciones tendrán por objetivo contribuir con la prevención integral de la trata de personas desde la competencia que le asiste al Ayuntamiento. También se podrán presentar solicitudes de carácter anónimo para salvaguardar la integridad física de las y los solicitantes; y</w:t>
      </w:r>
    </w:p>
    <w:p w14:paraId="3A47384C" w14:textId="77777777" w:rsidR="00016FE1" w:rsidRDefault="00016FE1" w:rsidP="002B6227">
      <w:pPr>
        <w:ind w:left="1701" w:hanging="425"/>
        <w:jc w:val="both"/>
        <w:rPr>
          <w:rFonts w:ascii="Gotham" w:hAnsi="Gotham" w:cstheme="minorHAnsi"/>
          <w:i/>
          <w:sz w:val="19"/>
          <w:szCs w:val="19"/>
        </w:rPr>
      </w:pPr>
    </w:p>
    <w:p w14:paraId="3A47384D" w14:textId="77777777" w:rsidR="00016FE1" w:rsidRDefault="00016FE1" w:rsidP="002B6227">
      <w:pPr>
        <w:ind w:left="1701" w:hanging="425"/>
        <w:jc w:val="both"/>
        <w:rPr>
          <w:rFonts w:ascii="Gotham" w:hAnsi="Gotham" w:cstheme="minorHAnsi"/>
          <w:i/>
          <w:sz w:val="19"/>
          <w:szCs w:val="19"/>
        </w:rPr>
      </w:pPr>
      <w:r>
        <w:rPr>
          <w:rFonts w:ascii="Gotham" w:hAnsi="Gotham" w:cstheme="minorHAnsi"/>
          <w:i/>
          <w:sz w:val="19"/>
          <w:szCs w:val="19"/>
        </w:rPr>
        <w:t xml:space="preserve">6.- </w:t>
      </w:r>
      <w:r>
        <w:rPr>
          <w:rFonts w:ascii="Gotham" w:hAnsi="Gotham" w:cstheme="minorHAnsi"/>
          <w:i/>
          <w:sz w:val="19"/>
          <w:szCs w:val="19"/>
        </w:rPr>
        <w:tab/>
        <w:t>El sistema DIF Tonalá, garantizará en todo momento la atención psicológica y jurídica gratuita para aquellas personas que hayan sido víctimas directas o indirectas de los delitos relacionados a la trata de personas, considerando un programa de acciones estratégicas estableciendo metas, objetivos y MIR para la atención integral a víctimas.</w:t>
      </w:r>
    </w:p>
    <w:p w14:paraId="3A47384E" w14:textId="77777777" w:rsidR="00016FE1" w:rsidRDefault="00016FE1" w:rsidP="002B6227">
      <w:pPr>
        <w:ind w:left="851" w:right="283"/>
        <w:jc w:val="both"/>
        <w:rPr>
          <w:rFonts w:ascii="Gotham" w:hAnsi="Gotham" w:cstheme="minorHAnsi"/>
          <w:i/>
          <w:sz w:val="19"/>
          <w:szCs w:val="19"/>
        </w:rPr>
      </w:pPr>
    </w:p>
    <w:p w14:paraId="3A47384F"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Tonalá tiene la oportunidad de ser el primer municipio metropolitano en reglamentar con claridad su marco de actuación en materia del fenómeno de trata de personas, hay antecedentes aislados donde no han podido aterrizar con la reglamentación, el caso de Puerto Vallarta por citar un ejemplo. Por último, para la atención del arábigo no es óbice reflexionar sobre las repercusiones en los aspectos jurídico, social y económico que se tendrían con la eventual aprobación del reglamento que nos ocupa, quedando debidamente expuestas en el cuerpo del presente documento.</w:t>
      </w:r>
    </w:p>
    <w:p w14:paraId="3A473850" w14:textId="77777777" w:rsidR="00016FE1" w:rsidRDefault="00016FE1" w:rsidP="002B6227">
      <w:pPr>
        <w:ind w:left="851" w:right="283"/>
        <w:jc w:val="both"/>
        <w:rPr>
          <w:rFonts w:ascii="Gotham" w:hAnsi="Gotham" w:cstheme="minorHAnsi"/>
          <w:i/>
          <w:sz w:val="19"/>
          <w:szCs w:val="19"/>
        </w:rPr>
      </w:pPr>
    </w:p>
    <w:p w14:paraId="3A473851"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Por lo anteriormente expuesto, fundado y motivado, de conformidad a lo establecido por los artículos 115, fracciones I y II, de la Constitución Política de los Estados Unidos Mexicanos; así como lo establecido por el artículo 77 de nuestra Constitución Política del Estado de Jalisco; artículos 2, 3, 37 y 50 de la Ley del Gobierno y la Administración Pública Municipal del Estado de Jalisco; artículos 53 y 56 del Reglamento del Gobierno y la Administración Pública del Ayuntamiento Constitucional de Tonalá, Jalisco; así como los ordinales 25 y 83 del Reglamento para el Funcionamiento Interno de Sesiones del Ayuntamiento Constitucional de Tonalá, Jalisco; someto a su consideración la siguiente iniciativa de:</w:t>
      </w:r>
    </w:p>
    <w:p w14:paraId="3A473852" w14:textId="77777777" w:rsidR="00016FE1" w:rsidRDefault="00016FE1" w:rsidP="002B6227">
      <w:pPr>
        <w:ind w:left="851" w:right="283"/>
        <w:jc w:val="both"/>
        <w:rPr>
          <w:rFonts w:ascii="Gotham" w:hAnsi="Gotham" w:cstheme="minorHAnsi"/>
          <w:i/>
          <w:sz w:val="19"/>
          <w:szCs w:val="19"/>
        </w:rPr>
      </w:pPr>
    </w:p>
    <w:p w14:paraId="3A473853" w14:textId="77777777" w:rsidR="00016FE1" w:rsidRDefault="00016FE1" w:rsidP="002B6227">
      <w:pPr>
        <w:ind w:left="851" w:right="283"/>
        <w:jc w:val="center"/>
        <w:rPr>
          <w:rFonts w:ascii="Gotham" w:hAnsi="Gotham" w:cstheme="minorHAnsi"/>
          <w:i/>
          <w:sz w:val="19"/>
          <w:szCs w:val="19"/>
        </w:rPr>
      </w:pPr>
      <w:r>
        <w:rPr>
          <w:rFonts w:ascii="Gotham" w:hAnsi="Gotham" w:cstheme="minorHAnsi"/>
          <w:i/>
          <w:sz w:val="19"/>
          <w:szCs w:val="19"/>
        </w:rPr>
        <w:t>ORDENAMIENTO</w:t>
      </w:r>
    </w:p>
    <w:p w14:paraId="3A473854" w14:textId="77777777" w:rsidR="00016FE1" w:rsidRDefault="00016FE1" w:rsidP="002B6227">
      <w:pPr>
        <w:ind w:left="851" w:right="283"/>
        <w:jc w:val="both"/>
        <w:rPr>
          <w:rFonts w:ascii="Gotham" w:hAnsi="Gotham" w:cstheme="minorHAnsi"/>
          <w:i/>
          <w:sz w:val="19"/>
          <w:szCs w:val="19"/>
        </w:rPr>
      </w:pPr>
    </w:p>
    <w:p w14:paraId="3A473855"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ÚNICO. - Se aprueba el Reglamento para la Prevención Integral de los Delitos Relacionados con la Trata de Personas en los términos siguientes:</w:t>
      </w:r>
    </w:p>
    <w:p w14:paraId="3A473856" w14:textId="77777777" w:rsidR="00016FE1" w:rsidRDefault="00016FE1" w:rsidP="002B6227">
      <w:pPr>
        <w:ind w:left="851" w:right="283"/>
        <w:jc w:val="both"/>
        <w:rPr>
          <w:rFonts w:ascii="Gotham" w:hAnsi="Gotham" w:cstheme="minorHAnsi"/>
          <w:i/>
          <w:sz w:val="19"/>
          <w:szCs w:val="19"/>
        </w:rPr>
      </w:pPr>
    </w:p>
    <w:p w14:paraId="3A473857"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REGLAMENTO PARA LA PREVENCIÓN INTEGRAL DE LOS DELITOS RELACIONADOS CON LA TRATA DE PERSONAS EN TONALÁ, JALISCO.</w:t>
      </w:r>
    </w:p>
    <w:p w14:paraId="3A473858" w14:textId="77777777" w:rsidR="00016FE1" w:rsidRDefault="00016FE1" w:rsidP="002B6227">
      <w:pPr>
        <w:ind w:left="1134" w:right="567"/>
        <w:jc w:val="center"/>
        <w:rPr>
          <w:rFonts w:ascii="Gotham" w:hAnsi="Gotham" w:cstheme="minorHAnsi"/>
          <w:i/>
          <w:sz w:val="18"/>
          <w:szCs w:val="18"/>
        </w:rPr>
      </w:pPr>
    </w:p>
    <w:p w14:paraId="3A473859"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TÍTULO PRIMERO</w:t>
      </w:r>
    </w:p>
    <w:p w14:paraId="3A47385A"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DISPOSICIONES GENERALES</w:t>
      </w:r>
    </w:p>
    <w:p w14:paraId="3A47385B" w14:textId="77777777" w:rsidR="00016FE1" w:rsidRDefault="00016FE1" w:rsidP="002B6227">
      <w:pPr>
        <w:ind w:left="1134" w:right="567"/>
        <w:jc w:val="center"/>
        <w:rPr>
          <w:rFonts w:ascii="Gotham" w:hAnsi="Gotham" w:cstheme="minorHAnsi"/>
          <w:i/>
          <w:sz w:val="18"/>
          <w:szCs w:val="18"/>
        </w:rPr>
      </w:pPr>
    </w:p>
    <w:p w14:paraId="3A47385C"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CAPÍTULO I</w:t>
      </w:r>
    </w:p>
    <w:p w14:paraId="3A47385D"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OBJETIVO</w:t>
      </w:r>
    </w:p>
    <w:p w14:paraId="3A47385E" w14:textId="77777777" w:rsidR="00016FE1" w:rsidRDefault="00016FE1" w:rsidP="002B6227">
      <w:pPr>
        <w:ind w:left="1134" w:right="567"/>
        <w:jc w:val="center"/>
        <w:rPr>
          <w:rFonts w:ascii="Gotham" w:hAnsi="Gotham" w:cstheme="minorHAnsi"/>
          <w:i/>
          <w:sz w:val="18"/>
          <w:szCs w:val="18"/>
        </w:rPr>
      </w:pPr>
    </w:p>
    <w:p w14:paraId="3A47385F"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1.- El presente reglamento es de interés público y observancia general en el municipio de Tonalá, Jalisco, tiene por objeto contribuir de forma sustancial a mitigar por conducto del enfoque preventivo los delitos asociados a la trata de personas, lo anterior de conformidad a </w:t>
      </w:r>
      <w:r>
        <w:rPr>
          <w:rFonts w:ascii="Gotham" w:hAnsi="Gotham" w:cstheme="minorHAnsi"/>
          <w:i/>
          <w:sz w:val="18"/>
          <w:szCs w:val="18"/>
        </w:rPr>
        <w:lastRenderedPageBreak/>
        <w:t xml:space="preserve">las facultades que para tal efecto instituye la Ley general para prevenir, sancionar y erradicar los delitos en materia de trata de personas, así como la Ley estatal para prevenir, combatir y erradicar la trata de personas. </w:t>
      </w:r>
    </w:p>
    <w:p w14:paraId="3A473860" w14:textId="77777777" w:rsidR="00016FE1" w:rsidRDefault="00016FE1" w:rsidP="002B6227">
      <w:pPr>
        <w:ind w:left="1134" w:right="567"/>
        <w:jc w:val="both"/>
        <w:rPr>
          <w:rFonts w:ascii="Gotham" w:hAnsi="Gotham" w:cstheme="minorHAnsi"/>
          <w:i/>
          <w:sz w:val="18"/>
          <w:szCs w:val="18"/>
        </w:rPr>
      </w:pPr>
    </w:p>
    <w:p w14:paraId="3A473861" w14:textId="77777777" w:rsidR="00016FE1" w:rsidRDefault="00016FE1" w:rsidP="002B6227">
      <w:pPr>
        <w:ind w:left="1134" w:right="567"/>
        <w:jc w:val="both"/>
        <w:rPr>
          <w:rFonts w:ascii="Gotham" w:hAnsi="Gotham" w:cstheme="minorHAnsi"/>
          <w:i/>
          <w:sz w:val="18"/>
          <w:szCs w:val="18"/>
        </w:rPr>
      </w:pPr>
    </w:p>
    <w:p w14:paraId="3A473862"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CAPÍTULO II</w:t>
      </w:r>
    </w:p>
    <w:p w14:paraId="3A473863"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ALCANCES CONCEPTUALES</w:t>
      </w:r>
    </w:p>
    <w:p w14:paraId="3A473864" w14:textId="77777777" w:rsidR="00016FE1" w:rsidRDefault="00016FE1" w:rsidP="002B6227">
      <w:pPr>
        <w:ind w:left="1134" w:right="567"/>
        <w:jc w:val="both"/>
        <w:rPr>
          <w:rFonts w:ascii="Gotham" w:hAnsi="Gotham" w:cstheme="minorHAnsi"/>
          <w:i/>
          <w:sz w:val="18"/>
          <w:szCs w:val="18"/>
        </w:rPr>
      </w:pPr>
    </w:p>
    <w:p w14:paraId="3A473865"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2. –</w:t>
      </w:r>
      <w:r w:rsidR="009F075D">
        <w:rPr>
          <w:rFonts w:ascii="Gotham" w:hAnsi="Gotham" w:cstheme="minorHAnsi"/>
          <w:i/>
          <w:sz w:val="18"/>
          <w:szCs w:val="18"/>
        </w:rPr>
        <w:t xml:space="preserve"> </w:t>
      </w:r>
      <w:r>
        <w:rPr>
          <w:rFonts w:ascii="Gotham" w:hAnsi="Gotham" w:cstheme="minorHAnsi"/>
          <w:i/>
          <w:sz w:val="18"/>
          <w:szCs w:val="18"/>
        </w:rPr>
        <w:t>Trata de personas es toda acción u omisión dolosa de una o varias personas para captar, enganchar, transportar, transferir, retener, entregar, recibir o alojar a una o varias personas con fines de explotación sexual o laboral, para tal efecto, el Ayuntamiento cuenta con la obligación de atender esta problemática en los términos establecidos por la Ley General, la Ley Estatal y las demás disposiciones legales aplicables.</w:t>
      </w:r>
    </w:p>
    <w:p w14:paraId="3A473866" w14:textId="77777777" w:rsidR="00016FE1" w:rsidRDefault="00016FE1" w:rsidP="002B6227">
      <w:pPr>
        <w:ind w:left="1134" w:right="567"/>
        <w:jc w:val="both"/>
        <w:rPr>
          <w:rFonts w:ascii="Gotham" w:hAnsi="Gotham" w:cstheme="minorHAnsi"/>
          <w:i/>
          <w:sz w:val="18"/>
          <w:szCs w:val="18"/>
        </w:rPr>
      </w:pPr>
    </w:p>
    <w:p w14:paraId="3A473867"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3. –</w:t>
      </w:r>
      <w:r w:rsidR="009F075D">
        <w:rPr>
          <w:rFonts w:ascii="Gotham" w:hAnsi="Gotham" w:cstheme="minorHAnsi"/>
          <w:i/>
          <w:sz w:val="18"/>
          <w:szCs w:val="18"/>
        </w:rPr>
        <w:t xml:space="preserve"> </w:t>
      </w:r>
      <w:r>
        <w:rPr>
          <w:rFonts w:ascii="Gotham" w:hAnsi="Gotham" w:cstheme="minorHAnsi"/>
          <w:i/>
          <w:sz w:val="18"/>
          <w:szCs w:val="18"/>
        </w:rPr>
        <w:t xml:space="preserve">Se entenderá por explotación de una persona </w:t>
      </w:r>
    </w:p>
    <w:p w14:paraId="3A473868" w14:textId="77777777" w:rsidR="00016FE1" w:rsidRDefault="00016FE1" w:rsidP="002B6227">
      <w:pPr>
        <w:ind w:left="1134" w:right="567"/>
        <w:jc w:val="both"/>
        <w:rPr>
          <w:rFonts w:ascii="Gotham" w:hAnsi="Gotham" w:cstheme="minorHAnsi"/>
          <w:i/>
          <w:sz w:val="18"/>
          <w:szCs w:val="18"/>
        </w:rPr>
      </w:pPr>
    </w:p>
    <w:p w14:paraId="3A473869"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I. </w:t>
      </w:r>
      <w:r>
        <w:rPr>
          <w:rFonts w:ascii="Gotham" w:hAnsi="Gotham" w:cstheme="minorHAnsi"/>
          <w:i/>
          <w:sz w:val="18"/>
          <w:szCs w:val="18"/>
        </w:rPr>
        <w:tab/>
        <w:t>La esclavitud;</w:t>
      </w:r>
    </w:p>
    <w:p w14:paraId="3A47386A"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II. </w:t>
      </w:r>
      <w:r>
        <w:rPr>
          <w:rFonts w:ascii="Gotham" w:hAnsi="Gotham" w:cstheme="minorHAnsi"/>
          <w:i/>
          <w:sz w:val="18"/>
          <w:szCs w:val="18"/>
        </w:rPr>
        <w:tab/>
        <w:t>La condición de siervo;</w:t>
      </w:r>
    </w:p>
    <w:p w14:paraId="3A47386B"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III. </w:t>
      </w:r>
      <w:r>
        <w:rPr>
          <w:rFonts w:ascii="Gotham" w:hAnsi="Gotham" w:cstheme="minorHAnsi"/>
          <w:i/>
          <w:sz w:val="18"/>
          <w:szCs w:val="18"/>
        </w:rPr>
        <w:tab/>
        <w:t>La prostitución ajena u otras formas de explotación sexual;</w:t>
      </w:r>
    </w:p>
    <w:p w14:paraId="3A47386C"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IV. </w:t>
      </w:r>
      <w:r>
        <w:rPr>
          <w:rFonts w:ascii="Gotham" w:hAnsi="Gotham" w:cstheme="minorHAnsi"/>
          <w:i/>
          <w:sz w:val="18"/>
          <w:szCs w:val="18"/>
        </w:rPr>
        <w:tab/>
        <w:t>La explotación laboral;</w:t>
      </w:r>
    </w:p>
    <w:p w14:paraId="3A47386D"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V. </w:t>
      </w:r>
      <w:r>
        <w:rPr>
          <w:rFonts w:ascii="Gotham" w:hAnsi="Gotham" w:cstheme="minorHAnsi"/>
          <w:i/>
          <w:sz w:val="18"/>
          <w:szCs w:val="18"/>
        </w:rPr>
        <w:tab/>
        <w:t xml:space="preserve">El trabajo o servicios forzados; </w:t>
      </w:r>
    </w:p>
    <w:p w14:paraId="3A47386E"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VI. </w:t>
      </w:r>
      <w:r>
        <w:rPr>
          <w:rFonts w:ascii="Gotham" w:hAnsi="Gotham" w:cstheme="minorHAnsi"/>
          <w:i/>
          <w:sz w:val="18"/>
          <w:szCs w:val="18"/>
        </w:rPr>
        <w:tab/>
        <w:t xml:space="preserve">La mendicidad forzosa; </w:t>
      </w:r>
    </w:p>
    <w:p w14:paraId="3A47386F"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VII. </w:t>
      </w:r>
      <w:r>
        <w:rPr>
          <w:rFonts w:ascii="Gotham" w:hAnsi="Gotham" w:cstheme="minorHAnsi"/>
          <w:i/>
          <w:sz w:val="18"/>
          <w:szCs w:val="18"/>
        </w:rPr>
        <w:tab/>
        <w:t xml:space="preserve">La adopción ilegal de persona menor de dieciocho años; </w:t>
      </w:r>
    </w:p>
    <w:p w14:paraId="3A473870"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VIII. </w:t>
      </w:r>
      <w:r>
        <w:rPr>
          <w:rFonts w:ascii="Gotham" w:hAnsi="Gotham" w:cstheme="minorHAnsi"/>
          <w:i/>
          <w:sz w:val="18"/>
          <w:szCs w:val="18"/>
        </w:rPr>
        <w:tab/>
        <w:t>El matrimonio forzoso o servil;</w:t>
      </w:r>
    </w:p>
    <w:p w14:paraId="3A473871"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IX. </w:t>
      </w:r>
      <w:r>
        <w:rPr>
          <w:rFonts w:ascii="Gotham" w:hAnsi="Gotham" w:cstheme="minorHAnsi"/>
          <w:i/>
          <w:sz w:val="18"/>
          <w:szCs w:val="18"/>
        </w:rPr>
        <w:tab/>
        <w:t>El Tráfico de órganos, tejidos y células de seres humanos vivos;</w:t>
      </w:r>
    </w:p>
    <w:p w14:paraId="3A473872"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 xml:space="preserve">X. </w:t>
      </w:r>
      <w:r>
        <w:rPr>
          <w:rFonts w:ascii="Gotham" w:hAnsi="Gotham" w:cstheme="minorHAnsi"/>
          <w:i/>
          <w:sz w:val="18"/>
          <w:szCs w:val="18"/>
        </w:rPr>
        <w:tab/>
        <w:t>La experimentación biomédica ilícita en seres humanos; y</w:t>
      </w:r>
    </w:p>
    <w:p w14:paraId="3A473873" w14:textId="77777777" w:rsidR="00016FE1" w:rsidRDefault="00016FE1" w:rsidP="002B6227">
      <w:pPr>
        <w:ind w:left="1560" w:right="567" w:hanging="426"/>
        <w:jc w:val="both"/>
        <w:rPr>
          <w:rFonts w:ascii="Gotham" w:hAnsi="Gotham" w:cstheme="minorHAnsi"/>
          <w:i/>
          <w:sz w:val="18"/>
          <w:szCs w:val="18"/>
        </w:rPr>
      </w:pPr>
      <w:r>
        <w:rPr>
          <w:rFonts w:ascii="Gotham" w:hAnsi="Gotham" w:cstheme="minorHAnsi"/>
          <w:i/>
          <w:sz w:val="18"/>
          <w:szCs w:val="18"/>
        </w:rPr>
        <w:t xml:space="preserve">XI. </w:t>
      </w:r>
      <w:r>
        <w:rPr>
          <w:rFonts w:ascii="Gotham" w:hAnsi="Gotham" w:cstheme="minorHAnsi"/>
          <w:i/>
          <w:sz w:val="18"/>
          <w:szCs w:val="18"/>
        </w:rPr>
        <w:tab/>
        <w:t>Las demás que se desprendan de la Ley General, la Ley Estatal y otras disposiciones normativas aplicables.</w:t>
      </w:r>
    </w:p>
    <w:p w14:paraId="3A473874" w14:textId="77777777" w:rsidR="00016FE1" w:rsidRDefault="00016FE1" w:rsidP="002B6227">
      <w:pPr>
        <w:ind w:left="1134" w:right="567"/>
        <w:jc w:val="both"/>
        <w:rPr>
          <w:rFonts w:ascii="Gotham" w:hAnsi="Gotham" w:cstheme="minorHAnsi"/>
          <w:i/>
          <w:sz w:val="18"/>
          <w:szCs w:val="18"/>
        </w:rPr>
      </w:pPr>
    </w:p>
    <w:p w14:paraId="3A473875"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4.- Para efectos de este Reglamento se entenderá por:</w:t>
      </w:r>
    </w:p>
    <w:p w14:paraId="3A473876" w14:textId="77777777" w:rsidR="00016FE1" w:rsidRDefault="00016FE1" w:rsidP="002B6227">
      <w:pPr>
        <w:ind w:left="1134" w:right="567"/>
        <w:jc w:val="both"/>
        <w:rPr>
          <w:rFonts w:ascii="Gotham" w:hAnsi="Gotham" w:cstheme="minorHAnsi"/>
          <w:i/>
          <w:sz w:val="18"/>
          <w:szCs w:val="18"/>
        </w:rPr>
      </w:pPr>
    </w:p>
    <w:p w14:paraId="3A473877"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Ayuntamiento: El Ayuntamiento Constitucional de Tonalá, Jalisco.</w:t>
      </w:r>
    </w:p>
    <w:p w14:paraId="3A473878" w14:textId="77777777" w:rsidR="00016FE1" w:rsidRDefault="00016FE1" w:rsidP="002B6227">
      <w:pPr>
        <w:ind w:left="1134" w:right="567"/>
        <w:jc w:val="both"/>
        <w:rPr>
          <w:rFonts w:ascii="Gotham" w:hAnsi="Gotham" w:cstheme="minorHAnsi"/>
          <w:i/>
          <w:sz w:val="18"/>
          <w:szCs w:val="18"/>
        </w:rPr>
      </w:pPr>
    </w:p>
    <w:p w14:paraId="3A473879"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Consejo: Consejo Técnico Para Fomentar la Prevención Integral de los Delitos Relacionados con la Trata de Personas en el Municipio de Tonalá, Jalisco. </w:t>
      </w:r>
    </w:p>
    <w:p w14:paraId="3A47387A" w14:textId="77777777" w:rsidR="00016FE1" w:rsidRDefault="00016FE1" w:rsidP="002B6227">
      <w:pPr>
        <w:ind w:left="1134" w:right="567"/>
        <w:jc w:val="both"/>
        <w:rPr>
          <w:rFonts w:ascii="Gotham" w:hAnsi="Gotham" w:cstheme="minorHAnsi"/>
          <w:i/>
          <w:sz w:val="18"/>
          <w:szCs w:val="18"/>
        </w:rPr>
      </w:pPr>
    </w:p>
    <w:p w14:paraId="3A47387B"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Dictamen: La resolución que eventualmente apruebe el Consejo Técnico para determinar la procedencia de recomendaciones a los titulares de establecimientos para fomentar la prevención integral de los delitos asociados a la trata de personas. </w:t>
      </w:r>
    </w:p>
    <w:p w14:paraId="3A47387C" w14:textId="77777777" w:rsidR="00016FE1" w:rsidRDefault="00016FE1" w:rsidP="002B6227">
      <w:pPr>
        <w:ind w:left="1134" w:right="567"/>
        <w:jc w:val="both"/>
        <w:rPr>
          <w:rFonts w:ascii="Gotham" w:hAnsi="Gotham" w:cstheme="minorHAnsi"/>
          <w:i/>
          <w:sz w:val="18"/>
          <w:szCs w:val="18"/>
        </w:rPr>
      </w:pPr>
    </w:p>
    <w:p w14:paraId="3A47387D"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Establecimiento: Espacios físicos donde se ejercen giros comerciales o el desarrollo de actividades no lucrativas y se encuentren inmersos en alguno de los procedimientos que prevé el presente ordenamiento.</w:t>
      </w:r>
    </w:p>
    <w:p w14:paraId="3A47387E" w14:textId="77777777" w:rsidR="00016FE1" w:rsidRDefault="00016FE1" w:rsidP="002B6227">
      <w:pPr>
        <w:ind w:left="1134" w:right="567"/>
        <w:jc w:val="both"/>
        <w:rPr>
          <w:rFonts w:ascii="Gotham" w:hAnsi="Gotham" w:cstheme="minorHAnsi"/>
          <w:i/>
          <w:sz w:val="18"/>
          <w:szCs w:val="18"/>
        </w:rPr>
      </w:pPr>
    </w:p>
    <w:p w14:paraId="3A47387F"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Factores de vulnerabilidad: Aquellas circunstancias sociales, culturales, económicas, de discriminación, desconocimiento, violencia, migración y/o desintegración familiar que hacen a las personas propensas a ser víctimas del delito de Trata de Personas.</w:t>
      </w:r>
    </w:p>
    <w:p w14:paraId="3A473880" w14:textId="77777777" w:rsidR="00016FE1" w:rsidRDefault="00016FE1" w:rsidP="002B6227">
      <w:pPr>
        <w:ind w:left="1134" w:right="567"/>
        <w:jc w:val="both"/>
        <w:rPr>
          <w:rFonts w:ascii="Gotham" w:hAnsi="Gotham" w:cstheme="minorHAnsi"/>
          <w:i/>
          <w:sz w:val="18"/>
          <w:szCs w:val="18"/>
        </w:rPr>
      </w:pPr>
    </w:p>
    <w:p w14:paraId="3A473881"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Programa Municipal: El programa municipal que tiene por objeto la implementación y ejecución de acciones conjuntas y coordinadas por las dependencias u organismos que intervienen, para prevenir el delito de Trata de Personas en el Municipio de Tonalá, Jalisco. </w:t>
      </w:r>
    </w:p>
    <w:p w14:paraId="3A473882" w14:textId="77777777" w:rsidR="00016FE1" w:rsidRDefault="00016FE1" w:rsidP="002B6227">
      <w:pPr>
        <w:ind w:left="1134" w:right="567"/>
        <w:jc w:val="both"/>
        <w:rPr>
          <w:rFonts w:ascii="Gotham" w:hAnsi="Gotham" w:cstheme="minorHAnsi"/>
          <w:i/>
          <w:sz w:val="18"/>
          <w:szCs w:val="18"/>
        </w:rPr>
      </w:pPr>
    </w:p>
    <w:p w14:paraId="3A473883"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lastRenderedPageBreak/>
        <w:t xml:space="preserve">UMA: Unidad de Medida de Actualización vigente. </w:t>
      </w:r>
    </w:p>
    <w:p w14:paraId="3A473884" w14:textId="77777777" w:rsidR="00016FE1" w:rsidRDefault="00016FE1" w:rsidP="002B6227">
      <w:pPr>
        <w:ind w:left="1134" w:right="567"/>
        <w:jc w:val="both"/>
        <w:rPr>
          <w:rFonts w:ascii="Gotham" w:hAnsi="Gotham" w:cstheme="minorHAnsi"/>
          <w:i/>
          <w:sz w:val="18"/>
          <w:szCs w:val="18"/>
        </w:rPr>
      </w:pPr>
    </w:p>
    <w:p w14:paraId="3A473885"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MIR: Matriz de Indicadores para Resultados</w:t>
      </w:r>
    </w:p>
    <w:p w14:paraId="3A473886" w14:textId="77777777" w:rsidR="00016FE1" w:rsidRDefault="00016FE1" w:rsidP="002B6227">
      <w:pPr>
        <w:ind w:left="1134" w:right="567"/>
        <w:jc w:val="both"/>
        <w:rPr>
          <w:rFonts w:ascii="Gotham" w:hAnsi="Gotham" w:cstheme="minorHAnsi"/>
          <w:i/>
          <w:sz w:val="18"/>
          <w:szCs w:val="18"/>
        </w:rPr>
      </w:pPr>
    </w:p>
    <w:p w14:paraId="3A473887"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Ley General: Ley General para prevenir, sancionar y erradicar los delitos en materia de Trata de Personas y para la protección y asistencia a las víctimas de estos delitos.</w:t>
      </w:r>
    </w:p>
    <w:p w14:paraId="3A473888" w14:textId="77777777" w:rsidR="00016FE1" w:rsidRDefault="00016FE1" w:rsidP="002B6227">
      <w:pPr>
        <w:ind w:left="1134" w:right="567"/>
        <w:jc w:val="both"/>
        <w:rPr>
          <w:rFonts w:ascii="Gotham" w:hAnsi="Gotham" w:cstheme="minorHAnsi"/>
          <w:i/>
          <w:sz w:val="18"/>
          <w:szCs w:val="18"/>
        </w:rPr>
      </w:pPr>
    </w:p>
    <w:p w14:paraId="3A473889"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Ley Estatal: La Ley Estatal para Prevenir, Combatir y Erradicar la Trata de Personas, en el Estado de Jalisco.</w:t>
      </w:r>
    </w:p>
    <w:p w14:paraId="3A47388A" w14:textId="77777777" w:rsidR="00016FE1" w:rsidRDefault="00016FE1" w:rsidP="002B6227">
      <w:pPr>
        <w:ind w:left="1134" w:right="567"/>
        <w:jc w:val="both"/>
        <w:rPr>
          <w:rFonts w:ascii="Gotham" w:hAnsi="Gotham" w:cstheme="minorHAnsi"/>
          <w:i/>
          <w:sz w:val="18"/>
          <w:szCs w:val="18"/>
        </w:rPr>
      </w:pPr>
    </w:p>
    <w:p w14:paraId="3A47388B"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Reglamento: Reglamento para la Prevención del Delito de Trata de Personas en el Municipio de Tonalá, Jalisco. </w:t>
      </w:r>
    </w:p>
    <w:p w14:paraId="3A47388C" w14:textId="77777777" w:rsidR="00016FE1" w:rsidRDefault="00016FE1" w:rsidP="002B6227">
      <w:pPr>
        <w:ind w:left="1134" w:right="567"/>
        <w:jc w:val="both"/>
        <w:rPr>
          <w:rFonts w:ascii="Gotham" w:hAnsi="Gotham" w:cstheme="minorHAnsi"/>
          <w:i/>
          <w:sz w:val="18"/>
          <w:szCs w:val="18"/>
        </w:rPr>
      </w:pPr>
    </w:p>
    <w:p w14:paraId="3A47388D"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Víctima: Toda persona que es o ha sido objeto del delito de Trata de Personas.</w:t>
      </w:r>
    </w:p>
    <w:p w14:paraId="3A47388E" w14:textId="77777777" w:rsidR="00016FE1" w:rsidRDefault="00016FE1" w:rsidP="002B6227">
      <w:pPr>
        <w:ind w:left="1134" w:right="567"/>
        <w:jc w:val="both"/>
        <w:rPr>
          <w:rFonts w:ascii="Gotham" w:hAnsi="Gotham" w:cstheme="minorHAnsi"/>
          <w:i/>
          <w:sz w:val="18"/>
          <w:szCs w:val="18"/>
        </w:rPr>
      </w:pPr>
    </w:p>
    <w:p w14:paraId="3A47388F" w14:textId="77777777" w:rsidR="00016FE1" w:rsidRDefault="00016FE1" w:rsidP="002B6227">
      <w:pPr>
        <w:ind w:left="1134" w:right="567"/>
        <w:jc w:val="both"/>
        <w:rPr>
          <w:rFonts w:ascii="Gotham" w:hAnsi="Gotham" w:cstheme="minorHAnsi"/>
          <w:i/>
          <w:sz w:val="18"/>
          <w:szCs w:val="18"/>
        </w:rPr>
      </w:pPr>
    </w:p>
    <w:p w14:paraId="3A473890"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TÍTULO SEGUNDO</w:t>
      </w:r>
    </w:p>
    <w:p w14:paraId="3A473891"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DEL CONSEJO TÉCNICO PARA FOMENTAR LA PREVENCIÓN INTEGRAL DE LOS DELITOS RELACIONADOS CON LA TRATA DE PERSONAS</w:t>
      </w:r>
    </w:p>
    <w:p w14:paraId="3A473892" w14:textId="77777777" w:rsidR="00016FE1" w:rsidRDefault="00016FE1" w:rsidP="002B6227">
      <w:pPr>
        <w:ind w:left="1134" w:right="567"/>
        <w:jc w:val="center"/>
        <w:rPr>
          <w:rFonts w:ascii="Gotham" w:hAnsi="Gotham" w:cstheme="minorHAnsi"/>
          <w:i/>
          <w:sz w:val="18"/>
          <w:szCs w:val="18"/>
        </w:rPr>
      </w:pPr>
    </w:p>
    <w:p w14:paraId="3A473893" w14:textId="77777777" w:rsidR="00016FE1" w:rsidRDefault="00016FE1" w:rsidP="002B6227">
      <w:pPr>
        <w:tabs>
          <w:tab w:val="left" w:pos="4536"/>
        </w:tabs>
        <w:ind w:left="1134" w:right="567"/>
        <w:jc w:val="center"/>
        <w:rPr>
          <w:rFonts w:ascii="Gotham" w:hAnsi="Gotham" w:cstheme="minorHAnsi"/>
          <w:i/>
          <w:sz w:val="18"/>
          <w:szCs w:val="18"/>
        </w:rPr>
      </w:pPr>
      <w:r>
        <w:rPr>
          <w:rFonts w:ascii="Gotham" w:hAnsi="Gotham" w:cstheme="minorHAnsi"/>
          <w:i/>
          <w:sz w:val="18"/>
          <w:szCs w:val="18"/>
        </w:rPr>
        <w:t>CAPÍTULO I</w:t>
      </w:r>
    </w:p>
    <w:p w14:paraId="3A473894" w14:textId="77777777" w:rsidR="00016FE1" w:rsidRDefault="00016FE1" w:rsidP="002B6227">
      <w:pPr>
        <w:tabs>
          <w:tab w:val="left" w:pos="4536"/>
        </w:tabs>
        <w:ind w:left="1134" w:right="567"/>
        <w:jc w:val="center"/>
        <w:rPr>
          <w:rFonts w:ascii="Gotham" w:hAnsi="Gotham" w:cstheme="minorHAnsi"/>
          <w:i/>
          <w:sz w:val="18"/>
          <w:szCs w:val="18"/>
        </w:rPr>
      </w:pPr>
      <w:r>
        <w:rPr>
          <w:rFonts w:ascii="Gotham" w:hAnsi="Gotham" w:cstheme="minorHAnsi"/>
          <w:i/>
          <w:sz w:val="18"/>
          <w:szCs w:val="18"/>
        </w:rPr>
        <w:t>DE SU INTEGRACIÓN Y ATRIBUCIONES</w:t>
      </w:r>
    </w:p>
    <w:p w14:paraId="3A473895" w14:textId="77777777" w:rsidR="00016FE1" w:rsidRDefault="00016FE1" w:rsidP="002B6227">
      <w:pPr>
        <w:tabs>
          <w:tab w:val="left" w:pos="4536"/>
        </w:tabs>
        <w:ind w:left="1134" w:right="567"/>
        <w:jc w:val="center"/>
        <w:rPr>
          <w:rFonts w:ascii="Gotham" w:hAnsi="Gotham" w:cstheme="minorHAnsi"/>
          <w:i/>
          <w:sz w:val="18"/>
          <w:szCs w:val="18"/>
        </w:rPr>
      </w:pPr>
    </w:p>
    <w:p w14:paraId="3A473896"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5. – El Consejo Técnico Para Fomentar la Prevención Integral de los Delitos Relacionados con la Trata de Personas se instituye como un órgano colegiado de composición plural, teniendo por objeto la emisión de recomendaciones y coordinar la planeación y supervisión de las acciones y políticas públicas preventivas para atender la problemática de trata de personas en territorio municipal, poniendo especial atención en los factores de vulnerabilidad.</w:t>
      </w:r>
    </w:p>
    <w:p w14:paraId="3A473897" w14:textId="77777777" w:rsidR="00016FE1" w:rsidRDefault="00016FE1" w:rsidP="002B6227">
      <w:pPr>
        <w:ind w:left="1134" w:right="567"/>
        <w:jc w:val="both"/>
        <w:rPr>
          <w:rFonts w:ascii="Gotham" w:hAnsi="Gotham" w:cstheme="minorHAnsi"/>
          <w:i/>
          <w:sz w:val="18"/>
          <w:szCs w:val="18"/>
        </w:rPr>
      </w:pPr>
    </w:p>
    <w:p w14:paraId="3A473898"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6. – El Consejo tendrá un presidente, un secretario técnico y diez consejeros vocales en los términos siguientes:</w:t>
      </w:r>
    </w:p>
    <w:p w14:paraId="3A473899" w14:textId="77777777" w:rsidR="00016FE1" w:rsidRDefault="00016FE1" w:rsidP="002B6227">
      <w:pPr>
        <w:ind w:left="1134" w:right="567"/>
        <w:jc w:val="both"/>
        <w:rPr>
          <w:rFonts w:ascii="Gotham" w:hAnsi="Gotham" w:cstheme="minorHAnsi"/>
          <w:i/>
          <w:sz w:val="18"/>
          <w:szCs w:val="18"/>
        </w:rPr>
      </w:pPr>
    </w:p>
    <w:p w14:paraId="3A47389A"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 </w:t>
      </w:r>
      <w:r>
        <w:rPr>
          <w:rFonts w:ascii="Gotham" w:hAnsi="Gotham" w:cstheme="minorHAnsi"/>
          <w:i/>
          <w:sz w:val="18"/>
          <w:szCs w:val="18"/>
        </w:rPr>
        <w:tab/>
        <w:t>Un Presidente, cargo que recaerá en el Presidente Municipal;</w:t>
      </w:r>
    </w:p>
    <w:p w14:paraId="3A47389B"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II. </w:t>
      </w:r>
      <w:r>
        <w:rPr>
          <w:rFonts w:ascii="Gotham" w:hAnsi="Gotham" w:cstheme="minorHAnsi"/>
          <w:i/>
          <w:sz w:val="18"/>
          <w:szCs w:val="18"/>
        </w:rPr>
        <w:tab/>
        <w:t>Un secretario técnico que será designado por el Pleno del Ayuntamiento en Pleno a propuesta del Presidente Municipal, deberá ser abogado o licenciado en derecho, contar con título de abogado o licenciado en derecho y cédula profesional legalmente expedida con cuándo menos 3 años de antigüedad y acreditar experiencia profesional en el ámbito jurídico de cuando menos 3 años y ser servidor público del Ayuntamiento;</w:t>
      </w:r>
    </w:p>
    <w:p w14:paraId="3A47389C"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III. </w:t>
      </w:r>
      <w:r>
        <w:rPr>
          <w:rFonts w:ascii="Gotham" w:hAnsi="Gotham" w:cstheme="minorHAnsi"/>
          <w:i/>
          <w:sz w:val="18"/>
          <w:szCs w:val="18"/>
        </w:rPr>
        <w:tab/>
        <w:t>El titular de la Dirección de Educación;</w:t>
      </w:r>
    </w:p>
    <w:p w14:paraId="3A47389D"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IV. </w:t>
      </w:r>
      <w:r>
        <w:rPr>
          <w:rFonts w:ascii="Gotham" w:hAnsi="Gotham" w:cstheme="minorHAnsi"/>
          <w:i/>
          <w:sz w:val="18"/>
          <w:szCs w:val="18"/>
        </w:rPr>
        <w:tab/>
        <w:t>El titular de la Dirección de Vinculación Social y Prevención del Delito;</w:t>
      </w:r>
    </w:p>
    <w:p w14:paraId="3A47389E"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 </w:t>
      </w:r>
      <w:r>
        <w:rPr>
          <w:rFonts w:ascii="Gotham" w:hAnsi="Gotham" w:cstheme="minorHAnsi"/>
          <w:i/>
          <w:sz w:val="18"/>
          <w:szCs w:val="18"/>
        </w:rPr>
        <w:tab/>
        <w:t>El titular de la Dirección de Inspección y Vigilancia;</w:t>
      </w:r>
    </w:p>
    <w:p w14:paraId="3A47389F"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 </w:t>
      </w:r>
      <w:r>
        <w:rPr>
          <w:rFonts w:ascii="Gotham" w:hAnsi="Gotham" w:cstheme="minorHAnsi"/>
          <w:i/>
          <w:sz w:val="18"/>
          <w:szCs w:val="18"/>
        </w:rPr>
        <w:tab/>
        <w:t xml:space="preserve">El titular de la Dirección de Padrón y Licencias; </w:t>
      </w:r>
    </w:p>
    <w:p w14:paraId="3A4738A0"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VII. </w:t>
      </w:r>
      <w:r>
        <w:rPr>
          <w:rFonts w:ascii="Gotham" w:hAnsi="Gotham" w:cstheme="minorHAnsi"/>
          <w:i/>
          <w:sz w:val="18"/>
          <w:szCs w:val="18"/>
        </w:rPr>
        <w:tab/>
        <w:t>La titular del Organismo Público Descentralizado denominado Instituto Municipal de las Mujeres;</w:t>
      </w:r>
    </w:p>
    <w:p w14:paraId="3A4738A1"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VIII. </w:t>
      </w:r>
      <w:r>
        <w:rPr>
          <w:rFonts w:ascii="Gotham" w:hAnsi="Gotham" w:cstheme="minorHAnsi"/>
          <w:i/>
          <w:sz w:val="18"/>
          <w:szCs w:val="18"/>
        </w:rPr>
        <w:tab/>
        <w:t xml:space="preserve">El regidor Presidente de la Comisión Edilicia de Atención a la Juventud y Deporte; </w:t>
      </w:r>
    </w:p>
    <w:p w14:paraId="3A4738A2"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IX. </w:t>
      </w:r>
      <w:r>
        <w:rPr>
          <w:rFonts w:ascii="Gotham" w:hAnsi="Gotham" w:cstheme="minorHAnsi"/>
          <w:i/>
          <w:sz w:val="18"/>
          <w:szCs w:val="18"/>
        </w:rPr>
        <w:tab/>
        <w:t>El regidor Presidente de la Comisión Edilicia de Seguridad y Prevención Ciudadana,</w:t>
      </w:r>
    </w:p>
    <w:p w14:paraId="3A4738A3"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X. </w:t>
      </w:r>
      <w:r>
        <w:rPr>
          <w:rFonts w:ascii="Gotham" w:hAnsi="Gotham" w:cstheme="minorHAnsi"/>
          <w:i/>
          <w:sz w:val="18"/>
          <w:szCs w:val="18"/>
        </w:rPr>
        <w:tab/>
        <w:t xml:space="preserve">Mediante invitación del Presidente, un representante de un organismo no gubernamental o asociación civil legalmente constituido con una antigüedad no menor a 3 años, con trabajos y objetivo social relacionado a la prevención de la trata de personas; </w:t>
      </w:r>
    </w:p>
    <w:p w14:paraId="3A4738A4"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lastRenderedPageBreak/>
        <w:t xml:space="preserve">XI. </w:t>
      </w:r>
      <w:r>
        <w:rPr>
          <w:rFonts w:ascii="Gotham" w:hAnsi="Gotham" w:cstheme="minorHAnsi"/>
          <w:i/>
          <w:sz w:val="18"/>
          <w:szCs w:val="18"/>
        </w:rPr>
        <w:tab/>
        <w:t>Mediante invitación del Presidente, representante del Centro Universitario de Tonalá con experiencia académica en la materia; y</w:t>
      </w:r>
    </w:p>
    <w:p w14:paraId="3A4738A5" w14:textId="77777777" w:rsidR="00016FE1" w:rsidRDefault="00016FE1" w:rsidP="002B6227">
      <w:pPr>
        <w:ind w:left="1560" w:right="567" w:hanging="426"/>
        <w:jc w:val="both"/>
        <w:rPr>
          <w:rFonts w:ascii="Gotham" w:hAnsi="Gotham" w:cstheme="minorHAnsi"/>
          <w:i/>
          <w:sz w:val="18"/>
          <w:szCs w:val="18"/>
        </w:rPr>
      </w:pPr>
      <w:r>
        <w:rPr>
          <w:rFonts w:ascii="Gotham" w:hAnsi="Gotham" w:cstheme="minorHAnsi"/>
          <w:i/>
          <w:sz w:val="18"/>
          <w:szCs w:val="18"/>
        </w:rPr>
        <w:t xml:space="preserve">XII. </w:t>
      </w:r>
      <w:r>
        <w:rPr>
          <w:rFonts w:ascii="Gotham" w:hAnsi="Gotham" w:cstheme="minorHAnsi"/>
          <w:i/>
          <w:sz w:val="18"/>
          <w:szCs w:val="18"/>
        </w:rPr>
        <w:tab/>
        <w:t>Mediante invitación del Presidente un representante de la Cámara Nacional de Comercio Servytur.</w:t>
      </w:r>
      <w:r w:rsidR="009F075D">
        <w:rPr>
          <w:rFonts w:ascii="Gotham" w:hAnsi="Gotham" w:cstheme="minorHAnsi"/>
          <w:i/>
          <w:sz w:val="18"/>
          <w:szCs w:val="18"/>
        </w:rPr>
        <w:t xml:space="preserve"> </w:t>
      </w:r>
    </w:p>
    <w:p w14:paraId="3A4738A6" w14:textId="77777777" w:rsidR="00016FE1" w:rsidRDefault="00016FE1" w:rsidP="002B6227">
      <w:pPr>
        <w:ind w:left="1134" w:right="567"/>
        <w:jc w:val="both"/>
        <w:rPr>
          <w:rFonts w:ascii="Gotham" w:hAnsi="Gotham" w:cstheme="minorHAnsi"/>
          <w:i/>
          <w:sz w:val="18"/>
          <w:szCs w:val="18"/>
        </w:rPr>
      </w:pPr>
    </w:p>
    <w:p w14:paraId="3A4738A7"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7. – El Presidente del Consejo podrá determinar la invitación de personas que por su perfil técnico puedan hacer aportes al Consejo, su asistencia no tendrá efectos sobre el quorum legal y únicamente contarán con derecho de voz. </w:t>
      </w:r>
    </w:p>
    <w:p w14:paraId="3A4738A8" w14:textId="77777777" w:rsidR="00016FE1" w:rsidRDefault="00016FE1" w:rsidP="002B6227">
      <w:pPr>
        <w:ind w:left="1134" w:right="567"/>
        <w:jc w:val="both"/>
        <w:rPr>
          <w:rFonts w:ascii="Gotham" w:hAnsi="Gotham" w:cstheme="minorHAnsi"/>
          <w:i/>
          <w:sz w:val="18"/>
          <w:szCs w:val="18"/>
        </w:rPr>
      </w:pPr>
    </w:p>
    <w:p w14:paraId="3A4738A9"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8. – Todas y todos los consejeros integrantes del Consejo tienen derecho de voz y voto, con excepción del Secretario Técnico quien únicamente contará con derecho a voz, los acuerdos se declararán aprobados siempre por mayoría simple y votación económica, en caso de empate el Presidente contará con voto de calidad.</w:t>
      </w:r>
    </w:p>
    <w:p w14:paraId="3A4738AA" w14:textId="77777777" w:rsidR="00016FE1" w:rsidRDefault="00016FE1" w:rsidP="002B6227">
      <w:pPr>
        <w:ind w:left="1134" w:right="567"/>
        <w:jc w:val="both"/>
        <w:rPr>
          <w:rFonts w:ascii="Gotham" w:hAnsi="Gotham" w:cstheme="minorHAnsi"/>
          <w:i/>
          <w:sz w:val="18"/>
          <w:szCs w:val="18"/>
        </w:rPr>
      </w:pPr>
    </w:p>
    <w:p w14:paraId="3A4738AB"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9. –</w:t>
      </w:r>
      <w:r w:rsidR="009F075D">
        <w:rPr>
          <w:rFonts w:ascii="Gotham" w:hAnsi="Gotham" w:cstheme="minorHAnsi"/>
          <w:i/>
          <w:sz w:val="18"/>
          <w:szCs w:val="18"/>
        </w:rPr>
        <w:t xml:space="preserve"> </w:t>
      </w:r>
      <w:r>
        <w:rPr>
          <w:rFonts w:ascii="Gotham" w:hAnsi="Gotham" w:cstheme="minorHAnsi"/>
          <w:i/>
          <w:sz w:val="18"/>
          <w:szCs w:val="18"/>
        </w:rPr>
        <w:t>Para la designación del secretario técnico, el Presidente Municipal dentro de los primeros dos meses de administración, deberá presentar una iniciativa de acuerdo municipal con dispensa de trámite en los extremos previstos en el Reglamento Para el Funcionamiento Interno de Sesiones del Ayuntamiento Constitucional de Tonalá, o aquel ordenamiento que haga sus veces para hacer una formal propuesta al Pleno del Ayuntamiento. En el supuesto de que la propuesta sea rechazada, el Presidente Municipal en el plazo de 15 días naturales siguientes a la sesión donde se rechazó la propuesta, pondrá a consideración del Pleno del Ayuntamiento convocando a sesión extraordinaria una terna de candidatas o candidatos para ocupar la titularidad de la Secretaría Técnica del Consejo.</w:t>
      </w:r>
    </w:p>
    <w:p w14:paraId="3A4738AC" w14:textId="77777777" w:rsidR="00016FE1" w:rsidRDefault="00016FE1" w:rsidP="002B6227">
      <w:pPr>
        <w:ind w:left="1134" w:right="567"/>
        <w:jc w:val="both"/>
        <w:rPr>
          <w:rFonts w:ascii="Gotham" w:hAnsi="Gotham" w:cstheme="minorHAnsi"/>
          <w:i/>
          <w:sz w:val="18"/>
          <w:szCs w:val="18"/>
        </w:rPr>
      </w:pPr>
    </w:p>
    <w:p w14:paraId="3A4738AD"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10. – En el supuesto de que no haya sido aprobada alguna propuesta de la terna correspondiente, el Presidente Municipal podrá expedir de forma inmediata el nombramiento honorifico de cualquier integrante de la terna.</w:t>
      </w:r>
    </w:p>
    <w:p w14:paraId="3A4738AE" w14:textId="77777777" w:rsidR="00016FE1" w:rsidRDefault="00016FE1" w:rsidP="002B6227">
      <w:pPr>
        <w:ind w:left="1134" w:right="567"/>
        <w:jc w:val="both"/>
        <w:rPr>
          <w:rFonts w:ascii="Gotham" w:hAnsi="Gotham" w:cstheme="minorHAnsi"/>
          <w:i/>
          <w:sz w:val="18"/>
          <w:szCs w:val="18"/>
        </w:rPr>
      </w:pPr>
    </w:p>
    <w:p w14:paraId="3A4738AF"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La o el secretario técnico deberá tomar protesta de ley ante el Pleno del Ayuntamiento en la misma sesión en que sea aprobado su nombramiento con excepción de lo dispuesto en el párrafo precedente. </w:t>
      </w:r>
    </w:p>
    <w:p w14:paraId="3A4738B0" w14:textId="77777777" w:rsidR="00016FE1" w:rsidRDefault="00016FE1" w:rsidP="002B6227">
      <w:pPr>
        <w:ind w:left="1134" w:right="567"/>
        <w:jc w:val="both"/>
        <w:rPr>
          <w:rFonts w:ascii="Gotham" w:hAnsi="Gotham" w:cstheme="minorHAnsi"/>
          <w:i/>
          <w:sz w:val="18"/>
          <w:szCs w:val="18"/>
        </w:rPr>
      </w:pPr>
    </w:p>
    <w:p w14:paraId="3A4738B1"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11. – Todos los cargos del Consejo tendrán la naturaleza de honoríficos, por lo que no recibirán pago o emolumento alguno por el ejercicio de sus funciones. La vigencia de los cargos no podrá traspasar en ningún caso el periodo constitucional de la administración municipal que instaló el Consejo. </w:t>
      </w:r>
    </w:p>
    <w:p w14:paraId="3A4738B2" w14:textId="77777777" w:rsidR="00016FE1" w:rsidRDefault="00016FE1" w:rsidP="002B6227">
      <w:pPr>
        <w:ind w:left="1134" w:right="567"/>
        <w:jc w:val="both"/>
        <w:rPr>
          <w:rFonts w:ascii="Gotham" w:hAnsi="Gotham" w:cstheme="minorHAnsi"/>
          <w:i/>
          <w:sz w:val="18"/>
          <w:szCs w:val="18"/>
        </w:rPr>
      </w:pPr>
    </w:p>
    <w:p w14:paraId="3A4738B3"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12. – Todas y todos los miembros del consejo, deberán designar por escrito a la persona que habrá de suplirlos ante una eventual ausencia suscitada por causas de fuerza mayor, en el caso de consejeros servidores públicos del Ayuntamiento, el suplente deberá en el mismo sentido desempeñarse laboralmente en el Ayuntamiento y ser subordinado del miembro propietario. Para cubrir las suplencias de la Secretaría Técnica, el Presidente designará a cualquiera de los consejeros previstos en la fracciones III, IV, V y VI del artículo 6 del presente ordenamiento. </w:t>
      </w:r>
    </w:p>
    <w:p w14:paraId="3A4738B4" w14:textId="77777777" w:rsidR="00016FE1" w:rsidRDefault="00016FE1" w:rsidP="002B6227">
      <w:pPr>
        <w:ind w:left="1134" w:right="567"/>
        <w:jc w:val="both"/>
        <w:rPr>
          <w:rFonts w:ascii="Gotham" w:hAnsi="Gotham" w:cstheme="minorHAnsi"/>
          <w:i/>
          <w:sz w:val="18"/>
          <w:szCs w:val="18"/>
        </w:rPr>
      </w:pPr>
    </w:p>
    <w:p w14:paraId="3A4738B5"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13. – El Consejo tendrá las siguientes atribuciones:</w:t>
      </w:r>
    </w:p>
    <w:p w14:paraId="3A4738B6" w14:textId="77777777" w:rsidR="00016FE1" w:rsidRDefault="00016FE1" w:rsidP="002B6227">
      <w:pPr>
        <w:ind w:left="1134" w:right="567"/>
        <w:jc w:val="both"/>
        <w:rPr>
          <w:rFonts w:ascii="Gotham" w:hAnsi="Gotham" w:cstheme="minorHAnsi"/>
          <w:i/>
          <w:sz w:val="18"/>
          <w:szCs w:val="18"/>
        </w:rPr>
      </w:pPr>
    </w:p>
    <w:p w14:paraId="3A4738B7"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 </w:t>
      </w:r>
      <w:r>
        <w:rPr>
          <w:rFonts w:ascii="Gotham" w:hAnsi="Gotham" w:cstheme="minorHAnsi"/>
          <w:i/>
          <w:sz w:val="18"/>
          <w:szCs w:val="18"/>
        </w:rPr>
        <w:tab/>
        <w:t>Diseñar acciones, programas y políticas públicas que tengan por objetivo prevenir de una forma integral los delitos relacionados a la trata de personas, considerando el establecimiento de metas, objetivos y MIR, lo anterior por conducto del establecimiento de un Programa Municipal;</w:t>
      </w:r>
    </w:p>
    <w:p w14:paraId="3A4738B8"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II. </w:t>
      </w:r>
      <w:r>
        <w:rPr>
          <w:rFonts w:ascii="Gotham" w:hAnsi="Gotham" w:cstheme="minorHAnsi"/>
          <w:i/>
          <w:sz w:val="18"/>
          <w:szCs w:val="18"/>
        </w:rPr>
        <w:tab/>
        <w:t xml:space="preserve">Proponerle al Pleno del Ayuntamiento las políticas públicas diseñadas a partir de ejercicios de pluralidad y transversalidad, donde se recoja la opinión de expertos en prevención social de la delincuencia, así como la de la ciudadanía; </w:t>
      </w:r>
    </w:p>
    <w:p w14:paraId="3A4738B9"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lastRenderedPageBreak/>
        <w:t xml:space="preserve">III. </w:t>
      </w:r>
      <w:r>
        <w:rPr>
          <w:rFonts w:ascii="Gotham" w:hAnsi="Gotham" w:cstheme="minorHAnsi"/>
          <w:i/>
          <w:sz w:val="18"/>
          <w:szCs w:val="18"/>
        </w:rPr>
        <w:tab/>
        <w:t xml:space="preserve">Supervisar de forma permanente las acciones y políticas públicas que ejecuten y pongan en marcha las dependencias y entidades del Ayuntamiento en materia de la prevención de la trata de personas; </w:t>
      </w:r>
    </w:p>
    <w:p w14:paraId="3A4738BA"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IV. </w:t>
      </w:r>
      <w:r>
        <w:rPr>
          <w:rFonts w:ascii="Gotham" w:hAnsi="Gotham" w:cstheme="minorHAnsi"/>
          <w:i/>
          <w:sz w:val="18"/>
          <w:szCs w:val="18"/>
        </w:rPr>
        <w:tab/>
        <w:t xml:space="preserve">Proponer la implementación de evaluaciones externas metodológicamente sustentables respecto de las políticas públicas ejecutadas por las dependencias municipales para la prevención de la trata de personas con el propósito de verificar el cumplimiento de metas y objetivos planteados, así como de la oportuna detección de aspectos susceptibles de mejora para el fortalecimiento institucional de la política municipal en esta materia, las cuales estarán sujetas a la disponibilidad presupuestaria; </w:t>
      </w:r>
    </w:p>
    <w:p w14:paraId="3A4738BB"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 </w:t>
      </w:r>
      <w:r>
        <w:rPr>
          <w:rFonts w:ascii="Gotham" w:hAnsi="Gotham" w:cstheme="minorHAnsi"/>
          <w:i/>
          <w:sz w:val="18"/>
          <w:szCs w:val="18"/>
        </w:rPr>
        <w:tab/>
        <w:t xml:space="preserve">Emitir recomendaciones a los titulares de giros comerciales y establecimientos no lucrativos con el objeto de involucrar a la ciudadanía en la prevención integral de los delitos relacionados a la trata de personas, mismas que podrán ser vinculantes, lo anterior sin perjuicio de las sanciones que eventualmente correspondan por la inobservancia de las disposiciones legales correspondientes; </w:t>
      </w:r>
    </w:p>
    <w:p w14:paraId="3A4738BC"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 </w:t>
      </w:r>
      <w:r>
        <w:rPr>
          <w:rFonts w:ascii="Gotham" w:hAnsi="Gotham" w:cstheme="minorHAnsi"/>
          <w:i/>
          <w:sz w:val="18"/>
          <w:szCs w:val="18"/>
        </w:rPr>
        <w:tab/>
        <w:t xml:space="preserve">Recibir por conducto de la Secretaría Técnica, denuncias de hechos posiblemente constitutivos de inobservancia a las disposiciones legales o delitos, particularmente de aquellos relacionados a la trata de personas, mismas que deberán direccionarse a las dependencias o entidades competentes para su atención, para tal efecto el Consejo por conducto de su presidencia y secretaría técnica dará puntual seguimiento a los procedimientos que se desprendan de las denuncias; </w:t>
      </w:r>
    </w:p>
    <w:p w14:paraId="3A4738BD"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VII. </w:t>
      </w:r>
      <w:r>
        <w:rPr>
          <w:rFonts w:ascii="Gotham" w:hAnsi="Gotham" w:cstheme="minorHAnsi"/>
          <w:i/>
          <w:sz w:val="18"/>
          <w:szCs w:val="18"/>
        </w:rPr>
        <w:tab/>
        <w:t xml:space="preserve">Solicitar información de forma institucional a las dependencias y entidades del Ayuntamiento que sirva de soporte para la hechura de políticas públicas y acciones gubernamentales en materia de la prevención de los delitos vinculados a la trata de personas; </w:t>
      </w:r>
    </w:p>
    <w:p w14:paraId="3A4738BE"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VIII. </w:t>
      </w:r>
      <w:r>
        <w:rPr>
          <w:rFonts w:ascii="Gotham" w:hAnsi="Gotham" w:cstheme="minorHAnsi"/>
          <w:i/>
          <w:sz w:val="18"/>
          <w:szCs w:val="18"/>
        </w:rPr>
        <w:tab/>
        <w:t>Solicitar de información de forma institucional a las dependencias y entidades del Ayuntamiento para vigilar y dar seguimiento a la ejecución de las acciones y políticas públicas en materia de la prevención de los delitos vinculados a la trata de personas;</w:t>
      </w:r>
    </w:p>
    <w:p w14:paraId="3A4738BF"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IX. </w:t>
      </w:r>
      <w:r>
        <w:rPr>
          <w:rFonts w:ascii="Gotham" w:hAnsi="Gotham" w:cstheme="minorHAnsi"/>
          <w:i/>
          <w:sz w:val="18"/>
          <w:szCs w:val="18"/>
        </w:rPr>
        <w:tab/>
        <w:t>Gestionar convenios y esquemas de coordinación y colaboración ante la Comisión Interinstitucional Contra la Trata de Personas del Gobierno del Estado de Jalisco, así como con otras instancias que se considere pertinente;</w:t>
      </w:r>
    </w:p>
    <w:p w14:paraId="3A4738C0"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X. </w:t>
      </w:r>
      <w:r>
        <w:rPr>
          <w:rFonts w:ascii="Gotham" w:hAnsi="Gotham" w:cstheme="minorHAnsi"/>
          <w:i/>
          <w:sz w:val="18"/>
          <w:szCs w:val="18"/>
        </w:rPr>
        <w:tab/>
        <w:t xml:space="preserve">Solicitar la opinión técnica de las instituciones de los tres órdenes de gobierno, así como de asociaciones civiles u organismos no gubernamentales, lo anterior en materia de las acciones y políticas públicas que se pretendan llevar a cabo en cuanto a la prevención integral de la trata de personas; </w:t>
      </w:r>
    </w:p>
    <w:p w14:paraId="3A4738C1"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XI. </w:t>
      </w:r>
      <w:r>
        <w:rPr>
          <w:rFonts w:ascii="Gotham" w:hAnsi="Gotham" w:cstheme="minorHAnsi"/>
          <w:i/>
          <w:sz w:val="18"/>
          <w:szCs w:val="18"/>
        </w:rPr>
        <w:tab/>
        <w:t>Reconocer públicamente en una sesión ordinaria del Consejo a aquellas personas físicas o morales que haya contribuido de manera sustancial a la prevención integral de los delitos relacionados con la trata de personas;</w:t>
      </w:r>
    </w:p>
    <w:p w14:paraId="3A4738C2"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XII. </w:t>
      </w:r>
      <w:r>
        <w:rPr>
          <w:rFonts w:ascii="Gotham" w:hAnsi="Gotham" w:cstheme="minorHAnsi"/>
          <w:i/>
          <w:sz w:val="18"/>
          <w:szCs w:val="18"/>
        </w:rPr>
        <w:tab/>
        <w:t>Proponer al Pleno del Ayuntamiento, las consideraciones, acciones y políticas públicas en materia de la prevención de los delitos relacionados a la trata de personas a considerarse en el marco de la elaboración del Plan Municipal de Desarrollo y Gobernanza como instrumento de planeación que contempla los objetivos, metas, estrategias e indicadores, diseñado para promover el desarrollo integral del municipio, el cual deberá encontrarse armonizado con el Plan Estatal de Desarrollo y Gobernanza en cuanto a metas y objetivos, lo anterior en los extremos previstos por la Ley de Planeación Participativa para el Estado de Jalisco y sus Municipios; y</w:t>
      </w:r>
    </w:p>
    <w:p w14:paraId="3A4738C3" w14:textId="77777777" w:rsidR="00016FE1" w:rsidRDefault="00016FE1" w:rsidP="002B6227">
      <w:pPr>
        <w:ind w:left="1560" w:right="567" w:hanging="426"/>
        <w:jc w:val="both"/>
        <w:rPr>
          <w:rFonts w:ascii="Gotham" w:hAnsi="Gotham" w:cstheme="minorHAnsi"/>
          <w:i/>
          <w:sz w:val="18"/>
          <w:szCs w:val="18"/>
        </w:rPr>
      </w:pPr>
      <w:r>
        <w:rPr>
          <w:rFonts w:ascii="Gotham" w:hAnsi="Gotham" w:cstheme="minorHAnsi"/>
          <w:i/>
          <w:sz w:val="18"/>
          <w:szCs w:val="18"/>
        </w:rPr>
        <w:t xml:space="preserve">XIII. </w:t>
      </w:r>
      <w:r>
        <w:rPr>
          <w:rFonts w:ascii="Gotham" w:hAnsi="Gotham" w:cstheme="minorHAnsi"/>
          <w:i/>
          <w:sz w:val="18"/>
          <w:szCs w:val="18"/>
        </w:rPr>
        <w:tab/>
        <w:t>Las demás que apruebe el Consejo, siempre y cuando sean acorde a la naturaleza y objetivo del mismo.</w:t>
      </w:r>
    </w:p>
    <w:p w14:paraId="3A4738C4" w14:textId="77777777" w:rsidR="00016FE1" w:rsidRDefault="00016FE1" w:rsidP="002B6227">
      <w:pPr>
        <w:ind w:left="1134" w:right="567"/>
        <w:jc w:val="both"/>
        <w:rPr>
          <w:rFonts w:ascii="Gotham" w:hAnsi="Gotham" w:cstheme="minorHAnsi"/>
          <w:i/>
          <w:sz w:val="18"/>
          <w:szCs w:val="18"/>
        </w:rPr>
      </w:pPr>
    </w:p>
    <w:p w14:paraId="3A4738C5"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14. – El consejo podrá recargarse para el acompañamiento y asesoría técnica en los servidores públicos del Ayuntamiento, las dependencias e instituciones del orden jurídico </w:t>
      </w:r>
      <w:r>
        <w:rPr>
          <w:rFonts w:ascii="Gotham" w:hAnsi="Gotham" w:cstheme="minorHAnsi"/>
          <w:i/>
          <w:sz w:val="18"/>
          <w:szCs w:val="18"/>
        </w:rPr>
        <w:lastRenderedPageBreak/>
        <w:t>federal o estatal, así como de organismos no gubernamentales y expertos en la materia, dando preferencia a aquellas asesorías a título gratuito.</w:t>
      </w:r>
    </w:p>
    <w:p w14:paraId="3A4738C6" w14:textId="77777777" w:rsidR="00016FE1" w:rsidRDefault="00016FE1" w:rsidP="002B6227">
      <w:pPr>
        <w:ind w:left="1134" w:right="567"/>
        <w:jc w:val="both"/>
        <w:rPr>
          <w:rFonts w:ascii="Gotham" w:hAnsi="Gotham" w:cstheme="minorHAnsi"/>
          <w:i/>
          <w:sz w:val="18"/>
          <w:szCs w:val="18"/>
        </w:rPr>
      </w:pPr>
    </w:p>
    <w:p w14:paraId="3A4738C7" w14:textId="77777777" w:rsidR="00016FE1" w:rsidRDefault="00016FE1" w:rsidP="002B6227">
      <w:pPr>
        <w:ind w:left="1134" w:right="567"/>
        <w:jc w:val="both"/>
        <w:rPr>
          <w:rFonts w:ascii="Gotham" w:hAnsi="Gotham" w:cstheme="minorHAnsi"/>
          <w:i/>
          <w:sz w:val="18"/>
          <w:szCs w:val="18"/>
        </w:rPr>
      </w:pPr>
    </w:p>
    <w:p w14:paraId="3A4738C8"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CAPÍTULO II</w:t>
      </w:r>
    </w:p>
    <w:p w14:paraId="3A4738C9"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DE LA INSTALACIÓN Y EL DESARROLLO DE SUS SESIONES</w:t>
      </w:r>
    </w:p>
    <w:p w14:paraId="3A4738CA" w14:textId="77777777" w:rsidR="00016FE1" w:rsidRDefault="00016FE1" w:rsidP="002B6227">
      <w:pPr>
        <w:ind w:left="1134" w:right="567"/>
        <w:jc w:val="center"/>
        <w:rPr>
          <w:rFonts w:ascii="Gotham" w:hAnsi="Gotham" w:cstheme="minorHAnsi"/>
          <w:i/>
          <w:sz w:val="18"/>
          <w:szCs w:val="18"/>
        </w:rPr>
      </w:pPr>
    </w:p>
    <w:p w14:paraId="3A4738CB"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15. – El Consejo se instalará dentro de los 20 días naturales posteriores a la designación de la o el secretario técnico, para antes el Presidente deberá remitir atenta invitación a los organismos e instituciones a las que hacen referencia las fracciones XI y XII del artículo 6 de este Reglamento.</w:t>
      </w:r>
    </w:p>
    <w:p w14:paraId="3A4738CC" w14:textId="77777777" w:rsidR="00016FE1" w:rsidRDefault="00016FE1" w:rsidP="002B6227">
      <w:pPr>
        <w:ind w:left="1134" w:right="567"/>
        <w:jc w:val="both"/>
        <w:rPr>
          <w:rFonts w:ascii="Gotham" w:hAnsi="Gotham" w:cstheme="minorHAnsi"/>
          <w:i/>
          <w:sz w:val="18"/>
          <w:szCs w:val="18"/>
        </w:rPr>
      </w:pPr>
    </w:p>
    <w:p w14:paraId="3A4738CD"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16. – Las sesiones del Consejo podrán tener la naturaleza de ordinarias o extraordinarias, las sesiones ordinarias se celebrarán de forma trimestral y se convocarán por el Secretario Técnico previa instrucción de la Presidencia con cuando menos 48 horas de anticipación, anexando los documentos necesarios que se desahogarán en la sesión correspondiente. Las sesiones extraordinarias se desarrollarán cuando la Presidencia lo considere necesario debiéndose convocar con sus anexos con cuando menos 24 horas de anticipación.</w:t>
      </w:r>
    </w:p>
    <w:p w14:paraId="3A4738CE" w14:textId="77777777" w:rsidR="00016FE1" w:rsidRDefault="00016FE1" w:rsidP="002B6227">
      <w:pPr>
        <w:ind w:left="1134" w:right="567"/>
        <w:jc w:val="both"/>
        <w:rPr>
          <w:rFonts w:ascii="Gotham" w:hAnsi="Gotham" w:cstheme="minorHAnsi"/>
          <w:i/>
          <w:sz w:val="18"/>
          <w:szCs w:val="18"/>
        </w:rPr>
      </w:pPr>
    </w:p>
    <w:p w14:paraId="3A4738CF"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17. – Las sesiones extraordinarias se limitarán a tratar los asuntos especiales para los que fueron convocadas. Las sesiones de carácter ordinario contemplarán en su orden del día cuando menos los siguientes puntos:</w:t>
      </w:r>
    </w:p>
    <w:p w14:paraId="3A4738D0" w14:textId="77777777" w:rsidR="00016FE1" w:rsidRDefault="00016FE1" w:rsidP="002B6227">
      <w:pPr>
        <w:ind w:left="1134" w:right="567"/>
        <w:jc w:val="both"/>
        <w:rPr>
          <w:rFonts w:ascii="Gotham" w:hAnsi="Gotham" w:cstheme="minorHAnsi"/>
          <w:i/>
          <w:sz w:val="18"/>
          <w:szCs w:val="18"/>
        </w:rPr>
      </w:pPr>
    </w:p>
    <w:p w14:paraId="3A4738D1"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I.</w:t>
      </w:r>
      <w:r>
        <w:rPr>
          <w:rFonts w:ascii="Gotham" w:hAnsi="Gotham" w:cstheme="minorHAnsi"/>
          <w:i/>
          <w:sz w:val="18"/>
          <w:szCs w:val="18"/>
        </w:rPr>
        <w:tab/>
        <w:t xml:space="preserve">Lista de asistencia, verificación y en su caso declaración de quorum legal; </w:t>
      </w:r>
    </w:p>
    <w:p w14:paraId="3A4738D2"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II.</w:t>
      </w:r>
      <w:r>
        <w:rPr>
          <w:rFonts w:ascii="Gotham" w:hAnsi="Gotham" w:cstheme="minorHAnsi"/>
          <w:i/>
          <w:sz w:val="18"/>
          <w:szCs w:val="18"/>
        </w:rPr>
        <w:tab/>
        <w:t xml:space="preserve"> Lectura del orden del día y aprobación en su caso;</w:t>
      </w:r>
    </w:p>
    <w:p w14:paraId="3A4738D3"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III.</w:t>
      </w:r>
      <w:r>
        <w:rPr>
          <w:rFonts w:ascii="Gotham" w:hAnsi="Gotham" w:cstheme="minorHAnsi"/>
          <w:i/>
          <w:sz w:val="18"/>
          <w:szCs w:val="18"/>
        </w:rPr>
        <w:tab/>
        <w:t>Aprobación en su caso del acta de la sesión anterior;</w:t>
      </w:r>
    </w:p>
    <w:p w14:paraId="3A4738D4"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IV.</w:t>
      </w:r>
      <w:r>
        <w:rPr>
          <w:rFonts w:ascii="Gotham" w:hAnsi="Gotham" w:cstheme="minorHAnsi"/>
          <w:i/>
          <w:sz w:val="18"/>
          <w:szCs w:val="18"/>
        </w:rPr>
        <w:tab/>
        <w:t>Lectura y trámite de comunicaciones recibidas;</w:t>
      </w:r>
    </w:p>
    <w:p w14:paraId="3A4738D5"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V.</w:t>
      </w:r>
      <w:r>
        <w:rPr>
          <w:rFonts w:ascii="Gotham" w:hAnsi="Gotham" w:cstheme="minorHAnsi"/>
          <w:i/>
          <w:sz w:val="18"/>
          <w:szCs w:val="18"/>
        </w:rPr>
        <w:tab/>
        <w:t>Lectura, debate y aprobación en su caso de los asuntos competencia del Consejo previamente circulados;</w:t>
      </w:r>
    </w:p>
    <w:p w14:paraId="3A4738D6" w14:textId="77777777" w:rsidR="00016FE1" w:rsidRDefault="00016FE1" w:rsidP="00484656">
      <w:pPr>
        <w:spacing w:after="80"/>
        <w:ind w:left="1560" w:right="567" w:hanging="426"/>
        <w:jc w:val="both"/>
        <w:rPr>
          <w:rFonts w:ascii="Gotham" w:hAnsi="Gotham" w:cstheme="minorHAnsi"/>
          <w:i/>
          <w:sz w:val="18"/>
          <w:szCs w:val="18"/>
        </w:rPr>
      </w:pPr>
      <w:r>
        <w:rPr>
          <w:rFonts w:ascii="Gotham" w:hAnsi="Gotham" w:cstheme="minorHAnsi"/>
          <w:i/>
          <w:sz w:val="18"/>
          <w:szCs w:val="18"/>
        </w:rPr>
        <w:t>VI.</w:t>
      </w:r>
      <w:r>
        <w:rPr>
          <w:rFonts w:ascii="Gotham" w:hAnsi="Gotham" w:cstheme="minorHAnsi"/>
          <w:i/>
          <w:sz w:val="18"/>
          <w:szCs w:val="18"/>
        </w:rPr>
        <w:tab/>
        <w:t>Asuntos varios; y</w:t>
      </w:r>
    </w:p>
    <w:p w14:paraId="3A4738D7" w14:textId="77777777" w:rsidR="00016FE1" w:rsidRDefault="00016FE1" w:rsidP="002B6227">
      <w:pPr>
        <w:ind w:left="1560" w:right="567" w:hanging="426"/>
        <w:jc w:val="both"/>
        <w:rPr>
          <w:rFonts w:ascii="Gotham" w:hAnsi="Gotham" w:cstheme="minorHAnsi"/>
          <w:i/>
          <w:sz w:val="18"/>
          <w:szCs w:val="18"/>
        </w:rPr>
      </w:pPr>
      <w:r>
        <w:rPr>
          <w:rFonts w:ascii="Gotham" w:hAnsi="Gotham" w:cstheme="minorHAnsi"/>
          <w:i/>
          <w:sz w:val="18"/>
          <w:szCs w:val="18"/>
        </w:rPr>
        <w:t>VII.</w:t>
      </w:r>
      <w:r>
        <w:rPr>
          <w:rFonts w:ascii="Gotham" w:hAnsi="Gotham" w:cstheme="minorHAnsi"/>
          <w:i/>
          <w:sz w:val="18"/>
          <w:szCs w:val="18"/>
        </w:rPr>
        <w:tab/>
        <w:t>Formal clausura.</w:t>
      </w:r>
    </w:p>
    <w:p w14:paraId="3A4738D8" w14:textId="77777777" w:rsidR="00016FE1" w:rsidRDefault="00016FE1" w:rsidP="002B6227">
      <w:pPr>
        <w:ind w:left="1134" w:right="567"/>
        <w:jc w:val="both"/>
        <w:rPr>
          <w:rFonts w:ascii="Gotham" w:hAnsi="Gotham" w:cstheme="minorHAnsi"/>
          <w:i/>
          <w:sz w:val="18"/>
          <w:szCs w:val="18"/>
        </w:rPr>
      </w:pPr>
    </w:p>
    <w:p w14:paraId="3A4738D9"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18. – Para la declaración de existencia de quorum legal, se requiere la presencia de la Presidencia y de la mitad más uno de los consejeros que tengan derecho a voto, no obstante en el supuesto de que no se cuente con quorum legal en una primer convocatoria, se podrá convocar de nueva cuenta y de forma inmediata para que en un plazo no mayor de 72 horas ni menor de 24 se pueda sesionar con la Presidencia y los consejeros que se encuentren presentes siendo validos los acuerdos que se tomen y aprueben por mayoría. </w:t>
      </w:r>
    </w:p>
    <w:p w14:paraId="3A4738DA" w14:textId="77777777" w:rsidR="00016FE1" w:rsidRDefault="00016FE1" w:rsidP="002B6227">
      <w:pPr>
        <w:ind w:left="1134" w:right="567"/>
        <w:jc w:val="both"/>
        <w:rPr>
          <w:rFonts w:ascii="Gotham" w:hAnsi="Gotham" w:cstheme="minorHAnsi"/>
          <w:i/>
          <w:sz w:val="18"/>
          <w:szCs w:val="18"/>
        </w:rPr>
      </w:pPr>
    </w:p>
    <w:p w14:paraId="3A4738DB"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19. – En principio las sesiones del Consejo serán públicas y abiertas, pudiendo asistir cualquier persona a presenciarlas, sin embargo por causa justificada ya sea de fuerza mayor o caso fortuito, se podrá temporalmente restringir el acceso a las sesiones por resolución que para tal efecto emita la Presidencia del Consejo. Las sesiones serán trasmitidas en vivo en las plataformas de comunicación digital oficiales del Ayuntamiento.</w:t>
      </w:r>
    </w:p>
    <w:p w14:paraId="3A4738DC" w14:textId="77777777" w:rsidR="00016FE1" w:rsidRDefault="00016FE1" w:rsidP="002B6227">
      <w:pPr>
        <w:ind w:left="1134" w:right="567"/>
        <w:jc w:val="both"/>
        <w:rPr>
          <w:rFonts w:ascii="Gotham" w:hAnsi="Gotham" w:cstheme="minorHAnsi"/>
          <w:i/>
          <w:sz w:val="18"/>
          <w:szCs w:val="18"/>
        </w:rPr>
      </w:pPr>
    </w:p>
    <w:p w14:paraId="3A4738DD"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20. – Todas las sesiones deberán de ser grabadas en audio y video, lo anterior servirá de soporte para que la Secretaría Técnica del Consejo pueda elaborar actas basadas en versiones estenográficas donde conste la literalidad de las discusiones y acuerdos asumidos, las actas de referencias deberán de ser aprobadas en la siguiente sesión del Consejo previo conocimiento de los consejeros para la posterior rúbrica de los participantes. Asimismo, deberán de ser observadas las disposiciones normativas que contengan obligaciones en materia de transparencia y rendición de cuentas, obligaciones que correrán a cargo de la Secretaría Técnica.</w:t>
      </w:r>
    </w:p>
    <w:p w14:paraId="3A4738DE" w14:textId="77777777" w:rsidR="00016FE1" w:rsidRDefault="00016FE1" w:rsidP="002B6227">
      <w:pPr>
        <w:ind w:left="1134" w:right="567"/>
        <w:jc w:val="both"/>
        <w:rPr>
          <w:rFonts w:ascii="Gotham" w:hAnsi="Gotham" w:cstheme="minorHAnsi"/>
          <w:i/>
          <w:sz w:val="18"/>
          <w:szCs w:val="18"/>
        </w:rPr>
      </w:pPr>
    </w:p>
    <w:p w14:paraId="3A4738DF"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21. – Por regla general las sesiones del Consejo tendrán verificativo de forma presencial en el domicilio que se establezca en las convocatorias respectivas, no obstante, por determinación del Presidente en casos fortuitos o de fuerza mayor, se podrán desahogar sesiones por medios telemáticos a distancia, para lo cual se observará un adecuado desarrollo de las sesiones garantizando el cumplimiento de los requerimientos que resulten aplicables para las sesiones presenciales. </w:t>
      </w:r>
    </w:p>
    <w:p w14:paraId="3A4738E0" w14:textId="77777777" w:rsidR="00016FE1" w:rsidRDefault="00016FE1" w:rsidP="002B6227">
      <w:pPr>
        <w:ind w:left="1134" w:right="567"/>
        <w:jc w:val="both"/>
        <w:rPr>
          <w:rFonts w:ascii="Gotham" w:hAnsi="Gotham" w:cstheme="minorHAnsi"/>
          <w:i/>
          <w:sz w:val="18"/>
          <w:szCs w:val="18"/>
        </w:rPr>
      </w:pPr>
    </w:p>
    <w:p w14:paraId="3A4738E1"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En materia de sesiones por medios telemáticos a distancia, será una obligación de los miembros del Consejo mantener su video cámara encendida, lo anterior para efecto de garantizar en todo momento la identidad de cada consejero.</w:t>
      </w:r>
    </w:p>
    <w:p w14:paraId="3A4738E2" w14:textId="77777777" w:rsidR="00016FE1" w:rsidRDefault="00016FE1" w:rsidP="002B6227">
      <w:pPr>
        <w:ind w:left="1134" w:right="567"/>
        <w:jc w:val="both"/>
        <w:rPr>
          <w:rFonts w:ascii="Gotham" w:hAnsi="Gotham" w:cstheme="minorHAnsi"/>
          <w:i/>
          <w:sz w:val="18"/>
          <w:szCs w:val="18"/>
        </w:rPr>
      </w:pPr>
    </w:p>
    <w:p w14:paraId="3A4738E3"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22. – Para efectos supletorios en materia de los casos no previstos respecto al desarrollo de las sesiones del Consejo y en la medida en que resulte aplicable se podrá recurrir al Reglamento Para el Funcionamiento Interno de Sesiones del Ayuntamiento Constitucional de Tonalá o aquel ordenamiento que eventualmente haga sus veces.</w:t>
      </w:r>
    </w:p>
    <w:p w14:paraId="3A4738E4" w14:textId="77777777" w:rsidR="00016FE1" w:rsidRDefault="00016FE1" w:rsidP="002B6227">
      <w:pPr>
        <w:ind w:left="1134" w:right="567"/>
        <w:jc w:val="both"/>
        <w:rPr>
          <w:rFonts w:ascii="Gotham" w:hAnsi="Gotham" w:cstheme="minorHAnsi"/>
          <w:i/>
          <w:sz w:val="18"/>
          <w:szCs w:val="18"/>
        </w:rPr>
      </w:pPr>
    </w:p>
    <w:p w14:paraId="3A4738E5" w14:textId="77777777" w:rsidR="00016FE1" w:rsidRDefault="00016FE1" w:rsidP="002B6227">
      <w:pPr>
        <w:ind w:left="1134" w:right="567"/>
        <w:jc w:val="both"/>
        <w:rPr>
          <w:rFonts w:ascii="Gotham" w:hAnsi="Gotham" w:cstheme="minorHAnsi"/>
          <w:i/>
          <w:sz w:val="18"/>
          <w:szCs w:val="18"/>
        </w:rPr>
      </w:pPr>
    </w:p>
    <w:p w14:paraId="3A4738E6"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TÍTULO TERCERO</w:t>
      </w:r>
    </w:p>
    <w:p w14:paraId="3A4738E7"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DE LA POLÍTICA PÚBLICA MUNICIPAL EN MATERIA DE PREVENCIÓN</w:t>
      </w:r>
    </w:p>
    <w:p w14:paraId="3A4738E8" w14:textId="77777777" w:rsidR="00016FE1" w:rsidRDefault="00016FE1" w:rsidP="002B6227">
      <w:pPr>
        <w:ind w:left="1134" w:right="567"/>
        <w:jc w:val="center"/>
        <w:rPr>
          <w:rFonts w:ascii="Gotham" w:hAnsi="Gotham" w:cstheme="minorHAnsi"/>
          <w:i/>
          <w:sz w:val="18"/>
          <w:szCs w:val="18"/>
        </w:rPr>
      </w:pPr>
    </w:p>
    <w:p w14:paraId="3A4738E9"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CAPÍTULO I</w:t>
      </w:r>
    </w:p>
    <w:p w14:paraId="3A4738EA"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DEL PROGRAMA MUNICIPAL</w:t>
      </w:r>
    </w:p>
    <w:p w14:paraId="3A4738EB" w14:textId="77777777" w:rsidR="00016FE1" w:rsidRDefault="00016FE1" w:rsidP="002B6227">
      <w:pPr>
        <w:ind w:left="1134" w:right="567"/>
        <w:jc w:val="both"/>
        <w:rPr>
          <w:rFonts w:ascii="Gotham" w:hAnsi="Gotham" w:cstheme="minorHAnsi"/>
          <w:i/>
          <w:sz w:val="18"/>
          <w:szCs w:val="18"/>
        </w:rPr>
      </w:pPr>
    </w:p>
    <w:p w14:paraId="3A4738EC"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23. – El Consejo dentro de los 3 meses posteriores a su instalación, deberá aprobar un programa municipal en el que se contemple la precisión de objetivos generales, directrices, políticas, estrategias y líneas de acción encaminadas al fomento de la prevención integral de los delitos relacionados con la trata de personas en una visión de corto, mediano y largo plazo, también se deberá de considerar la implementación y ejecución de acciones conjuntas y coordinadas que deberán llevar a cabo las dependencias y entidades del Ayuntamiento en esta materia.</w:t>
      </w:r>
    </w:p>
    <w:p w14:paraId="3A4738ED" w14:textId="77777777" w:rsidR="00016FE1" w:rsidRDefault="00016FE1" w:rsidP="002B6227">
      <w:pPr>
        <w:ind w:left="1134" w:right="567"/>
        <w:jc w:val="both"/>
        <w:rPr>
          <w:rFonts w:ascii="Gotham" w:hAnsi="Gotham" w:cstheme="minorHAnsi"/>
          <w:i/>
          <w:sz w:val="18"/>
          <w:szCs w:val="18"/>
        </w:rPr>
      </w:pPr>
    </w:p>
    <w:p w14:paraId="3A4738EE" w14:textId="77777777" w:rsidR="00016FE1" w:rsidRDefault="00016FE1" w:rsidP="002B6227">
      <w:pPr>
        <w:ind w:left="1134" w:right="567"/>
        <w:jc w:val="both"/>
        <w:rPr>
          <w:rFonts w:ascii="Gotham" w:hAnsi="Gotham" w:cstheme="minorHAnsi"/>
          <w:i/>
          <w:sz w:val="18"/>
          <w:szCs w:val="18"/>
        </w:rPr>
      </w:pPr>
    </w:p>
    <w:p w14:paraId="3A4738EF" w14:textId="77777777" w:rsidR="00016FE1" w:rsidRDefault="00016FE1" w:rsidP="002B6227">
      <w:pPr>
        <w:tabs>
          <w:tab w:val="left" w:pos="2847"/>
        </w:tabs>
        <w:ind w:left="1134" w:right="567"/>
        <w:jc w:val="center"/>
        <w:rPr>
          <w:rFonts w:ascii="Gotham" w:hAnsi="Gotham" w:cstheme="minorHAnsi"/>
          <w:i/>
          <w:sz w:val="18"/>
          <w:szCs w:val="18"/>
        </w:rPr>
      </w:pPr>
      <w:r>
        <w:rPr>
          <w:rFonts w:ascii="Gotham" w:hAnsi="Gotham" w:cstheme="minorHAnsi"/>
          <w:i/>
          <w:sz w:val="18"/>
          <w:szCs w:val="18"/>
        </w:rPr>
        <w:t>CAPÍTULO II</w:t>
      </w:r>
    </w:p>
    <w:p w14:paraId="3A4738F0"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DE LAS RECOMENDACIONES QUE PODRÁ EMITIR EL CONSEJO</w:t>
      </w:r>
    </w:p>
    <w:p w14:paraId="3A4738F1" w14:textId="77777777" w:rsidR="00016FE1" w:rsidRDefault="00016FE1" w:rsidP="002B6227">
      <w:pPr>
        <w:ind w:left="1134" w:right="567"/>
        <w:jc w:val="center"/>
        <w:rPr>
          <w:rFonts w:ascii="Gotham" w:hAnsi="Gotham" w:cstheme="minorHAnsi"/>
          <w:i/>
          <w:sz w:val="18"/>
          <w:szCs w:val="18"/>
        </w:rPr>
      </w:pPr>
    </w:p>
    <w:p w14:paraId="3A4738F2"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24. – El Consejo, de oficio por conducto de cualquiera de sus integrantes o a petición de cualquier persona podrá emitir recomendaciones a las o los titulares de giros comerciales o establecimientos no lucrativos, dichas recomendaciones tendrán por objetivo contribuir con la prevención integral de la trata de personas desde la competencia que le asiste al Ayuntamiento. También se podrán presentar solicitudes de carácter anónimo para salvaguardar la integridad física de las y los solicitantes.</w:t>
      </w:r>
    </w:p>
    <w:p w14:paraId="3A4738F3" w14:textId="77777777" w:rsidR="00016FE1" w:rsidRDefault="00016FE1" w:rsidP="002B6227">
      <w:pPr>
        <w:ind w:left="1134" w:right="567"/>
        <w:jc w:val="both"/>
        <w:rPr>
          <w:rFonts w:ascii="Gotham" w:hAnsi="Gotham" w:cstheme="minorHAnsi"/>
          <w:i/>
          <w:sz w:val="18"/>
          <w:szCs w:val="18"/>
        </w:rPr>
      </w:pPr>
    </w:p>
    <w:p w14:paraId="3A4738F4"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25. – El procedimiento para la eventual emisión de recomendaciones se sujetará a los términos siguientes:</w:t>
      </w:r>
    </w:p>
    <w:p w14:paraId="3A4738F5" w14:textId="77777777" w:rsidR="00016FE1" w:rsidRDefault="00016FE1" w:rsidP="002B6227">
      <w:pPr>
        <w:ind w:left="1134" w:right="567"/>
        <w:jc w:val="both"/>
        <w:rPr>
          <w:rFonts w:ascii="Gotham" w:hAnsi="Gotham" w:cstheme="minorHAnsi"/>
          <w:i/>
          <w:sz w:val="18"/>
          <w:szCs w:val="18"/>
        </w:rPr>
      </w:pPr>
    </w:p>
    <w:p w14:paraId="3A4738F6"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 </w:t>
      </w:r>
      <w:r>
        <w:rPr>
          <w:rFonts w:ascii="Gotham" w:hAnsi="Gotham" w:cstheme="minorHAnsi"/>
          <w:i/>
          <w:sz w:val="18"/>
          <w:szCs w:val="18"/>
        </w:rPr>
        <w:tab/>
        <w:t>La presentación de solicitudes se hará por escrito ante la Secretaría Técnica, contemplando de forma clara y precisa una redacción de hechos donde el solicitante narre los motivos y las justificaciones que considere pertinentes para considerar que un giro comercial o un establecimiento no lucrativo contribuye a la proliferación de los delitos relacionados a la trata de personas, para tal efecto el escrito deberá de acompañarse con los elementos probatorios con los que pretenda acreditar el dicho;</w:t>
      </w:r>
    </w:p>
    <w:p w14:paraId="3A4738F7"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II. </w:t>
      </w:r>
      <w:r>
        <w:rPr>
          <w:rFonts w:ascii="Gotham" w:hAnsi="Gotham" w:cstheme="minorHAnsi"/>
          <w:i/>
          <w:sz w:val="18"/>
          <w:szCs w:val="18"/>
        </w:rPr>
        <w:tab/>
        <w:t>Recibida la solicitud, la Secretaría Técnica sin dilación solicitará a las dependencias o entidades ejecutivas competentes emitan un informe en el plazo de 5 días hábiles;</w:t>
      </w:r>
    </w:p>
    <w:p w14:paraId="3A4738F8"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lastRenderedPageBreak/>
        <w:t xml:space="preserve">III. </w:t>
      </w:r>
      <w:r>
        <w:rPr>
          <w:rFonts w:ascii="Gotham" w:hAnsi="Gotham" w:cstheme="minorHAnsi"/>
          <w:i/>
          <w:sz w:val="18"/>
          <w:szCs w:val="18"/>
        </w:rPr>
        <w:tab/>
        <w:t>Las dependencias y entidades ejecutivas deberán practicar las visitas e inspecciones necesarias para respaldar el informe correspondiente;</w:t>
      </w:r>
    </w:p>
    <w:p w14:paraId="3A4738F9"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IV. </w:t>
      </w:r>
      <w:r>
        <w:rPr>
          <w:rFonts w:ascii="Gotham" w:hAnsi="Gotham" w:cstheme="minorHAnsi"/>
          <w:i/>
          <w:sz w:val="18"/>
          <w:szCs w:val="18"/>
        </w:rPr>
        <w:tab/>
        <w:t>Recibidos los informes conducentes, la Secretaría Técnica deberá notificar preferentemente de manera personal al establecimiento involucrado, acompañando en copia simple la solicitud respectiva e informándole que cuenta con el plazo de 3 días hábiles para manifestar por escrito lo que a su derecho convenga anexando las evidencia s que considere oportunas y los documentos que acrediten su personalidad, escrito que deberá de transcribirse de manera literal en el apartado de antecedentes del dictamen;</w:t>
      </w:r>
    </w:p>
    <w:p w14:paraId="3A4738FA"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 </w:t>
      </w:r>
      <w:r>
        <w:rPr>
          <w:rFonts w:ascii="Gotham" w:hAnsi="Gotham" w:cstheme="minorHAnsi"/>
          <w:i/>
          <w:sz w:val="18"/>
          <w:szCs w:val="18"/>
        </w:rPr>
        <w:tab/>
        <w:t>La Secretaría Técnica contará con el improrrogable término de 15 días hábiles posteriores a la eventual manifestación del titular del establecimiento involucrado para presentar un proyecto de dictamen, el cual deberá contener cuando menos los siguientes capítulos:</w:t>
      </w:r>
    </w:p>
    <w:p w14:paraId="3A4738FB" w14:textId="77777777" w:rsidR="00016FE1" w:rsidRDefault="00016FE1" w:rsidP="002B6227">
      <w:pPr>
        <w:spacing w:after="80"/>
        <w:ind w:left="1985" w:right="567" w:hanging="425"/>
        <w:jc w:val="both"/>
        <w:rPr>
          <w:rFonts w:ascii="Gotham" w:hAnsi="Gotham" w:cstheme="minorHAnsi"/>
          <w:i/>
          <w:sz w:val="18"/>
          <w:szCs w:val="18"/>
        </w:rPr>
      </w:pPr>
      <w:r>
        <w:rPr>
          <w:rFonts w:ascii="Gotham" w:hAnsi="Gotham" w:cstheme="minorHAnsi"/>
          <w:i/>
          <w:sz w:val="18"/>
          <w:szCs w:val="18"/>
        </w:rPr>
        <w:t>a)</w:t>
      </w:r>
      <w:r>
        <w:rPr>
          <w:rFonts w:ascii="Gotham" w:hAnsi="Gotham" w:cstheme="minorHAnsi"/>
          <w:i/>
          <w:sz w:val="18"/>
          <w:szCs w:val="18"/>
        </w:rPr>
        <w:tab/>
        <w:t>Antecedentes;</w:t>
      </w:r>
    </w:p>
    <w:p w14:paraId="3A4738FC" w14:textId="77777777" w:rsidR="00016FE1" w:rsidRDefault="00016FE1" w:rsidP="002B6227">
      <w:pPr>
        <w:spacing w:after="80"/>
        <w:ind w:left="1985" w:right="567" w:hanging="425"/>
        <w:jc w:val="both"/>
        <w:rPr>
          <w:rFonts w:ascii="Gotham" w:hAnsi="Gotham" w:cstheme="minorHAnsi"/>
          <w:i/>
          <w:sz w:val="18"/>
          <w:szCs w:val="18"/>
        </w:rPr>
      </w:pPr>
      <w:r>
        <w:rPr>
          <w:rFonts w:ascii="Gotham" w:hAnsi="Gotham" w:cstheme="minorHAnsi"/>
          <w:i/>
          <w:sz w:val="18"/>
          <w:szCs w:val="18"/>
        </w:rPr>
        <w:t>b)</w:t>
      </w:r>
      <w:r>
        <w:rPr>
          <w:rFonts w:ascii="Gotham" w:hAnsi="Gotham" w:cstheme="minorHAnsi"/>
          <w:i/>
          <w:sz w:val="18"/>
          <w:szCs w:val="18"/>
        </w:rPr>
        <w:tab/>
        <w:t>Fundamentos legales;</w:t>
      </w:r>
    </w:p>
    <w:p w14:paraId="3A4738FD" w14:textId="77777777" w:rsidR="00016FE1" w:rsidRDefault="00016FE1" w:rsidP="002B6227">
      <w:pPr>
        <w:spacing w:after="80"/>
        <w:ind w:left="1985" w:right="567" w:hanging="425"/>
        <w:jc w:val="both"/>
        <w:rPr>
          <w:rFonts w:ascii="Gotham" w:hAnsi="Gotham" w:cstheme="minorHAnsi"/>
          <w:i/>
          <w:sz w:val="18"/>
          <w:szCs w:val="18"/>
        </w:rPr>
      </w:pPr>
      <w:r>
        <w:rPr>
          <w:rFonts w:ascii="Gotham" w:hAnsi="Gotham" w:cstheme="minorHAnsi"/>
          <w:i/>
          <w:sz w:val="18"/>
          <w:szCs w:val="18"/>
        </w:rPr>
        <w:t>c)</w:t>
      </w:r>
      <w:r>
        <w:rPr>
          <w:rFonts w:ascii="Gotham" w:hAnsi="Gotham" w:cstheme="minorHAnsi"/>
          <w:i/>
          <w:sz w:val="18"/>
          <w:szCs w:val="18"/>
        </w:rPr>
        <w:tab/>
        <w:t>Valoración objetiva de las pruebas ofertadas por el solicitante;</w:t>
      </w:r>
    </w:p>
    <w:p w14:paraId="3A4738FE" w14:textId="77777777" w:rsidR="00016FE1" w:rsidRDefault="00016FE1" w:rsidP="002B6227">
      <w:pPr>
        <w:spacing w:after="80"/>
        <w:ind w:left="1985" w:right="567" w:hanging="425"/>
        <w:jc w:val="both"/>
        <w:rPr>
          <w:rFonts w:ascii="Gotham" w:hAnsi="Gotham" w:cstheme="minorHAnsi"/>
          <w:i/>
          <w:sz w:val="18"/>
          <w:szCs w:val="18"/>
        </w:rPr>
      </w:pPr>
      <w:r>
        <w:rPr>
          <w:rFonts w:ascii="Gotham" w:hAnsi="Gotham" w:cstheme="minorHAnsi"/>
          <w:i/>
          <w:sz w:val="18"/>
          <w:szCs w:val="18"/>
        </w:rPr>
        <w:t>d)</w:t>
      </w:r>
      <w:r>
        <w:rPr>
          <w:rFonts w:ascii="Gotham" w:hAnsi="Gotham" w:cstheme="minorHAnsi"/>
          <w:i/>
          <w:sz w:val="18"/>
          <w:szCs w:val="18"/>
        </w:rPr>
        <w:tab/>
        <w:t xml:space="preserve"> Conclusiones; y </w:t>
      </w:r>
    </w:p>
    <w:p w14:paraId="3A4738FF" w14:textId="77777777" w:rsidR="00016FE1" w:rsidRDefault="00016FE1" w:rsidP="002B6227">
      <w:pPr>
        <w:spacing w:after="100"/>
        <w:ind w:left="1985" w:right="567" w:hanging="425"/>
        <w:jc w:val="both"/>
        <w:rPr>
          <w:rFonts w:ascii="Gotham" w:hAnsi="Gotham" w:cstheme="minorHAnsi"/>
          <w:i/>
          <w:sz w:val="18"/>
          <w:szCs w:val="18"/>
        </w:rPr>
      </w:pPr>
      <w:r>
        <w:rPr>
          <w:rFonts w:ascii="Gotham" w:hAnsi="Gotham" w:cstheme="minorHAnsi"/>
          <w:i/>
          <w:sz w:val="18"/>
          <w:szCs w:val="18"/>
        </w:rPr>
        <w:t>e)</w:t>
      </w:r>
      <w:r>
        <w:rPr>
          <w:rFonts w:ascii="Gotham" w:hAnsi="Gotham" w:cstheme="minorHAnsi"/>
          <w:i/>
          <w:sz w:val="18"/>
          <w:szCs w:val="18"/>
        </w:rPr>
        <w:tab/>
        <w:t xml:space="preserve">Resolución. </w:t>
      </w:r>
    </w:p>
    <w:p w14:paraId="3A473900"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 </w:t>
      </w:r>
      <w:r>
        <w:rPr>
          <w:rFonts w:ascii="Gotham" w:hAnsi="Gotham" w:cstheme="minorHAnsi"/>
          <w:i/>
          <w:sz w:val="18"/>
          <w:szCs w:val="18"/>
        </w:rPr>
        <w:tab/>
        <w:t>El proyecto de dictamen deberá someterse a consideración del Consejo en la siguiente sesión ordinaria;</w:t>
      </w:r>
    </w:p>
    <w:p w14:paraId="3A473901"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VII. </w:t>
      </w:r>
      <w:r>
        <w:rPr>
          <w:rFonts w:ascii="Gotham" w:hAnsi="Gotham" w:cstheme="minorHAnsi"/>
          <w:i/>
          <w:sz w:val="18"/>
          <w:szCs w:val="18"/>
        </w:rPr>
        <w:tab/>
        <w:t>Los integrantes del Consejo podrán proponer la modificación de la propuesta de dictamen en la sesión correspondiente;</w:t>
      </w:r>
    </w:p>
    <w:p w14:paraId="3A473902"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VIII. </w:t>
      </w:r>
      <w:r>
        <w:rPr>
          <w:rFonts w:ascii="Gotham" w:hAnsi="Gotham" w:cstheme="minorHAnsi"/>
          <w:i/>
          <w:sz w:val="18"/>
          <w:szCs w:val="18"/>
        </w:rPr>
        <w:tab/>
        <w:t>En su caso, una vez aprobado el dictamen correspondiente, deberá notificarse al establecimiento correspondiente dentro de los siguientes 5 días hábiles posteriores a su aprobación;</w:t>
      </w:r>
    </w:p>
    <w:p w14:paraId="3A473903"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IX. </w:t>
      </w:r>
      <w:r>
        <w:rPr>
          <w:rFonts w:ascii="Gotham" w:hAnsi="Gotham" w:cstheme="minorHAnsi"/>
          <w:i/>
          <w:sz w:val="18"/>
          <w:szCs w:val="18"/>
        </w:rPr>
        <w:tab/>
        <w:t xml:space="preserve">En su caso, los establecimientos involucrados tendrán el plazo de 5 días hábiles para manifestar de manera justificada si son de aceptarse o no las recomendaciones respectivas, en caso de aceptarlas la recomendación se volverá vinculante y tendrán un plazo improrrogable de 30 días hábiles para acreditar haber dado cabal cumplimiento a las mismas; </w:t>
      </w:r>
    </w:p>
    <w:p w14:paraId="3A473904"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 xml:space="preserve">X. </w:t>
      </w:r>
      <w:r>
        <w:rPr>
          <w:rFonts w:ascii="Gotham" w:hAnsi="Gotham" w:cstheme="minorHAnsi"/>
          <w:i/>
          <w:sz w:val="18"/>
          <w:szCs w:val="18"/>
        </w:rPr>
        <w:tab/>
        <w:t xml:space="preserve">Una vez transcurrido el plazo de 30 días hábiles al que se hace referencia en la fracción anterior sin que se haya acreditado haber dado cumplimiento a la resolución, el giro involucrado se hará acreedor a una infracción que va desde las 100 hasta las 300 UMAS; y </w:t>
      </w:r>
    </w:p>
    <w:p w14:paraId="3A473905" w14:textId="77777777" w:rsidR="00016FE1" w:rsidRDefault="00016FE1" w:rsidP="002B6227">
      <w:pPr>
        <w:ind w:left="1560" w:right="567" w:hanging="426"/>
        <w:jc w:val="both"/>
        <w:rPr>
          <w:rFonts w:ascii="Gotham" w:hAnsi="Gotham" w:cstheme="minorHAnsi"/>
          <w:i/>
          <w:sz w:val="18"/>
          <w:szCs w:val="18"/>
        </w:rPr>
      </w:pPr>
      <w:r>
        <w:rPr>
          <w:rFonts w:ascii="Gotham" w:hAnsi="Gotham" w:cstheme="minorHAnsi"/>
          <w:i/>
          <w:sz w:val="18"/>
          <w:szCs w:val="18"/>
        </w:rPr>
        <w:t xml:space="preserve">XI. </w:t>
      </w:r>
      <w:r>
        <w:rPr>
          <w:rFonts w:ascii="Gotham" w:hAnsi="Gotham" w:cstheme="minorHAnsi"/>
          <w:i/>
          <w:sz w:val="18"/>
          <w:szCs w:val="18"/>
        </w:rPr>
        <w:tab/>
        <w:t xml:space="preserve">La secretaría técnica pondrá a disposición de la dependencia encargada de la comunicación social y de la Dirección de Padrón y Licencias, el padrón de establecimientos que no hayan aceptado las recomendaciones del Consejo, lo anterior para efectos de que pueda ser consultado por la ciudadanía en general. </w:t>
      </w:r>
    </w:p>
    <w:p w14:paraId="3A473906" w14:textId="77777777" w:rsidR="00016FE1" w:rsidRDefault="00016FE1" w:rsidP="002B6227">
      <w:pPr>
        <w:ind w:left="1134" w:right="567"/>
        <w:jc w:val="both"/>
        <w:rPr>
          <w:rFonts w:ascii="Gotham" w:hAnsi="Gotham" w:cstheme="minorHAnsi"/>
          <w:i/>
          <w:sz w:val="18"/>
          <w:szCs w:val="18"/>
        </w:rPr>
      </w:pPr>
    </w:p>
    <w:p w14:paraId="3A473907"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26. – Únicamente se admitirán aquellas pruebas que se puedan desahogar por su propia naturaleza, incluyendo evidencias que requieran el apoyo de aparatos tecnológicos, para lo cual la secretaría técnica realizará lo necesario a fin de garantizar la valoración objetiva de las mismas.</w:t>
      </w:r>
    </w:p>
    <w:p w14:paraId="3A473908" w14:textId="77777777" w:rsidR="00016FE1" w:rsidRDefault="00016FE1" w:rsidP="002B6227">
      <w:pPr>
        <w:ind w:left="1134" w:right="567"/>
        <w:jc w:val="both"/>
        <w:rPr>
          <w:rFonts w:ascii="Gotham" w:hAnsi="Gotham" w:cstheme="minorHAnsi"/>
          <w:i/>
          <w:sz w:val="18"/>
          <w:szCs w:val="18"/>
        </w:rPr>
      </w:pPr>
    </w:p>
    <w:p w14:paraId="3A473909"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27. – Las resoluciones que proponga la secretaría técnica únicamente podrán considerarse en sentido de proponer recomendaciones para efecto de que los establecimientos señalados realicen determinadas acciones encaminadas a prevenir la trata de personas, o en sentido de desecho por no encontrar los elementos suficientes para la emisión de una recomendación. </w:t>
      </w:r>
    </w:p>
    <w:p w14:paraId="3A47390A" w14:textId="77777777" w:rsidR="00016FE1" w:rsidRDefault="00016FE1" w:rsidP="002B6227">
      <w:pPr>
        <w:ind w:left="1134" w:right="567"/>
        <w:jc w:val="both"/>
        <w:rPr>
          <w:rFonts w:ascii="Gotham" w:hAnsi="Gotham" w:cstheme="minorHAnsi"/>
          <w:i/>
          <w:sz w:val="18"/>
          <w:szCs w:val="18"/>
        </w:rPr>
      </w:pPr>
    </w:p>
    <w:p w14:paraId="3A47390B" w14:textId="77777777" w:rsidR="00016FE1" w:rsidRDefault="00016FE1" w:rsidP="002B6227">
      <w:pPr>
        <w:ind w:left="1134" w:right="567"/>
        <w:jc w:val="both"/>
        <w:rPr>
          <w:rFonts w:ascii="Gotham" w:hAnsi="Gotham" w:cstheme="minorHAnsi"/>
          <w:i/>
          <w:sz w:val="18"/>
          <w:szCs w:val="18"/>
        </w:rPr>
      </w:pPr>
    </w:p>
    <w:p w14:paraId="3A47390C"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CAPÍTULO III</w:t>
      </w:r>
    </w:p>
    <w:p w14:paraId="3A47390D"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lastRenderedPageBreak/>
        <w:t>DE LAS ACCIONES PERMANENTES PARA PREVENIR LOS DELITOS RELACIONADOS CON LA TRATA DE PERSONAS</w:t>
      </w:r>
    </w:p>
    <w:p w14:paraId="3A47390E" w14:textId="77777777" w:rsidR="00016FE1" w:rsidRDefault="00016FE1" w:rsidP="002B6227">
      <w:pPr>
        <w:ind w:left="1134" w:right="567"/>
        <w:jc w:val="center"/>
        <w:rPr>
          <w:rFonts w:ascii="Gotham" w:hAnsi="Gotham" w:cstheme="minorHAnsi"/>
          <w:i/>
          <w:sz w:val="18"/>
          <w:szCs w:val="18"/>
        </w:rPr>
      </w:pPr>
    </w:p>
    <w:p w14:paraId="3A47390F"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28. – El Ayuntamiento deberá emprender de forma permanente acciones para prevenir de una manera integral los delitos relacionados con la trata de personas, para tal efecto el personal adscrito a la Dirección de Educación deberá mantenerse capacitado y actualizado en esta materia, asimismo deberá diseñar un programa de sensibilización permanente a las y los estudiantes de instituciones educativas de nivel básico, medio superior y superior tanto del ámbito público como privado, así como a las y los trabajadores de los diversos establecimientos que de conformidad con la naturaleza de su actividad comercial puedan coadyuvar con la prevención de estos delitos.</w:t>
      </w:r>
    </w:p>
    <w:p w14:paraId="3A473910" w14:textId="77777777" w:rsidR="00016FE1" w:rsidRDefault="00016FE1" w:rsidP="002B6227">
      <w:pPr>
        <w:ind w:left="1134" w:right="567"/>
        <w:jc w:val="both"/>
        <w:rPr>
          <w:rFonts w:ascii="Gotham" w:hAnsi="Gotham" w:cstheme="minorHAnsi"/>
          <w:i/>
          <w:sz w:val="18"/>
          <w:szCs w:val="18"/>
        </w:rPr>
      </w:pPr>
    </w:p>
    <w:p w14:paraId="3A473911"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Por medio del programa de sensibilización para la prevención integral de los delitos relacionados con la trata de personas, la Dirección de Educación expondrá de forma puntual y clara cuando menos lo siguiente:</w:t>
      </w:r>
    </w:p>
    <w:p w14:paraId="3A473912" w14:textId="77777777" w:rsidR="00016FE1" w:rsidRDefault="00016FE1" w:rsidP="002B6227">
      <w:pPr>
        <w:ind w:left="1134" w:right="567"/>
        <w:jc w:val="both"/>
        <w:rPr>
          <w:rFonts w:ascii="Gotham" w:hAnsi="Gotham" w:cstheme="minorHAnsi"/>
          <w:i/>
          <w:sz w:val="18"/>
          <w:szCs w:val="18"/>
        </w:rPr>
      </w:pPr>
    </w:p>
    <w:p w14:paraId="3A473913"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I.</w:t>
      </w:r>
      <w:r>
        <w:rPr>
          <w:rFonts w:ascii="Gotham" w:hAnsi="Gotham" w:cstheme="minorHAnsi"/>
          <w:i/>
          <w:sz w:val="18"/>
          <w:szCs w:val="18"/>
        </w:rPr>
        <w:tab/>
        <w:t>Antecedentes y consideraciones principales del fenómeno social;</w:t>
      </w:r>
    </w:p>
    <w:p w14:paraId="3A473914"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II.</w:t>
      </w:r>
      <w:r>
        <w:rPr>
          <w:rFonts w:ascii="Gotham" w:hAnsi="Gotham" w:cstheme="minorHAnsi"/>
          <w:i/>
          <w:sz w:val="18"/>
          <w:szCs w:val="18"/>
        </w:rPr>
        <w:tab/>
        <w:t xml:space="preserve">Los modos y formas de operación en que los delincuentes ejercen esas prácticas; </w:t>
      </w:r>
    </w:p>
    <w:p w14:paraId="3A473915"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III.</w:t>
      </w:r>
      <w:r>
        <w:rPr>
          <w:rFonts w:ascii="Gotham" w:hAnsi="Gotham" w:cstheme="minorHAnsi"/>
          <w:i/>
          <w:sz w:val="18"/>
          <w:szCs w:val="18"/>
        </w:rPr>
        <w:tab/>
        <w:t>Las diferentes formas que existen para prevenir los delitos;</w:t>
      </w:r>
    </w:p>
    <w:p w14:paraId="3A473916"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IV.</w:t>
      </w:r>
      <w:r>
        <w:rPr>
          <w:rFonts w:ascii="Gotham" w:hAnsi="Gotham" w:cstheme="minorHAnsi"/>
          <w:i/>
          <w:sz w:val="18"/>
          <w:szCs w:val="18"/>
        </w:rPr>
        <w:tab/>
        <w:t xml:space="preserve">Los alcances y consecuencias que provoca la práctica de esos delitos; </w:t>
      </w:r>
    </w:p>
    <w:p w14:paraId="3A473917" w14:textId="77777777" w:rsidR="00016FE1" w:rsidRDefault="00016FE1" w:rsidP="002B6227">
      <w:pPr>
        <w:spacing w:after="100"/>
        <w:ind w:left="1560" w:right="567" w:hanging="426"/>
        <w:jc w:val="both"/>
        <w:rPr>
          <w:rFonts w:ascii="Gotham" w:hAnsi="Gotham" w:cstheme="minorHAnsi"/>
          <w:i/>
          <w:sz w:val="18"/>
          <w:szCs w:val="18"/>
        </w:rPr>
      </w:pPr>
      <w:r>
        <w:rPr>
          <w:rFonts w:ascii="Gotham" w:hAnsi="Gotham" w:cstheme="minorHAnsi"/>
          <w:i/>
          <w:sz w:val="18"/>
          <w:szCs w:val="18"/>
        </w:rPr>
        <w:t>V.</w:t>
      </w:r>
      <w:r>
        <w:rPr>
          <w:rFonts w:ascii="Gotham" w:hAnsi="Gotham" w:cstheme="minorHAnsi"/>
          <w:i/>
          <w:sz w:val="18"/>
          <w:szCs w:val="18"/>
        </w:rPr>
        <w:tab/>
        <w:t>Información relacionada a la bolsa de trabajo u ofertas laborales que se tengan en el municipio, para tal efecto el Ayuntamiento por conducto del Presidente Municipal buscará el establecimiento de esquemas de coordinación con las instituciones de otros órdenes de gobierno; y</w:t>
      </w:r>
    </w:p>
    <w:p w14:paraId="3A473918" w14:textId="77777777" w:rsidR="00016FE1" w:rsidRDefault="00016FE1" w:rsidP="002B6227">
      <w:pPr>
        <w:ind w:left="1560" w:right="567" w:hanging="426"/>
        <w:jc w:val="both"/>
        <w:rPr>
          <w:rFonts w:ascii="Gotham" w:hAnsi="Gotham" w:cstheme="minorHAnsi"/>
          <w:i/>
          <w:sz w:val="18"/>
          <w:szCs w:val="18"/>
        </w:rPr>
      </w:pPr>
      <w:r>
        <w:rPr>
          <w:rFonts w:ascii="Gotham" w:hAnsi="Gotham" w:cstheme="minorHAnsi"/>
          <w:i/>
          <w:sz w:val="18"/>
          <w:szCs w:val="18"/>
        </w:rPr>
        <w:t>VI.</w:t>
      </w:r>
      <w:r>
        <w:rPr>
          <w:rFonts w:ascii="Gotham" w:hAnsi="Gotham" w:cstheme="minorHAnsi"/>
          <w:i/>
          <w:sz w:val="18"/>
          <w:szCs w:val="18"/>
        </w:rPr>
        <w:tab/>
        <w:t xml:space="preserve">Las demás que la o el titular de la Dirección de Educación considere pertinente incorporar. </w:t>
      </w:r>
    </w:p>
    <w:p w14:paraId="3A473919" w14:textId="77777777" w:rsidR="00016FE1" w:rsidRDefault="00016FE1" w:rsidP="002B6227">
      <w:pPr>
        <w:ind w:left="1134" w:right="567"/>
        <w:jc w:val="both"/>
        <w:rPr>
          <w:rFonts w:ascii="Gotham" w:hAnsi="Gotham" w:cstheme="minorHAnsi"/>
          <w:i/>
          <w:sz w:val="18"/>
          <w:szCs w:val="18"/>
        </w:rPr>
      </w:pPr>
    </w:p>
    <w:p w14:paraId="3A47391A"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Artículo 29. – La Dirección de Educación deberá proporcionar la información necesaria al área de comunicación social para efecto de que esta última difunda en las redes sociales oficiales del Ayuntamiento y de manera física en los establecimientos que se considere pertinente, de forma constante información dirigida a la sociedad con el objetivo de abonar a la prevención integral de la trata. </w:t>
      </w:r>
    </w:p>
    <w:p w14:paraId="3A47391B" w14:textId="77777777" w:rsidR="00016FE1" w:rsidRDefault="00016FE1" w:rsidP="002B6227">
      <w:pPr>
        <w:ind w:left="1134" w:right="567"/>
        <w:jc w:val="both"/>
        <w:rPr>
          <w:rFonts w:ascii="Gotham" w:hAnsi="Gotham" w:cstheme="minorHAnsi"/>
          <w:i/>
          <w:sz w:val="18"/>
          <w:szCs w:val="18"/>
        </w:rPr>
      </w:pPr>
    </w:p>
    <w:p w14:paraId="3A47391C" w14:textId="77777777" w:rsidR="00016FE1" w:rsidRDefault="00016FE1" w:rsidP="002B6227">
      <w:pPr>
        <w:ind w:left="1134" w:right="567"/>
        <w:jc w:val="both"/>
        <w:rPr>
          <w:rFonts w:ascii="Gotham" w:hAnsi="Gotham" w:cstheme="minorHAnsi"/>
          <w:i/>
          <w:sz w:val="18"/>
          <w:szCs w:val="18"/>
        </w:rPr>
      </w:pPr>
    </w:p>
    <w:p w14:paraId="3A47391D"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CAPÍTULO IV</w:t>
      </w:r>
    </w:p>
    <w:p w14:paraId="3A47391E"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DE LA ATENCIÓN DE VÍCTIMAS</w:t>
      </w:r>
    </w:p>
    <w:p w14:paraId="3A47391F" w14:textId="77777777" w:rsidR="00016FE1" w:rsidRDefault="00016FE1" w:rsidP="002B6227">
      <w:pPr>
        <w:ind w:left="1134" w:right="567"/>
        <w:jc w:val="center"/>
        <w:rPr>
          <w:rFonts w:ascii="Gotham" w:hAnsi="Gotham" w:cstheme="minorHAnsi"/>
          <w:i/>
          <w:sz w:val="18"/>
          <w:szCs w:val="18"/>
        </w:rPr>
      </w:pPr>
    </w:p>
    <w:p w14:paraId="3A473920"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30. – El sistema DIF Tonalá, garantizará en todo momento la atención psicológica y jurídica gratuita para aquellas personas que hayan sido víctimas directas o indirectas de los delitos relacionados a la trata de personas, para tal efecto solicitará al Presidente Municipal los insumos materiales, recursos humanos y financieros necesarios, asimismo deberá remitir al Presidente un programa de acciones estratégicas estableciendo metas, objetivos y MIR para la atención integral a víctimas a más tardar 30 días posteriores al inicio de la administración correspondiente. El programa deberá de ser tocado para su discusión y en su caso aprobación en el marco de la primera sesión ordinaria del Consejo.</w:t>
      </w:r>
    </w:p>
    <w:p w14:paraId="3A473921" w14:textId="77777777" w:rsidR="00016FE1" w:rsidRDefault="00016FE1" w:rsidP="002B6227">
      <w:pPr>
        <w:ind w:left="1134" w:right="567"/>
        <w:jc w:val="both"/>
        <w:rPr>
          <w:rFonts w:ascii="Gotham" w:hAnsi="Gotham" w:cstheme="minorHAnsi"/>
          <w:i/>
          <w:sz w:val="18"/>
          <w:szCs w:val="18"/>
        </w:rPr>
      </w:pPr>
    </w:p>
    <w:p w14:paraId="3A473922"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Artículo 31. – Para el cumplimiento de las disposiciones establecidas en el artículo anterior, el sistema DIF Tonalá podrá gestionar la suscripción de convenios de colaboración a título gratuito con instituciones gubernamentales de los tres órdenes de gobierno o con organismos no gubernamentales.</w:t>
      </w:r>
    </w:p>
    <w:p w14:paraId="3A473923" w14:textId="77777777" w:rsidR="00016FE1" w:rsidRDefault="00016FE1" w:rsidP="002B6227">
      <w:pPr>
        <w:ind w:left="1134" w:right="567"/>
        <w:jc w:val="both"/>
        <w:rPr>
          <w:rFonts w:ascii="Gotham" w:hAnsi="Gotham" w:cstheme="minorHAnsi"/>
          <w:i/>
          <w:sz w:val="18"/>
          <w:szCs w:val="18"/>
        </w:rPr>
      </w:pPr>
    </w:p>
    <w:p w14:paraId="3A473924" w14:textId="77777777" w:rsidR="00016FE1" w:rsidRDefault="00016FE1" w:rsidP="002B6227">
      <w:pPr>
        <w:ind w:left="1134" w:right="567"/>
        <w:jc w:val="both"/>
        <w:rPr>
          <w:rFonts w:ascii="Gotham" w:hAnsi="Gotham" w:cstheme="minorHAnsi"/>
          <w:i/>
          <w:sz w:val="18"/>
          <w:szCs w:val="18"/>
        </w:rPr>
      </w:pPr>
    </w:p>
    <w:p w14:paraId="3A473925" w14:textId="77777777" w:rsidR="00016FE1" w:rsidRDefault="00016FE1" w:rsidP="002B6227">
      <w:pPr>
        <w:ind w:left="1134" w:right="567"/>
        <w:jc w:val="center"/>
        <w:rPr>
          <w:rFonts w:ascii="Gotham" w:hAnsi="Gotham" w:cstheme="minorHAnsi"/>
          <w:i/>
          <w:sz w:val="18"/>
          <w:szCs w:val="18"/>
        </w:rPr>
      </w:pPr>
      <w:r>
        <w:rPr>
          <w:rFonts w:ascii="Gotham" w:hAnsi="Gotham" w:cstheme="minorHAnsi"/>
          <w:i/>
          <w:sz w:val="18"/>
          <w:szCs w:val="18"/>
        </w:rPr>
        <w:t>TRANSITORIOS</w:t>
      </w:r>
    </w:p>
    <w:p w14:paraId="3A473926" w14:textId="77777777" w:rsidR="00016FE1" w:rsidRDefault="00016FE1" w:rsidP="002B6227">
      <w:pPr>
        <w:ind w:left="1134" w:right="567"/>
        <w:jc w:val="center"/>
        <w:rPr>
          <w:rFonts w:ascii="Gotham" w:hAnsi="Gotham" w:cstheme="minorHAnsi"/>
          <w:i/>
          <w:sz w:val="18"/>
          <w:szCs w:val="18"/>
        </w:rPr>
      </w:pPr>
    </w:p>
    <w:p w14:paraId="3A473927"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lastRenderedPageBreak/>
        <w:t>Primero. - Se autoriza al Presidente Municipal, Secretaria General, Síndico y Tesorero para suscribir la documentación necesaria tendiente a dar cabal cumplimiento al presente ordenamiento.</w:t>
      </w:r>
    </w:p>
    <w:p w14:paraId="3A473928"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 </w:t>
      </w:r>
    </w:p>
    <w:p w14:paraId="3A473929"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Segundo. - El presente ordenamiento entrará en vigor al día siguiente de su publicación en la gaceta municipal “Tlahtolli”. </w:t>
      </w:r>
    </w:p>
    <w:p w14:paraId="3A47392A" w14:textId="77777777" w:rsidR="00016FE1" w:rsidRDefault="00016FE1" w:rsidP="002B6227">
      <w:pPr>
        <w:ind w:left="1134" w:right="567"/>
        <w:jc w:val="both"/>
        <w:rPr>
          <w:rFonts w:ascii="Gotham" w:hAnsi="Gotham" w:cstheme="minorHAnsi"/>
          <w:i/>
          <w:sz w:val="18"/>
          <w:szCs w:val="18"/>
        </w:rPr>
      </w:pPr>
    </w:p>
    <w:p w14:paraId="3A47392B"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Tercero. - Una vez publicado este ordenamiento remítase, mediante oficio, un tanto del mismo al Congreso del Estado de Jalisco, para el cumplimiento de los efectos ordenados en el artículo 42 fracción VII de la Ley del Gobierno y la Administración Pública Municipal del Estado de Jalisco.</w:t>
      </w:r>
    </w:p>
    <w:p w14:paraId="3A47392C" w14:textId="77777777" w:rsidR="00016FE1" w:rsidRDefault="00016FE1" w:rsidP="002B6227">
      <w:pPr>
        <w:ind w:left="1134" w:right="567"/>
        <w:jc w:val="both"/>
        <w:rPr>
          <w:rFonts w:ascii="Gotham" w:hAnsi="Gotham" w:cstheme="minorHAnsi"/>
          <w:i/>
          <w:sz w:val="18"/>
          <w:szCs w:val="18"/>
        </w:rPr>
      </w:pPr>
    </w:p>
    <w:p w14:paraId="3A47392D"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 xml:space="preserve">Cuarto. – Se instruye a la Tesorería Municipal para que, en el marco de la elaboración del proyecto de Ley de Ingresos para el ejercicio fiscal de 2023, se considere la institucionalización de las infracciones que se desprenden del presente ordenamiento. </w:t>
      </w:r>
    </w:p>
    <w:p w14:paraId="3A47392E" w14:textId="77777777" w:rsidR="00016FE1" w:rsidRDefault="00016FE1" w:rsidP="002B6227">
      <w:pPr>
        <w:ind w:left="1134" w:right="567"/>
        <w:jc w:val="both"/>
        <w:rPr>
          <w:rFonts w:ascii="Gotham" w:hAnsi="Gotham" w:cstheme="minorHAnsi"/>
          <w:i/>
          <w:sz w:val="18"/>
          <w:szCs w:val="18"/>
        </w:rPr>
      </w:pPr>
    </w:p>
    <w:p w14:paraId="3A47392F"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Quinto. – Se instruye a la Dirección de Recursos Materiales para efecto de que, con apego a las disposiciones normativas correspondientes, suministre los insumos necesarios para darle cabal cumplimiento al presente reglamento, para tal efecto las dependencias involucradas deberán efectuar las requisiciones correspondientes.</w:t>
      </w:r>
    </w:p>
    <w:p w14:paraId="3A473930" w14:textId="77777777" w:rsidR="00016FE1" w:rsidRDefault="00016FE1" w:rsidP="002B6227">
      <w:pPr>
        <w:ind w:left="1134" w:right="567"/>
        <w:jc w:val="both"/>
        <w:rPr>
          <w:rFonts w:ascii="Gotham" w:hAnsi="Gotham" w:cstheme="minorHAnsi"/>
          <w:i/>
          <w:sz w:val="18"/>
          <w:szCs w:val="18"/>
        </w:rPr>
      </w:pPr>
    </w:p>
    <w:p w14:paraId="3A473931"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Sexto. –</w:t>
      </w:r>
      <w:r w:rsidR="009F075D">
        <w:rPr>
          <w:rFonts w:ascii="Gotham" w:hAnsi="Gotham" w:cstheme="minorHAnsi"/>
          <w:i/>
          <w:sz w:val="18"/>
          <w:szCs w:val="18"/>
        </w:rPr>
        <w:t xml:space="preserve"> </w:t>
      </w:r>
      <w:r>
        <w:rPr>
          <w:rFonts w:ascii="Gotham" w:hAnsi="Gotham" w:cstheme="minorHAnsi"/>
          <w:i/>
          <w:sz w:val="18"/>
          <w:szCs w:val="18"/>
        </w:rPr>
        <w:t>Por única ocasión, el Consejo Técnico deberá de instalarse dentro de los 100 días posteriores a la aprobación del presente ordenamiento y preferentemente el 30 de julio de 2022 en el marco de la conmemoración del día mundial contra la trata de personas.</w:t>
      </w:r>
    </w:p>
    <w:p w14:paraId="3A473932" w14:textId="77777777" w:rsidR="00016FE1" w:rsidRDefault="00016FE1" w:rsidP="002B6227">
      <w:pPr>
        <w:ind w:left="1134" w:right="567"/>
        <w:jc w:val="both"/>
        <w:rPr>
          <w:rFonts w:ascii="Gotham" w:hAnsi="Gotham" w:cstheme="minorHAnsi"/>
          <w:i/>
          <w:sz w:val="18"/>
          <w:szCs w:val="18"/>
        </w:rPr>
      </w:pPr>
      <w:r>
        <w:rPr>
          <w:rFonts w:ascii="Gotham" w:hAnsi="Gotham" w:cstheme="minorHAnsi"/>
          <w:i/>
          <w:sz w:val="18"/>
          <w:szCs w:val="18"/>
        </w:rPr>
        <w:t>Es cuanto en esta primera iniciativa Presidente.</w:t>
      </w:r>
    </w:p>
    <w:p w14:paraId="3A473933" w14:textId="77777777" w:rsidR="00016FE1" w:rsidRDefault="00016FE1" w:rsidP="002B6227">
      <w:pPr>
        <w:ind w:left="708"/>
        <w:jc w:val="both"/>
        <w:rPr>
          <w:rFonts w:ascii="Gotham" w:hAnsi="Gotham" w:cstheme="minorHAnsi"/>
          <w:i/>
          <w:sz w:val="20"/>
          <w:szCs w:val="20"/>
        </w:rPr>
      </w:pPr>
    </w:p>
    <w:p w14:paraId="3A473934"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En uso de la voz el Presidente Municipal, Sergio Armando Chávez Dávalos, menciona que, muchas gracias Regidor; se propone su turno a la Comisión Edilicia de Reglamentos, Puntos Constitucionales, Administración y Planeación Legislativa, como convocante, y a la de Atención a la Juventud y Deporte, como coadyuvante, quienes estén por la afirmativa sírvanse manifestarlo levantando su mano; solicitando a la Secretaria General contabilice los votos y nos informe del resultado.</w:t>
      </w:r>
    </w:p>
    <w:p w14:paraId="3A473935" w14:textId="77777777" w:rsidR="00016FE1" w:rsidRDefault="00016FE1" w:rsidP="002B6227">
      <w:pPr>
        <w:ind w:left="851" w:right="283"/>
        <w:jc w:val="both"/>
        <w:rPr>
          <w:rFonts w:ascii="Gotham" w:hAnsi="Gotham" w:cstheme="minorHAnsi"/>
          <w:i/>
          <w:sz w:val="19"/>
          <w:szCs w:val="19"/>
        </w:rPr>
      </w:pPr>
    </w:p>
    <w:p w14:paraId="3A473936"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En uso de la voz informativa, la Secretaria General, Celia Isabel Gauna Ruíz de León, menciona que, como lo indica Presidente, le informo que se aprueba con un total de 18 votos a favor.</w:t>
      </w:r>
    </w:p>
    <w:p w14:paraId="3A473937" w14:textId="77777777" w:rsidR="00016FE1" w:rsidRDefault="00016FE1" w:rsidP="002B6227">
      <w:pPr>
        <w:jc w:val="both"/>
        <w:rPr>
          <w:rFonts w:ascii="Gotham" w:hAnsi="Gotham" w:cs="Arial"/>
          <w:sz w:val="20"/>
          <w:szCs w:val="20"/>
        </w:rPr>
      </w:pPr>
    </w:p>
    <w:p w14:paraId="3A473938" w14:textId="77777777" w:rsidR="00016FE1" w:rsidRDefault="00016FE1" w:rsidP="002B6227">
      <w:pPr>
        <w:jc w:val="both"/>
        <w:rPr>
          <w:rFonts w:ascii="Gotham" w:hAnsi="Gotham" w:cs="Arial"/>
          <w:sz w:val="20"/>
          <w:szCs w:val="20"/>
        </w:rPr>
      </w:pPr>
      <w:r>
        <w:rPr>
          <w:rFonts w:ascii="Gotham" w:hAnsi="Gotham" w:cs="Arial"/>
          <w:sz w:val="20"/>
          <w:szCs w:val="20"/>
        </w:rPr>
        <w:t>Una vez establecido lo anterior, la comisión dictaminadora realiza las siguientes:</w:t>
      </w:r>
    </w:p>
    <w:p w14:paraId="3A473939" w14:textId="77777777" w:rsidR="00016FE1" w:rsidRDefault="00016FE1" w:rsidP="002B6227">
      <w:pPr>
        <w:jc w:val="center"/>
        <w:rPr>
          <w:rFonts w:ascii="Gotham" w:hAnsi="Gotham" w:cs="Arial"/>
          <w:b/>
          <w:sz w:val="20"/>
          <w:szCs w:val="20"/>
        </w:rPr>
      </w:pPr>
    </w:p>
    <w:p w14:paraId="3A47393A" w14:textId="77777777" w:rsidR="00016FE1" w:rsidRDefault="00016FE1" w:rsidP="002B6227">
      <w:pPr>
        <w:jc w:val="center"/>
        <w:rPr>
          <w:rFonts w:ascii="Gotham" w:hAnsi="Gotham" w:cs="Arial"/>
          <w:sz w:val="20"/>
          <w:szCs w:val="20"/>
        </w:rPr>
      </w:pPr>
      <w:r>
        <w:rPr>
          <w:rFonts w:ascii="Gotham" w:hAnsi="Gotham" w:cs="Arial"/>
          <w:sz w:val="20"/>
          <w:szCs w:val="20"/>
        </w:rPr>
        <w:t>C O N S I D E R A C I O N E S</w:t>
      </w:r>
    </w:p>
    <w:p w14:paraId="3A47393B" w14:textId="77777777" w:rsidR="00016FE1" w:rsidRDefault="00016FE1" w:rsidP="002B6227">
      <w:pPr>
        <w:jc w:val="center"/>
        <w:rPr>
          <w:rFonts w:ascii="Gotham" w:hAnsi="Gotham" w:cs="Arial"/>
          <w:sz w:val="20"/>
          <w:szCs w:val="20"/>
        </w:rPr>
      </w:pPr>
    </w:p>
    <w:p w14:paraId="3A47393C" w14:textId="77777777" w:rsidR="00016FE1" w:rsidRDefault="00016FE1" w:rsidP="002B6227">
      <w:pPr>
        <w:ind w:left="567" w:hanging="567"/>
        <w:jc w:val="both"/>
        <w:rPr>
          <w:rFonts w:ascii="Gotham" w:hAnsi="Gotham" w:cs="Arial"/>
          <w:sz w:val="20"/>
          <w:szCs w:val="20"/>
          <w:lang w:eastAsia="es-MX"/>
        </w:rPr>
      </w:pPr>
      <w:r>
        <w:rPr>
          <w:rFonts w:ascii="Gotham" w:hAnsi="Gotham" w:cs="Arial"/>
          <w:sz w:val="20"/>
          <w:szCs w:val="20"/>
          <w:lang w:eastAsia="es-MX"/>
        </w:rPr>
        <w:t xml:space="preserve">I. </w:t>
      </w:r>
      <w:r>
        <w:rPr>
          <w:rFonts w:ascii="Gotham" w:hAnsi="Gotham" w:cs="Arial"/>
          <w:sz w:val="20"/>
          <w:szCs w:val="20"/>
          <w:lang w:eastAsia="es-MX"/>
        </w:rPr>
        <w:tab/>
        <w:t xml:space="preserve">La Constitución Política de los Estados Unidos Mexicanos, en su artículo 115, establece que: </w:t>
      </w:r>
    </w:p>
    <w:p w14:paraId="3A47393D" w14:textId="77777777" w:rsidR="00016FE1" w:rsidRDefault="00016FE1" w:rsidP="002B6227">
      <w:pPr>
        <w:ind w:left="567" w:hanging="567"/>
        <w:jc w:val="both"/>
        <w:rPr>
          <w:rFonts w:ascii="Gotham" w:hAnsi="Gotham" w:cs="Arial"/>
          <w:i/>
          <w:sz w:val="20"/>
          <w:szCs w:val="20"/>
          <w:lang w:eastAsia="es-MX"/>
        </w:rPr>
      </w:pPr>
    </w:p>
    <w:p w14:paraId="3A47393E" w14:textId="77777777" w:rsidR="00016FE1" w:rsidRDefault="00016FE1" w:rsidP="002B6227">
      <w:pPr>
        <w:ind w:left="851" w:right="283"/>
        <w:jc w:val="both"/>
        <w:rPr>
          <w:rFonts w:ascii="Gotham" w:eastAsia="Calibri" w:hAnsi="Gotham" w:cstheme="minorHAnsi"/>
          <w:i/>
          <w:sz w:val="19"/>
          <w:szCs w:val="19"/>
          <w:lang w:eastAsia="en-US"/>
        </w:rPr>
      </w:pPr>
      <w:r>
        <w:rPr>
          <w:rFonts w:ascii="Gotham" w:hAnsi="Gotham" w:cstheme="minorHAnsi"/>
          <w:i/>
          <w:sz w:val="19"/>
          <w:szCs w:val="19"/>
        </w:rPr>
        <w:t>“Los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3A47393F" w14:textId="77777777" w:rsidR="00016FE1" w:rsidRDefault="00016FE1" w:rsidP="002B6227">
      <w:pPr>
        <w:ind w:left="567" w:hanging="567"/>
        <w:jc w:val="both"/>
        <w:rPr>
          <w:rFonts w:ascii="Gotham" w:hAnsi="Gotham" w:cs="Arial"/>
          <w:sz w:val="20"/>
          <w:szCs w:val="20"/>
          <w:lang w:eastAsia="es-MX"/>
        </w:rPr>
      </w:pPr>
    </w:p>
    <w:p w14:paraId="3A473940" w14:textId="77777777" w:rsidR="00016FE1" w:rsidRDefault="00016FE1" w:rsidP="002B6227">
      <w:pPr>
        <w:autoSpaceDE w:val="0"/>
        <w:autoSpaceDN w:val="0"/>
        <w:adjustRightInd w:val="0"/>
        <w:ind w:left="567" w:hanging="567"/>
        <w:jc w:val="both"/>
        <w:rPr>
          <w:rFonts w:ascii="Gotham" w:eastAsia="Calibri" w:hAnsi="Gotham" w:cs="Arial"/>
          <w:sz w:val="20"/>
          <w:szCs w:val="20"/>
          <w:lang w:eastAsia="en-US"/>
        </w:rPr>
      </w:pPr>
      <w:r>
        <w:rPr>
          <w:rFonts w:ascii="Gotham" w:hAnsi="Gotham" w:cs="Arial"/>
          <w:sz w:val="20"/>
          <w:szCs w:val="20"/>
        </w:rPr>
        <w:t xml:space="preserve">II. </w:t>
      </w:r>
      <w:r>
        <w:rPr>
          <w:rFonts w:ascii="Gotham" w:hAnsi="Gotham" w:cs="Arial"/>
          <w:sz w:val="20"/>
          <w:szCs w:val="20"/>
        </w:rPr>
        <w:tab/>
        <w:t>En el marco de</w:t>
      </w:r>
      <w:r w:rsidR="009F075D">
        <w:rPr>
          <w:rFonts w:ascii="Gotham" w:hAnsi="Gotham" w:cs="Arial"/>
          <w:sz w:val="20"/>
          <w:szCs w:val="20"/>
        </w:rPr>
        <w:t xml:space="preserve"> </w:t>
      </w:r>
      <w:r>
        <w:rPr>
          <w:rFonts w:ascii="Gotham" w:hAnsi="Gotham" w:cs="Arial"/>
          <w:sz w:val="20"/>
          <w:szCs w:val="20"/>
        </w:rPr>
        <w:t xml:space="preserve">la Constitución Política del Estado de Jalisco, en su numeral 73, estipula que: </w:t>
      </w:r>
    </w:p>
    <w:p w14:paraId="3A473941" w14:textId="77777777" w:rsidR="00016FE1" w:rsidRDefault="00016FE1" w:rsidP="002B6227">
      <w:pPr>
        <w:autoSpaceDE w:val="0"/>
        <w:autoSpaceDN w:val="0"/>
        <w:adjustRightInd w:val="0"/>
        <w:ind w:left="567" w:hanging="567"/>
        <w:jc w:val="both"/>
        <w:rPr>
          <w:rFonts w:ascii="Gotham" w:hAnsi="Gotham" w:cs="Arial"/>
          <w:sz w:val="20"/>
          <w:szCs w:val="20"/>
        </w:rPr>
      </w:pPr>
    </w:p>
    <w:p w14:paraId="3A473942"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lastRenderedPageBreak/>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p>
    <w:p w14:paraId="3A473943" w14:textId="77777777" w:rsidR="00016FE1" w:rsidRDefault="00016FE1" w:rsidP="002B6227">
      <w:pPr>
        <w:autoSpaceDE w:val="0"/>
        <w:autoSpaceDN w:val="0"/>
        <w:adjustRightInd w:val="0"/>
        <w:ind w:left="567" w:hanging="567"/>
        <w:jc w:val="both"/>
        <w:rPr>
          <w:rFonts w:ascii="Gotham" w:hAnsi="Gotham" w:cs="Arial"/>
          <w:sz w:val="20"/>
          <w:szCs w:val="20"/>
        </w:rPr>
      </w:pPr>
    </w:p>
    <w:p w14:paraId="3A473944"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III. </w:t>
      </w:r>
      <w:r>
        <w:rPr>
          <w:rFonts w:ascii="Gotham" w:hAnsi="Gotham" w:cs="Arial"/>
          <w:sz w:val="20"/>
          <w:szCs w:val="20"/>
        </w:rPr>
        <w:tab/>
        <w:t xml:space="preserve">Se establece en la Ley del Gobierno y la Administración Pública Municipal del Estado de Jalisco, en su artículo 3, establece que: </w:t>
      </w:r>
    </w:p>
    <w:p w14:paraId="3A473945" w14:textId="77777777" w:rsidR="00016FE1" w:rsidRDefault="00016FE1" w:rsidP="002B6227">
      <w:pPr>
        <w:ind w:left="567" w:hanging="567"/>
        <w:jc w:val="both"/>
        <w:rPr>
          <w:rFonts w:ascii="Gotham" w:hAnsi="Gotham" w:cs="Arial"/>
          <w:sz w:val="20"/>
          <w:szCs w:val="20"/>
        </w:rPr>
      </w:pPr>
    </w:p>
    <w:p w14:paraId="3A473946"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 xml:space="preserve">“Cada Municipio es gobernado por un Ayuntamiento de elección popular directa. Las competencias municipales deben ser ejercidas de manera exclusiva por el Ayuntamiento y no habrá ninguna autoridad intermedia entre éste y el Gobierno del Estado...”. </w:t>
      </w:r>
    </w:p>
    <w:p w14:paraId="3A473947" w14:textId="77777777" w:rsidR="00016FE1" w:rsidRDefault="00016FE1" w:rsidP="002B6227">
      <w:pPr>
        <w:ind w:left="567"/>
        <w:jc w:val="both"/>
        <w:rPr>
          <w:rFonts w:ascii="Gotham" w:hAnsi="Gotham" w:cs="Arial"/>
          <w:snapToGrid w:val="0"/>
          <w:sz w:val="20"/>
          <w:szCs w:val="20"/>
        </w:rPr>
      </w:pPr>
    </w:p>
    <w:p w14:paraId="3A473948" w14:textId="77777777" w:rsidR="00016FE1" w:rsidRDefault="00016FE1" w:rsidP="002B6227">
      <w:pPr>
        <w:ind w:left="567"/>
        <w:jc w:val="both"/>
        <w:rPr>
          <w:rFonts w:ascii="Gotham" w:hAnsi="Gotham" w:cs="Arial"/>
          <w:sz w:val="20"/>
          <w:szCs w:val="20"/>
        </w:rPr>
      </w:pPr>
      <w:r>
        <w:rPr>
          <w:rFonts w:ascii="Gotham" w:hAnsi="Gotham" w:cs="Arial"/>
          <w:snapToGrid w:val="0"/>
          <w:sz w:val="20"/>
          <w:szCs w:val="20"/>
        </w:rPr>
        <w:t xml:space="preserve">Asimismo, </w:t>
      </w:r>
      <w:r>
        <w:rPr>
          <w:rFonts w:ascii="Gotham" w:hAnsi="Gotham" w:cs="Arial"/>
          <w:sz w:val="20"/>
          <w:szCs w:val="20"/>
        </w:rPr>
        <w:t xml:space="preserve">en su artículo 27, señala que: </w:t>
      </w:r>
    </w:p>
    <w:p w14:paraId="3A473949" w14:textId="77777777" w:rsidR="00016FE1" w:rsidRDefault="00016FE1" w:rsidP="002B6227">
      <w:pPr>
        <w:ind w:left="567"/>
        <w:jc w:val="both"/>
        <w:rPr>
          <w:rFonts w:ascii="Gotham" w:hAnsi="Gotham" w:cs="Arial"/>
          <w:sz w:val="20"/>
          <w:szCs w:val="20"/>
        </w:rPr>
      </w:pPr>
    </w:p>
    <w:p w14:paraId="3A47394A"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“Los Ayuntamientos, para el estudio, vigilancia y atención de los diversos asuntos que les corresponda conocer, deben funcionar mediante comisiones...”.</w:t>
      </w:r>
    </w:p>
    <w:p w14:paraId="3A47394B" w14:textId="77777777" w:rsidR="00016FE1" w:rsidRDefault="00016FE1" w:rsidP="002B6227">
      <w:pPr>
        <w:ind w:left="567" w:hanging="567"/>
        <w:jc w:val="both"/>
        <w:rPr>
          <w:rFonts w:ascii="Gotham" w:hAnsi="Gotham" w:cs="Arial"/>
          <w:snapToGrid w:val="0"/>
          <w:sz w:val="20"/>
          <w:szCs w:val="20"/>
        </w:rPr>
      </w:pPr>
    </w:p>
    <w:p w14:paraId="3A47394C"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IV. </w:t>
      </w:r>
      <w:r>
        <w:rPr>
          <w:rFonts w:ascii="Gotham" w:hAnsi="Gotham" w:cs="Arial"/>
          <w:sz w:val="20"/>
          <w:szCs w:val="20"/>
        </w:rPr>
        <w:tab/>
        <w:t xml:space="preserve">En el Reglamento del Gobierno y la Administración Pública del Ayuntamiento Constitucional de Tonalá, Jalisco, en su artículo 92, estipula que: </w:t>
      </w:r>
    </w:p>
    <w:p w14:paraId="3A47394D" w14:textId="77777777" w:rsidR="00016FE1" w:rsidRDefault="00016FE1" w:rsidP="002B6227">
      <w:pPr>
        <w:autoSpaceDE w:val="0"/>
        <w:autoSpaceDN w:val="0"/>
        <w:adjustRightInd w:val="0"/>
        <w:ind w:left="567" w:hanging="567"/>
        <w:jc w:val="both"/>
        <w:rPr>
          <w:rFonts w:ascii="Gotham" w:hAnsi="Gotham" w:cs="Arial"/>
          <w:sz w:val="20"/>
          <w:szCs w:val="20"/>
        </w:rPr>
      </w:pPr>
    </w:p>
    <w:p w14:paraId="3A47394E"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3A47394F" w14:textId="77777777" w:rsidR="00016FE1" w:rsidRDefault="00016FE1" w:rsidP="002B6227">
      <w:pPr>
        <w:ind w:left="567" w:hanging="567"/>
        <w:jc w:val="both"/>
        <w:rPr>
          <w:rFonts w:ascii="Gotham" w:hAnsi="Gotham" w:cs="Arial"/>
          <w:bCs/>
          <w:sz w:val="20"/>
          <w:szCs w:val="20"/>
        </w:rPr>
      </w:pPr>
    </w:p>
    <w:p w14:paraId="3A473950" w14:textId="77777777" w:rsidR="00016FE1" w:rsidRDefault="00016FE1" w:rsidP="002B6227">
      <w:pPr>
        <w:autoSpaceDE w:val="0"/>
        <w:autoSpaceDN w:val="0"/>
        <w:adjustRightInd w:val="0"/>
        <w:ind w:left="567" w:hanging="567"/>
        <w:jc w:val="both"/>
        <w:rPr>
          <w:rFonts w:ascii="Gotham" w:eastAsia="Calibri" w:hAnsi="Gotham" w:cs="Arial"/>
          <w:sz w:val="20"/>
          <w:szCs w:val="20"/>
          <w:lang w:val="es-MX" w:eastAsia="en-US"/>
        </w:rPr>
      </w:pPr>
      <w:r>
        <w:rPr>
          <w:rFonts w:ascii="Gotham" w:hAnsi="Gotham" w:cs="Arial"/>
          <w:sz w:val="20"/>
          <w:szCs w:val="20"/>
        </w:rPr>
        <w:t xml:space="preserve">V. </w:t>
      </w:r>
      <w:r>
        <w:rPr>
          <w:rFonts w:ascii="Gotham" w:hAnsi="Gotham" w:cs="Arial"/>
          <w:sz w:val="20"/>
          <w:szCs w:val="20"/>
        </w:rPr>
        <w:tab/>
        <w:t xml:space="preserve">Que el artículo 72 del anterior ordenamiento, establece que las Comisiones Edilicias, poseen, entre otras atribuciones, la facultad de: </w:t>
      </w:r>
    </w:p>
    <w:p w14:paraId="3A473951" w14:textId="77777777" w:rsidR="00016FE1" w:rsidRDefault="00016FE1" w:rsidP="002B6227">
      <w:pPr>
        <w:autoSpaceDE w:val="0"/>
        <w:autoSpaceDN w:val="0"/>
        <w:adjustRightInd w:val="0"/>
        <w:ind w:left="567" w:hanging="567"/>
        <w:jc w:val="both"/>
        <w:rPr>
          <w:rFonts w:ascii="Gotham" w:hAnsi="Gotham" w:cs="Arial"/>
          <w:sz w:val="20"/>
          <w:szCs w:val="20"/>
        </w:rPr>
      </w:pPr>
    </w:p>
    <w:p w14:paraId="3A473952"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“I. Recibir, estudiar, analizar, discutir y dictaminar los asuntos turnados por el ayuntamiento; II. Presentar al ayuntamiento los dictámenes e informes, resultados de sus trabajos e investigaciones y demás documentos relativos a los asuntos que les son turnados;….y IX. Las demás que en razón de la materia les corresponda por disposición legal o reglamentaria. Para que los dictámenes de las comisiones adquieran plena validez deberán ser aprobados por el ayuntamiento, salvo que se trate de acuerdos internos….”.</w:t>
      </w:r>
    </w:p>
    <w:p w14:paraId="3A473953" w14:textId="77777777" w:rsidR="00016FE1" w:rsidRDefault="00016FE1" w:rsidP="002B6227">
      <w:pPr>
        <w:autoSpaceDE w:val="0"/>
        <w:autoSpaceDN w:val="0"/>
        <w:adjustRightInd w:val="0"/>
        <w:ind w:left="567" w:hanging="567"/>
        <w:jc w:val="both"/>
        <w:rPr>
          <w:rFonts w:ascii="Gotham" w:hAnsi="Gotham" w:cs="Arial"/>
          <w:sz w:val="20"/>
          <w:szCs w:val="20"/>
        </w:rPr>
      </w:pPr>
    </w:p>
    <w:p w14:paraId="3A473954"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VI. </w:t>
      </w:r>
      <w:r>
        <w:rPr>
          <w:rFonts w:ascii="Gotham" w:hAnsi="Gotham" w:cs="Arial"/>
          <w:sz w:val="20"/>
          <w:szCs w:val="20"/>
        </w:rPr>
        <w:tab/>
        <w:t xml:space="preserve">Que en el artículo 100 del citado ordenamiento, establece que: </w:t>
      </w:r>
    </w:p>
    <w:p w14:paraId="3A473955" w14:textId="77777777" w:rsidR="00016FE1" w:rsidRDefault="00016FE1" w:rsidP="002B6227">
      <w:pPr>
        <w:autoSpaceDE w:val="0"/>
        <w:autoSpaceDN w:val="0"/>
        <w:adjustRightInd w:val="0"/>
        <w:ind w:left="567" w:hanging="567"/>
        <w:jc w:val="both"/>
        <w:rPr>
          <w:rFonts w:ascii="Gotham" w:hAnsi="Gotham" w:cs="Arial"/>
          <w:sz w:val="20"/>
          <w:szCs w:val="20"/>
        </w:rPr>
      </w:pPr>
    </w:p>
    <w:p w14:paraId="3A473956"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“Son atribuciones de la Comisión Edilicia de reglamentos, Puntos Constitucionales, Administración y Planeación Legislativa: "I. 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"III. Estudiar la estructura orgánica de la administración municipal, para efecto de proponer medios de mayor eficiencia y simplificación administrativa ante la población, en miras a obtener la mejor atención en la prestación de los servicios públicos..."</w:t>
      </w:r>
    </w:p>
    <w:p w14:paraId="3A473957" w14:textId="77777777" w:rsidR="00016FE1" w:rsidRDefault="00016FE1" w:rsidP="002B6227">
      <w:pPr>
        <w:autoSpaceDE w:val="0"/>
        <w:autoSpaceDN w:val="0"/>
        <w:adjustRightInd w:val="0"/>
        <w:ind w:left="567" w:hanging="567"/>
        <w:jc w:val="both"/>
        <w:rPr>
          <w:rFonts w:ascii="Gotham" w:hAnsi="Gotham" w:cs="Arial"/>
          <w:sz w:val="20"/>
          <w:szCs w:val="20"/>
        </w:rPr>
      </w:pPr>
    </w:p>
    <w:p w14:paraId="3A473958"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VII. </w:t>
      </w:r>
      <w:r>
        <w:rPr>
          <w:rFonts w:ascii="Gotham" w:hAnsi="Gotham" w:cs="Arial"/>
          <w:sz w:val="20"/>
          <w:szCs w:val="20"/>
        </w:rPr>
        <w:tab/>
        <w:t xml:space="preserve">De igual forma conforme al artículo 117 del multicitado ordenamiento, establece que: </w:t>
      </w:r>
    </w:p>
    <w:p w14:paraId="3A473959" w14:textId="77777777" w:rsidR="00016FE1" w:rsidRDefault="00016FE1" w:rsidP="002B6227">
      <w:pPr>
        <w:autoSpaceDE w:val="0"/>
        <w:autoSpaceDN w:val="0"/>
        <w:adjustRightInd w:val="0"/>
        <w:ind w:left="567" w:hanging="567"/>
        <w:jc w:val="both"/>
        <w:rPr>
          <w:rFonts w:ascii="Gotham" w:hAnsi="Gotham" w:cs="Arial"/>
          <w:sz w:val="20"/>
          <w:szCs w:val="20"/>
        </w:rPr>
      </w:pPr>
    </w:p>
    <w:p w14:paraId="3A47395A"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“Son atribuciones de la Comisión de Atención a la Juventud y el Deporte: “I. Proponer, analizar, estudiar y dictaminar las iniciativas concernientes a la juventud en el municipio”…</w:t>
      </w:r>
    </w:p>
    <w:p w14:paraId="3A47395B" w14:textId="77777777" w:rsidR="00016FE1" w:rsidRDefault="00016FE1" w:rsidP="002B6227">
      <w:pPr>
        <w:ind w:left="567"/>
        <w:jc w:val="both"/>
        <w:rPr>
          <w:rFonts w:ascii="Gotham" w:hAnsi="Gotham" w:cs="Arial"/>
          <w:snapToGrid w:val="0"/>
          <w:sz w:val="20"/>
          <w:szCs w:val="20"/>
        </w:rPr>
      </w:pPr>
    </w:p>
    <w:p w14:paraId="3A47395C" w14:textId="77777777" w:rsidR="00016FE1" w:rsidRDefault="00016FE1" w:rsidP="002B6227">
      <w:pPr>
        <w:ind w:left="567"/>
        <w:jc w:val="both"/>
        <w:rPr>
          <w:rFonts w:ascii="Gotham" w:hAnsi="Gotham" w:cs="Arial"/>
          <w:snapToGrid w:val="0"/>
          <w:sz w:val="20"/>
          <w:szCs w:val="20"/>
        </w:rPr>
      </w:pPr>
      <w:r>
        <w:rPr>
          <w:rFonts w:ascii="Gotham" w:hAnsi="Gotham" w:cs="Arial"/>
          <w:snapToGrid w:val="0"/>
          <w:sz w:val="20"/>
          <w:szCs w:val="20"/>
        </w:rPr>
        <w:t>Se manifiesta que las comisiones antes señalada cuenta con la capacidad para conocer, estudiar, analizar y dictaminar la iniciativa en objeto del presente dictamen que se estudia.</w:t>
      </w:r>
    </w:p>
    <w:p w14:paraId="3A47395D" w14:textId="77777777" w:rsidR="00016FE1" w:rsidRDefault="00016FE1" w:rsidP="002B6227">
      <w:pPr>
        <w:autoSpaceDE w:val="0"/>
        <w:autoSpaceDN w:val="0"/>
        <w:adjustRightInd w:val="0"/>
        <w:ind w:left="567" w:hanging="567"/>
        <w:jc w:val="both"/>
        <w:rPr>
          <w:rFonts w:ascii="Gotham" w:hAnsi="Gotham" w:cs="Arial"/>
          <w:sz w:val="20"/>
          <w:szCs w:val="20"/>
        </w:rPr>
      </w:pPr>
    </w:p>
    <w:p w14:paraId="3A47395E"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lastRenderedPageBreak/>
        <w:t xml:space="preserve">VII. </w:t>
      </w:r>
      <w:r>
        <w:rPr>
          <w:rFonts w:ascii="Gotham" w:hAnsi="Gotham" w:cs="Arial"/>
          <w:sz w:val="20"/>
          <w:szCs w:val="20"/>
        </w:rPr>
        <w:tab/>
        <w:t>Al respecto y en el caso concreto que nos ocupa la Constitución Política de los Estados Unidos Mexicanos es clara en señalar lo siguiente:</w:t>
      </w:r>
    </w:p>
    <w:p w14:paraId="3A47395F" w14:textId="77777777" w:rsidR="00016FE1" w:rsidRDefault="00016FE1" w:rsidP="002B6227">
      <w:pPr>
        <w:autoSpaceDE w:val="0"/>
        <w:autoSpaceDN w:val="0"/>
        <w:adjustRightInd w:val="0"/>
        <w:ind w:left="567" w:hanging="567"/>
        <w:jc w:val="both"/>
        <w:rPr>
          <w:rFonts w:ascii="Gotham" w:hAnsi="Gotham" w:cs="Arial"/>
          <w:sz w:val="20"/>
          <w:szCs w:val="20"/>
        </w:rPr>
      </w:pPr>
    </w:p>
    <w:p w14:paraId="3A473960"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 115.-Los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473961"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Los municipios estarán investidos de personalidad jurídica y manejarán su patrimonio conforme a la ley.</w:t>
      </w:r>
    </w:p>
    <w:p w14:paraId="3A473962"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3963" w14:textId="77777777" w:rsidR="00016FE1" w:rsidRDefault="00016FE1" w:rsidP="002B6227">
      <w:pPr>
        <w:autoSpaceDE w:val="0"/>
        <w:autoSpaceDN w:val="0"/>
        <w:adjustRightInd w:val="0"/>
        <w:ind w:left="567" w:hanging="567"/>
        <w:jc w:val="both"/>
        <w:rPr>
          <w:rFonts w:ascii="Gotham" w:hAnsi="Gotham" w:cs="Arial"/>
          <w:sz w:val="20"/>
          <w:szCs w:val="20"/>
        </w:rPr>
      </w:pPr>
    </w:p>
    <w:p w14:paraId="3A473964"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VIII. </w:t>
      </w:r>
      <w:r>
        <w:rPr>
          <w:rFonts w:ascii="Gotham" w:hAnsi="Gotham" w:cs="Arial"/>
          <w:sz w:val="20"/>
          <w:szCs w:val="20"/>
        </w:rPr>
        <w:tab/>
        <w:t>Conforme al orden jerárquico de la norma y en el caso concreto que nos ocupa la Constitución Política del Estado de Jalisco</w:t>
      </w:r>
      <w:r w:rsidR="009F075D">
        <w:rPr>
          <w:rFonts w:ascii="Gotham" w:hAnsi="Gotham" w:cs="Arial"/>
          <w:sz w:val="20"/>
          <w:szCs w:val="20"/>
        </w:rPr>
        <w:t xml:space="preserve"> </w:t>
      </w:r>
      <w:r>
        <w:rPr>
          <w:rFonts w:ascii="Gotham" w:hAnsi="Gotham" w:cs="Arial"/>
          <w:sz w:val="20"/>
          <w:szCs w:val="20"/>
        </w:rPr>
        <w:t xml:space="preserve">como señalar lo siguiente: </w:t>
      </w:r>
    </w:p>
    <w:p w14:paraId="3A473965" w14:textId="77777777" w:rsidR="00016FE1" w:rsidRDefault="00016FE1" w:rsidP="002B6227">
      <w:pPr>
        <w:autoSpaceDE w:val="0"/>
        <w:autoSpaceDN w:val="0"/>
        <w:adjustRightInd w:val="0"/>
        <w:ind w:left="567" w:hanging="567"/>
        <w:jc w:val="both"/>
        <w:rPr>
          <w:rFonts w:ascii="Gotham" w:hAnsi="Gotham" w:cs="Arial"/>
          <w:sz w:val="20"/>
          <w:szCs w:val="20"/>
        </w:rPr>
      </w:pPr>
    </w:p>
    <w:p w14:paraId="3A473966"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3A473967" w14:textId="77777777" w:rsidR="00016FE1" w:rsidRDefault="00016FE1" w:rsidP="002B6227">
      <w:pPr>
        <w:ind w:left="851" w:right="283"/>
        <w:jc w:val="both"/>
        <w:rPr>
          <w:rFonts w:ascii="Gotham" w:hAnsi="Gotham" w:cstheme="minorHAnsi"/>
          <w:i/>
          <w:sz w:val="19"/>
          <w:szCs w:val="19"/>
        </w:rPr>
      </w:pPr>
    </w:p>
    <w:p w14:paraId="3A473968"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 77.- Los ayuntamientos tendrán facultades para aprobar, de acuerdo con las leyes en materia municipal que expida el Congreso del Estado:</w:t>
      </w:r>
    </w:p>
    <w:p w14:paraId="3A473969"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Los bandos de policía y gobierno;</w:t>
      </w:r>
    </w:p>
    <w:p w14:paraId="3A47396A"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Los reglamentos, circulares y disposiciones administrativas de observancia general dentro de sus respectivas jurisdicciones, con el objeto de:</w:t>
      </w:r>
    </w:p>
    <w:p w14:paraId="3A47396B" w14:textId="77777777" w:rsidR="00016FE1" w:rsidRDefault="00016FE1" w:rsidP="002B6227">
      <w:pPr>
        <w:spacing w:after="120"/>
        <w:ind w:left="1701" w:right="283" w:hanging="425"/>
        <w:jc w:val="both"/>
        <w:rPr>
          <w:rFonts w:ascii="Gotham" w:hAnsi="Gotham" w:cstheme="minorHAnsi"/>
          <w:i/>
          <w:sz w:val="19"/>
          <w:szCs w:val="19"/>
        </w:rPr>
      </w:pPr>
      <w:r>
        <w:rPr>
          <w:rFonts w:ascii="Gotham" w:hAnsi="Gotham" w:cstheme="minorHAnsi"/>
          <w:i/>
          <w:sz w:val="19"/>
          <w:szCs w:val="19"/>
        </w:rPr>
        <w:t xml:space="preserve">a) </w:t>
      </w:r>
      <w:r>
        <w:rPr>
          <w:rFonts w:ascii="Gotham" w:hAnsi="Gotham" w:cstheme="minorHAnsi"/>
          <w:i/>
          <w:sz w:val="19"/>
          <w:szCs w:val="19"/>
        </w:rPr>
        <w:tab/>
        <w:t>Organizar la administración pública municipal;</w:t>
      </w:r>
    </w:p>
    <w:p w14:paraId="3A47396C" w14:textId="77777777" w:rsidR="00016FE1" w:rsidRDefault="00016FE1" w:rsidP="002B6227">
      <w:pPr>
        <w:ind w:left="1701" w:right="283" w:hanging="425"/>
        <w:jc w:val="both"/>
        <w:rPr>
          <w:rFonts w:ascii="Gotham" w:hAnsi="Gotham" w:cstheme="minorHAnsi"/>
          <w:i/>
          <w:sz w:val="19"/>
          <w:szCs w:val="19"/>
        </w:rPr>
      </w:pPr>
      <w:r>
        <w:rPr>
          <w:rFonts w:ascii="Gotham" w:hAnsi="Gotham" w:cstheme="minorHAnsi"/>
          <w:i/>
          <w:sz w:val="19"/>
          <w:szCs w:val="19"/>
        </w:rPr>
        <w:t xml:space="preserve">b) </w:t>
      </w:r>
      <w:r>
        <w:rPr>
          <w:rFonts w:ascii="Gotham" w:hAnsi="Gotham" w:cstheme="minorHAnsi"/>
          <w:i/>
          <w:sz w:val="19"/>
          <w:szCs w:val="19"/>
        </w:rPr>
        <w:tab/>
        <w:t>Regular las materias, procedimientos, funciones y servicios públicos de su competencia; y</w:t>
      </w:r>
    </w:p>
    <w:p w14:paraId="3A47396D" w14:textId="77777777" w:rsidR="00016FE1" w:rsidRDefault="00016FE1" w:rsidP="002B6227">
      <w:pPr>
        <w:autoSpaceDE w:val="0"/>
        <w:autoSpaceDN w:val="0"/>
        <w:adjustRightInd w:val="0"/>
        <w:ind w:left="567" w:hanging="567"/>
        <w:jc w:val="both"/>
        <w:rPr>
          <w:rFonts w:ascii="Gotham" w:hAnsi="Gotham" w:cs="Arial"/>
          <w:sz w:val="20"/>
          <w:szCs w:val="20"/>
        </w:rPr>
      </w:pPr>
    </w:p>
    <w:p w14:paraId="3A47396E"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IX. </w:t>
      </w:r>
      <w:r>
        <w:rPr>
          <w:rFonts w:ascii="Gotham" w:hAnsi="Gotham" w:cs="Arial"/>
          <w:sz w:val="20"/>
          <w:szCs w:val="20"/>
        </w:rPr>
        <w:tab/>
        <w:t xml:space="preserve">En lo que corresponde al funcionamiento de la Administración municipal, será normada mediante la Ley de Gobierno y la Administración Pública del Estado de Jalisco. </w:t>
      </w:r>
    </w:p>
    <w:p w14:paraId="3A47396F" w14:textId="77777777" w:rsidR="00016FE1" w:rsidRDefault="00016FE1" w:rsidP="002B6227">
      <w:pPr>
        <w:autoSpaceDE w:val="0"/>
        <w:autoSpaceDN w:val="0"/>
        <w:adjustRightInd w:val="0"/>
        <w:ind w:left="567" w:hanging="567"/>
        <w:jc w:val="both"/>
        <w:rPr>
          <w:rFonts w:ascii="Gotham" w:hAnsi="Gotham" w:cs="Arial"/>
          <w:sz w:val="20"/>
          <w:szCs w:val="20"/>
        </w:rPr>
      </w:pPr>
    </w:p>
    <w:p w14:paraId="3A473970"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Artículo 27. Los Ayuntamientos, para el estudio, vigilancia y atención de los diversos asuntos que les corresponda conocer, deben funcionar mediante comisiones.</w:t>
      </w:r>
    </w:p>
    <w:p w14:paraId="3A473971"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Los ediles deberán presidir por lo menos una comisión, además cada munícipe debe estar integrado por lo menos a tres comisiones, en los términos de la reglamentación respectiva.</w:t>
      </w:r>
    </w:p>
    <w:p w14:paraId="3A473972"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La denominación de las comisiones, sus características, obligaciones y facultades, deben ser establecidas en los reglamentos que para tal efecto expida el Ayuntamiento.</w:t>
      </w:r>
    </w:p>
    <w:p w14:paraId="3A473973"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Las comisiones pueden ser permanentes o transitorias, con integración colegiada para su funcionamiento y desempeño, integradas cuando menos por tres ediles y bajo ninguna circunstancia pueden tener facultades ejecutivas.</w:t>
      </w:r>
    </w:p>
    <w:p w14:paraId="3A473974" w14:textId="77777777" w:rsidR="00016FE1" w:rsidRDefault="00016FE1" w:rsidP="002B6227">
      <w:pPr>
        <w:ind w:left="851" w:right="283"/>
        <w:jc w:val="both"/>
        <w:rPr>
          <w:rFonts w:ascii="Gotham" w:hAnsi="Gotham" w:cstheme="minorHAnsi"/>
          <w:i/>
          <w:sz w:val="19"/>
          <w:szCs w:val="19"/>
        </w:rPr>
      </w:pPr>
    </w:p>
    <w:p w14:paraId="3A473975"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Artículo 37. Son obligaciones de los Ayuntamientos, las siguientes:</w:t>
      </w:r>
    </w:p>
    <w:p w14:paraId="3A473976"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977"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lastRenderedPageBreak/>
        <w:t xml:space="preserve">II. </w:t>
      </w:r>
      <w:r>
        <w:rPr>
          <w:rFonts w:ascii="Gotham" w:hAnsi="Gotham" w:cstheme="minorHAnsi"/>
          <w:i/>
          <w:sz w:val="19"/>
          <w:szCs w:val="19"/>
        </w:rPr>
        <w:tab/>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3A473978"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II a IX (...).</w:t>
      </w:r>
    </w:p>
    <w:p w14:paraId="3A473979"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X. </w:t>
      </w:r>
      <w:r>
        <w:rPr>
          <w:rFonts w:ascii="Gotham" w:hAnsi="Gotham" w:cstheme="minorHAnsi"/>
          <w:i/>
          <w:sz w:val="19"/>
          <w:szCs w:val="19"/>
        </w:rPr>
        <w:tab/>
        <w:t>Atender la seguridad en todo el Municipio y dictar las medidas tendientes a mantener la seguridad, la paz, el orden público, la preservación y garantía de los derechos humanos.</w:t>
      </w:r>
    </w:p>
    <w:p w14:paraId="3A47397A" w14:textId="77777777" w:rsidR="00016FE1" w:rsidRDefault="00016FE1" w:rsidP="002B6227">
      <w:pPr>
        <w:autoSpaceDE w:val="0"/>
        <w:autoSpaceDN w:val="0"/>
        <w:adjustRightInd w:val="0"/>
        <w:ind w:left="567" w:hanging="567"/>
        <w:jc w:val="both"/>
        <w:rPr>
          <w:rFonts w:ascii="Gotham" w:hAnsi="Gotham" w:cs="Arial"/>
          <w:sz w:val="20"/>
          <w:szCs w:val="20"/>
        </w:rPr>
      </w:pPr>
    </w:p>
    <w:p w14:paraId="3A47397B"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X. </w:t>
      </w:r>
      <w:r>
        <w:rPr>
          <w:rFonts w:ascii="Gotham" w:hAnsi="Gotham" w:cs="Arial"/>
          <w:sz w:val="20"/>
          <w:szCs w:val="20"/>
        </w:rPr>
        <w:tab/>
        <w:t>Conforme a la norma orgánica y administrativa que rige la vida interna del municipio se cuenta con Reglamento del Gobierno y la Administración Pública del Ayuntamiento Constitucional de Tonalá, Jalisco. Tiene la atribución de generar los instrumentos normativos conforme se señala a continuación:</w:t>
      </w:r>
    </w:p>
    <w:p w14:paraId="3A47397C" w14:textId="77777777" w:rsidR="00016FE1" w:rsidRDefault="00016FE1" w:rsidP="002B6227">
      <w:pPr>
        <w:autoSpaceDE w:val="0"/>
        <w:autoSpaceDN w:val="0"/>
        <w:adjustRightInd w:val="0"/>
        <w:ind w:left="567" w:hanging="567"/>
        <w:jc w:val="both"/>
        <w:rPr>
          <w:rFonts w:ascii="Gotham" w:hAnsi="Gotham" w:cs="Arial"/>
          <w:sz w:val="20"/>
          <w:szCs w:val="20"/>
        </w:rPr>
      </w:pPr>
    </w:p>
    <w:p w14:paraId="3A47397D"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Artículo 53.- Además de lo establecido en la legislación y normatividad aplicable, son facultades y obligaciones del Ayuntamiento, las siguientes:</w:t>
      </w:r>
    </w:p>
    <w:p w14:paraId="3A47397E"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97F"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Expedir los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de acuerdo con las leyes que en materia municipal expida el Congreso del Estado de Jalisco tomando en cuenta las previsiones establecidas en el artículo 6 del presente Reglamento, así como adoptar la normatividad que las instancias competentes emitan en materia de contabilidad gubernamental;</w:t>
      </w:r>
    </w:p>
    <w:p w14:paraId="3A473980" w14:textId="77777777" w:rsidR="00016FE1" w:rsidRDefault="00016FE1" w:rsidP="002B6227">
      <w:pPr>
        <w:ind w:left="851" w:right="283"/>
        <w:jc w:val="both"/>
        <w:rPr>
          <w:rFonts w:ascii="Gotham" w:hAnsi="Gotham" w:cstheme="minorHAnsi"/>
          <w:i/>
          <w:sz w:val="19"/>
          <w:szCs w:val="19"/>
        </w:rPr>
      </w:pPr>
    </w:p>
    <w:p w14:paraId="3A473981"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Artículo 55.- El Ayuntamiento tiene facultad para aprobar y expedir:</w:t>
      </w:r>
    </w:p>
    <w:p w14:paraId="3A473982"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w:t>
      </w:r>
    </w:p>
    <w:p w14:paraId="3A473983"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Los reglamentos, circulares y disposiciones administrativas de observancia general, dentro de la jurisdicción municipal, con el objeto de;</w:t>
      </w:r>
    </w:p>
    <w:p w14:paraId="3A473984" w14:textId="77777777" w:rsidR="00016FE1" w:rsidRDefault="00016FE1" w:rsidP="002B6227">
      <w:pPr>
        <w:spacing w:after="120"/>
        <w:ind w:left="1701" w:right="283" w:hanging="425"/>
        <w:jc w:val="both"/>
        <w:rPr>
          <w:rFonts w:ascii="Gotham" w:hAnsi="Gotham" w:cstheme="minorHAnsi"/>
          <w:i/>
          <w:sz w:val="19"/>
          <w:szCs w:val="19"/>
        </w:rPr>
      </w:pPr>
      <w:r>
        <w:rPr>
          <w:rFonts w:ascii="Gotham" w:hAnsi="Gotham" w:cstheme="minorHAnsi"/>
          <w:i/>
          <w:sz w:val="19"/>
          <w:szCs w:val="19"/>
        </w:rPr>
        <w:t xml:space="preserve">a) </w:t>
      </w:r>
      <w:r>
        <w:rPr>
          <w:rFonts w:ascii="Gotham" w:hAnsi="Gotham" w:cstheme="minorHAnsi"/>
          <w:i/>
          <w:sz w:val="19"/>
          <w:szCs w:val="19"/>
        </w:rPr>
        <w:tab/>
        <w:t>Organizar la Administración Pública Municipal;</w:t>
      </w:r>
    </w:p>
    <w:p w14:paraId="3A473985" w14:textId="77777777" w:rsidR="00016FE1" w:rsidRDefault="00016FE1" w:rsidP="002B6227">
      <w:pPr>
        <w:ind w:left="1701" w:right="283" w:hanging="425"/>
        <w:jc w:val="both"/>
        <w:rPr>
          <w:rFonts w:ascii="Gotham" w:hAnsi="Gotham" w:cstheme="minorHAnsi"/>
          <w:i/>
          <w:sz w:val="19"/>
          <w:szCs w:val="19"/>
        </w:rPr>
      </w:pPr>
      <w:r>
        <w:rPr>
          <w:rFonts w:ascii="Gotham" w:hAnsi="Gotham" w:cstheme="minorHAnsi"/>
          <w:i/>
          <w:sz w:val="19"/>
          <w:szCs w:val="19"/>
        </w:rPr>
        <w:t xml:space="preserve">b) </w:t>
      </w:r>
      <w:r>
        <w:rPr>
          <w:rFonts w:ascii="Gotham" w:hAnsi="Gotham" w:cstheme="minorHAnsi"/>
          <w:i/>
          <w:sz w:val="19"/>
          <w:szCs w:val="19"/>
        </w:rPr>
        <w:tab/>
        <w:t>Regular las materias, procedimientos, funciones y servicios públicos de su competencia;</w:t>
      </w:r>
    </w:p>
    <w:p w14:paraId="3A473986" w14:textId="77777777" w:rsidR="00016FE1" w:rsidRDefault="00016FE1" w:rsidP="002B6227">
      <w:pPr>
        <w:ind w:left="851" w:right="283"/>
        <w:jc w:val="both"/>
        <w:rPr>
          <w:rFonts w:ascii="Gotham" w:hAnsi="Gotham" w:cstheme="minorHAnsi"/>
          <w:i/>
          <w:sz w:val="19"/>
          <w:szCs w:val="19"/>
        </w:rPr>
      </w:pPr>
    </w:p>
    <w:p w14:paraId="3A473987"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Artículo 57.- Para la aprobación de los ordenamientos municipales, se deben observar los requisitos previstos en el ordenamiento municipal, expedido para tal efecto, cumpliendo con lo siguiente:</w:t>
      </w:r>
    </w:p>
    <w:p w14:paraId="3A473988"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VII.  </w:t>
      </w:r>
      <w:r>
        <w:rPr>
          <w:rFonts w:ascii="Gotham" w:hAnsi="Gotham" w:cstheme="minorHAnsi"/>
          <w:i/>
          <w:sz w:val="19"/>
          <w:szCs w:val="19"/>
        </w:rPr>
        <w:tab/>
        <w:t>El Ayuntamiento debe remitir, a través de la Secretaría General, una ejemplar de la Gaceta Municipal donde se publiquen los ordenamientos municipales y sus reformas al Congreso del Estado de Jalisco, para su compendio en la biblioteca del Poder Legislativo; y</w:t>
      </w:r>
    </w:p>
    <w:p w14:paraId="3A473989"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VIII. </w:t>
      </w:r>
      <w:r>
        <w:rPr>
          <w:rFonts w:ascii="Gotham" w:hAnsi="Gotham" w:cstheme="minorHAnsi"/>
          <w:i/>
          <w:sz w:val="19"/>
          <w:szCs w:val="19"/>
        </w:rPr>
        <w:tab/>
        <w:t>Se publicarán en el portal de internet del Gobierno Municipal versiones integradas de los ordenamientos municipales y sus reformas para fines de facilitar su consulta y difusión a la población en general, sin embargo, la versión oficial será aquella que aparezca publicada en la Gaceta Municipal.</w:t>
      </w:r>
    </w:p>
    <w:p w14:paraId="3A47398A" w14:textId="77777777" w:rsidR="00016FE1" w:rsidRDefault="00016FE1" w:rsidP="002B6227">
      <w:pPr>
        <w:autoSpaceDE w:val="0"/>
        <w:autoSpaceDN w:val="0"/>
        <w:adjustRightInd w:val="0"/>
        <w:ind w:left="567" w:hanging="567"/>
        <w:jc w:val="both"/>
        <w:rPr>
          <w:rFonts w:ascii="Gotham" w:hAnsi="Gotham" w:cs="Arial"/>
          <w:sz w:val="20"/>
          <w:szCs w:val="20"/>
        </w:rPr>
      </w:pPr>
    </w:p>
    <w:p w14:paraId="3A47398B" w14:textId="77777777" w:rsidR="00016FE1" w:rsidRDefault="00016FE1" w:rsidP="002B6227">
      <w:pPr>
        <w:autoSpaceDE w:val="0"/>
        <w:autoSpaceDN w:val="0"/>
        <w:adjustRightInd w:val="0"/>
        <w:ind w:left="567" w:hanging="567"/>
        <w:jc w:val="both"/>
        <w:rPr>
          <w:rFonts w:ascii="Gotham" w:hAnsi="Gotham" w:cs="Arial"/>
          <w:sz w:val="20"/>
          <w:szCs w:val="20"/>
        </w:rPr>
      </w:pPr>
      <w:r>
        <w:rPr>
          <w:rFonts w:ascii="Gotham" w:hAnsi="Gotham" w:cs="Arial"/>
          <w:sz w:val="20"/>
          <w:szCs w:val="20"/>
        </w:rPr>
        <w:t xml:space="preserve">XI. </w:t>
      </w:r>
      <w:r>
        <w:rPr>
          <w:rFonts w:ascii="Gotham" w:hAnsi="Gotham" w:cs="Arial"/>
          <w:sz w:val="20"/>
          <w:szCs w:val="20"/>
        </w:rPr>
        <w:tab/>
        <w:t>Conforme al proceso legislativo que deberán de seguir las comisiones edilicias del gobierno municipal se observa el proceso que contempla el Reglamento para el Funcionamiento Interno de Sesiones del Ayuntamiento Constitucional de Tonalá, Jalisco; conforme se señala a continuación:</w:t>
      </w:r>
    </w:p>
    <w:p w14:paraId="3A47398C" w14:textId="77777777" w:rsidR="00016FE1" w:rsidRDefault="00016FE1" w:rsidP="002B6227">
      <w:pPr>
        <w:autoSpaceDE w:val="0"/>
        <w:autoSpaceDN w:val="0"/>
        <w:adjustRightInd w:val="0"/>
        <w:ind w:left="567" w:hanging="567"/>
        <w:jc w:val="both"/>
        <w:rPr>
          <w:rFonts w:ascii="Gotham" w:hAnsi="Gotham" w:cs="Arial"/>
          <w:sz w:val="20"/>
          <w:szCs w:val="20"/>
        </w:rPr>
      </w:pPr>
    </w:p>
    <w:p w14:paraId="3A47398D"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Artículo 28. Se consideran dictámenes aquellas resoluciones que hayan sido aprobadas por los integrantes de la Comisión correspondiente y que sean dados a conocer al Pleno del Ayuntamiento para ser sometidos a votación.</w:t>
      </w:r>
    </w:p>
    <w:p w14:paraId="3A47398E"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Los dictámenes deben constar con un apartado de proemio, antecedentes, una parte considerativa y otra resolutiva.</w:t>
      </w:r>
    </w:p>
    <w:p w14:paraId="3A47398F"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 xml:space="preserve">La parte del </w:t>
      </w:r>
      <w:proofErr w:type="spellStart"/>
      <w:r>
        <w:rPr>
          <w:rFonts w:ascii="Gotham" w:hAnsi="Gotham" w:cstheme="minorHAnsi"/>
          <w:i/>
          <w:sz w:val="19"/>
          <w:szCs w:val="19"/>
        </w:rPr>
        <w:t>proemio</w:t>
      </w:r>
      <w:proofErr w:type="spellEnd"/>
      <w:r>
        <w:rPr>
          <w:rFonts w:ascii="Gotham" w:hAnsi="Gotham" w:cstheme="minorHAnsi"/>
          <w:i/>
          <w:sz w:val="19"/>
          <w:szCs w:val="19"/>
        </w:rPr>
        <w:t xml:space="preserve"> consiste en la exposición de los fundamentos jurídicos que motivan la dictaminación.</w:t>
      </w:r>
    </w:p>
    <w:p w14:paraId="3A473990"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La parte de antecedentes consiste en la narración de hechos o actos que incumben directamente en las iniciativas en estudio.</w:t>
      </w:r>
    </w:p>
    <w:p w14:paraId="3A473991"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La parte considerativa consiste en el estudio detallado de la iniciativa turnada, así como las conclusiones de la Comisión o Comisiones dictaminadoras, debiendo estar fundada y motivada.</w:t>
      </w:r>
    </w:p>
    <w:p w14:paraId="3A473992"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Cuando la naturaleza del asunto lo permita, pueden conjuntarse dos o más iniciativas en un mismo dictamen.</w:t>
      </w:r>
    </w:p>
    <w:p w14:paraId="3A473993" w14:textId="77777777" w:rsidR="00016FE1" w:rsidRDefault="00016FE1" w:rsidP="002B6227">
      <w:pPr>
        <w:ind w:left="851" w:right="283"/>
        <w:jc w:val="both"/>
        <w:rPr>
          <w:rFonts w:ascii="Gotham" w:hAnsi="Gotham" w:cstheme="minorHAnsi"/>
          <w:i/>
          <w:sz w:val="19"/>
          <w:szCs w:val="19"/>
        </w:rPr>
      </w:pPr>
    </w:p>
    <w:p w14:paraId="3A473994"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Artículo 42. El Ayuntamiento, para el estudio, vigilancia y atención de los diversos asuntos que le corresponde conocer, funcionará mediante Comisiones.</w:t>
      </w:r>
    </w:p>
    <w:p w14:paraId="3A473995" w14:textId="77777777" w:rsidR="00016FE1" w:rsidRDefault="00016FE1" w:rsidP="002B6227">
      <w:pPr>
        <w:ind w:left="851" w:right="283"/>
        <w:jc w:val="both"/>
        <w:rPr>
          <w:rFonts w:ascii="Gotham" w:hAnsi="Gotham" w:cstheme="minorHAnsi"/>
          <w:i/>
          <w:sz w:val="19"/>
          <w:szCs w:val="19"/>
        </w:rPr>
      </w:pPr>
    </w:p>
    <w:p w14:paraId="3A473996" w14:textId="77777777" w:rsidR="00016FE1" w:rsidRDefault="00016FE1" w:rsidP="002B6227">
      <w:pPr>
        <w:ind w:left="851" w:right="283"/>
        <w:jc w:val="both"/>
        <w:rPr>
          <w:rFonts w:ascii="Gotham" w:hAnsi="Gotham" w:cstheme="minorHAnsi"/>
          <w:i/>
          <w:sz w:val="19"/>
          <w:szCs w:val="19"/>
        </w:rPr>
      </w:pPr>
      <w:r>
        <w:rPr>
          <w:rFonts w:ascii="Gotham" w:hAnsi="Gotham" w:cstheme="minorHAnsi"/>
          <w:i/>
          <w:sz w:val="19"/>
          <w:szCs w:val="19"/>
        </w:rPr>
        <w:t>Artículo 43. La Comisión es el órgano colegiado del Ayuntamiento encargado de conocer, vigilar, analizar y dictaminar todos aquellos asuntos de interés general y de carácter público y el trámite de los asuntos que le sean turnados de acuerdo a su competencia.</w:t>
      </w:r>
    </w:p>
    <w:p w14:paraId="3A473997" w14:textId="77777777" w:rsidR="00016FE1" w:rsidRDefault="00016FE1" w:rsidP="002B6227">
      <w:pPr>
        <w:ind w:left="851" w:right="283"/>
        <w:jc w:val="both"/>
        <w:rPr>
          <w:rFonts w:ascii="Gotham" w:hAnsi="Gotham" w:cstheme="minorHAnsi"/>
          <w:i/>
          <w:sz w:val="19"/>
          <w:szCs w:val="19"/>
        </w:rPr>
      </w:pPr>
    </w:p>
    <w:p w14:paraId="3A473998" w14:textId="77777777" w:rsidR="00016FE1" w:rsidRDefault="00016FE1" w:rsidP="002B6227">
      <w:pPr>
        <w:spacing w:after="120"/>
        <w:ind w:left="851" w:right="283"/>
        <w:jc w:val="both"/>
        <w:rPr>
          <w:rFonts w:ascii="Gotham" w:hAnsi="Gotham" w:cstheme="minorHAnsi"/>
          <w:i/>
          <w:sz w:val="19"/>
          <w:szCs w:val="19"/>
        </w:rPr>
      </w:pPr>
      <w:r>
        <w:rPr>
          <w:rFonts w:ascii="Gotham" w:hAnsi="Gotham" w:cstheme="minorHAnsi"/>
          <w:i/>
          <w:sz w:val="19"/>
          <w:szCs w:val="19"/>
        </w:rPr>
        <w:t>Artículo 64. Las Comisiones tendrán las siguientes funciones:</w:t>
      </w:r>
    </w:p>
    <w:p w14:paraId="3A473999"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Realizar las actividades que deriven de la Ley, así como de los reglamentos municipales vigentes;</w:t>
      </w:r>
    </w:p>
    <w:p w14:paraId="3A47399A" w14:textId="77777777" w:rsidR="00016FE1" w:rsidRDefault="00016FE1" w:rsidP="002B6227">
      <w:pPr>
        <w:spacing w:after="120"/>
        <w:ind w:left="1276"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Atender los asuntos que le sean turnados por el Ayuntamiento, en relación a las materias de su competencia; y</w:t>
      </w:r>
    </w:p>
    <w:p w14:paraId="3A47399B" w14:textId="77777777" w:rsidR="00016FE1"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III. </w:t>
      </w:r>
      <w:r>
        <w:rPr>
          <w:rFonts w:ascii="Gotham" w:hAnsi="Gotham" w:cstheme="minorHAnsi"/>
          <w:i/>
          <w:sz w:val="19"/>
          <w:szCs w:val="19"/>
        </w:rPr>
        <w:tab/>
        <w:t>Presentar y dar cuenta al Ayuntamiento de la resolución de los asuntos que le sean turnados, cuando éste los requiera o de acuerdo a lo que establece la Ley.</w:t>
      </w:r>
    </w:p>
    <w:p w14:paraId="3A47399C" w14:textId="77777777" w:rsidR="00016FE1" w:rsidRDefault="00016FE1" w:rsidP="002B6227">
      <w:pPr>
        <w:rPr>
          <w:rFonts w:ascii="Gotham" w:hAnsi="Gotham"/>
          <w:sz w:val="20"/>
          <w:szCs w:val="20"/>
        </w:rPr>
      </w:pPr>
    </w:p>
    <w:p w14:paraId="3A47399D" w14:textId="77777777" w:rsidR="00016FE1" w:rsidRDefault="00016FE1" w:rsidP="002B6227">
      <w:pPr>
        <w:autoSpaceDE w:val="0"/>
        <w:autoSpaceDN w:val="0"/>
        <w:adjustRightInd w:val="0"/>
        <w:jc w:val="center"/>
        <w:rPr>
          <w:rFonts w:ascii="Gotham" w:hAnsi="Gotham" w:cs="Arial"/>
          <w:sz w:val="20"/>
          <w:szCs w:val="20"/>
        </w:rPr>
      </w:pPr>
      <w:r>
        <w:rPr>
          <w:rFonts w:ascii="Gotham" w:hAnsi="Gotham" w:cs="Arial"/>
          <w:sz w:val="20"/>
          <w:szCs w:val="20"/>
        </w:rPr>
        <w:t>C O N C L U S I O N E S</w:t>
      </w:r>
    </w:p>
    <w:p w14:paraId="3A47399E" w14:textId="77777777" w:rsidR="00016FE1" w:rsidRDefault="00016FE1" w:rsidP="002B6227">
      <w:pPr>
        <w:autoSpaceDE w:val="0"/>
        <w:autoSpaceDN w:val="0"/>
        <w:adjustRightInd w:val="0"/>
        <w:jc w:val="center"/>
        <w:rPr>
          <w:rFonts w:ascii="Gotham" w:hAnsi="Gotham" w:cs="Arial"/>
          <w:sz w:val="20"/>
          <w:szCs w:val="20"/>
        </w:rPr>
      </w:pPr>
    </w:p>
    <w:p w14:paraId="3A47399F" w14:textId="77777777" w:rsidR="00016FE1" w:rsidRDefault="00016FE1" w:rsidP="002B6227">
      <w:pPr>
        <w:jc w:val="both"/>
        <w:rPr>
          <w:rFonts w:ascii="Gotham" w:hAnsi="Gotham" w:cs="Arial"/>
          <w:sz w:val="20"/>
          <w:szCs w:val="20"/>
        </w:rPr>
      </w:pPr>
      <w:r>
        <w:rPr>
          <w:rFonts w:ascii="Gotham" w:hAnsi="Gotham" w:cs="Arial"/>
          <w:sz w:val="20"/>
          <w:szCs w:val="20"/>
        </w:rPr>
        <w:t>De lo expuesto en las consideraciones que integran el presente dictamen, se puede concluir que se tiene competencia para el estudio, análisis y dictaminación de la iniciativa, motivo que la comisión convocante se avoco al estudio técnico jurídico que se describe.</w:t>
      </w:r>
    </w:p>
    <w:p w14:paraId="3A4739A0" w14:textId="77777777" w:rsidR="00016FE1" w:rsidRDefault="00016FE1" w:rsidP="002B6227">
      <w:pPr>
        <w:jc w:val="both"/>
        <w:rPr>
          <w:rFonts w:ascii="Gotham" w:hAnsi="Gotham" w:cs="Arial"/>
          <w:sz w:val="20"/>
          <w:szCs w:val="20"/>
        </w:rPr>
      </w:pPr>
    </w:p>
    <w:p w14:paraId="3A4739A1"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A). </w:t>
      </w:r>
      <w:r>
        <w:rPr>
          <w:rFonts w:ascii="Gotham" w:hAnsi="Gotham" w:cs="Arial"/>
          <w:sz w:val="20"/>
          <w:szCs w:val="20"/>
        </w:rPr>
        <w:tab/>
        <w:t>La materia que señala en ponente de la iniciativa esta legislada mediante las siguientes Normas.</w:t>
      </w:r>
    </w:p>
    <w:p w14:paraId="3A4739A2" w14:textId="77777777" w:rsidR="00016FE1" w:rsidRDefault="00016FE1" w:rsidP="002B6227">
      <w:pPr>
        <w:jc w:val="both"/>
        <w:rPr>
          <w:rFonts w:ascii="Gotham" w:hAnsi="Gotham" w:cs="Arial"/>
          <w:sz w:val="20"/>
          <w:szCs w:val="20"/>
        </w:rPr>
      </w:pPr>
    </w:p>
    <w:p w14:paraId="3A4739A3" w14:textId="77777777" w:rsidR="00016FE1" w:rsidRDefault="00016FE1" w:rsidP="002B6227">
      <w:pPr>
        <w:ind w:left="993" w:hanging="426"/>
        <w:jc w:val="both"/>
        <w:rPr>
          <w:rFonts w:ascii="Gotham" w:hAnsi="Gotham" w:cs="Arial"/>
          <w:sz w:val="20"/>
          <w:szCs w:val="20"/>
          <w:lang w:val="es-MX"/>
        </w:rPr>
      </w:pPr>
      <w:r>
        <w:rPr>
          <w:rFonts w:ascii="Gotham" w:hAnsi="Gotham" w:cs="Arial"/>
          <w:sz w:val="20"/>
          <w:szCs w:val="20"/>
        </w:rPr>
        <w:t xml:space="preserve">1. </w:t>
      </w:r>
      <w:r>
        <w:rPr>
          <w:rFonts w:ascii="Gotham" w:hAnsi="Gotham" w:cs="Arial"/>
          <w:sz w:val="20"/>
          <w:szCs w:val="20"/>
        </w:rPr>
        <w:tab/>
        <w:t>En materia Federal se cuenta con la Ley General para Prevenir, Sancionar y Erradicar Los Delitos en Materia de Trata de Personas y para la Protección y Asistencia a Las Víctimas de Estos Delitos.</w:t>
      </w:r>
    </w:p>
    <w:p w14:paraId="3A4739A4" w14:textId="77777777" w:rsidR="00016FE1" w:rsidRDefault="00016FE1" w:rsidP="002B6227">
      <w:pPr>
        <w:ind w:left="993" w:hanging="426"/>
        <w:jc w:val="both"/>
        <w:rPr>
          <w:rFonts w:ascii="Gotham" w:hAnsi="Gotham" w:cs="Arial"/>
          <w:sz w:val="20"/>
          <w:szCs w:val="20"/>
        </w:rPr>
      </w:pPr>
    </w:p>
    <w:p w14:paraId="3A4739A5" w14:textId="77777777" w:rsidR="00016FE1" w:rsidRDefault="00016FE1" w:rsidP="002B6227">
      <w:pPr>
        <w:ind w:left="993"/>
        <w:jc w:val="both"/>
        <w:rPr>
          <w:rFonts w:ascii="Gotham" w:hAnsi="Gotham" w:cs="Arial"/>
          <w:sz w:val="20"/>
          <w:szCs w:val="20"/>
        </w:rPr>
      </w:pPr>
      <w:r>
        <w:rPr>
          <w:rFonts w:ascii="Gotham" w:hAnsi="Gotham" w:cs="Arial"/>
          <w:sz w:val="20"/>
          <w:szCs w:val="20"/>
        </w:rPr>
        <w:t xml:space="preserve">Cabe señalar que esta norma de carácter general fue creada en el mes de junio de 2012, la cual </w:t>
      </w:r>
      <w:r w:rsidRPr="00263B7D">
        <w:rPr>
          <w:rFonts w:ascii="Gotham" w:hAnsi="Gotham" w:cs="Arial"/>
          <w:sz w:val="20"/>
          <w:szCs w:val="20"/>
        </w:rPr>
        <w:t>ha sido</w:t>
      </w:r>
      <w:r>
        <w:rPr>
          <w:rFonts w:ascii="Gotham" w:hAnsi="Gotham" w:cs="Arial"/>
          <w:sz w:val="20"/>
          <w:szCs w:val="20"/>
        </w:rPr>
        <w:t xml:space="preserve"> reformada en su cuerpo legal con la finalidad de perfeccionar los procesos, su última reforma </w:t>
      </w:r>
      <w:r w:rsidRPr="00263B7D">
        <w:rPr>
          <w:rFonts w:ascii="Gotham" w:hAnsi="Gotham" w:cs="Arial"/>
          <w:sz w:val="20"/>
          <w:szCs w:val="20"/>
        </w:rPr>
        <w:t>que</w:t>
      </w:r>
      <w:r>
        <w:rPr>
          <w:rFonts w:ascii="Gotham" w:hAnsi="Gotham" w:cs="Arial"/>
          <w:sz w:val="20"/>
          <w:szCs w:val="20"/>
        </w:rPr>
        <w:t xml:space="preserve"> se tiene es del 5 de abril del 2023.</w:t>
      </w:r>
    </w:p>
    <w:p w14:paraId="3A4739A6" w14:textId="77777777" w:rsidR="00016FE1" w:rsidRDefault="00016FE1" w:rsidP="002B6227">
      <w:pPr>
        <w:ind w:left="993" w:hanging="426"/>
        <w:jc w:val="both"/>
        <w:rPr>
          <w:rFonts w:ascii="Gotham" w:hAnsi="Gotham" w:cs="Arial"/>
          <w:sz w:val="20"/>
          <w:szCs w:val="20"/>
        </w:rPr>
      </w:pPr>
    </w:p>
    <w:p w14:paraId="3A4739A7" w14:textId="77777777" w:rsidR="00016FE1" w:rsidRDefault="00016FE1" w:rsidP="002B6227">
      <w:pPr>
        <w:ind w:left="993"/>
        <w:jc w:val="both"/>
        <w:rPr>
          <w:rFonts w:ascii="Gotham" w:hAnsi="Gotham" w:cs="Arial"/>
          <w:sz w:val="20"/>
          <w:szCs w:val="20"/>
        </w:rPr>
      </w:pPr>
      <w:r>
        <w:rPr>
          <w:rFonts w:ascii="Gotham" w:hAnsi="Gotham" w:cs="Arial"/>
          <w:sz w:val="20"/>
          <w:szCs w:val="20"/>
        </w:rPr>
        <w:lastRenderedPageBreak/>
        <w:t>En el caso que nos ocupa, por la exposición de motivos que se deprende de la iniciativa en estudio debemos prever que a norma federal contiene dentro de articulado los siguientes dispositivos de control.</w:t>
      </w:r>
    </w:p>
    <w:p w14:paraId="3A4739A8" w14:textId="77777777" w:rsidR="00016FE1" w:rsidRDefault="00016FE1" w:rsidP="002B6227">
      <w:pPr>
        <w:jc w:val="both"/>
        <w:rPr>
          <w:rFonts w:ascii="Gotham" w:hAnsi="Gotham" w:cs="Arial"/>
          <w:sz w:val="20"/>
          <w:szCs w:val="20"/>
        </w:rPr>
      </w:pPr>
    </w:p>
    <w:p w14:paraId="3A4739A9" w14:textId="77777777" w:rsidR="00016FE1" w:rsidRDefault="00016FE1" w:rsidP="002B6227">
      <w:pPr>
        <w:ind w:left="1276" w:right="283"/>
        <w:jc w:val="both"/>
        <w:rPr>
          <w:rFonts w:ascii="Gotham" w:eastAsia="Calibri" w:hAnsi="Gotham" w:cstheme="minorHAnsi"/>
          <w:i/>
          <w:sz w:val="19"/>
          <w:szCs w:val="19"/>
          <w:lang w:eastAsia="en-US"/>
        </w:rPr>
      </w:pPr>
      <w:r>
        <w:rPr>
          <w:rFonts w:ascii="Gotham" w:hAnsi="Gotham" w:cstheme="minorHAnsi"/>
          <w:i/>
          <w:sz w:val="19"/>
          <w:szCs w:val="19"/>
        </w:rPr>
        <w:t>Artículo 6o. La Federación, las entidades federativas, los municipios y las demarcaciones territoriales de la Ciudad de México, estarán obligados a coordinarse, en el ámbito de sus competencias, y en función de las facultades exclusivas y concurrentes previstas en esta Ley, con el objeto de generar prevención general, especial y social, en los términos y reglas establecidas en la Ley General del Sistema Nacional de Seguridad Pública y la presente Ley.</w:t>
      </w:r>
    </w:p>
    <w:p w14:paraId="3A4739AA" w14:textId="77777777" w:rsidR="00016FE1" w:rsidRDefault="00016FE1" w:rsidP="002B6227">
      <w:pPr>
        <w:ind w:left="1276" w:right="283"/>
        <w:jc w:val="both"/>
        <w:rPr>
          <w:rFonts w:ascii="Gotham" w:hAnsi="Gotham" w:cstheme="minorHAnsi"/>
          <w:i/>
          <w:sz w:val="19"/>
          <w:szCs w:val="19"/>
        </w:rPr>
      </w:pPr>
    </w:p>
    <w:p w14:paraId="3A4739AB" w14:textId="77777777" w:rsidR="00016FE1" w:rsidRDefault="00016FE1" w:rsidP="002B6227">
      <w:pPr>
        <w:spacing w:after="120"/>
        <w:ind w:left="1276" w:right="283"/>
        <w:jc w:val="both"/>
        <w:rPr>
          <w:rFonts w:ascii="Gotham" w:hAnsi="Gotham" w:cstheme="minorHAnsi"/>
          <w:i/>
          <w:sz w:val="19"/>
          <w:szCs w:val="19"/>
        </w:rPr>
      </w:pPr>
      <w:r>
        <w:rPr>
          <w:rFonts w:ascii="Gotham" w:hAnsi="Gotham" w:cstheme="minorHAnsi"/>
          <w:i/>
          <w:sz w:val="19"/>
          <w:szCs w:val="19"/>
        </w:rPr>
        <w:t>Artículo 116. Adicionalmente a las atribuciones exclusivas de los gobiernos Federal, las entidades federativas, los municipios y las demarcaciones territoriales de la Ciudad de México, les corresponde de manera concurrente las atribuciones siguientes:</w:t>
      </w:r>
    </w:p>
    <w:p w14:paraId="3A4739AC" w14:textId="77777777" w:rsidR="00016FE1" w:rsidRDefault="00016FE1" w:rsidP="002B6227">
      <w:pPr>
        <w:spacing w:after="120"/>
        <w:ind w:left="1701"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Editar y producir materiales de difusión para la prevención de los delitos previstos en esta Ley en todas sus formas y modalidades;</w:t>
      </w:r>
    </w:p>
    <w:p w14:paraId="3A4739AD" w14:textId="77777777" w:rsidR="00016FE1" w:rsidRDefault="00016FE1" w:rsidP="002B6227">
      <w:pPr>
        <w:spacing w:after="120"/>
        <w:ind w:left="1701"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Promover la investigación de los delitos previstos en esta Ley, en todas sus manifestaciones y modalidades, para que los resultados sirvan de base para el desarrollo de nuevas políticas y programas para su prevención y combate, así como para desarrollar nuevas medidas de atención, protección y asistencia a las víctimas;</w:t>
      </w:r>
    </w:p>
    <w:p w14:paraId="3A4739AE" w14:textId="77777777" w:rsidR="00016FE1" w:rsidRDefault="00016FE1" w:rsidP="002B6227">
      <w:pPr>
        <w:spacing w:after="120"/>
        <w:ind w:left="1701" w:right="283" w:hanging="425"/>
        <w:jc w:val="both"/>
        <w:rPr>
          <w:rFonts w:ascii="Gotham" w:hAnsi="Gotham" w:cstheme="minorHAnsi"/>
          <w:i/>
          <w:sz w:val="19"/>
          <w:szCs w:val="19"/>
        </w:rPr>
      </w:pPr>
      <w:r>
        <w:rPr>
          <w:rFonts w:ascii="Gotham" w:hAnsi="Gotham" w:cstheme="minorHAnsi"/>
          <w:i/>
          <w:sz w:val="19"/>
          <w:szCs w:val="19"/>
        </w:rPr>
        <w:t xml:space="preserve">III. </w:t>
      </w:r>
      <w:r>
        <w:rPr>
          <w:rFonts w:ascii="Gotham" w:hAnsi="Gotham" w:cstheme="minorHAnsi"/>
          <w:i/>
          <w:sz w:val="19"/>
          <w:szCs w:val="19"/>
        </w:rPr>
        <w:tab/>
        <w:t>Fomentar y difundir actividades de conocimiento y prevención de los delitos previstos en esta Ley en todas sus formas y manifestaciones;</w:t>
      </w:r>
    </w:p>
    <w:p w14:paraId="3A4739AF" w14:textId="77777777" w:rsidR="00016FE1" w:rsidRDefault="00016FE1" w:rsidP="002B6227">
      <w:pPr>
        <w:ind w:left="1701" w:right="283" w:hanging="425"/>
        <w:jc w:val="both"/>
        <w:rPr>
          <w:rFonts w:ascii="Gotham" w:hAnsi="Gotham" w:cstheme="minorHAnsi"/>
          <w:i/>
          <w:sz w:val="19"/>
          <w:szCs w:val="19"/>
        </w:rPr>
      </w:pPr>
      <w:r>
        <w:rPr>
          <w:rFonts w:ascii="Gotham" w:hAnsi="Gotham" w:cstheme="minorHAnsi"/>
          <w:i/>
          <w:sz w:val="19"/>
          <w:szCs w:val="19"/>
        </w:rPr>
        <w:t xml:space="preserve">IV. </w:t>
      </w:r>
      <w:r>
        <w:rPr>
          <w:rFonts w:ascii="Gotham" w:hAnsi="Gotham" w:cstheme="minorHAnsi"/>
          <w:i/>
          <w:sz w:val="19"/>
          <w:szCs w:val="19"/>
        </w:rPr>
        <w:tab/>
        <w:t>Impulsar y fortalecer en sus tareas a las instituciones y organizaciones privadas que prestan atención a las víctimas y posibles víctimas, ofendidos y testigos de los delitos contenidos en la presente Ley y en su prevención;</w:t>
      </w:r>
    </w:p>
    <w:p w14:paraId="3A4739B0" w14:textId="77777777" w:rsidR="00016FE1" w:rsidRDefault="00016FE1" w:rsidP="002B6227">
      <w:pPr>
        <w:ind w:left="993" w:hanging="426"/>
        <w:jc w:val="both"/>
        <w:rPr>
          <w:rFonts w:ascii="Gotham" w:hAnsi="Gotham" w:cs="Arial"/>
          <w:sz w:val="20"/>
          <w:szCs w:val="20"/>
        </w:rPr>
      </w:pPr>
    </w:p>
    <w:p w14:paraId="3A4739B1" w14:textId="77777777" w:rsidR="00016FE1" w:rsidRDefault="00016FE1" w:rsidP="002B6227">
      <w:pPr>
        <w:ind w:left="993" w:hanging="426"/>
        <w:jc w:val="both"/>
        <w:rPr>
          <w:rFonts w:ascii="Gotham" w:hAnsi="Gotham" w:cs="Arial"/>
          <w:sz w:val="20"/>
          <w:szCs w:val="20"/>
        </w:rPr>
      </w:pPr>
      <w:r>
        <w:rPr>
          <w:rFonts w:ascii="Gotham" w:hAnsi="Gotham" w:cs="Arial"/>
          <w:sz w:val="20"/>
          <w:szCs w:val="20"/>
        </w:rPr>
        <w:t xml:space="preserve">2.- </w:t>
      </w:r>
      <w:r>
        <w:rPr>
          <w:rFonts w:ascii="Gotham" w:hAnsi="Gotham" w:cs="Arial"/>
          <w:sz w:val="20"/>
          <w:szCs w:val="20"/>
        </w:rPr>
        <w:tab/>
        <w:t>En el caso del Estado de Jalisco cuenta con una legislación armonizada a la norma federal que esta lleva el nombre de Ley Estatal para Prevenir, Combatir y Erradicar La Trata de Personas en El Estado de Jalisco; dicha norma prevé en los siguientes artículos lo expuesto en la iniciativa.</w:t>
      </w:r>
    </w:p>
    <w:p w14:paraId="3A4739B2" w14:textId="77777777" w:rsidR="00016FE1" w:rsidRDefault="00016FE1" w:rsidP="002B6227">
      <w:pPr>
        <w:ind w:left="993" w:hanging="426"/>
        <w:jc w:val="both"/>
        <w:rPr>
          <w:rFonts w:ascii="Gotham" w:hAnsi="Gotham" w:cs="Arial"/>
          <w:sz w:val="20"/>
          <w:szCs w:val="20"/>
        </w:rPr>
      </w:pPr>
    </w:p>
    <w:p w14:paraId="3A4739B3" w14:textId="77777777" w:rsidR="00016FE1" w:rsidRDefault="00016FE1" w:rsidP="002B6227">
      <w:pPr>
        <w:ind w:left="1276" w:right="283"/>
        <w:jc w:val="both"/>
        <w:rPr>
          <w:rFonts w:ascii="Gotham" w:eastAsia="Calibri" w:hAnsi="Gotham" w:cstheme="minorHAnsi"/>
          <w:i/>
          <w:sz w:val="19"/>
          <w:szCs w:val="19"/>
          <w:lang w:eastAsia="en-US"/>
        </w:rPr>
      </w:pPr>
      <w:r>
        <w:rPr>
          <w:rFonts w:ascii="Gotham" w:hAnsi="Gotham" w:cstheme="minorHAnsi"/>
          <w:i/>
          <w:sz w:val="19"/>
          <w:szCs w:val="19"/>
        </w:rPr>
        <w:t>Artículo 3. El Estado de Jalisco y sus municipios en el ámbito de sus respectivas competencias, velarán por el cumplimiento de la presente Ley en coordinación con la Federación.</w:t>
      </w:r>
    </w:p>
    <w:p w14:paraId="3A4739B4" w14:textId="77777777" w:rsidR="00016FE1" w:rsidRDefault="00016FE1" w:rsidP="002B6227">
      <w:pPr>
        <w:ind w:left="1276" w:right="283"/>
        <w:jc w:val="both"/>
        <w:rPr>
          <w:rFonts w:ascii="Gotham" w:hAnsi="Gotham" w:cstheme="minorHAnsi"/>
          <w:i/>
          <w:sz w:val="19"/>
          <w:szCs w:val="19"/>
        </w:rPr>
      </w:pPr>
    </w:p>
    <w:p w14:paraId="3A4739B5" w14:textId="77777777" w:rsidR="00016FE1" w:rsidRDefault="00016FE1" w:rsidP="002B6227">
      <w:pPr>
        <w:ind w:left="1276" w:right="283"/>
        <w:jc w:val="both"/>
        <w:rPr>
          <w:rFonts w:ascii="Gotham" w:hAnsi="Gotham" w:cstheme="minorHAnsi"/>
          <w:i/>
          <w:sz w:val="19"/>
          <w:szCs w:val="19"/>
        </w:rPr>
      </w:pPr>
      <w:r>
        <w:rPr>
          <w:rFonts w:ascii="Gotham" w:hAnsi="Gotham" w:cstheme="minorHAnsi"/>
          <w:i/>
          <w:sz w:val="19"/>
          <w:szCs w:val="19"/>
        </w:rPr>
        <w:t>Artículo 8. La Comisión se coordinará con los gobiernos municipales para el eficaz cumplimiento de los fines de la ley y podrá proponerles su inclusión en las actividades que así se requiera.</w:t>
      </w:r>
    </w:p>
    <w:p w14:paraId="3A4739B6" w14:textId="77777777" w:rsidR="00016FE1" w:rsidRDefault="00016FE1" w:rsidP="002B6227">
      <w:pPr>
        <w:ind w:left="1276" w:right="283"/>
        <w:jc w:val="both"/>
        <w:rPr>
          <w:rFonts w:ascii="Gotham" w:hAnsi="Gotham" w:cstheme="minorHAnsi"/>
          <w:i/>
          <w:sz w:val="19"/>
          <w:szCs w:val="19"/>
        </w:rPr>
      </w:pPr>
    </w:p>
    <w:p w14:paraId="3A4739B7" w14:textId="77777777" w:rsidR="00016FE1" w:rsidRDefault="00016FE1" w:rsidP="002B6227">
      <w:pPr>
        <w:ind w:left="1276" w:right="283"/>
        <w:jc w:val="both"/>
        <w:rPr>
          <w:rFonts w:ascii="Gotham" w:hAnsi="Gotham" w:cstheme="minorHAnsi"/>
          <w:i/>
          <w:sz w:val="19"/>
          <w:szCs w:val="19"/>
        </w:rPr>
      </w:pPr>
      <w:r>
        <w:rPr>
          <w:rFonts w:ascii="Gotham" w:hAnsi="Gotham" w:cstheme="minorHAnsi"/>
          <w:i/>
          <w:sz w:val="19"/>
          <w:szCs w:val="19"/>
        </w:rPr>
        <w:t>Los municipios establecerán los objetivos y estrategias tendientes a la prevención de los delitos de trata de personas, así como la protección, atención, el apoyo y la asistencia a las víctimas, ofendidos y testigos de trata de personas, en sus planes y programas de desarrollo municipales así como en los programas de trabajo, mediante disposiciones reglamentarias.</w:t>
      </w:r>
    </w:p>
    <w:p w14:paraId="3A4739B8" w14:textId="77777777" w:rsidR="00016FE1" w:rsidRDefault="00016FE1" w:rsidP="002B6227">
      <w:pPr>
        <w:ind w:left="1276" w:right="283"/>
        <w:jc w:val="both"/>
        <w:rPr>
          <w:rFonts w:ascii="Gotham" w:hAnsi="Gotham" w:cstheme="minorHAnsi"/>
          <w:i/>
          <w:sz w:val="19"/>
          <w:szCs w:val="19"/>
        </w:rPr>
      </w:pPr>
    </w:p>
    <w:p w14:paraId="3A4739B9" w14:textId="77777777" w:rsidR="00016FE1" w:rsidRDefault="00016FE1" w:rsidP="002B6227">
      <w:pPr>
        <w:ind w:left="1276" w:right="283"/>
        <w:jc w:val="both"/>
        <w:rPr>
          <w:rFonts w:ascii="Gotham" w:hAnsi="Gotham" w:cstheme="minorHAnsi"/>
          <w:i/>
          <w:sz w:val="19"/>
          <w:szCs w:val="19"/>
        </w:rPr>
      </w:pPr>
    </w:p>
    <w:p w14:paraId="3A4739BA" w14:textId="77777777" w:rsidR="00016FE1" w:rsidRDefault="00016FE1" w:rsidP="002B6227">
      <w:pPr>
        <w:ind w:left="1276" w:right="283"/>
        <w:jc w:val="center"/>
        <w:rPr>
          <w:rFonts w:ascii="Gotham" w:hAnsi="Gotham" w:cstheme="minorHAnsi"/>
          <w:i/>
          <w:sz w:val="19"/>
          <w:szCs w:val="19"/>
        </w:rPr>
      </w:pPr>
      <w:r>
        <w:rPr>
          <w:rFonts w:ascii="Gotham" w:hAnsi="Gotham" w:cstheme="minorHAnsi"/>
          <w:i/>
          <w:sz w:val="19"/>
          <w:szCs w:val="19"/>
        </w:rPr>
        <w:t>CAPÍTULO IV</w:t>
      </w:r>
    </w:p>
    <w:p w14:paraId="3A4739BB" w14:textId="77777777" w:rsidR="00016FE1" w:rsidRDefault="00016FE1" w:rsidP="002B6227">
      <w:pPr>
        <w:ind w:left="1276" w:right="283"/>
        <w:jc w:val="center"/>
        <w:rPr>
          <w:rFonts w:ascii="Gotham" w:hAnsi="Gotham" w:cstheme="minorHAnsi"/>
          <w:i/>
          <w:sz w:val="19"/>
          <w:szCs w:val="19"/>
        </w:rPr>
      </w:pPr>
      <w:r>
        <w:rPr>
          <w:rFonts w:ascii="Gotham" w:hAnsi="Gotham" w:cstheme="minorHAnsi"/>
          <w:i/>
          <w:sz w:val="19"/>
          <w:szCs w:val="19"/>
        </w:rPr>
        <w:t>DEL PROGRAMA ESTATAL PARA PREVENIR, COMBATIR Y ERRADICAR LA TRATA DE PERSONAS</w:t>
      </w:r>
    </w:p>
    <w:p w14:paraId="3A4739BC" w14:textId="77777777" w:rsidR="00016FE1" w:rsidRDefault="00016FE1" w:rsidP="002B6227">
      <w:pPr>
        <w:ind w:left="1276" w:right="283"/>
        <w:jc w:val="both"/>
        <w:rPr>
          <w:rFonts w:ascii="Gotham" w:hAnsi="Gotham" w:cstheme="minorHAnsi"/>
          <w:i/>
          <w:sz w:val="19"/>
          <w:szCs w:val="19"/>
        </w:rPr>
      </w:pPr>
    </w:p>
    <w:p w14:paraId="3A4739BD" w14:textId="77777777" w:rsidR="00016FE1" w:rsidRDefault="00016FE1" w:rsidP="002B6227">
      <w:pPr>
        <w:ind w:left="1276" w:right="283"/>
        <w:jc w:val="both"/>
        <w:rPr>
          <w:rFonts w:ascii="Gotham" w:hAnsi="Gotham" w:cstheme="minorHAnsi"/>
          <w:i/>
          <w:sz w:val="19"/>
          <w:szCs w:val="19"/>
        </w:rPr>
      </w:pPr>
      <w:r>
        <w:rPr>
          <w:rFonts w:ascii="Gotham" w:hAnsi="Gotham" w:cstheme="minorHAnsi"/>
          <w:i/>
          <w:sz w:val="19"/>
          <w:szCs w:val="19"/>
        </w:rPr>
        <w:t xml:space="preserve">Artículo 23. El Programa Estatal constituye el instrumento rector en materia de trata de personas; el cual deberá incluir políticas públicas de prevención, persecución y combate al </w:t>
      </w:r>
      <w:r>
        <w:rPr>
          <w:rFonts w:ascii="Gotham" w:hAnsi="Gotham" w:cstheme="minorHAnsi"/>
          <w:i/>
          <w:sz w:val="19"/>
          <w:szCs w:val="19"/>
        </w:rPr>
        <w:lastRenderedPageBreak/>
        <w:t>delito de trata de personas; así como de protección, asistencia y atención a las víctimas, ofendidos y testigos del delito de trata de personas.</w:t>
      </w:r>
    </w:p>
    <w:p w14:paraId="3A4739BE" w14:textId="77777777" w:rsidR="00016FE1" w:rsidRDefault="00016FE1" w:rsidP="002B6227">
      <w:pPr>
        <w:jc w:val="both"/>
        <w:rPr>
          <w:rFonts w:ascii="Gotham" w:hAnsi="Gotham" w:cs="Arial"/>
          <w:sz w:val="20"/>
          <w:szCs w:val="20"/>
        </w:rPr>
      </w:pPr>
    </w:p>
    <w:p w14:paraId="3A4739BF"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B) </w:t>
      </w:r>
      <w:r>
        <w:rPr>
          <w:rFonts w:ascii="Gotham" w:hAnsi="Gotham" w:cs="Arial"/>
          <w:sz w:val="20"/>
          <w:szCs w:val="20"/>
        </w:rPr>
        <w:tab/>
        <w:t>La Comisión convocante en estudio realizó la solicitud de opinión técnica de congruencia y competencia de la propuesta de creación del reglamento que se desprende de la propuesta de la iniciativa, a la Dirección General en Delitos de Violencia Contra las Mujeres en Razón de Género y Trata de Personas, la cual depende de la Fiscalía del Estado de Jalisco, con el Oficio Sindicatura/NML/2265/2023, la cual fue atendida mediante el Oficio FE/DGVMRGTP/12352/2023 suscrito por Mtro. Jorge Baltazar Pardo Ramírez. Mediante el cual hace las siguientes observaciones.</w:t>
      </w:r>
    </w:p>
    <w:p w14:paraId="3A4739C0" w14:textId="77777777" w:rsidR="00016FE1" w:rsidRDefault="00016FE1" w:rsidP="002B6227">
      <w:pPr>
        <w:jc w:val="both"/>
        <w:rPr>
          <w:rFonts w:ascii="Gotham" w:hAnsi="Gotham" w:cs="Arial"/>
          <w:sz w:val="20"/>
          <w:szCs w:val="20"/>
        </w:rPr>
      </w:pPr>
    </w:p>
    <w:p w14:paraId="3A4739C1" w14:textId="77777777" w:rsidR="00016FE1" w:rsidRDefault="00016FE1" w:rsidP="002B6227">
      <w:pPr>
        <w:jc w:val="right"/>
        <w:rPr>
          <w:rFonts w:ascii="Gotham" w:hAnsi="Gotham" w:cs="Arial"/>
          <w:sz w:val="20"/>
          <w:szCs w:val="20"/>
        </w:rPr>
      </w:pPr>
      <w:r>
        <w:rPr>
          <w:rFonts w:ascii="Gotham" w:hAnsi="Gotham" w:cs="Arial"/>
          <w:noProof/>
          <w:sz w:val="20"/>
          <w:szCs w:val="20"/>
          <w:lang w:val="es-MX" w:eastAsia="es-MX"/>
        </w:rPr>
        <w:drawing>
          <wp:inline distT="0" distB="0" distL="0" distR="0" wp14:anchorId="3A476892" wp14:editId="3A476893">
            <wp:extent cx="6017895" cy="3083560"/>
            <wp:effectExtent l="0" t="0" r="190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grayscl/>
                      <a:extLst>
                        <a:ext uri="{28A0092B-C50C-407E-A947-70E740481C1C}">
                          <a14:useLocalDpi xmlns:a14="http://schemas.microsoft.com/office/drawing/2010/main" val="0"/>
                        </a:ext>
                      </a:extLst>
                    </a:blip>
                    <a:srcRect l="-1108" t="1303" r="1086"/>
                    <a:stretch>
                      <a:fillRect/>
                    </a:stretch>
                  </pic:blipFill>
                  <pic:spPr bwMode="auto">
                    <a:xfrm>
                      <a:off x="0" y="0"/>
                      <a:ext cx="6017895" cy="3083560"/>
                    </a:xfrm>
                    <a:prstGeom prst="rect">
                      <a:avLst/>
                    </a:prstGeom>
                    <a:noFill/>
                    <a:ln>
                      <a:noFill/>
                    </a:ln>
                  </pic:spPr>
                </pic:pic>
              </a:graphicData>
            </a:graphic>
          </wp:inline>
        </w:drawing>
      </w:r>
    </w:p>
    <w:p w14:paraId="3A4739C2" w14:textId="77777777" w:rsidR="00016FE1" w:rsidRDefault="00016FE1" w:rsidP="002B6227">
      <w:pPr>
        <w:jc w:val="both"/>
        <w:rPr>
          <w:rFonts w:ascii="Gotham" w:hAnsi="Gotham" w:cs="Arial"/>
          <w:sz w:val="20"/>
          <w:szCs w:val="20"/>
        </w:rPr>
      </w:pPr>
    </w:p>
    <w:p w14:paraId="3A4739C3" w14:textId="77777777" w:rsidR="00016FE1" w:rsidRDefault="00016FE1" w:rsidP="002B6227">
      <w:pPr>
        <w:ind w:left="567" w:hanging="567"/>
        <w:jc w:val="both"/>
        <w:rPr>
          <w:rFonts w:ascii="Gotham" w:hAnsi="Gotham" w:cs="Arial"/>
          <w:sz w:val="20"/>
          <w:szCs w:val="20"/>
        </w:rPr>
      </w:pPr>
      <w:r>
        <w:rPr>
          <w:rFonts w:ascii="Gotham" w:hAnsi="Gotham" w:cs="Arial"/>
          <w:sz w:val="20"/>
          <w:szCs w:val="20"/>
        </w:rPr>
        <w:t xml:space="preserve">C). </w:t>
      </w:r>
      <w:r>
        <w:rPr>
          <w:rFonts w:ascii="Gotham" w:hAnsi="Gotham" w:cs="Arial"/>
          <w:sz w:val="20"/>
          <w:szCs w:val="20"/>
        </w:rPr>
        <w:tab/>
        <w:t>La Autoridad Municipal en conjunto con las acciones realizadas por los integrantes del Pleno del Ayuntamiento; han realizado acciones tendientes a fortalecer las medidas contra prácticas que den lugar a los delitos de trata de personas en el municipio.</w:t>
      </w:r>
    </w:p>
    <w:p w14:paraId="3A4739C4" w14:textId="77777777" w:rsidR="00016FE1" w:rsidRDefault="00016FE1" w:rsidP="002B6227">
      <w:pPr>
        <w:ind w:left="567" w:hanging="567"/>
        <w:jc w:val="both"/>
        <w:rPr>
          <w:rFonts w:ascii="Gotham" w:hAnsi="Gotham" w:cs="Arial"/>
          <w:sz w:val="20"/>
          <w:szCs w:val="20"/>
        </w:rPr>
      </w:pPr>
    </w:p>
    <w:p w14:paraId="3A4739C5" w14:textId="77777777" w:rsidR="00016FE1" w:rsidRDefault="00016FE1" w:rsidP="002B6227">
      <w:pPr>
        <w:ind w:left="993" w:hanging="426"/>
        <w:jc w:val="both"/>
        <w:rPr>
          <w:rFonts w:ascii="Gotham" w:hAnsi="Gotham" w:cs="Arial"/>
          <w:sz w:val="20"/>
          <w:szCs w:val="20"/>
        </w:rPr>
      </w:pPr>
      <w:r>
        <w:rPr>
          <w:rFonts w:ascii="Gotham" w:hAnsi="Gotham" w:cs="Arial"/>
          <w:sz w:val="20"/>
          <w:szCs w:val="20"/>
        </w:rPr>
        <w:t xml:space="preserve">1. </w:t>
      </w:r>
      <w:r>
        <w:rPr>
          <w:rFonts w:ascii="Gotham" w:hAnsi="Gotham" w:cs="Arial"/>
          <w:sz w:val="20"/>
          <w:szCs w:val="20"/>
        </w:rPr>
        <w:tab/>
        <w:t>Cabe señalar que mediante Acuerdo Municipal 155 aprobado en Sesión Ordinaria del Pleno del Ayuntamiento de fecha 24 de febrero del 2022, fue presentado el dictamen emitido por las comisiones edilicias de</w:t>
      </w:r>
      <w:r w:rsidR="007C2F8D">
        <w:rPr>
          <w:rFonts w:ascii="Gotham" w:hAnsi="Gotham" w:cs="Arial"/>
          <w:sz w:val="20"/>
          <w:szCs w:val="20"/>
        </w:rPr>
        <w:t xml:space="preserve"> </w:t>
      </w:r>
      <w:r>
        <w:rPr>
          <w:rFonts w:ascii="Gotham" w:hAnsi="Gotham" w:cs="Arial"/>
          <w:sz w:val="20"/>
          <w:szCs w:val="20"/>
        </w:rPr>
        <w:t>Hacienda Municipal y Presupuestos; de Reglamentos, Puntos Constitucionales, Administración y Planeación Legislativa; de Seguridad y Prevención Ciudadana; y de Atención a la Juventud y Deporte. Mediante el cual se realizó el estudio análisis y reforma al el Reglamento de Comercio para el Municipio de Tonalá, adicionando el artículo 25bis que a la letra dice:</w:t>
      </w:r>
    </w:p>
    <w:p w14:paraId="3A4739C6" w14:textId="77777777" w:rsidR="00016FE1" w:rsidRDefault="00016FE1" w:rsidP="002B6227">
      <w:pPr>
        <w:jc w:val="both"/>
        <w:rPr>
          <w:rFonts w:ascii="Gotham" w:hAnsi="Gotham" w:cs="Arial"/>
          <w:sz w:val="20"/>
          <w:szCs w:val="20"/>
        </w:rPr>
      </w:pPr>
    </w:p>
    <w:p w14:paraId="3A4739C7" w14:textId="77777777" w:rsidR="00016FE1" w:rsidRDefault="00016FE1" w:rsidP="002B6227">
      <w:pPr>
        <w:spacing w:after="120"/>
        <w:ind w:left="1276" w:right="283"/>
        <w:jc w:val="both"/>
        <w:rPr>
          <w:rFonts w:ascii="Gotham" w:eastAsia="Calibri" w:hAnsi="Gotham" w:cstheme="minorHAnsi"/>
          <w:i/>
          <w:sz w:val="19"/>
          <w:szCs w:val="19"/>
          <w:lang w:val="es-MX" w:eastAsia="en-US"/>
        </w:rPr>
      </w:pPr>
      <w:r>
        <w:rPr>
          <w:rFonts w:ascii="Gotham" w:hAnsi="Gotham" w:cstheme="minorHAnsi"/>
          <w:i/>
          <w:sz w:val="19"/>
          <w:szCs w:val="19"/>
        </w:rPr>
        <w:t xml:space="preserve">Artículo 25 Bis. – Para el trámite de refrendo o en su caso expedición de licencias de los giros comerciales denominados cabaretes, centros nocturnos, cantinas, discotecas, centros botaneros, sala de masajes, salones de juegos de mesa para adultos, hoteles, moteles y bares sea como giro principal o como anexo, así como aquellos giros comerciales que desarrollen actividades comerciales análogas a los señalados, además de los otros </w:t>
      </w:r>
      <w:r>
        <w:rPr>
          <w:rFonts w:ascii="Gotham" w:hAnsi="Gotham" w:cstheme="minorHAnsi"/>
          <w:i/>
          <w:sz w:val="19"/>
          <w:szCs w:val="19"/>
        </w:rPr>
        <w:lastRenderedPageBreak/>
        <w:t>requisitos instituidos en el presente reglamento y en la normatividad aplicable, deberán cumplimentar lo siguiente:</w:t>
      </w:r>
    </w:p>
    <w:p w14:paraId="3A4739C8" w14:textId="77777777" w:rsidR="00016FE1" w:rsidRDefault="00016FE1" w:rsidP="002B6227">
      <w:pPr>
        <w:spacing w:after="120"/>
        <w:ind w:left="1701" w:right="283" w:hanging="425"/>
        <w:jc w:val="both"/>
        <w:rPr>
          <w:rFonts w:ascii="Gotham" w:hAnsi="Gotham" w:cstheme="minorHAnsi"/>
          <w:i/>
          <w:sz w:val="19"/>
          <w:szCs w:val="19"/>
        </w:rPr>
      </w:pPr>
      <w:r>
        <w:rPr>
          <w:rFonts w:ascii="Gotham" w:hAnsi="Gotham" w:cstheme="minorHAnsi"/>
          <w:i/>
          <w:sz w:val="19"/>
          <w:szCs w:val="19"/>
        </w:rPr>
        <w:t xml:space="preserve">I. </w:t>
      </w:r>
      <w:r>
        <w:rPr>
          <w:rFonts w:ascii="Gotham" w:hAnsi="Gotham" w:cstheme="minorHAnsi"/>
          <w:i/>
          <w:sz w:val="19"/>
          <w:szCs w:val="19"/>
        </w:rPr>
        <w:tab/>
        <w:t>El titular del establecimiento deberá suscribir el decálogo que para tal efecto proporcione la Dirección de Padrón y Licencias del que se desprenda el compromiso formal a no solapar ni realizar actos tendientes a la práctica de delitos relacionados con la trata de personas;</w:t>
      </w:r>
    </w:p>
    <w:p w14:paraId="3A4739C9" w14:textId="77777777" w:rsidR="00016FE1" w:rsidRDefault="00016FE1" w:rsidP="002B6227">
      <w:pPr>
        <w:spacing w:after="120"/>
        <w:ind w:left="1701" w:right="283" w:hanging="425"/>
        <w:jc w:val="both"/>
        <w:rPr>
          <w:rFonts w:ascii="Gotham" w:hAnsi="Gotham" w:cstheme="minorHAnsi"/>
          <w:i/>
          <w:sz w:val="19"/>
          <w:szCs w:val="19"/>
        </w:rPr>
      </w:pPr>
      <w:r>
        <w:rPr>
          <w:rFonts w:ascii="Gotham" w:hAnsi="Gotham" w:cstheme="minorHAnsi"/>
          <w:i/>
          <w:sz w:val="19"/>
          <w:szCs w:val="19"/>
        </w:rPr>
        <w:t xml:space="preserve">II. </w:t>
      </w:r>
      <w:r>
        <w:rPr>
          <w:rFonts w:ascii="Gotham" w:hAnsi="Gotham" w:cstheme="minorHAnsi"/>
          <w:i/>
          <w:sz w:val="19"/>
          <w:szCs w:val="19"/>
        </w:rPr>
        <w:tab/>
        <w:t>Poner a la vista del público del establecimiento, un letrero con medidas mínimas de 30 centímetros en dimensión vertical por 40 centímetros en dimensión horizontal por cada 50 personas de aforo en el que se señale de forma literal la leyenda “Este establecimiento se encuentra libre de trata de personas, cualquier denuncia se puede llevar a cabo de manera anónima al 089 ante la fiscalía general del Estado”, escrito que deberá ser replicado de forma visible en la carta menú donde oferten alimentos y bebidas. En el caso de hoteles y moteles deberán contar con el letrero al ingreso y egreso del establecimiento, así como una réplica en cada habitación con medidas mínimas de 25 centímetros en sentido vertical por 20 centímetros en sentido horizontal; y</w:t>
      </w:r>
    </w:p>
    <w:p w14:paraId="3A4739CA" w14:textId="77777777" w:rsidR="00016FE1" w:rsidRDefault="00016FE1" w:rsidP="002B6227">
      <w:pPr>
        <w:ind w:left="1701" w:right="283" w:hanging="425"/>
        <w:jc w:val="both"/>
        <w:rPr>
          <w:rFonts w:ascii="Gotham" w:hAnsi="Gotham" w:cstheme="minorHAnsi"/>
          <w:i/>
          <w:sz w:val="19"/>
          <w:szCs w:val="19"/>
        </w:rPr>
      </w:pPr>
      <w:r>
        <w:rPr>
          <w:rFonts w:ascii="Gotham" w:hAnsi="Gotham" w:cstheme="minorHAnsi"/>
          <w:i/>
          <w:sz w:val="19"/>
          <w:szCs w:val="19"/>
        </w:rPr>
        <w:t xml:space="preserve">III. </w:t>
      </w:r>
      <w:r>
        <w:rPr>
          <w:rFonts w:ascii="Gotham" w:hAnsi="Gotham" w:cstheme="minorHAnsi"/>
          <w:i/>
          <w:sz w:val="19"/>
          <w:szCs w:val="19"/>
        </w:rPr>
        <w:tab/>
        <w:t>Acreditar la capacitación del titular del giro comercial en materia de la prevención integral de los delitos relacionados con la trata de personas, para tal efecto se deberá de exhibir la constancia correspondiente, la cual tendrá una vigencia de 3 años a partir de la fecha de expedición.</w:t>
      </w:r>
    </w:p>
    <w:p w14:paraId="3A4739CB" w14:textId="77777777" w:rsidR="00016FE1" w:rsidRDefault="00016FE1" w:rsidP="002B6227">
      <w:pPr>
        <w:ind w:left="851" w:hanging="425"/>
        <w:jc w:val="both"/>
        <w:rPr>
          <w:rFonts w:ascii="Gotham" w:hAnsi="Gotham" w:cs="Arial"/>
          <w:sz w:val="20"/>
          <w:szCs w:val="20"/>
        </w:rPr>
      </w:pPr>
    </w:p>
    <w:p w14:paraId="3A4739CC" w14:textId="77777777" w:rsidR="00016FE1" w:rsidRDefault="00016FE1" w:rsidP="002B6227">
      <w:pPr>
        <w:ind w:left="993" w:hanging="426"/>
        <w:jc w:val="both"/>
        <w:rPr>
          <w:rFonts w:ascii="Gotham" w:hAnsi="Gotham" w:cs="Arial"/>
          <w:sz w:val="20"/>
          <w:szCs w:val="20"/>
        </w:rPr>
      </w:pPr>
      <w:r>
        <w:rPr>
          <w:rFonts w:ascii="Gotham" w:hAnsi="Gotham" w:cs="Arial"/>
          <w:sz w:val="20"/>
          <w:szCs w:val="20"/>
        </w:rPr>
        <w:t xml:space="preserve">2.- </w:t>
      </w:r>
      <w:r>
        <w:rPr>
          <w:rFonts w:ascii="Gotham" w:hAnsi="Gotham" w:cs="Arial"/>
          <w:sz w:val="20"/>
          <w:szCs w:val="20"/>
        </w:rPr>
        <w:tab/>
        <w:t>El Sistema de Protección Integrar de Niñas, Niños y Adolescentes de Tonalá, Jalisco por sus siglas SIPINNA, está realizando trabajos conjuntos con las diferentes áreas del municipio tendientes a implementar trabajos de forma trasversal en la política municipal en atención a los derechos de las niñas, niños y adolescentes; entre estos se estudia proponer iniciativas al Pleno del Ayuntamiento para fines fortalecer las medidas para la prevención de la Trata de Personas en el Municipio, el pasado 26 de abril del 2024 realizo sesión de trabajo en donde compartió a los integrantes su agenda de trabajo.</w:t>
      </w:r>
    </w:p>
    <w:p w14:paraId="3A4739CD" w14:textId="77777777" w:rsidR="00016FE1" w:rsidRDefault="00016FE1" w:rsidP="002B6227">
      <w:pPr>
        <w:jc w:val="both"/>
        <w:rPr>
          <w:rFonts w:ascii="Gotham" w:hAnsi="Gotham" w:cs="Arial"/>
          <w:sz w:val="20"/>
          <w:szCs w:val="20"/>
        </w:rPr>
      </w:pPr>
    </w:p>
    <w:p w14:paraId="3A4739CE" w14:textId="77777777" w:rsidR="00016FE1" w:rsidRDefault="00016FE1" w:rsidP="002B6227">
      <w:pPr>
        <w:jc w:val="both"/>
        <w:rPr>
          <w:rFonts w:ascii="Gotham" w:hAnsi="Gotham" w:cs="Arial"/>
          <w:sz w:val="20"/>
          <w:szCs w:val="20"/>
        </w:rPr>
      </w:pPr>
      <w:r>
        <w:rPr>
          <w:rFonts w:ascii="Gotham" w:hAnsi="Gotham" w:cs="Arial"/>
          <w:sz w:val="20"/>
          <w:szCs w:val="20"/>
        </w:rPr>
        <w:t>Por los argumentos señalados en la parte de las conclusiones, se puede inferir que la propuestas que el autor propone no tiene materia de estudio para que sea incluida en la reglamentación municipal, Derivado del estudio y análisis de los considerandos que integran en el cuerpo del presente dictamen y de conformidad con la legislación, reglamentación y normatividad que rigen el proceso de estudio, dictaminación y aprobación de esta reforma de ordenamiento que, válidamente, adopta el órgano colegiado de Gobierno Municipal, los integrantes de la Comisiones Edilicias que suscribe el presente dictamen, proponemos el siguiente:</w:t>
      </w:r>
    </w:p>
    <w:p w14:paraId="3A4739CF" w14:textId="77777777" w:rsidR="00016FE1" w:rsidRDefault="00016FE1" w:rsidP="002B6227">
      <w:pPr>
        <w:jc w:val="both"/>
        <w:rPr>
          <w:rFonts w:ascii="Gotham" w:hAnsi="Gotham" w:cs="Arial"/>
          <w:sz w:val="20"/>
          <w:szCs w:val="20"/>
        </w:rPr>
      </w:pPr>
    </w:p>
    <w:p w14:paraId="3A4739D0" w14:textId="77777777" w:rsidR="00016FE1" w:rsidRDefault="00016FE1" w:rsidP="002B6227">
      <w:pPr>
        <w:widowControl w:val="0"/>
        <w:suppressAutoHyphens/>
        <w:autoSpaceDN w:val="0"/>
        <w:jc w:val="center"/>
        <w:textAlignment w:val="baseline"/>
        <w:rPr>
          <w:rFonts w:ascii="Gotham" w:eastAsia="Calibri" w:hAnsi="Gotham" w:cs="Arial"/>
          <w:sz w:val="20"/>
          <w:szCs w:val="20"/>
          <w:lang w:val="es-MX" w:eastAsia="en-US"/>
        </w:rPr>
      </w:pPr>
      <w:r>
        <w:rPr>
          <w:rFonts w:ascii="Gotham" w:hAnsi="Gotham" w:cs="Arial"/>
          <w:sz w:val="20"/>
          <w:szCs w:val="20"/>
        </w:rPr>
        <w:t>ACUERDO MUNICIPAL</w:t>
      </w:r>
    </w:p>
    <w:p w14:paraId="3A4739D1" w14:textId="77777777" w:rsidR="00016FE1" w:rsidRDefault="00016FE1" w:rsidP="002B6227">
      <w:pPr>
        <w:jc w:val="both"/>
        <w:rPr>
          <w:rFonts w:ascii="Gotham" w:hAnsi="Gotham" w:cs="Arial"/>
          <w:sz w:val="20"/>
          <w:szCs w:val="20"/>
        </w:rPr>
      </w:pPr>
    </w:p>
    <w:p w14:paraId="3A4739D2" w14:textId="77777777" w:rsidR="00016FE1" w:rsidRDefault="00016FE1" w:rsidP="002B6227">
      <w:pPr>
        <w:jc w:val="both"/>
        <w:rPr>
          <w:rFonts w:ascii="Gotham" w:eastAsiaTheme="minorHAnsi" w:hAnsi="Gotham" w:cs="Arial"/>
          <w:sz w:val="20"/>
          <w:szCs w:val="20"/>
          <w:lang w:eastAsia="en-US"/>
        </w:rPr>
      </w:pPr>
      <w:r>
        <w:rPr>
          <w:rFonts w:ascii="Gotham" w:hAnsi="Gotham" w:cs="Arial"/>
          <w:sz w:val="20"/>
          <w:szCs w:val="20"/>
        </w:rPr>
        <w:t>PRIMERO</w:t>
      </w:r>
      <w:r>
        <w:rPr>
          <w:rFonts w:ascii="Gotham" w:eastAsia="SimSun" w:hAnsi="Gotham" w:cs="Arial"/>
          <w:caps/>
          <w:kern w:val="3"/>
          <w:sz w:val="20"/>
          <w:szCs w:val="20"/>
          <w:lang w:eastAsia="zh-CN" w:bidi="hi-IN"/>
        </w:rPr>
        <w:t xml:space="preserve">. - </w:t>
      </w:r>
      <w:r>
        <w:rPr>
          <w:rFonts w:ascii="Gotham" w:eastAsia="SimSun" w:hAnsi="Gotham" w:cs="Arial"/>
          <w:kern w:val="3"/>
          <w:sz w:val="20"/>
          <w:szCs w:val="20"/>
          <w:lang w:eastAsia="zh-CN" w:bidi="hi-IN"/>
        </w:rPr>
        <w:t>Se Desecha al acuerdo marcado con numero 141 presentado en la sesión ordinaria de fecha 24 de febrero de 2022, por los argumentos señalados en el presente dictamen. Archívese como asunto concluido.</w:t>
      </w:r>
    </w:p>
    <w:p w14:paraId="3A4739D3" w14:textId="77777777" w:rsidR="00016FE1" w:rsidRDefault="00016FE1" w:rsidP="002B6227">
      <w:pPr>
        <w:jc w:val="both"/>
        <w:rPr>
          <w:rFonts w:ascii="Gotham" w:hAnsi="Gotham" w:cs="Arial"/>
          <w:sz w:val="20"/>
          <w:szCs w:val="20"/>
        </w:rPr>
      </w:pPr>
    </w:p>
    <w:p w14:paraId="3A4739D4" w14:textId="77777777" w:rsidR="00016FE1" w:rsidRDefault="00016FE1" w:rsidP="002B6227">
      <w:pPr>
        <w:jc w:val="both"/>
        <w:rPr>
          <w:rFonts w:ascii="Gotham" w:eastAsia="Arial" w:hAnsi="Gotham" w:cs="Arial"/>
          <w:spacing w:val="-5"/>
          <w:sz w:val="20"/>
          <w:szCs w:val="20"/>
          <w:lang w:val="es-MX" w:eastAsia="en-US"/>
        </w:rPr>
      </w:pPr>
      <w:r>
        <w:rPr>
          <w:rFonts w:ascii="Gotham" w:hAnsi="Gotham" w:cs="Arial"/>
          <w:sz w:val="20"/>
          <w:szCs w:val="20"/>
        </w:rPr>
        <w:t>SEGUNDO. - Se faculta al Presidente Municipal, Sindico del Ayuntamiento y se a la Secretaria General de este Ayuntamiento, a suscribir la documentación inherente al cumplimiento del presente ordenamiento.</w:t>
      </w:r>
    </w:p>
    <w:p w14:paraId="3A4739D5" w14:textId="77777777" w:rsidR="00016FE1" w:rsidRDefault="00016FE1" w:rsidP="002B6227">
      <w:pPr>
        <w:jc w:val="both"/>
        <w:rPr>
          <w:rFonts w:ascii="Gotham" w:hAnsi="Gotham"/>
          <w:sz w:val="20"/>
          <w:szCs w:val="20"/>
        </w:rPr>
      </w:pPr>
    </w:p>
    <w:p w14:paraId="3A4739D6"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39D7" w14:textId="77777777" w:rsidR="00016FE1" w:rsidRPr="00CD0531" w:rsidRDefault="00016FE1" w:rsidP="002B6227">
      <w:pPr>
        <w:jc w:val="both"/>
        <w:rPr>
          <w:rFonts w:ascii="Gotham" w:hAnsi="Gotham" w:cs="Arial"/>
          <w:sz w:val="20"/>
          <w:szCs w:val="20"/>
        </w:rPr>
      </w:pPr>
    </w:p>
    <w:p w14:paraId="3A4739D8"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39D9" w14:textId="77777777" w:rsidR="00016FE1" w:rsidRPr="00CD0531" w:rsidRDefault="00016FE1" w:rsidP="002B6227">
      <w:pPr>
        <w:jc w:val="both"/>
        <w:rPr>
          <w:rFonts w:ascii="Gotham" w:hAnsi="Gotham" w:cs="Arial"/>
          <w:sz w:val="20"/>
          <w:szCs w:val="20"/>
        </w:rPr>
      </w:pPr>
    </w:p>
    <w:p w14:paraId="3A4739DA"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39DB" w14:textId="77777777" w:rsidR="00016FE1" w:rsidRPr="00CD0531" w:rsidRDefault="00016FE1" w:rsidP="002B6227">
      <w:pPr>
        <w:jc w:val="both"/>
        <w:rPr>
          <w:rFonts w:ascii="Gotham" w:hAnsi="Gotham" w:cs="Arial"/>
          <w:sz w:val="20"/>
          <w:szCs w:val="20"/>
        </w:rPr>
      </w:pPr>
    </w:p>
    <w:p w14:paraId="3A4739DC"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39DD" w14:textId="77777777" w:rsidR="00016FE1" w:rsidRPr="00CD0531" w:rsidRDefault="00016FE1" w:rsidP="002B6227">
      <w:pPr>
        <w:jc w:val="both"/>
        <w:rPr>
          <w:rFonts w:ascii="Gotham" w:hAnsi="Gotham" w:cs="Arial"/>
          <w:sz w:val="20"/>
          <w:szCs w:val="20"/>
        </w:rPr>
      </w:pPr>
    </w:p>
    <w:p w14:paraId="3A4739DE"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39DF" w14:textId="77777777" w:rsidR="00016FE1" w:rsidRDefault="00016FE1" w:rsidP="002B6227">
      <w:pPr>
        <w:jc w:val="both"/>
        <w:rPr>
          <w:rFonts w:ascii="Gotham" w:hAnsi="Gotham"/>
          <w:sz w:val="20"/>
          <w:szCs w:val="20"/>
        </w:rPr>
      </w:pPr>
    </w:p>
    <w:p w14:paraId="3A4739E0" w14:textId="77777777" w:rsidR="00016FE1" w:rsidRDefault="00016FE1" w:rsidP="002B6227">
      <w:pPr>
        <w:jc w:val="both"/>
        <w:rPr>
          <w:rFonts w:ascii="Gotham" w:hAnsi="Gotham"/>
          <w:sz w:val="20"/>
          <w:szCs w:val="20"/>
        </w:rPr>
      </w:pPr>
    </w:p>
    <w:p w14:paraId="3A4739E1" w14:textId="77777777" w:rsidR="00016FE1" w:rsidRDefault="00016FE1" w:rsidP="002B6227">
      <w:pPr>
        <w:pStyle w:val="western"/>
        <w:spacing w:before="0" w:beforeAutospacing="0"/>
        <w:jc w:val="right"/>
        <w:rPr>
          <w:rFonts w:ascii="Gotham" w:hAnsi="Gotham"/>
          <w:b/>
          <w:sz w:val="22"/>
          <w:szCs w:val="22"/>
          <w:u w:val="single"/>
        </w:rPr>
      </w:pPr>
      <w:r>
        <w:rPr>
          <w:rFonts w:ascii="Gotham" w:hAnsi="Gotham"/>
          <w:b/>
          <w:sz w:val="22"/>
          <w:szCs w:val="22"/>
          <w:u w:val="single"/>
        </w:rPr>
        <w:t>ACUERDO NO. 1130</w:t>
      </w:r>
    </w:p>
    <w:p w14:paraId="3A4739E2" w14:textId="77777777" w:rsidR="00016FE1" w:rsidRDefault="00016FE1" w:rsidP="002B6227">
      <w:pPr>
        <w:jc w:val="both"/>
        <w:rPr>
          <w:rFonts w:ascii="Gotham" w:hAnsi="Gotham"/>
          <w:sz w:val="20"/>
          <w:szCs w:val="20"/>
        </w:rPr>
      </w:pPr>
      <w:r w:rsidRPr="00434B88">
        <w:rPr>
          <w:rFonts w:ascii="Gotham" w:hAnsi="Gotham"/>
          <w:b/>
          <w:bCs/>
          <w:smallCaps/>
          <w:sz w:val="20"/>
          <w:szCs w:val="20"/>
        </w:rPr>
        <w:t xml:space="preserve">Tercer Dictamen de Comisión.- </w:t>
      </w:r>
      <w:r w:rsidRPr="00434B88">
        <w:rPr>
          <w:rFonts w:ascii="Gotham" w:hAnsi="Gotham"/>
          <w:sz w:val="20"/>
          <w:szCs w:val="20"/>
        </w:rPr>
        <w:t xml:space="preserve">En uso de la voz el Presidente Municipal, Sergio Armando Chávez Dávalos, expresa que, se da cuenta del dictamen que presenta </w:t>
      </w:r>
      <w:r w:rsidRPr="00434B88">
        <w:rPr>
          <w:rFonts w:ascii="Gotham" w:hAnsi="Gotham" w:cs="Arial"/>
          <w:sz w:val="20"/>
          <w:szCs w:val="20"/>
        </w:rPr>
        <w:t>la Comisión Edilicia de Reglamentos, Puntos Constitucionales, Administración y Planeación Legislativa.</w:t>
      </w:r>
    </w:p>
    <w:p w14:paraId="3A4739E3" w14:textId="77777777" w:rsidR="00016FE1" w:rsidRDefault="00016FE1" w:rsidP="002B6227">
      <w:pPr>
        <w:tabs>
          <w:tab w:val="left" w:pos="1440"/>
        </w:tabs>
        <w:jc w:val="both"/>
        <w:rPr>
          <w:rFonts w:ascii="Gotham" w:hAnsi="Gotham" w:cs="Arial"/>
          <w:sz w:val="20"/>
          <w:szCs w:val="20"/>
        </w:rPr>
      </w:pPr>
    </w:p>
    <w:p w14:paraId="3A4739E4" w14:textId="77777777" w:rsidR="00016FE1" w:rsidRPr="00434B88" w:rsidRDefault="00016FE1" w:rsidP="002B6227">
      <w:pPr>
        <w:jc w:val="both"/>
        <w:rPr>
          <w:rFonts w:ascii="Gotham" w:hAnsi="Gotham"/>
          <w:sz w:val="20"/>
          <w:szCs w:val="20"/>
        </w:rPr>
      </w:pPr>
      <w:r w:rsidRPr="00434B88">
        <w:rPr>
          <w:rFonts w:ascii="Gotham" w:hAnsi="Gotham"/>
          <w:sz w:val="20"/>
          <w:szCs w:val="20"/>
        </w:rPr>
        <w:t>A la Comisión Edilicia de Reglamentos, Puntos Constitucionales, Administración y Planeación Legislativa</w:t>
      </w:r>
      <w:r>
        <w:rPr>
          <w:rFonts w:ascii="Gotham" w:hAnsi="Gotham"/>
          <w:sz w:val="20"/>
          <w:szCs w:val="20"/>
        </w:rPr>
        <w:t>,</w:t>
      </w:r>
      <w:r w:rsidRPr="00434B88">
        <w:rPr>
          <w:rFonts w:ascii="Gotham" w:hAnsi="Gotham"/>
          <w:sz w:val="20"/>
          <w:szCs w:val="20"/>
        </w:rPr>
        <w:t xml:space="preserve"> </w:t>
      </w:r>
      <w:r w:rsidRPr="00957EC6">
        <w:rPr>
          <w:rFonts w:ascii="Gotham" w:hAnsi="Gotham"/>
          <w:sz w:val="20"/>
          <w:szCs w:val="20"/>
        </w:rPr>
        <w:t>le fueron turnadas los siguientes Iniciativas</w:t>
      </w:r>
      <w:r w:rsidRPr="00434B88">
        <w:rPr>
          <w:rFonts w:ascii="Gotham" w:hAnsi="Gotham"/>
          <w:sz w:val="20"/>
          <w:szCs w:val="20"/>
        </w:rPr>
        <w:t xml:space="preserve"> el Acuerdo Municipal número 539 y la iniciativa de Acuerdo Municipal número 768, ambas con la objeto de regular la contaminación auditiva, de conformidad a las disposiciones del Reglamento para la Protección Ambiental, Cambio Climático y Sustentabilidad del municipio de Tonalá.; para lo cual con fundamento en lo previsto por los artículos 27, 37 fracción II y 40 fracciones I y II y demás relativos de la Ley del Gobierno y la Administración Pública Municipal del Estado de Jalisco; así como los artículos 38, 39 fracciones III, X, y XI, 53 fracción II, 57 fracción VIII, 92, 93, 98 fracción II y 100 del Reglamento del Gobierno y la Administración Pública del Ayuntamiento Constitucional de Tonalá, Jalisco; así como los artículos 25, 26, 28, 42, 43, 70, 87, 88 y demás aplicables del Reglamento Para el Funcionamiento Interno de Sesiones del Ayuntamiento Constitucional de Tonalá, Jalisco se expresan los siguientes:</w:t>
      </w:r>
    </w:p>
    <w:p w14:paraId="3A4739E5" w14:textId="77777777" w:rsidR="00016FE1" w:rsidRPr="00434B88" w:rsidRDefault="00016FE1" w:rsidP="002B6227">
      <w:pPr>
        <w:jc w:val="both"/>
        <w:rPr>
          <w:rFonts w:ascii="Gotham" w:hAnsi="Gotham"/>
          <w:sz w:val="20"/>
          <w:szCs w:val="20"/>
        </w:rPr>
      </w:pPr>
    </w:p>
    <w:p w14:paraId="3A4739E6" w14:textId="77777777" w:rsidR="00016FE1" w:rsidRPr="00434B88" w:rsidRDefault="00016FE1" w:rsidP="002B6227">
      <w:pPr>
        <w:jc w:val="center"/>
        <w:rPr>
          <w:rFonts w:ascii="Gotham" w:hAnsi="Gotham"/>
          <w:sz w:val="20"/>
          <w:szCs w:val="20"/>
        </w:rPr>
      </w:pPr>
      <w:r w:rsidRPr="00434B88">
        <w:rPr>
          <w:rFonts w:ascii="Gotham" w:hAnsi="Gotham"/>
          <w:sz w:val="20"/>
          <w:szCs w:val="20"/>
        </w:rPr>
        <w:t>AN</w:t>
      </w:r>
      <w:r>
        <w:rPr>
          <w:rFonts w:ascii="Gotham" w:hAnsi="Gotham"/>
          <w:sz w:val="20"/>
          <w:szCs w:val="20"/>
        </w:rPr>
        <w:t>TECEDENTES</w:t>
      </w:r>
    </w:p>
    <w:p w14:paraId="3A4739E7" w14:textId="77777777" w:rsidR="00016FE1" w:rsidRPr="00434B88" w:rsidRDefault="00016FE1" w:rsidP="002B6227">
      <w:pPr>
        <w:jc w:val="both"/>
        <w:rPr>
          <w:rFonts w:ascii="Gotham" w:hAnsi="Gotham"/>
          <w:sz w:val="20"/>
          <w:szCs w:val="20"/>
        </w:rPr>
      </w:pPr>
    </w:p>
    <w:p w14:paraId="3A4739E8" w14:textId="77777777" w:rsidR="00016FE1" w:rsidRPr="00434B88" w:rsidRDefault="00016FE1" w:rsidP="002B6227">
      <w:pPr>
        <w:ind w:left="567" w:hanging="567"/>
        <w:jc w:val="both"/>
        <w:rPr>
          <w:rFonts w:ascii="Gotham" w:hAnsi="Gotham"/>
          <w:sz w:val="20"/>
          <w:szCs w:val="20"/>
        </w:rPr>
      </w:pPr>
      <w:r w:rsidRPr="00434B88">
        <w:rPr>
          <w:rFonts w:ascii="Gotham" w:hAnsi="Gotham"/>
          <w:sz w:val="20"/>
          <w:szCs w:val="20"/>
        </w:rPr>
        <w:t xml:space="preserve">I. </w:t>
      </w:r>
      <w:r>
        <w:rPr>
          <w:rFonts w:ascii="Gotham" w:hAnsi="Gotham"/>
          <w:sz w:val="20"/>
          <w:szCs w:val="20"/>
        </w:rPr>
        <w:tab/>
      </w:r>
      <w:r w:rsidRPr="00434B88">
        <w:rPr>
          <w:rFonts w:ascii="Gotham" w:hAnsi="Gotham"/>
          <w:sz w:val="20"/>
          <w:szCs w:val="20"/>
        </w:rPr>
        <w:t>Mediante Acuerdo número 539 derivado de la Sesión Ordinaria de este Ayuntamiento de fecha 26 del mes de Enero del año 2023, se aprobó turnar a la Comisión Edilicia de Reglamentos, Puntos Constitucionales, Administración y Planeación Legislativa, el Cuarto Asunto Vario, presentada por el Regidor Edgar Oswaldo Bañales Orozco, el cual, entre sus puntos principales, hace referencia a la siguiente:</w:t>
      </w:r>
    </w:p>
    <w:p w14:paraId="3A4739E9" w14:textId="77777777" w:rsidR="00016FE1" w:rsidRPr="00434B88" w:rsidRDefault="00016FE1" w:rsidP="002B6227">
      <w:pPr>
        <w:jc w:val="both"/>
        <w:rPr>
          <w:rFonts w:ascii="Gotham" w:hAnsi="Gotham"/>
          <w:sz w:val="20"/>
          <w:szCs w:val="20"/>
        </w:rPr>
      </w:pPr>
    </w:p>
    <w:p w14:paraId="3A4739EA" w14:textId="77777777" w:rsidR="00016FE1" w:rsidRPr="00D80B88" w:rsidRDefault="00016FE1" w:rsidP="002B6227">
      <w:pPr>
        <w:tabs>
          <w:tab w:val="left" w:pos="9923"/>
        </w:tabs>
        <w:ind w:left="851" w:right="283"/>
        <w:jc w:val="right"/>
        <w:rPr>
          <w:rFonts w:ascii="Gotham" w:hAnsi="Gotham" w:cs="Calibri"/>
          <w:b/>
          <w:i/>
          <w:iCs/>
          <w:sz w:val="19"/>
          <w:szCs w:val="19"/>
          <w:u w:val="single"/>
        </w:rPr>
      </w:pPr>
      <w:r w:rsidRPr="00D80B88">
        <w:rPr>
          <w:rFonts w:ascii="Gotham" w:hAnsi="Gotham" w:cs="Calibri"/>
          <w:b/>
          <w:i/>
          <w:iCs/>
          <w:sz w:val="19"/>
          <w:szCs w:val="19"/>
          <w:u w:val="single"/>
        </w:rPr>
        <w:t>ACUERDO NO. 539</w:t>
      </w:r>
    </w:p>
    <w:p w14:paraId="3A4739EB" w14:textId="77777777" w:rsidR="00016FE1" w:rsidRPr="00D80B88" w:rsidRDefault="00016FE1" w:rsidP="002B6227">
      <w:pPr>
        <w:tabs>
          <w:tab w:val="left" w:pos="9923"/>
        </w:tabs>
        <w:ind w:left="851" w:right="283"/>
        <w:jc w:val="both"/>
        <w:rPr>
          <w:rFonts w:ascii="Gotham" w:hAnsi="Gotham" w:cs="Calibri"/>
          <w:i/>
          <w:iCs/>
          <w:sz w:val="19"/>
          <w:szCs w:val="19"/>
        </w:rPr>
      </w:pPr>
      <w:r w:rsidRPr="00D80B88">
        <w:rPr>
          <w:rFonts w:ascii="Gotham" w:hAnsi="Gotham" w:cs="Calibri"/>
          <w:b/>
          <w:i/>
          <w:iCs/>
          <w:smallCaps/>
          <w:sz w:val="19"/>
          <w:szCs w:val="19"/>
        </w:rPr>
        <w:t>Cuarto Asunto Vario</w:t>
      </w:r>
      <w:r w:rsidRPr="00D80B88">
        <w:rPr>
          <w:rFonts w:ascii="Gotham" w:hAnsi="Gotham" w:cs="Calibri"/>
          <w:b/>
          <w:i/>
          <w:iCs/>
          <w:sz w:val="19"/>
          <w:szCs w:val="19"/>
        </w:rPr>
        <w:t>.-</w:t>
      </w:r>
      <w:r w:rsidRPr="00D80B88">
        <w:rPr>
          <w:rFonts w:ascii="Gotham" w:hAnsi="Gotham" w:cs="Calibri"/>
          <w:i/>
          <w:iCs/>
          <w:sz w:val="19"/>
          <w:szCs w:val="19"/>
        </w:rPr>
        <w:t xml:space="preserve"> En uso de la voz el Regidor Edgar Oswaldo Bañales Orozco, menciona que, el que suscribe, Edgar Oswaldo Báñales Orozco, en mi carácter de Regidor, integrante de este Honorable Ayuntamiento, con las facultades que me otorga el artículo 50 de la Ley de Gobierno y Administración Pública Municipal del Estado de Jalisco y sus municipios, los artículos 2 fracción IV, 49 fracción II, y 94 fracción II del Reglamento de Gobierno y Administración Pública, 82 y 83 del Reglamento para el Funcionamiento Interno de las Sesiones ambos del Ayuntamiento Constitucional de Tonalá, Jalisco, elevo a la consideración de este Honorable Cuerpo Edilicio el presente Asunto Vario, en base a las consideraciones siguientes:</w:t>
      </w:r>
    </w:p>
    <w:p w14:paraId="3A4739EC" w14:textId="77777777" w:rsidR="00016FE1" w:rsidRPr="00D80B88" w:rsidRDefault="00016FE1" w:rsidP="002B6227">
      <w:pPr>
        <w:tabs>
          <w:tab w:val="left" w:pos="9923"/>
        </w:tabs>
        <w:ind w:left="851" w:right="283"/>
        <w:jc w:val="center"/>
        <w:rPr>
          <w:rFonts w:ascii="Gotham" w:hAnsi="Gotham" w:cs="Calibri"/>
          <w:i/>
          <w:iCs/>
          <w:sz w:val="19"/>
          <w:szCs w:val="19"/>
        </w:rPr>
      </w:pPr>
    </w:p>
    <w:p w14:paraId="3A4739ED" w14:textId="77777777" w:rsidR="00016FE1" w:rsidRPr="00D80B88" w:rsidRDefault="00016FE1" w:rsidP="002B6227">
      <w:pPr>
        <w:tabs>
          <w:tab w:val="left" w:pos="9923"/>
        </w:tabs>
        <w:ind w:left="851" w:right="283"/>
        <w:jc w:val="center"/>
        <w:rPr>
          <w:rFonts w:ascii="Gotham" w:hAnsi="Gotham" w:cs="Calibri"/>
          <w:i/>
          <w:iCs/>
          <w:sz w:val="19"/>
          <w:szCs w:val="19"/>
        </w:rPr>
      </w:pPr>
      <w:r w:rsidRPr="00D80B88">
        <w:rPr>
          <w:rFonts w:ascii="Gotham" w:hAnsi="Gotham" w:cs="Calibri"/>
          <w:i/>
          <w:iCs/>
          <w:sz w:val="19"/>
          <w:szCs w:val="19"/>
        </w:rPr>
        <w:t>EXPOSICIÓN DE MOTIVOS</w:t>
      </w:r>
    </w:p>
    <w:p w14:paraId="3A4739EE" w14:textId="77777777" w:rsidR="00016FE1" w:rsidRPr="00D80B88" w:rsidRDefault="00016FE1" w:rsidP="002B6227">
      <w:pPr>
        <w:tabs>
          <w:tab w:val="left" w:pos="9923"/>
        </w:tabs>
        <w:autoSpaceDE w:val="0"/>
        <w:autoSpaceDN w:val="0"/>
        <w:adjustRightInd w:val="0"/>
        <w:ind w:left="851" w:right="283"/>
        <w:rPr>
          <w:rFonts w:ascii="Gotham" w:eastAsia="Calibri" w:hAnsi="Gotham" w:cs="Calibri"/>
          <w:i/>
          <w:color w:val="000000"/>
          <w:sz w:val="19"/>
          <w:szCs w:val="19"/>
          <w:lang w:val="es-MX" w:eastAsia="es-MX"/>
        </w:rPr>
      </w:pPr>
    </w:p>
    <w:p w14:paraId="3A4739EF" w14:textId="77777777" w:rsidR="00016FE1" w:rsidRPr="00D80B88"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D80B88">
        <w:rPr>
          <w:rFonts w:ascii="Gotham" w:hAnsi="Gotham" w:cs="Calibri"/>
          <w:i/>
          <w:color w:val="000000"/>
          <w:sz w:val="19"/>
          <w:szCs w:val="19"/>
          <w:lang w:eastAsia="es-MX"/>
        </w:rPr>
        <w:t xml:space="preserve">I. </w:t>
      </w:r>
      <w:r>
        <w:rPr>
          <w:rFonts w:ascii="Gotham" w:hAnsi="Gotham" w:cs="Calibri"/>
          <w:i/>
          <w:color w:val="000000"/>
          <w:sz w:val="19"/>
          <w:szCs w:val="19"/>
          <w:lang w:eastAsia="es-MX"/>
        </w:rPr>
        <w:tab/>
      </w:r>
      <w:r w:rsidRPr="00D80B88">
        <w:rPr>
          <w:rFonts w:ascii="Gotham" w:hAnsi="Gotham" w:cs="Calibri"/>
          <w:i/>
          <w:color w:val="000000"/>
          <w:sz w:val="19"/>
          <w:szCs w:val="19"/>
          <w:lang w:eastAsia="es-MX"/>
        </w:rPr>
        <w:t xml:space="preserve">Para todos es sabido los conflictos, riñas vecinales, y problemas sociales que causa el exceso de ruido domiciliario en zonas habitación, a muchos de los que estamos aquí nos ha tocado convivir con vecinos que abuzan de los aparatos de sonido generando molestias a su alrededor, así mismo hemos sabido de pequeñas empresas o industrias que se instalan en zonas habitacionales y que debido al giro al que se dedican generan ruidos contaminantes al medio ambiente. </w:t>
      </w:r>
    </w:p>
    <w:p w14:paraId="3A4739F0" w14:textId="77777777" w:rsidR="00016FE1" w:rsidRPr="00D80B88"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9F1" w14:textId="77777777" w:rsidR="00016FE1" w:rsidRPr="00D80B88"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Pr>
          <w:rFonts w:ascii="Gotham" w:hAnsi="Gotham" w:cs="Calibri"/>
          <w:i/>
          <w:color w:val="000000"/>
          <w:sz w:val="19"/>
          <w:szCs w:val="19"/>
          <w:lang w:eastAsia="es-MX"/>
        </w:rPr>
        <w:tab/>
      </w:r>
      <w:r w:rsidRPr="00D80B88">
        <w:rPr>
          <w:rFonts w:ascii="Gotham" w:hAnsi="Gotham" w:cs="Calibri"/>
          <w:i/>
          <w:color w:val="000000"/>
          <w:sz w:val="19"/>
          <w:szCs w:val="19"/>
          <w:lang w:eastAsia="es-MX"/>
        </w:rPr>
        <w:t xml:space="preserve">En ambos casos los Reglamentos municipales establecen la posibilidad de aplicar sanciones, en el primero de ellos se contempla dentro del Reglamento de Policía y Buen Gobierno; en el segundo Dentro de los ordenamientos en materia ecológica, dejando a la Ley de Ingresos la aplicación en el monto de dichas sanciones. </w:t>
      </w:r>
    </w:p>
    <w:p w14:paraId="3A4739F2" w14:textId="77777777" w:rsidR="00016FE1"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9F3" w14:textId="77777777" w:rsidR="00016FE1" w:rsidRPr="00D80B88"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D80B88">
        <w:rPr>
          <w:rFonts w:ascii="Gotham" w:hAnsi="Gotham" w:cs="Calibri"/>
          <w:i/>
          <w:color w:val="000000"/>
          <w:sz w:val="19"/>
          <w:szCs w:val="19"/>
          <w:lang w:eastAsia="es-MX"/>
        </w:rPr>
        <w:t xml:space="preserve">II.- </w:t>
      </w:r>
      <w:r>
        <w:rPr>
          <w:rFonts w:ascii="Gotham" w:hAnsi="Gotham" w:cs="Calibri"/>
          <w:i/>
          <w:color w:val="000000"/>
          <w:sz w:val="19"/>
          <w:szCs w:val="19"/>
          <w:lang w:eastAsia="es-MX"/>
        </w:rPr>
        <w:tab/>
      </w:r>
      <w:r w:rsidRPr="00D80B88">
        <w:rPr>
          <w:rFonts w:ascii="Gotham" w:hAnsi="Gotham" w:cs="Calibri"/>
          <w:i/>
          <w:color w:val="000000"/>
          <w:sz w:val="19"/>
          <w:szCs w:val="19"/>
          <w:lang w:eastAsia="es-MX"/>
        </w:rPr>
        <w:t xml:space="preserve">La Ley de Ingresos para el Municipio de Tonalá contempla en su artículo 94, el monto de las sanciones para ambos casos; como se señala a continuación: </w:t>
      </w:r>
    </w:p>
    <w:p w14:paraId="3A4739F4" w14:textId="77777777" w:rsidR="00016FE1" w:rsidRPr="00D80B88"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9F5" w14:textId="77777777" w:rsidR="00016FE1" w:rsidRPr="00CC516F" w:rsidRDefault="00016FE1" w:rsidP="002B6227">
      <w:pPr>
        <w:tabs>
          <w:tab w:val="left" w:pos="9923"/>
        </w:tabs>
        <w:autoSpaceDE w:val="0"/>
        <w:autoSpaceDN w:val="0"/>
        <w:adjustRightInd w:val="0"/>
        <w:spacing w:after="120"/>
        <w:ind w:left="1560" w:right="567"/>
        <w:jc w:val="both"/>
        <w:rPr>
          <w:rFonts w:ascii="Gotham" w:hAnsi="Gotham" w:cs="Calibri"/>
          <w:i/>
          <w:color w:val="000000"/>
          <w:sz w:val="18"/>
          <w:szCs w:val="18"/>
          <w:lang w:eastAsia="es-MX"/>
        </w:rPr>
      </w:pPr>
      <w:r w:rsidRPr="00CC516F">
        <w:rPr>
          <w:rFonts w:ascii="Gotham" w:hAnsi="Gotham" w:cs="Calibri"/>
          <w:i/>
          <w:iCs/>
          <w:color w:val="000000"/>
          <w:sz w:val="18"/>
          <w:szCs w:val="18"/>
          <w:lang w:eastAsia="es-MX"/>
        </w:rPr>
        <w:t xml:space="preserve">“Artículo 94. Las sanciones administrativas y fiscales por infracciones a los ordenamientos municipales, serán aplicadas conforme a la siguiente: </w:t>
      </w:r>
    </w:p>
    <w:p w14:paraId="3A4739F6" w14:textId="77777777" w:rsidR="00016FE1" w:rsidRPr="00CC516F" w:rsidRDefault="00016FE1" w:rsidP="002B6227">
      <w:pPr>
        <w:tabs>
          <w:tab w:val="left" w:pos="9923"/>
        </w:tabs>
        <w:autoSpaceDE w:val="0"/>
        <w:autoSpaceDN w:val="0"/>
        <w:adjustRightInd w:val="0"/>
        <w:spacing w:after="120"/>
        <w:ind w:left="1985" w:right="567" w:hanging="425"/>
        <w:jc w:val="both"/>
        <w:rPr>
          <w:rFonts w:ascii="Gotham" w:hAnsi="Gotham" w:cs="Calibri"/>
          <w:i/>
          <w:color w:val="000000"/>
          <w:sz w:val="18"/>
          <w:szCs w:val="18"/>
          <w:lang w:eastAsia="es-MX"/>
        </w:rPr>
      </w:pPr>
      <w:r w:rsidRPr="00CC516F">
        <w:rPr>
          <w:rFonts w:ascii="Gotham" w:hAnsi="Gotham" w:cs="Calibri"/>
          <w:i/>
          <w:iCs/>
          <w:color w:val="000000"/>
          <w:sz w:val="18"/>
          <w:szCs w:val="18"/>
          <w:lang w:eastAsia="es-MX"/>
        </w:rPr>
        <w:t xml:space="preserve">IV. </w:t>
      </w:r>
      <w:r w:rsidRPr="00CC516F">
        <w:rPr>
          <w:rFonts w:ascii="Gotham" w:hAnsi="Gotham" w:cs="Calibri"/>
          <w:i/>
          <w:iCs/>
          <w:color w:val="000000"/>
          <w:sz w:val="18"/>
          <w:szCs w:val="18"/>
          <w:lang w:eastAsia="es-MX"/>
        </w:rPr>
        <w:tab/>
        <w:t xml:space="preserve">Violaciones al Reglamento de Policía y Buen Gobierno del Municipio de Tonalá Jalisco. </w:t>
      </w:r>
    </w:p>
    <w:p w14:paraId="3A4739F7" w14:textId="77777777" w:rsidR="00016FE1" w:rsidRPr="00CC516F" w:rsidRDefault="00016FE1" w:rsidP="002B6227">
      <w:pPr>
        <w:tabs>
          <w:tab w:val="left" w:pos="9923"/>
        </w:tabs>
        <w:autoSpaceDE w:val="0"/>
        <w:autoSpaceDN w:val="0"/>
        <w:adjustRightInd w:val="0"/>
        <w:spacing w:after="120"/>
        <w:ind w:left="2410" w:right="567" w:hanging="425"/>
        <w:jc w:val="both"/>
        <w:rPr>
          <w:rFonts w:ascii="Gotham" w:hAnsi="Gotham" w:cs="Calibri"/>
          <w:i/>
          <w:color w:val="000000"/>
          <w:sz w:val="18"/>
          <w:szCs w:val="18"/>
          <w:lang w:eastAsia="es-MX"/>
        </w:rPr>
      </w:pPr>
      <w:r w:rsidRPr="00CC516F">
        <w:rPr>
          <w:rFonts w:ascii="Gotham" w:hAnsi="Gotham" w:cs="Calibri"/>
          <w:i/>
          <w:iCs/>
          <w:color w:val="000000"/>
          <w:sz w:val="18"/>
          <w:szCs w:val="18"/>
          <w:lang w:eastAsia="es-MX"/>
        </w:rPr>
        <w:t xml:space="preserve">q) </w:t>
      </w:r>
      <w:r w:rsidRPr="00CC516F">
        <w:rPr>
          <w:rFonts w:ascii="Gotham" w:hAnsi="Gotham" w:cs="Calibri"/>
          <w:i/>
          <w:iCs/>
          <w:color w:val="000000"/>
          <w:sz w:val="18"/>
          <w:szCs w:val="18"/>
          <w:lang w:eastAsia="es-MX"/>
        </w:rPr>
        <w:tab/>
        <w:t xml:space="preserve">Causar ruidos o sonidos que afecten la tranquilidad de la ciudadanía, se sancionará con una multa de veinte a cuarenta y cuatro veces el valor diario de la Unidad de Medida y Actualización o arresto de 24 horas; </w:t>
      </w:r>
    </w:p>
    <w:p w14:paraId="3A4739F8" w14:textId="77777777" w:rsidR="00016FE1" w:rsidRPr="00CC516F" w:rsidRDefault="00016FE1" w:rsidP="002B6227">
      <w:pPr>
        <w:tabs>
          <w:tab w:val="left" w:pos="9923"/>
        </w:tabs>
        <w:autoSpaceDE w:val="0"/>
        <w:autoSpaceDN w:val="0"/>
        <w:adjustRightInd w:val="0"/>
        <w:spacing w:after="120"/>
        <w:ind w:left="1985" w:right="567" w:hanging="425"/>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XIII. </w:t>
      </w:r>
      <w:r w:rsidRPr="00CC516F">
        <w:rPr>
          <w:rFonts w:ascii="Gotham" w:hAnsi="Gotham" w:cs="Calibri"/>
          <w:i/>
          <w:iCs/>
          <w:color w:val="000000"/>
          <w:sz w:val="18"/>
          <w:szCs w:val="18"/>
          <w:lang w:eastAsia="es-MX"/>
        </w:rPr>
        <w:tab/>
        <w:t xml:space="preserve">Las violaciones de carácter ecológico, además de reparar el daño ambiental, se aplicarán las sanciones establecidas en el Reglamento para la Protección Ambiental, Cambio Climático y Sustentabilidad del Municipio de Tonalá, Jalisco por contravenir los ordenamientos municipales vigentes referentes al control y protección al medio ambiente: </w:t>
      </w:r>
    </w:p>
    <w:p w14:paraId="3A4739F9" w14:textId="77777777" w:rsidR="00016FE1" w:rsidRPr="00CC516F" w:rsidRDefault="00016FE1" w:rsidP="002B6227">
      <w:pPr>
        <w:tabs>
          <w:tab w:val="left" w:pos="9923"/>
        </w:tabs>
        <w:autoSpaceDE w:val="0"/>
        <w:autoSpaceDN w:val="0"/>
        <w:adjustRightInd w:val="0"/>
        <w:spacing w:after="120"/>
        <w:ind w:left="2410" w:right="567" w:hanging="425"/>
        <w:jc w:val="both"/>
        <w:rPr>
          <w:rFonts w:ascii="Gotham" w:hAnsi="Gotham" w:cs="Calibri"/>
          <w:i/>
          <w:color w:val="000000"/>
          <w:sz w:val="18"/>
          <w:szCs w:val="18"/>
          <w:lang w:eastAsia="es-MX"/>
        </w:rPr>
      </w:pPr>
      <w:r w:rsidRPr="00CC516F">
        <w:rPr>
          <w:rFonts w:ascii="Gotham" w:hAnsi="Gotham" w:cs="Calibri"/>
          <w:i/>
          <w:iCs/>
          <w:color w:val="000000"/>
          <w:sz w:val="18"/>
          <w:szCs w:val="18"/>
          <w:lang w:eastAsia="es-MX"/>
        </w:rPr>
        <w:t xml:space="preserve">6. </w:t>
      </w:r>
      <w:r w:rsidRPr="00CC516F">
        <w:rPr>
          <w:rFonts w:ascii="Gotham" w:hAnsi="Gotham" w:cs="Calibri"/>
          <w:i/>
          <w:iCs/>
          <w:color w:val="000000"/>
          <w:sz w:val="18"/>
          <w:szCs w:val="18"/>
          <w:lang w:eastAsia="es-MX"/>
        </w:rPr>
        <w:tab/>
        <w:t xml:space="preserve">Son infracciones en materia de emisiones de ruido, vibraciones, energía térmica, energía lumínica u olores perjudiciales las siguientes y serán sancionadas con multa de sesenta a quinientas veces el valor diario de la Unidad de Medida y Actualización (UMA). </w:t>
      </w:r>
    </w:p>
    <w:p w14:paraId="3A4739FA"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a) </w:t>
      </w:r>
      <w:r w:rsidRPr="00CC516F">
        <w:rPr>
          <w:rFonts w:ascii="Gotham" w:hAnsi="Gotham" w:cs="Calibri"/>
          <w:i/>
          <w:iCs/>
          <w:color w:val="000000"/>
          <w:sz w:val="18"/>
          <w:szCs w:val="18"/>
          <w:lang w:eastAsia="es-MX"/>
        </w:rPr>
        <w:tab/>
        <w:t xml:space="preserve">Por realizar emisiones de ruido, vibraciones, energía térmica, energía lumínica u olores perjudiciales sin que la licencia de giro contemple el concepto en los términos del Reglamento para la Protección Ambiental, Cambio Climático y Sustentabilidad del municipio de Tonalá, Jalisco vigente; </w:t>
      </w:r>
    </w:p>
    <w:p w14:paraId="3A4739FB"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b) </w:t>
      </w:r>
      <w:r w:rsidRPr="00CC516F">
        <w:rPr>
          <w:rFonts w:ascii="Gotham" w:hAnsi="Gotham" w:cs="Calibri"/>
          <w:i/>
          <w:iCs/>
          <w:color w:val="000000"/>
          <w:sz w:val="18"/>
          <w:szCs w:val="18"/>
          <w:lang w:eastAsia="es-MX"/>
        </w:rPr>
        <w:tab/>
        <w:t xml:space="preserve">Por asentar datos falsos o erróneos en la manifestación de emisiones de ruido, vibraciones, energía térmica, energía lumínica u olores perjudiciales al momento de solicitar la licencia de giro o su refrendo; </w:t>
      </w:r>
    </w:p>
    <w:p w14:paraId="3A4739FC"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c) </w:t>
      </w:r>
      <w:r w:rsidRPr="00CC516F">
        <w:rPr>
          <w:rFonts w:ascii="Gotham" w:hAnsi="Gotham" w:cs="Calibri"/>
          <w:i/>
          <w:iCs/>
          <w:color w:val="000000"/>
          <w:sz w:val="18"/>
          <w:szCs w:val="18"/>
          <w:lang w:eastAsia="es-MX"/>
        </w:rPr>
        <w:tab/>
        <w:t>Por no realizar las modificaciones o adecuaciones que le sean requeridos por la autoridad competente en los plazos determinados;</w:t>
      </w:r>
    </w:p>
    <w:p w14:paraId="3A4739FD"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d) </w:t>
      </w:r>
      <w:r w:rsidRPr="00CC516F">
        <w:rPr>
          <w:rFonts w:ascii="Gotham" w:hAnsi="Gotham" w:cs="Calibri"/>
          <w:i/>
          <w:iCs/>
          <w:color w:val="000000"/>
          <w:sz w:val="18"/>
          <w:szCs w:val="18"/>
          <w:lang w:eastAsia="es-MX"/>
        </w:rPr>
        <w:tab/>
        <w:t>Por no contar con equipos, sistemas y aditamentos necesarios para reducir los efectos negativos al ambiente de las emisiones de ruido, vibraciones, energía térmica, energía lumínica u olores perjudiciales o no operarlos debidamente;</w:t>
      </w:r>
    </w:p>
    <w:p w14:paraId="3A4739FE"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e) </w:t>
      </w:r>
      <w:r w:rsidRPr="00CC516F">
        <w:rPr>
          <w:rFonts w:ascii="Gotham" w:hAnsi="Gotham" w:cs="Calibri"/>
          <w:i/>
          <w:iCs/>
          <w:color w:val="000000"/>
          <w:sz w:val="18"/>
          <w:szCs w:val="18"/>
          <w:lang w:eastAsia="es-MX"/>
        </w:rPr>
        <w:tab/>
        <w:t>Por emitir emisiones de ruido, vibraciones, energía térmica, energía lumínica u olores perjudiciales que trasciendan el límite establecido en la Normas oficiales y estatales correspondientes;</w:t>
      </w:r>
      <w:r w:rsidR="009F075D">
        <w:rPr>
          <w:rFonts w:ascii="Gotham" w:hAnsi="Gotham" w:cs="Calibri"/>
          <w:i/>
          <w:iCs/>
          <w:color w:val="000000"/>
          <w:sz w:val="18"/>
          <w:szCs w:val="18"/>
          <w:lang w:eastAsia="es-MX"/>
        </w:rPr>
        <w:t xml:space="preserve"> </w:t>
      </w:r>
    </w:p>
    <w:p w14:paraId="3A4739FF"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lastRenderedPageBreak/>
        <w:t xml:space="preserve">f) </w:t>
      </w:r>
      <w:r w:rsidRPr="00CC516F">
        <w:rPr>
          <w:rFonts w:ascii="Gotham" w:hAnsi="Gotham" w:cs="Calibri"/>
          <w:i/>
          <w:iCs/>
          <w:color w:val="000000"/>
          <w:sz w:val="18"/>
          <w:szCs w:val="18"/>
          <w:lang w:eastAsia="es-MX"/>
        </w:rPr>
        <w:tab/>
        <w:t xml:space="preserve">Por no efectuar los estudios requeridos por la autoridad competente en el plazo que le sea indicado o no presentarlos para su validación y; </w:t>
      </w:r>
    </w:p>
    <w:p w14:paraId="3A473A00"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g) </w:t>
      </w:r>
      <w:r w:rsidRPr="00CC516F">
        <w:rPr>
          <w:rFonts w:ascii="Gotham" w:hAnsi="Gotham" w:cs="Calibri"/>
          <w:i/>
          <w:iCs/>
          <w:color w:val="000000"/>
          <w:sz w:val="18"/>
          <w:szCs w:val="18"/>
          <w:lang w:eastAsia="es-MX"/>
        </w:rPr>
        <w:tab/>
        <w:t xml:space="preserve">Por iniciar quemas sin previa autorización y/o justificación. </w:t>
      </w:r>
    </w:p>
    <w:p w14:paraId="3A473A01"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h) </w:t>
      </w:r>
      <w:r w:rsidRPr="00CC516F">
        <w:rPr>
          <w:rFonts w:ascii="Gotham" w:hAnsi="Gotham" w:cs="Calibri"/>
          <w:i/>
          <w:iCs/>
          <w:color w:val="000000"/>
          <w:sz w:val="18"/>
          <w:szCs w:val="18"/>
          <w:lang w:eastAsia="es-MX"/>
        </w:rPr>
        <w:tab/>
        <w:t xml:space="preserve">A las casas habitación, giros y comercios que generen ruido excesivo que supere los decibeles en los horarios establecidos en la NOM-081-SEMARNAT-1994, se le sancionará con una multa de 20 veinte a 150 ciento cincuenta unidades de Medida de Actualización (UMA), sanción que se duplicará o triplicará en caso de reincidencia. </w:t>
      </w:r>
    </w:p>
    <w:p w14:paraId="3A473A02"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color w:val="000000"/>
          <w:sz w:val="18"/>
          <w:szCs w:val="18"/>
          <w:lang w:eastAsia="es-MX"/>
        </w:rPr>
      </w:pPr>
      <w:r w:rsidRPr="00CC516F">
        <w:rPr>
          <w:rFonts w:ascii="Gotham" w:hAnsi="Gotham" w:cs="Calibri"/>
          <w:i/>
          <w:iCs/>
          <w:color w:val="000000"/>
          <w:sz w:val="18"/>
          <w:szCs w:val="18"/>
          <w:lang w:eastAsia="es-MX"/>
        </w:rPr>
        <w:t xml:space="preserve">i) </w:t>
      </w:r>
      <w:r w:rsidRPr="00CC516F">
        <w:rPr>
          <w:rFonts w:ascii="Gotham" w:hAnsi="Gotham" w:cs="Calibri"/>
          <w:i/>
          <w:iCs/>
          <w:color w:val="000000"/>
          <w:sz w:val="18"/>
          <w:szCs w:val="18"/>
          <w:lang w:eastAsia="es-MX"/>
        </w:rPr>
        <w:tab/>
        <w:t xml:space="preserve">Cuando en un año de calendario un giro o comercio sea sancionado en más de una ocasión por rebasar los límites máximos permisibles establecidos en la NOM-081-SEMARNAT-1994, se podrá proceder a la clausura definitiva, asimismo revocar su licencia. </w:t>
      </w:r>
    </w:p>
    <w:p w14:paraId="3A473A03" w14:textId="77777777" w:rsidR="00016FE1" w:rsidRPr="00CC516F" w:rsidRDefault="00016FE1" w:rsidP="002B6227">
      <w:pPr>
        <w:tabs>
          <w:tab w:val="left" w:pos="9923"/>
        </w:tabs>
        <w:autoSpaceDE w:val="0"/>
        <w:autoSpaceDN w:val="0"/>
        <w:adjustRightInd w:val="0"/>
        <w:spacing w:after="120"/>
        <w:ind w:left="2835" w:right="567" w:hanging="426"/>
        <w:jc w:val="both"/>
        <w:rPr>
          <w:rFonts w:ascii="Gotham" w:hAnsi="Gotham" w:cs="Calibri"/>
          <w:i/>
          <w:iCs/>
          <w:color w:val="000000"/>
          <w:sz w:val="18"/>
          <w:szCs w:val="18"/>
          <w:lang w:eastAsia="es-MX"/>
        </w:rPr>
      </w:pPr>
      <w:r w:rsidRPr="00CC516F">
        <w:rPr>
          <w:rFonts w:ascii="Gotham" w:hAnsi="Gotham" w:cs="Calibri"/>
          <w:i/>
          <w:iCs/>
          <w:color w:val="000000"/>
          <w:sz w:val="18"/>
          <w:szCs w:val="18"/>
          <w:lang w:eastAsia="es-MX"/>
        </w:rPr>
        <w:t xml:space="preserve">j) </w:t>
      </w:r>
      <w:r w:rsidRPr="00CC516F">
        <w:rPr>
          <w:rFonts w:ascii="Gotham" w:hAnsi="Gotham" w:cs="Calibri"/>
          <w:i/>
          <w:iCs/>
          <w:color w:val="000000"/>
          <w:sz w:val="18"/>
          <w:szCs w:val="18"/>
          <w:lang w:eastAsia="es-MX"/>
        </w:rPr>
        <w:tab/>
        <w:t xml:space="preserve">A los comerciantes que lleven a cabo sus actividades comerciales en cualesquiera de sus modalidades y proporcionen a los consumidores bolsas de plástico para acarreo y popotes de un solo uso, siendo excepción aquellos productos que cumplan las disposiciones establecidas en la Norma Ambiental Estatal NAE-SEMADET-010/2019, se les sancionará con una multa de 20 a 60 unidades de Medida de Actualización (UMA), sanción que se duplicará en caso de reincidencia. </w:t>
      </w:r>
    </w:p>
    <w:p w14:paraId="3A473A04" w14:textId="77777777" w:rsidR="00016FE1" w:rsidRPr="00CC516F" w:rsidRDefault="00016FE1" w:rsidP="002B6227">
      <w:pPr>
        <w:tabs>
          <w:tab w:val="left" w:pos="9923"/>
        </w:tabs>
        <w:ind w:left="2835" w:right="567" w:hanging="426"/>
        <w:jc w:val="both"/>
        <w:rPr>
          <w:rFonts w:ascii="Gotham" w:hAnsi="Gotham" w:cs="Calibri"/>
          <w:i/>
          <w:iCs/>
          <w:sz w:val="18"/>
          <w:szCs w:val="18"/>
        </w:rPr>
      </w:pPr>
      <w:r w:rsidRPr="00CC516F">
        <w:rPr>
          <w:rFonts w:ascii="Gotham" w:hAnsi="Gotham" w:cs="Calibri"/>
          <w:i/>
          <w:iCs/>
          <w:color w:val="000000"/>
          <w:sz w:val="18"/>
          <w:szCs w:val="18"/>
          <w:lang w:eastAsia="es-MX"/>
        </w:rPr>
        <w:t xml:space="preserve">k) </w:t>
      </w:r>
      <w:r w:rsidRPr="00CC516F">
        <w:rPr>
          <w:rFonts w:ascii="Gotham" w:hAnsi="Gotham" w:cs="Calibri"/>
          <w:i/>
          <w:iCs/>
          <w:color w:val="000000"/>
          <w:sz w:val="18"/>
          <w:szCs w:val="18"/>
          <w:lang w:eastAsia="es-MX"/>
        </w:rPr>
        <w:tab/>
        <w:t>A los giros y comercios, así como, empresas, fabricas, parques industriales que emitan ruidos, vibraciones, energía térmica o lumínica, así como, generaciones de olores que generen molestias que menoscaben la calidad de vida de quienes los padecen, se le sancionará con una multa de 20 veinte a 250 doscientos cincuenta unidades de medida de actualización (UMA), sanción que se podrá duplicar en caso de reincidencia.”</w:t>
      </w:r>
    </w:p>
    <w:p w14:paraId="3A473A05" w14:textId="77777777" w:rsidR="00016FE1"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06" w14:textId="77777777" w:rsidR="00016FE1" w:rsidRPr="00D80B88"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D80B88">
        <w:rPr>
          <w:rFonts w:ascii="Gotham" w:hAnsi="Gotham" w:cs="Calibri"/>
          <w:i/>
          <w:color w:val="000000"/>
          <w:sz w:val="19"/>
          <w:szCs w:val="19"/>
          <w:lang w:eastAsia="es-MX"/>
        </w:rPr>
        <w:t xml:space="preserve">Como podemos observar la Ley es clara en cuanto al monto de las infracciones, sin embargo; considero que es necesario generar esquemas funcionales para el cobro de las mismas, ya en otros municipios como Guadalajara se aplica el cobro por dichas infracciones en el pago anual del impuesto predial, lo que genera la obligatoriedad a quien comete dichas infracciones de generar el pago respectivo. </w:t>
      </w:r>
    </w:p>
    <w:p w14:paraId="3A473A07" w14:textId="77777777" w:rsidR="00016FE1" w:rsidRPr="00D80B88"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08" w14:textId="77777777" w:rsidR="00016FE1" w:rsidRPr="00D80B88"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D80B88">
        <w:rPr>
          <w:rFonts w:ascii="Gotham" w:hAnsi="Gotham" w:cs="Calibri"/>
          <w:i/>
          <w:color w:val="000000"/>
          <w:sz w:val="19"/>
          <w:szCs w:val="19"/>
          <w:lang w:eastAsia="es-MX"/>
        </w:rPr>
        <w:t xml:space="preserve">Por lo anteriormente expuesto y fundamentado, elevo a la consideración de este H. Ayuntamiento la presente: </w:t>
      </w:r>
    </w:p>
    <w:p w14:paraId="3A473A09" w14:textId="77777777" w:rsidR="00016FE1" w:rsidRPr="00D80B88"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0A" w14:textId="77777777" w:rsidR="00016FE1" w:rsidRPr="00D80B88" w:rsidRDefault="00016FE1" w:rsidP="002B6227">
      <w:pPr>
        <w:tabs>
          <w:tab w:val="left" w:pos="9923"/>
        </w:tabs>
        <w:autoSpaceDE w:val="0"/>
        <w:autoSpaceDN w:val="0"/>
        <w:adjustRightInd w:val="0"/>
        <w:ind w:left="851" w:right="283"/>
        <w:jc w:val="center"/>
        <w:rPr>
          <w:rFonts w:ascii="Gotham" w:hAnsi="Gotham" w:cs="Calibri"/>
          <w:i/>
          <w:iCs/>
          <w:color w:val="000000"/>
          <w:sz w:val="19"/>
          <w:szCs w:val="19"/>
          <w:lang w:eastAsia="es-MX"/>
        </w:rPr>
      </w:pPr>
      <w:r w:rsidRPr="00D80B88">
        <w:rPr>
          <w:rFonts w:ascii="Gotham" w:hAnsi="Gotham" w:cs="Calibri"/>
          <w:i/>
          <w:color w:val="000000"/>
          <w:sz w:val="19"/>
          <w:szCs w:val="19"/>
          <w:lang w:eastAsia="es-MX"/>
        </w:rPr>
        <w:t>INICIATIVA</w:t>
      </w:r>
    </w:p>
    <w:p w14:paraId="3A473A0B" w14:textId="77777777" w:rsidR="00016FE1" w:rsidRPr="00D80B88" w:rsidRDefault="00016FE1" w:rsidP="002B6227">
      <w:pPr>
        <w:widowControl w:val="0"/>
        <w:tabs>
          <w:tab w:val="left" w:pos="9923"/>
        </w:tabs>
        <w:suppressAutoHyphens/>
        <w:autoSpaceDN w:val="0"/>
        <w:ind w:left="851" w:right="283"/>
        <w:jc w:val="both"/>
        <w:textAlignment w:val="baseline"/>
        <w:rPr>
          <w:rFonts w:ascii="Gotham" w:eastAsia="SimSun" w:hAnsi="Gotham" w:cs="Arial"/>
          <w:bCs/>
          <w:i/>
          <w:iCs/>
          <w:kern w:val="3"/>
          <w:sz w:val="19"/>
          <w:szCs w:val="19"/>
          <w:lang w:eastAsia="zh-CN" w:bidi="hi-IN"/>
        </w:rPr>
      </w:pPr>
    </w:p>
    <w:p w14:paraId="3A473A0C" w14:textId="77777777" w:rsidR="00016FE1" w:rsidRPr="00D80B88" w:rsidRDefault="00016FE1" w:rsidP="002B6227">
      <w:pPr>
        <w:widowControl w:val="0"/>
        <w:tabs>
          <w:tab w:val="left" w:pos="9923"/>
        </w:tabs>
        <w:suppressAutoHyphens/>
        <w:autoSpaceDN w:val="0"/>
        <w:ind w:left="851" w:right="283"/>
        <w:jc w:val="both"/>
        <w:textAlignment w:val="baseline"/>
        <w:rPr>
          <w:rFonts w:ascii="Gotham" w:eastAsia="SimSun" w:hAnsi="Gotham" w:cs="Arial"/>
          <w:bCs/>
          <w:i/>
          <w:iCs/>
          <w:kern w:val="3"/>
          <w:sz w:val="19"/>
          <w:szCs w:val="19"/>
          <w:lang w:eastAsia="zh-CN" w:bidi="hi-IN"/>
        </w:rPr>
      </w:pPr>
      <w:r w:rsidRPr="00D80B88">
        <w:rPr>
          <w:rFonts w:ascii="Gotham" w:eastAsia="SimSun" w:hAnsi="Gotham" w:cs="Arial"/>
          <w:bCs/>
          <w:i/>
          <w:iCs/>
          <w:kern w:val="3"/>
          <w:sz w:val="19"/>
          <w:szCs w:val="19"/>
          <w:lang w:eastAsia="zh-CN" w:bidi="hi-IN"/>
        </w:rPr>
        <w:t>[…]</w:t>
      </w:r>
    </w:p>
    <w:p w14:paraId="3A473A0D" w14:textId="77777777" w:rsidR="00016FE1" w:rsidRPr="005B6A7C" w:rsidRDefault="00016FE1" w:rsidP="002B6227">
      <w:pPr>
        <w:ind w:left="567" w:hanging="567"/>
        <w:jc w:val="both"/>
        <w:rPr>
          <w:rFonts w:ascii="Gotham" w:hAnsi="Gotham"/>
          <w:sz w:val="20"/>
          <w:szCs w:val="20"/>
        </w:rPr>
      </w:pPr>
    </w:p>
    <w:p w14:paraId="3A473A0E" w14:textId="77777777" w:rsidR="00016FE1" w:rsidRDefault="00016FE1" w:rsidP="002B6227">
      <w:pPr>
        <w:ind w:left="567" w:hanging="567"/>
        <w:jc w:val="both"/>
        <w:rPr>
          <w:rFonts w:ascii="Gotham" w:hAnsi="Gotham"/>
          <w:sz w:val="20"/>
          <w:szCs w:val="20"/>
        </w:rPr>
      </w:pPr>
      <w:r w:rsidRPr="005B6A7C">
        <w:rPr>
          <w:rFonts w:ascii="Gotham" w:hAnsi="Gotham"/>
          <w:sz w:val="20"/>
          <w:szCs w:val="20"/>
        </w:rPr>
        <w:t xml:space="preserve">II. </w:t>
      </w:r>
      <w:r>
        <w:rPr>
          <w:rFonts w:ascii="Gotham" w:hAnsi="Gotham"/>
          <w:sz w:val="20"/>
          <w:szCs w:val="20"/>
        </w:rPr>
        <w:tab/>
      </w:r>
      <w:r w:rsidRPr="005B6A7C">
        <w:rPr>
          <w:rFonts w:ascii="Gotham" w:hAnsi="Gotham"/>
          <w:sz w:val="20"/>
          <w:szCs w:val="20"/>
        </w:rPr>
        <w:t>Mediante Acuerdo número 768 derivado de la Sesión Ordinaria de este Ayuntamiento de fecha 29 del mes de junio del año 2023, se aprobó turnar a la Comisión edilicia de Reglamentos, Puntos Constitucionales, Administración y Planeación Legislativa, el Primer Asunto Vario, presentada por la Regidora Rocío Acosta Cervantes, el cual, entre sus puntos principales, hace referencia a la siguiente:</w:t>
      </w:r>
    </w:p>
    <w:p w14:paraId="3A473A0F" w14:textId="77777777" w:rsidR="00016FE1" w:rsidRPr="005B6A7C" w:rsidRDefault="00016FE1" w:rsidP="002B6227">
      <w:pPr>
        <w:ind w:left="567" w:hanging="567"/>
        <w:jc w:val="both"/>
        <w:rPr>
          <w:rFonts w:ascii="Gotham" w:hAnsi="Gotham"/>
          <w:sz w:val="20"/>
          <w:szCs w:val="20"/>
        </w:rPr>
      </w:pPr>
    </w:p>
    <w:p w14:paraId="3A473A10" w14:textId="77777777" w:rsidR="00016FE1" w:rsidRPr="00CC516F" w:rsidRDefault="00016FE1" w:rsidP="002B6227">
      <w:pPr>
        <w:tabs>
          <w:tab w:val="left" w:pos="9923"/>
        </w:tabs>
        <w:autoSpaceDE w:val="0"/>
        <w:autoSpaceDN w:val="0"/>
        <w:adjustRightInd w:val="0"/>
        <w:ind w:left="851" w:right="283"/>
        <w:jc w:val="right"/>
        <w:rPr>
          <w:rFonts w:ascii="Gotham" w:hAnsi="Gotham" w:cs="Calibri"/>
          <w:b/>
          <w:i/>
          <w:color w:val="000000"/>
          <w:sz w:val="19"/>
          <w:szCs w:val="19"/>
          <w:u w:val="single"/>
          <w:lang w:eastAsia="es-MX"/>
        </w:rPr>
      </w:pPr>
      <w:r w:rsidRPr="00CC516F">
        <w:rPr>
          <w:rFonts w:ascii="Gotham" w:hAnsi="Gotham" w:cs="Calibri"/>
          <w:b/>
          <w:i/>
          <w:color w:val="000000"/>
          <w:sz w:val="19"/>
          <w:szCs w:val="19"/>
          <w:u w:val="single"/>
          <w:lang w:eastAsia="es-MX"/>
        </w:rPr>
        <w:t>ACUERDO NO. 768</w:t>
      </w:r>
    </w:p>
    <w:p w14:paraId="3A473A11" w14:textId="77777777" w:rsidR="00016FE1" w:rsidRPr="00CC516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CC516F">
        <w:rPr>
          <w:rFonts w:ascii="Gotham" w:hAnsi="Gotham" w:cs="Calibri"/>
          <w:b/>
          <w:i/>
          <w:smallCaps/>
          <w:color w:val="000000"/>
          <w:sz w:val="19"/>
          <w:szCs w:val="19"/>
          <w:lang w:eastAsia="es-MX"/>
        </w:rPr>
        <w:t>Primer Asunto Vario</w:t>
      </w:r>
      <w:r w:rsidRPr="00CC516F">
        <w:rPr>
          <w:rFonts w:ascii="Gotham" w:hAnsi="Gotham" w:cs="Calibri"/>
          <w:i/>
          <w:color w:val="000000"/>
          <w:sz w:val="19"/>
          <w:szCs w:val="19"/>
          <w:lang w:eastAsia="es-MX"/>
        </w:rPr>
        <w:t>.- En uso de la voz la Regidora Rocío Acosta Cervantes, señala que, con su venia Presidente, saludo nuevamente a los presentes y a las personas que nos siguen a través de las redes sociales.</w:t>
      </w:r>
    </w:p>
    <w:p w14:paraId="3A473A12" w14:textId="77777777" w:rsidR="00016FE1" w:rsidRPr="00CC516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13" w14:textId="77777777" w:rsidR="00016FE1" w:rsidRPr="00CC516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CC516F">
        <w:rPr>
          <w:rFonts w:ascii="Gotham" w:hAnsi="Gotham" w:cs="Calibri"/>
          <w:i/>
          <w:color w:val="000000"/>
          <w:sz w:val="19"/>
          <w:szCs w:val="19"/>
          <w:lang w:eastAsia="es-MX"/>
        </w:rPr>
        <w:t xml:space="preserve">La que suscribe, Regidora Rocío Acosta Cervantes, en uso de las facultades de que me confieren los artículos 115, fracciones I y ll, de la Constitución Política de los Estados Unidos Mexicanos; así </w:t>
      </w:r>
      <w:r w:rsidRPr="00CC516F">
        <w:rPr>
          <w:rFonts w:ascii="Gotham" w:hAnsi="Gotham" w:cs="Calibri"/>
          <w:i/>
          <w:color w:val="000000"/>
          <w:sz w:val="19"/>
          <w:szCs w:val="19"/>
          <w:lang w:eastAsia="es-MX"/>
        </w:rPr>
        <w:lastRenderedPageBreak/>
        <w:t>como lo establecido por el artículo 77 de nuestra Constitución Política del Estado de Jalisco; artículos 2, 3, 37 y 50 de la Ley del Gobierno y la Administración Pública Municipal del Estado de Jalisco; artículos 53, 56 y 120 del Reglamento del Gobierno y la Administración Pública del Ayuntamiento Constitucional de Tonalá, Jalisco; así como los ordinales 25 y 83 del Reglamento para el Funcionamiento Interno de Sesiones del Ayuntamiento Constitucional de Tonalá, Jalisco; someto a consideración de ustedes, la presente iniciativa de Acuerdo Municipal con turno a Comisión que propone la habilitación de una guardia nocturna de inspectores de ecología para que se haga cumplir con las disposiciones del Reglamento para la Protección Ambiental, Cambio Climático y Sustentabilidad del municipio de Tonalá, de conformidad con la siguiente</w:t>
      </w:r>
    </w:p>
    <w:p w14:paraId="3A473A14" w14:textId="77777777" w:rsidR="00016FE1" w:rsidRPr="00CC516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15" w14:textId="77777777" w:rsidR="00016FE1" w:rsidRPr="00CC516F" w:rsidRDefault="00016FE1" w:rsidP="002B6227">
      <w:pPr>
        <w:tabs>
          <w:tab w:val="left" w:pos="9923"/>
        </w:tabs>
        <w:autoSpaceDE w:val="0"/>
        <w:autoSpaceDN w:val="0"/>
        <w:adjustRightInd w:val="0"/>
        <w:ind w:left="851" w:right="283"/>
        <w:jc w:val="center"/>
        <w:rPr>
          <w:rFonts w:ascii="Gotham" w:hAnsi="Gotham" w:cs="Calibri"/>
          <w:i/>
          <w:color w:val="000000"/>
          <w:sz w:val="19"/>
          <w:szCs w:val="19"/>
          <w:lang w:eastAsia="es-MX"/>
        </w:rPr>
      </w:pPr>
      <w:r w:rsidRPr="00CC516F">
        <w:rPr>
          <w:rFonts w:ascii="Gotham" w:hAnsi="Gotham" w:cs="Calibri"/>
          <w:i/>
          <w:color w:val="000000"/>
          <w:sz w:val="19"/>
          <w:szCs w:val="19"/>
          <w:lang w:eastAsia="es-MX"/>
        </w:rPr>
        <w:t>EXPOSICION DE MOTIVOS</w:t>
      </w:r>
    </w:p>
    <w:p w14:paraId="3A473A16" w14:textId="77777777" w:rsidR="00016FE1" w:rsidRPr="00CC516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17" w14:textId="77777777" w:rsidR="00016FE1" w:rsidRPr="00CC516F"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CC516F">
        <w:rPr>
          <w:rFonts w:ascii="Gotham" w:hAnsi="Gotham" w:cs="Calibri"/>
          <w:i/>
          <w:color w:val="000000"/>
          <w:sz w:val="19"/>
          <w:szCs w:val="19"/>
          <w:lang w:eastAsia="es-MX"/>
        </w:rPr>
        <w:t xml:space="preserve">I. </w:t>
      </w:r>
      <w:r>
        <w:rPr>
          <w:rFonts w:ascii="Gotham" w:hAnsi="Gotham" w:cs="Calibri"/>
          <w:i/>
          <w:color w:val="000000"/>
          <w:sz w:val="19"/>
          <w:szCs w:val="19"/>
          <w:lang w:eastAsia="es-MX"/>
        </w:rPr>
        <w:tab/>
      </w:r>
      <w:r w:rsidRPr="00CC516F">
        <w:rPr>
          <w:rFonts w:ascii="Gotham" w:hAnsi="Gotham" w:cs="Calibri"/>
          <w:i/>
          <w:color w:val="000000"/>
          <w:sz w:val="19"/>
          <w:szCs w:val="19"/>
          <w:lang w:eastAsia="es-MX"/>
        </w:rPr>
        <w:t>El Artículo 115 de nuestra Constitución Política de los Estados Unidos Mexicanos establece que:</w:t>
      </w:r>
    </w:p>
    <w:p w14:paraId="3A473A18" w14:textId="77777777" w:rsidR="00016FE1" w:rsidRPr="00CC516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19" w14:textId="77777777" w:rsidR="00016FE1" w:rsidRPr="00F9481A" w:rsidRDefault="00016FE1" w:rsidP="002B6227">
      <w:pPr>
        <w:tabs>
          <w:tab w:val="left" w:pos="9923"/>
        </w:tabs>
        <w:autoSpaceDE w:val="0"/>
        <w:autoSpaceDN w:val="0"/>
        <w:adjustRightInd w:val="0"/>
        <w:spacing w:after="120"/>
        <w:ind w:left="1560" w:right="567"/>
        <w:jc w:val="both"/>
        <w:rPr>
          <w:rFonts w:ascii="Gotham" w:hAnsi="Gotham" w:cs="Calibri"/>
          <w:i/>
          <w:color w:val="000000"/>
          <w:sz w:val="18"/>
          <w:szCs w:val="18"/>
          <w:lang w:eastAsia="es-MX"/>
        </w:rPr>
      </w:pPr>
      <w:r w:rsidRPr="00F9481A">
        <w:rPr>
          <w:rFonts w:ascii="Gotham" w:hAnsi="Gotham" w:cs="Calibri"/>
          <w:i/>
          <w:color w:val="000000"/>
          <w:sz w:val="18"/>
          <w:szCs w:val="18"/>
          <w:lang w:eastAsia="es-MX"/>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473A1A" w14:textId="77777777" w:rsidR="00016FE1" w:rsidRPr="00F9481A" w:rsidRDefault="00016FE1" w:rsidP="002B6227">
      <w:pPr>
        <w:tabs>
          <w:tab w:val="left" w:pos="9923"/>
        </w:tabs>
        <w:autoSpaceDE w:val="0"/>
        <w:autoSpaceDN w:val="0"/>
        <w:adjustRightInd w:val="0"/>
        <w:ind w:left="1560" w:right="567"/>
        <w:jc w:val="both"/>
        <w:rPr>
          <w:rFonts w:ascii="Gotham" w:hAnsi="Gotham" w:cs="Calibri"/>
          <w:i/>
          <w:color w:val="000000"/>
          <w:sz w:val="18"/>
          <w:szCs w:val="18"/>
          <w:lang w:eastAsia="es-MX"/>
        </w:rPr>
      </w:pPr>
      <w:r w:rsidRPr="00F9481A">
        <w:rPr>
          <w:rFonts w:ascii="Gotham" w:hAnsi="Gotham" w:cs="Calibri"/>
          <w:i/>
          <w:color w:val="000000"/>
          <w:sz w:val="18"/>
          <w:szCs w:val="18"/>
          <w:lang w:eastAsia="es-MX"/>
        </w:rPr>
        <w:t>...I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3A1B"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1C"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EC60FA">
        <w:rPr>
          <w:rFonts w:ascii="Gotham" w:hAnsi="Gotham" w:cs="Calibri"/>
          <w:i/>
          <w:color w:val="000000"/>
          <w:sz w:val="19"/>
          <w:szCs w:val="19"/>
          <w:lang w:eastAsia="es-MX"/>
        </w:rPr>
        <w:t xml:space="preserve">ll. </w:t>
      </w:r>
      <w:r w:rsidRPr="00EC60FA">
        <w:rPr>
          <w:rFonts w:ascii="Gotham" w:hAnsi="Gotham" w:cs="Calibri"/>
          <w:i/>
          <w:color w:val="000000"/>
          <w:sz w:val="19"/>
          <w:szCs w:val="19"/>
          <w:lang w:eastAsia="es-MX"/>
        </w:rPr>
        <w:tab/>
        <w:t>Que la Ley de Gobierno y Administración Pública Municipal del Estado de Jalisco, en su artículo 37, fracción ll, reitera la obligación del Ayuntamiento de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14:paraId="3A473A1D"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1E"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EC60FA">
        <w:rPr>
          <w:rFonts w:ascii="Gotham" w:hAnsi="Gotham" w:cs="Calibri"/>
          <w:i/>
          <w:color w:val="000000"/>
          <w:sz w:val="19"/>
          <w:szCs w:val="19"/>
          <w:lang w:eastAsia="es-MX"/>
        </w:rPr>
        <w:t xml:space="preserve">III. </w:t>
      </w:r>
      <w:r w:rsidRPr="00EC60FA">
        <w:rPr>
          <w:rFonts w:ascii="Gotham" w:hAnsi="Gotham" w:cs="Calibri"/>
          <w:i/>
          <w:color w:val="000000"/>
          <w:sz w:val="19"/>
          <w:szCs w:val="19"/>
          <w:lang w:eastAsia="es-MX"/>
        </w:rPr>
        <w:tab/>
        <w:t>De acuerdo con el artículo 2 del Reglamento para la Protección Ambiental, Cambio Climático y Sustentabilidad del Municipio de Tonalá, Jalisco.</w:t>
      </w:r>
    </w:p>
    <w:p w14:paraId="3A473A1F"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20" w14:textId="77777777" w:rsidR="00016FE1" w:rsidRPr="00564305" w:rsidRDefault="00016FE1" w:rsidP="002B6227">
      <w:pPr>
        <w:tabs>
          <w:tab w:val="left" w:pos="9923"/>
        </w:tabs>
        <w:autoSpaceDE w:val="0"/>
        <w:autoSpaceDN w:val="0"/>
        <w:adjustRightInd w:val="0"/>
        <w:ind w:left="1560" w:right="567"/>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La aplicación y ejecución de las disposiciones previstas en el presente Reglamento corresponde al Presidente Municipal, por conducto de la Dirección de Gestión Ambiental, Cambio Climático y Sustentabilidad sin perjuicio de lo establecido por la Ley del Gobierno y la Administración Pública Municipal del Estado de Jalisco, o bien de que puedan delegarse diversas facultades previstas en el presente reglamento a otras dependencias o servidores públicos, mediante convenios o acuerdos de coordinación que se celebren para el eficaz cumplimiento del objeto del presente reglamento.</w:t>
      </w:r>
    </w:p>
    <w:p w14:paraId="3A473A21"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22"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EC60FA">
        <w:rPr>
          <w:rFonts w:ascii="Gotham" w:hAnsi="Gotham" w:cs="Calibri"/>
          <w:i/>
          <w:color w:val="000000"/>
          <w:sz w:val="19"/>
          <w:szCs w:val="19"/>
          <w:lang w:eastAsia="es-MX"/>
        </w:rPr>
        <w:t xml:space="preserve">IV. </w:t>
      </w:r>
      <w:r w:rsidRPr="00EC60FA">
        <w:rPr>
          <w:rFonts w:ascii="Gotham" w:hAnsi="Gotham" w:cs="Calibri"/>
          <w:i/>
          <w:color w:val="000000"/>
          <w:sz w:val="19"/>
          <w:szCs w:val="19"/>
          <w:lang w:eastAsia="es-MX"/>
        </w:rPr>
        <w:tab/>
        <w:t>El artículo 7 de este mismo reglamento indica:</w:t>
      </w:r>
    </w:p>
    <w:p w14:paraId="3A473A23"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24" w14:textId="77777777" w:rsidR="00016FE1" w:rsidRPr="00564305" w:rsidRDefault="00016FE1" w:rsidP="002B6227">
      <w:pPr>
        <w:tabs>
          <w:tab w:val="left" w:pos="9923"/>
        </w:tabs>
        <w:autoSpaceDE w:val="0"/>
        <w:autoSpaceDN w:val="0"/>
        <w:adjustRightInd w:val="0"/>
        <w:ind w:left="1560" w:right="567"/>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Corresponde al Ayuntamiento en forma directa o a través de los organismos o dependencias que para tal efecto designen sus titulares, en el ámbito de su competencia, de manera general, las atribuciones siguientes:</w:t>
      </w:r>
    </w:p>
    <w:p w14:paraId="3A473A25" w14:textId="77777777" w:rsidR="00016FE1" w:rsidRPr="00564305" w:rsidRDefault="00016FE1" w:rsidP="002B6227">
      <w:pPr>
        <w:tabs>
          <w:tab w:val="left" w:pos="9923"/>
        </w:tabs>
        <w:autoSpaceDE w:val="0"/>
        <w:autoSpaceDN w:val="0"/>
        <w:adjustRightInd w:val="0"/>
        <w:ind w:left="1560" w:right="567"/>
        <w:jc w:val="both"/>
        <w:rPr>
          <w:rFonts w:ascii="Gotham" w:hAnsi="Gotham" w:cs="Calibri"/>
          <w:i/>
          <w:color w:val="000000"/>
          <w:sz w:val="18"/>
          <w:szCs w:val="18"/>
          <w:lang w:eastAsia="es-MX"/>
        </w:rPr>
      </w:pPr>
    </w:p>
    <w:p w14:paraId="3A473A26" w14:textId="77777777" w:rsidR="00016FE1" w:rsidRPr="00564305" w:rsidRDefault="00016FE1" w:rsidP="002B6227">
      <w:pPr>
        <w:tabs>
          <w:tab w:val="left" w:pos="9923"/>
        </w:tabs>
        <w:autoSpaceDE w:val="0"/>
        <w:autoSpaceDN w:val="0"/>
        <w:adjustRightInd w:val="0"/>
        <w:ind w:left="1560" w:right="567"/>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La aplicación de las disposiciones jurídicas relativas a la prevención y control de la contaminación por ruido, vibraciones, energía térmica, radiaciones electromagnéticas y lumínica y olores perjudiciales para la ciudadanía, el equilibrio ecológico y el ambiente, </w:t>
      </w:r>
      <w:r w:rsidRPr="00564305">
        <w:rPr>
          <w:rFonts w:ascii="Gotham" w:hAnsi="Gotham" w:cs="Calibri"/>
          <w:i/>
          <w:color w:val="000000"/>
          <w:sz w:val="18"/>
          <w:szCs w:val="18"/>
          <w:lang w:eastAsia="es-MX"/>
        </w:rPr>
        <w:lastRenderedPageBreak/>
        <w:t>proveniente de fuentes fijas que funcionen como establecimientos mercantiles o de servicios, así como la vigilancia del cumplimiento de las disposiciones que, en su caso, resulten aplicables a las fuentes móviles excepto las que conforme a este reglamento sean consideradas de jurisdicción federal</w:t>
      </w:r>
    </w:p>
    <w:p w14:paraId="3A473A27"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28"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EC60FA">
        <w:rPr>
          <w:rFonts w:ascii="Gotham" w:hAnsi="Gotham" w:cs="Calibri"/>
          <w:i/>
          <w:color w:val="000000"/>
          <w:sz w:val="19"/>
          <w:szCs w:val="19"/>
          <w:lang w:eastAsia="es-MX"/>
        </w:rPr>
        <w:t xml:space="preserve">V. </w:t>
      </w:r>
      <w:r w:rsidRPr="00EC60FA">
        <w:rPr>
          <w:rFonts w:ascii="Gotham" w:hAnsi="Gotham" w:cs="Calibri"/>
          <w:i/>
          <w:color w:val="000000"/>
          <w:sz w:val="19"/>
          <w:szCs w:val="19"/>
          <w:lang w:eastAsia="es-MX"/>
        </w:rPr>
        <w:tab/>
        <w:t>El artículo 111 de esta misma ley, establece lo siguiente:</w:t>
      </w:r>
    </w:p>
    <w:p w14:paraId="3A473A29"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2A" w14:textId="77777777" w:rsidR="00016FE1" w:rsidRPr="00564305" w:rsidRDefault="00016FE1" w:rsidP="002B6227">
      <w:pPr>
        <w:tabs>
          <w:tab w:val="left" w:pos="9923"/>
        </w:tabs>
        <w:autoSpaceDE w:val="0"/>
        <w:autoSpaceDN w:val="0"/>
        <w:adjustRightInd w:val="0"/>
        <w:spacing w:after="120"/>
        <w:ind w:left="1560" w:right="567"/>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Son autoridades competentes para ordenar visitas de inspección, así como ordenar la elaboración de actas administrativas por faltas a los reglamentos municipales, normas y leyes de aplicación municipal, las siguientes:</w:t>
      </w:r>
    </w:p>
    <w:p w14:paraId="3A473A2B" w14:textId="77777777" w:rsidR="00016FE1" w:rsidRPr="00564305" w:rsidRDefault="00016FE1" w:rsidP="002B6227">
      <w:pPr>
        <w:tabs>
          <w:tab w:val="left" w:pos="9923"/>
        </w:tabs>
        <w:autoSpaceDE w:val="0"/>
        <w:autoSpaceDN w:val="0"/>
        <w:adjustRightInd w:val="0"/>
        <w:spacing w:after="120"/>
        <w:ind w:left="1985" w:right="567" w:hanging="425"/>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l. </w:t>
      </w:r>
      <w:r w:rsidRPr="00564305">
        <w:rPr>
          <w:rFonts w:ascii="Gotham" w:hAnsi="Gotham" w:cs="Calibri"/>
          <w:i/>
          <w:color w:val="000000"/>
          <w:sz w:val="18"/>
          <w:szCs w:val="18"/>
          <w:lang w:eastAsia="es-MX"/>
        </w:rPr>
        <w:tab/>
        <w:t>Con Carácter de Ordenadoras</w:t>
      </w:r>
    </w:p>
    <w:p w14:paraId="3A473A2C" w14:textId="77777777" w:rsidR="00016FE1" w:rsidRPr="00564305" w:rsidRDefault="00016FE1" w:rsidP="002B6227">
      <w:pPr>
        <w:tabs>
          <w:tab w:val="left" w:pos="9923"/>
        </w:tabs>
        <w:autoSpaceDE w:val="0"/>
        <w:autoSpaceDN w:val="0"/>
        <w:adjustRightInd w:val="0"/>
        <w:spacing w:after="8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a) </w:t>
      </w:r>
      <w:r w:rsidRPr="00564305">
        <w:rPr>
          <w:rFonts w:ascii="Gotham" w:hAnsi="Gotham" w:cs="Calibri"/>
          <w:i/>
          <w:color w:val="000000"/>
          <w:sz w:val="18"/>
          <w:szCs w:val="18"/>
          <w:lang w:eastAsia="es-MX"/>
        </w:rPr>
        <w:tab/>
        <w:t>El Pleno del Ayuntamiento.</w:t>
      </w:r>
    </w:p>
    <w:p w14:paraId="3A473A2D" w14:textId="77777777" w:rsidR="00016FE1" w:rsidRPr="00564305" w:rsidRDefault="00016FE1" w:rsidP="002B6227">
      <w:pPr>
        <w:tabs>
          <w:tab w:val="left" w:pos="9923"/>
        </w:tabs>
        <w:autoSpaceDE w:val="0"/>
        <w:autoSpaceDN w:val="0"/>
        <w:adjustRightInd w:val="0"/>
        <w:spacing w:after="8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b) </w:t>
      </w:r>
      <w:r w:rsidRPr="00564305">
        <w:rPr>
          <w:rFonts w:ascii="Gotham" w:hAnsi="Gotham" w:cs="Calibri"/>
          <w:i/>
          <w:color w:val="000000"/>
          <w:sz w:val="18"/>
          <w:szCs w:val="18"/>
          <w:lang w:eastAsia="es-MX"/>
        </w:rPr>
        <w:tab/>
        <w:t>El Presidente Municipal.</w:t>
      </w:r>
    </w:p>
    <w:p w14:paraId="3A473A2E" w14:textId="77777777" w:rsidR="00016FE1" w:rsidRPr="00564305" w:rsidRDefault="00016FE1" w:rsidP="002B6227">
      <w:pPr>
        <w:tabs>
          <w:tab w:val="left" w:pos="9923"/>
        </w:tabs>
        <w:autoSpaceDE w:val="0"/>
        <w:autoSpaceDN w:val="0"/>
        <w:adjustRightInd w:val="0"/>
        <w:spacing w:after="8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c) </w:t>
      </w:r>
      <w:r w:rsidRPr="00564305">
        <w:rPr>
          <w:rFonts w:ascii="Gotham" w:hAnsi="Gotham" w:cs="Calibri"/>
          <w:i/>
          <w:color w:val="000000"/>
          <w:sz w:val="18"/>
          <w:szCs w:val="18"/>
          <w:lang w:eastAsia="es-MX"/>
        </w:rPr>
        <w:tab/>
        <w:t>El Secretario General del Ayuntamiento.</w:t>
      </w:r>
    </w:p>
    <w:p w14:paraId="3A473A2F" w14:textId="77777777" w:rsidR="00016FE1" w:rsidRPr="00564305" w:rsidRDefault="00016FE1" w:rsidP="002B6227">
      <w:pPr>
        <w:tabs>
          <w:tab w:val="left" w:pos="9923"/>
        </w:tabs>
        <w:autoSpaceDE w:val="0"/>
        <w:autoSpaceDN w:val="0"/>
        <w:adjustRightInd w:val="0"/>
        <w:spacing w:after="8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d) </w:t>
      </w:r>
      <w:r w:rsidRPr="00564305">
        <w:rPr>
          <w:rFonts w:ascii="Gotham" w:hAnsi="Gotham" w:cs="Calibri"/>
          <w:i/>
          <w:color w:val="000000"/>
          <w:sz w:val="18"/>
          <w:szCs w:val="18"/>
          <w:lang w:eastAsia="es-MX"/>
        </w:rPr>
        <w:tab/>
        <w:t>La Dirección de Gestión Ambiental, Cambio Climático y Sustentabilidad.</w:t>
      </w:r>
    </w:p>
    <w:p w14:paraId="3A473A30" w14:textId="77777777" w:rsidR="00016FE1" w:rsidRPr="00564305" w:rsidRDefault="00016FE1" w:rsidP="002B6227">
      <w:pPr>
        <w:tabs>
          <w:tab w:val="left" w:pos="9923"/>
        </w:tabs>
        <w:autoSpaceDE w:val="0"/>
        <w:autoSpaceDN w:val="0"/>
        <w:adjustRightInd w:val="0"/>
        <w:spacing w:after="12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e) </w:t>
      </w:r>
      <w:r w:rsidRPr="00564305">
        <w:rPr>
          <w:rFonts w:ascii="Gotham" w:hAnsi="Gotham" w:cs="Calibri"/>
          <w:i/>
          <w:color w:val="000000"/>
          <w:sz w:val="18"/>
          <w:szCs w:val="18"/>
          <w:lang w:eastAsia="es-MX"/>
        </w:rPr>
        <w:tab/>
        <w:t>Las autoridades que establezcan los reglamentos y leyes de aplicación municipal.</w:t>
      </w:r>
    </w:p>
    <w:p w14:paraId="3A473A31" w14:textId="77777777" w:rsidR="00016FE1" w:rsidRPr="00564305" w:rsidRDefault="00016FE1" w:rsidP="002B6227">
      <w:pPr>
        <w:tabs>
          <w:tab w:val="left" w:pos="9923"/>
        </w:tabs>
        <w:autoSpaceDE w:val="0"/>
        <w:autoSpaceDN w:val="0"/>
        <w:adjustRightInd w:val="0"/>
        <w:spacing w:after="120"/>
        <w:ind w:left="1985" w:right="567" w:hanging="425"/>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ll. </w:t>
      </w:r>
      <w:r w:rsidRPr="00564305">
        <w:rPr>
          <w:rFonts w:ascii="Gotham" w:hAnsi="Gotham" w:cs="Calibri"/>
          <w:i/>
          <w:color w:val="000000"/>
          <w:sz w:val="18"/>
          <w:szCs w:val="18"/>
          <w:lang w:eastAsia="es-MX"/>
        </w:rPr>
        <w:tab/>
        <w:t>Con Carácter de Ejecutoras:</w:t>
      </w:r>
    </w:p>
    <w:p w14:paraId="3A473A32" w14:textId="77777777" w:rsidR="00016FE1" w:rsidRPr="00564305" w:rsidRDefault="00016FE1" w:rsidP="002B6227">
      <w:pPr>
        <w:tabs>
          <w:tab w:val="left" w:pos="9923"/>
        </w:tabs>
        <w:autoSpaceDE w:val="0"/>
        <w:autoSpaceDN w:val="0"/>
        <w:adjustRightInd w:val="0"/>
        <w:spacing w:after="8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a) </w:t>
      </w:r>
      <w:r w:rsidRPr="00564305">
        <w:rPr>
          <w:rFonts w:ascii="Gotham" w:hAnsi="Gotham" w:cs="Calibri"/>
          <w:i/>
          <w:color w:val="000000"/>
          <w:sz w:val="18"/>
          <w:szCs w:val="18"/>
          <w:lang w:eastAsia="es-MX"/>
        </w:rPr>
        <w:tab/>
        <w:t>Los Inspectores adscritos a Dirección de Inspección y Vigilancia Municipal.</w:t>
      </w:r>
    </w:p>
    <w:p w14:paraId="3A473A33" w14:textId="77777777" w:rsidR="00016FE1" w:rsidRPr="00564305" w:rsidRDefault="00016FE1" w:rsidP="002B6227">
      <w:pPr>
        <w:tabs>
          <w:tab w:val="left" w:pos="9923"/>
        </w:tabs>
        <w:autoSpaceDE w:val="0"/>
        <w:autoSpaceDN w:val="0"/>
        <w:adjustRightInd w:val="0"/>
        <w:spacing w:after="12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b) </w:t>
      </w:r>
      <w:r w:rsidRPr="00564305">
        <w:rPr>
          <w:rFonts w:ascii="Gotham" w:hAnsi="Gotham" w:cs="Calibri"/>
          <w:i/>
          <w:color w:val="000000"/>
          <w:sz w:val="18"/>
          <w:szCs w:val="18"/>
          <w:lang w:eastAsia="es-MX"/>
        </w:rPr>
        <w:tab/>
        <w:t>Los elementos de las corporaciones de policía municipal.</w:t>
      </w:r>
    </w:p>
    <w:p w14:paraId="3A473A34" w14:textId="77777777" w:rsidR="00016FE1" w:rsidRPr="00564305" w:rsidRDefault="00016FE1" w:rsidP="002B6227">
      <w:pPr>
        <w:tabs>
          <w:tab w:val="left" w:pos="9923"/>
        </w:tabs>
        <w:autoSpaceDE w:val="0"/>
        <w:autoSpaceDN w:val="0"/>
        <w:adjustRightInd w:val="0"/>
        <w:spacing w:after="120"/>
        <w:ind w:left="1985" w:right="567" w:hanging="425"/>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III. </w:t>
      </w:r>
      <w:r w:rsidRPr="00564305">
        <w:rPr>
          <w:rFonts w:ascii="Gotham" w:hAnsi="Gotham" w:cs="Calibri"/>
          <w:i/>
          <w:color w:val="000000"/>
          <w:sz w:val="18"/>
          <w:szCs w:val="18"/>
          <w:lang w:eastAsia="es-MX"/>
        </w:rPr>
        <w:tab/>
        <w:t>Con Carácter de Sancionadoras:</w:t>
      </w:r>
    </w:p>
    <w:p w14:paraId="3A473A35" w14:textId="77777777" w:rsidR="00016FE1" w:rsidRPr="00564305" w:rsidRDefault="00016FE1" w:rsidP="002B6227">
      <w:pPr>
        <w:tabs>
          <w:tab w:val="left" w:pos="9923"/>
        </w:tabs>
        <w:autoSpaceDE w:val="0"/>
        <w:autoSpaceDN w:val="0"/>
        <w:adjustRightInd w:val="0"/>
        <w:spacing w:after="8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a) </w:t>
      </w:r>
      <w:r w:rsidRPr="00564305">
        <w:rPr>
          <w:rFonts w:ascii="Gotham" w:hAnsi="Gotham" w:cs="Calibri"/>
          <w:i/>
          <w:color w:val="000000"/>
          <w:sz w:val="18"/>
          <w:szCs w:val="18"/>
          <w:lang w:eastAsia="es-MX"/>
        </w:rPr>
        <w:tab/>
        <w:t>El Presidente Municipal.</w:t>
      </w:r>
    </w:p>
    <w:p w14:paraId="3A473A36" w14:textId="77777777" w:rsidR="00016FE1" w:rsidRPr="00564305" w:rsidRDefault="00016FE1" w:rsidP="002B6227">
      <w:pPr>
        <w:tabs>
          <w:tab w:val="left" w:pos="9923"/>
        </w:tabs>
        <w:autoSpaceDE w:val="0"/>
        <w:autoSpaceDN w:val="0"/>
        <w:adjustRightInd w:val="0"/>
        <w:spacing w:after="8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b) </w:t>
      </w:r>
      <w:r w:rsidRPr="00564305">
        <w:rPr>
          <w:rFonts w:ascii="Gotham" w:hAnsi="Gotham" w:cs="Calibri"/>
          <w:i/>
          <w:color w:val="000000"/>
          <w:sz w:val="18"/>
          <w:szCs w:val="18"/>
          <w:lang w:eastAsia="es-MX"/>
        </w:rPr>
        <w:tab/>
        <w:t>El Secretario General del Ayuntamiento.</w:t>
      </w:r>
    </w:p>
    <w:p w14:paraId="3A473A37" w14:textId="77777777" w:rsidR="00016FE1" w:rsidRPr="00564305" w:rsidRDefault="00016FE1" w:rsidP="002B6227">
      <w:pPr>
        <w:tabs>
          <w:tab w:val="left" w:pos="9923"/>
        </w:tabs>
        <w:autoSpaceDE w:val="0"/>
        <w:autoSpaceDN w:val="0"/>
        <w:adjustRightInd w:val="0"/>
        <w:spacing w:after="120"/>
        <w:ind w:left="2268" w:right="567" w:hanging="283"/>
        <w:jc w:val="both"/>
        <w:rPr>
          <w:rFonts w:ascii="Gotham" w:hAnsi="Gotham" w:cs="Calibri"/>
          <w:i/>
          <w:color w:val="000000"/>
          <w:sz w:val="18"/>
          <w:szCs w:val="18"/>
          <w:lang w:eastAsia="es-MX"/>
        </w:rPr>
      </w:pPr>
      <w:r w:rsidRPr="00564305">
        <w:rPr>
          <w:rFonts w:ascii="Gotham" w:hAnsi="Gotham" w:cs="Calibri"/>
          <w:i/>
          <w:color w:val="000000"/>
          <w:sz w:val="18"/>
          <w:szCs w:val="18"/>
          <w:lang w:eastAsia="es-MX"/>
        </w:rPr>
        <w:t xml:space="preserve">c) </w:t>
      </w:r>
      <w:r w:rsidRPr="00564305">
        <w:rPr>
          <w:rFonts w:ascii="Gotham" w:hAnsi="Gotham" w:cs="Calibri"/>
          <w:i/>
          <w:color w:val="000000"/>
          <w:sz w:val="18"/>
          <w:szCs w:val="18"/>
          <w:lang w:eastAsia="es-MX"/>
        </w:rPr>
        <w:tab/>
        <w:t>Los Inspectores de la Dirección de Inspección y Vigilancia municipal</w:t>
      </w:r>
    </w:p>
    <w:p w14:paraId="3A473A38"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39"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EC60FA">
        <w:rPr>
          <w:rFonts w:ascii="Gotham" w:hAnsi="Gotham" w:cs="Calibri"/>
          <w:i/>
          <w:color w:val="000000"/>
          <w:sz w:val="19"/>
          <w:szCs w:val="19"/>
          <w:lang w:eastAsia="es-MX"/>
        </w:rPr>
        <w:t xml:space="preserve">VI. </w:t>
      </w:r>
      <w:r w:rsidRPr="00EC60FA">
        <w:rPr>
          <w:rFonts w:ascii="Gotham" w:hAnsi="Gotham" w:cs="Calibri"/>
          <w:i/>
          <w:color w:val="000000"/>
          <w:sz w:val="19"/>
          <w:szCs w:val="19"/>
          <w:lang w:eastAsia="es-MX"/>
        </w:rPr>
        <w:tab/>
        <w:t>Los municipios tienen una responsabilidad directa, inmediata e ineludible hacia el medio ambiente que hasta hace pocos años no reconocían como primordial sino como una función secundaria. Hoy es más que una obligación jurídica, es un compromiso social del nivel de gobierno más cercano a la sociedad. Es por esta razón que deben aplicar políticas que solucionen los problemas medioambientales.</w:t>
      </w:r>
    </w:p>
    <w:p w14:paraId="3A473A3A"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3B"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EC60FA">
        <w:rPr>
          <w:rFonts w:ascii="Gotham" w:hAnsi="Gotham" w:cs="Calibri"/>
          <w:i/>
          <w:color w:val="000000"/>
          <w:sz w:val="19"/>
          <w:szCs w:val="19"/>
          <w:lang w:eastAsia="es-MX"/>
        </w:rPr>
        <w:t xml:space="preserve">VII. </w:t>
      </w:r>
      <w:r w:rsidRPr="00EC60FA">
        <w:rPr>
          <w:rFonts w:ascii="Gotham" w:hAnsi="Gotham" w:cs="Calibri"/>
          <w:i/>
          <w:color w:val="000000"/>
          <w:sz w:val="19"/>
          <w:szCs w:val="19"/>
          <w:lang w:eastAsia="es-MX"/>
        </w:rPr>
        <w:tab/>
        <w:t>A lo largo de esta administración se han acercado a mis muchas personas a externar su descontento respecto a la situación que se vive en el municipio en el tema ecológico. Personas que realizan quemas sin ningún permiso, que escuchan música a un volumen muy alto en la madrugada molestando a sus vecinos, que tiran basura y escombro en la vía pública y demás actividades que atentan con el medio ambiente. Es importante mencionar que la mayoría de estas actividades son realizadas por las noches, un horario en el que no hay vigilancia por parte de este ayuntamiento, es ahí donde surge la inconformidad de personas que si bien pueden realizar el reporte de estos actos que se cometen, es una realidad que no existe personal del ayuntamiento que acuda al lugar de los hechos e imponga las sanciones pertinentes.</w:t>
      </w:r>
    </w:p>
    <w:p w14:paraId="3A473A3C"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p>
    <w:p w14:paraId="3A473A3D" w14:textId="77777777" w:rsidR="00016FE1" w:rsidRPr="00EC60FA"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EC60FA">
        <w:rPr>
          <w:rFonts w:ascii="Gotham" w:hAnsi="Gotham" w:cs="Calibri"/>
          <w:i/>
          <w:color w:val="000000"/>
          <w:sz w:val="19"/>
          <w:szCs w:val="19"/>
          <w:lang w:eastAsia="es-MX"/>
        </w:rPr>
        <w:t xml:space="preserve">VIII. </w:t>
      </w:r>
      <w:r w:rsidRPr="00EC60FA">
        <w:rPr>
          <w:rFonts w:ascii="Gotham" w:hAnsi="Gotham" w:cs="Calibri"/>
          <w:i/>
          <w:color w:val="000000"/>
          <w:sz w:val="19"/>
          <w:szCs w:val="19"/>
          <w:lang w:eastAsia="es-MX"/>
        </w:rPr>
        <w:tab/>
        <w:t>Es por esta razón que propongo que se habilite una cuadrilla de inspectores de ecología en el turno de la noche, para que puedan atender los reportes de los ciudadanos y se sancione a las personas que de manera irresponsable cometen estos actos.</w:t>
      </w:r>
    </w:p>
    <w:p w14:paraId="3A473A3E" w14:textId="77777777" w:rsidR="00016FE1" w:rsidRPr="00EC60FA"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3F" w14:textId="77777777" w:rsidR="00016FE1" w:rsidRPr="00C7348F" w:rsidRDefault="00016FE1" w:rsidP="002B6227">
      <w:pPr>
        <w:tabs>
          <w:tab w:val="left" w:pos="9923"/>
        </w:tabs>
        <w:autoSpaceDE w:val="0"/>
        <w:autoSpaceDN w:val="0"/>
        <w:adjustRightInd w:val="0"/>
        <w:ind w:left="851" w:right="283"/>
        <w:jc w:val="center"/>
        <w:rPr>
          <w:rFonts w:ascii="Gotham" w:hAnsi="Gotham" w:cs="Calibri"/>
          <w:i/>
          <w:color w:val="000000"/>
          <w:sz w:val="19"/>
          <w:szCs w:val="19"/>
          <w:lang w:eastAsia="es-MX"/>
        </w:rPr>
      </w:pPr>
      <w:r w:rsidRPr="00C7348F">
        <w:rPr>
          <w:rFonts w:ascii="Gotham" w:hAnsi="Gotham" w:cs="Calibri"/>
          <w:i/>
          <w:color w:val="000000"/>
          <w:sz w:val="19"/>
          <w:szCs w:val="19"/>
          <w:lang w:eastAsia="es-MX"/>
        </w:rPr>
        <w:t>ACUERDO</w:t>
      </w:r>
    </w:p>
    <w:p w14:paraId="3A473A40" w14:textId="77777777" w:rsidR="00016FE1" w:rsidRPr="00C7348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41" w14:textId="77777777" w:rsidR="00016FE1" w:rsidRPr="00C7348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C7348F">
        <w:rPr>
          <w:rFonts w:ascii="Gotham" w:hAnsi="Gotham" w:cs="Calibri"/>
          <w:i/>
          <w:color w:val="000000"/>
          <w:sz w:val="19"/>
          <w:szCs w:val="19"/>
          <w:lang w:eastAsia="es-MX"/>
        </w:rPr>
        <w:lastRenderedPageBreak/>
        <w:t>PRIMERO. - Se aprueba turnar la presente iniciativa a las comisiones de competentes para su estudio, análisis y dictamen correspondiente, con la finalidad que se habilite una guardia nocturna de inspectores de ecología para que se haga cumplir con las disposiciones del Reglamento para la Protección Ambiental, Cambio Climático y Sustentabilidad del municipio de Tonalá.</w:t>
      </w:r>
    </w:p>
    <w:p w14:paraId="3A473A42" w14:textId="77777777" w:rsidR="00016FE1" w:rsidRPr="00C7348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43" w14:textId="77777777" w:rsidR="00016FE1" w:rsidRPr="00C7348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C7348F">
        <w:rPr>
          <w:rFonts w:ascii="Gotham" w:hAnsi="Gotham" w:cs="Calibri"/>
          <w:i/>
          <w:color w:val="000000"/>
          <w:sz w:val="19"/>
          <w:szCs w:val="19"/>
          <w:lang w:eastAsia="es-MX"/>
        </w:rPr>
        <w:t>SEGUNDO. - Se faculta al Presidente Municipal, Secretaria General y Sindico del este Ayuntamiento para suscribir la documentación necesaria para efecto de dar cabal cumplimiento al presente acuerdo.</w:t>
      </w:r>
    </w:p>
    <w:p w14:paraId="3A473A44" w14:textId="77777777" w:rsidR="00016FE1" w:rsidRPr="00C7348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45" w14:textId="77777777" w:rsidR="00016FE1" w:rsidRPr="00C7348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C7348F">
        <w:rPr>
          <w:rFonts w:ascii="Gotham" w:hAnsi="Gotham" w:cs="Calibri"/>
          <w:i/>
          <w:color w:val="000000"/>
          <w:sz w:val="19"/>
          <w:szCs w:val="19"/>
          <w:lang w:eastAsia="es-MX"/>
        </w:rPr>
        <w:t>Continuando con el uso de la voz, la Regidora Rocío Acosta Cervantes, agrega que, este asunto vario tiene que ver con la situación que se vive en el municipio en el tema ecológico, porque sabemos, digo, para nadie es ajeno que hay personas que realizan quemas de manera clandestina o que escuchan música a alto volumen a altas horas de la noche, prácticamente se amanecen; platicando con las áreas correspondientes, pues me comentan que no hay una cuadrilla de inspectores por la noche, que es cuando más se presentan estos problemas, entonces esto, entiendo que ya en el área de Reglamentos que ya el compañero Regidor Bañales había presentado también una propuesta en el sentido pues de que se multara, y que se les aplicara en su cuenta predial y que de alguna forma se está trabajando, pero el problema lo tenemos todos los días, donde efectivamente se le llama a la policía para que puedan acudir a poner orden, pero solamente es un llamado al orden y finalmente pues no pasa nada, no se levanta una multa. Entonces, la propuesta es en el sentido de que se habilite una cuadrilla de Inspectores de Ecología en el turno de la noche, obviamente van a ocupar algún vehículo también para poder hacerlo y pues sabemos que ellos piden el apoyo a Seguridad Pública, o sea, no van a ir solos, porque también sabemos que es peligroso muchas veces, pero bueno, que se pueda atender ya de manera inmediata el reclamo de los vecinos, para los que nos ha tocado tener que lidiar con algún vecino que le gusta amanecerse con la música todo el volumen, pues sabemos lo molesto que es y es desesperante no tener ni siquiera un teléfono al cual llamar para que acudan y efectivamente puedan poner un orden, entonces es hacer este llamado, y bueno, la presente iniciativa es para que se turne a las comisiones competentes para su estudio, análisis y dictamen correspondiente, con la finalidad de que se habilite dicha guardia nocturna; es cuento.</w:t>
      </w:r>
    </w:p>
    <w:p w14:paraId="3A473A46" w14:textId="77777777" w:rsidR="00016FE1" w:rsidRPr="00C7348F" w:rsidRDefault="00016FE1" w:rsidP="002B6227">
      <w:pPr>
        <w:ind w:left="567" w:hanging="567"/>
        <w:jc w:val="both"/>
        <w:rPr>
          <w:rFonts w:ascii="Gotham" w:hAnsi="Gotham"/>
          <w:sz w:val="20"/>
          <w:szCs w:val="20"/>
        </w:rPr>
      </w:pPr>
    </w:p>
    <w:p w14:paraId="3A473A47" w14:textId="77777777" w:rsidR="00016FE1" w:rsidRPr="00C7348F" w:rsidRDefault="00016FE1" w:rsidP="002B6227">
      <w:pPr>
        <w:ind w:left="567" w:hanging="567"/>
        <w:jc w:val="both"/>
        <w:rPr>
          <w:rFonts w:ascii="Gotham" w:hAnsi="Gotham"/>
          <w:sz w:val="20"/>
          <w:szCs w:val="20"/>
        </w:rPr>
      </w:pPr>
      <w:r w:rsidRPr="00C7348F">
        <w:rPr>
          <w:rFonts w:ascii="Gotham" w:hAnsi="Gotham"/>
          <w:sz w:val="20"/>
          <w:szCs w:val="20"/>
        </w:rPr>
        <w:t xml:space="preserve">III. Ahora bien, mediante oficios SECRETARÍAGENERAL/110/2023 y SECRETARIA GENERAL/772/2023, suscritos por la Secretaria General del Ayuntamiento la Mtra. Celia Isabel Gauna Ruiz de León, le turno ambos asunto vario, que nos ocupa, para su estudio, análisis y dictaminación a la Comisión Edilicia de Reglamentos, Puntos Constitucionales, Administración y Planeación Legislativa. </w:t>
      </w:r>
    </w:p>
    <w:p w14:paraId="3A473A48" w14:textId="77777777" w:rsidR="00016FE1" w:rsidRPr="00C7348F" w:rsidRDefault="00016FE1" w:rsidP="002B6227">
      <w:pPr>
        <w:ind w:left="567" w:hanging="567"/>
        <w:jc w:val="both"/>
        <w:rPr>
          <w:rFonts w:ascii="Gotham" w:hAnsi="Gotham"/>
          <w:sz w:val="20"/>
          <w:szCs w:val="20"/>
        </w:rPr>
      </w:pPr>
    </w:p>
    <w:p w14:paraId="3A473A49" w14:textId="77777777" w:rsidR="00016FE1" w:rsidRPr="00C7348F" w:rsidRDefault="00016FE1" w:rsidP="002B6227">
      <w:pPr>
        <w:jc w:val="both"/>
        <w:rPr>
          <w:rFonts w:ascii="Gotham" w:hAnsi="Gotham"/>
          <w:sz w:val="20"/>
          <w:szCs w:val="20"/>
        </w:rPr>
      </w:pPr>
      <w:r w:rsidRPr="00C7348F">
        <w:rPr>
          <w:rFonts w:ascii="Gotham" w:hAnsi="Gotham"/>
          <w:sz w:val="20"/>
          <w:szCs w:val="20"/>
        </w:rPr>
        <w:t>Una vez establecido lo anterior, los integrantes de la Comisión dictaminadora tienen a bien realizar las siguientes:</w:t>
      </w:r>
    </w:p>
    <w:p w14:paraId="3A473A4A" w14:textId="77777777" w:rsidR="00016FE1" w:rsidRPr="00C7348F" w:rsidRDefault="00016FE1" w:rsidP="002B6227">
      <w:pPr>
        <w:jc w:val="both"/>
        <w:rPr>
          <w:rFonts w:ascii="Gotham" w:hAnsi="Gotham"/>
          <w:sz w:val="20"/>
          <w:szCs w:val="20"/>
        </w:rPr>
      </w:pPr>
    </w:p>
    <w:p w14:paraId="3A473A4B" w14:textId="77777777" w:rsidR="00016FE1" w:rsidRPr="00C7348F" w:rsidRDefault="00016FE1" w:rsidP="002B6227">
      <w:pPr>
        <w:jc w:val="center"/>
        <w:rPr>
          <w:rFonts w:ascii="Gotham" w:hAnsi="Gotham"/>
          <w:sz w:val="20"/>
          <w:szCs w:val="20"/>
        </w:rPr>
      </w:pPr>
      <w:r w:rsidRPr="00C7348F">
        <w:rPr>
          <w:rFonts w:ascii="Gotham" w:hAnsi="Gotham"/>
          <w:sz w:val="20"/>
          <w:szCs w:val="20"/>
        </w:rPr>
        <w:t>CONSIDERACIONES</w:t>
      </w:r>
    </w:p>
    <w:p w14:paraId="3A473A4C" w14:textId="77777777" w:rsidR="00016FE1" w:rsidRPr="00C7348F" w:rsidRDefault="00016FE1" w:rsidP="002B6227">
      <w:pPr>
        <w:ind w:left="567" w:hanging="567"/>
        <w:jc w:val="both"/>
        <w:rPr>
          <w:rFonts w:ascii="Gotham" w:hAnsi="Gotham"/>
          <w:sz w:val="20"/>
          <w:szCs w:val="20"/>
        </w:rPr>
      </w:pPr>
    </w:p>
    <w:p w14:paraId="3A473A4D" w14:textId="77777777" w:rsidR="00016FE1" w:rsidRPr="00C7348F" w:rsidRDefault="00016FE1" w:rsidP="002B6227">
      <w:pPr>
        <w:ind w:left="567" w:hanging="567"/>
        <w:jc w:val="both"/>
        <w:rPr>
          <w:rFonts w:ascii="Gotham" w:hAnsi="Gotham"/>
          <w:sz w:val="20"/>
          <w:szCs w:val="20"/>
        </w:rPr>
      </w:pPr>
      <w:r w:rsidRPr="00C7348F">
        <w:rPr>
          <w:rFonts w:ascii="Gotham" w:hAnsi="Gotham"/>
          <w:sz w:val="20"/>
          <w:szCs w:val="20"/>
        </w:rPr>
        <w:t xml:space="preserve">I. </w:t>
      </w:r>
      <w:r>
        <w:rPr>
          <w:rFonts w:ascii="Gotham" w:hAnsi="Gotham"/>
          <w:sz w:val="20"/>
          <w:szCs w:val="20"/>
        </w:rPr>
        <w:tab/>
      </w:r>
      <w:r w:rsidRPr="00C7348F">
        <w:rPr>
          <w:rFonts w:ascii="Gotham" w:hAnsi="Gotham"/>
          <w:sz w:val="20"/>
          <w:szCs w:val="20"/>
        </w:rPr>
        <w:t>Del análisis y lectura de los turnos a comisión antes señalados que contienen el asunto varios propuestos por los ediles al pleno del ayuntamiento se requiere fortalecer el normatividad municipal respectivamente, se desprende que estas reúnen los requisitos formales instituidos en el numeral 83 del Reglamento para el Funcionamiento Interno de Sesiones del Ayuntamiento Constitucional de Tonalá, Jalisco; advirtiendo puntualmente la explicación de la necesidad y fines perseguidos, el análisis de las repercusiones que en caso de llegar a aprobarse podrían tener en los aspectos jurídico, económico y social, así como de contener la motivación de los artículos que se pretenden reformar del Código para la Protección Ambiental, Cambio Climático y Sustentabilidad del Municipio de Tonalá, Jalisco.</w:t>
      </w:r>
    </w:p>
    <w:p w14:paraId="3A473A4E" w14:textId="77777777" w:rsidR="00016FE1" w:rsidRPr="00C7348F" w:rsidRDefault="00016FE1" w:rsidP="002B6227">
      <w:pPr>
        <w:ind w:left="567" w:hanging="567"/>
        <w:jc w:val="both"/>
        <w:rPr>
          <w:rFonts w:ascii="Gotham" w:hAnsi="Gotham"/>
          <w:sz w:val="20"/>
          <w:szCs w:val="20"/>
        </w:rPr>
      </w:pPr>
    </w:p>
    <w:p w14:paraId="3A473A4F" w14:textId="77777777" w:rsidR="00016FE1" w:rsidRDefault="00016FE1" w:rsidP="002B6227">
      <w:pPr>
        <w:ind w:left="567" w:hanging="567"/>
        <w:jc w:val="both"/>
        <w:rPr>
          <w:rFonts w:ascii="Gotham" w:hAnsi="Gotham" w:cs="Arial"/>
          <w:sz w:val="20"/>
          <w:szCs w:val="20"/>
          <w:lang w:eastAsia="es-MX"/>
        </w:rPr>
      </w:pPr>
      <w:r w:rsidRPr="00C7348F">
        <w:rPr>
          <w:rFonts w:ascii="Gotham" w:hAnsi="Gotham"/>
          <w:sz w:val="20"/>
          <w:szCs w:val="20"/>
        </w:rPr>
        <w:t xml:space="preserve">II. </w:t>
      </w:r>
      <w:r w:rsidRPr="00C7348F">
        <w:rPr>
          <w:rFonts w:ascii="Gotham" w:hAnsi="Gotham"/>
          <w:sz w:val="20"/>
          <w:szCs w:val="20"/>
        </w:rPr>
        <w:tab/>
        <w:t>Que la Constitución Política de los Estados Unidos Mexicanos, en su artículo 115</w:t>
      </w:r>
      <w:r>
        <w:rPr>
          <w:rFonts w:ascii="Gotham" w:hAnsi="Gotham"/>
          <w:sz w:val="20"/>
          <w:szCs w:val="20"/>
        </w:rPr>
        <w:t>,</w:t>
      </w:r>
      <w:r w:rsidRPr="00C7348F">
        <w:rPr>
          <w:rFonts w:ascii="Gotham" w:hAnsi="Gotham"/>
          <w:sz w:val="20"/>
          <w:szCs w:val="20"/>
        </w:rPr>
        <w:t xml:space="preserve"> establece</w:t>
      </w:r>
      <w:r w:rsidRPr="00C7348F">
        <w:rPr>
          <w:rFonts w:ascii="Gotham" w:hAnsi="Gotham" w:cs="Arial"/>
          <w:sz w:val="20"/>
          <w:szCs w:val="20"/>
          <w:lang w:eastAsia="es-MX"/>
        </w:rPr>
        <w:t xml:space="preserve"> que</w:t>
      </w:r>
      <w:r>
        <w:rPr>
          <w:rFonts w:ascii="Gotham" w:hAnsi="Gotham" w:cs="Arial"/>
          <w:sz w:val="20"/>
          <w:szCs w:val="20"/>
          <w:lang w:eastAsia="es-MX"/>
        </w:rPr>
        <w:t>:</w:t>
      </w:r>
      <w:r w:rsidRPr="00C7348F">
        <w:rPr>
          <w:rFonts w:ascii="Gotham" w:hAnsi="Gotham" w:cs="Arial"/>
          <w:sz w:val="20"/>
          <w:szCs w:val="20"/>
          <w:lang w:eastAsia="es-MX"/>
        </w:rPr>
        <w:t xml:space="preserve"> </w:t>
      </w:r>
    </w:p>
    <w:p w14:paraId="3A473A50" w14:textId="77777777" w:rsidR="00016FE1" w:rsidRDefault="00016FE1" w:rsidP="002B6227">
      <w:pPr>
        <w:ind w:left="567" w:hanging="567"/>
        <w:jc w:val="both"/>
        <w:rPr>
          <w:rFonts w:ascii="Gotham" w:hAnsi="Gotham" w:cs="Arial"/>
          <w:i/>
          <w:sz w:val="20"/>
          <w:szCs w:val="20"/>
          <w:lang w:eastAsia="es-MX"/>
        </w:rPr>
      </w:pPr>
    </w:p>
    <w:p w14:paraId="3A473A51" w14:textId="77777777" w:rsidR="00016FE1" w:rsidRPr="00C7348F"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C7348F">
        <w:rPr>
          <w:rFonts w:ascii="Gotham" w:hAnsi="Gotham" w:cs="Calibri"/>
          <w:i/>
          <w:color w:val="000000"/>
          <w:sz w:val="19"/>
          <w:szCs w:val="19"/>
          <w:lang w:eastAsia="es-MX"/>
        </w:rPr>
        <w:t>“…Los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3A473A52" w14:textId="77777777" w:rsidR="00016FE1" w:rsidRPr="00C7348F" w:rsidRDefault="00016FE1" w:rsidP="002B6227">
      <w:pPr>
        <w:jc w:val="both"/>
        <w:rPr>
          <w:rFonts w:ascii="Gotham" w:hAnsi="Gotham" w:cs="Arial"/>
          <w:sz w:val="20"/>
          <w:szCs w:val="20"/>
          <w:lang w:eastAsia="es-MX"/>
        </w:rPr>
      </w:pPr>
    </w:p>
    <w:p w14:paraId="3A473A53" w14:textId="77777777" w:rsidR="00016FE1" w:rsidRDefault="00016FE1" w:rsidP="002B6227">
      <w:pPr>
        <w:autoSpaceDE w:val="0"/>
        <w:autoSpaceDN w:val="0"/>
        <w:adjustRightInd w:val="0"/>
        <w:ind w:left="567" w:hanging="567"/>
        <w:jc w:val="both"/>
        <w:rPr>
          <w:rFonts w:ascii="Gotham" w:hAnsi="Gotham" w:cs="Arial"/>
          <w:sz w:val="20"/>
          <w:szCs w:val="20"/>
        </w:rPr>
      </w:pPr>
      <w:r w:rsidRPr="00C7348F">
        <w:rPr>
          <w:rFonts w:ascii="Gotham" w:hAnsi="Gotham" w:cs="Arial"/>
          <w:sz w:val="20"/>
          <w:szCs w:val="20"/>
        </w:rPr>
        <w:t xml:space="preserve">III. </w:t>
      </w:r>
      <w:r>
        <w:rPr>
          <w:rFonts w:ascii="Gotham" w:hAnsi="Gotham" w:cs="Arial"/>
          <w:sz w:val="20"/>
          <w:szCs w:val="20"/>
        </w:rPr>
        <w:tab/>
      </w:r>
      <w:r w:rsidRPr="00C7348F">
        <w:rPr>
          <w:rFonts w:ascii="Gotham" w:hAnsi="Gotham" w:cs="Arial"/>
          <w:sz w:val="20"/>
          <w:szCs w:val="20"/>
        </w:rPr>
        <w:t>Que la Constitución Política del Estado de Jalisco, en su numeral 73</w:t>
      </w:r>
      <w:r>
        <w:rPr>
          <w:rFonts w:ascii="Gotham" w:hAnsi="Gotham" w:cs="Arial"/>
          <w:sz w:val="20"/>
          <w:szCs w:val="20"/>
        </w:rPr>
        <w:t>,</w:t>
      </w:r>
      <w:r w:rsidRPr="00C7348F">
        <w:rPr>
          <w:rFonts w:ascii="Gotham" w:hAnsi="Gotham" w:cs="Arial"/>
          <w:sz w:val="20"/>
          <w:szCs w:val="20"/>
        </w:rPr>
        <w:t xml:space="preserve"> estipula que</w:t>
      </w:r>
      <w:r>
        <w:rPr>
          <w:rFonts w:ascii="Gotham" w:hAnsi="Gotham" w:cs="Arial"/>
          <w:sz w:val="20"/>
          <w:szCs w:val="20"/>
        </w:rPr>
        <w:t>:</w:t>
      </w:r>
      <w:r w:rsidRPr="00C7348F">
        <w:rPr>
          <w:rFonts w:ascii="Gotham" w:hAnsi="Gotham" w:cs="Arial"/>
          <w:sz w:val="20"/>
          <w:szCs w:val="20"/>
        </w:rPr>
        <w:t xml:space="preserve"> </w:t>
      </w:r>
    </w:p>
    <w:p w14:paraId="3A473A54" w14:textId="77777777" w:rsidR="00016FE1" w:rsidRDefault="00016FE1" w:rsidP="002B6227">
      <w:pPr>
        <w:autoSpaceDE w:val="0"/>
        <w:autoSpaceDN w:val="0"/>
        <w:adjustRightInd w:val="0"/>
        <w:ind w:left="567" w:hanging="567"/>
        <w:jc w:val="both"/>
        <w:rPr>
          <w:rFonts w:ascii="Gotham" w:hAnsi="Gotham" w:cs="Arial"/>
          <w:sz w:val="20"/>
          <w:szCs w:val="20"/>
        </w:rPr>
      </w:pPr>
    </w:p>
    <w:p w14:paraId="3A473A55" w14:textId="77777777" w:rsidR="00016FE1" w:rsidRPr="006E71BD"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6E71BD">
        <w:rPr>
          <w:rFonts w:ascii="Gotham" w:hAnsi="Gotham" w:cs="Calibri"/>
          <w:i/>
          <w:color w:val="000000"/>
          <w:sz w:val="19"/>
          <w:szCs w:val="19"/>
          <w:lang w:eastAsia="es-MX"/>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p>
    <w:p w14:paraId="3A473A56" w14:textId="77777777" w:rsidR="00016FE1" w:rsidRPr="006E71BD"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57" w14:textId="77777777" w:rsidR="00016FE1" w:rsidRPr="006E71BD"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6E71BD">
        <w:rPr>
          <w:rFonts w:ascii="Gotham" w:hAnsi="Gotham" w:cs="Calibri"/>
          <w:i/>
          <w:color w:val="000000"/>
          <w:sz w:val="19"/>
          <w:szCs w:val="19"/>
          <w:lang w:eastAsia="es-MX"/>
        </w:rPr>
        <w:t>“… 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w:t>
      </w:r>
    </w:p>
    <w:p w14:paraId="3A473A58" w14:textId="77777777" w:rsidR="00016FE1" w:rsidRPr="00C7348F" w:rsidRDefault="00016FE1" w:rsidP="002B6227">
      <w:pPr>
        <w:autoSpaceDE w:val="0"/>
        <w:autoSpaceDN w:val="0"/>
        <w:adjustRightInd w:val="0"/>
        <w:ind w:left="567" w:hanging="567"/>
        <w:jc w:val="both"/>
        <w:rPr>
          <w:rFonts w:ascii="Gotham" w:hAnsi="Gotham" w:cs="Arial"/>
          <w:sz w:val="20"/>
          <w:szCs w:val="20"/>
        </w:rPr>
      </w:pPr>
    </w:p>
    <w:p w14:paraId="3A473A59" w14:textId="77777777" w:rsidR="00016FE1" w:rsidRDefault="00016FE1" w:rsidP="002B6227">
      <w:pPr>
        <w:ind w:left="567" w:hanging="567"/>
        <w:jc w:val="both"/>
        <w:rPr>
          <w:rFonts w:ascii="Gotham" w:hAnsi="Gotham" w:cs="Arial"/>
          <w:sz w:val="20"/>
          <w:szCs w:val="20"/>
        </w:rPr>
      </w:pPr>
      <w:r w:rsidRPr="00C7348F">
        <w:rPr>
          <w:rFonts w:ascii="Gotham" w:hAnsi="Gotham" w:cs="Arial"/>
          <w:sz w:val="20"/>
          <w:szCs w:val="20"/>
        </w:rPr>
        <w:t xml:space="preserve">IV. </w:t>
      </w:r>
      <w:r>
        <w:rPr>
          <w:rFonts w:ascii="Gotham" w:hAnsi="Gotham" w:cs="Arial"/>
          <w:sz w:val="20"/>
          <w:szCs w:val="20"/>
        </w:rPr>
        <w:tab/>
      </w:r>
      <w:r w:rsidRPr="00C7348F">
        <w:rPr>
          <w:rFonts w:ascii="Gotham" w:hAnsi="Gotham" w:cs="Arial"/>
          <w:sz w:val="20"/>
          <w:szCs w:val="20"/>
        </w:rPr>
        <w:t xml:space="preserve">Por su parte, la Ley del Gobierno y la Administración Pública Municipal del Estado de Jalisco, en su artículo 3, establece que </w:t>
      </w:r>
    </w:p>
    <w:p w14:paraId="3A473A5A" w14:textId="77777777" w:rsidR="00016FE1" w:rsidRDefault="00016FE1" w:rsidP="002B6227">
      <w:pPr>
        <w:ind w:left="567" w:hanging="567"/>
        <w:jc w:val="both"/>
        <w:rPr>
          <w:rFonts w:ascii="Gotham" w:hAnsi="Gotham" w:cs="Arial"/>
          <w:sz w:val="20"/>
          <w:szCs w:val="20"/>
        </w:rPr>
      </w:pPr>
    </w:p>
    <w:p w14:paraId="3A473A5B" w14:textId="77777777" w:rsidR="00016FE1" w:rsidRPr="00ED1A36"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ED1A36">
        <w:rPr>
          <w:rFonts w:ascii="Gotham" w:hAnsi="Gotham" w:cs="Calibri"/>
          <w:i/>
          <w:color w:val="000000"/>
          <w:sz w:val="19"/>
          <w:szCs w:val="19"/>
          <w:lang w:eastAsia="es-MX"/>
        </w:rPr>
        <w:t xml:space="preserve">“…cada Municipio es gobernado por un Ayuntamiento de elección popular directa. Las competencias municipales deben ser ejercidas de manera exclusiva por el Ayuntamiento y no habrá ninguna autoridad intermedia entre éste y el Gobierno del Estado...”. </w:t>
      </w:r>
    </w:p>
    <w:p w14:paraId="3A473A5C" w14:textId="77777777" w:rsidR="00016FE1" w:rsidRDefault="00016FE1" w:rsidP="002B6227">
      <w:pPr>
        <w:ind w:left="567"/>
        <w:jc w:val="both"/>
        <w:rPr>
          <w:rFonts w:ascii="Gotham" w:hAnsi="Gotham" w:cs="Arial"/>
          <w:snapToGrid w:val="0"/>
          <w:sz w:val="20"/>
          <w:szCs w:val="20"/>
        </w:rPr>
      </w:pPr>
    </w:p>
    <w:p w14:paraId="3A473A5D" w14:textId="77777777" w:rsidR="00016FE1" w:rsidRDefault="00016FE1" w:rsidP="002B6227">
      <w:pPr>
        <w:ind w:left="567"/>
        <w:jc w:val="both"/>
        <w:rPr>
          <w:rFonts w:ascii="Gotham" w:hAnsi="Gotham" w:cs="Arial"/>
          <w:sz w:val="20"/>
          <w:szCs w:val="20"/>
        </w:rPr>
      </w:pPr>
      <w:r w:rsidRPr="00C7348F">
        <w:rPr>
          <w:rFonts w:ascii="Gotham" w:hAnsi="Gotham" w:cs="Arial"/>
          <w:snapToGrid w:val="0"/>
          <w:sz w:val="20"/>
          <w:szCs w:val="20"/>
        </w:rPr>
        <w:t xml:space="preserve">Asimismo, </w:t>
      </w:r>
      <w:r w:rsidRPr="00C7348F">
        <w:rPr>
          <w:rFonts w:ascii="Gotham" w:hAnsi="Gotham" w:cs="Arial"/>
          <w:sz w:val="20"/>
          <w:szCs w:val="20"/>
        </w:rPr>
        <w:t>en su artículo 27, precisa que</w:t>
      </w:r>
      <w:r>
        <w:rPr>
          <w:rFonts w:ascii="Gotham" w:hAnsi="Gotham" w:cs="Arial"/>
          <w:sz w:val="20"/>
          <w:szCs w:val="20"/>
        </w:rPr>
        <w:t>:</w:t>
      </w:r>
      <w:r w:rsidRPr="00C7348F">
        <w:rPr>
          <w:rFonts w:ascii="Gotham" w:hAnsi="Gotham" w:cs="Arial"/>
          <w:sz w:val="20"/>
          <w:szCs w:val="20"/>
        </w:rPr>
        <w:t xml:space="preserve"> </w:t>
      </w:r>
    </w:p>
    <w:p w14:paraId="3A473A5E" w14:textId="77777777" w:rsidR="00016FE1" w:rsidRDefault="00016FE1" w:rsidP="002B6227">
      <w:pPr>
        <w:ind w:left="567"/>
        <w:jc w:val="both"/>
        <w:rPr>
          <w:rFonts w:ascii="Gotham" w:hAnsi="Gotham" w:cs="Arial"/>
          <w:sz w:val="20"/>
          <w:szCs w:val="20"/>
        </w:rPr>
      </w:pPr>
    </w:p>
    <w:p w14:paraId="3A473A5F" w14:textId="77777777" w:rsidR="00016FE1" w:rsidRPr="00ED1A36"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ED1A36">
        <w:rPr>
          <w:rFonts w:ascii="Gotham" w:hAnsi="Gotham" w:cs="Calibri"/>
          <w:i/>
          <w:color w:val="000000"/>
          <w:sz w:val="19"/>
          <w:szCs w:val="19"/>
          <w:lang w:eastAsia="es-MX"/>
        </w:rPr>
        <w:t>“Los Ayuntamientos, para el estudio, vigilancia y atención de los diversos asuntos que les corresponda conocer, deben funcionar mediante comisiones...”.</w:t>
      </w:r>
    </w:p>
    <w:p w14:paraId="3A473A60" w14:textId="77777777" w:rsidR="00016FE1" w:rsidRPr="00C7348F" w:rsidRDefault="00016FE1" w:rsidP="002B6227">
      <w:pPr>
        <w:jc w:val="both"/>
        <w:rPr>
          <w:rFonts w:ascii="Gotham" w:hAnsi="Gotham" w:cs="Arial"/>
          <w:snapToGrid w:val="0"/>
          <w:sz w:val="20"/>
          <w:szCs w:val="20"/>
        </w:rPr>
      </w:pPr>
    </w:p>
    <w:p w14:paraId="3A473A61" w14:textId="77777777" w:rsidR="00016FE1" w:rsidRDefault="00016FE1" w:rsidP="002B6227">
      <w:pPr>
        <w:autoSpaceDE w:val="0"/>
        <w:autoSpaceDN w:val="0"/>
        <w:adjustRightInd w:val="0"/>
        <w:ind w:left="567" w:hanging="567"/>
        <w:jc w:val="both"/>
        <w:rPr>
          <w:rFonts w:ascii="Gotham" w:hAnsi="Gotham" w:cs="Arial"/>
          <w:sz w:val="20"/>
          <w:szCs w:val="20"/>
        </w:rPr>
      </w:pPr>
      <w:r w:rsidRPr="00C7348F">
        <w:rPr>
          <w:rFonts w:ascii="Gotham" w:hAnsi="Gotham" w:cs="Arial"/>
          <w:sz w:val="20"/>
          <w:szCs w:val="20"/>
        </w:rPr>
        <w:t xml:space="preserve">V. </w:t>
      </w:r>
      <w:r>
        <w:rPr>
          <w:rFonts w:ascii="Gotham" w:hAnsi="Gotham" w:cs="Arial"/>
          <w:sz w:val="20"/>
          <w:szCs w:val="20"/>
        </w:rPr>
        <w:tab/>
      </w:r>
      <w:r w:rsidRPr="00C7348F">
        <w:rPr>
          <w:rFonts w:ascii="Gotham" w:hAnsi="Gotham" w:cs="Arial"/>
          <w:sz w:val="20"/>
          <w:szCs w:val="20"/>
        </w:rPr>
        <w:t>Que el Reglamento del Gobierno y la Administración Pública del Ayuntamiento Constitucional de Tonalá, Jalisco, en su artículo 92, estipula que</w:t>
      </w:r>
      <w:r>
        <w:rPr>
          <w:rFonts w:ascii="Gotham" w:hAnsi="Gotham" w:cs="Arial"/>
          <w:sz w:val="20"/>
          <w:szCs w:val="20"/>
        </w:rPr>
        <w:t>:</w:t>
      </w:r>
      <w:r w:rsidRPr="00C7348F">
        <w:rPr>
          <w:rFonts w:ascii="Gotham" w:hAnsi="Gotham" w:cs="Arial"/>
          <w:sz w:val="20"/>
          <w:szCs w:val="20"/>
        </w:rPr>
        <w:t xml:space="preserve"> </w:t>
      </w:r>
    </w:p>
    <w:p w14:paraId="3A473A62" w14:textId="77777777" w:rsidR="00016FE1" w:rsidRDefault="00016FE1" w:rsidP="002B6227">
      <w:pPr>
        <w:autoSpaceDE w:val="0"/>
        <w:autoSpaceDN w:val="0"/>
        <w:adjustRightInd w:val="0"/>
        <w:ind w:left="567" w:hanging="567"/>
        <w:jc w:val="both"/>
        <w:rPr>
          <w:rFonts w:ascii="Gotham" w:hAnsi="Gotham" w:cs="Arial"/>
          <w:sz w:val="20"/>
          <w:szCs w:val="20"/>
        </w:rPr>
      </w:pPr>
    </w:p>
    <w:p w14:paraId="3A473A63" w14:textId="77777777" w:rsidR="00016FE1" w:rsidRPr="00920A79"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920A79">
        <w:rPr>
          <w:rFonts w:ascii="Gotham" w:hAnsi="Gotham" w:cs="Calibri"/>
          <w:i/>
          <w:color w:val="000000"/>
          <w:sz w:val="19"/>
          <w:szCs w:val="19"/>
          <w:lang w:eastAsia="es-MX"/>
        </w:rPr>
        <w:t>“El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3A473A64" w14:textId="77777777" w:rsidR="00016FE1" w:rsidRPr="00C7348F" w:rsidRDefault="00016FE1" w:rsidP="002B6227">
      <w:pPr>
        <w:ind w:left="567" w:hanging="567"/>
        <w:jc w:val="both"/>
        <w:rPr>
          <w:rFonts w:ascii="Gotham" w:hAnsi="Gotham" w:cs="Arial"/>
          <w:bCs/>
          <w:sz w:val="20"/>
          <w:szCs w:val="20"/>
        </w:rPr>
      </w:pPr>
    </w:p>
    <w:p w14:paraId="3A473A65" w14:textId="77777777" w:rsidR="00016FE1" w:rsidRDefault="00016FE1" w:rsidP="002B6227">
      <w:pPr>
        <w:autoSpaceDE w:val="0"/>
        <w:autoSpaceDN w:val="0"/>
        <w:adjustRightInd w:val="0"/>
        <w:ind w:left="567" w:hanging="567"/>
        <w:jc w:val="both"/>
        <w:rPr>
          <w:rFonts w:ascii="Gotham" w:hAnsi="Gotham" w:cs="Arial"/>
          <w:sz w:val="20"/>
          <w:szCs w:val="20"/>
        </w:rPr>
      </w:pPr>
      <w:r w:rsidRPr="00C7348F">
        <w:rPr>
          <w:rFonts w:ascii="Gotham" w:hAnsi="Gotham" w:cs="Arial"/>
          <w:sz w:val="20"/>
          <w:szCs w:val="20"/>
        </w:rPr>
        <w:t xml:space="preserve">VI. </w:t>
      </w:r>
      <w:r>
        <w:rPr>
          <w:rFonts w:ascii="Gotham" w:hAnsi="Gotham" w:cs="Arial"/>
          <w:sz w:val="20"/>
          <w:szCs w:val="20"/>
        </w:rPr>
        <w:tab/>
      </w:r>
      <w:r w:rsidRPr="00C7348F">
        <w:rPr>
          <w:rFonts w:ascii="Gotham" w:hAnsi="Gotham" w:cs="Arial"/>
          <w:sz w:val="20"/>
          <w:szCs w:val="20"/>
        </w:rPr>
        <w:t>Que el artículo 93 del citado ordenamiento, establece que las Comisiones Edilicias, poseen, entre otras atribuciones, la facultad de</w:t>
      </w:r>
      <w:r>
        <w:rPr>
          <w:rFonts w:ascii="Gotham" w:hAnsi="Gotham" w:cs="Arial"/>
          <w:sz w:val="20"/>
          <w:szCs w:val="20"/>
        </w:rPr>
        <w:t>:</w:t>
      </w:r>
      <w:r w:rsidRPr="00C7348F">
        <w:rPr>
          <w:rFonts w:ascii="Gotham" w:hAnsi="Gotham" w:cs="Arial"/>
          <w:sz w:val="20"/>
          <w:szCs w:val="20"/>
        </w:rPr>
        <w:t xml:space="preserve"> </w:t>
      </w:r>
    </w:p>
    <w:p w14:paraId="3A473A66" w14:textId="77777777" w:rsidR="00016FE1" w:rsidRDefault="00016FE1" w:rsidP="002B6227">
      <w:pPr>
        <w:autoSpaceDE w:val="0"/>
        <w:autoSpaceDN w:val="0"/>
        <w:adjustRightInd w:val="0"/>
        <w:ind w:left="567" w:hanging="567"/>
        <w:jc w:val="both"/>
        <w:rPr>
          <w:rFonts w:ascii="Gotham" w:hAnsi="Gotham" w:cs="Arial"/>
          <w:sz w:val="20"/>
          <w:szCs w:val="20"/>
        </w:rPr>
      </w:pPr>
    </w:p>
    <w:p w14:paraId="3A473A67" w14:textId="77777777" w:rsidR="00016FE1" w:rsidRPr="00920A79"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920A79">
        <w:rPr>
          <w:rFonts w:ascii="Gotham" w:hAnsi="Gotham" w:cs="Calibri"/>
          <w:i/>
          <w:color w:val="000000"/>
          <w:sz w:val="19"/>
          <w:szCs w:val="19"/>
          <w:lang w:eastAsia="es-MX"/>
        </w:rPr>
        <w:t>“I. Recibir, estudiar, analizar, discutir y dictaminar los asuntos turnados por el ayuntamiento; II. Presentar al ayuntamiento los dictámenes e informes, resultados de sus trabajos e investigaciones y demás documentos relativos a los asuntos que les son turnados […] y […] IX. Las demás que en razón de la materia les corresponda por disposición legal o reglamentaria. Para que los dictámenes de las comisiones adquieran plena validez deberán ser aprobados por el ayuntamiento, salvo que se trate de acuerdos interno...”.</w:t>
      </w:r>
    </w:p>
    <w:p w14:paraId="3A473A68" w14:textId="77777777" w:rsidR="00016FE1" w:rsidRPr="00C7348F" w:rsidRDefault="00016FE1" w:rsidP="002B6227">
      <w:pPr>
        <w:autoSpaceDE w:val="0"/>
        <w:autoSpaceDN w:val="0"/>
        <w:adjustRightInd w:val="0"/>
        <w:ind w:left="567" w:hanging="567"/>
        <w:jc w:val="both"/>
        <w:rPr>
          <w:rFonts w:ascii="Gotham" w:hAnsi="Gotham" w:cs="Arial"/>
          <w:sz w:val="20"/>
          <w:szCs w:val="20"/>
        </w:rPr>
      </w:pPr>
    </w:p>
    <w:p w14:paraId="3A473A69" w14:textId="77777777" w:rsidR="00016FE1" w:rsidRDefault="00016FE1" w:rsidP="002B6227">
      <w:pPr>
        <w:autoSpaceDE w:val="0"/>
        <w:autoSpaceDN w:val="0"/>
        <w:adjustRightInd w:val="0"/>
        <w:ind w:left="567" w:hanging="567"/>
        <w:jc w:val="both"/>
        <w:rPr>
          <w:rFonts w:ascii="Gotham" w:hAnsi="Gotham" w:cs="Arial"/>
          <w:sz w:val="20"/>
          <w:szCs w:val="20"/>
        </w:rPr>
      </w:pPr>
      <w:r w:rsidRPr="00C7348F">
        <w:rPr>
          <w:rFonts w:ascii="Gotham" w:hAnsi="Gotham" w:cs="Arial"/>
          <w:sz w:val="20"/>
          <w:szCs w:val="20"/>
        </w:rPr>
        <w:t xml:space="preserve">VII. </w:t>
      </w:r>
      <w:r>
        <w:rPr>
          <w:rFonts w:ascii="Gotham" w:hAnsi="Gotham" w:cs="Arial"/>
          <w:sz w:val="20"/>
          <w:szCs w:val="20"/>
        </w:rPr>
        <w:tab/>
      </w:r>
      <w:r w:rsidRPr="00C7348F">
        <w:rPr>
          <w:rFonts w:ascii="Gotham" w:hAnsi="Gotham" w:cs="Arial"/>
          <w:sz w:val="20"/>
          <w:szCs w:val="20"/>
        </w:rPr>
        <w:t>Que el artículo 100 del citado ordenamiento, establece que</w:t>
      </w:r>
      <w:r>
        <w:rPr>
          <w:rFonts w:ascii="Gotham" w:hAnsi="Gotham" w:cs="Arial"/>
          <w:sz w:val="20"/>
          <w:szCs w:val="20"/>
        </w:rPr>
        <w:t>:</w:t>
      </w:r>
      <w:r w:rsidRPr="00C7348F">
        <w:rPr>
          <w:rFonts w:ascii="Gotham" w:hAnsi="Gotham" w:cs="Arial"/>
          <w:sz w:val="20"/>
          <w:szCs w:val="20"/>
        </w:rPr>
        <w:t xml:space="preserve"> </w:t>
      </w:r>
    </w:p>
    <w:p w14:paraId="3A473A6A" w14:textId="77777777" w:rsidR="00016FE1" w:rsidRDefault="00016FE1" w:rsidP="002B6227">
      <w:pPr>
        <w:autoSpaceDE w:val="0"/>
        <w:autoSpaceDN w:val="0"/>
        <w:adjustRightInd w:val="0"/>
        <w:ind w:left="567" w:hanging="567"/>
        <w:jc w:val="both"/>
        <w:rPr>
          <w:rFonts w:ascii="Gotham" w:hAnsi="Gotham" w:cs="Arial"/>
          <w:sz w:val="20"/>
          <w:szCs w:val="20"/>
        </w:rPr>
      </w:pPr>
    </w:p>
    <w:p w14:paraId="3A473A6B" w14:textId="77777777" w:rsidR="00016FE1" w:rsidRPr="00920A79"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920A79">
        <w:rPr>
          <w:rFonts w:ascii="Gotham" w:hAnsi="Gotham" w:cs="Calibri"/>
          <w:i/>
          <w:color w:val="000000"/>
          <w:sz w:val="19"/>
          <w:szCs w:val="19"/>
          <w:lang w:eastAsia="es-MX"/>
        </w:rPr>
        <w:t>“Son atribuciones de la Comisión Edilicia de reglamentos, Puntos Constitucionales, Administración y Planeación Legislativa: "I. 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"III. Estudiar la estructura orgánica de la administración municipal, para efecto de proponer medios de mayor eficiencia y simplificación administrativa ante la población, en miras a obtener la mejor atención en la prestación de los servicios públicos..."</w:t>
      </w:r>
    </w:p>
    <w:p w14:paraId="3A473A6C" w14:textId="77777777" w:rsidR="00016FE1" w:rsidRPr="00C7348F" w:rsidRDefault="00016FE1" w:rsidP="002B6227">
      <w:pPr>
        <w:autoSpaceDE w:val="0"/>
        <w:autoSpaceDN w:val="0"/>
        <w:adjustRightInd w:val="0"/>
        <w:ind w:left="567" w:hanging="567"/>
        <w:jc w:val="both"/>
        <w:rPr>
          <w:rFonts w:ascii="Gotham" w:hAnsi="Gotham" w:cs="Arial"/>
          <w:i/>
          <w:sz w:val="20"/>
          <w:szCs w:val="20"/>
        </w:rPr>
      </w:pPr>
    </w:p>
    <w:p w14:paraId="3A473A6D" w14:textId="77777777" w:rsidR="00016FE1" w:rsidRPr="00C7348F" w:rsidRDefault="00016FE1" w:rsidP="002B6227">
      <w:pPr>
        <w:autoSpaceDE w:val="0"/>
        <w:autoSpaceDN w:val="0"/>
        <w:adjustRightInd w:val="0"/>
        <w:ind w:left="567"/>
        <w:jc w:val="both"/>
        <w:rPr>
          <w:rFonts w:ascii="Gotham" w:hAnsi="Gotham" w:cs="Arial"/>
          <w:iCs/>
          <w:sz w:val="20"/>
          <w:szCs w:val="20"/>
        </w:rPr>
      </w:pPr>
      <w:r w:rsidRPr="00C7348F">
        <w:rPr>
          <w:rFonts w:ascii="Gotham" w:hAnsi="Gotham" w:cs="Arial"/>
          <w:iCs/>
          <w:sz w:val="20"/>
          <w:szCs w:val="20"/>
        </w:rPr>
        <w:t xml:space="preserve">Por lo que resulta competente para conocer, analizar y valorar las iniciativas objeto del presente dictamen. </w:t>
      </w:r>
    </w:p>
    <w:p w14:paraId="3A473A6E" w14:textId="77777777" w:rsidR="00016FE1" w:rsidRPr="00C7348F" w:rsidRDefault="00016FE1" w:rsidP="002B6227">
      <w:pPr>
        <w:ind w:left="567" w:hanging="567"/>
        <w:jc w:val="both"/>
        <w:rPr>
          <w:rFonts w:ascii="Gotham" w:hAnsi="Gotham" w:cs="Arial"/>
          <w:sz w:val="20"/>
          <w:szCs w:val="20"/>
        </w:rPr>
      </w:pPr>
    </w:p>
    <w:p w14:paraId="3A473A6F" w14:textId="77777777" w:rsidR="00016FE1" w:rsidRPr="00C7348F" w:rsidRDefault="00016FE1" w:rsidP="002B6227">
      <w:pPr>
        <w:autoSpaceDE w:val="0"/>
        <w:autoSpaceDN w:val="0"/>
        <w:adjustRightInd w:val="0"/>
        <w:ind w:left="567" w:hanging="567"/>
        <w:jc w:val="both"/>
        <w:rPr>
          <w:rFonts w:ascii="Gotham" w:eastAsia="Calibri" w:hAnsi="Gotham" w:cs="Arial"/>
          <w:sz w:val="20"/>
          <w:szCs w:val="20"/>
          <w:lang w:val="es-MX" w:eastAsia="en-US"/>
        </w:rPr>
      </w:pPr>
      <w:r w:rsidRPr="00C7348F">
        <w:rPr>
          <w:rFonts w:ascii="Gotham" w:hAnsi="Gotham" w:cs="Arial"/>
          <w:sz w:val="20"/>
          <w:szCs w:val="20"/>
        </w:rPr>
        <w:t xml:space="preserve">VIII. </w:t>
      </w:r>
      <w:r>
        <w:rPr>
          <w:rFonts w:ascii="Gotham" w:hAnsi="Gotham" w:cs="Arial"/>
          <w:sz w:val="20"/>
          <w:szCs w:val="20"/>
        </w:rPr>
        <w:tab/>
      </w:r>
      <w:r w:rsidRPr="00C7348F">
        <w:rPr>
          <w:rFonts w:ascii="Gotham" w:hAnsi="Gotham" w:cs="Arial"/>
          <w:iCs/>
          <w:color w:val="000000"/>
          <w:sz w:val="20"/>
          <w:szCs w:val="20"/>
          <w:shd w:val="clear" w:color="auto" w:fill="FFFFFF"/>
        </w:rPr>
        <w:t xml:space="preserve">Las facultades que el Ayuntamiento Constitucional de Tonalá, Jalisco tiene para aprobar y emitir los Reglamentos en materias de su estricta competencia, como aquellos que tienen por objeto organizar la administración pública municipal deviene de los numerales 27 y 37 de la Ley del Gobierno y la Administración Pública del Estado de Jalisco y sus Municipios al determinar: </w:t>
      </w:r>
    </w:p>
    <w:p w14:paraId="3A473A70" w14:textId="77777777" w:rsidR="00016FE1" w:rsidRPr="00C7348F" w:rsidRDefault="00016FE1" w:rsidP="002B6227">
      <w:pPr>
        <w:jc w:val="both"/>
        <w:rPr>
          <w:rFonts w:ascii="Gotham" w:hAnsi="Gotham" w:cs="Arial"/>
          <w:iCs/>
          <w:color w:val="000000"/>
          <w:sz w:val="20"/>
          <w:szCs w:val="20"/>
          <w:shd w:val="clear" w:color="auto" w:fill="FFFFFF"/>
        </w:rPr>
      </w:pPr>
    </w:p>
    <w:p w14:paraId="3A473A71" w14:textId="77777777" w:rsidR="00016FE1" w:rsidRPr="00686A96" w:rsidRDefault="00016FE1" w:rsidP="002B6227">
      <w:pPr>
        <w:tabs>
          <w:tab w:val="left" w:pos="9923"/>
        </w:tabs>
        <w:autoSpaceDE w:val="0"/>
        <w:autoSpaceDN w:val="0"/>
        <w:adjustRightInd w:val="0"/>
        <w:spacing w:after="120"/>
        <w:ind w:left="851" w:right="283"/>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Artículo 27. Los Ayuntamientos, para el estudio, vigilancia y atención de los diversos asuntos que les corresponda conocer, deben funcionar mediante comisiones.</w:t>
      </w:r>
    </w:p>
    <w:p w14:paraId="3A473A72" w14:textId="77777777" w:rsidR="00016FE1" w:rsidRPr="00686A96" w:rsidRDefault="00016FE1" w:rsidP="002B6227">
      <w:pPr>
        <w:tabs>
          <w:tab w:val="left" w:pos="9923"/>
        </w:tabs>
        <w:autoSpaceDE w:val="0"/>
        <w:autoSpaceDN w:val="0"/>
        <w:adjustRightInd w:val="0"/>
        <w:spacing w:after="120"/>
        <w:ind w:left="851" w:right="283"/>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Los ediles deberán presidir por lo menos una comisión, además cada munícipe debe estar integrado por lo menos a tres comisiones, en los términos de la reglamentación respectiva.</w:t>
      </w:r>
    </w:p>
    <w:p w14:paraId="3A473A73" w14:textId="77777777" w:rsidR="00016FE1" w:rsidRPr="00686A96" w:rsidRDefault="00016FE1" w:rsidP="002B6227">
      <w:pPr>
        <w:tabs>
          <w:tab w:val="left" w:pos="9923"/>
        </w:tabs>
        <w:autoSpaceDE w:val="0"/>
        <w:autoSpaceDN w:val="0"/>
        <w:adjustRightInd w:val="0"/>
        <w:spacing w:after="120"/>
        <w:ind w:left="851" w:right="283"/>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La denominación de las comisiones, sus características, obligaciones y facultades, deben ser establecidas en los reglamentos que para tal efecto expida el Ayuntamiento.</w:t>
      </w:r>
    </w:p>
    <w:p w14:paraId="3A473A74" w14:textId="77777777" w:rsidR="00016FE1" w:rsidRPr="00686A96"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Las comisiones pueden ser permanentes o transitorias, con integración colegiada para su funcionamiento y desempeño, integradas cuando menos por tres ediles y bajo ninguna circunstancia pueden tener facultades ejecutivas.</w:t>
      </w:r>
    </w:p>
    <w:p w14:paraId="3A473A75" w14:textId="77777777" w:rsidR="00016FE1" w:rsidRPr="00686A96" w:rsidRDefault="00016FE1" w:rsidP="002B6227">
      <w:pPr>
        <w:tabs>
          <w:tab w:val="left" w:pos="9923"/>
        </w:tabs>
        <w:autoSpaceDE w:val="0"/>
        <w:autoSpaceDN w:val="0"/>
        <w:adjustRightInd w:val="0"/>
        <w:ind w:left="851" w:right="283"/>
        <w:jc w:val="both"/>
        <w:rPr>
          <w:rFonts w:ascii="Gotham" w:hAnsi="Gotham" w:cs="Calibri"/>
          <w:i/>
          <w:color w:val="000000"/>
          <w:sz w:val="19"/>
          <w:szCs w:val="19"/>
          <w:lang w:eastAsia="es-MX"/>
        </w:rPr>
      </w:pPr>
    </w:p>
    <w:p w14:paraId="3A473A76" w14:textId="77777777" w:rsidR="00016FE1" w:rsidRPr="00686A96" w:rsidRDefault="00016FE1" w:rsidP="002B6227">
      <w:pPr>
        <w:tabs>
          <w:tab w:val="left" w:pos="9923"/>
        </w:tabs>
        <w:autoSpaceDE w:val="0"/>
        <w:autoSpaceDN w:val="0"/>
        <w:adjustRightInd w:val="0"/>
        <w:spacing w:after="120"/>
        <w:ind w:left="851" w:right="283"/>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Artículo 37. Son obligaciones de los Ayuntamientos, las siguientes:</w:t>
      </w:r>
    </w:p>
    <w:p w14:paraId="3A473A77" w14:textId="77777777" w:rsidR="00016FE1" w:rsidRPr="00686A96" w:rsidRDefault="00016FE1" w:rsidP="002B6227">
      <w:pPr>
        <w:tabs>
          <w:tab w:val="left" w:pos="9923"/>
        </w:tabs>
        <w:autoSpaceDE w:val="0"/>
        <w:autoSpaceDN w:val="0"/>
        <w:adjustRightInd w:val="0"/>
        <w:spacing w:after="120"/>
        <w:ind w:left="1276" w:right="283" w:hanging="425"/>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I</w:t>
      </w:r>
      <w:r>
        <w:rPr>
          <w:rFonts w:ascii="Gotham" w:hAnsi="Gotham" w:cs="Calibri"/>
          <w:i/>
          <w:color w:val="000000"/>
          <w:sz w:val="19"/>
          <w:szCs w:val="19"/>
          <w:lang w:eastAsia="es-MX"/>
        </w:rPr>
        <w:t>.</w:t>
      </w:r>
      <w:r w:rsidRPr="00686A96">
        <w:rPr>
          <w:rFonts w:ascii="Gotham" w:hAnsi="Gotham" w:cs="Calibri"/>
          <w:i/>
          <w:color w:val="000000"/>
          <w:sz w:val="19"/>
          <w:szCs w:val="19"/>
          <w:lang w:eastAsia="es-MX"/>
        </w:rPr>
        <w:t xml:space="preserve"> </w:t>
      </w:r>
      <w:r>
        <w:rPr>
          <w:rFonts w:ascii="Gotham" w:hAnsi="Gotham" w:cs="Calibri"/>
          <w:i/>
          <w:color w:val="000000"/>
          <w:sz w:val="19"/>
          <w:szCs w:val="19"/>
          <w:lang w:eastAsia="es-MX"/>
        </w:rPr>
        <w:tab/>
      </w:r>
      <w:r w:rsidRPr="00686A96">
        <w:rPr>
          <w:rFonts w:ascii="Gotham" w:hAnsi="Gotham" w:cs="Calibri"/>
          <w:i/>
          <w:color w:val="000000"/>
          <w:sz w:val="19"/>
          <w:szCs w:val="19"/>
          <w:lang w:eastAsia="es-MX"/>
        </w:rPr>
        <w:t>(...).</w:t>
      </w:r>
    </w:p>
    <w:p w14:paraId="3A473A78" w14:textId="77777777" w:rsidR="00016FE1" w:rsidRPr="00686A96" w:rsidRDefault="00016FE1" w:rsidP="002B6227">
      <w:pPr>
        <w:tabs>
          <w:tab w:val="left" w:pos="9923"/>
        </w:tabs>
        <w:autoSpaceDE w:val="0"/>
        <w:autoSpaceDN w:val="0"/>
        <w:adjustRightInd w:val="0"/>
        <w:spacing w:after="120"/>
        <w:ind w:left="1276" w:right="283" w:hanging="425"/>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 xml:space="preserve">II. </w:t>
      </w:r>
      <w:r>
        <w:rPr>
          <w:rFonts w:ascii="Gotham" w:hAnsi="Gotham" w:cs="Calibri"/>
          <w:i/>
          <w:color w:val="000000"/>
          <w:sz w:val="19"/>
          <w:szCs w:val="19"/>
          <w:lang w:eastAsia="es-MX"/>
        </w:rPr>
        <w:tab/>
      </w:r>
      <w:r w:rsidRPr="00686A96">
        <w:rPr>
          <w:rFonts w:ascii="Gotham" w:hAnsi="Gotham" w:cs="Calibri"/>
          <w:i/>
          <w:color w:val="000000"/>
          <w:sz w:val="19"/>
          <w:szCs w:val="19"/>
          <w:lang w:eastAsia="es-MX"/>
        </w:rPr>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3A473A79" w14:textId="77777777" w:rsidR="00016FE1" w:rsidRPr="00686A96" w:rsidRDefault="00016FE1" w:rsidP="002B6227">
      <w:pPr>
        <w:tabs>
          <w:tab w:val="left" w:pos="9923"/>
        </w:tabs>
        <w:autoSpaceDE w:val="0"/>
        <w:autoSpaceDN w:val="0"/>
        <w:adjustRightInd w:val="0"/>
        <w:spacing w:after="120"/>
        <w:ind w:left="1276" w:right="283" w:hanging="425"/>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II a IX (...).</w:t>
      </w:r>
    </w:p>
    <w:p w14:paraId="3A473A7A" w14:textId="77777777" w:rsidR="00016FE1" w:rsidRPr="00686A96" w:rsidRDefault="00016FE1" w:rsidP="002B6227">
      <w:pPr>
        <w:tabs>
          <w:tab w:val="left" w:pos="9923"/>
        </w:tabs>
        <w:autoSpaceDE w:val="0"/>
        <w:autoSpaceDN w:val="0"/>
        <w:adjustRightInd w:val="0"/>
        <w:ind w:left="1276" w:right="283" w:hanging="425"/>
        <w:jc w:val="both"/>
        <w:rPr>
          <w:rFonts w:ascii="Gotham" w:hAnsi="Gotham" w:cs="Calibri"/>
          <w:i/>
          <w:color w:val="000000"/>
          <w:sz w:val="19"/>
          <w:szCs w:val="19"/>
          <w:lang w:eastAsia="es-MX"/>
        </w:rPr>
      </w:pPr>
      <w:r w:rsidRPr="00686A96">
        <w:rPr>
          <w:rFonts w:ascii="Gotham" w:hAnsi="Gotham" w:cs="Calibri"/>
          <w:i/>
          <w:color w:val="000000"/>
          <w:sz w:val="19"/>
          <w:szCs w:val="19"/>
          <w:lang w:eastAsia="es-MX"/>
        </w:rPr>
        <w:t xml:space="preserve">X. </w:t>
      </w:r>
      <w:r>
        <w:rPr>
          <w:rFonts w:ascii="Gotham" w:hAnsi="Gotham" w:cs="Calibri"/>
          <w:i/>
          <w:color w:val="000000"/>
          <w:sz w:val="19"/>
          <w:szCs w:val="19"/>
          <w:lang w:eastAsia="es-MX"/>
        </w:rPr>
        <w:tab/>
      </w:r>
      <w:r w:rsidRPr="00686A96">
        <w:rPr>
          <w:rFonts w:ascii="Gotham" w:hAnsi="Gotham" w:cs="Calibri"/>
          <w:i/>
          <w:color w:val="000000"/>
          <w:sz w:val="19"/>
          <w:szCs w:val="19"/>
          <w:lang w:eastAsia="es-MX"/>
        </w:rPr>
        <w:t>Atender la seguridad en todo el Municipio y dictar las medidas tendientes a mantener la seguridad, la paz, el orden público, la preservación y garantía de los derechos humanos.</w:t>
      </w:r>
    </w:p>
    <w:p w14:paraId="3A473A7B" w14:textId="77777777" w:rsidR="00016FE1" w:rsidRPr="00C7348F" w:rsidRDefault="00016FE1" w:rsidP="002B6227">
      <w:pPr>
        <w:ind w:left="567" w:hanging="567"/>
        <w:jc w:val="both"/>
        <w:rPr>
          <w:rFonts w:ascii="Gotham" w:hAnsi="Gotham" w:cs="Arial"/>
          <w:sz w:val="20"/>
          <w:szCs w:val="20"/>
        </w:rPr>
      </w:pPr>
    </w:p>
    <w:p w14:paraId="3A473A7C" w14:textId="77777777" w:rsidR="00016FE1" w:rsidRPr="00C7348F" w:rsidRDefault="00016FE1" w:rsidP="002B6227">
      <w:pPr>
        <w:autoSpaceDE w:val="0"/>
        <w:autoSpaceDN w:val="0"/>
        <w:adjustRightInd w:val="0"/>
        <w:ind w:left="567" w:hanging="567"/>
        <w:jc w:val="both"/>
        <w:rPr>
          <w:rFonts w:ascii="Gotham" w:hAnsi="Gotham" w:cs="Arial"/>
          <w:sz w:val="20"/>
          <w:szCs w:val="20"/>
        </w:rPr>
      </w:pPr>
      <w:r w:rsidRPr="000D51E0">
        <w:rPr>
          <w:rFonts w:ascii="Gotham" w:hAnsi="Gotham" w:cs="Arial"/>
          <w:sz w:val="20"/>
          <w:szCs w:val="20"/>
        </w:rPr>
        <w:t>IX.</w:t>
      </w:r>
      <w:r w:rsidRPr="00C7348F">
        <w:rPr>
          <w:rFonts w:ascii="Gotham" w:hAnsi="Gotham" w:cs="Arial"/>
          <w:sz w:val="20"/>
          <w:szCs w:val="20"/>
        </w:rPr>
        <w:t xml:space="preserve"> </w:t>
      </w:r>
      <w:r>
        <w:rPr>
          <w:rFonts w:ascii="Gotham" w:hAnsi="Gotham" w:cs="Arial"/>
          <w:sz w:val="20"/>
          <w:szCs w:val="20"/>
        </w:rPr>
        <w:tab/>
      </w:r>
      <w:r w:rsidRPr="00C7348F">
        <w:rPr>
          <w:rFonts w:ascii="Gotham" w:hAnsi="Gotham" w:cs="Arial"/>
          <w:sz w:val="20"/>
          <w:szCs w:val="20"/>
        </w:rPr>
        <w:t xml:space="preserve">Conforme a los antecedentes y consideraciones que se exponen los asuntos varios, en primera, generar consciencia en la población de los efectos y repercusiones que provoca la contaminación auditiva en la salud de las personas, así como sus consecuencias sociales, económicas y jurídicas en nuestro entorno; fortalecer la convivencia social, generando comunidad bajo perspectiva de paz y recomposición del tejido social y finalmente, disminuir la incidencia en la generación de ruido contaminante y excesivo emitido en y desde los hogares y establecimientos de comercio en el municipio, de tal manera que las sanciones impuestas por estas faltas administrativas no se traducen en el centro de las adecuaciones normativas municipales, pero sí subrayar al infractor la importancia de actuar conforme a las reglas de convivencia garantizando la reinserción social y la no reincidencia. </w:t>
      </w:r>
    </w:p>
    <w:p w14:paraId="3A473A7D" w14:textId="77777777" w:rsidR="00016FE1" w:rsidRPr="00C7348F" w:rsidRDefault="00016FE1" w:rsidP="002B6227">
      <w:pPr>
        <w:autoSpaceDE w:val="0"/>
        <w:autoSpaceDN w:val="0"/>
        <w:adjustRightInd w:val="0"/>
        <w:ind w:left="567" w:hanging="567"/>
        <w:jc w:val="both"/>
        <w:rPr>
          <w:rFonts w:ascii="Gotham" w:hAnsi="Gotham" w:cs="Arial"/>
          <w:sz w:val="20"/>
          <w:szCs w:val="20"/>
        </w:rPr>
      </w:pPr>
    </w:p>
    <w:p w14:paraId="3A473A7E" w14:textId="77777777" w:rsidR="00016FE1" w:rsidRPr="00C7348F" w:rsidRDefault="00016FE1" w:rsidP="002B6227">
      <w:pPr>
        <w:autoSpaceDE w:val="0"/>
        <w:autoSpaceDN w:val="0"/>
        <w:adjustRightInd w:val="0"/>
        <w:ind w:left="567" w:hanging="567"/>
        <w:jc w:val="both"/>
        <w:rPr>
          <w:rFonts w:ascii="Gotham" w:hAnsi="Gotham" w:cs="Arial"/>
          <w:sz w:val="20"/>
          <w:szCs w:val="20"/>
        </w:rPr>
      </w:pPr>
      <w:r w:rsidRPr="000D51E0">
        <w:rPr>
          <w:rFonts w:ascii="Gotham" w:hAnsi="Gotham" w:cs="Arial"/>
          <w:sz w:val="20"/>
          <w:szCs w:val="20"/>
        </w:rPr>
        <w:lastRenderedPageBreak/>
        <w:t>X</w:t>
      </w:r>
      <w:r w:rsidRPr="00C7348F">
        <w:rPr>
          <w:rFonts w:ascii="Gotham" w:hAnsi="Gotham" w:cs="Arial"/>
          <w:sz w:val="20"/>
          <w:szCs w:val="20"/>
        </w:rPr>
        <w:t xml:space="preserve">. </w:t>
      </w:r>
      <w:r>
        <w:rPr>
          <w:rFonts w:ascii="Gotham" w:hAnsi="Gotham" w:cs="Arial"/>
          <w:sz w:val="20"/>
          <w:szCs w:val="20"/>
        </w:rPr>
        <w:tab/>
      </w:r>
      <w:r w:rsidRPr="00C7348F">
        <w:rPr>
          <w:rFonts w:ascii="Gotham" w:hAnsi="Gotham" w:cs="Arial"/>
          <w:sz w:val="20"/>
          <w:szCs w:val="20"/>
        </w:rPr>
        <w:t xml:space="preserve">En específico, las reformas que se plantean al Código para la Protección Ambiental, Cambio Climático y Sustentabilidad del Municipio de Tonalá, Jalisco de manera atinada precisa a las autoridades competentes en la aplicación del citado ordenamiento, delimita sus atribuciones y responsabilidades; enriquece el glosario de términos, definiendo lo que se debe entender por ruido, señala los límites máximos de ruido permitidos de acuerdo a la Zona donde se esté generando evitando actos discrecionales de la autoridad verificadora, regula los horarios de emisión de ruido en el ambiente privilegiando la tranquilidad, decoro y descanso de las familias tonaltecas; asigna las atribuciones que tiene el Juez Cívico Municipal en las tareas del procedimiento administrativo por la falta administrativa cometida, los criterios para la imposición de la sanción trasladándonos al Reglamento de Justicia Cívica Municipal vigente en el Municipio. </w:t>
      </w:r>
    </w:p>
    <w:p w14:paraId="3A473A7F" w14:textId="77777777" w:rsidR="00016FE1" w:rsidRPr="00C7348F" w:rsidRDefault="00016FE1" w:rsidP="002B6227">
      <w:pPr>
        <w:autoSpaceDE w:val="0"/>
        <w:autoSpaceDN w:val="0"/>
        <w:adjustRightInd w:val="0"/>
        <w:ind w:left="567" w:hanging="567"/>
        <w:jc w:val="both"/>
        <w:rPr>
          <w:rFonts w:ascii="Gotham" w:hAnsi="Gotham" w:cs="Arial"/>
          <w:sz w:val="20"/>
          <w:szCs w:val="20"/>
        </w:rPr>
      </w:pPr>
    </w:p>
    <w:p w14:paraId="3A473A80" w14:textId="77777777" w:rsidR="00016FE1" w:rsidRPr="00C7348F" w:rsidRDefault="00016FE1" w:rsidP="002B6227">
      <w:pPr>
        <w:autoSpaceDE w:val="0"/>
        <w:autoSpaceDN w:val="0"/>
        <w:adjustRightInd w:val="0"/>
        <w:ind w:left="567" w:hanging="567"/>
        <w:jc w:val="both"/>
        <w:rPr>
          <w:rFonts w:ascii="Gotham" w:hAnsi="Gotham" w:cs="Arial"/>
          <w:sz w:val="20"/>
          <w:szCs w:val="20"/>
        </w:rPr>
      </w:pPr>
      <w:r w:rsidRPr="00C7348F">
        <w:rPr>
          <w:rFonts w:ascii="Gotham" w:hAnsi="Gotham" w:cs="Arial"/>
          <w:sz w:val="20"/>
          <w:szCs w:val="20"/>
        </w:rPr>
        <w:t xml:space="preserve">XI. </w:t>
      </w:r>
      <w:r>
        <w:rPr>
          <w:rFonts w:ascii="Gotham" w:hAnsi="Gotham" w:cs="Arial"/>
          <w:sz w:val="20"/>
          <w:szCs w:val="20"/>
        </w:rPr>
        <w:tab/>
      </w:r>
      <w:r w:rsidRPr="00C7348F">
        <w:rPr>
          <w:rFonts w:ascii="Gotham" w:hAnsi="Gotham" w:cs="Arial"/>
          <w:sz w:val="20"/>
          <w:szCs w:val="20"/>
        </w:rPr>
        <w:t xml:space="preserve">Los que integramos este Ayuntamiento estamos conscientes de la problemática social que genera la emisión de ruido contaminante desde los domicilios particulares, en la vía pública y en los comercios dentro de nuestro territorio, por lo que este tipo de trabajos legislativos garantizan emprender acciones frontales que reivindiquen la sana convivencia social, anticipando conflictos comunitarios y coadyuvando a generar ambientes de paz. </w:t>
      </w:r>
    </w:p>
    <w:p w14:paraId="3A473A81" w14:textId="77777777" w:rsidR="00016FE1" w:rsidRPr="00C7348F" w:rsidRDefault="00016FE1" w:rsidP="002B6227">
      <w:pPr>
        <w:autoSpaceDE w:val="0"/>
        <w:autoSpaceDN w:val="0"/>
        <w:adjustRightInd w:val="0"/>
        <w:jc w:val="both"/>
        <w:rPr>
          <w:rFonts w:ascii="Gotham" w:hAnsi="Gotham" w:cs="Arial"/>
          <w:sz w:val="20"/>
          <w:szCs w:val="20"/>
        </w:rPr>
      </w:pPr>
    </w:p>
    <w:p w14:paraId="3A473A82" w14:textId="77777777" w:rsidR="00016FE1" w:rsidRDefault="00016FE1" w:rsidP="002B6227">
      <w:pPr>
        <w:jc w:val="both"/>
        <w:rPr>
          <w:rFonts w:ascii="Gotham" w:hAnsi="Gotham" w:cs="Arial"/>
          <w:sz w:val="20"/>
          <w:szCs w:val="20"/>
        </w:rPr>
      </w:pPr>
      <w:r w:rsidRPr="00C7348F">
        <w:rPr>
          <w:rFonts w:ascii="Gotham" w:hAnsi="Gotham" w:cs="Arial"/>
          <w:sz w:val="20"/>
          <w:szCs w:val="20"/>
        </w:rPr>
        <w:t>Es por lo anterior que los que integramos esta Comisión Edilicia consideramos oportuno arribar a las siguientes:</w:t>
      </w:r>
    </w:p>
    <w:p w14:paraId="3A473A83" w14:textId="77777777" w:rsidR="00016FE1" w:rsidRPr="00C7348F" w:rsidRDefault="00016FE1" w:rsidP="002B6227">
      <w:pPr>
        <w:jc w:val="both"/>
        <w:rPr>
          <w:rFonts w:ascii="Gotham" w:hAnsi="Gotham" w:cs="Arial"/>
          <w:sz w:val="20"/>
          <w:szCs w:val="20"/>
        </w:rPr>
      </w:pPr>
    </w:p>
    <w:p w14:paraId="3A473A84" w14:textId="77777777" w:rsidR="00016FE1" w:rsidRPr="00C7348F" w:rsidRDefault="00016FE1" w:rsidP="002B6227">
      <w:pPr>
        <w:autoSpaceDE w:val="0"/>
        <w:autoSpaceDN w:val="0"/>
        <w:adjustRightInd w:val="0"/>
        <w:jc w:val="center"/>
        <w:rPr>
          <w:rFonts w:ascii="Gotham" w:hAnsi="Gotham" w:cs="Arial"/>
          <w:sz w:val="20"/>
          <w:szCs w:val="20"/>
        </w:rPr>
      </w:pPr>
      <w:r w:rsidRPr="00C7348F">
        <w:rPr>
          <w:rFonts w:ascii="Gotham" w:hAnsi="Gotham" w:cs="Arial"/>
          <w:sz w:val="20"/>
          <w:szCs w:val="20"/>
        </w:rPr>
        <w:t>CONCLUSIO</w:t>
      </w:r>
      <w:r>
        <w:rPr>
          <w:rFonts w:ascii="Gotham" w:hAnsi="Gotham" w:cs="Arial"/>
          <w:sz w:val="20"/>
          <w:szCs w:val="20"/>
        </w:rPr>
        <w:t>NES</w:t>
      </w:r>
    </w:p>
    <w:p w14:paraId="3A473A85" w14:textId="77777777" w:rsidR="00016FE1" w:rsidRPr="00C7348F" w:rsidRDefault="00016FE1" w:rsidP="002B6227">
      <w:pPr>
        <w:jc w:val="both"/>
        <w:rPr>
          <w:rFonts w:ascii="Gotham" w:hAnsi="Gotham" w:cs="Arial"/>
          <w:sz w:val="20"/>
          <w:szCs w:val="20"/>
        </w:rPr>
      </w:pPr>
    </w:p>
    <w:p w14:paraId="3A473A86" w14:textId="77777777" w:rsidR="00016FE1" w:rsidRPr="00C7348F" w:rsidRDefault="00016FE1" w:rsidP="002B6227">
      <w:pPr>
        <w:ind w:left="567" w:hanging="567"/>
        <w:jc w:val="both"/>
        <w:rPr>
          <w:rFonts w:ascii="Gotham" w:hAnsi="Gotham" w:cs="Arial"/>
          <w:sz w:val="20"/>
          <w:szCs w:val="20"/>
        </w:rPr>
      </w:pPr>
      <w:r w:rsidRPr="00C7348F">
        <w:rPr>
          <w:rFonts w:ascii="Gotham" w:hAnsi="Gotham" w:cs="Arial"/>
          <w:sz w:val="20"/>
          <w:szCs w:val="20"/>
        </w:rPr>
        <w:t xml:space="preserve">I. </w:t>
      </w:r>
      <w:r>
        <w:rPr>
          <w:rFonts w:ascii="Gotham" w:hAnsi="Gotham" w:cs="Arial"/>
          <w:sz w:val="20"/>
          <w:szCs w:val="20"/>
        </w:rPr>
        <w:tab/>
      </w:r>
      <w:r w:rsidRPr="00C7348F">
        <w:rPr>
          <w:rFonts w:ascii="Gotham" w:hAnsi="Gotham" w:cs="Arial"/>
          <w:sz w:val="20"/>
          <w:szCs w:val="20"/>
        </w:rPr>
        <w:t>Conforme al estudio que versa ambas iniciativas presentadas, los que integramos esta comisión edilicia arribamos a la conclusión que los motivos aducidos por los autores de las mismas, son ampliamente justificados y procedentes, toda vez que tienen como fin fundamental disminuir el grave problema de la emisión excesiva de ruido contaminante, que tanto aqueja a los vecinos del Municipio.</w:t>
      </w:r>
    </w:p>
    <w:p w14:paraId="3A473A87" w14:textId="77777777" w:rsidR="00016FE1" w:rsidRPr="00C7348F" w:rsidRDefault="00016FE1" w:rsidP="002B6227">
      <w:pPr>
        <w:ind w:left="567" w:hanging="567"/>
        <w:jc w:val="both"/>
        <w:rPr>
          <w:rFonts w:ascii="Gotham" w:hAnsi="Gotham" w:cs="Arial"/>
          <w:sz w:val="20"/>
          <w:szCs w:val="20"/>
        </w:rPr>
      </w:pPr>
    </w:p>
    <w:p w14:paraId="3A473A88" w14:textId="77777777" w:rsidR="00016FE1" w:rsidRPr="00C7348F" w:rsidRDefault="00016FE1" w:rsidP="002B6227">
      <w:pPr>
        <w:ind w:left="567" w:hanging="567"/>
        <w:jc w:val="both"/>
        <w:rPr>
          <w:rFonts w:ascii="Gotham" w:hAnsi="Gotham" w:cs="Arial"/>
          <w:sz w:val="20"/>
          <w:szCs w:val="20"/>
        </w:rPr>
      </w:pPr>
      <w:r w:rsidRPr="00C7348F">
        <w:rPr>
          <w:rFonts w:ascii="Gotham" w:hAnsi="Gotham" w:cs="Arial"/>
          <w:sz w:val="20"/>
          <w:szCs w:val="20"/>
        </w:rPr>
        <w:t xml:space="preserve">II. </w:t>
      </w:r>
      <w:r>
        <w:rPr>
          <w:rFonts w:ascii="Gotham" w:hAnsi="Gotham" w:cs="Arial"/>
          <w:sz w:val="20"/>
          <w:szCs w:val="20"/>
        </w:rPr>
        <w:tab/>
      </w:r>
      <w:r w:rsidRPr="00C7348F">
        <w:rPr>
          <w:rFonts w:ascii="Gotham" w:hAnsi="Gotham" w:cs="Arial"/>
          <w:sz w:val="20"/>
          <w:szCs w:val="20"/>
        </w:rPr>
        <w:t>La Secretaria Técnica de la Comisión Edilicia convocante realizo el estudio normativo y legislativo, que se desprende en las líneas siguientes.</w:t>
      </w:r>
    </w:p>
    <w:p w14:paraId="3A473A89" w14:textId="77777777" w:rsidR="00016FE1" w:rsidRPr="00C7348F" w:rsidRDefault="00016FE1" w:rsidP="002B6227">
      <w:pPr>
        <w:ind w:left="567" w:hanging="567"/>
        <w:jc w:val="both"/>
        <w:rPr>
          <w:rFonts w:ascii="Gotham" w:hAnsi="Gotham" w:cs="Arial"/>
          <w:sz w:val="20"/>
          <w:szCs w:val="20"/>
        </w:rPr>
      </w:pPr>
    </w:p>
    <w:p w14:paraId="3A473A8A" w14:textId="77777777" w:rsidR="00016FE1" w:rsidRPr="00C7348F" w:rsidRDefault="00016FE1" w:rsidP="002B6227">
      <w:pPr>
        <w:ind w:left="567"/>
        <w:jc w:val="both"/>
        <w:rPr>
          <w:rFonts w:ascii="Gotham" w:hAnsi="Gotham" w:cs="Arial"/>
          <w:sz w:val="20"/>
          <w:szCs w:val="20"/>
        </w:rPr>
      </w:pPr>
      <w:r w:rsidRPr="00C7348F">
        <w:rPr>
          <w:rFonts w:ascii="Gotham" w:hAnsi="Gotham" w:cs="Arial"/>
          <w:sz w:val="20"/>
          <w:szCs w:val="20"/>
          <w:u w:val="single"/>
        </w:rPr>
        <w:t>En lo Jurídico</w:t>
      </w:r>
      <w:r w:rsidRPr="00C7348F">
        <w:rPr>
          <w:rFonts w:ascii="Gotham" w:hAnsi="Gotham" w:cs="Arial"/>
          <w:sz w:val="20"/>
          <w:szCs w:val="20"/>
        </w:rPr>
        <w:t xml:space="preserve">: Permitirá identificar a las autoridades municipales competentes en la aplicación del Código para la protección ambiental, cambio climático y sustentabilidad del Municipio, así como a darle un orden a las responsabilidades de las áreas del Ayuntamiento competentes para la práctica de visitas domiciliarias, las conductas que son materia de infracción en esta materia, así como en los procedimientos administrativos de imposición de sanciones; además se precisarán los decibeles permitidos en zonas habitacionales, comerciales, industriales o mixtas, ello con independencia de lo que establezcan las Normas Oficiales Mexicanas al respecto; esto propiciara darle un orden normativo a las reglas en materia de contaminación auditiva y certeza jurídica para los contribuyentes. </w:t>
      </w:r>
    </w:p>
    <w:p w14:paraId="3A473A8B" w14:textId="77777777" w:rsidR="00016FE1" w:rsidRPr="00C7348F" w:rsidRDefault="00016FE1" w:rsidP="002B6227">
      <w:pPr>
        <w:ind w:left="567" w:hanging="567"/>
        <w:jc w:val="both"/>
        <w:rPr>
          <w:rFonts w:ascii="Gotham" w:hAnsi="Gotham" w:cs="Arial"/>
          <w:sz w:val="20"/>
          <w:szCs w:val="20"/>
        </w:rPr>
      </w:pPr>
    </w:p>
    <w:p w14:paraId="3A473A8C" w14:textId="77777777" w:rsidR="00016FE1" w:rsidRPr="00C7348F" w:rsidRDefault="00016FE1" w:rsidP="002B6227">
      <w:pPr>
        <w:ind w:left="567"/>
        <w:jc w:val="both"/>
        <w:rPr>
          <w:rFonts w:ascii="Gotham" w:hAnsi="Gotham" w:cs="Arial"/>
          <w:sz w:val="20"/>
          <w:szCs w:val="20"/>
        </w:rPr>
      </w:pPr>
      <w:r w:rsidRPr="00C7348F">
        <w:rPr>
          <w:rFonts w:ascii="Gotham" w:hAnsi="Gotham" w:cs="Arial"/>
          <w:sz w:val="20"/>
          <w:szCs w:val="20"/>
          <w:u w:val="single"/>
        </w:rPr>
        <w:t>En lo Económico:</w:t>
      </w:r>
      <w:r w:rsidRPr="00C7348F">
        <w:rPr>
          <w:rFonts w:ascii="Gotham" w:hAnsi="Gotham" w:cs="Arial"/>
          <w:sz w:val="20"/>
          <w:szCs w:val="20"/>
        </w:rPr>
        <w:t xml:space="preserve"> Con la presente iniciativa se pretende, incentivar la producción económica en nuestro municipio, alentando a las empresas, industrias y comercios a implementar medidas, programas e insumos que incidan en mejorar el entorno de la ciudad y la calidad de vida de los habitantes y turistas; de este modo, la salud de las personas será prioritario y de atención urgente con una responsabilidad compartida entre este gobierno y el sector empresarial. </w:t>
      </w:r>
    </w:p>
    <w:p w14:paraId="3A473A8D" w14:textId="77777777" w:rsidR="00016FE1" w:rsidRPr="00C7348F" w:rsidRDefault="00016FE1" w:rsidP="002B6227">
      <w:pPr>
        <w:ind w:left="567" w:hanging="567"/>
        <w:jc w:val="both"/>
        <w:rPr>
          <w:rFonts w:ascii="Gotham" w:hAnsi="Gotham" w:cs="Arial"/>
          <w:sz w:val="20"/>
          <w:szCs w:val="20"/>
        </w:rPr>
      </w:pPr>
    </w:p>
    <w:p w14:paraId="3A473A8E" w14:textId="77777777" w:rsidR="00016FE1" w:rsidRPr="00C7348F" w:rsidRDefault="00016FE1" w:rsidP="002B6227">
      <w:pPr>
        <w:ind w:left="567"/>
        <w:jc w:val="both"/>
        <w:rPr>
          <w:rFonts w:ascii="Gotham" w:hAnsi="Gotham" w:cs="Arial"/>
          <w:sz w:val="20"/>
          <w:szCs w:val="20"/>
        </w:rPr>
      </w:pPr>
      <w:r w:rsidRPr="00C7348F">
        <w:rPr>
          <w:rFonts w:ascii="Gotham" w:hAnsi="Gotham" w:cs="Arial"/>
          <w:sz w:val="20"/>
          <w:szCs w:val="20"/>
          <w:u w:val="single"/>
        </w:rPr>
        <w:t>En lo Social:</w:t>
      </w:r>
      <w:r w:rsidRPr="00C7348F">
        <w:rPr>
          <w:rFonts w:ascii="Gotham" w:hAnsi="Gotham" w:cs="Arial"/>
          <w:sz w:val="20"/>
          <w:szCs w:val="20"/>
        </w:rPr>
        <w:t xml:space="preserve"> La sociedad hará consciencia que la contaminación auditiva es una responsabilidad de todos, se fomentará una cultura de respeto y civilidad, pero también de denuncia, atendiendo de manera eficiente y oportuna las quejas e inconformidades de la ciudadanía provocadas por el exceso de ruido en sus hogares o en las áreas de convivencia ciudadana. </w:t>
      </w:r>
    </w:p>
    <w:p w14:paraId="3A473A8F" w14:textId="77777777" w:rsidR="00016FE1" w:rsidRPr="00C7348F" w:rsidRDefault="00016FE1" w:rsidP="002B6227">
      <w:pPr>
        <w:ind w:left="567"/>
        <w:jc w:val="both"/>
        <w:rPr>
          <w:rFonts w:ascii="Gotham" w:hAnsi="Gotham" w:cs="Arial"/>
          <w:sz w:val="20"/>
          <w:szCs w:val="20"/>
        </w:rPr>
      </w:pPr>
    </w:p>
    <w:p w14:paraId="3A473A90" w14:textId="77777777" w:rsidR="00016FE1" w:rsidRPr="00C7348F" w:rsidRDefault="00016FE1" w:rsidP="002B6227">
      <w:pPr>
        <w:ind w:left="567"/>
        <w:jc w:val="both"/>
        <w:rPr>
          <w:rFonts w:ascii="Gotham" w:hAnsi="Gotham" w:cs="Arial"/>
          <w:sz w:val="20"/>
          <w:szCs w:val="20"/>
        </w:rPr>
      </w:pPr>
      <w:r w:rsidRPr="00C7348F">
        <w:rPr>
          <w:rFonts w:ascii="Gotham" w:hAnsi="Gotham" w:cs="Arial"/>
          <w:sz w:val="20"/>
          <w:szCs w:val="20"/>
        </w:rPr>
        <w:lastRenderedPageBreak/>
        <w:t>Por consiguiente y en atención a los argumentos expuestos con anterioridad se proponer reforman los artículos 2, 5 fracción XCVII recorriéndose por su orden las siguientes fracciones, 35, 47 segundo párrafo, artículos 51, 273, 276, 283, 284 fracciones III y V</w:t>
      </w:r>
      <w:r>
        <w:rPr>
          <w:rFonts w:ascii="Gotham" w:hAnsi="Gotham" w:cs="Arial"/>
          <w:sz w:val="20"/>
          <w:szCs w:val="20"/>
        </w:rPr>
        <w:t>,</w:t>
      </w:r>
      <w:r w:rsidRPr="00C7348F">
        <w:rPr>
          <w:rFonts w:ascii="Gotham" w:hAnsi="Gotham" w:cs="Arial"/>
          <w:sz w:val="20"/>
          <w:szCs w:val="20"/>
        </w:rPr>
        <w:t xml:space="preserve"> </w:t>
      </w:r>
      <w:r>
        <w:rPr>
          <w:rFonts w:ascii="Gotham" w:hAnsi="Gotham" w:cs="Arial"/>
          <w:sz w:val="20"/>
          <w:szCs w:val="20"/>
        </w:rPr>
        <w:t>y</w:t>
      </w:r>
      <w:r w:rsidRPr="00C7348F">
        <w:rPr>
          <w:rFonts w:ascii="Gotham" w:hAnsi="Gotham" w:cs="Arial"/>
          <w:sz w:val="20"/>
          <w:szCs w:val="20"/>
        </w:rPr>
        <w:t xml:space="preserve"> 289; se adicionan la fracción CXVI del artículo 5, artículos 42 bis, 42 ter, la fracción VII del artículo 287, artículos 325 bis y 325 ter; y se derogan los artículos 286 y 288 del Código para la Protección Ambiental, Cambio Climático y Sustentabilidad del Municipio de Tonalá, Jalisco. A continuación, se presenta el siguiente cuadro comparativo de los artículos materia de esta iniciativa.</w:t>
      </w:r>
    </w:p>
    <w:p w14:paraId="3A473A91" w14:textId="77777777" w:rsidR="00016FE1" w:rsidRPr="00C7348F" w:rsidRDefault="00016FE1" w:rsidP="002B6227">
      <w:pPr>
        <w:ind w:left="567"/>
        <w:jc w:val="both"/>
        <w:rPr>
          <w:rFonts w:ascii="Gotham" w:hAnsi="Gotham" w:cs="Arial"/>
          <w:sz w:val="20"/>
          <w:szCs w:val="20"/>
        </w:rPr>
      </w:pPr>
    </w:p>
    <w:p w14:paraId="3A473A92" w14:textId="77777777" w:rsidR="00016FE1" w:rsidRPr="00C7348F" w:rsidRDefault="00016FE1" w:rsidP="002B6227">
      <w:pPr>
        <w:ind w:left="567"/>
        <w:jc w:val="center"/>
        <w:rPr>
          <w:rFonts w:ascii="Gotham" w:hAnsi="Gotham" w:cs="Arial"/>
          <w:sz w:val="20"/>
          <w:szCs w:val="20"/>
        </w:rPr>
      </w:pPr>
      <w:r w:rsidRPr="00C7348F">
        <w:rPr>
          <w:rFonts w:ascii="Gotham" w:hAnsi="Gotham" w:cs="Arial"/>
          <w:sz w:val="20"/>
          <w:szCs w:val="20"/>
        </w:rPr>
        <w:t>Código para la Protección Ambiental, Cambio Climático y Sustentabilidad del Municipio de Tonalá, Jalisco</w:t>
      </w:r>
    </w:p>
    <w:p w14:paraId="3A473A93" w14:textId="77777777" w:rsidR="00016FE1" w:rsidRPr="00C7348F" w:rsidRDefault="00016FE1" w:rsidP="002B6227">
      <w:pPr>
        <w:ind w:left="567"/>
        <w:jc w:val="both"/>
        <w:rPr>
          <w:rFonts w:ascii="Gotham" w:hAnsi="Gotham" w:cs="Arial"/>
          <w:sz w:val="20"/>
          <w:szCs w:val="20"/>
        </w:rPr>
      </w:pPr>
    </w:p>
    <w:tbl>
      <w:tblPr>
        <w:tblW w:w="4724"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6"/>
        <w:gridCol w:w="4706"/>
      </w:tblGrid>
      <w:tr w:rsidR="00016FE1" w:rsidRPr="00B75D63" w14:paraId="3A473A96" w14:textId="77777777" w:rsidTr="00AD51C5">
        <w:trPr>
          <w:tblHeade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A94" w14:textId="77777777" w:rsidR="00016FE1" w:rsidRPr="00B75D63" w:rsidRDefault="00016FE1" w:rsidP="002B6227">
            <w:pPr>
              <w:spacing w:before="120" w:after="120"/>
              <w:jc w:val="center"/>
              <w:rPr>
                <w:rFonts w:ascii="Gotham" w:eastAsia="Calibri" w:hAnsi="Gotham" w:cs="Calibri"/>
                <w:b/>
                <w:sz w:val="19"/>
                <w:szCs w:val="19"/>
                <w:lang w:val="es-MX" w:eastAsia="en-US"/>
              </w:rPr>
            </w:pPr>
            <w:r w:rsidRPr="00B75D63">
              <w:rPr>
                <w:rFonts w:ascii="Gotham" w:hAnsi="Gotham" w:cs="Calibri"/>
                <w:b/>
                <w:sz w:val="19"/>
                <w:szCs w:val="19"/>
              </w:rPr>
              <w:t>Texto Original</w:t>
            </w:r>
          </w:p>
        </w:tc>
        <w:tc>
          <w:tcPr>
            <w:tcW w:w="2500" w:type="pct"/>
            <w:tcBorders>
              <w:top w:val="single" w:sz="4" w:space="0" w:color="000000"/>
              <w:left w:val="single" w:sz="4" w:space="0" w:color="000000"/>
              <w:bottom w:val="single" w:sz="4" w:space="0" w:color="000000"/>
              <w:right w:val="single" w:sz="4" w:space="0" w:color="000000"/>
            </w:tcBorders>
            <w:hideMark/>
          </w:tcPr>
          <w:p w14:paraId="3A473A95" w14:textId="77777777" w:rsidR="00016FE1" w:rsidRPr="00B75D63" w:rsidRDefault="00016FE1" w:rsidP="002B6227">
            <w:pPr>
              <w:spacing w:before="120" w:after="120"/>
              <w:jc w:val="center"/>
              <w:rPr>
                <w:rFonts w:ascii="Gotham" w:hAnsi="Gotham" w:cs="Calibri"/>
                <w:b/>
                <w:sz w:val="19"/>
                <w:szCs w:val="19"/>
              </w:rPr>
            </w:pPr>
            <w:r w:rsidRPr="00B75D63">
              <w:rPr>
                <w:rFonts w:ascii="Gotham" w:hAnsi="Gotham" w:cs="Calibri"/>
                <w:b/>
                <w:sz w:val="19"/>
                <w:szCs w:val="19"/>
              </w:rPr>
              <w:t>Texto Propuesto</w:t>
            </w:r>
          </w:p>
        </w:tc>
      </w:tr>
      <w:tr w:rsidR="00016FE1" w:rsidRPr="00B75D63" w14:paraId="3A473AA5"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A97"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t xml:space="preserve">Artículo 2.- </w:t>
            </w:r>
            <w:r w:rsidRPr="00B75D63">
              <w:rPr>
                <w:rFonts w:ascii="Gotham" w:hAnsi="Gotham" w:cs="Calibri"/>
                <w:sz w:val="19"/>
                <w:szCs w:val="19"/>
                <w:lang w:eastAsia="es-MX"/>
              </w:rPr>
              <w:t>La aplicación y ejecución de las disposiciones previstas en el presente código corresponde al Presidente Municipal, por conducto de la Dirección de Gestión Ambiental, Cambio Climático y Sustentabilidad sin perjuicio de lo establecido por la Ley del Gobierno y la Administración Pública Municipal del Estado de Jalisco, o bien, de que puedan delegarse diversas facultades previstas en el presente ordenamiento a otras dependencias o servidores públicos, mediante convenios o acuerdos de coordinación que se celebren para el eficaz cumplimiento del objeto del presente código.</w:t>
            </w:r>
          </w:p>
        </w:tc>
        <w:tc>
          <w:tcPr>
            <w:tcW w:w="2500" w:type="pct"/>
            <w:tcBorders>
              <w:top w:val="single" w:sz="4" w:space="0" w:color="000000"/>
              <w:left w:val="single" w:sz="4" w:space="0" w:color="000000"/>
              <w:bottom w:val="single" w:sz="4" w:space="0" w:color="000000"/>
              <w:right w:val="single" w:sz="4" w:space="0" w:color="000000"/>
            </w:tcBorders>
            <w:hideMark/>
          </w:tcPr>
          <w:p w14:paraId="3A473A98"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Artículo 2.- La aplicación y ejecución de las disposiciones previstas en este Código, le corresponden a las siguientes autoridades y dependencias Municipales:</w:t>
            </w:r>
          </w:p>
          <w:p w14:paraId="3A473A99"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I. Al ayuntamiento;</w:t>
            </w:r>
          </w:p>
          <w:p w14:paraId="3A473A9A"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II. Al Presidente Municipal;</w:t>
            </w:r>
          </w:p>
          <w:p w14:paraId="3A473A9B"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III. Al secretario General del Ayuntamiento;</w:t>
            </w:r>
          </w:p>
          <w:p w14:paraId="3A473A9C"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 xml:space="preserve">IV. Al Síndico del Ayuntamiento; </w:t>
            </w:r>
          </w:p>
          <w:p w14:paraId="3A473A9D"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V. A la Dirección Ecología y Cambio Climático;</w:t>
            </w:r>
          </w:p>
          <w:p w14:paraId="3A473A9E"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VI. A la Dirección de Inspección y Vigilancia;</w:t>
            </w:r>
          </w:p>
          <w:p w14:paraId="3A473A9F"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VII. A los Juzgados Cívicos Municipales;</w:t>
            </w:r>
          </w:p>
          <w:p w14:paraId="3A473AA0"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VIII. a la Dirección General de Obras Públicas;</w:t>
            </w:r>
          </w:p>
          <w:p w14:paraId="3A473AA1"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IX. A la Dirección de Padrón y Licencias;</w:t>
            </w:r>
          </w:p>
          <w:p w14:paraId="3A473AA2"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X. A la Jefatura de Parques y Jardines;</w:t>
            </w:r>
          </w:p>
          <w:p w14:paraId="3A473AA3" w14:textId="77777777" w:rsidR="00016FE1" w:rsidRPr="00B75D63" w:rsidRDefault="00016FE1" w:rsidP="002B6227">
            <w:pPr>
              <w:autoSpaceDE w:val="0"/>
              <w:autoSpaceDN w:val="0"/>
              <w:adjustRightInd w:val="0"/>
              <w:spacing w:before="120" w:after="120"/>
              <w:jc w:val="both"/>
              <w:rPr>
                <w:rFonts w:ascii="Gotham" w:hAnsi="Gotham" w:cs="Calibri"/>
                <w:b/>
                <w:bCs/>
                <w:color w:val="07070F"/>
                <w:sz w:val="19"/>
                <w:szCs w:val="19"/>
              </w:rPr>
            </w:pPr>
            <w:r w:rsidRPr="00B75D63">
              <w:rPr>
                <w:rFonts w:ascii="Gotham" w:hAnsi="Gotham" w:cs="Calibri"/>
                <w:b/>
                <w:bCs/>
                <w:color w:val="07070F"/>
                <w:sz w:val="19"/>
                <w:szCs w:val="19"/>
              </w:rPr>
              <w:t>XI. a la Jefatura de Aseo Público; y</w:t>
            </w:r>
          </w:p>
          <w:p w14:paraId="3A473AA4" w14:textId="77777777" w:rsidR="00016FE1" w:rsidRPr="00B75D63" w:rsidRDefault="00016FE1" w:rsidP="002B6227">
            <w:pPr>
              <w:autoSpaceDE w:val="0"/>
              <w:autoSpaceDN w:val="0"/>
              <w:adjustRightInd w:val="0"/>
              <w:spacing w:before="120" w:after="120"/>
              <w:jc w:val="both"/>
              <w:rPr>
                <w:rFonts w:ascii="Gotham" w:hAnsi="Gotham" w:cs="Calibri"/>
                <w:bCs/>
                <w:color w:val="07070F"/>
                <w:sz w:val="19"/>
                <w:szCs w:val="19"/>
              </w:rPr>
            </w:pPr>
            <w:r w:rsidRPr="00B75D63">
              <w:rPr>
                <w:rFonts w:ascii="Gotham" w:hAnsi="Gotham" w:cs="Calibri"/>
                <w:b/>
                <w:bCs/>
                <w:color w:val="07070F"/>
                <w:sz w:val="19"/>
                <w:szCs w:val="19"/>
              </w:rPr>
              <w:t>XII. A los demás servidores públicos en los que las autoridades municipales referidas en las fracciones anteriores deleguen sus atribuciones.</w:t>
            </w:r>
          </w:p>
        </w:tc>
      </w:tr>
      <w:tr w:rsidR="00016FE1" w:rsidRPr="00B75D63" w14:paraId="3A473B03"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tcPr>
          <w:p w14:paraId="3A473AA6" w14:textId="77777777" w:rsidR="00016FE1" w:rsidRDefault="00016FE1" w:rsidP="002B6227">
            <w:pPr>
              <w:jc w:val="both"/>
              <w:rPr>
                <w:rFonts w:ascii="Gotham" w:hAnsi="Gotham" w:cs="Calibri"/>
                <w:b/>
                <w:bCs/>
                <w:i/>
                <w:iCs/>
                <w:sz w:val="19"/>
                <w:szCs w:val="19"/>
                <w:lang w:eastAsia="es-MX"/>
              </w:rPr>
            </w:pPr>
          </w:p>
          <w:p w14:paraId="3A473AA7" w14:textId="77777777" w:rsidR="00016FE1" w:rsidRPr="00B75D63" w:rsidRDefault="00016FE1" w:rsidP="002B6227">
            <w:pPr>
              <w:jc w:val="both"/>
              <w:rPr>
                <w:rFonts w:ascii="Gotham" w:hAnsi="Gotham" w:cs="Calibri"/>
                <w:sz w:val="19"/>
                <w:szCs w:val="19"/>
                <w:lang w:eastAsia="es-MX"/>
              </w:rPr>
            </w:pPr>
            <w:r w:rsidRPr="00B75D63">
              <w:rPr>
                <w:rFonts w:ascii="Gotham" w:hAnsi="Gotham" w:cs="Calibri"/>
                <w:b/>
                <w:bCs/>
                <w:i/>
                <w:iCs/>
                <w:sz w:val="19"/>
                <w:szCs w:val="19"/>
                <w:lang w:eastAsia="es-MX"/>
              </w:rPr>
              <w:t xml:space="preserve">Artículo 5.- </w:t>
            </w:r>
            <w:r w:rsidRPr="00B75D63">
              <w:rPr>
                <w:rFonts w:ascii="Gotham" w:hAnsi="Gotham" w:cs="Calibri"/>
                <w:sz w:val="19"/>
                <w:szCs w:val="19"/>
                <w:lang w:eastAsia="es-MX"/>
              </w:rPr>
              <w:t>[…]:</w:t>
            </w:r>
          </w:p>
          <w:p w14:paraId="3A473AA8" w14:textId="77777777" w:rsidR="00016FE1" w:rsidRDefault="00016FE1" w:rsidP="002B6227">
            <w:pPr>
              <w:jc w:val="both"/>
              <w:rPr>
                <w:rFonts w:ascii="Gotham" w:hAnsi="Gotham" w:cs="Calibri"/>
                <w:sz w:val="19"/>
                <w:szCs w:val="19"/>
                <w:lang w:eastAsia="es-MX"/>
              </w:rPr>
            </w:pPr>
          </w:p>
          <w:p w14:paraId="3A473AA9" w14:textId="77777777" w:rsidR="00016FE1" w:rsidRPr="00B75D63" w:rsidRDefault="00016FE1" w:rsidP="002B6227">
            <w:pPr>
              <w:jc w:val="both"/>
              <w:rPr>
                <w:rFonts w:ascii="Gotham" w:hAnsi="Gotham" w:cs="Calibri"/>
                <w:sz w:val="19"/>
                <w:szCs w:val="19"/>
                <w:lang w:eastAsia="es-MX"/>
              </w:rPr>
            </w:pPr>
            <w:r w:rsidRPr="00B75D63">
              <w:rPr>
                <w:rFonts w:ascii="Gotham" w:hAnsi="Gotham" w:cs="Calibri"/>
                <w:sz w:val="19"/>
                <w:szCs w:val="19"/>
                <w:lang w:eastAsia="es-MX"/>
              </w:rPr>
              <w:t>I. a…XCVI […]</w:t>
            </w:r>
          </w:p>
          <w:p w14:paraId="3A473AAA" w14:textId="77777777" w:rsidR="00016FE1" w:rsidRPr="00B75D63" w:rsidRDefault="00016FE1" w:rsidP="002B6227">
            <w:pPr>
              <w:autoSpaceDE w:val="0"/>
              <w:autoSpaceDN w:val="0"/>
              <w:adjustRightInd w:val="0"/>
              <w:jc w:val="both"/>
              <w:rPr>
                <w:rFonts w:ascii="Gotham" w:hAnsi="Gotham" w:cs="Calibri"/>
                <w:color w:val="000000"/>
                <w:sz w:val="19"/>
                <w:szCs w:val="19"/>
                <w:lang w:eastAsia="es-MX"/>
              </w:rPr>
            </w:pPr>
          </w:p>
          <w:p w14:paraId="3A473AAB" w14:textId="77777777" w:rsidR="00016FE1" w:rsidRDefault="00016FE1" w:rsidP="002B6227">
            <w:pPr>
              <w:autoSpaceDE w:val="0"/>
              <w:autoSpaceDN w:val="0"/>
              <w:adjustRightInd w:val="0"/>
              <w:jc w:val="both"/>
              <w:rPr>
                <w:rFonts w:ascii="Gotham" w:hAnsi="Gotham" w:cs="Calibri"/>
                <w:sz w:val="19"/>
                <w:szCs w:val="19"/>
                <w:lang w:eastAsia="es-MX"/>
              </w:rPr>
            </w:pPr>
          </w:p>
          <w:p w14:paraId="3A473AAC" w14:textId="77777777" w:rsidR="00016FE1" w:rsidRDefault="00016FE1" w:rsidP="002B6227">
            <w:pPr>
              <w:autoSpaceDE w:val="0"/>
              <w:autoSpaceDN w:val="0"/>
              <w:adjustRightInd w:val="0"/>
              <w:jc w:val="both"/>
              <w:rPr>
                <w:rFonts w:ascii="Gotham" w:hAnsi="Gotham" w:cs="Calibri"/>
                <w:sz w:val="19"/>
                <w:szCs w:val="19"/>
                <w:lang w:eastAsia="es-MX"/>
              </w:rPr>
            </w:pPr>
          </w:p>
          <w:p w14:paraId="3A473AAD"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AE"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AF"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0"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1"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XCVII. SEMADET: Secretaría de Medio Ambiente y Desarrollo Territorial;</w:t>
            </w:r>
          </w:p>
          <w:p w14:paraId="3A473AB2"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3"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lastRenderedPageBreak/>
              <w:t>XCVIII. SEMARNAT: Secretaría de Medio Ambiente y Recursos Naturales;</w:t>
            </w:r>
          </w:p>
          <w:p w14:paraId="3A473AB4"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5"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XCIX. Servicios ambientales: Los beneficios tangibles e intangibles, generados por los ecosistemas, necesarios para la supervivencia del sistema natural y biológico en su conjunto, y para que proporcionen beneficios al ser humano;</w:t>
            </w:r>
          </w:p>
          <w:p w14:paraId="3A473AB6"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7"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 Solicitante o responsable: la (sic) persona física o jurídica que, previa autorización, imparte algún curso, clase, taller o evento ambiental, educativo, cultural, artístico o deportivo pudiendo ser gratuito o con algún costo dentro del Parque Ecológico de los Artesanos del Cerro de la Reina de Tonalá, Jalisco;</w:t>
            </w:r>
          </w:p>
          <w:p w14:paraId="3A473AB8"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9"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CI. Sustitución de especies arbóreas: Corresponde a la plantación de especies adecuadas que reemplacen a los árboles retirados, según el espacio disponible en el área urbana;</w:t>
            </w:r>
          </w:p>
          <w:p w14:paraId="3A473ABA"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B"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CII. Terreno de uso agropecuario: Aquellos que, sin distinción de su pendiente o estructura, se destinan a la siembra de cultivos agrícolas, a la cría y producción de ganado, mediante la utilización de la vegetación sea esta natural, inducida o cultivada;</w:t>
            </w:r>
          </w:p>
          <w:p w14:paraId="3A473ABC"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D"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CIII. Terreno forestal: El que está cubierto por vegetación forestal;</w:t>
            </w:r>
          </w:p>
          <w:p w14:paraId="3A473ABE"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BF"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CIV. Trasplante: Acción de reubicar un árbol de un sitio a otro, siempre y cuando la naturaleza de la especie lo permita.</w:t>
            </w:r>
          </w:p>
          <w:p w14:paraId="3A473AC0"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C1"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CV. Unidades productoras de cerámicos y ladrillos: Sitios donde operan las fuentes fijas con actividad para la producción de cerámicos y ladrillos bajo los criterios de ubicación y de operación establecidos en el presente código y demás ordenamientos y normas aplicables;</w:t>
            </w:r>
          </w:p>
          <w:p w14:paraId="3A473AC2"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C3"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CVI. Uso del fuego: Aplicación del fuego en terrenos agropecuarios, forestales, preferentemente forestales, temporalmente forestales y colindantes o adyacentes con objetivos de manejo de recursos naturales, para la producción, limpieza de terrenos o quema de desechos, o en fogatas para luz, calor o preparación de alimentos;</w:t>
            </w:r>
          </w:p>
          <w:p w14:paraId="3A473AC4"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C5"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CVII. Usuario: En materia de las disposiciones aplicables al Parque Ecológico de los Artesanos del Cerro de la Reina de Tonalá, Jalisco es toda aquella persona que ingrese al Parque;</w:t>
            </w:r>
          </w:p>
          <w:p w14:paraId="3A473AC6"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C7"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CVIII. Valorización: Principio bajo el cual se conjuntan acciones orientadas a recuperar el valor remanente o el poder calorífico de los materiales que componen los residuos, mediante su reincorporación en procesos productivos, bajo criterios de responsabilidad compartida, manejo integral y eficiencia ambiental, tecnológica y económica;</w:t>
            </w:r>
          </w:p>
          <w:p w14:paraId="3A473AC8"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C9"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CIX. Vegetación Forestal: El conjunto de plantas y hongos que crecen y se desarrollan en forma natural, formando bosques, selvas, zonas áridas y semiáridas, y otros ecosistemas, dando lugar al desarrollo y convivencia equilibrada de otros recursos y procesos naturales;</w:t>
            </w:r>
          </w:p>
          <w:p w14:paraId="3A473ACA"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CB"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CX. Vida silvestre: Término técnico, utilizado para referirse a los animales que habitan de forma libre en las distintas regiones del país. Por lo tanto, Vida Silvestre y Fauna Silvestre tienen el mismo significado;</w:t>
            </w:r>
          </w:p>
          <w:p w14:paraId="3A473ACC"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CD"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CXI. Vocación natural: Condiciones que presenta un ecosistema para sostener una o varias actividades sin que se produzcan desequilibrios ecológicos;</w:t>
            </w:r>
          </w:p>
          <w:p w14:paraId="3A473ACE"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CF"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CXII. Zonificación: El instrumento técnico de planeación que puede ser utilizado en el establecimiento de las áreas naturales protegidas, que permite ordenar su territorio en función del grado de conservación y representatividad de sus ecosistemas, la vocación natural del terreno, de su uso actual y potencial, de conformidad con los objetivos dispuestos en la misma declaratoria. Asimismo, existirá una subzonificación, la cual consiste en el instrumento técnico y dinámico de planeación, que se establecerá en el programa de manejo respectivo, y que es utilizado en el manejo de las áreas naturales protegidas, con el fin de ordenar detalladamente las zonas núcleo y de amortiguamiento, previamente establecidas mediante la declaratoria correspondiente;</w:t>
            </w:r>
          </w:p>
          <w:p w14:paraId="3A473AD0"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D1"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lastRenderedPageBreak/>
              <w:t>CXIII. Zona de conservación ecológica: Zona donde la vegetación natural, es un importante recurso que debe de conservarse y recuperarse, evitando los cambios en el uso del suelo y a través de estrategias de recuperación, las pendientes son los principales factores limitantes a la urbanización;</w:t>
            </w:r>
          </w:p>
          <w:p w14:paraId="3A473AD2"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D3"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CXIV. Zona de preservación ecológica: Entre los distintos tipos o categorías de áreas naturales protegidas se encuentran las áreas de protección de flora y fauna, que se constituyen en los lugares que contienen los hábitats de cuyo equilibrio y preservación depende la existencia, transformación y desarrollo de las especies de flora y fauna silvestres; y</w:t>
            </w:r>
          </w:p>
          <w:p w14:paraId="3A473AD4"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D5"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CXV. Zonas de recuperación ambiental: Contiene información sobre el criterio bajo el cual se propone el establecimiento de la zona de recuperación ambiental; Los objetivos específicos de la zona de recuperación ambiental; Descripción detallada de las acciones a realizar par a regenerar, recuperar o restablecer las condiciones naturales de la zona; Los responsables del manejo, las fuentes de financiamiento y los plazos para la</w:t>
            </w:r>
            <w:r w:rsidR="009F075D">
              <w:rPr>
                <w:rFonts w:ascii="Gotham" w:hAnsi="Gotham" w:cs="Calibri"/>
                <w:sz w:val="19"/>
                <w:szCs w:val="19"/>
                <w:lang w:eastAsia="es-MX"/>
              </w:rPr>
              <w:t xml:space="preserve"> </w:t>
            </w:r>
            <w:r w:rsidRPr="00B75D63">
              <w:rPr>
                <w:rFonts w:ascii="Gotham" w:hAnsi="Gotham" w:cs="Calibri"/>
                <w:sz w:val="19"/>
                <w:szCs w:val="19"/>
                <w:lang w:eastAsia="es-MX"/>
              </w:rPr>
              <w:t>ejecución del</w:t>
            </w:r>
            <w:r w:rsidR="009F075D">
              <w:rPr>
                <w:rFonts w:ascii="Gotham" w:hAnsi="Gotham" w:cs="Calibri"/>
                <w:sz w:val="19"/>
                <w:szCs w:val="19"/>
                <w:lang w:eastAsia="es-MX"/>
              </w:rPr>
              <w:t xml:space="preserve"> </w:t>
            </w:r>
            <w:r w:rsidRPr="00B75D63">
              <w:rPr>
                <w:rFonts w:ascii="Gotham" w:hAnsi="Gotham" w:cs="Calibri"/>
                <w:sz w:val="19"/>
                <w:szCs w:val="19"/>
                <w:lang w:eastAsia="es-MX"/>
              </w:rPr>
              <w:t>programa; y el manejo integral que se dará al área, una vez que se considere plenamente restaurada, priorizando siempre la conservación.</w:t>
            </w:r>
          </w:p>
          <w:p w14:paraId="3A473AD6" w14:textId="77777777" w:rsidR="00016FE1" w:rsidRPr="00B75D63" w:rsidRDefault="00016FE1" w:rsidP="002B6227">
            <w:pPr>
              <w:autoSpaceDE w:val="0"/>
              <w:autoSpaceDN w:val="0"/>
              <w:adjustRightInd w:val="0"/>
              <w:jc w:val="both"/>
              <w:rPr>
                <w:rFonts w:ascii="Gotham" w:hAnsi="Gotham" w:cs="Calibri"/>
                <w:sz w:val="19"/>
                <w:szCs w:val="19"/>
                <w:lang w:eastAsia="es-MX"/>
              </w:rPr>
            </w:pPr>
          </w:p>
        </w:tc>
        <w:tc>
          <w:tcPr>
            <w:tcW w:w="2500" w:type="pct"/>
            <w:tcBorders>
              <w:top w:val="single" w:sz="4" w:space="0" w:color="000000"/>
              <w:left w:val="single" w:sz="4" w:space="0" w:color="000000"/>
              <w:bottom w:val="single" w:sz="4" w:space="0" w:color="000000"/>
              <w:right w:val="single" w:sz="4" w:space="0" w:color="000000"/>
            </w:tcBorders>
          </w:tcPr>
          <w:p w14:paraId="3A473AD7" w14:textId="77777777" w:rsidR="00016FE1" w:rsidRDefault="00016FE1" w:rsidP="002B6227">
            <w:pPr>
              <w:jc w:val="both"/>
              <w:rPr>
                <w:rFonts w:ascii="Gotham" w:hAnsi="Gotham" w:cs="Calibri"/>
                <w:b/>
                <w:bCs/>
                <w:i/>
                <w:iCs/>
                <w:sz w:val="19"/>
                <w:szCs w:val="19"/>
                <w:lang w:eastAsia="es-MX"/>
              </w:rPr>
            </w:pPr>
          </w:p>
          <w:p w14:paraId="3A473AD8" w14:textId="77777777" w:rsidR="00016FE1" w:rsidRDefault="00016FE1" w:rsidP="002B6227">
            <w:pPr>
              <w:jc w:val="both"/>
              <w:rPr>
                <w:rFonts w:ascii="Gotham" w:hAnsi="Gotham" w:cs="Calibri"/>
                <w:sz w:val="19"/>
                <w:szCs w:val="19"/>
                <w:lang w:eastAsia="es-MX"/>
              </w:rPr>
            </w:pPr>
            <w:r w:rsidRPr="00B75D63">
              <w:rPr>
                <w:rFonts w:ascii="Gotham" w:hAnsi="Gotham" w:cs="Calibri"/>
                <w:b/>
                <w:bCs/>
                <w:i/>
                <w:iCs/>
                <w:sz w:val="19"/>
                <w:szCs w:val="19"/>
                <w:lang w:eastAsia="es-MX"/>
              </w:rPr>
              <w:t>Artículo 5.-</w:t>
            </w:r>
            <w:r w:rsidRPr="00B75D63">
              <w:rPr>
                <w:rFonts w:ascii="Gotham" w:hAnsi="Gotham" w:cs="Calibri"/>
                <w:sz w:val="19"/>
                <w:szCs w:val="19"/>
                <w:lang w:eastAsia="es-MX"/>
              </w:rPr>
              <w:t xml:space="preserve"> […]:</w:t>
            </w:r>
          </w:p>
          <w:p w14:paraId="3A473AD9" w14:textId="77777777" w:rsidR="00016FE1" w:rsidRPr="00B75D63" w:rsidRDefault="00016FE1" w:rsidP="002B6227">
            <w:pPr>
              <w:jc w:val="both"/>
              <w:rPr>
                <w:rFonts w:ascii="Gotham" w:hAnsi="Gotham" w:cs="Calibri"/>
                <w:sz w:val="19"/>
                <w:szCs w:val="19"/>
                <w:lang w:eastAsia="es-MX"/>
              </w:rPr>
            </w:pPr>
          </w:p>
          <w:p w14:paraId="3A473ADA" w14:textId="77777777" w:rsidR="00016FE1" w:rsidRPr="00B75D63" w:rsidRDefault="00016FE1" w:rsidP="002B6227">
            <w:pPr>
              <w:jc w:val="both"/>
              <w:rPr>
                <w:rFonts w:ascii="Gotham" w:hAnsi="Gotham" w:cs="Calibri"/>
                <w:sz w:val="19"/>
                <w:szCs w:val="19"/>
                <w:lang w:eastAsia="en-US"/>
              </w:rPr>
            </w:pPr>
            <w:r w:rsidRPr="00B75D63">
              <w:rPr>
                <w:rFonts w:ascii="Gotham" w:hAnsi="Gotham" w:cs="Calibri"/>
                <w:sz w:val="19"/>
                <w:szCs w:val="19"/>
              </w:rPr>
              <w:t>I. a…XCVI […]</w:t>
            </w:r>
          </w:p>
          <w:p w14:paraId="3A473ADB" w14:textId="77777777" w:rsidR="00016FE1" w:rsidRDefault="00016FE1" w:rsidP="002B6227">
            <w:pPr>
              <w:jc w:val="both"/>
              <w:rPr>
                <w:rFonts w:ascii="Gotham" w:hAnsi="Gotham" w:cs="Calibri"/>
                <w:b/>
                <w:sz w:val="19"/>
                <w:szCs w:val="19"/>
              </w:rPr>
            </w:pPr>
          </w:p>
          <w:p w14:paraId="3A473ADC"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XCVII</w:t>
            </w:r>
            <w:r w:rsidRPr="00B75D63">
              <w:rPr>
                <w:rFonts w:ascii="Gotham" w:hAnsi="Gotham" w:cs="Calibri"/>
                <w:sz w:val="19"/>
                <w:szCs w:val="19"/>
              </w:rPr>
              <w:t xml:space="preserve">. </w:t>
            </w:r>
            <w:r w:rsidRPr="00B75D63">
              <w:rPr>
                <w:rFonts w:ascii="Gotham" w:hAnsi="Gotham" w:cs="Calibri"/>
                <w:b/>
                <w:sz w:val="19"/>
                <w:szCs w:val="19"/>
              </w:rPr>
              <w:t xml:space="preserve">RUIDO: Todo sonido indeseable, continuo o discontinuo cause una molestia o perjudique a las personas, su tranquilidad, descanso o paz proveniente de cualquier espacio público o privado en el Municipio; </w:t>
            </w:r>
          </w:p>
          <w:p w14:paraId="3A473ADD" w14:textId="77777777" w:rsidR="00016FE1" w:rsidRDefault="00016FE1" w:rsidP="002B6227">
            <w:pPr>
              <w:autoSpaceDE w:val="0"/>
              <w:autoSpaceDN w:val="0"/>
              <w:adjustRightInd w:val="0"/>
              <w:jc w:val="both"/>
              <w:rPr>
                <w:rFonts w:ascii="Gotham" w:hAnsi="Gotham" w:cs="Calibri"/>
                <w:b/>
                <w:sz w:val="19"/>
                <w:szCs w:val="19"/>
                <w:lang w:eastAsia="es-MX"/>
              </w:rPr>
            </w:pPr>
          </w:p>
          <w:p w14:paraId="3A473ADE"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XCVIII</w:t>
            </w:r>
            <w:r w:rsidRPr="00B75D63">
              <w:rPr>
                <w:rFonts w:ascii="Gotham" w:hAnsi="Gotham" w:cs="Calibri"/>
                <w:sz w:val="19"/>
                <w:szCs w:val="19"/>
                <w:lang w:eastAsia="es-MX"/>
              </w:rPr>
              <w:t>. SEMADET: Secretaría de Medio Ambiente y Desarrollo Territorial;</w:t>
            </w:r>
          </w:p>
          <w:p w14:paraId="3A473ADF"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E0"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lastRenderedPageBreak/>
              <w:t>XCIX</w:t>
            </w:r>
            <w:r w:rsidRPr="00B75D63">
              <w:rPr>
                <w:rFonts w:ascii="Gotham" w:hAnsi="Gotham" w:cs="Calibri"/>
                <w:sz w:val="19"/>
                <w:szCs w:val="19"/>
                <w:lang w:eastAsia="es-MX"/>
              </w:rPr>
              <w:t>. SEMARNAT: Secretaría de Medio Ambiente y Recursos Naturales;</w:t>
            </w:r>
          </w:p>
          <w:p w14:paraId="3A473AE1"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E2"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w:t>
            </w:r>
            <w:r w:rsidRPr="00B75D63">
              <w:rPr>
                <w:rFonts w:ascii="Gotham" w:hAnsi="Gotham" w:cs="Calibri"/>
                <w:sz w:val="19"/>
                <w:szCs w:val="19"/>
                <w:lang w:eastAsia="es-MX"/>
              </w:rPr>
              <w:t xml:space="preserve"> Servicios ambientales: Los beneficios tangibles e intangibles, generados por los ecosistemas, necesarios para la supervivencia del sistema natural y biológico en su conjunto, y para que proporcionen beneficios al ser humano;</w:t>
            </w:r>
          </w:p>
          <w:p w14:paraId="3A473AE3"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E4"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CI.</w:t>
            </w:r>
            <w:r w:rsidRPr="00B75D63">
              <w:rPr>
                <w:rFonts w:ascii="Gotham" w:hAnsi="Gotham" w:cs="Calibri"/>
                <w:sz w:val="19"/>
                <w:szCs w:val="19"/>
                <w:lang w:eastAsia="es-MX"/>
              </w:rPr>
              <w:t xml:space="preserve"> Solicitante o responsable: la (sic) persona física o jurídica que, previa autorización, imparte algún curso, clase, taller o evento ambiental, educativo, cultural, artístico o deportivo pudiendo ser gratuito o con algún costo dentro del Parque Ecológico de los Artesanos del Cerro de la Reina de Tonalá, Jalisco;</w:t>
            </w:r>
          </w:p>
          <w:p w14:paraId="3A473AE5" w14:textId="77777777" w:rsidR="00016FE1" w:rsidRDefault="00016FE1" w:rsidP="002B6227">
            <w:pPr>
              <w:autoSpaceDE w:val="0"/>
              <w:autoSpaceDN w:val="0"/>
              <w:adjustRightInd w:val="0"/>
              <w:jc w:val="both"/>
              <w:rPr>
                <w:rFonts w:ascii="Gotham" w:hAnsi="Gotham" w:cs="Calibri"/>
                <w:sz w:val="19"/>
                <w:szCs w:val="19"/>
                <w:lang w:eastAsia="es-MX"/>
              </w:rPr>
            </w:pPr>
          </w:p>
          <w:p w14:paraId="3A473AE6"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CII.</w:t>
            </w:r>
            <w:r w:rsidRPr="00B75D63">
              <w:rPr>
                <w:rFonts w:ascii="Gotham" w:hAnsi="Gotham" w:cs="Calibri"/>
                <w:sz w:val="19"/>
                <w:szCs w:val="19"/>
                <w:lang w:eastAsia="es-MX"/>
              </w:rPr>
              <w:t xml:space="preserve"> Sustitución de especies arbóreas: Corresponde a la plantación de especies adecuadas que reemplacen a los árboles retirados, según el espacio disponible en el área urbana;</w:t>
            </w:r>
          </w:p>
          <w:p w14:paraId="3A473AE7" w14:textId="77777777" w:rsidR="00016FE1" w:rsidRDefault="00016FE1" w:rsidP="002B6227">
            <w:pPr>
              <w:autoSpaceDE w:val="0"/>
              <w:autoSpaceDN w:val="0"/>
              <w:adjustRightInd w:val="0"/>
              <w:jc w:val="both"/>
              <w:rPr>
                <w:rFonts w:ascii="Gotham" w:hAnsi="Gotham" w:cs="Calibri"/>
                <w:sz w:val="19"/>
                <w:szCs w:val="19"/>
                <w:lang w:eastAsia="es-MX"/>
              </w:rPr>
            </w:pPr>
          </w:p>
          <w:p w14:paraId="3A473AE8"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CIII.</w:t>
            </w:r>
            <w:r w:rsidRPr="00B75D63">
              <w:rPr>
                <w:rFonts w:ascii="Gotham" w:hAnsi="Gotham" w:cs="Calibri"/>
                <w:sz w:val="19"/>
                <w:szCs w:val="19"/>
                <w:lang w:eastAsia="es-MX"/>
              </w:rPr>
              <w:t xml:space="preserve"> Terreno de uso agropecuario: Aquellos que, sin distinción de su pendiente o estructura, se destinan a la siembra de cultivos agrícolas, a la cría y producción de ganado, mediante la utilización de la vegetación sea esta natural, inducida o cultivada;</w:t>
            </w:r>
          </w:p>
          <w:p w14:paraId="3A473AE9" w14:textId="77777777" w:rsidR="00016FE1" w:rsidRDefault="00016FE1" w:rsidP="002B6227">
            <w:pPr>
              <w:autoSpaceDE w:val="0"/>
              <w:autoSpaceDN w:val="0"/>
              <w:adjustRightInd w:val="0"/>
              <w:jc w:val="both"/>
              <w:rPr>
                <w:rFonts w:ascii="Gotham" w:hAnsi="Gotham" w:cs="Calibri"/>
                <w:b/>
                <w:sz w:val="19"/>
                <w:szCs w:val="19"/>
                <w:lang w:eastAsia="es-MX"/>
              </w:rPr>
            </w:pPr>
          </w:p>
          <w:p w14:paraId="3A473AEA"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CIV</w:t>
            </w:r>
            <w:r w:rsidRPr="00B75D63">
              <w:rPr>
                <w:rFonts w:ascii="Gotham" w:hAnsi="Gotham" w:cs="Calibri"/>
                <w:sz w:val="19"/>
                <w:szCs w:val="19"/>
                <w:lang w:eastAsia="es-MX"/>
              </w:rPr>
              <w:t>. Terreno forestal: El que está cubierto por vegetación forestal;</w:t>
            </w:r>
          </w:p>
          <w:p w14:paraId="3A473AEB"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EC"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 xml:space="preserve">CV. </w:t>
            </w:r>
            <w:r w:rsidRPr="00B75D63">
              <w:rPr>
                <w:rFonts w:ascii="Gotham" w:hAnsi="Gotham" w:cs="Calibri"/>
                <w:sz w:val="19"/>
                <w:szCs w:val="19"/>
                <w:lang w:eastAsia="es-MX"/>
              </w:rPr>
              <w:t>Trasplante: Acción de reubicar un árbol de un sitio a otro, siempre y cuando la naturaleza de la especie lo permita.</w:t>
            </w:r>
          </w:p>
          <w:p w14:paraId="3A473AED"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EE"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CVI</w:t>
            </w:r>
            <w:r w:rsidRPr="00B75D63">
              <w:rPr>
                <w:rFonts w:ascii="Gotham" w:hAnsi="Gotham" w:cs="Calibri"/>
                <w:sz w:val="19"/>
                <w:szCs w:val="19"/>
                <w:lang w:eastAsia="es-MX"/>
              </w:rPr>
              <w:t>. Unidades productoras de cerámicos y ladrillos: Sitios donde operan las fuentes fijas con actividad para la producción de cerámicos y ladrillos bajo los criterios de ubicación y de operación establecidos en el presente código y demás ordenamientos y normas aplicables;</w:t>
            </w:r>
          </w:p>
          <w:p w14:paraId="3A473AEF"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F0"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CVII.</w:t>
            </w:r>
            <w:r w:rsidRPr="00B75D63">
              <w:rPr>
                <w:rFonts w:ascii="Gotham" w:hAnsi="Gotham" w:cs="Calibri"/>
                <w:sz w:val="19"/>
                <w:szCs w:val="19"/>
                <w:lang w:eastAsia="es-MX"/>
              </w:rPr>
              <w:t xml:space="preserve"> Uso del fuego: Aplicación del fuego en terrenos agropecuarios, forestales, preferentemente forestales, temporalmente forestales y colindantes o adyacentes con objetivos de manejo de recursos naturales, para la producción, limpieza de terrenos o quema de desechos, o en fogatas para luz, calor o preparación de alimentos;</w:t>
            </w:r>
          </w:p>
          <w:p w14:paraId="3A473AF1"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F2"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CVIII.</w:t>
            </w:r>
            <w:r w:rsidRPr="00B75D63">
              <w:rPr>
                <w:rFonts w:ascii="Gotham" w:hAnsi="Gotham" w:cs="Calibri"/>
                <w:sz w:val="19"/>
                <w:szCs w:val="19"/>
                <w:lang w:eastAsia="es-MX"/>
              </w:rPr>
              <w:t xml:space="preserve"> Usuario: En materia de las disposiciones aplicables al Parque Ecológico de los Artesanos del Cerro de la Reina de Tonalá, Jalisco es toda aquella persona que ingrese al Parque;</w:t>
            </w:r>
          </w:p>
          <w:p w14:paraId="3A473AF3"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F4"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CIX.</w:t>
            </w:r>
            <w:r w:rsidRPr="00B75D63">
              <w:rPr>
                <w:rFonts w:ascii="Gotham" w:hAnsi="Gotham" w:cs="Calibri"/>
                <w:sz w:val="19"/>
                <w:szCs w:val="19"/>
                <w:lang w:eastAsia="es-MX"/>
              </w:rPr>
              <w:t xml:space="preserve"> Valorización: Principio bajo el cual se conjuntan acciones orientadas a recuperar el valor remanente o el poder calorífico de los materiales que componen los residuos, mediante su reincorporación en procesos productivos, bajo criterios de responsabilidad compartida, manejo integral y eficiencia ambiental, tecnológica y económica;</w:t>
            </w:r>
          </w:p>
          <w:p w14:paraId="3A473AF5" w14:textId="77777777" w:rsidR="00016FE1" w:rsidRDefault="00016FE1" w:rsidP="002B6227">
            <w:pPr>
              <w:autoSpaceDE w:val="0"/>
              <w:autoSpaceDN w:val="0"/>
              <w:adjustRightInd w:val="0"/>
              <w:jc w:val="both"/>
              <w:rPr>
                <w:rFonts w:ascii="Gotham" w:hAnsi="Gotham" w:cs="Calibri"/>
                <w:b/>
                <w:sz w:val="19"/>
                <w:szCs w:val="19"/>
                <w:lang w:eastAsia="es-MX"/>
              </w:rPr>
            </w:pPr>
          </w:p>
          <w:p w14:paraId="3A473AF6"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CX.</w:t>
            </w:r>
            <w:r w:rsidRPr="00B75D63">
              <w:rPr>
                <w:rFonts w:ascii="Gotham" w:hAnsi="Gotham" w:cs="Calibri"/>
                <w:sz w:val="19"/>
                <w:szCs w:val="19"/>
                <w:lang w:eastAsia="es-MX"/>
              </w:rPr>
              <w:t xml:space="preserve"> Vegetación Forestal: El conjunto de plantas y hongos que crecen y se desarrollan en forma natural, formando bosques, selvas, zonas áridas y semiáridas, y otros ecosistemas, dando lugar al desarrollo y convivencia equilibrada de otros recursos y procesos naturales;</w:t>
            </w:r>
          </w:p>
          <w:p w14:paraId="3A473AF7"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F8"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CXI.</w:t>
            </w:r>
            <w:r w:rsidRPr="00B75D63">
              <w:rPr>
                <w:rFonts w:ascii="Gotham" w:hAnsi="Gotham" w:cs="Calibri"/>
                <w:sz w:val="19"/>
                <w:szCs w:val="19"/>
                <w:lang w:eastAsia="es-MX"/>
              </w:rPr>
              <w:t xml:space="preserve"> Vida silvestre: Término técnico, utilizado para referirse a los animales que habitan de forma libre en las distintas regiones del país. Por lo tanto, Vida Silvestre y Fauna Silvestre tienen el mismo significado;</w:t>
            </w:r>
          </w:p>
          <w:p w14:paraId="3A473AF9"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FA"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CXII</w:t>
            </w:r>
            <w:r w:rsidRPr="00B75D63">
              <w:rPr>
                <w:rFonts w:ascii="Gotham" w:hAnsi="Gotham" w:cs="Calibri"/>
                <w:sz w:val="19"/>
                <w:szCs w:val="19"/>
                <w:lang w:eastAsia="es-MX"/>
              </w:rPr>
              <w:t>. Vocación natural: Condiciones que presenta un ecosistema para sostener una o varias actividades sin que se produzcan desequilibrios ecológicos;</w:t>
            </w:r>
          </w:p>
          <w:p w14:paraId="3A473AFB" w14:textId="77777777" w:rsidR="00016FE1" w:rsidRDefault="00016FE1" w:rsidP="002B6227">
            <w:pPr>
              <w:autoSpaceDE w:val="0"/>
              <w:autoSpaceDN w:val="0"/>
              <w:adjustRightInd w:val="0"/>
              <w:jc w:val="both"/>
              <w:rPr>
                <w:rFonts w:ascii="Gotham" w:hAnsi="Gotham" w:cs="Calibri"/>
                <w:sz w:val="19"/>
                <w:szCs w:val="19"/>
                <w:lang w:eastAsia="es-MX"/>
              </w:rPr>
            </w:pPr>
          </w:p>
          <w:p w14:paraId="3A473AFC"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CXIII.</w:t>
            </w:r>
            <w:r w:rsidRPr="00B75D63">
              <w:rPr>
                <w:rFonts w:ascii="Gotham" w:hAnsi="Gotham" w:cs="Calibri"/>
                <w:sz w:val="19"/>
                <w:szCs w:val="19"/>
                <w:lang w:eastAsia="es-MX"/>
              </w:rPr>
              <w:t xml:space="preserve"> Zonificación: El instrumento técnico de planeación que puede ser utilizado en el establecimiento de las áreas naturales protegidas, que permite ordenar su territorio en función del grado de conservación y representatividad de sus ecosistemas, la vocación natural del terreno, de su uso actual y potencial, de conformidad con los objetivos dispuestos en la misma declaratoria. Asimismo, existirá una subzonificación, la cual consiste en el instrumento técnico y dinámico de planeación, que se establecerá en el programa de manejo respectivo, y que es utilizado en el manejo de las áreas naturales protegidas, con el fin de ordenar detalladamente las zonas núcleo y de amortiguamiento, previamente establecidas mediante la declaratoria correspondiente;</w:t>
            </w:r>
          </w:p>
          <w:p w14:paraId="3A473AFD"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AFE"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lastRenderedPageBreak/>
              <w:t>CXIV.</w:t>
            </w:r>
            <w:r w:rsidRPr="00B75D63">
              <w:rPr>
                <w:rFonts w:ascii="Gotham" w:hAnsi="Gotham" w:cs="Calibri"/>
                <w:sz w:val="19"/>
                <w:szCs w:val="19"/>
                <w:lang w:eastAsia="es-MX"/>
              </w:rPr>
              <w:t xml:space="preserve"> Zona de conservación ecológica: Zona donde la vegetación natural, es un importante recurso que debe de conservarse y recuperarse, evitando los cambios en el uso del suelo y a través de estrategias de recuperación, las pendientes son los principales factores limitantes a la urbanización;</w:t>
            </w:r>
          </w:p>
          <w:p w14:paraId="3A473AFF" w14:textId="77777777" w:rsidR="00016FE1" w:rsidRDefault="00016FE1" w:rsidP="002B6227">
            <w:pPr>
              <w:autoSpaceDE w:val="0"/>
              <w:autoSpaceDN w:val="0"/>
              <w:adjustRightInd w:val="0"/>
              <w:jc w:val="both"/>
              <w:rPr>
                <w:rFonts w:ascii="Gotham" w:hAnsi="Gotham" w:cs="Calibri"/>
                <w:sz w:val="19"/>
                <w:szCs w:val="19"/>
                <w:lang w:eastAsia="es-MX"/>
              </w:rPr>
            </w:pPr>
          </w:p>
          <w:p w14:paraId="3A473B00"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CXV.</w:t>
            </w:r>
            <w:r w:rsidRPr="00B75D63">
              <w:rPr>
                <w:rFonts w:ascii="Gotham" w:hAnsi="Gotham" w:cs="Calibri"/>
                <w:sz w:val="19"/>
                <w:szCs w:val="19"/>
                <w:lang w:eastAsia="es-MX"/>
              </w:rPr>
              <w:t xml:space="preserve"> Zona de preservación ecológica: Entre los distintos tipos o categorías de áreas naturales protegidas se encuentran las áreas de protección de flora y fauna, que se constituyen en los lugares que contienen los hábitats de cuyo equilibrio y preservación depende la existencia, transformación y desarrollo de las especies de flora y fauna silvestres; y</w:t>
            </w:r>
          </w:p>
          <w:p w14:paraId="3A473B01"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02" w14:textId="77777777" w:rsidR="00016FE1" w:rsidRPr="00B75D63" w:rsidRDefault="00016FE1" w:rsidP="002B6227">
            <w:pPr>
              <w:jc w:val="both"/>
              <w:rPr>
                <w:rFonts w:ascii="Gotham" w:hAnsi="Gotham" w:cs="Calibri"/>
                <w:sz w:val="19"/>
                <w:szCs w:val="19"/>
                <w:lang w:eastAsia="en-US"/>
              </w:rPr>
            </w:pPr>
            <w:r w:rsidRPr="00B75D63">
              <w:rPr>
                <w:rFonts w:ascii="Gotham" w:hAnsi="Gotham" w:cs="Calibri"/>
                <w:b/>
                <w:sz w:val="19"/>
                <w:szCs w:val="19"/>
                <w:lang w:eastAsia="es-MX"/>
              </w:rPr>
              <w:t>CXVI.</w:t>
            </w:r>
            <w:r w:rsidRPr="00B75D63">
              <w:rPr>
                <w:rFonts w:ascii="Gotham" w:hAnsi="Gotham" w:cs="Calibri"/>
                <w:sz w:val="19"/>
                <w:szCs w:val="19"/>
                <w:lang w:eastAsia="es-MX"/>
              </w:rPr>
              <w:t xml:space="preserve"> Zonas de recuperación ambiental: Contiene información sobre el criterio bajo el cual se propone el establecimiento de la zona de recuperación ambiental; Los objetivos específicos de la zona de recuperación ambiental; Descripción detallada de las acciones a realizar par a regenerar, recuperar o restablecer las condiciones naturales de la zona; Los responsables del manejo, las fuentes de financiamiento y los plazos para la</w:t>
            </w:r>
            <w:r w:rsidR="009F075D">
              <w:rPr>
                <w:rFonts w:ascii="Gotham" w:hAnsi="Gotham" w:cs="Calibri"/>
                <w:sz w:val="19"/>
                <w:szCs w:val="19"/>
                <w:lang w:eastAsia="es-MX"/>
              </w:rPr>
              <w:t xml:space="preserve"> </w:t>
            </w:r>
            <w:r w:rsidRPr="00B75D63">
              <w:rPr>
                <w:rFonts w:ascii="Gotham" w:hAnsi="Gotham" w:cs="Calibri"/>
                <w:sz w:val="19"/>
                <w:szCs w:val="19"/>
                <w:lang w:eastAsia="es-MX"/>
              </w:rPr>
              <w:t>ejecución del</w:t>
            </w:r>
            <w:r w:rsidR="009F075D">
              <w:rPr>
                <w:rFonts w:ascii="Gotham" w:hAnsi="Gotham" w:cs="Calibri"/>
                <w:sz w:val="19"/>
                <w:szCs w:val="19"/>
                <w:lang w:eastAsia="es-MX"/>
              </w:rPr>
              <w:t xml:space="preserve"> </w:t>
            </w:r>
            <w:r w:rsidRPr="00B75D63">
              <w:rPr>
                <w:rFonts w:ascii="Gotham" w:hAnsi="Gotham" w:cs="Calibri"/>
                <w:sz w:val="19"/>
                <w:szCs w:val="19"/>
                <w:lang w:eastAsia="es-MX"/>
              </w:rPr>
              <w:t>programa; y el manejo integral que se dará al área, una vez que se considere plenamente restaurada, priorizando siempre la conservación.</w:t>
            </w:r>
          </w:p>
        </w:tc>
      </w:tr>
      <w:tr w:rsidR="00016FE1" w:rsidRPr="00B75D63" w14:paraId="3A473B06"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B04"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lastRenderedPageBreak/>
              <w:t xml:space="preserve">Artículo 35.- </w:t>
            </w:r>
            <w:r w:rsidRPr="00B75D63">
              <w:rPr>
                <w:rFonts w:ascii="Gotham" w:hAnsi="Gotham" w:cs="Calibri"/>
                <w:sz w:val="19"/>
                <w:szCs w:val="19"/>
                <w:lang w:eastAsia="es-MX"/>
              </w:rPr>
              <w:t>Se prohíben las emisiones de ruido en establecimientos mercantiles y de servicios que excedan los límites máximos permisibles establecidos en la NOM-081-SEMARNAT-1994 o la que la substituyera.</w:t>
            </w:r>
          </w:p>
        </w:tc>
        <w:tc>
          <w:tcPr>
            <w:tcW w:w="2500" w:type="pct"/>
            <w:tcBorders>
              <w:top w:val="single" w:sz="4" w:space="0" w:color="000000"/>
              <w:left w:val="single" w:sz="4" w:space="0" w:color="000000"/>
              <w:bottom w:val="single" w:sz="4" w:space="0" w:color="000000"/>
              <w:right w:val="single" w:sz="4" w:space="0" w:color="000000"/>
            </w:tcBorders>
            <w:hideMark/>
          </w:tcPr>
          <w:p w14:paraId="3A473B05"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t xml:space="preserve">Artículo 35.- </w:t>
            </w:r>
            <w:r w:rsidRPr="00B75D63">
              <w:rPr>
                <w:rFonts w:ascii="Gotham" w:hAnsi="Gotham" w:cs="Calibri"/>
                <w:sz w:val="19"/>
                <w:szCs w:val="19"/>
                <w:lang w:eastAsia="es-MX"/>
              </w:rPr>
              <w:t xml:space="preserve">Se prohíben las emisiones de ruido en establecimientos mercantiles y de servicios que excedan los límites máximos permisibles establecidos </w:t>
            </w:r>
            <w:r w:rsidRPr="00B75D63">
              <w:rPr>
                <w:rFonts w:ascii="Gotham" w:hAnsi="Gotham" w:cs="Calibri"/>
                <w:b/>
                <w:sz w:val="19"/>
                <w:szCs w:val="19"/>
                <w:lang w:eastAsia="es-MX"/>
              </w:rPr>
              <w:t>en el presente Código.</w:t>
            </w:r>
            <w:r w:rsidR="009F075D">
              <w:rPr>
                <w:rFonts w:ascii="Gotham" w:hAnsi="Gotham" w:cs="Calibri"/>
                <w:sz w:val="19"/>
                <w:szCs w:val="19"/>
                <w:lang w:eastAsia="es-MX"/>
              </w:rPr>
              <w:t xml:space="preserve"> </w:t>
            </w:r>
          </w:p>
        </w:tc>
      </w:tr>
      <w:tr w:rsidR="00016FE1" w:rsidRPr="00B75D63" w14:paraId="3A473B1D"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tcPr>
          <w:p w14:paraId="3A473B07" w14:textId="77777777" w:rsidR="00016FE1" w:rsidRPr="00B75D63" w:rsidRDefault="00016FE1" w:rsidP="002B6227">
            <w:pPr>
              <w:jc w:val="both"/>
              <w:rPr>
                <w:rFonts w:ascii="Gotham" w:hAnsi="Gotham" w:cs="Calibri"/>
                <w:sz w:val="19"/>
                <w:szCs w:val="19"/>
              </w:rPr>
            </w:pPr>
          </w:p>
        </w:tc>
        <w:tc>
          <w:tcPr>
            <w:tcW w:w="2500" w:type="pct"/>
            <w:tcBorders>
              <w:top w:val="single" w:sz="4" w:space="0" w:color="000000"/>
              <w:left w:val="single" w:sz="4" w:space="0" w:color="000000"/>
              <w:bottom w:val="single" w:sz="4" w:space="0" w:color="000000"/>
              <w:right w:val="single" w:sz="4" w:space="0" w:color="000000"/>
            </w:tcBorders>
          </w:tcPr>
          <w:p w14:paraId="3A473B08" w14:textId="77777777" w:rsidR="00016FE1" w:rsidRDefault="00016FE1" w:rsidP="002B6227">
            <w:pPr>
              <w:jc w:val="both"/>
              <w:rPr>
                <w:rFonts w:ascii="Gotham" w:hAnsi="Gotham" w:cs="Calibri"/>
                <w:b/>
                <w:sz w:val="19"/>
                <w:szCs w:val="19"/>
              </w:rPr>
            </w:pPr>
          </w:p>
          <w:p w14:paraId="3A473B09"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 xml:space="preserve">Artículo 42 bis.- Los ruidos se transmiten al ambiente interior o exterior; sus límites máximos se infieren en función de la entidad o agente receptor. </w:t>
            </w:r>
          </w:p>
          <w:p w14:paraId="3A473B0A" w14:textId="77777777" w:rsidR="00016FE1" w:rsidRPr="00B75D63" w:rsidRDefault="00016FE1" w:rsidP="002B6227">
            <w:pPr>
              <w:jc w:val="both"/>
              <w:rPr>
                <w:rFonts w:ascii="Gotham" w:hAnsi="Gotham" w:cs="Calibri"/>
                <w:b/>
                <w:sz w:val="19"/>
                <w:szCs w:val="19"/>
              </w:rPr>
            </w:pPr>
          </w:p>
          <w:p w14:paraId="3A473B0B"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Para tales efectos, las zonas acústicas en el Municipio se clasifican de la siguiente manera:</w:t>
            </w:r>
          </w:p>
          <w:p w14:paraId="3A473B0C" w14:textId="77777777" w:rsidR="00016FE1" w:rsidRPr="00B75D63" w:rsidRDefault="00016FE1" w:rsidP="002B6227">
            <w:pPr>
              <w:jc w:val="both"/>
              <w:rPr>
                <w:rFonts w:ascii="Gotham" w:hAnsi="Gotham" w:cs="Calibri"/>
                <w:b/>
                <w:sz w:val="19"/>
                <w:szCs w:val="19"/>
              </w:rPr>
            </w:pPr>
          </w:p>
          <w:p w14:paraId="3A473B0D"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Zona A) Aquellas zonas habitacionales, en el que no existen comercios, servicios y demás equipamiento.</w:t>
            </w:r>
          </w:p>
          <w:p w14:paraId="3A473B0E" w14:textId="77777777" w:rsidR="00016FE1" w:rsidRPr="00B75D63" w:rsidRDefault="00016FE1" w:rsidP="002B6227">
            <w:pPr>
              <w:jc w:val="both"/>
              <w:rPr>
                <w:rFonts w:ascii="Gotham" w:hAnsi="Gotham" w:cs="Calibri"/>
                <w:b/>
                <w:sz w:val="19"/>
                <w:szCs w:val="19"/>
              </w:rPr>
            </w:pPr>
          </w:p>
          <w:p w14:paraId="3A473B0F"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lastRenderedPageBreak/>
              <w:t>Zona B) Las zonas preponderantemente habitacionales o usos de impacto mínimo, bajo y medio;</w:t>
            </w:r>
          </w:p>
          <w:p w14:paraId="3A473B10" w14:textId="77777777" w:rsidR="00016FE1" w:rsidRPr="00B75D63" w:rsidRDefault="00016FE1" w:rsidP="002B6227">
            <w:pPr>
              <w:jc w:val="both"/>
              <w:rPr>
                <w:rFonts w:ascii="Gotham" w:hAnsi="Gotham" w:cs="Calibri"/>
                <w:b/>
                <w:sz w:val="19"/>
                <w:szCs w:val="19"/>
              </w:rPr>
            </w:pPr>
          </w:p>
          <w:p w14:paraId="3A473B11"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ZONA C) Las zonas mixtas, en el que predominan los comercios, prestación de servicios y demás usos de impacto alto y máximo;</w:t>
            </w:r>
          </w:p>
          <w:p w14:paraId="3A473B12" w14:textId="77777777" w:rsidR="00016FE1" w:rsidRPr="00B75D63" w:rsidRDefault="00016FE1" w:rsidP="002B6227">
            <w:pPr>
              <w:jc w:val="both"/>
              <w:rPr>
                <w:rFonts w:ascii="Gotham" w:hAnsi="Gotham" w:cs="Calibri"/>
                <w:b/>
                <w:sz w:val="19"/>
                <w:szCs w:val="19"/>
              </w:rPr>
            </w:pPr>
          </w:p>
          <w:p w14:paraId="3A473B13"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ZONA D) Zonas de alto impacto en el que hay preponderancia de actividades industriales.</w:t>
            </w:r>
          </w:p>
          <w:p w14:paraId="3A473B14" w14:textId="77777777" w:rsidR="00016FE1" w:rsidRPr="00B75D63" w:rsidRDefault="00016FE1" w:rsidP="002B6227">
            <w:pPr>
              <w:jc w:val="both"/>
              <w:rPr>
                <w:rFonts w:ascii="Gotham" w:hAnsi="Gotham" w:cs="Calibri"/>
                <w:b/>
                <w:sz w:val="19"/>
                <w:szCs w:val="19"/>
              </w:rPr>
            </w:pPr>
          </w:p>
          <w:p w14:paraId="3A473B15"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El nivel máximo de ruido hacia el ambiente exterior se sujetará a los siguientes decibeles.</w:t>
            </w:r>
          </w:p>
          <w:p w14:paraId="3A473B16" w14:textId="77777777" w:rsidR="00016FE1" w:rsidRPr="00B75D63" w:rsidRDefault="00016FE1" w:rsidP="002B6227">
            <w:pPr>
              <w:jc w:val="both"/>
              <w:rPr>
                <w:rFonts w:ascii="Gotham" w:hAnsi="Gotham" w:cs="Calibri"/>
                <w:b/>
                <w:sz w:val="19"/>
                <w:szCs w:val="19"/>
              </w:rPr>
            </w:pPr>
          </w:p>
          <w:p w14:paraId="3A473B17"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Zona A) y B).- 55db en un horario de 6:00 a 22:00 horas;</w:t>
            </w:r>
          </w:p>
          <w:p w14:paraId="3A473B18"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De 50db en un horario de 22:01 a 5:59 horas;</w:t>
            </w:r>
          </w:p>
          <w:p w14:paraId="3A473B19" w14:textId="77777777" w:rsidR="00016FE1" w:rsidRPr="00B75D63" w:rsidRDefault="00016FE1" w:rsidP="002B6227">
            <w:pPr>
              <w:jc w:val="both"/>
              <w:rPr>
                <w:rFonts w:ascii="Gotham" w:hAnsi="Gotham" w:cs="Calibri"/>
                <w:b/>
                <w:sz w:val="19"/>
                <w:szCs w:val="19"/>
              </w:rPr>
            </w:pPr>
          </w:p>
          <w:p w14:paraId="3A473B1A"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Zona C) y D).- 68db en un horario de 6:00 a 22:00 horas;</w:t>
            </w:r>
          </w:p>
          <w:p w14:paraId="3A473B1B" w14:textId="77777777" w:rsidR="00016FE1" w:rsidRPr="00B75D63" w:rsidRDefault="00016FE1" w:rsidP="002B6227">
            <w:pPr>
              <w:jc w:val="both"/>
              <w:rPr>
                <w:rFonts w:ascii="Gotham" w:hAnsi="Gotham" w:cs="Calibri"/>
                <w:b/>
                <w:sz w:val="19"/>
                <w:szCs w:val="19"/>
              </w:rPr>
            </w:pPr>
            <w:r w:rsidRPr="00B75D63">
              <w:rPr>
                <w:rFonts w:ascii="Gotham" w:hAnsi="Gotham" w:cs="Calibri"/>
                <w:b/>
                <w:sz w:val="19"/>
                <w:szCs w:val="19"/>
              </w:rPr>
              <w:t xml:space="preserve">De 65db en un horario de 22:01 a 5:59 horas. </w:t>
            </w:r>
          </w:p>
          <w:p w14:paraId="3A473B1C" w14:textId="77777777" w:rsidR="00016FE1" w:rsidRPr="00B75D63" w:rsidRDefault="00016FE1" w:rsidP="002B6227">
            <w:pPr>
              <w:jc w:val="both"/>
              <w:rPr>
                <w:rFonts w:ascii="Gotham" w:hAnsi="Gotham" w:cs="Calibri"/>
                <w:b/>
                <w:sz w:val="19"/>
                <w:szCs w:val="19"/>
              </w:rPr>
            </w:pPr>
          </w:p>
        </w:tc>
      </w:tr>
      <w:tr w:rsidR="00016FE1" w:rsidRPr="00B75D63" w14:paraId="3A473B24"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tcPr>
          <w:p w14:paraId="3A473B1E" w14:textId="77777777" w:rsidR="00016FE1" w:rsidRPr="00B75D63" w:rsidRDefault="00016FE1" w:rsidP="002B6227">
            <w:pPr>
              <w:spacing w:before="120" w:after="120"/>
              <w:jc w:val="both"/>
              <w:rPr>
                <w:rFonts w:ascii="Gotham" w:hAnsi="Gotham" w:cs="Calibri"/>
                <w:sz w:val="19"/>
                <w:szCs w:val="19"/>
              </w:rPr>
            </w:pPr>
          </w:p>
        </w:tc>
        <w:tc>
          <w:tcPr>
            <w:tcW w:w="2500" w:type="pct"/>
            <w:tcBorders>
              <w:top w:val="single" w:sz="4" w:space="0" w:color="000000"/>
              <w:left w:val="single" w:sz="4" w:space="0" w:color="000000"/>
              <w:bottom w:val="single" w:sz="4" w:space="0" w:color="000000"/>
              <w:right w:val="single" w:sz="4" w:space="0" w:color="000000"/>
            </w:tcBorders>
            <w:hideMark/>
          </w:tcPr>
          <w:p w14:paraId="3A473B1F"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 xml:space="preserve">Artículo 42 ter.- El ruido transmitido al ambiente interior se genera por actividades realizadas en predios, viviendas, edificios, fincas, locales o unidades privativas colindantes respecto al agente receptor, cuando son destinados para comercio, oficinas o se trate el inmueble se localice en zona habitacional mixta. </w:t>
            </w:r>
          </w:p>
          <w:p w14:paraId="3A473B20"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El nivel máximo de ruido hacia el ambiente interior se sujetará al siguiente límite de decibeles:</w:t>
            </w:r>
          </w:p>
          <w:p w14:paraId="3A473B21"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Si el agente receptor se ubica en Viviendas, el límite sonoro será de 40 decibeles en un horario de 6:00 a 22:00 horas, y de 30 decibeles en un horario de 22:01 a 5:59 horas.</w:t>
            </w:r>
          </w:p>
          <w:p w14:paraId="3A473B22"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Cuando el agente receptor se localice en Oficinas, el límite sonoro será de 45 decibeles en un horario de 6:00 a 22:00 horas y de 35 decibeles en un horario de 22:01 a 5:59 horas.</w:t>
            </w:r>
          </w:p>
          <w:p w14:paraId="3A473B23"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 xml:space="preserve">Para el caso que el agente receptor se encuentre en establecimientos sensibles al ruido tales como planteles educativos, bibliotecas, centros o kioscos de lectura, centros de culto, capillas, hospitales, clínicas, asilos de ancianos, guarderías, estancias para enfermos, lugares de descanso u orfanatos y demás establecimientos señalados en los </w:t>
            </w:r>
            <w:r w:rsidRPr="00B75D63">
              <w:rPr>
                <w:rFonts w:ascii="Gotham" w:hAnsi="Gotham" w:cs="Calibri"/>
                <w:b/>
                <w:sz w:val="19"/>
                <w:szCs w:val="19"/>
              </w:rPr>
              <w:lastRenderedPageBreak/>
              <w:t xml:space="preserve">artículos 45 y 47 de este Código, el límite sonoro será de 35 decibeles en un horario de 6:00 a 22:00 horas y de 30 decibeles en un horario de 22:01 a 5:59 horas. </w:t>
            </w:r>
          </w:p>
        </w:tc>
      </w:tr>
      <w:tr w:rsidR="00016FE1" w:rsidRPr="00B75D63" w14:paraId="3A473B29"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B25"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sz w:val="19"/>
                <w:szCs w:val="19"/>
              </w:rPr>
              <w:lastRenderedPageBreak/>
              <w:t>Artículo 47. […]</w:t>
            </w:r>
          </w:p>
          <w:p w14:paraId="3A473B26"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sz w:val="19"/>
                <w:szCs w:val="19"/>
              </w:rPr>
              <w:t xml:space="preserve">No será aplicable esta disposición a los vehículos de servicios de bomberos, policía o ambulancias, cuando realicen actividades de urgencias. </w:t>
            </w:r>
          </w:p>
        </w:tc>
        <w:tc>
          <w:tcPr>
            <w:tcW w:w="2500" w:type="pct"/>
            <w:tcBorders>
              <w:top w:val="single" w:sz="4" w:space="0" w:color="000000"/>
              <w:left w:val="single" w:sz="4" w:space="0" w:color="000000"/>
              <w:bottom w:val="single" w:sz="4" w:space="0" w:color="000000"/>
              <w:right w:val="single" w:sz="4" w:space="0" w:color="000000"/>
            </w:tcBorders>
            <w:hideMark/>
          </w:tcPr>
          <w:p w14:paraId="3A473B27"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Artículo 47. (…)</w:t>
            </w:r>
          </w:p>
          <w:p w14:paraId="3A473B28"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Se exceptúa la prohibición establecida en este artículo y la aplicación de los límites máximos permitidos señalados en los artículos anteriores, las emisiones sonoras de vehículos de bomberos, protección civil, seguridad pública, ambulancias, las obras de infraestructura y públicas, las obras de construcción en inmuebles particulares dentro del horario permitido, las emitidas por alarmas contra incendios, sísmicas, contra robo en inmuebles siempre que esta última cuente con un sistema de apagado automático, con una duración máxima de 15 minutos, y de 10 minutos para el caso de vehículos, las generadas por campanas de centros de culto, templos, capillas y planteles educativos</w:t>
            </w:r>
          </w:p>
        </w:tc>
      </w:tr>
      <w:tr w:rsidR="00016FE1" w:rsidRPr="00B75D63" w14:paraId="3A473B2C"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B2A"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t xml:space="preserve">Artículo 51.- </w:t>
            </w:r>
            <w:r w:rsidRPr="00B75D63">
              <w:rPr>
                <w:rFonts w:ascii="Gotham" w:hAnsi="Gotham" w:cs="Calibri"/>
                <w:sz w:val="19"/>
                <w:szCs w:val="19"/>
                <w:lang w:eastAsia="es-MX"/>
              </w:rPr>
              <w:t>En los establecimientos mercantiles o de servicios se podrán usar silbatos, campanas, magnavoces, amplificadores de sonido, timbres y dispositivos para advertir el peligro en situaciones de emergencia, aun cuando se excedan los niveles máximos permitidos de emisión de ruido correspondientes, durante el tiempo y con la intensidad estrictamente necesaria para la advertencia.</w:t>
            </w:r>
          </w:p>
        </w:tc>
        <w:tc>
          <w:tcPr>
            <w:tcW w:w="2500" w:type="pct"/>
            <w:tcBorders>
              <w:top w:val="single" w:sz="4" w:space="0" w:color="000000"/>
              <w:left w:val="single" w:sz="4" w:space="0" w:color="000000"/>
              <w:bottom w:val="single" w:sz="4" w:space="0" w:color="000000"/>
              <w:right w:val="single" w:sz="4" w:space="0" w:color="000000"/>
            </w:tcBorders>
            <w:hideMark/>
          </w:tcPr>
          <w:p w14:paraId="3A473B2B"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t>Artículo 51.-</w:t>
            </w:r>
            <w:r w:rsidRPr="00B75D63">
              <w:rPr>
                <w:rFonts w:ascii="Gotham" w:hAnsi="Gotham" w:cs="Calibri"/>
                <w:bCs/>
                <w:i/>
                <w:iCs/>
                <w:sz w:val="19"/>
                <w:szCs w:val="19"/>
                <w:lang w:eastAsia="es-MX"/>
              </w:rPr>
              <w:t xml:space="preserve"> </w:t>
            </w:r>
            <w:r w:rsidRPr="00B75D63">
              <w:rPr>
                <w:rFonts w:ascii="Gotham" w:hAnsi="Gotham" w:cs="Calibri"/>
                <w:sz w:val="19"/>
                <w:szCs w:val="19"/>
                <w:lang w:eastAsia="es-MX"/>
              </w:rPr>
              <w:t xml:space="preserve">En los establecimientos mercantiles o de servicios se podrán usar silbatos, campanas, magnavoces, amplificadores de sonido, timbres y dispositivos para advertir el peligro en situaciones de emergencia, </w:t>
            </w:r>
            <w:r w:rsidRPr="00B75D63">
              <w:rPr>
                <w:rFonts w:ascii="Gotham" w:hAnsi="Gotham" w:cs="Calibri"/>
                <w:b/>
                <w:sz w:val="19"/>
                <w:szCs w:val="19"/>
                <w:lang w:eastAsia="es-MX"/>
              </w:rPr>
              <w:t>siempre que cumplan con lo dispuesto en el segundo párrafo del artículo 47 de este Código.</w:t>
            </w:r>
            <w:r w:rsidRPr="00B75D63">
              <w:rPr>
                <w:rFonts w:ascii="Gotham" w:hAnsi="Gotham" w:cs="Calibri"/>
                <w:sz w:val="19"/>
                <w:szCs w:val="19"/>
                <w:lang w:eastAsia="es-MX"/>
              </w:rPr>
              <w:t xml:space="preserve"> </w:t>
            </w:r>
          </w:p>
        </w:tc>
      </w:tr>
      <w:tr w:rsidR="00016FE1" w:rsidRPr="00B75D63" w14:paraId="3A473B58"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tcPr>
          <w:p w14:paraId="3A473B2D" w14:textId="77777777" w:rsidR="00016FE1" w:rsidRDefault="00016FE1" w:rsidP="002B6227">
            <w:pPr>
              <w:autoSpaceDE w:val="0"/>
              <w:autoSpaceDN w:val="0"/>
              <w:adjustRightInd w:val="0"/>
              <w:jc w:val="both"/>
              <w:rPr>
                <w:rFonts w:ascii="Gotham" w:hAnsi="Gotham" w:cs="Calibri"/>
                <w:b/>
                <w:bCs/>
                <w:i/>
                <w:iCs/>
                <w:sz w:val="19"/>
                <w:szCs w:val="19"/>
                <w:lang w:eastAsia="es-MX"/>
              </w:rPr>
            </w:pPr>
          </w:p>
          <w:p w14:paraId="3A473B2E"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bCs/>
                <w:i/>
                <w:iCs/>
                <w:sz w:val="19"/>
                <w:szCs w:val="19"/>
                <w:lang w:eastAsia="es-MX"/>
              </w:rPr>
              <w:t>Artículo 273.-</w:t>
            </w:r>
            <w:r w:rsidRPr="00B75D63">
              <w:rPr>
                <w:rFonts w:ascii="Gotham" w:hAnsi="Gotham" w:cs="Calibri"/>
                <w:sz w:val="19"/>
                <w:szCs w:val="19"/>
                <w:lang w:eastAsia="es-MX"/>
              </w:rPr>
              <w:t xml:space="preserve"> […]: </w:t>
            </w:r>
          </w:p>
          <w:p w14:paraId="3A473B2F"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30"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I. Con Carácter de Ordenadoras:</w:t>
            </w:r>
          </w:p>
          <w:p w14:paraId="3A473B31"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A. El Pleno del Ayuntamiento; </w:t>
            </w:r>
          </w:p>
          <w:p w14:paraId="3A473B32"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B. El Presidente Municipal; </w:t>
            </w:r>
          </w:p>
          <w:p w14:paraId="3A473B33"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C. El Secretario General del Ayuntamiento; </w:t>
            </w:r>
          </w:p>
          <w:p w14:paraId="3A473B34"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D. La </w:t>
            </w:r>
            <w:r w:rsidRPr="00B75D63">
              <w:rPr>
                <w:rFonts w:ascii="Gotham" w:hAnsi="Gotham" w:cs="Calibri"/>
                <w:sz w:val="19"/>
                <w:szCs w:val="19"/>
                <w:highlight w:val="yellow"/>
                <w:lang w:eastAsia="es-MX"/>
              </w:rPr>
              <w:t>Dirección de Gestión Ambiental, Cambio Climático y Sustentabilidad; y</w:t>
            </w:r>
            <w:r w:rsidRPr="00B75D63">
              <w:rPr>
                <w:rFonts w:ascii="Gotham" w:hAnsi="Gotham" w:cs="Calibri"/>
                <w:sz w:val="19"/>
                <w:szCs w:val="19"/>
                <w:lang w:eastAsia="es-MX"/>
              </w:rPr>
              <w:t xml:space="preserve"> </w:t>
            </w:r>
          </w:p>
          <w:p w14:paraId="3A473B35"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 xml:space="preserve">E. Las autoridades que establezcan los reglamentos y leyes de aplicación municipal. </w:t>
            </w:r>
          </w:p>
          <w:p w14:paraId="3A473B36" w14:textId="77777777" w:rsidR="00016FE1" w:rsidRDefault="00016FE1" w:rsidP="002B6227">
            <w:pPr>
              <w:autoSpaceDE w:val="0"/>
              <w:autoSpaceDN w:val="0"/>
              <w:adjustRightInd w:val="0"/>
              <w:jc w:val="both"/>
              <w:rPr>
                <w:rFonts w:ascii="Gotham" w:hAnsi="Gotham" w:cs="Calibri"/>
                <w:sz w:val="19"/>
                <w:szCs w:val="19"/>
                <w:lang w:eastAsia="es-MX"/>
              </w:rPr>
            </w:pPr>
          </w:p>
          <w:p w14:paraId="3A473B37"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38"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II. Con Carácter de Ejecutoras:</w:t>
            </w:r>
          </w:p>
          <w:p w14:paraId="3A473B39"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lastRenderedPageBreak/>
              <w:t xml:space="preserve">A. Los inspectores adscritos a Dirección de Inspección y Vigilancia Municipal; y </w:t>
            </w:r>
          </w:p>
          <w:p w14:paraId="3A473B3A"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 xml:space="preserve">B. Los elementos de las corporaciones de Policía Preventiva Municipal. </w:t>
            </w:r>
          </w:p>
          <w:p w14:paraId="3A473B3B" w14:textId="77777777" w:rsidR="00016FE1" w:rsidRDefault="00016FE1" w:rsidP="002B6227">
            <w:pPr>
              <w:autoSpaceDE w:val="0"/>
              <w:autoSpaceDN w:val="0"/>
              <w:adjustRightInd w:val="0"/>
              <w:jc w:val="both"/>
              <w:rPr>
                <w:rFonts w:ascii="Gotham" w:hAnsi="Gotham" w:cs="Calibri"/>
                <w:sz w:val="19"/>
                <w:szCs w:val="19"/>
                <w:lang w:eastAsia="es-MX"/>
              </w:rPr>
            </w:pPr>
          </w:p>
          <w:p w14:paraId="3A473B3C"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3D"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3E"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III. Con Carácter de Sancionadoras:</w:t>
            </w:r>
          </w:p>
          <w:p w14:paraId="3A473B3F"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A. El Presidente Municipal; </w:t>
            </w:r>
          </w:p>
          <w:p w14:paraId="3A473B40"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B. El Secretario General del Ayuntamiento; y </w:t>
            </w:r>
          </w:p>
          <w:p w14:paraId="3A473B41" w14:textId="77777777" w:rsidR="00016FE1" w:rsidRDefault="00016FE1" w:rsidP="002B6227">
            <w:pPr>
              <w:jc w:val="both"/>
              <w:rPr>
                <w:rFonts w:ascii="Gotham" w:hAnsi="Gotham" w:cs="Calibri"/>
                <w:sz w:val="19"/>
                <w:szCs w:val="19"/>
                <w:lang w:eastAsia="es-MX"/>
              </w:rPr>
            </w:pPr>
            <w:r w:rsidRPr="00B75D63">
              <w:rPr>
                <w:rFonts w:ascii="Gotham" w:hAnsi="Gotham" w:cs="Calibri"/>
                <w:sz w:val="19"/>
                <w:szCs w:val="19"/>
                <w:lang w:eastAsia="es-MX"/>
              </w:rPr>
              <w:t>C. Los inspectores de la Dirección de Inspección y Vigilancia Municipal.</w:t>
            </w:r>
          </w:p>
          <w:p w14:paraId="3A473B42" w14:textId="77777777" w:rsidR="00016FE1" w:rsidRPr="00B75D63" w:rsidRDefault="00016FE1" w:rsidP="002B6227">
            <w:pPr>
              <w:jc w:val="both"/>
              <w:rPr>
                <w:rFonts w:ascii="Gotham" w:hAnsi="Gotham" w:cs="Calibri"/>
                <w:sz w:val="19"/>
                <w:szCs w:val="19"/>
                <w:lang w:eastAsia="en-US"/>
              </w:rPr>
            </w:pPr>
          </w:p>
        </w:tc>
        <w:tc>
          <w:tcPr>
            <w:tcW w:w="2500" w:type="pct"/>
            <w:tcBorders>
              <w:top w:val="single" w:sz="4" w:space="0" w:color="000000"/>
              <w:left w:val="single" w:sz="4" w:space="0" w:color="000000"/>
              <w:bottom w:val="single" w:sz="4" w:space="0" w:color="000000"/>
              <w:right w:val="single" w:sz="4" w:space="0" w:color="000000"/>
            </w:tcBorders>
          </w:tcPr>
          <w:p w14:paraId="3A473B43" w14:textId="77777777" w:rsidR="00016FE1" w:rsidRDefault="00016FE1" w:rsidP="002B6227">
            <w:pPr>
              <w:autoSpaceDE w:val="0"/>
              <w:autoSpaceDN w:val="0"/>
              <w:adjustRightInd w:val="0"/>
              <w:jc w:val="both"/>
              <w:rPr>
                <w:rFonts w:ascii="Gotham" w:hAnsi="Gotham" w:cs="Calibri"/>
                <w:b/>
                <w:bCs/>
                <w:i/>
                <w:iCs/>
                <w:sz w:val="19"/>
                <w:szCs w:val="19"/>
                <w:lang w:eastAsia="es-MX"/>
              </w:rPr>
            </w:pPr>
          </w:p>
          <w:p w14:paraId="3A473B44"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bCs/>
                <w:i/>
                <w:iCs/>
                <w:sz w:val="19"/>
                <w:szCs w:val="19"/>
                <w:lang w:eastAsia="es-MX"/>
              </w:rPr>
              <w:t xml:space="preserve">Artículo 273.- </w:t>
            </w:r>
            <w:r w:rsidRPr="00B75D63">
              <w:rPr>
                <w:rFonts w:ascii="Gotham" w:hAnsi="Gotham" w:cs="Calibri"/>
                <w:sz w:val="19"/>
                <w:szCs w:val="19"/>
                <w:lang w:eastAsia="es-MX"/>
              </w:rPr>
              <w:t>[…]:</w:t>
            </w:r>
          </w:p>
          <w:p w14:paraId="3A473B45"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46" w14:textId="77777777" w:rsidR="00016FE1" w:rsidRPr="00B75D63" w:rsidRDefault="00016FE1" w:rsidP="002B6227">
            <w:pPr>
              <w:autoSpaceDE w:val="0"/>
              <w:autoSpaceDN w:val="0"/>
              <w:adjustRightInd w:val="0"/>
              <w:spacing w:after="120"/>
              <w:jc w:val="both"/>
              <w:rPr>
                <w:rFonts w:ascii="Gotham" w:hAnsi="Gotham" w:cs="Calibri"/>
                <w:b/>
                <w:sz w:val="19"/>
                <w:szCs w:val="19"/>
                <w:lang w:eastAsia="es-MX"/>
              </w:rPr>
            </w:pPr>
            <w:r w:rsidRPr="00B75D63">
              <w:rPr>
                <w:rFonts w:ascii="Gotham" w:hAnsi="Gotham" w:cs="Calibri"/>
                <w:b/>
                <w:sz w:val="19"/>
                <w:szCs w:val="19"/>
                <w:lang w:eastAsia="es-MX"/>
              </w:rPr>
              <w:t>I. Con Carácter de Ordenadoras:</w:t>
            </w:r>
          </w:p>
          <w:p w14:paraId="3A473B47" w14:textId="77777777" w:rsidR="00016FE1" w:rsidRPr="00B75D63" w:rsidRDefault="00016FE1" w:rsidP="002B6227">
            <w:pPr>
              <w:autoSpaceDE w:val="0"/>
              <w:autoSpaceDN w:val="0"/>
              <w:adjustRightInd w:val="0"/>
              <w:spacing w:after="120"/>
              <w:jc w:val="both"/>
              <w:rPr>
                <w:rFonts w:ascii="Gotham" w:hAnsi="Gotham" w:cs="Calibri"/>
                <w:b/>
                <w:sz w:val="19"/>
                <w:szCs w:val="19"/>
                <w:lang w:eastAsia="es-MX"/>
              </w:rPr>
            </w:pPr>
            <w:r w:rsidRPr="00B75D63">
              <w:rPr>
                <w:rFonts w:ascii="Gotham" w:hAnsi="Gotham" w:cs="Calibri"/>
                <w:sz w:val="19"/>
                <w:szCs w:val="19"/>
                <w:lang w:eastAsia="es-MX"/>
              </w:rPr>
              <w:t>A</w:t>
            </w:r>
            <w:r w:rsidRPr="00B75D63">
              <w:rPr>
                <w:rFonts w:ascii="Gotham" w:hAnsi="Gotham" w:cs="Calibri"/>
                <w:b/>
                <w:sz w:val="19"/>
                <w:szCs w:val="19"/>
                <w:lang w:eastAsia="es-MX"/>
              </w:rPr>
              <w:t xml:space="preserve">. El Ayuntamiento; </w:t>
            </w:r>
          </w:p>
          <w:p w14:paraId="3A473B48" w14:textId="77777777" w:rsidR="00016FE1" w:rsidRPr="00B75D63" w:rsidRDefault="00016FE1" w:rsidP="002B6227">
            <w:pPr>
              <w:autoSpaceDE w:val="0"/>
              <w:autoSpaceDN w:val="0"/>
              <w:adjustRightInd w:val="0"/>
              <w:spacing w:after="120"/>
              <w:jc w:val="both"/>
              <w:rPr>
                <w:rFonts w:ascii="Gotham" w:hAnsi="Gotham" w:cs="Calibri"/>
                <w:b/>
                <w:sz w:val="19"/>
                <w:szCs w:val="19"/>
                <w:lang w:eastAsia="es-MX"/>
              </w:rPr>
            </w:pPr>
            <w:r w:rsidRPr="00B75D63">
              <w:rPr>
                <w:rFonts w:ascii="Gotham" w:hAnsi="Gotham" w:cs="Calibri"/>
                <w:b/>
                <w:sz w:val="19"/>
                <w:szCs w:val="19"/>
                <w:lang w:eastAsia="es-MX"/>
              </w:rPr>
              <w:t xml:space="preserve">B. El Presidente Municipal; </w:t>
            </w:r>
          </w:p>
          <w:p w14:paraId="3A473B49" w14:textId="77777777" w:rsidR="00016FE1" w:rsidRPr="00B75D63" w:rsidRDefault="00016FE1" w:rsidP="002B6227">
            <w:pPr>
              <w:autoSpaceDE w:val="0"/>
              <w:autoSpaceDN w:val="0"/>
              <w:adjustRightInd w:val="0"/>
              <w:spacing w:after="120"/>
              <w:jc w:val="both"/>
              <w:rPr>
                <w:rFonts w:ascii="Gotham" w:hAnsi="Gotham" w:cs="Calibri"/>
                <w:b/>
                <w:sz w:val="19"/>
                <w:szCs w:val="19"/>
                <w:lang w:eastAsia="es-MX"/>
              </w:rPr>
            </w:pPr>
            <w:r w:rsidRPr="00B75D63">
              <w:rPr>
                <w:rFonts w:ascii="Gotham" w:hAnsi="Gotham" w:cs="Calibri"/>
                <w:b/>
                <w:sz w:val="19"/>
                <w:szCs w:val="19"/>
                <w:lang w:eastAsia="es-MX"/>
              </w:rPr>
              <w:t xml:space="preserve">C. El Secretario General del Ayuntamiento; </w:t>
            </w:r>
          </w:p>
          <w:p w14:paraId="3A473B4A" w14:textId="77777777" w:rsidR="00016FE1" w:rsidRPr="00B75D63" w:rsidRDefault="00016FE1" w:rsidP="002B6227">
            <w:pPr>
              <w:autoSpaceDE w:val="0"/>
              <w:autoSpaceDN w:val="0"/>
              <w:adjustRightInd w:val="0"/>
              <w:spacing w:after="120"/>
              <w:jc w:val="both"/>
              <w:rPr>
                <w:rFonts w:ascii="Gotham" w:hAnsi="Gotham" w:cs="Calibri"/>
                <w:b/>
                <w:sz w:val="19"/>
                <w:szCs w:val="19"/>
                <w:lang w:eastAsia="es-MX"/>
              </w:rPr>
            </w:pPr>
            <w:r w:rsidRPr="00B75D63">
              <w:rPr>
                <w:rFonts w:ascii="Gotham" w:hAnsi="Gotham" w:cs="Calibri"/>
                <w:b/>
                <w:sz w:val="19"/>
                <w:szCs w:val="19"/>
                <w:lang w:eastAsia="es-MX"/>
              </w:rPr>
              <w:t xml:space="preserve">D. El Director de Ecología y Cambio Climático; </w:t>
            </w:r>
          </w:p>
          <w:p w14:paraId="3A473B4B" w14:textId="77777777" w:rsidR="00016FE1" w:rsidRPr="00B75D63" w:rsidRDefault="00016FE1" w:rsidP="002B6227">
            <w:pPr>
              <w:autoSpaceDE w:val="0"/>
              <w:autoSpaceDN w:val="0"/>
              <w:adjustRightInd w:val="0"/>
              <w:spacing w:after="120"/>
              <w:jc w:val="both"/>
              <w:rPr>
                <w:rFonts w:ascii="Gotham" w:hAnsi="Gotham" w:cs="Calibri"/>
                <w:b/>
                <w:sz w:val="19"/>
                <w:szCs w:val="19"/>
                <w:lang w:eastAsia="es-MX"/>
              </w:rPr>
            </w:pPr>
            <w:r w:rsidRPr="00B75D63">
              <w:rPr>
                <w:rFonts w:ascii="Gotham" w:hAnsi="Gotham" w:cs="Calibri"/>
                <w:b/>
                <w:sz w:val="19"/>
                <w:szCs w:val="19"/>
                <w:lang w:eastAsia="es-MX"/>
              </w:rPr>
              <w:t xml:space="preserve">E. El Director de Inspección y Vigilancia. </w:t>
            </w:r>
          </w:p>
          <w:p w14:paraId="3A473B4C" w14:textId="77777777" w:rsidR="00016FE1" w:rsidRPr="00B75D63" w:rsidRDefault="00016FE1" w:rsidP="002B6227">
            <w:pPr>
              <w:autoSpaceDE w:val="0"/>
              <w:autoSpaceDN w:val="0"/>
              <w:adjustRightInd w:val="0"/>
              <w:jc w:val="both"/>
              <w:rPr>
                <w:rFonts w:ascii="Gotham" w:hAnsi="Gotham" w:cs="Calibri"/>
                <w:b/>
                <w:sz w:val="19"/>
                <w:szCs w:val="19"/>
                <w:lang w:eastAsia="es-MX"/>
              </w:rPr>
            </w:pPr>
            <w:r w:rsidRPr="00B75D63">
              <w:rPr>
                <w:rFonts w:ascii="Gotham" w:hAnsi="Gotham" w:cs="Calibri"/>
                <w:b/>
                <w:sz w:val="19"/>
                <w:szCs w:val="19"/>
                <w:lang w:eastAsia="es-MX"/>
              </w:rPr>
              <w:t xml:space="preserve">F. Las autoridades que establezcan los reglamentos y leyes de aplicación municipal. </w:t>
            </w:r>
          </w:p>
          <w:p w14:paraId="3A473B4D"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4E" w14:textId="77777777" w:rsidR="00016FE1" w:rsidRPr="00B75D63" w:rsidRDefault="00016FE1" w:rsidP="002B6227">
            <w:pPr>
              <w:autoSpaceDE w:val="0"/>
              <w:autoSpaceDN w:val="0"/>
              <w:adjustRightInd w:val="0"/>
              <w:spacing w:after="120"/>
              <w:jc w:val="both"/>
              <w:rPr>
                <w:rFonts w:ascii="Gotham" w:hAnsi="Gotham" w:cs="Calibri"/>
                <w:b/>
                <w:sz w:val="19"/>
                <w:szCs w:val="19"/>
                <w:lang w:eastAsia="es-MX"/>
              </w:rPr>
            </w:pPr>
            <w:r w:rsidRPr="00B75D63">
              <w:rPr>
                <w:rFonts w:ascii="Gotham" w:hAnsi="Gotham" w:cs="Calibri"/>
                <w:b/>
                <w:sz w:val="19"/>
                <w:szCs w:val="19"/>
                <w:lang w:eastAsia="es-MX"/>
              </w:rPr>
              <w:t>II. Las autoridades encargadas de ejecutar visitas de inspección en esta materia serán:</w:t>
            </w:r>
          </w:p>
          <w:p w14:paraId="3A473B4F" w14:textId="77777777" w:rsidR="00016FE1" w:rsidRPr="00B75D63" w:rsidRDefault="00016FE1" w:rsidP="002B6227">
            <w:pPr>
              <w:autoSpaceDE w:val="0"/>
              <w:autoSpaceDN w:val="0"/>
              <w:adjustRightInd w:val="0"/>
              <w:spacing w:after="120"/>
              <w:jc w:val="both"/>
              <w:rPr>
                <w:rFonts w:ascii="Gotham" w:hAnsi="Gotham" w:cs="Calibri"/>
                <w:b/>
                <w:sz w:val="19"/>
                <w:szCs w:val="19"/>
                <w:lang w:eastAsia="es-MX"/>
              </w:rPr>
            </w:pPr>
            <w:r w:rsidRPr="00B75D63">
              <w:rPr>
                <w:rFonts w:ascii="Gotham" w:hAnsi="Gotham" w:cs="Calibri"/>
                <w:b/>
                <w:sz w:val="19"/>
                <w:szCs w:val="19"/>
                <w:lang w:eastAsia="es-MX"/>
              </w:rPr>
              <w:lastRenderedPageBreak/>
              <w:t xml:space="preserve">A. Los inspectores adscritos a Dirección de Inspección y Vigilancia Municipal; y </w:t>
            </w:r>
          </w:p>
          <w:p w14:paraId="3A473B50"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sz w:val="19"/>
                <w:szCs w:val="19"/>
                <w:lang w:eastAsia="es-MX"/>
              </w:rPr>
              <w:t>B. Los elementos de seguridad pública Municipal, quienes podrán actuar en auxilio del área de inspección y Vigilancia</w:t>
            </w:r>
            <w:r w:rsidRPr="00B75D63">
              <w:rPr>
                <w:rFonts w:ascii="Gotham" w:hAnsi="Gotham" w:cs="Calibri"/>
                <w:sz w:val="19"/>
                <w:szCs w:val="19"/>
                <w:lang w:eastAsia="es-MX"/>
              </w:rPr>
              <w:t xml:space="preserve">. </w:t>
            </w:r>
          </w:p>
          <w:p w14:paraId="3A473B51" w14:textId="77777777" w:rsidR="00016FE1" w:rsidRPr="00B75D63" w:rsidRDefault="00016FE1" w:rsidP="002B6227">
            <w:pPr>
              <w:autoSpaceDE w:val="0"/>
              <w:autoSpaceDN w:val="0"/>
              <w:adjustRightInd w:val="0"/>
              <w:jc w:val="both"/>
              <w:rPr>
                <w:rFonts w:ascii="Gotham" w:hAnsi="Gotham" w:cs="Calibri"/>
                <w:sz w:val="19"/>
                <w:szCs w:val="19"/>
                <w:lang w:eastAsia="en-US"/>
              </w:rPr>
            </w:pPr>
          </w:p>
          <w:p w14:paraId="3A473B52"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b/>
                <w:sz w:val="19"/>
                <w:szCs w:val="19"/>
                <w:lang w:eastAsia="es-MX"/>
              </w:rPr>
              <w:t>III. Las autoridades encargadas de Sancionar serán</w:t>
            </w:r>
            <w:r w:rsidRPr="00B75D63">
              <w:rPr>
                <w:rFonts w:ascii="Gotham" w:hAnsi="Gotham" w:cs="Calibri"/>
                <w:sz w:val="19"/>
                <w:szCs w:val="19"/>
                <w:lang w:eastAsia="es-MX"/>
              </w:rPr>
              <w:t>:</w:t>
            </w:r>
          </w:p>
          <w:p w14:paraId="3A473B53"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A. (…); </w:t>
            </w:r>
          </w:p>
          <w:p w14:paraId="3A473B54"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B. (…); </w:t>
            </w:r>
          </w:p>
          <w:p w14:paraId="3A473B55"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C. (…); y</w:t>
            </w:r>
          </w:p>
          <w:p w14:paraId="3A473B56" w14:textId="77777777" w:rsidR="00016FE1"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 xml:space="preserve">D. </w:t>
            </w:r>
            <w:r w:rsidRPr="00B75D63">
              <w:rPr>
                <w:rFonts w:ascii="Gotham" w:hAnsi="Gotham" w:cs="Calibri"/>
                <w:b/>
                <w:bCs/>
                <w:iCs/>
                <w:sz w:val="19"/>
                <w:szCs w:val="19"/>
                <w:lang w:eastAsia="es-MX"/>
              </w:rPr>
              <w:t>El Juez Cívico Municipal</w:t>
            </w:r>
            <w:r w:rsidRPr="00B75D63">
              <w:rPr>
                <w:rFonts w:ascii="Gotham" w:hAnsi="Gotham" w:cs="Calibri"/>
                <w:sz w:val="19"/>
                <w:szCs w:val="19"/>
                <w:lang w:eastAsia="es-MX"/>
              </w:rPr>
              <w:t>.</w:t>
            </w:r>
          </w:p>
          <w:p w14:paraId="3A473B57" w14:textId="77777777" w:rsidR="00016FE1" w:rsidRPr="00B75D63" w:rsidRDefault="00016FE1" w:rsidP="002B6227">
            <w:pPr>
              <w:autoSpaceDE w:val="0"/>
              <w:autoSpaceDN w:val="0"/>
              <w:adjustRightInd w:val="0"/>
              <w:jc w:val="both"/>
              <w:rPr>
                <w:rFonts w:ascii="Gotham" w:hAnsi="Gotham" w:cs="Calibri"/>
                <w:sz w:val="19"/>
                <w:szCs w:val="19"/>
                <w:lang w:eastAsia="en-US"/>
              </w:rPr>
            </w:pPr>
          </w:p>
        </w:tc>
      </w:tr>
      <w:tr w:rsidR="00016FE1" w:rsidRPr="00B75D63" w14:paraId="3A473B5B"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B59" w14:textId="77777777" w:rsidR="00016FE1" w:rsidRPr="00B75D63" w:rsidRDefault="00016FE1" w:rsidP="002B6227">
            <w:pPr>
              <w:spacing w:before="120" w:after="120"/>
              <w:jc w:val="both"/>
              <w:rPr>
                <w:rFonts w:ascii="Gotham" w:hAnsi="Gotham" w:cs="Calibri"/>
                <w:color w:val="000000"/>
                <w:sz w:val="19"/>
                <w:szCs w:val="19"/>
                <w:lang w:eastAsia="es-MX"/>
              </w:rPr>
            </w:pPr>
            <w:r w:rsidRPr="00B75D63">
              <w:rPr>
                <w:rFonts w:ascii="Gotham" w:hAnsi="Gotham" w:cs="Calibri"/>
                <w:b/>
                <w:bCs/>
                <w:i/>
                <w:iCs/>
                <w:sz w:val="19"/>
                <w:szCs w:val="19"/>
                <w:lang w:eastAsia="es-MX"/>
              </w:rPr>
              <w:lastRenderedPageBreak/>
              <w:t xml:space="preserve">Artículo 276.- </w:t>
            </w:r>
            <w:r w:rsidRPr="00B75D63">
              <w:rPr>
                <w:rFonts w:ascii="Gotham" w:hAnsi="Gotham" w:cs="Calibri"/>
                <w:sz w:val="19"/>
                <w:szCs w:val="19"/>
                <w:lang w:eastAsia="es-MX"/>
              </w:rPr>
              <w:t>Transcurrido el plazo a que se refiere la fracción VII del artículo anterior, la autoridad municipal calificará los hechos consignados en el acta de inspección dentro de un término de tres días hábiles. La calificación consiste en determinar si los hechos consignados en el acta de inspección constituyen una infracción o falta</w:t>
            </w:r>
            <w:r w:rsidRPr="00B75D63">
              <w:rPr>
                <w:rFonts w:ascii="Gotham" w:hAnsi="Gotham" w:cs="Calibri"/>
                <w:color w:val="000000"/>
                <w:sz w:val="19"/>
                <w:szCs w:val="19"/>
                <w:lang w:eastAsia="es-MX"/>
              </w:rPr>
              <w:t xml:space="preserve"> </w:t>
            </w:r>
            <w:r w:rsidRPr="00B75D63">
              <w:rPr>
                <w:rFonts w:ascii="Gotham" w:hAnsi="Gotham" w:cs="Calibri"/>
                <w:sz w:val="19"/>
                <w:szCs w:val="19"/>
                <w:lang w:eastAsia="es-MX"/>
              </w:rPr>
              <w:t>administrativa que competa a la autoridad municipal perseguir, la gravedad de la infracción, si existe reincidencia, las circunstancias que hubieren concurrido, las pruebas aportadas y los alegatos formulados por el presunto infractor, las circunstancias personales del infractor, así como la sanción que corresponda. Luego se dictará, debidamente fundada y motivada la resolución que proceda.</w:t>
            </w:r>
          </w:p>
        </w:tc>
        <w:tc>
          <w:tcPr>
            <w:tcW w:w="2500" w:type="pct"/>
            <w:tcBorders>
              <w:top w:val="single" w:sz="4" w:space="0" w:color="000000"/>
              <w:left w:val="single" w:sz="4" w:space="0" w:color="000000"/>
              <w:bottom w:val="single" w:sz="4" w:space="0" w:color="000000"/>
              <w:right w:val="single" w:sz="4" w:space="0" w:color="000000"/>
            </w:tcBorders>
          </w:tcPr>
          <w:p w14:paraId="3A473B5A" w14:textId="77777777" w:rsidR="00016FE1" w:rsidRPr="000256CA" w:rsidRDefault="00016FE1" w:rsidP="002B6227">
            <w:pPr>
              <w:spacing w:before="120" w:after="120"/>
              <w:jc w:val="both"/>
              <w:rPr>
                <w:rFonts w:ascii="Gotham" w:hAnsi="Gotham" w:cs="Calibri"/>
                <w:b/>
                <w:sz w:val="19"/>
                <w:szCs w:val="19"/>
                <w:lang w:eastAsia="es-MX"/>
              </w:rPr>
            </w:pPr>
            <w:r w:rsidRPr="00B75D63">
              <w:rPr>
                <w:rFonts w:ascii="Gotham" w:hAnsi="Gotham" w:cs="Calibri"/>
                <w:b/>
                <w:bCs/>
                <w:i/>
                <w:iCs/>
                <w:sz w:val="19"/>
                <w:szCs w:val="19"/>
                <w:lang w:eastAsia="es-MX"/>
              </w:rPr>
              <w:t xml:space="preserve">Artículo 276.- </w:t>
            </w:r>
            <w:r w:rsidRPr="00B75D63">
              <w:rPr>
                <w:rFonts w:ascii="Gotham" w:hAnsi="Gotham" w:cs="Calibri"/>
                <w:b/>
                <w:sz w:val="19"/>
                <w:szCs w:val="19"/>
                <w:lang w:eastAsia="es-MX"/>
              </w:rPr>
              <w:t xml:space="preserve">Transcurrido el plazo a que se refiere la fracción VII del artículo anterior, el Juez Cívico Municipal procederá a instaurar el procedimiento de imposición de la sanción que corresponda, precisados en este Código y conforme a los hechos consignados en el acta de inspección en los términos y formalidades que establece el Reglamento en materia de Justicia Cívica Municipal. </w:t>
            </w:r>
          </w:p>
        </w:tc>
      </w:tr>
      <w:tr w:rsidR="00016FE1" w:rsidRPr="00B75D63" w14:paraId="3A473B5E"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B5C" w14:textId="77777777" w:rsidR="00016FE1" w:rsidRPr="00B75D63" w:rsidRDefault="00016FE1" w:rsidP="002B6227">
            <w:pPr>
              <w:spacing w:before="120" w:after="120"/>
              <w:jc w:val="both"/>
              <w:rPr>
                <w:rFonts w:ascii="Gotham" w:hAnsi="Gotham" w:cs="Calibri"/>
                <w:color w:val="000000"/>
                <w:sz w:val="19"/>
                <w:szCs w:val="19"/>
                <w:lang w:eastAsia="es-MX"/>
              </w:rPr>
            </w:pPr>
            <w:r w:rsidRPr="00B75D63">
              <w:rPr>
                <w:rFonts w:ascii="Gotham" w:hAnsi="Gotham" w:cs="Calibri"/>
                <w:b/>
                <w:bCs/>
                <w:i/>
                <w:iCs/>
                <w:sz w:val="19"/>
                <w:szCs w:val="19"/>
                <w:lang w:eastAsia="es-MX"/>
              </w:rPr>
              <w:t xml:space="preserve">Artículo 283.- </w:t>
            </w:r>
            <w:r w:rsidRPr="00B75D63">
              <w:rPr>
                <w:rFonts w:ascii="Gotham" w:hAnsi="Gotham" w:cs="Calibri"/>
                <w:sz w:val="19"/>
                <w:szCs w:val="19"/>
                <w:lang w:eastAsia="es-MX"/>
              </w:rPr>
              <w:t>Las violaciones al presente ordenamiento serán sancionadas por la Dirección de Inspección y Vigilancia Municipal, de conformidad con el procedimiento previsto en el Título Sexto de la Ley Estatal del Equilibrio Ecológico y la Protección al Ambiente, o bien, mediante el mecanismo previsto en el presente código y demás leyes aplicables.</w:t>
            </w:r>
          </w:p>
        </w:tc>
        <w:tc>
          <w:tcPr>
            <w:tcW w:w="2500" w:type="pct"/>
            <w:tcBorders>
              <w:top w:val="single" w:sz="4" w:space="0" w:color="000000"/>
              <w:left w:val="single" w:sz="4" w:space="0" w:color="000000"/>
              <w:bottom w:val="single" w:sz="4" w:space="0" w:color="000000"/>
              <w:right w:val="single" w:sz="4" w:space="0" w:color="000000"/>
            </w:tcBorders>
            <w:hideMark/>
          </w:tcPr>
          <w:p w14:paraId="3A473B5D" w14:textId="77777777" w:rsidR="00016FE1" w:rsidRPr="00B75D63" w:rsidRDefault="00016FE1" w:rsidP="002B6227">
            <w:pPr>
              <w:spacing w:before="120" w:after="120"/>
              <w:jc w:val="both"/>
              <w:rPr>
                <w:rFonts w:ascii="Gotham" w:hAnsi="Gotham" w:cs="Calibri"/>
                <w:sz w:val="19"/>
                <w:szCs w:val="19"/>
                <w:lang w:eastAsia="en-US"/>
              </w:rPr>
            </w:pPr>
            <w:r w:rsidRPr="00B75D63">
              <w:rPr>
                <w:rFonts w:ascii="Gotham" w:hAnsi="Gotham" w:cs="Calibri"/>
                <w:b/>
                <w:bCs/>
                <w:i/>
                <w:iCs/>
                <w:sz w:val="19"/>
                <w:szCs w:val="19"/>
                <w:lang w:eastAsia="es-MX"/>
              </w:rPr>
              <w:t>Artículo 283.-</w:t>
            </w:r>
            <w:r w:rsidRPr="00B75D63">
              <w:rPr>
                <w:rFonts w:ascii="Gotham" w:hAnsi="Gotham" w:cs="Calibri"/>
                <w:bCs/>
                <w:i/>
                <w:iCs/>
                <w:sz w:val="19"/>
                <w:szCs w:val="19"/>
                <w:lang w:eastAsia="es-MX"/>
              </w:rPr>
              <w:t xml:space="preserve"> </w:t>
            </w:r>
            <w:r w:rsidRPr="00B75D63">
              <w:rPr>
                <w:rFonts w:ascii="Gotham" w:hAnsi="Gotham" w:cs="Calibri"/>
                <w:sz w:val="19"/>
                <w:szCs w:val="19"/>
                <w:lang w:eastAsia="es-MX"/>
              </w:rPr>
              <w:t xml:space="preserve">Las violaciones al presente ordenamiento serán sancionadas </w:t>
            </w:r>
            <w:r w:rsidRPr="00B75D63">
              <w:rPr>
                <w:rFonts w:ascii="Gotham" w:hAnsi="Gotham" w:cs="Calibri"/>
                <w:b/>
                <w:sz w:val="19"/>
                <w:szCs w:val="19"/>
                <w:lang w:eastAsia="es-MX"/>
              </w:rPr>
              <w:t>por los Juzgados Cívicos Municipales</w:t>
            </w:r>
            <w:r w:rsidRPr="00B75D63">
              <w:rPr>
                <w:rFonts w:ascii="Gotham" w:hAnsi="Gotham" w:cs="Calibri"/>
                <w:sz w:val="19"/>
                <w:szCs w:val="19"/>
                <w:lang w:eastAsia="es-MX"/>
              </w:rPr>
              <w:t xml:space="preserve">, de conformidad con el procedimiento previsto </w:t>
            </w:r>
            <w:r w:rsidRPr="00B75D63">
              <w:rPr>
                <w:rFonts w:ascii="Gotham" w:hAnsi="Gotham" w:cs="Calibri"/>
                <w:b/>
                <w:sz w:val="19"/>
                <w:szCs w:val="19"/>
                <w:lang w:eastAsia="es-MX"/>
              </w:rPr>
              <w:t>en el Reglamento de Justicia Cívica vigente</w:t>
            </w:r>
            <w:r w:rsidRPr="00B75D63">
              <w:rPr>
                <w:rFonts w:ascii="Gotham" w:hAnsi="Gotham" w:cs="Calibri"/>
                <w:sz w:val="19"/>
                <w:szCs w:val="19"/>
                <w:lang w:eastAsia="es-MX"/>
              </w:rPr>
              <w:t xml:space="preserve">. </w:t>
            </w:r>
          </w:p>
        </w:tc>
      </w:tr>
      <w:tr w:rsidR="00016FE1" w:rsidRPr="00B75D63" w14:paraId="3A473B73"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tcPr>
          <w:p w14:paraId="3A473B5F" w14:textId="77777777" w:rsidR="00016FE1" w:rsidRDefault="00016FE1" w:rsidP="002B6227">
            <w:pPr>
              <w:autoSpaceDE w:val="0"/>
              <w:autoSpaceDN w:val="0"/>
              <w:adjustRightInd w:val="0"/>
              <w:jc w:val="both"/>
              <w:rPr>
                <w:rFonts w:ascii="Gotham" w:hAnsi="Gotham" w:cs="Calibri"/>
                <w:b/>
                <w:bCs/>
                <w:i/>
                <w:iCs/>
                <w:sz w:val="19"/>
                <w:szCs w:val="19"/>
                <w:lang w:eastAsia="es-MX"/>
              </w:rPr>
            </w:pPr>
          </w:p>
          <w:p w14:paraId="3A473B60"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bCs/>
                <w:i/>
                <w:iCs/>
                <w:sz w:val="19"/>
                <w:szCs w:val="19"/>
                <w:lang w:eastAsia="es-MX"/>
              </w:rPr>
              <w:t>Artículo 284.-</w:t>
            </w:r>
            <w:r w:rsidRPr="00B75D63">
              <w:rPr>
                <w:rFonts w:ascii="Gotham" w:hAnsi="Gotham" w:cs="Calibri"/>
                <w:sz w:val="19"/>
                <w:szCs w:val="19"/>
                <w:lang w:eastAsia="es-MX"/>
              </w:rPr>
              <w:t xml:space="preserve"> […]</w:t>
            </w:r>
          </w:p>
          <w:p w14:paraId="3A473B61"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62"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I. y II. […]</w:t>
            </w:r>
          </w:p>
          <w:p w14:paraId="3A473B63"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III. Multa, que debe estar prevista en la Ley de Ingresos respectiva;</w:t>
            </w:r>
          </w:p>
          <w:p w14:paraId="3A473B64"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65"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66"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lastRenderedPageBreak/>
              <w:t>IV. […];</w:t>
            </w:r>
          </w:p>
          <w:p w14:paraId="3A473B67"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V. Arresto administrativo conforme lo estipulado en el Reglamento de Policía y Buen Gobierno del Municipio; y</w:t>
            </w:r>
          </w:p>
          <w:p w14:paraId="3A473B68" w14:textId="77777777" w:rsidR="00016FE1"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VI. […]</w:t>
            </w:r>
          </w:p>
          <w:p w14:paraId="3A473B69" w14:textId="77777777" w:rsidR="00016FE1" w:rsidRPr="00B75D63" w:rsidRDefault="00016FE1" w:rsidP="002B6227">
            <w:pPr>
              <w:autoSpaceDE w:val="0"/>
              <w:autoSpaceDN w:val="0"/>
              <w:adjustRightInd w:val="0"/>
              <w:jc w:val="both"/>
              <w:rPr>
                <w:rFonts w:ascii="Gotham" w:hAnsi="Gotham" w:cs="Calibri"/>
                <w:sz w:val="19"/>
                <w:szCs w:val="19"/>
                <w:lang w:eastAsia="es-MX"/>
              </w:rPr>
            </w:pPr>
          </w:p>
        </w:tc>
        <w:tc>
          <w:tcPr>
            <w:tcW w:w="2500" w:type="pct"/>
            <w:tcBorders>
              <w:top w:val="single" w:sz="4" w:space="0" w:color="000000"/>
              <w:left w:val="single" w:sz="4" w:space="0" w:color="000000"/>
              <w:bottom w:val="single" w:sz="4" w:space="0" w:color="000000"/>
              <w:right w:val="single" w:sz="4" w:space="0" w:color="000000"/>
            </w:tcBorders>
          </w:tcPr>
          <w:p w14:paraId="3A473B6A" w14:textId="77777777" w:rsidR="00016FE1" w:rsidRDefault="00016FE1" w:rsidP="002B6227">
            <w:pPr>
              <w:autoSpaceDE w:val="0"/>
              <w:autoSpaceDN w:val="0"/>
              <w:adjustRightInd w:val="0"/>
              <w:jc w:val="both"/>
              <w:rPr>
                <w:rFonts w:ascii="Gotham" w:hAnsi="Gotham" w:cs="Calibri"/>
                <w:b/>
                <w:bCs/>
                <w:i/>
                <w:iCs/>
                <w:sz w:val="19"/>
                <w:szCs w:val="19"/>
                <w:lang w:eastAsia="es-MX"/>
              </w:rPr>
            </w:pPr>
          </w:p>
          <w:p w14:paraId="3A473B6B" w14:textId="77777777" w:rsidR="00016FE1" w:rsidRPr="00B75D63"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b/>
                <w:bCs/>
                <w:i/>
                <w:iCs/>
                <w:sz w:val="19"/>
                <w:szCs w:val="19"/>
                <w:lang w:eastAsia="es-MX"/>
              </w:rPr>
              <w:t>Artículo 284.-</w:t>
            </w:r>
            <w:r w:rsidRPr="00B75D63">
              <w:rPr>
                <w:rFonts w:ascii="Gotham" w:hAnsi="Gotham" w:cs="Calibri"/>
                <w:sz w:val="19"/>
                <w:szCs w:val="19"/>
                <w:lang w:eastAsia="es-MX"/>
              </w:rPr>
              <w:t xml:space="preserve"> […]: </w:t>
            </w:r>
          </w:p>
          <w:p w14:paraId="3A473B6C" w14:textId="77777777" w:rsidR="00016FE1" w:rsidRPr="00B75D63" w:rsidRDefault="00016FE1" w:rsidP="002B6227">
            <w:pPr>
              <w:autoSpaceDE w:val="0"/>
              <w:autoSpaceDN w:val="0"/>
              <w:adjustRightInd w:val="0"/>
              <w:jc w:val="both"/>
              <w:rPr>
                <w:rFonts w:ascii="Gotham" w:hAnsi="Gotham" w:cs="Calibri"/>
                <w:sz w:val="19"/>
                <w:szCs w:val="19"/>
                <w:lang w:eastAsia="es-MX"/>
              </w:rPr>
            </w:pPr>
          </w:p>
          <w:p w14:paraId="3A473B6D"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I. y II. […]</w:t>
            </w:r>
          </w:p>
          <w:p w14:paraId="3A473B6E"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b/>
                <w:sz w:val="19"/>
                <w:szCs w:val="19"/>
                <w:lang w:eastAsia="es-MX"/>
              </w:rPr>
              <w:t>III. Multa, cuyo monto esta prevista en la Ley de Ingresos vigente en materia de violaciones de carácter ecológico y protección al medio ambiente y en este Código;</w:t>
            </w:r>
          </w:p>
          <w:p w14:paraId="3A473B6F"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lastRenderedPageBreak/>
              <w:t>IV. […];</w:t>
            </w:r>
          </w:p>
          <w:p w14:paraId="3A473B70" w14:textId="77777777" w:rsidR="00016FE1" w:rsidRPr="00B75D63" w:rsidRDefault="00016FE1" w:rsidP="002B6227">
            <w:pPr>
              <w:autoSpaceDE w:val="0"/>
              <w:autoSpaceDN w:val="0"/>
              <w:adjustRightInd w:val="0"/>
              <w:spacing w:after="120"/>
              <w:jc w:val="both"/>
              <w:rPr>
                <w:rFonts w:ascii="Gotham" w:hAnsi="Gotham" w:cs="Calibri"/>
                <w:sz w:val="19"/>
                <w:szCs w:val="19"/>
                <w:lang w:eastAsia="es-MX"/>
              </w:rPr>
            </w:pPr>
            <w:r w:rsidRPr="00B75D63">
              <w:rPr>
                <w:rFonts w:ascii="Gotham" w:hAnsi="Gotham" w:cs="Calibri"/>
                <w:sz w:val="19"/>
                <w:szCs w:val="19"/>
                <w:lang w:eastAsia="es-MX"/>
              </w:rPr>
              <w:t xml:space="preserve">V. </w:t>
            </w:r>
            <w:r w:rsidRPr="00B75D63">
              <w:rPr>
                <w:rFonts w:ascii="Gotham" w:hAnsi="Gotham" w:cs="Calibri"/>
                <w:b/>
                <w:sz w:val="19"/>
                <w:szCs w:val="19"/>
                <w:lang w:eastAsia="es-MX"/>
              </w:rPr>
              <w:t>Arresto administrativo conforme lo estipulado en el Reglamento de Justicia Cívica y cultura de la Legalidad del Municipio</w:t>
            </w:r>
            <w:r w:rsidRPr="00B75D63">
              <w:rPr>
                <w:rFonts w:ascii="Gotham" w:hAnsi="Gotham" w:cs="Calibri"/>
                <w:sz w:val="19"/>
                <w:szCs w:val="19"/>
                <w:lang w:eastAsia="es-MX"/>
              </w:rPr>
              <w:t>;</w:t>
            </w:r>
            <w:r w:rsidR="009F075D">
              <w:rPr>
                <w:rFonts w:ascii="Gotham" w:hAnsi="Gotham" w:cs="Calibri"/>
                <w:sz w:val="19"/>
                <w:szCs w:val="19"/>
                <w:lang w:eastAsia="es-MX"/>
              </w:rPr>
              <w:t xml:space="preserve"> </w:t>
            </w:r>
            <w:r w:rsidRPr="00B75D63">
              <w:rPr>
                <w:rFonts w:ascii="Gotham" w:hAnsi="Gotham" w:cs="Calibri"/>
                <w:sz w:val="19"/>
                <w:szCs w:val="19"/>
                <w:lang w:eastAsia="es-MX"/>
              </w:rPr>
              <w:t>y</w:t>
            </w:r>
          </w:p>
          <w:p w14:paraId="3A473B71" w14:textId="77777777" w:rsidR="00016FE1" w:rsidRDefault="00016FE1" w:rsidP="002B6227">
            <w:pPr>
              <w:autoSpaceDE w:val="0"/>
              <w:autoSpaceDN w:val="0"/>
              <w:adjustRightInd w:val="0"/>
              <w:jc w:val="both"/>
              <w:rPr>
                <w:rFonts w:ascii="Gotham" w:hAnsi="Gotham" w:cs="Calibri"/>
                <w:sz w:val="19"/>
                <w:szCs w:val="19"/>
                <w:lang w:eastAsia="es-MX"/>
              </w:rPr>
            </w:pPr>
            <w:r w:rsidRPr="00B75D63">
              <w:rPr>
                <w:rFonts w:ascii="Gotham" w:hAnsi="Gotham" w:cs="Calibri"/>
                <w:sz w:val="19"/>
                <w:szCs w:val="19"/>
                <w:lang w:eastAsia="es-MX"/>
              </w:rPr>
              <w:t>VI. […].</w:t>
            </w:r>
          </w:p>
          <w:p w14:paraId="3A473B72" w14:textId="77777777" w:rsidR="00016FE1" w:rsidRPr="00B75D63" w:rsidRDefault="00016FE1" w:rsidP="002B6227">
            <w:pPr>
              <w:autoSpaceDE w:val="0"/>
              <w:autoSpaceDN w:val="0"/>
              <w:adjustRightInd w:val="0"/>
              <w:jc w:val="both"/>
              <w:rPr>
                <w:rFonts w:ascii="Gotham" w:hAnsi="Gotham" w:cs="Calibri"/>
                <w:sz w:val="19"/>
                <w:szCs w:val="19"/>
                <w:lang w:eastAsia="es-MX"/>
              </w:rPr>
            </w:pPr>
          </w:p>
        </w:tc>
      </w:tr>
      <w:tr w:rsidR="00016FE1" w:rsidRPr="00B75D63" w14:paraId="3A473B76"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B74" w14:textId="77777777" w:rsidR="00016FE1" w:rsidRPr="00B75D63" w:rsidRDefault="00016FE1" w:rsidP="002B6227">
            <w:pPr>
              <w:spacing w:before="120" w:after="120"/>
              <w:jc w:val="both"/>
              <w:rPr>
                <w:rFonts w:ascii="Gotham" w:hAnsi="Gotham" w:cs="Calibri"/>
                <w:sz w:val="19"/>
                <w:szCs w:val="19"/>
                <w:lang w:eastAsia="en-US"/>
              </w:rPr>
            </w:pPr>
            <w:r w:rsidRPr="00B75D63">
              <w:rPr>
                <w:rFonts w:ascii="Gotham" w:hAnsi="Gotham" w:cs="Calibri"/>
                <w:b/>
                <w:bCs/>
                <w:i/>
                <w:iCs/>
                <w:sz w:val="19"/>
                <w:szCs w:val="19"/>
                <w:lang w:eastAsia="es-MX"/>
              </w:rPr>
              <w:lastRenderedPageBreak/>
              <w:t xml:space="preserve">Artículo 286.- </w:t>
            </w:r>
            <w:r w:rsidRPr="00B75D63">
              <w:rPr>
                <w:rFonts w:ascii="Gotham" w:hAnsi="Gotham" w:cs="Calibri"/>
                <w:sz w:val="19"/>
                <w:szCs w:val="19"/>
                <w:lang w:eastAsia="es-MX"/>
              </w:rPr>
              <w:t>Para la imposición de sanciones, la Dirección de Inspección y Vigilancia Municipal debe estar a lo señalado por las disposiciones de la Ley del Procedimiento Administrativo del Estado de Jalisco, dando oportunidad para que el interesado exponga lo que a su derecho convenga.</w:t>
            </w:r>
          </w:p>
        </w:tc>
        <w:tc>
          <w:tcPr>
            <w:tcW w:w="2500" w:type="pct"/>
            <w:tcBorders>
              <w:top w:val="single" w:sz="4" w:space="0" w:color="000000"/>
              <w:left w:val="single" w:sz="4" w:space="0" w:color="000000"/>
              <w:bottom w:val="single" w:sz="4" w:space="0" w:color="000000"/>
              <w:right w:val="single" w:sz="4" w:space="0" w:color="000000"/>
            </w:tcBorders>
            <w:hideMark/>
          </w:tcPr>
          <w:p w14:paraId="3A473B75"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t xml:space="preserve">Artículo 286.- </w:t>
            </w:r>
            <w:r w:rsidRPr="00B75D63">
              <w:rPr>
                <w:rFonts w:ascii="Gotham" w:hAnsi="Gotham" w:cs="Calibri"/>
                <w:sz w:val="19"/>
                <w:szCs w:val="19"/>
                <w:lang w:eastAsia="es-MX"/>
              </w:rPr>
              <w:t xml:space="preserve">Se deroga </w:t>
            </w:r>
          </w:p>
        </w:tc>
      </w:tr>
      <w:tr w:rsidR="00016FE1" w:rsidRPr="00B75D63" w14:paraId="3A473B7C"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tcPr>
          <w:p w14:paraId="3A473B77" w14:textId="77777777" w:rsidR="00016FE1" w:rsidRPr="00B75D63" w:rsidRDefault="00016FE1" w:rsidP="002B6227">
            <w:pPr>
              <w:autoSpaceDE w:val="0"/>
              <w:autoSpaceDN w:val="0"/>
              <w:adjustRightInd w:val="0"/>
              <w:spacing w:before="120" w:after="120"/>
              <w:jc w:val="both"/>
              <w:rPr>
                <w:rFonts w:ascii="Gotham" w:hAnsi="Gotham" w:cs="Calibri"/>
                <w:sz w:val="19"/>
                <w:szCs w:val="19"/>
                <w:lang w:eastAsia="es-MX"/>
              </w:rPr>
            </w:pPr>
            <w:r w:rsidRPr="00B75D63">
              <w:rPr>
                <w:rFonts w:ascii="Gotham" w:hAnsi="Gotham" w:cs="Calibri"/>
                <w:b/>
                <w:bCs/>
                <w:i/>
                <w:iCs/>
                <w:sz w:val="19"/>
                <w:szCs w:val="19"/>
                <w:lang w:eastAsia="es-MX"/>
              </w:rPr>
              <w:t xml:space="preserve">Artículo 287.- </w:t>
            </w:r>
            <w:r w:rsidRPr="00B75D63">
              <w:rPr>
                <w:rFonts w:ascii="Gotham" w:hAnsi="Gotham" w:cs="Calibri"/>
                <w:sz w:val="19"/>
                <w:szCs w:val="19"/>
                <w:lang w:eastAsia="es-MX"/>
              </w:rPr>
              <w:t>La Autoridad Municipal deberá fundar y motivar su resolución considerando para su individualización:</w:t>
            </w:r>
          </w:p>
          <w:p w14:paraId="3A473B78" w14:textId="77777777" w:rsidR="00016FE1" w:rsidRPr="00B75D63" w:rsidRDefault="00016FE1" w:rsidP="002B6227">
            <w:pPr>
              <w:autoSpaceDE w:val="0"/>
              <w:autoSpaceDN w:val="0"/>
              <w:adjustRightInd w:val="0"/>
              <w:spacing w:before="120" w:after="120"/>
              <w:jc w:val="both"/>
              <w:rPr>
                <w:rFonts w:ascii="Gotham" w:hAnsi="Gotham" w:cs="Calibri"/>
                <w:sz w:val="19"/>
                <w:szCs w:val="19"/>
                <w:lang w:eastAsia="es-MX"/>
              </w:rPr>
            </w:pPr>
            <w:r w:rsidRPr="00B75D63">
              <w:rPr>
                <w:rFonts w:ascii="Gotham" w:hAnsi="Gotham" w:cs="Calibri"/>
                <w:sz w:val="19"/>
                <w:szCs w:val="19"/>
                <w:lang w:eastAsia="es-MX"/>
              </w:rPr>
              <w:t>I. a VI. […]</w:t>
            </w:r>
          </w:p>
        </w:tc>
        <w:tc>
          <w:tcPr>
            <w:tcW w:w="2500" w:type="pct"/>
            <w:tcBorders>
              <w:top w:val="single" w:sz="4" w:space="0" w:color="000000"/>
              <w:left w:val="single" w:sz="4" w:space="0" w:color="000000"/>
              <w:bottom w:val="single" w:sz="4" w:space="0" w:color="000000"/>
              <w:right w:val="single" w:sz="4" w:space="0" w:color="000000"/>
            </w:tcBorders>
          </w:tcPr>
          <w:p w14:paraId="3A473B79" w14:textId="77777777" w:rsidR="00016FE1" w:rsidRPr="00B75D63" w:rsidRDefault="00016FE1" w:rsidP="002B6227">
            <w:pPr>
              <w:autoSpaceDE w:val="0"/>
              <w:autoSpaceDN w:val="0"/>
              <w:adjustRightInd w:val="0"/>
              <w:spacing w:before="120" w:after="120"/>
              <w:jc w:val="both"/>
              <w:rPr>
                <w:rFonts w:ascii="Gotham" w:hAnsi="Gotham" w:cs="Calibri"/>
                <w:sz w:val="19"/>
                <w:szCs w:val="19"/>
                <w:lang w:eastAsia="es-MX"/>
              </w:rPr>
            </w:pPr>
            <w:r w:rsidRPr="00B75D63">
              <w:rPr>
                <w:rFonts w:ascii="Gotham" w:hAnsi="Gotham" w:cs="Calibri"/>
                <w:b/>
                <w:bCs/>
                <w:i/>
                <w:iCs/>
                <w:sz w:val="19"/>
                <w:szCs w:val="19"/>
                <w:lang w:eastAsia="es-MX"/>
              </w:rPr>
              <w:t xml:space="preserve">Artículo 287.- </w:t>
            </w:r>
            <w:r w:rsidRPr="00B75D63">
              <w:rPr>
                <w:rFonts w:ascii="Gotham" w:hAnsi="Gotham" w:cs="Calibri"/>
                <w:b/>
                <w:bCs/>
                <w:iCs/>
                <w:sz w:val="19"/>
                <w:szCs w:val="19"/>
                <w:lang w:eastAsia="es-MX"/>
              </w:rPr>
              <w:t>El Juez Cívico Municipal</w:t>
            </w:r>
            <w:r w:rsidRPr="00B75D63">
              <w:rPr>
                <w:rFonts w:ascii="Gotham" w:hAnsi="Gotham" w:cs="Calibri"/>
                <w:sz w:val="19"/>
                <w:szCs w:val="19"/>
                <w:lang w:eastAsia="es-MX"/>
              </w:rPr>
              <w:t xml:space="preserve"> deberá fundar y motivar su resolución, considerando para su individualización: </w:t>
            </w:r>
          </w:p>
          <w:p w14:paraId="3A473B7A" w14:textId="77777777" w:rsidR="00016FE1" w:rsidRPr="00B75D63" w:rsidRDefault="00016FE1" w:rsidP="002B6227">
            <w:pPr>
              <w:autoSpaceDE w:val="0"/>
              <w:autoSpaceDN w:val="0"/>
              <w:adjustRightInd w:val="0"/>
              <w:spacing w:before="120" w:after="120"/>
              <w:jc w:val="both"/>
              <w:rPr>
                <w:rFonts w:ascii="Gotham" w:hAnsi="Gotham" w:cs="Calibri"/>
                <w:sz w:val="19"/>
                <w:szCs w:val="19"/>
                <w:lang w:eastAsia="es-MX"/>
              </w:rPr>
            </w:pPr>
            <w:r w:rsidRPr="00B75D63">
              <w:rPr>
                <w:rFonts w:ascii="Gotham" w:hAnsi="Gotham" w:cs="Calibri"/>
                <w:sz w:val="19"/>
                <w:szCs w:val="19"/>
                <w:lang w:eastAsia="es-MX"/>
              </w:rPr>
              <w:t>I. a VI. […]</w:t>
            </w:r>
          </w:p>
          <w:p w14:paraId="3A473B7B" w14:textId="77777777" w:rsidR="00016FE1" w:rsidRPr="00B75D63" w:rsidRDefault="00016FE1" w:rsidP="002B6227">
            <w:pPr>
              <w:autoSpaceDE w:val="0"/>
              <w:autoSpaceDN w:val="0"/>
              <w:adjustRightInd w:val="0"/>
              <w:spacing w:before="120" w:after="120"/>
              <w:jc w:val="both"/>
              <w:rPr>
                <w:rFonts w:ascii="Gotham" w:hAnsi="Gotham" w:cs="Calibri"/>
                <w:b/>
                <w:sz w:val="19"/>
                <w:szCs w:val="19"/>
                <w:lang w:eastAsia="es-MX"/>
              </w:rPr>
            </w:pPr>
            <w:r w:rsidRPr="00B75D63">
              <w:rPr>
                <w:rFonts w:ascii="Gotham" w:hAnsi="Gotham" w:cs="Calibri"/>
                <w:b/>
                <w:sz w:val="19"/>
                <w:szCs w:val="19"/>
                <w:lang w:eastAsia="es-MX"/>
              </w:rPr>
              <w:t xml:space="preserve">VII. Los demás criterios que establece el Reglamento de Justicia Cívica del Municipio. </w:t>
            </w:r>
          </w:p>
        </w:tc>
      </w:tr>
      <w:tr w:rsidR="00016FE1" w:rsidRPr="00B75D63" w14:paraId="3A473B7F" w14:textId="77777777" w:rsidTr="00AD51C5">
        <w:trPr>
          <w:trHeight w:val="1256"/>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B7D" w14:textId="77777777" w:rsidR="00016FE1" w:rsidRPr="00B75D63" w:rsidRDefault="00016FE1" w:rsidP="002B6227">
            <w:pPr>
              <w:spacing w:before="120" w:after="120"/>
              <w:jc w:val="both"/>
              <w:rPr>
                <w:rFonts w:ascii="Gotham" w:hAnsi="Gotham" w:cs="Calibri"/>
                <w:sz w:val="19"/>
                <w:szCs w:val="19"/>
                <w:lang w:eastAsia="en-US"/>
              </w:rPr>
            </w:pPr>
            <w:r w:rsidRPr="00B75D63">
              <w:rPr>
                <w:rFonts w:ascii="Gotham" w:hAnsi="Gotham" w:cs="Calibri"/>
                <w:b/>
                <w:bCs/>
                <w:i/>
                <w:iCs/>
                <w:sz w:val="19"/>
                <w:szCs w:val="19"/>
                <w:lang w:eastAsia="es-MX"/>
              </w:rPr>
              <w:t xml:space="preserve">Artículo 288.- </w:t>
            </w:r>
            <w:r w:rsidRPr="00B75D63">
              <w:rPr>
                <w:rFonts w:ascii="Gotham" w:hAnsi="Gotham" w:cs="Calibri"/>
                <w:sz w:val="19"/>
                <w:szCs w:val="19"/>
                <w:lang w:eastAsia="es-MX"/>
              </w:rPr>
              <w:t>Una vez oído al infractor y desahogadas las pruebas admitidas, dentro de los diez días hábiles siguientes, la Dirección de Inspección y Vigilancia Municipal dictará por escrito la resolución que proceda, la cual será debidamente notificada.</w:t>
            </w:r>
          </w:p>
        </w:tc>
        <w:tc>
          <w:tcPr>
            <w:tcW w:w="2500" w:type="pct"/>
            <w:tcBorders>
              <w:top w:val="single" w:sz="4" w:space="0" w:color="000000"/>
              <w:left w:val="single" w:sz="4" w:space="0" w:color="000000"/>
              <w:bottom w:val="single" w:sz="4" w:space="0" w:color="000000"/>
              <w:right w:val="single" w:sz="4" w:space="0" w:color="000000"/>
            </w:tcBorders>
            <w:hideMark/>
          </w:tcPr>
          <w:p w14:paraId="3A473B7E"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t xml:space="preserve">Artículo 288.- Se </w:t>
            </w:r>
            <w:r w:rsidRPr="00B75D63">
              <w:rPr>
                <w:rFonts w:ascii="Gotham" w:hAnsi="Gotham" w:cs="Calibri"/>
                <w:b/>
                <w:sz w:val="19"/>
                <w:szCs w:val="19"/>
                <w:lang w:eastAsia="es-MX"/>
              </w:rPr>
              <w:t xml:space="preserve">Deroga </w:t>
            </w:r>
          </w:p>
        </w:tc>
      </w:tr>
      <w:tr w:rsidR="00016FE1" w:rsidRPr="00B75D63" w14:paraId="3A473B82"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hideMark/>
          </w:tcPr>
          <w:p w14:paraId="3A473B80"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t xml:space="preserve">Artículo 289.- </w:t>
            </w:r>
            <w:r w:rsidRPr="00B75D63">
              <w:rPr>
                <w:rFonts w:ascii="Gotham" w:hAnsi="Gotham" w:cs="Calibri"/>
                <w:sz w:val="19"/>
                <w:szCs w:val="19"/>
                <w:lang w:eastAsia="es-MX"/>
              </w:rPr>
              <w:t>La Dirección de Inspección y Vigilancia Municipal podrá hacer uso de las medidas legales necesarias, incluyendo el auxilio de la fuerza pública, para lograr la ejecución de las sanciones y medidas de seguridad que procedan.</w:t>
            </w:r>
          </w:p>
        </w:tc>
        <w:tc>
          <w:tcPr>
            <w:tcW w:w="2500" w:type="pct"/>
            <w:tcBorders>
              <w:top w:val="single" w:sz="4" w:space="0" w:color="000000"/>
              <w:left w:val="single" w:sz="4" w:space="0" w:color="000000"/>
              <w:bottom w:val="single" w:sz="4" w:space="0" w:color="000000"/>
              <w:right w:val="single" w:sz="4" w:space="0" w:color="000000"/>
            </w:tcBorders>
            <w:hideMark/>
          </w:tcPr>
          <w:p w14:paraId="3A473B81" w14:textId="77777777" w:rsidR="00016FE1" w:rsidRPr="00B75D63" w:rsidRDefault="00016FE1" w:rsidP="002B6227">
            <w:pPr>
              <w:spacing w:before="120" w:after="120"/>
              <w:jc w:val="both"/>
              <w:rPr>
                <w:rFonts w:ascii="Gotham" w:hAnsi="Gotham" w:cs="Calibri"/>
                <w:sz w:val="19"/>
                <w:szCs w:val="19"/>
              </w:rPr>
            </w:pPr>
            <w:r w:rsidRPr="00B75D63">
              <w:rPr>
                <w:rFonts w:ascii="Gotham" w:hAnsi="Gotham" w:cs="Calibri"/>
                <w:b/>
                <w:bCs/>
                <w:i/>
                <w:iCs/>
                <w:sz w:val="19"/>
                <w:szCs w:val="19"/>
                <w:lang w:eastAsia="es-MX"/>
              </w:rPr>
              <w:t xml:space="preserve">Artículo 289.- </w:t>
            </w:r>
            <w:r w:rsidRPr="00B75D63">
              <w:rPr>
                <w:rFonts w:ascii="Gotham" w:hAnsi="Gotham" w:cs="Calibri"/>
                <w:b/>
                <w:sz w:val="19"/>
                <w:szCs w:val="19"/>
                <w:lang w:eastAsia="es-MX"/>
              </w:rPr>
              <w:t>El Juez Cívico Municipal</w:t>
            </w:r>
            <w:r w:rsidRPr="00B75D63">
              <w:rPr>
                <w:rFonts w:ascii="Gotham" w:hAnsi="Gotham" w:cs="Calibri"/>
                <w:sz w:val="19"/>
                <w:szCs w:val="19"/>
                <w:lang w:eastAsia="es-MX"/>
              </w:rPr>
              <w:t xml:space="preserve"> podrá hacer uso de las medidas legales necesarias, incluyendo el auxilio de la fuerza pública, para lograr la ejecución de las sanciones y medidas de seguridad que procedan.</w:t>
            </w:r>
          </w:p>
        </w:tc>
      </w:tr>
      <w:tr w:rsidR="00016FE1" w:rsidRPr="00B75D63" w14:paraId="3A473B86"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tcPr>
          <w:p w14:paraId="3A473B83" w14:textId="77777777" w:rsidR="00016FE1" w:rsidRPr="00B75D63" w:rsidRDefault="00016FE1" w:rsidP="002B6227">
            <w:pPr>
              <w:autoSpaceDE w:val="0"/>
              <w:autoSpaceDN w:val="0"/>
              <w:adjustRightInd w:val="0"/>
              <w:spacing w:before="120" w:after="120"/>
              <w:jc w:val="both"/>
              <w:rPr>
                <w:rFonts w:ascii="Gotham" w:hAnsi="Gotham" w:cs="Calibri"/>
                <w:color w:val="000000"/>
                <w:sz w:val="19"/>
                <w:szCs w:val="19"/>
                <w:lang w:eastAsia="es-MX"/>
              </w:rPr>
            </w:pPr>
          </w:p>
          <w:p w14:paraId="3A473B84" w14:textId="77777777" w:rsidR="00016FE1" w:rsidRPr="00B75D63" w:rsidRDefault="00016FE1" w:rsidP="002B6227">
            <w:pPr>
              <w:spacing w:before="120" w:after="120"/>
              <w:jc w:val="both"/>
              <w:rPr>
                <w:rFonts w:ascii="Gotham" w:hAnsi="Gotham" w:cs="Calibri"/>
                <w:sz w:val="19"/>
                <w:szCs w:val="19"/>
                <w:lang w:eastAsia="en-US"/>
              </w:rPr>
            </w:pPr>
          </w:p>
        </w:tc>
        <w:tc>
          <w:tcPr>
            <w:tcW w:w="2500" w:type="pct"/>
            <w:tcBorders>
              <w:top w:val="single" w:sz="4" w:space="0" w:color="000000"/>
              <w:left w:val="single" w:sz="4" w:space="0" w:color="000000"/>
              <w:bottom w:val="single" w:sz="4" w:space="0" w:color="000000"/>
              <w:right w:val="single" w:sz="4" w:space="0" w:color="000000"/>
            </w:tcBorders>
            <w:hideMark/>
          </w:tcPr>
          <w:p w14:paraId="3A473B85"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Artículo 325 bis. Cuando se trate de giros comerciales, industriales o de prestación de servicios que generen ruido que superen los decibeles máximos permitidos en los horarios establecidos en este Código, se les sancionará con una multa de 20 veinte a 150 ciento cincuenta Unidades de Medidas y Actualización (UMA); sanción que se duplicará o triplicará en caso de reincidencia.</w:t>
            </w:r>
          </w:p>
        </w:tc>
      </w:tr>
      <w:tr w:rsidR="00016FE1" w:rsidRPr="00B75D63" w14:paraId="3A473B89" w14:textId="77777777" w:rsidTr="00AD51C5">
        <w:trPr>
          <w:jc w:val="right"/>
        </w:trPr>
        <w:tc>
          <w:tcPr>
            <w:tcW w:w="2500" w:type="pct"/>
            <w:tcBorders>
              <w:top w:val="single" w:sz="4" w:space="0" w:color="000000"/>
              <w:left w:val="single" w:sz="4" w:space="0" w:color="000000"/>
              <w:bottom w:val="single" w:sz="4" w:space="0" w:color="000000"/>
              <w:right w:val="single" w:sz="4" w:space="0" w:color="000000"/>
            </w:tcBorders>
          </w:tcPr>
          <w:p w14:paraId="3A473B87" w14:textId="77777777" w:rsidR="00016FE1" w:rsidRPr="00B75D63" w:rsidRDefault="00016FE1" w:rsidP="002B6227">
            <w:pPr>
              <w:spacing w:before="120" w:after="120"/>
              <w:jc w:val="both"/>
              <w:rPr>
                <w:rFonts w:ascii="Gotham" w:hAnsi="Gotham" w:cs="Calibri"/>
                <w:sz w:val="19"/>
                <w:szCs w:val="19"/>
              </w:rPr>
            </w:pPr>
          </w:p>
        </w:tc>
        <w:tc>
          <w:tcPr>
            <w:tcW w:w="2500" w:type="pct"/>
            <w:tcBorders>
              <w:top w:val="single" w:sz="4" w:space="0" w:color="000000"/>
              <w:left w:val="single" w:sz="4" w:space="0" w:color="000000"/>
              <w:bottom w:val="single" w:sz="4" w:space="0" w:color="000000"/>
              <w:right w:val="single" w:sz="4" w:space="0" w:color="000000"/>
            </w:tcBorders>
            <w:hideMark/>
          </w:tcPr>
          <w:p w14:paraId="3A473B88" w14:textId="77777777" w:rsidR="00016FE1" w:rsidRPr="00B75D63" w:rsidRDefault="00016FE1" w:rsidP="002B6227">
            <w:pPr>
              <w:spacing w:before="120" w:after="120"/>
              <w:jc w:val="both"/>
              <w:rPr>
                <w:rFonts w:ascii="Gotham" w:hAnsi="Gotham" w:cs="Calibri"/>
                <w:b/>
                <w:sz w:val="19"/>
                <w:szCs w:val="19"/>
              </w:rPr>
            </w:pPr>
            <w:r w:rsidRPr="00B75D63">
              <w:rPr>
                <w:rFonts w:ascii="Gotham" w:hAnsi="Gotham" w:cs="Calibri"/>
                <w:b/>
                <w:sz w:val="19"/>
                <w:szCs w:val="19"/>
              </w:rPr>
              <w:t xml:space="preserve">Artículo 325 ter. Cuando el ruido supere los decibeles máximos permitidos en los horarios establecidos y se emita por agentes, espacios o </w:t>
            </w:r>
            <w:r w:rsidRPr="00B75D63">
              <w:rPr>
                <w:rFonts w:ascii="Gotham" w:hAnsi="Gotham" w:cs="Calibri"/>
                <w:b/>
                <w:sz w:val="19"/>
                <w:szCs w:val="19"/>
              </w:rPr>
              <w:lastRenderedPageBreak/>
              <w:t>áreas distintas a los señalados en el artículo anterior, la multa será de 60 sesenta a 500 quinientas veces el valor diario de la Unidad de Medida y Actualización.</w:t>
            </w:r>
          </w:p>
        </w:tc>
      </w:tr>
    </w:tbl>
    <w:p w14:paraId="3A473B8A" w14:textId="77777777" w:rsidR="00016FE1" w:rsidRPr="006B1960" w:rsidRDefault="00016FE1" w:rsidP="002B6227">
      <w:pPr>
        <w:ind w:left="567" w:hanging="567"/>
        <w:jc w:val="both"/>
        <w:rPr>
          <w:rFonts w:ascii="Gotham" w:hAnsi="Gotham" w:cs="Arial"/>
          <w:sz w:val="20"/>
          <w:szCs w:val="20"/>
        </w:rPr>
      </w:pPr>
    </w:p>
    <w:p w14:paraId="3A473B8B" w14:textId="77777777" w:rsidR="00016FE1" w:rsidRPr="006B1960" w:rsidRDefault="00016FE1" w:rsidP="002B6227">
      <w:pPr>
        <w:ind w:left="567" w:hanging="567"/>
        <w:jc w:val="both"/>
        <w:rPr>
          <w:rFonts w:ascii="Gotham" w:hAnsi="Gotham" w:cs="Arial"/>
          <w:sz w:val="20"/>
          <w:szCs w:val="20"/>
        </w:rPr>
      </w:pPr>
      <w:r w:rsidRPr="006B1960">
        <w:rPr>
          <w:rFonts w:ascii="Gotham" w:hAnsi="Gotham" w:cs="Arial"/>
          <w:sz w:val="20"/>
          <w:szCs w:val="20"/>
        </w:rPr>
        <w:t xml:space="preserve">VI. </w:t>
      </w:r>
      <w:r>
        <w:rPr>
          <w:rFonts w:ascii="Gotham" w:hAnsi="Gotham" w:cs="Arial"/>
          <w:sz w:val="20"/>
          <w:szCs w:val="20"/>
        </w:rPr>
        <w:tab/>
      </w:r>
      <w:r w:rsidRPr="006B1960">
        <w:rPr>
          <w:rFonts w:ascii="Gotham" w:hAnsi="Gotham" w:cs="Arial"/>
          <w:sz w:val="20"/>
          <w:szCs w:val="20"/>
        </w:rPr>
        <w:t xml:space="preserve">De forma argumentativa se señala que también establece de manera ordenada a las autoridades responsables de la aplicación de este Reglamento y demás ordenamientos vinculados vigentes; conscientes estamos que con estas modificaciones, corregiremos sistemática y gradualmente las molestias causadas por el ruido emitido desde los hogares, comercios y vehículos automotores que circulan por las calles de nuestro territorio, abriendo cuando proceda, los procedimientos administrativos por las conductas que el Código señala como faltas, pero sobre todo, imponer medidas y tratamientos de reparación y garantías de no repetición que el Juez Municipal determine. </w:t>
      </w:r>
    </w:p>
    <w:p w14:paraId="3A473B8C" w14:textId="77777777" w:rsidR="00016FE1" w:rsidRPr="006B1960" w:rsidRDefault="00016FE1" w:rsidP="002B6227">
      <w:pPr>
        <w:ind w:left="567" w:hanging="567"/>
        <w:jc w:val="both"/>
        <w:rPr>
          <w:rFonts w:ascii="Gotham" w:hAnsi="Gotham" w:cs="Arial"/>
          <w:sz w:val="20"/>
          <w:szCs w:val="20"/>
        </w:rPr>
      </w:pPr>
    </w:p>
    <w:p w14:paraId="3A473B8D" w14:textId="77777777" w:rsidR="00016FE1" w:rsidRPr="006B1960" w:rsidRDefault="00016FE1" w:rsidP="002B6227">
      <w:pPr>
        <w:ind w:left="567" w:hanging="567"/>
        <w:jc w:val="both"/>
        <w:rPr>
          <w:rFonts w:ascii="Gotham" w:hAnsi="Gotham" w:cs="Arial"/>
          <w:sz w:val="20"/>
          <w:szCs w:val="20"/>
        </w:rPr>
      </w:pPr>
      <w:r w:rsidRPr="006B1960">
        <w:rPr>
          <w:rFonts w:ascii="Gotham" w:hAnsi="Gotham" w:cs="Arial"/>
          <w:sz w:val="20"/>
          <w:szCs w:val="20"/>
        </w:rPr>
        <w:t xml:space="preserve">VII. </w:t>
      </w:r>
      <w:r>
        <w:rPr>
          <w:rFonts w:ascii="Gotham" w:hAnsi="Gotham" w:cs="Arial"/>
          <w:sz w:val="20"/>
          <w:szCs w:val="20"/>
        </w:rPr>
        <w:tab/>
      </w:r>
      <w:r w:rsidRPr="006B1960">
        <w:rPr>
          <w:rFonts w:ascii="Gotham" w:hAnsi="Gotham" w:cs="Arial"/>
          <w:sz w:val="20"/>
          <w:szCs w:val="20"/>
        </w:rPr>
        <w:t>No debemos olvidar que de aprobarse el presente Dictamen garantizamos el respeto de los derechos humanos consagrados en la Constitución como el de la salud, al medio ambiente adecuado y sostenible, en estricta armonía con las garantías de seguridad jurídica señalada en el artículo 16. Estamos frente a un derecho humano de carácter difuso vinculado con otros, por lo que su vulneración provoca la conculcación de otros tantos más por su amplia interdependencia que tiene con ellos, verbigracia, el derecho a la salud, a la paz, al trabajo digno, a la vivienda, entre otros.</w:t>
      </w:r>
      <w:r w:rsidR="009F075D">
        <w:rPr>
          <w:rFonts w:ascii="Gotham" w:hAnsi="Gotham" w:cs="Arial"/>
          <w:sz w:val="20"/>
          <w:szCs w:val="20"/>
        </w:rPr>
        <w:t xml:space="preserve"> </w:t>
      </w:r>
    </w:p>
    <w:p w14:paraId="3A473B8E" w14:textId="77777777" w:rsidR="00016FE1" w:rsidRPr="006B1960" w:rsidRDefault="00016FE1" w:rsidP="002B6227">
      <w:pPr>
        <w:ind w:left="567" w:hanging="567"/>
        <w:jc w:val="both"/>
        <w:rPr>
          <w:rFonts w:ascii="Gotham" w:hAnsi="Gotham" w:cs="Arial"/>
          <w:sz w:val="20"/>
          <w:szCs w:val="20"/>
        </w:rPr>
      </w:pPr>
    </w:p>
    <w:p w14:paraId="3A473B8F" w14:textId="77777777" w:rsidR="00016FE1" w:rsidRPr="006B1960" w:rsidRDefault="00016FE1" w:rsidP="002B6227">
      <w:pPr>
        <w:ind w:left="567" w:hanging="567"/>
        <w:jc w:val="both"/>
        <w:rPr>
          <w:rFonts w:ascii="Gotham" w:hAnsi="Gotham" w:cs="Arial"/>
          <w:sz w:val="20"/>
          <w:szCs w:val="20"/>
        </w:rPr>
      </w:pPr>
      <w:r w:rsidRPr="006B1960">
        <w:rPr>
          <w:rFonts w:ascii="Gotham" w:hAnsi="Gotham" w:cs="Arial"/>
          <w:sz w:val="20"/>
          <w:szCs w:val="20"/>
        </w:rPr>
        <w:t xml:space="preserve">VIII. </w:t>
      </w:r>
      <w:r>
        <w:rPr>
          <w:rFonts w:ascii="Gotham" w:hAnsi="Gotham" w:cs="Arial"/>
          <w:sz w:val="20"/>
          <w:szCs w:val="20"/>
        </w:rPr>
        <w:tab/>
      </w:r>
      <w:r w:rsidRPr="006B1960">
        <w:rPr>
          <w:rFonts w:ascii="Gotham" w:hAnsi="Gotham" w:cs="Arial"/>
          <w:sz w:val="20"/>
          <w:szCs w:val="20"/>
        </w:rPr>
        <w:t xml:space="preserve">De acuerdo con la Organización para la Cooperación y el Desarrollo Económico (OCDE) es impostergable crear ciudades sustentables a la luz de los retos medioambientales que nos presenta el siglo XXI, lo que invita a cada entidad federativa y municipio a implementar medidas, programas y políticas públicas que se armonicen con el andamiaje normativo incluido en ellos, las Normas Oficiales Mexicanas para la emisión de ruido vigentes. </w:t>
      </w:r>
    </w:p>
    <w:p w14:paraId="3A473B90" w14:textId="77777777" w:rsidR="00016FE1" w:rsidRPr="006B1960" w:rsidRDefault="00016FE1" w:rsidP="002B6227">
      <w:pPr>
        <w:ind w:left="567" w:hanging="567"/>
        <w:jc w:val="both"/>
        <w:rPr>
          <w:rFonts w:ascii="Gotham" w:hAnsi="Gotham" w:cs="Arial"/>
          <w:sz w:val="20"/>
          <w:szCs w:val="20"/>
        </w:rPr>
      </w:pPr>
    </w:p>
    <w:p w14:paraId="3A473B91" w14:textId="77777777" w:rsidR="00016FE1" w:rsidRPr="006B1960" w:rsidRDefault="00016FE1" w:rsidP="002B6227">
      <w:pPr>
        <w:ind w:left="567"/>
        <w:jc w:val="both"/>
        <w:rPr>
          <w:rFonts w:ascii="Gotham" w:hAnsi="Gotham" w:cs="Arial"/>
          <w:sz w:val="20"/>
          <w:szCs w:val="20"/>
        </w:rPr>
      </w:pPr>
      <w:r w:rsidRPr="006B1960">
        <w:rPr>
          <w:rFonts w:ascii="Gotham" w:hAnsi="Gotham" w:cs="Arial"/>
          <w:sz w:val="20"/>
          <w:szCs w:val="20"/>
        </w:rPr>
        <w:t xml:space="preserve">Es de conocimiento público que organismos internacionales como la Organización Mundial de la Salud (OMS) y la OCDE arriba señalado, cuentan con un acervo de información basto que denotan los efectos de la contaminación auditiva en la salud de las personas; al menos en Europa, de acuerdo con la OMS, el 22% de su población está molesta o muy molesta por el ruido que generan los diversos agentes contaminantes. </w:t>
      </w:r>
    </w:p>
    <w:p w14:paraId="3A473B92" w14:textId="77777777" w:rsidR="00016FE1" w:rsidRPr="006B1960" w:rsidRDefault="00016FE1" w:rsidP="002B6227">
      <w:pPr>
        <w:ind w:left="567" w:hanging="567"/>
        <w:jc w:val="both"/>
        <w:rPr>
          <w:rFonts w:ascii="Gotham" w:hAnsi="Gotham" w:cs="Arial"/>
          <w:sz w:val="20"/>
          <w:szCs w:val="20"/>
        </w:rPr>
      </w:pPr>
    </w:p>
    <w:p w14:paraId="3A473B93" w14:textId="77777777" w:rsidR="00016FE1" w:rsidRPr="006B1960" w:rsidRDefault="00016FE1" w:rsidP="002B6227">
      <w:pPr>
        <w:ind w:left="567"/>
        <w:jc w:val="both"/>
        <w:rPr>
          <w:rFonts w:ascii="Gotham" w:hAnsi="Gotham" w:cs="Arial"/>
          <w:sz w:val="20"/>
          <w:szCs w:val="20"/>
        </w:rPr>
      </w:pPr>
      <w:r w:rsidRPr="006B1960">
        <w:rPr>
          <w:rFonts w:ascii="Gotham" w:hAnsi="Gotham" w:cs="Arial"/>
          <w:sz w:val="20"/>
          <w:szCs w:val="20"/>
        </w:rPr>
        <w:t xml:space="preserve">Acorde a la Comisión Europea, la exposición al ruido perturba el sueño, afecta al desarrollo cognitivo en menores de edad y ocasiona enfermedades psicosomáticas; esta misma Comisión afirma que los costes externos de la contaminación del aire y ruido del tráfico ascienden al 0.6% del Producto Interno Bruto (PIB). </w:t>
      </w:r>
    </w:p>
    <w:p w14:paraId="3A473B94" w14:textId="77777777" w:rsidR="00016FE1" w:rsidRPr="006B1960" w:rsidRDefault="00016FE1" w:rsidP="002B6227">
      <w:pPr>
        <w:jc w:val="both"/>
        <w:rPr>
          <w:rFonts w:ascii="Gotham" w:hAnsi="Gotham" w:cs="Arial"/>
          <w:sz w:val="20"/>
          <w:szCs w:val="20"/>
        </w:rPr>
      </w:pPr>
    </w:p>
    <w:p w14:paraId="3A473B95" w14:textId="77777777" w:rsidR="00016FE1" w:rsidRPr="006B1960" w:rsidRDefault="00016FE1" w:rsidP="002B6227">
      <w:pPr>
        <w:ind w:left="567" w:hanging="567"/>
        <w:jc w:val="both"/>
        <w:rPr>
          <w:rFonts w:ascii="Gotham" w:hAnsi="Gotham" w:cs="Arial"/>
          <w:sz w:val="20"/>
          <w:szCs w:val="20"/>
        </w:rPr>
      </w:pPr>
      <w:r w:rsidRPr="006B1960">
        <w:rPr>
          <w:rFonts w:ascii="Gotham" w:hAnsi="Gotham" w:cs="Arial"/>
          <w:sz w:val="20"/>
          <w:szCs w:val="20"/>
        </w:rPr>
        <w:t xml:space="preserve">IX. </w:t>
      </w:r>
      <w:r>
        <w:rPr>
          <w:rFonts w:ascii="Gotham" w:hAnsi="Gotham" w:cs="Arial"/>
          <w:sz w:val="20"/>
          <w:szCs w:val="20"/>
        </w:rPr>
        <w:tab/>
      </w:r>
      <w:r w:rsidRPr="006B1960">
        <w:rPr>
          <w:rFonts w:ascii="Gotham" w:hAnsi="Gotham" w:cs="Arial"/>
          <w:sz w:val="20"/>
          <w:szCs w:val="20"/>
        </w:rPr>
        <w:t xml:space="preserve">Por lo expuesto, los que integramos esta Comisión Dictaminadora conscientes estamos de la notable disminución de la calidad de vida de los ciudadanos por el ruido excesivo provocado por agentes humanos y no humanos en la vida cotidiana; por eso afirmamos que debemos hacer esfuerzo y evitarles mayores afectaciones transversales que en algún momento dado pueden ser irreversibles. Y para esto, el presente Dictamen propone directrices bien definidas y procedimentales para abonar en la disminución de este grave problema. </w:t>
      </w:r>
    </w:p>
    <w:p w14:paraId="3A473B96" w14:textId="77777777" w:rsidR="00016FE1" w:rsidRPr="006B1960" w:rsidRDefault="00016FE1" w:rsidP="002B6227">
      <w:pPr>
        <w:jc w:val="both"/>
        <w:rPr>
          <w:rFonts w:ascii="Gotham" w:hAnsi="Gotham" w:cs="Arial"/>
          <w:sz w:val="20"/>
          <w:szCs w:val="20"/>
        </w:rPr>
      </w:pPr>
    </w:p>
    <w:p w14:paraId="3A473B97" w14:textId="77777777" w:rsidR="00016FE1" w:rsidRPr="006B1960" w:rsidRDefault="00016FE1" w:rsidP="002B6227">
      <w:pPr>
        <w:jc w:val="both"/>
        <w:rPr>
          <w:rFonts w:ascii="Gotham" w:hAnsi="Gotham" w:cs="Arial"/>
          <w:sz w:val="20"/>
          <w:szCs w:val="20"/>
        </w:rPr>
      </w:pPr>
      <w:r w:rsidRPr="006B1960">
        <w:rPr>
          <w:rFonts w:ascii="Gotham" w:hAnsi="Gotham" w:cs="Arial"/>
          <w:sz w:val="20"/>
          <w:szCs w:val="20"/>
        </w:rPr>
        <w:t>Por lo anteriormente descrito, los que integramos la Comisión Edilicia dictaminadora que al final suscriben el presente dictamen, proponemos el siguiente dictamen de:</w:t>
      </w:r>
    </w:p>
    <w:p w14:paraId="3A473B98" w14:textId="77777777" w:rsidR="00016FE1" w:rsidRPr="006B1960" w:rsidRDefault="00016FE1" w:rsidP="002B6227">
      <w:pPr>
        <w:jc w:val="both"/>
        <w:rPr>
          <w:rFonts w:ascii="Gotham" w:hAnsi="Gotham" w:cs="Arial"/>
          <w:sz w:val="20"/>
          <w:szCs w:val="20"/>
        </w:rPr>
      </w:pPr>
    </w:p>
    <w:p w14:paraId="3A473B99" w14:textId="77777777" w:rsidR="00016FE1" w:rsidRPr="006B1960" w:rsidRDefault="00016FE1" w:rsidP="002B6227">
      <w:pPr>
        <w:jc w:val="center"/>
        <w:rPr>
          <w:rFonts w:ascii="Gotham" w:hAnsi="Gotham" w:cs="Arial"/>
          <w:sz w:val="20"/>
          <w:szCs w:val="20"/>
        </w:rPr>
      </w:pPr>
      <w:r w:rsidRPr="006B1960">
        <w:rPr>
          <w:rFonts w:ascii="Gotham" w:hAnsi="Gotham" w:cs="Arial"/>
          <w:sz w:val="20"/>
          <w:szCs w:val="20"/>
        </w:rPr>
        <w:t>ORDENAMIENTO MUNICIPAL</w:t>
      </w:r>
    </w:p>
    <w:p w14:paraId="3A473B9A" w14:textId="77777777" w:rsidR="00016FE1" w:rsidRPr="006B1960" w:rsidRDefault="00016FE1" w:rsidP="002B6227">
      <w:pPr>
        <w:jc w:val="both"/>
        <w:rPr>
          <w:rFonts w:ascii="Gotham" w:hAnsi="Gotham" w:cs="Arial"/>
          <w:sz w:val="20"/>
          <w:szCs w:val="20"/>
        </w:rPr>
      </w:pPr>
    </w:p>
    <w:p w14:paraId="3A473B9B" w14:textId="77777777" w:rsidR="00016FE1" w:rsidRPr="006B1960" w:rsidRDefault="00016FE1" w:rsidP="002B6227">
      <w:pPr>
        <w:jc w:val="both"/>
        <w:rPr>
          <w:rFonts w:ascii="Gotham" w:hAnsi="Gotham" w:cs="Arial"/>
          <w:sz w:val="20"/>
          <w:szCs w:val="20"/>
        </w:rPr>
      </w:pPr>
      <w:r w:rsidRPr="006B1960">
        <w:rPr>
          <w:rFonts w:ascii="Gotham" w:hAnsi="Gotham" w:cs="Arial"/>
          <w:sz w:val="20"/>
          <w:szCs w:val="20"/>
        </w:rPr>
        <w:t>PRIMERO- Se aprueba reformar los artículos los artículos 2, 5 fracción XCVII recorriéndose por su orden las siguientes fracciones, 35, 47 segundo párrafo, artículos 51, 273, 276, 283, 284 fracciones III y V y 289; se adicionan la fracción CXVI del artículo 5, artículos 42 bis, 42 ter, la fracción VII del artículo 287, artículos 325 bis y 325 ter; y se derogan los artículos 286 y 288 del Código para la Protección Ambiental, Cambio Climático y Sustentabilidad del Municipio de Tonalá, Jalisco para quedar como sigue:</w:t>
      </w:r>
    </w:p>
    <w:p w14:paraId="3A473B9C" w14:textId="77777777" w:rsidR="00016FE1" w:rsidRPr="006B1960" w:rsidRDefault="00016FE1" w:rsidP="002B6227">
      <w:pPr>
        <w:jc w:val="both"/>
        <w:rPr>
          <w:rFonts w:ascii="Gotham" w:hAnsi="Gotham" w:cs="Arial"/>
          <w:sz w:val="20"/>
          <w:szCs w:val="20"/>
        </w:rPr>
      </w:pPr>
    </w:p>
    <w:p w14:paraId="3A473B9D" w14:textId="77777777" w:rsidR="00016FE1" w:rsidRPr="00511FD6" w:rsidRDefault="00016FE1" w:rsidP="002B6227">
      <w:pPr>
        <w:autoSpaceDE w:val="0"/>
        <w:autoSpaceDN w:val="0"/>
        <w:adjustRightInd w:val="0"/>
        <w:spacing w:after="120"/>
        <w:ind w:left="284" w:right="283"/>
        <w:jc w:val="both"/>
        <w:rPr>
          <w:rFonts w:ascii="Gotham" w:hAnsi="Gotham" w:cs="Arial"/>
          <w:b/>
          <w:bCs/>
          <w:i/>
          <w:color w:val="07070F"/>
          <w:sz w:val="19"/>
          <w:szCs w:val="19"/>
          <w:lang w:val="es-MX"/>
        </w:rPr>
      </w:pPr>
      <w:r w:rsidRPr="00511FD6">
        <w:rPr>
          <w:rFonts w:ascii="Gotham" w:hAnsi="Gotham" w:cs="Arial"/>
          <w:b/>
          <w:bCs/>
          <w:i/>
          <w:color w:val="07070F"/>
          <w:sz w:val="19"/>
          <w:szCs w:val="19"/>
        </w:rPr>
        <w:t>Artículo 2.- La aplicación y ejecución de las disposiciones previstas en este Código, le corresponden a las siguientes autoridades y dependencias Municipales:</w:t>
      </w:r>
    </w:p>
    <w:p w14:paraId="3A473B9E"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I. </w:t>
      </w:r>
      <w:r>
        <w:rPr>
          <w:rFonts w:ascii="Gotham" w:hAnsi="Gotham" w:cs="Arial"/>
          <w:b/>
          <w:bCs/>
          <w:i/>
          <w:color w:val="07070F"/>
          <w:sz w:val="19"/>
          <w:szCs w:val="19"/>
        </w:rPr>
        <w:tab/>
      </w:r>
      <w:r w:rsidRPr="00511FD6">
        <w:rPr>
          <w:rFonts w:ascii="Gotham" w:hAnsi="Gotham" w:cs="Arial"/>
          <w:b/>
          <w:bCs/>
          <w:i/>
          <w:color w:val="07070F"/>
          <w:sz w:val="19"/>
          <w:szCs w:val="19"/>
        </w:rPr>
        <w:t>Al Ayuntamiento;</w:t>
      </w:r>
    </w:p>
    <w:p w14:paraId="3A473B9F"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II. </w:t>
      </w:r>
      <w:r>
        <w:rPr>
          <w:rFonts w:ascii="Gotham" w:hAnsi="Gotham" w:cs="Arial"/>
          <w:b/>
          <w:bCs/>
          <w:i/>
          <w:color w:val="07070F"/>
          <w:sz w:val="19"/>
          <w:szCs w:val="19"/>
        </w:rPr>
        <w:tab/>
      </w:r>
      <w:r w:rsidRPr="00511FD6">
        <w:rPr>
          <w:rFonts w:ascii="Gotham" w:hAnsi="Gotham" w:cs="Arial"/>
          <w:b/>
          <w:bCs/>
          <w:i/>
          <w:color w:val="07070F"/>
          <w:sz w:val="19"/>
          <w:szCs w:val="19"/>
        </w:rPr>
        <w:t>Al Presidente Municipal;</w:t>
      </w:r>
    </w:p>
    <w:p w14:paraId="3A473BA0"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III. </w:t>
      </w:r>
      <w:r>
        <w:rPr>
          <w:rFonts w:ascii="Gotham" w:hAnsi="Gotham" w:cs="Arial"/>
          <w:b/>
          <w:bCs/>
          <w:i/>
          <w:color w:val="07070F"/>
          <w:sz w:val="19"/>
          <w:szCs w:val="19"/>
        </w:rPr>
        <w:tab/>
      </w:r>
      <w:r w:rsidRPr="00511FD6">
        <w:rPr>
          <w:rFonts w:ascii="Gotham" w:hAnsi="Gotham" w:cs="Arial"/>
          <w:b/>
          <w:bCs/>
          <w:i/>
          <w:color w:val="07070F"/>
          <w:sz w:val="19"/>
          <w:szCs w:val="19"/>
        </w:rPr>
        <w:t>Al secretario General del Ayuntamiento;</w:t>
      </w:r>
    </w:p>
    <w:p w14:paraId="3A473BA1"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IV. </w:t>
      </w:r>
      <w:r>
        <w:rPr>
          <w:rFonts w:ascii="Gotham" w:hAnsi="Gotham" w:cs="Arial"/>
          <w:b/>
          <w:bCs/>
          <w:i/>
          <w:color w:val="07070F"/>
          <w:sz w:val="19"/>
          <w:szCs w:val="19"/>
        </w:rPr>
        <w:tab/>
      </w:r>
      <w:r w:rsidRPr="00511FD6">
        <w:rPr>
          <w:rFonts w:ascii="Gotham" w:hAnsi="Gotham" w:cs="Arial"/>
          <w:b/>
          <w:bCs/>
          <w:i/>
          <w:color w:val="07070F"/>
          <w:sz w:val="19"/>
          <w:szCs w:val="19"/>
        </w:rPr>
        <w:t xml:space="preserve">Al Síndico del Ayuntamiento; </w:t>
      </w:r>
    </w:p>
    <w:p w14:paraId="3A473BA2"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V. </w:t>
      </w:r>
      <w:r>
        <w:rPr>
          <w:rFonts w:ascii="Gotham" w:hAnsi="Gotham" w:cs="Arial"/>
          <w:b/>
          <w:bCs/>
          <w:i/>
          <w:color w:val="07070F"/>
          <w:sz w:val="19"/>
          <w:szCs w:val="19"/>
        </w:rPr>
        <w:tab/>
      </w:r>
      <w:r w:rsidRPr="00511FD6">
        <w:rPr>
          <w:rFonts w:ascii="Gotham" w:hAnsi="Gotham" w:cs="Arial"/>
          <w:b/>
          <w:bCs/>
          <w:i/>
          <w:color w:val="07070F"/>
          <w:sz w:val="19"/>
          <w:szCs w:val="19"/>
        </w:rPr>
        <w:t>A la Dirección Ecología y Cambio Climático;</w:t>
      </w:r>
    </w:p>
    <w:p w14:paraId="3A473BA3"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VI. </w:t>
      </w:r>
      <w:r>
        <w:rPr>
          <w:rFonts w:ascii="Gotham" w:hAnsi="Gotham" w:cs="Arial"/>
          <w:b/>
          <w:bCs/>
          <w:i/>
          <w:color w:val="07070F"/>
          <w:sz w:val="19"/>
          <w:szCs w:val="19"/>
        </w:rPr>
        <w:tab/>
      </w:r>
      <w:r w:rsidRPr="00511FD6">
        <w:rPr>
          <w:rFonts w:ascii="Gotham" w:hAnsi="Gotham" w:cs="Arial"/>
          <w:b/>
          <w:bCs/>
          <w:i/>
          <w:color w:val="07070F"/>
          <w:sz w:val="19"/>
          <w:szCs w:val="19"/>
        </w:rPr>
        <w:t>A la Dirección de Inspección y Vigilancia;</w:t>
      </w:r>
    </w:p>
    <w:p w14:paraId="3A473BA4"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VII. </w:t>
      </w:r>
      <w:r>
        <w:rPr>
          <w:rFonts w:ascii="Gotham" w:hAnsi="Gotham" w:cs="Arial"/>
          <w:b/>
          <w:bCs/>
          <w:i/>
          <w:color w:val="07070F"/>
          <w:sz w:val="19"/>
          <w:szCs w:val="19"/>
        </w:rPr>
        <w:tab/>
      </w:r>
      <w:r w:rsidRPr="00511FD6">
        <w:rPr>
          <w:rFonts w:ascii="Gotham" w:hAnsi="Gotham" w:cs="Arial"/>
          <w:b/>
          <w:bCs/>
          <w:i/>
          <w:color w:val="07070F"/>
          <w:sz w:val="19"/>
          <w:szCs w:val="19"/>
        </w:rPr>
        <w:t>A los Juzgados Cívicos Municipales;</w:t>
      </w:r>
    </w:p>
    <w:p w14:paraId="3A473BA5"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VIII. </w:t>
      </w:r>
      <w:r>
        <w:rPr>
          <w:rFonts w:ascii="Gotham" w:hAnsi="Gotham" w:cs="Arial"/>
          <w:b/>
          <w:bCs/>
          <w:i/>
          <w:color w:val="07070F"/>
          <w:sz w:val="19"/>
          <w:szCs w:val="19"/>
        </w:rPr>
        <w:tab/>
        <w:t>A</w:t>
      </w:r>
      <w:r w:rsidRPr="00511FD6">
        <w:rPr>
          <w:rFonts w:ascii="Gotham" w:hAnsi="Gotham" w:cs="Arial"/>
          <w:b/>
          <w:bCs/>
          <w:i/>
          <w:color w:val="07070F"/>
          <w:sz w:val="19"/>
          <w:szCs w:val="19"/>
        </w:rPr>
        <w:t xml:space="preserve"> la Dirección General de Obras Públicas;</w:t>
      </w:r>
    </w:p>
    <w:p w14:paraId="3A473BA6"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IX. </w:t>
      </w:r>
      <w:r>
        <w:rPr>
          <w:rFonts w:ascii="Gotham" w:hAnsi="Gotham" w:cs="Arial"/>
          <w:b/>
          <w:bCs/>
          <w:i/>
          <w:color w:val="07070F"/>
          <w:sz w:val="19"/>
          <w:szCs w:val="19"/>
        </w:rPr>
        <w:tab/>
      </w:r>
      <w:r w:rsidRPr="00511FD6">
        <w:rPr>
          <w:rFonts w:ascii="Gotham" w:hAnsi="Gotham" w:cs="Arial"/>
          <w:b/>
          <w:bCs/>
          <w:i/>
          <w:color w:val="07070F"/>
          <w:sz w:val="19"/>
          <w:szCs w:val="19"/>
        </w:rPr>
        <w:t>A la Dirección de Padrón y Licencias;</w:t>
      </w:r>
    </w:p>
    <w:p w14:paraId="3A473BA7"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X. </w:t>
      </w:r>
      <w:r>
        <w:rPr>
          <w:rFonts w:ascii="Gotham" w:hAnsi="Gotham" w:cs="Arial"/>
          <w:b/>
          <w:bCs/>
          <w:i/>
          <w:color w:val="07070F"/>
          <w:sz w:val="19"/>
          <w:szCs w:val="19"/>
        </w:rPr>
        <w:tab/>
      </w:r>
      <w:r w:rsidRPr="00511FD6">
        <w:rPr>
          <w:rFonts w:ascii="Gotham" w:hAnsi="Gotham" w:cs="Arial"/>
          <w:b/>
          <w:bCs/>
          <w:i/>
          <w:color w:val="07070F"/>
          <w:sz w:val="19"/>
          <w:szCs w:val="19"/>
        </w:rPr>
        <w:t>A la Jefatura de Parques y Jardines;</w:t>
      </w:r>
    </w:p>
    <w:p w14:paraId="3A473BA8" w14:textId="77777777" w:rsidR="00016FE1" w:rsidRPr="00511FD6" w:rsidRDefault="00016FE1" w:rsidP="008E0101">
      <w:pPr>
        <w:autoSpaceDE w:val="0"/>
        <w:autoSpaceDN w:val="0"/>
        <w:adjustRightInd w:val="0"/>
        <w:spacing w:after="80"/>
        <w:ind w:left="993" w:right="283" w:hanging="709"/>
        <w:jc w:val="both"/>
        <w:rPr>
          <w:rFonts w:ascii="Gotham" w:hAnsi="Gotham" w:cs="Arial"/>
          <w:b/>
          <w:bCs/>
          <w:i/>
          <w:color w:val="07070F"/>
          <w:sz w:val="19"/>
          <w:szCs w:val="19"/>
        </w:rPr>
      </w:pPr>
      <w:r w:rsidRPr="00511FD6">
        <w:rPr>
          <w:rFonts w:ascii="Gotham" w:hAnsi="Gotham" w:cs="Arial"/>
          <w:b/>
          <w:bCs/>
          <w:i/>
          <w:color w:val="07070F"/>
          <w:sz w:val="19"/>
          <w:szCs w:val="19"/>
        </w:rPr>
        <w:t xml:space="preserve">XI. </w:t>
      </w:r>
      <w:r>
        <w:rPr>
          <w:rFonts w:ascii="Gotham" w:hAnsi="Gotham" w:cs="Arial"/>
          <w:b/>
          <w:bCs/>
          <w:i/>
          <w:color w:val="07070F"/>
          <w:sz w:val="19"/>
          <w:szCs w:val="19"/>
        </w:rPr>
        <w:tab/>
        <w:t>A</w:t>
      </w:r>
      <w:r w:rsidRPr="00511FD6">
        <w:rPr>
          <w:rFonts w:ascii="Gotham" w:hAnsi="Gotham" w:cs="Arial"/>
          <w:b/>
          <w:bCs/>
          <w:i/>
          <w:color w:val="07070F"/>
          <w:sz w:val="19"/>
          <w:szCs w:val="19"/>
        </w:rPr>
        <w:t xml:space="preserve"> la Jefatura de Aseo Público; y</w:t>
      </w:r>
    </w:p>
    <w:p w14:paraId="3A473BA9" w14:textId="77777777" w:rsidR="00016FE1" w:rsidRPr="00511FD6" w:rsidRDefault="00016FE1" w:rsidP="002B6227">
      <w:pPr>
        <w:widowControl w:val="0"/>
        <w:suppressAutoHyphens/>
        <w:autoSpaceDN w:val="0"/>
        <w:ind w:left="993" w:right="283" w:hanging="709"/>
        <w:jc w:val="both"/>
        <w:textAlignment w:val="baseline"/>
        <w:rPr>
          <w:rFonts w:ascii="Gotham" w:hAnsi="Gotham" w:cs="Arial"/>
          <w:b/>
          <w:bCs/>
          <w:i/>
          <w:sz w:val="19"/>
          <w:szCs w:val="19"/>
          <w:lang w:val="es-UY"/>
        </w:rPr>
      </w:pPr>
      <w:r w:rsidRPr="00511FD6">
        <w:rPr>
          <w:rFonts w:ascii="Gotham" w:hAnsi="Gotham" w:cs="Arial"/>
          <w:b/>
          <w:bCs/>
          <w:i/>
          <w:color w:val="07070F"/>
          <w:sz w:val="19"/>
          <w:szCs w:val="19"/>
        </w:rPr>
        <w:t xml:space="preserve">XII. </w:t>
      </w:r>
      <w:r>
        <w:rPr>
          <w:rFonts w:ascii="Gotham" w:hAnsi="Gotham" w:cs="Arial"/>
          <w:b/>
          <w:bCs/>
          <w:i/>
          <w:color w:val="07070F"/>
          <w:sz w:val="19"/>
          <w:szCs w:val="19"/>
        </w:rPr>
        <w:tab/>
      </w:r>
      <w:r w:rsidRPr="00511FD6">
        <w:rPr>
          <w:rFonts w:ascii="Gotham" w:hAnsi="Gotham" w:cs="Arial"/>
          <w:b/>
          <w:bCs/>
          <w:i/>
          <w:color w:val="07070F"/>
          <w:sz w:val="19"/>
          <w:szCs w:val="19"/>
        </w:rPr>
        <w:t>A los demás servidores públicos en los que las autoridades municipales referidas en las fracciones anteriores deleguen sus atribuciones.</w:t>
      </w:r>
    </w:p>
    <w:p w14:paraId="3A473BAA"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rPr>
      </w:pPr>
    </w:p>
    <w:p w14:paraId="3A473BAB" w14:textId="77777777" w:rsidR="00016FE1" w:rsidRPr="00511FD6" w:rsidRDefault="00016FE1" w:rsidP="002B6227">
      <w:pPr>
        <w:spacing w:after="120"/>
        <w:ind w:left="284" w:right="283"/>
        <w:jc w:val="both"/>
        <w:rPr>
          <w:rFonts w:ascii="Gotham" w:hAnsi="Gotham" w:cs="Arial"/>
          <w:i/>
          <w:sz w:val="19"/>
          <w:szCs w:val="19"/>
          <w:lang w:val="es-MX" w:eastAsia="es-MX"/>
        </w:rPr>
      </w:pPr>
      <w:r w:rsidRPr="00511FD6">
        <w:rPr>
          <w:rFonts w:ascii="Gotham" w:hAnsi="Gotham" w:cs="Arial"/>
          <w:b/>
          <w:bCs/>
          <w:i/>
          <w:iCs/>
          <w:sz w:val="19"/>
          <w:szCs w:val="19"/>
          <w:lang w:eastAsia="es-MX"/>
        </w:rPr>
        <w:t>Artículo 5.-</w:t>
      </w:r>
      <w:r w:rsidRPr="00511FD6">
        <w:rPr>
          <w:rFonts w:ascii="Gotham" w:hAnsi="Gotham" w:cs="Arial"/>
          <w:i/>
          <w:sz w:val="19"/>
          <w:szCs w:val="19"/>
          <w:lang w:eastAsia="es-MX"/>
        </w:rPr>
        <w:t xml:space="preserve"> […]:</w:t>
      </w:r>
    </w:p>
    <w:p w14:paraId="3A473BAC" w14:textId="77777777" w:rsidR="00016FE1" w:rsidRPr="00511FD6" w:rsidRDefault="00016FE1" w:rsidP="002B6227">
      <w:pPr>
        <w:spacing w:after="120"/>
        <w:ind w:left="284" w:right="283"/>
        <w:jc w:val="both"/>
        <w:rPr>
          <w:rFonts w:ascii="Gotham" w:hAnsi="Gotham" w:cs="Arial"/>
          <w:i/>
          <w:sz w:val="19"/>
          <w:szCs w:val="19"/>
          <w:lang w:eastAsia="en-US"/>
        </w:rPr>
      </w:pPr>
      <w:r w:rsidRPr="00511FD6">
        <w:rPr>
          <w:rFonts w:ascii="Gotham" w:hAnsi="Gotham" w:cs="Arial"/>
          <w:i/>
          <w:sz w:val="19"/>
          <w:szCs w:val="19"/>
        </w:rPr>
        <w:t>I. a…XCVI […]</w:t>
      </w:r>
    </w:p>
    <w:p w14:paraId="3A473BAD" w14:textId="77777777" w:rsidR="00016FE1" w:rsidRPr="00511FD6" w:rsidRDefault="00016FE1" w:rsidP="002B6227">
      <w:pPr>
        <w:spacing w:after="120"/>
        <w:ind w:left="993" w:right="283" w:hanging="709"/>
        <w:jc w:val="both"/>
        <w:rPr>
          <w:rFonts w:ascii="Gotham" w:hAnsi="Gotham" w:cs="Arial"/>
          <w:b/>
          <w:i/>
          <w:sz w:val="19"/>
          <w:szCs w:val="19"/>
        </w:rPr>
      </w:pPr>
      <w:r w:rsidRPr="00511FD6">
        <w:rPr>
          <w:rFonts w:ascii="Gotham" w:hAnsi="Gotham" w:cs="Arial"/>
          <w:b/>
          <w:i/>
          <w:sz w:val="19"/>
          <w:szCs w:val="19"/>
        </w:rPr>
        <w:t>XCVII</w:t>
      </w:r>
      <w:r w:rsidRPr="00511FD6">
        <w:rPr>
          <w:rFonts w:ascii="Gotham" w:hAnsi="Gotham" w:cs="Arial"/>
          <w:i/>
          <w:sz w:val="19"/>
          <w:szCs w:val="19"/>
        </w:rPr>
        <w:t xml:space="preserve">. </w:t>
      </w:r>
      <w:r>
        <w:rPr>
          <w:rFonts w:ascii="Gotham" w:hAnsi="Gotham" w:cs="Arial"/>
          <w:i/>
          <w:sz w:val="19"/>
          <w:szCs w:val="19"/>
        </w:rPr>
        <w:tab/>
      </w:r>
      <w:r w:rsidRPr="00511FD6">
        <w:rPr>
          <w:rFonts w:ascii="Gotham" w:hAnsi="Gotham" w:cs="Arial"/>
          <w:b/>
          <w:i/>
          <w:sz w:val="19"/>
          <w:szCs w:val="19"/>
        </w:rPr>
        <w:t xml:space="preserve">RUIDO: Todo sonido indeseable, continuo o discontinuo cause una molestia o perjudique a las personas, su tranquilidad, descanso o paz proveniente de cualquier espacio público o privado en el Municipio; </w:t>
      </w:r>
    </w:p>
    <w:p w14:paraId="3A473BAE"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XCVIII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SEMADET: Secretaría de Medio Ambiente y Desarrollo Territorial;</w:t>
      </w:r>
    </w:p>
    <w:p w14:paraId="3A473BAF"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XCIX</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SEMARNAT: Secretaría de Medio Ambiente y Recursos Naturales;</w:t>
      </w:r>
    </w:p>
    <w:p w14:paraId="3A473BB0"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Servicios ambientales: Los beneficios tangibles e intangibles, generados por los ecosistemas, necesarios para la supervivencia del sistema natural y biológico en su conjunto, y para que proporcionen beneficios al ser humano;</w:t>
      </w:r>
    </w:p>
    <w:p w14:paraId="3A473BB1"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Solicitante o responsable: la (sic) persona física o jurídica que, previa autorización, imparte algún curso, clase, taller o evento ambiental, educativo, cultural, artístico o deportivo pudiendo ser gratuito o con algún costo dentro del Parque Ecológico de los Artesanos del Cerro de la Reina de Tonalá, Jalisco;</w:t>
      </w:r>
    </w:p>
    <w:p w14:paraId="3A473BB2"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CII.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Sustitución de especies arbóreas: Corresponde a la plantación de especies adecuadas que reemplacen a los árboles retirados, según el espacio disponible en el área urbana;</w:t>
      </w:r>
    </w:p>
    <w:p w14:paraId="3A473BB3"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CIII.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Terreno de uso agropecuario: Aquellos que, sin distinción de su pendiente o estructura, se destinan a la siembra de cultivos agrícolas, a la cría y producción de ganado, mediante la utilización de la vegetación sea esta natural, inducida o cultivada;</w:t>
      </w:r>
    </w:p>
    <w:p w14:paraId="3A473BB4"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lastRenderedPageBreak/>
        <w:t>CIV</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Terreno forestal: El que está cubierto por vegetación forestal;</w:t>
      </w:r>
    </w:p>
    <w:p w14:paraId="3A473BB5"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 xml:space="preserve">CV. </w:t>
      </w:r>
      <w:r>
        <w:rPr>
          <w:rFonts w:ascii="Gotham" w:hAnsi="Gotham" w:cs="Arial"/>
          <w:b/>
          <w:i/>
          <w:sz w:val="19"/>
          <w:szCs w:val="19"/>
          <w:lang w:eastAsia="es-MX"/>
        </w:rPr>
        <w:tab/>
      </w:r>
      <w:r w:rsidRPr="00511FD6">
        <w:rPr>
          <w:rFonts w:ascii="Gotham" w:hAnsi="Gotham" w:cs="Arial"/>
          <w:i/>
          <w:sz w:val="19"/>
          <w:szCs w:val="19"/>
          <w:lang w:eastAsia="es-MX"/>
        </w:rPr>
        <w:t>Trasplante: Acción de reubicar un árbol de un sitio a otro, siempre y cuando la naturaleza de la especie lo permita.</w:t>
      </w:r>
    </w:p>
    <w:p w14:paraId="3A473BB6"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CVI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Unidades productoras de cerámicos y ladrillos: Sitios donde operan las fuentes fijas con actividad para la producción de cerámicos y ladrillos bajo los criterios de ubicación y de operación establecidos en el presente código y demás ordenamientos y normas aplicables;</w:t>
      </w:r>
    </w:p>
    <w:p w14:paraId="3A473BB7"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CVII.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Uso del fuego: Aplicación del fuego en terrenos agropecuarios, forestales, preferentemente forestales, temporalmente forestales y colindantes o adyacentes con objetivos de manejo de recursos naturales, para la producción, limpieza de terrenos o quema de desechos, o en fogatas para luz, calor o preparación de alimentos;</w:t>
      </w:r>
    </w:p>
    <w:p w14:paraId="3A473BB8"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CVIII.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Usuario: En materia de las disposiciones aplicables al Parque Ecológico de los Artesanos del Cerro de la Reina de Tonalá, Jalisco es toda aquella persona que ingrese al Parque;</w:t>
      </w:r>
    </w:p>
    <w:p w14:paraId="3A473BB9"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CIX.</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Valorización: Principio bajo el cual se conjuntan acciones orientadas a recuperar el valor remanente o el poder calorífico de los materiales que componen los residuos, mediante su reincorporación en procesos productivos, bajo criterios de responsabilidad compartida, manejo integral y eficiencia ambiental, tecnológica y económica;</w:t>
      </w:r>
    </w:p>
    <w:p w14:paraId="3A473BBA"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CX.</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Vegetación Forestal: El conjunto de plantas y hongos que crecen y se desarrollan en forma natural, formando bosques, selvas, zonas áridas y semiáridas, y otros ecosistemas, dando lugar al desarrollo y convivencia equilibrada de otros recursos y procesos naturales;</w:t>
      </w:r>
    </w:p>
    <w:p w14:paraId="3A473BBB"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CXI.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Vida silvestre: Término técnico, utilizado para referirse a los animales que habitan de forma libre en las distintas regiones del país. Por lo tanto, Vida Silvestre y Fauna Silvestre tienen el mismo significado;</w:t>
      </w:r>
    </w:p>
    <w:p w14:paraId="3A473BBC"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CXII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Vocación natural: Condiciones que presenta un ecosistema para sostener una o varias actividades sin que se produzcan desequilibrios ecológicos;</w:t>
      </w:r>
    </w:p>
    <w:p w14:paraId="3A473BBD"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CXIII.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Zonificación: El instrumento técnico de planeación que puede ser utilizado en el establecimiento de las áreas naturales protegidas, que permite ordenar su territorio en función del grado de conservación y representatividad de sus ecosistemas, la vocación natural del terreno, de su uso actual y potencial, de conformidad con los objetivos dispuestos en la misma declaratoria. Asimismo, existirá una subzonificación, la cual consiste en el instrumento técnico y dinámico de planeación, que se establecerá en el programa de manejo respectivo, y que es utilizado en el manejo de las áreas naturales protegidas, con el fin de ordenar detalladamente las zonas núcleo y de amortiguamiento, previamente establecidas mediante la declaratoria correspondiente;</w:t>
      </w:r>
    </w:p>
    <w:p w14:paraId="3A473BBE"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CXIV.</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Zona de conservación ecológica: Zona donde la vegetación natural, es un importante recurso que debe de conservarse y recuperarse, evitando los cambios en el uso del suelo y a través de estrategias de recuperación, las pendientes son los principales factores limitantes a la urbanización;</w:t>
      </w:r>
    </w:p>
    <w:p w14:paraId="3A473BBF" w14:textId="77777777" w:rsidR="00016FE1" w:rsidRPr="00511FD6" w:rsidRDefault="00016FE1" w:rsidP="002B6227">
      <w:pPr>
        <w:autoSpaceDE w:val="0"/>
        <w:autoSpaceDN w:val="0"/>
        <w:adjustRightInd w:val="0"/>
        <w:spacing w:after="120"/>
        <w:ind w:left="993" w:right="283" w:hanging="709"/>
        <w:jc w:val="both"/>
        <w:rPr>
          <w:rFonts w:ascii="Gotham" w:hAnsi="Gotham" w:cs="Arial"/>
          <w:i/>
          <w:sz w:val="19"/>
          <w:szCs w:val="19"/>
          <w:lang w:eastAsia="es-MX"/>
        </w:rPr>
      </w:pPr>
      <w:r w:rsidRPr="00511FD6">
        <w:rPr>
          <w:rFonts w:ascii="Gotham" w:hAnsi="Gotham" w:cs="Arial"/>
          <w:b/>
          <w:i/>
          <w:sz w:val="19"/>
          <w:szCs w:val="19"/>
          <w:lang w:eastAsia="es-MX"/>
        </w:rPr>
        <w:t>CXV.</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Zona de preservación ecológica: Entre los distintos tipos o categorías de áreas naturales protegidas se encuentran las áreas de protección de flora y fauna, que se constituyen en los lugares que contienen los hábitats de cuyo equilibrio y preservación depende la existencia, transformación y desarrollo de las especies de flora y fauna silvestres; y;</w:t>
      </w:r>
    </w:p>
    <w:p w14:paraId="3A473BC0" w14:textId="77777777" w:rsidR="00016FE1" w:rsidRPr="00511FD6" w:rsidRDefault="00016FE1" w:rsidP="002B6227">
      <w:pPr>
        <w:widowControl w:val="0"/>
        <w:suppressAutoHyphens/>
        <w:autoSpaceDN w:val="0"/>
        <w:ind w:left="993" w:right="283" w:hanging="709"/>
        <w:jc w:val="both"/>
        <w:textAlignment w:val="baseline"/>
        <w:rPr>
          <w:rFonts w:ascii="Gotham" w:hAnsi="Gotham" w:cs="Arial"/>
          <w:b/>
          <w:bCs/>
          <w:i/>
          <w:sz w:val="19"/>
          <w:szCs w:val="19"/>
          <w:lang w:val="es-UY" w:eastAsia="en-US"/>
        </w:rPr>
      </w:pPr>
      <w:r w:rsidRPr="00511FD6">
        <w:rPr>
          <w:rFonts w:ascii="Gotham" w:hAnsi="Gotham" w:cs="Arial"/>
          <w:b/>
          <w:i/>
          <w:sz w:val="19"/>
          <w:szCs w:val="19"/>
          <w:lang w:eastAsia="es-MX"/>
        </w:rPr>
        <w:t>CXVI.</w:t>
      </w:r>
      <w:r w:rsidRPr="00511FD6">
        <w:rPr>
          <w:rFonts w:ascii="Gotham" w:hAnsi="Gotham" w:cs="Arial"/>
          <w:i/>
          <w:sz w:val="19"/>
          <w:szCs w:val="19"/>
          <w:lang w:eastAsia="es-MX"/>
        </w:rPr>
        <w:t xml:space="preserve"> </w:t>
      </w:r>
      <w:r>
        <w:rPr>
          <w:rFonts w:ascii="Gotham" w:hAnsi="Gotham" w:cs="Arial"/>
          <w:i/>
          <w:sz w:val="19"/>
          <w:szCs w:val="19"/>
          <w:lang w:eastAsia="es-MX"/>
        </w:rPr>
        <w:tab/>
      </w:r>
      <w:r w:rsidRPr="00511FD6">
        <w:rPr>
          <w:rFonts w:ascii="Gotham" w:hAnsi="Gotham" w:cs="Arial"/>
          <w:i/>
          <w:sz w:val="19"/>
          <w:szCs w:val="19"/>
          <w:lang w:eastAsia="es-MX"/>
        </w:rPr>
        <w:t>Zonas de recuperación ambiental: Contiene información sobre el criterio bajo el cual se propone el establecimiento de la zona de recuperación ambiental; Los objetivos específicos de la zona de recuperación ambiental; Descripción detallada de las acciones a realizar par a regenerar, recuperar o restablecer las condiciones naturales de la zona; Los responsables del manejo, las fuentes de financiamiento y los plazos para la</w:t>
      </w:r>
      <w:r w:rsidR="007C2F8D">
        <w:rPr>
          <w:rFonts w:ascii="Gotham" w:hAnsi="Gotham" w:cs="Arial"/>
          <w:i/>
          <w:sz w:val="19"/>
          <w:szCs w:val="19"/>
          <w:lang w:eastAsia="es-MX"/>
        </w:rPr>
        <w:t xml:space="preserve"> </w:t>
      </w:r>
      <w:r w:rsidRPr="00511FD6">
        <w:rPr>
          <w:rFonts w:ascii="Gotham" w:hAnsi="Gotham" w:cs="Arial"/>
          <w:i/>
          <w:sz w:val="19"/>
          <w:szCs w:val="19"/>
          <w:lang w:eastAsia="es-MX"/>
        </w:rPr>
        <w:t>ejecución del</w:t>
      </w:r>
      <w:r w:rsidR="007C2F8D">
        <w:rPr>
          <w:rFonts w:ascii="Gotham" w:hAnsi="Gotham" w:cs="Arial"/>
          <w:i/>
          <w:sz w:val="19"/>
          <w:szCs w:val="19"/>
          <w:lang w:eastAsia="es-MX"/>
        </w:rPr>
        <w:t xml:space="preserve"> </w:t>
      </w:r>
      <w:r w:rsidRPr="00511FD6">
        <w:rPr>
          <w:rFonts w:ascii="Gotham" w:hAnsi="Gotham" w:cs="Arial"/>
          <w:i/>
          <w:sz w:val="19"/>
          <w:szCs w:val="19"/>
          <w:lang w:eastAsia="es-MX"/>
        </w:rPr>
        <w:t xml:space="preserve">programa; y el manejo </w:t>
      </w:r>
      <w:r w:rsidRPr="00511FD6">
        <w:rPr>
          <w:rFonts w:ascii="Gotham" w:hAnsi="Gotham" w:cs="Arial"/>
          <w:i/>
          <w:sz w:val="19"/>
          <w:szCs w:val="19"/>
          <w:lang w:eastAsia="es-MX"/>
        </w:rPr>
        <w:lastRenderedPageBreak/>
        <w:t>integral que se dará al área, una vez que se considere plenamente restaurada, priorizando siempre la conservación.</w:t>
      </w:r>
    </w:p>
    <w:p w14:paraId="3A473BC1"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rPr>
      </w:pPr>
    </w:p>
    <w:p w14:paraId="3A473BC2" w14:textId="77777777" w:rsidR="00016FE1" w:rsidRPr="00511FD6" w:rsidRDefault="00016FE1" w:rsidP="002B6227">
      <w:pPr>
        <w:widowControl w:val="0"/>
        <w:suppressAutoHyphens/>
        <w:autoSpaceDN w:val="0"/>
        <w:ind w:left="284" w:right="283"/>
        <w:jc w:val="both"/>
        <w:textAlignment w:val="baseline"/>
        <w:rPr>
          <w:rFonts w:ascii="Gotham" w:hAnsi="Gotham" w:cs="Arial"/>
          <w:b/>
          <w:i/>
          <w:sz w:val="19"/>
          <w:szCs w:val="19"/>
          <w:lang w:val="es-MX" w:eastAsia="es-MX"/>
        </w:rPr>
      </w:pPr>
      <w:r w:rsidRPr="00511FD6">
        <w:rPr>
          <w:rFonts w:ascii="Gotham" w:hAnsi="Gotham" w:cs="Arial"/>
          <w:b/>
          <w:bCs/>
          <w:i/>
          <w:iCs/>
          <w:sz w:val="19"/>
          <w:szCs w:val="19"/>
          <w:lang w:eastAsia="es-MX"/>
        </w:rPr>
        <w:t xml:space="preserve">Artículo 35.- </w:t>
      </w:r>
      <w:r w:rsidRPr="00511FD6">
        <w:rPr>
          <w:rFonts w:ascii="Gotham" w:hAnsi="Gotham" w:cs="Arial"/>
          <w:i/>
          <w:sz w:val="19"/>
          <w:szCs w:val="19"/>
          <w:lang w:eastAsia="es-MX"/>
        </w:rPr>
        <w:t xml:space="preserve">Se prohíben las emisiones de ruido en establecimientos mercantiles y de servicios que excedan los límites máximos permisibles establecidos </w:t>
      </w:r>
      <w:r w:rsidRPr="00511FD6">
        <w:rPr>
          <w:rFonts w:ascii="Gotham" w:hAnsi="Gotham" w:cs="Arial"/>
          <w:b/>
          <w:i/>
          <w:sz w:val="19"/>
          <w:szCs w:val="19"/>
          <w:lang w:eastAsia="es-MX"/>
        </w:rPr>
        <w:t>en el presente Código.</w:t>
      </w:r>
    </w:p>
    <w:p w14:paraId="3A473BC3" w14:textId="77777777" w:rsidR="00016FE1" w:rsidRPr="00511FD6" w:rsidRDefault="00016FE1" w:rsidP="002B6227">
      <w:pPr>
        <w:widowControl w:val="0"/>
        <w:suppressAutoHyphens/>
        <w:autoSpaceDN w:val="0"/>
        <w:ind w:left="284" w:right="283"/>
        <w:jc w:val="both"/>
        <w:textAlignment w:val="baseline"/>
        <w:rPr>
          <w:rFonts w:ascii="Gotham" w:hAnsi="Gotham" w:cs="Arial"/>
          <w:b/>
          <w:i/>
          <w:sz w:val="19"/>
          <w:szCs w:val="19"/>
          <w:lang w:eastAsia="es-MX"/>
        </w:rPr>
      </w:pPr>
    </w:p>
    <w:p w14:paraId="3A473BC4" w14:textId="77777777" w:rsidR="00016FE1" w:rsidRPr="00511FD6" w:rsidRDefault="00016FE1" w:rsidP="002B6227">
      <w:pPr>
        <w:ind w:left="284" w:right="283"/>
        <w:jc w:val="both"/>
        <w:rPr>
          <w:rFonts w:ascii="Gotham" w:hAnsi="Gotham" w:cs="Arial"/>
          <w:b/>
          <w:i/>
          <w:sz w:val="19"/>
          <w:szCs w:val="19"/>
          <w:lang w:eastAsia="en-US"/>
        </w:rPr>
      </w:pPr>
      <w:r w:rsidRPr="00511FD6">
        <w:rPr>
          <w:rFonts w:ascii="Gotham" w:hAnsi="Gotham" w:cs="Arial"/>
          <w:b/>
          <w:i/>
          <w:sz w:val="19"/>
          <w:szCs w:val="19"/>
        </w:rPr>
        <w:t>Artículo 42 bis.- Los ruidos se transmiten al ambiente interior o exterior; sus límites máximos se infieren en función de la entidad o agente receptor.</w:t>
      </w:r>
    </w:p>
    <w:p w14:paraId="3A473BC5" w14:textId="77777777" w:rsidR="00016FE1" w:rsidRPr="00511FD6" w:rsidRDefault="00016FE1" w:rsidP="002B6227">
      <w:pPr>
        <w:ind w:left="284" w:right="283"/>
        <w:jc w:val="both"/>
        <w:rPr>
          <w:rFonts w:ascii="Gotham" w:hAnsi="Gotham" w:cs="Arial"/>
          <w:b/>
          <w:i/>
          <w:sz w:val="19"/>
          <w:szCs w:val="19"/>
        </w:rPr>
      </w:pPr>
    </w:p>
    <w:p w14:paraId="3A473BC6" w14:textId="77777777" w:rsidR="00016FE1" w:rsidRPr="00511FD6" w:rsidRDefault="00016FE1" w:rsidP="002B6227">
      <w:pPr>
        <w:spacing w:after="120"/>
        <w:ind w:left="284" w:right="283"/>
        <w:jc w:val="both"/>
        <w:rPr>
          <w:rFonts w:ascii="Gotham" w:hAnsi="Gotham" w:cs="Arial"/>
          <w:b/>
          <w:i/>
          <w:sz w:val="19"/>
          <w:szCs w:val="19"/>
        </w:rPr>
      </w:pPr>
      <w:r w:rsidRPr="00511FD6">
        <w:rPr>
          <w:rFonts w:ascii="Gotham" w:hAnsi="Gotham" w:cs="Arial"/>
          <w:b/>
          <w:i/>
          <w:sz w:val="19"/>
          <w:szCs w:val="19"/>
        </w:rPr>
        <w:t>Para tales efectos, las zonas acústicas en el Municipio se clasifican de la siguiente manera:</w:t>
      </w:r>
    </w:p>
    <w:p w14:paraId="3A473BC7" w14:textId="77777777" w:rsidR="00016FE1" w:rsidRPr="00511FD6" w:rsidRDefault="00016FE1" w:rsidP="002B6227">
      <w:pPr>
        <w:spacing w:after="120"/>
        <w:ind w:left="284" w:right="283"/>
        <w:jc w:val="both"/>
        <w:rPr>
          <w:rFonts w:ascii="Gotham" w:hAnsi="Gotham" w:cs="Arial"/>
          <w:b/>
          <w:i/>
          <w:sz w:val="19"/>
          <w:szCs w:val="19"/>
        </w:rPr>
      </w:pPr>
      <w:r w:rsidRPr="00511FD6">
        <w:rPr>
          <w:rFonts w:ascii="Gotham" w:hAnsi="Gotham" w:cs="Arial"/>
          <w:b/>
          <w:i/>
          <w:sz w:val="19"/>
          <w:szCs w:val="19"/>
        </w:rPr>
        <w:t xml:space="preserve">Zona A). Aquellas zonas habitacionales, en el que no existen comercios, servicios y demás equipamiento. </w:t>
      </w:r>
    </w:p>
    <w:p w14:paraId="3A473BC8" w14:textId="77777777" w:rsidR="00016FE1" w:rsidRPr="00511FD6" w:rsidRDefault="00016FE1" w:rsidP="002B6227">
      <w:pPr>
        <w:spacing w:after="120"/>
        <w:ind w:left="284" w:right="283"/>
        <w:jc w:val="both"/>
        <w:rPr>
          <w:rFonts w:ascii="Gotham" w:hAnsi="Gotham" w:cs="Arial"/>
          <w:b/>
          <w:i/>
          <w:sz w:val="19"/>
          <w:szCs w:val="19"/>
        </w:rPr>
      </w:pPr>
      <w:r w:rsidRPr="00511FD6">
        <w:rPr>
          <w:rFonts w:ascii="Gotham" w:hAnsi="Gotham" w:cs="Arial"/>
          <w:b/>
          <w:i/>
          <w:sz w:val="19"/>
          <w:szCs w:val="19"/>
        </w:rPr>
        <w:t>Zona B). Las zonas preponderantemente habitacionales o usos de impacto mínimo, bajo y medio;</w:t>
      </w:r>
    </w:p>
    <w:p w14:paraId="3A473BC9" w14:textId="77777777" w:rsidR="00016FE1" w:rsidRPr="00511FD6" w:rsidRDefault="00016FE1" w:rsidP="002B6227">
      <w:pPr>
        <w:spacing w:after="120"/>
        <w:ind w:left="284" w:right="283"/>
        <w:jc w:val="both"/>
        <w:rPr>
          <w:rFonts w:ascii="Gotham" w:hAnsi="Gotham" w:cs="Arial"/>
          <w:b/>
          <w:i/>
          <w:sz w:val="19"/>
          <w:szCs w:val="19"/>
        </w:rPr>
      </w:pPr>
      <w:r w:rsidRPr="00511FD6">
        <w:rPr>
          <w:rFonts w:ascii="Gotham" w:hAnsi="Gotham" w:cs="Arial"/>
          <w:b/>
          <w:i/>
          <w:sz w:val="19"/>
          <w:szCs w:val="19"/>
        </w:rPr>
        <w:t>ZONA C). Las zonas mixtas, en el que predominan los comercios, prestación de servicios y demás usos de impacto alto y máximo;</w:t>
      </w:r>
    </w:p>
    <w:p w14:paraId="3A473BCA" w14:textId="77777777" w:rsidR="00016FE1" w:rsidRPr="00511FD6" w:rsidRDefault="00016FE1" w:rsidP="002B6227">
      <w:pPr>
        <w:ind w:left="284" w:right="283"/>
        <w:jc w:val="both"/>
        <w:rPr>
          <w:rFonts w:ascii="Gotham" w:hAnsi="Gotham" w:cs="Arial"/>
          <w:b/>
          <w:i/>
          <w:sz w:val="19"/>
          <w:szCs w:val="19"/>
        </w:rPr>
      </w:pPr>
      <w:r w:rsidRPr="00511FD6">
        <w:rPr>
          <w:rFonts w:ascii="Gotham" w:hAnsi="Gotham" w:cs="Arial"/>
          <w:b/>
          <w:i/>
          <w:sz w:val="19"/>
          <w:szCs w:val="19"/>
        </w:rPr>
        <w:t>ZONA D). Zonas de alto impacto en el que hay preponderancia de actividades industriales.</w:t>
      </w:r>
    </w:p>
    <w:p w14:paraId="3A473BCB" w14:textId="77777777" w:rsidR="00016FE1" w:rsidRPr="00511FD6" w:rsidRDefault="00016FE1" w:rsidP="002B6227">
      <w:pPr>
        <w:ind w:left="284" w:right="283"/>
        <w:jc w:val="both"/>
        <w:rPr>
          <w:rFonts w:ascii="Gotham" w:hAnsi="Gotham" w:cs="Arial"/>
          <w:b/>
          <w:i/>
          <w:sz w:val="19"/>
          <w:szCs w:val="19"/>
        </w:rPr>
      </w:pPr>
    </w:p>
    <w:p w14:paraId="3A473BCC" w14:textId="77777777" w:rsidR="00016FE1" w:rsidRPr="00511FD6" w:rsidRDefault="00016FE1" w:rsidP="002B6227">
      <w:pPr>
        <w:spacing w:after="120"/>
        <w:ind w:left="284" w:right="283"/>
        <w:jc w:val="both"/>
        <w:rPr>
          <w:rFonts w:ascii="Gotham" w:hAnsi="Gotham" w:cs="Arial"/>
          <w:b/>
          <w:i/>
          <w:sz w:val="19"/>
          <w:szCs w:val="19"/>
        </w:rPr>
      </w:pPr>
      <w:r w:rsidRPr="00511FD6">
        <w:rPr>
          <w:rFonts w:ascii="Gotham" w:hAnsi="Gotham" w:cs="Arial"/>
          <w:b/>
          <w:i/>
          <w:sz w:val="19"/>
          <w:szCs w:val="19"/>
        </w:rPr>
        <w:t>El nivel máximo de ruido hacia el ambiente exterior se sujetará a los siguientes decibeles:</w:t>
      </w:r>
    </w:p>
    <w:p w14:paraId="3A473BCD" w14:textId="77777777" w:rsidR="00016FE1" w:rsidRPr="00511FD6" w:rsidRDefault="00016FE1" w:rsidP="002B6227">
      <w:pPr>
        <w:spacing w:after="120"/>
        <w:ind w:left="284" w:right="283"/>
        <w:jc w:val="both"/>
        <w:rPr>
          <w:rFonts w:ascii="Gotham" w:hAnsi="Gotham" w:cs="Arial"/>
          <w:b/>
          <w:i/>
          <w:sz w:val="19"/>
          <w:szCs w:val="19"/>
        </w:rPr>
      </w:pPr>
      <w:r w:rsidRPr="00511FD6">
        <w:rPr>
          <w:rFonts w:ascii="Gotham" w:hAnsi="Gotham" w:cs="Arial"/>
          <w:b/>
          <w:i/>
          <w:sz w:val="19"/>
          <w:szCs w:val="19"/>
        </w:rPr>
        <w:t>Zona A) y B).- 55db en un horario de 6:00 a 22:00 horas; y de 50db en un horario de 22:01 a 5:59 horas;</w:t>
      </w:r>
    </w:p>
    <w:p w14:paraId="3A473BCE" w14:textId="77777777" w:rsidR="00016FE1" w:rsidRPr="00511FD6" w:rsidRDefault="00016FE1" w:rsidP="002B6227">
      <w:pPr>
        <w:ind w:left="284" w:right="283"/>
        <w:jc w:val="both"/>
        <w:rPr>
          <w:rFonts w:ascii="Gotham" w:hAnsi="Gotham" w:cs="Arial"/>
          <w:b/>
          <w:i/>
          <w:sz w:val="19"/>
          <w:szCs w:val="19"/>
          <w:lang w:eastAsia="es-MX"/>
        </w:rPr>
      </w:pPr>
      <w:r w:rsidRPr="00511FD6">
        <w:rPr>
          <w:rFonts w:ascii="Gotham" w:hAnsi="Gotham" w:cs="Arial"/>
          <w:b/>
          <w:i/>
          <w:sz w:val="19"/>
          <w:szCs w:val="19"/>
        </w:rPr>
        <w:t xml:space="preserve">Zona C) y D).- 68db en un horario de 6:00 a 22:00 horas; y de 65db en un horario de 22:01 a 5:59 horas. </w:t>
      </w:r>
    </w:p>
    <w:p w14:paraId="3A473BCF"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eastAsia="es-MX"/>
        </w:rPr>
      </w:pPr>
    </w:p>
    <w:p w14:paraId="3A473BD0" w14:textId="77777777" w:rsidR="00016FE1" w:rsidRPr="00511FD6" w:rsidRDefault="00016FE1" w:rsidP="002B6227">
      <w:pPr>
        <w:ind w:left="284" w:right="283"/>
        <w:jc w:val="both"/>
        <w:rPr>
          <w:rFonts w:ascii="Gotham" w:hAnsi="Gotham" w:cs="Arial"/>
          <w:b/>
          <w:i/>
          <w:sz w:val="19"/>
          <w:szCs w:val="19"/>
          <w:lang w:eastAsia="en-US"/>
        </w:rPr>
      </w:pPr>
      <w:r w:rsidRPr="00511FD6">
        <w:rPr>
          <w:rFonts w:ascii="Gotham" w:hAnsi="Gotham" w:cs="Arial"/>
          <w:b/>
          <w:i/>
          <w:sz w:val="19"/>
          <w:szCs w:val="19"/>
        </w:rPr>
        <w:t xml:space="preserve">Artículo 42 ter.- El ruido transmitido al ambiente interior se genera por actividades realizadas en predios, viviendas, edificios, fincas, locales o unidades privativas colindantes respecto al agente receptor, cuando son destinados para comercio, oficinas o se trate el inmueble se localice en zona habitacional mixta. </w:t>
      </w:r>
    </w:p>
    <w:p w14:paraId="3A473BD1" w14:textId="77777777" w:rsidR="00016FE1" w:rsidRPr="00511FD6" w:rsidRDefault="00016FE1" w:rsidP="002B6227">
      <w:pPr>
        <w:ind w:left="284" w:right="283"/>
        <w:jc w:val="both"/>
        <w:rPr>
          <w:rFonts w:ascii="Gotham" w:hAnsi="Gotham" w:cs="Arial"/>
          <w:b/>
          <w:i/>
          <w:sz w:val="19"/>
          <w:szCs w:val="19"/>
        </w:rPr>
      </w:pPr>
    </w:p>
    <w:p w14:paraId="3A473BD2" w14:textId="77777777" w:rsidR="00016FE1" w:rsidRPr="00511FD6" w:rsidRDefault="00016FE1" w:rsidP="002B6227">
      <w:pPr>
        <w:ind w:left="284" w:right="283"/>
        <w:jc w:val="both"/>
        <w:rPr>
          <w:rFonts w:ascii="Gotham" w:hAnsi="Gotham" w:cs="Arial"/>
          <w:b/>
          <w:i/>
          <w:sz w:val="19"/>
          <w:szCs w:val="19"/>
        </w:rPr>
      </w:pPr>
      <w:r w:rsidRPr="00511FD6">
        <w:rPr>
          <w:rFonts w:ascii="Gotham" w:hAnsi="Gotham" w:cs="Arial"/>
          <w:b/>
          <w:i/>
          <w:sz w:val="19"/>
          <w:szCs w:val="19"/>
        </w:rPr>
        <w:t>El nivel máximo de ruido hacia el ambiente interior se sujetará al siguiente límite de decibeles:</w:t>
      </w:r>
    </w:p>
    <w:p w14:paraId="3A473BD3" w14:textId="77777777" w:rsidR="00016FE1" w:rsidRPr="00511FD6" w:rsidRDefault="00016FE1" w:rsidP="002B6227">
      <w:pPr>
        <w:ind w:left="284" w:right="283"/>
        <w:jc w:val="both"/>
        <w:rPr>
          <w:rFonts w:ascii="Gotham" w:hAnsi="Gotham" w:cs="Arial"/>
          <w:b/>
          <w:i/>
          <w:sz w:val="19"/>
          <w:szCs w:val="19"/>
        </w:rPr>
      </w:pPr>
      <w:r w:rsidRPr="00511FD6">
        <w:rPr>
          <w:rFonts w:ascii="Gotham" w:hAnsi="Gotham" w:cs="Arial"/>
          <w:b/>
          <w:i/>
          <w:sz w:val="19"/>
          <w:szCs w:val="19"/>
        </w:rPr>
        <w:t>Si el agente receptor se ubica en Viviendas, el límite sonoro será de 40 decibeles en un horario de 6:00 a 22:00 horas, y de 30 decibeles en un horario de 22:01 a 5:59 horas.</w:t>
      </w:r>
    </w:p>
    <w:p w14:paraId="3A473BD4" w14:textId="77777777" w:rsidR="00016FE1" w:rsidRPr="00511FD6" w:rsidRDefault="00016FE1" w:rsidP="002B6227">
      <w:pPr>
        <w:ind w:left="284" w:right="283"/>
        <w:jc w:val="both"/>
        <w:rPr>
          <w:rFonts w:ascii="Gotham" w:hAnsi="Gotham" w:cs="Arial"/>
          <w:b/>
          <w:i/>
          <w:sz w:val="19"/>
          <w:szCs w:val="19"/>
        </w:rPr>
      </w:pPr>
    </w:p>
    <w:p w14:paraId="3A473BD5" w14:textId="77777777" w:rsidR="00016FE1" w:rsidRPr="00511FD6" w:rsidRDefault="00016FE1" w:rsidP="002B6227">
      <w:pPr>
        <w:ind w:left="284" w:right="283"/>
        <w:jc w:val="both"/>
        <w:rPr>
          <w:rFonts w:ascii="Gotham" w:hAnsi="Gotham" w:cs="Arial"/>
          <w:b/>
          <w:i/>
          <w:sz w:val="19"/>
          <w:szCs w:val="19"/>
        </w:rPr>
      </w:pPr>
      <w:r w:rsidRPr="00511FD6">
        <w:rPr>
          <w:rFonts w:ascii="Gotham" w:hAnsi="Gotham" w:cs="Arial"/>
          <w:b/>
          <w:i/>
          <w:sz w:val="19"/>
          <w:szCs w:val="19"/>
        </w:rPr>
        <w:t>Cuando el agente receptor se localice en Oficinas, el límite sonoro será de 45 decibeles en un horario de 6:00 a 22:00 horas y de 35 decibeles en un horario de 22:01 a 5:59 horas.</w:t>
      </w:r>
    </w:p>
    <w:p w14:paraId="3A473BD6" w14:textId="77777777" w:rsidR="00016FE1" w:rsidRPr="00511FD6" w:rsidRDefault="00016FE1" w:rsidP="002B6227">
      <w:pPr>
        <w:ind w:left="284" w:right="283"/>
        <w:jc w:val="both"/>
        <w:rPr>
          <w:rFonts w:ascii="Gotham" w:hAnsi="Gotham" w:cs="Arial"/>
          <w:b/>
          <w:i/>
          <w:sz w:val="19"/>
          <w:szCs w:val="19"/>
        </w:rPr>
      </w:pPr>
    </w:p>
    <w:p w14:paraId="3A473BD7" w14:textId="77777777" w:rsidR="00016FE1" w:rsidRPr="00511FD6" w:rsidRDefault="00016FE1" w:rsidP="002B6227">
      <w:pPr>
        <w:widowControl w:val="0"/>
        <w:suppressAutoHyphens/>
        <w:autoSpaceDN w:val="0"/>
        <w:ind w:left="284" w:right="283"/>
        <w:jc w:val="both"/>
        <w:textAlignment w:val="baseline"/>
        <w:rPr>
          <w:rFonts w:ascii="Gotham" w:hAnsi="Gotham" w:cs="Arial"/>
          <w:b/>
          <w:i/>
          <w:sz w:val="19"/>
          <w:szCs w:val="19"/>
        </w:rPr>
      </w:pPr>
      <w:r w:rsidRPr="00511FD6">
        <w:rPr>
          <w:rFonts w:ascii="Gotham" w:hAnsi="Gotham" w:cs="Arial"/>
          <w:b/>
          <w:i/>
          <w:sz w:val="19"/>
          <w:szCs w:val="19"/>
        </w:rPr>
        <w:t>Para el caso que el agente receptor se encuentre en establecimientos sensibles al ruido tales como planteles educativos, bibliotecas, centros o kioscos de lectura, centros de culto, capillas, hospitales, clínicas, asilos de ancianos, guarderías, estancias para enfermos, lugares de descanso u orfanatos y demás establecimientos señalados en los artículos 45 y 47 de este Código, el límite sonoro será de 35 decibeles en un horario de 6:00 a 22:00 horas y de 30 decibeles en un horario de 22:01 a 5:59 horas.</w:t>
      </w:r>
    </w:p>
    <w:p w14:paraId="3A473BD8"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p>
    <w:p w14:paraId="3A473BD9" w14:textId="77777777" w:rsidR="00016FE1" w:rsidRPr="00511FD6" w:rsidRDefault="00016FE1" w:rsidP="002B6227">
      <w:pPr>
        <w:ind w:left="284" w:right="283"/>
        <w:jc w:val="both"/>
        <w:rPr>
          <w:rFonts w:ascii="Gotham" w:hAnsi="Gotham" w:cs="Arial"/>
          <w:i/>
          <w:sz w:val="19"/>
          <w:szCs w:val="19"/>
        </w:rPr>
      </w:pPr>
      <w:r w:rsidRPr="00511FD6">
        <w:rPr>
          <w:rFonts w:ascii="Gotham" w:hAnsi="Gotham" w:cs="Arial"/>
          <w:b/>
          <w:i/>
          <w:sz w:val="19"/>
          <w:szCs w:val="19"/>
        </w:rPr>
        <w:t>Artículo 47.</w:t>
      </w:r>
      <w:r w:rsidRPr="00511FD6">
        <w:rPr>
          <w:rFonts w:ascii="Gotham" w:hAnsi="Gotham" w:cs="Arial"/>
          <w:i/>
          <w:sz w:val="19"/>
          <w:szCs w:val="19"/>
        </w:rPr>
        <w:t xml:space="preserve"> (…)</w:t>
      </w:r>
    </w:p>
    <w:p w14:paraId="3A473BDA" w14:textId="77777777" w:rsidR="00016FE1" w:rsidRPr="00511FD6" w:rsidRDefault="00016FE1" w:rsidP="002B6227">
      <w:pPr>
        <w:ind w:left="284" w:right="283"/>
        <w:jc w:val="both"/>
        <w:rPr>
          <w:rFonts w:ascii="Gotham" w:hAnsi="Gotham" w:cs="Arial"/>
          <w:i/>
          <w:sz w:val="19"/>
          <w:szCs w:val="19"/>
        </w:rPr>
      </w:pPr>
    </w:p>
    <w:p w14:paraId="3A473BDB" w14:textId="77777777" w:rsidR="00016FE1" w:rsidRPr="00511FD6" w:rsidRDefault="00016FE1" w:rsidP="002B6227">
      <w:pPr>
        <w:widowControl w:val="0"/>
        <w:suppressAutoHyphens/>
        <w:autoSpaceDN w:val="0"/>
        <w:ind w:left="284" w:right="283"/>
        <w:jc w:val="both"/>
        <w:textAlignment w:val="baseline"/>
        <w:rPr>
          <w:rFonts w:ascii="Gotham" w:hAnsi="Gotham" w:cs="Arial"/>
          <w:b/>
          <w:i/>
          <w:sz w:val="19"/>
          <w:szCs w:val="19"/>
        </w:rPr>
      </w:pPr>
      <w:r w:rsidRPr="00511FD6">
        <w:rPr>
          <w:rFonts w:ascii="Gotham" w:hAnsi="Gotham" w:cs="Arial"/>
          <w:b/>
          <w:i/>
          <w:sz w:val="19"/>
          <w:szCs w:val="19"/>
        </w:rPr>
        <w:t xml:space="preserve">Se exceptúa la prohibición establecida en este artículo y la aplicación de los límites máximos permitidos señalados en los artículos anteriores, las emisiones sonoras de vehículos de bomberos, protección civil, seguridad pública, ambulancias, las obras de infraestructura y públicas, las obras de construcción en inmuebles particulares dentro del horario permitido, las emitidas por alarmas contra incendios, sísmicas, contra robo en inmuebles siempre que esta última cuente con un sistema de apagado automático, con una duración máxima de 15 minutos, y de 10 minutos para el caso de </w:t>
      </w:r>
      <w:r w:rsidRPr="00511FD6">
        <w:rPr>
          <w:rFonts w:ascii="Gotham" w:hAnsi="Gotham" w:cs="Arial"/>
          <w:b/>
          <w:i/>
          <w:sz w:val="19"/>
          <w:szCs w:val="19"/>
        </w:rPr>
        <w:lastRenderedPageBreak/>
        <w:t>vehículos, las generadas por campanas de centros de culto, templos, capillas y planteles educativos.</w:t>
      </w:r>
    </w:p>
    <w:p w14:paraId="3A473BDC"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p>
    <w:p w14:paraId="3A473BDD"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eastAsia="es-MX"/>
        </w:rPr>
      </w:pPr>
      <w:r w:rsidRPr="00511FD6">
        <w:rPr>
          <w:rFonts w:ascii="Gotham" w:hAnsi="Gotham" w:cs="Arial"/>
          <w:b/>
          <w:bCs/>
          <w:i/>
          <w:iCs/>
          <w:sz w:val="19"/>
          <w:szCs w:val="19"/>
          <w:lang w:eastAsia="es-MX"/>
        </w:rPr>
        <w:t>Artículo 51.-</w:t>
      </w:r>
      <w:r w:rsidRPr="00511FD6">
        <w:rPr>
          <w:rFonts w:ascii="Gotham" w:hAnsi="Gotham" w:cs="Arial"/>
          <w:bCs/>
          <w:i/>
          <w:iCs/>
          <w:sz w:val="19"/>
          <w:szCs w:val="19"/>
          <w:lang w:eastAsia="es-MX"/>
        </w:rPr>
        <w:t xml:space="preserve"> </w:t>
      </w:r>
      <w:r w:rsidRPr="00511FD6">
        <w:rPr>
          <w:rFonts w:ascii="Gotham" w:hAnsi="Gotham" w:cs="Arial"/>
          <w:i/>
          <w:sz w:val="19"/>
          <w:szCs w:val="19"/>
          <w:lang w:eastAsia="es-MX"/>
        </w:rPr>
        <w:t xml:space="preserve">En los establecimientos mercantiles o de servicios se podrán usar silbatos, campanas, magnavoces, amplificadores de sonido, timbres y dispositivos para advertir el peligro en situaciones de emergencia, </w:t>
      </w:r>
      <w:r w:rsidRPr="00511FD6">
        <w:rPr>
          <w:rFonts w:ascii="Gotham" w:hAnsi="Gotham" w:cs="Arial"/>
          <w:b/>
          <w:i/>
          <w:sz w:val="19"/>
          <w:szCs w:val="19"/>
          <w:lang w:eastAsia="es-MX"/>
        </w:rPr>
        <w:t>siempre que cumplan con lo dispuesto en el segundo párrafo del artículo 47 de este Código</w:t>
      </w:r>
      <w:r w:rsidRPr="00511FD6">
        <w:rPr>
          <w:rFonts w:ascii="Gotham" w:hAnsi="Gotham" w:cs="Calibri"/>
          <w:b/>
          <w:i/>
          <w:sz w:val="19"/>
          <w:szCs w:val="19"/>
          <w:lang w:eastAsia="es-MX"/>
        </w:rPr>
        <w:t>.</w:t>
      </w:r>
    </w:p>
    <w:p w14:paraId="3A473BDE"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eastAsia="en-US"/>
        </w:rPr>
      </w:pPr>
    </w:p>
    <w:p w14:paraId="3A473BDF" w14:textId="77777777" w:rsidR="00016FE1" w:rsidRPr="00511FD6" w:rsidRDefault="00016FE1" w:rsidP="002B6227">
      <w:pPr>
        <w:autoSpaceDE w:val="0"/>
        <w:autoSpaceDN w:val="0"/>
        <w:adjustRightInd w:val="0"/>
        <w:ind w:left="284" w:right="283"/>
        <w:jc w:val="both"/>
        <w:rPr>
          <w:rFonts w:ascii="Gotham" w:hAnsi="Gotham" w:cs="Arial"/>
          <w:i/>
          <w:sz w:val="19"/>
          <w:szCs w:val="19"/>
          <w:lang w:val="es-MX" w:eastAsia="es-MX"/>
        </w:rPr>
      </w:pPr>
      <w:r w:rsidRPr="00511FD6">
        <w:rPr>
          <w:rFonts w:ascii="Gotham" w:hAnsi="Gotham" w:cs="Arial"/>
          <w:b/>
          <w:bCs/>
          <w:i/>
          <w:iCs/>
          <w:sz w:val="19"/>
          <w:szCs w:val="19"/>
          <w:lang w:eastAsia="es-MX"/>
        </w:rPr>
        <w:t>Artículo 273.-</w:t>
      </w:r>
      <w:r w:rsidRPr="00511FD6">
        <w:rPr>
          <w:rFonts w:ascii="Gotham" w:hAnsi="Gotham" w:cs="Arial"/>
          <w:bCs/>
          <w:i/>
          <w:iCs/>
          <w:sz w:val="19"/>
          <w:szCs w:val="19"/>
          <w:lang w:eastAsia="es-MX"/>
        </w:rPr>
        <w:t xml:space="preserve"> </w:t>
      </w:r>
      <w:r w:rsidRPr="00511FD6">
        <w:rPr>
          <w:rFonts w:ascii="Gotham" w:hAnsi="Gotham" w:cs="Arial"/>
          <w:i/>
          <w:sz w:val="19"/>
          <w:szCs w:val="19"/>
          <w:lang w:eastAsia="es-MX"/>
        </w:rPr>
        <w:t>[…]:</w:t>
      </w:r>
    </w:p>
    <w:p w14:paraId="3A473BE0" w14:textId="77777777" w:rsidR="00016FE1" w:rsidRPr="00511FD6" w:rsidRDefault="00016FE1" w:rsidP="002B6227">
      <w:pPr>
        <w:autoSpaceDE w:val="0"/>
        <w:autoSpaceDN w:val="0"/>
        <w:adjustRightInd w:val="0"/>
        <w:ind w:left="284" w:right="283"/>
        <w:jc w:val="both"/>
        <w:rPr>
          <w:rFonts w:ascii="Gotham" w:hAnsi="Gotham" w:cs="Arial"/>
          <w:i/>
          <w:sz w:val="19"/>
          <w:szCs w:val="19"/>
          <w:lang w:eastAsia="es-MX"/>
        </w:rPr>
      </w:pPr>
    </w:p>
    <w:p w14:paraId="3A473BE1" w14:textId="77777777" w:rsidR="00016FE1" w:rsidRPr="00511FD6" w:rsidRDefault="00016FE1" w:rsidP="002B6227">
      <w:pPr>
        <w:autoSpaceDE w:val="0"/>
        <w:autoSpaceDN w:val="0"/>
        <w:adjustRightInd w:val="0"/>
        <w:spacing w:after="120"/>
        <w:ind w:left="709" w:right="283" w:hanging="425"/>
        <w:jc w:val="both"/>
        <w:rPr>
          <w:rFonts w:ascii="Gotham" w:hAnsi="Gotham" w:cs="Arial"/>
          <w:i/>
          <w:sz w:val="19"/>
          <w:szCs w:val="19"/>
          <w:lang w:eastAsia="es-MX"/>
        </w:rPr>
      </w:pPr>
      <w:r w:rsidRPr="00511FD6">
        <w:rPr>
          <w:rFonts w:ascii="Gotham" w:hAnsi="Gotham" w:cs="Arial"/>
          <w:i/>
          <w:sz w:val="19"/>
          <w:szCs w:val="19"/>
          <w:lang w:eastAsia="es-MX"/>
        </w:rPr>
        <w:t xml:space="preserve">I. </w:t>
      </w:r>
      <w:r>
        <w:rPr>
          <w:rFonts w:ascii="Gotham" w:hAnsi="Gotham" w:cs="Arial"/>
          <w:i/>
          <w:sz w:val="19"/>
          <w:szCs w:val="19"/>
          <w:lang w:eastAsia="es-MX"/>
        </w:rPr>
        <w:tab/>
      </w:r>
      <w:r w:rsidRPr="00511FD6">
        <w:rPr>
          <w:rFonts w:ascii="Gotham" w:hAnsi="Gotham" w:cs="Arial"/>
          <w:i/>
          <w:sz w:val="19"/>
          <w:szCs w:val="19"/>
          <w:lang w:eastAsia="es-MX"/>
        </w:rPr>
        <w:t>Con Carácter de Ordenadoras:</w:t>
      </w:r>
    </w:p>
    <w:p w14:paraId="3A473BE2" w14:textId="77777777" w:rsidR="00016FE1" w:rsidRPr="00511FD6" w:rsidRDefault="00016FE1" w:rsidP="008A612D">
      <w:pPr>
        <w:autoSpaceDE w:val="0"/>
        <w:autoSpaceDN w:val="0"/>
        <w:adjustRightInd w:val="0"/>
        <w:spacing w:after="80"/>
        <w:ind w:left="1134" w:right="283" w:hanging="425"/>
        <w:jc w:val="both"/>
        <w:rPr>
          <w:rFonts w:ascii="Gotham" w:hAnsi="Gotham" w:cs="Arial"/>
          <w:b/>
          <w:i/>
          <w:sz w:val="19"/>
          <w:szCs w:val="19"/>
          <w:lang w:eastAsia="es-MX"/>
        </w:rPr>
      </w:pPr>
      <w:r w:rsidRPr="00511FD6">
        <w:rPr>
          <w:rFonts w:ascii="Gotham" w:hAnsi="Gotham" w:cs="Arial"/>
          <w:b/>
          <w:i/>
          <w:sz w:val="19"/>
          <w:szCs w:val="19"/>
          <w:lang w:eastAsia="es-MX"/>
        </w:rPr>
        <w:t xml:space="preserve">A. </w:t>
      </w:r>
      <w:r>
        <w:rPr>
          <w:rFonts w:ascii="Gotham" w:hAnsi="Gotham" w:cs="Arial"/>
          <w:b/>
          <w:i/>
          <w:sz w:val="19"/>
          <w:szCs w:val="19"/>
          <w:lang w:eastAsia="es-MX"/>
        </w:rPr>
        <w:tab/>
      </w:r>
      <w:r w:rsidRPr="00511FD6">
        <w:rPr>
          <w:rFonts w:ascii="Gotham" w:hAnsi="Gotham" w:cs="Arial"/>
          <w:b/>
          <w:i/>
          <w:sz w:val="19"/>
          <w:szCs w:val="19"/>
          <w:lang w:eastAsia="es-MX"/>
        </w:rPr>
        <w:t xml:space="preserve">El Ayuntamiento; </w:t>
      </w:r>
    </w:p>
    <w:p w14:paraId="3A473BE3" w14:textId="77777777" w:rsidR="00016FE1" w:rsidRPr="00511FD6" w:rsidRDefault="00016FE1" w:rsidP="008A612D">
      <w:pPr>
        <w:autoSpaceDE w:val="0"/>
        <w:autoSpaceDN w:val="0"/>
        <w:adjustRightInd w:val="0"/>
        <w:spacing w:after="80"/>
        <w:ind w:left="1134" w:right="283" w:hanging="425"/>
        <w:jc w:val="both"/>
        <w:rPr>
          <w:rFonts w:ascii="Gotham" w:hAnsi="Gotham" w:cs="Arial"/>
          <w:i/>
          <w:sz w:val="19"/>
          <w:szCs w:val="19"/>
          <w:lang w:eastAsia="es-MX"/>
        </w:rPr>
      </w:pPr>
      <w:r w:rsidRPr="00511FD6">
        <w:rPr>
          <w:rFonts w:ascii="Gotham" w:hAnsi="Gotham" w:cs="Arial"/>
          <w:i/>
          <w:sz w:val="19"/>
          <w:szCs w:val="19"/>
          <w:lang w:eastAsia="es-MX"/>
        </w:rPr>
        <w:t xml:space="preserve">B. </w:t>
      </w:r>
      <w:r>
        <w:rPr>
          <w:rFonts w:ascii="Gotham" w:hAnsi="Gotham" w:cs="Arial"/>
          <w:i/>
          <w:sz w:val="19"/>
          <w:szCs w:val="19"/>
          <w:lang w:eastAsia="es-MX"/>
        </w:rPr>
        <w:tab/>
      </w:r>
      <w:r w:rsidRPr="00511FD6">
        <w:rPr>
          <w:rFonts w:ascii="Gotham" w:hAnsi="Gotham" w:cs="Arial"/>
          <w:i/>
          <w:sz w:val="19"/>
          <w:szCs w:val="19"/>
          <w:lang w:eastAsia="es-MX"/>
        </w:rPr>
        <w:t xml:space="preserve">El Presidente Municipal; </w:t>
      </w:r>
    </w:p>
    <w:p w14:paraId="3A473BE4" w14:textId="77777777" w:rsidR="00016FE1" w:rsidRPr="00511FD6" w:rsidRDefault="00016FE1" w:rsidP="008A612D">
      <w:pPr>
        <w:autoSpaceDE w:val="0"/>
        <w:autoSpaceDN w:val="0"/>
        <w:adjustRightInd w:val="0"/>
        <w:spacing w:after="80"/>
        <w:ind w:left="1134" w:right="283" w:hanging="425"/>
        <w:jc w:val="both"/>
        <w:rPr>
          <w:rFonts w:ascii="Gotham" w:hAnsi="Gotham" w:cs="Arial"/>
          <w:i/>
          <w:sz w:val="19"/>
          <w:szCs w:val="19"/>
          <w:lang w:eastAsia="es-MX"/>
        </w:rPr>
      </w:pPr>
      <w:r w:rsidRPr="00511FD6">
        <w:rPr>
          <w:rFonts w:ascii="Gotham" w:hAnsi="Gotham" w:cs="Arial"/>
          <w:i/>
          <w:sz w:val="19"/>
          <w:szCs w:val="19"/>
          <w:lang w:eastAsia="es-MX"/>
        </w:rPr>
        <w:t xml:space="preserve">C. </w:t>
      </w:r>
      <w:r>
        <w:rPr>
          <w:rFonts w:ascii="Gotham" w:hAnsi="Gotham" w:cs="Arial"/>
          <w:i/>
          <w:sz w:val="19"/>
          <w:szCs w:val="19"/>
          <w:lang w:eastAsia="es-MX"/>
        </w:rPr>
        <w:tab/>
      </w:r>
      <w:r w:rsidRPr="00511FD6">
        <w:rPr>
          <w:rFonts w:ascii="Gotham" w:hAnsi="Gotham" w:cs="Arial"/>
          <w:i/>
          <w:sz w:val="19"/>
          <w:szCs w:val="19"/>
          <w:lang w:eastAsia="es-MX"/>
        </w:rPr>
        <w:t xml:space="preserve">El Secretario General del Ayuntamiento; </w:t>
      </w:r>
    </w:p>
    <w:p w14:paraId="3A473BE5" w14:textId="77777777" w:rsidR="00016FE1" w:rsidRPr="00511FD6" w:rsidRDefault="00016FE1" w:rsidP="008A612D">
      <w:pPr>
        <w:autoSpaceDE w:val="0"/>
        <w:autoSpaceDN w:val="0"/>
        <w:adjustRightInd w:val="0"/>
        <w:spacing w:after="80"/>
        <w:ind w:left="1134" w:right="283" w:hanging="425"/>
        <w:jc w:val="both"/>
        <w:rPr>
          <w:rFonts w:ascii="Gotham" w:hAnsi="Gotham" w:cs="Arial"/>
          <w:b/>
          <w:i/>
          <w:sz w:val="19"/>
          <w:szCs w:val="19"/>
          <w:lang w:eastAsia="es-MX"/>
        </w:rPr>
      </w:pPr>
      <w:r w:rsidRPr="00511FD6">
        <w:rPr>
          <w:rFonts w:ascii="Gotham" w:hAnsi="Gotham" w:cs="Arial"/>
          <w:b/>
          <w:i/>
          <w:sz w:val="19"/>
          <w:szCs w:val="19"/>
          <w:lang w:eastAsia="es-MX"/>
        </w:rPr>
        <w:t xml:space="preserve">D. </w:t>
      </w:r>
      <w:r>
        <w:rPr>
          <w:rFonts w:ascii="Gotham" w:hAnsi="Gotham" w:cs="Arial"/>
          <w:b/>
          <w:i/>
          <w:sz w:val="19"/>
          <w:szCs w:val="19"/>
          <w:lang w:eastAsia="es-MX"/>
        </w:rPr>
        <w:tab/>
      </w:r>
      <w:r w:rsidRPr="00511FD6">
        <w:rPr>
          <w:rFonts w:ascii="Gotham" w:hAnsi="Gotham" w:cs="Arial"/>
          <w:b/>
          <w:i/>
          <w:sz w:val="19"/>
          <w:szCs w:val="19"/>
          <w:lang w:eastAsia="es-MX"/>
        </w:rPr>
        <w:t xml:space="preserve">El Director Ecología y Cambio Climático; </w:t>
      </w:r>
    </w:p>
    <w:p w14:paraId="3A473BE6" w14:textId="77777777" w:rsidR="00016FE1" w:rsidRPr="00511FD6" w:rsidRDefault="00016FE1" w:rsidP="008A612D">
      <w:pPr>
        <w:autoSpaceDE w:val="0"/>
        <w:autoSpaceDN w:val="0"/>
        <w:adjustRightInd w:val="0"/>
        <w:spacing w:after="80"/>
        <w:ind w:left="1134" w:right="283" w:hanging="425"/>
        <w:jc w:val="both"/>
        <w:rPr>
          <w:rFonts w:ascii="Gotham" w:hAnsi="Gotham" w:cs="Arial"/>
          <w:b/>
          <w:i/>
          <w:sz w:val="19"/>
          <w:szCs w:val="19"/>
          <w:lang w:eastAsia="es-MX"/>
        </w:rPr>
      </w:pPr>
      <w:r w:rsidRPr="00511FD6">
        <w:rPr>
          <w:rFonts w:ascii="Gotham" w:hAnsi="Gotham" w:cs="Arial"/>
          <w:b/>
          <w:i/>
          <w:sz w:val="19"/>
          <w:szCs w:val="19"/>
          <w:lang w:eastAsia="es-MX"/>
        </w:rPr>
        <w:t xml:space="preserve">E. </w:t>
      </w:r>
      <w:r>
        <w:rPr>
          <w:rFonts w:ascii="Gotham" w:hAnsi="Gotham" w:cs="Arial"/>
          <w:b/>
          <w:i/>
          <w:sz w:val="19"/>
          <w:szCs w:val="19"/>
          <w:lang w:eastAsia="es-MX"/>
        </w:rPr>
        <w:tab/>
      </w:r>
      <w:r w:rsidRPr="00511FD6">
        <w:rPr>
          <w:rFonts w:ascii="Gotham" w:hAnsi="Gotham" w:cs="Arial"/>
          <w:b/>
          <w:i/>
          <w:sz w:val="19"/>
          <w:szCs w:val="19"/>
          <w:lang w:eastAsia="es-MX"/>
        </w:rPr>
        <w:t xml:space="preserve">El Director de Inspección y Vigilancia. </w:t>
      </w:r>
    </w:p>
    <w:p w14:paraId="3A473BE7" w14:textId="77777777" w:rsidR="00016FE1" w:rsidRPr="00511FD6" w:rsidRDefault="00016FE1" w:rsidP="002B6227">
      <w:pPr>
        <w:autoSpaceDE w:val="0"/>
        <w:autoSpaceDN w:val="0"/>
        <w:adjustRightInd w:val="0"/>
        <w:ind w:left="1134" w:right="283" w:hanging="425"/>
        <w:jc w:val="both"/>
        <w:rPr>
          <w:rFonts w:ascii="Gotham" w:hAnsi="Gotham" w:cs="Arial"/>
          <w:b/>
          <w:i/>
          <w:sz w:val="19"/>
          <w:szCs w:val="19"/>
          <w:lang w:eastAsia="es-MX"/>
        </w:rPr>
      </w:pPr>
      <w:r w:rsidRPr="00511FD6">
        <w:rPr>
          <w:rFonts w:ascii="Gotham" w:hAnsi="Gotham" w:cs="Arial"/>
          <w:b/>
          <w:i/>
          <w:sz w:val="19"/>
          <w:szCs w:val="19"/>
          <w:lang w:eastAsia="es-MX"/>
        </w:rPr>
        <w:t xml:space="preserve">F. </w:t>
      </w:r>
      <w:r>
        <w:rPr>
          <w:rFonts w:ascii="Gotham" w:hAnsi="Gotham" w:cs="Arial"/>
          <w:b/>
          <w:i/>
          <w:sz w:val="19"/>
          <w:szCs w:val="19"/>
          <w:lang w:eastAsia="es-MX"/>
        </w:rPr>
        <w:tab/>
      </w:r>
      <w:r w:rsidRPr="00511FD6">
        <w:rPr>
          <w:rFonts w:ascii="Gotham" w:hAnsi="Gotham" w:cs="Arial"/>
          <w:b/>
          <w:i/>
          <w:sz w:val="19"/>
          <w:szCs w:val="19"/>
          <w:lang w:eastAsia="es-MX"/>
        </w:rPr>
        <w:t xml:space="preserve">Las autoridades que establezcan los reglamentos y leyes de aplicación municipal. </w:t>
      </w:r>
    </w:p>
    <w:p w14:paraId="3A473BE8" w14:textId="77777777" w:rsidR="00016FE1" w:rsidRPr="00511FD6" w:rsidRDefault="00016FE1" w:rsidP="002B6227">
      <w:pPr>
        <w:autoSpaceDE w:val="0"/>
        <w:autoSpaceDN w:val="0"/>
        <w:adjustRightInd w:val="0"/>
        <w:ind w:left="284" w:right="283"/>
        <w:jc w:val="both"/>
        <w:rPr>
          <w:rFonts w:ascii="Gotham" w:hAnsi="Gotham" w:cs="Arial"/>
          <w:i/>
          <w:sz w:val="19"/>
          <w:szCs w:val="19"/>
          <w:lang w:eastAsia="es-MX"/>
        </w:rPr>
      </w:pPr>
    </w:p>
    <w:p w14:paraId="3A473BE9" w14:textId="77777777" w:rsidR="00016FE1" w:rsidRPr="00511FD6" w:rsidRDefault="00016FE1" w:rsidP="002B6227">
      <w:pPr>
        <w:autoSpaceDE w:val="0"/>
        <w:autoSpaceDN w:val="0"/>
        <w:adjustRightInd w:val="0"/>
        <w:spacing w:after="120"/>
        <w:ind w:left="709" w:right="283" w:hanging="425"/>
        <w:jc w:val="both"/>
        <w:rPr>
          <w:rFonts w:ascii="Gotham" w:hAnsi="Gotham" w:cs="Arial"/>
          <w:b/>
          <w:i/>
          <w:sz w:val="19"/>
          <w:szCs w:val="19"/>
          <w:lang w:eastAsia="es-MX"/>
        </w:rPr>
      </w:pPr>
      <w:r w:rsidRPr="00511FD6">
        <w:rPr>
          <w:rFonts w:ascii="Gotham" w:hAnsi="Gotham" w:cs="Arial"/>
          <w:b/>
          <w:i/>
          <w:sz w:val="19"/>
          <w:szCs w:val="19"/>
          <w:lang w:eastAsia="es-MX"/>
        </w:rPr>
        <w:t xml:space="preserve">II. </w:t>
      </w:r>
      <w:r>
        <w:rPr>
          <w:rFonts w:ascii="Gotham" w:hAnsi="Gotham" w:cs="Arial"/>
          <w:b/>
          <w:i/>
          <w:sz w:val="19"/>
          <w:szCs w:val="19"/>
          <w:lang w:eastAsia="es-MX"/>
        </w:rPr>
        <w:tab/>
      </w:r>
      <w:r w:rsidRPr="00511FD6">
        <w:rPr>
          <w:rFonts w:ascii="Gotham" w:hAnsi="Gotham" w:cs="Arial"/>
          <w:b/>
          <w:i/>
          <w:sz w:val="19"/>
          <w:szCs w:val="19"/>
          <w:lang w:eastAsia="es-MX"/>
        </w:rPr>
        <w:t>Las autoridades encargadas de ejecutar visitas de inspección en esta materia serán:</w:t>
      </w:r>
    </w:p>
    <w:p w14:paraId="3A473BEA" w14:textId="77777777" w:rsidR="00016FE1" w:rsidRPr="00511FD6" w:rsidRDefault="00016FE1" w:rsidP="008A612D">
      <w:pPr>
        <w:autoSpaceDE w:val="0"/>
        <w:autoSpaceDN w:val="0"/>
        <w:adjustRightInd w:val="0"/>
        <w:spacing w:after="80"/>
        <w:ind w:left="1134" w:right="283" w:hanging="425"/>
        <w:jc w:val="both"/>
        <w:rPr>
          <w:rFonts w:ascii="Gotham" w:hAnsi="Gotham" w:cs="Arial"/>
          <w:b/>
          <w:i/>
          <w:sz w:val="19"/>
          <w:szCs w:val="19"/>
          <w:lang w:eastAsia="es-MX"/>
        </w:rPr>
      </w:pPr>
      <w:r w:rsidRPr="00511FD6">
        <w:rPr>
          <w:rFonts w:ascii="Gotham" w:hAnsi="Gotham" w:cs="Arial"/>
          <w:b/>
          <w:i/>
          <w:sz w:val="19"/>
          <w:szCs w:val="19"/>
          <w:lang w:eastAsia="es-MX"/>
        </w:rPr>
        <w:t xml:space="preserve">A. </w:t>
      </w:r>
      <w:r>
        <w:rPr>
          <w:rFonts w:ascii="Gotham" w:hAnsi="Gotham" w:cs="Arial"/>
          <w:b/>
          <w:i/>
          <w:sz w:val="19"/>
          <w:szCs w:val="19"/>
          <w:lang w:eastAsia="es-MX"/>
        </w:rPr>
        <w:tab/>
      </w:r>
      <w:r w:rsidRPr="00511FD6">
        <w:rPr>
          <w:rFonts w:ascii="Gotham" w:hAnsi="Gotham" w:cs="Arial"/>
          <w:b/>
          <w:i/>
          <w:sz w:val="19"/>
          <w:szCs w:val="19"/>
          <w:lang w:eastAsia="es-MX"/>
        </w:rPr>
        <w:t xml:space="preserve">Los inspectores adscritos a Dirección de Inspección y Vigilancia Municipal; y </w:t>
      </w:r>
    </w:p>
    <w:p w14:paraId="3A473BEB" w14:textId="77777777" w:rsidR="00016FE1" w:rsidRPr="00511FD6" w:rsidRDefault="00016FE1" w:rsidP="002B6227">
      <w:pPr>
        <w:autoSpaceDE w:val="0"/>
        <w:autoSpaceDN w:val="0"/>
        <w:adjustRightInd w:val="0"/>
        <w:ind w:left="1134" w:right="283" w:hanging="425"/>
        <w:jc w:val="both"/>
        <w:rPr>
          <w:rFonts w:ascii="Gotham" w:hAnsi="Gotham" w:cs="Arial"/>
          <w:b/>
          <w:i/>
          <w:sz w:val="19"/>
          <w:szCs w:val="19"/>
          <w:lang w:eastAsia="es-MX"/>
        </w:rPr>
      </w:pPr>
      <w:r w:rsidRPr="00511FD6">
        <w:rPr>
          <w:rFonts w:ascii="Gotham" w:hAnsi="Gotham" w:cs="Arial"/>
          <w:b/>
          <w:i/>
          <w:sz w:val="19"/>
          <w:szCs w:val="19"/>
          <w:lang w:eastAsia="es-MX"/>
        </w:rPr>
        <w:t xml:space="preserve">B. </w:t>
      </w:r>
      <w:r>
        <w:rPr>
          <w:rFonts w:ascii="Gotham" w:hAnsi="Gotham" w:cs="Arial"/>
          <w:b/>
          <w:i/>
          <w:sz w:val="19"/>
          <w:szCs w:val="19"/>
          <w:lang w:eastAsia="es-MX"/>
        </w:rPr>
        <w:tab/>
      </w:r>
      <w:r w:rsidRPr="00511FD6">
        <w:rPr>
          <w:rFonts w:ascii="Gotham" w:hAnsi="Gotham" w:cs="Arial"/>
          <w:b/>
          <w:i/>
          <w:sz w:val="19"/>
          <w:szCs w:val="19"/>
          <w:lang w:eastAsia="es-MX"/>
        </w:rPr>
        <w:t xml:space="preserve">Los elementos de seguridad pública Municipal, quienes podrán actuar en auxilio del área de inspección y Vigilancia. </w:t>
      </w:r>
    </w:p>
    <w:p w14:paraId="3A473BEC"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eastAsia="en-US"/>
        </w:rPr>
      </w:pPr>
    </w:p>
    <w:p w14:paraId="3A473BED" w14:textId="77777777" w:rsidR="00016FE1" w:rsidRPr="00511FD6" w:rsidRDefault="00016FE1" w:rsidP="002B6227">
      <w:pPr>
        <w:ind w:left="284" w:right="283"/>
        <w:jc w:val="both"/>
        <w:rPr>
          <w:rFonts w:ascii="Gotham" w:hAnsi="Gotham" w:cs="Arial"/>
          <w:b/>
          <w:i/>
          <w:sz w:val="19"/>
          <w:szCs w:val="19"/>
          <w:lang w:val="es-MX" w:eastAsia="es-MX"/>
        </w:rPr>
      </w:pPr>
      <w:r w:rsidRPr="00511FD6">
        <w:rPr>
          <w:rFonts w:ascii="Gotham" w:hAnsi="Gotham" w:cs="Arial"/>
          <w:b/>
          <w:bCs/>
          <w:i/>
          <w:iCs/>
          <w:sz w:val="19"/>
          <w:szCs w:val="19"/>
          <w:lang w:eastAsia="es-MX"/>
        </w:rPr>
        <w:t>Artículo 276</w:t>
      </w:r>
      <w:r w:rsidRPr="00511FD6">
        <w:rPr>
          <w:rFonts w:ascii="Gotham" w:hAnsi="Gotham" w:cs="Arial"/>
          <w:bCs/>
          <w:i/>
          <w:iCs/>
          <w:sz w:val="19"/>
          <w:szCs w:val="19"/>
          <w:lang w:eastAsia="es-MX"/>
        </w:rPr>
        <w:t xml:space="preserve">.- </w:t>
      </w:r>
      <w:r w:rsidRPr="00511FD6">
        <w:rPr>
          <w:rFonts w:ascii="Gotham" w:hAnsi="Gotham" w:cs="Arial"/>
          <w:b/>
          <w:i/>
          <w:sz w:val="19"/>
          <w:szCs w:val="19"/>
          <w:lang w:eastAsia="es-MX"/>
        </w:rPr>
        <w:t xml:space="preserve">Transcurrido el plazo a que se refiere la fracción VII del artículo anterior, el Juez Cívico Municipal procederá a instaurar el procedimiento de imposición de la sanción que corresponda, precisados en este Código y conforme a los hechos consignados en el acta de inspección en los términos y formalidades que establece el Reglamento en materia de Justicia Cívica Municipal. </w:t>
      </w:r>
    </w:p>
    <w:p w14:paraId="3A473BEE" w14:textId="77777777" w:rsidR="00016FE1" w:rsidRPr="00511FD6" w:rsidRDefault="00016FE1" w:rsidP="002B6227">
      <w:pPr>
        <w:ind w:left="284" w:right="283"/>
        <w:jc w:val="both"/>
        <w:rPr>
          <w:rFonts w:ascii="Gotham" w:hAnsi="Gotham" w:cs="Arial"/>
          <w:i/>
          <w:sz w:val="19"/>
          <w:szCs w:val="19"/>
          <w:lang w:eastAsia="es-MX"/>
        </w:rPr>
      </w:pPr>
    </w:p>
    <w:p w14:paraId="3A473BEF"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eastAsia="es-MX"/>
        </w:rPr>
      </w:pPr>
      <w:r w:rsidRPr="00511FD6">
        <w:rPr>
          <w:rFonts w:ascii="Gotham" w:hAnsi="Gotham" w:cs="Arial"/>
          <w:b/>
          <w:bCs/>
          <w:i/>
          <w:iCs/>
          <w:sz w:val="19"/>
          <w:szCs w:val="19"/>
          <w:lang w:eastAsia="es-MX"/>
        </w:rPr>
        <w:t>Artículo 283</w:t>
      </w:r>
      <w:r w:rsidRPr="00511FD6">
        <w:rPr>
          <w:rFonts w:ascii="Gotham" w:hAnsi="Gotham" w:cs="Arial"/>
          <w:bCs/>
          <w:i/>
          <w:iCs/>
          <w:sz w:val="19"/>
          <w:szCs w:val="19"/>
          <w:lang w:eastAsia="es-MX"/>
        </w:rPr>
        <w:t xml:space="preserve">.- </w:t>
      </w:r>
      <w:r w:rsidRPr="00511FD6">
        <w:rPr>
          <w:rFonts w:ascii="Gotham" w:hAnsi="Gotham" w:cs="Arial"/>
          <w:i/>
          <w:sz w:val="19"/>
          <w:szCs w:val="19"/>
          <w:lang w:eastAsia="es-MX"/>
        </w:rPr>
        <w:t xml:space="preserve">Las violaciones al presente ordenamiento serán sancionadas </w:t>
      </w:r>
      <w:r w:rsidRPr="00511FD6">
        <w:rPr>
          <w:rFonts w:ascii="Gotham" w:hAnsi="Gotham" w:cs="Arial"/>
          <w:b/>
          <w:i/>
          <w:sz w:val="19"/>
          <w:szCs w:val="19"/>
          <w:lang w:eastAsia="es-MX"/>
        </w:rPr>
        <w:t xml:space="preserve">por los Juzgados Cívicos Municipales, </w:t>
      </w:r>
      <w:r w:rsidRPr="00511FD6">
        <w:rPr>
          <w:rFonts w:ascii="Gotham" w:hAnsi="Gotham" w:cs="Arial"/>
          <w:i/>
          <w:sz w:val="19"/>
          <w:szCs w:val="19"/>
          <w:lang w:eastAsia="es-MX"/>
        </w:rPr>
        <w:t xml:space="preserve">de conformidad con el procedimiento previsto en </w:t>
      </w:r>
      <w:r w:rsidRPr="00511FD6">
        <w:rPr>
          <w:rFonts w:ascii="Gotham" w:hAnsi="Gotham" w:cs="Arial"/>
          <w:b/>
          <w:i/>
          <w:sz w:val="19"/>
          <w:szCs w:val="19"/>
          <w:lang w:eastAsia="es-MX"/>
        </w:rPr>
        <w:t xml:space="preserve">el </w:t>
      </w:r>
      <w:r w:rsidRPr="00511FD6">
        <w:rPr>
          <w:rFonts w:ascii="Gotham" w:hAnsi="Gotham" w:cs="Arial"/>
          <w:b/>
          <w:i/>
          <w:sz w:val="19"/>
          <w:szCs w:val="19"/>
        </w:rPr>
        <w:t>Reglamento de Justicia Cívica y Cultura de la Legalidad</w:t>
      </w:r>
      <w:r w:rsidRPr="00511FD6">
        <w:rPr>
          <w:rFonts w:ascii="Gotham" w:hAnsi="Gotham" w:cs="Arial"/>
          <w:b/>
          <w:i/>
          <w:sz w:val="19"/>
          <w:szCs w:val="19"/>
          <w:lang w:eastAsia="es-MX"/>
        </w:rPr>
        <w:t xml:space="preserve"> del Municipio de Tonalá, Jalisco</w:t>
      </w:r>
      <w:r w:rsidRPr="00511FD6">
        <w:rPr>
          <w:rFonts w:ascii="Gotham" w:hAnsi="Gotham" w:cs="Arial"/>
          <w:i/>
          <w:sz w:val="19"/>
          <w:szCs w:val="19"/>
          <w:lang w:eastAsia="es-MX"/>
        </w:rPr>
        <w:t>.</w:t>
      </w:r>
    </w:p>
    <w:p w14:paraId="3A473BF0" w14:textId="77777777" w:rsidR="00016FE1" w:rsidRPr="00511FD6" w:rsidRDefault="00016FE1" w:rsidP="002B6227">
      <w:pPr>
        <w:autoSpaceDE w:val="0"/>
        <w:autoSpaceDN w:val="0"/>
        <w:adjustRightInd w:val="0"/>
        <w:ind w:left="284" w:right="283"/>
        <w:jc w:val="both"/>
        <w:rPr>
          <w:rFonts w:ascii="Gotham" w:hAnsi="Gotham" w:cs="Calibri"/>
          <w:b/>
          <w:bCs/>
          <w:i/>
          <w:iCs/>
          <w:sz w:val="19"/>
          <w:szCs w:val="19"/>
          <w:lang w:eastAsia="es-MX"/>
        </w:rPr>
      </w:pPr>
    </w:p>
    <w:p w14:paraId="3A473BF1" w14:textId="77777777" w:rsidR="00016FE1" w:rsidRPr="00511FD6" w:rsidRDefault="00016FE1" w:rsidP="002B6227">
      <w:pPr>
        <w:autoSpaceDE w:val="0"/>
        <w:autoSpaceDN w:val="0"/>
        <w:adjustRightInd w:val="0"/>
        <w:ind w:left="284" w:right="283"/>
        <w:jc w:val="both"/>
        <w:rPr>
          <w:rFonts w:ascii="Gotham" w:hAnsi="Gotham" w:cs="Arial"/>
          <w:i/>
          <w:sz w:val="19"/>
          <w:szCs w:val="19"/>
          <w:lang w:eastAsia="es-MX"/>
        </w:rPr>
      </w:pPr>
      <w:r w:rsidRPr="00511FD6">
        <w:rPr>
          <w:rFonts w:ascii="Gotham" w:hAnsi="Gotham" w:cs="Arial"/>
          <w:b/>
          <w:bCs/>
          <w:i/>
          <w:iCs/>
          <w:sz w:val="19"/>
          <w:szCs w:val="19"/>
          <w:lang w:eastAsia="es-MX"/>
        </w:rPr>
        <w:t>Artículo 284.-</w:t>
      </w:r>
      <w:r w:rsidRPr="00511FD6">
        <w:rPr>
          <w:rFonts w:ascii="Gotham" w:hAnsi="Gotham" w:cs="Arial"/>
          <w:i/>
          <w:sz w:val="19"/>
          <w:szCs w:val="19"/>
          <w:lang w:eastAsia="es-MX"/>
        </w:rPr>
        <w:t xml:space="preserve"> (…): </w:t>
      </w:r>
    </w:p>
    <w:p w14:paraId="3A473BF2" w14:textId="77777777" w:rsidR="00016FE1" w:rsidRPr="00511FD6" w:rsidRDefault="00016FE1" w:rsidP="002B6227">
      <w:pPr>
        <w:autoSpaceDE w:val="0"/>
        <w:autoSpaceDN w:val="0"/>
        <w:adjustRightInd w:val="0"/>
        <w:ind w:left="284" w:right="283"/>
        <w:jc w:val="both"/>
        <w:rPr>
          <w:rFonts w:ascii="Gotham" w:hAnsi="Gotham" w:cs="Arial"/>
          <w:i/>
          <w:sz w:val="19"/>
          <w:szCs w:val="19"/>
          <w:lang w:eastAsia="es-MX"/>
        </w:rPr>
      </w:pPr>
    </w:p>
    <w:p w14:paraId="3A473BF3" w14:textId="77777777" w:rsidR="00016FE1" w:rsidRPr="00511FD6" w:rsidRDefault="00016FE1" w:rsidP="002B6227">
      <w:pPr>
        <w:autoSpaceDE w:val="0"/>
        <w:autoSpaceDN w:val="0"/>
        <w:adjustRightInd w:val="0"/>
        <w:spacing w:after="120"/>
        <w:ind w:left="709" w:right="283" w:hanging="425"/>
        <w:jc w:val="both"/>
        <w:rPr>
          <w:rFonts w:ascii="Gotham" w:hAnsi="Gotham" w:cs="Arial"/>
          <w:i/>
          <w:sz w:val="19"/>
          <w:szCs w:val="19"/>
          <w:lang w:eastAsia="es-MX"/>
        </w:rPr>
      </w:pPr>
      <w:r w:rsidRPr="00511FD6">
        <w:rPr>
          <w:rFonts w:ascii="Gotham" w:hAnsi="Gotham" w:cs="Arial"/>
          <w:i/>
          <w:sz w:val="19"/>
          <w:szCs w:val="19"/>
          <w:lang w:eastAsia="es-MX"/>
        </w:rPr>
        <w:t>I. y II. (…)</w:t>
      </w:r>
    </w:p>
    <w:p w14:paraId="3A473BF4" w14:textId="77777777" w:rsidR="00016FE1" w:rsidRPr="00511FD6" w:rsidRDefault="00016FE1" w:rsidP="002B6227">
      <w:pPr>
        <w:autoSpaceDE w:val="0"/>
        <w:autoSpaceDN w:val="0"/>
        <w:adjustRightInd w:val="0"/>
        <w:spacing w:after="120"/>
        <w:ind w:left="709" w:right="283" w:hanging="425"/>
        <w:jc w:val="both"/>
        <w:rPr>
          <w:rFonts w:ascii="Gotham" w:hAnsi="Gotham" w:cs="Arial"/>
          <w:i/>
          <w:sz w:val="19"/>
          <w:szCs w:val="19"/>
          <w:lang w:eastAsia="es-MX"/>
        </w:rPr>
      </w:pPr>
      <w:r w:rsidRPr="00511FD6">
        <w:rPr>
          <w:rFonts w:ascii="Gotham" w:hAnsi="Gotham" w:cs="Arial"/>
          <w:i/>
          <w:sz w:val="19"/>
          <w:szCs w:val="19"/>
          <w:lang w:eastAsia="es-MX"/>
        </w:rPr>
        <w:t xml:space="preserve">III. </w:t>
      </w:r>
      <w:r>
        <w:rPr>
          <w:rFonts w:ascii="Gotham" w:hAnsi="Gotham" w:cs="Arial"/>
          <w:i/>
          <w:sz w:val="19"/>
          <w:szCs w:val="19"/>
          <w:lang w:eastAsia="es-MX"/>
        </w:rPr>
        <w:tab/>
      </w:r>
      <w:r w:rsidRPr="00511FD6">
        <w:rPr>
          <w:rFonts w:ascii="Gotham" w:hAnsi="Gotham" w:cs="Arial"/>
          <w:b/>
          <w:i/>
          <w:sz w:val="19"/>
          <w:szCs w:val="19"/>
          <w:lang w:eastAsia="es-MX"/>
        </w:rPr>
        <w:t>Arresto administrativo conforme lo estipulado en el Reglamento de Justicia Cívica y cultura de la Legalidad del Municipio; o</w:t>
      </w:r>
    </w:p>
    <w:p w14:paraId="3A473BF5" w14:textId="77777777" w:rsidR="00016FE1" w:rsidRPr="00511FD6" w:rsidRDefault="00016FE1" w:rsidP="002B6227">
      <w:pPr>
        <w:autoSpaceDE w:val="0"/>
        <w:autoSpaceDN w:val="0"/>
        <w:adjustRightInd w:val="0"/>
        <w:spacing w:after="120"/>
        <w:ind w:left="709" w:right="283" w:hanging="425"/>
        <w:jc w:val="both"/>
        <w:rPr>
          <w:rFonts w:ascii="Gotham" w:hAnsi="Gotham" w:cs="Arial"/>
          <w:b/>
          <w:i/>
          <w:sz w:val="19"/>
          <w:szCs w:val="19"/>
          <w:lang w:eastAsia="es-MX"/>
        </w:rPr>
      </w:pPr>
      <w:r w:rsidRPr="00511FD6">
        <w:rPr>
          <w:rFonts w:ascii="Gotham" w:hAnsi="Gotham" w:cs="Arial"/>
          <w:b/>
          <w:i/>
          <w:sz w:val="19"/>
          <w:szCs w:val="19"/>
          <w:lang w:eastAsia="es-MX"/>
        </w:rPr>
        <w:t xml:space="preserve">IV. </w:t>
      </w:r>
      <w:r>
        <w:rPr>
          <w:rFonts w:ascii="Gotham" w:hAnsi="Gotham" w:cs="Arial"/>
          <w:b/>
          <w:i/>
          <w:sz w:val="19"/>
          <w:szCs w:val="19"/>
          <w:lang w:eastAsia="es-MX"/>
        </w:rPr>
        <w:tab/>
      </w:r>
      <w:r w:rsidRPr="00511FD6">
        <w:rPr>
          <w:rFonts w:ascii="Gotham" w:hAnsi="Gotham" w:cs="Arial"/>
          <w:b/>
          <w:i/>
          <w:sz w:val="19"/>
          <w:szCs w:val="19"/>
          <w:lang w:eastAsia="es-MX"/>
        </w:rPr>
        <w:t>Multa, cuyo monto esta prevista en la Ley de Ingresos vigente en materia de violaciones de carácter ecológico y protección al medio ambiente y en este Código;</w:t>
      </w:r>
    </w:p>
    <w:p w14:paraId="3A473BF6" w14:textId="77777777" w:rsidR="00016FE1" w:rsidRPr="00511FD6" w:rsidRDefault="00016FE1" w:rsidP="002B6227">
      <w:pPr>
        <w:autoSpaceDE w:val="0"/>
        <w:autoSpaceDN w:val="0"/>
        <w:adjustRightInd w:val="0"/>
        <w:spacing w:after="120"/>
        <w:ind w:left="709" w:right="283" w:hanging="425"/>
        <w:jc w:val="both"/>
        <w:rPr>
          <w:rFonts w:ascii="Gotham" w:hAnsi="Gotham" w:cs="Arial"/>
          <w:i/>
          <w:sz w:val="19"/>
          <w:szCs w:val="19"/>
          <w:lang w:eastAsia="es-MX"/>
        </w:rPr>
      </w:pPr>
      <w:r w:rsidRPr="00511FD6">
        <w:rPr>
          <w:rFonts w:ascii="Gotham" w:hAnsi="Gotham" w:cs="Arial"/>
          <w:i/>
          <w:sz w:val="19"/>
          <w:szCs w:val="19"/>
          <w:lang w:eastAsia="es-MX"/>
        </w:rPr>
        <w:t xml:space="preserve">V. </w:t>
      </w:r>
      <w:r>
        <w:rPr>
          <w:rFonts w:ascii="Gotham" w:hAnsi="Gotham" w:cs="Arial"/>
          <w:i/>
          <w:sz w:val="19"/>
          <w:szCs w:val="19"/>
          <w:lang w:eastAsia="es-MX"/>
        </w:rPr>
        <w:tab/>
      </w:r>
      <w:r w:rsidRPr="00511FD6">
        <w:rPr>
          <w:rFonts w:ascii="Gotham" w:hAnsi="Gotham" w:cs="Arial"/>
          <w:i/>
          <w:sz w:val="19"/>
          <w:szCs w:val="19"/>
          <w:lang w:eastAsia="es-MX"/>
        </w:rPr>
        <w:t>Clausura temporal o permanente, parcial o total;</w:t>
      </w:r>
    </w:p>
    <w:p w14:paraId="3A473BF7" w14:textId="77777777" w:rsidR="00016FE1" w:rsidRPr="00511FD6" w:rsidRDefault="00016FE1" w:rsidP="002B6227">
      <w:pPr>
        <w:autoSpaceDE w:val="0"/>
        <w:autoSpaceDN w:val="0"/>
        <w:adjustRightInd w:val="0"/>
        <w:ind w:left="709" w:right="283" w:hanging="425"/>
        <w:jc w:val="both"/>
        <w:rPr>
          <w:rFonts w:ascii="Gotham" w:hAnsi="Gotham" w:cs="Arial"/>
          <w:i/>
          <w:sz w:val="19"/>
          <w:szCs w:val="19"/>
          <w:lang w:eastAsia="es-MX"/>
        </w:rPr>
      </w:pPr>
      <w:r w:rsidRPr="00511FD6">
        <w:rPr>
          <w:rFonts w:ascii="Gotham" w:hAnsi="Gotham" w:cs="Arial"/>
          <w:i/>
          <w:sz w:val="19"/>
          <w:szCs w:val="19"/>
          <w:lang w:eastAsia="es-MX"/>
        </w:rPr>
        <w:t xml:space="preserve">VI. </w:t>
      </w:r>
      <w:r>
        <w:rPr>
          <w:rFonts w:ascii="Gotham" w:hAnsi="Gotham" w:cs="Arial"/>
          <w:i/>
          <w:sz w:val="19"/>
          <w:szCs w:val="19"/>
          <w:lang w:eastAsia="es-MX"/>
        </w:rPr>
        <w:tab/>
      </w:r>
      <w:r w:rsidRPr="00511FD6">
        <w:rPr>
          <w:rFonts w:ascii="Gotham" w:hAnsi="Gotham" w:cs="Arial"/>
          <w:i/>
          <w:sz w:val="19"/>
          <w:szCs w:val="19"/>
          <w:lang w:eastAsia="es-MX"/>
        </w:rPr>
        <w:t>Las demás que señalen las disposiciones legales.</w:t>
      </w:r>
    </w:p>
    <w:p w14:paraId="3A473BF8"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eastAsia="es-MX"/>
        </w:rPr>
      </w:pPr>
    </w:p>
    <w:p w14:paraId="3A473BF9"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eastAsia="es-MX"/>
        </w:rPr>
      </w:pPr>
      <w:r w:rsidRPr="00511FD6">
        <w:rPr>
          <w:rFonts w:ascii="Gotham" w:hAnsi="Gotham" w:cs="Arial"/>
          <w:i/>
          <w:sz w:val="19"/>
          <w:szCs w:val="19"/>
          <w:lang w:eastAsia="es-MX"/>
        </w:rPr>
        <w:t>Con relación a lo establecido en el capítulo Parque Ecológico de los Artesanos del Cerro de la Reina se aplicarán las siguientes infracciones y sanciones administrativas:</w:t>
      </w:r>
    </w:p>
    <w:p w14:paraId="3A473BFA"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eastAsia="es-MX"/>
        </w:rPr>
      </w:pPr>
    </w:p>
    <w:p w14:paraId="3A473BFB" w14:textId="77777777" w:rsidR="00016FE1" w:rsidRPr="00511FD6" w:rsidRDefault="00016FE1" w:rsidP="008A612D">
      <w:pPr>
        <w:widowControl w:val="0"/>
        <w:suppressAutoHyphens/>
        <w:autoSpaceDN w:val="0"/>
        <w:spacing w:after="80"/>
        <w:ind w:left="709" w:right="283" w:hanging="425"/>
        <w:jc w:val="both"/>
        <w:textAlignment w:val="baseline"/>
        <w:rPr>
          <w:rFonts w:ascii="Gotham" w:hAnsi="Gotham" w:cs="Arial"/>
          <w:i/>
          <w:sz w:val="19"/>
          <w:szCs w:val="19"/>
          <w:lang w:eastAsia="es-MX"/>
        </w:rPr>
      </w:pPr>
      <w:r w:rsidRPr="00511FD6">
        <w:rPr>
          <w:rFonts w:ascii="Gotham" w:hAnsi="Gotham" w:cs="Arial"/>
          <w:i/>
          <w:sz w:val="19"/>
          <w:szCs w:val="19"/>
          <w:lang w:eastAsia="es-MX"/>
        </w:rPr>
        <w:t xml:space="preserve">I. </w:t>
      </w:r>
      <w:r>
        <w:rPr>
          <w:rFonts w:ascii="Gotham" w:hAnsi="Gotham" w:cs="Arial"/>
          <w:i/>
          <w:sz w:val="19"/>
          <w:szCs w:val="19"/>
          <w:lang w:eastAsia="es-MX"/>
        </w:rPr>
        <w:tab/>
      </w:r>
      <w:r w:rsidRPr="00511FD6">
        <w:rPr>
          <w:rFonts w:ascii="Gotham" w:hAnsi="Gotham" w:cs="Arial"/>
          <w:i/>
          <w:sz w:val="19"/>
          <w:szCs w:val="19"/>
          <w:lang w:eastAsia="es-MX"/>
        </w:rPr>
        <w:t>(…);</w:t>
      </w:r>
    </w:p>
    <w:p w14:paraId="3A473BFC" w14:textId="77777777" w:rsidR="00016FE1" w:rsidRPr="00511FD6" w:rsidRDefault="00016FE1" w:rsidP="008A612D">
      <w:pPr>
        <w:widowControl w:val="0"/>
        <w:suppressAutoHyphens/>
        <w:autoSpaceDN w:val="0"/>
        <w:spacing w:after="80"/>
        <w:ind w:left="709" w:right="283" w:hanging="425"/>
        <w:jc w:val="both"/>
        <w:textAlignment w:val="baseline"/>
        <w:rPr>
          <w:rFonts w:ascii="Gotham" w:hAnsi="Gotham" w:cs="Arial"/>
          <w:i/>
          <w:sz w:val="19"/>
          <w:szCs w:val="19"/>
          <w:lang w:eastAsia="es-MX"/>
        </w:rPr>
      </w:pPr>
      <w:r w:rsidRPr="00511FD6">
        <w:rPr>
          <w:rFonts w:ascii="Gotham" w:hAnsi="Gotham" w:cs="Arial"/>
          <w:i/>
          <w:sz w:val="19"/>
          <w:szCs w:val="19"/>
          <w:lang w:eastAsia="es-MX"/>
        </w:rPr>
        <w:t xml:space="preserve">II. </w:t>
      </w:r>
      <w:r>
        <w:rPr>
          <w:rFonts w:ascii="Gotham" w:hAnsi="Gotham" w:cs="Arial"/>
          <w:i/>
          <w:sz w:val="19"/>
          <w:szCs w:val="19"/>
          <w:lang w:eastAsia="es-MX"/>
        </w:rPr>
        <w:tab/>
      </w:r>
      <w:r w:rsidRPr="00511FD6">
        <w:rPr>
          <w:rFonts w:ascii="Gotham" w:hAnsi="Gotham" w:cs="Arial"/>
          <w:i/>
          <w:sz w:val="19"/>
          <w:szCs w:val="19"/>
          <w:lang w:eastAsia="es-MX"/>
        </w:rPr>
        <w:t>(…);</w:t>
      </w:r>
    </w:p>
    <w:p w14:paraId="3A473BFD" w14:textId="77777777" w:rsidR="00016FE1" w:rsidRPr="00511FD6" w:rsidRDefault="00016FE1" w:rsidP="008A612D">
      <w:pPr>
        <w:widowControl w:val="0"/>
        <w:suppressAutoHyphens/>
        <w:autoSpaceDN w:val="0"/>
        <w:spacing w:after="80"/>
        <w:ind w:left="709" w:right="283" w:hanging="425"/>
        <w:jc w:val="both"/>
        <w:textAlignment w:val="baseline"/>
        <w:rPr>
          <w:rFonts w:ascii="Gotham" w:hAnsi="Gotham" w:cs="Arial"/>
          <w:i/>
          <w:sz w:val="19"/>
          <w:szCs w:val="19"/>
          <w:lang w:eastAsia="es-MX"/>
        </w:rPr>
      </w:pPr>
      <w:r w:rsidRPr="00511FD6">
        <w:rPr>
          <w:rFonts w:ascii="Gotham" w:hAnsi="Gotham" w:cs="Arial"/>
          <w:i/>
          <w:sz w:val="19"/>
          <w:szCs w:val="19"/>
          <w:lang w:eastAsia="es-MX"/>
        </w:rPr>
        <w:t xml:space="preserve">III. </w:t>
      </w:r>
      <w:r>
        <w:rPr>
          <w:rFonts w:ascii="Gotham" w:hAnsi="Gotham" w:cs="Arial"/>
          <w:i/>
          <w:sz w:val="19"/>
          <w:szCs w:val="19"/>
          <w:lang w:eastAsia="es-MX"/>
        </w:rPr>
        <w:tab/>
      </w:r>
      <w:r w:rsidRPr="00511FD6">
        <w:rPr>
          <w:rFonts w:ascii="Gotham" w:hAnsi="Gotham" w:cs="Arial"/>
          <w:i/>
          <w:sz w:val="19"/>
          <w:szCs w:val="19"/>
          <w:lang w:eastAsia="es-MX"/>
        </w:rPr>
        <w:t>(…);</w:t>
      </w:r>
    </w:p>
    <w:p w14:paraId="3A473BFE" w14:textId="77777777" w:rsidR="00016FE1" w:rsidRPr="00511FD6" w:rsidRDefault="00016FE1" w:rsidP="008A612D">
      <w:pPr>
        <w:autoSpaceDE w:val="0"/>
        <w:autoSpaceDN w:val="0"/>
        <w:adjustRightInd w:val="0"/>
        <w:spacing w:after="80"/>
        <w:ind w:left="709" w:right="283" w:hanging="425"/>
        <w:jc w:val="both"/>
        <w:rPr>
          <w:rFonts w:ascii="Gotham" w:hAnsi="Gotham" w:cs="Arial"/>
          <w:i/>
          <w:sz w:val="19"/>
          <w:szCs w:val="19"/>
          <w:lang w:eastAsia="es-MX"/>
        </w:rPr>
      </w:pPr>
      <w:r w:rsidRPr="00511FD6">
        <w:rPr>
          <w:rFonts w:ascii="Gotham" w:hAnsi="Gotham" w:cs="Arial"/>
          <w:i/>
          <w:sz w:val="19"/>
          <w:szCs w:val="19"/>
          <w:lang w:eastAsia="es-MX"/>
        </w:rPr>
        <w:lastRenderedPageBreak/>
        <w:t xml:space="preserve">V. </w:t>
      </w:r>
      <w:r>
        <w:rPr>
          <w:rFonts w:ascii="Gotham" w:hAnsi="Gotham" w:cs="Arial"/>
          <w:i/>
          <w:sz w:val="19"/>
          <w:szCs w:val="19"/>
          <w:lang w:eastAsia="es-MX"/>
        </w:rPr>
        <w:tab/>
      </w:r>
      <w:r w:rsidRPr="00511FD6">
        <w:rPr>
          <w:rFonts w:ascii="Gotham" w:hAnsi="Gotham" w:cs="Arial"/>
          <w:b/>
          <w:i/>
          <w:sz w:val="19"/>
          <w:szCs w:val="19"/>
          <w:lang w:eastAsia="es-MX"/>
        </w:rPr>
        <w:t>Arresto administrativo conforme lo estipulado en el Reglamento de Justicia Cívica y cultura de la Legalidad del Municipio; o</w:t>
      </w:r>
    </w:p>
    <w:p w14:paraId="3A473BFF" w14:textId="77777777" w:rsidR="00016FE1" w:rsidRPr="00511FD6" w:rsidRDefault="00016FE1" w:rsidP="008A612D">
      <w:pPr>
        <w:widowControl w:val="0"/>
        <w:suppressAutoHyphens/>
        <w:autoSpaceDN w:val="0"/>
        <w:spacing w:after="80"/>
        <w:ind w:left="709" w:right="283" w:hanging="425"/>
        <w:jc w:val="both"/>
        <w:textAlignment w:val="baseline"/>
        <w:rPr>
          <w:rFonts w:ascii="Gotham" w:hAnsi="Gotham" w:cs="Arial"/>
          <w:i/>
          <w:sz w:val="19"/>
          <w:szCs w:val="19"/>
          <w:lang w:eastAsia="es-MX"/>
        </w:rPr>
      </w:pPr>
      <w:r w:rsidRPr="00511FD6">
        <w:rPr>
          <w:rFonts w:ascii="Gotham" w:hAnsi="Gotham" w:cs="Arial"/>
          <w:i/>
          <w:sz w:val="19"/>
          <w:szCs w:val="19"/>
          <w:lang w:eastAsia="es-MX"/>
        </w:rPr>
        <w:t xml:space="preserve">IV. </w:t>
      </w:r>
      <w:r>
        <w:rPr>
          <w:rFonts w:ascii="Gotham" w:hAnsi="Gotham" w:cs="Arial"/>
          <w:i/>
          <w:sz w:val="19"/>
          <w:szCs w:val="19"/>
          <w:lang w:eastAsia="es-MX"/>
        </w:rPr>
        <w:tab/>
      </w:r>
      <w:r w:rsidRPr="00511FD6">
        <w:rPr>
          <w:rFonts w:ascii="Gotham" w:hAnsi="Gotham" w:cs="Arial"/>
          <w:i/>
          <w:sz w:val="19"/>
          <w:szCs w:val="19"/>
          <w:lang w:eastAsia="es-MX"/>
        </w:rPr>
        <w:t>Multa; y</w:t>
      </w:r>
    </w:p>
    <w:p w14:paraId="3A473C00" w14:textId="77777777" w:rsidR="00016FE1" w:rsidRPr="00511FD6" w:rsidRDefault="00016FE1" w:rsidP="002B6227">
      <w:pPr>
        <w:widowControl w:val="0"/>
        <w:suppressAutoHyphens/>
        <w:autoSpaceDN w:val="0"/>
        <w:ind w:left="709" w:right="283" w:hanging="425"/>
        <w:jc w:val="both"/>
        <w:textAlignment w:val="baseline"/>
        <w:rPr>
          <w:rFonts w:ascii="Gotham" w:hAnsi="Gotham" w:cs="Arial"/>
          <w:i/>
          <w:sz w:val="19"/>
          <w:szCs w:val="19"/>
          <w:lang w:eastAsia="es-MX"/>
        </w:rPr>
      </w:pPr>
      <w:r w:rsidRPr="00511FD6">
        <w:rPr>
          <w:rFonts w:ascii="Gotham" w:hAnsi="Gotham" w:cs="Arial"/>
          <w:i/>
          <w:sz w:val="19"/>
          <w:szCs w:val="19"/>
          <w:lang w:eastAsia="es-MX"/>
        </w:rPr>
        <w:t xml:space="preserve">V. </w:t>
      </w:r>
      <w:r>
        <w:rPr>
          <w:rFonts w:ascii="Gotham" w:hAnsi="Gotham" w:cs="Arial"/>
          <w:i/>
          <w:sz w:val="19"/>
          <w:szCs w:val="19"/>
          <w:lang w:eastAsia="es-MX"/>
        </w:rPr>
        <w:tab/>
      </w:r>
      <w:r w:rsidRPr="00511FD6">
        <w:rPr>
          <w:rFonts w:ascii="Gotham" w:hAnsi="Gotham" w:cs="Arial"/>
          <w:i/>
          <w:sz w:val="19"/>
          <w:szCs w:val="19"/>
          <w:lang w:eastAsia="es-MX"/>
        </w:rPr>
        <w:t>Las demás que señalen las disposiciones legales o reglamentarias aplicables.</w:t>
      </w:r>
    </w:p>
    <w:p w14:paraId="3A473C01"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eastAsia="es-MX"/>
        </w:rPr>
      </w:pPr>
    </w:p>
    <w:p w14:paraId="3A473C02"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eastAsia="en-US"/>
        </w:rPr>
      </w:pPr>
      <w:r w:rsidRPr="00511FD6">
        <w:rPr>
          <w:rFonts w:ascii="Gotham" w:hAnsi="Gotham" w:cs="Arial"/>
          <w:b/>
          <w:bCs/>
          <w:i/>
          <w:iCs/>
          <w:sz w:val="19"/>
          <w:szCs w:val="19"/>
          <w:lang w:eastAsia="es-MX"/>
        </w:rPr>
        <w:t xml:space="preserve">Artículo 286.- </w:t>
      </w:r>
      <w:r w:rsidRPr="00511FD6">
        <w:rPr>
          <w:rFonts w:ascii="Gotham" w:hAnsi="Gotham" w:cs="Arial"/>
          <w:i/>
          <w:sz w:val="19"/>
          <w:szCs w:val="19"/>
          <w:lang w:eastAsia="es-MX"/>
        </w:rPr>
        <w:t>Se deroga</w:t>
      </w:r>
    </w:p>
    <w:p w14:paraId="3A473C03"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rPr>
      </w:pPr>
    </w:p>
    <w:p w14:paraId="3A473C04" w14:textId="77777777" w:rsidR="00016FE1" w:rsidRPr="00511FD6" w:rsidRDefault="00016FE1" w:rsidP="002B6227">
      <w:pPr>
        <w:autoSpaceDE w:val="0"/>
        <w:autoSpaceDN w:val="0"/>
        <w:adjustRightInd w:val="0"/>
        <w:ind w:left="284" w:right="283"/>
        <w:jc w:val="both"/>
        <w:rPr>
          <w:rFonts w:ascii="Gotham" w:hAnsi="Gotham" w:cs="Arial"/>
          <w:i/>
          <w:sz w:val="19"/>
          <w:szCs w:val="19"/>
          <w:lang w:val="es-MX" w:eastAsia="es-MX"/>
        </w:rPr>
      </w:pPr>
      <w:r w:rsidRPr="00511FD6">
        <w:rPr>
          <w:rFonts w:ascii="Gotham" w:hAnsi="Gotham" w:cs="Arial"/>
          <w:b/>
          <w:bCs/>
          <w:i/>
          <w:iCs/>
          <w:sz w:val="19"/>
          <w:szCs w:val="19"/>
          <w:lang w:eastAsia="es-MX"/>
        </w:rPr>
        <w:t>Artículo 287.- El Juez Cívico Municipal</w:t>
      </w:r>
      <w:r w:rsidRPr="00511FD6">
        <w:rPr>
          <w:rFonts w:ascii="Gotham" w:hAnsi="Gotham" w:cs="Arial"/>
          <w:i/>
          <w:sz w:val="19"/>
          <w:szCs w:val="19"/>
          <w:lang w:eastAsia="es-MX"/>
        </w:rPr>
        <w:t xml:space="preserve"> deberá fundar y motivar su resolución, considerando para su individualización: </w:t>
      </w:r>
    </w:p>
    <w:p w14:paraId="3A473C05" w14:textId="77777777" w:rsidR="00016FE1" w:rsidRPr="00511FD6" w:rsidRDefault="00016FE1" w:rsidP="002B6227">
      <w:pPr>
        <w:autoSpaceDE w:val="0"/>
        <w:autoSpaceDN w:val="0"/>
        <w:adjustRightInd w:val="0"/>
        <w:ind w:left="284" w:right="283"/>
        <w:jc w:val="both"/>
        <w:rPr>
          <w:rFonts w:ascii="Gotham" w:hAnsi="Gotham" w:cs="Arial"/>
          <w:i/>
          <w:sz w:val="19"/>
          <w:szCs w:val="19"/>
          <w:lang w:eastAsia="es-MX"/>
        </w:rPr>
      </w:pPr>
    </w:p>
    <w:p w14:paraId="3A473C06" w14:textId="77777777" w:rsidR="00016FE1" w:rsidRPr="00511FD6" w:rsidRDefault="00016FE1" w:rsidP="002B6227">
      <w:pPr>
        <w:autoSpaceDE w:val="0"/>
        <w:autoSpaceDN w:val="0"/>
        <w:adjustRightInd w:val="0"/>
        <w:spacing w:after="120"/>
        <w:ind w:left="284" w:right="283"/>
        <w:jc w:val="both"/>
        <w:rPr>
          <w:rFonts w:ascii="Gotham" w:hAnsi="Gotham" w:cs="Arial"/>
          <w:i/>
          <w:sz w:val="19"/>
          <w:szCs w:val="19"/>
          <w:lang w:eastAsia="es-MX"/>
        </w:rPr>
      </w:pPr>
      <w:r w:rsidRPr="00511FD6">
        <w:rPr>
          <w:rFonts w:ascii="Gotham" w:hAnsi="Gotham" w:cs="Arial"/>
          <w:i/>
          <w:sz w:val="19"/>
          <w:szCs w:val="19"/>
          <w:lang w:eastAsia="es-MX"/>
        </w:rPr>
        <w:t>I. a VI. […]</w:t>
      </w:r>
    </w:p>
    <w:p w14:paraId="3A473C07" w14:textId="77777777" w:rsidR="00016FE1" w:rsidRPr="00511FD6" w:rsidRDefault="00016FE1" w:rsidP="002B6227">
      <w:pPr>
        <w:widowControl w:val="0"/>
        <w:suppressAutoHyphens/>
        <w:autoSpaceDN w:val="0"/>
        <w:ind w:left="709" w:right="283" w:hanging="425"/>
        <w:jc w:val="both"/>
        <w:textAlignment w:val="baseline"/>
        <w:rPr>
          <w:rFonts w:ascii="Gotham" w:hAnsi="Gotham" w:cs="Arial"/>
          <w:b/>
          <w:i/>
          <w:sz w:val="19"/>
          <w:szCs w:val="19"/>
          <w:lang w:eastAsia="es-MX"/>
        </w:rPr>
      </w:pPr>
      <w:r w:rsidRPr="00511FD6">
        <w:rPr>
          <w:rFonts w:ascii="Gotham" w:hAnsi="Gotham" w:cs="Arial"/>
          <w:b/>
          <w:i/>
          <w:sz w:val="19"/>
          <w:szCs w:val="19"/>
          <w:lang w:eastAsia="es-MX"/>
        </w:rPr>
        <w:t xml:space="preserve">VII. </w:t>
      </w:r>
      <w:r>
        <w:rPr>
          <w:rFonts w:ascii="Gotham" w:hAnsi="Gotham" w:cs="Arial"/>
          <w:b/>
          <w:i/>
          <w:sz w:val="19"/>
          <w:szCs w:val="19"/>
          <w:lang w:eastAsia="es-MX"/>
        </w:rPr>
        <w:tab/>
      </w:r>
      <w:r w:rsidRPr="00511FD6">
        <w:rPr>
          <w:rFonts w:ascii="Gotham" w:hAnsi="Gotham" w:cs="Arial"/>
          <w:b/>
          <w:i/>
          <w:sz w:val="19"/>
          <w:szCs w:val="19"/>
          <w:lang w:eastAsia="es-MX"/>
        </w:rPr>
        <w:t>Los demás criterios que establece el Reglamento de Justicia Cívica del Municipio.</w:t>
      </w:r>
    </w:p>
    <w:p w14:paraId="3A473C08" w14:textId="77777777" w:rsidR="00016FE1" w:rsidRPr="00511FD6" w:rsidRDefault="00016FE1" w:rsidP="002B6227">
      <w:pPr>
        <w:widowControl w:val="0"/>
        <w:suppressAutoHyphens/>
        <w:autoSpaceDN w:val="0"/>
        <w:ind w:left="284" w:right="283"/>
        <w:jc w:val="both"/>
        <w:textAlignment w:val="baseline"/>
        <w:rPr>
          <w:rFonts w:ascii="Gotham" w:hAnsi="Gotham" w:cs="Arial"/>
          <w:b/>
          <w:i/>
          <w:sz w:val="19"/>
          <w:szCs w:val="19"/>
          <w:lang w:eastAsia="es-MX"/>
        </w:rPr>
      </w:pPr>
    </w:p>
    <w:p w14:paraId="3A473C09" w14:textId="77777777" w:rsidR="00016FE1" w:rsidRPr="00511FD6" w:rsidRDefault="00016FE1" w:rsidP="002B6227">
      <w:pPr>
        <w:widowControl w:val="0"/>
        <w:suppressAutoHyphens/>
        <w:autoSpaceDN w:val="0"/>
        <w:ind w:left="284" w:right="283"/>
        <w:jc w:val="both"/>
        <w:textAlignment w:val="baseline"/>
        <w:rPr>
          <w:rFonts w:ascii="Gotham" w:hAnsi="Gotham" w:cs="Arial"/>
          <w:b/>
          <w:i/>
          <w:sz w:val="19"/>
          <w:szCs w:val="19"/>
          <w:lang w:eastAsia="es-MX"/>
        </w:rPr>
      </w:pPr>
      <w:r w:rsidRPr="00511FD6">
        <w:rPr>
          <w:rFonts w:ascii="Gotham" w:hAnsi="Gotham" w:cs="Arial"/>
          <w:b/>
          <w:bCs/>
          <w:i/>
          <w:iCs/>
          <w:sz w:val="19"/>
          <w:szCs w:val="19"/>
          <w:lang w:eastAsia="es-MX"/>
        </w:rPr>
        <w:t xml:space="preserve">Artículo 288.- Se </w:t>
      </w:r>
      <w:r w:rsidRPr="00511FD6">
        <w:rPr>
          <w:rFonts w:ascii="Gotham" w:hAnsi="Gotham" w:cs="Arial"/>
          <w:b/>
          <w:i/>
          <w:sz w:val="19"/>
          <w:szCs w:val="19"/>
          <w:lang w:eastAsia="es-MX"/>
        </w:rPr>
        <w:t>Deroga</w:t>
      </w:r>
    </w:p>
    <w:p w14:paraId="3A473C0A" w14:textId="77777777" w:rsidR="00016FE1" w:rsidRPr="00511FD6" w:rsidRDefault="00016FE1" w:rsidP="002B6227">
      <w:pPr>
        <w:widowControl w:val="0"/>
        <w:suppressAutoHyphens/>
        <w:autoSpaceDN w:val="0"/>
        <w:ind w:left="284" w:right="283"/>
        <w:jc w:val="both"/>
        <w:textAlignment w:val="baseline"/>
        <w:rPr>
          <w:rFonts w:ascii="Gotham" w:hAnsi="Gotham" w:cs="Arial"/>
          <w:b/>
          <w:i/>
          <w:sz w:val="19"/>
          <w:szCs w:val="19"/>
          <w:lang w:eastAsia="es-MX"/>
        </w:rPr>
      </w:pPr>
    </w:p>
    <w:p w14:paraId="3A473C0B"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eastAsia="es-MX"/>
        </w:rPr>
      </w:pPr>
      <w:r w:rsidRPr="00511FD6">
        <w:rPr>
          <w:rFonts w:ascii="Gotham" w:hAnsi="Gotham" w:cs="Arial"/>
          <w:b/>
          <w:bCs/>
          <w:i/>
          <w:iCs/>
          <w:sz w:val="19"/>
          <w:szCs w:val="19"/>
          <w:lang w:eastAsia="es-MX"/>
        </w:rPr>
        <w:t xml:space="preserve">Artículo 289.- </w:t>
      </w:r>
      <w:r w:rsidRPr="00511FD6">
        <w:rPr>
          <w:rFonts w:ascii="Gotham" w:hAnsi="Gotham" w:cs="Arial"/>
          <w:b/>
          <w:i/>
          <w:sz w:val="19"/>
          <w:szCs w:val="19"/>
          <w:lang w:eastAsia="es-MX"/>
        </w:rPr>
        <w:t>El Juez Cívico Municipal</w:t>
      </w:r>
      <w:r w:rsidRPr="00511FD6">
        <w:rPr>
          <w:rFonts w:ascii="Gotham" w:hAnsi="Gotham" w:cs="Arial"/>
          <w:i/>
          <w:sz w:val="19"/>
          <w:szCs w:val="19"/>
          <w:lang w:eastAsia="es-MX"/>
        </w:rPr>
        <w:t xml:space="preserve"> podrá hacer uso de las medidas legales necesarias, incluyendo el auxilio de la fuerza pública, para lograr la ejecución de las sanciones y medidas de seguridad que procedan.</w:t>
      </w:r>
    </w:p>
    <w:p w14:paraId="3A473C0C" w14:textId="77777777" w:rsidR="00016FE1" w:rsidRPr="00511FD6" w:rsidRDefault="00016FE1" w:rsidP="002B6227">
      <w:pPr>
        <w:widowControl w:val="0"/>
        <w:suppressAutoHyphens/>
        <w:autoSpaceDN w:val="0"/>
        <w:ind w:left="284" w:right="283"/>
        <w:jc w:val="both"/>
        <w:textAlignment w:val="baseline"/>
        <w:rPr>
          <w:rFonts w:ascii="Gotham" w:hAnsi="Gotham" w:cs="Arial"/>
          <w:b/>
          <w:i/>
          <w:sz w:val="19"/>
          <w:szCs w:val="19"/>
          <w:lang w:eastAsia="es-MX"/>
        </w:rPr>
      </w:pPr>
    </w:p>
    <w:p w14:paraId="3A473C0D"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eastAsia="en-US"/>
        </w:rPr>
      </w:pPr>
      <w:r w:rsidRPr="00511FD6">
        <w:rPr>
          <w:rFonts w:ascii="Gotham" w:hAnsi="Gotham" w:cs="Arial"/>
          <w:b/>
          <w:i/>
          <w:sz w:val="19"/>
          <w:szCs w:val="19"/>
        </w:rPr>
        <w:t>Artículo 325 bis. Cuando se trate de giros comerciales, industriales o de prestación de servicios que generen ruido que superen los decibeles máximos permitidos en los horarios establecidos en este Código, se les sancionará con una multa de 20 veinte a 150 ciento cincuenta Unidades de Medidas y Actualización (UMA); sanción que se duplicará o triplicará en caso de reincidencia.</w:t>
      </w:r>
    </w:p>
    <w:p w14:paraId="3A473C0E"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rPr>
      </w:pPr>
    </w:p>
    <w:p w14:paraId="3A473C0F" w14:textId="77777777" w:rsidR="00016FE1" w:rsidRPr="00511FD6" w:rsidRDefault="00016FE1" w:rsidP="002B6227">
      <w:pPr>
        <w:widowControl w:val="0"/>
        <w:suppressAutoHyphens/>
        <w:autoSpaceDN w:val="0"/>
        <w:ind w:left="284" w:right="283"/>
        <w:jc w:val="both"/>
        <w:textAlignment w:val="baseline"/>
        <w:rPr>
          <w:rFonts w:ascii="Gotham" w:hAnsi="Gotham" w:cs="Arial"/>
          <w:bCs/>
          <w:i/>
          <w:sz w:val="19"/>
          <w:szCs w:val="19"/>
          <w:lang w:val="es-UY"/>
        </w:rPr>
      </w:pPr>
      <w:r w:rsidRPr="00511FD6">
        <w:rPr>
          <w:rFonts w:ascii="Gotham" w:hAnsi="Gotham" w:cs="Arial"/>
          <w:b/>
          <w:i/>
          <w:sz w:val="19"/>
          <w:szCs w:val="19"/>
        </w:rPr>
        <w:t>Artículo 325 ter. Cuando el ruido supere los decibeles máximos permitidos en los horarios establecidos y se emita por agentes, espacios o áreas distintas a los señalados en el artículo anterior, la multa será de 60 sesenta a 500 quinientas veces el valor diario de la Unidad de Medida y Actualización</w:t>
      </w:r>
    </w:p>
    <w:p w14:paraId="3A473C10"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lang w:val="es-MX"/>
        </w:rPr>
      </w:pPr>
    </w:p>
    <w:p w14:paraId="3A473C11" w14:textId="77777777" w:rsidR="00016FE1" w:rsidRPr="00511FD6" w:rsidRDefault="00016FE1" w:rsidP="002B6227">
      <w:pPr>
        <w:keepNext/>
        <w:keepLines/>
        <w:ind w:left="284" w:right="283"/>
        <w:jc w:val="center"/>
        <w:outlineLvl w:val="1"/>
        <w:rPr>
          <w:rFonts w:ascii="Gotham" w:hAnsi="Gotham" w:cs="Arial"/>
          <w:b/>
          <w:i/>
          <w:sz w:val="19"/>
          <w:szCs w:val="19"/>
        </w:rPr>
      </w:pPr>
      <w:bookmarkStart w:id="4" w:name="_Toc17814530"/>
      <w:r w:rsidRPr="00511FD6">
        <w:rPr>
          <w:rFonts w:ascii="Gotham" w:hAnsi="Gotham" w:cs="Arial"/>
          <w:b/>
          <w:i/>
          <w:sz w:val="19"/>
          <w:szCs w:val="19"/>
        </w:rPr>
        <w:t>ARTICULOS TRANSITORIOS</w:t>
      </w:r>
      <w:bookmarkEnd w:id="4"/>
    </w:p>
    <w:p w14:paraId="3A473C12" w14:textId="77777777" w:rsidR="00016FE1" w:rsidRPr="00511FD6" w:rsidRDefault="00016FE1" w:rsidP="002B6227">
      <w:pPr>
        <w:widowControl w:val="0"/>
        <w:suppressAutoHyphens/>
        <w:autoSpaceDN w:val="0"/>
        <w:ind w:left="284" w:right="283"/>
        <w:jc w:val="both"/>
        <w:textAlignment w:val="baseline"/>
        <w:rPr>
          <w:rFonts w:ascii="Gotham" w:eastAsia="Calibri" w:hAnsi="Gotham" w:cs="Arial"/>
          <w:i/>
          <w:sz w:val="19"/>
          <w:szCs w:val="19"/>
          <w:lang w:val="es-MX" w:eastAsia="en-US"/>
        </w:rPr>
      </w:pPr>
    </w:p>
    <w:p w14:paraId="3A473C13" w14:textId="77DD9F8F"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r w:rsidRPr="00511FD6">
        <w:rPr>
          <w:rFonts w:ascii="Gotham" w:hAnsi="Gotham" w:cs="Arial"/>
          <w:b/>
          <w:i/>
          <w:sz w:val="19"/>
          <w:szCs w:val="19"/>
        </w:rPr>
        <w:t>PRIMERO</w:t>
      </w:r>
      <w:r w:rsidRPr="00511FD6">
        <w:rPr>
          <w:rFonts w:ascii="Gotham" w:hAnsi="Gotham" w:cs="Arial"/>
          <w:i/>
          <w:sz w:val="19"/>
          <w:szCs w:val="19"/>
        </w:rPr>
        <w:t>.- El presente reglamento entrará en vigor treinta días naturales después de su publicación en la Gaceta “T</w:t>
      </w:r>
      <w:r w:rsidR="009B3266">
        <w:rPr>
          <w:rFonts w:ascii="Gotham" w:hAnsi="Gotham" w:cs="Arial"/>
          <w:i/>
          <w:sz w:val="19"/>
          <w:szCs w:val="19"/>
        </w:rPr>
        <w:t>lahtolli</w:t>
      </w:r>
      <w:r w:rsidRPr="00511FD6">
        <w:rPr>
          <w:rFonts w:ascii="Gotham" w:hAnsi="Gotham" w:cs="Arial"/>
          <w:i/>
          <w:sz w:val="19"/>
          <w:szCs w:val="19"/>
        </w:rPr>
        <w:t>” del Municipio de Tonalá, Jalisco.</w:t>
      </w:r>
    </w:p>
    <w:p w14:paraId="3A473C14"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p>
    <w:p w14:paraId="3A473C15"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r w:rsidRPr="00511FD6">
        <w:rPr>
          <w:rFonts w:ascii="Gotham" w:hAnsi="Gotham" w:cs="Arial"/>
          <w:b/>
          <w:i/>
          <w:sz w:val="19"/>
          <w:szCs w:val="19"/>
        </w:rPr>
        <w:t>SEGUNDO</w:t>
      </w:r>
      <w:r w:rsidRPr="00511FD6">
        <w:rPr>
          <w:rFonts w:ascii="Gotham" w:hAnsi="Gotham" w:cs="Arial"/>
          <w:i/>
          <w:sz w:val="19"/>
          <w:szCs w:val="19"/>
        </w:rPr>
        <w:t xml:space="preserve">.- Se derogan todas aquellas disposiciones que se contrapongan a lo dispuesto por el presente ordenamiento. </w:t>
      </w:r>
    </w:p>
    <w:p w14:paraId="3A473C16"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p>
    <w:p w14:paraId="3A473C17"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r w:rsidRPr="00511FD6">
        <w:rPr>
          <w:rFonts w:ascii="Gotham" w:hAnsi="Gotham" w:cs="Arial"/>
          <w:b/>
          <w:i/>
          <w:sz w:val="19"/>
          <w:szCs w:val="19"/>
        </w:rPr>
        <w:t>TERCERO</w:t>
      </w:r>
      <w:r w:rsidRPr="00511FD6">
        <w:rPr>
          <w:rFonts w:ascii="Gotham" w:hAnsi="Gotham" w:cs="Arial"/>
          <w:i/>
          <w:sz w:val="19"/>
          <w:szCs w:val="19"/>
        </w:rPr>
        <w:t xml:space="preserve">.- Los Procedimientos que se encuentren vigentes a la fecha de entrada en vigor del presente Reglamento, se seguirán rigiendo bajo las formalidades procedimentales que estuvieren vigentes anteriores al presente Dictamen. </w:t>
      </w:r>
    </w:p>
    <w:p w14:paraId="3A473C18"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p>
    <w:p w14:paraId="3A473C19"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r w:rsidRPr="00511FD6">
        <w:rPr>
          <w:rFonts w:ascii="Gotham" w:hAnsi="Gotham" w:cs="Arial"/>
          <w:b/>
          <w:i/>
          <w:sz w:val="19"/>
          <w:szCs w:val="19"/>
        </w:rPr>
        <w:t>CUARTO</w:t>
      </w:r>
      <w:r w:rsidRPr="00511FD6">
        <w:rPr>
          <w:rFonts w:ascii="Gotham" w:hAnsi="Gotham" w:cs="Arial"/>
          <w:i/>
          <w:sz w:val="19"/>
          <w:szCs w:val="19"/>
        </w:rPr>
        <w:t>.- Una vez publicado este ordenamiento, remítase mediante oficio un tanto de este al Congreso del Estado de Jalisco, para el cumplimiento de los efectos ordenados en el artículo 42 fracción VII de la Ley del Gobierno y la Administración Pública Municipal del Estado de Jalisco.</w:t>
      </w:r>
    </w:p>
    <w:p w14:paraId="3A473C1A"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p>
    <w:p w14:paraId="3A473C1B" w14:textId="77777777" w:rsidR="00016FE1" w:rsidRPr="00511FD6" w:rsidRDefault="00016FE1" w:rsidP="002B6227">
      <w:pPr>
        <w:widowControl w:val="0"/>
        <w:suppressAutoHyphens/>
        <w:autoSpaceDN w:val="0"/>
        <w:ind w:left="284" w:right="283"/>
        <w:jc w:val="both"/>
        <w:textAlignment w:val="baseline"/>
        <w:rPr>
          <w:rFonts w:ascii="Gotham" w:hAnsi="Gotham" w:cs="Arial"/>
          <w:i/>
          <w:sz w:val="19"/>
          <w:szCs w:val="19"/>
        </w:rPr>
      </w:pPr>
      <w:r w:rsidRPr="00511FD6">
        <w:rPr>
          <w:rFonts w:ascii="Gotham" w:hAnsi="Gotham" w:cs="Arial"/>
          <w:b/>
          <w:i/>
          <w:sz w:val="19"/>
          <w:szCs w:val="19"/>
        </w:rPr>
        <w:t>QUINTO</w:t>
      </w:r>
      <w:r w:rsidRPr="00511FD6">
        <w:rPr>
          <w:rFonts w:ascii="Gotham" w:hAnsi="Gotham" w:cs="Arial"/>
          <w:i/>
          <w:sz w:val="19"/>
          <w:szCs w:val="19"/>
        </w:rPr>
        <w:t>. Se faculta al Presidente Municipal a la Secretaria General y al Síndico de. Ayuntamiento Constitucional de Tonalá, Jalisco a efecto de suscribir la documentación necesaria para la publicación del presente.</w:t>
      </w:r>
    </w:p>
    <w:p w14:paraId="3A473C1C" w14:textId="77777777" w:rsidR="00016FE1" w:rsidRPr="00434B88" w:rsidRDefault="00016FE1" w:rsidP="002B6227">
      <w:pPr>
        <w:jc w:val="both"/>
        <w:rPr>
          <w:rFonts w:ascii="Gotham" w:hAnsi="Gotham"/>
          <w:sz w:val="20"/>
          <w:szCs w:val="20"/>
        </w:rPr>
      </w:pPr>
    </w:p>
    <w:p w14:paraId="3A473C1D" w14:textId="77777777" w:rsidR="00016FE1" w:rsidRPr="00434B88" w:rsidRDefault="00016FE1" w:rsidP="002B6227">
      <w:pPr>
        <w:jc w:val="both"/>
        <w:rPr>
          <w:rFonts w:ascii="Gotham" w:hAnsi="Gotham"/>
          <w:sz w:val="20"/>
          <w:szCs w:val="20"/>
        </w:rPr>
      </w:pPr>
      <w:r w:rsidRPr="00434B88">
        <w:rPr>
          <w:rFonts w:ascii="Gotham" w:hAnsi="Gotham"/>
          <w:sz w:val="20"/>
          <w:szCs w:val="20"/>
        </w:rPr>
        <w:t>SEGUNDO</w:t>
      </w:r>
      <w:r>
        <w:rPr>
          <w:rFonts w:ascii="Gotham" w:hAnsi="Gotham"/>
          <w:sz w:val="20"/>
          <w:szCs w:val="20"/>
        </w:rPr>
        <w:t>.</w:t>
      </w:r>
      <w:r w:rsidRPr="00434B88">
        <w:rPr>
          <w:rFonts w:ascii="Gotham" w:hAnsi="Gotham"/>
          <w:sz w:val="20"/>
          <w:szCs w:val="20"/>
        </w:rPr>
        <w:t xml:space="preserve">- Se instruye a la Secretaria General de Ayuntamiento para que Notifique de la reforma aprobada a las siguientes dependencias Dirección de Ecología y Cambio Climático, a la Coordinación del Gabinete de Seguridad, Prevención, Servicios de Emergencia y Movilidad, a la Jefatura de Juzgados </w:t>
      </w:r>
      <w:r w:rsidRPr="00434B88">
        <w:rPr>
          <w:rFonts w:ascii="Gotham" w:hAnsi="Gotham"/>
          <w:sz w:val="20"/>
          <w:szCs w:val="20"/>
        </w:rPr>
        <w:lastRenderedPageBreak/>
        <w:t>Cívicos Municipales. Con el objeto que estas áreas de la administración pública modifiquen sus procesos administrativos en un plazo de 30 días a efecto de cumplir con la reforma aprobado en el Acuerdo Primero.</w:t>
      </w:r>
    </w:p>
    <w:p w14:paraId="3A473C1E" w14:textId="77777777" w:rsidR="00016FE1" w:rsidRPr="00434B88" w:rsidRDefault="00016FE1" w:rsidP="002B6227">
      <w:pPr>
        <w:jc w:val="both"/>
        <w:rPr>
          <w:rFonts w:ascii="Gotham" w:hAnsi="Gotham"/>
          <w:sz w:val="20"/>
          <w:szCs w:val="20"/>
        </w:rPr>
      </w:pPr>
    </w:p>
    <w:p w14:paraId="3A473C1F" w14:textId="77777777" w:rsidR="00016FE1" w:rsidRPr="00434B88" w:rsidRDefault="00016FE1" w:rsidP="002B6227">
      <w:pPr>
        <w:jc w:val="both"/>
        <w:rPr>
          <w:rFonts w:ascii="Gotham" w:hAnsi="Gotham"/>
          <w:sz w:val="20"/>
          <w:szCs w:val="20"/>
        </w:rPr>
      </w:pPr>
      <w:r w:rsidRPr="00434B88">
        <w:rPr>
          <w:rFonts w:ascii="Gotham" w:hAnsi="Gotham"/>
          <w:sz w:val="20"/>
          <w:szCs w:val="20"/>
        </w:rPr>
        <w:t>TERCERO.</w:t>
      </w:r>
      <w:r>
        <w:rPr>
          <w:rFonts w:ascii="Gotham" w:hAnsi="Gotham"/>
          <w:sz w:val="20"/>
          <w:szCs w:val="20"/>
        </w:rPr>
        <w:t>-</w:t>
      </w:r>
      <w:r w:rsidRPr="00434B88">
        <w:rPr>
          <w:rFonts w:ascii="Gotham" w:hAnsi="Gotham"/>
          <w:sz w:val="20"/>
          <w:szCs w:val="20"/>
        </w:rPr>
        <w:t xml:space="preserve"> Se notifique a la Tesorería Municipal para el proyecto de Ley de Ingresos con la finalidad que se contemplen las Multas.</w:t>
      </w:r>
    </w:p>
    <w:p w14:paraId="3A473C20" w14:textId="77777777" w:rsidR="00016FE1" w:rsidRDefault="00016FE1" w:rsidP="002B6227">
      <w:pPr>
        <w:jc w:val="both"/>
        <w:rPr>
          <w:rFonts w:ascii="Gotham" w:hAnsi="Gotham"/>
          <w:sz w:val="20"/>
          <w:szCs w:val="20"/>
        </w:rPr>
      </w:pPr>
    </w:p>
    <w:p w14:paraId="3A473C21"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3C22" w14:textId="77777777" w:rsidR="00016FE1" w:rsidRPr="00CD0531" w:rsidRDefault="00016FE1" w:rsidP="002B6227">
      <w:pPr>
        <w:jc w:val="both"/>
        <w:rPr>
          <w:rFonts w:ascii="Gotham" w:hAnsi="Gotham" w:cs="Arial"/>
          <w:sz w:val="20"/>
          <w:szCs w:val="20"/>
        </w:rPr>
      </w:pPr>
    </w:p>
    <w:p w14:paraId="3A473C23"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3C24" w14:textId="77777777" w:rsidR="00016FE1" w:rsidRPr="00CD0531" w:rsidRDefault="00016FE1" w:rsidP="002B6227">
      <w:pPr>
        <w:jc w:val="both"/>
        <w:rPr>
          <w:rFonts w:ascii="Gotham" w:hAnsi="Gotham" w:cs="Arial"/>
          <w:sz w:val="20"/>
          <w:szCs w:val="20"/>
        </w:rPr>
      </w:pPr>
    </w:p>
    <w:p w14:paraId="3A473C25"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3C26" w14:textId="77777777" w:rsidR="00016FE1" w:rsidRPr="00CD0531" w:rsidRDefault="00016FE1" w:rsidP="002B6227">
      <w:pPr>
        <w:jc w:val="both"/>
        <w:rPr>
          <w:rFonts w:ascii="Gotham" w:hAnsi="Gotham" w:cs="Arial"/>
          <w:sz w:val="20"/>
          <w:szCs w:val="20"/>
        </w:rPr>
      </w:pPr>
    </w:p>
    <w:p w14:paraId="3A473C27"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3C28" w14:textId="77777777" w:rsidR="00016FE1" w:rsidRPr="00CD0531" w:rsidRDefault="00016FE1" w:rsidP="002B6227">
      <w:pPr>
        <w:jc w:val="both"/>
        <w:rPr>
          <w:rFonts w:ascii="Gotham" w:hAnsi="Gotham" w:cs="Arial"/>
          <w:sz w:val="20"/>
          <w:szCs w:val="20"/>
        </w:rPr>
      </w:pPr>
    </w:p>
    <w:p w14:paraId="3A473C29"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3C2A" w14:textId="77777777" w:rsidR="00016FE1" w:rsidRPr="00434B88" w:rsidRDefault="00016FE1" w:rsidP="002B6227">
      <w:pPr>
        <w:jc w:val="both"/>
        <w:rPr>
          <w:rFonts w:ascii="Gotham" w:hAnsi="Gotham"/>
          <w:sz w:val="20"/>
          <w:szCs w:val="20"/>
        </w:rPr>
      </w:pPr>
    </w:p>
    <w:p w14:paraId="3A473C2B" w14:textId="77777777" w:rsidR="00016FE1" w:rsidRPr="00434B88" w:rsidRDefault="00016FE1" w:rsidP="002B6227">
      <w:pPr>
        <w:jc w:val="both"/>
        <w:rPr>
          <w:rFonts w:ascii="Gotham" w:hAnsi="Gotham"/>
          <w:sz w:val="20"/>
          <w:szCs w:val="20"/>
        </w:rPr>
      </w:pPr>
    </w:p>
    <w:p w14:paraId="3A473C2C" w14:textId="77777777" w:rsidR="00016FE1" w:rsidRDefault="00016FE1" w:rsidP="002B6227">
      <w:pPr>
        <w:pStyle w:val="western"/>
        <w:spacing w:before="0" w:beforeAutospacing="0"/>
        <w:jc w:val="right"/>
        <w:rPr>
          <w:rFonts w:ascii="Gotham" w:hAnsi="Gotham"/>
          <w:b/>
          <w:sz w:val="22"/>
          <w:szCs w:val="22"/>
          <w:u w:val="single"/>
        </w:rPr>
      </w:pPr>
      <w:r>
        <w:rPr>
          <w:rFonts w:ascii="Gotham" w:hAnsi="Gotham"/>
          <w:b/>
          <w:sz w:val="22"/>
          <w:szCs w:val="22"/>
          <w:u w:val="single"/>
        </w:rPr>
        <w:t>ACUERDO NO. 1131</w:t>
      </w:r>
    </w:p>
    <w:p w14:paraId="3A473C2D" w14:textId="77777777" w:rsidR="00016FE1" w:rsidRPr="00A07C14" w:rsidRDefault="00016FE1" w:rsidP="002B6227">
      <w:pPr>
        <w:jc w:val="both"/>
        <w:rPr>
          <w:rFonts w:ascii="Gotham" w:hAnsi="Gotham"/>
          <w:sz w:val="20"/>
          <w:szCs w:val="20"/>
        </w:rPr>
      </w:pPr>
      <w:r w:rsidRPr="00C447F2">
        <w:rPr>
          <w:rFonts w:ascii="Gotham" w:hAnsi="Gotham"/>
          <w:b/>
          <w:bCs/>
          <w:smallCaps/>
          <w:sz w:val="20"/>
          <w:szCs w:val="20"/>
        </w:rPr>
        <w:t xml:space="preserve">Cuarto Dictamen de Comisión.- </w:t>
      </w:r>
      <w:r w:rsidRPr="00C447F2">
        <w:rPr>
          <w:rFonts w:ascii="Gotham" w:hAnsi="Gotham"/>
          <w:sz w:val="20"/>
          <w:szCs w:val="20"/>
        </w:rPr>
        <w:t>En uso de la voz el Presidente Municipal, Sergio Armando Chávez Dávalos, menciona que, se da cuenta del dictamen que emiten las Comisiones Edilicias de Reglamentos, Puntos Constitucionales, Administración y Planeación Legislativa; y de Gobierno Digital y Promoción de la Ciudad.</w:t>
      </w:r>
    </w:p>
    <w:p w14:paraId="3A473C2E" w14:textId="77777777" w:rsidR="00016FE1" w:rsidRDefault="00016FE1" w:rsidP="002B6227">
      <w:pPr>
        <w:jc w:val="both"/>
        <w:rPr>
          <w:rFonts w:ascii="Gotham" w:hAnsi="Gotham"/>
          <w:sz w:val="20"/>
          <w:szCs w:val="20"/>
        </w:rPr>
      </w:pPr>
    </w:p>
    <w:p w14:paraId="3A473C2F" w14:textId="77777777" w:rsidR="00016FE1" w:rsidRPr="00C447F2" w:rsidRDefault="00016FE1" w:rsidP="002B6227">
      <w:pPr>
        <w:jc w:val="both"/>
        <w:rPr>
          <w:rFonts w:ascii="Gotham" w:hAnsi="Gotham"/>
          <w:sz w:val="20"/>
          <w:szCs w:val="20"/>
        </w:rPr>
      </w:pPr>
      <w:r w:rsidRPr="00C447F2">
        <w:rPr>
          <w:rFonts w:ascii="Gotham" w:hAnsi="Gotham"/>
          <w:sz w:val="20"/>
          <w:szCs w:val="20"/>
        </w:rPr>
        <w:t>A las Comisiones Edilicias de Reglamentos, Puntos Constitucionales, Administración y Planeación Legislativa convocante y de Gobierno Digital y Promoción de la Ciudad</w:t>
      </w:r>
      <w:r>
        <w:rPr>
          <w:rFonts w:ascii="Gotham" w:hAnsi="Gotham"/>
          <w:sz w:val="20"/>
          <w:szCs w:val="20"/>
        </w:rPr>
        <w:t>,</w:t>
      </w:r>
      <w:r w:rsidRPr="00C447F2">
        <w:rPr>
          <w:rFonts w:ascii="Gotham" w:hAnsi="Gotham"/>
          <w:sz w:val="20"/>
          <w:szCs w:val="20"/>
        </w:rPr>
        <w:t xml:space="preserve"> como coadyuvante, les fue turnada la iniciativa Ordenamiento Municipal presentada por la R</w:t>
      </w:r>
      <w:r w:rsidR="009F075D">
        <w:rPr>
          <w:rFonts w:ascii="Gotham" w:hAnsi="Gotham"/>
          <w:sz w:val="20"/>
          <w:szCs w:val="20"/>
        </w:rPr>
        <w:t xml:space="preserve">egidora Rocío Acosta Cervantes </w:t>
      </w:r>
      <w:r w:rsidRPr="00C447F2">
        <w:rPr>
          <w:rFonts w:ascii="Gotham" w:hAnsi="Gotham"/>
          <w:sz w:val="20"/>
          <w:szCs w:val="20"/>
        </w:rPr>
        <w:t>mediante el acuerdo de Ayuntamiento número Acuerdo 1067 que tiene por objeto modificar</w:t>
      </w:r>
      <w:r w:rsidR="009F075D">
        <w:rPr>
          <w:rFonts w:ascii="Gotham" w:hAnsi="Gotham"/>
          <w:sz w:val="20"/>
          <w:szCs w:val="20"/>
        </w:rPr>
        <w:t xml:space="preserve"> </w:t>
      </w:r>
      <w:r w:rsidRPr="00C447F2">
        <w:rPr>
          <w:rFonts w:ascii="Gotham" w:hAnsi="Gotham"/>
          <w:sz w:val="20"/>
          <w:szCs w:val="20"/>
        </w:rPr>
        <w:t>los artículos 4, 13 y 16 del Reglamento de Firma Electrónica Avanzada del Municipio de Tonalá, Jalisco; para lo cual con fundamento en lo previsto por los artículos 27, 37 fracción II y 40 fracción II. y demás relativos de la Ley del Gobierno y la Administración Pública Municipal del Estado de Jalisco; así como los artículos6, 15, 38, 39, 53 fracción II, 57 fracción VIII,</w:t>
      </w:r>
      <w:r w:rsidR="009F075D">
        <w:rPr>
          <w:rFonts w:ascii="Gotham" w:hAnsi="Gotham"/>
          <w:sz w:val="20"/>
          <w:szCs w:val="20"/>
        </w:rPr>
        <w:t xml:space="preserve"> </w:t>
      </w:r>
      <w:r w:rsidRPr="00C447F2">
        <w:rPr>
          <w:rFonts w:ascii="Gotham" w:hAnsi="Gotham"/>
          <w:sz w:val="20"/>
          <w:szCs w:val="20"/>
        </w:rPr>
        <w:t>92, 93, 98 fracción I y II, 99 y 100 del Reglamento del Gobierno y la Administración Pública del Ayuntamiento Constitucional de Tonalá, Jalisco; así como los artículos 25, 26, 28, 42, 43, 69, 70, 87, 88 y demás aplicables del Reglamento Para el Funcionamiento Interno de Sesiones del Ayuntamiento Constitucional de Tonalá, Jalisco se expresan los siguientes:</w:t>
      </w:r>
    </w:p>
    <w:p w14:paraId="3A473C30" w14:textId="77777777" w:rsidR="00016FE1" w:rsidRPr="00C447F2" w:rsidRDefault="00016FE1" w:rsidP="002B6227">
      <w:pPr>
        <w:jc w:val="both"/>
        <w:rPr>
          <w:rFonts w:ascii="Gotham" w:hAnsi="Gotham"/>
          <w:sz w:val="20"/>
          <w:szCs w:val="20"/>
        </w:rPr>
      </w:pPr>
    </w:p>
    <w:p w14:paraId="3A473C31" w14:textId="77777777" w:rsidR="00016FE1" w:rsidRPr="00C447F2" w:rsidRDefault="00016FE1" w:rsidP="002B6227">
      <w:pPr>
        <w:jc w:val="center"/>
        <w:rPr>
          <w:rFonts w:ascii="Gotham" w:hAnsi="Gotham"/>
          <w:sz w:val="20"/>
          <w:szCs w:val="20"/>
        </w:rPr>
      </w:pPr>
      <w:r>
        <w:rPr>
          <w:rFonts w:ascii="Gotham" w:hAnsi="Gotham"/>
          <w:sz w:val="20"/>
          <w:szCs w:val="20"/>
        </w:rPr>
        <w:t>ANTECEDENTES</w:t>
      </w:r>
    </w:p>
    <w:p w14:paraId="3A473C32" w14:textId="77777777" w:rsidR="00016FE1" w:rsidRPr="00C447F2" w:rsidRDefault="00016FE1" w:rsidP="002B6227">
      <w:pPr>
        <w:jc w:val="both"/>
        <w:rPr>
          <w:rFonts w:ascii="Gotham" w:hAnsi="Gotham"/>
          <w:sz w:val="20"/>
          <w:szCs w:val="20"/>
        </w:rPr>
      </w:pPr>
    </w:p>
    <w:p w14:paraId="3A473C33" w14:textId="77777777" w:rsidR="00016FE1" w:rsidRPr="00C447F2" w:rsidRDefault="00016FE1" w:rsidP="002B6227">
      <w:pPr>
        <w:ind w:left="567" w:hanging="567"/>
        <w:jc w:val="both"/>
        <w:rPr>
          <w:rFonts w:ascii="Gotham" w:hAnsi="Gotham"/>
          <w:sz w:val="20"/>
          <w:szCs w:val="20"/>
        </w:rPr>
      </w:pPr>
      <w:r w:rsidRPr="00C447F2">
        <w:rPr>
          <w:rFonts w:ascii="Gotham" w:hAnsi="Gotham"/>
          <w:sz w:val="20"/>
          <w:szCs w:val="20"/>
        </w:rPr>
        <w:t xml:space="preserve">I. </w:t>
      </w:r>
      <w:r>
        <w:rPr>
          <w:rFonts w:ascii="Gotham" w:hAnsi="Gotham"/>
          <w:sz w:val="20"/>
          <w:szCs w:val="20"/>
        </w:rPr>
        <w:tab/>
      </w:r>
      <w:r w:rsidRPr="00C447F2">
        <w:rPr>
          <w:rFonts w:ascii="Gotham" w:hAnsi="Gotham"/>
          <w:sz w:val="20"/>
          <w:szCs w:val="20"/>
        </w:rPr>
        <w:t xml:space="preserve">Mediante Acuerdo número 1067 derivado de la Sesión Ordinaria de este Ayuntamiento de fecha 18 de abril del año de 2024, se aprobó turnar a Comisión la iniciativa presentada por la Regidora, </w:t>
      </w:r>
      <w:r w:rsidRPr="00C447F2">
        <w:rPr>
          <w:rFonts w:ascii="Gotham" w:hAnsi="Gotham"/>
          <w:sz w:val="20"/>
          <w:szCs w:val="20"/>
        </w:rPr>
        <w:lastRenderedPageBreak/>
        <w:t>Rocío Acosta Cervantes del Ayuntamiento la cual, entre sus puntos principales, hace referencia a lo siguiente:</w:t>
      </w:r>
    </w:p>
    <w:p w14:paraId="3A473C34" w14:textId="77777777" w:rsidR="00016FE1" w:rsidRPr="00C447F2" w:rsidRDefault="00016FE1" w:rsidP="002B6227">
      <w:pPr>
        <w:jc w:val="both"/>
        <w:rPr>
          <w:rFonts w:ascii="Gotham" w:hAnsi="Gotham"/>
          <w:sz w:val="20"/>
          <w:szCs w:val="20"/>
        </w:rPr>
      </w:pPr>
    </w:p>
    <w:p w14:paraId="3A473C35" w14:textId="77777777" w:rsidR="00016FE1" w:rsidRPr="00277C8B" w:rsidRDefault="00016FE1" w:rsidP="002B6227">
      <w:pPr>
        <w:ind w:left="851" w:right="283"/>
        <w:jc w:val="right"/>
        <w:rPr>
          <w:rFonts w:ascii="Gotham" w:eastAsia="Century" w:hAnsi="Gotham" w:cstheme="minorHAnsi"/>
          <w:b/>
          <w:i/>
          <w:sz w:val="19"/>
          <w:szCs w:val="19"/>
          <w:lang w:val="es-MX" w:eastAsia="en-US"/>
        </w:rPr>
      </w:pPr>
      <w:r w:rsidRPr="00277C8B">
        <w:rPr>
          <w:rFonts w:ascii="Gotham" w:eastAsia="Century" w:hAnsi="Gotham" w:cstheme="minorHAnsi"/>
          <w:b/>
          <w:i/>
          <w:spacing w:val="-1"/>
          <w:sz w:val="19"/>
          <w:szCs w:val="19"/>
          <w:u w:val="single" w:color="000000"/>
        </w:rPr>
        <w:t>AC</w:t>
      </w:r>
      <w:r w:rsidRPr="00277C8B">
        <w:rPr>
          <w:rFonts w:ascii="Gotham" w:eastAsia="Century" w:hAnsi="Gotham" w:cstheme="minorHAnsi"/>
          <w:b/>
          <w:i/>
          <w:sz w:val="19"/>
          <w:szCs w:val="19"/>
          <w:u w:val="single" w:color="000000"/>
        </w:rPr>
        <w:t>U</w:t>
      </w:r>
      <w:r w:rsidRPr="00277C8B">
        <w:rPr>
          <w:rFonts w:ascii="Gotham" w:eastAsia="Century" w:hAnsi="Gotham" w:cstheme="minorHAnsi"/>
          <w:b/>
          <w:i/>
          <w:spacing w:val="1"/>
          <w:sz w:val="19"/>
          <w:szCs w:val="19"/>
          <w:u w:val="single" w:color="000000"/>
        </w:rPr>
        <w:t>E</w:t>
      </w:r>
      <w:r w:rsidRPr="00277C8B">
        <w:rPr>
          <w:rFonts w:ascii="Gotham" w:eastAsia="Century" w:hAnsi="Gotham" w:cstheme="minorHAnsi"/>
          <w:b/>
          <w:i/>
          <w:spacing w:val="-1"/>
          <w:sz w:val="19"/>
          <w:szCs w:val="19"/>
          <w:u w:val="single" w:color="000000"/>
        </w:rPr>
        <w:t>RD</w:t>
      </w:r>
      <w:r w:rsidRPr="00277C8B">
        <w:rPr>
          <w:rFonts w:ascii="Gotham" w:eastAsia="Century" w:hAnsi="Gotham" w:cstheme="minorHAnsi"/>
          <w:b/>
          <w:i/>
          <w:sz w:val="19"/>
          <w:szCs w:val="19"/>
          <w:u w:val="single" w:color="000000"/>
        </w:rPr>
        <w:t>O</w:t>
      </w:r>
      <w:r w:rsidRPr="00277C8B">
        <w:rPr>
          <w:rFonts w:ascii="Gotham" w:eastAsia="Century" w:hAnsi="Gotham" w:cstheme="minorHAnsi"/>
          <w:b/>
          <w:i/>
          <w:spacing w:val="2"/>
          <w:sz w:val="19"/>
          <w:szCs w:val="19"/>
          <w:u w:val="single" w:color="000000"/>
        </w:rPr>
        <w:t xml:space="preserve"> </w:t>
      </w:r>
      <w:r w:rsidRPr="00277C8B">
        <w:rPr>
          <w:rFonts w:ascii="Gotham" w:eastAsia="Century" w:hAnsi="Gotham" w:cstheme="minorHAnsi"/>
          <w:b/>
          <w:i/>
          <w:spacing w:val="-2"/>
          <w:sz w:val="19"/>
          <w:szCs w:val="19"/>
          <w:u w:val="single" w:color="000000"/>
        </w:rPr>
        <w:t>N</w:t>
      </w:r>
      <w:r w:rsidRPr="00277C8B">
        <w:rPr>
          <w:rFonts w:ascii="Gotham" w:eastAsia="Century" w:hAnsi="Gotham" w:cstheme="minorHAnsi"/>
          <w:b/>
          <w:i/>
          <w:spacing w:val="1"/>
          <w:sz w:val="19"/>
          <w:szCs w:val="19"/>
          <w:u w:val="single" w:color="000000"/>
        </w:rPr>
        <w:t>O</w:t>
      </w:r>
      <w:r w:rsidRPr="00277C8B">
        <w:rPr>
          <w:rFonts w:ascii="Gotham" w:eastAsia="Century" w:hAnsi="Gotham" w:cstheme="minorHAnsi"/>
          <w:b/>
          <w:i/>
          <w:sz w:val="19"/>
          <w:szCs w:val="19"/>
          <w:u w:val="single" w:color="000000"/>
        </w:rPr>
        <w:t>.</w:t>
      </w:r>
      <w:r w:rsidRPr="00277C8B">
        <w:rPr>
          <w:rFonts w:ascii="Gotham" w:eastAsia="Century" w:hAnsi="Gotham" w:cstheme="minorHAnsi"/>
          <w:b/>
          <w:i/>
          <w:spacing w:val="1"/>
          <w:sz w:val="19"/>
          <w:szCs w:val="19"/>
          <w:u w:val="single" w:color="000000"/>
        </w:rPr>
        <w:t xml:space="preserve"> </w:t>
      </w:r>
      <w:r w:rsidRPr="00277C8B">
        <w:rPr>
          <w:rFonts w:ascii="Gotham" w:eastAsia="Century" w:hAnsi="Gotham" w:cstheme="minorHAnsi"/>
          <w:b/>
          <w:i/>
          <w:sz w:val="19"/>
          <w:szCs w:val="19"/>
          <w:u w:val="single" w:color="000000"/>
        </w:rPr>
        <w:t>1067</w:t>
      </w:r>
    </w:p>
    <w:p w14:paraId="3A473C36" w14:textId="48C154ED" w:rsidR="00016FE1" w:rsidRPr="00277C8B" w:rsidRDefault="00016FE1" w:rsidP="002B6227">
      <w:pPr>
        <w:ind w:left="851" w:right="283"/>
        <w:jc w:val="both"/>
        <w:rPr>
          <w:rFonts w:ascii="Gotham" w:eastAsia="Century" w:hAnsi="Gotham" w:cstheme="minorHAnsi"/>
          <w:i/>
          <w:sz w:val="19"/>
          <w:szCs w:val="19"/>
        </w:rPr>
      </w:pPr>
      <w:r w:rsidRPr="00277C8B">
        <w:rPr>
          <w:rFonts w:ascii="Gotham" w:eastAsia="Century" w:hAnsi="Gotham" w:cstheme="minorHAnsi"/>
          <w:b/>
          <w:i/>
          <w:smallCaps/>
          <w:sz w:val="19"/>
          <w:szCs w:val="19"/>
        </w:rPr>
        <w:t>Cuarta Iniciativa Con Turno A Comisión</w:t>
      </w:r>
      <w:r w:rsidRPr="00277C8B">
        <w:rPr>
          <w:rFonts w:ascii="Gotham" w:eastAsia="Century" w:hAnsi="Gotham" w:cstheme="minorHAnsi"/>
          <w:i/>
          <w:sz w:val="19"/>
          <w:szCs w:val="19"/>
        </w:rPr>
        <w:t xml:space="preserve">.- En uso de la voz la Regidora Rocío Acosta Cervantes, expresa que, con su venia Presidente, saludo con agrado a los </w:t>
      </w:r>
      <w:r w:rsidR="009B3266" w:rsidRPr="00277C8B">
        <w:rPr>
          <w:rFonts w:ascii="Gotham" w:eastAsia="Century" w:hAnsi="Gotham" w:cstheme="minorHAnsi"/>
          <w:i/>
          <w:sz w:val="19"/>
          <w:szCs w:val="19"/>
        </w:rPr>
        <w:t>presentes</w:t>
      </w:r>
      <w:r w:rsidRPr="00277C8B">
        <w:rPr>
          <w:rFonts w:ascii="Gotham" w:eastAsia="Century" w:hAnsi="Gotham" w:cstheme="minorHAnsi"/>
          <w:i/>
          <w:sz w:val="19"/>
          <w:szCs w:val="19"/>
        </w:rPr>
        <w:t xml:space="preserve"> y a las personas que nos siguen a través de las redes sociales; los dos asuntos que </w:t>
      </w:r>
      <w:r w:rsidR="0059526C" w:rsidRPr="00277C8B">
        <w:rPr>
          <w:rFonts w:ascii="Gotham" w:eastAsia="Century" w:hAnsi="Gotham" w:cstheme="minorHAnsi"/>
          <w:i/>
          <w:sz w:val="19"/>
          <w:szCs w:val="19"/>
        </w:rPr>
        <w:t>present</w:t>
      </w:r>
      <w:r w:rsidR="0059526C">
        <w:rPr>
          <w:rFonts w:ascii="Gotham" w:eastAsia="Century" w:hAnsi="Gotham" w:cstheme="minorHAnsi"/>
          <w:i/>
          <w:sz w:val="19"/>
          <w:szCs w:val="19"/>
        </w:rPr>
        <w:t xml:space="preserve">o </w:t>
      </w:r>
      <w:r w:rsidRPr="00277C8B">
        <w:rPr>
          <w:rFonts w:ascii="Gotham" w:eastAsia="Century" w:hAnsi="Gotham" w:cstheme="minorHAnsi"/>
          <w:i/>
          <w:sz w:val="19"/>
          <w:szCs w:val="19"/>
        </w:rPr>
        <w:t xml:space="preserve">con turno a comisión se derivan de una iniciativa que </w:t>
      </w:r>
      <w:r w:rsidR="0059526C" w:rsidRPr="00277C8B">
        <w:rPr>
          <w:rFonts w:ascii="Gotham" w:eastAsia="Century" w:hAnsi="Gotham" w:cstheme="minorHAnsi"/>
          <w:i/>
          <w:sz w:val="19"/>
          <w:szCs w:val="19"/>
        </w:rPr>
        <w:t>present</w:t>
      </w:r>
      <w:r w:rsidR="0059526C">
        <w:rPr>
          <w:rFonts w:ascii="Gotham" w:eastAsia="Century" w:hAnsi="Gotham" w:cstheme="minorHAnsi"/>
          <w:i/>
          <w:sz w:val="19"/>
          <w:szCs w:val="19"/>
        </w:rPr>
        <w:t xml:space="preserve">ó </w:t>
      </w:r>
      <w:r w:rsidRPr="00277C8B">
        <w:rPr>
          <w:rFonts w:ascii="Gotham" w:eastAsia="Century" w:hAnsi="Gotham" w:cstheme="minorHAnsi"/>
          <w:i/>
          <w:sz w:val="19"/>
          <w:szCs w:val="19"/>
        </w:rPr>
        <w:t xml:space="preserve">la Regidora Karen Dávalos, muy relacionada también con lo que ahorita mencionaba el Síndico Municipal, referente a transitar ya con documentos digitales, lo que se </w:t>
      </w:r>
      <w:r w:rsidR="0059526C" w:rsidRPr="00277C8B">
        <w:rPr>
          <w:rFonts w:ascii="Gotham" w:eastAsia="Century" w:hAnsi="Gotham" w:cstheme="minorHAnsi"/>
          <w:i/>
          <w:sz w:val="19"/>
          <w:szCs w:val="19"/>
        </w:rPr>
        <w:t>posible</w:t>
      </w:r>
      <w:r w:rsidRPr="00277C8B">
        <w:rPr>
          <w:rFonts w:ascii="Gotham" w:eastAsia="Century" w:hAnsi="Gotham" w:cstheme="minorHAnsi"/>
          <w:i/>
          <w:sz w:val="19"/>
          <w:szCs w:val="19"/>
        </w:rPr>
        <w:t>; entonces, se presentan para turnarse a comisión estas dos iniciativas.</w:t>
      </w:r>
    </w:p>
    <w:p w14:paraId="3A473C37" w14:textId="77777777" w:rsidR="00016FE1" w:rsidRPr="00277C8B" w:rsidRDefault="00016FE1" w:rsidP="002B6227">
      <w:pPr>
        <w:ind w:left="851" w:right="283"/>
        <w:jc w:val="both"/>
        <w:rPr>
          <w:rFonts w:ascii="Gotham" w:eastAsia="Century" w:hAnsi="Gotham" w:cstheme="minorHAnsi"/>
          <w:i/>
          <w:sz w:val="19"/>
          <w:szCs w:val="19"/>
        </w:rPr>
      </w:pPr>
    </w:p>
    <w:p w14:paraId="3A473C38" w14:textId="320332FB" w:rsidR="00016FE1" w:rsidRPr="00277C8B" w:rsidRDefault="00016FE1" w:rsidP="002B6227">
      <w:pPr>
        <w:ind w:left="851" w:right="283"/>
        <w:jc w:val="both"/>
        <w:rPr>
          <w:rFonts w:ascii="Gotham" w:eastAsia="Century" w:hAnsi="Gotham" w:cstheme="minorHAnsi"/>
          <w:i/>
          <w:sz w:val="19"/>
          <w:szCs w:val="19"/>
        </w:rPr>
      </w:pPr>
      <w:r w:rsidRPr="00277C8B">
        <w:rPr>
          <w:rFonts w:ascii="Gotham" w:eastAsia="Century" w:hAnsi="Gotham" w:cstheme="minorHAnsi"/>
          <w:i/>
          <w:sz w:val="19"/>
          <w:szCs w:val="19"/>
        </w:rPr>
        <w:t xml:space="preserve">Los que suscriben integrantes de la Comisión Edilicia de Gobierno Digital y Promoción de la Ciudad, en uso de la facultades que nos confieren los artículos 37 fracción II, 40 fracción II, 41 fracción II y 42 fracción VI de la Ley del Gobierno y la Administración Pública Municipal del Estado de Jalisco, así como el artículo 56 del Reglamento del Gobierno y la Administración Pública del Ayuntamiento de Tonalá y los artículos 82 fracción II, 83 y 87 del Reglamento para el funcionamiento Interno de Sesiones del Ayuntamiento de Tonalá, Jalisco, sometemos a consideración de ustedes la siguiente Iniciativa con Turno a Comisión que tiene por objeto Modificar los Artículos 4, 13 y 16 Reglamento De Firma </w:t>
      </w:r>
      <w:r w:rsidR="0059526C" w:rsidRPr="00277C8B">
        <w:rPr>
          <w:rFonts w:ascii="Gotham" w:eastAsia="Century" w:hAnsi="Gotham" w:cstheme="minorHAnsi"/>
          <w:i/>
          <w:sz w:val="19"/>
          <w:szCs w:val="19"/>
        </w:rPr>
        <w:t>Electrónica</w:t>
      </w:r>
      <w:r w:rsidRPr="00277C8B">
        <w:rPr>
          <w:rFonts w:ascii="Gotham" w:eastAsia="Century" w:hAnsi="Gotham" w:cstheme="minorHAnsi"/>
          <w:i/>
          <w:sz w:val="19"/>
          <w:szCs w:val="19"/>
        </w:rPr>
        <w:t xml:space="preserve"> Avanzada del Municipio de Tonalá, Jalisco;, de conformidad con la siguiente:</w:t>
      </w:r>
    </w:p>
    <w:p w14:paraId="3A473C39" w14:textId="77777777" w:rsidR="00016FE1" w:rsidRPr="00277C8B" w:rsidRDefault="00016FE1" w:rsidP="002B6227">
      <w:pPr>
        <w:ind w:left="851" w:right="283"/>
        <w:jc w:val="center"/>
        <w:rPr>
          <w:rFonts w:ascii="Gotham" w:eastAsia="Calibri" w:hAnsi="Gotham"/>
          <w:i/>
          <w:sz w:val="19"/>
          <w:szCs w:val="19"/>
          <w:highlight w:val="yellow"/>
        </w:rPr>
      </w:pPr>
    </w:p>
    <w:p w14:paraId="3A473C3A" w14:textId="77777777" w:rsidR="00016FE1" w:rsidRPr="00277C8B" w:rsidRDefault="00016FE1" w:rsidP="002B6227">
      <w:pPr>
        <w:ind w:left="851" w:right="283"/>
        <w:jc w:val="center"/>
        <w:rPr>
          <w:rFonts w:ascii="Gotham" w:hAnsi="Gotham"/>
          <w:i/>
          <w:sz w:val="19"/>
          <w:szCs w:val="19"/>
        </w:rPr>
      </w:pPr>
      <w:r w:rsidRPr="00277C8B">
        <w:rPr>
          <w:rFonts w:ascii="Gotham" w:hAnsi="Gotham"/>
          <w:i/>
          <w:sz w:val="19"/>
          <w:szCs w:val="19"/>
        </w:rPr>
        <w:t>E X P O S I C I Ó N   D E   M O T I V O S</w:t>
      </w:r>
    </w:p>
    <w:p w14:paraId="3A473C3B" w14:textId="77777777" w:rsidR="00016FE1" w:rsidRPr="00277C8B" w:rsidRDefault="00016FE1" w:rsidP="002B6227">
      <w:pPr>
        <w:ind w:left="851" w:right="283"/>
        <w:jc w:val="both"/>
        <w:rPr>
          <w:rFonts w:ascii="Gotham" w:hAnsi="Gotham"/>
          <w:i/>
          <w:sz w:val="19"/>
          <w:szCs w:val="19"/>
          <w:highlight w:val="yellow"/>
        </w:rPr>
      </w:pPr>
    </w:p>
    <w:p w14:paraId="3A473C3C" w14:textId="77777777" w:rsidR="00016FE1" w:rsidRDefault="00016FE1" w:rsidP="00865062">
      <w:pPr>
        <w:pStyle w:val="Prrafodelista"/>
        <w:numPr>
          <w:ilvl w:val="0"/>
          <w:numId w:val="157"/>
        </w:numPr>
        <w:ind w:left="1276" w:right="283" w:hanging="425"/>
        <w:contextualSpacing w:val="0"/>
        <w:jc w:val="both"/>
        <w:rPr>
          <w:rFonts w:ascii="Gotham" w:hAnsi="Gotham"/>
          <w:i/>
          <w:sz w:val="19"/>
          <w:szCs w:val="19"/>
          <w:lang w:val="es-MX"/>
        </w:rPr>
      </w:pPr>
      <w:r w:rsidRPr="00277C8B">
        <w:rPr>
          <w:rFonts w:ascii="Gotham" w:hAnsi="Gotham"/>
          <w:i/>
          <w:sz w:val="19"/>
          <w:szCs w:val="19"/>
          <w:lang w:val="es-MX"/>
        </w:rPr>
        <w:t>El internet ha revolucionado la manera de comunicarnos, creando espacios de comunicación directa que muy pronto estarán al alcance de todos. En el municipio de Tonalá debemos transitar al uso de las TIC (Tecnología de la Información y la Comunicación) como un medio para mejorar la comunicación interna del municipio.</w:t>
      </w:r>
    </w:p>
    <w:p w14:paraId="3A473C3D" w14:textId="77777777" w:rsidR="00016FE1" w:rsidRPr="00277C8B" w:rsidRDefault="00016FE1" w:rsidP="002B6227">
      <w:pPr>
        <w:pStyle w:val="Prrafodelista"/>
        <w:ind w:left="1276" w:right="283"/>
        <w:contextualSpacing w:val="0"/>
        <w:jc w:val="both"/>
        <w:rPr>
          <w:rFonts w:ascii="Gotham" w:hAnsi="Gotham"/>
          <w:i/>
          <w:sz w:val="19"/>
          <w:szCs w:val="19"/>
          <w:lang w:val="es-MX"/>
        </w:rPr>
      </w:pPr>
    </w:p>
    <w:p w14:paraId="3A473C3E" w14:textId="77777777" w:rsidR="00016FE1" w:rsidRDefault="00016FE1" w:rsidP="00865062">
      <w:pPr>
        <w:pStyle w:val="Prrafodelista"/>
        <w:numPr>
          <w:ilvl w:val="0"/>
          <w:numId w:val="157"/>
        </w:numPr>
        <w:ind w:left="1276" w:right="283" w:hanging="425"/>
        <w:contextualSpacing w:val="0"/>
        <w:jc w:val="both"/>
        <w:rPr>
          <w:rFonts w:ascii="Gotham" w:hAnsi="Gotham"/>
          <w:i/>
          <w:sz w:val="19"/>
          <w:szCs w:val="19"/>
          <w:lang w:val="es-MX"/>
        </w:rPr>
      </w:pPr>
      <w:r w:rsidRPr="00277C8B">
        <w:rPr>
          <w:rFonts w:ascii="Gotham" w:hAnsi="Gotham"/>
          <w:i/>
          <w:sz w:val="19"/>
          <w:szCs w:val="19"/>
          <w:lang w:val="es-MX"/>
        </w:rPr>
        <w:t>Según lo establece la Secretaria de la Función Pública se entiende por Gobierno electrónico o Gobierno Digital el “aprovechamiento de las tecnologías de la información y comunicaciones (TIC) en la mejora de la gestión interna de la administración pública.</w:t>
      </w:r>
    </w:p>
    <w:p w14:paraId="3A473C3F" w14:textId="77777777" w:rsidR="00016FE1" w:rsidRPr="00277C8B" w:rsidRDefault="00016FE1" w:rsidP="002B6227">
      <w:pPr>
        <w:pStyle w:val="Prrafodelista"/>
        <w:contextualSpacing w:val="0"/>
        <w:rPr>
          <w:rFonts w:ascii="Gotham" w:hAnsi="Gotham"/>
          <w:i/>
          <w:sz w:val="19"/>
          <w:szCs w:val="19"/>
          <w:lang w:val="es-MX"/>
        </w:rPr>
      </w:pPr>
    </w:p>
    <w:p w14:paraId="3A473C40" w14:textId="77777777" w:rsidR="00016FE1" w:rsidRDefault="00016FE1" w:rsidP="00865062">
      <w:pPr>
        <w:pStyle w:val="Prrafodelista"/>
        <w:numPr>
          <w:ilvl w:val="0"/>
          <w:numId w:val="157"/>
        </w:numPr>
        <w:ind w:left="1276" w:right="283" w:hanging="425"/>
        <w:contextualSpacing w:val="0"/>
        <w:jc w:val="both"/>
        <w:rPr>
          <w:rFonts w:ascii="Gotham" w:hAnsi="Gotham"/>
          <w:i/>
          <w:sz w:val="19"/>
          <w:szCs w:val="19"/>
          <w:lang w:val="es-MX"/>
        </w:rPr>
      </w:pPr>
      <w:r w:rsidRPr="00277C8B">
        <w:rPr>
          <w:rFonts w:ascii="Gotham" w:hAnsi="Gotham"/>
          <w:i/>
          <w:sz w:val="19"/>
          <w:szCs w:val="19"/>
          <w:lang w:val="es-MX"/>
        </w:rPr>
        <w:t>La tendencia de los gobiernos en los diferentes ámbitos de competencia es la de impulsar el uso y aprovechamiento de la informática, el gobierno digital, las tecnologías de la información y comunicación, y desde luego la seguridad informática en la Administración Pública para lograr una mayor eficacia basada en la reducción de tiempos y costos en los procesos.</w:t>
      </w:r>
    </w:p>
    <w:p w14:paraId="3A473C41" w14:textId="77777777" w:rsidR="00016FE1" w:rsidRPr="00277C8B" w:rsidRDefault="00016FE1" w:rsidP="002B6227">
      <w:pPr>
        <w:pStyle w:val="Prrafodelista"/>
        <w:contextualSpacing w:val="0"/>
        <w:rPr>
          <w:rFonts w:ascii="Gotham" w:hAnsi="Gotham"/>
          <w:i/>
          <w:sz w:val="19"/>
          <w:szCs w:val="19"/>
          <w:lang w:val="es-MX"/>
        </w:rPr>
      </w:pPr>
    </w:p>
    <w:p w14:paraId="3A473C42" w14:textId="77777777" w:rsidR="00016FE1" w:rsidRDefault="00016FE1" w:rsidP="00865062">
      <w:pPr>
        <w:pStyle w:val="Prrafodelista"/>
        <w:numPr>
          <w:ilvl w:val="0"/>
          <w:numId w:val="157"/>
        </w:numPr>
        <w:ind w:left="1276" w:right="283" w:hanging="425"/>
        <w:contextualSpacing w:val="0"/>
        <w:jc w:val="both"/>
        <w:rPr>
          <w:rFonts w:ascii="Gotham" w:hAnsi="Gotham"/>
          <w:i/>
          <w:sz w:val="19"/>
          <w:szCs w:val="19"/>
          <w:lang w:val="es-MX"/>
        </w:rPr>
      </w:pPr>
      <w:r w:rsidRPr="00277C8B">
        <w:rPr>
          <w:rFonts w:ascii="Gotham" w:hAnsi="Gotham"/>
          <w:i/>
          <w:sz w:val="19"/>
          <w:szCs w:val="19"/>
          <w:lang w:val="es-MX"/>
        </w:rPr>
        <w:t>Para el municipio de Tonalá debe ser prioritario el uso de estas herramientas digitales como lo es la Firma Electrónica Avanzada, esta tiene la finalidad de simplificar, facilitar y agilizar los actos de y negocios jurídicos, comunicaciones y procedimientos administrativos entre los distintos sujetos obligados de la administración pública y con esto se asegura o autentifica la identidad del autor de la información contenida en los oficios utilizados para la comunicación interna del municipio.</w:t>
      </w:r>
    </w:p>
    <w:p w14:paraId="3A473C43" w14:textId="77777777" w:rsidR="00016FE1" w:rsidRPr="00277C8B" w:rsidRDefault="00016FE1" w:rsidP="002B6227">
      <w:pPr>
        <w:pStyle w:val="Prrafodelista"/>
        <w:contextualSpacing w:val="0"/>
        <w:rPr>
          <w:rFonts w:ascii="Gotham" w:hAnsi="Gotham"/>
          <w:i/>
          <w:sz w:val="19"/>
          <w:szCs w:val="19"/>
          <w:lang w:val="es-MX"/>
        </w:rPr>
      </w:pPr>
    </w:p>
    <w:p w14:paraId="3A473C44" w14:textId="77777777" w:rsidR="00016FE1" w:rsidRPr="00277C8B" w:rsidRDefault="00016FE1" w:rsidP="00865062">
      <w:pPr>
        <w:pStyle w:val="Prrafodelista"/>
        <w:numPr>
          <w:ilvl w:val="0"/>
          <w:numId w:val="157"/>
        </w:numPr>
        <w:ind w:left="1276" w:right="283" w:hanging="425"/>
        <w:contextualSpacing w:val="0"/>
        <w:jc w:val="both"/>
        <w:rPr>
          <w:rFonts w:ascii="Gotham" w:hAnsi="Gotham"/>
          <w:i/>
          <w:sz w:val="19"/>
          <w:szCs w:val="19"/>
          <w:lang w:val="es-MX"/>
        </w:rPr>
      </w:pPr>
      <w:r w:rsidRPr="00277C8B">
        <w:rPr>
          <w:rFonts w:ascii="Gotham" w:hAnsi="Gotham"/>
          <w:i/>
          <w:sz w:val="19"/>
          <w:szCs w:val="19"/>
          <w:lang w:val="es-MX"/>
        </w:rPr>
        <w:t>Actualmente el municipio ya cuenta con un Reglamento de Firma Electrónica Avanzada, sin embargo, este no se encuentra actualizado con relación a los cambios que se hicieron en el organigrama del municipio con respecto a la anterior Administración Pública del 2018 a 2021, por lo que es necesario actualizar el reglamento para que se encuentre funcional en cuanto a la actual organización de este H., Ayuntamiento de Tonalá.</w:t>
      </w:r>
    </w:p>
    <w:p w14:paraId="3A473C45" w14:textId="77777777" w:rsidR="00016FE1" w:rsidRPr="00277C8B" w:rsidRDefault="00016FE1" w:rsidP="002B6227">
      <w:pPr>
        <w:pStyle w:val="Prrafodelista"/>
        <w:ind w:left="851" w:right="283"/>
        <w:contextualSpacing w:val="0"/>
        <w:jc w:val="both"/>
        <w:rPr>
          <w:rFonts w:ascii="Gotham" w:hAnsi="Gotham"/>
          <w:i/>
          <w:sz w:val="19"/>
          <w:szCs w:val="19"/>
          <w:lang w:val="es-MX"/>
        </w:rPr>
      </w:pPr>
    </w:p>
    <w:p w14:paraId="3A473C46" w14:textId="77777777" w:rsidR="00016FE1" w:rsidRPr="00277C8B" w:rsidRDefault="00016FE1" w:rsidP="002B6227">
      <w:pPr>
        <w:pStyle w:val="Prrafodelista"/>
        <w:ind w:left="851" w:right="283"/>
        <w:contextualSpacing w:val="0"/>
        <w:jc w:val="both"/>
        <w:rPr>
          <w:rFonts w:ascii="Gotham" w:hAnsi="Gotham"/>
          <w:i/>
          <w:sz w:val="19"/>
          <w:szCs w:val="19"/>
          <w:lang w:val="es-MX"/>
        </w:rPr>
      </w:pPr>
      <w:r w:rsidRPr="00277C8B">
        <w:rPr>
          <w:rFonts w:ascii="Gotham" w:hAnsi="Gotham"/>
          <w:i/>
          <w:sz w:val="19"/>
          <w:szCs w:val="19"/>
          <w:lang w:val="es-MX"/>
        </w:rPr>
        <w:t>Por tal motivo, es que pongo a consideración la modificación de los siguientes artículos del Reglamento en cita:</w:t>
      </w:r>
    </w:p>
    <w:p w14:paraId="3A473C47" w14:textId="77777777" w:rsidR="00016FE1" w:rsidRPr="00277C8B" w:rsidRDefault="00016FE1" w:rsidP="002B6227">
      <w:pPr>
        <w:pStyle w:val="Prrafodelista"/>
        <w:ind w:left="851" w:right="283"/>
        <w:contextualSpacing w:val="0"/>
        <w:jc w:val="both"/>
        <w:rPr>
          <w:rFonts w:ascii="Gotham" w:hAnsi="Gotham"/>
          <w:i/>
          <w:sz w:val="19"/>
          <w:szCs w:val="19"/>
          <w:lang w:val="es-MX"/>
        </w:rPr>
      </w:pPr>
    </w:p>
    <w:tbl>
      <w:tblPr>
        <w:tblStyle w:val="Tablaconcuadrcula"/>
        <w:tblW w:w="0" w:type="auto"/>
        <w:jc w:val="right"/>
        <w:tblLook w:val="04A0" w:firstRow="1" w:lastRow="0" w:firstColumn="1" w:lastColumn="0" w:noHBand="0" w:noVBand="1"/>
      </w:tblPr>
      <w:tblGrid>
        <w:gridCol w:w="4706"/>
        <w:gridCol w:w="4706"/>
      </w:tblGrid>
      <w:tr w:rsidR="00016FE1" w:rsidRPr="00277C8B" w14:paraId="3A473C4A" w14:textId="77777777" w:rsidTr="00AD51C5">
        <w:trPr>
          <w:jc w:val="right"/>
        </w:trPr>
        <w:tc>
          <w:tcPr>
            <w:tcW w:w="4706" w:type="dxa"/>
            <w:tcBorders>
              <w:top w:val="single" w:sz="4" w:space="0" w:color="auto"/>
              <w:left w:val="single" w:sz="4" w:space="0" w:color="auto"/>
              <w:bottom w:val="single" w:sz="4" w:space="0" w:color="auto"/>
              <w:right w:val="single" w:sz="4" w:space="0" w:color="auto"/>
            </w:tcBorders>
            <w:hideMark/>
          </w:tcPr>
          <w:p w14:paraId="3A473C48" w14:textId="77777777" w:rsidR="00016FE1" w:rsidRPr="00277C8B" w:rsidRDefault="00016FE1" w:rsidP="002B6227">
            <w:pPr>
              <w:pStyle w:val="Prrafodelista"/>
              <w:spacing w:before="120" w:after="120"/>
              <w:ind w:left="0"/>
              <w:contextualSpacing w:val="0"/>
              <w:jc w:val="center"/>
              <w:rPr>
                <w:rFonts w:ascii="Gotham" w:hAnsi="Gotham" w:cs="Arial"/>
                <w:b/>
                <w:bCs/>
                <w:i/>
                <w:sz w:val="18"/>
                <w:szCs w:val="18"/>
                <w:lang w:val="es-MX"/>
              </w:rPr>
            </w:pPr>
            <w:r w:rsidRPr="00277C8B">
              <w:rPr>
                <w:rFonts w:ascii="Gotham" w:hAnsi="Gotham" w:cs="Arial"/>
                <w:b/>
                <w:bCs/>
                <w:i/>
                <w:sz w:val="18"/>
                <w:szCs w:val="18"/>
                <w:lang w:val="es-MX"/>
              </w:rPr>
              <w:t>TEXTO VIGENTE</w:t>
            </w:r>
          </w:p>
        </w:tc>
        <w:tc>
          <w:tcPr>
            <w:tcW w:w="4706" w:type="dxa"/>
            <w:tcBorders>
              <w:top w:val="single" w:sz="4" w:space="0" w:color="auto"/>
              <w:left w:val="single" w:sz="4" w:space="0" w:color="auto"/>
              <w:bottom w:val="single" w:sz="4" w:space="0" w:color="auto"/>
              <w:right w:val="single" w:sz="4" w:space="0" w:color="auto"/>
            </w:tcBorders>
            <w:hideMark/>
          </w:tcPr>
          <w:p w14:paraId="3A473C49" w14:textId="77777777" w:rsidR="00016FE1" w:rsidRPr="00277C8B" w:rsidRDefault="00016FE1" w:rsidP="002B6227">
            <w:pPr>
              <w:pStyle w:val="Prrafodelista"/>
              <w:spacing w:before="120" w:after="120"/>
              <w:ind w:left="0"/>
              <w:contextualSpacing w:val="0"/>
              <w:jc w:val="center"/>
              <w:rPr>
                <w:rFonts w:ascii="Gotham" w:hAnsi="Gotham" w:cs="Arial"/>
                <w:b/>
                <w:bCs/>
                <w:i/>
                <w:sz w:val="18"/>
                <w:szCs w:val="18"/>
                <w:lang w:val="es-MX"/>
              </w:rPr>
            </w:pPr>
            <w:r w:rsidRPr="00277C8B">
              <w:rPr>
                <w:rFonts w:ascii="Gotham" w:hAnsi="Gotham" w:cs="Arial"/>
                <w:b/>
                <w:bCs/>
                <w:i/>
                <w:sz w:val="18"/>
                <w:szCs w:val="18"/>
                <w:lang w:val="es-MX"/>
              </w:rPr>
              <w:t>PROPUESTA</w:t>
            </w:r>
          </w:p>
        </w:tc>
      </w:tr>
      <w:tr w:rsidR="00016FE1" w:rsidRPr="00277C8B" w14:paraId="3A473C4F" w14:textId="77777777" w:rsidTr="00AD51C5">
        <w:trPr>
          <w:jc w:val="right"/>
        </w:trPr>
        <w:tc>
          <w:tcPr>
            <w:tcW w:w="4706" w:type="dxa"/>
            <w:tcBorders>
              <w:top w:val="single" w:sz="4" w:space="0" w:color="auto"/>
              <w:left w:val="single" w:sz="4" w:space="0" w:color="auto"/>
              <w:bottom w:val="single" w:sz="4" w:space="0" w:color="auto"/>
              <w:right w:val="single" w:sz="4" w:space="0" w:color="auto"/>
            </w:tcBorders>
            <w:hideMark/>
          </w:tcPr>
          <w:p w14:paraId="3A473C4B" w14:textId="77777777" w:rsidR="00016FE1" w:rsidRPr="00277C8B" w:rsidRDefault="00016FE1" w:rsidP="008A612D">
            <w:pPr>
              <w:pStyle w:val="Prrafodelista"/>
              <w:spacing w:before="120" w:after="120"/>
              <w:ind w:left="0"/>
              <w:contextualSpacing w:val="0"/>
              <w:jc w:val="both"/>
              <w:rPr>
                <w:rFonts w:ascii="Gotham" w:hAnsi="Gotham" w:cs="Arial"/>
                <w:i/>
                <w:sz w:val="18"/>
                <w:szCs w:val="18"/>
                <w:lang w:val="es-MX"/>
              </w:rPr>
            </w:pPr>
            <w:r w:rsidRPr="00277C8B">
              <w:rPr>
                <w:rFonts w:ascii="Gotham" w:hAnsi="Gotham" w:cs="Arial"/>
                <w:b/>
                <w:bCs/>
                <w:i/>
                <w:sz w:val="18"/>
                <w:szCs w:val="18"/>
                <w:lang w:val="es-MX"/>
              </w:rPr>
              <w:t>Artículo 4.</w:t>
            </w:r>
            <w:r w:rsidRPr="00277C8B">
              <w:rPr>
                <w:rFonts w:ascii="Gotham" w:hAnsi="Gotham" w:cs="Arial"/>
                <w:i/>
                <w:sz w:val="18"/>
                <w:szCs w:val="18"/>
                <w:lang w:val="es-MX"/>
              </w:rPr>
              <w:t xml:space="preserve"> Para los efectos del presente reglamento, se entiende por:</w:t>
            </w:r>
          </w:p>
          <w:p w14:paraId="3A473C4C" w14:textId="77777777" w:rsidR="00016FE1" w:rsidRPr="00277C8B" w:rsidRDefault="00016FE1" w:rsidP="008A612D">
            <w:pPr>
              <w:pStyle w:val="Prrafodelista"/>
              <w:spacing w:before="120" w:after="120"/>
              <w:ind w:left="0"/>
              <w:contextualSpacing w:val="0"/>
              <w:jc w:val="both"/>
              <w:rPr>
                <w:rFonts w:ascii="Gotham" w:hAnsi="Gotham" w:cs="Arial"/>
                <w:i/>
                <w:sz w:val="18"/>
                <w:szCs w:val="18"/>
                <w:lang w:val="es-MX"/>
              </w:rPr>
            </w:pPr>
            <w:r w:rsidRPr="00277C8B">
              <w:rPr>
                <w:rFonts w:ascii="Gotham" w:hAnsi="Gotham" w:cs="Arial"/>
                <w:i/>
                <w:sz w:val="18"/>
                <w:szCs w:val="18"/>
                <w:lang w:val="es-MX"/>
              </w:rPr>
              <w:t>VIII. Dirección: La Dirección de Innovación Gubernamental</w:t>
            </w:r>
          </w:p>
        </w:tc>
        <w:tc>
          <w:tcPr>
            <w:tcW w:w="4706" w:type="dxa"/>
            <w:tcBorders>
              <w:top w:val="single" w:sz="4" w:space="0" w:color="auto"/>
              <w:left w:val="single" w:sz="4" w:space="0" w:color="auto"/>
              <w:bottom w:val="single" w:sz="4" w:space="0" w:color="auto"/>
              <w:right w:val="single" w:sz="4" w:space="0" w:color="auto"/>
            </w:tcBorders>
            <w:hideMark/>
          </w:tcPr>
          <w:p w14:paraId="3A473C4D" w14:textId="77777777" w:rsidR="00016FE1" w:rsidRPr="00277C8B" w:rsidRDefault="00016FE1" w:rsidP="008A612D">
            <w:pPr>
              <w:pStyle w:val="Prrafodelista"/>
              <w:spacing w:before="120" w:after="120"/>
              <w:ind w:left="0"/>
              <w:contextualSpacing w:val="0"/>
              <w:jc w:val="both"/>
              <w:rPr>
                <w:rFonts w:ascii="Gotham" w:hAnsi="Gotham" w:cs="Arial"/>
                <w:i/>
                <w:sz w:val="18"/>
                <w:szCs w:val="18"/>
                <w:lang w:val="es-MX"/>
              </w:rPr>
            </w:pPr>
            <w:r w:rsidRPr="00277C8B">
              <w:rPr>
                <w:rFonts w:ascii="Gotham" w:hAnsi="Gotham" w:cs="Arial"/>
                <w:b/>
                <w:bCs/>
                <w:i/>
                <w:sz w:val="18"/>
                <w:szCs w:val="18"/>
                <w:lang w:val="es-MX"/>
              </w:rPr>
              <w:t>Artículo 4.</w:t>
            </w:r>
            <w:r w:rsidRPr="00277C8B">
              <w:rPr>
                <w:rFonts w:ascii="Gotham" w:hAnsi="Gotham" w:cs="Arial"/>
                <w:i/>
                <w:sz w:val="18"/>
                <w:szCs w:val="18"/>
                <w:lang w:val="es-MX"/>
              </w:rPr>
              <w:t xml:space="preserve"> Para los efectos del presente reglamento, se entiende por:</w:t>
            </w:r>
          </w:p>
          <w:p w14:paraId="3A473C4E" w14:textId="77777777" w:rsidR="00016FE1" w:rsidRPr="00277C8B" w:rsidRDefault="00016FE1" w:rsidP="008A612D">
            <w:pPr>
              <w:pStyle w:val="Prrafodelista"/>
              <w:spacing w:before="120" w:after="120"/>
              <w:ind w:left="0"/>
              <w:contextualSpacing w:val="0"/>
              <w:jc w:val="both"/>
              <w:rPr>
                <w:rFonts w:ascii="Gotham" w:hAnsi="Gotham" w:cs="Arial"/>
                <w:b/>
                <w:bCs/>
                <w:i/>
                <w:sz w:val="18"/>
                <w:szCs w:val="18"/>
                <w:lang w:val="es-MX"/>
              </w:rPr>
            </w:pPr>
            <w:r w:rsidRPr="00277C8B">
              <w:rPr>
                <w:rFonts w:ascii="Gotham" w:hAnsi="Gotham" w:cs="Arial"/>
                <w:b/>
                <w:bCs/>
                <w:i/>
                <w:sz w:val="18"/>
                <w:szCs w:val="18"/>
                <w:lang w:val="es-MX"/>
              </w:rPr>
              <w:t>VIII. Dirección: La Dirección General de Administración y Desarrollo Humano.</w:t>
            </w:r>
          </w:p>
        </w:tc>
      </w:tr>
      <w:tr w:rsidR="00016FE1" w:rsidRPr="00277C8B" w14:paraId="3A473C52" w14:textId="77777777" w:rsidTr="00AD51C5">
        <w:trPr>
          <w:jc w:val="right"/>
        </w:trPr>
        <w:tc>
          <w:tcPr>
            <w:tcW w:w="4706" w:type="dxa"/>
            <w:tcBorders>
              <w:top w:val="single" w:sz="4" w:space="0" w:color="auto"/>
              <w:left w:val="single" w:sz="4" w:space="0" w:color="auto"/>
              <w:bottom w:val="single" w:sz="4" w:space="0" w:color="auto"/>
              <w:right w:val="single" w:sz="4" w:space="0" w:color="auto"/>
            </w:tcBorders>
            <w:hideMark/>
          </w:tcPr>
          <w:p w14:paraId="3A473C50" w14:textId="77777777" w:rsidR="00016FE1" w:rsidRPr="00277C8B" w:rsidRDefault="00016FE1" w:rsidP="008A612D">
            <w:pPr>
              <w:pStyle w:val="Prrafodelista"/>
              <w:spacing w:before="120" w:after="120"/>
              <w:ind w:left="0"/>
              <w:contextualSpacing w:val="0"/>
              <w:jc w:val="both"/>
              <w:rPr>
                <w:rFonts w:ascii="Gotham" w:hAnsi="Gotham" w:cs="Arial"/>
                <w:i/>
                <w:sz w:val="18"/>
                <w:szCs w:val="18"/>
                <w:lang w:val="es-MX"/>
              </w:rPr>
            </w:pPr>
            <w:r w:rsidRPr="00277C8B">
              <w:rPr>
                <w:rFonts w:ascii="Gotham" w:hAnsi="Gotham" w:cs="Arial"/>
                <w:b/>
                <w:bCs/>
                <w:i/>
                <w:sz w:val="18"/>
                <w:szCs w:val="18"/>
                <w:lang w:val="es-MX"/>
              </w:rPr>
              <w:t xml:space="preserve">Artículo 13.- </w:t>
            </w:r>
            <w:r w:rsidRPr="00277C8B">
              <w:rPr>
                <w:rFonts w:ascii="Gotham" w:hAnsi="Gotham" w:cs="Arial"/>
                <w:i/>
                <w:sz w:val="18"/>
                <w:szCs w:val="18"/>
                <w:lang w:val="es-MX"/>
              </w:rPr>
              <w:t>La Coordinación General de Administración e Innovación Gubernamental, a través de la Dirección de Innovación Gubernamental, es la dependencia encargada de otorgar la autorización para el uso de la E.FIRMA y establecer los procedimientos y trámites para su obtención o, en su caso, revocación, misma que tendrá las siguientes atribuciones:</w:t>
            </w:r>
          </w:p>
        </w:tc>
        <w:tc>
          <w:tcPr>
            <w:tcW w:w="4706" w:type="dxa"/>
            <w:tcBorders>
              <w:top w:val="single" w:sz="4" w:space="0" w:color="auto"/>
              <w:left w:val="single" w:sz="4" w:space="0" w:color="auto"/>
              <w:bottom w:val="single" w:sz="4" w:space="0" w:color="auto"/>
              <w:right w:val="single" w:sz="4" w:space="0" w:color="auto"/>
            </w:tcBorders>
            <w:hideMark/>
          </w:tcPr>
          <w:p w14:paraId="3A473C51" w14:textId="77777777" w:rsidR="00016FE1" w:rsidRPr="00277C8B" w:rsidRDefault="00016FE1" w:rsidP="008A612D">
            <w:pPr>
              <w:pStyle w:val="Prrafodelista"/>
              <w:spacing w:before="120" w:after="120"/>
              <w:ind w:left="0"/>
              <w:contextualSpacing w:val="0"/>
              <w:jc w:val="both"/>
              <w:rPr>
                <w:rFonts w:ascii="Gotham" w:hAnsi="Gotham" w:cs="Arial"/>
                <w:i/>
                <w:sz w:val="18"/>
                <w:szCs w:val="18"/>
                <w:lang w:val="es-MX"/>
              </w:rPr>
            </w:pPr>
            <w:r w:rsidRPr="00277C8B">
              <w:rPr>
                <w:rFonts w:ascii="Gotham" w:hAnsi="Gotham" w:cs="Arial"/>
                <w:b/>
                <w:bCs/>
                <w:i/>
                <w:sz w:val="18"/>
                <w:szCs w:val="18"/>
                <w:lang w:val="es-MX"/>
              </w:rPr>
              <w:t>Artículo 13.- La Dirección General de Administración y Desarrollo humano</w:t>
            </w:r>
            <w:r w:rsidRPr="00277C8B">
              <w:rPr>
                <w:rFonts w:ascii="Gotham" w:hAnsi="Gotham" w:cs="Arial"/>
                <w:i/>
                <w:sz w:val="18"/>
                <w:szCs w:val="18"/>
                <w:lang w:val="es-MX"/>
              </w:rPr>
              <w:t>, es la dependencia encargada de otorgar la autorización para el uso de la E.FIRMA y establecer los procedimientos y trámites para su obtención o, en su caso, revocación, misma que tendrá las siguientes atribuciones:</w:t>
            </w:r>
          </w:p>
        </w:tc>
      </w:tr>
      <w:tr w:rsidR="00016FE1" w:rsidRPr="00277C8B" w14:paraId="3A473C73" w14:textId="77777777" w:rsidTr="00AD51C5">
        <w:trPr>
          <w:jc w:val="right"/>
        </w:trPr>
        <w:tc>
          <w:tcPr>
            <w:tcW w:w="4706" w:type="dxa"/>
            <w:tcBorders>
              <w:top w:val="single" w:sz="4" w:space="0" w:color="auto"/>
              <w:left w:val="single" w:sz="4" w:space="0" w:color="auto"/>
              <w:bottom w:val="single" w:sz="4" w:space="0" w:color="auto"/>
              <w:right w:val="single" w:sz="4" w:space="0" w:color="auto"/>
            </w:tcBorders>
          </w:tcPr>
          <w:p w14:paraId="3A473C53" w14:textId="77777777" w:rsidR="00016FE1" w:rsidRPr="00277C8B" w:rsidRDefault="00016FE1" w:rsidP="008A612D">
            <w:pPr>
              <w:pStyle w:val="Prrafodelista"/>
              <w:spacing w:before="120" w:after="120"/>
              <w:ind w:left="0"/>
              <w:contextualSpacing w:val="0"/>
              <w:jc w:val="both"/>
              <w:rPr>
                <w:rFonts w:ascii="Gotham" w:hAnsi="Gotham" w:cs="Arial"/>
                <w:i/>
                <w:sz w:val="18"/>
                <w:szCs w:val="18"/>
                <w:lang w:val="es-MX"/>
              </w:rPr>
            </w:pPr>
            <w:r w:rsidRPr="00277C8B">
              <w:rPr>
                <w:rFonts w:ascii="Gotham" w:hAnsi="Gotham" w:cs="Arial"/>
                <w:b/>
                <w:bCs/>
                <w:i/>
                <w:sz w:val="18"/>
                <w:szCs w:val="18"/>
                <w:lang w:val="es-MX"/>
              </w:rPr>
              <w:t>Artículo 16.- Se</w:t>
            </w:r>
            <w:r w:rsidRPr="00277C8B">
              <w:rPr>
                <w:rFonts w:ascii="Gotham" w:hAnsi="Gotham" w:cs="Arial"/>
                <w:i/>
                <w:sz w:val="18"/>
                <w:szCs w:val="18"/>
                <w:lang w:val="es-MX"/>
              </w:rPr>
              <w:t xml:space="preserve"> encuentran obligados al uso de la E.FIRMA las o los titulares de:</w:t>
            </w:r>
          </w:p>
          <w:p w14:paraId="3A473C54"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Presidencia Municipal;</w:t>
            </w:r>
          </w:p>
          <w:p w14:paraId="3A473C55"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Sindicatura;</w:t>
            </w:r>
          </w:p>
          <w:p w14:paraId="3A473C56"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Las Regidurías;</w:t>
            </w:r>
          </w:p>
          <w:p w14:paraId="3A473C57"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Secretaría General;</w:t>
            </w:r>
          </w:p>
          <w:p w14:paraId="3A473C58"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Jefatura de Gabinete;</w:t>
            </w:r>
          </w:p>
          <w:p w14:paraId="3A473C59"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Tesorería;</w:t>
            </w:r>
          </w:p>
          <w:p w14:paraId="3A473C5A"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Contraloría;</w:t>
            </w:r>
          </w:p>
          <w:p w14:paraId="3A473C5B"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Comisaría de la Policía Preventiva Municipal;</w:t>
            </w:r>
          </w:p>
          <w:p w14:paraId="3A473C5C"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Coordinación General de Servicios Municipales;</w:t>
            </w:r>
          </w:p>
          <w:p w14:paraId="3A473C5D"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Coordinación General de Participación Ciudadana y Construcción de Comunidad;</w:t>
            </w:r>
          </w:p>
          <w:p w14:paraId="3A473C5E"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Coordinación General de Desarrollo Económico y Combate a la Desigualdad;</w:t>
            </w:r>
          </w:p>
          <w:p w14:paraId="3A473C5F"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Coordinación General de Administración e Innovación Gubernamental;</w:t>
            </w:r>
          </w:p>
          <w:p w14:paraId="3A473C60"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Las Direcciones Generales;</w:t>
            </w:r>
          </w:p>
          <w:p w14:paraId="3A473C61"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Direcciones de Unidades Administrativas y Agencias Municipales; y</w:t>
            </w:r>
          </w:p>
          <w:p w14:paraId="3A473C62" w14:textId="77777777" w:rsidR="00016FE1" w:rsidRPr="00277C8B" w:rsidRDefault="00016FE1" w:rsidP="00865062">
            <w:pPr>
              <w:pStyle w:val="Prrafodelista"/>
              <w:numPr>
                <w:ilvl w:val="0"/>
                <w:numId w:val="158"/>
              </w:numPr>
              <w:spacing w:before="120" w:after="120"/>
              <w:ind w:left="738"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Las Jefaturas de Enlace Administrativo.</w:t>
            </w:r>
          </w:p>
        </w:tc>
        <w:tc>
          <w:tcPr>
            <w:tcW w:w="4706" w:type="dxa"/>
            <w:tcBorders>
              <w:top w:val="single" w:sz="4" w:space="0" w:color="auto"/>
              <w:left w:val="single" w:sz="4" w:space="0" w:color="auto"/>
              <w:bottom w:val="single" w:sz="4" w:space="0" w:color="auto"/>
              <w:right w:val="single" w:sz="4" w:space="0" w:color="auto"/>
            </w:tcBorders>
          </w:tcPr>
          <w:p w14:paraId="3A473C63" w14:textId="77777777" w:rsidR="00016FE1" w:rsidRPr="00277C8B" w:rsidRDefault="00016FE1" w:rsidP="008A612D">
            <w:pPr>
              <w:pStyle w:val="Prrafodelista"/>
              <w:spacing w:before="120" w:after="120"/>
              <w:ind w:left="0"/>
              <w:contextualSpacing w:val="0"/>
              <w:jc w:val="both"/>
              <w:rPr>
                <w:rFonts w:ascii="Gotham" w:hAnsi="Gotham" w:cs="Arial"/>
                <w:i/>
                <w:sz w:val="18"/>
                <w:szCs w:val="18"/>
                <w:lang w:val="es-MX"/>
              </w:rPr>
            </w:pPr>
            <w:r w:rsidRPr="00277C8B">
              <w:rPr>
                <w:rFonts w:ascii="Gotham" w:hAnsi="Gotham" w:cs="Arial"/>
                <w:b/>
                <w:bCs/>
                <w:i/>
                <w:sz w:val="18"/>
                <w:szCs w:val="18"/>
                <w:lang w:val="es-MX"/>
              </w:rPr>
              <w:t>Artículo 16.- Se</w:t>
            </w:r>
            <w:r w:rsidRPr="00277C8B">
              <w:rPr>
                <w:rFonts w:ascii="Gotham" w:hAnsi="Gotham" w:cs="Arial"/>
                <w:i/>
                <w:sz w:val="18"/>
                <w:szCs w:val="18"/>
                <w:lang w:val="es-MX"/>
              </w:rPr>
              <w:t xml:space="preserve"> encuentran obligados al uso de la E.FIRMA las o los titulares de:</w:t>
            </w:r>
          </w:p>
          <w:p w14:paraId="3A473C64"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Presidencia Municipal;</w:t>
            </w:r>
          </w:p>
          <w:p w14:paraId="3A473C65"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Sindicatura;</w:t>
            </w:r>
          </w:p>
          <w:p w14:paraId="3A473C66"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Las Regidurías;</w:t>
            </w:r>
          </w:p>
          <w:p w14:paraId="3A473C67"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Secretaría General;</w:t>
            </w:r>
          </w:p>
          <w:p w14:paraId="3A473C68"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Jefatura de Gabinete;</w:t>
            </w:r>
          </w:p>
          <w:p w14:paraId="3A473C69"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 Tesorería;</w:t>
            </w:r>
          </w:p>
          <w:p w14:paraId="3A473C6A"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b/>
                <w:bCs/>
                <w:i/>
                <w:sz w:val="18"/>
                <w:szCs w:val="18"/>
                <w:lang w:val="es-MX" w:eastAsia="es-MX"/>
              </w:rPr>
            </w:pPr>
            <w:r w:rsidRPr="00277C8B">
              <w:rPr>
                <w:rFonts w:ascii="Gotham" w:hAnsi="Gotham" w:cs="Arial"/>
                <w:b/>
                <w:bCs/>
                <w:i/>
                <w:sz w:val="18"/>
                <w:szCs w:val="18"/>
                <w:lang w:val="es-MX" w:eastAsia="es-MX"/>
              </w:rPr>
              <w:t>El Órgano Interno de Control;</w:t>
            </w:r>
          </w:p>
          <w:p w14:paraId="3A473C6B"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b/>
                <w:bCs/>
                <w:i/>
                <w:sz w:val="18"/>
                <w:szCs w:val="18"/>
                <w:lang w:val="es-MX" w:eastAsia="es-MX"/>
              </w:rPr>
            </w:pPr>
            <w:r w:rsidRPr="00277C8B">
              <w:rPr>
                <w:rFonts w:ascii="Gotham" w:hAnsi="Gotham" w:cs="Arial"/>
                <w:b/>
                <w:bCs/>
                <w:i/>
                <w:sz w:val="18"/>
                <w:szCs w:val="18"/>
                <w:lang w:val="es-MX" w:eastAsia="es-MX"/>
              </w:rPr>
              <w:t>La Coordinación del Gabinete de Seguridad, Prevención y Servicios de emergencia;</w:t>
            </w:r>
          </w:p>
          <w:p w14:paraId="3A473C6C"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b/>
                <w:bCs/>
                <w:i/>
                <w:sz w:val="18"/>
                <w:szCs w:val="18"/>
                <w:lang w:val="es-MX" w:eastAsia="es-MX"/>
              </w:rPr>
            </w:pPr>
            <w:r w:rsidRPr="00277C8B">
              <w:rPr>
                <w:rFonts w:ascii="Gotham" w:hAnsi="Gotham" w:cs="Arial"/>
                <w:b/>
                <w:bCs/>
                <w:i/>
                <w:sz w:val="18"/>
                <w:szCs w:val="18"/>
                <w:lang w:val="es-MX" w:eastAsia="es-MX"/>
              </w:rPr>
              <w:t>La Dirección General de Servicios Públicos Médicos;</w:t>
            </w:r>
          </w:p>
          <w:p w14:paraId="3A473C6D"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b/>
                <w:bCs/>
                <w:i/>
                <w:sz w:val="18"/>
                <w:szCs w:val="18"/>
                <w:lang w:val="es-MX" w:eastAsia="es-MX"/>
              </w:rPr>
            </w:pPr>
            <w:r w:rsidRPr="00277C8B">
              <w:rPr>
                <w:rFonts w:ascii="Gotham" w:hAnsi="Gotham" w:cs="Arial"/>
                <w:b/>
                <w:bCs/>
                <w:i/>
                <w:sz w:val="18"/>
                <w:szCs w:val="18"/>
                <w:lang w:val="es-MX" w:eastAsia="es-MX"/>
              </w:rPr>
              <w:t>La Dirección de Bienestar Social;</w:t>
            </w:r>
          </w:p>
          <w:p w14:paraId="3A473C6E"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b/>
                <w:bCs/>
                <w:i/>
                <w:sz w:val="18"/>
                <w:szCs w:val="18"/>
                <w:lang w:val="es-MX" w:eastAsia="es-MX"/>
              </w:rPr>
            </w:pPr>
            <w:r w:rsidRPr="00277C8B">
              <w:rPr>
                <w:rFonts w:ascii="Gotham" w:hAnsi="Gotham" w:cs="Arial"/>
                <w:b/>
                <w:bCs/>
                <w:i/>
                <w:sz w:val="18"/>
                <w:szCs w:val="18"/>
                <w:lang w:val="es-MX" w:eastAsia="es-MX"/>
              </w:rPr>
              <w:t>La Dirección General de Atracción de la Inversión;</w:t>
            </w:r>
          </w:p>
          <w:p w14:paraId="3A473C6F"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b/>
                <w:bCs/>
                <w:i/>
                <w:sz w:val="18"/>
                <w:szCs w:val="18"/>
                <w:lang w:val="es-MX" w:eastAsia="es-MX"/>
              </w:rPr>
            </w:pPr>
            <w:r w:rsidRPr="00277C8B">
              <w:rPr>
                <w:rFonts w:ascii="Gotham" w:hAnsi="Gotham" w:cs="Arial"/>
                <w:b/>
                <w:bCs/>
                <w:i/>
                <w:sz w:val="18"/>
                <w:szCs w:val="18"/>
                <w:lang w:val="es-MX" w:eastAsia="es-MX"/>
              </w:rPr>
              <w:t>La Dirección General de Administración y Desarrollo Humano;</w:t>
            </w:r>
          </w:p>
          <w:p w14:paraId="3A473C70"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i/>
                <w:sz w:val="18"/>
                <w:szCs w:val="18"/>
                <w:lang w:val="es-MX" w:eastAsia="es-MX"/>
              </w:rPr>
            </w:pPr>
            <w:r w:rsidRPr="00277C8B">
              <w:rPr>
                <w:rFonts w:ascii="Gotham" w:hAnsi="Gotham" w:cs="Arial"/>
                <w:i/>
                <w:sz w:val="18"/>
                <w:szCs w:val="18"/>
                <w:lang w:val="es-MX" w:eastAsia="es-MX"/>
              </w:rPr>
              <w:t>Las Direcciones Generales;</w:t>
            </w:r>
          </w:p>
          <w:p w14:paraId="3A473C71"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b/>
                <w:bCs/>
                <w:i/>
                <w:sz w:val="18"/>
                <w:szCs w:val="18"/>
                <w:lang w:val="es-MX" w:eastAsia="es-MX"/>
              </w:rPr>
            </w:pPr>
            <w:r w:rsidRPr="00277C8B">
              <w:rPr>
                <w:rFonts w:ascii="Gotham" w:hAnsi="Gotham" w:cs="Arial"/>
                <w:b/>
                <w:bCs/>
                <w:i/>
                <w:sz w:val="18"/>
                <w:szCs w:val="18"/>
                <w:lang w:val="es-MX" w:eastAsia="es-MX"/>
              </w:rPr>
              <w:t>Dirección de Delegaciones y Agencias; y</w:t>
            </w:r>
          </w:p>
          <w:p w14:paraId="3A473C72" w14:textId="77777777" w:rsidR="00016FE1" w:rsidRPr="00277C8B" w:rsidRDefault="00016FE1" w:rsidP="00865062">
            <w:pPr>
              <w:pStyle w:val="Prrafodelista"/>
              <w:numPr>
                <w:ilvl w:val="0"/>
                <w:numId w:val="159"/>
              </w:numPr>
              <w:spacing w:before="120" w:after="120"/>
              <w:ind w:left="710" w:hanging="567"/>
              <w:contextualSpacing w:val="0"/>
              <w:jc w:val="both"/>
              <w:rPr>
                <w:rFonts w:ascii="Gotham" w:hAnsi="Gotham" w:cs="Arial"/>
                <w:b/>
                <w:bCs/>
                <w:i/>
                <w:sz w:val="18"/>
                <w:szCs w:val="18"/>
                <w:lang w:val="es-MX" w:eastAsia="es-MX"/>
              </w:rPr>
            </w:pPr>
            <w:r w:rsidRPr="00277C8B">
              <w:rPr>
                <w:rFonts w:ascii="Gotham" w:hAnsi="Gotham" w:cs="Arial"/>
                <w:i/>
                <w:sz w:val="18"/>
                <w:szCs w:val="18"/>
                <w:lang w:val="es-MX" w:eastAsia="es-MX"/>
              </w:rPr>
              <w:t>Las Jefaturas de Enlace Administrativo.</w:t>
            </w:r>
          </w:p>
        </w:tc>
      </w:tr>
    </w:tbl>
    <w:p w14:paraId="3A473C74" w14:textId="77777777" w:rsidR="00016FE1" w:rsidRPr="00261134" w:rsidRDefault="00016FE1" w:rsidP="002B6227">
      <w:pPr>
        <w:pStyle w:val="Prrafodelista"/>
        <w:ind w:left="851" w:right="283"/>
        <w:contextualSpacing w:val="0"/>
        <w:jc w:val="both"/>
        <w:rPr>
          <w:rFonts w:ascii="Gotham" w:hAnsi="Gotham"/>
          <w:i/>
          <w:sz w:val="19"/>
          <w:szCs w:val="19"/>
          <w:lang w:val="es-MX"/>
        </w:rPr>
      </w:pPr>
    </w:p>
    <w:p w14:paraId="3A473C75" w14:textId="77777777" w:rsidR="00016FE1" w:rsidRPr="00261134" w:rsidRDefault="00016FE1" w:rsidP="002B6227">
      <w:pPr>
        <w:pStyle w:val="Prrafodelista"/>
        <w:ind w:left="851" w:right="283"/>
        <w:contextualSpacing w:val="0"/>
        <w:jc w:val="both"/>
        <w:rPr>
          <w:rFonts w:ascii="Gotham" w:hAnsi="Gotham"/>
          <w:i/>
          <w:sz w:val="19"/>
          <w:szCs w:val="19"/>
          <w:lang w:val="es-MX"/>
        </w:rPr>
      </w:pPr>
      <w:r w:rsidRPr="00261134">
        <w:rPr>
          <w:rFonts w:ascii="Gotham" w:hAnsi="Gotham"/>
          <w:i/>
          <w:sz w:val="19"/>
          <w:szCs w:val="19"/>
          <w:lang w:val="es-MX"/>
        </w:rPr>
        <w:lastRenderedPageBreak/>
        <w:t>Por lo anteriormente expuesto, reitero la propuesta de modificar los artículos 4, 13 y 16 del Reglamento de Firma Electrónica Avanzada del Municipio de Tonalá, Jalisco, en los términos planteados en la exposición de motivos y por ello es que presento la Iniciativa de:</w:t>
      </w:r>
    </w:p>
    <w:p w14:paraId="3A473C76" w14:textId="77777777" w:rsidR="00016FE1" w:rsidRPr="00261134" w:rsidRDefault="00016FE1" w:rsidP="002B6227">
      <w:pPr>
        <w:pStyle w:val="Prrafodelista"/>
        <w:ind w:left="851" w:right="283"/>
        <w:contextualSpacing w:val="0"/>
        <w:jc w:val="both"/>
        <w:rPr>
          <w:rFonts w:ascii="Gotham" w:hAnsi="Gotham"/>
          <w:i/>
          <w:sz w:val="19"/>
          <w:szCs w:val="19"/>
          <w:lang w:val="es-MX"/>
        </w:rPr>
      </w:pPr>
    </w:p>
    <w:p w14:paraId="3A473C77" w14:textId="77777777" w:rsidR="00016FE1" w:rsidRPr="00261134" w:rsidRDefault="00016FE1" w:rsidP="002B6227">
      <w:pPr>
        <w:pStyle w:val="Prrafodelista"/>
        <w:ind w:left="851" w:right="283"/>
        <w:contextualSpacing w:val="0"/>
        <w:jc w:val="center"/>
        <w:rPr>
          <w:rFonts w:ascii="Gotham" w:hAnsi="Gotham"/>
          <w:i/>
          <w:sz w:val="19"/>
          <w:szCs w:val="19"/>
          <w:lang w:val="es-MX"/>
        </w:rPr>
      </w:pPr>
      <w:r w:rsidRPr="00261134">
        <w:rPr>
          <w:rFonts w:ascii="Gotham" w:hAnsi="Gotham"/>
          <w:i/>
          <w:sz w:val="19"/>
          <w:szCs w:val="19"/>
          <w:lang w:val="es-MX"/>
        </w:rPr>
        <w:t>ORDENAMIENTO MUNICIPAL</w:t>
      </w:r>
    </w:p>
    <w:p w14:paraId="3A473C78" w14:textId="77777777" w:rsidR="00016FE1" w:rsidRPr="00261134" w:rsidRDefault="00016FE1" w:rsidP="002B6227">
      <w:pPr>
        <w:pStyle w:val="Prrafodelista"/>
        <w:ind w:left="851" w:right="283"/>
        <w:contextualSpacing w:val="0"/>
        <w:jc w:val="both"/>
        <w:rPr>
          <w:rFonts w:ascii="Gotham" w:hAnsi="Gotham"/>
          <w:i/>
          <w:sz w:val="19"/>
          <w:szCs w:val="19"/>
          <w:lang w:val="es-MX"/>
        </w:rPr>
      </w:pPr>
    </w:p>
    <w:p w14:paraId="3A473C79" w14:textId="77777777" w:rsidR="00016FE1" w:rsidRPr="00261134" w:rsidRDefault="00016FE1" w:rsidP="002B6227">
      <w:pPr>
        <w:pStyle w:val="Prrafodelista"/>
        <w:ind w:left="851" w:right="283"/>
        <w:contextualSpacing w:val="0"/>
        <w:jc w:val="both"/>
        <w:rPr>
          <w:rFonts w:ascii="Gotham" w:hAnsi="Gotham"/>
          <w:i/>
          <w:sz w:val="19"/>
          <w:szCs w:val="19"/>
          <w:lang w:val="es-MX"/>
        </w:rPr>
      </w:pPr>
      <w:r w:rsidRPr="00261134">
        <w:rPr>
          <w:rFonts w:ascii="Gotham" w:hAnsi="Gotham"/>
          <w:i/>
          <w:sz w:val="19"/>
          <w:szCs w:val="19"/>
          <w:lang w:val="es-MX"/>
        </w:rPr>
        <w:t>UNICO.- Se turne a las Comisiones de Reglamentos, Puntos Constitucionales, Administración y Planeación Legislativa y la comisión de Gobierno digital y Promoción de la Ciudad, la presente iniciativa que tiene por objeto modificar los artículos 4, 13 y 16 del Reglamento de Firma Avanzada del Municipio</w:t>
      </w:r>
      <w:r w:rsidR="009F075D">
        <w:rPr>
          <w:rFonts w:ascii="Gotham" w:hAnsi="Gotham"/>
          <w:i/>
          <w:sz w:val="19"/>
          <w:szCs w:val="19"/>
          <w:lang w:val="es-MX"/>
        </w:rPr>
        <w:t xml:space="preserve"> </w:t>
      </w:r>
      <w:r w:rsidRPr="00261134">
        <w:rPr>
          <w:rFonts w:ascii="Gotham" w:hAnsi="Gotham"/>
          <w:i/>
          <w:sz w:val="19"/>
          <w:szCs w:val="19"/>
          <w:lang w:val="es-MX"/>
        </w:rPr>
        <w:t>de Tonalá, Jalisco, conforme a lo dispuesto en la presente iniciativa para su estudio y dictamen.</w:t>
      </w:r>
    </w:p>
    <w:p w14:paraId="3A473C7A" w14:textId="77777777" w:rsidR="00016FE1" w:rsidRPr="00261134" w:rsidRDefault="00016FE1" w:rsidP="002B6227">
      <w:pPr>
        <w:pStyle w:val="Prrafodelista"/>
        <w:ind w:left="851" w:right="283"/>
        <w:contextualSpacing w:val="0"/>
        <w:jc w:val="both"/>
        <w:rPr>
          <w:rFonts w:ascii="Gotham" w:hAnsi="Gotham"/>
          <w:i/>
          <w:sz w:val="19"/>
          <w:szCs w:val="19"/>
          <w:lang w:val="es-MX"/>
        </w:rPr>
      </w:pPr>
    </w:p>
    <w:p w14:paraId="3A473C7B" w14:textId="77777777" w:rsidR="00016FE1" w:rsidRPr="00261134" w:rsidRDefault="00016FE1" w:rsidP="002B6227">
      <w:pPr>
        <w:pStyle w:val="Prrafodelista"/>
        <w:ind w:left="851" w:right="283"/>
        <w:contextualSpacing w:val="0"/>
        <w:jc w:val="both"/>
        <w:rPr>
          <w:rFonts w:ascii="Gotham" w:hAnsi="Gotham"/>
          <w:i/>
          <w:sz w:val="19"/>
          <w:szCs w:val="19"/>
          <w:lang w:val="es-MX"/>
        </w:rPr>
      </w:pPr>
      <w:r w:rsidRPr="00261134">
        <w:rPr>
          <w:rFonts w:ascii="Gotham" w:hAnsi="Gotham"/>
          <w:i/>
          <w:sz w:val="19"/>
          <w:szCs w:val="19"/>
          <w:lang w:val="es-MX"/>
        </w:rPr>
        <w:t>Continuando con el uso de la voz la Regidora Rocío Acosta cervantes, agrega que, esta iniciativa tiene que ver con modificar el reglamento, actualmente el municipio ya cuenta con un Reglamento de Firma Electrónica Avanzada, sin embargo éste no se encuentra actualizado con relación a los cambios que se hicieron en el organigrama del municipio con respecto a la administración pública del 2018 al 2021, cambiaron algunas dependencias, por lo cual es necesario actualizar el reglamento para que se encuentre funcional en cuanto a la actual organización de este Ayuntamiento, es por eso que pedí integrarme a los trabajos de la anterior propuesta del Síndico, porque sí hay un trabajo ya avanzado y de hecho ya tenemos un reglamento; es cuanto respecto de este asunto.</w:t>
      </w:r>
    </w:p>
    <w:p w14:paraId="3A473C7C" w14:textId="77777777" w:rsidR="00016FE1" w:rsidRPr="00261134" w:rsidRDefault="00016FE1" w:rsidP="002B6227">
      <w:pPr>
        <w:pStyle w:val="Prrafodelista"/>
        <w:ind w:left="851" w:right="283"/>
        <w:contextualSpacing w:val="0"/>
        <w:jc w:val="both"/>
        <w:rPr>
          <w:rFonts w:ascii="Gotham" w:hAnsi="Gotham"/>
          <w:i/>
          <w:sz w:val="19"/>
          <w:szCs w:val="19"/>
          <w:lang w:val="es-MX"/>
        </w:rPr>
      </w:pPr>
    </w:p>
    <w:p w14:paraId="3A473C7D" w14:textId="77777777" w:rsidR="00016FE1" w:rsidRPr="00261134" w:rsidRDefault="00016FE1" w:rsidP="002B6227">
      <w:pPr>
        <w:pStyle w:val="Prrafodelista"/>
        <w:ind w:left="851" w:right="283"/>
        <w:contextualSpacing w:val="0"/>
        <w:jc w:val="both"/>
        <w:rPr>
          <w:rFonts w:ascii="Gotham" w:hAnsi="Gotham"/>
          <w:i/>
          <w:sz w:val="19"/>
          <w:szCs w:val="19"/>
          <w:lang w:val="es-MX"/>
        </w:rPr>
      </w:pPr>
      <w:r w:rsidRPr="00261134">
        <w:rPr>
          <w:rFonts w:ascii="Gotham" w:hAnsi="Gotham"/>
          <w:i/>
          <w:sz w:val="19"/>
          <w:szCs w:val="19"/>
          <w:lang w:val="es-MX"/>
        </w:rPr>
        <w:t>En uso de la vos el Presidente Municipal Interino, Francisco Javier Reyes Ruiz, expresa que, gracias Regidora; se propone su turno a la Comisión Edilicia de Reglamentos, Puntos Constitucionales, Administración y Planeación Legislativa; y a la de Gobierno Digital y Promoción de la Ciudad; quienes estén por la afirmativa, sírvase manifestarlo levantando su mano; instruyendo a la Secretaria General para que contabilice los votos y nos informe del resultado.</w:t>
      </w:r>
    </w:p>
    <w:p w14:paraId="3A473C7E" w14:textId="77777777" w:rsidR="00016FE1" w:rsidRPr="00261134" w:rsidRDefault="00016FE1" w:rsidP="002B6227">
      <w:pPr>
        <w:pStyle w:val="Prrafodelista"/>
        <w:ind w:left="851" w:right="283"/>
        <w:contextualSpacing w:val="0"/>
        <w:jc w:val="both"/>
        <w:rPr>
          <w:rFonts w:ascii="Gotham" w:hAnsi="Gotham"/>
          <w:i/>
          <w:sz w:val="19"/>
          <w:szCs w:val="19"/>
          <w:lang w:val="es-MX"/>
        </w:rPr>
      </w:pPr>
    </w:p>
    <w:p w14:paraId="3A473C7F" w14:textId="77777777" w:rsidR="00016FE1" w:rsidRPr="00261134" w:rsidRDefault="00016FE1" w:rsidP="002B6227">
      <w:pPr>
        <w:pStyle w:val="Prrafodelista"/>
        <w:ind w:left="851" w:right="283"/>
        <w:contextualSpacing w:val="0"/>
        <w:jc w:val="both"/>
        <w:rPr>
          <w:rFonts w:ascii="Gotham" w:hAnsi="Gotham"/>
          <w:i/>
          <w:sz w:val="19"/>
          <w:szCs w:val="19"/>
          <w:lang w:val="es-MX"/>
        </w:rPr>
      </w:pPr>
      <w:r w:rsidRPr="00261134">
        <w:rPr>
          <w:rFonts w:ascii="Gotham" w:hAnsi="Gotham"/>
          <w:i/>
          <w:sz w:val="19"/>
          <w:szCs w:val="19"/>
          <w:lang w:val="es-MX"/>
        </w:rPr>
        <w:t>En uso de la voz informativa la Secretaria General, Mtra. Celia Isabel Gauna Ruiz de León, como lo indica Presidente, le informo que se registraron un total de 19 votos a favor.</w:t>
      </w:r>
    </w:p>
    <w:p w14:paraId="3A473C80" w14:textId="77777777" w:rsidR="00016FE1" w:rsidRDefault="00016FE1" w:rsidP="002B6227">
      <w:pPr>
        <w:pStyle w:val="Prrafodelista"/>
        <w:ind w:left="851" w:right="283"/>
        <w:contextualSpacing w:val="0"/>
        <w:jc w:val="both"/>
        <w:rPr>
          <w:rFonts w:ascii="Gotham" w:hAnsi="Gotham"/>
          <w:i/>
          <w:sz w:val="19"/>
          <w:szCs w:val="19"/>
          <w:lang w:val="es-MX"/>
        </w:rPr>
      </w:pPr>
    </w:p>
    <w:p w14:paraId="3A473C81" w14:textId="77777777" w:rsidR="00016FE1" w:rsidRPr="00261134" w:rsidRDefault="00016FE1" w:rsidP="002B6227">
      <w:pPr>
        <w:pStyle w:val="Prrafodelista"/>
        <w:ind w:left="851" w:right="283"/>
        <w:contextualSpacing w:val="0"/>
        <w:jc w:val="both"/>
        <w:rPr>
          <w:rFonts w:ascii="Gotham" w:hAnsi="Gotham"/>
          <w:i/>
          <w:sz w:val="19"/>
          <w:szCs w:val="19"/>
          <w:lang w:val="es-MX"/>
        </w:rPr>
      </w:pPr>
      <w:r w:rsidRPr="00261134">
        <w:rPr>
          <w:rFonts w:ascii="Gotham" w:hAnsi="Gotham"/>
          <w:i/>
          <w:sz w:val="19"/>
          <w:szCs w:val="19"/>
          <w:lang w:val="es-MX"/>
        </w:rPr>
        <w:t>En uso de la vos el Presidente Municipal Interino, Francisco Javier Reyes Ruiz, expresa que, gracias Secretaria; queda aprobado.</w:t>
      </w:r>
    </w:p>
    <w:p w14:paraId="3A473C82" w14:textId="77777777" w:rsidR="00016FE1" w:rsidRPr="00261134" w:rsidRDefault="00016FE1" w:rsidP="002B6227">
      <w:pPr>
        <w:jc w:val="both"/>
        <w:rPr>
          <w:rFonts w:ascii="Gotham" w:hAnsi="Gotham"/>
          <w:sz w:val="20"/>
          <w:szCs w:val="20"/>
        </w:rPr>
      </w:pPr>
    </w:p>
    <w:p w14:paraId="3A473C83" w14:textId="77777777" w:rsidR="00016FE1" w:rsidRPr="00261134" w:rsidRDefault="00016FE1" w:rsidP="002B6227">
      <w:pPr>
        <w:ind w:left="567" w:hanging="567"/>
        <w:jc w:val="both"/>
        <w:rPr>
          <w:rFonts w:ascii="Gotham" w:hAnsi="Gotham"/>
          <w:sz w:val="20"/>
          <w:szCs w:val="20"/>
        </w:rPr>
      </w:pPr>
      <w:r w:rsidRPr="00261134">
        <w:rPr>
          <w:rFonts w:ascii="Gotham" w:hAnsi="Gotham"/>
          <w:sz w:val="20"/>
          <w:szCs w:val="20"/>
        </w:rPr>
        <w:t xml:space="preserve">II. </w:t>
      </w:r>
      <w:r>
        <w:rPr>
          <w:rFonts w:ascii="Gotham" w:hAnsi="Gotham"/>
          <w:sz w:val="20"/>
          <w:szCs w:val="20"/>
        </w:rPr>
        <w:tab/>
      </w:r>
      <w:r w:rsidRPr="00261134">
        <w:rPr>
          <w:rFonts w:ascii="Gotham" w:hAnsi="Gotham"/>
          <w:sz w:val="20"/>
          <w:szCs w:val="20"/>
        </w:rPr>
        <w:t>Ahora bien, mediante oficio SECRETARÍAGENERAL/345/2024, de fecha 29 del mes de abril del año de 2024, la Secretaria General del Ayuntamiento la Mtra. Celia Isabel Gauna Ruiz de León, turno la iniciativa que nos ocupa, para su estudio, análisis y dictaminación a las Comisiones Edilicias de Reglamentos, Puntos Constitucionales, Administración y Planeación Legislativa convocante y de Gobierno Digital y Promoción de la Ciudad como coadyuvante.</w:t>
      </w:r>
    </w:p>
    <w:p w14:paraId="3A473C84" w14:textId="77777777" w:rsidR="00016FE1" w:rsidRPr="00261134" w:rsidRDefault="00016FE1" w:rsidP="002B6227">
      <w:pPr>
        <w:jc w:val="both"/>
        <w:rPr>
          <w:rFonts w:ascii="Gotham" w:hAnsi="Gotham"/>
          <w:sz w:val="20"/>
          <w:szCs w:val="20"/>
        </w:rPr>
      </w:pPr>
    </w:p>
    <w:p w14:paraId="3A473C85" w14:textId="77777777" w:rsidR="00016FE1" w:rsidRPr="00261134" w:rsidRDefault="00016FE1" w:rsidP="002B6227">
      <w:pPr>
        <w:jc w:val="both"/>
        <w:rPr>
          <w:rFonts w:ascii="Gotham" w:hAnsi="Gotham"/>
          <w:sz w:val="20"/>
          <w:szCs w:val="20"/>
        </w:rPr>
      </w:pPr>
      <w:r w:rsidRPr="00261134">
        <w:rPr>
          <w:rFonts w:ascii="Gotham" w:hAnsi="Gotham"/>
          <w:sz w:val="20"/>
          <w:szCs w:val="20"/>
        </w:rPr>
        <w:t>Una vez establecido lo anterior, las comisiones dictaminadoras realizamos las siguientes:</w:t>
      </w:r>
    </w:p>
    <w:p w14:paraId="3A473C86" w14:textId="77777777" w:rsidR="00016FE1" w:rsidRPr="00261134" w:rsidRDefault="00016FE1" w:rsidP="002B6227">
      <w:pPr>
        <w:jc w:val="both"/>
        <w:rPr>
          <w:rFonts w:ascii="Gotham" w:hAnsi="Gotham"/>
          <w:sz w:val="20"/>
          <w:szCs w:val="20"/>
        </w:rPr>
      </w:pPr>
    </w:p>
    <w:p w14:paraId="3A473C87" w14:textId="77777777" w:rsidR="00016FE1" w:rsidRPr="00261134" w:rsidRDefault="00016FE1" w:rsidP="002B6227">
      <w:pPr>
        <w:jc w:val="center"/>
        <w:rPr>
          <w:rFonts w:ascii="Gotham" w:hAnsi="Gotham"/>
          <w:sz w:val="20"/>
          <w:szCs w:val="20"/>
        </w:rPr>
      </w:pPr>
      <w:r w:rsidRPr="00261134">
        <w:rPr>
          <w:rFonts w:ascii="Gotham" w:hAnsi="Gotham"/>
          <w:sz w:val="20"/>
          <w:szCs w:val="20"/>
        </w:rPr>
        <w:t>CONSIDERACIONES</w:t>
      </w:r>
    </w:p>
    <w:p w14:paraId="3A473C88" w14:textId="77777777" w:rsidR="00016FE1" w:rsidRPr="00261134" w:rsidRDefault="00016FE1" w:rsidP="002B6227">
      <w:pPr>
        <w:jc w:val="both"/>
        <w:rPr>
          <w:rFonts w:ascii="Gotham" w:hAnsi="Gotham"/>
          <w:sz w:val="20"/>
          <w:szCs w:val="20"/>
        </w:rPr>
      </w:pPr>
    </w:p>
    <w:p w14:paraId="3A473C89" w14:textId="77777777" w:rsidR="00016FE1" w:rsidRDefault="00016FE1" w:rsidP="002B6227">
      <w:pPr>
        <w:ind w:left="567" w:hanging="567"/>
        <w:jc w:val="both"/>
        <w:rPr>
          <w:rFonts w:ascii="Gotham" w:hAnsi="Gotham" w:cs="Arial"/>
          <w:sz w:val="20"/>
          <w:szCs w:val="20"/>
          <w:lang w:eastAsia="es-MX"/>
        </w:rPr>
      </w:pPr>
      <w:r w:rsidRPr="005A1A30">
        <w:rPr>
          <w:rFonts w:ascii="Gotham" w:hAnsi="Gotham"/>
          <w:sz w:val="20"/>
          <w:szCs w:val="20"/>
        </w:rPr>
        <w:t xml:space="preserve">I. </w:t>
      </w:r>
      <w:r>
        <w:rPr>
          <w:rFonts w:ascii="Gotham" w:hAnsi="Gotham"/>
          <w:sz w:val="20"/>
          <w:szCs w:val="20"/>
        </w:rPr>
        <w:tab/>
      </w:r>
      <w:r w:rsidRPr="005A1A30">
        <w:rPr>
          <w:rFonts w:ascii="Gotham" w:hAnsi="Gotham"/>
          <w:sz w:val="20"/>
          <w:szCs w:val="20"/>
        </w:rPr>
        <w:t>Que la Constitución Política de los Estados Unidos Mexicanos, en su artículo 115</w:t>
      </w:r>
      <w:r>
        <w:rPr>
          <w:rFonts w:ascii="Gotham" w:hAnsi="Gotham"/>
          <w:sz w:val="20"/>
          <w:szCs w:val="20"/>
        </w:rPr>
        <w:t>,</w:t>
      </w:r>
      <w:r w:rsidRPr="005A1A30">
        <w:rPr>
          <w:rFonts w:ascii="Gotham" w:hAnsi="Gotham"/>
          <w:sz w:val="20"/>
          <w:szCs w:val="20"/>
        </w:rPr>
        <w:t xml:space="preserve"> establece</w:t>
      </w:r>
      <w:r w:rsidRPr="005A1A30">
        <w:rPr>
          <w:rFonts w:ascii="Gotham" w:hAnsi="Gotham" w:cs="Arial"/>
          <w:sz w:val="20"/>
          <w:szCs w:val="20"/>
          <w:lang w:eastAsia="es-MX"/>
        </w:rPr>
        <w:t xml:space="preserve"> que</w:t>
      </w:r>
      <w:r>
        <w:rPr>
          <w:rFonts w:ascii="Gotham" w:hAnsi="Gotham" w:cs="Arial"/>
          <w:sz w:val="20"/>
          <w:szCs w:val="20"/>
          <w:lang w:eastAsia="es-MX"/>
        </w:rPr>
        <w:t>:</w:t>
      </w:r>
      <w:r w:rsidRPr="005A1A30">
        <w:rPr>
          <w:rFonts w:ascii="Gotham" w:hAnsi="Gotham" w:cs="Arial"/>
          <w:sz w:val="20"/>
          <w:szCs w:val="20"/>
          <w:lang w:eastAsia="es-MX"/>
        </w:rPr>
        <w:t xml:space="preserve"> </w:t>
      </w:r>
    </w:p>
    <w:p w14:paraId="3A473C8A" w14:textId="77777777" w:rsidR="00016FE1" w:rsidRDefault="00016FE1" w:rsidP="002B6227">
      <w:pPr>
        <w:ind w:left="567"/>
        <w:jc w:val="both"/>
        <w:rPr>
          <w:rFonts w:ascii="Gotham" w:hAnsi="Gotham" w:cs="Arial"/>
          <w:i/>
          <w:sz w:val="20"/>
          <w:szCs w:val="20"/>
          <w:lang w:eastAsia="es-MX"/>
        </w:rPr>
      </w:pPr>
    </w:p>
    <w:p w14:paraId="3A473C8B"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3A473C8C" w14:textId="77777777" w:rsidR="00016FE1" w:rsidRPr="005A1A30" w:rsidRDefault="00016FE1" w:rsidP="002B6227">
      <w:pPr>
        <w:ind w:left="567" w:hanging="567"/>
        <w:jc w:val="both"/>
        <w:rPr>
          <w:rFonts w:ascii="Gotham" w:hAnsi="Gotham" w:cs="Arial"/>
          <w:sz w:val="20"/>
          <w:szCs w:val="20"/>
          <w:highlight w:val="yellow"/>
          <w:lang w:eastAsia="es-MX"/>
        </w:rPr>
      </w:pPr>
    </w:p>
    <w:p w14:paraId="3A473C8D" w14:textId="77777777" w:rsidR="00016FE1" w:rsidRDefault="00016FE1" w:rsidP="002B6227">
      <w:pPr>
        <w:autoSpaceDE w:val="0"/>
        <w:autoSpaceDN w:val="0"/>
        <w:adjustRightInd w:val="0"/>
        <w:ind w:left="567" w:hanging="567"/>
        <w:jc w:val="both"/>
        <w:rPr>
          <w:rFonts w:ascii="Gotham" w:hAnsi="Gotham" w:cs="Arial"/>
          <w:sz w:val="20"/>
          <w:szCs w:val="20"/>
        </w:rPr>
      </w:pPr>
      <w:r w:rsidRPr="005A1A30">
        <w:rPr>
          <w:rFonts w:ascii="Gotham" w:hAnsi="Gotham" w:cs="Arial"/>
          <w:sz w:val="20"/>
          <w:szCs w:val="20"/>
        </w:rPr>
        <w:t xml:space="preserve">II. </w:t>
      </w:r>
      <w:r>
        <w:rPr>
          <w:rFonts w:ascii="Gotham" w:hAnsi="Gotham" w:cs="Arial"/>
          <w:sz w:val="20"/>
          <w:szCs w:val="20"/>
        </w:rPr>
        <w:tab/>
      </w:r>
      <w:r w:rsidRPr="005A1A30">
        <w:rPr>
          <w:rFonts w:ascii="Gotham" w:hAnsi="Gotham" w:cs="Arial"/>
          <w:sz w:val="20"/>
          <w:szCs w:val="20"/>
        </w:rPr>
        <w:t>Que la Constitución Política del Estado de Jalisco, en su numeral 73</w:t>
      </w:r>
      <w:r>
        <w:rPr>
          <w:rFonts w:ascii="Gotham" w:hAnsi="Gotham" w:cs="Arial"/>
          <w:sz w:val="20"/>
          <w:szCs w:val="20"/>
        </w:rPr>
        <w:t>,</w:t>
      </w:r>
      <w:r w:rsidRPr="005A1A30">
        <w:rPr>
          <w:rFonts w:ascii="Gotham" w:hAnsi="Gotham" w:cs="Arial"/>
          <w:sz w:val="20"/>
          <w:szCs w:val="20"/>
        </w:rPr>
        <w:t xml:space="preserve"> estipula que</w:t>
      </w:r>
      <w:r>
        <w:rPr>
          <w:rFonts w:ascii="Gotham" w:hAnsi="Gotham" w:cs="Arial"/>
          <w:sz w:val="20"/>
          <w:szCs w:val="20"/>
        </w:rPr>
        <w:t>:</w:t>
      </w:r>
      <w:r w:rsidRPr="005A1A30">
        <w:rPr>
          <w:rFonts w:ascii="Gotham" w:hAnsi="Gotham" w:cs="Arial"/>
          <w:sz w:val="20"/>
          <w:szCs w:val="20"/>
        </w:rPr>
        <w:t xml:space="preserve"> </w:t>
      </w:r>
    </w:p>
    <w:p w14:paraId="3A473C8E" w14:textId="77777777" w:rsidR="00016FE1" w:rsidRDefault="00016FE1" w:rsidP="002B6227">
      <w:pPr>
        <w:autoSpaceDE w:val="0"/>
        <w:autoSpaceDN w:val="0"/>
        <w:adjustRightInd w:val="0"/>
        <w:ind w:left="567" w:hanging="567"/>
        <w:jc w:val="both"/>
        <w:rPr>
          <w:rFonts w:ascii="Gotham" w:hAnsi="Gotham" w:cs="Arial"/>
          <w:sz w:val="20"/>
          <w:szCs w:val="20"/>
        </w:rPr>
      </w:pPr>
    </w:p>
    <w:p w14:paraId="3A473C8F"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p>
    <w:p w14:paraId="3A473C90" w14:textId="77777777" w:rsidR="00016FE1" w:rsidRPr="005A1A30" w:rsidRDefault="00016FE1" w:rsidP="002B6227">
      <w:pPr>
        <w:autoSpaceDE w:val="0"/>
        <w:autoSpaceDN w:val="0"/>
        <w:adjustRightInd w:val="0"/>
        <w:ind w:left="567" w:hanging="567"/>
        <w:jc w:val="both"/>
        <w:rPr>
          <w:rFonts w:ascii="Gotham" w:hAnsi="Gotham" w:cs="Arial"/>
          <w:sz w:val="20"/>
          <w:szCs w:val="20"/>
        </w:rPr>
      </w:pPr>
    </w:p>
    <w:p w14:paraId="3A473C91" w14:textId="77777777" w:rsidR="00016FE1" w:rsidRDefault="00016FE1" w:rsidP="002B6227">
      <w:pPr>
        <w:ind w:left="567" w:hanging="567"/>
        <w:jc w:val="both"/>
        <w:rPr>
          <w:rFonts w:ascii="Gotham" w:hAnsi="Gotham" w:cs="Arial"/>
          <w:sz w:val="20"/>
          <w:szCs w:val="20"/>
        </w:rPr>
      </w:pPr>
      <w:r w:rsidRPr="005A1A30">
        <w:rPr>
          <w:rFonts w:ascii="Gotham" w:hAnsi="Gotham" w:cs="Arial"/>
          <w:sz w:val="20"/>
          <w:szCs w:val="20"/>
        </w:rPr>
        <w:t xml:space="preserve">III. </w:t>
      </w:r>
      <w:r>
        <w:rPr>
          <w:rFonts w:ascii="Gotham" w:hAnsi="Gotham" w:cs="Arial"/>
          <w:sz w:val="20"/>
          <w:szCs w:val="20"/>
        </w:rPr>
        <w:tab/>
      </w:r>
      <w:r w:rsidRPr="005A1A30">
        <w:rPr>
          <w:rFonts w:ascii="Gotham" w:hAnsi="Gotham" w:cs="Arial"/>
          <w:sz w:val="20"/>
          <w:szCs w:val="20"/>
        </w:rPr>
        <w:t>Que la Ley del Gobierno y la Administración Pública Municipal del Estado de Jalisco, en su artículo 3, establece que</w:t>
      </w:r>
      <w:r>
        <w:rPr>
          <w:rFonts w:ascii="Gotham" w:hAnsi="Gotham" w:cs="Arial"/>
          <w:sz w:val="20"/>
          <w:szCs w:val="20"/>
        </w:rPr>
        <w:t>:</w:t>
      </w:r>
      <w:r w:rsidRPr="005A1A30">
        <w:rPr>
          <w:rFonts w:ascii="Gotham" w:hAnsi="Gotham" w:cs="Arial"/>
          <w:sz w:val="20"/>
          <w:szCs w:val="20"/>
        </w:rPr>
        <w:t xml:space="preserve"> </w:t>
      </w:r>
    </w:p>
    <w:p w14:paraId="3A473C92" w14:textId="77777777" w:rsidR="00016FE1" w:rsidRDefault="00016FE1" w:rsidP="002B6227">
      <w:pPr>
        <w:ind w:left="567" w:hanging="567"/>
        <w:jc w:val="both"/>
        <w:rPr>
          <w:rFonts w:ascii="Gotham" w:hAnsi="Gotham" w:cs="Arial"/>
          <w:sz w:val="20"/>
          <w:szCs w:val="20"/>
        </w:rPr>
      </w:pPr>
    </w:p>
    <w:p w14:paraId="3A473C93"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 xml:space="preserve">“Cada Municipio es gobernado por un Ayuntamiento de elección popular directa. Las competencias municipales deben ser ejercidas de manera exclusiva por el Ayuntamiento y no habrá ninguna autoridad intermedia entre éste y el Gobierno del Estado...”. </w:t>
      </w:r>
    </w:p>
    <w:p w14:paraId="3A473C94" w14:textId="77777777" w:rsidR="00016FE1" w:rsidRPr="003D1FBE" w:rsidRDefault="00016FE1" w:rsidP="002B6227">
      <w:pPr>
        <w:pStyle w:val="Prrafodelista"/>
        <w:ind w:left="851" w:right="283"/>
        <w:contextualSpacing w:val="0"/>
        <w:jc w:val="both"/>
        <w:rPr>
          <w:rFonts w:ascii="Gotham" w:hAnsi="Gotham"/>
          <w:i/>
          <w:sz w:val="19"/>
          <w:szCs w:val="19"/>
          <w:lang w:val="es-MX"/>
        </w:rPr>
      </w:pPr>
    </w:p>
    <w:p w14:paraId="3A473C95" w14:textId="77777777" w:rsidR="00016FE1" w:rsidRDefault="00016FE1" w:rsidP="002B6227">
      <w:pPr>
        <w:ind w:left="567"/>
        <w:jc w:val="both"/>
        <w:rPr>
          <w:rFonts w:ascii="Gotham" w:hAnsi="Gotham" w:cs="Arial"/>
          <w:sz w:val="20"/>
          <w:szCs w:val="20"/>
        </w:rPr>
      </w:pPr>
      <w:r w:rsidRPr="005A1A30">
        <w:rPr>
          <w:rFonts w:ascii="Gotham" w:hAnsi="Gotham" w:cs="Arial"/>
          <w:snapToGrid w:val="0"/>
          <w:sz w:val="20"/>
          <w:szCs w:val="20"/>
        </w:rPr>
        <w:t xml:space="preserve">Asimismo, </w:t>
      </w:r>
      <w:r w:rsidRPr="005A1A30">
        <w:rPr>
          <w:rFonts w:ascii="Gotham" w:hAnsi="Gotham" w:cs="Arial"/>
          <w:sz w:val="20"/>
          <w:szCs w:val="20"/>
        </w:rPr>
        <w:t>en su artículo 27, señala que</w:t>
      </w:r>
      <w:r>
        <w:rPr>
          <w:rFonts w:ascii="Gotham" w:hAnsi="Gotham" w:cs="Arial"/>
          <w:sz w:val="20"/>
          <w:szCs w:val="20"/>
        </w:rPr>
        <w:t>:</w:t>
      </w:r>
      <w:r w:rsidRPr="005A1A30">
        <w:rPr>
          <w:rFonts w:ascii="Gotham" w:hAnsi="Gotham" w:cs="Arial"/>
          <w:sz w:val="20"/>
          <w:szCs w:val="20"/>
        </w:rPr>
        <w:t xml:space="preserve"> </w:t>
      </w:r>
    </w:p>
    <w:p w14:paraId="3A473C96" w14:textId="77777777" w:rsidR="00016FE1" w:rsidRDefault="00016FE1" w:rsidP="002B6227">
      <w:pPr>
        <w:ind w:left="567"/>
        <w:jc w:val="both"/>
        <w:rPr>
          <w:rFonts w:ascii="Gotham" w:hAnsi="Gotham" w:cs="Arial"/>
          <w:sz w:val="20"/>
          <w:szCs w:val="20"/>
        </w:rPr>
      </w:pPr>
    </w:p>
    <w:p w14:paraId="3A473C97"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“Los Ayuntamientos, para el estudio, vigilancia y atención de los diversos asuntos que les corresponda conocer, deben funcionar mediante comisiones...”.</w:t>
      </w:r>
    </w:p>
    <w:p w14:paraId="3A473C98" w14:textId="77777777" w:rsidR="00016FE1" w:rsidRPr="005A1A30" w:rsidRDefault="00016FE1" w:rsidP="002B6227">
      <w:pPr>
        <w:ind w:left="567" w:hanging="567"/>
        <w:jc w:val="both"/>
        <w:rPr>
          <w:rFonts w:ascii="Gotham" w:hAnsi="Gotham" w:cs="Arial"/>
          <w:snapToGrid w:val="0"/>
          <w:sz w:val="20"/>
          <w:szCs w:val="20"/>
          <w:highlight w:val="yellow"/>
        </w:rPr>
      </w:pPr>
    </w:p>
    <w:p w14:paraId="3A473C99" w14:textId="77777777" w:rsidR="00016FE1" w:rsidRDefault="00016FE1" w:rsidP="002B6227">
      <w:pPr>
        <w:autoSpaceDE w:val="0"/>
        <w:autoSpaceDN w:val="0"/>
        <w:adjustRightInd w:val="0"/>
        <w:ind w:left="567" w:hanging="567"/>
        <w:jc w:val="both"/>
        <w:rPr>
          <w:rFonts w:ascii="Gotham" w:hAnsi="Gotham" w:cs="Arial"/>
          <w:sz w:val="20"/>
          <w:szCs w:val="20"/>
        </w:rPr>
      </w:pPr>
      <w:r w:rsidRPr="005A1A30">
        <w:rPr>
          <w:rFonts w:ascii="Gotham" w:hAnsi="Gotham" w:cs="Arial"/>
          <w:sz w:val="20"/>
          <w:szCs w:val="20"/>
        </w:rPr>
        <w:t xml:space="preserve">IV. </w:t>
      </w:r>
      <w:r>
        <w:rPr>
          <w:rFonts w:ascii="Gotham" w:hAnsi="Gotham" w:cs="Arial"/>
          <w:sz w:val="20"/>
          <w:szCs w:val="20"/>
        </w:rPr>
        <w:tab/>
      </w:r>
      <w:r w:rsidRPr="005A1A30">
        <w:rPr>
          <w:rFonts w:ascii="Gotham" w:hAnsi="Gotham" w:cs="Arial"/>
          <w:sz w:val="20"/>
          <w:szCs w:val="20"/>
        </w:rPr>
        <w:t>Que el Reglamento del Gobierno y la Administración Pública del Ayuntamiento Constitucional de Tonalá, Jalisco, en su artículo 92, estipula que</w:t>
      </w:r>
      <w:r>
        <w:rPr>
          <w:rFonts w:ascii="Gotham" w:hAnsi="Gotham" w:cs="Arial"/>
          <w:sz w:val="20"/>
          <w:szCs w:val="20"/>
        </w:rPr>
        <w:t>:</w:t>
      </w:r>
      <w:r w:rsidRPr="005A1A30">
        <w:rPr>
          <w:rFonts w:ascii="Gotham" w:hAnsi="Gotham" w:cs="Arial"/>
          <w:sz w:val="20"/>
          <w:szCs w:val="20"/>
        </w:rPr>
        <w:t xml:space="preserve"> </w:t>
      </w:r>
    </w:p>
    <w:p w14:paraId="3A473C9A" w14:textId="77777777" w:rsidR="00016FE1" w:rsidRDefault="00016FE1" w:rsidP="002B6227">
      <w:pPr>
        <w:autoSpaceDE w:val="0"/>
        <w:autoSpaceDN w:val="0"/>
        <w:adjustRightInd w:val="0"/>
        <w:ind w:left="567" w:hanging="567"/>
        <w:jc w:val="both"/>
        <w:rPr>
          <w:rFonts w:ascii="Gotham" w:hAnsi="Gotham" w:cs="Arial"/>
          <w:sz w:val="20"/>
          <w:szCs w:val="20"/>
        </w:rPr>
      </w:pPr>
    </w:p>
    <w:p w14:paraId="3A473C9B"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3A473C9C" w14:textId="77777777" w:rsidR="00016FE1" w:rsidRPr="005A1A30" w:rsidRDefault="00016FE1" w:rsidP="002B6227">
      <w:pPr>
        <w:ind w:left="567" w:hanging="567"/>
        <w:jc w:val="both"/>
        <w:rPr>
          <w:rFonts w:ascii="Gotham" w:hAnsi="Gotham" w:cs="Arial"/>
          <w:bCs/>
          <w:sz w:val="20"/>
          <w:szCs w:val="20"/>
          <w:highlight w:val="yellow"/>
        </w:rPr>
      </w:pPr>
    </w:p>
    <w:p w14:paraId="3A473C9D" w14:textId="77777777" w:rsidR="00016FE1" w:rsidRDefault="00016FE1" w:rsidP="002B6227">
      <w:pPr>
        <w:autoSpaceDE w:val="0"/>
        <w:autoSpaceDN w:val="0"/>
        <w:adjustRightInd w:val="0"/>
        <w:ind w:left="567" w:hanging="567"/>
        <w:jc w:val="both"/>
        <w:rPr>
          <w:rFonts w:ascii="Gotham" w:hAnsi="Gotham" w:cs="Arial"/>
          <w:sz w:val="20"/>
          <w:szCs w:val="20"/>
        </w:rPr>
      </w:pPr>
      <w:r w:rsidRPr="005A1A30">
        <w:rPr>
          <w:rFonts w:ascii="Gotham" w:hAnsi="Gotham" w:cs="Arial"/>
          <w:sz w:val="20"/>
          <w:szCs w:val="20"/>
        </w:rPr>
        <w:t xml:space="preserve">V. </w:t>
      </w:r>
      <w:r>
        <w:rPr>
          <w:rFonts w:ascii="Gotham" w:hAnsi="Gotham" w:cs="Arial"/>
          <w:sz w:val="20"/>
          <w:szCs w:val="20"/>
        </w:rPr>
        <w:tab/>
      </w:r>
      <w:r w:rsidRPr="005A1A30">
        <w:rPr>
          <w:rFonts w:ascii="Gotham" w:hAnsi="Gotham" w:cs="Arial"/>
          <w:sz w:val="20"/>
          <w:szCs w:val="20"/>
        </w:rPr>
        <w:t>Que el artículo 72 del anterior ordenamiento, establece que las Comisiones Edilicias, poseen, entre otras atribuciones, la facultad de</w:t>
      </w:r>
      <w:r>
        <w:rPr>
          <w:rFonts w:ascii="Gotham" w:hAnsi="Gotham" w:cs="Arial"/>
          <w:sz w:val="20"/>
          <w:szCs w:val="20"/>
        </w:rPr>
        <w:t>:</w:t>
      </w:r>
      <w:r w:rsidRPr="005A1A30">
        <w:rPr>
          <w:rFonts w:ascii="Gotham" w:hAnsi="Gotham" w:cs="Arial"/>
          <w:sz w:val="20"/>
          <w:szCs w:val="20"/>
        </w:rPr>
        <w:t xml:space="preserve"> </w:t>
      </w:r>
    </w:p>
    <w:p w14:paraId="3A473C9E" w14:textId="77777777" w:rsidR="00016FE1" w:rsidRDefault="00016FE1" w:rsidP="002B6227">
      <w:pPr>
        <w:autoSpaceDE w:val="0"/>
        <w:autoSpaceDN w:val="0"/>
        <w:adjustRightInd w:val="0"/>
        <w:ind w:left="567" w:hanging="567"/>
        <w:jc w:val="both"/>
        <w:rPr>
          <w:rFonts w:ascii="Gotham" w:hAnsi="Gotham" w:cs="Arial"/>
          <w:i/>
          <w:sz w:val="20"/>
          <w:szCs w:val="20"/>
        </w:rPr>
      </w:pPr>
    </w:p>
    <w:p w14:paraId="3A473C9F"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“I. Recibir, estudiar, analizar, discutir y dictaminar los asuntos turnados por el ayuntamiento; II. Presentar al ayuntamiento los dictámenes e informes, resultados de sus trabajos e investigaciones y demás documentos relativos a los asuntos que les son turnados;….y IX. Las demás que en razón de la materia les corresponda por disposición legal o reglamentaria. Para que los dictámenes de las comisiones adquieran plena validez deberán ser aprobados por el ayuntamiento, salvo que se trate de acuerdos internos….”.</w:t>
      </w:r>
    </w:p>
    <w:p w14:paraId="3A473CA0" w14:textId="77777777" w:rsidR="00016FE1" w:rsidRPr="005A1A30" w:rsidRDefault="00016FE1" w:rsidP="002B6227">
      <w:pPr>
        <w:autoSpaceDE w:val="0"/>
        <w:autoSpaceDN w:val="0"/>
        <w:adjustRightInd w:val="0"/>
        <w:ind w:left="567" w:hanging="567"/>
        <w:jc w:val="both"/>
        <w:rPr>
          <w:rFonts w:ascii="Gotham" w:hAnsi="Gotham" w:cs="Arial"/>
          <w:sz w:val="20"/>
          <w:szCs w:val="20"/>
        </w:rPr>
      </w:pPr>
    </w:p>
    <w:p w14:paraId="3A473CA1" w14:textId="77777777" w:rsidR="00016FE1" w:rsidRDefault="00016FE1" w:rsidP="002B6227">
      <w:pPr>
        <w:autoSpaceDE w:val="0"/>
        <w:autoSpaceDN w:val="0"/>
        <w:adjustRightInd w:val="0"/>
        <w:ind w:left="567" w:hanging="567"/>
        <w:jc w:val="both"/>
        <w:rPr>
          <w:rFonts w:ascii="Gotham" w:hAnsi="Gotham" w:cs="Arial"/>
          <w:sz w:val="20"/>
          <w:szCs w:val="20"/>
        </w:rPr>
      </w:pPr>
      <w:r w:rsidRPr="005A1A30">
        <w:rPr>
          <w:rFonts w:ascii="Gotham" w:hAnsi="Gotham" w:cs="Arial"/>
          <w:sz w:val="20"/>
          <w:szCs w:val="20"/>
        </w:rPr>
        <w:t xml:space="preserve">VI. </w:t>
      </w:r>
      <w:r>
        <w:rPr>
          <w:rFonts w:ascii="Gotham" w:hAnsi="Gotham" w:cs="Arial"/>
          <w:sz w:val="20"/>
          <w:szCs w:val="20"/>
        </w:rPr>
        <w:tab/>
      </w:r>
      <w:r w:rsidRPr="005A1A30">
        <w:rPr>
          <w:rFonts w:ascii="Gotham" w:hAnsi="Gotham" w:cs="Arial"/>
          <w:sz w:val="20"/>
          <w:szCs w:val="20"/>
        </w:rPr>
        <w:t>Que el artículo 100 del citado ordenamiento, establece que</w:t>
      </w:r>
      <w:r>
        <w:rPr>
          <w:rFonts w:ascii="Gotham" w:hAnsi="Gotham" w:cs="Arial"/>
          <w:sz w:val="20"/>
          <w:szCs w:val="20"/>
        </w:rPr>
        <w:t>:</w:t>
      </w:r>
      <w:r w:rsidRPr="005A1A30">
        <w:rPr>
          <w:rFonts w:ascii="Gotham" w:hAnsi="Gotham" w:cs="Arial"/>
          <w:sz w:val="20"/>
          <w:szCs w:val="20"/>
        </w:rPr>
        <w:t xml:space="preserve"> </w:t>
      </w:r>
    </w:p>
    <w:p w14:paraId="3A473CA2" w14:textId="77777777" w:rsidR="00016FE1" w:rsidRDefault="00016FE1" w:rsidP="002B6227">
      <w:pPr>
        <w:autoSpaceDE w:val="0"/>
        <w:autoSpaceDN w:val="0"/>
        <w:adjustRightInd w:val="0"/>
        <w:ind w:left="567"/>
        <w:jc w:val="both"/>
        <w:rPr>
          <w:rFonts w:ascii="Gotham" w:hAnsi="Gotham" w:cs="Arial"/>
          <w:i/>
          <w:sz w:val="20"/>
          <w:szCs w:val="20"/>
        </w:rPr>
      </w:pPr>
    </w:p>
    <w:p w14:paraId="3A473CA3"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“Son atribuciones de la Comisión Edilicia de reglamentos, Puntos Constitucionales, Administración y Planeación Legislativa: "I. 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"III. Estudiar la estructura orgánica de la administración municipal, para efecto de proponer medios de mayor eficiencia y simplificación administrativa ante la población, en miras a obtener la mejor atención en la prestación de los servicios públicos..."</w:t>
      </w:r>
    </w:p>
    <w:p w14:paraId="3A473CA4" w14:textId="77777777" w:rsidR="00016FE1" w:rsidRPr="005A1A30" w:rsidRDefault="00016FE1" w:rsidP="002B6227">
      <w:pPr>
        <w:autoSpaceDE w:val="0"/>
        <w:autoSpaceDN w:val="0"/>
        <w:adjustRightInd w:val="0"/>
        <w:ind w:left="567" w:hanging="567"/>
        <w:jc w:val="both"/>
        <w:rPr>
          <w:rFonts w:ascii="Gotham" w:hAnsi="Gotham" w:cs="Arial"/>
          <w:sz w:val="20"/>
          <w:szCs w:val="20"/>
          <w:highlight w:val="yellow"/>
        </w:rPr>
      </w:pPr>
    </w:p>
    <w:p w14:paraId="3A473CA5" w14:textId="77777777" w:rsidR="00016FE1" w:rsidRDefault="00016FE1" w:rsidP="002B6227">
      <w:pPr>
        <w:autoSpaceDE w:val="0"/>
        <w:autoSpaceDN w:val="0"/>
        <w:adjustRightInd w:val="0"/>
        <w:ind w:left="567" w:hanging="567"/>
        <w:jc w:val="both"/>
        <w:rPr>
          <w:rFonts w:ascii="Gotham" w:hAnsi="Gotham" w:cs="Arial"/>
          <w:sz w:val="20"/>
          <w:szCs w:val="20"/>
        </w:rPr>
      </w:pPr>
      <w:r w:rsidRPr="005A1A30">
        <w:rPr>
          <w:rFonts w:ascii="Gotham" w:hAnsi="Gotham" w:cs="Arial"/>
          <w:sz w:val="20"/>
          <w:szCs w:val="20"/>
        </w:rPr>
        <w:t xml:space="preserve">VII. </w:t>
      </w:r>
      <w:r>
        <w:rPr>
          <w:rFonts w:ascii="Gotham" w:hAnsi="Gotham" w:cs="Arial"/>
          <w:sz w:val="20"/>
          <w:szCs w:val="20"/>
        </w:rPr>
        <w:tab/>
      </w:r>
      <w:r w:rsidRPr="005A1A30">
        <w:rPr>
          <w:rFonts w:ascii="Gotham" w:hAnsi="Gotham" w:cs="Arial"/>
          <w:sz w:val="20"/>
          <w:szCs w:val="20"/>
        </w:rPr>
        <w:t>Que el artículo 113 del mencionado ordenamiento, estipula que</w:t>
      </w:r>
      <w:r>
        <w:rPr>
          <w:rFonts w:ascii="Gotham" w:hAnsi="Gotham" w:cs="Arial"/>
          <w:sz w:val="20"/>
          <w:szCs w:val="20"/>
        </w:rPr>
        <w:t>:</w:t>
      </w:r>
      <w:r w:rsidRPr="005A1A30">
        <w:rPr>
          <w:rFonts w:ascii="Gotham" w:hAnsi="Gotham" w:cs="Arial"/>
          <w:sz w:val="20"/>
          <w:szCs w:val="20"/>
        </w:rPr>
        <w:t xml:space="preserve"> </w:t>
      </w:r>
    </w:p>
    <w:p w14:paraId="3A473CA6" w14:textId="77777777" w:rsidR="00016FE1" w:rsidRDefault="00016FE1" w:rsidP="002B6227">
      <w:pPr>
        <w:autoSpaceDE w:val="0"/>
        <w:autoSpaceDN w:val="0"/>
        <w:adjustRightInd w:val="0"/>
        <w:ind w:left="567" w:hanging="567"/>
        <w:jc w:val="both"/>
        <w:rPr>
          <w:rFonts w:ascii="Gotham" w:hAnsi="Gotham" w:cs="Arial"/>
          <w:i/>
          <w:sz w:val="20"/>
          <w:szCs w:val="20"/>
        </w:rPr>
      </w:pPr>
    </w:p>
    <w:p w14:paraId="3A473CA7"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 xml:space="preserve">“Son atribuciones de la Comisión Edilicia de Gobierno Digital y Promoción Cultural: " V Proponer al Ayuntamiento, en coordinación con la Comisión de Reglamentos y Puntos Constitucionales, sistemas, programas y acciones de difusión y conocimientos de reglamentos municipales y de </w:t>
      </w:r>
      <w:r w:rsidRPr="003D1FBE">
        <w:rPr>
          <w:rFonts w:ascii="Gotham" w:hAnsi="Gotham"/>
          <w:i/>
          <w:sz w:val="19"/>
          <w:szCs w:val="19"/>
          <w:lang w:val="es-MX"/>
        </w:rPr>
        <w:lastRenderedPageBreak/>
        <w:t>disposiciones legales por parte de los servidores públicos y de los habitantes del Municipio, en aquellas materias que presenten un elevado índice en cuanto a la comisión de infracciones a las disposiciones legales o reglamentarias respectivas; Presentar propuestas y dictámenes para la modernización de la administración pública municipal basadas en el uso de Tecnologías de la Información y Comunicación”…</w:t>
      </w:r>
    </w:p>
    <w:p w14:paraId="3A473CA8" w14:textId="77777777" w:rsidR="00016FE1" w:rsidRPr="003D1FBE" w:rsidRDefault="00016FE1" w:rsidP="002B6227">
      <w:pPr>
        <w:ind w:left="567"/>
        <w:jc w:val="both"/>
        <w:rPr>
          <w:rFonts w:ascii="Gotham" w:hAnsi="Gotham" w:cs="Arial"/>
          <w:sz w:val="20"/>
          <w:szCs w:val="20"/>
        </w:rPr>
      </w:pPr>
    </w:p>
    <w:p w14:paraId="3A473CA9" w14:textId="77777777" w:rsidR="00016FE1" w:rsidRPr="003D1FBE" w:rsidRDefault="00016FE1" w:rsidP="002B6227">
      <w:pPr>
        <w:ind w:left="567"/>
        <w:jc w:val="both"/>
        <w:rPr>
          <w:rFonts w:ascii="Gotham" w:hAnsi="Gotham" w:cs="Arial"/>
          <w:sz w:val="20"/>
          <w:szCs w:val="20"/>
        </w:rPr>
      </w:pPr>
      <w:r w:rsidRPr="003D1FBE">
        <w:rPr>
          <w:rFonts w:ascii="Gotham" w:hAnsi="Gotham" w:cs="Arial"/>
          <w:sz w:val="20"/>
          <w:szCs w:val="20"/>
        </w:rPr>
        <w:t>Se manifiesta ambas comisiones Edilicias cuentan con la capacidad de para conocer, estudiar, analizar y dictaminar la iniciativa en objeto del presente dictamen que se estudia.</w:t>
      </w:r>
    </w:p>
    <w:p w14:paraId="3A473CAA" w14:textId="77777777" w:rsidR="00016FE1" w:rsidRPr="005A1A30" w:rsidRDefault="00016FE1" w:rsidP="002B6227">
      <w:pPr>
        <w:ind w:left="567" w:hanging="567"/>
        <w:jc w:val="both"/>
        <w:rPr>
          <w:rFonts w:ascii="Gotham" w:hAnsi="Gotham" w:cs="Arial"/>
          <w:sz w:val="20"/>
          <w:szCs w:val="20"/>
        </w:rPr>
      </w:pPr>
    </w:p>
    <w:p w14:paraId="3A473CAB" w14:textId="77777777" w:rsidR="00016FE1" w:rsidRPr="005A1A30" w:rsidRDefault="00016FE1" w:rsidP="002B6227">
      <w:pPr>
        <w:autoSpaceDE w:val="0"/>
        <w:autoSpaceDN w:val="0"/>
        <w:adjustRightInd w:val="0"/>
        <w:ind w:left="567" w:hanging="567"/>
        <w:jc w:val="both"/>
        <w:rPr>
          <w:rFonts w:ascii="Gotham" w:eastAsia="Calibri" w:hAnsi="Gotham" w:cs="Arial"/>
          <w:sz w:val="20"/>
          <w:szCs w:val="20"/>
          <w:lang w:val="es-MX" w:eastAsia="en-US"/>
        </w:rPr>
      </w:pPr>
      <w:r w:rsidRPr="005A1A30">
        <w:rPr>
          <w:rFonts w:ascii="Gotham" w:hAnsi="Gotham" w:cs="Arial"/>
          <w:sz w:val="20"/>
          <w:szCs w:val="20"/>
        </w:rPr>
        <w:t xml:space="preserve">VIII. </w:t>
      </w:r>
      <w:r>
        <w:rPr>
          <w:rFonts w:ascii="Gotham" w:hAnsi="Gotham" w:cs="Arial"/>
          <w:sz w:val="20"/>
          <w:szCs w:val="20"/>
        </w:rPr>
        <w:tab/>
      </w:r>
      <w:r w:rsidRPr="005A1A30">
        <w:rPr>
          <w:rFonts w:ascii="Gotham" w:hAnsi="Gotham" w:cs="Arial"/>
          <w:sz w:val="20"/>
          <w:szCs w:val="20"/>
        </w:rPr>
        <w:t>Ahora bien, conforme a los antecedentes y consideraciones que se exponen en la iniciativa en estudio es que se señala el</w:t>
      </w:r>
      <w:r w:rsidR="009F075D">
        <w:rPr>
          <w:rFonts w:ascii="Gotham" w:hAnsi="Gotham" w:cs="Arial"/>
          <w:sz w:val="20"/>
          <w:szCs w:val="20"/>
        </w:rPr>
        <w:t xml:space="preserve"> </w:t>
      </w:r>
      <w:r w:rsidRPr="005A1A30">
        <w:rPr>
          <w:rFonts w:ascii="Gotham" w:hAnsi="Gotham" w:cs="Arial"/>
          <w:sz w:val="20"/>
          <w:szCs w:val="20"/>
        </w:rPr>
        <w:t>dictamen Ordenamiento que tiene por objeto modificar los artículos 4, 13 y 16 del Reglamento de Firma Electrónica Avanzada del Municipio de Tonalá, Jalisco; t</w:t>
      </w:r>
      <w:r w:rsidRPr="005A1A30">
        <w:rPr>
          <w:rFonts w:ascii="Gotham" w:hAnsi="Gotham" w:cs="Arial"/>
          <w:color w:val="000000"/>
          <w:sz w:val="20"/>
          <w:szCs w:val="20"/>
        </w:rPr>
        <w:t xml:space="preserve">al y como se desprende del </w:t>
      </w:r>
      <w:r w:rsidRPr="005A1A30">
        <w:rPr>
          <w:rFonts w:ascii="Gotham" w:hAnsi="Gotham" w:cs="Arial"/>
          <w:sz w:val="20"/>
          <w:szCs w:val="20"/>
        </w:rPr>
        <w:t xml:space="preserve">Acuerdo número 1067 derivado de la Sesión Ordinaria de este Ayuntamiento </w:t>
      </w:r>
      <w:r w:rsidRPr="005A1A30">
        <w:rPr>
          <w:rFonts w:ascii="Gotham" w:hAnsi="Gotham" w:cs="Arial"/>
          <w:color w:val="000000"/>
          <w:sz w:val="20"/>
          <w:szCs w:val="20"/>
        </w:rPr>
        <w:t xml:space="preserve">de fecha </w:t>
      </w:r>
      <w:r w:rsidRPr="005A1A30">
        <w:rPr>
          <w:rFonts w:ascii="Gotham" w:hAnsi="Gotham" w:cs="Arial"/>
          <w:sz w:val="20"/>
          <w:szCs w:val="20"/>
        </w:rPr>
        <w:t>18 del mes de abril del año de 2024</w:t>
      </w:r>
      <w:r w:rsidRPr="005A1A30">
        <w:rPr>
          <w:rFonts w:ascii="Gotham" w:hAnsi="Gotham" w:cs="Arial"/>
          <w:color w:val="000000"/>
          <w:sz w:val="20"/>
          <w:szCs w:val="20"/>
        </w:rPr>
        <w:t>.</w:t>
      </w:r>
    </w:p>
    <w:p w14:paraId="3A473CAC" w14:textId="77777777" w:rsidR="00016FE1" w:rsidRPr="005A1A30" w:rsidRDefault="00016FE1" w:rsidP="002B6227">
      <w:pPr>
        <w:autoSpaceDE w:val="0"/>
        <w:autoSpaceDN w:val="0"/>
        <w:adjustRightInd w:val="0"/>
        <w:ind w:left="567" w:hanging="567"/>
        <w:jc w:val="both"/>
        <w:rPr>
          <w:rFonts w:ascii="Gotham" w:hAnsi="Gotham" w:cs="Arial"/>
          <w:bCs/>
          <w:sz w:val="20"/>
          <w:szCs w:val="20"/>
          <w:highlight w:val="yellow"/>
        </w:rPr>
      </w:pPr>
    </w:p>
    <w:p w14:paraId="3A473CAD" w14:textId="77777777" w:rsidR="00016FE1" w:rsidRPr="005A1A30" w:rsidRDefault="00016FE1" w:rsidP="002B6227">
      <w:pPr>
        <w:ind w:left="567" w:hanging="567"/>
        <w:jc w:val="both"/>
        <w:rPr>
          <w:rFonts w:ascii="Gotham" w:hAnsi="Gotham" w:cs="Arial"/>
          <w:bCs/>
          <w:sz w:val="20"/>
          <w:szCs w:val="20"/>
        </w:rPr>
      </w:pPr>
      <w:r w:rsidRPr="005A1A30">
        <w:rPr>
          <w:rFonts w:ascii="Gotham" w:hAnsi="Gotham" w:cs="Arial"/>
          <w:sz w:val="20"/>
          <w:szCs w:val="20"/>
        </w:rPr>
        <w:t xml:space="preserve">IX. </w:t>
      </w:r>
      <w:r>
        <w:rPr>
          <w:rFonts w:ascii="Gotham" w:hAnsi="Gotham" w:cs="Arial"/>
          <w:sz w:val="20"/>
          <w:szCs w:val="20"/>
        </w:rPr>
        <w:tab/>
      </w:r>
      <w:r w:rsidRPr="005A1A30">
        <w:rPr>
          <w:rFonts w:ascii="Gotham" w:hAnsi="Gotham" w:cs="Arial"/>
          <w:sz w:val="20"/>
          <w:szCs w:val="20"/>
        </w:rPr>
        <w:t xml:space="preserve">Al respecto y en el caso concreto que nos ocupa la Constitución Política de los Estados Unidos Mexicanos </w:t>
      </w:r>
      <w:r w:rsidRPr="005A1A30">
        <w:rPr>
          <w:rFonts w:ascii="Gotham" w:hAnsi="Gotham" w:cs="Arial"/>
          <w:bCs/>
          <w:sz w:val="20"/>
          <w:szCs w:val="20"/>
        </w:rPr>
        <w:t>es clara en señalar lo siguiente:</w:t>
      </w:r>
    </w:p>
    <w:p w14:paraId="3A473CAE" w14:textId="77777777" w:rsidR="00016FE1" w:rsidRPr="005A1A30" w:rsidRDefault="00016FE1" w:rsidP="002B6227">
      <w:pPr>
        <w:jc w:val="both"/>
        <w:rPr>
          <w:rFonts w:ascii="Gotham" w:hAnsi="Gotham" w:cs="Arial"/>
          <w:bCs/>
          <w:sz w:val="20"/>
          <w:szCs w:val="20"/>
        </w:rPr>
      </w:pPr>
    </w:p>
    <w:p w14:paraId="3A473CAF" w14:textId="77777777" w:rsidR="00016FE1" w:rsidRPr="003D1FBE" w:rsidRDefault="00016FE1" w:rsidP="002B6227">
      <w:pPr>
        <w:pStyle w:val="Prrafodelista"/>
        <w:spacing w:after="120"/>
        <w:ind w:left="851" w:right="283"/>
        <w:contextualSpacing w:val="0"/>
        <w:jc w:val="both"/>
        <w:rPr>
          <w:rFonts w:ascii="Gotham" w:hAnsi="Gotham"/>
          <w:i/>
          <w:sz w:val="19"/>
          <w:szCs w:val="19"/>
          <w:lang w:val="es-MX"/>
        </w:rPr>
      </w:pPr>
      <w:r w:rsidRPr="003D1FBE">
        <w:rPr>
          <w:rFonts w:ascii="Gotham" w:hAnsi="Gotham"/>
          <w:i/>
          <w:sz w:val="19"/>
          <w:szCs w:val="19"/>
          <w:lang w:val="es-MX"/>
        </w:rPr>
        <w:t>Art. 115.-Los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473CB0" w14:textId="77777777" w:rsidR="00016FE1" w:rsidRPr="003D1FBE" w:rsidRDefault="00016FE1" w:rsidP="002B6227">
      <w:pPr>
        <w:pStyle w:val="Prrafodelista"/>
        <w:spacing w:after="120"/>
        <w:ind w:left="1276" w:right="283" w:hanging="425"/>
        <w:contextualSpacing w:val="0"/>
        <w:jc w:val="both"/>
        <w:rPr>
          <w:rFonts w:ascii="Gotham" w:hAnsi="Gotham"/>
          <w:i/>
          <w:sz w:val="19"/>
          <w:szCs w:val="19"/>
          <w:lang w:val="es-MX"/>
        </w:rPr>
      </w:pPr>
      <w:r w:rsidRPr="003D1FBE">
        <w:rPr>
          <w:rFonts w:ascii="Gotham" w:hAnsi="Gotham"/>
          <w:i/>
          <w:sz w:val="19"/>
          <w:szCs w:val="19"/>
          <w:lang w:val="es-MX"/>
        </w:rPr>
        <w:t xml:space="preserve">II.- </w:t>
      </w:r>
      <w:r>
        <w:rPr>
          <w:rFonts w:ascii="Gotham" w:hAnsi="Gotham"/>
          <w:i/>
          <w:sz w:val="19"/>
          <w:szCs w:val="19"/>
          <w:lang w:val="es-MX"/>
        </w:rPr>
        <w:tab/>
      </w:r>
      <w:r w:rsidRPr="003D1FBE">
        <w:rPr>
          <w:rFonts w:ascii="Gotham" w:hAnsi="Gotham"/>
          <w:i/>
          <w:sz w:val="19"/>
          <w:szCs w:val="19"/>
          <w:lang w:val="es-MX"/>
        </w:rPr>
        <w:t>Los municipios estarán investidos de personalidad jurídica y manejarán su patrimonio conforme a la ley.</w:t>
      </w:r>
    </w:p>
    <w:p w14:paraId="3A473CB1"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3CB2" w14:textId="77777777" w:rsidR="00016FE1" w:rsidRPr="005A1A30" w:rsidRDefault="00016FE1" w:rsidP="002B6227">
      <w:pPr>
        <w:ind w:left="567" w:hanging="567"/>
        <w:jc w:val="both"/>
        <w:rPr>
          <w:rFonts w:ascii="Gotham" w:hAnsi="Gotham" w:cs="Arial"/>
          <w:sz w:val="20"/>
          <w:szCs w:val="20"/>
        </w:rPr>
      </w:pPr>
    </w:p>
    <w:p w14:paraId="3A473CB3" w14:textId="77777777" w:rsidR="00016FE1" w:rsidRPr="003D1FBE" w:rsidRDefault="00016FE1" w:rsidP="002B6227">
      <w:pPr>
        <w:ind w:left="567" w:hanging="567"/>
        <w:jc w:val="both"/>
        <w:rPr>
          <w:rFonts w:ascii="Gotham" w:hAnsi="Gotham" w:cs="Arial"/>
          <w:sz w:val="20"/>
          <w:szCs w:val="20"/>
        </w:rPr>
      </w:pPr>
      <w:r w:rsidRPr="005A1A30">
        <w:rPr>
          <w:rFonts w:ascii="Gotham" w:hAnsi="Gotham" w:cs="Arial"/>
          <w:sz w:val="20"/>
          <w:szCs w:val="20"/>
        </w:rPr>
        <w:t xml:space="preserve">IX. </w:t>
      </w:r>
      <w:r>
        <w:rPr>
          <w:rFonts w:ascii="Gotham" w:hAnsi="Gotham" w:cs="Arial"/>
          <w:sz w:val="20"/>
          <w:szCs w:val="20"/>
        </w:rPr>
        <w:tab/>
      </w:r>
      <w:r w:rsidRPr="005A1A30">
        <w:rPr>
          <w:rFonts w:ascii="Gotham" w:hAnsi="Gotham" w:cs="Arial"/>
          <w:sz w:val="20"/>
          <w:szCs w:val="20"/>
        </w:rPr>
        <w:t>Conforme al orden jerárquico de la norma y en el caso concreto que nos ocupa la Constitución Política del Estado de Jalisco</w:t>
      </w:r>
      <w:r w:rsidR="009F075D">
        <w:rPr>
          <w:rFonts w:ascii="Gotham" w:hAnsi="Gotham" w:cs="Arial"/>
          <w:sz w:val="20"/>
          <w:szCs w:val="20"/>
        </w:rPr>
        <w:t xml:space="preserve"> </w:t>
      </w:r>
      <w:r w:rsidRPr="003D1FBE">
        <w:rPr>
          <w:rFonts w:ascii="Gotham" w:hAnsi="Gotham" w:cs="Arial"/>
          <w:sz w:val="20"/>
          <w:szCs w:val="20"/>
        </w:rPr>
        <w:t xml:space="preserve">como señalar lo siguiente: </w:t>
      </w:r>
    </w:p>
    <w:p w14:paraId="3A473CB4" w14:textId="77777777" w:rsidR="00016FE1" w:rsidRPr="003D1FBE" w:rsidRDefault="00016FE1" w:rsidP="002B6227">
      <w:pPr>
        <w:ind w:left="567" w:hanging="567"/>
        <w:jc w:val="both"/>
        <w:rPr>
          <w:rFonts w:ascii="Gotham" w:hAnsi="Gotham" w:cs="Arial"/>
          <w:sz w:val="20"/>
          <w:szCs w:val="20"/>
        </w:rPr>
      </w:pPr>
    </w:p>
    <w:p w14:paraId="3A473CB5" w14:textId="77777777" w:rsidR="00016FE1" w:rsidRPr="003D1FBE" w:rsidRDefault="00016FE1" w:rsidP="002B6227">
      <w:pPr>
        <w:pStyle w:val="Prrafodelista"/>
        <w:ind w:left="851" w:right="283"/>
        <w:contextualSpacing w:val="0"/>
        <w:jc w:val="both"/>
        <w:rPr>
          <w:rFonts w:ascii="Gotham" w:hAnsi="Gotham"/>
          <w:i/>
          <w:sz w:val="19"/>
          <w:szCs w:val="19"/>
          <w:lang w:val="es-MX"/>
        </w:rPr>
      </w:pPr>
      <w:r w:rsidRPr="003D1FBE">
        <w:rPr>
          <w:rFonts w:ascii="Gotham" w:hAnsi="Gotham"/>
          <w:i/>
          <w:sz w:val="19"/>
          <w:szCs w:val="19"/>
          <w:lang w:val="es-MX"/>
        </w:rPr>
        <w:t>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3A473CB6" w14:textId="77777777" w:rsidR="00016FE1" w:rsidRPr="000535B5" w:rsidRDefault="00016FE1" w:rsidP="002B6227">
      <w:pPr>
        <w:pStyle w:val="Prrafodelista"/>
        <w:ind w:left="851" w:right="283"/>
        <w:contextualSpacing w:val="0"/>
        <w:jc w:val="both"/>
        <w:rPr>
          <w:rFonts w:ascii="Gotham" w:hAnsi="Gotham"/>
          <w:i/>
          <w:sz w:val="19"/>
          <w:szCs w:val="19"/>
          <w:lang w:val="es-MX"/>
        </w:rPr>
      </w:pPr>
    </w:p>
    <w:p w14:paraId="3A473CB7" w14:textId="77777777" w:rsidR="00016FE1" w:rsidRPr="000535B5" w:rsidRDefault="00016FE1" w:rsidP="002B6227">
      <w:pPr>
        <w:pStyle w:val="Prrafodelista"/>
        <w:spacing w:after="120"/>
        <w:ind w:left="851" w:right="283"/>
        <w:contextualSpacing w:val="0"/>
        <w:jc w:val="both"/>
        <w:rPr>
          <w:rFonts w:ascii="Gotham" w:hAnsi="Gotham"/>
          <w:i/>
          <w:sz w:val="19"/>
          <w:szCs w:val="19"/>
          <w:lang w:val="es-MX"/>
        </w:rPr>
      </w:pPr>
      <w:r w:rsidRPr="000535B5">
        <w:rPr>
          <w:rFonts w:ascii="Gotham" w:hAnsi="Gotham"/>
          <w:i/>
          <w:sz w:val="19"/>
          <w:szCs w:val="19"/>
          <w:lang w:val="es-MX"/>
        </w:rPr>
        <w:t>Art. 77.- Los ayuntamientos tendrán facultades para aprobar, de acuerdo con las leyes en materia municipal que expida el Congreso del Estado:</w:t>
      </w:r>
    </w:p>
    <w:p w14:paraId="3A473CB8" w14:textId="77777777" w:rsidR="00016FE1" w:rsidRPr="000535B5" w:rsidRDefault="00016FE1" w:rsidP="002B6227">
      <w:pPr>
        <w:pStyle w:val="Prrafodelista"/>
        <w:spacing w:after="120"/>
        <w:ind w:left="1276" w:right="283" w:hanging="425"/>
        <w:contextualSpacing w:val="0"/>
        <w:jc w:val="both"/>
        <w:rPr>
          <w:rFonts w:ascii="Gotham" w:hAnsi="Gotham"/>
          <w:i/>
          <w:sz w:val="19"/>
          <w:szCs w:val="19"/>
          <w:lang w:val="es-MX"/>
        </w:rPr>
      </w:pPr>
      <w:r w:rsidRPr="000535B5">
        <w:rPr>
          <w:rFonts w:ascii="Gotham" w:hAnsi="Gotham"/>
          <w:i/>
          <w:sz w:val="19"/>
          <w:szCs w:val="19"/>
          <w:lang w:val="es-MX"/>
        </w:rPr>
        <w:t xml:space="preserve">I. </w:t>
      </w:r>
      <w:r>
        <w:rPr>
          <w:rFonts w:ascii="Gotham" w:hAnsi="Gotham"/>
          <w:i/>
          <w:sz w:val="19"/>
          <w:szCs w:val="19"/>
          <w:lang w:val="es-MX"/>
        </w:rPr>
        <w:tab/>
      </w:r>
      <w:r w:rsidRPr="000535B5">
        <w:rPr>
          <w:rFonts w:ascii="Gotham" w:hAnsi="Gotham"/>
          <w:i/>
          <w:sz w:val="19"/>
          <w:szCs w:val="19"/>
          <w:lang w:val="es-MX"/>
        </w:rPr>
        <w:t>Los bandos de policía y gobierno;</w:t>
      </w:r>
    </w:p>
    <w:p w14:paraId="3A473CB9" w14:textId="77777777" w:rsidR="00016FE1" w:rsidRPr="000535B5" w:rsidRDefault="00016FE1" w:rsidP="002B6227">
      <w:pPr>
        <w:pStyle w:val="Prrafodelista"/>
        <w:spacing w:after="120"/>
        <w:ind w:left="1276" w:right="283" w:hanging="425"/>
        <w:contextualSpacing w:val="0"/>
        <w:jc w:val="both"/>
        <w:rPr>
          <w:rFonts w:ascii="Gotham" w:hAnsi="Gotham"/>
          <w:i/>
          <w:sz w:val="19"/>
          <w:szCs w:val="19"/>
          <w:lang w:val="es-MX"/>
        </w:rPr>
      </w:pPr>
      <w:r w:rsidRPr="000535B5">
        <w:rPr>
          <w:rFonts w:ascii="Gotham" w:hAnsi="Gotham"/>
          <w:i/>
          <w:sz w:val="19"/>
          <w:szCs w:val="19"/>
          <w:lang w:val="es-MX"/>
        </w:rPr>
        <w:t xml:space="preserve">II. </w:t>
      </w:r>
      <w:r>
        <w:rPr>
          <w:rFonts w:ascii="Gotham" w:hAnsi="Gotham"/>
          <w:i/>
          <w:sz w:val="19"/>
          <w:szCs w:val="19"/>
          <w:lang w:val="es-MX"/>
        </w:rPr>
        <w:tab/>
      </w:r>
      <w:r w:rsidRPr="000535B5">
        <w:rPr>
          <w:rFonts w:ascii="Gotham" w:hAnsi="Gotham"/>
          <w:i/>
          <w:sz w:val="19"/>
          <w:szCs w:val="19"/>
          <w:lang w:val="es-MX"/>
        </w:rPr>
        <w:t>Los reglamentos, circulares y disposiciones administrativas de observancia general dentro de sus respectivas jurisdicciones, con el objeto de:</w:t>
      </w:r>
    </w:p>
    <w:p w14:paraId="3A473CBA" w14:textId="77777777" w:rsidR="00016FE1" w:rsidRPr="000535B5" w:rsidRDefault="00016FE1" w:rsidP="002B6227">
      <w:pPr>
        <w:pStyle w:val="Prrafodelista"/>
        <w:spacing w:after="120"/>
        <w:ind w:left="1701" w:right="283" w:hanging="425"/>
        <w:contextualSpacing w:val="0"/>
        <w:jc w:val="both"/>
        <w:rPr>
          <w:rFonts w:ascii="Gotham" w:hAnsi="Gotham"/>
          <w:i/>
          <w:sz w:val="19"/>
          <w:szCs w:val="19"/>
          <w:lang w:val="es-MX"/>
        </w:rPr>
      </w:pPr>
      <w:r w:rsidRPr="000535B5">
        <w:rPr>
          <w:rFonts w:ascii="Gotham" w:hAnsi="Gotham"/>
          <w:i/>
          <w:sz w:val="19"/>
          <w:szCs w:val="19"/>
          <w:lang w:val="es-MX"/>
        </w:rPr>
        <w:t xml:space="preserve">a) </w:t>
      </w:r>
      <w:r>
        <w:rPr>
          <w:rFonts w:ascii="Gotham" w:hAnsi="Gotham"/>
          <w:i/>
          <w:sz w:val="19"/>
          <w:szCs w:val="19"/>
          <w:lang w:val="es-MX"/>
        </w:rPr>
        <w:tab/>
      </w:r>
      <w:r w:rsidRPr="000535B5">
        <w:rPr>
          <w:rFonts w:ascii="Gotham" w:hAnsi="Gotham"/>
          <w:i/>
          <w:sz w:val="19"/>
          <w:szCs w:val="19"/>
          <w:lang w:val="es-MX"/>
        </w:rPr>
        <w:t>Organizar la administración pública municipal;</w:t>
      </w:r>
    </w:p>
    <w:p w14:paraId="3A473CBB" w14:textId="77777777" w:rsidR="00016FE1" w:rsidRPr="000535B5" w:rsidRDefault="00016FE1" w:rsidP="002B6227">
      <w:pPr>
        <w:pStyle w:val="Prrafodelista"/>
        <w:ind w:left="1701" w:right="283" w:hanging="425"/>
        <w:contextualSpacing w:val="0"/>
        <w:jc w:val="both"/>
        <w:rPr>
          <w:rFonts w:ascii="Gotham" w:hAnsi="Gotham"/>
          <w:i/>
          <w:sz w:val="19"/>
          <w:szCs w:val="19"/>
          <w:lang w:val="es-MX"/>
        </w:rPr>
      </w:pPr>
      <w:r w:rsidRPr="000535B5">
        <w:rPr>
          <w:rFonts w:ascii="Gotham" w:hAnsi="Gotham"/>
          <w:i/>
          <w:sz w:val="19"/>
          <w:szCs w:val="19"/>
          <w:lang w:val="es-MX"/>
        </w:rPr>
        <w:t xml:space="preserve">b) </w:t>
      </w:r>
      <w:r>
        <w:rPr>
          <w:rFonts w:ascii="Gotham" w:hAnsi="Gotham"/>
          <w:i/>
          <w:sz w:val="19"/>
          <w:szCs w:val="19"/>
          <w:lang w:val="es-MX"/>
        </w:rPr>
        <w:tab/>
      </w:r>
      <w:r w:rsidRPr="000535B5">
        <w:rPr>
          <w:rFonts w:ascii="Gotham" w:hAnsi="Gotham"/>
          <w:i/>
          <w:sz w:val="19"/>
          <w:szCs w:val="19"/>
          <w:lang w:val="es-MX"/>
        </w:rPr>
        <w:t>Regular las materias, procedimientos, funciones y servicios públicos de su competencia; y</w:t>
      </w:r>
    </w:p>
    <w:p w14:paraId="3A473CBC" w14:textId="77777777" w:rsidR="00016FE1" w:rsidRPr="000535B5" w:rsidRDefault="00016FE1" w:rsidP="002B6227">
      <w:pPr>
        <w:autoSpaceDE w:val="0"/>
        <w:autoSpaceDN w:val="0"/>
        <w:adjustRightInd w:val="0"/>
        <w:ind w:left="567" w:hanging="567"/>
        <w:jc w:val="both"/>
        <w:rPr>
          <w:rFonts w:ascii="Gotham" w:hAnsi="Gotham" w:cs="Arial"/>
          <w:sz w:val="20"/>
          <w:szCs w:val="20"/>
        </w:rPr>
      </w:pPr>
    </w:p>
    <w:p w14:paraId="3A473CBD" w14:textId="77777777" w:rsidR="00016FE1" w:rsidRPr="000535B5" w:rsidRDefault="00016FE1" w:rsidP="002B6227">
      <w:pPr>
        <w:autoSpaceDE w:val="0"/>
        <w:autoSpaceDN w:val="0"/>
        <w:adjustRightInd w:val="0"/>
        <w:ind w:left="567" w:hanging="567"/>
        <w:jc w:val="both"/>
        <w:rPr>
          <w:rFonts w:ascii="Gotham" w:hAnsi="Gotham" w:cs="Arial"/>
          <w:sz w:val="20"/>
          <w:szCs w:val="20"/>
        </w:rPr>
      </w:pPr>
      <w:r w:rsidRPr="000535B5">
        <w:rPr>
          <w:rFonts w:ascii="Gotham" w:hAnsi="Gotham" w:cs="Arial"/>
          <w:sz w:val="20"/>
          <w:szCs w:val="20"/>
        </w:rPr>
        <w:t xml:space="preserve">X. </w:t>
      </w:r>
      <w:r>
        <w:rPr>
          <w:rFonts w:ascii="Gotham" w:hAnsi="Gotham" w:cs="Arial"/>
          <w:sz w:val="20"/>
          <w:szCs w:val="20"/>
        </w:rPr>
        <w:tab/>
      </w:r>
      <w:r w:rsidRPr="000535B5">
        <w:rPr>
          <w:rFonts w:ascii="Gotham" w:hAnsi="Gotham" w:cs="Arial"/>
          <w:sz w:val="20"/>
          <w:szCs w:val="20"/>
        </w:rPr>
        <w:t xml:space="preserve">En lo que corresponde al funcionamiento de la Administración municipal, será normada mediante la Ley de Gobierno y la Administración Pública del Estado de Jalisco. </w:t>
      </w:r>
    </w:p>
    <w:p w14:paraId="3A473CBE" w14:textId="77777777" w:rsidR="00016FE1" w:rsidRPr="005A1A30" w:rsidRDefault="00016FE1" w:rsidP="002B6227">
      <w:pPr>
        <w:autoSpaceDE w:val="0"/>
        <w:autoSpaceDN w:val="0"/>
        <w:adjustRightInd w:val="0"/>
        <w:ind w:left="567" w:hanging="567"/>
        <w:jc w:val="both"/>
        <w:rPr>
          <w:rFonts w:ascii="Gotham" w:hAnsi="Gotham" w:cs="Arial"/>
          <w:sz w:val="20"/>
          <w:szCs w:val="20"/>
        </w:rPr>
      </w:pPr>
    </w:p>
    <w:p w14:paraId="3A473CBF"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lastRenderedPageBreak/>
        <w:t>Artículo 27. Los Ayuntamientos, para el estudio, vigilancia y atención de los diversos asuntos que les corresponda conocer, deben funcionar mediante comisiones.</w:t>
      </w:r>
    </w:p>
    <w:p w14:paraId="3A473CC0"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Los ediles deberán presidir por lo menos una comisión, además cada munícipe debe estar integrado por lo menos a tres comisiones, en los términos de la reglamentación respectiva.</w:t>
      </w:r>
    </w:p>
    <w:p w14:paraId="3A473CC1"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La denominación de las comisiones, sus características, obligaciones y facultades, deben ser establecidas en los reglamentos que para tal efecto expida el Ayuntamiento.</w:t>
      </w:r>
    </w:p>
    <w:p w14:paraId="3A473CC2" w14:textId="77777777" w:rsidR="00016FE1" w:rsidRPr="005A0E08" w:rsidRDefault="00016FE1" w:rsidP="002B6227">
      <w:pPr>
        <w:pStyle w:val="Prrafodelista"/>
        <w:ind w:left="851" w:right="283"/>
        <w:contextualSpacing w:val="0"/>
        <w:jc w:val="both"/>
        <w:rPr>
          <w:rFonts w:ascii="Gotham" w:hAnsi="Gotham"/>
          <w:i/>
          <w:sz w:val="19"/>
          <w:szCs w:val="19"/>
          <w:lang w:val="es-MX"/>
        </w:rPr>
      </w:pPr>
      <w:r w:rsidRPr="005A0E08">
        <w:rPr>
          <w:rFonts w:ascii="Gotham" w:hAnsi="Gotham"/>
          <w:i/>
          <w:sz w:val="19"/>
          <w:szCs w:val="19"/>
          <w:lang w:val="es-MX"/>
        </w:rPr>
        <w:t>Las comisiones pueden ser permanentes o transitorias, con integración colegiada para su funcionamiento y desempeño, integradas cuando menos por tres ediles y bajo ninguna circunstancia pueden tener facultades ejecutivas.</w:t>
      </w:r>
    </w:p>
    <w:p w14:paraId="3A473CC3" w14:textId="77777777" w:rsidR="00016FE1" w:rsidRPr="005A0E08" w:rsidRDefault="00016FE1" w:rsidP="002B6227">
      <w:pPr>
        <w:pStyle w:val="Prrafodelista"/>
        <w:ind w:left="851" w:right="283"/>
        <w:contextualSpacing w:val="0"/>
        <w:jc w:val="both"/>
        <w:rPr>
          <w:rFonts w:ascii="Gotham" w:hAnsi="Gotham"/>
          <w:i/>
          <w:sz w:val="19"/>
          <w:szCs w:val="19"/>
          <w:lang w:val="es-MX"/>
        </w:rPr>
      </w:pPr>
    </w:p>
    <w:p w14:paraId="3A473CC4"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Artículo 37. Son obligaciones de los Ayuntamientos, las siguientes:</w:t>
      </w:r>
    </w:p>
    <w:p w14:paraId="3A473CC5"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I</w:t>
      </w:r>
      <w:r>
        <w:rPr>
          <w:rFonts w:ascii="Gotham" w:hAnsi="Gotham"/>
          <w:i/>
          <w:sz w:val="19"/>
          <w:szCs w:val="19"/>
          <w:lang w:val="es-MX"/>
        </w:rPr>
        <w:t>.</w:t>
      </w:r>
      <w:r w:rsidRPr="005A0E08">
        <w:rPr>
          <w:rFonts w:ascii="Gotham" w:hAnsi="Gotham"/>
          <w:i/>
          <w:sz w:val="19"/>
          <w:szCs w:val="19"/>
          <w:lang w:val="es-MX"/>
        </w:rPr>
        <w:t xml:space="preserve"> </w:t>
      </w:r>
      <w:r>
        <w:rPr>
          <w:rFonts w:ascii="Gotham" w:hAnsi="Gotham"/>
          <w:i/>
          <w:sz w:val="19"/>
          <w:szCs w:val="19"/>
          <w:lang w:val="es-MX"/>
        </w:rPr>
        <w:tab/>
      </w:r>
      <w:r w:rsidRPr="005A0E08">
        <w:rPr>
          <w:rFonts w:ascii="Gotham" w:hAnsi="Gotham"/>
          <w:i/>
          <w:sz w:val="19"/>
          <w:szCs w:val="19"/>
          <w:lang w:val="es-MX"/>
        </w:rPr>
        <w:t>(...).</w:t>
      </w:r>
    </w:p>
    <w:p w14:paraId="3A473CC6"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II. </w:t>
      </w:r>
      <w:r>
        <w:rPr>
          <w:rFonts w:ascii="Gotham" w:hAnsi="Gotham"/>
          <w:i/>
          <w:sz w:val="19"/>
          <w:szCs w:val="19"/>
          <w:lang w:val="es-MX"/>
        </w:rPr>
        <w:tab/>
      </w:r>
      <w:r w:rsidRPr="005A0E08">
        <w:rPr>
          <w:rFonts w:ascii="Gotham" w:hAnsi="Gotham"/>
          <w:i/>
          <w:sz w:val="19"/>
          <w:szCs w:val="19"/>
          <w:lang w:val="es-MX"/>
        </w:rPr>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3A473CC7"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II a IX (...).</w:t>
      </w:r>
    </w:p>
    <w:p w14:paraId="3A473CC8" w14:textId="77777777" w:rsidR="00016FE1" w:rsidRPr="005A0E08" w:rsidRDefault="00016FE1" w:rsidP="002B6227">
      <w:pPr>
        <w:pStyle w:val="Prrafodelista"/>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X. </w:t>
      </w:r>
      <w:r>
        <w:rPr>
          <w:rFonts w:ascii="Gotham" w:hAnsi="Gotham"/>
          <w:i/>
          <w:sz w:val="19"/>
          <w:szCs w:val="19"/>
          <w:lang w:val="es-MX"/>
        </w:rPr>
        <w:tab/>
      </w:r>
      <w:r w:rsidRPr="005A0E08">
        <w:rPr>
          <w:rFonts w:ascii="Gotham" w:hAnsi="Gotham"/>
          <w:i/>
          <w:sz w:val="19"/>
          <w:szCs w:val="19"/>
          <w:lang w:val="es-MX"/>
        </w:rPr>
        <w:t>Atender la seguridad en todo el Municipio y dictar las medidas tendientes a mantener la seguridad, la paz, el orden público, la preservación y garantía de los derechos humanos.</w:t>
      </w:r>
    </w:p>
    <w:p w14:paraId="3A473CC9" w14:textId="77777777" w:rsidR="00016FE1" w:rsidRPr="00A603F9" w:rsidRDefault="00016FE1" w:rsidP="002B6227">
      <w:pPr>
        <w:autoSpaceDE w:val="0"/>
        <w:autoSpaceDN w:val="0"/>
        <w:adjustRightInd w:val="0"/>
        <w:ind w:left="567" w:hanging="567"/>
        <w:jc w:val="both"/>
        <w:rPr>
          <w:rFonts w:ascii="Gotham" w:hAnsi="Gotham" w:cs="Arial"/>
          <w:sz w:val="20"/>
          <w:szCs w:val="20"/>
        </w:rPr>
      </w:pPr>
    </w:p>
    <w:p w14:paraId="3A473CCA" w14:textId="77777777" w:rsidR="00016FE1" w:rsidRPr="00A603F9" w:rsidRDefault="00016FE1" w:rsidP="002B6227">
      <w:pPr>
        <w:autoSpaceDE w:val="0"/>
        <w:autoSpaceDN w:val="0"/>
        <w:adjustRightInd w:val="0"/>
        <w:ind w:left="567" w:hanging="567"/>
        <w:jc w:val="both"/>
        <w:rPr>
          <w:rFonts w:ascii="Gotham" w:hAnsi="Gotham" w:cs="Arial"/>
          <w:sz w:val="20"/>
          <w:szCs w:val="20"/>
        </w:rPr>
      </w:pPr>
      <w:r w:rsidRPr="00A603F9">
        <w:rPr>
          <w:rFonts w:ascii="Gotham" w:hAnsi="Gotham" w:cs="Arial"/>
          <w:sz w:val="20"/>
          <w:szCs w:val="20"/>
        </w:rPr>
        <w:t xml:space="preserve">XI. </w:t>
      </w:r>
      <w:r>
        <w:rPr>
          <w:rFonts w:ascii="Gotham" w:hAnsi="Gotham" w:cs="Arial"/>
          <w:sz w:val="20"/>
          <w:szCs w:val="20"/>
        </w:rPr>
        <w:tab/>
      </w:r>
      <w:r w:rsidRPr="00A603F9">
        <w:rPr>
          <w:rFonts w:ascii="Gotham" w:hAnsi="Gotham" w:cs="Arial"/>
          <w:sz w:val="20"/>
          <w:szCs w:val="20"/>
        </w:rPr>
        <w:t>Conforme a la norma orgánica y administrativa que rige la vida interna del municipio se cuenta con Reglamento del Gobierno y la Administración Pública del Ayuntamiento Constitucional de Tonalá, Jalisco. Tiene la atribución de general los instrumentos normativos conforme se señala a continuación:</w:t>
      </w:r>
    </w:p>
    <w:p w14:paraId="3A473CCB" w14:textId="77777777" w:rsidR="00016FE1" w:rsidRPr="00A603F9" w:rsidRDefault="00016FE1" w:rsidP="002B6227">
      <w:pPr>
        <w:autoSpaceDE w:val="0"/>
        <w:autoSpaceDN w:val="0"/>
        <w:adjustRightInd w:val="0"/>
        <w:ind w:left="567" w:hanging="567"/>
        <w:jc w:val="both"/>
        <w:rPr>
          <w:rFonts w:ascii="Gotham" w:hAnsi="Gotham" w:cs="Arial"/>
          <w:sz w:val="20"/>
          <w:szCs w:val="20"/>
        </w:rPr>
      </w:pPr>
    </w:p>
    <w:p w14:paraId="3A473CCC"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Artículo 53.- Además de lo establecido en la legislación y normatividad aplicable, son facultades y obligaciones del Ayuntamiento, las siguientes:</w:t>
      </w:r>
    </w:p>
    <w:p w14:paraId="3A473CCD"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I. </w:t>
      </w:r>
      <w:r>
        <w:rPr>
          <w:rFonts w:ascii="Gotham" w:hAnsi="Gotham"/>
          <w:i/>
          <w:sz w:val="19"/>
          <w:szCs w:val="19"/>
          <w:lang w:val="es-MX"/>
        </w:rPr>
        <w:tab/>
      </w:r>
      <w:r w:rsidRPr="005A0E08">
        <w:rPr>
          <w:rFonts w:ascii="Gotham" w:hAnsi="Gotham"/>
          <w:i/>
          <w:sz w:val="19"/>
          <w:szCs w:val="19"/>
          <w:lang w:val="es-MX"/>
        </w:rPr>
        <w:t>(...)</w:t>
      </w:r>
    </w:p>
    <w:p w14:paraId="3A473CCE" w14:textId="77777777" w:rsidR="00016FE1" w:rsidRPr="005A0E08" w:rsidRDefault="00016FE1" w:rsidP="002B6227">
      <w:pPr>
        <w:pStyle w:val="Prrafodelista"/>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II. </w:t>
      </w:r>
      <w:r>
        <w:rPr>
          <w:rFonts w:ascii="Gotham" w:hAnsi="Gotham"/>
          <w:i/>
          <w:sz w:val="19"/>
          <w:szCs w:val="19"/>
          <w:lang w:val="es-MX"/>
        </w:rPr>
        <w:tab/>
      </w:r>
      <w:r w:rsidRPr="005A0E08">
        <w:rPr>
          <w:rFonts w:ascii="Gotham" w:hAnsi="Gotham"/>
          <w:i/>
          <w:sz w:val="19"/>
          <w:szCs w:val="19"/>
          <w:lang w:val="es-MX"/>
        </w:rPr>
        <w:t>Expedir los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de acuerdo con las leyes que en materia municipal expida el Congreso del Estado de Jalisco tomando en cuenta las previsiones establecidas en el artículo 6 del presente Reglamento, así como adoptar la normatividad que las instancias competentes emitan en materia de contabilidad gubernamental;</w:t>
      </w:r>
    </w:p>
    <w:p w14:paraId="3A473CCF" w14:textId="77777777" w:rsidR="00016FE1" w:rsidRPr="005A0E08" w:rsidRDefault="00016FE1" w:rsidP="002B6227">
      <w:pPr>
        <w:pStyle w:val="Prrafodelista"/>
        <w:ind w:left="851" w:right="283"/>
        <w:contextualSpacing w:val="0"/>
        <w:jc w:val="both"/>
        <w:rPr>
          <w:rFonts w:ascii="Gotham" w:hAnsi="Gotham"/>
          <w:i/>
          <w:sz w:val="19"/>
          <w:szCs w:val="19"/>
          <w:lang w:val="es-MX"/>
        </w:rPr>
      </w:pPr>
    </w:p>
    <w:p w14:paraId="3A473CD0"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Artículo 55.- El Ayuntamiento tiene facultad para aprobar y expedir:</w:t>
      </w:r>
    </w:p>
    <w:p w14:paraId="3A473CD1"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I. </w:t>
      </w:r>
      <w:r>
        <w:rPr>
          <w:rFonts w:ascii="Gotham" w:hAnsi="Gotham"/>
          <w:i/>
          <w:sz w:val="19"/>
          <w:szCs w:val="19"/>
          <w:lang w:val="es-MX"/>
        </w:rPr>
        <w:tab/>
      </w:r>
      <w:r w:rsidRPr="005A0E08">
        <w:rPr>
          <w:rFonts w:ascii="Gotham" w:hAnsi="Gotham"/>
          <w:i/>
          <w:sz w:val="19"/>
          <w:szCs w:val="19"/>
          <w:lang w:val="es-MX"/>
        </w:rPr>
        <w:t>(..:)</w:t>
      </w:r>
    </w:p>
    <w:p w14:paraId="3A473CD2"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II. </w:t>
      </w:r>
      <w:r>
        <w:rPr>
          <w:rFonts w:ascii="Gotham" w:hAnsi="Gotham"/>
          <w:i/>
          <w:sz w:val="19"/>
          <w:szCs w:val="19"/>
          <w:lang w:val="es-MX"/>
        </w:rPr>
        <w:tab/>
      </w:r>
      <w:r w:rsidRPr="005A0E08">
        <w:rPr>
          <w:rFonts w:ascii="Gotham" w:hAnsi="Gotham"/>
          <w:i/>
          <w:sz w:val="19"/>
          <w:szCs w:val="19"/>
          <w:lang w:val="es-MX"/>
        </w:rPr>
        <w:t>Los reglamentos, circulares y disposiciones administrativas de observancia general, dentro de la jurisdicción municipal, con el objeto de;</w:t>
      </w:r>
    </w:p>
    <w:p w14:paraId="3A473CD3" w14:textId="77777777" w:rsidR="00016FE1" w:rsidRPr="005A0E08" w:rsidRDefault="00016FE1" w:rsidP="002B6227">
      <w:pPr>
        <w:pStyle w:val="Prrafodelista"/>
        <w:spacing w:after="120"/>
        <w:ind w:left="1701" w:right="283" w:hanging="425"/>
        <w:contextualSpacing w:val="0"/>
        <w:jc w:val="both"/>
        <w:rPr>
          <w:rFonts w:ascii="Gotham" w:hAnsi="Gotham"/>
          <w:i/>
          <w:sz w:val="19"/>
          <w:szCs w:val="19"/>
          <w:lang w:val="es-MX"/>
        </w:rPr>
      </w:pPr>
      <w:r w:rsidRPr="005A0E08">
        <w:rPr>
          <w:rFonts w:ascii="Gotham" w:hAnsi="Gotham"/>
          <w:i/>
          <w:sz w:val="19"/>
          <w:szCs w:val="19"/>
          <w:lang w:val="es-MX"/>
        </w:rPr>
        <w:t xml:space="preserve">a) </w:t>
      </w:r>
      <w:r>
        <w:rPr>
          <w:rFonts w:ascii="Gotham" w:hAnsi="Gotham"/>
          <w:i/>
          <w:sz w:val="19"/>
          <w:szCs w:val="19"/>
          <w:lang w:val="es-MX"/>
        </w:rPr>
        <w:tab/>
      </w:r>
      <w:r w:rsidRPr="005A0E08">
        <w:rPr>
          <w:rFonts w:ascii="Gotham" w:hAnsi="Gotham"/>
          <w:i/>
          <w:sz w:val="19"/>
          <w:szCs w:val="19"/>
          <w:lang w:val="es-MX"/>
        </w:rPr>
        <w:t>Organizar la Administración Pública Municipal;</w:t>
      </w:r>
    </w:p>
    <w:p w14:paraId="3A473CD4" w14:textId="77777777" w:rsidR="00016FE1" w:rsidRPr="005A0E08" w:rsidRDefault="00016FE1" w:rsidP="002B6227">
      <w:pPr>
        <w:pStyle w:val="Prrafodelista"/>
        <w:ind w:left="1701" w:right="283" w:hanging="425"/>
        <w:contextualSpacing w:val="0"/>
        <w:jc w:val="both"/>
        <w:rPr>
          <w:rFonts w:ascii="Gotham" w:hAnsi="Gotham"/>
          <w:i/>
          <w:sz w:val="19"/>
          <w:szCs w:val="19"/>
          <w:lang w:val="es-MX"/>
        </w:rPr>
      </w:pPr>
      <w:r w:rsidRPr="005A0E08">
        <w:rPr>
          <w:rFonts w:ascii="Gotham" w:hAnsi="Gotham"/>
          <w:i/>
          <w:sz w:val="19"/>
          <w:szCs w:val="19"/>
          <w:lang w:val="es-MX"/>
        </w:rPr>
        <w:t xml:space="preserve">b) </w:t>
      </w:r>
      <w:r>
        <w:rPr>
          <w:rFonts w:ascii="Gotham" w:hAnsi="Gotham"/>
          <w:i/>
          <w:sz w:val="19"/>
          <w:szCs w:val="19"/>
          <w:lang w:val="es-MX"/>
        </w:rPr>
        <w:tab/>
      </w:r>
      <w:r w:rsidRPr="005A0E08">
        <w:rPr>
          <w:rFonts w:ascii="Gotham" w:hAnsi="Gotham"/>
          <w:i/>
          <w:sz w:val="19"/>
          <w:szCs w:val="19"/>
          <w:lang w:val="es-MX"/>
        </w:rPr>
        <w:t>Regular las materias, procedimientos, funciones y servicios públicos de su competencia;</w:t>
      </w:r>
    </w:p>
    <w:p w14:paraId="3A473CD5" w14:textId="77777777" w:rsidR="00016FE1" w:rsidRPr="005A0E08" w:rsidRDefault="00016FE1" w:rsidP="002B6227">
      <w:pPr>
        <w:pStyle w:val="Prrafodelista"/>
        <w:ind w:left="851" w:right="283"/>
        <w:contextualSpacing w:val="0"/>
        <w:jc w:val="both"/>
        <w:rPr>
          <w:rFonts w:ascii="Gotham" w:hAnsi="Gotham"/>
          <w:i/>
          <w:sz w:val="19"/>
          <w:szCs w:val="19"/>
          <w:lang w:val="es-MX"/>
        </w:rPr>
      </w:pPr>
    </w:p>
    <w:p w14:paraId="3A473CD6"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lastRenderedPageBreak/>
        <w:t>Artículo 57.- Para la aprobación de los ordenamientos municipales, se deben observar los requisitos previstos en el ordenamiento municipal, expedido para tal efecto, cumpliendo con lo siguiente:</w:t>
      </w:r>
    </w:p>
    <w:p w14:paraId="3A473CD7"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VII.  </w:t>
      </w:r>
      <w:r>
        <w:rPr>
          <w:rFonts w:ascii="Gotham" w:hAnsi="Gotham"/>
          <w:i/>
          <w:sz w:val="19"/>
          <w:szCs w:val="19"/>
          <w:lang w:val="es-MX"/>
        </w:rPr>
        <w:tab/>
      </w:r>
      <w:r w:rsidRPr="005A0E08">
        <w:rPr>
          <w:rFonts w:ascii="Gotham" w:hAnsi="Gotham"/>
          <w:i/>
          <w:sz w:val="19"/>
          <w:szCs w:val="19"/>
          <w:lang w:val="es-MX"/>
        </w:rPr>
        <w:t>El Ayuntamiento debe remitir, a través de la Secretaría General, una ejemplar de la Gaceta Municipal donde se publiquen los ordenamientos municipales y sus reformas al Congreso del Estado de Jalisco, para su compendio en la biblioteca del Poder Legislativo; y</w:t>
      </w:r>
    </w:p>
    <w:p w14:paraId="3A473CD8" w14:textId="77777777" w:rsidR="00016FE1" w:rsidRPr="005A0E08" w:rsidRDefault="00016FE1" w:rsidP="002B6227">
      <w:pPr>
        <w:pStyle w:val="Prrafodelista"/>
        <w:ind w:left="1276" w:right="283" w:hanging="425"/>
        <w:contextualSpacing w:val="0"/>
        <w:jc w:val="both"/>
        <w:rPr>
          <w:rFonts w:ascii="Gotham" w:hAnsi="Gotham"/>
          <w:i/>
          <w:sz w:val="19"/>
          <w:szCs w:val="19"/>
          <w:lang w:val="es-MX"/>
        </w:rPr>
      </w:pPr>
      <w:r>
        <w:rPr>
          <w:rFonts w:ascii="Gotham" w:hAnsi="Gotham"/>
          <w:i/>
          <w:sz w:val="19"/>
          <w:szCs w:val="19"/>
          <w:lang w:val="es-MX"/>
        </w:rPr>
        <w:t xml:space="preserve">VIII. </w:t>
      </w:r>
      <w:r>
        <w:rPr>
          <w:rFonts w:ascii="Gotham" w:hAnsi="Gotham"/>
          <w:i/>
          <w:sz w:val="19"/>
          <w:szCs w:val="19"/>
          <w:lang w:val="es-MX"/>
        </w:rPr>
        <w:tab/>
      </w:r>
      <w:r w:rsidRPr="005A0E08">
        <w:rPr>
          <w:rFonts w:ascii="Gotham" w:hAnsi="Gotham"/>
          <w:i/>
          <w:sz w:val="19"/>
          <w:szCs w:val="19"/>
          <w:lang w:val="es-MX"/>
        </w:rPr>
        <w:t>Se publicarán en el portal de internet del Gobierno Municipal versiones integradas de los ordenamientos municipales y sus reformas para fines de facilitar su consulta y difusión a la población en general, sin embargo, la versión oficial será aquella que aparezca publicada en la Gaceta Municipal.</w:t>
      </w:r>
    </w:p>
    <w:p w14:paraId="3A473CD9" w14:textId="77777777" w:rsidR="00016FE1" w:rsidRPr="00A603F9" w:rsidRDefault="00016FE1" w:rsidP="002B6227">
      <w:pPr>
        <w:autoSpaceDE w:val="0"/>
        <w:autoSpaceDN w:val="0"/>
        <w:adjustRightInd w:val="0"/>
        <w:ind w:left="567" w:hanging="567"/>
        <w:jc w:val="both"/>
        <w:rPr>
          <w:rFonts w:ascii="Gotham" w:hAnsi="Gotham" w:cs="Arial"/>
          <w:sz w:val="20"/>
          <w:szCs w:val="20"/>
        </w:rPr>
      </w:pPr>
    </w:p>
    <w:p w14:paraId="3A473CDA" w14:textId="77777777" w:rsidR="00016FE1" w:rsidRPr="00A603F9" w:rsidRDefault="00016FE1" w:rsidP="002B6227">
      <w:pPr>
        <w:autoSpaceDE w:val="0"/>
        <w:autoSpaceDN w:val="0"/>
        <w:adjustRightInd w:val="0"/>
        <w:ind w:left="567" w:hanging="567"/>
        <w:jc w:val="both"/>
        <w:rPr>
          <w:rFonts w:ascii="Gotham" w:hAnsi="Gotham" w:cs="Arial"/>
          <w:sz w:val="20"/>
          <w:szCs w:val="20"/>
        </w:rPr>
      </w:pPr>
      <w:r w:rsidRPr="00A603F9">
        <w:rPr>
          <w:rFonts w:ascii="Gotham" w:hAnsi="Gotham" w:cs="Arial"/>
          <w:sz w:val="20"/>
          <w:szCs w:val="20"/>
        </w:rPr>
        <w:t xml:space="preserve">XI. </w:t>
      </w:r>
      <w:r>
        <w:rPr>
          <w:rFonts w:ascii="Gotham" w:hAnsi="Gotham" w:cs="Arial"/>
          <w:sz w:val="20"/>
          <w:szCs w:val="20"/>
        </w:rPr>
        <w:tab/>
      </w:r>
      <w:r w:rsidRPr="00A603F9">
        <w:rPr>
          <w:rFonts w:ascii="Gotham" w:hAnsi="Gotham" w:cs="Arial"/>
          <w:sz w:val="20"/>
          <w:szCs w:val="20"/>
        </w:rPr>
        <w:t xml:space="preserve">Conforme </w:t>
      </w:r>
      <w:r w:rsidRPr="007A3CD0">
        <w:rPr>
          <w:rFonts w:ascii="Gotham" w:hAnsi="Gotham" w:cs="Arial"/>
          <w:sz w:val="20"/>
          <w:szCs w:val="20"/>
        </w:rPr>
        <w:t>al proceso</w:t>
      </w:r>
      <w:r w:rsidRPr="00A603F9">
        <w:rPr>
          <w:rFonts w:ascii="Gotham" w:hAnsi="Gotham" w:cs="Arial"/>
          <w:sz w:val="20"/>
          <w:szCs w:val="20"/>
        </w:rPr>
        <w:t xml:space="preserve"> legislativo que deberán de seguir las comisiones edilicias del gobierno municipal se observa el proceso que contempla el Reglamento para el Funcionamiento Interno de Sesiones del Ayuntamiento Constitucional de Tonalá, Jalisco; conforme se señala a continuación:</w:t>
      </w:r>
    </w:p>
    <w:p w14:paraId="3A473CDB" w14:textId="77777777" w:rsidR="00016FE1" w:rsidRPr="005A1A30" w:rsidRDefault="00016FE1" w:rsidP="002B6227">
      <w:pPr>
        <w:autoSpaceDE w:val="0"/>
        <w:autoSpaceDN w:val="0"/>
        <w:adjustRightInd w:val="0"/>
        <w:ind w:left="567" w:hanging="567"/>
        <w:jc w:val="both"/>
        <w:rPr>
          <w:rFonts w:ascii="Gotham" w:hAnsi="Gotham" w:cs="Arial"/>
          <w:sz w:val="20"/>
          <w:szCs w:val="20"/>
        </w:rPr>
      </w:pPr>
    </w:p>
    <w:p w14:paraId="3A473CDC"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Artículo 28. Se consideran dictámenes aquellas resoluciones que hayan sido aprobadas por los integrantes de la Comisión correspondiente y que sean dados a conocer al Pleno del Ayuntamiento para ser sometidos a votación.</w:t>
      </w:r>
    </w:p>
    <w:p w14:paraId="3A473CDD"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Los dictámenes deben constar con un apartado de proemio, antecedentes, una parte considerativa y otra resolutiva.</w:t>
      </w:r>
    </w:p>
    <w:p w14:paraId="3A473CDE"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 xml:space="preserve">La parte del </w:t>
      </w:r>
      <w:proofErr w:type="spellStart"/>
      <w:r w:rsidRPr="005A0E08">
        <w:rPr>
          <w:rFonts w:ascii="Gotham" w:hAnsi="Gotham"/>
          <w:i/>
          <w:sz w:val="19"/>
          <w:szCs w:val="19"/>
          <w:lang w:val="es-MX"/>
        </w:rPr>
        <w:t>proemio</w:t>
      </w:r>
      <w:proofErr w:type="spellEnd"/>
      <w:r w:rsidRPr="005A0E08">
        <w:rPr>
          <w:rFonts w:ascii="Gotham" w:hAnsi="Gotham"/>
          <w:i/>
          <w:sz w:val="19"/>
          <w:szCs w:val="19"/>
          <w:lang w:val="es-MX"/>
        </w:rPr>
        <w:t xml:space="preserve"> consiste en la exposición de los fundamentos jurídicos que motivan la dictaminación.</w:t>
      </w:r>
    </w:p>
    <w:p w14:paraId="3A473CDF"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La parte de antecedentes consiste en la narración de hechos o actos que incumben directamente en las iniciativas en estudio.</w:t>
      </w:r>
    </w:p>
    <w:p w14:paraId="3A473CE0"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La parte considerativa consiste en el estudio detallado de la iniciativa turnada, así como las conclusiones de la Comisión o Comisiones dictaminadoras, debiendo estar fundada y motivada.</w:t>
      </w:r>
    </w:p>
    <w:p w14:paraId="3A473CE1" w14:textId="77777777" w:rsidR="00016FE1" w:rsidRPr="005A0E08" w:rsidRDefault="00016FE1" w:rsidP="002B6227">
      <w:pPr>
        <w:pStyle w:val="Prrafodelista"/>
        <w:ind w:left="851" w:right="283"/>
        <w:contextualSpacing w:val="0"/>
        <w:jc w:val="both"/>
        <w:rPr>
          <w:rFonts w:ascii="Gotham" w:hAnsi="Gotham"/>
          <w:i/>
          <w:sz w:val="19"/>
          <w:szCs w:val="19"/>
          <w:lang w:val="es-MX"/>
        </w:rPr>
      </w:pPr>
      <w:r w:rsidRPr="005A0E08">
        <w:rPr>
          <w:rFonts w:ascii="Gotham" w:hAnsi="Gotham"/>
          <w:i/>
          <w:sz w:val="19"/>
          <w:szCs w:val="19"/>
          <w:lang w:val="es-MX"/>
        </w:rPr>
        <w:t>Cuando la naturaleza del asunto lo permita, pueden conjuntarse dos o más iniciativas en un mismo dictamen.</w:t>
      </w:r>
    </w:p>
    <w:p w14:paraId="3A473CE2" w14:textId="77777777" w:rsidR="00016FE1" w:rsidRPr="005A0E08" w:rsidRDefault="00016FE1" w:rsidP="002B6227">
      <w:pPr>
        <w:pStyle w:val="Prrafodelista"/>
        <w:ind w:left="851" w:right="283"/>
        <w:contextualSpacing w:val="0"/>
        <w:jc w:val="both"/>
        <w:rPr>
          <w:rFonts w:ascii="Gotham" w:hAnsi="Gotham"/>
          <w:i/>
          <w:sz w:val="19"/>
          <w:szCs w:val="19"/>
          <w:lang w:val="es-MX"/>
        </w:rPr>
      </w:pPr>
    </w:p>
    <w:p w14:paraId="3A473CE3" w14:textId="77777777" w:rsidR="00016FE1" w:rsidRPr="005A0E08" w:rsidRDefault="00016FE1" w:rsidP="002B6227">
      <w:pPr>
        <w:pStyle w:val="Prrafodelista"/>
        <w:ind w:left="851" w:right="283"/>
        <w:contextualSpacing w:val="0"/>
        <w:jc w:val="both"/>
        <w:rPr>
          <w:rFonts w:ascii="Gotham" w:hAnsi="Gotham"/>
          <w:i/>
          <w:sz w:val="19"/>
          <w:szCs w:val="19"/>
          <w:lang w:val="es-MX"/>
        </w:rPr>
      </w:pPr>
      <w:r w:rsidRPr="005A0E08">
        <w:rPr>
          <w:rFonts w:ascii="Gotham" w:hAnsi="Gotham"/>
          <w:i/>
          <w:sz w:val="19"/>
          <w:szCs w:val="19"/>
          <w:lang w:val="es-MX"/>
        </w:rPr>
        <w:t>Artículo 42. El Ayuntamiento, para el estudio, vigilancia y atención de los diversos asuntos que le corresponde conocer, funcionará mediante Comisiones.</w:t>
      </w:r>
    </w:p>
    <w:p w14:paraId="3A473CE4" w14:textId="77777777" w:rsidR="00016FE1" w:rsidRPr="005A0E08" w:rsidRDefault="00016FE1" w:rsidP="002B6227">
      <w:pPr>
        <w:pStyle w:val="Prrafodelista"/>
        <w:ind w:left="851" w:right="283"/>
        <w:contextualSpacing w:val="0"/>
        <w:jc w:val="both"/>
        <w:rPr>
          <w:rFonts w:ascii="Gotham" w:hAnsi="Gotham"/>
          <w:i/>
          <w:sz w:val="19"/>
          <w:szCs w:val="19"/>
          <w:lang w:val="es-MX"/>
        </w:rPr>
      </w:pPr>
    </w:p>
    <w:p w14:paraId="3A473CE5" w14:textId="77777777" w:rsidR="00016FE1" w:rsidRPr="005A0E08" w:rsidRDefault="00016FE1" w:rsidP="002B6227">
      <w:pPr>
        <w:pStyle w:val="Prrafodelista"/>
        <w:ind w:left="851" w:right="283"/>
        <w:contextualSpacing w:val="0"/>
        <w:jc w:val="both"/>
        <w:rPr>
          <w:rFonts w:ascii="Gotham" w:hAnsi="Gotham"/>
          <w:i/>
          <w:sz w:val="19"/>
          <w:szCs w:val="19"/>
          <w:lang w:val="es-MX"/>
        </w:rPr>
      </w:pPr>
      <w:r w:rsidRPr="005A0E08">
        <w:rPr>
          <w:rFonts w:ascii="Gotham" w:hAnsi="Gotham"/>
          <w:i/>
          <w:sz w:val="19"/>
          <w:szCs w:val="19"/>
          <w:lang w:val="es-MX"/>
        </w:rPr>
        <w:t>Artículo 43. La Comisión es el órgano colegiado del Ayuntamiento encargado de conocer, vigilar, analizar y dictaminar todos aquellos asuntos de interés general y de carácter público y el trámite de los asuntos que le sean turnados de acuerdo a su competencia.</w:t>
      </w:r>
    </w:p>
    <w:p w14:paraId="3A473CE6" w14:textId="77777777" w:rsidR="00016FE1" w:rsidRPr="005A0E08" w:rsidRDefault="00016FE1" w:rsidP="002B6227">
      <w:pPr>
        <w:pStyle w:val="Prrafodelista"/>
        <w:ind w:left="851" w:right="283"/>
        <w:contextualSpacing w:val="0"/>
        <w:jc w:val="both"/>
        <w:rPr>
          <w:rFonts w:ascii="Gotham" w:hAnsi="Gotham"/>
          <w:i/>
          <w:sz w:val="19"/>
          <w:szCs w:val="19"/>
          <w:lang w:val="es-MX"/>
        </w:rPr>
      </w:pPr>
    </w:p>
    <w:p w14:paraId="3A473CE7"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Artículo 64. Las Comisiones tendrán las siguientes funciones:</w:t>
      </w:r>
    </w:p>
    <w:p w14:paraId="3A473CE8"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I. </w:t>
      </w:r>
      <w:r>
        <w:rPr>
          <w:rFonts w:ascii="Gotham" w:hAnsi="Gotham"/>
          <w:i/>
          <w:sz w:val="19"/>
          <w:szCs w:val="19"/>
          <w:lang w:val="es-MX"/>
        </w:rPr>
        <w:tab/>
      </w:r>
      <w:r w:rsidRPr="005A0E08">
        <w:rPr>
          <w:rFonts w:ascii="Gotham" w:hAnsi="Gotham"/>
          <w:i/>
          <w:sz w:val="19"/>
          <w:szCs w:val="19"/>
          <w:lang w:val="es-MX"/>
        </w:rPr>
        <w:t>Realizar las actividades que deriven de la Ley, así como de los reglamentos municipales vigentes;</w:t>
      </w:r>
    </w:p>
    <w:p w14:paraId="3A473CE9" w14:textId="77777777" w:rsidR="00016FE1" w:rsidRPr="005A0E08" w:rsidRDefault="00016FE1" w:rsidP="002B6227">
      <w:pPr>
        <w:pStyle w:val="Prrafodelista"/>
        <w:spacing w:after="120"/>
        <w:ind w:left="1276" w:right="283" w:hanging="425"/>
        <w:contextualSpacing w:val="0"/>
        <w:jc w:val="both"/>
        <w:rPr>
          <w:rFonts w:ascii="Gotham" w:hAnsi="Gotham"/>
          <w:i/>
          <w:sz w:val="19"/>
          <w:szCs w:val="19"/>
          <w:lang w:val="es-MX"/>
        </w:rPr>
      </w:pPr>
      <w:r w:rsidRPr="005A0E08">
        <w:rPr>
          <w:rFonts w:ascii="Gotham" w:hAnsi="Gotham"/>
          <w:i/>
          <w:sz w:val="19"/>
          <w:szCs w:val="19"/>
          <w:lang w:val="es-MX"/>
        </w:rPr>
        <w:t xml:space="preserve">II. </w:t>
      </w:r>
      <w:r>
        <w:rPr>
          <w:rFonts w:ascii="Gotham" w:hAnsi="Gotham"/>
          <w:i/>
          <w:sz w:val="19"/>
          <w:szCs w:val="19"/>
          <w:lang w:val="es-MX"/>
        </w:rPr>
        <w:tab/>
      </w:r>
      <w:r w:rsidRPr="005A0E08">
        <w:rPr>
          <w:rFonts w:ascii="Gotham" w:hAnsi="Gotham"/>
          <w:i/>
          <w:sz w:val="19"/>
          <w:szCs w:val="19"/>
          <w:lang w:val="es-MX"/>
        </w:rPr>
        <w:t>Atender los asuntos que le sean turnados por el Ayuntamiento, en relación a las materias de su competencia; y</w:t>
      </w:r>
    </w:p>
    <w:p w14:paraId="3A473CEA" w14:textId="77777777" w:rsidR="00016FE1" w:rsidRPr="005A0E08" w:rsidRDefault="00016FE1" w:rsidP="002B6227">
      <w:pPr>
        <w:pStyle w:val="Prrafodelista"/>
        <w:ind w:left="1276" w:right="283" w:hanging="425"/>
        <w:contextualSpacing w:val="0"/>
        <w:jc w:val="both"/>
        <w:rPr>
          <w:rFonts w:ascii="Gotham" w:hAnsi="Gotham"/>
          <w:i/>
          <w:sz w:val="19"/>
          <w:szCs w:val="19"/>
          <w:lang w:val="es-MX"/>
        </w:rPr>
      </w:pPr>
      <w:r w:rsidRPr="005A0E08">
        <w:rPr>
          <w:rFonts w:ascii="Gotham" w:hAnsi="Gotham"/>
          <w:i/>
          <w:sz w:val="19"/>
          <w:szCs w:val="19"/>
          <w:lang w:val="es-MX"/>
        </w:rPr>
        <w:t>III.</w:t>
      </w:r>
      <w:r>
        <w:rPr>
          <w:rFonts w:ascii="Gotham" w:hAnsi="Gotham"/>
          <w:i/>
          <w:sz w:val="19"/>
          <w:szCs w:val="19"/>
          <w:lang w:val="es-MX"/>
        </w:rPr>
        <w:tab/>
      </w:r>
      <w:r w:rsidRPr="005A0E08">
        <w:rPr>
          <w:rFonts w:ascii="Gotham" w:hAnsi="Gotham"/>
          <w:i/>
          <w:sz w:val="19"/>
          <w:szCs w:val="19"/>
          <w:lang w:val="es-MX"/>
        </w:rPr>
        <w:t>Presentar y dar cuenta al Ayuntamiento de la resolución de los asuntos que le sean turnados, cuando éste los requiera o de acuerdo a lo que establece la Ley.</w:t>
      </w:r>
    </w:p>
    <w:p w14:paraId="3A473CEB" w14:textId="77777777" w:rsidR="00016FE1" w:rsidRPr="005A0E08" w:rsidRDefault="00016FE1" w:rsidP="002B6227">
      <w:pPr>
        <w:pStyle w:val="Prrafodelista"/>
        <w:ind w:left="851" w:right="283"/>
        <w:contextualSpacing w:val="0"/>
        <w:jc w:val="both"/>
        <w:rPr>
          <w:rFonts w:ascii="Gotham" w:hAnsi="Gotham"/>
          <w:i/>
          <w:sz w:val="19"/>
          <w:szCs w:val="19"/>
          <w:lang w:val="es-MX"/>
        </w:rPr>
      </w:pPr>
    </w:p>
    <w:p w14:paraId="3A473CEC"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Artículo 69. En el caso previsto en el artículo que antecede, las Comisiones deberán discutir y aprobar el dictamen que resulte, en sesión conjunta que será convocada por la Comisión convocante.</w:t>
      </w:r>
    </w:p>
    <w:p w14:paraId="3A473CED"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lastRenderedPageBreak/>
        <w:t>Las Comisiones podrán celebrar reuniones de trabajo en forma previa a la sesión de discusión y aprobación del dictamen.</w:t>
      </w:r>
    </w:p>
    <w:p w14:paraId="3A473CEE" w14:textId="77777777" w:rsidR="00016FE1" w:rsidRPr="005A0E08" w:rsidRDefault="00016FE1" w:rsidP="002B6227">
      <w:pPr>
        <w:pStyle w:val="Prrafodelista"/>
        <w:spacing w:after="120"/>
        <w:ind w:left="851" w:right="283"/>
        <w:contextualSpacing w:val="0"/>
        <w:jc w:val="both"/>
        <w:rPr>
          <w:rFonts w:ascii="Gotham" w:hAnsi="Gotham"/>
          <w:i/>
          <w:sz w:val="19"/>
          <w:szCs w:val="19"/>
          <w:lang w:val="es-MX"/>
        </w:rPr>
      </w:pPr>
      <w:r w:rsidRPr="005A0E08">
        <w:rPr>
          <w:rFonts w:ascii="Gotham" w:hAnsi="Gotham"/>
          <w:i/>
          <w:sz w:val="19"/>
          <w:szCs w:val="19"/>
          <w:lang w:val="es-MX"/>
        </w:rPr>
        <w:t>Los turnos aprobados por el Ayuntamiento no podrán involucrar a más de tres Comisiones Edilicias.</w:t>
      </w:r>
    </w:p>
    <w:p w14:paraId="3A473CEF" w14:textId="77777777" w:rsidR="00016FE1" w:rsidRPr="005A0E08" w:rsidRDefault="00016FE1" w:rsidP="002B6227">
      <w:pPr>
        <w:pStyle w:val="Prrafodelista"/>
        <w:ind w:left="851" w:right="283"/>
        <w:contextualSpacing w:val="0"/>
        <w:jc w:val="both"/>
        <w:rPr>
          <w:rFonts w:ascii="Gotham" w:hAnsi="Gotham"/>
          <w:i/>
          <w:sz w:val="19"/>
          <w:szCs w:val="19"/>
          <w:lang w:val="es-MX"/>
        </w:rPr>
      </w:pPr>
      <w:r w:rsidRPr="005A0E08">
        <w:rPr>
          <w:rFonts w:ascii="Gotham" w:hAnsi="Gotham"/>
          <w:i/>
          <w:sz w:val="19"/>
          <w:szCs w:val="19"/>
          <w:lang w:val="es-MX"/>
        </w:rPr>
        <w:t>Las Comisiones podrán sesionar de manera separada cuando el presidente de la Comisión convocante lo considere pertinente, en cuyo caso primero votará el dictamen la Comisión convocante y el documento será enviado a la coadyuvante para su adhesión o rechazo. Si no hubiere adhesión los dictámenes que produzcan la convocante y coadyuvante se discutirán en el Pleno del Ayuntamiento.</w:t>
      </w:r>
    </w:p>
    <w:p w14:paraId="3A473CF0" w14:textId="77777777" w:rsidR="00016FE1" w:rsidRPr="005A1A30" w:rsidRDefault="00016FE1" w:rsidP="002B6227">
      <w:pPr>
        <w:ind w:right="49"/>
        <w:jc w:val="both"/>
        <w:rPr>
          <w:rFonts w:ascii="Gotham" w:eastAsia="Arial" w:hAnsi="Gotham" w:cs="Arial"/>
          <w:color w:val="000000"/>
          <w:sz w:val="20"/>
          <w:szCs w:val="20"/>
          <w:highlight w:val="yellow"/>
        </w:rPr>
      </w:pPr>
    </w:p>
    <w:p w14:paraId="3A473CF1" w14:textId="77777777" w:rsidR="00016FE1" w:rsidRPr="005A1A30" w:rsidRDefault="00016FE1" w:rsidP="002B6227">
      <w:pPr>
        <w:jc w:val="both"/>
        <w:rPr>
          <w:rFonts w:ascii="Gotham" w:eastAsia="Calibri" w:hAnsi="Gotham" w:cs="Arial"/>
          <w:sz w:val="20"/>
          <w:szCs w:val="20"/>
        </w:rPr>
      </w:pPr>
      <w:r w:rsidRPr="005A1A30">
        <w:rPr>
          <w:rFonts w:ascii="Gotham" w:hAnsi="Gotham" w:cs="Arial"/>
          <w:sz w:val="20"/>
          <w:szCs w:val="20"/>
        </w:rPr>
        <w:t>De lo anterior se infiere que las Comisiones Edilicias que dictaminan tienen la atribución y la competencia</w:t>
      </w:r>
      <w:r w:rsidR="009F075D">
        <w:rPr>
          <w:rFonts w:ascii="Gotham" w:hAnsi="Gotham" w:cs="Arial"/>
          <w:sz w:val="20"/>
          <w:szCs w:val="20"/>
        </w:rPr>
        <w:t xml:space="preserve"> </w:t>
      </w:r>
      <w:r w:rsidRPr="005A1A30">
        <w:rPr>
          <w:rFonts w:ascii="Gotham" w:hAnsi="Gotham" w:cs="Arial"/>
          <w:sz w:val="20"/>
          <w:szCs w:val="20"/>
        </w:rPr>
        <w:t>y a través del Estudio formulado correspondientes, es por lo anterior entonces que se señalan las siguientes:</w:t>
      </w:r>
    </w:p>
    <w:p w14:paraId="3A473CF2" w14:textId="77777777" w:rsidR="00016FE1" w:rsidRDefault="00016FE1" w:rsidP="002B6227">
      <w:pPr>
        <w:autoSpaceDE w:val="0"/>
        <w:autoSpaceDN w:val="0"/>
        <w:adjustRightInd w:val="0"/>
        <w:jc w:val="center"/>
        <w:rPr>
          <w:rFonts w:ascii="Gotham" w:hAnsi="Gotham" w:cs="Arial"/>
          <w:sz w:val="20"/>
          <w:szCs w:val="20"/>
        </w:rPr>
      </w:pPr>
    </w:p>
    <w:p w14:paraId="3A473CF3" w14:textId="77777777" w:rsidR="00016FE1" w:rsidRDefault="00016FE1" w:rsidP="002B6227">
      <w:pPr>
        <w:autoSpaceDE w:val="0"/>
        <w:autoSpaceDN w:val="0"/>
        <w:adjustRightInd w:val="0"/>
        <w:jc w:val="center"/>
        <w:rPr>
          <w:rFonts w:ascii="Gotham" w:hAnsi="Gotham" w:cs="Arial"/>
          <w:sz w:val="20"/>
          <w:szCs w:val="20"/>
        </w:rPr>
      </w:pPr>
      <w:r w:rsidRPr="005A1A30">
        <w:rPr>
          <w:rFonts w:ascii="Gotham" w:hAnsi="Gotham" w:cs="Arial"/>
          <w:sz w:val="20"/>
          <w:szCs w:val="20"/>
        </w:rPr>
        <w:t>CONCLUSIONES</w:t>
      </w:r>
    </w:p>
    <w:p w14:paraId="3A473CF4" w14:textId="77777777" w:rsidR="008A612D" w:rsidRPr="005A1A30" w:rsidRDefault="008A612D" w:rsidP="002B6227">
      <w:pPr>
        <w:autoSpaceDE w:val="0"/>
        <w:autoSpaceDN w:val="0"/>
        <w:adjustRightInd w:val="0"/>
        <w:jc w:val="center"/>
        <w:rPr>
          <w:rFonts w:ascii="Gotham" w:hAnsi="Gotham" w:cs="Arial"/>
          <w:sz w:val="20"/>
          <w:szCs w:val="20"/>
        </w:rPr>
      </w:pPr>
    </w:p>
    <w:p w14:paraId="3A473CF5" w14:textId="77777777" w:rsidR="00016FE1" w:rsidRPr="005A1A30" w:rsidRDefault="00016FE1" w:rsidP="002B6227">
      <w:pPr>
        <w:jc w:val="both"/>
        <w:rPr>
          <w:rFonts w:ascii="Gotham" w:hAnsi="Gotham" w:cs="Arial"/>
          <w:sz w:val="20"/>
          <w:szCs w:val="20"/>
        </w:rPr>
      </w:pPr>
      <w:r w:rsidRPr="005A1A30">
        <w:rPr>
          <w:rFonts w:ascii="Gotham" w:hAnsi="Gotham" w:cs="Arial"/>
          <w:sz w:val="20"/>
          <w:szCs w:val="20"/>
        </w:rPr>
        <w:t>De lo expuesto en las consideraciones que integran el presente dictamen, se puede concluir que se tiene competencia para el estudio de Ordenamiento.</w:t>
      </w:r>
    </w:p>
    <w:p w14:paraId="3A473CF6" w14:textId="77777777" w:rsidR="00016FE1" w:rsidRPr="005A1A30" w:rsidRDefault="00016FE1" w:rsidP="002B6227">
      <w:pPr>
        <w:jc w:val="both"/>
        <w:rPr>
          <w:rFonts w:ascii="Gotham" w:hAnsi="Gotham" w:cs="Arial"/>
          <w:sz w:val="20"/>
          <w:szCs w:val="20"/>
        </w:rPr>
      </w:pPr>
    </w:p>
    <w:p w14:paraId="3A473CF7" w14:textId="77777777" w:rsidR="00016FE1" w:rsidRPr="005A1A30" w:rsidRDefault="00016FE1" w:rsidP="002B6227">
      <w:pPr>
        <w:ind w:left="426" w:hanging="426"/>
        <w:jc w:val="both"/>
        <w:rPr>
          <w:rFonts w:ascii="Gotham" w:eastAsia="Calibri" w:hAnsi="Gotham" w:cs="Arial"/>
          <w:sz w:val="20"/>
          <w:szCs w:val="20"/>
          <w:lang w:val="es-MX" w:eastAsia="en-US"/>
        </w:rPr>
      </w:pPr>
      <w:r w:rsidRPr="005A1A30">
        <w:rPr>
          <w:rFonts w:ascii="Gotham" w:hAnsi="Gotham" w:cs="Arial"/>
          <w:sz w:val="20"/>
          <w:szCs w:val="20"/>
        </w:rPr>
        <w:t xml:space="preserve">A) </w:t>
      </w:r>
      <w:r>
        <w:rPr>
          <w:rFonts w:ascii="Gotham" w:hAnsi="Gotham" w:cs="Arial"/>
          <w:sz w:val="20"/>
          <w:szCs w:val="20"/>
        </w:rPr>
        <w:tab/>
      </w:r>
      <w:r w:rsidRPr="005A1A30">
        <w:rPr>
          <w:rFonts w:ascii="Gotham" w:hAnsi="Gotham" w:cs="Arial"/>
          <w:sz w:val="20"/>
          <w:szCs w:val="20"/>
        </w:rPr>
        <w:t>Se present</w:t>
      </w:r>
      <w:r>
        <w:rPr>
          <w:rFonts w:ascii="Gotham" w:hAnsi="Gotham" w:cs="Arial"/>
          <w:sz w:val="20"/>
          <w:szCs w:val="20"/>
        </w:rPr>
        <w:t xml:space="preserve">ó </w:t>
      </w:r>
      <w:r w:rsidRPr="005A1A30">
        <w:rPr>
          <w:rFonts w:ascii="Gotham" w:hAnsi="Gotham" w:cs="Arial"/>
          <w:sz w:val="20"/>
          <w:szCs w:val="20"/>
        </w:rPr>
        <w:t>el cuadro comparativo dentro de la Iniciativa en donde se puede advertir de los alcances de la reforma, motivo que se estima no es necesario mencionar alguna precisión.</w:t>
      </w:r>
    </w:p>
    <w:p w14:paraId="3A473CF8" w14:textId="77777777" w:rsidR="00016FE1" w:rsidRPr="005A1A30" w:rsidRDefault="00016FE1" w:rsidP="002B6227">
      <w:pPr>
        <w:jc w:val="both"/>
        <w:rPr>
          <w:rFonts w:ascii="Gotham" w:hAnsi="Gotham" w:cs="Arial"/>
          <w:sz w:val="20"/>
          <w:szCs w:val="20"/>
        </w:rPr>
      </w:pPr>
    </w:p>
    <w:tbl>
      <w:tblPr>
        <w:tblStyle w:val="Tablaconcuadrcula"/>
        <w:tblW w:w="4781" w:type="pct"/>
        <w:jc w:val="right"/>
        <w:tblLook w:val="04A0" w:firstRow="1" w:lastRow="0" w:firstColumn="1" w:lastColumn="0" w:noHBand="0" w:noVBand="1"/>
      </w:tblPr>
      <w:tblGrid>
        <w:gridCol w:w="3176"/>
        <w:gridCol w:w="3176"/>
        <w:gridCol w:w="3174"/>
      </w:tblGrid>
      <w:tr w:rsidR="00016FE1" w:rsidRPr="00E32896" w14:paraId="3A473CFC" w14:textId="77777777" w:rsidTr="008A612D">
        <w:trPr>
          <w:tblHeader/>
          <w:jc w:val="right"/>
        </w:trPr>
        <w:tc>
          <w:tcPr>
            <w:tcW w:w="1667" w:type="pct"/>
            <w:tcBorders>
              <w:top w:val="single" w:sz="4" w:space="0" w:color="auto"/>
              <w:left w:val="single" w:sz="4" w:space="0" w:color="auto"/>
              <w:bottom w:val="single" w:sz="4" w:space="0" w:color="auto"/>
              <w:right w:val="single" w:sz="4" w:space="0" w:color="auto"/>
            </w:tcBorders>
            <w:vAlign w:val="center"/>
            <w:hideMark/>
          </w:tcPr>
          <w:p w14:paraId="3A473CF9" w14:textId="77777777" w:rsidR="00016FE1" w:rsidRPr="00E32896" w:rsidRDefault="00016FE1" w:rsidP="008A612D">
            <w:pPr>
              <w:pStyle w:val="Prrafodelista"/>
              <w:spacing w:before="120" w:after="120"/>
              <w:ind w:left="0"/>
              <w:contextualSpacing w:val="0"/>
              <w:jc w:val="center"/>
              <w:rPr>
                <w:rFonts w:ascii="Gotham" w:hAnsi="Gotham" w:cs="Arial"/>
                <w:b/>
                <w:bCs/>
                <w:i/>
                <w:sz w:val="18"/>
                <w:szCs w:val="18"/>
                <w:lang w:val="es-MX"/>
              </w:rPr>
            </w:pPr>
            <w:r w:rsidRPr="00E32896">
              <w:rPr>
                <w:rFonts w:ascii="Gotham" w:hAnsi="Gotham" w:cs="Arial"/>
                <w:b/>
                <w:bCs/>
                <w:i/>
                <w:sz w:val="18"/>
                <w:szCs w:val="18"/>
                <w:lang w:val="es-MX"/>
              </w:rPr>
              <w:t>TEXTO VIGENTE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A473CFA" w14:textId="77777777" w:rsidR="00016FE1" w:rsidRPr="00E32896" w:rsidRDefault="00016FE1" w:rsidP="008A612D">
            <w:pPr>
              <w:pStyle w:val="Prrafodelista"/>
              <w:spacing w:before="120" w:after="120"/>
              <w:ind w:left="0"/>
              <w:contextualSpacing w:val="0"/>
              <w:jc w:val="center"/>
              <w:rPr>
                <w:rFonts w:ascii="Gotham" w:hAnsi="Gotham" w:cs="Arial"/>
                <w:b/>
                <w:bCs/>
                <w:i/>
                <w:sz w:val="18"/>
                <w:szCs w:val="18"/>
                <w:lang w:val="es-MX"/>
              </w:rPr>
            </w:pPr>
            <w:r w:rsidRPr="00E32896">
              <w:rPr>
                <w:rFonts w:ascii="Gotham" w:hAnsi="Gotham" w:cs="Arial"/>
                <w:b/>
                <w:bCs/>
                <w:i/>
                <w:sz w:val="18"/>
                <w:szCs w:val="18"/>
                <w:lang w:val="es-MX"/>
              </w:rPr>
              <w:t>PROPUESTA INICIATIVA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A473CFB" w14:textId="77777777" w:rsidR="00016FE1" w:rsidRPr="00E32896" w:rsidRDefault="00016FE1" w:rsidP="008A612D">
            <w:pPr>
              <w:pStyle w:val="Prrafodelista"/>
              <w:spacing w:before="120" w:after="120"/>
              <w:ind w:left="0"/>
              <w:contextualSpacing w:val="0"/>
              <w:jc w:val="center"/>
              <w:rPr>
                <w:rFonts w:ascii="Gotham" w:hAnsi="Gotham" w:cs="Arial"/>
                <w:b/>
                <w:bCs/>
                <w:i/>
                <w:sz w:val="18"/>
                <w:szCs w:val="18"/>
                <w:lang w:val="es-MX"/>
              </w:rPr>
            </w:pPr>
            <w:r w:rsidRPr="00E32896">
              <w:rPr>
                <w:rFonts w:ascii="Gotham" w:hAnsi="Gotham" w:cs="Arial"/>
                <w:b/>
                <w:bCs/>
                <w:i/>
                <w:sz w:val="18"/>
                <w:szCs w:val="18"/>
                <w:lang w:val="es-MX"/>
              </w:rPr>
              <w:t>Propuesta Comisión de Reglamentos</w:t>
            </w:r>
          </w:p>
        </w:tc>
      </w:tr>
      <w:tr w:rsidR="00016FE1" w:rsidRPr="00E32896" w14:paraId="3A473D10" w14:textId="77777777" w:rsidTr="00AD51C5">
        <w:trPr>
          <w:jc w:val="right"/>
        </w:trPr>
        <w:tc>
          <w:tcPr>
            <w:tcW w:w="1667" w:type="pct"/>
            <w:tcBorders>
              <w:top w:val="single" w:sz="4" w:space="0" w:color="auto"/>
              <w:left w:val="single" w:sz="4" w:space="0" w:color="auto"/>
              <w:bottom w:val="single" w:sz="4" w:space="0" w:color="auto"/>
              <w:right w:val="single" w:sz="4" w:space="0" w:color="auto"/>
            </w:tcBorders>
            <w:hideMark/>
          </w:tcPr>
          <w:p w14:paraId="3A473CFD"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rPr>
            </w:pPr>
            <w:r w:rsidRPr="00E32896">
              <w:rPr>
                <w:rFonts w:ascii="Gotham" w:hAnsi="Gotham" w:cs="Arial"/>
                <w:b/>
                <w:bCs/>
                <w:i/>
                <w:sz w:val="18"/>
                <w:szCs w:val="18"/>
                <w:lang w:val="es-MX"/>
              </w:rPr>
              <w:t>Artículo 4.</w:t>
            </w:r>
            <w:r w:rsidRPr="00E32896">
              <w:rPr>
                <w:rFonts w:ascii="Gotham" w:hAnsi="Gotham" w:cs="Arial"/>
                <w:i/>
                <w:sz w:val="18"/>
                <w:szCs w:val="18"/>
                <w:lang w:val="es-MX"/>
              </w:rPr>
              <w:t xml:space="preserve"> Para los efectos del presente reglamento, se entiende por:</w:t>
            </w:r>
          </w:p>
          <w:p w14:paraId="3A473CFE"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rPr>
            </w:pPr>
            <w:r w:rsidRPr="00E32896">
              <w:rPr>
                <w:rFonts w:ascii="Gotham" w:hAnsi="Gotham" w:cs="Arial"/>
                <w:i/>
                <w:sz w:val="18"/>
                <w:szCs w:val="18"/>
                <w:lang w:val="es-MX"/>
              </w:rPr>
              <w:t>VIII. Dirección: La Dirección de Innovación Gubernamental</w:t>
            </w:r>
          </w:p>
        </w:tc>
        <w:tc>
          <w:tcPr>
            <w:tcW w:w="1667" w:type="pct"/>
            <w:tcBorders>
              <w:top w:val="single" w:sz="4" w:space="0" w:color="auto"/>
              <w:left w:val="single" w:sz="4" w:space="0" w:color="auto"/>
              <w:bottom w:val="single" w:sz="4" w:space="0" w:color="auto"/>
              <w:right w:val="single" w:sz="4" w:space="0" w:color="auto"/>
            </w:tcBorders>
            <w:hideMark/>
          </w:tcPr>
          <w:p w14:paraId="3A473CFF"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rPr>
            </w:pPr>
            <w:r w:rsidRPr="00E32896">
              <w:rPr>
                <w:rFonts w:ascii="Gotham" w:hAnsi="Gotham" w:cs="Arial"/>
                <w:b/>
                <w:bCs/>
                <w:i/>
                <w:sz w:val="18"/>
                <w:szCs w:val="18"/>
                <w:lang w:val="es-MX"/>
              </w:rPr>
              <w:t>Artículo 4.</w:t>
            </w:r>
            <w:r w:rsidRPr="00E32896">
              <w:rPr>
                <w:rFonts w:ascii="Gotham" w:hAnsi="Gotham" w:cs="Arial"/>
                <w:i/>
                <w:sz w:val="18"/>
                <w:szCs w:val="18"/>
                <w:lang w:val="es-MX"/>
              </w:rPr>
              <w:t xml:space="preserve"> Para los efectos del presente reglamento, se entiende por:</w:t>
            </w:r>
          </w:p>
          <w:p w14:paraId="3A473D00" w14:textId="77777777" w:rsidR="00016FE1" w:rsidRPr="00E32896" w:rsidRDefault="00016FE1" w:rsidP="008A612D">
            <w:pPr>
              <w:pStyle w:val="Prrafodelista"/>
              <w:spacing w:before="120" w:after="120"/>
              <w:ind w:left="0"/>
              <w:contextualSpacing w:val="0"/>
              <w:jc w:val="both"/>
              <w:rPr>
                <w:rFonts w:ascii="Gotham" w:hAnsi="Gotham" w:cs="Arial"/>
                <w:b/>
                <w:bCs/>
                <w:i/>
                <w:sz w:val="18"/>
                <w:szCs w:val="18"/>
                <w:lang w:val="es-MX"/>
              </w:rPr>
            </w:pPr>
            <w:r w:rsidRPr="00E32896">
              <w:rPr>
                <w:rFonts w:ascii="Gotham" w:hAnsi="Gotham" w:cs="Arial"/>
                <w:b/>
                <w:bCs/>
                <w:i/>
                <w:sz w:val="18"/>
                <w:szCs w:val="18"/>
                <w:lang w:val="es-MX"/>
              </w:rPr>
              <w:t>VIII. Dirección: La Dirección General de Administración y Desarrollo Humano.</w:t>
            </w:r>
          </w:p>
        </w:tc>
        <w:tc>
          <w:tcPr>
            <w:tcW w:w="1667" w:type="pct"/>
            <w:tcBorders>
              <w:top w:val="single" w:sz="4" w:space="0" w:color="auto"/>
              <w:left w:val="single" w:sz="4" w:space="0" w:color="auto"/>
              <w:bottom w:val="single" w:sz="4" w:space="0" w:color="auto"/>
              <w:right w:val="single" w:sz="4" w:space="0" w:color="auto"/>
            </w:tcBorders>
          </w:tcPr>
          <w:p w14:paraId="3A473D01"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Artículo 4. Para los efectos del presente reglamento, se entiende por:</w:t>
            </w:r>
          </w:p>
          <w:p w14:paraId="3A473D02"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I al VI (…)</w:t>
            </w:r>
          </w:p>
          <w:p w14:paraId="3A473D03"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VII. Dirección: La Dirección General de Administración y Desarrollo Humano.</w:t>
            </w:r>
          </w:p>
          <w:p w14:paraId="3A473D04"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VIII. Fecha electrónica: los datos que en forma electrónica sean generados por la Firma Electrónica Avanzada y/o (E.FIRMA), para constar el día y la hora en que un mensaje de datos es enviado por el firmante o recibido por el destinatario;</w:t>
            </w:r>
          </w:p>
          <w:p w14:paraId="3A473D05"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IX. Firma Electrónica Avanzada (en lo sucesivo E.FIRMA): es el conjunto de datos y caracteres que permite la identificación del usuario, que ha sido creada por medios electrónicos, la cual produce los mismos efectos jurídicos que la firma autógrafa;</w:t>
            </w:r>
          </w:p>
          <w:p w14:paraId="3A473D06"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lastRenderedPageBreak/>
              <w:t>X. Firmante: la persona o proceso que utiliza los datos de firma electrónica;</w:t>
            </w:r>
          </w:p>
          <w:p w14:paraId="3A473D07"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 Ley: La Ley de Firma Electrónica Avanzada para el Estado de Jalisco y sus Municipios;</w:t>
            </w:r>
          </w:p>
          <w:p w14:paraId="3A473D08"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XII. Medios electrónicos: los dispositivos tecnológicos utilizados para trasmitir o almacenar datos e información, a través de computadoras a líneas telefónicas, enlaces dedicados, microondas o de cualquier otra tecnología;</w:t>
            </w:r>
          </w:p>
          <w:p w14:paraId="3A473D09"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XIII. Mensaje de datos: la información generada, enviada, recibida, archivada, reproducida o procesada por el firmante y recibida o archivada por el destinatario a través de medios electrónicos, ópticos o cualquier otra tecnología;</w:t>
            </w:r>
          </w:p>
          <w:p w14:paraId="3A473D0A"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XIV. Municipio: el Municipio de Tonalá, Jalisco;</w:t>
            </w:r>
          </w:p>
          <w:p w14:paraId="3A473D0B"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XV. Portal de administración de firma electrónica: es la base de datos donde se almacenan todos los documentos generados con firma electrónica;</w:t>
            </w:r>
          </w:p>
          <w:p w14:paraId="3A473D0C"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XVI. Reglamento: Reglamento de Firma Electrónica Avanzada del Municipio de Tonalá, Jalisco;</w:t>
            </w:r>
          </w:p>
          <w:p w14:paraId="3A473D0D"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XVII. Secretaría: la Secretaría General del Gobierno del Estado de Jalisco;</w:t>
            </w:r>
          </w:p>
          <w:p w14:paraId="3A473D0E"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XVIII. Gestión documental: el electrónico utilizado para generar, enviar, recibir, archivar o procesar un mensaje de datos; y</w:t>
            </w:r>
          </w:p>
          <w:p w14:paraId="3A473D0F"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XIX. Titular: la persona a favor de quien se expide un certificado de firma electrónica.</w:t>
            </w:r>
          </w:p>
        </w:tc>
      </w:tr>
      <w:tr w:rsidR="00016FE1" w:rsidRPr="00E32896" w14:paraId="3A473D17" w14:textId="77777777" w:rsidTr="00AD51C5">
        <w:trPr>
          <w:jc w:val="right"/>
        </w:trPr>
        <w:tc>
          <w:tcPr>
            <w:tcW w:w="1667" w:type="pct"/>
            <w:tcBorders>
              <w:top w:val="single" w:sz="4" w:space="0" w:color="auto"/>
              <w:left w:val="single" w:sz="4" w:space="0" w:color="auto"/>
              <w:bottom w:val="single" w:sz="4" w:space="0" w:color="auto"/>
              <w:right w:val="single" w:sz="4" w:space="0" w:color="auto"/>
            </w:tcBorders>
            <w:hideMark/>
          </w:tcPr>
          <w:p w14:paraId="3A473D11"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rPr>
            </w:pPr>
            <w:r w:rsidRPr="00E32896">
              <w:rPr>
                <w:rFonts w:ascii="Gotham" w:hAnsi="Gotham" w:cs="Arial"/>
                <w:b/>
                <w:bCs/>
                <w:i/>
                <w:sz w:val="18"/>
                <w:szCs w:val="18"/>
                <w:lang w:val="es-MX"/>
              </w:rPr>
              <w:lastRenderedPageBreak/>
              <w:t xml:space="preserve">Artículo 13.- </w:t>
            </w:r>
            <w:r w:rsidRPr="00E32896">
              <w:rPr>
                <w:rFonts w:ascii="Gotham" w:hAnsi="Gotham" w:cs="Arial"/>
                <w:i/>
                <w:sz w:val="18"/>
                <w:szCs w:val="18"/>
                <w:lang w:val="es-MX"/>
              </w:rPr>
              <w:t xml:space="preserve">La Coordinación General de Administración e Innovación Gubernamental, a </w:t>
            </w:r>
            <w:r w:rsidRPr="00E32896">
              <w:rPr>
                <w:rFonts w:ascii="Gotham" w:hAnsi="Gotham" w:cs="Arial"/>
                <w:i/>
                <w:sz w:val="18"/>
                <w:szCs w:val="18"/>
                <w:lang w:val="es-MX"/>
              </w:rPr>
              <w:lastRenderedPageBreak/>
              <w:t>través de la Dirección de Innovación Gubernamental, es la dependencia encargada de otorgar la autorización para el uso de la E.FIRMA y establecer los procedimientos y trámites para su obtención o, en su caso, revocación, misma que tendrá las siguientes atribuciones:</w:t>
            </w:r>
          </w:p>
        </w:tc>
        <w:tc>
          <w:tcPr>
            <w:tcW w:w="1667" w:type="pct"/>
            <w:tcBorders>
              <w:top w:val="single" w:sz="4" w:space="0" w:color="auto"/>
              <w:left w:val="single" w:sz="4" w:space="0" w:color="auto"/>
              <w:bottom w:val="single" w:sz="4" w:space="0" w:color="auto"/>
              <w:right w:val="single" w:sz="4" w:space="0" w:color="auto"/>
            </w:tcBorders>
            <w:hideMark/>
          </w:tcPr>
          <w:p w14:paraId="3A473D12"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rPr>
            </w:pPr>
            <w:r w:rsidRPr="00E32896">
              <w:rPr>
                <w:rFonts w:ascii="Gotham" w:hAnsi="Gotham" w:cs="Arial"/>
                <w:b/>
                <w:bCs/>
                <w:i/>
                <w:sz w:val="18"/>
                <w:szCs w:val="18"/>
                <w:lang w:val="es-MX"/>
              </w:rPr>
              <w:lastRenderedPageBreak/>
              <w:t>Artículo 13.- La Dirección General de Administración y Desarrollo humano</w:t>
            </w:r>
            <w:r w:rsidRPr="00E32896">
              <w:rPr>
                <w:rFonts w:ascii="Gotham" w:hAnsi="Gotham" w:cs="Arial"/>
                <w:i/>
                <w:sz w:val="18"/>
                <w:szCs w:val="18"/>
                <w:lang w:val="es-MX"/>
              </w:rPr>
              <w:t xml:space="preserve">, es la dependencia </w:t>
            </w:r>
            <w:r w:rsidRPr="00E32896">
              <w:rPr>
                <w:rFonts w:ascii="Gotham" w:hAnsi="Gotham" w:cs="Arial"/>
                <w:i/>
                <w:sz w:val="18"/>
                <w:szCs w:val="18"/>
                <w:lang w:val="es-MX"/>
              </w:rPr>
              <w:lastRenderedPageBreak/>
              <w:t>encargada de otorgar la autorización para el uso de la E.FIRMA y establecer los procedimientos y trámites para su obtención o, en su caso, revocación, misma que tendrá las siguientes atribuciones:</w:t>
            </w:r>
          </w:p>
        </w:tc>
        <w:tc>
          <w:tcPr>
            <w:tcW w:w="1667" w:type="pct"/>
            <w:tcBorders>
              <w:top w:val="single" w:sz="4" w:space="0" w:color="auto"/>
              <w:left w:val="single" w:sz="4" w:space="0" w:color="auto"/>
              <w:bottom w:val="single" w:sz="4" w:space="0" w:color="auto"/>
              <w:right w:val="single" w:sz="4" w:space="0" w:color="auto"/>
            </w:tcBorders>
          </w:tcPr>
          <w:p w14:paraId="3A473D13" w14:textId="77777777" w:rsidR="00016FE1" w:rsidRPr="00E32896" w:rsidRDefault="00016FE1" w:rsidP="002B6227">
            <w:pPr>
              <w:pStyle w:val="Prrafodelista"/>
              <w:spacing w:before="120" w:after="120"/>
              <w:ind w:left="0"/>
              <w:contextualSpacing w:val="0"/>
              <w:jc w:val="center"/>
              <w:rPr>
                <w:rFonts w:ascii="Gotham" w:hAnsi="Gotham" w:cs="Arial"/>
                <w:b/>
                <w:bCs/>
                <w:i/>
                <w:sz w:val="18"/>
                <w:szCs w:val="18"/>
                <w:lang w:val="es-MX"/>
              </w:rPr>
            </w:pPr>
          </w:p>
          <w:p w14:paraId="3A473D14" w14:textId="77777777" w:rsidR="00016FE1" w:rsidRPr="00E32896" w:rsidRDefault="00016FE1" w:rsidP="002B6227">
            <w:pPr>
              <w:pStyle w:val="Prrafodelista"/>
              <w:spacing w:before="120" w:after="120"/>
              <w:ind w:left="0"/>
              <w:contextualSpacing w:val="0"/>
              <w:jc w:val="center"/>
              <w:rPr>
                <w:rFonts w:ascii="Gotham" w:hAnsi="Gotham" w:cs="Arial"/>
                <w:b/>
                <w:bCs/>
                <w:i/>
                <w:sz w:val="18"/>
                <w:szCs w:val="18"/>
                <w:lang w:val="es-MX"/>
              </w:rPr>
            </w:pPr>
          </w:p>
          <w:p w14:paraId="3A473D15" w14:textId="77777777" w:rsidR="00016FE1" w:rsidRPr="00E32896" w:rsidRDefault="00016FE1" w:rsidP="002B6227">
            <w:pPr>
              <w:pStyle w:val="Prrafodelista"/>
              <w:spacing w:before="120" w:after="120"/>
              <w:ind w:left="0"/>
              <w:contextualSpacing w:val="0"/>
              <w:jc w:val="center"/>
              <w:rPr>
                <w:rFonts w:ascii="Gotham" w:hAnsi="Gotham" w:cs="Arial"/>
                <w:b/>
                <w:bCs/>
                <w:i/>
                <w:sz w:val="18"/>
                <w:szCs w:val="18"/>
                <w:lang w:val="es-MX"/>
              </w:rPr>
            </w:pPr>
          </w:p>
          <w:p w14:paraId="3A473D16" w14:textId="77777777" w:rsidR="00016FE1" w:rsidRPr="00E32896" w:rsidRDefault="00016FE1" w:rsidP="002B6227">
            <w:pPr>
              <w:pStyle w:val="Prrafodelista"/>
              <w:spacing w:before="120" w:after="120"/>
              <w:ind w:left="0"/>
              <w:contextualSpacing w:val="0"/>
              <w:jc w:val="center"/>
              <w:rPr>
                <w:rFonts w:ascii="Gotham" w:hAnsi="Gotham" w:cs="Arial"/>
                <w:b/>
                <w:bCs/>
                <w:i/>
                <w:sz w:val="18"/>
                <w:szCs w:val="18"/>
                <w:lang w:val="es-MX"/>
              </w:rPr>
            </w:pPr>
            <w:r w:rsidRPr="00E32896">
              <w:rPr>
                <w:rFonts w:ascii="Gotham" w:hAnsi="Gotham" w:cs="Arial"/>
                <w:b/>
                <w:bCs/>
                <w:i/>
                <w:sz w:val="18"/>
                <w:szCs w:val="18"/>
                <w:lang w:val="es-MX"/>
              </w:rPr>
              <w:t>Sin Observación pasa igual</w:t>
            </w:r>
          </w:p>
        </w:tc>
      </w:tr>
      <w:tr w:rsidR="00016FE1" w:rsidRPr="00E32896" w14:paraId="3A473D48" w14:textId="77777777" w:rsidTr="00AD51C5">
        <w:trPr>
          <w:jc w:val="right"/>
        </w:trPr>
        <w:tc>
          <w:tcPr>
            <w:tcW w:w="1667" w:type="pct"/>
            <w:tcBorders>
              <w:top w:val="single" w:sz="4" w:space="0" w:color="auto"/>
              <w:left w:val="single" w:sz="4" w:space="0" w:color="auto"/>
              <w:bottom w:val="single" w:sz="4" w:space="0" w:color="auto"/>
              <w:right w:val="single" w:sz="4" w:space="0" w:color="auto"/>
            </w:tcBorders>
          </w:tcPr>
          <w:p w14:paraId="3A473D18"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b/>
                <w:bCs/>
                <w:i/>
                <w:sz w:val="18"/>
                <w:szCs w:val="18"/>
                <w:lang w:val="es-MX"/>
              </w:rPr>
              <w:lastRenderedPageBreak/>
              <w:t xml:space="preserve">Artículo 16.- </w:t>
            </w:r>
            <w:r w:rsidRPr="00E32896">
              <w:rPr>
                <w:rFonts w:ascii="Gotham" w:hAnsi="Gotham" w:cs="Arial"/>
                <w:i/>
                <w:sz w:val="18"/>
                <w:szCs w:val="18"/>
                <w:lang w:val="es-ES_tradnl"/>
              </w:rPr>
              <w:t>Se encuentran obligados al uso de la E. FIRMA las o los titulares de::</w:t>
            </w:r>
          </w:p>
          <w:p w14:paraId="3A473D19"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I. La Presidencia Municipal;</w:t>
            </w:r>
          </w:p>
          <w:p w14:paraId="3A473D1A"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II. La Sindicatura;</w:t>
            </w:r>
          </w:p>
          <w:p w14:paraId="3A473D1B"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III. Las Regidurías;</w:t>
            </w:r>
          </w:p>
          <w:p w14:paraId="3A473D1C"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IV. La Secretaría General;</w:t>
            </w:r>
          </w:p>
          <w:p w14:paraId="3A473D1D"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V. La Jefatura de Gabinete;</w:t>
            </w:r>
          </w:p>
          <w:p w14:paraId="3A473D1E"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VI. La Tesorería;</w:t>
            </w:r>
          </w:p>
          <w:p w14:paraId="3A473D1F"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VII. La Contraloría;</w:t>
            </w:r>
          </w:p>
          <w:p w14:paraId="3A473D20"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VIII. La Comisaría de la Policía Preventiva Municipal;</w:t>
            </w:r>
          </w:p>
          <w:p w14:paraId="3A473D21"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IX. La Coordinación General de Servicios Municipales;</w:t>
            </w:r>
          </w:p>
          <w:p w14:paraId="3A473D22"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X. La Coordinación General de Participación Ciudadana y Construcción de Comunidad;</w:t>
            </w:r>
          </w:p>
          <w:p w14:paraId="3A473D23"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XI. La Coordinación General de Desarrollo Económico y Combate a la Desigualdad;</w:t>
            </w:r>
          </w:p>
          <w:p w14:paraId="3A473D24"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XII. La Coordinación General de Administración e Innovación Gubernamental;</w:t>
            </w:r>
          </w:p>
          <w:p w14:paraId="3A473D25"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XIII. Las Direcciones Generales;</w:t>
            </w:r>
          </w:p>
          <w:p w14:paraId="3A473D26"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XIV. La Direcciones de Unidades Administrativas y Agencias Municipales; y</w:t>
            </w:r>
          </w:p>
          <w:p w14:paraId="3A473D27"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XV. Las Jefaturas d</w:t>
            </w:r>
            <w:r w:rsidR="008A612D">
              <w:rPr>
                <w:rFonts w:ascii="Gotham" w:hAnsi="Gotham" w:cs="Arial"/>
                <w:i/>
                <w:sz w:val="18"/>
                <w:szCs w:val="18"/>
                <w:lang w:val="es-MX" w:eastAsia="es-MX"/>
              </w:rPr>
              <w:t>e Enlace Administrativo.</w:t>
            </w:r>
          </w:p>
        </w:tc>
        <w:tc>
          <w:tcPr>
            <w:tcW w:w="1667" w:type="pct"/>
            <w:tcBorders>
              <w:top w:val="single" w:sz="4" w:space="0" w:color="auto"/>
              <w:left w:val="single" w:sz="4" w:space="0" w:color="auto"/>
              <w:bottom w:val="single" w:sz="4" w:space="0" w:color="auto"/>
              <w:right w:val="single" w:sz="4" w:space="0" w:color="auto"/>
            </w:tcBorders>
            <w:hideMark/>
          </w:tcPr>
          <w:p w14:paraId="3A473D28" w14:textId="77777777" w:rsidR="00016FE1" w:rsidRPr="00E32896" w:rsidRDefault="00016FE1" w:rsidP="008A612D">
            <w:pPr>
              <w:pStyle w:val="Prrafodelista"/>
              <w:spacing w:before="120" w:after="120"/>
              <w:ind w:left="0"/>
              <w:contextualSpacing w:val="0"/>
              <w:jc w:val="both"/>
              <w:rPr>
                <w:rFonts w:ascii="Gotham" w:hAnsi="Gotham" w:cs="Arial"/>
                <w:i/>
                <w:sz w:val="18"/>
                <w:szCs w:val="18"/>
                <w:lang w:val="es-MX"/>
              </w:rPr>
            </w:pPr>
            <w:r w:rsidRPr="00E32896">
              <w:rPr>
                <w:rFonts w:ascii="Gotham" w:hAnsi="Gotham" w:cs="Arial"/>
                <w:b/>
                <w:bCs/>
                <w:i/>
                <w:sz w:val="18"/>
                <w:szCs w:val="18"/>
                <w:lang w:val="es-MX"/>
              </w:rPr>
              <w:t>Artículo 16.- Se</w:t>
            </w:r>
            <w:r w:rsidRPr="00E32896">
              <w:rPr>
                <w:rFonts w:ascii="Gotham" w:hAnsi="Gotham" w:cs="Arial"/>
                <w:i/>
                <w:sz w:val="18"/>
                <w:szCs w:val="18"/>
                <w:lang w:val="es-MX"/>
              </w:rPr>
              <w:t xml:space="preserve"> encuentran obligados al uso de la E.FIRMA las o los titulares de:</w:t>
            </w:r>
          </w:p>
          <w:p w14:paraId="3A473D29"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La Presidencia Municipal;</w:t>
            </w:r>
          </w:p>
          <w:p w14:paraId="3A473D2A"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La Sindicatura;</w:t>
            </w:r>
          </w:p>
          <w:p w14:paraId="3A473D2B"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Las Regidurías;</w:t>
            </w:r>
          </w:p>
          <w:p w14:paraId="3A473D2C"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La Secretaría General;</w:t>
            </w:r>
          </w:p>
          <w:p w14:paraId="3A473D2D"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La Jefatura de Gabinete;</w:t>
            </w:r>
          </w:p>
          <w:p w14:paraId="3A473D2E"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La Tesorería;</w:t>
            </w:r>
          </w:p>
          <w:p w14:paraId="3A473D2F"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b/>
                <w:bCs/>
                <w:i/>
                <w:sz w:val="18"/>
                <w:szCs w:val="18"/>
                <w:lang w:val="es-MX" w:eastAsia="es-MX"/>
              </w:rPr>
            </w:pPr>
            <w:r w:rsidRPr="00E32896">
              <w:rPr>
                <w:rFonts w:ascii="Gotham" w:hAnsi="Gotham" w:cs="Arial"/>
                <w:b/>
                <w:bCs/>
                <w:i/>
                <w:sz w:val="18"/>
                <w:szCs w:val="18"/>
                <w:lang w:val="es-MX" w:eastAsia="es-MX"/>
              </w:rPr>
              <w:t>El Órgano Interno de Control;</w:t>
            </w:r>
          </w:p>
          <w:p w14:paraId="3A473D30"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b/>
                <w:bCs/>
                <w:i/>
                <w:sz w:val="18"/>
                <w:szCs w:val="18"/>
                <w:lang w:val="es-MX" w:eastAsia="es-MX"/>
              </w:rPr>
            </w:pPr>
            <w:r w:rsidRPr="00E32896">
              <w:rPr>
                <w:rFonts w:ascii="Gotham" w:hAnsi="Gotham" w:cs="Arial"/>
                <w:b/>
                <w:bCs/>
                <w:i/>
                <w:sz w:val="18"/>
                <w:szCs w:val="18"/>
                <w:lang w:val="es-MX" w:eastAsia="es-MX"/>
              </w:rPr>
              <w:t>La Coordinación del Gabinete de Seguridad, Prevención y Servicios de emergencia;</w:t>
            </w:r>
          </w:p>
          <w:p w14:paraId="3A473D31"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b/>
                <w:bCs/>
                <w:i/>
                <w:sz w:val="18"/>
                <w:szCs w:val="18"/>
                <w:lang w:val="es-MX" w:eastAsia="es-MX"/>
              </w:rPr>
            </w:pPr>
            <w:r w:rsidRPr="00E32896">
              <w:rPr>
                <w:rFonts w:ascii="Gotham" w:hAnsi="Gotham" w:cs="Arial"/>
                <w:b/>
                <w:bCs/>
                <w:i/>
                <w:sz w:val="18"/>
                <w:szCs w:val="18"/>
                <w:lang w:val="es-MX" w:eastAsia="es-MX"/>
              </w:rPr>
              <w:t>La Dirección General de Servicios Públicos Médicos;</w:t>
            </w:r>
          </w:p>
          <w:p w14:paraId="3A473D32"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b/>
                <w:bCs/>
                <w:i/>
                <w:sz w:val="18"/>
                <w:szCs w:val="18"/>
                <w:lang w:val="es-MX" w:eastAsia="es-MX"/>
              </w:rPr>
            </w:pPr>
            <w:r w:rsidRPr="00E32896">
              <w:rPr>
                <w:rFonts w:ascii="Gotham" w:hAnsi="Gotham" w:cs="Arial"/>
                <w:b/>
                <w:bCs/>
                <w:i/>
                <w:sz w:val="18"/>
                <w:szCs w:val="18"/>
                <w:lang w:val="es-MX" w:eastAsia="es-MX"/>
              </w:rPr>
              <w:t>La Dirección de Bienestar Social;</w:t>
            </w:r>
          </w:p>
          <w:p w14:paraId="3A473D33"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b/>
                <w:bCs/>
                <w:i/>
                <w:sz w:val="18"/>
                <w:szCs w:val="18"/>
                <w:lang w:val="es-MX" w:eastAsia="es-MX"/>
              </w:rPr>
            </w:pPr>
            <w:r w:rsidRPr="00E32896">
              <w:rPr>
                <w:rFonts w:ascii="Gotham" w:hAnsi="Gotham" w:cs="Arial"/>
                <w:b/>
                <w:bCs/>
                <w:i/>
                <w:sz w:val="18"/>
                <w:szCs w:val="18"/>
                <w:lang w:val="es-MX" w:eastAsia="es-MX"/>
              </w:rPr>
              <w:t>La Dirección General de Atracción de la Inversión;</w:t>
            </w:r>
          </w:p>
          <w:p w14:paraId="3A473D34"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b/>
                <w:bCs/>
                <w:i/>
                <w:sz w:val="18"/>
                <w:szCs w:val="18"/>
                <w:lang w:val="es-MX" w:eastAsia="es-MX"/>
              </w:rPr>
            </w:pPr>
            <w:r w:rsidRPr="00E32896">
              <w:rPr>
                <w:rFonts w:ascii="Gotham" w:hAnsi="Gotham" w:cs="Arial"/>
                <w:b/>
                <w:bCs/>
                <w:i/>
                <w:sz w:val="18"/>
                <w:szCs w:val="18"/>
                <w:lang w:val="es-MX" w:eastAsia="es-MX"/>
              </w:rPr>
              <w:t>La Dirección General de Administración y Desarrollo Humano;</w:t>
            </w:r>
          </w:p>
          <w:p w14:paraId="3A473D35"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i/>
                <w:sz w:val="18"/>
                <w:szCs w:val="18"/>
                <w:lang w:val="es-MX" w:eastAsia="es-MX"/>
              </w:rPr>
            </w:pPr>
            <w:r w:rsidRPr="00E32896">
              <w:rPr>
                <w:rFonts w:ascii="Gotham" w:hAnsi="Gotham" w:cs="Arial"/>
                <w:i/>
                <w:sz w:val="18"/>
                <w:szCs w:val="18"/>
                <w:lang w:val="es-MX" w:eastAsia="es-MX"/>
              </w:rPr>
              <w:t>Las Direcciones Generales;</w:t>
            </w:r>
          </w:p>
          <w:p w14:paraId="3A473D36"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b/>
                <w:bCs/>
                <w:i/>
                <w:sz w:val="18"/>
                <w:szCs w:val="18"/>
                <w:lang w:val="es-MX" w:eastAsia="es-MX"/>
              </w:rPr>
            </w:pPr>
            <w:r w:rsidRPr="00E32896">
              <w:rPr>
                <w:rFonts w:ascii="Gotham" w:hAnsi="Gotham" w:cs="Arial"/>
                <w:b/>
                <w:bCs/>
                <w:i/>
                <w:sz w:val="18"/>
                <w:szCs w:val="18"/>
                <w:lang w:val="es-MX" w:eastAsia="es-MX"/>
              </w:rPr>
              <w:t>Dirección de Delegaciones y Agencias; y</w:t>
            </w:r>
          </w:p>
          <w:p w14:paraId="3A473D37" w14:textId="77777777" w:rsidR="00016FE1" w:rsidRPr="00E32896" w:rsidRDefault="00016FE1" w:rsidP="00865062">
            <w:pPr>
              <w:pStyle w:val="Prrafodelista"/>
              <w:numPr>
                <w:ilvl w:val="0"/>
                <w:numId w:val="160"/>
              </w:numPr>
              <w:spacing w:before="120" w:after="120"/>
              <w:ind w:left="0" w:firstLine="0"/>
              <w:contextualSpacing w:val="0"/>
              <w:jc w:val="both"/>
              <w:rPr>
                <w:rFonts w:ascii="Gotham" w:hAnsi="Gotham" w:cs="Arial"/>
                <w:b/>
                <w:bCs/>
                <w:i/>
                <w:sz w:val="18"/>
                <w:szCs w:val="18"/>
                <w:lang w:val="es-MX" w:eastAsia="es-MX"/>
              </w:rPr>
            </w:pPr>
            <w:r w:rsidRPr="00E32896">
              <w:rPr>
                <w:rFonts w:ascii="Gotham" w:hAnsi="Gotham" w:cs="Arial"/>
                <w:i/>
                <w:sz w:val="18"/>
                <w:szCs w:val="18"/>
                <w:lang w:val="es-MX" w:eastAsia="es-MX"/>
              </w:rPr>
              <w:t>Las Jefaturas de Enlace Administrativo.</w:t>
            </w:r>
          </w:p>
        </w:tc>
        <w:tc>
          <w:tcPr>
            <w:tcW w:w="1667" w:type="pct"/>
            <w:tcBorders>
              <w:top w:val="single" w:sz="4" w:space="0" w:color="auto"/>
              <w:left w:val="single" w:sz="4" w:space="0" w:color="auto"/>
              <w:bottom w:val="single" w:sz="4" w:space="0" w:color="auto"/>
              <w:right w:val="single" w:sz="4" w:space="0" w:color="auto"/>
            </w:tcBorders>
            <w:hideMark/>
          </w:tcPr>
          <w:p w14:paraId="3A473D38"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Artículo 16.- Se encuentran obligados al uso de la E.FIRMA las o los titulares de:</w:t>
            </w:r>
          </w:p>
          <w:p w14:paraId="3A473D39"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I. La Presidencia Municipal;</w:t>
            </w:r>
          </w:p>
          <w:p w14:paraId="3A473D3A"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II. La Sindicatura;</w:t>
            </w:r>
          </w:p>
          <w:p w14:paraId="3A473D3B"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III. Las Regidurías;</w:t>
            </w:r>
          </w:p>
          <w:p w14:paraId="3A473D3C"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IV. La Secretaría General;</w:t>
            </w:r>
          </w:p>
          <w:p w14:paraId="3A473D3D"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V. La Jefatura de Gabinete;</w:t>
            </w:r>
          </w:p>
          <w:p w14:paraId="3A473D3E"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VI. La Tesorería;</w:t>
            </w:r>
          </w:p>
          <w:p w14:paraId="3A473D3F"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VII. El Órgano Interno de Control;</w:t>
            </w:r>
          </w:p>
          <w:p w14:paraId="3A473D40"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VIII. La Coordinación del Gabinete de Seguridad, Prevención y Servicios de emergencia;</w:t>
            </w:r>
          </w:p>
          <w:p w14:paraId="3A473D41"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IX. La Dirección General de Servicios Públicos Médicos;</w:t>
            </w:r>
          </w:p>
          <w:p w14:paraId="3A473D42"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 La Dirección de Bienestar Social;</w:t>
            </w:r>
          </w:p>
          <w:p w14:paraId="3A473D43"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 La Dirección General de Atracción de la Inversión;</w:t>
            </w:r>
          </w:p>
          <w:p w14:paraId="3A473D44"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XII. La Dirección General de Administración y Desarrollo Humano;</w:t>
            </w:r>
          </w:p>
          <w:p w14:paraId="3A473D45"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XIII. Las Direcciones Generales;</w:t>
            </w:r>
          </w:p>
          <w:p w14:paraId="3A473D46"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XIV. Dirección de Delegaciones y Agencias; y</w:t>
            </w:r>
          </w:p>
          <w:p w14:paraId="3A473D47" w14:textId="77777777" w:rsidR="00016FE1" w:rsidRPr="00E32896" w:rsidRDefault="00016FE1" w:rsidP="008A612D">
            <w:pPr>
              <w:pStyle w:val="Prrafodelista"/>
              <w:spacing w:before="120" w:after="120"/>
              <w:ind w:left="-6"/>
              <w:contextualSpacing w:val="0"/>
              <w:jc w:val="both"/>
              <w:rPr>
                <w:rFonts w:ascii="Gotham" w:hAnsi="Gotham" w:cs="Arial"/>
                <w:b/>
                <w:bCs/>
                <w:i/>
                <w:sz w:val="18"/>
                <w:szCs w:val="18"/>
                <w:lang w:val="es-MX"/>
              </w:rPr>
            </w:pPr>
            <w:r w:rsidRPr="00E32896">
              <w:rPr>
                <w:rFonts w:ascii="Gotham" w:hAnsi="Gotham" w:cs="Arial"/>
                <w:b/>
                <w:bCs/>
                <w:i/>
                <w:sz w:val="18"/>
                <w:szCs w:val="18"/>
                <w:lang w:val="es-MX"/>
              </w:rPr>
              <w:t>XV. Las Jefaturas de Enlace Administrativo</w:t>
            </w:r>
          </w:p>
        </w:tc>
      </w:tr>
    </w:tbl>
    <w:p w14:paraId="3A473D49" w14:textId="77777777" w:rsidR="00016FE1" w:rsidRPr="00566F67" w:rsidRDefault="00016FE1" w:rsidP="002B6227">
      <w:pPr>
        <w:jc w:val="both"/>
        <w:rPr>
          <w:rFonts w:ascii="Gotham" w:hAnsi="Gotham" w:cs="Arial"/>
          <w:sz w:val="20"/>
          <w:szCs w:val="20"/>
        </w:rPr>
      </w:pPr>
    </w:p>
    <w:p w14:paraId="3A473D4A" w14:textId="77777777" w:rsidR="00016FE1" w:rsidRPr="00566F67" w:rsidRDefault="00016FE1" w:rsidP="002B6227">
      <w:pPr>
        <w:ind w:left="426" w:hanging="426"/>
        <w:jc w:val="both"/>
        <w:rPr>
          <w:rFonts w:ascii="Gotham" w:hAnsi="Gotham" w:cs="Arial"/>
          <w:sz w:val="20"/>
          <w:szCs w:val="20"/>
        </w:rPr>
      </w:pPr>
      <w:r w:rsidRPr="00566F67">
        <w:rPr>
          <w:rFonts w:ascii="Gotham" w:hAnsi="Gotham" w:cs="Arial"/>
          <w:sz w:val="20"/>
          <w:szCs w:val="20"/>
        </w:rPr>
        <w:lastRenderedPageBreak/>
        <w:t xml:space="preserve">B) </w:t>
      </w:r>
      <w:r>
        <w:rPr>
          <w:rFonts w:ascii="Gotham" w:hAnsi="Gotham" w:cs="Arial"/>
          <w:sz w:val="20"/>
          <w:szCs w:val="20"/>
        </w:rPr>
        <w:tab/>
      </w:r>
      <w:r w:rsidRPr="00566F67">
        <w:rPr>
          <w:rFonts w:ascii="Gotham" w:hAnsi="Gotham" w:cs="Arial"/>
          <w:sz w:val="20"/>
          <w:szCs w:val="20"/>
        </w:rPr>
        <w:t>Se determina conforme a la iniciativa en estudio que es viable toda vez que la propuesta armoniza las figuras y nombres de las áreas conforme al Reglamento del Gobierno y la Administración Pública del Ayuntamiento Constitucional de Tonalá, Jalisco.</w:t>
      </w:r>
    </w:p>
    <w:p w14:paraId="3A473D4B" w14:textId="77777777" w:rsidR="00016FE1" w:rsidRPr="003F09DB" w:rsidRDefault="00016FE1" w:rsidP="002B6227">
      <w:pPr>
        <w:jc w:val="both"/>
        <w:rPr>
          <w:rFonts w:ascii="Gotham" w:hAnsi="Gotham" w:cs="Arial"/>
          <w:sz w:val="20"/>
          <w:szCs w:val="20"/>
        </w:rPr>
      </w:pPr>
    </w:p>
    <w:p w14:paraId="3A473D4C" w14:textId="77777777" w:rsidR="00016FE1" w:rsidRPr="003F09DB" w:rsidRDefault="00016FE1" w:rsidP="002B6227">
      <w:pPr>
        <w:jc w:val="both"/>
        <w:rPr>
          <w:rFonts w:ascii="Gotham" w:hAnsi="Gotham" w:cs="Arial"/>
          <w:sz w:val="20"/>
          <w:szCs w:val="20"/>
        </w:rPr>
      </w:pPr>
      <w:r w:rsidRPr="003F09DB">
        <w:rPr>
          <w:rFonts w:ascii="Gotham" w:hAnsi="Gotham" w:cs="Arial"/>
          <w:sz w:val="20"/>
          <w:szCs w:val="20"/>
        </w:rPr>
        <w:t>Derivado del estudio y análisis de los considerandos que integran el cuerpo del presente dictamen y de conformidad con la legislación, reglamentación y normatividad que rigen el proceso de estudio, dictaminación y aprobación de esta reforma de ordenamiento que, válidamente, adopta el órgano colegiado de Gobierno Municipal, los integrantes de las Comisión Edilicias que suscriben el presente dictamen, proponemos el siguiente:</w:t>
      </w:r>
    </w:p>
    <w:p w14:paraId="3A473D4D" w14:textId="77777777" w:rsidR="00016FE1" w:rsidRPr="003F09DB" w:rsidRDefault="00016FE1" w:rsidP="002B6227">
      <w:pPr>
        <w:jc w:val="both"/>
        <w:rPr>
          <w:rFonts w:ascii="Gotham" w:hAnsi="Gotham" w:cs="Arial"/>
          <w:sz w:val="20"/>
          <w:szCs w:val="20"/>
        </w:rPr>
      </w:pPr>
    </w:p>
    <w:p w14:paraId="3A473D4E" w14:textId="77777777" w:rsidR="00016FE1" w:rsidRPr="003F09DB" w:rsidRDefault="00016FE1" w:rsidP="002B6227">
      <w:pPr>
        <w:jc w:val="center"/>
        <w:rPr>
          <w:rFonts w:ascii="Gotham" w:hAnsi="Gotham" w:cs="Arial"/>
          <w:sz w:val="20"/>
          <w:szCs w:val="20"/>
        </w:rPr>
      </w:pPr>
      <w:r w:rsidRPr="003F09DB">
        <w:rPr>
          <w:rFonts w:ascii="Gotham" w:hAnsi="Gotham" w:cs="Arial"/>
          <w:sz w:val="20"/>
          <w:szCs w:val="20"/>
        </w:rPr>
        <w:t>ORDENAMIENTO MUNICIPAL</w:t>
      </w:r>
    </w:p>
    <w:p w14:paraId="3A473D4F" w14:textId="77777777" w:rsidR="00016FE1" w:rsidRPr="003F09DB" w:rsidRDefault="00016FE1" w:rsidP="002B6227">
      <w:pPr>
        <w:jc w:val="both"/>
        <w:rPr>
          <w:rFonts w:ascii="Gotham" w:hAnsi="Gotham" w:cs="Arial"/>
          <w:sz w:val="20"/>
          <w:szCs w:val="20"/>
        </w:rPr>
      </w:pPr>
    </w:p>
    <w:p w14:paraId="3A473D50" w14:textId="77777777" w:rsidR="00016FE1" w:rsidRPr="003F09DB" w:rsidRDefault="00016FE1" w:rsidP="002B6227">
      <w:pPr>
        <w:jc w:val="both"/>
        <w:rPr>
          <w:rFonts w:ascii="Gotham" w:hAnsi="Gotham" w:cs="Arial"/>
          <w:sz w:val="20"/>
          <w:szCs w:val="20"/>
        </w:rPr>
      </w:pPr>
      <w:r w:rsidRPr="003F09DB">
        <w:rPr>
          <w:rFonts w:ascii="Gotham" w:hAnsi="Gotham" w:cs="Arial"/>
          <w:sz w:val="20"/>
          <w:szCs w:val="20"/>
        </w:rPr>
        <w:t>ÚNICO.- Se aprueba la reforma de los Artículos 4, adicionando la fracción VII recorriendo a orden, los artículos 13 Y 16 Reglamento de Firma Electrónica Avanzada del Municipio de Tonalá, Jalisco, que se señalan en el presente Dictamen para quedar como a continuación se establece:</w:t>
      </w:r>
    </w:p>
    <w:p w14:paraId="3A473D51" w14:textId="77777777" w:rsidR="00016FE1" w:rsidRPr="003F09DB" w:rsidRDefault="00016FE1" w:rsidP="002B6227">
      <w:pPr>
        <w:jc w:val="both"/>
        <w:rPr>
          <w:rFonts w:ascii="Gotham" w:hAnsi="Gotham" w:cs="Arial"/>
          <w:sz w:val="20"/>
          <w:szCs w:val="20"/>
        </w:rPr>
      </w:pPr>
    </w:p>
    <w:p w14:paraId="3A473D52" w14:textId="77777777" w:rsidR="00016FE1" w:rsidRPr="00734FDE" w:rsidRDefault="00016FE1" w:rsidP="002B6227">
      <w:pPr>
        <w:pStyle w:val="Prrafodelista"/>
        <w:ind w:left="284" w:right="283"/>
        <w:contextualSpacing w:val="0"/>
        <w:jc w:val="both"/>
        <w:rPr>
          <w:rFonts w:ascii="Gotham" w:hAnsi="Gotham" w:cs="Arial"/>
          <w:i/>
          <w:sz w:val="20"/>
          <w:szCs w:val="20"/>
          <w:lang w:val="es-MX"/>
        </w:rPr>
      </w:pPr>
      <w:r w:rsidRPr="00734FDE">
        <w:rPr>
          <w:rFonts w:ascii="Gotham" w:hAnsi="Gotham" w:cs="Arial"/>
          <w:b/>
          <w:bCs/>
          <w:i/>
          <w:sz w:val="20"/>
          <w:szCs w:val="20"/>
          <w:lang w:val="es-MX"/>
        </w:rPr>
        <w:t>Artículo 4.</w:t>
      </w:r>
      <w:r w:rsidRPr="00734FDE">
        <w:rPr>
          <w:rFonts w:ascii="Gotham" w:hAnsi="Gotham" w:cs="Arial"/>
          <w:i/>
          <w:sz w:val="20"/>
          <w:szCs w:val="20"/>
          <w:lang w:val="es-MX"/>
        </w:rPr>
        <w:t xml:space="preserve"> Para los efectos del presente reglamento, se entiende por:</w:t>
      </w:r>
    </w:p>
    <w:p w14:paraId="3A473D53" w14:textId="77777777" w:rsidR="00016FE1" w:rsidRPr="00734FDE" w:rsidRDefault="00016FE1" w:rsidP="002B6227">
      <w:pPr>
        <w:pStyle w:val="Prrafodelista"/>
        <w:ind w:left="284" w:right="283"/>
        <w:contextualSpacing w:val="0"/>
        <w:jc w:val="both"/>
        <w:rPr>
          <w:rFonts w:ascii="Gotham" w:hAnsi="Gotham" w:cs="Arial"/>
          <w:i/>
          <w:sz w:val="20"/>
          <w:szCs w:val="20"/>
          <w:lang w:val="es-MX"/>
        </w:rPr>
      </w:pPr>
    </w:p>
    <w:p w14:paraId="3A473D54" w14:textId="77777777" w:rsidR="00016FE1" w:rsidRPr="00734FDE" w:rsidRDefault="00016FE1" w:rsidP="002B6227">
      <w:pPr>
        <w:spacing w:after="120"/>
        <w:ind w:left="851" w:right="283" w:hanging="567"/>
        <w:jc w:val="both"/>
        <w:rPr>
          <w:rFonts w:ascii="Gotham" w:hAnsi="Gotham" w:cs="Arial"/>
          <w:b/>
          <w:bCs/>
          <w:i/>
          <w:sz w:val="20"/>
          <w:szCs w:val="20"/>
          <w:lang w:val="es-MX"/>
        </w:rPr>
      </w:pPr>
      <w:r w:rsidRPr="00734FDE">
        <w:rPr>
          <w:rFonts w:ascii="Gotham" w:hAnsi="Gotham" w:cs="Arial"/>
          <w:b/>
          <w:bCs/>
          <w:i/>
          <w:sz w:val="20"/>
          <w:szCs w:val="20"/>
        </w:rPr>
        <w:t>I al VI (…)</w:t>
      </w:r>
    </w:p>
    <w:p w14:paraId="3A473D55" w14:textId="77777777" w:rsidR="00016FE1" w:rsidRPr="00734FDE" w:rsidRDefault="00016FE1" w:rsidP="002B6227">
      <w:pPr>
        <w:spacing w:after="120"/>
        <w:ind w:left="851" w:right="283" w:hanging="567"/>
        <w:jc w:val="both"/>
        <w:rPr>
          <w:rFonts w:ascii="Gotham" w:hAnsi="Gotham" w:cs="Arial"/>
          <w:b/>
          <w:bCs/>
          <w:i/>
          <w:sz w:val="20"/>
          <w:szCs w:val="20"/>
        </w:rPr>
      </w:pPr>
      <w:r w:rsidRPr="00734FDE">
        <w:rPr>
          <w:rFonts w:ascii="Gotham" w:hAnsi="Gotham" w:cs="Arial"/>
          <w:b/>
          <w:bCs/>
          <w:i/>
          <w:sz w:val="20"/>
          <w:szCs w:val="20"/>
        </w:rPr>
        <w:t xml:space="preserve">VII. </w:t>
      </w:r>
      <w:r>
        <w:rPr>
          <w:rFonts w:ascii="Gotham" w:hAnsi="Gotham" w:cs="Arial"/>
          <w:b/>
          <w:bCs/>
          <w:i/>
          <w:sz w:val="20"/>
          <w:szCs w:val="20"/>
        </w:rPr>
        <w:tab/>
      </w:r>
      <w:r w:rsidRPr="00734FDE">
        <w:rPr>
          <w:rFonts w:ascii="Gotham" w:hAnsi="Gotham" w:cs="Arial"/>
          <w:b/>
          <w:bCs/>
          <w:i/>
          <w:sz w:val="20"/>
          <w:szCs w:val="20"/>
        </w:rPr>
        <w:t>Dirección: La Dirección General de Administración y Desarrollo Humano.</w:t>
      </w:r>
    </w:p>
    <w:p w14:paraId="3A473D56"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VIII. </w:t>
      </w:r>
      <w:r>
        <w:rPr>
          <w:rFonts w:ascii="Gotham" w:hAnsi="Gotham" w:cs="Arial"/>
          <w:i/>
          <w:sz w:val="20"/>
          <w:szCs w:val="20"/>
        </w:rPr>
        <w:tab/>
      </w:r>
      <w:r w:rsidRPr="00734FDE">
        <w:rPr>
          <w:rFonts w:ascii="Gotham" w:hAnsi="Gotham" w:cs="Arial"/>
          <w:i/>
          <w:sz w:val="20"/>
          <w:szCs w:val="20"/>
        </w:rPr>
        <w:t>Fecha electrónica: los datos que en forma electrónica sean generados por la Firma Electrónica Avanzada (E.FIRMA), para constar el día y la hora en que un mensaje de datos es enviado por el firmante o recibido por el destinatario;</w:t>
      </w:r>
    </w:p>
    <w:p w14:paraId="3A473D57"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IX. </w:t>
      </w:r>
      <w:r>
        <w:rPr>
          <w:rFonts w:ascii="Gotham" w:hAnsi="Gotham" w:cs="Arial"/>
          <w:i/>
          <w:sz w:val="20"/>
          <w:szCs w:val="20"/>
        </w:rPr>
        <w:tab/>
      </w:r>
      <w:r w:rsidRPr="00734FDE">
        <w:rPr>
          <w:rFonts w:ascii="Gotham" w:hAnsi="Gotham" w:cs="Arial"/>
          <w:i/>
          <w:sz w:val="20"/>
          <w:szCs w:val="20"/>
        </w:rPr>
        <w:t>Firma Electrónica Avanzada (en lo sucesivo E.FIRMA): es el conjunto de datos y caracteres que permite la identificación del usuario, que ha sido creada por medios electrónicos, la cual produce los mismos efectos jurídicos que la firma autógrafa;</w:t>
      </w:r>
    </w:p>
    <w:p w14:paraId="3A473D58"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 </w:t>
      </w:r>
      <w:r>
        <w:rPr>
          <w:rFonts w:ascii="Gotham" w:hAnsi="Gotham" w:cs="Arial"/>
          <w:i/>
          <w:sz w:val="20"/>
          <w:szCs w:val="20"/>
        </w:rPr>
        <w:tab/>
      </w:r>
      <w:r w:rsidRPr="00734FDE">
        <w:rPr>
          <w:rFonts w:ascii="Gotham" w:hAnsi="Gotham" w:cs="Arial"/>
          <w:i/>
          <w:sz w:val="20"/>
          <w:szCs w:val="20"/>
        </w:rPr>
        <w:t>Firmante: la persona o proceso que utiliza los datos de firma electrónica;</w:t>
      </w:r>
    </w:p>
    <w:p w14:paraId="3A473D59"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XI. </w:t>
      </w:r>
      <w:r>
        <w:rPr>
          <w:rFonts w:ascii="Gotham" w:hAnsi="Gotham" w:cs="Arial"/>
          <w:i/>
          <w:sz w:val="20"/>
          <w:szCs w:val="20"/>
        </w:rPr>
        <w:tab/>
      </w:r>
      <w:r w:rsidRPr="00734FDE">
        <w:rPr>
          <w:rFonts w:ascii="Gotham" w:hAnsi="Gotham" w:cs="Arial"/>
          <w:i/>
          <w:sz w:val="20"/>
          <w:szCs w:val="20"/>
        </w:rPr>
        <w:t>Ley: La Ley de Firma Electrónica Avanzada para el Estado de Jalisco y sus Municipios;</w:t>
      </w:r>
    </w:p>
    <w:p w14:paraId="3A473D5A"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XII. </w:t>
      </w:r>
      <w:r>
        <w:rPr>
          <w:rFonts w:ascii="Gotham" w:hAnsi="Gotham" w:cs="Arial"/>
          <w:i/>
          <w:sz w:val="20"/>
          <w:szCs w:val="20"/>
        </w:rPr>
        <w:tab/>
      </w:r>
      <w:r w:rsidRPr="00734FDE">
        <w:rPr>
          <w:rFonts w:ascii="Gotham" w:hAnsi="Gotham" w:cs="Arial"/>
          <w:i/>
          <w:sz w:val="20"/>
          <w:szCs w:val="20"/>
        </w:rPr>
        <w:t>Medios electrónicos: los dispositivos tecnológicos utilizados para trasmitir o almacenar datos e información, a través de computadoras a líneas telefónicas, enlaces dedicados, microondas o de cualquier otra tecnología;</w:t>
      </w:r>
    </w:p>
    <w:p w14:paraId="3A473D5B"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XIII. </w:t>
      </w:r>
      <w:r>
        <w:rPr>
          <w:rFonts w:ascii="Gotham" w:hAnsi="Gotham" w:cs="Arial"/>
          <w:i/>
          <w:sz w:val="20"/>
          <w:szCs w:val="20"/>
        </w:rPr>
        <w:tab/>
      </w:r>
      <w:r w:rsidRPr="00734FDE">
        <w:rPr>
          <w:rFonts w:ascii="Gotham" w:hAnsi="Gotham" w:cs="Arial"/>
          <w:i/>
          <w:sz w:val="20"/>
          <w:szCs w:val="20"/>
        </w:rPr>
        <w:t>Mensaje de datos: la información generada, enviada, recibida, archivada, reproducida o procesada por el firmante y recibida o archivada por el destinatario a través de medios electrónicos, ópticos o cualquier otra tecnología;</w:t>
      </w:r>
    </w:p>
    <w:p w14:paraId="3A473D5C"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XIV. </w:t>
      </w:r>
      <w:r>
        <w:rPr>
          <w:rFonts w:ascii="Gotham" w:hAnsi="Gotham" w:cs="Arial"/>
          <w:i/>
          <w:sz w:val="20"/>
          <w:szCs w:val="20"/>
        </w:rPr>
        <w:tab/>
      </w:r>
      <w:r w:rsidRPr="00734FDE">
        <w:rPr>
          <w:rFonts w:ascii="Gotham" w:hAnsi="Gotham" w:cs="Arial"/>
          <w:i/>
          <w:sz w:val="20"/>
          <w:szCs w:val="20"/>
        </w:rPr>
        <w:t>Municipio: el Municipio de Tonalá, Jalisco;</w:t>
      </w:r>
    </w:p>
    <w:p w14:paraId="3A473D5D"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XV. </w:t>
      </w:r>
      <w:r>
        <w:rPr>
          <w:rFonts w:ascii="Gotham" w:hAnsi="Gotham" w:cs="Arial"/>
          <w:i/>
          <w:sz w:val="20"/>
          <w:szCs w:val="20"/>
        </w:rPr>
        <w:tab/>
      </w:r>
      <w:r w:rsidRPr="00734FDE">
        <w:rPr>
          <w:rFonts w:ascii="Gotham" w:hAnsi="Gotham" w:cs="Arial"/>
          <w:i/>
          <w:sz w:val="20"/>
          <w:szCs w:val="20"/>
        </w:rPr>
        <w:t>Portal de administración de firma electrónica: es la base de datos donde se almacenan todos los documentos generados con firma electrónica;</w:t>
      </w:r>
    </w:p>
    <w:p w14:paraId="3A473D5E"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XVI. </w:t>
      </w:r>
      <w:r>
        <w:rPr>
          <w:rFonts w:ascii="Gotham" w:hAnsi="Gotham" w:cs="Arial"/>
          <w:i/>
          <w:sz w:val="20"/>
          <w:szCs w:val="20"/>
        </w:rPr>
        <w:tab/>
      </w:r>
      <w:r w:rsidRPr="00734FDE">
        <w:rPr>
          <w:rFonts w:ascii="Gotham" w:hAnsi="Gotham" w:cs="Arial"/>
          <w:i/>
          <w:sz w:val="20"/>
          <w:szCs w:val="20"/>
        </w:rPr>
        <w:t>Reglamento: Reglamento de Firma Electrónica Avanzada del Municipio de Tonalá, Jalisco;</w:t>
      </w:r>
    </w:p>
    <w:p w14:paraId="3A473D5F"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XVII. </w:t>
      </w:r>
      <w:r>
        <w:rPr>
          <w:rFonts w:ascii="Gotham" w:hAnsi="Gotham" w:cs="Arial"/>
          <w:i/>
          <w:sz w:val="20"/>
          <w:szCs w:val="20"/>
        </w:rPr>
        <w:tab/>
      </w:r>
      <w:r w:rsidRPr="00734FDE">
        <w:rPr>
          <w:rFonts w:ascii="Gotham" w:hAnsi="Gotham" w:cs="Arial"/>
          <w:i/>
          <w:sz w:val="20"/>
          <w:szCs w:val="20"/>
        </w:rPr>
        <w:t>Secretaría: la Secretaría General del Gobierno del Estado de Jalisco;</w:t>
      </w:r>
    </w:p>
    <w:p w14:paraId="3A473D60" w14:textId="77777777" w:rsidR="00016FE1" w:rsidRPr="00734FDE" w:rsidRDefault="00016FE1" w:rsidP="002B6227">
      <w:pPr>
        <w:spacing w:after="120"/>
        <w:ind w:left="851" w:right="283" w:hanging="567"/>
        <w:jc w:val="both"/>
        <w:rPr>
          <w:rFonts w:ascii="Gotham" w:hAnsi="Gotham" w:cs="Arial"/>
          <w:i/>
          <w:sz w:val="20"/>
          <w:szCs w:val="20"/>
        </w:rPr>
      </w:pPr>
      <w:r w:rsidRPr="00734FDE">
        <w:rPr>
          <w:rFonts w:ascii="Gotham" w:hAnsi="Gotham" w:cs="Arial"/>
          <w:i/>
          <w:sz w:val="20"/>
          <w:szCs w:val="20"/>
        </w:rPr>
        <w:t xml:space="preserve">XVIII. </w:t>
      </w:r>
      <w:r>
        <w:rPr>
          <w:rFonts w:ascii="Gotham" w:hAnsi="Gotham" w:cs="Arial"/>
          <w:i/>
          <w:sz w:val="20"/>
          <w:szCs w:val="20"/>
        </w:rPr>
        <w:tab/>
      </w:r>
      <w:r w:rsidRPr="00734FDE">
        <w:rPr>
          <w:rFonts w:ascii="Gotham" w:hAnsi="Gotham" w:cs="Arial"/>
          <w:i/>
          <w:sz w:val="20"/>
          <w:szCs w:val="20"/>
        </w:rPr>
        <w:t>Gestión documental: el electrónico utilizado para generar, enviar, recibir, archivar o procesar un mensaje de datos; y</w:t>
      </w:r>
    </w:p>
    <w:p w14:paraId="3A473D61" w14:textId="77777777" w:rsidR="00016FE1" w:rsidRPr="00734FDE" w:rsidRDefault="00016FE1" w:rsidP="002B6227">
      <w:pPr>
        <w:ind w:left="851" w:right="283" w:hanging="567"/>
        <w:jc w:val="both"/>
        <w:rPr>
          <w:rFonts w:ascii="Gotham" w:hAnsi="Gotham" w:cs="Arial"/>
          <w:i/>
          <w:sz w:val="20"/>
          <w:szCs w:val="20"/>
        </w:rPr>
      </w:pPr>
      <w:r w:rsidRPr="00734FDE">
        <w:rPr>
          <w:rFonts w:ascii="Gotham" w:hAnsi="Gotham" w:cs="Arial"/>
          <w:i/>
          <w:sz w:val="20"/>
          <w:szCs w:val="20"/>
        </w:rPr>
        <w:t xml:space="preserve">XIX. </w:t>
      </w:r>
      <w:r>
        <w:rPr>
          <w:rFonts w:ascii="Gotham" w:hAnsi="Gotham" w:cs="Arial"/>
          <w:i/>
          <w:sz w:val="20"/>
          <w:szCs w:val="20"/>
        </w:rPr>
        <w:tab/>
      </w:r>
      <w:r w:rsidRPr="00734FDE">
        <w:rPr>
          <w:rFonts w:ascii="Gotham" w:hAnsi="Gotham" w:cs="Arial"/>
          <w:i/>
          <w:sz w:val="20"/>
          <w:szCs w:val="20"/>
        </w:rPr>
        <w:t>Titular: la persona a favor de quien se expide un certificado de firma electrónica.</w:t>
      </w:r>
    </w:p>
    <w:p w14:paraId="3A473D62" w14:textId="77777777" w:rsidR="00016FE1" w:rsidRPr="00734FDE" w:rsidRDefault="00016FE1" w:rsidP="002B6227">
      <w:pPr>
        <w:ind w:left="284" w:right="283"/>
        <w:jc w:val="both"/>
        <w:rPr>
          <w:rFonts w:ascii="Gotham" w:hAnsi="Gotham" w:cs="Arial"/>
          <w:i/>
          <w:sz w:val="20"/>
          <w:szCs w:val="20"/>
          <w:highlight w:val="yellow"/>
        </w:rPr>
      </w:pPr>
    </w:p>
    <w:p w14:paraId="3A473D63" w14:textId="77777777" w:rsidR="00016FE1" w:rsidRPr="00734FDE" w:rsidRDefault="00016FE1" w:rsidP="002B6227">
      <w:pPr>
        <w:ind w:left="284" w:right="283"/>
        <w:jc w:val="both"/>
        <w:rPr>
          <w:rFonts w:ascii="Gotham" w:hAnsi="Gotham" w:cs="Arial"/>
          <w:i/>
          <w:sz w:val="20"/>
          <w:szCs w:val="20"/>
          <w:highlight w:val="yellow"/>
        </w:rPr>
      </w:pPr>
      <w:r w:rsidRPr="00734FDE">
        <w:rPr>
          <w:rFonts w:ascii="Gotham" w:hAnsi="Gotham" w:cs="Arial"/>
          <w:b/>
          <w:bCs/>
          <w:i/>
          <w:sz w:val="20"/>
          <w:szCs w:val="20"/>
        </w:rPr>
        <w:lastRenderedPageBreak/>
        <w:t>Artículo 13.- La Dirección General de Administración y Desarrollo Humano</w:t>
      </w:r>
      <w:r w:rsidRPr="00734FDE">
        <w:rPr>
          <w:rFonts w:ascii="Gotham" w:hAnsi="Gotham" w:cs="Arial"/>
          <w:i/>
          <w:sz w:val="20"/>
          <w:szCs w:val="20"/>
        </w:rPr>
        <w:t>, es la dependencia encargada de otorgar la autorización para el uso de la E.FIRMA y establecer los procedimientos y trámites para su obtención o, en su caso, revocación, misma que tendrá las siguientes atribuciones:</w:t>
      </w:r>
    </w:p>
    <w:p w14:paraId="3A473D64" w14:textId="77777777" w:rsidR="00016FE1" w:rsidRPr="00734FDE" w:rsidRDefault="00016FE1" w:rsidP="002B6227">
      <w:pPr>
        <w:ind w:left="284" w:right="283"/>
        <w:jc w:val="both"/>
        <w:rPr>
          <w:rFonts w:ascii="Gotham" w:hAnsi="Gotham" w:cs="Arial"/>
          <w:i/>
          <w:sz w:val="20"/>
          <w:szCs w:val="20"/>
          <w:highlight w:val="yellow"/>
        </w:rPr>
      </w:pPr>
    </w:p>
    <w:p w14:paraId="3A473D65" w14:textId="77777777" w:rsidR="00016FE1" w:rsidRDefault="00016FE1" w:rsidP="002B6227">
      <w:pPr>
        <w:ind w:left="284" w:right="283"/>
        <w:jc w:val="both"/>
        <w:rPr>
          <w:rFonts w:ascii="Gotham" w:hAnsi="Gotham"/>
          <w:b/>
          <w:i/>
          <w:sz w:val="20"/>
          <w:szCs w:val="20"/>
        </w:rPr>
      </w:pPr>
      <w:r w:rsidRPr="00734FDE">
        <w:rPr>
          <w:rFonts w:ascii="Gotham" w:hAnsi="Gotham"/>
          <w:b/>
          <w:i/>
          <w:sz w:val="20"/>
          <w:szCs w:val="20"/>
        </w:rPr>
        <w:t>Artículo 16.- Se encuentran obligados al uso de la E. FIRMA las o los titulares de:</w:t>
      </w:r>
    </w:p>
    <w:p w14:paraId="3A473D66" w14:textId="77777777" w:rsidR="00016FE1" w:rsidRPr="00734FDE" w:rsidRDefault="00016FE1" w:rsidP="002B6227">
      <w:pPr>
        <w:ind w:left="284" w:right="283"/>
        <w:jc w:val="both"/>
        <w:rPr>
          <w:rFonts w:ascii="Gotham" w:hAnsi="Gotham"/>
          <w:b/>
          <w:i/>
          <w:sz w:val="20"/>
          <w:szCs w:val="20"/>
        </w:rPr>
      </w:pPr>
    </w:p>
    <w:p w14:paraId="3A473D67" w14:textId="77777777" w:rsidR="00016FE1" w:rsidRPr="00734FDE" w:rsidRDefault="00016FE1" w:rsidP="00865062">
      <w:pPr>
        <w:numPr>
          <w:ilvl w:val="0"/>
          <w:numId w:val="161"/>
        </w:numPr>
        <w:spacing w:after="80"/>
        <w:ind w:left="851" w:right="283" w:hanging="567"/>
        <w:jc w:val="both"/>
        <w:rPr>
          <w:rFonts w:ascii="Gotham" w:hAnsi="Gotham" w:cs="Arial"/>
          <w:i/>
          <w:sz w:val="20"/>
          <w:szCs w:val="20"/>
          <w:lang w:eastAsia="es-MX"/>
        </w:rPr>
      </w:pPr>
      <w:r w:rsidRPr="00734FDE">
        <w:rPr>
          <w:rFonts w:ascii="Gotham" w:hAnsi="Gotham" w:cs="Arial"/>
          <w:i/>
          <w:sz w:val="20"/>
          <w:szCs w:val="20"/>
          <w:lang w:eastAsia="es-MX"/>
        </w:rPr>
        <w:t>La Presidencia Municipal;</w:t>
      </w:r>
    </w:p>
    <w:p w14:paraId="3A473D68" w14:textId="77777777" w:rsidR="00016FE1" w:rsidRPr="00734FDE" w:rsidRDefault="00016FE1" w:rsidP="00865062">
      <w:pPr>
        <w:numPr>
          <w:ilvl w:val="0"/>
          <w:numId w:val="161"/>
        </w:numPr>
        <w:spacing w:after="80"/>
        <w:ind w:left="851" w:right="283" w:hanging="567"/>
        <w:jc w:val="both"/>
        <w:rPr>
          <w:rFonts w:ascii="Gotham" w:hAnsi="Gotham" w:cs="Arial"/>
          <w:i/>
          <w:sz w:val="20"/>
          <w:szCs w:val="20"/>
          <w:lang w:eastAsia="es-MX"/>
        </w:rPr>
      </w:pPr>
      <w:r w:rsidRPr="00734FDE">
        <w:rPr>
          <w:rFonts w:ascii="Gotham" w:hAnsi="Gotham" w:cs="Arial"/>
          <w:i/>
          <w:sz w:val="20"/>
          <w:szCs w:val="20"/>
          <w:lang w:eastAsia="es-MX"/>
        </w:rPr>
        <w:t>La Sindicatura;</w:t>
      </w:r>
    </w:p>
    <w:p w14:paraId="3A473D69" w14:textId="77777777" w:rsidR="00016FE1" w:rsidRPr="00734FDE" w:rsidRDefault="00016FE1" w:rsidP="00865062">
      <w:pPr>
        <w:numPr>
          <w:ilvl w:val="0"/>
          <w:numId w:val="161"/>
        </w:numPr>
        <w:spacing w:after="80"/>
        <w:ind w:left="851" w:right="283" w:hanging="567"/>
        <w:jc w:val="both"/>
        <w:rPr>
          <w:rFonts w:ascii="Gotham" w:hAnsi="Gotham" w:cs="Arial"/>
          <w:i/>
          <w:sz w:val="20"/>
          <w:szCs w:val="20"/>
          <w:lang w:eastAsia="es-MX"/>
        </w:rPr>
      </w:pPr>
      <w:r w:rsidRPr="00734FDE">
        <w:rPr>
          <w:rFonts w:ascii="Gotham" w:hAnsi="Gotham" w:cs="Arial"/>
          <w:i/>
          <w:sz w:val="20"/>
          <w:szCs w:val="20"/>
          <w:lang w:eastAsia="es-MX"/>
        </w:rPr>
        <w:t>Las Regidurías;</w:t>
      </w:r>
    </w:p>
    <w:p w14:paraId="3A473D6A" w14:textId="77777777" w:rsidR="00016FE1" w:rsidRPr="00734FDE" w:rsidRDefault="00016FE1" w:rsidP="00865062">
      <w:pPr>
        <w:numPr>
          <w:ilvl w:val="0"/>
          <w:numId w:val="161"/>
        </w:numPr>
        <w:spacing w:after="80"/>
        <w:ind w:left="851" w:right="283" w:hanging="567"/>
        <w:jc w:val="both"/>
        <w:rPr>
          <w:rFonts w:ascii="Gotham" w:hAnsi="Gotham" w:cs="Arial"/>
          <w:i/>
          <w:sz w:val="20"/>
          <w:szCs w:val="20"/>
          <w:lang w:eastAsia="es-MX"/>
        </w:rPr>
      </w:pPr>
      <w:r w:rsidRPr="00734FDE">
        <w:rPr>
          <w:rFonts w:ascii="Gotham" w:hAnsi="Gotham" w:cs="Arial"/>
          <w:i/>
          <w:sz w:val="20"/>
          <w:szCs w:val="20"/>
          <w:lang w:eastAsia="es-MX"/>
        </w:rPr>
        <w:t>La Secretaría General;</w:t>
      </w:r>
    </w:p>
    <w:p w14:paraId="3A473D6B" w14:textId="77777777" w:rsidR="00016FE1" w:rsidRPr="00734FDE" w:rsidRDefault="00016FE1" w:rsidP="00865062">
      <w:pPr>
        <w:numPr>
          <w:ilvl w:val="0"/>
          <w:numId w:val="161"/>
        </w:numPr>
        <w:spacing w:after="80"/>
        <w:ind w:left="851" w:right="283" w:hanging="567"/>
        <w:jc w:val="both"/>
        <w:rPr>
          <w:rFonts w:ascii="Gotham" w:hAnsi="Gotham" w:cs="Arial"/>
          <w:i/>
          <w:sz w:val="20"/>
          <w:szCs w:val="20"/>
          <w:lang w:eastAsia="es-MX"/>
        </w:rPr>
      </w:pPr>
      <w:r w:rsidRPr="00734FDE">
        <w:rPr>
          <w:rFonts w:ascii="Gotham" w:hAnsi="Gotham" w:cs="Arial"/>
          <w:i/>
          <w:sz w:val="20"/>
          <w:szCs w:val="20"/>
          <w:lang w:eastAsia="es-MX"/>
        </w:rPr>
        <w:t>La Jefatura de Gabinete;</w:t>
      </w:r>
    </w:p>
    <w:p w14:paraId="3A473D6C" w14:textId="77777777" w:rsidR="00016FE1" w:rsidRPr="00734FDE" w:rsidRDefault="00016FE1" w:rsidP="00865062">
      <w:pPr>
        <w:numPr>
          <w:ilvl w:val="0"/>
          <w:numId w:val="161"/>
        </w:numPr>
        <w:spacing w:after="80"/>
        <w:ind w:left="851" w:right="283" w:hanging="567"/>
        <w:jc w:val="both"/>
        <w:rPr>
          <w:rFonts w:ascii="Gotham" w:hAnsi="Gotham" w:cs="Arial"/>
          <w:i/>
          <w:sz w:val="20"/>
          <w:szCs w:val="20"/>
          <w:lang w:eastAsia="es-MX"/>
        </w:rPr>
      </w:pPr>
      <w:r w:rsidRPr="00734FDE">
        <w:rPr>
          <w:rFonts w:ascii="Gotham" w:hAnsi="Gotham" w:cs="Arial"/>
          <w:i/>
          <w:sz w:val="20"/>
          <w:szCs w:val="20"/>
          <w:lang w:eastAsia="es-MX"/>
        </w:rPr>
        <w:t>La Tesorería;</w:t>
      </w:r>
    </w:p>
    <w:p w14:paraId="3A473D6D" w14:textId="77777777" w:rsidR="00016FE1" w:rsidRPr="00734FDE" w:rsidRDefault="00016FE1" w:rsidP="00865062">
      <w:pPr>
        <w:numPr>
          <w:ilvl w:val="0"/>
          <w:numId w:val="161"/>
        </w:numPr>
        <w:spacing w:after="80"/>
        <w:ind w:left="851" w:right="283" w:hanging="567"/>
        <w:jc w:val="both"/>
        <w:rPr>
          <w:rFonts w:ascii="Gotham" w:hAnsi="Gotham" w:cs="Arial"/>
          <w:b/>
          <w:bCs/>
          <w:i/>
          <w:sz w:val="20"/>
          <w:szCs w:val="20"/>
          <w:lang w:eastAsia="es-MX"/>
        </w:rPr>
      </w:pPr>
      <w:r w:rsidRPr="00734FDE">
        <w:rPr>
          <w:rFonts w:ascii="Gotham" w:hAnsi="Gotham" w:cs="Arial"/>
          <w:b/>
          <w:bCs/>
          <w:i/>
          <w:sz w:val="20"/>
          <w:szCs w:val="20"/>
          <w:lang w:eastAsia="es-MX"/>
        </w:rPr>
        <w:t>El Órgano Interno de Control;</w:t>
      </w:r>
    </w:p>
    <w:p w14:paraId="3A473D6E" w14:textId="77777777" w:rsidR="00016FE1" w:rsidRPr="00734FDE" w:rsidRDefault="00016FE1" w:rsidP="00865062">
      <w:pPr>
        <w:numPr>
          <w:ilvl w:val="0"/>
          <w:numId w:val="161"/>
        </w:numPr>
        <w:tabs>
          <w:tab w:val="left" w:pos="567"/>
          <w:tab w:val="left" w:pos="851"/>
        </w:tabs>
        <w:spacing w:after="80"/>
        <w:ind w:left="851" w:right="283" w:hanging="567"/>
        <w:jc w:val="both"/>
        <w:rPr>
          <w:rFonts w:ascii="Gotham" w:hAnsi="Gotham" w:cs="Arial"/>
          <w:b/>
          <w:bCs/>
          <w:i/>
          <w:sz w:val="20"/>
          <w:szCs w:val="20"/>
          <w:lang w:eastAsia="es-MX"/>
        </w:rPr>
      </w:pPr>
      <w:r w:rsidRPr="00734FDE">
        <w:rPr>
          <w:rFonts w:ascii="Gotham" w:hAnsi="Gotham" w:cs="Arial"/>
          <w:b/>
          <w:bCs/>
          <w:i/>
          <w:sz w:val="20"/>
          <w:szCs w:val="20"/>
          <w:lang w:eastAsia="es-MX"/>
        </w:rPr>
        <w:t>La Coordinación del Gabinete de Seguridad, Prevención y Servicios de emergencia;</w:t>
      </w:r>
    </w:p>
    <w:p w14:paraId="3A473D6F" w14:textId="77777777" w:rsidR="00016FE1" w:rsidRPr="00734FDE" w:rsidRDefault="00016FE1" w:rsidP="00865062">
      <w:pPr>
        <w:numPr>
          <w:ilvl w:val="0"/>
          <w:numId w:val="161"/>
        </w:numPr>
        <w:spacing w:after="80"/>
        <w:ind w:left="851" w:right="283" w:hanging="567"/>
        <w:jc w:val="both"/>
        <w:rPr>
          <w:rFonts w:ascii="Gotham" w:hAnsi="Gotham" w:cs="Arial"/>
          <w:b/>
          <w:bCs/>
          <w:i/>
          <w:sz w:val="20"/>
          <w:szCs w:val="20"/>
          <w:lang w:eastAsia="es-MX"/>
        </w:rPr>
      </w:pPr>
      <w:r w:rsidRPr="00734FDE">
        <w:rPr>
          <w:rFonts w:ascii="Gotham" w:hAnsi="Gotham" w:cs="Arial"/>
          <w:b/>
          <w:bCs/>
          <w:i/>
          <w:sz w:val="20"/>
          <w:szCs w:val="20"/>
          <w:lang w:eastAsia="es-MX"/>
        </w:rPr>
        <w:t>La Dirección General de Servicios Públicos Médicos;</w:t>
      </w:r>
    </w:p>
    <w:p w14:paraId="3A473D70" w14:textId="77777777" w:rsidR="00016FE1" w:rsidRPr="00734FDE" w:rsidRDefault="00016FE1" w:rsidP="00865062">
      <w:pPr>
        <w:numPr>
          <w:ilvl w:val="0"/>
          <w:numId w:val="161"/>
        </w:numPr>
        <w:spacing w:after="80"/>
        <w:ind w:left="851" w:right="283" w:hanging="567"/>
        <w:jc w:val="both"/>
        <w:rPr>
          <w:rFonts w:ascii="Gotham" w:hAnsi="Gotham" w:cs="Arial"/>
          <w:b/>
          <w:bCs/>
          <w:i/>
          <w:sz w:val="20"/>
          <w:szCs w:val="20"/>
          <w:lang w:eastAsia="es-MX"/>
        </w:rPr>
      </w:pPr>
      <w:r w:rsidRPr="00734FDE">
        <w:rPr>
          <w:rFonts w:ascii="Gotham" w:hAnsi="Gotham" w:cs="Arial"/>
          <w:b/>
          <w:bCs/>
          <w:i/>
          <w:sz w:val="20"/>
          <w:szCs w:val="20"/>
          <w:lang w:eastAsia="es-MX"/>
        </w:rPr>
        <w:t>La Dirección de Bienestar Social;</w:t>
      </w:r>
    </w:p>
    <w:p w14:paraId="3A473D71" w14:textId="77777777" w:rsidR="00016FE1" w:rsidRPr="00734FDE" w:rsidRDefault="00016FE1" w:rsidP="00865062">
      <w:pPr>
        <w:numPr>
          <w:ilvl w:val="0"/>
          <w:numId w:val="161"/>
        </w:numPr>
        <w:spacing w:after="80"/>
        <w:ind w:left="851" w:right="283" w:hanging="567"/>
        <w:jc w:val="both"/>
        <w:rPr>
          <w:rFonts w:ascii="Gotham" w:hAnsi="Gotham" w:cs="Arial"/>
          <w:b/>
          <w:bCs/>
          <w:i/>
          <w:sz w:val="20"/>
          <w:szCs w:val="20"/>
          <w:lang w:eastAsia="es-MX"/>
        </w:rPr>
      </w:pPr>
      <w:r w:rsidRPr="00734FDE">
        <w:rPr>
          <w:rFonts w:ascii="Gotham" w:hAnsi="Gotham" w:cs="Arial"/>
          <w:b/>
          <w:bCs/>
          <w:i/>
          <w:sz w:val="20"/>
          <w:szCs w:val="20"/>
          <w:lang w:eastAsia="es-MX"/>
        </w:rPr>
        <w:t>La Dirección General de Atracción de la Inversión;</w:t>
      </w:r>
    </w:p>
    <w:p w14:paraId="3A473D72" w14:textId="77777777" w:rsidR="00016FE1" w:rsidRPr="00734FDE" w:rsidRDefault="00016FE1" w:rsidP="00865062">
      <w:pPr>
        <w:numPr>
          <w:ilvl w:val="0"/>
          <w:numId w:val="161"/>
        </w:numPr>
        <w:spacing w:after="80"/>
        <w:ind w:left="851" w:right="283" w:hanging="567"/>
        <w:jc w:val="both"/>
        <w:rPr>
          <w:rFonts w:ascii="Gotham" w:hAnsi="Gotham" w:cs="Arial"/>
          <w:b/>
          <w:bCs/>
          <w:i/>
          <w:sz w:val="20"/>
          <w:szCs w:val="20"/>
          <w:lang w:eastAsia="es-MX"/>
        </w:rPr>
      </w:pPr>
      <w:r w:rsidRPr="00734FDE">
        <w:rPr>
          <w:rFonts w:ascii="Gotham" w:hAnsi="Gotham" w:cs="Arial"/>
          <w:b/>
          <w:bCs/>
          <w:i/>
          <w:sz w:val="20"/>
          <w:szCs w:val="20"/>
          <w:lang w:eastAsia="es-MX"/>
        </w:rPr>
        <w:t>La Dirección General de Administración y Desarrollo Humano;</w:t>
      </w:r>
    </w:p>
    <w:p w14:paraId="3A473D73" w14:textId="77777777" w:rsidR="00016FE1" w:rsidRPr="00734FDE" w:rsidRDefault="00016FE1" w:rsidP="00865062">
      <w:pPr>
        <w:numPr>
          <w:ilvl w:val="0"/>
          <w:numId w:val="161"/>
        </w:numPr>
        <w:tabs>
          <w:tab w:val="left" w:pos="851"/>
        </w:tabs>
        <w:spacing w:after="80"/>
        <w:ind w:left="851" w:right="283" w:hanging="567"/>
        <w:jc w:val="both"/>
        <w:rPr>
          <w:rFonts w:ascii="Gotham" w:hAnsi="Gotham" w:cs="Arial"/>
          <w:i/>
          <w:sz w:val="20"/>
          <w:szCs w:val="20"/>
          <w:lang w:eastAsia="es-MX"/>
        </w:rPr>
      </w:pPr>
      <w:r w:rsidRPr="00734FDE">
        <w:rPr>
          <w:rFonts w:ascii="Gotham" w:hAnsi="Gotham" w:cs="Arial"/>
          <w:i/>
          <w:sz w:val="20"/>
          <w:szCs w:val="20"/>
          <w:lang w:eastAsia="es-MX"/>
        </w:rPr>
        <w:t>Las Direcciones Generales;</w:t>
      </w:r>
    </w:p>
    <w:p w14:paraId="3A473D74" w14:textId="77777777" w:rsidR="00016FE1" w:rsidRPr="00734FDE" w:rsidRDefault="00016FE1" w:rsidP="00865062">
      <w:pPr>
        <w:numPr>
          <w:ilvl w:val="0"/>
          <w:numId w:val="161"/>
        </w:numPr>
        <w:tabs>
          <w:tab w:val="left" w:pos="851"/>
        </w:tabs>
        <w:spacing w:after="80"/>
        <w:ind w:left="851" w:right="283" w:hanging="567"/>
        <w:jc w:val="both"/>
        <w:rPr>
          <w:rFonts w:ascii="Gotham" w:hAnsi="Gotham" w:cs="Arial"/>
          <w:b/>
          <w:bCs/>
          <w:i/>
          <w:sz w:val="20"/>
          <w:szCs w:val="20"/>
          <w:lang w:eastAsia="es-MX"/>
        </w:rPr>
      </w:pPr>
      <w:r w:rsidRPr="00734FDE">
        <w:rPr>
          <w:rFonts w:ascii="Gotham" w:hAnsi="Gotham" w:cs="Arial"/>
          <w:b/>
          <w:bCs/>
          <w:i/>
          <w:sz w:val="20"/>
          <w:szCs w:val="20"/>
          <w:lang w:eastAsia="es-MX"/>
        </w:rPr>
        <w:t>Dirección de Delegaciones y Agencias; y</w:t>
      </w:r>
    </w:p>
    <w:p w14:paraId="3A473D75" w14:textId="77777777" w:rsidR="00016FE1" w:rsidRPr="00734FDE" w:rsidRDefault="00016FE1" w:rsidP="002B6227">
      <w:pPr>
        <w:ind w:left="851" w:right="283" w:hanging="567"/>
        <w:jc w:val="both"/>
        <w:rPr>
          <w:rFonts w:ascii="Gotham" w:eastAsia="Calibri" w:hAnsi="Gotham" w:cs="Arial"/>
          <w:i/>
          <w:sz w:val="20"/>
          <w:szCs w:val="20"/>
          <w:highlight w:val="yellow"/>
          <w:lang w:eastAsia="en-US"/>
        </w:rPr>
      </w:pPr>
      <w:r w:rsidRPr="00734FDE">
        <w:rPr>
          <w:rFonts w:ascii="Gotham" w:hAnsi="Gotham" w:cs="Arial"/>
          <w:i/>
          <w:sz w:val="20"/>
          <w:szCs w:val="20"/>
          <w:lang w:eastAsia="es-MX"/>
        </w:rPr>
        <w:t xml:space="preserve">XV. </w:t>
      </w:r>
      <w:r>
        <w:rPr>
          <w:rFonts w:ascii="Gotham" w:hAnsi="Gotham" w:cs="Arial"/>
          <w:i/>
          <w:sz w:val="20"/>
          <w:szCs w:val="20"/>
          <w:lang w:eastAsia="es-MX"/>
        </w:rPr>
        <w:tab/>
      </w:r>
      <w:r w:rsidRPr="00734FDE">
        <w:rPr>
          <w:rFonts w:ascii="Gotham" w:hAnsi="Gotham" w:cs="Arial"/>
          <w:i/>
          <w:sz w:val="20"/>
          <w:szCs w:val="20"/>
          <w:lang w:eastAsia="es-MX"/>
        </w:rPr>
        <w:t>Las Jefaturas de Enlace Administrativo</w:t>
      </w:r>
    </w:p>
    <w:p w14:paraId="3A473D76" w14:textId="77777777" w:rsidR="00016FE1" w:rsidRPr="00734FDE" w:rsidRDefault="00016FE1" w:rsidP="002B6227">
      <w:pPr>
        <w:ind w:left="284" w:right="283"/>
        <w:jc w:val="both"/>
        <w:rPr>
          <w:rFonts w:ascii="Gotham" w:eastAsia="SimSun" w:hAnsi="Gotham" w:cs="Arial"/>
          <w:i/>
          <w:caps/>
          <w:kern w:val="3"/>
          <w:sz w:val="20"/>
          <w:szCs w:val="20"/>
          <w:highlight w:val="yellow"/>
          <w:lang w:eastAsia="zh-CN" w:bidi="hi-IN"/>
        </w:rPr>
      </w:pPr>
    </w:p>
    <w:p w14:paraId="3A473D77" w14:textId="77777777" w:rsidR="00016FE1" w:rsidRPr="00734FDE" w:rsidRDefault="00016FE1" w:rsidP="002B6227">
      <w:pPr>
        <w:ind w:left="284" w:right="283"/>
        <w:jc w:val="both"/>
        <w:rPr>
          <w:rFonts w:ascii="Gotham" w:eastAsia="SimSun" w:hAnsi="Gotham" w:cs="Arial"/>
          <w:i/>
          <w:caps/>
          <w:kern w:val="3"/>
          <w:sz w:val="20"/>
          <w:szCs w:val="20"/>
          <w:highlight w:val="yellow"/>
          <w:lang w:eastAsia="zh-CN" w:bidi="hi-IN"/>
        </w:rPr>
      </w:pPr>
    </w:p>
    <w:p w14:paraId="3A473D78" w14:textId="77777777" w:rsidR="00016FE1" w:rsidRPr="00734FDE" w:rsidRDefault="00016FE1" w:rsidP="002B6227">
      <w:pPr>
        <w:ind w:left="284" w:right="283"/>
        <w:jc w:val="center"/>
        <w:rPr>
          <w:rFonts w:ascii="Gotham" w:eastAsia="Arial" w:hAnsi="Gotham" w:cs="Arial"/>
          <w:b/>
          <w:i/>
          <w:sz w:val="20"/>
          <w:szCs w:val="20"/>
          <w:lang w:val="es-MX" w:eastAsia="en-US"/>
        </w:rPr>
      </w:pPr>
      <w:r w:rsidRPr="00734FDE">
        <w:rPr>
          <w:rFonts w:ascii="Gotham" w:eastAsia="Arial" w:hAnsi="Gotham" w:cs="Arial"/>
          <w:b/>
          <w:i/>
          <w:sz w:val="20"/>
          <w:szCs w:val="20"/>
        </w:rPr>
        <w:t>TRANSITORIOS</w:t>
      </w:r>
    </w:p>
    <w:p w14:paraId="3A473D79" w14:textId="77777777" w:rsidR="00016FE1" w:rsidRPr="00734FDE" w:rsidRDefault="00016FE1" w:rsidP="002B6227">
      <w:pPr>
        <w:ind w:left="284" w:right="283"/>
        <w:jc w:val="both"/>
        <w:rPr>
          <w:rFonts w:ascii="Gotham" w:eastAsia="Arial" w:hAnsi="Gotham" w:cs="Arial"/>
          <w:i/>
          <w:color w:val="000000"/>
          <w:sz w:val="20"/>
          <w:szCs w:val="20"/>
          <w:highlight w:val="yellow"/>
          <w:lang w:eastAsia="es-MX"/>
        </w:rPr>
      </w:pPr>
    </w:p>
    <w:p w14:paraId="3A473D7A" w14:textId="77777777" w:rsidR="00016FE1" w:rsidRPr="00734FDE" w:rsidRDefault="00016FE1" w:rsidP="002B6227">
      <w:pPr>
        <w:ind w:left="284" w:right="283"/>
        <w:jc w:val="both"/>
        <w:rPr>
          <w:rFonts w:ascii="Gotham" w:eastAsia="Arial" w:hAnsi="Gotham" w:cs="Arial"/>
          <w:b/>
          <w:i/>
          <w:color w:val="000000"/>
          <w:sz w:val="20"/>
          <w:szCs w:val="20"/>
          <w:lang w:eastAsia="es-MX"/>
        </w:rPr>
      </w:pPr>
      <w:r w:rsidRPr="00734FDE">
        <w:rPr>
          <w:rFonts w:ascii="Gotham" w:eastAsia="Arial" w:hAnsi="Gotham" w:cs="Arial"/>
          <w:b/>
          <w:i/>
          <w:color w:val="000000"/>
          <w:sz w:val="20"/>
          <w:szCs w:val="20"/>
          <w:lang w:eastAsia="es-MX"/>
        </w:rPr>
        <w:t>PRIMERO.- El presente Acuerdo entrará en vigor treinta días naturales después de su publicación en la Gaceta “T</w:t>
      </w:r>
      <w:r>
        <w:rPr>
          <w:rFonts w:ascii="Gotham" w:eastAsia="Arial" w:hAnsi="Gotham" w:cs="Arial"/>
          <w:b/>
          <w:i/>
          <w:color w:val="000000"/>
          <w:sz w:val="20"/>
          <w:szCs w:val="20"/>
          <w:lang w:eastAsia="es-MX"/>
        </w:rPr>
        <w:t>latholli</w:t>
      </w:r>
      <w:r w:rsidRPr="00734FDE">
        <w:rPr>
          <w:rFonts w:ascii="Gotham" w:eastAsia="Arial" w:hAnsi="Gotham" w:cs="Arial"/>
          <w:b/>
          <w:i/>
          <w:color w:val="000000"/>
          <w:sz w:val="20"/>
          <w:szCs w:val="20"/>
          <w:lang w:eastAsia="es-MX"/>
        </w:rPr>
        <w:t>” del Municipio de Tonalá, Jalisco.</w:t>
      </w:r>
    </w:p>
    <w:p w14:paraId="3A473D7B" w14:textId="77777777" w:rsidR="00016FE1" w:rsidRPr="00734FDE" w:rsidRDefault="00016FE1" w:rsidP="002B6227">
      <w:pPr>
        <w:ind w:left="284" w:right="283"/>
        <w:jc w:val="both"/>
        <w:rPr>
          <w:rFonts w:ascii="Gotham" w:eastAsia="Arial" w:hAnsi="Gotham" w:cs="Arial"/>
          <w:b/>
          <w:i/>
          <w:color w:val="000000"/>
          <w:sz w:val="20"/>
          <w:szCs w:val="20"/>
          <w:lang w:eastAsia="es-MX"/>
        </w:rPr>
      </w:pPr>
    </w:p>
    <w:p w14:paraId="3A473D7C" w14:textId="77777777" w:rsidR="00016FE1" w:rsidRPr="00734FDE" w:rsidRDefault="00016FE1" w:rsidP="002B6227">
      <w:pPr>
        <w:ind w:left="284" w:right="283"/>
        <w:jc w:val="both"/>
        <w:rPr>
          <w:rFonts w:ascii="Gotham" w:eastAsia="Arial" w:hAnsi="Gotham" w:cs="Arial"/>
          <w:b/>
          <w:i/>
          <w:color w:val="000000"/>
          <w:sz w:val="20"/>
          <w:szCs w:val="20"/>
          <w:lang w:eastAsia="es-MX"/>
        </w:rPr>
      </w:pPr>
      <w:r w:rsidRPr="00734FDE">
        <w:rPr>
          <w:rFonts w:ascii="Gotham" w:eastAsia="Arial" w:hAnsi="Gotham" w:cs="Arial"/>
          <w:b/>
          <w:i/>
          <w:color w:val="000000"/>
          <w:sz w:val="20"/>
          <w:szCs w:val="20"/>
          <w:lang w:eastAsia="es-MX"/>
        </w:rPr>
        <w:t>SEGUNDO.- Una vez publicado este ordenamiento, remítase mediante oficio un tanto de este al Congreso del Estado de Jalisco, para el cumplimiento de los efectos ordenados en el artículo 42 fracción VII de la Ley del Gobierno y la Administración Pública Municipal del Estado de Jalisco.</w:t>
      </w:r>
    </w:p>
    <w:p w14:paraId="3A473D7D" w14:textId="77777777" w:rsidR="00016FE1" w:rsidRPr="00734FDE" w:rsidRDefault="00016FE1" w:rsidP="002B6227">
      <w:pPr>
        <w:ind w:left="284" w:right="283"/>
        <w:jc w:val="both"/>
        <w:rPr>
          <w:rFonts w:ascii="Gotham" w:eastAsia="Arial" w:hAnsi="Gotham" w:cs="Arial"/>
          <w:b/>
          <w:i/>
          <w:color w:val="000000"/>
          <w:sz w:val="20"/>
          <w:szCs w:val="20"/>
          <w:lang w:eastAsia="es-MX"/>
        </w:rPr>
      </w:pPr>
    </w:p>
    <w:p w14:paraId="3A473D7E" w14:textId="77777777" w:rsidR="00016FE1" w:rsidRPr="00734FDE" w:rsidRDefault="00016FE1" w:rsidP="002B6227">
      <w:pPr>
        <w:ind w:left="284" w:right="283"/>
        <w:jc w:val="both"/>
        <w:rPr>
          <w:rFonts w:ascii="Gotham" w:eastAsia="SimSun" w:hAnsi="Gotham" w:cs="Arial"/>
          <w:i/>
          <w:caps/>
          <w:kern w:val="3"/>
          <w:sz w:val="20"/>
          <w:szCs w:val="20"/>
          <w:highlight w:val="yellow"/>
          <w:lang w:eastAsia="zh-CN" w:bidi="hi-IN"/>
        </w:rPr>
      </w:pPr>
      <w:r w:rsidRPr="00734FDE">
        <w:rPr>
          <w:rFonts w:ascii="Gotham" w:eastAsia="Arial" w:hAnsi="Gotham" w:cs="Arial"/>
          <w:b/>
          <w:i/>
          <w:color w:val="000000"/>
          <w:sz w:val="20"/>
          <w:szCs w:val="20"/>
          <w:lang w:eastAsia="es-MX"/>
        </w:rPr>
        <w:t>TERCERO. Se faculta al Presidente Municipal a la Secretaria General y al Síndico de. Ayuntamiento Constitucional de Tonalá, Jalisco a efecto de suscribir la documentación necesaria para la publicación del presente.</w:t>
      </w:r>
    </w:p>
    <w:p w14:paraId="3A473D7F" w14:textId="77777777" w:rsidR="00016FE1" w:rsidRDefault="00016FE1" w:rsidP="002B6227">
      <w:pPr>
        <w:jc w:val="both"/>
        <w:rPr>
          <w:rFonts w:ascii="Gotham" w:hAnsi="Gotham"/>
          <w:sz w:val="20"/>
          <w:szCs w:val="20"/>
        </w:rPr>
      </w:pPr>
    </w:p>
    <w:p w14:paraId="3A473D80"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3D81" w14:textId="77777777" w:rsidR="00016FE1" w:rsidRPr="00CD0531" w:rsidRDefault="00016FE1" w:rsidP="002B6227">
      <w:pPr>
        <w:jc w:val="both"/>
        <w:rPr>
          <w:rFonts w:ascii="Gotham" w:hAnsi="Gotham" w:cs="Arial"/>
          <w:sz w:val="20"/>
          <w:szCs w:val="20"/>
        </w:rPr>
      </w:pPr>
    </w:p>
    <w:p w14:paraId="3A473D82"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3D83" w14:textId="77777777" w:rsidR="00016FE1" w:rsidRPr="00CD0531" w:rsidRDefault="00016FE1" w:rsidP="002B6227">
      <w:pPr>
        <w:jc w:val="both"/>
        <w:rPr>
          <w:rFonts w:ascii="Gotham" w:hAnsi="Gotham" w:cs="Arial"/>
          <w:sz w:val="20"/>
          <w:szCs w:val="20"/>
        </w:rPr>
      </w:pPr>
    </w:p>
    <w:p w14:paraId="3A473D84"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lastRenderedPageBreak/>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3D85" w14:textId="77777777" w:rsidR="00016FE1" w:rsidRPr="00CD0531" w:rsidRDefault="00016FE1" w:rsidP="002B6227">
      <w:pPr>
        <w:jc w:val="both"/>
        <w:rPr>
          <w:rFonts w:ascii="Gotham" w:hAnsi="Gotham" w:cs="Arial"/>
          <w:sz w:val="20"/>
          <w:szCs w:val="20"/>
        </w:rPr>
      </w:pPr>
    </w:p>
    <w:p w14:paraId="3A473D86"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3D87" w14:textId="77777777" w:rsidR="00016FE1" w:rsidRPr="00CD0531" w:rsidRDefault="00016FE1" w:rsidP="002B6227">
      <w:pPr>
        <w:jc w:val="both"/>
        <w:rPr>
          <w:rFonts w:ascii="Gotham" w:hAnsi="Gotham" w:cs="Arial"/>
          <w:sz w:val="20"/>
          <w:szCs w:val="20"/>
        </w:rPr>
      </w:pPr>
    </w:p>
    <w:p w14:paraId="3A473D88"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3D89" w14:textId="77777777" w:rsidR="00016FE1" w:rsidRDefault="00016FE1" w:rsidP="002B6227">
      <w:pPr>
        <w:jc w:val="both"/>
        <w:rPr>
          <w:rFonts w:ascii="Gotham" w:hAnsi="Gotham"/>
          <w:sz w:val="20"/>
          <w:szCs w:val="20"/>
        </w:rPr>
      </w:pPr>
    </w:p>
    <w:p w14:paraId="3A473D8A" w14:textId="77777777" w:rsidR="00016FE1" w:rsidRDefault="00016FE1" w:rsidP="002B6227">
      <w:pPr>
        <w:jc w:val="both"/>
        <w:rPr>
          <w:rFonts w:ascii="Gotham" w:hAnsi="Gotham"/>
          <w:sz w:val="20"/>
          <w:szCs w:val="20"/>
        </w:rPr>
      </w:pPr>
    </w:p>
    <w:p w14:paraId="3A473D8B" w14:textId="77777777" w:rsidR="00016FE1" w:rsidRDefault="00016FE1" w:rsidP="002B6227">
      <w:pPr>
        <w:pStyle w:val="western"/>
        <w:spacing w:before="0" w:beforeAutospacing="0"/>
        <w:jc w:val="right"/>
        <w:rPr>
          <w:rFonts w:ascii="Gotham" w:hAnsi="Gotham"/>
          <w:b/>
          <w:sz w:val="22"/>
          <w:szCs w:val="22"/>
          <w:u w:val="single"/>
        </w:rPr>
      </w:pPr>
      <w:r w:rsidRPr="00AB3373">
        <w:rPr>
          <w:rFonts w:ascii="Gotham" w:hAnsi="Gotham"/>
          <w:b/>
          <w:sz w:val="22"/>
          <w:szCs w:val="22"/>
          <w:u w:val="single"/>
        </w:rPr>
        <w:t xml:space="preserve">ACUERDO NO. </w:t>
      </w:r>
      <w:r>
        <w:rPr>
          <w:rFonts w:ascii="Gotham" w:hAnsi="Gotham"/>
          <w:b/>
          <w:sz w:val="22"/>
          <w:szCs w:val="22"/>
          <w:u w:val="single"/>
        </w:rPr>
        <w:t>1132</w:t>
      </w:r>
    </w:p>
    <w:p w14:paraId="3A473D8C" w14:textId="77777777" w:rsidR="00016FE1" w:rsidRDefault="00016FE1" w:rsidP="002B6227">
      <w:pPr>
        <w:jc w:val="both"/>
        <w:rPr>
          <w:rFonts w:ascii="Gotham" w:hAnsi="Gotham"/>
          <w:sz w:val="20"/>
          <w:szCs w:val="20"/>
        </w:rPr>
      </w:pPr>
      <w:r w:rsidRPr="00C05CF9">
        <w:rPr>
          <w:rFonts w:ascii="Gotham" w:hAnsi="Gotham"/>
          <w:b/>
          <w:bCs/>
          <w:smallCaps/>
          <w:sz w:val="20"/>
          <w:szCs w:val="20"/>
        </w:rPr>
        <w:t>Quinto Dictamen de Comisión</w:t>
      </w:r>
      <w:r w:rsidRPr="00C05CF9">
        <w:rPr>
          <w:rFonts w:ascii="Gotham" w:hAnsi="Gotham"/>
          <w:b/>
          <w:bCs/>
          <w:sz w:val="20"/>
          <w:szCs w:val="20"/>
        </w:rPr>
        <w:t xml:space="preserve">.- </w:t>
      </w:r>
      <w:r w:rsidRPr="00C05CF9">
        <w:rPr>
          <w:rFonts w:ascii="Gotham" w:hAnsi="Gotham"/>
          <w:sz w:val="20"/>
          <w:szCs w:val="20"/>
        </w:rPr>
        <w:t>En uso de la voz el Presidente Municipal, Sergio Armando Chávez Dávalos, expresa que, se da cuenta del dictamen que presenta la</w:t>
      </w:r>
      <w:r>
        <w:rPr>
          <w:rFonts w:ascii="Gotham" w:hAnsi="Gotham"/>
          <w:sz w:val="20"/>
          <w:szCs w:val="20"/>
        </w:rPr>
        <w:t xml:space="preserve"> Comisión Edilicia</w:t>
      </w:r>
      <w:r w:rsidRPr="00C05CF9">
        <w:rPr>
          <w:rFonts w:ascii="Gotham" w:hAnsi="Gotham"/>
          <w:sz w:val="20"/>
          <w:szCs w:val="20"/>
        </w:rPr>
        <w:t xml:space="preserve"> de Reglamentos, Puntos Constitucionales, Administración y Planeación Legislativa.</w:t>
      </w:r>
    </w:p>
    <w:p w14:paraId="3A473D8D" w14:textId="77777777" w:rsidR="00016FE1" w:rsidRDefault="00016FE1" w:rsidP="002B6227">
      <w:pPr>
        <w:jc w:val="both"/>
        <w:rPr>
          <w:rFonts w:ascii="Gotham" w:hAnsi="Gotham"/>
          <w:sz w:val="20"/>
          <w:szCs w:val="20"/>
        </w:rPr>
      </w:pPr>
    </w:p>
    <w:p w14:paraId="3A473D8E" w14:textId="77777777" w:rsidR="00016FE1" w:rsidRPr="00BD3343" w:rsidRDefault="00016FE1" w:rsidP="002B6227">
      <w:pPr>
        <w:jc w:val="both"/>
        <w:rPr>
          <w:rFonts w:ascii="Gotham" w:hAnsi="Gotham"/>
          <w:sz w:val="20"/>
          <w:szCs w:val="20"/>
        </w:rPr>
      </w:pPr>
      <w:r w:rsidRPr="0023561F">
        <w:rPr>
          <w:rFonts w:ascii="Gotham" w:hAnsi="Gotham"/>
          <w:sz w:val="20"/>
          <w:szCs w:val="20"/>
        </w:rPr>
        <w:t>A la Comisión Edilicias</w:t>
      </w:r>
      <w:r w:rsidRPr="00BD3343">
        <w:rPr>
          <w:rFonts w:ascii="Gotham" w:hAnsi="Gotham"/>
          <w:sz w:val="20"/>
          <w:szCs w:val="20"/>
        </w:rPr>
        <w:t xml:space="preserve"> de Reglamentos, Puntos Constitucionales, Administración y Planeación Legislativa, se le fue turnada la iniciativa de Ordenamiento Municipal mediante el acuerdo de Ayuntamiento número 1055 presentada por el Síndico Margarito Mayorga Basulto que tiene por objeto la implementación de talleres del programa denominado “Escuela para Padres” perteneciente al Sistema DIF Tonalá en las colonias de Tonalá, enfocado en dotar de herramientas a las madres y padres con el propósito de ejercer una crianza positiva hacia sus hijos, presentado en la Sesión ordinaria de fecha 04 de marzo del año 2024; para lo cual con fundamento en lo previsto por los artículos 2, 3 ,37 ,41 fracción II y 50 fracción I y II y demás relativos de la Ley del Gobierno y la Administración Pública Municipal del Estado de Jalisco; así como los artículos 6, 15, 38, 39, 53 fracción II, 57 fracción VIII,</w:t>
      </w:r>
      <w:r w:rsidR="009F075D">
        <w:rPr>
          <w:rFonts w:ascii="Gotham" w:hAnsi="Gotham"/>
          <w:sz w:val="20"/>
          <w:szCs w:val="20"/>
        </w:rPr>
        <w:t xml:space="preserve"> </w:t>
      </w:r>
      <w:r w:rsidRPr="00BD3343">
        <w:rPr>
          <w:rFonts w:ascii="Gotham" w:hAnsi="Gotham"/>
          <w:sz w:val="20"/>
          <w:szCs w:val="20"/>
        </w:rPr>
        <w:t>92, 93 fracción I, 98 fracción II y II, 100 y 117 del Reglamento del Gobierno y la Administración Pública del Ayuntamiento Constitucional de Tonalá, Jalisco; así como los artículos 25, 26, 28, 42, 43, 70, 87, 88 y demás aplicables del Reglamento Para el Funcionamiento Interno de Sesiones del Ayuntamiento Constitucional de Tonalá, Jalisco se expresan los siguientes:</w:t>
      </w:r>
    </w:p>
    <w:p w14:paraId="3A473D8F" w14:textId="77777777" w:rsidR="00016FE1" w:rsidRPr="00BD3343" w:rsidRDefault="00016FE1" w:rsidP="002B6227">
      <w:pPr>
        <w:jc w:val="both"/>
        <w:rPr>
          <w:rFonts w:ascii="Gotham" w:hAnsi="Gotham"/>
          <w:sz w:val="20"/>
          <w:szCs w:val="20"/>
        </w:rPr>
      </w:pPr>
    </w:p>
    <w:p w14:paraId="3A473D90" w14:textId="77777777" w:rsidR="00016FE1" w:rsidRPr="00BD3343" w:rsidRDefault="00016FE1" w:rsidP="002B6227">
      <w:pPr>
        <w:jc w:val="center"/>
        <w:rPr>
          <w:rFonts w:ascii="Gotham" w:hAnsi="Gotham"/>
          <w:sz w:val="20"/>
          <w:szCs w:val="20"/>
        </w:rPr>
      </w:pPr>
      <w:r>
        <w:rPr>
          <w:rFonts w:ascii="Gotham" w:hAnsi="Gotham"/>
          <w:sz w:val="20"/>
          <w:szCs w:val="20"/>
        </w:rPr>
        <w:t>A N T E C E D E N T E S</w:t>
      </w:r>
    </w:p>
    <w:p w14:paraId="3A473D91" w14:textId="77777777" w:rsidR="00016FE1" w:rsidRPr="00BD3343" w:rsidRDefault="00016FE1" w:rsidP="002B6227">
      <w:pPr>
        <w:jc w:val="both"/>
        <w:rPr>
          <w:rFonts w:ascii="Gotham" w:hAnsi="Gotham"/>
          <w:sz w:val="20"/>
          <w:szCs w:val="20"/>
        </w:rPr>
      </w:pPr>
    </w:p>
    <w:p w14:paraId="3A473D92" w14:textId="77777777" w:rsidR="00016FE1" w:rsidRPr="00BD3343" w:rsidRDefault="00016FE1" w:rsidP="002B6227">
      <w:pPr>
        <w:ind w:left="567" w:hanging="567"/>
        <w:jc w:val="both"/>
        <w:rPr>
          <w:rFonts w:ascii="Gotham" w:hAnsi="Gotham"/>
          <w:sz w:val="20"/>
          <w:szCs w:val="20"/>
        </w:rPr>
      </w:pPr>
      <w:r w:rsidRPr="00BD3343">
        <w:rPr>
          <w:rFonts w:ascii="Gotham" w:hAnsi="Gotham"/>
          <w:sz w:val="20"/>
          <w:szCs w:val="20"/>
        </w:rPr>
        <w:t xml:space="preserve">I. </w:t>
      </w:r>
      <w:r>
        <w:rPr>
          <w:rFonts w:ascii="Gotham" w:hAnsi="Gotham"/>
          <w:sz w:val="20"/>
          <w:szCs w:val="20"/>
        </w:rPr>
        <w:tab/>
      </w:r>
      <w:r w:rsidRPr="00BD3343">
        <w:rPr>
          <w:rFonts w:ascii="Gotham" w:hAnsi="Gotham"/>
          <w:sz w:val="20"/>
          <w:szCs w:val="20"/>
        </w:rPr>
        <w:t>Mediante Acuerdo número 1055 derivado de la Sesión Ordinaria de este Ayuntamiento de fecha 04 de marzo del año de 2024, se aprobó turnar a la Comisión la iniciativa presentada por el Síndico Margarito Mayorga Basulto la cual, entre sus puntos principales, hace referencia a lo siguiente:</w:t>
      </w:r>
    </w:p>
    <w:p w14:paraId="3A473D93" w14:textId="77777777" w:rsidR="00016FE1" w:rsidRPr="00BD3343" w:rsidRDefault="00016FE1" w:rsidP="002B6227">
      <w:pPr>
        <w:jc w:val="both"/>
        <w:rPr>
          <w:rFonts w:ascii="Gotham" w:hAnsi="Gotham"/>
          <w:sz w:val="20"/>
          <w:szCs w:val="20"/>
        </w:rPr>
      </w:pPr>
    </w:p>
    <w:p w14:paraId="3A473D94" w14:textId="77777777" w:rsidR="00016FE1" w:rsidRPr="00120230" w:rsidRDefault="00016FE1" w:rsidP="002B6227">
      <w:pPr>
        <w:pStyle w:val="western"/>
        <w:spacing w:before="0" w:beforeAutospacing="0"/>
        <w:ind w:left="851" w:right="283"/>
        <w:jc w:val="right"/>
        <w:rPr>
          <w:rFonts w:ascii="Gotham" w:hAnsi="Gotham" w:cstheme="minorHAnsi"/>
          <w:b/>
          <w:i/>
          <w:sz w:val="19"/>
          <w:szCs w:val="19"/>
          <w:u w:val="single"/>
        </w:rPr>
      </w:pPr>
      <w:r w:rsidRPr="00120230">
        <w:rPr>
          <w:rFonts w:ascii="Gotham" w:hAnsi="Gotham" w:cstheme="minorHAnsi"/>
          <w:b/>
          <w:i/>
          <w:sz w:val="19"/>
          <w:szCs w:val="19"/>
          <w:u w:val="single"/>
        </w:rPr>
        <w:t>ACUERDO NO. 1055</w:t>
      </w:r>
    </w:p>
    <w:p w14:paraId="3A473D95"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b/>
          <w:i/>
          <w:smallCaps/>
          <w:sz w:val="19"/>
          <w:szCs w:val="19"/>
        </w:rPr>
        <w:t>Segundo Asunto Vario</w:t>
      </w:r>
      <w:r w:rsidRPr="00120230">
        <w:rPr>
          <w:rFonts w:ascii="Gotham" w:hAnsi="Gotham" w:cstheme="minorHAnsi"/>
          <w:i/>
          <w:sz w:val="19"/>
          <w:szCs w:val="19"/>
        </w:rPr>
        <w:t>. - En uso de la voz el Síndico, Margarito Mayorga Basulto, menciona que, el que suscribe Margarito Mayorga Basulto, en mi carácter de Síndico del Ayuntamiento Constitucional de Tonalá, Jalisco, con fundamento en lo dispuesto por el artículo 115, fracciones I y II, de la Constitución Política de los Estados Unidos Mexicanos; artículos 73 fracciones I, II, 77 fracción II de la Constitución Política del Estado de Jalisco; artículos 2, y 3 de la Ley del Gobierno y la Administración Pública Municipal del Estado de Jalisco; artículo 56, fracción III, del Reglamento del Gobierno y la Administración Pública del Ayuntamiento Constitucional de Tonalá, Jalisco; artículo 82, fracción III, del Reglamento para el Funcionamiento Interno de Sesiones del Ayuntamiento Constitucional de Tonalá, Jalisco; someto a la elevada y distinguida consideración de este H. Cuerpo Edilicio, el presente:</w:t>
      </w:r>
    </w:p>
    <w:p w14:paraId="3A473D96" w14:textId="77777777" w:rsidR="00016FE1" w:rsidRDefault="00016FE1" w:rsidP="002B6227">
      <w:pPr>
        <w:ind w:left="851" w:right="283"/>
        <w:jc w:val="center"/>
        <w:rPr>
          <w:rFonts w:ascii="Gotham" w:hAnsi="Gotham" w:cstheme="minorHAnsi"/>
          <w:bCs/>
          <w:i/>
          <w:sz w:val="19"/>
          <w:szCs w:val="19"/>
        </w:rPr>
      </w:pPr>
    </w:p>
    <w:p w14:paraId="3A473D97" w14:textId="77777777" w:rsidR="00016FE1" w:rsidRPr="00120230" w:rsidRDefault="00016FE1" w:rsidP="002B6227">
      <w:pPr>
        <w:ind w:left="851" w:right="283"/>
        <w:jc w:val="center"/>
        <w:rPr>
          <w:rFonts w:ascii="Gotham" w:hAnsi="Gotham" w:cstheme="minorHAnsi"/>
          <w:bCs/>
          <w:i/>
          <w:sz w:val="19"/>
          <w:szCs w:val="19"/>
        </w:rPr>
      </w:pPr>
      <w:r w:rsidRPr="00120230">
        <w:rPr>
          <w:rFonts w:ascii="Gotham" w:hAnsi="Gotham" w:cstheme="minorHAnsi"/>
          <w:bCs/>
          <w:i/>
          <w:sz w:val="19"/>
          <w:szCs w:val="19"/>
        </w:rPr>
        <w:t>ASUNTO VARIO</w:t>
      </w:r>
    </w:p>
    <w:p w14:paraId="3A473D98" w14:textId="77777777" w:rsidR="00016FE1" w:rsidRPr="00120230" w:rsidRDefault="00016FE1" w:rsidP="002B6227">
      <w:pPr>
        <w:ind w:left="851" w:right="283"/>
        <w:jc w:val="both"/>
        <w:rPr>
          <w:rFonts w:ascii="Gotham" w:hAnsi="Gotham" w:cstheme="minorHAnsi"/>
          <w:i/>
          <w:sz w:val="19"/>
          <w:szCs w:val="19"/>
        </w:rPr>
      </w:pPr>
    </w:p>
    <w:p w14:paraId="3A473D99"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lastRenderedPageBreak/>
        <w:t>Que tiene por objeto someter al Pleno del Ayuntamiento Constitucional de Tonalá, aprobar y autorice la implementar talleres del programa denominado “Escuela para Padres” perteneciente al Sistema DIF Tonalá en las colonias de Tonalá.; enfocado en dotar de herramientas a las madres y padres con el propósito de ejercer una crianza positiva hacia sus hijos.</w:t>
      </w:r>
    </w:p>
    <w:p w14:paraId="3A473D9A" w14:textId="77777777" w:rsidR="00016FE1" w:rsidRPr="00120230" w:rsidRDefault="00016FE1" w:rsidP="002B6227">
      <w:pPr>
        <w:ind w:left="851" w:right="283"/>
        <w:jc w:val="both"/>
        <w:rPr>
          <w:rFonts w:ascii="Gotham" w:hAnsi="Gotham" w:cstheme="minorHAnsi"/>
          <w:i/>
          <w:sz w:val="19"/>
          <w:szCs w:val="19"/>
        </w:rPr>
      </w:pPr>
    </w:p>
    <w:p w14:paraId="3A473D9B" w14:textId="77777777" w:rsidR="00016FE1" w:rsidRPr="00120230" w:rsidRDefault="00016FE1" w:rsidP="002B6227">
      <w:pPr>
        <w:ind w:left="851" w:right="283"/>
        <w:jc w:val="center"/>
        <w:rPr>
          <w:rFonts w:ascii="Gotham" w:hAnsi="Gotham" w:cstheme="minorHAnsi"/>
          <w:i/>
          <w:sz w:val="19"/>
          <w:szCs w:val="19"/>
        </w:rPr>
      </w:pPr>
      <w:r w:rsidRPr="00120230">
        <w:rPr>
          <w:rFonts w:ascii="Gotham" w:hAnsi="Gotham" w:cstheme="minorHAnsi"/>
          <w:i/>
          <w:sz w:val="19"/>
          <w:szCs w:val="19"/>
        </w:rPr>
        <w:t>EXPOSICION DE MOTIVOS</w:t>
      </w:r>
    </w:p>
    <w:p w14:paraId="3A473D9C" w14:textId="77777777" w:rsidR="00016FE1" w:rsidRPr="00120230" w:rsidRDefault="00016FE1" w:rsidP="002B6227">
      <w:pPr>
        <w:ind w:left="851" w:right="283"/>
        <w:jc w:val="center"/>
        <w:rPr>
          <w:rFonts w:ascii="Gotham" w:hAnsi="Gotham" w:cstheme="minorHAnsi"/>
          <w:b/>
          <w:bCs/>
          <w:i/>
          <w:sz w:val="19"/>
          <w:szCs w:val="19"/>
        </w:rPr>
      </w:pPr>
    </w:p>
    <w:p w14:paraId="3A473D9D"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la Asamblea General de Naciones Unidas en su resolución A/RES/66/292 del 17 de septiembre de 2012, declaró el 1 de junio Día Mundial de las Madres y los Padres, con la finalidad de reconocer su labor y honrar su trabajo en todo el mundo.</w:t>
      </w:r>
    </w:p>
    <w:p w14:paraId="3A473D9E" w14:textId="77777777" w:rsidR="00016FE1" w:rsidRPr="00120230" w:rsidRDefault="00016FE1" w:rsidP="002B6227">
      <w:pPr>
        <w:ind w:left="851" w:right="283"/>
        <w:jc w:val="both"/>
        <w:rPr>
          <w:rFonts w:ascii="Gotham" w:hAnsi="Gotham" w:cstheme="minorHAnsi"/>
          <w:i/>
          <w:sz w:val="19"/>
          <w:szCs w:val="19"/>
        </w:rPr>
      </w:pPr>
    </w:p>
    <w:p w14:paraId="3A473D9F"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La responsabilidad fundamental de la familia siempre ha sido la de cuidar y proteger a los niños y asegurar el desarrollo armonioso de su personalidad. Asimismo, la familia garantiza que los hijos puedan crecer en un ambiente de felicidad, amor y comprensión para afrontar mejor el futuro.</w:t>
      </w:r>
    </w:p>
    <w:p w14:paraId="3A473DA0" w14:textId="77777777" w:rsidR="00016FE1" w:rsidRPr="00120230" w:rsidRDefault="00016FE1" w:rsidP="002B6227">
      <w:pPr>
        <w:ind w:left="851" w:right="283"/>
        <w:jc w:val="both"/>
        <w:rPr>
          <w:rFonts w:ascii="Gotham" w:hAnsi="Gotham" w:cstheme="minorHAnsi"/>
          <w:i/>
          <w:sz w:val="19"/>
          <w:szCs w:val="19"/>
        </w:rPr>
      </w:pPr>
    </w:p>
    <w:p w14:paraId="3A473DA1"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La Convención sobre los Derechos del Niño, reconoce expresamente que la función principal en la crianza de los niños recae en las madres y los padres, que son las principales personas encargadas de la crianza de los niños, así como sus maestros y proveedores para la crianza y el desarrollo del niño.</w:t>
      </w:r>
    </w:p>
    <w:p w14:paraId="3A473DA2" w14:textId="77777777" w:rsidR="00016FE1" w:rsidRPr="00120230" w:rsidRDefault="00016FE1" w:rsidP="002B6227">
      <w:pPr>
        <w:ind w:left="851" w:right="283"/>
        <w:jc w:val="both"/>
        <w:rPr>
          <w:rFonts w:ascii="Gotham" w:hAnsi="Gotham" w:cstheme="minorHAnsi"/>
          <w:i/>
          <w:sz w:val="19"/>
          <w:szCs w:val="19"/>
        </w:rPr>
      </w:pPr>
    </w:p>
    <w:p w14:paraId="3A473DA3"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Los padres son los pilares de la estructura familiar, de las comunidades y de la sociedad.</w:t>
      </w:r>
    </w:p>
    <w:p w14:paraId="3A473DA4" w14:textId="77777777" w:rsidR="00016FE1" w:rsidRPr="00120230" w:rsidRDefault="00016FE1" w:rsidP="002B6227">
      <w:pPr>
        <w:ind w:left="851" w:right="283"/>
        <w:jc w:val="both"/>
        <w:rPr>
          <w:rFonts w:ascii="Gotham" w:hAnsi="Gotham" w:cstheme="minorHAnsi"/>
          <w:i/>
          <w:sz w:val="19"/>
          <w:szCs w:val="19"/>
        </w:rPr>
      </w:pPr>
    </w:p>
    <w:p w14:paraId="3A473DA5"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A nivel internacional existen muchos factores que atentan contra la labor de los padres y las madres tales como: la violencia intrafamiliar, la violencia en general, el abandono, la migración, enfermedades como el VIH/SIDA, los riesgos antes, durante y después del embarazo y el acceso desigual a la educación. Lo anterior, pone de relieve la necesidad profunda y universal de que haya figuras paternas y maternas positivas en las familias. Asimismo, invita a desarrollar y ampliar políticas y servicios de asistencia familiar.</w:t>
      </w:r>
    </w:p>
    <w:p w14:paraId="3A473DA6" w14:textId="77777777" w:rsidR="00016FE1" w:rsidRPr="00120230" w:rsidRDefault="00016FE1" w:rsidP="002B6227">
      <w:pPr>
        <w:ind w:left="851" w:right="283"/>
        <w:jc w:val="both"/>
        <w:rPr>
          <w:rFonts w:ascii="Gotham" w:hAnsi="Gotham" w:cstheme="minorHAnsi"/>
          <w:i/>
          <w:sz w:val="19"/>
          <w:szCs w:val="19"/>
        </w:rPr>
      </w:pPr>
    </w:p>
    <w:p w14:paraId="3A473DA7"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De acuerdo con el último censo elaborado por el INEGI, en términos globales, en el estado de Jalisco, 63 de cada 100 hogares son tipo nuclear, formados por mamá, papá e hijos o bien alguno d ellos padres y los hijos.</w:t>
      </w:r>
    </w:p>
    <w:p w14:paraId="3A473DA8" w14:textId="77777777" w:rsidR="00016FE1" w:rsidRPr="00120230" w:rsidRDefault="00016FE1" w:rsidP="002B6227">
      <w:pPr>
        <w:ind w:left="851" w:right="283"/>
        <w:jc w:val="both"/>
        <w:rPr>
          <w:rFonts w:ascii="Gotham" w:hAnsi="Gotham" w:cstheme="minorHAnsi"/>
          <w:i/>
          <w:sz w:val="19"/>
          <w:szCs w:val="19"/>
        </w:rPr>
      </w:pPr>
    </w:p>
    <w:p w14:paraId="3A473DA9"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En 21.5 % corresponde a hogares ampliados; formados por un hogar nuclear más otros parientes como pueden ser tíos o primos, mientras que las familias compuestas, representa el 1% del total en Jalisco.</w:t>
      </w:r>
    </w:p>
    <w:p w14:paraId="3A473DAA" w14:textId="77777777" w:rsidR="00016FE1" w:rsidRPr="00120230" w:rsidRDefault="00016FE1" w:rsidP="002B6227">
      <w:pPr>
        <w:ind w:left="851" w:right="283"/>
        <w:jc w:val="both"/>
        <w:rPr>
          <w:rFonts w:ascii="Gotham" w:hAnsi="Gotham" w:cstheme="minorHAnsi"/>
          <w:i/>
          <w:sz w:val="19"/>
          <w:szCs w:val="19"/>
        </w:rPr>
      </w:pPr>
    </w:p>
    <w:p w14:paraId="3A473DAB"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Para el municipio de Tonalá, de acuerdo con el Censo de Población y Vivienda 2020, había un total de 569,913 personas de los cuales, 45,825 eran menores entre 0 y 4 años de edad; 54,020 de 5 a 9 años; 53,095 entre 10 y 14 años. Representando un 28.1 % del total de la población del municipio.</w:t>
      </w:r>
    </w:p>
    <w:p w14:paraId="3A473DAC" w14:textId="77777777" w:rsidR="00016FE1" w:rsidRPr="00120230" w:rsidRDefault="00016FE1" w:rsidP="002B6227">
      <w:pPr>
        <w:ind w:left="851" w:right="283"/>
        <w:jc w:val="both"/>
        <w:rPr>
          <w:rFonts w:ascii="Gotham" w:hAnsi="Gotham" w:cstheme="minorHAnsi"/>
          <w:i/>
          <w:sz w:val="19"/>
          <w:szCs w:val="19"/>
        </w:rPr>
      </w:pPr>
    </w:p>
    <w:p w14:paraId="3A473DAD"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En contra parte, el Código Penal para el Estado Libre y Soberano de Jalisco, reconoce como un delito la violencia familiar al definirla como:</w:t>
      </w:r>
    </w:p>
    <w:p w14:paraId="3A473DAE" w14:textId="77777777" w:rsidR="00016FE1" w:rsidRPr="00120230" w:rsidRDefault="00016FE1" w:rsidP="002B6227">
      <w:pPr>
        <w:ind w:left="851" w:right="283"/>
        <w:jc w:val="both"/>
        <w:rPr>
          <w:rFonts w:ascii="Gotham" w:hAnsi="Gotham" w:cstheme="minorHAnsi"/>
          <w:i/>
          <w:sz w:val="19"/>
          <w:szCs w:val="19"/>
        </w:rPr>
      </w:pPr>
    </w:p>
    <w:p w14:paraId="3A473DAF" w14:textId="77777777" w:rsidR="00016FE1" w:rsidRPr="00120230" w:rsidRDefault="00016FE1" w:rsidP="002B6227">
      <w:pPr>
        <w:pStyle w:val="Prrafodelista"/>
        <w:ind w:left="851" w:right="283"/>
        <w:contextualSpacing w:val="0"/>
        <w:jc w:val="both"/>
        <w:rPr>
          <w:rFonts w:ascii="Gotham" w:hAnsi="Gotham" w:cstheme="minorHAnsi"/>
          <w:i/>
          <w:iCs/>
          <w:sz w:val="19"/>
          <w:szCs w:val="19"/>
        </w:rPr>
      </w:pPr>
      <w:r w:rsidRPr="00120230">
        <w:rPr>
          <w:rFonts w:ascii="Gotham" w:hAnsi="Gotham" w:cstheme="minorHAnsi"/>
          <w:i/>
          <w:iCs/>
          <w:sz w:val="19"/>
          <w:szCs w:val="19"/>
        </w:rPr>
        <w:t>Artículo 176 Ter. Comete el delito de violencia familiar quien infiera maltrato en contra de uno o varios miembros de su familia, tales como cónyuge, pariente consanguíneo hasta cuarto grado, pariente afín hasta cuarto grado…</w:t>
      </w:r>
    </w:p>
    <w:p w14:paraId="3A473DB0" w14:textId="77777777" w:rsidR="00016FE1" w:rsidRPr="00120230" w:rsidRDefault="00016FE1" w:rsidP="002B6227">
      <w:pPr>
        <w:pStyle w:val="Prrafodelista"/>
        <w:ind w:left="851" w:right="283"/>
        <w:contextualSpacing w:val="0"/>
        <w:jc w:val="both"/>
        <w:rPr>
          <w:rFonts w:ascii="Gotham" w:hAnsi="Gotham" w:cstheme="minorHAnsi"/>
          <w:i/>
          <w:iCs/>
          <w:sz w:val="19"/>
          <w:szCs w:val="19"/>
        </w:rPr>
      </w:pPr>
      <w:r w:rsidRPr="00120230">
        <w:rPr>
          <w:rFonts w:ascii="Gotham" w:hAnsi="Gotham" w:cstheme="minorHAnsi"/>
          <w:i/>
          <w:iCs/>
          <w:sz w:val="19"/>
          <w:szCs w:val="19"/>
        </w:rPr>
        <w:t>…</w:t>
      </w:r>
    </w:p>
    <w:p w14:paraId="3A473DB1" w14:textId="77777777" w:rsidR="00016FE1" w:rsidRPr="00120230" w:rsidRDefault="00016FE1" w:rsidP="002B6227">
      <w:pPr>
        <w:ind w:left="851" w:right="283"/>
        <w:rPr>
          <w:rFonts w:ascii="Gotham" w:hAnsi="Gotham" w:cstheme="minorHAnsi"/>
          <w:b/>
          <w:bCs/>
          <w:i/>
          <w:sz w:val="19"/>
          <w:szCs w:val="19"/>
        </w:rPr>
      </w:pPr>
    </w:p>
    <w:p w14:paraId="3A473DB2"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lastRenderedPageBreak/>
        <w:t>De acuerdo con la solicitud de transparencia con número 140255023001647 (anexo I) durante el año 2022 se registraron 1,134 carpetas de investigación por la probable comisión del delito de violencia familiar, es decir un promedio de 3 casos por día.</w:t>
      </w:r>
    </w:p>
    <w:p w14:paraId="3A473DB3" w14:textId="77777777" w:rsidR="00016FE1" w:rsidRPr="00120230" w:rsidRDefault="00016FE1" w:rsidP="002B6227">
      <w:pPr>
        <w:ind w:left="851" w:right="283"/>
        <w:jc w:val="both"/>
        <w:rPr>
          <w:rFonts w:ascii="Gotham" w:hAnsi="Gotham" w:cstheme="minorHAnsi"/>
          <w:i/>
          <w:sz w:val="19"/>
          <w:szCs w:val="19"/>
        </w:rPr>
      </w:pPr>
    </w:p>
    <w:p w14:paraId="3A473DB4"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De enero 2023 hasta junio 2023, las cifras por la probable comisión de este delito llegaron a 787, si lo comparamos con el mismo intervalo de tiempo en el año 2022, este fue de 526, lo que significa un incremento superior al 49 %.</w:t>
      </w:r>
    </w:p>
    <w:p w14:paraId="3A473DB5" w14:textId="77777777" w:rsidR="00016FE1" w:rsidRPr="00120230" w:rsidRDefault="00016FE1" w:rsidP="002B6227">
      <w:pPr>
        <w:ind w:left="851" w:right="283"/>
        <w:jc w:val="both"/>
        <w:rPr>
          <w:rFonts w:ascii="Gotham" w:hAnsi="Gotham" w:cstheme="minorHAnsi"/>
          <w:i/>
          <w:sz w:val="19"/>
          <w:szCs w:val="19"/>
        </w:rPr>
      </w:pPr>
    </w:p>
    <w:p w14:paraId="3A473DB6"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En lo que respecta al abuso sexual infantil, durante el año 2022 se iniciaron 309 carpetas por la probable comisión de este delito, mientras en el período de enero 2023 a junio 2023 el número de carpetas de investigación se situó en 230, mientras que en el mismo intervalo de tiempo en 2022 fue de 107, lo que significa un incremento de 115 % en ese intervalo de tiempo.</w:t>
      </w:r>
    </w:p>
    <w:p w14:paraId="3A473DB7" w14:textId="77777777" w:rsidR="00016FE1" w:rsidRPr="00120230" w:rsidRDefault="00016FE1" w:rsidP="002B6227">
      <w:pPr>
        <w:ind w:left="851" w:right="283"/>
        <w:jc w:val="both"/>
        <w:rPr>
          <w:rFonts w:ascii="Gotham" w:hAnsi="Gotham" w:cstheme="minorHAnsi"/>
          <w:i/>
          <w:sz w:val="19"/>
          <w:szCs w:val="19"/>
        </w:rPr>
      </w:pPr>
    </w:p>
    <w:p w14:paraId="3A473DB8"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Como parte de las acciones que realiza el Sistema para el Desarrollo Integral de la Familia del Municipio de Tonalá se encuentra el programa denominado “Escuela para Padres”, el cual consiste en desarrollar en los padres de familia habilidades de comunicación y disciplina positiva como herramientas que favorezcan el desarrollo e integración familiar. Dicho programa consta de 12 sesiones.</w:t>
      </w:r>
    </w:p>
    <w:p w14:paraId="3A473DB9" w14:textId="77777777" w:rsidR="00016FE1" w:rsidRPr="00120230" w:rsidRDefault="00016FE1" w:rsidP="002B6227">
      <w:pPr>
        <w:ind w:left="851" w:right="283"/>
        <w:jc w:val="both"/>
        <w:rPr>
          <w:rFonts w:ascii="Gotham" w:hAnsi="Gotham" w:cstheme="minorHAnsi"/>
          <w:i/>
          <w:sz w:val="19"/>
          <w:szCs w:val="19"/>
        </w:rPr>
      </w:pPr>
    </w:p>
    <w:p w14:paraId="3A473DBA"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Por ello la presente iniciativa tiene como objeto que en el mes de junio se realicen talleres bajo esta metodología, en conjunto entre el gobierno municipal de Tonalá, así como DIF Tonalá a efecto de invitar a los padres de familia de nuestro municipio a participar en dicho programa, con el objetivo de fortalecer la sana convivencia familiar.</w:t>
      </w:r>
    </w:p>
    <w:p w14:paraId="3A473DBB" w14:textId="77777777" w:rsidR="00016FE1" w:rsidRPr="00120230" w:rsidRDefault="00016FE1" w:rsidP="002B6227">
      <w:pPr>
        <w:ind w:left="851" w:right="283"/>
        <w:jc w:val="both"/>
        <w:rPr>
          <w:rFonts w:ascii="Gotham" w:hAnsi="Gotham" w:cstheme="minorHAnsi"/>
          <w:i/>
          <w:sz w:val="19"/>
          <w:szCs w:val="19"/>
        </w:rPr>
      </w:pPr>
    </w:p>
    <w:p w14:paraId="3A473DBC"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Con ello se pretende abonar a las múltiples estrategias que genera el gobierno municipal para reducir la violencia familiar en nuestra comunidad y fortalecer la integración familiar y la paz social.</w:t>
      </w:r>
    </w:p>
    <w:p w14:paraId="3A473DBD" w14:textId="77777777" w:rsidR="00016FE1" w:rsidRPr="00120230" w:rsidRDefault="00016FE1" w:rsidP="002B6227">
      <w:pPr>
        <w:ind w:left="851" w:right="283"/>
        <w:jc w:val="both"/>
        <w:rPr>
          <w:rFonts w:ascii="Gotham" w:hAnsi="Gotham" w:cstheme="minorHAnsi"/>
          <w:i/>
          <w:sz w:val="19"/>
          <w:szCs w:val="19"/>
        </w:rPr>
      </w:pPr>
    </w:p>
    <w:p w14:paraId="3A473DBE"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 xml:space="preserve">Por todo lo antes expuesto y fundado, someto a la alta consideración de este Pleno del Ayuntamiento los siguientes puntos de: </w:t>
      </w:r>
    </w:p>
    <w:p w14:paraId="3A473DBF" w14:textId="77777777" w:rsidR="00016FE1" w:rsidRPr="00120230" w:rsidRDefault="00016FE1" w:rsidP="002B6227">
      <w:pPr>
        <w:ind w:left="851" w:right="283"/>
        <w:jc w:val="both"/>
        <w:rPr>
          <w:rFonts w:ascii="Gotham" w:hAnsi="Gotham" w:cstheme="minorHAnsi"/>
          <w:i/>
          <w:sz w:val="19"/>
          <w:szCs w:val="19"/>
        </w:rPr>
      </w:pPr>
    </w:p>
    <w:p w14:paraId="3A473DC0" w14:textId="77777777" w:rsidR="00016FE1" w:rsidRPr="00120230" w:rsidRDefault="00016FE1" w:rsidP="002B6227">
      <w:pPr>
        <w:ind w:left="851" w:right="283"/>
        <w:jc w:val="center"/>
        <w:rPr>
          <w:rFonts w:ascii="Gotham" w:hAnsi="Gotham" w:cstheme="minorHAnsi"/>
          <w:i/>
          <w:sz w:val="19"/>
          <w:szCs w:val="19"/>
        </w:rPr>
      </w:pPr>
      <w:r w:rsidRPr="00120230">
        <w:rPr>
          <w:rFonts w:ascii="Gotham" w:hAnsi="Gotham" w:cstheme="minorHAnsi"/>
          <w:i/>
          <w:sz w:val="19"/>
          <w:szCs w:val="19"/>
        </w:rPr>
        <w:t>ACUERDO MUNICIPAL</w:t>
      </w:r>
    </w:p>
    <w:p w14:paraId="3A473DC1" w14:textId="77777777" w:rsidR="00016FE1" w:rsidRPr="00120230" w:rsidRDefault="00016FE1" w:rsidP="002B6227">
      <w:pPr>
        <w:ind w:left="851" w:right="283"/>
        <w:jc w:val="center"/>
        <w:rPr>
          <w:rFonts w:ascii="Gotham" w:hAnsi="Gotham" w:cstheme="minorHAnsi"/>
          <w:i/>
          <w:sz w:val="19"/>
          <w:szCs w:val="19"/>
        </w:rPr>
      </w:pPr>
    </w:p>
    <w:p w14:paraId="3A473DC2"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PRIMERO. - Se autoriza turno a la Comisión Edilicia de Reglamentos, Puntos Constitucionales, Administración y Planeación Legislativa para la realice un manual de protocolo y procesos para la realización los talles del programa denominado “Escuela para Padres” perteneciente al Sistema DIF Tonalá en las colonias de Tonalá.; enfocado en dotar de herramientas a las madres y padres con el propósito de ejercer una crianza positiva hacia sus hijos.</w:t>
      </w:r>
    </w:p>
    <w:p w14:paraId="3A473DC3" w14:textId="77777777" w:rsidR="00016FE1" w:rsidRPr="00120230" w:rsidRDefault="00016FE1" w:rsidP="002B6227">
      <w:pPr>
        <w:ind w:left="851" w:right="283"/>
        <w:jc w:val="both"/>
        <w:rPr>
          <w:rFonts w:ascii="Gotham" w:hAnsi="Gotham" w:cstheme="minorHAnsi"/>
          <w:i/>
          <w:sz w:val="19"/>
          <w:szCs w:val="19"/>
        </w:rPr>
      </w:pPr>
    </w:p>
    <w:p w14:paraId="3A473DC4" w14:textId="77777777" w:rsidR="00016FE1"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SEGUNDO. - Se instruye la Dirección General de Bienestar Social coadyuve la logística del señalado en el punto primero del Acuerdo.</w:t>
      </w:r>
    </w:p>
    <w:p w14:paraId="3A473DC5" w14:textId="77777777" w:rsidR="00016FE1" w:rsidRPr="00120230" w:rsidRDefault="00016FE1" w:rsidP="002B6227">
      <w:pPr>
        <w:ind w:left="851" w:right="283"/>
        <w:jc w:val="both"/>
        <w:rPr>
          <w:rFonts w:ascii="Gotham" w:hAnsi="Gotham" w:cstheme="minorHAnsi"/>
          <w:i/>
          <w:sz w:val="19"/>
          <w:szCs w:val="19"/>
        </w:rPr>
      </w:pPr>
    </w:p>
    <w:p w14:paraId="3A473DC6"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TERCERO. - Se faculta al Presidente Municipal, Síndico del Ayuntamiento y a la Secretaría General para que suscriban la documentación necesaria en cumplimiento al presente Decreto Municipal.</w:t>
      </w:r>
    </w:p>
    <w:p w14:paraId="3A473DC7" w14:textId="77777777" w:rsidR="00016FE1" w:rsidRPr="00120230" w:rsidRDefault="00016FE1" w:rsidP="002B6227">
      <w:pPr>
        <w:ind w:left="851" w:right="283"/>
        <w:jc w:val="both"/>
        <w:rPr>
          <w:rFonts w:ascii="Gotham" w:hAnsi="Gotham" w:cstheme="minorHAnsi"/>
          <w:i/>
          <w:sz w:val="19"/>
          <w:szCs w:val="19"/>
        </w:rPr>
      </w:pPr>
    </w:p>
    <w:p w14:paraId="3A473DC8"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En uso de la voz el Presidente Municipal Interino, Francisco Javier Reyes Ruíz, expresa que, gracias Síndico; se propone su turno a la Comisión Edilicia de Reglamentos, Puntos Constitucionales, Administración y Planeación Legislativa, en votación económica les pregunto si se aprueba, quienes estén por afirmativa, sírvanse manifestarlo levantando su mano; instruyendo a la Secretaria General para que contabilice los votos y nos informe del resultado.</w:t>
      </w:r>
    </w:p>
    <w:p w14:paraId="3A473DC9" w14:textId="77777777" w:rsidR="00016FE1" w:rsidRPr="00120230" w:rsidRDefault="00016FE1" w:rsidP="002B6227">
      <w:pPr>
        <w:ind w:left="851" w:right="283"/>
        <w:jc w:val="both"/>
        <w:rPr>
          <w:rFonts w:ascii="Gotham" w:hAnsi="Gotham" w:cstheme="minorHAnsi"/>
          <w:i/>
          <w:sz w:val="19"/>
          <w:szCs w:val="19"/>
        </w:rPr>
      </w:pPr>
    </w:p>
    <w:p w14:paraId="3A473DCA"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lastRenderedPageBreak/>
        <w:t>En uso de la voz informativa, la Secretaria General, Celia Isabel Gauna Ruíz de León, menciona que, como lo indica señor Presidente, le informo que se registraron un total de 17 votos a favor; encontrándose ausente en el momento de la votación, el Regidor José Amado Rodríguez Garza.</w:t>
      </w:r>
    </w:p>
    <w:p w14:paraId="3A473DCB" w14:textId="77777777" w:rsidR="00016FE1" w:rsidRPr="00120230" w:rsidRDefault="00016FE1" w:rsidP="002B6227">
      <w:pPr>
        <w:ind w:left="851" w:right="283"/>
        <w:jc w:val="both"/>
        <w:rPr>
          <w:rFonts w:ascii="Gotham" w:hAnsi="Gotham" w:cstheme="minorHAnsi"/>
          <w:i/>
          <w:sz w:val="19"/>
          <w:szCs w:val="19"/>
        </w:rPr>
      </w:pPr>
    </w:p>
    <w:p w14:paraId="3A473DCC" w14:textId="77777777" w:rsidR="00016FE1" w:rsidRPr="00120230" w:rsidRDefault="00016FE1" w:rsidP="002B6227">
      <w:pPr>
        <w:ind w:left="851" w:right="283"/>
        <w:jc w:val="both"/>
        <w:rPr>
          <w:rFonts w:ascii="Gotham" w:hAnsi="Gotham" w:cstheme="minorHAnsi"/>
          <w:i/>
          <w:sz w:val="19"/>
          <w:szCs w:val="19"/>
        </w:rPr>
      </w:pPr>
      <w:r w:rsidRPr="00120230">
        <w:rPr>
          <w:rFonts w:ascii="Gotham" w:hAnsi="Gotham" w:cstheme="minorHAnsi"/>
          <w:i/>
          <w:sz w:val="19"/>
          <w:szCs w:val="19"/>
        </w:rPr>
        <w:t>En uso de la voz el Presidente Municipal Interino, Francisc</w:t>
      </w:r>
      <w:r>
        <w:rPr>
          <w:rFonts w:ascii="Gotham" w:hAnsi="Gotham" w:cstheme="minorHAnsi"/>
          <w:i/>
          <w:sz w:val="19"/>
          <w:szCs w:val="19"/>
        </w:rPr>
        <w:t>o Javier Reyes Ruíz, señala que,</w:t>
      </w:r>
      <w:r w:rsidRPr="00120230">
        <w:rPr>
          <w:rFonts w:ascii="Gotham" w:hAnsi="Gotham" w:cstheme="minorHAnsi"/>
          <w:i/>
          <w:sz w:val="19"/>
          <w:szCs w:val="19"/>
        </w:rPr>
        <w:t xml:space="preserve"> gracias Secretaria; queda aprobado.</w:t>
      </w:r>
    </w:p>
    <w:p w14:paraId="3A473DCD" w14:textId="77777777" w:rsidR="00016FE1" w:rsidRPr="00383A47" w:rsidRDefault="00016FE1" w:rsidP="002B6227">
      <w:pPr>
        <w:jc w:val="both"/>
        <w:rPr>
          <w:rFonts w:ascii="Gotham" w:hAnsi="Gotham"/>
          <w:sz w:val="20"/>
          <w:szCs w:val="20"/>
        </w:rPr>
      </w:pPr>
    </w:p>
    <w:p w14:paraId="3A473DCE" w14:textId="77777777" w:rsidR="00016FE1" w:rsidRPr="00383A47" w:rsidRDefault="00016FE1" w:rsidP="002B6227">
      <w:pPr>
        <w:jc w:val="both"/>
        <w:rPr>
          <w:rFonts w:ascii="Gotham" w:hAnsi="Gotham"/>
          <w:sz w:val="20"/>
          <w:szCs w:val="20"/>
        </w:rPr>
      </w:pPr>
      <w:r w:rsidRPr="00383A47">
        <w:rPr>
          <w:rFonts w:ascii="Gotham" w:hAnsi="Gotham"/>
          <w:sz w:val="20"/>
          <w:szCs w:val="20"/>
        </w:rPr>
        <w:t>Una vez establecido lo anterior, la comisión dictaminadora realiza las siguientes:</w:t>
      </w:r>
    </w:p>
    <w:p w14:paraId="3A473DCF" w14:textId="77777777" w:rsidR="00016FE1" w:rsidRPr="00383A47" w:rsidRDefault="00016FE1" w:rsidP="002B6227">
      <w:pPr>
        <w:jc w:val="both"/>
        <w:rPr>
          <w:rFonts w:ascii="Gotham" w:hAnsi="Gotham"/>
          <w:sz w:val="20"/>
          <w:szCs w:val="20"/>
        </w:rPr>
      </w:pPr>
    </w:p>
    <w:p w14:paraId="3A473DD0" w14:textId="77777777" w:rsidR="00016FE1" w:rsidRPr="00383A47" w:rsidRDefault="00016FE1" w:rsidP="002B6227">
      <w:pPr>
        <w:jc w:val="center"/>
        <w:rPr>
          <w:rFonts w:ascii="Gotham" w:hAnsi="Gotham"/>
          <w:sz w:val="20"/>
          <w:szCs w:val="20"/>
        </w:rPr>
      </w:pPr>
      <w:r w:rsidRPr="00383A47">
        <w:rPr>
          <w:rFonts w:ascii="Gotham" w:hAnsi="Gotham"/>
          <w:sz w:val="20"/>
          <w:szCs w:val="20"/>
        </w:rPr>
        <w:t>C O N S I D E R A C I O N E S</w:t>
      </w:r>
    </w:p>
    <w:p w14:paraId="3A473DD1" w14:textId="77777777" w:rsidR="00016FE1" w:rsidRPr="00383A47" w:rsidRDefault="00016FE1" w:rsidP="002B6227">
      <w:pPr>
        <w:jc w:val="both"/>
        <w:rPr>
          <w:rFonts w:ascii="Gotham" w:hAnsi="Gotham"/>
          <w:sz w:val="20"/>
          <w:szCs w:val="20"/>
        </w:rPr>
      </w:pPr>
    </w:p>
    <w:p w14:paraId="3A473DD2" w14:textId="77777777" w:rsidR="00016FE1" w:rsidRDefault="00016FE1" w:rsidP="002B6227">
      <w:pPr>
        <w:ind w:left="567" w:hanging="567"/>
        <w:jc w:val="both"/>
        <w:rPr>
          <w:rFonts w:ascii="Gotham" w:hAnsi="Gotham" w:cs="Arial"/>
          <w:sz w:val="20"/>
          <w:szCs w:val="20"/>
          <w:lang w:eastAsia="es-MX"/>
        </w:rPr>
      </w:pPr>
      <w:r w:rsidRPr="00C167C4">
        <w:rPr>
          <w:rFonts w:ascii="Gotham" w:hAnsi="Gotham"/>
          <w:sz w:val="20"/>
          <w:szCs w:val="20"/>
        </w:rPr>
        <w:t xml:space="preserve">I. </w:t>
      </w:r>
      <w:r>
        <w:rPr>
          <w:rFonts w:ascii="Gotham" w:hAnsi="Gotham"/>
          <w:sz w:val="20"/>
          <w:szCs w:val="20"/>
        </w:rPr>
        <w:tab/>
      </w:r>
      <w:r w:rsidRPr="00C167C4">
        <w:rPr>
          <w:rFonts w:ascii="Gotham" w:hAnsi="Gotham"/>
          <w:sz w:val="20"/>
          <w:szCs w:val="20"/>
        </w:rPr>
        <w:t>La Constitución Política de los Estados Unidos Mexicanos, en su artículo 115</w:t>
      </w:r>
      <w:r>
        <w:rPr>
          <w:rFonts w:ascii="Gotham" w:hAnsi="Gotham"/>
          <w:sz w:val="20"/>
          <w:szCs w:val="20"/>
        </w:rPr>
        <w:t>,</w:t>
      </w:r>
      <w:r w:rsidRPr="00C167C4">
        <w:rPr>
          <w:rFonts w:ascii="Gotham" w:hAnsi="Gotham"/>
          <w:sz w:val="20"/>
          <w:szCs w:val="20"/>
        </w:rPr>
        <w:t xml:space="preserve"> establece que</w:t>
      </w:r>
      <w:r>
        <w:rPr>
          <w:rFonts w:ascii="Gotham" w:hAnsi="Gotham"/>
          <w:sz w:val="20"/>
          <w:szCs w:val="20"/>
        </w:rPr>
        <w:t>:</w:t>
      </w:r>
      <w:r w:rsidRPr="00C167C4">
        <w:rPr>
          <w:rFonts w:ascii="Gotham" w:hAnsi="Gotham" w:cs="Arial"/>
          <w:sz w:val="20"/>
          <w:szCs w:val="20"/>
          <w:lang w:eastAsia="es-MX"/>
        </w:rPr>
        <w:t xml:space="preserve"> </w:t>
      </w:r>
    </w:p>
    <w:p w14:paraId="3A473DD3" w14:textId="77777777" w:rsidR="00016FE1" w:rsidRDefault="00016FE1" w:rsidP="002B6227">
      <w:pPr>
        <w:ind w:left="567" w:hanging="567"/>
        <w:jc w:val="both"/>
        <w:rPr>
          <w:rFonts w:ascii="Gotham" w:hAnsi="Gotham" w:cs="Arial"/>
          <w:i/>
          <w:sz w:val="20"/>
          <w:szCs w:val="20"/>
          <w:lang w:eastAsia="es-MX"/>
        </w:rPr>
      </w:pPr>
    </w:p>
    <w:p w14:paraId="3A473DD4"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3A473DD5" w14:textId="77777777" w:rsidR="00016FE1" w:rsidRPr="00C167C4" w:rsidRDefault="00016FE1" w:rsidP="002B6227">
      <w:pPr>
        <w:ind w:left="567" w:hanging="567"/>
        <w:jc w:val="both"/>
        <w:rPr>
          <w:rFonts w:ascii="Gotham" w:hAnsi="Gotham" w:cs="Arial"/>
          <w:sz w:val="20"/>
          <w:szCs w:val="20"/>
          <w:highlight w:val="yellow"/>
          <w:lang w:eastAsia="es-MX"/>
        </w:rPr>
      </w:pPr>
    </w:p>
    <w:p w14:paraId="3A473DD6" w14:textId="77777777" w:rsidR="00016FE1" w:rsidRDefault="00016FE1" w:rsidP="002B6227">
      <w:pPr>
        <w:autoSpaceDE w:val="0"/>
        <w:autoSpaceDN w:val="0"/>
        <w:adjustRightInd w:val="0"/>
        <w:ind w:left="567" w:hanging="567"/>
        <w:jc w:val="both"/>
        <w:rPr>
          <w:rFonts w:ascii="Gotham" w:hAnsi="Gotham" w:cs="Arial"/>
          <w:sz w:val="20"/>
          <w:szCs w:val="20"/>
        </w:rPr>
      </w:pPr>
      <w:r w:rsidRPr="00C167C4">
        <w:rPr>
          <w:rFonts w:ascii="Gotham" w:hAnsi="Gotham" w:cs="Arial"/>
          <w:sz w:val="20"/>
          <w:szCs w:val="20"/>
        </w:rPr>
        <w:t xml:space="preserve">II. </w:t>
      </w:r>
      <w:r>
        <w:rPr>
          <w:rFonts w:ascii="Gotham" w:hAnsi="Gotham" w:cs="Arial"/>
          <w:sz w:val="20"/>
          <w:szCs w:val="20"/>
        </w:rPr>
        <w:tab/>
      </w:r>
      <w:r w:rsidRPr="00C167C4">
        <w:rPr>
          <w:rFonts w:ascii="Gotham" w:hAnsi="Gotham" w:cs="Arial"/>
          <w:sz w:val="20"/>
          <w:szCs w:val="20"/>
        </w:rPr>
        <w:t>En el marco de</w:t>
      </w:r>
      <w:r w:rsidR="009F075D">
        <w:rPr>
          <w:rFonts w:ascii="Gotham" w:hAnsi="Gotham" w:cs="Arial"/>
          <w:sz w:val="20"/>
          <w:szCs w:val="20"/>
        </w:rPr>
        <w:t xml:space="preserve"> </w:t>
      </w:r>
      <w:r w:rsidRPr="00C167C4">
        <w:rPr>
          <w:rFonts w:ascii="Gotham" w:hAnsi="Gotham" w:cs="Arial"/>
          <w:sz w:val="20"/>
          <w:szCs w:val="20"/>
        </w:rPr>
        <w:t>la Constitución Política del Estado de Jalisco, en su numeral 73</w:t>
      </w:r>
      <w:r>
        <w:rPr>
          <w:rFonts w:ascii="Gotham" w:hAnsi="Gotham" w:cs="Arial"/>
          <w:sz w:val="20"/>
          <w:szCs w:val="20"/>
        </w:rPr>
        <w:t>,</w:t>
      </w:r>
      <w:r w:rsidRPr="00C167C4">
        <w:rPr>
          <w:rFonts w:ascii="Gotham" w:hAnsi="Gotham" w:cs="Arial"/>
          <w:sz w:val="20"/>
          <w:szCs w:val="20"/>
        </w:rPr>
        <w:t xml:space="preserve"> estipula que</w:t>
      </w:r>
      <w:r>
        <w:rPr>
          <w:rFonts w:ascii="Gotham" w:hAnsi="Gotham" w:cs="Arial"/>
          <w:sz w:val="20"/>
          <w:szCs w:val="20"/>
        </w:rPr>
        <w:t>:</w:t>
      </w:r>
      <w:r w:rsidRPr="00C167C4">
        <w:rPr>
          <w:rFonts w:ascii="Gotham" w:hAnsi="Gotham" w:cs="Arial"/>
          <w:sz w:val="20"/>
          <w:szCs w:val="20"/>
        </w:rPr>
        <w:t xml:space="preserve"> </w:t>
      </w:r>
    </w:p>
    <w:p w14:paraId="3A473DD7" w14:textId="77777777" w:rsidR="00016FE1" w:rsidRDefault="00016FE1" w:rsidP="002B6227">
      <w:pPr>
        <w:autoSpaceDE w:val="0"/>
        <w:autoSpaceDN w:val="0"/>
        <w:adjustRightInd w:val="0"/>
        <w:ind w:left="567" w:hanging="567"/>
        <w:jc w:val="both"/>
        <w:rPr>
          <w:rFonts w:ascii="Gotham" w:hAnsi="Gotham" w:cs="Arial"/>
          <w:sz w:val="20"/>
          <w:szCs w:val="20"/>
        </w:rPr>
      </w:pPr>
    </w:p>
    <w:p w14:paraId="3A473DD8"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p>
    <w:p w14:paraId="3A473DD9" w14:textId="77777777" w:rsidR="00016FE1" w:rsidRPr="00C167C4" w:rsidRDefault="00016FE1" w:rsidP="002B6227">
      <w:pPr>
        <w:autoSpaceDE w:val="0"/>
        <w:autoSpaceDN w:val="0"/>
        <w:adjustRightInd w:val="0"/>
        <w:ind w:left="567" w:hanging="567"/>
        <w:jc w:val="both"/>
        <w:rPr>
          <w:rFonts w:ascii="Gotham" w:hAnsi="Gotham" w:cs="Arial"/>
          <w:sz w:val="20"/>
          <w:szCs w:val="20"/>
          <w:highlight w:val="yellow"/>
        </w:rPr>
      </w:pPr>
    </w:p>
    <w:p w14:paraId="3A473DDA" w14:textId="77777777" w:rsidR="00016FE1" w:rsidRDefault="00016FE1" w:rsidP="002B6227">
      <w:pPr>
        <w:ind w:left="567" w:hanging="567"/>
        <w:jc w:val="both"/>
        <w:rPr>
          <w:rFonts w:ascii="Gotham" w:hAnsi="Gotham" w:cs="Arial"/>
          <w:sz w:val="20"/>
          <w:szCs w:val="20"/>
        </w:rPr>
      </w:pPr>
      <w:r w:rsidRPr="00C167C4">
        <w:rPr>
          <w:rFonts w:ascii="Gotham" w:hAnsi="Gotham" w:cs="Arial"/>
          <w:sz w:val="20"/>
          <w:szCs w:val="20"/>
        </w:rPr>
        <w:t xml:space="preserve">III. </w:t>
      </w:r>
      <w:r>
        <w:rPr>
          <w:rFonts w:ascii="Gotham" w:hAnsi="Gotham" w:cs="Arial"/>
          <w:sz w:val="20"/>
          <w:szCs w:val="20"/>
        </w:rPr>
        <w:tab/>
      </w:r>
      <w:r w:rsidRPr="00C167C4">
        <w:rPr>
          <w:rFonts w:ascii="Gotham" w:hAnsi="Gotham" w:cs="Arial"/>
          <w:sz w:val="20"/>
          <w:szCs w:val="20"/>
        </w:rPr>
        <w:t>Se establece en la Ley del Gobierno y la Administración Pública Municipal del Estado de Jalisco, en su artículo 3, establece que</w:t>
      </w:r>
      <w:r>
        <w:rPr>
          <w:rFonts w:ascii="Gotham" w:hAnsi="Gotham" w:cs="Arial"/>
          <w:sz w:val="20"/>
          <w:szCs w:val="20"/>
        </w:rPr>
        <w:t>:</w:t>
      </w:r>
      <w:r w:rsidRPr="00C167C4">
        <w:rPr>
          <w:rFonts w:ascii="Gotham" w:hAnsi="Gotham" w:cs="Arial"/>
          <w:sz w:val="20"/>
          <w:szCs w:val="20"/>
        </w:rPr>
        <w:t xml:space="preserve"> </w:t>
      </w:r>
    </w:p>
    <w:p w14:paraId="3A473DDB" w14:textId="77777777" w:rsidR="00016FE1" w:rsidRDefault="00016FE1" w:rsidP="002B6227">
      <w:pPr>
        <w:ind w:left="567" w:hanging="567"/>
        <w:jc w:val="both"/>
        <w:rPr>
          <w:rFonts w:ascii="Gotham" w:hAnsi="Gotham" w:cs="Arial"/>
          <w:sz w:val="20"/>
          <w:szCs w:val="20"/>
        </w:rPr>
      </w:pPr>
    </w:p>
    <w:p w14:paraId="3A473DDC"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 xml:space="preserve">“Cada Municipio es gobernado por un Ayuntamiento de elección popular directa. Las competencias municipales deben ser ejercidas de manera exclusiva por el Ayuntamiento y no habrá ninguna autoridad intermedia entre éste y el Gobierno del Estado...”. </w:t>
      </w:r>
    </w:p>
    <w:p w14:paraId="3A473DDD" w14:textId="77777777" w:rsidR="00016FE1" w:rsidRDefault="00016FE1" w:rsidP="002B6227">
      <w:pPr>
        <w:ind w:left="567"/>
        <w:jc w:val="both"/>
        <w:rPr>
          <w:rFonts w:ascii="Gotham" w:hAnsi="Gotham" w:cs="Arial"/>
          <w:snapToGrid w:val="0"/>
          <w:sz w:val="20"/>
          <w:szCs w:val="20"/>
        </w:rPr>
      </w:pPr>
    </w:p>
    <w:p w14:paraId="3A473DDE" w14:textId="77777777" w:rsidR="00016FE1" w:rsidRDefault="00016FE1" w:rsidP="002B6227">
      <w:pPr>
        <w:ind w:left="567"/>
        <w:jc w:val="both"/>
        <w:rPr>
          <w:rFonts w:ascii="Gotham" w:hAnsi="Gotham" w:cs="Arial"/>
          <w:sz w:val="20"/>
          <w:szCs w:val="20"/>
        </w:rPr>
      </w:pPr>
      <w:r w:rsidRPr="00C167C4">
        <w:rPr>
          <w:rFonts w:ascii="Gotham" w:hAnsi="Gotham" w:cs="Arial"/>
          <w:snapToGrid w:val="0"/>
          <w:sz w:val="20"/>
          <w:szCs w:val="20"/>
        </w:rPr>
        <w:t xml:space="preserve">Asimismo, </w:t>
      </w:r>
      <w:r w:rsidRPr="00C167C4">
        <w:rPr>
          <w:rFonts w:ascii="Gotham" w:hAnsi="Gotham" w:cs="Arial"/>
          <w:sz w:val="20"/>
          <w:szCs w:val="20"/>
        </w:rPr>
        <w:t>en su artículo 27, señala que</w:t>
      </w:r>
      <w:r>
        <w:rPr>
          <w:rFonts w:ascii="Gotham" w:hAnsi="Gotham" w:cs="Arial"/>
          <w:sz w:val="20"/>
          <w:szCs w:val="20"/>
        </w:rPr>
        <w:t>:</w:t>
      </w:r>
    </w:p>
    <w:p w14:paraId="3A473DDF" w14:textId="77777777" w:rsidR="00016FE1" w:rsidRDefault="00016FE1" w:rsidP="002B6227">
      <w:pPr>
        <w:ind w:left="567"/>
        <w:jc w:val="both"/>
        <w:rPr>
          <w:rFonts w:ascii="Gotham" w:hAnsi="Gotham" w:cs="Arial"/>
          <w:i/>
          <w:sz w:val="20"/>
          <w:szCs w:val="20"/>
        </w:rPr>
      </w:pPr>
    </w:p>
    <w:p w14:paraId="3A473DE0"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“Los Ayuntamientos, para el estudio, vigilancia y atención de los diversos asuntos que les corresponda conocer, deben funcionar mediante comisiones...”.</w:t>
      </w:r>
    </w:p>
    <w:p w14:paraId="3A473DE1" w14:textId="77777777" w:rsidR="00016FE1" w:rsidRPr="00C167C4" w:rsidRDefault="00016FE1" w:rsidP="002B6227">
      <w:pPr>
        <w:ind w:left="567" w:hanging="567"/>
        <w:jc w:val="both"/>
        <w:rPr>
          <w:rFonts w:ascii="Gotham" w:hAnsi="Gotham" w:cs="Arial"/>
          <w:snapToGrid w:val="0"/>
          <w:sz w:val="20"/>
          <w:szCs w:val="20"/>
        </w:rPr>
      </w:pPr>
    </w:p>
    <w:p w14:paraId="3A473DE2" w14:textId="77777777" w:rsidR="00016FE1" w:rsidRDefault="00016FE1" w:rsidP="002B6227">
      <w:pPr>
        <w:autoSpaceDE w:val="0"/>
        <w:autoSpaceDN w:val="0"/>
        <w:adjustRightInd w:val="0"/>
        <w:ind w:left="567" w:hanging="567"/>
        <w:jc w:val="both"/>
        <w:rPr>
          <w:rFonts w:ascii="Gotham" w:hAnsi="Gotham" w:cs="Arial"/>
          <w:sz w:val="20"/>
          <w:szCs w:val="20"/>
        </w:rPr>
      </w:pPr>
      <w:r w:rsidRPr="00C167C4">
        <w:rPr>
          <w:rFonts w:ascii="Gotham" w:hAnsi="Gotham" w:cs="Arial"/>
          <w:sz w:val="20"/>
          <w:szCs w:val="20"/>
        </w:rPr>
        <w:t xml:space="preserve">IV. </w:t>
      </w:r>
      <w:r>
        <w:rPr>
          <w:rFonts w:ascii="Gotham" w:hAnsi="Gotham" w:cs="Arial"/>
          <w:sz w:val="20"/>
          <w:szCs w:val="20"/>
        </w:rPr>
        <w:tab/>
      </w:r>
      <w:r w:rsidRPr="00C167C4">
        <w:rPr>
          <w:rFonts w:ascii="Gotham" w:hAnsi="Gotham" w:cs="Arial"/>
          <w:sz w:val="20"/>
          <w:szCs w:val="20"/>
        </w:rPr>
        <w:t>En el Reglamento del Gobierno y la Administración Pública del Ayuntamiento Constitucional de Tonalá, Jalisco, en su artículo 92, estipula que</w:t>
      </w:r>
      <w:r>
        <w:rPr>
          <w:rFonts w:ascii="Gotham" w:hAnsi="Gotham" w:cs="Arial"/>
          <w:sz w:val="20"/>
          <w:szCs w:val="20"/>
        </w:rPr>
        <w:t>:</w:t>
      </w:r>
      <w:r w:rsidRPr="00C167C4">
        <w:rPr>
          <w:rFonts w:ascii="Gotham" w:hAnsi="Gotham" w:cs="Arial"/>
          <w:sz w:val="20"/>
          <w:szCs w:val="20"/>
        </w:rPr>
        <w:t xml:space="preserve"> </w:t>
      </w:r>
    </w:p>
    <w:p w14:paraId="3A473DE3" w14:textId="77777777" w:rsidR="00016FE1" w:rsidRDefault="00016FE1" w:rsidP="002B6227">
      <w:pPr>
        <w:autoSpaceDE w:val="0"/>
        <w:autoSpaceDN w:val="0"/>
        <w:adjustRightInd w:val="0"/>
        <w:ind w:left="567" w:hanging="567"/>
        <w:jc w:val="both"/>
        <w:rPr>
          <w:rFonts w:ascii="Gotham" w:hAnsi="Gotham" w:cs="Arial"/>
          <w:sz w:val="20"/>
          <w:szCs w:val="20"/>
        </w:rPr>
      </w:pPr>
    </w:p>
    <w:p w14:paraId="3A473DE4"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3A473DE5" w14:textId="77777777" w:rsidR="00016FE1" w:rsidRPr="00C167C4" w:rsidRDefault="00016FE1" w:rsidP="002B6227">
      <w:pPr>
        <w:ind w:left="567" w:hanging="567"/>
        <w:jc w:val="both"/>
        <w:rPr>
          <w:rFonts w:ascii="Gotham" w:hAnsi="Gotham" w:cs="Arial"/>
          <w:bCs/>
          <w:sz w:val="20"/>
          <w:szCs w:val="20"/>
          <w:highlight w:val="yellow"/>
        </w:rPr>
      </w:pPr>
    </w:p>
    <w:p w14:paraId="3A473DE6" w14:textId="77777777" w:rsidR="00016FE1" w:rsidRDefault="00016FE1" w:rsidP="002B6227">
      <w:pPr>
        <w:autoSpaceDE w:val="0"/>
        <w:autoSpaceDN w:val="0"/>
        <w:adjustRightInd w:val="0"/>
        <w:ind w:left="567" w:hanging="567"/>
        <w:jc w:val="both"/>
        <w:rPr>
          <w:rFonts w:ascii="Gotham" w:hAnsi="Gotham" w:cs="Arial"/>
          <w:sz w:val="20"/>
          <w:szCs w:val="20"/>
        </w:rPr>
      </w:pPr>
      <w:r w:rsidRPr="00C167C4">
        <w:rPr>
          <w:rFonts w:ascii="Gotham" w:hAnsi="Gotham" w:cs="Arial"/>
          <w:sz w:val="20"/>
          <w:szCs w:val="20"/>
        </w:rPr>
        <w:t xml:space="preserve">V. </w:t>
      </w:r>
      <w:r>
        <w:rPr>
          <w:rFonts w:ascii="Gotham" w:hAnsi="Gotham" w:cs="Arial"/>
          <w:sz w:val="20"/>
          <w:szCs w:val="20"/>
        </w:rPr>
        <w:tab/>
      </w:r>
      <w:r w:rsidRPr="00C167C4">
        <w:rPr>
          <w:rFonts w:ascii="Gotham" w:hAnsi="Gotham" w:cs="Arial"/>
          <w:sz w:val="20"/>
          <w:szCs w:val="20"/>
        </w:rPr>
        <w:t>Que el artículo 72 del anterior ordenamiento, establece que las Comisiones Edilicias, poseen, entre otras atribuciones, la facultad de</w:t>
      </w:r>
      <w:r>
        <w:rPr>
          <w:rFonts w:ascii="Gotham" w:hAnsi="Gotham" w:cs="Arial"/>
          <w:sz w:val="20"/>
          <w:szCs w:val="20"/>
        </w:rPr>
        <w:t>:</w:t>
      </w:r>
      <w:r w:rsidRPr="00C167C4">
        <w:rPr>
          <w:rFonts w:ascii="Gotham" w:hAnsi="Gotham" w:cs="Arial"/>
          <w:sz w:val="20"/>
          <w:szCs w:val="20"/>
        </w:rPr>
        <w:t xml:space="preserve"> </w:t>
      </w:r>
    </w:p>
    <w:p w14:paraId="3A473DE7" w14:textId="77777777" w:rsidR="00016FE1" w:rsidRDefault="00016FE1" w:rsidP="002B6227">
      <w:pPr>
        <w:autoSpaceDE w:val="0"/>
        <w:autoSpaceDN w:val="0"/>
        <w:adjustRightInd w:val="0"/>
        <w:ind w:left="567" w:hanging="567"/>
        <w:jc w:val="both"/>
        <w:rPr>
          <w:rFonts w:ascii="Gotham" w:hAnsi="Gotham" w:cs="Arial"/>
          <w:i/>
          <w:sz w:val="20"/>
          <w:szCs w:val="20"/>
        </w:rPr>
      </w:pPr>
    </w:p>
    <w:p w14:paraId="3A473DE8"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 xml:space="preserve">“I. Recibir, estudiar, analizar, discutir y dictaminar los asuntos turnados por el ayuntamiento; II. Presentar al ayuntamiento los dictámenes e informes, resultados de sus trabajos e investigaciones y demás documentos relativos a los asuntos que les son turnados;….y IX. Las </w:t>
      </w:r>
      <w:r w:rsidRPr="0014185A">
        <w:rPr>
          <w:rFonts w:ascii="Gotham" w:hAnsi="Gotham" w:cstheme="minorHAnsi"/>
          <w:i/>
          <w:sz w:val="19"/>
          <w:szCs w:val="19"/>
        </w:rPr>
        <w:lastRenderedPageBreak/>
        <w:t>demás que en razón de la materia les corresponda por disposición legal o reglamentaria. Para que los dictámenes de las comisiones adquieran plena validez deberán ser aprobados por el ayuntamiento, salvo que se trate de acuerdos internos….”.</w:t>
      </w:r>
    </w:p>
    <w:p w14:paraId="3A473DE9" w14:textId="77777777" w:rsidR="00016FE1" w:rsidRPr="00C167C4" w:rsidRDefault="00016FE1" w:rsidP="002B6227">
      <w:pPr>
        <w:autoSpaceDE w:val="0"/>
        <w:autoSpaceDN w:val="0"/>
        <w:adjustRightInd w:val="0"/>
        <w:ind w:left="567" w:hanging="567"/>
        <w:jc w:val="both"/>
        <w:rPr>
          <w:rFonts w:ascii="Gotham" w:hAnsi="Gotham" w:cs="Arial"/>
          <w:sz w:val="20"/>
          <w:szCs w:val="20"/>
          <w:highlight w:val="yellow"/>
        </w:rPr>
      </w:pPr>
    </w:p>
    <w:p w14:paraId="3A473DEA" w14:textId="77777777" w:rsidR="00016FE1" w:rsidRDefault="00016FE1" w:rsidP="002B6227">
      <w:pPr>
        <w:autoSpaceDE w:val="0"/>
        <w:autoSpaceDN w:val="0"/>
        <w:adjustRightInd w:val="0"/>
        <w:ind w:left="567" w:hanging="567"/>
        <w:jc w:val="both"/>
        <w:rPr>
          <w:rFonts w:ascii="Gotham" w:hAnsi="Gotham" w:cs="Arial"/>
          <w:sz w:val="20"/>
          <w:szCs w:val="20"/>
        </w:rPr>
      </w:pPr>
      <w:r w:rsidRPr="00C167C4">
        <w:rPr>
          <w:rFonts w:ascii="Gotham" w:hAnsi="Gotham" w:cs="Arial"/>
          <w:sz w:val="20"/>
          <w:szCs w:val="20"/>
        </w:rPr>
        <w:t xml:space="preserve">VI. </w:t>
      </w:r>
      <w:r>
        <w:rPr>
          <w:rFonts w:ascii="Gotham" w:hAnsi="Gotham" w:cs="Arial"/>
          <w:sz w:val="20"/>
          <w:szCs w:val="20"/>
        </w:rPr>
        <w:tab/>
      </w:r>
      <w:r w:rsidRPr="00C167C4">
        <w:rPr>
          <w:rFonts w:ascii="Gotham" w:hAnsi="Gotham" w:cs="Arial"/>
          <w:sz w:val="20"/>
          <w:szCs w:val="20"/>
        </w:rPr>
        <w:t>Que en el artículo 100 del citado ordenamiento, establece que</w:t>
      </w:r>
      <w:r>
        <w:rPr>
          <w:rFonts w:ascii="Gotham" w:hAnsi="Gotham" w:cs="Arial"/>
          <w:sz w:val="20"/>
          <w:szCs w:val="20"/>
        </w:rPr>
        <w:t>:</w:t>
      </w:r>
      <w:r w:rsidRPr="00C167C4">
        <w:rPr>
          <w:rFonts w:ascii="Gotham" w:hAnsi="Gotham" w:cs="Arial"/>
          <w:sz w:val="20"/>
          <w:szCs w:val="20"/>
        </w:rPr>
        <w:t xml:space="preserve"> </w:t>
      </w:r>
    </w:p>
    <w:p w14:paraId="3A473DEB" w14:textId="77777777" w:rsidR="00016FE1" w:rsidRDefault="00016FE1" w:rsidP="002B6227">
      <w:pPr>
        <w:autoSpaceDE w:val="0"/>
        <w:autoSpaceDN w:val="0"/>
        <w:adjustRightInd w:val="0"/>
        <w:ind w:left="567" w:hanging="567"/>
        <w:jc w:val="both"/>
        <w:rPr>
          <w:rFonts w:ascii="Gotham" w:hAnsi="Gotham" w:cs="Arial"/>
          <w:i/>
          <w:sz w:val="20"/>
          <w:szCs w:val="20"/>
        </w:rPr>
      </w:pPr>
    </w:p>
    <w:p w14:paraId="3A473DEC"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“Son atribuciones de la Comisión Edilicia de reglamentos, Puntos Constitucionales, Administración y Planeación Legislativa: "I. 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"III. Estudiar la estructura orgánica de la administración municipal, para efecto de proponer medios de mayor eficiencia y simplificación administrativa ante la población, en miras a obtener la mejor atención en la prestación de los servicios públicos..."</w:t>
      </w:r>
    </w:p>
    <w:p w14:paraId="3A473DED" w14:textId="77777777" w:rsidR="00016FE1" w:rsidRPr="004E5EDA" w:rsidRDefault="00016FE1" w:rsidP="002B6227">
      <w:pPr>
        <w:ind w:left="567"/>
        <w:jc w:val="both"/>
        <w:rPr>
          <w:rFonts w:ascii="Gotham" w:hAnsi="Gotham" w:cs="Arial"/>
          <w:snapToGrid w:val="0"/>
          <w:sz w:val="20"/>
          <w:szCs w:val="20"/>
        </w:rPr>
      </w:pPr>
    </w:p>
    <w:p w14:paraId="3A473DEE" w14:textId="77777777" w:rsidR="00016FE1" w:rsidRPr="004E5EDA" w:rsidRDefault="00016FE1" w:rsidP="002B6227">
      <w:pPr>
        <w:ind w:left="567"/>
        <w:jc w:val="both"/>
        <w:rPr>
          <w:rFonts w:ascii="Gotham" w:hAnsi="Gotham" w:cs="Arial"/>
          <w:snapToGrid w:val="0"/>
          <w:sz w:val="20"/>
          <w:szCs w:val="20"/>
        </w:rPr>
      </w:pPr>
      <w:r w:rsidRPr="004E5EDA">
        <w:rPr>
          <w:rFonts w:ascii="Gotham" w:hAnsi="Gotham" w:cs="Arial"/>
          <w:snapToGrid w:val="0"/>
          <w:sz w:val="20"/>
          <w:szCs w:val="20"/>
        </w:rPr>
        <w:t>Se manifiesta que la comisión edilicia antes señalada cuenta con la capacidad para conocer, estudiar, analizar y dictaminar la iniciativa en objeto del presente dictamen que se estudia.</w:t>
      </w:r>
    </w:p>
    <w:p w14:paraId="3A473DEF" w14:textId="77777777" w:rsidR="00016FE1" w:rsidRPr="00C167C4" w:rsidRDefault="00016FE1" w:rsidP="002B6227">
      <w:pPr>
        <w:ind w:left="567" w:hanging="567"/>
        <w:jc w:val="both"/>
        <w:rPr>
          <w:rFonts w:ascii="Gotham" w:hAnsi="Gotham" w:cs="Arial"/>
          <w:sz w:val="20"/>
          <w:szCs w:val="20"/>
        </w:rPr>
      </w:pPr>
    </w:p>
    <w:p w14:paraId="3A473DF0" w14:textId="77777777" w:rsidR="00016FE1" w:rsidRPr="00C167C4" w:rsidRDefault="00016FE1" w:rsidP="002B6227">
      <w:pPr>
        <w:ind w:left="567" w:hanging="567"/>
        <w:jc w:val="both"/>
        <w:rPr>
          <w:rFonts w:ascii="Gotham" w:eastAsia="Calibri" w:hAnsi="Gotham" w:cs="Arial"/>
          <w:bCs/>
          <w:sz w:val="20"/>
          <w:szCs w:val="20"/>
          <w:lang w:val="es-MX" w:eastAsia="en-US"/>
        </w:rPr>
      </w:pPr>
      <w:r w:rsidRPr="00C167C4">
        <w:rPr>
          <w:rFonts w:ascii="Gotham" w:hAnsi="Gotham" w:cs="Arial"/>
          <w:sz w:val="20"/>
          <w:szCs w:val="20"/>
        </w:rPr>
        <w:t xml:space="preserve">VI. </w:t>
      </w:r>
      <w:r>
        <w:rPr>
          <w:rFonts w:ascii="Gotham" w:hAnsi="Gotham" w:cs="Arial"/>
          <w:sz w:val="20"/>
          <w:szCs w:val="20"/>
        </w:rPr>
        <w:tab/>
      </w:r>
      <w:r w:rsidRPr="00C167C4">
        <w:rPr>
          <w:rFonts w:ascii="Gotham" w:hAnsi="Gotham" w:cs="Arial"/>
          <w:sz w:val="20"/>
          <w:szCs w:val="20"/>
        </w:rPr>
        <w:t xml:space="preserve">Al respecto y en el caso concreto que nos ocupa la Constitución Política de los Estados Unidos Mexicanos </w:t>
      </w:r>
      <w:r w:rsidRPr="00C167C4">
        <w:rPr>
          <w:rFonts w:ascii="Gotham" w:hAnsi="Gotham" w:cs="Arial"/>
          <w:bCs/>
          <w:sz w:val="20"/>
          <w:szCs w:val="20"/>
        </w:rPr>
        <w:t>es clara en señalar lo siguiente:</w:t>
      </w:r>
    </w:p>
    <w:p w14:paraId="3A473DF1" w14:textId="77777777" w:rsidR="00016FE1" w:rsidRPr="00C167C4" w:rsidRDefault="00016FE1" w:rsidP="002B6227">
      <w:pPr>
        <w:jc w:val="both"/>
        <w:rPr>
          <w:rFonts w:ascii="Gotham" w:hAnsi="Gotham" w:cs="Arial"/>
          <w:bCs/>
          <w:sz w:val="20"/>
          <w:szCs w:val="20"/>
        </w:rPr>
      </w:pPr>
    </w:p>
    <w:p w14:paraId="3A473DF2" w14:textId="77777777" w:rsidR="00016FE1" w:rsidRPr="0014185A" w:rsidRDefault="00016FE1" w:rsidP="002B6227">
      <w:pPr>
        <w:spacing w:after="120"/>
        <w:ind w:left="851" w:right="283"/>
        <w:jc w:val="both"/>
        <w:rPr>
          <w:rFonts w:ascii="Gotham" w:hAnsi="Gotham" w:cstheme="minorHAnsi"/>
          <w:i/>
          <w:sz w:val="19"/>
          <w:szCs w:val="19"/>
        </w:rPr>
      </w:pPr>
      <w:r w:rsidRPr="0014185A">
        <w:rPr>
          <w:rFonts w:ascii="Gotham" w:hAnsi="Gotham" w:cstheme="minorHAnsi"/>
          <w:i/>
          <w:sz w:val="19"/>
          <w:szCs w:val="19"/>
        </w:rPr>
        <w:t>Art. 115.-Los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473DF3" w14:textId="77777777" w:rsidR="00016FE1" w:rsidRPr="0014185A" w:rsidRDefault="00016FE1" w:rsidP="002B6227">
      <w:pPr>
        <w:spacing w:after="120"/>
        <w:ind w:left="1276" w:right="283" w:hanging="425"/>
        <w:jc w:val="both"/>
        <w:rPr>
          <w:rFonts w:ascii="Gotham" w:hAnsi="Gotham" w:cstheme="minorHAnsi"/>
          <w:i/>
          <w:sz w:val="19"/>
          <w:szCs w:val="19"/>
        </w:rPr>
      </w:pPr>
      <w:r w:rsidRPr="0014185A">
        <w:rPr>
          <w:rFonts w:ascii="Gotham" w:hAnsi="Gotham" w:cstheme="minorHAnsi"/>
          <w:i/>
          <w:sz w:val="19"/>
          <w:szCs w:val="19"/>
        </w:rPr>
        <w:t xml:space="preserve">II.- </w:t>
      </w:r>
      <w:r>
        <w:rPr>
          <w:rFonts w:ascii="Gotham" w:hAnsi="Gotham" w:cstheme="minorHAnsi"/>
          <w:i/>
          <w:sz w:val="19"/>
          <w:szCs w:val="19"/>
        </w:rPr>
        <w:tab/>
      </w:r>
      <w:r w:rsidRPr="0014185A">
        <w:rPr>
          <w:rFonts w:ascii="Gotham" w:hAnsi="Gotham" w:cstheme="minorHAnsi"/>
          <w:i/>
          <w:sz w:val="19"/>
          <w:szCs w:val="19"/>
        </w:rPr>
        <w:t>Los municipios estarán investidos de personalidad jurídica y manejarán su patrimonio conforme a la ley.</w:t>
      </w:r>
    </w:p>
    <w:p w14:paraId="3A473DF4"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3DF5" w14:textId="77777777" w:rsidR="00016FE1" w:rsidRPr="00C167C4" w:rsidRDefault="00016FE1" w:rsidP="002B6227">
      <w:pPr>
        <w:ind w:left="567" w:hanging="567"/>
        <w:jc w:val="both"/>
        <w:rPr>
          <w:rFonts w:ascii="Gotham" w:hAnsi="Gotham" w:cs="Arial"/>
          <w:sz w:val="20"/>
          <w:szCs w:val="20"/>
        </w:rPr>
      </w:pPr>
    </w:p>
    <w:p w14:paraId="3A473DF6" w14:textId="77777777" w:rsidR="00016FE1" w:rsidRPr="004E5EDA" w:rsidRDefault="00016FE1" w:rsidP="002B6227">
      <w:pPr>
        <w:ind w:left="567" w:hanging="567"/>
        <w:jc w:val="both"/>
        <w:rPr>
          <w:rFonts w:ascii="Gotham" w:hAnsi="Gotham" w:cs="Arial"/>
          <w:sz w:val="20"/>
          <w:szCs w:val="20"/>
        </w:rPr>
      </w:pPr>
      <w:r w:rsidRPr="00C167C4">
        <w:rPr>
          <w:rFonts w:ascii="Gotham" w:hAnsi="Gotham" w:cs="Arial"/>
          <w:sz w:val="20"/>
          <w:szCs w:val="20"/>
        </w:rPr>
        <w:t xml:space="preserve">VII. </w:t>
      </w:r>
      <w:r>
        <w:rPr>
          <w:rFonts w:ascii="Gotham" w:hAnsi="Gotham" w:cs="Arial"/>
          <w:sz w:val="20"/>
          <w:szCs w:val="20"/>
        </w:rPr>
        <w:tab/>
      </w:r>
      <w:r w:rsidRPr="00C167C4">
        <w:rPr>
          <w:rFonts w:ascii="Gotham" w:hAnsi="Gotham" w:cs="Arial"/>
          <w:sz w:val="20"/>
          <w:szCs w:val="20"/>
        </w:rPr>
        <w:t>Conforme al orden jerárquico de la norma y en el caso concreto que nos ocupa la Constitución Política del Estado de Jalisco</w:t>
      </w:r>
      <w:r w:rsidR="009F075D">
        <w:rPr>
          <w:rFonts w:ascii="Gotham" w:hAnsi="Gotham" w:cs="Arial"/>
          <w:sz w:val="20"/>
          <w:szCs w:val="20"/>
        </w:rPr>
        <w:t xml:space="preserve"> </w:t>
      </w:r>
      <w:r w:rsidRPr="004E5EDA">
        <w:rPr>
          <w:rFonts w:ascii="Gotham" w:hAnsi="Gotham" w:cs="Arial"/>
          <w:sz w:val="20"/>
          <w:szCs w:val="20"/>
        </w:rPr>
        <w:t xml:space="preserve">como señalar lo siguiente: </w:t>
      </w:r>
    </w:p>
    <w:p w14:paraId="3A473DF7" w14:textId="77777777" w:rsidR="00016FE1" w:rsidRPr="004E5EDA" w:rsidRDefault="00016FE1" w:rsidP="002B6227">
      <w:pPr>
        <w:ind w:left="567" w:hanging="567"/>
        <w:jc w:val="both"/>
        <w:rPr>
          <w:rFonts w:ascii="Gotham" w:hAnsi="Gotham" w:cs="Arial"/>
          <w:sz w:val="20"/>
          <w:szCs w:val="20"/>
        </w:rPr>
      </w:pPr>
    </w:p>
    <w:p w14:paraId="3A473DF8" w14:textId="77777777" w:rsidR="00016FE1" w:rsidRPr="0014185A" w:rsidRDefault="00016FE1" w:rsidP="002B6227">
      <w:pPr>
        <w:ind w:left="851" w:right="283"/>
        <w:jc w:val="both"/>
        <w:rPr>
          <w:rFonts w:ascii="Gotham" w:hAnsi="Gotham" w:cstheme="minorHAnsi"/>
          <w:i/>
          <w:sz w:val="19"/>
          <w:szCs w:val="19"/>
        </w:rPr>
      </w:pPr>
      <w:r w:rsidRPr="0014185A">
        <w:rPr>
          <w:rFonts w:ascii="Gotham" w:hAnsi="Gotham" w:cstheme="minorHAnsi"/>
          <w:i/>
          <w:sz w:val="19"/>
          <w:szCs w:val="19"/>
        </w:rPr>
        <w:t>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3A473DF9" w14:textId="77777777" w:rsidR="00016FE1" w:rsidRPr="0014185A" w:rsidRDefault="00016FE1" w:rsidP="002B6227">
      <w:pPr>
        <w:ind w:left="851" w:right="283"/>
        <w:jc w:val="both"/>
        <w:rPr>
          <w:rFonts w:ascii="Gotham" w:hAnsi="Gotham" w:cstheme="minorHAnsi"/>
          <w:i/>
          <w:sz w:val="19"/>
          <w:szCs w:val="19"/>
        </w:rPr>
      </w:pPr>
    </w:p>
    <w:p w14:paraId="3A473DFA" w14:textId="77777777" w:rsidR="00016FE1" w:rsidRPr="0014185A" w:rsidRDefault="00016FE1" w:rsidP="002B6227">
      <w:pPr>
        <w:spacing w:after="120"/>
        <w:ind w:left="851" w:right="283"/>
        <w:jc w:val="both"/>
        <w:rPr>
          <w:rFonts w:ascii="Gotham" w:hAnsi="Gotham" w:cstheme="minorHAnsi"/>
          <w:i/>
          <w:sz w:val="19"/>
          <w:szCs w:val="19"/>
        </w:rPr>
      </w:pPr>
      <w:r w:rsidRPr="0014185A">
        <w:rPr>
          <w:rFonts w:ascii="Gotham" w:hAnsi="Gotham" w:cstheme="minorHAnsi"/>
          <w:i/>
          <w:sz w:val="19"/>
          <w:szCs w:val="19"/>
        </w:rPr>
        <w:t>Art. 77.- Los ayuntamientos tendrán facultades para aprobar, de acuerdo con las leyes en materia municipal que expida el Congreso del Estado:</w:t>
      </w:r>
    </w:p>
    <w:p w14:paraId="3A473DFB" w14:textId="77777777" w:rsidR="00016FE1" w:rsidRPr="0014185A" w:rsidRDefault="00016FE1" w:rsidP="002B6227">
      <w:pPr>
        <w:spacing w:after="120"/>
        <w:ind w:left="1276" w:right="283" w:hanging="425"/>
        <w:jc w:val="both"/>
        <w:rPr>
          <w:rFonts w:ascii="Gotham" w:hAnsi="Gotham" w:cstheme="minorHAnsi"/>
          <w:i/>
          <w:sz w:val="19"/>
          <w:szCs w:val="19"/>
        </w:rPr>
      </w:pPr>
      <w:r w:rsidRPr="0014185A">
        <w:rPr>
          <w:rFonts w:ascii="Gotham" w:hAnsi="Gotham" w:cstheme="minorHAnsi"/>
          <w:i/>
          <w:sz w:val="19"/>
          <w:szCs w:val="19"/>
        </w:rPr>
        <w:t xml:space="preserve">I. </w:t>
      </w:r>
      <w:r>
        <w:rPr>
          <w:rFonts w:ascii="Gotham" w:hAnsi="Gotham" w:cstheme="minorHAnsi"/>
          <w:i/>
          <w:sz w:val="19"/>
          <w:szCs w:val="19"/>
        </w:rPr>
        <w:tab/>
      </w:r>
      <w:r w:rsidRPr="0014185A">
        <w:rPr>
          <w:rFonts w:ascii="Gotham" w:hAnsi="Gotham" w:cstheme="minorHAnsi"/>
          <w:i/>
          <w:sz w:val="19"/>
          <w:szCs w:val="19"/>
        </w:rPr>
        <w:t>Los bandos de policía y gobierno;</w:t>
      </w:r>
    </w:p>
    <w:p w14:paraId="3A473DFC" w14:textId="77777777" w:rsidR="00016FE1" w:rsidRPr="0014185A" w:rsidRDefault="00016FE1" w:rsidP="002B6227">
      <w:pPr>
        <w:spacing w:after="120"/>
        <w:ind w:left="1276" w:right="283" w:hanging="425"/>
        <w:jc w:val="both"/>
        <w:rPr>
          <w:rFonts w:ascii="Gotham" w:hAnsi="Gotham" w:cstheme="minorHAnsi"/>
          <w:i/>
          <w:sz w:val="19"/>
          <w:szCs w:val="19"/>
        </w:rPr>
      </w:pPr>
      <w:r w:rsidRPr="0014185A">
        <w:rPr>
          <w:rFonts w:ascii="Gotham" w:hAnsi="Gotham" w:cstheme="minorHAnsi"/>
          <w:i/>
          <w:sz w:val="19"/>
          <w:szCs w:val="19"/>
        </w:rPr>
        <w:t xml:space="preserve">II. </w:t>
      </w:r>
      <w:r>
        <w:rPr>
          <w:rFonts w:ascii="Gotham" w:hAnsi="Gotham" w:cstheme="minorHAnsi"/>
          <w:i/>
          <w:sz w:val="19"/>
          <w:szCs w:val="19"/>
        </w:rPr>
        <w:tab/>
      </w:r>
      <w:r w:rsidRPr="0014185A">
        <w:rPr>
          <w:rFonts w:ascii="Gotham" w:hAnsi="Gotham" w:cstheme="minorHAnsi"/>
          <w:i/>
          <w:sz w:val="19"/>
          <w:szCs w:val="19"/>
        </w:rPr>
        <w:t>Los reglamentos, circulares y disposiciones administrativas de observancia general dentro de sus respectivas jurisdicciones, con el objeto de:</w:t>
      </w:r>
    </w:p>
    <w:p w14:paraId="3A473DFD" w14:textId="77777777" w:rsidR="00016FE1" w:rsidRPr="0014185A" w:rsidRDefault="00016FE1" w:rsidP="002B6227">
      <w:pPr>
        <w:spacing w:after="120"/>
        <w:ind w:left="1701" w:right="283" w:hanging="425"/>
        <w:jc w:val="both"/>
        <w:rPr>
          <w:rFonts w:ascii="Gotham" w:hAnsi="Gotham" w:cstheme="minorHAnsi"/>
          <w:i/>
          <w:sz w:val="19"/>
          <w:szCs w:val="19"/>
        </w:rPr>
      </w:pPr>
      <w:r w:rsidRPr="0014185A">
        <w:rPr>
          <w:rFonts w:ascii="Gotham" w:hAnsi="Gotham" w:cstheme="minorHAnsi"/>
          <w:i/>
          <w:sz w:val="19"/>
          <w:szCs w:val="19"/>
        </w:rPr>
        <w:t xml:space="preserve">a) </w:t>
      </w:r>
      <w:r>
        <w:rPr>
          <w:rFonts w:ascii="Gotham" w:hAnsi="Gotham" w:cstheme="minorHAnsi"/>
          <w:i/>
          <w:sz w:val="19"/>
          <w:szCs w:val="19"/>
        </w:rPr>
        <w:tab/>
      </w:r>
      <w:r w:rsidRPr="0014185A">
        <w:rPr>
          <w:rFonts w:ascii="Gotham" w:hAnsi="Gotham" w:cstheme="minorHAnsi"/>
          <w:i/>
          <w:sz w:val="19"/>
          <w:szCs w:val="19"/>
        </w:rPr>
        <w:t>Organizar la administración pública municipal;</w:t>
      </w:r>
    </w:p>
    <w:p w14:paraId="3A473DFE" w14:textId="77777777" w:rsidR="00016FE1" w:rsidRPr="0014185A" w:rsidRDefault="00016FE1" w:rsidP="002B6227">
      <w:pPr>
        <w:ind w:left="1701" w:right="283" w:hanging="425"/>
        <w:jc w:val="both"/>
        <w:rPr>
          <w:rFonts w:ascii="Gotham" w:hAnsi="Gotham" w:cstheme="minorHAnsi"/>
          <w:i/>
          <w:sz w:val="19"/>
          <w:szCs w:val="19"/>
        </w:rPr>
      </w:pPr>
      <w:r w:rsidRPr="0014185A">
        <w:rPr>
          <w:rFonts w:ascii="Gotham" w:hAnsi="Gotham" w:cstheme="minorHAnsi"/>
          <w:i/>
          <w:sz w:val="19"/>
          <w:szCs w:val="19"/>
        </w:rPr>
        <w:t xml:space="preserve">b) </w:t>
      </w:r>
      <w:r>
        <w:rPr>
          <w:rFonts w:ascii="Gotham" w:hAnsi="Gotham" w:cstheme="minorHAnsi"/>
          <w:i/>
          <w:sz w:val="19"/>
          <w:szCs w:val="19"/>
        </w:rPr>
        <w:tab/>
      </w:r>
      <w:r w:rsidRPr="0014185A">
        <w:rPr>
          <w:rFonts w:ascii="Gotham" w:hAnsi="Gotham" w:cstheme="minorHAnsi"/>
          <w:i/>
          <w:sz w:val="19"/>
          <w:szCs w:val="19"/>
        </w:rPr>
        <w:t>Regular las materias, procedimientos, funciones y servicios públicos de su competencia; y</w:t>
      </w:r>
    </w:p>
    <w:p w14:paraId="3A473DFF" w14:textId="77777777" w:rsidR="00016FE1" w:rsidRPr="00FE61EB" w:rsidRDefault="00016FE1" w:rsidP="002B6227">
      <w:pPr>
        <w:autoSpaceDE w:val="0"/>
        <w:autoSpaceDN w:val="0"/>
        <w:adjustRightInd w:val="0"/>
        <w:ind w:left="567" w:hanging="567"/>
        <w:jc w:val="both"/>
        <w:rPr>
          <w:rFonts w:ascii="Gotham" w:hAnsi="Gotham" w:cs="Arial"/>
          <w:sz w:val="20"/>
          <w:szCs w:val="20"/>
        </w:rPr>
      </w:pPr>
    </w:p>
    <w:p w14:paraId="3A473E00" w14:textId="77777777" w:rsidR="00016FE1" w:rsidRPr="00FE61EB" w:rsidRDefault="00016FE1" w:rsidP="002B6227">
      <w:pPr>
        <w:autoSpaceDE w:val="0"/>
        <w:autoSpaceDN w:val="0"/>
        <w:adjustRightInd w:val="0"/>
        <w:ind w:left="567" w:hanging="567"/>
        <w:jc w:val="both"/>
        <w:rPr>
          <w:rFonts w:ascii="Gotham" w:hAnsi="Gotham" w:cs="Arial"/>
          <w:sz w:val="20"/>
          <w:szCs w:val="20"/>
        </w:rPr>
      </w:pPr>
      <w:r w:rsidRPr="00FE61EB">
        <w:rPr>
          <w:rFonts w:ascii="Gotham" w:hAnsi="Gotham" w:cs="Arial"/>
          <w:sz w:val="20"/>
          <w:szCs w:val="20"/>
        </w:rPr>
        <w:lastRenderedPageBreak/>
        <w:t xml:space="preserve">VIII. </w:t>
      </w:r>
      <w:r>
        <w:rPr>
          <w:rFonts w:ascii="Gotham" w:hAnsi="Gotham" w:cs="Arial"/>
          <w:sz w:val="20"/>
          <w:szCs w:val="20"/>
        </w:rPr>
        <w:tab/>
      </w:r>
      <w:r w:rsidRPr="00FE61EB">
        <w:rPr>
          <w:rFonts w:ascii="Gotham" w:hAnsi="Gotham" w:cs="Arial"/>
          <w:sz w:val="20"/>
          <w:szCs w:val="20"/>
        </w:rPr>
        <w:t xml:space="preserve">En lo que corresponde al funcionamiento de la Administración municipal, será normada mediante la Ley de Gobierno y la Administración Pública del Estado de Jalisco. </w:t>
      </w:r>
    </w:p>
    <w:p w14:paraId="3A473E01" w14:textId="77777777" w:rsidR="00016FE1" w:rsidRPr="00FE61EB" w:rsidRDefault="00016FE1" w:rsidP="002B6227">
      <w:pPr>
        <w:autoSpaceDE w:val="0"/>
        <w:autoSpaceDN w:val="0"/>
        <w:adjustRightInd w:val="0"/>
        <w:ind w:left="567" w:hanging="567"/>
        <w:jc w:val="both"/>
        <w:rPr>
          <w:rFonts w:ascii="Gotham" w:hAnsi="Gotham" w:cs="Arial"/>
          <w:sz w:val="20"/>
          <w:szCs w:val="20"/>
        </w:rPr>
      </w:pPr>
    </w:p>
    <w:p w14:paraId="3A473E02"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Artículo 27. Los Ayuntamientos, para el estudio, vigilancia y atención de los diversos asuntos que les corresponda conocer, deben funcionar mediante comisiones.</w:t>
      </w:r>
    </w:p>
    <w:p w14:paraId="3A473E03"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Los ediles deberán presidir por lo menos una comisión, además cada munícipe debe estar integrado por lo menos a tres comisiones, en los términos de la reglamentación respectiva.</w:t>
      </w:r>
    </w:p>
    <w:p w14:paraId="3A473E04"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La denominación de las comisiones, sus características, obligaciones y facultades, deben ser establecidas en los reglamentos que para tal efecto expida el Ayuntamiento.</w:t>
      </w:r>
    </w:p>
    <w:p w14:paraId="3A473E05" w14:textId="77777777" w:rsidR="00016FE1" w:rsidRPr="00B311EB" w:rsidRDefault="00016FE1" w:rsidP="002B6227">
      <w:pPr>
        <w:ind w:left="851" w:right="283"/>
        <w:jc w:val="both"/>
        <w:rPr>
          <w:rFonts w:ascii="Gotham" w:hAnsi="Gotham" w:cstheme="minorHAnsi"/>
          <w:i/>
          <w:sz w:val="19"/>
          <w:szCs w:val="19"/>
        </w:rPr>
      </w:pPr>
      <w:r w:rsidRPr="00B311EB">
        <w:rPr>
          <w:rFonts w:ascii="Gotham" w:hAnsi="Gotham" w:cstheme="minorHAnsi"/>
          <w:i/>
          <w:sz w:val="19"/>
          <w:szCs w:val="19"/>
        </w:rPr>
        <w:t>Las comisiones pueden ser permanentes o transitorias, con integración colegiada para su funcionamiento y desempeño, integradas cuando menos por tres ediles y bajo ninguna circunstancia pueden tener facultades ejecutivas.</w:t>
      </w:r>
    </w:p>
    <w:p w14:paraId="3A473E06" w14:textId="77777777" w:rsidR="00016FE1" w:rsidRPr="00B311EB" w:rsidRDefault="00016FE1" w:rsidP="002B6227">
      <w:pPr>
        <w:ind w:left="851" w:right="283"/>
        <w:jc w:val="both"/>
        <w:rPr>
          <w:rFonts w:ascii="Gotham" w:hAnsi="Gotham" w:cstheme="minorHAnsi"/>
          <w:i/>
          <w:sz w:val="19"/>
          <w:szCs w:val="19"/>
        </w:rPr>
      </w:pPr>
    </w:p>
    <w:p w14:paraId="3A473E07"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Artículo 37. Son obligaciones de los Ayuntamientos, las siguientes:</w:t>
      </w:r>
    </w:p>
    <w:p w14:paraId="3A473E08"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I</w:t>
      </w:r>
      <w:r>
        <w:rPr>
          <w:rFonts w:ascii="Gotham" w:hAnsi="Gotham" w:cstheme="minorHAnsi"/>
          <w:i/>
          <w:sz w:val="19"/>
          <w:szCs w:val="19"/>
        </w:rPr>
        <w:t>.</w:t>
      </w:r>
      <w:r w:rsidRPr="00B311EB">
        <w:rPr>
          <w:rFonts w:ascii="Gotham" w:hAnsi="Gotham" w:cstheme="minorHAnsi"/>
          <w:i/>
          <w:sz w:val="19"/>
          <w:szCs w:val="19"/>
        </w:rPr>
        <w:t xml:space="preserve"> </w:t>
      </w:r>
      <w:r>
        <w:rPr>
          <w:rFonts w:ascii="Gotham" w:hAnsi="Gotham" w:cstheme="minorHAnsi"/>
          <w:i/>
          <w:sz w:val="19"/>
          <w:szCs w:val="19"/>
        </w:rPr>
        <w:tab/>
      </w:r>
      <w:r w:rsidRPr="00B311EB">
        <w:rPr>
          <w:rFonts w:ascii="Gotham" w:hAnsi="Gotham" w:cstheme="minorHAnsi"/>
          <w:i/>
          <w:sz w:val="19"/>
          <w:szCs w:val="19"/>
        </w:rPr>
        <w:t>(...).</w:t>
      </w:r>
    </w:p>
    <w:p w14:paraId="3A473E09"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 xml:space="preserve">II. </w:t>
      </w:r>
      <w:r>
        <w:rPr>
          <w:rFonts w:ascii="Gotham" w:hAnsi="Gotham" w:cstheme="minorHAnsi"/>
          <w:i/>
          <w:sz w:val="19"/>
          <w:szCs w:val="19"/>
        </w:rPr>
        <w:tab/>
      </w:r>
      <w:r w:rsidRPr="00B311EB">
        <w:rPr>
          <w:rFonts w:ascii="Gotham" w:hAnsi="Gotham" w:cstheme="minorHAnsi"/>
          <w:i/>
          <w:sz w:val="19"/>
          <w:szCs w:val="19"/>
        </w:rPr>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3A473E0A"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II a IX (...).</w:t>
      </w:r>
    </w:p>
    <w:p w14:paraId="3A473E0B" w14:textId="77777777" w:rsidR="00016FE1" w:rsidRPr="00B311EB" w:rsidRDefault="00016FE1" w:rsidP="002B6227">
      <w:pPr>
        <w:ind w:left="1276" w:right="283" w:hanging="425"/>
        <w:jc w:val="both"/>
        <w:rPr>
          <w:rFonts w:ascii="Gotham" w:hAnsi="Gotham" w:cstheme="minorHAnsi"/>
          <w:i/>
          <w:sz w:val="19"/>
          <w:szCs w:val="19"/>
        </w:rPr>
      </w:pPr>
      <w:r w:rsidRPr="00B311EB">
        <w:rPr>
          <w:rFonts w:ascii="Gotham" w:hAnsi="Gotham" w:cstheme="minorHAnsi"/>
          <w:i/>
          <w:sz w:val="19"/>
          <w:szCs w:val="19"/>
        </w:rPr>
        <w:t xml:space="preserve">X. </w:t>
      </w:r>
      <w:r>
        <w:rPr>
          <w:rFonts w:ascii="Gotham" w:hAnsi="Gotham" w:cstheme="minorHAnsi"/>
          <w:i/>
          <w:sz w:val="19"/>
          <w:szCs w:val="19"/>
        </w:rPr>
        <w:tab/>
      </w:r>
      <w:r w:rsidRPr="00B311EB">
        <w:rPr>
          <w:rFonts w:ascii="Gotham" w:hAnsi="Gotham" w:cstheme="minorHAnsi"/>
          <w:i/>
          <w:sz w:val="19"/>
          <w:szCs w:val="19"/>
        </w:rPr>
        <w:t>Atender la seguridad en todo el Municipio y dictar las medidas tendientes a mantener la seguridad, la paz, el orden público, la preservación y garantía de los derechos humanos.</w:t>
      </w:r>
    </w:p>
    <w:p w14:paraId="3A473E0C" w14:textId="77777777" w:rsidR="00016FE1" w:rsidRPr="00FE61EB" w:rsidRDefault="00016FE1" w:rsidP="002B6227">
      <w:pPr>
        <w:autoSpaceDE w:val="0"/>
        <w:autoSpaceDN w:val="0"/>
        <w:adjustRightInd w:val="0"/>
        <w:ind w:left="567" w:hanging="567"/>
        <w:jc w:val="both"/>
        <w:rPr>
          <w:rFonts w:ascii="Gotham" w:hAnsi="Gotham" w:cs="Arial"/>
          <w:sz w:val="20"/>
          <w:szCs w:val="20"/>
        </w:rPr>
      </w:pPr>
    </w:p>
    <w:p w14:paraId="3A473E0D" w14:textId="77777777" w:rsidR="00016FE1" w:rsidRPr="00FE61EB" w:rsidRDefault="00016FE1" w:rsidP="002B6227">
      <w:pPr>
        <w:autoSpaceDE w:val="0"/>
        <w:autoSpaceDN w:val="0"/>
        <w:adjustRightInd w:val="0"/>
        <w:ind w:left="567" w:hanging="567"/>
        <w:jc w:val="both"/>
        <w:rPr>
          <w:rFonts w:ascii="Gotham" w:hAnsi="Gotham" w:cs="Arial"/>
          <w:sz w:val="20"/>
          <w:szCs w:val="20"/>
        </w:rPr>
      </w:pPr>
      <w:r w:rsidRPr="00FE61EB">
        <w:rPr>
          <w:rFonts w:ascii="Gotham" w:hAnsi="Gotham" w:cs="Arial"/>
          <w:sz w:val="20"/>
          <w:szCs w:val="20"/>
        </w:rPr>
        <w:t xml:space="preserve">IX. </w:t>
      </w:r>
      <w:r>
        <w:rPr>
          <w:rFonts w:ascii="Gotham" w:hAnsi="Gotham" w:cs="Arial"/>
          <w:sz w:val="20"/>
          <w:szCs w:val="20"/>
        </w:rPr>
        <w:tab/>
      </w:r>
      <w:r w:rsidRPr="00FE61EB">
        <w:rPr>
          <w:rFonts w:ascii="Gotham" w:hAnsi="Gotham" w:cs="Arial"/>
          <w:sz w:val="20"/>
          <w:szCs w:val="20"/>
        </w:rPr>
        <w:t>Conforme a la norma orgánica y administrativa que rige la vida interna del municipio se cuenta con Reglamento del Gobierno y la Administración Pública del Ayuntamiento Constitucional de Tonalá, Jalisco. Tiene la atribución de generar los instrumentos normativos conforme se señala a continuación:</w:t>
      </w:r>
    </w:p>
    <w:p w14:paraId="3A473E0E" w14:textId="77777777" w:rsidR="00016FE1" w:rsidRPr="00FE61EB" w:rsidRDefault="00016FE1" w:rsidP="002B6227">
      <w:pPr>
        <w:autoSpaceDE w:val="0"/>
        <w:autoSpaceDN w:val="0"/>
        <w:adjustRightInd w:val="0"/>
        <w:ind w:left="567" w:hanging="567"/>
        <w:jc w:val="both"/>
        <w:rPr>
          <w:rFonts w:ascii="Gotham" w:hAnsi="Gotham" w:cs="Arial"/>
          <w:sz w:val="20"/>
          <w:szCs w:val="20"/>
        </w:rPr>
      </w:pPr>
    </w:p>
    <w:p w14:paraId="3A473E0F"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Artículo 53.- Además de lo establecido en la legislación y normatividad aplicable, son facultades y obligaciones del Ayuntamiento, las siguientes:</w:t>
      </w:r>
    </w:p>
    <w:p w14:paraId="3A473E10"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 xml:space="preserve">I. </w:t>
      </w:r>
      <w:r>
        <w:rPr>
          <w:rFonts w:ascii="Gotham" w:hAnsi="Gotham" w:cstheme="minorHAnsi"/>
          <w:i/>
          <w:sz w:val="19"/>
          <w:szCs w:val="19"/>
        </w:rPr>
        <w:tab/>
      </w:r>
      <w:r w:rsidRPr="00B311EB">
        <w:rPr>
          <w:rFonts w:ascii="Gotham" w:hAnsi="Gotham" w:cstheme="minorHAnsi"/>
          <w:i/>
          <w:sz w:val="19"/>
          <w:szCs w:val="19"/>
        </w:rPr>
        <w:t>(...)</w:t>
      </w:r>
    </w:p>
    <w:p w14:paraId="3A473E11" w14:textId="77777777" w:rsidR="00016FE1" w:rsidRPr="00B311EB" w:rsidRDefault="00016FE1" w:rsidP="002B6227">
      <w:pPr>
        <w:ind w:left="1276" w:right="283" w:hanging="425"/>
        <w:jc w:val="both"/>
        <w:rPr>
          <w:rFonts w:ascii="Gotham" w:hAnsi="Gotham" w:cstheme="minorHAnsi"/>
          <w:i/>
          <w:sz w:val="19"/>
          <w:szCs w:val="19"/>
        </w:rPr>
      </w:pPr>
      <w:r w:rsidRPr="00B311EB">
        <w:rPr>
          <w:rFonts w:ascii="Gotham" w:hAnsi="Gotham" w:cstheme="minorHAnsi"/>
          <w:i/>
          <w:sz w:val="19"/>
          <w:szCs w:val="19"/>
        </w:rPr>
        <w:t xml:space="preserve">II. </w:t>
      </w:r>
      <w:r>
        <w:rPr>
          <w:rFonts w:ascii="Gotham" w:hAnsi="Gotham" w:cstheme="minorHAnsi"/>
          <w:i/>
          <w:sz w:val="19"/>
          <w:szCs w:val="19"/>
        </w:rPr>
        <w:tab/>
      </w:r>
      <w:r w:rsidRPr="00B311EB">
        <w:rPr>
          <w:rFonts w:ascii="Gotham" w:hAnsi="Gotham" w:cstheme="minorHAnsi"/>
          <w:i/>
          <w:sz w:val="19"/>
          <w:szCs w:val="19"/>
        </w:rPr>
        <w:t>Expedir los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de acuerdo con las leyes que en materia municipal expida el Congreso del Estado de Jalisco tomando en cuenta las previsiones establecidas en el artículo 6 del presente Reglamento, así como adoptar la normatividad que las instancias competentes emitan en materia de contabilidad gubernamental;</w:t>
      </w:r>
    </w:p>
    <w:p w14:paraId="3A473E12" w14:textId="77777777" w:rsidR="00016FE1" w:rsidRPr="00B311EB" w:rsidRDefault="00016FE1" w:rsidP="002B6227">
      <w:pPr>
        <w:ind w:left="851" w:right="283"/>
        <w:jc w:val="both"/>
        <w:rPr>
          <w:rFonts w:ascii="Gotham" w:hAnsi="Gotham" w:cstheme="minorHAnsi"/>
          <w:i/>
          <w:sz w:val="19"/>
          <w:szCs w:val="19"/>
        </w:rPr>
      </w:pPr>
    </w:p>
    <w:p w14:paraId="3A473E13"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Artículo 55.- El Ayuntamiento tiene facultad para aprobar y expedir:</w:t>
      </w:r>
    </w:p>
    <w:p w14:paraId="3A473E14"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 xml:space="preserve">I. </w:t>
      </w:r>
      <w:r>
        <w:rPr>
          <w:rFonts w:ascii="Gotham" w:hAnsi="Gotham" w:cstheme="minorHAnsi"/>
          <w:i/>
          <w:sz w:val="19"/>
          <w:szCs w:val="19"/>
        </w:rPr>
        <w:tab/>
      </w:r>
      <w:r w:rsidRPr="00B311EB">
        <w:rPr>
          <w:rFonts w:ascii="Gotham" w:hAnsi="Gotham" w:cstheme="minorHAnsi"/>
          <w:i/>
          <w:sz w:val="19"/>
          <w:szCs w:val="19"/>
        </w:rPr>
        <w:t>(..:)</w:t>
      </w:r>
    </w:p>
    <w:p w14:paraId="3A473E15"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 xml:space="preserve">II. </w:t>
      </w:r>
      <w:r>
        <w:rPr>
          <w:rFonts w:ascii="Gotham" w:hAnsi="Gotham" w:cstheme="minorHAnsi"/>
          <w:i/>
          <w:sz w:val="19"/>
          <w:szCs w:val="19"/>
        </w:rPr>
        <w:tab/>
      </w:r>
      <w:r w:rsidRPr="00B311EB">
        <w:rPr>
          <w:rFonts w:ascii="Gotham" w:hAnsi="Gotham" w:cstheme="minorHAnsi"/>
          <w:i/>
          <w:sz w:val="19"/>
          <w:szCs w:val="19"/>
        </w:rPr>
        <w:t>Los reglamentos, circulares y disposiciones administrativas de observancia general, dentro de la jurisdicción municipal, con el objeto de;</w:t>
      </w:r>
    </w:p>
    <w:p w14:paraId="3A473E16" w14:textId="77777777" w:rsidR="00016FE1" w:rsidRPr="00B311EB" w:rsidRDefault="00016FE1" w:rsidP="002B6227">
      <w:pPr>
        <w:spacing w:after="120"/>
        <w:ind w:left="1701" w:right="283" w:hanging="425"/>
        <w:jc w:val="both"/>
        <w:rPr>
          <w:rFonts w:ascii="Gotham" w:hAnsi="Gotham" w:cstheme="minorHAnsi"/>
          <w:i/>
          <w:sz w:val="19"/>
          <w:szCs w:val="19"/>
        </w:rPr>
      </w:pPr>
      <w:r w:rsidRPr="00B311EB">
        <w:rPr>
          <w:rFonts w:ascii="Gotham" w:hAnsi="Gotham" w:cstheme="minorHAnsi"/>
          <w:i/>
          <w:sz w:val="19"/>
          <w:szCs w:val="19"/>
        </w:rPr>
        <w:t xml:space="preserve">a) </w:t>
      </w:r>
      <w:r>
        <w:rPr>
          <w:rFonts w:ascii="Gotham" w:hAnsi="Gotham" w:cstheme="minorHAnsi"/>
          <w:i/>
          <w:sz w:val="19"/>
          <w:szCs w:val="19"/>
        </w:rPr>
        <w:tab/>
      </w:r>
      <w:r w:rsidRPr="00B311EB">
        <w:rPr>
          <w:rFonts w:ascii="Gotham" w:hAnsi="Gotham" w:cstheme="minorHAnsi"/>
          <w:i/>
          <w:sz w:val="19"/>
          <w:szCs w:val="19"/>
        </w:rPr>
        <w:t>Organizar la Administración Pública Municipal;</w:t>
      </w:r>
    </w:p>
    <w:p w14:paraId="3A473E17" w14:textId="77777777" w:rsidR="00016FE1" w:rsidRPr="00B311EB" w:rsidRDefault="00016FE1" w:rsidP="002B6227">
      <w:pPr>
        <w:ind w:left="1701" w:right="283" w:hanging="425"/>
        <w:jc w:val="both"/>
        <w:rPr>
          <w:rFonts w:ascii="Gotham" w:hAnsi="Gotham" w:cstheme="minorHAnsi"/>
          <w:i/>
          <w:sz w:val="19"/>
          <w:szCs w:val="19"/>
        </w:rPr>
      </w:pPr>
      <w:r w:rsidRPr="00B311EB">
        <w:rPr>
          <w:rFonts w:ascii="Gotham" w:hAnsi="Gotham" w:cstheme="minorHAnsi"/>
          <w:i/>
          <w:sz w:val="19"/>
          <w:szCs w:val="19"/>
        </w:rPr>
        <w:t xml:space="preserve">b) </w:t>
      </w:r>
      <w:r>
        <w:rPr>
          <w:rFonts w:ascii="Gotham" w:hAnsi="Gotham" w:cstheme="minorHAnsi"/>
          <w:i/>
          <w:sz w:val="19"/>
          <w:szCs w:val="19"/>
        </w:rPr>
        <w:tab/>
      </w:r>
      <w:r w:rsidRPr="00B311EB">
        <w:rPr>
          <w:rFonts w:ascii="Gotham" w:hAnsi="Gotham" w:cstheme="minorHAnsi"/>
          <w:i/>
          <w:sz w:val="19"/>
          <w:szCs w:val="19"/>
        </w:rPr>
        <w:t>Regular las materias, procedimientos, funciones y servicios públicos de su competencia;</w:t>
      </w:r>
    </w:p>
    <w:p w14:paraId="3A473E18" w14:textId="77777777" w:rsidR="00016FE1" w:rsidRPr="00B311EB" w:rsidRDefault="00016FE1" w:rsidP="002B6227">
      <w:pPr>
        <w:ind w:left="851" w:right="283"/>
        <w:jc w:val="both"/>
        <w:rPr>
          <w:rFonts w:ascii="Gotham" w:hAnsi="Gotham" w:cstheme="minorHAnsi"/>
          <w:i/>
          <w:sz w:val="19"/>
          <w:szCs w:val="19"/>
        </w:rPr>
      </w:pPr>
    </w:p>
    <w:p w14:paraId="3A473E19"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Artículo 57.- Para la aprobación de los ordenamientos municipales, se deben observar los requisitos previstos en el ordenamiento municipal, expedido para tal efecto, cumpliendo con lo siguiente:</w:t>
      </w:r>
    </w:p>
    <w:p w14:paraId="3A473E1A"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 xml:space="preserve">VII.  </w:t>
      </w:r>
      <w:r>
        <w:rPr>
          <w:rFonts w:ascii="Gotham" w:hAnsi="Gotham" w:cstheme="minorHAnsi"/>
          <w:i/>
          <w:sz w:val="19"/>
          <w:szCs w:val="19"/>
        </w:rPr>
        <w:tab/>
      </w:r>
      <w:r w:rsidRPr="00B311EB">
        <w:rPr>
          <w:rFonts w:ascii="Gotham" w:hAnsi="Gotham" w:cstheme="minorHAnsi"/>
          <w:i/>
          <w:sz w:val="19"/>
          <w:szCs w:val="19"/>
        </w:rPr>
        <w:t>El Ayuntamiento debe remitir, a través de la Secretaría General, una ejemplar de la Gaceta Municipal donde se publiquen los ordenamientos municipales y sus reformas al Congreso del Estado de Jalisco, para su compendio en la biblioteca del Poder Legislativo; y</w:t>
      </w:r>
    </w:p>
    <w:p w14:paraId="3A473E1B" w14:textId="77777777" w:rsidR="00016FE1" w:rsidRPr="00B311EB" w:rsidRDefault="00016FE1" w:rsidP="002B6227">
      <w:pPr>
        <w:ind w:left="1276" w:right="283" w:hanging="425"/>
        <w:jc w:val="both"/>
        <w:rPr>
          <w:rFonts w:ascii="Gotham" w:hAnsi="Gotham" w:cstheme="minorHAnsi"/>
          <w:i/>
          <w:sz w:val="19"/>
          <w:szCs w:val="19"/>
        </w:rPr>
      </w:pPr>
      <w:r>
        <w:rPr>
          <w:rFonts w:ascii="Gotham" w:hAnsi="Gotham" w:cstheme="minorHAnsi"/>
          <w:i/>
          <w:sz w:val="19"/>
          <w:szCs w:val="19"/>
        </w:rPr>
        <w:t xml:space="preserve">VIII. </w:t>
      </w:r>
      <w:r>
        <w:rPr>
          <w:rFonts w:ascii="Gotham" w:hAnsi="Gotham" w:cstheme="minorHAnsi"/>
          <w:i/>
          <w:sz w:val="19"/>
          <w:szCs w:val="19"/>
        </w:rPr>
        <w:tab/>
      </w:r>
      <w:r w:rsidRPr="00B311EB">
        <w:rPr>
          <w:rFonts w:ascii="Gotham" w:hAnsi="Gotham" w:cstheme="minorHAnsi"/>
          <w:i/>
          <w:sz w:val="19"/>
          <w:szCs w:val="19"/>
        </w:rPr>
        <w:t>Se publicarán en el portal de internet del Gobierno Municipal versiones integradas de los ordenamientos municipales y sus reformas para fines de facilitar su consulta y difusión a la población en general, sin embargo, la versión oficial será aquella que aparezca publicada en la Gaceta Municipal.</w:t>
      </w:r>
    </w:p>
    <w:p w14:paraId="3A473E1C" w14:textId="77777777" w:rsidR="00016FE1" w:rsidRPr="00FE61EB" w:rsidRDefault="00016FE1" w:rsidP="002B6227">
      <w:pPr>
        <w:autoSpaceDE w:val="0"/>
        <w:autoSpaceDN w:val="0"/>
        <w:adjustRightInd w:val="0"/>
        <w:ind w:left="567" w:hanging="567"/>
        <w:jc w:val="both"/>
        <w:rPr>
          <w:rFonts w:ascii="Gotham" w:hAnsi="Gotham" w:cs="Arial"/>
          <w:sz w:val="20"/>
          <w:szCs w:val="20"/>
        </w:rPr>
      </w:pPr>
    </w:p>
    <w:p w14:paraId="3A473E1D" w14:textId="77777777" w:rsidR="00016FE1" w:rsidRPr="00FE61EB" w:rsidRDefault="00016FE1" w:rsidP="002B6227">
      <w:pPr>
        <w:autoSpaceDE w:val="0"/>
        <w:autoSpaceDN w:val="0"/>
        <w:adjustRightInd w:val="0"/>
        <w:ind w:left="567" w:hanging="567"/>
        <w:jc w:val="both"/>
        <w:rPr>
          <w:rFonts w:ascii="Gotham" w:hAnsi="Gotham" w:cs="Arial"/>
          <w:sz w:val="20"/>
          <w:szCs w:val="20"/>
        </w:rPr>
      </w:pPr>
      <w:r w:rsidRPr="00FE61EB">
        <w:rPr>
          <w:rFonts w:ascii="Gotham" w:hAnsi="Gotham" w:cs="Arial"/>
          <w:sz w:val="20"/>
          <w:szCs w:val="20"/>
        </w:rPr>
        <w:t xml:space="preserve">X. </w:t>
      </w:r>
      <w:r>
        <w:rPr>
          <w:rFonts w:ascii="Gotham" w:hAnsi="Gotham" w:cs="Arial"/>
          <w:sz w:val="20"/>
          <w:szCs w:val="20"/>
        </w:rPr>
        <w:tab/>
      </w:r>
      <w:r w:rsidRPr="00FE61EB">
        <w:rPr>
          <w:rFonts w:ascii="Gotham" w:hAnsi="Gotham" w:cs="Arial"/>
          <w:sz w:val="20"/>
          <w:szCs w:val="20"/>
        </w:rPr>
        <w:t>Conforme al proceso legislativo que deberán de seguir las comisiones edilicias del gobierno municipal se observa el proceso que contempla el Reglamento para el Funcionamiento Interno de Sesiones del Ayuntamiento Constitucional de Tonalá, Jalisco; conforme se señala a continuación:</w:t>
      </w:r>
    </w:p>
    <w:p w14:paraId="3A473E1E" w14:textId="77777777" w:rsidR="00016FE1" w:rsidRPr="00C167C4" w:rsidRDefault="00016FE1" w:rsidP="002B6227">
      <w:pPr>
        <w:autoSpaceDE w:val="0"/>
        <w:autoSpaceDN w:val="0"/>
        <w:adjustRightInd w:val="0"/>
        <w:ind w:left="567" w:hanging="567"/>
        <w:jc w:val="both"/>
        <w:rPr>
          <w:rFonts w:ascii="Gotham" w:hAnsi="Gotham" w:cs="Arial"/>
          <w:sz w:val="20"/>
          <w:szCs w:val="20"/>
        </w:rPr>
      </w:pPr>
    </w:p>
    <w:p w14:paraId="3A473E1F"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Artículo 28. Se consideran dictámenes aquellas resoluciones que hayan sido aprobadas por los integrantes de la Comisión correspondiente y que sean dados a conocer al Pleno del Ayuntamiento para ser sometidos a votación.</w:t>
      </w:r>
    </w:p>
    <w:p w14:paraId="3A473E20"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Los dictámenes deben constar con un apartado de proemio, antecedentes, una parte considerativa y otra resolutiva.</w:t>
      </w:r>
    </w:p>
    <w:p w14:paraId="3A473E21"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 xml:space="preserve">La parte del </w:t>
      </w:r>
      <w:proofErr w:type="spellStart"/>
      <w:r w:rsidRPr="00B311EB">
        <w:rPr>
          <w:rFonts w:ascii="Gotham" w:hAnsi="Gotham" w:cstheme="minorHAnsi"/>
          <w:i/>
          <w:sz w:val="19"/>
          <w:szCs w:val="19"/>
        </w:rPr>
        <w:t>proemio</w:t>
      </w:r>
      <w:proofErr w:type="spellEnd"/>
      <w:r w:rsidRPr="00B311EB">
        <w:rPr>
          <w:rFonts w:ascii="Gotham" w:hAnsi="Gotham" w:cstheme="minorHAnsi"/>
          <w:i/>
          <w:sz w:val="19"/>
          <w:szCs w:val="19"/>
        </w:rPr>
        <w:t xml:space="preserve"> consiste en la exposición de los fundamentos jurídicos que motivan la dictaminación.</w:t>
      </w:r>
    </w:p>
    <w:p w14:paraId="3A473E22"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La parte de antecedentes consiste en la narración de hechos o actos que incumben directamente en las iniciativas en estudio.</w:t>
      </w:r>
    </w:p>
    <w:p w14:paraId="3A473E23" w14:textId="77777777" w:rsidR="00016FE1" w:rsidRPr="00B311EB" w:rsidRDefault="00016FE1" w:rsidP="002B6227">
      <w:pPr>
        <w:ind w:left="851" w:right="283"/>
        <w:jc w:val="both"/>
        <w:rPr>
          <w:rFonts w:ascii="Gotham" w:hAnsi="Gotham" w:cstheme="minorHAnsi"/>
          <w:i/>
          <w:sz w:val="19"/>
          <w:szCs w:val="19"/>
        </w:rPr>
      </w:pPr>
      <w:r w:rsidRPr="00B311EB">
        <w:rPr>
          <w:rFonts w:ascii="Gotham" w:hAnsi="Gotham" w:cstheme="minorHAnsi"/>
          <w:i/>
          <w:sz w:val="19"/>
          <w:szCs w:val="19"/>
        </w:rPr>
        <w:t>La parte considerativa consiste en el estudio detallado de la iniciativa turnada, así como las conclusiones de la Comisión o Comisiones dictaminadoras, debiendo estar fundada y motivada.</w:t>
      </w:r>
    </w:p>
    <w:p w14:paraId="3A473E24" w14:textId="77777777" w:rsidR="00016FE1" w:rsidRPr="00B311EB" w:rsidRDefault="00016FE1" w:rsidP="002B6227">
      <w:pPr>
        <w:ind w:left="851" w:right="283"/>
        <w:jc w:val="both"/>
        <w:rPr>
          <w:rFonts w:ascii="Gotham" w:hAnsi="Gotham" w:cstheme="minorHAnsi"/>
          <w:i/>
          <w:sz w:val="19"/>
          <w:szCs w:val="19"/>
        </w:rPr>
      </w:pPr>
      <w:r w:rsidRPr="00B311EB">
        <w:rPr>
          <w:rFonts w:ascii="Gotham" w:hAnsi="Gotham" w:cstheme="minorHAnsi"/>
          <w:i/>
          <w:sz w:val="19"/>
          <w:szCs w:val="19"/>
        </w:rPr>
        <w:t>Cuando la naturaleza del asunto lo permita, pueden conjuntarse dos o más iniciativas en un mismo dictamen.</w:t>
      </w:r>
    </w:p>
    <w:p w14:paraId="3A473E25" w14:textId="77777777" w:rsidR="00016FE1" w:rsidRPr="00B311EB" w:rsidRDefault="00016FE1" w:rsidP="002B6227">
      <w:pPr>
        <w:ind w:left="851" w:right="283"/>
        <w:jc w:val="both"/>
        <w:rPr>
          <w:rFonts w:ascii="Gotham" w:hAnsi="Gotham" w:cstheme="minorHAnsi"/>
          <w:i/>
          <w:sz w:val="19"/>
          <w:szCs w:val="19"/>
        </w:rPr>
      </w:pPr>
    </w:p>
    <w:p w14:paraId="3A473E26" w14:textId="77777777" w:rsidR="00016FE1" w:rsidRPr="00B311EB" w:rsidRDefault="00016FE1" w:rsidP="002B6227">
      <w:pPr>
        <w:ind w:left="851" w:right="283"/>
        <w:jc w:val="both"/>
        <w:rPr>
          <w:rFonts w:ascii="Gotham" w:hAnsi="Gotham" w:cstheme="minorHAnsi"/>
          <w:i/>
          <w:sz w:val="19"/>
          <w:szCs w:val="19"/>
        </w:rPr>
      </w:pPr>
      <w:r w:rsidRPr="00B311EB">
        <w:rPr>
          <w:rFonts w:ascii="Gotham" w:hAnsi="Gotham" w:cstheme="minorHAnsi"/>
          <w:i/>
          <w:sz w:val="19"/>
          <w:szCs w:val="19"/>
        </w:rPr>
        <w:t>Artículo 42. El Ayuntamiento, para el estudio, vigilancia y atención de los diversos asuntos que le corresponde conocer, funcionará mediante Comisiones.</w:t>
      </w:r>
    </w:p>
    <w:p w14:paraId="3A473E27" w14:textId="77777777" w:rsidR="00016FE1" w:rsidRPr="00B311EB" w:rsidRDefault="00016FE1" w:rsidP="002B6227">
      <w:pPr>
        <w:ind w:left="851" w:right="283"/>
        <w:jc w:val="both"/>
        <w:rPr>
          <w:rFonts w:ascii="Gotham" w:hAnsi="Gotham" w:cstheme="minorHAnsi"/>
          <w:i/>
          <w:sz w:val="19"/>
          <w:szCs w:val="19"/>
        </w:rPr>
      </w:pPr>
    </w:p>
    <w:p w14:paraId="3A473E28" w14:textId="77777777" w:rsidR="00016FE1" w:rsidRPr="00B311EB" w:rsidRDefault="00016FE1" w:rsidP="002B6227">
      <w:pPr>
        <w:ind w:left="851" w:right="283"/>
        <w:jc w:val="both"/>
        <w:rPr>
          <w:rFonts w:ascii="Gotham" w:hAnsi="Gotham" w:cstheme="minorHAnsi"/>
          <w:i/>
          <w:sz w:val="19"/>
          <w:szCs w:val="19"/>
        </w:rPr>
      </w:pPr>
      <w:r w:rsidRPr="00B311EB">
        <w:rPr>
          <w:rFonts w:ascii="Gotham" w:hAnsi="Gotham" w:cstheme="minorHAnsi"/>
          <w:i/>
          <w:sz w:val="19"/>
          <w:szCs w:val="19"/>
        </w:rPr>
        <w:t>Artículo 43. La Comisión es el órgano colegiado del Ayuntamiento encargado de conocer, vigilar, analizar y dictaminar todos aquellos asuntos de interés general y de carácter público y el trámite de los asuntos que le sean turnados de acuerdo a su competencia.</w:t>
      </w:r>
    </w:p>
    <w:p w14:paraId="3A473E29" w14:textId="77777777" w:rsidR="00016FE1" w:rsidRPr="00B311EB" w:rsidRDefault="00016FE1" w:rsidP="002B6227">
      <w:pPr>
        <w:ind w:left="851" w:right="283"/>
        <w:jc w:val="both"/>
        <w:rPr>
          <w:rFonts w:ascii="Gotham" w:hAnsi="Gotham" w:cstheme="minorHAnsi"/>
          <w:i/>
          <w:sz w:val="19"/>
          <w:szCs w:val="19"/>
        </w:rPr>
      </w:pPr>
    </w:p>
    <w:p w14:paraId="3A473E2A" w14:textId="77777777" w:rsidR="00016FE1" w:rsidRPr="00B311EB" w:rsidRDefault="00016FE1" w:rsidP="002B6227">
      <w:pPr>
        <w:spacing w:after="120"/>
        <w:ind w:left="851" w:right="283"/>
        <w:jc w:val="both"/>
        <w:rPr>
          <w:rFonts w:ascii="Gotham" w:hAnsi="Gotham" w:cstheme="minorHAnsi"/>
          <w:i/>
          <w:sz w:val="19"/>
          <w:szCs w:val="19"/>
        </w:rPr>
      </w:pPr>
      <w:r w:rsidRPr="00B311EB">
        <w:rPr>
          <w:rFonts w:ascii="Gotham" w:hAnsi="Gotham" w:cstheme="minorHAnsi"/>
          <w:i/>
          <w:sz w:val="19"/>
          <w:szCs w:val="19"/>
        </w:rPr>
        <w:t>Artículo 64. Las Comisiones tendrán las siguientes funciones:</w:t>
      </w:r>
    </w:p>
    <w:p w14:paraId="3A473E2B"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 xml:space="preserve">I. </w:t>
      </w:r>
      <w:r>
        <w:rPr>
          <w:rFonts w:ascii="Gotham" w:hAnsi="Gotham" w:cstheme="minorHAnsi"/>
          <w:i/>
          <w:sz w:val="19"/>
          <w:szCs w:val="19"/>
        </w:rPr>
        <w:tab/>
      </w:r>
      <w:r w:rsidRPr="00B311EB">
        <w:rPr>
          <w:rFonts w:ascii="Gotham" w:hAnsi="Gotham" w:cstheme="minorHAnsi"/>
          <w:i/>
          <w:sz w:val="19"/>
          <w:szCs w:val="19"/>
        </w:rPr>
        <w:t>Realizar las actividades que deriven de la Ley, así como de los reglamentos municipales vigentes;</w:t>
      </w:r>
    </w:p>
    <w:p w14:paraId="3A473E2C" w14:textId="77777777" w:rsidR="00016FE1" w:rsidRPr="00B311EB" w:rsidRDefault="00016FE1" w:rsidP="002B6227">
      <w:pPr>
        <w:spacing w:after="120"/>
        <w:ind w:left="1276" w:right="283" w:hanging="425"/>
        <w:jc w:val="both"/>
        <w:rPr>
          <w:rFonts w:ascii="Gotham" w:hAnsi="Gotham" w:cstheme="minorHAnsi"/>
          <w:i/>
          <w:sz w:val="19"/>
          <w:szCs w:val="19"/>
        </w:rPr>
      </w:pPr>
      <w:r w:rsidRPr="00B311EB">
        <w:rPr>
          <w:rFonts w:ascii="Gotham" w:hAnsi="Gotham" w:cstheme="minorHAnsi"/>
          <w:i/>
          <w:sz w:val="19"/>
          <w:szCs w:val="19"/>
        </w:rPr>
        <w:t xml:space="preserve">II. </w:t>
      </w:r>
      <w:r>
        <w:rPr>
          <w:rFonts w:ascii="Gotham" w:hAnsi="Gotham" w:cstheme="minorHAnsi"/>
          <w:i/>
          <w:sz w:val="19"/>
          <w:szCs w:val="19"/>
        </w:rPr>
        <w:tab/>
      </w:r>
      <w:r w:rsidRPr="00B311EB">
        <w:rPr>
          <w:rFonts w:ascii="Gotham" w:hAnsi="Gotham" w:cstheme="minorHAnsi"/>
          <w:i/>
          <w:sz w:val="19"/>
          <w:szCs w:val="19"/>
        </w:rPr>
        <w:t>Atender los asuntos que le sean turnados por el Ayuntamiento, en relación a las materias de su competencia; y</w:t>
      </w:r>
    </w:p>
    <w:p w14:paraId="3A473E2D" w14:textId="77777777" w:rsidR="00016FE1" w:rsidRPr="00B311EB" w:rsidRDefault="00016FE1" w:rsidP="002B6227">
      <w:pPr>
        <w:ind w:left="1276" w:right="283" w:hanging="425"/>
        <w:jc w:val="both"/>
        <w:rPr>
          <w:rFonts w:ascii="Gotham" w:hAnsi="Gotham" w:cstheme="minorHAnsi"/>
          <w:i/>
          <w:sz w:val="19"/>
          <w:szCs w:val="19"/>
        </w:rPr>
      </w:pPr>
      <w:r w:rsidRPr="00B311EB">
        <w:rPr>
          <w:rFonts w:ascii="Gotham" w:hAnsi="Gotham" w:cstheme="minorHAnsi"/>
          <w:i/>
          <w:sz w:val="19"/>
          <w:szCs w:val="19"/>
        </w:rPr>
        <w:t xml:space="preserve">III. </w:t>
      </w:r>
      <w:r>
        <w:rPr>
          <w:rFonts w:ascii="Gotham" w:hAnsi="Gotham" w:cstheme="minorHAnsi"/>
          <w:i/>
          <w:sz w:val="19"/>
          <w:szCs w:val="19"/>
        </w:rPr>
        <w:tab/>
      </w:r>
      <w:r w:rsidRPr="00B311EB">
        <w:rPr>
          <w:rFonts w:ascii="Gotham" w:hAnsi="Gotham" w:cstheme="minorHAnsi"/>
          <w:i/>
          <w:sz w:val="19"/>
          <w:szCs w:val="19"/>
        </w:rPr>
        <w:t>Presentar y dar cuenta al Ayuntamiento de la resolución de los asuntos que le sean turnados, cuando éste los requiera o de acuerdo a lo que establece la Ley.</w:t>
      </w:r>
    </w:p>
    <w:p w14:paraId="3A473E2E" w14:textId="77777777" w:rsidR="00016FE1" w:rsidRPr="00C167C4" w:rsidRDefault="00016FE1" w:rsidP="002B6227">
      <w:pPr>
        <w:rPr>
          <w:rFonts w:ascii="Gotham" w:hAnsi="Gotham"/>
          <w:sz w:val="20"/>
          <w:szCs w:val="20"/>
        </w:rPr>
      </w:pPr>
    </w:p>
    <w:p w14:paraId="3A473E2F" w14:textId="77777777" w:rsidR="00016FE1" w:rsidRPr="00C167C4" w:rsidRDefault="00016FE1" w:rsidP="002B6227">
      <w:pPr>
        <w:autoSpaceDE w:val="0"/>
        <w:autoSpaceDN w:val="0"/>
        <w:adjustRightInd w:val="0"/>
        <w:jc w:val="center"/>
        <w:rPr>
          <w:rFonts w:ascii="Gotham" w:hAnsi="Gotham" w:cs="Arial"/>
          <w:sz w:val="20"/>
          <w:szCs w:val="20"/>
        </w:rPr>
      </w:pPr>
      <w:r w:rsidRPr="00C167C4">
        <w:rPr>
          <w:rFonts w:ascii="Gotham" w:hAnsi="Gotham" w:cs="Arial"/>
          <w:sz w:val="20"/>
          <w:szCs w:val="20"/>
        </w:rPr>
        <w:t>C O N C L U S I O N E S</w:t>
      </w:r>
    </w:p>
    <w:p w14:paraId="3A473E30" w14:textId="77777777" w:rsidR="00016FE1" w:rsidRPr="00C167C4" w:rsidRDefault="00016FE1" w:rsidP="002B6227">
      <w:pPr>
        <w:autoSpaceDE w:val="0"/>
        <w:autoSpaceDN w:val="0"/>
        <w:adjustRightInd w:val="0"/>
        <w:jc w:val="center"/>
        <w:rPr>
          <w:rFonts w:ascii="Gotham" w:hAnsi="Gotham" w:cs="Arial"/>
          <w:sz w:val="20"/>
          <w:szCs w:val="20"/>
        </w:rPr>
      </w:pPr>
    </w:p>
    <w:p w14:paraId="3A473E31" w14:textId="77777777" w:rsidR="00016FE1" w:rsidRPr="00C167C4" w:rsidRDefault="00016FE1" w:rsidP="002B6227">
      <w:pPr>
        <w:jc w:val="both"/>
        <w:rPr>
          <w:rFonts w:ascii="Gotham" w:hAnsi="Gotham" w:cs="Arial"/>
          <w:sz w:val="20"/>
          <w:szCs w:val="20"/>
        </w:rPr>
      </w:pPr>
      <w:r w:rsidRPr="00C167C4">
        <w:rPr>
          <w:rFonts w:ascii="Gotham" w:hAnsi="Gotham" w:cs="Arial"/>
          <w:sz w:val="20"/>
          <w:szCs w:val="20"/>
        </w:rPr>
        <w:lastRenderedPageBreak/>
        <w:t>De lo expuesto en las consideraciones que integran el presente dictamen, se puede concluir que se tiene competencia para el estudio, análisis y dictaminación de la iniciativa, motivo que la comisión convocante se avoco al estudio técnico jurídico que se describe.</w:t>
      </w:r>
    </w:p>
    <w:p w14:paraId="3A473E32" w14:textId="77777777" w:rsidR="00016FE1" w:rsidRPr="00C167C4" w:rsidRDefault="00016FE1" w:rsidP="002B6227">
      <w:pPr>
        <w:jc w:val="both"/>
        <w:rPr>
          <w:rFonts w:ascii="Gotham" w:hAnsi="Gotham" w:cs="Arial"/>
          <w:sz w:val="20"/>
          <w:szCs w:val="20"/>
          <w:highlight w:val="yellow"/>
        </w:rPr>
      </w:pPr>
    </w:p>
    <w:p w14:paraId="3A473E33" w14:textId="77777777" w:rsidR="00016FE1" w:rsidRPr="00C167C4" w:rsidRDefault="00016FE1" w:rsidP="002B6227">
      <w:pPr>
        <w:ind w:left="567" w:hanging="567"/>
        <w:jc w:val="both"/>
        <w:rPr>
          <w:rFonts w:ascii="Gotham" w:hAnsi="Gotham" w:cs="Arial"/>
          <w:sz w:val="20"/>
          <w:szCs w:val="20"/>
        </w:rPr>
      </w:pPr>
      <w:r w:rsidRPr="00C167C4">
        <w:rPr>
          <w:rFonts w:ascii="Gotham" w:hAnsi="Gotham" w:cs="Arial"/>
          <w:sz w:val="20"/>
          <w:szCs w:val="20"/>
        </w:rPr>
        <w:t xml:space="preserve">A) </w:t>
      </w:r>
      <w:r>
        <w:rPr>
          <w:rFonts w:ascii="Gotham" w:hAnsi="Gotham" w:cs="Arial"/>
          <w:sz w:val="20"/>
          <w:szCs w:val="20"/>
        </w:rPr>
        <w:tab/>
      </w:r>
      <w:r w:rsidRPr="00C167C4">
        <w:rPr>
          <w:rFonts w:ascii="Gotham" w:hAnsi="Gotham" w:cs="Arial"/>
          <w:sz w:val="20"/>
          <w:szCs w:val="20"/>
        </w:rPr>
        <w:t>La Comisión convocante en estudio realizo la solicitud de opinión técnica con la finalidad de contar con los elementos necesarios para el estudio que señala en autor en su iniciativa que tiene como finalidad de realizar talleres del programa denominada “ESCUELA PARA PADRES” del programa RECREA enfocada a dotar de herramientas a las madres y padres, con el propósito de ejercer una crianza positiva hacia sus hijos; coordinado por la Secretaría de Educación Jalisco, que se desprende de la propuesta de la iniciativa.</w:t>
      </w:r>
    </w:p>
    <w:p w14:paraId="3A473E34" w14:textId="77777777" w:rsidR="00016FE1" w:rsidRPr="00C167C4" w:rsidRDefault="00016FE1" w:rsidP="002B6227">
      <w:pPr>
        <w:ind w:left="567" w:hanging="567"/>
        <w:jc w:val="both"/>
        <w:rPr>
          <w:rFonts w:ascii="Gotham" w:hAnsi="Gotham" w:cs="Arial"/>
          <w:sz w:val="20"/>
          <w:szCs w:val="20"/>
          <w:highlight w:val="yellow"/>
        </w:rPr>
      </w:pPr>
    </w:p>
    <w:p w14:paraId="3A473E35" w14:textId="77777777" w:rsidR="00016FE1" w:rsidRPr="00C167C4" w:rsidRDefault="00016FE1" w:rsidP="002B6227">
      <w:pPr>
        <w:ind w:left="567"/>
        <w:jc w:val="both"/>
        <w:rPr>
          <w:rFonts w:ascii="Gotham" w:hAnsi="Gotham" w:cs="Arial"/>
          <w:sz w:val="20"/>
          <w:szCs w:val="20"/>
        </w:rPr>
      </w:pPr>
      <w:r w:rsidRPr="00C167C4">
        <w:rPr>
          <w:rFonts w:ascii="Gotham" w:hAnsi="Gotham" w:cs="Arial"/>
          <w:sz w:val="20"/>
          <w:szCs w:val="20"/>
        </w:rPr>
        <w:t xml:space="preserve">Se solicitó mediante el oficio COM/RPCAPL/MMB/030/2024.a La Dirección General del Sistema para el Desarrollo Integral de la Familia “DIF-TONALÁ” Organismo Público Descentralizado de la Administración Pública Municipal de Tonalá, Jalisco, remite su opinión técnica manifestando lo siguiente. </w:t>
      </w:r>
    </w:p>
    <w:p w14:paraId="3A473E36" w14:textId="77777777" w:rsidR="00016FE1" w:rsidRPr="00C167C4" w:rsidRDefault="00016FE1" w:rsidP="002B6227">
      <w:pPr>
        <w:ind w:left="567" w:hanging="567"/>
        <w:jc w:val="both"/>
        <w:rPr>
          <w:rFonts w:ascii="Gotham" w:hAnsi="Gotham" w:cs="Arial"/>
          <w:sz w:val="20"/>
          <w:szCs w:val="20"/>
        </w:rPr>
      </w:pPr>
    </w:p>
    <w:p w14:paraId="3A473E37" w14:textId="77777777" w:rsidR="00016FE1" w:rsidRDefault="00016FE1" w:rsidP="002B6227">
      <w:pPr>
        <w:ind w:left="567"/>
        <w:jc w:val="both"/>
        <w:rPr>
          <w:rFonts w:ascii="Gotham" w:hAnsi="Gotham" w:cs="Arial"/>
          <w:sz w:val="20"/>
          <w:szCs w:val="20"/>
        </w:rPr>
      </w:pPr>
      <w:r w:rsidRPr="00C167C4">
        <w:rPr>
          <w:rFonts w:ascii="Gotham" w:hAnsi="Gotham" w:cs="Arial"/>
          <w:sz w:val="20"/>
          <w:szCs w:val="20"/>
        </w:rPr>
        <w:t xml:space="preserve">Oficio SDT/DG/268/2024.suscrito por Directora General del Sistema DIF TONALA; </w:t>
      </w:r>
    </w:p>
    <w:p w14:paraId="3A473E38" w14:textId="77777777" w:rsidR="00016FE1" w:rsidRPr="00C167C4" w:rsidRDefault="00016FE1" w:rsidP="002B6227">
      <w:pPr>
        <w:ind w:left="567" w:hanging="567"/>
        <w:jc w:val="both"/>
        <w:rPr>
          <w:rFonts w:ascii="Gotham" w:hAnsi="Gotham" w:cs="Arial"/>
          <w:sz w:val="20"/>
          <w:szCs w:val="20"/>
        </w:rPr>
      </w:pPr>
    </w:p>
    <w:p w14:paraId="3A473E39" w14:textId="77777777" w:rsidR="00016FE1" w:rsidRPr="00F264DD" w:rsidRDefault="00016FE1" w:rsidP="002B6227">
      <w:pPr>
        <w:ind w:left="851" w:right="283"/>
        <w:jc w:val="both"/>
        <w:rPr>
          <w:rFonts w:ascii="Gotham" w:hAnsi="Gotham" w:cs="Arial"/>
          <w:i/>
          <w:sz w:val="19"/>
          <w:szCs w:val="19"/>
        </w:rPr>
      </w:pPr>
      <w:r w:rsidRPr="00F264DD">
        <w:rPr>
          <w:rFonts w:ascii="Gotham" w:hAnsi="Gotham" w:cs="Arial"/>
          <w:i/>
          <w:sz w:val="19"/>
          <w:szCs w:val="19"/>
        </w:rPr>
        <w:t>Al respecto le comento a Usted, que en el Sistema DIF Tonalá, ya contamos con el programa de seguimiento de Escuela para Padres, el Cual es implementado en:</w:t>
      </w:r>
    </w:p>
    <w:p w14:paraId="3A473E3A" w14:textId="77777777" w:rsidR="00016FE1" w:rsidRPr="00F264DD" w:rsidRDefault="00016FE1" w:rsidP="002B6227">
      <w:pPr>
        <w:ind w:left="851" w:right="283"/>
        <w:jc w:val="both"/>
        <w:rPr>
          <w:rFonts w:ascii="Gotham" w:hAnsi="Gotham" w:cs="Arial"/>
          <w:i/>
          <w:sz w:val="19"/>
          <w:szCs w:val="19"/>
        </w:rPr>
      </w:pPr>
    </w:p>
    <w:p w14:paraId="3A473E3B" w14:textId="77777777" w:rsidR="00016FE1" w:rsidRPr="00F264DD" w:rsidRDefault="00016FE1" w:rsidP="00865062">
      <w:pPr>
        <w:pStyle w:val="Prrafodelista"/>
        <w:numPr>
          <w:ilvl w:val="0"/>
          <w:numId w:val="162"/>
        </w:numPr>
        <w:spacing w:after="120"/>
        <w:ind w:left="1134" w:right="283" w:hanging="283"/>
        <w:contextualSpacing w:val="0"/>
        <w:jc w:val="both"/>
        <w:rPr>
          <w:rFonts w:ascii="Gotham" w:hAnsi="Gotham" w:cs="Arial"/>
          <w:i/>
          <w:sz w:val="19"/>
          <w:szCs w:val="19"/>
        </w:rPr>
      </w:pPr>
      <w:r w:rsidRPr="00F264DD">
        <w:rPr>
          <w:rFonts w:ascii="Gotham" w:hAnsi="Gotham" w:cs="Arial"/>
          <w:i/>
          <w:sz w:val="19"/>
          <w:szCs w:val="19"/>
        </w:rPr>
        <w:t>La Delegación de la Procuraduría de Niña, Niños y Adolescentes Tonalá, mismo que es un requisito indispensable para que tomen los padres, a fin de sus hijos les sean reintegrados.</w:t>
      </w:r>
    </w:p>
    <w:p w14:paraId="3A473E3C" w14:textId="77777777" w:rsidR="00016FE1" w:rsidRPr="00F264DD" w:rsidRDefault="00016FE1" w:rsidP="00865062">
      <w:pPr>
        <w:pStyle w:val="Prrafodelista"/>
        <w:numPr>
          <w:ilvl w:val="0"/>
          <w:numId w:val="162"/>
        </w:numPr>
        <w:ind w:left="1134" w:right="283" w:hanging="283"/>
        <w:contextualSpacing w:val="0"/>
        <w:jc w:val="both"/>
        <w:rPr>
          <w:rFonts w:ascii="Gotham" w:hAnsi="Gotham" w:cs="Arial"/>
          <w:i/>
          <w:sz w:val="19"/>
          <w:szCs w:val="19"/>
        </w:rPr>
      </w:pPr>
      <w:r w:rsidRPr="00F264DD">
        <w:rPr>
          <w:rFonts w:ascii="Gotham" w:hAnsi="Gotham" w:cs="Arial"/>
          <w:i/>
          <w:sz w:val="19"/>
          <w:szCs w:val="19"/>
        </w:rPr>
        <w:t>En el Áreas de Psicología del edificio Administrativo, se imparten el taller permanente a la población abierta, y puede integrarse cada semana, ya que los temas se abordan y que a continuación se mencionan, tiene una duración de hora y media,, en el cual se les da la introducción presentación del tema y se les realiza una actividad experiencial. (y la semana entrante se imparte nuevo tema)</w:t>
      </w:r>
    </w:p>
    <w:p w14:paraId="3A473E3D" w14:textId="77777777" w:rsidR="00016FE1" w:rsidRPr="00F264DD" w:rsidRDefault="00016FE1" w:rsidP="002B6227">
      <w:pPr>
        <w:pStyle w:val="Prrafodelista"/>
        <w:ind w:left="851" w:right="283"/>
        <w:contextualSpacing w:val="0"/>
        <w:jc w:val="both"/>
        <w:rPr>
          <w:rFonts w:ascii="Gotham" w:hAnsi="Gotham" w:cs="Arial"/>
          <w:i/>
          <w:sz w:val="19"/>
          <w:szCs w:val="19"/>
        </w:rPr>
      </w:pPr>
    </w:p>
    <w:p w14:paraId="3A473E3E" w14:textId="77777777" w:rsidR="00016FE1" w:rsidRPr="00F264DD" w:rsidRDefault="00016FE1" w:rsidP="002B6227">
      <w:pPr>
        <w:ind w:left="851" w:right="283"/>
        <w:jc w:val="both"/>
        <w:rPr>
          <w:rFonts w:ascii="Gotham" w:hAnsi="Gotham" w:cs="Arial"/>
          <w:i/>
          <w:sz w:val="19"/>
          <w:szCs w:val="19"/>
        </w:rPr>
      </w:pPr>
      <w:r w:rsidRPr="00F264DD">
        <w:rPr>
          <w:rFonts w:ascii="Gotham" w:hAnsi="Gotham" w:cs="Arial"/>
          <w:i/>
          <w:sz w:val="19"/>
          <w:szCs w:val="19"/>
        </w:rPr>
        <w:t>Temas: Derechos de las Niñas, Niños y Adolescentes y Responsabilidad de padres, El valor de la Persona y la Familia, Comunicación Asertiva entre Padres e Hijos, El apego y las competencias parentales, Inteligencia emocional en la persona, Educación de valores Familiares, La Misión de las Madres y Padres de Familia, Autoridad de los Padres, Desarrollo Psicosocial de las niñas, niños de 0 a 5 años, Desarrollo Psicosocial de las niñas, y niños de 6 a 12 años, Desarrollo psicosocial de las y los adolescentes de 13 a 18 años, Educación de sexualidad den valores, El valor del Matrimonio, Ciclo Vital de la Familia, Educar para la Paz de la Familia, Prevención de Adicciones en el Hogar, Manejo del duelo en la Familia y Acoso escolar o “bullyng”.</w:t>
      </w:r>
    </w:p>
    <w:p w14:paraId="3A473E3F" w14:textId="77777777" w:rsidR="00016FE1" w:rsidRPr="00F264DD" w:rsidRDefault="00016FE1" w:rsidP="002B6227">
      <w:pPr>
        <w:ind w:left="851" w:right="283"/>
        <w:jc w:val="both"/>
        <w:rPr>
          <w:rFonts w:ascii="Gotham" w:hAnsi="Gotham" w:cs="Arial"/>
          <w:i/>
          <w:sz w:val="19"/>
          <w:szCs w:val="19"/>
        </w:rPr>
      </w:pPr>
    </w:p>
    <w:p w14:paraId="3A473E40" w14:textId="77777777" w:rsidR="00016FE1" w:rsidRPr="00F264DD" w:rsidRDefault="00016FE1" w:rsidP="002B6227">
      <w:pPr>
        <w:ind w:left="851" w:right="283"/>
        <w:jc w:val="both"/>
        <w:rPr>
          <w:rFonts w:ascii="Gotham" w:hAnsi="Gotham" w:cs="Arial"/>
          <w:i/>
          <w:sz w:val="19"/>
          <w:szCs w:val="19"/>
        </w:rPr>
      </w:pPr>
      <w:r w:rsidRPr="00F264DD">
        <w:rPr>
          <w:rFonts w:ascii="Gotham" w:hAnsi="Gotham" w:cs="Arial"/>
          <w:i/>
          <w:sz w:val="19"/>
          <w:szCs w:val="19"/>
        </w:rPr>
        <w:t>Por el momento nuestro programa no empata con lo que el programa RECREA cuenta.</w:t>
      </w:r>
    </w:p>
    <w:p w14:paraId="3A473E41" w14:textId="77777777" w:rsidR="00016FE1" w:rsidRPr="00C167C4" w:rsidRDefault="00016FE1" w:rsidP="002B6227">
      <w:pPr>
        <w:ind w:left="567" w:hanging="567"/>
        <w:jc w:val="both"/>
        <w:rPr>
          <w:rFonts w:ascii="Gotham" w:hAnsi="Gotham"/>
          <w:sz w:val="20"/>
          <w:szCs w:val="20"/>
        </w:rPr>
      </w:pPr>
    </w:p>
    <w:p w14:paraId="3A473E42" w14:textId="77777777" w:rsidR="00016FE1" w:rsidRPr="00BD3343" w:rsidRDefault="00016FE1" w:rsidP="002B6227">
      <w:pPr>
        <w:ind w:left="567"/>
        <w:jc w:val="both"/>
        <w:rPr>
          <w:rFonts w:ascii="Gotham" w:hAnsi="Gotham"/>
          <w:sz w:val="20"/>
          <w:szCs w:val="20"/>
        </w:rPr>
      </w:pPr>
      <w:r w:rsidRPr="00BD3343">
        <w:rPr>
          <w:rFonts w:ascii="Gotham" w:hAnsi="Gotham"/>
          <w:sz w:val="20"/>
          <w:szCs w:val="20"/>
        </w:rPr>
        <w:t>Se solicitó mediante el oficio COM/RPCAPL/MMB/029/2024.a La Dirección General de Bienestar Social del Ayuntamiento, remite su opinión técnica manifestando lo siguiente.</w:t>
      </w:r>
    </w:p>
    <w:p w14:paraId="3A473E43" w14:textId="77777777" w:rsidR="00016FE1" w:rsidRPr="00BD3343" w:rsidRDefault="00016FE1" w:rsidP="002B6227">
      <w:pPr>
        <w:ind w:left="567" w:hanging="567"/>
        <w:jc w:val="both"/>
        <w:rPr>
          <w:rFonts w:ascii="Gotham" w:hAnsi="Gotham"/>
          <w:sz w:val="20"/>
          <w:szCs w:val="20"/>
        </w:rPr>
      </w:pPr>
    </w:p>
    <w:p w14:paraId="3A473E44" w14:textId="77777777" w:rsidR="00016FE1" w:rsidRPr="00F264DD" w:rsidRDefault="00016FE1" w:rsidP="002B6227">
      <w:pPr>
        <w:ind w:left="851" w:right="283"/>
        <w:jc w:val="both"/>
        <w:rPr>
          <w:rFonts w:ascii="Gotham" w:hAnsi="Gotham" w:cs="Arial"/>
          <w:i/>
          <w:sz w:val="19"/>
          <w:szCs w:val="19"/>
        </w:rPr>
      </w:pPr>
      <w:r w:rsidRPr="00F264DD">
        <w:rPr>
          <w:rFonts w:ascii="Gotham" w:hAnsi="Gotham" w:cs="Arial"/>
          <w:i/>
          <w:sz w:val="19"/>
          <w:szCs w:val="19"/>
        </w:rPr>
        <w:t>En razón de ello le comunico que ésta Dirección General de Bienestar Social no cuenta con espacios físicos así como con el personal necesario para llevar a cabo la implementación de dicho programa. Sin embargo, como principal creyente de que la sociedad requiere de más y mejores herramientas para crecer y con ello ser mejores, es que se proponer trabajar de la mano de cada uno de los funcionarios y/o servidores públicos para la realización de los talleres antes mencionados, así como de su respectivo manual de protocolo y procesos.</w:t>
      </w:r>
    </w:p>
    <w:p w14:paraId="3A473E45" w14:textId="77777777" w:rsidR="00016FE1" w:rsidRPr="00BD3343" w:rsidRDefault="00016FE1" w:rsidP="002B6227">
      <w:pPr>
        <w:ind w:left="567" w:hanging="567"/>
        <w:jc w:val="both"/>
        <w:rPr>
          <w:rFonts w:ascii="Gotham" w:hAnsi="Gotham"/>
          <w:sz w:val="20"/>
          <w:szCs w:val="20"/>
        </w:rPr>
      </w:pPr>
    </w:p>
    <w:p w14:paraId="3A473E46" w14:textId="77777777" w:rsidR="00016FE1" w:rsidRPr="00BD3343" w:rsidRDefault="00016FE1" w:rsidP="002B6227">
      <w:pPr>
        <w:ind w:left="567" w:hanging="567"/>
        <w:jc w:val="both"/>
        <w:rPr>
          <w:rFonts w:ascii="Gotham" w:hAnsi="Gotham"/>
          <w:sz w:val="20"/>
          <w:szCs w:val="20"/>
        </w:rPr>
      </w:pPr>
      <w:r w:rsidRPr="00BD3343">
        <w:rPr>
          <w:rFonts w:ascii="Gotham" w:hAnsi="Gotham"/>
          <w:sz w:val="20"/>
          <w:szCs w:val="20"/>
        </w:rPr>
        <w:t xml:space="preserve">B) </w:t>
      </w:r>
      <w:r>
        <w:rPr>
          <w:rFonts w:ascii="Gotham" w:hAnsi="Gotham"/>
          <w:sz w:val="20"/>
          <w:szCs w:val="20"/>
        </w:rPr>
        <w:tab/>
      </w:r>
      <w:r w:rsidRPr="00BD3343">
        <w:rPr>
          <w:rFonts w:ascii="Gotham" w:hAnsi="Gotham"/>
          <w:sz w:val="20"/>
          <w:szCs w:val="20"/>
        </w:rPr>
        <w:t xml:space="preserve">En el estudio que nos otorgan las dependencias de puede identificar que se llevan trabajos de forma institucional por parte del Sistema Municipal para La Familia DIF.-Tonalá, no obstante la </w:t>
      </w:r>
      <w:r w:rsidRPr="00BD3343">
        <w:rPr>
          <w:rFonts w:ascii="Gotham" w:hAnsi="Gotham"/>
          <w:sz w:val="20"/>
          <w:szCs w:val="20"/>
        </w:rPr>
        <w:lastRenderedPageBreak/>
        <w:t>Dirección General de Bienestar no cuenta con una estructura administrativa para el fin que persigue la exposición de motivos del ponente, se propone instruir la Dirección General de Bienestar Social del Ayuntamiento para que por su conducto y en conjunto con la Dirección de Educación Municipal, generen proyectos con el objeto de fortalecer y/o busque suscribir convenios con la Secretaría de Educación, para que este gobierno pueda generar los programas señalados en la iniciativa; así mismo, analice un proyecto y realice un manual de Protocolo y procesos para la creación de un programa paralelo a la Secretaría de Educación.</w:t>
      </w:r>
    </w:p>
    <w:p w14:paraId="3A473E47" w14:textId="77777777" w:rsidR="00016FE1" w:rsidRPr="00BD3343" w:rsidRDefault="00016FE1" w:rsidP="002B6227">
      <w:pPr>
        <w:jc w:val="both"/>
        <w:rPr>
          <w:rFonts w:ascii="Gotham" w:hAnsi="Gotham"/>
          <w:sz w:val="20"/>
          <w:szCs w:val="20"/>
        </w:rPr>
      </w:pPr>
    </w:p>
    <w:p w14:paraId="3A473E48" w14:textId="77777777" w:rsidR="00016FE1" w:rsidRPr="00BD3343" w:rsidRDefault="00016FE1" w:rsidP="002B6227">
      <w:pPr>
        <w:jc w:val="both"/>
        <w:rPr>
          <w:rFonts w:ascii="Gotham" w:hAnsi="Gotham"/>
          <w:sz w:val="20"/>
          <w:szCs w:val="20"/>
        </w:rPr>
      </w:pPr>
      <w:r w:rsidRPr="00BD3343">
        <w:rPr>
          <w:rFonts w:ascii="Gotham" w:hAnsi="Gotham"/>
          <w:sz w:val="20"/>
          <w:szCs w:val="20"/>
        </w:rPr>
        <w:t>Por los argumentos señalados en la parte de las conclusiones, se puede inferir que la propuestas que el autor propone no tiene materia de estudio para que sea incluida en la reglamentación municipal, Derivado del estudio y análisis de los considerandos que integran en el cuerpo del presente dictamen y de conformidad con la legislación, reglamentación y normatividad que rigen el proceso de estudio, dictaminación y aprobación de esta reforma de ordenamiento que, válidamente, adopta el órgano colegiado de Gobierno Municipal, los integrantes de la Comisiones Edilicias que suscribe el presente dictamen, proponemos el siguiente:</w:t>
      </w:r>
    </w:p>
    <w:p w14:paraId="3A473E49" w14:textId="77777777" w:rsidR="00016FE1" w:rsidRPr="00BD3343" w:rsidRDefault="00016FE1" w:rsidP="002B6227">
      <w:pPr>
        <w:jc w:val="both"/>
        <w:rPr>
          <w:rFonts w:ascii="Gotham" w:hAnsi="Gotham"/>
          <w:sz w:val="20"/>
          <w:szCs w:val="20"/>
        </w:rPr>
      </w:pPr>
    </w:p>
    <w:p w14:paraId="3A473E4A" w14:textId="77777777" w:rsidR="00016FE1" w:rsidRPr="00BD3343" w:rsidRDefault="00016FE1" w:rsidP="002B6227">
      <w:pPr>
        <w:jc w:val="center"/>
        <w:rPr>
          <w:rFonts w:ascii="Gotham" w:hAnsi="Gotham"/>
          <w:sz w:val="20"/>
          <w:szCs w:val="20"/>
        </w:rPr>
      </w:pPr>
      <w:r w:rsidRPr="00BD3343">
        <w:rPr>
          <w:rFonts w:ascii="Gotham" w:hAnsi="Gotham"/>
          <w:sz w:val="20"/>
          <w:szCs w:val="20"/>
        </w:rPr>
        <w:t>ACUERDO MUNICIPAL</w:t>
      </w:r>
    </w:p>
    <w:p w14:paraId="3A473E4B" w14:textId="77777777" w:rsidR="00016FE1" w:rsidRPr="00BD3343" w:rsidRDefault="00016FE1" w:rsidP="002B6227">
      <w:pPr>
        <w:jc w:val="both"/>
        <w:rPr>
          <w:rFonts w:ascii="Gotham" w:hAnsi="Gotham"/>
          <w:sz w:val="20"/>
          <w:szCs w:val="20"/>
        </w:rPr>
      </w:pPr>
    </w:p>
    <w:p w14:paraId="3A473E4C" w14:textId="77777777" w:rsidR="00016FE1" w:rsidRPr="00BD3343" w:rsidRDefault="00016FE1" w:rsidP="002B6227">
      <w:pPr>
        <w:jc w:val="both"/>
        <w:rPr>
          <w:rFonts w:ascii="Gotham" w:hAnsi="Gotham"/>
          <w:sz w:val="20"/>
          <w:szCs w:val="20"/>
        </w:rPr>
      </w:pPr>
      <w:r w:rsidRPr="00BD3343">
        <w:rPr>
          <w:rFonts w:ascii="Gotham" w:hAnsi="Gotham"/>
          <w:sz w:val="20"/>
          <w:szCs w:val="20"/>
        </w:rPr>
        <w:t>PRIMERO.- Se Desecha al acuerdo marcado con número 1055 presentado en la Sesión Ordinaria de fecha 04 de marzo de 2024, por los argumentos señalados en el presente dictamen.</w:t>
      </w:r>
    </w:p>
    <w:p w14:paraId="3A473E4D" w14:textId="77777777" w:rsidR="00016FE1" w:rsidRPr="00BD3343" w:rsidRDefault="00016FE1" w:rsidP="002B6227">
      <w:pPr>
        <w:jc w:val="both"/>
        <w:rPr>
          <w:rFonts w:ascii="Gotham" w:hAnsi="Gotham"/>
          <w:sz w:val="20"/>
          <w:szCs w:val="20"/>
        </w:rPr>
      </w:pPr>
    </w:p>
    <w:p w14:paraId="3A473E4E" w14:textId="77777777" w:rsidR="00016FE1" w:rsidRPr="00BD3343" w:rsidRDefault="00016FE1" w:rsidP="002B6227">
      <w:pPr>
        <w:jc w:val="both"/>
        <w:rPr>
          <w:rFonts w:ascii="Gotham" w:hAnsi="Gotham"/>
          <w:sz w:val="20"/>
          <w:szCs w:val="20"/>
        </w:rPr>
      </w:pPr>
      <w:r w:rsidRPr="00BD3343">
        <w:rPr>
          <w:rFonts w:ascii="Gotham" w:hAnsi="Gotham"/>
          <w:sz w:val="20"/>
          <w:szCs w:val="20"/>
        </w:rPr>
        <w:t>SEGUNDO. – Se instruye a la Dirección General de Bienestar Social del Ayuntamiento para que por su conducto y en conjunto con la Dirección de Educación Municipal, generen proyectos con el objeto de fortalecer y/o busque suscribir convenios con la Secretaría de Educación, para que este gobierno pueda generar los programas señalados en la iniciativa; así mismo, analice proyecto y realice manual de Protocolo y Procesos, atendiendo al inicio del ciclo escolar por el periodo de 2024 – 2025, de igual forma, se coordine de forma trasversal con las demás direcciones administrativas de este Ayuntamiento, realizando un vínculo con la Secretaria de Educación Jalisco.</w:t>
      </w:r>
    </w:p>
    <w:p w14:paraId="3A473E4F" w14:textId="77777777" w:rsidR="00016FE1" w:rsidRPr="00BD3343" w:rsidRDefault="00016FE1" w:rsidP="002B6227">
      <w:pPr>
        <w:jc w:val="both"/>
        <w:rPr>
          <w:rFonts w:ascii="Gotham" w:hAnsi="Gotham"/>
          <w:sz w:val="20"/>
          <w:szCs w:val="20"/>
        </w:rPr>
      </w:pPr>
    </w:p>
    <w:p w14:paraId="3A473E50" w14:textId="77777777" w:rsidR="00016FE1" w:rsidRPr="00BD3343" w:rsidRDefault="00016FE1" w:rsidP="002B6227">
      <w:pPr>
        <w:jc w:val="both"/>
        <w:rPr>
          <w:rFonts w:ascii="Gotham" w:hAnsi="Gotham"/>
          <w:sz w:val="20"/>
          <w:szCs w:val="20"/>
        </w:rPr>
      </w:pPr>
      <w:r w:rsidRPr="00BD3343">
        <w:rPr>
          <w:rFonts w:ascii="Gotham" w:hAnsi="Gotham"/>
          <w:sz w:val="20"/>
          <w:szCs w:val="20"/>
        </w:rPr>
        <w:t>TERCERO.- Se instruye a las Direcciones del Ayuntamiento para que generen los instrumentos legales y administrativos en cumplimiento a Acuerdo Segundo.</w:t>
      </w:r>
    </w:p>
    <w:p w14:paraId="3A473E51" w14:textId="77777777" w:rsidR="00016FE1" w:rsidRPr="00BD3343" w:rsidRDefault="00016FE1" w:rsidP="002B6227">
      <w:pPr>
        <w:jc w:val="both"/>
        <w:rPr>
          <w:rFonts w:ascii="Gotham" w:hAnsi="Gotham"/>
          <w:sz w:val="20"/>
          <w:szCs w:val="20"/>
        </w:rPr>
      </w:pPr>
    </w:p>
    <w:p w14:paraId="3A473E52" w14:textId="77777777" w:rsidR="00016FE1" w:rsidRPr="00BD3343" w:rsidRDefault="00016FE1" w:rsidP="002B6227">
      <w:pPr>
        <w:jc w:val="both"/>
        <w:rPr>
          <w:rFonts w:ascii="Gotham" w:hAnsi="Gotham"/>
          <w:sz w:val="20"/>
          <w:szCs w:val="20"/>
        </w:rPr>
      </w:pPr>
      <w:r w:rsidRPr="00BD3343">
        <w:rPr>
          <w:rFonts w:ascii="Gotham" w:hAnsi="Gotham"/>
          <w:sz w:val="20"/>
          <w:szCs w:val="20"/>
        </w:rPr>
        <w:t>CUARTO. – Se faculta al Presidente Municipal, Sindico del Ayuntamiento y se a la Secretaria General de este Ayuntamiento, a suscribir la documentación inherente al cumplimiento del presente ordenamiento.</w:t>
      </w:r>
    </w:p>
    <w:p w14:paraId="3A473E53" w14:textId="77777777" w:rsidR="00016FE1" w:rsidRDefault="00016FE1" w:rsidP="002B6227">
      <w:pPr>
        <w:jc w:val="both"/>
        <w:rPr>
          <w:rFonts w:ascii="Gotham" w:hAnsi="Gotham"/>
          <w:sz w:val="20"/>
          <w:szCs w:val="20"/>
        </w:rPr>
      </w:pPr>
    </w:p>
    <w:p w14:paraId="3A473E54"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3E55" w14:textId="77777777" w:rsidR="00016FE1" w:rsidRPr="00CD0531" w:rsidRDefault="00016FE1" w:rsidP="002B6227">
      <w:pPr>
        <w:jc w:val="both"/>
        <w:rPr>
          <w:rFonts w:ascii="Gotham" w:hAnsi="Gotham" w:cs="Arial"/>
          <w:sz w:val="20"/>
          <w:szCs w:val="20"/>
        </w:rPr>
      </w:pPr>
    </w:p>
    <w:p w14:paraId="3A473E56"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3E57" w14:textId="77777777" w:rsidR="00016FE1" w:rsidRPr="00CD0531" w:rsidRDefault="00016FE1" w:rsidP="002B6227">
      <w:pPr>
        <w:jc w:val="both"/>
        <w:rPr>
          <w:rFonts w:ascii="Gotham" w:hAnsi="Gotham" w:cs="Arial"/>
          <w:sz w:val="20"/>
          <w:szCs w:val="20"/>
        </w:rPr>
      </w:pPr>
    </w:p>
    <w:p w14:paraId="3A473E58"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3E59" w14:textId="77777777" w:rsidR="00016FE1" w:rsidRPr="00CD0531" w:rsidRDefault="00016FE1" w:rsidP="002B6227">
      <w:pPr>
        <w:jc w:val="both"/>
        <w:rPr>
          <w:rFonts w:ascii="Gotham" w:hAnsi="Gotham" w:cs="Arial"/>
          <w:sz w:val="20"/>
          <w:szCs w:val="20"/>
        </w:rPr>
      </w:pPr>
    </w:p>
    <w:p w14:paraId="3A473E5A"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3E5B" w14:textId="77777777" w:rsidR="00016FE1" w:rsidRPr="00CD0531" w:rsidRDefault="00016FE1" w:rsidP="002B6227">
      <w:pPr>
        <w:jc w:val="both"/>
        <w:rPr>
          <w:rFonts w:ascii="Gotham" w:hAnsi="Gotham" w:cs="Arial"/>
          <w:sz w:val="20"/>
          <w:szCs w:val="20"/>
        </w:rPr>
      </w:pPr>
    </w:p>
    <w:p w14:paraId="3A473E5C" w14:textId="77777777" w:rsidR="00016FE1" w:rsidRDefault="00016FE1" w:rsidP="002B6227">
      <w:pPr>
        <w:jc w:val="both"/>
        <w:rPr>
          <w:rFonts w:ascii="Gotham" w:hAnsi="Gotham" w:cs="Arial"/>
          <w:sz w:val="20"/>
          <w:szCs w:val="20"/>
        </w:rPr>
      </w:pPr>
      <w:r w:rsidRPr="00CD0531">
        <w:rPr>
          <w:rFonts w:ascii="Gotham" w:hAnsi="Gotham" w:cs="Arial"/>
          <w:sz w:val="20"/>
          <w:szCs w:val="20"/>
        </w:rPr>
        <w:lastRenderedPageBreak/>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3E5D" w14:textId="77777777" w:rsidR="00016FE1" w:rsidRDefault="00016FE1" w:rsidP="002B6227">
      <w:pPr>
        <w:jc w:val="both"/>
        <w:rPr>
          <w:rFonts w:ascii="Gotham" w:hAnsi="Gotham"/>
          <w:sz w:val="20"/>
          <w:szCs w:val="20"/>
        </w:rPr>
      </w:pPr>
    </w:p>
    <w:p w14:paraId="3A473E5E" w14:textId="77777777" w:rsidR="00016FE1" w:rsidRPr="001275A8" w:rsidRDefault="00016FE1" w:rsidP="002B6227">
      <w:pPr>
        <w:jc w:val="both"/>
        <w:rPr>
          <w:rFonts w:ascii="Gotham" w:hAnsi="Gotham"/>
          <w:sz w:val="20"/>
          <w:szCs w:val="20"/>
        </w:rPr>
      </w:pPr>
    </w:p>
    <w:p w14:paraId="3A473E5F" w14:textId="77777777" w:rsidR="00016FE1" w:rsidRDefault="00016FE1" w:rsidP="002B6227">
      <w:pPr>
        <w:jc w:val="both"/>
        <w:rPr>
          <w:rFonts w:ascii="Gotham" w:hAnsi="Gotham"/>
          <w:sz w:val="20"/>
          <w:szCs w:val="20"/>
        </w:rPr>
      </w:pPr>
      <w:r w:rsidRPr="00025A89">
        <w:rPr>
          <w:rFonts w:ascii="Gotham" w:hAnsi="Gotham"/>
          <w:b/>
          <w:bCs/>
          <w:smallCaps/>
          <w:sz w:val="20"/>
          <w:szCs w:val="20"/>
        </w:rPr>
        <w:t>Sexto Dictamen de Comisión</w:t>
      </w:r>
      <w:r w:rsidRPr="00025A89">
        <w:rPr>
          <w:rFonts w:ascii="Gotham" w:hAnsi="Gotham"/>
          <w:b/>
          <w:bCs/>
          <w:sz w:val="20"/>
          <w:szCs w:val="20"/>
        </w:rPr>
        <w:t xml:space="preserve">.- </w:t>
      </w:r>
      <w:r>
        <w:rPr>
          <w:rFonts w:ascii="Gotham" w:hAnsi="Gotham"/>
          <w:sz w:val="20"/>
          <w:szCs w:val="20"/>
        </w:rPr>
        <w:t>SE RETIRA</w:t>
      </w:r>
      <w:r w:rsidRPr="00025A89">
        <w:rPr>
          <w:rFonts w:ascii="Gotham" w:hAnsi="Gotham"/>
          <w:sz w:val="20"/>
          <w:szCs w:val="20"/>
        </w:rPr>
        <w:t>.</w:t>
      </w:r>
    </w:p>
    <w:p w14:paraId="3A473E60" w14:textId="77777777" w:rsidR="00016FE1" w:rsidRDefault="00016FE1" w:rsidP="002B6227">
      <w:pPr>
        <w:jc w:val="both"/>
        <w:rPr>
          <w:rFonts w:ascii="Gotham" w:hAnsi="Gotham"/>
          <w:sz w:val="20"/>
          <w:szCs w:val="20"/>
        </w:rPr>
      </w:pPr>
    </w:p>
    <w:p w14:paraId="3A473E61" w14:textId="77777777" w:rsidR="00016FE1" w:rsidRPr="00A71302" w:rsidRDefault="00016FE1" w:rsidP="002B6227">
      <w:pPr>
        <w:jc w:val="both"/>
        <w:rPr>
          <w:rFonts w:ascii="Gotham" w:hAnsi="Gotham"/>
          <w:sz w:val="20"/>
          <w:szCs w:val="20"/>
        </w:rPr>
      </w:pPr>
    </w:p>
    <w:p w14:paraId="3A473E62" w14:textId="77777777" w:rsidR="00016FE1" w:rsidRPr="00F616A8" w:rsidRDefault="00016FE1" w:rsidP="002B6227">
      <w:pPr>
        <w:pStyle w:val="western"/>
        <w:spacing w:before="0" w:beforeAutospacing="0"/>
        <w:jc w:val="right"/>
        <w:rPr>
          <w:rFonts w:ascii="Gotham" w:hAnsi="Gotham"/>
          <w:b/>
          <w:sz w:val="22"/>
          <w:szCs w:val="22"/>
          <w:u w:val="single"/>
        </w:rPr>
      </w:pPr>
      <w:r w:rsidRPr="00F616A8">
        <w:rPr>
          <w:rFonts w:ascii="Gotham" w:hAnsi="Gotham"/>
          <w:b/>
          <w:sz w:val="22"/>
          <w:szCs w:val="22"/>
          <w:u w:val="single"/>
        </w:rPr>
        <w:t xml:space="preserve">ACUERDO NO. </w:t>
      </w:r>
      <w:r>
        <w:rPr>
          <w:rFonts w:ascii="Gotham" w:hAnsi="Gotham"/>
          <w:b/>
          <w:sz w:val="22"/>
          <w:szCs w:val="22"/>
          <w:u w:val="single"/>
        </w:rPr>
        <w:t>1133</w:t>
      </w:r>
    </w:p>
    <w:p w14:paraId="3A473E63" w14:textId="77777777" w:rsidR="00016FE1" w:rsidRDefault="00016FE1" w:rsidP="002B6227">
      <w:pPr>
        <w:jc w:val="both"/>
        <w:rPr>
          <w:rFonts w:ascii="Gotham" w:hAnsi="Gotham"/>
          <w:sz w:val="20"/>
          <w:szCs w:val="20"/>
        </w:rPr>
      </w:pPr>
      <w:r w:rsidRPr="007D148D">
        <w:rPr>
          <w:rFonts w:ascii="Gotham" w:hAnsi="Gotham"/>
          <w:b/>
          <w:bCs/>
          <w:smallCaps/>
          <w:sz w:val="20"/>
          <w:szCs w:val="20"/>
        </w:rPr>
        <w:t xml:space="preserve">Séptimo Dictamen de Comisión.- </w:t>
      </w:r>
      <w:r w:rsidRPr="007D148D">
        <w:rPr>
          <w:rFonts w:ascii="Gotham" w:hAnsi="Gotham"/>
          <w:sz w:val="20"/>
          <w:szCs w:val="20"/>
        </w:rPr>
        <w:t xml:space="preserve">En uso de la voz el Presidente Municipal, Sergio Armando Chávez Dávalos, expresa que, se da cuenta del dictamen que presenta la </w:t>
      </w:r>
      <w:r>
        <w:rPr>
          <w:rFonts w:ascii="Gotham" w:hAnsi="Gotham"/>
          <w:sz w:val="20"/>
          <w:szCs w:val="20"/>
        </w:rPr>
        <w:t>Comisió</w:t>
      </w:r>
      <w:r w:rsidRPr="007D148D">
        <w:rPr>
          <w:rFonts w:ascii="Gotham" w:hAnsi="Gotham"/>
          <w:sz w:val="20"/>
          <w:szCs w:val="20"/>
        </w:rPr>
        <w:t xml:space="preserve">n Edilicia </w:t>
      </w:r>
      <w:r w:rsidRPr="007D148D">
        <w:rPr>
          <w:rFonts w:ascii="Gotham" w:hAnsi="Gotham" w:cs="Arial"/>
          <w:sz w:val="20"/>
          <w:szCs w:val="20"/>
        </w:rPr>
        <w:t>Hacienda Municipal y Presupuestos.</w:t>
      </w:r>
    </w:p>
    <w:p w14:paraId="3A473E64" w14:textId="77777777" w:rsidR="00016FE1" w:rsidRPr="007D148D" w:rsidRDefault="00016FE1" w:rsidP="002B6227">
      <w:pPr>
        <w:jc w:val="both"/>
        <w:rPr>
          <w:rFonts w:ascii="Gotham" w:hAnsi="Gotham"/>
          <w:sz w:val="20"/>
          <w:szCs w:val="20"/>
        </w:rPr>
      </w:pPr>
    </w:p>
    <w:p w14:paraId="3A473E65" w14:textId="77777777" w:rsidR="00016FE1" w:rsidRPr="007D148D" w:rsidRDefault="00016FE1" w:rsidP="002B6227">
      <w:pPr>
        <w:jc w:val="both"/>
        <w:rPr>
          <w:rFonts w:ascii="Gotham" w:hAnsi="Gotham"/>
          <w:sz w:val="20"/>
          <w:szCs w:val="20"/>
        </w:rPr>
      </w:pPr>
      <w:r w:rsidRPr="007D148D">
        <w:rPr>
          <w:rFonts w:ascii="Gotham" w:hAnsi="Gotham"/>
          <w:sz w:val="20"/>
          <w:szCs w:val="20"/>
        </w:rPr>
        <w:t>Los que suscri</w:t>
      </w:r>
      <w:r>
        <w:rPr>
          <w:rFonts w:ascii="Gotham" w:hAnsi="Gotham"/>
          <w:sz w:val="20"/>
          <w:szCs w:val="20"/>
        </w:rPr>
        <w:t xml:space="preserve">ben integrantes de la Comisión </w:t>
      </w:r>
      <w:r w:rsidRPr="007D148D">
        <w:rPr>
          <w:rFonts w:ascii="Gotham" w:hAnsi="Gotham"/>
          <w:sz w:val="20"/>
          <w:szCs w:val="20"/>
        </w:rPr>
        <w:t>Edilicia de Hacienda Municipal y Presupuestos, con fundamento en lo dispuesto por el artículo 115, fracción II, de la Constitución Política de los Estados Unidos Mexicanos; artículo 77, fracción II, de la Constitución Política</w:t>
      </w:r>
      <w:r w:rsidR="009F075D">
        <w:rPr>
          <w:rFonts w:ascii="Gotham" w:hAnsi="Gotham"/>
          <w:sz w:val="20"/>
          <w:szCs w:val="20"/>
        </w:rPr>
        <w:t xml:space="preserve"> </w:t>
      </w:r>
      <w:r w:rsidRPr="007D148D">
        <w:rPr>
          <w:rFonts w:ascii="Gotham" w:hAnsi="Gotham"/>
          <w:sz w:val="20"/>
          <w:szCs w:val="20"/>
        </w:rPr>
        <w:t>del Estado de Jalisco; los artículos diversos de la Ley del Gobierno y la Administración Pública Municipal del Estado de Jalisco; así como los relativos del Reglamento del Gobierno y la Administración Pública del Ayuntamiento Co</w:t>
      </w:r>
      <w:r>
        <w:rPr>
          <w:rFonts w:ascii="Gotham" w:hAnsi="Gotham"/>
          <w:sz w:val="20"/>
          <w:szCs w:val="20"/>
        </w:rPr>
        <w:t>nstitucional de Tonalá, Jalisco;</w:t>
      </w:r>
      <w:r w:rsidRPr="007D148D">
        <w:rPr>
          <w:rFonts w:ascii="Gotham" w:hAnsi="Gotham"/>
          <w:sz w:val="20"/>
          <w:szCs w:val="20"/>
        </w:rPr>
        <w:t xml:space="preserve"> nos permitimos someter a la elevada y distinguida consideración de este Cuerpo Edilicio, el presente DICTAMEN DE COMISIÓN que tiene por objeto atender solicitud de la Asociación de los Ganaderos e Introductores de Cárnicos de Tonalá, Jalisco, quienes solicitan se inicie el proceso de asignación directa de la concesión pública del servicio del Rastro Municipal, razón por la cual hacemos de su conocimiento los siguientes </w:t>
      </w:r>
    </w:p>
    <w:p w14:paraId="3A473E66" w14:textId="77777777" w:rsidR="00016FE1" w:rsidRPr="007D148D" w:rsidRDefault="00016FE1" w:rsidP="002B6227">
      <w:pPr>
        <w:jc w:val="both"/>
        <w:rPr>
          <w:rFonts w:ascii="Gotham" w:hAnsi="Gotham"/>
          <w:sz w:val="20"/>
          <w:szCs w:val="20"/>
        </w:rPr>
      </w:pPr>
    </w:p>
    <w:p w14:paraId="3A473E67" w14:textId="77777777" w:rsidR="00016FE1" w:rsidRPr="007D148D" w:rsidRDefault="00016FE1" w:rsidP="002B6227">
      <w:pPr>
        <w:jc w:val="center"/>
        <w:rPr>
          <w:rFonts w:ascii="Gotham" w:hAnsi="Gotham"/>
          <w:sz w:val="20"/>
          <w:szCs w:val="20"/>
        </w:rPr>
      </w:pPr>
      <w:r>
        <w:rPr>
          <w:rFonts w:ascii="Gotham" w:hAnsi="Gotham"/>
          <w:sz w:val="20"/>
          <w:szCs w:val="20"/>
        </w:rPr>
        <w:t>A N T E C E D E N T E S</w:t>
      </w:r>
    </w:p>
    <w:p w14:paraId="3A473E68" w14:textId="77777777" w:rsidR="00016FE1" w:rsidRPr="007D148D" w:rsidRDefault="00016FE1" w:rsidP="002B6227">
      <w:pPr>
        <w:jc w:val="both"/>
        <w:rPr>
          <w:rFonts w:ascii="Gotham" w:hAnsi="Gotham"/>
          <w:sz w:val="20"/>
          <w:szCs w:val="20"/>
        </w:rPr>
      </w:pPr>
    </w:p>
    <w:p w14:paraId="3A473E69" w14:textId="77777777" w:rsidR="00016FE1" w:rsidRPr="007D148D" w:rsidRDefault="00016FE1" w:rsidP="002B6227">
      <w:pPr>
        <w:ind w:left="567" w:hanging="567"/>
        <w:jc w:val="both"/>
        <w:rPr>
          <w:rFonts w:ascii="Gotham" w:hAnsi="Gotham"/>
          <w:sz w:val="20"/>
          <w:szCs w:val="20"/>
        </w:rPr>
      </w:pPr>
      <w:r w:rsidRPr="007D148D">
        <w:rPr>
          <w:rFonts w:ascii="Gotham" w:hAnsi="Gotham"/>
          <w:sz w:val="20"/>
          <w:szCs w:val="20"/>
        </w:rPr>
        <w:t xml:space="preserve">I.- </w:t>
      </w:r>
      <w:r>
        <w:rPr>
          <w:rFonts w:ascii="Gotham" w:hAnsi="Gotham"/>
          <w:sz w:val="20"/>
          <w:szCs w:val="20"/>
        </w:rPr>
        <w:tab/>
      </w:r>
      <w:r w:rsidRPr="007D148D">
        <w:rPr>
          <w:rFonts w:ascii="Gotham" w:hAnsi="Gotham"/>
          <w:sz w:val="20"/>
          <w:szCs w:val="20"/>
        </w:rPr>
        <w:t>Mediante acuerdo número 853, de la Sesión Ordinaria de Ayuntamiento de fecha 28 de septiembre del año 2023 dos mil veintitrés, se aprobó turnar a la Comisión de Hacienda y Presupuestos, el siguiente turno a comisión:</w:t>
      </w:r>
    </w:p>
    <w:p w14:paraId="3A473E6A" w14:textId="77777777" w:rsidR="00016FE1" w:rsidRDefault="00016FE1" w:rsidP="002B6227">
      <w:pPr>
        <w:pStyle w:val="western"/>
        <w:spacing w:before="0" w:beforeAutospacing="0"/>
        <w:jc w:val="both"/>
        <w:rPr>
          <w:rFonts w:ascii="Arial" w:hAnsi="Arial" w:cs="Arial"/>
          <w:sz w:val="22"/>
          <w:szCs w:val="22"/>
        </w:rPr>
      </w:pPr>
    </w:p>
    <w:p w14:paraId="3A473E6B" w14:textId="77777777" w:rsidR="00016FE1" w:rsidRPr="008B7FA3" w:rsidRDefault="00016FE1" w:rsidP="002B6227">
      <w:pPr>
        <w:pStyle w:val="western"/>
        <w:spacing w:before="0" w:beforeAutospacing="0"/>
        <w:ind w:left="851" w:right="283"/>
        <w:jc w:val="right"/>
        <w:rPr>
          <w:rFonts w:ascii="Gotham" w:hAnsi="Gotham" w:cs="Arial"/>
          <w:b/>
          <w:i/>
          <w:sz w:val="19"/>
          <w:szCs w:val="19"/>
          <w:u w:val="single"/>
        </w:rPr>
      </w:pPr>
      <w:r w:rsidRPr="008B7FA3">
        <w:rPr>
          <w:rFonts w:ascii="Gotham" w:hAnsi="Gotham" w:cs="Arial"/>
          <w:b/>
          <w:i/>
          <w:sz w:val="19"/>
          <w:szCs w:val="19"/>
          <w:u w:val="single"/>
        </w:rPr>
        <w:t>ACUERDO NO. 853</w:t>
      </w:r>
    </w:p>
    <w:p w14:paraId="3A473E6C"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b/>
          <w:bCs/>
          <w:i/>
          <w:smallCaps/>
          <w:sz w:val="19"/>
          <w:szCs w:val="19"/>
        </w:rPr>
        <w:t>Tercera Iniciativa con Turno a Comisión</w:t>
      </w:r>
      <w:r w:rsidRPr="008B7FA3">
        <w:rPr>
          <w:rFonts w:ascii="Gotham" w:hAnsi="Gotham" w:cs="Arial"/>
          <w:b/>
          <w:bCs/>
          <w:i/>
          <w:sz w:val="19"/>
          <w:szCs w:val="19"/>
        </w:rPr>
        <w:t xml:space="preserve">.- </w:t>
      </w:r>
      <w:r w:rsidRPr="008B7FA3">
        <w:rPr>
          <w:rFonts w:ascii="Gotham" w:hAnsi="Gotham" w:cs="Arial"/>
          <w:i/>
          <w:sz w:val="19"/>
          <w:szCs w:val="19"/>
        </w:rPr>
        <w:t>En uso de la voz el Síndico, Nicolás Maestro Landeros, menciona que, con su venia Presidente, buenas tardes a todas y todos mis compañeros Regidores, a la Secretaría General, así como los que nos siguen por los medios digitales, tengo a bien presentar iniciativa de acuerdo municipal que emite turno a comisión. Le solicito a la Secretaría General tenga a bien el apoyarme a insertar el documento íntegro en el acta de la sesión, conforme fue remitido para esta sesión</w:t>
      </w:r>
    </w:p>
    <w:p w14:paraId="3A473E6D" w14:textId="77777777" w:rsidR="00016FE1" w:rsidRPr="008B7FA3" w:rsidRDefault="00016FE1" w:rsidP="002B6227">
      <w:pPr>
        <w:ind w:left="851" w:right="283"/>
        <w:jc w:val="both"/>
        <w:rPr>
          <w:rFonts w:ascii="Gotham" w:hAnsi="Gotham" w:cs="Arial"/>
          <w:i/>
          <w:sz w:val="19"/>
          <w:szCs w:val="19"/>
        </w:rPr>
      </w:pPr>
    </w:p>
    <w:p w14:paraId="3A473E6E"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El que suscribe, Síndico del Ayuntamiento Constitucional de Tonalá; Jalisco; Abogado Nicolás Maestro Landeros, en uso de las facultades que me confieren los artículos 41, fracción II, y 53 de la Ley del Gobierno y la Administración Pública Municipal del Estado de Jalisco; el artículo 56, fracción III, del Reglamento del Gobierno y la Administración Pública del Ayuntamiento Constitucional de Tonalá, Jalisco; así como los artículos 82, fracción I, y 83 del Reglamento para el Funcionamiento Interno de Sesiones del Ayuntamiento Constitucional de Tonalá, Jalisco; someto a consideración de este Ayuntamiento la presente Iniciativa de Acuerdo con turno a comisión que tiene por objeto atender solicitud de la Asociación de los Ganaderos e Introductores de Cárnicos de Tonalá, Jalisco, quienes solicitan se inicie el proceso de asignación directa de la concesión pública del Servicio del Rastro Municipal; lo anterior con sustento en la siguiente:</w:t>
      </w:r>
    </w:p>
    <w:p w14:paraId="3A473E6F" w14:textId="77777777" w:rsidR="00016FE1" w:rsidRPr="008B7FA3" w:rsidRDefault="00016FE1" w:rsidP="002B6227">
      <w:pPr>
        <w:ind w:left="851" w:right="283"/>
        <w:jc w:val="both"/>
        <w:rPr>
          <w:rFonts w:ascii="Gotham" w:hAnsi="Gotham" w:cs="Arial"/>
          <w:i/>
          <w:sz w:val="19"/>
          <w:szCs w:val="19"/>
        </w:rPr>
      </w:pPr>
    </w:p>
    <w:p w14:paraId="3A473E70" w14:textId="77777777" w:rsidR="00016FE1" w:rsidRPr="008B7FA3" w:rsidRDefault="00016FE1" w:rsidP="002B6227">
      <w:pPr>
        <w:ind w:left="851" w:right="283"/>
        <w:jc w:val="center"/>
        <w:rPr>
          <w:rFonts w:ascii="Gotham" w:hAnsi="Gotham" w:cs="Arial"/>
          <w:i/>
          <w:sz w:val="19"/>
          <w:szCs w:val="19"/>
        </w:rPr>
      </w:pPr>
      <w:r w:rsidRPr="008B7FA3">
        <w:rPr>
          <w:rFonts w:ascii="Gotham" w:hAnsi="Gotham" w:cs="Arial"/>
          <w:i/>
          <w:sz w:val="19"/>
          <w:szCs w:val="19"/>
        </w:rPr>
        <w:t>EXPOSICIÓN DE MOTIVOS</w:t>
      </w:r>
    </w:p>
    <w:p w14:paraId="3A473E71" w14:textId="77777777" w:rsidR="00016FE1" w:rsidRPr="008B7FA3" w:rsidRDefault="00016FE1" w:rsidP="002B6227">
      <w:pPr>
        <w:ind w:left="851" w:right="283"/>
        <w:jc w:val="both"/>
        <w:rPr>
          <w:rFonts w:ascii="Gotham" w:hAnsi="Gotham" w:cs="Arial"/>
          <w:i/>
          <w:sz w:val="19"/>
          <w:szCs w:val="19"/>
        </w:rPr>
      </w:pPr>
    </w:p>
    <w:p w14:paraId="3A473E72" w14:textId="77777777" w:rsidR="00016FE1" w:rsidRPr="008B7FA3" w:rsidRDefault="00016FE1" w:rsidP="002B6227">
      <w:pPr>
        <w:ind w:left="1276" w:right="283" w:hanging="425"/>
        <w:jc w:val="both"/>
        <w:rPr>
          <w:rFonts w:ascii="Gotham" w:hAnsi="Gotham" w:cs="Arial"/>
          <w:i/>
          <w:sz w:val="19"/>
          <w:szCs w:val="19"/>
        </w:rPr>
      </w:pPr>
      <w:r w:rsidRPr="008B7FA3">
        <w:rPr>
          <w:rFonts w:ascii="Gotham" w:hAnsi="Gotham" w:cs="Arial"/>
          <w:i/>
          <w:sz w:val="19"/>
          <w:szCs w:val="19"/>
        </w:rPr>
        <w:t xml:space="preserve">I. </w:t>
      </w:r>
      <w:r w:rsidRPr="008B7FA3">
        <w:rPr>
          <w:rFonts w:ascii="Gotham" w:hAnsi="Gotham" w:cs="Arial"/>
          <w:i/>
          <w:sz w:val="19"/>
          <w:szCs w:val="19"/>
        </w:rPr>
        <w:tab/>
        <w:t xml:space="preserve">El día 3 tres de agosto de 2023, la Procuraduría Estatal de Protección al Ambiente, realizó el acta de verificación con número DOA/551/2023, con la que se realizó en materia la </w:t>
      </w:r>
      <w:r w:rsidRPr="008B7FA3">
        <w:rPr>
          <w:rFonts w:ascii="Gotham" w:hAnsi="Gotham" w:cs="Arial"/>
          <w:i/>
          <w:sz w:val="19"/>
          <w:szCs w:val="19"/>
        </w:rPr>
        <w:lastRenderedPageBreak/>
        <w:t>Clausura del Rastro Municipal, por no cumplir con las medidas necesaria para su funcionamiento.</w:t>
      </w:r>
    </w:p>
    <w:p w14:paraId="3A473E73" w14:textId="77777777" w:rsidR="00016FE1" w:rsidRPr="008B7FA3" w:rsidRDefault="00016FE1" w:rsidP="002B6227">
      <w:pPr>
        <w:ind w:left="1276" w:right="283" w:hanging="425"/>
        <w:jc w:val="both"/>
        <w:rPr>
          <w:rFonts w:ascii="Gotham" w:hAnsi="Gotham" w:cs="Arial"/>
          <w:i/>
          <w:sz w:val="19"/>
          <w:szCs w:val="19"/>
        </w:rPr>
      </w:pPr>
    </w:p>
    <w:p w14:paraId="3A473E74" w14:textId="77777777" w:rsidR="00016FE1" w:rsidRPr="008B7FA3" w:rsidRDefault="00016FE1" w:rsidP="002B6227">
      <w:pPr>
        <w:ind w:left="1276" w:right="283" w:hanging="425"/>
        <w:jc w:val="both"/>
        <w:rPr>
          <w:rFonts w:ascii="Gotham" w:hAnsi="Gotham" w:cs="Arial"/>
          <w:i/>
          <w:sz w:val="19"/>
          <w:szCs w:val="19"/>
        </w:rPr>
      </w:pPr>
      <w:r w:rsidRPr="008B7FA3">
        <w:rPr>
          <w:rFonts w:ascii="Gotham" w:hAnsi="Gotham" w:cs="Arial"/>
          <w:i/>
          <w:sz w:val="19"/>
          <w:szCs w:val="19"/>
        </w:rPr>
        <w:t xml:space="preserve">II. </w:t>
      </w:r>
      <w:r w:rsidRPr="008B7FA3">
        <w:rPr>
          <w:rFonts w:ascii="Gotham" w:hAnsi="Gotham" w:cs="Arial"/>
          <w:i/>
          <w:sz w:val="19"/>
          <w:szCs w:val="19"/>
        </w:rPr>
        <w:tab/>
        <w:t>El día 10 de agosto 2023, se recibió oficio de la asociación de Ganaderos con el que pedían la intervención de la autoridad municipal, para poder continuar con sus labores de matanza dentro del rastro municipal, motivo que se solicitó mediante el oficio “Sindicatura/NML/15/2023”sic, a la Dirección General de Planeación y Desarrollo Urbano Sustentable, con atención a la Dirección de Ecología y Cambio Climático, el informe detallado de las acciones de mitigación de contaminación por descargas de aguas residuales y del proceso del Rastro Municipal a la Red de drenaje señalado en el oficio Sindicatura/NML/3143/2022 referente a las observaciones del Acuerdo número 2112/738/2022 de fecha 22 de septiembre 2022. En cual fue atendido con oficio DGPDUS/DECC/1901/2023 de fecha 24 de julio de 2023 al jefe del Rastro Municipal Eduardo Murillo Arellano a cumplir con lo que establece la normatividad ambiental para el funcionamiento.</w:t>
      </w:r>
    </w:p>
    <w:p w14:paraId="3A473E75" w14:textId="77777777" w:rsidR="00016FE1" w:rsidRPr="008B7FA3" w:rsidRDefault="00016FE1" w:rsidP="002B6227">
      <w:pPr>
        <w:ind w:left="1276" w:right="283" w:hanging="425"/>
        <w:jc w:val="both"/>
        <w:rPr>
          <w:rFonts w:ascii="Gotham" w:hAnsi="Gotham" w:cs="Arial"/>
          <w:i/>
          <w:sz w:val="19"/>
          <w:szCs w:val="19"/>
        </w:rPr>
      </w:pPr>
    </w:p>
    <w:p w14:paraId="3A473E76" w14:textId="77777777" w:rsidR="00016FE1" w:rsidRPr="008B7FA3" w:rsidRDefault="00016FE1" w:rsidP="002B6227">
      <w:pPr>
        <w:ind w:left="1276" w:right="283" w:hanging="425"/>
        <w:jc w:val="both"/>
        <w:rPr>
          <w:rFonts w:ascii="Gotham" w:hAnsi="Gotham" w:cs="Arial"/>
          <w:i/>
          <w:sz w:val="19"/>
          <w:szCs w:val="19"/>
        </w:rPr>
      </w:pPr>
      <w:r w:rsidRPr="008B7FA3">
        <w:rPr>
          <w:rFonts w:ascii="Gotham" w:hAnsi="Gotham" w:cs="Arial"/>
          <w:i/>
          <w:sz w:val="19"/>
          <w:szCs w:val="19"/>
        </w:rPr>
        <w:t xml:space="preserve">III. </w:t>
      </w:r>
      <w:r w:rsidRPr="008B7FA3">
        <w:rPr>
          <w:rFonts w:ascii="Gotham" w:hAnsi="Gotham" w:cs="Arial"/>
          <w:i/>
          <w:sz w:val="19"/>
          <w:szCs w:val="19"/>
        </w:rPr>
        <w:tab/>
        <w:t>El día 25 de agosto de 2023, en mi carácter de Síndico atendí, por instrucciones del Presidente Municipal, a un pequeño grupo de asociados ganaderos para escuchar sus avances e inquietudes, quienes expresaban que por su cuenta acudieron a la Procuraduría Estatal de Protección Ambiental del Estado, quienes les pedía una serie de mejora al edificio para poder operar de forma temporal, por este razonamiento ellos estaban en toda la disposición de realizarlas a costo de los asociados, con la finalidad que el Ayuntamiento pueda apoyar a su gremio que está siendo afectado.</w:t>
      </w:r>
    </w:p>
    <w:p w14:paraId="3A473E77" w14:textId="77777777" w:rsidR="00016FE1" w:rsidRPr="008B7FA3" w:rsidRDefault="00016FE1" w:rsidP="002B6227">
      <w:pPr>
        <w:ind w:left="1276" w:right="283" w:hanging="425"/>
        <w:jc w:val="both"/>
        <w:rPr>
          <w:rFonts w:ascii="Gotham" w:hAnsi="Gotham" w:cs="Arial"/>
          <w:i/>
          <w:sz w:val="19"/>
          <w:szCs w:val="19"/>
        </w:rPr>
      </w:pPr>
    </w:p>
    <w:p w14:paraId="3A473E78" w14:textId="77777777" w:rsidR="00016FE1" w:rsidRPr="008B7FA3" w:rsidRDefault="00016FE1" w:rsidP="002B6227">
      <w:pPr>
        <w:ind w:left="1276" w:right="283" w:hanging="425"/>
        <w:jc w:val="both"/>
        <w:rPr>
          <w:rFonts w:ascii="Gotham" w:hAnsi="Gotham" w:cs="Arial"/>
          <w:i/>
          <w:sz w:val="19"/>
          <w:szCs w:val="19"/>
        </w:rPr>
      </w:pPr>
      <w:r w:rsidRPr="008B7FA3">
        <w:rPr>
          <w:rFonts w:ascii="Gotham" w:hAnsi="Gotham" w:cs="Arial"/>
          <w:i/>
          <w:sz w:val="19"/>
          <w:szCs w:val="19"/>
        </w:rPr>
        <w:t xml:space="preserve">IV. </w:t>
      </w:r>
      <w:r w:rsidRPr="008B7FA3">
        <w:rPr>
          <w:rFonts w:ascii="Gotham" w:hAnsi="Gotham" w:cs="Arial"/>
          <w:i/>
          <w:sz w:val="19"/>
          <w:szCs w:val="19"/>
        </w:rPr>
        <w:tab/>
        <w:t>Acto seguido el día 7 de septiembre se llevó a cabo reunión entre la autoridad municipal representada por el Presidente Municipal, Síndico del Ayuntamiento, Titular del Órgano Interno de Control, Jefatura de Instrumentos del Jurídico, con los Asociados de los Ganaderos e Introductores de Cárnicos de Tonalá, Jalisco; en donde se presentó la problemática, alcances y soluciones que pueden realizarse en conjunto entre los asociados y la autoridad.</w:t>
      </w:r>
    </w:p>
    <w:p w14:paraId="3A473E79" w14:textId="77777777" w:rsidR="00016FE1" w:rsidRPr="008B7FA3" w:rsidRDefault="00016FE1" w:rsidP="002B6227">
      <w:pPr>
        <w:ind w:left="1276" w:right="283" w:hanging="425"/>
        <w:jc w:val="both"/>
        <w:rPr>
          <w:rFonts w:ascii="Gotham" w:hAnsi="Gotham" w:cs="Arial"/>
          <w:i/>
          <w:sz w:val="19"/>
          <w:szCs w:val="19"/>
        </w:rPr>
      </w:pPr>
    </w:p>
    <w:p w14:paraId="3A473E7A" w14:textId="77777777" w:rsidR="00016FE1" w:rsidRPr="008B7FA3" w:rsidRDefault="00016FE1" w:rsidP="002B6227">
      <w:pPr>
        <w:ind w:left="1276" w:right="283" w:hanging="425"/>
        <w:jc w:val="both"/>
        <w:rPr>
          <w:rFonts w:ascii="Gotham" w:hAnsi="Gotham" w:cs="Arial"/>
          <w:i/>
          <w:sz w:val="19"/>
          <w:szCs w:val="19"/>
        </w:rPr>
      </w:pPr>
      <w:r w:rsidRPr="008B7FA3">
        <w:rPr>
          <w:rFonts w:ascii="Gotham" w:hAnsi="Gotham" w:cs="Arial"/>
          <w:i/>
          <w:sz w:val="19"/>
          <w:szCs w:val="19"/>
        </w:rPr>
        <w:t xml:space="preserve">V. </w:t>
      </w:r>
      <w:r w:rsidRPr="008B7FA3">
        <w:rPr>
          <w:rFonts w:ascii="Gotham" w:hAnsi="Gotham" w:cs="Arial"/>
          <w:i/>
          <w:sz w:val="19"/>
          <w:szCs w:val="19"/>
        </w:rPr>
        <w:tab/>
        <w:t>Por parte de los Asociados Ganaderos e Introductores de Cárnicos de Tonalá, Jalisco, decidieron por su cuenta buscar el constituirse en una asociación de carácter mercantil con la finalidad de poder contar con personalidad jurídica amplia bastante para que el Ayuntamiento pueda estudiar en todo caso su solicitud.</w:t>
      </w:r>
    </w:p>
    <w:p w14:paraId="3A473E7B" w14:textId="77777777" w:rsidR="00016FE1" w:rsidRPr="008B7FA3" w:rsidRDefault="00016FE1" w:rsidP="002B6227">
      <w:pPr>
        <w:ind w:left="1276" w:right="283" w:hanging="425"/>
        <w:jc w:val="both"/>
        <w:rPr>
          <w:rFonts w:ascii="Gotham" w:hAnsi="Gotham" w:cs="Arial"/>
          <w:i/>
          <w:sz w:val="19"/>
          <w:szCs w:val="19"/>
        </w:rPr>
      </w:pPr>
    </w:p>
    <w:p w14:paraId="3A473E7C" w14:textId="77777777" w:rsidR="00016FE1" w:rsidRPr="008B7FA3" w:rsidRDefault="00016FE1" w:rsidP="002B6227">
      <w:pPr>
        <w:ind w:left="1276" w:right="283" w:hanging="425"/>
        <w:jc w:val="both"/>
        <w:rPr>
          <w:rFonts w:ascii="Gotham" w:hAnsi="Gotham" w:cs="Arial"/>
          <w:i/>
          <w:sz w:val="19"/>
          <w:szCs w:val="19"/>
        </w:rPr>
      </w:pPr>
      <w:r w:rsidRPr="008B7FA3">
        <w:rPr>
          <w:rFonts w:ascii="Gotham" w:hAnsi="Gotham" w:cs="Arial"/>
          <w:i/>
          <w:sz w:val="19"/>
          <w:szCs w:val="19"/>
        </w:rPr>
        <w:t xml:space="preserve">VI. </w:t>
      </w:r>
      <w:r w:rsidRPr="008B7FA3">
        <w:rPr>
          <w:rFonts w:ascii="Gotham" w:hAnsi="Gotham" w:cs="Arial"/>
          <w:i/>
          <w:sz w:val="19"/>
          <w:szCs w:val="19"/>
        </w:rPr>
        <w:tab/>
        <w:t>La Sindicatura del Ayuntamiento, El Órgano Interno de Control, Dirección General de Obras Públicas y la Dirección jurídica llevaron a cabo reuniones los días 12 y 25 del mes de septiembre se llevaron a cabo reuniones con los asociados ganaderos para dar acompañamiento para atender dudas y posibles interpretaciones.</w:t>
      </w:r>
    </w:p>
    <w:p w14:paraId="3A473E7D" w14:textId="77777777" w:rsidR="00016FE1" w:rsidRPr="008B7FA3" w:rsidRDefault="00016FE1" w:rsidP="002B6227">
      <w:pPr>
        <w:ind w:left="1276" w:right="283" w:hanging="425"/>
        <w:jc w:val="both"/>
        <w:rPr>
          <w:rFonts w:ascii="Gotham" w:hAnsi="Gotham" w:cs="Arial"/>
          <w:i/>
          <w:sz w:val="19"/>
          <w:szCs w:val="19"/>
        </w:rPr>
      </w:pPr>
    </w:p>
    <w:p w14:paraId="3A473E7E" w14:textId="77777777" w:rsidR="00016FE1" w:rsidRPr="008B7FA3" w:rsidRDefault="00016FE1" w:rsidP="002B6227">
      <w:pPr>
        <w:ind w:left="1276" w:right="283" w:hanging="425"/>
        <w:jc w:val="both"/>
        <w:rPr>
          <w:rFonts w:ascii="Gotham" w:hAnsi="Gotham" w:cs="Arial"/>
          <w:i/>
          <w:sz w:val="19"/>
          <w:szCs w:val="19"/>
        </w:rPr>
      </w:pPr>
      <w:r w:rsidRPr="008B7FA3">
        <w:rPr>
          <w:rFonts w:ascii="Gotham" w:hAnsi="Gotham" w:cs="Arial"/>
          <w:i/>
          <w:sz w:val="19"/>
          <w:szCs w:val="19"/>
        </w:rPr>
        <w:t xml:space="preserve">VII. </w:t>
      </w:r>
      <w:r w:rsidRPr="008B7FA3">
        <w:rPr>
          <w:rFonts w:ascii="Gotham" w:hAnsi="Gotham" w:cs="Arial"/>
          <w:i/>
          <w:sz w:val="19"/>
          <w:szCs w:val="19"/>
        </w:rPr>
        <w:tab/>
        <w:t>Se recibió carta intención en donde mediante solicitud de la Asociación de los Ganaderos e Introductores de Cárnicos de Tonalá, Jalisco, quienes solicitan se inicie el proceso asignación directa de la concesión pública del Servicio del Rastro Municipal y copia del Lic. Javier Hidalgo y Costilla Hernández, con la que señala que esta en conformación la sociedad mercantil, que se encuentra en previo registro.</w:t>
      </w:r>
    </w:p>
    <w:p w14:paraId="3A473E7F" w14:textId="77777777" w:rsidR="00016FE1" w:rsidRPr="008B7FA3" w:rsidRDefault="00016FE1" w:rsidP="002B6227">
      <w:pPr>
        <w:ind w:left="851" w:right="283"/>
        <w:jc w:val="both"/>
        <w:rPr>
          <w:rFonts w:ascii="Gotham" w:hAnsi="Gotham" w:cs="Arial"/>
          <w:i/>
          <w:sz w:val="19"/>
          <w:szCs w:val="19"/>
        </w:rPr>
      </w:pPr>
    </w:p>
    <w:p w14:paraId="3A473E80"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En virtud de lo establecido anteriormente, y derivado de lo señalado en los preceptos legales y requisitos normativos en el caso que nos ocupa, el que suscribe de Síndico Municipal del Ayuntamiento Constitucional de Tonalá, Jalisco propongo a los integrantes del Pleno de Ayuntamiento el siguiente:</w:t>
      </w:r>
    </w:p>
    <w:p w14:paraId="3A473E81" w14:textId="77777777" w:rsidR="00016FE1" w:rsidRPr="008B7FA3" w:rsidRDefault="00016FE1" w:rsidP="002B6227">
      <w:pPr>
        <w:ind w:left="851" w:right="283"/>
        <w:jc w:val="both"/>
        <w:rPr>
          <w:rFonts w:ascii="Gotham" w:hAnsi="Gotham" w:cs="Arial"/>
          <w:i/>
          <w:sz w:val="19"/>
          <w:szCs w:val="19"/>
        </w:rPr>
      </w:pPr>
    </w:p>
    <w:p w14:paraId="3A473E82" w14:textId="77777777" w:rsidR="00016FE1" w:rsidRPr="008B7FA3" w:rsidRDefault="00016FE1" w:rsidP="002B6227">
      <w:pPr>
        <w:ind w:left="851" w:right="283"/>
        <w:jc w:val="center"/>
        <w:rPr>
          <w:rFonts w:ascii="Gotham" w:hAnsi="Gotham" w:cs="Arial"/>
          <w:i/>
          <w:sz w:val="19"/>
          <w:szCs w:val="19"/>
        </w:rPr>
      </w:pPr>
      <w:r w:rsidRPr="008B7FA3">
        <w:rPr>
          <w:rFonts w:ascii="Gotham" w:hAnsi="Gotham" w:cs="Arial"/>
          <w:i/>
          <w:sz w:val="19"/>
          <w:szCs w:val="19"/>
        </w:rPr>
        <w:t>ACUERDO MUNICIPAL</w:t>
      </w:r>
    </w:p>
    <w:p w14:paraId="3A473E83" w14:textId="77777777" w:rsidR="00016FE1" w:rsidRPr="008B7FA3" w:rsidRDefault="00016FE1" w:rsidP="002B6227">
      <w:pPr>
        <w:ind w:left="851" w:right="283"/>
        <w:jc w:val="both"/>
        <w:rPr>
          <w:rFonts w:ascii="Gotham" w:hAnsi="Gotham" w:cs="Arial"/>
          <w:i/>
          <w:sz w:val="19"/>
          <w:szCs w:val="19"/>
        </w:rPr>
      </w:pPr>
    </w:p>
    <w:p w14:paraId="3A473E84"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PRIMERO.- Se propone a este Pleno de Ayuntamiento el turno a comisión que tiene por objeto atender solicitud de la Asociación de los Ganaderos e Introductores de Cárnicos de Tonalá, Jalisco, quienes solicitan se inicie el proceso de asignación directa de la concesión pública del Servicio del Rastro Municipal; con la finalidad que se estudie, analice y realice su dictamen correspondiente por la Comisión de Hacienda Municipal y Presupuestos.</w:t>
      </w:r>
    </w:p>
    <w:p w14:paraId="3A473E85" w14:textId="77777777" w:rsidR="00016FE1" w:rsidRPr="008B7FA3" w:rsidRDefault="00016FE1" w:rsidP="002B6227">
      <w:pPr>
        <w:ind w:left="851" w:right="283"/>
        <w:jc w:val="both"/>
        <w:rPr>
          <w:rFonts w:ascii="Gotham" w:hAnsi="Gotham" w:cs="Arial"/>
          <w:i/>
          <w:sz w:val="19"/>
          <w:szCs w:val="19"/>
        </w:rPr>
      </w:pPr>
    </w:p>
    <w:p w14:paraId="3A473E86"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SEGUNDO.- Se autoriza al Presidente Municipal, Sindico del Ayuntamiento y Secretaria General a suscribir la documentación necesaria para el cumplimiento del presente acuerdo.</w:t>
      </w:r>
    </w:p>
    <w:p w14:paraId="3A473E87" w14:textId="77777777" w:rsidR="00016FE1" w:rsidRPr="008B7FA3" w:rsidRDefault="00016FE1" w:rsidP="002B6227">
      <w:pPr>
        <w:ind w:left="851" w:right="283"/>
        <w:jc w:val="both"/>
        <w:rPr>
          <w:rFonts w:ascii="Gotham" w:hAnsi="Gotham" w:cs="Arial"/>
          <w:i/>
          <w:sz w:val="19"/>
          <w:szCs w:val="19"/>
        </w:rPr>
      </w:pPr>
    </w:p>
    <w:p w14:paraId="3A473E88"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Es cuanto Presidente.</w:t>
      </w:r>
    </w:p>
    <w:p w14:paraId="3A473E89" w14:textId="77777777" w:rsidR="00016FE1" w:rsidRPr="008B7FA3" w:rsidRDefault="00016FE1" w:rsidP="002B6227">
      <w:pPr>
        <w:ind w:left="851" w:right="283"/>
        <w:jc w:val="both"/>
        <w:rPr>
          <w:rFonts w:ascii="Gotham" w:hAnsi="Gotham" w:cs="Arial"/>
          <w:i/>
          <w:sz w:val="19"/>
          <w:szCs w:val="19"/>
        </w:rPr>
      </w:pPr>
    </w:p>
    <w:p w14:paraId="3A473E8A"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En el uso de la voz el Presidente Municipal, Sergio Armando Chávez Dávalos, manifiesta que, muchas gracias Síndico, en los términos que Usted propone, se mandaría a la Comisión de Hacienda Municipal y Presupuestos; adelante Regidora González, por favor.</w:t>
      </w:r>
    </w:p>
    <w:p w14:paraId="3A473E8B" w14:textId="77777777" w:rsidR="00016FE1" w:rsidRPr="008B7FA3" w:rsidRDefault="00016FE1" w:rsidP="002B6227">
      <w:pPr>
        <w:ind w:left="851" w:right="283"/>
        <w:jc w:val="both"/>
        <w:rPr>
          <w:rFonts w:ascii="Gotham" w:hAnsi="Gotham" w:cs="Arial"/>
          <w:i/>
          <w:sz w:val="19"/>
          <w:szCs w:val="19"/>
        </w:rPr>
      </w:pPr>
    </w:p>
    <w:p w14:paraId="3A473E8C"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 xml:space="preserve">En uso de la voz la Regidora Ana Priscila González García, menciona que, buenas tardes; primeramente me llamó muchísimo la atención cuando vi este turno a comisión, ya que se había declarado desierta en dos ocasiones las licitaciones, en cuanto a concesión y arrendamiento, entonces me llamó la atención en ese momento; pues nada más, yo sé que se va a ir a comisiones, que se van a estudiar las posibilidades, pero sí me gustaría dejar bien en claro pues que se busque una opción de un lugar adecuado para que no perjudique nuevamente a la ciudadanía alrededor, sabemos la problemática y pues yo en lo personal no estoy de acuerdo en que se quede el rastro en donde está; entonces, ésta es mi postura, sí sé que, lo vuelvo a repetir, se va a ir a estudios a comisiones, que ahí seguramente lo vamos a trabajar, pero sí es lo que lo que me llama la atención y obviamente en buscar una situación, que se busque la situación más adecuada para no afectar a la ciudadanía, es </w:t>
      </w:r>
      <w:proofErr w:type="spellStart"/>
      <w:r w:rsidRPr="008B7FA3">
        <w:rPr>
          <w:rFonts w:ascii="Gotham" w:hAnsi="Gotham" w:cs="Arial"/>
          <w:i/>
          <w:sz w:val="19"/>
          <w:szCs w:val="19"/>
        </w:rPr>
        <w:t>cuanto</w:t>
      </w:r>
      <w:proofErr w:type="spellEnd"/>
      <w:r w:rsidRPr="008B7FA3">
        <w:rPr>
          <w:rFonts w:ascii="Gotham" w:hAnsi="Gotham" w:cs="Arial"/>
          <w:i/>
          <w:sz w:val="19"/>
          <w:szCs w:val="19"/>
        </w:rPr>
        <w:t>.</w:t>
      </w:r>
    </w:p>
    <w:p w14:paraId="3A473E8D" w14:textId="77777777" w:rsidR="00016FE1" w:rsidRPr="008B7FA3" w:rsidRDefault="00016FE1" w:rsidP="002B6227">
      <w:pPr>
        <w:ind w:left="851" w:right="283"/>
        <w:jc w:val="both"/>
        <w:rPr>
          <w:rFonts w:ascii="Gotham" w:hAnsi="Gotham" w:cs="Arial"/>
          <w:i/>
          <w:sz w:val="19"/>
          <w:szCs w:val="19"/>
        </w:rPr>
      </w:pPr>
    </w:p>
    <w:p w14:paraId="3A473E8E"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En el uso de la voz el Presidente Municipal, Sergio Armando Chávez Dávalos, expresa que, muchas gracias; adelante Regidora García.</w:t>
      </w:r>
    </w:p>
    <w:p w14:paraId="3A473E8F" w14:textId="77777777" w:rsidR="00016FE1" w:rsidRPr="008B7FA3" w:rsidRDefault="00016FE1" w:rsidP="002B6227">
      <w:pPr>
        <w:ind w:left="851" w:right="283"/>
        <w:jc w:val="both"/>
        <w:rPr>
          <w:rFonts w:ascii="Gotham" w:hAnsi="Gotham" w:cs="Arial"/>
          <w:i/>
          <w:sz w:val="19"/>
          <w:szCs w:val="19"/>
        </w:rPr>
      </w:pPr>
    </w:p>
    <w:p w14:paraId="3A473E90"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En el uso de la voz la Regidora Dulce Yunuen García Venegas, manifiesta que, únicamente para solicitar que se me integre por favor, en lo particular.</w:t>
      </w:r>
    </w:p>
    <w:p w14:paraId="3A473E91" w14:textId="77777777" w:rsidR="00016FE1" w:rsidRPr="008B7FA3" w:rsidRDefault="00016FE1" w:rsidP="002B6227">
      <w:pPr>
        <w:ind w:left="851" w:right="283"/>
        <w:jc w:val="both"/>
        <w:rPr>
          <w:rFonts w:ascii="Gotham" w:hAnsi="Gotham" w:cs="Arial"/>
          <w:i/>
          <w:sz w:val="19"/>
          <w:szCs w:val="19"/>
        </w:rPr>
      </w:pPr>
    </w:p>
    <w:p w14:paraId="3A473E92"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 xml:space="preserve">En el uso de la voz el Presidente Municipal, Sergio Armando Chávez Dávalos, señala que, perfecto; yo creo que es un tema de mayor calado, es un tema que habrá que revisarlo con mucha atención, apoyarnos de técnicos financieros, legales, operativos, porque se involucra una concesión de 20 años, de uno de los servicios que nos obliga al gobierno municipal y también revisar esa parte, lo que usted comenta Regidora González, el tema de cuidar dónde se instalará este futuro nuevo rastro o concesionado, que esté apegado a las leyes y el código urbanístico, y también pues el tema del soporte de las personas que se queden con la concesión que den un buen servicio, y legalmente ahorita lo tendremos que turnar como, ya se está votando, pero sí incluir a las personas, las y los Regidores que deseen, les voy a presentar en los siguientes días, crear una comisión interdisciplinaria donde haya técnicos, donde haya Regidores, para debatir, analizar y posteriormente tomar la mejor decisión de una manera colegiada para el bien, pues por supuesto del medio ambiente, para proteger medio ambiente, y no repetir la historia que sufrimos, y que sobre todo sufren las personas que viven en el entorno del rastro antiguo, hoy clausurado, y también donde se instale por medio de la concesión, pues como también tenemos que darle la protección, porque la mancha urbana todos los días va avanzando y, bueno, a lo mejor no nos toca ver, pero por muy lejos que lo pongamos, pues en algún momento dado van a llegar casas, como debe estar protegido para que también se evite que se autoricen fraccionamientos o industrias o cualquier desarrollo y que en 20 o 30 años otra vez estén solicitando que el rastro se cierre porque ya hay escuelas o iglesias o cualquier tipo de desarrollo </w:t>
      </w:r>
      <w:r w:rsidRPr="008B7FA3">
        <w:rPr>
          <w:rFonts w:ascii="Gotham" w:hAnsi="Gotham" w:cs="Arial"/>
          <w:i/>
          <w:sz w:val="19"/>
          <w:szCs w:val="19"/>
        </w:rPr>
        <w:lastRenderedPageBreak/>
        <w:t>cerca de esa parte; yo creo que es parte del análisis y con todo gusto Regidora García, la libertad es para que se integren en el momento en que tengamos ya en una ruta y que a través de la Comisión de Hacienda sea la convocante para poder coadyuvar en estos trabajos; bien, quienes estén a favor de esta iniciativa, que se mande a comisiones, insisto, favor de manifestarlo levantando su mano; instruyendo a la Secretaria General para que contabilice los votos y nos informe del resultado.</w:t>
      </w:r>
    </w:p>
    <w:p w14:paraId="3A473E93" w14:textId="77777777" w:rsidR="00016FE1" w:rsidRPr="008B7FA3" w:rsidRDefault="00016FE1" w:rsidP="002B6227">
      <w:pPr>
        <w:ind w:left="851" w:right="283"/>
        <w:jc w:val="both"/>
        <w:rPr>
          <w:rFonts w:ascii="Gotham" w:hAnsi="Gotham" w:cs="Arial"/>
          <w:i/>
          <w:sz w:val="19"/>
          <w:szCs w:val="19"/>
        </w:rPr>
      </w:pPr>
    </w:p>
    <w:p w14:paraId="3A473E94"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En uso de la voz informativa la Secretaria General, Mtra. Celia Isabel Gauna Ruiz de León, como lo indica Presidente, le informo que se registraron un total de 18 votos a favor; encontrándose ausente en el momento de la votación, la Regidora Marta Estela Arizmendi Fombona.</w:t>
      </w:r>
    </w:p>
    <w:p w14:paraId="3A473E95" w14:textId="77777777" w:rsidR="00016FE1" w:rsidRPr="008B7FA3" w:rsidRDefault="00016FE1" w:rsidP="002B6227">
      <w:pPr>
        <w:ind w:left="851" w:right="283"/>
        <w:jc w:val="both"/>
        <w:rPr>
          <w:rFonts w:ascii="Gotham" w:hAnsi="Gotham" w:cs="Arial"/>
          <w:i/>
          <w:sz w:val="19"/>
          <w:szCs w:val="19"/>
        </w:rPr>
      </w:pPr>
    </w:p>
    <w:p w14:paraId="3A473E96" w14:textId="77777777" w:rsidR="00016FE1" w:rsidRPr="008B7FA3" w:rsidRDefault="00016FE1" w:rsidP="002B6227">
      <w:pPr>
        <w:ind w:left="851" w:right="283"/>
        <w:jc w:val="both"/>
        <w:rPr>
          <w:rFonts w:ascii="Gotham" w:hAnsi="Gotham" w:cs="Arial"/>
          <w:i/>
          <w:sz w:val="19"/>
          <w:szCs w:val="19"/>
        </w:rPr>
      </w:pPr>
      <w:r w:rsidRPr="008B7FA3">
        <w:rPr>
          <w:rFonts w:ascii="Gotham" w:hAnsi="Gotham" w:cs="Arial"/>
          <w:i/>
          <w:sz w:val="19"/>
          <w:szCs w:val="19"/>
        </w:rPr>
        <w:t>En uso de la voz el Presidente Municipal, Sergio Armando Chávez Dávalos, expresa que, gracias Secretaria; queda aprobado.</w:t>
      </w:r>
    </w:p>
    <w:p w14:paraId="3A473E97" w14:textId="77777777" w:rsidR="00016FE1" w:rsidRPr="00D4646C" w:rsidRDefault="00016FE1" w:rsidP="002B6227">
      <w:pPr>
        <w:ind w:left="567" w:hanging="567"/>
        <w:jc w:val="both"/>
        <w:rPr>
          <w:rFonts w:ascii="Gotham" w:hAnsi="Gotham"/>
          <w:sz w:val="20"/>
          <w:szCs w:val="20"/>
        </w:rPr>
      </w:pPr>
    </w:p>
    <w:p w14:paraId="3A473E98" w14:textId="77777777" w:rsidR="00016FE1" w:rsidRPr="00D4646C" w:rsidRDefault="00016FE1" w:rsidP="002B6227">
      <w:pPr>
        <w:ind w:left="567" w:hanging="567"/>
        <w:jc w:val="both"/>
        <w:rPr>
          <w:rFonts w:ascii="Gotham" w:hAnsi="Gotham"/>
          <w:sz w:val="20"/>
          <w:szCs w:val="20"/>
        </w:rPr>
      </w:pPr>
      <w:r w:rsidRPr="00D4646C">
        <w:rPr>
          <w:rFonts w:ascii="Gotham" w:hAnsi="Gotham"/>
          <w:sz w:val="20"/>
          <w:szCs w:val="20"/>
        </w:rPr>
        <w:t xml:space="preserve">II.- </w:t>
      </w:r>
      <w:r>
        <w:rPr>
          <w:rFonts w:ascii="Gotham" w:hAnsi="Gotham"/>
          <w:sz w:val="20"/>
          <w:szCs w:val="20"/>
        </w:rPr>
        <w:tab/>
      </w:r>
      <w:r w:rsidRPr="00D4646C">
        <w:rPr>
          <w:rFonts w:ascii="Gotham" w:hAnsi="Gotham"/>
          <w:sz w:val="20"/>
          <w:szCs w:val="20"/>
        </w:rPr>
        <w:t xml:space="preserve">Que mediante oficio SECRETARIA GENERAL/987/2024, la Mtra. Celia Isabel Gauna Ruíz de León, remite acuerdo número 853 de la vigésimo cuarta sesión Ordinaria de Ayuntamiento, mediante el cual se aprobó turnar a las Comisiones de Hacienda Municipal y Presupuestos, la propuesta que tiene por objeto atender la solicitud de la Asociación de Ganaderos e Introductores de Cárnicos de Tonalá, Jalisco, quienes solicitan se inicie el proceso de asignación directa de la concesión pública del Servicio del Rastro Municipal. </w:t>
      </w:r>
    </w:p>
    <w:p w14:paraId="3A473E99" w14:textId="77777777" w:rsidR="00016FE1" w:rsidRPr="00D4646C" w:rsidRDefault="00016FE1" w:rsidP="002B6227">
      <w:pPr>
        <w:jc w:val="both"/>
        <w:rPr>
          <w:rFonts w:ascii="Gotham" w:hAnsi="Gotham"/>
          <w:sz w:val="20"/>
          <w:szCs w:val="20"/>
        </w:rPr>
      </w:pPr>
    </w:p>
    <w:p w14:paraId="3A473E9A" w14:textId="77777777" w:rsidR="00016FE1" w:rsidRPr="00D4646C" w:rsidRDefault="00016FE1" w:rsidP="002B6227">
      <w:pPr>
        <w:jc w:val="center"/>
        <w:rPr>
          <w:rFonts w:ascii="Gotham" w:hAnsi="Gotham"/>
          <w:sz w:val="20"/>
          <w:szCs w:val="20"/>
        </w:rPr>
      </w:pPr>
      <w:r w:rsidRPr="00D4646C">
        <w:rPr>
          <w:rFonts w:ascii="Gotham" w:hAnsi="Gotham"/>
          <w:sz w:val="20"/>
          <w:szCs w:val="20"/>
        </w:rPr>
        <w:t>RESULTANDO</w:t>
      </w:r>
      <w:r>
        <w:rPr>
          <w:rFonts w:ascii="Gotham" w:hAnsi="Gotham"/>
          <w:sz w:val="20"/>
          <w:szCs w:val="20"/>
        </w:rPr>
        <w:t>S</w:t>
      </w:r>
    </w:p>
    <w:p w14:paraId="3A473E9B" w14:textId="77777777" w:rsidR="00016FE1" w:rsidRPr="00D4646C" w:rsidRDefault="00016FE1" w:rsidP="002B6227">
      <w:pPr>
        <w:jc w:val="both"/>
        <w:rPr>
          <w:rFonts w:ascii="Gotham" w:hAnsi="Gotham"/>
          <w:sz w:val="20"/>
          <w:szCs w:val="20"/>
        </w:rPr>
      </w:pPr>
    </w:p>
    <w:p w14:paraId="3A473E9C" w14:textId="77777777" w:rsidR="00016FE1" w:rsidRPr="00D4646C" w:rsidRDefault="00016FE1" w:rsidP="002B6227">
      <w:pPr>
        <w:ind w:left="567" w:hanging="567"/>
        <w:jc w:val="both"/>
        <w:rPr>
          <w:rFonts w:ascii="Gotham" w:hAnsi="Gotham"/>
          <w:sz w:val="20"/>
          <w:szCs w:val="20"/>
        </w:rPr>
      </w:pPr>
      <w:r w:rsidRPr="00D4646C">
        <w:rPr>
          <w:rFonts w:ascii="Gotham" w:hAnsi="Gotham"/>
          <w:sz w:val="20"/>
          <w:szCs w:val="20"/>
        </w:rPr>
        <w:t xml:space="preserve">I.- </w:t>
      </w:r>
      <w:r>
        <w:rPr>
          <w:rFonts w:ascii="Gotham" w:hAnsi="Gotham"/>
          <w:sz w:val="20"/>
          <w:szCs w:val="20"/>
        </w:rPr>
        <w:tab/>
      </w:r>
      <w:r w:rsidRPr="00D4646C">
        <w:rPr>
          <w:rFonts w:ascii="Gotham" w:hAnsi="Gotham"/>
          <w:sz w:val="20"/>
          <w:szCs w:val="20"/>
        </w:rPr>
        <w:t>Que el día 27 de febrero del año 2024, se llevó a cabo la vigésima novena Sesión Ordinaria de Ayuntamiento, y bajo acuerdo número 1037 se aprobó en lo general y en lo particular, celebrar contrato bajo el esquema de Asociación Público Privada, entre este Ayuntamiento Constitucional de Tonalá, Jalisco y el Representante Legal de la Empresa “Valor en alimentos karnicos, S.A. de C.V.” con el objeto de llevar a cabo el proyecto de prestación de servicio público del rastro, de conformidad a lo establecido en la Ley de Proyectos de Inversión y de Prestación de Servicios del Estado de Jalisco y sus Municipios.</w:t>
      </w:r>
    </w:p>
    <w:p w14:paraId="3A473E9D" w14:textId="77777777" w:rsidR="00016FE1" w:rsidRPr="00D4646C" w:rsidRDefault="00016FE1" w:rsidP="002B6227">
      <w:pPr>
        <w:ind w:left="567" w:hanging="567"/>
        <w:jc w:val="both"/>
        <w:rPr>
          <w:rFonts w:ascii="Gotham" w:hAnsi="Gotham"/>
          <w:sz w:val="20"/>
          <w:szCs w:val="20"/>
        </w:rPr>
      </w:pPr>
    </w:p>
    <w:p w14:paraId="3A473E9E" w14:textId="77777777" w:rsidR="00016FE1" w:rsidRPr="00D4646C" w:rsidRDefault="00016FE1" w:rsidP="00AD6342">
      <w:pPr>
        <w:jc w:val="center"/>
        <w:rPr>
          <w:rFonts w:ascii="Gotham" w:hAnsi="Gotham"/>
          <w:sz w:val="20"/>
          <w:szCs w:val="20"/>
        </w:rPr>
      </w:pPr>
      <w:r>
        <w:rPr>
          <w:rFonts w:ascii="Gotham" w:hAnsi="Gotham"/>
          <w:sz w:val="20"/>
          <w:szCs w:val="20"/>
        </w:rPr>
        <w:t>C O N S I D E R A C I O N E S</w:t>
      </w:r>
    </w:p>
    <w:p w14:paraId="3A473E9F" w14:textId="77777777" w:rsidR="00016FE1" w:rsidRPr="00D4646C" w:rsidRDefault="00016FE1" w:rsidP="002B6227">
      <w:pPr>
        <w:ind w:left="567" w:hanging="567"/>
        <w:jc w:val="both"/>
        <w:rPr>
          <w:rFonts w:ascii="Gotham" w:hAnsi="Gotham"/>
          <w:sz w:val="20"/>
          <w:szCs w:val="20"/>
        </w:rPr>
      </w:pPr>
    </w:p>
    <w:p w14:paraId="3A473EA0" w14:textId="77777777" w:rsidR="00016FE1" w:rsidRPr="00D4646C" w:rsidRDefault="00016FE1" w:rsidP="002B6227">
      <w:pPr>
        <w:ind w:left="567" w:hanging="567"/>
        <w:jc w:val="both"/>
        <w:rPr>
          <w:rFonts w:ascii="Gotham" w:hAnsi="Gotham"/>
          <w:sz w:val="20"/>
          <w:szCs w:val="20"/>
        </w:rPr>
      </w:pPr>
      <w:r w:rsidRPr="00D4646C">
        <w:rPr>
          <w:rFonts w:ascii="Gotham" w:hAnsi="Gotham"/>
          <w:sz w:val="20"/>
          <w:szCs w:val="20"/>
        </w:rPr>
        <w:t xml:space="preserve">1. </w:t>
      </w:r>
      <w:r>
        <w:rPr>
          <w:rFonts w:ascii="Gotham" w:hAnsi="Gotham"/>
          <w:sz w:val="20"/>
          <w:szCs w:val="20"/>
        </w:rPr>
        <w:tab/>
      </w:r>
      <w:r w:rsidRPr="00D4646C">
        <w:rPr>
          <w:rFonts w:ascii="Gotham" w:hAnsi="Gotham"/>
          <w:sz w:val="20"/>
          <w:szCs w:val="20"/>
        </w:rPr>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A473EA1" w14:textId="77777777" w:rsidR="00016FE1" w:rsidRPr="00D4646C" w:rsidRDefault="00016FE1" w:rsidP="002B6227">
      <w:pPr>
        <w:ind w:left="567" w:hanging="567"/>
        <w:jc w:val="both"/>
        <w:rPr>
          <w:rFonts w:ascii="Gotham" w:hAnsi="Gotham"/>
          <w:sz w:val="20"/>
          <w:szCs w:val="20"/>
        </w:rPr>
      </w:pPr>
    </w:p>
    <w:p w14:paraId="3A473EA2" w14:textId="77777777" w:rsidR="00016FE1" w:rsidRPr="00D4646C" w:rsidRDefault="00016FE1" w:rsidP="002B6227">
      <w:pPr>
        <w:ind w:left="567" w:hanging="567"/>
        <w:jc w:val="both"/>
        <w:rPr>
          <w:rFonts w:ascii="Gotham" w:hAnsi="Gotham"/>
          <w:sz w:val="20"/>
          <w:szCs w:val="20"/>
        </w:rPr>
      </w:pPr>
      <w:r w:rsidRPr="00D4646C">
        <w:rPr>
          <w:rFonts w:ascii="Gotham" w:hAnsi="Gotham"/>
          <w:sz w:val="20"/>
          <w:szCs w:val="20"/>
        </w:rPr>
        <w:t xml:space="preserve">2. </w:t>
      </w:r>
      <w:r>
        <w:rPr>
          <w:rFonts w:ascii="Gotham" w:hAnsi="Gotham"/>
          <w:sz w:val="20"/>
          <w:szCs w:val="20"/>
        </w:rPr>
        <w:tab/>
      </w:r>
      <w:r w:rsidRPr="00D4646C">
        <w:rPr>
          <w:rFonts w:ascii="Gotham" w:hAnsi="Gotham"/>
          <w:sz w:val="20"/>
          <w:szCs w:val="20"/>
        </w:rPr>
        <w:t>Que en términos de los artículos 104 de la Ley del Gobierno y la Administración Pública Municipal del Estado de Jalisco, para la concesión de bienes y servicios públicos municipales, el Ayuntamiento debe emitir una convocatoria suscrita por el Presidente Municipal y el funcionario encargado de la Secretaría del Ayuntamiento, que debe publicarse en la Gaceta Municipal o en el medio oficial de divulgación previsto por el reglamento aplicable, además de la publicidad que el Ayuntamiento considere conveniente. Asimismo, este mismo dispositivo legal establece que el Ayuntamiento, acorde a la naturaleza del bien o servicio, puede utilizar un mecanismo distinto a la convocatoria pública, siempre y cuando la decisión se encuentre fundada y motivada y sea aprobada por el Ayuntamiento por mayoría absoluta.</w:t>
      </w:r>
    </w:p>
    <w:p w14:paraId="3A473EA3" w14:textId="77777777" w:rsidR="00016FE1" w:rsidRPr="00D4646C" w:rsidRDefault="00016FE1" w:rsidP="002B6227">
      <w:pPr>
        <w:ind w:left="567" w:hanging="567"/>
        <w:jc w:val="both"/>
        <w:rPr>
          <w:rFonts w:ascii="Gotham" w:hAnsi="Gotham"/>
          <w:sz w:val="20"/>
          <w:szCs w:val="20"/>
        </w:rPr>
      </w:pPr>
    </w:p>
    <w:p w14:paraId="3A473EA4" w14:textId="77777777" w:rsidR="00016FE1" w:rsidRPr="00D4646C" w:rsidRDefault="00016FE1" w:rsidP="002B6227">
      <w:pPr>
        <w:ind w:left="567" w:hanging="567"/>
        <w:jc w:val="both"/>
        <w:rPr>
          <w:rFonts w:ascii="Gotham" w:hAnsi="Gotham"/>
          <w:sz w:val="20"/>
          <w:szCs w:val="20"/>
        </w:rPr>
      </w:pPr>
      <w:r w:rsidRPr="00D4646C">
        <w:rPr>
          <w:rFonts w:ascii="Gotham" w:hAnsi="Gotham"/>
          <w:sz w:val="20"/>
          <w:szCs w:val="20"/>
        </w:rPr>
        <w:t xml:space="preserve">3. </w:t>
      </w:r>
      <w:r>
        <w:rPr>
          <w:rFonts w:ascii="Gotham" w:hAnsi="Gotham"/>
          <w:sz w:val="20"/>
          <w:szCs w:val="20"/>
        </w:rPr>
        <w:tab/>
      </w:r>
      <w:r w:rsidRPr="00D4646C">
        <w:rPr>
          <w:rFonts w:ascii="Gotham" w:hAnsi="Gotham"/>
          <w:sz w:val="20"/>
          <w:szCs w:val="20"/>
        </w:rPr>
        <w:t xml:space="preserve">El artículo 37 fracción II del citado ordenamiento legal establece como una atribución de los Ayuntamientos la de aprobar y aplicar su presupuesto de egresos, bandos de policía y gobierno, </w:t>
      </w:r>
      <w:r w:rsidRPr="00D4646C">
        <w:rPr>
          <w:rFonts w:ascii="Gotham" w:hAnsi="Gotham"/>
          <w:sz w:val="20"/>
          <w:szCs w:val="20"/>
        </w:rPr>
        <w:lastRenderedPageBreak/>
        <w:t>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3A473EA5" w14:textId="77777777" w:rsidR="00016FE1" w:rsidRPr="00D4646C" w:rsidRDefault="00016FE1" w:rsidP="002B6227">
      <w:pPr>
        <w:jc w:val="both"/>
        <w:rPr>
          <w:rFonts w:ascii="Gotham" w:hAnsi="Gotham"/>
          <w:sz w:val="20"/>
          <w:szCs w:val="20"/>
        </w:rPr>
      </w:pPr>
    </w:p>
    <w:p w14:paraId="3A473EA6" w14:textId="77777777" w:rsidR="00016FE1" w:rsidRPr="00D4646C" w:rsidRDefault="00016FE1" w:rsidP="002B6227">
      <w:pPr>
        <w:jc w:val="center"/>
        <w:rPr>
          <w:rFonts w:ascii="Gotham" w:hAnsi="Gotham"/>
          <w:sz w:val="20"/>
          <w:szCs w:val="20"/>
        </w:rPr>
      </w:pPr>
      <w:r w:rsidRPr="00D4646C">
        <w:rPr>
          <w:rFonts w:ascii="Gotham" w:hAnsi="Gotham"/>
          <w:sz w:val="20"/>
          <w:szCs w:val="20"/>
        </w:rPr>
        <w:t>C O N C L U S I O N E S</w:t>
      </w:r>
    </w:p>
    <w:p w14:paraId="3A473EA7" w14:textId="77777777" w:rsidR="00016FE1" w:rsidRPr="00D4646C" w:rsidRDefault="00016FE1" w:rsidP="002B6227">
      <w:pPr>
        <w:jc w:val="both"/>
        <w:rPr>
          <w:rFonts w:ascii="Gotham" w:hAnsi="Gotham"/>
          <w:sz w:val="20"/>
          <w:szCs w:val="20"/>
        </w:rPr>
      </w:pPr>
    </w:p>
    <w:p w14:paraId="3A473EA8" w14:textId="77777777" w:rsidR="00016FE1" w:rsidRPr="00D4646C" w:rsidRDefault="00016FE1" w:rsidP="002B6227">
      <w:pPr>
        <w:jc w:val="both"/>
        <w:rPr>
          <w:rFonts w:ascii="Gotham" w:hAnsi="Gotham"/>
          <w:sz w:val="20"/>
          <w:szCs w:val="20"/>
        </w:rPr>
      </w:pPr>
      <w:r w:rsidRPr="00D4646C">
        <w:rPr>
          <w:rFonts w:ascii="Gotham" w:hAnsi="Gotham"/>
          <w:sz w:val="20"/>
          <w:szCs w:val="20"/>
        </w:rPr>
        <w:t>El presente dictamen tiene por finalidad dar atención y respuesta oportuna al turno a comisión que fue presentado mediante acuerdo número 853, de la Sesión Ordinaria de Ayuntamiento de fecha 28 de septiembre del año 2023 dos mil veintitrés y que fue turnado a esta Comisión de Hacienda y Presupuestos, sobre la solicitud de la Asociación de los Ganaderos e Introductores de Cárnicos de Tonalá, Jalisco, para que se iniciara el proceso de asignación directa de la concesión pública del servicio del Rastro Municipal.</w:t>
      </w:r>
    </w:p>
    <w:p w14:paraId="3A473EA9" w14:textId="77777777" w:rsidR="00016FE1" w:rsidRPr="00D4646C" w:rsidRDefault="00016FE1" w:rsidP="002B6227">
      <w:pPr>
        <w:jc w:val="both"/>
        <w:rPr>
          <w:rFonts w:ascii="Gotham" w:hAnsi="Gotham"/>
          <w:sz w:val="20"/>
          <w:szCs w:val="20"/>
        </w:rPr>
      </w:pPr>
    </w:p>
    <w:p w14:paraId="3A473EAA" w14:textId="77777777" w:rsidR="00016FE1" w:rsidRPr="00D4646C" w:rsidRDefault="00016FE1" w:rsidP="002B6227">
      <w:pPr>
        <w:jc w:val="both"/>
        <w:rPr>
          <w:rFonts w:ascii="Gotham" w:hAnsi="Gotham"/>
          <w:sz w:val="20"/>
          <w:szCs w:val="20"/>
        </w:rPr>
      </w:pPr>
      <w:r w:rsidRPr="00D4646C">
        <w:rPr>
          <w:rFonts w:ascii="Gotham" w:hAnsi="Gotham"/>
          <w:sz w:val="20"/>
          <w:szCs w:val="20"/>
        </w:rPr>
        <w:t>Es importante mencionar, que la Ley del Gobierno y la Administración Pública Municipal del Estado de Jalisco en su artículo 104, establece que para la concesión de bienes y servicios públicos municipales, el Ayuntamiento debe emitir una convocatoria suscrita por el Presidente Municipal y el funcionario encargado de la Secretaría del Ayuntamiento, que debe publicarse en la Gaceta Municipal o en el medio oficial de divulgación previsto por el reglamento aplicable, además de la publicidad que el Ayuntamiento considere conveniente.</w:t>
      </w:r>
    </w:p>
    <w:p w14:paraId="3A473EAB" w14:textId="77777777" w:rsidR="00016FE1" w:rsidRPr="00D4646C" w:rsidRDefault="00016FE1" w:rsidP="002B6227">
      <w:pPr>
        <w:jc w:val="both"/>
        <w:rPr>
          <w:rFonts w:ascii="Gotham" w:hAnsi="Gotham"/>
          <w:sz w:val="20"/>
          <w:szCs w:val="20"/>
        </w:rPr>
      </w:pPr>
    </w:p>
    <w:p w14:paraId="3A473EAC" w14:textId="77777777" w:rsidR="00016FE1" w:rsidRPr="00D4646C" w:rsidRDefault="00016FE1" w:rsidP="002B6227">
      <w:pPr>
        <w:jc w:val="both"/>
        <w:rPr>
          <w:rFonts w:ascii="Gotham" w:hAnsi="Gotham"/>
          <w:sz w:val="20"/>
          <w:szCs w:val="20"/>
        </w:rPr>
      </w:pPr>
      <w:r w:rsidRPr="00D4646C">
        <w:rPr>
          <w:rFonts w:ascii="Gotham" w:hAnsi="Gotham"/>
          <w:sz w:val="20"/>
          <w:szCs w:val="20"/>
        </w:rPr>
        <w:t>En este sentido, resulta oportuno señalar que las actividades del rastro municipal se pretende que sean retomadas bajo el esquema de Asociación Publico Privada, en lugar de la concesión del servicio público, en razón de que en su momento el Ayuntamiento emitió las convocatorias para que se presentaran interesados que estuvieran en posibilidad de coadyuvar en la prestación del servicio público del rastro con este municipio, sin embargo dichas convocatorias no fueron exitosas y no se presentó ningún interesado.</w:t>
      </w:r>
    </w:p>
    <w:p w14:paraId="3A473EAD" w14:textId="77777777" w:rsidR="00016FE1" w:rsidRPr="00D4646C" w:rsidRDefault="00016FE1" w:rsidP="002B6227">
      <w:pPr>
        <w:jc w:val="both"/>
        <w:rPr>
          <w:rFonts w:ascii="Gotham" w:hAnsi="Gotham"/>
          <w:sz w:val="20"/>
          <w:szCs w:val="20"/>
        </w:rPr>
      </w:pPr>
    </w:p>
    <w:p w14:paraId="3A473EAE" w14:textId="77777777" w:rsidR="00016FE1" w:rsidRPr="00D4646C" w:rsidRDefault="00016FE1" w:rsidP="002B6227">
      <w:pPr>
        <w:jc w:val="both"/>
        <w:rPr>
          <w:rFonts w:ascii="Gotham" w:hAnsi="Gotham"/>
          <w:sz w:val="20"/>
          <w:szCs w:val="20"/>
        </w:rPr>
      </w:pPr>
      <w:r w:rsidRPr="00D4646C">
        <w:rPr>
          <w:rFonts w:ascii="Gotham" w:hAnsi="Gotham"/>
          <w:sz w:val="20"/>
          <w:szCs w:val="20"/>
        </w:rPr>
        <w:t>Ahora bien, buscando la manera de que el municipio este en posibilidad de continuar prestando este servicio a la población en las condiciones técnicas adecuadas para evitar daños al medio ambiente y que los procesos de matanza se hagan de acuerdo a los protocolos normativos que exige esta materia, el 27 de febrero del año 2024, se llevó a cabo la vigésima novena Sesión Ordinaria de Ayuntamiento, y bajo acuerdo número 1037 en la que se aprobó tanto en lo general como en lo particular, celebrar contrato bajo el esquema de Asociación Público Privada, entre este Ayuntamiento Constitucional de Tonalá, Jalisco y el Representante Legal de la Empresa “Valor en alimentos k</w:t>
      </w:r>
      <w:r>
        <w:rPr>
          <w:rFonts w:ascii="Gotham" w:hAnsi="Gotham"/>
          <w:sz w:val="20"/>
          <w:szCs w:val="20"/>
        </w:rPr>
        <w:t>á</w:t>
      </w:r>
      <w:r w:rsidRPr="00D4646C">
        <w:rPr>
          <w:rFonts w:ascii="Gotham" w:hAnsi="Gotham"/>
          <w:sz w:val="20"/>
          <w:szCs w:val="20"/>
        </w:rPr>
        <w:t>rnicos, S.A. de C.V.” con el objeto de llevar a cabo el proyecto de prestación de servicio público del rastro, de conformidad a lo establecido en la Ley de Proyectos de Inversión y de Prestación de Servicios del Estado de Jalisco y sus Municipios.</w:t>
      </w:r>
    </w:p>
    <w:p w14:paraId="3A473EAF" w14:textId="77777777" w:rsidR="00016FE1" w:rsidRPr="00D4646C" w:rsidRDefault="00016FE1" w:rsidP="002B6227">
      <w:pPr>
        <w:jc w:val="both"/>
        <w:rPr>
          <w:rFonts w:ascii="Gotham" w:hAnsi="Gotham"/>
          <w:sz w:val="20"/>
          <w:szCs w:val="20"/>
        </w:rPr>
      </w:pPr>
    </w:p>
    <w:p w14:paraId="3A473EB0" w14:textId="77777777" w:rsidR="00016FE1" w:rsidRPr="00D4646C" w:rsidRDefault="00016FE1" w:rsidP="002B6227">
      <w:pPr>
        <w:jc w:val="both"/>
        <w:rPr>
          <w:rFonts w:ascii="Gotham" w:hAnsi="Gotham"/>
          <w:sz w:val="20"/>
          <w:szCs w:val="20"/>
        </w:rPr>
      </w:pPr>
      <w:r w:rsidRPr="00D4646C">
        <w:rPr>
          <w:rFonts w:ascii="Gotham" w:hAnsi="Gotham"/>
          <w:sz w:val="20"/>
          <w:szCs w:val="20"/>
        </w:rPr>
        <w:t>Por las razones antes expuestas, resulta procedente desechar de momento el turno a comisión antes referido respecto de la solicitud de la Asociación de los Ganaderos e Introductores de Cárnicos de Tonalá, Jalisco, para que se iniciara el proceso de asignación directa de la concesión pública del Servicio del Rastro Municipal, sin embargo quedan a salvo sus derechos para</w:t>
      </w:r>
      <w:r w:rsidR="009F075D">
        <w:rPr>
          <w:rFonts w:ascii="Gotham" w:hAnsi="Gotham"/>
          <w:sz w:val="20"/>
          <w:szCs w:val="20"/>
        </w:rPr>
        <w:t xml:space="preserve"> </w:t>
      </w:r>
      <w:r w:rsidRPr="00D4646C">
        <w:rPr>
          <w:rFonts w:ascii="Gotham" w:hAnsi="Gotham"/>
          <w:sz w:val="20"/>
          <w:szCs w:val="20"/>
        </w:rPr>
        <w:t>presentar nueva solicitud sobre la citada propuesta en el caso de que la figura de Asociación Público Privada que este Gobierno Municipal está gestionado ante el Congreso del Estado no sea en su momento autorizada por su pleno.</w:t>
      </w:r>
    </w:p>
    <w:p w14:paraId="3A473EB1" w14:textId="77777777" w:rsidR="00016FE1" w:rsidRPr="00D4646C" w:rsidRDefault="00016FE1" w:rsidP="002B6227">
      <w:pPr>
        <w:jc w:val="both"/>
        <w:rPr>
          <w:rFonts w:ascii="Gotham" w:hAnsi="Gotham"/>
          <w:sz w:val="20"/>
          <w:szCs w:val="20"/>
        </w:rPr>
      </w:pPr>
    </w:p>
    <w:p w14:paraId="3A473EB2" w14:textId="77777777" w:rsidR="00016FE1" w:rsidRPr="00D4646C" w:rsidRDefault="00016FE1" w:rsidP="002B6227">
      <w:pPr>
        <w:jc w:val="both"/>
        <w:rPr>
          <w:rFonts w:ascii="Gotham" w:hAnsi="Gotham"/>
          <w:sz w:val="20"/>
          <w:szCs w:val="20"/>
        </w:rPr>
      </w:pPr>
      <w:r w:rsidRPr="00D4646C">
        <w:rPr>
          <w:rFonts w:ascii="Gotham" w:hAnsi="Gotham"/>
          <w:sz w:val="20"/>
          <w:szCs w:val="20"/>
        </w:rPr>
        <w:t xml:space="preserve">Los Regidores integrantes de la Comisión de Hacienda Municipal y Presupuestos, nos permitimos proponer a la consideración de este Ayuntamiento en Pleno, los siguientes puntos concretos de </w:t>
      </w:r>
    </w:p>
    <w:p w14:paraId="3A473EB3" w14:textId="77777777" w:rsidR="00016FE1" w:rsidRPr="00D4646C" w:rsidRDefault="00016FE1" w:rsidP="002B6227">
      <w:pPr>
        <w:jc w:val="both"/>
        <w:rPr>
          <w:rFonts w:ascii="Gotham" w:hAnsi="Gotham"/>
          <w:sz w:val="20"/>
          <w:szCs w:val="20"/>
        </w:rPr>
      </w:pPr>
    </w:p>
    <w:p w14:paraId="3A473EB4" w14:textId="77777777" w:rsidR="00016FE1" w:rsidRPr="00D4646C" w:rsidRDefault="00016FE1" w:rsidP="002B6227">
      <w:pPr>
        <w:jc w:val="center"/>
        <w:rPr>
          <w:rFonts w:ascii="Gotham" w:hAnsi="Gotham"/>
          <w:sz w:val="20"/>
          <w:szCs w:val="20"/>
        </w:rPr>
      </w:pPr>
      <w:r>
        <w:rPr>
          <w:rFonts w:ascii="Gotham" w:hAnsi="Gotham"/>
          <w:sz w:val="20"/>
          <w:szCs w:val="20"/>
        </w:rPr>
        <w:t>A C U E R D O</w:t>
      </w:r>
    </w:p>
    <w:p w14:paraId="3A473EB5" w14:textId="77777777" w:rsidR="00016FE1" w:rsidRPr="00D4646C" w:rsidRDefault="00016FE1" w:rsidP="002B6227">
      <w:pPr>
        <w:jc w:val="both"/>
        <w:rPr>
          <w:rFonts w:ascii="Gotham" w:hAnsi="Gotham"/>
          <w:sz w:val="20"/>
          <w:szCs w:val="20"/>
        </w:rPr>
      </w:pPr>
    </w:p>
    <w:p w14:paraId="3A473EB6" w14:textId="77777777" w:rsidR="00016FE1" w:rsidRPr="00D4646C" w:rsidRDefault="00016FE1" w:rsidP="002B6227">
      <w:pPr>
        <w:jc w:val="both"/>
        <w:rPr>
          <w:rFonts w:ascii="Gotham" w:hAnsi="Gotham"/>
          <w:sz w:val="20"/>
          <w:szCs w:val="20"/>
        </w:rPr>
      </w:pPr>
      <w:r w:rsidRPr="00D4646C">
        <w:rPr>
          <w:rFonts w:ascii="Gotham" w:hAnsi="Gotham"/>
          <w:sz w:val="20"/>
          <w:szCs w:val="20"/>
        </w:rPr>
        <w:t>PRIMERO. – Se aprueba desechar la Iniciativa con Turno a Comisión número 853 de la Sesión Ordinaria de Ayuntamiento de fecha 28 de septiembre del año 2023, materia del presente dictamen por los razonamientos ya expuestos.</w:t>
      </w:r>
    </w:p>
    <w:p w14:paraId="3A473EB7" w14:textId="77777777" w:rsidR="00016FE1" w:rsidRPr="00D4646C" w:rsidRDefault="00016FE1" w:rsidP="002B6227">
      <w:pPr>
        <w:jc w:val="both"/>
        <w:rPr>
          <w:rFonts w:ascii="Gotham" w:hAnsi="Gotham"/>
          <w:sz w:val="20"/>
          <w:szCs w:val="20"/>
        </w:rPr>
      </w:pPr>
    </w:p>
    <w:p w14:paraId="3A473EB8" w14:textId="77777777" w:rsidR="00016FE1" w:rsidRPr="00D4646C" w:rsidRDefault="00016FE1" w:rsidP="002B6227">
      <w:pPr>
        <w:jc w:val="both"/>
        <w:rPr>
          <w:rFonts w:ascii="Gotham" w:hAnsi="Gotham"/>
          <w:sz w:val="20"/>
          <w:szCs w:val="20"/>
        </w:rPr>
      </w:pPr>
      <w:r w:rsidRPr="00D4646C">
        <w:rPr>
          <w:rFonts w:ascii="Gotham" w:hAnsi="Gotham"/>
          <w:sz w:val="20"/>
          <w:szCs w:val="20"/>
        </w:rPr>
        <w:t>SEGUNDO.- El Ayuntamiento manifiesta dejar a salvo los derechos para presentar nueva solicitud en el caso de que la figura de Asociación Público Privada que este Gobierno Municipal no sea en su momento autorizada por el Congreso del Estado.</w:t>
      </w:r>
    </w:p>
    <w:p w14:paraId="3A473EB9" w14:textId="77777777" w:rsidR="00016FE1" w:rsidRDefault="00016FE1" w:rsidP="002B6227">
      <w:pPr>
        <w:jc w:val="both"/>
        <w:rPr>
          <w:rFonts w:ascii="Gotham" w:hAnsi="Gotham"/>
          <w:sz w:val="20"/>
          <w:szCs w:val="20"/>
        </w:rPr>
      </w:pPr>
    </w:p>
    <w:p w14:paraId="3A473EBA"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3EBB" w14:textId="77777777" w:rsidR="00016FE1" w:rsidRPr="00CD0531" w:rsidRDefault="00016FE1" w:rsidP="002B6227">
      <w:pPr>
        <w:jc w:val="both"/>
        <w:rPr>
          <w:rFonts w:ascii="Gotham" w:hAnsi="Gotham" w:cs="Arial"/>
          <w:sz w:val="20"/>
          <w:szCs w:val="20"/>
        </w:rPr>
      </w:pPr>
    </w:p>
    <w:p w14:paraId="3A473EBC"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3EBD" w14:textId="77777777" w:rsidR="00016FE1" w:rsidRPr="00CD0531" w:rsidRDefault="00016FE1" w:rsidP="002B6227">
      <w:pPr>
        <w:jc w:val="both"/>
        <w:rPr>
          <w:rFonts w:ascii="Gotham" w:hAnsi="Gotham" w:cs="Arial"/>
          <w:sz w:val="20"/>
          <w:szCs w:val="20"/>
        </w:rPr>
      </w:pPr>
    </w:p>
    <w:p w14:paraId="3A473EBE"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3EBF" w14:textId="77777777" w:rsidR="00016FE1" w:rsidRPr="00CD0531" w:rsidRDefault="00016FE1" w:rsidP="002B6227">
      <w:pPr>
        <w:jc w:val="both"/>
        <w:rPr>
          <w:rFonts w:ascii="Gotham" w:hAnsi="Gotham" w:cs="Arial"/>
          <w:sz w:val="20"/>
          <w:szCs w:val="20"/>
        </w:rPr>
      </w:pPr>
    </w:p>
    <w:p w14:paraId="3A473EC0"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3EC1" w14:textId="77777777" w:rsidR="00016FE1" w:rsidRPr="00CD0531" w:rsidRDefault="00016FE1" w:rsidP="002B6227">
      <w:pPr>
        <w:jc w:val="both"/>
        <w:rPr>
          <w:rFonts w:ascii="Gotham" w:hAnsi="Gotham" w:cs="Arial"/>
          <w:sz w:val="20"/>
          <w:szCs w:val="20"/>
        </w:rPr>
      </w:pPr>
    </w:p>
    <w:p w14:paraId="3A473EC2"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3EC3" w14:textId="77777777" w:rsidR="00016FE1" w:rsidRDefault="00016FE1" w:rsidP="002B6227">
      <w:pPr>
        <w:jc w:val="both"/>
        <w:rPr>
          <w:rFonts w:ascii="Gotham" w:hAnsi="Gotham"/>
          <w:sz w:val="20"/>
          <w:szCs w:val="20"/>
        </w:rPr>
      </w:pPr>
    </w:p>
    <w:p w14:paraId="3A473EC4" w14:textId="77777777" w:rsidR="00016FE1" w:rsidRDefault="00016FE1" w:rsidP="002B6227">
      <w:pPr>
        <w:jc w:val="both"/>
        <w:rPr>
          <w:rFonts w:ascii="Gotham" w:hAnsi="Gotham"/>
          <w:sz w:val="20"/>
          <w:szCs w:val="20"/>
        </w:rPr>
      </w:pPr>
    </w:p>
    <w:p w14:paraId="3A473EC5" w14:textId="77777777" w:rsidR="00016FE1" w:rsidRDefault="00016FE1" w:rsidP="002B6227">
      <w:pPr>
        <w:pStyle w:val="western"/>
        <w:spacing w:before="0" w:beforeAutospacing="0"/>
        <w:jc w:val="right"/>
        <w:rPr>
          <w:rFonts w:ascii="Gotham" w:hAnsi="Gotham"/>
          <w:b/>
          <w:sz w:val="22"/>
          <w:szCs w:val="22"/>
          <w:u w:val="single"/>
        </w:rPr>
      </w:pPr>
      <w:r w:rsidRPr="00AB3373">
        <w:rPr>
          <w:rFonts w:ascii="Gotham" w:hAnsi="Gotham"/>
          <w:b/>
          <w:sz w:val="22"/>
          <w:szCs w:val="22"/>
          <w:u w:val="single"/>
        </w:rPr>
        <w:t xml:space="preserve">ACUERDO NO. </w:t>
      </w:r>
      <w:r>
        <w:rPr>
          <w:rFonts w:ascii="Gotham" w:hAnsi="Gotham"/>
          <w:b/>
          <w:sz w:val="22"/>
          <w:szCs w:val="22"/>
          <w:u w:val="single"/>
        </w:rPr>
        <w:t>1134</w:t>
      </w:r>
    </w:p>
    <w:p w14:paraId="3A473EC6" w14:textId="77777777" w:rsidR="00016FE1" w:rsidRDefault="00016FE1" w:rsidP="002B6227">
      <w:pPr>
        <w:jc w:val="both"/>
        <w:rPr>
          <w:rFonts w:ascii="Gotham" w:hAnsi="Gotham"/>
          <w:sz w:val="20"/>
          <w:szCs w:val="20"/>
        </w:rPr>
      </w:pPr>
      <w:r w:rsidRPr="00F77142">
        <w:rPr>
          <w:rFonts w:ascii="Gotham" w:hAnsi="Gotham"/>
          <w:b/>
          <w:bCs/>
          <w:smallCaps/>
          <w:sz w:val="20"/>
          <w:szCs w:val="20"/>
        </w:rPr>
        <w:t>Octavo Dictamen de Comisión</w:t>
      </w:r>
      <w:r w:rsidRPr="00F77142">
        <w:rPr>
          <w:rFonts w:ascii="Gotham" w:hAnsi="Gotham"/>
          <w:b/>
          <w:bCs/>
          <w:sz w:val="20"/>
          <w:szCs w:val="20"/>
        </w:rPr>
        <w:t xml:space="preserve">.- </w:t>
      </w:r>
      <w:r w:rsidRPr="00F77142">
        <w:rPr>
          <w:rFonts w:ascii="Gotham" w:hAnsi="Gotham"/>
          <w:sz w:val="20"/>
          <w:szCs w:val="20"/>
        </w:rPr>
        <w:t>En uso de la voz el Presidente Municipal, Sergio Armando Chávez Dávalos, expresa que, se da cuenta del dictamen que presenta la Comisión Edilicia de Hacienda Municipal y Presupuestos.</w:t>
      </w:r>
    </w:p>
    <w:p w14:paraId="3A473EC7" w14:textId="77777777" w:rsidR="00016FE1" w:rsidRDefault="00016FE1" w:rsidP="002B6227">
      <w:pPr>
        <w:jc w:val="both"/>
        <w:rPr>
          <w:rFonts w:ascii="Gotham" w:hAnsi="Gotham"/>
          <w:sz w:val="20"/>
          <w:szCs w:val="20"/>
        </w:rPr>
      </w:pPr>
    </w:p>
    <w:p w14:paraId="3A473EC8" w14:textId="77777777" w:rsidR="00016FE1" w:rsidRPr="00F77142" w:rsidRDefault="00016FE1" w:rsidP="002B6227">
      <w:pPr>
        <w:jc w:val="both"/>
        <w:rPr>
          <w:rFonts w:ascii="Gotham" w:hAnsi="Gotham"/>
          <w:sz w:val="20"/>
          <w:szCs w:val="20"/>
        </w:rPr>
      </w:pPr>
      <w:r w:rsidRPr="00F77142">
        <w:rPr>
          <w:rFonts w:ascii="Gotham" w:hAnsi="Gotham"/>
          <w:sz w:val="20"/>
          <w:szCs w:val="20"/>
        </w:rPr>
        <w:t xml:space="preserve">Los que suscriben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elevada y distinguida consideración de este Cuerpo Edilicio, el presente DICTAMEN DE COMISIÓN que tiene por objeto determinar la procedencia en la propuesta de desincorporación del dominio público, y la consecuente baja del inventario municipal de 4 (cuatro) vehículos de propiedad municipal, que han quedado obsoletos en virtud de su estado de incosteable reparación, razón por la cual hacemos de su conocimiento los siguientes </w:t>
      </w:r>
    </w:p>
    <w:p w14:paraId="3A473EC9" w14:textId="77777777" w:rsidR="00016FE1" w:rsidRPr="00F77142" w:rsidRDefault="00016FE1" w:rsidP="002B6227">
      <w:pPr>
        <w:jc w:val="both"/>
        <w:rPr>
          <w:rFonts w:ascii="Gotham" w:hAnsi="Gotham"/>
          <w:sz w:val="20"/>
          <w:szCs w:val="20"/>
        </w:rPr>
      </w:pPr>
    </w:p>
    <w:p w14:paraId="3A473ECA" w14:textId="77777777" w:rsidR="00016FE1" w:rsidRPr="00F77142" w:rsidRDefault="00016FE1" w:rsidP="002B6227">
      <w:pPr>
        <w:jc w:val="center"/>
        <w:rPr>
          <w:rFonts w:ascii="Gotham" w:hAnsi="Gotham"/>
          <w:sz w:val="20"/>
          <w:szCs w:val="20"/>
        </w:rPr>
      </w:pPr>
      <w:r>
        <w:rPr>
          <w:rFonts w:ascii="Gotham" w:hAnsi="Gotham"/>
          <w:sz w:val="20"/>
          <w:szCs w:val="20"/>
        </w:rPr>
        <w:t>A N T E C E D E N T E S</w:t>
      </w:r>
    </w:p>
    <w:p w14:paraId="3A473ECB" w14:textId="77777777" w:rsidR="00016FE1" w:rsidRPr="00F77142" w:rsidRDefault="00016FE1" w:rsidP="002B6227">
      <w:pPr>
        <w:jc w:val="both"/>
        <w:rPr>
          <w:rFonts w:ascii="Gotham" w:hAnsi="Gotham"/>
          <w:sz w:val="20"/>
          <w:szCs w:val="20"/>
        </w:rPr>
      </w:pPr>
    </w:p>
    <w:p w14:paraId="3A473ECC" w14:textId="77777777" w:rsidR="00016FE1" w:rsidRDefault="00016FE1" w:rsidP="002B6227">
      <w:pPr>
        <w:ind w:left="567" w:hanging="567"/>
        <w:jc w:val="both"/>
        <w:rPr>
          <w:rFonts w:ascii="Gotham" w:hAnsi="Gotham"/>
          <w:sz w:val="20"/>
          <w:szCs w:val="20"/>
        </w:rPr>
      </w:pPr>
      <w:r w:rsidRPr="00F77142">
        <w:rPr>
          <w:rFonts w:ascii="Gotham" w:hAnsi="Gotham"/>
          <w:sz w:val="20"/>
          <w:szCs w:val="20"/>
        </w:rPr>
        <w:t xml:space="preserve">I.- </w:t>
      </w:r>
      <w:r>
        <w:rPr>
          <w:rFonts w:ascii="Gotham" w:hAnsi="Gotham"/>
          <w:sz w:val="20"/>
          <w:szCs w:val="20"/>
        </w:rPr>
        <w:tab/>
      </w:r>
      <w:r w:rsidRPr="00F77142">
        <w:rPr>
          <w:rFonts w:ascii="Gotham" w:hAnsi="Gotham"/>
          <w:sz w:val="20"/>
          <w:szCs w:val="20"/>
        </w:rPr>
        <w:t>Que mediante oficio DPM/760/2023, de fecha 29 de noviembre del año 2023, el Director de Patrimonio Municipal, Lic. J. Jesús Orozco Elviro, informa que se realizó una lista de 4 vehículos que forman parte de este H. Ayuntamiento de Tonalá, Jalisco, que por su estado se considera incosteable su reparación.</w:t>
      </w:r>
      <w:r w:rsidR="009F075D">
        <w:rPr>
          <w:rFonts w:ascii="Gotham" w:hAnsi="Gotham"/>
          <w:sz w:val="20"/>
          <w:szCs w:val="20"/>
        </w:rPr>
        <w:t xml:space="preserve"> </w:t>
      </w:r>
    </w:p>
    <w:p w14:paraId="3A473ECD" w14:textId="77777777" w:rsidR="00016FE1" w:rsidRDefault="00016FE1" w:rsidP="002B6227">
      <w:pPr>
        <w:ind w:left="567" w:hanging="567"/>
        <w:jc w:val="both"/>
        <w:rPr>
          <w:rFonts w:ascii="Gotham" w:hAnsi="Gotham"/>
          <w:sz w:val="20"/>
          <w:szCs w:val="20"/>
        </w:rPr>
      </w:pPr>
    </w:p>
    <w:p w14:paraId="3A473ECE" w14:textId="77777777" w:rsidR="00016FE1" w:rsidRPr="009132E8" w:rsidRDefault="00016FE1" w:rsidP="002B6227">
      <w:pPr>
        <w:ind w:left="567" w:hanging="567"/>
        <w:jc w:val="both"/>
        <w:rPr>
          <w:rFonts w:ascii="Gotham" w:hAnsi="Gotham"/>
          <w:sz w:val="20"/>
          <w:szCs w:val="20"/>
        </w:rPr>
      </w:pPr>
      <w:r>
        <w:rPr>
          <w:rFonts w:ascii="Gotham" w:hAnsi="Gotham"/>
          <w:sz w:val="20"/>
          <w:szCs w:val="20"/>
        </w:rPr>
        <w:t xml:space="preserve">II.-       </w:t>
      </w:r>
      <w:r w:rsidRPr="009132E8">
        <w:rPr>
          <w:rFonts w:ascii="Gotham" w:hAnsi="Gotham"/>
          <w:sz w:val="20"/>
          <w:szCs w:val="20"/>
        </w:rPr>
        <w:t>Mediante acuerdo número 962, de la Sesión Ordinaria de Ayuntamiento de fecha 14 de diciembre del año 2023, se aprobó turnar a la Comisión de Hacienda y Presupuestos, el siguiente turno a comisión:</w:t>
      </w:r>
    </w:p>
    <w:p w14:paraId="3A473ECF" w14:textId="77777777" w:rsidR="00016FE1" w:rsidRPr="00F77142" w:rsidRDefault="00016FE1" w:rsidP="002B6227">
      <w:pPr>
        <w:jc w:val="both"/>
        <w:rPr>
          <w:rFonts w:ascii="Gotham" w:hAnsi="Gotham"/>
          <w:sz w:val="20"/>
          <w:szCs w:val="20"/>
        </w:rPr>
      </w:pPr>
    </w:p>
    <w:p w14:paraId="3A473ED0" w14:textId="77777777" w:rsidR="00016FE1" w:rsidRPr="003A4BBD" w:rsidRDefault="00016FE1" w:rsidP="002B6227">
      <w:pPr>
        <w:ind w:left="851" w:right="283"/>
        <w:jc w:val="both"/>
        <w:rPr>
          <w:rFonts w:ascii="Gotham" w:hAnsi="Gotham" w:cs="Arial"/>
          <w:i/>
          <w:sz w:val="19"/>
          <w:szCs w:val="19"/>
        </w:rPr>
      </w:pPr>
      <w:r w:rsidRPr="003A4BBD">
        <w:rPr>
          <w:rFonts w:ascii="Gotham" w:hAnsi="Gotham" w:cs="Arial"/>
          <w:i/>
          <w:sz w:val="19"/>
          <w:szCs w:val="19"/>
        </w:rPr>
        <w:t xml:space="preserve">La que suscribe en mi calidad de Regidora Municipal, Celia Guadalupe Serrano Villagómez,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elevada y distinguida consideración de este cuerpo edilicio, la presente INICIATIVA CON TURNO A COMISIÓN, que tiene por objeto se estudie y, en su caso, se autorice la desincorporación del dominio público, y la baja del inventario municipal al que están afectos 4 cuatro vehículos de propiedad municipal señalados como incosteables para ser reparados, razón por la cual hacemos de su conocimiento los siguientes </w:t>
      </w:r>
    </w:p>
    <w:p w14:paraId="3A473ED1" w14:textId="77777777" w:rsidR="00016FE1" w:rsidRPr="003A4BBD" w:rsidRDefault="00016FE1" w:rsidP="002B6227">
      <w:pPr>
        <w:pStyle w:val="western"/>
        <w:spacing w:before="0" w:beforeAutospacing="0"/>
        <w:ind w:left="851" w:right="283"/>
        <w:jc w:val="both"/>
        <w:rPr>
          <w:rFonts w:ascii="Gotham" w:hAnsi="Gotham" w:cs="Arial"/>
          <w:i/>
          <w:sz w:val="19"/>
          <w:szCs w:val="19"/>
        </w:rPr>
      </w:pPr>
    </w:p>
    <w:p w14:paraId="3A473ED2" w14:textId="77777777" w:rsidR="00016FE1" w:rsidRPr="003A4BBD" w:rsidRDefault="00016FE1" w:rsidP="002B6227">
      <w:pPr>
        <w:pStyle w:val="western"/>
        <w:spacing w:before="0" w:beforeAutospacing="0"/>
        <w:ind w:left="851" w:right="283"/>
        <w:jc w:val="center"/>
        <w:rPr>
          <w:rFonts w:ascii="Gotham" w:hAnsi="Gotham" w:cs="Arial"/>
          <w:i/>
          <w:sz w:val="19"/>
          <w:szCs w:val="19"/>
        </w:rPr>
      </w:pPr>
      <w:r w:rsidRPr="003A4BBD">
        <w:rPr>
          <w:rFonts w:ascii="Gotham" w:hAnsi="Gotham" w:cs="Arial"/>
          <w:i/>
          <w:sz w:val="19"/>
          <w:szCs w:val="19"/>
        </w:rPr>
        <w:t>A N T E C E D E N T E S:</w:t>
      </w:r>
    </w:p>
    <w:p w14:paraId="3A473ED3" w14:textId="77777777" w:rsidR="00016FE1" w:rsidRPr="003A4BBD" w:rsidRDefault="00016FE1" w:rsidP="002B6227">
      <w:pPr>
        <w:pStyle w:val="western"/>
        <w:spacing w:before="0" w:beforeAutospacing="0"/>
        <w:ind w:left="851" w:right="283"/>
        <w:jc w:val="both"/>
        <w:rPr>
          <w:rFonts w:ascii="Gotham" w:hAnsi="Gotham" w:cs="Arial"/>
          <w:i/>
          <w:sz w:val="19"/>
          <w:szCs w:val="19"/>
        </w:rPr>
      </w:pPr>
    </w:p>
    <w:p w14:paraId="3A473ED4" w14:textId="77777777" w:rsidR="00016FE1" w:rsidRPr="003A4BBD" w:rsidRDefault="00016FE1" w:rsidP="002B6227">
      <w:pPr>
        <w:pStyle w:val="western"/>
        <w:spacing w:before="0" w:beforeAutospacing="0"/>
        <w:ind w:left="1276" w:right="283" w:hanging="425"/>
        <w:jc w:val="both"/>
        <w:rPr>
          <w:rFonts w:ascii="Gotham" w:hAnsi="Gotham" w:cs="Arial"/>
          <w:i/>
          <w:sz w:val="19"/>
          <w:szCs w:val="19"/>
        </w:rPr>
      </w:pPr>
      <w:r w:rsidRPr="003A4BBD">
        <w:rPr>
          <w:rFonts w:ascii="Gotham" w:hAnsi="Gotham" w:cs="Arial"/>
          <w:i/>
          <w:sz w:val="19"/>
          <w:szCs w:val="19"/>
        </w:rPr>
        <w:t xml:space="preserve">1. </w:t>
      </w:r>
      <w:r>
        <w:rPr>
          <w:rFonts w:ascii="Gotham" w:hAnsi="Gotham" w:cs="Arial"/>
          <w:i/>
          <w:sz w:val="19"/>
          <w:szCs w:val="19"/>
        </w:rPr>
        <w:tab/>
      </w:r>
      <w:r w:rsidRPr="003A4BBD">
        <w:rPr>
          <w:rFonts w:ascii="Gotham" w:hAnsi="Gotham" w:cs="Arial"/>
          <w:i/>
          <w:sz w:val="19"/>
          <w:szCs w:val="19"/>
        </w:rPr>
        <w:t xml:space="preserve">Mediante oficio el Titular de la Dirección de Patrimonio Municipal, Lic. J. Jesús Orozco Elviro, solicita que el Ayuntamiento estudie y, en su caso, autorice el destino final y la desincorporación de 04 (cuatro), vehículos de propiedad municipal considerados por parte del taller municipal como incosteables para ser reparados. </w:t>
      </w:r>
    </w:p>
    <w:p w14:paraId="3A473ED5" w14:textId="77777777" w:rsidR="00016FE1" w:rsidRPr="003A4BBD" w:rsidRDefault="00016FE1" w:rsidP="002B6227">
      <w:pPr>
        <w:pStyle w:val="western"/>
        <w:spacing w:before="0" w:beforeAutospacing="0"/>
        <w:ind w:left="851" w:right="283"/>
        <w:jc w:val="both"/>
        <w:rPr>
          <w:rFonts w:ascii="Gotham" w:hAnsi="Gotham" w:cs="Arial"/>
          <w:i/>
          <w:sz w:val="19"/>
          <w:szCs w:val="19"/>
        </w:rPr>
      </w:pPr>
    </w:p>
    <w:p w14:paraId="3A473ED6" w14:textId="77777777" w:rsidR="00016FE1" w:rsidRPr="003A4BBD" w:rsidRDefault="00016FE1" w:rsidP="002B6227">
      <w:pPr>
        <w:pStyle w:val="western"/>
        <w:spacing w:before="0" w:beforeAutospacing="0"/>
        <w:ind w:left="851" w:right="283"/>
        <w:jc w:val="center"/>
        <w:rPr>
          <w:rFonts w:ascii="Gotham" w:hAnsi="Gotham" w:cs="Arial"/>
          <w:i/>
          <w:sz w:val="19"/>
          <w:szCs w:val="19"/>
        </w:rPr>
      </w:pPr>
      <w:r w:rsidRPr="003A4BBD">
        <w:rPr>
          <w:rFonts w:ascii="Gotham" w:hAnsi="Gotham" w:cs="Arial"/>
          <w:i/>
          <w:sz w:val="19"/>
          <w:szCs w:val="19"/>
        </w:rPr>
        <w:t>C O N S I D E R A C I O N E S:</w:t>
      </w:r>
    </w:p>
    <w:p w14:paraId="3A473ED7" w14:textId="77777777" w:rsidR="00016FE1" w:rsidRPr="003A4BBD" w:rsidRDefault="00016FE1" w:rsidP="002B6227">
      <w:pPr>
        <w:pStyle w:val="western"/>
        <w:spacing w:before="0" w:beforeAutospacing="0"/>
        <w:ind w:left="851" w:right="283"/>
        <w:jc w:val="both"/>
        <w:rPr>
          <w:rFonts w:ascii="Gotham" w:hAnsi="Gotham" w:cs="Arial"/>
          <w:i/>
          <w:sz w:val="19"/>
          <w:szCs w:val="19"/>
        </w:rPr>
      </w:pPr>
    </w:p>
    <w:p w14:paraId="3A473ED8" w14:textId="77777777" w:rsidR="00016FE1" w:rsidRPr="003A4BBD" w:rsidRDefault="00016FE1" w:rsidP="002B6227">
      <w:pPr>
        <w:pStyle w:val="western"/>
        <w:spacing w:before="0" w:beforeAutospacing="0"/>
        <w:ind w:left="1276" w:right="283" w:hanging="425"/>
        <w:jc w:val="both"/>
        <w:rPr>
          <w:rFonts w:ascii="Gotham" w:hAnsi="Gotham" w:cs="Arial"/>
          <w:i/>
          <w:sz w:val="19"/>
          <w:szCs w:val="19"/>
        </w:rPr>
      </w:pPr>
      <w:r w:rsidRPr="003A4BBD">
        <w:rPr>
          <w:rFonts w:ascii="Gotham" w:hAnsi="Gotham" w:cs="Arial"/>
          <w:i/>
          <w:sz w:val="19"/>
          <w:szCs w:val="19"/>
        </w:rPr>
        <w:t xml:space="preserve">1. </w:t>
      </w:r>
      <w:r>
        <w:rPr>
          <w:rFonts w:ascii="Gotham" w:hAnsi="Gotham" w:cs="Arial"/>
          <w:i/>
          <w:sz w:val="19"/>
          <w:szCs w:val="19"/>
        </w:rPr>
        <w:tab/>
      </w:r>
      <w:r w:rsidRPr="003A4BBD">
        <w:rPr>
          <w:rFonts w:ascii="Gotham" w:hAnsi="Gotham" w:cs="Arial"/>
          <w:i/>
          <w:sz w:val="19"/>
          <w:szCs w:val="19"/>
        </w:rPr>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A473ED9" w14:textId="77777777" w:rsidR="00016FE1" w:rsidRPr="003A4BBD" w:rsidRDefault="00016FE1" w:rsidP="002B6227">
      <w:pPr>
        <w:pStyle w:val="western"/>
        <w:spacing w:before="0" w:beforeAutospacing="0"/>
        <w:ind w:left="1276" w:right="283" w:hanging="425"/>
        <w:jc w:val="both"/>
        <w:rPr>
          <w:rFonts w:ascii="Gotham" w:hAnsi="Gotham" w:cs="Arial"/>
          <w:i/>
          <w:sz w:val="19"/>
          <w:szCs w:val="19"/>
        </w:rPr>
      </w:pPr>
    </w:p>
    <w:p w14:paraId="3A473EDA" w14:textId="77777777" w:rsidR="00016FE1" w:rsidRPr="003A4BBD" w:rsidRDefault="00016FE1" w:rsidP="002B6227">
      <w:pPr>
        <w:pStyle w:val="western"/>
        <w:spacing w:before="0" w:beforeAutospacing="0"/>
        <w:ind w:left="1276" w:right="283" w:hanging="425"/>
        <w:jc w:val="both"/>
        <w:rPr>
          <w:rFonts w:ascii="Gotham" w:hAnsi="Gotham" w:cs="Arial"/>
          <w:i/>
          <w:sz w:val="19"/>
          <w:szCs w:val="19"/>
        </w:rPr>
      </w:pPr>
      <w:r w:rsidRPr="003A4BBD">
        <w:rPr>
          <w:rFonts w:ascii="Gotham" w:hAnsi="Gotham" w:cs="Arial"/>
          <w:i/>
          <w:sz w:val="19"/>
          <w:szCs w:val="19"/>
        </w:rPr>
        <w:t xml:space="preserve">2. </w:t>
      </w:r>
      <w:r>
        <w:rPr>
          <w:rFonts w:ascii="Gotham" w:hAnsi="Gotham" w:cs="Arial"/>
          <w:i/>
          <w:sz w:val="19"/>
          <w:szCs w:val="19"/>
        </w:rPr>
        <w:tab/>
      </w:r>
      <w:r w:rsidRPr="003A4BBD">
        <w:rPr>
          <w:rFonts w:ascii="Gotham" w:hAnsi="Gotham" w:cs="Arial"/>
          <w:i/>
          <w:sz w:val="19"/>
          <w:szCs w:val="19"/>
        </w:rPr>
        <w:t xml:space="preserve">Que en términos de los artículos 82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 según el artículo 87 del citado ordenamiento, sobre los bienes de dominio privado del Municipio se puede celebrar y ejecutar todos los actos jurídicos regulados por el derecho común, tal como es el caso, la sujeción a venta mediante la subasta pública. </w:t>
      </w:r>
    </w:p>
    <w:p w14:paraId="3A473EDB" w14:textId="77777777" w:rsidR="00016FE1" w:rsidRPr="003A4BBD" w:rsidRDefault="00016FE1" w:rsidP="002B6227">
      <w:pPr>
        <w:pStyle w:val="western"/>
        <w:spacing w:before="0" w:beforeAutospacing="0"/>
        <w:ind w:left="851" w:right="283"/>
        <w:jc w:val="both"/>
        <w:rPr>
          <w:rFonts w:ascii="Gotham" w:hAnsi="Gotham" w:cs="Arial"/>
          <w:i/>
          <w:sz w:val="19"/>
          <w:szCs w:val="19"/>
        </w:rPr>
      </w:pPr>
    </w:p>
    <w:p w14:paraId="3A473EDC" w14:textId="77777777" w:rsidR="00016FE1" w:rsidRPr="003A4BBD" w:rsidRDefault="00016FE1" w:rsidP="002B6227">
      <w:pPr>
        <w:pStyle w:val="western"/>
        <w:spacing w:before="0" w:beforeAutospacing="0"/>
        <w:ind w:left="851" w:right="283"/>
        <w:jc w:val="both"/>
        <w:rPr>
          <w:rFonts w:ascii="Gotham" w:hAnsi="Gotham" w:cs="Arial"/>
          <w:i/>
          <w:sz w:val="19"/>
          <w:szCs w:val="19"/>
        </w:rPr>
      </w:pPr>
      <w:r w:rsidRPr="003A4BBD">
        <w:rPr>
          <w:rFonts w:ascii="Gotham" w:hAnsi="Gotham" w:cs="Arial"/>
          <w:i/>
          <w:sz w:val="19"/>
          <w:szCs w:val="19"/>
        </w:rPr>
        <w:t xml:space="preserve">En virtud de lo anteriormente expuesto, me permito proponer a la consideración de este Ayuntamiento en Pleno, el siguiente punto de </w:t>
      </w:r>
    </w:p>
    <w:p w14:paraId="3A473EDD" w14:textId="77777777" w:rsidR="00016FE1" w:rsidRPr="003A4BBD" w:rsidRDefault="00016FE1" w:rsidP="002B6227">
      <w:pPr>
        <w:pStyle w:val="western"/>
        <w:spacing w:before="0" w:beforeAutospacing="0"/>
        <w:ind w:left="851" w:right="283"/>
        <w:jc w:val="center"/>
        <w:rPr>
          <w:rFonts w:ascii="Gotham" w:hAnsi="Gotham" w:cs="Arial"/>
          <w:i/>
          <w:sz w:val="19"/>
          <w:szCs w:val="19"/>
        </w:rPr>
      </w:pPr>
    </w:p>
    <w:p w14:paraId="3A473EDE" w14:textId="77777777" w:rsidR="00016FE1" w:rsidRPr="003A4BBD" w:rsidRDefault="00016FE1" w:rsidP="002B6227">
      <w:pPr>
        <w:pStyle w:val="western"/>
        <w:spacing w:before="0" w:beforeAutospacing="0"/>
        <w:ind w:left="851" w:right="283"/>
        <w:jc w:val="center"/>
        <w:rPr>
          <w:rFonts w:ascii="Gotham" w:hAnsi="Gotham" w:cs="Arial"/>
          <w:i/>
          <w:sz w:val="19"/>
          <w:szCs w:val="19"/>
        </w:rPr>
      </w:pPr>
      <w:r>
        <w:rPr>
          <w:rFonts w:ascii="Gotham" w:hAnsi="Gotham" w:cs="Arial"/>
          <w:i/>
          <w:sz w:val="19"/>
          <w:szCs w:val="19"/>
        </w:rPr>
        <w:t>A C U E R D O</w:t>
      </w:r>
    </w:p>
    <w:p w14:paraId="3A473EDF" w14:textId="77777777" w:rsidR="00016FE1" w:rsidRPr="003A4BBD" w:rsidRDefault="00016FE1" w:rsidP="002B6227">
      <w:pPr>
        <w:pStyle w:val="western"/>
        <w:spacing w:before="0" w:beforeAutospacing="0"/>
        <w:ind w:left="851" w:right="283"/>
        <w:jc w:val="both"/>
        <w:rPr>
          <w:rFonts w:ascii="Gotham" w:hAnsi="Gotham" w:cs="Arial"/>
          <w:i/>
          <w:sz w:val="19"/>
          <w:szCs w:val="19"/>
        </w:rPr>
      </w:pPr>
    </w:p>
    <w:p w14:paraId="3A473EE0" w14:textId="77777777" w:rsidR="00016FE1" w:rsidRPr="003A4BBD" w:rsidRDefault="00016FE1" w:rsidP="002B6227">
      <w:pPr>
        <w:ind w:left="851" w:right="283"/>
        <w:jc w:val="both"/>
        <w:rPr>
          <w:rFonts w:ascii="Gotham" w:hAnsi="Gotham" w:cs="Arial"/>
          <w:i/>
          <w:sz w:val="19"/>
          <w:szCs w:val="19"/>
        </w:rPr>
      </w:pPr>
      <w:r w:rsidRPr="003A4BBD">
        <w:rPr>
          <w:rFonts w:ascii="Gotham" w:hAnsi="Gotham" w:cs="Arial"/>
          <w:i/>
          <w:sz w:val="19"/>
          <w:szCs w:val="19"/>
        </w:rPr>
        <w:t>ÚNICO.- Se aprueba turnar a la Comisión Edilicia de Hacienda Municipal y Presupuestos, se autorice la desincorporación del dominio público, y la baja del inventario municipal al que están afectos 04 vehículos de propiedad municipal señalados como incosteables para ser reparados; para su estudio, análisis y dictaminación final.</w:t>
      </w:r>
    </w:p>
    <w:p w14:paraId="3A473EE1" w14:textId="77777777" w:rsidR="00016FE1" w:rsidRPr="000B109C" w:rsidRDefault="00016FE1" w:rsidP="002B6227">
      <w:pPr>
        <w:ind w:left="567" w:hanging="567"/>
        <w:jc w:val="both"/>
        <w:rPr>
          <w:rFonts w:ascii="Gotham" w:hAnsi="Gotham"/>
          <w:sz w:val="20"/>
          <w:szCs w:val="20"/>
        </w:rPr>
      </w:pPr>
    </w:p>
    <w:p w14:paraId="3A473EE2" w14:textId="77777777" w:rsidR="00016FE1" w:rsidRPr="000B109C" w:rsidRDefault="00016FE1" w:rsidP="002B6227">
      <w:pPr>
        <w:ind w:left="567" w:hanging="567"/>
        <w:jc w:val="both"/>
        <w:rPr>
          <w:rFonts w:ascii="Gotham" w:hAnsi="Gotham"/>
          <w:sz w:val="20"/>
          <w:szCs w:val="20"/>
        </w:rPr>
      </w:pPr>
      <w:r w:rsidRPr="009132E8">
        <w:rPr>
          <w:rFonts w:ascii="Gotham" w:hAnsi="Gotham"/>
          <w:sz w:val="20"/>
          <w:szCs w:val="20"/>
        </w:rPr>
        <w:t>I</w:t>
      </w:r>
      <w:r>
        <w:rPr>
          <w:rFonts w:ascii="Gotham" w:hAnsi="Gotham"/>
          <w:sz w:val="20"/>
          <w:szCs w:val="20"/>
        </w:rPr>
        <w:t>I</w:t>
      </w:r>
      <w:r w:rsidRPr="009132E8">
        <w:rPr>
          <w:rFonts w:ascii="Gotham" w:hAnsi="Gotham"/>
          <w:sz w:val="20"/>
          <w:szCs w:val="20"/>
        </w:rPr>
        <w:t xml:space="preserve">I.- </w:t>
      </w:r>
      <w:r w:rsidRPr="009132E8">
        <w:rPr>
          <w:rFonts w:ascii="Gotham" w:hAnsi="Gotham"/>
          <w:sz w:val="20"/>
          <w:szCs w:val="20"/>
        </w:rPr>
        <w:tab/>
        <w:t>Que</w:t>
      </w:r>
      <w:r w:rsidRPr="000B109C">
        <w:rPr>
          <w:rFonts w:ascii="Gotham" w:hAnsi="Gotham"/>
          <w:sz w:val="20"/>
          <w:szCs w:val="20"/>
        </w:rPr>
        <w:t xml:space="preserve"> mediante oficio SECRETARIA GENERAL/004/2024, la Mtra. Celia Isabel Gauna Ruíz de León, remite acuerdo número 962 de la Vigésimo Séptima Sesión Ordinaria de Ayuntamiento, mediante el cual se aprobó turnar a la Comisión de Hacienda Municipal y Presupuestos, la propuesta que tiene por objeto determinar la procedencia en la propuesta de desincorporación </w:t>
      </w:r>
      <w:r w:rsidRPr="000B109C">
        <w:rPr>
          <w:rFonts w:ascii="Gotham" w:hAnsi="Gotham"/>
          <w:sz w:val="20"/>
          <w:szCs w:val="20"/>
        </w:rPr>
        <w:lastRenderedPageBreak/>
        <w:t>del dominio público, y la consecuente baja del inventario municipal de 4 (cuatro) vehículos de propiedad municipal, que han quedado obsoletos en virtud de su estado de incosteable reparación. Lo anterior para su estudio, análisis y dictaminación final.</w:t>
      </w:r>
    </w:p>
    <w:p w14:paraId="3A473EE3" w14:textId="77777777" w:rsidR="00016FE1" w:rsidRDefault="00016FE1" w:rsidP="00AD6342">
      <w:pPr>
        <w:rPr>
          <w:rFonts w:ascii="Gotham" w:hAnsi="Gotham"/>
          <w:sz w:val="20"/>
          <w:szCs w:val="20"/>
        </w:rPr>
      </w:pPr>
    </w:p>
    <w:p w14:paraId="3A473EE4" w14:textId="77777777" w:rsidR="00016FE1" w:rsidRPr="000B109C" w:rsidRDefault="00016FE1" w:rsidP="002B6227">
      <w:pPr>
        <w:jc w:val="center"/>
        <w:rPr>
          <w:rFonts w:ascii="Gotham" w:hAnsi="Gotham"/>
          <w:sz w:val="20"/>
          <w:szCs w:val="20"/>
        </w:rPr>
      </w:pPr>
      <w:r>
        <w:rPr>
          <w:rFonts w:ascii="Gotham" w:hAnsi="Gotham"/>
          <w:sz w:val="20"/>
          <w:szCs w:val="20"/>
        </w:rPr>
        <w:t>RESULTANDOS</w:t>
      </w:r>
    </w:p>
    <w:p w14:paraId="3A473EE5" w14:textId="77777777" w:rsidR="00016FE1" w:rsidRPr="000B109C" w:rsidRDefault="00016FE1" w:rsidP="002B6227">
      <w:pPr>
        <w:jc w:val="both"/>
        <w:rPr>
          <w:rFonts w:ascii="Gotham" w:hAnsi="Gotham"/>
          <w:sz w:val="20"/>
          <w:szCs w:val="20"/>
        </w:rPr>
      </w:pPr>
    </w:p>
    <w:p w14:paraId="3A473EE6" w14:textId="77777777" w:rsidR="00016FE1" w:rsidRPr="000B109C" w:rsidRDefault="00016FE1" w:rsidP="002B6227">
      <w:pPr>
        <w:ind w:left="567" w:hanging="567"/>
        <w:jc w:val="both"/>
        <w:rPr>
          <w:rFonts w:ascii="Gotham" w:hAnsi="Gotham"/>
          <w:sz w:val="20"/>
          <w:szCs w:val="20"/>
        </w:rPr>
      </w:pPr>
      <w:r w:rsidRPr="000B109C">
        <w:rPr>
          <w:rFonts w:ascii="Gotham" w:hAnsi="Gotham"/>
          <w:sz w:val="20"/>
          <w:szCs w:val="20"/>
        </w:rPr>
        <w:t xml:space="preserve">I.- </w:t>
      </w:r>
      <w:r>
        <w:rPr>
          <w:rFonts w:ascii="Gotham" w:hAnsi="Gotham"/>
          <w:sz w:val="20"/>
          <w:szCs w:val="20"/>
        </w:rPr>
        <w:tab/>
      </w:r>
      <w:r w:rsidRPr="000B109C">
        <w:rPr>
          <w:rFonts w:ascii="Gotham" w:hAnsi="Gotham"/>
          <w:sz w:val="20"/>
          <w:szCs w:val="20"/>
        </w:rPr>
        <w:t xml:space="preserve">Que mediante oficio DPM/016/2024, de fecha 16 de enero del año en curso, el Director de Patrimonio Municipal, Lic. J. Jesús Orozco Elviro, envía relación de los 4 vehículos propuestos para la baja del inventario municipal, siendo los siguientes: </w:t>
      </w:r>
    </w:p>
    <w:p w14:paraId="3A473EE7" w14:textId="77777777" w:rsidR="00016FE1" w:rsidRPr="000B109C" w:rsidRDefault="00016FE1" w:rsidP="002B6227">
      <w:pPr>
        <w:ind w:left="567" w:hanging="567"/>
        <w:jc w:val="both"/>
        <w:rPr>
          <w:rFonts w:ascii="Gotham" w:hAnsi="Gotham"/>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361"/>
        <w:gridCol w:w="2948"/>
        <w:gridCol w:w="1077"/>
        <w:gridCol w:w="2438"/>
      </w:tblGrid>
      <w:tr w:rsidR="00016FE1" w:rsidRPr="0087554C" w14:paraId="3A473EED" w14:textId="77777777" w:rsidTr="00AD51C5">
        <w:trPr>
          <w:trHeight w:val="283"/>
          <w:jc w:val="right"/>
        </w:trPr>
        <w:tc>
          <w:tcPr>
            <w:tcW w:w="1531" w:type="dxa"/>
            <w:tcBorders>
              <w:top w:val="single" w:sz="4" w:space="0" w:color="auto"/>
              <w:left w:val="single" w:sz="4" w:space="0" w:color="auto"/>
              <w:bottom w:val="single" w:sz="4" w:space="0" w:color="auto"/>
              <w:right w:val="single" w:sz="4" w:space="0" w:color="auto"/>
            </w:tcBorders>
            <w:vAlign w:val="center"/>
            <w:hideMark/>
          </w:tcPr>
          <w:p w14:paraId="3A473EE8" w14:textId="77777777" w:rsidR="00016FE1" w:rsidRPr="0087554C" w:rsidRDefault="00016FE1" w:rsidP="002B6227">
            <w:pPr>
              <w:jc w:val="center"/>
              <w:rPr>
                <w:rFonts w:ascii="Gotham" w:eastAsia="Arial Unicode MS" w:hAnsi="Gotham" w:cs="Arial"/>
                <w:b/>
                <w:smallCaps/>
                <w:sz w:val="18"/>
                <w:szCs w:val="18"/>
              </w:rPr>
            </w:pPr>
            <w:r w:rsidRPr="0087554C">
              <w:rPr>
                <w:rFonts w:ascii="Gotham" w:eastAsia="Arial Unicode MS" w:hAnsi="Gotham" w:cs="Arial"/>
                <w:b/>
                <w:smallCaps/>
                <w:sz w:val="18"/>
                <w:szCs w:val="18"/>
              </w:rPr>
              <w:t>N° Económico</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A473EE9" w14:textId="77777777" w:rsidR="00016FE1" w:rsidRPr="0087554C" w:rsidRDefault="00016FE1" w:rsidP="002B6227">
            <w:pPr>
              <w:jc w:val="center"/>
              <w:rPr>
                <w:rFonts w:ascii="Gotham" w:eastAsia="Arial Unicode MS" w:hAnsi="Gotham" w:cs="Arial"/>
                <w:b/>
                <w:smallCaps/>
                <w:sz w:val="18"/>
                <w:szCs w:val="18"/>
              </w:rPr>
            </w:pPr>
            <w:r w:rsidRPr="0087554C">
              <w:rPr>
                <w:rFonts w:ascii="Gotham" w:eastAsia="Arial Unicode MS" w:hAnsi="Gotham" w:cs="Arial"/>
                <w:b/>
                <w:smallCaps/>
                <w:sz w:val="18"/>
                <w:szCs w:val="18"/>
              </w:rPr>
              <w:t>Placas</w:t>
            </w:r>
          </w:p>
        </w:tc>
        <w:tc>
          <w:tcPr>
            <w:tcW w:w="2948" w:type="dxa"/>
            <w:tcBorders>
              <w:top w:val="single" w:sz="4" w:space="0" w:color="auto"/>
              <w:left w:val="single" w:sz="4" w:space="0" w:color="auto"/>
              <w:bottom w:val="single" w:sz="4" w:space="0" w:color="auto"/>
              <w:right w:val="single" w:sz="4" w:space="0" w:color="auto"/>
            </w:tcBorders>
            <w:vAlign w:val="center"/>
            <w:hideMark/>
          </w:tcPr>
          <w:p w14:paraId="3A473EEA" w14:textId="77777777" w:rsidR="00016FE1" w:rsidRPr="0087554C" w:rsidRDefault="00016FE1" w:rsidP="002B6227">
            <w:pPr>
              <w:jc w:val="center"/>
              <w:rPr>
                <w:rFonts w:ascii="Gotham" w:eastAsia="Arial Unicode MS" w:hAnsi="Gotham" w:cs="Arial"/>
                <w:b/>
                <w:smallCaps/>
                <w:sz w:val="18"/>
                <w:szCs w:val="18"/>
              </w:rPr>
            </w:pPr>
            <w:r w:rsidRPr="0087554C">
              <w:rPr>
                <w:rFonts w:ascii="Gotham" w:eastAsia="Arial Unicode MS" w:hAnsi="Gotham" w:cs="Arial"/>
                <w:b/>
                <w:smallCaps/>
                <w:sz w:val="18"/>
                <w:szCs w:val="18"/>
              </w:rPr>
              <w:t>N° serie</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A473EEB" w14:textId="77777777" w:rsidR="00016FE1" w:rsidRPr="0087554C" w:rsidRDefault="00016FE1" w:rsidP="002B6227">
            <w:pPr>
              <w:jc w:val="center"/>
              <w:rPr>
                <w:rFonts w:ascii="Gotham" w:eastAsia="Arial Unicode MS" w:hAnsi="Gotham" w:cs="Arial"/>
                <w:b/>
                <w:smallCaps/>
                <w:sz w:val="18"/>
                <w:szCs w:val="18"/>
              </w:rPr>
            </w:pPr>
            <w:r w:rsidRPr="0087554C">
              <w:rPr>
                <w:rFonts w:ascii="Gotham" w:eastAsia="Arial Unicode MS" w:hAnsi="Gotham" w:cs="Arial"/>
                <w:b/>
                <w:smallCaps/>
                <w:sz w:val="18"/>
                <w:szCs w:val="18"/>
              </w:rPr>
              <w:t>Modelo</w:t>
            </w:r>
          </w:p>
        </w:tc>
        <w:tc>
          <w:tcPr>
            <w:tcW w:w="2438" w:type="dxa"/>
            <w:tcBorders>
              <w:top w:val="single" w:sz="4" w:space="0" w:color="auto"/>
              <w:left w:val="single" w:sz="4" w:space="0" w:color="auto"/>
              <w:bottom w:val="single" w:sz="4" w:space="0" w:color="auto"/>
              <w:right w:val="single" w:sz="4" w:space="0" w:color="auto"/>
            </w:tcBorders>
            <w:vAlign w:val="center"/>
            <w:hideMark/>
          </w:tcPr>
          <w:p w14:paraId="3A473EEC" w14:textId="77777777" w:rsidR="00016FE1" w:rsidRPr="0087554C" w:rsidRDefault="00016FE1" w:rsidP="002B6227">
            <w:pPr>
              <w:jc w:val="center"/>
              <w:rPr>
                <w:rFonts w:ascii="Gotham" w:eastAsia="Arial Unicode MS" w:hAnsi="Gotham" w:cs="Arial"/>
                <w:b/>
                <w:smallCaps/>
                <w:sz w:val="18"/>
                <w:szCs w:val="18"/>
              </w:rPr>
            </w:pPr>
            <w:r w:rsidRPr="0087554C">
              <w:rPr>
                <w:rFonts w:ascii="Gotham" w:eastAsia="Arial Unicode MS" w:hAnsi="Gotham" w:cs="Arial"/>
                <w:b/>
                <w:smallCaps/>
                <w:sz w:val="18"/>
                <w:szCs w:val="18"/>
              </w:rPr>
              <w:t>Marca</w:t>
            </w:r>
          </w:p>
        </w:tc>
      </w:tr>
      <w:tr w:rsidR="00016FE1" w:rsidRPr="0087554C" w14:paraId="3A473EF3" w14:textId="77777777" w:rsidTr="00AD51C5">
        <w:trPr>
          <w:trHeight w:val="283"/>
          <w:jc w:val="right"/>
        </w:trPr>
        <w:tc>
          <w:tcPr>
            <w:tcW w:w="1531" w:type="dxa"/>
            <w:tcBorders>
              <w:top w:val="single" w:sz="4" w:space="0" w:color="auto"/>
              <w:left w:val="single" w:sz="4" w:space="0" w:color="auto"/>
              <w:bottom w:val="single" w:sz="4" w:space="0" w:color="auto"/>
              <w:right w:val="single" w:sz="4" w:space="0" w:color="auto"/>
            </w:tcBorders>
            <w:vAlign w:val="center"/>
            <w:hideMark/>
          </w:tcPr>
          <w:p w14:paraId="3A473EEE"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272</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A473EEF"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HZS-9718</w:t>
            </w:r>
          </w:p>
        </w:tc>
        <w:tc>
          <w:tcPr>
            <w:tcW w:w="2948" w:type="dxa"/>
            <w:tcBorders>
              <w:top w:val="single" w:sz="4" w:space="0" w:color="auto"/>
              <w:left w:val="single" w:sz="4" w:space="0" w:color="auto"/>
              <w:bottom w:val="single" w:sz="4" w:space="0" w:color="auto"/>
              <w:right w:val="single" w:sz="4" w:space="0" w:color="auto"/>
            </w:tcBorders>
            <w:vAlign w:val="center"/>
            <w:hideMark/>
          </w:tcPr>
          <w:p w14:paraId="3A473EF0"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9BWGC07X51P007369</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A473EF1"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2001</w:t>
            </w:r>
          </w:p>
        </w:tc>
        <w:tc>
          <w:tcPr>
            <w:tcW w:w="2438" w:type="dxa"/>
            <w:tcBorders>
              <w:top w:val="single" w:sz="4" w:space="0" w:color="auto"/>
              <w:left w:val="single" w:sz="4" w:space="0" w:color="auto"/>
              <w:bottom w:val="single" w:sz="4" w:space="0" w:color="auto"/>
              <w:right w:val="single" w:sz="4" w:space="0" w:color="auto"/>
            </w:tcBorders>
            <w:vAlign w:val="center"/>
            <w:hideMark/>
          </w:tcPr>
          <w:p w14:paraId="3A473EF2"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V.W. TIPO COMBI</w:t>
            </w:r>
          </w:p>
        </w:tc>
      </w:tr>
      <w:tr w:rsidR="00016FE1" w:rsidRPr="0087554C" w14:paraId="3A473EF9" w14:textId="77777777" w:rsidTr="00AD51C5">
        <w:trPr>
          <w:trHeight w:val="283"/>
          <w:jc w:val="right"/>
        </w:trPr>
        <w:tc>
          <w:tcPr>
            <w:tcW w:w="1531" w:type="dxa"/>
            <w:tcBorders>
              <w:top w:val="single" w:sz="4" w:space="0" w:color="auto"/>
              <w:left w:val="single" w:sz="4" w:space="0" w:color="auto"/>
              <w:bottom w:val="single" w:sz="4" w:space="0" w:color="auto"/>
              <w:right w:val="single" w:sz="4" w:space="0" w:color="auto"/>
            </w:tcBorders>
            <w:vAlign w:val="center"/>
            <w:hideMark/>
          </w:tcPr>
          <w:p w14:paraId="3A473EF4"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352</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A473EF5"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JD-49972</w:t>
            </w:r>
          </w:p>
        </w:tc>
        <w:tc>
          <w:tcPr>
            <w:tcW w:w="2948" w:type="dxa"/>
            <w:tcBorders>
              <w:top w:val="single" w:sz="4" w:space="0" w:color="auto"/>
              <w:left w:val="single" w:sz="4" w:space="0" w:color="auto"/>
              <w:bottom w:val="single" w:sz="4" w:space="0" w:color="auto"/>
              <w:right w:val="single" w:sz="4" w:space="0" w:color="auto"/>
            </w:tcBorders>
            <w:vAlign w:val="center"/>
            <w:hideMark/>
          </w:tcPr>
          <w:p w14:paraId="3A473EF6"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3FTEF17284MA23420</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A473EF7"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2004</w:t>
            </w:r>
          </w:p>
        </w:tc>
        <w:tc>
          <w:tcPr>
            <w:tcW w:w="2438" w:type="dxa"/>
            <w:tcBorders>
              <w:top w:val="single" w:sz="4" w:space="0" w:color="auto"/>
              <w:left w:val="single" w:sz="4" w:space="0" w:color="auto"/>
              <w:bottom w:val="single" w:sz="4" w:space="0" w:color="auto"/>
              <w:right w:val="single" w:sz="4" w:space="0" w:color="auto"/>
            </w:tcBorders>
            <w:vAlign w:val="center"/>
            <w:hideMark/>
          </w:tcPr>
          <w:p w14:paraId="3A473EF8"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FORD D-150</w:t>
            </w:r>
          </w:p>
        </w:tc>
      </w:tr>
      <w:tr w:rsidR="00016FE1" w:rsidRPr="0087554C" w14:paraId="3A473EFF" w14:textId="77777777" w:rsidTr="00AD51C5">
        <w:trPr>
          <w:trHeight w:val="283"/>
          <w:jc w:val="right"/>
        </w:trPr>
        <w:tc>
          <w:tcPr>
            <w:tcW w:w="1531" w:type="dxa"/>
            <w:tcBorders>
              <w:top w:val="single" w:sz="4" w:space="0" w:color="auto"/>
              <w:left w:val="single" w:sz="4" w:space="0" w:color="auto"/>
              <w:bottom w:val="single" w:sz="4" w:space="0" w:color="auto"/>
              <w:right w:val="single" w:sz="4" w:space="0" w:color="auto"/>
            </w:tcBorders>
            <w:vAlign w:val="center"/>
            <w:hideMark/>
          </w:tcPr>
          <w:p w14:paraId="3A473EFA"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484</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A473EFB"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JJ-44481</w:t>
            </w:r>
          </w:p>
        </w:tc>
        <w:tc>
          <w:tcPr>
            <w:tcW w:w="2948" w:type="dxa"/>
            <w:tcBorders>
              <w:top w:val="single" w:sz="4" w:space="0" w:color="auto"/>
              <w:left w:val="single" w:sz="4" w:space="0" w:color="auto"/>
              <w:bottom w:val="single" w:sz="4" w:space="0" w:color="auto"/>
              <w:right w:val="single" w:sz="4" w:space="0" w:color="auto"/>
            </w:tcBorders>
            <w:vAlign w:val="center"/>
            <w:hideMark/>
          </w:tcPr>
          <w:p w14:paraId="3A473EFC"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3FDKF36BX2MA13285</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A473EFD"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2002</w:t>
            </w:r>
          </w:p>
        </w:tc>
        <w:tc>
          <w:tcPr>
            <w:tcW w:w="2438" w:type="dxa"/>
            <w:tcBorders>
              <w:top w:val="single" w:sz="4" w:space="0" w:color="auto"/>
              <w:left w:val="single" w:sz="4" w:space="0" w:color="auto"/>
              <w:bottom w:val="single" w:sz="4" w:space="0" w:color="auto"/>
              <w:right w:val="single" w:sz="4" w:space="0" w:color="auto"/>
            </w:tcBorders>
            <w:vAlign w:val="center"/>
            <w:hideMark/>
          </w:tcPr>
          <w:p w14:paraId="3A473EFE"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FORD GRUA F-350</w:t>
            </w:r>
          </w:p>
        </w:tc>
      </w:tr>
      <w:tr w:rsidR="00016FE1" w:rsidRPr="0087554C" w14:paraId="3A473F05" w14:textId="77777777" w:rsidTr="00AD51C5">
        <w:trPr>
          <w:trHeight w:val="283"/>
          <w:jc w:val="right"/>
        </w:trPr>
        <w:tc>
          <w:tcPr>
            <w:tcW w:w="1531" w:type="dxa"/>
            <w:tcBorders>
              <w:top w:val="single" w:sz="4" w:space="0" w:color="auto"/>
              <w:left w:val="single" w:sz="4" w:space="0" w:color="auto"/>
              <w:bottom w:val="single" w:sz="4" w:space="0" w:color="auto"/>
              <w:right w:val="single" w:sz="4" w:space="0" w:color="auto"/>
            </w:tcBorders>
            <w:vAlign w:val="center"/>
            <w:hideMark/>
          </w:tcPr>
          <w:p w14:paraId="3A473F00"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123</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A473F01"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JP-21500</w:t>
            </w:r>
          </w:p>
        </w:tc>
        <w:tc>
          <w:tcPr>
            <w:tcW w:w="2948" w:type="dxa"/>
            <w:tcBorders>
              <w:top w:val="single" w:sz="4" w:space="0" w:color="auto"/>
              <w:left w:val="single" w:sz="4" w:space="0" w:color="auto"/>
              <w:bottom w:val="single" w:sz="4" w:space="0" w:color="auto"/>
              <w:right w:val="single" w:sz="4" w:space="0" w:color="auto"/>
            </w:tcBorders>
            <w:vAlign w:val="center"/>
            <w:hideMark/>
          </w:tcPr>
          <w:p w14:paraId="3A473F02"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KMFZB17H79U398563</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A473F03"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2009</w:t>
            </w:r>
          </w:p>
        </w:tc>
        <w:tc>
          <w:tcPr>
            <w:tcW w:w="2438" w:type="dxa"/>
            <w:tcBorders>
              <w:top w:val="single" w:sz="4" w:space="0" w:color="auto"/>
              <w:left w:val="single" w:sz="4" w:space="0" w:color="auto"/>
              <w:bottom w:val="single" w:sz="4" w:space="0" w:color="auto"/>
              <w:right w:val="single" w:sz="4" w:space="0" w:color="auto"/>
            </w:tcBorders>
            <w:vAlign w:val="center"/>
            <w:hideMark/>
          </w:tcPr>
          <w:p w14:paraId="3A473F04" w14:textId="77777777" w:rsidR="00016FE1" w:rsidRPr="0087554C" w:rsidRDefault="00016FE1" w:rsidP="002B6227">
            <w:pPr>
              <w:jc w:val="center"/>
              <w:rPr>
                <w:rFonts w:ascii="Gotham" w:eastAsia="Arial Unicode MS" w:hAnsi="Gotham" w:cs="Arial"/>
                <w:sz w:val="18"/>
                <w:szCs w:val="18"/>
              </w:rPr>
            </w:pPr>
            <w:r w:rsidRPr="0087554C">
              <w:rPr>
                <w:rFonts w:ascii="Gotham" w:eastAsia="Arial Unicode MS" w:hAnsi="Gotham" w:cs="Arial"/>
                <w:sz w:val="18"/>
                <w:szCs w:val="18"/>
              </w:rPr>
              <w:t>HYUNDAI H-100</w:t>
            </w:r>
          </w:p>
        </w:tc>
      </w:tr>
    </w:tbl>
    <w:p w14:paraId="3A473F06" w14:textId="77777777" w:rsidR="00016FE1" w:rsidRPr="00B503EB" w:rsidRDefault="00016FE1" w:rsidP="002B6227">
      <w:pPr>
        <w:jc w:val="both"/>
        <w:rPr>
          <w:rFonts w:ascii="Gotham" w:hAnsi="Gotham"/>
          <w:sz w:val="20"/>
          <w:szCs w:val="20"/>
        </w:rPr>
      </w:pPr>
    </w:p>
    <w:p w14:paraId="3A473F07" w14:textId="77777777" w:rsidR="00016FE1" w:rsidRPr="00B503EB" w:rsidRDefault="00016FE1" w:rsidP="002B6227">
      <w:pPr>
        <w:jc w:val="center"/>
        <w:rPr>
          <w:rFonts w:ascii="Gotham" w:hAnsi="Gotham"/>
          <w:sz w:val="20"/>
          <w:szCs w:val="20"/>
        </w:rPr>
      </w:pPr>
      <w:r w:rsidRPr="00B503EB">
        <w:rPr>
          <w:rFonts w:ascii="Gotham" w:hAnsi="Gotham"/>
          <w:sz w:val="20"/>
          <w:szCs w:val="20"/>
        </w:rPr>
        <w:t>C O N S I D E R A C I O N E S</w:t>
      </w:r>
    </w:p>
    <w:p w14:paraId="3A473F08" w14:textId="77777777" w:rsidR="00016FE1" w:rsidRPr="00B503EB" w:rsidRDefault="00016FE1" w:rsidP="002B6227">
      <w:pPr>
        <w:jc w:val="both"/>
        <w:rPr>
          <w:rFonts w:ascii="Gotham" w:hAnsi="Gotham"/>
          <w:sz w:val="20"/>
          <w:szCs w:val="20"/>
        </w:rPr>
      </w:pPr>
    </w:p>
    <w:p w14:paraId="3A473F09" w14:textId="77777777" w:rsidR="00016FE1" w:rsidRPr="00B503EB" w:rsidRDefault="00016FE1" w:rsidP="002B6227">
      <w:pPr>
        <w:ind w:left="567" w:hanging="567"/>
        <w:jc w:val="both"/>
        <w:rPr>
          <w:rFonts w:ascii="Gotham" w:hAnsi="Gotham"/>
          <w:sz w:val="20"/>
          <w:szCs w:val="20"/>
        </w:rPr>
      </w:pPr>
      <w:r w:rsidRPr="00B503EB">
        <w:rPr>
          <w:rFonts w:ascii="Gotham" w:hAnsi="Gotham"/>
          <w:sz w:val="20"/>
          <w:szCs w:val="20"/>
        </w:rPr>
        <w:t xml:space="preserve">1. </w:t>
      </w:r>
      <w:r>
        <w:rPr>
          <w:rFonts w:ascii="Gotham" w:hAnsi="Gotham"/>
          <w:sz w:val="20"/>
          <w:szCs w:val="20"/>
        </w:rPr>
        <w:tab/>
      </w:r>
      <w:r w:rsidRPr="00B503EB">
        <w:rPr>
          <w:rFonts w:ascii="Gotham" w:hAnsi="Gotham"/>
          <w:sz w:val="20"/>
          <w:szCs w:val="20"/>
        </w:rPr>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A473F0A" w14:textId="77777777" w:rsidR="00016FE1" w:rsidRPr="00B503EB" w:rsidRDefault="00016FE1" w:rsidP="002B6227">
      <w:pPr>
        <w:ind w:left="567" w:hanging="567"/>
        <w:jc w:val="both"/>
        <w:rPr>
          <w:rFonts w:ascii="Gotham" w:hAnsi="Gotham"/>
          <w:sz w:val="20"/>
          <w:szCs w:val="20"/>
        </w:rPr>
      </w:pPr>
    </w:p>
    <w:p w14:paraId="3A473F0B" w14:textId="77777777" w:rsidR="00016FE1" w:rsidRPr="00B503EB" w:rsidRDefault="00016FE1" w:rsidP="002B6227">
      <w:pPr>
        <w:ind w:left="567" w:hanging="567"/>
        <w:jc w:val="both"/>
        <w:rPr>
          <w:rFonts w:ascii="Gotham" w:hAnsi="Gotham"/>
          <w:sz w:val="20"/>
          <w:szCs w:val="20"/>
        </w:rPr>
      </w:pPr>
      <w:r w:rsidRPr="00B503EB">
        <w:rPr>
          <w:rFonts w:ascii="Gotham" w:hAnsi="Gotham"/>
          <w:sz w:val="20"/>
          <w:szCs w:val="20"/>
        </w:rPr>
        <w:t xml:space="preserve">2. </w:t>
      </w:r>
      <w:r>
        <w:rPr>
          <w:rFonts w:ascii="Gotham" w:hAnsi="Gotham"/>
          <w:sz w:val="20"/>
          <w:szCs w:val="20"/>
        </w:rPr>
        <w:tab/>
      </w:r>
      <w:r w:rsidRPr="00B503EB">
        <w:rPr>
          <w:rFonts w:ascii="Gotham" w:hAnsi="Gotham"/>
          <w:sz w:val="20"/>
          <w:szCs w:val="20"/>
        </w:rPr>
        <w:t xml:space="preserve">Que en términos de los artículos 82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 según el artículo 87 del citado ordenamiento, sobre los bienes de dominio privado del Municipio se puede celebrar y ejecutar todos los actos jurídicos regulados por el derecho común, tal como es el caso, la sujeción a venta mediante la subasta pública. </w:t>
      </w:r>
    </w:p>
    <w:p w14:paraId="3A473F0C" w14:textId="77777777" w:rsidR="00016FE1" w:rsidRPr="00B503EB" w:rsidRDefault="00016FE1" w:rsidP="002B6227">
      <w:pPr>
        <w:ind w:left="567" w:hanging="567"/>
        <w:jc w:val="both"/>
        <w:rPr>
          <w:rFonts w:ascii="Gotham" w:hAnsi="Gotham"/>
          <w:sz w:val="20"/>
          <w:szCs w:val="20"/>
        </w:rPr>
      </w:pPr>
    </w:p>
    <w:p w14:paraId="3A473F0D" w14:textId="77777777" w:rsidR="00016FE1" w:rsidRPr="00B503EB" w:rsidRDefault="00016FE1" w:rsidP="002B6227">
      <w:pPr>
        <w:ind w:left="567" w:hanging="567"/>
        <w:jc w:val="both"/>
        <w:rPr>
          <w:rFonts w:ascii="Gotham" w:hAnsi="Gotham"/>
          <w:sz w:val="20"/>
          <w:szCs w:val="20"/>
        </w:rPr>
      </w:pPr>
      <w:r w:rsidRPr="00B503EB">
        <w:rPr>
          <w:rFonts w:ascii="Gotham" w:hAnsi="Gotham"/>
          <w:sz w:val="20"/>
          <w:szCs w:val="20"/>
        </w:rPr>
        <w:t xml:space="preserve">3.- </w:t>
      </w:r>
      <w:r>
        <w:rPr>
          <w:rFonts w:ascii="Gotham" w:hAnsi="Gotham"/>
          <w:sz w:val="20"/>
          <w:szCs w:val="20"/>
        </w:rPr>
        <w:tab/>
      </w:r>
      <w:r w:rsidRPr="00B503EB">
        <w:rPr>
          <w:rFonts w:ascii="Gotham" w:hAnsi="Gotham"/>
          <w:sz w:val="20"/>
          <w:szCs w:val="20"/>
        </w:rPr>
        <w:t>Que el artículo 88 de la Ley del Gobierno y la Administración Pública Municipal del Estado de Jalisco, estable por una parte los requisitos que se deben cubrir cuando se trata de actos de transmisión del dominio de los bienes del dominio privado de los municipios, y por otra parte las restricciones para que el Ayuntamiento apruebe este tipo de actos, como se cita:</w:t>
      </w:r>
    </w:p>
    <w:p w14:paraId="3A473F0E" w14:textId="77777777" w:rsidR="00016FE1" w:rsidRPr="00C80840" w:rsidRDefault="00016FE1" w:rsidP="00C80840">
      <w:pPr>
        <w:ind w:left="567" w:hanging="567"/>
        <w:jc w:val="both"/>
        <w:rPr>
          <w:rFonts w:ascii="Gotham" w:hAnsi="Gotham"/>
          <w:sz w:val="20"/>
          <w:szCs w:val="20"/>
        </w:rPr>
      </w:pPr>
    </w:p>
    <w:p w14:paraId="3A473F0F" w14:textId="77777777" w:rsidR="00016FE1" w:rsidRPr="00B54704" w:rsidRDefault="00016FE1" w:rsidP="002B6227">
      <w:pPr>
        <w:pStyle w:val="western"/>
        <w:spacing w:before="0" w:beforeAutospacing="0" w:after="120"/>
        <w:ind w:left="851" w:right="283"/>
        <w:jc w:val="both"/>
        <w:rPr>
          <w:rFonts w:ascii="Gotham" w:hAnsi="Gotham" w:cs="Arial"/>
          <w:i/>
          <w:sz w:val="19"/>
          <w:szCs w:val="19"/>
        </w:rPr>
      </w:pPr>
      <w:r w:rsidRPr="00B54704">
        <w:rPr>
          <w:rFonts w:ascii="Gotham" w:hAnsi="Gotham" w:cs="Arial"/>
          <w:i/>
          <w:sz w:val="19"/>
          <w:szCs w:val="19"/>
        </w:rPr>
        <w:t>Artículo 88. Cuando se trate de actos de transmisión de dominio de los bienes del dominio privado de los municipios, se deben observar los requisitos siguientes:</w:t>
      </w:r>
    </w:p>
    <w:p w14:paraId="3A473F10" w14:textId="77777777" w:rsidR="00016FE1" w:rsidRPr="00B54704" w:rsidRDefault="00016FE1" w:rsidP="002B6227">
      <w:pPr>
        <w:pStyle w:val="western"/>
        <w:spacing w:before="0" w:beforeAutospacing="0" w:after="120"/>
        <w:ind w:left="1276" w:right="283" w:hanging="425"/>
        <w:jc w:val="both"/>
        <w:rPr>
          <w:rFonts w:ascii="Gotham" w:hAnsi="Gotham" w:cs="Arial"/>
          <w:i/>
          <w:sz w:val="19"/>
          <w:szCs w:val="19"/>
        </w:rPr>
      </w:pPr>
      <w:r w:rsidRPr="00B54704">
        <w:rPr>
          <w:rFonts w:ascii="Gotham" w:hAnsi="Gotham" w:cs="Arial"/>
          <w:i/>
          <w:sz w:val="19"/>
          <w:szCs w:val="19"/>
        </w:rPr>
        <w:t xml:space="preserve">I. </w:t>
      </w:r>
      <w:r>
        <w:rPr>
          <w:rFonts w:ascii="Gotham" w:hAnsi="Gotham" w:cs="Arial"/>
          <w:i/>
          <w:sz w:val="19"/>
          <w:szCs w:val="19"/>
        </w:rPr>
        <w:tab/>
      </w:r>
      <w:r w:rsidRPr="00B54704">
        <w:rPr>
          <w:rFonts w:ascii="Gotham" w:hAnsi="Gotham" w:cs="Arial"/>
          <w:i/>
          <w:sz w:val="19"/>
          <w:szCs w:val="19"/>
        </w:rPr>
        <w:t>Justificar que la enajenación o donación responde a la ejecución de un programa cuyo objetivo sea la satisfacción de un servicio público, pago de deuda o cualquier otro fin que busque el interés general;</w:t>
      </w:r>
    </w:p>
    <w:p w14:paraId="3A473F11" w14:textId="77777777" w:rsidR="00016FE1" w:rsidRPr="00B54704" w:rsidRDefault="00016FE1" w:rsidP="002B6227">
      <w:pPr>
        <w:pStyle w:val="western"/>
        <w:spacing w:before="0" w:beforeAutospacing="0" w:after="120"/>
        <w:ind w:left="1276" w:right="283" w:hanging="425"/>
        <w:jc w:val="both"/>
        <w:rPr>
          <w:rFonts w:ascii="Gotham" w:hAnsi="Gotham" w:cs="Arial"/>
          <w:i/>
          <w:sz w:val="19"/>
          <w:szCs w:val="19"/>
        </w:rPr>
      </w:pPr>
      <w:r w:rsidRPr="00B54704">
        <w:rPr>
          <w:rFonts w:ascii="Gotham" w:hAnsi="Gotham" w:cs="Arial"/>
          <w:i/>
          <w:sz w:val="19"/>
          <w:szCs w:val="19"/>
        </w:rPr>
        <w:t xml:space="preserve">II. </w:t>
      </w:r>
      <w:r>
        <w:rPr>
          <w:rFonts w:ascii="Gotham" w:hAnsi="Gotham" w:cs="Arial"/>
          <w:i/>
          <w:sz w:val="19"/>
          <w:szCs w:val="19"/>
        </w:rPr>
        <w:tab/>
      </w:r>
      <w:r w:rsidRPr="00B54704">
        <w:rPr>
          <w:rFonts w:ascii="Gotham" w:hAnsi="Gotham" w:cs="Arial"/>
          <w:i/>
          <w:sz w:val="19"/>
          <w:szCs w:val="19"/>
        </w:rPr>
        <w:t>Realizar, en el caso de venta, un avalúo por perito autorizado, para determinar el precio mínimo de venta; y</w:t>
      </w:r>
    </w:p>
    <w:p w14:paraId="3A473F12" w14:textId="77777777" w:rsidR="00016FE1" w:rsidRPr="00B54704" w:rsidRDefault="00016FE1" w:rsidP="002B6227">
      <w:pPr>
        <w:pStyle w:val="western"/>
        <w:spacing w:before="0" w:beforeAutospacing="0" w:after="120"/>
        <w:ind w:left="1276" w:right="283" w:hanging="425"/>
        <w:jc w:val="both"/>
        <w:rPr>
          <w:rFonts w:ascii="Gotham" w:hAnsi="Gotham" w:cs="Arial"/>
          <w:i/>
          <w:sz w:val="19"/>
          <w:szCs w:val="19"/>
        </w:rPr>
      </w:pPr>
      <w:r w:rsidRPr="00B54704">
        <w:rPr>
          <w:rFonts w:ascii="Gotham" w:hAnsi="Gotham" w:cs="Arial"/>
          <w:i/>
          <w:sz w:val="19"/>
          <w:szCs w:val="19"/>
        </w:rPr>
        <w:lastRenderedPageBreak/>
        <w:t xml:space="preserve">III. </w:t>
      </w:r>
      <w:r>
        <w:rPr>
          <w:rFonts w:ascii="Gotham" w:hAnsi="Gotham" w:cs="Arial"/>
          <w:i/>
          <w:sz w:val="19"/>
          <w:szCs w:val="19"/>
        </w:rPr>
        <w:tab/>
      </w:r>
      <w:r w:rsidRPr="00B54704">
        <w:rPr>
          <w:rFonts w:ascii="Gotham" w:hAnsi="Gotham" w:cs="Arial"/>
          <w:i/>
          <w:sz w:val="19"/>
          <w:szCs w:val="19"/>
        </w:rPr>
        <w:t>Realizar la enajenación mediante subasta pública al mejor postor, salvo que por las circunstancias que rodeen al acto, el Ayuntamiento decida por mayoría calificada cualquier otro procedimiento de enajenación.</w:t>
      </w:r>
    </w:p>
    <w:p w14:paraId="3A473F13" w14:textId="77777777" w:rsidR="00016FE1" w:rsidRPr="00B54704" w:rsidRDefault="00016FE1" w:rsidP="002B6227">
      <w:pPr>
        <w:pStyle w:val="western"/>
        <w:spacing w:before="0" w:beforeAutospacing="0"/>
        <w:ind w:left="851" w:right="283"/>
        <w:jc w:val="both"/>
        <w:rPr>
          <w:rFonts w:ascii="Gotham" w:hAnsi="Gotham" w:cs="Arial"/>
          <w:b/>
          <w:i/>
          <w:sz w:val="19"/>
          <w:szCs w:val="19"/>
          <w:u w:val="single"/>
        </w:rPr>
      </w:pPr>
      <w:r w:rsidRPr="00B54704">
        <w:rPr>
          <w:rFonts w:ascii="Gotham" w:hAnsi="Gotham" w:cs="Arial"/>
          <w:b/>
          <w:i/>
          <w:sz w:val="19"/>
          <w:szCs w:val="19"/>
          <w:u w:val="single"/>
        </w:rPr>
        <w:t>No se puede realizar la enajenación de ningún bien de dominio privado durante los últimos seis meses de la Administración Pública Municipal, salvo que sea con motivo de la conclusión de trámites iniciados previamente que se realicen ante o por</w:t>
      </w:r>
      <w:r w:rsidR="009F075D">
        <w:rPr>
          <w:rFonts w:ascii="Gotham" w:hAnsi="Gotham" w:cs="Arial"/>
          <w:b/>
          <w:i/>
          <w:sz w:val="19"/>
          <w:szCs w:val="19"/>
          <w:u w:val="single"/>
        </w:rPr>
        <w:t xml:space="preserve"> </w:t>
      </w:r>
      <w:r w:rsidRPr="00B54704">
        <w:rPr>
          <w:rFonts w:ascii="Gotham" w:hAnsi="Gotham" w:cs="Arial"/>
          <w:b/>
          <w:i/>
          <w:sz w:val="19"/>
          <w:szCs w:val="19"/>
          <w:u w:val="single"/>
        </w:rPr>
        <w:t>instituciones públicas oficiales para garantizar la atención a la salud, la educación, la seguridad pública o la protección civil del municipio.</w:t>
      </w:r>
    </w:p>
    <w:p w14:paraId="3A473F14" w14:textId="77777777" w:rsidR="00016FE1" w:rsidRPr="00C41713" w:rsidRDefault="00016FE1" w:rsidP="002B6227">
      <w:pPr>
        <w:jc w:val="both"/>
        <w:rPr>
          <w:rFonts w:ascii="Gotham" w:hAnsi="Gotham"/>
          <w:sz w:val="20"/>
          <w:szCs w:val="20"/>
        </w:rPr>
      </w:pPr>
    </w:p>
    <w:p w14:paraId="3A473F15" w14:textId="77777777" w:rsidR="00016FE1" w:rsidRPr="00C41713" w:rsidRDefault="00016FE1" w:rsidP="002B6227">
      <w:pPr>
        <w:jc w:val="center"/>
        <w:rPr>
          <w:rFonts w:ascii="Gotham" w:hAnsi="Gotham"/>
          <w:sz w:val="20"/>
          <w:szCs w:val="20"/>
        </w:rPr>
      </w:pPr>
      <w:r>
        <w:rPr>
          <w:rFonts w:ascii="Gotham" w:hAnsi="Gotham"/>
          <w:sz w:val="20"/>
          <w:szCs w:val="20"/>
        </w:rPr>
        <w:t>C O N C L U S I O N E S</w:t>
      </w:r>
    </w:p>
    <w:p w14:paraId="3A473F16" w14:textId="77777777" w:rsidR="00016FE1" w:rsidRPr="00C41713" w:rsidRDefault="00016FE1" w:rsidP="002B6227">
      <w:pPr>
        <w:jc w:val="both"/>
        <w:rPr>
          <w:rFonts w:ascii="Gotham" w:hAnsi="Gotham"/>
          <w:sz w:val="20"/>
          <w:szCs w:val="20"/>
        </w:rPr>
      </w:pPr>
    </w:p>
    <w:p w14:paraId="3A473F17" w14:textId="77777777" w:rsidR="00016FE1" w:rsidRPr="00C41713" w:rsidRDefault="00016FE1" w:rsidP="002B6227">
      <w:pPr>
        <w:jc w:val="both"/>
        <w:rPr>
          <w:rFonts w:ascii="Gotham" w:hAnsi="Gotham"/>
          <w:sz w:val="20"/>
          <w:szCs w:val="20"/>
        </w:rPr>
      </w:pPr>
      <w:r w:rsidRPr="00C41713">
        <w:rPr>
          <w:rFonts w:ascii="Gotham" w:hAnsi="Gotham"/>
          <w:sz w:val="20"/>
          <w:szCs w:val="20"/>
        </w:rPr>
        <w:t>Con lo anteriormente expuesto podemos concluir que si bien el Ayuntamiento de Tonalá se encuentra plenamente facultado para administrar su patrimonio, mismo que se integra tanto por bienes del dominio público, como por</w:t>
      </w:r>
      <w:r w:rsidR="009F075D">
        <w:rPr>
          <w:rFonts w:ascii="Gotham" w:hAnsi="Gotham"/>
          <w:sz w:val="20"/>
          <w:szCs w:val="20"/>
        </w:rPr>
        <w:t xml:space="preserve"> </w:t>
      </w:r>
      <w:r w:rsidRPr="00C41713">
        <w:rPr>
          <w:rFonts w:ascii="Gotham" w:hAnsi="Gotham"/>
          <w:sz w:val="20"/>
          <w:szCs w:val="20"/>
        </w:rPr>
        <w:t>bienes del dominio privado, teniendo en cuenta además que para llevar a cabo la venta, enajenación o cualquier otro acto jurídico regulado por el derecho común sobre sus bienes, deberá llevarse a cabo su desincorporación de dominio público para su posterior incorporación al dominio privado, también lo es que la Ley del Gobierno y la Administración Pública Municipal del Estado de Jalisco, estable limitantes para aprobar este tipo de actos en periodos cercanos al término de la administración municipal.</w:t>
      </w:r>
    </w:p>
    <w:p w14:paraId="3A473F18" w14:textId="77777777" w:rsidR="00016FE1" w:rsidRPr="00C41713" w:rsidRDefault="00016FE1" w:rsidP="002B6227">
      <w:pPr>
        <w:jc w:val="both"/>
        <w:rPr>
          <w:rFonts w:ascii="Gotham" w:hAnsi="Gotham"/>
          <w:sz w:val="20"/>
          <w:szCs w:val="20"/>
        </w:rPr>
      </w:pPr>
    </w:p>
    <w:p w14:paraId="3A473F19" w14:textId="77777777" w:rsidR="00016FE1" w:rsidRPr="00C41713" w:rsidRDefault="00016FE1" w:rsidP="002B6227">
      <w:pPr>
        <w:jc w:val="both"/>
        <w:rPr>
          <w:rFonts w:ascii="Gotham" w:hAnsi="Gotham"/>
          <w:sz w:val="20"/>
          <w:szCs w:val="20"/>
        </w:rPr>
      </w:pPr>
      <w:r w:rsidRPr="00C41713">
        <w:rPr>
          <w:rFonts w:ascii="Gotham" w:hAnsi="Gotham"/>
          <w:sz w:val="20"/>
          <w:szCs w:val="20"/>
        </w:rPr>
        <w:t>En el caso que nos ocupa, se trata de 4 unidades</w:t>
      </w:r>
      <w:r w:rsidR="009F075D">
        <w:rPr>
          <w:rFonts w:ascii="Gotham" w:hAnsi="Gotham"/>
          <w:sz w:val="20"/>
          <w:szCs w:val="20"/>
        </w:rPr>
        <w:t xml:space="preserve"> </w:t>
      </w:r>
      <w:r w:rsidRPr="00C41713">
        <w:rPr>
          <w:rFonts w:ascii="Gotham" w:hAnsi="Gotham"/>
          <w:sz w:val="20"/>
          <w:szCs w:val="20"/>
        </w:rPr>
        <w:t>vehiculares dictaminados por la Dirección de Patrimonio como de incosteable reparación, lo que significa, que resulta más conveniente para los intereses del Municipio proceder a su venta que costar su reparación por el alto costo que puede implicar esta última.</w:t>
      </w:r>
    </w:p>
    <w:p w14:paraId="3A473F1A" w14:textId="77777777" w:rsidR="00016FE1" w:rsidRPr="00C41713" w:rsidRDefault="00016FE1" w:rsidP="002B6227">
      <w:pPr>
        <w:jc w:val="both"/>
        <w:rPr>
          <w:rFonts w:ascii="Gotham" w:hAnsi="Gotham"/>
          <w:sz w:val="20"/>
          <w:szCs w:val="20"/>
        </w:rPr>
      </w:pPr>
    </w:p>
    <w:p w14:paraId="3A473F1B" w14:textId="77777777" w:rsidR="00016FE1" w:rsidRPr="00C41713" w:rsidRDefault="00016FE1" w:rsidP="002B6227">
      <w:pPr>
        <w:jc w:val="both"/>
        <w:rPr>
          <w:rFonts w:ascii="Gotham" w:hAnsi="Gotham"/>
          <w:sz w:val="20"/>
          <w:szCs w:val="20"/>
        </w:rPr>
      </w:pPr>
      <w:r w:rsidRPr="00C41713">
        <w:rPr>
          <w:rFonts w:ascii="Gotham" w:hAnsi="Gotham"/>
          <w:sz w:val="20"/>
          <w:szCs w:val="20"/>
        </w:rPr>
        <w:t>Sin embargo, consideramos procedente desechar la propuesta en estricto apego a lo establecido en el artículo 88 de la Ley del Gobierno y la Administración Pública Municipal del Estado de Jalisco en su último párrafo, en el sentido de que no se puede realizar la enajenación de ningún bien de dominio privado durante los últimos seis meses de la Administración Pública Municipal.</w:t>
      </w:r>
    </w:p>
    <w:p w14:paraId="3A473F1C" w14:textId="77777777" w:rsidR="00016FE1" w:rsidRPr="00C41713" w:rsidRDefault="00016FE1" w:rsidP="002B6227">
      <w:pPr>
        <w:jc w:val="both"/>
        <w:rPr>
          <w:rFonts w:ascii="Gotham" w:hAnsi="Gotham"/>
          <w:sz w:val="20"/>
          <w:szCs w:val="20"/>
        </w:rPr>
      </w:pPr>
    </w:p>
    <w:p w14:paraId="3A473F1D" w14:textId="77777777" w:rsidR="00016FE1" w:rsidRPr="00C41713" w:rsidRDefault="00016FE1" w:rsidP="002B6227">
      <w:pPr>
        <w:jc w:val="both"/>
        <w:rPr>
          <w:rFonts w:ascii="Gotham" w:hAnsi="Gotham"/>
          <w:sz w:val="20"/>
          <w:szCs w:val="20"/>
        </w:rPr>
      </w:pPr>
      <w:r w:rsidRPr="00C41713">
        <w:rPr>
          <w:rFonts w:ascii="Gotham" w:hAnsi="Gotham"/>
          <w:sz w:val="20"/>
          <w:szCs w:val="20"/>
        </w:rPr>
        <w:t xml:space="preserve">Los Regidores integrantes de la Comisión de Hacienda Municipal y Presupuestos, nos permitimos proponer a la consideración de este Ayuntamiento en Pleno, los siguientes puntos concretos de </w:t>
      </w:r>
    </w:p>
    <w:p w14:paraId="3A473F1E" w14:textId="77777777" w:rsidR="00016FE1" w:rsidRPr="00C41713" w:rsidRDefault="00016FE1" w:rsidP="002B6227">
      <w:pPr>
        <w:jc w:val="both"/>
        <w:rPr>
          <w:rFonts w:ascii="Gotham" w:hAnsi="Gotham"/>
          <w:sz w:val="20"/>
          <w:szCs w:val="20"/>
        </w:rPr>
      </w:pPr>
    </w:p>
    <w:p w14:paraId="3A473F1F" w14:textId="77777777" w:rsidR="00016FE1" w:rsidRPr="00C41713" w:rsidRDefault="00016FE1" w:rsidP="002B6227">
      <w:pPr>
        <w:jc w:val="center"/>
        <w:rPr>
          <w:rFonts w:ascii="Gotham" w:hAnsi="Gotham"/>
          <w:sz w:val="20"/>
          <w:szCs w:val="20"/>
        </w:rPr>
      </w:pPr>
      <w:r>
        <w:rPr>
          <w:rFonts w:ascii="Gotham" w:hAnsi="Gotham"/>
          <w:sz w:val="20"/>
          <w:szCs w:val="20"/>
        </w:rPr>
        <w:t>A C U E R D O</w:t>
      </w:r>
    </w:p>
    <w:p w14:paraId="3A473F20" w14:textId="77777777" w:rsidR="00016FE1" w:rsidRPr="00C41713" w:rsidRDefault="00016FE1" w:rsidP="002B6227">
      <w:pPr>
        <w:jc w:val="both"/>
        <w:rPr>
          <w:rFonts w:ascii="Gotham" w:hAnsi="Gotham"/>
          <w:sz w:val="20"/>
          <w:szCs w:val="20"/>
        </w:rPr>
      </w:pPr>
    </w:p>
    <w:p w14:paraId="3A473F21" w14:textId="77777777" w:rsidR="00016FE1" w:rsidRPr="00C41713" w:rsidRDefault="00016FE1" w:rsidP="002B6227">
      <w:pPr>
        <w:jc w:val="both"/>
        <w:rPr>
          <w:rFonts w:ascii="Gotham" w:hAnsi="Gotham"/>
          <w:sz w:val="20"/>
          <w:szCs w:val="20"/>
        </w:rPr>
      </w:pPr>
      <w:r w:rsidRPr="00C41713">
        <w:rPr>
          <w:rFonts w:ascii="Gotham" w:hAnsi="Gotham"/>
          <w:sz w:val="20"/>
          <w:szCs w:val="20"/>
        </w:rPr>
        <w:t>ÚNICO. – Se aprueba desechar la Iniciativa con Turno a Comisión número 962 de la Sesión Ordinaria de Ayuntamiento de fecha 14 de diciembre de año 2023, materia del presente dictamen por los razonamientos ya expuestos, ordenándose su archivo como asunto concluido.</w:t>
      </w:r>
    </w:p>
    <w:p w14:paraId="3A473F22" w14:textId="77777777" w:rsidR="00016FE1" w:rsidRDefault="00016FE1" w:rsidP="002B6227">
      <w:pPr>
        <w:jc w:val="both"/>
        <w:rPr>
          <w:rFonts w:ascii="Gotham" w:hAnsi="Gotham"/>
          <w:sz w:val="20"/>
          <w:szCs w:val="20"/>
        </w:rPr>
      </w:pPr>
    </w:p>
    <w:p w14:paraId="3A473F23"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3F24" w14:textId="77777777" w:rsidR="00016FE1" w:rsidRPr="00CD0531" w:rsidRDefault="00016FE1" w:rsidP="002B6227">
      <w:pPr>
        <w:jc w:val="both"/>
        <w:rPr>
          <w:rFonts w:ascii="Gotham" w:hAnsi="Gotham" w:cs="Arial"/>
          <w:sz w:val="20"/>
          <w:szCs w:val="20"/>
        </w:rPr>
      </w:pPr>
    </w:p>
    <w:p w14:paraId="3A473F25"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3F26" w14:textId="77777777" w:rsidR="00016FE1" w:rsidRPr="00CD0531" w:rsidRDefault="00016FE1" w:rsidP="002B6227">
      <w:pPr>
        <w:jc w:val="both"/>
        <w:rPr>
          <w:rFonts w:ascii="Gotham" w:hAnsi="Gotham" w:cs="Arial"/>
          <w:sz w:val="20"/>
          <w:szCs w:val="20"/>
        </w:rPr>
      </w:pPr>
    </w:p>
    <w:p w14:paraId="3A473F27"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3F28" w14:textId="77777777" w:rsidR="00016FE1" w:rsidRPr="00CD0531" w:rsidRDefault="00016FE1" w:rsidP="002B6227">
      <w:pPr>
        <w:jc w:val="both"/>
        <w:rPr>
          <w:rFonts w:ascii="Gotham" w:hAnsi="Gotham" w:cs="Arial"/>
          <w:sz w:val="20"/>
          <w:szCs w:val="20"/>
        </w:rPr>
      </w:pPr>
    </w:p>
    <w:p w14:paraId="3A473F29"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3F2A" w14:textId="77777777" w:rsidR="00016FE1" w:rsidRPr="00CD0531" w:rsidRDefault="00016FE1" w:rsidP="002B6227">
      <w:pPr>
        <w:jc w:val="both"/>
        <w:rPr>
          <w:rFonts w:ascii="Gotham" w:hAnsi="Gotham" w:cs="Arial"/>
          <w:sz w:val="20"/>
          <w:szCs w:val="20"/>
        </w:rPr>
      </w:pPr>
    </w:p>
    <w:p w14:paraId="3A473F2B"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3F2C" w14:textId="77777777" w:rsidR="00016FE1" w:rsidRDefault="00016FE1" w:rsidP="002B6227">
      <w:pPr>
        <w:jc w:val="both"/>
        <w:rPr>
          <w:rFonts w:ascii="Gotham" w:hAnsi="Gotham"/>
          <w:sz w:val="20"/>
          <w:szCs w:val="20"/>
        </w:rPr>
      </w:pPr>
    </w:p>
    <w:p w14:paraId="3A473F2D" w14:textId="77777777" w:rsidR="00016FE1" w:rsidRDefault="00016FE1" w:rsidP="002B6227">
      <w:pPr>
        <w:jc w:val="both"/>
        <w:rPr>
          <w:rFonts w:ascii="Gotham" w:hAnsi="Gotham"/>
          <w:sz w:val="20"/>
          <w:szCs w:val="20"/>
        </w:rPr>
      </w:pPr>
    </w:p>
    <w:p w14:paraId="3A473F2E" w14:textId="77777777" w:rsidR="00016FE1" w:rsidRDefault="00016FE1" w:rsidP="002B6227">
      <w:pPr>
        <w:pStyle w:val="western"/>
        <w:spacing w:before="0" w:beforeAutospacing="0"/>
        <w:jc w:val="right"/>
        <w:rPr>
          <w:rFonts w:ascii="Gotham" w:hAnsi="Gotham"/>
          <w:b/>
          <w:sz w:val="22"/>
          <w:szCs w:val="22"/>
          <w:u w:val="single"/>
        </w:rPr>
      </w:pPr>
      <w:r w:rsidRPr="00AB3373">
        <w:rPr>
          <w:rFonts w:ascii="Gotham" w:hAnsi="Gotham"/>
          <w:b/>
          <w:sz w:val="22"/>
          <w:szCs w:val="22"/>
          <w:u w:val="single"/>
        </w:rPr>
        <w:t xml:space="preserve">ACUERDO NO. </w:t>
      </w:r>
      <w:r>
        <w:rPr>
          <w:rFonts w:ascii="Gotham" w:hAnsi="Gotham"/>
          <w:b/>
          <w:sz w:val="22"/>
          <w:szCs w:val="22"/>
          <w:u w:val="single"/>
        </w:rPr>
        <w:t>1135</w:t>
      </w:r>
    </w:p>
    <w:p w14:paraId="3A473F2F" w14:textId="77777777" w:rsidR="00016FE1" w:rsidRDefault="00016FE1" w:rsidP="002B6227">
      <w:pPr>
        <w:jc w:val="both"/>
        <w:rPr>
          <w:rFonts w:ascii="Gotham" w:hAnsi="Gotham"/>
          <w:sz w:val="20"/>
          <w:szCs w:val="20"/>
        </w:rPr>
      </w:pPr>
      <w:r w:rsidRPr="00D9313D">
        <w:rPr>
          <w:rFonts w:ascii="Gotham" w:hAnsi="Gotham"/>
          <w:b/>
          <w:bCs/>
          <w:smallCaps/>
          <w:sz w:val="20"/>
          <w:szCs w:val="20"/>
        </w:rPr>
        <w:t>Noveno Dictamen de Comisión</w:t>
      </w:r>
      <w:r w:rsidRPr="00D9313D">
        <w:rPr>
          <w:rFonts w:ascii="Gotham" w:hAnsi="Gotham"/>
          <w:b/>
          <w:bCs/>
          <w:sz w:val="20"/>
          <w:szCs w:val="20"/>
        </w:rPr>
        <w:t xml:space="preserve">.- </w:t>
      </w:r>
      <w:r w:rsidRPr="00D9313D">
        <w:rPr>
          <w:rFonts w:ascii="Gotham" w:hAnsi="Gotham"/>
          <w:sz w:val="20"/>
          <w:szCs w:val="20"/>
        </w:rPr>
        <w:t xml:space="preserve">En uso de la voz el Presidente Municipal, Sergio Armando Chávez Dávalos, expresa que, se da cuenta del dictamen que presenta la Comisión Edilicia de </w:t>
      </w:r>
      <w:r w:rsidRPr="00FD75A1">
        <w:rPr>
          <w:rFonts w:ascii="Gotham" w:hAnsi="Gotham"/>
          <w:sz w:val="20"/>
          <w:szCs w:val="20"/>
        </w:rPr>
        <w:t>Hacienda Municipal y Presupuestos</w:t>
      </w:r>
      <w:r w:rsidRPr="00D9313D">
        <w:rPr>
          <w:rFonts w:ascii="Gotham" w:hAnsi="Gotham"/>
          <w:sz w:val="20"/>
          <w:szCs w:val="20"/>
        </w:rPr>
        <w:t>.</w:t>
      </w:r>
    </w:p>
    <w:p w14:paraId="3A473F30" w14:textId="77777777" w:rsidR="00016FE1" w:rsidRDefault="00016FE1" w:rsidP="002B6227">
      <w:pPr>
        <w:jc w:val="both"/>
        <w:rPr>
          <w:rFonts w:ascii="Gotham" w:hAnsi="Gotham"/>
          <w:sz w:val="20"/>
          <w:szCs w:val="20"/>
        </w:rPr>
      </w:pPr>
    </w:p>
    <w:p w14:paraId="3A473F31" w14:textId="77777777" w:rsidR="00016FE1" w:rsidRPr="00FD75A1" w:rsidRDefault="00016FE1" w:rsidP="002B6227">
      <w:pPr>
        <w:jc w:val="both"/>
        <w:rPr>
          <w:rFonts w:ascii="Gotham" w:hAnsi="Gotham"/>
          <w:sz w:val="20"/>
          <w:szCs w:val="20"/>
        </w:rPr>
      </w:pPr>
      <w:r w:rsidRPr="00FD75A1">
        <w:rPr>
          <w:rFonts w:ascii="Gotham" w:hAnsi="Gotham"/>
          <w:sz w:val="20"/>
          <w:szCs w:val="20"/>
        </w:rPr>
        <w:t>Los que suscriben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consideración de este Cuerpo Edilicio, el presente DICTAMEN DE COMISIONES que tiene por objeto se autorice la desincorporación del dominio público, la enajenación de los mismos y la consecuente baja del inventario municipal al que están afectos 300 (trescientos) artículos diversos, de propiedad municipal, señalados como obsoletos y en desuso, razón por la cual hacemos de su conocimiento los siguientes:</w:t>
      </w:r>
    </w:p>
    <w:p w14:paraId="3A473F32" w14:textId="77777777" w:rsidR="00016FE1" w:rsidRPr="00FD75A1" w:rsidRDefault="00016FE1" w:rsidP="002B6227">
      <w:pPr>
        <w:jc w:val="both"/>
        <w:rPr>
          <w:rFonts w:ascii="Gotham" w:hAnsi="Gotham"/>
          <w:sz w:val="20"/>
          <w:szCs w:val="20"/>
        </w:rPr>
      </w:pPr>
    </w:p>
    <w:p w14:paraId="3A473F33" w14:textId="77777777" w:rsidR="00016FE1" w:rsidRPr="00FD75A1" w:rsidRDefault="00016FE1" w:rsidP="002B6227">
      <w:pPr>
        <w:jc w:val="center"/>
        <w:rPr>
          <w:rFonts w:ascii="Gotham" w:hAnsi="Gotham"/>
          <w:sz w:val="20"/>
          <w:szCs w:val="20"/>
        </w:rPr>
      </w:pPr>
      <w:r>
        <w:rPr>
          <w:rFonts w:ascii="Gotham" w:hAnsi="Gotham"/>
          <w:sz w:val="20"/>
          <w:szCs w:val="20"/>
        </w:rPr>
        <w:t>A N T E C E D E N T E S</w:t>
      </w:r>
    </w:p>
    <w:p w14:paraId="3A473F34" w14:textId="77777777" w:rsidR="00016FE1" w:rsidRPr="00FD75A1" w:rsidRDefault="00016FE1" w:rsidP="002B6227">
      <w:pPr>
        <w:jc w:val="both"/>
        <w:rPr>
          <w:rFonts w:ascii="Gotham" w:hAnsi="Gotham"/>
          <w:sz w:val="20"/>
          <w:szCs w:val="20"/>
        </w:rPr>
      </w:pPr>
    </w:p>
    <w:p w14:paraId="3A473F35" w14:textId="77777777" w:rsidR="00016FE1" w:rsidRPr="00FD75A1" w:rsidRDefault="00016FE1" w:rsidP="002B6227">
      <w:pPr>
        <w:ind w:left="567" w:hanging="567"/>
        <w:jc w:val="both"/>
        <w:rPr>
          <w:rFonts w:ascii="Gotham" w:hAnsi="Gotham"/>
          <w:sz w:val="20"/>
          <w:szCs w:val="20"/>
        </w:rPr>
      </w:pPr>
      <w:r w:rsidRPr="00FD75A1">
        <w:rPr>
          <w:rFonts w:ascii="Gotham" w:hAnsi="Gotham"/>
          <w:sz w:val="20"/>
          <w:szCs w:val="20"/>
        </w:rPr>
        <w:t xml:space="preserve">I.- </w:t>
      </w:r>
      <w:r>
        <w:rPr>
          <w:rFonts w:ascii="Gotham" w:hAnsi="Gotham"/>
          <w:sz w:val="20"/>
          <w:szCs w:val="20"/>
        </w:rPr>
        <w:tab/>
      </w:r>
      <w:r w:rsidRPr="00FD75A1">
        <w:rPr>
          <w:rFonts w:ascii="Gotham" w:hAnsi="Gotham"/>
          <w:sz w:val="20"/>
          <w:szCs w:val="20"/>
        </w:rPr>
        <w:t xml:space="preserve">Mediante acuerdo número 1033, de la Sesión Ordinaria de Ayuntamiento celebrada el 27 de febrero del año en curso, se aprobó turnar a la Comisión de Hacienda Municipal y Presupuestos, la iniciativa presentada por la Regidora Municipal, Celia Guadalupe Serrano Villagómez, misma que se transcribe a continuación: </w:t>
      </w:r>
    </w:p>
    <w:p w14:paraId="3A473F36" w14:textId="77777777" w:rsidR="00016FE1" w:rsidRPr="00FD75A1" w:rsidRDefault="00016FE1" w:rsidP="002B6227">
      <w:pPr>
        <w:jc w:val="both"/>
        <w:rPr>
          <w:rFonts w:ascii="Gotham" w:hAnsi="Gotham"/>
          <w:sz w:val="20"/>
          <w:szCs w:val="20"/>
        </w:rPr>
      </w:pPr>
    </w:p>
    <w:p w14:paraId="3A473F37" w14:textId="77777777" w:rsidR="00016FE1" w:rsidRPr="00C33B8B" w:rsidRDefault="00016FE1" w:rsidP="002B6227">
      <w:pPr>
        <w:ind w:left="851" w:right="283"/>
        <w:jc w:val="both"/>
        <w:rPr>
          <w:rFonts w:ascii="Gotham" w:hAnsi="Gotham" w:cs="Arial"/>
          <w:i/>
          <w:sz w:val="19"/>
          <w:szCs w:val="19"/>
        </w:rPr>
      </w:pPr>
      <w:r w:rsidRPr="00C33B8B">
        <w:rPr>
          <w:rFonts w:ascii="Gotham" w:hAnsi="Gotham" w:cs="Arial"/>
          <w:i/>
          <w:sz w:val="19"/>
          <w:szCs w:val="19"/>
        </w:rPr>
        <w:t xml:space="preserve">La que suscribe Licenciada Celia Guadalupe Serrano Villagómez, Regidora Municipal,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consideración de este Ayuntamiento en Pleno, el presente TURNO A COMISIÓN, que tiene por objeto se estudie y, en su caso, se autorice la desincorporación del dominio público, y la baja del inventario municipal de 300 artículos que resultan obsoletos y/o en desuso, razón por la cual hacemos de su conocimiento los siguientes </w:t>
      </w:r>
    </w:p>
    <w:p w14:paraId="3A473F38" w14:textId="77777777" w:rsidR="00016FE1" w:rsidRPr="00C33B8B" w:rsidRDefault="00016FE1" w:rsidP="002B6227">
      <w:pPr>
        <w:ind w:left="851" w:right="283"/>
        <w:jc w:val="both"/>
        <w:rPr>
          <w:rFonts w:ascii="Gotham" w:hAnsi="Gotham" w:cs="Arial"/>
          <w:i/>
          <w:sz w:val="19"/>
          <w:szCs w:val="19"/>
        </w:rPr>
      </w:pPr>
    </w:p>
    <w:p w14:paraId="3A473F39" w14:textId="77777777" w:rsidR="00016FE1" w:rsidRPr="00C33B8B" w:rsidRDefault="00016FE1" w:rsidP="002B6227">
      <w:pPr>
        <w:ind w:left="851" w:right="283"/>
        <w:jc w:val="center"/>
        <w:rPr>
          <w:rFonts w:ascii="Gotham" w:hAnsi="Gotham" w:cs="Arial"/>
          <w:i/>
          <w:sz w:val="19"/>
          <w:szCs w:val="19"/>
        </w:rPr>
      </w:pPr>
      <w:r>
        <w:rPr>
          <w:rFonts w:ascii="Gotham" w:hAnsi="Gotham" w:cs="Arial"/>
          <w:i/>
          <w:sz w:val="19"/>
          <w:szCs w:val="19"/>
        </w:rPr>
        <w:t>A N T E C E D E N T E S</w:t>
      </w:r>
    </w:p>
    <w:p w14:paraId="3A473F3A" w14:textId="77777777" w:rsidR="00016FE1" w:rsidRPr="00C33B8B" w:rsidRDefault="00016FE1" w:rsidP="002B6227">
      <w:pPr>
        <w:ind w:left="851" w:right="283"/>
        <w:jc w:val="both"/>
        <w:rPr>
          <w:rFonts w:ascii="Gotham" w:hAnsi="Gotham" w:cs="Arial"/>
          <w:i/>
          <w:sz w:val="19"/>
          <w:szCs w:val="19"/>
        </w:rPr>
      </w:pPr>
    </w:p>
    <w:p w14:paraId="3A473F3B" w14:textId="77777777" w:rsidR="00016FE1" w:rsidRPr="00C33B8B" w:rsidRDefault="00016FE1" w:rsidP="002B6227">
      <w:pPr>
        <w:ind w:left="1276" w:right="283" w:hanging="425"/>
        <w:jc w:val="both"/>
        <w:rPr>
          <w:rFonts w:ascii="Gotham" w:hAnsi="Gotham" w:cs="Arial"/>
          <w:i/>
          <w:sz w:val="19"/>
          <w:szCs w:val="19"/>
        </w:rPr>
      </w:pPr>
      <w:r w:rsidRPr="00C33B8B">
        <w:rPr>
          <w:rFonts w:ascii="Gotham" w:hAnsi="Gotham" w:cs="Arial"/>
          <w:i/>
          <w:sz w:val="19"/>
          <w:szCs w:val="19"/>
        </w:rPr>
        <w:t xml:space="preserve">1.-  </w:t>
      </w:r>
      <w:r>
        <w:rPr>
          <w:rFonts w:ascii="Gotham" w:hAnsi="Gotham" w:cs="Arial"/>
          <w:i/>
          <w:sz w:val="19"/>
          <w:szCs w:val="19"/>
        </w:rPr>
        <w:tab/>
      </w:r>
      <w:r w:rsidRPr="00C33B8B">
        <w:rPr>
          <w:rFonts w:ascii="Gotham" w:hAnsi="Gotham" w:cs="Arial"/>
          <w:i/>
          <w:sz w:val="19"/>
          <w:szCs w:val="19"/>
        </w:rPr>
        <w:t xml:space="preserve">Mediante oficio número DPM/098/202 de fecha 21 veintiuno de febrero del año 2024 dos mil veinticuatro, el Titular de la Dirección de Patrimonio, Lic. J. Jesús Orozco Elviro, hace llegar a la oficina de la suscrita Regidora Municipal Celia Guadalupe Serrano Villagómez, la propuesta de 300 bienes muebles en estado irreparable para que se apruebe llevar a cabo su desincorporación, en el pleno del ayuntamiento. </w:t>
      </w:r>
    </w:p>
    <w:p w14:paraId="3A473F3C" w14:textId="77777777" w:rsidR="00016FE1" w:rsidRPr="00C33B8B" w:rsidRDefault="00016FE1" w:rsidP="002B6227">
      <w:pPr>
        <w:ind w:left="851" w:right="283"/>
        <w:jc w:val="both"/>
        <w:rPr>
          <w:rFonts w:ascii="Gotham" w:hAnsi="Gotham" w:cs="Arial"/>
          <w:i/>
          <w:sz w:val="19"/>
          <w:szCs w:val="19"/>
        </w:rPr>
      </w:pPr>
    </w:p>
    <w:p w14:paraId="3A473F3D" w14:textId="77777777" w:rsidR="00016FE1" w:rsidRPr="00C33B8B" w:rsidRDefault="00016FE1" w:rsidP="002B6227">
      <w:pPr>
        <w:ind w:left="851" w:right="283"/>
        <w:jc w:val="center"/>
        <w:rPr>
          <w:rFonts w:ascii="Gotham" w:hAnsi="Gotham" w:cs="Arial"/>
          <w:i/>
          <w:sz w:val="19"/>
          <w:szCs w:val="19"/>
        </w:rPr>
      </w:pPr>
      <w:r w:rsidRPr="00C33B8B">
        <w:rPr>
          <w:rFonts w:ascii="Gotham" w:hAnsi="Gotham" w:cs="Arial"/>
          <w:i/>
          <w:sz w:val="19"/>
          <w:szCs w:val="19"/>
        </w:rPr>
        <w:t>C O N S I D E R A C I O N E S</w:t>
      </w:r>
    </w:p>
    <w:p w14:paraId="3A473F3E" w14:textId="77777777" w:rsidR="00016FE1" w:rsidRPr="00C33B8B" w:rsidRDefault="00016FE1" w:rsidP="002B6227">
      <w:pPr>
        <w:ind w:left="851" w:right="283"/>
        <w:jc w:val="both"/>
        <w:rPr>
          <w:rFonts w:ascii="Gotham" w:hAnsi="Gotham" w:cs="Arial"/>
          <w:i/>
          <w:sz w:val="19"/>
          <w:szCs w:val="19"/>
        </w:rPr>
      </w:pPr>
    </w:p>
    <w:p w14:paraId="3A473F3F" w14:textId="77777777" w:rsidR="00016FE1" w:rsidRPr="00C33B8B" w:rsidRDefault="00016FE1" w:rsidP="002B6227">
      <w:pPr>
        <w:ind w:left="1276" w:right="283" w:hanging="425"/>
        <w:jc w:val="both"/>
        <w:rPr>
          <w:rFonts w:ascii="Gotham" w:hAnsi="Gotham" w:cs="Arial"/>
          <w:i/>
          <w:sz w:val="19"/>
          <w:szCs w:val="19"/>
        </w:rPr>
      </w:pPr>
      <w:r w:rsidRPr="00C33B8B">
        <w:rPr>
          <w:rFonts w:ascii="Gotham" w:hAnsi="Gotham" w:cs="Arial"/>
          <w:i/>
          <w:sz w:val="19"/>
          <w:szCs w:val="19"/>
        </w:rPr>
        <w:lastRenderedPageBreak/>
        <w:t xml:space="preserve">I.- </w:t>
      </w:r>
      <w:r>
        <w:rPr>
          <w:rFonts w:ascii="Gotham" w:hAnsi="Gotham" w:cs="Arial"/>
          <w:i/>
          <w:sz w:val="19"/>
          <w:szCs w:val="19"/>
        </w:rPr>
        <w:tab/>
      </w:r>
      <w:r w:rsidRPr="00C33B8B">
        <w:rPr>
          <w:rFonts w:ascii="Gotham" w:hAnsi="Gotham" w:cs="Arial"/>
          <w:i/>
          <w:sz w:val="19"/>
          <w:szCs w:val="19"/>
        </w:rPr>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A473F40" w14:textId="77777777" w:rsidR="00016FE1" w:rsidRPr="00C33B8B" w:rsidRDefault="00016FE1" w:rsidP="002B6227">
      <w:pPr>
        <w:ind w:left="1276" w:right="283" w:hanging="425"/>
        <w:jc w:val="both"/>
        <w:rPr>
          <w:rFonts w:ascii="Gotham" w:hAnsi="Gotham" w:cs="Arial"/>
          <w:i/>
          <w:sz w:val="19"/>
          <w:szCs w:val="19"/>
        </w:rPr>
      </w:pPr>
    </w:p>
    <w:p w14:paraId="3A473F41" w14:textId="77777777" w:rsidR="00016FE1" w:rsidRPr="00C33B8B" w:rsidRDefault="00016FE1" w:rsidP="002B6227">
      <w:pPr>
        <w:ind w:left="1276" w:right="283" w:hanging="425"/>
        <w:jc w:val="both"/>
        <w:rPr>
          <w:rFonts w:ascii="Gotham" w:hAnsi="Gotham" w:cs="Arial"/>
          <w:i/>
          <w:sz w:val="19"/>
          <w:szCs w:val="19"/>
        </w:rPr>
      </w:pPr>
      <w:r w:rsidRPr="00C33B8B">
        <w:rPr>
          <w:rFonts w:ascii="Gotham" w:hAnsi="Gotham" w:cs="Arial"/>
          <w:i/>
          <w:sz w:val="19"/>
          <w:szCs w:val="19"/>
        </w:rPr>
        <w:t xml:space="preserve">II.- </w:t>
      </w:r>
      <w:r>
        <w:rPr>
          <w:rFonts w:ascii="Gotham" w:hAnsi="Gotham" w:cs="Arial"/>
          <w:i/>
          <w:sz w:val="19"/>
          <w:szCs w:val="19"/>
        </w:rPr>
        <w:tab/>
      </w:r>
      <w:r w:rsidRPr="00C33B8B">
        <w:rPr>
          <w:rFonts w:ascii="Gotham" w:hAnsi="Gotham" w:cs="Arial"/>
          <w:i/>
          <w:sz w:val="19"/>
          <w:szCs w:val="19"/>
        </w:rPr>
        <w:t xml:space="preserve">Que en términos de los artículos 82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 según el artículo 87 del citado ordenamiento, sobre los bienes de dominio privado del Municipio se puede celebrar y ejecutar todos los actos jurídicos regulados por el derecho común, tal como es el caso, la sujeción a venta mediante la subasta pública. </w:t>
      </w:r>
    </w:p>
    <w:p w14:paraId="3A473F42" w14:textId="77777777" w:rsidR="00016FE1" w:rsidRPr="00C33B8B" w:rsidRDefault="00016FE1" w:rsidP="002B6227">
      <w:pPr>
        <w:ind w:left="1276" w:right="283" w:hanging="425"/>
        <w:jc w:val="both"/>
        <w:rPr>
          <w:rFonts w:ascii="Gotham" w:hAnsi="Gotham" w:cs="Arial"/>
          <w:i/>
          <w:sz w:val="19"/>
          <w:szCs w:val="19"/>
        </w:rPr>
      </w:pPr>
    </w:p>
    <w:p w14:paraId="3A473F43" w14:textId="77777777" w:rsidR="00016FE1" w:rsidRPr="00C33B8B" w:rsidRDefault="00016FE1" w:rsidP="002B6227">
      <w:pPr>
        <w:ind w:left="1276" w:right="283" w:hanging="425"/>
        <w:jc w:val="both"/>
        <w:rPr>
          <w:rFonts w:ascii="Gotham" w:hAnsi="Gotham" w:cs="Arial"/>
          <w:i/>
          <w:sz w:val="19"/>
          <w:szCs w:val="19"/>
        </w:rPr>
      </w:pPr>
      <w:r w:rsidRPr="00C33B8B">
        <w:rPr>
          <w:rFonts w:ascii="Gotham" w:hAnsi="Gotham" w:cs="Arial"/>
          <w:i/>
          <w:sz w:val="19"/>
          <w:szCs w:val="19"/>
        </w:rPr>
        <w:t xml:space="preserve">II.- </w:t>
      </w:r>
      <w:r>
        <w:rPr>
          <w:rFonts w:ascii="Gotham" w:hAnsi="Gotham" w:cs="Arial"/>
          <w:i/>
          <w:sz w:val="19"/>
          <w:szCs w:val="19"/>
        </w:rPr>
        <w:tab/>
      </w:r>
      <w:r w:rsidRPr="00C33B8B">
        <w:rPr>
          <w:rFonts w:ascii="Gotham" w:hAnsi="Gotham" w:cs="Arial"/>
          <w:i/>
          <w:sz w:val="19"/>
          <w:szCs w:val="19"/>
        </w:rPr>
        <w:t>Los 300 artículos que remitió el Titular de la Dirección de Patrimonio Municipal, a través de una relación clasificada por número cronológico, la descripción del bien, el número de inventario y fotografía actual del mismo, tanto en formato físico como digital, corresponden a diversos equipos de oficina y equipos de cómputo, los cuales se encuentran clasificados y registrados como bienes del dominio público, en términos del artículo 84 fracción I inciso b) de la Ley del Gobierno y la Administración Pública Municipal del Estado de Jalisco, toda vez que se trata de bienes que eran destinados al servicio público.</w:t>
      </w:r>
    </w:p>
    <w:p w14:paraId="3A473F44" w14:textId="77777777" w:rsidR="00016FE1" w:rsidRPr="00C33B8B" w:rsidRDefault="00016FE1" w:rsidP="002B6227">
      <w:pPr>
        <w:ind w:left="851" w:right="283"/>
        <w:jc w:val="both"/>
        <w:rPr>
          <w:rFonts w:ascii="Gotham" w:hAnsi="Gotham" w:cs="Arial"/>
          <w:i/>
          <w:sz w:val="19"/>
          <w:szCs w:val="19"/>
        </w:rPr>
      </w:pPr>
    </w:p>
    <w:p w14:paraId="3A473F45" w14:textId="77777777" w:rsidR="00016FE1" w:rsidRPr="00C33B8B" w:rsidRDefault="00016FE1" w:rsidP="002B6227">
      <w:pPr>
        <w:ind w:left="851" w:right="283"/>
        <w:jc w:val="both"/>
        <w:rPr>
          <w:rFonts w:ascii="Gotham" w:hAnsi="Gotham" w:cs="Arial"/>
          <w:i/>
          <w:sz w:val="19"/>
          <w:szCs w:val="19"/>
        </w:rPr>
      </w:pPr>
      <w:r w:rsidRPr="00C33B8B">
        <w:rPr>
          <w:rFonts w:ascii="Gotham" w:hAnsi="Gotham" w:cs="Arial"/>
          <w:i/>
          <w:sz w:val="19"/>
          <w:szCs w:val="19"/>
        </w:rPr>
        <w:t xml:space="preserve">En virtud de lo anteriormente expuesto, me permito proponer a la consideración de este Ayuntamiento en Pleno, el siguiente punto de </w:t>
      </w:r>
    </w:p>
    <w:p w14:paraId="3A473F46" w14:textId="77777777" w:rsidR="00016FE1" w:rsidRPr="00C33B8B" w:rsidRDefault="00016FE1" w:rsidP="002B6227">
      <w:pPr>
        <w:ind w:left="851" w:right="283"/>
        <w:jc w:val="both"/>
        <w:rPr>
          <w:rFonts w:ascii="Gotham" w:hAnsi="Gotham" w:cs="Arial"/>
          <w:i/>
          <w:sz w:val="19"/>
          <w:szCs w:val="19"/>
        </w:rPr>
      </w:pPr>
    </w:p>
    <w:p w14:paraId="3A473F47" w14:textId="77777777" w:rsidR="00016FE1" w:rsidRPr="00C33B8B" w:rsidRDefault="00016FE1" w:rsidP="002B6227">
      <w:pPr>
        <w:ind w:left="851" w:right="283"/>
        <w:jc w:val="center"/>
        <w:rPr>
          <w:rFonts w:ascii="Gotham" w:hAnsi="Gotham" w:cs="Arial"/>
          <w:i/>
          <w:sz w:val="19"/>
          <w:szCs w:val="19"/>
        </w:rPr>
      </w:pPr>
      <w:r>
        <w:rPr>
          <w:rFonts w:ascii="Gotham" w:hAnsi="Gotham" w:cs="Arial"/>
          <w:i/>
          <w:sz w:val="19"/>
          <w:szCs w:val="19"/>
        </w:rPr>
        <w:t>A C U E R D O</w:t>
      </w:r>
    </w:p>
    <w:p w14:paraId="3A473F48" w14:textId="77777777" w:rsidR="00016FE1" w:rsidRPr="00C33B8B" w:rsidRDefault="00016FE1" w:rsidP="002B6227">
      <w:pPr>
        <w:ind w:left="851" w:right="283"/>
        <w:jc w:val="both"/>
        <w:rPr>
          <w:rFonts w:ascii="Gotham" w:hAnsi="Gotham" w:cs="Arial"/>
          <w:i/>
          <w:sz w:val="19"/>
          <w:szCs w:val="19"/>
        </w:rPr>
      </w:pPr>
    </w:p>
    <w:p w14:paraId="3A473F49" w14:textId="77777777" w:rsidR="00016FE1" w:rsidRPr="00C33B8B" w:rsidRDefault="00016FE1" w:rsidP="002B6227">
      <w:pPr>
        <w:ind w:left="851" w:right="283"/>
        <w:jc w:val="both"/>
        <w:rPr>
          <w:rFonts w:ascii="Gotham" w:hAnsi="Gotham" w:cs="Arial"/>
          <w:i/>
          <w:sz w:val="19"/>
          <w:szCs w:val="19"/>
        </w:rPr>
      </w:pPr>
      <w:r w:rsidRPr="00C33B8B">
        <w:rPr>
          <w:rFonts w:ascii="Gotham" w:hAnsi="Gotham" w:cs="Arial"/>
          <w:i/>
          <w:sz w:val="19"/>
          <w:szCs w:val="19"/>
        </w:rPr>
        <w:t>ÚNICO.- Se aprueba turnar a la Comisión Edilicia de Hacienda Municipal y Presupuestos, para que en su caso, determine la procedencia de la desincorporación del dominio público, y la baja del inventario municipal de 300 artículos obsoletos y/o en desuso; para su estudio, análisis y dictaminación final.</w:t>
      </w:r>
    </w:p>
    <w:p w14:paraId="3A473F4A" w14:textId="77777777" w:rsidR="00016FE1" w:rsidRPr="00DC5758" w:rsidRDefault="00016FE1" w:rsidP="002B6227">
      <w:pPr>
        <w:jc w:val="both"/>
        <w:rPr>
          <w:rFonts w:ascii="Gotham" w:hAnsi="Gotham"/>
          <w:sz w:val="20"/>
          <w:szCs w:val="20"/>
        </w:rPr>
      </w:pPr>
    </w:p>
    <w:p w14:paraId="3A473F4B" w14:textId="77777777" w:rsidR="00016FE1" w:rsidRPr="00DC5758" w:rsidRDefault="00016FE1" w:rsidP="002B6227">
      <w:pPr>
        <w:ind w:left="567" w:hanging="567"/>
        <w:jc w:val="both"/>
        <w:rPr>
          <w:rFonts w:ascii="Gotham" w:hAnsi="Gotham"/>
          <w:sz w:val="20"/>
          <w:szCs w:val="20"/>
        </w:rPr>
      </w:pPr>
      <w:r w:rsidRPr="00DC5758">
        <w:rPr>
          <w:rFonts w:ascii="Gotham" w:hAnsi="Gotham"/>
          <w:sz w:val="20"/>
          <w:szCs w:val="20"/>
        </w:rPr>
        <w:t xml:space="preserve">II.- </w:t>
      </w:r>
      <w:r>
        <w:rPr>
          <w:rFonts w:ascii="Gotham" w:hAnsi="Gotham"/>
          <w:sz w:val="20"/>
          <w:szCs w:val="20"/>
        </w:rPr>
        <w:tab/>
      </w:r>
      <w:r w:rsidRPr="00DC5758">
        <w:rPr>
          <w:rFonts w:ascii="Gotham" w:hAnsi="Gotham"/>
          <w:sz w:val="20"/>
          <w:szCs w:val="20"/>
        </w:rPr>
        <w:t xml:space="preserve">Que mediante oficio la Mtra. Celia Isabel Gauna Ruíz de León, Secretaria General, remite acuerdo número 1033 de la Sesión Ordinaria de Ayuntamiento de fecha 27 de febrero del año 2023 dos mil veintitrés, informando del Turno que fue asignado a la Comisión Edilicia de Hacienda Municipal y Presupuestos, con el objeto de autorizar la desincorporación del dominio público, y la baja del inventario municipal de 300 artículos de equipo de oficina y cómputo que resultan obsoletos y/o en desuso. </w:t>
      </w:r>
    </w:p>
    <w:p w14:paraId="3A473F4C" w14:textId="77777777" w:rsidR="00016FE1" w:rsidRPr="00DC5758" w:rsidRDefault="00016FE1" w:rsidP="002B6227">
      <w:pPr>
        <w:ind w:left="567" w:hanging="567"/>
        <w:jc w:val="both"/>
        <w:rPr>
          <w:rFonts w:ascii="Gotham" w:hAnsi="Gotham"/>
          <w:sz w:val="20"/>
          <w:szCs w:val="20"/>
        </w:rPr>
      </w:pPr>
    </w:p>
    <w:p w14:paraId="3A473F4D" w14:textId="77777777" w:rsidR="00016FE1" w:rsidRPr="00DC5758" w:rsidRDefault="00016FE1" w:rsidP="002B6227">
      <w:pPr>
        <w:ind w:left="567" w:hanging="567"/>
        <w:jc w:val="both"/>
        <w:rPr>
          <w:rFonts w:ascii="Gotham" w:hAnsi="Gotham"/>
          <w:sz w:val="20"/>
          <w:szCs w:val="20"/>
        </w:rPr>
      </w:pPr>
      <w:r w:rsidRPr="00DC5758">
        <w:rPr>
          <w:rFonts w:ascii="Gotham" w:hAnsi="Gotham"/>
          <w:sz w:val="20"/>
          <w:szCs w:val="20"/>
        </w:rPr>
        <w:t xml:space="preserve">III.- </w:t>
      </w:r>
      <w:r>
        <w:rPr>
          <w:rFonts w:ascii="Gotham" w:hAnsi="Gotham"/>
          <w:sz w:val="20"/>
          <w:szCs w:val="20"/>
        </w:rPr>
        <w:tab/>
      </w:r>
      <w:r w:rsidRPr="00DC5758">
        <w:rPr>
          <w:rFonts w:ascii="Gotham" w:hAnsi="Gotham"/>
          <w:sz w:val="20"/>
          <w:szCs w:val="20"/>
        </w:rPr>
        <w:t xml:space="preserve">Que mediante oficio número DPM/148/2023, de fecha 13 de marzo del año 2024, el Director de Patrimonio Municipal, Lic. J. Jesús Orozco Elviro, informa que se realizó un listado de 300 bienes muebles los cuales por sus condiciones actuales se encuentran en estado irreparable, mismos que se resguardan en la bodega de las instalaciones que ocupa la Dirección de Patrimonio, lo anterior con la finalidad de llevar a cabo la desincorporación del dominio público de este ayuntamiento y pasen a formar parte del dominio privado. </w:t>
      </w:r>
    </w:p>
    <w:p w14:paraId="3A473F4E" w14:textId="77777777" w:rsidR="00016FE1" w:rsidRPr="00DC5758" w:rsidRDefault="00016FE1" w:rsidP="002B6227">
      <w:pPr>
        <w:jc w:val="both"/>
        <w:rPr>
          <w:rFonts w:ascii="Gotham" w:hAnsi="Gotham"/>
          <w:sz w:val="20"/>
          <w:szCs w:val="20"/>
        </w:rPr>
      </w:pPr>
    </w:p>
    <w:p w14:paraId="3A473F4F" w14:textId="77777777" w:rsidR="00016FE1" w:rsidRPr="00DC5758" w:rsidRDefault="00016FE1" w:rsidP="002B6227">
      <w:pPr>
        <w:jc w:val="center"/>
        <w:rPr>
          <w:rFonts w:ascii="Gotham" w:hAnsi="Gotham"/>
          <w:sz w:val="20"/>
          <w:szCs w:val="20"/>
        </w:rPr>
      </w:pPr>
      <w:r>
        <w:rPr>
          <w:rFonts w:ascii="Gotham" w:hAnsi="Gotham"/>
          <w:sz w:val="20"/>
          <w:szCs w:val="20"/>
        </w:rPr>
        <w:t>C O N S I D E R A C I O N E S</w:t>
      </w:r>
    </w:p>
    <w:p w14:paraId="3A473F50" w14:textId="77777777" w:rsidR="00016FE1" w:rsidRPr="00DC5758" w:rsidRDefault="00016FE1" w:rsidP="002B6227">
      <w:pPr>
        <w:jc w:val="both"/>
        <w:rPr>
          <w:rFonts w:ascii="Gotham" w:hAnsi="Gotham"/>
          <w:sz w:val="20"/>
          <w:szCs w:val="20"/>
        </w:rPr>
      </w:pPr>
    </w:p>
    <w:p w14:paraId="3A473F51" w14:textId="77777777" w:rsidR="00016FE1" w:rsidRPr="00DC5758" w:rsidRDefault="00016FE1" w:rsidP="002B6227">
      <w:pPr>
        <w:ind w:left="567" w:hanging="567"/>
        <w:jc w:val="both"/>
        <w:rPr>
          <w:rFonts w:ascii="Gotham" w:hAnsi="Gotham"/>
          <w:sz w:val="20"/>
          <w:szCs w:val="20"/>
        </w:rPr>
      </w:pPr>
      <w:r w:rsidRPr="00DC5758">
        <w:rPr>
          <w:rFonts w:ascii="Gotham" w:hAnsi="Gotham"/>
          <w:sz w:val="20"/>
          <w:szCs w:val="20"/>
        </w:rPr>
        <w:t xml:space="preserve">1. </w:t>
      </w:r>
      <w:r>
        <w:rPr>
          <w:rFonts w:ascii="Gotham" w:hAnsi="Gotham"/>
          <w:sz w:val="20"/>
          <w:szCs w:val="20"/>
        </w:rPr>
        <w:tab/>
      </w:r>
      <w:r w:rsidRPr="00DC5758">
        <w:rPr>
          <w:rFonts w:ascii="Gotham" w:hAnsi="Gotham"/>
          <w:sz w:val="20"/>
          <w:szCs w:val="20"/>
        </w:rPr>
        <w:t xml:space="preserve">De conformidad a lo dispuesto por el artículo 115 fracción II de la Constitución Política de los Estados Unidos Mexicanos, los municipios estarán investidos de personalidad jurídica y </w:t>
      </w:r>
      <w:r w:rsidRPr="00DC5758">
        <w:rPr>
          <w:rFonts w:ascii="Gotham" w:hAnsi="Gotham"/>
          <w:sz w:val="20"/>
          <w:szCs w:val="20"/>
        </w:rPr>
        <w:lastRenderedPageBreak/>
        <w:t xml:space="preserve">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A473F52" w14:textId="77777777" w:rsidR="00016FE1" w:rsidRPr="00DC5758" w:rsidRDefault="00016FE1" w:rsidP="002B6227">
      <w:pPr>
        <w:ind w:left="567" w:hanging="567"/>
        <w:jc w:val="both"/>
        <w:rPr>
          <w:rFonts w:ascii="Gotham" w:hAnsi="Gotham"/>
          <w:sz w:val="20"/>
          <w:szCs w:val="20"/>
        </w:rPr>
      </w:pPr>
    </w:p>
    <w:p w14:paraId="3A473F53" w14:textId="77777777" w:rsidR="00016FE1" w:rsidRPr="00DC5758" w:rsidRDefault="00016FE1" w:rsidP="002B6227">
      <w:pPr>
        <w:ind w:left="567" w:hanging="567"/>
        <w:jc w:val="both"/>
        <w:rPr>
          <w:rFonts w:ascii="Gotham" w:hAnsi="Gotham"/>
          <w:sz w:val="20"/>
          <w:szCs w:val="20"/>
        </w:rPr>
      </w:pPr>
      <w:r w:rsidRPr="00DC5758">
        <w:rPr>
          <w:rFonts w:ascii="Gotham" w:hAnsi="Gotham"/>
          <w:sz w:val="20"/>
          <w:szCs w:val="20"/>
        </w:rPr>
        <w:t xml:space="preserve">2. </w:t>
      </w:r>
      <w:r>
        <w:rPr>
          <w:rFonts w:ascii="Gotham" w:hAnsi="Gotham"/>
          <w:sz w:val="20"/>
          <w:szCs w:val="20"/>
        </w:rPr>
        <w:tab/>
      </w:r>
      <w:r w:rsidRPr="00DC5758">
        <w:rPr>
          <w:rFonts w:ascii="Gotham" w:hAnsi="Gotham"/>
          <w:sz w:val="20"/>
          <w:szCs w:val="20"/>
        </w:rPr>
        <w:t xml:space="preserve">Que en términos de los artículos 82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 según el artículo 87 del citado ordenamiento, sobre los bienes de dominio privado del Municipio se puede celebrar y ejecutar todos los actos jurídicos regulados por el derecho común, tal como es el caso, la sujeción a venta mediante la subasta pública. </w:t>
      </w:r>
    </w:p>
    <w:p w14:paraId="3A473F54" w14:textId="77777777" w:rsidR="00016FE1" w:rsidRPr="00DC5758" w:rsidRDefault="00016FE1" w:rsidP="002B6227">
      <w:pPr>
        <w:ind w:left="567" w:hanging="567"/>
        <w:jc w:val="both"/>
        <w:rPr>
          <w:rFonts w:ascii="Gotham" w:hAnsi="Gotham"/>
          <w:sz w:val="20"/>
          <w:szCs w:val="20"/>
        </w:rPr>
      </w:pPr>
    </w:p>
    <w:p w14:paraId="3A473F55" w14:textId="77777777" w:rsidR="00016FE1" w:rsidRPr="00DC5758" w:rsidRDefault="00016FE1" w:rsidP="002B6227">
      <w:pPr>
        <w:ind w:left="567" w:hanging="567"/>
        <w:jc w:val="both"/>
        <w:rPr>
          <w:rFonts w:ascii="Gotham" w:hAnsi="Gotham"/>
          <w:sz w:val="20"/>
          <w:szCs w:val="20"/>
        </w:rPr>
      </w:pPr>
      <w:r w:rsidRPr="00DC5758">
        <w:rPr>
          <w:rFonts w:ascii="Gotham" w:hAnsi="Gotham"/>
          <w:sz w:val="20"/>
          <w:szCs w:val="20"/>
        </w:rPr>
        <w:t xml:space="preserve">3.- </w:t>
      </w:r>
      <w:r>
        <w:rPr>
          <w:rFonts w:ascii="Gotham" w:hAnsi="Gotham"/>
          <w:sz w:val="20"/>
          <w:szCs w:val="20"/>
        </w:rPr>
        <w:tab/>
      </w:r>
      <w:r w:rsidRPr="00DC5758">
        <w:rPr>
          <w:rFonts w:ascii="Gotham" w:hAnsi="Gotham"/>
          <w:sz w:val="20"/>
          <w:szCs w:val="20"/>
        </w:rPr>
        <w:t>Que el artículo 88 de la Ley del Gobierno y la Administración Pública Municipal del Estado de Jalisco, estable por una parte los requisitos que se deben cubrir cuando se trata de actos de transmisión del dominio de los bienes del dominio privado de los municipios, y por otra parte las restricciones para que el Ayuntamiento apruebe este tipo de actos, como se cita:</w:t>
      </w:r>
    </w:p>
    <w:p w14:paraId="3A473F56" w14:textId="77777777" w:rsidR="00016FE1" w:rsidRPr="00DC5758" w:rsidRDefault="00016FE1" w:rsidP="002B6227">
      <w:pPr>
        <w:jc w:val="both"/>
        <w:rPr>
          <w:rFonts w:ascii="Gotham" w:hAnsi="Gotham"/>
          <w:sz w:val="20"/>
          <w:szCs w:val="20"/>
        </w:rPr>
      </w:pPr>
    </w:p>
    <w:p w14:paraId="3A473F57" w14:textId="77777777" w:rsidR="00016FE1" w:rsidRPr="00BC0E5D" w:rsidRDefault="00016FE1" w:rsidP="002B6227">
      <w:pPr>
        <w:spacing w:after="120"/>
        <w:ind w:left="851" w:right="283"/>
        <w:jc w:val="both"/>
        <w:rPr>
          <w:rFonts w:ascii="Gotham" w:hAnsi="Gotham" w:cs="Arial"/>
          <w:i/>
          <w:sz w:val="19"/>
          <w:szCs w:val="19"/>
        </w:rPr>
      </w:pPr>
      <w:r w:rsidRPr="00BC0E5D">
        <w:rPr>
          <w:rFonts w:ascii="Gotham" w:hAnsi="Gotham" w:cs="Arial"/>
          <w:i/>
          <w:sz w:val="19"/>
          <w:szCs w:val="19"/>
        </w:rPr>
        <w:t>Artículo 88. Cuando se trate de actos de transmisión de dominio de los bienes del dominio privado de los municipios, se deben observar los requisitos siguientes:</w:t>
      </w:r>
    </w:p>
    <w:p w14:paraId="3A473F58" w14:textId="77777777" w:rsidR="00016FE1" w:rsidRPr="00BC0E5D" w:rsidRDefault="00016FE1" w:rsidP="002B6227">
      <w:pPr>
        <w:spacing w:after="120"/>
        <w:ind w:left="1276" w:right="283" w:hanging="425"/>
        <w:jc w:val="both"/>
        <w:rPr>
          <w:rFonts w:ascii="Gotham" w:hAnsi="Gotham" w:cs="Arial"/>
          <w:i/>
          <w:sz w:val="19"/>
          <w:szCs w:val="19"/>
        </w:rPr>
      </w:pPr>
      <w:r w:rsidRPr="00BC0E5D">
        <w:rPr>
          <w:rFonts w:ascii="Gotham" w:hAnsi="Gotham" w:cs="Arial"/>
          <w:i/>
          <w:sz w:val="19"/>
          <w:szCs w:val="19"/>
        </w:rPr>
        <w:t xml:space="preserve">I. </w:t>
      </w:r>
      <w:r>
        <w:rPr>
          <w:rFonts w:ascii="Gotham" w:hAnsi="Gotham" w:cs="Arial"/>
          <w:i/>
          <w:sz w:val="19"/>
          <w:szCs w:val="19"/>
        </w:rPr>
        <w:tab/>
      </w:r>
      <w:r w:rsidRPr="00BC0E5D">
        <w:rPr>
          <w:rFonts w:ascii="Gotham" w:hAnsi="Gotham" w:cs="Arial"/>
          <w:i/>
          <w:sz w:val="19"/>
          <w:szCs w:val="19"/>
        </w:rPr>
        <w:t>Justificar que la enajenación o donación responde a la ejecución de un programa cuyo objetivo sea la satisfacción de un servicio público, pago de deuda o cualquier otro fin que busque el interés general;</w:t>
      </w:r>
    </w:p>
    <w:p w14:paraId="3A473F59" w14:textId="77777777" w:rsidR="00016FE1" w:rsidRPr="00BC0E5D" w:rsidRDefault="00016FE1" w:rsidP="002B6227">
      <w:pPr>
        <w:spacing w:after="120"/>
        <w:ind w:left="1276" w:right="283" w:hanging="425"/>
        <w:jc w:val="both"/>
        <w:rPr>
          <w:rFonts w:ascii="Gotham" w:hAnsi="Gotham" w:cs="Arial"/>
          <w:i/>
          <w:sz w:val="19"/>
          <w:szCs w:val="19"/>
        </w:rPr>
      </w:pPr>
      <w:r w:rsidRPr="00BC0E5D">
        <w:rPr>
          <w:rFonts w:ascii="Gotham" w:hAnsi="Gotham" w:cs="Arial"/>
          <w:i/>
          <w:sz w:val="19"/>
          <w:szCs w:val="19"/>
        </w:rPr>
        <w:t xml:space="preserve">II. </w:t>
      </w:r>
      <w:r>
        <w:rPr>
          <w:rFonts w:ascii="Gotham" w:hAnsi="Gotham" w:cs="Arial"/>
          <w:i/>
          <w:sz w:val="19"/>
          <w:szCs w:val="19"/>
        </w:rPr>
        <w:tab/>
      </w:r>
      <w:r w:rsidRPr="00BC0E5D">
        <w:rPr>
          <w:rFonts w:ascii="Gotham" w:hAnsi="Gotham" w:cs="Arial"/>
          <w:i/>
          <w:sz w:val="19"/>
          <w:szCs w:val="19"/>
        </w:rPr>
        <w:t>Realizar, en el caso de venta, un avalúo por perito autorizado, para determinar el precio mínimo de venta; y</w:t>
      </w:r>
    </w:p>
    <w:p w14:paraId="3A473F5A" w14:textId="77777777" w:rsidR="00016FE1" w:rsidRPr="00BC0E5D" w:rsidRDefault="00016FE1" w:rsidP="002B6227">
      <w:pPr>
        <w:spacing w:after="120"/>
        <w:ind w:left="1276" w:right="283" w:hanging="425"/>
        <w:jc w:val="both"/>
        <w:rPr>
          <w:rFonts w:ascii="Gotham" w:hAnsi="Gotham" w:cs="Arial"/>
          <w:i/>
          <w:sz w:val="19"/>
          <w:szCs w:val="19"/>
        </w:rPr>
      </w:pPr>
      <w:r w:rsidRPr="00BC0E5D">
        <w:rPr>
          <w:rFonts w:ascii="Gotham" w:hAnsi="Gotham" w:cs="Arial"/>
          <w:i/>
          <w:sz w:val="19"/>
          <w:szCs w:val="19"/>
        </w:rPr>
        <w:t xml:space="preserve">III. </w:t>
      </w:r>
      <w:r>
        <w:rPr>
          <w:rFonts w:ascii="Gotham" w:hAnsi="Gotham" w:cs="Arial"/>
          <w:i/>
          <w:sz w:val="19"/>
          <w:szCs w:val="19"/>
        </w:rPr>
        <w:tab/>
      </w:r>
      <w:r w:rsidRPr="00BC0E5D">
        <w:rPr>
          <w:rFonts w:ascii="Gotham" w:hAnsi="Gotham" w:cs="Arial"/>
          <w:i/>
          <w:sz w:val="19"/>
          <w:szCs w:val="19"/>
        </w:rPr>
        <w:t>Realizar la enajenación mediante subasta pública al mejor postor, salvo que por las circunstancias que rodeen al acto, el Ayuntamiento decida por mayoría calificada cualquier otro procedimiento de enajenación.</w:t>
      </w:r>
    </w:p>
    <w:p w14:paraId="3A473F5B" w14:textId="77777777" w:rsidR="00016FE1" w:rsidRPr="00BC0E5D" w:rsidRDefault="00016FE1" w:rsidP="002B6227">
      <w:pPr>
        <w:ind w:left="851" w:right="283"/>
        <w:jc w:val="both"/>
        <w:rPr>
          <w:rFonts w:ascii="Gotham" w:hAnsi="Gotham" w:cs="Arial"/>
          <w:b/>
          <w:i/>
          <w:sz w:val="19"/>
          <w:szCs w:val="19"/>
          <w:u w:val="single"/>
        </w:rPr>
      </w:pPr>
      <w:r w:rsidRPr="00BC0E5D">
        <w:rPr>
          <w:rFonts w:ascii="Gotham" w:hAnsi="Gotham" w:cs="Arial"/>
          <w:b/>
          <w:i/>
          <w:sz w:val="19"/>
          <w:szCs w:val="19"/>
          <w:u w:val="single"/>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del municipio.</w:t>
      </w:r>
    </w:p>
    <w:p w14:paraId="3A473F5C" w14:textId="77777777" w:rsidR="00016FE1" w:rsidRPr="00DC5758" w:rsidRDefault="00016FE1" w:rsidP="002B6227">
      <w:pPr>
        <w:jc w:val="both"/>
        <w:rPr>
          <w:rFonts w:ascii="Gotham" w:hAnsi="Gotham"/>
          <w:sz w:val="20"/>
          <w:szCs w:val="20"/>
        </w:rPr>
      </w:pPr>
    </w:p>
    <w:p w14:paraId="3A473F5D" w14:textId="77777777" w:rsidR="00016FE1" w:rsidRPr="00DC5758" w:rsidRDefault="00016FE1" w:rsidP="002B6227">
      <w:pPr>
        <w:jc w:val="both"/>
        <w:rPr>
          <w:rFonts w:ascii="Gotham" w:hAnsi="Gotham"/>
          <w:sz w:val="20"/>
          <w:szCs w:val="20"/>
        </w:rPr>
      </w:pPr>
      <w:r w:rsidRPr="00DC5758">
        <w:rPr>
          <w:rFonts w:ascii="Gotham" w:hAnsi="Gotham"/>
          <w:sz w:val="20"/>
          <w:szCs w:val="20"/>
        </w:rPr>
        <w:t xml:space="preserve">Con lo anteriormente expuesto y fundado, los integrantes de la Comisión Edilicia de Hacienda y Presupuestos llegamos a las siguientes: </w:t>
      </w:r>
    </w:p>
    <w:p w14:paraId="3A473F5E" w14:textId="77777777" w:rsidR="00016FE1" w:rsidRPr="00DC5758" w:rsidRDefault="00016FE1" w:rsidP="002B6227">
      <w:pPr>
        <w:jc w:val="both"/>
        <w:rPr>
          <w:rFonts w:ascii="Gotham" w:hAnsi="Gotham"/>
          <w:sz w:val="20"/>
          <w:szCs w:val="20"/>
        </w:rPr>
      </w:pPr>
    </w:p>
    <w:p w14:paraId="3A473F5F" w14:textId="77777777" w:rsidR="00016FE1" w:rsidRPr="00DC5758" w:rsidRDefault="00016FE1" w:rsidP="002B6227">
      <w:pPr>
        <w:jc w:val="center"/>
        <w:rPr>
          <w:rFonts w:ascii="Gotham" w:hAnsi="Gotham"/>
          <w:sz w:val="20"/>
          <w:szCs w:val="20"/>
        </w:rPr>
      </w:pPr>
      <w:r w:rsidRPr="00DC5758">
        <w:rPr>
          <w:rFonts w:ascii="Gotham" w:hAnsi="Gotham"/>
          <w:sz w:val="20"/>
          <w:szCs w:val="20"/>
        </w:rPr>
        <w:t>C O N C L U S I O N E S</w:t>
      </w:r>
    </w:p>
    <w:p w14:paraId="3A473F60" w14:textId="77777777" w:rsidR="00016FE1" w:rsidRPr="00DC5758" w:rsidRDefault="00016FE1" w:rsidP="002B6227">
      <w:pPr>
        <w:jc w:val="both"/>
        <w:rPr>
          <w:rFonts w:ascii="Gotham" w:hAnsi="Gotham"/>
          <w:sz w:val="20"/>
          <w:szCs w:val="20"/>
        </w:rPr>
      </w:pPr>
    </w:p>
    <w:p w14:paraId="3A473F61" w14:textId="77777777" w:rsidR="00016FE1" w:rsidRPr="00F77EBB" w:rsidRDefault="00016FE1" w:rsidP="002B6227">
      <w:pPr>
        <w:jc w:val="both"/>
        <w:rPr>
          <w:rFonts w:ascii="Gotham" w:hAnsi="Gotham"/>
          <w:sz w:val="20"/>
          <w:szCs w:val="20"/>
        </w:rPr>
      </w:pPr>
      <w:r w:rsidRPr="00DC5758">
        <w:rPr>
          <w:rFonts w:ascii="Gotham" w:hAnsi="Gotham"/>
          <w:sz w:val="20"/>
          <w:szCs w:val="20"/>
        </w:rPr>
        <w:t>Podemos concluir que el Ayuntamiento de Tonalá se encuentra plenamente facultado para administrar su patrimonio, mismo que se integra tanto por bienes del dominio público, como por</w:t>
      </w:r>
      <w:r w:rsidR="009F075D">
        <w:rPr>
          <w:rFonts w:ascii="Gotham" w:hAnsi="Gotham"/>
          <w:sz w:val="20"/>
          <w:szCs w:val="20"/>
        </w:rPr>
        <w:t xml:space="preserve"> </w:t>
      </w:r>
      <w:r w:rsidRPr="00DC5758">
        <w:rPr>
          <w:rFonts w:ascii="Gotham" w:hAnsi="Gotham"/>
          <w:sz w:val="20"/>
          <w:szCs w:val="20"/>
        </w:rPr>
        <w:t>bienes del dominio privado, teniendo en cuenta además que para llevar a cabo la venta, enajenación o cualquier otro acto jurídico regulado por el derecho común sobre sus bienes, deberá llevarse a cabo su desincorporación del dominio público para su posterior incorporación al dominio privado. Asimismo se establece que es potestad del Ayuntamiento decidir, por</w:t>
      </w:r>
      <w:r>
        <w:rPr>
          <w:rFonts w:ascii="Arial" w:hAnsi="Arial" w:cs="Arial"/>
        </w:rPr>
        <w:t xml:space="preserve"> </w:t>
      </w:r>
      <w:r w:rsidRPr="00F77EBB">
        <w:rPr>
          <w:rFonts w:ascii="Gotham" w:hAnsi="Gotham"/>
          <w:sz w:val="20"/>
          <w:szCs w:val="20"/>
        </w:rPr>
        <w:t>mayoría calificada, cualquier otro procedimiento de enajenación diferente a la subasta pública, respecto de los bienes del dominio privado del municipio.</w:t>
      </w:r>
    </w:p>
    <w:p w14:paraId="3A473F62" w14:textId="77777777" w:rsidR="00016FE1" w:rsidRPr="00F77EBB" w:rsidRDefault="00016FE1" w:rsidP="002B6227">
      <w:pPr>
        <w:jc w:val="both"/>
        <w:rPr>
          <w:rFonts w:ascii="Gotham" w:hAnsi="Gotham"/>
          <w:sz w:val="20"/>
          <w:szCs w:val="20"/>
        </w:rPr>
      </w:pPr>
    </w:p>
    <w:p w14:paraId="3A473F63" w14:textId="77777777" w:rsidR="00016FE1" w:rsidRPr="00F77EBB" w:rsidRDefault="00016FE1" w:rsidP="002B6227">
      <w:pPr>
        <w:jc w:val="both"/>
        <w:rPr>
          <w:rFonts w:ascii="Gotham" w:hAnsi="Gotham"/>
          <w:sz w:val="20"/>
          <w:szCs w:val="20"/>
        </w:rPr>
      </w:pPr>
      <w:r w:rsidRPr="00F77EBB">
        <w:rPr>
          <w:rFonts w:ascii="Gotham" w:hAnsi="Gotham"/>
          <w:sz w:val="20"/>
          <w:szCs w:val="20"/>
        </w:rPr>
        <w:lastRenderedPageBreak/>
        <w:t>En virtud de que constituye una obligación cuidar y acrecentar los bienes del municipio, así como su correcto destino, en el caso que nos ocupa se trata de 300 bienes todos ellos corresponden a diversos artículos y equipos de oficina y equipos de cómputo etc., de los cuales se puede observar, de las constancias documentales que nos remite el Director de Patrimonio, por su estado y condiciones, carecen de utilidad alguna, y son incosteables para ser reparados.</w:t>
      </w:r>
    </w:p>
    <w:p w14:paraId="3A473F64" w14:textId="77777777" w:rsidR="00016FE1" w:rsidRPr="00F77EBB" w:rsidRDefault="00016FE1" w:rsidP="002B6227">
      <w:pPr>
        <w:jc w:val="both"/>
        <w:rPr>
          <w:rFonts w:ascii="Gotham" w:hAnsi="Gotham"/>
          <w:sz w:val="20"/>
          <w:szCs w:val="20"/>
        </w:rPr>
      </w:pPr>
    </w:p>
    <w:p w14:paraId="3A473F65" w14:textId="77777777" w:rsidR="00016FE1" w:rsidRPr="00F77EBB" w:rsidRDefault="00016FE1" w:rsidP="002B6227">
      <w:pPr>
        <w:jc w:val="both"/>
        <w:rPr>
          <w:rFonts w:ascii="Gotham" w:hAnsi="Gotham"/>
          <w:sz w:val="20"/>
          <w:szCs w:val="20"/>
        </w:rPr>
      </w:pPr>
      <w:r w:rsidRPr="00F77EBB">
        <w:rPr>
          <w:rFonts w:ascii="Gotham" w:hAnsi="Gotham"/>
          <w:sz w:val="20"/>
          <w:szCs w:val="20"/>
        </w:rPr>
        <w:t>Sin embargo, nos encontramos a 4 cuatro meses de que concluya la actual administración municipal, y en este sentido el artículo 88 de la Ley del Gobierno y la Administración Pública Municipal del Estado de Jalisco en su último párrafo, estable una prohibición para realizar cualquier enajenación de ningún bien de dominio privado durante los últimos 6 seis meses de la Administración Pública Municipal, con algunas salvedades si se tratara de temas inherentes a la salud, la educación, la seguridad pública o protección civil del municipio.</w:t>
      </w:r>
    </w:p>
    <w:p w14:paraId="3A473F66" w14:textId="77777777" w:rsidR="00016FE1" w:rsidRPr="00F77EBB" w:rsidRDefault="00016FE1" w:rsidP="002B6227">
      <w:pPr>
        <w:jc w:val="both"/>
        <w:rPr>
          <w:rFonts w:ascii="Gotham" w:hAnsi="Gotham"/>
          <w:sz w:val="20"/>
          <w:szCs w:val="20"/>
        </w:rPr>
      </w:pPr>
    </w:p>
    <w:p w14:paraId="3A473F67" w14:textId="77777777" w:rsidR="00016FE1" w:rsidRPr="00F77EBB" w:rsidRDefault="00016FE1" w:rsidP="002B6227">
      <w:pPr>
        <w:jc w:val="both"/>
        <w:rPr>
          <w:rFonts w:ascii="Gotham" w:hAnsi="Gotham"/>
          <w:sz w:val="20"/>
          <w:szCs w:val="20"/>
        </w:rPr>
      </w:pPr>
      <w:r w:rsidRPr="00F77EBB">
        <w:rPr>
          <w:rFonts w:ascii="Gotham" w:hAnsi="Gotham"/>
          <w:sz w:val="20"/>
          <w:szCs w:val="20"/>
        </w:rPr>
        <w:t>En este sentido, consideramos procedente desechar la propuesta, por una parte, lo hacemos en estricto apego a lo señalado en el dispositivo legal antes citado, y por otro lado, porque queremos que la toma de decisiones públicas se tomen en las condiciones idóneas cuyos efectos se vean reflejados en beneficio de la población.</w:t>
      </w:r>
    </w:p>
    <w:p w14:paraId="3A473F68" w14:textId="77777777" w:rsidR="00016FE1" w:rsidRPr="00F77EBB" w:rsidRDefault="00016FE1" w:rsidP="002B6227">
      <w:pPr>
        <w:jc w:val="both"/>
        <w:rPr>
          <w:rFonts w:ascii="Gotham" w:hAnsi="Gotham"/>
          <w:sz w:val="20"/>
          <w:szCs w:val="20"/>
        </w:rPr>
      </w:pPr>
    </w:p>
    <w:p w14:paraId="3A473F69" w14:textId="77777777" w:rsidR="00016FE1" w:rsidRPr="00F77EBB" w:rsidRDefault="00016FE1" w:rsidP="002B6227">
      <w:pPr>
        <w:jc w:val="both"/>
        <w:rPr>
          <w:rFonts w:ascii="Gotham" w:hAnsi="Gotham"/>
          <w:sz w:val="20"/>
          <w:szCs w:val="20"/>
        </w:rPr>
      </w:pPr>
      <w:r w:rsidRPr="00F77EBB">
        <w:rPr>
          <w:rFonts w:ascii="Gotham" w:hAnsi="Gotham"/>
          <w:sz w:val="20"/>
          <w:szCs w:val="20"/>
        </w:rPr>
        <w:t xml:space="preserve">Los Regidores integrantes de la Comisión de Hacienda Municipal y Presupuestos, nos permitimos proponer a la consideración de este Ayuntamiento en Pleno, los siguientes puntos concretos de </w:t>
      </w:r>
    </w:p>
    <w:p w14:paraId="3A473F6A" w14:textId="77777777" w:rsidR="00016FE1" w:rsidRPr="00F77EBB" w:rsidRDefault="00016FE1" w:rsidP="002B6227">
      <w:pPr>
        <w:jc w:val="both"/>
        <w:rPr>
          <w:rFonts w:ascii="Gotham" w:hAnsi="Gotham"/>
          <w:sz w:val="20"/>
          <w:szCs w:val="20"/>
        </w:rPr>
      </w:pPr>
    </w:p>
    <w:p w14:paraId="3A473F6B" w14:textId="77777777" w:rsidR="00016FE1" w:rsidRPr="00F77EBB" w:rsidRDefault="00016FE1" w:rsidP="002B6227">
      <w:pPr>
        <w:jc w:val="center"/>
        <w:rPr>
          <w:rFonts w:ascii="Gotham" w:hAnsi="Gotham"/>
          <w:sz w:val="20"/>
          <w:szCs w:val="20"/>
        </w:rPr>
      </w:pPr>
      <w:r>
        <w:rPr>
          <w:rFonts w:ascii="Gotham" w:hAnsi="Gotham"/>
          <w:sz w:val="20"/>
          <w:szCs w:val="20"/>
        </w:rPr>
        <w:t>A C U E R D O</w:t>
      </w:r>
    </w:p>
    <w:p w14:paraId="3A473F6C" w14:textId="77777777" w:rsidR="00016FE1" w:rsidRPr="00F77EBB" w:rsidRDefault="00016FE1" w:rsidP="002B6227">
      <w:pPr>
        <w:jc w:val="both"/>
        <w:rPr>
          <w:rFonts w:ascii="Gotham" w:hAnsi="Gotham"/>
          <w:sz w:val="20"/>
          <w:szCs w:val="20"/>
        </w:rPr>
      </w:pPr>
    </w:p>
    <w:p w14:paraId="3A473F6D" w14:textId="77777777" w:rsidR="00016FE1" w:rsidRPr="00F77EBB" w:rsidRDefault="00016FE1" w:rsidP="002B6227">
      <w:pPr>
        <w:jc w:val="both"/>
        <w:rPr>
          <w:rFonts w:ascii="Gotham" w:hAnsi="Gotham"/>
          <w:sz w:val="20"/>
          <w:szCs w:val="20"/>
        </w:rPr>
      </w:pPr>
      <w:r w:rsidRPr="00F77EBB">
        <w:rPr>
          <w:rFonts w:ascii="Gotham" w:hAnsi="Gotham"/>
          <w:sz w:val="20"/>
          <w:szCs w:val="20"/>
        </w:rPr>
        <w:t>ÚNICO. – Se aprueba desechar la Iniciativa con Turno a Comisión número 1033 de la Sesión Ordinaria de Ayuntamiento de fecha 27 de febrero de año 2024, materia del presente dictamen por los razonamientos ya expuestos, ordenándose su archivo como asunto concluido.</w:t>
      </w:r>
    </w:p>
    <w:p w14:paraId="3A473F6E" w14:textId="77777777" w:rsidR="00016FE1" w:rsidRDefault="00016FE1" w:rsidP="002B6227">
      <w:pPr>
        <w:jc w:val="both"/>
        <w:rPr>
          <w:rFonts w:ascii="Gotham" w:hAnsi="Gotham"/>
          <w:sz w:val="20"/>
          <w:szCs w:val="20"/>
        </w:rPr>
      </w:pPr>
    </w:p>
    <w:p w14:paraId="3A473F6F"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3F70" w14:textId="77777777" w:rsidR="00016FE1" w:rsidRPr="00CD0531" w:rsidRDefault="00016FE1" w:rsidP="002B6227">
      <w:pPr>
        <w:jc w:val="both"/>
        <w:rPr>
          <w:rFonts w:ascii="Gotham" w:hAnsi="Gotham" w:cs="Arial"/>
          <w:sz w:val="20"/>
          <w:szCs w:val="20"/>
        </w:rPr>
      </w:pPr>
    </w:p>
    <w:p w14:paraId="3A473F71"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3F72" w14:textId="77777777" w:rsidR="00016FE1" w:rsidRPr="00CD0531" w:rsidRDefault="00016FE1" w:rsidP="002B6227">
      <w:pPr>
        <w:jc w:val="both"/>
        <w:rPr>
          <w:rFonts w:ascii="Gotham" w:hAnsi="Gotham" w:cs="Arial"/>
          <w:sz w:val="20"/>
          <w:szCs w:val="20"/>
        </w:rPr>
      </w:pPr>
    </w:p>
    <w:p w14:paraId="3A473F73"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3F74" w14:textId="77777777" w:rsidR="00016FE1" w:rsidRPr="00CD0531" w:rsidRDefault="00016FE1" w:rsidP="002B6227">
      <w:pPr>
        <w:jc w:val="both"/>
        <w:rPr>
          <w:rFonts w:ascii="Gotham" w:hAnsi="Gotham" w:cs="Arial"/>
          <w:sz w:val="20"/>
          <w:szCs w:val="20"/>
        </w:rPr>
      </w:pPr>
    </w:p>
    <w:p w14:paraId="3A473F75"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3F76" w14:textId="77777777" w:rsidR="00016FE1" w:rsidRPr="00CD0531" w:rsidRDefault="00016FE1" w:rsidP="002B6227">
      <w:pPr>
        <w:jc w:val="both"/>
        <w:rPr>
          <w:rFonts w:ascii="Gotham" w:hAnsi="Gotham" w:cs="Arial"/>
          <w:sz w:val="20"/>
          <w:szCs w:val="20"/>
        </w:rPr>
      </w:pPr>
    </w:p>
    <w:p w14:paraId="3A473F77"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3F78" w14:textId="77777777" w:rsidR="00016FE1" w:rsidRPr="00A85814" w:rsidRDefault="00016FE1" w:rsidP="002B6227">
      <w:pPr>
        <w:jc w:val="both"/>
        <w:rPr>
          <w:rFonts w:ascii="Gotham" w:hAnsi="Gotham"/>
          <w:sz w:val="20"/>
          <w:szCs w:val="20"/>
        </w:rPr>
      </w:pPr>
    </w:p>
    <w:p w14:paraId="3A473F79" w14:textId="77777777" w:rsidR="00016FE1" w:rsidRDefault="00016FE1" w:rsidP="002B6227">
      <w:pPr>
        <w:jc w:val="both"/>
        <w:rPr>
          <w:rFonts w:ascii="Gotham" w:hAnsi="Gotham"/>
          <w:sz w:val="20"/>
          <w:szCs w:val="20"/>
        </w:rPr>
      </w:pPr>
    </w:p>
    <w:p w14:paraId="3A473F7A" w14:textId="77777777" w:rsidR="00016FE1" w:rsidRDefault="00016FE1" w:rsidP="002B6227">
      <w:pPr>
        <w:pStyle w:val="western"/>
        <w:spacing w:before="0" w:beforeAutospacing="0"/>
        <w:jc w:val="right"/>
        <w:rPr>
          <w:rFonts w:ascii="Gotham" w:hAnsi="Gotham"/>
          <w:b/>
          <w:sz w:val="22"/>
          <w:szCs w:val="22"/>
          <w:u w:val="single"/>
        </w:rPr>
      </w:pPr>
      <w:r w:rsidRPr="00AB3373">
        <w:rPr>
          <w:rFonts w:ascii="Gotham" w:hAnsi="Gotham"/>
          <w:b/>
          <w:sz w:val="22"/>
          <w:szCs w:val="22"/>
          <w:u w:val="single"/>
        </w:rPr>
        <w:t xml:space="preserve">ACUERDO NO. </w:t>
      </w:r>
      <w:r>
        <w:rPr>
          <w:rFonts w:ascii="Gotham" w:hAnsi="Gotham"/>
          <w:b/>
          <w:sz w:val="22"/>
          <w:szCs w:val="22"/>
          <w:u w:val="single"/>
        </w:rPr>
        <w:t>1136</w:t>
      </w:r>
    </w:p>
    <w:p w14:paraId="3A473F7B" w14:textId="77777777" w:rsidR="00016FE1" w:rsidRDefault="00016FE1" w:rsidP="002B6227">
      <w:pPr>
        <w:jc w:val="both"/>
        <w:rPr>
          <w:rFonts w:ascii="Gotham" w:hAnsi="Gotham"/>
          <w:sz w:val="20"/>
          <w:szCs w:val="20"/>
        </w:rPr>
      </w:pPr>
      <w:r w:rsidRPr="00C463E5">
        <w:rPr>
          <w:rFonts w:ascii="Gotham" w:hAnsi="Gotham"/>
          <w:b/>
          <w:bCs/>
          <w:smallCaps/>
          <w:sz w:val="20"/>
          <w:szCs w:val="20"/>
        </w:rPr>
        <w:t xml:space="preserve">Décimo Dictamen de Comisión.- </w:t>
      </w:r>
      <w:r w:rsidRPr="00C463E5">
        <w:rPr>
          <w:rFonts w:ascii="Gotham" w:hAnsi="Gotham"/>
          <w:sz w:val="20"/>
          <w:szCs w:val="20"/>
        </w:rPr>
        <w:t xml:space="preserve">En uso de la voz el Presidente Municipal, Sergio Armando Chávez Dávalos, expresa que, se da cuenta del dictamen que presenta la Comisión Edilicia de </w:t>
      </w:r>
      <w:r>
        <w:rPr>
          <w:rFonts w:ascii="Gotham" w:hAnsi="Gotham"/>
          <w:color w:val="000000" w:themeColor="text1"/>
          <w:sz w:val="20"/>
          <w:szCs w:val="20"/>
        </w:rPr>
        <w:t>Planeación para el Desarrollo Urbano, Rural y Habitación Popular</w:t>
      </w:r>
      <w:r w:rsidRPr="00C463E5">
        <w:rPr>
          <w:rFonts w:ascii="Gotham" w:hAnsi="Gotham"/>
          <w:sz w:val="20"/>
          <w:szCs w:val="20"/>
        </w:rPr>
        <w:t>.</w:t>
      </w:r>
    </w:p>
    <w:p w14:paraId="3A473F7C" w14:textId="77777777" w:rsidR="00016FE1" w:rsidRDefault="00016FE1" w:rsidP="002B6227">
      <w:pPr>
        <w:jc w:val="both"/>
        <w:rPr>
          <w:rFonts w:ascii="Gotham" w:hAnsi="Gotham" w:cs="Arial"/>
          <w:sz w:val="20"/>
          <w:szCs w:val="20"/>
        </w:rPr>
      </w:pPr>
    </w:p>
    <w:p w14:paraId="3A473F7D" w14:textId="77777777" w:rsidR="00016FE1" w:rsidRDefault="00016FE1" w:rsidP="002B6227">
      <w:pPr>
        <w:jc w:val="both"/>
        <w:rPr>
          <w:rFonts w:ascii="Gotham" w:hAnsi="Gotham"/>
          <w:sz w:val="20"/>
          <w:szCs w:val="20"/>
          <w:lang w:val="es-MX" w:eastAsia="es-MX"/>
        </w:rPr>
      </w:pPr>
      <w:r>
        <w:rPr>
          <w:rFonts w:ascii="Gotham" w:hAnsi="Gotham"/>
          <w:color w:val="000000" w:themeColor="text1"/>
          <w:sz w:val="20"/>
          <w:szCs w:val="20"/>
        </w:rPr>
        <w:t xml:space="preserve">Los que suscribimos, Regidoras y Regidor Integrantes de la Comisión Edilicia de Planeación para el Desarrollo Urbano, Rural y Habitación Popular, en ejercicio de las facultades que nos confieren los artículos 115 de la Constitución Política de los Estados Unidos Mexicanos; 73, 77 y demás relativos de la Constitución Política del Estado de Jalisco; el artículo 50 de la Ley del Gobierno y la Administración Pública Municipal del Estado de Jalisco; el artículo 106 del Reglamento del Gobierno y la Administración Pública del Ayuntamiento Constitucional de Tonalá, Jalisco, y demás disposiciones legales aplicables; sometemos a la elevada consideración de este Cuerpo Colegiado, el presente Dictamen de Comisión con Carácter de Dictamen Final, que tiene por objeto resolver el acuerdo número 374 aprobado en Sesión Ordinaria de Ayuntamiento de fecha 29 de Septiembre del 2022, referente a </w:t>
      </w:r>
      <w:r>
        <w:rPr>
          <w:rFonts w:ascii="Gotham" w:hAnsi="Gotham"/>
          <w:sz w:val="20"/>
          <w:szCs w:val="20"/>
        </w:rPr>
        <w:t>la propuesta para que se gestione la viabilidad en la actualización de la actividad del giro para la sociedad mercantil Comercializadora de Embutidos ICO, S.A. de C.V., así como la superficie conformada por dos módulos de 6,203.46 m</w:t>
      </w:r>
      <w:r>
        <w:rPr>
          <w:rFonts w:ascii="Cambria" w:hAnsi="Cambria" w:cs="Cambria"/>
          <w:sz w:val="20"/>
          <w:szCs w:val="20"/>
        </w:rPr>
        <w:t>²</w:t>
      </w:r>
      <w:r>
        <w:rPr>
          <w:rFonts w:ascii="Gotham" w:hAnsi="Gotham"/>
          <w:sz w:val="20"/>
          <w:szCs w:val="20"/>
        </w:rPr>
        <w:t xml:space="preserve"> y 2,711.32 m</w:t>
      </w:r>
      <w:r>
        <w:rPr>
          <w:rFonts w:ascii="Cambria" w:hAnsi="Cambria" w:cs="Cambria"/>
          <w:sz w:val="20"/>
          <w:szCs w:val="20"/>
        </w:rPr>
        <w:t>²</w:t>
      </w:r>
      <w:r>
        <w:rPr>
          <w:rFonts w:ascii="Gotham" w:hAnsi="Gotham"/>
          <w:sz w:val="20"/>
          <w:szCs w:val="20"/>
        </w:rPr>
        <w:t xml:space="preserve"> dando un total de 8,914.78 m</w:t>
      </w:r>
      <w:r>
        <w:rPr>
          <w:rFonts w:ascii="Cambria" w:hAnsi="Cambria" w:cs="Cambria"/>
          <w:sz w:val="20"/>
          <w:szCs w:val="20"/>
        </w:rPr>
        <w:t>²</w:t>
      </w:r>
      <w:r>
        <w:rPr>
          <w:rFonts w:ascii="Gotham" w:hAnsi="Gotham"/>
          <w:sz w:val="20"/>
          <w:szCs w:val="20"/>
        </w:rPr>
        <w:t xml:space="preserve">, con un uso de Servicios a la Industria y el Comercio (SI), </w:t>
      </w:r>
      <w:r>
        <w:rPr>
          <w:rFonts w:ascii="Gotham" w:hAnsi="Gotham"/>
          <w:color w:val="000000" w:themeColor="text1"/>
          <w:sz w:val="20"/>
          <w:szCs w:val="20"/>
        </w:rPr>
        <w:t>para lo cual señalamos los siguientes;</w:t>
      </w:r>
    </w:p>
    <w:p w14:paraId="3A473F7E" w14:textId="77777777" w:rsidR="00016FE1" w:rsidRDefault="00016FE1" w:rsidP="002B6227">
      <w:pPr>
        <w:jc w:val="center"/>
        <w:rPr>
          <w:rFonts w:ascii="Gotham" w:hAnsi="Gotham"/>
          <w:color w:val="000000" w:themeColor="text1"/>
          <w:sz w:val="20"/>
          <w:szCs w:val="20"/>
        </w:rPr>
      </w:pPr>
    </w:p>
    <w:p w14:paraId="3A473F7F"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ANTECEDENTES</w:t>
      </w:r>
    </w:p>
    <w:p w14:paraId="3A473F80" w14:textId="77777777" w:rsidR="00016FE1" w:rsidRDefault="00016FE1" w:rsidP="002B6227">
      <w:pPr>
        <w:rPr>
          <w:rFonts w:ascii="Gotham" w:eastAsia="Gotham" w:hAnsi="Gotham"/>
          <w:color w:val="000000" w:themeColor="text1"/>
          <w:sz w:val="20"/>
          <w:szCs w:val="20"/>
        </w:rPr>
      </w:pPr>
    </w:p>
    <w:p w14:paraId="3A473F81"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1.-</w:t>
      </w:r>
      <w:r>
        <w:rPr>
          <w:rFonts w:ascii="Gotham" w:eastAsia="Gotham" w:hAnsi="Gotham"/>
          <w:color w:val="000000" w:themeColor="text1"/>
          <w:sz w:val="20"/>
          <w:szCs w:val="20"/>
        </w:rPr>
        <w:t xml:space="preserve"> </w:t>
      </w:r>
      <w:r>
        <w:rPr>
          <w:rFonts w:ascii="Gotham" w:eastAsia="Gotham" w:hAnsi="Gotham"/>
          <w:color w:val="000000" w:themeColor="text1"/>
          <w:sz w:val="20"/>
          <w:szCs w:val="20"/>
        </w:rPr>
        <w:tab/>
      </w:r>
      <w:r>
        <w:rPr>
          <w:rFonts w:ascii="Gotham" w:hAnsi="Gotham"/>
          <w:color w:val="000000" w:themeColor="text1"/>
          <w:sz w:val="20"/>
          <w:szCs w:val="20"/>
        </w:rPr>
        <w:t xml:space="preserve">En Sesión Ordinaria de Ayuntamiento celebrada el día 29 de Septiembre del 2022, bajo acuerdo número 371, se aprobó por unanimidad turnar a la Comisión Edilicia de Planeación para el Desarrollo Urbano, Rural y Habitación Popular como convocante la propuesta del </w:t>
      </w:r>
      <w:r>
        <w:rPr>
          <w:rFonts w:ascii="Gotham" w:hAnsi="Gotham"/>
          <w:sz w:val="20"/>
          <w:szCs w:val="20"/>
        </w:rPr>
        <w:t xml:space="preserve">Presidente Municipal </w:t>
      </w:r>
      <w:r>
        <w:rPr>
          <w:rFonts w:ascii="Gotham" w:hAnsi="Gotham"/>
          <w:color w:val="000000" w:themeColor="text1"/>
          <w:sz w:val="20"/>
          <w:szCs w:val="20"/>
        </w:rPr>
        <w:t xml:space="preserve">del Ayuntamiento Constitucional de Tonalá, </w:t>
      </w:r>
      <w:r>
        <w:rPr>
          <w:rFonts w:ascii="Gotham" w:hAnsi="Gotham"/>
          <w:sz w:val="20"/>
          <w:szCs w:val="20"/>
        </w:rPr>
        <w:t>Sergio Armando Chávez Dávalos</w:t>
      </w:r>
      <w:r>
        <w:rPr>
          <w:rFonts w:ascii="Gotham" w:hAnsi="Gotham"/>
          <w:color w:val="000000" w:themeColor="text1"/>
          <w:sz w:val="20"/>
          <w:szCs w:val="20"/>
        </w:rPr>
        <w:t xml:space="preserve">, referente a </w:t>
      </w:r>
      <w:r>
        <w:rPr>
          <w:rFonts w:ascii="Gotham" w:hAnsi="Gotham"/>
          <w:sz w:val="20"/>
          <w:szCs w:val="20"/>
        </w:rPr>
        <w:t>la propuesta para que se gestione la viabilidad en la actualización de la actividad del giro para la sociedad mercantil Comercializadora de Embutidos ICO, S.A. de C.V., así como la superficie conformada por dos módulos de 6,203.46 m</w:t>
      </w:r>
      <w:r>
        <w:rPr>
          <w:rFonts w:ascii="Cambria" w:hAnsi="Cambria" w:cs="Cambria"/>
          <w:sz w:val="20"/>
          <w:szCs w:val="20"/>
        </w:rPr>
        <w:t>²</w:t>
      </w:r>
      <w:r>
        <w:rPr>
          <w:rFonts w:ascii="Gotham" w:hAnsi="Gotham"/>
          <w:sz w:val="20"/>
          <w:szCs w:val="20"/>
        </w:rPr>
        <w:t xml:space="preserve"> y 2,711.32 m</w:t>
      </w:r>
      <w:r>
        <w:rPr>
          <w:rFonts w:ascii="Cambria" w:hAnsi="Cambria" w:cs="Cambria"/>
          <w:sz w:val="20"/>
          <w:szCs w:val="20"/>
        </w:rPr>
        <w:t>²</w:t>
      </w:r>
      <w:r>
        <w:rPr>
          <w:rFonts w:ascii="Gotham" w:hAnsi="Gotham"/>
          <w:sz w:val="20"/>
          <w:szCs w:val="20"/>
        </w:rPr>
        <w:t xml:space="preserve"> dando un total de 8,914.78 m</w:t>
      </w:r>
      <w:r>
        <w:rPr>
          <w:rFonts w:ascii="Cambria" w:hAnsi="Cambria" w:cs="Cambria"/>
          <w:sz w:val="20"/>
          <w:szCs w:val="20"/>
        </w:rPr>
        <w:t>²</w:t>
      </w:r>
      <w:r>
        <w:rPr>
          <w:rFonts w:ascii="Gotham" w:hAnsi="Gotham"/>
          <w:sz w:val="20"/>
          <w:szCs w:val="20"/>
        </w:rPr>
        <w:t>, con un uso de Servicios a la Industria y el Comercio (SI),</w:t>
      </w:r>
    </w:p>
    <w:p w14:paraId="3A473F82" w14:textId="77777777" w:rsidR="00016FE1" w:rsidRDefault="00016FE1" w:rsidP="002B6227">
      <w:pPr>
        <w:ind w:left="567" w:hanging="567"/>
        <w:jc w:val="both"/>
        <w:rPr>
          <w:rFonts w:ascii="Gotham" w:eastAsia="Gotham" w:hAnsi="Gotham"/>
          <w:color w:val="000000" w:themeColor="text1"/>
          <w:sz w:val="20"/>
          <w:szCs w:val="20"/>
        </w:rPr>
      </w:pPr>
    </w:p>
    <w:p w14:paraId="3A473F83"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2.-</w:t>
      </w:r>
      <w:r>
        <w:rPr>
          <w:rFonts w:ascii="Gotham" w:hAnsi="Gotham"/>
          <w:color w:val="000000" w:themeColor="text1"/>
          <w:sz w:val="20"/>
          <w:szCs w:val="20"/>
        </w:rPr>
        <w:tab/>
        <w:t>En consecuencia, mediante oficio SECRETARÍAGENERAL/802/2022, suscrito por la Mtra. Celia Isabel Gauna Ruíz de León en su carácter de Secretaria General y recibido en la Regiduría a mi cargo el 14 de Octubre del 2022, me fue turnado el acuerdo 371, esto en mi carácter de Regidora Presidenta de la Comisión Edilicia de Planeación para el Desarrollo Urbano, Rural y Habitación Popular.</w:t>
      </w:r>
    </w:p>
    <w:p w14:paraId="3A473F84" w14:textId="77777777" w:rsidR="00016FE1" w:rsidRDefault="00016FE1" w:rsidP="002B6227">
      <w:pPr>
        <w:ind w:left="567" w:hanging="567"/>
        <w:jc w:val="both"/>
        <w:rPr>
          <w:rFonts w:ascii="Gotham" w:hAnsi="Gotham"/>
          <w:color w:val="000000" w:themeColor="text1"/>
          <w:sz w:val="20"/>
          <w:szCs w:val="20"/>
        </w:rPr>
      </w:pPr>
    </w:p>
    <w:p w14:paraId="3A473F85"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3.-</w:t>
      </w:r>
      <w:r>
        <w:rPr>
          <w:rFonts w:ascii="Gotham" w:hAnsi="Gotham"/>
          <w:color w:val="000000" w:themeColor="text1"/>
          <w:sz w:val="20"/>
          <w:szCs w:val="20"/>
        </w:rPr>
        <w:tab/>
        <w:t>Que con fecha de 23 de noviembre del 2022, en Sesión de la Comisión Edilicia de Planeación para el Desarrollo Urbano, Rural y Habitación Popular, en el quinto punto referente a Información de Turnos recibidos se dio cuenta del acuerdo 371 de la Sesión Ordinaria de Ayuntamiento de fecha 29 de Septiembre</w:t>
      </w:r>
      <w:r w:rsidR="009F075D">
        <w:rPr>
          <w:rFonts w:ascii="Gotham" w:hAnsi="Gotham"/>
          <w:color w:val="000000" w:themeColor="text1"/>
          <w:sz w:val="20"/>
          <w:szCs w:val="20"/>
        </w:rPr>
        <w:t xml:space="preserve"> </w:t>
      </w:r>
      <w:r>
        <w:rPr>
          <w:rFonts w:ascii="Gotham" w:hAnsi="Gotham"/>
          <w:color w:val="000000" w:themeColor="text1"/>
          <w:sz w:val="20"/>
          <w:szCs w:val="20"/>
        </w:rPr>
        <w:t xml:space="preserve">del 2022, lo anterior para su estudio, análisis y dictamen. </w:t>
      </w:r>
    </w:p>
    <w:p w14:paraId="3A473F86" w14:textId="77777777" w:rsidR="00016FE1" w:rsidRDefault="00016FE1" w:rsidP="002B6227">
      <w:pPr>
        <w:jc w:val="both"/>
        <w:rPr>
          <w:rFonts w:ascii="Gotham" w:eastAsia="Gotham" w:hAnsi="Gotham"/>
          <w:color w:val="000000" w:themeColor="text1"/>
          <w:sz w:val="20"/>
          <w:szCs w:val="20"/>
        </w:rPr>
      </w:pPr>
    </w:p>
    <w:p w14:paraId="3A473F87"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En atención a lo ya señalado, los comisionados creemos procedente y necesario señalar la siguiente:</w:t>
      </w:r>
    </w:p>
    <w:p w14:paraId="3A473F88" w14:textId="77777777" w:rsidR="00016FE1" w:rsidRDefault="00016FE1" w:rsidP="002B6227">
      <w:pPr>
        <w:rPr>
          <w:rFonts w:ascii="Gotham" w:hAnsi="Gotham"/>
          <w:color w:val="000000" w:themeColor="text1"/>
          <w:sz w:val="20"/>
          <w:szCs w:val="20"/>
        </w:rPr>
      </w:pPr>
    </w:p>
    <w:p w14:paraId="3A473F89"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FUNDAMENTACION</w:t>
      </w:r>
    </w:p>
    <w:p w14:paraId="3A473F8A" w14:textId="77777777" w:rsidR="00016FE1" w:rsidRDefault="00016FE1" w:rsidP="002B6227">
      <w:pPr>
        <w:rPr>
          <w:rFonts w:ascii="Gotham" w:hAnsi="Gotham"/>
          <w:color w:val="000000" w:themeColor="text1"/>
          <w:sz w:val="20"/>
          <w:szCs w:val="20"/>
        </w:rPr>
      </w:pPr>
    </w:p>
    <w:p w14:paraId="3A473F8B"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 </w:t>
      </w:r>
      <w:r>
        <w:rPr>
          <w:rFonts w:ascii="Gotham" w:hAnsi="Gotham"/>
          <w:color w:val="000000" w:themeColor="text1"/>
          <w:sz w:val="20"/>
          <w:szCs w:val="20"/>
        </w:rPr>
        <w:tab/>
        <w:t>De conformidad con el artículo 115 de la Constitución Política de los Estados Unidos</w:t>
      </w:r>
      <w:r w:rsidR="009F075D">
        <w:rPr>
          <w:rFonts w:ascii="Gotham" w:hAnsi="Gotham"/>
          <w:color w:val="000000" w:themeColor="text1"/>
          <w:sz w:val="20"/>
          <w:szCs w:val="20"/>
        </w:rPr>
        <w:t xml:space="preserve"> </w:t>
      </w:r>
      <w:r>
        <w:rPr>
          <w:rFonts w:ascii="Gotham" w:hAnsi="Gotham"/>
          <w:color w:val="000000" w:themeColor="text1"/>
          <w:sz w:val="20"/>
          <w:szCs w:val="20"/>
        </w:rPr>
        <w:t>Mexicanos; el artículo 73 la Constitución Política del Estado de Jalisco; así como los artículos 2, 3, 37 fracción II, y 40 fracción II,</w:t>
      </w:r>
      <w:r w:rsidR="009F075D">
        <w:rPr>
          <w:rFonts w:ascii="Gotham" w:hAnsi="Gotham"/>
          <w:color w:val="000000" w:themeColor="text1"/>
          <w:sz w:val="20"/>
          <w:szCs w:val="20"/>
        </w:rPr>
        <w:t xml:space="preserve"> </w:t>
      </w:r>
      <w:r>
        <w:rPr>
          <w:rFonts w:ascii="Gotham" w:hAnsi="Gotham"/>
          <w:color w:val="000000" w:themeColor="text1"/>
          <w:sz w:val="20"/>
          <w:szCs w:val="20"/>
        </w:rPr>
        <w:t>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w:t>
      </w:r>
    </w:p>
    <w:p w14:paraId="3A473F8C" w14:textId="77777777" w:rsidR="00016FE1" w:rsidRDefault="00016FE1" w:rsidP="002B6227">
      <w:pPr>
        <w:ind w:left="567" w:hanging="567"/>
        <w:jc w:val="both"/>
        <w:rPr>
          <w:rFonts w:ascii="Gotham" w:hAnsi="Gotham"/>
          <w:color w:val="000000" w:themeColor="text1"/>
          <w:sz w:val="20"/>
          <w:szCs w:val="20"/>
        </w:rPr>
      </w:pPr>
    </w:p>
    <w:p w14:paraId="3A473F8D"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II. </w:t>
      </w:r>
      <w:r>
        <w:rPr>
          <w:rFonts w:ascii="Gotham" w:hAnsi="Gotham"/>
          <w:color w:val="000000" w:themeColor="text1"/>
          <w:sz w:val="20"/>
          <w:szCs w:val="20"/>
        </w:rPr>
        <w:tab/>
        <w:t>La Ley del Gobierno y la Administración Pública Municipal del Estado de Jalisco, señala que;</w:t>
      </w:r>
    </w:p>
    <w:p w14:paraId="3A473F8E"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 xml:space="preserve"> </w:t>
      </w:r>
    </w:p>
    <w:p w14:paraId="3A473F8F"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lastRenderedPageBreak/>
        <w:t xml:space="preserve">Artículo 3.- Cada Municipio es gobernado por un Ayuntamiento de elección popular directa. Las competencias municipales deben ser ejercidas de manera exclusiva por el Ayuntamiento y no habrá ninguna autoridad intermedia entre éste y el Gobierno del Estado </w:t>
      </w:r>
    </w:p>
    <w:p w14:paraId="3A473F90" w14:textId="77777777" w:rsidR="00016FE1" w:rsidRDefault="00016FE1" w:rsidP="002B6227">
      <w:pPr>
        <w:ind w:left="851" w:right="283"/>
        <w:jc w:val="both"/>
        <w:rPr>
          <w:rFonts w:ascii="Gotham" w:hAnsi="Gotham"/>
          <w:i/>
          <w:color w:val="000000" w:themeColor="text1"/>
          <w:sz w:val="19"/>
          <w:szCs w:val="19"/>
        </w:rPr>
      </w:pPr>
    </w:p>
    <w:p w14:paraId="3A473F91"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27. Los Ayuntamientos, para el estudio, vigilancia y atención de los diversos asuntos que les corresponda conocer, deben funcionar mediante comisiones. </w:t>
      </w:r>
    </w:p>
    <w:p w14:paraId="3A473F92"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Cada regidor debe estar integrado por lo menos a una Comisión.</w:t>
      </w:r>
    </w:p>
    <w:p w14:paraId="3A473F93"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La denominación de las comisiones, sus características, obligaciones y facultades, deben ser establecidas en los reglamentos que para tal efecto expida el Ayuntamiento.</w:t>
      </w:r>
    </w:p>
    <w:p w14:paraId="3A473F94"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Las comisiones pueden ser permanentes y transitorias, con desempeño unipersonal o colegiado, y bajo ninguna circunstancia pueden tener facultades ejecutivas.</w:t>
      </w:r>
    </w:p>
    <w:p w14:paraId="3A473F95" w14:textId="77777777" w:rsidR="00016FE1" w:rsidRDefault="00016FE1" w:rsidP="002B6227">
      <w:pPr>
        <w:ind w:left="851" w:right="283"/>
        <w:jc w:val="both"/>
        <w:rPr>
          <w:rFonts w:ascii="Gotham" w:hAnsi="Gotham"/>
          <w:i/>
          <w:color w:val="000000" w:themeColor="text1"/>
          <w:sz w:val="19"/>
          <w:szCs w:val="19"/>
        </w:rPr>
      </w:pPr>
    </w:p>
    <w:p w14:paraId="3A473F96"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 49. Son obligaciones de los Regidores:</w:t>
      </w:r>
    </w:p>
    <w:p w14:paraId="3A473F97"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 xml:space="preserve">Asistir puntualmente a las sesiones del Ayuntamiento y dar cuenta en las mismas de los asuntos que correspondan a sus comisiones; </w:t>
      </w:r>
    </w:p>
    <w:p w14:paraId="3A473F98" w14:textId="77777777" w:rsidR="00016FE1" w:rsidRDefault="00016FE1" w:rsidP="002B6227">
      <w:pPr>
        <w:ind w:left="851" w:right="283"/>
        <w:jc w:val="both"/>
        <w:rPr>
          <w:rFonts w:ascii="Gotham" w:hAnsi="Gotham"/>
          <w:i/>
          <w:color w:val="000000" w:themeColor="text1"/>
          <w:sz w:val="19"/>
          <w:szCs w:val="19"/>
        </w:rPr>
      </w:pPr>
    </w:p>
    <w:p w14:paraId="3A473F99"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50. Son facultades de los regidores: </w:t>
      </w:r>
    </w:p>
    <w:p w14:paraId="3A473F9A"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Presentar iniciativas de ordenamientos municipales, en los términos de la presente ley; </w:t>
      </w:r>
    </w:p>
    <w:p w14:paraId="3A473F9B"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Proponer al Ayuntamiento las resoluciones y políticas que deban adoptarse para el mantenimiento de los servicios municipales cuya vigilancia les haya sido encomendada, y dar su opinión al Presidente Municipal acerca de los asuntos que correspondan a sus comisiones;</w:t>
      </w:r>
    </w:p>
    <w:p w14:paraId="3A473F9C" w14:textId="77777777" w:rsidR="00016FE1" w:rsidRDefault="00016FE1" w:rsidP="002B6227">
      <w:pPr>
        <w:jc w:val="both"/>
        <w:rPr>
          <w:rFonts w:ascii="Gotham" w:hAnsi="Gotham"/>
          <w:color w:val="000000" w:themeColor="text1"/>
          <w:sz w:val="20"/>
          <w:szCs w:val="20"/>
        </w:rPr>
      </w:pPr>
    </w:p>
    <w:p w14:paraId="3A473F9D"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III.  </w:t>
      </w:r>
      <w:r>
        <w:rPr>
          <w:rFonts w:ascii="Gotham" w:hAnsi="Gotham"/>
          <w:color w:val="000000" w:themeColor="text1"/>
          <w:sz w:val="20"/>
          <w:szCs w:val="20"/>
        </w:rPr>
        <w:tab/>
        <w:t>El Reglamento del Gobierno y la Administración Pública del Ayuntamiento Constitucional de Tonalá, Jalisco, establece lo siguiente;</w:t>
      </w:r>
    </w:p>
    <w:p w14:paraId="3A473F9E" w14:textId="77777777" w:rsidR="00016FE1" w:rsidRDefault="00016FE1" w:rsidP="002B6227">
      <w:pPr>
        <w:jc w:val="both"/>
        <w:rPr>
          <w:rFonts w:ascii="Gotham" w:hAnsi="Gotham"/>
          <w:color w:val="000000" w:themeColor="text1"/>
          <w:sz w:val="20"/>
          <w:szCs w:val="20"/>
        </w:rPr>
      </w:pPr>
    </w:p>
    <w:p w14:paraId="3A473F9F"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Artículo 53.- Además de lo establecido en la legislación y normatividad aplicable, son facultades y obligaciones del Ayuntamiento, las siguientes:</w:t>
      </w:r>
    </w:p>
    <w:p w14:paraId="3A473FA0"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XI. </w:t>
      </w:r>
      <w:r>
        <w:rPr>
          <w:rFonts w:ascii="Gotham" w:hAnsi="Gotham"/>
          <w:i/>
          <w:color w:val="000000" w:themeColor="text1"/>
          <w:sz w:val="19"/>
          <w:szCs w:val="19"/>
        </w:rPr>
        <w:tab/>
        <w:t>Planear, construir y supervisar los cementerios, centros deportivos y centros culturales que sean necesarios, así como cuidar y conservar los existentes de acuerdo a su capacidad presupuestaria…</w:t>
      </w:r>
    </w:p>
    <w:p w14:paraId="3A473FA1" w14:textId="77777777" w:rsidR="00016FE1" w:rsidRDefault="00016FE1" w:rsidP="002B6227">
      <w:pPr>
        <w:ind w:left="851" w:right="283"/>
        <w:jc w:val="both"/>
        <w:rPr>
          <w:rFonts w:ascii="Gotham" w:hAnsi="Gotham"/>
          <w:i/>
          <w:color w:val="000000" w:themeColor="text1"/>
          <w:sz w:val="19"/>
          <w:szCs w:val="19"/>
        </w:rPr>
      </w:pPr>
    </w:p>
    <w:p w14:paraId="3A473FA2"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 56.- Tienen facultad para presentar iniciativas de ordenamientos municipales:</w:t>
      </w:r>
    </w:p>
    <w:p w14:paraId="3A473FA3" w14:textId="77777777" w:rsidR="00016FE1" w:rsidRDefault="00016FE1" w:rsidP="002B6227">
      <w:pPr>
        <w:spacing w:after="8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 </w:t>
      </w:r>
      <w:r>
        <w:rPr>
          <w:rFonts w:ascii="Gotham" w:hAnsi="Gotham"/>
          <w:i/>
          <w:color w:val="000000" w:themeColor="text1"/>
          <w:sz w:val="19"/>
          <w:szCs w:val="19"/>
        </w:rPr>
        <w:tab/>
        <w:t>El Presidente Municipal;</w:t>
      </w:r>
    </w:p>
    <w:p w14:paraId="3A473FA4" w14:textId="77777777" w:rsidR="00016FE1" w:rsidRDefault="00016FE1" w:rsidP="002B6227">
      <w:pPr>
        <w:spacing w:after="8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II. </w:t>
      </w:r>
      <w:r>
        <w:rPr>
          <w:rFonts w:ascii="Gotham" w:hAnsi="Gotham"/>
          <w:i/>
          <w:color w:val="000000" w:themeColor="text1"/>
          <w:sz w:val="19"/>
          <w:szCs w:val="19"/>
        </w:rPr>
        <w:tab/>
        <w:t>Los Regidores;</w:t>
      </w:r>
    </w:p>
    <w:p w14:paraId="3A473FA5" w14:textId="77777777" w:rsidR="00016FE1" w:rsidRDefault="00016FE1" w:rsidP="002B6227">
      <w:pPr>
        <w:spacing w:after="8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III. </w:t>
      </w:r>
      <w:r>
        <w:rPr>
          <w:rFonts w:ascii="Gotham" w:hAnsi="Gotham"/>
          <w:i/>
          <w:color w:val="000000" w:themeColor="text1"/>
          <w:sz w:val="19"/>
          <w:szCs w:val="19"/>
        </w:rPr>
        <w:tab/>
        <w:t>El Síndico Municipal;</w:t>
      </w:r>
    </w:p>
    <w:p w14:paraId="3A473FA6" w14:textId="77777777" w:rsidR="00016FE1" w:rsidRDefault="00016FE1" w:rsidP="002B6227">
      <w:pPr>
        <w:spacing w:after="8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IV. </w:t>
      </w:r>
      <w:r>
        <w:rPr>
          <w:rFonts w:ascii="Gotham" w:hAnsi="Gotham"/>
          <w:i/>
          <w:color w:val="000000" w:themeColor="text1"/>
          <w:sz w:val="19"/>
          <w:szCs w:val="19"/>
        </w:rPr>
        <w:tab/>
        <w:t>Las Comisiones del Ayuntamiento; y</w:t>
      </w:r>
    </w:p>
    <w:p w14:paraId="3A473FA7"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V. </w:t>
      </w:r>
      <w:r>
        <w:rPr>
          <w:rFonts w:ascii="Gotham" w:hAnsi="Gotham"/>
          <w:i/>
          <w:color w:val="000000" w:themeColor="text1"/>
          <w:sz w:val="19"/>
          <w:szCs w:val="19"/>
        </w:rPr>
        <w:tab/>
        <w:t>Los demás que establezca la legislación y normatividad aplicable.</w:t>
      </w:r>
    </w:p>
    <w:p w14:paraId="3A473FA8" w14:textId="77777777" w:rsidR="00016FE1" w:rsidRDefault="00016FE1" w:rsidP="002B6227">
      <w:pPr>
        <w:ind w:left="851" w:right="283"/>
        <w:jc w:val="both"/>
        <w:rPr>
          <w:rFonts w:ascii="Gotham" w:hAnsi="Gotham"/>
          <w:i/>
          <w:color w:val="000000" w:themeColor="text1"/>
          <w:sz w:val="19"/>
          <w:szCs w:val="19"/>
        </w:rPr>
      </w:pPr>
    </w:p>
    <w:p w14:paraId="3A473FA9"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71.- 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 </w:t>
      </w:r>
    </w:p>
    <w:p w14:paraId="3A473FAA"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En su primera sesión del ayuntamiento a propuesta del Presidente Municipal se designa de entre sus miembros a quienes deban integrar las comisiones edilicias permanentes de conformidad a lo establecido en el presente reglamento. En la integración de las Comisiones se buscará que el número que presida cada uno de los integrantes de las fracciones partidistas o fracciones </w:t>
      </w:r>
      <w:r>
        <w:rPr>
          <w:rFonts w:ascii="Gotham" w:hAnsi="Gotham"/>
          <w:i/>
          <w:color w:val="000000" w:themeColor="text1"/>
          <w:sz w:val="19"/>
          <w:szCs w:val="19"/>
        </w:rPr>
        <w:lastRenderedPageBreak/>
        <w:t>independientes de regidores corresponda al porcentaje de representación que ostentan en el Ayuntamiento.</w:t>
      </w:r>
    </w:p>
    <w:p w14:paraId="3A473FAB"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Las Comisiones establecidas pueden ser modificadas en su número y composición, en cualquier momento por acuerdo de la mayoría de los miembros del Ayuntamiento, sin contravenir lo establecido en el párrafo anterior. </w:t>
      </w:r>
    </w:p>
    <w:p w14:paraId="3A473FAC"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 xml:space="preserve">El Presidente Municipal tiene en todo tiempo la facultad de solicitar a las Comisiones la realización de algunas tareas específicas en beneficio del municipio. Dicha solicitud debe hacerla por escrito, el cual les será otorgado a través del Secretario General del Ayuntamiento. </w:t>
      </w:r>
    </w:p>
    <w:p w14:paraId="3A473FAD" w14:textId="77777777" w:rsidR="00016FE1" w:rsidRDefault="00016FE1" w:rsidP="002B6227">
      <w:pPr>
        <w:ind w:left="851" w:right="283"/>
        <w:jc w:val="both"/>
        <w:rPr>
          <w:rFonts w:ascii="Gotham" w:hAnsi="Gotham"/>
          <w:i/>
          <w:color w:val="000000" w:themeColor="text1"/>
          <w:sz w:val="19"/>
          <w:szCs w:val="19"/>
        </w:rPr>
      </w:pPr>
    </w:p>
    <w:p w14:paraId="3A473FAE"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w:t>
      </w:r>
      <w:r w:rsidR="0041199B">
        <w:rPr>
          <w:rFonts w:ascii="Gotham" w:hAnsi="Gotham"/>
          <w:i/>
          <w:color w:val="000000" w:themeColor="text1"/>
          <w:sz w:val="19"/>
          <w:szCs w:val="19"/>
        </w:rPr>
        <w:t xml:space="preserve"> </w:t>
      </w:r>
      <w:r>
        <w:rPr>
          <w:rFonts w:ascii="Gotham" w:hAnsi="Gotham"/>
          <w:i/>
          <w:color w:val="000000" w:themeColor="text1"/>
          <w:sz w:val="19"/>
          <w:szCs w:val="19"/>
        </w:rPr>
        <w:t xml:space="preserve">93.- Las comisiones edilicias tienen las siguientes atribuciones: </w:t>
      </w:r>
    </w:p>
    <w:p w14:paraId="3A473FAF" w14:textId="77777777" w:rsidR="00016FE1" w:rsidRDefault="00016FE1" w:rsidP="002B6227">
      <w:pPr>
        <w:spacing w:after="12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 </w:t>
      </w:r>
      <w:r>
        <w:rPr>
          <w:rFonts w:ascii="Gotham" w:hAnsi="Gotham"/>
          <w:i/>
          <w:color w:val="000000" w:themeColor="text1"/>
          <w:sz w:val="19"/>
          <w:szCs w:val="19"/>
        </w:rPr>
        <w:tab/>
        <w:t xml:space="preserve">Recibir, estudiar, analizar, discutir y dictaminar los asuntos turnados por el ayuntamiento; </w:t>
      </w:r>
    </w:p>
    <w:p w14:paraId="3A473FB0"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II. </w:t>
      </w:r>
      <w:r>
        <w:rPr>
          <w:rFonts w:ascii="Gotham" w:hAnsi="Gotham"/>
          <w:i/>
          <w:color w:val="000000" w:themeColor="text1"/>
          <w:sz w:val="19"/>
          <w:szCs w:val="19"/>
        </w:rPr>
        <w:tab/>
        <w:t>Presentar al ayuntamiento los dictámenes e informes, resultados de sus trabajos e investigaciones y demás documentos relativos a los asuntos que les son turnados;...</w:t>
      </w:r>
    </w:p>
    <w:p w14:paraId="3A473FB1" w14:textId="77777777" w:rsidR="00016FE1" w:rsidRDefault="00016FE1" w:rsidP="002B6227">
      <w:pPr>
        <w:ind w:left="851" w:right="283"/>
        <w:jc w:val="both"/>
        <w:rPr>
          <w:rFonts w:ascii="Gotham" w:hAnsi="Gotham"/>
          <w:i/>
          <w:color w:val="000000" w:themeColor="text1"/>
          <w:sz w:val="19"/>
          <w:szCs w:val="19"/>
        </w:rPr>
      </w:pPr>
    </w:p>
    <w:p w14:paraId="3A473FB2"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 106.- Son atribuciones de la Comisión Edilicia de Planeación para el Desarrollo Urbano, Rural y Habitación Popular:</w:t>
      </w:r>
    </w:p>
    <w:p w14:paraId="3A473FB3"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VI. </w:t>
      </w:r>
      <w:r>
        <w:rPr>
          <w:rFonts w:ascii="Gotham" w:hAnsi="Gotham"/>
          <w:i/>
          <w:color w:val="000000" w:themeColor="text1"/>
          <w:sz w:val="19"/>
          <w:szCs w:val="19"/>
        </w:rPr>
        <w:tab/>
        <w:t>Proponer, analizar, estudiar y dictaminar las iniciativas tendientes a rescatar, mejorar, desarrollar o renovar la situación del centro histórico, ocupándose, de manera enunciativa y no limitativa del rescate de los siguientes rubros: plazas públicas, monumentos, calles, mobiliario urbano, parques, jardines y fuentes, así como de los barrios tradicionales de nuestra ciudad;</w:t>
      </w:r>
    </w:p>
    <w:p w14:paraId="3A473FB4" w14:textId="77777777" w:rsidR="00016FE1" w:rsidRDefault="00016FE1" w:rsidP="002B6227">
      <w:pPr>
        <w:jc w:val="both"/>
        <w:rPr>
          <w:rFonts w:ascii="Gotham" w:hAnsi="Gotham"/>
          <w:color w:val="000000" w:themeColor="text1"/>
          <w:sz w:val="20"/>
          <w:szCs w:val="20"/>
        </w:rPr>
      </w:pPr>
    </w:p>
    <w:p w14:paraId="3A473FB5"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IV.- </w:t>
      </w:r>
      <w:r>
        <w:rPr>
          <w:rFonts w:ascii="Gotham" w:hAnsi="Gotham"/>
          <w:color w:val="000000" w:themeColor="text1"/>
          <w:sz w:val="20"/>
          <w:szCs w:val="20"/>
        </w:rPr>
        <w:tab/>
        <w:t xml:space="preserve">Así mismo el REGLAMENTO PARA EL FUNCIONAMIENTO INTERNO DE SESIONES DEL AYUNTAMIENTO CONSTITUCIONAL DE TONALÁ, JALISCO, establece lo siguiente; </w:t>
      </w:r>
    </w:p>
    <w:p w14:paraId="3A473FB6" w14:textId="77777777" w:rsidR="00016FE1" w:rsidRDefault="00016FE1" w:rsidP="002B6227">
      <w:pPr>
        <w:jc w:val="both"/>
        <w:rPr>
          <w:rFonts w:ascii="Gotham" w:hAnsi="Gotham"/>
          <w:color w:val="000000" w:themeColor="text1"/>
          <w:sz w:val="20"/>
          <w:szCs w:val="20"/>
        </w:rPr>
      </w:pPr>
    </w:p>
    <w:p w14:paraId="3A473FB7"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Artículo 1. El presente reglamento tiene su fundamento en el artículo 115 de la Constitución Política de los Estados Unidos Mexicanos; 77, fracción II, de la Constitución Política del Estado de Jalisco; 29, 37, fracción II; 40, fracción II; 41, 42, 44, 50 de la Ley del Gobierno y la Administración Pública Municipal del Estado de Jalisco; 76, 49, fracción II, y 51, fracción II, del Reglamento del Gobierno y la Administración Pública del Ayuntamiento Constitucional de Tonalá, Jalisco.</w:t>
      </w:r>
    </w:p>
    <w:p w14:paraId="3A473FB8" w14:textId="77777777" w:rsidR="00016FE1" w:rsidRDefault="00016FE1" w:rsidP="002B6227">
      <w:pPr>
        <w:ind w:left="851" w:right="283"/>
        <w:jc w:val="both"/>
        <w:rPr>
          <w:rFonts w:ascii="Gotham" w:hAnsi="Gotham"/>
          <w:i/>
          <w:color w:val="000000" w:themeColor="text1"/>
          <w:sz w:val="19"/>
          <w:szCs w:val="19"/>
        </w:rPr>
      </w:pPr>
    </w:p>
    <w:p w14:paraId="3A473FB9"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 10. En las sesiones de Ayuntamiento, corresponde de forma general a sus integrantes el cumplimiento de los siguientes puntos:</w:t>
      </w:r>
    </w:p>
    <w:p w14:paraId="3A473FBA"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V. </w:t>
      </w:r>
      <w:r>
        <w:rPr>
          <w:rFonts w:ascii="Gotham" w:hAnsi="Gotham"/>
          <w:i/>
          <w:color w:val="000000" w:themeColor="text1"/>
          <w:sz w:val="19"/>
          <w:szCs w:val="19"/>
        </w:rPr>
        <w:tab/>
        <w:t>Presentar los dictámenes de las comisiones que presidan, así como iniciativas, en los términos de la Ley y de la reglamentación municipal;…</w:t>
      </w:r>
    </w:p>
    <w:p w14:paraId="3A473FBB" w14:textId="77777777" w:rsidR="00016FE1" w:rsidRDefault="00016FE1" w:rsidP="002B6227">
      <w:pPr>
        <w:ind w:left="851" w:right="283"/>
        <w:jc w:val="both"/>
        <w:rPr>
          <w:rFonts w:ascii="Gotham" w:hAnsi="Gotham"/>
          <w:i/>
          <w:color w:val="000000" w:themeColor="text1"/>
          <w:sz w:val="19"/>
          <w:szCs w:val="19"/>
        </w:rPr>
      </w:pPr>
    </w:p>
    <w:p w14:paraId="3A473FBC"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Artículo 42. El Ayuntamiento, para el estudio, vigilancia y atención de los diversos asuntos que le corresponde conocer, funcionará mediante Comisiones.</w:t>
      </w:r>
    </w:p>
    <w:p w14:paraId="3A473FBD" w14:textId="77777777" w:rsidR="00016FE1" w:rsidRDefault="00016FE1" w:rsidP="002B6227">
      <w:pPr>
        <w:ind w:left="851" w:right="283"/>
        <w:jc w:val="both"/>
        <w:rPr>
          <w:rFonts w:ascii="Gotham" w:hAnsi="Gotham"/>
          <w:i/>
          <w:color w:val="000000" w:themeColor="text1"/>
          <w:sz w:val="19"/>
          <w:szCs w:val="19"/>
        </w:rPr>
      </w:pPr>
    </w:p>
    <w:p w14:paraId="3A473FBE"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43. La Comisión es el órgano colegiado del Ayuntamiento encargado de conocer, vigilar, analizar y dictaminar todos aquellos asuntos de interés general y de carácter público y el trámite de los asuntos que le sean turnados de acuerdo a su competencia. </w:t>
      </w:r>
    </w:p>
    <w:p w14:paraId="3A473FBF" w14:textId="77777777" w:rsidR="00016FE1" w:rsidRDefault="00016FE1" w:rsidP="002B6227">
      <w:pPr>
        <w:ind w:left="851" w:right="283"/>
        <w:jc w:val="both"/>
        <w:rPr>
          <w:rFonts w:ascii="Gotham" w:hAnsi="Gotham"/>
          <w:i/>
          <w:color w:val="000000" w:themeColor="text1"/>
          <w:sz w:val="19"/>
          <w:szCs w:val="19"/>
        </w:rPr>
      </w:pPr>
    </w:p>
    <w:p w14:paraId="3A473FC0"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Artículo 44. En la primera sesión de Ayuntamiento se deberá aprobar la integración de las Comisiones Permanentes, las cuales se integran a propuesta del Presidente. Lo mismo se observará en el caso de Comisiones Transitorias que por su trascendencia debieran continuar con los trabajos que motivaron su creación.</w:t>
      </w:r>
    </w:p>
    <w:p w14:paraId="3A473FC1" w14:textId="77777777" w:rsidR="00016FE1" w:rsidRDefault="00016FE1" w:rsidP="002B6227">
      <w:pPr>
        <w:jc w:val="both"/>
        <w:rPr>
          <w:rFonts w:ascii="Gotham" w:hAnsi="Gotham"/>
          <w:color w:val="000000" w:themeColor="text1"/>
          <w:sz w:val="20"/>
          <w:szCs w:val="20"/>
        </w:rPr>
      </w:pPr>
    </w:p>
    <w:p w14:paraId="3A473FC2"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lastRenderedPageBreak/>
        <w:t>En atención a los antecedentes y fundamentos, los comisionados creemos procedente y necesario señalar la siguiente;</w:t>
      </w:r>
    </w:p>
    <w:p w14:paraId="3A473FC3" w14:textId="77777777" w:rsidR="00016FE1" w:rsidRDefault="00016FE1" w:rsidP="002B6227">
      <w:pPr>
        <w:rPr>
          <w:rFonts w:ascii="Gotham" w:hAnsi="Gotham"/>
          <w:color w:val="000000" w:themeColor="text1"/>
          <w:sz w:val="20"/>
          <w:szCs w:val="20"/>
        </w:rPr>
      </w:pPr>
    </w:p>
    <w:p w14:paraId="3A473FC4"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EXPOSICIÓN DE MOTIVOS:</w:t>
      </w:r>
    </w:p>
    <w:p w14:paraId="3A473FC5" w14:textId="77777777" w:rsidR="00016FE1" w:rsidRDefault="00016FE1" w:rsidP="002B6227">
      <w:pPr>
        <w:rPr>
          <w:rFonts w:ascii="Gotham" w:hAnsi="Gotham"/>
          <w:color w:val="000000" w:themeColor="text1"/>
          <w:sz w:val="20"/>
          <w:szCs w:val="20"/>
        </w:rPr>
      </w:pPr>
    </w:p>
    <w:p w14:paraId="3A473FC6" w14:textId="77777777" w:rsidR="00016FE1" w:rsidRDefault="00016FE1" w:rsidP="00865062">
      <w:pPr>
        <w:pStyle w:val="Prrafodelista"/>
        <w:numPr>
          <w:ilvl w:val="0"/>
          <w:numId w:val="163"/>
        </w:numPr>
        <w:ind w:left="567" w:hanging="567"/>
        <w:contextualSpacing w:val="0"/>
        <w:jc w:val="both"/>
        <w:rPr>
          <w:rFonts w:ascii="Gotham" w:eastAsia="Calibri" w:hAnsi="Gotham"/>
          <w:bCs/>
          <w:i/>
          <w:iCs/>
          <w:color w:val="000000" w:themeColor="text1"/>
          <w:sz w:val="20"/>
          <w:szCs w:val="20"/>
        </w:rPr>
      </w:pPr>
      <w:r>
        <w:rPr>
          <w:rFonts w:ascii="Gotham" w:hAnsi="Gotham"/>
          <w:bCs/>
          <w:color w:val="000000" w:themeColor="text1"/>
          <w:sz w:val="20"/>
          <w:szCs w:val="20"/>
        </w:rPr>
        <w:t>El Presidente Municipal, Sergio Armando Chávez Dávalos expuso en la iniciativa de origen, lo siguiente:</w:t>
      </w:r>
      <w:r>
        <w:rPr>
          <w:rFonts w:ascii="Gotham" w:hAnsi="Gotham"/>
          <w:bCs/>
          <w:color w:val="000000" w:themeColor="text1"/>
          <w:spacing w:val="20"/>
          <w:sz w:val="20"/>
          <w:szCs w:val="20"/>
        </w:rPr>
        <w:t xml:space="preserve"> </w:t>
      </w:r>
      <w:r>
        <w:rPr>
          <w:rFonts w:ascii="Gotham" w:hAnsi="Gotham"/>
          <w:i/>
          <w:iCs/>
          <w:sz w:val="20"/>
          <w:szCs w:val="20"/>
        </w:rPr>
        <w:t>La empresa Comercializadora de Embutidos ICO, S.A. de C.V., quien actualmente opera los giros de “empacadora de carnes”, “almacén y venta de carnes frías”, actividades que ha venido desarrollando desde hace más de 20 año, acude ante esta autoridad municipal a solicitar se le reconozcan los derechos adquiridos que ha generado a través de los años llevando a cabo la actividad lícita y continua en virtud de los presentes</w:t>
      </w:r>
    </w:p>
    <w:p w14:paraId="3A473FC7" w14:textId="77777777" w:rsidR="00016FE1" w:rsidRDefault="00016FE1" w:rsidP="002B6227">
      <w:pPr>
        <w:pStyle w:val="Prrafodelista"/>
        <w:ind w:left="567" w:hanging="567"/>
        <w:contextualSpacing w:val="0"/>
        <w:jc w:val="both"/>
        <w:rPr>
          <w:rFonts w:ascii="Gotham" w:hAnsi="Gotham"/>
          <w:bCs/>
          <w:i/>
          <w:iCs/>
          <w:color w:val="000000" w:themeColor="text1"/>
          <w:sz w:val="20"/>
          <w:szCs w:val="20"/>
        </w:rPr>
      </w:pPr>
    </w:p>
    <w:p w14:paraId="3A473FC8" w14:textId="77777777" w:rsidR="00016FE1" w:rsidRDefault="00016FE1" w:rsidP="00865062">
      <w:pPr>
        <w:pStyle w:val="Prrafodelista"/>
        <w:numPr>
          <w:ilvl w:val="0"/>
          <w:numId w:val="163"/>
        </w:numPr>
        <w:ind w:left="567" w:hanging="567"/>
        <w:contextualSpacing w:val="0"/>
        <w:jc w:val="both"/>
        <w:rPr>
          <w:rFonts w:ascii="Gotham" w:hAnsi="Gotham"/>
          <w:bCs/>
          <w:i/>
          <w:iCs/>
          <w:color w:val="000000" w:themeColor="text1"/>
          <w:sz w:val="20"/>
          <w:szCs w:val="20"/>
        </w:rPr>
      </w:pPr>
      <w:r>
        <w:rPr>
          <w:rFonts w:ascii="Gotham" w:hAnsi="Gotham"/>
          <w:i/>
          <w:iCs/>
          <w:sz w:val="20"/>
          <w:szCs w:val="20"/>
        </w:rPr>
        <w:t>En el año de 2001, la sociedad mercantil Comercializadora de Embutidos ICO, S.A. de C.V., solicitó opinión técnica como uso permitido para el giro elaboración de carnes frías y embutidos para el inmueble ubicado en calle Aldama número 194, de la colonia Loma Bonita, en nuestro municipio. Con una superficie de 2,529.00 metros cuadrados.</w:t>
      </w:r>
    </w:p>
    <w:p w14:paraId="3A473FC9" w14:textId="77777777" w:rsidR="00016FE1" w:rsidRDefault="00016FE1" w:rsidP="002B6227">
      <w:pPr>
        <w:ind w:left="567" w:hanging="567"/>
        <w:jc w:val="both"/>
        <w:rPr>
          <w:rFonts w:ascii="Gotham" w:hAnsi="Gotham"/>
          <w:bCs/>
          <w:i/>
          <w:iCs/>
          <w:color w:val="000000" w:themeColor="text1"/>
          <w:sz w:val="20"/>
          <w:szCs w:val="20"/>
        </w:rPr>
      </w:pPr>
    </w:p>
    <w:p w14:paraId="3A473FCA" w14:textId="77777777" w:rsidR="00016FE1" w:rsidRDefault="00016FE1" w:rsidP="00865062">
      <w:pPr>
        <w:pStyle w:val="Prrafodelista"/>
        <w:numPr>
          <w:ilvl w:val="0"/>
          <w:numId w:val="163"/>
        </w:numPr>
        <w:ind w:left="567" w:hanging="567"/>
        <w:contextualSpacing w:val="0"/>
        <w:jc w:val="both"/>
        <w:rPr>
          <w:rFonts w:ascii="Gotham" w:hAnsi="Gotham"/>
          <w:bCs/>
          <w:i/>
          <w:iCs/>
          <w:color w:val="000000" w:themeColor="text1"/>
          <w:sz w:val="20"/>
          <w:szCs w:val="20"/>
        </w:rPr>
      </w:pPr>
      <w:r>
        <w:rPr>
          <w:rFonts w:ascii="Gotham" w:hAnsi="Gotham"/>
          <w:i/>
          <w:iCs/>
          <w:sz w:val="20"/>
          <w:szCs w:val="20"/>
        </w:rPr>
        <w:t>Posteriormente, en el año de 2010 solicitó y obtuvo el uso de suelo del predio ubicado en la calle Aldama número 183, esquina con Loma Perdida de la colonia Loma Bonita en nuestro municipio, con una superficie de 1,503.00 metros cuadrados, localizado en el Distrito Urbano TON-03 “Zalatitán”, para el uso Servicio Distrital (SD); en virtud de tratarse de una situación de hecho.</w:t>
      </w:r>
    </w:p>
    <w:p w14:paraId="3A473FCB" w14:textId="77777777" w:rsidR="00016FE1" w:rsidRDefault="00016FE1" w:rsidP="002B6227">
      <w:pPr>
        <w:pStyle w:val="Prrafodelista"/>
        <w:ind w:left="567" w:hanging="567"/>
        <w:contextualSpacing w:val="0"/>
        <w:jc w:val="both"/>
        <w:rPr>
          <w:rFonts w:ascii="Gotham" w:hAnsi="Gotham"/>
          <w:bCs/>
          <w:i/>
          <w:iCs/>
          <w:color w:val="000000" w:themeColor="text1"/>
          <w:sz w:val="20"/>
          <w:szCs w:val="20"/>
        </w:rPr>
      </w:pPr>
    </w:p>
    <w:p w14:paraId="3A473FCC" w14:textId="77777777" w:rsidR="00016FE1" w:rsidRDefault="00016FE1" w:rsidP="00865062">
      <w:pPr>
        <w:pStyle w:val="Prrafodelista"/>
        <w:numPr>
          <w:ilvl w:val="0"/>
          <w:numId w:val="163"/>
        </w:numPr>
        <w:ind w:left="567" w:hanging="567"/>
        <w:contextualSpacing w:val="0"/>
        <w:jc w:val="both"/>
        <w:rPr>
          <w:rFonts w:ascii="Gotham" w:hAnsi="Gotham"/>
          <w:bCs/>
          <w:i/>
          <w:iCs/>
          <w:color w:val="000000" w:themeColor="text1"/>
          <w:sz w:val="20"/>
          <w:szCs w:val="20"/>
        </w:rPr>
      </w:pPr>
      <w:r>
        <w:rPr>
          <w:rFonts w:ascii="Gotham" w:hAnsi="Gotham"/>
          <w:i/>
          <w:iCs/>
          <w:sz w:val="20"/>
          <w:szCs w:val="20"/>
        </w:rPr>
        <w:t>En consecuencia, ante el propio encuadramiento en los supuestos de hecho y de derecho, obtiene la licencia de funcionamiento para el giro de empacadora de carnes frías y embutidos para la planta ubicada en calle Aldama, misma que refrendan año con año, asimismo, tramita y obtiene la licencia de funcionamiento para el giro de almacén y venta de carnes frías en la finca 183 de la calle Aldama de la colonia Loma Bonita, que igualmente refrendan año con año.</w:t>
      </w:r>
    </w:p>
    <w:p w14:paraId="3A473FCD" w14:textId="77777777" w:rsidR="00016FE1" w:rsidRDefault="00016FE1" w:rsidP="002B6227">
      <w:pPr>
        <w:ind w:left="567" w:hanging="567"/>
        <w:jc w:val="both"/>
        <w:rPr>
          <w:rFonts w:ascii="Gotham" w:hAnsi="Gotham"/>
          <w:bCs/>
          <w:i/>
          <w:iCs/>
          <w:color w:val="000000" w:themeColor="text1"/>
          <w:sz w:val="20"/>
          <w:szCs w:val="20"/>
        </w:rPr>
      </w:pPr>
    </w:p>
    <w:p w14:paraId="3A473FCE" w14:textId="77777777" w:rsidR="00016FE1" w:rsidRDefault="00016FE1" w:rsidP="00865062">
      <w:pPr>
        <w:pStyle w:val="Prrafodelista"/>
        <w:numPr>
          <w:ilvl w:val="0"/>
          <w:numId w:val="163"/>
        </w:numPr>
        <w:ind w:left="567" w:hanging="567"/>
        <w:contextualSpacing w:val="0"/>
        <w:jc w:val="both"/>
        <w:rPr>
          <w:rFonts w:ascii="Gotham" w:hAnsi="Gotham"/>
          <w:bCs/>
          <w:i/>
          <w:iCs/>
          <w:color w:val="000000" w:themeColor="text1"/>
          <w:sz w:val="20"/>
          <w:szCs w:val="20"/>
        </w:rPr>
      </w:pPr>
      <w:r>
        <w:rPr>
          <w:rFonts w:ascii="Gotham" w:hAnsi="Gotham"/>
          <w:i/>
          <w:iCs/>
          <w:sz w:val="20"/>
          <w:szCs w:val="20"/>
        </w:rPr>
        <w:t>Adicionalmente, por conducto de los trámites realizados ante las autoridades competentes del municipio, dan cuenta de la adquisición de 17 lotes aledaños a calle Aldama 194, con una superficie de 5,3510.99 m</w:t>
      </w:r>
      <w:r>
        <w:rPr>
          <w:rFonts w:ascii="Cambria" w:hAnsi="Cambria" w:cs="Cambria"/>
          <w:i/>
          <w:iCs/>
          <w:sz w:val="20"/>
          <w:szCs w:val="20"/>
        </w:rPr>
        <w:t>²</w:t>
      </w:r>
      <w:r>
        <w:rPr>
          <w:rFonts w:ascii="Gotham" w:hAnsi="Gotham"/>
          <w:i/>
          <w:iCs/>
          <w:sz w:val="20"/>
          <w:szCs w:val="20"/>
        </w:rPr>
        <w:t>; as</w:t>
      </w:r>
      <w:r>
        <w:rPr>
          <w:rFonts w:ascii="Gotham" w:hAnsi="Gotham" w:cs="Gotham"/>
          <w:i/>
          <w:iCs/>
          <w:sz w:val="20"/>
          <w:szCs w:val="20"/>
        </w:rPr>
        <w:t>í</w:t>
      </w:r>
      <w:r>
        <w:rPr>
          <w:rFonts w:ascii="Gotham" w:hAnsi="Gotham"/>
          <w:i/>
          <w:iCs/>
          <w:sz w:val="20"/>
          <w:szCs w:val="20"/>
        </w:rPr>
        <w:t xml:space="preserve"> como del tramo de la calle Loma Perdida con una superficie de 1,342.26 m</w:t>
      </w:r>
      <w:r>
        <w:rPr>
          <w:rFonts w:ascii="Cambria" w:hAnsi="Cambria" w:cs="Cambria"/>
          <w:i/>
          <w:iCs/>
          <w:sz w:val="20"/>
          <w:szCs w:val="20"/>
        </w:rPr>
        <w:t>²</w:t>
      </w:r>
      <w:r>
        <w:rPr>
          <w:rFonts w:ascii="Gotham" w:hAnsi="Gotham"/>
          <w:i/>
          <w:iCs/>
          <w:sz w:val="20"/>
          <w:szCs w:val="20"/>
        </w:rPr>
        <w:t>; y en este orden de ideas, y mediante comunicaci</w:t>
      </w:r>
      <w:r>
        <w:rPr>
          <w:rFonts w:ascii="Gotham" w:hAnsi="Gotham" w:cs="Gotham"/>
          <w:i/>
          <w:iCs/>
          <w:sz w:val="20"/>
          <w:szCs w:val="20"/>
        </w:rPr>
        <w:t>ó</w:t>
      </w:r>
      <w:r>
        <w:rPr>
          <w:rFonts w:ascii="Gotham" w:hAnsi="Gotham"/>
          <w:i/>
          <w:iCs/>
          <w:sz w:val="20"/>
          <w:szCs w:val="20"/>
        </w:rPr>
        <w:t>n suscrita por la Directora General de Planeaci</w:t>
      </w:r>
      <w:r>
        <w:rPr>
          <w:rFonts w:ascii="Gotham" w:hAnsi="Gotham" w:cs="Gotham"/>
          <w:i/>
          <w:iCs/>
          <w:sz w:val="20"/>
          <w:szCs w:val="20"/>
        </w:rPr>
        <w:t>ó</w:t>
      </w:r>
      <w:r>
        <w:rPr>
          <w:rFonts w:ascii="Gotham" w:hAnsi="Gotham"/>
          <w:i/>
          <w:iCs/>
          <w:sz w:val="20"/>
          <w:szCs w:val="20"/>
        </w:rPr>
        <w:t>n y Desarrollo Urbano Sustentable, la Arquitecta Ver</w:t>
      </w:r>
      <w:r>
        <w:rPr>
          <w:rFonts w:ascii="Gotham" w:hAnsi="Gotham" w:cs="Gotham"/>
          <w:i/>
          <w:iCs/>
          <w:sz w:val="20"/>
          <w:szCs w:val="20"/>
        </w:rPr>
        <w:t>ó</w:t>
      </w:r>
      <w:r>
        <w:rPr>
          <w:rFonts w:ascii="Gotham" w:hAnsi="Gotham"/>
          <w:i/>
          <w:iCs/>
          <w:sz w:val="20"/>
          <w:szCs w:val="20"/>
        </w:rPr>
        <w:t>nica Osorio Gándara; pone de manifiesto a esta Presidencia sobre la solicitud de regularización que la empresa Comercializadora de Embutidos ICO, S.A. de C.V., realiza por conducto de su Apoderada General la C. Juventina Montero Carlos, para habilitar el inmueble ubicado en la calle Aldama número 194; con 19.00 metros al norte de la calle Loma del Potrero, entre ésta y la calle Privada Loma Alta, colonia Loma Bonita I correspondiente al Plan de Desarrollo Urbano de Centro de Población, Distrito Urbano TON-06 “Zalatitán”, conformado por dos módulos con superficie de 6,203.46 m</w:t>
      </w:r>
      <w:r>
        <w:rPr>
          <w:rFonts w:ascii="Cambria" w:hAnsi="Cambria" w:cs="Cambria"/>
          <w:i/>
          <w:iCs/>
          <w:sz w:val="20"/>
          <w:szCs w:val="20"/>
        </w:rPr>
        <w:t>²</w:t>
      </w:r>
      <w:r>
        <w:rPr>
          <w:rFonts w:ascii="Gotham" w:hAnsi="Gotham"/>
          <w:i/>
          <w:iCs/>
          <w:sz w:val="20"/>
          <w:szCs w:val="20"/>
        </w:rPr>
        <w:t xml:space="preserve"> y 2,711.32 m</w:t>
      </w:r>
      <w:r>
        <w:rPr>
          <w:rFonts w:ascii="Cambria" w:hAnsi="Cambria" w:cs="Cambria"/>
          <w:i/>
          <w:iCs/>
          <w:sz w:val="20"/>
          <w:szCs w:val="20"/>
        </w:rPr>
        <w:t>²</w:t>
      </w:r>
      <w:r>
        <w:rPr>
          <w:rFonts w:ascii="Gotham" w:hAnsi="Gotham"/>
          <w:i/>
          <w:iCs/>
          <w:sz w:val="20"/>
          <w:szCs w:val="20"/>
        </w:rPr>
        <w:t xml:space="preserve"> dando un total de 8,914.78 m</w:t>
      </w:r>
      <w:r>
        <w:rPr>
          <w:rFonts w:ascii="Cambria" w:hAnsi="Cambria" w:cs="Cambria"/>
          <w:i/>
          <w:iCs/>
          <w:sz w:val="20"/>
          <w:szCs w:val="20"/>
        </w:rPr>
        <w:t>²</w:t>
      </w:r>
      <w:r>
        <w:rPr>
          <w:rFonts w:ascii="Gotham" w:hAnsi="Gotham"/>
          <w:i/>
          <w:iCs/>
          <w:sz w:val="20"/>
          <w:szCs w:val="20"/>
        </w:rPr>
        <w:t>.</w:t>
      </w:r>
    </w:p>
    <w:p w14:paraId="3A473FCF" w14:textId="77777777" w:rsidR="00016FE1" w:rsidRDefault="00016FE1" w:rsidP="002B6227">
      <w:pPr>
        <w:ind w:left="567" w:hanging="567"/>
        <w:jc w:val="both"/>
        <w:rPr>
          <w:rFonts w:ascii="Gotham" w:hAnsi="Gotham"/>
          <w:bCs/>
          <w:i/>
          <w:iCs/>
          <w:color w:val="000000" w:themeColor="text1"/>
          <w:sz w:val="20"/>
          <w:szCs w:val="20"/>
        </w:rPr>
      </w:pPr>
    </w:p>
    <w:p w14:paraId="3A473FD0" w14:textId="77777777" w:rsidR="00016FE1" w:rsidRDefault="00016FE1" w:rsidP="00865062">
      <w:pPr>
        <w:pStyle w:val="Prrafodelista"/>
        <w:numPr>
          <w:ilvl w:val="0"/>
          <w:numId w:val="163"/>
        </w:numPr>
        <w:ind w:left="567" w:right="45" w:hanging="567"/>
        <w:contextualSpacing w:val="0"/>
        <w:jc w:val="both"/>
        <w:rPr>
          <w:rFonts w:ascii="Gotham" w:hAnsi="Gotham"/>
          <w:bCs/>
          <w:i/>
          <w:iCs/>
          <w:sz w:val="20"/>
          <w:szCs w:val="20"/>
          <w:lang w:eastAsia="x-none"/>
        </w:rPr>
      </w:pPr>
      <w:r>
        <w:rPr>
          <w:rFonts w:ascii="Gotham" w:hAnsi="Gotham"/>
          <w:bCs/>
          <w:color w:val="000000" w:themeColor="text1"/>
          <w:sz w:val="20"/>
          <w:szCs w:val="20"/>
        </w:rPr>
        <w:t xml:space="preserve">Por su parte esta regiduría solicitó información a la Dirección </w:t>
      </w:r>
      <w:r>
        <w:rPr>
          <w:rFonts w:ascii="Gotham" w:hAnsi="Gotham"/>
          <w:bCs/>
          <w:sz w:val="20"/>
          <w:szCs w:val="20"/>
          <w:lang w:val="es-ES_tradnl"/>
        </w:rPr>
        <w:t xml:space="preserve">General de Planeación y Desarrollo Urbano Sustentable </w:t>
      </w:r>
      <w:r>
        <w:rPr>
          <w:rFonts w:ascii="Gotham" w:hAnsi="Gotham"/>
          <w:bCs/>
          <w:sz w:val="20"/>
          <w:szCs w:val="20"/>
        </w:rPr>
        <w:t xml:space="preserve">respecto a analizar la viabilidad en la actualidad de la Sociedad mercantil denominada EMBUTIDOS ICO, S.A. de C.V., </w:t>
      </w:r>
      <w:r>
        <w:rPr>
          <w:rFonts w:ascii="Gotham" w:hAnsi="Gotham"/>
          <w:bCs/>
          <w:color w:val="000000" w:themeColor="text1"/>
          <w:sz w:val="20"/>
          <w:szCs w:val="20"/>
        </w:rPr>
        <w:t xml:space="preserve">donde mediante oficio </w:t>
      </w:r>
      <w:r>
        <w:rPr>
          <w:rFonts w:ascii="Gotham" w:hAnsi="Gotham"/>
          <w:bCs/>
          <w:sz w:val="20"/>
          <w:szCs w:val="20"/>
          <w:lang w:val="es-ES_tradnl"/>
        </w:rPr>
        <w:t xml:space="preserve">DGPDUS/Dictaminación/0000/2023 </w:t>
      </w:r>
      <w:r>
        <w:rPr>
          <w:rFonts w:ascii="Gotham" w:hAnsi="Gotham"/>
          <w:bCs/>
          <w:color w:val="000000" w:themeColor="text1"/>
          <w:sz w:val="20"/>
          <w:szCs w:val="20"/>
        </w:rPr>
        <w:t xml:space="preserve">la </w:t>
      </w:r>
      <w:r>
        <w:rPr>
          <w:rFonts w:ascii="Gotham" w:hAnsi="Gotham"/>
          <w:bCs/>
          <w:iCs/>
          <w:sz w:val="20"/>
          <w:szCs w:val="20"/>
        </w:rPr>
        <w:t xml:space="preserve">Arq. Verónica Osorio Gándara </w:t>
      </w:r>
      <w:r>
        <w:rPr>
          <w:rFonts w:ascii="Gotham" w:hAnsi="Gotham"/>
          <w:bCs/>
          <w:color w:val="000000" w:themeColor="text1"/>
          <w:sz w:val="20"/>
          <w:szCs w:val="20"/>
        </w:rPr>
        <w:t>en su carácter de Directora de Dirección</w:t>
      </w:r>
      <w:r w:rsidR="0041199B">
        <w:rPr>
          <w:rFonts w:ascii="Gotham" w:hAnsi="Gotham"/>
          <w:bCs/>
          <w:color w:val="000000" w:themeColor="text1"/>
          <w:sz w:val="20"/>
          <w:szCs w:val="20"/>
        </w:rPr>
        <w:t xml:space="preserve"> </w:t>
      </w:r>
      <w:r>
        <w:rPr>
          <w:rFonts w:ascii="Gotham" w:hAnsi="Gotham"/>
          <w:bCs/>
          <w:sz w:val="20"/>
          <w:szCs w:val="20"/>
          <w:lang w:val="es-ES_tradnl"/>
        </w:rPr>
        <w:t>General de Planeación y Desarrollo Urbano Sustentable</w:t>
      </w:r>
      <w:r>
        <w:rPr>
          <w:rFonts w:ascii="Gotham" w:hAnsi="Gotham"/>
          <w:bCs/>
          <w:color w:val="000000" w:themeColor="text1"/>
          <w:sz w:val="20"/>
          <w:szCs w:val="20"/>
        </w:rPr>
        <w:t xml:space="preserve">, remite la documentación </w:t>
      </w:r>
      <w:r>
        <w:rPr>
          <w:rFonts w:ascii="Gotham" w:hAnsi="Gotham"/>
          <w:bCs/>
          <w:sz w:val="20"/>
          <w:szCs w:val="20"/>
        </w:rPr>
        <w:t>de la propuesta de la viabilidad en la actualidad de la Sociedad mercantil denominada EMBUTIDOS ICO, S.A. de C.V</w:t>
      </w:r>
      <w:r>
        <w:rPr>
          <w:rFonts w:ascii="Gotham" w:hAnsi="Gotham"/>
          <w:bCs/>
          <w:color w:val="000000" w:themeColor="text1"/>
          <w:sz w:val="20"/>
          <w:szCs w:val="20"/>
        </w:rPr>
        <w:t>, el estatus descrito indicando lo siguiente</w:t>
      </w:r>
      <w:r>
        <w:rPr>
          <w:rFonts w:ascii="Gotham" w:hAnsi="Gotham"/>
          <w:bCs/>
          <w:i/>
          <w:iCs/>
          <w:color w:val="000000" w:themeColor="text1"/>
          <w:sz w:val="20"/>
          <w:szCs w:val="20"/>
        </w:rPr>
        <w:t xml:space="preserve">: </w:t>
      </w:r>
    </w:p>
    <w:p w14:paraId="3A473FD1" w14:textId="77777777" w:rsidR="00016FE1" w:rsidRDefault="00016FE1" w:rsidP="002B6227">
      <w:pPr>
        <w:pStyle w:val="Prrafodelista"/>
        <w:ind w:left="567" w:hanging="567"/>
        <w:contextualSpacing w:val="0"/>
        <w:jc w:val="both"/>
        <w:rPr>
          <w:rFonts w:ascii="Gotham" w:hAnsi="Gotham"/>
          <w:bCs/>
          <w:i/>
          <w:iCs/>
          <w:sz w:val="20"/>
          <w:szCs w:val="20"/>
          <w:lang w:eastAsia="x-none"/>
        </w:rPr>
      </w:pPr>
    </w:p>
    <w:p w14:paraId="3A473FD2" w14:textId="77777777" w:rsidR="00016FE1" w:rsidRDefault="00016FE1" w:rsidP="00865062">
      <w:pPr>
        <w:pStyle w:val="Prrafodelista"/>
        <w:numPr>
          <w:ilvl w:val="0"/>
          <w:numId w:val="163"/>
        </w:numPr>
        <w:ind w:left="567" w:right="45" w:hanging="567"/>
        <w:contextualSpacing w:val="0"/>
        <w:jc w:val="both"/>
        <w:rPr>
          <w:rFonts w:ascii="Gotham" w:hAnsi="Gotham"/>
          <w:bCs/>
          <w:i/>
          <w:iCs/>
          <w:sz w:val="20"/>
          <w:szCs w:val="20"/>
          <w:lang w:eastAsia="x-none"/>
        </w:rPr>
      </w:pPr>
      <w:r>
        <w:rPr>
          <w:rFonts w:ascii="Gotham" w:hAnsi="Gotham"/>
          <w:bCs/>
          <w:i/>
          <w:iCs/>
          <w:sz w:val="20"/>
          <w:szCs w:val="20"/>
          <w:lang w:eastAsia="x-none"/>
        </w:rPr>
        <w:t xml:space="preserve">A. LOCALIZACIÓN. </w:t>
      </w:r>
      <w:r>
        <w:rPr>
          <w:rFonts w:ascii="Gotham" w:hAnsi="Gotham"/>
          <w:bCs/>
          <w:i/>
          <w:iCs/>
          <w:sz w:val="20"/>
          <w:szCs w:val="20"/>
        </w:rPr>
        <w:t>Calle Aldama No. 194 a 20.00 metros al sur de la calle Loma del Potrero, entre ésta y la calle Privada Loma Alta, Colonia Loma Bonita I,</w:t>
      </w:r>
      <w:r>
        <w:rPr>
          <w:rFonts w:ascii="Gotham" w:hAnsi="Gotham"/>
          <w:bCs/>
          <w:i/>
          <w:iCs/>
          <w:sz w:val="20"/>
          <w:szCs w:val="20"/>
          <w:lang w:eastAsia="x-none"/>
        </w:rPr>
        <w:t xml:space="preserve"> inscrito dentro de los límites del </w:t>
      </w:r>
      <w:r>
        <w:rPr>
          <w:rFonts w:ascii="Gotham" w:hAnsi="Gotham"/>
          <w:bCs/>
          <w:i/>
          <w:iCs/>
          <w:sz w:val="20"/>
          <w:szCs w:val="20"/>
          <w:lang w:eastAsia="x-none"/>
        </w:rPr>
        <w:lastRenderedPageBreak/>
        <w:t>esquema de Zonificación del Plan de Desarrollo Urbano de Centro de Población, Distrito Urbano TON-06 “Zalatitán”.</w:t>
      </w:r>
    </w:p>
    <w:p w14:paraId="3A473FD3" w14:textId="77777777" w:rsidR="00016FE1" w:rsidRDefault="00016FE1" w:rsidP="002B6227">
      <w:pPr>
        <w:ind w:left="567"/>
        <w:rPr>
          <w:rFonts w:ascii="Gotham" w:hAnsi="Gotham"/>
          <w:bCs/>
          <w:i/>
          <w:iCs/>
          <w:sz w:val="20"/>
          <w:szCs w:val="20"/>
          <w:lang w:eastAsia="es-MX"/>
        </w:rPr>
      </w:pPr>
    </w:p>
    <w:p w14:paraId="3A473FD4" w14:textId="77777777" w:rsidR="00016FE1" w:rsidRDefault="00016FE1" w:rsidP="002B6227">
      <w:pPr>
        <w:tabs>
          <w:tab w:val="left" w:pos="567"/>
        </w:tabs>
        <w:ind w:right="45"/>
        <w:jc w:val="right"/>
        <w:rPr>
          <w:rFonts w:ascii="Gotham" w:hAnsi="Gotham"/>
          <w:bCs/>
          <w:i/>
          <w:iCs/>
          <w:noProof/>
          <w:sz w:val="20"/>
          <w:szCs w:val="20"/>
        </w:rPr>
      </w:pPr>
      <w:r>
        <w:rPr>
          <w:rFonts w:ascii="Calibri" w:hAnsi="Calibri" w:cs="Calibri"/>
          <w:noProof/>
          <w:sz w:val="22"/>
          <w:szCs w:val="22"/>
          <w:lang w:val="es-MX" w:eastAsia="es-MX"/>
        </w:rPr>
        <mc:AlternateContent>
          <mc:Choice Requires="wps">
            <w:drawing>
              <wp:anchor distT="0" distB="0" distL="114300" distR="114300" simplePos="0" relativeHeight="251661312" behindDoc="0" locked="0" layoutInCell="1" allowOverlap="1" wp14:anchorId="3A476894" wp14:editId="3A476895">
                <wp:simplePos x="0" y="0"/>
                <wp:positionH relativeFrom="margin">
                  <wp:align>center</wp:align>
                </wp:positionH>
                <wp:positionV relativeFrom="paragraph">
                  <wp:posOffset>1335715</wp:posOffset>
                </wp:positionV>
                <wp:extent cx="1600200" cy="1054735"/>
                <wp:effectExtent l="19050" t="19050" r="19050" b="12065"/>
                <wp:wrapNone/>
                <wp:docPr id="10" name="Elipse 10"/>
                <wp:cNvGraphicFramePr/>
                <a:graphic xmlns:a="http://schemas.openxmlformats.org/drawingml/2006/main">
                  <a:graphicData uri="http://schemas.microsoft.com/office/word/2010/wordprocessingShape">
                    <wps:wsp>
                      <wps:cNvSpPr/>
                      <wps:spPr>
                        <a:xfrm>
                          <a:off x="0" y="0"/>
                          <a:ext cx="1600200" cy="1054735"/>
                        </a:xfrm>
                        <a:prstGeom prst="ellipse">
                          <a:avLst/>
                        </a:prstGeom>
                        <a:noFill/>
                        <a:ln w="38100" cap="flat" cmpd="sng" algn="ctr">
                          <a:solidFill>
                            <a:srgbClr val="C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F2D0F4" id="Elipse 10" o:spid="_x0000_s1026" style="position:absolute;margin-left:0;margin-top:105.15pt;width:126pt;height:83.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" filled="f" strokecolor="#c00000" strokeweight="3pt">
                <v:stroke dashstyle="3 1" joinstyle="miter"/>
                <w10:wrap anchorx="margin"/>
              </v:oval>
            </w:pict>
          </mc:Fallback>
        </mc:AlternateContent>
      </w:r>
      <w:r>
        <w:rPr>
          <w:rFonts w:ascii="Gotham" w:hAnsi="Gotham"/>
          <w:i/>
          <w:noProof/>
          <w:sz w:val="20"/>
          <w:szCs w:val="20"/>
          <w:lang w:val="es-MX" w:eastAsia="es-MX"/>
        </w:rPr>
        <w:drawing>
          <wp:inline distT="0" distB="0" distL="0" distR="0" wp14:anchorId="3A476896" wp14:editId="3A476897">
            <wp:extent cx="5539740" cy="3359785"/>
            <wp:effectExtent l="0" t="0" r="3810" b="0"/>
            <wp:docPr id="6" name="Imagen 6"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agen de la pantalla de un computador&#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l="17859" t="7185" b="4416"/>
                    <a:stretch>
                      <a:fillRect/>
                    </a:stretch>
                  </pic:blipFill>
                  <pic:spPr bwMode="auto">
                    <a:xfrm>
                      <a:off x="0" y="0"/>
                      <a:ext cx="5539740" cy="3359785"/>
                    </a:xfrm>
                    <a:prstGeom prst="rect">
                      <a:avLst/>
                    </a:prstGeom>
                    <a:noFill/>
                    <a:ln>
                      <a:noFill/>
                    </a:ln>
                  </pic:spPr>
                </pic:pic>
              </a:graphicData>
            </a:graphic>
          </wp:inline>
        </w:drawing>
      </w:r>
      <w:r>
        <w:rPr>
          <w:rFonts w:ascii="Gotham" w:hAnsi="Gotham"/>
          <w:bCs/>
          <w:i/>
          <w:iCs/>
          <w:noProof/>
          <w:sz w:val="20"/>
          <w:szCs w:val="20"/>
        </w:rPr>
        <w:t xml:space="preserve">   </w:t>
      </w:r>
    </w:p>
    <w:p w14:paraId="3A473FD5" w14:textId="77777777" w:rsidR="00016FE1" w:rsidRDefault="00016FE1" w:rsidP="002B6227">
      <w:pPr>
        <w:ind w:right="45"/>
        <w:rPr>
          <w:rFonts w:ascii="Gotham" w:hAnsi="Gotham"/>
          <w:bCs/>
          <w:i/>
          <w:iCs/>
          <w:sz w:val="20"/>
          <w:szCs w:val="20"/>
          <w:lang w:eastAsia="x-none"/>
        </w:rPr>
      </w:pPr>
    </w:p>
    <w:p w14:paraId="3A473FD6" w14:textId="77777777" w:rsidR="00016FE1" w:rsidRDefault="00016FE1" w:rsidP="002B6227">
      <w:pPr>
        <w:ind w:right="45"/>
        <w:rPr>
          <w:rFonts w:ascii="Gotham" w:hAnsi="Gotham"/>
          <w:bCs/>
          <w:i/>
          <w:iCs/>
          <w:sz w:val="20"/>
          <w:szCs w:val="20"/>
          <w:lang w:eastAsia="x-none"/>
        </w:rPr>
      </w:pPr>
    </w:p>
    <w:tbl>
      <w:tblPr>
        <w:tblStyle w:val="Tablaconcuadrcula"/>
        <w:tblW w:w="92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87"/>
      </w:tblGrid>
      <w:tr w:rsidR="00016FE1" w14:paraId="3A473FD9" w14:textId="77777777" w:rsidTr="00AD51C5">
        <w:trPr>
          <w:jc w:val="right"/>
        </w:trPr>
        <w:tc>
          <w:tcPr>
            <w:tcW w:w="4479" w:type="dxa"/>
            <w:hideMark/>
          </w:tcPr>
          <w:p w14:paraId="3A473FD7" w14:textId="77777777" w:rsidR="00016FE1" w:rsidRDefault="00016FE1" w:rsidP="002B6227">
            <w:pPr>
              <w:jc w:val="right"/>
              <w:rPr>
                <w:rFonts w:ascii="Gotham" w:hAnsi="Gotham"/>
                <w:bCs/>
                <w:i/>
                <w:iCs/>
                <w:kern w:val="2"/>
                <w:sz w:val="20"/>
                <w:szCs w:val="20"/>
                <w:lang w:val="en-US" w:eastAsia="en-US"/>
                <w14:ligatures w14:val="standardContextual"/>
              </w:rPr>
            </w:pPr>
            <w:r>
              <w:rPr>
                <w:rFonts w:ascii="Gotham" w:hAnsi="Gotham"/>
                <w:i/>
                <w:noProof/>
                <w:kern w:val="2"/>
                <w:sz w:val="20"/>
                <w:szCs w:val="20"/>
                <w:lang w:val="es-MX" w:eastAsia="es-MX"/>
                <w14:ligatures w14:val="standardContextual"/>
              </w:rPr>
              <w:drawing>
                <wp:inline distT="0" distB="0" distL="0" distR="0" wp14:anchorId="3A476898" wp14:editId="3A476899">
                  <wp:extent cx="2743200" cy="1616075"/>
                  <wp:effectExtent l="0" t="0" r="0" b="3175"/>
                  <wp:docPr id="3" name="Imagen 3" descr="Camión de carg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amión de carga&#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l="18706" t="10193" b="4410"/>
                          <a:stretch>
                            <a:fillRect/>
                          </a:stretch>
                        </pic:blipFill>
                        <pic:spPr bwMode="auto">
                          <a:xfrm>
                            <a:off x="0" y="0"/>
                            <a:ext cx="2743200" cy="1616075"/>
                          </a:xfrm>
                          <a:prstGeom prst="rect">
                            <a:avLst/>
                          </a:prstGeom>
                          <a:noFill/>
                          <a:ln>
                            <a:noFill/>
                          </a:ln>
                        </pic:spPr>
                      </pic:pic>
                    </a:graphicData>
                  </a:graphic>
                </wp:inline>
              </w:drawing>
            </w:r>
          </w:p>
        </w:tc>
        <w:tc>
          <w:tcPr>
            <w:tcW w:w="4806" w:type="dxa"/>
            <w:hideMark/>
          </w:tcPr>
          <w:p w14:paraId="3A473FD8" w14:textId="77777777" w:rsidR="00016FE1" w:rsidRDefault="00016FE1" w:rsidP="002B6227">
            <w:pPr>
              <w:jc w:val="right"/>
              <w:rPr>
                <w:rFonts w:ascii="Gotham" w:hAnsi="Gotham"/>
                <w:bCs/>
                <w:i/>
                <w:iCs/>
                <w:kern w:val="2"/>
                <w:sz w:val="20"/>
                <w:szCs w:val="20"/>
                <w:lang w:val="en-US" w:eastAsia="en-US"/>
                <w14:ligatures w14:val="standardContextual"/>
              </w:rPr>
            </w:pPr>
            <w:r>
              <w:rPr>
                <w:rFonts w:ascii="Gotham" w:hAnsi="Gotham"/>
                <w:i/>
                <w:noProof/>
                <w:kern w:val="2"/>
                <w:sz w:val="20"/>
                <w:szCs w:val="20"/>
                <w:lang w:val="es-MX" w:eastAsia="es-MX"/>
                <w14:ligatures w14:val="standardContextual"/>
              </w:rPr>
              <w:drawing>
                <wp:inline distT="0" distB="0" distL="0" distR="0" wp14:anchorId="3A47689A" wp14:editId="3A47689B">
                  <wp:extent cx="2902585" cy="1616075"/>
                  <wp:effectExtent l="0" t="0" r="0" b="3175"/>
                  <wp:docPr id="11" name="Imagen 11" descr="Imagen que contiene edificio, camioneta, carreter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n que contiene edificio, camioneta, carretera, calle&#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l="18893" t="10527" b="9088"/>
                          <a:stretch>
                            <a:fillRect/>
                          </a:stretch>
                        </pic:blipFill>
                        <pic:spPr bwMode="auto">
                          <a:xfrm>
                            <a:off x="0" y="0"/>
                            <a:ext cx="2902585" cy="1616075"/>
                          </a:xfrm>
                          <a:prstGeom prst="rect">
                            <a:avLst/>
                          </a:prstGeom>
                          <a:noFill/>
                          <a:ln>
                            <a:noFill/>
                          </a:ln>
                        </pic:spPr>
                      </pic:pic>
                    </a:graphicData>
                  </a:graphic>
                </wp:inline>
              </w:drawing>
            </w:r>
          </w:p>
        </w:tc>
      </w:tr>
    </w:tbl>
    <w:p w14:paraId="3A473FDA" w14:textId="77777777" w:rsidR="00016FE1" w:rsidRDefault="00016FE1" w:rsidP="002B6227">
      <w:pPr>
        <w:ind w:right="45"/>
        <w:rPr>
          <w:rFonts w:ascii="Gotham" w:eastAsia="Calibri" w:hAnsi="Gotham"/>
          <w:bCs/>
          <w:i/>
          <w:iCs/>
          <w:sz w:val="20"/>
          <w:szCs w:val="20"/>
          <w:lang w:val="es-MX" w:eastAsia="x-none"/>
        </w:rPr>
      </w:pPr>
    </w:p>
    <w:p w14:paraId="3A473FDB" w14:textId="77777777" w:rsidR="00016FE1" w:rsidRPr="00345875" w:rsidRDefault="00016FE1" w:rsidP="002B6227">
      <w:pPr>
        <w:spacing w:after="120"/>
        <w:ind w:left="851" w:right="283"/>
        <w:rPr>
          <w:rFonts w:ascii="Gotham" w:hAnsi="Gotham"/>
          <w:bCs/>
          <w:i/>
          <w:iCs/>
          <w:sz w:val="18"/>
          <w:szCs w:val="18"/>
          <w:lang w:eastAsia="es-MX"/>
        </w:rPr>
      </w:pPr>
      <w:r w:rsidRPr="00345875">
        <w:rPr>
          <w:rFonts w:ascii="Gotham" w:hAnsi="Gotham"/>
          <w:bCs/>
          <w:i/>
          <w:iCs/>
          <w:sz w:val="18"/>
          <w:szCs w:val="18"/>
          <w:lang w:eastAsia="x-none"/>
        </w:rPr>
        <w:t xml:space="preserve">La Superficie está conformada por 2 áreas de </w:t>
      </w:r>
      <w:r w:rsidRPr="00345875">
        <w:rPr>
          <w:rFonts w:ascii="Gotham" w:eastAsiaTheme="minorHAnsi" w:hAnsi="Gotham"/>
          <w:bCs/>
          <w:i/>
          <w:iCs/>
          <w:sz w:val="18"/>
          <w:szCs w:val="18"/>
          <w:lang w:eastAsia="en-US"/>
        </w:rPr>
        <w:t>6,203.46 m</w:t>
      </w:r>
      <w:r w:rsidRPr="00345875">
        <w:rPr>
          <w:rFonts w:ascii="Cambria" w:eastAsiaTheme="minorHAnsi" w:hAnsi="Cambria" w:cs="Cambria"/>
          <w:bCs/>
          <w:i/>
          <w:iCs/>
          <w:sz w:val="18"/>
          <w:szCs w:val="18"/>
          <w:lang w:eastAsia="en-US"/>
        </w:rPr>
        <w:t>²</w:t>
      </w:r>
      <w:r w:rsidRPr="00345875">
        <w:rPr>
          <w:rFonts w:ascii="Gotham" w:eastAsiaTheme="minorHAnsi" w:hAnsi="Gotham"/>
          <w:bCs/>
          <w:i/>
          <w:iCs/>
          <w:sz w:val="18"/>
          <w:szCs w:val="18"/>
          <w:lang w:eastAsia="en-US"/>
        </w:rPr>
        <w:t xml:space="preserve"> y 2,711.32 m</w:t>
      </w:r>
      <w:r w:rsidRPr="00345875">
        <w:rPr>
          <w:rFonts w:ascii="Cambria" w:eastAsiaTheme="minorHAnsi" w:hAnsi="Cambria" w:cs="Cambria"/>
          <w:bCs/>
          <w:i/>
          <w:iCs/>
          <w:sz w:val="18"/>
          <w:szCs w:val="18"/>
          <w:lang w:eastAsia="en-US"/>
        </w:rPr>
        <w:t>²</w:t>
      </w:r>
      <w:r w:rsidRPr="00345875">
        <w:rPr>
          <w:rFonts w:ascii="Gotham" w:eastAsiaTheme="minorHAnsi" w:hAnsi="Gotham"/>
          <w:bCs/>
          <w:i/>
          <w:iCs/>
          <w:sz w:val="18"/>
          <w:szCs w:val="18"/>
          <w:lang w:eastAsia="en-US"/>
        </w:rPr>
        <w:t>.</w:t>
      </w:r>
    </w:p>
    <w:p w14:paraId="3A473FDC" w14:textId="77777777" w:rsidR="00016FE1" w:rsidRPr="00345875" w:rsidRDefault="00016FE1" w:rsidP="002B6227">
      <w:pPr>
        <w:spacing w:after="120"/>
        <w:ind w:left="851" w:right="283"/>
        <w:rPr>
          <w:rFonts w:ascii="Gotham" w:hAnsi="Gotham"/>
          <w:bCs/>
          <w:i/>
          <w:iCs/>
          <w:sz w:val="18"/>
          <w:szCs w:val="18"/>
        </w:rPr>
      </w:pPr>
      <w:r w:rsidRPr="00345875">
        <w:rPr>
          <w:rFonts w:ascii="Gotham" w:hAnsi="Gotham"/>
          <w:bCs/>
          <w:i/>
          <w:iCs/>
          <w:sz w:val="18"/>
          <w:szCs w:val="18"/>
        </w:rPr>
        <w:t xml:space="preserve">Las determinaciones </w:t>
      </w:r>
      <w:r w:rsidRPr="00345875">
        <w:rPr>
          <w:rFonts w:ascii="Gotham" w:hAnsi="Gotham"/>
          <w:bCs/>
          <w:i/>
          <w:iCs/>
          <w:sz w:val="18"/>
          <w:szCs w:val="18"/>
          <w:lang w:eastAsia="x-none"/>
        </w:rPr>
        <w:t xml:space="preserve">Plan de Desarrollo Urbano de Centro de Población, Distrito Urbano TON-06 “Zalatitán” </w:t>
      </w:r>
      <w:r w:rsidRPr="00345875">
        <w:rPr>
          <w:rFonts w:ascii="Gotham" w:hAnsi="Gotham"/>
          <w:bCs/>
          <w:i/>
          <w:iCs/>
          <w:sz w:val="18"/>
          <w:szCs w:val="18"/>
        </w:rPr>
        <w:t>para los predios son:</w:t>
      </w:r>
    </w:p>
    <w:p w14:paraId="3A473FDD" w14:textId="77777777" w:rsidR="00016FE1" w:rsidRPr="00345875" w:rsidRDefault="00016FE1" w:rsidP="002B6227">
      <w:pPr>
        <w:tabs>
          <w:tab w:val="center" w:pos="4419"/>
          <w:tab w:val="left" w:pos="7881"/>
          <w:tab w:val="right" w:pos="8838"/>
        </w:tabs>
        <w:spacing w:after="120"/>
        <w:ind w:left="851" w:right="283"/>
        <w:rPr>
          <w:rFonts w:ascii="Gotham" w:hAnsi="Gotham"/>
          <w:bCs/>
          <w:i/>
          <w:iCs/>
          <w:sz w:val="18"/>
          <w:szCs w:val="18"/>
          <w:lang w:eastAsia="x-none"/>
        </w:rPr>
      </w:pPr>
      <w:r w:rsidRPr="00345875">
        <w:rPr>
          <w:rFonts w:ascii="Gotham" w:hAnsi="Gotham"/>
          <w:bCs/>
          <w:i/>
          <w:iCs/>
          <w:sz w:val="18"/>
          <w:szCs w:val="18"/>
          <w:lang w:eastAsia="x-none"/>
        </w:rPr>
        <w:t xml:space="preserve">Clasificación de Áreas. </w:t>
      </w:r>
    </w:p>
    <w:p w14:paraId="3A473FDE" w14:textId="77777777" w:rsidR="00016FE1" w:rsidRPr="00345875" w:rsidRDefault="00016FE1" w:rsidP="002B6227">
      <w:pPr>
        <w:pStyle w:val="Prrafodelista"/>
        <w:tabs>
          <w:tab w:val="center" w:pos="4419"/>
          <w:tab w:val="left" w:pos="7881"/>
          <w:tab w:val="right" w:pos="8838"/>
        </w:tabs>
        <w:ind w:left="851" w:right="283"/>
        <w:contextualSpacing w:val="0"/>
        <w:rPr>
          <w:rFonts w:ascii="Gotham" w:hAnsi="Gotham"/>
          <w:bCs/>
          <w:i/>
          <w:iCs/>
          <w:sz w:val="18"/>
          <w:szCs w:val="18"/>
          <w:lang w:eastAsia="es-MX"/>
        </w:rPr>
      </w:pPr>
      <w:r w:rsidRPr="00345875">
        <w:rPr>
          <w:rFonts w:ascii="Gotham" w:hAnsi="Gotham"/>
          <w:bCs/>
          <w:i/>
          <w:iCs/>
          <w:sz w:val="18"/>
          <w:szCs w:val="18"/>
        </w:rPr>
        <w:t>Área Urbanizada de Renovación Urbana AU-RN (4).</w:t>
      </w:r>
    </w:p>
    <w:p w14:paraId="3A473FDF" w14:textId="77777777" w:rsidR="00016FE1" w:rsidRDefault="00016FE1" w:rsidP="002B6227">
      <w:pPr>
        <w:ind w:right="45"/>
        <w:rPr>
          <w:rFonts w:ascii="Gotham" w:hAnsi="Gotham"/>
          <w:bCs/>
          <w:i/>
          <w:iCs/>
          <w:sz w:val="20"/>
          <w:szCs w:val="20"/>
          <w:lang w:eastAsia="x-none"/>
        </w:rPr>
      </w:pPr>
    </w:p>
    <w:p w14:paraId="3A473FE0" w14:textId="77777777" w:rsidR="00016FE1" w:rsidRDefault="00016FE1" w:rsidP="00345875">
      <w:pPr>
        <w:ind w:right="45"/>
        <w:jc w:val="center"/>
        <w:rPr>
          <w:rFonts w:ascii="Gotham" w:hAnsi="Gotham"/>
          <w:bCs/>
          <w:i/>
          <w:iCs/>
          <w:noProof/>
          <w:sz w:val="20"/>
          <w:szCs w:val="20"/>
          <w:lang w:eastAsia="es-MX"/>
        </w:rPr>
      </w:pPr>
      <w:r>
        <w:rPr>
          <w:rFonts w:ascii="Calibri" w:hAnsi="Calibri" w:cs="Calibri"/>
          <w:noProof/>
          <w:sz w:val="22"/>
          <w:szCs w:val="22"/>
          <w:lang w:val="es-MX" w:eastAsia="es-MX"/>
        </w:rPr>
        <w:lastRenderedPageBreak/>
        <mc:AlternateContent>
          <mc:Choice Requires="wps">
            <w:drawing>
              <wp:anchor distT="0" distB="0" distL="114300" distR="114300" simplePos="0" relativeHeight="251662336" behindDoc="0" locked="0" layoutInCell="1" allowOverlap="1" wp14:anchorId="3A47689C" wp14:editId="3A47689D">
                <wp:simplePos x="0" y="0"/>
                <wp:positionH relativeFrom="column">
                  <wp:posOffset>2126141</wp:posOffset>
                </wp:positionH>
                <wp:positionV relativeFrom="paragraph">
                  <wp:posOffset>1017772</wp:posOffset>
                </wp:positionV>
                <wp:extent cx="1223493" cy="836474"/>
                <wp:effectExtent l="38100" t="38100" r="34290" b="40005"/>
                <wp:wrapNone/>
                <wp:docPr id="9" name="Forma libre 9"/>
                <wp:cNvGraphicFramePr/>
                <a:graphic xmlns:a="http://schemas.openxmlformats.org/drawingml/2006/main">
                  <a:graphicData uri="http://schemas.microsoft.com/office/word/2010/wordprocessingShape">
                    <wps:wsp>
                      <wps:cNvSpPr/>
                      <wps:spPr>
                        <a:xfrm>
                          <a:off x="0" y="0"/>
                          <a:ext cx="1223493" cy="836474"/>
                        </a:xfrm>
                        <a:custGeom>
                          <a:avLst/>
                          <a:gdLst>
                            <a:gd name="connsiteX0" fmla="*/ 95535 w 1514902"/>
                            <a:gd name="connsiteY0" fmla="*/ 0 h 1030406"/>
                            <a:gd name="connsiteX1" fmla="*/ 1514902 w 1514902"/>
                            <a:gd name="connsiteY1" fmla="*/ 88710 h 1030406"/>
                            <a:gd name="connsiteX2" fmla="*/ 1385248 w 1514902"/>
                            <a:gd name="connsiteY2" fmla="*/ 1030406 h 1030406"/>
                            <a:gd name="connsiteX3" fmla="*/ 0 w 1514902"/>
                            <a:gd name="connsiteY3" fmla="*/ 955343 h 1030406"/>
                            <a:gd name="connsiteX4" fmla="*/ 95535 w 1514902"/>
                            <a:gd name="connsiteY4" fmla="*/ 0 h 1030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4902" h="1030406">
                              <a:moveTo>
                                <a:pt x="95535" y="0"/>
                              </a:moveTo>
                              <a:lnTo>
                                <a:pt x="1514902" y="88710"/>
                              </a:lnTo>
                              <a:lnTo>
                                <a:pt x="1385248" y="1030406"/>
                              </a:lnTo>
                              <a:lnTo>
                                <a:pt x="0" y="955343"/>
                              </a:lnTo>
                              <a:lnTo>
                                <a:pt x="95535" y="0"/>
                              </a:lnTo>
                              <a:close/>
                            </a:path>
                          </a:pathLst>
                        </a:custGeom>
                        <a:noFill/>
                        <a:ln w="38100" cap="flat" cmpd="sng" algn="ctr">
                          <a:solidFill>
                            <a:srgbClr val="4472C4">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D613B" id="Forma libre 9" o:spid="_x0000_s1026" style="position:absolute;margin-left:167.4pt;margin-top:80.15pt;width:96.35pt;height:6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4902,103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" path="m95535,l1514902,88710r-129654,941696l,955343,95535,xe" filled="f" strokecolor="#2f528f" strokeweight="3pt">
                <v:stroke dashstyle="3 1" joinstyle="miter"/>
                <v:path arrowok="t" o:connecttype="custom" o:connectlocs="77158,0;1223493,72014;1118779,836474;0,775539;77158,0" o:connectangles="0,0,0,0,0"/>
              </v:shape>
            </w:pict>
          </mc:Fallback>
        </mc:AlternateContent>
      </w:r>
      <w:r>
        <w:rPr>
          <w:rFonts w:ascii="Gotham" w:hAnsi="Gotham"/>
          <w:i/>
          <w:noProof/>
          <w:sz w:val="20"/>
          <w:szCs w:val="20"/>
          <w:lang w:val="es-MX" w:eastAsia="es-MX"/>
        </w:rPr>
        <w:drawing>
          <wp:inline distT="0" distB="0" distL="0" distR="0" wp14:anchorId="3A47689E" wp14:editId="3A47689F">
            <wp:extent cx="4788000" cy="26703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8000" cy="2670326"/>
                    </a:xfrm>
                    <a:prstGeom prst="rect">
                      <a:avLst/>
                    </a:prstGeom>
                    <a:noFill/>
                    <a:ln>
                      <a:noFill/>
                    </a:ln>
                  </pic:spPr>
                </pic:pic>
              </a:graphicData>
            </a:graphic>
          </wp:inline>
        </w:drawing>
      </w:r>
    </w:p>
    <w:p w14:paraId="3A473FE1" w14:textId="77777777" w:rsidR="00016FE1" w:rsidRPr="00345875" w:rsidRDefault="00016FE1" w:rsidP="002B6227">
      <w:pPr>
        <w:tabs>
          <w:tab w:val="left" w:pos="709"/>
          <w:tab w:val="left" w:pos="851"/>
        </w:tabs>
        <w:rPr>
          <w:rFonts w:ascii="Gotham" w:hAnsi="Gotham"/>
          <w:bCs/>
          <w:i/>
          <w:iCs/>
          <w:sz w:val="12"/>
          <w:szCs w:val="12"/>
          <w:lang w:eastAsia="x-none"/>
        </w:rPr>
      </w:pPr>
    </w:p>
    <w:p w14:paraId="3A473FE2" w14:textId="77777777" w:rsidR="00016FE1" w:rsidRPr="00345875" w:rsidRDefault="00016FE1" w:rsidP="008344BF">
      <w:pPr>
        <w:spacing w:after="60"/>
        <w:ind w:left="851" w:right="284"/>
        <w:rPr>
          <w:rFonts w:ascii="Gotham" w:hAnsi="Gotham"/>
          <w:bCs/>
          <w:i/>
          <w:iCs/>
          <w:sz w:val="18"/>
          <w:szCs w:val="18"/>
          <w:lang w:eastAsia="es-MX"/>
        </w:rPr>
      </w:pPr>
      <w:r w:rsidRPr="00345875">
        <w:rPr>
          <w:rFonts w:ascii="Gotham" w:hAnsi="Gotham"/>
          <w:bCs/>
          <w:i/>
          <w:iCs/>
          <w:sz w:val="18"/>
          <w:szCs w:val="18"/>
          <w:lang w:eastAsia="x-none"/>
        </w:rPr>
        <w:t>Usos y Destinos.</w:t>
      </w:r>
    </w:p>
    <w:p w14:paraId="3A473FE3" w14:textId="77777777" w:rsidR="00016FE1" w:rsidRPr="00345875" w:rsidRDefault="00016FE1" w:rsidP="008344BF">
      <w:pPr>
        <w:pStyle w:val="Prrafodelista"/>
        <w:suppressAutoHyphens/>
        <w:spacing w:after="60"/>
        <w:ind w:left="851" w:right="284"/>
        <w:contextualSpacing w:val="0"/>
        <w:rPr>
          <w:rFonts w:ascii="Gotham" w:hAnsi="Gotham"/>
          <w:bCs/>
          <w:i/>
          <w:iCs/>
          <w:sz w:val="18"/>
          <w:szCs w:val="18"/>
        </w:rPr>
      </w:pPr>
      <w:r w:rsidRPr="00345875">
        <w:rPr>
          <w:rFonts w:ascii="Gotham" w:hAnsi="Gotham"/>
          <w:bCs/>
          <w:i/>
          <w:iCs/>
          <w:sz w:val="18"/>
          <w:szCs w:val="18"/>
        </w:rPr>
        <w:t>Habitacional Unifamiliar densidad alta H4-U (29).</w:t>
      </w:r>
    </w:p>
    <w:p w14:paraId="3A473FE4" w14:textId="77777777" w:rsidR="00016FE1" w:rsidRPr="00345875" w:rsidRDefault="00016FE1" w:rsidP="008344BF">
      <w:pPr>
        <w:pStyle w:val="Prrafodelista"/>
        <w:spacing w:after="60"/>
        <w:ind w:left="851" w:right="284"/>
        <w:contextualSpacing w:val="0"/>
        <w:rPr>
          <w:rFonts w:ascii="Gotham" w:hAnsi="Gotham"/>
          <w:bCs/>
          <w:i/>
          <w:iCs/>
          <w:sz w:val="18"/>
          <w:szCs w:val="18"/>
        </w:rPr>
      </w:pPr>
      <w:r w:rsidRPr="00345875">
        <w:rPr>
          <w:rFonts w:ascii="Gotham" w:hAnsi="Gotham"/>
          <w:bCs/>
          <w:i/>
          <w:iCs/>
          <w:sz w:val="18"/>
          <w:szCs w:val="18"/>
        </w:rPr>
        <w:t>Predominante; Habitacional Unifamiliar.</w:t>
      </w:r>
    </w:p>
    <w:p w14:paraId="3A473FE5" w14:textId="77777777" w:rsidR="00016FE1" w:rsidRPr="00345875" w:rsidRDefault="00016FE1" w:rsidP="008344BF">
      <w:pPr>
        <w:pStyle w:val="Prrafodelista"/>
        <w:tabs>
          <w:tab w:val="left" w:pos="851"/>
        </w:tabs>
        <w:spacing w:after="60"/>
        <w:ind w:left="851" w:right="284"/>
        <w:contextualSpacing w:val="0"/>
        <w:rPr>
          <w:rFonts w:ascii="Gotham" w:hAnsi="Gotham"/>
          <w:bCs/>
          <w:i/>
          <w:iCs/>
          <w:sz w:val="18"/>
          <w:szCs w:val="18"/>
        </w:rPr>
      </w:pPr>
      <w:r w:rsidRPr="00345875">
        <w:rPr>
          <w:rFonts w:ascii="Gotham" w:hAnsi="Gotham"/>
          <w:bCs/>
          <w:i/>
          <w:iCs/>
          <w:sz w:val="18"/>
          <w:szCs w:val="18"/>
        </w:rPr>
        <w:t xml:space="preserve">Compatible; Turístico Hotelero Densidad Alta, Espacios Verdes, Abiertos y Recreativos Vecinales. </w:t>
      </w:r>
    </w:p>
    <w:p w14:paraId="3A473FE6" w14:textId="77777777" w:rsidR="00016FE1" w:rsidRPr="00345875" w:rsidRDefault="00016FE1" w:rsidP="002B6227">
      <w:pPr>
        <w:pStyle w:val="Prrafodelista"/>
        <w:ind w:left="851" w:right="283"/>
        <w:contextualSpacing w:val="0"/>
        <w:rPr>
          <w:rFonts w:ascii="Gotham" w:hAnsi="Gotham"/>
          <w:bCs/>
          <w:i/>
          <w:iCs/>
          <w:sz w:val="18"/>
          <w:szCs w:val="18"/>
        </w:rPr>
      </w:pPr>
      <w:r w:rsidRPr="00345875">
        <w:rPr>
          <w:rFonts w:ascii="Gotham" w:hAnsi="Gotham"/>
          <w:bCs/>
          <w:i/>
          <w:iCs/>
          <w:sz w:val="18"/>
          <w:szCs w:val="18"/>
        </w:rPr>
        <w:t xml:space="preserve">Condicionado; Equipamiento Vecinal, Comercio y Servicio Vecinal y Manufacturas Domiciliarias. </w:t>
      </w:r>
    </w:p>
    <w:p w14:paraId="3A473FE7" w14:textId="77777777" w:rsidR="00016FE1" w:rsidRPr="00345875" w:rsidRDefault="00016FE1" w:rsidP="00345875">
      <w:pPr>
        <w:pStyle w:val="Prrafodelista"/>
        <w:ind w:left="851" w:right="283"/>
        <w:contextualSpacing w:val="0"/>
        <w:rPr>
          <w:rFonts w:ascii="Gotham" w:hAnsi="Gotham"/>
          <w:bCs/>
          <w:i/>
          <w:iCs/>
          <w:sz w:val="18"/>
          <w:szCs w:val="18"/>
        </w:rPr>
      </w:pPr>
    </w:p>
    <w:p w14:paraId="3A473FE8" w14:textId="77777777" w:rsidR="00016FE1" w:rsidRDefault="008344BF" w:rsidP="00345875">
      <w:pPr>
        <w:tabs>
          <w:tab w:val="left" w:pos="567"/>
        </w:tabs>
        <w:suppressAutoHyphens/>
        <w:ind w:right="55"/>
        <w:jc w:val="center"/>
        <w:rPr>
          <w:rFonts w:ascii="Gotham" w:hAnsi="Gotham"/>
          <w:bCs/>
          <w:i/>
          <w:iCs/>
          <w:sz w:val="20"/>
          <w:szCs w:val="20"/>
          <w:lang w:eastAsia="x-none"/>
        </w:rPr>
      </w:pPr>
      <w:r>
        <w:rPr>
          <w:rFonts w:ascii="Calibri" w:hAnsi="Calibri" w:cs="Calibri"/>
          <w:noProof/>
          <w:sz w:val="22"/>
          <w:szCs w:val="22"/>
          <w:lang w:val="es-MX" w:eastAsia="es-MX"/>
        </w:rPr>
        <mc:AlternateContent>
          <mc:Choice Requires="wps">
            <w:drawing>
              <wp:anchor distT="0" distB="0" distL="114300" distR="114300" simplePos="0" relativeHeight="251663360" behindDoc="0" locked="0" layoutInCell="1" allowOverlap="1" wp14:anchorId="3A4768A0" wp14:editId="3A4768A1">
                <wp:simplePos x="0" y="0"/>
                <wp:positionH relativeFrom="page">
                  <wp:posOffset>3541395</wp:posOffset>
                </wp:positionH>
                <wp:positionV relativeFrom="paragraph">
                  <wp:posOffset>1428571</wp:posOffset>
                </wp:positionV>
                <wp:extent cx="1532255" cy="952500"/>
                <wp:effectExtent l="0" t="0" r="10795" b="19050"/>
                <wp:wrapNone/>
                <wp:docPr id="8" name="Elipse 8"/>
                <wp:cNvGraphicFramePr/>
                <a:graphic xmlns:a="http://schemas.openxmlformats.org/drawingml/2006/main">
                  <a:graphicData uri="http://schemas.microsoft.com/office/word/2010/wordprocessingShape">
                    <wps:wsp>
                      <wps:cNvSpPr/>
                      <wps:spPr>
                        <a:xfrm>
                          <a:off x="0" y="0"/>
                          <a:ext cx="1532255" cy="952500"/>
                        </a:xfrm>
                        <a:prstGeom prst="ellipse">
                          <a:avLst/>
                        </a:prstGeom>
                        <a:noFill/>
                        <a:ln w="19050" cap="flat" cmpd="sng" algn="ctr">
                          <a:solidFill>
                            <a:srgbClr val="4472C4">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324B9A" id="Elipse 8" o:spid="_x0000_s1026" style="position:absolute;margin-left:278.85pt;margin-top:112.5pt;width:120.65pt;height: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" filled="f" strokecolor="#2f528f" strokeweight="1.5pt">
                <v:stroke dashstyle="3 1" joinstyle="miter"/>
                <w10:wrap anchorx="page"/>
              </v:oval>
            </w:pict>
          </mc:Fallback>
        </mc:AlternateContent>
      </w:r>
      <w:r>
        <w:rPr>
          <w:rFonts w:ascii="Calibri" w:hAnsi="Calibri" w:cs="Calibri"/>
          <w:noProof/>
          <w:sz w:val="22"/>
          <w:szCs w:val="22"/>
          <w:lang w:val="es-MX" w:eastAsia="es-MX"/>
        </w:rPr>
        <mc:AlternateContent>
          <mc:Choice Requires="wps">
            <w:drawing>
              <wp:anchor distT="0" distB="0" distL="114300" distR="114300" simplePos="0" relativeHeight="251664384" behindDoc="0" locked="0" layoutInCell="1" allowOverlap="1" wp14:anchorId="3A4768A2" wp14:editId="3A4768A3">
                <wp:simplePos x="0" y="0"/>
                <wp:positionH relativeFrom="column">
                  <wp:posOffset>2911475</wp:posOffset>
                </wp:positionH>
                <wp:positionV relativeFrom="paragraph">
                  <wp:posOffset>1532076</wp:posOffset>
                </wp:positionV>
                <wp:extent cx="1210310" cy="775970"/>
                <wp:effectExtent l="38100" t="38100" r="46990" b="43180"/>
                <wp:wrapNone/>
                <wp:docPr id="7" name="Forma libre 7"/>
                <wp:cNvGraphicFramePr/>
                <a:graphic xmlns:a="http://schemas.openxmlformats.org/drawingml/2006/main">
                  <a:graphicData uri="http://schemas.microsoft.com/office/word/2010/wordprocessingShape">
                    <wps:wsp>
                      <wps:cNvSpPr/>
                      <wps:spPr>
                        <a:xfrm>
                          <a:off x="0" y="0"/>
                          <a:ext cx="1210310" cy="775970"/>
                        </a:xfrm>
                        <a:custGeom>
                          <a:avLst/>
                          <a:gdLst>
                            <a:gd name="connsiteX0" fmla="*/ 109182 w 1665027"/>
                            <a:gd name="connsiteY0" fmla="*/ 0 h 1125941"/>
                            <a:gd name="connsiteX1" fmla="*/ 1665027 w 1665027"/>
                            <a:gd name="connsiteY1" fmla="*/ 95535 h 1125941"/>
                            <a:gd name="connsiteX2" fmla="*/ 1528550 w 1665027"/>
                            <a:gd name="connsiteY2" fmla="*/ 1125941 h 1125941"/>
                            <a:gd name="connsiteX3" fmla="*/ 0 w 1665027"/>
                            <a:gd name="connsiteY3" fmla="*/ 1050878 h 1125941"/>
                            <a:gd name="connsiteX4" fmla="*/ 109182 w 1665027"/>
                            <a:gd name="connsiteY4" fmla="*/ 0 h 11259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5027" h="1125941">
                              <a:moveTo>
                                <a:pt x="109182" y="0"/>
                              </a:moveTo>
                              <a:lnTo>
                                <a:pt x="1665027" y="95535"/>
                              </a:lnTo>
                              <a:lnTo>
                                <a:pt x="1528550" y="1125941"/>
                              </a:lnTo>
                              <a:lnTo>
                                <a:pt x="0" y="1050878"/>
                              </a:lnTo>
                              <a:lnTo>
                                <a:pt x="109182" y="0"/>
                              </a:lnTo>
                              <a:close/>
                            </a:path>
                          </a:pathLst>
                        </a:custGeom>
                        <a:noFill/>
                        <a:ln w="38100" cap="flat" cmpd="sng" algn="ctr">
                          <a:solidFill>
                            <a:srgbClr val="4472C4">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36FAC" id="Forma libre 7" o:spid="_x0000_s1026" style="position:absolute;margin-left:229.25pt;margin-top:120.65pt;width:95.3pt;height:6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5027,112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" path="m109182,l1665027,95535,1528550,1125941,,1050878,109182,xe" filled="f" strokecolor="#2f528f" strokeweight="3pt">
                <v:stroke dashstyle="3 1" joinstyle="miter"/>
                <v:path arrowok="t" o:connecttype="custom" o:connectlocs="79365,0;1210310,65840;1111105,775970;0,724238;79365,0" o:connectangles="0,0,0,0,0"/>
              </v:shape>
            </w:pict>
          </mc:Fallback>
        </mc:AlternateContent>
      </w:r>
      <w:r w:rsidR="00016FE1">
        <w:rPr>
          <w:rFonts w:ascii="Gotham" w:hAnsi="Gotham"/>
          <w:i/>
          <w:noProof/>
          <w:sz w:val="20"/>
          <w:szCs w:val="20"/>
          <w:lang w:val="es-MX" w:eastAsia="es-MX"/>
        </w:rPr>
        <w:drawing>
          <wp:inline distT="0" distB="0" distL="0" distR="0" wp14:anchorId="3A4768A4" wp14:editId="3A4768A5">
            <wp:extent cx="4788000" cy="3115834"/>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8000" cy="3115834"/>
                    </a:xfrm>
                    <a:prstGeom prst="rect">
                      <a:avLst/>
                    </a:prstGeom>
                    <a:noFill/>
                    <a:ln>
                      <a:noFill/>
                    </a:ln>
                  </pic:spPr>
                </pic:pic>
              </a:graphicData>
            </a:graphic>
          </wp:inline>
        </w:drawing>
      </w:r>
    </w:p>
    <w:p w14:paraId="3A473FE9" w14:textId="77777777" w:rsidR="00016FE1" w:rsidRPr="008344BF" w:rsidRDefault="00016FE1" w:rsidP="002B6227">
      <w:pPr>
        <w:suppressAutoHyphens/>
        <w:ind w:left="567" w:right="283"/>
        <w:rPr>
          <w:rFonts w:ascii="Gotham" w:hAnsi="Gotham"/>
          <w:bCs/>
          <w:i/>
          <w:iCs/>
          <w:sz w:val="12"/>
          <w:szCs w:val="12"/>
          <w:lang w:eastAsia="x-none"/>
        </w:rPr>
      </w:pPr>
    </w:p>
    <w:p w14:paraId="3A473FEA" w14:textId="77777777" w:rsidR="00016FE1" w:rsidRPr="00345875" w:rsidRDefault="00016FE1" w:rsidP="002B6227">
      <w:pPr>
        <w:ind w:left="567" w:right="283"/>
        <w:jc w:val="both"/>
        <w:rPr>
          <w:rFonts w:ascii="Gotham" w:hAnsi="Gotham"/>
          <w:bCs/>
          <w:i/>
          <w:iCs/>
          <w:sz w:val="18"/>
          <w:szCs w:val="18"/>
          <w:lang w:eastAsia="es-MX"/>
        </w:rPr>
      </w:pPr>
      <w:r w:rsidRPr="00345875">
        <w:rPr>
          <w:rFonts w:ascii="Gotham" w:hAnsi="Gotham"/>
          <w:bCs/>
          <w:i/>
          <w:iCs/>
          <w:sz w:val="18"/>
          <w:szCs w:val="18"/>
        </w:rPr>
        <w:t>Estructura Urbana.</w:t>
      </w:r>
    </w:p>
    <w:p w14:paraId="3A473FEB" w14:textId="77777777" w:rsidR="00016FE1" w:rsidRPr="00345875" w:rsidRDefault="00016FE1" w:rsidP="002B6227">
      <w:pPr>
        <w:ind w:left="567" w:right="283"/>
        <w:jc w:val="both"/>
        <w:rPr>
          <w:rFonts w:ascii="Gotham" w:hAnsi="Gotham"/>
          <w:bCs/>
          <w:i/>
          <w:iCs/>
          <w:sz w:val="18"/>
          <w:szCs w:val="18"/>
          <w:lang w:eastAsia="x-none"/>
        </w:rPr>
      </w:pPr>
      <w:r w:rsidRPr="00345875">
        <w:rPr>
          <w:rFonts w:ascii="Gotham" w:hAnsi="Gotham"/>
          <w:bCs/>
          <w:i/>
          <w:iCs/>
          <w:sz w:val="18"/>
          <w:szCs w:val="18"/>
          <w:lang w:eastAsia="x-none"/>
        </w:rPr>
        <w:t>Jerarquía Vial: Con frente a dos vialidades locales.</w:t>
      </w:r>
    </w:p>
    <w:p w14:paraId="3A473FEC" w14:textId="77777777" w:rsidR="00016FE1" w:rsidRDefault="00016FE1" w:rsidP="002B6227">
      <w:pPr>
        <w:ind w:left="567" w:right="283"/>
        <w:jc w:val="both"/>
        <w:rPr>
          <w:rFonts w:ascii="Gotham" w:hAnsi="Gotham"/>
          <w:bCs/>
          <w:i/>
          <w:iCs/>
          <w:sz w:val="20"/>
          <w:szCs w:val="20"/>
          <w:lang w:eastAsia="x-none"/>
        </w:rPr>
      </w:pPr>
    </w:p>
    <w:p w14:paraId="3A473FED" w14:textId="77777777" w:rsidR="00016FE1" w:rsidRDefault="00016FE1" w:rsidP="002B6227">
      <w:pPr>
        <w:ind w:left="567" w:right="283"/>
        <w:jc w:val="both"/>
        <w:rPr>
          <w:rFonts w:ascii="Gotham" w:hAnsi="Gotham"/>
          <w:bCs/>
          <w:i/>
          <w:iCs/>
          <w:sz w:val="20"/>
          <w:szCs w:val="20"/>
          <w:lang w:eastAsia="x-none"/>
        </w:rPr>
      </w:pPr>
      <w:r>
        <w:rPr>
          <w:rFonts w:ascii="Gotham" w:hAnsi="Gotham"/>
          <w:bCs/>
          <w:i/>
          <w:iCs/>
          <w:sz w:val="20"/>
          <w:szCs w:val="20"/>
          <w:lang w:eastAsia="x-none"/>
        </w:rPr>
        <w:t>B. ANTECEDENTES.</w:t>
      </w:r>
    </w:p>
    <w:p w14:paraId="3A473FEE" w14:textId="77777777" w:rsidR="00016FE1" w:rsidRDefault="00016FE1" w:rsidP="002B6227">
      <w:pPr>
        <w:ind w:left="567" w:right="283"/>
        <w:jc w:val="both"/>
        <w:rPr>
          <w:rFonts w:ascii="Gotham" w:hAnsi="Gotham"/>
          <w:bCs/>
          <w:i/>
          <w:iCs/>
          <w:sz w:val="20"/>
          <w:szCs w:val="20"/>
          <w:lang w:eastAsia="x-none"/>
        </w:rPr>
      </w:pPr>
    </w:p>
    <w:p w14:paraId="3A473FEF" w14:textId="77777777" w:rsidR="00016FE1" w:rsidRDefault="00016FE1" w:rsidP="002B6227">
      <w:pPr>
        <w:pStyle w:val="Prrafodelista"/>
        <w:ind w:left="567" w:right="283"/>
        <w:contextualSpacing w:val="0"/>
        <w:jc w:val="both"/>
        <w:rPr>
          <w:rFonts w:ascii="Gotham" w:hAnsi="Gotham"/>
          <w:bCs/>
          <w:i/>
          <w:iCs/>
          <w:sz w:val="20"/>
          <w:szCs w:val="20"/>
          <w:lang w:eastAsia="es-MX"/>
        </w:rPr>
      </w:pPr>
      <w:r>
        <w:rPr>
          <w:rFonts w:ascii="Gotham" w:hAnsi="Gotham"/>
          <w:bCs/>
          <w:i/>
          <w:iCs/>
          <w:sz w:val="20"/>
          <w:szCs w:val="20"/>
        </w:rPr>
        <w:t>Se pone de manifiesto la solicitud de regularización de la empresa Comercializadora de Embutidos ICO, S.A. de C.V., para el inmueble ubicado calle Aldama No. 194; 19.00 metros al norte de la calle Loma del Potrero, entre ésta y la calle Privada Loma Alta, Colonia Loma Bonita I correspondiente al Plan de Desarrollo Urbano de Centro de Población, Distrito Urbano TON-06 “Zalatitán”, conformado por dos Áreas con superficie de 6,203.46 M</w:t>
      </w:r>
      <w:r>
        <w:rPr>
          <w:rFonts w:ascii="Cambria" w:hAnsi="Cambria" w:cs="Cambria"/>
          <w:bCs/>
          <w:i/>
          <w:iCs/>
          <w:sz w:val="20"/>
          <w:szCs w:val="20"/>
        </w:rPr>
        <w:t>²</w:t>
      </w:r>
      <w:r>
        <w:rPr>
          <w:rFonts w:ascii="Gotham" w:hAnsi="Gotham"/>
          <w:bCs/>
          <w:i/>
          <w:iCs/>
          <w:sz w:val="20"/>
          <w:szCs w:val="20"/>
        </w:rPr>
        <w:t xml:space="preserve"> y 2,711.32 M</w:t>
      </w:r>
      <w:r>
        <w:rPr>
          <w:rFonts w:ascii="Cambria" w:hAnsi="Cambria" w:cs="Cambria"/>
          <w:bCs/>
          <w:i/>
          <w:iCs/>
          <w:sz w:val="20"/>
          <w:szCs w:val="20"/>
        </w:rPr>
        <w:t>²</w:t>
      </w:r>
      <w:r>
        <w:rPr>
          <w:rFonts w:ascii="Gotham" w:hAnsi="Gotham"/>
          <w:bCs/>
          <w:i/>
          <w:iCs/>
          <w:sz w:val="20"/>
          <w:szCs w:val="20"/>
        </w:rPr>
        <w:t xml:space="preserve"> dando un total de 8,914.78 M</w:t>
      </w:r>
      <w:r>
        <w:rPr>
          <w:rFonts w:ascii="Cambria" w:hAnsi="Cambria" w:cs="Cambria"/>
          <w:bCs/>
          <w:i/>
          <w:iCs/>
          <w:sz w:val="20"/>
          <w:szCs w:val="20"/>
        </w:rPr>
        <w:t>²</w:t>
      </w:r>
      <w:r>
        <w:rPr>
          <w:rFonts w:ascii="Gotham" w:hAnsi="Gotham"/>
          <w:bCs/>
          <w:i/>
          <w:iCs/>
          <w:sz w:val="20"/>
          <w:szCs w:val="20"/>
        </w:rPr>
        <w:t>; a trav</w:t>
      </w:r>
      <w:r>
        <w:rPr>
          <w:rFonts w:ascii="Gotham" w:hAnsi="Gotham" w:cs="Gotham"/>
          <w:bCs/>
          <w:i/>
          <w:iCs/>
          <w:sz w:val="20"/>
          <w:szCs w:val="20"/>
        </w:rPr>
        <w:t>é</w:t>
      </w:r>
      <w:r>
        <w:rPr>
          <w:rFonts w:ascii="Gotham" w:hAnsi="Gotham"/>
          <w:bCs/>
          <w:i/>
          <w:iCs/>
          <w:sz w:val="20"/>
          <w:szCs w:val="20"/>
        </w:rPr>
        <w:t>s de la solicitud C. Juventina Montero Carlos, con el car</w:t>
      </w:r>
      <w:r>
        <w:rPr>
          <w:rFonts w:ascii="Gotham" w:hAnsi="Gotham" w:cs="Gotham"/>
          <w:bCs/>
          <w:i/>
          <w:iCs/>
          <w:sz w:val="20"/>
          <w:szCs w:val="20"/>
        </w:rPr>
        <w:t>á</w:t>
      </w:r>
      <w:r>
        <w:rPr>
          <w:rFonts w:ascii="Gotham" w:hAnsi="Gotham"/>
          <w:bCs/>
          <w:i/>
          <w:iCs/>
          <w:sz w:val="20"/>
          <w:szCs w:val="20"/>
        </w:rPr>
        <w:t xml:space="preserve">cter de Apoderado General de la sociedad mercantil Comercializadora de Embutidos ICO Sociedad Anónima de Capital Variable, con el carácter y personalidad que acredito mediante la Escritura pública No. 1,317 Libro 29, Folio 005791, que comparece ante esta Autoridad Municipal. </w:t>
      </w:r>
    </w:p>
    <w:p w14:paraId="3A473FF0" w14:textId="77777777" w:rsidR="00016FE1" w:rsidRDefault="00016FE1" w:rsidP="002B6227">
      <w:pPr>
        <w:pStyle w:val="Prrafodelista"/>
        <w:ind w:left="567" w:right="283"/>
        <w:contextualSpacing w:val="0"/>
        <w:jc w:val="both"/>
        <w:rPr>
          <w:rFonts w:ascii="Gotham" w:hAnsi="Gotham"/>
          <w:bCs/>
          <w:i/>
          <w:iCs/>
          <w:sz w:val="20"/>
          <w:szCs w:val="20"/>
        </w:rPr>
      </w:pPr>
    </w:p>
    <w:p w14:paraId="3A473FF1" w14:textId="77777777" w:rsidR="00016FE1" w:rsidRDefault="00016FE1" w:rsidP="002B6227">
      <w:pPr>
        <w:pStyle w:val="Prrafodelista"/>
        <w:ind w:left="567" w:right="283"/>
        <w:contextualSpacing w:val="0"/>
        <w:jc w:val="both"/>
        <w:rPr>
          <w:rFonts w:ascii="Gotham" w:hAnsi="Gotham"/>
          <w:bCs/>
          <w:i/>
          <w:iCs/>
          <w:sz w:val="20"/>
          <w:szCs w:val="20"/>
        </w:rPr>
      </w:pPr>
      <w:r>
        <w:rPr>
          <w:rFonts w:ascii="Gotham" w:hAnsi="Gotham"/>
          <w:bCs/>
          <w:i/>
          <w:iCs/>
          <w:sz w:val="20"/>
          <w:szCs w:val="20"/>
        </w:rPr>
        <w:t>La Empresa Comercializadora de Embutidos ICO, S.A. de C.V., quien actualmente opera los giros de Empacadora de carnes, Almacén y Venta de carnes frías, actividades que ha venido desarrollando desde hace más de 20 años, la cual acude ante la Dirección General de Planeación y Desarrollo Urbano Sustentable a solicitar se reconozcan los derechos adquiridos que ha generado a través de los años llevando a cabo la actividad lícita y continua antes señalada:</w:t>
      </w:r>
    </w:p>
    <w:p w14:paraId="3A473FF2" w14:textId="77777777" w:rsidR="00016FE1" w:rsidRDefault="00016FE1" w:rsidP="002B6227">
      <w:pPr>
        <w:pStyle w:val="Prrafodelista"/>
        <w:ind w:left="567" w:right="283"/>
        <w:contextualSpacing w:val="0"/>
        <w:jc w:val="both"/>
        <w:rPr>
          <w:rFonts w:ascii="Gotham" w:hAnsi="Gotham"/>
          <w:bCs/>
          <w:i/>
          <w:iCs/>
          <w:sz w:val="20"/>
          <w:szCs w:val="20"/>
        </w:rPr>
      </w:pPr>
    </w:p>
    <w:p w14:paraId="3A473FF3" w14:textId="77777777" w:rsidR="00016FE1" w:rsidRDefault="00016FE1" w:rsidP="002B6227">
      <w:pPr>
        <w:pStyle w:val="Prrafodelista"/>
        <w:spacing w:after="120"/>
        <w:ind w:left="992" w:right="284" w:hanging="425"/>
        <w:contextualSpacing w:val="0"/>
        <w:jc w:val="both"/>
        <w:rPr>
          <w:rFonts w:ascii="Gotham" w:hAnsi="Gotham"/>
          <w:bCs/>
          <w:i/>
          <w:iCs/>
          <w:sz w:val="20"/>
          <w:szCs w:val="20"/>
        </w:rPr>
      </w:pPr>
      <w:r>
        <w:rPr>
          <w:rFonts w:ascii="Gotham" w:hAnsi="Gotham"/>
          <w:bCs/>
          <w:i/>
          <w:iCs/>
          <w:sz w:val="20"/>
          <w:szCs w:val="20"/>
        </w:rPr>
        <w:t xml:space="preserve">1. </w:t>
      </w:r>
      <w:r>
        <w:rPr>
          <w:rFonts w:ascii="Gotham" w:hAnsi="Gotham"/>
          <w:bCs/>
          <w:i/>
          <w:iCs/>
          <w:sz w:val="20"/>
          <w:szCs w:val="20"/>
        </w:rPr>
        <w:tab/>
        <w:t>En el año 2001 se obtiene la opinión técnica como uso permitido para el giro elaboración de carnes frías y embutidos para el inmueble ubicado en calle Aldama No. 194, Colonia Loma Bonita, con superficie de 2,529.00 M2.</w:t>
      </w:r>
    </w:p>
    <w:p w14:paraId="3A473FF4" w14:textId="77777777" w:rsidR="00016FE1" w:rsidRDefault="00016FE1" w:rsidP="002B6227">
      <w:pPr>
        <w:pStyle w:val="Prrafodelista"/>
        <w:spacing w:after="120"/>
        <w:ind w:left="992" w:right="284" w:hanging="425"/>
        <w:contextualSpacing w:val="0"/>
        <w:jc w:val="both"/>
        <w:rPr>
          <w:rFonts w:ascii="Gotham" w:hAnsi="Gotham"/>
          <w:bCs/>
          <w:i/>
          <w:iCs/>
          <w:sz w:val="20"/>
          <w:szCs w:val="20"/>
        </w:rPr>
      </w:pPr>
      <w:r>
        <w:rPr>
          <w:rFonts w:ascii="Gotham" w:hAnsi="Gotham"/>
          <w:bCs/>
          <w:i/>
          <w:iCs/>
          <w:sz w:val="20"/>
          <w:szCs w:val="20"/>
        </w:rPr>
        <w:t xml:space="preserve">2. </w:t>
      </w:r>
      <w:r>
        <w:rPr>
          <w:rFonts w:ascii="Gotham" w:hAnsi="Gotham"/>
          <w:bCs/>
          <w:i/>
          <w:iCs/>
          <w:sz w:val="20"/>
          <w:szCs w:val="20"/>
        </w:rPr>
        <w:tab/>
        <w:t>En el año 2010 obtuvo el uso de suelo del predio ubicado en calle Aldama No. 183 esquina con Loma Perdida, Colonia Loma Bonita para el inmueble con superficie de 1,503.00 M2 para el uso Servicio Distrital (SD); en virtud de tratarse de una situación de hecho.</w:t>
      </w:r>
    </w:p>
    <w:p w14:paraId="3A473FF5" w14:textId="77777777" w:rsidR="00016FE1" w:rsidRDefault="00016FE1" w:rsidP="002B6227">
      <w:pPr>
        <w:pStyle w:val="Prrafodelista"/>
        <w:spacing w:after="120"/>
        <w:ind w:left="992" w:right="284" w:hanging="425"/>
        <w:contextualSpacing w:val="0"/>
        <w:jc w:val="both"/>
        <w:rPr>
          <w:rFonts w:ascii="Gotham" w:hAnsi="Gotham"/>
          <w:bCs/>
          <w:i/>
          <w:iCs/>
          <w:sz w:val="20"/>
          <w:szCs w:val="20"/>
        </w:rPr>
      </w:pPr>
      <w:r>
        <w:rPr>
          <w:rFonts w:ascii="Gotham" w:hAnsi="Gotham"/>
          <w:bCs/>
          <w:i/>
          <w:iCs/>
          <w:sz w:val="20"/>
          <w:szCs w:val="20"/>
        </w:rPr>
        <w:t xml:space="preserve">3. </w:t>
      </w:r>
      <w:r>
        <w:rPr>
          <w:rFonts w:ascii="Gotham" w:hAnsi="Gotham"/>
          <w:bCs/>
          <w:i/>
          <w:iCs/>
          <w:sz w:val="20"/>
          <w:szCs w:val="20"/>
        </w:rPr>
        <w:tab/>
        <w:t>Obtiene Licencia de funcionamiento para el giro Empacadora de carnes frías y embutidos para la planta ubicada en calle Aldama, misma que refrendan año con año.</w:t>
      </w:r>
    </w:p>
    <w:p w14:paraId="3A473FF6" w14:textId="77777777" w:rsidR="00016FE1" w:rsidRDefault="00016FE1" w:rsidP="002B6227">
      <w:pPr>
        <w:pStyle w:val="Prrafodelista"/>
        <w:spacing w:after="120"/>
        <w:ind w:left="992" w:right="284" w:hanging="425"/>
        <w:contextualSpacing w:val="0"/>
        <w:jc w:val="both"/>
        <w:rPr>
          <w:rFonts w:ascii="Gotham" w:hAnsi="Gotham"/>
          <w:bCs/>
          <w:i/>
          <w:iCs/>
          <w:sz w:val="20"/>
          <w:szCs w:val="20"/>
        </w:rPr>
      </w:pPr>
      <w:r>
        <w:rPr>
          <w:rFonts w:ascii="Gotham" w:hAnsi="Gotham"/>
          <w:bCs/>
          <w:i/>
          <w:iCs/>
          <w:sz w:val="20"/>
          <w:szCs w:val="20"/>
        </w:rPr>
        <w:t xml:space="preserve">4. </w:t>
      </w:r>
      <w:r>
        <w:rPr>
          <w:rFonts w:ascii="Gotham" w:hAnsi="Gotham"/>
          <w:bCs/>
          <w:i/>
          <w:iCs/>
          <w:sz w:val="20"/>
          <w:szCs w:val="20"/>
        </w:rPr>
        <w:tab/>
        <w:t>Obtiene Licencia de funcionamiento para el giro de Almacén y venta de carnes frías en calle Aldama No. 183 Colonia Loma Bonita, misma que refrendan año con año.</w:t>
      </w:r>
    </w:p>
    <w:p w14:paraId="3A473FF7" w14:textId="77777777" w:rsidR="00016FE1" w:rsidRDefault="00016FE1" w:rsidP="002B6227">
      <w:pPr>
        <w:pStyle w:val="Prrafodelista"/>
        <w:spacing w:after="120"/>
        <w:ind w:left="992" w:right="284" w:hanging="425"/>
        <w:contextualSpacing w:val="0"/>
        <w:jc w:val="both"/>
        <w:rPr>
          <w:rFonts w:ascii="Gotham" w:hAnsi="Gotham"/>
          <w:bCs/>
          <w:i/>
          <w:iCs/>
          <w:sz w:val="20"/>
          <w:szCs w:val="20"/>
        </w:rPr>
      </w:pPr>
      <w:r>
        <w:rPr>
          <w:rFonts w:ascii="Gotham" w:hAnsi="Gotham"/>
          <w:bCs/>
          <w:i/>
          <w:iCs/>
          <w:sz w:val="20"/>
          <w:szCs w:val="20"/>
        </w:rPr>
        <w:t xml:space="preserve">5. </w:t>
      </w:r>
      <w:r>
        <w:rPr>
          <w:rFonts w:ascii="Gotham" w:hAnsi="Gotham"/>
          <w:bCs/>
          <w:i/>
          <w:iCs/>
          <w:sz w:val="20"/>
          <w:szCs w:val="20"/>
        </w:rPr>
        <w:tab/>
        <w:t>Adquieren 17 lotes aledaños a calle Aldama No. 194, con superficie de 5,3510.99 M</w:t>
      </w:r>
      <w:r>
        <w:rPr>
          <w:rFonts w:ascii="Cambria" w:hAnsi="Cambria" w:cs="Cambria"/>
          <w:bCs/>
          <w:i/>
          <w:iCs/>
          <w:sz w:val="20"/>
          <w:szCs w:val="20"/>
        </w:rPr>
        <w:t>²</w:t>
      </w:r>
      <w:r>
        <w:rPr>
          <w:rFonts w:ascii="Gotham" w:hAnsi="Gotham"/>
          <w:bCs/>
          <w:i/>
          <w:iCs/>
          <w:sz w:val="20"/>
          <w:szCs w:val="20"/>
        </w:rPr>
        <w:t>.</w:t>
      </w:r>
    </w:p>
    <w:p w14:paraId="3A473FF8" w14:textId="77777777" w:rsidR="00016FE1" w:rsidRDefault="00016FE1" w:rsidP="002B6227">
      <w:pPr>
        <w:pStyle w:val="Prrafodelista"/>
        <w:spacing w:after="120"/>
        <w:ind w:left="992" w:right="284" w:hanging="425"/>
        <w:contextualSpacing w:val="0"/>
        <w:jc w:val="both"/>
        <w:rPr>
          <w:rFonts w:ascii="Gotham" w:hAnsi="Gotham"/>
          <w:bCs/>
          <w:i/>
          <w:iCs/>
          <w:sz w:val="20"/>
          <w:szCs w:val="20"/>
        </w:rPr>
      </w:pPr>
      <w:r>
        <w:rPr>
          <w:rFonts w:ascii="Gotham" w:hAnsi="Gotham"/>
          <w:bCs/>
          <w:i/>
          <w:iCs/>
          <w:sz w:val="20"/>
          <w:szCs w:val="20"/>
        </w:rPr>
        <w:t xml:space="preserve">6. </w:t>
      </w:r>
      <w:r>
        <w:rPr>
          <w:rFonts w:ascii="Gotham" w:hAnsi="Gotham"/>
          <w:bCs/>
          <w:i/>
          <w:iCs/>
          <w:sz w:val="20"/>
          <w:szCs w:val="20"/>
        </w:rPr>
        <w:tab/>
        <w:t>Adquieren el tramo de la calle Loma Perdida con superficie de 1,342.26 M</w:t>
      </w:r>
      <w:r>
        <w:rPr>
          <w:rFonts w:ascii="Cambria" w:hAnsi="Cambria" w:cs="Cambria"/>
          <w:bCs/>
          <w:i/>
          <w:iCs/>
          <w:sz w:val="20"/>
          <w:szCs w:val="20"/>
        </w:rPr>
        <w:t>²</w:t>
      </w:r>
      <w:r>
        <w:rPr>
          <w:rFonts w:ascii="Gotham" w:hAnsi="Gotham"/>
          <w:bCs/>
          <w:i/>
          <w:iCs/>
          <w:sz w:val="20"/>
          <w:szCs w:val="20"/>
        </w:rPr>
        <w:t xml:space="preserve">. </w:t>
      </w:r>
    </w:p>
    <w:p w14:paraId="3A473FF9" w14:textId="77777777" w:rsidR="00016FE1" w:rsidRDefault="00016FE1" w:rsidP="002B6227">
      <w:pPr>
        <w:pStyle w:val="Prrafodelista"/>
        <w:ind w:left="993" w:right="283" w:hanging="426"/>
        <w:contextualSpacing w:val="0"/>
        <w:jc w:val="both"/>
        <w:rPr>
          <w:rFonts w:ascii="Gotham" w:hAnsi="Gotham"/>
          <w:bCs/>
          <w:i/>
          <w:iCs/>
          <w:sz w:val="20"/>
          <w:szCs w:val="20"/>
        </w:rPr>
      </w:pPr>
      <w:r>
        <w:rPr>
          <w:rFonts w:ascii="Gotham" w:hAnsi="Gotham"/>
          <w:bCs/>
          <w:i/>
          <w:iCs/>
          <w:sz w:val="20"/>
          <w:szCs w:val="20"/>
        </w:rPr>
        <w:t xml:space="preserve">7. </w:t>
      </w:r>
      <w:r>
        <w:rPr>
          <w:rFonts w:ascii="Gotham" w:hAnsi="Gotham"/>
          <w:bCs/>
          <w:i/>
          <w:iCs/>
          <w:sz w:val="20"/>
          <w:szCs w:val="20"/>
        </w:rPr>
        <w:tab/>
        <w:t>Cuenta con dictamen No permitido al uso Industria Ligera y de Riesgo Bajo I1 (Empacadora de carnes frías) con No. de expediente 101/TON-06/2022/T-238 de fecha 05 de abril de 2022 a nombre de Luis Eduardo Campos Oceguera/Comercializadora de Embutidos ICO, S.A. de C.V.</w:t>
      </w:r>
    </w:p>
    <w:p w14:paraId="3A473FFA"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3FFB"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Es importante destacar que la representante de las actividades señaladas se trata de una Empresa generadora de empleos en el Municipio y que gran parte de los trabajadores viven en torno a la Planta de trabajo, misma que está inscrita en un área que cuenta con infraestructura de servicios, ocupada mayormente por Vivienda unifamiliar de uno o dos niveles, siendo que en la zona existen de hecho mezclas de usos con giros comerciales y de servicios que no necesariamente son compatibles con el uso Habitacional. </w:t>
      </w:r>
    </w:p>
    <w:p w14:paraId="3A473FFC"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3FFD"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En consecuencia, se consideran áreas en procesos de transición de usos que podrían captar población adicional sin embargo ofrece opciones de mezcla de usos de suelo de nivel barrial y distrital en corredores urbanos. </w:t>
      </w:r>
    </w:p>
    <w:p w14:paraId="3A473FFE"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3FFF"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Ahora bien, es importante señalar que se han reconocido los derechos adquiridos que posee el inmueble, así como las Actividades señaladas </w:t>
      </w:r>
      <w:r>
        <w:rPr>
          <w:rFonts w:ascii="Gotham" w:hAnsi="Gotham"/>
          <w:bCs/>
          <w:i/>
          <w:iCs/>
          <w:sz w:val="20"/>
          <w:szCs w:val="20"/>
        </w:rPr>
        <w:t xml:space="preserve">Empacadora de carnes, Almacén y Venta de carnes frías </w:t>
      </w:r>
      <w:r>
        <w:rPr>
          <w:rFonts w:ascii="Gotham" w:eastAsiaTheme="minorHAnsi" w:hAnsi="Gotham"/>
          <w:bCs/>
          <w:i/>
          <w:iCs/>
          <w:sz w:val="20"/>
          <w:szCs w:val="20"/>
          <w:lang w:eastAsia="en-US"/>
        </w:rPr>
        <w:t>en materia de desarrollo urbano como son:</w:t>
      </w:r>
    </w:p>
    <w:p w14:paraId="3A474000"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4001" w14:textId="77777777" w:rsidR="00016FE1" w:rsidRDefault="00016FE1" w:rsidP="002B6227">
      <w:pPr>
        <w:autoSpaceDE w:val="0"/>
        <w:autoSpaceDN w:val="0"/>
        <w:adjustRightInd w:val="0"/>
        <w:spacing w:after="120"/>
        <w:ind w:left="993" w:right="283" w:hanging="426"/>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1. </w:t>
      </w:r>
      <w:r>
        <w:rPr>
          <w:rFonts w:ascii="Gotham" w:eastAsiaTheme="minorHAnsi" w:hAnsi="Gotham"/>
          <w:bCs/>
          <w:i/>
          <w:iCs/>
          <w:sz w:val="20"/>
          <w:szCs w:val="20"/>
          <w:lang w:eastAsia="en-US"/>
        </w:rPr>
        <w:tab/>
        <w:t>Licencia de giro No. 19,247 para el emplazamiento de Almacén y venta de carnes frías emitida por la Dirección de Padrón y Licencias.</w:t>
      </w:r>
    </w:p>
    <w:p w14:paraId="3A474002" w14:textId="77777777" w:rsidR="00016FE1" w:rsidRDefault="00016FE1" w:rsidP="002B6227">
      <w:pPr>
        <w:autoSpaceDE w:val="0"/>
        <w:autoSpaceDN w:val="0"/>
        <w:adjustRightInd w:val="0"/>
        <w:spacing w:after="120"/>
        <w:ind w:left="993" w:right="283" w:hanging="426"/>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2. </w:t>
      </w:r>
      <w:r>
        <w:rPr>
          <w:rFonts w:ascii="Gotham" w:eastAsiaTheme="minorHAnsi" w:hAnsi="Gotham"/>
          <w:bCs/>
          <w:i/>
          <w:iCs/>
          <w:sz w:val="20"/>
          <w:szCs w:val="20"/>
          <w:lang w:eastAsia="en-US"/>
        </w:rPr>
        <w:tab/>
        <w:t>Licencia de giro No. 6,162 para el emplazamiento de Empacadora de carnes emitida por la Dirección de Padrón y Licencias.</w:t>
      </w:r>
    </w:p>
    <w:p w14:paraId="3A474003" w14:textId="77777777" w:rsidR="00016FE1" w:rsidRDefault="00016FE1" w:rsidP="002B6227">
      <w:pPr>
        <w:autoSpaceDE w:val="0"/>
        <w:autoSpaceDN w:val="0"/>
        <w:adjustRightInd w:val="0"/>
        <w:ind w:left="993" w:right="283" w:hanging="426"/>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3. </w:t>
      </w:r>
      <w:r>
        <w:rPr>
          <w:rFonts w:ascii="Gotham" w:eastAsiaTheme="minorHAnsi" w:hAnsi="Gotham"/>
          <w:bCs/>
          <w:i/>
          <w:iCs/>
          <w:sz w:val="20"/>
          <w:szCs w:val="20"/>
          <w:lang w:eastAsia="en-US"/>
        </w:rPr>
        <w:tab/>
        <w:t>Acuerdo No. 55 del Pleno del Ayuntamiento de fecha 02 de Marzo de 2010.</w:t>
      </w:r>
    </w:p>
    <w:p w14:paraId="3A474004"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4005"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Sin embargo, se señala que los propietarios o poseedores conservarán dichos derechos adquiridos, pero no podrán transmitirlos, realizar obras de ampliación, incremento de alturas, aumento de volumen o modificación de los fines, salvo que se sujeten al Plan de Desarrollo Urbano de Centro de Población.</w:t>
      </w:r>
    </w:p>
    <w:p w14:paraId="3A474006"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4007"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En ejercicio de los derechos adquiridos en materia de Desarrollo urbano la Empresa deberá sujetarse a las siguientes disposiciones:</w:t>
      </w:r>
    </w:p>
    <w:p w14:paraId="3A474008" w14:textId="77777777" w:rsidR="00016FE1" w:rsidRDefault="00016FE1" w:rsidP="002B6227">
      <w:pPr>
        <w:autoSpaceDE w:val="0"/>
        <w:autoSpaceDN w:val="0"/>
        <w:adjustRightInd w:val="0"/>
        <w:ind w:left="567" w:right="283"/>
        <w:rPr>
          <w:rFonts w:ascii="Gotham" w:eastAsiaTheme="minorHAnsi" w:hAnsi="Gotham"/>
          <w:bCs/>
          <w:i/>
          <w:iCs/>
          <w:sz w:val="20"/>
          <w:szCs w:val="20"/>
          <w:lang w:eastAsia="en-US"/>
        </w:rPr>
      </w:pPr>
    </w:p>
    <w:p w14:paraId="3A474009" w14:textId="77777777" w:rsidR="00016FE1" w:rsidRDefault="00016FE1" w:rsidP="002B6227">
      <w:pPr>
        <w:autoSpaceDE w:val="0"/>
        <w:autoSpaceDN w:val="0"/>
        <w:adjustRightInd w:val="0"/>
        <w:spacing w:after="120"/>
        <w:ind w:left="993" w:right="283" w:hanging="426"/>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1. </w:t>
      </w:r>
      <w:r>
        <w:rPr>
          <w:rFonts w:ascii="Gotham" w:eastAsiaTheme="minorHAnsi" w:hAnsi="Gotham"/>
          <w:bCs/>
          <w:i/>
          <w:iCs/>
          <w:sz w:val="20"/>
          <w:szCs w:val="20"/>
          <w:lang w:eastAsia="en-US"/>
        </w:rPr>
        <w:tab/>
        <w:t>Los derechos adquiridos prescribirán al término de un año en que se deje de ejercer el uso de que se trate de manera continua. En el caso de prescripción de derechos adquiridos, será aplicable la zonificación que determine el Plan de Desarrollo Urbano de Centro de Población vigente.</w:t>
      </w:r>
    </w:p>
    <w:p w14:paraId="3A47400A" w14:textId="77777777" w:rsidR="00016FE1" w:rsidRDefault="00016FE1" w:rsidP="002B6227">
      <w:pPr>
        <w:pStyle w:val="Prrafodelista"/>
        <w:autoSpaceDE w:val="0"/>
        <w:autoSpaceDN w:val="0"/>
        <w:adjustRightInd w:val="0"/>
        <w:spacing w:after="120"/>
        <w:ind w:left="993" w:right="283" w:hanging="426"/>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2. </w:t>
      </w:r>
      <w:r>
        <w:rPr>
          <w:rFonts w:ascii="Gotham" w:eastAsiaTheme="minorHAnsi" w:hAnsi="Gotham"/>
          <w:bCs/>
          <w:i/>
          <w:iCs/>
          <w:sz w:val="20"/>
          <w:szCs w:val="20"/>
          <w:lang w:eastAsia="en-US"/>
        </w:rPr>
        <w:tab/>
        <w:t>La documentación para reconocer los derechos adquiridos respecto de los usos del suelo, deberá presentarse en original o copia certificada de la misma, que pruebe fehacientemente su uso y aprovechamiento legítimo y continuo.</w:t>
      </w:r>
    </w:p>
    <w:p w14:paraId="3A47400B" w14:textId="77777777" w:rsidR="00016FE1" w:rsidRDefault="00016FE1" w:rsidP="002B6227">
      <w:pPr>
        <w:pStyle w:val="Prrafodelista"/>
        <w:autoSpaceDE w:val="0"/>
        <w:autoSpaceDN w:val="0"/>
        <w:adjustRightInd w:val="0"/>
        <w:ind w:left="993" w:right="283" w:hanging="426"/>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3. </w:t>
      </w:r>
      <w:r>
        <w:rPr>
          <w:rFonts w:ascii="Gotham" w:eastAsiaTheme="minorHAnsi" w:hAnsi="Gotham"/>
          <w:bCs/>
          <w:i/>
          <w:iCs/>
          <w:sz w:val="20"/>
          <w:szCs w:val="20"/>
          <w:lang w:eastAsia="en-US"/>
        </w:rPr>
        <w:tab/>
        <w:t>Si la construcción o instalación requiere demolerse, el propietario o poseedor -de conformidad con sus derechos adquiridos-, la podrá volver a edificar hasta una superficie igual a la demolida, conservando el mismo uso.</w:t>
      </w:r>
    </w:p>
    <w:p w14:paraId="3A47400C" w14:textId="77777777" w:rsidR="00016FE1" w:rsidRDefault="00016FE1" w:rsidP="002B6227">
      <w:pPr>
        <w:ind w:left="567" w:right="283"/>
        <w:jc w:val="both"/>
        <w:rPr>
          <w:rFonts w:ascii="Gotham" w:eastAsiaTheme="minorHAnsi" w:hAnsi="Gotham"/>
          <w:bCs/>
          <w:i/>
          <w:iCs/>
          <w:sz w:val="20"/>
          <w:szCs w:val="20"/>
          <w:lang w:eastAsia="en-US"/>
        </w:rPr>
      </w:pPr>
    </w:p>
    <w:p w14:paraId="3A47400D"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Una vez establecidos los Antecedentes y Justificación para la tolerancia de las Actividades de referencia; a continuación, me permito exponer las Determinaciones técnicas en materia de Movilidad y Transporte, Desarrollo Urbano y Control de la Edificación, mismas con las que deberá cumplir la Empresa.</w:t>
      </w:r>
    </w:p>
    <w:p w14:paraId="3A47400E" w14:textId="77777777" w:rsidR="00016FE1" w:rsidRDefault="00016FE1" w:rsidP="002B6227">
      <w:pPr>
        <w:ind w:left="567" w:right="283"/>
        <w:jc w:val="both"/>
        <w:rPr>
          <w:rFonts w:ascii="Gotham" w:eastAsiaTheme="minorHAnsi" w:hAnsi="Gotham"/>
          <w:bCs/>
          <w:i/>
          <w:iCs/>
          <w:sz w:val="20"/>
          <w:szCs w:val="20"/>
          <w:lang w:eastAsia="en-US"/>
        </w:rPr>
      </w:pPr>
    </w:p>
    <w:p w14:paraId="3A47400F" w14:textId="77777777" w:rsidR="00016FE1" w:rsidRDefault="00016FE1" w:rsidP="002B6227">
      <w:pPr>
        <w:ind w:left="567" w:right="283"/>
        <w:jc w:val="both"/>
        <w:rPr>
          <w:rFonts w:ascii="Gotham" w:eastAsia="Calibri" w:hAnsi="Gotham"/>
          <w:bCs/>
          <w:i/>
          <w:iCs/>
          <w:sz w:val="20"/>
          <w:szCs w:val="20"/>
          <w:lang w:eastAsia="x-none"/>
        </w:rPr>
      </w:pPr>
      <w:r>
        <w:rPr>
          <w:rFonts w:ascii="Gotham" w:hAnsi="Gotham"/>
          <w:bCs/>
          <w:i/>
          <w:iCs/>
          <w:sz w:val="20"/>
          <w:szCs w:val="20"/>
          <w:lang w:eastAsia="x-none"/>
        </w:rPr>
        <w:t>C. DETERMINACIONES TECNICAS.</w:t>
      </w:r>
    </w:p>
    <w:p w14:paraId="3A474010" w14:textId="77777777" w:rsidR="00016FE1" w:rsidRDefault="00016FE1" w:rsidP="002B6227">
      <w:pPr>
        <w:ind w:left="567" w:right="283"/>
        <w:jc w:val="both"/>
        <w:rPr>
          <w:rFonts w:ascii="Gotham" w:eastAsiaTheme="minorHAnsi" w:hAnsi="Gotham"/>
          <w:bCs/>
          <w:i/>
          <w:iCs/>
          <w:sz w:val="20"/>
          <w:szCs w:val="20"/>
          <w:lang w:eastAsia="en-US"/>
        </w:rPr>
      </w:pPr>
    </w:p>
    <w:p w14:paraId="3A474011"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Dirección de Planeación, Movilidad y Transporte.</w:t>
      </w:r>
    </w:p>
    <w:p w14:paraId="3A474012"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p>
    <w:p w14:paraId="3A474013"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t>Conforme al análisis realizado a las vialidades y su operación se determina que deberá presentar un Estudio de Impacto al Tránsito, esto referente al Programa de Asistencia Técnica en Transporte Urbano para las Ciudades Medias Mexicanas, Manual de Estudios de Ingeniería de Tránsito que establece los requisitos para dicho estudio:</w:t>
      </w:r>
    </w:p>
    <w:p w14:paraId="3A474014"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p>
    <w:p w14:paraId="3A474015" w14:textId="77777777" w:rsidR="00016FE1" w:rsidRDefault="00016FE1" w:rsidP="00865062">
      <w:pPr>
        <w:pStyle w:val="Prrafodelista"/>
        <w:numPr>
          <w:ilvl w:val="1"/>
          <w:numId w:val="164"/>
        </w:numPr>
        <w:spacing w:after="80"/>
        <w:ind w:left="993" w:right="283" w:hanging="426"/>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Cuando el desarrollo es construido en una zona sensible, </w:t>
      </w:r>
    </w:p>
    <w:p w14:paraId="3A474016" w14:textId="77777777" w:rsidR="00016FE1" w:rsidRDefault="00016FE1" w:rsidP="00865062">
      <w:pPr>
        <w:pStyle w:val="Prrafodelista"/>
        <w:numPr>
          <w:ilvl w:val="1"/>
          <w:numId w:val="164"/>
        </w:numPr>
        <w:ind w:left="993" w:right="283" w:hanging="426"/>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t>Cuando se cambia la zonificación del área.</w:t>
      </w:r>
    </w:p>
    <w:p w14:paraId="3A474017"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4018"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lastRenderedPageBreak/>
        <w:t>El grafico Utilización General del Suelo (E3) del Plan de Desarrollo Urbano de Centro de Población para el Municipio de Tonalá, designa a la zona con el uso de suelo Habitacional Densidad Alta Unifamiliar (H4-U).</w:t>
      </w:r>
    </w:p>
    <w:p w14:paraId="3A474019"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p>
    <w:p w14:paraId="3A47401A"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t>Referente a lo antes mencionado y que el proyecto se encuentra dentro de una zona sensible debido a las características de las vialidades y el uso de suelo predominante, esta Dirección solicita presentar el Estudio de Impacto al Transito con la finalidad de conocer el comportamiento actual y las proyecciones, así como acciones de mitigación a su entorno.</w:t>
      </w:r>
    </w:p>
    <w:p w14:paraId="3A47401B"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p>
    <w:p w14:paraId="3A47401C"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t>El uso de suelo propuesto por el desarrollo no corresponde con el establecido por el Plan de Desarrollo Urbano de Centro de Población Distrito Urbano TON-06 “Zalatitán” por lo que de conformidad al artículo 131 del Código Urbano para el Estado de Jalisco deberá presentar documentación fundada y motivada conforme a lo establecido por este instrumento normativo y el Plan de Desarrollo antes mencionado, de no contar con esta información esta Dependencia solo podrá emitir una opinión técnica en materia de Movilidad.</w:t>
      </w:r>
    </w:p>
    <w:p w14:paraId="3A47401D"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p>
    <w:p w14:paraId="3A47401E" w14:textId="77777777" w:rsidR="00016FE1" w:rsidRDefault="00016FE1" w:rsidP="002B6227">
      <w:pPr>
        <w:pStyle w:val="Prrafodelista"/>
        <w:ind w:left="567" w:right="283"/>
        <w:contextualSpacing w:val="0"/>
        <w:jc w:val="both"/>
        <w:rPr>
          <w:rFonts w:ascii="Gotham" w:eastAsiaTheme="minorHAnsi" w:hAnsi="Gotham"/>
          <w:bCs/>
          <w:i/>
          <w:iCs/>
          <w:sz w:val="20"/>
          <w:szCs w:val="20"/>
          <w:lang w:eastAsia="en-US"/>
        </w:rPr>
      </w:pPr>
      <w:r>
        <w:rPr>
          <w:rFonts w:ascii="Gotham" w:eastAsiaTheme="minorHAnsi" w:hAnsi="Gotham"/>
          <w:bCs/>
          <w:i/>
          <w:iCs/>
          <w:sz w:val="20"/>
          <w:szCs w:val="20"/>
          <w:lang w:eastAsia="en-US"/>
        </w:rPr>
        <w:t>Todas las adecuaciones en el entorno al desarrollo que garanticen la seguridad y movilidad de la zona como lo son los cruceros seguros, señalamientos y andadores peatonales deberán implementarse por parte del particular, conforme al artículo 212 y 214 del Código Urbano para el Estado de Jalisco.</w:t>
      </w:r>
    </w:p>
    <w:p w14:paraId="3A47401F" w14:textId="77777777" w:rsidR="00016FE1" w:rsidRDefault="00016FE1" w:rsidP="002B6227">
      <w:pPr>
        <w:ind w:left="567" w:right="283"/>
        <w:jc w:val="both"/>
        <w:rPr>
          <w:rFonts w:ascii="Gotham" w:eastAsiaTheme="minorHAnsi" w:hAnsi="Gotham"/>
          <w:bCs/>
          <w:i/>
          <w:iCs/>
          <w:sz w:val="20"/>
          <w:szCs w:val="20"/>
          <w:lang w:eastAsia="en-US"/>
        </w:rPr>
      </w:pPr>
    </w:p>
    <w:p w14:paraId="3A474020"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Dirección de Desarrollo Urbano.</w:t>
      </w:r>
    </w:p>
    <w:p w14:paraId="3A474021" w14:textId="77777777" w:rsidR="00016FE1" w:rsidRDefault="00016FE1" w:rsidP="002B6227">
      <w:pPr>
        <w:ind w:left="567" w:right="283"/>
        <w:jc w:val="both"/>
        <w:rPr>
          <w:rFonts w:ascii="Gotham" w:eastAsiaTheme="minorHAnsi" w:hAnsi="Gotham"/>
          <w:bCs/>
          <w:i/>
          <w:iCs/>
          <w:sz w:val="20"/>
          <w:szCs w:val="20"/>
          <w:lang w:eastAsia="en-US"/>
        </w:rPr>
      </w:pPr>
    </w:p>
    <w:p w14:paraId="3A474022"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Deberá realizar el trámite y enterar el pago de los derechos de Aprovechamiento de infraestructura.</w:t>
      </w:r>
    </w:p>
    <w:p w14:paraId="3A474023" w14:textId="77777777" w:rsidR="00016FE1" w:rsidRDefault="00016FE1" w:rsidP="002B6227">
      <w:pPr>
        <w:ind w:left="567" w:right="283"/>
        <w:jc w:val="both"/>
        <w:rPr>
          <w:rFonts w:ascii="Gotham" w:eastAsiaTheme="minorHAnsi" w:hAnsi="Gotham"/>
          <w:bCs/>
          <w:i/>
          <w:iCs/>
          <w:sz w:val="20"/>
          <w:szCs w:val="20"/>
          <w:lang w:eastAsia="en-US"/>
        </w:rPr>
      </w:pPr>
    </w:p>
    <w:p w14:paraId="3A474024"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Deberá ejecutar obras faltantes a realizar en el entorno conforme al artículo 266 del Código Urbano para el Estado de Jalisco/CUEJ (estas obras serán determinadas posteriormente).</w:t>
      </w:r>
    </w:p>
    <w:p w14:paraId="3A474025" w14:textId="77777777" w:rsidR="00016FE1" w:rsidRDefault="00016FE1" w:rsidP="002B6227">
      <w:pPr>
        <w:ind w:left="567" w:right="283"/>
        <w:jc w:val="both"/>
        <w:rPr>
          <w:rFonts w:ascii="Gotham" w:eastAsiaTheme="minorHAnsi" w:hAnsi="Gotham"/>
          <w:bCs/>
          <w:i/>
          <w:iCs/>
          <w:sz w:val="20"/>
          <w:szCs w:val="20"/>
          <w:lang w:eastAsia="en-US"/>
        </w:rPr>
      </w:pPr>
    </w:p>
    <w:p w14:paraId="3A474026"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Garantizar el porcentaje requerido de Áreas de Cesión para destinos para el uso consignado en el </w:t>
      </w:r>
      <w:r>
        <w:rPr>
          <w:rFonts w:ascii="Gotham" w:hAnsi="Gotham"/>
          <w:bCs/>
          <w:i/>
          <w:iCs/>
          <w:sz w:val="20"/>
          <w:szCs w:val="20"/>
          <w:lang w:eastAsia="x-none"/>
        </w:rPr>
        <w:t xml:space="preserve">Plan de Desarrollo Urbano de Centro de Población, Distrito Urbano TON-06 “Zalatitán”, siendo que le corresponde el 16% de la superficie bruta </w:t>
      </w:r>
      <w:r>
        <w:rPr>
          <w:rFonts w:ascii="Gotham" w:eastAsiaTheme="minorHAnsi" w:hAnsi="Gotham"/>
          <w:bCs/>
          <w:i/>
          <w:iCs/>
          <w:sz w:val="20"/>
          <w:szCs w:val="20"/>
          <w:lang w:eastAsia="en-US"/>
        </w:rPr>
        <w:t xml:space="preserve">conforme a lo señalado en Artículo 176 fracción II del CUEJ. </w:t>
      </w:r>
    </w:p>
    <w:p w14:paraId="3A474027" w14:textId="77777777" w:rsidR="00016FE1" w:rsidRDefault="00016FE1" w:rsidP="002B6227">
      <w:pPr>
        <w:ind w:left="567" w:right="283"/>
        <w:jc w:val="both"/>
        <w:rPr>
          <w:rFonts w:ascii="Gotham" w:eastAsiaTheme="minorHAnsi" w:hAnsi="Gotham"/>
          <w:bCs/>
          <w:i/>
          <w:iCs/>
          <w:sz w:val="20"/>
          <w:szCs w:val="20"/>
          <w:lang w:eastAsia="en-US"/>
        </w:rPr>
      </w:pPr>
    </w:p>
    <w:p w14:paraId="3A474028"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Dirección de Control de la Edificación.</w:t>
      </w:r>
    </w:p>
    <w:p w14:paraId="3A474029" w14:textId="77777777" w:rsidR="00016FE1" w:rsidRDefault="00016FE1" w:rsidP="002B6227">
      <w:pPr>
        <w:ind w:left="567" w:right="283"/>
        <w:jc w:val="both"/>
        <w:rPr>
          <w:rFonts w:ascii="Gotham" w:eastAsiaTheme="minorHAnsi" w:hAnsi="Gotham"/>
          <w:bCs/>
          <w:i/>
          <w:iCs/>
          <w:sz w:val="20"/>
          <w:szCs w:val="20"/>
          <w:lang w:eastAsia="en-US"/>
        </w:rPr>
      </w:pPr>
    </w:p>
    <w:p w14:paraId="3A47402A"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 xml:space="preserve">El Proyecto pretende realizar 4 ampliaciones dentro del predio actual, las cuales contemplan un Área administrativa de 3 niveles en el cual incluyen baños, comedor y oficinas, así como un Área de refrigeración y Área de aires acondicionados, además de remodelaciones y demoliciones dentro de la construcción que no afectan los coeficientes. </w:t>
      </w:r>
    </w:p>
    <w:p w14:paraId="3A47402B" w14:textId="77777777" w:rsidR="00016FE1" w:rsidRDefault="00016FE1" w:rsidP="002B6227">
      <w:pPr>
        <w:ind w:left="567" w:right="283"/>
        <w:jc w:val="both"/>
        <w:rPr>
          <w:rFonts w:ascii="Gotham" w:eastAsiaTheme="minorHAnsi" w:hAnsi="Gotham"/>
          <w:bCs/>
          <w:i/>
          <w:iCs/>
          <w:sz w:val="20"/>
          <w:szCs w:val="20"/>
          <w:lang w:eastAsia="en-US"/>
        </w:rPr>
      </w:pPr>
    </w:p>
    <w:p w14:paraId="3A47402C"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Se conforma por 24 lotes que se encuentran de manera individual, que en conjunto presentan una superficie total de 10,276.253 M</w:t>
      </w:r>
      <w:r>
        <w:rPr>
          <w:rFonts w:ascii="Gotham" w:eastAsiaTheme="minorHAnsi" w:hAnsi="Gotham"/>
          <w:bCs/>
          <w:i/>
          <w:iCs/>
          <w:sz w:val="20"/>
          <w:szCs w:val="20"/>
          <w:vertAlign w:val="superscript"/>
          <w:lang w:eastAsia="en-US"/>
        </w:rPr>
        <w:t>2</w:t>
      </w:r>
      <w:r>
        <w:rPr>
          <w:rFonts w:ascii="Gotham" w:eastAsiaTheme="minorHAnsi" w:hAnsi="Gotham"/>
          <w:bCs/>
          <w:i/>
          <w:iCs/>
          <w:sz w:val="20"/>
          <w:szCs w:val="20"/>
          <w:lang w:eastAsia="en-US"/>
        </w:rPr>
        <w:t>.</w:t>
      </w:r>
    </w:p>
    <w:p w14:paraId="3A47402D" w14:textId="77777777" w:rsidR="00016FE1" w:rsidRDefault="00016FE1" w:rsidP="002B6227">
      <w:pPr>
        <w:ind w:left="567" w:right="283"/>
        <w:jc w:val="both"/>
        <w:rPr>
          <w:rFonts w:ascii="Gotham" w:eastAsiaTheme="minorHAnsi" w:hAnsi="Gotham"/>
          <w:bCs/>
          <w:i/>
          <w:iCs/>
          <w:sz w:val="20"/>
          <w:szCs w:val="20"/>
          <w:lang w:eastAsia="en-US"/>
        </w:rPr>
      </w:pPr>
    </w:p>
    <w:p w14:paraId="3A47402E"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Presenta 9 Licencias de Construcción que se han emitido desde Diciembre de 2009 hasta Noviembre del 2018. No obstante, estas no cubren la totalidad de la construcción del predio.</w:t>
      </w:r>
    </w:p>
    <w:p w14:paraId="3A47402F"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4030"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Presenta mediante Acuerdo de Cabildo No. 55, celebrado el 02 de Marzo de 2010 la extensión superficial de 1053.00 M</w:t>
      </w:r>
      <w:r>
        <w:rPr>
          <w:rFonts w:ascii="Gotham" w:eastAsiaTheme="minorHAnsi" w:hAnsi="Gotham"/>
          <w:bCs/>
          <w:i/>
          <w:iCs/>
          <w:sz w:val="20"/>
          <w:szCs w:val="20"/>
          <w:vertAlign w:val="superscript"/>
          <w:lang w:eastAsia="en-US"/>
        </w:rPr>
        <w:t>2</w:t>
      </w:r>
      <w:r>
        <w:rPr>
          <w:rFonts w:ascii="Gotham" w:eastAsiaTheme="minorHAnsi" w:hAnsi="Gotham"/>
          <w:bCs/>
          <w:i/>
          <w:iCs/>
          <w:sz w:val="20"/>
          <w:szCs w:val="20"/>
          <w:lang w:eastAsia="en-US"/>
        </w:rPr>
        <w:t xml:space="preserve"> para destinarlo al uso de Servicio Distrital de Almacén de embutidos, oficinas y cremería.</w:t>
      </w:r>
    </w:p>
    <w:p w14:paraId="3A474031" w14:textId="77777777" w:rsidR="00016FE1" w:rsidRDefault="00016FE1" w:rsidP="002B6227">
      <w:pPr>
        <w:autoSpaceDE w:val="0"/>
        <w:autoSpaceDN w:val="0"/>
        <w:adjustRightInd w:val="0"/>
        <w:ind w:left="567" w:right="283"/>
        <w:jc w:val="both"/>
        <w:rPr>
          <w:rFonts w:ascii="Gotham" w:eastAsiaTheme="minorHAnsi" w:hAnsi="Gotham"/>
          <w:bCs/>
          <w:i/>
          <w:iCs/>
          <w:sz w:val="20"/>
          <w:szCs w:val="20"/>
          <w:lang w:eastAsia="en-US"/>
        </w:rPr>
      </w:pPr>
    </w:p>
    <w:p w14:paraId="3A474032"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lastRenderedPageBreak/>
        <w:t>Presenta Dictamen 101/TON-06 TED/19-391 del Domicilio de fecha del 08 de Julio de 2019. Compatible para uso Manufactura domiciliaria en la superficie de 2,529.00 M</w:t>
      </w:r>
      <w:r>
        <w:rPr>
          <w:rFonts w:ascii="Gotham" w:eastAsiaTheme="minorHAnsi" w:hAnsi="Gotham"/>
          <w:bCs/>
          <w:i/>
          <w:iCs/>
          <w:sz w:val="20"/>
          <w:szCs w:val="20"/>
          <w:vertAlign w:val="superscript"/>
          <w:lang w:eastAsia="en-US"/>
        </w:rPr>
        <w:t>2</w:t>
      </w:r>
      <w:r>
        <w:rPr>
          <w:rFonts w:ascii="Gotham" w:eastAsiaTheme="minorHAnsi" w:hAnsi="Gotham"/>
          <w:bCs/>
          <w:i/>
          <w:iCs/>
          <w:sz w:val="20"/>
          <w:szCs w:val="20"/>
          <w:lang w:eastAsia="en-US"/>
        </w:rPr>
        <w:t>.</w:t>
      </w:r>
    </w:p>
    <w:p w14:paraId="3A474033" w14:textId="77777777" w:rsidR="00016FE1" w:rsidRDefault="00016FE1" w:rsidP="002B6227">
      <w:pPr>
        <w:ind w:left="567" w:right="283"/>
        <w:jc w:val="both"/>
        <w:rPr>
          <w:rFonts w:ascii="Gotham" w:eastAsiaTheme="minorHAnsi" w:hAnsi="Gotham"/>
          <w:bCs/>
          <w:i/>
          <w:iCs/>
          <w:sz w:val="20"/>
          <w:szCs w:val="20"/>
          <w:lang w:eastAsia="en-US"/>
        </w:rPr>
      </w:pPr>
    </w:p>
    <w:p w14:paraId="3A474034"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Sin embargo, estos dos últimos NO amparan el uso de suelo en la superficie total del predio.</w:t>
      </w:r>
    </w:p>
    <w:p w14:paraId="3A474035" w14:textId="77777777" w:rsidR="00016FE1" w:rsidRDefault="00016FE1" w:rsidP="002B6227">
      <w:pPr>
        <w:ind w:left="567" w:right="283"/>
        <w:jc w:val="both"/>
        <w:rPr>
          <w:rFonts w:ascii="Gotham" w:eastAsiaTheme="minorHAnsi" w:hAnsi="Gotham"/>
          <w:bCs/>
          <w:i/>
          <w:iCs/>
          <w:sz w:val="20"/>
          <w:szCs w:val="20"/>
          <w:lang w:eastAsia="en-US"/>
        </w:rPr>
      </w:pPr>
    </w:p>
    <w:p w14:paraId="3A474036" w14:textId="77777777" w:rsidR="00016FE1" w:rsidRDefault="00016FE1" w:rsidP="002B6227">
      <w:pPr>
        <w:ind w:left="567" w:right="283"/>
        <w:jc w:val="both"/>
        <w:rPr>
          <w:rFonts w:ascii="Gotham" w:eastAsiaTheme="minorHAnsi" w:hAnsi="Gotham"/>
          <w:bCs/>
          <w:i/>
          <w:iCs/>
          <w:sz w:val="20"/>
          <w:szCs w:val="20"/>
          <w:lang w:eastAsia="en-US"/>
        </w:rPr>
      </w:pPr>
      <w:r>
        <w:rPr>
          <w:rFonts w:ascii="Gotham" w:eastAsiaTheme="minorHAnsi" w:hAnsi="Gotham"/>
          <w:bCs/>
          <w:i/>
          <w:iCs/>
          <w:sz w:val="20"/>
          <w:szCs w:val="20"/>
          <w:lang w:eastAsia="en-US"/>
        </w:rPr>
        <w:t>Para efectos de estar en condiciones de emitir la Licencia de Construcción, es necesario que ingrese el expediente correspondiente incluyendo los requerimientos y proyectos definidos por la Dirección de Planeación, Movilidad y Transporte, Dirección de Desarrollo Urbano y considerando también las observaciones de la Dirección de Ecología y Cambio climático y Dirección de Protección Civil.</w:t>
      </w:r>
    </w:p>
    <w:p w14:paraId="3A474037" w14:textId="77777777" w:rsidR="00016FE1" w:rsidRDefault="00016FE1" w:rsidP="002B6227">
      <w:pPr>
        <w:ind w:left="567" w:right="283"/>
        <w:jc w:val="both"/>
        <w:rPr>
          <w:rFonts w:ascii="Gotham" w:eastAsiaTheme="minorHAnsi" w:hAnsi="Gotham"/>
          <w:bCs/>
          <w:i/>
          <w:iCs/>
          <w:sz w:val="20"/>
          <w:szCs w:val="20"/>
          <w:lang w:eastAsia="en-US"/>
        </w:rPr>
      </w:pPr>
    </w:p>
    <w:p w14:paraId="3A474038" w14:textId="77777777" w:rsidR="00016FE1" w:rsidRDefault="00016FE1" w:rsidP="002B6227">
      <w:pPr>
        <w:ind w:left="567" w:right="283"/>
        <w:jc w:val="both"/>
        <w:rPr>
          <w:rFonts w:ascii="Gotham" w:eastAsia="Calibri" w:hAnsi="Gotham"/>
          <w:bCs/>
          <w:i/>
          <w:iCs/>
          <w:sz w:val="20"/>
          <w:szCs w:val="20"/>
          <w:lang w:eastAsia="es-MX"/>
        </w:rPr>
      </w:pPr>
      <w:r>
        <w:rPr>
          <w:rFonts w:ascii="Gotham" w:eastAsiaTheme="minorHAnsi" w:hAnsi="Gotham"/>
          <w:bCs/>
          <w:i/>
          <w:iCs/>
          <w:sz w:val="20"/>
          <w:szCs w:val="20"/>
          <w:lang w:eastAsia="en-US"/>
        </w:rPr>
        <w:t xml:space="preserve">En virtud de las anteriores consideraciones; es importante mencionar que en el Acuerdo que se celebre deberá establecerse que no podrán desarrollar más ampliaciones de las que se autoricen en el </w:t>
      </w:r>
      <w:r>
        <w:rPr>
          <w:rFonts w:ascii="Gotham" w:eastAsiaTheme="minorHAnsi" w:hAnsi="Gotham"/>
          <w:bCs/>
          <w:i/>
          <w:iCs/>
          <w:sz w:val="20"/>
          <w:szCs w:val="20"/>
          <w:u w:val="single"/>
          <w:lang w:eastAsia="en-US"/>
        </w:rPr>
        <w:t xml:space="preserve">Convenio de Tolerancia de las actividades de </w:t>
      </w:r>
      <w:r>
        <w:rPr>
          <w:rFonts w:ascii="Gotham" w:hAnsi="Gotham"/>
          <w:bCs/>
          <w:i/>
          <w:iCs/>
          <w:sz w:val="20"/>
          <w:szCs w:val="20"/>
          <w:u w:val="single"/>
        </w:rPr>
        <w:t>Empacadora de carnes, Almacén y Venta de carnes frías.</w:t>
      </w:r>
    </w:p>
    <w:p w14:paraId="3A474039" w14:textId="77777777" w:rsidR="00016FE1" w:rsidRDefault="00016FE1" w:rsidP="002B6227">
      <w:pPr>
        <w:pStyle w:val="Prrafodelista"/>
        <w:shd w:val="clear" w:color="auto" w:fill="FFFFFF"/>
        <w:ind w:left="1800"/>
        <w:contextualSpacing w:val="0"/>
        <w:rPr>
          <w:rFonts w:ascii="Gotham" w:hAnsi="Gotham"/>
          <w:bCs/>
          <w:color w:val="000000" w:themeColor="text1"/>
          <w:sz w:val="20"/>
          <w:szCs w:val="20"/>
        </w:rPr>
      </w:pPr>
    </w:p>
    <w:p w14:paraId="3A47403A"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CONSIDERANDOS</w:t>
      </w:r>
    </w:p>
    <w:p w14:paraId="3A47403B" w14:textId="77777777" w:rsidR="00016FE1" w:rsidRDefault="00016FE1" w:rsidP="002B6227">
      <w:pPr>
        <w:rPr>
          <w:rFonts w:ascii="Gotham" w:eastAsia="Gotham" w:hAnsi="Gotham"/>
          <w:color w:val="000000" w:themeColor="text1"/>
          <w:sz w:val="20"/>
          <w:szCs w:val="20"/>
        </w:rPr>
      </w:pPr>
    </w:p>
    <w:p w14:paraId="3A47403C"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ÚNICO.- Que el Turno a Comisión materia del presente análisis y dictamen encuadra en lo señalado en el artículo 83 del Reglamento Para el Funcionamiento Interno de Sesiones del Ayuntamiento Constitucional de Tonalá, Jalisco, referente a;</w:t>
      </w:r>
    </w:p>
    <w:p w14:paraId="3A47403D" w14:textId="77777777" w:rsidR="00016FE1" w:rsidRDefault="00016FE1" w:rsidP="002B6227">
      <w:pPr>
        <w:jc w:val="both"/>
        <w:rPr>
          <w:rFonts w:ascii="Gotham" w:eastAsia="Gotham" w:hAnsi="Gotham"/>
          <w:color w:val="000000" w:themeColor="text1"/>
          <w:sz w:val="20"/>
          <w:szCs w:val="20"/>
        </w:rPr>
      </w:pPr>
      <w:r>
        <w:rPr>
          <w:rFonts w:ascii="Gotham" w:eastAsia="Gotham" w:hAnsi="Gotham"/>
          <w:color w:val="000000" w:themeColor="text1"/>
          <w:sz w:val="20"/>
          <w:szCs w:val="20"/>
        </w:rPr>
        <w:t xml:space="preserve"> </w:t>
      </w:r>
    </w:p>
    <w:p w14:paraId="3A47403E" w14:textId="77777777" w:rsidR="00016FE1" w:rsidRDefault="00016FE1" w:rsidP="00865062">
      <w:pPr>
        <w:numPr>
          <w:ilvl w:val="0"/>
          <w:numId w:val="165"/>
        </w:numPr>
        <w:ind w:left="567" w:hanging="567"/>
        <w:jc w:val="both"/>
        <w:rPr>
          <w:rFonts w:ascii="Gotham" w:hAnsi="Gotham"/>
          <w:color w:val="000000" w:themeColor="text1"/>
          <w:sz w:val="20"/>
          <w:szCs w:val="20"/>
        </w:rPr>
      </w:pPr>
      <w:r>
        <w:rPr>
          <w:rFonts w:ascii="Gotham" w:hAnsi="Gotham"/>
          <w:color w:val="000000" w:themeColor="text1"/>
          <w:sz w:val="20"/>
          <w:szCs w:val="20"/>
        </w:rPr>
        <w:t>En cuanto a su forma, estructura y contenido, la iniciativa en estudio cumplimenta los requisitos estatuidos.</w:t>
      </w:r>
    </w:p>
    <w:p w14:paraId="3A47403F" w14:textId="77777777" w:rsidR="00016FE1" w:rsidRDefault="00016FE1" w:rsidP="002B6227">
      <w:pPr>
        <w:ind w:left="567" w:hanging="567"/>
        <w:jc w:val="both"/>
        <w:rPr>
          <w:rFonts w:ascii="Gotham" w:hAnsi="Gotham"/>
          <w:color w:val="000000" w:themeColor="text1"/>
          <w:sz w:val="20"/>
          <w:szCs w:val="20"/>
        </w:rPr>
      </w:pPr>
    </w:p>
    <w:p w14:paraId="3A474040" w14:textId="77777777" w:rsidR="00016FE1" w:rsidRDefault="00016FE1" w:rsidP="00865062">
      <w:pPr>
        <w:numPr>
          <w:ilvl w:val="0"/>
          <w:numId w:val="165"/>
        </w:numPr>
        <w:ind w:left="567" w:hanging="567"/>
        <w:jc w:val="both"/>
        <w:rPr>
          <w:rFonts w:ascii="Gotham" w:hAnsi="Gotham"/>
          <w:color w:val="000000" w:themeColor="text1"/>
          <w:sz w:val="20"/>
          <w:szCs w:val="20"/>
        </w:rPr>
      </w:pPr>
      <w:r>
        <w:rPr>
          <w:rFonts w:ascii="Gotham" w:hAnsi="Gotham"/>
          <w:color w:val="000000" w:themeColor="text1"/>
          <w:sz w:val="20"/>
          <w:szCs w:val="20"/>
        </w:rPr>
        <w:t xml:space="preserve">De conformidad a lo señalado en los antecedentes y en la exposición de motivos, se desprende que el objeto de la presente iniciativa que hoy se dictamina estriba en solicitar, </w:t>
      </w:r>
      <w:r>
        <w:rPr>
          <w:rFonts w:ascii="Gotham" w:hAnsi="Gotham"/>
          <w:sz w:val="20"/>
          <w:szCs w:val="20"/>
        </w:rPr>
        <w:t>la implementación de políticas públicas, sea ordenamiento municipal y/o manual de operación, cuyo objetivo es la propuesta para que se gestione la viabilidad en la actualización de la actividad del giro para la sociedad mercantil Comercializadora de Embutidos ICO, S.A. de C.V., así como la superficie conformada por dos módulos de 6,203.46 m</w:t>
      </w:r>
      <w:r>
        <w:rPr>
          <w:rFonts w:ascii="Cambria" w:hAnsi="Cambria" w:cs="Cambria"/>
          <w:sz w:val="20"/>
          <w:szCs w:val="20"/>
        </w:rPr>
        <w:t>²</w:t>
      </w:r>
      <w:r>
        <w:rPr>
          <w:rFonts w:ascii="Gotham" w:hAnsi="Gotham"/>
          <w:sz w:val="20"/>
          <w:szCs w:val="20"/>
        </w:rPr>
        <w:t xml:space="preserve"> y 2,711.32 m</w:t>
      </w:r>
      <w:r>
        <w:rPr>
          <w:rFonts w:ascii="Cambria" w:hAnsi="Cambria" w:cs="Cambria"/>
          <w:sz w:val="20"/>
          <w:szCs w:val="20"/>
        </w:rPr>
        <w:t>²</w:t>
      </w:r>
      <w:r>
        <w:rPr>
          <w:rFonts w:ascii="Gotham" w:hAnsi="Gotham"/>
          <w:sz w:val="20"/>
          <w:szCs w:val="20"/>
        </w:rPr>
        <w:t xml:space="preserve"> dando un total de 8,914.78 m</w:t>
      </w:r>
      <w:r>
        <w:rPr>
          <w:rFonts w:ascii="Cambria" w:hAnsi="Cambria" w:cs="Cambria"/>
          <w:sz w:val="20"/>
          <w:szCs w:val="20"/>
        </w:rPr>
        <w:t>²</w:t>
      </w:r>
      <w:r>
        <w:rPr>
          <w:rFonts w:ascii="Gotham" w:hAnsi="Gotham"/>
          <w:sz w:val="20"/>
          <w:szCs w:val="20"/>
        </w:rPr>
        <w:t>, con un uso de Servicios a la Industria y el Comercio (SI)</w:t>
      </w:r>
    </w:p>
    <w:p w14:paraId="3A474041" w14:textId="77777777" w:rsidR="00016FE1" w:rsidRDefault="00016FE1" w:rsidP="002B6227">
      <w:pPr>
        <w:ind w:left="567" w:hanging="567"/>
        <w:jc w:val="both"/>
        <w:rPr>
          <w:rFonts w:ascii="Gotham" w:hAnsi="Gotham"/>
          <w:color w:val="000000" w:themeColor="text1"/>
          <w:sz w:val="20"/>
          <w:szCs w:val="20"/>
        </w:rPr>
      </w:pPr>
    </w:p>
    <w:p w14:paraId="3A474042" w14:textId="77777777" w:rsidR="00016FE1" w:rsidRDefault="00016FE1" w:rsidP="00865062">
      <w:pPr>
        <w:numPr>
          <w:ilvl w:val="0"/>
          <w:numId w:val="165"/>
        </w:numPr>
        <w:ind w:left="567" w:hanging="567"/>
        <w:jc w:val="both"/>
        <w:rPr>
          <w:rFonts w:ascii="Gotham" w:hAnsi="Gotham"/>
          <w:color w:val="000000" w:themeColor="text1"/>
          <w:sz w:val="20"/>
          <w:szCs w:val="20"/>
        </w:rPr>
      </w:pPr>
      <w:r>
        <w:rPr>
          <w:rFonts w:ascii="Gotham" w:hAnsi="Gotham"/>
          <w:color w:val="000000" w:themeColor="text1"/>
          <w:sz w:val="20"/>
          <w:szCs w:val="20"/>
        </w:rPr>
        <w:t xml:space="preserve">En ese orden de ideas nuestro compañero Presidente Municipal autor de la iniciativa, propone una iniciativa encaminada a la </w:t>
      </w:r>
      <w:r>
        <w:rPr>
          <w:rFonts w:ascii="Gotham" w:hAnsi="Gotham"/>
          <w:sz w:val="20"/>
          <w:szCs w:val="20"/>
        </w:rPr>
        <w:t>actualización de la actividad del giro para la sociedad mercantil Comercializadora de Embutidos ICO, S.A. de C.V.</w:t>
      </w:r>
    </w:p>
    <w:p w14:paraId="3A474043" w14:textId="77777777" w:rsidR="00016FE1" w:rsidRDefault="00016FE1" w:rsidP="002B6227">
      <w:pPr>
        <w:ind w:left="567" w:hanging="567"/>
        <w:jc w:val="both"/>
        <w:rPr>
          <w:rFonts w:ascii="Gotham" w:hAnsi="Gotham"/>
          <w:color w:val="000000" w:themeColor="text1"/>
          <w:sz w:val="20"/>
          <w:szCs w:val="20"/>
        </w:rPr>
      </w:pPr>
    </w:p>
    <w:p w14:paraId="3A474044" w14:textId="77777777" w:rsidR="00016FE1" w:rsidRDefault="00016FE1" w:rsidP="00865062">
      <w:pPr>
        <w:numPr>
          <w:ilvl w:val="0"/>
          <w:numId w:val="165"/>
        </w:numPr>
        <w:ind w:left="567" w:hanging="567"/>
        <w:jc w:val="both"/>
        <w:rPr>
          <w:rFonts w:ascii="Gotham" w:hAnsi="Gotham"/>
          <w:color w:val="000000" w:themeColor="text1"/>
          <w:sz w:val="20"/>
          <w:szCs w:val="20"/>
        </w:rPr>
      </w:pPr>
      <w:r>
        <w:rPr>
          <w:rFonts w:ascii="Gotham" w:hAnsi="Gotham"/>
          <w:color w:val="000000" w:themeColor="text1"/>
          <w:sz w:val="20"/>
          <w:szCs w:val="20"/>
        </w:rPr>
        <w:t>No obstante, lo anterior y en el marco de análisis que elabora la presente Comisión, consideramos con el objetivo de estar en concordancia con la iniciativa, los antecedentes, la exposición de motivos, se presenta el Dictamen de Comisión con Carácter de Dictamen Final, para ser presentado al Pleno del Ayuntamiento en Sesión Ordinaria, en los términos propuestos en el cuerpo del presente dictamen, de conformidad a las siguientes;</w:t>
      </w:r>
    </w:p>
    <w:p w14:paraId="3A474045" w14:textId="77777777" w:rsidR="00016FE1" w:rsidRDefault="00016FE1" w:rsidP="002B6227">
      <w:pPr>
        <w:pStyle w:val="Prrafodelista"/>
        <w:contextualSpacing w:val="0"/>
        <w:jc w:val="both"/>
        <w:rPr>
          <w:rFonts w:ascii="Gotham" w:hAnsi="Gotham"/>
          <w:color w:val="000000" w:themeColor="text1"/>
          <w:sz w:val="20"/>
          <w:szCs w:val="20"/>
        </w:rPr>
      </w:pPr>
    </w:p>
    <w:p w14:paraId="3A474046"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CONCLUSIONES</w:t>
      </w:r>
    </w:p>
    <w:p w14:paraId="3A474047" w14:textId="77777777" w:rsidR="00016FE1" w:rsidRDefault="00016FE1" w:rsidP="002B6227">
      <w:pPr>
        <w:jc w:val="both"/>
        <w:rPr>
          <w:rFonts w:ascii="Gotham" w:eastAsia="Gotham" w:hAnsi="Gotham"/>
          <w:color w:val="000000" w:themeColor="text1"/>
          <w:sz w:val="20"/>
          <w:szCs w:val="20"/>
        </w:rPr>
      </w:pPr>
    </w:p>
    <w:p w14:paraId="3A474048"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 </w:t>
      </w:r>
      <w:r>
        <w:rPr>
          <w:rFonts w:ascii="Gotham" w:hAnsi="Gotham"/>
          <w:color w:val="000000" w:themeColor="text1"/>
          <w:sz w:val="20"/>
          <w:szCs w:val="20"/>
        </w:rPr>
        <w:tab/>
        <w:t xml:space="preserve">En cuanto a lo señalado en el PROEMIO INICIAL, ANTECEDENTES, FUNDAMENTACIÓN JURÍDICA y EXPOSICION DE MOTIVOS de la iniciativa que fue turnada a la presente comisión como turno 371, consideramos que cuenta con la estructura, fundamentación y estudio necesarios para ser dictaminada. </w:t>
      </w:r>
    </w:p>
    <w:p w14:paraId="3A474049" w14:textId="77777777" w:rsidR="00016FE1" w:rsidRDefault="00016FE1" w:rsidP="002B6227">
      <w:pPr>
        <w:ind w:left="567" w:hanging="567"/>
        <w:jc w:val="both"/>
        <w:rPr>
          <w:rFonts w:ascii="Gotham" w:hAnsi="Gotham"/>
          <w:color w:val="000000" w:themeColor="text1"/>
          <w:sz w:val="20"/>
          <w:szCs w:val="20"/>
        </w:rPr>
      </w:pPr>
    </w:p>
    <w:p w14:paraId="3A47404A"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II.- </w:t>
      </w:r>
      <w:r>
        <w:rPr>
          <w:rFonts w:ascii="Gotham" w:hAnsi="Gotham"/>
          <w:color w:val="000000" w:themeColor="text1"/>
          <w:sz w:val="20"/>
          <w:szCs w:val="20"/>
        </w:rPr>
        <w:tab/>
        <w:t xml:space="preserve">Los que suscribimos el presente dictamen, nos encontramos imposibilitados para resolver de forma positiva, el turno a comisión que nos ocupa, dado que como se externó en mesas de </w:t>
      </w:r>
      <w:r>
        <w:rPr>
          <w:rFonts w:ascii="Gotham" w:hAnsi="Gotham"/>
          <w:color w:val="000000" w:themeColor="text1"/>
          <w:sz w:val="20"/>
          <w:szCs w:val="20"/>
        </w:rPr>
        <w:lastRenderedPageBreak/>
        <w:t xml:space="preserve">trabajo anteriores, la ubicación en la que se encuentra </w:t>
      </w:r>
      <w:r>
        <w:rPr>
          <w:rFonts w:ascii="Gotham" w:hAnsi="Gotham"/>
          <w:sz w:val="20"/>
          <w:szCs w:val="20"/>
        </w:rPr>
        <w:t xml:space="preserve">sociedad mercantil Comercializadora de Embutidos ICO, S.A. de C.V es una zona de alta densidad poblacional, en ese sentido </w:t>
      </w:r>
      <w:r>
        <w:rPr>
          <w:rFonts w:ascii="Gotham" w:hAnsi="Gotham"/>
          <w:color w:val="000000" w:themeColor="text1"/>
          <w:sz w:val="20"/>
          <w:szCs w:val="20"/>
        </w:rPr>
        <w:t xml:space="preserve">no es factible otorgar el permiso de uso de suelo en la superficie total del predio, por lo anterior mencionado nos encontramos imposibilitados en dar las concesiones que se solicitan en la iniciativa presentada por nuestro compañero Presidente Municipal , dado a las condiciones y la discrepancia que existe respecto a la </w:t>
      </w:r>
      <w:r>
        <w:rPr>
          <w:rFonts w:ascii="Gotham" w:hAnsi="Gotham"/>
          <w:sz w:val="20"/>
          <w:szCs w:val="20"/>
        </w:rPr>
        <w:t>Comercializadora de Embutidos ICO, S.A. de C.V</w:t>
      </w:r>
      <w:r>
        <w:rPr>
          <w:rFonts w:ascii="Gotham" w:hAnsi="Gotham"/>
          <w:color w:val="000000" w:themeColor="text1"/>
          <w:sz w:val="20"/>
          <w:szCs w:val="20"/>
        </w:rPr>
        <w:t>.</w:t>
      </w:r>
    </w:p>
    <w:p w14:paraId="3A47404B" w14:textId="77777777" w:rsidR="00016FE1" w:rsidRDefault="00016FE1" w:rsidP="002B6227">
      <w:pPr>
        <w:jc w:val="both"/>
        <w:rPr>
          <w:rFonts w:ascii="Gotham" w:hAnsi="Gotham"/>
          <w:color w:val="000000" w:themeColor="text1"/>
          <w:sz w:val="20"/>
          <w:szCs w:val="20"/>
        </w:rPr>
      </w:pPr>
    </w:p>
    <w:p w14:paraId="3A47404C"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En virtud de lo ya señalado los Regidores integrantes de la comisión dictaminadora, proponemos se someta a votación los siguientes puntos de acuerdos con carácter de;</w:t>
      </w:r>
    </w:p>
    <w:p w14:paraId="3A47404D" w14:textId="77777777" w:rsidR="00016FE1" w:rsidRDefault="00016FE1" w:rsidP="002B6227">
      <w:pPr>
        <w:jc w:val="both"/>
        <w:rPr>
          <w:rFonts w:ascii="Gotham" w:hAnsi="Gotham"/>
          <w:color w:val="000000" w:themeColor="text1"/>
          <w:sz w:val="20"/>
          <w:szCs w:val="20"/>
        </w:rPr>
      </w:pPr>
    </w:p>
    <w:p w14:paraId="3A47404E" w14:textId="77777777" w:rsidR="00016FE1" w:rsidRDefault="00016FE1" w:rsidP="002B6227">
      <w:pPr>
        <w:jc w:val="center"/>
        <w:rPr>
          <w:rFonts w:ascii="Gotham" w:eastAsia="ITC Bookman Light" w:hAnsi="Gotham"/>
          <w:color w:val="000000" w:themeColor="text1"/>
          <w:sz w:val="20"/>
          <w:szCs w:val="20"/>
        </w:rPr>
      </w:pPr>
      <w:r>
        <w:rPr>
          <w:rFonts w:ascii="Gotham" w:eastAsia="ITC Bookman Light" w:hAnsi="Gotham"/>
          <w:color w:val="000000" w:themeColor="text1"/>
          <w:sz w:val="20"/>
          <w:szCs w:val="20"/>
        </w:rPr>
        <w:t>DICTAMEN FINAL</w:t>
      </w:r>
    </w:p>
    <w:p w14:paraId="3A47404F" w14:textId="77777777" w:rsidR="00016FE1" w:rsidRDefault="00016FE1" w:rsidP="002B6227">
      <w:pPr>
        <w:jc w:val="both"/>
        <w:rPr>
          <w:rFonts w:ascii="Gotham" w:eastAsia="Gotham" w:hAnsi="Gotham"/>
          <w:color w:val="000000" w:themeColor="text1"/>
          <w:sz w:val="20"/>
          <w:szCs w:val="20"/>
        </w:rPr>
      </w:pPr>
    </w:p>
    <w:p w14:paraId="3A474050"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PRIMERO.- Se aprueba desechar la iniciativa que se desprende del Acuerdo número 371, de la Sesión Ordinaria de Ayuntamiento celebrada el 29 de Septiembre del 2022, referente</w:t>
      </w:r>
      <w:r>
        <w:rPr>
          <w:rFonts w:ascii="Gotham" w:hAnsi="Gotham"/>
          <w:sz w:val="20"/>
          <w:szCs w:val="20"/>
        </w:rPr>
        <w:t xml:space="preserve"> a la gestión la viabilidad en la actualización de la actividad del giro para la sociedad mercantil Comercializadora de Embutidos ICO, S.A. de C.V., así como la superficie conformada por dos módulos de 6,203.46 m</w:t>
      </w:r>
      <w:r>
        <w:rPr>
          <w:rFonts w:ascii="Cambria" w:hAnsi="Cambria" w:cs="Cambria"/>
          <w:sz w:val="20"/>
          <w:szCs w:val="20"/>
        </w:rPr>
        <w:t>²</w:t>
      </w:r>
      <w:r>
        <w:rPr>
          <w:rFonts w:ascii="Gotham" w:hAnsi="Gotham"/>
          <w:sz w:val="20"/>
          <w:szCs w:val="20"/>
        </w:rPr>
        <w:t xml:space="preserve"> y 2,711.32 m</w:t>
      </w:r>
      <w:r>
        <w:rPr>
          <w:rFonts w:ascii="Cambria" w:hAnsi="Cambria" w:cs="Cambria"/>
          <w:sz w:val="20"/>
          <w:szCs w:val="20"/>
        </w:rPr>
        <w:t>²</w:t>
      </w:r>
      <w:r>
        <w:rPr>
          <w:rFonts w:ascii="Gotham" w:hAnsi="Gotham"/>
          <w:sz w:val="20"/>
          <w:szCs w:val="20"/>
        </w:rPr>
        <w:t xml:space="preserve"> dando un total de 8,914.78 m</w:t>
      </w:r>
      <w:r>
        <w:rPr>
          <w:rFonts w:ascii="Cambria" w:hAnsi="Cambria" w:cs="Cambria"/>
          <w:sz w:val="20"/>
          <w:szCs w:val="20"/>
        </w:rPr>
        <w:t>²</w:t>
      </w:r>
      <w:r>
        <w:rPr>
          <w:rFonts w:ascii="Gotham" w:hAnsi="Gotham"/>
          <w:sz w:val="20"/>
          <w:szCs w:val="20"/>
        </w:rPr>
        <w:t>, con un uso de Servicios a la Industria y el Comercio (SI)</w:t>
      </w:r>
      <w:r>
        <w:rPr>
          <w:rFonts w:ascii="Gotham" w:hAnsi="Gotham"/>
          <w:color w:val="000000" w:themeColor="text1"/>
          <w:sz w:val="20"/>
          <w:szCs w:val="20"/>
        </w:rPr>
        <w:t>, por los motivos fundados en el cuerpo del presente dictamen, ordenándose su archivo como asunto concluido.</w:t>
      </w:r>
    </w:p>
    <w:p w14:paraId="3A474051" w14:textId="77777777" w:rsidR="00016FE1" w:rsidRDefault="00016FE1" w:rsidP="002B6227">
      <w:pPr>
        <w:jc w:val="both"/>
        <w:rPr>
          <w:rFonts w:ascii="Gotham" w:hAnsi="Gotham"/>
          <w:color w:val="000000" w:themeColor="text1"/>
          <w:sz w:val="20"/>
          <w:szCs w:val="20"/>
        </w:rPr>
      </w:pPr>
    </w:p>
    <w:p w14:paraId="3A474052" w14:textId="77777777" w:rsidR="00016FE1" w:rsidRDefault="00016FE1" w:rsidP="002B6227">
      <w:pPr>
        <w:autoSpaceDE w:val="0"/>
        <w:autoSpaceDN w:val="0"/>
        <w:adjustRightInd w:val="0"/>
        <w:jc w:val="both"/>
        <w:rPr>
          <w:rFonts w:ascii="Gotham" w:eastAsiaTheme="minorHAnsi" w:hAnsi="Gotham"/>
          <w:bCs/>
          <w:i/>
          <w:iCs/>
          <w:sz w:val="20"/>
          <w:szCs w:val="20"/>
          <w:lang w:eastAsia="en-US"/>
        </w:rPr>
      </w:pPr>
      <w:r>
        <w:rPr>
          <w:rFonts w:ascii="Gotham" w:hAnsi="Gotham"/>
          <w:color w:val="000000" w:themeColor="text1"/>
          <w:sz w:val="20"/>
          <w:szCs w:val="20"/>
        </w:rPr>
        <w:t>SEGUNDO.- Se instruye al Presidente Municipal, Síndico y a la Secretaria General de este Ayuntamiento Constitucional de Tonalá, Jalisco, para que suscriban los documentos necesarios que den cumplimiento al presente acuerdo.</w:t>
      </w:r>
    </w:p>
    <w:p w14:paraId="3A474053" w14:textId="77777777" w:rsidR="00016FE1" w:rsidRDefault="00016FE1" w:rsidP="002B6227">
      <w:pPr>
        <w:jc w:val="both"/>
        <w:rPr>
          <w:rFonts w:ascii="Gotham" w:hAnsi="Gotham" w:cs="Arial"/>
          <w:sz w:val="20"/>
          <w:szCs w:val="20"/>
        </w:rPr>
      </w:pPr>
    </w:p>
    <w:p w14:paraId="3A474054"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4055" w14:textId="77777777" w:rsidR="00016FE1" w:rsidRPr="00CD0531" w:rsidRDefault="00016FE1" w:rsidP="002B6227">
      <w:pPr>
        <w:jc w:val="both"/>
        <w:rPr>
          <w:rFonts w:ascii="Gotham" w:hAnsi="Gotham" w:cs="Arial"/>
          <w:sz w:val="20"/>
          <w:szCs w:val="20"/>
        </w:rPr>
      </w:pPr>
    </w:p>
    <w:p w14:paraId="3A474056"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4057" w14:textId="77777777" w:rsidR="00016FE1" w:rsidRPr="00CD0531" w:rsidRDefault="00016FE1" w:rsidP="002B6227">
      <w:pPr>
        <w:jc w:val="both"/>
        <w:rPr>
          <w:rFonts w:ascii="Gotham" w:hAnsi="Gotham" w:cs="Arial"/>
          <w:sz w:val="20"/>
          <w:szCs w:val="20"/>
        </w:rPr>
      </w:pPr>
    </w:p>
    <w:p w14:paraId="3A474058"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4059" w14:textId="77777777" w:rsidR="00016FE1" w:rsidRPr="00CD0531" w:rsidRDefault="00016FE1" w:rsidP="002B6227">
      <w:pPr>
        <w:jc w:val="both"/>
        <w:rPr>
          <w:rFonts w:ascii="Gotham" w:hAnsi="Gotham" w:cs="Arial"/>
          <w:sz w:val="20"/>
          <w:szCs w:val="20"/>
        </w:rPr>
      </w:pPr>
    </w:p>
    <w:p w14:paraId="3A47405A"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405B" w14:textId="77777777" w:rsidR="00016FE1" w:rsidRPr="00CD0531" w:rsidRDefault="00016FE1" w:rsidP="002B6227">
      <w:pPr>
        <w:jc w:val="both"/>
        <w:rPr>
          <w:rFonts w:ascii="Gotham" w:hAnsi="Gotham" w:cs="Arial"/>
          <w:sz w:val="20"/>
          <w:szCs w:val="20"/>
        </w:rPr>
      </w:pPr>
    </w:p>
    <w:p w14:paraId="3A47405C"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405D" w14:textId="77777777" w:rsidR="00016FE1" w:rsidRPr="00AE071B" w:rsidRDefault="00016FE1" w:rsidP="002B6227">
      <w:pPr>
        <w:jc w:val="both"/>
        <w:rPr>
          <w:rFonts w:ascii="Gotham" w:hAnsi="Gotham" w:cs="Arial"/>
          <w:sz w:val="20"/>
          <w:szCs w:val="20"/>
        </w:rPr>
      </w:pPr>
    </w:p>
    <w:p w14:paraId="3A47405E" w14:textId="77777777" w:rsidR="00016FE1" w:rsidRDefault="00016FE1" w:rsidP="002B6227">
      <w:pPr>
        <w:jc w:val="both"/>
        <w:rPr>
          <w:rFonts w:ascii="Gotham" w:hAnsi="Gotham"/>
          <w:sz w:val="20"/>
          <w:szCs w:val="20"/>
        </w:rPr>
      </w:pPr>
    </w:p>
    <w:p w14:paraId="3A47405F" w14:textId="77777777" w:rsidR="00016FE1" w:rsidRDefault="00016FE1" w:rsidP="002B6227">
      <w:pPr>
        <w:pStyle w:val="western"/>
        <w:spacing w:before="0" w:beforeAutospacing="0"/>
        <w:jc w:val="right"/>
        <w:rPr>
          <w:rFonts w:ascii="Gotham" w:hAnsi="Gotham"/>
          <w:b/>
          <w:sz w:val="22"/>
          <w:szCs w:val="22"/>
          <w:u w:val="single"/>
        </w:rPr>
      </w:pPr>
      <w:r w:rsidRPr="00AB3373">
        <w:rPr>
          <w:rFonts w:ascii="Gotham" w:hAnsi="Gotham"/>
          <w:b/>
          <w:sz w:val="22"/>
          <w:szCs w:val="22"/>
          <w:u w:val="single"/>
        </w:rPr>
        <w:t xml:space="preserve">ACUERDO NO. </w:t>
      </w:r>
      <w:r>
        <w:rPr>
          <w:rFonts w:ascii="Gotham" w:hAnsi="Gotham"/>
          <w:b/>
          <w:sz w:val="22"/>
          <w:szCs w:val="22"/>
          <w:u w:val="single"/>
        </w:rPr>
        <w:t>1137</w:t>
      </w:r>
    </w:p>
    <w:p w14:paraId="3A474060" w14:textId="77777777" w:rsidR="00016FE1" w:rsidRDefault="00016FE1" w:rsidP="002B6227">
      <w:pPr>
        <w:jc w:val="both"/>
        <w:rPr>
          <w:rFonts w:ascii="Gotham" w:hAnsi="Gotham"/>
          <w:sz w:val="20"/>
          <w:szCs w:val="20"/>
        </w:rPr>
      </w:pPr>
      <w:r w:rsidRPr="00621F92">
        <w:rPr>
          <w:rFonts w:ascii="Gotham" w:hAnsi="Gotham"/>
          <w:b/>
          <w:bCs/>
          <w:smallCaps/>
          <w:sz w:val="20"/>
          <w:szCs w:val="20"/>
        </w:rPr>
        <w:t>Décimo Primer Dictamen de Comisión</w:t>
      </w:r>
      <w:r w:rsidRPr="00621F92">
        <w:rPr>
          <w:rFonts w:ascii="Gotham" w:hAnsi="Gotham"/>
          <w:b/>
          <w:bCs/>
          <w:sz w:val="20"/>
          <w:szCs w:val="20"/>
        </w:rPr>
        <w:t xml:space="preserve">.- </w:t>
      </w:r>
      <w:r w:rsidRPr="00621F92">
        <w:rPr>
          <w:rFonts w:ascii="Gotham" w:hAnsi="Gotham"/>
          <w:sz w:val="20"/>
          <w:szCs w:val="20"/>
        </w:rPr>
        <w:t xml:space="preserve">En uso de la voz el Presidente Municipal, Sergio Armando Chávez Dávalos, expresa que, se da cuenta del dictamen que presenta la Comisión Edilicia de </w:t>
      </w:r>
      <w:r>
        <w:rPr>
          <w:rFonts w:ascii="Gotham" w:hAnsi="Gotham"/>
          <w:color w:val="000000" w:themeColor="text1"/>
          <w:sz w:val="20"/>
          <w:szCs w:val="20"/>
        </w:rPr>
        <w:t>Planeación para el Desarrollo Urbano, Rural y Habitación Popular</w:t>
      </w:r>
      <w:r w:rsidRPr="00621F92">
        <w:rPr>
          <w:rFonts w:ascii="Gotham" w:hAnsi="Gotham"/>
          <w:sz w:val="20"/>
          <w:szCs w:val="20"/>
        </w:rPr>
        <w:t>.</w:t>
      </w:r>
    </w:p>
    <w:p w14:paraId="3A474061" w14:textId="77777777" w:rsidR="00016FE1" w:rsidRDefault="00016FE1" w:rsidP="002B6227">
      <w:pPr>
        <w:jc w:val="both"/>
        <w:rPr>
          <w:rFonts w:ascii="Gotham" w:hAnsi="Gotham" w:cs="Arial"/>
          <w:sz w:val="20"/>
          <w:szCs w:val="20"/>
        </w:rPr>
      </w:pPr>
    </w:p>
    <w:p w14:paraId="3A474062" w14:textId="77777777" w:rsidR="00016FE1" w:rsidRDefault="00016FE1" w:rsidP="002B6227">
      <w:pPr>
        <w:jc w:val="both"/>
        <w:rPr>
          <w:rFonts w:ascii="Gotham" w:eastAsia="ITC Bookman Light" w:hAnsi="Gotham"/>
          <w:color w:val="000000" w:themeColor="text1"/>
          <w:sz w:val="20"/>
          <w:szCs w:val="20"/>
          <w:lang w:val="es-MX" w:eastAsia="es-MX"/>
        </w:rPr>
      </w:pPr>
      <w:r>
        <w:rPr>
          <w:rFonts w:ascii="Gotham" w:hAnsi="Gotham"/>
          <w:color w:val="000000" w:themeColor="text1"/>
          <w:sz w:val="20"/>
          <w:szCs w:val="20"/>
        </w:rPr>
        <w:t xml:space="preserve">Los que suscribimos, Regidoras y Regidor Integrantes de la Comisión Edilicia de Planeación para el Desarrollo Urbano, Rural y Habitación Popular, en ejercicio de las facultades que nos confieren los artículos 115 de la Constitución Política de los Estados Unidos Mexicanos; 73, 77 y demás relativos de </w:t>
      </w:r>
      <w:r>
        <w:rPr>
          <w:rFonts w:ascii="Gotham" w:hAnsi="Gotham"/>
          <w:color w:val="000000" w:themeColor="text1"/>
          <w:sz w:val="20"/>
          <w:szCs w:val="20"/>
        </w:rPr>
        <w:lastRenderedPageBreak/>
        <w:t>la Constitución Política del Estado de Jalisco; el artículo 50 de la Ley del Gobierno y la Administración Pública Municipal del Estado de Jalisco; el artículo 106 del Reglamento del Gobierno y la Administración Pública del Ayuntamiento Constitucional de Tonalá, Jalisco, y demás disposiciones legales aplicables; sometemos a la elevada consideración de este Cuerpo Colegiado, el presente Dictamen de Comisión con Carácter de Dictamen Final, que tiene por objeto resolver el acuerdo número 491 aprobado en Sesión Ordinaria de Ayuntamiento de fecha 15 de diciembre del 2022, referente a, llevar acabo las acciones necesarias a efecto de que se realice la entrega - recepción del fraccionamiento “El Cerrito II” y en consecuencia la conclusión de las obras de urbanización del mismo, para lo cual señalamos los siguientes;</w:t>
      </w:r>
    </w:p>
    <w:p w14:paraId="3A474063" w14:textId="77777777" w:rsidR="00016FE1" w:rsidRDefault="00016FE1" w:rsidP="002B6227">
      <w:pPr>
        <w:jc w:val="center"/>
        <w:rPr>
          <w:rFonts w:ascii="Gotham" w:hAnsi="Gotham"/>
          <w:color w:val="000000" w:themeColor="text1"/>
          <w:sz w:val="20"/>
          <w:szCs w:val="20"/>
        </w:rPr>
      </w:pPr>
    </w:p>
    <w:p w14:paraId="3A474064"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ANTECEDENTES</w:t>
      </w:r>
    </w:p>
    <w:p w14:paraId="3A474065" w14:textId="77777777" w:rsidR="00016FE1" w:rsidRDefault="00016FE1" w:rsidP="002B6227">
      <w:pPr>
        <w:rPr>
          <w:rFonts w:ascii="Gotham" w:eastAsia="Gotham" w:hAnsi="Gotham"/>
          <w:color w:val="000000" w:themeColor="text1"/>
          <w:sz w:val="20"/>
          <w:szCs w:val="20"/>
        </w:rPr>
      </w:pPr>
    </w:p>
    <w:p w14:paraId="3A474066"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1.-</w:t>
      </w:r>
      <w:r>
        <w:rPr>
          <w:rFonts w:ascii="Gotham" w:eastAsia="Gotham" w:hAnsi="Gotham"/>
          <w:color w:val="000000" w:themeColor="text1"/>
          <w:sz w:val="20"/>
          <w:szCs w:val="20"/>
        </w:rPr>
        <w:t xml:space="preserve"> </w:t>
      </w:r>
      <w:r>
        <w:rPr>
          <w:rFonts w:ascii="Gotham" w:eastAsia="Gotham" w:hAnsi="Gotham"/>
          <w:color w:val="000000" w:themeColor="text1"/>
          <w:sz w:val="20"/>
          <w:szCs w:val="20"/>
        </w:rPr>
        <w:tab/>
      </w:r>
      <w:r>
        <w:rPr>
          <w:rFonts w:ascii="Gotham" w:hAnsi="Gotham"/>
          <w:color w:val="000000" w:themeColor="text1"/>
          <w:sz w:val="20"/>
          <w:szCs w:val="20"/>
        </w:rPr>
        <w:t>En Sesión Ordinaria de</w:t>
      </w:r>
      <w:r w:rsidR="0041199B">
        <w:rPr>
          <w:rFonts w:ascii="Gotham" w:hAnsi="Gotham"/>
          <w:color w:val="000000" w:themeColor="text1"/>
          <w:sz w:val="20"/>
          <w:szCs w:val="20"/>
        </w:rPr>
        <w:t xml:space="preserve"> </w:t>
      </w:r>
      <w:r>
        <w:rPr>
          <w:rFonts w:ascii="Gotham" w:hAnsi="Gotham"/>
          <w:color w:val="000000" w:themeColor="text1"/>
          <w:sz w:val="20"/>
          <w:szCs w:val="20"/>
        </w:rPr>
        <w:t>Ayuntamiento celebrada el día 15 de diciembre del 2022, bajo acuerdo número 491, se aprobó por unanimidad turnar a la Comisión Edilicia de Planeación para el Desarrollo Urbano, Rural y Habitación Popular, la propuesta de la</w:t>
      </w:r>
      <w:r w:rsidR="0041199B">
        <w:rPr>
          <w:rFonts w:ascii="Gotham" w:hAnsi="Gotham"/>
          <w:color w:val="000000" w:themeColor="text1"/>
          <w:sz w:val="20"/>
          <w:szCs w:val="20"/>
        </w:rPr>
        <w:t xml:space="preserve"> </w:t>
      </w:r>
      <w:r>
        <w:rPr>
          <w:rFonts w:ascii="Gotham" w:hAnsi="Gotham"/>
          <w:color w:val="000000" w:themeColor="text1"/>
          <w:sz w:val="20"/>
          <w:szCs w:val="20"/>
        </w:rPr>
        <w:t>Regidora del Ayuntamiento Constitucional de Tonalá, Dulce Yunuen García Venegas, referente a, llevar acabo las acciones necesarias a efecto de que se realice la entrega - recepción del fraccionamiento “El Cerrito II” y en consecuencia la conclusión de las obras de urbanización del mismo.</w:t>
      </w:r>
    </w:p>
    <w:p w14:paraId="3A474067" w14:textId="77777777" w:rsidR="00016FE1" w:rsidRDefault="00016FE1" w:rsidP="002B6227">
      <w:pPr>
        <w:ind w:left="567" w:hanging="567"/>
        <w:jc w:val="both"/>
        <w:rPr>
          <w:rFonts w:ascii="Gotham" w:eastAsia="Gotham" w:hAnsi="Gotham"/>
          <w:color w:val="000000" w:themeColor="text1"/>
          <w:sz w:val="20"/>
          <w:szCs w:val="20"/>
        </w:rPr>
      </w:pPr>
    </w:p>
    <w:p w14:paraId="3A474068"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2.-</w:t>
      </w:r>
      <w:r>
        <w:rPr>
          <w:rFonts w:ascii="Gotham" w:hAnsi="Gotham"/>
          <w:color w:val="000000" w:themeColor="text1"/>
          <w:sz w:val="20"/>
          <w:szCs w:val="20"/>
        </w:rPr>
        <w:tab/>
        <w:t>En consecuencia mediante oficio SECRETARÍA GENERAL/030/2023, suscrito por la Mtra. Celia Isabel Gauna Ruíz de León en su carácter de Secretaria General y recibido en la Regiduría a mi cargo el 12 de enero del año en curso, me fue turnado el acuerdo 491, esto en mi carácter de Regidora Presidenta de la Comisión Edilicia de Planeación para el Desarrollo Urbano, Rural y Habitación Popular.</w:t>
      </w:r>
    </w:p>
    <w:p w14:paraId="3A474069" w14:textId="77777777" w:rsidR="00016FE1" w:rsidRDefault="00016FE1" w:rsidP="002B6227">
      <w:pPr>
        <w:ind w:left="567" w:hanging="567"/>
        <w:jc w:val="both"/>
        <w:rPr>
          <w:rFonts w:ascii="Gotham" w:hAnsi="Gotham"/>
          <w:color w:val="000000" w:themeColor="text1"/>
          <w:sz w:val="20"/>
          <w:szCs w:val="20"/>
        </w:rPr>
      </w:pPr>
    </w:p>
    <w:p w14:paraId="3A47406A"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3.- </w:t>
      </w:r>
      <w:r>
        <w:rPr>
          <w:rFonts w:ascii="Gotham" w:hAnsi="Gotham"/>
          <w:color w:val="000000" w:themeColor="text1"/>
          <w:sz w:val="20"/>
          <w:szCs w:val="20"/>
        </w:rPr>
        <w:tab/>
        <w:t xml:space="preserve">Que con fecha 25 de Enero de 2023, en Sesión de la Comisión Edilicia de Planeación para el Desarrollo Urbano, Rural y Habitación Popular, en el quinto punto referente a Información de Turnos recibidos se dio cuenta del acuerdo 491 de la Sesión Ordinaria de Ayuntamiento de fecha 15 de diciembre del 2022, lo anterior para su estudio, análisis y dictamen. </w:t>
      </w:r>
    </w:p>
    <w:p w14:paraId="3A47406B" w14:textId="77777777" w:rsidR="00016FE1" w:rsidRDefault="00016FE1" w:rsidP="002B6227">
      <w:pPr>
        <w:jc w:val="both"/>
        <w:rPr>
          <w:rFonts w:ascii="Gotham" w:eastAsia="Gotham" w:hAnsi="Gotham"/>
          <w:color w:val="000000" w:themeColor="text1"/>
          <w:sz w:val="20"/>
          <w:szCs w:val="20"/>
        </w:rPr>
      </w:pPr>
    </w:p>
    <w:p w14:paraId="3A47406C"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En atención a lo ya señalado, los comisionados creemos procedente y necesario señalar la siguiente</w:t>
      </w:r>
    </w:p>
    <w:p w14:paraId="3A47406D" w14:textId="77777777" w:rsidR="00016FE1" w:rsidRDefault="00016FE1" w:rsidP="002B6227">
      <w:pPr>
        <w:rPr>
          <w:rFonts w:ascii="Gotham" w:hAnsi="Gotham"/>
          <w:color w:val="000000" w:themeColor="text1"/>
          <w:sz w:val="20"/>
          <w:szCs w:val="20"/>
        </w:rPr>
      </w:pPr>
    </w:p>
    <w:p w14:paraId="3A47406E"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FUNDAMENTACION</w:t>
      </w:r>
    </w:p>
    <w:p w14:paraId="3A47406F" w14:textId="77777777" w:rsidR="00016FE1" w:rsidRDefault="00016FE1" w:rsidP="002B6227">
      <w:pPr>
        <w:rPr>
          <w:rFonts w:ascii="Gotham" w:hAnsi="Gotham"/>
          <w:color w:val="000000" w:themeColor="text1"/>
          <w:sz w:val="20"/>
          <w:szCs w:val="20"/>
        </w:rPr>
      </w:pPr>
    </w:p>
    <w:p w14:paraId="3A474070"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 </w:t>
      </w:r>
      <w:r>
        <w:rPr>
          <w:rFonts w:ascii="Gotham" w:hAnsi="Gotham"/>
          <w:color w:val="000000" w:themeColor="text1"/>
          <w:sz w:val="20"/>
          <w:szCs w:val="20"/>
        </w:rPr>
        <w:tab/>
        <w:t>De conformidad con el artículo 115 de la Constitución Política de los Estados Unidos</w:t>
      </w:r>
      <w:r w:rsidR="0041199B">
        <w:rPr>
          <w:rFonts w:ascii="Gotham" w:hAnsi="Gotham"/>
          <w:color w:val="000000" w:themeColor="text1"/>
          <w:sz w:val="20"/>
          <w:szCs w:val="20"/>
        </w:rPr>
        <w:t xml:space="preserve"> </w:t>
      </w:r>
      <w:r>
        <w:rPr>
          <w:rFonts w:ascii="Gotham" w:hAnsi="Gotham"/>
          <w:color w:val="000000" w:themeColor="text1"/>
          <w:sz w:val="20"/>
          <w:szCs w:val="20"/>
        </w:rPr>
        <w:t>Mexicanos; el artículo 73 la Constitución Política del Estado de 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w:t>
      </w:r>
    </w:p>
    <w:p w14:paraId="3A474071" w14:textId="77777777" w:rsidR="00016FE1" w:rsidRDefault="00016FE1" w:rsidP="002B6227">
      <w:pPr>
        <w:ind w:left="567" w:hanging="567"/>
        <w:jc w:val="both"/>
        <w:rPr>
          <w:rFonts w:ascii="Gotham" w:hAnsi="Gotham"/>
          <w:color w:val="000000" w:themeColor="text1"/>
          <w:sz w:val="20"/>
          <w:szCs w:val="20"/>
        </w:rPr>
      </w:pPr>
    </w:p>
    <w:p w14:paraId="3A474072"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II. </w:t>
      </w:r>
      <w:r>
        <w:rPr>
          <w:rFonts w:ascii="Gotham" w:hAnsi="Gotham"/>
          <w:color w:val="000000" w:themeColor="text1"/>
          <w:sz w:val="20"/>
          <w:szCs w:val="20"/>
        </w:rPr>
        <w:tab/>
        <w:t>La Ley del Gobierno y la Administración Pública Municipal del Estado de Jalisco, señala que;</w:t>
      </w:r>
    </w:p>
    <w:p w14:paraId="3A474073"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 xml:space="preserve"> </w:t>
      </w:r>
    </w:p>
    <w:p w14:paraId="3A474074"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3.- Cada Municipio es gobernado por un Ayuntamiento de elección popular directa. Las competencias municipales deben ser ejercidas de manera exclusiva por el Ayuntamiento y no habrá ninguna autoridad intermedia entre éste y el Gobierno del Estado </w:t>
      </w:r>
    </w:p>
    <w:p w14:paraId="3A474075" w14:textId="77777777" w:rsidR="00016FE1" w:rsidRDefault="00016FE1" w:rsidP="002B6227">
      <w:pPr>
        <w:ind w:left="851" w:right="283"/>
        <w:jc w:val="both"/>
        <w:rPr>
          <w:rFonts w:ascii="Gotham" w:hAnsi="Gotham"/>
          <w:i/>
          <w:color w:val="000000" w:themeColor="text1"/>
          <w:sz w:val="19"/>
          <w:szCs w:val="19"/>
        </w:rPr>
      </w:pPr>
    </w:p>
    <w:p w14:paraId="3A474076"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27. Los Ayuntamientos, para el estudio, vigilancia y atención de los diversos asuntos que les corresponda conocer, deben funcionar mediante comisiones. </w:t>
      </w:r>
    </w:p>
    <w:p w14:paraId="3A474077"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Cada regidor debe estar integrado por lo menos a una Comisión.</w:t>
      </w:r>
    </w:p>
    <w:p w14:paraId="3A474078"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lastRenderedPageBreak/>
        <w:t>La denominación de las comisiones, sus características, obligaciones y facultades, deben ser establecidas en los reglamentos que para tal efecto expida el Ayuntamiento.</w:t>
      </w:r>
    </w:p>
    <w:p w14:paraId="3A474079"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Las comisiones pueden ser permanentes y transitorias, con desempeño unipersonal o colegiado, y bajo ninguna circunstancia pueden tener facultades ejecutivas.</w:t>
      </w:r>
    </w:p>
    <w:p w14:paraId="3A47407A" w14:textId="77777777" w:rsidR="00016FE1" w:rsidRDefault="00016FE1" w:rsidP="002B6227">
      <w:pPr>
        <w:ind w:left="851" w:right="283"/>
        <w:jc w:val="both"/>
        <w:rPr>
          <w:rFonts w:ascii="Gotham" w:hAnsi="Gotham"/>
          <w:i/>
          <w:color w:val="000000" w:themeColor="text1"/>
          <w:sz w:val="19"/>
          <w:szCs w:val="19"/>
        </w:rPr>
      </w:pPr>
    </w:p>
    <w:p w14:paraId="3A47407B"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 49. Son obligaciones de los Regidores:</w:t>
      </w:r>
    </w:p>
    <w:p w14:paraId="3A47407C"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 xml:space="preserve">Asistir puntualmente a las sesiones del Ayuntamiento y dar cuenta en las mismas de los asuntos que correspondan a sus comisiones; </w:t>
      </w:r>
    </w:p>
    <w:p w14:paraId="3A47407D" w14:textId="77777777" w:rsidR="00016FE1" w:rsidRDefault="00016FE1" w:rsidP="002B6227">
      <w:pPr>
        <w:ind w:left="851" w:right="283"/>
        <w:jc w:val="both"/>
        <w:rPr>
          <w:rFonts w:ascii="Gotham" w:hAnsi="Gotham"/>
          <w:i/>
          <w:color w:val="000000" w:themeColor="text1"/>
          <w:sz w:val="19"/>
          <w:szCs w:val="19"/>
        </w:rPr>
      </w:pPr>
    </w:p>
    <w:p w14:paraId="3A47407E"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50. Son facultades de los regidores: </w:t>
      </w:r>
    </w:p>
    <w:p w14:paraId="3A47407F"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Presentar iniciativas de ordenamientos municipales, en los términos de la presente ley; </w:t>
      </w:r>
    </w:p>
    <w:p w14:paraId="3A474080"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Proponer al Ayuntamiento las resoluciones y políticas que deban adoptarse para el mantenimiento de los servicios municipales cuya vigilancia les haya sido encomendada, y dar su opinión al Presidente Municipal acerca de los asuntos que correspondan a sus comisiones;</w:t>
      </w:r>
    </w:p>
    <w:p w14:paraId="3A474081" w14:textId="77777777" w:rsidR="00016FE1" w:rsidRDefault="00016FE1" w:rsidP="002B6227">
      <w:pPr>
        <w:jc w:val="both"/>
        <w:rPr>
          <w:rFonts w:ascii="Gotham" w:hAnsi="Gotham"/>
          <w:color w:val="000000" w:themeColor="text1"/>
          <w:sz w:val="20"/>
          <w:szCs w:val="20"/>
        </w:rPr>
      </w:pPr>
    </w:p>
    <w:p w14:paraId="3A474082"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III.  </w:t>
      </w:r>
      <w:r>
        <w:rPr>
          <w:rFonts w:ascii="Gotham" w:hAnsi="Gotham"/>
          <w:color w:val="000000" w:themeColor="text1"/>
          <w:sz w:val="20"/>
          <w:szCs w:val="20"/>
        </w:rPr>
        <w:tab/>
        <w:t>El Reglamento del Gobierno y la Administración Pública del Ayuntamiento Constitucional de Tonalá, Jalisco, establece lo siguiente;</w:t>
      </w:r>
    </w:p>
    <w:p w14:paraId="3A474083" w14:textId="77777777" w:rsidR="00016FE1" w:rsidRDefault="00016FE1" w:rsidP="002B6227">
      <w:pPr>
        <w:jc w:val="both"/>
        <w:rPr>
          <w:rFonts w:ascii="Gotham" w:hAnsi="Gotham"/>
          <w:color w:val="000000" w:themeColor="text1"/>
          <w:sz w:val="20"/>
          <w:szCs w:val="20"/>
        </w:rPr>
      </w:pPr>
    </w:p>
    <w:p w14:paraId="3A474084"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Artículo 53.- Además de lo establecido en la legislación y normatividad aplicable, son facultades y obligaciones del Ayuntamiento, las siguientes:</w:t>
      </w:r>
    </w:p>
    <w:p w14:paraId="3A474085"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XI. </w:t>
      </w:r>
      <w:r>
        <w:rPr>
          <w:rFonts w:ascii="Gotham" w:hAnsi="Gotham"/>
          <w:i/>
          <w:color w:val="000000" w:themeColor="text1"/>
          <w:sz w:val="19"/>
          <w:szCs w:val="19"/>
        </w:rPr>
        <w:tab/>
        <w:t>Planear, construir y supervisar los cementerios, centros deportivos y centros culturales que sean necesarios, así como cuidar y conservar los existentes de acuerdo a su capacidad presupuestaria…</w:t>
      </w:r>
    </w:p>
    <w:p w14:paraId="3A474086" w14:textId="77777777" w:rsidR="00016FE1" w:rsidRDefault="00016FE1" w:rsidP="002B6227">
      <w:pPr>
        <w:ind w:left="851" w:right="283"/>
        <w:jc w:val="both"/>
        <w:rPr>
          <w:rFonts w:ascii="Gotham" w:hAnsi="Gotham"/>
          <w:i/>
          <w:color w:val="000000" w:themeColor="text1"/>
          <w:sz w:val="19"/>
          <w:szCs w:val="19"/>
        </w:rPr>
      </w:pPr>
    </w:p>
    <w:p w14:paraId="3A474087"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 56.- Tienen facultad para presentar iniciativas de ordenamientos municipales:</w:t>
      </w:r>
    </w:p>
    <w:p w14:paraId="3A474088" w14:textId="77777777" w:rsidR="00016FE1" w:rsidRDefault="00016FE1" w:rsidP="002B6227">
      <w:pPr>
        <w:spacing w:after="12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 </w:t>
      </w:r>
      <w:r>
        <w:rPr>
          <w:rFonts w:ascii="Gotham" w:hAnsi="Gotham"/>
          <w:i/>
          <w:color w:val="000000" w:themeColor="text1"/>
          <w:sz w:val="19"/>
          <w:szCs w:val="19"/>
        </w:rPr>
        <w:tab/>
        <w:t>El Presidente Municipal;</w:t>
      </w:r>
    </w:p>
    <w:p w14:paraId="3A474089" w14:textId="77777777" w:rsidR="00016FE1" w:rsidRDefault="00016FE1" w:rsidP="002B6227">
      <w:pPr>
        <w:spacing w:after="12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II. </w:t>
      </w:r>
      <w:r>
        <w:rPr>
          <w:rFonts w:ascii="Gotham" w:hAnsi="Gotham"/>
          <w:i/>
          <w:color w:val="000000" w:themeColor="text1"/>
          <w:sz w:val="19"/>
          <w:szCs w:val="19"/>
        </w:rPr>
        <w:tab/>
        <w:t>Los Regidores;</w:t>
      </w:r>
    </w:p>
    <w:p w14:paraId="3A47408A" w14:textId="77777777" w:rsidR="00016FE1" w:rsidRDefault="00016FE1" w:rsidP="002B6227">
      <w:pPr>
        <w:spacing w:after="12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III. </w:t>
      </w:r>
      <w:r>
        <w:rPr>
          <w:rFonts w:ascii="Gotham" w:hAnsi="Gotham"/>
          <w:i/>
          <w:color w:val="000000" w:themeColor="text1"/>
          <w:sz w:val="19"/>
          <w:szCs w:val="19"/>
        </w:rPr>
        <w:tab/>
        <w:t>El Síndico Municipal;</w:t>
      </w:r>
    </w:p>
    <w:p w14:paraId="3A47408B" w14:textId="77777777" w:rsidR="00016FE1" w:rsidRDefault="00016FE1" w:rsidP="002B6227">
      <w:pPr>
        <w:spacing w:after="12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IV. </w:t>
      </w:r>
      <w:r>
        <w:rPr>
          <w:rFonts w:ascii="Gotham" w:hAnsi="Gotham"/>
          <w:i/>
          <w:color w:val="000000" w:themeColor="text1"/>
          <w:sz w:val="19"/>
          <w:szCs w:val="19"/>
        </w:rPr>
        <w:tab/>
        <w:t>Las Comisiones del Ayuntamiento; y</w:t>
      </w:r>
    </w:p>
    <w:p w14:paraId="3A47408C"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V. </w:t>
      </w:r>
      <w:r>
        <w:rPr>
          <w:rFonts w:ascii="Gotham" w:hAnsi="Gotham"/>
          <w:i/>
          <w:color w:val="000000" w:themeColor="text1"/>
          <w:sz w:val="19"/>
          <w:szCs w:val="19"/>
        </w:rPr>
        <w:tab/>
        <w:t>Los demás que establezca la legislación y normatividad aplicable.</w:t>
      </w:r>
    </w:p>
    <w:p w14:paraId="3A47408D" w14:textId="77777777" w:rsidR="00016FE1" w:rsidRDefault="00016FE1" w:rsidP="002B6227">
      <w:pPr>
        <w:ind w:left="851" w:right="283"/>
        <w:jc w:val="both"/>
        <w:rPr>
          <w:rFonts w:ascii="Gotham" w:hAnsi="Gotham"/>
          <w:i/>
          <w:color w:val="000000" w:themeColor="text1"/>
          <w:sz w:val="19"/>
          <w:szCs w:val="19"/>
        </w:rPr>
      </w:pPr>
    </w:p>
    <w:p w14:paraId="3A47408E"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71.- 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 </w:t>
      </w:r>
    </w:p>
    <w:p w14:paraId="3A47408F"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En su primera sesión del ayuntamiento a propuesta del Presidente Municipal se designa de entre sus miembros a quienes deban integrar las comisiones edilicias permanentes de conformidad a lo establecido en el presente reglamento. En la integración de las Comisiones se buscará que el número que presida cada uno de los integrantes de las fracciones partidistas o fracciones independientes de regidores corresponda al porcentaje de representación que ostentan en el Ayuntamiento.</w:t>
      </w:r>
    </w:p>
    <w:p w14:paraId="3A474090"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 xml:space="preserve">Las Comisiones establecidas pueden ser modificadas en su número y composición, en cualquier momento por acuerdo de la mayoría de los miembros del Ayuntamiento, sin contravenir lo establecido en el párrafo anterior. </w:t>
      </w:r>
    </w:p>
    <w:p w14:paraId="3A474091"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lastRenderedPageBreak/>
        <w:t xml:space="preserve">El Presidente Municipal tiene en todo tiempo la facultad de solicitar a las Comisiones la realización de algunas tareas específicas en beneficio del municipio. Dicha solicitud debe hacerla por escrito, el cual les será otorgado a través del Secretario General del Ayuntamiento. </w:t>
      </w:r>
    </w:p>
    <w:p w14:paraId="3A474092" w14:textId="77777777" w:rsidR="00016FE1" w:rsidRDefault="00016FE1" w:rsidP="002B6227">
      <w:pPr>
        <w:ind w:left="851" w:right="283"/>
        <w:jc w:val="both"/>
        <w:rPr>
          <w:rFonts w:ascii="Gotham" w:hAnsi="Gotham"/>
          <w:i/>
          <w:color w:val="000000" w:themeColor="text1"/>
          <w:sz w:val="19"/>
          <w:szCs w:val="19"/>
        </w:rPr>
      </w:pPr>
    </w:p>
    <w:p w14:paraId="3A474093"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w:t>
      </w:r>
      <w:r w:rsidR="0041199B">
        <w:rPr>
          <w:rFonts w:ascii="Gotham" w:hAnsi="Gotham"/>
          <w:i/>
          <w:color w:val="000000" w:themeColor="text1"/>
          <w:sz w:val="19"/>
          <w:szCs w:val="19"/>
        </w:rPr>
        <w:t xml:space="preserve"> </w:t>
      </w:r>
      <w:r>
        <w:rPr>
          <w:rFonts w:ascii="Gotham" w:hAnsi="Gotham"/>
          <w:i/>
          <w:color w:val="000000" w:themeColor="text1"/>
          <w:sz w:val="19"/>
          <w:szCs w:val="19"/>
        </w:rPr>
        <w:t xml:space="preserve">93.- Las comisiones edilicias tienen las siguientes atribuciones: </w:t>
      </w:r>
    </w:p>
    <w:p w14:paraId="3A474094" w14:textId="77777777" w:rsidR="00016FE1" w:rsidRDefault="00016FE1" w:rsidP="002B6227">
      <w:pPr>
        <w:spacing w:after="120"/>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 </w:t>
      </w:r>
      <w:r>
        <w:rPr>
          <w:rFonts w:ascii="Gotham" w:hAnsi="Gotham"/>
          <w:i/>
          <w:color w:val="000000" w:themeColor="text1"/>
          <w:sz w:val="19"/>
          <w:szCs w:val="19"/>
        </w:rPr>
        <w:tab/>
        <w:t xml:space="preserve">Recibir, estudiar, analizar, discutir y dictaminar los asuntos turnados por el ayuntamiento; </w:t>
      </w:r>
    </w:p>
    <w:p w14:paraId="3A474095"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II. </w:t>
      </w:r>
      <w:r>
        <w:rPr>
          <w:rFonts w:ascii="Gotham" w:hAnsi="Gotham"/>
          <w:i/>
          <w:color w:val="000000" w:themeColor="text1"/>
          <w:sz w:val="19"/>
          <w:szCs w:val="19"/>
        </w:rPr>
        <w:tab/>
        <w:t>Presentar al ayuntamiento los dictámenes e informes, resultados de sus trabajos e investigaciones y demás documentos relativos a los asuntos que les son turnados;...</w:t>
      </w:r>
    </w:p>
    <w:p w14:paraId="3A474096" w14:textId="77777777" w:rsidR="00016FE1" w:rsidRDefault="00016FE1" w:rsidP="002B6227">
      <w:pPr>
        <w:ind w:left="851" w:right="283"/>
        <w:jc w:val="both"/>
        <w:rPr>
          <w:rFonts w:ascii="Gotham" w:hAnsi="Gotham"/>
          <w:i/>
          <w:color w:val="000000" w:themeColor="text1"/>
          <w:sz w:val="19"/>
          <w:szCs w:val="19"/>
        </w:rPr>
      </w:pPr>
    </w:p>
    <w:p w14:paraId="3A474097"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 106.- Son atribuciones de la Comisión Edilicia de Planeación para el Desarrollo Urbano, Rural y Habitación Popular:</w:t>
      </w:r>
    </w:p>
    <w:p w14:paraId="3A474098"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VI. </w:t>
      </w:r>
      <w:r>
        <w:rPr>
          <w:rFonts w:ascii="Gotham" w:hAnsi="Gotham"/>
          <w:i/>
          <w:color w:val="000000" w:themeColor="text1"/>
          <w:sz w:val="19"/>
          <w:szCs w:val="19"/>
        </w:rPr>
        <w:tab/>
        <w:t>Proponer, analizar, estudiar y dictaminar las iniciativas tendientes a rescatar, mejorar, desarrollar o renovar la situación del centro histórico, ocupándose, de manera enunciativa y no limitativa del rescate de los siguientes rubros: plazas públicas, monumentos, calles, mobiliario urbano, parques, jardines y fuentes, así como de los barrios tradicionales de nuestra ciudad;</w:t>
      </w:r>
    </w:p>
    <w:p w14:paraId="3A474099" w14:textId="77777777" w:rsidR="00016FE1" w:rsidRDefault="00016FE1" w:rsidP="002B6227">
      <w:pPr>
        <w:jc w:val="both"/>
        <w:rPr>
          <w:rFonts w:ascii="Gotham" w:hAnsi="Gotham"/>
          <w:color w:val="000000" w:themeColor="text1"/>
          <w:sz w:val="20"/>
          <w:szCs w:val="20"/>
        </w:rPr>
      </w:pPr>
    </w:p>
    <w:p w14:paraId="3A47409A"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IV.- </w:t>
      </w:r>
      <w:r>
        <w:rPr>
          <w:rFonts w:ascii="Gotham" w:hAnsi="Gotham"/>
          <w:color w:val="000000" w:themeColor="text1"/>
          <w:sz w:val="20"/>
          <w:szCs w:val="20"/>
        </w:rPr>
        <w:tab/>
        <w:t xml:space="preserve">Así mismo el Reglamento para el Funcionamiento Interno de Sesiones del Ayuntamiento Constitucional de Tonalá, Jalisco, establece lo siguiente; </w:t>
      </w:r>
    </w:p>
    <w:p w14:paraId="3A47409B" w14:textId="77777777" w:rsidR="00016FE1" w:rsidRDefault="00016FE1" w:rsidP="002B6227">
      <w:pPr>
        <w:jc w:val="both"/>
        <w:rPr>
          <w:rFonts w:ascii="Gotham" w:hAnsi="Gotham"/>
          <w:color w:val="000000" w:themeColor="text1"/>
          <w:sz w:val="20"/>
          <w:szCs w:val="20"/>
        </w:rPr>
      </w:pPr>
    </w:p>
    <w:p w14:paraId="3A47409C"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Artículo 1. El presente reglamento tiene su fundamento en el artículo 115 de la Constitución Política de los Estados Unidos Mexicanos; 77, fracción II, de la Constitución Política del Estado de Jalisco; 29, 37, fracción II; 40, fracción II; 41, 42, 44, 50 de la Ley del Gobierno y la Administración Pública Municipal del Estado de Jalisco; 76, 49, fracción II, y 51, fracción II, del Reglamento del Gobierno y la Administración Pública del Ayuntamiento Constitucional de Tonalá, Jalisco.</w:t>
      </w:r>
    </w:p>
    <w:p w14:paraId="3A47409D" w14:textId="77777777" w:rsidR="00016FE1" w:rsidRDefault="00016FE1" w:rsidP="002B6227">
      <w:pPr>
        <w:ind w:left="851" w:right="283"/>
        <w:jc w:val="both"/>
        <w:rPr>
          <w:rFonts w:ascii="Gotham" w:hAnsi="Gotham"/>
          <w:i/>
          <w:color w:val="000000" w:themeColor="text1"/>
          <w:sz w:val="19"/>
          <w:szCs w:val="19"/>
        </w:rPr>
      </w:pPr>
    </w:p>
    <w:p w14:paraId="3A47409E" w14:textId="77777777" w:rsidR="00016FE1" w:rsidRDefault="00016FE1" w:rsidP="002B6227">
      <w:pPr>
        <w:spacing w:after="120"/>
        <w:ind w:left="851" w:right="283"/>
        <w:jc w:val="both"/>
        <w:rPr>
          <w:rFonts w:ascii="Gotham" w:hAnsi="Gotham"/>
          <w:i/>
          <w:color w:val="000000" w:themeColor="text1"/>
          <w:sz w:val="19"/>
          <w:szCs w:val="19"/>
        </w:rPr>
      </w:pPr>
      <w:r>
        <w:rPr>
          <w:rFonts w:ascii="Gotham" w:hAnsi="Gotham"/>
          <w:i/>
          <w:color w:val="000000" w:themeColor="text1"/>
          <w:sz w:val="19"/>
          <w:szCs w:val="19"/>
        </w:rPr>
        <w:t>…Artículo 10. En las sesiones de Ayuntamiento, corresponde de forma general a sus integrantes el cumplimiento de los siguientes puntos:</w:t>
      </w:r>
    </w:p>
    <w:p w14:paraId="3A47409F" w14:textId="77777777" w:rsidR="00016FE1" w:rsidRDefault="00016FE1" w:rsidP="002B6227">
      <w:pPr>
        <w:ind w:left="1276" w:right="283" w:hanging="425"/>
        <w:jc w:val="both"/>
        <w:rPr>
          <w:rFonts w:ascii="Gotham" w:hAnsi="Gotham"/>
          <w:i/>
          <w:color w:val="000000" w:themeColor="text1"/>
          <w:sz w:val="19"/>
          <w:szCs w:val="19"/>
        </w:rPr>
      </w:pPr>
      <w:r>
        <w:rPr>
          <w:rFonts w:ascii="Gotham" w:hAnsi="Gotham"/>
          <w:i/>
          <w:color w:val="000000" w:themeColor="text1"/>
          <w:sz w:val="19"/>
          <w:szCs w:val="19"/>
        </w:rPr>
        <w:t xml:space="preserve">V. </w:t>
      </w:r>
      <w:r>
        <w:rPr>
          <w:rFonts w:ascii="Gotham" w:hAnsi="Gotham"/>
          <w:i/>
          <w:color w:val="000000" w:themeColor="text1"/>
          <w:sz w:val="19"/>
          <w:szCs w:val="19"/>
        </w:rPr>
        <w:tab/>
        <w:t>Presentar los dictámenes de las comisiones que presidan, así como iniciativas, en los términos de la Ley y de la reglamentación municipal;…</w:t>
      </w:r>
    </w:p>
    <w:p w14:paraId="3A4740A0" w14:textId="77777777" w:rsidR="00016FE1" w:rsidRDefault="00016FE1" w:rsidP="002B6227">
      <w:pPr>
        <w:ind w:left="851" w:right="283"/>
        <w:jc w:val="both"/>
        <w:rPr>
          <w:rFonts w:ascii="Gotham" w:hAnsi="Gotham"/>
          <w:i/>
          <w:color w:val="000000" w:themeColor="text1"/>
          <w:sz w:val="19"/>
          <w:szCs w:val="19"/>
        </w:rPr>
      </w:pPr>
    </w:p>
    <w:p w14:paraId="3A4740A1"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Artículo 42. El Ayuntamiento, para el estudio, vigilancia y atención de los diversos asuntos que le corresponde conocer, funcionará mediante Comisiones.</w:t>
      </w:r>
    </w:p>
    <w:p w14:paraId="3A4740A2" w14:textId="77777777" w:rsidR="00016FE1" w:rsidRDefault="00016FE1" w:rsidP="002B6227">
      <w:pPr>
        <w:ind w:left="851" w:right="283"/>
        <w:rPr>
          <w:rFonts w:ascii="Gotham" w:hAnsi="Gotham"/>
          <w:i/>
          <w:color w:val="000000" w:themeColor="text1"/>
          <w:sz w:val="19"/>
          <w:szCs w:val="19"/>
        </w:rPr>
      </w:pPr>
    </w:p>
    <w:p w14:paraId="3A4740A3"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 xml:space="preserve">Artículo 43. La Comisión es el órgano colegiado del Ayuntamiento encargado de conocer, vigilar, analizar y dictaminar todos aquellos asuntos de interés general y de carácter público y el trámite de los asuntos que le sean turnados de acuerdo a su competencia. </w:t>
      </w:r>
    </w:p>
    <w:p w14:paraId="3A4740A4" w14:textId="77777777" w:rsidR="00016FE1" w:rsidRDefault="00016FE1" w:rsidP="002B6227">
      <w:pPr>
        <w:ind w:left="851" w:right="283"/>
        <w:jc w:val="both"/>
        <w:rPr>
          <w:rFonts w:ascii="Gotham" w:hAnsi="Gotham"/>
          <w:i/>
          <w:color w:val="000000" w:themeColor="text1"/>
          <w:sz w:val="19"/>
          <w:szCs w:val="19"/>
        </w:rPr>
      </w:pPr>
    </w:p>
    <w:p w14:paraId="3A4740A5"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Artículo 44. En la primera sesión de Ayuntamiento se deberá aprobar la integración de las Comisiones Permanentes, las cuales se integran a propuesta del Presidente. Lo mismo se observará en el caso de Comisiones Transitorias que por su trascendencia debieran continuar con los trabajos que motivaron su creación.</w:t>
      </w:r>
    </w:p>
    <w:p w14:paraId="3A4740A6" w14:textId="77777777" w:rsidR="00016FE1" w:rsidRDefault="00016FE1" w:rsidP="002B6227">
      <w:pPr>
        <w:jc w:val="both"/>
        <w:rPr>
          <w:rFonts w:ascii="Gotham" w:hAnsi="Gotham"/>
          <w:color w:val="000000" w:themeColor="text1"/>
          <w:sz w:val="20"/>
          <w:szCs w:val="20"/>
        </w:rPr>
      </w:pPr>
    </w:p>
    <w:p w14:paraId="3A4740A7"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En atención a los antecedentes y fundamentos, los comisionados creemos procedente y necesario señalar la siguiente:</w:t>
      </w:r>
    </w:p>
    <w:p w14:paraId="3A4740A8" w14:textId="77777777" w:rsidR="00016FE1" w:rsidRDefault="00016FE1" w:rsidP="002B6227">
      <w:pPr>
        <w:rPr>
          <w:rFonts w:ascii="Gotham" w:hAnsi="Gotham"/>
          <w:color w:val="000000" w:themeColor="text1"/>
          <w:sz w:val="20"/>
          <w:szCs w:val="20"/>
        </w:rPr>
      </w:pPr>
    </w:p>
    <w:p w14:paraId="3A4740A9"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EXPOSICIÓN DE MOTIVOS</w:t>
      </w:r>
    </w:p>
    <w:p w14:paraId="3A4740AA" w14:textId="77777777" w:rsidR="00016FE1" w:rsidRDefault="00016FE1" w:rsidP="002B6227">
      <w:pPr>
        <w:rPr>
          <w:rFonts w:ascii="Gotham" w:hAnsi="Gotham"/>
          <w:color w:val="000000" w:themeColor="text1"/>
          <w:sz w:val="20"/>
          <w:szCs w:val="20"/>
        </w:rPr>
      </w:pPr>
      <w:r>
        <w:rPr>
          <w:rFonts w:ascii="Gotham" w:hAnsi="Gotham"/>
          <w:color w:val="000000" w:themeColor="text1"/>
          <w:sz w:val="20"/>
          <w:szCs w:val="20"/>
        </w:rPr>
        <w:t xml:space="preserve"> </w:t>
      </w:r>
    </w:p>
    <w:p w14:paraId="3A4740AB" w14:textId="45F7165E" w:rsidR="00016FE1" w:rsidRDefault="00016FE1" w:rsidP="00865062">
      <w:pPr>
        <w:pStyle w:val="Prrafodelista"/>
        <w:numPr>
          <w:ilvl w:val="0"/>
          <w:numId w:val="166"/>
        </w:numPr>
        <w:ind w:left="567" w:hanging="567"/>
        <w:contextualSpacing w:val="0"/>
        <w:jc w:val="both"/>
        <w:rPr>
          <w:rFonts w:ascii="Gotham" w:eastAsia="Calibri" w:hAnsi="Gotham"/>
          <w:color w:val="000000" w:themeColor="text1"/>
          <w:sz w:val="20"/>
          <w:szCs w:val="20"/>
        </w:rPr>
      </w:pPr>
      <w:r>
        <w:rPr>
          <w:rFonts w:ascii="Gotham" w:hAnsi="Gotham"/>
          <w:bCs/>
          <w:color w:val="000000" w:themeColor="text1"/>
          <w:sz w:val="20"/>
          <w:szCs w:val="20"/>
        </w:rPr>
        <w:t xml:space="preserve">La Regidora Dulce Yunuen </w:t>
      </w:r>
      <w:r w:rsidR="009251B4">
        <w:rPr>
          <w:rFonts w:ascii="Gotham" w:hAnsi="Gotham"/>
          <w:bCs/>
          <w:color w:val="000000" w:themeColor="text1"/>
          <w:sz w:val="20"/>
          <w:szCs w:val="20"/>
        </w:rPr>
        <w:t>García</w:t>
      </w:r>
      <w:r>
        <w:rPr>
          <w:rFonts w:ascii="Gotham" w:hAnsi="Gotham"/>
          <w:bCs/>
          <w:color w:val="000000" w:themeColor="text1"/>
          <w:sz w:val="20"/>
          <w:szCs w:val="20"/>
        </w:rPr>
        <w:t xml:space="preserve"> Venegas, expuso en la iniciativa de origen, lo siguiente: Como es del conocimiento de todos, la falta de realización de obras urbanas y por tanto la entrega - </w:t>
      </w:r>
      <w:r>
        <w:rPr>
          <w:rFonts w:ascii="Gotham" w:hAnsi="Gotham"/>
          <w:bCs/>
          <w:color w:val="000000" w:themeColor="text1"/>
          <w:sz w:val="20"/>
          <w:szCs w:val="20"/>
        </w:rPr>
        <w:lastRenderedPageBreak/>
        <w:t xml:space="preserve">recepción de las mismas al municipio ha sido un problema que aqueja a un gran número de habitantes en nuestro municipio. Sucede mucho que cuando el municipio pide que se entregue la obra y ve que los urbanizadores no cumplieron con lo que dice la licencia, entonces se niegan a recibirlo formalmente, lo que trae como consecuencia directa una merma para los habitantes que ya compraron por que comienzan a tener problemas con servicios como lo es la falta de agua, daño en la infraestructura urbana o en su caso dificultad para vender sus casas por falta del certificado de habitabilidad. Tan solo en nuestro Municipio, en el año 2018 ya existían más de 40 fraccionamientos sin recepcionar, entre los que se encontraba el fraccionamiento el Cerrito II. Hace algunos meses su servidora recibió a un grupo de vecinos del fraccionamiento mencionado líneas arriba, los cuales hicieron de mi conocimiento diversas problemáticas que los aquejan como lo son: que las áreas verdes no se encuentran terminadas lo que provoca la proliferación de fauna nociva, banquetas fracturadas, tomas de agua sin tapar, así como que la parte sur del fraccionamiento tiene rocas y barro que provocan fracturas en la bardas colindantes de las casas. Dicho lo anterior su servidora envió el oficio DYGV/263/2022, a través del cual le solicite a la Dirección General de Planeación y Desarrollo Urbano Sustentable pudiera informa es estatus que guardaba ante esa dependencia el fraccionamiento El Cerrito II, recibiendo como respuesta el oficio DGPDUS/DUR/1381/2022 por medio del cual se refirió lo siguiente: </w:t>
      </w:r>
    </w:p>
    <w:p w14:paraId="3A4740AC" w14:textId="77777777" w:rsidR="00016FE1" w:rsidRDefault="00016FE1" w:rsidP="002B6227">
      <w:pPr>
        <w:pStyle w:val="Prrafodelista"/>
        <w:ind w:left="567"/>
        <w:contextualSpacing w:val="0"/>
        <w:jc w:val="both"/>
        <w:rPr>
          <w:rFonts w:ascii="Gotham" w:hAnsi="Gotham"/>
          <w:bCs/>
          <w:color w:val="000000" w:themeColor="text1"/>
          <w:sz w:val="20"/>
          <w:szCs w:val="20"/>
        </w:rPr>
      </w:pPr>
    </w:p>
    <w:p w14:paraId="3A4740AD" w14:textId="77777777" w:rsidR="00016FE1" w:rsidRDefault="00016FE1" w:rsidP="002B6227">
      <w:pPr>
        <w:ind w:left="851" w:right="283"/>
        <w:jc w:val="both"/>
        <w:rPr>
          <w:rFonts w:ascii="Gotham" w:hAnsi="Gotham"/>
          <w:i/>
          <w:color w:val="000000" w:themeColor="text1"/>
          <w:sz w:val="19"/>
          <w:szCs w:val="19"/>
        </w:rPr>
      </w:pPr>
      <w:r>
        <w:rPr>
          <w:rFonts w:ascii="Gotham" w:hAnsi="Gotham"/>
          <w:i/>
          <w:color w:val="000000" w:themeColor="text1"/>
          <w:sz w:val="19"/>
          <w:szCs w:val="19"/>
        </w:rPr>
        <w:t xml:space="preserve">“… Es importante mencionar que las obras del fraccionamiento se encuentran en mal estado y carecen de mantenimiento. Por tales motivos al no contar con el acta de entrega - recepción de las obras de urbanización ante este municipio, las dependencias encargadas de la dotación de servicios públicos como el mantenimiento de alumbrado públicos y áreas verdes, recolección de basura etc. Se encuentran imposibilitadas de proporcionar los servicios a los habitantes del citado fraccionamiento. Por otra parte, aun cuando el proyecto definitivo de urbanización autorizado mediante licencia DPDU-1051-2006 de fecha 26 de junio de 2006 quedaron consignadas vialidades públicas y lotes como áreas de cesión para destinos, estos no forman parte del patrimonio municipal por no haberse concluido el proceso administrativo…”. </w:t>
      </w:r>
    </w:p>
    <w:p w14:paraId="3A4740AE" w14:textId="77777777" w:rsidR="00016FE1" w:rsidRDefault="00016FE1" w:rsidP="002B6227">
      <w:pPr>
        <w:pStyle w:val="Prrafodelista"/>
        <w:ind w:left="567"/>
        <w:contextualSpacing w:val="0"/>
        <w:jc w:val="both"/>
        <w:rPr>
          <w:rFonts w:ascii="Gotham" w:eastAsia="Calibri" w:hAnsi="Gotham"/>
          <w:bCs/>
          <w:color w:val="000000" w:themeColor="text1"/>
          <w:sz w:val="20"/>
          <w:szCs w:val="20"/>
        </w:rPr>
      </w:pPr>
    </w:p>
    <w:p w14:paraId="3A4740AF" w14:textId="77777777" w:rsidR="00016FE1" w:rsidRDefault="00016FE1" w:rsidP="002B6227">
      <w:pPr>
        <w:pStyle w:val="Prrafodelista"/>
        <w:ind w:left="567"/>
        <w:contextualSpacing w:val="0"/>
        <w:jc w:val="both"/>
        <w:rPr>
          <w:rFonts w:ascii="Gotham" w:hAnsi="Gotham"/>
          <w:color w:val="000000" w:themeColor="text1"/>
          <w:sz w:val="20"/>
          <w:szCs w:val="20"/>
        </w:rPr>
      </w:pPr>
      <w:r>
        <w:rPr>
          <w:rFonts w:ascii="Gotham" w:hAnsi="Gotham"/>
          <w:color w:val="000000" w:themeColor="text1"/>
          <w:sz w:val="20"/>
          <w:szCs w:val="20"/>
        </w:rPr>
        <w:t>Dicho lo anterior y en cumplimiento a lo previsto en los artículos 373, 374 y 375 del Código Urbano del Estado de Jalisco, las autoridades municipales tenemos la obligación cumplir de hacer cumplir lo dispuesto en el código en mención, así como en los reglamentos, planes o programas en materia de urbanización, esto es otorgar a los ciudadanos del municipio la certeza jurídica en los servicios municipales previstos en el artículo 115 Constitucional.</w:t>
      </w:r>
    </w:p>
    <w:p w14:paraId="3A4740B0" w14:textId="77777777" w:rsidR="00016FE1" w:rsidRDefault="00016FE1" w:rsidP="002B6227">
      <w:pPr>
        <w:ind w:left="567" w:hanging="567"/>
        <w:jc w:val="both"/>
        <w:rPr>
          <w:rFonts w:ascii="Gotham" w:hAnsi="Gotham"/>
          <w:bCs/>
          <w:color w:val="000000" w:themeColor="text1"/>
          <w:sz w:val="20"/>
          <w:szCs w:val="20"/>
        </w:rPr>
      </w:pPr>
    </w:p>
    <w:p w14:paraId="3A4740B1" w14:textId="77777777" w:rsidR="00016FE1" w:rsidRDefault="00016FE1" w:rsidP="00865062">
      <w:pPr>
        <w:pStyle w:val="Prrafodelista"/>
        <w:numPr>
          <w:ilvl w:val="0"/>
          <w:numId w:val="166"/>
        </w:numPr>
        <w:ind w:left="567" w:hanging="567"/>
        <w:contextualSpacing w:val="0"/>
        <w:jc w:val="both"/>
        <w:rPr>
          <w:rFonts w:ascii="Gotham" w:hAnsi="Gotham"/>
          <w:bCs/>
          <w:color w:val="000000" w:themeColor="text1"/>
          <w:sz w:val="20"/>
          <w:szCs w:val="20"/>
        </w:rPr>
      </w:pPr>
      <w:r>
        <w:rPr>
          <w:rFonts w:ascii="Gotham" w:hAnsi="Gotham"/>
          <w:bCs/>
          <w:color w:val="000000" w:themeColor="text1"/>
          <w:sz w:val="20"/>
          <w:szCs w:val="20"/>
        </w:rPr>
        <w:t>Por su parte esta regiduría solicitó información a la Dirección General de Planeación y Desarrollo Urbano Sustentable y la Directora de Desarrollo Urbano respecto al Fraccionamiento El Cerrito II del presente dictamen, en donde mediante oficio DGPDUS/DUR/0816/2023 la Arq. Verónica Osorio Gándara en su carácter de Directora de la Dirección General de Planeación y Desarrollo Urbano Sustentable y la Arq. Marcela Diaz Fararoni en su carácter de Directora de Desarrollo Urbano, remite la documentación del fraccionamiento el cerrito II mismo que posee el número de licencia de urbanización No. DPDU-1051-2006 con fecha 26 de junio del 2006 a nombre de la desarrolladora RESPUESTAS EN VIVIENDA S.A. DE C.V., remitiendo a esta regiduría el estatus descrito indicando lo siguiente:</w:t>
      </w:r>
    </w:p>
    <w:p w14:paraId="3A4740B2" w14:textId="77777777" w:rsidR="00016FE1" w:rsidRDefault="00016FE1" w:rsidP="002B6227">
      <w:pPr>
        <w:jc w:val="both"/>
        <w:rPr>
          <w:rFonts w:ascii="Gotham" w:hAnsi="Gotham"/>
          <w:bCs/>
          <w:color w:val="000000" w:themeColor="text1"/>
          <w:sz w:val="20"/>
          <w:szCs w:val="20"/>
        </w:rPr>
      </w:pPr>
    </w:p>
    <w:p w14:paraId="3A4740B3"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Empresa desarrolladora: RESPUESTAS EN VIVIENDA, S.A. DE C.V.</w:t>
      </w:r>
    </w:p>
    <w:p w14:paraId="3A4740B4"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Se autorizó la licencia de urbanización mediante oficio No. DPDU-1051-2006 de fecha 26 de junio de 2006 para una superficie de 3.5 hectáreas, misma que cuenta con suspensión a partir del 03 de mayo de 2013.</w:t>
      </w:r>
    </w:p>
    <w:p w14:paraId="3A4740B5"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Se autorizó la preventa de las 239 viviendas de fecha 27 de junio de 2006</w:t>
      </w:r>
    </w:p>
    <w:p w14:paraId="3A4740B6"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lastRenderedPageBreak/>
        <w:t>Se autorizó la constitución de seis regímenes en condominio para las 239 unidades privativas de fecha 09 de enero de 2007.</w:t>
      </w:r>
    </w:p>
    <w:p w14:paraId="3A4740B7"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El fraccionamiento tiene un total de 239 lotes para uso habitacional plurifamiliar horizontal.</w:t>
      </w:r>
    </w:p>
    <w:p w14:paraId="3A4740B8"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Se designaron 04 lotes como áreas de cesión para destinos.</w:t>
      </w:r>
    </w:p>
    <w:p w14:paraId="3A4740B9"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Las vialidades se encuentran consignadas como públicas, sin embargo, no están escrituradas al municipio.</w:t>
      </w:r>
    </w:p>
    <w:p w14:paraId="3A4740BA"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El proyecto de la red de electrificación existente fue aprobado por el organismo operador (CFE).</w:t>
      </w:r>
    </w:p>
    <w:p w14:paraId="3A4740BB"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Los proyectos de las redes de agua potable y alcantarillado fueron aprobados por el organismo operador (SIAPA).</w:t>
      </w:r>
    </w:p>
    <w:p w14:paraId="3A4740BC"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No se cuenta con la entrega formal de las obras de urbanización y tampoco se encontró registro de la existencia de escrituras de donación.</w:t>
      </w:r>
    </w:p>
    <w:p w14:paraId="3A4740BD"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Oficio de Visto bueno para la recepción del alumbrado público otorgado por Dirección de Mejoramiento Urbano de fecha 16 de noviembre de 2009.</w:t>
      </w:r>
    </w:p>
    <w:p w14:paraId="3A4740BE" w14:textId="77777777" w:rsidR="00016FE1" w:rsidRDefault="00016FE1" w:rsidP="00865062">
      <w:pPr>
        <w:pStyle w:val="Prrafodelista"/>
        <w:numPr>
          <w:ilvl w:val="0"/>
          <w:numId w:val="167"/>
        </w:numPr>
        <w:spacing w:after="120"/>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Última comunicación escrita con la empresa desarrolladora: 16 de octubre del 2004 con motivo del seguimiento de la entrega-recepción de las obras de urbanización.</w:t>
      </w:r>
    </w:p>
    <w:p w14:paraId="3A4740BF" w14:textId="77777777" w:rsidR="00016FE1" w:rsidRDefault="00016FE1" w:rsidP="00865062">
      <w:pPr>
        <w:pStyle w:val="Prrafodelista"/>
        <w:numPr>
          <w:ilvl w:val="0"/>
          <w:numId w:val="167"/>
        </w:numPr>
        <w:ind w:left="851" w:hanging="284"/>
        <w:contextualSpacing w:val="0"/>
        <w:jc w:val="both"/>
        <w:rPr>
          <w:rFonts w:ascii="Gotham" w:hAnsi="Gotham"/>
          <w:bCs/>
          <w:i/>
          <w:iCs/>
          <w:color w:val="000000" w:themeColor="text1"/>
          <w:sz w:val="19"/>
          <w:szCs w:val="19"/>
        </w:rPr>
      </w:pPr>
      <w:r>
        <w:rPr>
          <w:rFonts w:ascii="Gotham" w:hAnsi="Gotham"/>
          <w:bCs/>
          <w:i/>
          <w:iCs/>
          <w:color w:val="000000" w:themeColor="text1"/>
          <w:sz w:val="19"/>
          <w:szCs w:val="19"/>
        </w:rPr>
        <w:t>En entrevista con algunos habitantes del fraccionamiento se identificó que algunos ya obtuvieron las escrituras de propiedad de sus viviendas.</w:t>
      </w:r>
    </w:p>
    <w:p w14:paraId="3A4740C0" w14:textId="77777777" w:rsidR="00016FE1" w:rsidRDefault="00016FE1" w:rsidP="002B6227">
      <w:pPr>
        <w:pStyle w:val="Prrafodelista"/>
        <w:ind w:left="567"/>
        <w:contextualSpacing w:val="0"/>
        <w:jc w:val="both"/>
        <w:rPr>
          <w:rFonts w:ascii="Gotham" w:hAnsi="Gotham"/>
          <w:bCs/>
          <w:i/>
          <w:iCs/>
          <w:color w:val="000000" w:themeColor="text1"/>
          <w:sz w:val="19"/>
          <w:szCs w:val="19"/>
        </w:rPr>
      </w:pPr>
    </w:p>
    <w:p w14:paraId="3A4740C1" w14:textId="77777777" w:rsidR="00016FE1" w:rsidRDefault="00016FE1" w:rsidP="002B6227">
      <w:pPr>
        <w:ind w:left="567"/>
        <w:jc w:val="both"/>
        <w:rPr>
          <w:rFonts w:ascii="Gotham" w:hAnsi="Gotham"/>
          <w:bCs/>
          <w:i/>
          <w:iCs/>
          <w:color w:val="000000" w:themeColor="text1"/>
          <w:sz w:val="19"/>
          <w:szCs w:val="19"/>
        </w:rPr>
      </w:pPr>
      <w:r>
        <w:rPr>
          <w:rFonts w:ascii="Gotham" w:hAnsi="Gotham"/>
          <w:bCs/>
          <w:i/>
          <w:iCs/>
          <w:color w:val="000000" w:themeColor="text1"/>
          <w:sz w:val="19"/>
          <w:szCs w:val="19"/>
        </w:rPr>
        <w:t>Se realizó una visita al fraccionamiento con la finalidad de verificar el estado actual de las obras de urbanización, encontrando que éstas fueron ejecutadas en las fechas de la autorización de la licencia, sin embargo, debido al paso del tiempo y a la falta de mantenimiento, se han deteriorado:</w:t>
      </w:r>
    </w:p>
    <w:p w14:paraId="3A4740C2" w14:textId="77777777" w:rsidR="00016FE1" w:rsidRDefault="00016FE1" w:rsidP="002B6227">
      <w:pPr>
        <w:ind w:left="567"/>
        <w:jc w:val="both"/>
        <w:rPr>
          <w:rFonts w:ascii="Gotham" w:hAnsi="Gotham"/>
          <w:bCs/>
          <w:i/>
          <w:iCs/>
          <w:color w:val="000000" w:themeColor="text1"/>
          <w:sz w:val="19"/>
          <w:szCs w:val="19"/>
        </w:rPr>
      </w:pPr>
    </w:p>
    <w:p w14:paraId="3A4740C3" w14:textId="77777777" w:rsidR="00016FE1" w:rsidRDefault="00016FE1" w:rsidP="002B6227">
      <w:pPr>
        <w:ind w:left="360"/>
        <w:jc w:val="center"/>
        <w:rPr>
          <w:rFonts w:ascii="Gotham" w:hAnsi="Gotham"/>
          <w:bCs/>
          <w:color w:val="000000" w:themeColor="text1"/>
          <w:sz w:val="20"/>
          <w:szCs w:val="20"/>
        </w:rPr>
      </w:pPr>
      <w:r>
        <w:rPr>
          <w:rFonts w:ascii="Gotham" w:hAnsi="Gotham"/>
          <w:noProof/>
          <w:color w:val="000000" w:themeColor="text1"/>
          <w:sz w:val="20"/>
          <w:szCs w:val="20"/>
          <w:lang w:val="es-MX" w:eastAsia="es-MX"/>
        </w:rPr>
        <w:lastRenderedPageBreak/>
        <w:drawing>
          <wp:inline distT="0" distB="0" distL="0" distR="0" wp14:anchorId="3A4768A6" wp14:editId="3A4768A7">
            <wp:extent cx="4108361" cy="6021583"/>
            <wp:effectExtent l="0" t="0" r="6985" b="0"/>
            <wp:docPr id="14" name="Imagen 14" descr="Recibo de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cibo de tiend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l="748" t="-401" r="8014"/>
                    <a:stretch>
                      <a:fillRect/>
                    </a:stretch>
                  </pic:blipFill>
                  <pic:spPr bwMode="auto">
                    <a:xfrm>
                      <a:off x="0" y="0"/>
                      <a:ext cx="4113163" cy="6028621"/>
                    </a:xfrm>
                    <a:prstGeom prst="rect">
                      <a:avLst/>
                    </a:prstGeom>
                    <a:noFill/>
                    <a:ln>
                      <a:noFill/>
                    </a:ln>
                  </pic:spPr>
                </pic:pic>
              </a:graphicData>
            </a:graphic>
          </wp:inline>
        </w:drawing>
      </w:r>
    </w:p>
    <w:p w14:paraId="3A4740C4" w14:textId="77777777" w:rsidR="00016FE1" w:rsidRDefault="00016FE1" w:rsidP="002B6227">
      <w:pPr>
        <w:ind w:left="567"/>
        <w:rPr>
          <w:rFonts w:ascii="Gotham" w:hAnsi="Gotham"/>
          <w:bCs/>
          <w:i/>
          <w:iCs/>
          <w:color w:val="000000" w:themeColor="text1"/>
          <w:sz w:val="19"/>
          <w:szCs w:val="19"/>
        </w:rPr>
      </w:pPr>
    </w:p>
    <w:p w14:paraId="3A4740C5" w14:textId="77777777" w:rsidR="00016FE1" w:rsidRDefault="00016FE1" w:rsidP="002B6227">
      <w:pPr>
        <w:ind w:left="567"/>
        <w:jc w:val="both"/>
        <w:rPr>
          <w:rFonts w:ascii="Gotham" w:hAnsi="Gotham"/>
          <w:bCs/>
          <w:i/>
          <w:iCs/>
          <w:color w:val="000000" w:themeColor="text1"/>
          <w:sz w:val="19"/>
          <w:szCs w:val="19"/>
        </w:rPr>
      </w:pPr>
      <w:r>
        <w:rPr>
          <w:rFonts w:ascii="Gotham" w:hAnsi="Gotham"/>
          <w:bCs/>
          <w:i/>
          <w:iCs/>
          <w:color w:val="000000" w:themeColor="text1"/>
          <w:sz w:val="19"/>
          <w:szCs w:val="19"/>
        </w:rPr>
        <w:t>Una vez analizado el estado tanto del expediente administrativo como del obras de urbanización ejecutadas, se puede concluir que la acción urbanística denominada "Casas El Cerrito II' coincide en su trazo vial v en los lotes de áreas de cesión para destinos conforme al proyecto urbano autorizado y cuenta con las obras de urbanización que permiten que los habitantes reciban los servicios de agua potable, alcantarillado, electrificación, vialidades pavimentadas y áreas de cesión para destinos como espacios verdes. Sin embargo, es importante mencionar que las obras de urbanización se encuentran en mal estado y carecen de mantenimiento.</w:t>
      </w:r>
    </w:p>
    <w:p w14:paraId="3A4740C6" w14:textId="77777777" w:rsidR="00016FE1" w:rsidRDefault="00016FE1" w:rsidP="002B6227">
      <w:pPr>
        <w:rPr>
          <w:rFonts w:ascii="Gotham" w:hAnsi="Gotham"/>
          <w:color w:val="000000" w:themeColor="text1"/>
          <w:spacing w:val="20"/>
          <w:sz w:val="20"/>
          <w:szCs w:val="20"/>
        </w:rPr>
      </w:pPr>
    </w:p>
    <w:p w14:paraId="3A4740C7"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CONSIDERANDOS</w:t>
      </w:r>
    </w:p>
    <w:p w14:paraId="3A4740C8" w14:textId="77777777" w:rsidR="00016FE1" w:rsidRDefault="00016FE1" w:rsidP="002B6227">
      <w:pPr>
        <w:rPr>
          <w:rFonts w:ascii="Gotham" w:eastAsia="Gotham" w:hAnsi="Gotham"/>
          <w:color w:val="000000" w:themeColor="text1"/>
          <w:sz w:val="20"/>
          <w:szCs w:val="20"/>
        </w:rPr>
      </w:pPr>
    </w:p>
    <w:p w14:paraId="3A4740C9"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ÚNICO.- Que el Turno a Comisión materia del presente análisis y dictamen encuadra en lo señalado en el artículo 83 del Reglamento Para el Funcionamiento Interno de Sesiones del Ayuntamiento Constitucional de Tonalá, Jalisco, referente a;</w:t>
      </w:r>
    </w:p>
    <w:p w14:paraId="3A4740CA" w14:textId="77777777" w:rsidR="00016FE1" w:rsidRDefault="00016FE1" w:rsidP="002B6227">
      <w:pPr>
        <w:jc w:val="both"/>
        <w:rPr>
          <w:rFonts w:ascii="Gotham" w:eastAsia="Gotham" w:hAnsi="Gotham"/>
          <w:color w:val="000000" w:themeColor="text1"/>
          <w:sz w:val="20"/>
          <w:szCs w:val="20"/>
        </w:rPr>
      </w:pPr>
      <w:r>
        <w:rPr>
          <w:rFonts w:ascii="Gotham" w:eastAsia="Gotham" w:hAnsi="Gotham"/>
          <w:color w:val="000000" w:themeColor="text1"/>
          <w:sz w:val="20"/>
          <w:szCs w:val="20"/>
        </w:rPr>
        <w:t xml:space="preserve"> </w:t>
      </w:r>
    </w:p>
    <w:p w14:paraId="3A4740CB" w14:textId="77777777" w:rsidR="00016FE1" w:rsidRDefault="00016FE1" w:rsidP="00865062">
      <w:pPr>
        <w:numPr>
          <w:ilvl w:val="0"/>
          <w:numId w:val="165"/>
        </w:numPr>
        <w:ind w:left="567" w:hanging="567"/>
        <w:jc w:val="both"/>
        <w:rPr>
          <w:rFonts w:ascii="Gotham" w:hAnsi="Gotham"/>
          <w:color w:val="000000" w:themeColor="text1"/>
          <w:sz w:val="20"/>
          <w:szCs w:val="20"/>
        </w:rPr>
      </w:pPr>
      <w:r>
        <w:rPr>
          <w:rFonts w:ascii="Gotham" w:hAnsi="Gotham"/>
          <w:color w:val="000000" w:themeColor="text1"/>
          <w:sz w:val="20"/>
          <w:szCs w:val="20"/>
        </w:rPr>
        <w:t>En cuanto a su forma, estructura y contenido, la iniciativa en estudio cumplimenta los requisitos estatuidos.</w:t>
      </w:r>
    </w:p>
    <w:p w14:paraId="3A4740CC" w14:textId="77777777" w:rsidR="00016FE1" w:rsidRDefault="00016FE1" w:rsidP="002B6227">
      <w:pPr>
        <w:ind w:left="567" w:hanging="567"/>
        <w:jc w:val="both"/>
        <w:rPr>
          <w:rFonts w:ascii="Gotham" w:hAnsi="Gotham"/>
          <w:color w:val="000000" w:themeColor="text1"/>
          <w:sz w:val="20"/>
          <w:szCs w:val="20"/>
        </w:rPr>
      </w:pPr>
    </w:p>
    <w:p w14:paraId="3A4740CD" w14:textId="77777777" w:rsidR="00016FE1" w:rsidRDefault="00016FE1" w:rsidP="00865062">
      <w:pPr>
        <w:numPr>
          <w:ilvl w:val="0"/>
          <w:numId w:val="165"/>
        </w:numPr>
        <w:ind w:left="567" w:hanging="567"/>
        <w:jc w:val="both"/>
        <w:rPr>
          <w:rFonts w:ascii="Gotham" w:hAnsi="Gotham"/>
          <w:color w:val="000000" w:themeColor="text1"/>
          <w:sz w:val="20"/>
          <w:szCs w:val="20"/>
        </w:rPr>
      </w:pPr>
      <w:r>
        <w:rPr>
          <w:rFonts w:ascii="Gotham" w:hAnsi="Gotham"/>
          <w:color w:val="000000" w:themeColor="text1"/>
          <w:sz w:val="20"/>
          <w:szCs w:val="20"/>
        </w:rPr>
        <w:t>De conformidad a lo señalado en los antecedentes y en la exposición de motivos, se desprende que el objeto de la presente iniciativa que hoy se dictamina estriba en solicitar llevar a cabo las acciones necesarias a efecto de que se realice la entrega - recepción y en consecuencia la conclusión de las obras de urbanización del fraccionamiento el Cerrito II.</w:t>
      </w:r>
    </w:p>
    <w:p w14:paraId="3A4740CE" w14:textId="77777777" w:rsidR="00016FE1" w:rsidRDefault="00016FE1" w:rsidP="002B6227">
      <w:pPr>
        <w:ind w:left="567" w:hanging="567"/>
        <w:jc w:val="both"/>
        <w:rPr>
          <w:rFonts w:ascii="Gotham" w:hAnsi="Gotham"/>
          <w:color w:val="000000" w:themeColor="text1"/>
          <w:sz w:val="20"/>
          <w:szCs w:val="20"/>
        </w:rPr>
      </w:pPr>
    </w:p>
    <w:p w14:paraId="3A4740CF" w14:textId="77777777" w:rsidR="00016FE1" w:rsidRDefault="00016FE1" w:rsidP="00865062">
      <w:pPr>
        <w:numPr>
          <w:ilvl w:val="0"/>
          <w:numId w:val="165"/>
        </w:numPr>
        <w:ind w:left="567" w:hanging="567"/>
        <w:jc w:val="both"/>
        <w:rPr>
          <w:rFonts w:ascii="Gotham" w:hAnsi="Gotham"/>
          <w:color w:val="000000" w:themeColor="text1"/>
          <w:sz w:val="20"/>
          <w:szCs w:val="20"/>
        </w:rPr>
      </w:pPr>
      <w:r>
        <w:rPr>
          <w:rFonts w:ascii="Gotham" w:hAnsi="Gotham"/>
          <w:color w:val="000000" w:themeColor="text1"/>
          <w:sz w:val="20"/>
          <w:szCs w:val="20"/>
        </w:rPr>
        <w:t xml:space="preserve">En ese orden de ideas nuestra compañera Regidora autor de la iniciativa, propone una iniciativa encaminada a la entrega, recepción y conclusión del fraccionamiento el Cerrito II. </w:t>
      </w:r>
    </w:p>
    <w:p w14:paraId="3A4740D0" w14:textId="77777777" w:rsidR="00016FE1" w:rsidRDefault="00016FE1" w:rsidP="002B6227">
      <w:pPr>
        <w:ind w:left="567" w:hanging="567"/>
        <w:jc w:val="both"/>
        <w:rPr>
          <w:rFonts w:ascii="Gotham" w:hAnsi="Gotham"/>
          <w:color w:val="000000" w:themeColor="text1"/>
          <w:sz w:val="20"/>
          <w:szCs w:val="20"/>
        </w:rPr>
      </w:pPr>
    </w:p>
    <w:p w14:paraId="3A4740D1" w14:textId="77777777" w:rsidR="00016FE1" w:rsidRDefault="00016FE1" w:rsidP="00865062">
      <w:pPr>
        <w:numPr>
          <w:ilvl w:val="0"/>
          <w:numId w:val="165"/>
        </w:numPr>
        <w:ind w:left="567" w:hanging="567"/>
        <w:jc w:val="both"/>
        <w:rPr>
          <w:rFonts w:ascii="Gotham" w:hAnsi="Gotham"/>
          <w:color w:val="000000" w:themeColor="text1"/>
          <w:sz w:val="20"/>
          <w:szCs w:val="20"/>
        </w:rPr>
      </w:pPr>
      <w:r>
        <w:rPr>
          <w:rFonts w:ascii="Gotham" w:hAnsi="Gotham"/>
          <w:color w:val="000000" w:themeColor="text1"/>
          <w:sz w:val="20"/>
          <w:szCs w:val="20"/>
        </w:rPr>
        <w:t>No obstante lo anterior y en el marco de análisis que elabora la presente Comisión, consideramos con el objetivo de estar en concordancia con la iniciativa, los antecedentes, la exposición de motivos, se presenta el Dictamen de Comisión con Carácter de Dictamen Final,</w:t>
      </w:r>
      <w:r w:rsidR="0041199B">
        <w:rPr>
          <w:rFonts w:ascii="Gotham" w:hAnsi="Gotham"/>
          <w:color w:val="000000" w:themeColor="text1"/>
          <w:sz w:val="20"/>
          <w:szCs w:val="20"/>
        </w:rPr>
        <w:t xml:space="preserve"> </w:t>
      </w:r>
      <w:r>
        <w:rPr>
          <w:rFonts w:ascii="Gotham" w:hAnsi="Gotham"/>
          <w:color w:val="000000" w:themeColor="text1"/>
          <w:sz w:val="20"/>
          <w:szCs w:val="20"/>
        </w:rPr>
        <w:t>para ser presentado al Pleno del Ayuntamiento en Sesión Ordinaria, en los términos propuestos en el cuerpo del presente dictamen, de conformidad a las siguientes;</w:t>
      </w:r>
    </w:p>
    <w:p w14:paraId="3A4740D2" w14:textId="77777777" w:rsidR="00016FE1" w:rsidRDefault="00016FE1" w:rsidP="002B6227">
      <w:pPr>
        <w:rPr>
          <w:rFonts w:ascii="Gotham" w:hAnsi="Gotham"/>
          <w:color w:val="000000" w:themeColor="text1"/>
          <w:sz w:val="20"/>
          <w:szCs w:val="20"/>
        </w:rPr>
      </w:pPr>
    </w:p>
    <w:p w14:paraId="3A4740D3" w14:textId="77777777" w:rsidR="00016FE1" w:rsidRDefault="00016FE1" w:rsidP="002B6227">
      <w:pPr>
        <w:jc w:val="center"/>
        <w:rPr>
          <w:rFonts w:ascii="Gotham" w:hAnsi="Gotham"/>
          <w:color w:val="000000" w:themeColor="text1"/>
          <w:sz w:val="20"/>
          <w:szCs w:val="20"/>
        </w:rPr>
      </w:pPr>
      <w:r>
        <w:rPr>
          <w:rFonts w:ascii="Gotham" w:hAnsi="Gotham"/>
          <w:color w:val="000000" w:themeColor="text1"/>
          <w:sz w:val="20"/>
          <w:szCs w:val="20"/>
        </w:rPr>
        <w:t>CONCLUSIONES:</w:t>
      </w:r>
    </w:p>
    <w:p w14:paraId="3A4740D4" w14:textId="77777777" w:rsidR="00016FE1" w:rsidRDefault="00016FE1" w:rsidP="002B6227">
      <w:pPr>
        <w:rPr>
          <w:rFonts w:ascii="Gotham" w:eastAsia="Gotham" w:hAnsi="Gotham"/>
          <w:color w:val="000000" w:themeColor="text1"/>
          <w:sz w:val="20"/>
          <w:szCs w:val="20"/>
        </w:rPr>
      </w:pPr>
    </w:p>
    <w:p w14:paraId="3A4740D5" w14:textId="77777777" w:rsidR="00016FE1" w:rsidRDefault="00016FE1" w:rsidP="002B6227">
      <w:pPr>
        <w:ind w:left="567" w:hanging="567"/>
        <w:jc w:val="both"/>
        <w:rPr>
          <w:rFonts w:ascii="Gotham" w:hAnsi="Gotham"/>
          <w:sz w:val="20"/>
          <w:szCs w:val="20"/>
        </w:rPr>
      </w:pPr>
      <w:r>
        <w:rPr>
          <w:rFonts w:ascii="Gotham" w:hAnsi="Gotham"/>
          <w:sz w:val="20"/>
          <w:szCs w:val="20"/>
        </w:rPr>
        <w:t xml:space="preserve">I.- </w:t>
      </w:r>
      <w:r>
        <w:rPr>
          <w:rFonts w:ascii="Gotham" w:hAnsi="Gotham"/>
          <w:sz w:val="20"/>
          <w:szCs w:val="20"/>
        </w:rPr>
        <w:tab/>
        <w:t>En cuanto a lo señalado en el PROEMIO INICIAL, ANTECEDENTES, FUNDAMENTACIÓN JURÍDICA y EXPOSICION DE MOTIVOS de la iniciativa que fue turnada a la presente comisión como turno 491, consideramos que cuenta con la estructura, fundamentación y estudio necesarios para ser dictaminada.</w:t>
      </w:r>
    </w:p>
    <w:p w14:paraId="3A4740D6" w14:textId="77777777" w:rsidR="00016FE1" w:rsidRDefault="00016FE1" w:rsidP="002B6227">
      <w:pPr>
        <w:ind w:left="567" w:hanging="567"/>
        <w:jc w:val="both"/>
        <w:rPr>
          <w:rFonts w:ascii="Gotham" w:hAnsi="Gotham"/>
          <w:sz w:val="20"/>
          <w:szCs w:val="20"/>
        </w:rPr>
      </w:pPr>
    </w:p>
    <w:p w14:paraId="3A4740D7" w14:textId="77777777" w:rsidR="00016FE1" w:rsidRDefault="00016FE1" w:rsidP="002B6227">
      <w:pPr>
        <w:ind w:left="567" w:hanging="567"/>
        <w:jc w:val="both"/>
        <w:rPr>
          <w:rFonts w:ascii="Gotham" w:hAnsi="Gotham"/>
          <w:sz w:val="20"/>
          <w:szCs w:val="20"/>
        </w:rPr>
      </w:pPr>
      <w:r>
        <w:rPr>
          <w:rFonts w:ascii="Gotham" w:hAnsi="Gotham"/>
          <w:sz w:val="20"/>
          <w:szCs w:val="20"/>
        </w:rPr>
        <w:t xml:space="preserve">II.- </w:t>
      </w:r>
      <w:r>
        <w:rPr>
          <w:rFonts w:ascii="Gotham" w:hAnsi="Gotham"/>
          <w:sz w:val="20"/>
          <w:szCs w:val="20"/>
        </w:rPr>
        <w:tab/>
      </w:r>
      <w:r>
        <w:rPr>
          <w:rFonts w:ascii="Gotham" w:hAnsi="Gotham"/>
          <w:color w:val="000000" w:themeColor="text1"/>
          <w:sz w:val="20"/>
          <w:szCs w:val="20"/>
        </w:rPr>
        <w:t xml:space="preserve">Los que suscribimos el presente dictamen, </w:t>
      </w:r>
      <w:r>
        <w:rPr>
          <w:rFonts w:ascii="Gotham" w:hAnsi="Gotham"/>
          <w:sz w:val="20"/>
          <w:szCs w:val="20"/>
        </w:rPr>
        <w:t>concluimos que de acuerdo con el capítulo referente la fundamentación, el Municipio está facultado para realizar las acciones necesarias para atender las problemáticas con las entregas-recepción de los fraccionamientos que se generan en nuestro Municipio, abocándonos especialmente en el fraccionamiento El Cerrito II.</w:t>
      </w:r>
    </w:p>
    <w:p w14:paraId="3A4740D8" w14:textId="77777777" w:rsidR="00016FE1" w:rsidRDefault="00016FE1" w:rsidP="002B6227">
      <w:pPr>
        <w:ind w:left="567" w:hanging="567"/>
        <w:jc w:val="both"/>
        <w:rPr>
          <w:rFonts w:ascii="Gotham" w:hAnsi="Gotham"/>
          <w:sz w:val="20"/>
          <w:szCs w:val="20"/>
        </w:rPr>
      </w:pPr>
    </w:p>
    <w:p w14:paraId="3A4740D9" w14:textId="77777777" w:rsidR="00016FE1" w:rsidRDefault="00016FE1" w:rsidP="002B6227">
      <w:pPr>
        <w:ind w:left="567" w:hanging="567"/>
        <w:jc w:val="both"/>
        <w:rPr>
          <w:rFonts w:ascii="Gotham" w:hAnsi="Gotham"/>
          <w:color w:val="000000" w:themeColor="text1"/>
          <w:sz w:val="20"/>
          <w:szCs w:val="20"/>
        </w:rPr>
      </w:pPr>
      <w:r>
        <w:rPr>
          <w:rFonts w:ascii="Gotham" w:hAnsi="Gotham"/>
          <w:color w:val="000000" w:themeColor="text1"/>
          <w:sz w:val="20"/>
          <w:szCs w:val="20"/>
        </w:rPr>
        <w:t xml:space="preserve">III.- </w:t>
      </w:r>
      <w:r>
        <w:rPr>
          <w:rFonts w:ascii="Gotham" w:hAnsi="Gotham"/>
          <w:color w:val="000000" w:themeColor="text1"/>
          <w:sz w:val="20"/>
          <w:szCs w:val="20"/>
        </w:rPr>
        <w:tab/>
      </w:r>
      <w:r>
        <w:rPr>
          <w:rFonts w:ascii="Gotham" w:hAnsi="Gotham"/>
          <w:sz w:val="20"/>
          <w:szCs w:val="20"/>
        </w:rPr>
        <w:t>En ese sentido, si</w:t>
      </w:r>
      <w:r>
        <w:rPr>
          <w:rFonts w:ascii="Gotham" w:hAnsi="Gotham"/>
          <w:color w:val="000000" w:themeColor="text1"/>
          <w:sz w:val="20"/>
          <w:szCs w:val="20"/>
        </w:rPr>
        <w:t xml:space="preserve"> bien es cierto, este Cuerpo Edilicio reconoce la falta de realización de obras urbanas y por lo tanto la entrega-recepción de las mismas al municipio ya que desempeña un papel importante para poder otorgar certeza jurídica a las y los ciudadanos de dicho fraccionamiento para que abonen a la plusvalía y mejoramiento de su entorno, somos respetuosos de las decisiones de este Organismo, ya que nos exponen de manera clara que de recibir la entrega-recepción del fraccionamiento El Cerrito II el mejoramiento con servicios, infraestructura urbana dará pauta a poder tener las escrituras de propiedad de sus viviendas. La desarrolladora RESPUESTAS EN VIVIENDA, S.A. DE C.V. no tiene comunicación con Municipio y en consecuencia con esta Administración desde octubre del 2004, por lo anterior la </w:t>
      </w:r>
      <w:r>
        <w:rPr>
          <w:rFonts w:ascii="Gotham" w:hAnsi="Gotham"/>
          <w:bCs/>
          <w:color w:val="000000" w:themeColor="text1"/>
          <w:sz w:val="20"/>
          <w:szCs w:val="20"/>
        </w:rPr>
        <w:t>Dirección General de Planeación y Desarrollo Urbano Sustentable así como Desarrollo Urbano se encuentran en la obligación de buscar mediante acciones legales al urbanizador, ya sea por edictos o la forma que más les competa a su área legal para poder formalizar la entrega de dicho fraccionamiento.</w:t>
      </w:r>
    </w:p>
    <w:p w14:paraId="3A4740DA" w14:textId="77777777" w:rsidR="00016FE1" w:rsidRDefault="00016FE1" w:rsidP="002B6227">
      <w:pPr>
        <w:jc w:val="both"/>
        <w:rPr>
          <w:rFonts w:ascii="Gotham" w:hAnsi="Gotham"/>
          <w:color w:val="000000"/>
          <w:sz w:val="20"/>
          <w:szCs w:val="20"/>
        </w:rPr>
      </w:pPr>
    </w:p>
    <w:p w14:paraId="3A4740DB" w14:textId="77777777" w:rsidR="00016FE1" w:rsidRDefault="00016FE1" w:rsidP="002B6227">
      <w:pPr>
        <w:jc w:val="both"/>
        <w:rPr>
          <w:rFonts w:ascii="Gotham" w:hAnsi="Gotham"/>
          <w:color w:val="000000"/>
          <w:sz w:val="20"/>
          <w:szCs w:val="20"/>
        </w:rPr>
      </w:pPr>
      <w:r>
        <w:rPr>
          <w:rFonts w:ascii="Gotham" w:hAnsi="Gotham"/>
          <w:color w:val="000000"/>
          <w:sz w:val="20"/>
          <w:szCs w:val="20"/>
        </w:rPr>
        <w:t xml:space="preserve">En virtud a lo ya señalado las </w:t>
      </w:r>
      <w:r>
        <w:rPr>
          <w:rFonts w:ascii="Gotham" w:hAnsi="Gotham"/>
          <w:sz w:val="20"/>
          <w:szCs w:val="20"/>
        </w:rPr>
        <w:t>R</w:t>
      </w:r>
      <w:r>
        <w:rPr>
          <w:rFonts w:ascii="Gotham" w:hAnsi="Gotham"/>
          <w:color w:val="000000"/>
          <w:sz w:val="20"/>
          <w:szCs w:val="20"/>
        </w:rPr>
        <w:t>egidoras y Regidor integrantes de la comisión dictaminadora, proponemos se someta a votación los siguientes puntos de acuerdos con carácter de</w:t>
      </w:r>
    </w:p>
    <w:p w14:paraId="3A4740DC" w14:textId="77777777" w:rsidR="00016FE1" w:rsidRDefault="00016FE1" w:rsidP="002B6227">
      <w:pPr>
        <w:rPr>
          <w:rFonts w:ascii="Gotham" w:eastAsia="ITC Bookman Light" w:hAnsi="Gotham"/>
          <w:color w:val="000000" w:themeColor="text1"/>
          <w:sz w:val="20"/>
          <w:szCs w:val="20"/>
        </w:rPr>
      </w:pPr>
    </w:p>
    <w:p w14:paraId="3A4740DD" w14:textId="77777777" w:rsidR="00016FE1" w:rsidRDefault="00016FE1" w:rsidP="002B6227">
      <w:pPr>
        <w:tabs>
          <w:tab w:val="center" w:pos="4680"/>
          <w:tab w:val="left" w:pos="7410"/>
        </w:tabs>
        <w:rPr>
          <w:rFonts w:ascii="Gotham" w:eastAsia="ITC Bookman Light" w:hAnsi="Gotham"/>
          <w:color w:val="000000" w:themeColor="text1"/>
          <w:sz w:val="20"/>
          <w:szCs w:val="20"/>
        </w:rPr>
      </w:pPr>
      <w:r>
        <w:rPr>
          <w:rFonts w:ascii="Gotham" w:eastAsia="ITC Bookman Light" w:hAnsi="Gotham"/>
          <w:color w:val="000000" w:themeColor="text1"/>
          <w:sz w:val="20"/>
          <w:szCs w:val="20"/>
        </w:rPr>
        <w:lastRenderedPageBreak/>
        <w:tab/>
        <w:t>DICTAMEN FINAL</w:t>
      </w:r>
    </w:p>
    <w:p w14:paraId="3A4740DE" w14:textId="77777777" w:rsidR="00016FE1" w:rsidRDefault="00016FE1" w:rsidP="002B6227">
      <w:pPr>
        <w:rPr>
          <w:rFonts w:ascii="Gotham" w:eastAsia="Gotham" w:hAnsi="Gotham"/>
          <w:color w:val="000000" w:themeColor="text1"/>
          <w:sz w:val="20"/>
          <w:szCs w:val="20"/>
        </w:rPr>
      </w:pPr>
    </w:p>
    <w:p w14:paraId="3A4740DF"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PRIMERO.- Se apruebe la iniciativa que se desprende del Acuerdo número 491, de la Sesión Ordinaria de Ayuntamiento celebrada el 15 de diciembre del 2022, referente a la entrega - recepción del fraccionamiento “El Cerrito II” y en consecuencia la conclusión de las obras de urbanización del mismo.</w:t>
      </w:r>
    </w:p>
    <w:p w14:paraId="3A4740E0" w14:textId="77777777" w:rsidR="00016FE1" w:rsidRDefault="00016FE1" w:rsidP="002B6227">
      <w:pPr>
        <w:rPr>
          <w:rFonts w:ascii="Gotham" w:hAnsi="Gotham"/>
          <w:color w:val="000000" w:themeColor="text1"/>
          <w:sz w:val="20"/>
          <w:szCs w:val="20"/>
        </w:rPr>
      </w:pPr>
    </w:p>
    <w:p w14:paraId="3A4740E1"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SEGUNDO.- Infórmese</w:t>
      </w:r>
      <w:r w:rsidRPr="00794825">
        <w:rPr>
          <w:rFonts w:ascii="Gotham" w:hAnsi="Gotham"/>
          <w:color w:val="000000" w:themeColor="text1"/>
          <w:sz w:val="20"/>
          <w:szCs w:val="20"/>
        </w:rPr>
        <w:t xml:space="preserve"> a la desarrolladora RESPUESTAS EN VIVIENDA, S.A. DE C.V; para que se apague a los argumentos que marca en Código Urbano del Estado de Jalisco y lleve a cabo los puntos faltantes para así poder obtener la entrega-recepción del fraccionamiento El Cerrito </w:t>
      </w:r>
      <w:r>
        <w:rPr>
          <w:rFonts w:ascii="Gotham" w:hAnsi="Gotham"/>
          <w:color w:val="000000" w:themeColor="text1"/>
          <w:sz w:val="20"/>
          <w:szCs w:val="20"/>
        </w:rPr>
        <w:t>II</w:t>
      </w:r>
      <w:r w:rsidRPr="00794825">
        <w:rPr>
          <w:rFonts w:ascii="Gotham" w:hAnsi="Gotham"/>
          <w:color w:val="000000" w:themeColor="text1"/>
          <w:sz w:val="20"/>
          <w:szCs w:val="20"/>
        </w:rPr>
        <w:t xml:space="preserve">, en Tonalá, Jalisco, por medio de la Dirección General de Planeación y Desarrollo Urbano Sustentable y </w:t>
      </w:r>
      <w:proofErr w:type="gramStart"/>
      <w:r w:rsidRPr="00794825">
        <w:rPr>
          <w:rFonts w:ascii="Gotham" w:hAnsi="Gotham"/>
          <w:color w:val="000000" w:themeColor="text1"/>
          <w:sz w:val="20"/>
          <w:szCs w:val="20"/>
        </w:rPr>
        <w:t>la</w:t>
      </w:r>
      <w:r w:rsidR="00B76E88">
        <w:rPr>
          <w:rFonts w:ascii="Gotham" w:hAnsi="Gotham"/>
          <w:color w:val="000000" w:themeColor="text1"/>
          <w:sz w:val="20"/>
          <w:szCs w:val="20"/>
        </w:rPr>
        <w:t xml:space="preserve"> </w:t>
      </w:r>
      <w:r w:rsidRPr="00794825">
        <w:rPr>
          <w:rFonts w:ascii="Gotham" w:hAnsi="Gotham"/>
          <w:color w:val="000000" w:themeColor="text1"/>
          <w:sz w:val="20"/>
          <w:szCs w:val="20"/>
        </w:rPr>
        <w:t>.</w:t>
      </w:r>
      <w:proofErr w:type="gramEnd"/>
    </w:p>
    <w:p w14:paraId="3A4740E2" w14:textId="77777777" w:rsidR="00016FE1" w:rsidRDefault="00016FE1" w:rsidP="002B6227">
      <w:pPr>
        <w:jc w:val="both"/>
        <w:rPr>
          <w:rFonts w:ascii="Gotham" w:hAnsi="Gotham"/>
          <w:color w:val="000000" w:themeColor="text1"/>
          <w:sz w:val="20"/>
          <w:szCs w:val="20"/>
        </w:rPr>
      </w:pPr>
    </w:p>
    <w:p w14:paraId="3A4740E3" w14:textId="77777777" w:rsidR="00016FE1" w:rsidRDefault="00016FE1" w:rsidP="002B6227">
      <w:pPr>
        <w:jc w:val="both"/>
        <w:rPr>
          <w:rFonts w:ascii="Gotham" w:hAnsi="Gotham"/>
          <w:color w:val="000000" w:themeColor="text1"/>
          <w:sz w:val="20"/>
          <w:szCs w:val="20"/>
        </w:rPr>
      </w:pPr>
      <w:r>
        <w:rPr>
          <w:rFonts w:ascii="Gotham" w:hAnsi="Gotham"/>
          <w:color w:val="000000" w:themeColor="text1"/>
          <w:sz w:val="20"/>
          <w:szCs w:val="20"/>
        </w:rPr>
        <w:t>TERCERO.- Se instruye al Presidente Municipal, Síndico y a la Secretaria General de este Ayuntamiento Constitucional de Tonalá, Jalisco, para que suscriban los documentos necesarios que den cumplimiento al presente acuerdo.</w:t>
      </w:r>
    </w:p>
    <w:p w14:paraId="3A4740E4" w14:textId="77777777" w:rsidR="00016FE1" w:rsidRDefault="00016FE1" w:rsidP="002B6227">
      <w:pPr>
        <w:jc w:val="both"/>
        <w:rPr>
          <w:rFonts w:ascii="Gotham" w:hAnsi="Gotham" w:cs="Arial"/>
          <w:sz w:val="20"/>
          <w:szCs w:val="20"/>
        </w:rPr>
      </w:pPr>
    </w:p>
    <w:p w14:paraId="3A4740E5"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40E6" w14:textId="77777777" w:rsidR="00016FE1" w:rsidRPr="00CD0531" w:rsidRDefault="00016FE1" w:rsidP="002B6227">
      <w:pPr>
        <w:jc w:val="both"/>
        <w:rPr>
          <w:rFonts w:ascii="Gotham" w:hAnsi="Gotham" w:cs="Arial"/>
          <w:sz w:val="20"/>
          <w:szCs w:val="20"/>
        </w:rPr>
      </w:pPr>
    </w:p>
    <w:p w14:paraId="3A4740E7"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40E8" w14:textId="77777777" w:rsidR="00016FE1" w:rsidRPr="00CD0531" w:rsidRDefault="00016FE1" w:rsidP="002B6227">
      <w:pPr>
        <w:jc w:val="both"/>
        <w:rPr>
          <w:rFonts w:ascii="Gotham" w:hAnsi="Gotham" w:cs="Arial"/>
          <w:sz w:val="20"/>
          <w:szCs w:val="20"/>
        </w:rPr>
      </w:pPr>
    </w:p>
    <w:p w14:paraId="3A4740E9"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40EA" w14:textId="77777777" w:rsidR="00016FE1" w:rsidRPr="00CD0531" w:rsidRDefault="00016FE1" w:rsidP="002B6227">
      <w:pPr>
        <w:jc w:val="both"/>
        <w:rPr>
          <w:rFonts w:ascii="Gotham" w:hAnsi="Gotham" w:cs="Arial"/>
          <w:sz w:val="20"/>
          <w:szCs w:val="20"/>
        </w:rPr>
      </w:pPr>
    </w:p>
    <w:p w14:paraId="3A4740EB"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40EC" w14:textId="77777777" w:rsidR="00016FE1" w:rsidRPr="00CD0531" w:rsidRDefault="00016FE1" w:rsidP="002B6227">
      <w:pPr>
        <w:jc w:val="both"/>
        <w:rPr>
          <w:rFonts w:ascii="Gotham" w:hAnsi="Gotham" w:cs="Arial"/>
          <w:sz w:val="20"/>
          <w:szCs w:val="20"/>
        </w:rPr>
      </w:pPr>
    </w:p>
    <w:p w14:paraId="3A4740ED"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40EE" w14:textId="77777777" w:rsidR="00016FE1" w:rsidRPr="00D82305" w:rsidRDefault="00016FE1" w:rsidP="002B6227">
      <w:pPr>
        <w:jc w:val="both"/>
        <w:rPr>
          <w:rFonts w:ascii="Gotham" w:hAnsi="Gotham" w:cs="Arial"/>
          <w:sz w:val="20"/>
          <w:szCs w:val="20"/>
        </w:rPr>
      </w:pPr>
    </w:p>
    <w:p w14:paraId="3A4740EF" w14:textId="77777777" w:rsidR="00016FE1" w:rsidRDefault="00016FE1" w:rsidP="002B6227">
      <w:pPr>
        <w:jc w:val="both"/>
        <w:rPr>
          <w:rFonts w:ascii="Gotham" w:hAnsi="Gotham"/>
          <w:sz w:val="20"/>
          <w:szCs w:val="20"/>
        </w:rPr>
      </w:pPr>
    </w:p>
    <w:p w14:paraId="3A4740F0" w14:textId="77777777" w:rsidR="00016FE1" w:rsidRDefault="00016FE1" w:rsidP="002B6227">
      <w:pPr>
        <w:jc w:val="both"/>
        <w:rPr>
          <w:rFonts w:ascii="Gotham" w:hAnsi="Gotham"/>
          <w:sz w:val="20"/>
          <w:szCs w:val="20"/>
        </w:rPr>
      </w:pPr>
      <w:r w:rsidRPr="00D2625E">
        <w:rPr>
          <w:rFonts w:ascii="Gotham" w:hAnsi="Gotham"/>
          <w:b/>
          <w:bCs/>
          <w:smallCaps/>
          <w:sz w:val="20"/>
          <w:szCs w:val="20"/>
        </w:rPr>
        <w:t>Décimo Segundo Dictamen de Comisión</w:t>
      </w:r>
      <w:r w:rsidRPr="00D2625E">
        <w:rPr>
          <w:rFonts w:ascii="Gotham" w:hAnsi="Gotham"/>
          <w:b/>
          <w:bCs/>
          <w:sz w:val="20"/>
          <w:szCs w:val="20"/>
        </w:rPr>
        <w:t xml:space="preserve">.- </w:t>
      </w:r>
      <w:r>
        <w:rPr>
          <w:rFonts w:ascii="Gotham" w:hAnsi="Gotham"/>
          <w:sz w:val="20"/>
          <w:szCs w:val="20"/>
        </w:rPr>
        <w:t>SE RETIRA</w:t>
      </w:r>
      <w:r w:rsidRPr="00D2625E">
        <w:rPr>
          <w:rFonts w:ascii="Gotham" w:hAnsi="Gotham" w:cs="Arial"/>
          <w:sz w:val="20"/>
          <w:szCs w:val="20"/>
        </w:rPr>
        <w:t>.</w:t>
      </w:r>
    </w:p>
    <w:p w14:paraId="3A4740F1" w14:textId="77777777" w:rsidR="00016FE1" w:rsidRDefault="00016FE1" w:rsidP="002B6227">
      <w:pPr>
        <w:jc w:val="both"/>
        <w:rPr>
          <w:rFonts w:ascii="Gotham" w:hAnsi="Gotham"/>
          <w:sz w:val="20"/>
          <w:szCs w:val="20"/>
        </w:rPr>
      </w:pPr>
    </w:p>
    <w:p w14:paraId="3A4740F2" w14:textId="77777777" w:rsidR="00016FE1" w:rsidRDefault="00016FE1" w:rsidP="002B6227">
      <w:pPr>
        <w:jc w:val="both"/>
        <w:rPr>
          <w:rFonts w:ascii="Gotham" w:hAnsi="Gotham"/>
          <w:sz w:val="20"/>
          <w:szCs w:val="20"/>
        </w:rPr>
      </w:pPr>
    </w:p>
    <w:p w14:paraId="3A4740F3" w14:textId="77777777" w:rsidR="00016FE1" w:rsidRDefault="00016FE1" w:rsidP="002B6227">
      <w:pPr>
        <w:jc w:val="both"/>
        <w:rPr>
          <w:rFonts w:ascii="Gotham" w:hAnsi="Gotham"/>
          <w:sz w:val="20"/>
          <w:szCs w:val="20"/>
        </w:rPr>
      </w:pPr>
      <w:r w:rsidRPr="00D2625E">
        <w:rPr>
          <w:rFonts w:ascii="Gotham" w:hAnsi="Gotham"/>
          <w:b/>
          <w:bCs/>
          <w:smallCaps/>
          <w:sz w:val="20"/>
          <w:szCs w:val="20"/>
        </w:rPr>
        <w:t xml:space="preserve">Décimo Tercer Dictamen de Comisión.- </w:t>
      </w:r>
      <w:r>
        <w:rPr>
          <w:rFonts w:ascii="Gotham" w:hAnsi="Gotham"/>
          <w:sz w:val="20"/>
          <w:szCs w:val="20"/>
        </w:rPr>
        <w:t>SE RETIRA</w:t>
      </w:r>
      <w:r w:rsidRPr="00D2625E">
        <w:rPr>
          <w:rFonts w:ascii="Gotham" w:hAnsi="Gotham"/>
          <w:sz w:val="20"/>
          <w:szCs w:val="20"/>
        </w:rPr>
        <w:t>.</w:t>
      </w:r>
    </w:p>
    <w:p w14:paraId="3A4740F4" w14:textId="77777777" w:rsidR="00016FE1" w:rsidRDefault="00016FE1" w:rsidP="002B6227">
      <w:pPr>
        <w:jc w:val="both"/>
        <w:rPr>
          <w:rFonts w:ascii="Gotham" w:hAnsi="Gotham"/>
          <w:sz w:val="20"/>
          <w:szCs w:val="20"/>
        </w:rPr>
      </w:pPr>
      <w:bookmarkStart w:id="5" w:name="ANTECEDENTES"/>
      <w:bookmarkEnd w:id="5"/>
    </w:p>
    <w:p w14:paraId="3A4740F5" w14:textId="77777777" w:rsidR="00016FE1" w:rsidRPr="00B66F55" w:rsidRDefault="00016FE1" w:rsidP="00B66F55">
      <w:pPr>
        <w:jc w:val="both"/>
        <w:rPr>
          <w:rFonts w:ascii="Gotham" w:hAnsi="Gotham"/>
          <w:sz w:val="20"/>
          <w:szCs w:val="20"/>
        </w:rPr>
      </w:pPr>
    </w:p>
    <w:p w14:paraId="3A4740F6" w14:textId="77777777" w:rsidR="00016FE1" w:rsidRDefault="00016FE1" w:rsidP="002B6227">
      <w:pPr>
        <w:pStyle w:val="western"/>
        <w:spacing w:before="0" w:beforeAutospacing="0"/>
        <w:jc w:val="right"/>
        <w:rPr>
          <w:rFonts w:ascii="Gotham" w:hAnsi="Gotham"/>
          <w:b/>
          <w:sz w:val="22"/>
          <w:szCs w:val="22"/>
          <w:u w:val="single"/>
        </w:rPr>
      </w:pPr>
      <w:r>
        <w:rPr>
          <w:rFonts w:ascii="Gotham" w:hAnsi="Gotham"/>
          <w:b/>
          <w:sz w:val="22"/>
          <w:szCs w:val="22"/>
          <w:u w:val="single"/>
        </w:rPr>
        <w:t>ACUERDO NO. 1138</w:t>
      </w:r>
    </w:p>
    <w:p w14:paraId="3A4740F7" w14:textId="77777777" w:rsidR="00016FE1" w:rsidRPr="00A07C14" w:rsidRDefault="00016FE1" w:rsidP="002B6227">
      <w:pPr>
        <w:jc w:val="both"/>
        <w:rPr>
          <w:rFonts w:ascii="Gotham" w:hAnsi="Gotham"/>
          <w:sz w:val="20"/>
          <w:szCs w:val="20"/>
        </w:rPr>
      </w:pPr>
      <w:r w:rsidRPr="00327EBD">
        <w:rPr>
          <w:rFonts w:ascii="Gotham" w:hAnsi="Gotham"/>
          <w:b/>
          <w:bCs/>
          <w:smallCaps/>
          <w:sz w:val="20"/>
          <w:szCs w:val="20"/>
        </w:rPr>
        <w:t xml:space="preserve">Décimo Cuarto Dictamen de Comisión.- </w:t>
      </w:r>
      <w:r w:rsidRPr="00327EBD">
        <w:rPr>
          <w:rFonts w:ascii="Gotham" w:hAnsi="Gotham"/>
          <w:sz w:val="20"/>
          <w:szCs w:val="20"/>
        </w:rPr>
        <w:t xml:space="preserve">En uso de la voz el Presidente Municipal, Sergio Armando Chávez Dávalos, menciona que, se da cuenta del dictamen que emiten las Comisiones Edilicias de </w:t>
      </w:r>
      <w:r w:rsidRPr="00D1236E">
        <w:rPr>
          <w:rFonts w:ascii="Gotham" w:hAnsi="Gotham"/>
          <w:color w:val="000000" w:themeColor="text1"/>
          <w:sz w:val="20"/>
          <w:szCs w:val="20"/>
        </w:rPr>
        <w:t xml:space="preserve">Bienestar, Desarrollo, Asistencia Social y Familiar, </w:t>
      </w:r>
      <w:r>
        <w:rPr>
          <w:rFonts w:ascii="Gotham" w:hAnsi="Gotham"/>
          <w:color w:val="000000" w:themeColor="text1"/>
          <w:sz w:val="20"/>
          <w:szCs w:val="20"/>
        </w:rPr>
        <w:t xml:space="preserve">y </w:t>
      </w:r>
      <w:r w:rsidRPr="00D1236E">
        <w:rPr>
          <w:rFonts w:ascii="Gotham" w:hAnsi="Gotham"/>
          <w:color w:val="000000" w:themeColor="text1"/>
          <w:sz w:val="20"/>
          <w:szCs w:val="20"/>
        </w:rPr>
        <w:t>de Cultura, Educación e Innovación Tecnológica</w:t>
      </w:r>
      <w:r w:rsidRPr="00327EBD">
        <w:rPr>
          <w:rFonts w:ascii="Gotham" w:hAnsi="Gotham"/>
          <w:color w:val="000000" w:themeColor="text1"/>
          <w:sz w:val="20"/>
          <w:szCs w:val="20"/>
        </w:rPr>
        <w:t>.</w:t>
      </w:r>
    </w:p>
    <w:p w14:paraId="3A4740F8" w14:textId="77777777" w:rsidR="00016FE1" w:rsidRPr="00D1236E" w:rsidRDefault="00016FE1" w:rsidP="002B6227">
      <w:pPr>
        <w:jc w:val="both"/>
        <w:rPr>
          <w:rFonts w:ascii="Gotham" w:hAnsi="Gotham"/>
          <w:color w:val="000000" w:themeColor="text1"/>
          <w:sz w:val="20"/>
          <w:szCs w:val="20"/>
        </w:rPr>
      </w:pPr>
    </w:p>
    <w:p w14:paraId="3A4740F9" w14:textId="77777777" w:rsidR="00016FE1" w:rsidRPr="00D1236E" w:rsidRDefault="00016FE1" w:rsidP="002B6227">
      <w:pPr>
        <w:jc w:val="both"/>
        <w:rPr>
          <w:rFonts w:ascii="Gotham" w:hAnsi="Gotham"/>
          <w:color w:val="000000" w:themeColor="text1"/>
          <w:sz w:val="20"/>
          <w:szCs w:val="20"/>
        </w:rPr>
      </w:pPr>
      <w:r w:rsidRPr="00D1236E">
        <w:rPr>
          <w:rFonts w:ascii="Gotham" w:hAnsi="Gotham"/>
          <w:color w:val="000000" w:themeColor="text1"/>
          <w:sz w:val="20"/>
          <w:szCs w:val="20"/>
        </w:rPr>
        <w:t>Los que suscriben integrantes de las Comisión Edilicia de Bienestar, Desarrollo, Asistencia Social y Familiar, en conjunto con la Comisión Edilicia de Cultura, Educación e Innovación Tecnológica, con fundamento en lo dispuesto por el art</w:t>
      </w:r>
      <w:r>
        <w:rPr>
          <w:rFonts w:ascii="Gotham" w:hAnsi="Gotham"/>
          <w:color w:val="000000" w:themeColor="text1"/>
          <w:sz w:val="20"/>
          <w:szCs w:val="20"/>
        </w:rPr>
        <w:t>í</w:t>
      </w:r>
      <w:r w:rsidRPr="00D1236E">
        <w:rPr>
          <w:rFonts w:ascii="Gotham" w:hAnsi="Gotham"/>
          <w:color w:val="000000" w:themeColor="text1"/>
          <w:sz w:val="20"/>
          <w:szCs w:val="20"/>
        </w:rPr>
        <w:t>culo 115 fracción II</w:t>
      </w:r>
      <w:r w:rsidR="00B76E88">
        <w:rPr>
          <w:rFonts w:ascii="Gotham" w:hAnsi="Gotham"/>
          <w:color w:val="000000" w:themeColor="text1"/>
          <w:sz w:val="20"/>
          <w:szCs w:val="20"/>
        </w:rPr>
        <w:t xml:space="preserve"> </w:t>
      </w:r>
      <w:r w:rsidRPr="00D1236E">
        <w:rPr>
          <w:rFonts w:ascii="Gotham" w:hAnsi="Gotham"/>
          <w:color w:val="000000" w:themeColor="text1"/>
          <w:sz w:val="20"/>
          <w:szCs w:val="20"/>
        </w:rPr>
        <w:t xml:space="preserve">de la Constitución Política de los Estados Unidos Mexicanos, los artículos 77 fracción II de la Constitución Política del Estado de Jalisco, los artículos 27, 50 y demás relativos de la Ley del Gobierno y la Administración Pública Municipal del </w:t>
      </w:r>
      <w:r w:rsidRPr="00D1236E">
        <w:rPr>
          <w:rFonts w:ascii="Gotham" w:hAnsi="Gotham"/>
          <w:color w:val="000000" w:themeColor="text1"/>
          <w:sz w:val="20"/>
          <w:szCs w:val="20"/>
        </w:rPr>
        <w:lastRenderedPageBreak/>
        <w:t>Estado de Jalisco; Así como los artículos 92 y</w:t>
      </w:r>
      <w:r w:rsidR="00B76E88">
        <w:rPr>
          <w:rFonts w:ascii="Gotham" w:hAnsi="Gotham"/>
          <w:color w:val="000000" w:themeColor="text1"/>
          <w:sz w:val="20"/>
          <w:szCs w:val="20"/>
        </w:rPr>
        <w:t xml:space="preserve"> </w:t>
      </w:r>
      <w:r w:rsidRPr="00D1236E">
        <w:rPr>
          <w:rFonts w:ascii="Gotham" w:hAnsi="Gotham"/>
          <w:color w:val="000000" w:themeColor="text1"/>
          <w:sz w:val="20"/>
          <w:szCs w:val="20"/>
        </w:rPr>
        <w:t>93 del</w:t>
      </w:r>
      <w:r w:rsidR="00B76E88">
        <w:rPr>
          <w:rFonts w:ascii="Gotham" w:hAnsi="Gotham"/>
          <w:color w:val="000000" w:themeColor="text1"/>
          <w:sz w:val="20"/>
          <w:szCs w:val="20"/>
        </w:rPr>
        <w:t xml:space="preserve"> </w:t>
      </w:r>
      <w:r w:rsidRPr="00D1236E">
        <w:rPr>
          <w:rFonts w:ascii="Gotham" w:hAnsi="Gotham"/>
          <w:color w:val="000000" w:themeColor="text1"/>
          <w:sz w:val="20"/>
          <w:szCs w:val="20"/>
        </w:rPr>
        <w:t xml:space="preserve">Reglamento del Gobierno y la Administración Publica del Ayuntamiento Constitucional de Tonalá, Jalisco, así como los artículos 82 y 83 del Reglamento Interno de Sesiones del Ayuntamiento Constitucional de Tonalá, Jalisco, nos permitimos someter a la elevada y distinguida Consideración de este Cuerpo Edilicio el presente Dictamen de Comisiones, que tiene por objeto la Implementación de talleres de Comprensión Lectora bajo el método de lectura Rápida en beneficio de niñas y niños de nuestro municipio, que mediante acuerdo 1056 de la Sesión Ordinaria de Ayuntamiento de fecha 04 de marzo del 2024, se aprobó turnar a estas comisiones. </w:t>
      </w:r>
    </w:p>
    <w:p w14:paraId="3A4740FA" w14:textId="77777777" w:rsidR="00016FE1" w:rsidRPr="00D1236E" w:rsidRDefault="00016FE1" w:rsidP="002B6227">
      <w:pPr>
        <w:jc w:val="both"/>
        <w:rPr>
          <w:rFonts w:ascii="Gotham" w:hAnsi="Gotham"/>
          <w:color w:val="000000" w:themeColor="text1"/>
          <w:sz w:val="20"/>
          <w:szCs w:val="20"/>
        </w:rPr>
      </w:pPr>
    </w:p>
    <w:p w14:paraId="3A4740FB" w14:textId="77777777" w:rsidR="00016FE1" w:rsidRPr="00D1236E" w:rsidRDefault="00016FE1" w:rsidP="002B6227">
      <w:pPr>
        <w:jc w:val="both"/>
        <w:rPr>
          <w:rFonts w:ascii="Gotham" w:hAnsi="Gotham"/>
          <w:color w:val="000000" w:themeColor="text1"/>
          <w:sz w:val="20"/>
          <w:szCs w:val="20"/>
        </w:rPr>
      </w:pPr>
      <w:r w:rsidRPr="00D1236E">
        <w:rPr>
          <w:rFonts w:ascii="Gotham" w:hAnsi="Gotham"/>
          <w:color w:val="000000" w:themeColor="text1"/>
          <w:sz w:val="20"/>
          <w:szCs w:val="20"/>
        </w:rPr>
        <w:t>Con lo anteriormente expuesto hacemos de su conocimiento los siguientes:</w:t>
      </w:r>
    </w:p>
    <w:p w14:paraId="3A4740FC" w14:textId="77777777" w:rsidR="00016FE1" w:rsidRPr="00D1236E" w:rsidRDefault="00016FE1" w:rsidP="002B6227">
      <w:pPr>
        <w:jc w:val="both"/>
        <w:rPr>
          <w:rFonts w:ascii="Gotham" w:hAnsi="Gotham"/>
          <w:color w:val="000000" w:themeColor="text1"/>
          <w:sz w:val="20"/>
          <w:szCs w:val="20"/>
        </w:rPr>
      </w:pPr>
    </w:p>
    <w:p w14:paraId="3A4740FD" w14:textId="77777777" w:rsidR="00016FE1" w:rsidRPr="00D1236E" w:rsidRDefault="00016FE1" w:rsidP="002B6227">
      <w:pPr>
        <w:jc w:val="center"/>
        <w:rPr>
          <w:rFonts w:ascii="Gotham" w:hAnsi="Gotham"/>
          <w:color w:val="000000" w:themeColor="text1"/>
          <w:sz w:val="20"/>
          <w:szCs w:val="20"/>
        </w:rPr>
      </w:pPr>
      <w:r>
        <w:rPr>
          <w:rFonts w:ascii="Gotham" w:hAnsi="Gotham"/>
          <w:color w:val="000000" w:themeColor="text1"/>
          <w:sz w:val="20"/>
          <w:szCs w:val="20"/>
        </w:rPr>
        <w:t>ANTECEDENTES</w:t>
      </w:r>
    </w:p>
    <w:p w14:paraId="3A4740FE" w14:textId="77777777" w:rsidR="00016FE1" w:rsidRPr="00D1236E" w:rsidRDefault="00016FE1" w:rsidP="002B6227">
      <w:pPr>
        <w:jc w:val="both"/>
        <w:rPr>
          <w:rFonts w:ascii="Gotham" w:hAnsi="Gotham"/>
          <w:color w:val="000000" w:themeColor="text1"/>
          <w:sz w:val="20"/>
          <w:szCs w:val="20"/>
        </w:rPr>
      </w:pPr>
    </w:p>
    <w:p w14:paraId="3A4740FF" w14:textId="77777777" w:rsidR="00016FE1" w:rsidRPr="00D1236E" w:rsidRDefault="00016FE1" w:rsidP="002B6227">
      <w:pPr>
        <w:ind w:left="567" w:hanging="567"/>
        <w:jc w:val="both"/>
        <w:rPr>
          <w:rFonts w:ascii="Gotham" w:hAnsi="Gotham"/>
          <w:color w:val="000000" w:themeColor="text1"/>
          <w:sz w:val="20"/>
          <w:szCs w:val="20"/>
        </w:rPr>
      </w:pPr>
      <w:r w:rsidRPr="00D1236E">
        <w:rPr>
          <w:rFonts w:ascii="Gotham" w:hAnsi="Gotham"/>
          <w:color w:val="000000" w:themeColor="text1"/>
          <w:sz w:val="20"/>
          <w:szCs w:val="20"/>
        </w:rPr>
        <w:t xml:space="preserve">1.- </w:t>
      </w:r>
      <w:r>
        <w:rPr>
          <w:rFonts w:ascii="Gotham" w:hAnsi="Gotham"/>
          <w:color w:val="000000" w:themeColor="text1"/>
          <w:sz w:val="20"/>
          <w:szCs w:val="20"/>
        </w:rPr>
        <w:tab/>
      </w:r>
      <w:r w:rsidRPr="00D1236E">
        <w:rPr>
          <w:rFonts w:ascii="Gotham" w:hAnsi="Gotham"/>
          <w:color w:val="000000" w:themeColor="text1"/>
          <w:sz w:val="20"/>
          <w:szCs w:val="20"/>
        </w:rPr>
        <w:t>Que mediante el a</w:t>
      </w:r>
      <w:r>
        <w:rPr>
          <w:rFonts w:ascii="Gotham" w:hAnsi="Gotham"/>
          <w:color w:val="000000" w:themeColor="text1"/>
          <w:sz w:val="20"/>
          <w:szCs w:val="20"/>
        </w:rPr>
        <w:t xml:space="preserve">cuerdo de Ayuntamiento N0. 1056 </w:t>
      </w:r>
      <w:proofErr w:type="gramStart"/>
      <w:r w:rsidRPr="00D1236E">
        <w:rPr>
          <w:rFonts w:ascii="Gotham" w:hAnsi="Gotham"/>
          <w:color w:val="000000" w:themeColor="text1"/>
          <w:sz w:val="20"/>
          <w:szCs w:val="20"/>
        </w:rPr>
        <w:t>de</w:t>
      </w:r>
      <w:proofErr w:type="gramEnd"/>
      <w:r w:rsidRPr="00D1236E">
        <w:rPr>
          <w:rFonts w:ascii="Gotham" w:hAnsi="Gotham"/>
          <w:color w:val="000000" w:themeColor="text1"/>
          <w:sz w:val="20"/>
          <w:szCs w:val="20"/>
        </w:rPr>
        <w:t xml:space="preserve"> la Sesión Ordinaria </w:t>
      </w:r>
      <w:r>
        <w:rPr>
          <w:rFonts w:ascii="Gotham" w:hAnsi="Gotham"/>
          <w:color w:val="000000" w:themeColor="text1"/>
          <w:sz w:val="20"/>
          <w:szCs w:val="20"/>
        </w:rPr>
        <w:t>de Ayuntamiento de fecha 04 de m</w:t>
      </w:r>
      <w:r w:rsidRPr="00D1236E">
        <w:rPr>
          <w:rFonts w:ascii="Gotham" w:hAnsi="Gotham"/>
          <w:color w:val="000000" w:themeColor="text1"/>
          <w:sz w:val="20"/>
          <w:szCs w:val="20"/>
        </w:rPr>
        <w:t xml:space="preserve">arzo del año 2024, se aprobó turnar a la Comisión Edilicia de Bienestar, Desarrollo, Asistencia Social y Familiar, así mismo a la Comisión Edilicia de Cultura, Educación e Innovación Tecnológica, la propuesta que tiene por objeto la Implementación de talleres de Comprensión Lectora bajo el método de lectura Rápida en beneficio de niñas y niños del municipio de Tonalá, Jalisco. </w:t>
      </w:r>
    </w:p>
    <w:p w14:paraId="3A474100" w14:textId="77777777" w:rsidR="00016FE1" w:rsidRDefault="00016FE1" w:rsidP="002B6227">
      <w:pPr>
        <w:ind w:left="567" w:hanging="567"/>
        <w:jc w:val="both"/>
        <w:rPr>
          <w:rFonts w:ascii="Gotham" w:hAnsi="Gotham"/>
          <w:color w:val="000000" w:themeColor="text1"/>
          <w:sz w:val="20"/>
          <w:szCs w:val="20"/>
        </w:rPr>
      </w:pPr>
    </w:p>
    <w:p w14:paraId="3A474101" w14:textId="77777777" w:rsidR="00016FE1" w:rsidRPr="00D1236E" w:rsidRDefault="00016FE1" w:rsidP="002B6227">
      <w:pPr>
        <w:ind w:left="567" w:hanging="567"/>
        <w:jc w:val="both"/>
        <w:rPr>
          <w:rFonts w:ascii="Gotham" w:hAnsi="Gotham"/>
          <w:color w:val="000000" w:themeColor="text1"/>
          <w:sz w:val="20"/>
          <w:szCs w:val="20"/>
        </w:rPr>
      </w:pPr>
      <w:r w:rsidRPr="00D1236E">
        <w:rPr>
          <w:rFonts w:ascii="Gotham" w:hAnsi="Gotham"/>
          <w:color w:val="000000" w:themeColor="text1"/>
          <w:sz w:val="20"/>
          <w:szCs w:val="20"/>
        </w:rPr>
        <w:t>2.-</w:t>
      </w:r>
      <w:r>
        <w:rPr>
          <w:rFonts w:ascii="Gotham" w:hAnsi="Gotham"/>
          <w:color w:val="000000" w:themeColor="text1"/>
          <w:sz w:val="20"/>
          <w:szCs w:val="20"/>
        </w:rPr>
        <w:tab/>
        <w:t>En c</w:t>
      </w:r>
      <w:r w:rsidRPr="00D1236E">
        <w:rPr>
          <w:rFonts w:ascii="Gotham" w:hAnsi="Gotham"/>
          <w:color w:val="000000" w:themeColor="text1"/>
          <w:sz w:val="20"/>
          <w:szCs w:val="20"/>
        </w:rPr>
        <w:t xml:space="preserve">onsecuencia, mediante oficio SECRETARIA GENERAL/281/2024, suscrito por la maestra Celia Gauna Ruiz de León en su carácter de Secretaria General y recibido en la Regiduría a mi </w:t>
      </w:r>
      <w:r>
        <w:rPr>
          <w:rFonts w:ascii="Gotham" w:hAnsi="Gotham"/>
          <w:color w:val="000000" w:themeColor="text1"/>
          <w:sz w:val="20"/>
          <w:szCs w:val="20"/>
        </w:rPr>
        <w:t>c</w:t>
      </w:r>
      <w:r w:rsidRPr="00D1236E">
        <w:rPr>
          <w:rFonts w:ascii="Gotham" w:hAnsi="Gotham"/>
          <w:color w:val="000000" w:themeColor="text1"/>
          <w:sz w:val="20"/>
          <w:szCs w:val="20"/>
        </w:rPr>
        <w:t xml:space="preserve">argo, fue turnado el acuerdo 1056, esto en mi carácter de Regidora Presidenta de la Comisión de Bienestar, Desarrollo, Asistencia Social y Familiar, para </w:t>
      </w:r>
      <w:r>
        <w:rPr>
          <w:rFonts w:ascii="Gotham" w:hAnsi="Gotham"/>
          <w:color w:val="000000" w:themeColor="text1"/>
          <w:sz w:val="20"/>
          <w:szCs w:val="20"/>
        </w:rPr>
        <w:t>a</w:t>
      </w:r>
      <w:r w:rsidRPr="00D1236E">
        <w:rPr>
          <w:rFonts w:ascii="Gotham" w:hAnsi="Gotham"/>
          <w:color w:val="000000" w:themeColor="text1"/>
          <w:sz w:val="20"/>
          <w:szCs w:val="20"/>
        </w:rPr>
        <w:t xml:space="preserve">nalizar y </w:t>
      </w:r>
      <w:r>
        <w:rPr>
          <w:rFonts w:ascii="Gotham" w:hAnsi="Gotham"/>
          <w:color w:val="000000" w:themeColor="text1"/>
          <w:sz w:val="20"/>
          <w:szCs w:val="20"/>
        </w:rPr>
        <w:t>d</w:t>
      </w:r>
      <w:r w:rsidRPr="00D1236E">
        <w:rPr>
          <w:rFonts w:ascii="Gotham" w:hAnsi="Gotham"/>
          <w:color w:val="000000" w:themeColor="text1"/>
          <w:sz w:val="20"/>
          <w:szCs w:val="20"/>
        </w:rPr>
        <w:t>ictaminar como comisión Edilicia.</w:t>
      </w:r>
    </w:p>
    <w:p w14:paraId="3A474102" w14:textId="77777777" w:rsidR="00016FE1" w:rsidRPr="00D1236E" w:rsidRDefault="00016FE1" w:rsidP="002B6227">
      <w:pPr>
        <w:ind w:left="567" w:hanging="567"/>
        <w:jc w:val="both"/>
        <w:rPr>
          <w:rFonts w:ascii="Gotham" w:hAnsi="Gotham"/>
          <w:color w:val="000000" w:themeColor="text1"/>
          <w:sz w:val="20"/>
          <w:szCs w:val="20"/>
        </w:rPr>
      </w:pPr>
    </w:p>
    <w:p w14:paraId="3A474103" w14:textId="77777777" w:rsidR="00016FE1" w:rsidRPr="00D1236E" w:rsidRDefault="00016FE1" w:rsidP="002B6227">
      <w:pPr>
        <w:ind w:left="567" w:hanging="567"/>
        <w:jc w:val="both"/>
        <w:rPr>
          <w:rFonts w:ascii="Gotham" w:hAnsi="Gotham"/>
          <w:color w:val="000000" w:themeColor="text1"/>
          <w:sz w:val="20"/>
          <w:szCs w:val="20"/>
        </w:rPr>
      </w:pPr>
    </w:p>
    <w:p w14:paraId="3A474104" w14:textId="77777777" w:rsidR="00016FE1" w:rsidRPr="00D1236E" w:rsidRDefault="00016FE1" w:rsidP="002B6227">
      <w:pPr>
        <w:shd w:val="clear" w:color="auto" w:fill="FFFFFF" w:themeFill="background1"/>
        <w:ind w:left="567" w:hanging="567"/>
        <w:jc w:val="both"/>
        <w:rPr>
          <w:rFonts w:ascii="Gotham" w:hAnsi="Gotham"/>
          <w:color w:val="000000" w:themeColor="text1"/>
          <w:sz w:val="20"/>
          <w:szCs w:val="20"/>
        </w:rPr>
      </w:pPr>
      <w:r w:rsidRPr="00D1236E">
        <w:rPr>
          <w:rFonts w:ascii="Gotham" w:hAnsi="Gotham"/>
          <w:color w:val="000000" w:themeColor="text1"/>
          <w:sz w:val="20"/>
          <w:szCs w:val="20"/>
        </w:rPr>
        <w:t xml:space="preserve">3.- </w:t>
      </w:r>
      <w:r>
        <w:rPr>
          <w:rFonts w:ascii="Gotham" w:hAnsi="Gotham"/>
          <w:color w:val="000000" w:themeColor="text1"/>
          <w:sz w:val="20"/>
          <w:szCs w:val="20"/>
        </w:rPr>
        <w:tab/>
      </w:r>
      <w:r w:rsidRPr="00D1236E">
        <w:rPr>
          <w:rFonts w:ascii="Gotham" w:hAnsi="Gotham"/>
          <w:color w:val="000000" w:themeColor="text1"/>
          <w:sz w:val="20"/>
          <w:szCs w:val="20"/>
        </w:rPr>
        <w:t>Tercer Asunto Vario.- En uso de la voz, el Síndico, Margarito Mayorga Basulto, manifiesta que, el que suscribe, en mi carácter de Sindico del Ayuntamiento Constitucional de Tonalá, Jalisco, con fundamento en el artículo 115</w:t>
      </w:r>
      <w:r>
        <w:rPr>
          <w:rFonts w:ascii="Gotham" w:hAnsi="Gotham"/>
          <w:color w:val="000000" w:themeColor="text1"/>
          <w:sz w:val="20"/>
          <w:szCs w:val="20"/>
        </w:rPr>
        <w:t>, fracción II,</w:t>
      </w:r>
      <w:r w:rsidRPr="00D1236E">
        <w:rPr>
          <w:rFonts w:ascii="Gotham" w:hAnsi="Gotham"/>
          <w:color w:val="000000" w:themeColor="text1"/>
          <w:sz w:val="20"/>
          <w:szCs w:val="20"/>
        </w:rPr>
        <w:t xml:space="preserve"> de la Constitución Política de los Estados Unidos Mexicanos, los artículos 77 fracción II de la Constitución Política del Estado de Jalisco, los artículos 27, 50 y demás relativos de la Ley del Gobierno y la Administración Pública Municipal del Estado de Jalisco; Así como los artículos 56</w:t>
      </w:r>
      <w:r>
        <w:rPr>
          <w:rFonts w:ascii="Gotham" w:hAnsi="Gotham"/>
          <w:color w:val="000000" w:themeColor="text1"/>
          <w:sz w:val="20"/>
          <w:szCs w:val="20"/>
        </w:rPr>
        <w:t>,</w:t>
      </w:r>
      <w:r w:rsidRPr="00D1236E">
        <w:rPr>
          <w:rFonts w:ascii="Gotham" w:hAnsi="Gotham"/>
          <w:color w:val="000000" w:themeColor="text1"/>
          <w:sz w:val="20"/>
          <w:szCs w:val="20"/>
        </w:rPr>
        <w:t xml:space="preserve"> fracción III</w:t>
      </w:r>
      <w:r>
        <w:rPr>
          <w:rFonts w:ascii="Gotham" w:hAnsi="Gotham"/>
          <w:color w:val="000000" w:themeColor="text1"/>
          <w:sz w:val="20"/>
          <w:szCs w:val="20"/>
        </w:rPr>
        <w:t xml:space="preserve">, del </w:t>
      </w:r>
      <w:r w:rsidRPr="00D1236E">
        <w:rPr>
          <w:rFonts w:ascii="Gotham" w:hAnsi="Gotham"/>
          <w:color w:val="000000" w:themeColor="text1"/>
          <w:sz w:val="20"/>
          <w:szCs w:val="20"/>
        </w:rPr>
        <w:t>Reglamento del Gobierno y la Administración Pública del Ayuntamiento Co</w:t>
      </w:r>
      <w:r>
        <w:rPr>
          <w:rFonts w:ascii="Gotham" w:hAnsi="Gotham"/>
          <w:color w:val="000000" w:themeColor="text1"/>
          <w:sz w:val="20"/>
          <w:szCs w:val="20"/>
        </w:rPr>
        <w:t>nstitucional de Tonalá, Jalisco;</w:t>
      </w:r>
      <w:r w:rsidRPr="00D1236E">
        <w:rPr>
          <w:rFonts w:ascii="Gotham" w:hAnsi="Gotham"/>
          <w:color w:val="000000" w:themeColor="text1"/>
          <w:sz w:val="20"/>
          <w:szCs w:val="20"/>
        </w:rPr>
        <w:t xml:space="preserve"> artículo 82</w:t>
      </w:r>
      <w:r>
        <w:rPr>
          <w:rFonts w:ascii="Gotham" w:hAnsi="Gotham"/>
          <w:color w:val="000000" w:themeColor="text1"/>
          <w:sz w:val="20"/>
          <w:szCs w:val="20"/>
        </w:rPr>
        <w:t>,</w:t>
      </w:r>
      <w:r w:rsidRPr="00D1236E">
        <w:rPr>
          <w:rFonts w:ascii="Gotham" w:hAnsi="Gotham"/>
          <w:color w:val="000000" w:themeColor="text1"/>
          <w:sz w:val="20"/>
          <w:szCs w:val="20"/>
        </w:rPr>
        <w:t xml:space="preserve"> fracción III, </w:t>
      </w:r>
      <w:r w:rsidRPr="001428EA">
        <w:rPr>
          <w:rFonts w:ascii="Gotham" w:hAnsi="Gotham"/>
          <w:color w:val="000000" w:themeColor="text1"/>
          <w:sz w:val="20"/>
          <w:szCs w:val="20"/>
          <w:shd w:val="clear" w:color="auto" w:fill="FFFFFF" w:themeFill="background1"/>
        </w:rPr>
        <w:t>del Reglamento Interno de Sesiones del Ayuntamiento Constitucional de Tonalá, Jalisco,</w:t>
      </w:r>
      <w:r>
        <w:rPr>
          <w:rFonts w:ascii="Gotham" w:hAnsi="Gotham"/>
          <w:color w:val="000000" w:themeColor="text1"/>
          <w:sz w:val="20"/>
          <w:szCs w:val="20"/>
          <w:shd w:val="clear" w:color="auto" w:fill="FFFFFF" w:themeFill="background1"/>
        </w:rPr>
        <w:t xml:space="preserve"> </w:t>
      </w:r>
      <w:r w:rsidRPr="001428EA">
        <w:rPr>
          <w:rFonts w:ascii="Gotham" w:hAnsi="Gotham"/>
          <w:color w:val="000000" w:themeColor="text1"/>
          <w:sz w:val="20"/>
          <w:szCs w:val="20"/>
          <w:shd w:val="clear" w:color="auto" w:fill="FFFFFF" w:themeFill="background1"/>
        </w:rPr>
        <w:t>so</w:t>
      </w:r>
      <w:r w:rsidRPr="00D1236E">
        <w:rPr>
          <w:rFonts w:ascii="Gotham" w:hAnsi="Gotham"/>
          <w:color w:val="000000" w:themeColor="text1"/>
          <w:sz w:val="20"/>
          <w:szCs w:val="20"/>
        </w:rPr>
        <w:t>meto a su elevada y distinguida consideración de este H. Cuerpo Edilicio, el prese</w:t>
      </w:r>
      <w:r>
        <w:rPr>
          <w:rFonts w:ascii="Gotham" w:hAnsi="Gotham"/>
          <w:color w:val="000000" w:themeColor="text1"/>
          <w:sz w:val="20"/>
          <w:szCs w:val="20"/>
        </w:rPr>
        <w:t>nte:</w:t>
      </w:r>
    </w:p>
    <w:p w14:paraId="3A474105" w14:textId="77777777" w:rsidR="00016FE1" w:rsidRPr="00D1236E" w:rsidRDefault="00016FE1" w:rsidP="002B6227">
      <w:pPr>
        <w:jc w:val="both"/>
        <w:rPr>
          <w:rFonts w:ascii="Gotham" w:hAnsi="Gotham"/>
          <w:color w:val="000000" w:themeColor="text1"/>
          <w:sz w:val="20"/>
          <w:szCs w:val="20"/>
        </w:rPr>
      </w:pPr>
    </w:p>
    <w:p w14:paraId="3A474106" w14:textId="77777777" w:rsidR="00016FE1" w:rsidRPr="00FB73C7" w:rsidRDefault="00016FE1" w:rsidP="002B6227">
      <w:pPr>
        <w:ind w:left="851" w:right="283"/>
        <w:jc w:val="center"/>
        <w:rPr>
          <w:rFonts w:ascii="Gotham" w:hAnsi="Gotham" w:cs="Arial"/>
          <w:i/>
          <w:iCs/>
          <w:sz w:val="19"/>
          <w:szCs w:val="19"/>
        </w:rPr>
      </w:pPr>
      <w:r w:rsidRPr="00FB73C7">
        <w:rPr>
          <w:rFonts w:ascii="Gotham" w:hAnsi="Gotham" w:cs="Arial"/>
          <w:i/>
          <w:iCs/>
          <w:sz w:val="19"/>
          <w:szCs w:val="19"/>
        </w:rPr>
        <w:t>ASUNTO VARIO</w:t>
      </w:r>
    </w:p>
    <w:p w14:paraId="3A474107" w14:textId="77777777" w:rsidR="00016FE1" w:rsidRPr="00FB73C7" w:rsidRDefault="00016FE1" w:rsidP="002B6227">
      <w:pPr>
        <w:ind w:left="851" w:right="283"/>
        <w:jc w:val="both"/>
        <w:rPr>
          <w:rFonts w:ascii="Gotham" w:hAnsi="Gotham" w:cs="Arial"/>
          <w:i/>
          <w:iCs/>
          <w:sz w:val="19"/>
          <w:szCs w:val="19"/>
        </w:rPr>
      </w:pPr>
    </w:p>
    <w:p w14:paraId="3A474108"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 xml:space="preserve">Que tiene por objeto proponer al pleno del ayuntamiento constitucional de Tonalá </w:t>
      </w:r>
      <w:r w:rsidR="009B5ABA" w:rsidRPr="00FB73C7">
        <w:rPr>
          <w:rFonts w:ascii="Gotham" w:hAnsi="Gotham" w:cs="Arial"/>
          <w:i/>
          <w:iCs/>
          <w:sz w:val="19"/>
          <w:szCs w:val="19"/>
        </w:rPr>
        <w:t>Jalisco</w:t>
      </w:r>
      <w:r w:rsidRPr="00FB73C7">
        <w:rPr>
          <w:rFonts w:ascii="Gotham" w:hAnsi="Gotham" w:cs="Arial"/>
          <w:i/>
          <w:iCs/>
          <w:sz w:val="19"/>
          <w:szCs w:val="19"/>
        </w:rPr>
        <w:t xml:space="preserve">, se turne a la comisión edilicia de bienestar, desarrollo, asistencia social y familiar para el estudio, análisis y dictaminacion, de la presente iniciativa que tiene como propósito la implementación de talleres de comprensión lectora bajo el método de lectura rápida en nuestro municipio en beneficio de niñas y niños del municipio de Tonalá, </w:t>
      </w:r>
      <w:r w:rsidR="009B5ABA" w:rsidRPr="00FB73C7">
        <w:rPr>
          <w:rFonts w:ascii="Gotham" w:hAnsi="Gotham" w:cs="Arial"/>
          <w:i/>
          <w:iCs/>
          <w:sz w:val="19"/>
          <w:szCs w:val="19"/>
        </w:rPr>
        <w:t>Jalisco</w:t>
      </w:r>
      <w:r w:rsidRPr="00FB73C7">
        <w:rPr>
          <w:rFonts w:ascii="Gotham" w:hAnsi="Gotham" w:cs="Arial"/>
          <w:i/>
          <w:iCs/>
          <w:sz w:val="19"/>
          <w:szCs w:val="19"/>
        </w:rPr>
        <w:t>, de conformidad con la siguiente:</w:t>
      </w:r>
    </w:p>
    <w:p w14:paraId="3A474109" w14:textId="77777777" w:rsidR="00016FE1" w:rsidRPr="00FB73C7" w:rsidRDefault="00016FE1" w:rsidP="002B6227">
      <w:pPr>
        <w:ind w:left="851" w:right="283"/>
        <w:jc w:val="center"/>
        <w:rPr>
          <w:rFonts w:ascii="Gotham" w:hAnsi="Gotham" w:cs="Arial"/>
          <w:i/>
          <w:iCs/>
          <w:sz w:val="19"/>
          <w:szCs w:val="19"/>
        </w:rPr>
      </w:pPr>
    </w:p>
    <w:p w14:paraId="3A47410A" w14:textId="77777777" w:rsidR="00016FE1" w:rsidRPr="00FB73C7" w:rsidRDefault="00016FE1" w:rsidP="002B6227">
      <w:pPr>
        <w:ind w:left="851" w:right="283"/>
        <w:jc w:val="center"/>
        <w:rPr>
          <w:rFonts w:ascii="Gotham" w:hAnsi="Gotham" w:cs="Arial"/>
          <w:i/>
          <w:iCs/>
          <w:sz w:val="19"/>
          <w:szCs w:val="19"/>
        </w:rPr>
      </w:pPr>
      <w:r w:rsidRPr="00FB73C7">
        <w:rPr>
          <w:rFonts w:ascii="Gotham" w:hAnsi="Gotham" w:cs="Arial"/>
          <w:i/>
          <w:iCs/>
          <w:sz w:val="19"/>
          <w:szCs w:val="19"/>
        </w:rPr>
        <w:t>EXPOSICION DE MOTIVOS:</w:t>
      </w:r>
    </w:p>
    <w:p w14:paraId="3A47410B" w14:textId="77777777" w:rsidR="00016FE1" w:rsidRPr="00FB73C7" w:rsidRDefault="00016FE1" w:rsidP="002B6227">
      <w:pPr>
        <w:ind w:left="851" w:right="283"/>
        <w:jc w:val="center"/>
        <w:rPr>
          <w:rFonts w:ascii="Gotham" w:hAnsi="Gotham" w:cs="Arial"/>
          <w:i/>
          <w:iCs/>
          <w:sz w:val="19"/>
          <w:szCs w:val="19"/>
        </w:rPr>
      </w:pPr>
    </w:p>
    <w:p w14:paraId="3A47410C"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 xml:space="preserve">La lectura es un proceso en el que un individuo conoce cierta información mediante el lenguaje visual o escrito, el lector se enfrenta a ciertas palabras, números o símbolos, los traduce en información dentro de su mente, los decodifica y aprende. </w:t>
      </w:r>
    </w:p>
    <w:p w14:paraId="3A47410D" w14:textId="77777777" w:rsidR="00016FE1" w:rsidRPr="00FB73C7" w:rsidRDefault="00016FE1" w:rsidP="002B6227">
      <w:pPr>
        <w:ind w:left="851" w:right="283"/>
        <w:jc w:val="both"/>
        <w:rPr>
          <w:rFonts w:ascii="Gotham" w:hAnsi="Gotham" w:cs="Arial"/>
          <w:i/>
          <w:iCs/>
          <w:sz w:val="19"/>
          <w:szCs w:val="19"/>
        </w:rPr>
      </w:pPr>
    </w:p>
    <w:p w14:paraId="3A47410E" w14:textId="77777777" w:rsidR="00016FE1" w:rsidRPr="00FB73C7" w:rsidRDefault="00016FE1" w:rsidP="002B6227">
      <w:pPr>
        <w:spacing w:after="120"/>
        <w:ind w:left="851" w:right="283"/>
        <w:jc w:val="both"/>
        <w:rPr>
          <w:rFonts w:ascii="Gotham" w:hAnsi="Gotham" w:cs="Arial"/>
          <w:i/>
          <w:iCs/>
          <w:sz w:val="19"/>
          <w:szCs w:val="19"/>
        </w:rPr>
      </w:pPr>
      <w:r w:rsidRPr="00FB73C7">
        <w:rPr>
          <w:rFonts w:ascii="Gotham" w:hAnsi="Gotham" w:cs="Arial"/>
          <w:i/>
          <w:iCs/>
          <w:sz w:val="19"/>
          <w:szCs w:val="19"/>
        </w:rPr>
        <w:lastRenderedPageBreak/>
        <w:t>La lectura es un proceso cognitivo que tiene muchos beneficios para la salud mental, emocional y social de las personas. Aquellas que leen con mayor regularidad adquieren lo que se conoce como “hábito de lectura”</w:t>
      </w:r>
    </w:p>
    <w:p w14:paraId="3A47410F" w14:textId="77777777" w:rsidR="00016FE1" w:rsidRPr="00FB73C7" w:rsidRDefault="00016FE1" w:rsidP="002B6227">
      <w:pPr>
        <w:spacing w:after="120"/>
        <w:ind w:left="851" w:right="283"/>
        <w:jc w:val="both"/>
        <w:rPr>
          <w:rFonts w:ascii="Gotham" w:hAnsi="Gotham" w:cs="Arial"/>
          <w:i/>
          <w:iCs/>
          <w:sz w:val="19"/>
          <w:szCs w:val="19"/>
        </w:rPr>
      </w:pPr>
      <w:r w:rsidRPr="00FB73C7">
        <w:rPr>
          <w:rFonts w:ascii="Gotham" w:hAnsi="Gotham" w:cs="Arial"/>
          <w:i/>
          <w:iCs/>
          <w:sz w:val="19"/>
          <w:szCs w:val="19"/>
        </w:rPr>
        <w:t>Entre las principales ventajas de la lectura están:</w:t>
      </w:r>
    </w:p>
    <w:p w14:paraId="3A474110"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Permite adquirir conocimientos se incrementa la capacidad comunicativa.</w:t>
      </w:r>
    </w:p>
    <w:p w14:paraId="3A474111"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Ayuda a desarrollar la capacidad de análisis y resolución de problemas.</w:t>
      </w:r>
    </w:p>
    <w:p w14:paraId="3A474112"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 xml:space="preserve"> Es una opción de entretenimiento.</w:t>
      </w:r>
    </w:p>
    <w:p w14:paraId="3A474113"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Permite desarrollar la empatía y las relaciones interpersonales.</w:t>
      </w:r>
    </w:p>
    <w:p w14:paraId="3A474114"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Enriquece el mundo interior.</w:t>
      </w:r>
    </w:p>
    <w:p w14:paraId="3A474115"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Amplia el vocabulario y fomenta la escritura.</w:t>
      </w:r>
    </w:p>
    <w:p w14:paraId="3A474116"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Estimula la concentración.</w:t>
      </w:r>
    </w:p>
    <w:p w14:paraId="3A474117"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Incentiva la imaginación.</w:t>
      </w:r>
    </w:p>
    <w:p w14:paraId="3A474118" w14:textId="77777777" w:rsidR="00016FE1" w:rsidRPr="00FB73C7" w:rsidRDefault="00016FE1" w:rsidP="00865062">
      <w:pPr>
        <w:pStyle w:val="Prrafodelista"/>
        <w:numPr>
          <w:ilvl w:val="0"/>
          <w:numId w:val="168"/>
        </w:numPr>
        <w:spacing w:after="80"/>
        <w:ind w:left="851" w:right="283" w:firstLine="0"/>
        <w:contextualSpacing w:val="0"/>
        <w:jc w:val="both"/>
        <w:rPr>
          <w:rFonts w:ascii="Gotham" w:hAnsi="Gotham" w:cs="Arial"/>
          <w:i/>
          <w:iCs/>
          <w:sz w:val="19"/>
          <w:szCs w:val="19"/>
        </w:rPr>
      </w:pPr>
      <w:r w:rsidRPr="00FB73C7">
        <w:rPr>
          <w:rFonts w:ascii="Gotham" w:hAnsi="Gotham" w:cs="Arial"/>
          <w:i/>
          <w:iCs/>
          <w:sz w:val="19"/>
          <w:szCs w:val="19"/>
        </w:rPr>
        <w:t>Ejercita las conexiones neuronales.</w:t>
      </w:r>
    </w:p>
    <w:p w14:paraId="3A474119" w14:textId="77777777" w:rsidR="00016FE1" w:rsidRPr="00FB73C7" w:rsidRDefault="00016FE1" w:rsidP="00865062">
      <w:pPr>
        <w:pStyle w:val="Prrafodelista"/>
        <w:numPr>
          <w:ilvl w:val="0"/>
          <w:numId w:val="168"/>
        </w:numPr>
        <w:ind w:left="851" w:right="283" w:firstLine="0"/>
        <w:contextualSpacing w:val="0"/>
        <w:jc w:val="both"/>
        <w:rPr>
          <w:rFonts w:ascii="Gotham" w:hAnsi="Gotham" w:cs="Arial"/>
          <w:i/>
          <w:iCs/>
          <w:sz w:val="19"/>
          <w:szCs w:val="19"/>
        </w:rPr>
      </w:pPr>
      <w:r w:rsidRPr="00FB73C7">
        <w:rPr>
          <w:rFonts w:ascii="Gotham" w:hAnsi="Gotham" w:cs="Arial"/>
          <w:i/>
          <w:iCs/>
          <w:sz w:val="19"/>
          <w:szCs w:val="19"/>
        </w:rPr>
        <w:t>Permite liberar emociones.</w:t>
      </w:r>
    </w:p>
    <w:p w14:paraId="3A47411A" w14:textId="77777777" w:rsidR="00016FE1" w:rsidRPr="00FB73C7" w:rsidRDefault="00016FE1" w:rsidP="002B6227">
      <w:pPr>
        <w:ind w:left="851" w:right="283"/>
        <w:jc w:val="both"/>
        <w:rPr>
          <w:rFonts w:ascii="Gotham" w:hAnsi="Gotham" w:cs="Arial"/>
          <w:i/>
          <w:iCs/>
          <w:sz w:val="19"/>
          <w:szCs w:val="19"/>
        </w:rPr>
      </w:pPr>
    </w:p>
    <w:p w14:paraId="3A47411B"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Aprender a leer es un proceso que comienza en una edad muy temprana, que puede iniciar desde el preescolar, aprender a leer abre las puertas de la educación y de la escritura, que es otro proceso importante en la formación intelectual de una persona.</w:t>
      </w:r>
    </w:p>
    <w:p w14:paraId="3A47411C" w14:textId="77777777" w:rsidR="00016FE1" w:rsidRDefault="00016FE1" w:rsidP="002B6227">
      <w:pPr>
        <w:ind w:left="851" w:right="283"/>
        <w:jc w:val="both"/>
        <w:rPr>
          <w:rFonts w:ascii="Gotham" w:hAnsi="Gotham" w:cs="Arial"/>
          <w:i/>
          <w:iCs/>
          <w:sz w:val="19"/>
          <w:szCs w:val="19"/>
        </w:rPr>
      </w:pPr>
    </w:p>
    <w:p w14:paraId="3A47411D"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Elsie Rockwell, en su ensayo “la lectura como practica cultural: concepto para el estudio de los libros escolares” retoma las ideas de Roger Chartier al concebir la lectura como una práctica cultural realizada en un espacio intersubjetivo, conformado históricamente, en el cual los lectores comparten dispositivos, comportamientos, actitudes y significados culturales en torno al acto de leer.</w:t>
      </w:r>
    </w:p>
    <w:p w14:paraId="3A47411E" w14:textId="77777777" w:rsidR="00016FE1" w:rsidRPr="00FB73C7" w:rsidRDefault="00016FE1" w:rsidP="002B6227">
      <w:pPr>
        <w:ind w:left="851" w:right="283"/>
        <w:jc w:val="both"/>
        <w:rPr>
          <w:rFonts w:ascii="Gotham" w:hAnsi="Gotham" w:cs="Arial"/>
          <w:i/>
          <w:iCs/>
          <w:sz w:val="19"/>
          <w:szCs w:val="19"/>
        </w:rPr>
      </w:pPr>
    </w:p>
    <w:p w14:paraId="3A47411F"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El concepto de práctica cultural sirve de puente entre los recursos culturales y la evidencia observable de los actos de leer en cierto contexto.</w:t>
      </w:r>
    </w:p>
    <w:p w14:paraId="3A474120" w14:textId="77777777" w:rsidR="00016FE1" w:rsidRDefault="00016FE1" w:rsidP="002B6227">
      <w:pPr>
        <w:ind w:left="851" w:right="283"/>
        <w:jc w:val="both"/>
        <w:rPr>
          <w:rFonts w:ascii="Gotham" w:hAnsi="Gotham" w:cs="Arial"/>
          <w:i/>
          <w:iCs/>
          <w:sz w:val="19"/>
          <w:szCs w:val="19"/>
        </w:rPr>
      </w:pPr>
    </w:p>
    <w:p w14:paraId="3A474121"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Para el caso de México, el índice de lectura es bajo, por lo que queda en evidencia la existencia de una problemática social y cultura en la que la lectura no está arraigada entre los miembros de la comunidad.</w:t>
      </w:r>
    </w:p>
    <w:p w14:paraId="3A474122" w14:textId="77777777" w:rsidR="00016FE1" w:rsidRDefault="00016FE1" w:rsidP="002B6227">
      <w:pPr>
        <w:ind w:left="851" w:right="283"/>
        <w:jc w:val="both"/>
        <w:rPr>
          <w:rFonts w:ascii="Gotham" w:hAnsi="Gotham" w:cs="Arial"/>
          <w:i/>
          <w:iCs/>
          <w:sz w:val="19"/>
          <w:szCs w:val="19"/>
        </w:rPr>
      </w:pPr>
    </w:p>
    <w:p w14:paraId="3A474123"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En un comunicado de prensa Núm. 191/22 de fecha 20 de abril de 2022, el INEGI revela los resultados del Módulo sobre lectura (aplicado a personas mayores de 18 años) siendo los más destacables:</w:t>
      </w:r>
    </w:p>
    <w:p w14:paraId="3A474124" w14:textId="77777777" w:rsidR="00016FE1" w:rsidRDefault="00016FE1" w:rsidP="002B6227">
      <w:pPr>
        <w:ind w:left="851" w:right="283"/>
        <w:jc w:val="both"/>
        <w:rPr>
          <w:rFonts w:ascii="Gotham" w:hAnsi="Gotham" w:cs="Arial"/>
          <w:i/>
          <w:iCs/>
          <w:sz w:val="19"/>
          <w:szCs w:val="19"/>
        </w:rPr>
      </w:pPr>
    </w:p>
    <w:p w14:paraId="3A474125"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EL 17.8 % de la población alfabeta de 18 y más años declaro leer alguno de los materiales considerados por el módulo sobre lectura (MOLEC): libros, revistas, periódicos, historietas y p</w:t>
      </w:r>
      <w:r>
        <w:rPr>
          <w:rFonts w:ascii="Gotham" w:hAnsi="Gotham" w:cs="Arial"/>
          <w:i/>
          <w:iCs/>
          <w:sz w:val="19"/>
          <w:szCs w:val="19"/>
        </w:rPr>
        <w:t>á</w:t>
      </w:r>
      <w:r w:rsidRPr="00FB73C7">
        <w:rPr>
          <w:rFonts w:ascii="Gotham" w:hAnsi="Gotham" w:cs="Arial"/>
          <w:i/>
          <w:iCs/>
          <w:sz w:val="19"/>
          <w:szCs w:val="19"/>
        </w:rPr>
        <w:t>ginas de internet, foros o blogs.</w:t>
      </w:r>
    </w:p>
    <w:p w14:paraId="3A474126" w14:textId="77777777" w:rsidR="00016FE1" w:rsidRPr="00FB73C7" w:rsidRDefault="00016FE1" w:rsidP="002B6227">
      <w:pPr>
        <w:ind w:left="851" w:right="283"/>
        <w:jc w:val="both"/>
        <w:rPr>
          <w:rFonts w:ascii="Gotham" w:hAnsi="Gotham" w:cs="Arial"/>
          <w:i/>
          <w:iCs/>
          <w:sz w:val="19"/>
          <w:szCs w:val="19"/>
        </w:rPr>
      </w:pPr>
    </w:p>
    <w:p w14:paraId="3A474127"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En los últimos doce meses, el promedio de libros leídos por la población fue de 3.9. Este es el dato más alto registrado desde 2016.</w:t>
      </w:r>
    </w:p>
    <w:p w14:paraId="3A474128" w14:textId="77777777" w:rsidR="00016FE1" w:rsidRDefault="00016FE1" w:rsidP="002B6227">
      <w:pPr>
        <w:ind w:left="851" w:right="283"/>
        <w:jc w:val="both"/>
        <w:rPr>
          <w:rFonts w:ascii="Gotham" w:hAnsi="Gotham" w:cs="Arial"/>
          <w:i/>
          <w:iCs/>
          <w:sz w:val="19"/>
          <w:szCs w:val="19"/>
        </w:rPr>
      </w:pPr>
    </w:p>
    <w:p w14:paraId="3A474129"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Por sexo, los hombres declararon haber leído 4.2 libros en el último años, mientras que las mujeres leyeron 3.7 libros.</w:t>
      </w:r>
    </w:p>
    <w:p w14:paraId="3A47412A" w14:textId="77777777" w:rsidR="00016FE1" w:rsidRDefault="00016FE1" w:rsidP="002B6227">
      <w:pPr>
        <w:ind w:left="851" w:right="283"/>
        <w:jc w:val="both"/>
        <w:rPr>
          <w:rFonts w:ascii="Gotham" w:hAnsi="Gotham" w:cs="Arial"/>
          <w:i/>
          <w:iCs/>
          <w:sz w:val="19"/>
          <w:szCs w:val="19"/>
        </w:rPr>
      </w:pPr>
    </w:p>
    <w:p w14:paraId="3A47412B"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 xml:space="preserve">En promedio, la sesión de lectura para la población sin educación básica terminada fue de 32 minutos; la población con educación básica terminada o algún grado de educación media </w:t>
      </w:r>
      <w:r w:rsidRPr="00FB73C7">
        <w:rPr>
          <w:rFonts w:ascii="Gotham" w:hAnsi="Gotham" w:cs="Arial"/>
          <w:i/>
          <w:iCs/>
          <w:sz w:val="19"/>
          <w:szCs w:val="19"/>
        </w:rPr>
        <w:lastRenderedPageBreak/>
        <w:t>destino en promedio 38 minutos, y para quienes tienen al menos un grado de educación superior alcanzaron los 48 minutos.</w:t>
      </w:r>
      <w:r w:rsidR="00B76E88">
        <w:rPr>
          <w:rFonts w:ascii="Gotham" w:hAnsi="Gotham" w:cs="Arial"/>
          <w:i/>
          <w:iCs/>
          <w:sz w:val="19"/>
          <w:szCs w:val="19"/>
        </w:rPr>
        <w:t xml:space="preserve"> </w:t>
      </w:r>
    </w:p>
    <w:p w14:paraId="3A47412C" w14:textId="77777777" w:rsidR="00016FE1" w:rsidRDefault="00016FE1" w:rsidP="002B6227">
      <w:pPr>
        <w:ind w:left="851" w:right="283"/>
        <w:jc w:val="both"/>
        <w:rPr>
          <w:rFonts w:ascii="Gotham" w:hAnsi="Gotham" w:cs="Arial"/>
          <w:i/>
          <w:iCs/>
          <w:sz w:val="19"/>
          <w:szCs w:val="19"/>
        </w:rPr>
      </w:pPr>
    </w:p>
    <w:p w14:paraId="3A47412D"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Al hacer el análisis comparativo de los datos obtenidos del “Modulo de lectura”</w:t>
      </w:r>
    </w:p>
    <w:p w14:paraId="3A47412E" w14:textId="77777777" w:rsidR="00016FE1" w:rsidRDefault="00016FE1" w:rsidP="002B6227">
      <w:pPr>
        <w:ind w:left="851" w:right="283"/>
        <w:jc w:val="both"/>
        <w:rPr>
          <w:rFonts w:ascii="Gotham" w:hAnsi="Gotham" w:cs="Arial"/>
          <w:i/>
          <w:iCs/>
          <w:sz w:val="19"/>
          <w:szCs w:val="19"/>
        </w:rPr>
      </w:pPr>
    </w:p>
    <w:p w14:paraId="3A47412F"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Entre 2022 y los 7 años precedentes se observa que: el porcentaje de población mayor de 18 años alfabeta que leyó algún material disminuyo al pasar en 2016 de un 80.8 % a un 71.8 % para 2022.</w:t>
      </w:r>
    </w:p>
    <w:p w14:paraId="3A474130" w14:textId="77777777" w:rsidR="00016FE1" w:rsidRDefault="00016FE1" w:rsidP="002B6227">
      <w:pPr>
        <w:ind w:left="851" w:right="283"/>
        <w:jc w:val="both"/>
        <w:rPr>
          <w:rFonts w:ascii="Gotham" w:hAnsi="Gotham" w:cs="Arial"/>
          <w:i/>
          <w:iCs/>
          <w:sz w:val="19"/>
          <w:szCs w:val="19"/>
        </w:rPr>
      </w:pPr>
    </w:p>
    <w:p w14:paraId="3A474131"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La distribución d lectores por grado de estudios revela que a mayor grado de estudios mayor es el</w:t>
      </w:r>
      <w:r>
        <w:rPr>
          <w:rFonts w:ascii="Gotham" w:hAnsi="Gotham" w:cs="Arial"/>
          <w:i/>
          <w:iCs/>
          <w:sz w:val="19"/>
          <w:szCs w:val="19"/>
        </w:rPr>
        <w:t xml:space="preserve"> hábito</w:t>
      </w:r>
      <w:r w:rsidRPr="00FB73C7">
        <w:rPr>
          <w:rFonts w:ascii="Gotham" w:hAnsi="Gotham" w:cs="Arial"/>
          <w:i/>
          <w:iCs/>
          <w:sz w:val="19"/>
          <w:szCs w:val="19"/>
        </w:rPr>
        <w:t xml:space="preserve"> de lectura, sin educación básica solo un 49.9 0/0 son lectores, con educación básica 69.2 % y de educación superior 88.4 %. </w:t>
      </w:r>
    </w:p>
    <w:p w14:paraId="3A474132" w14:textId="77777777" w:rsidR="00016FE1" w:rsidRDefault="00016FE1" w:rsidP="002B6227">
      <w:pPr>
        <w:ind w:left="851" w:right="283"/>
        <w:jc w:val="both"/>
        <w:rPr>
          <w:rFonts w:ascii="Gotham" w:hAnsi="Gotham" w:cs="Arial"/>
          <w:i/>
          <w:iCs/>
          <w:sz w:val="19"/>
          <w:szCs w:val="19"/>
        </w:rPr>
      </w:pPr>
    </w:p>
    <w:p w14:paraId="3A474133"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En cuanto a lectura de libros en los últimos 7 años ha ido a la baja pasando de un 45.9 % a un 43.9 % para 2022, sin embargo, el número de libros leídos por persona al año ha incrementado, pasando de 3.8 a 3.9.</w:t>
      </w:r>
      <w:r w:rsidR="00B76E88">
        <w:rPr>
          <w:rFonts w:ascii="Gotham" w:hAnsi="Gotham" w:cs="Arial"/>
          <w:i/>
          <w:iCs/>
          <w:sz w:val="19"/>
          <w:szCs w:val="19"/>
        </w:rPr>
        <w:t xml:space="preserve"> </w:t>
      </w:r>
    </w:p>
    <w:p w14:paraId="3A474134" w14:textId="77777777" w:rsidR="00016FE1" w:rsidRPr="00FB73C7" w:rsidRDefault="00016FE1" w:rsidP="002B6227">
      <w:pPr>
        <w:ind w:left="851" w:right="283"/>
        <w:jc w:val="both"/>
        <w:rPr>
          <w:rFonts w:ascii="Gotham" w:hAnsi="Gotham" w:cs="Arial"/>
          <w:i/>
          <w:iCs/>
          <w:sz w:val="19"/>
          <w:szCs w:val="19"/>
        </w:rPr>
      </w:pPr>
    </w:p>
    <w:p w14:paraId="3A474135"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Los motivos por los cuales las personas encuestadas leen, corresponden con un 44.1 % a entretenimiento, 23.8 % por trabajo o estudio, 20.7 % por cultura general, 10.1 % por religión y 1.4 % por otro motivo.</w:t>
      </w:r>
    </w:p>
    <w:p w14:paraId="3A474136" w14:textId="77777777" w:rsidR="00016FE1" w:rsidRDefault="00016FE1" w:rsidP="002B6227">
      <w:pPr>
        <w:ind w:left="851" w:right="283"/>
        <w:jc w:val="both"/>
        <w:rPr>
          <w:rFonts w:ascii="Gotham" w:hAnsi="Gotham" w:cs="Arial"/>
          <w:i/>
          <w:iCs/>
          <w:sz w:val="19"/>
          <w:szCs w:val="19"/>
        </w:rPr>
      </w:pPr>
    </w:p>
    <w:p w14:paraId="3A474137" w14:textId="77777777" w:rsidR="00016FE1" w:rsidRPr="00FB73C7" w:rsidRDefault="00016FE1" w:rsidP="002B6227">
      <w:pPr>
        <w:ind w:left="851" w:right="283"/>
        <w:jc w:val="both"/>
        <w:rPr>
          <w:rFonts w:ascii="Gotham" w:hAnsi="Gotham" w:cs="Arial"/>
          <w:i/>
          <w:iCs/>
          <w:sz w:val="19"/>
          <w:szCs w:val="19"/>
        </w:rPr>
      </w:pPr>
      <w:r>
        <w:rPr>
          <w:rFonts w:ascii="Gotham" w:hAnsi="Gotham" w:cs="Arial"/>
          <w:i/>
          <w:iCs/>
          <w:sz w:val="19"/>
          <w:szCs w:val="19"/>
        </w:rPr>
        <w:t xml:space="preserve">Respeto a qué </w:t>
      </w:r>
      <w:r w:rsidRPr="00FB73C7">
        <w:rPr>
          <w:rFonts w:ascii="Gotham" w:hAnsi="Gotham" w:cs="Arial"/>
          <w:i/>
          <w:iCs/>
          <w:sz w:val="19"/>
          <w:szCs w:val="19"/>
        </w:rPr>
        <w:t>tipo de libros consume la población encuestada, 39.5%se destacaron por la literatura, 29.5 % libro d texto de uso universitario, 29.5 % libro de autoayuda, superación personal o religioso, 26.5 % cultura general 8.4 % manuales, guías o recetarios.</w:t>
      </w:r>
    </w:p>
    <w:p w14:paraId="3A474138" w14:textId="77777777" w:rsidR="00016FE1" w:rsidRDefault="00016FE1" w:rsidP="002B6227">
      <w:pPr>
        <w:ind w:left="851" w:right="283"/>
        <w:jc w:val="both"/>
        <w:rPr>
          <w:rFonts w:ascii="Gotham" w:hAnsi="Gotham" w:cs="Arial"/>
          <w:i/>
          <w:iCs/>
          <w:sz w:val="19"/>
          <w:szCs w:val="19"/>
        </w:rPr>
      </w:pPr>
    </w:p>
    <w:p w14:paraId="3A474139"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Por otro lado, la pandemia COVID- 19 trajo consigo múltiples repercusiones, entre las que se destaca el rezago educativo, en primer término, porque todos los modelos educativos durante la pandemia transitaron hacia las plataformas tecnológicas, esto se volvió restrictivo ya que no todos los estudiantes de todos los niveles (primaria, secundaria, bachillerato y nivel superior) contaban con una computadora o acceso a internet. En segundo término, porque no todos los estudiantes durante el tiempo que duro la pandemia desarrollaron el mismo nivel de aprendizaje, la consecuencia fue, que una vez que la pandemia concluyo y los estudiantes volvieron a las escuelas, el nivel de aprendizaje se encontraba muy disperso, dado el rezago educativo que existe, por ejemplo: en un salón de cuarto grado, se podía encontrar estudiantes rezagados con nivel de tercer grado.</w:t>
      </w:r>
    </w:p>
    <w:p w14:paraId="3A47413A" w14:textId="77777777" w:rsidR="00016FE1" w:rsidRDefault="00016FE1" w:rsidP="002B6227">
      <w:pPr>
        <w:ind w:left="851" w:right="283"/>
        <w:jc w:val="both"/>
        <w:rPr>
          <w:rFonts w:ascii="Gotham" w:hAnsi="Gotham" w:cs="Arial"/>
          <w:i/>
          <w:iCs/>
          <w:sz w:val="19"/>
          <w:szCs w:val="19"/>
        </w:rPr>
      </w:pPr>
    </w:p>
    <w:p w14:paraId="3A47413B"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 xml:space="preserve">Las medidas de nivelación fueron necesarias y en efecto es proceso que aun </w:t>
      </w:r>
      <w:proofErr w:type="spellStart"/>
      <w:r w:rsidRPr="00FB73C7">
        <w:rPr>
          <w:rFonts w:ascii="Gotham" w:hAnsi="Gotham" w:cs="Arial"/>
          <w:i/>
          <w:iCs/>
          <w:sz w:val="19"/>
          <w:szCs w:val="19"/>
        </w:rPr>
        <w:t>esta</w:t>
      </w:r>
      <w:proofErr w:type="spellEnd"/>
      <w:r w:rsidRPr="00FB73C7">
        <w:rPr>
          <w:rFonts w:ascii="Gotham" w:hAnsi="Gotham" w:cs="Arial"/>
          <w:i/>
          <w:iCs/>
          <w:sz w:val="19"/>
          <w:szCs w:val="19"/>
        </w:rPr>
        <w:t xml:space="preserve"> vigente buscando en todo momento el mejor desarrollo educativo de las niñas y niños.</w:t>
      </w:r>
    </w:p>
    <w:p w14:paraId="3A47413C" w14:textId="77777777" w:rsidR="00016FE1" w:rsidRDefault="00016FE1" w:rsidP="002B6227">
      <w:pPr>
        <w:ind w:left="851" w:right="283"/>
        <w:jc w:val="both"/>
        <w:rPr>
          <w:rFonts w:ascii="Gotham" w:hAnsi="Gotham" w:cs="Arial"/>
          <w:i/>
          <w:iCs/>
          <w:sz w:val="19"/>
          <w:szCs w:val="19"/>
        </w:rPr>
      </w:pPr>
    </w:p>
    <w:p w14:paraId="3A47413D"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Ante esta problemática la lectura comprensiva se vuelve una herramienta útil para lograr reducir el rezago educativo.</w:t>
      </w:r>
    </w:p>
    <w:p w14:paraId="3A47413E" w14:textId="77777777" w:rsidR="00016FE1" w:rsidRDefault="00016FE1" w:rsidP="002B6227">
      <w:pPr>
        <w:ind w:left="851" w:right="283"/>
        <w:jc w:val="both"/>
        <w:rPr>
          <w:rFonts w:ascii="Gotham" w:hAnsi="Gotham" w:cs="Arial"/>
          <w:i/>
          <w:iCs/>
          <w:sz w:val="19"/>
          <w:szCs w:val="19"/>
        </w:rPr>
      </w:pPr>
    </w:p>
    <w:p w14:paraId="3A47413F"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La comprensión lectora es una parte esencial en una alfabetización cultural correcta que permita al niño una incorporación a la sociedad y a la vida adulta. Esta debe estar englobada en diversos contextos y con tipos de textos variados que puedan empezar por la narrativa más significativa para los niños como son el cuento, y la poesía y continuar con textos más complejos cercanos a la ciencia.</w:t>
      </w:r>
    </w:p>
    <w:p w14:paraId="3A474140" w14:textId="77777777" w:rsidR="00016FE1" w:rsidRDefault="00016FE1" w:rsidP="002B6227">
      <w:pPr>
        <w:ind w:left="851" w:right="283"/>
        <w:jc w:val="both"/>
        <w:rPr>
          <w:rFonts w:ascii="Gotham" w:hAnsi="Gotham" w:cs="Arial"/>
          <w:i/>
          <w:iCs/>
          <w:sz w:val="19"/>
          <w:szCs w:val="19"/>
        </w:rPr>
      </w:pPr>
    </w:p>
    <w:p w14:paraId="3A474141"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Para el municipio de Tonalá, de acuerdo con el censo de población y vivienda 2020, había un total de 569,913 personas de los cuales, 45825 eran menores entre 0 y 4 años de edad, 54,020 de 5 a 9 años; 53,095 entre 10 y 14 años. Representando un 28.1 0/0 del total de la población del municipio.</w:t>
      </w:r>
    </w:p>
    <w:p w14:paraId="3A474142" w14:textId="77777777" w:rsidR="00016FE1" w:rsidRDefault="00016FE1" w:rsidP="002B6227">
      <w:pPr>
        <w:ind w:left="851" w:right="283"/>
        <w:jc w:val="both"/>
        <w:rPr>
          <w:rFonts w:ascii="Gotham" w:hAnsi="Gotham" w:cs="Arial"/>
          <w:i/>
          <w:iCs/>
          <w:sz w:val="19"/>
          <w:szCs w:val="19"/>
        </w:rPr>
      </w:pPr>
    </w:p>
    <w:p w14:paraId="3A474143"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lastRenderedPageBreak/>
        <w:t>Por ello la presente iniciativa propone que el municipio genere acciones encaminadas a desarrollar mejores habilidades en las niñas y niños de nuestro municipio a través de talleres de comprensión lectora, impartida por personal capacitado, en las bibliotecas públicas del municipio, mejorando la capacidad cultural de esta población en el mediano l largo plazo.</w:t>
      </w:r>
    </w:p>
    <w:p w14:paraId="3A474144" w14:textId="77777777" w:rsidR="00016FE1" w:rsidRDefault="00016FE1" w:rsidP="002B6227">
      <w:pPr>
        <w:ind w:left="851" w:right="283"/>
        <w:jc w:val="both"/>
        <w:rPr>
          <w:rFonts w:ascii="Gotham" w:hAnsi="Gotham" w:cs="Arial"/>
          <w:i/>
          <w:iCs/>
          <w:sz w:val="19"/>
          <w:szCs w:val="19"/>
        </w:rPr>
      </w:pPr>
    </w:p>
    <w:p w14:paraId="3A474145"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Con estas acciones se estará combatiendo una de las grandes deficiencias en el aprendizaje que traen como consecuencia el rezago educativo en la niñez de nuestro municipio, beneficiando a una población objetivo de 54,000 niñas y niños- en cuanto al beneficio social y cultural como se ha hecho mención son de mediano y largo plazo, estos comprenden hábitos de lectura, es decir se incrementaría la cantidad de población que tenga este hábito, y como lo muestra el “Modulo sobre Lectura” la población que más lee son quienes tienen mayor grado de estudios, por lo que existe la probabilidad de que las niñas y niños que participen activamente en estos talleres, decidan estudiar alguna carrera o licenciatura, lo que significa una población más preparada con mejor acceso a oportunidades(beneficio social, educativo, cultural, humano, intelectual).</w:t>
      </w:r>
    </w:p>
    <w:p w14:paraId="3A474146" w14:textId="77777777" w:rsidR="00016FE1" w:rsidRPr="00FB73C7" w:rsidRDefault="00016FE1" w:rsidP="002B6227">
      <w:pPr>
        <w:ind w:left="851" w:right="283"/>
        <w:jc w:val="both"/>
        <w:rPr>
          <w:rFonts w:ascii="Gotham" w:hAnsi="Gotham" w:cs="Arial"/>
          <w:i/>
          <w:iCs/>
          <w:sz w:val="19"/>
          <w:szCs w:val="19"/>
        </w:rPr>
      </w:pPr>
    </w:p>
    <w:p w14:paraId="3A474147" w14:textId="77777777" w:rsidR="00016FE1" w:rsidRPr="00FB73C7" w:rsidRDefault="00016FE1" w:rsidP="002B6227">
      <w:pPr>
        <w:ind w:left="851" w:right="283"/>
        <w:jc w:val="both"/>
        <w:rPr>
          <w:rFonts w:ascii="Gotham" w:hAnsi="Gotham" w:cs="Arial"/>
          <w:i/>
          <w:iCs/>
          <w:sz w:val="19"/>
          <w:szCs w:val="19"/>
        </w:rPr>
      </w:pPr>
      <w:r w:rsidRPr="00FB73C7">
        <w:rPr>
          <w:rFonts w:ascii="Gotham" w:hAnsi="Gotham" w:cs="Arial"/>
          <w:i/>
          <w:iCs/>
          <w:sz w:val="19"/>
          <w:szCs w:val="19"/>
        </w:rPr>
        <w:t>Por lo anteriormente expuesto y fundado, someto a la consideración del pleno del ayuntamiento el siguiente punto de:</w:t>
      </w:r>
    </w:p>
    <w:p w14:paraId="3A474148" w14:textId="77777777" w:rsidR="00016FE1" w:rsidRPr="00FB73C7" w:rsidRDefault="00016FE1" w:rsidP="002B6227">
      <w:pPr>
        <w:ind w:left="851" w:right="283"/>
        <w:jc w:val="both"/>
        <w:rPr>
          <w:rFonts w:ascii="Gotham" w:hAnsi="Gotham" w:cs="Arial"/>
          <w:i/>
          <w:iCs/>
          <w:sz w:val="19"/>
          <w:szCs w:val="19"/>
        </w:rPr>
      </w:pPr>
    </w:p>
    <w:p w14:paraId="3A474149" w14:textId="77777777" w:rsidR="00016FE1" w:rsidRPr="00A8064C" w:rsidRDefault="00016FE1" w:rsidP="002B6227">
      <w:pPr>
        <w:ind w:left="851" w:right="283"/>
        <w:jc w:val="center"/>
        <w:rPr>
          <w:rFonts w:ascii="Gotham" w:hAnsi="Gotham" w:cs="Arial"/>
          <w:i/>
          <w:iCs/>
          <w:sz w:val="19"/>
          <w:szCs w:val="19"/>
        </w:rPr>
      </w:pPr>
      <w:r w:rsidRPr="00A8064C">
        <w:rPr>
          <w:rFonts w:ascii="Gotham" w:hAnsi="Gotham" w:cs="Arial"/>
          <w:i/>
          <w:iCs/>
          <w:sz w:val="19"/>
          <w:szCs w:val="19"/>
        </w:rPr>
        <w:t>ACUERDO MUNICIPAL:</w:t>
      </w:r>
    </w:p>
    <w:p w14:paraId="3A47414A" w14:textId="77777777" w:rsidR="00016FE1" w:rsidRPr="00A8064C" w:rsidRDefault="00016FE1" w:rsidP="002B6227">
      <w:pPr>
        <w:ind w:left="851" w:right="283"/>
        <w:jc w:val="center"/>
        <w:rPr>
          <w:rFonts w:ascii="Gotham" w:hAnsi="Gotham" w:cs="Arial"/>
          <w:i/>
          <w:iCs/>
          <w:sz w:val="19"/>
          <w:szCs w:val="19"/>
        </w:rPr>
      </w:pPr>
    </w:p>
    <w:p w14:paraId="3A47414B"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PRIMERO. - Se apruebe el turno a la Comisión Edilicia de Bienestar, Desarrollo, Asistencia Social y Familiar para el estudio, análisis y dictaminación, de la presente iniciativa que tiene como propósito la implementación de talleres de comprensión lectora bajo el método de lectura rápida en nuestro municipio en beneficio de niñas y niños del municipio de Tonalá, Jalisco.</w:t>
      </w:r>
    </w:p>
    <w:p w14:paraId="3A47414C" w14:textId="77777777" w:rsidR="00016FE1" w:rsidRPr="00A8064C" w:rsidRDefault="00016FE1" w:rsidP="002B6227">
      <w:pPr>
        <w:ind w:left="851" w:right="283"/>
        <w:jc w:val="both"/>
        <w:rPr>
          <w:rFonts w:ascii="Gotham" w:hAnsi="Gotham" w:cs="Arial"/>
          <w:i/>
          <w:iCs/>
          <w:sz w:val="19"/>
          <w:szCs w:val="19"/>
        </w:rPr>
      </w:pPr>
    </w:p>
    <w:p w14:paraId="3A47414D"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SEGUNDO. - Se incorpore al Síndico Municipal en el estudio del presente acuerdo municipal.</w:t>
      </w:r>
    </w:p>
    <w:p w14:paraId="3A47414E" w14:textId="77777777" w:rsidR="00016FE1" w:rsidRPr="00A8064C" w:rsidRDefault="00016FE1" w:rsidP="002B6227">
      <w:pPr>
        <w:ind w:left="851" w:right="283"/>
        <w:jc w:val="both"/>
        <w:rPr>
          <w:rFonts w:ascii="Gotham" w:hAnsi="Gotham" w:cs="Arial"/>
          <w:i/>
          <w:iCs/>
          <w:sz w:val="19"/>
          <w:szCs w:val="19"/>
        </w:rPr>
      </w:pPr>
    </w:p>
    <w:p w14:paraId="3A47414F" w14:textId="77777777" w:rsidR="00016FE1" w:rsidRPr="00FB73C7" w:rsidRDefault="00016FE1" w:rsidP="002B6227">
      <w:pPr>
        <w:ind w:left="851" w:right="283"/>
        <w:jc w:val="both"/>
        <w:rPr>
          <w:rFonts w:ascii="Gotham" w:hAnsi="Gotham" w:cs="Arial"/>
          <w:i/>
          <w:iCs/>
          <w:sz w:val="19"/>
          <w:szCs w:val="19"/>
        </w:rPr>
      </w:pPr>
      <w:r w:rsidRPr="00A8064C">
        <w:rPr>
          <w:rFonts w:ascii="Gotham" w:hAnsi="Gotham" w:cs="Arial"/>
          <w:i/>
          <w:iCs/>
          <w:sz w:val="19"/>
          <w:szCs w:val="19"/>
        </w:rPr>
        <w:t>TERCERO. - Se faculta al Presidente Municipal, Sindico del Ayuntamiento y a la Secretaria General para que suscriban la documentación necesaria</w:t>
      </w:r>
      <w:r w:rsidRPr="00FB73C7">
        <w:rPr>
          <w:rFonts w:ascii="Gotham" w:hAnsi="Gotham" w:cs="Arial"/>
          <w:i/>
          <w:iCs/>
          <w:sz w:val="19"/>
          <w:szCs w:val="19"/>
        </w:rPr>
        <w:t xml:space="preserve"> en cumplimiento al presente Decreto Municipal.</w:t>
      </w:r>
    </w:p>
    <w:p w14:paraId="3A474150" w14:textId="77777777" w:rsidR="00016FE1" w:rsidRPr="00216B5E" w:rsidRDefault="00016FE1" w:rsidP="002B6227">
      <w:pPr>
        <w:jc w:val="both"/>
        <w:rPr>
          <w:rFonts w:ascii="Gotham" w:hAnsi="Gotham"/>
          <w:color w:val="000000" w:themeColor="text1"/>
          <w:sz w:val="20"/>
          <w:szCs w:val="20"/>
        </w:rPr>
      </w:pPr>
    </w:p>
    <w:p w14:paraId="3A474151" w14:textId="77777777" w:rsidR="00016FE1" w:rsidRPr="00216B5E" w:rsidRDefault="00016FE1" w:rsidP="002B6227">
      <w:pPr>
        <w:jc w:val="both"/>
        <w:rPr>
          <w:rFonts w:ascii="Gotham" w:hAnsi="Gotham"/>
          <w:color w:val="000000" w:themeColor="text1"/>
          <w:sz w:val="20"/>
          <w:szCs w:val="20"/>
        </w:rPr>
      </w:pPr>
      <w:r w:rsidRPr="00216B5E">
        <w:rPr>
          <w:rFonts w:ascii="Gotham" w:hAnsi="Gotham"/>
          <w:color w:val="000000" w:themeColor="text1"/>
          <w:sz w:val="20"/>
          <w:szCs w:val="20"/>
        </w:rPr>
        <w:t xml:space="preserve">En virtud de lo anteriormente expuesto y fundado las comisiones a quienes fue turnada la presente iniciativa les resulta procedente señalar las siguientes: </w:t>
      </w:r>
    </w:p>
    <w:p w14:paraId="3A474152" w14:textId="77777777" w:rsidR="00016FE1" w:rsidRPr="00216B5E" w:rsidRDefault="00016FE1" w:rsidP="002B6227">
      <w:pPr>
        <w:jc w:val="both"/>
        <w:rPr>
          <w:rFonts w:ascii="Gotham" w:hAnsi="Gotham"/>
          <w:color w:val="000000" w:themeColor="text1"/>
          <w:sz w:val="20"/>
          <w:szCs w:val="20"/>
        </w:rPr>
      </w:pPr>
    </w:p>
    <w:p w14:paraId="3A474153" w14:textId="77777777" w:rsidR="00016FE1" w:rsidRPr="00216B5E" w:rsidRDefault="00016FE1" w:rsidP="002B6227">
      <w:pPr>
        <w:jc w:val="center"/>
        <w:rPr>
          <w:rFonts w:ascii="Gotham" w:hAnsi="Gotham"/>
          <w:color w:val="000000" w:themeColor="text1"/>
          <w:sz w:val="20"/>
          <w:szCs w:val="20"/>
        </w:rPr>
      </w:pPr>
      <w:r w:rsidRPr="00216B5E">
        <w:rPr>
          <w:rFonts w:ascii="Gotham" w:hAnsi="Gotham"/>
          <w:color w:val="000000" w:themeColor="text1"/>
          <w:sz w:val="20"/>
          <w:szCs w:val="20"/>
        </w:rPr>
        <w:t>II.- CONSIDERACIONES</w:t>
      </w:r>
    </w:p>
    <w:p w14:paraId="3A474154" w14:textId="77777777" w:rsidR="00016FE1" w:rsidRPr="00216B5E" w:rsidRDefault="00016FE1" w:rsidP="002B6227">
      <w:pPr>
        <w:jc w:val="both"/>
        <w:rPr>
          <w:rFonts w:ascii="Gotham" w:hAnsi="Gotham"/>
          <w:color w:val="000000" w:themeColor="text1"/>
          <w:sz w:val="20"/>
          <w:szCs w:val="20"/>
        </w:rPr>
      </w:pPr>
    </w:p>
    <w:p w14:paraId="3A474155" w14:textId="77777777" w:rsidR="00016FE1" w:rsidRPr="00216B5E" w:rsidRDefault="00016FE1" w:rsidP="002B6227">
      <w:pPr>
        <w:ind w:left="567" w:hanging="567"/>
        <w:jc w:val="both"/>
        <w:rPr>
          <w:rFonts w:ascii="Gotham" w:hAnsi="Gotham"/>
          <w:color w:val="000000" w:themeColor="text1"/>
          <w:sz w:val="20"/>
          <w:szCs w:val="20"/>
        </w:rPr>
      </w:pPr>
      <w:r w:rsidRPr="00216B5E">
        <w:rPr>
          <w:rFonts w:ascii="Gotham" w:hAnsi="Gotham"/>
          <w:color w:val="000000" w:themeColor="text1"/>
          <w:sz w:val="20"/>
          <w:szCs w:val="20"/>
        </w:rPr>
        <w:t xml:space="preserve">1.- </w:t>
      </w:r>
      <w:r>
        <w:rPr>
          <w:rFonts w:ascii="Gotham" w:hAnsi="Gotham"/>
          <w:color w:val="000000" w:themeColor="text1"/>
          <w:sz w:val="20"/>
          <w:szCs w:val="20"/>
        </w:rPr>
        <w:tab/>
      </w:r>
      <w:r w:rsidRPr="00216B5E">
        <w:rPr>
          <w:rFonts w:ascii="Gotham" w:hAnsi="Gotham"/>
          <w:color w:val="000000" w:themeColor="text1"/>
          <w:sz w:val="20"/>
          <w:szCs w:val="20"/>
        </w:rPr>
        <w:t>Los que suscribimos exponemos, el resultado del estudio, análisis y resolución del acuerdo 1056 turnado a las Comisión Edilicia de Bienestar, Desarrollo, Asistencia Social y Familiar, en conjunto con la Comisión Edilicia de Cultura, Educación e Innovación Tecnológica, en términos del artículo 93 del Reglamento de Gobierno y la Administración Publica del Ayuntamiento Constitucional de Tonalá Jalisco, que a la letra reza:</w:t>
      </w:r>
    </w:p>
    <w:p w14:paraId="3A474156" w14:textId="77777777" w:rsidR="00016FE1" w:rsidRPr="00216B5E" w:rsidRDefault="00016FE1" w:rsidP="002B6227">
      <w:pPr>
        <w:jc w:val="both"/>
        <w:rPr>
          <w:rFonts w:ascii="Gotham" w:hAnsi="Gotham"/>
          <w:color w:val="000000" w:themeColor="text1"/>
          <w:sz w:val="20"/>
          <w:szCs w:val="20"/>
        </w:rPr>
      </w:pPr>
    </w:p>
    <w:p w14:paraId="3A474157" w14:textId="77777777" w:rsidR="00016FE1" w:rsidRPr="00E81604" w:rsidRDefault="00016FE1" w:rsidP="002B6227">
      <w:pPr>
        <w:spacing w:after="120"/>
        <w:ind w:left="851" w:right="283"/>
        <w:jc w:val="both"/>
        <w:rPr>
          <w:rFonts w:ascii="Gotham" w:hAnsi="Gotham" w:cs="Arial"/>
          <w:i/>
          <w:iCs/>
          <w:sz w:val="19"/>
          <w:szCs w:val="19"/>
        </w:rPr>
      </w:pPr>
      <w:r w:rsidRPr="00E81604">
        <w:rPr>
          <w:rFonts w:ascii="Gotham" w:hAnsi="Gotham" w:cs="Arial"/>
          <w:i/>
          <w:iCs/>
          <w:sz w:val="19"/>
          <w:szCs w:val="19"/>
        </w:rPr>
        <w:t xml:space="preserve">Artículo 93.- Las comisiones edilicias tienen las siguientes atribuciones: </w:t>
      </w:r>
    </w:p>
    <w:p w14:paraId="3A474158" w14:textId="77777777" w:rsidR="00016FE1" w:rsidRPr="003556BC" w:rsidRDefault="00016FE1" w:rsidP="002B6227">
      <w:pPr>
        <w:spacing w:after="120"/>
        <w:ind w:left="1276" w:right="283" w:hanging="425"/>
        <w:jc w:val="both"/>
        <w:rPr>
          <w:rFonts w:ascii="Gotham" w:hAnsi="Gotham" w:cs="Arial"/>
          <w:i/>
          <w:iCs/>
          <w:sz w:val="19"/>
          <w:szCs w:val="19"/>
        </w:rPr>
      </w:pPr>
      <w:r>
        <w:rPr>
          <w:rFonts w:ascii="Gotham" w:hAnsi="Gotham" w:cs="Arial"/>
          <w:i/>
          <w:iCs/>
          <w:sz w:val="19"/>
          <w:szCs w:val="19"/>
        </w:rPr>
        <w:t xml:space="preserve">I. </w:t>
      </w:r>
      <w:r>
        <w:rPr>
          <w:rFonts w:ascii="Gotham" w:hAnsi="Gotham" w:cs="Arial"/>
          <w:i/>
          <w:iCs/>
          <w:sz w:val="19"/>
          <w:szCs w:val="19"/>
        </w:rPr>
        <w:tab/>
      </w:r>
      <w:r w:rsidRPr="003556BC">
        <w:rPr>
          <w:rFonts w:ascii="Gotham" w:hAnsi="Gotham" w:cs="Arial"/>
          <w:i/>
          <w:iCs/>
          <w:sz w:val="19"/>
          <w:szCs w:val="19"/>
        </w:rPr>
        <w:t xml:space="preserve">Recibir, estudiar, analizar, discutir y dictaminar los asuntos turnados por el Ayuntamiento; </w:t>
      </w:r>
    </w:p>
    <w:p w14:paraId="3A474159" w14:textId="77777777" w:rsidR="00016FE1" w:rsidRPr="003556BC" w:rsidRDefault="00016FE1" w:rsidP="002B6227">
      <w:pPr>
        <w:ind w:left="1276" w:right="283" w:hanging="425"/>
        <w:jc w:val="both"/>
        <w:rPr>
          <w:rFonts w:ascii="Gotham" w:hAnsi="Gotham" w:cs="Arial"/>
          <w:i/>
          <w:iCs/>
          <w:sz w:val="19"/>
          <w:szCs w:val="19"/>
        </w:rPr>
      </w:pPr>
      <w:r>
        <w:rPr>
          <w:rFonts w:ascii="Gotham" w:hAnsi="Gotham" w:cs="Arial"/>
          <w:i/>
          <w:iCs/>
          <w:sz w:val="19"/>
          <w:szCs w:val="19"/>
        </w:rPr>
        <w:t>II.</w:t>
      </w:r>
      <w:r>
        <w:rPr>
          <w:rFonts w:ascii="Gotham" w:hAnsi="Gotham" w:cs="Arial"/>
          <w:i/>
          <w:iCs/>
          <w:sz w:val="19"/>
          <w:szCs w:val="19"/>
        </w:rPr>
        <w:tab/>
      </w:r>
      <w:r w:rsidRPr="003556BC">
        <w:rPr>
          <w:rFonts w:ascii="Gotham" w:hAnsi="Gotham" w:cs="Arial"/>
          <w:i/>
          <w:iCs/>
          <w:sz w:val="19"/>
          <w:szCs w:val="19"/>
        </w:rPr>
        <w:t>Presentar al Ayuntamiento los dictámenes e informes, resultados de sus trabajos e investigaciones y demás documentos relativos a los asuntos que les son turnados;</w:t>
      </w:r>
      <w:r w:rsidR="00B76E88">
        <w:rPr>
          <w:rFonts w:ascii="Gotham" w:hAnsi="Gotham" w:cs="Arial"/>
          <w:i/>
          <w:iCs/>
          <w:sz w:val="19"/>
          <w:szCs w:val="19"/>
        </w:rPr>
        <w:t xml:space="preserve"> </w:t>
      </w:r>
      <w:r w:rsidRPr="003556BC">
        <w:rPr>
          <w:rFonts w:ascii="Gotham" w:hAnsi="Gotham" w:cs="Arial"/>
          <w:i/>
          <w:iCs/>
          <w:sz w:val="19"/>
          <w:szCs w:val="19"/>
        </w:rPr>
        <w:t xml:space="preserve"> </w:t>
      </w:r>
    </w:p>
    <w:p w14:paraId="3A47415A" w14:textId="77777777" w:rsidR="00016FE1" w:rsidRPr="00216B5E" w:rsidRDefault="00016FE1" w:rsidP="002B6227">
      <w:pPr>
        <w:ind w:left="567" w:hanging="567"/>
        <w:jc w:val="both"/>
        <w:rPr>
          <w:rFonts w:ascii="Gotham" w:hAnsi="Gotham"/>
          <w:color w:val="000000" w:themeColor="text1"/>
          <w:sz w:val="20"/>
          <w:szCs w:val="20"/>
        </w:rPr>
      </w:pPr>
    </w:p>
    <w:p w14:paraId="3A47415B" w14:textId="77777777" w:rsidR="00016FE1" w:rsidRPr="00216B5E" w:rsidRDefault="00016FE1" w:rsidP="002B6227">
      <w:pPr>
        <w:ind w:left="567" w:hanging="567"/>
        <w:jc w:val="both"/>
        <w:rPr>
          <w:rFonts w:ascii="Gotham" w:hAnsi="Gotham"/>
          <w:color w:val="000000" w:themeColor="text1"/>
          <w:sz w:val="20"/>
          <w:szCs w:val="20"/>
        </w:rPr>
      </w:pPr>
      <w:r w:rsidRPr="00216B5E">
        <w:rPr>
          <w:rFonts w:ascii="Gotham" w:hAnsi="Gotham"/>
          <w:color w:val="000000" w:themeColor="text1"/>
          <w:sz w:val="20"/>
          <w:szCs w:val="20"/>
        </w:rPr>
        <w:t xml:space="preserve">2.- </w:t>
      </w:r>
      <w:r>
        <w:rPr>
          <w:rFonts w:ascii="Gotham" w:hAnsi="Gotham"/>
          <w:color w:val="000000" w:themeColor="text1"/>
          <w:sz w:val="20"/>
          <w:szCs w:val="20"/>
        </w:rPr>
        <w:tab/>
      </w:r>
      <w:r w:rsidRPr="00216B5E">
        <w:rPr>
          <w:rFonts w:ascii="Gotham" w:hAnsi="Gotham"/>
          <w:color w:val="000000" w:themeColor="text1"/>
          <w:sz w:val="20"/>
          <w:szCs w:val="20"/>
        </w:rPr>
        <w:t xml:space="preserve">De conformidad con el artículo 83 del Reglamento para el Funcionamiento interno de Sesiones del Ayuntamiento Constitucional de Tonalá, Jalisco, la iniciativa en estudio cumple con los requisitos formales establecidos en dicho ordenamiento, por lo que previo al análisis de la iniciativa materia del presente dictamen es importante hacer referencia a lo ordenado por la </w:t>
      </w:r>
      <w:r w:rsidRPr="00216B5E">
        <w:rPr>
          <w:rFonts w:ascii="Gotham" w:hAnsi="Gotham"/>
          <w:color w:val="000000" w:themeColor="text1"/>
          <w:sz w:val="20"/>
          <w:szCs w:val="20"/>
        </w:rPr>
        <w:lastRenderedPageBreak/>
        <w:t>Constitución Política de los Estados Unidos Mexicanos, en su artículo 115, fracción II, en el cual establece que cada municipio será gobernado por un Ayuntamiento y que su competencia la ejercerá de manera exclusiva el Ayuntamiento y no habrá autoridad intermedia alguna entre este y el Gobierno</w:t>
      </w:r>
      <w:r w:rsidR="00B76E88">
        <w:rPr>
          <w:rFonts w:ascii="Gotham" w:hAnsi="Gotham"/>
          <w:color w:val="000000" w:themeColor="text1"/>
          <w:sz w:val="20"/>
          <w:szCs w:val="20"/>
        </w:rPr>
        <w:t xml:space="preserve"> </w:t>
      </w:r>
      <w:r w:rsidRPr="00216B5E">
        <w:rPr>
          <w:rFonts w:ascii="Gotham" w:hAnsi="Gotham"/>
          <w:color w:val="000000" w:themeColor="text1"/>
          <w:sz w:val="20"/>
          <w:szCs w:val="20"/>
        </w:rPr>
        <w:t xml:space="preserve">del Estado: </w:t>
      </w:r>
    </w:p>
    <w:p w14:paraId="3A47415C" w14:textId="77777777" w:rsidR="00016FE1" w:rsidRPr="00216B5E" w:rsidRDefault="00016FE1" w:rsidP="002B6227">
      <w:pPr>
        <w:ind w:left="567" w:hanging="567"/>
        <w:jc w:val="both"/>
        <w:rPr>
          <w:rFonts w:ascii="Gotham" w:hAnsi="Gotham"/>
          <w:color w:val="000000" w:themeColor="text1"/>
          <w:sz w:val="20"/>
          <w:szCs w:val="20"/>
        </w:rPr>
      </w:pPr>
    </w:p>
    <w:p w14:paraId="3A47415D" w14:textId="77777777" w:rsidR="00016FE1" w:rsidRPr="00E81604" w:rsidRDefault="00016FE1" w:rsidP="002B6227">
      <w:pPr>
        <w:ind w:left="851" w:right="283"/>
        <w:jc w:val="both"/>
        <w:rPr>
          <w:rFonts w:ascii="Gotham" w:hAnsi="Gotham" w:cs="Arial"/>
          <w:i/>
          <w:iCs/>
          <w:sz w:val="19"/>
          <w:szCs w:val="19"/>
        </w:rPr>
      </w:pPr>
      <w:r w:rsidRPr="00E81604">
        <w:rPr>
          <w:rFonts w:ascii="Gotham" w:hAnsi="Gotham" w:cs="Arial"/>
          <w:i/>
          <w:iCs/>
          <w:sz w:val="19"/>
          <w:szCs w:val="19"/>
        </w:rPr>
        <w:t>“Los estados adoptaran, para su régimen interior, la forma de gobierno republicano, representativo, democrático, laico y popular, teniendo como base de su división territorial y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este y el gobierno del Estado…”.</w:t>
      </w:r>
    </w:p>
    <w:p w14:paraId="3A47415E" w14:textId="77777777" w:rsidR="00016FE1" w:rsidRPr="00216B5E" w:rsidRDefault="00016FE1" w:rsidP="002B6227">
      <w:pPr>
        <w:ind w:left="567" w:hanging="567"/>
        <w:jc w:val="both"/>
        <w:rPr>
          <w:rFonts w:ascii="Gotham" w:hAnsi="Gotham"/>
          <w:color w:val="000000" w:themeColor="text1"/>
          <w:sz w:val="20"/>
          <w:szCs w:val="20"/>
        </w:rPr>
      </w:pPr>
    </w:p>
    <w:p w14:paraId="3A47415F" w14:textId="77777777" w:rsidR="00016FE1" w:rsidRPr="00216B5E" w:rsidRDefault="00016FE1" w:rsidP="002B6227">
      <w:pPr>
        <w:ind w:left="567" w:hanging="567"/>
        <w:jc w:val="both"/>
        <w:rPr>
          <w:rFonts w:ascii="Gotham" w:hAnsi="Gotham"/>
          <w:color w:val="000000" w:themeColor="text1"/>
          <w:sz w:val="20"/>
          <w:szCs w:val="20"/>
        </w:rPr>
      </w:pPr>
      <w:r w:rsidRPr="00216B5E">
        <w:rPr>
          <w:rFonts w:ascii="Gotham" w:hAnsi="Gotham"/>
          <w:color w:val="000000" w:themeColor="text1"/>
          <w:sz w:val="20"/>
          <w:szCs w:val="20"/>
        </w:rPr>
        <w:t xml:space="preserve">3.- </w:t>
      </w:r>
      <w:r>
        <w:rPr>
          <w:rFonts w:ascii="Gotham" w:hAnsi="Gotham"/>
          <w:color w:val="000000" w:themeColor="text1"/>
          <w:sz w:val="20"/>
          <w:szCs w:val="20"/>
        </w:rPr>
        <w:tab/>
      </w:r>
      <w:r w:rsidRPr="00216B5E">
        <w:rPr>
          <w:rFonts w:ascii="Gotham" w:hAnsi="Gotham"/>
          <w:color w:val="000000" w:themeColor="text1"/>
          <w:sz w:val="20"/>
          <w:szCs w:val="20"/>
        </w:rPr>
        <w:t xml:space="preserve">Que la Constitución Política del Estado de Jalisco, en su numeral 73, establece que los Municipios estarán investidos de personalidad jurídica y patrimonio propios: </w:t>
      </w:r>
    </w:p>
    <w:p w14:paraId="3A474160" w14:textId="77777777" w:rsidR="00016FE1" w:rsidRPr="00216B5E" w:rsidRDefault="00016FE1" w:rsidP="002B6227">
      <w:pPr>
        <w:ind w:left="567" w:hanging="567"/>
        <w:jc w:val="both"/>
        <w:rPr>
          <w:rFonts w:ascii="Gotham" w:hAnsi="Gotham"/>
          <w:color w:val="000000" w:themeColor="text1"/>
          <w:sz w:val="20"/>
          <w:szCs w:val="20"/>
        </w:rPr>
      </w:pPr>
    </w:p>
    <w:p w14:paraId="3A474161" w14:textId="77777777" w:rsidR="00016FE1" w:rsidRPr="00E81604" w:rsidRDefault="00016FE1" w:rsidP="002B6227">
      <w:pPr>
        <w:ind w:left="851" w:right="283"/>
        <w:jc w:val="both"/>
        <w:rPr>
          <w:rFonts w:ascii="Gotham" w:hAnsi="Gotham" w:cs="Arial"/>
          <w:i/>
          <w:iCs/>
          <w:sz w:val="19"/>
          <w:szCs w:val="19"/>
        </w:rPr>
      </w:pPr>
      <w:r w:rsidRPr="00E81604">
        <w:rPr>
          <w:rFonts w:ascii="Gotham" w:hAnsi="Gotham" w:cs="Arial"/>
          <w:i/>
          <w:iCs/>
          <w:sz w:val="19"/>
          <w:szCs w:val="19"/>
        </w:rPr>
        <w:t xml:space="preserve">“El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A474162" w14:textId="77777777" w:rsidR="00016FE1" w:rsidRPr="00216B5E" w:rsidRDefault="00016FE1" w:rsidP="002B6227">
      <w:pPr>
        <w:ind w:left="567" w:hanging="567"/>
        <w:jc w:val="both"/>
        <w:rPr>
          <w:rFonts w:ascii="Gotham" w:hAnsi="Gotham"/>
          <w:color w:val="000000" w:themeColor="text1"/>
          <w:sz w:val="20"/>
          <w:szCs w:val="20"/>
        </w:rPr>
      </w:pPr>
    </w:p>
    <w:p w14:paraId="3A474163" w14:textId="77777777" w:rsidR="00016FE1" w:rsidRPr="00216B5E" w:rsidRDefault="00016FE1" w:rsidP="002B6227">
      <w:pPr>
        <w:ind w:left="567" w:hanging="567"/>
        <w:jc w:val="both"/>
        <w:rPr>
          <w:rFonts w:ascii="Gotham" w:hAnsi="Gotham"/>
          <w:color w:val="000000" w:themeColor="text1"/>
          <w:sz w:val="20"/>
          <w:szCs w:val="20"/>
        </w:rPr>
      </w:pPr>
      <w:r w:rsidRPr="00216B5E">
        <w:rPr>
          <w:rFonts w:ascii="Gotham" w:hAnsi="Gotham"/>
          <w:color w:val="000000" w:themeColor="text1"/>
          <w:sz w:val="20"/>
          <w:szCs w:val="20"/>
        </w:rPr>
        <w:t xml:space="preserve">4.- </w:t>
      </w:r>
      <w:r>
        <w:rPr>
          <w:rFonts w:ascii="Gotham" w:hAnsi="Gotham"/>
          <w:color w:val="000000" w:themeColor="text1"/>
          <w:sz w:val="20"/>
          <w:szCs w:val="20"/>
        </w:rPr>
        <w:tab/>
      </w:r>
      <w:r w:rsidRPr="00216B5E">
        <w:rPr>
          <w:rFonts w:ascii="Gotham" w:hAnsi="Gotham"/>
          <w:color w:val="000000" w:themeColor="text1"/>
          <w:sz w:val="20"/>
          <w:szCs w:val="20"/>
        </w:rPr>
        <w:t>En ese mismo orden de ideas y en el Reglamento de Gobierno atento a lo dispuesto en el Capítulo II De las Facultades del Ayuntamiento en su Artículo 53 Además de lo establecido en la legislación y normatividad aplicable, son facultades y obligaciones del Ayuntamiento, las siguientes:</w:t>
      </w:r>
    </w:p>
    <w:p w14:paraId="3A474164" w14:textId="77777777" w:rsidR="00016FE1" w:rsidRPr="00216B5E" w:rsidRDefault="00016FE1" w:rsidP="002B6227">
      <w:pPr>
        <w:ind w:left="567" w:hanging="567"/>
        <w:jc w:val="both"/>
        <w:rPr>
          <w:rFonts w:ascii="Gotham" w:hAnsi="Gotham"/>
          <w:color w:val="000000" w:themeColor="text1"/>
          <w:sz w:val="20"/>
          <w:szCs w:val="20"/>
        </w:rPr>
      </w:pPr>
    </w:p>
    <w:p w14:paraId="3A474165" w14:textId="77777777" w:rsidR="00016FE1" w:rsidRPr="00E81604" w:rsidRDefault="00016FE1" w:rsidP="002B6227">
      <w:pPr>
        <w:ind w:left="1276" w:right="283" w:hanging="425"/>
        <w:jc w:val="both"/>
        <w:rPr>
          <w:rFonts w:ascii="Gotham" w:hAnsi="Gotham" w:cs="Arial"/>
          <w:i/>
          <w:iCs/>
          <w:sz w:val="19"/>
          <w:szCs w:val="19"/>
        </w:rPr>
      </w:pPr>
      <w:r w:rsidRPr="00E81604">
        <w:rPr>
          <w:rFonts w:ascii="Gotham" w:hAnsi="Gotham" w:cs="Arial"/>
          <w:i/>
          <w:iCs/>
          <w:sz w:val="19"/>
          <w:szCs w:val="19"/>
        </w:rPr>
        <w:t xml:space="preserve">I. </w:t>
      </w:r>
      <w:r>
        <w:rPr>
          <w:rFonts w:ascii="Gotham" w:hAnsi="Gotham" w:cs="Arial"/>
          <w:i/>
          <w:iCs/>
          <w:sz w:val="19"/>
          <w:szCs w:val="19"/>
        </w:rPr>
        <w:tab/>
      </w:r>
      <w:r w:rsidRPr="00E81604">
        <w:rPr>
          <w:rFonts w:ascii="Gotham" w:hAnsi="Gotham" w:cs="Arial"/>
          <w:i/>
          <w:iCs/>
          <w:sz w:val="19"/>
          <w:szCs w:val="19"/>
        </w:rPr>
        <w:t>Prestar los servicios públicos municipales en condiciones de equidad y calidad, y conforme a la posibilidad presupuestal del municipio;</w:t>
      </w:r>
    </w:p>
    <w:p w14:paraId="3A474166" w14:textId="77777777" w:rsidR="00016FE1" w:rsidRPr="00216B5E" w:rsidRDefault="00016FE1" w:rsidP="002B6227">
      <w:pPr>
        <w:ind w:left="567"/>
        <w:jc w:val="both"/>
        <w:rPr>
          <w:rFonts w:ascii="Gotham" w:hAnsi="Gotham"/>
          <w:color w:val="000000" w:themeColor="text1"/>
          <w:sz w:val="20"/>
          <w:szCs w:val="20"/>
        </w:rPr>
      </w:pPr>
    </w:p>
    <w:p w14:paraId="3A474167" w14:textId="77777777" w:rsidR="00016FE1" w:rsidRPr="00216B5E" w:rsidRDefault="00016FE1" w:rsidP="002B6227">
      <w:pPr>
        <w:ind w:left="567"/>
        <w:jc w:val="both"/>
        <w:rPr>
          <w:rFonts w:ascii="Gotham" w:hAnsi="Gotham"/>
          <w:color w:val="000000" w:themeColor="text1"/>
          <w:sz w:val="20"/>
          <w:szCs w:val="20"/>
        </w:rPr>
      </w:pPr>
      <w:r w:rsidRPr="00216B5E">
        <w:rPr>
          <w:rFonts w:ascii="Gotham" w:hAnsi="Gotham"/>
          <w:color w:val="000000" w:themeColor="text1"/>
          <w:sz w:val="20"/>
          <w:szCs w:val="20"/>
        </w:rPr>
        <w:t xml:space="preserve">A su vez en el mismo ordenamiento legal, en su artículo 92, establece; </w:t>
      </w:r>
    </w:p>
    <w:p w14:paraId="3A474168" w14:textId="77777777" w:rsidR="00016FE1" w:rsidRPr="00216B5E" w:rsidRDefault="00016FE1" w:rsidP="002B6227">
      <w:pPr>
        <w:ind w:left="567"/>
        <w:jc w:val="both"/>
        <w:rPr>
          <w:rFonts w:ascii="Gotham" w:hAnsi="Gotham"/>
          <w:color w:val="000000" w:themeColor="text1"/>
          <w:sz w:val="20"/>
          <w:szCs w:val="20"/>
        </w:rPr>
      </w:pPr>
    </w:p>
    <w:p w14:paraId="3A474169" w14:textId="77777777" w:rsidR="00016FE1" w:rsidRPr="00E81604" w:rsidRDefault="00016FE1" w:rsidP="002B6227">
      <w:pPr>
        <w:ind w:left="851" w:right="283"/>
        <w:jc w:val="both"/>
        <w:rPr>
          <w:rFonts w:ascii="Gotham" w:hAnsi="Gotham" w:cs="Arial"/>
          <w:i/>
          <w:iCs/>
          <w:sz w:val="19"/>
          <w:szCs w:val="19"/>
        </w:rPr>
      </w:pPr>
      <w:r w:rsidRPr="00E81604">
        <w:rPr>
          <w:rFonts w:ascii="Gotham" w:hAnsi="Gotham" w:cs="Arial"/>
          <w:i/>
          <w:iCs/>
          <w:sz w:val="19"/>
          <w:szCs w:val="19"/>
        </w:rPr>
        <w:t>“El Ayuntamiento de Tonalá, para el estudio, dictamen, vigilancia, y atención de los diversos asuntos que les corresponda conocer, debe funcionar mediante Comisiones, estas pueden ser permanentes o transitorias, con desempeño colegiado, bajo ninguna circunstancia pueden tener facultades ejecutivas…”.</w:t>
      </w:r>
    </w:p>
    <w:p w14:paraId="3A47416A" w14:textId="77777777" w:rsidR="00016FE1" w:rsidRPr="00216B5E" w:rsidRDefault="00016FE1" w:rsidP="002B6227">
      <w:pPr>
        <w:ind w:left="567"/>
        <w:jc w:val="both"/>
        <w:rPr>
          <w:rFonts w:ascii="Gotham" w:hAnsi="Gotham"/>
          <w:color w:val="000000" w:themeColor="text1"/>
          <w:sz w:val="20"/>
          <w:szCs w:val="20"/>
        </w:rPr>
      </w:pPr>
    </w:p>
    <w:p w14:paraId="3A47416B" w14:textId="77777777" w:rsidR="00016FE1" w:rsidRPr="00216B5E" w:rsidRDefault="00016FE1" w:rsidP="002B6227">
      <w:pPr>
        <w:ind w:left="567"/>
        <w:jc w:val="both"/>
        <w:rPr>
          <w:rFonts w:ascii="Gotham" w:hAnsi="Gotham"/>
          <w:color w:val="000000" w:themeColor="text1"/>
          <w:sz w:val="20"/>
          <w:szCs w:val="20"/>
        </w:rPr>
      </w:pPr>
      <w:r w:rsidRPr="00216B5E">
        <w:rPr>
          <w:rFonts w:ascii="Gotham" w:hAnsi="Gotham"/>
          <w:color w:val="000000" w:themeColor="text1"/>
          <w:sz w:val="20"/>
          <w:szCs w:val="20"/>
        </w:rPr>
        <w:t>Por lo que la Comisión Edilicia de Bienestar, Desarrollo, Asistencia Social y Familiar en</w:t>
      </w:r>
      <w:r w:rsidR="00B76E88">
        <w:rPr>
          <w:rFonts w:ascii="Gotham" w:hAnsi="Gotham"/>
          <w:color w:val="000000" w:themeColor="text1"/>
          <w:sz w:val="20"/>
          <w:szCs w:val="20"/>
        </w:rPr>
        <w:t xml:space="preserve"> </w:t>
      </w:r>
      <w:r w:rsidRPr="00216B5E">
        <w:rPr>
          <w:rFonts w:ascii="Gotham" w:hAnsi="Gotham"/>
          <w:color w:val="000000" w:themeColor="text1"/>
          <w:sz w:val="20"/>
          <w:szCs w:val="20"/>
        </w:rPr>
        <w:t xml:space="preserve">conjunto con la Comisión Cultura, Educación e Innovación Tecnológica resultan competente para dictaminar, analizar y valorar la iniciativa objeto del presente dictamen a la comisión a la que nos fue turnada. </w:t>
      </w:r>
    </w:p>
    <w:p w14:paraId="3A47416C" w14:textId="77777777" w:rsidR="00016FE1" w:rsidRPr="00216B5E" w:rsidRDefault="00016FE1" w:rsidP="002B6227">
      <w:pPr>
        <w:ind w:left="567" w:hanging="567"/>
        <w:jc w:val="both"/>
        <w:rPr>
          <w:rFonts w:ascii="Gotham" w:hAnsi="Gotham"/>
          <w:color w:val="000000" w:themeColor="text1"/>
          <w:sz w:val="20"/>
          <w:szCs w:val="20"/>
        </w:rPr>
      </w:pPr>
    </w:p>
    <w:p w14:paraId="3A47416D" w14:textId="77777777" w:rsidR="00016FE1" w:rsidRPr="00216B5E" w:rsidRDefault="00016FE1" w:rsidP="002B6227">
      <w:pPr>
        <w:ind w:left="567" w:hanging="567"/>
        <w:jc w:val="both"/>
        <w:rPr>
          <w:rFonts w:ascii="Gotham" w:hAnsi="Gotham"/>
          <w:color w:val="000000" w:themeColor="text1"/>
          <w:sz w:val="20"/>
          <w:szCs w:val="20"/>
        </w:rPr>
      </w:pPr>
      <w:r w:rsidRPr="00216B5E">
        <w:rPr>
          <w:rFonts w:ascii="Gotham" w:hAnsi="Gotham"/>
          <w:color w:val="000000" w:themeColor="text1"/>
          <w:sz w:val="20"/>
          <w:szCs w:val="20"/>
        </w:rPr>
        <w:t>5.-</w:t>
      </w:r>
      <w:r>
        <w:rPr>
          <w:rFonts w:ascii="Gotham" w:hAnsi="Gotham"/>
          <w:color w:val="000000" w:themeColor="text1"/>
          <w:sz w:val="20"/>
          <w:szCs w:val="20"/>
        </w:rPr>
        <w:t xml:space="preserve"> </w:t>
      </w:r>
      <w:r>
        <w:rPr>
          <w:rFonts w:ascii="Gotham" w:hAnsi="Gotham"/>
          <w:color w:val="000000" w:themeColor="text1"/>
          <w:sz w:val="20"/>
          <w:szCs w:val="20"/>
        </w:rPr>
        <w:tab/>
        <w:t>C</w:t>
      </w:r>
      <w:r w:rsidRPr="00216B5E">
        <w:rPr>
          <w:rFonts w:ascii="Gotham" w:hAnsi="Gotham"/>
          <w:color w:val="000000" w:themeColor="text1"/>
          <w:sz w:val="20"/>
          <w:szCs w:val="20"/>
        </w:rPr>
        <w:t>on la finalidad de dar cumplimiento a la presente iniciativa y dictaminar de manera responsable es que mediante los oficios</w:t>
      </w:r>
      <w:r w:rsidR="00B76E88">
        <w:rPr>
          <w:rFonts w:ascii="Gotham" w:hAnsi="Gotham"/>
          <w:color w:val="000000" w:themeColor="text1"/>
          <w:sz w:val="20"/>
          <w:szCs w:val="20"/>
        </w:rPr>
        <w:t xml:space="preserve"> </w:t>
      </w:r>
      <w:r w:rsidRPr="00216B5E">
        <w:rPr>
          <w:rFonts w:ascii="Gotham" w:hAnsi="Gotham"/>
          <w:color w:val="000000" w:themeColor="text1"/>
          <w:sz w:val="20"/>
          <w:szCs w:val="20"/>
        </w:rPr>
        <w:t>SR/GFV/048/2024 se llevó a cabo una mesa de trabajo de fecha 29 de abril del 2024, en la Sala de Prensa en punto de las 13:30 horas, misma que fue integrada por el Síndico Municipal, así como los integrantes de las Comisiones Edilicias de Bienestar, Desarrollo, Asistencia Social y Familiar, así mismo a la Comisión Edilicia de Cultura, Educación e Innovación Tecnológica, la cual tuvo por objeto el estudio y análisis del acuerdo 1056 de la Sesión</w:t>
      </w:r>
      <w:r w:rsidR="00B76E88">
        <w:rPr>
          <w:rFonts w:ascii="Gotham" w:hAnsi="Gotham"/>
          <w:color w:val="000000" w:themeColor="text1"/>
          <w:sz w:val="20"/>
          <w:szCs w:val="20"/>
        </w:rPr>
        <w:t xml:space="preserve"> </w:t>
      </w:r>
      <w:r w:rsidRPr="00216B5E">
        <w:rPr>
          <w:rFonts w:ascii="Gotham" w:hAnsi="Gotham"/>
          <w:color w:val="000000" w:themeColor="text1"/>
          <w:sz w:val="20"/>
          <w:szCs w:val="20"/>
        </w:rPr>
        <w:t>Ordinaria de Ayuntamiento celebrada el día 04 de marzo del año en curso.</w:t>
      </w:r>
    </w:p>
    <w:p w14:paraId="3A47416E" w14:textId="77777777" w:rsidR="00016FE1" w:rsidRPr="002E2A3F" w:rsidRDefault="00016FE1" w:rsidP="002B6227">
      <w:pPr>
        <w:jc w:val="both"/>
        <w:rPr>
          <w:rFonts w:ascii="Gotham" w:hAnsi="Gotham"/>
          <w:sz w:val="20"/>
          <w:szCs w:val="20"/>
        </w:rPr>
      </w:pPr>
    </w:p>
    <w:p w14:paraId="3A47416F" w14:textId="77777777" w:rsidR="00016FE1" w:rsidRPr="002E2A3F" w:rsidRDefault="00016FE1" w:rsidP="002B6227">
      <w:pPr>
        <w:jc w:val="both"/>
        <w:rPr>
          <w:rFonts w:ascii="Gotham" w:hAnsi="Gotham"/>
          <w:sz w:val="20"/>
          <w:szCs w:val="20"/>
        </w:rPr>
      </w:pPr>
      <w:r w:rsidRPr="002E2A3F">
        <w:rPr>
          <w:rFonts w:ascii="Gotham" w:hAnsi="Gotham"/>
          <w:sz w:val="20"/>
          <w:szCs w:val="20"/>
        </w:rPr>
        <w:t xml:space="preserve">De lo anteriormente expuesto se llegan a las siguientes: </w:t>
      </w:r>
    </w:p>
    <w:p w14:paraId="3A474170" w14:textId="77777777" w:rsidR="00016FE1" w:rsidRPr="002E2A3F" w:rsidRDefault="00016FE1" w:rsidP="002B6227">
      <w:pPr>
        <w:jc w:val="both"/>
        <w:rPr>
          <w:rFonts w:ascii="Gotham" w:hAnsi="Gotham"/>
          <w:sz w:val="20"/>
          <w:szCs w:val="20"/>
        </w:rPr>
      </w:pPr>
    </w:p>
    <w:p w14:paraId="3A474171" w14:textId="77777777" w:rsidR="00016FE1" w:rsidRPr="002E2A3F" w:rsidRDefault="00016FE1" w:rsidP="002B6227">
      <w:pPr>
        <w:jc w:val="center"/>
        <w:rPr>
          <w:rFonts w:ascii="Gotham" w:hAnsi="Gotham"/>
          <w:sz w:val="20"/>
          <w:szCs w:val="20"/>
        </w:rPr>
      </w:pPr>
      <w:r w:rsidRPr="002E2A3F">
        <w:rPr>
          <w:rFonts w:ascii="Gotham" w:hAnsi="Gotham"/>
          <w:sz w:val="20"/>
          <w:szCs w:val="20"/>
        </w:rPr>
        <w:t>III.- CONCLUSIONES</w:t>
      </w:r>
    </w:p>
    <w:p w14:paraId="3A474172" w14:textId="77777777" w:rsidR="00016FE1" w:rsidRPr="002E2A3F" w:rsidRDefault="00016FE1" w:rsidP="002B6227">
      <w:pPr>
        <w:jc w:val="both"/>
        <w:rPr>
          <w:rFonts w:ascii="Gotham" w:hAnsi="Gotham"/>
          <w:sz w:val="20"/>
          <w:szCs w:val="20"/>
        </w:rPr>
      </w:pPr>
    </w:p>
    <w:p w14:paraId="3A474173" w14:textId="77777777" w:rsidR="00016FE1" w:rsidRPr="002E2A3F" w:rsidRDefault="00016FE1" w:rsidP="002B6227">
      <w:pPr>
        <w:jc w:val="both"/>
        <w:rPr>
          <w:rFonts w:ascii="Gotham" w:hAnsi="Gotham"/>
          <w:sz w:val="20"/>
          <w:szCs w:val="20"/>
        </w:rPr>
      </w:pPr>
      <w:r w:rsidRPr="002E2A3F">
        <w:rPr>
          <w:rFonts w:ascii="Gotham" w:hAnsi="Gotham"/>
          <w:sz w:val="20"/>
          <w:szCs w:val="20"/>
        </w:rPr>
        <w:lastRenderedPageBreak/>
        <w:t>Los que suscribimos el presente Dictamen consideramos la importancia de impulsar, motivar y fomentar el h</w:t>
      </w:r>
      <w:r>
        <w:rPr>
          <w:rFonts w:ascii="Gotham" w:hAnsi="Gotham"/>
          <w:sz w:val="20"/>
          <w:szCs w:val="20"/>
        </w:rPr>
        <w:t>á</w:t>
      </w:r>
      <w:r w:rsidRPr="002E2A3F">
        <w:rPr>
          <w:rFonts w:ascii="Gotham" w:hAnsi="Gotham"/>
          <w:sz w:val="20"/>
          <w:szCs w:val="20"/>
        </w:rPr>
        <w:t>bito de la lectura entre las niñas y niños de nuestro municipio, toda vez que la lectura es esencial para el desarrollo humano, de acuerdo a especialistas en el tema, la lectura es considerada una herramienta útil para disminuir el rezago educativo, ayuda a reducir el estrés, a desarrollar la capacidad de análisis y resolución de problemas, incentiva la imaginación, ejercita las conexiones neuronales entre otros múltiples beneficios.</w:t>
      </w:r>
    </w:p>
    <w:p w14:paraId="3A474174" w14:textId="77777777" w:rsidR="00016FE1" w:rsidRDefault="00016FE1" w:rsidP="002B6227">
      <w:pPr>
        <w:jc w:val="both"/>
        <w:rPr>
          <w:rFonts w:ascii="Gotham" w:hAnsi="Gotham"/>
          <w:sz w:val="20"/>
          <w:szCs w:val="20"/>
        </w:rPr>
      </w:pPr>
    </w:p>
    <w:p w14:paraId="3A474175" w14:textId="77777777" w:rsidR="00016FE1" w:rsidRPr="002E2A3F" w:rsidRDefault="00016FE1" w:rsidP="002B6227">
      <w:pPr>
        <w:jc w:val="both"/>
        <w:rPr>
          <w:rFonts w:ascii="Gotham" w:hAnsi="Gotham"/>
          <w:sz w:val="20"/>
          <w:szCs w:val="20"/>
        </w:rPr>
      </w:pPr>
      <w:r w:rsidRPr="002E2A3F">
        <w:rPr>
          <w:rFonts w:ascii="Gotham" w:hAnsi="Gotham"/>
          <w:sz w:val="20"/>
          <w:szCs w:val="20"/>
        </w:rPr>
        <w:t xml:space="preserve">Derivado del estudio y análisis de los considerandos que integran el cuerpo del presente dictamen y de conformidad con la normatividad que rigen el proceso de estudio, dictaminarían y aprobación de los decretos, acuerdos y demás resoluciones, los integrantes de las comisiones edilicias que suscriben el presente dictamen proponemos el siguiente: </w:t>
      </w:r>
    </w:p>
    <w:p w14:paraId="3A474176" w14:textId="77777777" w:rsidR="00016FE1" w:rsidRPr="002E2A3F" w:rsidRDefault="00016FE1" w:rsidP="002B6227">
      <w:pPr>
        <w:jc w:val="both"/>
        <w:rPr>
          <w:rFonts w:ascii="Gotham" w:hAnsi="Gotham"/>
          <w:sz w:val="20"/>
          <w:szCs w:val="20"/>
        </w:rPr>
      </w:pPr>
    </w:p>
    <w:p w14:paraId="3A474177" w14:textId="77777777" w:rsidR="00016FE1" w:rsidRPr="002E2A3F" w:rsidRDefault="00016FE1" w:rsidP="002B6227">
      <w:pPr>
        <w:jc w:val="center"/>
        <w:rPr>
          <w:rFonts w:ascii="Gotham" w:hAnsi="Gotham"/>
          <w:sz w:val="20"/>
          <w:szCs w:val="20"/>
        </w:rPr>
      </w:pPr>
      <w:r w:rsidRPr="002E2A3F">
        <w:rPr>
          <w:rFonts w:ascii="Gotham" w:hAnsi="Gotham"/>
          <w:sz w:val="20"/>
          <w:szCs w:val="20"/>
        </w:rPr>
        <w:t>ACUERDO MUNICIPAL</w:t>
      </w:r>
    </w:p>
    <w:p w14:paraId="3A474178" w14:textId="77777777" w:rsidR="00016FE1" w:rsidRPr="002E2A3F" w:rsidRDefault="00016FE1" w:rsidP="002B6227">
      <w:pPr>
        <w:jc w:val="both"/>
        <w:rPr>
          <w:rFonts w:ascii="Gotham" w:hAnsi="Gotham"/>
          <w:sz w:val="20"/>
          <w:szCs w:val="20"/>
        </w:rPr>
      </w:pPr>
    </w:p>
    <w:p w14:paraId="3A474179" w14:textId="77777777" w:rsidR="00016FE1" w:rsidRPr="002E2A3F" w:rsidRDefault="00016FE1" w:rsidP="002B6227">
      <w:pPr>
        <w:jc w:val="both"/>
        <w:rPr>
          <w:rFonts w:ascii="Gotham" w:hAnsi="Gotham"/>
          <w:sz w:val="20"/>
          <w:szCs w:val="20"/>
        </w:rPr>
      </w:pPr>
      <w:r w:rsidRPr="002E2A3F">
        <w:rPr>
          <w:rFonts w:ascii="Gotham" w:hAnsi="Gotham"/>
          <w:sz w:val="20"/>
          <w:szCs w:val="20"/>
        </w:rPr>
        <w:t>PRIMERO: Se aprueba la iniciativa de acuerdo municipal 1056, por los motivos y razonamientos señalados en el cuerpo del presente dictamen, por tanto, se instruye a la Dirección General de Bienestar y Desarrollo Social a efecto de que en el marco de sus facultades instruya a la Dirección de Cultura para que a través de las Bibliotecas dependientes de la misma se lleven a cabo los talleres solicitados en el presente acuerdo.</w:t>
      </w:r>
    </w:p>
    <w:p w14:paraId="3A47417A" w14:textId="77777777" w:rsidR="00016FE1" w:rsidRPr="002E2A3F" w:rsidRDefault="00016FE1" w:rsidP="002B6227">
      <w:pPr>
        <w:jc w:val="both"/>
        <w:rPr>
          <w:rFonts w:ascii="Gotham" w:hAnsi="Gotham"/>
          <w:sz w:val="20"/>
          <w:szCs w:val="20"/>
        </w:rPr>
      </w:pPr>
    </w:p>
    <w:p w14:paraId="3A47417B" w14:textId="77777777" w:rsidR="00016FE1" w:rsidRPr="002E2A3F" w:rsidRDefault="00016FE1" w:rsidP="002B6227">
      <w:pPr>
        <w:jc w:val="both"/>
        <w:rPr>
          <w:rFonts w:ascii="Gotham" w:hAnsi="Gotham"/>
          <w:sz w:val="20"/>
          <w:szCs w:val="20"/>
        </w:rPr>
      </w:pPr>
      <w:r w:rsidRPr="002E2A3F">
        <w:rPr>
          <w:rFonts w:ascii="Gotham" w:hAnsi="Gotham"/>
          <w:sz w:val="20"/>
          <w:szCs w:val="20"/>
        </w:rPr>
        <w:t>SEGUNDO. – Se instruye a la Dirección de Participación Ciudadana para llevar a cabo la difusión a dichos talleres para fortalecer el que se logre buena participación y asistencia de niñas y niños de nuestro municipio.</w:t>
      </w:r>
    </w:p>
    <w:p w14:paraId="3A47417C" w14:textId="77777777" w:rsidR="00016FE1" w:rsidRPr="002E2A3F" w:rsidRDefault="00016FE1" w:rsidP="002B6227">
      <w:pPr>
        <w:jc w:val="both"/>
        <w:rPr>
          <w:rFonts w:ascii="Gotham" w:hAnsi="Gotham"/>
          <w:sz w:val="20"/>
          <w:szCs w:val="20"/>
        </w:rPr>
      </w:pPr>
    </w:p>
    <w:p w14:paraId="3A47417D" w14:textId="77777777" w:rsidR="00016FE1" w:rsidRPr="002E2A3F" w:rsidRDefault="00016FE1" w:rsidP="002B6227">
      <w:pPr>
        <w:jc w:val="both"/>
        <w:rPr>
          <w:rFonts w:ascii="Gotham" w:hAnsi="Gotham"/>
          <w:sz w:val="20"/>
          <w:szCs w:val="20"/>
        </w:rPr>
      </w:pPr>
      <w:r w:rsidRPr="002E2A3F">
        <w:rPr>
          <w:rFonts w:ascii="Gotham" w:hAnsi="Gotham"/>
          <w:sz w:val="20"/>
          <w:szCs w:val="20"/>
        </w:rPr>
        <w:t>TERCERO. - Se instruye al Presidente Municipal, Síndico Municipal y Secretario General suscriban la documentación necesaria tendiente a dar cumplimiento con los acuerdos de este dictamen.</w:t>
      </w:r>
    </w:p>
    <w:p w14:paraId="3A47417E" w14:textId="77777777" w:rsidR="00016FE1" w:rsidRDefault="00016FE1" w:rsidP="002B6227">
      <w:pPr>
        <w:jc w:val="both"/>
        <w:rPr>
          <w:rFonts w:ascii="Gotham" w:hAnsi="Gotham"/>
          <w:sz w:val="20"/>
          <w:szCs w:val="20"/>
        </w:rPr>
      </w:pPr>
    </w:p>
    <w:p w14:paraId="3A47417F"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4180" w14:textId="77777777" w:rsidR="00016FE1" w:rsidRPr="00CD0531" w:rsidRDefault="00016FE1" w:rsidP="002B6227">
      <w:pPr>
        <w:jc w:val="both"/>
        <w:rPr>
          <w:rFonts w:ascii="Gotham" w:hAnsi="Gotham" w:cs="Arial"/>
          <w:sz w:val="20"/>
          <w:szCs w:val="20"/>
        </w:rPr>
      </w:pPr>
    </w:p>
    <w:p w14:paraId="3A474181"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4182" w14:textId="77777777" w:rsidR="00016FE1" w:rsidRPr="00CD0531" w:rsidRDefault="00016FE1" w:rsidP="002B6227">
      <w:pPr>
        <w:jc w:val="both"/>
        <w:rPr>
          <w:rFonts w:ascii="Gotham" w:hAnsi="Gotham" w:cs="Arial"/>
          <w:sz w:val="20"/>
          <w:szCs w:val="20"/>
        </w:rPr>
      </w:pPr>
    </w:p>
    <w:p w14:paraId="3A474183"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4184" w14:textId="77777777" w:rsidR="00016FE1" w:rsidRPr="00CD0531" w:rsidRDefault="00016FE1" w:rsidP="002B6227">
      <w:pPr>
        <w:jc w:val="both"/>
        <w:rPr>
          <w:rFonts w:ascii="Gotham" w:hAnsi="Gotham" w:cs="Arial"/>
          <w:sz w:val="20"/>
          <w:szCs w:val="20"/>
        </w:rPr>
      </w:pPr>
    </w:p>
    <w:p w14:paraId="3A474185"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4186" w14:textId="77777777" w:rsidR="00016FE1" w:rsidRPr="00CD0531" w:rsidRDefault="00016FE1" w:rsidP="002B6227">
      <w:pPr>
        <w:jc w:val="both"/>
        <w:rPr>
          <w:rFonts w:ascii="Gotham" w:hAnsi="Gotham" w:cs="Arial"/>
          <w:sz w:val="20"/>
          <w:szCs w:val="20"/>
        </w:rPr>
      </w:pPr>
    </w:p>
    <w:p w14:paraId="3A474187" w14:textId="77777777" w:rsidR="00016FE1" w:rsidRDefault="00016FE1" w:rsidP="002B6227">
      <w:pPr>
        <w:jc w:val="both"/>
        <w:rPr>
          <w:rFonts w:ascii="Gotham" w:hAnsi="Gotham" w:cs="Arial"/>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4188" w14:textId="77777777" w:rsidR="00016FE1" w:rsidRDefault="00016FE1" w:rsidP="002B6227">
      <w:pPr>
        <w:jc w:val="both"/>
        <w:rPr>
          <w:rFonts w:ascii="Gotham" w:hAnsi="Gotham"/>
          <w:sz w:val="20"/>
          <w:szCs w:val="20"/>
        </w:rPr>
      </w:pPr>
    </w:p>
    <w:p w14:paraId="3A474189" w14:textId="77777777" w:rsidR="00016FE1" w:rsidRDefault="00016FE1" w:rsidP="002B6227">
      <w:pPr>
        <w:jc w:val="both"/>
        <w:rPr>
          <w:rFonts w:ascii="Gotham" w:hAnsi="Gotham"/>
          <w:sz w:val="20"/>
          <w:szCs w:val="20"/>
        </w:rPr>
      </w:pPr>
    </w:p>
    <w:p w14:paraId="3A47418A" w14:textId="77777777" w:rsidR="00016FE1" w:rsidRDefault="00016FE1" w:rsidP="002B6227">
      <w:pPr>
        <w:pStyle w:val="western"/>
        <w:spacing w:before="0" w:beforeAutospacing="0"/>
        <w:jc w:val="right"/>
        <w:rPr>
          <w:rFonts w:ascii="Gotham" w:hAnsi="Gotham"/>
          <w:b/>
          <w:sz w:val="22"/>
          <w:szCs w:val="22"/>
          <w:u w:val="single"/>
        </w:rPr>
      </w:pPr>
      <w:r w:rsidRPr="00AB3373">
        <w:rPr>
          <w:rFonts w:ascii="Gotham" w:hAnsi="Gotham"/>
          <w:b/>
          <w:sz w:val="22"/>
          <w:szCs w:val="22"/>
          <w:u w:val="single"/>
        </w:rPr>
        <w:t xml:space="preserve">ACUERDO NO. </w:t>
      </w:r>
      <w:r>
        <w:rPr>
          <w:rFonts w:ascii="Gotham" w:hAnsi="Gotham"/>
          <w:b/>
          <w:sz w:val="22"/>
          <w:szCs w:val="22"/>
          <w:u w:val="single"/>
        </w:rPr>
        <w:t>1139</w:t>
      </w:r>
    </w:p>
    <w:p w14:paraId="3A47418B" w14:textId="77777777" w:rsidR="00016FE1" w:rsidRDefault="00016FE1" w:rsidP="002B6227">
      <w:pPr>
        <w:jc w:val="both"/>
        <w:rPr>
          <w:rFonts w:ascii="Gotham" w:hAnsi="Gotham"/>
          <w:sz w:val="20"/>
          <w:szCs w:val="20"/>
        </w:rPr>
      </w:pPr>
      <w:r w:rsidRPr="00CC0722">
        <w:rPr>
          <w:rFonts w:ascii="Gotham" w:hAnsi="Gotham"/>
          <w:b/>
          <w:bCs/>
          <w:smallCaps/>
          <w:sz w:val="20"/>
          <w:szCs w:val="20"/>
        </w:rPr>
        <w:t>Décimo Quinto Dictamen de Comisión</w:t>
      </w:r>
      <w:r w:rsidRPr="00CC0722">
        <w:rPr>
          <w:rFonts w:ascii="Gotham" w:hAnsi="Gotham"/>
          <w:b/>
          <w:bCs/>
          <w:sz w:val="20"/>
          <w:szCs w:val="20"/>
        </w:rPr>
        <w:t xml:space="preserve">.- </w:t>
      </w:r>
      <w:r w:rsidRPr="00CC0722">
        <w:rPr>
          <w:rFonts w:ascii="Gotham" w:hAnsi="Gotham"/>
          <w:sz w:val="20"/>
          <w:szCs w:val="20"/>
        </w:rPr>
        <w:t>En uso de la voz el Presidente Municipal, Sergio Armando Chávez Dávalos, expresa que, se da cuenta del dictamen que presenta la Comisión Edilicia de Reglamentos, Puntos Constitucionales, Administración y Planeación Legislativa.</w:t>
      </w:r>
    </w:p>
    <w:p w14:paraId="3A47418C" w14:textId="77777777" w:rsidR="00016FE1" w:rsidRDefault="00016FE1" w:rsidP="002B6227">
      <w:pPr>
        <w:jc w:val="both"/>
        <w:rPr>
          <w:rFonts w:ascii="Gotham" w:hAnsi="Gotham"/>
          <w:sz w:val="20"/>
          <w:szCs w:val="20"/>
        </w:rPr>
      </w:pPr>
    </w:p>
    <w:p w14:paraId="3A47418D" w14:textId="77777777" w:rsidR="00016FE1" w:rsidRPr="00CC0722" w:rsidRDefault="00016FE1" w:rsidP="002B6227">
      <w:pPr>
        <w:jc w:val="both"/>
        <w:rPr>
          <w:rFonts w:ascii="Gotham" w:hAnsi="Gotham"/>
          <w:sz w:val="20"/>
          <w:szCs w:val="20"/>
        </w:rPr>
      </w:pPr>
      <w:r w:rsidRPr="00CC0722">
        <w:rPr>
          <w:rFonts w:ascii="Gotham" w:hAnsi="Gotham"/>
          <w:sz w:val="20"/>
          <w:szCs w:val="20"/>
        </w:rPr>
        <w:t>A la Comisión Edilicia de Reglamentos, Puntos Constitucionales, Administración y Planeación Legislativa le fue turnado la siguientes Iniciativa de Acuerdo Municipal número 290 con la objeto la creación del Reglamento para la Promoción, Protección y Reconocimiento de los Derechos de las Personas de la Diversidad Sexual y de Género (LGBT+) del Municipio de Tonalá, Jalisco.; para lo cual con fundamento en lo previsto por los artículos 27, 37 fracción II y 40 fracciones I y II y demás relativos de la Ley del Gobierno y la Administración Pública Municipal del Estado de Jalisco; así como los artículos 38, 39 fracciones III, X, y XI, 53 fracción II, 57 fracción VIII, 92, 93, 98 fracción II y 100 del Reglamento del Gobierno y la Administración Pública del Ayuntamiento Constitucional de Tonalá, Jalisco; así como los artículos 25, 26, 28, 42, 43, 70, 87, 88 y demás aplicables del Reglamento Para el Funcionamiento Interno de Sesiones del Ayuntamiento Constitucional de Tonalá, Jalisco se expresan los siguientes:</w:t>
      </w:r>
    </w:p>
    <w:p w14:paraId="3A47418E" w14:textId="77777777" w:rsidR="00016FE1" w:rsidRPr="00CC0722" w:rsidRDefault="00016FE1" w:rsidP="002B6227">
      <w:pPr>
        <w:jc w:val="both"/>
        <w:rPr>
          <w:rFonts w:ascii="Gotham" w:hAnsi="Gotham"/>
          <w:sz w:val="20"/>
          <w:szCs w:val="20"/>
        </w:rPr>
      </w:pPr>
    </w:p>
    <w:p w14:paraId="3A47418F" w14:textId="77777777" w:rsidR="00016FE1" w:rsidRPr="00CC0722" w:rsidRDefault="00016FE1" w:rsidP="002B6227">
      <w:pPr>
        <w:jc w:val="center"/>
        <w:rPr>
          <w:rFonts w:ascii="Gotham" w:hAnsi="Gotham"/>
          <w:sz w:val="20"/>
          <w:szCs w:val="20"/>
        </w:rPr>
      </w:pPr>
      <w:r>
        <w:rPr>
          <w:rFonts w:ascii="Gotham" w:hAnsi="Gotham"/>
          <w:sz w:val="20"/>
          <w:szCs w:val="20"/>
        </w:rPr>
        <w:t>ANTECEDENTES</w:t>
      </w:r>
    </w:p>
    <w:p w14:paraId="3A474190" w14:textId="77777777" w:rsidR="00016FE1" w:rsidRPr="00CC0722" w:rsidRDefault="00016FE1" w:rsidP="002B6227">
      <w:pPr>
        <w:jc w:val="both"/>
        <w:rPr>
          <w:rFonts w:ascii="Gotham" w:hAnsi="Gotham"/>
          <w:sz w:val="20"/>
          <w:szCs w:val="20"/>
        </w:rPr>
      </w:pPr>
    </w:p>
    <w:p w14:paraId="3A474191" w14:textId="77777777" w:rsidR="00016FE1" w:rsidRPr="00CC0722" w:rsidRDefault="00016FE1" w:rsidP="002B6227">
      <w:pPr>
        <w:ind w:left="567" w:hanging="567"/>
        <w:jc w:val="both"/>
        <w:rPr>
          <w:rFonts w:ascii="Gotham" w:hAnsi="Gotham"/>
          <w:sz w:val="20"/>
          <w:szCs w:val="20"/>
        </w:rPr>
      </w:pPr>
      <w:r w:rsidRPr="00CC0722">
        <w:rPr>
          <w:rFonts w:ascii="Gotham" w:hAnsi="Gotham"/>
          <w:sz w:val="20"/>
          <w:szCs w:val="20"/>
        </w:rPr>
        <w:t xml:space="preserve">I. </w:t>
      </w:r>
      <w:r>
        <w:rPr>
          <w:rFonts w:ascii="Gotham" w:hAnsi="Gotham"/>
          <w:sz w:val="20"/>
          <w:szCs w:val="20"/>
        </w:rPr>
        <w:tab/>
      </w:r>
      <w:r w:rsidRPr="00CC0722">
        <w:rPr>
          <w:rFonts w:ascii="Gotham" w:hAnsi="Gotham"/>
          <w:sz w:val="20"/>
          <w:szCs w:val="20"/>
        </w:rPr>
        <w:t>Mediante Acuerdo número 290 derivado de la Sesión Ordinaria de este Ayuntamiento de fecha 28 del mes de julio del año 2022, se aprobó turnar a la Comisión Edilicia de Reglamentos, Puntos Constitucionales, Administración y Planeación Legislativa, en la Vigésima Primera Iniciativa con Turno a Comisión, presentada por la Regidora Verónica Isela Murillo Martínez, entre sus puntos principales, hace referencia a la siguiente:</w:t>
      </w:r>
    </w:p>
    <w:p w14:paraId="3A474192" w14:textId="77777777" w:rsidR="00016FE1" w:rsidRPr="00CC0722" w:rsidRDefault="00016FE1" w:rsidP="002B6227">
      <w:pPr>
        <w:jc w:val="both"/>
        <w:rPr>
          <w:rFonts w:ascii="Gotham" w:hAnsi="Gotham"/>
          <w:sz w:val="20"/>
          <w:szCs w:val="20"/>
        </w:rPr>
      </w:pPr>
    </w:p>
    <w:p w14:paraId="3A474193" w14:textId="77777777" w:rsidR="00016FE1" w:rsidRPr="00A8064C" w:rsidRDefault="00016FE1" w:rsidP="002B6227">
      <w:pPr>
        <w:tabs>
          <w:tab w:val="left" w:pos="9923"/>
          <w:tab w:val="left" w:pos="10065"/>
        </w:tabs>
        <w:ind w:left="851" w:right="283"/>
        <w:jc w:val="right"/>
        <w:rPr>
          <w:rFonts w:ascii="Gotham" w:hAnsi="Gotham" w:cs="Calibri"/>
          <w:b/>
          <w:i/>
          <w:iCs/>
          <w:sz w:val="19"/>
          <w:szCs w:val="19"/>
          <w:u w:val="single"/>
        </w:rPr>
      </w:pPr>
      <w:r w:rsidRPr="00A8064C">
        <w:rPr>
          <w:rFonts w:ascii="Gotham" w:hAnsi="Gotham" w:cs="Calibri"/>
          <w:b/>
          <w:i/>
          <w:iCs/>
          <w:sz w:val="19"/>
          <w:szCs w:val="19"/>
          <w:u w:val="single"/>
        </w:rPr>
        <w:t>ACUERDO NO. 290</w:t>
      </w:r>
    </w:p>
    <w:p w14:paraId="3A474194"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b/>
          <w:i/>
          <w:iCs/>
          <w:smallCaps/>
          <w:sz w:val="19"/>
          <w:szCs w:val="19"/>
        </w:rPr>
        <w:t>Vigésima Primera Iniciativa Con Turno A Comisión</w:t>
      </w:r>
      <w:r w:rsidRPr="00A8064C">
        <w:rPr>
          <w:rFonts w:ascii="Gotham" w:hAnsi="Gotham" w:cs="Arial"/>
          <w:i/>
          <w:iCs/>
          <w:sz w:val="19"/>
          <w:szCs w:val="19"/>
        </w:rPr>
        <w:t>.- En uso de la voz la Regidora Verónica Isela Murillo Martínez, señala que, para esta última iniciativa me permitiré, de igual manera, obviar la fundamentación, solicitando a la Secretaria General que transcriba de manera íntegra el sentido de la iniciativa.</w:t>
      </w:r>
    </w:p>
    <w:p w14:paraId="3A474195" w14:textId="77777777" w:rsidR="00016FE1" w:rsidRPr="00A8064C" w:rsidRDefault="00016FE1" w:rsidP="002B6227">
      <w:pPr>
        <w:ind w:left="851" w:right="283"/>
        <w:jc w:val="both"/>
        <w:rPr>
          <w:rFonts w:ascii="Gotham" w:hAnsi="Gotham" w:cs="Arial"/>
          <w:i/>
          <w:iCs/>
          <w:sz w:val="19"/>
          <w:szCs w:val="19"/>
        </w:rPr>
      </w:pPr>
    </w:p>
    <w:p w14:paraId="3A474196"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La que suscribe, Regidora del Ayuntamiento Constitucional de Tonalá, Jalisco; Abogada Verónica Isela Murillo Martínez, en uso de las facultades que me confieren los artículos 115, fracciones I y II de la Constitución Política de los Estados Unidos Mexicanos; así como el artículo 77 de la Constitución Política del Estado de Jalisco; los artículos 38, 41 fracción II y 50 de la Ley del Gobierno y la Administración Pública Municipal del Estado de Jalisco; los artículos 53 y 56 del Reglamento del Gobierno y la Administración Pública del Ayuntamiento Constitucional de Tonalá, Jalisco, así como los artículos 25, 82 fracción II y 83 del Reglamento Para el Funcionamiento Interno de Sesiones del Ayuntamiento Constitucional de Tonalá, Jalisco, someto a consideración de esta soberanía, la presente Iniciativa de Ordenamiento Municipal con Turno a Comisión que tiene por objeto la creación del Reglamento para la Promoción, Protección y Reconocimiento de los Derechos de las Personas de la Diversidad Sexual y de Género (LGBT+) del Municipio de Tonalá, Jalisco, de conformidad con la siguiente:</w:t>
      </w:r>
    </w:p>
    <w:p w14:paraId="3A474197" w14:textId="77777777" w:rsidR="00016FE1" w:rsidRPr="00A8064C" w:rsidRDefault="00016FE1" w:rsidP="002B6227">
      <w:pPr>
        <w:pStyle w:val="Textoindependiente"/>
        <w:tabs>
          <w:tab w:val="left" w:pos="9781"/>
          <w:tab w:val="left" w:pos="9923"/>
          <w:tab w:val="left" w:pos="10065"/>
        </w:tabs>
        <w:spacing w:after="0"/>
        <w:ind w:left="851" w:right="283"/>
        <w:rPr>
          <w:rFonts w:ascii="Gotham" w:hAnsi="Gotham"/>
          <w:i/>
          <w:sz w:val="19"/>
          <w:szCs w:val="19"/>
        </w:rPr>
      </w:pPr>
    </w:p>
    <w:p w14:paraId="3A474198" w14:textId="77777777" w:rsidR="00016FE1" w:rsidRPr="00A8064C" w:rsidRDefault="00016FE1" w:rsidP="002B6227">
      <w:pPr>
        <w:ind w:left="851" w:right="283"/>
        <w:jc w:val="center"/>
        <w:rPr>
          <w:rFonts w:ascii="Gotham" w:hAnsi="Gotham" w:cs="Arial"/>
          <w:i/>
          <w:iCs/>
          <w:sz w:val="19"/>
          <w:szCs w:val="19"/>
        </w:rPr>
      </w:pPr>
      <w:r w:rsidRPr="00A8064C">
        <w:rPr>
          <w:rFonts w:ascii="Gotham" w:hAnsi="Gotham" w:cs="Arial"/>
          <w:i/>
          <w:iCs/>
          <w:sz w:val="19"/>
          <w:szCs w:val="19"/>
        </w:rPr>
        <w:t>EXPOSICION DE MOTIVOS</w:t>
      </w:r>
    </w:p>
    <w:p w14:paraId="3A474199" w14:textId="77777777" w:rsidR="00016FE1" w:rsidRPr="00A8064C" w:rsidRDefault="00016FE1" w:rsidP="002B6227">
      <w:pPr>
        <w:ind w:left="851" w:right="283"/>
        <w:jc w:val="both"/>
        <w:rPr>
          <w:rFonts w:ascii="Gotham" w:hAnsi="Gotham" w:cs="Arial"/>
          <w:i/>
          <w:iCs/>
          <w:sz w:val="19"/>
          <w:szCs w:val="19"/>
        </w:rPr>
      </w:pPr>
    </w:p>
    <w:p w14:paraId="3A47419A"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En el mundo aún nos topamos con que hay países donde la diversidad sexual y de género aún es considerada un delito, situación que además de preocupante es también alarmante. A pesar de ello la lucha por la inclusión y respeto de estos derechos no ha terminado, sino por el contrario, ha dado pasos agigantados por que esto sea una realidad.</w:t>
      </w:r>
    </w:p>
    <w:p w14:paraId="3A47419B" w14:textId="77777777" w:rsidR="00016FE1" w:rsidRPr="00A8064C" w:rsidRDefault="00016FE1" w:rsidP="002B6227">
      <w:pPr>
        <w:ind w:left="851" w:right="283"/>
        <w:jc w:val="both"/>
        <w:rPr>
          <w:rFonts w:ascii="Gotham" w:hAnsi="Gotham" w:cs="Arial"/>
          <w:i/>
          <w:iCs/>
          <w:sz w:val="19"/>
          <w:szCs w:val="19"/>
        </w:rPr>
      </w:pPr>
    </w:p>
    <w:p w14:paraId="3A47419C"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 xml:space="preserve">Según el Glosario de la diversidad sexual, de género y características sexuales, elaborado por el Consejo Nacional para Prevenir la Discriminación, en nuestro país “la discriminación por orientación sexual, identidad y expresión de género y características sexuales es un fenómeno estructural. Lejos de limitarse a casos aislados o aleatorios, esta forma de exclusión se manifiesta </w:t>
      </w:r>
      <w:r w:rsidRPr="00A8064C">
        <w:rPr>
          <w:rFonts w:ascii="Gotham" w:hAnsi="Gotham" w:cs="Arial"/>
          <w:i/>
          <w:iCs/>
          <w:sz w:val="19"/>
          <w:szCs w:val="19"/>
        </w:rPr>
        <w:lastRenderedPageBreak/>
        <w:t>en acciones repetidas y generalizadas que sobre la base de estereotipos restringen los derechos de las personas”.</w:t>
      </w:r>
      <w:r>
        <w:rPr>
          <w:rStyle w:val="Refdenotaalpie"/>
          <w:rFonts w:ascii="Gotham" w:hAnsi="Gotham" w:cs="Arial"/>
          <w:i/>
          <w:iCs/>
          <w:sz w:val="19"/>
          <w:szCs w:val="19"/>
        </w:rPr>
        <w:footnoteReference w:id="5"/>
      </w:r>
    </w:p>
    <w:p w14:paraId="3A47419D" w14:textId="77777777" w:rsidR="00016FE1" w:rsidRPr="00A8064C" w:rsidRDefault="00016FE1" w:rsidP="002B6227">
      <w:pPr>
        <w:ind w:left="851" w:right="283"/>
        <w:jc w:val="both"/>
        <w:rPr>
          <w:rFonts w:ascii="Gotham" w:hAnsi="Gotham" w:cs="Arial"/>
          <w:i/>
          <w:iCs/>
          <w:sz w:val="19"/>
          <w:szCs w:val="19"/>
        </w:rPr>
      </w:pPr>
    </w:p>
    <w:p w14:paraId="3A47419E"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Aunque suene descabellado, en la actualidad hay 72 países, principalmente de Europa del Este, toda Asia, África, Centroamérica y Sudamérica, donde están consideradas como un delito las relaciones sexuales entre personas adultas del mismo sexo.</w:t>
      </w:r>
    </w:p>
    <w:p w14:paraId="3A47419F" w14:textId="77777777" w:rsidR="00016FE1" w:rsidRPr="00A8064C" w:rsidRDefault="00016FE1" w:rsidP="002B6227">
      <w:pPr>
        <w:ind w:left="851" w:right="283"/>
        <w:jc w:val="both"/>
        <w:rPr>
          <w:rFonts w:ascii="Gotham" w:hAnsi="Gotham" w:cs="Arial"/>
          <w:i/>
          <w:iCs/>
          <w:sz w:val="19"/>
          <w:szCs w:val="19"/>
        </w:rPr>
      </w:pPr>
    </w:p>
    <w:p w14:paraId="3A4741A0"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En México se reconoce el pluralismo político y se acepta lo diverso. El reto hoy es reconocer, aceptar y garantizar el pluralismo social, es tiempo de unir esfuerzos para el pleno reconocimiento y el pleno respeto a la diversidad social.</w:t>
      </w:r>
    </w:p>
    <w:p w14:paraId="3A4741A1" w14:textId="77777777" w:rsidR="00016FE1" w:rsidRPr="00A8064C" w:rsidRDefault="00016FE1" w:rsidP="002B6227">
      <w:pPr>
        <w:ind w:left="851" w:right="283"/>
        <w:jc w:val="both"/>
        <w:rPr>
          <w:rFonts w:ascii="Gotham" w:hAnsi="Gotham" w:cs="Arial"/>
          <w:i/>
          <w:iCs/>
          <w:sz w:val="19"/>
          <w:szCs w:val="19"/>
        </w:rPr>
      </w:pPr>
    </w:p>
    <w:p w14:paraId="3A4741A2"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Hemos sido testigos en las últimas décadas de nuevas formas de convivencia, distintas a la familia nuclear tradicional. La discriminación por cualquier motivo, origina que los integrantes de una familia en donde no son aceptados, se vean obligados a enfrentar condiciones de vida difíciles y adversas, que los dejan en profunda desventaja de enfrentar un modo de vida digno, incluyente e igualitario.</w:t>
      </w:r>
    </w:p>
    <w:p w14:paraId="3A4741A3" w14:textId="77777777" w:rsidR="00016FE1" w:rsidRPr="00A8064C" w:rsidRDefault="00016FE1" w:rsidP="002B6227">
      <w:pPr>
        <w:ind w:left="851" w:right="283"/>
        <w:jc w:val="both"/>
        <w:rPr>
          <w:rFonts w:ascii="Gotham" w:hAnsi="Gotham" w:cs="Arial"/>
          <w:i/>
          <w:iCs/>
          <w:sz w:val="19"/>
          <w:szCs w:val="19"/>
        </w:rPr>
      </w:pPr>
    </w:p>
    <w:p w14:paraId="3A4741A4"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La diversidad sexual y de género se refiere a todas las posibilidades que tienen las personas para expresar y vivir su sexualidad, sus preferencias u orientaciones e identidades sexuales y de género. Todos los cuerpos, todas las sensaciones y todos los deseos tienen derecho a existir y manifestarse, sin más límites que el respeto a los derechos de las otras personas.</w:t>
      </w:r>
      <w:r>
        <w:rPr>
          <w:rStyle w:val="Refdenotaalpie"/>
          <w:rFonts w:ascii="Gotham" w:hAnsi="Gotham" w:cs="Arial"/>
          <w:i/>
          <w:iCs/>
          <w:sz w:val="19"/>
          <w:szCs w:val="19"/>
        </w:rPr>
        <w:footnoteReference w:id="6"/>
      </w:r>
    </w:p>
    <w:p w14:paraId="3A4741A5" w14:textId="77777777" w:rsidR="00016FE1" w:rsidRPr="00A8064C" w:rsidRDefault="00016FE1" w:rsidP="002B6227">
      <w:pPr>
        <w:ind w:left="851" w:right="283"/>
        <w:jc w:val="both"/>
        <w:rPr>
          <w:rFonts w:ascii="Gotham" w:hAnsi="Gotham" w:cs="Arial"/>
          <w:i/>
          <w:iCs/>
          <w:sz w:val="19"/>
          <w:szCs w:val="19"/>
        </w:rPr>
      </w:pPr>
    </w:p>
    <w:p w14:paraId="3A4741A6"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En 2021, el total de la población de 15 años y más de edad en México se estima en 97.2 millones de personas. De estas, 5.0 millones se autoidentifican LGBTI+, lo que equivale al 5.1 % de la población de 15 años y más en el país. El 81.8 % se asume parte de esta población por su orientación sexual, 7.6 %, por su identidad de género y 10.6 %, por ambas.</w:t>
      </w:r>
      <w:r>
        <w:rPr>
          <w:rStyle w:val="Refdenotaalpie"/>
          <w:rFonts w:ascii="Gotham" w:hAnsi="Gotham" w:cs="Arial"/>
          <w:i/>
          <w:iCs/>
          <w:sz w:val="19"/>
          <w:szCs w:val="19"/>
        </w:rPr>
        <w:footnoteReference w:id="7"/>
      </w:r>
      <w:r w:rsidRPr="00A8064C">
        <w:rPr>
          <w:rFonts w:ascii="Gotham" w:hAnsi="Gotham" w:cs="Arial"/>
          <w:i/>
          <w:iCs/>
          <w:sz w:val="19"/>
          <w:szCs w:val="19"/>
        </w:rPr>
        <w:t xml:space="preserve"> Un país que sigue siendo lamentable referencia internacional de discriminación por orientación sexual e identidad de género.</w:t>
      </w:r>
    </w:p>
    <w:p w14:paraId="3A4741A7" w14:textId="77777777" w:rsidR="00016FE1" w:rsidRPr="00A8064C" w:rsidRDefault="00016FE1" w:rsidP="002B6227">
      <w:pPr>
        <w:ind w:left="851" w:right="283"/>
        <w:jc w:val="both"/>
        <w:rPr>
          <w:rFonts w:ascii="Gotham" w:hAnsi="Gotham" w:cs="Arial"/>
          <w:i/>
          <w:iCs/>
          <w:sz w:val="19"/>
          <w:szCs w:val="19"/>
        </w:rPr>
      </w:pPr>
    </w:p>
    <w:p w14:paraId="3A4741A8"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Actualmente contamos con dos referentes haciendo política a nivel nacional que son abiertamente personas de la diversidad sexual, Salma Luevano Luna primera mujer trans en acceder a una Diputación Federal y Adolfo Cerqueda Rebollo, Presidente Municipal de Nezahualcóyotl. A ambos se les dijo que no podrían ganar un proceso electoral y hoy, están haciendo historia.</w:t>
      </w:r>
    </w:p>
    <w:p w14:paraId="3A4741A9" w14:textId="77777777" w:rsidR="00016FE1" w:rsidRPr="00A8064C" w:rsidRDefault="00016FE1" w:rsidP="002B6227">
      <w:pPr>
        <w:ind w:left="851" w:right="283"/>
        <w:jc w:val="both"/>
        <w:rPr>
          <w:rFonts w:ascii="Gotham" w:hAnsi="Gotham" w:cs="Arial"/>
          <w:i/>
          <w:iCs/>
          <w:sz w:val="19"/>
          <w:szCs w:val="19"/>
        </w:rPr>
      </w:pPr>
    </w:p>
    <w:p w14:paraId="3A4741AA"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Es cierto que contamos con legislación en materia de igualdad y no discriminación, pero también es cierto que no hay leyes o reglamentos que sean expresamente para las personas de la diversidad sexual y de género. A excepción de la Ciudad de México que bastante ventaja nos lleva en la materia.</w:t>
      </w:r>
    </w:p>
    <w:p w14:paraId="3A4741AB" w14:textId="77777777" w:rsidR="00016FE1" w:rsidRPr="00A8064C" w:rsidRDefault="00016FE1" w:rsidP="002B6227">
      <w:pPr>
        <w:ind w:left="851" w:right="283"/>
        <w:jc w:val="both"/>
        <w:rPr>
          <w:rFonts w:ascii="Gotham" w:hAnsi="Gotham" w:cs="Arial"/>
          <w:i/>
          <w:iCs/>
          <w:sz w:val="19"/>
          <w:szCs w:val="19"/>
        </w:rPr>
      </w:pPr>
    </w:p>
    <w:p w14:paraId="3A4741AC"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En nuestro estado no hay municipio que cuente con un reglamento al respecto, de tal manera que seríamos punta de lanza al aprobar un reglamento de esta magnitud, por supuesto, con la participación y colaboración de las colectivas que desde hoy han estado presentes en el desarrollo del proyecto.</w:t>
      </w:r>
    </w:p>
    <w:p w14:paraId="3A4741AD" w14:textId="77777777" w:rsidR="00016FE1" w:rsidRPr="00A8064C" w:rsidRDefault="00016FE1" w:rsidP="002B6227">
      <w:pPr>
        <w:ind w:left="851" w:right="283"/>
        <w:jc w:val="both"/>
        <w:rPr>
          <w:rFonts w:ascii="Gotham" w:hAnsi="Gotham" w:cs="Arial"/>
          <w:i/>
          <w:iCs/>
          <w:sz w:val="19"/>
          <w:szCs w:val="19"/>
        </w:rPr>
      </w:pPr>
    </w:p>
    <w:p w14:paraId="3A4741AE" w14:textId="77777777" w:rsidR="00016FE1" w:rsidRPr="00A8064C" w:rsidRDefault="00016FE1" w:rsidP="002B6227">
      <w:pPr>
        <w:ind w:left="851" w:right="283"/>
        <w:jc w:val="both"/>
        <w:rPr>
          <w:rFonts w:ascii="Gotham" w:hAnsi="Gotham" w:cs="Arial"/>
          <w:i/>
          <w:iCs/>
          <w:sz w:val="19"/>
          <w:szCs w:val="19"/>
        </w:rPr>
      </w:pPr>
      <w:r w:rsidRPr="00A8064C">
        <w:rPr>
          <w:rFonts w:ascii="Gotham" w:hAnsi="Gotham" w:cs="Arial"/>
          <w:i/>
          <w:iCs/>
          <w:sz w:val="19"/>
          <w:szCs w:val="19"/>
        </w:rPr>
        <w:t>Es por eso que hoy pongo a su consideración un ante proyecto de reglamento que consta de lo siguiente:</w:t>
      </w:r>
    </w:p>
    <w:p w14:paraId="3A4741AF" w14:textId="77777777" w:rsidR="00016FE1" w:rsidRPr="003272D8" w:rsidRDefault="00016FE1" w:rsidP="002B6227">
      <w:pPr>
        <w:ind w:left="851" w:right="283"/>
        <w:jc w:val="both"/>
        <w:rPr>
          <w:rFonts w:ascii="Gotham" w:hAnsi="Gotham" w:cs="Arial"/>
          <w:i/>
          <w:iCs/>
          <w:sz w:val="19"/>
          <w:szCs w:val="19"/>
        </w:rPr>
      </w:pPr>
    </w:p>
    <w:p w14:paraId="3A4741B0" w14:textId="77777777" w:rsidR="00016FE1" w:rsidRPr="00662B96" w:rsidRDefault="00016FE1" w:rsidP="002B6227">
      <w:pPr>
        <w:ind w:left="1134" w:right="567"/>
        <w:jc w:val="center"/>
        <w:rPr>
          <w:rFonts w:ascii="Gotham" w:hAnsi="Gotham"/>
          <w:b/>
          <w:i/>
          <w:sz w:val="18"/>
          <w:szCs w:val="18"/>
        </w:rPr>
      </w:pPr>
      <w:r w:rsidRPr="00662B96">
        <w:rPr>
          <w:rFonts w:ascii="Gotham" w:hAnsi="Gotham"/>
          <w:b/>
          <w:i/>
          <w:w w:val="95"/>
          <w:sz w:val="18"/>
          <w:szCs w:val="18"/>
        </w:rPr>
        <w:t>REGLAMENTO</w:t>
      </w:r>
      <w:r w:rsidRPr="00662B96">
        <w:rPr>
          <w:rFonts w:ascii="Gotham" w:hAnsi="Gotham"/>
          <w:b/>
          <w:i/>
          <w:spacing w:val="10"/>
          <w:w w:val="95"/>
          <w:sz w:val="18"/>
          <w:szCs w:val="18"/>
        </w:rPr>
        <w:t xml:space="preserve"> </w:t>
      </w:r>
      <w:r w:rsidRPr="00662B96">
        <w:rPr>
          <w:rFonts w:ascii="Gotham" w:hAnsi="Gotham"/>
          <w:b/>
          <w:i/>
          <w:w w:val="95"/>
          <w:sz w:val="18"/>
          <w:szCs w:val="18"/>
        </w:rPr>
        <w:t>PARA</w:t>
      </w:r>
      <w:r w:rsidRPr="00662B96">
        <w:rPr>
          <w:rFonts w:ascii="Gotham" w:hAnsi="Gotham"/>
          <w:b/>
          <w:i/>
          <w:spacing w:val="11"/>
          <w:w w:val="95"/>
          <w:sz w:val="18"/>
          <w:szCs w:val="18"/>
        </w:rPr>
        <w:t xml:space="preserve"> </w:t>
      </w:r>
      <w:r w:rsidRPr="00662B96">
        <w:rPr>
          <w:rFonts w:ascii="Gotham" w:hAnsi="Gotham"/>
          <w:b/>
          <w:i/>
          <w:w w:val="95"/>
          <w:sz w:val="18"/>
          <w:szCs w:val="18"/>
        </w:rPr>
        <w:t>LA</w:t>
      </w:r>
      <w:r w:rsidRPr="00662B96">
        <w:rPr>
          <w:rFonts w:ascii="Gotham" w:hAnsi="Gotham"/>
          <w:b/>
          <w:i/>
          <w:spacing w:val="10"/>
          <w:w w:val="95"/>
          <w:sz w:val="18"/>
          <w:szCs w:val="18"/>
        </w:rPr>
        <w:t xml:space="preserve"> </w:t>
      </w:r>
      <w:r w:rsidRPr="00662B96">
        <w:rPr>
          <w:rFonts w:ascii="Gotham" w:hAnsi="Gotham"/>
          <w:b/>
          <w:i/>
          <w:w w:val="95"/>
          <w:sz w:val="18"/>
          <w:szCs w:val="18"/>
        </w:rPr>
        <w:t>PROMOCIÓN,</w:t>
      </w:r>
      <w:r w:rsidRPr="00662B96">
        <w:rPr>
          <w:rFonts w:ascii="Gotham" w:hAnsi="Gotham"/>
          <w:b/>
          <w:i/>
          <w:spacing w:val="12"/>
          <w:w w:val="95"/>
          <w:sz w:val="18"/>
          <w:szCs w:val="18"/>
        </w:rPr>
        <w:t xml:space="preserve"> </w:t>
      </w:r>
      <w:r w:rsidRPr="00662B96">
        <w:rPr>
          <w:rFonts w:ascii="Gotham" w:hAnsi="Gotham"/>
          <w:b/>
          <w:i/>
          <w:w w:val="95"/>
          <w:sz w:val="18"/>
          <w:szCs w:val="18"/>
        </w:rPr>
        <w:t>PROTECCIÓN</w:t>
      </w:r>
      <w:r w:rsidRPr="00662B96">
        <w:rPr>
          <w:rFonts w:ascii="Gotham" w:hAnsi="Gotham"/>
          <w:b/>
          <w:i/>
          <w:spacing w:val="10"/>
          <w:w w:val="95"/>
          <w:sz w:val="18"/>
          <w:szCs w:val="18"/>
        </w:rPr>
        <w:t xml:space="preserve"> </w:t>
      </w:r>
      <w:r w:rsidRPr="00662B96">
        <w:rPr>
          <w:rFonts w:ascii="Gotham" w:hAnsi="Gotham"/>
          <w:b/>
          <w:i/>
          <w:w w:val="95"/>
          <w:sz w:val="18"/>
          <w:szCs w:val="18"/>
        </w:rPr>
        <w:t>Y</w:t>
      </w:r>
      <w:r w:rsidRPr="00662B96">
        <w:rPr>
          <w:rFonts w:ascii="Gotham" w:hAnsi="Gotham"/>
          <w:b/>
          <w:i/>
          <w:spacing w:val="11"/>
          <w:w w:val="95"/>
          <w:sz w:val="18"/>
          <w:szCs w:val="18"/>
        </w:rPr>
        <w:t xml:space="preserve"> </w:t>
      </w:r>
      <w:r w:rsidRPr="00662B96">
        <w:rPr>
          <w:rFonts w:ascii="Gotham" w:hAnsi="Gotham"/>
          <w:b/>
          <w:i/>
          <w:w w:val="95"/>
          <w:sz w:val="18"/>
          <w:szCs w:val="18"/>
        </w:rPr>
        <w:t>RECONOCIMIENTO</w:t>
      </w:r>
      <w:r w:rsidRPr="00662B96">
        <w:rPr>
          <w:rFonts w:ascii="Gotham" w:hAnsi="Gotham"/>
          <w:b/>
          <w:i/>
          <w:spacing w:val="10"/>
          <w:w w:val="95"/>
          <w:sz w:val="18"/>
          <w:szCs w:val="18"/>
        </w:rPr>
        <w:t xml:space="preserve"> </w:t>
      </w:r>
      <w:r w:rsidRPr="00662B96">
        <w:rPr>
          <w:rFonts w:ascii="Gotham" w:hAnsi="Gotham"/>
          <w:b/>
          <w:i/>
          <w:w w:val="95"/>
          <w:sz w:val="18"/>
          <w:szCs w:val="18"/>
        </w:rPr>
        <w:t>DE</w:t>
      </w:r>
      <w:r w:rsidRPr="00662B96">
        <w:rPr>
          <w:rFonts w:ascii="Gotham" w:hAnsi="Gotham"/>
          <w:b/>
          <w:i/>
          <w:spacing w:val="11"/>
          <w:w w:val="95"/>
          <w:sz w:val="18"/>
          <w:szCs w:val="18"/>
        </w:rPr>
        <w:t xml:space="preserve"> </w:t>
      </w:r>
      <w:r w:rsidRPr="00662B96">
        <w:rPr>
          <w:rFonts w:ascii="Gotham" w:hAnsi="Gotham"/>
          <w:b/>
          <w:i/>
          <w:w w:val="95"/>
          <w:sz w:val="18"/>
          <w:szCs w:val="18"/>
        </w:rPr>
        <w:t>LOS</w:t>
      </w:r>
      <w:r w:rsidRPr="00662B96">
        <w:rPr>
          <w:rFonts w:ascii="Gotham" w:hAnsi="Gotham"/>
          <w:b/>
          <w:i/>
          <w:spacing w:val="10"/>
          <w:w w:val="95"/>
          <w:sz w:val="18"/>
          <w:szCs w:val="18"/>
        </w:rPr>
        <w:t xml:space="preserve"> </w:t>
      </w:r>
      <w:r w:rsidRPr="00662B96">
        <w:rPr>
          <w:rFonts w:ascii="Gotham" w:hAnsi="Gotham"/>
          <w:b/>
          <w:i/>
          <w:w w:val="95"/>
          <w:sz w:val="18"/>
          <w:szCs w:val="18"/>
        </w:rPr>
        <w:t>DERECHOS</w:t>
      </w:r>
      <w:r w:rsidRPr="00662B96">
        <w:rPr>
          <w:rFonts w:ascii="Gotham" w:hAnsi="Gotham"/>
          <w:b/>
          <w:i/>
          <w:spacing w:val="-43"/>
          <w:w w:val="95"/>
          <w:sz w:val="18"/>
          <w:szCs w:val="18"/>
        </w:rPr>
        <w:t xml:space="preserve"> </w:t>
      </w:r>
      <w:r w:rsidRPr="00662B96">
        <w:rPr>
          <w:rFonts w:ascii="Gotham" w:hAnsi="Gotham"/>
          <w:b/>
          <w:i/>
          <w:w w:val="95"/>
          <w:sz w:val="18"/>
          <w:szCs w:val="18"/>
        </w:rPr>
        <w:t>DE</w:t>
      </w:r>
      <w:r w:rsidRPr="00662B96">
        <w:rPr>
          <w:rFonts w:ascii="Gotham" w:hAnsi="Gotham"/>
          <w:b/>
          <w:i/>
          <w:spacing w:val="5"/>
          <w:w w:val="95"/>
          <w:sz w:val="18"/>
          <w:szCs w:val="18"/>
        </w:rPr>
        <w:t xml:space="preserve"> </w:t>
      </w:r>
      <w:r w:rsidRPr="00662B96">
        <w:rPr>
          <w:rFonts w:ascii="Gotham" w:hAnsi="Gotham"/>
          <w:b/>
          <w:i/>
          <w:w w:val="95"/>
          <w:sz w:val="18"/>
          <w:szCs w:val="18"/>
        </w:rPr>
        <w:t>LAS</w:t>
      </w:r>
      <w:r w:rsidRPr="00662B96">
        <w:rPr>
          <w:rFonts w:ascii="Gotham" w:hAnsi="Gotham"/>
          <w:b/>
          <w:i/>
          <w:spacing w:val="6"/>
          <w:w w:val="95"/>
          <w:sz w:val="18"/>
          <w:szCs w:val="18"/>
        </w:rPr>
        <w:t xml:space="preserve"> </w:t>
      </w:r>
      <w:r w:rsidRPr="00662B96">
        <w:rPr>
          <w:rFonts w:ascii="Gotham" w:hAnsi="Gotham"/>
          <w:b/>
          <w:i/>
          <w:w w:val="95"/>
          <w:sz w:val="18"/>
          <w:szCs w:val="18"/>
        </w:rPr>
        <w:t>PERSONAS</w:t>
      </w:r>
      <w:r w:rsidRPr="00662B96">
        <w:rPr>
          <w:rFonts w:ascii="Gotham" w:hAnsi="Gotham"/>
          <w:b/>
          <w:i/>
          <w:spacing w:val="6"/>
          <w:w w:val="95"/>
          <w:sz w:val="18"/>
          <w:szCs w:val="18"/>
        </w:rPr>
        <w:t xml:space="preserve"> </w:t>
      </w:r>
      <w:r w:rsidRPr="00662B96">
        <w:rPr>
          <w:rFonts w:ascii="Gotham" w:hAnsi="Gotham"/>
          <w:b/>
          <w:i/>
          <w:w w:val="95"/>
          <w:sz w:val="18"/>
          <w:szCs w:val="18"/>
        </w:rPr>
        <w:t>DE</w:t>
      </w:r>
      <w:r w:rsidRPr="00662B96">
        <w:rPr>
          <w:rFonts w:ascii="Gotham" w:hAnsi="Gotham"/>
          <w:b/>
          <w:i/>
          <w:spacing w:val="6"/>
          <w:w w:val="95"/>
          <w:sz w:val="18"/>
          <w:szCs w:val="18"/>
        </w:rPr>
        <w:t xml:space="preserve"> </w:t>
      </w:r>
      <w:r w:rsidRPr="00662B96">
        <w:rPr>
          <w:rFonts w:ascii="Gotham" w:hAnsi="Gotham"/>
          <w:b/>
          <w:i/>
          <w:w w:val="95"/>
          <w:sz w:val="18"/>
          <w:szCs w:val="18"/>
        </w:rPr>
        <w:t>LA</w:t>
      </w:r>
      <w:r w:rsidRPr="00662B96">
        <w:rPr>
          <w:rFonts w:ascii="Gotham" w:hAnsi="Gotham"/>
          <w:b/>
          <w:i/>
          <w:spacing w:val="6"/>
          <w:w w:val="95"/>
          <w:sz w:val="18"/>
          <w:szCs w:val="18"/>
        </w:rPr>
        <w:t xml:space="preserve"> </w:t>
      </w:r>
      <w:r w:rsidRPr="00662B96">
        <w:rPr>
          <w:rFonts w:ascii="Gotham" w:hAnsi="Gotham"/>
          <w:b/>
          <w:i/>
          <w:w w:val="95"/>
          <w:sz w:val="18"/>
          <w:szCs w:val="18"/>
        </w:rPr>
        <w:t>DIVERSIDAD</w:t>
      </w:r>
      <w:r w:rsidRPr="00662B96">
        <w:rPr>
          <w:rFonts w:ascii="Gotham" w:hAnsi="Gotham"/>
          <w:b/>
          <w:i/>
          <w:spacing w:val="6"/>
          <w:w w:val="95"/>
          <w:sz w:val="18"/>
          <w:szCs w:val="18"/>
        </w:rPr>
        <w:t xml:space="preserve"> </w:t>
      </w:r>
      <w:r w:rsidRPr="00662B96">
        <w:rPr>
          <w:rFonts w:ascii="Gotham" w:hAnsi="Gotham"/>
          <w:b/>
          <w:i/>
          <w:w w:val="95"/>
          <w:sz w:val="18"/>
          <w:szCs w:val="18"/>
        </w:rPr>
        <w:t>SEXUAL</w:t>
      </w:r>
      <w:r w:rsidRPr="00662B96">
        <w:rPr>
          <w:rFonts w:ascii="Gotham" w:hAnsi="Gotham"/>
          <w:b/>
          <w:i/>
          <w:spacing w:val="6"/>
          <w:w w:val="95"/>
          <w:sz w:val="18"/>
          <w:szCs w:val="18"/>
        </w:rPr>
        <w:t xml:space="preserve"> </w:t>
      </w:r>
      <w:r w:rsidRPr="00662B96">
        <w:rPr>
          <w:rFonts w:ascii="Gotham" w:hAnsi="Gotham"/>
          <w:b/>
          <w:i/>
          <w:w w:val="95"/>
          <w:sz w:val="18"/>
          <w:szCs w:val="18"/>
        </w:rPr>
        <w:t>Y</w:t>
      </w:r>
      <w:r w:rsidRPr="00662B96">
        <w:rPr>
          <w:rFonts w:ascii="Gotham" w:hAnsi="Gotham"/>
          <w:b/>
          <w:i/>
          <w:spacing w:val="6"/>
          <w:w w:val="95"/>
          <w:sz w:val="18"/>
          <w:szCs w:val="18"/>
        </w:rPr>
        <w:t xml:space="preserve"> </w:t>
      </w:r>
      <w:r w:rsidRPr="00662B96">
        <w:rPr>
          <w:rFonts w:ascii="Gotham" w:hAnsi="Gotham"/>
          <w:b/>
          <w:i/>
          <w:w w:val="95"/>
          <w:sz w:val="18"/>
          <w:szCs w:val="18"/>
        </w:rPr>
        <w:t>DE</w:t>
      </w:r>
      <w:r w:rsidRPr="00662B96">
        <w:rPr>
          <w:rFonts w:ascii="Gotham" w:hAnsi="Gotham"/>
          <w:b/>
          <w:i/>
          <w:spacing w:val="6"/>
          <w:w w:val="95"/>
          <w:sz w:val="18"/>
          <w:szCs w:val="18"/>
        </w:rPr>
        <w:t xml:space="preserve"> </w:t>
      </w:r>
      <w:r w:rsidRPr="00662B96">
        <w:rPr>
          <w:rFonts w:ascii="Gotham" w:hAnsi="Gotham"/>
          <w:b/>
          <w:i/>
          <w:w w:val="95"/>
          <w:sz w:val="18"/>
          <w:szCs w:val="18"/>
        </w:rPr>
        <w:t>GÉNERO</w:t>
      </w:r>
      <w:r w:rsidRPr="00662B96">
        <w:rPr>
          <w:rFonts w:ascii="Gotham" w:hAnsi="Gotham"/>
          <w:b/>
          <w:i/>
          <w:spacing w:val="6"/>
          <w:w w:val="95"/>
          <w:sz w:val="18"/>
          <w:szCs w:val="18"/>
        </w:rPr>
        <w:t xml:space="preserve"> </w:t>
      </w:r>
      <w:r w:rsidRPr="00662B96">
        <w:rPr>
          <w:rFonts w:ascii="Gotham" w:hAnsi="Gotham"/>
          <w:b/>
          <w:i/>
          <w:w w:val="95"/>
          <w:sz w:val="18"/>
          <w:szCs w:val="18"/>
        </w:rPr>
        <w:t>(LGBT+)</w:t>
      </w:r>
      <w:r w:rsidRPr="00662B96">
        <w:rPr>
          <w:rFonts w:ascii="Gotham" w:hAnsi="Gotham"/>
          <w:b/>
          <w:i/>
          <w:spacing w:val="6"/>
          <w:w w:val="95"/>
          <w:sz w:val="18"/>
          <w:szCs w:val="18"/>
        </w:rPr>
        <w:t xml:space="preserve"> </w:t>
      </w:r>
      <w:r w:rsidRPr="00662B96">
        <w:rPr>
          <w:rFonts w:ascii="Gotham" w:hAnsi="Gotham"/>
          <w:b/>
          <w:i/>
          <w:w w:val="95"/>
          <w:sz w:val="18"/>
          <w:szCs w:val="18"/>
        </w:rPr>
        <w:t>DEL</w:t>
      </w:r>
      <w:r w:rsidRPr="00662B96">
        <w:rPr>
          <w:rFonts w:ascii="Gotham" w:hAnsi="Gotham"/>
          <w:b/>
          <w:i/>
          <w:spacing w:val="6"/>
          <w:w w:val="95"/>
          <w:sz w:val="18"/>
          <w:szCs w:val="18"/>
        </w:rPr>
        <w:t xml:space="preserve"> </w:t>
      </w:r>
      <w:r w:rsidRPr="00662B96">
        <w:rPr>
          <w:rFonts w:ascii="Gotham" w:hAnsi="Gotham"/>
          <w:b/>
          <w:i/>
          <w:w w:val="95"/>
          <w:sz w:val="18"/>
          <w:szCs w:val="18"/>
        </w:rPr>
        <w:t>MUNICIPIO</w:t>
      </w:r>
      <w:r w:rsidRPr="00662B96">
        <w:rPr>
          <w:rFonts w:ascii="Gotham" w:hAnsi="Gotham"/>
          <w:b/>
          <w:i/>
          <w:spacing w:val="6"/>
          <w:w w:val="95"/>
          <w:sz w:val="18"/>
          <w:szCs w:val="18"/>
        </w:rPr>
        <w:t xml:space="preserve"> </w:t>
      </w:r>
      <w:r w:rsidRPr="00662B96">
        <w:rPr>
          <w:rFonts w:ascii="Gotham" w:hAnsi="Gotham"/>
          <w:b/>
          <w:i/>
          <w:w w:val="95"/>
          <w:sz w:val="18"/>
          <w:szCs w:val="18"/>
        </w:rPr>
        <w:t>DE</w:t>
      </w:r>
      <w:r w:rsidRPr="00662B96">
        <w:rPr>
          <w:rFonts w:ascii="Gotham" w:hAnsi="Gotham"/>
          <w:b/>
          <w:i/>
          <w:spacing w:val="1"/>
          <w:w w:val="95"/>
          <w:sz w:val="18"/>
          <w:szCs w:val="18"/>
        </w:rPr>
        <w:t xml:space="preserve"> </w:t>
      </w:r>
      <w:r w:rsidRPr="00662B96">
        <w:rPr>
          <w:rFonts w:ascii="Gotham" w:hAnsi="Gotham"/>
          <w:b/>
          <w:i/>
          <w:sz w:val="18"/>
          <w:szCs w:val="18"/>
        </w:rPr>
        <w:t>TONALÁ,</w:t>
      </w:r>
      <w:r w:rsidRPr="00662B96">
        <w:rPr>
          <w:rFonts w:ascii="Gotham" w:hAnsi="Gotham"/>
          <w:b/>
          <w:i/>
          <w:spacing w:val="3"/>
          <w:sz w:val="18"/>
          <w:szCs w:val="18"/>
        </w:rPr>
        <w:t xml:space="preserve"> </w:t>
      </w:r>
      <w:r w:rsidRPr="00662B96">
        <w:rPr>
          <w:rFonts w:ascii="Gotham" w:hAnsi="Gotham"/>
          <w:b/>
          <w:i/>
          <w:sz w:val="18"/>
          <w:szCs w:val="18"/>
        </w:rPr>
        <w:t>JALISCO.</w:t>
      </w:r>
    </w:p>
    <w:p w14:paraId="3A4741B1" w14:textId="77777777" w:rsidR="00016FE1" w:rsidRPr="00662B96" w:rsidRDefault="00016FE1" w:rsidP="002B6227">
      <w:pPr>
        <w:pStyle w:val="Textoindependiente"/>
        <w:spacing w:after="0"/>
        <w:ind w:left="1134" w:right="567"/>
        <w:rPr>
          <w:rFonts w:ascii="Gotham" w:hAnsi="Gotham"/>
          <w:i/>
          <w:sz w:val="18"/>
          <w:szCs w:val="18"/>
        </w:rPr>
      </w:pPr>
    </w:p>
    <w:p w14:paraId="3A4741B2" w14:textId="77777777" w:rsidR="00016FE1" w:rsidRPr="00662B96" w:rsidRDefault="00016FE1" w:rsidP="002B6227">
      <w:pPr>
        <w:ind w:left="1134" w:right="567"/>
        <w:jc w:val="center"/>
        <w:rPr>
          <w:rFonts w:ascii="Gotham" w:hAnsi="Gotham"/>
          <w:b/>
          <w:i/>
          <w:sz w:val="18"/>
          <w:szCs w:val="18"/>
        </w:rPr>
      </w:pPr>
      <w:r w:rsidRPr="00662B96">
        <w:rPr>
          <w:rFonts w:ascii="Gotham" w:hAnsi="Gotham"/>
          <w:b/>
          <w:i/>
          <w:sz w:val="18"/>
          <w:szCs w:val="18"/>
        </w:rPr>
        <w:t>TÍTULO PRIMERO</w:t>
      </w:r>
      <w:r w:rsidRPr="00662B96">
        <w:rPr>
          <w:rFonts w:ascii="Gotham" w:hAnsi="Gotham"/>
          <w:b/>
          <w:i/>
          <w:spacing w:val="1"/>
          <w:sz w:val="18"/>
          <w:szCs w:val="18"/>
        </w:rPr>
        <w:t xml:space="preserve"> </w:t>
      </w:r>
      <w:r w:rsidRPr="00662B96">
        <w:rPr>
          <w:rFonts w:ascii="Gotham" w:hAnsi="Gotham"/>
          <w:b/>
          <w:i/>
          <w:w w:val="95"/>
          <w:sz w:val="18"/>
          <w:szCs w:val="18"/>
        </w:rPr>
        <w:t>DISPOSICIONES</w:t>
      </w:r>
      <w:r w:rsidRPr="00662B96">
        <w:rPr>
          <w:rFonts w:ascii="Gotham" w:hAnsi="Gotham"/>
          <w:b/>
          <w:i/>
          <w:spacing w:val="30"/>
          <w:w w:val="95"/>
          <w:sz w:val="18"/>
          <w:szCs w:val="18"/>
        </w:rPr>
        <w:t xml:space="preserve"> </w:t>
      </w:r>
      <w:r w:rsidRPr="00662B96">
        <w:rPr>
          <w:rFonts w:ascii="Gotham" w:hAnsi="Gotham"/>
          <w:b/>
          <w:i/>
          <w:w w:val="95"/>
          <w:sz w:val="18"/>
          <w:szCs w:val="18"/>
        </w:rPr>
        <w:t>GENERALES</w:t>
      </w:r>
    </w:p>
    <w:p w14:paraId="3A4741B3" w14:textId="77777777" w:rsidR="00016FE1" w:rsidRPr="00662B96" w:rsidRDefault="00016FE1" w:rsidP="002B6227">
      <w:pPr>
        <w:ind w:left="1134" w:right="567"/>
        <w:jc w:val="center"/>
        <w:rPr>
          <w:rFonts w:ascii="Gotham" w:hAnsi="Gotham"/>
          <w:b/>
          <w:i/>
          <w:sz w:val="18"/>
          <w:szCs w:val="18"/>
        </w:rPr>
      </w:pPr>
      <w:r w:rsidRPr="00662B96">
        <w:rPr>
          <w:rFonts w:ascii="Gotham" w:hAnsi="Gotham"/>
          <w:b/>
          <w:i/>
          <w:sz w:val="18"/>
          <w:szCs w:val="18"/>
        </w:rPr>
        <w:t>Capítulo I</w:t>
      </w:r>
      <w:r w:rsidRPr="00662B96">
        <w:rPr>
          <w:rFonts w:ascii="Gotham" w:hAnsi="Gotham"/>
          <w:b/>
          <w:i/>
          <w:spacing w:val="1"/>
          <w:sz w:val="18"/>
          <w:szCs w:val="18"/>
        </w:rPr>
        <w:t xml:space="preserve"> </w:t>
      </w:r>
      <w:r w:rsidRPr="00662B96">
        <w:rPr>
          <w:rFonts w:ascii="Gotham" w:hAnsi="Gotham"/>
          <w:b/>
          <w:i/>
          <w:spacing w:val="-2"/>
          <w:w w:val="90"/>
          <w:sz w:val="18"/>
          <w:szCs w:val="18"/>
        </w:rPr>
        <w:t>Disposiciones</w:t>
      </w:r>
      <w:r w:rsidRPr="00662B96">
        <w:rPr>
          <w:rFonts w:ascii="Gotham" w:hAnsi="Gotham"/>
          <w:b/>
          <w:i/>
          <w:spacing w:val="-4"/>
          <w:w w:val="90"/>
          <w:sz w:val="18"/>
          <w:szCs w:val="18"/>
        </w:rPr>
        <w:t xml:space="preserve"> </w:t>
      </w:r>
      <w:r w:rsidRPr="00662B96">
        <w:rPr>
          <w:rFonts w:ascii="Gotham" w:hAnsi="Gotham"/>
          <w:b/>
          <w:i/>
          <w:spacing w:val="-1"/>
          <w:w w:val="90"/>
          <w:sz w:val="18"/>
          <w:szCs w:val="18"/>
        </w:rPr>
        <w:t>Generales</w:t>
      </w:r>
    </w:p>
    <w:p w14:paraId="3A4741B4" w14:textId="77777777" w:rsidR="00016FE1" w:rsidRPr="00662B96" w:rsidRDefault="00016FE1" w:rsidP="002B6227">
      <w:pPr>
        <w:pStyle w:val="Textoindependiente"/>
        <w:spacing w:after="0"/>
        <w:ind w:left="1134" w:right="567"/>
        <w:rPr>
          <w:rFonts w:ascii="Gotham" w:hAnsi="Gotham"/>
          <w:b/>
          <w:i/>
          <w:sz w:val="18"/>
          <w:szCs w:val="18"/>
        </w:rPr>
      </w:pPr>
    </w:p>
    <w:p w14:paraId="3A4741B5" w14:textId="77777777" w:rsidR="00016FE1" w:rsidRPr="00662B96" w:rsidRDefault="00016FE1" w:rsidP="002B6227">
      <w:pPr>
        <w:ind w:left="1134" w:right="567"/>
        <w:jc w:val="both"/>
        <w:rPr>
          <w:rFonts w:ascii="Gotham" w:hAnsi="Gotham" w:cs="Arial"/>
          <w:i/>
          <w:iCs/>
          <w:sz w:val="18"/>
          <w:szCs w:val="18"/>
        </w:rPr>
      </w:pPr>
      <w:r w:rsidRPr="00662B96">
        <w:rPr>
          <w:rFonts w:ascii="Gotham" w:hAnsi="Gotham" w:cs="Arial"/>
          <w:b/>
          <w:i/>
          <w:iCs/>
          <w:sz w:val="18"/>
          <w:szCs w:val="18"/>
        </w:rPr>
        <w:t>Artículo 1.</w:t>
      </w:r>
      <w:r w:rsidRPr="00662B96">
        <w:rPr>
          <w:rFonts w:ascii="Gotham" w:hAnsi="Gotham" w:cs="Arial"/>
          <w:i/>
          <w:iCs/>
          <w:sz w:val="18"/>
          <w:szCs w:val="18"/>
        </w:rPr>
        <w:t xml:space="preserve"> Las disposiciones del presente Reglamento son de orden público, interés social y de observancia general en el municipio de Tonalá, Jalisco.</w:t>
      </w:r>
    </w:p>
    <w:p w14:paraId="3A4741B6" w14:textId="77777777" w:rsidR="00016FE1" w:rsidRPr="00662B96" w:rsidRDefault="00016FE1" w:rsidP="002B6227">
      <w:pPr>
        <w:ind w:left="1134" w:right="567"/>
        <w:jc w:val="both"/>
        <w:rPr>
          <w:rFonts w:ascii="Gotham" w:hAnsi="Gotham" w:cs="Arial"/>
          <w:i/>
          <w:iCs/>
          <w:sz w:val="18"/>
          <w:szCs w:val="18"/>
        </w:rPr>
      </w:pPr>
    </w:p>
    <w:p w14:paraId="3A4741B7" w14:textId="77777777" w:rsidR="00016FE1" w:rsidRPr="00662B96" w:rsidRDefault="00016FE1" w:rsidP="002B6227">
      <w:pPr>
        <w:ind w:left="1134" w:right="567"/>
        <w:jc w:val="both"/>
        <w:rPr>
          <w:rFonts w:ascii="Gotham" w:hAnsi="Gotham" w:cs="Arial"/>
          <w:i/>
          <w:iCs/>
          <w:sz w:val="18"/>
          <w:szCs w:val="18"/>
        </w:rPr>
      </w:pPr>
      <w:r w:rsidRPr="00662B96">
        <w:rPr>
          <w:rFonts w:ascii="Gotham" w:hAnsi="Gotham" w:cs="Arial"/>
          <w:b/>
          <w:i/>
          <w:iCs/>
          <w:sz w:val="18"/>
          <w:szCs w:val="18"/>
        </w:rPr>
        <w:t>Artículo 2.</w:t>
      </w:r>
      <w:r w:rsidRPr="00662B96">
        <w:rPr>
          <w:rFonts w:ascii="Gotham" w:hAnsi="Gotham" w:cs="Arial"/>
          <w:i/>
          <w:iCs/>
          <w:sz w:val="18"/>
          <w:szCs w:val="18"/>
        </w:rPr>
        <w:t xml:space="preserve"> El presente ordenamiento tiene por objeto reconocer, proteger y garantizar los derechos humanos de las personas de diversidad sexual y de género. Promover planos de igualdad cultural y social dentro del territorio municipal, a través de la institución de políticas públicas progresivas, así como prevenir y erradicar todas las formas de exclusión, discriminación y violencia que atente contra el respecto, la autonomía, la libertad y la dignidad de las personas de la diversidad sexual.</w:t>
      </w:r>
    </w:p>
    <w:p w14:paraId="3A4741B8" w14:textId="77777777" w:rsidR="00016FE1" w:rsidRPr="00662B96" w:rsidRDefault="00016FE1" w:rsidP="002B6227">
      <w:pPr>
        <w:ind w:left="1134" w:right="567"/>
        <w:jc w:val="both"/>
        <w:rPr>
          <w:rFonts w:ascii="Gotham" w:hAnsi="Gotham" w:cs="Arial"/>
          <w:i/>
          <w:iCs/>
          <w:sz w:val="18"/>
          <w:szCs w:val="18"/>
        </w:rPr>
      </w:pPr>
    </w:p>
    <w:p w14:paraId="3A4741B9" w14:textId="77777777" w:rsidR="00016FE1" w:rsidRPr="00662B96" w:rsidRDefault="00016FE1" w:rsidP="002B6227">
      <w:pPr>
        <w:ind w:left="1134" w:right="567"/>
        <w:jc w:val="both"/>
        <w:rPr>
          <w:rFonts w:ascii="Gotham" w:hAnsi="Gotham" w:cs="Arial"/>
          <w:i/>
          <w:iCs/>
          <w:sz w:val="18"/>
          <w:szCs w:val="18"/>
        </w:rPr>
      </w:pPr>
      <w:r w:rsidRPr="00662B96">
        <w:rPr>
          <w:rFonts w:ascii="Gotham" w:hAnsi="Gotham" w:cs="Arial"/>
          <w:b/>
          <w:i/>
          <w:iCs/>
          <w:sz w:val="18"/>
          <w:szCs w:val="18"/>
        </w:rPr>
        <w:t>Artículo 3.</w:t>
      </w:r>
      <w:r w:rsidRPr="00662B96">
        <w:rPr>
          <w:rFonts w:ascii="Gotham" w:hAnsi="Gotham" w:cs="Arial"/>
          <w:i/>
          <w:iCs/>
          <w:sz w:val="18"/>
          <w:szCs w:val="18"/>
        </w:rPr>
        <w:t xml:space="preserve"> Son competentes en la aplicación del presente ordenamiento las autoridades, dependencias y entidades del Ayuntamiento de Tonalá, Jalisco.</w:t>
      </w:r>
    </w:p>
    <w:p w14:paraId="3A4741BA" w14:textId="77777777" w:rsidR="00016FE1" w:rsidRPr="00662B96" w:rsidRDefault="00016FE1" w:rsidP="002B6227">
      <w:pPr>
        <w:ind w:left="1134" w:right="567"/>
        <w:jc w:val="both"/>
        <w:rPr>
          <w:rFonts w:ascii="Gotham" w:hAnsi="Gotham" w:cs="Arial"/>
          <w:i/>
          <w:iCs/>
          <w:sz w:val="18"/>
          <w:szCs w:val="18"/>
        </w:rPr>
      </w:pPr>
    </w:p>
    <w:p w14:paraId="3A4741BB" w14:textId="77777777" w:rsidR="00016FE1" w:rsidRPr="00662B96" w:rsidRDefault="00016FE1" w:rsidP="002B6227">
      <w:pPr>
        <w:ind w:left="1134" w:right="567"/>
        <w:jc w:val="both"/>
        <w:rPr>
          <w:rFonts w:ascii="Gotham" w:hAnsi="Gotham" w:cs="Arial"/>
          <w:i/>
          <w:iCs/>
          <w:sz w:val="18"/>
          <w:szCs w:val="18"/>
        </w:rPr>
      </w:pPr>
      <w:r w:rsidRPr="00662B96">
        <w:rPr>
          <w:rFonts w:ascii="Gotham" w:hAnsi="Gotham" w:cs="Arial"/>
          <w:b/>
          <w:i/>
          <w:iCs/>
          <w:sz w:val="18"/>
          <w:szCs w:val="18"/>
        </w:rPr>
        <w:t>Artículo 4.</w:t>
      </w:r>
      <w:r w:rsidRPr="00662B96">
        <w:rPr>
          <w:rFonts w:ascii="Gotham" w:hAnsi="Gotham" w:cs="Arial"/>
          <w:i/>
          <w:iCs/>
          <w:sz w:val="18"/>
          <w:szCs w:val="18"/>
        </w:rPr>
        <w:t xml:space="preserve"> Corresponde al Ayuntamiento de Tonalá, a las dependencias, autoridades y entidades de la administración pública municipal, garantizar las condiciones para que, en el ámbito de su competencia, generen los mecanismos institucionales necesarios para el cumplimiento cabal del presente ordenamiento, de tal manera que promuevan y garanticen el pleno desarrollo de sus derechos humanos y su participación en la vida política, económica, cultural y social del municipio.</w:t>
      </w:r>
    </w:p>
    <w:p w14:paraId="3A4741BC" w14:textId="77777777" w:rsidR="00016FE1" w:rsidRPr="00662B96" w:rsidRDefault="00016FE1" w:rsidP="002B6227">
      <w:pPr>
        <w:ind w:left="1134" w:right="567"/>
        <w:jc w:val="both"/>
        <w:rPr>
          <w:rFonts w:ascii="Gotham" w:hAnsi="Gotham" w:cs="Arial"/>
          <w:i/>
          <w:iCs/>
          <w:sz w:val="18"/>
          <w:szCs w:val="18"/>
        </w:rPr>
      </w:pPr>
    </w:p>
    <w:p w14:paraId="3A4741BD" w14:textId="77777777" w:rsidR="00016FE1" w:rsidRPr="00662B96" w:rsidRDefault="00016FE1" w:rsidP="002B6227">
      <w:pPr>
        <w:ind w:left="1134" w:right="567"/>
        <w:jc w:val="both"/>
        <w:rPr>
          <w:rFonts w:ascii="Gotham" w:hAnsi="Gotham" w:cs="Arial"/>
          <w:i/>
          <w:iCs/>
          <w:sz w:val="18"/>
          <w:szCs w:val="18"/>
        </w:rPr>
      </w:pPr>
      <w:r w:rsidRPr="00662B96">
        <w:rPr>
          <w:rFonts w:ascii="Gotham" w:hAnsi="Gotham" w:cs="Arial"/>
          <w:i/>
          <w:iCs/>
          <w:sz w:val="18"/>
          <w:szCs w:val="18"/>
        </w:rPr>
        <w:t>Se expiden de conformidad con lo señalado en los artículos 115 fracción II de la Constitución Política de los Estados Unidos Mexicanos; 77, fracción II de la Constitución Política del Estado de Jalisco; artículos 40 fracción II, 41 fracción I, II, III y IV; 44 de la Ley de Gobierno y la Administración Pública Municipal del Estado de Jalisco; 107 fracción IV del Reglamento de Gobierno y la Administración Pública Municipal del Ayuntamiento de Tonalá y demás Ordenamientos legales aplicables.</w:t>
      </w:r>
    </w:p>
    <w:p w14:paraId="3A4741BE" w14:textId="77777777" w:rsidR="00016FE1" w:rsidRPr="00662B96" w:rsidRDefault="00016FE1" w:rsidP="002B6227">
      <w:pPr>
        <w:ind w:left="1134" w:right="567"/>
        <w:jc w:val="both"/>
        <w:rPr>
          <w:rFonts w:ascii="Gotham" w:hAnsi="Gotham" w:cs="Arial"/>
          <w:i/>
          <w:iCs/>
          <w:sz w:val="18"/>
          <w:szCs w:val="18"/>
        </w:rPr>
      </w:pPr>
    </w:p>
    <w:p w14:paraId="3A4741BF" w14:textId="77777777" w:rsidR="00016FE1" w:rsidRPr="00662B96" w:rsidRDefault="00016FE1" w:rsidP="002B6227">
      <w:pPr>
        <w:ind w:left="1134" w:right="567"/>
        <w:jc w:val="both"/>
        <w:rPr>
          <w:rFonts w:ascii="Gotham" w:hAnsi="Gotham" w:cs="Arial"/>
          <w:i/>
          <w:iCs/>
          <w:sz w:val="18"/>
          <w:szCs w:val="18"/>
        </w:rPr>
      </w:pPr>
      <w:r w:rsidRPr="00662B96">
        <w:rPr>
          <w:rFonts w:ascii="Gotham" w:hAnsi="Gotham" w:cs="Arial"/>
          <w:b/>
          <w:i/>
          <w:iCs/>
          <w:sz w:val="18"/>
          <w:szCs w:val="18"/>
        </w:rPr>
        <w:t>Artículo 5.</w:t>
      </w:r>
      <w:r w:rsidRPr="00662B96">
        <w:rPr>
          <w:rFonts w:ascii="Gotham" w:hAnsi="Gotham" w:cs="Arial"/>
          <w:i/>
          <w:iCs/>
          <w:sz w:val="18"/>
          <w:szCs w:val="18"/>
        </w:rPr>
        <w:t xml:space="preserve"> A falta de disposición expresa en el presente Reglamento, se aplicarán de forma supletoria las normas siguientes:</w:t>
      </w:r>
    </w:p>
    <w:p w14:paraId="3A4741C0" w14:textId="77777777" w:rsidR="00016FE1" w:rsidRPr="00662B96" w:rsidRDefault="00016FE1" w:rsidP="002B6227">
      <w:pPr>
        <w:ind w:left="1134" w:right="567"/>
        <w:jc w:val="both"/>
        <w:rPr>
          <w:rFonts w:ascii="Gotham" w:hAnsi="Gotham" w:cs="Arial"/>
          <w:i/>
          <w:iCs/>
          <w:sz w:val="18"/>
          <w:szCs w:val="18"/>
        </w:rPr>
      </w:pPr>
    </w:p>
    <w:p w14:paraId="3A4741C1" w14:textId="77777777" w:rsidR="00016FE1" w:rsidRPr="00662B96" w:rsidRDefault="00016FE1" w:rsidP="00865062">
      <w:pPr>
        <w:pStyle w:val="Prrafodelista"/>
        <w:numPr>
          <w:ilvl w:val="0"/>
          <w:numId w:val="169"/>
        </w:numPr>
        <w:spacing w:after="120"/>
        <w:ind w:right="567"/>
        <w:contextualSpacing w:val="0"/>
        <w:jc w:val="both"/>
        <w:rPr>
          <w:rFonts w:ascii="Gotham" w:hAnsi="Gotham" w:cs="Arial"/>
          <w:i/>
          <w:iCs/>
          <w:sz w:val="18"/>
          <w:szCs w:val="18"/>
        </w:rPr>
      </w:pPr>
      <w:r w:rsidRPr="00662B96">
        <w:rPr>
          <w:rFonts w:ascii="Gotham" w:hAnsi="Gotham" w:cs="Arial"/>
          <w:i/>
          <w:iCs/>
          <w:sz w:val="18"/>
          <w:szCs w:val="18"/>
        </w:rPr>
        <w:t>Ley Federal para Prevenir y eliminar la Discriminación;</w:t>
      </w:r>
    </w:p>
    <w:p w14:paraId="3A4741C2" w14:textId="77777777" w:rsidR="00016FE1" w:rsidRPr="00662B96" w:rsidRDefault="00016FE1" w:rsidP="00865062">
      <w:pPr>
        <w:pStyle w:val="Prrafodelista"/>
        <w:numPr>
          <w:ilvl w:val="0"/>
          <w:numId w:val="169"/>
        </w:numPr>
        <w:spacing w:after="120"/>
        <w:ind w:right="567"/>
        <w:contextualSpacing w:val="0"/>
        <w:jc w:val="both"/>
        <w:rPr>
          <w:rFonts w:ascii="Gotham" w:hAnsi="Gotham" w:cs="Arial"/>
          <w:i/>
          <w:iCs/>
          <w:sz w:val="18"/>
          <w:szCs w:val="18"/>
        </w:rPr>
      </w:pPr>
      <w:r w:rsidRPr="00662B96">
        <w:rPr>
          <w:rFonts w:ascii="Gotham" w:hAnsi="Gotham" w:cs="Arial"/>
          <w:i/>
          <w:iCs/>
          <w:sz w:val="18"/>
          <w:szCs w:val="18"/>
        </w:rPr>
        <w:t>Ley General de Cultura y Derechos Culturales;</w:t>
      </w:r>
    </w:p>
    <w:p w14:paraId="3A4741C3" w14:textId="77777777" w:rsidR="00016FE1" w:rsidRPr="00662B96" w:rsidRDefault="00016FE1" w:rsidP="00865062">
      <w:pPr>
        <w:pStyle w:val="Prrafodelista"/>
        <w:numPr>
          <w:ilvl w:val="0"/>
          <w:numId w:val="169"/>
        </w:numPr>
        <w:spacing w:after="120"/>
        <w:ind w:right="567"/>
        <w:contextualSpacing w:val="0"/>
        <w:jc w:val="both"/>
        <w:rPr>
          <w:rFonts w:ascii="Gotham" w:hAnsi="Gotham" w:cs="Arial"/>
          <w:i/>
          <w:iCs/>
          <w:sz w:val="18"/>
          <w:szCs w:val="18"/>
        </w:rPr>
      </w:pPr>
      <w:r w:rsidRPr="00662B96">
        <w:rPr>
          <w:rFonts w:ascii="Gotham" w:hAnsi="Gotham" w:cs="Arial"/>
          <w:i/>
          <w:iCs/>
          <w:sz w:val="18"/>
          <w:szCs w:val="18"/>
        </w:rPr>
        <w:t>Ley Estatal para Promover la Igualdad, Prevenir y Eliminar la Discriminación en el Estado de Jalisco;</w:t>
      </w:r>
    </w:p>
    <w:p w14:paraId="3A4741C4" w14:textId="77777777" w:rsidR="00016FE1" w:rsidRPr="00662B96" w:rsidRDefault="00016FE1" w:rsidP="00865062">
      <w:pPr>
        <w:pStyle w:val="Prrafodelista"/>
        <w:numPr>
          <w:ilvl w:val="0"/>
          <w:numId w:val="169"/>
        </w:numPr>
        <w:ind w:right="567"/>
        <w:contextualSpacing w:val="0"/>
        <w:jc w:val="both"/>
        <w:rPr>
          <w:rFonts w:ascii="Gotham" w:hAnsi="Gotham" w:cs="Arial"/>
          <w:i/>
          <w:iCs/>
          <w:sz w:val="18"/>
          <w:szCs w:val="18"/>
        </w:rPr>
      </w:pPr>
      <w:r w:rsidRPr="00662B96">
        <w:rPr>
          <w:rFonts w:ascii="Gotham" w:hAnsi="Gotham" w:cs="Arial"/>
          <w:i/>
          <w:iCs/>
          <w:sz w:val="18"/>
          <w:szCs w:val="18"/>
        </w:rPr>
        <w:t>Así como la legislación aplicable en la materia.</w:t>
      </w:r>
    </w:p>
    <w:p w14:paraId="3A4741C5" w14:textId="77777777" w:rsidR="00016FE1" w:rsidRPr="00662B96" w:rsidRDefault="00016FE1" w:rsidP="002B6227">
      <w:pPr>
        <w:pStyle w:val="Textoindependiente"/>
        <w:spacing w:after="0"/>
        <w:ind w:left="1134" w:right="567"/>
        <w:rPr>
          <w:rFonts w:ascii="Gotham" w:hAnsi="Gotham"/>
          <w:i/>
          <w:sz w:val="18"/>
          <w:szCs w:val="18"/>
        </w:rPr>
      </w:pPr>
    </w:p>
    <w:p w14:paraId="3A4741C6" w14:textId="77777777" w:rsidR="00016FE1" w:rsidRPr="00662B96" w:rsidRDefault="00016FE1" w:rsidP="002B6227">
      <w:pPr>
        <w:ind w:left="1134" w:right="567"/>
        <w:jc w:val="both"/>
        <w:rPr>
          <w:rFonts w:ascii="Gotham" w:hAnsi="Gotham"/>
          <w:i/>
          <w:sz w:val="18"/>
          <w:szCs w:val="18"/>
        </w:rPr>
      </w:pPr>
      <w:r w:rsidRPr="00662B96">
        <w:rPr>
          <w:rFonts w:ascii="Gotham" w:hAnsi="Gotham"/>
          <w:b/>
          <w:i/>
          <w:w w:val="105"/>
          <w:sz w:val="18"/>
          <w:szCs w:val="18"/>
        </w:rPr>
        <w:t>Artículo</w:t>
      </w:r>
      <w:r w:rsidRPr="00662B96">
        <w:rPr>
          <w:rFonts w:ascii="Gotham" w:hAnsi="Gotham"/>
          <w:b/>
          <w:i/>
          <w:spacing w:val="-9"/>
          <w:w w:val="105"/>
          <w:sz w:val="18"/>
          <w:szCs w:val="18"/>
        </w:rPr>
        <w:t xml:space="preserve"> </w:t>
      </w:r>
      <w:r w:rsidRPr="00662B96">
        <w:rPr>
          <w:rFonts w:ascii="Gotham" w:hAnsi="Gotham"/>
          <w:b/>
          <w:i/>
          <w:w w:val="105"/>
          <w:sz w:val="18"/>
          <w:szCs w:val="18"/>
        </w:rPr>
        <w:t>6.</w:t>
      </w:r>
      <w:r w:rsidRPr="00662B96">
        <w:rPr>
          <w:rFonts w:ascii="Gotham" w:hAnsi="Gotham"/>
          <w:b/>
          <w:i/>
          <w:spacing w:val="-7"/>
          <w:w w:val="105"/>
          <w:sz w:val="18"/>
          <w:szCs w:val="18"/>
        </w:rPr>
        <w:t xml:space="preserve"> </w:t>
      </w:r>
      <w:r w:rsidRPr="00662B96">
        <w:rPr>
          <w:rFonts w:ascii="Gotham" w:hAnsi="Gotham"/>
          <w:i/>
          <w:w w:val="105"/>
          <w:sz w:val="18"/>
          <w:szCs w:val="18"/>
        </w:rPr>
        <w:t>Para</w:t>
      </w:r>
      <w:r w:rsidRPr="00662B96">
        <w:rPr>
          <w:rFonts w:ascii="Gotham" w:hAnsi="Gotham"/>
          <w:i/>
          <w:spacing w:val="-2"/>
          <w:w w:val="105"/>
          <w:sz w:val="18"/>
          <w:szCs w:val="18"/>
        </w:rPr>
        <w:t xml:space="preserve"> </w:t>
      </w:r>
      <w:r w:rsidRPr="00662B96">
        <w:rPr>
          <w:rFonts w:ascii="Gotham" w:hAnsi="Gotham"/>
          <w:i/>
          <w:w w:val="105"/>
          <w:sz w:val="18"/>
          <w:szCs w:val="18"/>
        </w:rPr>
        <w:t>los</w:t>
      </w:r>
      <w:r w:rsidRPr="00662B96">
        <w:rPr>
          <w:rFonts w:ascii="Gotham" w:hAnsi="Gotham"/>
          <w:i/>
          <w:spacing w:val="-1"/>
          <w:w w:val="105"/>
          <w:sz w:val="18"/>
          <w:szCs w:val="18"/>
        </w:rPr>
        <w:t xml:space="preserve"> </w:t>
      </w:r>
      <w:r w:rsidRPr="00662B96">
        <w:rPr>
          <w:rFonts w:ascii="Gotham" w:hAnsi="Gotham"/>
          <w:i/>
          <w:w w:val="105"/>
          <w:sz w:val="18"/>
          <w:szCs w:val="18"/>
        </w:rPr>
        <w:t>efectos</w:t>
      </w:r>
      <w:r w:rsidRPr="00662B96">
        <w:rPr>
          <w:rFonts w:ascii="Gotham" w:hAnsi="Gotham"/>
          <w:i/>
          <w:spacing w:val="-2"/>
          <w:w w:val="105"/>
          <w:sz w:val="18"/>
          <w:szCs w:val="18"/>
        </w:rPr>
        <w:t xml:space="preserve"> </w:t>
      </w:r>
      <w:r w:rsidRPr="00662B96">
        <w:rPr>
          <w:rFonts w:ascii="Gotham" w:hAnsi="Gotham"/>
          <w:i/>
          <w:w w:val="105"/>
          <w:sz w:val="18"/>
          <w:szCs w:val="18"/>
        </w:rPr>
        <w:t>de</w:t>
      </w:r>
      <w:r w:rsidRPr="00662B96">
        <w:rPr>
          <w:rFonts w:ascii="Gotham" w:hAnsi="Gotham"/>
          <w:i/>
          <w:spacing w:val="-1"/>
          <w:w w:val="105"/>
          <w:sz w:val="18"/>
          <w:szCs w:val="18"/>
        </w:rPr>
        <w:t xml:space="preserve"> </w:t>
      </w:r>
      <w:r w:rsidRPr="00662B96">
        <w:rPr>
          <w:rFonts w:ascii="Gotham" w:hAnsi="Gotham"/>
          <w:i/>
          <w:w w:val="105"/>
          <w:sz w:val="18"/>
          <w:szCs w:val="18"/>
        </w:rPr>
        <w:t>este</w:t>
      </w:r>
      <w:r w:rsidRPr="00662B96">
        <w:rPr>
          <w:rFonts w:ascii="Gotham" w:hAnsi="Gotham"/>
          <w:i/>
          <w:spacing w:val="-1"/>
          <w:w w:val="105"/>
          <w:sz w:val="18"/>
          <w:szCs w:val="18"/>
        </w:rPr>
        <w:t xml:space="preserve"> </w:t>
      </w:r>
      <w:r w:rsidRPr="00662B96">
        <w:rPr>
          <w:rFonts w:ascii="Gotham" w:hAnsi="Gotham"/>
          <w:i/>
          <w:w w:val="105"/>
          <w:sz w:val="18"/>
          <w:szCs w:val="18"/>
        </w:rPr>
        <w:t>Reglamento,</w:t>
      </w:r>
      <w:r w:rsidRPr="00662B96">
        <w:rPr>
          <w:rFonts w:ascii="Gotham" w:hAnsi="Gotham"/>
          <w:i/>
          <w:spacing w:val="-1"/>
          <w:w w:val="105"/>
          <w:sz w:val="18"/>
          <w:szCs w:val="18"/>
        </w:rPr>
        <w:t xml:space="preserve"> </w:t>
      </w:r>
      <w:r w:rsidRPr="00662B96">
        <w:rPr>
          <w:rFonts w:ascii="Gotham" w:hAnsi="Gotham"/>
          <w:i/>
          <w:w w:val="105"/>
          <w:sz w:val="18"/>
          <w:szCs w:val="18"/>
        </w:rPr>
        <w:t>se</w:t>
      </w:r>
      <w:r w:rsidRPr="00662B96">
        <w:rPr>
          <w:rFonts w:ascii="Gotham" w:hAnsi="Gotham"/>
          <w:i/>
          <w:spacing w:val="-1"/>
          <w:w w:val="105"/>
          <w:sz w:val="18"/>
          <w:szCs w:val="18"/>
        </w:rPr>
        <w:t xml:space="preserve"> </w:t>
      </w:r>
      <w:r w:rsidRPr="00662B96">
        <w:rPr>
          <w:rFonts w:ascii="Gotham" w:hAnsi="Gotham"/>
          <w:i/>
          <w:w w:val="105"/>
          <w:sz w:val="18"/>
          <w:szCs w:val="18"/>
        </w:rPr>
        <w:t>entenderá</w:t>
      </w:r>
      <w:r w:rsidRPr="00662B96">
        <w:rPr>
          <w:rFonts w:ascii="Gotham" w:hAnsi="Gotham"/>
          <w:i/>
          <w:spacing w:val="-2"/>
          <w:w w:val="105"/>
          <w:sz w:val="18"/>
          <w:szCs w:val="18"/>
        </w:rPr>
        <w:t xml:space="preserve"> </w:t>
      </w:r>
      <w:r w:rsidRPr="00662B96">
        <w:rPr>
          <w:rFonts w:ascii="Gotham" w:hAnsi="Gotham"/>
          <w:i/>
          <w:w w:val="105"/>
          <w:sz w:val="18"/>
          <w:szCs w:val="18"/>
        </w:rPr>
        <w:t>por:</w:t>
      </w:r>
    </w:p>
    <w:p w14:paraId="3A4741C7" w14:textId="77777777" w:rsidR="00016FE1" w:rsidRPr="00662B96" w:rsidRDefault="00016FE1" w:rsidP="002B6227">
      <w:pPr>
        <w:pStyle w:val="Textoindependiente"/>
        <w:spacing w:after="0"/>
        <w:ind w:left="1134" w:right="567"/>
        <w:rPr>
          <w:rFonts w:ascii="Gotham" w:hAnsi="Gotham"/>
          <w:i/>
          <w:sz w:val="18"/>
          <w:szCs w:val="18"/>
        </w:rPr>
      </w:pPr>
    </w:p>
    <w:p w14:paraId="3A4741C8"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Atención integral: conjunto de acciones tendientes a atender las necesidades</w:t>
      </w:r>
      <w:r w:rsidR="00B76E88">
        <w:rPr>
          <w:rFonts w:ascii="Gotham" w:hAnsi="Gotham" w:cs="Arial"/>
          <w:i/>
          <w:iCs/>
          <w:sz w:val="18"/>
          <w:szCs w:val="18"/>
        </w:rPr>
        <w:t xml:space="preserve"> </w:t>
      </w:r>
      <w:r w:rsidRPr="00CA4750">
        <w:rPr>
          <w:rFonts w:ascii="Gotham" w:hAnsi="Gotham" w:cs="Arial"/>
          <w:i/>
          <w:iCs/>
          <w:sz w:val="18"/>
          <w:szCs w:val="18"/>
        </w:rPr>
        <w:t>de</w:t>
      </w:r>
      <w:r w:rsidR="00B76E88">
        <w:rPr>
          <w:rFonts w:ascii="Gotham" w:hAnsi="Gotham" w:cs="Arial"/>
          <w:i/>
          <w:iCs/>
          <w:sz w:val="18"/>
          <w:szCs w:val="18"/>
        </w:rPr>
        <w:t xml:space="preserve"> </w:t>
      </w:r>
      <w:r w:rsidRPr="00CA4750">
        <w:rPr>
          <w:rFonts w:ascii="Gotham" w:hAnsi="Gotham" w:cs="Arial"/>
          <w:i/>
          <w:iCs/>
          <w:sz w:val="18"/>
          <w:szCs w:val="18"/>
        </w:rPr>
        <w:t>las</w:t>
      </w:r>
      <w:r w:rsidR="00B76E88">
        <w:rPr>
          <w:rFonts w:ascii="Gotham" w:hAnsi="Gotham" w:cs="Arial"/>
          <w:i/>
          <w:iCs/>
          <w:sz w:val="18"/>
          <w:szCs w:val="18"/>
        </w:rPr>
        <w:t xml:space="preserve"> </w:t>
      </w:r>
      <w:r w:rsidRPr="00CA4750">
        <w:rPr>
          <w:rFonts w:ascii="Gotham" w:hAnsi="Gotham" w:cs="Arial"/>
          <w:i/>
          <w:iCs/>
          <w:sz w:val="18"/>
          <w:szCs w:val="18"/>
        </w:rPr>
        <w:t>personas LGBTQ+, para propiciar su pleno desarrollo y garantizar sus derechos, considerándose sus hábitos, capacidades funcionales, usos y costumbres;</w:t>
      </w:r>
    </w:p>
    <w:p w14:paraId="3A4741C9"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Ayuntamiento: Ayuntamiento Constitucional de Tonalá, Jalisco;</w:t>
      </w:r>
    </w:p>
    <w:p w14:paraId="3A4741CA" w14:textId="6CFBE86A"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 xml:space="preserve">Bisexualidad: Capacidad de sentir una atracción emocional, </w:t>
      </w:r>
      <w:r w:rsidR="0015568D" w:rsidRPr="00CA4750">
        <w:rPr>
          <w:rFonts w:ascii="Gotham" w:hAnsi="Gotham" w:cs="Arial"/>
          <w:i/>
          <w:iCs/>
          <w:sz w:val="18"/>
          <w:szCs w:val="18"/>
        </w:rPr>
        <w:t>romántica</w:t>
      </w:r>
      <w:r w:rsidRPr="00CA4750">
        <w:rPr>
          <w:rFonts w:ascii="Gotham" w:hAnsi="Gotham" w:cs="Arial"/>
          <w:i/>
          <w:iCs/>
          <w:sz w:val="18"/>
          <w:szCs w:val="18"/>
        </w:rPr>
        <w:t xml:space="preserve">, sexual y afectiva por personas de su mismo género, así como la de un género diverso. Sin que </w:t>
      </w:r>
      <w:r w:rsidRPr="00CA4750">
        <w:rPr>
          <w:rFonts w:ascii="Gotham" w:hAnsi="Gotham" w:cs="Arial"/>
          <w:i/>
          <w:iCs/>
          <w:sz w:val="18"/>
          <w:szCs w:val="18"/>
        </w:rPr>
        <w:lastRenderedPageBreak/>
        <w:t>ello implique que sea con la misma intensidad, en el mismo tiempo, de igual forma, o que sienta atracción por todas las personas de su mismo género o del otro;</w:t>
      </w:r>
    </w:p>
    <w:p w14:paraId="3A4741CB"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Características sexuales: rasgos biológicos (genéticos, hormonales, anatómicos y fisiológicos) de una persona, tales como sexo gonadal, sexo genético, sexo hormonal, sexo morfológico interno o sexo fenotípico;</w:t>
      </w:r>
    </w:p>
    <w:p w14:paraId="3A4741CC"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Cisgénero: Cuando la identidad de género de la persona corresponde con los estándares sexo- genéricos asignados al nacer;</w:t>
      </w:r>
    </w:p>
    <w:p w14:paraId="3A4741CD"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Cisnormatividad: Expectativa de mandato social de género, en el que se considera que las personas se alinean con el sexo asignado al nacer y que esa condición es la única aceptable;</w:t>
      </w:r>
    </w:p>
    <w:p w14:paraId="3A4741CE"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Discriminación: Cualquier distinción, no objetiva, racional ni proporcional que tenga por objeto o resultado la negación, exclusión, distinción, menoscabo, impedimento o restricción de los derechos de las personas, grupos y comunidades, motivada por origen étnico o nacional, apariencia física, color de piel, lengua, género, edad, discapacidades, condición social, situación migratoria, condiciones de salud, embarazo, religión, opiniones, preferencia sexual, orientación sexual, identidad de género, expresión de género, características sexuales, estado civil o cualquier otra condición humana. También se considerará discriminación la misoginia, cualquier manifestación de homofobia, bifobia, lesbofobia, transfobia, aporofobia, xenofobia, antisemitismo, islamofobia, discriminación racial y otras formas conexas de intolerancia por motivos de las características sexuales de las personas o cualquier otra que atente contra la dignidad humana;</w:t>
      </w:r>
    </w:p>
    <w:p w14:paraId="3A4741CF"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Diversidad sexual: Todas las posibilidades que tienen las personas de asumir, expresar y vivir la sexualidad, así como de asumir expresiones, preferencias u orientaciones sexo-genéricas distintas en cada cultura y persona;</w:t>
      </w:r>
    </w:p>
    <w:p w14:paraId="3A4741D0"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Enfoque de derechos humanos: Enfoque de derechos humanos: Es una herramienta jurídico- administrativa que facilita la aplicación, ejecución y entendimientos de programas y políticas públicas que tiene origen normativamente en estándares internacionales de derechos humanos y está operacionalmente dirigido a reconocer, garantizar, promover y proteger los derechos humanos;</w:t>
      </w:r>
    </w:p>
    <w:p w14:paraId="3A4741D1"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Expresión de género: Se entiende como la manifestación externa del género de una persona, a través de su aspecto físico, la cual puede incluir el modo de vestir, el peinado o la utilización de artículos cosméticos, de la forma de hablar, de patrones de comportamiento personal, de comportamiento o interacción social, de nombres o referencias personales, entre otros. La expresión de género de una persona puede o no corresponder con su identidad de género auto-percibida;</w:t>
      </w:r>
    </w:p>
    <w:p w14:paraId="3A4741D2"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Gay homosexual: Un hombre o una mujer que se siente atraído emocional, romántica y sexualmente hacia otra persona del mismo género; algunas personas solo utilizan el término en referencia a los hombres gay. Es preferible usar la palabra gay en vez de “homosexual”, palabra que tiene referencias clínicas y que algunas personas encuentran ofensivas;</w:t>
      </w:r>
    </w:p>
    <w:p w14:paraId="3A4741D3"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Género: Se refiere a las características que social, histórica, cultural, económica, política y geográficamente, han sido identificadas como “masculinas” y “femeninas”;</w:t>
      </w:r>
    </w:p>
    <w:p w14:paraId="3A4741D4"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Heteronormatividad: Sesgo cultural a favor de las relaciones heterosexuales, las cuales son consideradas normales, naturales e ideales y son preferidas por sobre relaciones del mismo sexo o del mismo género. Ese concepto apela a reglas jurídicas, religiosas, sociales, y culturales que obligan a las personas a actuar conforme a patrones heterosexuales dominantes e imperantes;</w:t>
      </w:r>
    </w:p>
    <w:p w14:paraId="3A4741D5"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Heterosexual: Aquellas personas que se sienten atraídas por el género opuesto;</w:t>
      </w:r>
    </w:p>
    <w:p w14:paraId="3A4741D6"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lastRenderedPageBreak/>
        <w:t>Homofobia: Temor, odio o aversión irracional hacia las personas lesbianas, gay o bisexuales;</w:t>
      </w:r>
    </w:p>
    <w:p w14:paraId="3A4741D7"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Identidad de Género: Es la vivencia interna e individual del género, tal como cada persona la siente y puede corresponder o no con el sexo asignado al nacer. Incluye la vivencia personal del propio cuerpo. Incluye otras expresiones de género como la vestimenta, el modo de hablar y los modales;</w:t>
      </w:r>
    </w:p>
    <w:p w14:paraId="3A4741D8"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Intersexualidad: Condición en la que la anatomía sexual de la persona no se ajusta físicamente a los estándares culturalmente definidos para el cuerpo femenino o masculino. Una persona intersexual nace con una anatomía sexual, órganos reproductivos o patrones cromosómicos que no se ajustan a la definición típica del hombre o de la mujer. Esto puede ser aparente al nacer o llegar a serlo con los años. Una persona intersexual puede identificarse como hombre o como mujer o como ninguna de las dos identidades. La condición de intersexual no tiene que ver con la orientación sexual o la identidad de género: las personas intersexuales experimentan la misma gama de orientaciones sexuales e identidades de género socialmente constituidas;</w:t>
      </w:r>
    </w:p>
    <w:p w14:paraId="3A4741D9"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Lesbiana: Es una mujer que es atraída emocional, afectiva y sexualmente por otras mujeres;</w:t>
      </w:r>
    </w:p>
    <w:p w14:paraId="3A4741DA"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Lesbofobia: Es un temor, un odio o una aversión irracional hacia las personas lesbianas;</w:t>
      </w:r>
    </w:p>
    <w:p w14:paraId="3A4741DB"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Municipio: Municipio de Tonalá, Jalisco;</w:t>
      </w:r>
    </w:p>
    <w:p w14:paraId="3A4741DC"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Orientación sexo-genérica: La orientación sexual y de género con que se identifica una persona, ni la orientación sexual determina el género ni el género la orientación sexual;</w:t>
      </w:r>
    </w:p>
    <w:p w14:paraId="3A4741DD"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Personas LGBTQ+: Grupo de atención prioritaria integrado como hace referencia su acrónimo por personas Lesbianas, Gays, Bisexuales, Transgénero, Travestis, Transexuales, Intersexuales, Queer, Cisgénero o aquellas con orientaciones, géneros, cuerpos, identidades, expresiones y prácticas que no se auto adscriben a la heteronormatividad o cisnormatividad;</w:t>
      </w:r>
    </w:p>
    <w:p w14:paraId="3A4741DE"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Perspectiva de género: Metodología que consiste en eliminar las causas de la opresión de género como la desigualdad, la injusticia y la jerarquización de las personas desde una perspectiva que considere la realidad particular que viven las personas por virtud de su orientación sexo-genérica. Promueve la igualdad entre los géneros a través de la equidad, progresividad y no discriminación, y contribuye a construir una sociedad igualitaria en derechos y oportunidades;</w:t>
      </w:r>
    </w:p>
    <w:p w14:paraId="3A4741DF"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Queer: El adjetivo queer significa “raro”, “torcido”, “extraño”. El vocablo queer no existiría sin su contraparte straight, que significa “derecho”, “recto”, “heterosexual”. Queer refleja la naturaleza subversiva y transgresora de una mujer masculina; de un hombre afeminado o con una sensibilidad contraria a la tipología dominante, etcétera. Lo queer refleja la transgresión a la heterosexualidad institucionalizada que constriñe el intentar escapar de su norma;</w:t>
      </w:r>
    </w:p>
    <w:p w14:paraId="3A4741E0"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Reglamento: Reglamento para la Promoción, Protección y Reconocimiento de los Derechos de las Personas de la Diversidad Sexual y de Género (LGBT+) del Municipio de Tonalá, Jalisco;</w:t>
      </w:r>
    </w:p>
    <w:p w14:paraId="3A4741E1"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Sexo: El término sexo se refiere a las diferencias biológicas entre el hombre y la mujer, a sus características fisiológicas, a la suma de las características biológicas que define el espectro de las personas como mujeres y hombres;</w:t>
      </w:r>
    </w:p>
    <w:p w14:paraId="3A4741E2"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 xml:space="preserve">Sexo asignado al nacer: Esta idea trasciende el concepto de sexo como masculino o femenino y está asociado a la determinación del sexo como una construcción social. La asignación del sexo no es un hecho biológico innato; más bien, el sexo se asigna al nacer con base en la percepción que otros tienen sobre los genitales. La mayoría de </w:t>
      </w:r>
      <w:r w:rsidRPr="00CA4750">
        <w:rPr>
          <w:rFonts w:ascii="Gotham" w:hAnsi="Gotham" w:cs="Arial"/>
          <w:i/>
          <w:iCs/>
          <w:sz w:val="18"/>
          <w:szCs w:val="18"/>
        </w:rPr>
        <w:lastRenderedPageBreak/>
        <w:t>las personas son fácilmente clasificadas pero algunas personas no encajan en el binario mujer/hombre;</w:t>
      </w:r>
    </w:p>
    <w:p w14:paraId="3A4741E3"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Sistema binario del género/sexo: modelo social y cultural dominante en la cultura occidental que “considera que el género y el sexo abarcan dos, y sólo dos, categorías rígidas, a saber masculino/hombre y femenino/mujer. Tal sistema o modelo excluye a aquellos que no se enmarcan dentro de las dos categorías;</w:t>
      </w:r>
    </w:p>
    <w:p w14:paraId="3A4741E4"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Transexual: Las personas transexuales se conciben a sí mismas como pertenecientes al género opuesto que social y culturalmente se asigna a sus características sexo-genitales y optan por una intervención médica–hormonal, quirúrgica o ambas para adecuar su apariencia física–biológica a su realidad psíquica, espiritual y social;</w:t>
      </w:r>
    </w:p>
    <w:p w14:paraId="3A4741E5"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Transgénero: Las personas transgénero se sienten y se conciben a sí mismas como pertenecientes al género opuesto al que social y culturalmente se asigna a su sexo de nacimiento y quienes, por lo general, sólo optan por una reasignación hormonal sin llegar a la intervención quirúrgica de los órganos pélvicos sexuales internos y externos para adecuar su apariencia física y corporalidad a su realidad psíquica, espiritual y social;</w:t>
      </w:r>
    </w:p>
    <w:p w14:paraId="3A4741E6" w14:textId="77777777" w:rsidR="00016FE1" w:rsidRPr="00CA4750" w:rsidRDefault="00016FE1" w:rsidP="00865062">
      <w:pPr>
        <w:pStyle w:val="Prrafodelista"/>
        <w:numPr>
          <w:ilvl w:val="0"/>
          <w:numId w:val="170"/>
        </w:numPr>
        <w:spacing w:after="120"/>
        <w:ind w:right="567" w:hanging="720"/>
        <w:contextualSpacing w:val="0"/>
        <w:jc w:val="both"/>
        <w:rPr>
          <w:rFonts w:ascii="Gotham" w:hAnsi="Gotham" w:cs="Arial"/>
          <w:i/>
          <w:iCs/>
          <w:sz w:val="18"/>
          <w:szCs w:val="18"/>
        </w:rPr>
      </w:pPr>
      <w:r w:rsidRPr="00CA4750">
        <w:rPr>
          <w:rFonts w:ascii="Gotham" w:hAnsi="Gotham" w:cs="Arial"/>
          <w:i/>
          <w:iCs/>
          <w:sz w:val="18"/>
          <w:szCs w:val="18"/>
        </w:rPr>
        <w:t>Travesti: Son aquellas personas que gustan de presentar de manera transitoria o duradera una apariencia opuesta a la del género que socialmente se asigna a su sexo de nacimiento, mediante la utilización de prendas de vestir, actitudes y comportamientos; y</w:t>
      </w:r>
    </w:p>
    <w:p w14:paraId="3A4741E7" w14:textId="77777777" w:rsidR="00016FE1" w:rsidRPr="00CA4750" w:rsidRDefault="00016FE1" w:rsidP="00865062">
      <w:pPr>
        <w:pStyle w:val="Prrafodelista"/>
        <w:numPr>
          <w:ilvl w:val="0"/>
          <w:numId w:val="170"/>
        </w:numPr>
        <w:ind w:right="567" w:hanging="720"/>
        <w:contextualSpacing w:val="0"/>
        <w:jc w:val="both"/>
        <w:rPr>
          <w:rFonts w:ascii="Gotham" w:hAnsi="Gotham" w:cs="Arial"/>
          <w:i/>
          <w:iCs/>
          <w:sz w:val="18"/>
          <w:szCs w:val="18"/>
        </w:rPr>
      </w:pPr>
      <w:r w:rsidRPr="00CA4750">
        <w:rPr>
          <w:rFonts w:ascii="Gotham" w:hAnsi="Gotham" w:cs="Arial"/>
          <w:i/>
          <w:iCs/>
          <w:sz w:val="18"/>
          <w:szCs w:val="18"/>
        </w:rPr>
        <w:t>UNADIS Tonalá: Unidad de Atención a la Diversidad Sexual de Tonalá.</w:t>
      </w:r>
    </w:p>
    <w:p w14:paraId="3A4741E8" w14:textId="77777777" w:rsidR="00016FE1" w:rsidRPr="0075581A" w:rsidRDefault="00016FE1" w:rsidP="002B6227">
      <w:pPr>
        <w:ind w:left="1134" w:right="567"/>
        <w:jc w:val="both"/>
        <w:rPr>
          <w:rFonts w:ascii="Gotham" w:hAnsi="Gotham" w:cs="Arial"/>
          <w:i/>
          <w:iCs/>
          <w:sz w:val="18"/>
          <w:szCs w:val="18"/>
        </w:rPr>
      </w:pPr>
    </w:p>
    <w:p w14:paraId="3A4741E9" w14:textId="77777777" w:rsidR="00016FE1" w:rsidRPr="0075581A" w:rsidRDefault="00016FE1" w:rsidP="002B6227">
      <w:pPr>
        <w:ind w:left="1134" w:right="567"/>
        <w:jc w:val="both"/>
        <w:rPr>
          <w:rFonts w:ascii="Gotham" w:hAnsi="Gotham" w:cs="Arial"/>
          <w:i/>
          <w:iCs/>
          <w:sz w:val="18"/>
          <w:szCs w:val="18"/>
        </w:rPr>
      </w:pPr>
    </w:p>
    <w:p w14:paraId="3A4741EA" w14:textId="77777777" w:rsidR="00016FE1" w:rsidRPr="00662B96" w:rsidRDefault="00016FE1" w:rsidP="002B6227">
      <w:pPr>
        <w:ind w:left="1134" w:right="567"/>
        <w:jc w:val="center"/>
        <w:rPr>
          <w:rFonts w:ascii="Gotham" w:hAnsi="Gotham"/>
          <w:b/>
          <w:i/>
          <w:sz w:val="18"/>
          <w:szCs w:val="18"/>
        </w:rPr>
      </w:pPr>
      <w:r w:rsidRPr="00662B96">
        <w:rPr>
          <w:rFonts w:ascii="Gotham" w:hAnsi="Gotham"/>
          <w:b/>
          <w:i/>
          <w:spacing w:val="-1"/>
          <w:w w:val="95"/>
          <w:sz w:val="18"/>
          <w:szCs w:val="18"/>
        </w:rPr>
        <w:t>Capítulo</w:t>
      </w:r>
      <w:r w:rsidRPr="00662B96">
        <w:rPr>
          <w:rFonts w:ascii="Gotham" w:hAnsi="Gotham"/>
          <w:b/>
          <w:i/>
          <w:spacing w:val="-8"/>
          <w:w w:val="95"/>
          <w:sz w:val="18"/>
          <w:szCs w:val="18"/>
        </w:rPr>
        <w:t xml:space="preserve"> </w:t>
      </w:r>
      <w:r w:rsidRPr="00662B96">
        <w:rPr>
          <w:rFonts w:ascii="Gotham" w:hAnsi="Gotham"/>
          <w:b/>
          <w:i/>
          <w:spacing w:val="-1"/>
          <w:w w:val="95"/>
          <w:sz w:val="18"/>
          <w:szCs w:val="18"/>
        </w:rPr>
        <w:t>II</w:t>
      </w:r>
    </w:p>
    <w:p w14:paraId="3A4741EB" w14:textId="77777777" w:rsidR="00016FE1" w:rsidRPr="00662B96" w:rsidRDefault="00016FE1" w:rsidP="002B6227">
      <w:pPr>
        <w:ind w:left="1134" w:right="567"/>
        <w:jc w:val="center"/>
        <w:rPr>
          <w:rFonts w:ascii="Gotham" w:hAnsi="Gotham"/>
          <w:b/>
          <w:i/>
          <w:sz w:val="18"/>
          <w:szCs w:val="18"/>
        </w:rPr>
      </w:pPr>
      <w:r w:rsidRPr="00662B96">
        <w:rPr>
          <w:rFonts w:ascii="Gotham" w:hAnsi="Gotham"/>
          <w:b/>
          <w:i/>
          <w:w w:val="90"/>
          <w:sz w:val="18"/>
          <w:szCs w:val="18"/>
        </w:rPr>
        <w:t>Del Reconocimiento</w:t>
      </w:r>
      <w:r w:rsidRPr="00662B96">
        <w:rPr>
          <w:rFonts w:ascii="Gotham" w:hAnsi="Gotham"/>
          <w:b/>
          <w:i/>
          <w:spacing w:val="1"/>
          <w:w w:val="90"/>
          <w:sz w:val="18"/>
          <w:szCs w:val="18"/>
        </w:rPr>
        <w:t xml:space="preserve"> </w:t>
      </w:r>
      <w:r w:rsidRPr="00662B96">
        <w:rPr>
          <w:rFonts w:ascii="Gotham" w:hAnsi="Gotham"/>
          <w:b/>
          <w:i/>
          <w:w w:val="90"/>
          <w:sz w:val="18"/>
          <w:szCs w:val="18"/>
        </w:rPr>
        <w:t>de los Derechos de las Personas de la</w:t>
      </w:r>
      <w:r w:rsidRPr="00662B96">
        <w:rPr>
          <w:rFonts w:ascii="Gotham" w:hAnsi="Gotham"/>
          <w:b/>
          <w:i/>
          <w:spacing w:val="1"/>
          <w:w w:val="90"/>
          <w:sz w:val="18"/>
          <w:szCs w:val="18"/>
        </w:rPr>
        <w:t xml:space="preserve"> </w:t>
      </w:r>
      <w:r w:rsidRPr="00662B96">
        <w:rPr>
          <w:rFonts w:ascii="Gotham" w:hAnsi="Gotham"/>
          <w:b/>
          <w:i/>
          <w:w w:val="90"/>
          <w:sz w:val="18"/>
          <w:szCs w:val="18"/>
        </w:rPr>
        <w:t>Diversidad Sexual</w:t>
      </w:r>
      <w:r w:rsidRPr="00662B96">
        <w:rPr>
          <w:rFonts w:ascii="Gotham" w:hAnsi="Gotham"/>
          <w:b/>
          <w:i/>
          <w:spacing w:val="1"/>
          <w:w w:val="90"/>
          <w:sz w:val="18"/>
          <w:szCs w:val="18"/>
        </w:rPr>
        <w:t xml:space="preserve"> </w:t>
      </w:r>
      <w:r w:rsidRPr="00662B96">
        <w:rPr>
          <w:rFonts w:ascii="Gotham" w:hAnsi="Gotham"/>
          <w:b/>
          <w:i/>
          <w:w w:val="90"/>
          <w:sz w:val="18"/>
          <w:szCs w:val="18"/>
        </w:rPr>
        <w:t>“LGBTQ+”</w:t>
      </w:r>
    </w:p>
    <w:p w14:paraId="3A4741EC" w14:textId="77777777" w:rsidR="00016FE1" w:rsidRPr="0075581A" w:rsidRDefault="00016FE1" w:rsidP="002B6227">
      <w:pPr>
        <w:ind w:left="1134" w:right="567"/>
        <w:jc w:val="both"/>
        <w:rPr>
          <w:rFonts w:ascii="Gotham" w:hAnsi="Gotham" w:cs="Arial"/>
          <w:i/>
          <w:iCs/>
          <w:sz w:val="18"/>
          <w:szCs w:val="18"/>
        </w:rPr>
      </w:pPr>
    </w:p>
    <w:p w14:paraId="3A4741ED"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7.</w:t>
      </w:r>
      <w:r w:rsidRPr="0075581A">
        <w:rPr>
          <w:rFonts w:ascii="Gotham" w:hAnsi="Gotham" w:cs="Arial"/>
          <w:i/>
          <w:iCs/>
          <w:sz w:val="18"/>
          <w:szCs w:val="18"/>
        </w:rPr>
        <w:t xml:space="preserve"> Las personas LGBTQ+ tienen derecho a una vida digna y libre de violencia. Ninguna persona LGBTQ+ podrá́ ser socialmente marginada o discriminada en ningún espacio público o privado de nuestro municipio.</w:t>
      </w:r>
    </w:p>
    <w:p w14:paraId="3A4741EE" w14:textId="77777777" w:rsidR="00016FE1" w:rsidRPr="0075581A" w:rsidRDefault="00016FE1" w:rsidP="002B6227">
      <w:pPr>
        <w:ind w:left="1134" w:right="567"/>
        <w:jc w:val="both"/>
        <w:rPr>
          <w:rFonts w:ascii="Gotham" w:hAnsi="Gotham" w:cs="Arial"/>
          <w:i/>
          <w:iCs/>
          <w:sz w:val="18"/>
          <w:szCs w:val="18"/>
        </w:rPr>
      </w:pPr>
    </w:p>
    <w:p w14:paraId="3A4741EF"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8.</w:t>
      </w:r>
      <w:r w:rsidRPr="0075581A">
        <w:rPr>
          <w:rFonts w:ascii="Gotham" w:hAnsi="Gotham" w:cs="Arial"/>
          <w:i/>
          <w:iCs/>
          <w:sz w:val="18"/>
          <w:szCs w:val="18"/>
        </w:rPr>
        <w:t xml:space="preserve"> Todas las personas tienen derecho a autodefinirse como personas LGBTQ+, basta con expresarlo para que sea considerada como tal. Y tal como su acrónimo lo resume pueden ser aquellas personas Lesbianas, Gays, Bisexuales, Transgénero, Travestis, Transexuales, Intersexuales, Queer, Cisgénero o aquellas con orientaciones, géneros, cuerpos, identidades, expresiones y prácticas que no se auto adscriben a la heteronormatividad o cisnormatividad.</w:t>
      </w:r>
    </w:p>
    <w:p w14:paraId="3A4741F0"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i/>
          <w:iCs/>
          <w:sz w:val="18"/>
          <w:szCs w:val="18"/>
        </w:rPr>
        <w:t>Asimismo tienen derecho a adoptar y manifestar para sí su orientación sexo-genérica, identidad de género y expresión de género, como aspectos fundamentales de la autodeterminación y el libre desarrollo de la personalidad.</w:t>
      </w:r>
    </w:p>
    <w:p w14:paraId="3A4741F1" w14:textId="77777777" w:rsidR="00016FE1" w:rsidRPr="0075581A" w:rsidRDefault="00016FE1" w:rsidP="002B6227">
      <w:pPr>
        <w:ind w:left="1134" w:right="567"/>
        <w:jc w:val="both"/>
        <w:rPr>
          <w:rFonts w:ascii="Gotham" w:hAnsi="Gotham" w:cs="Arial"/>
          <w:i/>
          <w:iCs/>
          <w:sz w:val="18"/>
          <w:szCs w:val="18"/>
        </w:rPr>
      </w:pPr>
    </w:p>
    <w:p w14:paraId="3A4741F2"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9.</w:t>
      </w:r>
      <w:r w:rsidRPr="0075581A">
        <w:rPr>
          <w:rFonts w:ascii="Gotham" w:hAnsi="Gotham" w:cs="Arial"/>
          <w:i/>
          <w:iCs/>
          <w:sz w:val="18"/>
          <w:szCs w:val="18"/>
        </w:rPr>
        <w:t xml:space="preserve"> Las personas LGBTQ+ tienen derecho a participar y ser escuchadas en todo aquello que les afecta, lo que implica que todas las autoridades en el ámbito de sus respectivas competencias, adoptarán medidas y procedimientos administrativos de cualquier naturaleza para la satisfacción de este principio.</w:t>
      </w:r>
    </w:p>
    <w:p w14:paraId="3A4741F3" w14:textId="77777777" w:rsidR="00016FE1" w:rsidRDefault="00016FE1" w:rsidP="002B6227">
      <w:pPr>
        <w:ind w:left="1134" w:right="567"/>
        <w:jc w:val="both"/>
        <w:rPr>
          <w:rFonts w:ascii="Gotham" w:hAnsi="Gotham" w:cs="Arial"/>
          <w:i/>
          <w:iCs/>
          <w:sz w:val="18"/>
          <w:szCs w:val="18"/>
        </w:rPr>
      </w:pPr>
    </w:p>
    <w:p w14:paraId="3A4741F4"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i/>
          <w:iCs/>
          <w:sz w:val="18"/>
          <w:szCs w:val="18"/>
        </w:rPr>
        <w:t>Toda autoridad, familia y la sociedad en general respetarán sus derechos y garantías fundamentales en libertad, igualdad de condiciones y oportunidades, garantizando su dignidad, integridad, certeza jurídica, salud, educación, trabajo, participación y atención integral, entre otros derechos fundamentales. Asimismo, tienen derecho a recibir información, atención y protección de las autoridades correspondientes a efecto de promover su desarrollo integral e inclusión sin discriminación.</w:t>
      </w:r>
    </w:p>
    <w:p w14:paraId="3A4741F5" w14:textId="77777777" w:rsidR="00016FE1" w:rsidRPr="0075581A" w:rsidRDefault="00016FE1" w:rsidP="002B6227">
      <w:pPr>
        <w:ind w:left="1134" w:right="567"/>
        <w:jc w:val="both"/>
        <w:rPr>
          <w:rFonts w:ascii="Gotham" w:hAnsi="Gotham" w:cs="Arial"/>
          <w:i/>
          <w:iCs/>
          <w:sz w:val="18"/>
          <w:szCs w:val="18"/>
        </w:rPr>
      </w:pPr>
    </w:p>
    <w:p w14:paraId="3A4741F6"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lastRenderedPageBreak/>
        <w:t>Artículo 10.</w:t>
      </w:r>
      <w:r w:rsidRPr="0075581A">
        <w:rPr>
          <w:rFonts w:ascii="Gotham" w:hAnsi="Gotham" w:cs="Arial"/>
          <w:i/>
          <w:iCs/>
          <w:sz w:val="18"/>
          <w:szCs w:val="18"/>
        </w:rPr>
        <w:t xml:space="preserve"> Las personas LGBTQ+ tienen derecho a participar en la vida pública del Municipio, en el diseño e implementación de políticas, programas, proyectos que les afecten o conciernan directa o indirectamente.</w:t>
      </w:r>
    </w:p>
    <w:p w14:paraId="3A4741F7" w14:textId="77777777" w:rsidR="00016FE1" w:rsidRDefault="00016FE1" w:rsidP="002B6227">
      <w:pPr>
        <w:ind w:left="1134" w:right="567"/>
        <w:jc w:val="both"/>
        <w:rPr>
          <w:rFonts w:ascii="Gotham" w:hAnsi="Gotham" w:cs="Arial"/>
          <w:i/>
          <w:iCs/>
          <w:sz w:val="18"/>
          <w:szCs w:val="18"/>
        </w:rPr>
      </w:pPr>
    </w:p>
    <w:p w14:paraId="3A4741F8"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i/>
          <w:iCs/>
          <w:sz w:val="18"/>
          <w:szCs w:val="18"/>
        </w:rPr>
        <w:t>Para tales efectos, el Ayuntamiento a través de sus dependencias y organismos competentes, procurarán consultar e incorporar a las personas LGBTQ+ bajo un enfoque de derechos humanos y no discriminación en las acciones que con base en sus atribuciones realicen.</w:t>
      </w:r>
    </w:p>
    <w:p w14:paraId="3A4741F9" w14:textId="77777777" w:rsidR="00016FE1" w:rsidRDefault="00016FE1" w:rsidP="002B6227">
      <w:pPr>
        <w:ind w:left="1134" w:right="567"/>
        <w:jc w:val="both"/>
        <w:rPr>
          <w:rFonts w:ascii="Gotham" w:hAnsi="Gotham" w:cs="Arial"/>
          <w:i/>
          <w:iCs/>
          <w:sz w:val="18"/>
          <w:szCs w:val="18"/>
        </w:rPr>
      </w:pPr>
    </w:p>
    <w:p w14:paraId="3A4741FA" w14:textId="77777777" w:rsidR="00016FE1" w:rsidRPr="0075581A" w:rsidRDefault="00016FE1" w:rsidP="002B6227">
      <w:pPr>
        <w:ind w:left="1134" w:right="567"/>
        <w:jc w:val="both"/>
        <w:rPr>
          <w:rFonts w:ascii="Gotham" w:hAnsi="Gotham" w:cs="Arial"/>
          <w:i/>
          <w:iCs/>
          <w:sz w:val="18"/>
          <w:szCs w:val="18"/>
        </w:rPr>
      </w:pPr>
    </w:p>
    <w:p w14:paraId="3A4741FB" w14:textId="77777777" w:rsidR="00016FE1" w:rsidRPr="00662B96" w:rsidRDefault="00016FE1" w:rsidP="002B6227">
      <w:pPr>
        <w:ind w:left="1134" w:right="567"/>
        <w:jc w:val="center"/>
        <w:rPr>
          <w:rFonts w:ascii="Gotham" w:hAnsi="Gotham"/>
          <w:b/>
          <w:i/>
          <w:sz w:val="18"/>
          <w:szCs w:val="18"/>
        </w:rPr>
      </w:pPr>
      <w:r w:rsidRPr="00662B96">
        <w:rPr>
          <w:rFonts w:ascii="Gotham" w:hAnsi="Gotham"/>
          <w:b/>
          <w:i/>
          <w:spacing w:val="-2"/>
          <w:w w:val="95"/>
          <w:sz w:val="18"/>
          <w:szCs w:val="18"/>
        </w:rPr>
        <w:t>Capítulo</w:t>
      </w:r>
      <w:r w:rsidRPr="00662B96">
        <w:rPr>
          <w:rFonts w:ascii="Gotham" w:hAnsi="Gotham"/>
          <w:b/>
          <w:i/>
          <w:spacing w:val="-6"/>
          <w:w w:val="95"/>
          <w:sz w:val="18"/>
          <w:szCs w:val="18"/>
        </w:rPr>
        <w:t xml:space="preserve"> </w:t>
      </w:r>
      <w:r w:rsidRPr="00662B96">
        <w:rPr>
          <w:rFonts w:ascii="Gotham" w:hAnsi="Gotham"/>
          <w:b/>
          <w:i/>
          <w:spacing w:val="-1"/>
          <w:w w:val="95"/>
          <w:sz w:val="18"/>
          <w:szCs w:val="18"/>
        </w:rPr>
        <w:t>III</w:t>
      </w:r>
    </w:p>
    <w:p w14:paraId="3A4741FC" w14:textId="77777777" w:rsidR="00016FE1" w:rsidRPr="00662B96" w:rsidRDefault="00016FE1" w:rsidP="002B6227">
      <w:pPr>
        <w:ind w:left="1134" w:right="567"/>
        <w:jc w:val="center"/>
        <w:rPr>
          <w:rFonts w:ascii="Gotham" w:hAnsi="Gotham"/>
          <w:b/>
          <w:i/>
          <w:sz w:val="18"/>
          <w:szCs w:val="18"/>
        </w:rPr>
      </w:pPr>
      <w:r w:rsidRPr="00662B96">
        <w:rPr>
          <w:rFonts w:ascii="Gotham" w:hAnsi="Gotham"/>
          <w:b/>
          <w:i/>
          <w:w w:val="90"/>
          <w:sz w:val="18"/>
          <w:szCs w:val="18"/>
        </w:rPr>
        <w:t>De</w:t>
      </w:r>
      <w:r w:rsidRPr="00662B96">
        <w:rPr>
          <w:rFonts w:ascii="Gotham" w:hAnsi="Gotham"/>
          <w:b/>
          <w:i/>
          <w:spacing w:val="3"/>
          <w:w w:val="90"/>
          <w:sz w:val="18"/>
          <w:szCs w:val="18"/>
        </w:rPr>
        <w:t xml:space="preserve"> </w:t>
      </w:r>
      <w:r w:rsidRPr="00662B96">
        <w:rPr>
          <w:rFonts w:ascii="Gotham" w:hAnsi="Gotham"/>
          <w:b/>
          <w:i/>
          <w:w w:val="90"/>
          <w:sz w:val="18"/>
          <w:szCs w:val="18"/>
        </w:rPr>
        <w:t>los</w:t>
      </w:r>
      <w:r w:rsidRPr="00662B96">
        <w:rPr>
          <w:rFonts w:ascii="Gotham" w:hAnsi="Gotham"/>
          <w:b/>
          <w:i/>
          <w:spacing w:val="3"/>
          <w:w w:val="90"/>
          <w:sz w:val="18"/>
          <w:szCs w:val="18"/>
        </w:rPr>
        <w:t xml:space="preserve"> </w:t>
      </w:r>
      <w:r w:rsidRPr="00662B96">
        <w:rPr>
          <w:rFonts w:ascii="Gotham" w:hAnsi="Gotham"/>
          <w:b/>
          <w:i/>
          <w:w w:val="90"/>
          <w:sz w:val="18"/>
          <w:szCs w:val="18"/>
        </w:rPr>
        <w:t>Deberes</w:t>
      </w:r>
      <w:r w:rsidRPr="00662B96">
        <w:rPr>
          <w:rFonts w:ascii="Gotham" w:hAnsi="Gotham"/>
          <w:b/>
          <w:i/>
          <w:spacing w:val="3"/>
          <w:w w:val="90"/>
          <w:sz w:val="18"/>
          <w:szCs w:val="18"/>
        </w:rPr>
        <w:t xml:space="preserve"> </w:t>
      </w:r>
      <w:r w:rsidRPr="00662B96">
        <w:rPr>
          <w:rFonts w:ascii="Gotham" w:hAnsi="Gotham"/>
          <w:b/>
          <w:i/>
          <w:w w:val="90"/>
          <w:sz w:val="18"/>
          <w:szCs w:val="18"/>
        </w:rPr>
        <w:t>del</w:t>
      </w:r>
      <w:r w:rsidRPr="00662B96">
        <w:rPr>
          <w:rFonts w:ascii="Gotham" w:hAnsi="Gotham"/>
          <w:b/>
          <w:i/>
          <w:spacing w:val="4"/>
          <w:w w:val="90"/>
          <w:sz w:val="18"/>
          <w:szCs w:val="18"/>
        </w:rPr>
        <w:t xml:space="preserve"> </w:t>
      </w:r>
      <w:r w:rsidRPr="00662B96">
        <w:rPr>
          <w:rFonts w:ascii="Gotham" w:hAnsi="Gotham"/>
          <w:b/>
          <w:i/>
          <w:w w:val="90"/>
          <w:sz w:val="18"/>
          <w:szCs w:val="18"/>
        </w:rPr>
        <w:t>Ayuntamiento</w:t>
      </w:r>
    </w:p>
    <w:p w14:paraId="3A4741FD" w14:textId="77777777" w:rsidR="00016FE1" w:rsidRPr="00662B96" w:rsidRDefault="00016FE1" w:rsidP="002B6227">
      <w:pPr>
        <w:pStyle w:val="Textoindependiente"/>
        <w:spacing w:after="0"/>
        <w:ind w:left="1134" w:right="567"/>
        <w:rPr>
          <w:rFonts w:ascii="Gotham" w:hAnsi="Gotham"/>
          <w:b/>
          <w:i/>
          <w:sz w:val="18"/>
          <w:szCs w:val="18"/>
        </w:rPr>
      </w:pPr>
    </w:p>
    <w:p w14:paraId="3A4741FE"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11.</w:t>
      </w:r>
      <w:r w:rsidRPr="0075581A">
        <w:rPr>
          <w:rFonts w:ascii="Gotham" w:hAnsi="Gotham" w:cs="Arial"/>
          <w:i/>
          <w:iCs/>
          <w:sz w:val="18"/>
          <w:szCs w:val="18"/>
        </w:rPr>
        <w:t xml:space="preserve"> Son obligaciones del Ayuntamiento a través de sus dependencias y organismos competentes, con base en sus atribuciones y competencias de ley; respetar, promover, proteger y garantizar los derechos de las personas LGBTQ+.</w:t>
      </w:r>
    </w:p>
    <w:p w14:paraId="3A4741FF" w14:textId="77777777" w:rsidR="00016FE1" w:rsidRPr="0075581A" w:rsidRDefault="00016FE1" w:rsidP="002B6227">
      <w:pPr>
        <w:ind w:left="1134" w:right="567"/>
        <w:jc w:val="both"/>
        <w:rPr>
          <w:rFonts w:ascii="Gotham" w:hAnsi="Gotham" w:cs="Arial"/>
          <w:i/>
          <w:iCs/>
          <w:sz w:val="18"/>
          <w:szCs w:val="18"/>
        </w:rPr>
      </w:pPr>
    </w:p>
    <w:p w14:paraId="3A474200"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i/>
          <w:iCs/>
          <w:sz w:val="18"/>
          <w:szCs w:val="18"/>
        </w:rPr>
        <w:t>Deberán de incorporar medidas contra la discriminación para prevenir o corregir que las personas LGBTQ+ sean tratadas de una manera directa o indirecta menos favorable que otra y prohibir las conductas que tengan como objetivo o consecuencia atentar contra su dignidad, crear un entorno intimidatorio, hostil, degradante u ofensivo, debido a su orientación sexo-genérica.</w:t>
      </w:r>
    </w:p>
    <w:p w14:paraId="3A474201" w14:textId="77777777" w:rsidR="00016FE1" w:rsidRPr="0075581A" w:rsidRDefault="00016FE1" w:rsidP="002B6227">
      <w:pPr>
        <w:ind w:left="1134" w:right="567"/>
        <w:jc w:val="both"/>
        <w:rPr>
          <w:rFonts w:ascii="Gotham" w:hAnsi="Gotham" w:cs="Arial"/>
          <w:i/>
          <w:iCs/>
          <w:sz w:val="18"/>
          <w:szCs w:val="18"/>
        </w:rPr>
      </w:pPr>
    </w:p>
    <w:p w14:paraId="3A474202"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i/>
          <w:iCs/>
          <w:sz w:val="18"/>
          <w:szCs w:val="18"/>
        </w:rPr>
        <w:t>Será prioridad adoptar medidas que garanticen el pleno goce de los derechos humanos para aquellas personas LGBTQ+ que viven un grado mayor de vulnerabilidad y de discriminación estructural, como son las personas intersexuales, transexuales, transgénero, personas con discapacidad, personas adultas mayores entre otras personas LGBTQ+ pertenecientes a otros grupos de atención prioritaria.</w:t>
      </w:r>
    </w:p>
    <w:p w14:paraId="3A474203" w14:textId="77777777" w:rsidR="00016FE1" w:rsidRPr="0075581A" w:rsidRDefault="00016FE1" w:rsidP="002B6227">
      <w:pPr>
        <w:ind w:left="1134" w:right="567"/>
        <w:jc w:val="both"/>
        <w:rPr>
          <w:rFonts w:ascii="Gotham" w:hAnsi="Gotham" w:cs="Arial"/>
          <w:i/>
          <w:iCs/>
          <w:sz w:val="18"/>
          <w:szCs w:val="18"/>
        </w:rPr>
      </w:pPr>
    </w:p>
    <w:p w14:paraId="3A474204"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12.</w:t>
      </w:r>
      <w:r w:rsidRPr="0075581A">
        <w:rPr>
          <w:rFonts w:ascii="Gotham" w:hAnsi="Gotham" w:cs="Arial"/>
          <w:i/>
          <w:iCs/>
          <w:sz w:val="18"/>
          <w:szCs w:val="18"/>
        </w:rPr>
        <w:t xml:space="preserve"> Analizar y en su caso impulsar las reformas legislativas necesarias para facilitar el cumplimiento de los derechos en favor de las personas LGBTQ+.</w:t>
      </w:r>
    </w:p>
    <w:p w14:paraId="3A474205" w14:textId="77777777" w:rsidR="00016FE1" w:rsidRPr="0075581A" w:rsidRDefault="00016FE1" w:rsidP="002B6227">
      <w:pPr>
        <w:ind w:left="1134" w:right="567"/>
        <w:jc w:val="both"/>
        <w:rPr>
          <w:rFonts w:ascii="Gotham" w:hAnsi="Gotham" w:cs="Arial"/>
          <w:i/>
          <w:iCs/>
          <w:sz w:val="18"/>
          <w:szCs w:val="18"/>
        </w:rPr>
      </w:pPr>
    </w:p>
    <w:p w14:paraId="3A474206"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13.</w:t>
      </w:r>
      <w:r w:rsidRPr="0075581A">
        <w:rPr>
          <w:rFonts w:ascii="Gotham" w:hAnsi="Gotham" w:cs="Arial"/>
          <w:i/>
          <w:iCs/>
          <w:sz w:val="18"/>
          <w:szCs w:val="18"/>
        </w:rPr>
        <w:t xml:space="preserve"> El Ayuntamiento procurará, de conformidad a su capacidad presupuestaria, dentro de su estructura orgánica y en el área administrativa, que consideren pertinente, destinar recursos humanos y materiales para la integración de la UNADIS Tonalá para que a través de esta se brinde atención o servicio a las personas LGBTQ+, donde cuenten con la infraestructura, mobiliario, equipo y personal adecuado básicos para su eficaz funcionamiento.</w:t>
      </w:r>
    </w:p>
    <w:p w14:paraId="3A474207" w14:textId="77777777" w:rsidR="00016FE1" w:rsidRPr="0075581A" w:rsidRDefault="00016FE1" w:rsidP="002B6227">
      <w:pPr>
        <w:ind w:left="1134" w:right="567"/>
        <w:jc w:val="both"/>
        <w:rPr>
          <w:rFonts w:ascii="Gotham" w:hAnsi="Gotham" w:cs="Arial"/>
          <w:i/>
          <w:iCs/>
          <w:sz w:val="18"/>
          <w:szCs w:val="18"/>
        </w:rPr>
      </w:pPr>
    </w:p>
    <w:p w14:paraId="3A474208"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14.</w:t>
      </w:r>
      <w:r w:rsidRPr="0075581A">
        <w:rPr>
          <w:rFonts w:ascii="Gotham" w:hAnsi="Gotham" w:cs="Arial"/>
          <w:i/>
          <w:iCs/>
          <w:sz w:val="18"/>
          <w:szCs w:val="18"/>
        </w:rPr>
        <w:t xml:space="preserve"> El Ayuntamiento, a través de sus dependencias y organismos competentes, promoverá la difusión de los derechos de las personas LGBTQ+ mencionados en el Capítulo II de este Reglamento.</w:t>
      </w:r>
    </w:p>
    <w:p w14:paraId="3A474209" w14:textId="77777777" w:rsidR="00016FE1" w:rsidRPr="0075581A" w:rsidRDefault="00016FE1" w:rsidP="002B6227">
      <w:pPr>
        <w:ind w:left="1134" w:right="567"/>
        <w:jc w:val="both"/>
        <w:rPr>
          <w:rFonts w:ascii="Gotham" w:hAnsi="Gotham" w:cs="Arial"/>
          <w:i/>
          <w:iCs/>
          <w:sz w:val="18"/>
          <w:szCs w:val="18"/>
        </w:rPr>
      </w:pPr>
    </w:p>
    <w:p w14:paraId="3A47420A"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15.</w:t>
      </w:r>
      <w:r w:rsidRPr="0075581A">
        <w:rPr>
          <w:rFonts w:ascii="Gotham" w:hAnsi="Gotham" w:cs="Arial"/>
          <w:i/>
          <w:iCs/>
          <w:sz w:val="18"/>
          <w:szCs w:val="18"/>
        </w:rPr>
        <w:t xml:space="preserve"> Capacitar y sensibilizar a las y los servidores públicos de sus dependencias sobre los derechos de las personas LGBTQ+, principalmente a aquellos que estén a cargo de brindar atención en la UNADIS Tonalá.</w:t>
      </w:r>
    </w:p>
    <w:p w14:paraId="3A47420B" w14:textId="77777777" w:rsidR="00016FE1" w:rsidRPr="0075581A" w:rsidRDefault="00016FE1" w:rsidP="002B6227">
      <w:pPr>
        <w:ind w:left="1134" w:right="567"/>
        <w:jc w:val="both"/>
        <w:rPr>
          <w:rFonts w:ascii="Gotham" w:hAnsi="Gotham" w:cs="Arial"/>
          <w:i/>
          <w:iCs/>
          <w:sz w:val="18"/>
          <w:szCs w:val="18"/>
        </w:rPr>
      </w:pPr>
    </w:p>
    <w:p w14:paraId="3A47420C"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16.</w:t>
      </w:r>
      <w:r w:rsidRPr="0075581A">
        <w:rPr>
          <w:rFonts w:ascii="Gotham" w:hAnsi="Gotham" w:cs="Arial"/>
          <w:i/>
          <w:iCs/>
          <w:sz w:val="18"/>
          <w:szCs w:val="18"/>
        </w:rPr>
        <w:t xml:space="preserve"> Habilitar y brindar las facilidades para el uso de espacios comunitarios, culturales o recreativos de las personas LGBTQ+ dentro de los bienes inmuebles a cargo del Ayuntamiento.</w:t>
      </w:r>
    </w:p>
    <w:p w14:paraId="3A47420D" w14:textId="77777777" w:rsidR="00016FE1" w:rsidRPr="0075581A" w:rsidRDefault="00016FE1" w:rsidP="002B6227">
      <w:pPr>
        <w:ind w:left="1134" w:right="567"/>
        <w:jc w:val="both"/>
        <w:rPr>
          <w:rFonts w:ascii="Gotham" w:hAnsi="Gotham" w:cs="Arial"/>
          <w:i/>
          <w:iCs/>
          <w:sz w:val="18"/>
          <w:szCs w:val="18"/>
        </w:rPr>
      </w:pPr>
    </w:p>
    <w:p w14:paraId="3A47420E"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17.</w:t>
      </w:r>
      <w:r w:rsidRPr="0075581A">
        <w:rPr>
          <w:rFonts w:ascii="Gotham" w:hAnsi="Gotham" w:cs="Arial"/>
          <w:i/>
          <w:iCs/>
          <w:sz w:val="18"/>
          <w:szCs w:val="18"/>
        </w:rPr>
        <w:t xml:space="preserve"> Celebrar convenios de colaboración y coordinación con los diferentes órganos y niveles de gobierno en materia de capacitación, no discriminación y violencia por razón de orientación sexo-genérica, expresión de género e identidad de género.</w:t>
      </w:r>
    </w:p>
    <w:p w14:paraId="3A47420F" w14:textId="77777777" w:rsidR="00016FE1" w:rsidRPr="0075581A" w:rsidRDefault="00016FE1" w:rsidP="002B6227">
      <w:pPr>
        <w:ind w:left="1134" w:right="567"/>
        <w:jc w:val="both"/>
        <w:rPr>
          <w:rFonts w:ascii="Gotham" w:hAnsi="Gotham" w:cs="Arial"/>
          <w:i/>
          <w:iCs/>
          <w:sz w:val="18"/>
          <w:szCs w:val="18"/>
        </w:rPr>
      </w:pPr>
    </w:p>
    <w:p w14:paraId="3A474210"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t>Artículo 18.</w:t>
      </w:r>
      <w:r w:rsidRPr="0075581A">
        <w:rPr>
          <w:rFonts w:ascii="Gotham" w:hAnsi="Gotham" w:cs="Arial"/>
          <w:i/>
          <w:iCs/>
          <w:sz w:val="18"/>
          <w:szCs w:val="18"/>
        </w:rPr>
        <w:t xml:space="preserve"> Capacitar periódicamente al personal de Seguridad Pública para disminuir los casos de discriminación y violencia contra las personas LGBTQ+, motivados por la</w:t>
      </w:r>
      <w:r w:rsidR="00B76E88">
        <w:rPr>
          <w:rFonts w:ascii="Gotham" w:hAnsi="Gotham" w:cs="Arial"/>
          <w:i/>
          <w:iCs/>
          <w:sz w:val="18"/>
          <w:szCs w:val="18"/>
        </w:rPr>
        <w:t xml:space="preserve"> </w:t>
      </w:r>
      <w:r w:rsidRPr="0075581A">
        <w:rPr>
          <w:rFonts w:ascii="Gotham" w:hAnsi="Gotham" w:cs="Arial"/>
          <w:i/>
          <w:iCs/>
          <w:sz w:val="18"/>
          <w:szCs w:val="18"/>
        </w:rPr>
        <w:t>orientación</w:t>
      </w:r>
      <w:r w:rsidR="00B76E88">
        <w:rPr>
          <w:rFonts w:ascii="Gotham" w:hAnsi="Gotham" w:cs="Arial"/>
          <w:i/>
          <w:iCs/>
          <w:sz w:val="18"/>
          <w:szCs w:val="18"/>
        </w:rPr>
        <w:t xml:space="preserve"> </w:t>
      </w:r>
      <w:r w:rsidRPr="0075581A">
        <w:rPr>
          <w:rFonts w:ascii="Gotham" w:hAnsi="Gotham" w:cs="Arial"/>
          <w:i/>
          <w:iCs/>
          <w:sz w:val="18"/>
          <w:szCs w:val="18"/>
        </w:rPr>
        <w:t>sexo-genérica, expresión de género e identidad de género de las personas.</w:t>
      </w:r>
    </w:p>
    <w:p w14:paraId="3A474211" w14:textId="77777777" w:rsidR="00016FE1" w:rsidRPr="0075581A" w:rsidRDefault="00016FE1" w:rsidP="002B6227">
      <w:pPr>
        <w:ind w:left="1134" w:right="567"/>
        <w:jc w:val="both"/>
        <w:rPr>
          <w:rFonts w:ascii="Gotham" w:hAnsi="Gotham" w:cs="Arial"/>
          <w:i/>
          <w:iCs/>
          <w:sz w:val="18"/>
          <w:szCs w:val="18"/>
        </w:rPr>
      </w:pPr>
    </w:p>
    <w:p w14:paraId="3A474212"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b/>
          <w:i/>
          <w:iCs/>
          <w:sz w:val="18"/>
          <w:szCs w:val="18"/>
        </w:rPr>
        <w:lastRenderedPageBreak/>
        <w:t>Artículo 19.</w:t>
      </w:r>
      <w:r w:rsidRPr="0075581A">
        <w:rPr>
          <w:rFonts w:ascii="Gotham" w:hAnsi="Gotham" w:cs="Arial"/>
          <w:i/>
          <w:iCs/>
          <w:sz w:val="18"/>
          <w:szCs w:val="18"/>
        </w:rPr>
        <w:t xml:space="preserve"> Capacitar y sensibilizar en materia de diversidad sexual al personal médico de las unidades que integran los Servicios Médicos Municipales del Ayuntamiento, y con ello brindar el acceso y la prestación de los servicios de salud, programas de detección oportuna y tratamientos libres de estereotipos y sin discriminación, otorgando el más amplio estándar en la salud. Asimismo, realizar programas de atención integral y proporcionar los tratamientos médicos antirretrovirales para las personas que viven con VIH y los demás correspondientes a otras enfermedades de transmisión sexual.</w:t>
      </w:r>
    </w:p>
    <w:p w14:paraId="3A474213" w14:textId="77777777" w:rsidR="00016FE1" w:rsidRDefault="00016FE1" w:rsidP="002B6227">
      <w:pPr>
        <w:ind w:left="1134" w:right="567"/>
        <w:jc w:val="both"/>
        <w:rPr>
          <w:rFonts w:ascii="Gotham" w:hAnsi="Gotham" w:cs="Arial"/>
          <w:i/>
          <w:iCs/>
          <w:sz w:val="18"/>
          <w:szCs w:val="18"/>
        </w:rPr>
      </w:pPr>
    </w:p>
    <w:p w14:paraId="3A474214" w14:textId="77777777" w:rsidR="00016FE1" w:rsidRPr="0075581A" w:rsidRDefault="00016FE1" w:rsidP="002B6227">
      <w:pPr>
        <w:ind w:left="1134" w:right="567"/>
        <w:jc w:val="both"/>
        <w:rPr>
          <w:rFonts w:ascii="Gotham" w:hAnsi="Gotham" w:cs="Arial"/>
          <w:i/>
          <w:iCs/>
          <w:sz w:val="18"/>
          <w:szCs w:val="18"/>
        </w:rPr>
      </w:pPr>
      <w:r w:rsidRPr="0075581A">
        <w:rPr>
          <w:rFonts w:ascii="Gotham" w:hAnsi="Gotham" w:cs="Arial"/>
          <w:i/>
          <w:iCs/>
          <w:sz w:val="18"/>
          <w:szCs w:val="18"/>
        </w:rPr>
        <w:t>Las demás que se establezcan en este y otros ordenamientos legales aplicables.</w:t>
      </w:r>
    </w:p>
    <w:p w14:paraId="3A474215" w14:textId="77777777" w:rsidR="00016FE1" w:rsidRPr="0075581A" w:rsidRDefault="00016FE1" w:rsidP="002B6227">
      <w:pPr>
        <w:ind w:left="1134" w:right="567"/>
        <w:jc w:val="both"/>
        <w:rPr>
          <w:rFonts w:ascii="Gotham" w:hAnsi="Gotham" w:cs="Arial"/>
          <w:i/>
          <w:iCs/>
          <w:sz w:val="18"/>
          <w:szCs w:val="18"/>
        </w:rPr>
      </w:pPr>
    </w:p>
    <w:p w14:paraId="3A474216" w14:textId="77777777" w:rsidR="00016FE1" w:rsidRPr="0075581A" w:rsidRDefault="00016FE1" w:rsidP="002B6227">
      <w:pPr>
        <w:ind w:left="1134" w:right="567"/>
        <w:jc w:val="both"/>
        <w:rPr>
          <w:rFonts w:ascii="Gotham" w:hAnsi="Gotham" w:cs="Arial"/>
          <w:i/>
          <w:iCs/>
          <w:sz w:val="18"/>
          <w:szCs w:val="18"/>
        </w:rPr>
      </w:pPr>
    </w:p>
    <w:p w14:paraId="3A474217" w14:textId="77777777" w:rsidR="00016FE1" w:rsidRPr="00662B96" w:rsidRDefault="00016FE1" w:rsidP="002B6227">
      <w:pPr>
        <w:ind w:left="1134" w:right="567"/>
        <w:jc w:val="center"/>
        <w:rPr>
          <w:rFonts w:ascii="Gotham" w:hAnsi="Gotham"/>
          <w:b/>
          <w:i/>
          <w:sz w:val="18"/>
          <w:szCs w:val="18"/>
        </w:rPr>
      </w:pPr>
      <w:r w:rsidRPr="00662B96">
        <w:rPr>
          <w:rFonts w:ascii="Gotham" w:hAnsi="Gotham"/>
          <w:b/>
          <w:i/>
          <w:spacing w:val="-1"/>
          <w:w w:val="95"/>
          <w:sz w:val="18"/>
          <w:szCs w:val="18"/>
        </w:rPr>
        <w:t>Capítulo</w:t>
      </w:r>
      <w:r w:rsidRPr="00662B96">
        <w:rPr>
          <w:rFonts w:ascii="Gotham" w:hAnsi="Gotham"/>
          <w:b/>
          <w:i/>
          <w:spacing w:val="-8"/>
          <w:w w:val="95"/>
          <w:sz w:val="18"/>
          <w:szCs w:val="18"/>
        </w:rPr>
        <w:t xml:space="preserve"> </w:t>
      </w:r>
      <w:r w:rsidRPr="00662B96">
        <w:rPr>
          <w:rFonts w:ascii="Gotham" w:hAnsi="Gotham"/>
          <w:b/>
          <w:i/>
          <w:w w:val="95"/>
          <w:sz w:val="18"/>
          <w:szCs w:val="18"/>
        </w:rPr>
        <w:t>IV</w:t>
      </w:r>
    </w:p>
    <w:p w14:paraId="3A474218" w14:textId="77777777" w:rsidR="00016FE1" w:rsidRPr="00662B96" w:rsidRDefault="00016FE1" w:rsidP="002B6227">
      <w:pPr>
        <w:ind w:left="1134" w:right="567"/>
        <w:jc w:val="center"/>
        <w:rPr>
          <w:rFonts w:ascii="Gotham" w:hAnsi="Gotham"/>
          <w:b/>
          <w:i/>
          <w:sz w:val="18"/>
          <w:szCs w:val="18"/>
        </w:rPr>
      </w:pPr>
      <w:r w:rsidRPr="00662B96">
        <w:rPr>
          <w:rFonts w:ascii="Gotham" w:hAnsi="Gotham"/>
          <w:b/>
          <w:i/>
          <w:w w:val="90"/>
          <w:sz w:val="18"/>
          <w:szCs w:val="18"/>
        </w:rPr>
        <w:t>De</w:t>
      </w:r>
      <w:r w:rsidRPr="00662B96">
        <w:rPr>
          <w:rFonts w:ascii="Gotham" w:hAnsi="Gotham"/>
          <w:b/>
          <w:i/>
          <w:spacing w:val="4"/>
          <w:w w:val="90"/>
          <w:sz w:val="18"/>
          <w:szCs w:val="18"/>
        </w:rPr>
        <w:t xml:space="preserve"> </w:t>
      </w:r>
      <w:r w:rsidRPr="00662B96">
        <w:rPr>
          <w:rFonts w:ascii="Gotham" w:hAnsi="Gotham"/>
          <w:b/>
          <w:i/>
          <w:w w:val="90"/>
          <w:sz w:val="18"/>
          <w:szCs w:val="18"/>
        </w:rPr>
        <w:t>la</w:t>
      </w:r>
      <w:r w:rsidRPr="00662B96">
        <w:rPr>
          <w:rFonts w:ascii="Gotham" w:hAnsi="Gotham"/>
          <w:b/>
          <w:i/>
          <w:spacing w:val="4"/>
          <w:w w:val="90"/>
          <w:sz w:val="18"/>
          <w:szCs w:val="18"/>
        </w:rPr>
        <w:t xml:space="preserve"> </w:t>
      </w:r>
      <w:r w:rsidRPr="00662B96">
        <w:rPr>
          <w:rFonts w:ascii="Gotham" w:hAnsi="Gotham"/>
          <w:b/>
          <w:i/>
          <w:w w:val="90"/>
          <w:sz w:val="18"/>
          <w:szCs w:val="18"/>
        </w:rPr>
        <w:t>Corresponsabilidad</w:t>
      </w:r>
      <w:r w:rsidRPr="00662B96">
        <w:rPr>
          <w:rFonts w:ascii="Gotham" w:hAnsi="Gotham"/>
          <w:b/>
          <w:i/>
          <w:spacing w:val="4"/>
          <w:w w:val="90"/>
          <w:sz w:val="18"/>
          <w:szCs w:val="18"/>
        </w:rPr>
        <w:t xml:space="preserve"> </w:t>
      </w:r>
      <w:r w:rsidRPr="00662B96">
        <w:rPr>
          <w:rFonts w:ascii="Gotham" w:hAnsi="Gotham"/>
          <w:b/>
          <w:i/>
          <w:w w:val="90"/>
          <w:sz w:val="18"/>
          <w:szCs w:val="18"/>
        </w:rPr>
        <w:t>de</w:t>
      </w:r>
      <w:r w:rsidRPr="00662B96">
        <w:rPr>
          <w:rFonts w:ascii="Gotham" w:hAnsi="Gotham"/>
          <w:b/>
          <w:i/>
          <w:spacing w:val="5"/>
          <w:w w:val="90"/>
          <w:sz w:val="18"/>
          <w:szCs w:val="18"/>
        </w:rPr>
        <w:t xml:space="preserve"> </w:t>
      </w:r>
      <w:r w:rsidRPr="00662B96">
        <w:rPr>
          <w:rFonts w:ascii="Gotham" w:hAnsi="Gotham"/>
          <w:b/>
          <w:i/>
          <w:w w:val="90"/>
          <w:sz w:val="18"/>
          <w:szCs w:val="18"/>
        </w:rPr>
        <w:t>las</w:t>
      </w:r>
      <w:r w:rsidRPr="00662B96">
        <w:rPr>
          <w:rFonts w:ascii="Gotham" w:hAnsi="Gotham"/>
          <w:b/>
          <w:i/>
          <w:spacing w:val="4"/>
          <w:w w:val="90"/>
          <w:sz w:val="18"/>
          <w:szCs w:val="18"/>
        </w:rPr>
        <w:t xml:space="preserve"> </w:t>
      </w:r>
      <w:r w:rsidRPr="00662B96">
        <w:rPr>
          <w:rFonts w:ascii="Gotham" w:hAnsi="Gotham"/>
          <w:b/>
          <w:i/>
          <w:w w:val="90"/>
          <w:sz w:val="18"/>
          <w:szCs w:val="18"/>
        </w:rPr>
        <w:t>y</w:t>
      </w:r>
      <w:r w:rsidRPr="00662B96">
        <w:rPr>
          <w:rFonts w:ascii="Gotham" w:hAnsi="Gotham"/>
          <w:b/>
          <w:i/>
          <w:spacing w:val="4"/>
          <w:w w:val="90"/>
          <w:sz w:val="18"/>
          <w:szCs w:val="18"/>
        </w:rPr>
        <w:t xml:space="preserve"> </w:t>
      </w:r>
      <w:r w:rsidRPr="00662B96">
        <w:rPr>
          <w:rFonts w:ascii="Gotham" w:hAnsi="Gotham"/>
          <w:b/>
          <w:i/>
          <w:w w:val="90"/>
          <w:sz w:val="18"/>
          <w:szCs w:val="18"/>
        </w:rPr>
        <w:t>los</w:t>
      </w:r>
      <w:r w:rsidRPr="00662B96">
        <w:rPr>
          <w:rFonts w:ascii="Gotham" w:hAnsi="Gotham"/>
          <w:b/>
          <w:i/>
          <w:spacing w:val="5"/>
          <w:w w:val="90"/>
          <w:sz w:val="18"/>
          <w:szCs w:val="18"/>
        </w:rPr>
        <w:t xml:space="preserve"> </w:t>
      </w:r>
      <w:r w:rsidRPr="00662B96">
        <w:rPr>
          <w:rFonts w:ascii="Gotham" w:hAnsi="Gotham"/>
          <w:b/>
          <w:i/>
          <w:w w:val="90"/>
          <w:sz w:val="18"/>
          <w:szCs w:val="18"/>
        </w:rPr>
        <w:t>Ciudadanos</w:t>
      </w:r>
      <w:r w:rsidRPr="00662B96">
        <w:rPr>
          <w:rFonts w:ascii="Gotham" w:hAnsi="Gotham"/>
          <w:b/>
          <w:i/>
          <w:spacing w:val="4"/>
          <w:w w:val="90"/>
          <w:sz w:val="18"/>
          <w:szCs w:val="18"/>
        </w:rPr>
        <w:t xml:space="preserve"> </w:t>
      </w:r>
      <w:r w:rsidRPr="00662B96">
        <w:rPr>
          <w:rFonts w:ascii="Gotham" w:hAnsi="Gotham"/>
          <w:b/>
          <w:i/>
          <w:w w:val="90"/>
          <w:sz w:val="18"/>
          <w:szCs w:val="18"/>
        </w:rPr>
        <w:t>y</w:t>
      </w:r>
      <w:r w:rsidRPr="00662B96">
        <w:rPr>
          <w:rFonts w:ascii="Gotham" w:hAnsi="Gotham"/>
          <w:b/>
          <w:i/>
          <w:spacing w:val="4"/>
          <w:w w:val="90"/>
          <w:sz w:val="18"/>
          <w:szCs w:val="18"/>
        </w:rPr>
        <w:t xml:space="preserve"> </w:t>
      </w:r>
      <w:r w:rsidRPr="00662B96">
        <w:rPr>
          <w:rFonts w:ascii="Gotham" w:hAnsi="Gotham"/>
          <w:b/>
          <w:i/>
          <w:w w:val="90"/>
          <w:sz w:val="18"/>
          <w:szCs w:val="18"/>
        </w:rPr>
        <w:t>la</w:t>
      </w:r>
      <w:r w:rsidRPr="00662B96">
        <w:rPr>
          <w:rFonts w:ascii="Gotham" w:hAnsi="Gotham"/>
          <w:b/>
          <w:i/>
          <w:spacing w:val="4"/>
          <w:w w:val="90"/>
          <w:sz w:val="18"/>
          <w:szCs w:val="18"/>
        </w:rPr>
        <w:t xml:space="preserve"> </w:t>
      </w:r>
      <w:r w:rsidRPr="00662B96">
        <w:rPr>
          <w:rFonts w:ascii="Gotham" w:hAnsi="Gotham"/>
          <w:b/>
          <w:i/>
          <w:w w:val="90"/>
          <w:sz w:val="18"/>
          <w:szCs w:val="18"/>
        </w:rPr>
        <w:t>Sociedad</w:t>
      </w:r>
      <w:r w:rsidRPr="00662B96">
        <w:rPr>
          <w:rFonts w:ascii="Gotham" w:hAnsi="Gotham"/>
          <w:b/>
          <w:i/>
          <w:spacing w:val="5"/>
          <w:w w:val="90"/>
          <w:sz w:val="18"/>
          <w:szCs w:val="18"/>
        </w:rPr>
        <w:t xml:space="preserve"> </w:t>
      </w:r>
      <w:r w:rsidRPr="00662B96">
        <w:rPr>
          <w:rFonts w:ascii="Gotham" w:hAnsi="Gotham"/>
          <w:b/>
          <w:i/>
          <w:w w:val="90"/>
          <w:sz w:val="18"/>
          <w:szCs w:val="18"/>
        </w:rPr>
        <w:t>en</w:t>
      </w:r>
      <w:r w:rsidRPr="00662B96">
        <w:rPr>
          <w:rFonts w:ascii="Gotham" w:hAnsi="Gotham"/>
          <w:b/>
          <w:i/>
          <w:spacing w:val="4"/>
          <w:w w:val="90"/>
          <w:sz w:val="18"/>
          <w:szCs w:val="18"/>
        </w:rPr>
        <w:t xml:space="preserve"> </w:t>
      </w:r>
      <w:r w:rsidRPr="00662B96">
        <w:rPr>
          <w:rFonts w:ascii="Gotham" w:hAnsi="Gotham"/>
          <w:b/>
          <w:i/>
          <w:w w:val="90"/>
          <w:sz w:val="18"/>
          <w:szCs w:val="18"/>
        </w:rPr>
        <w:t>General</w:t>
      </w:r>
      <w:r w:rsidRPr="00662B96">
        <w:rPr>
          <w:rFonts w:ascii="Gotham" w:hAnsi="Gotham"/>
          <w:b/>
          <w:i/>
          <w:spacing w:val="-40"/>
          <w:w w:val="90"/>
          <w:sz w:val="18"/>
          <w:szCs w:val="18"/>
        </w:rPr>
        <w:t xml:space="preserve"> </w:t>
      </w:r>
      <w:r w:rsidRPr="00662B96">
        <w:rPr>
          <w:rFonts w:ascii="Gotham" w:hAnsi="Gotham"/>
          <w:b/>
          <w:i/>
          <w:sz w:val="18"/>
          <w:szCs w:val="18"/>
        </w:rPr>
        <w:t>Respecto</w:t>
      </w:r>
      <w:r w:rsidRPr="00662B96">
        <w:rPr>
          <w:rFonts w:ascii="Gotham" w:hAnsi="Gotham"/>
          <w:b/>
          <w:i/>
          <w:spacing w:val="-8"/>
          <w:sz w:val="18"/>
          <w:szCs w:val="18"/>
        </w:rPr>
        <w:t xml:space="preserve"> </w:t>
      </w:r>
      <w:r w:rsidRPr="00662B96">
        <w:rPr>
          <w:rFonts w:ascii="Gotham" w:hAnsi="Gotham"/>
          <w:b/>
          <w:i/>
          <w:sz w:val="18"/>
          <w:szCs w:val="18"/>
        </w:rPr>
        <w:t>de</w:t>
      </w:r>
      <w:r w:rsidRPr="00662B96">
        <w:rPr>
          <w:rFonts w:ascii="Gotham" w:hAnsi="Gotham"/>
          <w:b/>
          <w:i/>
          <w:spacing w:val="-7"/>
          <w:sz w:val="18"/>
          <w:szCs w:val="18"/>
        </w:rPr>
        <w:t xml:space="preserve"> </w:t>
      </w:r>
      <w:r w:rsidRPr="00662B96">
        <w:rPr>
          <w:rFonts w:ascii="Gotham" w:hAnsi="Gotham"/>
          <w:b/>
          <w:i/>
          <w:sz w:val="18"/>
          <w:szCs w:val="18"/>
        </w:rPr>
        <w:t>los</w:t>
      </w:r>
      <w:r w:rsidRPr="00662B96">
        <w:rPr>
          <w:rFonts w:ascii="Gotham" w:hAnsi="Gotham"/>
          <w:b/>
          <w:i/>
          <w:spacing w:val="-8"/>
          <w:sz w:val="18"/>
          <w:szCs w:val="18"/>
        </w:rPr>
        <w:t xml:space="preserve"> </w:t>
      </w:r>
      <w:r w:rsidRPr="00662B96">
        <w:rPr>
          <w:rFonts w:ascii="Gotham" w:hAnsi="Gotham"/>
          <w:b/>
          <w:i/>
          <w:sz w:val="18"/>
          <w:szCs w:val="18"/>
        </w:rPr>
        <w:t>Derechos</w:t>
      </w:r>
      <w:r w:rsidRPr="00662B96">
        <w:rPr>
          <w:rFonts w:ascii="Gotham" w:hAnsi="Gotham"/>
          <w:b/>
          <w:i/>
          <w:spacing w:val="-7"/>
          <w:sz w:val="18"/>
          <w:szCs w:val="18"/>
        </w:rPr>
        <w:t xml:space="preserve"> </w:t>
      </w:r>
      <w:r w:rsidRPr="00662B96">
        <w:rPr>
          <w:rFonts w:ascii="Gotham" w:hAnsi="Gotham"/>
          <w:b/>
          <w:i/>
          <w:sz w:val="18"/>
          <w:szCs w:val="18"/>
        </w:rPr>
        <w:t>de</w:t>
      </w:r>
      <w:r w:rsidRPr="00662B96">
        <w:rPr>
          <w:rFonts w:ascii="Gotham" w:hAnsi="Gotham"/>
          <w:b/>
          <w:i/>
          <w:spacing w:val="-7"/>
          <w:sz w:val="18"/>
          <w:szCs w:val="18"/>
        </w:rPr>
        <w:t xml:space="preserve"> </w:t>
      </w:r>
      <w:r w:rsidRPr="00662B96">
        <w:rPr>
          <w:rFonts w:ascii="Gotham" w:hAnsi="Gotham"/>
          <w:b/>
          <w:i/>
          <w:sz w:val="18"/>
          <w:szCs w:val="18"/>
        </w:rPr>
        <w:t>las</w:t>
      </w:r>
      <w:r w:rsidRPr="00662B96">
        <w:rPr>
          <w:rFonts w:ascii="Gotham" w:hAnsi="Gotham"/>
          <w:b/>
          <w:i/>
          <w:spacing w:val="-8"/>
          <w:sz w:val="18"/>
          <w:szCs w:val="18"/>
        </w:rPr>
        <w:t xml:space="preserve"> </w:t>
      </w:r>
      <w:r w:rsidRPr="00662B96">
        <w:rPr>
          <w:rFonts w:ascii="Gotham" w:hAnsi="Gotham"/>
          <w:b/>
          <w:i/>
          <w:sz w:val="18"/>
          <w:szCs w:val="18"/>
        </w:rPr>
        <w:t>Personas</w:t>
      </w:r>
      <w:r w:rsidRPr="00662B96">
        <w:rPr>
          <w:rFonts w:ascii="Gotham" w:hAnsi="Gotham"/>
          <w:b/>
          <w:i/>
          <w:spacing w:val="-7"/>
          <w:sz w:val="18"/>
          <w:szCs w:val="18"/>
        </w:rPr>
        <w:t xml:space="preserve"> </w:t>
      </w:r>
      <w:r w:rsidRPr="00662B96">
        <w:rPr>
          <w:rFonts w:ascii="Gotham" w:hAnsi="Gotham"/>
          <w:b/>
          <w:i/>
          <w:sz w:val="18"/>
          <w:szCs w:val="18"/>
        </w:rPr>
        <w:t>LQBTQ+</w:t>
      </w:r>
    </w:p>
    <w:p w14:paraId="3A474219" w14:textId="77777777" w:rsidR="00016FE1" w:rsidRPr="008770B8" w:rsidRDefault="00016FE1" w:rsidP="002B6227">
      <w:pPr>
        <w:ind w:left="1134" w:right="567"/>
        <w:jc w:val="both"/>
        <w:rPr>
          <w:rFonts w:ascii="Gotham" w:hAnsi="Gotham" w:cs="Arial"/>
          <w:i/>
          <w:iCs/>
          <w:sz w:val="18"/>
          <w:szCs w:val="18"/>
        </w:rPr>
      </w:pPr>
    </w:p>
    <w:p w14:paraId="3A47421A" w14:textId="77777777" w:rsidR="00016FE1" w:rsidRPr="008770B8" w:rsidRDefault="00016FE1" w:rsidP="002B6227">
      <w:pPr>
        <w:ind w:left="1134" w:right="567"/>
        <w:jc w:val="both"/>
        <w:rPr>
          <w:rFonts w:ascii="Gotham" w:hAnsi="Gotham" w:cs="Arial"/>
          <w:i/>
          <w:iCs/>
          <w:sz w:val="18"/>
          <w:szCs w:val="18"/>
        </w:rPr>
      </w:pPr>
      <w:r w:rsidRPr="008770B8">
        <w:rPr>
          <w:rFonts w:ascii="Gotham" w:hAnsi="Gotham" w:cs="Arial"/>
          <w:b/>
          <w:i/>
          <w:iCs/>
          <w:sz w:val="18"/>
          <w:szCs w:val="18"/>
        </w:rPr>
        <w:t>Artículo 20.</w:t>
      </w:r>
      <w:r w:rsidRPr="008770B8">
        <w:rPr>
          <w:rFonts w:ascii="Gotham" w:hAnsi="Gotham" w:cs="Arial"/>
          <w:i/>
          <w:iCs/>
          <w:sz w:val="18"/>
          <w:szCs w:val="18"/>
        </w:rPr>
        <w:t xml:space="preserve"> Ninguna persona LGBTQ+ podrá ser socialmente marginada o discriminada por razón de su orientación sexo-genérica, edad, estado físico, creencia religiosa, ideología política, situación migratoria y/o condición social.</w:t>
      </w:r>
    </w:p>
    <w:p w14:paraId="3A47421B" w14:textId="77777777" w:rsidR="00016FE1" w:rsidRPr="008770B8" w:rsidRDefault="00016FE1" w:rsidP="002B6227">
      <w:pPr>
        <w:ind w:left="1134" w:right="567"/>
        <w:jc w:val="both"/>
        <w:rPr>
          <w:rFonts w:ascii="Gotham" w:hAnsi="Gotham" w:cs="Arial"/>
          <w:i/>
          <w:iCs/>
          <w:sz w:val="18"/>
          <w:szCs w:val="18"/>
        </w:rPr>
      </w:pPr>
    </w:p>
    <w:p w14:paraId="3A47421C" w14:textId="77777777" w:rsidR="00016FE1" w:rsidRPr="008770B8" w:rsidRDefault="00016FE1" w:rsidP="002B6227">
      <w:pPr>
        <w:ind w:left="1134" w:right="567"/>
        <w:jc w:val="both"/>
        <w:rPr>
          <w:rFonts w:ascii="Gotham" w:hAnsi="Gotham" w:cs="Arial"/>
          <w:i/>
          <w:iCs/>
          <w:sz w:val="18"/>
          <w:szCs w:val="18"/>
        </w:rPr>
      </w:pPr>
      <w:r w:rsidRPr="008770B8">
        <w:rPr>
          <w:rFonts w:ascii="Gotham" w:hAnsi="Gotham" w:cs="Arial"/>
          <w:b/>
          <w:i/>
          <w:iCs/>
          <w:sz w:val="18"/>
          <w:szCs w:val="18"/>
        </w:rPr>
        <w:t>Artículo 21.</w:t>
      </w:r>
      <w:r w:rsidRPr="008770B8">
        <w:rPr>
          <w:rFonts w:ascii="Gotham" w:hAnsi="Gotham" w:cs="Arial"/>
          <w:i/>
          <w:iCs/>
          <w:sz w:val="18"/>
          <w:szCs w:val="18"/>
        </w:rPr>
        <w:t xml:space="preserve"> Las y los ciudadanos y la sociedad en general del Municipio, serán corresponsables en el respeto de los derechos humanos de las personas LGBTQ+. Todas las estructuras, manifestaciones y formas de comunidad familiar respetarán y contribuirán en su desarrollo integral, siendo corresponsable de proporcionar los satisfactores necesarios para su atención y bienestar.</w:t>
      </w:r>
    </w:p>
    <w:p w14:paraId="3A47421D" w14:textId="77777777" w:rsidR="00016FE1" w:rsidRPr="008770B8" w:rsidRDefault="00016FE1" w:rsidP="002B6227">
      <w:pPr>
        <w:ind w:left="1134" w:right="567"/>
        <w:jc w:val="both"/>
        <w:rPr>
          <w:rFonts w:ascii="Gotham" w:hAnsi="Gotham" w:cs="Arial"/>
          <w:i/>
          <w:iCs/>
          <w:sz w:val="18"/>
          <w:szCs w:val="18"/>
        </w:rPr>
      </w:pPr>
    </w:p>
    <w:p w14:paraId="3A47421E" w14:textId="77777777" w:rsidR="00016FE1" w:rsidRPr="008770B8" w:rsidRDefault="00016FE1" w:rsidP="002B6227">
      <w:pPr>
        <w:ind w:left="1134" w:right="567"/>
        <w:jc w:val="both"/>
        <w:rPr>
          <w:rFonts w:ascii="Gotham" w:hAnsi="Gotham" w:cs="Arial"/>
          <w:i/>
          <w:iCs/>
          <w:sz w:val="18"/>
          <w:szCs w:val="18"/>
        </w:rPr>
      </w:pPr>
      <w:r w:rsidRPr="008770B8">
        <w:rPr>
          <w:rFonts w:ascii="Gotham" w:hAnsi="Gotham" w:cs="Arial"/>
          <w:b/>
          <w:i/>
          <w:iCs/>
          <w:sz w:val="18"/>
          <w:szCs w:val="18"/>
        </w:rPr>
        <w:t>Artículo 22.</w:t>
      </w:r>
      <w:r w:rsidRPr="008770B8">
        <w:rPr>
          <w:rFonts w:ascii="Gotham" w:hAnsi="Gotham" w:cs="Arial"/>
          <w:i/>
          <w:iCs/>
          <w:sz w:val="18"/>
          <w:szCs w:val="18"/>
        </w:rPr>
        <w:t xml:space="preserve"> Las y los ciudadanos del Municipio, deberán fomentar la convivencia social cotidiana, donde las personas LGBTQ+ participen activamente, así como, promover al mismo tiempo los valores que incidan en sus necesidades afectivas, de protección y de apoyo.</w:t>
      </w:r>
    </w:p>
    <w:p w14:paraId="3A47421F" w14:textId="77777777" w:rsidR="00016FE1" w:rsidRPr="008770B8" w:rsidRDefault="00016FE1" w:rsidP="002B6227">
      <w:pPr>
        <w:ind w:left="1134" w:right="567"/>
        <w:jc w:val="both"/>
        <w:rPr>
          <w:rFonts w:ascii="Gotham" w:hAnsi="Gotham" w:cs="Arial"/>
          <w:i/>
          <w:iCs/>
          <w:sz w:val="18"/>
          <w:szCs w:val="18"/>
        </w:rPr>
      </w:pPr>
    </w:p>
    <w:p w14:paraId="3A474220" w14:textId="77777777" w:rsidR="00016FE1" w:rsidRPr="008770B8" w:rsidRDefault="00016FE1" w:rsidP="002B6227">
      <w:pPr>
        <w:ind w:left="1134" w:right="567"/>
        <w:jc w:val="both"/>
        <w:rPr>
          <w:rFonts w:ascii="Gotham" w:hAnsi="Gotham" w:cs="Arial"/>
          <w:i/>
          <w:iCs/>
          <w:sz w:val="18"/>
          <w:szCs w:val="18"/>
        </w:rPr>
      </w:pPr>
      <w:r w:rsidRPr="008770B8">
        <w:rPr>
          <w:rFonts w:ascii="Gotham" w:hAnsi="Gotham" w:cs="Arial"/>
          <w:b/>
          <w:i/>
          <w:iCs/>
          <w:sz w:val="18"/>
          <w:szCs w:val="18"/>
        </w:rPr>
        <w:t>Artículo 23.</w:t>
      </w:r>
      <w:r w:rsidRPr="008770B8">
        <w:rPr>
          <w:rFonts w:ascii="Gotham" w:hAnsi="Gotham" w:cs="Arial"/>
          <w:i/>
          <w:iCs/>
          <w:sz w:val="18"/>
          <w:szCs w:val="18"/>
        </w:rPr>
        <w:t xml:space="preserve"> Queda prohibido promover los tratamientos, terapias o actividades que pretendan corregir la orientación sexual, identidad o expresión de género, y todos los esfuerzos encaminados en esta materia que atentan contra el libre desarrollo de la personalidad e identidad sexual de las personas LGBTQ+.</w:t>
      </w:r>
    </w:p>
    <w:p w14:paraId="3A474221" w14:textId="77777777" w:rsidR="00016FE1" w:rsidRDefault="00016FE1" w:rsidP="002B6227">
      <w:pPr>
        <w:ind w:left="1134" w:right="567"/>
        <w:jc w:val="both"/>
        <w:rPr>
          <w:rFonts w:ascii="Gotham" w:hAnsi="Gotham" w:cs="Arial"/>
          <w:i/>
          <w:iCs/>
          <w:sz w:val="18"/>
          <w:szCs w:val="18"/>
        </w:rPr>
      </w:pPr>
    </w:p>
    <w:p w14:paraId="3A474222" w14:textId="77777777" w:rsidR="00016FE1" w:rsidRPr="008770B8" w:rsidRDefault="00016FE1" w:rsidP="002B6227">
      <w:pPr>
        <w:ind w:left="1134" w:right="567"/>
        <w:jc w:val="both"/>
        <w:rPr>
          <w:rFonts w:ascii="Gotham" w:hAnsi="Gotham" w:cs="Arial"/>
          <w:i/>
          <w:iCs/>
          <w:sz w:val="18"/>
          <w:szCs w:val="18"/>
        </w:rPr>
      </w:pPr>
    </w:p>
    <w:p w14:paraId="3A474223" w14:textId="77777777" w:rsidR="00016FE1" w:rsidRPr="00662B96" w:rsidRDefault="00016FE1" w:rsidP="002B6227">
      <w:pPr>
        <w:ind w:left="1134" w:right="567"/>
        <w:jc w:val="center"/>
        <w:rPr>
          <w:rFonts w:ascii="Gotham" w:hAnsi="Gotham"/>
          <w:b/>
          <w:i/>
          <w:sz w:val="18"/>
          <w:szCs w:val="18"/>
        </w:rPr>
      </w:pPr>
      <w:r w:rsidRPr="00662B96">
        <w:rPr>
          <w:rFonts w:ascii="Gotham" w:hAnsi="Gotham"/>
          <w:b/>
          <w:i/>
          <w:w w:val="95"/>
          <w:sz w:val="18"/>
          <w:szCs w:val="18"/>
        </w:rPr>
        <w:t>TÍTULO</w:t>
      </w:r>
      <w:r w:rsidRPr="00662B96">
        <w:rPr>
          <w:rFonts w:ascii="Gotham" w:hAnsi="Gotham"/>
          <w:b/>
          <w:i/>
          <w:spacing w:val="16"/>
          <w:w w:val="95"/>
          <w:sz w:val="18"/>
          <w:szCs w:val="18"/>
        </w:rPr>
        <w:t xml:space="preserve"> </w:t>
      </w:r>
      <w:r w:rsidRPr="00662B96">
        <w:rPr>
          <w:rFonts w:ascii="Gotham" w:hAnsi="Gotham"/>
          <w:b/>
          <w:i/>
          <w:w w:val="95"/>
          <w:sz w:val="18"/>
          <w:szCs w:val="18"/>
        </w:rPr>
        <w:t>SEGUNDO</w:t>
      </w:r>
    </w:p>
    <w:p w14:paraId="3A474224" w14:textId="77777777" w:rsidR="00016FE1" w:rsidRPr="00662B96" w:rsidRDefault="00016FE1" w:rsidP="002B6227">
      <w:pPr>
        <w:ind w:left="1134" w:right="567"/>
        <w:jc w:val="center"/>
        <w:rPr>
          <w:rFonts w:ascii="Gotham" w:hAnsi="Gotham"/>
          <w:b/>
          <w:i/>
          <w:sz w:val="18"/>
          <w:szCs w:val="18"/>
        </w:rPr>
      </w:pPr>
      <w:r w:rsidRPr="00662B96">
        <w:rPr>
          <w:rFonts w:ascii="Gotham" w:hAnsi="Gotham"/>
          <w:b/>
          <w:i/>
          <w:w w:val="95"/>
          <w:sz w:val="18"/>
          <w:szCs w:val="18"/>
        </w:rPr>
        <w:t>DE</w:t>
      </w:r>
      <w:r w:rsidRPr="00662B96">
        <w:rPr>
          <w:rFonts w:ascii="Gotham" w:hAnsi="Gotham"/>
          <w:b/>
          <w:i/>
          <w:spacing w:val="9"/>
          <w:w w:val="95"/>
          <w:sz w:val="18"/>
          <w:szCs w:val="18"/>
        </w:rPr>
        <w:t xml:space="preserve"> </w:t>
      </w:r>
      <w:r w:rsidRPr="00662B96">
        <w:rPr>
          <w:rFonts w:ascii="Gotham" w:hAnsi="Gotham"/>
          <w:b/>
          <w:i/>
          <w:w w:val="95"/>
          <w:sz w:val="18"/>
          <w:szCs w:val="18"/>
        </w:rPr>
        <w:t>LA</w:t>
      </w:r>
      <w:r w:rsidRPr="00662B96">
        <w:rPr>
          <w:rFonts w:ascii="Gotham" w:hAnsi="Gotham"/>
          <w:b/>
          <w:i/>
          <w:spacing w:val="9"/>
          <w:w w:val="95"/>
          <w:sz w:val="18"/>
          <w:szCs w:val="18"/>
        </w:rPr>
        <w:t xml:space="preserve"> </w:t>
      </w:r>
      <w:r w:rsidRPr="00662B96">
        <w:rPr>
          <w:rFonts w:ascii="Gotham" w:hAnsi="Gotham"/>
          <w:b/>
          <w:i/>
          <w:w w:val="95"/>
          <w:sz w:val="18"/>
          <w:szCs w:val="18"/>
        </w:rPr>
        <w:t>UNIDAD</w:t>
      </w:r>
      <w:r w:rsidRPr="00662B96">
        <w:rPr>
          <w:rFonts w:ascii="Gotham" w:hAnsi="Gotham"/>
          <w:b/>
          <w:i/>
          <w:spacing w:val="9"/>
          <w:w w:val="95"/>
          <w:sz w:val="18"/>
          <w:szCs w:val="18"/>
        </w:rPr>
        <w:t xml:space="preserve"> </w:t>
      </w:r>
      <w:r w:rsidRPr="00662B96">
        <w:rPr>
          <w:rFonts w:ascii="Gotham" w:hAnsi="Gotham"/>
          <w:b/>
          <w:i/>
          <w:w w:val="95"/>
          <w:sz w:val="18"/>
          <w:szCs w:val="18"/>
        </w:rPr>
        <w:t>DE</w:t>
      </w:r>
      <w:r w:rsidRPr="00662B96">
        <w:rPr>
          <w:rFonts w:ascii="Gotham" w:hAnsi="Gotham"/>
          <w:b/>
          <w:i/>
          <w:spacing w:val="10"/>
          <w:w w:val="95"/>
          <w:sz w:val="18"/>
          <w:szCs w:val="18"/>
        </w:rPr>
        <w:t xml:space="preserve"> </w:t>
      </w:r>
      <w:r w:rsidRPr="00662B96">
        <w:rPr>
          <w:rFonts w:ascii="Gotham" w:hAnsi="Gotham"/>
          <w:b/>
          <w:i/>
          <w:w w:val="95"/>
          <w:sz w:val="18"/>
          <w:szCs w:val="18"/>
        </w:rPr>
        <w:t>ATENCIÓN</w:t>
      </w:r>
      <w:r w:rsidRPr="00662B96">
        <w:rPr>
          <w:rFonts w:ascii="Gotham" w:hAnsi="Gotham"/>
          <w:b/>
          <w:i/>
          <w:spacing w:val="9"/>
          <w:w w:val="95"/>
          <w:sz w:val="18"/>
          <w:szCs w:val="18"/>
        </w:rPr>
        <w:t xml:space="preserve"> </w:t>
      </w:r>
      <w:r w:rsidRPr="00662B96">
        <w:rPr>
          <w:rFonts w:ascii="Gotham" w:hAnsi="Gotham"/>
          <w:b/>
          <w:i/>
          <w:w w:val="95"/>
          <w:sz w:val="18"/>
          <w:szCs w:val="18"/>
        </w:rPr>
        <w:t>A</w:t>
      </w:r>
      <w:r w:rsidRPr="00662B96">
        <w:rPr>
          <w:rFonts w:ascii="Gotham" w:hAnsi="Gotham"/>
          <w:b/>
          <w:i/>
          <w:spacing w:val="9"/>
          <w:w w:val="95"/>
          <w:sz w:val="18"/>
          <w:szCs w:val="18"/>
        </w:rPr>
        <w:t xml:space="preserve"> </w:t>
      </w:r>
      <w:r w:rsidRPr="00662B96">
        <w:rPr>
          <w:rFonts w:ascii="Gotham" w:hAnsi="Gotham"/>
          <w:b/>
          <w:i/>
          <w:w w:val="95"/>
          <w:sz w:val="18"/>
          <w:szCs w:val="18"/>
        </w:rPr>
        <w:t>LA</w:t>
      </w:r>
      <w:r w:rsidRPr="00662B96">
        <w:rPr>
          <w:rFonts w:ascii="Gotham" w:hAnsi="Gotham"/>
          <w:b/>
          <w:i/>
          <w:spacing w:val="10"/>
          <w:w w:val="95"/>
          <w:sz w:val="18"/>
          <w:szCs w:val="18"/>
        </w:rPr>
        <w:t xml:space="preserve"> </w:t>
      </w:r>
      <w:r w:rsidRPr="00662B96">
        <w:rPr>
          <w:rFonts w:ascii="Gotham" w:hAnsi="Gotham"/>
          <w:b/>
          <w:i/>
          <w:w w:val="95"/>
          <w:sz w:val="18"/>
          <w:szCs w:val="18"/>
        </w:rPr>
        <w:t>DIVERSIDAD</w:t>
      </w:r>
      <w:r w:rsidRPr="00662B96">
        <w:rPr>
          <w:rFonts w:ascii="Gotham" w:hAnsi="Gotham"/>
          <w:b/>
          <w:i/>
          <w:spacing w:val="9"/>
          <w:w w:val="95"/>
          <w:sz w:val="18"/>
          <w:szCs w:val="18"/>
        </w:rPr>
        <w:t xml:space="preserve"> </w:t>
      </w:r>
      <w:r w:rsidRPr="00662B96">
        <w:rPr>
          <w:rFonts w:ascii="Gotham" w:hAnsi="Gotham"/>
          <w:b/>
          <w:i/>
          <w:w w:val="95"/>
          <w:sz w:val="18"/>
          <w:szCs w:val="18"/>
        </w:rPr>
        <w:t>SEXUAL</w:t>
      </w:r>
      <w:r w:rsidRPr="00662B96">
        <w:rPr>
          <w:rFonts w:ascii="Gotham" w:hAnsi="Gotham"/>
          <w:b/>
          <w:i/>
          <w:spacing w:val="9"/>
          <w:w w:val="95"/>
          <w:sz w:val="18"/>
          <w:szCs w:val="18"/>
        </w:rPr>
        <w:t xml:space="preserve"> </w:t>
      </w:r>
      <w:r w:rsidRPr="00662B96">
        <w:rPr>
          <w:rFonts w:ascii="Gotham" w:hAnsi="Gotham"/>
          <w:b/>
          <w:i/>
          <w:w w:val="95"/>
          <w:sz w:val="18"/>
          <w:szCs w:val="18"/>
        </w:rPr>
        <w:t>DE</w:t>
      </w:r>
      <w:r w:rsidRPr="00662B96">
        <w:rPr>
          <w:rFonts w:ascii="Gotham" w:hAnsi="Gotham"/>
          <w:b/>
          <w:i/>
          <w:spacing w:val="9"/>
          <w:w w:val="95"/>
          <w:sz w:val="18"/>
          <w:szCs w:val="18"/>
        </w:rPr>
        <w:t xml:space="preserve"> </w:t>
      </w:r>
      <w:r w:rsidRPr="00662B96">
        <w:rPr>
          <w:rFonts w:ascii="Gotham" w:hAnsi="Gotham"/>
          <w:b/>
          <w:i/>
          <w:w w:val="95"/>
          <w:sz w:val="18"/>
          <w:szCs w:val="18"/>
        </w:rPr>
        <w:t>TONALÁ</w:t>
      </w:r>
    </w:p>
    <w:p w14:paraId="3A474225" w14:textId="77777777" w:rsidR="00016FE1" w:rsidRPr="00662B96" w:rsidRDefault="00016FE1" w:rsidP="002B6227">
      <w:pPr>
        <w:pStyle w:val="Textoindependiente"/>
        <w:spacing w:after="0"/>
        <w:ind w:left="1134" w:right="567"/>
        <w:rPr>
          <w:rFonts w:ascii="Gotham" w:hAnsi="Gotham"/>
          <w:b/>
          <w:i/>
          <w:sz w:val="18"/>
          <w:szCs w:val="18"/>
        </w:rPr>
      </w:pPr>
    </w:p>
    <w:p w14:paraId="3A474226" w14:textId="77777777" w:rsidR="00016FE1" w:rsidRPr="00662B96" w:rsidRDefault="00016FE1" w:rsidP="002B6227">
      <w:pPr>
        <w:ind w:left="1134" w:right="567"/>
        <w:jc w:val="center"/>
        <w:rPr>
          <w:rFonts w:ascii="Gotham" w:hAnsi="Gotham"/>
          <w:b/>
          <w:i/>
          <w:sz w:val="18"/>
          <w:szCs w:val="18"/>
        </w:rPr>
      </w:pPr>
      <w:r w:rsidRPr="00662B96">
        <w:rPr>
          <w:rFonts w:ascii="Gotham" w:hAnsi="Gotham"/>
          <w:b/>
          <w:i/>
          <w:spacing w:val="-1"/>
          <w:w w:val="95"/>
          <w:sz w:val="18"/>
          <w:szCs w:val="18"/>
        </w:rPr>
        <w:t>Capítulo</w:t>
      </w:r>
      <w:r w:rsidRPr="00662B96">
        <w:rPr>
          <w:rFonts w:ascii="Gotham" w:hAnsi="Gotham"/>
          <w:b/>
          <w:i/>
          <w:spacing w:val="-8"/>
          <w:w w:val="95"/>
          <w:sz w:val="18"/>
          <w:szCs w:val="18"/>
        </w:rPr>
        <w:t xml:space="preserve"> </w:t>
      </w:r>
      <w:r w:rsidRPr="00662B96">
        <w:rPr>
          <w:rFonts w:ascii="Gotham" w:hAnsi="Gotham"/>
          <w:b/>
          <w:i/>
          <w:w w:val="95"/>
          <w:sz w:val="18"/>
          <w:szCs w:val="18"/>
        </w:rPr>
        <w:t>I</w:t>
      </w:r>
    </w:p>
    <w:p w14:paraId="3A474227" w14:textId="77777777" w:rsidR="00016FE1" w:rsidRPr="00662B96" w:rsidRDefault="00016FE1" w:rsidP="002B6227">
      <w:pPr>
        <w:ind w:left="1134" w:right="567"/>
        <w:jc w:val="center"/>
        <w:rPr>
          <w:rFonts w:ascii="Gotham" w:hAnsi="Gotham"/>
          <w:b/>
          <w:i/>
          <w:sz w:val="18"/>
          <w:szCs w:val="18"/>
        </w:rPr>
      </w:pPr>
      <w:r w:rsidRPr="00662B96">
        <w:rPr>
          <w:rFonts w:ascii="Gotham" w:hAnsi="Gotham"/>
          <w:b/>
          <w:i/>
          <w:w w:val="90"/>
          <w:sz w:val="18"/>
          <w:szCs w:val="18"/>
        </w:rPr>
        <w:t>De</w:t>
      </w:r>
      <w:r w:rsidRPr="00662B96">
        <w:rPr>
          <w:rFonts w:ascii="Gotham" w:hAnsi="Gotham"/>
          <w:b/>
          <w:i/>
          <w:spacing w:val="8"/>
          <w:w w:val="90"/>
          <w:sz w:val="18"/>
          <w:szCs w:val="18"/>
        </w:rPr>
        <w:t xml:space="preserve"> </w:t>
      </w:r>
      <w:r w:rsidRPr="00662B96">
        <w:rPr>
          <w:rFonts w:ascii="Gotham" w:hAnsi="Gotham"/>
          <w:b/>
          <w:i/>
          <w:w w:val="90"/>
          <w:sz w:val="18"/>
          <w:szCs w:val="18"/>
        </w:rPr>
        <w:t>la</w:t>
      </w:r>
      <w:r w:rsidRPr="00662B96">
        <w:rPr>
          <w:rFonts w:ascii="Gotham" w:hAnsi="Gotham"/>
          <w:b/>
          <w:i/>
          <w:spacing w:val="8"/>
          <w:w w:val="90"/>
          <w:sz w:val="18"/>
          <w:szCs w:val="18"/>
        </w:rPr>
        <w:t xml:space="preserve"> </w:t>
      </w:r>
      <w:r w:rsidRPr="00662B96">
        <w:rPr>
          <w:rFonts w:ascii="Gotham" w:hAnsi="Gotham"/>
          <w:b/>
          <w:i/>
          <w:w w:val="90"/>
          <w:sz w:val="18"/>
          <w:szCs w:val="18"/>
        </w:rPr>
        <w:t>Unidad</w:t>
      </w:r>
      <w:r w:rsidRPr="00662B96">
        <w:rPr>
          <w:rFonts w:ascii="Gotham" w:hAnsi="Gotham"/>
          <w:b/>
          <w:i/>
          <w:spacing w:val="9"/>
          <w:w w:val="90"/>
          <w:sz w:val="18"/>
          <w:szCs w:val="18"/>
        </w:rPr>
        <w:t xml:space="preserve"> </w:t>
      </w:r>
      <w:r w:rsidRPr="00662B96">
        <w:rPr>
          <w:rFonts w:ascii="Gotham" w:hAnsi="Gotham"/>
          <w:b/>
          <w:i/>
          <w:w w:val="90"/>
          <w:sz w:val="18"/>
          <w:szCs w:val="18"/>
        </w:rPr>
        <w:t>de</w:t>
      </w:r>
      <w:r w:rsidRPr="00662B96">
        <w:rPr>
          <w:rFonts w:ascii="Gotham" w:hAnsi="Gotham"/>
          <w:b/>
          <w:i/>
          <w:spacing w:val="8"/>
          <w:w w:val="90"/>
          <w:sz w:val="18"/>
          <w:szCs w:val="18"/>
        </w:rPr>
        <w:t xml:space="preserve"> </w:t>
      </w:r>
      <w:r w:rsidRPr="00662B96">
        <w:rPr>
          <w:rFonts w:ascii="Gotham" w:hAnsi="Gotham"/>
          <w:b/>
          <w:i/>
          <w:w w:val="90"/>
          <w:sz w:val="18"/>
          <w:szCs w:val="18"/>
        </w:rPr>
        <w:t>Atención</w:t>
      </w:r>
      <w:r w:rsidRPr="00662B96">
        <w:rPr>
          <w:rFonts w:ascii="Gotham" w:hAnsi="Gotham"/>
          <w:b/>
          <w:i/>
          <w:spacing w:val="9"/>
          <w:w w:val="90"/>
          <w:sz w:val="18"/>
          <w:szCs w:val="18"/>
        </w:rPr>
        <w:t xml:space="preserve"> </w:t>
      </w:r>
      <w:r w:rsidRPr="00662B96">
        <w:rPr>
          <w:rFonts w:ascii="Gotham" w:hAnsi="Gotham"/>
          <w:b/>
          <w:i/>
          <w:w w:val="90"/>
          <w:sz w:val="18"/>
          <w:szCs w:val="18"/>
        </w:rPr>
        <w:t>a</w:t>
      </w:r>
      <w:r w:rsidRPr="00662B96">
        <w:rPr>
          <w:rFonts w:ascii="Gotham" w:hAnsi="Gotham"/>
          <w:b/>
          <w:i/>
          <w:spacing w:val="8"/>
          <w:w w:val="90"/>
          <w:sz w:val="18"/>
          <w:szCs w:val="18"/>
        </w:rPr>
        <w:t xml:space="preserve"> </w:t>
      </w:r>
      <w:r w:rsidRPr="00662B96">
        <w:rPr>
          <w:rFonts w:ascii="Gotham" w:hAnsi="Gotham"/>
          <w:b/>
          <w:i/>
          <w:w w:val="90"/>
          <w:sz w:val="18"/>
          <w:szCs w:val="18"/>
        </w:rPr>
        <w:t>la</w:t>
      </w:r>
      <w:r w:rsidRPr="00662B96">
        <w:rPr>
          <w:rFonts w:ascii="Gotham" w:hAnsi="Gotham"/>
          <w:b/>
          <w:i/>
          <w:spacing w:val="8"/>
          <w:w w:val="90"/>
          <w:sz w:val="18"/>
          <w:szCs w:val="18"/>
        </w:rPr>
        <w:t xml:space="preserve"> </w:t>
      </w:r>
      <w:r w:rsidRPr="00662B96">
        <w:rPr>
          <w:rFonts w:ascii="Gotham" w:hAnsi="Gotham"/>
          <w:b/>
          <w:i/>
          <w:w w:val="90"/>
          <w:sz w:val="18"/>
          <w:szCs w:val="18"/>
        </w:rPr>
        <w:t>Diversidad</w:t>
      </w:r>
      <w:r w:rsidRPr="00662B96">
        <w:rPr>
          <w:rFonts w:ascii="Gotham" w:hAnsi="Gotham"/>
          <w:b/>
          <w:i/>
          <w:spacing w:val="9"/>
          <w:w w:val="90"/>
          <w:sz w:val="18"/>
          <w:szCs w:val="18"/>
        </w:rPr>
        <w:t xml:space="preserve"> </w:t>
      </w:r>
      <w:r w:rsidRPr="00662B96">
        <w:rPr>
          <w:rFonts w:ascii="Gotham" w:hAnsi="Gotham"/>
          <w:b/>
          <w:i/>
          <w:w w:val="90"/>
          <w:sz w:val="18"/>
          <w:szCs w:val="18"/>
        </w:rPr>
        <w:t>Sexual</w:t>
      </w:r>
      <w:r w:rsidRPr="00662B96">
        <w:rPr>
          <w:rFonts w:ascii="Gotham" w:hAnsi="Gotham"/>
          <w:b/>
          <w:i/>
          <w:spacing w:val="8"/>
          <w:w w:val="90"/>
          <w:sz w:val="18"/>
          <w:szCs w:val="18"/>
        </w:rPr>
        <w:t xml:space="preserve"> </w:t>
      </w:r>
      <w:r w:rsidRPr="00662B96">
        <w:rPr>
          <w:rFonts w:ascii="Gotham" w:hAnsi="Gotham"/>
          <w:b/>
          <w:i/>
          <w:w w:val="90"/>
          <w:sz w:val="18"/>
          <w:szCs w:val="18"/>
        </w:rPr>
        <w:t>de</w:t>
      </w:r>
      <w:r w:rsidRPr="00662B96">
        <w:rPr>
          <w:rFonts w:ascii="Gotham" w:hAnsi="Gotham"/>
          <w:b/>
          <w:i/>
          <w:spacing w:val="9"/>
          <w:w w:val="90"/>
          <w:sz w:val="18"/>
          <w:szCs w:val="18"/>
        </w:rPr>
        <w:t xml:space="preserve"> </w:t>
      </w:r>
      <w:r w:rsidRPr="00662B96">
        <w:rPr>
          <w:rFonts w:ascii="Gotham" w:hAnsi="Gotham"/>
          <w:b/>
          <w:i/>
          <w:w w:val="90"/>
          <w:sz w:val="18"/>
          <w:szCs w:val="18"/>
        </w:rPr>
        <w:t>Tonalá</w:t>
      </w:r>
    </w:p>
    <w:p w14:paraId="3A474228" w14:textId="77777777" w:rsidR="00016FE1" w:rsidRPr="00D21569" w:rsidRDefault="00016FE1" w:rsidP="002B6227">
      <w:pPr>
        <w:ind w:left="1134" w:right="567"/>
        <w:jc w:val="both"/>
        <w:rPr>
          <w:rFonts w:ascii="Gotham" w:hAnsi="Gotham" w:cs="Arial"/>
          <w:i/>
          <w:iCs/>
          <w:sz w:val="18"/>
          <w:szCs w:val="18"/>
        </w:rPr>
      </w:pPr>
    </w:p>
    <w:p w14:paraId="3A474229" w14:textId="77777777" w:rsidR="00016FE1" w:rsidRPr="00D21569" w:rsidRDefault="00016FE1" w:rsidP="002B6227">
      <w:pPr>
        <w:ind w:left="1134" w:right="567"/>
        <w:jc w:val="both"/>
        <w:rPr>
          <w:rFonts w:ascii="Gotham" w:hAnsi="Gotham" w:cs="Arial"/>
          <w:i/>
          <w:iCs/>
          <w:sz w:val="18"/>
          <w:szCs w:val="18"/>
        </w:rPr>
      </w:pPr>
      <w:r w:rsidRPr="00D21569">
        <w:rPr>
          <w:rFonts w:ascii="Gotham" w:hAnsi="Gotham" w:cs="Arial"/>
          <w:b/>
          <w:i/>
          <w:iCs/>
          <w:sz w:val="18"/>
          <w:szCs w:val="18"/>
        </w:rPr>
        <w:t>Artículo 24.</w:t>
      </w:r>
      <w:r w:rsidRPr="00D21569">
        <w:rPr>
          <w:rFonts w:ascii="Gotham" w:hAnsi="Gotham" w:cs="Arial"/>
          <w:i/>
          <w:iCs/>
          <w:sz w:val="18"/>
          <w:szCs w:val="18"/>
        </w:rPr>
        <w:t xml:space="preserve"> La UNADIS Tonalá es el área encargada de concertar las políticas públicas locales</w:t>
      </w:r>
      <w:r w:rsidR="00B76E88">
        <w:rPr>
          <w:rFonts w:ascii="Gotham" w:hAnsi="Gotham" w:cs="Arial"/>
          <w:i/>
          <w:iCs/>
          <w:sz w:val="18"/>
          <w:szCs w:val="18"/>
        </w:rPr>
        <w:t xml:space="preserve"> </w:t>
      </w:r>
      <w:r w:rsidRPr="00D21569">
        <w:rPr>
          <w:rFonts w:ascii="Gotham" w:hAnsi="Gotham" w:cs="Arial"/>
          <w:i/>
          <w:iCs/>
          <w:sz w:val="18"/>
          <w:szCs w:val="18"/>
        </w:rPr>
        <w:t>que garanticen el acceso pleno y el reconocimiento de los derechos de la diversidad sexual y la atención a las personas LGBTQ+ en nuestro Municipio. Es el instrumento que dará cumplimiento a los fines del presente Reglamento, a efecto de asegurar la progresividad de los derechos humanos de las personas LGBTQ+.</w:t>
      </w:r>
    </w:p>
    <w:p w14:paraId="3A47422A" w14:textId="77777777" w:rsidR="00016FE1" w:rsidRPr="00D21569" w:rsidRDefault="00016FE1" w:rsidP="002B6227">
      <w:pPr>
        <w:ind w:left="1134" w:right="567"/>
        <w:jc w:val="both"/>
        <w:rPr>
          <w:rFonts w:ascii="Gotham" w:hAnsi="Gotham" w:cs="Arial"/>
          <w:i/>
          <w:iCs/>
          <w:sz w:val="18"/>
          <w:szCs w:val="18"/>
        </w:rPr>
      </w:pPr>
    </w:p>
    <w:p w14:paraId="3A47422B" w14:textId="77777777" w:rsidR="00016FE1" w:rsidRPr="00D21569" w:rsidRDefault="00016FE1" w:rsidP="002B6227">
      <w:pPr>
        <w:ind w:left="1134" w:right="567"/>
        <w:jc w:val="both"/>
        <w:rPr>
          <w:rFonts w:ascii="Gotham" w:hAnsi="Gotham" w:cs="Arial"/>
          <w:i/>
          <w:iCs/>
          <w:sz w:val="18"/>
          <w:szCs w:val="18"/>
        </w:rPr>
      </w:pPr>
      <w:r w:rsidRPr="00D21569">
        <w:rPr>
          <w:rFonts w:ascii="Gotham" w:hAnsi="Gotham" w:cs="Arial"/>
          <w:b/>
          <w:i/>
          <w:iCs/>
          <w:sz w:val="18"/>
          <w:szCs w:val="18"/>
        </w:rPr>
        <w:t>Artículo 25.</w:t>
      </w:r>
      <w:r w:rsidRPr="00D21569">
        <w:rPr>
          <w:rFonts w:ascii="Gotham" w:hAnsi="Gotham" w:cs="Arial"/>
          <w:i/>
          <w:iCs/>
          <w:sz w:val="18"/>
          <w:szCs w:val="18"/>
        </w:rPr>
        <w:t xml:space="preserve"> Son responsabilidades de la UNADIS Tonalá, las siguientes:</w:t>
      </w:r>
    </w:p>
    <w:p w14:paraId="3A47422C" w14:textId="77777777" w:rsidR="00016FE1" w:rsidRPr="00D21569" w:rsidRDefault="00016FE1" w:rsidP="002B6227">
      <w:pPr>
        <w:ind w:left="1134" w:right="567"/>
        <w:jc w:val="both"/>
        <w:rPr>
          <w:rFonts w:ascii="Gotham" w:hAnsi="Gotham" w:cs="Arial"/>
          <w:i/>
          <w:iCs/>
          <w:sz w:val="18"/>
          <w:szCs w:val="18"/>
        </w:rPr>
      </w:pPr>
    </w:p>
    <w:p w14:paraId="3A47422D"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Proteger, asesorar, atender y orientar a las personas por su orientación sexo-genérica y presentar denuncias ante la autoridad competente cuando así se requiera;</w:t>
      </w:r>
    </w:p>
    <w:p w14:paraId="3A47422E"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Implementar las políticas públicas municipales en materia de diversidad sexual, en concordancia con las políticas nacionales y estatales;</w:t>
      </w:r>
    </w:p>
    <w:p w14:paraId="3A47422F"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 xml:space="preserve">Proponer las adecuaciones reglamentarias municipales orientadas a la atención de las personas LGBTQ+, la disminución de la discriminación y la violencia contra las personas </w:t>
      </w:r>
      <w:r w:rsidRPr="00D21569">
        <w:rPr>
          <w:rFonts w:ascii="Gotham" w:hAnsi="Gotham" w:cs="Arial"/>
          <w:i/>
          <w:iCs/>
          <w:sz w:val="18"/>
          <w:szCs w:val="18"/>
        </w:rPr>
        <w:lastRenderedPageBreak/>
        <w:t>motivadas por su orientación sexo-genérica, expresión de género e identidad de género;</w:t>
      </w:r>
    </w:p>
    <w:p w14:paraId="3A474230"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Ser el área de consulta y asesoría para las dependencias y organismos competentes del Ayuntamiento y, en su caso, para las instituciones de los sectores social y privado, que realicen acciones o programas relacionados con las personas por su orientación sexo-genérica;</w:t>
      </w:r>
    </w:p>
    <w:p w14:paraId="3A474231"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Hacer parte a los colectivos, instituciones de educación, académicos, especialistas y cualquier persona interesada en la diversidad sexual, a efecto de que formulen propuestas y opiniones respecto de las políticas, programas y acciones en la materia;</w:t>
      </w:r>
    </w:p>
    <w:p w14:paraId="3A474232"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Proponer y difundir campañas de concientización respecto de los derechos de las personas LGBTQ+, así como los valores y contenidos de la diversidad sexual;</w:t>
      </w:r>
    </w:p>
    <w:p w14:paraId="3A474233"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Fomentar las investigaciones y publicaciones sobre la diversidad sexual;</w:t>
      </w:r>
    </w:p>
    <w:p w14:paraId="3A474234"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Establecer vínculos de colaboración con los diferentes órganos y niveles de gobierno en favor de los derechos de la diversidad sexual;</w:t>
      </w:r>
    </w:p>
    <w:p w14:paraId="3A474235" w14:textId="77777777" w:rsidR="00016FE1" w:rsidRPr="00D21569" w:rsidRDefault="00016FE1" w:rsidP="00865062">
      <w:pPr>
        <w:pStyle w:val="Prrafodelista"/>
        <w:numPr>
          <w:ilvl w:val="0"/>
          <w:numId w:val="171"/>
        </w:numPr>
        <w:spacing w:after="120"/>
        <w:ind w:left="1843" w:right="567" w:hanging="709"/>
        <w:contextualSpacing w:val="0"/>
        <w:jc w:val="both"/>
        <w:rPr>
          <w:rFonts w:ascii="Gotham" w:hAnsi="Gotham" w:cs="Arial"/>
          <w:i/>
          <w:iCs/>
          <w:sz w:val="18"/>
          <w:szCs w:val="18"/>
        </w:rPr>
      </w:pPr>
      <w:r w:rsidRPr="00D21569">
        <w:rPr>
          <w:rFonts w:ascii="Gotham" w:hAnsi="Gotham" w:cs="Arial"/>
          <w:i/>
          <w:iCs/>
          <w:sz w:val="18"/>
          <w:szCs w:val="18"/>
        </w:rPr>
        <w:t>Informar a la Comisión Edilicia de Igualdad Sustantiva y Derechos Humanos los avances y acciones emprendidas; y</w:t>
      </w:r>
    </w:p>
    <w:p w14:paraId="3A474236" w14:textId="77777777" w:rsidR="00016FE1" w:rsidRPr="00D21569" w:rsidRDefault="00016FE1" w:rsidP="00865062">
      <w:pPr>
        <w:pStyle w:val="Prrafodelista"/>
        <w:numPr>
          <w:ilvl w:val="0"/>
          <w:numId w:val="171"/>
        </w:numPr>
        <w:ind w:left="1843" w:right="567" w:hanging="709"/>
        <w:contextualSpacing w:val="0"/>
        <w:jc w:val="both"/>
        <w:rPr>
          <w:rFonts w:ascii="Gotham" w:hAnsi="Gotham" w:cs="Arial"/>
          <w:i/>
          <w:iCs/>
          <w:sz w:val="18"/>
          <w:szCs w:val="18"/>
        </w:rPr>
      </w:pPr>
      <w:r w:rsidRPr="00D21569">
        <w:rPr>
          <w:rFonts w:ascii="Gotham" w:hAnsi="Gotham" w:cs="Arial"/>
          <w:i/>
          <w:iCs/>
          <w:sz w:val="18"/>
          <w:szCs w:val="18"/>
        </w:rPr>
        <w:t>Las demás previstas a la normatividad aplicable.</w:t>
      </w:r>
    </w:p>
    <w:p w14:paraId="3A474237" w14:textId="77777777" w:rsidR="00016FE1" w:rsidRPr="00662B96" w:rsidRDefault="00016FE1" w:rsidP="002B6227">
      <w:pPr>
        <w:pStyle w:val="Textoindependiente"/>
        <w:spacing w:after="0"/>
        <w:ind w:left="1134" w:right="567"/>
        <w:rPr>
          <w:rFonts w:ascii="Gotham" w:hAnsi="Gotham"/>
          <w:i/>
          <w:sz w:val="18"/>
          <w:szCs w:val="18"/>
        </w:rPr>
      </w:pPr>
    </w:p>
    <w:p w14:paraId="3A474238" w14:textId="77777777" w:rsidR="00016FE1" w:rsidRPr="00662B96" w:rsidRDefault="00016FE1" w:rsidP="002B6227">
      <w:pPr>
        <w:pStyle w:val="Textoindependiente"/>
        <w:spacing w:after="0"/>
        <w:ind w:left="1134" w:right="567"/>
        <w:rPr>
          <w:rFonts w:ascii="Gotham" w:hAnsi="Gotham"/>
          <w:i/>
          <w:sz w:val="18"/>
          <w:szCs w:val="18"/>
        </w:rPr>
      </w:pPr>
    </w:p>
    <w:p w14:paraId="3A474239" w14:textId="77777777" w:rsidR="00016FE1" w:rsidRPr="00662B96" w:rsidRDefault="00016FE1" w:rsidP="002B6227">
      <w:pPr>
        <w:ind w:left="1134" w:right="567"/>
        <w:jc w:val="center"/>
        <w:rPr>
          <w:rFonts w:ascii="Gotham" w:hAnsi="Gotham"/>
          <w:b/>
          <w:i/>
          <w:sz w:val="18"/>
          <w:szCs w:val="18"/>
        </w:rPr>
      </w:pPr>
      <w:r w:rsidRPr="00662B96">
        <w:rPr>
          <w:rFonts w:ascii="Gotham" w:hAnsi="Gotham"/>
          <w:b/>
          <w:i/>
          <w:w w:val="95"/>
          <w:sz w:val="18"/>
          <w:szCs w:val="18"/>
        </w:rPr>
        <w:t>ARTÍCULOS</w:t>
      </w:r>
      <w:r w:rsidRPr="00662B96">
        <w:rPr>
          <w:rFonts w:ascii="Gotham" w:hAnsi="Gotham"/>
          <w:b/>
          <w:i/>
          <w:spacing w:val="5"/>
          <w:w w:val="95"/>
          <w:sz w:val="18"/>
          <w:szCs w:val="18"/>
        </w:rPr>
        <w:t xml:space="preserve"> </w:t>
      </w:r>
      <w:r w:rsidRPr="00662B96">
        <w:rPr>
          <w:rFonts w:ascii="Gotham" w:hAnsi="Gotham"/>
          <w:b/>
          <w:i/>
          <w:w w:val="95"/>
          <w:sz w:val="18"/>
          <w:szCs w:val="18"/>
        </w:rPr>
        <w:t>TRANSITORIOS</w:t>
      </w:r>
    </w:p>
    <w:p w14:paraId="3A47423A" w14:textId="77777777" w:rsidR="00016FE1" w:rsidRPr="00662B96" w:rsidRDefault="00016FE1" w:rsidP="002B6227">
      <w:pPr>
        <w:pStyle w:val="Textoindependiente"/>
        <w:spacing w:after="0"/>
        <w:ind w:left="1134" w:right="567"/>
        <w:rPr>
          <w:rFonts w:ascii="Gotham" w:hAnsi="Gotham"/>
          <w:b/>
          <w:i/>
          <w:sz w:val="18"/>
          <w:szCs w:val="18"/>
        </w:rPr>
      </w:pPr>
    </w:p>
    <w:p w14:paraId="3A47423B" w14:textId="77777777" w:rsidR="00016FE1" w:rsidRPr="00D21569" w:rsidRDefault="00016FE1" w:rsidP="002B6227">
      <w:pPr>
        <w:ind w:left="1134" w:right="567"/>
        <w:jc w:val="both"/>
        <w:rPr>
          <w:rFonts w:ascii="Gotham" w:hAnsi="Gotham" w:cs="Arial"/>
          <w:i/>
          <w:iCs/>
          <w:sz w:val="18"/>
          <w:szCs w:val="18"/>
        </w:rPr>
      </w:pPr>
      <w:r w:rsidRPr="00D21569">
        <w:rPr>
          <w:rFonts w:ascii="Gotham" w:hAnsi="Gotham" w:cs="Arial"/>
          <w:b/>
          <w:i/>
          <w:iCs/>
          <w:sz w:val="18"/>
          <w:szCs w:val="18"/>
        </w:rPr>
        <w:t>PRIMERO.</w:t>
      </w:r>
      <w:r w:rsidRPr="00D21569">
        <w:rPr>
          <w:rFonts w:ascii="Gotham" w:hAnsi="Gotham" w:cs="Arial"/>
          <w:i/>
          <w:iCs/>
          <w:sz w:val="18"/>
          <w:szCs w:val="18"/>
        </w:rPr>
        <w:t xml:space="preserve"> Publíquese el presente reglamento en la Gaceta Municipal “Tlahtolli” de Tonalá.</w:t>
      </w:r>
    </w:p>
    <w:p w14:paraId="3A47423C" w14:textId="77777777" w:rsidR="00016FE1" w:rsidRPr="00D21569" w:rsidRDefault="00016FE1" w:rsidP="002B6227">
      <w:pPr>
        <w:ind w:left="1134" w:right="567"/>
        <w:jc w:val="both"/>
        <w:rPr>
          <w:rFonts w:ascii="Gotham" w:hAnsi="Gotham" w:cs="Arial"/>
          <w:i/>
          <w:iCs/>
          <w:sz w:val="18"/>
          <w:szCs w:val="18"/>
        </w:rPr>
      </w:pPr>
    </w:p>
    <w:p w14:paraId="3A47423D" w14:textId="77777777" w:rsidR="00016FE1" w:rsidRPr="00D21569" w:rsidRDefault="00016FE1" w:rsidP="002B6227">
      <w:pPr>
        <w:ind w:left="1134" w:right="567"/>
        <w:jc w:val="both"/>
        <w:rPr>
          <w:rFonts w:ascii="Gotham" w:hAnsi="Gotham" w:cs="Arial"/>
          <w:i/>
          <w:iCs/>
          <w:sz w:val="18"/>
          <w:szCs w:val="18"/>
        </w:rPr>
      </w:pPr>
      <w:r w:rsidRPr="00D21569">
        <w:rPr>
          <w:rFonts w:ascii="Gotham" w:hAnsi="Gotham" w:cs="Arial"/>
          <w:b/>
          <w:i/>
          <w:iCs/>
          <w:sz w:val="18"/>
          <w:szCs w:val="18"/>
        </w:rPr>
        <w:t>SEGUNDO.</w:t>
      </w:r>
      <w:r w:rsidRPr="00D21569">
        <w:rPr>
          <w:rFonts w:ascii="Gotham" w:hAnsi="Gotham" w:cs="Arial"/>
          <w:i/>
          <w:iCs/>
          <w:sz w:val="18"/>
          <w:szCs w:val="18"/>
        </w:rPr>
        <w:t xml:space="preserve"> El presente reglamento entrará en vigor al día siguiente de su publicación en la Gaceta Municipal “Tlahtolli” de Tonalá.</w:t>
      </w:r>
    </w:p>
    <w:p w14:paraId="3A47423E" w14:textId="77777777" w:rsidR="00016FE1" w:rsidRPr="00D21569" w:rsidRDefault="00016FE1" w:rsidP="002B6227">
      <w:pPr>
        <w:ind w:left="1134" w:right="567"/>
        <w:jc w:val="both"/>
        <w:rPr>
          <w:rFonts w:ascii="Gotham" w:hAnsi="Gotham" w:cs="Arial"/>
          <w:i/>
          <w:iCs/>
          <w:sz w:val="18"/>
          <w:szCs w:val="18"/>
        </w:rPr>
      </w:pPr>
    </w:p>
    <w:p w14:paraId="3A47423F" w14:textId="77777777" w:rsidR="00016FE1" w:rsidRPr="00D21569" w:rsidRDefault="00016FE1" w:rsidP="002B6227">
      <w:pPr>
        <w:ind w:left="1134" w:right="567"/>
        <w:jc w:val="both"/>
        <w:rPr>
          <w:rFonts w:ascii="Gotham" w:hAnsi="Gotham" w:cs="Arial"/>
          <w:i/>
          <w:iCs/>
          <w:sz w:val="18"/>
          <w:szCs w:val="18"/>
        </w:rPr>
      </w:pPr>
      <w:r w:rsidRPr="00D21569">
        <w:rPr>
          <w:rFonts w:ascii="Gotham" w:hAnsi="Gotham" w:cs="Arial"/>
          <w:b/>
          <w:i/>
          <w:iCs/>
          <w:sz w:val="18"/>
          <w:szCs w:val="18"/>
        </w:rPr>
        <w:t>TERCERO.</w:t>
      </w:r>
      <w:r w:rsidRPr="00D21569">
        <w:rPr>
          <w:rFonts w:ascii="Gotham" w:hAnsi="Gotham" w:cs="Arial"/>
          <w:i/>
          <w:iCs/>
          <w:sz w:val="18"/>
          <w:szCs w:val="18"/>
        </w:rPr>
        <w:t xml:space="preserve"> Una vez publicado el presente Reglamento remítase, mediante oficio, un tanto del mismo al Congreso del Estado de Jalisco, para el cumplimiento de los efectos ordenados en el artículo 42 fracción VII de la Ley del Gobierno y la Administración Pública Municipal del Estado de Jalisco.</w:t>
      </w:r>
    </w:p>
    <w:p w14:paraId="3A474240" w14:textId="77777777" w:rsidR="00016FE1" w:rsidRPr="00C948FB" w:rsidRDefault="00016FE1" w:rsidP="002B6227">
      <w:pPr>
        <w:ind w:left="851" w:right="283"/>
        <w:jc w:val="both"/>
        <w:rPr>
          <w:rFonts w:ascii="Gotham" w:hAnsi="Gotham" w:cs="Arial"/>
          <w:i/>
          <w:iCs/>
          <w:sz w:val="19"/>
          <w:szCs w:val="19"/>
        </w:rPr>
      </w:pPr>
    </w:p>
    <w:p w14:paraId="3A474241" w14:textId="77777777" w:rsidR="00016FE1" w:rsidRPr="00C948FB" w:rsidRDefault="00016FE1" w:rsidP="002B6227">
      <w:pPr>
        <w:ind w:left="851" w:right="283"/>
        <w:jc w:val="both"/>
        <w:rPr>
          <w:rFonts w:ascii="Gotham" w:hAnsi="Gotham" w:cs="Arial"/>
          <w:i/>
          <w:iCs/>
          <w:sz w:val="19"/>
          <w:szCs w:val="19"/>
        </w:rPr>
      </w:pPr>
      <w:r w:rsidRPr="00C948FB">
        <w:rPr>
          <w:rFonts w:ascii="Gotham" w:hAnsi="Gotham" w:cs="Arial"/>
          <w:i/>
          <w:iCs/>
          <w:sz w:val="19"/>
          <w:szCs w:val="19"/>
        </w:rPr>
        <w:t>Por lo anteriormente expuesto, fundado y motivado, de conformidad a lo establecido en los artículos 115, fracciones I y II de la Constitución Política de los Estados Unidos Mexicanos; así como el artículo 77 de la Constitución Política del Estado de Jalisco; los artículos 38, 41 fracción II y 50 de la Ley del Gobierno y la Administración Pública Municipal del Estado de Jalisco; los artículos 53 y 56 del Reglamento del Gobierno y la Administración Pública del Ayuntamiento Constitucional de Tonalá, Jalisco, así como los artículos 25, 82 fracción II y 83 del Reglamento Para el Funcionamiento</w:t>
      </w:r>
    </w:p>
    <w:p w14:paraId="3A474242" w14:textId="77777777" w:rsidR="00016FE1" w:rsidRPr="00C948FB" w:rsidRDefault="00016FE1" w:rsidP="002B6227">
      <w:pPr>
        <w:ind w:left="851" w:right="283"/>
        <w:jc w:val="both"/>
        <w:rPr>
          <w:rFonts w:ascii="Gotham" w:hAnsi="Gotham" w:cs="Arial"/>
          <w:i/>
          <w:iCs/>
          <w:sz w:val="19"/>
          <w:szCs w:val="19"/>
        </w:rPr>
      </w:pPr>
    </w:p>
    <w:p w14:paraId="3A474243" w14:textId="77777777" w:rsidR="00016FE1" w:rsidRPr="00C948FB" w:rsidRDefault="00016FE1" w:rsidP="002B6227">
      <w:pPr>
        <w:ind w:left="851" w:right="283"/>
        <w:jc w:val="both"/>
        <w:rPr>
          <w:rFonts w:ascii="Gotham" w:hAnsi="Gotham" w:cs="Arial"/>
          <w:i/>
          <w:iCs/>
          <w:sz w:val="19"/>
          <w:szCs w:val="19"/>
        </w:rPr>
      </w:pPr>
      <w:r w:rsidRPr="00C948FB">
        <w:rPr>
          <w:rFonts w:ascii="Gotham" w:hAnsi="Gotham" w:cs="Arial"/>
          <w:i/>
          <w:iCs/>
          <w:sz w:val="19"/>
          <w:szCs w:val="19"/>
        </w:rPr>
        <w:t>Interno de Sesiones del Ayuntamiento Constitucional de Tonalá, Jalisco, someto a su consideración la siguiente INICIATIVA CON TURNO A COMISIÓN bajo los siguientes puntos de:</w:t>
      </w:r>
    </w:p>
    <w:p w14:paraId="3A474244" w14:textId="77777777" w:rsidR="00016FE1" w:rsidRPr="00C948FB" w:rsidRDefault="00016FE1" w:rsidP="002B6227">
      <w:pPr>
        <w:ind w:left="851" w:right="283"/>
        <w:jc w:val="both"/>
        <w:rPr>
          <w:rFonts w:ascii="Gotham" w:hAnsi="Gotham" w:cs="Arial"/>
          <w:i/>
          <w:iCs/>
          <w:sz w:val="19"/>
          <w:szCs w:val="19"/>
        </w:rPr>
      </w:pPr>
    </w:p>
    <w:p w14:paraId="3A474245" w14:textId="77777777" w:rsidR="00016FE1" w:rsidRPr="00C948FB" w:rsidRDefault="00016FE1" w:rsidP="002B6227">
      <w:pPr>
        <w:ind w:left="851" w:right="283"/>
        <w:jc w:val="center"/>
        <w:rPr>
          <w:rFonts w:ascii="Gotham" w:hAnsi="Gotham" w:cs="Arial"/>
          <w:i/>
          <w:iCs/>
          <w:sz w:val="19"/>
          <w:szCs w:val="19"/>
        </w:rPr>
      </w:pPr>
      <w:r w:rsidRPr="00C948FB">
        <w:rPr>
          <w:rFonts w:ascii="Gotham" w:hAnsi="Gotham" w:cs="Arial"/>
          <w:i/>
          <w:iCs/>
          <w:sz w:val="19"/>
          <w:szCs w:val="19"/>
        </w:rPr>
        <w:t>ACUERDO</w:t>
      </w:r>
    </w:p>
    <w:p w14:paraId="3A474246" w14:textId="77777777" w:rsidR="00016FE1" w:rsidRPr="00C948FB" w:rsidRDefault="00016FE1" w:rsidP="002B6227">
      <w:pPr>
        <w:ind w:left="851" w:right="283"/>
        <w:jc w:val="both"/>
        <w:rPr>
          <w:rFonts w:ascii="Gotham" w:hAnsi="Gotham" w:cs="Arial"/>
          <w:i/>
          <w:iCs/>
          <w:sz w:val="19"/>
          <w:szCs w:val="19"/>
        </w:rPr>
      </w:pPr>
    </w:p>
    <w:p w14:paraId="3A474247" w14:textId="77777777" w:rsidR="00016FE1" w:rsidRPr="00C948FB" w:rsidRDefault="00016FE1" w:rsidP="002B6227">
      <w:pPr>
        <w:ind w:left="851" w:right="283"/>
        <w:jc w:val="both"/>
        <w:rPr>
          <w:rFonts w:ascii="Gotham" w:hAnsi="Gotham" w:cs="Arial"/>
          <w:i/>
          <w:iCs/>
          <w:sz w:val="19"/>
          <w:szCs w:val="19"/>
        </w:rPr>
      </w:pPr>
      <w:r w:rsidRPr="00C948FB">
        <w:rPr>
          <w:rFonts w:ascii="Gotham" w:hAnsi="Gotham" w:cs="Arial"/>
          <w:i/>
          <w:iCs/>
          <w:sz w:val="19"/>
          <w:szCs w:val="19"/>
        </w:rPr>
        <w:t>PRIMERO.- Se turne la presente iniciativa a las Comisiones Edilicias de Reglamentos, Puntos Constitucionales, Administración y Planeación Legislativa, así como la de Igualdad Sustantiva y Derechos Humanos.</w:t>
      </w:r>
    </w:p>
    <w:p w14:paraId="3A474248" w14:textId="77777777" w:rsidR="00016FE1" w:rsidRPr="00C948FB" w:rsidRDefault="00016FE1" w:rsidP="002B6227">
      <w:pPr>
        <w:ind w:left="851" w:right="283"/>
        <w:jc w:val="both"/>
        <w:rPr>
          <w:rFonts w:ascii="Gotham" w:hAnsi="Gotham" w:cs="Arial"/>
          <w:i/>
          <w:iCs/>
          <w:sz w:val="19"/>
          <w:szCs w:val="19"/>
        </w:rPr>
      </w:pPr>
    </w:p>
    <w:p w14:paraId="3A474249" w14:textId="77777777" w:rsidR="00016FE1" w:rsidRPr="00C948FB" w:rsidRDefault="00016FE1" w:rsidP="002B6227">
      <w:pPr>
        <w:ind w:left="851" w:right="283"/>
        <w:jc w:val="both"/>
        <w:rPr>
          <w:rFonts w:ascii="Gotham" w:hAnsi="Gotham" w:cs="Arial"/>
          <w:i/>
          <w:iCs/>
          <w:sz w:val="19"/>
          <w:szCs w:val="19"/>
        </w:rPr>
      </w:pPr>
      <w:r w:rsidRPr="00C948FB">
        <w:rPr>
          <w:rFonts w:ascii="Gotham" w:hAnsi="Gotham" w:cs="Arial"/>
          <w:i/>
          <w:iCs/>
          <w:sz w:val="19"/>
          <w:szCs w:val="19"/>
        </w:rPr>
        <w:t>SEGUNDO.- Se faculta al Presidente Municipal, Síndico y Secretaria General para que suscriban la documentación necesaria en cumplimiento al presente acuerdo.</w:t>
      </w:r>
    </w:p>
    <w:p w14:paraId="3A47424A" w14:textId="77777777" w:rsidR="00016FE1" w:rsidRPr="00C948FB" w:rsidRDefault="00016FE1" w:rsidP="002B6227">
      <w:pPr>
        <w:ind w:left="851" w:right="283"/>
        <w:jc w:val="both"/>
        <w:rPr>
          <w:rFonts w:ascii="Gotham" w:hAnsi="Gotham" w:cs="Arial"/>
          <w:i/>
          <w:iCs/>
          <w:sz w:val="19"/>
          <w:szCs w:val="19"/>
        </w:rPr>
      </w:pPr>
    </w:p>
    <w:p w14:paraId="3A47424B" w14:textId="77777777" w:rsidR="00016FE1" w:rsidRPr="00C948FB" w:rsidRDefault="00016FE1" w:rsidP="002B6227">
      <w:pPr>
        <w:ind w:left="851" w:right="283"/>
        <w:jc w:val="both"/>
        <w:rPr>
          <w:rFonts w:ascii="Gotham" w:hAnsi="Gotham" w:cs="Arial"/>
          <w:i/>
          <w:iCs/>
          <w:sz w:val="19"/>
          <w:szCs w:val="19"/>
        </w:rPr>
      </w:pPr>
      <w:r w:rsidRPr="00C948FB">
        <w:rPr>
          <w:rFonts w:ascii="Gotham" w:hAnsi="Gotham" w:cs="Arial"/>
          <w:i/>
          <w:iCs/>
          <w:sz w:val="19"/>
          <w:szCs w:val="19"/>
        </w:rPr>
        <w:lastRenderedPageBreak/>
        <w:t>Continuando con el uso de la voz, la Regidora Verónica Isela Murillo Martínez, agrega que, la ciudad de México ya tiene una Ley General, y Ensenada, Baja California también tiene un reglamento, no es tan amplio, pero cuentan con un reglamento; agradezco a “Diversa Tonalá” y a “Event México”, por su apoyo y paciencia en la presentación de esta iniciativa; es cuanto Presidente.</w:t>
      </w:r>
    </w:p>
    <w:p w14:paraId="3A47424C" w14:textId="77777777" w:rsidR="00016FE1" w:rsidRPr="00C948FB" w:rsidRDefault="00016FE1" w:rsidP="002B6227">
      <w:pPr>
        <w:ind w:left="851" w:right="283"/>
        <w:jc w:val="both"/>
        <w:rPr>
          <w:rFonts w:ascii="Gotham" w:hAnsi="Gotham" w:cs="Arial"/>
          <w:i/>
          <w:iCs/>
          <w:sz w:val="19"/>
          <w:szCs w:val="19"/>
        </w:rPr>
      </w:pPr>
    </w:p>
    <w:p w14:paraId="3A47424D" w14:textId="77777777" w:rsidR="00016FE1" w:rsidRPr="00C948FB" w:rsidRDefault="00016FE1" w:rsidP="002B6227">
      <w:pPr>
        <w:ind w:left="851" w:right="283"/>
        <w:jc w:val="both"/>
        <w:rPr>
          <w:rFonts w:ascii="Gotham" w:hAnsi="Gotham" w:cs="Arial"/>
          <w:i/>
          <w:iCs/>
          <w:sz w:val="19"/>
          <w:szCs w:val="19"/>
        </w:rPr>
      </w:pPr>
      <w:r w:rsidRPr="00C948FB">
        <w:rPr>
          <w:rFonts w:ascii="Gotham" w:hAnsi="Gotham" w:cs="Arial"/>
          <w:i/>
          <w:iCs/>
          <w:sz w:val="19"/>
          <w:szCs w:val="19"/>
        </w:rPr>
        <w:t>En uso de la voz, el Presidente Municipal, Sergio Armando Chávez Dávalos, expresa que, gracias Regidora; se propone su turno a las Comisiones Edilicias de Reglamentos, Puntos Constitucionales, Administración y Planeación Legislativa, e Igualdad Sustantiva y Derechos Humanos, quienes estén por la afirmativa, sírvanse manifestarlo levantando la mano; instruyendo a la Secretaria General para que contabilice los votos y nos informe del resultado.</w:t>
      </w:r>
    </w:p>
    <w:p w14:paraId="3A47424E" w14:textId="77777777" w:rsidR="00016FE1" w:rsidRPr="00C948FB" w:rsidRDefault="00016FE1" w:rsidP="002B6227">
      <w:pPr>
        <w:ind w:left="851" w:right="283"/>
        <w:jc w:val="both"/>
        <w:rPr>
          <w:rFonts w:ascii="Gotham" w:hAnsi="Gotham" w:cs="Arial"/>
          <w:i/>
          <w:iCs/>
          <w:sz w:val="19"/>
          <w:szCs w:val="19"/>
        </w:rPr>
      </w:pPr>
    </w:p>
    <w:p w14:paraId="3A47424F" w14:textId="77777777" w:rsidR="00016FE1" w:rsidRPr="00C948FB" w:rsidRDefault="00016FE1" w:rsidP="002B6227">
      <w:pPr>
        <w:ind w:left="851" w:right="283"/>
        <w:jc w:val="both"/>
        <w:rPr>
          <w:rFonts w:ascii="Gotham" w:hAnsi="Gotham" w:cs="Arial"/>
          <w:i/>
          <w:iCs/>
          <w:sz w:val="19"/>
          <w:szCs w:val="19"/>
        </w:rPr>
      </w:pPr>
      <w:r w:rsidRPr="00C948FB">
        <w:rPr>
          <w:rFonts w:ascii="Gotham" w:hAnsi="Gotham" w:cs="Arial"/>
          <w:i/>
          <w:iCs/>
          <w:sz w:val="19"/>
          <w:szCs w:val="19"/>
        </w:rPr>
        <w:t>En uso de la voz informativa, la Secretaria General, Celia Isabel Gauna Ruíz de León, menciona que, le informo Presidente que se registraron un total de 17 votos a favor.</w:t>
      </w:r>
    </w:p>
    <w:p w14:paraId="3A474250" w14:textId="77777777" w:rsidR="00016FE1" w:rsidRPr="00C948FB" w:rsidRDefault="00016FE1" w:rsidP="002B6227">
      <w:pPr>
        <w:ind w:left="851" w:right="283"/>
        <w:jc w:val="both"/>
        <w:rPr>
          <w:rFonts w:ascii="Gotham" w:hAnsi="Gotham" w:cs="Arial"/>
          <w:i/>
          <w:iCs/>
          <w:sz w:val="19"/>
          <w:szCs w:val="19"/>
        </w:rPr>
      </w:pPr>
    </w:p>
    <w:p w14:paraId="3A474251" w14:textId="77777777" w:rsidR="00016FE1" w:rsidRPr="00C948FB" w:rsidRDefault="00016FE1" w:rsidP="002B6227">
      <w:pPr>
        <w:ind w:left="851" w:right="283"/>
        <w:jc w:val="both"/>
        <w:rPr>
          <w:rFonts w:ascii="Gotham" w:hAnsi="Gotham" w:cs="Arial"/>
          <w:i/>
          <w:iCs/>
          <w:sz w:val="19"/>
          <w:szCs w:val="19"/>
        </w:rPr>
      </w:pPr>
      <w:r w:rsidRPr="00C948FB">
        <w:rPr>
          <w:rFonts w:ascii="Gotham" w:hAnsi="Gotham" w:cs="Arial"/>
          <w:i/>
          <w:iCs/>
          <w:sz w:val="19"/>
          <w:szCs w:val="19"/>
        </w:rPr>
        <w:t>En uso de la voz el Presidente Municipal, Sergio Armando Chávez Dávalos, señala que, aprobado, gracias.</w:t>
      </w:r>
    </w:p>
    <w:p w14:paraId="3A474252" w14:textId="77777777" w:rsidR="00016FE1" w:rsidRPr="008E5411" w:rsidRDefault="00016FE1" w:rsidP="002B6227">
      <w:pPr>
        <w:jc w:val="both"/>
        <w:rPr>
          <w:rFonts w:ascii="Gotham" w:hAnsi="Gotham" w:cs="Arial"/>
          <w:sz w:val="20"/>
          <w:szCs w:val="20"/>
        </w:rPr>
      </w:pPr>
    </w:p>
    <w:p w14:paraId="3A474253" w14:textId="77777777" w:rsidR="00016FE1" w:rsidRPr="008E5411" w:rsidRDefault="00016FE1" w:rsidP="002B6227">
      <w:pPr>
        <w:jc w:val="center"/>
        <w:rPr>
          <w:rFonts w:ascii="Gotham" w:hAnsi="Gotham" w:cs="Arial"/>
          <w:sz w:val="20"/>
          <w:szCs w:val="20"/>
        </w:rPr>
      </w:pPr>
      <w:r>
        <w:rPr>
          <w:rFonts w:ascii="Gotham" w:hAnsi="Gotham" w:cs="Arial"/>
          <w:sz w:val="20"/>
          <w:szCs w:val="20"/>
        </w:rPr>
        <w:t>C O N S I D E R A C I O N E S</w:t>
      </w:r>
    </w:p>
    <w:p w14:paraId="3A474254" w14:textId="77777777" w:rsidR="00016FE1" w:rsidRPr="008E5411" w:rsidRDefault="00016FE1" w:rsidP="002B6227">
      <w:pPr>
        <w:jc w:val="both"/>
        <w:rPr>
          <w:rFonts w:ascii="Gotham" w:hAnsi="Gotham" w:cs="Arial"/>
          <w:sz w:val="20"/>
          <w:szCs w:val="20"/>
        </w:rPr>
      </w:pPr>
    </w:p>
    <w:p w14:paraId="3A474255" w14:textId="77777777" w:rsidR="00016FE1" w:rsidRDefault="00016FE1" w:rsidP="002B6227">
      <w:pPr>
        <w:ind w:left="567" w:hanging="567"/>
        <w:jc w:val="both"/>
        <w:rPr>
          <w:rFonts w:ascii="Gotham" w:hAnsi="Gotham" w:cs="Arial"/>
          <w:sz w:val="20"/>
          <w:szCs w:val="20"/>
          <w:lang w:eastAsia="es-MX"/>
        </w:rPr>
      </w:pPr>
      <w:r w:rsidRPr="008E5411">
        <w:rPr>
          <w:rFonts w:ascii="Gotham" w:hAnsi="Gotham" w:cs="Arial"/>
          <w:sz w:val="20"/>
          <w:szCs w:val="20"/>
          <w:lang w:eastAsia="es-MX"/>
        </w:rPr>
        <w:t xml:space="preserve">I. </w:t>
      </w:r>
      <w:r>
        <w:rPr>
          <w:rFonts w:ascii="Gotham" w:hAnsi="Gotham" w:cs="Arial"/>
          <w:sz w:val="20"/>
          <w:szCs w:val="20"/>
          <w:lang w:eastAsia="es-MX"/>
        </w:rPr>
        <w:tab/>
      </w:r>
      <w:r w:rsidRPr="008E5411">
        <w:rPr>
          <w:rFonts w:ascii="Gotham" w:hAnsi="Gotham" w:cs="Arial"/>
          <w:sz w:val="20"/>
          <w:szCs w:val="20"/>
          <w:lang w:eastAsia="es-MX"/>
        </w:rPr>
        <w:t>Que la Constitución Política de los Estados Unidos Mexicanos, en su artículo 115</w:t>
      </w:r>
      <w:r>
        <w:rPr>
          <w:rFonts w:ascii="Gotham" w:hAnsi="Gotham" w:cs="Arial"/>
          <w:sz w:val="20"/>
          <w:szCs w:val="20"/>
          <w:lang w:eastAsia="es-MX"/>
        </w:rPr>
        <w:t>,</w:t>
      </w:r>
      <w:r w:rsidRPr="008E5411">
        <w:rPr>
          <w:rFonts w:ascii="Gotham" w:hAnsi="Gotham" w:cs="Arial"/>
          <w:sz w:val="20"/>
          <w:szCs w:val="20"/>
          <w:lang w:eastAsia="es-MX"/>
        </w:rPr>
        <w:t xml:space="preserve"> establece que</w:t>
      </w:r>
      <w:r>
        <w:rPr>
          <w:rFonts w:ascii="Gotham" w:hAnsi="Gotham" w:cs="Arial"/>
          <w:sz w:val="20"/>
          <w:szCs w:val="20"/>
          <w:lang w:eastAsia="es-MX"/>
        </w:rPr>
        <w:t>:</w:t>
      </w:r>
      <w:r w:rsidRPr="008E5411">
        <w:rPr>
          <w:rFonts w:ascii="Gotham" w:hAnsi="Gotham" w:cs="Arial"/>
          <w:sz w:val="20"/>
          <w:szCs w:val="20"/>
          <w:lang w:eastAsia="es-MX"/>
        </w:rPr>
        <w:t xml:space="preserve"> </w:t>
      </w:r>
    </w:p>
    <w:p w14:paraId="3A474256" w14:textId="77777777" w:rsidR="00016FE1" w:rsidRDefault="00016FE1" w:rsidP="002B6227">
      <w:pPr>
        <w:ind w:left="567" w:hanging="567"/>
        <w:jc w:val="both"/>
        <w:rPr>
          <w:rFonts w:ascii="Gotham" w:hAnsi="Gotham" w:cs="Arial"/>
          <w:i/>
          <w:sz w:val="20"/>
          <w:szCs w:val="20"/>
          <w:lang w:eastAsia="es-MX"/>
        </w:rPr>
      </w:pPr>
    </w:p>
    <w:p w14:paraId="3A474257"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3A474258" w14:textId="77777777" w:rsidR="00016FE1" w:rsidRPr="008E5411" w:rsidRDefault="00016FE1" w:rsidP="002B6227">
      <w:pPr>
        <w:ind w:left="567" w:hanging="567"/>
        <w:jc w:val="both"/>
        <w:rPr>
          <w:rFonts w:ascii="Gotham" w:hAnsi="Gotham" w:cs="Arial"/>
          <w:sz w:val="20"/>
          <w:szCs w:val="20"/>
          <w:highlight w:val="yellow"/>
          <w:lang w:eastAsia="es-MX"/>
        </w:rPr>
      </w:pPr>
    </w:p>
    <w:p w14:paraId="3A474259" w14:textId="77777777" w:rsidR="00016FE1" w:rsidRDefault="00016FE1" w:rsidP="002B6227">
      <w:pPr>
        <w:autoSpaceDE w:val="0"/>
        <w:autoSpaceDN w:val="0"/>
        <w:adjustRightInd w:val="0"/>
        <w:ind w:left="567" w:hanging="567"/>
        <w:jc w:val="both"/>
        <w:rPr>
          <w:rFonts w:ascii="Gotham" w:hAnsi="Gotham" w:cs="Arial"/>
          <w:sz w:val="20"/>
          <w:szCs w:val="20"/>
        </w:rPr>
      </w:pPr>
      <w:r w:rsidRPr="008E5411">
        <w:rPr>
          <w:rFonts w:ascii="Gotham" w:hAnsi="Gotham" w:cs="Arial"/>
          <w:sz w:val="20"/>
          <w:szCs w:val="20"/>
        </w:rPr>
        <w:t xml:space="preserve">II. </w:t>
      </w:r>
      <w:r>
        <w:rPr>
          <w:rFonts w:ascii="Gotham" w:hAnsi="Gotham" w:cs="Arial"/>
          <w:sz w:val="20"/>
          <w:szCs w:val="20"/>
        </w:rPr>
        <w:tab/>
      </w:r>
      <w:r w:rsidRPr="008E5411">
        <w:rPr>
          <w:rFonts w:ascii="Gotham" w:hAnsi="Gotham" w:cs="Arial"/>
          <w:sz w:val="20"/>
          <w:szCs w:val="20"/>
        </w:rPr>
        <w:t>Que la Constitución Política del Estado de Jalisco, en su numeral 73</w:t>
      </w:r>
      <w:r>
        <w:rPr>
          <w:rFonts w:ascii="Gotham" w:hAnsi="Gotham" w:cs="Arial"/>
          <w:sz w:val="20"/>
          <w:szCs w:val="20"/>
        </w:rPr>
        <w:t>,</w:t>
      </w:r>
      <w:r w:rsidRPr="008E5411">
        <w:rPr>
          <w:rFonts w:ascii="Gotham" w:hAnsi="Gotham" w:cs="Arial"/>
          <w:sz w:val="20"/>
          <w:szCs w:val="20"/>
        </w:rPr>
        <w:t xml:space="preserve"> estipula que</w:t>
      </w:r>
      <w:r>
        <w:rPr>
          <w:rFonts w:ascii="Gotham" w:hAnsi="Gotham" w:cs="Arial"/>
          <w:sz w:val="20"/>
          <w:szCs w:val="20"/>
        </w:rPr>
        <w:t>:</w:t>
      </w:r>
      <w:r w:rsidRPr="008E5411">
        <w:rPr>
          <w:rFonts w:ascii="Gotham" w:hAnsi="Gotham" w:cs="Arial"/>
          <w:sz w:val="20"/>
          <w:szCs w:val="20"/>
        </w:rPr>
        <w:t xml:space="preserve"> </w:t>
      </w:r>
    </w:p>
    <w:p w14:paraId="3A47425A" w14:textId="77777777" w:rsidR="00016FE1" w:rsidRDefault="00016FE1" w:rsidP="002B6227">
      <w:pPr>
        <w:autoSpaceDE w:val="0"/>
        <w:autoSpaceDN w:val="0"/>
        <w:adjustRightInd w:val="0"/>
        <w:ind w:left="567" w:hanging="567"/>
        <w:jc w:val="both"/>
        <w:rPr>
          <w:rFonts w:ascii="Gotham" w:hAnsi="Gotham" w:cs="Arial"/>
          <w:sz w:val="20"/>
          <w:szCs w:val="20"/>
        </w:rPr>
      </w:pPr>
    </w:p>
    <w:p w14:paraId="3A47425B"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p>
    <w:p w14:paraId="3A47425C" w14:textId="77777777" w:rsidR="00016FE1" w:rsidRPr="008E5411" w:rsidRDefault="00016FE1" w:rsidP="002B6227">
      <w:pPr>
        <w:autoSpaceDE w:val="0"/>
        <w:autoSpaceDN w:val="0"/>
        <w:adjustRightInd w:val="0"/>
        <w:ind w:left="567" w:hanging="567"/>
        <w:jc w:val="both"/>
        <w:rPr>
          <w:rFonts w:ascii="Gotham" w:hAnsi="Gotham" w:cs="Arial"/>
          <w:sz w:val="20"/>
          <w:szCs w:val="20"/>
        </w:rPr>
      </w:pPr>
    </w:p>
    <w:p w14:paraId="3A47425D" w14:textId="77777777" w:rsidR="00016FE1" w:rsidRDefault="00016FE1" w:rsidP="002B6227">
      <w:pPr>
        <w:ind w:left="567" w:hanging="567"/>
        <w:jc w:val="both"/>
        <w:rPr>
          <w:rFonts w:ascii="Gotham" w:hAnsi="Gotham" w:cs="Arial"/>
          <w:sz w:val="20"/>
          <w:szCs w:val="20"/>
        </w:rPr>
      </w:pPr>
      <w:r w:rsidRPr="008E5411">
        <w:rPr>
          <w:rFonts w:ascii="Gotham" w:hAnsi="Gotham" w:cs="Arial"/>
          <w:sz w:val="20"/>
          <w:szCs w:val="20"/>
        </w:rPr>
        <w:t xml:space="preserve">III. </w:t>
      </w:r>
      <w:r>
        <w:rPr>
          <w:rFonts w:ascii="Gotham" w:hAnsi="Gotham" w:cs="Arial"/>
          <w:sz w:val="20"/>
          <w:szCs w:val="20"/>
        </w:rPr>
        <w:tab/>
      </w:r>
      <w:r w:rsidRPr="008E5411">
        <w:rPr>
          <w:rFonts w:ascii="Gotham" w:hAnsi="Gotham" w:cs="Arial"/>
          <w:sz w:val="20"/>
          <w:szCs w:val="20"/>
        </w:rPr>
        <w:t>Que la Ley del Gobierno y la Administración Pública Municipal del Estado de Jalisco, en su artículo 3, establece que</w:t>
      </w:r>
      <w:r>
        <w:rPr>
          <w:rFonts w:ascii="Gotham" w:hAnsi="Gotham" w:cs="Arial"/>
          <w:sz w:val="20"/>
          <w:szCs w:val="20"/>
        </w:rPr>
        <w:t>:</w:t>
      </w:r>
      <w:r w:rsidRPr="008E5411">
        <w:rPr>
          <w:rFonts w:ascii="Gotham" w:hAnsi="Gotham" w:cs="Arial"/>
          <w:sz w:val="20"/>
          <w:szCs w:val="20"/>
        </w:rPr>
        <w:t xml:space="preserve"> </w:t>
      </w:r>
    </w:p>
    <w:p w14:paraId="3A47425E" w14:textId="77777777" w:rsidR="00016FE1" w:rsidRDefault="00016FE1" w:rsidP="002B6227">
      <w:pPr>
        <w:ind w:left="567" w:hanging="567"/>
        <w:jc w:val="both"/>
        <w:rPr>
          <w:rFonts w:ascii="Gotham" w:hAnsi="Gotham" w:cs="Arial"/>
          <w:sz w:val="20"/>
          <w:szCs w:val="20"/>
        </w:rPr>
      </w:pPr>
    </w:p>
    <w:p w14:paraId="3A47425F"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 xml:space="preserve">“Cada Municipio es gobernado por un Ayuntamiento de elección popular directa. Las competencias municipales deben ser ejercidas de manera exclusiva por el Ayuntamiento y no habrá ninguna autoridad intermedia entre éste y el Gobierno del Estado...”. </w:t>
      </w:r>
    </w:p>
    <w:p w14:paraId="3A474260" w14:textId="77777777" w:rsidR="00016FE1" w:rsidRDefault="00016FE1" w:rsidP="002B6227">
      <w:pPr>
        <w:ind w:left="567" w:hanging="567"/>
        <w:jc w:val="both"/>
        <w:rPr>
          <w:rFonts w:ascii="Gotham" w:hAnsi="Gotham" w:cs="Arial"/>
          <w:snapToGrid w:val="0"/>
          <w:sz w:val="20"/>
          <w:szCs w:val="20"/>
        </w:rPr>
      </w:pPr>
    </w:p>
    <w:p w14:paraId="3A474261" w14:textId="77777777" w:rsidR="00016FE1" w:rsidRDefault="00016FE1" w:rsidP="002B6227">
      <w:pPr>
        <w:ind w:left="567"/>
        <w:jc w:val="both"/>
        <w:rPr>
          <w:rFonts w:ascii="Gotham" w:hAnsi="Gotham" w:cs="Arial"/>
          <w:sz w:val="20"/>
          <w:szCs w:val="20"/>
        </w:rPr>
      </w:pPr>
      <w:r w:rsidRPr="008E5411">
        <w:rPr>
          <w:rFonts w:ascii="Gotham" w:hAnsi="Gotham" w:cs="Arial"/>
          <w:snapToGrid w:val="0"/>
          <w:sz w:val="20"/>
          <w:szCs w:val="20"/>
        </w:rPr>
        <w:t xml:space="preserve">Asimismo, </w:t>
      </w:r>
      <w:r w:rsidRPr="008E5411">
        <w:rPr>
          <w:rFonts w:ascii="Gotham" w:hAnsi="Gotham" w:cs="Arial"/>
          <w:sz w:val="20"/>
          <w:szCs w:val="20"/>
        </w:rPr>
        <w:t>en su artículo 27, señala que</w:t>
      </w:r>
      <w:r>
        <w:rPr>
          <w:rFonts w:ascii="Gotham" w:hAnsi="Gotham" w:cs="Arial"/>
          <w:sz w:val="20"/>
          <w:szCs w:val="20"/>
        </w:rPr>
        <w:t>:</w:t>
      </w:r>
      <w:r w:rsidRPr="008E5411">
        <w:rPr>
          <w:rFonts w:ascii="Gotham" w:hAnsi="Gotham" w:cs="Arial"/>
          <w:sz w:val="20"/>
          <w:szCs w:val="20"/>
        </w:rPr>
        <w:t xml:space="preserve"> </w:t>
      </w:r>
    </w:p>
    <w:p w14:paraId="3A474262" w14:textId="77777777" w:rsidR="00016FE1" w:rsidRDefault="00016FE1" w:rsidP="002B6227">
      <w:pPr>
        <w:ind w:left="567"/>
        <w:jc w:val="both"/>
        <w:rPr>
          <w:rFonts w:ascii="Gotham" w:hAnsi="Gotham" w:cs="Arial"/>
          <w:sz w:val="20"/>
          <w:szCs w:val="20"/>
        </w:rPr>
      </w:pPr>
    </w:p>
    <w:p w14:paraId="3A474263"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“Los Ayuntamientos, para el estudio, vigilancia y atención de los diversos asuntos que les corresponda conocer, deben funcionar mediante comisiones...”.</w:t>
      </w:r>
    </w:p>
    <w:p w14:paraId="3A474264" w14:textId="77777777" w:rsidR="00016FE1" w:rsidRPr="008E5411" w:rsidRDefault="00016FE1" w:rsidP="002B6227">
      <w:pPr>
        <w:ind w:left="567" w:hanging="567"/>
        <w:jc w:val="both"/>
        <w:rPr>
          <w:rFonts w:ascii="Gotham" w:hAnsi="Gotham" w:cs="Arial"/>
          <w:snapToGrid w:val="0"/>
          <w:sz w:val="20"/>
          <w:szCs w:val="20"/>
          <w:highlight w:val="yellow"/>
        </w:rPr>
      </w:pPr>
    </w:p>
    <w:p w14:paraId="3A474265" w14:textId="77777777" w:rsidR="00016FE1" w:rsidRDefault="00016FE1" w:rsidP="002B6227">
      <w:pPr>
        <w:autoSpaceDE w:val="0"/>
        <w:autoSpaceDN w:val="0"/>
        <w:adjustRightInd w:val="0"/>
        <w:ind w:left="567" w:hanging="567"/>
        <w:jc w:val="both"/>
        <w:rPr>
          <w:rFonts w:ascii="Gotham" w:hAnsi="Gotham" w:cs="Arial"/>
          <w:sz w:val="20"/>
          <w:szCs w:val="20"/>
        </w:rPr>
      </w:pPr>
      <w:r w:rsidRPr="008E5411">
        <w:rPr>
          <w:rFonts w:ascii="Gotham" w:hAnsi="Gotham" w:cs="Arial"/>
          <w:sz w:val="20"/>
          <w:szCs w:val="20"/>
        </w:rPr>
        <w:t xml:space="preserve">IV. </w:t>
      </w:r>
      <w:r>
        <w:rPr>
          <w:rFonts w:ascii="Gotham" w:hAnsi="Gotham" w:cs="Arial"/>
          <w:sz w:val="20"/>
          <w:szCs w:val="20"/>
        </w:rPr>
        <w:tab/>
      </w:r>
      <w:r w:rsidRPr="008E5411">
        <w:rPr>
          <w:rFonts w:ascii="Gotham" w:hAnsi="Gotham" w:cs="Arial"/>
          <w:sz w:val="20"/>
          <w:szCs w:val="20"/>
        </w:rPr>
        <w:t>Que el Reglamento del Gobierno y la Administración Pública del Ayuntamiento Constitucional de Tonalá, Jalisco, en su artículo 92, estipula que</w:t>
      </w:r>
      <w:r>
        <w:rPr>
          <w:rFonts w:ascii="Gotham" w:hAnsi="Gotham" w:cs="Arial"/>
          <w:sz w:val="20"/>
          <w:szCs w:val="20"/>
        </w:rPr>
        <w:t>:</w:t>
      </w:r>
      <w:r w:rsidRPr="008E5411">
        <w:rPr>
          <w:rFonts w:ascii="Gotham" w:hAnsi="Gotham" w:cs="Arial"/>
          <w:sz w:val="20"/>
          <w:szCs w:val="20"/>
        </w:rPr>
        <w:t xml:space="preserve"> </w:t>
      </w:r>
    </w:p>
    <w:p w14:paraId="3A474266" w14:textId="77777777" w:rsidR="00016FE1" w:rsidRDefault="00016FE1" w:rsidP="002B6227">
      <w:pPr>
        <w:autoSpaceDE w:val="0"/>
        <w:autoSpaceDN w:val="0"/>
        <w:adjustRightInd w:val="0"/>
        <w:ind w:left="567" w:hanging="567"/>
        <w:jc w:val="both"/>
        <w:rPr>
          <w:rFonts w:ascii="Gotham" w:hAnsi="Gotham" w:cs="Arial"/>
          <w:i/>
          <w:sz w:val="20"/>
          <w:szCs w:val="20"/>
        </w:rPr>
      </w:pPr>
    </w:p>
    <w:p w14:paraId="3A474267"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 xml:space="preserve">“El Ayuntamiento de Tonalá, para el estudio, dictamen, vigilancia y atención de los diversos asuntos que les corresponda conocer, debe funcionar mediante Comisiones, estas pueden ser </w:t>
      </w:r>
      <w:r w:rsidRPr="00627248">
        <w:rPr>
          <w:rFonts w:ascii="Gotham" w:hAnsi="Gotham" w:cs="Arial"/>
          <w:i/>
          <w:iCs/>
          <w:sz w:val="19"/>
          <w:szCs w:val="19"/>
        </w:rPr>
        <w:lastRenderedPageBreak/>
        <w:t>permanentes o transitorias, con desempeño colegiado, y bajo ninguna circunstancia pueden tener facultades ejecutivas...”.</w:t>
      </w:r>
    </w:p>
    <w:p w14:paraId="3A474268" w14:textId="77777777" w:rsidR="00016FE1" w:rsidRPr="008E5411" w:rsidRDefault="00016FE1" w:rsidP="002B6227">
      <w:pPr>
        <w:ind w:left="567" w:hanging="567"/>
        <w:jc w:val="both"/>
        <w:rPr>
          <w:rFonts w:ascii="Gotham" w:hAnsi="Gotham" w:cs="Arial"/>
          <w:bCs/>
          <w:sz w:val="20"/>
          <w:szCs w:val="20"/>
          <w:highlight w:val="yellow"/>
        </w:rPr>
      </w:pPr>
    </w:p>
    <w:p w14:paraId="3A474269" w14:textId="77777777" w:rsidR="00016FE1" w:rsidRDefault="00016FE1" w:rsidP="002B6227">
      <w:pPr>
        <w:autoSpaceDE w:val="0"/>
        <w:autoSpaceDN w:val="0"/>
        <w:adjustRightInd w:val="0"/>
        <w:ind w:left="567" w:hanging="567"/>
        <w:jc w:val="both"/>
        <w:rPr>
          <w:rFonts w:ascii="Gotham" w:hAnsi="Gotham" w:cs="Arial"/>
          <w:sz w:val="20"/>
          <w:szCs w:val="20"/>
        </w:rPr>
      </w:pPr>
      <w:r w:rsidRPr="008E5411">
        <w:rPr>
          <w:rFonts w:ascii="Gotham" w:hAnsi="Gotham" w:cs="Arial"/>
          <w:sz w:val="20"/>
          <w:szCs w:val="20"/>
        </w:rPr>
        <w:t xml:space="preserve">V. </w:t>
      </w:r>
      <w:r>
        <w:rPr>
          <w:rFonts w:ascii="Gotham" w:hAnsi="Gotham" w:cs="Arial"/>
          <w:sz w:val="20"/>
          <w:szCs w:val="20"/>
        </w:rPr>
        <w:tab/>
      </w:r>
      <w:r w:rsidRPr="008E5411">
        <w:rPr>
          <w:rFonts w:ascii="Gotham" w:hAnsi="Gotham" w:cs="Arial"/>
          <w:sz w:val="20"/>
          <w:szCs w:val="20"/>
        </w:rPr>
        <w:t>Que el artículo 72 del anterior ordenamiento, establece que las Comisiones Edilicias, poseen, entre otras atribuciones, la facultad de</w:t>
      </w:r>
      <w:r>
        <w:rPr>
          <w:rFonts w:ascii="Gotham" w:hAnsi="Gotham" w:cs="Arial"/>
          <w:sz w:val="20"/>
          <w:szCs w:val="20"/>
        </w:rPr>
        <w:t>:</w:t>
      </w:r>
      <w:r w:rsidRPr="008E5411">
        <w:rPr>
          <w:rFonts w:ascii="Gotham" w:hAnsi="Gotham" w:cs="Arial"/>
          <w:sz w:val="20"/>
          <w:szCs w:val="20"/>
        </w:rPr>
        <w:t xml:space="preserve"> </w:t>
      </w:r>
    </w:p>
    <w:p w14:paraId="3A47426A" w14:textId="77777777" w:rsidR="00016FE1" w:rsidRDefault="00016FE1" w:rsidP="002B6227">
      <w:pPr>
        <w:autoSpaceDE w:val="0"/>
        <w:autoSpaceDN w:val="0"/>
        <w:adjustRightInd w:val="0"/>
        <w:ind w:left="567" w:hanging="567"/>
        <w:jc w:val="both"/>
        <w:rPr>
          <w:rFonts w:ascii="Gotham" w:hAnsi="Gotham" w:cs="Arial"/>
          <w:i/>
          <w:sz w:val="20"/>
          <w:szCs w:val="20"/>
        </w:rPr>
      </w:pPr>
    </w:p>
    <w:p w14:paraId="3A47426B"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“I. Recibir, estudiar, analizar, discutir y dictaminar los asuntos turnados por el ayuntamiento; II. Presentar al ayuntamiento los dictámenes e informes, resultados de sus trabajos e investigaciones y demás documentos relativos a los asuntos que les son turnados;….y IX. Las demás que en razón de la materia les corresponda por disposición legal o reglamentaria. Para que los dictámenes de las comisiones adquieran plena validez deberán ser aprobados por el ayuntamiento, salvo que se trate de acuerdos internos….”.</w:t>
      </w:r>
    </w:p>
    <w:p w14:paraId="3A47426C" w14:textId="77777777" w:rsidR="00016FE1" w:rsidRPr="008E5411" w:rsidRDefault="00016FE1" w:rsidP="002B6227">
      <w:pPr>
        <w:autoSpaceDE w:val="0"/>
        <w:autoSpaceDN w:val="0"/>
        <w:adjustRightInd w:val="0"/>
        <w:ind w:left="567" w:hanging="567"/>
        <w:jc w:val="both"/>
        <w:rPr>
          <w:rFonts w:ascii="Gotham" w:hAnsi="Gotham" w:cs="Arial"/>
          <w:sz w:val="20"/>
          <w:szCs w:val="20"/>
        </w:rPr>
      </w:pPr>
    </w:p>
    <w:p w14:paraId="3A47426D" w14:textId="77777777" w:rsidR="00016FE1" w:rsidRDefault="00016FE1" w:rsidP="002B6227">
      <w:pPr>
        <w:autoSpaceDE w:val="0"/>
        <w:autoSpaceDN w:val="0"/>
        <w:adjustRightInd w:val="0"/>
        <w:ind w:left="567" w:hanging="567"/>
        <w:jc w:val="both"/>
        <w:rPr>
          <w:rFonts w:ascii="Gotham" w:hAnsi="Gotham" w:cs="Arial"/>
          <w:sz w:val="20"/>
          <w:szCs w:val="20"/>
        </w:rPr>
      </w:pPr>
      <w:r w:rsidRPr="008E5411">
        <w:rPr>
          <w:rFonts w:ascii="Gotham" w:hAnsi="Gotham" w:cs="Arial"/>
          <w:sz w:val="20"/>
          <w:szCs w:val="20"/>
        </w:rPr>
        <w:t xml:space="preserve">VI. </w:t>
      </w:r>
      <w:r>
        <w:rPr>
          <w:rFonts w:ascii="Gotham" w:hAnsi="Gotham" w:cs="Arial"/>
          <w:sz w:val="20"/>
          <w:szCs w:val="20"/>
        </w:rPr>
        <w:tab/>
      </w:r>
      <w:r w:rsidRPr="008E5411">
        <w:rPr>
          <w:rFonts w:ascii="Gotham" w:hAnsi="Gotham" w:cs="Arial"/>
          <w:sz w:val="20"/>
          <w:szCs w:val="20"/>
        </w:rPr>
        <w:t>Que el artículo 100 del citado ordenamiento, establece que</w:t>
      </w:r>
      <w:r>
        <w:rPr>
          <w:rFonts w:ascii="Gotham" w:hAnsi="Gotham" w:cs="Arial"/>
          <w:sz w:val="20"/>
          <w:szCs w:val="20"/>
        </w:rPr>
        <w:t>:</w:t>
      </w:r>
      <w:r w:rsidRPr="008E5411">
        <w:rPr>
          <w:rFonts w:ascii="Gotham" w:hAnsi="Gotham" w:cs="Arial"/>
          <w:sz w:val="20"/>
          <w:szCs w:val="20"/>
        </w:rPr>
        <w:t xml:space="preserve"> </w:t>
      </w:r>
    </w:p>
    <w:p w14:paraId="3A47426E" w14:textId="77777777" w:rsidR="00016FE1" w:rsidRDefault="00016FE1" w:rsidP="002B6227">
      <w:pPr>
        <w:autoSpaceDE w:val="0"/>
        <w:autoSpaceDN w:val="0"/>
        <w:adjustRightInd w:val="0"/>
        <w:ind w:left="567" w:hanging="567"/>
        <w:jc w:val="both"/>
        <w:rPr>
          <w:rFonts w:ascii="Gotham" w:hAnsi="Gotham" w:cs="Arial"/>
          <w:i/>
          <w:sz w:val="20"/>
          <w:szCs w:val="20"/>
        </w:rPr>
      </w:pPr>
    </w:p>
    <w:p w14:paraId="3A47426F"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“Son atribuciones de la Comisión Edilicia de reglamentos, Puntos Constitucionales, Administración y Planeación Legislativa: "I. 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"III. Estudiar la estructura orgánica de la administración municipal, para efecto de proponer medios de mayor eficiencia y simplificación administrativa ante la población, en miras a obtener la mejor atención en la prestación de los servicios públicos..."</w:t>
      </w:r>
    </w:p>
    <w:p w14:paraId="3A474270" w14:textId="77777777" w:rsidR="00016FE1" w:rsidRPr="00627248" w:rsidRDefault="00016FE1" w:rsidP="002B6227">
      <w:pPr>
        <w:ind w:left="567"/>
        <w:jc w:val="both"/>
        <w:rPr>
          <w:rFonts w:ascii="Gotham" w:hAnsi="Gotham" w:cs="Arial"/>
          <w:sz w:val="20"/>
          <w:szCs w:val="20"/>
        </w:rPr>
      </w:pPr>
    </w:p>
    <w:p w14:paraId="3A474271" w14:textId="77777777" w:rsidR="00016FE1" w:rsidRPr="00627248" w:rsidRDefault="00016FE1" w:rsidP="002B6227">
      <w:pPr>
        <w:ind w:left="567"/>
        <w:jc w:val="both"/>
        <w:rPr>
          <w:rFonts w:ascii="Gotham" w:hAnsi="Gotham" w:cs="Arial"/>
          <w:sz w:val="20"/>
          <w:szCs w:val="20"/>
        </w:rPr>
      </w:pPr>
      <w:r w:rsidRPr="00627248">
        <w:rPr>
          <w:rFonts w:ascii="Gotham" w:hAnsi="Gotham" w:cs="Arial"/>
          <w:sz w:val="20"/>
          <w:szCs w:val="20"/>
        </w:rPr>
        <w:t>Se manifiesta que cuentan con la capacidad de para conocer, estudiar, analizar y dictaminar la iniciativa en objeto del presente dictamen que se estudia.</w:t>
      </w:r>
    </w:p>
    <w:p w14:paraId="3A474272" w14:textId="77777777" w:rsidR="00016FE1" w:rsidRPr="008E5411" w:rsidRDefault="00016FE1" w:rsidP="002B6227">
      <w:pPr>
        <w:ind w:left="567"/>
        <w:jc w:val="both"/>
        <w:rPr>
          <w:rFonts w:ascii="Gotham" w:hAnsi="Gotham" w:cs="Arial"/>
          <w:sz w:val="20"/>
          <w:szCs w:val="20"/>
        </w:rPr>
      </w:pPr>
    </w:p>
    <w:p w14:paraId="3A474273" w14:textId="77777777" w:rsidR="00016FE1" w:rsidRPr="008E5411" w:rsidRDefault="00016FE1" w:rsidP="002B6227">
      <w:pPr>
        <w:autoSpaceDE w:val="0"/>
        <w:autoSpaceDN w:val="0"/>
        <w:adjustRightInd w:val="0"/>
        <w:ind w:left="567" w:hanging="567"/>
        <w:jc w:val="both"/>
        <w:rPr>
          <w:rFonts w:ascii="Gotham" w:eastAsiaTheme="minorHAnsi" w:hAnsi="Gotham" w:cs="Arial"/>
          <w:sz w:val="20"/>
          <w:szCs w:val="20"/>
          <w:lang w:val="es-MX" w:eastAsia="en-US"/>
        </w:rPr>
      </w:pPr>
      <w:r w:rsidRPr="008E5411">
        <w:rPr>
          <w:rFonts w:ascii="Gotham" w:hAnsi="Gotham" w:cs="Arial"/>
          <w:sz w:val="20"/>
          <w:szCs w:val="20"/>
        </w:rPr>
        <w:t xml:space="preserve">VII. </w:t>
      </w:r>
      <w:r>
        <w:rPr>
          <w:rFonts w:ascii="Gotham" w:hAnsi="Gotham" w:cs="Arial"/>
          <w:sz w:val="20"/>
          <w:szCs w:val="20"/>
        </w:rPr>
        <w:tab/>
      </w:r>
      <w:r w:rsidRPr="008E5411">
        <w:rPr>
          <w:rFonts w:ascii="Gotham" w:hAnsi="Gotham" w:cs="Arial"/>
          <w:sz w:val="20"/>
          <w:szCs w:val="20"/>
        </w:rPr>
        <w:t>Ahora bien, conforme a los antecedentes y consideraciones que se exponen en la iniciativa en estudio es que se señala el</w:t>
      </w:r>
      <w:r w:rsidR="00B76E88">
        <w:rPr>
          <w:rFonts w:ascii="Gotham" w:hAnsi="Gotham" w:cs="Arial"/>
          <w:sz w:val="20"/>
          <w:szCs w:val="20"/>
        </w:rPr>
        <w:t xml:space="preserve"> </w:t>
      </w:r>
      <w:r w:rsidRPr="008E5411">
        <w:rPr>
          <w:rFonts w:ascii="Gotham" w:hAnsi="Gotham" w:cs="Arial"/>
          <w:sz w:val="20"/>
          <w:szCs w:val="20"/>
        </w:rPr>
        <w:t>dictamen Ordenamiento que tiene por objeto el crear el Reglamento para la Promoción, Protección y Reconocimiento de los Derechos de las Personas de la Diversidad Sexual y de Género (LGBT+) del Municipio de Tonalá, Jalisco t</w:t>
      </w:r>
      <w:r w:rsidRPr="008E5411">
        <w:rPr>
          <w:rFonts w:ascii="Gotham" w:hAnsi="Gotham" w:cs="Arial"/>
          <w:color w:val="000000"/>
          <w:sz w:val="20"/>
          <w:szCs w:val="20"/>
        </w:rPr>
        <w:t xml:space="preserve">al y como se desprende del </w:t>
      </w:r>
      <w:r w:rsidRPr="008E5411">
        <w:rPr>
          <w:rFonts w:ascii="Gotham" w:hAnsi="Gotham" w:cs="Arial"/>
          <w:sz w:val="20"/>
          <w:szCs w:val="20"/>
        </w:rPr>
        <w:t xml:space="preserve">Acuerdo número 290 derivado de la Sesión Ordinaria de este Ayuntamiento </w:t>
      </w:r>
      <w:r w:rsidRPr="008E5411">
        <w:rPr>
          <w:rFonts w:ascii="Gotham" w:hAnsi="Gotham" w:cs="Arial"/>
          <w:color w:val="000000"/>
          <w:sz w:val="20"/>
          <w:szCs w:val="20"/>
        </w:rPr>
        <w:t xml:space="preserve">de fecha </w:t>
      </w:r>
      <w:r w:rsidRPr="008E5411">
        <w:rPr>
          <w:rFonts w:ascii="Gotham" w:hAnsi="Gotham" w:cs="Arial"/>
          <w:sz w:val="20"/>
          <w:szCs w:val="20"/>
        </w:rPr>
        <w:t>28 de julio del año de 2022</w:t>
      </w:r>
      <w:r w:rsidRPr="008E5411">
        <w:rPr>
          <w:rFonts w:ascii="Gotham" w:hAnsi="Gotham" w:cs="Arial"/>
          <w:color w:val="000000"/>
          <w:sz w:val="20"/>
          <w:szCs w:val="20"/>
        </w:rPr>
        <w:t>.</w:t>
      </w:r>
    </w:p>
    <w:p w14:paraId="3A474274" w14:textId="77777777" w:rsidR="00016FE1" w:rsidRPr="008E5411" w:rsidRDefault="00016FE1" w:rsidP="002B6227">
      <w:pPr>
        <w:autoSpaceDE w:val="0"/>
        <w:autoSpaceDN w:val="0"/>
        <w:adjustRightInd w:val="0"/>
        <w:ind w:left="567" w:hanging="567"/>
        <w:jc w:val="both"/>
        <w:rPr>
          <w:rFonts w:ascii="Gotham" w:hAnsi="Gotham" w:cs="Arial"/>
          <w:bCs/>
          <w:sz w:val="20"/>
          <w:szCs w:val="20"/>
          <w:highlight w:val="yellow"/>
        </w:rPr>
      </w:pPr>
    </w:p>
    <w:p w14:paraId="3A474275" w14:textId="77777777" w:rsidR="00016FE1" w:rsidRPr="008E5411" w:rsidRDefault="00016FE1" w:rsidP="002B6227">
      <w:pPr>
        <w:ind w:left="567" w:hanging="567"/>
        <w:jc w:val="both"/>
        <w:rPr>
          <w:rFonts w:ascii="Gotham" w:hAnsi="Gotham" w:cs="Arial"/>
          <w:bCs/>
          <w:sz w:val="20"/>
          <w:szCs w:val="20"/>
        </w:rPr>
      </w:pPr>
      <w:r w:rsidRPr="008E5411">
        <w:rPr>
          <w:rFonts w:ascii="Gotham" w:hAnsi="Gotham" w:cs="Arial"/>
          <w:sz w:val="20"/>
          <w:szCs w:val="20"/>
        </w:rPr>
        <w:t xml:space="preserve">VIII. </w:t>
      </w:r>
      <w:r>
        <w:rPr>
          <w:rFonts w:ascii="Gotham" w:hAnsi="Gotham" w:cs="Arial"/>
          <w:sz w:val="20"/>
          <w:szCs w:val="20"/>
        </w:rPr>
        <w:tab/>
      </w:r>
      <w:r w:rsidRPr="008E5411">
        <w:rPr>
          <w:rFonts w:ascii="Gotham" w:hAnsi="Gotham" w:cs="Arial"/>
          <w:sz w:val="20"/>
          <w:szCs w:val="20"/>
        </w:rPr>
        <w:t xml:space="preserve">Al respecto y en el caso concreto que nos ocupa la Constitución Política de los Estados Unidos Mexicanos </w:t>
      </w:r>
      <w:r w:rsidRPr="008E5411">
        <w:rPr>
          <w:rFonts w:ascii="Gotham" w:hAnsi="Gotham" w:cs="Arial"/>
          <w:bCs/>
          <w:sz w:val="20"/>
          <w:szCs w:val="20"/>
        </w:rPr>
        <w:t>es clara en señalar lo siguiente:</w:t>
      </w:r>
    </w:p>
    <w:p w14:paraId="3A474276" w14:textId="77777777" w:rsidR="00016FE1" w:rsidRPr="008E5411" w:rsidRDefault="00016FE1" w:rsidP="002B6227">
      <w:pPr>
        <w:jc w:val="both"/>
        <w:rPr>
          <w:rFonts w:ascii="Gotham" w:hAnsi="Gotham" w:cs="Arial"/>
          <w:bCs/>
          <w:sz w:val="20"/>
          <w:szCs w:val="20"/>
        </w:rPr>
      </w:pPr>
    </w:p>
    <w:p w14:paraId="3A474277" w14:textId="77777777" w:rsidR="00016FE1" w:rsidRPr="00627248" w:rsidRDefault="00016FE1" w:rsidP="002B6227">
      <w:pPr>
        <w:spacing w:after="120"/>
        <w:ind w:left="851" w:right="283"/>
        <w:jc w:val="both"/>
        <w:rPr>
          <w:rFonts w:ascii="Gotham" w:hAnsi="Gotham" w:cs="Arial"/>
          <w:i/>
          <w:iCs/>
          <w:sz w:val="19"/>
          <w:szCs w:val="19"/>
        </w:rPr>
      </w:pPr>
      <w:r w:rsidRPr="00627248">
        <w:rPr>
          <w:rFonts w:ascii="Gotham" w:hAnsi="Gotham" w:cs="Arial"/>
          <w:i/>
          <w:iCs/>
          <w:sz w:val="19"/>
          <w:szCs w:val="19"/>
        </w:rPr>
        <w:t>Art. 115.-Los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474278" w14:textId="77777777" w:rsidR="00016FE1" w:rsidRPr="00627248" w:rsidRDefault="00016FE1" w:rsidP="002B6227">
      <w:pPr>
        <w:spacing w:after="120"/>
        <w:ind w:left="1276" w:right="283" w:hanging="425"/>
        <w:jc w:val="both"/>
        <w:rPr>
          <w:rFonts w:ascii="Gotham" w:hAnsi="Gotham" w:cs="Arial"/>
          <w:i/>
          <w:iCs/>
          <w:sz w:val="19"/>
          <w:szCs w:val="19"/>
        </w:rPr>
      </w:pPr>
      <w:r w:rsidRPr="00627248">
        <w:rPr>
          <w:rFonts w:ascii="Gotham" w:hAnsi="Gotham" w:cs="Arial"/>
          <w:i/>
          <w:iCs/>
          <w:sz w:val="19"/>
          <w:szCs w:val="19"/>
        </w:rPr>
        <w:t xml:space="preserve">II.- </w:t>
      </w:r>
      <w:r>
        <w:rPr>
          <w:rFonts w:ascii="Gotham" w:hAnsi="Gotham" w:cs="Arial"/>
          <w:i/>
          <w:iCs/>
          <w:sz w:val="19"/>
          <w:szCs w:val="19"/>
        </w:rPr>
        <w:tab/>
      </w:r>
      <w:r w:rsidRPr="00627248">
        <w:rPr>
          <w:rFonts w:ascii="Gotham" w:hAnsi="Gotham" w:cs="Arial"/>
          <w:i/>
          <w:iCs/>
          <w:sz w:val="19"/>
          <w:szCs w:val="19"/>
        </w:rPr>
        <w:t>Los municipios estarán investidos de personalidad jurídica y manejarán su patrimonio conforme a la ley.</w:t>
      </w:r>
    </w:p>
    <w:p w14:paraId="3A474279"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427A" w14:textId="77777777" w:rsidR="00016FE1" w:rsidRPr="008E5411" w:rsidRDefault="00016FE1" w:rsidP="002B6227">
      <w:pPr>
        <w:autoSpaceDE w:val="0"/>
        <w:autoSpaceDN w:val="0"/>
        <w:adjustRightInd w:val="0"/>
        <w:ind w:left="567" w:hanging="567"/>
        <w:jc w:val="both"/>
        <w:rPr>
          <w:rFonts w:ascii="Gotham" w:hAnsi="Gotham" w:cs="Arial"/>
          <w:sz w:val="20"/>
          <w:szCs w:val="20"/>
        </w:rPr>
      </w:pPr>
    </w:p>
    <w:p w14:paraId="3A47427B" w14:textId="77777777" w:rsidR="00016FE1" w:rsidRPr="00627248" w:rsidRDefault="00016FE1" w:rsidP="002B6227">
      <w:pPr>
        <w:autoSpaceDE w:val="0"/>
        <w:autoSpaceDN w:val="0"/>
        <w:adjustRightInd w:val="0"/>
        <w:ind w:left="567" w:hanging="567"/>
        <w:jc w:val="both"/>
        <w:rPr>
          <w:rFonts w:ascii="Gotham" w:hAnsi="Gotham" w:cs="Arial"/>
          <w:sz w:val="20"/>
          <w:szCs w:val="20"/>
        </w:rPr>
      </w:pPr>
      <w:r w:rsidRPr="008E5411">
        <w:rPr>
          <w:rFonts w:ascii="Gotham" w:hAnsi="Gotham" w:cs="Arial"/>
          <w:sz w:val="20"/>
          <w:szCs w:val="20"/>
        </w:rPr>
        <w:t xml:space="preserve">IX. </w:t>
      </w:r>
      <w:r>
        <w:rPr>
          <w:rFonts w:ascii="Gotham" w:hAnsi="Gotham" w:cs="Arial"/>
          <w:sz w:val="20"/>
          <w:szCs w:val="20"/>
        </w:rPr>
        <w:tab/>
      </w:r>
      <w:r w:rsidRPr="008E5411">
        <w:rPr>
          <w:rFonts w:ascii="Gotham" w:hAnsi="Gotham" w:cs="Arial"/>
          <w:sz w:val="20"/>
          <w:szCs w:val="20"/>
        </w:rPr>
        <w:t>Conforme al orden jerárquico de la norma y en el caso concreto que nos ocupa la Constitución Política del Estado de Jalisco</w:t>
      </w:r>
      <w:r w:rsidR="00B76E88">
        <w:rPr>
          <w:rFonts w:ascii="Gotham" w:hAnsi="Gotham" w:cs="Arial"/>
          <w:sz w:val="20"/>
          <w:szCs w:val="20"/>
        </w:rPr>
        <w:t xml:space="preserve"> </w:t>
      </w:r>
      <w:r w:rsidRPr="00627248">
        <w:rPr>
          <w:rFonts w:ascii="Gotham" w:hAnsi="Gotham" w:cs="Arial"/>
          <w:sz w:val="20"/>
          <w:szCs w:val="20"/>
        </w:rPr>
        <w:t xml:space="preserve">como señalar lo siguiente: </w:t>
      </w:r>
    </w:p>
    <w:p w14:paraId="3A47427C" w14:textId="77777777" w:rsidR="00016FE1" w:rsidRPr="00627248" w:rsidRDefault="00016FE1" w:rsidP="002B6227">
      <w:pPr>
        <w:autoSpaceDE w:val="0"/>
        <w:autoSpaceDN w:val="0"/>
        <w:adjustRightInd w:val="0"/>
        <w:ind w:left="567" w:hanging="567"/>
        <w:jc w:val="both"/>
        <w:rPr>
          <w:rFonts w:ascii="Gotham" w:hAnsi="Gotham" w:cs="Arial"/>
          <w:sz w:val="20"/>
          <w:szCs w:val="20"/>
        </w:rPr>
      </w:pPr>
    </w:p>
    <w:p w14:paraId="3A47427D"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lastRenderedPageBreak/>
        <w:t>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3A47427E" w14:textId="77777777" w:rsidR="00016FE1" w:rsidRPr="00627248" w:rsidRDefault="00016FE1" w:rsidP="002B6227">
      <w:pPr>
        <w:ind w:left="851" w:right="283"/>
        <w:jc w:val="both"/>
        <w:rPr>
          <w:rFonts w:ascii="Gotham" w:hAnsi="Gotham" w:cs="Arial"/>
          <w:i/>
          <w:iCs/>
          <w:sz w:val="19"/>
          <w:szCs w:val="19"/>
        </w:rPr>
      </w:pPr>
    </w:p>
    <w:p w14:paraId="3A47427F" w14:textId="77777777" w:rsidR="00016FE1" w:rsidRPr="00627248" w:rsidRDefault="00016FE1" w:rsidP="002B6227">
      <w:pPr>
        <w:spacing w:after="120"/>
        <w:ind w:left="851" w:right="283"/>
        <w:jc w:val="both"/>
        <w:rPr>
          <w:rFonts w:ascii="Gotham" w:hAnsi="Gotham" w:cs="Arial"/>
          <w:i/>
          <w:iCs/>
          <w:sz w:val="19"/>
          <w:szCs w:val="19"/>
        </w:rPr>
      </w:pPr>
      <w:r w:rsidRPr="00627248">
        <w:rPr>
          <w:rFonts w:ascii="Gotham" w:hAnsi="Gotham" w:cs="Arial"/>
          <w:i/>
          <w:iCs/>
          <w:sz w:val="19"/>
          <w:szCs w:val="19"/>
        </w:rPr>
        <w:t>Art. 77.- Los ayuntamientos tendrán facultades para aprobar, de acuerdo con las leyes en materia municipal que expida el Congreso del Estado:</w:t>
      </w:r>
    </w:p>
    <w:p w14:paraId="3A474280" w14:textId="77777777" w:rsidR="00016FE1" w:rsidRPr="00627248" w:rsidRDefault="00016FE1" w:rsidP="002B6227">
      <w:pPr>
        <w:spacing w:after="120"/>
        <w:ind w:left="1276" w:right="283" w:hanging="425"/>
        <w:jc w:val="both"/>
        <w:rPr>
          <w:rFonts w:ascii="Gotham" w:hAnsi="Gotham" w:cs="Arial"/>
          <w:i/>
          <w:iCs/>
          <w:sz w:val="19"/>
          <w:szCs w:val="19"/>
        </w:rPr>
      </w:pPr>
      <w:r w:rsidRPr="00627248">
        <w:rPr>
          <w:rFonts w:ascii="Gotham" w:hAnsi="Gotham" w:cs="Arial"/>
          <w:i/>
          <w:iCs/>
          <w:sz w:val="19"/>
          <w:szCs w:val="19"/>
        </w:rPr>
        <w:t xml:space="preserve">I. </w:t>
      </w:r>
      <w:r>
        <w:rPr>
          <w:rFonts w:ascii="Gotham" w:hAnsi="Gotham" w:cs="Arial"/>
          <w:i/>
          <w:iCs/>
          <w:sz w:val="19"/>
          <w:szCs w:val="19"/>
        </w:rPr>
        <w:tab/>
      </w:r>
      <w:r w:rsidRPr="00627248">
        <w:rPr>
          <w:rFonts w:ascii="Gotham" w:hAnsi="Gotham" w:cs="Arial"/>
          <w:i/>
          <w:iCs/>
          <w:sz w:val="19"/>
          <w:szCs w:val="19"/>
        </w:rPr>
        <w:t>Los bandos de policía y gobierno;</w:t>
      </w:r>
    </w:p>
    <w:p w14:paraId="3A474281" w14:textId="77777777" w:rsidR="00016FE1" w:rsidRPr="00627248" w:rsidRDefault="00016FE1" w:rsidP="002B6227">
      <w:pPr>
        <w:spacing w:after="120"/>
        <w:ind w:left="1276" w:right="283" w:hanging="425"/>
        <w:jc w:val="both"/>
        <w:rPr>
          <w:rFonts w:ascii="Gotham" w:hAnsi="Gotham" w:cs="Arial"/>
          <w:i/>
          <w:iCs/>
          <w:sz w:val="19"/>
          <w:szCs w:val="19"/>
        </w:rPr>
      </w:pPr>
      <w:r w:rsidRPr="00627248">
        <w:rPr>
          <w:rFonts w:ascii="Gotham" w:hAnsi="Gotham" w:cs="Arial"/>
          <w:i/>
          <w:iCs/>
          <w:sz w:val="19"/>
          <w:szCs w:val="19"/>
        </w:rPr>
        <w:t xml:space="preserve">II. </w:t>
      </w:r>
      <w:r>
        <w:rPr>
          <w:rFonts w:ascii="Gotham" w:hAnsi="Gotham" w:cs="Arial"/>
          <w:i/>
          <w:iCs/>
          <w:sz w:val="19"/>
          <w:szCs w:val="19"/>
        </w:rPr>
        <w:tab/>
      </w:r>
      <w:r w:rsidRPr="00627248">
        <w:rPr>
          <w:rFonts w:ascii="Gotham" w:hAnsi="Gotham" w:cs="Arial"/>
          <w:i/>
          <w:iCs/>
          <w:sz w:val="19"/>
          <w:szCs w:val="19"/>
        </w:rPr>
        <w:t>Los reglamentos, circulares y disposiciones administrativas de observancia general dentro de sus respectivas jurisdicciones, con el objeto de:</w:t>
      </w:r>
    </w:p>
    <w:p w14:paraId="3A474282" w14:textId="77777777" w:rsidR="00016FE1" w:rsidRPr="00627248" w:rsidRDefault="00016FE1" w:rsidP="002B6227">
      <w:pPr>
        <w:spacing w:after="120"/>
        <w:ind w:left="1701" w:right="283" w:hanging="425"/>
        <w:jc w:val="both"/>
        <w:rPr>
          <w:rFonts w:ascii="Gotham" w:hAnsi="Gotham" w:cs="Arial"/>
          <w:i/>
          <w:iCs/>
          <w:sz w:val="19"/>
          <w:szCs w:val="19"/>
        </w:rPr>
      </w:pPr>
      <w:r w:rsidRPr="00627248">
        <w:rPr>
          <w:rFonts w:ascii="Gotham" w:hAnsi="Gotham" w:cs="Arial"/>
          <w:i/>
          <w:iCs/>
          <w:sz w:val="19"/>
          <w:szCs w:val="19"/>
        </w:rPr>
        <w:t xml:space="preserve">a) </w:t>
      </w:r>
      <w:r>
        <w:rPr>
          <w:rFonts w:ascii="Gotham" w:hAnsi="Gotham" w:cs="Arial"/>
          <w:i/>
          <w:iCs/>
          <w:sz w:val="19"/>
          <w:szCs w:val="19"/>
        </w:rPr>
        <w:tab/>
      </w:r>
      <w:r w:rsidRPr="00627248">
        <w:rPr>
          <w:rFonts w:ascii="Gotham" w:hAnsi="Gotham" w:cs="Arial"/>
          <w:i/>
          <w:iCs/>
          <w:sz w:val="19"/>
          <w:szCs w:val="19"/>
        </w:rPr>
        <w:t>Organizar la administración pública municipal;</w:t>
      </w:r>
    </w:p>
    <w:p w14:paraId="3A474283" w14:textId="77777777" w:rsidR="00016FE1" w:rsidRPr="00627248" w:rsidRDefault="00016FE1" w:rsidP="002B6227">
      <w:pPr>
        <w:ind w:left="1701" w:right="283" w:hanging="425"/>
        <w:jc w:val="both"/>
        <w:rPr>
          <w:rFonts w:ascii="Gotham" w:hAnsi="Gotham" w:cs="Arial"/>
          <w:i/>
          <w:iCs/>
          <w:sz w:val="19"/>
          <w:szCs w:val="19"/>
        </w:rPr>
      </w:pPr>
      <w:r w:rsidRPr="00627248">
        <w:rPr>
          <w:rFonts w:ascii="Gotham" w:hAnsi="Gotham" w:cs="Arial"/>
          <w:i/>
          <w:iCs/>
          <w:sz w:val="19"/>
          <w:szCs w:val="19"/>
        </w:rPr>
        <w:t xml:space="preserve">b) </w:t>
      </w:r>
      <w:r>
        <w:rPr>
          <w:rFonts w:ascii="Gotham" w:hAnsi="Gotham" w:cs="Arial"/>
          <w:i/>
          <w:iCs/>
          <w:sz w:val="19"/>
          <w:szCs w:val="19"/>
        </w:rPr>
        <w:tab/>
      </w:r>
      <w:r w:rsidRPr="00627248">
        <w:rPr>
          <w:rFonts w:ascii="Gotham" w:hAnsi="Gotham" w:cs="Arial"/>
          <w:i/>
          <w:iCs/>
          <w:sz w:val="19"/>
          <w:szCs w:val="19"/>
        </w:rPr>
        <w:t>Regular las materias, procedimientos, funciones y servicios públicos de su competencia; y</w:t>
      </w:r>
    </w:p>
    <w:p w14:paraId="3A474284" w14:textId="77777777" w:rsidR="00016FE1" w:rsidRPr="00627248" w:rsidRDefault="00016FE1" w:rsidP="002B6227">
      <w:pPr>
        <w:autoSpaceDE w:val="0"/>
        <w:autoSpaceDN w:val="0"/>
        <w:adjustRightInd w:val="0"/>
        <w:ind w:left="567" w:hanging="567"/>
        <w:jc w:val="both"/>
        <w:rPr>
          <w:rFonts w:ascii="Gotham" w:hAnsi="Gotham" w:cs="Arial"/>
          <w:sz w:val="20"/>
          <w:szCs w:val="20"/>
        </w:rPr>
      </w:pPr>
    </w:p>
    <w:p w14:paraId="3A474285" w14:textId="77777777" w:rsidR="00016FE1" w:rsidRPr="00627248" w:rsidRDefault="00016FE1" w:rsidP="002B6227">
      <w:pPr>
        <w:autoSpaceDE w:val="0"/>
        <w:autoSpaceDN w:val="0"/>
        <w:adjustRightInd w:val="0"/>
        <w:ind w:left="567" w:hanging="567"/>
        <w:jc w:val="both"/>
        <w:rPr>
          <w:rFonts w:ascii="Gotham" w:hAnsi="Gotham" w:cs="Arial"/>
          <w:sz w:val="20"/>
          <w:szCs w:val="20"/>
        </w:rPr>
      </w:pPr>
      <w:r w:rsidRPr="00627248">
        <w:rPr>
          <w:rFonts w:ascii="Gotham" w:hAnsi="Gotham" w:cs="Arial"/>
          <w:sz w:val="20"/>
          <w:szCs w:val="20"/>
        </w:rPr>
        <w:t xml:space="preserve">X. </w:t>
      </w:r>
      <w:r>
        <w:rPr>
          <w:rFonts w:ascii="Gotham" w:hAnsi="Gotham" w:cs="Arial"/>
          <w:sz w:val="20"/>
          <w:szCs w:val="20"/>
        </w:rPr>
        <w:tab/>
      </w:r>
      <w:r w:rsidRPr="00627248">
        <w:rPr>
          <w:rFonts w:ascii="Gotham" w:hAnsi="Gotham" w:cs="Arial"/>
          <w:sz w:val="20"/>
          <w:szCs w:val="20"/>
        </w:rPr>
        <w:t xml:space="preserve">En lo que corresponde al funcionamiento de la Administración municipal, será normada mediante la Ley de Gobierno y la Administración Pública del Estado de Jalisco. </w:t>
      </w:r>
    </w:p>
    <w:p w14:paraId="3A474286" w14:textId="77777777" w:rsidR="00016FE1" w:rsidRPr="008E5411" w:rsidRDefault="00016FE1" w:rsidP="002B6227">
      <w:pPr>
        <w:autoSpaceDE w:val="0"/>
        <w:autoSpaceDN w:val="0"/>
        <w:adjustRightInd w:val="0"/>
        <w:ind w:left="567" w:hanging="567"/>
        <w:jc w:val="both"/>
        <w:rPr>
          <w:rFonts w:ascii="Gotham" w:hAnsi="Gotham" w:cs="Arial"/>
          <w:sz w:val="20"/>
          <w:szCs w:val="20"/>
        </w:rPr>
      </w:pPr>
    </w:p>
    <w:p w14:paraId="3A474287" w14:textId="77777777" w:rsidR="00016FE1" w:rsidRPr="00627248" w:rsidRDefault="00016FE1" w:rsidP="002B6227">
      <w:pPr>
        <w:spacing w:after="120"/>
        <w:ind w:left="851" w:right="283"/>
        <w:jc w:val="both"/>
        <w:rPr>
          <w:rFonts w:ascii="Gotham" w:hAnsi="Gotham" w:cs="Arial"/>
          <w:i/>
          <w:iCs/>
          <w:sz w:val="19"/>
          <w:szCs w:val="19"/>
        </w:rPr>
      </w:pPr>
      <w:r w:rsidRPr="00627248">
        <w:rPr>
          <w:rFonts w:ascii="Gotham" w:hAnsi="Gotham" w:cs="Arial"/>
          <w:i/>
          <w:iCs/>
          <w:sz w:val="19"/>
          <w:szCs w:val="19"/>
        </w:rPr>
        <w:t>Artículo 27. Los Ayuntamientos, para el estudio, vigilancia y atención de los diversos asuntos que les corresponda conocer, deben funcionar mediante comisiones.</w:t>
      </w:r>
    </w:p>
    <w:p w14:paraId="3A474288" w14:textId="77777777" w:rsidR="00016FE1" w:rsidRPr="00627248" w:rsidRDefault="00016FE1" w:rsidP="002B6227">
      <w:pPr>
        <w:spacing w:after="120"/>
        <w:ind w:left="851" w:right="283"/>
        <w:jc w:val="both"/>
        <w:rPr>
          <w:rFonts w:ascii="Gotham" w:hAnsi="Gotham" w:cs="Arial"/>
          <w:i/>
          <w:iCs/>
          <w:sz w:val="19"/>
          <w:szCs w:val="19"/>
        </w:rPr>
      </w:pPr>
      <w:r w:rsidRPr="00627248">
        <w:rPr>
          <w:rFonts w:ascii="Gotham" w:hAnsi="Gotham" w:cs="Arial"/>
          <w:i/>
          <w:iCs/>
          <w:sz w:val="19"/>
          <w:szCs w:val="19"/>
        </w:rPr>
        <w:t>Los ediles deberán presidir por lo menos una comisión, además cada munícipe debe estar integrado por lo menos a tres comisiones, en los términos de la reglamentación respectiva.</w:t>
      </w:r>
    </w:p>
    <w:p w14:paraId="3A474289" w14:textId="77777777" w:rsidR="00016FE1" w:rsidRPr="00627248" w:rsidRDefault="00016FE1" w:rsidP="002B6227">
      <w:pPr>
        <w:spacing w:after="120"/>
        <w:ind w:left="851" w:right="283"/>
        <w:jc w:val="both"/>
        <w:rPr>
          <w:rFonts w:ascii="Gotham" w:hAnsi="Gotham" w:cs="Arial"/>
          <w:i/>
          <w:iCs/>
          <w:sz w:val="19"/>
          <w:szCs w:val="19"/>
        </w:rPr>
      </w:pPr>
      <w:r w:rsidRPr="00627248">
        <w:rPr>
          <w:rFonts w:ascii="Gotham" w:hAnsi="Gotham" w:cs="Arial"/>
          <w:i/>
          <w:iCs/>
          <w:sz w:val="19"/>
          <w:szCs w:val="19"/>
        </w:rPr>
        <w:t>La denominación de las comisiones, sus características, obligaciones y facultades, deben ser establecidas en los reglamentos que para tal efecto expida el Ayuntamiento.</w:t>
      </w:r>
    </w:p>
    <w:p w14:paraId="3A47428A" w14:textId="77777777" w:rsidR="00016FE1" w:rsidRPr="00627248" w:rsidRDefault="00016FE1" w:rsidP="002B6227">
      <w:pPr>
        <w:ind w:left="851" w:right="283"/>
        <w:jc w:val="both"/>
        <w:rPr>
          <w:rFonts w:ascii="Gotham" w:hAnsi="Gotham" w:cs="Arial"/>
          <w:i/>
          <w:iCs/>
          <w:sz w:val="19"/>
          <w:szCs w:val="19"/>
        </w:rPr>
      </w:pPr>
      <w:r w:rsidRPr="00627248">
        <w:rPr>
          <w:rFonts w:ascii="Gotham" w:hAnsi="Gotham" w:cs="Arial"/>
          <w:i/>
          <w:iCs/>
          <w:sz w:val="19"/>
          <w:szCs w:val="19"/>
        </w:rPr>
        <w:t>Las comisiones pueden ser permanentes o transitorias, con integración colegiada para su funcionamiento y desempeño, integradas cuando menos por tres ediles y bajo ninguna circunstancia pueden tener facultades ejecutivas.</w:t>
      </w:r>
    </w:p>
    <w:p w14:paraId="3A47428B" w14:textId="77777777" w:rsidR="00016FE1" w:rsidRPr="00627248" w:rsidRDefault="00016FE1" w:rsidP="002B6227">
      <w:pPr>
        <w:ind w:left="851" w:right="283"/>
        <w:jc w:val="both"/>
        <w:rPr>
          <w:rFonts w:ascii="Gotham" w:hAnsi="Gotham" w:cs="Arial"/>
          <w:i/>
          <w:iCs/>
          <w:sz w:val="19"/>
          <w:szCs w:val="19"/>
        </w:rPr>
      </w:pPr>
    </w:p>
    <w:p w14:paraId="3A47428C" w14:textId="77777777" w:rsidR="00016FE1" w:rsidRPr="00627248" w:rsidRDefault="00016FE1" w:rsidP="002B6227">
      <w:pPr>
        <w:spacing w:after="120"/>
        <w:ind w:left="851" w:right="283"/>
        <w:jc w:val="both"/>
        <w:rPr>
          <w:rFonts w:ascii="Gotham" w:hAnsi="Gotham" w:cs="Arial"/>
          <w:i/>
          <w:iCs/>
          <w:sz w:val="19"/>
          <w:szCs w:val="19"/>
        </w:rPr>
      </w:pPr>
      <w:r w:rsidRPr="00627248">
        <w:rPr>
          <w:rFonts w:ascii="Gotham" w:hAnsi="Gotham" w:cs="Arial"/>
          <w:i/>
          <w:iCs/>
          <w:sz w:val="19"/>
          <w:szCs w:val="19"/>
        </w:rPr>
        <w:t>Artículo 37. Son obligaciones de los Ayuntamientos, las siguientes:</w:t>
      </w:r>
    </w:p>
    <w:p w14:paraId="3A47428D" w14:textId="77777777" w:rsidR="00016FE1" w:rsidRPr="00627248" w:rsidRDefault="00016FE1" w:rsidP="002B6227">
      <w:pPr>
        <w:spacing w:after="120"/>
        <w:ind w:left="1276" w:right="283" w:hanging="425"/>
        <w:jc w:val="both"/>
        <w:rPr>
          <w:rFonts w:ascii="Gotham" w:hAnsi="Gotham" w:cs="Arial"/>
          <w:i/>
          <w:iCs/>
          <w:sz w:val="19"/>
          <w:szCs w:val="19"/>
        </w:rPr>
      </w:pPr>
      <w:r w:rsidRPr="00627248">
        <w:rPr>
          <w:rFonts w:ascii="Gotham" w:hAnsi="Gotham" w:cs="Arial"/>
          <w:i/>
          <w:iCs/>
          <w:sz w:val="19"/>
          <w:szCs w:val="19"/>
        </w:rPr>
        <w:t>I</w:t>
      </w:r>
      <w:r>
        <w:rPr>
          <w:rFonts w:ascii="Gotham" w:hAnsi="Gotham" w:cs="Arial"/>
          <w:i/>
          <w:iCs/>
          <w:sz w:val="19"/>
          <w:szCs w:val="19"/>
        </w:rPr>
        <w:t>.</w:t>
      </w:r>
      <w:r w:rsidRPr="00627248">
        <w:rPr>
          <w:rFonts w:ascii="Gotham" w:hAnsi="Gotham" w:cs="Arial"/>
          <w:i/>
          <w:iCs/>
          <w:sz w:val="19"/>
          <w:szCs w:val="19"/>
        </w:rPr>
        <w:t xml:space="preserve"> </w:t>
      </w:r>
      <w:r>
        <w:rPr>
          <w:rFonts w:ascii="Gotham" w:hAnsi="Gotham" w:cs="Arial"/>
          <w:i/>
          <w:iCs/>
          <w:sz w:val="19"/>
          <w:szCs w:val="19"/>
        </w:rPr>
        <w:tab/>
      </w:r>
      <w:r w:rsidRPr="00627248">
        <w:rPr>
          <w:rFonts w:ascii="Gotham" w:hAnsi="Gotham" w:cs="Arial"/>
          <w:i/>
          <w:iCs/>
          <w:sz w:val="19"/>
          <w:szCs w:val="19"/>
        </w:rPr>
        <w:t>(...).</w:t>
      </w:r>
    </w:p>
    <w:p w14:paraId="3A47428E" w14:textId="77777777" w:rsidR="00016FE1" w:rsidRPr="00627248" w:rsidRDefault="00016FE1" w:rsidP="002B6227">
      <w:pPr>
        <w:spacing w:after="120"/>
        <w:ind w:left="1276" w:right="283" w:hanging="425"/>
        <w:jc w:val="both"/>
        <w:rPr>
          <w:rFonts w:ascii="Gotham" w:hAnsi="Gotham" w:cs="Arial"/>
          <w:i/>
          <w:iCs/>
          <w:sz w:val="19"/>
          <w:szCs w:val="19"/>
        </w:rPr>
      </w:pPr>
      <w:r w:rsidRPr="00627248">
        <w:rPr>
          <w:rFonts w:ascii="Gotham" w:hAnsi="Gotham" w:cs="Arial"/>
          <w:i/>
          <w:iCs/>
          <w:sz w:val="19"/>
          <w:szCs w:val="19"/>
        </w:rPr>
        <w:t xml:space="preserve">II. </w:t>
      </w:r>
      <w:r>
        <w:rPr>
          <w:rFonts w:ascii="Gotham" w:hAnsi="Gotham" w:cs="Arial"/>
          <w:i/>
          <w:iCs/>
          <w:sz w:val="19"/>
          <w:szCs w:val="19"/>
        </w:rPr>
        <w:tab/>
      </w:r>
      <w:r w:rsidRPr="00627248">
        <w:rPr>
          <w:rFonts w:ascii="Gotham" w:hAnsi="Gotham" w:cs="Arial"/>
          <w:i/>
          <w:iCs/>
          <w:sz w:val="19"/>
          <w:szCs w:val="19"/>
        </w:rPr>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3A47428F" w14:textId="77777777" w:rsidR="00016FE1" w:rsidRPr="00627248" w:rsidRDefault="00016FE1" w:rsidP="002B6227">
      <w:pPr>
        <w:spacing w:after="120"/>
        <w:ind w:left="1276" w:right="283" w:hanging="425"/>
        <w:jc w:val="both"/>
        <w:rPr>
          <w:rFonts w:ascii="Gotham" w:hAnsi="Gotham" w:cs="Arial"/>
          <w:i/>
          <w:iCs/>
          <w:sz w:val="19"/>
          <w:szCs w:val="19"/>
        </w:rPr>
      </w:pPr>
      <w:r w:rsidRPr="00627248">
        <w:rPr>
          <w:rFonts w:ascii="Gotham" w:hAnsi="Gotham" w:cs="Arial"/>
          <w:i/>
          <w:iCs/>
          <w:sz w:val="19"/>
          <w:szCs w:val="19"/>
        </w:rPr>
        <w:t>II a IX (...).</w:t>
      </w:r>
    </w:p>
    <w:p w14:paraId="3A474290" w14:textId="77777777" w:rsidR="00016FE1" w:rsidRPr="00627248" w:rsidRDefault="00016FE1" w:rsidP="002B6227">
      <w:pPr>
        <w:ind w:left="1276" w:right="283" w:hanging="425"/>
        <w:jc w:val="both"/>
        <w:rPr>
          <w:rFonts w:ascii="Gotham" w:hAnsi="Gotham" w:cs="Arial"/>
          <w:i/>
          <w:iCs/>
          <w:sz w:val="19"/>
          <w:szCs w:val="19"/>
        </w:rPr>
      </w:pPr>
      <w:r w:rsidRPr="00627248">
        <w:rPr>
          <w:rFonts w:ascii="Gotham" w:hAnsi="Gotham" w:cs="Arial"/>
          <w:i/>
          <w:iCs/>
          <w:sz w:val="19"/>
          <w:szCs w:val="19"/>
        </w:rPr>
        <w:t xml:space="preserve">X. </w:t>
      </w:r>
      <w:r>
        <w:rPr>
          <w:rFonts w:ascii="Gotham" w:hAnsi="Gotham" w:cs="Arial"/>
          <w:i/>
          <w:iCs/>
          <w:sz w:val="19"/>
          <w:szCs w:val="19"/>
        </w:rPr>
        <w:tab/>
      </w:r>
      <w:r w:rsidRPr="00627248">
        <w:rPr>
          <w:rFonts w:ascii="Gotham" w:hAnsi="Gotham" w:cs="Arial"/>
          <w:i/>
          <w:iCs/>
          <w:sz w:val="19"/>
          <w:szCs w:val="19"/>
        </w:rPr>
        <w:t>Atender la seguridad en todo el Municipio y dictar las medidas tendientes a mantener la seguridad, la paz, el orden público, la preservación y garantía de los derechos humanos.</w:t>
      </w:r>
    </w:p>
    <w:p w14:paraId="3A474291" w14:textId="77777777" w:rsidR="00016FE1" w:rsidRPr="00CF264F" w:rsidRDefault="00016FE1" w:rsidP="002B6227">
      <w:pPr>
        <w:autoSpaceDE w:val="0"/>
        <w:autoSpaceDN w:val="0"/>
        <w:adjustRightInd w:val="0"/>
        <w:ind w:left="567" w:hanging="567"/>
        <w:jc w:val="both"/>
        <w:rPr>
          <w:rFonts w:ascii="Gotham" w:hAnsi="Gotham" w:cs="Arial"/>
          <w:sz w:val="20"/>
          <w:szCs w:val="20"/>
        </w:rPr>
      </w:pPr>
    </w:p>
    <w:p w14:paraId="3A474292" w14:textId="77777777" w:rsidR="00016FE1" w:rsidRPr="00CF264F" w:rsidRDefault="00016FE1" w:rsidP="002B6227">
      <w:pPr>
        <w:autoSpaceDE w:val="0"/>
        <w:autoSpaceDN w:val="0"/>
        <w:adjustRightInd w:val="0"/>
        <w:ind w:left="567" w:hanging="567"/>
        <w:jc w:val="both"/>
        <w:rPr>
          <w:rFonts w:ascii="Gotham" w:hAnsi="Gotham" w:cs="Arial"/>
          <w:sz w:val="20"/>
          <w:szCs w:val="20"/>
        </w:rPr>
      </w:pPr>
      <w:r w:rsidRPr="00CF264F">
        <w:rPr>
          <w:rFonts w:ascii="Gotham" w:hAnsi="Gotham" w:cs="Arial"/>
          <w:sz w:val="20"/>
          <w:szCs w:val="20"/>
        </w:rPr>
        <w:t xml:space="preserve">XI. </w:t>
      </w:r>
      <w:r>
        <w:rPr>
          <w:rFonts w:ascii="Gotham" w:hAnsi="Gotham" w:cs="Arial"/>
          <w:sz w:val="20"/>
          <w:szCs w:val="20"/>
        </w:rPr>
        <w:tab/>
      </w:r>
      <w:r w:rsidRPr="00CF264F">
        <w:rPr>
          <w:rFonts w:ascii="Gotham" w:hAnsi="Gotham" w:cs="Arial"/>
          <w:sz w:val="20"/>
          <w:szCs w:val="20"/>
        </w:rPr>
        <w:t>Conforme a la norma orgánica y administrativa que rige la vida interna del municipio se cuenta con Reglamento del Gobierno y la Administración Pública del Ayuntamiento Constitucional de Tonalá, Jalisco. Tiene la atribución de general los instrumentos normativos conforme se señala a continuación:</w:t>
      </w:r>
    </w:p>
    <w:p w14:paraId="3A474293" w14:textId="77777777" w:rsidR="00016FE1" w:rsidRPr="008E5411" w:rsidRDefault="00016FE1" w:rsidP="002B6227">
      <w:pPr>
        <w:jc w:val="both"/>
        <w:rPr>
          <w:rFonts w:ascii="Gotham" w:hAnsi="Gotham" w:cs="Arial"/>
          <w:sz w:val="20"/>
          <w:szCs w:val="20"/>
          <w:highlight w:val="yellow"/>
        </w:rPr>
      </w:pPr>
    </w:p>
    <w:p w14:paraId="3A474294"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Artículo 53.- Además de lo establecido en la legislación y normatividad aplicable, son facultades y obligaciones del Ayuntamiento, las siguientes:</w:t>
      </w:r>
    </w:p>
    <w:p w14:paraId="3A474295" w14:textId="77777777" w:rsidR="00016FE1" w:rsidRPr="00863457" w:rsidRDefault="00016FE1" w:rsidP="002B6227">
      <w:pPr>
        <w:spacing w:after="120"/>
        <w:ind w:left="1276" w:right="283" w:hanging="425"/>
        <w:jc w:val="both"/>
        <w:rPr>
          <w:rFonts w:ascii="Gotham" w:hAnsi="Gotham" w:cs="Arial"/>
          <w:i/>
          <w:iCs/>
          <w:sz w:val="19"/>
          <w:szCs w:val="19"/>
        </w:rPr>
      </w:pPr>
      <w:r w:rsidRPr="00863457">
        <w:rPr>
          <w:rFonts w:ascii="Gotham" w:hAnsi="Gotham" w:cs="Arial"/>
          <w:i/>
          <w:iCs/>
          <w:sz w:val="19"/>
          <w:szCs w:val="19"/>
        </w:rPr>
        <w:t xml:space="preserve">I. </w:t>
      </w:r>
      <w:r>
        <w:rPr>
          <w:rFonts w:ascii="Gotham" w:hAnsi="Gotham" w:cs="Arial"/>
          <w:i/>
          <w:iCs/>
          <w:sz w:val="19"/>
          <w:szCs w:val="19"/>
        </w:rPr>
        <w:tab/>
      </w:r>
      <w:r w:rsidRPr="00863457">
        <w:rPr>
          <w:rFonts w:ascii="Gotham" w:hAnsi="Gotham" w:cs="Arial"/>
          <w:i/>
          <w:iCs/>
          <w:sz w:val="19"/>
          <w:szCs w:val="19"/>
        </w:rPr>
        <w:t>(...)</w:t>
      </w:r>
    </w:p>
    <w:p w14:paraId="3A474296" w14:textId="77777777" w:rsidR="00016FE1" w:rsidRPr="00863457" w:rsidRDefault="00016FE1" w:rsidP="002B6227">
      <w:pPr>
        <w:ind w:left="1276" w:right="283" w:hanging="425"/>
        <w:jc w:val="both"/>
        <w:rPr>
          <w:rFonts w:ascii="Gotham" w:hAnsi="Gotham" w:cs="Arial"/>
          <w:i/>
          <w:iCs/>
          <w:sz w:val="19"/>
          <w:szCs w:val="19"/>
        </w:rPr>
      </w:pPr>
      <w:r w:rsidRPr="00863457">
        <w:rPr>
          <w:rFonts w:ascii="Gotham" w:hAnsi="Gotham" w:cs="Arial"/>
          <w:i/>
          <w:iCs/>
          <w:sz w:val="19"/>
          <w:szCs w:val="19"/>
        </w:rPr>
        <w:lastRenderedPageBreak/>
        <w:t xml:space="preserve">II. </w:t>
      </w:r>
      <w:r>
        <w:rPr>
          <w:rFonts w:ascii="Gotham" w:hAnsi="Gotham" w:cs="Arial"/>
          <w:i/>
          <w:iCs/>
          <w:sz w:val="19"/>
          <w:szCs w:val="19"/>
        </w:rPr>
        <w:tab/>
      </w:r>
      <w:r w:rsidRPr="00863457">
        <w:rPr>
          <w:rFonts w:ascii="Gotham" w:hAnsi="Gotham" w:cs="Arial"/>
          <w:i/>
          <w:iCs/>
          <w:sz w:val="19"/>
          <w:szCs w:val="19"/>
        </w:rPr>
        <w:t>Expedir los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de acuerdo con las leyes que en materia municipal expida el Congreso del Estado de Jalisco tomando en cuenta las previsiones establecidas en el artículo 6 del presente Reglamento, así como adoptar la normatividad que las instancias competentes emitan en materia de contabilidad gubernamental;</w:t>
      </w:r>
    </w:p>
    <w:p w14:paraId="3A474297" w14:textId="77777777" w:rsidR="00016FE1" w:rsidRPr="00863457" w:rsidRDefault="00016FE1" w:rsidP="002B6227">
      <w:pPr>
        <w:ind w:left="851" w:right="283"/>
        <w:jc w:val="both"/>
        <w:rPr>
          <w:rFonts w:ascii="Gotham" w:hAnsi="Gotham" w:cs="Arial"/>
          <w:i/>
          <w:iCs/>
          <w:sz w:val="19"/>
          <w:szCs w:val="19"/>
        </w:rPr>
      </w:pPr>
    </w:p>
    <w:p w14:paraId="3A474298"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Artículo 55.- El Ayuntamiento tiene facultad para aprobar y expedir:</w:t>
      </w:r>
    </w:p>
    <w:p w14:paraId="3A474299" w14:textId="77777777" w:rsidR="00016FE1" w:rsidRPr="00863457" w:rsidRDefault="00016FE1" w:rsidP="002B6227">
      <w:pPr>
        <w:spacing w:after="120"/>
        <w:ind w:left="1276" w:right="283" w:hanging="425"/>
        <w:jc w:val="both"/>
        <w:rPr>
          <w:rFonts w:ascii="Gotham" w:hAnsi="Gotham" w:cs="Arial"/>
          <w:i/>
          <w:iCs/>
          <w:sz w:val="19"/>
          <w:szCs w:val="19"/>
        </w:rPr>
      </w:pPr>
      <w:r w:rsidRPr="00863457">
        <w:rPr>
          <w:rFonts w:ascii="Gotham" w:hAnsi="Gotham" w:cs="Arial"/>
          <w:i/>
          <w:iCs/>
          <w:sz w:val="19"/>
          <w:szCs w:val="19"/>
        </w:rPr>
        <w:t xml:space="preserve">I. </w:t>
      </w:r>
      <w:r>
        <w:rPr>
          <w:rFonts w:ascii="Gotham" w:hAnsi="Gotham" w:cs="Arial"/>
          <w:i/>
          <w:iCs/>
          <w:sz w:val="19"/>
          <w:szCs w:val="19"/>
        </w:rPr>
        <w:tab/>
      </w:r>
      <w:r w:rsidRPr="00863457">
        <w:rPr>
          <w:rFonts w:ascii="Gotham" w:hAnsi="Gotham" w:cs="Arial"/>
          <w:i/>
          <w:iCs/>
          <w:sz w:val="19"/>
          <w:szCs w:val="19"/>
        </w:rPr>
        <w:t>(..:)</w:t>
      </w:r>
    </w:p>
    <w:p w14:paraId="3A47429A" w14:textId="77777777" w:rsidR="00016FE1" w:rsidRPr="00863457" w:rsidRDefault="00016FE1" w:rsidP="002B6227">
      <w:pPr>
        <w:spacing w:after="120"/>
        <w:ind w:left="1276" w:right="283" w:hanging="425"/>
        <w:jc w:val="both"/>
        <w:rPr>
          <w:rFonts w:ascii="Gotham" w:hAnsi="Gotham" w:cs="Arial"/>
          <w:i/>
          <w:iCs/>
          <w:sz w:val="19"/>
          <w:szCs w:val="19"/>
        </w:rPr>
      </w:pPr>
      <w:r w:rsidRPr="00863457">
        <w:rPr>
          <w:rFonts w:ascii="Gotham" w:hAnsi="Gotham" w:cs="Arial"/>
          <w:i/>
          <w:iCs/>
          <w:sz w:val="19"/>
          <w:szCs w:val="19"/>
        </w:rPr>
        <w:t xml:space="preserve">II. </w:t>
      </w:r>
      <w:r>
        <w:rPr>
          <w:rFonts w:ascii="Gotham" w:hAnsi="Gotham" w:cs="Arial"/>
          <w:i/>
          <w:iCs/>
          <w:sz w:val="19"/>
          <w:szCs w:val="19"/>
        </w:rPr>
        <w:tab/>
      </w:r>
      <w:r w:rsidRPr="00863457">
        <w:rPr>
          <w:rFonts w:ascii="Gotham" w:hAnsi="Gotham" w:cs="Arial"/>
          <w:i/>
          <w:iCs/>
          <w:sz w:val="19"/>
          <w:szCs w:val="19"/>
        </w:rPr>
        <w:t>Los reglamentos, circulares y disposiciones administrativas de observancia general, dentro de la jurisdicción municipal, con el objeto de;</w:t>
      </w:r>
    </w:p>
    <w:p w14:paraId="3A47429B" w14:textId="77777777" w:rsidR="00016FE1" w:rsidRPr="00863457" w:rsidRDefault="00016FE1" w:rsidP="002B6227">
      <w:pPr>
        <w:spacing w:after="120"/>
        <w:ind w:left="1701" w:right="283" w:hanging="425"/>
        <w:jc w:val="both"/>
        <w:rPr>
          <w:rFonts w:ascii="Gotham" w:hAnsi="Gotham" w:cs="Arial"/>
          <w:i/>
          <w:iCs/>
          <w:sz w:val="19"/>
          <w:szCs w:val="19"/>
        </w:rPr>
      </w:pPr>
      <w:r w:rsidRPr="00863457">
        <w:rPr>
          <w:rFonts w:ascii="Gotham" w:hAnsi="Gotham" w:cs="Arial"/>
          <w:i/>
          <w:iCs/>
          <w:sz w:val="19"/>
          <w:szCs w:val="19"/>
        </w:rPr>
        <w:t xml:space="preserve">a) </w:t>
      </w:r>
      <w:r>
        <w:rPr>
          <w:rFonts w:ascii="Gotham" w:hAnsi="Gotham" w:cs="Arial"/>
          <w:i/>
          <w:iCs/>
          <w:sz w:val="19"/>
          <w:szCs w:val="19"/>
        </w:rPr>
        <w:tab/>
      </w:r>
      <w:r w:rsidRPr="00863457">
        <w:rPr>
          <w:rFonts w:ascii="Gotham" w:hAnsi="Gotham" w:cs="Arial"/>
          <w:i/>
          <w:iCs/>
          <w:sz w:val="19"/>
          <w:szCs w:val="19"/>
        </w:rPr>
        <w:t>Organizar la Administración Pública Municipal;</w:t>
      </w:r>
    </w:p>
    <w:p w14:paraId="3A47429C" w14:textId="77777777" w:rsidR="00016FE1" w:rsidRPr="00863457" w:rsidRDefault="00016FE1" w:rsidP="002B6227">
      <w:pPr>
        <w:ind w:left="1701" w:right="283" w:hanging="425"/>
        <w:jc w:val="both"/>
        <w:rPr>
          <w:rFonts w:ascii="Gotham" w:hAnsi="Gotham" w:cs="Arial"/>
          <w:i/>
          <w:iCs/>
          <w:sz w:val="19"/>
          <w:szCs w:val="19"/>
        </w:rPr>
      </w:pPr>
      <w:r w:rsidRPr="00863457">
        <w:rPr>
          <w:rFonts w:ascii="Gotham" w:hAnsi="Gotham" w:cs="Arial"/>
          <w:i/>
          <w:iCs/>
          <w:sz w:val="19"/>
          <w:szCs w:val="19"/>
        </w:rPr>
        <w:t xml:space="preserve">b) </w:t>
      </w:r>
      <w:r>
        <w:rPr>
          <w:rFonts w:ascii="Gotham" w:hAnsi="Gotham" w:cs="Arial"/>
          <w:i/>
          <w:iCs/>
          <w:sz w:val="19"/>
          <w:szCs w:val="19"/>
        </w:rPr>
        <w:tab/>
      </w:r>
      <w:r w:rsidRPr="00863457">
        <w:rPr>
          <w:rFonts w:ascii="Gotham" w:hAnsi="Gotham" w:cs="Arial"/>
          <w:i/>
          <w:iCs/>
          <w:sz w:val="19"/>
          <w:szCs w:val="19"/>
        </w:rPr>
        <w:t>Regular las materias, procedimientos, funciones y servicios públicos de su competencia;</w:t>
      </w:r>
    </w:p>
    <w:p w14:paraId="3A47429D" w14:textId="77777777" w:rsidR="00016FE1" w:rsidRPr="00863457" w:rsidRDefault="00016FE1" w:rsidP="002B6227">
      <w:pPr>
        <w:ind w:left="851" w:right="283"/>
        <w:jc w:val="both"/>
        <w:rPr>
          <w:rFonts w:ascii="Gotham" w:hAnsi="Gotham" w:cs="Arial"/>
          <w:i/>
          <w:iCs/>
          <w:sz w:val="19"/>
          <w:szCs w:val="19"/>
        </w:rPr>
      </w:pPr>
    </w:p>
    <w:p w14:paraId="3A47429E"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Artículo 57.- Para la aprobación de los ordenamientos municipales, se deben observar los requisitos previstos en el ordenamiento municipal, expedido para tal efecto, cumpliendo con lo siguiente:</w:t>
      </w:r>
    </w:p>
    <w:p w14:paraId="3A47429F" w14:textId="77777777" w:rsidR="00016FE1" w:rsidRPr="00863457" w:rsidRDefault="00016FE1" w:rsidP="002B6227">
      <w:pPr>
        <w:spacing w:after="120"/>
        <w:ind w:left="1276" w:right="283" w:hanging="425"/>
        <w:jc w:val="both"/>
        <w:rPr>
          <w:rFonts w:ascii="Gotham" w:hAnsi="Gotham" w:cs="Arial"/>
          <w:i/>
          <w:iCs/>
          <w:sz w:val="19"/>
          <w:szCs w:val="19"/>
        </w:rPr>
      </w:pPr>
      <w:r w:rsidRPr="00863457">
        <w:rPr>
          <w:rFonts w:ascii="Gotham" w:hAnsi="Gotham" w:cs="Arial"/>
          <w:i/>
          <w:iCs/>
          <w:sz w:val="19"/>
          <w:szCs w:val="19"/>
        </w:rPr>
        <w:t xml:space="preserve">VII.  </w:t>
      </w:r>
      <w:r>
        <w:rPr>
          <w:rFonts w:ascii="Gotham" w:hAnsi="Gotham" w:cs="Arial"/>
          <w:i/>
          <w:iCs/>
          <w:sz w:val="19"/>
          <w:szCs w:val="19"/>
        </w:rPr>
        <w:tab/>
      </w:r>
      <w:r w:rsidRPr="00863457">
        <w:rPr>
          <w:rFonts w:ascii="Gotham" w:hAnsi="Gotham" w:cs="Arial"/>
          <w:i/>
          <w:iCs/>
          <w:sz w:val="19"/>
          <w:szCs w:val="19"/>
        </w:rPr>
        <w:t>El Ayuntamiento debe remitir, a través de la Secretaría General, una ejemplar de la Gaceta Municipal donde se publiquen los ordenamientos municipales y sus reformas al Congreso del Estado de Jalisco, para su compendio en la biblioteca del Poder Legislativo; y</w:t>
      </w:r>
    </w:p>
    <w:p w14:paraId="3A4742A0" w14:textId="77777777" w:rsidR="00016FE1" w:rsidRPr="00863457" w:rsidRDefault="00016FE1" w:rsidP="002B6227">
      <w:pPr>
        <w:ind w:left="1276" w:right="283" w:hanging="425"/>
        <w:jc w:val="both"/>
        <w:rPr>
          <w:rFonts w:ascii="Gotham" w:hAnsi="Gotham" w:cs="Arial"/>
          <w:i/>
          <w:iCs/>
          <w:sz w:val="19"/>
          <w:szCs w:val="19"/>
        </w:rPr>
      </w:pPr>
      <w:r>
        <w:rPr>
          <w:rFonts w:ascii="Gotham" w:hAnsi="Gotham" w:cs="Arial"/>
          <w:i/>
          <w:iCs/>
          <w:sz w:val="19"/>
          <w:szCs w:val="19"/>
        </w:rPr>
        <w:t xml:space="preserve">VIII. </w:t>
      </w:r>
      <w:r>
        <w:rPr>
          <w:rFonts w:ascii="Gotham" w:hAnsi="Gotham" w:cs="Arial"/>
          <w:i/>
          <w:iCs/>
          <w:sz w:val="19"/>
          <w:szCs w:val="19"/>
        </w:rPr>
        <w:tab/>
      </w:r>
      <w:r w:rsidRPr="00863457">
        <w:rPr>
          <w:rFonts w:ascii="Gotham" w:hAnsi="Gotham" w:cs="Arial"/>
          <w:i/>
          <w:iCs/>
          <w:sz w:val="19"/>
          <w:szCs w:val="19"/>
        </w:rPr>
        <w:t>Se publicarán en el portal de internet del Gobierno Municipal versiones integradas de los ordenamientos municipales y sus reformas para fines de facilitar su consulta y difusión a la población en general, sin embargo, la versión oficial será aquella que aparezca publicada en la Gaceta Municipal.</w:t>
      </w:r>
    </w:p>
    <w:p w14:paraId="3A4742A1" w14:textId="77777777" w:rsidR="00016FE1" w:rsidRPr="00B6695C" w:rsidRDefault="00016FE1" w:rsidP="002B6227">
      <w:pPr>
        <w:autoSpaceDE w:val="0"/>
        <w:autoSpaceDN w:val="0"/>
        <w:adjustRightInd w:val="0"/>
        <w:ind w:left="567" w:hanging="567"/>
        <w:jc w:val="both"/>
        <w:rPr>
          <w:rFonts w:ascii="Gotham" w:hAnsi="Gotham" w:cs="Arial"/>
          <w:sz w:val="20"/>
          <w:szCs w:val="20"/>
        </w:rPr>
      </w:pPr>
    </w:p>
    <w:p w14:paraId="3A4742A2" w14:textId="77777777" w:rsidR="00016FE1" w:rsidRPr="00B6695C" w:rsidRDefault="00016FE1" w:rsidP="002B6227">
      <w:pPr>
        <w:autoSpaceDE w:val="0"/>
        <w:autoSpaceDN w:val="0"/>
        <w:adjustRightInd w:val="0"/>
        <w:ind w:left="567" w:hanging="567"/>
        <w:jc w:val="both"/>
        <w:rPr>
          <w:rFonts w:ascii="Gotham" w:hAnsi="Gotham" w:cs="Arial"/>
          <w:sz w:val="20"/>
          <w:szCs w:val="20"/>
        </w:rPr>
      </w:pPr>
      <w:r w:rsidRPr="00B6695C">
        <w:rPr>
          <w:rFonts w:ascii="Gotham" w:hAnsi="Gotham" w:cs="Arial"/>
          <w:sz w:val="20"/>
          <w:szCs w:val="20"/>
        </w:rPr>
        <w:t xml:space="preserve">XII. </w:t>
      </w:r>
      <w:r>
        <w:rPr>
          <w:rFonts w:ascii="Gotham" w:hAnsi="Gotham" w:cs="Arial"/>
          <w:sz w:val="20"/>
          <w:szCs w:val="20"/>
        </w:rPr>
        <w:tab/>
      </w:r>
      <w:r w:rsidRPr="00B6695C">
        <w:rPr>
          <w:rFonts w:ascii="Gotham" w:hAnsi="Gotham" w:cs="Arial"/>
          <w:sz w:val="20"/>
          <w:szCs w:val="20"/>
        </w:rPr>
        <w:t xml:space="preserve">Conforme </w:t>
      </w:r>
      <w:r w:rsidRPr="00212C0C">
        <w:rPr>
          <w:rFonts w:ascii="Gotham" w:hAnsi="Gotham" w:cs="Arial"/>
          <w:sz w:val="20"/>
          <w:szCs w:val="20"/>
        </w:rPr>
        <w:t xml:space="preserve">al proceso </w:t>
      </w:r>
      <w:r w:rsidRPr="00B6695C">
        <w:rPr>
          <w:rFonts w:ascii="Gotham" w:hAnsi="Gotham" w:cs="Arial"/>
          <w:sz w:val="20"/>
          <w:szCs w:val="20"/>
        </w:rPr>
        <w:t>legislativo que deberán de seguir las comisiones edilicias del gobierno municipal se observa el proceso que contempla el Reglamento para el Funcionamiento Interno de Sesiones del Ayuntamiento Constitucional de Tonalá, Jalisco; conforme se señala a continuación:</w:t>
      </w:r>
    </w:p>
    <w:p w14:paraId="3A4742A3" w14:textId="77777777" w:rsidR="00016FE1" w:rsidRPr="008E5411" w:rsidRDefault="00016FE1" w:rsidP="002B6227">
      <w:pPr>
        <w:autoSpaceDE w:val="0"/>
        <w:autoSpaceDN w:val="0"/>
        <w:adjustRightInd w:val="0"/>
        <w:ind w:left="567" w:hanging="567"/>
        <w:jc w:val="both"/>
        <w:rPr>
          <w:rFonts w:ascii="Gotham" w:hAnsi="Gotham" w:cs="Arial"/>
          <w:sz w:val="20"/>
          <w:szCs w:val="20"/>
        </w:rPr>
      </w:pPr>
    </w:p>
    <w:p w14:paraId="3A4742A4"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Artículo 28. Se consideran dictámenes aquellas resoluciones que hayan sido aprobadas por los integrantes de la Comisión correspondiente y que sean dados a conocer al Pleno del Ayuntamiento para ser sometidos a votación.</w:t>
      </w:r>
    </w:p>
    <w:p w14:paraId="3A4742A5"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Los dictámenes deben constar con un apartado de proemio, antecedentes, una parte considerativa y otra resolutiva.</w:t>
      </w:r>
    </w:p>
    <w:p w14:paraId="3A4742A6"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 xml:space="preserve">La parte del </w:t>
      </w:r>
      <w:proofErr w:type="spellStart"/>
      <w:r w:rsidRPr="00863457">
        <w:rPr>
          <w:rFonts w:ascii="Gotham" w:hAnsi="Gotham" w:cs="Arial"/>
          <w:i/>
          <w:iCs/>
          <w:sz w:val="19"/>
          <w:szCs w:val="19"/>
        </w:rPr>
        <w:t>proemio</w:t>
      </w:r>
      <w:proofErr w:type="spellEnd"/>
      <w:r w:rsidRPr="00863457">
        <w:rPr>
          <w:rFonts w:ascii="Gotham" w:hAnsi="Gotham" w:cs="Arial"/>
          <w:i/>
          <w:iCs/>
          <w:sz w:val="19"/>
          <w:szCs w:val="19"/>
        </w:rPr>
        <w:t xml:space="preserve"> consiste en la exposición de los fundamentos jurídicos que motivan la dictaminación.</w:t>
      </w:r>
    </w:p>
    <w:p w14:paraId="3A4742A7"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La parte de antecedentes consiste en la narración de hechos o actos que incumben directamente en las iniciativas en estudio.</w:t>
      </w:r>
    </w:p>
    <w:p w14:paraId="3A4742A8"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La parte considerativa consiste en el estudio detallado de la iniciativa turnada, así como las conclusiones de la Comisión o Comisiones dictaminadoras, debiendo estar fundada y motivada.</w:t>
      </w:r>
    </w:p>
    <w:p w14:paraId="3A4742A9" w14:textId="77777777" w:rsidR="00016FE1" w:rsidRPr="00863457" w:rsidRDefault="00016FE1" w:rsidP="002B6227">
      <w:pPr>
        <w:ind w:left="851" w:right="283"/>
        <w:jc w:val="both"/>
        <w:rPr>
          <w:rFonts w:ascii="Gotham" w:hAnsi="Gotham" w:cs="Arial"/>
          <w:i/>
          <w:iCs/>
          <w:sz w:val="19"/>
          <w:szCs w:val="19"/>
        </w:rPr>
      </w:pPr>
      <w:r w:rsidRPr="00863457">
        <w:rPr>
          <w:rFonts w:ascii="Gotham" w:hAnsi="Gotham" w:cs="Arial"/>
          <w:i/>
          <w:iCs/>
          <w:sz w:val="19"/>
          <w:szCs w:val="19"/>
        </w:rPr>
        <w:t>Cuando la naturaleza del asunto lo permita, pueden conjuntarse dos o más iniciativas en un mismo dictamen.</w:t>
      </w:r>
    </w:p>
    <w:p w14:paraId="3A4742AA" w14:textId="77777777" w:rsidR="00016FE1" w:rsidRPr="00863457" w:rsidRDefault="00016FE1" w:rsidP="002B6227">
      <w:pPr>
        <w:ind w:left="851" w:right="283"/>
        <w:jc w:val="both"/>
        <w:rPr>
          <w:rFonts w:ascii="Gotham" w:hAnsi="Gotham" w:cs="Arial"/>
          <w:i/>
          <w:iCs/>
          <w:sz w:val="19"/>
          <w:szCs w:val="19"/>
        </w:rPr>
      </w:pPr>
    </w:p>
    <w:p w14:paraId="3A4742AB" w14:textId="77777777" w:rsidR="00016FE1" w:rsidRPr="00863457" w:rsidRDefault="00016FE1" w:rsidP="002B6227">
      <w:pPr>
        <w:ind w:left="851" w:right="283"/>
        <w:jc w:val="both"/>
        <w:rPr>
          <w:rFonts w:ascii="Gotham" w:hAnsi="Gotham" w:cs="Arial"/>
          <w:i/>
          <w:iCs/>
          <w:sz w:val="19"/>
          <w:szCs w:val="19"/>
        </w:rPr>
      </w:pPr>
      <w:r w:rsidRPr="00863457">
        <w:rPr>
          <w:rFonts w:ascii="Gotham" w:hAnsi="Gotham" w:cs="Arial"/>
          <w:i/>
          <w:iCs/>
          <w:sz w:val="19"/>
          <w:szCs w:val="19"/>
        </w:rPr>
        <w:lastRenderedPageBreak/>
        <w:t>Artículo 42. El Ayuntamiento, para el estudio, vigilancia y atención de los diversos asuntos que le corresponde conocer, funcionará mediante Comisiones.</w:t>
      </w:r>
    </w:p>
    <w:p w14:paraId="3A4742AC" w14:textId="77777777" w:rsidR="00016FE1" w:rsidRPr="00863457" w:rsidRDefault="00016FE1" w:rsidP="002B6227">
      <w:pPr>
        <w:ind w:left="851" w:right="283"/>
        <w:jc w:val="both"/>
        <w:rPr>
          <w:rFonts w:ascii="Gotham" w:hAnsi="Gotham" w:cs="Arial"/>
          <w:i/>
          <w:iCs/>
          <w:sz w:val="19"/>
          <w:szCs w:val="19"/>
        </w:rPr>
      </w:pPr>
    </w:p>
    <w:p w14:paraId="3A4742AD" w14:textId="77777777" w:rsidR="00016FE1" w:rsidRPr="00863457" w:rsidRDefault="00016FE1" w:rsidP="002B6227">
      <w:pPr>
        <w:ind w:left="851" w:right="283"/>
        <w:jc w:val="both"/>
        <w:rPr>
          <w:rFonts w:ascii="Gotham" w:hAnsi="Gotham" w:cs="Arial"/>
          <w:i/>
          <w:iCs/>
          <w:sz w:val="19"/>
          <w:szCs w:val="19"/>
        </w:rPr>
      </w:pPr>
      <w:r w:rsidRPr="00863457">
        <w:rPr>
          <w:rFonts w:ascii="Gotham" w:hAnsi="Gotham" w:cs="Arial"/>
          <w:i/>
          <w:iCs/>
          <w:sz w:val="19"/>
          <w:szCs w:val="19"/>
        </w:rPr>
        <w:t>Artículo 43. La Comisión es el órgano colegiado del Ayuntamiento encargado de conocer, vigilar, analizar y dictaminar todos aquellos asuntos de interés general y de carácter público y el trámite de los asuntos que le sean turnados de acuerdo a su competencia.</w:t>
      </w:r>
    </w:p>
    <w:p w14:paraId="3A4742AE" w14:textId="77777777" w:rsidR="00016FE1" w:rsidRPr="00863457" w:rsidRDefault="00016FE1" w:rsidP="002B6227">
      <w:pPr>
        <w:ind w:left="851" w:right="283"/>
        <w:jc w:val="both"/>
        <w:rPr>
          <w:rFonts w:ascii="Gotham" w:hAnsi="Gotham" w:cs="Arial"/>
          <w:i/>
          <w:iCs/>
          <w:sz w:val="19"/>
          <w:szCs w:val="19"/>
        </w:rPr>
      </w:pPr>
    </w:p>
    <w:p w14:paraId="3A4742AF"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Artículo 64. Las Comisiones tendrán las siguientes funciones:</w:t>
      </w:r>
    </w:p>
    <w:p w14:paraId="3A4742B0" w14:textId="77777777" w:rsidR="00016FE1" w:rsidRPr="00863457" w:rsidRDefault="00016FE1" w:rsidP="002B6227">
      <w:pPr>
        <w:spacing w:after="120"/>
        <w:ind w:left="1276" w:right="283" w:hanging="425"/>
        <w:jc w:val="both"/>
        <w:rPr>
          <w:rFonts w:ascii="Gotham" w:hAnsi="Gotham" w:cs="Arial"/>
          <w:i/>
          <w:iCs/>
          <w:sz w:val="19"/>
          <w:szCs w:val="19"/>
        </w:rPr>
      </w:pPr>
      <w:r w:rsidRPr="00863457">
        <w:rPr>
          <w:rFonts w:ascii="Gotham" w:hAnsi="Gotham" w:cs="Arial"/>
          <w:i/>
          <w:iCs/>
          <w:sz w:val="19"/>
          <w:szCs w:val="19"/>
        </w:rPr>
        <w:t xml:space="preserve">I. </w:t>
      </w:r>
      <w:r>
        <w:rPr>
          <w:rFonts w:ascii="Gotham" w:hAnsi="Gotham" w:cs="Arial"/>
          <w:i/>
          <w:iCs/>
          <w:sz w:val="19"/>
          <w:szCs w:val="19"/>
        </w:rPr>
        <w:tab/>
      </w:r>
      <w:r w:rsidRPr="00863457">
        <w:rPr>
          <w:rFonts w:ascii="Gotham" w:hAnsi="Gotham" w:cs="Arial"/>
          <w:i/>
          <w:iCs/>
          <w:sz w:val="19"/>
          <w:szCs w:val="19"/>
        </w:rPr>
        <w:t>Realizar las actividades que deriven de la Ley, así como de los reglamentos municipales vigentes;</w:t>
      </w:r>
    </w:p>
    <w:p w14:paraId="3A4742B1" w14:textId="77777777" w:rsidR="00016FE1" w:rsidRPr="00863457" w:rsidRDefault="00016FE1" w:rsidP="002B6227">
      <w:pPr>
        <w:spacing w:after="120"/>
        <w:ind w:left="1276" w:right="283" w:hanging="425"/>
        <w:jc w:val="both"/>
        <w:rPr>
          <w:rFonts w:ascii="Gotham" w:hAnsi="Gotham" w:cs="Arial"/>
          <w:i/>
          <w:iCs/>
          <w:sz w:val="19"/>
          <w:szCs w:val="19"/>
        </w:rPr>
      </w:pPr>
      <w:r w:rsidRPr="00863457">
        <w:rPr>
          <w:rFonts w:ascii="Gotham" w:hAnsi="Gotham" w:cs="Arial"/>
          <w:i/>
          <w:iCs/>
          <w:sz w:val="19"/>
          <w:szCs w:val="19"/>
        </w:rPr>
        <w:t xml:space="preserve">II. </w:t>
      </w:r>
      <w:r>
        <w:rPr>
          <w:rFonts w:ascii="Gotham" w:hAnsi="Gotham" w:cs="Arial"/>
          <w:i/>
          <w:iCs/>
          <w:sz w:val="19"/>
          <w:szCs w:val="19"/>
        </w:rPr>
        <w:tab/>
      </w:r>
      <w:r w:rsidRPr="00863457">
        <w:rPr>
          <w:rFonts w:ascii="Gotham" w:hAnsi="Gotham" w:cs="Arial"/>
          <w:i/>
          <w:iCs/>
          <w:sz w:val="19"/>
          <w:szCs w:val="19"/>
        </w:rPr>
        <w:t>Atender los asuntos que le sean turnados por el Ayuntamiento, en relación a las materias de su competencia; y</w:t>
      </w:r>
    </w:p>
    <w:p w14:paraId="3A4742B2" w14:textId="77777777" w:rsidR="00016FE1" w:rsidRPr="00863457" w:rsidRDefault="00016FE1" w:rsidP="002B6227">
      <w:pPr>
        <w:ind w:left="1276" w:right="283" w:hanging="425"/>
        <w:jc w:val="both"/>
        <w:rPr>
          <w:rFonts w:ascii="Gotham" w:hAnsi="Gotham" w:cs="Arial"/>
          <w:i/>
          <w:iCs/>
          <w:sz w:val="19"/>
          <w:szCs w:val="19"/>
        </w:rPr>
      </w:pPr>
      <w:r w:rsidRPr="00863457">
        <w:rPr>
          <w:rFonts w:ascii="Gotham" w:hAnsi="Gotham" w:cs="Arial"/>
          <w:i/>
          <w:iCs/>
          <w:sz w:val="19"/>
          <w:szCs w:val="19"/>
        </w:rPr>
        <w:t>III.</w:t>
      </w:r>
      <w:r>
        <w:rPr>
          <w:rFonts w:ascii="Gotham" w:hAnsi="Gotham" w:cs="Arial"/>
          <w:i/>
          <w:iCs/>
          <w:sz w:val="19"/>
          <w:szCs w:val="19"/>
        </w:rPr>
        <w:tab/>
      </w:r>
      <w:r w:rsidRPr="00863457">
        <w:rPr>
          <w:rFonts w:ascii="Gotham" w:hAnsi="Gotham" w:cs="Arial"/>
          <w:i/>
          <w:iCs/>
          <w:sz w:val="19"/>
          <w:szCs w:val="19"/>
        </w:rPr>
        <w:t>Presentar y dar cuenta al Ayuntamiento de la resolución de los asuntos que le sean turnados, cuando éste los requiera o de acuerdo a lo que establece la Ley.</w:t>
      </w:r>
    </w:p>
    <w:p w14:paraId="3A4742B3" w14:textId="77777777" w:rsidR="00016FE1" w:rsidRPr="00863457" w:rsidRDefault="00016FE1" w:rsidP="002B6227">
      <w:pPr>
        <w:ind w:left="851" w:right="283"/>
        <w:jc w:val="both"/>
        <w:rPr>
          <w:rFonts w:ascii="Gotham" w:hAnsi="Gotham" w:cs="Arial"/>
          <w:i/>
          <w:iCs/>
          <w:sz w:val="19"/>
          <w:szCs w:val="19"/>
        </w:rPr>
      </w:pPr>
    </w:p>
    <w:p w14:paraId="3A4742B4"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Artículo 69. En el caso previsto en el artículo que antecede, las Comisiones deberán discutir y aprobar el dictamen que resulte, en sesión conjunta que será convocada por la Comisión convocante.</w:t>
      </w:r>
    </w:p>
    <w:p w14:paraId="3A4742B5"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Las Comisiones podrán celebrar reuniones de trabajo en forma previa a la sesión de discusión y aprobación del dictamen.</w:t>
      </w:r>
    </w:p>
    <w:p w14:paraId="3A4742B6" w14:textId="77777777" w:rsidR="00016FE1" w:rsidRPr="00863457" w:rsidRDefault="00016FE1" w:rsidP="002B6227">
      <w:pPr>
        <w:spacing w:after="120"/>
        <w:ind w:left="851" w:right="283"/>
        <w:jc w:val="both"/>
        <w:rPr>
          <w:rFonts w:ascii="Gotham" w:hAnsi="Gotham" w:cs="Arial"/>
          <w:i/>
          <w:iCs/>
          <w:sz w:val="19"/>
          <w:szCs w:val="19"/>
        </w:rPr>
      </w:pPr>
      <w:r w:rsidRPr="00863457">
        <w:rPr>
          <w:rFonts w:ascii="Gotham" w:hAnsi="Gotham" w:cs="Arial"/>
          <w:i/>
          <w:iCs/>
          <w:sz w:val="19"/>
          <w:szCs w:val="19"/>
        </w:rPr>
        <w:t>Los turnos aprobados por el Ayuntamiento no podrán involucrar a más de tres Comisiones Edilicias.</w:t>
      </w:r>
    </w:p>
    <w:p w14:paraId="3A4742B7" w14:textId="77777777" w:rsidR="00016FE1" w:rsidRPr="00863457" w:rsidRDefault="00016FE1" w:rsidP="002B6227">
      <w:pPr>
        <w:ind w:left="851" w:right="283"/>
        <w:jc w:val="both"/>
        <w:rPr>
          <w:rFonts w:ascii="Gotham" w:hAnsi="Gotham" w:cs="Arial"/>
          <w:i/>
          <w:iCs/>
          <w:sz w:val="19"/>
          <w:szCs w:val="19"/>
        </w:rPr>
      </w:pPr>
      <w:r w:rsidRPr="00863457">
        <w:rPr>
          <w:rFonts w:ascii="Gotham" w:hAnsi="Gotham" w:cs="Arial"/>
          <w:i/>
          <w:iCs/>
          <w:sz w:val="19"/>
          <w:szCs w:val="19"/>
        </w:rPr>
        <w:t>Las Comisiones podrán sesionar de manera separada cuando el presidente de la Comisión convocante lo considere pertinente, en cuyo caso primero votará el dictamen la Comisión convocante y el documento será enviado a la coadyuvante para su adhesión o rechazo. Si no hubiere adhesión los dictámenes que produzcan la convocante y coadyuvante se discutirán en el Pleno del Ayuntamiento.</w:t>
      </w:r>
    </w:p>
    <w:p w14:paraId="3A4742B8" w14:textId="77777777" w:rsidR="00016FE1" w:rsidRPr="008E5411" w:rsidRDefault="00016FE1" w:rsidP="002B6227">
      <w:pPr>
        <w:ind w:right="49"/>
        <w:jc w:val="both"/>
        <w:rPr>
          <w:rFonts w:ascii="Gotham" w:eastAsia="Arial" w:hAnsi="Gotham" w:cs="Arial"/>
          <w:color w:val="000000"/>
          <w:sz w:val="20"/>
          <w:szCs w:val="20"/>
          <w:highlight w:val="yellow"/>
        </w:rPr>
      </w:pPr>
    </w:p>
    <w:p w14:paraId="3A4742B9" w14:textId="77777777" w:rsidR="00016FE1" w:rsidRPr="008E5411" w:rsidRDefault="00016FE1" w:rsidP="002B6227">
      <w:pPr>
        <w:jc w:val="both"/>
        <w:rPr>
          <w:rFonts w:ascii="Gotham" w:eastAsiaTheme="minorHAnsi" w:hAnsi="Gotham" w:cs="Arial"/>
          <w:sz w:val="20"/>
          <w:szCs w:val="20"/>
        </w:rPr>
      </w:pPr>
      <w:r w:rsidRPr="008E5411">
        <w:rPr>
          <w:rFonts w:ascii="Gotham" w:hAnsi="Gotham" w:cs="Arial"/>
          <w:sz w:val="20"/>
          <w:szCs w:val="20"/>
        </w:rPr>
        <w:t>De lo anterior se infiere que las Comisiones Edilicias que dictaminan tienen la atribución y la competencia</w:t>
      </w:r>
      <w:r w:rsidR="00B76E88">
        <w:rPr>
          <w:rFonts w:ascii="Gotham" w:hAnsi="Gotham" w:cs="Arial"/>
          <w:sz w:val="20"/>
          <w:szCs w:val="20"/>
        </w:rPr>
        <w:t xml:space="preserve"> </w:t>
      </w:r>
      <w:r w:rsidRPr="008E5411">
        <w:rPr>
          <w:rFonts w:ascii="Gotham" w:hAnsi="Gotham" w:cs="Arial"/>
          <w:sz w:val="20"/>
          <w:szCs w:val="20"/>
        </w:rPr>
        <w:t>y a través del Estudio formulado correspondientes, es por lo anterior entonces que se señalan las siguientes:</w:t>
      </w:r>
    </w:p>
    <w:p w14:paraId="3A4742BA" w14:textId="77777777" w:rsidR="00016FE1" w:rsidRPr="008E5411" w:rsidRDefault="00016FE1" w:rsidP="002B6227">
      <w:pPr>
        <w:jc w:val="both"/>
        <w:rPr>
          <w:rFonts w:ascii="Gotham" w:hAnsi="Gotham" w:cs="Arial"/>
          <w:sz w:val="20"/>
          <w:szCs w:val="20"/>
        </w:rPr>
      </w:pPr>
    </w:p>
    <w:p w14:paraId="3A4742BB" w14:textId="77777777" w:rsidR="00016FE1" w:rsidRPr="008E5411" w:rsidRDefault="00016FE1" w:rsidP="002B6227">
      <w:pPr>
        <w:autoSpaceDE w:val="0"/>
        <w:autoSpaceDN w:val="0"/>
        <w:adjustRightInd w:val="0"/>
        <w:jc w:val="center"/>
        <w:rPr>
          <w:rFonts w:ascii="Gotham" w:hAnsi="Gotham" w:cs="Arial"/>
          <w:sz w:val="20"/>
          <w:szCs w:val="20"/>
        </w:rPr>
      </w:pPr>
      <w:r>
        <w:rPr>
          <w:rFonts w:ascii="Gotham" w:hAnsi="Gotham" w:cs="Arial"/>
          <w:sz w:val="20"/>
          <w:szCs w:val="20"/>
        </w:rPr>
        <w:t>CONCLUSIONES</w:t>
      </w:r>
    </w:p>
    <w:p w14:paraId="3A4742BC" w14:textId="77777777" w:rsidR="00016FE1" w:rsidRPr="008E5411" w:rsidRDefault="00016FE1" w:rsidP="002B6227">
      <w:pPr>
        <w:jc w:val="both"/>
        <w:rPr>
          <w:rFonts w:ascii="Gotham" w:hAnsi="Gotham" w:cs="Arial"/>
          <w:sz w:val="20"/>
          <w:szCs w:val="20"/>
        </w:rPr>
      </w:pPr>
    </w:p>
    <w:p w14:paraId="3A4742BD" w14:textId="77777777" w:rsidR="00016FE1" w:rsidRPr="008E5411" w:rsidRDefault="00016FE1" w:rsidP="002B6227">
      <w:pPr>
        <w:ind w:left="567" w:hanging="567"/>
        <w:jc w:val="both"/>
        <w:rPr>
          <w:rFonts w:ascii="Gotham" w:hAnsi="Gotham" w:cs="Arial"/>
          <w:sz w:val="20"/>
          <w:szCs w:val="20"/>
        </w:rPr>
      </w:pPr>
      <w:r w:rsidRPr="008E5411">
        <w:rPr>
          <w:rFonts w:ascii="Gotham" w:hAnsi="Gotham" w:cs="Arial"/>
          <w:sz w:val="20"/>
          <w:szCs w:val="20"/>
        </w:rPr>
        <w:t xml:space="preserve">I. </w:t>
      </w:r>
      <w:r>
        <w:rPr>
          <w:rFonts w:ascii="Gotham" w:hAnsi="Gotham" w:cs="Arial"/>
          <w:sz w:val="20"/>
          <w:szCs w:val="20"/>
        </w:rPr>
        <w:tab/>
      </w:r>
      <w:r w:rsidRPr="008E5411">
        <w:rPr>
          <w:rFonts w:ascii="Gotham" w:hAnsi="Gotham" w:cs="Arial"/>
          <w:sz w:val="20"/>
          <w:szCs w:val="20"/>
        </w:rPr>
        <w:t>Conforme al estudio que versa la iniciativa presentada, en mi carácter de Presidente de la Comisión de Reglamentos, Puntos Constitucionales Administración y Planeación Legislativa señalo los trabajos que se realizaron dentro de la comisión que encabezo.</w:t>
      </w:r>
    </w:p>
    <w:p w14:paraId="3A4742BE" w14:textId="77777777" w:rsidR="00016FE1" w:rsidRPr="008E5411" w:rsidRDefault="00016FE1" w:rsidP="002B6227">
      <w:pPr>
        <w:ind w:left="567" w:hanging="567"/>
        <w:jc w:val="both"/>
        <w:rPr>
          <w:rFonts w:ascii="Gotham" w:hAnsi="Gotham" w:cs="Arial"/>
          <w:sz w:val="20"/>
          <w:szCs w:val="20"/>
        </w:rPr>
      </w:pPr>
    </w:p>
    <w:p w14:paraId="3A4742BF" w14:textId="77777777" w:rsidR="00016FE1" w:rsidRPr="008E5411" w:rsidRDefault="00016FE1" w:rsidP="002B6227">
      <w:pPr>
        <w:ind w:left="567" w:hanging="567"/>
        <w:jc w:val="both"/>
        <w:rPr>
          <w:rFonts w:ascii="Gotham" w:hAnsi="Gotham" w:cs="Arial"/>
          <w:sz w:val="20"/>
          <w:szCs w:val="20"/>
        </w:rPr>
      </w:pPr>
      <w:r w:rsidRPr="008E5411">
        <w:rPr>
          <w:rFonts w:ascii="Gotham" w:hAnsi="Gotham" w:cs="Arial"/>
          <w:sz w:val="20"/>
          <w:szCs w:val="20"/>
        </w:rPr>
        <w:t xml:space="preserve">II. </w:t>
      </w:r>
      <w:r>
        <w:rPr>
          <w:rFonts w:ascii="Gotham" w:hAnsi="Gotham" w:cs="Arial"/>
          <w:sz w:val="20"/>
          <w:szCs w:val="20"/>
        </w:rPr>
        <w:tab/>
      </w:r>
      <w:r w:rsidRPr="008E5411">
        <w:rPr>
          <w:rFonts w:ascii="Gotham" w:hAnsi="Gotham" w:cs="Arial"/>
          <w:sz w:val="20"/>
          <w:szCs w:val="20"/>
        </w:rPr>
        <w:t>Se solicitaron las Opiniones Técnicas a las dependencias involucradas, se les solicito si se contaba con manual o publicación o algún proceso u protocolo donde se reconozca los derechos a las personas de la diversidad sexual y se buscara no discriminar conforme a las Iniciativa con turno 290 con los siguientes oficios:</w:t>
      </w:r>
    </w:p>
    <w:p w14:paraId="3A4742C0" w14:textId="77777777" w:rsidR="00016FE1" w:rsidRPr="008E5411" w:rsidRDefault="00016FE1" w:rsidP="002B6227">
      <w:pPr>
        <w:jc w:val="both"/>
        <w:rPr>
          <w:rFonts w:ascii="Gotham" w:hAnsi="Gotham" w:cs="Arial"/>
          <w:sz w:val="20"/>
          <w:szCs w:val="20"/>
        </w:rPr>
      </w:pPr>
    </w:p>
    <w:tbl>
      <w:tblPr>
        <w:tblStyle w:val="Tablaconcuadrcula"/>
        <w:tblW w:w="5000" w:type="pct"/>
        <w:jc w:val="right"/>
        <w:tblLook w:val="04A0" w:firstRow="1" w:lastRow="0" w:firstColumn="1" w:lastColumn="0" w:noHBand="0" w:noVBand="1"/>
      </w:tblPr>
      <w:tblGrid>
        <w:gridCol w:w="3320"/>
        <w:gridCol w:w="3321"/>
        <w:gridCol w:w="3321"/>
      </w:tblGrid>
      <w:tr w:rsidR="00016FE1" w:rsidRPr="00AE477E" w14:paraId="3A4742C4" w14:textId="77777777" w:rsidTr="00AD51C5">
        <w:trPr>
          <w:tblHeader/>
          <w:jc w:val="right"/>
        </w:trPr>
        <w:tc>
          <w:tcPr>
            <w:tcW w:w="1666" w:type="pct"/>
            <w:tcBorders>
              <w:top w:val="single" w:sz="4" w:space="0" w:color="auto"/>
              <w:left w:val="single" w:sz="4" w:space="0" w:color="auto"/>
              <w:bottom w:val="single" w:sz="4" w:space="0" w:color="auto"/>
              <w:right w:val="single" w:sz="4" w:space="0" w:color="auto"/>
            </w:tcBorders>
            <w:hideMark/>
          </w:tcPr>
          <w:p w14:paraId="3A4742C1" w14:textId="77777777" w:rsidR="00016FE1" w:rsidRPr="0036092C" w:rsidRDefault="00016FE1" w:rsidP="002B6227">
            <w:pPr>
              <w:spacing w:before="120" w:after="120"/>
              <w:jc w:val="center"/>
              <w:rPr>
                <w:rFonts w:ascii="Gotham" w:eastAsiaTheme="minorHAnsi" w:hAnsi="Gotham" w:cs="Arial"/>
                <w:b/>
                <w:smallCaps/>
                <w:sz w:val="19"/>
                <w:szCs w:val="19"/>
                <w:lang w:val="es-MX" w:eastAsia="en-US"/>
              </w:rPr>
            </w:pPr>
            <w:r w:rsidRPr="0036092C">
              <w:rPr>
                <w:rFonts w:ascii="Gotham" w:hAnsi="Gotham" w:cs="Arial"/>
                <w:b/>
                <w:smallCaps/>
                <w:sz w:val="19"/>
                <w:szCs w:val="19"/>
              </w:rPr>
              <w:t>Dependencia</w:t>
            </w:r>
          </w:p>
        </w:tc>
        <w:tc>
          <w:tcPr>
            <w:tcW w:w="1667" w:type="pct"/>
            <w:tcBorders>
              <w:top w:val="single" w:sz="4" w:space="0" w:color="auto"/>
              <w:left w:val="single" w:sz="4" w:space="0" w:color="auto"/>
              <w:bottom w:val="single" w:sz="4" w:space="0" w:color="auto"/>
              <w:right w:val="single" w:sz="4" w:space="0" w:color="auto"/>
            </w:tcBorders>
            <w:hideMark/>
          </w:tcPr>
          <w:p w14:paraId="3A4742C2" w14:textId="77777777" w:rsidR="00016FE1" w:rsidRPr="0036092C" w:rsidRDefault="00016FE1" w:rsidP="002B6227">
            <w:pPr>
              <w:spacing w:before="120" w:after="120"/>
              <w:jc w:val="center"/>
              <w:rPr>
                <w:rFonts w:ascii="Gotham" w:hAnsi="Gotham" w:cs="Arial"/>
                <w:b/>
                <w:smallCaps/>
                <w:sz w:val="19"/>
                <w:szCs w:val="19"/>
              </w:rPr>
            </w:pPr>
            <w:r w:rsidRPr="0036092C">
              <w:rPr>
                <w:rFonts w:ascii="Gotham" w:hAnsi="Gotham" w:cs="Arial"/>
                <w:b/>
                <w:smallCaps/>
                <w:sz w:val="19"/>
                <w:szCs w:val="19"/>
              </w:rPr>
              <w:t>Oficio de Solicitud</w:t>
            </w:r>
          </w:p>
        </w:tc>
        <w:tc>
          <w:tcPr>
            <w:tcW w:w="1667" w:type="pct"/>
            <w:tcBorders>
              <w:top w:val="single" w:sz="4" w:space="0" w:color="auto"/>
              <w:left w:val="single" w:sz="4" w:space="0" w:color="auto"/>
              <w:bottom w:val="single" w:sz="4" w:space="0" w:color="auto"/>
              <w:right w:val="single" w:sz="4" w:space="0" w:color="auto"/>
            </w:tcBorders>
            <w:hideMark/>
          </w:tcPr>
          <w:p w14:paraId="3A4742C3" w14:textId="77777777" w:rsidR="00016FE1" w:rsidRPr="0036092C" w:rsidRDefault="00016FE1" w:rsidP="002B6227">
            <w:pPr>
              <w:spacing w:before="120" w:after="120"/>
              <w:jc w:val="center"/>
              <w:rPr>
                <w:rFonts w:ascii="Gotham" w:hAnsi="Gotham" w:cs="Arial"/>
                <w:b/>
                <w:smallCaps/>
                <w:sz w:val="19"/>
                <w:szCs w:val="19"/>
              </w:rPr>
            </w:pPr>
            <w:r w:rsidRPr="0036092C">
              <w:rPr>
                <w:rFonts w:ascii="Gotham" w:hAnsi="Gotham" w:cs="Arial"/>
                <w:b/>
                <w:smallCaps/>
                <w:sz w:val="19"/>
                <w:szCs w:val="19"/>
              </w:rPr>
              <w:t>Oficio de Respuesta</w:t>
            </w:r>
          </w:p>
        </w:tc>
      </w:tr>
      <w:tr w:rsidR="00016FE1" w:rsidRPr="00AE477E" w14:paraId="3A4742CB" w14:textId="77777777" w:rsidTr="00AD51C5">
        <w:trPr>
          <w:jc w:val="right"/>
        </w:trPr>
        <w:tc>
          <w:tcPr>
            <w:tcW w:w="1666" w:type="pct"/>
            <w:tcBorders>
              <w:top w:val="single" w:sz="4" w:space="0" w:color="auto"/>
              <w:left w:val="single" w:sz="4" w:space="0" w:color="auto"/>
              <w:bottom w:val="single" w:sz="4" w:space="0" w:color="auto"/>
              <w:right w:val="single" w:sz="4" w:space="0" w:color="auto"/>
            </w:tcBorders>
            <w:vAlign w:val="center"/>
            <w:hideMark/>
          </w:tcPr>
          <w:p w14:paraId="3A4742C5" w14:textId="77777777" w:rsidR="00016FE1" w:rsidRPr="00AE477E" w:rsidRDefault="00016FE1" w:rsidP="002B6227">
            <w:pPr>
              <w:spacing w:before="120" w:after="120"/>
              <w:jc w:val="center"/>
              <w:rPr>
                <w:rFonts w:ascii="Gotham" w:hAnsi="Gotham" w:cs="Arial"/>
                <w:sz w:val="19"/>
                <w:szCs w:val="19"/>
              </w:rPr>
            </w:pPr>
            <w:r w:rsidRPr="00AE477E">
              <w:rPr>
                <w:rFonts w:ascii="Gotham" w:hAnsi="Gotham" w:cs="Arial"/>
                <w:sz w:val="19"/>
                <w:szCs w:val="19"/>
              </w:rPr>
              <w:t>Dirección General de Administración y Desarrollo Humano</w:t>
            </w:r>
          </w:p>
        </w:tc>
        <w:tc>
          <w:tcPr>
            <w:tcW w:w="1667" w:type="pct"/>
            <w:tcBorders>
              <w:top w:val="single" w:sz="4" w:space="0" w:color="auto"/>
              <w:left w:val="single" w:sz="4" w:space="0" w:color="auto"/>
              <w:bottom w:val="single" w:sz="4" w:space="0" w:color="auto"/>
              <w:right w:val="single" w:sz="4" w:space="0" w:color="auto"/>
            </w:tcBorders>
            <w:vAlign w:val="center"/>
          </w:tcPr>
          <w:p w14:paraId="3A4742C6"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COM/RPCAPL/139/2022</w:t>
            </w:r>
          </w:p>
          <w:p w14:paraId="3A4742C7"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Entregado el 29 de Noviembre de 2022</w:t>
            </w:r>
          </w:p>
          <w:p w14:paraId="3A4742C8"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lastRenderedPageBreak/>
              <w:t>COM/RPCAPL/173/2023</w:t>
            </w:r>
          </w:p>
          <w:p w14:paraId="3A4742C9"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E</w:t>
            </w:r>
            <w:r>
              <w:rPr>
                <w:rFonts w:ascii="Gotham" w:hAnsi="Gotham" w:cs="Arial"/>
                <w:sz w:val="19"/>
                <w:szCs w:val="19"/>
              </w:rPr>
              <w:t>ntregado el 07 de marzo de 2022</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A4742CA" w14:textId="77777777" w:rsidR="00016FE1" w:rsidRPr="00AE477E" w:rsidRDefault="00016FE1" w:rsidP="002B6227">
            <w:pPr>
              <w:spacing w:before="120" w:after="120"/>
              <w:jc w:val="center"/>
              <w:rPr>
                <w:rFonts w:ascii="Gotham" w:hAnsi="Gotham" w:cs="Arial"/>
                <w:sz w:val="19"/>
                <w:szCs w:val="19"/>
              </w:rPr>
            </w:pPr>
            <w:r w:rsidRPr="00AE477E">
              <w:rPr>
                <w:rFonts w:ascii="Gotham" w:hAnsi="Gotham" w:cs="Arial"/>
                <w:sz w:val="19"/>
                <w:szCs w:val="19"/>
              </w:rPr>
              <w:lastRenderedPageBreak/>
              <w:t>Sin respuesta</w:t>
            </w:r>
          </w:p>
        </w:tc>
      </w:tr>
      <w:tr w:rsidR="00016FE1" w:rsidRPr="00AE477E" w14:paraId="3A4742D4" w14:textId="77777777" w:rsidTr="00AD51C5">
        <w:trPr>
          <w:jc w:val="right"/>
        </w:trPr>
        <w:tc>
          <w:tcPr>
            <w:tcW w:w="1666" w:type="pct"/>
            <w:tcBorders>
              <w:top w:val="single" w:sz="4" w:space="0" w:color="auto"/>
              <w:left w:val="single" w:sz="4" w:space="0" w:color="auto"/>
              <w:bottom w:val="single" w:sz="4" w:space="0" w:color="auto"/>
              <w:right w:val="single" w:sz="4" w:space="0" w:color="auto"/>
            </w:tcBorders>
            <w:vAlign w:val="center"/>
            <w:hideMark/>
          </w:tcPr>
          <w:p w14:paraId="3A4742CC" w14:textId="77777777" w:rsidR="00016FE1" w:rsidRPr="00AE477E" w:rsidRDefault="00016FE1" w:rsidP="002B6227">
            <w:pPr>
              <w:spacing w:before="120" w:after="120"/>
              <w:jc w:val="center"/>
              <w:rPr>
                <w:rFonts w:ascii="Gotham" w:hAnsi="Gotham" w:cs="Arial"/>
                <w:sz w:val="19"/>
                <w:szCs w:val="19"/>
              </w:rPr>
            </w:pPr>
            <w:r w:rsidRPr="00AE477E">
              <w:rPr>
                <w:rFonts w:ascii="Gotham" w:hAnsi="Gotham" w:cs="Arial"/>
                <w:sz w:val="19"/>
                <w:szCs w:val="19"/>
              </w:rPr>
              <w:lastRenderedPageBreak/>
              <w:t>Secretaría General</w:t>
            </w:r>
          </w:p>
        </w:tc>
        <w:tc>
          <w:tcPr>
            <w:tcW w:w="1667" w:type="pct"/>
            <w:tcBorders>
              <w:top w:val="single" w:sz="4" w:space="0" w:color="auto"/>
              <w:left w:val="single" w:sz="4" w:space="0" w:color="auto"/>
              <w:bottom w:val="single" w:sz="4" w:space="0" w:color="auto"/>
              <w:right w:val="single" w:sz="4" w:space="0" w:color="auto"/>
            </w:tcBorders>
            <w:vAlign w:val="center"/>
          </w:tcPr>
          <w:p w14:paraId="3A4742CD"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COM/RPCAPL/138/2022</w:t>
            </w:r>
          </w:p>
          <w:p w14:paraId="3A4742CE"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Entregado el 28 de Noviembre de 2022</w:t>
            </w:r>
          </w:p>
          <w:p w14:paraId="3A4742CF" w14:textId="77777777" w:rsidR="00016FE1" w:rsidRPr="00AE477E" w:rsidRDefault="00016FE1" w:rsidP="00605E68">
            <w:pPr>
              <w:spacing w:before="120" w:after="120"/>
              <w:jc w:val="both"/>
              <w:rPr>
                <w:rFonts w:ascii="Gotham" w:hAnsi="Gotham" w:cs="Arial"/>
                <w:sz w:val="19"/>
                <w:szCs w:val="19"/>
              </w:rPr>
            </w:pPr>
          </w:p>
        </w:tc>
        <w:tc>
          <w:tcPr>
            <w:tcW w:w="1667" w:type="pct"/>
            <w:tcBorders>
              <w:top w:val="single" w:sz="4" w:space="0" w:color="auto"/>
              <w:left w:val="single" w:sz="4" w:space="0" w:color="auto"/>
              <w:bottom w:val="single" w:sz="4" w:space="0" w:color="auto"/>
              <w:right w:val="single" w:sz="4" w:space="0" w:color="auto"/>
            </w:tcBorders>
            <w:hideMark/>
          </w:tcPr>
          <w:p w14:paraId="3A4742D0"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Oficio :Secretaria General</w:t>
            </w:r>
          </w:p>
          <w:p w14:paraId="3A4742D1"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/CIGRDL/JAAS/2177/2023.</w:t>
            </w:r>
          </w:p>
          <w:p w14:paraId="3A4742D2"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Recibido 10 de Marzo de 2023</w:t>
            </w:r>
          </w:p>
          <w:p w14:paraId="3A4742D3"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Informa que no existe nada.</w:t>
            </w:r>
          </w:p>
        </w:tc>
      </w:tr>
      <w:tr w:rsidR="00016FE1" w:rsidRPr="00AE477E" w14:paraId="3A4742DC" w14:textId="77777777" w:rsidTr="00AD51C5">
        <w:trPr>
          <w:jc w:val="right"/>
        </w:trPr>
        <w:tc>
          <w:tcPr>
            <w:tcW w:w="1666" w:type="pct"/>
            <w:tcBorders>
              <w:top w:val="single" w:sz="4" w:space="0" w:color="auto"/>
              <w:left w:val="single" w:sz="4" w:space="0" w:color="auto"/>
              <w:bottom w:val="single" w:sz="4" w:space="0" w:color="auto"/>
              <w:right w:val="single" w:sz="4" w:space="0" w:color="auto"/>
            </w:tcBorders>
            <w:vAlign w:val="center"/>
            <w:hideMark/>
          </w:tcPr>
          <w:p w14:paraId="3A4742D5" w14:textId="77777777" w:rsidR="00016FE1" w:rsidRPr="00AE477E" w:rsidRDefault="00016FE1" w:rsidP="002B6227">
            <w:pPr>
              <w:spacing w:before="120" w:after="120"/>
              <w:jc w:val="center"/>
              <w:rPr>
                <w:rFonts w:ascii="Gotham" w:hAnsi="Gotham" w:cs="Arial"/>
                <w:sz w:val="19"/>
                <w:szCs w:val="19"/>
              </w:rPr>
            </w:pPr>
            <w:r w:rsidRPr="00AE477E">
              <w:rPr>
                <w:rFonts w:ascii="Gotham" w:hAnsi="Gotham" w:cs="Arial"/>
                <w:sz w:val="19"/>
                <w:szCs w:val="19"/>
              </w:rPr>
              <w:t>Dirección del Registro Civil Municipal</w:t>
            </w:r>
          </w:p>
        </w:tc>
        <w:tc>
          <w:tcPr>
            <w:tcW w:w="1667" w:type="pct"/>
            <w:tcBorders>
              <w:top w:val="single" w:sz="4" w:space="0" w:color="auto"/>
              <w:left w:val="single" w:sz="4" w:space="0" w:color="auto"/>
              <w:bottom w:val="single" w:sz="4" w:space="0" w:color="auto"/>
              <w:right w:val="single" w:sz="4" w:space="0" w:color="auto"/>
            </w:tcBorders>
            <w:vAlign w:val="center"/>
          </w:tcPr>
          <w:p w14:paraId="3A4742D6"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COM/RPCAPL/140/2022</w:t>
            </w:r>
          </w:p>
          <w:p w14:paraId="3A4742D7"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Entregado el 29 de Noviembre de 2022</w:t>
            </w:r>
          </w:p>
          <w:p w14:paraId="3A4742D8"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COM/RPCAPL/173/2023</w:t>
            </w:r>
          </w:p>
          <w:p w14:paraId="3A4742D9"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E</w:t>
            </w:r>
            <w:r>
              <w:rPr>
                <w:rFonts w:ascii="Gotham" w:hAnsi="Gotham" w:cs="Arial"/>
                <w:sz w:val="19"/>
                <w:szCs w:val="19"/>
              </w:rPr>
              <w:t>ntregado el 07 de marzo de 2022</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A4742DA"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Oficio Registro Civil DRC o1/144/2023</w:t>
            </w:r>
          </w:p>
          <w:p w14:paraId="3A4742DB"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Recibido el 14 de Marzo 2023</w:t>
            </w:r>
          </w:p>
        </w:tc>
      </w:tr>
      <w:tr w:rsidR="00016FE1" w:rsidRPr="00AE477E" w14:paraId="3A4742E4" w14:textId="77777777" w:rsidTr="00AD51C5">
        <w:trPr>
          <w:jc w:val="right"/>
        </w:trPr>
        <w:tc>
          <w:tcPr>
            <w:tcW w:w="1666" w:type="pct"/>
            <w:tcBorders>
              <w:top w:val="single" w:sz="4" w:space="0" w:color="auto"/>
              <w:left w:val="single" w:sz="4" w:space="0" w:color="auto"/>
              <w:bottom w:val="single" w:sz="4" w:space="0" w:color="auto"/>
              <w:right w:val="single" w:sz="4" w:space="0" w:color="auto"/>
            </w:tcBorders>
            <w:vAlign w:val="center"/>
            <w:hideMark/>
          </w:tcPr>
          <w:p w14:paraId="3A4742DD" w14:textId="77777777" w:rsidR="00016FE1" w:rsidRPr="00AE477E" w:rsidRDefault="00016FE1" w:rsidP="002B6227">
            <w:pPr>
              <w:spacing w:before="120" w:after="120"/>
              <w:jc w:val="center"/>
              <w:rPr>
                <w:rFonts w:ascii="Gotham" w:hAnsi="Gotham" w:cs="Arial"/>
                <w:sz w:val="19"/>
                <w:szCs w:val="19"/>
              </w:rPr>
            </w:pPr>
            <w:r w:rsidRPr="00AE477E">
              <w:rPr>
                <w:rFonts w:ascii="Gotham" w:hAnsi="Gotham" w:cs="Arial"/>
                <w:sz w:val="19"/>
                <w:szCs w:val="19"/>
              </w:rPr>
              <w:t>Secretaría General</w:t>
            </w:r>
          </w:p>
        </w:tc>
        <w:tc>
          <w:tcPr>
            <w:tcW w:w="1667" w:type="pct"/>
            <w:tcBorders>
              <w:top w:val="single" w:sz="4" w:space="0" w:color="auto"/>
              <w:left w:val="single" w:sz="4" w:space="0" w:color="auto"/>
              <w:bottom w:val="single" w:sz="4" w:space="0" w:color="auto"/>
              <w:right w:val="single" w:sz="4" w:space="0" w:color="auto"/>
            </w:tcBorders>
            <w:vAlign w:val="center"/>
          </w:tcPr>
          <w:p w14:paraId="3A4742DE"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COM/RPCAPL/171/2023</w:t>
            </w:r>
          </w:p>
          <w:p w14:paraId="3A4742DF"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E</w:t>
            </w:r>
            <w:r>
              <w:rPr>
                <w:rFonts w:ascii="Gotham" w:hAnsi="Gotham" w:cs="Arial"/>
                <w:sz w:val="19"/>
                <w:szCs w:val="19"/>
              </w:rPr>
              <w:t>ntregado el 07 de marzo de 2022</w:t>
            </w:r>
          </w:p>
        </w:tc>
        <w:tc>
          <w:tcPr>
            <w:tcW w:w="1667" w:type="pct"/>
            <w:tcBorders>
              <w:top w:val="single" w:sz="4" w:space="0" w:color="auto"/>
              <w:left w:val="single" w:sz="4" w:space="0" w:color="auto"/>
              <w:bottom w:val="single" w:sz="4" w:space="0" w:color="auto"/>
              <w:right w:val="single" w:sz="4" w:space="0" w:color="auto"/>
            </w:tcBorders>
            <w:hideMark/>
          </w:tcPr>
          <w:p w14:paraId="3A4742E0"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Oficio :Secretaria General</w:t>
            </w:r>
          </w:p>
          <w:p w14:paraId="3A4742E1"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/CIGRDL/JAAS/2177/2023.</w:t>
            </w:r>
          </w:p>
          <w:p w14:paraId="3A4742E2"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Recibido 22 de Marzo de 2023.</w:t>
            </w:r>
          </w:p>
          <w:p w14:paraId="3A4742E3" w14:textId="77777777" w:rsidR="00016FE1" w:rsidRPr="00AE477E" w:rsidRDefault="00016FE1" w:rsidP="00605E68">
            <w:pPr>
              <w:spacing w:before="120" w:after="120"/>
              <w:jc w:val="both"/>
              <w:rPr>
                <w:rFonts w:ascii="Gotham" w:hAnsi="Gotham" w:cs="Arial"/>
                <w:sz w:val="19"/>
                <w:szCs w:val="19"/>
              </w:rPr>
            </w:pPr>
            <w:r w:rsidRPr="00AE477E">
              <w:rPr>
                <w:rFonts w:ascii="Gotham" w:hAnsi="Gotham" w:cs="Arial"/>
                <w:sz w:val="19"/>
                <w:szCs w:val="19"/>
              </w:rPr>
              <w:t>Hizo llegar argumentaciones generales de derecho y lo vigente en la legislación</w:t>
            </w:r>
          </w:p>
        </w:tc>
      </w:tr>
    </w:tbl>
    <w:p w14:paraId="3A4742E5" w14:textId="77777777" w:rsidR="00016FE1" w:rsidRPr="003E3CF0" w:rsidRDefault="00016FE1" w:rsidP="002B6227">
      <w:pPr>
        <w:ind w:left="567" w:hanging="567"/>
        <w:jc w:val="both"/>
        <w:rPr>
          <w:rFonts w:ascii="Gotham" w:hAnsi="Gotham" w:cs="Arial"/>
          <w:sz w:val="20"/>
          <w:szCs w:val="20"/>
        </w:rPr>
      </w:pPr>
    </w:p>
    <w:p w14:paraId="3A4742E6" w14:textId="77777777" w:rsidR="00016FE1" w:rsidRPr="003E3CF0" w:rsidRDefault="00016FE1" w:rsidP="002B6227">
      <w:pPr>
        <w:ind w:left="567"/>
        <w:jc w:val="both"/>
        <w:rPr>
          <w:rFonts w:ascii="Gotham" w:hAnsi="Gotham" w:cs="Arial"/>
          <w:sz w:val="20"/>
          <w:szCs w:val="20"/>
        </w:rPr>
      </w:pPr>
      <w:r w:rsidRPr="003E3CF0">
        <w:rPr>
          <w:rFonts w:ascii="Gotham" w:hAnsi="Gotham" w:cs="Arial"/>
          <w:sz w:val="20"/>
          <w:szCs w:val="20"/>
        </w:rPr>
        <w:t>Una vez analizada la propuesta que realiza en la iniciativa señalada se encontró que su objetivo principal era erradicar la discriminación a las personas de la Diversidad Sexual en el Municipio; mediante esa premisa fue que se realizó el estudio sociológico legal de los avances de las normas.</w:t>
      </w:r>
    </w:p>
    <w:p w14:paraId="3A4742E7" w14:textId="77777777" w:rsidR="00016FE1" w:rsidRPr="003E3CF0" w:rsidRDefault="00016FE1" w:rsidP="002B6227">
      <w:pPr>
        <w:ind w:left="567" w:hanging="567"/>
        <w:jc w:val="both"/>
        <w:rPr>
          <w:rFonts w:ascii="Gotham" w:hAnsi="Gotham" w:cs="Arial"/>
          <w:sz w:val="20"/>
          <w:szCs w:val="20"/>
        </w:rPr>
      </w:pPr>
    </w:p>
    <w:p w14:paraId="3A4742E8" w14:textId="77777777" w:rsidR="00016FE1" w:rsidRPr="003E3CF0" w:rsidRDefault="00016FE1" w:rsidP="002B6227">
      <w:pPr>
        <w:ind w:left="567" w:hanging="567"/>
        <w:jc w:val="both"/>
        <w:rPr>
          <w:rFonts w:ascii="Gotham" w:hAnsi="Gotham" w:cs="Arial"/>
          <w:sz w:val="20"/>
          <w:szCs w:val="20"/>
        </w:rPr>
      </w:pPr>
      <w:r w:rsidRPr="003E3CF0">
        <w:rPr>
          <w:rFonts w:ascii="Gotham" w:hAnsi="Gotham" w:cs="Arial"/>
          <w:sz w:val="20"/>
          <w:szCs w:val="20"/>
        </w:rPr>
        <w:t xml:space="preserve">III. </w:t>
      </w:r>
      <w:r>
        <w:rPr>
          <w:rFonts w:ascii="Gotham" w:hAnsi="Gotham" w:cs="Arial"/>
          <w:sz w:val="20"/>
          <w:szCs w:val="20"/>
        </w:rPr>
        <w:tab/>
      </w:r>
      <w:r w:rsidRPr="003E3CF0">
        <w:rPr>
          <w:rFonts w:ascii="Gotham" w:hAnsi="Gotham" w:cs="Arial"/>
          <w:sz w:val="20"/>
          <w:szCs w:val="20"/>
        </w:rPr>
        <w:t>Se revisó la competencia y concurrencia entre la legislación Federal y Estatal, encontrando lo siguientes avances en prevenir la discriminación.</w:t>
      </w:r>
    </w:p>
    <w:p w14:paraId="3A4742E9" w14:textId="77777777" w:rsidR="00016FE1" w:rsidRPr="003E3CF0" w:rsidRDefault="00016FE1" w:rsidP="002B6227">
      <w:pPr>
        <w:ind w:left="567" w:hanging="567"/>
        <w:jc w:val="both"/>
        <w:rPr>
          <w:rFonts w:ascii="Gotham" w:hAnsi="Gotham" w:cs="Arial"/>
          <w:sz w:val="20"/>
          <w:szCs w:val="20"/>
        </w:rPr>
      </w:pPr>
    </w:p>
    <w:tbl>
      <w:tblPr>
        <w:tblStyle w:val="Sombreadoclaro"/>
        <w:tblW w:w="5000" w:type="pct"/>
        <w:tblLook w:val="04A0" w:firstRow="1" w:lastRow="0" w:firstColumn="1" w:lastColumn="0" w:noHBand="0" w:noVBand="1"/>
      </w:tblPr>
      <w:tblGrid>
        <w:gridCol w:w="1817"/>
        <w:gridCol w:w="6336"/>
        <w:gridCol w:w="1819"/>
      </w:tblGrid>
      <w:tr w:rsidR="00016FE1" w:rsidRPr="003E3CF0" w14:paraId="3A4742ED" w14:textId="77777777" w:rsidTr="00AD5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pct"/>
            <w:vAlign w:val="center"/>
            <w:hideMark/>
          </w:tcPr>
          <w:p w14:paraId="3A4742EA" w14:textId="77777777" w:rsidR="00016FE1" w:rsidRPr="003E3CF0" w:rsidRDefault="00016FE1" w:rsidP="002B6227">
            <w:pPr>
              <w:spacing w:before="120" w:after="120"/>
              <w:jc w:val="center"/>
              <w:rPr>
                <w:rFonts w:ascii="Gotham" w:hAnsi="Gotham" w:cs="Arial"/>
                <w:sz w:val="19"/>
                <w:szCs w:val="19"/>
              </w:rPr>
            </w:pPr>
            <w:r w:rsidRPr="003E3CF0">
              <w:rPr>
                <w:rFonts w:ascii="Gotham" w:hAnsi="Gotham" w:cs="Arial"/>
                <w:sz w:val="19"/>
                <w:szCs w:val="19"/>
              </w:rPr>
              <w:t>LEGISLACIÓN</w:t>
            </w:r>
          </w:p>
        </w:tc>
        <w:tc>
          <w:tcPr>
            <w:tcW w:w="3177" w:type="pct"/>
            <w:vAlign w:val="center"/>
            <w:hideMark/>
          </w:tcPr>
          <w:p w14:paraId="3A4742EB" w14:textId="77777777" w:rsidR="00016FE1" w:rsidRPr="003E3CF0" w:rsidRDefault="00016FE1" w:rsidP="002B6227">
            <w:pPr>
              <w:spacing w:before="120" w:after="120"/>
              <w:jc w:val="center"/>
              <w:cnfStyle w:val="100000000000" w:firstRow="1" w:lastRow="0" w:firstColumn="0" w:lastColumn="0" w:oddVBand="0" w:evenVBand="0" w:oddHBand="0" w:evenHBand="0" w:firstRowFirstColumn="0" w:firstRowLastColumn="0" w:lastRowFirstColumn="0" w:lastRowLastColumn="0"/>
              <w:rPr>
                <w:rFonts w:ascii="Gotham" w:hAnsi="Gotham" w:cs="Arial"/>
                <w:sz w:val="19"/>
                <w:szCs w:val="19"/>
              </w:rPr>
            </w:pPr>
            <w:r w:rsidRPr="003E3CF0">
              <w:rPr>
                <w:rFonts w:ascii="Gotham" w:hAnsi="Gotham" w:cs="Arial"/>
                <w:sz w:val="19"/>
                <w:szCs w:val="19"/>
              </w:rPr>
              <w:t>NOMBRE DE LA NORMA</w:t>
            </w:r>
          </w:p>
        </w:tc>
        <w:tc>
          <w:tcPr>
            <w:tcW w:w="912" w:type="pct"/>
            <w:vAlign w:val="center"/>
            <w:hideMark/>
          </w:tcPr>
          <w:p w14:paraId="3A4742EC" w14:textId="77777777" w:rsidR="00016FE1" w:rsidRPr="003E3CF0" w:rsidRDefault="00016FE1" w:rsidP="002B6227">
            <w:pPr>
              <w:spacing w:before="120" w:after="120"/>
              <w:jc w:val="center"/>
              <w:cnfStyle w:val="100000000000" w:firstRow="1" w:lastRow="0" w:firstColumn="0" w:lastColumn="0" w:oddVBand="0" w:evenVBand="0" w:oddHBand="0" w:evenHBand="0" w:firstRowFirstColumn="0" w:firstRowLastColumn="0" w:lastRowFirstColumn="0" w:lastRowLastColumn="0"/>
              <w:rPr>
                <w:rFonts w:ascii="Gotham" w:hAnsi="Gotham" w:cs="Arial"/>
                <w:sz w:val="19"/>
                <w:szCs w:val="19"/>
              </w:rPr>
            </w:pPr>
            <w:r w:rsidRPr="003E3CF0">
              <w:rPr>
                <w:rFonts w:ascii="Gotham" w:hAnsi="Gotham" w:cs="Arial"/>
                <w:sz w:val="19"/>
                <w:szCs w:val="19"/>
              </w:rPr>
              <w:t>Vigencia Reforma</w:t>
            </w:r>
          </w:p>
        </w:tc>
      </w:tr>
      <w:tr w:rsidR="00016FE1" w:rsidRPr="003E3CF0" w14:paraId="3A4742F4" w14:textId="77777777" w:rsidTr="00AD5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pct"/>
            <w:tcBorders>
              <w:top w:val="nil"/>
              <w:bottom w:val="nil"/>
            </w:tcBorders>
            <w:vAlign w:val="center"/>
            <w:hideMark/>
          </w:tcPr>
          <w:p w14:paraId="3A4742EE" w14:textId="77777777" w:rsidR="00016FE1" w:rsidRPr="003E3CF0" w:rsidRDefault="00016FE1" w:rsidP="002B6227">
            <w:pPr>
              <w:spacing w:before="120" w:after="120"/>
              <w:jc w:val="center"/>
              <w:rPr>
                <w:rFonts w:ascii="Gotham" w:hAnsi="Gotham" w:cs="Arial"/>
                <w:sz w:val="19"/>
                <w:szCs w:val="19"/>
              </w:rPr>
            </w:pPr>
            <w:r w:rsidRPr="003E3CF0">
              <w:rPr>
                <w:rFonts w:ascii="Gotham" w:hAnsi="Gotham" w:cs="Arial"/>
                <w:sz w:val="19"/>
                <w:szCs w:val="19"/>
              </w:rPr>
              <w:t>Federal</w:t>
            </w:r>
          </w:p>
        </w:tc>
        <w:tc>
          <w:tcPr>
            <w:tcW w:w="3177" w:type="pct"/>
            <w:tcBorders>
              <w:top w:val="nil"/>
              <w:bottom w:val="nil"/>
            </w:tcBorders>
            <w:vAlign w:val="center"/>
            <w:hideMark/>
          </w:tcPr>
          <w:p w14:paraId="3A4742EF" w14:textId="77777777" w:rsidR="00016FE1" w:rsidRPr="003E3CF0" w:rsidRDefault="00016FE1" w:rsidP="002B6227">
            <w:pPr>
              <w:spacing w:before="120" w:after="120"/>
              <w:jc w:val="both"/>
              <w:cnfStyle w:val="000000100000" w:firstRow="0" w:lastRow="0" w:firstColumn="0" w:lastColumn="0" w:oddVBand="0" w:evenVBand="0" w:oddHBand="1" w:evenHBand="0" w:firstRowFirstColumn="0" w:firstRowLastColumn="0" w:lastRowFirstColumn="0" w:lastRowLastColumn="0"/>
              <w:rPr>
                <w:rFonts w:ascii="Gotham" w:hAnsi="Gotham" w:cs="Arial"/>
                <w:sz w:val="19"/>
                <w:szCs w:val="19"/>
              </w:rPr>
            </w:pPr>
            <w:r w:rsidRPr="003E3CF0">
              <w:rPr>
                <w:rFonts w:ascii="Gotham" w:hAnsi="Gotham" w:cs="Arial"/>
                <w:sz w:val="19"/>
                <w:szCs w:val="19"/>
              </w:rPr>
              <w:t>LEY FEDERAL PARA PREVENIR Y ELIMINAR LA DISCRIMINACIÓN.</w:t>
            </w:r>
          </w:p>
          <w:p w14:paraId="3A4742F0" w14:textId="77777777" w:rsidR="00016FE1" w:rsidRPr="003E3CF0" w:rsidRDefault="00016FE1" w:rsidP="002B6227">
            <w:pPr>
              <w:spacing w:before="120" w:after="120"/>
              <w:jc w:val="both"/>
              <w:cnfStyle w:val="000000100000" w:firstRow="0" w:lastRow="0" w:firstColumn="0" w:lastColumn="0" w:oddVBand="0" w:evenVBand="0" w:oddHBand="1" w:evenHBand="0" w:firstRowFirstColumn="0" w:firstRowLastColumn="0" w:lastRowFirstColumn="0" w:lastRowLastColumn="0"/>
              <w:rPr>
                <w:rFonts w:ascii="Gotham" w:hAnsi="Gotham" w:cs="Arial"/>
                <w:sz w:val="19"/>
                <w:szCs w:val="19"/>
              </w:rPr>
            </w:pPr>
            <w:r w:rsidRPr="003E3CF0">
              <w:rPr>
                <w:rFonts w:ascii="Gotham" w:hAnsi="Gotham" w:cs="Arial"/>
                <w:sz w:val="19"/>
                <w:szCs w:val="19"/>
              </w:rPr>
              <w:t xml:space="preserve">Reforma </w:t>
            </w:r>
          </w:p>
          <w:p w14:paraId="3A4742F1" w14:textId="77777777" w:rsidR="00016FE1" w:rsidRPr="003E3CF0" w:rsidRDefault="00016FE1" w:rsidP="002B6227">
            <w:pPr>
              <w:spacing w:before="120" w:after="120"/>
              <w:jc w:val="both"/>
              <w:cnfStyle w:val="000000100000" w:firstRow="0" w:lastRow="0" w:firstColumn="0" w:lastColumn="0" w:oddVBand="0" w:evenVBand="0" w:oddHBand="1" w:evenHBand="0" w:firstRowFirstColumn="0" w:firstRowLastColumn="0" w:lastRowFirstColumn="0" w:lastRowLastColumn="0"/>
              <w:rPr>
                <w:rFonts w:ascii="Gotham" w:hAnsi="Gotham" w:cs="Arial"/>
                <w:sz w:val="19"/>
                <w:szCs w:val="19"/>
              </w:rPr>
            </w:pPr>
            <w:r w:rsidRPr="003E3CF0">
              <w:rPr>
                <w:rFonts w:ascii="Gotham" w:hAnsi="Gotham" w:cs="Arial"/>
                <w:sz w:val="19"/>
                <w:szCs w:val="19"/>
              </w:rPr>
              <w:t xml:space="preserve">Artículo 2.- Corresponde al Estado promover las condiciones para que la libertad y la igualdad de las personas sean reales y efectivas. Los poderes públicos federales deberán </w:t>
            </w:r>
            <w:r w:rsidRPr="003E3CF0">
              <w:rPr>
                <w:rFonts w:ascii="Gotham" w:hAnsi="Gotham" w:cs="Arial"/>
                <w:b/>
                <w:sz w:val="19"/>
                <w:szCs w:val="19"/>
              </w:rPr>
              <w:t>eliminar todos aquellos obstáculos que limiten en los hechos su ejercicio e impidan el pleno desarrollo de las personas,</w:t>
            </w:r>
            <w:r w:rsidRPr="003E3CF0">
              <w:rPr>
                <w:rFonts w:ascii="Gotham" w:hAnsi="Gotham" w:cs="Arial"/>
                <w:sz w:val="19"/>
                <w:szCs w:val="19"/>
              </w:rPr>
              <w:t xml:space="preserve"> así como su efectiva participación en la vida política, económica, cultural y social del país y promoverán, garantizarán e impulsarán la participación de </w:t>
            </w:r>
            <w:r w:rsidRPr="003E3CF0">
              <w:rPr>
                <w:rFonts w:ascii="Gotham" w:hAnsi="Gotham" w:cs="Arial"/>
                <w:sz w:val="19"/>
                <w:szCs w:val="19"/>
              </w:rPr>
              <w:lastRenderedPageBreak/>
              <w:t>las autoridades de los demás órdenes de Gobierno y de las personas particulares en la eliminación de dichos obstáculos.</w:t>
            </w:r>
          </w:p>
        </w:tc>
        <w:tc>
          <w:tcPr>
            <w:tcW w:w="912" w:type="pct"/>
            <w:tcBorders>
              <w:top w:val="nil"/>
              <w:bottom w:val="nil"/>
            </w:tcBorders>
            <w:vAlign w:val="center"/>
            <w:hideMark/>
          </w:tcPr>
          <w:p w14:paraId="3A4742F2" w14:textId="77777777" w:rsidR="00016FE1" w:rsidRPr="003E3CF0" w:rsidRDefault="00016FE1" w:rsidP="002B6227">
            <w:pPr>
              <w:spacing w:before="120" w:after="120"/>
              <w:jc w:val="center"/>
              <w:cnfStyle w:val="000000100000" w:firstRow="0" w:lastRow="0" w:firstColumn="0" w:lastColumn="0" w:oddVBand="0" w:evenVBand="0" w:oddHBand="1" w:evenHBand="0" w:firstRowFirstColumn="0" w:firstRowLastColumn="0" w:lastRowFirstColumn="0" w:lastRowLastColumn="0"/>
              <w:rPr>
                <w:rFonts w:ascii="Gotham" w:hAnsi="Gotham" w:cs="Arial"/>
                <w:sz w:val="19"/>
                <w:szCs w:val="19"/>
              </w:rPr>
            </w:pPr>
            <w:r w:rsidRPr="003E3CF0">
              <w:rPr>
                <w:rFonts w:ascii="Gotham" w:hAnsi="Gotham" w:cs="Arial"/>
                <w:sz w:val="19"/>
                <w:szCs w:val="19"/>
              </w:rPr>
              <w:lastRenderedPageBreak/>
              <w:t>Vigencia: 11- jun-03.</w:t>
            </w:r>
          </w:p>
          <w:p w14:paraId="3A4742F3" w14:textId="77777777" w:rsidR="00016FE1" w:rsidRPr="003E3CF0" w:rsidRDefault="00016FE1" w:rsidP="002B6227">
            <w:pPr>
              <w:spacing w:before="120" w:after="120"/>
              <w:jc w:val="center"/>
              <w:cnfStyle w:val="000000100000" w:firstRow="0" w:lastRow="0" w:firstColumn="0" w:lastColumn="0" w:oddVBand="0" w:evenVBand="0" w:oddHBand="1" w:evenHBand="0" w:firstRowFirstColumn="0" w:firstRowLastColumn="0" w:lastRowFirstColumn="0" w:lastRowLastColumn="0"/>
              <w:rPr>
                <w:rFonts w:ascii="Gotham" w:hAnsi="Gotham" w:cs="Arial"/>
                <w:sz w:val="19"/>
                <w:szCs w:val="19"/>
              </w:rPr>
            </w:pPr>
            <w:r w:rsidRPr="003E3CF0">
              <w:rPr>
                <w:rFonts w:ascii="Gotham" w:hAnsi="Gotham" w:cs="Arial"/>
                <w:sz w:val="19"/>
                <w:szCs w:val="19"/>
              </w:rPr>
              <w:t>Reforma 19-Ene-2023</w:t>
            </w:r>
          </w:p>
        </w:tc>
      </w:tr>
      <w:tr w:rsidR="00016FE1" w:rsidRPr="003E3CF0" w14:paraId="3A4742FA" w14:textId="77777777" w:rsidTr="00AD51C5">
        <w:tc>
          <w:tcPr>
            <w:cnfStyle w:val="001000000000" w:firstRow="0" w:lastRow="0" w:firstColumn="1" w:lastColumn="0" w:oddVBand="0" w:evenVBand="0" w:oddHBand="0" w:evenHBand="0" w:firstRowFirstColumn="0" w:firstRowLastColumn="0" w:lastRowFirstColumn="0" w:lastRowLastColumn="0"/>
            <w:tcW w:w="911" w:type="pct"/>
            <w:tcBorders>
              <w:top w:val="nil"/>
              <w:left w:val="nil"/>
              <w:bottom w:val="single" w:sz="8" w:space="0" w:color="000000" w:themeColor="text1"/>
              <w:right w:val="nil"/>
            </w:tcBorders>
            <w:vAlign w:val="center"/>
            <w:hideMark/>
          </w:tcPr>
          <w:p w14:paraId="3A4742F5" w14:textId="77777777" w:rsidR="00016FE1" w:rsidRPr="003E3CF0" w:rsidRDefault="00016FE1" w:rsidP="002B6227">
            <w:pPr>
              <w:spacing w:before="120" w:after="120"/>
              <w:jc w:val="center"/>
              <w:rPr>
                <w:rFonts w:ascii="Gotham" w:hAnsi="Gotham" w:cs="Arial"/>
                <w:sz w:val="19"/>
                <w:szCs w:val="19"/>
              </w:rPr>
            </w:pPr>
            <w:r w:rsidRPr="003E3CF0">
              <w:rPr>
                <w:rFonts w:ascii="Gotham" w:hAnsi="Gotham" w:cs="Arial"/>
                <w:sz w:val="19"/>
                <w:szCs w:val="19"/>
              </w:rPr>
              <w:lastRenderedPageBreak/>
              <w:t>Estatal</w:t>
            </w:r>
          </w:p>
        </w:tc>
        <w:tc>
          <w:tcPr>
            <w:tcW w:w="3177" w:type="pct"/>
            <w:tcBorders>
              <w:top w:val="nil"/>
              <w:left w:val="nil"/>
              <w:bottom w:val="single" w:sz="8" w:space="0" w:color="000000" w:themeColor="text1"/>
              <w:right w:val="nil"/>
            </w:tcBorders>
            <w:vAlign w:val="center"/>
            <w:hideMark/>
          </w:tcPr>
          <w:p w14:paraId="3A4742F6" w14:textId="77777777" w:rsidR="00016FE1" w:rsidRPr="003E3CF0" w:rsidRDefault="00016FE1" w:rsidP="002B6227">
            <w:pPr>
              <w:spacing w:before="120" w:after="120"/>
              <w:jc w:val="both"/>
              <w:cnfStyle w:val="000000000000" w:firstRow="0" w:lastRow="0" w:firstColumn="0" w:lastColumn="0" w:oddVBand="0" w:evenVBand="0" w:oddHBand="0" w:evenHBand="0" w:firstRowFirstColumn="0" w:firstRowLastColumn="0" w:lastRowFirstColumn="0" w:lastRowLastColumn="0"/>
              <w:rPr>
                <w:rFonts w:ascii="Gotham" w:hAnsi="Gotham" w:cs="Arial"/>
                <w:sz w:val="19"/>
                <w:szCs w:val="19"/>
              </w:rPr>
            </w:pPr>
            <w:r w:rsidRPr="003E3CF0">
              <w:rPr>
                <w:rFonts w:ascii="Gotham" w:hAnsi="Gotham" w:cs="Arial"/>
                <w:sz w:val="19"/>
                <w:szCs w:val="19"/>
              </w:rPr>
              <w:t>LEY ESTATAL PARA PROMOVER LA IGUALDAD, PREVENIR Y ELIMINAR LA DISCRIMINACIÓN EN EL ESTADO DE JALISCO</w:t>
            </w:r>
          </w:p>
          <w:p w14:paraId="3A4742F7" w14:textId="77777777" w:rsidR="00016FE1" w:rsidRPr="003E3CF0" w:rsidRDefault="00016FE1" w:rsidP="002B6227">
            <w:pPr>
              <w:spacing w:before="120" w:after="120"/>
              <w:jc w:val="both"/>
              <w:cnfStyle w:val="000000000000" w:firstRow="0" w:lastRow="0" w:firstColumn="0" w:lastColumn="0" w:oddVBand="0" w:evenVBand="0" w:oddHBand="0" w:evenHBand="0" w:firstRowFirstColumn="0" w:firstRowLastColumn="0" w:lastRowFirstColumn="0" w:lastRowLastColumn="0"/>
              <w:rPr>
                <w:rFonts w:ascii="Gotham" w:hAnsi="Gotham" w:cs="Arial"/>
                <w:sz w:val="19"/>
                <w:szCs w:val="19"/>
              </w:rPr>
            </w:pPr>
            <w:r w:rsidRPr="003E3CF0">
              <w:rPr>
                <w:rFonts w:ascii="Gotham" w:hAnsi="Gotham" w:cs="Arial"/>
                <w:sz w:val="19"/>
                <w:szCs w:val="19"/>
              </w:rPr>
              <w:t>Reforma: Artículo 31 Bis. Las medidas a favor de la inclusión y de la igualdad de trato y oportunidades para las personas con enfermedades crónicas y degenerativas, de manera enunciativa son las siguientes:</w:t>
            </w:r>
          </w:p>
        </w:tc>
        <w:tc>
          <w:tcPr>
            <w:tcW w:w="912" w:type="pct"/>
            <w:tcBorders>
              <w:top w:val="nil"/>
              <w:left w:val="nil"/>
              <w:bottom w:val="single" w:sz="8" w:space="0" w:color="000000" w:themeColor="text1"/>
              <w:right w:val="nil"/>
            </w:tcBorders>
            <w:vAlign w:val="center"/>
            <w:hideMark/>
          </w:tcPr>
          <w:p w14:paraId="3A4742F8" w14:textId="77777777" w:rsidR="00016FE1" w:rsidRPr="003E3CF0" w:rsidRDefault="00016FE1" w:rsidP="002B6227">
            <w:pPr>
              <w:spacing w:before="120" w:after="120"/>
              <w:jc w:val="center"/>
              <w:cnfStyle w:val="000000000000" w:firstRow="0" w:lastRow="0" w:firstColumn="0" w:lastColumn="0" w:oddVBand="0" w:evenVBand="0" w:oddHBand="0" w:evenHBand="0" w:firstRowFirstColumn="0" w:firstRowLastColumn="0" w:lastRowFirstColumn="0" w:lastRowLastColumn="0"/>
              <w:rPr>
                <w:rFonts w:ascii="Gotham" w:hAnsi="Gotham" w:cs="Arial"/>
                <w:sz w:val="19"/>
                <w:szCs w:val="19"/>
              </w:rPr>
            </w:pPr>
            <w:r w:rsidRPr="003E3CF0">
              <w:rPr>
                <w:rFonts w:ascii="Gotham" w:hAnsi="Gotham" w:cs="Arial"/>
                <w:sz w:val="19"/>
                <w:szCs w:val="19"/>
              </w:rPr>
              <w:t>Vigencia: 17-dic-2015.</w:t>
            </w:r>
          </w:p>
          <w:p w14:paraId="3A4742F9" w14:textId="77777777" w:rsidR="00016FE1" w:rsidRPr="003E3CF0" w:rsidRDefault="00016FE1" w:rsidP="002B6227">
            <w:pPr>
              <w:spacing w:before="120" w:after="120"/>
              <w:jc w:val="center"/>
              <w:cnfStyle w:val="000000000000" w:firstRow="0" w:lastRow="0" w:firstColumn="0" w:lastColumn="0" w:oddVBand="0" w:evenVBand="0" w:oddHBand="0" w:evenHBand="0" w:firstRowFirstColumn="0" w:firstRowLastColumn="0" w:lastRowFirstColumn="0" w:lastRowLastColumn="0"/>
              <w:rPr>
                <w:rFonts w:ascii="Gotham" w:hAnsi="Gotham" w:cs="Arial"/>
                <w:sz w:val="19"/>
                <w:szCs w:val="19"/>
              </w:rPr>
            </w:pPr>
            <w:r w:rsidRPr="003E3CF0">
              <w:rPr>
                <w:rFonts w:ascii="Gotham" w:hAnsi="Gotham" w:cs="Arial"/>
                <w:sz w:val="19"/>
                <w:szCs w:val="19"/>
              </w:rPr>
              <w:t>Reforma: 26-oct-23</w:t>
            </w:r>
          </w:p>
        </w:tc>
      </w:tr>
    </w:tbl>
    <w:p w14:paraId="3A4742FB" w14:textId="77777777" w:rsidR="00016FE1" w:rsidRPr="003E3CF0" w:rsidRDefault="00016FE1" w:rsidP="002B6227">
      <w:pPr>
        <w:ind w:left="567"/>
        <w:jc w:val="both"/>
        <w:rPr>
          <w:rFonts w:ascii="Gotham" w:hAnsi="Gotham" w:cs="Arial"/>
          <w:sz w:val="20"/>
          <w:szCs w:val="20"/>
        </w:rPr>
      </w:pPr>
    </w:p>
    <w:p w14:paraId="3A4742FC" w14:textId="77777777" w:rsidR="00016FE1" w:rsidRPr="003E3CF0" w:rsidRDefault="00016FE1" w:rsidP="002B6227">
      <w:pPr>
        <w:ind w:left="567"/>
        <w:jc w:val="both"/>
        <w:rPr>
          <w:rFonts w:ascii="Gotham" w:hAnsi="Gotham" w:cs="Arial"/>
          <w:sz w:val="20"/>
          <w:szCs w:val="20"/>
        </w:rPr>
      </w:pPr>
      <w:r w:rsidRPr="003E3CF0">
        <w:rPr>
          <w:rFonts w:ascii="Gotham" w:hAnsi="Gotham" w:cs="Arial"/>
          <w:sz w:val="20"/>
          <w:szCs w:val="20"/>
        </w:rPr>
        <w:t>UNA VEZ ANALIZADO LA LEGISLACIÓN SE ENCONTRO LO SIGUIENTE:</w:t>
      </w:r>
    </w:p>
    <w:p w14:paraId="3A4742FD" w14:textId="77777777" w:rsidR="00016FE1" w:rsidRPr="003E3CF0" w:rsidRDefault="00016FE1" w:rsidP="002B6227">
      <w:pPr>
        <w:ind w:left="567"/>
        <w:jc w:val="both"/>
        <w:rPr>
          <w:rFonts w:ascii="Gotham" w:hAnsi="Gotham" w:cs="Arial"/>
          <w:sz w:val="20"/>
          <w:szCs w:val="20"/>
        </w:rPr>
      </w:pPr>
    </w:p>
    <w:p w14:paraId="3A4742FE" w14:textId="77777777" w:rsidR="00016FE1" w:rsidRPr="003E3CF0" w:rsidRDefault="00016FE1" w:rsidP="002B6227">
      <w:pPr>
        <w:ind w:left="851" w:hanging="284"/>
        <w:jc w:val="both"/>
        <w:rPr>
          <w:rFonts w:ascii="Gotham" w:hAnsi="Gotham" w:cs="Arial"/>
          <w:sz w:val="20"/>
          <w:szCs w:val="20"/>
        </w:rPr>
      </w:pPr>
      <w:r w:rsidRPr="003E3CF0">
        <w:rPr>
          <w:rFonts w:ascii="Gotham" w:hAnsi="Gotham" w:cs="Arial"/>
          <w:sz w:val="20"/>
          <w:szCs w:val="20"/>
        </w:rPr>
        <w:t xml:space="preserve">- </w:t>
      </w:r>
      <w:r>
        <w:rPr>
          <w:rFonts w:ascii="Gotham" w:hAnsi="Gotham" w:cs="Arial"/>
          <w:sz w:val="20"/>
          <w:szCs w:val="20"/>
        </w:rPr>
        <w:tab/>
      </w:r>
      <w:r w:rsidRPr="003E3CF0">
        <w:rPr>
          <w:rFonts w:ascii="Gotham" w:hAnsi="Gotham" w:cs="Arial"/>
          <w:sz w:val="20"/>
          <w:szCs w:val="20"/>
        </w:rPr>
        <w:t>No existe una norma con los alcances legales señalados en le iniciativa presentada en ser reconocidos los derechos de las personas por parte de las atribuciones de los municipio.</w:t>
      </w:r>
    </w:p>
    <w:p w14:paraId="3A4742FF" w14:textId="77777777" w:rsidR="00016FE1" w:rsidRPr="003E3CF0" w:rsidRDefault="00016FE1" w:rsidP="002B6227">
      <w:pPr>
        <w:ind w:left="851" w:hanging="284"/>
        <w:jc w:val="both"/>
        <w:rPr>
          <w:rFonts w:ascii="Gotham" w:hAnsi="Gotham" w:cs="Arial"/>
          <w:sz w:val="20"/>
          <w:szCs w:val="20"/>
        </w:rPr>
      </w:pPr>
    </w:p>
    <w:p w14:paraId="3A474300" w14:textId="77777777" w:rsidR="00016FE1" w:rsidRPr="003E3CF0" w:rsidRDefault="00016FE1" w:rsidP="002B6227">
      <w:pPr>
        <w:ind w:left="851" w:hanging="284"/>
        <w:jc w:val="both"/>
        <w:rPr>
          <w:rFonts w:ascii="Gotham" w:hAnsi="Gotham" w:cs="Arial"/>
          <w:sz w:val="20"/>
          <w:szCs w:val="20"/>
        </w:rPr>
      </w:pPr>
      <w:r w:rsidRPr="003E3CF0">
        <w:rPr>
          <w:rFonts w:ascii="Gotham" w:hAnsi="Gotham" w:cs="Arial"/>
          <w:sz w:val="20"/>
          <w:szCs w:val="20"/>
        </w:rPr>
        <w:t xml:space="preserve">- </w:t>
      </w:r>
      <w:r>
        <w:rPr>
          <w:rFonts w:ascii="Gotham" w:hAnsi="Gotham" w:cs="Arial"/>
          <w:sz w:val="20"/>
          <w:szCs w:val="20"/>
        </w:rPr>
        <w:tab/>
      </w:r>
      <w:r w:rsidRPr="003E3CF0">
        <w:rPr>
          <w:rFonts w:ascii="Gotham" w:hAnsi="Gotham" w:cs="Arial"/>
          <w:sz w:val="20"/>
          <w:szCs w:val="20"/>
        </w:rPr>
        <w:t>La competencia solo se tiene en la Constitución Política de lo Estados unidos Mexicanos art. 1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A474301" w14:textId="77777777" w:rsidR="00016FE1" w:rsidRPr="003E3CF0" w:rsidRDefault="00016FE1" w:rsidP="002B6227">
      <w:pPr>
        <w:ind w:left="851" w:hanging="284"/>
        <w:jc w:val="both"/>
        <w:rPr>
          <w:rFonts w:ascii="Gotham" w:hAnsi="Gotham" w:cs="Arial"/>
          <w:sz w:val="20"/>
          <w:szCs w:val="20"/>
        </w:rPr>
      </w:pPr>
    </w:p>
    <w:p w14:paraId="3A474302" w14:textId="77777777" w:rsidR="00016FE1" w:rsidRPr="003E3CF0" w:rsidRDefault="00016FE1" w:rsidP="002B6227">
      <w:pPr>
        <w:ind w:left="851" w:hanging="284"/>
        <w:jc w:val="both"/>
        <w:rPr>
          <w:rFonts w:ascii="Gotham" w:hAnsi="Gotham" w:cs="Arial"/>
          <w:sz w:val="20"/>
          <w:szCs w:val="20"/>
        </w:rPr>
      </w:pPr>
      <w:r w:rsidRPr="003E3CF0">
        <w:rPr>
          <w:rFonts w:ascii="Gotham" w:hAnsi="Gotham" w:cs="Arial"/>
          <w:sz w:val="20"/>
          <w:szCs w:val="20"/>
        </w:rPr>
        <w:t xml:space="preserve">- </w:t>
      </w:r>
      <w:r>
        <w:rPr>
          <w:rFonts w:ascii="Gotham" w:hAnsi="Gotham" w:cs="Arial"/>
          <w:sz w:val="20"/>
          <w:szCs w:val="20"/>
        </w:rPr>
        <w:tab/>
      </w:r>
      <w:r w:rsidRPr="003E3CF0">
        <w:rPr>
          <w:rFonts w:ascii="Gotham" w:hAnsi="Gotham" w:cs="Arial"/>
          <w:sz w:val="20"/>
          <w:szCs w:val="20"/>
        </w:rPr>
        <w:t>Análisis de los municipios del Estado de Jalisco solo se encontró un proyecto en el municipio de Guadalajara hasta agosto de 2023.</w:t>
      </w:r>
    </w:p>
    <w:p w14:paraId="3A474303" w14:textId="77777777" w:rsidR="00016FE1" w:rsidRPr="003E3CF0" w:rsidRDefault="00016FE1" w:rsidP="002B6227">
      <w:pPr>
        <w:ind w:left="567" w:hanging="567"/>
        <w:jc w:val="both"/>
        <w:rPr>
          <w:rFonts w:ascii="Gotham" w:hAnsi="Gotham" w:cs="Arial"/>
          <w:sz w:val="20"/>
          <w:szCs w:val="20"/>
        </w:rPr>
      </w:pPr>
    </w:p>
    <w:p w14:paraId="3A474304" w14:textId="77777777" w:rsidR="00016FE1" w:rsidRPr="003E3CF0" w:rsidRDefault="00016FE1" w:rsidP="002B6227">
      <w:pPr>
        <w:ind w:left="567" w:hanging="567"/>
        <w:jc w:val="both"/>
        <w:rPr>
          <w:rFonts w:ascii="Gotham" w:hAnsi="Gotham" w:cs="Arial"/>
          <w:sz w:val="20"/>
          <w:szCs w:val="20"/>
        </w:rPr>
      </w:pPr>
      <w:r w:rsidRPr="003E3CF0">
        <w:rPr>
          <w:rFonts w:ascii="Gotham" w:hAnsi="Gotham" w:cs="Arial"/>
          <w:sz w:val="20"/>
          <w:szCs w:val="20"/>
        </w:rPr>
        <w:t xml:space="preserve">IV. </w:t>
      </w:r>
      <w:r>
        <w:rPr>
          <w:rFonts w:ascii="Gotham" w:hAnsi="Gotham" w:cs="Arial"/>
          <w:sz w:val="20"/>
          <w:szCs w:val="20"/>
        </w:rPr>
        <w:tab/>
      </w:r>
      <w:r w:rsidRPr="003E3CF0">
        <w:rPr>
          <w:rFonts w:ascii="Gotham" w:hAnsi="Gotham" w:cs="Arial"/>
          <w:sz w:val="20"/>
          <w:szCs w:val="20"/>
        </w:rPr>
        <w:t>En la sesión de fecha 22 de junio de 2023, a solicitud expresa de la regidora ponente de la iniciativa es que solicita de forma urgente las mesas de trabajo, debido a que el Organismo Público Descentralizado Instituto Municipal de La Mujer estaba llevando trabajos por su propia cuenta; el</w:t>
      </w:r>
      <w:r w:rsidR="00B76E88">
        <w:rPr>
          <w:rFonts w:ascii="Gotham" w:hAnsi="Gotham" w:cs="Arial"/>
          <w:sz w:val="20"/>
          <w:szCs w:val="20"/>
        </w:rPr>
        <w:t xml:space="preserve"> </w:t>
      </w:r>
      <w:r w:rsidRPr="003E3CF0">
        <w:rPr>
          <w:rFonts w:ascii="Gotham" w:hAnsi="Gotham" w:cs="Arial"/>
          <w:sz w:val="20"/>
          <w:szCs w:val="20"/>
        </w:rPr>
        <w:t>Presidente de la Comisión Sindico Nicolás Maestro Landeros instruyo en mi calidad de secretario técnico realizar mesas de trabajo.</w:t>
      </w:r>
    </w:p>
    <w:p w14:paraId="3A474305" w14:textId="77777777" w:rsidR="00016FE1" w:rsidRDefault="00016FE1" w:rsidP="002B6227">
      <w:pPr>
        <w:ind w:left="567" w:hanging="567"/>
        <w:jc w:val="both"/>
        <w:rPr>
          <w:rFonts w:ascii="Gotham" w:hAnsi="Gotham" w:cs="Arial"/>
          <w:sz w:val="20"/>
          <w:szCs w:val="20"/>
        </w:rPr>
      </w:pPr>
    </w:p>
    <w:p w14:paraId="3A474306" w14:textId="77777777" w:rsidR="00016FE1" w:rsidRPr="003E3CF0" w:rsidRDefault="00016FE1" w:rsidP="002B6227">
      <w:pPr>
        <w:ind w:left="567" w:hanging="567"/>
        <w:jc w:val="both"/>
        <w:rPr>
          <w:rFonts w:ascii="Gotham" w:hAnsi="Gotham" w:cs="Arial"/>
          <w:sz w:val="20"/>
          <w:szCs w:val="20"/>
        </w:rPr>
      </w:pPr>
      <w:r w:rsidRPr="003E3CF0">
        <w:rPr>
          <w:rFonts w:ascii="Gotham" w:hAnsi="Gotham" w:cs="Arial"/>
          <w:sz w:val="20"/>
          <w:szCs w:val="20"/>
        </w:rPr>
        <w:t xml:space="preserve">V. </w:t>
      </w:r>
      <w:r>
        <w:rPr>
          <w:rFonts w:ascii="Gotham" w:hAnsi="Gotham" w:cs="Arial"/>
          <w:sz w:val="20"/>
          <w:szCs w:val="20"/>
        </w:rPr>
        <w:tab/>
      </w:r>
      <w:r w:rsidRPr="003E3CF0">
        <w:rPr>
          <w:rFonts w:ascii="Gotham" w:hAnsi="Gotham" w:cs="Arial"/>
          <w:sz w:val="20"/>
          <w:szCs w:val="20"/>
        </w:rPr>
        <w:t>Se solicitó el apoyo de las siguientes Opiniones técnicas</w:t>
      </w:r>
      <w:r w:rsidR="00B76E88">
        <w:rPr>
          <w:rFonts w:ascii="Gotham" w:hAnsi="Gotham" w:cs="Arial"/>
          <w:sz w:val="20"/>
          <w:szCs w:val="20"/>
        </w:rPr>
        <w:t xml:space="preserve"> </w:t>
      </w:r>
      <w:r w:rsidRPr="003E3CF0">
        <w:rPr>
          <w:rFonts w:ascii="Gotham" w:hAnsi="Gotham" w:cs="Arial"/>
          <w:sz w:val="20"/>
          <w:szCs w:val="20"/>
        </w:rPr>
        <w:t xml:space="preserve">Aunado al Estudio que se tenía con la iniciativa, en congruencia a lo aprobado en al acuerdo 525, el cual fue remitido mediante circular se solicitó en lo particular a las direcciones no pudiera remitir informe sobre las acciones realizadas para no violentar los derechos de las personas </w:t>
      </w:r>
    </w:p>
    <w:p w14:paraId="3A474307" w14:textId="77777777" w:rsidR="00016FE1" w:rsidRPr="003E3CF0" w:rsidRDefault="00016FE1" w:rsidP="002B6227">
      <w:pPr>
        <w:ind w:left="567" w:hanging="567"/>
        <w:jc w:val="both"/>
        <w:rPr>
          <w:rFonts w:ascii="Gotham" w:hAnsi="Gotham" w:cs="Arial"/>
          <w:sz w:val="20"/>
          <w:szCs w:val="20"/>
        </w:rPr>
      </w:pPr>
    </w:p>
    <w:tbl>
      <w:tblPr>
        <w:tblStyle w:val="Tablaconcuadrcula"/>
        <w:tblW w:w="5000" w:type="pct"/>
        <w:tblLook w:val="04A0" w:firstRow="1" w:lastRow="0" w:firstColumn="1" w:lastColumn="0" w:noHBand="0" w:noVBand="1"/>
      </w:tblPr>
      <w:tblGrid>
        <w:gridCol w:w="3320"/>
        <w:gridCol w:w="3321"/>
        <w:gridCol w:w="3321"/>
      </w:tblGrid>
      <w:tr w:rsidR="00016FE1" w:rsidRPr="0038611B" w14:paraId="3A47430B" w14:textId="77777777" w:rsidTr="00AD51C5">
        <w:trPr>
          <w:tblHeader/>
        </w:trPr>
        <w:tc>
          <w:tcPr>
            <w:tcW w:w="1666" w:type="pct"/>
            <w:tcBorders>
              <w:top w:val="single" w:sz="4" w:space="0" w:color="auto"/>
              <w:left w:val="single" w:sz="4" w:space="0" w:color="auto"/>
              <w:bottom w:val="single" w:sz="4" w:space="0" w:color="auto"/>
              <w:right w:val="single" w:sz="4" w:space="0" w:color="auto"/>
            </w:tcBorders>
            <w:hideMark/>
          </w:tcPr>
          <w:p w14:paraId="3A474308" w14:textId="77777777" w:rsidR="00016FE1" w:rsidRPr="0036092C" w:rsidRDefault="00016FE1" w:rsidP="002B6227">
            <w:pPr>
              <w:spacing w:before="120" w:after="120"/>
              <w:jc w:val="center"/>
              <w:rPr>
                <w:rFonts w:ascii="Gotham" w:eastAsiaTheme="minorHAnsi" w:hAnsi="Gotham" w:cs="Arial"/>
                <w:b/>
                <w:smallCaps/>
                <w:sz w:val="19"/>
                <w:szCs w:val="19"/>
                <w:lang w:val="es-MX" w:eastAsia="en-US"/>
              </w:rPr>
            </w:pPr>
            <w:r w:rsidRPr="0036092C">
              <w:rPr>
                <w:rFonts w:ascii="Gotham" w:hAnsi="Gotham" w:cs="Arial"/>
                <w:b/>
                <w:smallCaps/>
                <w:sz w:val="19"/>
                <w:szCs w:val="19"/>
              </w:rPr>
              <w:t>Dependencia</w:t>
            </w:r>
          </w:p>
        </w:tc>
        <w:tc>
          <w:tcPr>
            <w:tcW w:w="1667" w:type="pct"/>
            <w:tcBorders>
              <w:top w:val="single" w:sz="4" w:space="0" w:color="auto"/>
              <w:left w:val="single" w:sz="4" w:space="0" w:color="auto"/>
              <w:bottom w:val="single" w:sz="4" w:space="0" w:color="auto"/>
              <w:right w:val="single" w:sz="4" w:space="0" w:color="auto"/>
            </w:tcBorders>
            <w:hideMark/>
          </w:tcPr>
          <w:p w14:paraId="3A474309" w14:textId="77777777" w:rsidR="00016FE1" w:rsidRPr="0036092C" w:rsidRDefault="00016FE1" w:rsidP="002B6227">
            <w:pPr>
              <w:spacing w:before="120" w:after="120"/>
              <w:jc w:val="center"/>
              <w:rPr>
                <w:rFonts w:ascii="Gotham" w:hAnsi="Gotham" w:cs="Arial"/>
                <w:b/>
                <w:smallCaps/>
                <w:sz w:val="19"/>
                <w:szCs w:val="19"/>
              </w:rPr>
            </w:pPr>
            <w:r w:rsidRPr="0036092C">
              <w:rPr>
                <w:rFonts w:ascii="Gotham" w:hAnsi="Gotham" w:cs="Arial"/>
                <w:b/>
                <w:smallCaps/>
                <w:sz w:val="19"/>
                <w:szCs w:val="19"/>
              </w:rPr>
              <w:t>Oficio de Solicitud</w:t>
            </w:r>
          </w:p>
        </w:tc>
        <w:tc>
          <w:tcPr>
            <w:tcW w:w="1667" w:type="pct"/>
            <w:tcBorders>
              <w:top w:val="single" w:sz="4" w:space="0" w:color="auto"/>
              <w:left w:val="single" w:sz="4" w:space="0" w:color="auto"/>
              <w:bottom w:val="single" w:sz="4" w:space="0" w:color="auto"/>
              <w:right w:val="single" w:sz="4" w:space="0" w:color="auto"/>
            </w:tcBorders>
            <w:hideMark/>
          </w:tcPr>
          <w:p w14:paraId="3A47430A" w14:textId="77777777" w:rsidR="00016FE1" w:rsidRPr="0036092C" w:rsidRDefault="00016FE1" w:rsidP="002B6227">
            <w:pPr>
              <w:spacing w:before="120" w:after="120"/>
              <w:jc w:val="center"/>
              <w:rPr>
                <w:rFonts w:ascii="Gotham" w:hAnsi="Gotham" w:cs="Arial"/>
                <w:b/>
                <w:smallCaps/>
                <w:sz w:val="19"/>
                <w:szCs w:val="19"/>
              </w:rPr>
            </w:pPr>
            <w:r w:rsidRPr="0036092C">
              <w:rPr>
                <w:rFonts w:ascii="Gotham" w:hAnsi="Gotham" w:cs="Arial"/>
                <w:b/>
                <w:smallCaps/>
                <w:sz w:val="19"/>
                <w:szCs w:val="19"/>
              </w:rPr>
              <w:t>Oficio de Respuesta</w:t>
            </w:r>
          </w:p>
        </w:tc>
      </w:tr>
      <w:tr w:rsidR="00016FE1" w:rsidRPr="0038611B" w14:paraId="3A47431B" w14:textId="77777777" w:rsidTr="00AD51C5">
        <w:tc>
          <w:tcPr>
            <w:tcW w:w="1666" w:type="pct"/>
            <w:tcBorders>
              <w:top w:val="single" w:sz="4" w:space="0" w:color="auto"/>
              <w:left w:val="single" w:sz="4" w:space="0" w:color="auto"/>
              <w:bottom w:val="single" w:sz="4" w:space="0" w:color="auto"/>
              <w:right w:val="single" w:sz="4" w:space="0" w:color="auto"/>
            </w:tcBorders>
            <w:vAlign w:val="center"/>
          </w:tcPr>
          <w:p w14:paraId="3A47430C"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A las Direcciones Generales siguientes</w:t>
            </w:r>
          </w:p>
          <w:p w14:paraId="3A47430D"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Secretaria General;</w:t>
            </w:r>
          </w:p>
          <w:p w14:paraId="3A47430E"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Tesorería Municipal;</w:t>
            </w:r>
          </w:p>
          <w:p w14:paraId="3A47430F"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Servicios Públicos;</w:t>
            </w:r>
          </w:p>
          <w:p w14:paraId="3A474310"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Bienestar Social;</w:t>
            </w:r>
          </w:p>
          <w:p w14:paraId="3A474311"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Atracción de la Inversión;</w:t>
            </w:r>
          </w:p>
          <w:p w14:paraId="3A474312"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Administración y Desarrollo Humano;</w:t>
            </w:r>
          </w:p>
          <w:p w14:paraId="3A474313"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lastRenderedPageBreak/>
              <w:t>Planeación y desarrollo Urbano Sustentable ;</w:t>
            </w:r>
          </w:p>
          <w:p w14:paraId="3A474314"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Obras Públicas.</w:t>
            </w:r>
          </w:p>
        </w:tc>
        <w:tc>
          <w:tcPr>
            <w:tcW w:w="1667" w:type="pct"/>
            <w:tcBorders>
              <w:top w:val="single" w:sz="4" w:space="0" w:color="auto"/>
              <w:left w:val="single" w:sz="4" w:space="0" w:color="auto"/>
              <w:bottom w:val="single" w:sz="4" w:space="0" w:color="auto"/>
              <w:right w:val="single" w:sz="4" w:space="0" w:color="auto"/>
            </w:tcBorders>
            <w:vAlign w:val="center"/>
          </w:tcPr>
          <w:p w14:paraId="3A474315"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lastRenderedPageBreak/>
              <w:t>COM/RPCAPL/233/2023</w:t>
            </w:r>
          </w:p>
          <w:p w14:paraId="3A474316"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Entreg</w:t>
            </w:r>
            <w:r>
              <w:rPr>
                <w:rFonts w:ascii="Gotham" w:hAnsi="Gotham" w:cs="Arial"/>
                <w:sz w:val="19"/>
                <w:szCs w:val="19"/>
              </w:rPr>
              <w:t>ado el 28 y 29 de junio de 2023</w:t>
            </w:r>
          </w:p>
        </w:tc>
        <w:tc>
          <w:tcPr>
            <w:tcW w:w="1667" w:type="pct"/>
            <w:tcBorders>
              <w:top w:val="single" w:sz="4" w:space="0" w:color="auto"/>
              <w:left w:val="single" w:sz="4" w:space="0" w:color="auto"/>
              <w:bottom w:val="single" w:sz="4" w:space="0" w:color="auto"/>
              <w:right w:val="single" w:sz="4" w:space="0" w:color="auto"/>
            </w:tcBorders>
            <w:vAlign w:val="center"/>
          </w:tcPr>
          <w:p w14:paraId="3A474317"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Dirección General de Bienestar Social mediante el oficio DGBS/831/2023.</w:t>
            </w:r>
          </w:p>
          <w:p w14:paraId="3A474318"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Remitió su i</w:t>
            </w:r>
            <w:r>
              <w:rPr>
                <w:rFonts w:ascii="Gotham" w:hAnsi="Gotham" w:cs="Arial"/>
                <w:sz w:val="19"/>
                <w:szCs w:val="19"/>
              </w:rPr>
              <w:t>nforme.</w:t>
            </w:r>
          </w:p>
          <w:p w14:paraId="3A474319"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Dirección General de Atracción</w:t>
            </w:r>
            <w:r w:rsidR="00B76E88">
              <w:rPr>
                <w:rFonts w:ascii="Gotham" w:hAnsi="Gotham" w:cs="Arial"/>
                <w:sz w:val="19"/>
                <w:szCs w:val="19"/>
              </w:rPr>
              <w:t xml:space="preserve"> </w:t>
            </w:r>
            <w:r w:rsidRPr="0038611B">
              <w:rPr>
                <w:rFonts w:ascii="Gotham" w:hAnsi="Gotham" w:cs="Arial"/>
                <w:sz w:val="19"/>
                <w:szCs w:val="19"/>
              </w:rPr>
              <w:t>a la Inversión. Mediante el</w:t>
            </w:r>
            <w:r w:rsidR="00B76E88">
              <w:rPr>
                <w:rFonts w:ascii="Gotham" w:hAnsi="Gotham" w:cs="Arial"/>
                <w:sz w:val="19"/>
                <w:szCs w:val="19"/>
              </w:rPr>
              <w:t xml:space="preserve"> </w:t>
            </w:r>
            <w:r w:rsidRPr="0038611B">
              <w:rPr>
                <w:rFonts w:ascii="Gotham" w:hAnsi="Gotham" w:cs="Arial"/>
                <w:sz w:val="19"/>
                <w:szCs w:val="19"/>
              </w:rPr>
              <w:t>GDADI/0931/2023.</w:t>
            </w:r>
          </w:p>
          <w:p w14:paraId="3A47431A"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Informa que no existen acciones específicas menciona que no existen distinciones dentro del personal.</w:t>
            </w:r>
          </w:p>
        </w:tc>
      </w:tr>
      <w:tr w:rsidR="00016FE1" w:rsidRPr="0038611B" w14:paraId="3A474326" w14:textId="77777777" w:rsidTr="00AD51C5">
        <w:tc>
          <w:tcPr>
            <w:tcW w:w="1666" w:type="pct"/>
            <w:tcBorders>
              <w:top w:val="single" w:sz="4" w:space="0" w:color="auto"/>
              <w:left w:val="single" w:sz="4" w:space="0" w:color="auto"/>
              <w:bottom w:val="single" w:sz="4" w:space="0" w:color="auto"/>
              <w:right w:val="single" w:sz="4" w:space="0" w:color="auto"/>
            </w:tcBorders>
            <w:vAlign w:val="center"/>
            <w:hideMark/>
          </w:tcPr>
          <w:p w14:paraId="3A47431C"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lastRenderedPageBreak/>
              <w:t xml:space="preserve">Coordinación del Gabinete de Seguridad Prevención y Servicios de Emergencia </w:t>
            </w:r>
          </w:p>
        </w:tc>
        <w:tc>
          <w:tcPr>
            <w:tcW w:w="1667" w:type="pct"/>
            <w:tcBorders>
              <w:top w:val="single" w:sz="4" w:space="0" w:color="auto"/>
              <w:left w:val="single" w:sz="4" w:space="0" w:color="auto"/>
              <w:bottom w:val="single" w:sz="4" w:space="0" w:color="auto"/>
              <w:right w:val="single" w:sz="4" w:space="0" w:color="auto"/>
            </w:tcBorders>
            <w:vAlign w:val="center"/>
          </w:tcPr>
          <w:p w14:paraId="3A47431D"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COM/RPCAPL/235/2023.</w:t>
            </w:r>
          </w:p>
          <w:p w14:paraId="3A47431E"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E</w:t>
            </w:r>
            <w:r>
              <w:rPr>
                <w:rFonts w:ascii="Gotham" w:hAnsi="Gotham" w:cs="Arial"/>
                <w:sz w:val="19"/>
                <w:szCs w:val="19"/>
              </w:rPr>
              <w:t>ntregado el 28 de junio de 2023</w:t>
            </w:r>
          </w:p>
        </w:tc>
        <w:tc>
          <w:tcPr>
            <w:tcW w:w="1667" w:type="pct"/>
            <w:tcBorders>
              <w:top w:val="single" w:sz="4" w:space="0" w:color="auto"/>
              <w:left w:val="single" w:sz="4" w:space="0" w:color="auto"/>
              <w:bottom w:val="single" w:sz="4" w:space="0" w:color="auto"/>
              <w:right w:val="single" w:sz="4" w:space="0" w:color="auto"/>
            </w:tcBorders>
            <w:vAlign w:val="center"/>
          </w:tcPr>
          <w:p w14:paraId="3A47431F"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Remitió mediante el oficio CGSPSEM/411/2023 los in</w:t>
            </w:r>
            <w:r>
              <w:rPr>
                <w:rFonts w:ascii="Gotham" w:hAnsi="Gotham" w:cs="Arial"/>
                <w:sz w:val="19"/>
                <w:szCs w:val="19"/>
              </w:rPr>
              <w:t>formes de las siguientes áreas:</w:t>
            </w:r>
          </w:p>
          <w:p w14:paraId="3A474320"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 Comisaría de la Policía preventiva;</w:t>
            </w:r>
          </w:p>
          <w:p w14:paraId="3A474321"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 Dirección de Protección Civil y Bomberos;</w:t>
            </w:r>
          </w:p>
          <w:p w14:paraId="3A474322"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 Dirección Jurídica de la Comisaría;</w:t>
            </w:r>
          </w:p>
          <w:p w14:paraId="3A474323"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 Dirección de Prevención Social del Delito.</w:t>
            </w:r>
          </w:p>
          <w:p w14:paraId="3A474324"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 Jefatura Operativa Hospitalaria.</w:t>
            </w:r>
          </w:p>
          <w:p w14:paraId="3A474325"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 Je</w:t>
            </w:r>
            <w:r>
              <w:rPr>
                <w:rFonts w:ascii="Gotham" w:hAnsi="Gotham" w:cs="Arial"/>
                <w:sz w:val="19"/>
                <w:szCs w:val="19"/>
              </w:rPr>
              <w:t xml:space="preserve">fatura de Agentes de Movilidad </w:t>
            </w:r>
          </w:p>
        </w:tc>
      </w:tr>
      <w:tr w:rsidR="00016FE1" w:rsidRPr="0038611B" w14:paraId="3A47432C" w14:textId="77777777" w:rsidTr="00AD51C5">
        <w:tc>
          <w:tcPr>
            <w:tcW w:w="1666" w:type="pct"/>
            <w:tcBorders>
              <w:top w:val="single" w:sz="4" w:space="0" w:color="auto"/>
              <w:left w:val="single" w:sz="4" w:space="0" w:color="auto"/>
              <w:bottom w:val="single" w:sz="4" w:space="0" w:color="auto"/>
              <w:right w:val="single" w:sz="4" w:space="0" w:color="auto"/>
            </w:tcBorders>
            <w:vAlign w:val="center"/>
            <w:hideMark/>
          </w:tcPr>
          <w:p w14:paraId="3A474327"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 xml:space="preserve">Regidora Verónica Isela Murillo Martínez </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A474328"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COM/RPCAPL/232/2023.</w:t>
            </w:r>
          </w:p>
          <w:p w14:paraId="3A474329"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Entregado el 27 de junio de 2023</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A47432A"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Oficio VIMM/169/2023</w:t>
            </w:r>
          </w:p>
          <w:p w14:paraId="3A47432B"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Informa que en la mesa de trabajo las realizara.</w:t>
            </w:r>
          </w:p>
        </w:tc>
      </w:tr>
      <w:tr w:rsidR="00016FE1" w:rsidRPr="0038611B" w14:paraId="3A474333" w14:textId="77777777" w:rsidTr="00AD51C5">
        <w:tc>
          <w:tcPr>
            <w:tcW w:w="1666" w:type="pct"/>
            <w:tcBorders>
              <w:top w:val="single" w:sz="4" w:space="0" w:color="auto"/>
              <w:left w:val="single" w:sz="4" w:space="0" w:color="auto"/>
              <w:bottom w:val="single" w:sz="4" w:space="0" w:color="auto"/>
              <w:right w:val="single" w:sz="4" w:space="0" w:color="auto"/>
            </w:tcBorders>
            <w:vAlign w:val="center"/>
            <w:hideMark/>
          </w:tcPr>
          <w:p w14:paraId="3A47432D"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Dirección del Instituto Municipal de la Mujer para Igualdad Sustantiva</w:t>
            </w:r>
          </w:p>
        </w:tc>
        <w:tc>
          <w:tcPr>
            <w:tcW w:w="1667" w:type="pct"/>
            <w:tcBorders>
              <w:top w:val="single" w:sz="4" w:space="0" w:color="auto"/>
              <w:left w:val="single" w:sz="4" w:space="0" w:color="auto"/>
              <w:bottom w:val="single" w:sz="4" w:space="0" w:color="auto"/>
              <w:right w:val="single" w:sz="4" w:space="0" w:color="auto"/>
            </w:tcBorders>
            <w:vAlign w:val="center"/>
          </w:tcPr>
          <w:p w14:paraId="3A47432E"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COM/RPCAPL/239/2023.</w:t>
            </w:r>
          </w:p>
          <w:p w14:paraId="3A47432F"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E</w:t>
            </w:r>
            <w:r>
              <w:rPr>
                <w:rFonts w:ascii="Gotham" w:hAnsi="Gotham" w:cs="Arial"/>
                <w:sz w:val="19"/>
                <w:szCs w:val="19"/>
              </w:rPr>
              <w:t>ntregado el 28 de junio de 2023</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A474330"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Oficio IMMIST/1867/2022.</w:t>
            </w:r>
          </w:p>
          <w:p w14:paraId="3A474331"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Respuesta. 10-Jul-2023</w:t>
            </w:r>
          </w:p>
          <w:p w14:paraId="3A474332" w14:textId="77777777" w:rsidR="00016FE1" w:rsidRPr="0038611B" w:rsidRDefault="00016FE1" w:rsidP="002D5E45">
            <w:pPr>
              <w:spacing w:before="120" w:after="120"/>
              <w:jc w:val="both"/>
              <w:rPr>
                <w:rFonts w:ascii="Gotham" w:hAnsi="Gotham" w:cs="Arial"/>
                <w:sz w:val="19"/>
                <w:szCs w:val="19"/>
              </w:rPr>
            </w:pPr>
            <w:r w:rsidRPr="0038611B">
              <w:rPr>
                <w:rFonts w:ascii="Gotham" w:hAnsi="Gotham" w:cs="Arial"/>
                <w:sz w:val="19"/>
                <w:szCs w:val="19"/>
              </w:rPr>
              <w:t xml:space="preserve">Remite su propuesta, así como la hace llegar por correo </w:t>
            </w:r>
          </w:p>
        </w:tc>
      </w:tr>
    </w:tbl>
    <w:p w14:paraId="3A474334" w14:textId="77777777" w:rsidR="00016FE1" w:rsidRPr="0036092C" w:rsidRDefault="00016FE1" w:rsidP="002B6227">
      <w:pPr>
        <w:ind w:left="567" w:hanging="567"/>
        <w:jc w:val="both"/>
        <w:rPr>
          <w:rFonts w:ascii="Gotham" w:hAnsi="Gotham" w:cs="Arial"/>
          <w:sz w:val="20"/>
          <w:szCs w:val="20"/>
        </w:rPr>
      </w:pPr>
    </w:p>
    <w:p w14:paraId="3A474335" w14:textId="11FCC4FF" w:rsidR="00016FE1" w:rsidRPr="0036092C" w:rsidRDefault="00016FE1" w:rsidP="002B6227">
      <w:pPr>
        <w:ind w:left="567" w:hanging="567"/>
        <w:jc w:val="both"/>
        <w:rPr>
          <w:rFonts w:ascii="Gotham" w:hAnsi="Gotham" w:cs="Arial"/>
          <w:sz w:val="20"/>
          <w:szCs w:val="20"/>
        </w:rPr>
      </w:pPr>
      <w:r w:rsidRPr="0036092C">
        <w:rPr>
          <w:rFonts w:ascii="Gotham" w:hAnsi="Gotham" w:cs="Arial"/>
          <w:sz w:val="20"/>
          <w:szCs w:val="20"/>
        </w:rPr>
        <w:t xml:space="preserve">VI. </w:t>
      </w:r>
      <w:r>
        <w:rPr>
          <w:rFonts w:ascii="Gotham" w:hAnsi="Gotham" w:cs="Arial"/>
          <w:sz w:val="20"/>
          <w:szCs w:val="20"/>
        </w:rPr>
        <w:tab/>
      </w:r>
      <w:r w:rsidRPr="0036092C">
        <w:rPr>
          <w:rFonts w:ascii="Gotham" w:hAnsi="Gotham" w:cs="Arial"/>
          <w:sz w:val="20"/>
          <w:szCs w:val="20"/>
        </w:rPr>
        <w:t xml:space="preserve">Previo a la Mesa de trabajo se realizó estudio de cada uno de los artículos de la Iniciativa con las opiniones técnicas, se les remitió por medio de correo electrónico y grupo de </w:t>
      </w:r>
      <w:r w:rsidR="0015568D" w:rsidRPr="0036092C">
        <w:rPr>
          <w:rFonts w:ascii="Gotham" w:hAnsi="Gotham" w:cs="Arial"/>
          <w:sz w:val="20"/>
          <w:szCs w:val="20"/>
        </w:rPr>
        <w:t>WhatsApp</w:t>
      </w:r>
      <w:r w:rsidRPr="0036092C">
        <w:rPr>
          <w:rFonts w:ascii="Gotham" w:hAnsi="Gotham" w:cs="Arial"/>
          <w:sz w:val="20"/>
          <w:szCs w:val="20"/>
        </w:rPr>
        <w:t xml:space="preserve"> a los asesores para la mesa.</w:t>
      </w:r>
    </w:p>
    <w:p w14:paraId="3A474336" w14:textId="77777777" w:rsidR="00016FE1" w:rsidRPr="0036092C" w:rsidRDefault="00016FE1" w:rsidP="002B6227">
      <w:pPr>
        <w:ind w:left="567" w:hanging="567"/>
        <w:jc w:val="both"/>
        <w:rPr>
          <w:rFonts w:ascii="Gotham" w:hAnsi="Gotham" w:cs="Arial"/>
          <w:sz w:val="20"/>
          <w:szCs w:val="20"/>
        </w:rPr>
      </w:pPr>
    </w:p>
    <w:p w14:paraId="3A474337" w14:textId="77777777" w:rsidR="00016FE1" w:rsidRPr="0036092C" w:rsidRDefault="00016FE1" w:rsidP="002B6227">
      <w:pPr>
        <w:ind w:left="567" w:hanging="567"/>
        <w:jc w:val="both"/>
        <w:rPr>
          <w:rFonts w:ascii="Gotham" w:hAnsi="Gotham" w:cs="Arial"/>
          <w:sz w:val="20"/>
          <w:szCs w:val="20"/>
        </w:rPr>
      </w:pPr>
      <w:r w:rsidRPr="0036092C">
        <w:rPr>
          <w:rFonts w:ascii="Gotham" w:hAnsi="Gotham" w:cs="Arial"/>
          <w:sz w:val="20"/>
          <w:szCs w:val="20"/>
        </w:rPr>
        <w:t xml:space="preserve">VII. </w:t>
      </w:r>
      <w:r>
        <w:rPr>
          <w:rFonts w:ascii="Gotham" w:hAnsi="Gotham" w:cs="Arial"/>
          <w:sz w:val="20"/>
          <w:szCs w:val="20"/>
        </w:rPr>
        <w:tab/>
      </w:r>
      <w:r w:rsidRPr="0036092C">
        <w:rPr>
          <w:rFonts w:ascii="Gotham" w:hAnsi="Gotham" w:cs="Arial"/>
          <w:sz w:val="20"/>
          <w:szCs w:val="20"/>
        </w:rPr>
        <w:t>Mesas de Trabajo con los integrantes de las comisiones legislativas de Reglamentos Puntos Constitucionales, Administración y Planeación Legislativa en conjunto con la Comisión de Igualdad Sustantiva y Derechos Humanos.</w:t>
      </w:r>
    </w:p>
    <w:p w14:paraId="3A474338" w14:textId="77777777" w:rsidR="00016FE1" w:rsidRPr="0036092C" w:rsidRDefault="00016FE1" w:rsidP="002B6227">
      <w:pPr>
        <w:ind w:left="567" w:hanging="567"/>
        <w:jc w:val="both"/>
        <w:rPr>
          <w:rFonts w:ascii="Gotham" w:hAnsi="Gotham" w:cs="Arial"/>
          <w:sz w:val="20"/>
          <w:szCs w:val="20"/>
        </w:rPr>
      </w:pPr>
    </w:p>
    <w:p w14:paraId="3A474339" w14:textId="77777777" w:rsidR="00016FE1" w:rsidRPr="007C0168" w:rsidRDefault="00016FE1" w:rsidP="002B6227">
      <w:pPr>
        <w:ind w:left="567"/>
        <w:jc w:val="both"/>
        <w:rPr>
          <w:rFonts w:ascii="Gotham" w:hAnsi="Gotham" w:cs="Arial"/>
          <w:sz w:val="20"/>
          <w:szCs w:val="20"/>
        </w:rPr>
      </w:pPr>
      <w:r w:rsidRPr="007C0168">
        <w:rPr>
          <w:rFonts w:ascii="Gotham" w:hAnsi="Gotham" w:cs="Arial"/>
          <w:sz w:val="20"/>
          <w:szCs w:val="20"/>
        </w:rPr>
        <w:t>1er mesa de trabajo se llevó a cabo el día jueves 13 de julio de 2023; se tiene hoja de firma de asistencia.</w:t>
      </w:r>
    </w:p>
    <w:p w14:paraId="3A47433A" w14:textId="77777777" w:rsidR="00016FE1" w:rsidRPr="007C0168" w:rsidRDefault="00016FE1" w:rsidP="002B6227">
      <w:pPr>
        <w:ind w:left="567"/>
        <w:jc w:val="both"/>
        <w:rPr>
          <w:rFonts w:ascii="Gotham" w:hAnsi="Gotham" w:cs="Arial"/>
          <w:sz w:val="20"/>
          <w:szCs w:val="20"/>
        </w:rPr>
      </w:pPr>
    </w:p>
    <w:p w14:paraId="3A47433B" w14:textId="77777777" w:rsidR="00016FE1" w:rsidRPr="007C0168" w:rsidRDefault="00016FE1" w:rsidP="002B6227">
      <w:pPr>
        <w:ind w:left="567"/>
        <w:jc w:val="both"/>
        <w:rPr>
          <w:rFonts w:ascii="Gotham" w:hAnsi="Gotham" w:cs="Arial"/>
          <w:sz w:val="20"/>
          <w:szCs w:val="20"/>
        </w:rPr>
      </w:pPr>
      <w:r w:rsidRPr="007C0168">
        <w:rPr>
          <w:rFonts w:ascii="Gotham" w:hAnsi="Gotham" w:cs="Arial"/>
          <w:sz w:val="20"/>
          <w:szCs w:val="20"/>
        </w:rPr>
        <w:t>2da mesa de trabajo se realizó el día viernes 21 de julio 2023 en la sala Calendario Medrano, en donde atendieron las observaciones de los asistentes en la revisión de cuerpo de la norma.</w:t>
      </w:r>
    </w:p>
    <w:p w14:paraId="3A47433C" w14:textId="77777777" w:rsidR="00016FE1" w:rsidRPr="007C0168" w:rsidRDefault="00016FE1" w:rsidP="002B6227">
      <w:pPr>
        <w:ind w:left="567"/>
        <w:jc w:val="both"/>
        <w:rPr>
          <w:rFonts w:ascii="Gotham" w:hAnsi="Gotham" w:cs="Arial"/>
          <w:sz w:val="20"/>
          <w:szCs w:val="20"/>
        </w:rPr>
      </w:pPr>
    </w:p>
    <w:p w14:paraId="3A47433D" w14:textId="77777777" w:rsidR="00016FE1" w:rsidRPr="007C0168" w:rsidRDefault="00016FE1" w:rsidP="002B6227">
      <w:pPr>
        <w:ind w:left="567"/>
        <w:jc w:val="both"/>
        <w:rPr>
          <w:rFonts w:ascii="Gotham" w:hAnsi="Gotham" w:cs="Arial"/>
          <w:sz w:val="20"/>
          <w:szCs w:val="20"/>
        </w:rPr>
      </w:pPr>
      <w:r w:rsidRPr="007C0168">
        <w:rPr>
          <w:rFonts w:ascii="Gotham" w:hAnsi="Gotham" w:cs="Arial"/>
          <w:sz w:val="20"/>
          <w:szCs w:val="20"/>
        </w:rPr>
        <w:t xml:space="preserve">3ra mesa de trabajo se fue realizada el día 8 de agosto de 2023, en la sala de prensa donde se presentó el ante proyecto de redacción de la norma. En donde se propuso por el Regidor Juan Carlos Villareal Salazar el poner a consideración del ejercicio de cabildo abierto, que fue </w:t>
      </w:r>
      <w:r w:rsidRPr="007C0168">
        <w:rPr>
          <w:rFonts w:ascii="Gotham" w:hAnsi="Gotham" w:cs="Arial"/>
          <w:sz w:val="20"/>
          <w:szCs w:val="20"/>
        </w:rPr>
        <w:lastRenderedPageBreak/>
        <w:t>aprobado en la sesión de marzo de dicho año se aprobó el acuerdo,</w:t>
      </w:r>
      <w:r w:rsidR="00B76E88">
        <w:rPr>
          <w:rFonts w:ascii="Gotham" w:hAnsi="Gotham" w:cs="Arial"/>
          <w:sz w:val="20"/>
          <w:szCs w:val="20"/>
        </w:rPr>
        <w:t xml:space="preserve"> </w:t>
      </w:r>
      <w:r w:rsidRPr="007C0168">
        <w:rPr>
          <w:rFonts w:ascii="Gotham" w:hAnsi="Gotham" w:cs="Arial"/>
          <w:sz w:val="20"/>
          <w:szCs w:val="20"/>
        </w:rPr>
        <w:t>toda vez que esta norma tiene las características para que sea puesta a consulta.</w:t>
      </w:r>
    </w:p>
    <w:p w14:paraId="3A47433E" w14:textId="77777777" w:rsidR="00016FE1" w:rsidRPr="007C0168" w:rsidRDefault="00016FE1" w:rsidP="002B6227">
      <w:pPr>
        <w:ind w:left="567" w:hanging="567"/>
        <w:jc w:val="both"/>
        <w:rPr>
          <w:rFonts w:ascii="Gotham" w:hAnsi="Gotham" w:cs="Arial"/>
          <w:sz w:val="20"/>
          <w:szCs w:val="20"/>
        </w:rPr>
      </w:pPr>
    </w:p>
    <w:p w14:paraId="3A47433F" w14:textId="77777777" w:rsidR="00016FE1" w:rsidRPr="007C0168" w:rsidRDefault="00016FE1" w:rsidP="002B6227">
      <w:pPr>
        <w:ind w:left="567" w:hanging="567"/>
        <w:jc w:val="both"/>
        <w:rPr>
          <w:rFonts w:ascii="Gotham" w:hAnsi="Gotham" w:cs="Arial"/>
          <w:sz w:val="20"/>
          <w:szCs w:val="20"/>
        </w:rPr>
      </w:pPr>
      <w:r w:rsidRPr="007C0168">
        <w:rPr>
          <w:rFonts w:ascii="Gotham" w:hAnsi="Gotham" w:cs="Arial"/>
          <w:sz w:val="20"/>
          <w:szCs w:val="20"/>
        </w:rPr>
        <w:t xml:space="preserve">VIII. </w:t>
      </w:r>
      <w:r>
        <w:rPr>
          <w:rFonts w:ascii="Gotham" w:hAnsi="Gotham" w:cs="Arial"/>
          <w:sz w:val="20"/>
          <w:szCs w:val="20"/>
        </w:rPr>
        <w:tab/>
      </w:r>
      <w:r w:rsidRPr="007C0168">
        <w:rPr>
          <w:rFonts w:ascii="Gotham" w:hAnsi="Gotham" w:cs="Arial"/>
          <w:sz w:val="20"/>
          <w:szCs w:val="20"/>
        </w:rPr>
        <w:t>Mediante el oficio COM/ RPCAPL/ NML/ 277/ 3023 se le convocó a los integrantes de las comisiones edilicias de Puntos Constitucionales, Administración y Planeación Legislativa, la Comisión de Igualdad Sustantiva y Derechos Humanos y la Comisión de Hacienda realizar la sesión de Comisión conjunta para el día 21 de agosto de 2023.</w:t>
      </w:r>
    </w:p>
    <w:p w14:paraId="3A474340" w14:textId="77777777" w:rsidR="00016FE1" w:rsidRPr="007C0168" w:rsidRDefault="00016FE1" w:rsidP="002B6227">
      <w:pPr>
        <w:ind w:left="567" w:hanging="567"/>
        <w:jc w:val="both"/>
        <w:rPr>
          <w:rFonts w:ascii="Gotham" w:hAnsi="Gotham" w:cs="Arial"/>
          <w:sz w:val="20"/>
          <w:szCs w:val="20"/>
        </w:rPr>
      </w:pPr>
    </w:p>
    <w:p w14:paraId="3A474341" w14:textId="77777777" w:rsidR="00016FE1" w:rsidRPr="007C0168" w:rsidRDefault="00016FE1" w:rsidP="002B6227">
      <w:pPr>
        <w:ind w:left="567" w:hanging="567"/>
        <w:jc w:val="both"/>
        <w:rPr>
          <w:rFonts w:ascii="Gotham" w:hAnsi="Gotham" w:cs="Arial"/>
          <w:sz w:val="20"/>
          <w:szCs w:val="20"/>
        </w:rPr>
      </w:pPr>
      <w:r w:rsidRPr="007C0168">
        <w:rPr>
          <w:rFonts w:ascii="Gotham" w:hAnsi="Gotham" w:cs="Arial"/>
          <w:sz w:val="20"/>
          <w:szCs w:val="20"/>
        </w:rPr>
        <w:t>IX</w:t>
      </w:r>
      <w:r>
        <w:rPr>
          <w:rFonts w:ascii="Gotham" w:hAnsi="Gotham" w:cs="Arial"/>
          <w:sz w:val="20"/>
          <w:szCs w:val="20"/>
        </w:rPr>
        <w:t>.</w:t>
      </w:r>
      <w:r w:rsidRPr="007C0168">
        <w:rPr>
          <w:rFonts w:ascii="Gotham" w:hAnsi="Gotham" w:cs="Arial"/>
          <w:sz w:val="20"/>
          <w:szCs w:val="20"/>
        </w:rPr>
        <w:t xml:space="preserve"> </w:t>
      </w:r>
      <w:r>
        <w:rPr>
          <w:rFonts w:ascii="Gotham" w:hAnsi="Gotham" w:cs="Arial"/>
          <w:sz w:val="20"/>
          <w:szCs w:val="20"/>
        </w:rPr>
        <w:tab/>
      </w:r>
      <w:r w:rsidRPr="007C0168">
        <w:rPr>
          <w:rFonts w:ascii="Gotham" w:hAnsi="Gotham" w:cs="Arial"/>
          <w:sz w:val="20"/>
          <w:szCs w:val="20"/>
        </w:rPr>
        <w:t>Remitió al titular de Ejecutivo Municipal el anteproyecto de ordenamiento que atiene la iniciativa de ordenamiento municipal con el</w:t>
      </w:r>
      <w:r w:rsidR="00B76E88">
        <w:rPr>
          <w:rFonts w:ascii="Gotham" w:hAnsi="Gotham" w:cs="Arial"/>
          <w:sz w:val="20"/>
          <w:szCs w:val="20"/>
        </w:rPr>
        <w:t xml:space="preserve"> </w:t>
      </w:r>
      <w:r w:rsidRPr="007C0168">
        <w:rPr>
          <w:rFonts w:ascii="Gotham" w:hAnsi="Gotham" w:cs="Arial"/>
          <w:sz w:val="20"/>
          <w:szCs w:val="20"/>
        </w:rPr>
        <w:t>Acuerdo mediante oficio Sindicatura/NML/1622/23; con la finalidad que se ponga consideración de la Junta de Coordinación Política para el ejercicio de Cabido abierto aprobado con el acuerdo 625 en la sesión ordinaria del mes de marzo 2023.</w:t>
      </w:r>
    </w:p>
    <w:p w14:paraId="3A474342" w14:textId="77777777" w:rsidR="00016FE1" w:rsidRPr="007C0168" w:rsidRDefault="00016FE1" w:rsidP="002B6227">
      <w:pPr>
        <w:jc w:val="both"/>
        <w:rPr>
          <w:rFonts w:ascii="Gotham" w:hAnsi="Gotham" w:cs="Arial"/>
          <w:sz w:val="20"/>
          <w:szCs w:val="20"/>
        </w:rPr>
      </w:pPr>
    </w:p>
    <w:p w14:paraId="3A474343" w14:textId="77777777" w:rsidR="00016FE1" w:rsidRPr="007C0168" w:rsidRDefault="00016FE1" w:rsidP="002B6227">
      <w:pPr>
        <w:ind w:left="567" w:hanging="567"/>
        <w:jc w:val="both"/>
        <w:rPr>
          <w:rFonts w:ascii="Gotham" w:hAnsi="Gotham" w:cs="Arial"/>
          <w:sz w:val="20"/>
          <w:szCs w:val="20"/>
        </w:rPr>
      </w:pPr>
      <w:r>
        <w:rPr>
          <w:rFonts w:ascii="Gotham" w:hAnsi="Gotham" w:cs="Arial"/>
          <w:sz w:val="20"/>
          <w:szCs w:val="20"/>
        </w:rPr>
        <w:t>X.</w:t>
      </w:r>
      <w:r w:rsidRPr="007C0168">
        <w:rPr>
          <w:rFonts w:ascii="Gotham" w:hAnsi="Gotham" w:cs="Arial"/>
          <w:sz w:val="20"/>
          <w:szCs w:val="20"/>
        </w:rPr>
        <w:t xml:space="preserve"> </w:t>
      </w:r>
      <w:r>
        <w:rPr>
          <w:rFonts w:ascii="Gotham" w:hAnsi="Gotham" w:cs="Arial"/>
          <w:sz w:val="20"/>
          <w:szCs w:val="20"/>
        </w:rPr>
        <w:tab/>
      </w:r>
      <w:r w:rsidRPr="007C0168">
        <w:rPr>
          <w:rFonts w:ascii="Gotham" w:hAnsi="Gotham" w:cs="Arial"/>
          <w:sz w:val="20"/>
          <w:szCs w:val="20"/>
        </w:rPr>
        <w:t>Sesión de la comisión de Reglamentos con fecha 21 de agosto de 2023 se realizó conforme al orden del día en el punto quinto inciso a) se rindió el Informe a la Comisione del Turno 290.</w:t>
      </w:r>
    </w:p>
    <w:p w14:paraId="3A474344" w14:textId="77777777" w:rsidR="00016FE1" w:rsidRPr="007C0168" w:rsidRDefault="00016FE1" w:rsidP="002B6227">
      <w:pPr>
        <w:jc w:val="both"/>
        <w:rPr>
          <w:rFonts w:ascii="Gotham" w:hAnsi="Gotham" w:cs="Arial"/>
          <w:sz w:val="20"/>
          <w:szCs w:val="20"/>
        </w:rPr>
      </w:pPr>
    </w:p>
    <w:p w14:paraId="3A474345" w14:textId="77777777" w:rsidR="00016FE1" w:rsidRPr="007C0168" w:rsidRDefault="00016FE1" w:rsidP="002B6227">
      <w:pPr>
        <w:jc w:val="both"/>
        <w:rPr>
          <w:rFonts w:ascii="Gotham" w:hAnsi="Gotham" w:cs="Arial"/>
          <w:sz w:val="20"/>
          <w:szCs w:val="20"/>
        </w:rPr>
      </w:pPr>
      <w:r w:rsidRPr="007C0168">
        <w:rPr>
          <w:rFonts w:ascii="Gotham" w:hAnsi="Gotham" w:cs="Arial"/>
          <w:sz w:val="20"/>
          <w:szCs w:val="20"/>
        </w:rPr>
        <w:t>Por lo antes expuesto hago de su conocimiento como presidente de la comisión de reglamentos de Puntos Constitucionales, Administración y Planeación Legislativa; para los efectos legales a los que haya lugar, anexo a la presente copias de los registros de firmas de las mesas de trabajo así como del acta de la sesión del mes de agosto 2023 de la comisión edilicia.</w:t>
      </w:r>
    </w:p>
    <w:p w14:paraId="3A474346" w14:textId="77777777" w:rsidR="00016FE1" w:rsidRPr="007C0168" w:rsidRDefault="00016FE1" w:rsidP="002B6227">
      <w:pPr>
        <w:jc w:val="both"/>
        <w:rPr>
          <w:rFonts w:ascii="Gotham" w:hAnsi="Gotham" w:cs="Arial"/>
          <w:sz w:val="20"/>
          <w:szCs w:val="20"/>
        </w:rPr>
      </w:pPr>
    </w:p>
    <w:p w14:paraId="3A474347" w14:textId="77777777" w:rsidR="00016FE1" w:rsidRPr="007C0168" w:rsidRDefault="00016FE1" w:rsidP="002B6227">
      <w:pPr>
        <w:jc w:val="both"/>
        <w:rPr>
          <w:rFonts w:ascii="Gotham" w:hAnsi="Gotham" w:cs="Arial"/>
          <w:sz w:val="20"/>
          <w:szCs w:val="20"/>
        </w:rPr>
      </w:pPr>
      <w:r w:rsidRPr="007C0168">
        <w:rPr>
          <w:rFonts w:ascii="Gotham" w:hAnsi="Gotham" w:cs="Arial"/>
          <w:sz w:val="20"/>
          <w:szCs w:val="20"/>
        </w:rPr>
        <w:t>Por lo anteriormente descrito, en mi calidad de presidente toda vez que el Ordenamiento fue analizado dentro de seno de la Comisión Edilicia dictaminadora conforme a lo establecido en el Articulo 72 del Reglamento para el Funcionamiento Interno de Sesiones del Ayuntamiento Constitucional de Tonalá, Jalisco; toda vez que se trascurrió más de sesenta día naturales después de la propuesta de ordenamiento que sancionado por la comisión convocante, es que presento al Pleno de Ayuntamiento el siguiente Dictamen de:</w:t>
      </w:r>
    </w:p>
    <w:p w14:paraId="3A474348" w14:textId="77777777" w:rsidR="00016FE1" w:rsidRPr="007C0168" w:rsidRDefault="00016FE1" w:rsidP="002B6227">
      <w:pPr>
        <w:jc w:val="both"/>
        <w:rPr>
          <w:rFonts w:ascii="Gotham" w:hAnsi="Gotham" w:cs="Arial"/>
          <w:sz w:val="20"/>
          <w:szCs w:val="20"/>
        </w:rPr>
      </w:pPr>
    </w:p>
    <w:p w14:paraId="3A474349" w14:textId="77777777" w:rsidR="00016FE1" w:rsidRPr="009A4058" w:rsidRDefault="00016FE1" w:rsidP="002B6227">
      <w:pPr>
        <w:ind w:left="284" w:right="283"/>
        <w:jc w:val="center"/>
        <w:rPr>
          <w:rFonts w:ascii="Gotham" w:hAnsi="Gotham" w:cs="Arial"/>
          <w:b/>
          <w:bCs/>
          <w:sz w:val="19"/>
          <w:szCs w:val="19"/>
        </w:rPr>
      </w:pPr>
      <w:r w:rsidRPr="009A4058">
        <w:rPr>
          <w:rFonts w:ascii="Gotham" w:hAnsi="Gotham" w:cs="Arial"/>
          <w:b/>
          <w:bCs/>
          <w:sz w:val="19"/>
          <w:szCs w:val="19"/>
        </w:rPr>
        <w:t>ORDENAMIENTO MUNICIPAL</w:t>
      </w:r>
    </w:p>
    <w:p w14:paraId="3A47434A" w14:textId="77777777" w:rsidR="00016FE1" w:rsidRPr="009A4058" w:rsidRDefault="00016FE1" w:rsidP="002B6227">
      <w:pPr>
        <w:widowControl w:val="0"/>
        <w:suppressAutoHyphens/>
        <w:autoSpaceDN w:val="0"/>
        <w:ind w:left="284" w:right="283"/>
        <w:jc w:val="both"/>
        <w:textAlignment w:val="baseline"/>
        <w:rPr>
          <w:rFonts w:ascii="Gotham" w:eastAsiaTheme="minorHAnsi" w:hAnsi="Gotham" w:cs="Arial"/>
          <w:sz w:val="19"/>
          <w:szCs w:val="19"/>
          <w:lang w:val="es-MX" w:eastAsia="en-US"/>
        </w:rPr>
      </w:pPr>
    </w:p>
    <w:p w14:paraId="3A47434B"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b/>
          <w:bCs/>
          <w:sz w:val="19"/>
          <w:szCs w:val="19"/>
        </w:rPr>
        <w:t>ÚNICO.</w:t>
      </w:r>
      <w:r w:rsidRPr="009A4058">
        <w:rPr>
          <w:rFonts w:ascii="Gotham" w:hAnsi="Gotham" w:cs="Arial"/>
          <w:sz w:val="19"/>
          <w:szCs w:val="19"/>
        </w:rPr>
        <w:t xml:space="preserve">- Aprueba la creación del </w:t>
      </w:r>
      <w:r w:rsidRPr="009A4058">
        <w:rPr>
          <w:rFonts w:ascii="Gotham" w:hAnsi="Gotham" w:cs="Arial"/>
          <w:b/>
          <w:sz w:val="19"/>
          <w:szCs w:val="19"/>
        </w:rPr>
        <w:t>Reglamento Promover, Respetar, Proteger y Garantizar, los Derechos de las Personas de La Población LGBT+ en el Municipio de Tonalá, Jalisco;</w:t>
      </w:r>
      <w:r w:rsidRPr="009A4058">
        <w:rPr>
          <w:rFonts w:ascii="Gotham" w:hAnsi="Gotham" w:cs="Arial"/>
          <w:sz w:val="19"/>
          <w:szCs w:val="19"/>
        </w:rPr>
        <w:t xml:space="preserve"> para quedar como sigue:</w:t>
      </w:r>
    </w:p>
    <w:p w14:paraId="3A47434C" w14:textId="77777777" w:rsidR="00016FE1" w:rsidRPr="009A4058" w:rsidRDefault="00016FE1" w:rsidP="002B6227">
      <w:pPr>
        <w:ind w:left="284" w:right="283"/>
        <w:jc w:val="both"/>
        <w:rPr>
          <w:rFonts w:ascii="Gotham" w:hAnsi="Gotham" w:cs="Arial"/>
          <w:sz w:val="19"/>
          <w:szCs w:val="19"/>
        </w:rPr>
      </w:pPr>
    </w:p>
    <w:p w14:paraId="3A47434D" w14:textId="77777777" w:rsidR="00016FE1" w:rsidRPr="009A4058" w:rsidRDefault="00016FE1" w:rsidP="002B6227">
      <w:pPr>
        <w:ind w:left="284" w:right="283"/>
        <w:jc w:val="center"/>
        <w:rPr>
          <w:rFonts w:ascii="Gotham" w:hAnsi="Gotham" w:cs="Arial"/>
          <w:b/>
          <w:sz w:val="19"/>
          <w:szCs w:val="19"/>
        </w:rPr>
      </w:pPr>
      <w:r w:rsidRPr="009A4058">
        <w:rPr>
          <w:rFonts w:ascii="Gotham" w:hAnsi="Gotham" w:cs="Arial"/>
          <w:b/>
          <w:sz w:val="19"/>
          <w:szCs w:val="19"/>
        </w:rPr>
        <w:t>Reglamento para Promover, Respetar, Proteger y Garantizar, los Derechos de las Personas de La Población LGBT+ en el Municipio de Tonalá, Jalisco.</w:t>
      </w:r>
    </w:p>
    <w:p w14:paraId="3A47434E" w14:textId="77777777" w:rsidR="00016FE1" w:rsidRPr="009A4058" w:rsidRDefault="00016FE1" w:rsidP="002B6227">
      <w:pPr>
        <w:ind w:left="284" w:right="283"/>
        <w:jc w:val="both"/>
        <w:rPr>
          <w:rFonts w:ascii="Gotham" w:hAnsi="Gotham" w:cs="Arial"/>
          <w:b/>
          <w:sz w:val="19"/>
          <w:szCs w:val="19"/>
        </w:rPr>
      </w:pPr>
    </w:p>
    <w:p w14:paraId="3A47434F" w14:textId="77777777" w:rsidR="00016FE1" w:rsidRPr="009A4058" w:rsidRDefault="00016FE1" w:rsidP="002B6227">
      <w:pPr>
        <w:ind w:left="284" w:right="283"/>
        <w:jc w:val="center"/>
        <w:rPr>
          <w:rFonts w:ascii="Gotham" w:hAnsi="Gotham" w:cs="Arial"/>
          <w:b/>
          <w:sz w:val="19"/>
          <w:szCs w:val="19"/>
        </w:rPr>
      </w:pPr>
      <w:r w:rsidRPr="009A4058">
        <w:rPr>
          <w:rFonts w:ascii="Gotham" w:hAnsi="Gotham" w:cs="Arial"/>
          <w:b/>
          <w:sz w:val="19"/>
          <w:szCs w:val="19"/>
        </w:rPr>
        <w:t>TÍTULO PRIMERO</w:t>
      </w:r>
    </w:p>
    <w:p w14:paraId="3A474350" w14:textId="77777777" w:rsidR="00016FE1" w:rsidRPr="009A4058" w:rsidRDefault="00016FE1" w:rsidP="002B6227">
      <w:pPr>
        <w:ind w:left="284" w:right="283"/>
        <w:jc w:val="center"/>
        <w:rPr>
          <w:rFonts w:ascii="Gotham" w:hAnsi="Gotham" w:cs="Arial"/>
          <w:b/>
          <w:sz w:val="19"/>
          <w:szCs w:val="19"/>
        </w:rPr>
      </w:pPr>
      <w:r w:rsidRPr="009A4058">
        <w:rPr>
          <w:rFonts w:ascii="Gotham" w:hAnsi="Gotham" w:cs="Arial"/>
          <w:b/>
          <w:sz w:val="19"/>
          <w:szCs w:val="19"/>
        </w:rPr>
        <w:t>DISPOSICIONES GENERALES</w:t>
      </w:r>
    </w:p>
    <w:p w14:paraId="3A474351" w14:textId="77777777" w:rsidR="00016FE1" w:rsidRPr="009A4058" w:rsidRDefault="00016FE1" w:rsidP="002B6227">
      <w:pPr>
        <w:ind w:left="284" w:right="283"/>
        <w:jc w:val="center"/>
        <w:rPr>
          <w:rFonts w:ascii="Gotham" w:hAnsi="Gotham" w:cs="Arial"/>
          <w:b/>
          <w:sz w:val="19"/>
          <w:szCs w:val="19"/>
        </w:rPr>
      </w:pPr>
    </w:p>
    <w:p w14:paraId="3A474352" w14:textId="77777777" w:rsidR="00016FE1" w:rsidRPr="009A4058" w:rsidRDefault="00016FE1" w:rsidP="002B6227">
      <w:pPr>
        <w:ind w:left="284" w:right="283"/>
        <w:jc w:val="center"/>
        <w:rPr>
          <w:rFonts w:ascii="Gotham" w:hAnsi="Gotham" w:cs="Arial"/>
          <w:b/>
          <w:sz w:val="19"/>
          <w:szCs w:val="19"/>
        </w:rPr>
      </w:pPr>
      <w:r w:rsidRPr="009A4058">
        <w:rPr>
          <w:rFonts w:ascii="Gotham" w:hAnsi="Gotham" w:cs="Arial"/>
          <w:b/>
          <w:sz w:val="19"/>
          <w:szCs w:val="19"/>
        </w:rPr>
        <w:t>Capítulo I</w:t>
      </w:r>
    </w:p>
    <w:p w14:paraId="3A474353" w14:textId="77777777" w:rsidR="00016FE1" w:rsidRPr="009A4058" w:rsidRDefault="00016FE1" w:rsidP="002B6227">
      <w:pPr>
        <w:ind w:left="284" w:right="283"/>
        <w:jc w:val="center"/>
        <w:rPr>
          <w:rFonts w:ascii="Gotham" w:hAnsi="Gotham" w:cs="Arial"/>
          <w:b/>
          <w:sz w:val="19"/>
          <w:szCs w:val="19"/>
        </w:rPr>
      </w:pPr>
      <w:r w:rsidRPr="009A4058">
        <w:rPr>
          <w:rFonts w:ascii="Gotham" w:hAnsi="Gotham" w:cs="Arial"/>
          <w:b/>
          <w:sz w:val="19"/>
          <w:szCs w:val="19"/>
        </w:rPr>
        <w:t>Disposiciones Generales</w:t>
      </w:r>
    </w:p>
    <w:p w14:paraId="3A474354" w14:textId="77777777" w:rsidR="00016FE1" w:rsidRPr="009A4058" w:rsidRDefault="00016FE1" w:rsidP="002B6227">
      <w:pPr>
        <w:ind w:left="284" w:right="283"/>
        <w:jc w:val="both"/>
        <w:rPr>
          <w:rFonts w:ascii="Gotham" w:hAnsi="Gotham" w:cs="Arial"/>
          <w:sz w:val="19"/>
          <w:szCs w:val="19"/>
        </w:rPr>
      </w:pPr>
    </w:p>
    <w:p w14:paraId="3A474355"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 Las disposiciones del presente Reglamento son de orden público, interés social y de observancia general en el municipio el Tonalá, Jalisco.</w:t>
      </w:r>
    </w:p>
    <w:p w14:paraId="3A474356" w14:textId="77777777" w:rsidR="00016FE1" w:rsidRPr="009A4058" w:rsidRDefault="00016FE1" w:rsidP="002B6227">
      <w:pPr>
        <w:ind w:left="284" w:right="283"/>
        <w:jc w:val="both"/>
        <w:rPr>
          <w:rFonts w:ascii="Gotham" w:hAnsi="Gotham" w:cs="Arial"/>
          <w:sz w:val="19"/>
          <w:szCs w:val="19"/>
        </w:rPr>
      </w:pPr>
    </w:p>
    <w:p w14:paraId="3A474357"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2. El presente ordenamiento tiene por objeto Promover, Respetar, Proteger y Garantizar, los Derechos de las Personas de La Población LGBT+ en el Municipio. Otorgar los servicios públicos con apego a la igualdad cultural y social dentro del territorio municipal, a través de la institución de políticas públicas, así como prevenir, atender y eliminar todas las formas de exclusión, discriminación y violencia que atente contra el respeto, la autonomía, la libertad y la dignidad de las personas.</w:t>
      </w:r>
    </w:p>
    <w:p w14:paraId="3A474358" w14:textId="77777777" w:rsidR="00016FE1" w:rsidRPr="009A4058" w:rsidRDefault="00016FE1" w:rsidP="002B6227">
      <w:pPr>
        <w:ind w:left="284" w:right="283"/>
        <w:jc w:val="both"/>
        <w:rPr>
          <w:rFonts w:ascii="Gotham" w:hAnsi="Gotham" w:cs="Arial"/>
          <w:sz w:val="19"/>
          <w:szCs w:val="19"/>
        </w:rPr>
      </w:pPr>
    </w:p>
    <w:p w14:paraId="3A474359"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lastRenderedPageBreak/>
        <w:t>Artículo 3. Son competentes en la aplicación del presente ordenamiento las autoridades, dependencias, Organismos Públicos desconcentrados y descentralizados del Ayuntamiento de Tonalá, Jalisco.</w:t>
      </w:r>
    </w:p>
    <w:p w14:paraId="3A47435A" w14:textId="77777777" w:rsidR="00016FE1" w:rsidRPr="009A4058" w:rsidRDefault="00016FE1" w:rsidP="002B6227">
      <w:pPr>
        <w:ind w:left="284" w:right="283"/>
        <w:jc w:val="both"/>
        <w:rPr>
          <w:rFonts w:ascii="Gotham" w:hAnsi="Gotham" w:cs="Arial"/>
          <w:sz w:val="19"/>
          <w:szCs w:val="19"/>
        </w:rPr>
      </w:pPr>
    </w:p>
    <w:p w14:paraId="3A47435B"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4. Corresponde al Ayuntamiento de Tonalá, a las dependencias, autoridades y entidades de la administración pública municipal, garantizar las condiciones para que, en el ámbito de su competencia, generen los mecanismos institucionales necesarios para el cumplimiento cabal del presente ordenamiento, de tal manera que promuevan y garanticen el pleno desarrollo de sus derechos humanos y su participación en la vida política, económica, cultural y social del municipio.</w:t>
      </w:r>
    </w:p>
    <w:p w14:paraId="3A47435C" w14:textId="77777777" w:rsidR="00016FE1" w:rsidRPr="009A4058" w:rsidRDefault="00016FE1" w:rsidP="002B6227">
      <w:pPr>
        <w:ind w:left="284" w:right="283"/>
        <w:jc w:val="both"/>
        <w:rPr>
          <w:rFonts w:ascii="Gotham" w:hAnsi="Gotham" w:cs="Arial"/>
          <w:sz w:val="19"/>
          <w:szCs w:val="19"/>
        </w:rPr>
      </w:pPr>
    </w:p>
    <w:p w14:paraId="3A47435D"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Se expiden de conformidad con lo señalado en los artículos 115 fracción II de la Constitución Política de los Estados Unidos Mexicanos; 77, fracción II de la Constitución Política del Estado de Jalisco; artículos 40 fracción II, 41 fracción I, II, III y IV; 44 de la Ley de Gobierno y la Administración Pública Municipal del Estado de Jalisco; 107 fracción IV del Reglamento de Gobierno y la Administración Pública Municipal del Ayuntamiento de Tonalá y demás Ordenamientos legales aplicables.</w:t>
      </w:r>
    </w:p>
    <w:p w14:paraId="3A47435E" w14:textId="77777777" w:rsidR="00016FE1" w:rsidRPr="009A4058" w:rsidRDefault="00016FE1" w:rsidP="002B6227">
      <w:pPr>
        <w:ind w:left="284" w:right="283"/>
        <w:jc w:val="both"/>
        <w:rPr>
          <w:rFonts w:ascii="Gotham" w:hAnsi="Gotham" w:cs="Arial"/>
          <w:sz w:val="19"/>
          <w:szCs w:val="19"/>
        </w:rPr>
      </w:pPr>
    </w:p>
    <w:p w14:paraId="3A47435F" w14:textId="77777777" w:rsidR="00016FE1" w:rsidRDefault="00016FE1" w:rsidP="002B6227">
      <w:pPr>
        <w:ind w:left="284" w:right="283"/>
        <w:jc w:val="both"/>
        <w:rPr>
          <w:rFonts w:ascii="Gotham" w:hAnsi="Gotham" w:cs="Arial"/>
          <w:sz w:val="19"/>
          <w:szCs w:val="19"/>
        </w:rPr>
      </w:pPr>
      <w:r w:rsidRPr="009A4058">
        <w:rPr>
          <w:rFonts w:ascii="Gotham" w:hAnsi="Gotham" w:cs="Arial"/>
          <w:sz w:val="19"/>
          <w:szCs w:val="19"/>
        </w:rPr>
        <w:t>Artículo 5. A falta de disposición expresa en el presente Reglamento, se aplicarán de forma supletoria las normas siguientes:</w:t>
      </w:r>
    </w:p>
    <w:p w14:paraId="3A474360" w14:textId="77777777" w:rsidR="00016FE1" w:rsidRPr="009A4058" w:rsidRDefault="00016FE1" w:rsidP="002B6227">
      <w:pPr>
        <w:ind w:left="284" w:right="283"/>
        <w:jc w:val="both"/>
        <w:rPr>
          <w:rFonts w:ascii="Gotham" w:hAnsi="Gotham" w:cs="Arial"/>
          <w:sz w:val="19"/>
          <w:szCs w:val="19"/>
        </w:rPr>
      </w:pPr>
    </w:p>
    <w:p w14:paraId="3A474361"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 </w:t>
      </w:r>
      <w:r>
        <w:rPr>
          <w:rFonts w:ascii="Gotham" w:hAnsi="Gotham" w:cs="Arial"/>
          <w:sz w:val="19"/>
          <w:szCs w:val="19"/>
        </w:rPr>
        <w:tab/>
      </w:r>
      <w:r w:rsidRPr="009A4058">
        <w:rPr>
          <w:rFonts w:ascii="Gotham" w:hAnsi="Gotham" w:cs="Arial"/>
          <w:sz w:val="19"/>
          <w:szCs w:val="19"/>
        </w:rPr>
        <w:t>Ley Federal para Prevenir y eliminar la Discriminación;</w:t>
      </w:r>
    </w:p>
    <w:p w14:paraId="3A474362"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 </w:t>
      </w:r>
      <w:r>
        <w:rPr>
          <w:rFonts w:ascii="Gotham" w:hAnsi="Gotham" w:cs="Arial"/>
          <w:sz w:val="19"/>
          <w:szCs w:val="19"/>
        </w:rPr>
        <w:tab/>
      </w:r>
      <w:r w:rsidRPr="009A4058">
        <w:rPr>
          <w:rFonts w:ascii="Gotham" w:hAnsi="Gotham" w:cs="Arial"/>
          <w:sz w:val="19"/>
          <w:szCs w:val="19"/>
        </w:rPr>
        <w:t>Ley General de Cultura y Derechos Culturales;</w:t>
      </w:r>
    </w:p>
    <w:p w14:paraId="3A474363"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III. </w:t>
      </w:r>
      <w:r>
        <w:rPr>
          <w:rFonts w:ascii="Gotham" w:hAnsi="Gotham" w:cs="Arial"/>
          <w:sz w:val="19"/>
          <w:szCs w:val="19"/>
        </w:rPr>
        <w:tab/>
      </w:r>
      <w:r w:rsidRPr="009A4058">
        <w:rPr>
          <w:rFonts w:ascii="Gotham" w:hAnsi="Gotham" w:cs="Arial"/>
          <w:sz w:val="19"/>
          <w:szCs w:val="19"/>
        </w:rPr>
        <w:t>Ley Estatal para Promover la Igualdad, Prevenir y Eliminar la Discriminación en el Estado de Jalisco;</w:t>
      </w:r>
    </w:p>
    <w:p w14:paraId="3A474364"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 xml:space="preserve">IV. </w:t>
      </w:r>
      <w:r>
        <w:rPr>
          <w:rFonts w:ascii="Gotham" w:hAnsi="Gotham" w:cs="Arial"/>
          <w:sz w:val="19"/>
          <w:szCs w:val="19"/>
        </w:rPr>
        <w:tab/>
      </w:r>
      <w:r w:rsidRPr="009A4058">
        <w:rPr>
          <w:rFonts w:ascii="Gotham" w:hAnsi="Gotham" w:cs="Arial"/>
          <w:sz w:val="19"/>
          <w:szCs w:val="19"/>
        </w:rPr>
        <w:t>Así como la legislación aplicable en la materia.</w:t>
      </w:r>
    </w:p>
    <w:p w14:paraId="3A474365" w14:textId="77777777" w:rsidR="00016FE1" w:rsidRPr="009A4058" w:rsidRDefault="00016FE1" w:rsidP="002B6227">
      <w:pPr>
        <w:ind w:left="284" w:right="283"/>
        <w:jc w:val="both"/>
        <w:rPr>
          <w:rFonts w:ascii="Gotham" w:hAnsi="Gotham" w:cs="Arial"/>
          <w:sz w:val="19"/>
          <w:szCs w:val="19"/>
        </w:rPr>
      </w:pPr>
    </w:p>
    <w:p w14:paraId="3A474366"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6. Para los efectos de este Reglamento, se entenderá por:</w:t>
      </w:r>
    </w:p>
    <w:p w14:paraId="3A474367" w14:textId="77777777" w:rsidR="00016FE1" w:rsidRPr="009A4058" w:rsidRDefault="00016FE1" w:rsidP="002B6227">
      <w:pPr>
        <w:ind w:left="284" w:right="283"/>
        <w:jc w:val="both"/>
        <w:rPr>
          <w:rFonts w:ascii="Gotham" w:hAnsi="Gotham" w:cs="Arial"/>
          <w:sz w:val="19"/>
          <w:szCs w:val="19"/>
        </w:rPr>
      </w:pPr>
    </w:p>
    <w:p w14:paraId="3A474368"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 </w:t>
      </w:r>
      <w:r>
        <w:rPr>
          <w:rFonts w:ascii="Gotham" w:hAnsi="Gotham" w:cs="Arial"/>
          <w:sz w:val="19"/>
          <w:szCs w:val="19"/>
        </w:rPr>
        <w:tab/>
      </w:r>
      <w:r w:rsidRPr="009A4058">
        <w:rPr>
          <w:rFonts w:ascii="Gotham" w:hAnsi="Gotham" w:cs="Arial"/>
          <w:sz w:val="19"/>
          <w:szCs w:val="19"/>
        </w:rPr>
        <w:t>Atención integral: conjunto de acciones tendientes a atender las necesidades de las personas de la población LGBT+ que sin importar su apariencia u orientación sexual o identidad de género acudan al ayuntamiento a realizar trámites y/o servicios, para propiciar su pleno desarrollo y garantizar sus derechos.</w:t>
      </w:r>
    </w:p>
    <w:p w14:paraId="3A474369"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 </w:t>
      </w:r>
      <w:r>
        <w:rPr>
          <w:rFonts w:ascii="Gotham" w:hAnsi="Gotham" w:cs="Arial"/>
          <w:sz w:val="19"/>
          <w:szCs w:val="19"/>
        </w:rPr>
        <w:tab/>
      </w:r>
      <w:r w:rsidRPr="009A4058">
        <w:rPr>
          <w:rFonts w:ascii="Gotham" w:hAnsi="Gotham" w:cs="Arial"/>
          <w:sz w:val="19"/>
          <w:szCs w:val="19"/>
        </w:rPr>
        <w:t>Ayuntamiento: Ayuntamiento Constitucional de Tonalá, Jalisco y sus dependencias Desconcentrados y Descentralizado</w:t>
      </w:r>
    </w:p>
    <w:p w14:paraId="3A47436A"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III. </w:t>
      </w:r>
      <w:r>
        <w:rPr>
          <w:rFonts w:ascii="Gotham" w:hAnsi="Gotham" w:cs="Arial"/>
          <w:sz w:val="19"/>
          <w:szCs w:val="19"/>
        </w:rPr>
        <w:tab/>
      </w:r>
      <w:r w:rsidRPr="009A4058">
        <w:rPr>
          <w:rFonts w:ascii="Gotham" w:hAnsi="Gotham" w:cs="Arial"/>
          <w:sz w:val="19"/>
          <w:szCs w:val="19"/>
        </w:rPr>
        <w:t>Discriminación: Cualquier acto u omisión que generen las personas y/o autoridad al realizar distinción, exclusión, o restricción de los derechos de las personas de la población LGBT+, motivado por origen étnico o nacional, apariencia física, color de piel, lengua, su apariencia u orientación sexual o identidad de género.</w:t>
      </w:r>
    </w:p>
    <w:p w14:paraId="3A47436B" w14:textId="0616B1F3" w:rsidR="00016FE1" w:rsidRPr="009A4058" w:rsidRDefault="00016FE1" w:rsidP="002B6227">
      <w:pPr>
        <w:spacing w:after="120"/>
        <w:ind w:left="851" w:right="283" w:hanging="143"/>
        <w:jc w:val="both"/>
        <w:rPr>
          <w:rFonts w:ascii="Gotham" w:hAnsi="Gotham" w:cs="Arial"/>
          <w:sz w:val="19"/>
          <w:szCs w:val="19"/>
        </w:rPr>
      </w:pPr>
      <w:r w:rsidRPr="009A4058">
        <w:rPr>
          <w:rFonts w:ascii="Gotham" w:hAnsi="Gotham" w:cs="Arial"/>
          <w:sz w:val="19"/>
          <w:szCs w:val="19"/>
        </w:rPr>
        <w:t xml:space="preserve">También se considerará discriminación la misoginia, </w:t>
      </w:r>
      <w:r w:rsidR="0015568D" w:rsidRPr="009A4058">
        <w:rPr>
          <w:rFonts w:ascii="Gotham" w:hAnsi="Gotham" w:cs="Arial"/>
          <w:sz w:val="19"/>
          <w:szCs w:val="19"/>
        </w:rPr>
        <w:t>diversofobia</w:t>
      </w:r>
      <w:r w:rsidRPr="009A4058">
        <w:rPr>
          <w:rFonts w:ascii="Gotham" w:hAnsi="Gotham" w:cs="Arial"/>
          <w:sz w:val="19"/>
          <w:szCs w:val="19"/>
        </w:rPr>
        <w:t xml:space="preserve"> o cualquier manifestación de y otras formas conexas de intolerancia por motivos de las características sexuales de las personas o cualquier otra que atente contra la dignidad humana;</w:t>
      </w:r>
    </w:p>
    <w:p w14:paraId="3A47436C"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IV. </w:t>
      </w:r>
      <w:r>
        <w:rPr>
          <w:rFonts w:ascii="Gotham" w:hAnsi="Gotham" w:cs="Arial"/>
          <w:sz w:val="19"/>
          <w:szCs w:val="19"/>
        </w:rPr>
        <w:tab/>
      </w:r>
      <w:r w:rsidRPr="009A4058">
        <w:rPr>
          <w:rFonts w:ascii="Gotham" w:hAnsi="Gotham" w:cs="Arial"/>
          <w:sz w:val="19"/>
          <w:szCs w:val="19"/>
        </w:rPr>
        <w:t xml:space="preserve">Diversidad sexual y de Género: Todas las posibilidades que tienen las personas de asumir, expresar y vivir la sexualidad, así como de asumir expresiones, preferencias u orientaciones e identidades de género distintas en cada cultura y persona </w:t>
      </w:r>
    </w:p>
    <w:p w14:paraId="3A47436D"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 </w:t>
      </w:r>
      <w:r>
        <w:rPr>
          <w:rFonts w:ascii="Gotham" w:hAnsi="Gotham" w:cs="Arial"/>
          <w:sz w:val="19"/>
          <w:szCs w:val="19"/>
        </w:rPr>
        <w:tab/>
      </w:r>
      <w:r w:rsidRPr="009A4058">
        <w:rPr>
          <w:rFonts w:ascii="Gotham" w:hAnsi="Gotham" w:cs="Arial"/>
          <w:sz w:val="19"/>
          <w:szCs w:val="19"/>
        </w:rPr>
        <w:t>Expresión de género:</w:t>
      </w:r>
      <w:r w:rsidR="00B76E88">
        <w:rPr>
          <w:rFonts w:ascii="Gotham" w:hAnsi="Gotham" w:cs="Arial"/>
          <w:sz w:val="19"/>
          <w:szCs w:val="19"/>
        </w:rPr>
        <w:t xml:space="preserve"> </w:t>
      </w:r>
      <w:r w:rsidRPr="009A4058">
        <w:rPr>
          <w:rFonts w:ascii="Gotham" w:hAnsi="Gotham" w:cs="Arial"/>
          <w:sz w:val="19"/>
          <w:szCs w:val="19"/>
        </w:rPr>
        <w:t>Se entiende como la manifestación externa del género de una persona, a través de su aspecto físico, la cual puede incluir el modo de vestir, el peinado o la utilización de artículos cosméticos, de la forma de hablar, de patrones de comportamiento personal, de comportamiento o interacción social, de nombres o referencias personales, entre otros. La expresión de género de una persona puede o no corresponder con su identidad de género auto-percibida;</w:t>
      </w:r>
    </w:p>
    <w:p w14:paraId="3A47436E"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lastRenderedPageBreak/>
        <w:t xml:space="preserve">VI. </w:t>
      </w:r>
      <w:r>
        <w:rPr>
          <w:rFonts w:ascii="Gotham" w:hAnsi="Gotham" w:cs="Arial"/>
          <w:sz w:val="19"/>
          <w:szCs w:val="19"/>
        </w:rPr>
        <w:tab/>
      </w:r>
      <w:r w:rsidRPr="009A4058">
        <w:rPr>
          <w:rFonts w:ascii="Gotham" w:hAnsi="Gotham" w:cs="Arial"/>
          <w:sz w:val="19"/>
          <w:szCs w:val="19"/>
        </w:rPr>
        <w:t>La Población LGBT+: Grupo de atención prioritaria integrado por personas Lesbianas, Gays, Bisexuales, Trans, Intersexuales, Queer, Cisgénero o aquellas con orientaciones, géneros, cuerpos, identidades, expresiones y prácticas que no se auto adscriben a la heteronormatividad o cisnormatividad;</w:t>
      </w:r>
    </w:p>
    <w:p w14:paraId="3A47436F"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VIII. </w:t>
      </w:r>
      <w:r>
        <w:rPr>
          <w:rFonts w:ascii="Gotham" w:hAnsi="Gotham" w:cs="Arial"/>
          <w:sz w:val="19"/>
          <w:szCs w:val="19"/>
        </w:rPr>
        <w:tab/>
      </w:r>
      <w:r w:rsidRPr="009A4058">
        <w:rPr>
          <w:rFonts w:ascii="Gotham" w:hAnsi="Gotham" w:cs="Arial"/>
          <w:sz w:val="19"/>
          <w:szCs w:val="19"/>
        </w:rPr>
        <w:t>Género: Se refiere al a las características que social, histórica, cultural, económica, política y geográficamente se atribuyen a los seres humanos de cada sexo, entendido este desde un punto de vista sociocultural en lugar de exclusivamente biológico.</w:t>
      </w:r>
    </w:p>
    <w:p w14:paraId="3A474370"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VII. </w:t>
      </w:r>
      <w:r>
        <w:rPr>
          <w:rFonts w:ascii="Gotham" w:hAnsi="Gotham" w:cs="Arial"/>
          <w:sz w:val="19"/>
          <w:szCs w:val="19"/>
        </w:rPr>
        <w:tab/>
      </w:r>
      <w:r w:rsidRPr="009A4058">
        <w:rPr>
          <w:rFonts w:ascii="Gotham" w:hAnsi="Gotham" w:cs="Arial"/>
          <w:sz w:val="19"/>
          <w:szCs w:val="19"/>
        </w:rPr>
        <w:t>Jefatura: Jefatura de Diversidad Sexual y de Género de Ayuntamiento de Tonalá, Jalisco. Dependiente del Organismo Público Descentralizado Instituto Municipal de la Mujer para la Igualdad Sustantiva en Tonalá, Jalisco.</w:t>
      </w:r>
    </w:p>
    <w:p w14:paraId="3A474371"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IX. </w:t>
      </w:r>
      <w:r>
        <w:rPr>
          <w:rFonts w:ascii="Gotham" w:hAnsi="Gotham" w:cs="Arial"/>
          <w:sz w:val="19"/>
          <w:szCs w:val="19"/>
        </w:rPr>
        <w:tab/>
      </w:r>
      <w:r w:rsidRPr="009A4058">
        <w:rPr>
          <w:rFonts w:ascii="Gotham" w:hAnsi="Gotham" w:cs="Arial"/>
          <w:sz w:val="19"/>
          <w:szCs w:val="19"/>
        </w:rPr>
        <w:t>Heteronormatividad: Sesgo cultural que se entiende como la forma de ver el mundo a partir de dos sexos, dos géneros y legitimando a la heterosexualidad como la única orientación sexual aceptada social y culturalmente;</w:t>
      </w:r>
    </w:p>
    <w:p w14:paraId="3A474372"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 </w:t>
      </w:r>
      <w:r>
        <w:rPr>
          <w:rFonts w:ascii="Gotham" w:hAnsi="Gotham" w:cs="Arial"/>
          <w:sz w:val="19"/>
          <w:szCs w:val="19"/>
        </w:rPr>
        <w:tab/>
      </w:r>
      <w:r w:rsidRPr="009A4058">
        <w:rPr>
          <w:rFonts w:ascii="Gotham" w:hAnsi="Gotham" w:cs="Arial"/>
          <w:sz w:val="19"/>
          <w:szCs w:val="19"/>
        </w:rPr>
        <w:t>Heterosexual: Aquellas personas que se sienten atraídas por el Sexo opuesto;</w:t>
      </w:r>
    </w:p>
    <w:p w14:paraId="3A474373"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XI. </w:t>
      </w:r>
      <w:r>
        <w:rPr>
          <w:rFonts w:ascii="Gotham" w:hAnsi="Gotham" w:cs="Arial"/>
          <w:sz w:val="19"/>
          <w:szCs w:val="19"/>
        </w:rPr>
        <w:tab/>
      </w:r>
      <w:r w:rsidRPr="009A4058">
        <w:rPr>
          <w:rFonts w:ascii="Gotham" w:hAnsi="Gotham" w:cs="Arial"/>
          <w:sz w:val="19"/>
          <w:szCs w:val="19"/>
        </w:rPr>
        <w:t>Identidad de Género: Es la vivencia interna e individual del género, tal como cada persona la siente y puede corresponder o no con el sexo asignado al nacer. Incluye la vivencia personal del propio cuerpo. Incluye otras expresiones de género como la vestimenta, el modo de hablar y los modales;</w:t>
      </w:r>
    </w:p>
    <w:p w14:paraId="3A474374"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XII. </w:t>
      </w:r>
      <w:r>
        <w:rPr>
          <w:rFonts w:ascii="Gotham" w:hAnsi="Gotham" w:cs="Arial"/>
          <w:sz w:val="19"/>
          <w:szCs w:val="19"/>
        </w:rPr>
        <w:tab/>
      </w:r>
      <w:r w:rsidRPr="009A4058">
        <w:rPr>
          <w:rFonts w:ascii="Gotham" w:hAnsi="Gotham" w:cs="Arial"/>
          <w:sz w:val="19"/>
          <w:szCs w:val="19"/>
        </w:rPr>
        <w:t>Perspectiva de género: Herramienta conceptual que busca mostrar que las diferencias entre personas se dan no sólo por determinación biológica, sino también por las diferencias culturales asignadas a los seres humanos.</w:t>
      </w:r>
    </w:p>
    <w:p w14:paraId="3A474375"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XIII. </w:t>
      </w:r>
      <w:r>
        <w:rPr>
          <w:rFonts w:ascii="Gotham" w:hAnsi="Gotham" w:cs="Arial"/>
          <w:sz w:val="19"/>
          <w:szCs w:val="19"/>
        </w:rPr>
        <w:tab/>
      </w:r>
      <w:r w:rsidRPr="009A4058">
        <w:rPr>
          <w:rFonts w:ascii="Gotham" w:hAnsi="Gotham" w:cs="Arial"/>
          <w:sz w:val="19"/>
          <w:szCs w:val="19"/>
        </w:rPr>
        <w:t>Programa: Programa Municipal para Prevenir, Atender y Eliminar la Discriminación</w:t>
      </w:r>
    </w:p>
    <w:p w14:paraId="3A474376"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XIV. </w:t>
      </w:r>
      <w:r>
        <w:rPr>
          <w:rFonts w:ascii="Gotham" w:hAnsi="Gotham" w:cs="Arial"/>
          <w:sz w:val="19"/>
          <w:szCs w:val="19"/>
        </w:rPr>
        <w:tab/>
      </w:r>
      <w:r w:rsidRPr="009A4058">
        <w:rPr>
          <w:rFonts w:ascii="Gotham" w:hAnsi="Gotham" w:cs="Arial"/>
          <w:sz w:val="19"/>
          <w:szCs w:val="19"/>
        </w:rPr>
        <w:t>Reglamento: Reglamento para Promover, Respetar, Proteger y Garantizar, Los Derechos de Las Personas de La Población LGBT+ en el Municipio de Tonalá, Jalisco.</w:t>
      </w:r>
    </w:p>
    <w:p w14:paraId="3A474377"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XV. </w:t>
      </w:r>
      <w:r>
        <w:rPr>
          <w:rFonts w:ascii="Gotham" w:hAnsi="Gotham" w:cs="Arial"/>
          <w:sz w:val="19"/>
          <w:szCs w:val="19"/>
        </w:rPr>
        <w:tab/>
      </w:r>
      <w:r w:rsidRPr="009A4058">
        <w:rPr>
          <w:rFonts w:ascii="Gotham" w:hAnsi="Gotham" w:cs="Arial"/>
          <w:sz w:val="19"/>
          <w:szCs w:val="19"/>
        </w:rPr>
        <w:t>Sexo: La suma de características biológicas, anatómicas, fisiológicas de los seres humanos que los definen como hombre o mujer (varón o hembra).</w:t>
      </w:r>
    </w:p>
    <w:p w14:paraId="3A474378"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 xml:space="preserve">XVI. </w:t>
      </w:r>
      <w:r>
        <w:rPr>
          <w:rFonts w:ascii="Gotham" w:hAnsi="Gotham" w:cs="Arial"/>
          <w:sz w:val="19"/>
          <w:szCs w:val="19"/>
        </w:rPr>
        <w:tab/>
      </w:r>
      <w:r w:rsidRPr="009A4058">
        <w:rPr>
          <w:rFonts w:ascii="Gotham" w:hAnsi="Gotham" w:cs="Arial"/>
          <w:sz w:val="19"/>
          <w:szCs w:val="19"/>
        </w:rPr>
        <w:t>Sistema: Sistema Municipal para Prevenir, Atender y Eliminar la Discriminación.</w:t>
      </w:r>
    </w:p>
    <w:p w14:paraId="3A474379" w14:textId="77777777" w:rsidR="00016FE1" w:rsidRDefault="00016FE1" w:rsidP="002B6227">
      <w:pPr>
        <w:ind w:left="284" w:right="283"/>
        <w:jc w:val="both"/>
        <w:rPr>
          <w:rFonts w:ascii="Gotham" w:hAnsi="Gotham" w:cs="Arial"/>
          <w:sz w:val="19"/>
          <w:szCs w:val="19"/>
        </w:rPr>
      </w:pPr>
    </w:p>
    <w:p w14:paraId="3A47437A" w14:textId="77777777" w:rsidR="00016FE1" w:rsidRPr="009A4058" w:rsidRDefault="00016FE1" w:rsidP="002B6227">
      <w:pPr>
        <w:ind w:left="284" w:right="283"/>
        <w:jc w:val="both"/>
        <w:rPr>
          <w:rFonts w:ascii="Gotham" w:hAnsi="Gotham" w:cs="Arial"/>
          <w:sz w:val="19"/>
          <w:szCs w:val="19"/>
        </w:rPr>
      </w:pPr>
    </w:p>
    <w:p w14:paraId="3A47437B"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CAPÍTULO II</w:t>
      </w:r>
    </w:p>
    <w:p w14:paraId="3A47437C"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DE LOS DERECHOS DE LAS PERSONAS DE LA POBLACIÓN LGBT+</w:t>
      </w:r>
    </w:p>
    <w:p w14:paraId="3A47437D" w14:textId="77777777" w:rsidR="00016FE1" w:rsidRPr="009A4058" w:rsidRDefault="00016FE1" w:rsidP="002B6227">
      <w:pPr>
        <w:ind w:left="284" w:right="283"/>
        <w:jc w:val="both"/>
        <w:rPr>
          <w:rFonts w:ascii="Gotham" w:hAnsi="Gotham" w:cs="Arial"/>
          <w:sz w:val="19"/>
          <w:szCs w:val="19"/>
        </w:rPr>
      </w:pPr>
    </w:p>
    <w:p w14:paraId="3A47437E"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7. Todas las personas de La Población LGBT+ que residen y/o transitan en el municipio tienen derecho a una vida digna y libre de violencia de género. Ninguna persona podrá́ ser socialmente marginada o discriminada en ning</w:t>
      </w:r>
      <w:r w:rsidRPr="009A4058">
        <w:rPr>
          <w:rFonts w:ascii="Gotham" w:hAnsi="Gotham" w:cs="Gotham"/>
          <w:sz w:val="19"/>
          <w:szCs w:val="19"/>
        </w:rPr>
        <w:t>ú</w:t>
      </w:r>
      <w:r w:rsidRPr="009A4058">
        <w:rPr>
          <w:rFonts w:ascii="Gotham" w:hAnsi="Gotham" w:cs="Arial"/>
          <w:sz w:val="19"/>
          <w:szCs w:val="19"/>
        </w:rPr>
        <w:t>n espacio p</w:t>
      </w:r>
      <w:r w:rsidRPr="009A4058">
        <w:rPr>
          <w:rFonts w:ascii="Gotham" w:hAnsi="Gotham" w:cs="Gotham"/>
          <w:sz w:val="19"/>
          <w:szCs w:val="19"/>
        </w:rPr>
        <w:t>ú</w:t>
      </w:r>
      <w:r w:rsidRPr="009A4058">
        <w:rPr>
          <w:rFonts w:ascii="Gotham" w:hAnsi="Gotham" w:cs="Arial"/>
          <w:sz w:val="19"/>
          <w:szCs w:val="19"/>
        </w:rPr>
        <w:t>blico o privado.</w:t>
      </w:r>
    </w:p>
    <w:p w14:paraId="3A47437F" w14:textId="77777777" w:rsidR="00016FE1" w:rsidRPr="009A4058" w:rsidRDefault="00016FE1" w:rsidP="002B6227">
      <w:pPr>
        <w:ind w:left="284" w:right="283"/>
        <w:jc w:val="both"/>
        <w:rPr>
          <w:rFonts w:ascii="Gotham" w:hAnsi="Gotham" w:cs="Arial"/>
          <w:sz w:val="19"/>
          <w:szCs w:val="19"/>
        </w:rPr>
      </w:pPr>
    </w:p>
    <w:p w14:paraId="3A474380"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8. Todas las personas tienen derecho a ejercer el libre desarrollo de su personalidad sea de género o por su diversidad sexual.</w:t>
      </w:r>
    </w:p>
    <w:p w14:paraId="3A474381" w14:textId="77777777" w:rsidR="00016FE1" w:rsidRPr="009A4058" w:rsidRDefault="00016FE1" w:rsidP="002B6227">
      <w:pPr>
        <w:ind w:left="284" w:right="283"/>
        <w:jc w:val="both"/>
        <w:rPr>
          <w:rFonts w:ascii="Gotham" w:hAnsi="Gotham" w:cs="Arial"/>
          <w:sz w:val="19"/>
          <w:szCs w:val="19"/>
        </w:rPr>
      </w:pPr>
    </w:p>
    <w:p w14:paraId="3A474382"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Las Autoridades del Ayuntamiento respetaran el aspecto biológico, sexo, comportamiento o etiologías sexuales humanas, aspecto sociológico sexual e identidades sexuales de cada persona.</w:t>
      </w:r>
    </w:p>
    <w:p w14:paraId="3A474383" w14:textId="77777777" w:rsidR="00016FE1" w:rsidRPr="009A4058" w:rsidRDefault="00016FE1" w:rsidP="002B6227">
      <w:pPr>
        <w:ind w:left="284" w:right="283"/>
        <w:jc w:val="both"/>
        <w:rPr>
          <w:rFonts w:ascii="Gotham" w:hAnsi="Gotham" w:cs="Arial"/>
          <w:sz w:val="19"/>
          <w:szCs w:val="19"/>
        </w:rPr>
      </w:pPr>
    </w:p>
    <w:p w14:paraId="3A474384"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9. Las personas de La Población LGBT+ tienen derecho a participar y ser escuchadas por el Ayuntamiento en todo aquello que les afecta, lo que implica que todas las autoridades en el ámbito de sus respectivas competencias, adoptarán medidas, protocolos y procedimientos administrativos para la satisfacción de este principio.</w:t>
      </w:r>
    </w:p>
    <w:p w14:paraId="3A474385" w14:textId="77777777" w:rsidR="00016FE1" w:rsidRPr="009A4058" w:rsidRDefault="00016FE1" w:rsidP="002B6227">
      <w:pPr>
        <w:ind w:left="284" w:right="283"/>
        <w:jc w:val="both"/>
        <w:rPr>
          <w:rFonts w:ascii="Gotham" w:hAnsi="Gotham" w:cs="Arial"/>
          <w:sz w:val="19"/>
          <w:szCs w:val="19"/>
        </w:rPr>
      </w:pPr>
    </w:p>
    <w:p w14:paraId="3A474386"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 xml:space="preserve">Artículo 10. Las personas de La Población LGBT+ participaran en la vida pública del Municipio, en el diseño e implementación de políticas, programas, proyectos que les afecten o conciernan directa o </w:t>
      </w:r>
      <w:r w:rsidRPr="009A4058">
        <w:rPr>
          <w:rFonts w:ascii="Gotham" w:hAnsi="Gotham" w:cs="Arial"/>
          <w:sz w:val="19"/>
          <w:szCs w:val="19"/>
        </w:rPr>
        <w:lastRenderedPageBreak/>
        <w:t>indirectamente; el Ayuntamiento procurarán consultar e incorporar a las personas bajo un enfoque de derechos humanos, perspectiva de género y no discriminación en sus acciones que realicen.</w:t>
      </w:r>
    </w:p>
    <w:p w14:paraId="3A474387" w14:textId="77777777" w:rsidR="00016FE1" w:rsidRDefault="00016FE1" w:rsidP="002B6227">
      <w:pPr>
        <w:ind w:left="284" w:right="283"/>
        <w:jc w:val="both"/>
        <w:rPr>
          <w:rFonts w:ascii="Gotham" w:hAnsi="Gotham" w:cs="Arial"/>
          <w:sz w:val="19"/>
          <w:szCs w:val="19"/>
        </w:rPr>
      </w:pPr>
    </w:p>
    <w:p w14:paraId="3A474388" w14:textId="77777777" w:rsidR="00016FE1" w:rsidRPr="009A4058" w:rsidRDefault="00016FE1" w:rsidP="002B6227">
      <w:pPr>
        <w:ind w:left="284" w:right="283"/>
        <w:jc w:val="both"/>
        <w:rPr>
          <w:rFonts w:ascii="Gotham" w:hAnsi="Gotham" w:cs="Arial"/>
          <w:sz w:val="19"/>
          <w:szCs w:val="19"/>
        </w:rPr>
      </w:pPr>
    </w:p>
    <w:p w14:paraId="3A474389"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CAPÍTULO III</w:t>
      </w:r>
    </w:p>
    <w:p w14:paraId="3A47438A"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LA ATRIBUCIÓN DEL AYUNTAMIENTO</w:t>
      </w:r>
    </w:p>
    <w:p w14:paraId="3A47438B" w14:textId="77777777" w:rsidR="00016FE1" w:rsidRPr="009A4058" w:rsidRDefault="00016FE1" w:rsidP="002B6227">
      <w:pPr>
        <w:ind w:left="284" w:right="283"/>
        <w:jc w:val="both"/>
        <w:rPr>
          <w:rFonts w:ascii="Gotham" w:hAnsi="Gotham" w:cs="Arial"/>
          <w:sz w:val="19"/>
          <w:szCs w:val="19"/>
        </w:rPr>
      </w:pPr>
    </w:p>
    <w:p w14:paraId="3A47438C"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11. Es atribución del Ayuntamiento con base en sus atribuciones y competencias de Ley; de respetar, proteger y garantizar los derechos de las personas de La Población LGBT+, garantizado como un derecho humano.</w:t>
      </w:r>
    </w:p>
    <w:p w14:paraId="3A47438D" w14:textId="77777777" w:rsidR="00016FE1" w:rsidRPr="009A4058" w:rsidRDefault="00016FE1" w:rsidP="002B6227">
      <w:pPr>
        <w:ind w:left="284" w:right="283"/>
        <w:jc w:val="both"/>
        <w:rPr>
          <w:rFonts w:ascii="Gotham" w:hAnsi="Gotham" w:cs="Arial"/>
          <w:sz w:val="19"/>
          <w:szCs w:val="19"/>
        </w:rPr>
      </w:pPr>
    </w:p>
    <w:p w14:paraId="3A47438E"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Deberán de incorporar medidas para prevenir la discriminación, sin importar que sea de manera directa o indirecta. Motivo por el que se crearan manuales y protocolos que atiendan la re-educación y prohíban las conductas que atenten contra la dignidad, crear un entorno intimidatorio, hostil, degradante u ofensivo, debido a su aspecto biológico, sexo, comportamiento o etiologías sexuales humanas, aspecto sociológico sexual e identidades sexuales de cada individuo.</w:t>
      </w:r>
    </w:p>
    <w:p w14:paraId="3A47438F" w14:textId="77777777" w:rsidR="00016FE1" w:rsidRPr="009A4058" w:rsidRDefault="00016FE1" w:rsidP="002B6227">
      <w:pPr>
        <w:ind w:left="284" w:right="283"/>
        <w:jc w:val="both"/>
        <w:rPr>
          <w:rFonts w:ascii="Gotham" w:hAnsi="Gotham" w:cs="Arial"/>
          <w:sz w:val="19"/>
          <w:szCs w:val="19"/>
        </w:rPr>
      </w:pPr>
    </w:p>
    <w:p w14:paraId="3A474390"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Será prioridad adoptar medidas que garanticen el pleno goce de los derechos humanos para las personas de La Población LGBT+, con la finalidad que no sean vulneradas y/o discriminadas.</w:t>
      </w:r>
    </w:p>
    <w:p w14:paraId="3A474391" w14:textId="77777777" w:rsidR="00016FE1" w:rsidRPr="009A4058" w:rsidRDefault="00016FE1" w:rsidP="002B6227">
      <w:pPr>
        <w:ind w:left="284" w:right="283"/>
        <w:jc w:val="both"/>
        <w:rPr>
          <w:rFonts w:ascii="Gotham" w:hAnsi="Gotham" w:cs="Arial"/>
          <w:sz w:val="19"/>
          <w:szCs w:val="19"/>
        </w:rPr>
      </w:pPr>
    </w:p>
    <w:p w14:paraId="3A474392"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12. El Ayuntamiento procurará, de conformidad a su capacidad presupuestaria, dentro de su estructura administrativa, destinar recursos humanos y materiales para la integración y fortalecimiento de la Jefatura de Diversidad Sexual y de Género Tonalá del Organismo Público Descentralizado para que a través de esta se brinde atención o servicio a las personas de La Población LGBT+ donde cuenten con un espacio digno y funcional adecuado que atienda con los principio de eficiencia y eficacia respetando los derechos humanos.</w:t>
      </w:r>
    </w:p>
    <w:p w14:paraId="3A474393" w14:textId="77777777" w:rsidR="00016FE1" w:rsidRPr="009A4058" w:rsidRDefault="00016FE1" w:rsidP="002B6227">
      <w:pPr>
        <w:ind w:left="284" w:right="283"/>
        <w:jc w:val="both"/>
        <w:rPr>
          <w:rFonts w:ascii="Gotham" w:hAnsi="Gotham" w:cs="Arial"/>
          <w:sz w:val="19"/>
          <w:szCs w:val="19"/>
        </w:rPr>
      </w:pPr>
    </w:p>
    <w:p w14:paraId="3A474394"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13. El Ayuntamiento, a través de sus dependencias organismos desconcentrados y descentralizados, atenderá los derechos de las personas La Población LGBT+, con apego a los principios universales de los derechos humanos mencionados en el Capítulo II de este Reglamento.</w:t>
      </w:r>
    </w:p>
    <w:p w14:paraId="3A474395" w14:textId="77777777" w:rsidR="00016FE1" w:rsidRPr="009A4058" w:rsidRDefault="00016FE1" w:rsidP="002B6227">
      <w:pPr>
        <w:ind w:left="284" w:right="283"/>
        <w:jc w:val="both"/>
        <w:rPr>
          <w:rFonts w:ascii="Gotham" w:hAnsi="Gotham" w:cs="Arial"/>
          <w:sz w:val="19"/>
          <w:szCs w:val="19"/>
        </w:rPr>
      </w:pPr>
    </w:p>
    <w:p w14:paraId="3A474396"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 xml:space="preserve">Artículo 14. Capacitar en materia de derechos humanos a todos los servidores públicos de sus dependencias para que protejan y garanticen los derechos de las personas La Población LGBT+, principalmente a aquellos que estén a cargo de brindar atención en la Jefatura de Diversidad Sexual y de Género </w:t>
      </w:r>
    </w:p>
    <w:p w14:paraId="3A474397" w14:textId="77777777" w:rsidR="00016FE1" w:rsidRPr="009A4058" w:rsidRDefault="00016FE1" w:rsidP="002B6227">
      <w:pPr>
        <w:ind w:left="284" w:right="283"/>
        <w:jc w:val="both"/>
        <w:rPr>
          <w:rFonts w:ascii="Gotham" w:hAnsi="Gotham" w:cs="Arial"/>
          <w:sz w:val="19"/>
          <w:szCs w:val="19"/>
        </w:rPr>
      </w:pPr>
    </w:p>
    <w:p w14:paraId="3A474398"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15. Celebrar convenios de colaboración y coordinación con los diferentes órganos y niveles de gobierno en materia de capacitación, no discriminación y violencia por razón de orientación diversidad sexual, expresión de género e identidad de género.</w:t>
      </w:r>
    </w:p>
    <w:p w14:paraId="3A474399" w14:textId="77777777" w:rsidR="00016FE1" w:rsidRPr="009A4058" w:rsidRDefault="00016FE1" w:rsidP="002B6227">
      <w:pPr>
        <w:ind w:left="284" w:right="283"/>
        <w:jc w:val="both"/>
        <w:rPr>
          <w:rFonts w:ascii="Gotham" w:hAnsi="Gotham" w:cs="Arial"/>
          <w:sz w:val="19"/>
          <w:szCs w:val="19"/>
        </w:rPr>
      </w:pPr>
    </w:p>
    <w:p w14:paraId="3A47439A"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16. Se busque el promover la capacitar periódicamente al personal operativo de la Coordinación del Gabinete Seguridad, Prevención, Servicios de Emergencia y Movilidad del Ayuntamiento, con la finalidad de respetar los derechos humanos de las personas de la diversidad sexual.</w:t>
      </w:r>
    </w:p>
    <w:p w14:paraId="3A47439B" w14:textId="77777777" w:rsidR="00016FE1" w:rsidRPr="009A4058" w:rsidRDefault="00016FE1" w:rsidP="002B6227">
      <w:pPr>
        <w:ind w:left="284" w:right="283"/>
        <w:jc w:val="both"/>
        <w:rPr>
          <w:rFonts w:ascii="Gotham" w:hAnsi="Gotham" w:cs="Arial"/>
          <w:sz w:val="19"/>
          <w:szCs w:val="19"/>
        </w:rPr>
      </w:pPr>
    </w:p>
    <w:p w14:paraId="3A47439C"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17. Promover la capacitar y sensibilizar en materia de diversidad sexual al personal médico de las unidades que integran los Servicios Médicos Municipales del Ayuntamiento, y con ello brindar el acceso y la prestación de los servicios de salud, programas de detección oportuna y tratamientos libres de estereotipos y sin discriminación, otorgando el más amplio estándar en la salud.</w:t>
      </w:r>
    </w:p>
    <w:p w14:paraId="3A47439D" w14:textId="77777777" w:rsidR="00016FE1" w:rsidRDefault="00016FE1" w:rsidP="002B6227">
      <w:pPr>
        <w:ind w:left="284" w:right="283"/>
        <w:jc w:val="both"/>
        <w:rPr>
          <w:rFonts w:ascii="Gotham" w:hAnsi="Gotham" w:cs="Arial"/>
          <w:sz w:val="19"/>
          <w:szCs w:val="19"/>
        </w:rPr>
      </w:pPr>
    </w:p>
    <w:p w14:paraId="3A47439E" w14:textId="77777777" w:rsidR="00016FE1" w:rsidRPr="009A4058" w:rsidRDefault="00016FE1" w:rsidP="002B6227">
      <w:pPr>
        <w:ind w:left="284" w:right="283"/>
        <w:jc w:val="both"/>
        <w:rPr>
          <w:rFonts w:ascii="Gotham" w:hAnsi="Gotham" w:cs="Arial"/>
          <w:sz w:val="19"/>
          <w:szCs w:val="19"/>
        </w:rPr>
      </w:pPr>
    </w:p>
    <w:p w14:paraId="3A47439F"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TÍTULO SEGUNDO</w:t>
      </w:r>
    </w:p>
    <w:p w14:paraId="3A4743A0"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DE LA JEFATURA DE DIVERSIDAD SEXUAL Y DE GÉNERO DE TONALÁ</w:t>
      </w:r>
    </w:p>
    <w:p w14:paraId="3A4743A1" w14:textId="77777777" w:rsidR="00016FE1" w:rsidRPr="009A4058" w:rsidRDefault="00016FE1" w:rsidP="002B6227">
      <w:pPr>
        <w:ind w:left="284" w:right="283"/>
        <w:jc w:val="center"/>
        <w:rPr>
          <w:rFonts w:ascii="Gotham" w:hAnsi="Gotham" w:cs="Arial"/>
          <w:sz w:val="19"/>
          <w:szCs w:val="19"/>
        </w:rPr>
      </w:pPr>
    </w:p>
    <w:p w14:paraId="3A4743A2"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CAPÍTULO I</w:t>
      </w:r>
    </w:p>
    <w:p w14:paraId="3A4743A3"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lastRenderedPageBreak/>
        <w:t>DE ATRIBUCIONES DE LA JEFATURA DE DIVERSIDAD SEXUAL Y DE GÉNERO DE TONALÁ</w:t>
      </w:r>
    </w:p>
    <w:p w14:paraId="3A4743A4" w14:textId="77777777" w:rsidR="00016FE1" w:rsidRPr="009A4058" w:rsidRDefault="00016FE1" w:rsidP="002B6227">
      <w:pPr>
        <w:ind w:left="284" w:right="283"/>
        <w:jc w:val="both"/>
        <w:rPr>
          <w:rFonts w:ascii="Gotham" w:hAnsi="Gotham" w:cs="Arial"/>
          <w:sz w:val="19"/>
          <w:szCs w:val="19"/>
        </w:rPr>
      </w:pPr>
    </w:p>
    <w:p w14:paraId="3A4743A5"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18. La Jefatura es el área encargada de proteger y garantizar los derechos de las personas La Población LGBT+, mediante la implementación de programas gubernamentales que generen políticas públicas municipales tendientes a garantizar los derechos Humanos de todas las personas en nuestro Municipio.</w:t>
      </w:r>
    </w:p>
    <w:p w14:paraId="3A4743A6" w14:textId="77777777" w:rsidR="00016FE1" w:rsidRPr="009A4058" w:rsidRDefault="00016FE1" w:rsidP="002B6227">
      <w:pPr>
        <w:ind w:left="284" w:right="283"/>
        <w:jc w:val="both"/>
        <w:rPr>
          <w:rFonts w:ascii="Gotham" w:hAnsi="Gotham" w:cs="Arial"/>
          <w:sz w:val="19"/>
          <w:szCs w:val="19"/>
        </w:rPr>
      </w:pPr>
    </w:p>
    <w:p w14:paraId="3A4743A7"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19. Son responsabilidades de La Jefatura Tonalá, las siguientes:</w:t>
      </w:r>
    </w:p>
    <w:p w14:paraId="3A4743A8" w14:textId="77777777" w:rsidR="00016FE1" w:rsidRPr="009A4058" w:rsidRDefault="00016FE1" w:rsidP="002B6227">
      <w:pPr>
        <w:ind w:left="284" w:right="283"/>
        <w:jc w:val="both"/>
        <w:rPr>
          <w:rFonts w:ascii="Gotham" w:hAnsi="Gotham" w:cs="Arial"/>
          <w:sz w:val="19"/>
          <w:szCs w:val="19"/>
        </w:rPr>
      </w:pPr>
    </w:p>
    <w:p w14:paraId="3A4743A9"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 </w:t>
      </w:r>
      <w:r>
        <w:rPr>
          <w:rFonts w:ascii="Gotham" w:hAnsi="Gotham" w:cs="Arial"/>
          <w:sz w:val="19"/>
          <w:szCs w:val="19"/>
        </w:rPr>
        <w:tab/>
      </w:r>
      <w:r w:rsidRPr="009A4058">
        <w:rPr>
          <w:rFonts w:ascii="Gotham" w:hAnsi="Gotham" w:cs="Arial"/>
          <w:sz w:val="19"/>
          <w:szCs w:val="19"/>
        </w:rPr>
        <w:t>Atender las personas y población de diversidad sexual, asesorar cuando requieren o sean víctimas de violencia o discriminación, Proteger en con sus derechos canalizando ante la autoridad competente;</w:t>
      </w:r>
    </w:p>
    <w:p w14:paraId="3A4743AA"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 </w:t>
      </w:r>
      <w:r>
        <w:rPr>
          <w:rFonts w:ascii="Gotham" w:hAnsi="Gotham" w:cs="Arial"/>
          <w:sz w:val="19"/>
          <w:szCs w:val="19"/>
        </w:rPr>
        <w:tab/>
      </w:r>
      <w:r w:rsidRPr="009A4058">
        <w:rPr>
          <w:rFonts w:ascii="Gotham" w:hAnsi="Gotham" w:cs="Arial"/>
          <w:sz w:val="19"/>
          <w:szCs w:val="19"/>
        </w:rPr>
        <w:t>Generar e implementar políticas públicas municipales para la protección de las personas y población de la diversidad sexual y de género.</w:t>
      </w:r>
    </w:p>
    <w:p w14:paraId="3A4743AB"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III. </w:t>
      </w:r>
      <w:r>
        <w:rPr>
          <w:rFonts w:ascii="Gotham" w:hAnsi="Gotham" w:cs="Arial"/>
          <w:sz w:val="19"/>
          <w:szCs w:val="19"/>
        </w:rPr>
        <w:tab/>
      </w:r>
      <w:r w:rsidRPr="009A4058">
        <w:rPr>
          <w:rFonts w:ascii="Gotham" w:hAnsi="Gotham" w:cs="Arial"/>
          <w:sz w:val="19"/>
          <w:szCs w:val="19"/>
        </w:rPr>
        <w:t>Promover reformas a los reglamentos municipales orientas a mejorar los servicios públicos en atención a las personas La Población LGBT+, congruencia con la legislación de nivel estatal, nacional e internacional.</w:t>
      </w:r>
    </w:p>
    <w:p w14:paraId="3A4743AC"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IV. </w:t>
      </w:r>
      <w:r>
        <w:rPr>
          <w:rFonts w:ascii="Gotham" w:hAnsi="Gotham" w:cs="Arial"/>
          <w:sz w:val="19"/>
          <w:szCs w:val="19"/>
        </w:rPr>
        <w:tab/>
      </w:r>
      <w:r w:rsidRPr="009A4058">
        <w:rPr>
          <w:rFonts w:ascii="Gotham" w:hAnsi="Gotham" w:cs="Arial"/>
          <w:sz w:val="19"/>
          <w:szCs w:val="19"/>
        </w:rPr>
        <w:t>Apoyar en todo momento a las dependencias y organismos públicos desconcentrados o descentralizados del Ayuntamiento que requieren consulta y asesoría para dotar de los servicios públicos en atención a las personas de La Población LGBT+</w:t>
      </w:r>
    </w:p>
    <w:p w14:paraId="3A4743AD"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 </w:t>
      </w:r>
      <w:r>
        <w:rPr>
          <w:rFonts w:ascii="Gotham" w:hAnsi="Gotham" w:cs="Arial"/>
          <w:sz w:val="19"/>
          <w:szCs w:val="19"/>
        </w:rPr>
        <w:tab/>
      </w:r>
      <w:r w:rsidRPr="009A4058">
        <w:rPr>
          <w:rFonts w:ascii="Gotham" w:hAnsi="Gotham" w:cs="Arial"/>
          <w:sz w:val="19"/>
          <w:szCs w:val="19"/>
        </w:rPr>
        <w:t>Atender en todo momento a las personas La Población LGBT, colectivos, instituciones de educación, académicos, especialistas y cualquier interesado que requiera, de igual forma se acompañara y coadyuvara en las actividades y proyectos que ellos organicen y así lo soliciten</w:t>
      </w:r>
    </w:p>
    <w:p w14:paraId="3A4743AE"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VI. </w:t>
      </w:r>
      <w:r>
        <w:rPr>
          <w:rFonts w:ascii="Gotham" w:hAnsi="Gotham" w:cs="Arial"/>
          <w:sz w:val="19"/>
          <w:szCs w:val="19"/>
        </w:rPr>
        <w:tab/>
        <w:t>A</w:t>
      </w:r>
      <w:r w:rsidRPr="009A4058">
        <w:rPr>
          <w:rFonts w:ascii="Gotham" w:hAnsi="Gotham" w:cs="Arial"/>
          <w:sz w:val="19"/>
          <w:szCs w:val="19"/>
        </w:rPr>
        <w:t>nalizar, promover los convenios de colaboración con los diferentes órganos y niveles de gobierno atendiendo a las personas La Población LGBT+, remitiendo al Ayuntamiento para que en su caso sean aprobados;</w:t>
      </w:r>
    </w:p>
    <w:p w14:paraId="3A4743AF"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VII. </w:t>
      </w:r>
      <w:r>
        <w:rPr>
          <w:rFonts w:ascii="Gotham" w:hAnsi="Gotham" w:cs="Arial"/>
          <w:sz w:val="19"/>
          <w:szCs w:val="19"/>
        </w:rPr>
        <w:tab/>
      </w:r>
      <w:r w:rsidRPr="009A4058">
        <w:rPr>
          <w:rFonts w:ascii="Gotham" w:hAnsi="Gotham" w:cs="Arial"/>
          <w:sz w:val="19"/>
          <w:szCs w:val="19"/>
        </w:rPr>
        <w:t>Informar al Presidente Municipal o al Ayuntamiento en su caso las acciones, proyectos y mejoras a los servicios públicos que garanticen en todo momento los derechos de las personas de La Población LGBT+, de ser necesario la implementación de nuevos programas que promuevan políticas públicas municipales; y</w:t>
      </w:r>
    </w:p>
    <w:p w14:paraId="3A4743B0"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 xml:space="preserve">VIII. </w:t>
      </w:r>
      <w:r>
        <w:rPr>
          <w:rFonts w:ascii="Gotham" w:hAnsi="Gotham" w:cs="Arial"/>
          <w:sz w:val="19"/>
          <w:szCs w:val="19"/>
        </w:rPr>
        <w:tab/>
      </w:r>
      <w:r w:rsidRPr="009A4058">
        <w:rPr>
          <w:rFonts w:ascii="Gotham" w:hAnsi="Gotham" w:cs="Arial"/>
          <w:sz w:val="19"/>
          <w:szCs w:val="19"/>
        </w:rPr>
        <w:t>Las demás previstas a la normatividad aplicable.</w:t>
      </w:r>
    </w:p>
    <w:p w14:paraId="3A4743B1" w14:textId="77777777" w:rsidR="00016FE1" w:rsidRDefault="00016FE1" w:rsidP="002B6227">
      <w:pPr>
        <w:ind w:left="284" w:right="283"/>
        <w:jc w:val="both"/>
        <w:rPr>
          <w:rFonts w:ascii="Gotham" w:hAnsi="Gotham" w:cs="Arial"/>
          <w:sz w:val="19"/>
          <w:szCs w:val="19"/>
        </w:rPr>
      </w:pPr>
    </w:p>
    <w:p w14:paraId="3A4743B2" w14:textId="77777777" w:rsidR="00016FE1" w:rsidRPr="009A4058" w:rsidRDefault="00016FE1" w:rsidP="002B6227">
      <w:pPr>
        <w:ind w:left="284" w:right="283"/>
        <w:jc w:val="both"/>
        <w:rPr>
          <w:rFonts w:ascii="Gotham" w:hAnsi="Gotham" w:cs="Arial"/>
          <w:sz w:val="19"/>
          <w:szCs w:val="19"/>
        </w:rPr>
      </w:pPr>
    </w:p>
    <w:p w14:paraId="3A4743B3"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CAPÍTULO II</w:t>
      </w:r>
    </w:p>
    <w:p w14:paraId="3A4743B4"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DEL TITULAR DE LA JEFATURA DE DIVERSIDAD SEXUAL Y DE GÉNERO DE TONALÁ</w:t>
      </w:r>
    </w:p>
    <w:p w14:paraId="3A4743B5" w14:textId="77777777" w:rsidR="00016FE1" w:rsidRPr="009A4058" w:rsidRDefault="00016FE1" w:rsidP="002B6227">
      <w:pPr>
        <w:ind w:left="284" w:right="283"/>
        <w:jc w:val="both"/>
        <w:rPr>
          <w:rFonts w:ascii="Gotham" w:hAnsi="Gotham" w:cs="Arial"/>
          <w:sz w:val="19"/>
          <w:szCs w:val="19"/>
        </w:rPr>
      </w:pPr>
    </w:p>
    <w:p w14:paraId="3A4743B6"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 xml:space="preserve">Artículo 20. La persona que ocupe La Jefatura deberá reunir por lo menos los siguientes requisitos para ser designado: </w:t>
      </w:r>
    </w:p>
    <w:p w14:paraId="3A4743B7" w14:textId="77777777" w:rsidR="00016FE1" w:rsidRPr="009A4058" w:rsidRDefault="00016FE1" w:rsidP="002B6227">
      <w:pPr>
        <w:ind w:left="284" w:right="283"/>
        <w:jc w:val="both"/>
        <w:rPr>
          <w:rFonts w:ascii="Gotham" w:hAnsi="Gotham" w:cs="Arial"/>
          <w:sz w:val="19"/>
          <w:szCs w:val="19"/>
        </w:rPr>
      </w:pPr>
    </w:p>
    <w:p w14:paraId="3A4743B8"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 </w:t>
      </w:r>
      <w:r>
        <w:rPr>
          <w:rFonts w:ascii="Gotham" w:hAnsi="Gotham" w:cs="Arial"/>
          <w:sz w:val="19"/>
          <w:szCs w:val="19"/>
        </w:rPr>
        <w:tab/>
      </w:r>
      <w:r w:rsidRPr="009A4058">
        <w:rPr>
          <w:rFonts w:ascii="Gotham" w:hAnsi="Gotham" w:cs="Arial"/>
          <w:sz w:val="19"/>
          <w:szCs w:val="19"/>
        </w:rPr>
        <w:t xml:space="preserve">Ser una persona ciudadana en pleno goce y ejercicio de sus derechos civiles y políticos; </w:t>
      </w:r>
    </w:p>
    <w:p w14:paraId="3A4743B9"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 </w:t>
      </w:r>
      <w:r>
        <w:rPr>
          <w:rFonts w:ascii="Gotham" w:hAnsi="Gotham" w:cs="Arial"/>
          <w:sz w:val="19"/>
          <w:szCs w:val="19"/>
        </w:rPr>
        <w:tab/>
      </w:r>
      <w:r w:rsidRPr="009A4058">
        <w:rPr>
          <w:rFonts w:ascii="Gotham" w:hAnsi="Gotham" w:cs="Arial"/>
          <w:sz w:val="19"/>
          <w:szCs w:val="19"/>
        </w:rPr>
        <w:t>Tener probada capacidad y honorabilidad;</w:t>
      </w:r>
    </w:p>
    <w:p w14:paraId="3A4743BA"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III. </w:t>
      </w:r>
      <w:r>
        <w:rPr>
          <w:rFonts w:ascii="Gotham" w:hAnsi="Gotham" w:cs="Arial"/>
          <w:sz w:val="19"/>
          <w:szCs w:val="19"/>
        </w:rPr>
        <w:tab/>
        <w:t>S</w:t>
      </w:r>
      <w:r w:rsidRPr="009A4058">
        <w:rPr>
          <w:rFonts w:ascii="Gotham" w:hAnsi="Gotham" w:cs="Arial"/>
          <w:sz w:val="19"/>
          <w:szCs w:val="19"/>
        </w:rPr>
        <w:t xml:space="preserve">er persona que pertenezca a la población de la Diversidad Sexual; y </w:t>
      </w:r>
    </w:p>
    <w:p w14:paraId="3A4743BB"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IV. </w:t>
      </w:r>
      <w:r>
        <w:rPr>
          <w:rFonts w:ascii="Gotham" w:hAnsi="Gotham" w:cs="Arial"/>
          <w:sz w:val="19"/>
          <w:szCs w:val="19"/>
        </w:rPr>
        <w:tab/>
      </w:r>
      <w:r w:rsidRPr="009A4058">
        <w:rPr>
          <w:rFonts w:ascii="Gotham" w:hAnsi="Gotham" w:cs="Arial"/>
          <w:sz w:val="19"/>
          <w:szCs w:val="19"/>
        </w:rPr>
        <w:t>Tener capacidad y experiencia comprobable en la defensa de los derechos humanos de la personas y población de la Diversidad Sexual; y</w:t>
      </w:r>
    </w:p>
    <w:p w14:paraId="3A4743BC"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 xml:space="preserve">V. </w:t>
      </w:r>
      <w:r>
        <w:rPr>
          <w:rFonts w:ascii="Gotham" w:hAnsi="Gotham" w:cs="Arial"/>
          <w:sz w:val="19"/>
          <w:szCs w:val="19"/>
        </w:rPr>
        <w:tab/>
      </w:r>
      <w:r w:rsidRPr="009A4058">
        <w:rPr>
          <w:rFonts w:ascii="Gotham" w:hAnsi="Gotham" w:cs="Arial"/>
          <w:sz w:val="19"/>
          <w:szCs w:val="19"/>
        </w:rPr>
        <w:t>Preferente en caso de ser profesionista acreditara con Título.</w:t>
      </w:r>
    </w:p>
    <w:p w14:paraId="3A4743BD" w14:textId="77777777" w:rsidR="00016FE1" w:rsidRDefault="00016FE1" w:rsidP="002B6227">
      <w:pPr>
        <w:ind w:left="284" w:right="283"/>
        <w:jc w:val="both"/>
        <w:rPr>
          <w:rFonts w:ascii="Gotham" w:hAnsi="Gotham" w:cs="Arial"/>
          <w:sz w:val="19"/>
          <w:szCs w:val="19"/>
        </w:rPr>
      </w:pPr>
    </w:p>
    <w:p w14:paraId="3A4743BE" w14:textId="77777777" w:rsidR="00016FE1" w:rsidRPr="009A4058" w:rsidRDefault="00016FE1" w:rsidP="002B6227">
      <w:pPr>
        <w:ind w:left="284" w:right="283"/>
        <w:jc w:val="both"/>
        <w:rPr>
          <w:rFonts w:ascii="Gotham" w:hAnsi="Gotham" w:cs="Arial"/>
          <w:sz w:val="19"/>
          <w:szCs w:val="19"/>
        </w:rPr>
      </w:pPr>
    </w:p>
    <w:p w14:paraId="3A4743BF"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TITULO TERCERO</w:t>
      </w:r>
    </w:p>
    <w:p w14:paraId="3A4743C0"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 xml:space="preserve">DE LAS HERRAMIENTAS Y MECANISMOS PARA </w:t>
      </w:r>
    </w:p>
    <w:p w14:paraId="3A4743C1"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lastRenderedPageBreak/>
        <w:t>PREVENIR, ATENDER Y ELIMINAR LA DISCRIMINACIÓN</w:t>
      </w:r>
    </w:p>
    <w:p w14:paraId="3A4743C2" w14:textId="77777777" w:rsidR="00016FE1" w:rsidRPr="009A4058" w:rsidRDefault="00016FE1" w:rsidP="002B6227">
      <w:pPr>
        <w:ind w:left="284" w:right="283"/>
        <w:jc w:val="center"/>
        <w:rPr>
          <w:rFonts w:ascii="Gotham" w:hAnsi="Gotham" w:cs="Arial"/>
          <w:sz w:val="19"/>
          <w:szCs w:val="19"/>
        </w:rPr>
      </w:pPr>
    </w:p>
    <w:p w14:paraId="3A4743C3"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CAPÍTULO I</w:t>
      </w:r>
    </w:p>
    <w:p w14:paraId="3A4743C4" w14:textId="77777777" w:rsidR="00016FE1" w:rsidRPr="009A4058" w:rsidRDefault="00016FE1" w:rsidP="002B6227">
      <w:pPr>
        <w:ind w:left="284" w:right="283"/>
        <w:jc w:val="center"/>
        <w:rPr>
          <w:rFonts w:ascii="Gotham" w:hAnsi="Gotham" w:cs="Arial"/>
          <w:sz w:val="19"/>
          <w:szCs w:val="19"/>
        </w:rPr>
      </w:pPr>
      <w:r w:rsidRPr="009A4058">
        <w:rPr>
          <w:rFonts w:ascii="Gotham" w:hAnsi="Gotham" w:cs="Arial"/>
          <w:sz w:val="19"/>
          <w:szCs w:val="19"/>
        </w:rPr>
        <w:t>DEL SISTEMA PARA PREVENIR, ATENDER Y ELIMINAR LA DISCRIMINACIÓN.</w:t>
      </w:r>
    </w:p>
    <w:p w14:paraId="3A4743C5" w14:textId="77777777" w:rsidR="00016FE1" w:rsidRPr="009A4058" w:rsidRDefault="00016FE1" w:rsidP="002B6227">
      <w:pPr>
        <w:ind w:left="284" w:right="283"/>
        <w:jc w:val="both"/>
        <w:rPr>
          <w:rFonts w:ascii="Gotham" w:hAnsi="Gotham" w:cs="Arial"/>
          <w:sz w:val="19"/>
          <w:szCs w:val="19"/>
        </w:rPr>
      </w:pPr>
    </w:p>
    <w:p w14:paraId="3A4743C6"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21. El Sistema para Prevenir, Atender y Eliminar la Discriminación es el órgano colegiado encargado de proponer, establecer y dar seguimiento a la implementación del Programa Municipal para Prevenir, Atender y Eliminar la Discriminación, que tiene por objeto marcar la ruta para garantizar la transversalización de la perspectiva de derechos humanos en toda la administración pública de Tonalá, conforme a la legislación municipal, estatal, nacional e internacional aplicable.</w:t>
      </w:r>
    </w:p>
    <w:p w14:paraId="3A4743C7" w14:textId="77777777" w:rsidR="00016FE1" w:rsidRPr="009A4058" w:rsidRDefault="00016FE1" w:rsidP="002B6227">
      <w:pPr>
        <w:ind w:left="284" w:right="283"/>
        <w:jc w:val="both"/>
        <w:rPr>
          <w:rFonts w:ascii="Gotham" w:hAnsi="Gotham" w:cs="Arial"/>
          <w:sz w:val="19"/>
          <w:szCs w:val="19"/>
        </w:rPr>
      </w:pPr>
    </w:p>
    <w:p w14:paraId="3A4743C8"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22. El Sistema estará integrado de la siguiente manera:</w:t>
      </w:r>
    </w:p>
    <w:p w14:paraId="3A4743C9" w14:textId="77777777" w:rsidR="00016FE1" w:rsidRDefault="00016FE1" w:rsidP="002B6227">
      <w:pPr>
        <w:ind w:left="284" w:right="283"/>
        <w:jc w:val="both"/>
        <w:rPr>
          <w:rFonts w:ascii="Gotham" w:hAnsi="Gotham" w:cs="Arial"/>
          <w:sz w:val="19"/>
          <w:szCs w:val="19"/>
        </w:rPr>
      </w:pPr>
    </w:p>
    <w:p w14:paraId="3A4743CA"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 </w:t>
      </w:r>
      <w:r>
        <w:rPr>
          <w:rFonts w:ascii="Gotham" w:hAnsi="Gotham" w:cs="Arial"/>
          <w:sz w:val="19"/>
          <w:szCs w:val="19"/>
        </w:rPr>
        <w:tab/>
      </w:r>
      <w:r w:rsidRPr="009A4058">
        <w:rPr>
          <w:rFonts w:ascii="Gotham" w:hAnsi="Gotham" w:cs="Arial"/>
          <w:sz w:val="19"/>
          <w:szCs w:val="19"/>
        </w:rPr>
        <w:t xml:space="preserve">La persona titular de la presidencia municipal, quien presidirá el Sistema; </w:t>
      </w:r>
    </w:p>
    <w:p w14:paraId="3A4743CB"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 </w:t>
      </w:r>
      <w:r>
        <w:rPr>
          <w:rFonts w:ascii="Gotham" w:hAnsi="Gotham" w:cs="Arial"/>
          <w:sz w:val="19"/>
          <w:szCs w:val="19"/>
        </w:rPr>
        <w:tab/>
      </w:r>
      <w:r w:rsidRPr="009A4058">
        <w:rPr>
          <w:rFonts w:ascii="Gotham" w:hAnsi="Gotham" w:cs="Arial"/>
          <w:sz w:val="19"/>
          <w:szCs w:val="19"/>
        </w:rPr>
        <w:t>La persona regidora presidenta de la Comisión Edilicia de Igualdad Sustantiva y Derechos Humanos;</w:t>
      </w:r>
    </w:p>
    <w:p w14:paraId="3A4743CC"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III. </w:t>
      </w:r>
      <w:r>
        <w:rPr>
          <w:rFonts w:ascii="Gotham" w:hAnsi="Gotham" w:cs="Arial"/>
          <w:sz w:val="19"/>
          <w:szCs w:val="19"/>
        </w:rPr>
        <w:tab/>
      </w:r>
      <w:r w:rsidRPr="009A4058">
        <w:rPr>
          <w:rFonts w:ascii="Gotham" w:hAnsi="Gotham" w:cs="Arial"/>
          <w:sz w:val="19"/>
          <w:szCs w:val="19"/>
        </w:rPr>
        <w:t>La persona regidora presidenta de la Comisión Edilicia de Atención a la Juventud y el Deporte;</w:t>
      </w:r>
    </w:p>
    <w:p w14:paraId="3A4743CD"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IV. </w:t>
      </w:r>
      <w:r>
        <w:rPr>
          <w:rFonts w:ascii="Gotham" w:hAnsi="Gotham" w:cs="Arial"/>
          <w:sz w:val="19"/>
          <w:szCs w:val="19"/>
        </w:rPr>
        <w:tab/>
      </w:r>
      <w:r w:rsidRPr="009A4058">
        <w:rPr>
          <w:rFonts w:ascii="Gotham" w:hAnsi="Gotham" w:cs="Arial"/>
          <w:sz w:val="19"/>
          <w:szCs w:val="19"/>
        </w:rPr>
        <w:t>La persona regidora presidenta de la Comisión Edilicia de Bienestar,</w:t>
      </w:r>
      <w:r>
        <w:rPr>
          <w:rFonts w:ascii="Gotham" w:hAnsi="Gotham" w:cs="Arial"/>
          <w:sz w:val="19"/>
          <w:szCs w:val="19"/>
        </w:rPr>
        <w:t xml:space="preserve"> Desarrollo, Asistencia Social y</w:t>
      </w:r>
      <w:r w:rsidRPr="009A4058">
        <w:rPr>
          <w:rFonts w:ascii="Gotham" w:hAnsi="Gotham" w:cs="Arial"/>
          <w:sz w:val="19"/>
          <w:szCs w:val="19"/>
        </w:rPr>
        <w:t xml:space="preserve"> Familiar;</w:t>
      </w:r>
    </w:p>
    <w:p w14:paraId="3A4743CE"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 </w:t>
      </w:r>
      <w:r>
        <w:rPr>
          <w:rFonts w:ascii="Gotham" w:hAnsi="Gotham" w:cs="Arial"/>
          <w:sz w:val="19"/>
          <w:szCs w:val="19"/>
        </w:rPr>
        <w:tab/>
      </w:r>
      <w:r w:rsidRPr="009A4058">
        <w:rPr>
          <w:rFonts w:ascii="Gotham" w:hAnsi="Gotham" w:cs="Arial"/>
          <w:sz w:val="19"/>
          <w:szCs w:val="19"/>
        </w:rPr>
        <w:t>La persona titular del Organismo Público Descentralizado denominado Sistema para el Desarrollo Integral de la Familia de Tonalá, Jalisco;</w:t>
      </w:r>
    </w:p>
    <w:p w14:paraId="3A4743CF"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VI. </w:t>
      </w:r>
      <w:r>
        <w:rPr>
          <w:rFonts w:ascii="Gotham" w:hAnsi="Gotham" w:cs="Arial"/>
          <w:sz w:val="19"/>
          <w:szCs w:val="19"/>
        </w:rPr>
        <w:tab/>
      </w:r>
      <w:r w:rsidRPr="009A4058">
        <w:rPr>
          <w:rFonts w:ascii="Gotham" w:hAnsi="Gotham" w:cs="Arial"/>
          <w:sz w:val="19"/>
          <w:szCs w:val="19"/>
        </w:rPr>
        <w:t>La persona titular del Organismo Público Descentralizado denominado Instituto de Alternativas para los Jóvenes de Tonalá, Jalisco;</w:t>
      </w:r>
    </w:p>
    <w:p w14:paraId="3A4743D0"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VII. </w:t>
      </w:r>
      <w:r>
        <w:rPr>
          <w:rFonts w:ascii="Gotham" w:hAnsi="Gotham" w:cs="Arial"/>
          <w:sz w:val="19"/>
          <w:szCs w:val="19"/>
        </w:rPr>
        <w:tab/>
      </w:r>
      <w:r w:rsidRPr="009A4058">
        <w:rPr>
          <w:rFonts w:ascii="Gotham" w:hAnsi="Gotham" w:cs="Arial"/>
          <w:sz w:val="19"/>
          <w:szCs w:val="19"/>
        </w:rPr>
        <w:t>La persona titular del Organismo Público Descentralizado denominado Instituto Municipal de la Mujer para la Igualdad Sustantiva en Tonalá, Jalisco;</w:t>
      </w:r>
    </w:p>
    <w:p w14:paraId="3A4743D1"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VIII. </w:t>
      </w:r>
      <w:r>
        <w:rPr>
          <w:rFonts w:ascii="Gotham" w:hAnsi="Gotham" w:cs="Arial"/>
          <w:sz w:val="19"/>
          <w:szCs w:val="19"/>
        </w:rPr>
        <w:tab/>
      </w:r>
      <w:r w:rsidRPr="009A4058">
        <w:rPr>
          <w:rFonts w:ascii="Gotham" w:hAnsi="Gotham" w:cs="Arial"/>
          <w:sz w:val="19"/>
          <w:szCs w:val="19"/>
        </w:rPr>
        <w:t>La persona titular de la Coordinación del Gabinete de Seguridad, Prevención y Servicios de Emergencia de Tonalá, Jalisco;</w:t>
      </w:r>
    </w:p>
    <w:p w14:paraId="3A4743D2"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VIII. </w:t>
      </w:r>
      <w:r>
        <w:rPr>
          <w:rFonts w:ascii="Gotham" w:hAnsi="Gotham" w:cs="Arial"/>
          <w:sz w:val="19"/>
          <w:szCs w:val="19"/>
        </w:rPr>
        <w:tab/>
      </w:r>
      <w:r w:rsidRPr="009A4058">
        <w:rPr>
          <w:rFonts w:ascii="Gotham" w:hAnsi="Gotham" w:cs="Arial"/>
          <w:sz w:val="19"/>
          <w:szCs w:val="19"/>
        </w:rPr>
        <w:t xml:space="preserve">La persona titular de la Tesorería Municipal de Tonalá, Jalisco; </w:t>
      </w:r>
    </w:p>
    <w:p w14:paraId="3A4743D3"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IX. </w:t>
      </w:r>
      <w:r>
        <w:rPr>
          <w:rFonts w:ascii="Gotham" w:hAnsi="Gotham" w:cs="Arial"/>
          <w:sz w:val="19"/>
          <w:szCs w:val="19"/>
        </w:rPr>
        <w:tab/>
      </w:r>
      <w:r w:rsidRPr="009A4058">
        <w:rPr>
          <w:rFonts w:ascii="Gotham" w:hAnsi="Gotham" w:cs="Arial"/>
          <w:sz w:val="19"/>
          <w:szCs w:val="19"/>
        </w:rPr>
        <w:t xml:space="preserve">La persona titular de la Dirección General de Bienestar Social de Tonalá, Jalisco; </w:t>
      </w:r>
    </w:p>
    <w:p w14:paraId="3A4743D4"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XI. </w:t>
      </w:r>
      <w:r>
        <w:rPr>
          <w:rFonts w:ascii="Gotham" w:hAnsi="Gotham" w:cs="Arial"/>
          <w:sz w:val="19"/>
          <w:szCs w:val="19"/>
        </w:rPr>
        <w:tab/>
      </w:r>
      <w:r w:rsidRPr="009A4058">
        <w:rPr>
          <w:rFonts w:ascii="Gotham" w:hAnsi="Gotham" w:cs="Arial"/>
          <w:sz w:val="19"/>
          <w:szCs w:val="19"/>
        </w:rPr>
        <w:t>La persona titular de la Dirección General de Atracción a la Inversión;</w:t>
      </w:r>
    </w:p>
    <w:p w14:paraId="3A4743D5"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XII. </w:t>
      </w:r>
      <w:r>
        <w:rPr>
          <w:rFonts w:ascii="Gotham" w:hAnsi="Gotham" w:cs="Arial"/>
          <w:sz w:val="19"/>
          <w:szCs w:val="19"/>
        </w:rPr>
        <w:tab/>
      </w:r>
      <w:r w:rsidRPr="009A4058">
        <w:rPr>
          <w:rFonts w:ascii="Gotham" w:hAnsi="Gotham" w:cs="Arial"/>
          <w:sz w:val="19"/>
          <w:szCs w:val="19"/>
        </w:rPr>
        <w:t>La persona titular de la Dirección de Servicios Médicos Municipales de Tonalá, Jalisco;</w:t>
      </w:r>
    </w:p>
    <w:p w14:paraId="3A4743D6"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XIII. </w:t>
      </w:r>
      <w:r>
        <w:rPr>
          <w:rFonts w:ascii="Gotham" w:hAnsi="Gotham" w:cs="Arial"/>
          <w:sz w:val="19"/>
          <w:szCs w:val="19"/>
        </w:rPr>
        <w:tab/>
      </w:r>
      <w:r w:rsidRPr="009A4058">
        <w:rPr>
          <w:rFonts w:ascii="Gotham" w:hAnsi="Gotham" w:cs="Arial"/>
          <w:sz w:val="19"/>
          <w:szCs w:val="19"/>
        </w:rPr>
        <w:t>La persona titular del Sistema de Protección de Niñas, Niños y Adolescentes de Tonalá, Jalisco;</w:t>
      </w:r>
    </w:p>
    <w:p w14:paraId="3A4743D7"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XIV. </w:t>
      </w:r>
      <w:r>
        <w:rPr>
          <w:rFonts w:ascii="Gotham" w:hAnsi="Gotham" w:cs="Arial"/>
          <w:sz w:val="19"/>
          <w:szCs w:val="19"/>
        </w:rPr>
        <w:tab/>
      </w:r>
      <w:r w:rsidRPr="009A4058">
        <w:rPr>
          <w:rFonts w:ascii="Gotham" w:hAnsi="Gotham" w:cs="Arial"/>
          <w:sz w:val="19"/>
          <w:szCs w:val="19"/>
        </w:rPr>
        <w:t xml:space="preserve">La persona titular de la Comisión Estatal de Derechos Humanos de Jalisco; </w:t>
      </w:r>
    </w:p>
    <w:p w14:paraId="3A4743D8"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 xml:space="preserve">XV. </w:t>
      </w:r>
      <w:r>
        <w:rPr>
          <w:rFonts w:ascii="Gotham" w:hAnsi="Gotham" w:cs="Arial"/>
          <w:sz w:val="19"/>
          <w:szCs w:val="19"/>
        </w:rPr>
        <w:tab/>
      </w:r>
      <w:r w:rsidRPr="009A4058">
        <w:rPr>
          <w:rFonts w:ascii="Gotham" w:hAnsi="Gotham" w:cs="Arial"/>
          <w:sz w:val="19"/>
          <w:szCs w:val="19"/>
        </w:rPr>
        <w:t>Hasta tres personas representantes de la sociedad civil de Tonalá, Jalisco; y</w:t>
      </w:r>
    </w:p>
    <w:p w14:paraId="3A4743D9"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 xml:space="preserve">XVI. </w:t>
      </w:r>
      <w:r>
        <w:rPr>
          <w:rFonts w:ascii="Gotham" w:hAnsi="Gotham" w:cs="Arial"/>
          <w:sz w:val="19"/>
          <w:szCs w:val="19"/>
        </w:rPr>
        <w:tab/>
      </w:r>
      <w:r w:rsidRPr="009A4058">
        <w:rPr>
          <w:rFonts w:ascii="Gotham" w:hAnsi="Gotham" w:cs="Arial"/>
          <w:sz w:val="19"/>
          <w:szCs w:val="19"/>
        </w:rPr>
        <w:t>La persona titular de la Jefatura de Diversidad Sexual y de Género, quien estará a cargo de la Secretaria Técnica.</w:t>
      </w:r>
    </w:p>
    <w:p w14:paraId="3A4743DA" w14:textId="77777777" w:rsidR="00016FE1" w:rsidRPr="009A4058" w:rsidRDefault="00016FE1" w:rsidP="002B6227">
      <w:pPr>
        <w:ind w:left="284" w:right="283"/>
        <w:jc w:val="both"/>
        <w:rPr>
          <w:rFonts w:ascii="Gotham" w:hAnsi="Gotham" w:cs="Arial"/>
          <w:sz w:val="19"/>
          <w:szCs w:val="19"/>
        </w:rPr>
      </w:pPr>
    </w:p>
    <w:p w14:paraId="3A4743DB"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 xml:space="preserve">Artículo 23. El Sistema deberá instalarse los primeros noventa días de ejercicio de cada Gobierno Municipal. </w:t>
      </w:r>
    </w:p>
    <w:p w14:paraId="3A4743DC" w14:textId="77777777" w:rsidR="00016FE1" w:rsidRPr="009A4058" w:rsidRDefault="00016FE1" w:rsidP="002B6227">
      <w:pPr>
        <w:ind w:left="284" w:right="283"/>
        <w:jc w:val="both"/>
        <w:rPr>
          <w:rFonts w:ascii="Gotham" w:hAnsi="Gotham" w:cs="Arial"/>
          <w:sz w:val="19"/>
          <w:szCs w:val="19"/>
        </w:rPr>
      </w:pPr>
    </w:p>
    <w:p w14:paraId="3A4743DD"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El cargo que desempeñan las y los integrantes de este Sistema será honoríficos; esto con independencia del presupuesto que el Ayuntamiento deberá proveer para la ejecución transversal del programa municipal y por tanto de las medidas que en este Reglamento se establecen.</w:t>
      </w:r>
    </w:p>
    <w:p w14:paraId="3A4743DE" w14:textId="77777777" w:rsidR="00016FE1" w:rsidRPr="009A4058" w:rsidRDefault="00016FE1" w:rsidP="002B6227">
      <w:pPr>
        <w:ind w:left="284" w:right="283"/>
        <w:jc w:val="both"/>
        <w:rPr>
          <w:rFonts w:ascii="Gotham" w:hAnsi="Gotham" w:cs="Arial"/>
          <w:sz w:val="19"/>
          <w:szCs w:val="19"/>
        </w:rPr>
      </w:pPr>
    </w:p>
    <w:p w14:paraId="3A4743DF"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lastRenderedPageBreak/>
        <w:t>Las personas integrantes del Sistema deberán designar a un suplente y notificar a la secretaria técnica de quien se trata, para casos de ausencia a sus sesiones. En el caso de las y los servidores públicos, la persona suplente deberá de estar adscrita a la dependencia que representan.</w:t>
      </w:r>
    </w:p>
    <w:p w14:paraId="3A4743E0" w14:textId="77777777" w:rsidR="00016FE1" w:rsidRPr="009A4058" w:rsidRDefault="00016FE1" w:rsidP="002B6227">
      <w:pPr>
        <w:ind w:left="284" w:right="283"/>
        <w:jc w:val="both"/>
        <w:rPr>
          <w:rFonts w:ascii="Gotham" w:hAnsi="Gotham" w:cs="Arial"/>
          <w:sz w:val="19"/>
          <w:szCs w:val="19"/>
        </w:rPr>
      </w:pPr>
    </w:p>
    <w:p w14:paraId="3A4743E1"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 xml:space="preserve">En el caso de quien preside el sistema deberá designar como suplente a otro regidor o regidora. </w:t>
      </w:r>
    </w:p>
    <w:p w14:paraId="3A4743E2" w14:textId="77777777" w:rsidR="00016FE1" w:rsidRPr="009A4058" w:rsidRDefault="00016FE1" w:rsidP="002B6227">
      <w:pPr>
        <w:ind w:left="284" w:right="283"/>
        <w:jc w:val="both"/>
        <w:rPr>
          <w:rFonts w:ascii="Gotham" w:hAnsi="Gotham" w:cs="Arial"/>
          <w:sz w:val="19"/>
          <w:szCs w:val="19"/>
        </w:rPr>
      </w:pPr>
    </w:p>
    <w:p w14:paraId="3A4743E3"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 xml:space="preserve">En cuanto a la representación de sociedad civil la Secretaria General del Ayuntamiento, emitirá una convocatoria pública dirigida a las organizaciones y personas que trabajen con grupos prioritarios, en especial personas con discapacidad, personas en contexto de movilidad humana, mujeres, pueblos originarios y comunidades indígenas, niñas, niños, adolescentes, personas mayores y personas de la diversidad sexual y de género. En un plazo no mayor a sesenta días naturales las organizaciones interesadas deberán postularse así como a su suplente, y el Sistema en su sesión siguiente inmediata, someterá a discusión y aprobación la integración de hasta tres organizaciones y/o personas. </w:t>
      </w:r>
    </w:p>
    <w:p w14:paraId="3A4743E4" w14:textId="77777777" w:rsidR="00016FE1" w:rsidRPr="009A4058" w:rsidRDefault="00016FE1" w:rsidP="002B6227">
      <w:pPr>
        <w:ind w:left="284" w:right="283"/>
        <w:jc w:val="both"/>
        <w:rPr>
          <w:rFonts w:ascii="Gotham" w:hAnsi="Gotham" w:cs="Arial"/>
          <w:sz w:val="19"/>
          <w:szCs w:val="19"/>
        </w:rPr>
      </w:pPr>
    </w:p>
    <w:p w14:paraId="3A4743E5"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 xml:space="preserve">Artículo 24. El Sistema operará de la siguiente manera: </w:t>
      </w:r>
    </w:p>
    <w:p w14:paraId="3A4743E6" w14:textId="77777777" w:rsidR="00016FE1" w:rsidRPr="009A4058" w:rsidRDefault="00016FE1" w:rsidP="002B6227">
      <w:pPr>
        <w:ind w:left="284" w:right="283"/>
        <w:jc w:val="both"/>
        <w:rPr>
          <w:rFonts w:ascii="Gotham" w:hAnsi="Gotham" w:cs="Arial"/>
          <w:sz w:val="19"/>
          <w:szCs w:val="19"/>
        </w:rPr>
      </w:pPr>
    </w:p>
    <w:p w14:paraId="3A4743E7"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Deberá de sesionas de forma ordinaria por lo menos una vez cada semestre, y de manera extraordinaria cuando se requiera a través de convocatoria previa emitida por la Secretaría Técnica con un lapso mínimo de cuarenta y ocho horas de anticipación.</w:t>
      </w:r>
    </w:p>
    <w:p w14:paraId="3A4743E8" w14:textId="77777777" w:rsidR="00016FE1" w:rsidRPr="009A4058" w:rsidRDefault="00016FE1" w:rsidP="002B6227">
      <w:pPr>
        <w:ind w:left="284" w:right="283"/>
        <w:jc w:val="both"/>
        <w:rPr>
          <w:rFonts w:ascii="Gotham" w:hAnsi="Gotham" w:cs="Arial"/>
          <w:sz w:val="19"/>
          <w:szCs w:val="19"/>
        </w:rPr>
      </w:pPr>
    </w:p>
    <w:p w14:paraId="3A4743E9"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Para el desarrollo de las Sesiones Ordinarias y Extraordinarias, se utilizará supletoriamente el Reglamento para el Funcionamiento Interno de Sesiones del Ayuntamiento Constitucional de Tonalá, Jalisco.</w:t>
      </w:r>
    </w:p>
    <w:p w14:paraId="3A4743EA" w14:textId="77777777" w:rsidR="00016FE1" w:rsidRPr="009A4058" w:rsidRDefault="00016FE1" w:rsidP="002B6227">
      <w:pPr>
        <w:ind w:left="284" w:right="283"/>
        <w:jc w:val="both"/>
        <w:rPr>
          <w:rFonts w:ascii="Gotham" w:hAnsi="Gotham" w:cs="Arial"/>
          <w:sz w:val="19"/>
          <w:szCs w:val="19"/>
        </w:rPr>
      </w:pPr>
    </w:p>
    <w:p w14:paraId="3A4743EB"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25. Las atribuciones de las personas integrantes serán las siguientes:</w:t>
      </w:r>
    </w:p>
    <w:p w14:paraId="3A4743EC" w14:textId="77777777" w:rsidR="00016FE1" w:rsidRDefault="00016FE1" w:rsidP="002B6227">
      <w:pPr>
        <w:ind w:left="284" w:right="283"/>
        <w:jc w:val="both"/>
        <w:rPr>
          <w:rFonts w:ascii="Gotham" w:hAnsi="Gotham" w:cs="Arial"/>
          <w:sz w:val="19"/>
          <w:szCs w:val="19"/>
        </w:rPr>
      </w:pPr>
    </w:p>
    <w:p w14:paraId="3A4743ED"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w:t>
      </w:r>
      <w:r w:rsidRPr="009A4058">
        <w:rPr>
          <w:rFonts w:ascii="Gotham" w:hAnsi="Gotham" w:cs="Arial"/>
          <w:sz w:val="19"/>
          <w:szCs w:val="19"/>
        </w:rPr>
        <w:tab/>
        <w:t>Asistir a las sesiones;</w:t>
      </w:r>
    </w:p>
    <w:p w14:paraId="3A4743EE"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w:t>
      </w:r>
      <w:r w:rsidRPr="009A4058">
        <w:rPr>
          <w:rFonts w:ascii="Gotham" w:hAnsi="Gotham" w:cs="Arial"/>
          <w:sz w:val="19"/>
          <w:szCs w:val="19"/>
        </w:rPr>
        <w:tab/>
        <w:t>Proponer temas a tratar en las sesiones;</w:t>
      </w:r>
    </w:p>
    <w:p w14:paraId="3A4743EF"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III.</w:t>
      </w:r>
      <w:r w:rsidRPr="009A4058">
        <w:rPr>
          <w:rFonts w:ascii="Gotham" w:hAnsi="Gotham" w:cs="Arial"/>
          <w:sz w:val="19"/>
          <w:szCs w:val="19"/>
        </w:rPr>
        <w:tab/>
        <w:t>Discutir y votar los proyectos de Estudio, informes, opiniones o resoluciones y demás asuntos de los que conozca conforme al presente Reglamento;</w:t>
      </w:r>
    </w:p>
    <w:p w14:paraId="3A4743F0"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IV.</w:t>
      </w:r>
      <w:r w:rsidRPr="009A4058">
        <w:rPr>
          <w:rFonts w:ascii="Gotham" w:hAnsi="Gotham" w:cs="Arial"/>
          <w:sz w:val="19"/>
          <w:szCs w:val="19"/>
        </w:rPr>
        <w:tab/>
        <w:t>Presentar la documentación correspondiente a los temas a tratar en las sesiones o la que se les sea requerida;</w:t>
      </w:r>
    </w:p>
    <w:p w14:paraId="3A4743F1"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w:t>
      </w:r>
      <w:r w:rsidRPr="009A4058">
        <w:rPr>
          <w:rFonts w:ascii="Gotham" w:hAnsi="Gotham" w:cs="Arial"/>
          <w:sz w:val="19"/>
          <w:szCs w:val="19"/>
        </w:rPr>
        <w:tab/>
        <w:t>Dar seguimiento y vigilar el cumplimiento a los acuerdos aprobados por el Sistema;</w:t>
      </w:r>
    </w:p>
    <w:p w14:paraId="3A4743F2"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VI.</w:t>
      </w:r>
      <w:r w:rsidRPr="009A4058">
        <w:rPr>
          <w:rFonts w:ascii="Gotham" w:hAnsi="Gotham" w:cs="Arial"/>
          <w:sz w:val="19"/>
          <w:szCs w:val="19"/>
        </w:rPr>
        <w:tab/>
        <w:t>Promover, en el ámbito de sus respectivas competencias, la coordinación e implementación de las acciones que sean necesarias para el cumplimiento de los acuerdos tomados en el Sistema; y</w:t>
      </w:r>
    </w:p>
    <w:p w14:paraId="3A4743F3"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VII.</w:t>
      </w:r>
      <w:r w:rsidRPr="009A4058">
        <w:rPr>
          <w:rFonts w:ascii="Gotham" w:hAnsi="Gotham" w:cs="Arial"/>
          <w:sz w:val="19"/>
          <w:szCs w:val="19"/>
        </w:rPr>
        <w:tab/>
        <w:t xml:space="preserve">Las demás que les confiera el propio Sistema y la normativa vigente. </w:t>
      </w:r>
    </w:p>
    <w:p w14:paraId="3A4743F4" w14:textId="77777777" w:rsidR="00016FE1" w:rsidRPr="009A4058" w:rsidRDefault="00016FE1" w:rsidP="002B6227">
      <w:pPr>
        <w:ind w:left="284" w:right="283"/>
        <w:jc w:val="both"/>
        <w:rPr>
          <w:rFonts w:ascii="Gotham" w:hAnsi="Gotham" w:cs="Arial"/>
          <w:sz w:val="19"/>
          <w:szCs w:val="19"/>
        </w:rPr>
      </w:pPr>
    </w:p>
    <w:p w14:paraId="3A4743F5"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26. Las atribuciones de la persona Titular del Sistema serán las siguientes:</w:t>
      </w:r>
    </w:p>
    <w:p w14:paraId="3A4743F6" w14:textId="77777777" w:rsidR="00016FE1" w:rsidRDefault="00016FE1" w:rsidP="002B6227">
      <w:pPr>
        <w:ind w:left="284" w:right="283"/>
        <w:jc w:val="both"/>
        <w:rPr>
          <w:rFonts w:ascii="Gotham" w:hAnsi="Gotham" w:cs="Arial"/>
          <w:sz w:val="19"/>
          <w:szCs w:val="19"/>
        </w:rPr>
      </w:pPr>
    </w:p>
    <w:p w14:paraId="3A4743F7"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w:t>
      </w:r>
      <w:r w:rsidRPr="009A4058">
        <w:rPr>
          <w:rFonts w:ascii="Gotham" w:hAnsi="Gotham" w:cs="Arial"/>
          <w:sz w:val="19"/>
          <w:szCs w:val="19"/>
        </w:rPr>
        <w:tab/>
        <w:t>Ejercer la representación que ostentan;</w:t>
      </w:r>
    </w:p>
    <w:p w14:paraId="3A4743F8"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w:t>
      </w:r>
      <w:r w:rsidRPr="009A4058">
        <w:rPr>
          <w:rFonts w:ascii="Gotham" w:hAnsi="Gotham" w:cs="Arial"/>
          <w:sz w:val="19"/>
          <w:szCs w:val="19"/>
        </w:rPr>
        <w:tab/>
        <w:t>Autorizar el proyecto de orden del día de las sesiones;</w:t>
      </w:r>
    </w:p>
    <w:p w14:paraId="3A4743F9"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III.</w:t>
      </w:r>
      <w:r w:rsidRPr="009A4058">
        <w:rPr>
          <w:rFonts w:ascii="Gotham" w:hAnsi="Gotham" w:cs="Arial"/>
          <w:sz w:val="19"/>
          <w:szCs w:val="19"/>
        </w:rPr>
        <w:tab/>
        <w:t>Presidir sus sesiones y dirigir sus actividades;</w:t>
      </w:r>
    </w:p>
    <w:p w14:paraId="3A4743FA"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IV.</w:t>
      </w:r>
      <w:r w:rsidRPr="009A4058">
        <w:rPr>
          <w:rFonts w:ascii="Gotham" w:hAnsi="Gotham" w:cs="Arial"/>
          <w:sz w:val="19"/>
          <w:szCs w:val="19"/>
        </w:rPr>
        <w:tab/>
        <w:t>Proponer políticas, planes, programas, presupuestos, informe de actividades, así como los manuales administrativos y protocolos de actuación;</w:t>
      </w:r>
    </w:p>
    <w:p w14:paraId="3A4743FB"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w:t>
      </w:r>
      <w:r w:rsidRPr="009A4058">
        <w:rPr>
          <w:rFonts w:ascii="Gotham" w:hAnsi="Gotham" w:cs="Arial"/>
          <w:sz w:val="19"/>
          <w:szCs w:val="19"/>
        </w:rPr>
        <w:tab/>
        <w:t>Instruir a la secretaría técnica para que emita y haga llegar a las y los miembros, con una anticipación no menor a tres días hábiles, las convocatorias a sesiones, el orden del día y documentación concerniente; y</w:t>
      </w:r>
    </w:p>
    <w:p w14:paraId="3A4743FC"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VI.</w:t>
      </w:r>
      <w:r w:rsidRPr="009A4058">
        <w:rPr>
          <w:rFonts w:ascii="Gotham" w:hAnsi="Gotham" w:cs="Arial"/>
          <w:sz w:val="19"/>
          <w:szCs w:val="19"/>
        </w:rPr>
        <w:tab/>
        <w:t>Las que le confiera el Sistema y aquéllas previstas en las leyes y en este Reglamento.</w:t>
      </w:r>
    </w:p>
    <w:p w14:paraId="3A4743FD" w14:textId="77777777" w:rsidR="00016FE1" w:rsidRPr="009A4058" w:rsidRDefault="00016FE1" w:rsidP="002B6227">
      <w:pPr>
        <w:ind w:left="284" w:right="283"/>
        <w:jc w:val="both"/>
        <w:rPr>
          <w:rFonts w:ascii="Gotham" w:hAnsi="Gotham" w:cs="Arial"/>
          <w:sz w:val="19"/>
          <w:szCs w:val="19"/>
        </w:rPr>
      </w:pPr>
    </w:p>
    <w:p w14:paraId="3A4743FE"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27. Las atribuciones de la persona titular de la Secretaria Técnica serán las siguientes:</w:t>
      </w:r>
    </w:p>
    <w:p w14:paraId="3A4743FF" w14:textId="77777777" w:rsidR="00016FE1" w:rsidRDefault="00016FE1" w:rsidP="002B6227">
      <w:pPr>
        <w:ind w:left="284" w:right="283"/>
        <w:jc w:val="both"/>
        <w:rPr>
          <w:rFonts w:ascii="Gotham" w:hAnsi="Gotham" w:cs="Arial"/>
          <w:sz w:val="19"/>
          <w:szCs w:val="19"/>
        </w:rPr>
      </w:pPr>
    </w:p>
    <w:p w14:paraId="3A474400"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w:t>
      </w:r>
      <w:r w:rsidRPr="009A4058">
        <w:rPr>
          <w:rFonts w:ascii="Gotham" w:hAnsi="Gotham" w:cs="Arial"/>
          <w:sz w:val="19"/>
          <w:szCs w:val="19"/>
        </w:rPr>
        <w:tab/>
        <w:t>Convocar cuando así se lo Instruya el Titular Sistema, a las sesiones ordinarias y extraordinarias conforme a lo dispuesto en la normatividad Municipal;</w:t>
      </w:r>
    </w:p>
    <w:p w14:paraId="3A474401"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w:t>
      </w:r>
      <w:r w:rsidRPr="009A4058">
        <w:rPr>
          <w:rFonts w:ascii="Gotham" w:hAnsi="Gotham" w:cs="Arial"/>
          <w:sz w:val="19"/>
          <w:szCs w:val="19"/>
        </w:rPr>
        <w:tab/>
        <w:t>Elaborar las actas, llevar su registro, administrar y conservar los documentos del Sistema;</w:t>
      </w:r>
    </w:p>
    <w:p w14:paraId="3A474402"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III.</w:t>
      </w:r>
      <w:r w:rsidRPr="009A4058">
        <w:rPr>
          <w:rFonts w:ascii="Gotham" w:hAnsi="Gotham" w:cs="Arial"/>
          <w:sz w:val="19"/>
          <w:szCs w:val="19"/>
        </w:rPr>
        <w:tab/>
        <w:t xml:space="preserve"> Elaborar los proyectos de Estudio, así como los Programa Municipal para Prevenir, Atender y Eliminar la Discriminación e incorporar las reformas y recomendaciones que se generen durante el proceso de aprobación;</w:t>
      </w:r>
    </w:p>
    <w:p w14:paraId="3A474403"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IV.</w:t>
      </w:r>
      <w:r w:rsidRPr="009A4058">
        <w:rPr>
          <w:rFonts w:ascii="Gotham" w:hAnsi="Gotham" w:cs="Arial"/>
          <w:sz w:val="19"/>
          <w:szCs w:val="19"/>
        </w:rPr>
        <w:tab/>
        <w:t>Distribuir el Programa entre todas las dependencias y entidades de la administración pública municipal;</w:t>
      </w:r>
    </w:p>
    <w:p w14:paraId="3A474404"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w:t>
      </w:r>
      <w:r w:rsidRPr="009A4058">
        <w:rPr>
          <w:rFonts w:ascii="Gotham" w:hAnsi="Gotham" w:cs="Arial"/>
          <w:sz w:val="19"/>
          <w:szCs w:val="19"/>
        </w:rPr>
        <w:tab/>
        <w:t>Elaborar, mantener actualizados y vigilar el cumplimiento de los lineamientos y protocolos para la atención de personas víctimas de discriminación; y</w:t>
      </w:r>
    </w:p>
    <w:p w14:paraId="3A474405"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VI.</w:t>
      </w:r>
      <w:r w:rsidRPr="009A4058">
        <w:rPr>
          <w:rFonts w:ascii="Gotham" w:hAnsi="Gotham" w:cs="Arial"/>
          <w:sz w:val="19"/>
          <w:szCs w:val="19"/>
        </w:rPr>
        <w:tab/>
        <w:t>Sistematizar el informe de cumplimiento y evaluación de resultados del Programa.</w:t>
      </w:r>
    </w:p>
    <w:p w14:paraId="3A474406" w14:textId="77777777" w:rsidR="00016FE1" w:rsidRPr="009A4058" w:rsidRDefault="00016FE1" w:rsidP="002B6227">
      <w:pPr>
        <w:ind w:left="284" w:right="283"/>
        <w:jc w:val="both"/>
        <w:rPr>
          <w:rFonts w:ascii="Gotham" w:hAnsi="Gotham" w:cs="Arial"/>
          <w:sz w:val="19"/>
          <w:szCs w:val="19"/>
        </w:rPr>
      </w:pPr>
    </w:p>
    <w:p w14:paraId="3A474407"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28. El Sistema tendrá las siguientes atribuciones:</w:t>
      </w:r>
    </w:p>
    <w:p w14:paraId="3A474408" w14:textId="77777777" w:rsidR="00016FE1" w:rsidRPr="009A4058" w:rsidRDefault="00016FE1" w:rsidP="002B6227">
      <w:pPr>
        <w:ind w:left="284" w:right="283"/>
        <w:jc w:val="both"/>
        <w:rPr>
          <w:rFonts w:ascii="Gotham" w:hAnsi="Gotham" w:cs="Arial"/>
          <w:sz w:val="19"/>
          <w:szCs w:val="19"/>
        </w:rPr>
      </w:pPr>
    </w:p>
    <w:p w14:paraId="3A474409"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w:t>
      </w:r>
      <w:r w:rsidRPr="009A4058">
        <w:rPr>
          <w:rFonts w:ascii="Gotham" w:hAnsi="Gotham" w:cs="Arial"/>
          <w:sz w:val="19"/>
          <w:szCs w:val="19"/>
        </w:rPr>
        <w:tab/>
        <w:t>Discutir, nutrir y aprobar el Programa Municipal para Prevenir, Atender y Eliminar la Discriminación del cual se desprendan las estrategias, líneas de acción y actividades que realizará cada instancia;</w:t>
      </w:r>
    </w:p>
    <w:p w14:paraId="3A47440A"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w:t>
      </w:r>
      <w:r w:rsidRPr="009A4058">
        <w:rPr>
          <w:rFonts w:ascii="Gotham" w:hAnsi="Gotham" w:cs="Arial"/>
          <w:sz w:val="19"/>
          <w:szCs w:val="19"/>
        </w:rPr>
        <w:tab/>
        <w:t>Proponer políticas, planes, programas, presupuestos, informe de actividades, así como los manuales administrativos y protocolos de actuación;</w:t>
      </w:r>
    </w:p>
    <w:p w14:paraId="3A47440B"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III.</w:t>
      </w:r>
      <w:r w:rsidRPr="009A4058">
        <w:rPr>
          <w:rFonts w:ascii="Gotham" w:hAnsi="Gotham" w:cs="Arial"/>
          <w:sz w:val="19"/>
          <w:szCs w:val="19"/>
        </w:rPr>
        <w:tab/>
        <w:t>Coordinar el diseño, ejecución y evaluación de las políticas públicas, programas, planes, manuales, modelos, protocolos y demás acciones generales y particulares concernientes al cumplimiento del objeto de las Leyes y el presente Reglamento;</w:t>
      </w:r>
    </w:p>
    <w:p w14:paraId="3A47440C"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IV.</w:t>
      </w:r>
      <w:r w:rsidRPr="009A4058">
        <w:rPr>
          <w:rFonts w:ascii="Gotham" w:hAnsi="Gotham" w:cs="Arial"/>
          <w:sz w:val="19"/>
          <w:szCs w:val="19"/>
        </w:rPr>
        <w:tab/>
        <w:t>Planear, programar, ejecutar las acciones de verificación para supervisar el cumplimiento de los instrumentos normativos en materia de igualdad y no discriminación;</w:t>
      </w:r>
    </w:p>
    <w:p w14:paraId="3A47440D"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w:t>
      </w:r>
      <w:r w:rsidRPr="009A4058">
        <w:rPr>
          <w:rFonts w:ascii="Gotham" w:hAnsi="Gotham" w:cs="Arial"/>
          <w:sz w:val="19"/>
          <w:szCs w:val="19"/>
        </w:rPr>
        <w:tab/>
        <w:t>Promover la vinculación y coordinación interinstitucional entre las dependencias municipales, entidades del Poder Ejecutivo del Estado, la Comisión Estatal de Derechos Humanos Jalisco, y con las expresiones de la sociedad civil organizada para el cumplimiento de las atribuciones que les asigna la normativa aplicable, así como impulsar el establecimiento de los enlaces respectivos que faciliten dichas tareas;</w:t>
      </w:r>
    </w:p>
    <w:p w14:paraId="3A47440E"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VI.</w:t>
      </w:r>
      <w:r w:rsidRPr="009A4058">
        <w:rPr>
          <w:rFonts w:ascii="Gotham" w:hAnsi="Gotham" w:cs="Arial"/>
          <w:sz w:val="19"/>
          <w:szCs w:val="19"/>
        </w:rPr>
        <w:tab/>
        <w:t>Requerir información relevante a los objetivos del presente Reglamento a las instancias municipales;</w:t>
      </w:r>
    </w:p>
    <w:p w14:paraId="3A47440F"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VII.</w:t>
      </w:r>
      <w:r w:rsidRPr="009A4058">
        <w:rPr>
          <w:rFonts w:ascii="Gotham" w:hAnsi="Gotham" w:cs="Arial"/>
          <w:sz w:val="19"/>
          <w:szCs w:val="19"/>
        </w:rPr>
        <w:tab/>
        <w:t>Aprobar, a propuesta de su titular la integración de grupos de trabajo que se requieren para el cumplimiento de sus funciones;</w:t>
      </w:r>
    </w:p>
    <w:p w14:paraId="3A474410"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VIII.</w:t>
      </w:r>
      <w:r w:rsidRPr="009A4058">
        <w:rPr>
          <w:rFonts w:ascii="Gotham" w:hAnsi="Gotham" w:cs="Arial"/>
          <w:sz w:val="19"/>
          <w:szCs w:val="19"/>
        </w:rPr>
        <w:tab/>
        <w:t>Realizar actividades y campañas de difusión, divulgación y orientación sobre las funciones que ejerce; y</w:t>
      </w:r>
    </w:p>
    <w:p w14:paraId="3A474411"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IX.</w:t>
      </w:r>
      <w:r w:rsidRPr="009A4058">
        <w:rPr>
          <w:rFonts w:ascii="Gotham" w:hAnsi="Gotham" w:cs="Arial"/>
          <w:sz w:val="19"/>
          <w:szCs w:val="19"/>
        </w:rPr>
        <w:tab/>
        <w:t>Fungir como órgano garante y de supervisión del cumplimiento de lo establecido en la Ley Federal, Ley Estatal y el presente Reglamento.</w:t>
      </w:r>
    </w:p>
    <w:p w14:paraId="3A474412" w14:textId="77777777" w:rsidR="00016FE1" w:rsidRPr="009A4058" w:rsidRDefault="00016FE1" w:rsidP="002B6227">
      <w:pPr>
        <w:ind w:left="284" w:right="283"/>
        <w:jc w:val="both"/>
        <w:rPr>
          <w:rFonts w:ascii="Gotham" w:hAnsi="Gotham" w:cs="Arial"/>
          <w:sz w:val="19"/>
          <w:szCs w:val="19"/>
        </w:rPr>
      </w:pPr>
    </w:p>
    <w:p w14:paraId="3A474413"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29. El Programa Municipal para Prevenir, Atender y Eliminar la Discriminación:</w:t>
      </w:r>
    </w:p>
    <w:p w14:paraId="3A474414" w14:textId="77777777" w:rsidR="00016FE1" w:rsidRPr="009A4058" w:rsidRDefault="00016FE1" w:rsidP="002B6227">
      <w:pPr>
        <w:ind w:left="284" w:right="283"/>
        <w:jc w:val="both"/>
        <w:rPr>
          <w:rFonts w:ascii="Gotham" w:hAnsi="Gotham" w:cs="Arial"/>
          <w:sz w:val="19"/>
          <w:szCs w:val="19"/>
        </w:rPr>
      </w:pPr>
    </w:p>
    <w:p w14:paraId="3A474415"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El Programa será elaborado por la Jefatura, en coordinación con las otras dependencias que soliciten unirse y aprobado por el Sistema acorde a las facultades y atribuciones municipales en materia.</w:t>
      </w:r>
    </w:p>
    <w:p w14:paraId="3A474416" w14:textId="77777777" w:rsidR="00016FE1" w:rsidRPr="009A4058" w:rsidRDefault="00016FE1" w:rsidP="002B6227">
      <w:pPr>
        <w:ind w:left="284" w:right="283"/>
        <w:jc w:val="both"/>
        <w:rPr>
          <w:rFonts w:ascii="Gotham" w:hAnsi="Gotham" w:cs="Arial"/>
          <w:sz w:val="19"/>
          <w:szCs w:val="19"/>
        </w:rPr>
      </w:pPr>
    </w:p>
    <w:p w14:paraId="3A474417"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lastRenderedPageBreak/>
        <w:t>El Programa debe considerar las necesidades y características propias del Municipio, como las particularidades de los diferentes grupos prioritarios, que lo integran y que pudieran sufrir desigualdad o cualquier acto de discriminación.</w:t>
      </w:r>
    </w:p>
    <w:p w14:paraId="3A474418" w14:textId="77777777" w:rsidR="00016FE1" w:rsidRPr="009A4058" w:rsidRDefault="00016FE1" w:rsidP="002B6227">
      <w:pPr>
        <w:ind w:left="284" w:right="283"/>
        <w:jc w:val="both"/>
        <w:rPr>
          <w:rFonts w:ascii="Gotham" w:hAnsi="Gotham" w:cs="Arial"/>
          <w:sz w:val="19"/>
          <w:szCs w:val="19"/>
        </w:rPr>
      </w:pPr>
    </w:p>
    <w:p w14:paraId="3A474419"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Este deberá aprobarse en un plazo no mayor a sesenta días naturales, contados a partir de su presentación y su vigencia será por el mismo tiempo de duración de la Administración Municipal.</w:t>
      </w:r>
    </w:p>
    <w:p w14:paraId="3A47441A" w14:textId="77777777" w:rsidR="00016FE1" w:rsidRPr="009A4058" w:rsidRDefault="00016FE1" w:rsidP="002B6227">
      <w:pPr>
        <w:ind w:left="284" w:right="283"/>
        <w:jc w:val="both"/>
        <w:rPr>
          <w:rFonts w:ascii="Gotham" w:hAnsi="Gotham" w:cs="Arial"/>
          <w:sz w:val="19"/>
          <w:szCs w:val="19"/>
        </w:rPr>
      </w:pPr>
    </w:p>
    <w:p w14:paraId="3A47441B"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30. El Programa establecerá los objetivos, estrategias, líneas de acción e indicadores a alcanzar en materia de prevención, atención y eliminación de la discriminación y el respeto a la dignidad humana y deberá ser desarrollado con perspectiva de derechos humanos, tomando en cuenta lo establecido en el presente reglamento, así como las disposiciones de los programas federales y estatales sobre la materia.</w:t>
      </w:r>
    </w:p>
    <w:p w14:paraId="3A47441C" w14:textId="77777777" w:rsidR="00016FE1" w:rsidRPr="009A4058" w:rsidRDefault="00016FE1" w:rsidP="002B6227">
      <w:pPr>
        <w:ind w:left="284" w:right="283"/>
        <w:jc w:val="both"/>
        <w:rPr>
          <w:rFonts w:ascii="Gotham" w:hAnsi="Gotham" w:cs="Arial"/>
          <w:sz w:val="19"/>
          <w:szCs w:val="19"/>
        </w:rPr>
      </w:pPr>
    </w:p>
    <w:p w14:paraId="3A47441D"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Los objetivos, estrategias, líneas de acción e indicadores del Programa deberán verse reflejados de forma transversal en el Plan Municipal de Desarrollo y Gobernanza, además de los diferentes instrumentos de planeación.</w:t>
      </w:r>
    </w:p>
    <w:p w14:paraId="3A47441E" w14:textId="77777777" w:rsidR="00016FE1" w:rsidRPr="009A4058" w:rsidRDefault="00016FE1" w:rsidP="002B6227">
      <w:pPr>
        <w:ind w:left="284" w:right="283"/>
        <w:jc w:val="both"/>
        <w:rPr>
          <w:rFonts w:ascii="Gotham" w:hAnsi="Gotham" w:cs="Arial"/>
          <w:sz w:val="19"/>
          <w:szCs w:val="19"/>
        </w:rPr>
      </w:pPr>
    </w:p>
    <w:p w14:paraId="3A47441F"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31. El Programa Municipal para Prevenir, Atender y Eliminar la Discriminación deberá contener en su diseño y ejecución, de manera obligatoria, lo siguiente:</w:t>
      </w:r>
    </w:p>
    <w:p w14:paraId="3A474420" w14:textId="77777777" w:rsidR="00016FE1" w:rsidRPr="009A4058" w:rsidRDefault="00016FE1" w:rsidP="002B6227">
      <w:pPr>
        <w:ind w:left="284" w:right="283"/>
        <w:jc w:val="both"/>
        <w:rPr>
          <w:rFonts w:ascii="Gotham" w:hAnsi="Gotham" w:cs="Arial"/>
          <w:sz w:val="19"/>
          <w:szCs w:val="19"/>
        </w:rPr>
      </w:pPr>
    </w:p>
    <w:p w14:paraId="3A474421"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w:t>
      </w:r>
      <w:r w:rsidRPr="009A4058">
        <w:rPr>
          <w:rFonts w:ascii="Gotham" w:hAnsi="Gotham" w:cs="Arial"/>
          <w:sz w:val="19"/>
          <w:szCs w:val="19"/>
        </w:rPr>
        <w:tab/>
        <w:t>El diagnóstico municipal de la situación actual sobre la discriminación por cualquiera de sus motivaciones en Tonalá, Jalisco;</w:t>
      </w:r>
    </w:p>
    <w:p w14:paraId="3A474422"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w:t>
      </w:r>
      <w:r w:rsidRPr="009A4058">
        <w:rPr>
          <w:rFonts w:ascii="Gotham" w:hAnsi="Gotham" w:cs="Arial"/>
          <w:sz w:val="19"/>
          <w:szCs w:val="19"/>
        </w:rPr>
        <w:tab/>
        <w:t>Los objetivos generales y particulares para prevenir, atender y eliminar la discriminación;</w:t>
      </w:r>
    </w:p>
    <w:p w14:paraId="3A474423"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III.</w:t>
      </w:r>
      <w:r w:rsidRPr="009A4058">
        <w:rPr>
          <w:rFonts w:ascii="Gotham" w:hAnsi="Gotham" w:cs="Arial"/>
          <w:sz w:val="19"/>
          <w:szCs w:val="19"/>
        </w:rPr>
        <w:tab/>
        <w:t>Las estrategias a seguir para el cumplimiento de sus objetivos;</w:t>
      </w:r>
    </w:p>
    <w:p w14:paraId="3A474424"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IV.</w:t>
      </w:r>
      <w:r w:rsidRPr="009A4058">
        <w:rPr>
          <w:rFonts w:ascii="Gotham" w:hAnsi="Gotham" w:cs="Arial"/>
          <w:sz w:val="19"/>
          <w:szCs w:val="19"/>
        </w:rPr>
        <w:tab/>
        <w:t>Las líneas de acción del Sistema que permitan la operatividad del Programa;</w:t>
      </w:r>
    </w:p>
    <w:p w14:paraId="3A474425"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w:t>
      </w:r>
      <w:r w:rsidRPr="009A4058">
        <w:rPr>
          <w:rFonts w:ascii="Gotham" w:hAnsi="Gotham" w:cs="Arial"/>
          <w:sz w:val="19"/>
          <w:szCs w:val="19"/>
        </w:rPr>
        <w:tab/>
        <w:t>Los indicadores de cumplimiento de las líneas de acción, estrategias y objetivos;</w:t>
      </w:r>
    </w:p>
    <w:p w14:paraId="3A474426"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VI.</w:t>
      </w:r>
      <w:r w:rsidRPr="009A4058">
        <w:rPr>
          <w:rFonts w:ascii="Gotham" w:hAnsi="Gotham" w:cs="Arial"/>
          <w:sz w:val="19"/>
          <w:szCs w:val="19"/>
        </w:rPr>
        <w:tab/>
        <w:t>Su funcionamiento general y los ejes operativos que lo componen;</w:t>
      </w:r>
    </w:p>
    <w:p w14:paraId="3A474427"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VII.</w:t>
      </w:r>
      <w:r w:rsidRPr="009A4058">
        <w:rPr>
          <w:rFonts w:ascii="Gotham" w:hAnsi="Gotham" w:cs="Arial"/>
          <w:sz w:val="19"/>
          <w:szCs w:val="19"/>
        </w:rPr>
        <w:tab/>
        <w:t>Las disposiciones para la mayor coordinación interinstitucional en la aplicación del Programa;</w:t>
      </w:r>
    </w:p>
    <w:p w14:paraId="3A474428"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VIII.</w:t>
      </w:r>
      <w:r w:rsidRPr="009A4058">
        <w:rPr>
          <w:rFonts w:ascii="Gotham" w:hAnsi="Gotham" w:cs="Arial"/>
          <w:sz w:val="19"/>
          <w:szCs w:val="19"/>
        </w:rPr>
        <w:tab/>
        <w:t>Los instrumentos de difusión y promoción del Programa;</w:t>
      </w:r>
    </w:p>
    <w:p w14:paraId="3A474429" w14:textId="77777777" w:rsidR="00016FE1" w:rsidRPr="009A4058" w:rsidRDefault="00016FE1" w:rsidP="002B6227">
      <w:pPr>
        <w:spacing w:after="120"/>
        <w:ind w:left="851" w:right="283" w:hanging="567"/>
        <w:jc w:val="both"/>
        <w:rPr>
          <w:rFonts w:ascii="Gotham" w:hAnsi="Gotham" w:cs="Arial"/>
          <w:sz w:val="19"/>
          <w:szCs w:val="19"/>
        </w:rPr>
      </w:pPr>
      <w:r w:rsidRPr="009A4058">
        <w:rPr>
          <w:rFonts w:ascii="Gotham" w:hAnsi="Gotham" w:cs="Arial"/>
          <w:sz w:val="19"/>
          <w:szCs w:val="19"/>
        </w:rPr>
        <w:t>IX.</w:t>
      </w:r>
      <w:r w:rsidRPr="009A4058">
        <w:rPr>
          <w:rFonts w:ascii="Gotham" w:hAnsi="Gotham" w:cs="Arial"/>
          <w:sz w:val="19"/>
          <w:szCs w:val="19"/>
        </w:rPr>
        <w:tab/>
        <w:t>Los mecanismos periódicos de seguimiento y evaluación del Programa; y</w:t>
      </w:r>
    </w:p>
    <w:p w14:paraId="3A47442A" w14:textId="77777777" w:rsidR="00016FE1" w:rsidRPr="009A4058" w:rsidRDefault="00016FE1" w:rsidP="002B6227">
      <w:pPr>
        <w:ind w:left="851" w:right="283" w:hanging="567"/>
        <w:jc w:val="both"/>
        <w:rPr>
          <w:rFonts w:ascii="Gotham" w:hAnsi="Gotham" w:cs="Arial"/>
          <w:sz w:val="19"/>
          <w:szCs w:val="19"/>
        </w:rPr>
      </w:pPr>
      <w:r w:rsidRPr="009A4058">
        <w:rPr>
          <w:rFonts w:ascii="Gotham" w:hAnsi="Gotham" w:cs="Arial"/>
          <w:sz w:val="19"/>
          <w:szCs w:val="19"/>
        </w:rPr>
        <w:t>X.</w:t>
      </w:r>
      <w:r w:rsidRPr="009A4058">
        <w:rPr>
          <w:rFonts w:ascii="Gotham" w:hAnsi="Gotham" w:cs="Arial"/>
          <w:sz w:val="19"/>
          <w:szCs w:val="19"/>
        </w:rPr>
        <w:tab/>
        <w:t>Las demás directrices que resulten necesarias para el cumplimiento de los objetivos del Programa.</w:t>
      </w:r>
    </w:p>
    <w:p w14:paraId="3A47442B" w14:textId="77777777" w:rsidR="00016FE1" w:rsidRPr="009A4058" w:rsidRDefault="00016FE1" w:rsidP="002B6227">
      <w:pPr>
        <w:ind w:left="284" w:right="283"/>
        <w:jc w:val="both"/>
        <w:rPr>
          <w:rFonts w:ascii="Gotham" w:hAnsi="Gotham" w:cs="Arial"/>
          <w:sz w:val="19"/>
          <w:szCs w:val="19"/>
        </w:rPr>
      </w:pPr>
    </w:p>
    <w:p w14:paraId="3A47442C"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32. La Jefatura dará seguimiento al cumplimiento del Programa, por lo que de forma anual deberá verificar su eficacia y, en su caso, plantear las correspondientes modificaciones.</w:t>
      </w:r>
    </w:p>
    <w:p w14:paraId="3A47442D" w14:textId="77777777" w:rsidR="00016FE1" w:rsidRPr="009A4058" w:rsidRDefault="00016FE1" w:rsidP="002B6227">
      <w:pPr>
        <w:ind w:left="284" w:right="283"/>
        <w:jc w:val="both"/>
        <w:rPr>
          <w:rFonts w:ascii="Gotham" w:hAnsi="Gotham" w:cs="Arial"/>
          <w:sz w:val="19"/>
          <w:szCs w:val="19"/>
        </w:rPr>
      </w:pPr>
    </w:p>
    <w:p w14:paraId="3A47442E"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Artículo 33. La Jefatura emitirá un informe anual al Sistema que contenga el estado que guarda la ejecución del Programa Municipal para Prevenir, Atender y Eliminar la Discriminación.</w:t>
      </w:r>
    </w:p>
    <w:p w14:paraId="3A47442F" w14:textId="77777777" w:rsidR="00016FE1" w:rsidRDefault="00016FE1" w:rsidP="002B6227">
      <w:pPr>
        <w:ind w:left="284" w:right="283"/>
        <w:jc w:val="both"/>
        <w:rPr>
          <w:rFonts w:ascii="Gotham" w:hAnsi="Gotham" w:cs="Arial"/>
          <w:sz w:val="19"/>
          <w:szCs w:val="19"/>
        </w:rPr>
      </w:pPr>
    </w:p>
    <w:p w14:paraId="3A474430" w14:textId="77777777" w:rsidR="00016FE1" w:rsidRPr="009A4058" w:rsidRDefault="00016FE1" w:rsidP="002B6227">
      <w:pPr>
        <w:ind w:left="284" w:right="283"/>
        <w:jc w:val="both"/>
        <w:rPr>
          <w:rFonts w:ascii="Gotham" w:hAnsi="Gotham" w:cs="Arial"/>
          <w:sz w:val="19"/>
          <w:szCs w:val="19"/>
        </w:rPr>
      </w:pPr>
    </w:p>
    <w:p w14:paraId="3A474431" w14:textId="77777777" w:rsidR="00016FE1" w:rsidRPr="009A4058" w:rsidRDefault="00016FE1" w:rsidP="002B6227">
      <w:pPr>
        <w:ind w:left="284" w:right="283"/>
        <w:jc w:val="center"/>
        <w:rPr>
          <w:rFonts w:ascii="Gotham" w:hAnsi="Gotham" w:cs="Arial"/>
          <w:b/>
          <w:sz w:val="19"/>
          <w:szCs w:val="19"/>
        </w:rPr>
      </w:pPr>
      <w:r w:rsidRPr="009A4058">
        <w:rPr>
          <w:rFonts w:ascii="Gotham" w:hAnsi="Gotham" w:cs="Arial"/>
          <w:b/>
          <w:sz w:val="19"/>
          <w:szCs w:val="19"/>
        </w:rPr>
        <w:t>ARTÍCULOS TRANSITORIOS</w:t>
      </w:r>
    </w:p>
    <w:p w14:paraId="3A474432" w14:textId="77777777" w:rsidR="00016FE1" w:rsidRPr="009A4058" w:rsidRDefault="00016FE1" w:rsidP="002B6227">
      <w:pPr>
        <w:ind w:left="284" w:right="283"/>
        <w:jc w:val="both"/>
        <w:rPr>
          <w:rFonts w:ascii="Gotham" w:hAnsi="Gotham" w:cs="Arial"/>
          <w:sz w:val="19"/>
          <w:szCs w:val="19"/>
        </w:rPr>
      </w:pPr>
    </w:p>
    <w:p w14:paraId="3A474433"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PRIMERO. Publíquese el presente reglamento en la Gaceta Municipal “Tla</w:t>
      </w:r>
      <w:r>
        <w:rPr>
          <w:rFonts w:ascii="Gotham" w:hAnsi="Gotham" w:cs="Arial"/>
          <w:sz w:val="19"/>
          <w:szCs w:val="19"/>
        </w:rPr>
        <w:t>h</w:t>
      </w:r>
      <w:r w:rsidRPr="009A4058">
        <w:rPr>
          <w:rFonts w:ascii="Gotham" w:hAnsi="Gotham" w:cs="Arial"/>
          <w:sz w:val="19"/>
          <w:szCs w:val="19"/>
        </w:rPr>
        <w:t>tolli” de Tonalá.</w:t>
      </w:r>
    </w:p>
    <w:p w14:paraId="3A474434" w14:textId="77777777" w:rsidR="00016FE1" w:rsidRPr="009A4058" w:rsidRDefault="00016FE1" w:rsidP="002B6227">
      <w:pPr>
        <w:ind w:left="284" w:right="283"/>
        <w:jc w:val="both"/>
        <w:rPr>
          <w:rFonts w:ascii="Gotham" w:hAnsi="Gotham" w:cs="Arial"/>
          <w:sz w:val="19"/>
          <w:szCs w:val="19"/>
        </w:rPr>
      </w:pPr>
    </w:p>
    <w:p w14:paraId="3A474435"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SEGUNDO. El presente reglamento entrará en vigor al día siguiente de su publicación en la Gaceta Municipal “Tla</w:t>
      </w:r>
      <w:r>
        <w:rPr>
          <w:rFonts w:ascii="Gotham" w:hAnsi="Gotham" w:cs="Arial"/>
          <w:sz w:val="19"/>
          <w:szCs w:val="19"/>
        </w:rPr>
        <w:t>h</w:t>
      </w:r>
      <w:r w:rsidRPr="009A4058">
        <w:rPr>
          <w:rFonts w:ascii="Gotham" w:hAnsi="Gotham" w:cs="Arial"/>
          <w:sz w:val="19"/>
          <w:szCs w:val="19"/>
        </w:rPr>
        <w:t>tolli” de Tonalá.</w:t>
      </w:r>
    </w:p>
    <w:p w14:paraId="3A474436" w14:textId="77777777" w:rsidR="00016FE1" w:rsidRPr="009A4058" w:rsidRDefault="00016FE1" w:rsidP="002B6227">
      <w:pPr>
        <w:ind w:left="284" w:right="283"/>
        <w:jc w:val="both"/>
        <w:rPr>
          <w:rFonts w:ascii="Gotham" w:hAnsi="Gotham" w:cs="Arial"/>
          <w:sz w:val="19"/>
          <w:szCs w:val="19"/>
        </w:rPr>
      </w:pPr>
    </w:p>
    <w:p w14:paraId="3A474437"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TERCERO. El presente reglamento no crea plazas o áreas en la Administración Pública del Ayuntamiento Municipal.</w:t>
      </w:r>
    </w:p>
    <w:p w14:paraId="3A474438" w14:textId="77777777" w:rsidR="00016FE1" w:rsidRPr="009A4058" w:rsidRDefault="00016FE1" w:rsidP="002B6227">
      <w:pPr>
        <w:ind w:left="284" w:right="283"/>
        <w:jc w:val="both"/>
        <w:rPr>
          <w:rFonts w:ascii="Gotham" w:hAnsi="Gotham" w:cs="Arial"/>
          <w:sz w:val="19"/>
          <w:szCs w:val="19"/>
        </w:rPr>
      </w:pPr>
    </w:p>
    <w:p w14:paraId="3A474439"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lastRenderedPageBreak/>
        <w:t>CUARTO. Se faculta para que por esta única ocasión la Secretaria General Instale y convoque a los ciudadanos que integraran el Sistema para Prevenir, Atender y Eliminar la Discriminación.</w:t>
      </w:r>
    </w:p>
    <w:p w14:paraId="3A47443A" w14:textId="77777777" w:rsidR="00016FE1" w:rsidRPr="009A4058" w:rsidRDefault="00016FE1" w:rsidP="002B6227">
      <w:pPr>
        <w:ind w:left="284" w:right="283"/>
        <w:jc w:val="both"/>
        <w:rPr>
          <w:rFonts w:ascii="Gotham" w:hAnsi="Gotham" w:cs="Arial"/>
          <w:sz w:val="19"/>
          <w:szCs w:val="19"/>
        </w:rPr>
      </w:pPr>
    </w:p>
    <w:p w14:paraId="3A47443B" w14:textId="77777777" w:rsidR="00016FE1" w:rsidRPr="009A4058" w:rsidRDefault="00016FE1" w:rsidP="002B6227">
      <w:pPr>
        <w:ind w:left="284" w:right="283"/>
        <w:jc w:val="both"/>
        <w:rPr>
          <w:rFonts w:ascii="Gotham" w:hAnsi="Gotham" w:cs="Arial"/>
          <w:sz w:val="19"/>
          <w:szCs w:val="19"/>
        </w:rPr>
      </w:pPr>
      <w:r w:rsidRPr="009A4058">
        <w:rPr>
          <w:rFonts w:ascii="Gotham" w:hAnsi="Gotham" w:cs="Arial"/>
          <w:sz w:val="19"/>
          <w:szCs w:val="19"/>
        </w:rPr>
        <w:t>QUINTO. Una vez publicado el presente Reglamento remítase, mediante oficio, un tanto del mismo al Congreso del Estado de Jalisco, para el cumplimiento de los efectos ordenados en el artículo 42 fracción VII de la Ley del Gobierno y la Administración Pública Municipal del Estado de Jalisco.</w:t>
      </w:r>
    </w:p>
    <w:p w14:paraId="3A47443C" w14:textId="77777777" w:rsidR="00016FE1" w:rsidRDefault="00016FE1" w:rsidP="002B6227">
      <w:pPr>
        <w:jc w:val="both"/>
        <w:rPr>
          <w:rFonts w:ascii="Gotham" w:hAnsi="Gotham"/>
          <w:sz w:val="20"/>
          <w:szCs w:val="20"/>
        </w:rPr>
      </w:pPr>
    </w:p>
    <w:p w14:paraId="3A47443D" w14:textId="77777777" w:rsidR="00016FE1" w:rsidRPr="00CD0531" w:rsidRDefault="00016FE1" w:rsidP="002B6227">
      <w:pPr>
        <w:jc w:val="both"/>
        <w:rPr>
          <w:rFonts w:ascii="Gotham" w:hAnsi="Gotham" w:cs="Arial"/>
          <w:sz w:val="20"/>
          <w:szCs w:val="20"/>
        </w:rPr>
      </w:pPr>
      <w:r>
        <w:rPr>
          <w:rFonts w:ascii="Gotham" w:hAnsi="Gotham" w:cs="Arial"/>
          <w:sz w:val="20"/>
          <w:szCs w:val="20"/>
        </w:rPr>
        <w:t>Continuando con el uso de la voz, el Presidente Municipal, Sergio Armando Chávez Dávalos,</w:t>
      </w:r>
      <w:r w:rsidRPr="00CD0531">
        <w:rPr>
          <w:rFonts w:ascii="Gotham" w:hAnsi="Gotham" w:cs="Arial"/>
          <w:sz w:val="20"/>
          <w:szCs w:val="20"/>
        </w:rPr>
        <w:t xml:space="preserve"> señala que, se abre la discusión, en lo general y en lo particular, con relación al presente dictamen, consultando a las Regidoras y Regidores, si alguien desea hacer uso de la voz, solicitando a la Secretaria General lleve a cabo el registro de oradores.</w:t>
      </w:r>
    </w:p>
    <w:p w14:paraId="3A47443E" w14:textId="77777777" w:rsidR="00016FE1" w:rsidRPr="00CD0531" w:rsidRDefault="00016FE1" w:rsidP="002B6227">
      <w:pPr>
        <w:jc w:val="both"/>
        <w:rPr>
          <w:rFonts w:ascii="Gotham" w:hAnsi="Gotham" w:cs="Arial"/>
          <w:sz w:val="20"/>
          <w:szCs w:val="20"/>
        </w:rPr>
      </w:pPr>
    </w:p>
    <w:p w14:paraId="3A47443F"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3A474440" w14:textId="77777777" w:rsidR="00016FE1" w:rsidRPr="00CD0531" w:rsidRDefault="00016FE1" w:rsidP="002B6227">
      <w:pPr>
        <w:jc w:val="both"/>
        <w:rPr>
          <w:rFonts w:ascii="Gotham" w:hAnsi="Gotham" w:cs="Arial"/>
          <w:sz w:val="20"/>
          <w:szCs w:val="20"/>
        </w:rPr>
      </w:pPr>
    </w:p>
    <w:p w14:paraId="3A474441"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presente dictamen, quienes estén por la afirmativa, favor de manifiéstalo levantando su mano, instruyendo a la Secretaria General para que contabilice los votos y nos informe del resultado.</w:t>
      </w:r>
    </w:p>
    <w:p w14:paraId="3A474442" w14:textId="77777777" w:rsidR="00016FE1" w:rsidRPr="00CD0531" w:rsidRDefault="00016FE1" w:rsidP="002B6227">
      <w:pPr>
        <w:jc w:val="both"/>
        <w:rPr>
          <w:rFonts w:ascii="Gotham" w:hAnsi="Gotham" w:cs="Arial"/>
          <w:sz w:val="20"/>
          <w:szCs w:val="20"/>
        </w:rPr>
      </w:pPr>
    </w:p>
    <w:p w14:paraId="3A474443" w14:textId="77777777" w:rsidR="00016FE1" w:rsidRPr="00CD0531" w:rsidRDefault="00016FE1" w:rsidP="002B6227">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w:t>
      </w:r>
      <w:r>
        <w:rPr>
          <w:rFonts w:ascii="Gotham" w:hAnsi="Gotham" w:cs="Arial"/>
          <w:sz w:val="20"/>
          <w:szCs w:val="20"/>
        </w:rPr>
        <w:t>8</w:t>
      </w:r>
      <w:r w:rsidRPr="000C7FF8">
        <w:rPr>
          <w:rFonts w:ascii="Gotham" w:hAnsi="Gotham" w:cs="Arial"/>
          <w:sz w:val="20"/>
          <w:szCs w:val="20"/>
        </w:rPr>
        <w:t xml:space="preserve"> votos a favor</w:t>
      </w:r>
      <w:r w:rsidRPr="00CD0531">
        <w:rPr>
          <w:rFonts w:ascii="Gotham" w:hAnsi="Gotham" w:cs="Arial"/>
          <w:sz w:val="20"/>
          <w:szCs w:val="20"/>
        </w:rPr>
        <w:t>.</w:t>
      </w:r>
    </w:p>
    <w:p w14:paraId="3A474444" w14:textId="77777777" w:rsidR="00016FE1" w:rsidRPr="00CD0531" w:rsidRDefault="00016FE1" w:rsidP="002B6227">
      <w:pPr>
        <w:jc w:val="both"/>
        <w:rPr>
          <w:rFonts w:ascii="Gotham" w:hAnsi="Gotham" w:cs="Arial"/>
          <w:sz w:val="20"/>
          <w:szCs w:val="20"/>
        </w:rPr>
      </w:pPr>
    </w:p>
    <w:p w14:paraId="3A474445" w14:textId="77777777" w:rsidR="00016FE1" w:rsidRDefault="00016FE1" w:rsidP="002B6227">
      <w:pPr>
        <w:pStyle w:val="Piedepgina"/>
        <w:tabs>
          <w:tab w:val="left" w:pos="708"/>
        </w:tabs>
        <w:jc w:val="both"/>
        <w:rPr>
          <w:rFonts w:ascii="Gotham" w:hAnsi="Gotham"/>
          <w:sz w:val="20"/>
          <w:szCs w:val="20"/>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4446" w14:textId="77777777" w:rsidR="00016FE1" w:rsidRDefault="00016FE1" w:rsidP="002B6227">
      <w:pPr>
        <w:pStyle w:val="Piedepgina"/>
        <w:tabs>
          <w:tab w:val="left" w:pos="708"/>
        </w:tabs>
        <w:jc w:val="both"/>
        <w:rPr>
          <w:rFonts w:ascii="Gotham" w:hAnsi="Gotham"/>
          <w:sz w:val="20"/>
          <w:szCs w:val="20"/>
        </w:rPr>
      </w:pPr>
    </w:p>
    <w:p w14:paraId="3A474447" w14:textId="77777777" w:rsidR="009B5E39" w:rsidRDefault="009B5E39" w:rsidP="002B6227">
      <w:pPr>
        <w:pStyle w:val="Piedepgina"/>
        <w:tabs>
          <w:tab w:val="left" w:pos="708"/>
        </w:tabs>
        <w:jc w:val="both"/>
        <w:rPr>
          <w:rFonts w:ascii="Gotham" w:hAnsi="Gotham"/>
          <w:sz w:val="20"/>
          <w:szCs w:val="20"/>
        </w:rPr>
      </w:pPr>
    </w:p>
    <w:p w14:paraId="3A474448" w14:textId="77777777" w:rsidR="009B5E39" w:rsidRDefault="009B5E39" w:rsidP="009B5E39">
      <w:pPr>
        <w:ind w:firstLine="708"/>
        <w:jc w:val="both"/>
        <w:rPr>
          <w:rFonts w:ascii="Gotham" w:hAnsi="Gotham"/>
          <w:sz w:val="20"/>
          <w:szCs w:val="20"/>
        </w:rPr>
      </w:pPr>
      <w:r>
        <w:rPr>
          <w:rFonts w:ascii="Gotham" w:hAnsi="Gotham"/>
          <w:sz w:val="20"/>
          <w:szCs w:val="20"/>
        </w:rPr>
        <w:t>En uso de la voz el Presidente Municipal, Sergio Armando Chávez Dávalos, señala que, pasando al séptimo punto del orden del día; se registraron los siguientes oradores para dar cuenta de la exposición de sus asuntos varios:</w:t>
      </w:r>
    </w:p>
    <w:p w14:paraId="3A474449" w14:textId="77777777" w:rsidR="009B5E39" w:rsidRDefault="009B5E39" w:rsidP="009B5E39">
      <w:pPr>
        <w:jc w:val="both"/>
        <w:rPr>
          <w:rFonts w:ascii="Gotham" w:hAnsi="Gotham" w:cs="Arial"/>
          <w:sz w:val="20"/>
          <w:szCs w:val="20"/>
        </w:rPr>
      </w:pPr>
    </w:p>
    <w:p w14:paraId="3A47444A" w14:textId="77777777" w:rsidR="009B5E39" w:rsidRPr="00272D60" w:rsidRDefault="009B5E39" w:rsidP="009B5E39">
      <w:pPr>
        <w:jc w:val="both"/>
        <w:rPr>
          <w:rFonts w:ascii="Gotham" w:hAnsi="Gotham" w:cs="Arial"/>
          <w:sz w:val="20"/>
          <w:szCs w:val="20"/>
        </w:rPr>
      </w:pPr>
    </w:p>
    <w:p w14:paraId="3A47444B" w14:textId="77777777" w:rsidR="009B5E39" w:rsidRDefault="009B5E39" w:rsidP="009B5E39">
      <w:pPr>
        <w:jc w:val="both"/>
        <w:rPr>
          <w:rFonts w:ascii="Gotham" w:hAnsi="Gotham" w:cs="Arial"/>
          <w:color w:val="000000"/>
          <w:sz w:val="20"/>
          <w:szCs w:val="20"/>
          <w:lang w:eastAsia="es-MX"/>
        </w:rPr>
      </w:pPr>
      <w:r w:rsidRPr="008C2CA2">
        <w:rPr>
          <w:rFonts w:ascii="Gotham" w:hAnsi="Gotham"/>
          <w:b/>
          <w:smallCaps/>
          <w:sz w:val="20"/>
          <w:szCs w:val="20"/>
        </w:rPr>
        <w:t>Primer Asunto Vario</w:t>
      </w:r>
      <w:r w:rsidRPr="008C2CA2">
        <w:rPr>
          <w:rFonts w:ascii="Gotham" w:hAnsi="Gotham"/>
          <w:b/>
          <w:sz w:val="20"/>
          <w:szCs w:val="20"/>
        </w:rPr>
        <w:t>.-</w:t>
      </w:r>
      <w:r w:rsidRPr="008C2CA2">
        <w:rPr>
          <w:rFonts w:ascii="Gotham" w:hAnsi="Gotham"/>
          <w:sz w:val="20"/>
          <w:szCs w:val="20"/>
        </w:rPr>
        <w:t xml:space="preserve"> </w:t>
      </w:r>
      <w:r>
        <w:rPr>
          <w:rFonts w:ascii="Gotham" w:hAnsi="Gotham"/>
          <w:sz w:val="20"/>
          <w:szCs w:val="20"/>
        </w:rPr>
        <w:t>En uso de la voz la Regidora Karen Yesenia Dávalos Hernández,</w:t>
      </w:r>
      <w:r w:rsidRPr="009F7444">
        <w:rPr>
          <w:rFonts w:ascii="Gotham" w:hAnsi="Gotham" w:cs="Arial"/>
          <w:sz w:val="20"/>
          <w:szCs w:val="20"/>
        </w:rPr>
        <w:t xml:space="preserve"> </w:t>
      </w:r>
      <w:r>
        <w:rPr>
          <w:rFonts w:ascii="Gotham" w:hAnsi="Gotham" w:cs="Arial"/>
          <w:sz w:val="20"/>
          <w:szCs w:val="20"/>
        </w:rPr>
        <w:t>expresa que,</w:t>
      </w:r>
      <w:r w:rsidRPr="009F7444">
        <w:rPr>
          <w:rFonts w:ascii="Gotham" w:hAnsi="Gotham" w:cs="Arial"/>
          <w:sz w:val="20"/>
          <w:szCs w:val="20"/>
        </w:rPr>
        <w:t xml:space="preserve"> </w:t>
      </w:r>
      <w:r>
        <w:rPr>
          <w:rFonts w:ascii="Gotham" w:hAnsi="Gotham" w:cs="Arial"/>
          <w:sz w:val="20"/>
          <w:szCs w:val="20"/>
        </w:rPr>
        <w:t>con su venia 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a</w:t>
      </w:r>
      <w:r w:rsidRPr="00AC1F06">
        <w:rPr>
          <w:rFonts w:ascii="Gotham" w:hAnsi="Gotham" w:cs="Arial"/>
          <w:color w:val="000000"/>
          <w:sz w:val="20"/>
          <w:szCs w:val="20"/>
          <w:lang w:eastAsia="es-MX"/>
        </w:rPr>
        <w:t>ntes que nada agradecer que por fin se aprobó el reglamento de la calle Santos Degollado y pedirte Alcalde que se lleven a cabo las acciones ejecutivas correspondientes para que el reglamento se lleve a cabo en la calle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debido a que los vecinos pues por ahí nos están haciendo llegar sus peticiones de que ya está aprobado el reglamento pero no se está llevando a cabo lo correspondiente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entonces pues dejártelo de tarea </w:t>
      </w:r>
      <w:r>
        <w:rPr>
          <w:rFonts w:ascii="Gotham" w:hAnsi="Gotham" w:cs="Arial"/>
          <w:color w:val="000000"/>
          <w:sz w:val="20"/>
          <w:szCs w:val="20"/>
          <w:lang w:eastAsia="es-MX"/>
        </w:rPr>
        <w:t>A</w:t>
      </w:r>
      <w:r w:rsidRPr="00AC1F06">
        <w:rPr>
          <w:rFonts w:ascii="Gotham" w:hAnsi="Gotham" w:cs="Arial"/>
          <w:color w:val="000000"/>
          <w:sz w:val="20"/>
          <w:szCs w:val="20"/>
          <w:lang w:eastAsia="es-MX"/>
        </w:rPr>
        <w:t>lcalde por favor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cu</w:t>
      </w:r>
      <w:r>
        <w:rPr>
          <w:rFonts w:ascii="Gotham" w:hAnsi="Gotham" w:cs="Arial"/>
          <w:color w:val="000000"/>
          <w:sz w:val="20"/>
          <w:szCs w:val="20"/>
          <w:lang w:eastAsia="es-MX"/>
        </w:rPr>
        <w:t>a</w:t>
      </w:r>
      <w:r w:rsidRPr="00AC1F06">
        <w:rPr>
          <w:rFonts w:ascii="Gotham" w:hAnsi="Gotham" w:cs="Arial"/>
          <w:color w:val="000000"/>
          <w:sz w:val="20"/>
          <w:szCs w:val="20"/>
          <w:lang w:eastAsia="es-MX"/>
        </w:rPr>
        <w:t>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gracias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p>
    <w:p w14:paraId="3A47444C" w14:textId="77777777" w:rsidR="009B5E39" w:rsidRDefault="009B5E39" w:rsidP="009B5E39">
      <w:pPr>
        <w:jc w:val="both"/>
        <w:rPr>
          <w:rFonts w:ascii="Gotham" w:hAnsi="Gotham" w:cs="Arial"/>
          <w:color w:val="000000"/>
          <w:sz w:val="20"/>
          <w:szCs w:val="20"/>
          <w:lang w:eastAsia="es-MX"/>
        </w:rPr>
      </w:pPr>
    </w:p>
    <w:p w14:paraId="3A47444D" w14:textId="77777777" w:rsidR="009B5E39" w:rsidRPr="00490CB5" w:rsidRDefault="009B5E39" w:rsidP="009B5E39">
      <w:pPr>
        <w:jc w:val="both"/>
        <w:rPr>
          <w:rFonts w:ascii="Gotham" w:hAnsi="Gotham" w:cs="Arial"/>
          <w:sz w:val="20"/>
          <w:szCs w:val="20"/>
        </w:rPr>
      </w:pPr>
      <w:r>
        <w:rPr>
          <w:rFonts w:ascii="Gotham" w:hAnsi="Gotham" w:cs="Arial"/>
          <w:color w:val="000000"/>
          <w:sz w:val="20"/>
          <w:szCs w:val="20"/>
          <w:lang w:eastAsia="es-MX"/>
        </w:rPr>
        <w:t xml:space="preserve">En uso de la voz el Presidente Municipal, Sergio Armando Chávez Dávalos, manifiesta que, </w:t>
      </w:r>
      <w:r w:rsidRPr="00AC1F06">
        <w:rPr>
          <w:rFonts w:ascii="Gotham" w:hAnsi="Gotham" w:cs="Arial"/>
          <w:color w:val="000000"/>
          <w:sz w:val="20"/>
          <w:szCs w:val="20"/>
          <w:lang w:eastAsia="es-MX"/>
        </w:rPr>
        <w:t>gracias</w:t>
      </w:r>
      <w:r>
        <w:rPr>
          <w:rFonts w:ascii="Gotham" w:hAnsi="Gotham" w:cs="Arial"/>
          <w:color w:val="000000"/>
          <w:sz w:val="20"/>
          <w:szCs w:val="20"/>
          <w:lang w:eastAsia="es-MX"/>
        </w:rPr>
        <w:t xml:space="preserve"> Regidora.</w:t>
      </w:r>
    </w:p>
    <w:p w14:paraId="3A47444E" w14:textId="77777777" w:rsidR="009B5E39" w:rsidRPr="00490CB5" w:rsidRDefault="009B5E39" w:rsidP="009B5E39">
      <w:pPr>
        <w:jc w:val="both"/>
        <w:rPr>
          <w:rFonts w:ascii="Gotham" w:hAnsi="Gotham" w:cs="Arial"/>
          <w:sz w:val="20"/>
          <w:szCs w:val="20"/>
        </w:rPr>
      </w:pPr>
    </w:p>
    <w:p w14:paraId="3A47444F" w14:textId="77777777" w:rsidR="009B5E39" w:rsidRPr="008D285E" w:rsidRDefault="009B5E39" w:rsidP="009B5E39">
      <w:pPr>
        <w:jc w:val="both"/>
        <w:rPr>
          <w:rFonts w:ascii="Gotham" w:hAnsi="Gotham" w:cs="Arial"/>
          <w:sz w:val="20"/>
          <w:szCs w:val="20"/>
        </w:rPr>
      </w:pPr>
    </w:p>
    <w:p w14:paraId="3A474450" w14:textId="77777777" w:rsidR="009B5E39" w:rsidRDefault="009B5E39" w:rsidP="009B5E39">
      <w:pPr>
        <w:jc w:val="both"/>
        <w:rPr>
          <w:rFonts w:ascii="Gotham" w:hAnsi="Gotham" w:cs="Arial"/>
          <w:color w:val="000000"/>
          <w:sz w:val="20"/>
          <w:szCs w:val="20"/>
          <w:lang w:eastAsia="es-MX"/>
        </w:rPr>
      </w:pPr>
      <w:r w:rsidRPr="008E1C0E">
        <w:rPr>
          <w:rFonts w:ascii="Gotham" w:hAnsi="Gotham"/>
          <w:b/>
          <w:smallCaps/>
          <w:sz w:val="20"/>
          <w:szCs w:val="20"/>
        </w:rPr>
        <w:t>Segundo Asunto Vario.-</w:t>
      </w:r>
      <w:r w:rsidRPr="00FE4C2B">
        <w:rPr>
          <w:rFonts w:ascii="Gotham" w:hAnsi="Gotham" w:cs="Arial"/>
          <w:sz w:val="20"/>
          <w:szCs w:val="20"/>
        </w:rPr>
        <w:t xml:space="preserve"> </w:t>
      </w:r>
      <w:r>
        <w:rPr>
          <w:rFonts w:ascii="Gotham" w:hAnsi="Gotham" w:cs="Arial"/>
          <w:sz w:val="20"/>
          <w:szCs w:val="20"/>
        </w:rPr>
        <w:t xml:space="preserve">En uso de la voz el Regidor Manuel Nájera Martínez, </w:t>
      </w:r>
      <w:r w:rsidRPr="008A2E88">
        <w:rPr>
          <w:rFonts w:ascii="Gotham" w:hAnsi="Gotham" w:cs="Arial"/>
          <w:sz w:val="20"/>
          <w:szCs w:val="20"/>
        </w:rPr>
        <w:t xml:space="preserve">menciona que, </w:t>
      </w:r>
      <w:r>
        <w:rPr>
          <w:rFonts w:ascii="Gotham" w:hAnsi="Gotham" w:cs="Arial"/>
          <w:sz w:val="20"/>
          <w:szCs w:val="20"/>
        </w:rPr>
        <w:t>P</w:t>
      </w:r>
      <w:r w:rsidRPr="00AC1F06">
        <w:rPr>
          <w:rFonts w:ascii="Gotham" w:hAnsi="Gotham" w:cs="Arial"/>
          <w:color w:val="000000"/>
          <w:sz w:val="20"/>
          <w:szCs w:val="20"/>
          <w:lang w:eastAsia="es-MX"/>
        </w:rPr>
        <w:t xml:space="preserve">residente </w:t>
      </w:r>
      <w:r>
        <w:rPr>
          <w:rFonts w:ascii="Gotham" w:hAnsi="Gotham" w:cs="Arial"/>
          <w:color w:val="000000"/>
          <w:sz w:val="20"/>
          <w:szCs w:val="20"/>
          <w:lang w:eastAsia="es-MX"/>
        </w:rPr>
        <w:t xml:space="preserve">con su venia; agradecerte de antemano Presidente, </w:t>
      </w:r>
      <w:r w:rsidRPr="00AC1F06">
        <w:rPr>
          <w:rFonts w:ascii="Gotham" w:hAnsi="Gotham" w:cs="Arial"/>
          <w:color w:val="000000"/>
          <w:sz w:val="20"/>
          <w:szCs w:val="20"/>
          <w:lang w:eastAsia="es-MX"/>
        </w:rPr>
        <w:t xml:space="preserve">estuvimos </w:t>
      </w:r>
      <w:r>
        <w:rPr>
          <w:rFonts w:ascii="Gotham" w:hAnsi="Gotham" w:cs="Arial"/>
          <w:color w:val="000000"/>
          <w:sz w:val="20"/>
          <w:szCs w:val="20"/>
          <w:lang w:eastAsia="es-MX"/>
        </w:rPr>
        <w:t xml:space="preserve">recibiendo </w:t>
      </w:r>
      <w:r w:rsidRPr="00AC1F06">
        <w:rPr>
          <w:rFonts w:ascii="Gotham" w:hAnsi="Gotham" w:cs="Arial"/>
          <w:color w:val="000000"/>
          <w:sz w:val="20"/>
          <w:szCs w:val="20"/>
          <w:lang w:eastAsia="es-MX"/>
        </w:rPr>
        <w:t>la co</w:t>
      </w:r>
      <w:r>
        <w:rPr>
          <w:rFonts w:ascii="Gotham" w:hAnsi="Gotham" w:cs="Arial"/>
          <w:color w:val="000000"/>
          <w:sz w:val="20"/>
          <w:szCs w:val="20"/>
          <w:lang w:eastAsia="es-MX"/>
        </w:rPr>
        <w:t>rrespondiente información a la C</w:t>
      </w:r>
      <w:r w:rsidRPr="00AC1F06">
        <w:rPr>
          <w:rFonts w:ascii="Gotham" w:hAnsi="Gotham" w:cs="Arial"/>
          <w:color w:val="000000"/>
          <w:sz w:val="20"/>
          <w:szCs w:val="20"/>
          <w:lang w:eastAsia="es-MX"/>
        </w:rPr>
        <w:t xml:space="preserve">oordinación de </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eguridad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ública de </w:t>
      </w:r>
      <w:r>
        <w:rPr>
          <w:rFonts w:ascii="Gotham" w:hAnsi="Gotham" w:cs="Arial"/>
          <w:color w:val="000000"/>
          <w:sz w:val="20"/>
          <w:szCs w:val="20"/>
          <w:lang w:eastAsia="es-MX"/>
        </w:rPr>
        <w:t>G</w:t>
      </w:r>
      <w:r w:rsidRPr="00AC1F06">
        <w:rPr>
          <w:rFonts w:ascii="Gotham" w:hAnsi="Gotham" w:cs="Arial"/>
          <w:color w:val="000000"/>
          <w:sz w:val="20"/>
          <w:szCs w:val="20"/>
          <w:lang w:eastAsia="es-MX"/>
        </w:rPr>
        <w:t xml:space="preserve">obierno del </w:t>
      </w:r>
      <w:r>
        <w:rPr>
          <w:rFonts w:ascii="Gotham" w:hAnsi="Gotham" w:cs="Arial"/>
          <w:color w:val="000000"/>
          <w:sz w:val="20"/>
          <w:szCs w:val="20"/>
          <w:lang w:eastAsia="es-MX"/>
        </w:rPr>
        <w:t>E</w:t>
      </w:r>
      <w:r w:rsidRPr="00AC1F06">
        <w:rPr>
          <w:rFonts w:ascii="Gotham" w:hAnsi="Gotham" w:cs="Arial"/>
          <w:color w:val="000000"/>
          <w:sz w:val="20"/>
          <w:szCs w:val="20"/>
          <w:lang w:eastAsia="es-MX"/>
        </w:rPr>
        <w:t>stado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 medio de la </w:t>
      </w:r>
      <w:r>
        <w:rPr>
          <w:rFonts w:ascii="Gotham" w:hAnsi="Gotham" w:cs="Arial"/>
          <w:color w:val="000000"/>
          <w:sz w:val="20"/>
          <w:szCs w:val="20"/>
          <w:lang w:eastAsia="es-MX"/>
        </w:rPr>
        <w:t>U</w:t>
      </w:r>
      <w:r w:rsidRPr="00AC1F06">
        <w:rPr>
          <w:rFonts w:ascii="Gotham" w:hAnsi="Gotham" w:cs="Arial"/>
          <w:color w:val="000000"/>
          <w:sz w:val="20"/>
          <w:szCs w:val="20"/>
          <w:lang w:eastAsia="es-MX"/>
        </w:rPr>
        <w:t xml:space="preserve">nidad de </w:t>
      </w:r>
      <w:r>
        <w:rPr>
          <w:rFonts w:ascii="Gotham" w:hAnsi="Gotham" w:cs="Arial"/>
          <w:color w:val="000000"/>
          <w:sz w:val="20"/>
          <w:szCs w:val="20"/>
          <w:lang w:eastAsia="es-MX"/>
        </w:rPr>
        <w:t>T</w:t>
      </w:r>
      <w:r w:rsidRPr="00AC1F06">
        <w:rPr>
          <w:rFonts w:ascii="Gotham" w:hAnsi="Gotham" w:cs="Arial"/>
          <w:color w:val="000000"/>
          <w:sz w:val="20"/>
          <w:szCs w:val="20"/>
          <w:lang w:eastAsia="es-MX"/>
        </w:rPr>
        <w:t>ransparencia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lo que hemos recibido </w:t>
      </w:r>
      <w:r>
        <w:rPr>
          <w:rFonts w:ascii="Gotham" w:hAnsi="Gotham" w:cs="Arial"/>
          <w:color w:val="000000"/>
          <w:sz w:val="20"/>
          <w:szCs w:val="20"/>
          <w:lang w:eastAsia="es-MX"/>
        </w:rPr>
        <w:t>Presidente es</w:t>
      </w:r>
      <w:r w:rsidRPr="00AC1F06">
        <w:rPr>
          <w:rFonts w:ascii="Gotham" w:hAnsi="Gotham" w:cs="Arial"/>
          <w:color w:val="000000"/>
          <w:sz w:val="20"/>
          <w:szCs w:val="20"/>
          <w:lang w:eastAsia="es-MX"/>
        </w:rPr>
        <w:t xml:space="preserve"> que de la zona metropolitana de Guadalajara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durante es</w:t>
      </w:r>
      <w:r>
        <w:rPr>
          <w:rFonts w:ascii="Gotham" w:hAnsi="Gotham" w:cs="Arial"/>
          <w:color w:val="000000"/>
          <w:sz w:val="20"/>
          <w:szCs w:val="20"/>
          <w:lang w:eastAsia="es-MX"/>
        </w:rPr>
        <w:t>t</w:t>
      </w:r>
      <w:r w:rsidRPr="00AC1F06">
        <w:rPr>
          <w:rFonts w:ascii="Gotham" w:hAnsi="Gotham" w:cs="Arial"/>
          <w:color w:val="000000"/>
          <w:sz w:val="20"/>
          <w:szCs w:val="20"/>
          <w:lang w:eastAsia="es-MX"/>
        </w:rPr>
        <w:t xml:space="preserve">os años nos hemos mantenido </w:t>
      </w:r>
      <w:r>
        <w:rPr>
          <w:rFonts w:ascii="Gotham" w:hAnsi="Gotham" w:cs="Arial"/>
          <w:color w:val="000000"/>
          <w:sz w:val="20"/>
          <w:szCs w:val="20"/>
          <w:lang w:eastAsia="es-MX"/>
        </w:rPr>
        <w:t xml:space="preserve">como </w:t>
      </w:r>
      <w:r w:rsidRPr="00AC1F06">
        <w:rPr>
          <w:rFonts w:ascii="Gotham" w:hAnsi="Gotham" w:cs="Arial"/>
          <w:color w:val="000000"/>
          <w:sz w:val="20"/>
          <w:szCs w:val="20"/>
          <w:lang w:eastAsia="es-MX"/>
        </w:rPr>
        <w:t xml:space="preserve">la ciudad más segura de la zona metropolitana de Guadalajara </w:t>
      </w:r>
      <w:r>
        <w:rPr>
          <w:rFonts w:ascii="Gotham" w:hAnsi="Gotham" w:cs="Arial"/>
          <w:color w:val="000000"/>
          <w:sz w:val="20"/>
          <w:szCs w:val="20"/>
          <w:lang w:eastAsia="es-MX"/>
        </w:rPr>
        <w:t xml:space="preserve">y </w:t>
      </w:r>
      <w:r w:rsidRPr="00AC1F06">
        <w:rPr>
          <w:rFonts w:ascii="Gotham" w:hAnsi="Gotham" w:cs="Arial"/>
          <w:color w:val="000000"/>
          <w:sz w:val="20"/>
          <w:szCs w:val="20"/>
          <w:lang w:eastAsia="es-MX"/>
        </w:rPr>
        <w:t>es</w:t>
      </w:r>
      <w:r>
        <w:rPr>
          <w:rFonts w:ascii="Gotham" w:hAnsi="Gotham" w:cs="Arial"/>
          <w:color w:val="000000"/>
          <w:sz w:val="20"/>
          <w:szCs w:val="20"/>
          <w:lang w:eastAsia="es-MX"/>
        </w:rPr>
        <w:t>t</w:t>
      </w:r>
      <w:r w:rsidRPr="00AC1F06">
        <w:rPr>
          <w:rFonts w:ascii="Gotham" w:hAnsi="Gotham" w:cs="Arial"/>
          <w:color w:val="000000"/>
          <w:sz w:val="20"/>
          <w:szCs w:val="20"/>
          <w:lang w:eastAsia="es-MX"/>
        </w:rPr>
        <w:t>o</w:t>
      </w:r>
      <w:r>
        <w:rPr>
          <w:rFonts w:ascii="Gotham" w:hAnsi="Gotham" w:cs="Arial"/>
          <w:color w:val="000000"/>
          <w:sz w:val="20"/>
          <w:szCs w:val="20"/>
          <w:lang w:eastAsia="es-MX"/>
        </w:rPr>
        <w:t xml:space="preserve"> ha sido obra prácticamente p</w:t>
      </w:r>
      <w:r w:rsidRPr="00AC1F06">
        <w:rPr>
          <w:rFonts w:ascii="Gotham" w:hAnsi="Gotham" w:cs="Arial"/>
          <w:color w:val="000000"/>
          <w:sz w:val="20"/>
          <w:szCs w:val="20"/>
          <w:lang w:eastAsia="es-MX"/>
        </w:rPr>
        <w:t xml:space="preserve">ues tuya como como jefe y una felicitación al </w:t>
      </w:r>
      <w:r>
        <w:rPr>
          <w:rFonts w:ascii="Gotham" w:hAnsi="Gotham" w:cs="Arial"/>
          <w:color w:val="000000"/>
          <w:sz w:val="20"/>
          <w:szCs w:val="20"/>
          <w:lang w:eastAsia="es-MX"/>
        </w:rPr>
        <w:t>C</w:t>
      </w:r>
      <w:r w:rsidRPr="00AC1F06">
        <w:rPr>
          <w:rFonts w:ascii="Gotham" w:hAnsi="Gotham" w:cs="Arial"/>
          <w:color w:val="000000"/>
          <w:sz w:val="20"/>
          <w:szCs w:val="20"/>
          <w:lang w:eastAsia="es-MX"/>
        </w:rPr>
        <w:t xml:space="preserve">oordinador de </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eguridad </w:t>
      </w:r>
      <w:r>
        <w:rPr>
          <w:rFonts w:ascii="Gotham" w:hAnsi="Gotham" w:cs="Arial"/>
          <w:color w:val="000000"/>
          <w:sz w:val="20"/>
          <w:szCs w:val="20"/>
          <w:lang w:eastAsia="es-MX"/>
        </w:rPr>
        <w:t>P</w:t>
      </w:r>
      <w:r w:rsidRPr="00AC1F06">
        <w:rPr>
          <w:rFonts w:ascii="Gotham" w:hAnsi="Gotham" w:cs="Arial"/>
          <w:color w:val="000000"/>
          <w:sz w:val="20"/>
          <w:szCs w:val="20"/>
          <w:lang w:eastAsia="es-MX"/>
        </w:rPr>
        <w:t>ública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verdad es que mantenerse como la ciudad más segura dentro de la zona metropolitana de Guadalajara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verdad tenía mucho que no se daba y el día </w:t>
      </w:r>
      <w:r>
        <w:rPr>
          <w:rFonts w:ascii="Gotham" w:hAnsi="Gotham" w:cs="Arial"/>
          <w:color w:val="000000"/>
          <w:sz w:val="20"/>
          <w:szCs w:val="20"/>
          <w:lang w:eastAsia="es-MX"/>
        </w:rPr>
        <w:t xml:space="preserve">de </w:t>
      </w:r>
      <w:r w:rsidRPr="00AC1F06">
        <w:rPr>
          <w:rFonts w:ascii="Gotham" w:hAnsi="Gotham" w:cs="Arial"/>
          <w:color w:val="000000"/>
          <w:sz w:val="20"/>
          <w:szCs w:val="20"/>
          <w:lang w:eastAsia="es-MX"/>
        </w:rPr>
        <w:t xml:space="preserve">hoy por </w:t>
      </w:r>
      <w:r w:rsidRPr="00AC1F06">
        <w:rPr>
          <w:rFonts w:ascii="Gotham" w:hAnsi="Gotham" w:cs="Arial"/>
          <w:color w:val="000000"/>
          <w:sz w:val="20"/>
          <w:szCs w:val="20"/>
          <w:lang w:eastAsia="es-MX"/>
        </w:rPr>
        <w:lastRenderedPageBreak/>
        <w:t>hoy</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de agradecer que estamos en una mejor situación en seguridad pública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g</w:t>
      </w:r>
      <w:r w:rsidRPr="00AC1F06">
        <w:rPr>
          <w:rFonts w:ascii="Gotham" w:hAnsi="Gotham" w:cs="Arial"/>
          <w:color w:val="000000"/>
          <w:sz w:val="20"/>
          <w:szCs w:val="20"/>
          <w:lang w:eastAsia="es-MX"/>
        </w:rPr>
        <w:t xml:space="preserve">racias </w:t>
      </w:r>
      <w:r>
        <w:rPr>
          <w:rFonts w:ascii="Gotham" w:hAnsi="Gotham" w:cs="Arial"/>
          <w:color w:val="000000"/>
          <w:sz w:val="20"/>
          <w:szCs w:val="20"/>
          <w:lang w:eastAsia="es-MX"/>
        </w:rPr>
        <w:t>P</w:t>
      </w:r>
      <w:r w:rsidRPr="00AC1F06">
        <w:rPr>
          <w:rFonts w:ascii="Gotham" w:hAnsi="Gotham" w:cs="Arial"/>
          <w:color w:val="000000"/>
          <w:sz w:val="20"/>
          <w:szCs w:val="20"/>
          <w:lang w:eastAsia="es-MX"/>
        </w:rPr>
        <w:t>residente</w:t>
      </w:r>
      <w:r>
        <w:rPr>
          <w:rFonts w:ascii="Gotham" w:hAnsi="Gotham" w:cs="Arial"/>
          <w:color w:val="000000"/>
          <w:sz w:val="20"/>
          <w:szCs w:val="20"/>
          <w:lang w:eastAsia="es-MX"/>
        </w:rPr>
        <w:t xml:space="preserve">, es </w:t>
      </w:r>
      <w:proofErr w:type="spellStart"/>
      <w:r>
        <w:rPr>
          <w:rFonts w:ascii="Gotham" w:hAnsi="Gotham" w:cs="Arial"/>
          <w:color w:val="000000"/>
          <w:sz w:val="20"/>
          <w:szCs w:val="20"/>
          <w:lang w:eastAsia="es-MX"/>
        </w:rPr>
        <w:t>cua</w:t>
      </w:r>
      <w:r w:rsidRPr="00AC1F06">
        <w:rPr>
          <w:rFonts w:ascii="Gotham" w:hAnsi="Gotham" w:cs="Arial"/>
          <w:color w:val="000000"/>
          <w:sz w:val="20"/>
          <w:szCs w:val="20"/>
          <w:lang w:eastAsia="es-MX"/>
        </w:rPr>
        <w:t>nto</w:t>
      </w:r>
      <w:proofErr w:type="spellEnd"/>
      <w:r>
        <w:rPr>
          <w:rFonts w:ascii="Gotham" w:hAnsi="Gotham" w:cs="Arial"/>
          <w:color w:val="000000"/>
          <w:sz w:val="20"/>
          <w:szCs w:val="20"/>
          <w:lang w:eastAsia="es-MX"/>
        </w:rPr>
        <w:t>.</w:t>
      </w:r>
    </w:p>
    <w:p w14:paraId="3A474451" w14:textId="77777777" w:rsidR="009B5E39" w:rsidRDefault="009B5E39" w:rsidP="009B5E39">
      <w:pPr>
        <w:jc w:val="both"/>
        <w:rPr>
          <w:rFonts w:ascii="Gotham" w:hAnsi="Gotham" w:cs="Arial"/>
          <w:color w:val="000000"/>
          <w:sz w:val="20"/>
          <w:szCs w:val="20"/>
          <w:lang w:eastAsia="es-MX"/>
        </w:rPr>
      </w:pPr>
    </w:p>
    <w:p w14:paraId="3A474452" w14:textId="77777777" w:rsidR="009B5E39" w:rsidRPr="009C2F1F" w:rsidRDefault="009B5E39" w:rsidP="009B5E39">
      <w:pPr>
        <w:jc w:val="both"/>
        <w:rPr>
          <w:rFonts w:ascii="Gotham" w:hAnsi="Gotham"/>
          <w:sz w:val="20"/>
          <w:szCs w:val="20"/>
        </w:rPr>
      </w:pPr>
      <w:r>
        <w:rPr>
          <w:rFonts w:ascii="Gotham" w:hAnsi="Gotham" w:cs="Arial"/>
          <w:color w:val="000000"/>
          <w:sz w:val="20"/>
          <w:szCs w:val="20"/>
          <w:lang w:eastAsia="es-MX"/>
        </w:rPr>
        <w:t>En uso de la voz el Presidente Municipal, Sergio Armando Chávez Dávalos, expresa que,</w:t>
      </w:r>
      <w:r w:rsidRPr="00AC1F06">
        <w:rPr>
          <w:rFonts w:ascii="Gotham" w:hAnsi="Gotham" w:cs="Arial"/>
          <w:color w:val="000000"/>
          <w:sz w:val="20"/>
          <w:szCs w:val="20"/>
          <w:lang w:eastAsia="es-MX"/>
        </w:rPr>
        <w:t xml:space="preserve"> gracias </w:t>
      </w:r>
      <w:r>
        <w:rPr>
          <w:rFonts w:ascii="Gotham" w:hAnsi="Gotham" w:cs="Arial"/>
          <w:color w:val="000000"/>
          <w:sz w:val="20"/>
          <w:szCs w:val="20"/>
          <w:lang w:eastAsia="es-MX"/>
        </w:rPr>
        <w:t>R</w:t>
      </w:r>
      <w:r w:rsidRPr="00AC1F06">
        <w:rPr>
          <w:rFonts w:ascii="Gotham" w:hAnsi="Gotham" w:cs="Arial"/>
          <w:color w:val="000000"/>
          <w:sz w:val="20"/>
          <w:szCs w:val="20"/>
          <w:lang w:eastAsia="es-MX"/>
        </w:rPr>
        <w:t>egidor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ues es el trabajo de todo</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a mí me toca andar peleándome</w:t>
      </w:r>
      <w:r>
        <w:rPr>
          <w:rFonts w:ascii="Gotham" w:hAnsi="Gotham" w:cs="Arial"/>
          <w:color w:val="000000"/>
          <w:sz w:val="20"/>
          <w:szCs w:val="20"/>
          <w:lang w:eastAsia="es-MX"/>
        </w:rPr>
        <w:t xml:space="preserve"> y</w:t>
      </w:r>
      <w:r w:rsidRPr="00AC1F06">
        <w:rPr>
          <w:rFonts w:ascii="Gotham" w:hAnsi="Gotham" w:cs="Arial"/>
          <w:color w:val="000000"/>
          <w:sz w:val="20"/>
          <w:szCs w:val="20"/>
          <w:lang w:eastAsia="es-MX"/>
        </w:rPr>
        <w:t xml:space="preserve"> consiguiendo dinero para que tengan los policías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la chamba la</w:t>
      </w:r>
      <w:r w:rsidRPr="00AC1F06">
        <w:rPr>
          <w:rFonts w:ascii="Gotham" w:hAnsi="Gotham" w:cs="Arial"/>
          <w:color w:val="000000"/>
          <w:sz w:val="20"/>
          <w:szCs w:val="20"/>
          <w:lang w:eastAsia="es-MX"/>
        </w:rPr>
        <w:t xml:space="preserve"> hacen ellos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precisamente hoy </w:t>
      </w:r>
      <w:r>
        <w:rPr>
          <w:rFonts w:ascii="Gotham" w:hAnsi="Gotham" w:cs="Arial"/>
          <w:color w:val="000000"/>
          <w:sz w:val="20"/>
          <w:szCs w:val="20"/>
          <w:lang w:eastAsia="es-MX"/>
        </w:rPr>
        <w:t>muy temprano nos compartió el G</w:t>
      </w:r>
      <w:r w:rsidRPr="00AC1F06">
        <w:rPr>
          <w:rFonts w:ascii="Gotham" w:hAnsi="Gotham" w:cs="Arial"/>
          <w:color w:val="000000"/>
          <w:sz w:val="20"/>
          <w:szCs w:val="20"/>
          <w:lang w:eastAsia="es-MX"/>
        </w:rPr>
        <w:t xml:space="preserve">obernador del </w:t>
      </w:r>
      <w:r>
        <w:rPr>
          <w:rFonts w:ascii="Gotham" w:hAnsi="Gotham" w:cs="Arial"/>
          <w:color w:val="000000"/>
          <w:sz w:val="20"/>
          <w:szCs w:val="20"/>
          <w:lang w:eastAsia="es-MX"/>
        </w:rPr>
        <w:t>E</w:t>
      </w:r>
      <w:r w:rsidRPr="00AC1F06">
        <w:rPr>
          <w:rFonts w:ascii="Gotham" w:hAnsi="Gotham" w:cs="Arial"/>
          <w:color w:val="000000"/>
          <w:sz w:val="20"/>
          <w:szCs w:val="20"/>
          <w:lang w:eastAsia="es-MX"/>
        </w:rPr>
        <w:t>stado la encuesta del INEGI</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más reciente del mes de julio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ahí nos marca el INEGI a Tonalá con menos 5.8 de percepción de inseguridad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un tema de percepción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sto puede cambiar en segundos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hay municipios que en la otra medición </w:t>
      </w:r>
      <w:r w:rsidRPr="00A20AA1">
        <w:rPr>
          <w:rFonts w:ascii="Gotham" w:hAnsi="Gotham" w:cs="Arial"/>
          <w:color w:val="000000"/>
          <w:sz w:val="20"/>
          <w:szCs w:val="20"/>
          <w:lang w:eastAsia="es-MX"/>
        </w:rPr>
        <w:t>de hace dos metropolitanos</w:t>
      </w:r>
      <w:r w:rsidRPr="00AC1F06">
        <w:rPr>
          <w:rFonts w:ascii="Gotham" w:hAnsi="Gotham" w:cs="Arial"/>
          <w:color w:val="000000"/>
          <w:sz w:val="20"/>
          <w:szCs w:val="20"/>
          <w:lang w:eastAsia="es-MX"/>
        </w:rPr>
        <w:t xml:space="preserve"> y van muy bien o van a la baja y luego vuelven a subir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son temas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estar ahí siguiéndole y pegado con el tema de nuestros elementos y estar cuidando la ciudad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gracias por su comentario </w:t>
      </w:r>
      <w:r>
        <w:rPr>
          <w:rFonts w:ascii="Gotham" w:hAnsi="Gotham" w:cs="Arial"/>
          <w:color w:val="000000"/>
          <w:sz w:val="20"/>
          <w:szCs w:val="20"/>
          <w:lang w:eastAsia="es-MX"/>
        </w:rPr>
        <w:t>Regidor Nájera.</w:t>
      </w:r>
    </w:p>
    <w:p w14:paraId="3A474453" w14:textId="77777777" w:rsidR="009B5E39" w:rsidRPr="009C2F1F" w:rsidRDefault="009B5E39" w:rsidP="009B5E39">
      <w:pPr>
        <w:jc w:val="both"/>
        <w:rPr>
          <w:rFonts w:ascii="Gotham" w:hAnsi="Gotham"/>
          <w:sz w:val="20"/>
          <w:szCs w:val="20"/>
        </w:rPr>
      </w:pPr>
    </w:p>
    <w:p w14:paraId="3A474454" w14:textId="77777777" w:rsidR="009B5E39" w:rsidRPr="008B4D32" w:rsidRDefault="009B5E39" w:rsidP="009B5E39">
      <w:pPr>
        <w:jc w:val="both"/>
        <w:rPr>
          <w:rFonts w:ascii="Gotham" w:hAnsi="Gotham"/>
          <w:sz w:val="20"/>
          <w:szCs w:val="20"/>
        </w:rPr>
      </w:pPr>
    </w:p>
    <w:p w14:paraId="3A474455" w14:textId="77777777" w:rsidR="009B5E39" w:rsidRDefault="009B5E39" w:rsidP="009B5E39">
      <w:pPr>
        <w:jc w:val="both"/>
        <w:rPr>
          <w:rFonts w:ascii="Gotham" w:hAnsi="Gotham" w:cs="Arial"/>
          <w:color w:val="000000"/>
          <w:sz w:val="20"/>
          <w:szCs w:val="20"/>
          <w:lang w:eastAsia="es-MX"/>
        </w:rPr>
      </w:pPr>
      <w:r>
        <w:rPr>
          <w:rFonts w:ascii="Gotham" w:hAnsi="Gotham"/>
          <w:b/>
          <w:smallCaps/>
          <w:sz w:val="20"/>
          <w:szCs w:val="20"/>
        </w:rPr>
        <w:t>Terc</w:t>
      </w:r>
      <w:r w:rsidRPr="008C2CA2">
        <w:rPr>
          <w:rFonts w:ascii="Gotham" w:hAnsi="Gotham"/>
          <w:b/>
          <w:smallCaps/>
          <w:sz w:val="20"/>
          <w:szCs w:val="20"/>
        </w:rPr>
        <w:t>er Asunto Vario</w:t>
      </w:r>
      <w:r w:rsidRPr="008C2CA2">
        <w:rPr>
          <w:rFonts w:ascii="Gotham" w:hAnsi="Gotham"/>
          <w:b/>
          <w:sz w:val="20"/>
          <w:szCs w:val="20"/>
        </w:rPr>
        <w:t>.-</w:t>
      </w:r>
      <w:r w:rsidRPr="008C2CA2">
        <w:rPr>
          <w:rFonts w:ascii="Gotham" w:hAnsi="Gotham"/>
          <w:sz w:val="20"/>
          <w:szCs w:val="20"/>
        </w:rPr>
        <w:t xml:space="preserve"> </w:t>
      </w:r>
      <w:r>
        <w:rPr>
          <w:rFonts w:ascii="Gotham" w:hAnsi="Gotham"/>
          <w:sz w:val="20"/>
          <w:szCs w:val="20"/>
        </w:rPr>
        <w:t>En uso de la voz la Regidora Verónica Isela Murillo Martínez, manifiesta</w:t>
      </w:r>
      <w:r w:rsidRPr="008C2CA2">
        <w:rPr>
          <w:rFonts w:ascii="Gotham" w:hAnsi="Gotham"/>
          <w:sz w:val="20"/>
          <w:szCs w:val="20"/>
        </w:rPr>
        <w:t xml:space="preserve"> que, </w:t>
      </w:r>
      <w:r>
        <w:rPr>
          <w:rFonts w:ascii="Gotham" w:hAnsi="Gotham"/>
          <w:sz w:val="20"/>
          <w:szCs w:val="20"/>
        </w:rPr>
        <w:t>con su venia Presidente; q</w:t>
      </w:r>
      <w:r w:rsidRPr="00AC1F06">
        <w:rPr>
          <w:rFonts w:ascii="Gotham" w:hAnsi="Gotham" w:cs="Arial"/>
          <w:color w:val="000000"/>
          <w:sz w:val="20"/>
          <w:szCs w:val="20"/>
          <w:lang w:eastAsia="es-MX"/>
        </w:rPr>
        <w:t xml:space="preserve">uiero hacer referencia al dictamen del punto 6.15 que aprueba la creación del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eglamento para </w:t>
      </w:r>
      <w:r>
        <w:rPr>
          <w:rFonts w:ascii="Gotham" w:hAnsi="Gotham" w:cs="Arial"/>
          <w:color w:val="000000"/>
          <w:sz w:val="20"/>
          <w:szCs w:val="20"/>
          <w:lang w:eastAsia="es-MX"/>
        </w:rPr>
        <w:t>P</w:t>
      </w:r>
      <w:r w:rsidRPr="00AC1F06">
        <w:rPr>
          <w:rFonts w:ascii="Gotham" w:hAnsi="Gotham" w:cs="Arial"/>
          <w:color w:val="000000"/>
          <w:sz w:val="20"/>
          <w:szCs w:val="20"/>
          <w:lang w:eastAsia="es-MX"/>
        </w:rPr>
        <w:t>romover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R</w:t>
      </w:r>
      <w:r w:rsidRPr="00AC1F06">
        <w:rPr>
          <w:rFonts w:ascii="Gotham" w:hAnsi="Gotham" w:cs="Arial"/>
          <w:color w:val="000000"/>
          <w:sz w:val="20"/>
          <w:szCs w:val="20"/>
          <w:lang w:eastAsia="es-MX"/>
        </w:rPr>
        <w:t>espetar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roteger y </w:t>
      </w:r>
      <w:r>
        <w:rPr>
          <w:rFonts w:ascii="Gotham" w:hAnsi="Gotham" w:cs="Arial"/>
          <w:color w:val="000000"/>
          <w:sz w:val="20"/>
          <w:szCs w:val="20"/>
          <w:lang w:eastAsia="es-MX"/>
        </w:rPr>
        <w:t>G</w:t>
      </w:r>
      <w:r w:rsidRPr="00AC1F06">
        <w:rPr>
          <w:rFonts w:ascii="Gotham" w:hAnsi="Gotham" w:cs="Arial"/>
          <w:color w:val="000000"/>
          <w:sz w:val="20"/>
          <w:szCs w:val="20"/>
          <w:lang w:eastAsia="es-MX"/>
        </w:rPr>
        <w:t xml:space="preserve">arantizar los </w:t>
      </w:r>
      <w:r>
        <w:rPr>
          <w:rFonts w:ascii="Gotham" w:hAnsi="Gotham" w:cs="Arial"/>
          <w:color w:val="000000"/>
          <w:sz w:val="20"/>
          <w:szCs w:val="20"/>
          <w:lang w:eastAsia="es-MX"/>
        </w:rPr>
        <w:t>D</w:t>
      </w:r>
      <w:r w:rsidRPr="00AC1F06">
        <w:rPr>
          <w:rFonts w:ascii="Gotham" w:hAnsi="Gotham" w:cs="Arial"/>
          <w:color w:val="000000"/>
          <w:sz w:val="20"/>
          <w:szCs w:val="20"/>
          <w:lang w:eastAsia="es-MX"/>
        </w:rPr>
        <w:t xml:space="preserve">erechos de las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ersonas de la </w:t>
      </w:r>
      <w:r>
        <w:rPr>
          <w:rFonts w:ascii="Gotham" w:hAnsi="Gotham" w:cs="Arial"/>
          <w:color w:val="000000"/>
          <w:sz w:val="20"/>
          <w:szCs w:val="20"/>
          <w:lang w:eastAsia="es-MX"/>
        </w:rPr>
        <w:t>Po</w:t>
      </w:r>
      <w:r w:rsidRPr="00AC1F06">
        <w:rPr>
          <w:rFonts w:ascii="Gotham" w:hAnsi="Gotham" w:cs="Arial"/>
          <w:color w:val="000000"/>
          <w:sz w:val="20"/>
          <w:szCs w:val="20"/>
          <w:lang w:eastAsia="es-MX"/>
        </w:rPr>
        <w:t>blación LGBT</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nuestro municipio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 xml:space="preserve">soy muy consciente de que enfadé </w:t>
      </w:r>
      <w:r w:rsidRPr="00AC1F06">
        <w:rPr>
          <w:rFonts w:ascii="Gotham" w:hAnsi="Gotham" w:cs="Arial"/>
          <w:color w:val="000000"/>
          <w:sz w:val="20"/>
          <w:szCs w:val="20"/>
          <w:lang w:eastAsia="es-MX"/>
        </w:rPr>
        <w:t>a muchas personas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no me pienso disculpar por eso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sí quiero que se detengan a pensar lo que hoy estamos haciendo y no hay otra frase que lo escriba mejor que </w:t>
      </w:r>
      <w:r>
        <w:rPr>
          <w:rFonts w:ascii="Gotham" w:hAnsi="Gotham" w:cs="Arial"/>
          <w:color w:val="000000"/>
          <w:sz w:val="20"/>
          <w:szCs w:val="20"/>
          <w:lang w:eastAsia="es-MX"/>
        </w:rPr>
        <w:t>“</w:t>
      </w:r>
      <w:r w:rsidRPr="00AC1F06">
        <w:rPr>
          <w:rFonts w:ascii="Gotham" w:hAnsi="Gotham" w:cs="Arial"/>
          <w:color w:val="000000"/>
          <w:sz w:val="20"/>
          <w:szCs w:val="20"/>
          <w:lang w:eastAsia="es-MX"/>
        </w:rPr>
        <w:t>seguimos haciendo historia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 hicimos</w:t>
      </w:r>
      <w:r>
        <w:rPr>
          <w:rFonts w:ascii="Gotham" w:hAnsi="Gotham" w:cs="Arial"/>
          <w:color w:val="000000"/>
          <w:sz w:val="20"/>
          <w:szCs w:val="20"/>
          <w:lang w:eastAsia="es-MX"/>
        </w:rPr>
        <w:t xml:space="preserve"> la primera vez con el Cabildo J</w:t>
      </w:r>
      <w:r w:rsidRPr="00AC1F06">
        <w:rPr>
          <w:rFonts w:ascii="Gotham" w:hAnsi="Gotham" w:cs="Arial"/>
          <w:color w:val="000000"/>
          <w:sz w:val="20"/>
          <w:szCs w:val="20"/>
          <w:lang w:eastAsia="es-MX"/>
        </w:rPr>
        <w:t>uvenil</w:t>
      </w:r>
      <w:r>
        <w:rPr>
          <w:rFonts w:ascii="Gotham" w:hAnsi="Gotham" w:cs="Arial"/>
          <w:color w:val="000000"/>
          <w:sz w:val="20"/>
          <w:szCs w:val="20"/>
          <w:lang w:eastAsia="es-MX"/>
        </w:rPr>
        <w:t xml:space="preserve"> D</w:t>
      </w:r>
      <w:r w:rsidRPr="00AC1F06">
        <w:rPr>
          <w:rFonts w:ascii="Gotham" w:hAnsi="Gotham" w:cs="Arial"/>
          <w:color w:val="000000"/>
          <w:sz w:val="20"/>
          <w:szCs w:val="20"/>
          <w:lang w:eastAsia="es-MX"/>
        </w:rPr>
        <w:t>iverso y hoy lo volvemos a hacer aprobando el primer reglamento municipal en su tipo en todo Jalisco y el segundo en todo el país porque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dicho sea de paso</w:t>
      </w:r>
      <w:r>
        <w:rPr>
          <w:rFonts w:ascii="Gotham" w:hAnsi="Gotham" w:cs="Arial"/>
          <w:color w:val="000000"/>
          <w:sz w:val="20"/>
          <w:szCs w:val="20"/>
          <w:lang w:eastAsia="es-MX"/>
        </w:rPr>
        <w:t>, Ensenada s</w:t>
      </w:r>
      <w:r w:rsidRPr="00AC1F06">
        <w:rPr>
          <w:rFonts w:ascii="Gotham" w:hAnsi="Gotham" w:cs="Arial"/>
          <w:color w:val="000000"/>
          <w:sz w:val="20"/>
          <w:szCs w:val="20"/>
          <w:lang w:eastAsia="es-MX"/>
        </w:rPr>
        <w:t>e nos adelantó muy poquito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5 años atrás ellos ya cuentan con ese reglamento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aún con eso y aquí sí me voy a disculpar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nuestro reglamento</w:t>
      </w:r>
      <w:r>
        <w:rPr>
          <w:rFonts w:ascii="Gotham" w:hAnsi="Gotham" w:cs="Arial"/>
          <w:color w:val="000000"/>
          <w:sz w:val="20"/>
          <w:szCs w:val="20"/>
          <w:lang w:eastAsia="es-MX"/>
        </w:rPr>
        <w:t xml:space="preserve"> </w:t>
      </w:r>
      <w:r w:rsidRPr="00A20AA1">
        <w:rPr>
          <w:rFonts w:ascii="Gotham" w:hAnsi="Gotham" w:cs="Arial"/>
          <w:color w:val="000000"/>
          <w:sz w:val="20"/>
          <w:szCs w:val="20"/>
          <w:lang w:eastAsia="es-MX"/>
        </w:rPr>
        <w:t>quedó más perro</w:t>
      </w:r>
      <w:r>
        <w:rPr>
          <w:rFonts w:ascii="Gotham" w:hAnsi="Gotham" w:cs="Arial"/>
          <w:color w:val="000000"/>
          <w:sz w:val="20"/>
          <w:szCs w:val="20"/>
          <w:lang w:eastAsia="es-MX"/>
        </w:rPr>
        <w:t xml:space="preserve"> que el de Ensenada</w:t>
      </w:r>
      <w:r w:rsidRPr="00AC1F06">
        <w:rPr>
          <w:rFonts w:ascii="Gotham" w:hAnsi="Gotham" w:cs="Arial"/>
          <w:color w:val="000000"/>
          <w:sz w:val="20"/>
          <w:szCs w:val="20"/>
          <w:lang w:eastAsia="es-MX"/>
        </w:rPr>
        <w:t xml:space="preserve"> porque nunca se trató de que fuera un tema de moda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innovar por innovar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sino de escuchar las voces que también importan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las de la comunidad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una comunidad a la que le tenemos una deuda histórica impresionante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eso se hizo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integramos a las colectivas </w:t>
      </w:r>
      <w:r>
        <w:rPr>
          <w:rFonts w:ascii="Gotham" w:hAnsi="Gotham" w:cs="Arial"/>
          <w:color w:val="000000"/>
          <w:sz w:val="20"/>
          <w:szCs w:val="20"/>
          <w:lang w:eastAsia="es-MX"/>
        </w:rPr>
        <w:t>D</w:t>
      </w:r>
      <w:r w:rsidRPr="00AC1F06">
        <w:rPr>
          <w:rFonts w:ascii="Gotham" w:hAnsi="Gotham" w:cs="Arial"/>
          <w:color w:val="000000"/>
          <w:sz w:val="20"/>
          <w:szCs w:val="20"/>
          <w:lang w:eastAsia="es-MX"/>
        </w:rPr>
        <w:t xml:space="preserve">iversa </w:t>
      </w:r>
      <w:r>
        <w:rPr>
          <w:rFonts w:ascii="Gotham" w:hAnsi="Gotham" w:cs="Arial"/>
          <w:color w:val="000000"/>
          <w:sz w:val="20"/>
          <w:szCs w:val="20"/>
          <w:lang w:eastAsia="es-MX"/>
        </w:rPr>
        <w:t>AVEM,</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 xml:space="preserve">LGBTRIGHTS y </w:t>
      </w:r>
      <w:r w:rsidRPr="00AC1F06">
        <w:rPr>
          <w:rFonts w:ascii="Gotham" w:hAnsi="Gotham" w:cs="Arial"/>
          <w:color w:val="000000"/>
          <w:sz w:val="20"/>
          <w:szCs w:val="20"/>
          <w:lang w:eastAsia="es-MX"/>
        </w:rPr>
        <w:t xml:space="preserve">a </w:t>
      </w:r>
      <w:r>
        <w:rPr>
          <w:rFonts w:ascii="Gotham" w:hAnsi="Gotham" w:cs="Arial"/>
          <w:color w:val="000000"/>
          <w:sz w:val="20"/>
          <w:szCs w:val="20"/>
          <w:lang w:eastAsia="es-MX"/>
        </w:rPr>
        <w:t>D</w:t>
      </w:r>
      <w:r w:rsidRPr="00AC1F06">
        <w:rPr>
          <w:rFonts w:ascii="Gotham" w:hAnsi="Gotham" w:cs="Arial"/>
          <w:color w:val="000000"/>
          <w:sz w:val="20"/>
          <w:szCs w:val="20"/>
          <w:lang w:eastAsia="es-MX"/>
        </w:rPr>
        <w:t xml:space="preserve">iversidad del </w:t>
      </w:r>
      <w:r>
        <w:rPr>
          <w:rFonts w:ascii="Gotham" w:hAnsi="Gotham" w:cs="Arial"/>
          <w:color w:val="000000"/>
          <w:sz w:val="20"/>
          <w:szCs w:val="20"/>
          <w:lang w:eastAsia="es-MX"/>
        </w:rPr>
        <w:t>E</w:t>
      </w:r>
      <w:r w:rsidRPr="00AC1F06">
        <w:rPr>
          <w:rFonts w:ascii="Gotham" w:hAnsi="Gotham" w:cs="Arial"/>
          <w:color w:val="000000"/>
          <w:sz w:val="20"/>
          <w:szCs w:val="20"/>
          <w:lang w:eastAsia="es-MX"/>
        </w:rPr>
        <w:t>stado también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entendiendo que en su representación eran y son los protagonistas de esta historia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Gracias a todas las personas que fueron parte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 quienes se acercaron con propuestas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ánimos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una preocupación genuina de emprender estas acciones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p>
    <w:p w14:paraId="3A474456" w14:textId="77777777" w:rsidR="009B5E39" w:rsidRDefault="009B5E39" w:rsidP="009B5E39">
      <w:pPr>
        <w:jc w:val="both"/>
        <w:rPr>
          <w:rFonts w:ascii="Gotham" w:hAnsi="Gotham" w:cs="Arial"/>
          <w:color w:val="000000"/>
          <w:sz w:val="20"/>
          <w:szCs w:val="20"/>
          <w:lang w:eastAsia="es-MX"/>
        </w:rPr>
      </w:pPr>
    </w:p>
    <w:p w14:paraId="3A474457"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C</w:t>
      </w:r>
      <w:r w:rsidRPr="00AC1F06">
        <w:rPr>
          <w:rFonts w:ascii="Gotham" w:hAnsi="Gotham" w:cs="Arial"/>
          <w:color w:val="000000"/>
          <w:sz w:val="20"/>
          <w:szCs w:val="20"/>
          <w:lang w:eastAsia="es-MX"/>
        </w:rPr>
        <w:t>ompañeras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compañeros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n</w:t>
      </w:r>
      <w:r w:rsidRPr="00AC1F06">
        <w:rPr>
          <w:rFonts w:ascii="Gotham" w:hAnsi="Gotham" w:cs="Arial"/>
          <w:color w:val="000000"/>
          <w:sz w:val="20"/>
          <w:szCs w:val="20"/>
          <w:lang w:eastAsia="es-MX"/>
        </w:rPr>
        <w:t>o había valorado lo suficiente su acción de levantar la mano para probar algo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como hasta hoy</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sidRPr="008469A1">
        <w:rPr>
          <w:rFonts w:ascii="Gotham" w:hAnsi="Gotham" w:cs="Arial"/>
          <w:color w:val="000000"/>
          <w:sz w:val="20"/>
          <w:szCs w:val="20"/>
          <w:lang w:eastAsia="es-MX"/>
        </w:rPr>
        <w:t>neta muchas gracias.</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comunidad diversa y una servidora agradecemos tu disposición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res el primero en sentar las bases y dejar un precedente de este tipo en Tonalá</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Jalisco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con el Cabildo </w:t>
      </w:r>
      <w:r>
        <w:rPr>
          <w:rFonts w:ascii="Gotham" w:hAnsi="Gotham" w:cs="Arial"/>
          <w:color w:val="000000"/>
          <w:sz w:val="20"/>
          <w:szCs w:val="20"/>
          <w:lang w:eastAsia="es-MX"/>
        </w:rPr>
        <w:t>D</w:t>
      </w:r>
      <w:r w:rsidRPr="00AC1F06">
        <w:rPr>
          <w:rFonts w:ascii="Gotham" w:hAnsi="Gotham" w:cs="Arial"/>
          <w:color w:val="000000"/>
          <w:sz w:val="20"/>
          <w:szCs w:val="20"/>
          <w:lang w:eastAsia="es-MX"/>
        </w:rPr>
        <w:t>iverso en todo México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I</w:t>
      </w:r>
      <w:r w:rsidRPr="00AC1F06">
        <w:rPr>
          <w:rFonts w:ascii="Gotham" w:hAnsi="Gotham" w:cs="Arial"/>
          <w:color w:val="000000"/>
          <w:sz w:val="20"/>
          <w:szCs w:val="20"/>
          <w:lang w:eastAsia="es-MX"/>
        </w:rPr>
        <w:t>nsisto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w:t>
      </w:r>
      <w:r>
        <w:rPr>
          <w:rFonts w:ascii="Gotham" w:hAnsi="Gotham" w:cs="Arial"/>
          <w:color w:val="000000"/>
          <w:sz w:val="20"/>
          <w:szCs w:val="20"/>
          <w:lang w:eastAsia="es-MX"/>
        </w:rPr>
        <w:t xml:space="preserve"> eso se trata nuestro paso por e</w:t>
      </w:r>
      <w:r w:rsidRPr="00AC1F06">
        <w:rPr>
          <w:rFonts w:ascii="Gotham" w:hAnsi="Gotham" w:cs="Arial"/>
          <w:color w:val="000000"/>
          <w:sz w:val="20"/>
          <w:szCs w:val="20"/>
          <w:lang w:eastAsia="es-MX"/>
        </w:rPr>
        <w:t>stos espacios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w:t>
      </w:r>
      <w:r>
        <w:rPr>
          <w:rFonts w:ascii="Gotham" w:hAnsi="Gotham" w:cs="Arial"/>
          <w:color w:val="000000"/>
          <w:sz w:val="20"/>
          <w:szCs w:val="20"/>
          <w:lang w:eastAsia="es-MX"/>
        </w:rPr>
        <w:t>i</w:t>
      </w:r>
      <w:r w:rsidRPr="00AC1F06">
        <w:rPr>
          <w:rFonts w:ascii="Gotham" w:hAnsi="Gotham" w:cs="Arial"/>
          <w:color w:val="000000"/>
          <w:sz w:val="20"/>
          <w:szCs w:val="20"/>
          <w:lang w:eastAsia="es-MX"/>
        </w:rPr>
        <w:t>e</w:t>
      </w:r>
      <w:r>
        <w:rPr>
          <w:rFonts w:ascii="Gotham" w:hAnsi="Gotham" w:cs="Arial"/>
          <w:color w:val="000000"/>
          <w:sz w:val="20"/>
          <w:szCs w:val="20"/>
          <w:lang w:eastAsia="es-MX"/>
        </w:rPr>
        <w:t>n</w:t>
      </w:r>
      <w:r w:rsidRPr="00AC1F06">
        <w:rPr>
          <w:rFonts w:ascii="Gotham" w:hAnsi="Gotham" w:cs="Arial"/>
          <w:color w:val="000000"/>
          <w:sz w:val="20"/>
          <w:szCs w:val="20"/>
          <w:lang w:eastAsia="es-MX"/>
        </w:rPr>
        <w:t xml:space="preserve"> no lo </w:t>
      </w:r>
      <w:r>
        <w:rPr>
          <w:rFonts w:ascii="Gotham" w:hAnsi="Gotham" w:cs="Arial"/>
          <w:color w:val="000000"/>
          <w:sz w:val="20"/>
          <w:szCs w:val="20"/>
          <w:lang w:eastAsia="es-MX"/>
        </w:rPr>
        <w:t xml:space="preserve">ha </w:t>
      </w:r>
      <w:r w:rsidRPr="00AC1F06">
        <w:rPr>
          <w:rFonts w:ascii="Gotham" w:hAnsi="Gotham" w:cs="Arial"/>
          <w:color w:val="000000"/>
          <w:sz w:val="20"/>
          <w:szCs w:val="20"/>
          <w:lang w:eastAsia="es-MX"/>
        </w:rPr>
        <w:t>entendido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sidRPr="008469A1">
        <w:rPr>
          <w:rFonts w:ascii="Gotham" w:hAnsi="Gotham" w:cs="Arial"/>
          <w:color w:val="000000"/>
          <w:sz w:val="20"/>
          <w:szCs w:val="20"/>
          <w:lang w:eastAsia="es-MX"/>
        </w:rPr>
        <w:t>neta</w:t>
      </w:r>
      <w:r w:rsidRPr="00AC1F06">
        <w:rPr>
          <w:rFonts w:ascii="Gotham" w:hAnsi="Gotham" w:cs="Arial"/>
          <w:color w:val="000000"/>
          <w:sz w:val="20"/>
          <w:szCs w:val="20"/>
          <w:lang w:eastAsia="es-MX"/>
        </w:rPr>
        <w:t xml:space="preserve"> no sé qué hace aquí </w:t>
      </w:r>
    </w:p>
    <w:p w14:paraId="3A474458" w14:textId="77777777" w:rsidR="009B5E39" w:rsidRDefault="009B5E39" w:rsidP="009B5E39">
      <w:pPr>
        <w:jc w:val="both"/>
        <w:rPr>
          <w:rFonts w:ascii="Gotham" w:hAnsi="Gotham" w:cs="Arial"/>
          <w:color w:val="000000"/>
          <w:sz w:val="20"/>
          <w:szCs w:val="20"/>
          <w:lang w:eastAsia="es-MX"/>
        </w:rPr>
      </w:pPr>
    </w:p>
    <w:p w14:paraId="3A474459"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F</w:t>
      </w:r>
      <w:r w:rsidRPr="00AC1F06">
        <w:rPr>
          <w:rFonts w:ascii="Gotham" w:hAnsi="Gotham" w:cs="Arial"/>
          <w:color w:val="000000"/>
          <w:sz w:val="20"/>
          <w:szCs w:val="20"/>
          <w:lang w:eastAsia="es-MX"/>
        </w:rPr>
        <w:t>inalmente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decirles que esto es mucho pero mucho más que un logro personal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un paso enorme pa</w:t>
      </w:r>
      <w:r>
        <w:rPr>
          <w:rFonts w:ascii="Gotham" w:hAnsi="Gotham" w:cs="Arial"/>
          <w:color w:val="000000"/>
          <w:sz w:val="20"/>
          <w:szCs w:val="20"/>
          <w:lang w:eastAsia="es-MX"/>
        </w:rPr>
        <w:t>ra la comunidad a quienes h</w:t>
      </w:r>
      <w:r w:rsidRPr="00AC1F06">
        <w:rPr>
          <w:rFonts w:ascii="Gotham" w:hAnsi="Gotham" w:cs="Arial"/>
          <w:color w:val="000000"/>
          <w:sz w:val="20"/>
          <w:szCs w:val="20"/>
          <w:lang w:eastAsia="es-MX"/>
        </w:rPr>
        <w:t xml:space="preserve">oy les puedo decir </w:t>
      </w:r>
      <w:r>
        <w:rPr>
          <w:rFonts w:ascii="Gotham" w:hAnsi="Gotham" w:cs="Arial"/>
          <w:color w:val="000000"/>
          <w:sz w:val="20"/>
          <w:szCs w:val="20"/>
          <w:lang w:eastAsia="es-MX"/>
        </w:rPr>
        <w:t>“</w:t>
      </w:r>
      <w:r w:rsidRPr="00AC1F06">
        <w:rPr>
          <w:rFonts w:ascii="Gotham" w:hAnsi="Gotham" w:cs="Arial"/>
          <w:color w:val="000000"/>
          <w:sz w:val="20"/>
          <w:szCs w:val="20"/>
          <w:lang w:eastAsia="es-MX"/>
        </w:rPr>
        <w:t>se logró</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cu</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nto </w:t>
      </w:r>
      <w:r>
        <w:rPr>
          <w:rFonts w:ascii="Gotham" w:hAnsi="Gotham" w:cs="Arial"/>
          <w:color w:val="000000"/>
          <w:sz w:val="20"/>
          <w:szCs w:val="20"/>
          <w:lang w:eastAsia="es-MX"/>
        </w:rPr>
        <w:t>P</w:t>
      </w:r>
      <w:r w:rsidRPr="00AC1F06">
        <w:rPr>
          <w:rFonts w:ascii="Gotham" w:hAnsi="Gotham" w:cs="Arial"/>
          <w:color w:val="000000"/>
          <w:sz w:val="20"/>
          <w:szCs w:val="20"/>
          <w:lang w:eastAsia="es-MX"/>
        </w:rPr>
        <w:t>resiente</w:t>
      </w:r>
      <w:r>
        <w:rPr>
          <w:rFonts w:ascii="Gotham" w:hAnsi="Gotham" w:cs="Arial"/>
          <w:color w:val="000000"/>
          <w:sz w:val="20"/>
          <w:szCs w:val="20"/>
          <w:lang w:eastAsia="es-MX"/>
        </w:rPr>
        <w:t>.</w:t>
      </w:r>
    </w:p>
    <w:p w14:paraId="3A47445A" w14:textId="77777777" w:rsidR="009B5E39" w:rsidRDefault="009B5E39" w:rsidP="009B5E39">
      <w:pPr>
        <w:jc w:val="both"/>
        <w:rPr>
          <w:rFonts w:ascii="Gotham" w:hAnsi="Gotham" w:cs="Arial"/>
          <w:color w:val="000000"/>
          <w:sz w:val="20"/>
          <w:szCs w:val="20"/>
          <w:lang w:eastAsia="es-MX"/>
        </w:rPr>
      </w:pPr>
    </w:p>
    <w:p w14:paraId="3A47445B" w14:textId="77777777" w:rsidR="009B5E39" w:rsidRDefault="009B5E39" w:rsidP="009B5E39">
      <w:pPr>
        <w:jc w:val="both"/>
        <w:rPr>
          <w:rFonts w:ascii="Gotham" w:hAnsi="Gotham"/>
          <w:sz w:val="20"/>
          <w:szCs w:val="20"/>
        </w:rPr>
      </w:pPr>
      <w:r>
        <w:rPr>
          <w:rFonts w:ascii="Gotham" w:hAnsi="Gotham" w:cs="Arial"/>
          <w:color w:val="000000"/>
          <w:sz w:val="20"/>
          <w:szCs w:val="20"/>
          <w:lang w:eastAsia="es-MX"/>
        </w:rPr>
        <w:t>En uso de la voz el Presidente Municipal, Sergio Armando Chávez Dávalos, expresa que, g</w:t>
      </w:r>
      <w:r w:rsidRPr="00AC1F06">
        <w:rPr>
          <w:rFonts w:ascii="Gotham" w:hAnsi="Gotham" w:cs="Arial"/>
          <w:color w:val="000000"/>
          <w:sz w:val="20"/>
          <w:szCs w:val="20"/>
          <w:lang w:eastAsia="es-MX"/>
        </w:rPr>
        <w:t xml:space="preserve">racias </w:t>
      </w:r>
      <w:r>
        <w:rPr>
          <w:rFonts w:ascii="Gotham" w:hAnsi="Gotham" w:cs="Arial"/>
          <w:color w:val="000000"/>
          <w:sz w:val="20"/>
          <w:szCs w:val="20"/>
          <w:lang w:eastAsia="es-MX"/>
        </w:rPr>
        <w:t xml:space="preserve">Regidora Murillo, y también reconocerle </w:t>
      </w:r>
      <w:r w:rsidRPr="00AC1F06">
        <w:rPr>
          <w:rFonts w:ascii="Gotham" w:hAnsi="Gotham" w:cs="Arial"/>
          <w:color w:val="000000"/>
          <w:sz w:val="20"/>
          <w:szCs w:val="20"/>
          <w:lang w:eastAsia="es-MX"/>
        </w:rPr>
        <w:t>su tesón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su empeño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su compromiso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su cariño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hoy está dando resultados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felicito por ese trabajo </w:t>
      </w:r>
      <w:r>
        <w:rPr>
          <w:rFonts w:ascii="Gotham" w:hAnsi="Gotham" w:cs="Arial"/>
          <w:color w:val="000000"/>
          <w:sz w:val="20"/>
          <w:szCs w:val="20"/>
          <w:lang w:eastAsia="es-MX"/>
        </w:rPr>
        <w:t>por la ciudad y por este sector.</w:t>
      </w:r>
    </w:p>
    <w:p w14:paraId="3A47445C" w14:textId="77777777" w:rsidR="009B5E39" w:rsidRPr="00CF32D5" w:rsidRDefault="009B5E39" w:rsidP="009B5E39">
      <w:pPr>
        <w:jc w:val="both"/>
        <w:rPr>
          <w:rFonts w:ascii="Gotham" w:hAnsi="Gotham" w:cs="Arial"/>
          <w:sz w:val="20"/>
          <w:szCs w:val="20"/>
        </w:rPr>
      </w:pPr>
    </w:p>
    <w:p w14:paraId="3A47445D" w14:textId="77777777" w:rsidR="009B5E39" w:rsidRPr="00272D60" w:rsidRDefault="009B5E39" w:rsidP="009B5E39">
      <w:pPr>
        <w:jc w:val="both"/>
        <w:rPr>
          <w:rFonts w:ascii="Gotham" w:hAnsi="Gotham" w:cs="Arial"/>
          <w:sz w:val="20"/>
          <w:szCs w:val="20"/>
        </w:rPr>
      </w:pPr>
    </w:p>
    <w:p w14:paraId="3A47445E" w14:textId="77777777" w:rsidR="009B5E39" w:rsidRDefault="009B5E39" w:rsidP="009B5E39">
      <w:pPr>
        <w:jc w:val="both"/>
        <w:rPr>
          <w:rFonts w:ascii="Gotham" w:hAnsi="Gotham" w:cs="Arial"/>
          <w:sz w:val="20"/>
          <w:szCs w:val="20"/>
        </w:rPr>
      </w:pPr>
      <w:r>
        <w:rPr>
          <w:rFonts w:ascii="Gotham" w:hAnsi="Gotham"/>
          <w:b/>
          <w:smallCaps/>
          <w:sz w:val="20"/>
          <w:szCs w:val="20"/>
        </w:rPr>
        <w:t>Cuarto</w:t>
      </w:r>
      <w:r w:rsidRPr="008E1C0E">
        <w:rPr>
          <w:rFonts w:ascii="Gotham" w:hAnsi="Gotham"/>
          <w:b/>
          <w:smallCaps/>
          <w:sz w:val="20"/>
          <w:szCs w:val="20"/>
        </w:rPr>
        <w:t xml:space="preserve"> Asunto Vario.-</w:t>
      </w:r>
      <w:r w:rsidRPr="00FE4C2B">
        <w:rPr>
          <w:rFonts w:ascii="Gotham" w:hAnsi="Gotham" w:cs="Arial"/>
          <w:sz w:val="20"/>
          <w:szCs w:val="20"/>
        </w:rPr>
        <w:t xml:space="preserve"> </w:t>
      </w:r>
      <w:r>
        <w:rPr>
          <w:rFonts w:ascii="Gotham" w:hAnsi="Gotham" w:cs="Arial"/>
          <w:sz w:val="20"/>
          <w:szCs w:val="20"/>
        </w:rPr>
        <w:t xml:space="preserve">En uso de la voz la Regidora Rocío Acosta Cervantes, expresa </w:t>
      </w:r>
      <w:r w:rsidRPr="008A2E88">
        <w:rPr>
          <w:rFonts w:ascii="Gotham" w:hAnsi="Gotham" w:cs="Arial"/>
          <w:sz w:val="20"/>
          <w:szCs w:val="20"/>
        </w:rPr>
        <w:t xml:space="preserve">que, </w:t>
      </w:r>
      <w:r>
        <w:rPr>
          <w:rFonts w:ascii="Gotham" w:hAnsi="Gotham" w:cs="Arial"/>
          <w:sz w:val="20"/>
          <w:szCs w:val="20"/>
        </w:rPr>
        <w:t xml:space="preserve">con su venia Presidente; </w:t>
      </w:r>
      <w:r>
        <w:rPr>
          <w:rFonts w:ascii="Gotham" w:hAnsi="Gotham" w:cs="Arial"/>
          <w:color w:val="000000"/>
          <w:sz w:val="20"/>
          <w:szCs w:val="20"/>
          <w:lang w:eastAsia="es-MX"/>
        </w:rPr>
        <w:t>b</w:t>
      </w:r>
      <w:r w:rsidRPr="00AC1F06">
        <w:rPr>
          <w:rFonts w:ascii="Gotham" w:hAnsi="Gotham" w:cs="Arial"/>
          <w:color w:val="000000"/>
          <w:sz w:val="20"/>
          <w:szCs w:val="20"/>
          <w:lang w:eastAsia="es-MX"/>
        </w:rPr>
        <w:t>uenas tardes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saludo con agrado a todos los presentes y a las personas que nos siguen a través de las redes sociales</w:t>
      </w:r>
      <w:r>
        <w:rPr>
          <w:rFonts w:ascii="Gotham" w:hAnsi="Gotham" w:cs="Arial"/>
          <w:color w:val="000000"/>
          <w:sz w:val="20"/>
          <w:szCs w:val="20"/>
          <w:lang w:eastAsia="es-MX"/>
        </w:rPr>
        <w:t>.</w:t>
      </w:r>
    </w:p>
    <w:p w14:paraId="3A47445F" w14:textId="77777777" w:rsidR="009B5E39" w:rsidRDefault="009B5E39" w:rsidP="009B5E39">
      <w:pPr>
        <w:jc w:val="both"/>
        <w:rPr>
          <w:rFonts w:ascii="Gotham" w:hAnsi="Gotham" w:cs="Arial"/>
          <w:sz w:val="20"/>
          <w:szCs w:val="20"/>
        </w:rPr>
      </w:pPr>
    </w:p>
    <w:p w14:paraId="3A474460" w14:textId="77777777" w:rsidR="009B5E39" w:rsidRPr="00556D44" w:rsidRDefault="009B5E39" w:rsidP="009B5E39">
      <w:pPr>
        <w:jc w:val="both"/>
        <w:rPr>
          <w:rFonts w:ascii="Gotham" w:hAnsi="Gotham" w:cs="Arial"/>
          <w:sz w:val="20"/>
          <w:szCs w:val="20"/>
        </w:rPr>
      </w:pPr>
      <w:r w:rsidRPr="00556D44">
        <w:rPr>
          <w:rFonts w:ascii="Gotham" w:hAnsi="Gotham" w:cs="Arial"/>
          <w:sz w:val="20"/>
          <w:szCs w:val="20"/>
        </w:rPr>
        <w:t xml:space="preserve">La que suscribe, Regidora </w:t>
      </w:r>
      <w:r>
        <w:rPr>
          <w:rFonts w:ascii="Gotham" w:hAnsi="Gotham" w:cs="Arial"/>
          <w:sz w:val="20"/>
          <w:szCs w:val="20"/>
        </w:rPr>
        <w:t>Rocío</w:t>
      </w:r>
      <w:r w:rsidRPr="00556D44">
        <w:rPr>
          <w:rFonts w:ascii="Gotham" w:hAnsi="Gotham" w:cs="Arial"/>
          <w:sz w:val="20"/>
          <w:szCs w:val="20"/>
        </w:rPr>
        <w:t xml:space="preserve"> Acosta Cervantes, en uso de las facultades de que me confieren los artículos 115, fracciones I y II, de la Constitución Política de los Estados Unidos Mexicanos; así como lo establecido por el artículo 77 de nuestra Constitución Política del Estado de Jalisco; artículos 2, 3, 37 y 50 de la Ley del Gobierno y la Administración Pública Municipal del Estado de Jalisco; artículos 53, </w:t>
      </w:r>
      <w:r w:rsidRPr="00556D44">
        <w:rPr>
          <w:rFonts w:ascii="Gotham" w:hAnsi="Gotham" w:cs="Arial"/>
          <w:sz w:val="20"/>
          <w:szCs w:val="20"/>
        </w:rPr>
        <w:lastRenderedPageBreak/>
        <w:t>56 y 120 del Reglamento del Gobierno y la Administración Pública del Ayuntamiento Constitucional de Tonalá, Jalisco; así como los ordinales 25 y 83 del Reglamento para el Funcionamiento Interno de Sesiones del Ayuntamiento Constitucional de Tonalá, Jalisco; someto a consideración de ustedes, el Asunto Vario que propone que se instruya a la Dirección de Inspección y Vigilancia a revisar que los puestos fijos y semifijos que se instalan en el municipio cumplan con lo establecido en el Reglamento de Comercio para el municipio de Tonalá, Jalisco</w:t>
      </w:r>
      <w:r>
        <w:rPr>
          <w:rFonts w:ascii="Gotham" w:hAnsi="Gotham" w:cs="Arial"/>
          <w:sz w:val="20"/>
          <w:szCs w:val="20"/>
        </w:rPr>
        <w:t>;</w:t>
      </w:r>
      <w:r w:rsidRPr="00556D44">
        <w:rPr>
          <w:rFonts w:ascii="Gotham" w:hAnsi="Gotham" w:cs="Arial"/>
          <w:sz w:val="20"/>
          <w:szCs w:val="20"/>
        </w:rPr>
        <w:t xml:space="preserve"> de conformidad con la siguiente: </w:t>
      </w:r>
    </w:p>
    <w:p w14:paraId="3A474461" w14:textId="77777777" w:rsidR="009B5E39" w:rsidRPr="00556D44" w:rsidRDefault="009B5E39" w:rsidP="009B5E39">
      <w:pPr>
        <w:jc w:val="both"/>
        <w:rPr>
          <w:rFonts w:ascii="Gotham" w:hAnsi="Gotham" w:cs="Arial"/>
          <w:sz w:val="20"/>
          <w:szCs w:val="20"/>
        </w:rPr>
      </w:pPr>
    </w:p>
    <w:p w14:paraId="3A474462" w14:textId="77777777" w:rsidR="009B5E39" w:rsidRPr="00556D44" w:rsidRDefault="009B5E39" w:rsidP="009B5E39">
      <w:pPr>
        <w:jc w:val="center"/>
        <w:rPr>
          <w:rFonts w:ascii="Gotham" w:hAnsi="Gotham" w:cs="Arial"/>
          <w:sz w:val="20"/>
          <w:szCs w:val="20"/>
        </w:rPr>
      </w:pPr>
      <w:r w:rsidRPr="00556D44">
        <w:rPr>
          <w:rFonts w:ascii="Gotham" w:hAnsi="Gotham" w:cs="Arial"/>
          <w:sz w:val="20"/>
          <w:szCs w:val="20"/>
        </w:rPr>
        <w:t>EXPOSICION DE MOTIVOS</w:t>
      </w:r>
    </w:p>
    <w:p w14:paraId="3A474463" w14:textId="77777777" w:rsidR="009B5E39" w:rsidRDefault="009B5E39" w:rsidP="009B5E39">
      <w:pPr>
        <w:jc w:val="both"/>
        <w:rPr>
          <w:rFonts w:ascii="Gotham" w:hAnsi="Gotham" w:cs="Arial"/>
          <w:sz w:val="20"/>
          <w:szCs w:val="20"/>
        </w:rPr>
      </w:pPr>
    </w:p>
    <w:p w14:paraId="3A474464" w14:textId="77777777" w:rsidR="009B5E39" w:rsidRPr="00556D44" w:rsidRDefault="009B5E39" w:rsidP="009B5E39">
      <w:pPr>
        <w:ind w:left="567" w:hanging="567"/>
        <w:jc w:val="both"/>
        <w:rPr>
          <w:rFonts w:ascii="Gotham" w:hAnsi="Gotham" w:cs="Arial"/>
          <w:sz w:val="20"/>
          <w:szCs w:val="20"/>
        </w:rPr>
      </w:pPr>
      <w:r w:rsidRPr="00556D44">
        <w:rPr>
          <w:rFonts w:ascii="Gotham" w:hAnsi="Gotham" w:cs="Arial"/>
          <w:sz w:val="20"/>
          <w:szCs w:val="20"/>
        </w:rPr>
        <w:t xml:space="preserve">1. </w:t>
      </w:r>
      <w:r>
        <w:rPr>
          <w:rFonts w:ascii="Gotham" w:hAnsi="Gotham" w:cs="Arial"/>
          <w:sz w:val="20"/>
          <w:szCs w:val="20"/>
        </w:rPr>
        <w:tab/>
      </w:r>
      <w:r w:rsidRPr="00556D44">
        <w:rPr>
          <w:rFonts w:ascii="Gotham" w:hAnsi="Gotham" w:cs="Arial"/>
          <w:sz w:val="20"/>
          <w:szCs w:val="20"/>
        </w:rPr>
        <w:t>El comercio en vía pública es una actividad que se desenvuelve en los espacios urbanos considerados como públicos, ya sea porque se ubica en espacios que en principio son visibles y accesibles a todos los miembros de la sociedad, o por tratarse de espacios de dominio público.</w:t>
      </w:r>
    </w:p>
    <w:p w14:paraId="3A474465" w14:textId="77777777" w:rsidR="009B5E39" w:rsidRDefault="009B5E39" w:rsidP="009B5E39">
      <w:pPr>
        <w:ind w:left="567" w:hanging="567"/>
        <w:jc w:val="both"/>
        <w:rPr>
          <w:rFonts w:ascii="Gotham" w:hAnsi="Gotham" w:cs="Arial"/>
          <w:sz w:val="20"/>
          <w:szCs w:val="20"/>
        </w:rPr>
      </w:pPr>
    </w:p>
    <w:p w14:paraId="3A474466" w14:textId="77777777" w:rsidR="009B5E39" w:rsidRPr="00556D44" w:rsidRDefault="009B5E39" w:rsidP="009B5E39">
      <w:pPr>
        <w:ind w:left="567" w:hanging="567"/>
        <w:jc w:val="both"/>
        <w:rPr>
          <w:rFonts w:ascii="Gotham" w:hAnsi="Gotham" w:cs="Arial"/>
          <w:sz w:val="20"/>
          <w:szCs w:val="20"/>
        </w:rPr>
      </w:pPr>
      <w:r w:rsidRPr="00556D44">
        <w:rPr>
          <w:rFonts w:ascii="Gotham" w:hAnsi="Gotham" w:cs="Arial"/>
          <w:sz w:val="20"/>
          <w:szCs w:val="20"/>
        </w:rPr>
        <w:t xml:space="preserve">2. </w:t>
      </w:r>
      <w:r>
        <w:rPr>
          <w:rFonts w:ascii="Gotham" w:hAnsi="Gotham" w:cs="Arial"/>
          <w:sz w:val="20"/>
          <w:szCs w:val="20"/>
        </w:rPr>
        <w:tab/>
      </w:r>
      <w:r w:rsidRPr="00556D44">
        <w:rPr>
          <w:rFonts w:ascii="Gotham" w:hAnsi="Gotham" w:cs="Arial"/>
          <w:sz w:val="20"/>
          <w:szCs w:val="20"/>
        </w:rPr>
        <w:t>El uso de estos espacios de carácter público, representa un conflicto por el espacio público urbano y el comercio en vía pública. Por lo cual es necesario armonizar el derecho al libre tránsito de los peatones, el libre disfrute del espacio público, así como el tránsito vehicular, frente al derecho al trabajo por parte de los comerciantes en vía pública.</w:t>
      </w:r>
    </w:p>
    <w:p w14:paraId="3A474467" w14:textId="77777777" w:rsidR="009B5E39" w:rsidRDefault="009B5E39" w:rsidP="009B5E39">
      <w:pPr>
        <w:ind w:left="567" w:hanging="567"/>
        <w:jc w:val="both"/>
        <w:rPr>
          <w:rFonts w:ascii="Gotham" w:hAnsi="Gotham" w:cs="Arial"/>
          <w:sz w:val="20"/>
          <w:szCs w:val="20"/>
        </w:rPr>
      </w:pPr>
    </w:p>
    <w:p w14:paraId="3A474468" w14:textId="77777777" w:rsidR="009B5E39" w:rsidRPr="00556D44" w:rsidRDefault="009B5E39" w:rsidP="009B5E39">
      <w:pPr>
        <w:ind w:left="567" w:hanging="567"/>
        <w:jc w:val="both"/>
        <w:rPr>
          <w:rFonts w:ascii="Gotham" w:hAnsi="Gotham" w:cs="Arial"/>
          <w:sz w:val="20"/>
          <w:szCs w:val="20"/>
        </w:rPr>
      </w:pPr>
      <w:r w:rsidRPr="00556D44">
        <w:rPr>
          <w:rFonts w:ascii="Gotham" w:hAnsi="Gotham" w:cs="Arial"/>
          <w:sz w:val="20"/>
          <w:szCs w:val="20"/>
        </w:rPr>
        <w:t xml:space="preserve">3. </w:t>
      </w:r>
      <w:r>
        <w:rPr>
          <w:rFonts w:ascii="Gotham" w:hAnsi="Gotham" w:cs="Arial"/>
          <w:sz w:val="20"/>
          <w:szCs w:val="20"/>
        </w:rPr>
        <w:tab/>
      </w:r>
      <w:r w:rsidRPr="00556D44">
        <w:rPr>
          <w:rFonts w:ascii="Gotham" w:hAnsi="Gotham" w:cs="Arial"/>
          <w:sz w:val="20"/>
          <w:szCs w:val="20"/>
        </w:rPr>
        <w:t>En este sentido y focalizando este tema en el municipio de Tonalá, en donde se ha visto en los últimos años un crecimiento del comercio en la vía pública, que, si bien es un derecho de las personas a trabajar, el Gobierno Municipal debe revisar que todos los puestos que se instalan en las vialidades y banquetas del municipio este apegados al Reglamento de Comercio de este municipio, respetando las medidas y las ubicaciones permitidas que se establecen en los artículos de este Reglamento.</w:t>
      </w:r>
    </w:p>
    <w:p w14:paraId="3A474469" w14:textId="77777777" w:rsidR="009B5E39" w:rsidRDefault="009B5E39" w:rsidP="009B5E39">
      <w:pPr>
        <w:ind w:left="567" w:hanging="567"/>
        <w:jc w:val="both"/>
        <w:rPr>
          <w:rFonts w:ascii="Gotham" w:hAnsi="Gotham" w:cs="Arial"/>
          <w:sz w:val="20"/>
          <w:szCs w:val="20"/>
        </w:rPr>
      </w:pPr>
    </w:p>
    <w:p w14:paraId="3A47446A" w14:textId="77777777" w:rsidR="009B5E39" w:rsidRPr="00556D44" w:rsidRDefault="009B5E39" w:rsidP="009B5E39">
      <w:pPr>
        <w:ind w:left="567" w:hanging="567"/>
        <w:jc w:val="both"/>
        <w:rPr>
          <w:rFonts w:ascii="Gotham" w:hAnsi="Gotham" w:cs="Arial"/>
          <w:sz w:val="20"/>
          <w:szCs w:val="20"/>
        </w:rPr>
      </w:pPr>
      <w:r w:rsidRPr="00556D44">
        <w:rPr>
          <w:rFonts w:ascii="Gotham" w:hAnsi="Gotham" w:cs="Arial"/>
          <w:sz w:val="20"/>
          <w:szCs w:val="20"/>
        </w:rPr>
        <w:t xml:space="preserve">4. </w:t>
      </w:r>
      <w:r>
        <w:rPr>
          <w:rFonts w:ascii="Gotham" w:hAnsi="Gotham" w:cs="Arial"/>
          <w:sz w:val="20"/>
          <w:szCs w:val="20"/>
        </w:rPr>
        <w:tab/>
      </w:r>
      <w:r w:rsidRPr="00556D44">
        <w:rPr>
          <w:rFonts w:ascii="Gotham" w:hAnsi="Gotham" w:cs="Arial"/>
          <w:sz w:val="20"/>
          <w:szCs w:val="20"/>
        </w:rPr>
        <w:t>En mi recorrido por las colonias de Tonalá, he observado una gran cantidad de puestos que invaden el Arroyo Vehicular, imposibilitando el tránsito vehicular, así como algunos otros imposibilitan el tránsito peatonal por las banquetas, obligando a estas a bajar de esta y caminar por la calle, poniendo en riesgo su integridad física. Algunos otros puestos instalados en las esquinas, obstaculizando el tránsito vehicular y generando caos vial.</w:t>
      </w:r>
    </w:p>
    <w:p w14:paraId="3A47446B" w14:textId="77777777" w:rsidR="009B5E39" w:rsidRPr="00556D44" w:rsidRDefault="009B5E39" w:rsidP="009B5E39">
      <w:pPr>
        <w:jc w:val="both"/>
        <w:rPr>
          <w:rFonts w:ascii="Gotham" w:hAnsi="Gotham" w:cs="Arial"/>
          <w:sz w:val="20"/>
          <w:szCs w:val="20"/>
        </w:rPr>
      </w:pPr>
    </w:p>
    <w:p w14:paraId="3A47446C" w14:textId="77777777" w:rsidR="009B5E39" w:rsidRPr="00556D44" w:rsidRDefault="009B5E39" w:rsidP="009B5E39">
      <w:pPr>
        <w:jc w:val="center"/>
        <w:rPr>
          <w:rFonts w:ascii="Gotham" w:hAnsi="Gotham" w:cs="Arial"/>
          <w:sz w:val="20"/>
          <w:szCs w:val="20"/>
        </w:rPr>
      </w:pPr>
      <w:r w:rsidRPr="00556D44">
        <w:rPr>
          <w:rFonts w:ascii="Gotham" w:hAnsi="Gotham" w:cs="Arial"/>
          <w:sz w:val="20"/>
          <w:szCs w:val="20"/>
        </w:rPr>
        <w:t>FUNDAMENTACION</w:t>
      </w:r>
    </w:p>
    <w:p w14:paraId="3A47446D" w14:textId="77777777" w:rsidR="009B5E39" w:rsidRPr="00556D44" w:rsidRDefault="009B5E39" w:rsidP="009B5E39">
      <w:pPr>
        <w:jc w:val="both"/>
        <w:rPr>
          <w:rFonts w:ascii="Gotham" w:hAnsi="Gotham" w:cs="Arial"/>
          <w:sz w:val="20"/>
          <w:szCs w:val="20"/>
        </w:rPr>
      </w:pPr>
    </w:p>
    <w:p w14:paraId="3A47446E" w14:textId="77777777" w:rsidR="009B5E39" w:rsidRPr="00556D44" w:rsidRDefault="009B5E39" w:rsidP="009B5E39">
      <w:pPr>
        <w:ind w:left="567" w:hanging="567"/>
        <w:jc w:val="both"/>
        <w:rPr>
          <w:rFonts w:ascii="Gotham" w:hAnsi="Gotham" w:cs="Arial"/>
          <w:sz w:val="20"/>
          <w:szCs w:val="20"/>
        </w:rPr>
      </w:pPr>
      <w:r>
        <w:rPr>
          <w:rFonts w:ascii="Gotham" w:hAnsi="Gotham" w:cs="Arial"/>
          <w:sz w:val="20"/>
          <w:szCs w:val="20"/>
        </w:rPr>
        <w:t xml:space="preserve">I. </w:t>
      </w:r>
      <w:r>
        <w:rPr>
          <w:rFonts w:ascii="Gotham" w:hAnsi="Gotham" w:cs="Arial"/>
          <w:sz w:val="20"/>
          <w:szCs w:val="20"/>
        </w:rPr>
        <w:tab/>
      </w:r>
      <w:r w:rsidRPr="00556D44">
        <w:rPr>
          <w:rFonts w:ascii="Gotham" w:hAnsi="Gotham" w:cs="Arial"/>
          <w:sz w:val="20"/>
          <w:szCs w:val="20"/>
        </w:rPr>
        <w:t>El Artículo 115° de nuestra Constitución Política de los Estados Unidos Mexicanos establece que:</w:t>
      </w:r>
    </w:p>
    <w:p w14:paraId="3A47446F" w14:textId="77777777" w:rsidR="009B5E39" w:rsidRPr="00556D44" w:rsidRDefault="009B5E39" w:rsidP="009B5E39">
      <w:pPr>
        <w:jc w:val="both"/>
        <w:rPr>
          <w:rFonts w:ascii="Gotham" w:hAnsi="Gotham" w:cs="Arial"/>
          <w:sz w:val="20"/>
          <w:szCs w:val="20"/>
        </w:rPr>
      </w:pPr>
    </w:p>
    <w:p w14:paraId="3A474470" w14:textId="77777777" w:rsidR="009B5E39" w:rsidRPr="00556D44" w:rsidRDefault="009B5E39" w:rsidP="009B5E39">
      <w:pPr>
        <w:ind w:left="851" w:right="283"/>
        <w:jc w:val="both"/>
        <w:rPr>
          <w:rFonts w:ascii="Gotham" w:eastAsia="Arial" w:hAnsi="Gotham" w:cs="Arial"/>
          <w:i/>
          <w:sz w:val="19"/>
          <w:szCs w:val="19"/>
        </w:rPr>
      </w:pPr>
      <w:r w:rsidRPr="00556D44">
        <w:rPr>
          <w:rFonts w:ascii="Gotham" w:eastAsia="Arial" w:hAnsi="Gotham" w:cs="Arial"/>
          <w:i/>
          <w:sz w:val="19"/>
          <w:szCs w:val="19"/>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474471" w14:textId="77777777" w:rsidR="009B5E39" w:rsidRDefault="009B5E39" w:rsidP="009B5E39">
      <w:pPr>
        <w:ind w:left="851" w:right="283"/>
        <w:jc w:val="both"/>
        <w:rPr>
          <w:rFonts w:ascii="Gotham" w:hAnsi="Gotham" w:cs="Arial"/>
          <w:i/>
          <w:sz w:val="19"/>
          <w:szCs w:val="19"/>
        </w:rPr>
      </w:pPr>
    </w:p>
    <w:p w14:paraId="3A474472" w14:textId="77777777" w:rsidR="009B5E39" w:rsidRPr="00556D44" w:rsidRDefault="009B5E39" w:rsidP="009B5E39">
      <w:pPr>
        <w:ind w:left="851" w:right="283"/>
        <w:jc w:val="both"/>
        <w:rPr>
          <w:rFonts w:ascii="Gotham" w:eastAsia="Arial" w:hAnsi="Gotham" w:cs="Arial"/>
          <w:i/>
          <w:sz w:val="19"/>
          <w:szCs w:val="19"/>
        </w:rPr>
      </w:pPr>
      <w:r w:rsidRPr="00556D44">
        <w:rPr>
          <w:rFonts w:ascii="Gotham" w:hAnsi="Gotham" w:cs="Arial"/>
          <w:i/>
          <w:sz w:val="19"/>
          <w:szCs w:val="19"/>
        </w:rPr>
        <w:t>…I.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474473" w14:textId="77777777" w:rsidR="009B5E39" w:rsidRPr="00556D44" w:rsidRDefault="009B5E39" w:rsidP="009B5E39">
      <w:pPr>
        <w:ind w:left="567" w:hanging="567"/>
        <w:jc w:val="both"/>
        <w:rPr>
          <w:rFonts w:ascii="Gotham" w:hAnsi="Gotham" w:cs="Arial"/>
          <w:sz w:val="20"/>
          <w:szCs w:val="20"/>
        </w:rPr>
      </w:pPr>
    </w:p>
    <w:p w14:paraId="3A474474" w14:textId="77777777" w:rsidR="009B5E39" w:rsidRPr="00556D44" w:rsidRDefault="009B5E39" w:rsidP="009B5E39">
      <w:pPr>
        <w:ind w:left="567" w:hanging="567"/>
        <w:jc w:val="both"/>
        <w:rPr>
          <w:rFonts w:ascii="Gotham" w:hAnsi="Gotham" w:cs="Arial"/>
          <w:sz w:val="20"/>
          <w:szCs w:val="20"/>
        </w:rPr>
      </w:pPr>
      <w:r>
        <w:rPr>
          <w:rFonts w:ascii="Gotham" w:hAnsi="Gotham" w:cs="Arial"/>
          <w:sz w:val="20"/>
          <w:szCs w:val="20"/>
        </w:rPr>
        <w:t xml:space="preserve">II. </w:t>
      </w:r>
      <w:r>
        <w:rPr>
          <w:rFonts w:ascii="Gotham" w:hAnsi="Gotham" w:cs="Arial"/>
          <w:sz w:val="20"/>
          <w:szCs w:val="20"/>
        </w:rPr>
        <w:tab/>
      </w:r>
      <w:r w:rsidRPr="00556D44">
        <w:rPr>
          <w:rFonts w:ascii="Gotham" w:hAnsi="Gotham" w:cs="Arial"/>
          <w:sz w:val="20"/>
          <w:szCs w:val="20"/>
        </w:rPr>
        <w:t>Que la Ley de Gobierno y Administración Pública Municipal del Estado de Jalisco en su artículo 37 fracción II reitera la obligación del Ayuntamiento de:</w:t>
      </w:r>
    </w:p>
    <w:p w14:paraId="3A474475" w14:textId="77777777" w:rsidR="009B5E39" w:rsidRPr="00556D44" w:rsidRDefault="009B5E39" w:rsidP="009B5E39">
      <w:pPr>
        <w:ind w:left="567" w:hanging="567"/>
        <w:jc w:val="both"/>
        <w:rPr>
          <w:rFonts w:ascii="Gotham" w:hAnsi="Gotham" w:cs="Arial"/>
          <w:sz w:val="20"/>
          <w:szCs w:val="20"/>
        </w:rPr>
      </w:pPr>
    </w:p>
    <w:p w14:paraId="3A474476" w14:textId="77777777" w:rsidR="009B5E39" w:rsidRPr="00556D44" w:rsidRDefault="009B5E39" w:rsidP="009B5E39">
      <w:pPr>
        <w:ind w:left="851" w:right="283"/>
        <w:jc w:val="both"/>
        <w:rPr>
          <w:rFonts w:ascii="Gotham" w:hAnsi="Gotham" w:cs="Arial"/>
          <w:i/>
          <w:sz w:val="19"/>
          <w:szCs w:val="19"/>
        </w:rPr>
      </w:pPr>
      <w:r w:rsidRPr="00556D44">
        <w:rPr>
          <w:rFonts w:ascii="Gotham" w:hAnsi="Gotham" w:cs="Arial"/>
          <w:i/>
          <w:sz w:val="19"/>
          <w:szCs w:val="19"/>
        </w:rPr>
        <w:t xml:space="preserve">Aprobar y aplicar su presupuesto de egresos, bandos de policía y gobierno, reglamentos, circulares y disposiciones administrativas de observancia general que organicen la </w:t>
      </w:r>
      <w:r w:rsidRPr="00556D44">
        <w:rPr>
          <w:rFonts w:ascii="Gotham" w:hAnsi="Gotham" w:cs="Arial"/>
          <w:i/>
          <w:sz w:val="19"/>
          <w:szCs w:val="19"/>
        </w:rPr>
        <w:lastRenderedPageBreak/>
        <w:t xml:space="preserve">administración pública municipal, regulen las materias, procedimientos, funciones y servicios públicos de su competencia y aseguren la participación ciudadana y vecinal. </w:t>
      </w:r>
    </w:p>
    <w:p w14:paraId="3A474477" w14:textId="77777777" w:rsidR="009B5E39" w:rsidRPr="00556D44" w:rsidRDefault="009B5E39" w:rsidP="009B5E39">
      <w:pPr>
        <w:ind w:left="567" w:hanging="567"/>
        <w:jc w:val="both"/>
        <w:rPr>
          <w:rFonts w:ascii="Gotham" w:hAnsi="Gotham" w:cs="Arial"/>
          <w:sz w:val="20"/>
          <w:szCs w:val="20"/>
        </w:rPr>
      </w:pPr>
    </w:p>
    <w:p w14:paraId="3A474478" w14:textId="77777777" w:rsidR="009B5E39" w:rsidRPr="00556D44" w:rsidRDefault="009B5E39" w:rsidP="009B5E39">
      <w:pPr>
        <w:ind w:left="567" w:hanging="567"/>
        <w:jc w:val="both"/>
        <w:rPr>
          <w:rFonts w:ascii="Gotham" w:hAnsi="Gotham" w:cs="Arial"/>
          <w:sz w:val="20"/>
          <w:szCs w:val="20"/>
        </w:rPr>
      </w:pPr>
      <w:r>
        <w:rPr>
          <w:rFonts w:ascii="Gotham" w:hAnsi="Gotham" w:cs="Arial"/>
          <w:sz w:val="20"/>
          <w:szCs w:val="20"/>
        </w:rPr>
        <w:t xml:space="preserve">III. </w:t>
      </w:r>
      <w:r>
        <w:rPr>
          <w:rFonts w:ascii="Gotham" w:hAnsi="Gotham" w:cs="Arial"/>
          <w:sz w:val="20"/>
          <w:szCs w:val="20"/>
        </w:rPr>
        <w:tab/>
      </w:r>
      <w:r w:rsidRPr="00556D44">
        <w:rPr>
          <w:rFonts w:ascii="Gotham" w:hAnsi="Gotham" w:cs="Arial"/>
          <w:sz w:val="20"/>
          <w:szCs w:val="20"/>
        </w:rPr>
        <w:t>La Ley de Ingresos del Municipio de Tonalá, Jalisco para el ejercicio fiscal 2024 en el artículo 94, numeral III, fracción f, señala lo siguiente:</w:t>
      </w:r>
    </w:p>
    <w:p w14:paraId="3A474479" w14:textId="77777777" w:rsidR="009B5E39" w:rsidRPr="00556D44" w:rsidRDefault="009B5E39" w:rsidP="009B5E39">
      <w:pPr>
        <w:ind w:left="567" w:hanging="567"/>
        <w:jc w:val="both"/>
        <w:rPr>
          <w:rFonts w:ascii="Gotham" w:hAnsi="Gotham" w:cs="Arial"/>
          <w:sz w:val="20"/>
          <w:szCs w:val="20"/>
        </w:rPr>
      </w:pPr>
    </w:p>
    <w:p w14:paraId="3A47447A" w14:textId="77777777" w:rsidR="009B5E39" w:rsidRPr="00556D44" w:rsidRDefault="009B5E39" w:rsidP="009B5E39">
      <w:pPr>
        <w:spacing w:after="120"/>
        <w:ind w:left="851" w:right="283"/>
        <w:jc w:val="both"/>
        <w:rPr>
          <w:rFonts w:ascii="Gotham" w:hAnsi="Gotham" w:cs="Arial"/>
          <w:i/>
          <w:sz w:val="19"/>
          <w:szCs w:val="19"/>
        </w:rPr>
      </w:pPr>
      <w:r w:rsidRPr="00556D44">
        <w:rPr>
          <w:rFonts w:ascii="Gotham" w:hAnsi="Gotham" w:cs="Arial"/>
          <w:i/>
          <w:sz w:val="19"/>
          <w:szCs w:val="19"/>
        </w:rPr>
        <w:t>Artículo 94. Las sanciones administrativas y fiscales por infracciones a los ordenamientos municipales, serán aplicadas conforme a la siguiente:</w:t>
      </w:r>
    </w:p>
    <w:p w14:paraId="3A47447B" w14:textId="77777777" w:rsidR="009B5E39" w:rsidRPr="00556D44" w:rsidRDefault="009B5E39" w:rsidP="009B5E39">
      <w:pPr>
        <w:spacing w:after="120"/>
        <w:ind w:left="1276" w:right="283" w:hanging="425"/>
        <w:jc w:val="both"/>
        <w:rPr>
          <w:rFonts w:ascii="Gotham" w:hAnsi="Gotham" w:cs="Arial"/>
          <w:i/>
          <w:sz w:val="19"/>
          <w:szCs w:val="19"/>
        </w:rPr>
      </w:pPr>
      <w:r w:rsidRPr="00556D44">
        <w:rPr>
          <w:rFonts w:ascii="Gotham" w:hAnsi="Gotham" w:cs="Arial"/>
          <w:i/>
          <w:sz w:val="19"/>
          <w:szCs w:val="19"/>
        </w:rPr>
        <w:t xml:space="preserve">III. </w:t>
      </w:r>
      <w:r>
        <w:rPr>
          <w:rFonts w:ascii="Gotham" w:hAnsi="Gotham" w:cs="Arial"/>
          <w:i/>
          <w:sz w:val="19"/>
          <w:szCs w:val="19"/>
        </w:rPr>
        <w:tab/>
      </w:r>
      <w:r w:rsidRPr="00556D44">
        <w:rPr>
          <w:rFonts w:ascii="Gotham" w:hAnsi="Gotham" w:cs="Arial"/>
          <w:i/>
          <w:sz w:val="19"/>
          <w:szCs w:val="19"/>
        </w:rPr>
        <w:t>Violaciones al Reglamento de Comercio para el Municipio de Tonalá, Jalisco y al Reglamento de Espectáculos:</w:t>
      </w:r>
    </w:p>
    <w:p w14:paraId="3A47447C" w14:textId="77777777" w:rsidR="009B5E39" w:rsidRPr="00556D44" w:rsidRDefault="009B5E39" w:rsidP="009B5E39">
      <w:pPr>
        <w:spacing w:after="120"/>
        <w:ind w:left="1701" w:right="283" w:hanging="425"/>
        <w:jc w:val="both"/>
        <w:rPr>
          <w:rFonts w:ascii="Gotham" w:hAnsi="Gotham" w:cs="Arial"/>
          <w:i/>
          <w:sz w:val="19"/>
          <w:szCs w:val="19"/>
        </w:rPr>
      </w:pPr>
      <w:r w:rsidRPr="00556D44">
        <w:rPr>
          <w:rFonts w:ascii="Gotham" w:hAnsi="Gotham" w:cs="Arial"/>
          <w:i/>
          <w:sz w:val="19"/>
          <w:szCs w:val="19"/>
        </w:rPr>
        <w:t xml:space="preserve">f) </w:t>
      </w:r>
      <w:r>
        <w:rPr>
          <w:rFonts w:ascii="Gotham" w:hAnsi="Gotham" w:cs="Arial"/>
          <w:i/>
          <w:sz w:val="19"/>
          <w:szCs w:val="19"/>
        </w:rPr>
        <w:tab/>
      </w:r>
      <w:r w:rsidRPr="00556D44">
        <w:rPr>
          <w:rFonts w:ascii="Gotham" w:hAnsi="Gotham" w:cs="Arial"/>
          <w:i/>
          <w:sz w:val="19"/>
          <w:szCs w:val="19"/>
        </w:rPr>
        <w:t>Por establecer puestos semifijos en los lugares considerados como prohibidos, se sancionará con una multa de ocho a treinta veces el valor diario de la Unidad de Medida y Actualización.</w:t>
      </w:r>
    </w:p>
    <w:p w14:paraId="3A47447D" w14:textId="77777777" w:rsidR="009B5E39" w:rsidRPr="00556D44" w:rsidRDefault="009B5E39" w:rsidP="009B5E39">
      <w:pPr>
        <w:ind w:left="1701" w:right="283" w:hanging="425"/>
        <w:jc w:val="both"/>
        <w:rPr>
          <w:rFonts w:ascii="Gotham" w:hAnsi="Gotham" w:cs="Arial"/>
          <w:i/>
          <w:sz w:val="19"/>
          <w:szCs w:val="19"/>
        </w:rPr>
      </w:pPr>
      <w:r w:rsidRPr="00556D44">
        <w:rPr>
          <w:rFonts w:ascii="Gotham" w:hAnsi="Gotham" w:cs="Arial"/>
          <w:i/>
          <w:sz w:val="19"/>
          <w:szCs w:val="19"/>
        </w:rPr>
        <w:t xml:space="preserve">v) </w:t>
      </w:r>
      <w:r>
        <w:rPr>
          <w:rFonts w:ascii="Gotham" w:hAnsi="Gotham" w:cs="Arial"/>
          <w:i/>
          <w:sz w:val="19"/>
          <w:szCs w:val="19"/>
        </w:rPr>
        <w:tab/>
      </w:r>
      <w:r w:rsidRPr="00556D44">
        <w:rPr>
          <w:rFonts w:ascii="Gotham" w:hAnsi="Gotham" w:cs="Arial"/>
          <w:i/>
          <w:sz w:val="19"/>
          <w:szCs w:val="19"/>
        </w:rPr>
        <w:t>Por aumentar las dimensiones a los puestos fijos o semifijos y/o tener más metros de los autorizados en el permiso se sancionará con una multa de tres a diez veces el valor diario de la Unidad de Medida y Actualización.</w:t>
      </w:r>
    </w:p>
    <w:p w14:paraId="3A47447E" w14:textId="77777777" w:rsidR="009B5E39" w:rsidRPr="00556D44" w:rsidRDefault="009B5E39" w:rsidP="009B5E39">
      <w:pPr>
        <w:ind w:left="567" w:hanging="567"/>
        <w:jc w:val="both"/>
        <w:rPr>
          <w:rFonts w:ascii="Gotham" w:hAnsi="Gotham" w:cs="Arial"/>
          <w:sz w:val="20"/>
          <w:szCs w:val="20"/>
        </w:rPr>
      </w:pPr>
    </w:p>
    <w:p w14:paraId="3A47447F" w14:textId="77777777" w:rsidR="009B5E39" w:rsidRPr="00556D44" w:rsidRDefault="009B5E39" w:rsidP="009B5E39">
      <w:pPr>
        <w:ind w:left="567" w:hanging="567"/>
        <w:jc w:val="both"/>
        <w:rPr>
          <w:rFonts w:ascii="Gotham" w:hAnsi="Gotham" w:cs="Arial"/>
          <w:sz w:val="20"/>
          <w:szCs w:val="20"/>
        </w:rPr>
      </w:pPr>
      <w:r>
        <w:rPr>
          <w:rFonts w:ascii="Gotham" w:hAnsi="Gotham" w:cs="Arial"/>
          <w:sz w:val="20"/>
          <w:szCs w:val="20"/>
        </w:rPr>
        <w:t xml:space="preserve">IV. </w:t>
      </w:r>
      <w:r>
        <w:rPr>
          <w:rFonts w:ascii="Gotham" w:hAnsi="Gotham" w:cs="Arial"/>
          <w:sz w:val="20"/>
          <w:szCs w:val="20"/>
        </w:rPr>
        <w:tab/>
      </w:r>
      <w:r w:rsidRPr="00556D44">
        <w:rPr>
          <w:rFonts w:ascii="Gotham" w:hAnsi="Gotham" w:cs="Arial"/>
          <w:sz w:val="20"/>
          <w:szCs w:val="20"/>
        </w:rPr>
        <w:t>El Reglamento del Gobierno y la Administración Publica del H. Ayuntamiento Constitucional de Tonalá Jalisco, en su artículo 155, fracción I, III, IV y en el numeral 2, fracción I de este mis o artículo, establece lo siguiente:</w:t>
      </w:r>
    </w:p>
    <w:p w14:paraId="3A474480" w14:textId="77777777" w:rsidR="009B5E39" w:rsidRPr="00556D44" w:rsidRDefault="009B5E39" w:rsidP="009B5E39">
      <w:pPr>
        <w:ind w:left="567" w:hanging="567"/>
        <w:jc w:val="both"/>
        <w:rPr>
          <w:rFonts w:ascii="Gotham" w:hAnsi="Gotham" w:cs="Arial"/>
          <w:sz w:val="20"/>
          <w:szCs w:val="20"/>
        </w:rPr>
      </w:pPr>
    </w:p>
    <w:p w14:paraId="3A474481" w14:textId="77777777" w:rsidR="009B5E39" w:rsidRPr="00556D44" w:rsidRDefault="009B5E39" w:rsidP="009B5E39">
      <w:pPr>
        <w:spacing w:after="120"/>
        <w:ind w:left="851" w:right="283"/>
        <w:jc w:val="both"/>
        <w:rPr>
          <w:rFonts w:ascii="Gotham" w:hAnsi="Gotham" w:cs="Arial"/>
          <w:i/>
          <w:sz w:val="19"/>
          <w:szCs w:val="19"/>
        </w:rPr>
      </w:pPr>
      <w:r w:rsidRPr="00556D44">
        <w:rPr>
          <w:rFonts w:ascii="Gotham" w:hAnsi="Gotham" w:cs="Arial"/>
          <w:i/>
          <w:sz w:val="19"/>
          <w:szCs w:val="19"/>
        </w:rPr>
        <w:t>Artículo 155.- Son atribuciones de la Dirección de Inspección y Vigilancia las siguientes:</w:t>
      </w:r>
    </w:p>
    <w:p w14:paraId="3A474482" w14:textId="77777777" w:rsidR="009B5E39" w:rsidRPr="00556D44" w:rsidRDefault="009B5E39" w:rsidP="009B5E39">
      <w:pPr>
        <w:spacing w:after="120"/>
        <w:ind w:left="1276" w:right="283" w:hanging="425"/>
        <w:jc w:val="both"/>
        <w:rPr>
          <w:rFonts w:ascii="Gotham" w:hAnsi="Gotham" w:cs="Arial"/>
          <w:i/>
          <w:sz w:val="19"/>
          <w:szCs w:val="19"/>
        </w:rPr>
      </w:pPr>
      <w:r w:rsidRPr="00556D44">
        <w:rPr>
          <w:rFonts w:ascii="Gotham" w:hAnsi="Gotham" w:cs="Arial"/>
          <w:i/>
          <w:sz w:val="19"/>
          <w:szCs w:val="19"/>
        </w:rPr>
        <w:t xml:space="preserve">I. </w:t>
      </w:r>
      <w:r>
        <w:rPr>
          <w:rFonts w:ascii="Gotham" w:hAnsi="Gotham" w:cs="Arial"/>
          <w:i/>
          <w:sz w:val="19"/>
          <w:szCs w:val="19"/>
        </w:rPr>
        <w:tab/>
      </w:r>
      <w:r w:rsidRPr="00556D44">
        <w:rPr>
          <w:rFonts w:ascii="Gotham" w:hAnsi="Gotham" w:cs="Arial"/>
          <w:i/>
          <w:sz w:val="19"/>
          <w:szCs w:val="19"/>
        </w:rPr>
        <w:t>Efectuar al Inspección y control a efecto de que las actividades económicas que se realicen estén cumpliendo con la normatividad correspondiente para su funcionamiento, regulando todo tipo de actividad comercial en el Municipio.</w:t>
      </w:r>
    </w:p>
    <w:p w14:paraId="3A474483" w14:textId="77777777" w:rsidR="009B5E39" w:rsidRPr="00556D44" w:rsidRDefault="009B5E39" w:rsidP="009B5E39">
      <w:pPr>
        <w:spacing w:after="120"/>
        <w:ind w:left="1276" w:right="283" w:hanging="425"/>
        <w:jc w:val="both"/>
        <w:rPr>
          <w:rFonts w:ascii="Gotham" w:hAnsi="Gotham" w:cs="Arial"/>
          <w:i/>
          <w:sz w:val="19"/>
          <w:szCs w:val="19"/>
        </w:rPr>
      </w:pPr>
      <w:r w:rsidRPr="00556D44">
        <w:rPr>
          <w:rFonts w:ascii="Gotham" w:hAnsi="Gotham" w:cs="Arial"/>
          <w:i/>
          <w:sz w:val="19"/>
          <w:szCs w:val="19"/>
        </w:rPr>
        <w:t xml:space="preserve">III. </w:t>
      </w:r>
      <w:r>
        <w:rPr>
          <w:rFonts w:ascii="Gotham" w:hAnsi="Gotham" w:cs="Arial"/>
          <w:i/>
          <w:sz w:val="19"/>
          <w:szCs w:val="19"/>
        </w:rPr>
        <w:tab/>
      </w:r>
      <w:r w:rsidRPr="00556D44">
        <w:rPr>
          <w:rFonts w:ascii="Gotham" w:hAnsi="Gotham" w:cs="Arial"/>
          <w:i/>
          <w:sz w:val="19"/>
          <w:szCs w:val="19"/>
        </w:rPr>
        <w:t>Preservar, proponer, ejecutar y sancionar el establecimiento de los reglamentos municipales en todo el municipio, de conformidad a la normatividad vigente;</w:t>
      </w:r>
    </w:p>
    <w:p w14:paraId="3A474484" w14:textId="77777777" w:rsidR="009B5E39" w:rsidRPr="00556D44" w:rsidRDefault="009B5E39" w:rsidP="009B5E39">
      <w:pPr>
        <w:ind w:left="1276" w:right="283" w:hanging="425"/>
        <w:jc w:val="both"/>
        <w:rPr>
          <w:rFonts w:ascii="Gotham" w:hAnsi="Gotham" w:cs="Arial"/>
          <w:i/>
          <w:sz w:val="19"/>
          <w:szCs w:val="19"/>
        </w:rPr>
      </w:pPr>
      <w:r w:rsidRPr="00556D44">
        <w:rPr>
          <w:rFonts w:ascii="Gotham" w:hAnsi="Gotham" w:cs="Arial"/>
          <w:i/>
          <w:sz w:val="19"/>
          <w:szCs w:val="19"/>
        </w:rPr>
        <w:t xml:space="preserve">V. </w:t>
      </w:r>
      <w:r>
        <w:rPr>
          <w:rFonts w:ascii="Gotham" w:hAnsi="Gotham" w:cs="Arial"/>
          <w:i/>
          <w:sz w:val="19"/>
          <w:szCs w:val="19"/>
        </w:rPr>
        <w:tab/>
      </w:r>
      <w:r w:rsidRPr="00556D44">
        <w:rPr>
          <w:rFonts w:ascii="Gotham" w:hAnsi="Gotham" w:cs="Arial"/>
          <w:i/>
          <w:sz w:val="19"/>
          <w:szCs w:val="19"/>
        </w:rPr>
        <w:t>Con acuerdo del Tesorero Municipal inspeccionar, organizar y conceder permisos para el comercio en la vía pública y regular a los lavacoches.</w:t>
      </w:r>
    </w:p>
    <w:p w14:paraId="3A474485" w14:textId="77777777" w:rsidR="009B5E39" w:rsidRPr="00556D44" w:rsidRDefault="009B5E39" w:rsidP="009B5E39">
      <w:pPr>
        <w:ind w:left="851" w:right="283"/>
        <w:jc w:val="both"/>
        <w:rPr>
          <w:rFonts w:ascii="Gotham" w:hAnsi="Gotham" w:cs="Arial"/>
          <w:i/>
          <w:sz w:val="19"/>
          <w:szCs w:val="19"/>
        </w:rPr>
      </w:pPr>
    </w:p>
    <w:p w14:paraId="3A474486" w14:textId="77777777" w:rsidR="009B5E39" w:rsidRPr="00556D44" w:rsidRDefault="009B5E39" w:rsidP="009B5E39">
      <w:pPr>
        <w:spacing w:after="120"/>
        <w:ind w:left="1276" w:right="283" w:hanging="425"/>
        <w:jc w:val="both"/>
        <w:rPr>
          <w:rFonts w:ascii="Gotham" w:hAnsi="Gotham" w:cs="Arial"/>
          <w:i/>
          <w:sz w:val="19"/>
          <w:szCs w:val="19"/>
        </w:rPr>
      </w:pPr>
      <w:r w:rsidRPr="00556D44">
        <w:rPr>
          <w:rFonts w:ascii="Gotham" w:hAnsi="Gotham" w:cs="Arial"/>
          <w:i/>
          <w:sz w:val="19"/>
          <w:szCs w:val="19"/>
        </w:rPr>
        <w:t xml:space="preserve">2.- </w:t>
      </w:r>
      <w:r>
        <w:rPr>
          <w:rFonts w:ascii="Gotham" w:hAnsi="Gotham" w:cs="Arial"/>
          <w:i/>
          <w:sz w:val="19"/>
          <w:szCs w:val="19"/>
        </w:rPr>
        <w:tab/>
      </w:r>
      <w:r w:rsidRPr="00556D44">
        <w:rPr>
          <w:rFonts w:ascii="Gotham" w:hAnsi="Gotham" w:cs="Arial"/>
          <w:i/>
          <w:sz w:val="19"/>
          <w:szCs w:val="19"/>
        </w:rPr>
        <w:t xml:space="preserve">La Jefatura Inspección de Espacios Abiertos y Reglamentos, tiene a su cargo las siguientes atribuciones: </w:t>
      </w:r>
    </w:p>
    <w:p w14:paraId="3A474487" w14:textId="77777777" w:rsidR="009B5E39" w:rsidRPr="00556D44" w:rsidRDefault="009B5E39" w:rsidP="009B5E39">
      <w:pPr>
        <w:ind w:left="1701" w:right="283" w:hanging="425"/>
        <w:jc w:val="both"/>
        <w:rPr>
          <w:rFonts w:ascii="Gotham" w:hAnsi="Gotham" w:cs="Arial"/>
          <w:i/>
          <w:sz w:val="19"/>
          <w:szCs w:val="19"/>
        </w:rPr>
      </w:pPr>
      <w:r w:rsidRPr="00556D44">
        <w:rPr>
          <w:rFonts w:ascii="Gotham" w:hAnsi="Gotham" w:cs="Arial"/>
          <w:i/>
          <w:sz w:val="19"/>
          <w:szCs w:val="19"/>
        </w:rPr>
        <w:t xml:space="preserve">I. </w:t>
      </w:r>
      <w:r>
        <w:rPr>
          <w:rFonts w:ascii="Gotham" w:hAnsi="Gotham" w:cs="Arial"/>
          <w:i/>
          <w:sz w:val="19"/>
          <w:szCs w:val="19"/>
        </w:rPr>
        <w:tab/>
      </w:r>
      <w:r w:rsidRPr="00556D44">
        <w:rPr>
          <w:rFonts w:ascii="Gotham" w:hAnsi="Gotham" w:cs="Arial"/>
          <w:i/>
          <w:sz w:val="19"/>
          <w:szCs w:val="19"/>
        </w:rPr>
        <w:t>Retirar de la vía pública o sitios públicos a los comerciantes ambulantes, de puestos fijos, semifijos o tianguis, así como sus mercancías, instalaciones o elementos que utilicen, que no tengan licencia o permiso para realizar su actividad o infrinjan disposiciones legales aplicables;</w:t>
      </w:r>
    </w:p>
    <w:p w14:paraId="3A474488" w14:textId="77777777" w:rsidR="009B5E39" w:rsidRPr="00607B8B" w:rsidRDefault="009B5E39" w:rsidP="009B5E39">
      <w:pPr>
        <w:ind w:left="567" w:hanging="567"/>
        <w:jc w:val="both"/>
        <w:rPr>
          <w:rFonts w:ascii="Gotham" w:hAnsi="Gotham" w:cs="Arial"/>
          <w:sz w:val="20"/>
          <w:szCs w:val="20"/>
        </w:rPr>
      </w:pPr>
    </w:p>
    <w:p w14:paraId="3A474489" w14:textId="77777777" w:rsidR="009B5E39" w:rsidRDefault="009B5E39" w:rsidP="009B5E39">
      <w:pPr>
        <w:ind w:left="567" w:hanging="567"/>
        <w:jc w:val="both"/>
        <w:rPr>
          <w:rFonts w:ascii="Gotham" w:hAnsi="Gotham" w:cs="Arial"/>
          <w:sz w:val="20"/>
          <w:szCs w:val="20"/>
        </w:rPr>
      </w:pPr>
      <w:r>
        <w:rPr>
          <w:rFonts w:ascii="Gotham" w:hAnsi="Gotham" w:cs="Arial"/>
          <w:sz w:val="20"/>
          <w:szCs w:val="20"/>
        </w:rPr>
        <w:t xml:space="preserve">V. </w:t>
      </w:r>
      <w:r>
        <w:rPr>
          <w:rFonts w:ascii="Gotham" w:hAnsi="Gotham" w:cs="Arial"/>
          <w:sz w:val="20"/>
          <w:szCs w:val="20"/>
        </w:rPr>
        <w:tab/>
      </w:r>
      <w:r w:rsidRPr="00607B8B">
        <w:rPr>
          <w:rFonts w:ascii="Gotham" w:hAnsi="Gotham" w:cs="Arial"/>
          <w:sz w:val="20"/>
          <w:szCs w:val="20"/>
        </w:rPr>
        <w:t>De acuerdo con el artículo 70 del Reglamento de Comercio para el municipio de Tonalá Jalisco.</w:t>
      </w:r>
    </w:p>
    <w:p w14:paraId="3A47448A" w14:textId="77777777" w:rsidR="009B5E39" w:rsidRPr="00607B8B" w:rsidRDefault="009B5E39" w:rsidP="009B5E39">
      <w:pPr>
        <w:ind w:left="567" w:hanging="567"/>
        <w:jc w:val="both"/>
        <w:rPr>
          <w:rFonts w:ascii="Gotham" w:hAnsi="Gotham" w:cs="Arial"/>
          <w:sz w:val="20"/>
          <w:szCs w:val="20"/>
        </w:rPr>
      </w:pPr>
    </w:p>
    <w:p w14:paraId="3A47448B"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La administración General de Mercados podrá retirar de las calles o lugares públicos, los puestos o instalaciones utilizadas por los comerciantes de vía pública, cuando los mismos resulten inseguros, originen conflictos viales, representen problemas higiénicos o de contaminación, afecten los intereses de la comunidad o se encuentren abandonados, previa su formal clausura.</w:t>
      </w:r>
    </w:p>
    <w:p w14:paraId="3A47448C" w14:textId="77777777" w:rsidR="009B5E39" w:rsidRDefault="009B5E39" w:rsidP="009B5E39">
      <w:pPr>
        <w:ind w:left="567" w:hanging="567"/>
        <w:jc w:val="both"/>
        <w:rPr>
          <w:rFonts w:ascii="Gotham" w:hAnsi="Gotham" w:cs="Arial"/>
          <w:sz w:val="20"/>
          <w:szCs w:val="20"/>
        </w:rPr>
      </w:pPr>
    </w:p>
    <w:p w14:paraId="3A47448D" w14:textId="77777777" w:rsidR="009B5E39" w:rsidRPr="00607B8B" w:rsidRDefault="009B5E39" w:rsidP="009B5E39">
      <w:pPr>
        <w:ind w:left="567" w:hanging="567"/>
        <w:jc w:val="both"/>
        <w:rPr>
          <w:rFonts w:ascii="Gotham" w:hAnsi="Gotham" w:cs="Arial"/>
          <w:sz w:val="20"/>
          <w:szCs w:val="20"/>
        </w:rPr>
      </w:pPr>
      <w:r>
        <w:rPr>
          <w:rFonts w:ascii="Gotham" w:hAnsi="Gotham" w:cs="Arial"/>
          <w:sz w:val="20"/>
          <w:szCs w:val="20"/>
        </w:rPr>
        <w:t xml:space="preserve">VI. </w:t>
      </w:r>
      <w:r>
        <w:rPr>
          <w:rFonts w:ascii="Gotham" w:hAnsi="Gotham" w:cs="Arial"/>
          <w:sz w:val="20"/>
          <w:szCs w:val="20"/>
        </w:rPr>
        <w:tab/>
      </w:r>
      <w:r w:rsidRPr="00607B8B">
        <w:rPr>
          <w:rFonts w:ascii="Gotham" w:hAnsi="Gotham" w:cs="Arial"/>
          <w:sz w:val="20"/>
          <w:szCs w:val="20"/>
        </w:rPr>
        <w:t xml:space="preserve">El </w:t>
      </w:r>
      <w:r>
        <w:rPr>
          <w:rFonts w:ascii="Gotham" w:hAnsi="Gotham" w:cs="Arial"/>
          <w:sz w:val="20"/>
          <w:szCs w:val="20"/>
        </w:rPr>
        <w:t>a</w:t>
      </w:r>
      <w:r w:rsidRPr="00607B8B">
        <w:rPr>
          <w:rFonts w:ascii="Gotham" w:hAnsi="Gotham" w:cs="Arial"/>
          <w:sz w:val="20"/>
          <w:szCs w:val="20"/>
        </w:rPr>
        <w:t>rtículo 96 de este mismo reglamento indica:</w:t>
      </w:r>
    </w:p>
    <w:p w14:paraId="3A47448E" w14:textId="77777777" w:rsidR="009B5E39" w:rsidRPr="00607B8B" w:rsidRDefault="009B5E39" w:rsidP="009B5E39">
      <w:pPr>
        <w:ind w:left="567" w:hanging="567"/>
        <w:jc w:val="both"/>
        <w:rPr>
          <w:rFonts w:ascii="Gotham" w:hAnsi="Gotham" w:cs="Arial"/>
          <w:sz w:val="20"/>
          <w:szCs w:val="20"/>
        </w:rPr>
      </w:pPr>
    </w:p>
    <w:p w14:paraId="3A47448F"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 xml:space="preserve">“El comercio a que se refiere este capítulo y los siguientes de este Título, es aquel que se realiza en calles, plazas, lugares públicos, locales abiertos, lotes baldíos, cocheras o servidumbres de </w:t>
      </w:r>
      <w:r w:rsidRPr="00CC259E">
        <w:rPr>
          <w:rFonts w:ascii="Gotham" w:hAnsi="Gotham" w:cs="Arial"/>
          <w:i/>
          <w:sz w:val="19"/>
          <w:szCs w:val="19"/>
        </w:rPr>
        <w:lastRenderedPageBreak/>
        <w:t>propiedad privada, así como en los pasillos o sitios abiertos llamados plazas o centros comerciales.</w:t>
      </w:r>
    </w:p>
    <w:p w14:paraId="3A474490" w14:textId="77777777" w:rsidR="009B5E39" w:rsidRPr="00CC259E" w:rsidRDefault="009B5E39" w:rsidP="009B5E39">
      <w:pPr>
        <w:ind w:left="851" w:right="283"/>
        <w:jc w:val="both"/>
        <w:rPr>
          <w:rFonts w:ascii="Gotham" w:hAnsi="Gotham" w:cs="Arial"/>
          <w:i/>
          <w:sz w:val="19"/>
          <w:szCs w:val="19"/>
        </w:rPr>
      </w:pPr>
    </w:p>
    <w:p w14:paraId="3A474491"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 xml:space="preserve">Se entiende por comercio ambulante el que se lleva a cabo por personas que transitan por la vía o sitios públicos, transportando sus mercancías para comercializarlas con quien se las solicite. </w:t>
      </w:r>
    </w:p>
    <w:p w14:paraId="3A474492" w14:textId="77777777" w:rsidR="009B5E39" w:rsidRPr="00CC259E" w:rsidRDefault="009B5E39" w:rsidP="009B5E39">
      <w:pPr>
        <w:ind w:left="851" w:right="283"/>
        <w:jc w:val="both"/>
        <w:rPr>
          <w:rFonts w:ascii="Gotham" w:hAnsi="Gotham" w:cs="Arial"/>
          <w:i/>
          <w:sz w:val="19"/>
          <w:szCs w:val="19"/>
        </w:rPr>
      </w:pPr>
    </w:p>
    <w:p w14:paraId="3A474493"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 xml:space="preserve">Se entiende por comercio en puesto fijo la actividad comercial que se realiza en la vía o sitios públicos o privados en un lugar, puesto o estructura determinado para tal efecto anclado o adherido al suelo o construcción en forma permanente, aun formando parte de un predio o finca de carácter público o privado. </w:t>
      </w:r>
    </w:p>
    <w:p w14:paraId="3A474494" w14:textId="77777777" w:rsidR="009B5E39" w:rsidRPr="00CC259E" w:rsidRDefault="009B5E39" w:rsidP="009B5E39">
      <w:pPr>
        <w:ind w:left="851" w:right="283"/>
        <w:jc w:val="both"/>
        <w:rPr>
          <w:rFonts w:ascii="Gotham" w:hAnsi="Gotham" w:cs="Arial"/>
          <w:i/>
          <w:sz w:val="19"/>
          <w:szCs w:val="19"/>
        </w:rPr>
      </w:pPr>
    </w:p>
    <w:p w14:paraId="3A474495"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 xml:space="preserve">Se entiende por comercio en puesto semifijo la actividad comercial que se lleva a cabo en la vía o sitios públicos o privados, de manera cotidiana, valiéndose de la instalación y retiro de cualquier tipo de estructura, vehículo, remolque o cualquier otro bien mueble, sin estar o permanecer anclado o adherido al suelo o construcción alguna. </w:t>
      </w:r>
    </w:p>
    <w:p w14:paraId="3A474496" w14:textId="77777777" w:rsidR="009B5E39" w:rsidRPr="00CC259E" w:rsidRDefault="009B5E39" w:rsidP="009B5E39">
      <w:pPr>
        <w:ind w:left="851" w:right="283"/>
        <w:jc w:val="both"/>
        <w:rPr>
          <w:rFonts w:ascii="Gotham" w:hAnsi="Gotham" w:cs="Arial"/>
          <w:i/>
          <w:sz w:val="19"/>
          <w:szCs w:val="19"/>
        </w:rPr>
      </w:pPr>
    </w:p>
    <w:p w14:paraId="3A474497"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 xml:space="preserve">Para su funcionamiento deberán contar con la autorización expresa concedida por la Administración General de Mercados, a través de permisos provisionales, previo pago de los derechos que señale la ley de Ingresos. </w:t>
      </w:r>
    </w:p>
    <w:p w14:paraId="3A474498" w14:textId="77777777" w:rsidR="009B5E39" w:rsidRDefault="009B5E39" w:rsidP="009B5E39">
      <w:pPr>
        <w:ind w:left="851" w:right="283"/>
        <w:jc w:val="both"/>
        <w:rPr>
          <w:rFonts w:ascii="Gotham" w:hAnsi="Gotham" w:cs="Arial"/>
          <w:i/>
          <w:sz w:val="19"/>
          <w:szCs w:val="19"/>
        </w:rPr>
      </w:pPr>
    </w:p>
    <w:p w14:paraId="3A474499"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La inobservancia de este precepto se sancionará con infracción levantada por los inspectores adscritos a la Administración General de Mercados, y en caso de reincidencia, de ser ello posible, se sancionará con la clausura del comercio de que se trate. La autoridad Municipal podrá retirar de la vía o sitios públicos a los comerciantes ambulantes, de puestos fijos, semifijos o tianguis, así como sus mercancías, instalaciones o elementos que utilicen, que no tengan licencia o permiso para realizar su actividad, o infrinjan disposiciones legales aplicables.”</w:t>
      </w:r>
    </w:p>
    <w:p w14:paraId="3A47449A" w14:textId="77777777" w:rsidR="009B5E39" w:rsidRPr="00607B8B" w:rsidRDefault="009B5E39" w:rsidP="009B5E39">
      <w:pPr>
        <w:ind w:left="567" w:hanging="567"/>
        <w:jc w:val="both"/>
        <w:rPr>
          <w:rFonts w:ascii="Gotham" w:hAnsi="Gotham" w:cs="Arial"/>
          <w:sz w:val="20"/>
          <w:szCs w:val="20"/>
        </w:rPr>
      </w:pPr>
    </w:p>
    <w:p w14:paraId="3A47449B" w14:textId="77777777" w:rsidR="009B5E39" w:rsidRPr="00607B8B" w:rsidRDefault="009B5E39" w:rsidP="009B5E39">
      <w:pPr>
        <w:ind w:left="567" w:hanging="567"/>
        <w:jc w:val="both"/>
        <w:rPr>
          <w:rFonts w:ascii="Gotham" w:hAnsi="Gotham" w:cs="Arial"/>
          <w:sz w:val="20"/>
          <w:szCs w:val="20"/>
        </w:rPr>
      </w:pPr>
      <w:r>
        <w:rPr>
          <w:rFonts w:ascii="Gotham" w:hAnsi="Gotham" w:cs="Arial"/>
          <w:sz w:val="20"/>
          <w:szCs w:val="20"/>
        </w:rPr>
        <w:t xml:space="preserve">VII. </w:t>
      </w:r>
      <w:r>
        <w:rPr>
          <w:rFonts w:ascii="Gotham" w:hAnsi="Gotham" w:cs="Arial"/>
          <w:sz w:val="20"/>
          <w:szCs w:val="20"/>
        </w:rPr>
        <w:tab/>
      </w:r>
      <w:r w:rsidRPr="00607B8B">
        <w:rPr>
          <w:rFonts w:ascii="Gotham" w:hAnsi="Gotham" w:cs="Arial"/>
          <w:sz w:val="20"/>
          <w:szCs w:val="20"/>
        </w:rPr>
        <w:t>El artículo 106 de este mismo Reglamento establece lo siguiente:</w:t>
      </w:r>
    </w:p>
    <w:p w14:paraId="3A47449C" w14:textId="77777777" w:rsidR="009B5E39" w:rsidRPr="00607B8B" w:rsidRDefault="009B5E39" w:rsidP="009B5E39">
      <w:pPr>
        <w:ind w:left="567" w:hanging="567"/>
        <w:jc w:val="both"/>
        <w:rPr>
          <w:rFonts w:ascii="Gotham" w:hAnsi="Gotham" w:cs="Arial"/>
          <w:sz w:val="20"/>
          <w:szCs w:val="20"/>
        </w:rPr>
      </w:pPr>
    </w:p>
    <w:p w14:paraId="3A47449D"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“Los puestos fijos que se establezcan sobre artesanías y sitios públicos deberán de construirse acatando las disposiciones de la Administración General de Mercados y Dirección de Obras Públicas, con el fin de evitar obstáculos al tránsito y contaminación visual o de cualquier otro tipo que atente contra el orden de la comunidad. Las medidas del puesto no deben exceder de un metro cincuenta centímetros de ancho y dos metros cincuenta centímetros de largo deberán instalarse a una distancia no menor de diez metros del ángulo de las esquinas y no obstruir el tránsito de las personas o vehículos, ni obstaculizar la vista o la luz de las fincas Inmediatas. Solo por excepción, siempre y cuando no se afecten los intereses comunitarios, la autoridad podrá autorizar puestos de mayores dimensiones a las antes establecidas.”</w:t>
      </w:r>
    </w:p>
    <w:p w14:paraId="3A47449E" w14:textId="77777777" w:rsidR="009B5E39" w:rsidRPr="00607B8B" w:rsidRDefault="009B5E39" w:rsidP="009B5E39">
      <w:pPr>
        <w:ind w:left="567" w:hanging="567"/>
        <w:jc w:val="both"/>
        <w:rPr>
          <w:rFonts w:ascii="Gotham" w:hAnsi="Gotham" w:cs="Arial"/>
          <w:sz w:val="20"/>
          <w:szCs w:val="20"/>
        </w:rPr>
      </w:pPr>
    </w:p>
    <w:p w14:paraId="3A47449F" w14:textId="77777777" w:rsidR="009B5E39" w:rsidRPr="00607B8B" w:rsidRDefault="009B5E39" w:rsidP="009B5E39">
      <w:pPr>
        <w:ind w:left="567" w:hanging="567"/>
        <w:jc w:val="both"/>
        <w:rPr>
          <w:rFonts w:ascii="Gotham" w:hAnsi="Gotham" w:cs="Arial"/>
          <w:sz w:val="20"/>
          <w:szCs w:val="20"/>
        </w:rPr>
      </w:pPr>
      <w:r>
        <w:rPr>
          <w:rFonts w:ascii="Gotham" w:hAnsi="Gotham" w:cs="Arial"/>
          <w:sz w:val="20"/>
          <w:szCs w:val="20"/>
        </w:rPr>
        <w:t xml:space="preserve">VIII. </w:t>
      </w:r>
      <w:r>
        <w:rPr>
          <w:rFonts w:ascii="Gotham" w:hAnsi="Gotham" w:cs="Arial"/>
          <w:sz w:val="20"/>
          <w:szCs w:val="20"/>
        </w:rPr>
        <w:tab/>
      </w:r>
      <w:r w:rsidRPr="00607B8B">
        <w:rPr>
          <w:rFonts w:ascii="Gotham" w:hAnsi="Gotham" w:cs="Arial"/>
          <w:sz w:val="20"/>
          <w:szCs w:val="20"/>
        </w:rPr>
        <w:t>En este mismo reglamento el artículo 109, 110 y 219 establecen:</w:t>
      </w:r>
    </w:p>
    <w:p w14:paraId="3A4744A0" w14:textId="77777777" w:rsidR="009B5E39" w:rsidRPr="00607B8B" w:rsidRDefault="009B5E39" w:rsidP="009B5E39">
      <w:pPr>
        <w:ind w:left="567" w:hanging="567"/>
        <w:jc w:val="both"/>
        <w:rPr>
          <w:rFonts w:ascii="Gotham" w:hAnsi="Gotham" w:cs="Arial"/>
          <w:sz w:val="20"/>
          <w:szCs w:val="20"/>
        </w:rPr>
      </w:pPr>
    </w:p>
    <w:p w14:paraId="3A4744A1"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Artículo 109: Los lugares y las zonas comerciales en que pueden operar estos comercios en la vía pública los fijara la Administración General de Mercados tomando en cuenta lo establecido en este reglamento. Los puestos fijos que se levanten sobre el arroyo vehicular deberán contar con la aprobación previa de la autoridad competente en materia de vialidad y transporte con carácter de requisito indispensable para resolver sobre la autorización del permiso.</w:t>
      </w:r>
    </w:p>
    <w:p w14:paraId="3A4744A2" w14:textId="77777777" w:rsidR="009B5E39" w:rsidRPr="00CC259E" w:rsidRDefault="009B5E39" w:rsidP="009B5E39">
      <w:pPr>
        <w:ind w:left="851" w:right="283"/>
        <w:jc w:val="both"/>
        <w:rPr>
          <w:rFonts w:ascii="Gotham" w:hAnsi="Gotham" w:cs="Arial"/>
          <w:i/>
          <w:sz w:val="19"/>
          <w:szCs w:val="19"/>
        </w:rPr>
      </w:pPr>
    </w:p>
    <w:p w14:paraId="3A4744A3"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 xml:space="preserve">Artículo 110.- Los puestos semifijos serán autorizados para su funcionamiento por la Administración General de Mercados en zonas y áreas que no causen molestias a la vialidad, al libre tránsito de personas o a los vecinos y que no afecte los intereses de la comunidad. Queda prohibida su ubicación en una distancia menor de 150 metros de escuelas, hospitales, clínicas, </w:t>
      </w:r>
      <w:r w:rsidRPr="00CC259E">
        <w:rPr>
          <w:rFonts w:ascii="Gotham" w:hAnsi="Gotham" w:cs="Arial"/>
          <w:i/>
          <w:sz w:val="19"/>
          <w:szCs w:val="19"/>
        </w:rPr>
        <w:lastRenderedPageBreak/>
        <w:t>gasolineras, templos, centros de asistencia social, mercados, centrales de transportes y a veinte metros de avenidas, calzadas, carreteras y similares.</w:t>
      </w:r>
    </w:p>
    <w:p w14:paraId="3A4744A4" w14:textId="77777777" w:rsidR="009B5E39" w:rsidRPr="00CC259E" w:rsidRDefault="009B5E39" w:rsidP="009B5E39">
      <w:pPr>
        <w:ind w:left="851" w:right="283"/>
        <w:jc w:val="both"/>
        <w:rPr>
          <w:rFonts w:ascii="Gotham" w:hAnsi="Gotham" w:cs="Arial"/>
          <w:i/>
          <w:sz w:val="19"/>
          <w:szCs w:val="19"/>
        </w:rPr>
      </w:pPr>
    </w:p>
    <w:p w14:paraId="3A4744A5" w14:textId="77777777" w:rsidR="009B5E39" w:rsidRPr="00CC259E" w:rsidRDefault="009B5E39" w:rsidP="009B5E39">
      <w:pPr>
        <w:ind w:left="851" w:right="283"/>
        <w:jc w:val="both"/>
        <w:rPr>
          <w:rFonts w:ascii="Gotham" w:hAnsi="Gotham" w:cs="Arial"/>
          <w:i/>
          <w:sz w:val="19"/>
          <w:szCs w:val="19"/>
        </w:rPr>
      </w:pPr>
      <w:r w:rsidRPr="00CC259E">
        <w:rPr>
          <w:rFonts w:ascii="Gotham" w:hAnsi="Gotham" w:cs="Arial"/>
          <w:i/>
          <w:sz w:val="19"/>
          <w:szCs w:val="19"/>
        </w:rPr>
        <w:t>Artículo 219.- La inspección procede cuando la autoridad deba constatar que un particular cumple debidamente con la normatividad aplicable, siempre que existan indicios y presunciones legales o humanas respecto de una irregularidad derivada de un dictamen de verificación o por cualquier otra circunstancia, lo cual se asentará en la orden de inspección.</w:t>
      </w:r>
    </w:p>
    <w:p w14:paraId="3A4744A6" w14:textId="77777777" w:rsidR="009B5E39" w:rsidRDefault="009B5E39" w:rsidP="009B5E39">
      <w:pPr>
        <w:jc w:val="both"/>
        <w:rPr>
          <w:rFonts w:ascii="Gotham" w:hAnsi="Gotham"/>
          <w:sz w:val="20"/>
          <w:szCs w:val="20"/>
        </w:rPr>
      </w:pPr>
    </w:p>
    <w:p w14:paraId="3A4744A7" w14:textId="77777777" w:rsidR="009B5E39" w:rsidRPr="00556D44" w:rsidRDefault="009B5E39" w:rsidP="009B5E39">
      <w:pPr>
        <w:jc w:val="center"/>
        <w:rPr>
          <w:rFonts w:ascii="Gotham" w:hAnsi="Gotham"/>
          <w:sz w:val="20"/>
          <w:szCs w:val="20"/>
        </w:rPr>
      </w:pPr>
      <w:r w:rsidRPr="00556D44">
        <w:rPr>
          <w:rFonts w:ascii="Gotham" w:hAnsi="Gotham"/>
          <w:sz w:val="20"/>
          <w:szCs w:val="20"/>
        </w:rPr>
        <w:t>CONCLUSIONES</w:t>
      </w:r>
    </w:p>
    <w:p w14:paraId="3A4744A8" w14:textId="77777777" w:rsidR="009B5E39" w:rsidRDefault="009B5E39" w:rsidP="009B5E39">
      <w:pPr>
        <w:jc w:val="both"/>
        <w:rPr>
          <w:rFonts w:ascii="Gotham" w:hAnsi="Gotham"/>
          <w:sz w:val="20"/>
          <w:szCs w:val="20"/>
        </w:rPr>
      </w:pPr>
    </w:p>
    <w:p w14:paraId="3A4744A9" w14:textId="77777777" w:rsidR="009B5E39" w:rsidRPr="00556D44" w:rsidRDefault="009B5E39" w:rsidP="009B5E39">
      <w:pPr>
        <w:ind w:left="567" w:hanging="567"/>
        <w:jc w:val="both"/>
        <w:rPr>
          <w:rFonts w:ascii="Gotham" w:hAnsi="Gotham"/>
          <w:sz w:val="20"/>
          <w:szCs w:val="20"/>
        </w:rPr>
      </w:pPr>
      <w:r w:rsidRPr="00556D44">
        <w:rPr>
          <w:rFonts w:ascii="Gotham" w:hAnsi="Gotham"/>
          <w:sz w:val="20"/>
          <w:szCs w:val="20"/>
        </w:rPr>
        <w:t xml:space="preserve">1. </w:t>
      </w:r>
      <w:r>
        <w:rPr>
          <w:rFonts w:ascii="Gotham" w:hAnsi="Gotham"/>
          <w:sz w:val="20"/>
          <w:szCs w:val="20"/>
        </w:rPr>
        <w:tab/>
      </w:r>
      <w:r w:rsidRPr="00556D44">
        <w:rPr>
          <w:rFonts w:ascii="Gotham" w:hAnsi="Gotham"/>
          <w:sz w:val="20"/>
          <w:szCs w:val="20"/>
        </w:rPr>
        <w:t xml:space="preserve">El municipio debe tomar acciones que permitan preservar el orden público y garantizar a los peatones el libre tránsito por las banquetas, así como garantizar una buena circulación vehicular por las vialidades del municipio. </w:t>
      </w:r>
    </w:p>
    <w:p w14:paraId="3A4744AA" w14:textId="77777777" w:rsidR="009B5E39" w:rsidRDefault="009B5E39" w:rsidP="009B5E39">
      <w:pPr>
        <w:ind w:left="567" w:hanging="567"/>
        <w:jc w:val="both"/>
        <w:rPr>
          <w:rFonts w:ascii="Gotham" w:hAnsi="Gotham"/>
          <w:sz w:val="20"/>
          <w:szCs w:val="20"/>
        </w:rPr>
      </w:pPr>
    </w:p>
    <w:p w14:paraId="3A4744AB" w14:textId="77777777" w:rsidR="009B5E39" w:rsidRPr="00556D44" w:rsidRDefault="009B5E39" w:rsidP="009B5E39">
      <w:pPr>
        <w:ind w:left="567" w:hanging="567"/>
        <w:jc w:val="both"/>
        <w:rPr>
          <w:rFonts w:ascii="Gotham" w:hAnsi="Gotham"/>
          <w:sz w:val="20"/>
          <w:szCs w:val="20"/>
        </w:rPr>
      </w:pPr>
      <w:r w:rsidRPr="00556D44">
        <w:rPr>
          <w:rFonts w:ascii="Gotham" w:hAnsi="Gotham"/>
          <w:sz w:val="20"/>
          <w:szCs w:val="20"/>
        </w:rPr>
        <w:t xml:space="preserve">2. </w:t>
      </w:r>
      <w:r>
        <w:rPr>
          <w:rFonts w:ascii="Gotham" w:hAnsi="Gotham"/>
          <w:sz w:val="20"/>
          <w:szCs w:val="20"/>
        </w:rPr>
        <w:tab/>
      </w:r>
      <w:r w:rsidRPr="00556D44">
        <w:rPr>
          <w:rFonts w:ascii="Gotham" w:hAnsi="Gotham"/>
          <w:sz w:val="20"/>
          <w:szCs w:val="20"/>
        </w:rPr>
        <w:t>Es necesario que los Inspectores del municipio apliquen lo establecido en el Reglamento de Comercio con relación a los puestos fijos y semifijos que se instalan en las distintas vialidades del municipio y en caso de no cumplir con los lineamientos, se sancione, de acuerdo a los establecido en la Ley de Ingresos del Municipio de Tonalá para el ejercicio fiscal 2024.</w:t>
      </w:r>
    </w:p>
    <w:p w14:paraId="3A4744AC" w14:textId="77777777" w:rsidR="009B5E39" w:rsidRPr="00556D44" w:rsidRDefault="009B5E39" w:rsidP="009B5E39">
      <w:pPr>
        <w:jc w:val="both"/>
        <w:rPr>
          <w:rFonts w:ascii="Gotham" w:hAnsi="Gotham"/>
          <w:sz w:val="20"/>
          <w:szCs w:val="20"/>
        </w:rPr>
      </w:pPr>
    </w:p>
    <w:p w14:paraId="3A4744AD" w14:textId="77777777" w:rsidR="009B5E39" w:rsidRPr="00556D44" w:rsidRDefault="009B5E39" w:rsidP="009B5E39">
      <w:pPr>
        <w:jc w:val="center"/>
        <w:rPr>
          <w:rFonts w:ascii="Gotham" w:hAnsi="Gotham"/>
          <w:sz w:val="20"/>
          <w:szCs w:val="20"/>
        </w:rPr>
      </w:pPr>
      <w:r>
        <w:rPr>
          <w:rFonts w:ascii="Gotham" w:hAnsi="Gotham"/>
          <w:sz w:val="20"/>
          <w:szCs w:val="20"/>
        </w:rPr>
        <w:t>ACUERDO</w:t>
      </w:r>
    </w:p>
    <w:p w14:paraId="3A4744AE" w14:textId="77777777" w:rsidR="009B5E39" w:rsidRPr="00556D44" w:rsidRDefault="009B5E39" w:rsidP="009B5E39">
      <w:pPr>
        <w:jc w:val="both"/>
        <w:rPr>
          <w:rFonts w:ascii="Gotham" w:hAnsi="Gotham"/>
          <w:sz w:val="20"/>
          <w:szCs w:val="20"/>
        </w:rPr>
      </w:pPr>
    </w:p>
    <w:p w14:paraId="3A4744AF" w14:textId="77777777" w:rsidR="009B5E39" w:rsidRPr="00556D44" w:rsidRDefault="009B5E39" w:rsidP="009B5E39">
      <w:pPr>
        <w:jc w:val="both"/>
        <w:rPr>
          <w:rFonts w:ascii="Gotham" w:hAnsi="Gotham"/>
          <w:sz w:val="20"/>
          <w:szCs w:val="20"/>
        </w:rPr>
      </w:pPr>
      <w:r w:rsidRPr="00556D44">
        <w:rPr>
          <w:rFonts w:ascii="Gotham" w:hAnsi="Gotham"/>
          <w:sz w:val="20"/>
          <w:szCs w:val="20"/>
        </w:rPr>
        <w:t>PRIMERO. – Se aprueba se Instruya a la Dirección de Inspección y Vigilancia a revisar que los puestos fijos y semifijos que se instalan en el municipio cumplan con lo establecido en el Reglamento de Comercio para el municipio de Tonalá, Jalisco y en caso de no cumplir con los lineamientos, se sancione, de acuerdo a lo establecido en la Ley de Ingresos del Municipio de Tonalá para el ejercicio fiscal 2024.</w:t>
      </w:r>
    </w:p>
    <w:p w14:paraId="3A4744B0" w14:textId="77777777" w:rsidR="009B5E39" w:rsidRPr="00556D44" w:rsidRDefault="009B5E39" w:rsidP="009B5E39">
      <w:pPr>
        <w:jc w:val="both"/>
        <w:rPr>
          <w:rFonts w:ascii="Gotham" w:hAnsi="Gotham"/>
          <w:sz w:val="20"/>
          <w:szCs w:val="20"/>
        </w:rPr>
      </w:pPr>
    </w:p>
    <w:p w14:paraId="3A4744B1" w14:textId="77777777" w:rsidR="009B5E39" w:rsidRPr="00556D44" w:rsidRDefault="009B5E39" w:rsidP="009B5E39">
      <w:pPr>
        <w:jc w:val="both"/>
        <w:rPr>
          <w:rFonts w:ascii="Gotham" w:hAnsi="Gotham"/>
          <w:sz w:val="20"/>
          <w:szCs w:val="20"/>
        </w:rPr>
      </w:pPr>
      <w:r w:rsidRPr="00556D44">
        <w:rPr>
          <w:rFonts w:ascii="Gotham" w:hAnsi="Gotham"/>
          <w:sz w:val="20"/>
          <w:szCs w:val="20"/>
        </w:rPr>
        <w:t>SEGUNDO. - Se faculta al Presidente Municipal, Secretaria General y Sindico del este Ayuntamiento para suscribir la documentación necesaria para efecto de dar cabal cumplimiento al presente acuerdo.</w:t>
      </w:r>
    </w:p>
    <w:p w14:paraId="3A4744B2" w14:textId="77777777" w:rsidR="009B5E39" w:rsidRDefault="009B5E39" w:rsidP="009B5E39">
      <w:pPr>
        <w:jc w:val="both"/>
        <w:rPr>
          <w:rFonts w:ascii="Gotham" w:hAnsi="Gotham"/>
          <w:sz w:val="20"/>
          <w:szCs w:val="20"/>
        </w:rPr>
      </w:pPr>
    </w:p>
    <w:p w14:paraId="3A4744B3"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Continuando con el uso de la voz la Regidora Rocío Acosta Cervantes,</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 xml:space="preserve">agrega que, </w:t>
      </w:r>
      <w:r w:rsidRPr="00AC1F06">
        <w:rPr>
          <w:rFonts w:ascii="Gotham" w:hAnsi="Gotham" w:cs="Arial"/>
          <w:color w:val="000000"/>
          <w:sz w:val="20"/>
          <w:szCs w:val="20"/>
          <w:lang w:eastAsia="es-MX"/>
        </w:rPr>
        <w:t>he observado a últimas fechas que ha habido un aumento considerable de puestos que invaden el arroyo vehicular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vienen siendo toldos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estos toldos regularmente tienen medidas de </w:t>
      </w:r>
      <w:r>
        <w:rPr>
          <w:rFonts w:ascii="Gotham" w:hAnsi="Gotham" w:cs="Arial"/>
          <w:color w:val="000000"/>
          <w:sz w:val="20"/>
          <w:szCs w:val="20"/>
          <w:lang w:eastAsia="es-MX"/>
        </w:rPr>
        <w:t>3</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x</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3</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ó</w:t>
      </w:r>
      <w:r w:rsidRPr="00AC1F06">
        <w:rPr>
          <w:rFonts w:ascii="Gotham" w:hAnsi="Gotham" w:cs="Arial"/>
          <w:color w:val="000000"/>
          <w:sz w:val="20"/>
          <w:szCs w:val="20"/>
          <w:lang w:eastAsia="es-MX"/>
        </w:rPr>
        <w:t xml:space="preserve"> de </w:t>
      </w:r>
      <w:r>
        <w:rPr>
          <w:rFonts w:ascii="Gotham" w:hAnsi="Gotham" w:cs="Arial"/>
          <w:color w:val="000000"/>
          <w:sz w:val="20"/>
          <w:szCs w:val="20"/>
          <w:lang w:eastAsia="es-MX"/>
        </w:rPr>
        <w:t>6</w:t>
      </w:r>
      <w:r w:rsidRPr="00AC1F06">
        <w:rPr>
          <w:rFonts w:ascii="Gotham" w:hAnsi="Gotham" w:cs="Arial"/>
          <w:color w:val="000000"/>
          <w:sz w:val="20"/>
          <w:szCs w:val="20"/>
          <w:lang w:eastAsia="es-MX"/>
        </w:rPr>
        <w:t xml:space="preserve"> por </w:t>
      </w:r>
      <w:r>
        <w:rPr>
          <w:rFonts w:ascii="Gotham" w:hAnsi="Gotham" w:cs="Arial"/>
          <w:color w:val="000000"/>
          <w:sz w:val="20"/>
          <w:szCs w:val="20"/>
          <w:lang w:eastAsia="es-MX"/>
        </w:rPr>
        <w:t>3</w:t>
      </w:r>
      <w:r w:rsidRPr="00AC1F06">
        <w:rPr>
          <w:rFonts w:ascii="Gotham" w:hAnsi="Gotham" w:cs="Arial"/>
          <w:color w:val="000000"/>
          <w:sz w:val="20"/>
          <w:szCs w:val="20"/>
          <w:lang w:eastAsia="es-MX"/>
        </w:rPr>
        <w:t xml:space="preserve"> metros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 cual no concuerda con lo que nosotros tenemos reglamentado en cuanto a las medidas de lo que deben de utilizar quienes tienen </w:t>
      </w:r>
      <w:r>
        <w:rPr>
          <w:rFonts w:ascii="Gotham" w:hAnsi="Gotham" w:cs="Arial"/>
          <w:color w:val="000000"/>
          <w:sz w:val="20"/>
          <w:szCs w:val="20"/>
          <w:lang w:eastAsia="es-MX"/>
        </w:rPr>
        <w:t>c</w:t>
      </w:r>
      <w:r w:rsidRPr="00AC1F06">
        <w:rPr>
          <w:rFonts w:ascii="Gotham" w:hAnsi="Gotham" w:cs="Arial"/>
          <w:color w:val="000000"/>
          <w:sz w:val="20"/>
          <w:szCs w:val="20"/>
          <w:lang w:eastAsia="es-MX"/>
        </w:rPr>
        <w:t>omercio en la vía pública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el sentido de este asunto vario</w:t>
      </w:r>
      <w:r w:rsidRPr="00AC1F06">
        <w:rPr>
          <w:rFonts w:ascii="Gotham" w:hAnsi="Gotham" w:cs="Arial"/>
          <w:color w:val="000000"/>
          <w:sz w:val="20"/>
          <w:szCs w:val="20"/>
          <w:lang w:eastAsia="es-MX"/>
        </w:rPr>
        <w:t xml:space="preserve"> pues es instruir a la dirección porque sabemos que tenemos reglamentos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efectivamente tenemos reglamentos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en ocasiones no se aplica lo que dice el reglamento </w:t>
      </w:r>
      <w:r>
        <w:rPr>
          <w:rFonts w:ascii="Gotham" w:hAnsi="Gotham" w:cs="Arial"/>
          <w:color w:val="000000"/>
          <w:sz w:val="20"/>
          <w:szCs w:val="20"/>
          <w:lang w:eastAsia="es-MX"/>
        </w:rPr>
        <w:t xml:space="preserve">y </w:t>
      </w:r>
      <w:r w:rsidRPr="00AC1F06">
        <w:rPr>
          <w:rFonts w:ascii="Gotham" w:hAnsi="Gotham" w:cs="Arial"/>
          <w:color w:val="000000"/>
          <w:sz w:val="20"/>
          <w:szCs w:val="20"/>
          <w:lang w:eastAsia="es-MX"/>
        </w:rPr>
        <w:t xml:space="preserve">entonces vemos como cada vez </w:t>
      </w:r>
      <w:r>
        <w:rPr>
          <w:rFonts w:ascii="Gotham" w:hAnsi="Gotham" w:cs="Arial"/>
          <w:color w:val="000000"/>
          <w:sz w:val="20"/>
          <w:szCs w:val="20"/>
          <w:lang w:eastAsia="es-MX"/>
        </w:rPr>
        <w:t>má</w:t>
      </w:r>
      <w:r w:rsidRPr="00AC1F06">
        <w:rPr>
          <w:rFonts w:ascii="Gotham" w:hAnsi="Gotham" w:cs="Arial"/>
          <w:color w:val="000000"/>
          <w:sz w:val="20"/>
          <w:szCs w:val="20"/>
          <w:lang w:eastAsia="es-MX"/>
        </w:rPr>
        <w:t>s va en aumento el comercio informal</w:t>
      </w:r>
      <w:r>
        <w:rPr>
          <w:rFonts w:ascii="Gotham" w:hAnsi="Gotham" w:cs="Arial"/>
          <w:color w:val="000000"/>
          <w:sz w:val="20"/>
          <w:szCs w:val="20"/>
          <w:lang w:eastAsia="es-MX"/>
        </w:rPr>
        <w:t>, p</w:t>
      </w:r>
      <w:r w:rsidRPr="00AC1F06">
        <w:rPr>
          <w:rFonts w:ascii="Gotham" w:hAnsi="Gotham" w:cs="Arial"/>
          <w:color w:val="000000"/>
          <w:sz w:val="20"/>
          <w:szCs w:val="20"/>
          <w:lang w:eastAsia="es-MX"/>
        </w:rPr>
        <w:t>ero sabemos que la gente necesita trabajar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ero al menos que no sea un riesgo para las personas que transitan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porque hay calles donde se ponen incluso dos toldos ya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o sea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un toldo por un lado de la </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cera y otro toldo en el otro lado de la </w:t>
      </w:r>
      <w:r>
        <w:rPr>
          <w:rFonts w:ascii="Gotham" w:hAnsi="Gotham" w:cs="Arial"/>
          <w:color w:val="000000"/>
          <w:sz w:val="20"/>
          <w:szCs w:val="20"/>
          <w:lang w:eastAsia="es-MX"/>
        </w:rPr>
        <w:t>a</w:t>
      </w:r>
      <w:r w:rsidRPr="00AC1F06">
        <w:rPr>
          <w:rFonts w:ascii="Gotham" w:hAnsi="Gotham" w:cs="Arial"/>
          <w:color w:val="000000"/>
          <w:sz w:val="20"/>
          <w:szCs w:val="20"/>
          <w:lang w:eastAsia="es-MX"/>
        </w:rPr>
        <w:t>cera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si estamos hablando de una calle de 8 m</w:t>
      </w:r>
      <w:r>
        <w:rPr>
          <w:rFonts w:ascii="Gotham" w:hAnsi="Gotham" w:cs="Arial"/>
          <w:color w:val="000000"/>
          <w:sz w:val="20"/>
          <w:szCs w:val="20"/>
          <w:lang w:eastAsia="es-MX"/>
        </w:rPr>
        <w:t>etros,</w:t>
      </w:r>
      <w:r w:rsidRPr="00AC1F06">
        <w:rPr>
          <w:rFonts w:ascii="Gotham" w:hAnsi="Gotham" w:cs="Arial"/>
          <w:color w:val="000000"/>
          <w:sz w:val="20"/>
          <w:szCs w:val="20"/>
          <w:lang w:eastAsia="es-MX"/>
        </w:rPr>
        <w:t xml:space="preserve"> pues quedan 2 m</w:t>
      </w:r>
      <w:r>
        <w:rPr>
          <w:rFonts w:ascii="Gotham" w:hAnsi="Gotham" w:cs="Arial"/>
          <w:color w:val="000000"/>
          <w:sz w:val="20"/>
          <w:szCs w:val="20"/>
          <w:lang w:eastAsia="es-MX"/>
        </w:rPr>
        <w:t>etros</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para que pase un vehículo y r</w:t>
      </w:r>
      <w:r w:rsidRPr="00AC1F06">
        <w:rPr>
          <w:rFonts w:ascii="Gotham" w:hAnsi="Gotham" w:cs="Arial"/>
          <w:color w:val="000000"/>
          <w:sz w:val="20"/>
          <w:szCs w:val="20"/>
          <w:lang w:eastAsia="es-MX"/>
        </w:rPr>
        <w:t>ealmente está muy peligroso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en ese sentido mi aportación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cu</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nto </w:t>
      </w:r>
      <w:r>
        <w:rPr>
          <w:rFonts w:ascii="Gotham" w:hAnsi="Gotham" w:cs="Arial"/>
          <w:color w:val="000000"/>
          <w:sz w:val="20"/>
          <w:szCs w:val="20"/>
          <w:lang w:eastAsia="es-MX"/>
        </w:rPr>
        <w:t>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p>
    <w:p w14:paraId="3A4744B4" w14:textId="77777777" w:rsidR="009B5E39" w:rsidRDefault="009B5E39" w:rsidP="009B5E39">
      <w:pPr>
        <w:jc w:val="both"/>
        <w:rPr>
          <w:rFonts w:ascii="Gotham" w:hAnsi="Gotham" w:cs="Arial"/>
          <w:color w:val="000000"/>
          <w:sz w:val="20"/>
          <w:szCs w:val="20"/>
          <w:lang w:eastAsia="es-MX"/>
        </w:rPr>
      </w:pPr>
    </w:p>
    <w:p w14:paraId="3A4744B5"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Presidente Municipal, Sergio Armando Chávez Dávalos, expresa que, muchas gracias Regidora.</w:t>
      </w:r>
    </w:p>
    <w:p w14:paraId="3A4744B6" w14:textId="77777777" w:rsidR="009B5E39" w:rsidRDefault="009B5E39" w:rsidP="009B5E39">
      <w:pPr>
        <w:jc w:val="both"/>
        <w:rPr>
          <w:rFonts w:ascii="Gotham" w:hAnsi="Gotham" w:cs="Arial"/>
          <w:color w:val="000000"/>
          <w:sz w:val="20"/>
          <w:szCs w:val="20"/>
          <w:lang w:eastAsia="es-MX"/>
        </w:rPr>
      </w:pPr>
    </w:p>
    <w:p w14:paraId="3A4744B7" w14:textId="77777777" w:rsidR="009B5E39" w:rsidRDefault="009B5E39" w:rsidP="009B5E39">
      <w:pPr>
        <w:shd w:val="clear" w:color="auto" w:fill="FFFFFF"/>
        <w:jc w:val="both"/>
        <w:rPr>
          <w:rFonts w:ascii="Gotham" w:hAnsi="Gotham" w:cs="Arial"/>
          <w:color w:val="000000"/>
          <w:sz w:val="20"/>
          <w:szCs w:val="20"/>
          <w:lang w:eastAsia="es-MX"/>
        </w:rPr>
      </w:pPr>
      <w:r>
        <w:rPr>
          <w:rFonts w:ascii="Gotham" w:hAnsi="Gotham" w:cs="Arial"/>
          <w:color w:val="000000"/>
          <w:sz w:val="20"/>
          <w:szCs w:val="20"/>
          <w:lang w:eastAsia="es-MX"/>
        </w:rPr>
        <w:t>En uso de la voz la Regidora Rocío Acosta Cervantes, manifiesta que, si me permite Presidente, nada más el punto que toqué no s</w:t>
      </w:r>
      <w:r w:rsidRPr="00AC1F06">
        <w:rPr>
          <w:rFonts w:ascii="Gotham" w:hAnsi="Gotham" w:cs="Arial"/>
          <w:color w:val="000000"/>
          <w:sz w:val="20"/>
          <w:szCs w:val="20"/>
          <w:lang w:eastAsia="es-MX"/>
        </w:rPr>
        <w:t xml:space="preserve">e </w:t>
      </w:r>
      <w:r>
        <w:rPr>
          <w:rFonts w:ascii="Gotham" w:hAnsi="Gotham" w:cs="Arial"/>
          <w:color w:val="000000"/>
          <w:sz w:val="20"/>
          <w:szCs w:val="20"/>
          <w:lang w:eastAsia="es-MX"/>
        </w:rPr>
        <w:t xml:space="preserve">ha sometido a </w:t>
      </w:r>
      <w:r w:rsidRPr="00AC1F06">
        <w:rPr>
          <w:rFonts w:ascii="Gotham" w:hAnsi="Gotham" w:cs="Arial"/>
          <w:color w:val="000000"/>
          <w:sz w:val="20"/>
          <w:szCs w:val="20"/>
          <w:lang w:eastAsia="es-MX"/>
        </w:rPr>
        <w:t>votación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proofErr w:type="gramStart"/>
      <w:r>
        <w:rPr>
          <w:rFonts w:ascii="Gotham" w:hAnsi="Gotham" w:cs="Arial"/>
          <w:color w:val="000000"/>
          <w:sz w:val="20"/>
          <w:szCs w:val="20"/>
          <w:lang w:eastAsia="es-MX"/>
        </w:rPr>
        <w:t>¿</w:t>
      </w:r>
      <w:proofErr w:type="gramEnd"/>
      <w:r>
        <w:rPr>
          <w:rFonts w:ascii="Gotham" w:hAnsi="Gotham" w:cs="Arial"/>
          <w:color w:val="000000"/>
          <w:sz w:val="20"/>
          <w:szCs w:val="20"/>
          <w:lang w:eastAsia="es-MX"/>
        </w:rPr>
        <w:t>c</w:t>
      </w:r>
      <w:r w:rsidRPr="00AC1F06">
        <w:rPr>
          <w:rFonts w:ascii="Gotham" w:hAnsi="Gotham" w:cs="Arial"/>
          <w:color w:val="000000"/>
          <w:sz w:val="20"/>
          <w:szCs w:val="20"/>
          <w:lang w:eastAsia="es-MX"/>
        </w:rPr>
        <w:t xml:space="preserve">ómo quedaría </w:t>
      </w:r>
      <w:r>
        <w:rPr>
          <w:rFonts w:ascii="Gotham" w:hAnsi="Gotham" w:cs="Arial"/>
          <w:color w:val="000000"/>
          <w:sz w:val="20"/>
          <w:szCs w:val="20"/>
          <w:lang w:eastAsia="es-MX"/>
        </w:rPr>
        <w:t xml:space="preserve">lo </w:t>
      </w:r>
      <w:r w:rsidRPr="00AC1F06">
        <w:rPr>
          <w:rFonts w:ascii="Gotham" w:hAnsi="Gotham" w:cs="Arial"/>
          <w:color w:val="000000"/>
          <w:sz w:val="20"/>
          <w:szCs w:val="20"/>
          <w:lang w:eastAsia="es-MX"/>
        </w:rPr>
        <w:t xml:space="preserve">de que se instruya </w:t>
      </w:r>
      <w:r>
        <w:rPr>
          <w:rFonts w:ascii="Gotham" w:hAnsi="Gotham" w:cs="Arial"/>
          <w:color w:val="000000"/>
          <w:sz w:val="20"/>
          <w:szCs w:val="20"/>
          <w:lang w:eastAsia="es-MX"/>
        </w:rPr>
        <w:t>a la dirección de I</w:t>
      </w:r>
      <w:r w:rsidRPr="00AC1F06">
        <w:rPr>
          <w:rFonts w:ascii="Gotham" w:hAnsi="Gotham" w:cs="Arial"/>
          <w:color w:val="000000"/>
          <w:sz w:val="20"/>
          <w:szCs w:val="20"/>
          <w:lang w:eastAsia="es-MX"/>
        </w:rPr>
        <w:t xml:space="preserve">nspección y </w:t>
      </w:r>
      <w:r>
        <w:rPr>
          <w:rFonts w:ascii="Gotham" w:hAnsi="Gotham" w:cs="Arial"/>
          <w:color w:val="000000"/>
          <w:sz w:val="20"/>
          <w:szCs w:val="20"/>
          <w:lang w:eastAsia="es-MX"/>
        </w:rPr>
        <w:t>V</w:t>
      </w:r>
      <w:r w:rsidRPr="00AC1F06">
        <w:rPr>
          <w:rFonts w:ascii="Gotham" w:hAnsi="Gotham" w:cs="Arial"/>
          <w:color w:val="000000"/>
          <w:sz w:val="20"/>
          <w:szCs w:val="20"/>
          <w:lang w:eastAsia="es-MX"/>
        </w:rPr>
        <w:t>igilancia</w:t>
      </w:r>
      <w:r>
        <w:rPr>
          <w:rFonts w:ascii="Gotham" w:hAnsi="Gotham" w:cs="Arial"/>
          <w:color w:val="000000"/>
          <w:sz w:val="20"/>
          <w:szCs w:val="20"/>
          <w:lang w:eastAsia="es-MX"/>
        </w:rPr>
        <w:t>.</w:t>
      </w:r>
    </w:p>
    <w:p w14:paraId="3A4744B8" w14:textId="77777777" w:rsidR="009B5E39" w:rsidRDefault="009B5E39" w:rsidP="009B5E39">
      <w:pPr>
        <w:shd w:val="clear" w:color="auto" w:fill="FFFFFF"/>
        <w:jc w:val="both"/>
        <w:rPr>
          <w:rFonts w:ascii="Gotham" w:hAnsi="Gotham" w:cs="Arial"/>
          <w:color w:val="000000"/>
          <w:sz w:val="20"/>
          <w:szCs w:val="20"/>
          <w:lang w:eastAsia="es-MX"/>
        </w:rPr>
      </w:pPr>
    </w:p>
    <w:p w14:paraId="3A4744B9" w14:textId="77777777" w:rsidR="009B5E39" w:rsidRDefault="009B5E39" w:rsidP="009B5E39">
      <w:pPr>
        <w:shd w:val="clear" w:color="auto" w:fill="FFFFFF"/>
        <w:jc w:val="both"/>
        <w:rPr>
          <w:rFonts w:ascii="Gotham" w:hAnsi="Gotham" w:cs="Arial"/>
          <w:color w:val="000000"/>
          <w:sz w:val="20"/>
          <w:szCs w:val="20"/>
          <w:lang w:eastAsia="es-MX"/>
        </w:rPr>
      </w:pPr>
      <w:r>
        <w:rPr>
          <w:rFonts w:ascii="Gotham" w:hAnsi="Gotham" w:cs="Arial"/>
          <w:color w:val="000000"/>
          <w:sz w:val="20"/>
          <w:szCs w:val="20"/>
          <w:lang w:eastAsia="es-MX"/>
        </w:rPr>
        <w:t>En uso de la voz el Presidente Municipal, Sergio Armando Chávez Dávalos, menciona que,</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s</w:t>
      </w:r>
      <w:r w:rsidRPr="00AC1F06">
        <w:rPr>
          <w:rFonts w:ascii="Gotham" w:hAnsi="Gotham" w:cs="Arial"/>
          <w:color w:val="000000"/>
          <w:sz w:val="20"/>
          <w:szCs w:val="20"/>
          <w:lang w:eastAsia="es-MX"/>
        </w:rPr>
        <w:t>í</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precisamente va de la mano </w:t>
      </w:r>
      <w:r>
        <w:rPr>
          <w:rFonts w:ascii="Gotham" w:hAnsi="Gotham" w:cs="Arial"/>
          <w:color w:val="000000"/>
          <w:sz w:val="20"/>
          <w:szCs w:val="20"/>
          <w:lang w:eastAsia="es-MX"/>
        </w:rPr>
        <w:t>R</w:t>
      </w:r>
      <w:r w:rsidRPr="00AC1F06">
        <w:rPr>
          <w:rFonts w:ascii="Gotham" w:hAnsi="Gotham" w:cs="Arial"/>
          <w:color w:val="000000"/>
          <w:sz w:val="20"/>
          <w:szCs w:val="20"/>
          <w:lang w:eastAsia="es-MX"/>
        </w:rPr>
        <w:t>egidora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w:t>
      </w:r>
      <w:r>
        <w:rPr>
          <w:rFonts w:ascii="Gotham" w:hAnsi="Gotham" w:cs="Arial"/>
          <w:color w:val="000000"/>
          <w:sz w:val="20"/>
          <w:szCs w:val="20"/>
          <w:lang w:eastAsia="es-MX"/>
        </w:rPr>
        <w:t xml:space="preserve">la iniciativa que les voy a presentar, </w:t>
      </w:r>
      <w:r w:rsidRPr="00AC1F06">
        <w:rPr>
          <w:rFonts w:ascii="Gotham" w:hAnsi="Gotham" w:cs="Arial"/>
          <w:color w:val="000000"/>
          <w:sz w:val="20"/>
          <w:szCs w:val="20"/>
          <w:lang w:eastAsia="es-MX"/>
        </w:rPr>
        <w:t>si me lo permite</w:t>
      </w:r>
      <w:r>
        <w:rPr>
          <w:rFonts w:ascii="Gotham" w:hAnsi="Gotham" w:cs="Arial"/>
          <w:color w:val="000000"/>
          <w:sz w:val="20"/>
          <w:szCs w:val="20"/>
          <w:lang w:eastAsia="es-MX"/>
        </w:rPr>
        <w:t>, y</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d</w:t>
      </w:r>
      <w:r w:rsidRPr="00AC1F06">
        <w:rPr>
          <w:rFonts w:ascii="Gotham" w:hAnsi="Gotham" w:cs="Arial"/>
          <w:color w:val="000000"/>
          <w:sz w:val="20"/>
          <w:szCs w:val="20"/>
          <w:lang w:eastAsia="es-MX"/>
        </w:rPr>
        <w:t>e ahí nos va a dar la respuesta y de la ruta que tene</w:t>
      </w:r>
      <w:r>
        <w:rPr>
          <w:rFonts w:ascii="Gotham" w:hAnsi="Gotham" w:cs="Arial"/>
          <w:color w:val="000000"/>
          <w:sz w:val="20"/>
          <w:szCs w:val="20"/>
          <w:lang w:eastAsia="es-MX"/>
        </w:rPr>
        <w:t>mos que tomar.</w:t>
      </w:r>
      <w:r w:rsidRPr="00AC1F06">
        <w:rPr>
          <w:rFonts w:ascii="Gotham" w:hAnsi="Gotham" w:cs="Arial"/>
          <w:color w:val="000000"/>
          <w:sz w:val="20"/>
          <w:szCs w:val="20"/>
          <w:lang w:eastAsia="es-MX"/>
        </w:rPr>
        <w:t> </w:t>
      </w:r>
    </w:p>
    <w:p w14:paraId="3A4744BA" w14:textId="77777777" w:rsidR="009B5E39" w:rsidRDefault="009B5E39" w:rsidP="009B5E39">
      <w:pPr>
        <w:shd w:val="clear" w:color="auto" w:fill="FFFFFF"/>
        <w:jc w:val="both"/>
        <w:rPr>
          <w:rFonts w:ascii="Gotham" w:hAnsi="Gotham" w:cs="Arial"/>
          <w:color w:val="000000"/>
          <w:sz w:val="20"/>
          <w:szCs w:val="20"/>
          <w:lang w:eastAsia="es-MX"/>
        </w:rPr>
      </w:pPr>
    </w:p>
    <w:p w14:paraId="3A4744BB" w14:textId="77777777" w:rsidR="009B5E39" w:rsidRDefault="009B5E39" w:rsidP="009B5E39">
      <w:pPr>
        <w:shd w:val="clear" w:color="auto" w:fill="FFFFFF"/>
        <w:jc w:val="both"/>
        <w:rPr>
          <w:rFonts w:ascii="Gotham" w:hAnsi="Gotham" w:cs="Arial"/>
          <w:color w:val="000000"/>
          <w:sz w:val="20"/>
          <w:szCs w:val="20"/>
          <w:lang w:eastAsia="es-MX"/>
        </w:rPr>
      </w:pPr>
      <w:r>
        <w:rPr>
          <w:rFonts w:ascii="Gotham" w:hAnsi="Gotham" w:cs="Arial"/>
          <w:color w:val="000000"/>
          <w:sz w:val="20"/>
          <w:szCs w:val="20"/>
          <w:lang w:eastAsia="es-MX"/>
        </w:rPr>
        <w:t>En uso de la voz la Regidora Rocío Acosta Cervantes, manifiesta que, gracias Presidente, n</w:t>
      </w:r>
      <w:r w:rsidRPr="00AC1F06">
        <w:rPr>
          <w:rFonts w:ascii="Gotham" w:hAnsi="Gotham" w:cs="Arial"/>
          <w:color w:val="000000"/>
          <w:sz w:val="20"/>
          <w:szCs w:val="20"/>
          <w:lang w:eastAsia="es-MX"/>
        </w:rPr>
        <w:t xml:space="preserve">ada más insistir un poquito en el tema </w:t>
      </w:r>
      <w:r>
        <w:rPr>
          <w:rFonts w:ascii="Gotham" w:hAnsi="Gotham" w:cs="Arial"/>
          <w:color w:val="000000"/>
          <w:sz w:val="20"/>
          <w:szCs w:val="20"/>
          <w:lang w:eastAsia="es-MX"/>
        </w:rPr>
        <w:t>del asunto vario que presenté</w:t>
      </w:r>
      <w:r w:rsidRPr="00AC1F06">
        <w:rPr>
          <w:rFonts w:ascii="Gotham" w:hAnsi="Gotham" w:cs="Arial"/>
          <w:color w:val="000000"/>
          <w:sz w:val="20"/>
          <w:szCs w:val="20"/>
          <w:lang w:eastAsia="es-MX"/>
        </w:rPr>
        <w:t xml:space="preserve"> si pudiera quedar como una acción ejecutiva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se pudiera instruir a los inspectores para que se aplique el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eglamento de </w:t>
      </w:r>
      <w:r>
        <w:rPr>
          <w:rFonts w:ascii="Gotham" w:hAnsi="Gotham" w:cs="Arial"/>
          <w:color w:val="000000"/>
          <w:sz w:val="20"/>
          <w:szCs w:val="20"/>
          <w:lang w:eastAsia="es-MX"/>
        </w:rPr>
        <w:t>C</w:t>
      </w:r>
      <w:r w:rsidRPr="00AC1F06">
        <w:rPr>
          <w:rFonts w:ascii="Gotham" w:hAnsi="Gotham" w:cs="Arial"/>
          <w:color w:val="000000"/>
          <w:sz w:val="20"/>
          <w:szCs w:val="20"/>
          <w:lang w:eastAsia="es-MX"/>
        </w:rPr>
        <w:t>omercio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entiendo que se va a hacer esta reforma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w:t>
      </w:r>
      <w:r>
        <w:rPr>
          <w:rFonts w:ascii="Gotham" w:hAnsi="Gotham" w:cs="Arial"/>
          <w:color w:val="000000"/>
          <w:sz w:val="20"/>
          <w:szCs w:val="20"/>
          <w:lang w:eastAsia="es-MX"/>
        </w:rPr>
        <w:t xml:space="preserve">considero que </w:t>
      </w:r>
      <w:r w:rsidRPr="00AC1F06">
        <w:rPr>
          <w:rFonts w:ascii="Gotham" w:hAnsi="Gotham" w:cs="Arial"/>
          <w:color w:val="000000"/>
          <w:sz w:val="20"/>
          <w:szCs w:val="20"/>
          <w:lang w:eastAsia="es-MX"/>
        </w:rPr>
        <w:t>con el reglamento que tenemos actualmente sí establece las medidas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ntonces que se pudiera quedar como una acción ejecutiva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w:t>
      </w:r>
      <w:proofErr w:type="spellStart"/>
      <w:r>
        <w:rPr>
          <w:rFonts w:ascii="Gotham" w:hAnsi="Gotham" w:cs="Arial"/>
          <w:color w:val="000000"/>
          <w:sz w:val="20"/>
          <w:szCs w:val="20"/>
          <w:lang w:eastAsia="es-MX"/>
        </w:rPr>
        <w:t>cuanto</w:t>
      </w:r>
      <w:proofErr w:type="spellEnd"/>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p>
    <w:p w14:paraId="3A4744BC" w14:textId="77777777" w:rsidR="009B5E39" w:rsidRDefault="009B5E39" w:rsidP="009B5E39">
      <w:pPr>
        <w:shd w:val="clear" w:color="auto" w:fill="FFFFFF"/>
        <w:jc w:val="both"/>
        <w:rPr>
          <w:rFonts w:ascii="Gotham" w:hAnsi="Gotham" w:cs="Arial"/>
          <w:color w:val="000000"/>
          <w:sz w:val="20"/>
          <w:szCs w:val="20"/>
          <w:lang w:eastAsia="es-MX"/>
        </w:rPr>
      </w:pPr>
    </w:p>
    <w:p w14:paraId="3A4744BD" w14:textId="77777777" w:rsidR="009B5E39" w:rsidRPr="00AC1F06" w:rsidRDefault="009B5E39" w:rsidP="009B5E39">
      <w:pPr>
        <w:shd w:val="clear" w:color="auto" w:fill="FFFFFF"/>
        <w:jc w:val="both"/>
        <w:rPr>
          <w:rFonts w:ascii="Gotham" w:hAnsi="Gotham" w:cs="Arial"/>
          <w:color w:val="222222"/>
          <w:sz w:val="20"/>
          <w:szCs w:val="20"/>
          <w:lang w:eastAsia="es-MX"/>
        </w:rPr>
      </w:pPr>
      <w:r>
        <w:rPr>
          <w:rFonts w:ascii="Gotham" w:hAnsi="Gotham" w:cs="Arial"/>
          <w:color w:val="000000"/>
          <w:sz w:val="20"/>
          <w:szCs w:val="20"/>
          <w:lang w:eastAsia="es-MX"/>
        </w:rPr>
        <w:t xml:space="preserve">En uso de la voz el Presidente Municipal, Sergio Armando Chávez Dávalos, señala que, me comentan </w:t>
      </w:r>
      <w:r w:rsidRPr="00AC1F06">
        <w:rPr>
          <w:rFonts w:ascii="Gotham" w:hAnsi="Gotham" w:cs="Arial"/>
          <w:color w:val="000000"/>
          <w:sz w:val="20"/>
          <w:szCs w:val="20"/>
          <w:lang w:eastAsia="es-MX"/>
        </w:rPr>
        <w:t>que es el resultado de haber quitado los parquímetros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algo va a la par en esa parte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fíjense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digo </w:t>
      </w:r>
      <w:r>
        <w:rPr>
          <w:rFonts w:ascii="Gotham" w:hAnsi="Gotham" w:cs="Arial"/>
          <w:color w:val="000000"/>
          <w:sz w:val="20"/>
          <w:szCs w:val="20"/>
          <w:lang w:eastAsia="es-MX"/>
        </w:rPr>
        <w:t>p</w:t>
      </w:r>
      <w:r w:rsidRPr="00AC1F06">
        <w:rPr>
          <w:rFonts w:ascii="Gotham" w:hAnsi="Gotham" w:cs="Arial"/>
          <w:color w:val="000000"/>
          <w:sz w:val="20"/>
          <w:szCs w:val="20"/>
          <w:lang w:eastAsia="es-MX"/>
        </w:rPr>
        <w:t>erdón que me extienda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c</w:t>
      </w:r>
      <w:r>
        <w:rPr>
          <w:rFonts w:ascii="Gotham" w:hAnsi="Gotham" w:cs="Arial"/>
          <w:color w:val="000000"/>
          <w:sz w:val="20"/>
          <w:szCs w:val="20"/>
          <w:lang w:eastAsia="es-MX"/>
        </w:rPr>
        <w:t>ó</w:t>
      </w:r>
      <w:r w:rsidRPr="00AC1F06">
        <w:rPr>
          <w:rFonts w:ascii="Gotham" w:hAnsi="Gotham" w:cs="Arial"/>
          <w:color w:val="000000"/>
          <w:sz w:val="20"/>
          <w:szCs w:val="20"/>
          <w:lang w:eastAsia="es-MX"/>
        </w:rPr>
        <w:t>mo una acción genera otra reacción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digo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con el respeto y aquí alguien lo comentaba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la gente tiene necesidad de llevar un sustento a su casa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también no podemos </w:t>
      </w:r>
      <w:r>
        <w:rPr>
          <w:rFonts w:ascii="Gotham" w:hAnsi="Gotham" w:cs="Arial"/>
          <w:color w:val="000000"/>
          <w:sz w:val="20"/>
          <w:szCs w:val="20"/>
          <w:lang w:eastAsia="es-MX"/>
        </w:rPr>
        <w:t xml:space="preserve">llenar, y </w:t>
      </w:r>
      <w:r w:rsidRPr="00AC1F06">
        <w:rPr>
          <w:rFonts w:ascii="Gotham" w:hAnsi="Gotham" w:cs="Arial"/>
          <w:color w:val="000000"/>
          <w:sz w:val="20"/>
          <w:szCs w:val="20"/>
          <w:lang w:eastAsia="es-MX"/>
        </w:rPr>
        <w:t>menos el centro histórico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 poder generar concesiones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no sé si por una </w:t>
      </w:r>
      <w:r>
        <w:rPr>
          <w:rFonts w:ascii="Gotham" w:hAnsi="Gotham" w:cs="Arial"/>
          <w:color w:val="000000"/>
          <w:sz w:val="20"/>
          <w:szCs w:val="20"/>
          <w:lang w:eastAsia="es-MX"/>
        </w:rPr>
        <w:t>dádiva o</w:t>
      </w:r>
      <w:r w:rsidRPr="00AC1F06">
        <w:rPr>
          <w:rFonts w:ascii="Gotham" w:hAnsi="Gotham" w:cs="Arial"/>
          <w:color w:val="000000"/>
          <w:sz w:val="20"/>
          <w:szCs w:val="20"/>
          <w:lang w:eastAsia="es-MX"/>
        </w:rPr>
        <w:t xml:space="preserve"> por lo que ustedes </w:t>
      </w:r>
      <w:r>
        <w:rPr>
          <w:rFonts w:ascii="Gotham" w:hAnsi="Gotham" w:cs="Arial"/>
          <w:color w:val="000000"/>
          <w:sz w:val="20"/>
          <w:szCs w:val="20"/>
          <w:lang w:eastAsia="es-MX"/>
        </w:rPr>
        <w:t>cr</w:t>
      </w:r>
      <w:r w:rsidRPr="00AC1F06">
        <w:rPr>
          <w:rFonts w:ascii="Gotham" w:hAnsi="Gotham" w:cs="Arial"/>
          <w:color w:val="000000"/>
          <w:sz w:val="20"/>
          <w:szCs w:val="20"/>
          <w:lang w:eastAsia="es-MX"/>
        </w:rPr>
        <w:t>eamos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esa parte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si bien es cierto nuestra hegemonía es el comercio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qué bueno</w:t>
      </w:r>
      <w:r>
        <w:rPr>
          <w:rFonts w:ascii="Gotham" w:hAnsi="Gotham" w:cs="Arial"/>
          <w:color w:val="000000"/>
          <w:sz w:val="20"/>
          <w:szCs w:val="20"/>
          <w:lang w:eastAsia="es-MX"/>
        </w:rPr>
        <w:t>, y</w:t>
      </w:r>
      <w:r w:rsidRPr="00AC1F06">
        <w:rPr>
          <w:rFonts w:ascii="Gotham" w:hAnsi="Gotham" w:cs="Arial"/>
          <w:color w:val="000000"/>
          <w:sz w:val="20"/>
          <w:szCs w:val="20"/>
          <w:lang w:eastAsia="es-MX"/>
        </w:rPr>
        <w:t>a otros municipios quisieran tener el 5% del comercio que tenemos en todas las colonias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también tenemos que pues poner un orden a partir de un reglamento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las reglas del juego son diferentes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bienvenido el comercio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bienvenido el comprador</w:t>
      </w:r>
      <w:r>
        <w:rPr>
          <w:rFonts w:ascii="Gotham" w:hAnsi="Gotham" w:cs="Arial"/>
          <w:color w:val="000000"/>
          <w:sz w:val="20"/>
          <w:szCs w:val="20"/>
          <w:lang w:eastAsia="es-MX"/>
        </w:rPr>
        <w:t>, pero también d</w:t>
      </w:r>
      <w:r w:rsidRPr="00AC1F06">
        <w:rPr>
          <w:rFonts w:ascii="Gotham" w:hAnsi="Gotham" w:cs="Arial"/>
          <w:color w:val="000000"/>
          <w:sz w:val="20"/>
          <w:szCs w:val="20"/>
          <w:lang w:eastAsia="es-MX"/>
        </w:rPr>
        <w:t>ebe de haber un tema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lo reviso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 aplico de manera ejecutiva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en la medida que le pongamos más empeño y más tinta a este reglamento de comercio con las ideas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nunca legislar de una manera dirigido a un tema particular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siempre legislar un tema general para poderlo aplicar y evitar que haya dimes y diretes en esa parte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gusto </w:t>
      </w:r>
      <w:r>
        <w:rPr>
          <w:rFonts w:ascii="Gotham" w:hAnsi="Gotham" w:cs="Arial"/>
          <w:color w:val="000000"/>
          <w:sz w:val="20"/>
          <w:szCs w:val="20"/>
          <w:lang w:eastAsia="es-MX"/>
        </w:rPr>
        <w:t>R</w:t>
      </w:r>
      <w:r w:rsidRPr="00AC1F06">
        <w:rPr>
          <w:rFonts w:ascii="Gotham" w:hAnsi="Gotham" w:cs="Arial"/>
          <w:color w:val="000000"/>
          <w:sz w:val="20"/>
          <w:szCs w:val="20"/>
          <w:lang w:eastAsia="es-MX"/>
        </w:rPr>
        <w:t>egidora Acosta</w:t>
      </w:r>
      <w:r>
        <w:rPr>
          <w:rFonts w:ascii="Gotham" w:hAnsi="Gotham" w:cs="Arial"/>
          <w:color w:val="000000"/>
          <w:sz w:val="20"/>
          <w:szCs w:val="20"/>
          <w:lang w:eastAsia="es-MX"/>
        </w:rPr>
        <w:t>.</w:t>
      </w:r>
    </w:p>
    <w:p w14:paraId="3A4744BE" w14:textId="77777777" w:rsidR="009B5E39" w:rsidRPr="00622008" w:rsidRDefault="009B5E39" w:rsidP="009B5E39">
      <w:pPr>
        <w:jc w:val="both"/>
        <w:rPr>
          <w:rFonts w:ascii="Gotham" w:hAnsi="Gotham"/>
          <w:sz w:val="20"/>
          <w:szCs w:val="20"/>
        </w:rPr>
      </w:pPr>
    </w:p>
    <w:p w14:paraId="3A4744BF" w14:textId="77777777" w:rsidR="009B5E39" w:rsidRPr="00556D44" w:rsidRDefault="009B5E39" w:rsidP="009B5E39">
      <w:pPr>
        <w:jc w:val="both"/>
        <w:rPr>
          <w:rFonts w:ascii="Gotham" w:hAnsi="Gotham"/>
          <w:sz w:val="20"/>
          <w:szCs w:val="20"/>
        </w:rPr>
      </w:pPr>
    </w:p>
    <w:p w14:paraId="3A4744C0" w14:textId="77777777" w:rsidR="009B5E39" w:rsidRDefault="009B5E39" w:rsidP="009B5E39">
      <w:pPr>
        <w:jc w:val="both"/>
        <w:rPr>
          <w:rFonts w:ascii="Gotham" w:hAnsi="Gotham" w:cs="Arial"/>
          <w:color w:val="000000"/>
          <w:sz w:val="20"/>
          <w:szCs w:val="20"/>
          <w:lang w:eastAsia="es-MX"/>
        </w:rPr>
      </w:pPr>
      <w:r>
        <w:rPr>
          <w:rFonts w:ascii="Gotham" w:hAnsi="Gotham"/>
          <w:b/>
          <w:smallCaps/>
          <w:sz w:val="20"/>
          <w:szCs w:val="20"/>
        </w:rPr>
        <w:t>Quinto</w:t>
      </w:r>
      <w:r w:rsidRPr="008C2CA2">
        <w:rPr>
          <w:rFonts w:ascii="Gotham" w:hAnsi="Gotham"/>
          <w:b/>
          <w:smallCaps/>
          <w:sz w:val="20"/>
          <w:szCs w:val="20"/>
        </w:rPr>
        <w:t xml:space="preserve"> Asunto Vario</w:t>
      </w:r>
      <w:r w:rsidRPr="008C2CA2">
        <w:rPr>
          <w:rFonts w:ascii="Gotham" w:hAnsi="Gotham"/>
          <w:b/>
          <w:sz w:val="20"/>
          <w:szCs w:val="20"/>
        </w:rPr>
        <w:t>.-</w:t>
      </w:r>
      <w:r w:rsidRPr="008C2CA2">
        <w:rPr>
          <w:rFonts w:ascii="Gotham" w:hAnsi="Gotham"/>
          <w:sz w:val="20"/>
          <w:szCs w:val="20"/>
        </w:rPr>
        <w:t xml:space="preserve"> </w:t>
      </w:r>
      <w:r>
        <w:rPr>
          <w:rFonts w:ascii="Gotham" w:hAnsi="Gotham"/>
          <w:sz w:val="20"/>
          <w:szCs w:val="20"/>
        </w:rPr>
        <w:t>En uso de la voz el Regidor Edgar Oswaldo Bañales Orozco,</w:t>
      </w:r>
      <w:r w:rsidRPr="00AC0C2A">
        <w:rPr>
          <w:rFonts w:ascii="Gotham" w:hAnsi="Gotham" w:cs="Arial"/>
          <w:sz w:val="20"/>
          <w:szCs w:val="20"/>
        </w:rPr>
        <w:t xml:space="preserve"> señala que,</w:t>
      </w:r>
      <w:r>
        <w:rPr>
          <w:rFonts w:ascii="Gotham" w:hAnsi="Gotham" w:cs="Arial"/>
          <w:sz w:val="20"/>
          <w:szCs w:val="20"/>
        </w:rPr>
        <w:t xml:space="preserve"> con su venia Presidente, buena tarde a todos. Presidente, para hacer dos comentarios, el primero, felicitarte por el triunfo electoral, a ti y al partido político que tú encabezas, deseando que</w:t>
      </w:r>
      <w:r w:rsidRPr="00AC0C2A">
        <w:rPr>
          <w:rFonts w:ascii="Gotham" w:hAnsi="Gotham" w:cs="Arial"/>
          <w:sz w:val="20"/>
          <w:szCs w:val="20"/>
        </w:rPr>
        <w:t xml:space="preserve"> </w:t>
      </w:r>
      <w:r w:rsidRPr="00AC1F06">
        <w:rPr>
          <w:rFonts w:ascii="Gotham" w:hAnsi="Gotham" w:cs="Arial"/>
          <w:color w:val="000000"/>
          <w:sz w:val="20"/>
          <w:szCs w:val="20"/>
          <w:lang w:eastAsia="es-MX"/>
        </w:rPr>
        <w:t>los trabajos beneficien al</w:t>
      </w:r>
      <w:r>
        <w:rPr>
          <w:rFonts w:ascii="Gotham" w:hAnsi="Gotham" w:cs="Arial"/>
          <w:color w:val="000000"/>
          <w:sz w:val="20"/>
          <w:szCs w:val="20"/>
          <w:lang w:eastAsia="es-MX"/>
        </w:rPr>
        <w:t xml:space="preserve"> M</w:t>
      </w:r>
      <w:r w:rsidRPr="00AC1F06">
        <w:rPr>
          <w:rFonts w:ascii="Gotham" w:hAnsi="Gotham" w:cs="Arial"/>
          <w:color w:val="000000"/>
          <w:sz w:val="20"/>
          <w:szCs w:val="20"/>
          <w:lang w:eastAsia="es-MX"/>
        </w:rPr>
        <w:t>unicipio de Tonalá</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el periodo que esté aquí a</w:t>
      </w:r>
      <w:r>
        <w:rPr>
          <w:rFonts w:ascii="Gotham" w:hAnsi="Gotham" w:cs="Arial"/>
          <w:color w:val="000000"/>
          <w:sz w:val="20"/>
          <w:szCs w:val="20"/>
          <w:lang w:eastAsia="es-MX"/>
        </w:rPr>
        <w:t>un colaborando como R</w:t>
      </w:r>
      <w:r w:rsidRPr="00AC1F06">
        <w:rPr>
          <w:rFonts w:ascii="Gotham" w:hAnsi="Gotham" w:cs="Arial"/>
          <w:color w:val="000000"/>
          <w:sz w:val="20"/>
          <w:szCs w:val="20"/>
          <w:lang w:eastAsia="es-MX"/>
        </w:rPr>
        <w:t>egidor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siempre procuraré apoyar </w:t>
      </w:r>
      <w:r>
        <w:rPr>
          <w:rFonts w:ascii="Gotham" w:hAnsi="Gotham" w:cs="Arial"/>
          <w:color w:val="000000"/>
          <w:sz w:val="20"/>
          <w:szCs w:val="20"/>
          <w:lang w:eastAsia="es-MX"/>
        </w:rPr>
        <w:t xml:space="preserve">y </w:t>
      </w:r>
      <w:r w:rsidRPr="00AC1F06">
        <w:rPr>
          <w:rFonts w:ascii="Gotham" w:hAnsi="Gotham" w:cs="Arial"/>
          <w:color w:val="000000"/>
          <w:sz w:val="20"/>
          <w:szCs w:val="20"/>
          <w:lang w:eastAsia="es-MX"/>
        </w:rPr>
        <w:t>colaborar en todo el beneficio para Tonalá y para quienes aquí vivimos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m</w:t>
      </w:r>
      <w:r w:rsidRPr="00AC1F06">
        <w:rPr>
          <w:rFonts w:ascii="Gotham" w:hAnsi="Gotham" w:cs="Arial"/>
          <w:color w:val="000000"/>
          <w:sz w:val="20"/>
          <w:szCs w:val="20"/>
          <w:lang w:eastAsia="es-MX"/>
        </w:rPr>
        <w:t>uchas felicidades a ti y a todos los que participaron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lo personal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muchas</w:t>
      </w:r>
      <w:r>
        <w:rPr>
          <w:rFonts w:ascii="Gotham" w:hAnsi="Gotham" w:cs="Arial"/>
          <w:color w:val="000000"/>
          <w:sz w:val="20"/>
          <w:szCs w:val="20"/>
          <w:lang w:eastAsia="es-MX"/>
        </w:rPr>
        <w:t xml:space="preserve"> gracias a Javier también como P</w:t>
      </w:r>
      <w:r w:rsidRPr="00AC1F06">
        <w:rPr>
          <w:rFonts w:ascii="Gotham" w:hAnsi="Gotham" w:cs="Arial"/>
          <w:color w:val="000000"/>
          <w:sz w:val="20"/>
          <w:szCs w:val="20"/>
          <w:lang w:eastAsia="es-MX"/>
        </w:rPr>
        <w:t xml:space="preserve">residente </w:t>
      </w:r>
      <w:r>
        <w:rPr>
          <w:rFonts w:ascii="Gotham" w:hAnsi="Gotham" w:cs="Arial"/>
          <w:color w:val="000000"/>
          <w:sz w:val="20"/>
          <w:szCs w:val="20"/>
          <w:lang w:eastAsia="es-MX"/>
        </w:rPr>
        <w:t>I</w:t>
      </w:r>
      <w:r w:rsidRPr="00AC1F06">
        <w:rPr>
          <w:rFonts w:ascii="Gotham" w:hAnsi="Gotham" w:cs="Arial"/>
          <w:color w:val="000000"/>
          <w:sz w:val="20"/>
          <w:szCs w:val="20"/>
          <w:lang w:eastAsia="es-MX"/>
        </w:rPr>
        <w:t>nterino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tuvo muy buenas atenciones hacia un servidor y hacia la comunidad en general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 cual </w:t>
      </w:r>
      <w:r>
        <w:rPr>
          <w:rFonts w:ascii="Gotham" w:hAnsi="Gotham" w:cs="Arial"/>
          <w:color w:val="000000"/>
          <w:sz w:val="20"/>
          <w:szCs w:val="20"/>
          <w:lang w:eastAsia="es-MX"/>
        </w:rPr>
        <w:t>q</w:t>
      </w:r>
      <w:r w:rsidRPr="00AC1F06">
        <w:rPr>
          <w:rFonts w:ascii="Gotham" w:hAnsi="Gotham" w:cs="Arial"/>
          <w:color w:val="000000"/>
          <w:sz w:val="20"/>
          <w:szCs w:val="20"/>
          <w:lang w:eastAsia="es-MX"/>
        </w:rPr>
        <w:t>uiero agradecer como excandidato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también a </w:t>
      </w:r>
      <w:r>
        <w:rPr>
          <w:rFonts w:ascii="Gotham" w:hAnsi="Gotham" w:cs="Arial"/>
          <w:color w:val="000000"/>
          <w:sz w:val="20"/>
          <w:szCs w:val="20"/>
          <w:lang w:eastAsia="es-MX"/>
        </w:rPr>
        <w:t>q</w:t>
      </w:r>
      <w:r w:rsidRPr="00AC1F06">
        <w:rPr>
          <w:rFonts w:ascii="Gotham" w:hAnsi="Gotham" w:cs="Arial"/>
          <w:color w:val="000000"/>
          <w:sz w:val="20"/>
          <w:szCs w:val="20"/>
          <w:lang w:eastAsia="es-MX"/>
        </w:rPr>
        <w:t>uienes participaron de este pleno como candidatos a diputados y a otras participaciones que tuvieron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su solidaridad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su apoyo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su compromiso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su respeto que tuvimos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bueno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ya las campañas pasaron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h</w:t>
      </w:r>
      <w:r w:rsidRPr="00AC1F06">
        <w:rPr>
          <w:rFonts w:ascii="Gotham" w:hAnsi="Gotham" w:cs="Arial"/>
          <w:color w:val="000000"/>
          <w:sz w:val="20"/>
          <w:szCs w:val="20"/>
          <w:lang w:eastAsia="es-MX"/>
        </w:rPr>
        <w:t xml:space="preserve">oy está la etapa de </w:t>
      </w:r>
      <w:r>
        <w:rPr>
          <w:rFonts w:ascii="Gotham" w:hAnsi="Gotham" w:cs="Arial"/>
          <w:color w:val="000000"/>
          <w:sz w:val="20"/>
          <w:szCs w:val="20"/>
          <w:lang w:eastAsia="es-MX"/>
        </w:rPr>
        <w:t>c</w:t>
      </w:r>
      <w:r w:rsidRPr="00AC1F06">
        <w:rPr>
          <w:rFonts w:ascii="Gotham" w:hAnsi="Gotham" w:cs="Arial"/>
          <w:color w:val="000000"/>
          <w:sz w:val="20"/>
          <w:szCs w:val="20"/>
          <w:lang w:eastAsia="es-MX"/>
        </w:rPr>
        <w:t xml:space="preserve">ómo sumar y en ese </w:t>
      </w:r>
      <w:r>
        <w:rPr>
          <w:rFonts w:ascii="Gotham" w:hAnsi="Gotham" w:cs="Arial"/>
          <w:color w:val="000000"/>
          <w:sz w:val="20"/>
          <w:szCs w:val="20"/>
          <w:lang w:eastAsia="es-MX"/>
        </w:rPr>
        <w:t>c</w:t>
      </w:r>
      <w:r w:rsidRPr="00AC1F06">
        <w:rPr>
          <w:rFonts w:ascii="Gotham" w:hAnsi="Gotham" w:cs="Arial"/>
          <w:color w:val="000000"/>
          <w:sz w:val="20"/>
          <w:szCs w:val="20"/>
          <w:lang w:eastAsia="es-MX"/>
        </w:rPr>
        <w:t xml:space="preserve">ómo sumar </w:t>
      </w:r>
      <w:r>
        <w:rPr>
          <w:rFonts w:ascii="Gotham" w:hAnsi="Gotham" w:cs="Arial"/>
          <w:color w:val="000000"/>
          <w:sz w:val="20"/>
          <w:szCs w:val="20"/>
          <w:lang w:eastAsia="es-MX"/>
        </w:rPr>
        <w:t>y</w:t>
      </w:r>
      <w:r w:rsidRPr="00AC1F06">
        <w:rPr>
          <w:rFonts w:ascii="Gotham" w:hAnsi="Gotham" w:cs="Arial"/>
          <w:color w:val="000000"/>
          <w:sz w:val="20"/>
          <w:szCs w:val="20"/>
          <w:lang w:eastAsia="es-MX"/>
        </w:rPr>
        <w:t xml:space="preserve"> cómo colaborar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ues aquí estoy en lo personal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f</w:t>
      </w:r>
      <w:r w:rsidRPr="00AC1F06">
        <w:rPr>
          <w:rFonts w:ascii="Gotham" w:hAnsi="Gotham" w:cs="Arial"/>
          <w:color w:val="000000"/>
          <w:sz w:val="20"/>
          <w:szCs w:val="20"/>
          <w:lang w:eastAsia="es-MX"/>
        </w:rPr>
        <w:t>elicidades por eso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bueno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estos días que re</w:t>
      </w:r>
      <w:r>
        <w:rPr>
          <w:rFonts w:ascii="Gotham" w:hAnsi="Gotham" w:cs="Arial"/>
          <w:color w:val="000000"/>
          <w:sz w:val="20"/>
          <w:szCs w:val="20"/>
          <w:lang w:eastAsia="es-MX"/>
        </w:rPr>
        <w:t>gres</w:t>
      </w:r>
      <w:r w:rsidRPr="00AC1F06">
        <w:rPr>
          <w:rFonts w:ascii="Gotham" w:hAnsi="Gotham" w:cs="Arial"/>
          <w:color w:val="000000"/>
          <w:sz w:val="20"/>
          <w:szCs w:val="20"/>
          <w:lang w:eastAsia="es-MX"/>
        </w:rPr>
        <w:t>é a la oficina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he estado atendiendo</w:t>
      </w:r>
      <w:r>
        <w:rPr>
          <w:rFonts w:ascii="Gotham" w:hAnsi="Gotham" w:cs="Arial"/>
          <w:color w:val="000000"/>
          <w:sz w:val="20"/>
          <w:szCs w:val="20"/>
          <w:lang w:eastAsia="es-MX"/>
        </w:rPr>
        <w:t xml:space="preserve"> a </w:t>
      </w:r>
      <w:r w:rsidRPr="00AC1F06">
        <w:rPr>
          <w:rFonts w:ascii="Gotham" w:hAnsi="Gotham" w:cs="Arial"/>
          <w:color w:val="000000"/>
          <w:sz w:val="20"/>
          <w:szCs w:val="20"/>
          <w:lang w:eastAsia="es-MX"/>
        </w:rPr>
        <w:t>muchos ciudadanos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hoy pensaba no tratar este asunto pero creo que no se pudo resolver </w:t>
      </w:r>
      <w:r>
        <w:rPr>
          <w:rFonts w:ascii="Gotham" w:hAnsi="Gotham" w:cs="Arial"/>
          <w:color w:val="000000"/>
          <w:sz w:val="20"/>
          <w:szCs w:val="20"/>
          <w:lang w:eastAsia="es-MX"/>
        </w:rPr>
        <w:t>y</w:t>
      </w:r>
      <w:r w:rsidRPr="00AC1F06">
        <w:rPr>
          <w:rFonts w:ascii="Gotham" w:hAnsi="Gotham" w:cs="Arial"/>
          <w:color w:val="000000"/>
          <w:sz w:val="20"/>
          <w:szCs w:val="20"/>
          <w:lang w:eastAsia="es-MX"/>
        </w:rPr>
        <w:t xml:space="preserve"> quisiera pedirte que en el ámbito de las acciones ejecutivas pudieras </w:t>
      </w:r>
      <w:r>
        <w:rPr>
          <w:rFonts w:ascii="Gotham" w:hAnsi="Gotham" w:cs="Arial"/>
          <w:color w:val="000000"/>
          <w:sz w:val="20"/>
          <w:szCs w:val="20"/>
          <w:lang w:eastAsia="es-MX"/>
        </w:rPr>
        <w:t xml:space="preserve">girar </w:t>
      </w:r>
      <w:r w:rsidRPr="00AC1F06">
        <w:rPr>
          <w:rFonts w:ascii="Gotham" w:hAnsi="Gotham" w:cs="Arial"/>
          <w:color w:val="000000"/>
          <w:sz w:val="20"/>
          <w:szCs w:val="20"/>
          <w:lang w:eastAsia="es-MX"/>
        </w:rPr>
        <w:t xml:space="preserve">las instrucciones debido a que en la colonia </w:t>
      </w:r>
      <w:r>
        <w:rPr>
          <w:rFonts w:ascii="Gotham" w:hAnsi="Gotham" w:cs="Arial"/>
          <w:color w:val="000000"/>
          <w:sz w:val="20"/>
          <w:szCs w:val="20"/>
          <w:lang w:eastAsia="es-MX"/>
        </w:rPr>
        <w:t>I</w:t>
      </w:r>
      <w:r w:rsidRPr="00AC1F06">
        <w:rPr>
          <w:rFonts w:ascii="Gotham" w:hAnsi="Gotham" w:cs="Arial"/>
          <w:color w:val="000000"/>
          <w:sz w:val="20"/>
          <w:szCs w:val="20"/>
          <w:lang w:eastAsia="es-MX"/>
        </w:rPr>
        <w:t>nfonavit se ha suscitado una problemática por los cajones de estacionamiento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te lo había comentado por la mañana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pensé que ya habían llegado a un buen acuerdo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sobre todo las autoridades municipales que han intervenido y ese acuerdo no se logró</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tiene que ver con que se hace apropiación del espacio </w:t>
      </w:r>
      <w:r>
        <w:rPr>
          <w:rFonts w:ascii="Gotham" w:hAnsi="Gotham" w:cs="Arial"/>
          <w:color w:val="000000"/>
          <w:sz w:val="20"/>
          <w:szCs w:val="20"/>
          <w:lang w:eastAsia="es-MX"/>
        </w:rPr>
        <w:t>p</w:t>
      </w:r>
      <w:r w:rsidRPr="00AC1F06">
        <w:rPr>
          <w:rFonts w:ascii="Gotham" w:hAnsi="Gotham" w:cs="Arial"/>
          <w:color w:val="000000"/>
          <w:sz w:val="20"/>
          <w:szCs w:val="20"/>
          <w:lang w:eastAsia="es-MX"/>
        </w:rPr>
        <w:t>úblico de manera inadecuada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indebida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donde por un lado clausura</w:t>
      </w:r>
      <w:r>
        <w:rPr>
          <w:rFonts w:ascii="Gotham" w:hAnsi="Gotham" w:cs="Arial"/>
          <w:color w:val="000000"/>
          <w:sz w:val="20"/>
          <w:szCs w:val="20"/>
          <w:lang w:eastAsia="es-MX"/>
        </w:rPr>
        <w:t>n</w:t>
      </w:r>
      <w:r w:rsidRPr="00AC1F06">
        <w:rPr>
          <w:rFonts w:ascii="Gotham" w:hAnsi="Gotham" w:cs="Arial"/>
          <w:color w:val="000000"/>
          <w:sz w:val="20"/>
          <w:szCs w:val="20"/>
          <w:lang w:eastAsia="es-MX"/>
        </w:rPr>
        <w:t xml:space="preserve"> a los ciudadanos que son propietarios de un departamento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son copropietarios de las áreas de uso común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como son los estacionamientos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fueron </w:t>
      </w:r>
      <w:r>
        <w:rPr>
          <w:rFonts w:ascii="Gotham" w:hAnsi="Gotham" w:cs="Arial"/>
          <w:color w:val="000000"/>
          <w:sz w:val="20"/>
          <w:szCs w:val="20"/>
          <w:lang w:eastAsia="es-MX"/>
        </w:rPr>
        <w:t xml:space="preserve">y </w:t>
      </w:r>
      <w:r w:rsidRPr="00AC1F06">
        <w:rPr>
          <w:rFonts w:ascii="Gotham" w:hAnsi="Gotham" w:cs="Arial"/>
          <w:color w:val="000000"/>
          <w:sz w:val="20"/>
          <w:szCs w:val="20"/>
          <w:lang w:eastAsia="es-MX"/>
        </w:rPr>
        <w:t>l</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 clausura</w:t>
      </w:r>
      <w:r>
        <w:rPr>
          <w:rFonts w:ascii="Gotham" w:hAnsi="Gotham" w:cs="Arial"/>
          <w:color w:val="000000"/>
          <w:sz w:val="20"/>
          <w:szCs w:val="20"/>
          <w:lang w:eastAsia="es-MX"/>
        </w:rPr>
        <w:t xml:space="preserve">ron en </w:t>
      </w:r>
      <w:r w:rsidRPr="00AC1F06">
        <w:rPr>
          <w:rFonts w:ascii="Gotham" w:hAnsi="Gotham" w:cs="Arial"/>
          <w:color w:val="000000"/>
          <w:sz w:val="20"/>
          <w:szCs w:val="20"/>
          <w:lang w:eastAsia="es-MX"/>
        </w:rPr>
        <w:t>particular a una persona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 petición de otro vecino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el vecino que solicitó la clausura de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al parecer no tiene vehículo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sí quiso que le clausuraran </w:t>
      </w:r>
      <w:r>
        <w:rPr>
          <w:rFonts w:ascii="Gotham" w:hAnsi="Gotham" w:cs="Arial"/>
          <w:color w:val="000000"/>
          <w:sz w:val="20"/>
          <w:szCs w:val="20"/>
          <w:lang w:eastAsia="es-MX"/>
        </w:rPr>
        <w:t>a él por colocar una j</w:t>
      </w:r>
      <w:r w:rsidRPr="00AC1F06">
        <w:rPr>
          <w:rFonts w:ascii="Gotham" w:hAnsi="Gotham" w:cs="Arial"/>
          <w:color w:val="000000"/>
          <w:sz w:val="20"/>
          <w:szCs w:val="20"/>
          <w:lang w:eastAsia="es-MX"/>
        </w:rPr>
        <w:t>aula de esas de alambrado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q</w:t>
      </w:r>
      <w:r w:rsidRPr="00AC1F06">
        <w:rPr>
          <w:rFonts w:ascii="Gotham" w:hAnsi="Gotham" w:cs="Arial"/>
          <w:color w:val="000000"/>
          <w:sz w:val="20"/>
          <w:szCs w:val="20"/>
          <w:lang w:eastAsia="es-MX"/>
        </w:rPr>
        <w:t>ue obviamente es inadecuado eso también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é</w:t>
      </w:r>
      <w:r w:rsidRPr="00AC1F06">
        <w:rPr>
          <w:rFonts w:ascii="Gotham" w:hAnsi="Gotham" w:cs="Arial"/>
          <w:color w:val="000000"/>
          <w:sz w:val="20"/>
          <w:szCs w:val="20"/>
          <w:lang w:eastAsia="es-MX"/>
        </w:rPr>
        <w:t xml:space="preserve">l </w:t>
      </w:r>
      <w:r>
        <w:rPr>
          <w:rFonts w:ascii="Gotham" w:hAnsi="Gotham" w:cs="Arial"/>
          <w:color w:val="000000"/>
          <w:sz w:val="20"/>
          <w:szCs w:val="20"/>
          <w:lang w:eastAsia="es-MX"/>
        </w:rPr>
        <w:t>a</w:t>
      </w:r>
      <w:r w:rsidRPr="00AC1F06">
        <w:rPr>
          <w:rFonts w:ascii="Gotham" w:hAnsi="Gotham" w:cs="Arial"/>
          <w:color w:val="000000"/>
          <w:sz w:val="20"/>
          <w:szCs w:val="20"/>
          <w:lang w:eastAsia="es-MX"/>
        </w:rPr>
        <w:t>rgumenta por razones de seguridad que le han robado la computadora de su vehículo yendo en dos ocasiones y</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bueno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el detalle es que ya evolucionó el problema y resulta que hay ahí comerciantes que tienen haciendo uso de cajones de estacionamiento en esa misma unidad habitacional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esa </w:t>
      </w:r>
      <w:r>
        <w:rPr>
          <w:rFonts w:ascii="Gotham" w:hAnsi="Gotham" w:cs="Arial"/>
          <w:color w:val="000000"/>
          <w:sz w:val="20"/>
          <w:szCs w:val="20"/>
          <w:lang w:eastAsia="es-MX"/>
        </w:rPr>
        <w:t>t</w:t>
      </w:r>
      <w:r w:rsidRPr="00AC1F06">
        <w:rPr>
          <w:rFonts w:ascii="Gotham" w:hAnsi="Gotham" w:cs="Arial"/>
          <w:color w:val="000000"/>
          <w:sz w:val="20"/>
          <w:szCs w:val="20"/>
          <w:lang w:eastAsia="es-MX"/>
        </w:rPr>
        <w:t>orre en particular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y</w:t>
      </w:r>
      <w:r w:rsidRPr="00AC1F06">
        <w:rPr>
          <w:rFonts w:ascii="Gotham" w:hAnsi="Gotham" w:cs="Arial"/>
          <w:color w:val="000000"/>
          <w:sz w:val="20"/>
          <w:szCs w:val="20"/>
          <w:lang w:eastAsia="es-MX"/>
        </w:rPr>
        <w:t xml:space="preserve"> entonces los ánimos ya están muy acelerados porque por una parte los vecinos exigen que si se va a clausurar</w:t>
      </w:r>
      <w:r>
        <w:rPr>
          <w:rFonts w:ascii="Gotham" w:hAnsi="Gotham" w:cs="Arial"/>
          <w:color w:val="000000"/>
          <w:sz w:val="20"/>
          <w:szCs w:val="20"/>
          <w:lang w:eastAsia="es-MX"/>
        </w:rPr>
        <w:t>, pues se clausure</w:t>
      </w:r>
      <w:r w:rsidRPr="00AC1F06">
        <w:rPr>
          <w:rFonts w:ascii="Gotham" w:hAnsi="Gotham" w:cs="Arial"/>
          <w:color w:val="000000"/>
          <w:sz w:val="20"/>
          <w:szCs w:val="20"/>
          <w:lang w:eastAsia="es-MX"/>
        </w:rPr>
        <w:t xml:space="preserve"> a todos</w:t>
      </w:r>
      <w:r>
        <w:rPr>
          <w:rFonts w:ascii="Gotham" w:hAnsi="Gotham" w:cs="Arial"/>
          <w:color w:val="000000"/>
          <w:sz w:val="20"/>
          <w:szCs w:val="20"/>
          <w:lang w:eastAsia="es-MX"/>
        </w:rPr>
        <w:t>, y ahora ya es a todos</w:t>
      </w:r>
      <w:r w:rsidRPr="00AC1F06">
        <w:rPr>
          <w:rFonts w:ascii="Gotham" w:hAnsi="Gotham" w:cs="Arial"/>
          <w:color w:val="000000"/>
          <w:sz w:val="20"/>
          <w:szCs w:val="20"/>
          <w:lang w:eastAsia="es-MX"/>
        </w:rPr>
        <w:t xml:space="preserve"> en el fraccionamiento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sí quisiera pedirte que con las áreas que dependen del gobierno pudieran echarse un vistazo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analizar bien esa situación y antes de seguir evolucionando en un conflicto que se puede resolver por medios alternos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nos </w:t>
      </w:r>
      <w:r w:rsidRPr="00AC1F06">
        <w:rPr>
          <w:rFonts w:ascii="Gotham" w:hAnsi="Gotham" w:cs="Arial"/>
          <w:color w:val="000000"/>
          <w:sz w:val="20"/>
          <w:szCs w:val="20"/>
          <w:lang w:eastAsia="es-MX"/>
        </w:rPr>
        <w:lastRenderedPageBreak/>
        <w:t>metan a llevar a cabo ciertas acciones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si se va a clausurar a un particular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w:t>
      </w:r>
      <w:r>
        <w:rPr>
          <w:rFonts w:ascii="Gotham" w:hAnsi="Gotham" w:cs="Arial"/>
          <w:color w:val="000000"/>
          <w:sz w:val="20"/>
          <w:szCs w:val="20"/>
          <w:lang w:eastAsia="es-MX"/>
        </w:rPr>
        <w:t>ues</w:t>
      </w:r>
      <w:r w:rsidRPr="00AC1F06">
        <w:rPr>
          <w:rFonts w:ascii="Gotham" w:hAnsi="Gotham" w:cs="Arial"/>
          <w:color w:val="000000"/>
          <w:sz w:val="20"/>
          <w:szCs w:val="20"/>
          <w:lang w:eastAsia="es-MX"/>
        </w:rPr>
        <w:t xml:space="preserve"> la justicia no puede ser para unos y para otros 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se tiene que aplicar la justicia de manera general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además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quienes hacen uso de esos espacios que no son copropietarios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arrendatarios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arrendadores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entonces tendrían que buscarse otras opciones y otros lugares y empezar a liberar el espacio público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é</w:t>
      </w:r>
      <w:r w:rsidRPr="00AC1F06">
        <w:rPr>
          <w:rFonts w:ascii="Gotham" w:hAnsi="Gotham" w:cs="Arial"/>
          <w:color w:val="000000"/>
          <w:sz w:val="20"/>
          <w:szCs w:val="20"/>
          <w:lang w:eastAsia="es-MX"/>
        </w:rPr>
        <w:t>sa es la petición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cuanto a los vecinos me solicitaron </w:t>
      </w:r>
      <w:r>
        <w:rPr>
          <w:rFonts w:ascii="Gotham" w:hAnsi="Gotham" w:cs="Arial"/>
          <w:color w:val="000000"/>
          <w:sz w:val="20"/>
          <w:szCs w:val="20"/>
          <w:lang w:eastAsia="es-MX"/>
        </w:rPr>
        <w:t>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quienes fueron clausurados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ya pagaron la multa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el problema sigue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intervención tuya que pudieras decirnos con quién canalizo a las personas para que este conflicto pueda solucionarse de una manera más amigable y no se altere ni la paz ni la tranquilidad social en dicha comunidad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porque ya los comerciantes están </w:t>
      </w:r>
      <w:r>
        <w:rPr>
          <w:rFonts w:ascii="Gotham" w:hAnsi="Gotham" w:cs="Arial"/>
          <w:color w:val="000000"/>
          <w:sz w:val="20"/>
          <w:szCs w:val="20"/>
          <w:lang w:eastAsia="es-MX"/>
        </w:rPr>
        <w:t>contra los habitantes de la t</w:t>
      </w:r>
      <w:r w:rsidRPr="00AC1F06">
        <w:rPr>
          <w:rFonts w:ascii="Gotham" w:hAnsi="Gotham" w:cs="Arial"/>
          <w:color w:val="000000"/>
          <w:sz w:val="20"/>
          <w:szCs w:val="20"/>
          <w:lang w:eastAsia="es-MX"/>
        </w:rPr>
        <w:t>orre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los mismos habitantes peleándose por los cajones de estacion</w:t>
      </w:r>
      <w:r>
        <w:rPr>
          <w:rFonts w:ascii="Gotham" w:hAnsi="Gotham" w:cs="Arial"/>
          <w:color w:val="000000"/>
          <w:sz w:val="20"/>
          <w:szCs w:val="20"/>
          <w:lang w:eastAsia="es-MX"/>
        </w:rPr>
        <w:t>amiento y el detalle es que en I</w:t>
      </w:r>
      <w:r w:rsidRPr="00AC1F06">
        <w:rPr>
          <w:rFonts w:ascii="Gotham" w:hAnsi="Gotham" w:cs="Arial"/>
          <w:color w:val="000000"/>
          <w:sz w:val="20"/>
          <w:szCs w:val="20"/>
          <w:lang w:eastAsia="es-MX"/>
        </w:rPr>
        <w:t>nfonavit pues si eso sucede ahí</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puede contaminar el ánimo social y afectar ahí </w:t>
      </w:r>
      <w:r>
        <w:rPr>
          <w:rFonts w:ascii="Gotham" w:hAnsi="Gotham" w:cs="Arial"/>
          <w:color w:val="000000"/>
          <w:sz w:val="20"/>
          <w:szCs w:val="20"/>
          <w:lang w:eastAsia="es-MX"/>
        </w:rPr>
        <w:t>Loma Dorada</w:t>
      </w:r>
      <w:r w:rsidRPr="00AC1F06">
        <w:rPr>
          <w:rFonts w:ascii="Gotham" w:hAnsi="Gotham" w:cs="Arial"/>
          <w:color w:val="000000"/>
          <w:sz w:val="20"/>
          <w:szCs w:val="20"/>
          <w:lang w:eastAsia="es-MX"/>
        </w:rPr>
        <w:t xml:space="preserve"> y muchas circunstancias muy similares que se tendría que pensar cómo darle un reordenamiento urbano a ese tipo de situaciones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ésa es la petición en concreto 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virtud de que hoy no se resolvió</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me pidieron los vecinos que lo presentara</w:t>
      </w:r>
      <w:r>
        <w:rPr>
          <w:rFonts w:ascii="Gotham" w:hAnsi="Gotham" w:cs="Arial"/>
          <w:color w:val="000000"/>
          <w:sz w:val="20"/>
          <w:szCs w:val="20"/>
          <w:lang w:eastAsia="es-MX"/>
        </w:rPr>
        <w:t xml:space="preserve"> e</w:t>
      </w:r>
      <w:r w:rsidRPr="00AC1F06">
        <w:rPr>
          <w:rFonts w:ascii="Gotham" w:hAnsi="Gotham" w:cs="Arial"/>
          <w:color w:val="000000"/>
          <w:sz w:val="20"/>
          <w:szCs w:val="20"/>
          <w:lang w:eastAsia="es-MX"/>
        </w:rPr>
        <w:t>n el pleno para ellos tener una posibilidad de encontrar una mesa de diálogo más amplia de la solución de este conflicto</w:t>
      </w:r>
      <w:r>
        <w:rPr>
          <w:rFonts w:ascii="Gotham" w:hAnsi="Gotham" w:cs="Arial"/>
          <w:color w:val="000000"/>
          <w:sz w:val="20"/>
          <w:szCs w:val="20"/>
          <w:lang w:eastAsia="es-MX"/>
        </w:rPr>
        <w:t>.</w:t>
      </w:r>
    </w:p>
    <w:p w14:paraId="3A4744C1" w14:textId="77777777" w:rsidR="009B5E39" w:rsidRDefault="009B5E39" w:rsidP="009B5E39">
      <w:pPr>
        <w:jc w:val="both"/>
        <w:rPr>
          <w:rFonts w:ascii="Gotham" w:hAnsi="Gotham" w:cs="Arial"/>
          <w:color w:val="000000"/>
          <w:sz w:val="20"/>
          <w:szCs w:val="20"/>
          <w:lang w:eastAsia="es-MX"/>
        </w:rPr>
      </w:pPr>
    </w:p>
    <w:p w14:paraId="3A4744C2"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Presidente Municipal, Sergio Armando Chávez Dávalos, expresa que, con gusto R</w:t>
      </w:r>
      <w:r w:rsidRPr="00AC1F06">
        <w:rPr>
          <w:rFonts w:ascii="Gotham" w:hAnsi="Gotham" w:cs="Arial"/>
          <w:color w:val="000000"/>
          <w:sz w:val="20"/>
          <w:szCs w:val="20"/>
          <w:lang w:eastAsia="es-MX"/>
        </w:rPr>
        <w:t>egidor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instruy</w:t>
      </w:r>
      <w:r>
        <w:rPr>
          <w:rFonts w:ascii="Gotham" w:hAnsi="Gotham" w:cs="Arial"/>
          <w:color w:val="000000"/>
          <w:sz w:val="20"/>
          <w:szCs w:val="20"/>
          <w:lang w:eastAsia="es-MX"/>
        </w:rPr>
        <w:t>o</w:t>
      </w:r>
      <w:r w:rsidRPr="00AC1F06">
        <w:rPr>
          <w:rFonts w:ascii="Gotham" w:hAnsi="Gotham" w:cs="Arial"/>
          <w:color w:val="000000"/>
          <w:sz w:val="20"/>
          <w:szCs w:val="20"/>
          <w:lang w:eastAsia="es-MX"/>
        </w:rPr>
        <w:t xml:space="preserve"> por favor a la secretario general para que mañana mismo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mañana jueves a las 10 de la mañana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de manera económica le </w:t>
      </w:r>
      <w:r>
        <w:rPr>
          <w:rFonts w:ascii="Gotham" w:hAnsi="Gotham" w:cs="Arial"/>
          <w:color w:val="000000"/>
          <w:sz w:val="20"/>
          <w:szCs w:val="20"/>
          <w:lang w:eastAsia="es-MX"/>
        </w:rPr>
        <w:t>indique el domicilio R</w:t>
      </w:r>
      <w:r w:rsidRPr="00AC1F06">
        <w:rPr>
          <w:rFonts w:ascii="Gotham" w:hAnsi="Gotham" w:cs="Arial"/>
          <w:color w:val="000000"/>
          <w:sz w:val="20"/>
          <w:szCs w:val="20"/>
          <w:lang w:eastAsia="es-MX"/>
        </w:rPr>
        <w:t xml:space="preserve">egidor a la </w:t>
      </w:r>
      <w:r>
        <w:rPr>
          <w:rFonts w:ascii="Gotham" w:hAnsi="Gotham" w:cs="Arial"/>
          <w:color w:val="000000"/>
          <w:sz w:val="20"/>
          <w:szCs w:val="20"/>
          <w:lang w:eastAsia="es-MX"/>
        </w:rPr>
        <w:t>Secretaria,</w:t>
      </w:r>
      <w:r w:rsidRPr="00AC1F06">
        <w:rPr>
          <w:rFonts w:ascii="Gotham" w:hAnsi="Gotham" w:cs="Arial"/>
          <w:color w:val="000000"/>
          <w:sz w:val="20"/>
          <w:szCs w:val="20"/>
          <w:lang w:eastAsia="es-MX"/>
        </w:rPr>
        <w:t xml:space="preserve"> para que</w:t>
      </w:r>
      <w:r>
        <w:rPr>
          <w:rFonts w:ascii="Gotham" w:hAnsi="Gotham" w:cs="Arial"/>
          <w:color w:val="000000"/>
          <w:sz w:val="20"/>
          <w:szCs w:val="20"/>
          <w:lang w:eastAsia="es-MX"/>
        </w:rPr>
        <w:t xml:space="preserve"> ella personalmente esté</w:t>
      </w:r>
      <w:r w:rsidRPr="00AC1F06">
        <w:rPr>
          <w:rFonts w:ascii="Gotham" w:hAnsi="Gotham" w:cs="Arial"/>
          <w:color w:val="000000"/>
          <w:sz w:val="20"/>
          <w:szCs w:val="20"/>
          <w:lang w:eastAsia="es-MX"/>
        </w:rPr>
        <w:t xml:space="preserve"> mañana en el punto con los vecinos que vaya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l personal de </w:t>
      </w:r>
      <w:r>
        <w:rPr>
          <w:rFonts w:ascii="Gotham" w:hAnsi="Gotham" w:cs="Arial"/>
          <w:color w:val="000000"/>
          <w:sz w:val="20"/>
          <w:szCs w:val="20"/>
          <w:lang w:eastAsia="es-MX"/>
        </w:rPr>
        <w:t>I</w:t>
      </w:r>
      <w:r w:rsidRPr="00AC1F06">
        <w:rPr>
          <w:rFonts w:ascii="Gotham" w:hAnsi="Gotham" w:cs="Arial"/>
          <w:color w:val="000000"/>
          <w:sz w:val="20"/>
          <w:szCs w:val="20"/>
          <w:lang w:eastAsia="es-MX"/>
        </w:rPr>
        <w:t>nspección y que lleguen a buenos términos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sabemos que estas jaulas de años</w:t>
      </w:r>
      <w:r>
        <w:rPr>
          <w:rFonts w:ascii="Gotham" w:hAnsi="Gotham" w:cs="Arial"/>
          <w:color w:val="000000"/>
          <w:sz w:val="20"/>
          <w:szCs w:val="20"/>
          <w:lang w:eastAsia="es-MX"/>
        </w:rPr>
        <w:t>, y no nada más en Tonalá,</w:t>
      </w:r>
      <w:r w:rsidRPr="00AC1F06">
        <w:rPr>
          <w:rFonts w:ascii="Gotham" w:hAnsi="Gotham" w:cs="Arial"/>
          <w:color w:val="000000"/>
          <w:sz w:val="20"/>
          <w:szCs w:val="20"/>
          <w:lang w:eastAsia="es-MX"/>
        </w:rPr>
        <w:t xml:space="preserve"> en cualquier zona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cualquier f</w:t>
      </w:r>
      <w:r>
        <w:rPr>
          <w:rFonts w:ascii="Gotham" w:hAnsi="Gotham" w:cs="Arial"/>
          <w:color w:val="000000"/>
          <w:sz w:val="20"/>
          <w:szCs w:val="20"/>
          <w:lang w:eastAsia="es-MX"/>
        </w:rPr>
        <w:t>rac</w:t>
      </w:r>
      <w:r w:rsidRPr="00AC1F06">
        <w:rPr>
          <w:rFonts w:ascii="Gotham" w:hAnsi="Gotham" w:cs="Arial"/>
          <w:color w:val="000000"/>
          <w:sz w:val="20"/>
          <w:szCs w:val="20"/>
          <w:lang w:eastAsia="es-MX"/>
        </w:rPr>
        <w:t xml:space="preserve">cionamiento de la ciudad de cualquier </w:t>
      </w:r>
      <w:r>
        <w:rPr>
          <w:rFonts w:ascii="Gotham" w:hAnsi="Gotham" w:cs="Arial"/>
          <w:color w:val="000000"/>
          <w:sz w:val="20"/>
          <w:szCs w:val="20"/>
          <w:lang w:eastAsia="es-MX"/>
        </w:rPr>
        <w:t xml:space="preserve">municipio, se ha venido haciendo </w:t>
      </w:r>
      <w:r w:rsidRPr="00AC1F06">
        <w:rPr>
          <w:rFonts w:ascii="Gotham" w:hAnsi="Gotham" w:cs="Arial"/>
          <w:color w:val="000000"/>
          <w:sz w:val="20"/>
          <w:szCs w:val="20"/>
          <w:lang w:eastAsia="es-MX"/>
        </w:rPr>
        <w:t>uso y costumbre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ero al final hay que resolver para que no haya conflictos entre los vecinos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para mañana a las 10 de la mañana </w:t>
      </w:r>
      <w:r>
        <w:rPr>
          <w:rFonts w:ascii="Gotham" w:hAnsi="Gotham" w:cs="Arial"/>
          <w:color w:val="000000"/>
          <w:sz w:val="20"/>
          <w:szCs w:val="20"/>
          <w:lang w:eastAsia="es-MX"/>
        </w:rPr>
        <w:t xml:space="preserve">estará ahí la Secretaria, </w:t>
      </w:r>
      <w:r w:rsidRPr="00AC1F06">
        <w:rPr>
          <w:rFonts w:ascii="Gotham" w:hAnsi="Gotham" w:cs="Arial"/>
          <w:color w:val="000000"/>
          <w:sz w:val="20"/>
          <w:szCs w:val="20"/>
          <w:lang w:eastAsia="es-MX"/>
        </w:rPr>
        <w:t>por favor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p>
    <w:p w14:paraId="3A4744C3" w14:textId="77777777" w:rsidR="009B5E39" w:rsidRDefault="009B5E39" w:rsidP="009B5E39">
      <w:pPr>
        <w:jc w:val="both"/>
        <w:rPr>
          <w:rFonts w:ascii="Gotham" w:hAnsi="Gotham" w:cs="Arial"/>
          <w:color w:val="000000"/>
          <w:sz w:val="20"/>
          <w:szCs w:val="20"/>
          <w:lang w:eastAsia="es-MX"/>
        </w:rPr>
      </w:pPr>
    </w:p>
    <w:p w14:paraId="3A4744C4" w14:textId="77777777" w:rsidR="009B5E39" w:rsidRDefault="009B5E39" w:rsidP="009B5E39">
      <w:pPr>
        <w:jc w:val="both"/>
        <w:rPr>
          <w:rFonts w:ascii="Gotham" w:hAnsi="Gotham" w:cs="Arial"/>
          <w:sz w:val="20"/>
          <w:szCs w:val="20"/>
        </w:rPr>
      </w:pPr>
      <w:r>
        <w:rPr>
          <w:rFonts w:ascii="Gotham" w:hAnsi="Gotham" w:cs="Arial"/>
          <w:color w:val="000000"/>
          <w:sz w:val="20"/>
          <w:szCs w:val="20"/>
          <w:lang w:eastAsia="es-MX"/>
        </w:rPr>
        <w:t>En uso de la voz el Regidor Edgar Oswaldo Bañales Orozco, manifiesta que, con mucho gusto, g</w:t>
      </w:r>
      <w:r w:rsidRPr="00AC1F06">
        <w:rPr>
          <w:rFonts w:ascii="Gotham" w:hAnsi="Gotham" w:cs="Arial"/>
          <w:color w:val="000000"/>
          <w:sz w:val="20"/>
          <w:szCs w:val="20"/>
          <w:lang w:eastAsia="es-MX"/>
        </w:rPr>
        <w:t xml:space="preserve">racias </w:t>
      </w:r>
      <w:r>
        <w:rPr>
          <w:rFonts w:ascii="Gotham" w:hAnsi="Gotham" w:cs="Arial"/>
          <w:color w:val="000000"/>
          <w:sz w:val="20"/>
          <w:szCs w:val="20"/>
          <w:lang w:eastAsia="es-MX"/>
        </w:rPr>
        <w:t>Presidente.</w:t>
      </w:r>
    </w:p>
    <w:p w14:paraId="3A4744C5" w14:textId="77777777" w:rsidR="009B5E39" w:rsidRDefault="009B5E39" w:rsidP="009B5E39">
      <w:pPr>
        <w:jc w:val="both"/>
        <w:rPr>
          <w:rFonts w:ascii="Gotham" w:hAnsi="Gotham" w:cs="Arial"/>
          <w:sz w:val="20"/>
          <w:szCs w:val="20"/>
        </w:rPr>
      </w:pPr>
    </w:p>
    <w:p w14:paraId="3A4744C6" w14:textId="77777777" w:rsidR="009B5E39" w:rsidRPr="00272D60" w:rsidRDefault="009B5E39" w:rsidP="009B5E39">
      <w:pPr>
        <w:jc w:val="both"/>
        <w:rPr>
          <w:rFonts w:ascii="Gotham" w:hAnsi="Gotham" w:cs="Arial"/>
          <w:sz w:val="20"/>
          <w:szCs w:val="20"/>
        </w:rPr>
      </w:pPr>
    </w:p>
    <w:p w14:paraId="3A4744C7" w14:textId="77777777" w:rsidR="009B5E39" w:rsidRDefault="009B5E39" w:rsidP="009B5E39">
      <w:pPr>
        <w:jc w:val="both"/>
        <w:rPr>
          <w:rFonts w:ascii="Gotham" w:hAnsi="Gotham" w:cs="Arial"/>
          <w:color w:val="000000"/>
          <w:sz w:val="20"/>
          <w:szCs w:val="20"/>
          <w:lang w:eastAsia="es-MX"/>
        </w:rPr>
      </w:pPr>
      <w:r>
        <w:rPr>
          <w:rFonts w:ascii="Gotham" w:hAnsi="Gotham"/>
          <w:b/>
          <w:smallCaps/>
          <w:sz w:val="20"/>
          <w:szCs w:val="20"/>
        </w:rPr>
        <w:t>Sexto</w:t>
      </w:r>
      <w:r w:rsidRPr="008E1C0E">
        <w:rPr>
          <w:rFonts w:ascii="Gotham" w:hAnsi="Gotham"/>
          <w:b/>
          <w:smallCaps/>
          <w:sz w:val="20"/>
          <w:szCs w:val="20"/>
        </w:rPr>
        <w:t xml:space="preserve"> Asunto Vario.-</w:t>
      </w:r>
      <w:r w:rsidRPr="00FE4C2B">
        <w:rPr>
          <w:rFonts w:ascii="Gotham" w:hAnsi="Gotham" w:cs="Arial"/>
          <w:sz w:val="20"/>
          <w:szCs w:val="20"/>
        </w:rPr>
        <w:t xml:space="preserve"> </w:t>
      </w:r>
      <w:r>
        <w:rPr>
          <w:rFonts w:ascii="Gotham" w:hAnsi="Gotham" w:cs="Arial"/>
          <w:sz w:val="20"/>
          <w:szCs w:val="20"/>
        </w:rPr>
        <w:t xml:space="preserve">En uso de la voz la Regidora Laura Liliana Olea Frías, </w:t>
      </w:r>
      <w:r w:rsidRPr="008A2E88">
        <w:rPr>
          <w:rFonts w:ascii="Gotham" w:hAnsi="Gotham" w:cs="Arial"/>
          <w:sz w:val="20"/>
          <w:szCs w:val="20"/>
        </w:rPr>
        <w:t xml:space="preserve">menciona que, </w:t>
      </w:r>
      <w:r>
        <w:rPr>
          <w:rFonts w:ascii="Gotham" w:hAnsi="Gotham" w:cs="Arial"/>
          <w:color w:val="000000"/>
          <w:sz w:val="20"/>
          <w:szCs w:val="20"/>
          <w:lang w:eastAsia="es-MX"/>
        </w:rPr>
        <w:t>con su venia</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únicamente hacer mención que está vigente la convocatoria del reconocimiento al mérito en co</w:t>
      </w:r>
      <w:r>
        <w:rPr>
          <w:rFonts w:ascii="Gotham" w:hAnsi="Gotham" w:cs="Arial"/>
          <w:color w:val="000000"/>
          <w:sz w:val="20"/>
          <w:szCs w:val="20"/>
          <w:lang w:eastAsia="es-MX"/>
        </w:rPr>
        <w:t>n</w:t>
      </w:r>
      <w:r w:rsidRPr="00AC1F06">
        <w:rPr>
          <w:rFonts w:ascii="Gotham" w:hAnsi="Gotham" w:cs="Arial"/>
          <w:color w:val="000000"/>
          <w:sz w:val="20"/>
          <w:szCs w:val="20"/>
          <w:lang w:eastAsia="es-MX"/>
        </w:rPr>
        <w:t>m</w:t>
      </w:r>
      <w:r>
        <w:rPr>
          <w:rFonts w:ascii="Gotham" w:hAnsi="Gotham" w:cs="Arial"/>
          <w:color w:val="000000"/>
          <w:sz w:val="20"/>
          <w:szCs w:val="20"/>
          <w:lang w:eastAsia="es-MX"/>
        </w:rPr>
        <w:t>emo</w:t>
      </w:r>
      <w:r w:rsidRPr="00AC1F06">
        <w:rPr>
          <w:rFonts w:ascii="Gotham" w:hAnsi="Gotham" w:cs="Arial"/>
          <w:color w:val="000000"/>
          <w:sz w:val="20"/>
          <w:szCs w:val="20"/>
          <w:lang w:eastAsia="es-MX"/>
        </w:rPr>
        <w:t xml:space="preserve">ración del </w:t>
      </w:r>
      <w:r>
        <w:rPr>
          <w:rFonts w:ascii="Gotham" w:hAnsi="Gotham" w:cs="Arial"/>
          <w:color w:val="000000"/>
          <w:sz w:val="20"/>
          <w:szCs w:val="20"/>
          <w:lang w:eastAsia="es-MX"/>
        </w:rPr>
        <w:t>D</w:t>
      </w:r>
      <w:r w:rsidRPr="00AC1F06">
        <w:rPr>
          <w:rFonts w:ascii="Gotham" w:hAnsi="Gotham" w:cs="Arial"/>
          <w:color w:val="000000"/>
          <w:sz w:val="20"/>
          <w:szCs w:val="20"/>
          <w:lang w:eastAsia="es-MX"/>
        </w:rPr>
        <w:t>ía del Charro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pedi</w:t>
      </w:r>
      <w:r>
        <w:rPr>
          <w:rFonts w:ascii="Gotham" w:hAnsi="Gotham" w:cs="Arial"/>
          <w:color w:val="000000"/>
          <w:sz w:val="20"/>
          <w:szCs w:val="20"/>
          <w:lang w:eastAsia="es-MX"/>
        </w:rPr>
        <w:t>rles el apoyo para la difusión y</w:t>
      </w:r>
      <w:r w:rsidRPr="00AC1F06">
        <w:rPr>
          <w:rFonts w:ascii="Gotham" w:hAnsi="Gotham" w:cs="Arial"/>
          <w:color w:val="000000"/>
          <w:sz w:val="20"/>
          <w:szCs w:val="20"/>
          <w:lang w:eastAsia="es-MX"/>
        </w:rPr>
        <w:t xml:space="preserve"> si alguien tiene también alguna propuesta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para considerarla dentro de la mesa de trabajo</w:t>
      </w:r>
      <w:r>
        <w:rPr>
          <w:rFonts w:ascii="Gotham" w:hAnsi="Gotham" w:cs="Arial"/>
          <w:color w:val="000000"/>
          <w:sz w:val="20"/>
          <w:szCs w:val="20"/>
          <w:lang w:eastAsia="es-MX"/>
        </w:rPr>
        <w:t>; y agradecerle también a la R</w:t>
      </w:r>
      <w:r w:rsidRPr="00AC1F06">
        <w:rPr>
          <w:rFonts w:ascii="Gotham" w:hAnsi="Gotham" w:cs="Arial"/>
          <w:color w:val="000000"/>
          <w:sz w:val="20"/>
          <w:szCs w:val="20"/>
          <w:lang w:eastAsia="es-MX"/>
        </w:rPr>
        <w:t>egidora Vero Murillo por todo el apoyo para llevarla a cabo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w:t>
      </w:r>
      <w:proofErr w:type="spellStart"/>
      <w:r w:rsidRPr="00AC1F06">
        <w:rPr>
          <w:rFonts w:ascii="Gotham" w:hAnsi="Gotham" w:cs="Arial"/>
          <w:color w:val="000000"/>
          <w:sz w:val="20"/>
          <w:szCs w:val="20"/>
          <w:lang w:eastAsia="es-MX"/>
        </w:rPr>
        <w:t>cuan</w:t>
      </w:r>
      <w:r>
        <w:rPr>
          <w:rFonts w:ascii="Gotham" w:hAnsi="Gotham" w:cs="Arial"/>
          <w:color w:val="000000"/>
          <w:sz w:val="20"/>
          <w:szCs w:val="20"/>
          <w:lang w:eastAsia="es-MX"/>
        </w:rPr>
        <w:t>t</w:t>
      </w:r>
      <w:r w:rsidRPr="00AC1F06">
        <w:rPr>
          <w:rFonts w:ascii="Gotham" w:hAnsi="Gotham" w:cs="Arial"/>
          <w:color w:val="000000"/>
          <w:sz w:val="20"/>
          <w:szCs w:val="20"/>
          <w:lang w:eastAsia="es-MX"/>
        </w:rPr>
        <w:t>o</w:t>
      </w:r>
      <w:proofErr w:type="spellEnd"/>
      <w:r>
        <w:rPr>
          <w:rFonts w:ascii="Gotham" w:hAnsi="Gotham" w:cs="Arial"/>
          <w:color w:val="000000"/>
          <w:sz w:val="20"/>
          <w:szCs w:val="20"/>
          <w:lang w:eastAsia="es-MX"/>
        </w:rPr>
        <w:t>.</w:t>
      </w:r>
    </w:p>
    <w:p w14:paraId="3A4744C8" w14:textId="77777777" w:rsidR="009B5E39" w:rsidRDefault="009B5E39" w:rsidP="009B5E39">
      <w:pPr>
        <w:jc w:val="both"/>
        <w:rPr>
          <w:rFonts w:ascii="Gotham" w:hAnsi="Gotham" w:cs="Arial"/>
          <w:color w:val="000000"/>
          <w:sz w:val="20"/>
          <w:szCs w:val="20"/>
          <w:lang w:eastAsia="es-MX"/>
        </w:rPr>
      </w:pPr>
    </w:p>
    <w:p w14:paraId="3A4744C9" w14:textId="77777777" w:rsidR="009B5E39" w:rsidRDefault="009B5E39" w:rsidP="009B5E39">
      <w:pPr>
        <w:jc w:val="both"/>
        <w:rPr>
          <w:rFonts w:ascii="Gotham" w:hAnsi="Gotham" w:cs="Arial"/>
          <w:sz w:val="20"/>
          <w:szCs w:val="20"/>
        </w:rPr>
      </w:pPr>
      <w:r>
        <w:rPr>
          <w:rFonts w:ascii="Gotham" w:hAnsi="Gotham" w:cs="Arial"/>
          <w:color w:val="000000"/>
          <w:sz w:val="20"/>
          <w:szCs w:val="20"/>
          <w:lang w:eastAsia="es-MX"/>
        </w:rPr>
        <w:t>En uso de la voz el Presidente Municipal, Sergio Armando Chávez Dávalos, expresa que, mu</w:t>
      </w:r>
      <w:r w:rsidRPr="00AC1F06">
        <w:rPr>
          <w:rFonts w:ascii="Gotham" w:hAnsi="Gotham" w:cs="Arial"/>
          <w:color w:val="000000"/>
          <w:sz w:val="20"/>
          <w:szCs w:val="20"/>
          <w:lang w:eastAsia="es-MX"/>
        </w:rPr>
        <w:t xml:space="preserve">chas gracias por su información </w:t>
      </w:r>
      <w:r>
        <w:rPr>
          <w:rFonts w:ascii="Gotham" w:hAnsi="Gotham" w:cs="Arial"/>
          <w:color w:val="000000"/>
          <w:sz w:val="20"/>
          <w:szCs w:val="20"/>
          <w:lang w:eastAsia="es-MX"/>
        </w:rPr>
        <w:t>R</w:t>
      </w:r>
      <w:r w:rsidRPr="00AC1F06">
        <w:rPr>
          <w:rFonts w:ascii="Gotham" w:hAnsi="Gotham" w:cs="Arial"/>
          <w:color w:val="000000"/>
          <w:sz w:val="20"/>
          <w:szCs w:val="20"/>
          <w:lang w:eastAsia="es-MX"/>
        </w:rPr>
        <w:t>egidora</w:t>
      </w:r>
    </w:p>
    <w:p w14:paraId="3A4744CA" w14:textId="77777777" w:rsidR="009B5E39" w:rsidRDefault="009B5E39" w:rsidP="009B5E39">
      <w:pPr>
        <w:jc w:val="both"/>
        <w:rPr>
          <w:rFonts w:ascii="Gotham" w:hAnsi="Gotham" w:cs="Arial"/>
          <w:sz w:val="20"/>
          <w:szCs w:val="20"/>
        </w:rPr>
      </w:pPr>
    </w:p>
    <w:p w14:paraId="3A4744CB" w14:textId="77777777" w:rsidR="009B5E39" w:rsidRPr="00272D60" w:rsidRDefault="009B5E39" w:rsidP="009B5E39">
      <w:pPr>
        <w:jc w:val="both"/>
        <w:rPr>
          <w:rFonts w:ascii="Gotham" w:hAnsi="Gotham" w:cs="Arial"/>
          <w:sz w:val="20"/>
          <w:szCs w:val="20"/>
        </w:rPr>
      </w:pPr>
    </w:p>
    <w:p w14:paraId="3A4744CC" w14:textId="77777777" w:rsidR="009B5E39" w:rsidRPr="008C2CA2" w:rsidRDefault="009B5E39" w:rsidP="009B5E39">
      <w:pPr>
        <w:pStyle w:val="western"/>
        <w:spacing w:before="0" w:beforeAutospacing="0"/>
        <w:jc w:val="right"/>
        <w:rPr>
          <w:rFonts w:ascii="Gotham" w:hAnsi="Gotham"/>
          <w:b/>
          <w:sz w:val="22"/>
          <w:szCs w:val="22"/>
          <w:u w:val="single"/>
        </w:rPr>
      </w:pPr>
      <w:r w:rsidRPr="008A2E88">
        <w:rPr>
          <w:rFonts w:ascii="Gotham" w:hAnsi="Gotham"/>
          <w:b/>
          <w:sz w:val="22"/>
          <w:szCs w:val="22"/>
          <w:u w:val="single"/>
        </w:rPr>
        <w:t xml:space="preserve">ACUERDO NO. </w:t>
      </w:r>
      <w:r>
        <w:rPr>
          <w:rFonts w:ascii="Gotham" w:hAnsi="Gotham"/>
          <w:b/>
          <w:sz w:val="22"/>
          <w:szCs w:val="22"/>
          <w:u w:val="single"/>
        </w:rPr>
        <w:t>1140</w:t>
      </w:r>
    </w:p>
    <w:p w14:paraId="3A4744CD" w14:textId="77777777" w:rsidR="009B5E39" w:rsidRDefault="009B5E39" w:rsidP="009B5E39">
      <w:pPr>
        <w:jc w:val="both"/>
        <w:rPr>
          <w:rFonts w:ascii="Gotham" w:hAnsi="Gotham" w:cs="Arial"/>
          <w:sz w:val="20"/>
          <w:szCs w:val="20"/>
        </w:rPr>
      </w:pPr>
      <w:r>
        <w:rPr>
          <w:rFonts w:ascii="Gotham" w:hAnsi="Gotham"/>
          <w:b/>
          <w:smallCaps/>
          <w:sz w:val="20"/>
          <w:szCs w:val="20"/>
        </w:rPr>
        <w:t>Séptimo</w:t>
      </w:r>
      <w:r w:rsidRPr="008C2CA2">
        <w:rPr>
          <w:rFonts w:ascii="Gotham" w:hAnsi="Gotham"/>
          <w:b/>
          <w:smallCaps/>
          <w:sz w:val="20"/>
          <w:szCs w:val="20"/>
        </w:rPr>
        <w:t xml:space="preserve"> Asunto Vario</w:t>
      </w:r>
      <w:r w:rsidRPr="008C2CA2">
        <w:rPr>
          <w:rFonts w:ascii="Gotham" w:hAnsi="Gotham"/>
          <w:b/>
          <w:sz w:val="20"/>
          <w:szCs w:val="20"/>
        </w:rPr>
        <w:t>.-</w:t>
      </w:r>
      <w:r w:rsidRPr="008C2CA2">
        <w:rPr>
          <w:rFonts w:ascii="Gotham" w:hAnsi="Gotham"/>
          <w:sz w:val="20"/>
          <w:szCs w:val="20"/>
        </w:rPr>
        <w:t xml:space="preserve"> </w:t>
      </w:r>
      <w:r>
        <w:rPr>
          <w:rFonts w:ascii="Gotham" w:hAnsi="Gotham"/>
          <w:sz w:val="20"/>
          <w:szCs w:val="20"/>
        </w:rPr>
        <w:t>En uso de la voz el Presidente Municipal, Sergio Armando Chávez Dávalos,</w:t>
      </w:r>
      <w:r w:rsidRPr="004378F6">
        <w:rPr>
          <w:rFonts w:ascii="Gotham" w:hAnsi="Gotham" w:cs="Arial"/>
          <w:sz w:val="20"/>
          <w:szCs w:val="20"/>
        </w:rPr>
        <w:t xml:space="preserve"> manifiesta que,</w:t>
      </w:r>
      <w:r w:rsidRPr="005D056D">
        <w:rPr>
          <w:rFonts w:ascii="Gotham" w:hAnsi="Gotham"/>
          <w:sz w:val="20"/>
          <w:szCs w:val="20"/>
        </w:rPr>
        <w:t xml:space="preserve"> </w:t>
      </w:r>
      <w:r>
        <w:rPr>
          <w:rFonts w:ascii="Gotham" w:hAnsi="Gotham"/>
          <w:sz w:val="20"/>
          <w:szCs w:val="20"/>
        </w:rPr>
        <w:t>e</w:t>
      </w:r>
      <w:r w:rsidRPr="00AC1F06">
        <w:rPr>
          <w:rFonts w:ascii="Gotham" w:hAnsi="Gotham" w:cs="Arial"/>
          <w:color w:val="000000"/>
          <w:sz w:val="20"/>
          <w:szCs w:val="20"/>
          <w:lang w:eastAsia="es-MX"/>
        </w:rPr>
        <w:t>stoy presentando una iniciativa con turno a comisiones que contiene la creación de nuevo</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reglamentos</w:t>
      </w:r>
      <w:r>
        <w:rPr>
          <w:rFonts w:ascii="Gotham" w:hAnsi="Gotham" w:cs="Arial"/>
          <w:color w:val="000000"/>
          <w:sz w:val="20"/>
          <w:szCs w:val="20"/>
          <w:lang w:eastAsia="es-MX"/>
        </w:rPr>
        <w:t>, reformas y adiciones a otros y</w:t>
      </w:r>
      <w:r w:rsidRPr="00AC1F06">
        <w:rPr>
          <w:rFonts w:ascii="Gotham" w:hAnsi="Gotham" w:cs="Arial"/>
          <w:color w:val="000000"/>
          <w:sz w:val="20"/>
          <w:szCs w:val="20"/>
          <w:lang w:eastAsia="es-MX"/>
        </w:rPr>
        <w:t>a vigentes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 xml:space="preserve">omitiré la </w:t>
      </w:r>
      <w:r w:rsidRPr="00AC1F06">
        <w:rPr>
          <w:rFonts w:ascii="Gotham" w:hAnsi="Gotham" w:cs="Arial"/>
          <w:color w:val="000000"/>
          <w:sz w:val="20"/>
          <w:szCs w:val="20"/>
          <w:lang w:eastAsia="es-MX"/>
        </w:rPr>
        <w:t xml:space="preserve">lectura de dicha iniciativa y solo </w:t>
      </w:r>
      <w:r>
        <w:rPr>
          <w:rFonts w:ascii="Gotham" w:hAnsi="Gotham" w:cs="Arial"/>
          <w:color w:val="000000"/>
          <w:sz w:val="20"/>
          <w:szCs w:val="20"/>
          <w:lang w:eastAsia="es-MX"/>
        </w:rPr>
        <w:t>daré</w:t>
      </w:r>
      <w:r w:rsidRPr="00AC1F06">
        <w:rPr>
          <w:rFonts w:ascii="Gotham" w:hAnsi="Gotham" w:cs="Arial"/>
          <w:color w:val="000000"/>
          <w:sz w:val="20"/>
          <w:szCs w:val="20"/>
          <w:lang w:eastAsia="es-MX"/>
        </w:rPr>
        <w:t xml:space="preserve"> haré una justificación de </w:t>
      </w:r>
      <w:r>
        <w:rPr>
          <w:rFonts w:ascii="Gotham" w:hAnsi="Gotham" w:cs="Arial"/>
          <w:color w:val="000000"/>
          <w:sz w:val="20"/>
          <w:szCs w:val="20"/>
          <w:lang w:eastAsia="es-MX"/>
        </w:rPr>
        <w:t>é</w:t>
      </w:r>
      <w:r w:rsidRPr="00AC1F06">
        <w:rPr>
          <w:rFonts w:ascii="Gotham" w:hAnsi="Gotham" w:cs="Arial"/>
          <w:color w:val="000000"/>
          <w:sz w:val="20"/>
          <w:szCs w:val="20"/>
          <w:lang w:eastAsia="es-MX"/>
        </w:rPr>
        <w:t>sta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 lo que pido a la </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ecretaría </w:t>
      </w:r>
      <w:r>
        <w:rPr>
          <w:rFonts w:ascii="Gotham" w:hAnsi="Gotham" w:cs="Arial"/>
          <w:color w:val="000000"/>
          <w:sz w:val="20"/>
          <w:szCs w:val="20"/>
          <w:lang w:eastAsia="es-MX"/>
        </w:rPr>
        <w:t>G</w:t>
      </w:r>
      <w:r w:rsidRPr="00AC1F06">
        <w:rPr>
          <w:rFonts w:ascii="Gotham" w:hAnsi="Gotham" w:cs="Arial"/>
          <w:color w:val="000000"/>
          <w:sz w:val="20"/>
          <w:szCs w:val="20"/>
          <w:lang w:eastAsia="es-MX"/>
        </w:rPr>
        <w:t>eneral se inscriba tal como se presenta</w:t>
      </w:r>
      <w:r>
        <w:rPr>
          <w:rFonts w:ascii="Gotham" w:hAnsi="Gotham" w:cs="Arial"/>
          <w:color w:val="000000"/>
          <w:sz w:val="20"/>
          <w:szCs w:val="20"/>
          <w:lang w:eastAsia="es-MX"/>
        </w:rPr>
        <w:t>.</w:t>
      </w:r>
    </w:p>
    <w:p w14:paraId="3A4744CE" w14:textId="77777777" w:rsidR="009B5E39" w:rsidRDefault="009B5E39" w:rsidP="009B5E39">
      <w:pPr>
        <w:jc w:val="both"/>
        <w:rPr>
          <w:rFonts w:ascii="Gotham" w:hAnsi="Gotham" w:cs="Arial"/>
          <w:sz w:val="20"/>
          <w:szCs w:val="20"/>
        </w:rPr>
      </w:pPr>
    </w:p>
    <w:p w14:paraId="3A4744CF" w14:textId="77777777" w:rsidR="009B5E39" w:rsidRPr="009806D5" w:rsidRDefault="009B5E39" w:rsidP="009B5E39">
      <w:pPr>
        <w:jc w:val="both"/>
        <w:rPr>
          <w:rFonts w:ascii="Gotham" w:hAnsi="Gotham" w:cs="Arial"/>
          <w:sz w:val="20"/>
          <w:szCs w:val="20"/>
        </w:rPr>
      </w:pPr>
      <w:r>
        <w:rPr>
          <w:rFonts w:ascii="Gotham" w:hAnsi="Gotham" w:cs="Arial"/>
          <w:sz w:val="20"/>
          <w:szCs w:val="20"/>
        </w:rPr>
        <w:t>E</w:t>
      </w:r>
      <w:r w:rsidRPr="009806D5">
        <w:rPr>
          <w:rFonts w:ascii="Gotham" w:hAnsi="Gotham" w:cs="Arial"/>
          <w:sz w:val="20"/>
          <w:szCs w:val="20"/>
        </w:rPr>
        <w:t>l que suscribe, Sergio Armando Chávez Dávalos, Presidente del Ayuntamiento Constitucional de Tonalá, Jalisco</w:t>
      </w:r>
      <w:r>
        <w:rPr>
          <w:rFonts w:ascii="Gotham" w:hAnsi="Gotham" w:cs="Arial"/>
          <w:sz w:val="20"/>
          <w:szCs w:val="20"/>
        </w:rPr>
        <w:t>,</w:t>
      </w:r>
      <w:r w:rsidRPr="009806D5">
        <w:rPr>
          <w:rFonts w:ascii="Gotham" w:hAnsi="Gotham" w:cs="Arial"/>
          <w:sz w:val="20"/>
          <w:szCs w:val="20"/>
        </w:rPr>
        <w:t xml:space="preserve"> en uso de la facultad que me confieren los artículos 115, fracciones I y II</w:t>
      </w:r>
      <w:r>
        <w:rPr>
          <w:rFonts w:ascii="Gotham" w:hAnsi="Gotham" w:cs="Arial"/>
          <w:sz w:val="20"/>
          <w:szCs w:val="20"/>
        </w:rPr>
        <w:t>,</w:t>
      </w:r>
      <w:r w:rsidRPr="009806D5">
        <w:rPr>
          <w:rFonts w:ascii="Gotham" w:hAnsi="Gotham" w:cs="Arial"/>
          <w:sz w:val="20"/>
          <w:szCs w:val="20"/>
        </w:rPr>
        <w:t xml:space="preserve"> de la Constitución Política de los Estados Unidos Mexicanos; así como lo establecido por el artículo 77 de la Constitución Política del Estado de Jalisco; artículos 2, 3 y 37 de la Ley del Gobierno y la Administración Pública Municipal del Estado de Jalisco, artículo 56 fracción I del Reglamento del Gobierno y la Administración Pública del Ayuntamiento Constitucional de Tonalá, Jalisco</w:t>
      </w:r>
      <w:r>
        <w:rPr>
          <w:rFonts w:ascii="Gotham" w:hAnsi="Gotham" w:cs="Arial"/>
          <w:sz w:val="20"/>
          <w:szCs w:val="20"/>
        </w:rPr>
        <w:t>;</w:t>
      </w:r>
      <w:r w:rsidRPr="009806D5">
        <w:rPr>
          <w:rFonts w:ascii="Gotham" w:hAnsi="Gotham" w:cs="Arial"/>
          <w:sz w:val="20"/>
          <w:szCs w:val="20"/>
        </w:rPr>
        <w:t xml:space="preserve"> así como del</w:t>
      </w:r>
      <w:r>
        <w:rPr>
          <w:rFonts w:ascii="Gotham" w:hAnsi="Gotham" w:cs="Arial"/>
          <w:sz w:val="20"/>
          <w:szCs w:val="20"/>
        </w:rPr>
        <w:t xml:space="preserve"> ordinal 82, 83 del Reglamento p</w:t>
      </w:r>
      <w:r w:rsidRPr="009806D5">
        <w:rPr>
          <w:rFonts w:ascii="Gotham" w:hAnsi="Gotham" w:cs="Arial"/>
          <w:sz w:val="20"/>
          <w:szCs w:val="20"/>
        </w:rPr>
        <w:t xml:space="preserve">ara el Funcionamiento Interno de Sesiones del Ayuntamiento Constitucional de </w:t>
      </w:r>
      <w:r w:rsidRPr="009806D5">
        <w:rPr>
          <w:rFonts w:ascii="Gotham" w:hAnsi="Gotham" w:cs="Arial"/>
          <w:sz w:val="20"/>
          <w:szCs w:val="20"/>
        </w:rPr>
        <w:lastRenderedPageBreak/>
        <w:t>Tonalá</w:t>
      </w:r>
      <w:r>
        <w:rPr>
          <w:rFonts w:ascii="Gotham" w:hAnsi="Gotham" w:cs="Arial"/>
          <w:sz w:val="20"/>
          <w:szCs w:val="20"/>
        </w:rPr>
        <w:t>,</w:t>
      </w:r>
      <w:r w:rsidRPr="009806D5">
        <w:rPr>
          <w:rFonts w:ascii="Gotham" w:hAnsi="Gotham" w:cs="Arial"/>
          <w:sz w:val="20"/>
          <w:szCs w:val="20"/>
        </w:rPr>
        <w:t xml:space="preserve"> Jalisco</w:t>
      </w:r>
      <w:r>
        <w:rPr>
          <w:rFonts w:ascii="Gotham" w:hAnsi="Gotham" w:cs="Arial"/>
          <w:sz w:val="20"/>
          <w:szCs w:val="20"/>
        </w:rPr>
        <w:t>;</w:t>
      </w:r>
      <w:r w:rsidRPr="009806D5">
        <w:rPr>
          <w:rFonts w:ascii="Gotham" w:hAnsi="Gotham" w:cs="Arial"/>
          <w:sz w:val="20"/>
          <w:szCs w:val="20"/>
        </w:rPr>
        <w:t xml:space="preserve"> someto a consideración de ustedes, la </w:t>
      </w:r>
      <w:r w:rsidRPr="00400247">
        <w:rPr>
          <w:rFonts w:ascii="Gotham" w:hAnsi="Gotham" w:cs="Arial"/>
          <w:sz w:val="20"/>
          <w:szCs w:val="20"/>
        </w:rPr>
        <w:t>iniciativa con turno a comisión</w:t>
      </w:r>
      <w:r w:rsidRPr="009806D5">
        <w:rPr>
          <w:rFonts w:ascii="Gotham" w:hAnsi="Gotham" w:cs="Arial"/>
          <w:sz w:val="20"/>
          <w:szCs w:val="20"/>
        </w:rPr>
        <w:t xml:space="preserve"> que tiene por objeto la creación, reformas y adiciones de diversos cuerpos normativos del Municipio de Tonalá, Jalisco; conforme a la siguiente:</w:t>
      </w:r>
    </w:p>
    <w:p w14:paraId="3A4744D0" w14:textId="77777777" w:rsidR="009B5E39" w:rsidRPr="009806D5" w:rsidRDefault="009B5E39" w:rsidP="009B5E39">
      <w:pPr>
        <w:jc w:val="both"/>
        <w:rPr>
          <w:rFonts w:ascii="Gotham" w:hAnsi="Gotham" w:cs="Arial"/>
          <w:sz w:val="20"/>
          <w:szCs w:val="20"/>
        </w:rPr>
      </w:pPr>
    </w:p>
    <w:p w14:paraId="3A4744D1" w14:textId="77777777" w:rsidR="009B5E39" w:rsidRPr="009806D5" w:rsidRDefault="009B5E39" w:rsidP="009B5E39">
      <w:pPr>
        <w:jc w:val="center"/>
        <w:rPr>
          <w:rFonts w:ascii="Gotham" w:hAnsi="Gotham" w:cs="Arial"/>
          <w:sz w:val="20"/>
          <w:szCs w:val="20"/>
        </w:rPr>
      </w:pPr>
      <w:r w:rsidRPr="009806D5">
        <w:rPr>
          <w:rFonts w:ascii="Gotham" w:hAnsi="Gotham" w:cs="Arial"/>
          <w:sz w:val="20"/>
          <w:szCs w:val="20"/>
        </w:rPr>
        <w:t xml:space="preserve">EXPOSICIÓN DE MOTIVOS </w:t>
      </w:r>
    </w:p>
    <w:p w14:paraId="3A4744D2" w14:textId="77777777" w:rsidR="009B5E39" w:rsidRPr="009806D5" w:rsidRDefault="009B5E39" w:rsidP="009B5E39">
      <w:pPr>
        <w:jc w:val="both"/>
        <w:rPr>
          <w:rFonts w:ascii="Gotham" w:hAnsi="Gotham" w:cs="Arial"/>
          <w:sz w:val="20"/>
          <w:szCs w:val="20"/>
        </w:rPr>
      </w:pPr>
    </w:p>
    <w:p w14:paraId="3A4744D3"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Uno de los elementos básicos de la autonomía municipal, que constituye pilar fundamental de la estructura política de México, es la capacidad de cada municipio para organizar la administración pública local, de acuerdo con las necesidades y demandas específicas de la población que se asienta dentro de los límites territoriales donde la institución municipal ejerce su poder.</w:t>
      </w:r>
    </w:p>
    <w:p w14:paraId="3A4744D4" w14:textId="77777777" w:rsidR="009B5E39" w:rsidRDefault="009B5E39" w:rsidP="009B5E39">
      <w:pPr>
        <w:jc w:val="both"/>
        <w:rPr>
          <w:rFonts w:ascii="Gotham" w:hAnsi="Gotham" w:cs="Arial"/>
          <w:sz w:val="20"/>
          <w:szCs w:val="20"/>
        </w:rPr>
      </w:pPr>
    </w:p>
    <w:p w14:paraId="3A4744D5"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Es fundamental para los municipios la potestad de estructurar el gobierno y la administración municipal, de regular su funcionamiento según las conveniencias y modalidades que dicte el interés público, la pluralidad en la toma de decisiones, así como la transparencia y la rendición de cuentas. </w:t>
      </w:r>
    </w:p>
    <w:p w14:paraId="3A4744D6" w14:textId="77777777" w:rsidR="009B5E39" w:rsidRDefault="009B5E39" w:rsidP="009B5E39">
      <w:pPr>
        <w:jc w:val="both"/>
        <w:rPr>
          <w:rFonts w:ascii="Gotham" w:hAnsi="Gotham" w:cs="Arial"/>
          <w:sz w:val="20"/>
          <w:szCs w:val="20"/>
        </w:rPr>
      </w:pPr>
    </w:p>
    <w:p w14:paraId="3A4744D7"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Los gobiernos municipales tienen como una de sus atribuciones la prestación de servicios públicos, sin duda, el papel de los municipios en la prestación de servicios públicos es de gran relevancia debido a la proximidad que tienen con la población, lo que favorece la identificación de necesidades y su correcta atención.</w:t>
      </w:r>
    </w:p>
    <w:p w14:paraId="3A4744D8" w14:textId="77777777" w:rsidR="009B5E39" w:rsidRDefault="009B5E39" w:rsidP="009B5E39">
      <w:pPr>
        <w:jc w:val="both"/>
        <w:rPr>
          <w:rFonts w:ascii="Gotham" w:hAnsi="Gotham" w:cs="Arial"/>
          <w:sz w:val="20"/>
          <w:szCs w:val="20"/>
        </w:rPr>
      </w:pPr>
    </w:p>
    <w:p w14:paraId="3A4744D9"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El sustento jurídico para que los municipios sean responsables en la prestación de diversos servicios públicos se encuentra en la Constitución Política de los Estados Unidos Mexicanos en su artículo 115, misma que define los rubros en los que el municipio es responsable de la atención.</w:t>
      </w:r>
    </w:p>
    <w:p w14:paraId="3A4744DA" w14:textId="77777777" w:rsidR="009B5E39" w:rsidRDefault="009B5E39" w:rsidP="009B5E39">
      <w:pPr>
        <w:jc w:val="both"/>
        <w:rPr>
          <w:rFonts w:ascii="Gotham" w:hAnsi="Gotham" w:cs="Arial"/>
          <w:sz w:val="20"/>
          <w:szCs w:val="20"/>
        </w:rPr>
      </w:pPr>
    </w:p>
    <w:p w14:paraId="3A4744DB"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La prestación de los servicios públicos corresponde a una actividad del gobierno municipal para satisfacer las necesidades básicas y elevar las condiciones de vida de las comunidades. Para llevar a cabo ésta función de gobierno, el municipio realiza las tareas de reglamentación, adecuación, organización, administración, funcionamiento y construcción de los servicios.</w:t>
      </w:r>
    </w:p>
    <w:p w14:paraId="3A4744DC" w14:textId="77777777" w:rsidR="009B5E39" w:rsidRDefault="009B5E39" w:rsidP="009B5E39">
      <w:pPr>
        <w:jc w:val="both"/>
        <w:rPr>
          <w:rFonts w:ascii="Gotham" w:hAnsi="Gotham" w:cs="Arial"/>
          <w:sz w:val="20"/>
          <w:szCs w:val="20"/>
        </w:rPr>
      </w:pPr>
    </w:p>
    <w:p w14:paraId="3A4744DD"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Como una de las principales metrópolis de México, el municipio de Tonalá, Jalisco enfrenta retos propios de las grandes urbes a nivel global; tiene por delante grandes desafíos en materia de prestación de los servicios públicos; es por ello que se requiere fortalecer su marco jurídico. </w:t>
      </w:r>
    </w:p>
    <w:p w14:paraId="3A4744DE" w14:textId="77777777" w:rsidR="009B5E39" w:rsidRDefault="009B5E39" w:rsidP="009B5E39">
      <w:pPr>
        <w:jc w:val="both"/>
        <w:rPr>
          <w:rFonts w:ascii="Gotham" w:hAnsi="Gotham" w:cs="Arial"/>
          <w:sz w:val="20"/>
          <w:szCs w:val="20"/>
        </w:rPr>
      </w:pPr>
    </w:p>
    <w:p w14:paraId="3A4744DF"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Algunos principios básicos que debe de ejecutar el municipio y que son indispensables para cubrir, eficientar y poder prestar los servicios públicos de forma correcta y con ello lograr que los mismos lleguen a todos y cada uno de los habitantes del municipio, son los siguientes: </w:t>
      </w:r>
    </w:p>
    <w:p w14:paraId="3A4744E0" w14:textId="77777777" w:rsidR="009B5E39" w:rsidRDefault="009B5E39" w:rsidP="009B5E39">
      <w:pPr>
        <w:jc w:val="both"/>
        <w:rPr>
          <w:rFonts w:ascii="Gotham" w:hAnsi="Gotham" w:cs="Arial"/>
          <w:sz w:val="20"/>
          <w:szCs w:val="20"/>
        </w:rPr>
      </w:pPr>
    </w:p>
    <w:p w14:paraId="3A4744E1" w14:textId="77777777" w:rsidR="009B5E39" w:rsidRPr="009806D5" w:rsidRDefault="009B5E39" w:rsidP="009B5E39">
      <w:pPr>
        <w:ind w:left="284" w:hanging="284"/>
        <w:jc w:val="both"/>
        <w:rPr>
          <w:rFonts w:ascii="Gotham" w:hAnsi="Gotham" w:cs="Arial"/>
          <w:sz w:val="20"/>
          <w:szCs w:val="20"/>
        </w:rPr>
      </w:pPr>
      <w:r w:rsidRPr="009806D5">
        <w:rPr>
          <w:rFonts w:ascii="Gotham" w:hAnsi="Gotham" w:cs="Arial"/>
          <w:sz w:val="20"/>
          <w:szCs w:val="20"/>
        </w:rPr>
        <w:t xml:space="preserve">• </w:t>
      </w:r>
      <w:r>
        <w:rPr>
          <w:rFonts w:ascii="Gotham" w:hAnsi="Gotham" w:cs="Arial"/>
          <w:sz w:val="20"/>
          <w:szCs w:val="20"/>
        </w:rPr>
        <w:tab/>
      </w:r>
      <w:r w:rsidRPr="009806D5">
        <w:rPr>
          <w:rFonts w:ascii="Gotham" w:hAnsi="Gotham" w:cs="Arial"/>
          <w:b/>
          <w:sz w:val="20"/>
          <w:szCs w:val="20"/>
        </w:rPr>
        <w:t>Principio de generalidad.</w:t>
      </w:r>
      <w:r w:rsidRPr="009806D5">
        <w:rPr>
          <w:rFonts w:ascii="Gotham" w:hAnsi="Gotham" w:cs="Arial"/>
          <w:sz w:val="20"/>
          <w:szCs w:val="20"/>
        </w:rPr>
        <w:t xml:space="preserve"> Los servicios públicos una vez instituidos se van a proporcionar para todas las personas, por lo que no se puede negar su prestación por mera voluntad de la autoridad. Esta característica se vincula con los derechos humanos, pues en principio, todo ser humano tiene derecho a usar el servicio público sin más limitaciones que la propia capacidad instalada para la prestación del servicio. </w:t>
      </w:r>
    </w:p>
    <w:p w14:paraId="3A4744E2" w14:textId="77777777" w:rsidR="009B5E39" w:rsidRDefault="009B5E39" w:rsidP="009B5E39">
      <w:pPr>
        <w:ind w:left="284" w:hanging="284"/>
        <w:jc w:val="both"/>
        <w:rPr>
          <w:rFonts w:ascii="Gotham" w:hAnsi="Gotham" w:cs="Arial"/>
          <w:b/>
          <w:sz w:val="20"/>
          <w:szCs w:val="20"/>
        </w:rPr>
      </w:pPr>
    </w:p>
    <w:p w14:paraId="3A4744E3" w14:textId="77777777" w:rsidR="009B5E39" w:rsidRPr="009806D5" w:rsidRDefault="009B5E39" w:rsidP="009B5E39">
      <w:pPr>
        <w:ind w:left="284"/>
        <w:jc w:val="both"/>
        <w:rPr>
          <w:rFonts w:ascii="Gotham" w:hAnsi="Gotham" w:cs="Arial"/>
          <w:sz w:val="20"/>
          <w:szCs w:val="20"/>
        </w:rPr>
      </w:pPr>
      <w:r w:rsidRPr="009806D5">
        <w:rPr>
          <w:rFonts w:ascii="Gotham" w:hAnsi="Gotham" w:cs="Arial"/>
          <w:b/>
          <w:sz w:val="20"/>
          <w:szCs w:val="20"/>
        </w:rPr>
        <w:t>Principio de igualdad.</w:t>
      </w:r>
      <w:r w:rsidRPr="009806D5">
        <w:rPr>
          <w:rFonts w:ascii="Gotham" w:hAnsi="Gotham" w:cs="Arial"/>
          <w:sz w:val="20"/>
          <w:szCs w:val="20"/>
        </w:rPr>
        <w:t xml:space="preserve"> Un servicio público se prestará bajo las mismas circunstancias a todos los usuarios, esto es en forma uniforme y sin distinciones. </w:t>
      </w:r>
    </w:p>
    <w:p w14:paraId="3A4744E4" w14:textId="77777777" w:rsidR="009B5E39" w:rsidRDefault="009B5E39" w:rsidP="009B5E39">
      <w:pPr>
        <w:ind w:left="284" w:hanging="284"/>
        <w:jc w:val="both"/>
        <w:rPr>
          <w:rFonts w:ascii="Gotham" w:hAnsi="Gotham" w:cs="Arial"/>
          <w:b/>
          <w:sz w:val="20"/>
          <w:szCs w:val="20"/>
        </w:rPr>
      </w:pPr>
    </w:p>
    <w:p w14:paraId="3A4744E5" w14:textId="77777777" w:rsidR="009B5E39" w:rsidRPr="009806D5" w:rsidRDefault="009B5E39" w:rsidP="009B5E39">
      <w:pPr>
        <w:ind w:left="284"/>
        <w:jc w:val="both"/>
        <w:rPr>
          <w:rFonts w:ascii="Gotham" w:hAnsi="Gotham" w:cs="Arial"/>
          <w:sz w:val="20"/>
          <w:szCs w:val="20"/>
        </w:rPr>
      </w:pPr>
      <w:r w:rsidRPr="009806D5">
        <w:rPr>
          <w:rFonts w:ascii="Gotham" w:hAnsi="Gotham" w:cs="Arial"/>
          <w:b/>
          <w:sz w:val="20"/>
          <w:szCs w:val="20"/>
        </w:rPr>
        <w:t>Principio de regularidad.</w:t>
      </w:r>
      <w:r w:rsidRPr="009806D5">
        <w:rPr>
          <w:rFonts w:ascii="Gotham" w:hAnsi="Gotham" w:cs="Arial"/>
          <w:sz w:val="20"/>
          <w:szCs w:val="20"/>
        </w:rPr>
        <w:t xml:space="preserve"> Los servicios públicos se deben prestar conforme a la normativa jurídica que lo regula. </w:t>
      </w:r>
    </w:p>
    <w:p w14:paraId="3A4744E6" w14:textId="77777777" w:rsidR="009B5E39" w:rsidRDefault="009B5E39" w:rsidP="009B5E39">
      <w:pPr>
        <w:ind w:left="284" w:hanging="284"/>
        <w:jc w:val="both"/>
        <w:rPr>
          <w:rFonts w:ascii="Gotham" w:hAnsi="Gotham" w:cs="Arial"/>
          <w:b/>
          <w:sz w:val="20"/>
          <w:szCs w:val="20"/>
        </w:rPr>
      </w:pPr>
    </w:p>
    <w:p w14:paraId="3A4744E7" w14:textId="77777777" w:rsidR="009B5E39" w:rsidRPr="009806D5" w:rsidRDefault="009B5E39" w:rsidP="009B5E39">
      <w:pPr>
        <w:ind w:left="284"/>
        <w:jc w:val="both"/>
        <w:rPr>
          <w:rFonts w:ascii="Gotham" w:hAnsi="Gotham" w:cs="Arial"/>
          <w:sz w:val="20"/>
          <w:szCs w:val="20"/>
        </w:rPr>
      </w:pPr>
      <w:r w:rsidRPr="009806D5">
        <w:rPr>
          <w:rFonts w:ascii="Gotham" w:hAnsi="Gotham" w:cs="Arial"/>
          <w:b/>
          <w:sz w:val="20"/>
          <w:szCs w:val="20"/>
        </w:rPr>
        <w:t xml:space="preserve">Principio de continuidad. </w:t>
      </w:r>
      <w:r w:rsidRPr="009806D5">
        <w:rPr>
          <w:rFonts w:ascii="Gotham" w:hAnsi="Gotham" w:cs="Arial"/>
          <w:sz w:val="20"/>
          <w:szCs w:val="20"/>
        </w:rPr>
        <w:t xml:space="preserve">Significa la prestación ininterrumpida de un servicio público, esto es, dentro de los horarios y fechas previstos en su propia regulación. </w:t>
      </w:r>
    </w:p>
    <w:p w14:paraId="3A4744E8" w14:textId="77777777" w:rsidR="009B5E39" w:rsidRDefault="009B5E39" w:rsidP="009B5E39">
      <w:pPr>
        <w:ind w:left="284" w:hanging="284"/>
        <w:jc w:val="both"/>
        <w:rPr>
          <w:rFonts w:ascii="Gotham" w:hAnsi="Gotham" w:cs="Arial"/>
          <w:b/>
          <w:sz w:val="20"/>
          <w:szCs w:val="20"/>
        </w:rPr>
      </w:pPr>
    </w:p>
    <w:p w14:paraId="3A4744E9" w14:textId="77777777" w:rsidR="009B5E39" w:rsidRPr="009806D5" w:rsidRDefault="009B5E39" w:rsidP="009B5E39">
      <w:pPr>
        <w:ind w:left="284"/>
        <w:jc w:val="both"/>
        <w:rPr>
          <w:rFonts w:ascii="Gotham" w:hAnsi="Gotham" w:cs="Arial"/>
          <w:sz w:val="20"/>
          <w:szCs w:val="20"/>
        </w:rPr>
      </w:pPr>
      <w:r w:rsidRPr="009806D5">
        <w:rPr>
          <w:rFonts w:ascii="Gotham" w:hAnsi="Gotham" w:cs="Arial"/>
          <w:b/>
          <w:sz w:val="20"/>
          <w:szCs w:val="20"/>
        </w:rPr>
        <w:lastRenderedPageBreak/>
        <w:t>Principio de obligatoriedad.</w:t>
      </w:r>
      <w:r w:rsidRPr="009806D5">
        <w:rPr>
          <w:rFonts w:ascii="Gotham" w:hAnsi="Gotham" w:cs="Arial"/>
          <w:sz w:val="20"/>
          <w:szCs w:val="20"/>
        </w:rPr>
        <w:t xml:space="preserve"> Es obligación del municipio la prestación del servicio por todo el tiempo, en que exista la necesidad que esté destinada a satisfacer. </w:t>
      </w:r>
    </w:p>
    <w:p w14:paraId="3A4744EA" w14:textId="77777777" w:rsidR="009B5E39" w:rsidRDefault="009B5E39" w:rsidP="009B5E39">
      <w:pPr>
        <w:ind w:left="284" w:hanging="284"/>
        <w:jc w:val="both"/>
        <w:rPr>
          <w:rFonts w:ascii="Gotham" w:hAnsi="Gotham" w:cs="Arial"/>
          <w:b/>
          <w:sz w:val="20"/>
          <w:szCs w:val="20"/>
        </w:rPr>
      </w:pPr>
    </w:p>
    <w:p w14:paraId="3A4744EB" w14:textId="77777777" w:rsidR="009B5E39" w:rsidRPr="009806D5" w:rsidRDefault="009B5E39" w:rsidP="009B5E39">
      <w:pPr>
        <w:ind w:left="284"/>
        <w:jc w:val="both"/>
        <w:rPr>
          <w:rFonts w:ascii="Gotham" w:hAnsi="Gotham" w:cs="Arial"/>
          <w:sz w:val="20"/>
          <w:szCs w:val="20"/>
        </w:rPr>
      </w:pPr>
      <w:r w:rsidRPr="009806D5">
        <w:rPr>
          <w:rFonts w:ascii="Gotham" w:hAnsi="Gotham" w:cs="Arial"/>
          <w:b/>
          <w:sz w:val="20"/>
          <w:szCs w:val="20"/>
        </w:rPr>
        <w:t>Principio de adaptabilidad.</w:t>
      </w:r>
      <w:r w:rsidRPr="009806D5">
        <w:rPr>
          <w:rFonts w:ascii="Gotham" w:hAnsi="Gotham" w:cs="Arial"/>
          <w:sz w:val="20"/>
          <w:szCs w:val="20"/>
        </w:rPr>
        <w:t xml:space="preserve"> Este principio establece se debe de modificar la forma en la que se presta el servicio cuando responda a una necesidad de mejorar la prestación del servicio público.</w:t>
      </w:r>
    </w:p>
    <w:p w14:paraId="3A4744EC" w14:textId="77777777" w:rsidR="009B5E39" w:rsidRDefault="009B5E39" w:rsidP="009B5E39">
      <w:pPr>
        <w:jc w:val="both"/>
        <w:rPr>
          <w:rFonts w:ascii="Gotham" w:hAnsi="Gotham" w:cs="Arial"/>
          <w:sz w:val="20"/>
          <w:szCs w:val="20"/>
        </w:rPr>
      </w:pPr>
    </w:p>
    <w:p w14:paraId="3A4744ED"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La facultad reglamentaria concedida al municipio en la fracción II del artículo 115 constitucional, le permite crear el marco jurídico necesario para su administración. </w:t>
      </w:r>
    </w:p>
    <w:p w14:paraId="3A4744EE" w14:textId="77777777" w:rsidR="009B5E39" w:rsidRDefault="009B5E39" w:rsidP="009B5E39">
      <w:pPr>
        <w:jc w:val="both"/>
        <w:rPr>
          <w:rFonts w:ascii="Gotham" w:hAnsi="Gotham" w:cs="Arial"/>
          <w:sz w:val="20"/>
          <w:szCs w:val="20"/>
        </w:rPr>
      </w:pPr>
    </w:p>
    <w:p w14:paraId="3A4744EF"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La función reglamentaria que ejerce el municipio, le permite regular los procedimientos, funciones y servicios públicos, así como la participación vecinal y ciudadana dentro del marco de su jurisdicción y competencia.</w:t>
      </w:r>
    </w:p>
    <w:p w14:paraId="3A4744F0" w14:textId="77777777" w:rsidR="009B5E39" w:rsidRDefault="009B5E39" w:rsidP="009B5E39">
      <w:pPr>
        <w:jc w:val="both"/>
        <w:rPr>
          <w:rFonts w:ascii="Gotham" w:hAnsi="Gotham" w:cs="Arial"/>
          <w:sz w:val="20"/>
          <w:szCs w:val="20"/>
        </w:rPr>
      </w:pPr>
    </w:p>
    <w:p w14:paraId="3A4744F1"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La facultad reglamentaria con que cuenta el municipio deberá ser ejercida en el tema de los servicios públicos generando un reglamento específico para cada uno de los servicios; para la composición de dicho reglamento es recomendable considerar en forma básica cuatro acepciones:</w:t>
      </w:r>
    </w:p>
    <w:p w14:paraId="3A4744F2" w14:textId="77777777" w:rsidR="009B5E39" w:rsidRDefault="009B5E39" w:rsidP="009B5E39">
      <w:pPr>
        <w:jc w:val="both"/>
        <w:rPr>
          <w:rFonts w:ascii="Gotham" w:hAnsi="Gotham" w:cs="Arial"/>
          <w:sz w:val="20"/>
          <w:szCs w:val="20"/>
        </w:rPr>
      </w:pPr>
    </w:p>
    <w:p w14:paraId="3A4744F3" w14:textId="77777777" w:rsidR="009B5E39" w:rsidRPr="009806D5" w:rsidRDefault="009B5E39" w:rsidP="009B5E39">
      <w:pPr>
        <w:ind w:left="426" w:hanging="426"/>
        <w:jc w:val="both"/>
        <w:rPr>
          <w:rFonts w:ascii="Gotham" w:hAnsi="Gotham" w:cs="Arial"/>
          <w:sz w:val="20"/>
          <w:szCs w:val="20"/>
        </w:rPr>
      </w:pPr>
      <w:r w:rsidRPr="009806D5">
        <w:rPr>
          <w:rFonts w:ascii="Gotham" w:hAnsi="Gotham" w:cs="Arial"/>
          <w:sz w:val="20"/>
          <w:szCs w:val="20"/>
        </w:rPr>
        <w:t xml:space="preserve">1.- </w:t>
      </w:r>
      <w:r>
        <w:rPr>
          <w:rFonts w:ascii="Gotham" w:hAnsi="Gotham" w:cs="Arial"/>
          <w:sz w:val="20"/>
          <w:szCs w:val="20"/>
        </w:rPr>
        <w:tab/>
      </w:r>
      <w:r w:rsidRPr="009806D5">
        <w:rPr>
          <w:rFonts w:ascii="Gotham" w:hAnsi="Gotham" w:cs="Arial"/>
          <w:sz w:val="20"/>
          <w:szCs w:val="20"/>
        </w:rPr>
        <w:t xml:space="preserve">Consiste en exponer el servicio y los alcances de la prestación del mismo; </w:t>
      </w:r>
    </w:p>
    <w:p w14:paraId="3A4744F4" w14:textId="77777777" w:rsidR="009B5E39" w:rsidRDefault="009B5E39" w:rsidP="009B5E39">
      <w:pPr>
        <w:ind w:left="426" w:hanging="426"/>
        <w:jc w:val="both"/>
        <w:rPr>
          <w:rFonts w:ascii="Gotham" w:hAnsi="Gotham" w:cs="Arial"/>
          <w:sz w:val="20"/>
          <w:szCs w:val="20"/>
        </w:rPr>
      </w:pPr>
    </w:p>
    <w:p w14:paraId="3A4744F5" w14:textId="77777777" w:rsidR="009B5E39" w:rsidRPr="009806D5" w:rsidRDefault="009B5E39" w:rsidP="009B5E39">
      <w:pPr>
        <w:ind w:left="426" w:hanging="426"/>
        <w:jc w:val="both"/>
        <w:rPr>
          <w:rFonts w:ascii="Gotham" w:hAnsi="Gotham" w:cs="Arial"/>
          <w:sz w:val="20"/>
          <w:szCs w:val="20"/>
        </w:rPr>
      </w:pPr>
      <w:r w:rsidRPr="009806D5">
        <w:rPr>
          <w:rFonts w:ascii="Gotham" w:hAnsi="Gotham" w:cs="Arial"/>
          <w:sz w:val="20"/>
          <w:szCs w:val="20"/>
        </w:rPr>
        <w:t xml:space="preserve">2.- </w:t>
      </w:r>
      <w:r>
        <w:rPr>
          <w:rFonts w:ascii="Gotham" w:hAnsi="Gotham" w:cs="Arial"/>
          <w:sz w:val="20"/>
          <w:szCs w:val="20"/>
        </w:rPr>
        <w:tab/>
      </w:r>
      <w:r w:rsidRPr="009806D5">
        <w:rPr>
          <w:rFonts w:ascii="Gotham" w:hAnsi="Gotham" w:cs="Arial"/>
          <w:sz w:val="20"/>
          <w:szCs w:val="20"/>
        </w:rPr>
        <w:t xml:space="preserve">Determinar a las autoridades en las que va a recaer la responsabilidad de la prestación del servicio y sus facultades; </w:t>
      </w:r>
    </w:p>
    <w:p w14:paraId="3A4744F6" w14:textId="77777777" w:rsidR="009B5E39" w:rsidRDefault="009B5E39" w:rsidP="009B5E39">
      <w:pPr>
        <w:ind w:left="426" w:hanging="426"/>
        <w:jc w:val="both"/>
        <w:rPr>
          <w:rFonts w:ascii="Gotham" w:hAnsi="Gotham" w:cs="Arial"/>
          <w:sz w:val="20"/>
          <w:szCs w:val="20"/>
        </w:rPr>
      </w:pPr>
    </w:p>
    <w:p w14:paraId="3A4744F7" w14:textId="77777777" w:rsidR="009B5E39" w:rsidRPr="009806D5" w:rsidRDefault="009B5E39" w:rsidP="009B5E39">
      <w:pPr>
        <w:ind w:left="426" w:hanging="426"/>
        <w:jc w:val="both"/>
        <w:rPr>
          <w:rFonts w:ascii="Gotham" w:hAnsi="Gotham" w:cs="Arial"/>
          <w:sz w:val="20"/>
          <w:szCs w:val="20"/>
        </w:rPr>
      </w:pPr>
      <w:r w:rsidRPr="009806D5">
        <w:rPr>
          <w:rFonts w:ascii="Gotham" w:hAnsi="Gotham" w:cs="Arial"/>
          <w:sz w:val="20"/>
          <w:szCs w:val="20"/>
        </w:rPr>
        <w:t xml:space="preserve">3.- </w:t>
      </w:r>
      <w:r>
        <w:rPr>
          <w:rFonts w:ascii="Gotham" w:hAnsi="Gotham" w:cs="Arial"/>
          <w:sz w:val="20"/>
          <w:szCs w:val="20"/>
        </w:rPr>
        <w:tab/>
      </w:r>
      <w:r w:rsidRPr="009806D5">
        <w:rPr>
          <w:rFonts w:ascii="Gotham" w:hAnsi="Gotham" w:cs="Arial"/>
          <w:sz w:val="20"/>
          <w:szCs w:val="20"/>
        </w:rPr>
        <w:t>Indicar la relación entre el municipio como ente de gobierno y sus pobladores, esto es que se debe de describir la correlación entre los distintos actores, sus formas de interacción, la retribución o derechos a los a que se sujeta el usuario del servicio público, así como las sanciones a las que puede hacerse acreedor, y;</w:t>
      </w:r>
    </w:p>
    <w:p w14:paraId="3A4744F8" w14:textId="77777777" w:rsidR="009B5E39" w:rsidRDefault="009B5E39" w:rsidP="009B5E39">
      <w:pPr>
        <w:ind w:left="426" w:hanging="426"/>
        <w:jc w:val="both"/>
        <w:rPr>
          <w:rFonts w:ascii="Gotham" w:hAnsi="Gotham" w:cs="Arial"/>
          <w:sz w:val="20"/>
          <w:szCs w:val="20"/>
        </w:rPr>
      </w:pPr>
    </w:p>
    <w:p w14:paraId="3A4744F9" w14:textId="77777777" w:rsidR="009B5E39" w:rsidRPr="009806D5" w:rsidRDefault="009B5E39" w:rsidP="009B5E39">
      <w:pPr>
        <w:ind w:left="426" w:hanging="426"/>
        <w:jc w:val="both"/>
        <w:rPr>
          <w:rFonts w:ascii="Gotham" w:hAnsi="Gotham" w:cs="Arial"/>
          <w:sz w:val="20"/>
          <w:szCs w:val="20"/>
        </w:rPr>
      </w:pPr>
      <w:r w:rsidRPr="009806D5">
        <w:rPr>
          <w:rFonts w:ascii="Gotham" w:hAnsi="Gotham" w:cs="Arial"/>
          <w:sz w:val="20"/>
          <w:szCs w:val="20"/>
        </w:rPr>
        <w:t xml:space="preserve">4.- </w:t>
      </w:r>
      <w:r>
        <w:rPr>
          <w:rFonts w:ascii="Gotham" w:hAnsi="Gotham" w:cs="Arial"/>
          <w:sz w:val="20"/>
          <w:szCs w:val="20"/>
        </w:rPr>
        <w:tab/>
      </w:r>
      <w:r w:rsidRPr="009806D5">
        <w:rPr>
          <w:rFonts w:ascii="Gotham" w:hAnsi="Gotham" w:cs="Arial"/>
          <w:sz w:val="20"/>
          <w:szCs w:val="20"/>
        </w:rPr>
        <w:t>Determinar el procedimiento administrativo y los medios de impugnación, así como los órganos encargados de dirimir las controversias que se susciten entre el municipio y los usuarios del servicio, en razón de la prestación del servicio público de que se trate.</w:t>
      </w:r>
    </w:p>
    <w:p w14:paraId="3A4744FA" w14:textId="77777777" w:rsidR="009B5E39" w:rsidRDefault="009B5E39" w:rsidP="009B5E39">
      <w:pPr>
        <w:jc w:val="both"/>
        <w:rPr>
          <w:rFonts w:ascii="Gotham" w:hAnsi="Gotham" w:cs="Arial"/>
          <w:sz w:val="20"/>
          <w:szCs w:val="20"/>
        </w:rPr>
      </w:pPr>
    </w:p>
    <w:p w14:paraId="3A4744FB"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En el entendido de que la titularidad de la prestación de los servicios, y la administración de los mismos es competencia exclusiva del ayuntamiento y la realiza a través de un área responsable que funciona bajo la supervisión del presidente municipal y de la comisión edilicia del ramo de que se trate.</w:t>
      </w:r>
    </w:p>
    <w:p w14:paraId="3A4744FC" w14:textId="77777777" w:rsidR="009B5E39" w:rsidRDefault="009B5E39" w:rsidP="009B5E39">
      <w:pPr>
        <w:jc w:val="both"/>
        <w:rPr>
          <w:rFonts w:ascii="Gotham" w:hAnsi="Gotham" w:cs="Arial"/>
          <w:sz w:val="20"/>
          <w:szCs w:val="20"/>
        </w:rPr>
      </w:pPr>
    </w:p>
    <w:p w14:paraId="3A4744FD"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Si bien, este gobierno se ha distinguido en los últimos años por impulsar políticas públicas en las ramas de la salud, educación, infraestructura, de movilidad, sostenibilidad, de conectividad, así como de identidad histórica, resulta importante también robustecer y actualizar el contenido de los cuerpos normativos municipales en estos y otros temas. </w:t>
      </w:r>
    </w:p>
    <w:p w14:paraId="3A4744FE" w14:textId="77777777" w:rsidR="009B5E39" w:rsidRDefault="009B5E39" w:rsidP="009B5E39">
      <w:pPr>
        <w:jc w:val="both"/>
        <w:rPr>
          <w:rFonts w:ascii="Gotham" w:hAnsi="Gotham" w:cs="Arial"/>
          <w:sz w:val="20"/>
          <w:szCs w:val="20"/>
        </w:rPr>
      </w:pPr>
    </w:p>
    <w:p w14:paraId="3A4744FF"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El Gobierno de la transformación en todo momento ha pugnado por realizar intervenciones normativas constantes a sus ordenamientos municipales, con la finalidad de que sean pertinentes a nuestra realidad actual.</w:t>
      </w:r>
    </w:p>
    <w:p w14:paraId="3A474500" w14:textId="77777777" w:rsidR="009B5E39" w:rsidRDefault="009B5E39" w:rsidP="009B5E39">
      <w:pPr>
        <w:jc w:val="both"/>
        <w:rPr>
          <w:rFonts w:ascii="Gotham" w:hAnsi="Gotham" w:cs="Arial"/>
          <w:sz w:val="20"/>
          <w:szCs w:val="20"/>
        </w:rPr>
      </w:pPr>
    </w:p>
    <w:p w14:paraId="3A474501"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Nuestro país vive un momento histórico y decisivo, que trazará la ruta institucional para el devenir de los próximos años, por ello, ante los grandes retos que se avecinan, resulta necesario ejecutar soluciones definitivas: como es la creación de nuevos reglamentos, reformas considerables y adiciones a diverso articulado de múltiples reglamentos municipales que respondan las exigencias ciudadanas y que estén a la altura de las circunstancias. </w:t>
      </w:r>
    </w:p>
    <w:p w14:paraId="3A474502" w14:textId="77777777" w:rsidR="009B5E39" w:rsidRDefault="009B5E39" w:rsidP="009B5E39">
      <w:pPr>
        <w:jc w:val="both"/>
        <w:rPr>
          <w:rFonts w:ascii="Gotham" w:hAnsi="Gotham" w:cs="Arial"/>
          <w:sz w:val="20"/>
          <w:szCs w:val="20"/>
        </w:rPr>
      </w:pPr>
    </w:p>
    <w:p w14:paraId="3A474503"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Es vital, la reestructuración de las dependencias con una visión humanista, que atienda las causas sociales, que sea cercana y escuche las voces de todas y todos los tonaltecas.</w:t>
      </w:r>
    </w:p>
    <w:p w14:paraId="3A474504" w14:textId="77777777" w:rsidR="009B5E39" w:rsidRDefault="009B5E39" w:rsidP="009B5E39">
      <w:pPr>
        <w:jc w:val="both"/>
        <w:rPr>
          <w:rFonts w:ascii="Gotham" w:hAnsi="Gotham" w:cs="Arial"/>
          <w:sz w:val="20"/>
          <w:szCs w:val="20"/>
          <w:shd w:val="clear" w:color="auto" w:fill="FFFFFF"/>
        </w:rPr>
      </w:pPr>
    </w:p>
    <w:p w14:paraId="3A474505" w14:textId="77777777" w:rsidR="009B5E39" w:rsidRPr="009806D5" w:rsidRDefault="009B5E39" w:rsidP="009B5E39">
      <w:pPr>
        <w:jc w:val="both"/>
        <w:rPr>
          <w:rFonts w:ascii="Gotham" w:hAnsi="Gotham" w:cs="Arial"/>
          <w:sz w:val="20"/>
          <w:szCs w:val="20"/>
          <w:shd w:val="clear" w:color="auto" w:fill="FFFFFF"/>
        </w:rPr>
      </w:pPr>
      <w:r w:rsidRPr="009806D5">
        <w:rPr>
          <w:rFonts w:ascii="Gotham" w:hAnsi="Gotham" w:cs="Arial"/>
          <w:sz w:val="20"/>
          <w:szCs w:val="20"/>
          <w:shd w:val="clear" w:color="auto" w:fill="FFFFFF"/>
        </w:rPr>
        <w:t xml:space="preserve">Según el Censo de Población y Vivienda 2020 del INEGI, el municipio cuenta con una población de 569,913 habitantes con amplia </w:t>
      </w:r>
      <w:r w:rsidRPr="009806D5">
        <w:rPr>
          <w:rFonts w:ascii="Gotham" w:hAnsi="Gotham" w:cs="Arial"/>
          <w:sz w:val="20"/>
          <w:szCs w:val="20"/>
        </w:rPr>
        <w:t xml:space="preserve">extensión territorial, situación que nos obliga a continuar con un gobierno ordenado y eficiente, que atienda las necesidades de su población, </w:t>
      </w:r>
      <w:r w:rsidRPr="009806D5">
        <w:rPr>
          <w:rFonts w:ascii="Gotham" w:hAnsi="Gotham" w:cs="Arial"/>
          <w:sz w:val="20"/>
          <w:szCs w:val="20"/>
          <w:shd w:val="clear" w:color="auto" w:fill="FFFFFF"/>
        </w:rPr>
        <w:t xml:space="preserve">es por ello, que el bagaje de reglamentos presentados para modificación u armonización son imprescindibles para resolver las problemáticas generadas por esta metrópoli. </w:t>
      </w:r>
    </w:p>
    <w:p w14:paraId="3A474506" w14:textId="77777777" w:rsidR="009B5E39" w:rsidRDefault="009B5E39" w:rsidP="009B5E39">
      <w:pPr>
        <w:jc w:val="both"/>
        <w:rPr>
          <w:rFonts w:ascii="Gotham" w:hAnsi="Gotham" w:cs="Arial"/>
          <w:sz w:val="20"/>
          <w:szCs w:val="20"/>
        </w:rPr>
      </w:pPr>
    </w:p>
    <w:p w14:paraId="3A474507"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Los principales ejes rectores que motivan esta iniciativa son: </w:t>
      </w:r>
    </w:p>
    <w:p w14:paraId="3A474508" w14:textId="77777777" w:rsidR="009B5E39" w:rsidRDefault="009B5E39" w:rsidP="009B5E39">
      <w:pPr>
        <w:jc w:val="both"/>
        <w:rPr>
          <w:rFonts w:ascii="Gotham" w:hAnsi="Gotham" w:cs="Arial"/>
          <w:sz w:val="20"/>
          <w:szCs w:val="20"/>
        </w:rPr>
      </w:pPr>
    </w:p>
    <w:p w14:paraId="3A474509"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Ordenar las actividades económicas, el objetivo se avanza con las reformas al Reglamento de Comercio municipal; el impulso al crecimiento en sitios con condiciones e infraestructura, con las modificaciones de las </w:t>
      </w:r>
      <w:r w:rsidRPr="009806D5">
        <w:rPr>
          <w:rFonts w:ascii="Gotham" w:hAnsi="Gotham" w:cs="Arial"/>
          <w:color w:val="000000"/>
          <w:sz w:val="20"/>
          <w:szCs w:val="20"/>
          <w:lang w:eastAsia="es-MX"/>
        </w:rPr>
        <w:t>Normas técnicas Integrales en materia de redensificación Urbana se progresa en el tema; la conservación de las áreas naturales, con la creación del Reglamento de Parques, Jardines y Conservación del Arbolado, son acciones de gobierno contundentes para trabajar con ese eje rector;</w:t>
      </w:r>
      <w:r w:rsidRPr="009806D5">
        <w:rPr>
          <w:rFonts w:ascii="Gotham" w:hAnsi="Gotham" w:cs="Arial"/>
          <w:sz w:val="20"/>
          <w:szCs w:val="20"/>
        </w:rPr>
        <w:t xml:space="preserve"> </w:t>
      </w:r>
    </w:p>
    <w:p w14:paraId="3A47450A" w14:textId="77777777" w:rsidR="009B5E39" w:rsidRDefault="009B5E39" w:rsidP="009B5E39">
      <w:pPr>
        <w:jc w:val="both"/>
        <w:rPr>
          <w:rFonts w:ascii="Gotham" w:hAnsi="Gotham" w:cs="Arial"/>
          <w:sz w:val="20"/>
          <w:szCs w:val="20"/>
        </w:rPr>
      </w:pPr>
    </w:p>
    <w:p w14:paraId="3A47450B"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La promoción al respeto, cuidado y la protección a todas las formas de vida animal</w:t>
      </w:r>
      <w:r w:rsidRPr="009806D5">
        <w:rPr>
          <w:rFonts w:ascii="Gotham" w:hAnsi="Gotham" w:cs="Arial"/>
          <w:i/>
          <w:sz w:val="20"/>
          <w:szCs w:val="20"/>
        </w:rPr>
        <w:t xml:space="preserve">, </w:t>
      </w:r>
      <w:r w:rsidRPr="009806D5">
        <w:rPr>
          <w:rFonts w:ascii="Gotham" w:hAnsi="Gotham" w:cs="Arial"/>
          <w:sz w:val="20"/>
          <w:szCs w:val="20"/>
        </w:rPr>
        <w:t>evitando de esa manera cualquier forma de maltrato y actos de zoofilia hacia estos seres vivos, así como la deformación de sus características físicas, con el reforzamiento del Reglamento de Protección, Cuidado y Sanidad para los Animales avanzamos; la urgente mitigación y adaptación a los efectos del cambio climático, las reformas al Código para la protección ambiental, cambio climático y sustentabilidad del municipio coadyuvan con el tema.</w:t>
      </w:r>
    </w:p>
    <w:p w14:paraId="3A47450C" w14:textId="77777777" w:rsidR="009B5E39" w:rsidRDefault="009B5E39" w:rsidP="009B5E39">
      <w:pPr>
        <w:jc w:val="both"/>
        <w:rPr>
          <w:rFonts w:ascii="Gotham" w:hAnsi="Gotham" w:cs="Arial"/>
          <w:sz w:val="20"/>
          <w:szCs w:val="20"/>
        </w:rPr>
      </w:pPr>
    </w:p>
    <w:p w14:paraId="3A47450D"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Una real participación ciudadanía, a través de las reformas al Reglamento de Participación ciudadana; una movilidad ordenada, conectada y sustentable, con las reformas al Reglamento de Movilidad y Transporte avanzamos fuerte en el tema. </w:t>
      </w:r>
    </w:p>
    <w:p w14:paraId="3A47450E" w14:textId="77777777" w:rsidR="009B5E39" w:rsidRDefault="009B5E39" w:rsidP="009B5E39">
      <w:pPr>
        <w:jc w:val="both"/>
        <w:rPr>
          <w:rFonts w:ascii="Gotham" w:hAnsi="Gotham" w:cs="Arial"/>
          <w:sz w:val="20"/>
          <w:szCs w:val="20"/>
        </w:rPr>
      </w:pPr>
    </w:p>
    <w:p w14:paraId="3A47450F"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Con la creación de un nuevo Reglamento de Archivos del Municipio de Tonalá, Jalisco y del Archivo General Municipal, marcará un hito a nivel estatal, porque lograremos una organización sistematizada en archivos de trámite, de conservación, o históricos, con la posibilidad del trabajo coordinado con el Archivo General del Estado o de la Nación para el intercambio de conocimientos histórico-cultural, que redundará en una sólida proyección de nuestro municipio en el ámbito nacional.</w:t>
      </w:r>
      <w:r w:rsidR="00883EC2">
        <w:rPr>
          <w:rFonts w:ascii="Gotham" w:hAnsi="Gotham" w:cs="Arial"/>
          <w:sz w:val="20"/>
          <w:szCs w:val="20"/>
        </w:rPr>
        <w:t xml:space="preserve"> </w:t>
      </w:r>
    </w:p>
    <w:p w14:paraId="3A474510" w14:textId="77777777" w:rsidR="009B5E39" w:rsidRDefault="009B5E39" w:rsidP="009B5E39">
      <w:pPr>
        <w:jc w:val="both"/>
        <w:rPr>
          <w:rFonts w:ascii="Gotham" w:hAnsi="Gotham" w:cs="Arial"/>
          <w:sz w:val="20"/>
          <w:szCs w:val="20"/>
        </w:rPr>
      </w:pPr>
    </w:p>
    <w:p w14:paraId="3A474511"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Esta iniciativa trata de reformas integrales de largo alcance, que transformarán de fondo las rutas o el camino para que los servicios públicos estén al alcance de la mayoría, sobre todo de los grupos más vulnerables: personas adultas mayores, mujeres, personas con discapacidad, niñas niños y adolescentes.</w:t>
      </w:r>
    </w:p>
    <w:p w14:paraId="3A474512" w14:textId="77777777" w:rsidR="009B5E39" w:rsidRDefault="009B5E39" w:rsidP="009B5E39">
      <w:pPr>
        <w:jc w:val="both"/>
        <w:rPr>
          <w:rFonts w:ascii="Gotham" w:hAnsi="Gotham" w:cs="Arial"/>
          <w:sz w:val="20"/>
          <w:szCs w:val="20"/>
        </w:rPr>
      </w:pPr>
    </w:p>
    <w:p w14:paraId="3A474513"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El cúmulo de reglamentos que contiene ésta iniciativa contienen propuestas de modificación, cambios estructurales, pero también incorporan aspectos sociales, comunitarios y ambientales.</w:t>
      </w:r>
    </w:p>
    <w:p w14:paraId="3A474514" w14:textId="77777777" w:rsidR="009B5E39" w:rsidRDefault="009B5E39" w:rsidP="009B5E39">
      <w:pPr>
        <w:jc w:val="both"/>
        <w:rPr>
          <w:rFonts w:ascii="Gotham" w:hAnsi="Gotham" w:cs="Arial"/>
          <w:sz w:val="20"/>
          <w:szCs w:val="20"/>
        </w:rPr>
      </w:pPr>
    </w:p>
    <w:p w14:paraId="3A474515"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Ante las vicisitudes por todos conocida que enfrentamos con la empresa concesionaria de recolección de basura, resulta imperiosa la necesidad de legislar en el tema de la gestión integral de residuos, entendiéndola como el conjunto articulado e interrelacionado de acciones normativas, operativas, financieras, de planeación, administrativas, sociales, educativas, de monitoreo, supervisión y evaluación, para el manejo de residuos, desde su generación hasta la disposición final, a fin de lograr beneficios ambientales, la optimización económica de su manejo y su aceptación social, en el municipio. </w:t>
      </w:r>
    </w:p>
    <w:p w14:paraId="3A474516" w14:textId="77777777" w:rsidR="009B5E39" w:rsidRDefault="009B5E39" w:rsidP="009B5E39">
      <w:pPr>
        <w:jc w:val="both"/>
        <w:rPr>
          <w:rFonts w:ascii="Gotham" w:hAnsi="Gotham" w:cs="Arial"/>
          <w:sz w:val="20"/>
          <w:szCs w:val="20"/>
        </w:rPr>
      </w:pPr>
    </w:p>
    <w:p w14:paraId="3A474517"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En general, la optimización funcional y orgánica en la prestación de los servicios públicos motivan la modificación tanto del Reglamento del Gobierno y de la Administración Pública del Ayuntamiento Constitucional de Tonalá, Jalisco, debido a que la organización interna del gobierno requiere esquemas óptimos e idóneos que permitan adecuarse a una nueva dinámica gubernamental, así como del</w:t>
      </w:r>
      <w:r w:rsidR="00883EC2">
        <w:rPr>
          <w:rFonts w:ascii="Gotham" w:hAnsi="Gotham" w:cs="Arial"/>
          <w:sz w:val="20"/>
          <w:szCs w:val="20"/>
        </w:rPr>
        <w:t xml:space="preserve"> </w:t>
      </w:r>
      <w:r w:rsidRPr="009806D5">
        <w:rPr>
          <w:rFonts w:ascii="Gotham" w:hAnsi="Gotham" w:cs="Arial"/>
          <w:sz w:val="20"/>
          <w:szCs w:val="20"/>
        </w:rPr>
        <w:lastRenderedPageBreak/>
        <w:t>Reglamento interno de la Coordinación del Gabinete de Seguridad, prevención, servicios de emergencias y movilidad, entre otros.</w:t>
      </w:r>
    </w:p>
    <w:p w14:paraId="3A474518" w14:textId="77777777" w:rsidR="009B5E39" w:rsidRDefault="009B5E39" w:rsidP="009B5E39">
      <w:pPr>
        <w:jc w:val="both"/>
        <w:rPr>
          <w:rFonts w:ascii="Gotham" w:hAnsi="Gotham" w:cs="Arial"/>
          <w:sz w:val="20"/>
          <w:szCs w:val="20"/>
        </w:rPr>
      </w:pPr>
    </w:p>
    <w:p w14:paraId="3A474519"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Bajo ese orden de ideas, este Ayuntamiento tiene el compromiso institucional de procurar la modernización de los reglamentos municipales con el propósito fundamental de contar con normas que propicien la simplificación administrativa, que incentiven la participación ciudadana, sobre todo, que fortalezcan, para los habitantes del municipio de Tonalá, Jalisco, el Estado de derecho.</w:t>
      </w:r>
    </w:p>
    <w:p w14:paraId="3A47451A" w14:textId="77777777" w:rsidR="009B5E39" w:rsidRDefault="009B5E39" w:rsidP="009B5E39">
      <w:pPr>
        <w:jc w:val="both"/>
        <w:rPr>
          <w:rFonts w:ascii="Gotham" w:hAnsi="Gotham" w:cs="Arial"/>
          <w:sz w:val="20"/>
          <w:szCs w:val="20"/>
        </w:rPr>
      </w:pPr>
    </w:p>
    <w:p w14:paraId="3A47451B"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 xml:space="preserve">Se propone perfeccionar y modernizar el marco normativo de nuestro municipio, a efecto de establecer de manera clara la estructura de las dependencias, así como las facultades, atribuciones y obligaciones de los servidores públicos, las cuales han estado evolucionando y es necesario ajustarlas a la actualidad. </w:t>
      </w:r>
    </w:p>
    <w:p w14:paraId="3A47451C" w14:textId="77777777" w:rsidR="009B5E39" w:rsidRDefault="009B5E39" w:rsidP="009B5E39">
      <w:pPr>
        <w:jc w:val="both"/>
        <w:rPr>
          <w:rFonts w:ascii="Gotham" w:hAnsi="Gotham" w:cs="Arial"/>
          <w:sz w:val="20"/>
          <w:szCs w:val="20"/>
        </w:rPr>
      </w:pPr>
    </w:p>
    <w:p w14:paraId="3A47451D"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Los reglamentos municipales que sufren modificaciones, adiciones son los siguientes:</w:t>
      </w:r>
    </w:p>
    <w:p w14:paraId="3A47451E" w14:textId="77777777" w:rsidR="009B5E39" w:rsidRPr="009806D5" w:rsidRDefault="009B5E39" w:rsidP="009B5E39">
      <w:pPr>
        <w:jc w:val="both"/>
        <w:rPr>
          <w:rFonts w:ascii="Gotham" w:hAnsi="Gotham" w:cs="Arial"/>
          <w:b/>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972"/>
      </w:tblGrid>
      <w:tr w:rsidR="009B5E39" w:rsidRPr="009806D5" w14:paraId="3A474520" w14:textId="77777777" w:rsidTr="00190E4A">
        <w:trPr>
          <w:trHeight w:val="510"/>
        </w:trPr>
        <w:tc>
          <w:tcPr>
            <w:tcW w:w="0" w:type="auto"/>
            <w:tcMar>
              <w:top w:w="0" w:type="dxa"/>
              <w:left w:w="108" w:type="dxa"/>
              <w:bottom w:w="0" w:type="dxa"/>
              <w:right w:w="108" w:type="dxa"/>
            </w:tcMar>
            <w:vAlign w:val="center"/>
            <w:hideMark/>
          </w:tcPr>
          <w:p w14:paraId="3A47451F" w14:textId="77777777" w:rsidR="009B5E39" w:rsidRPr="009806D5" w:rsidRDefault="009B5E39" w:rsidP="00190E4A">
            <w:pPr>
              <w:jc w:val="both"/>
              <w:textAlignment w:val="baseline"/>
              <w:rPr>
                <w:rFonts w:ascii="Gotham" w:hAnsi="Gotham" w:cs="Arial"/>
                <w:b/>
                <w:bCs/>
                <w:color w:val="000000"/>
                <w:sz w:val="20"/>
                <w:szCs w:val="20"/>
                <w:lang w:eastAsia="es-MX"/>
              </w:rPr>
            </w:pPr>
            <w:r w:rsidRPr="00400247">
              <w:rPr>
                <w:rFonts w:ascii="Gotham" w:hAnsi="Gotham" w:cs="Arial"/>
                <w:color w:val="000000"/>
                <w:sz w:val="20"/>
                <w:szCs w:val="20"/>
                <w:lang w:eastAsia="es-MX"/>
              </w:rPr>
              <w:t>Reglamento</w:t>
            </w:r>
            <w:r>
              <w:rPr>
                <w:rFonts w:ascii="Gotham" w:hAnsi="Gotham" w:cs="Arial"/>
                <w:color w:val="000000"/>
                <w:sz w:val="20"/>
                <w:szCs w:val="20"/>
                <w:lang w:eastAsia="es-MX"/>
              </w:rPr>
              <w:t xml:space="preserve"> </w:t>
            </w:r>
            <w:r w:rsidRPr="009806D5">
              <w:rPr>
                <w:rFonts w:ascii="Gotham" w:hAnsi="Gotham" w:cs="Arial"/>
                <w:color w:val="000000"/>
                <w:sz w:val="20"/>
                <w:szCs w:val="20"/>
                <w:lang w:eastAsia="es-MX"/>
              </w:rPr>
              <w:t xml:space="preserve">del Gobierno y la Administración Pública del Ayuntamiento Constitucional de Tonalá, Jalisco </w:t>
            </w:r>
          </w:p>
        </w:tc>
      </w:tr>
      <w:tr w:rsidR="009B5E39" w:rsidRPr="009806D5" w14:paraId="3A474522" w14:textId="77777777" w:rsidTr="00190E4A">
        <w:trPr>
          <w:trHeight w:val="283"/>
        </w:trPr>
        <w:tc>
          <w:tcPr>
            <w:tcW w:w="0" w:type="auto"/>
            <w:tcMar>
              <w:top w:w="0" w:type="dxa"/>
              <w:left w:w="108" w:type="dxa"/>
              <w:bottom w:w="0" w:type="dxa"/>
              <w:right w:w="108" w:type="dxa"/>
            </w:tcMar>
            <w:vAlign w:val="center"/>
            <w:hideMark/>
          </w:tcPr>
          <w:p w14:paraId="3A474521"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Alumbrado Público</w:t>
            </w:r>
          </w:p>
        </w:tc>
      </w:tr>
      <w:tr w:rsidR="009B5E39" w:rsidRPr="009806D5" w14:paraId="3A474524" w14:textId="77777777" w:rsidTr="00190E4A">
        <w:trPr>
          <w:trHeight w:val="283"/>
        </w:trPr>
        <w:tc>
          <w:tcPr>
            <w:tcW w:w="0" w:type="auto"/>
            <w:tcMar>
              <w:top w:w="0" w:type="dxa"/>
              <w:left w:w="108" w:type="dxa"/>
              <w:bottom w:w="0" w:type="dxa"/>
              <w:right w:w="108" w:type="dxa"/>
            </w:tcMar>
            <w:vAlign w:val="center"/>
            <w:hideMark/>
          </w:tcPr>
          <w:p w14:paraId="3A474523"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Agua Potable y Alcantarillado.</w:t>
            </w:r>
          </w:p>
        </w:tc>
      </w:tr>
      <w:tr w:rsidR="009B5E39" w:rsidRPr="009806D5" w14:paraId="3A474526" w14:textId="77777777" w:rsidTr="00190E4A">
        <w:trPr>
          <w:trHeight w:val="283"/>
        </w:trPr>
        <w:tc>
          <w:tcPr>
            <w:tcW w:w="0" w:type="auto"/>
            <w:tcMar>
              <w:top w:w="0" w:type="dxa"/>
              <w:left w:w="108" w:type="dxa"/>
              <w:bottom w:w="0" w:type="dxa"/>
              <w:right w:w="108" w:type="dxa"/>
            </w:tcMar>
            <w:vAlign w:val="center"/>
            <w:hideMark/>
          </w:tcPr>
          <w:p w14:paraId="3A474525"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 xml:space="preserve">Reglamento de </w:t>
            </w:r>
            <w:r>
              <w:rPr>
                <w:rFonts w:ascii="Gotham" w:hAnsi="Gotham" w:cs="Arial"/>
                <w:color w:val="000000"/>
                <w:sz w:val="20"/>
                <w:szCs w:val="20"/>
                <w:lang w:eastAsia="es-MX"/>
              </w:rPr>
              <w:t xml:space="preserve">Espectáculos Públicos </w:t>
            </w:r>
          </w:p>
        </w:tc>
      </w:tr>
      <w:tr w:rsidR="009B5E39" w:rsidRPr="009806D5" w14:paraId="3A474528" w14:textId="77777777" w:rsidTr="00190E4A">
        <w:trPr>
          <w:trHeight w:val="283"/>
        </w:trPr>
        <w:tc>
          <w:tcPr>
            <w:tcW w:w="0" w:type="auto"/>
            <w:tcMar>
              <w:top w:w="0" w:type="dxa"/>
              <w:left w:w="108" w:type="dxa"/>
              <w:bottom w:w="0" w:type="dxa"/>
              <w:right w:w="108" w:type="dxa"/>
            </w:tcMar>
            <w:vAlign w:val="center"/>
            <w:hideMark/>
          </w:tcPr>
          <w:p w14:paraId="3A474527"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Movilidad y Agentes</w:t>
            </w:r>
          </w:p>
        </w:tc>
      </w:tr>
      <w:tr w:rsidR="009B5E39" w:rsidRPr="009806D5" w14:paraId="3A47452A" w14:textId="77777777" w:rsidTr="00190E4A">
        <w:trPr>
          <w:trHeight w:val="283"/>
        </w:trPr>
        <w:tc>
          <w:tcPr>
            <w:tcW w:w="0" w:type="auto"/>
            <w:tcMar>
              <w:top w:w="0" w:type="dxa"/>
              <w:left w:w="108" w:type="dxa"/>
              <w:bottom w:w="0" w:type="dxa"/>
              <w:right w:w="108" w:type="dxa"/>
            </w:tcMar>
            <w:vAlign w:val="center"/>
            <w:hideMark/>
          </w:tcPr>
          <w:p w14:paraId="3A474529"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Programa Municipal de Residuos</w:t>
            </w:r>
          </w:p>
        </w:tc>
      </w:tr>
      <w:tr w:rsidR="009B5E39" w:rsidRPr="009806D5" w14:paraId="3A47452C" w14:textId="77777777" w:rsidTr="00190E4A">
        <w:trPr>
          <w:trHeight w:val="510"/>
        </w:trPr>
        <w:tc>
          <w:tcPr>
            <w:tcW w:w="0" w:type="auto"/>
            <w:tcMar>
              <w:top w:w="0" w:type="dxa"/>
              <w:left w:w="108" w:type="dxa"/>
              <w:bottom w:w="0" w:type="dxa"/>
              <w:right w:w="108" w:type="dxa"/>
            </w:tcMar>
            <w:vAlign w:val="center"/>
            <w:hideMark/>
          </w:tcPr>
          <w:p w14:paraId="3A47452B" w14:textId="77777777" w:rsidR="009B5E39" w:rsidRPr="007B5893" w:rsidRDefault="009B5E39" w:rsidP="00190E4A">
            <w:pPr>
              <w:jc w:val="both"/>
              <w:textAlignment w:val="baseline"/>
              <w:rPr>
                <w:rFonts w:ascii="Gotham" w:hAnsi="Gotham" w:cs="Arial"/>
                <w:color w:val="000000"/>
                <w:sz w:val="20"/>
                <w:szCs w:val="20"/>
                <w:lang w:eastAsia="es-MX"/>
              </w:rPr>
            </w:pPr>
            <w:r w:rsidRPr="009806D5">
              <w:rPr>
                <w:rFonts w:ascii="Gotham" w:hAnsi="Gotham" w:cs="Arial"/>
                <w:color w:val="000000"/>
                <w:sz w:val="20"/>
                <w:szCs w:val="20"/>
                <w:lang w:eastAsia="es-MX"/>
              </w:rPr>
              <w:t>Reglamento de Parques, Jardines y Conservación del Arbolado “Estudios Fitosanitarios y Forestales” “Dictámenes Forestales.</w:t>
            </w:r>
          </w:p>
        </w:tc>
      </w:tr>
      <w:tr w:rsidR="009B5E39" w:rsidRPr="009806D5" w14:paraId="3A47452E" w14:textId="77777777" w:rsidTr="00190E4A">
        <w:trPr>
          <w:trHeight w:val="283"/>
        </w:trPr>
        <w:tc>
          <w:tcPr>
            <w:tcW w:w="0" w:type="auto"/>
            <w:tcMar>
              <w:top w:w="0" w:type="dxa"/>
              <w:left w:w="108" w:type="dxa"/>
              <w:bottom w:w="0" w:type="dxa"/>
              <w:right w:w="108" w:type="dxa"/>
            </w:tcMar>
            <w:vAlign w:val="center"/>
            <w:hideMark/>
          </w:tcPr>
          <w:p w14:paraId="3A47452D"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Cementerios. </w:t>
            </w:r>
          </w:p>
        </w:tc>
      </w:tr>
      <w:tr w:rsidR="009B5E39" w:rsidRPr="009806D5" w14:paraId="3A474530" w14:textId="77777777" w:rsidTr="00190E4A">
        <w:trPr>
          <w:trHeight w:val="283"/>
        </w:trPr>
        <w:tc>
          <w:tcPr>
            <w:tcW w:w="0" w:type="auto"/>
            <w:tcMar>
              <w:top w:w="0" w:type="dxa"/>
              <w:left w:w="108" w:type="dxa"/>
              <w:bottom w:w="0" w:type="dxa"/>
              <w:right w:w="108" w:type="dxa"/>
            </w:tcMar>
            <w:vAlign w:val="center"/>
            <w:hideMark/>
          </w:tcPr>
          <w:p w14:paraId="3A47452F"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Salud Animal.</w:t>
            </w:r>
          </w:p>
        </w:tc>
      </w:tr>
      <w:tr w:rsidR="009B5E39" w:rsidRPr="009806D5" w14:paraId="3A474532" w14:textId="77777777" w:rsidTr="00190E4A">
        <w:trPr>
          <w:trHeight w:val="283"/>
        </w:trPr>
        <w:tc>
          <w:tcPr>
            <w:tcW w:w="0" w:type="auto"/>
            <w:tcMar>
              <w:top w:w="0" w:type="dxa"/>
              <w:left w:w="108" w:type="dxa"/>
              <w:bottom w:w="0" w:type="dxa"/>
              <w:right w:w="108" w:type="dxa"/>
            </w:tcMar>
            <w:vAlign w:val="center"/>
            <w:hideMark/>
          </w:tcPr>
          <w:p w14:paraId="3A474531"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Anuncios</w:t>
            </w:r>
          </w:p>
        </w:tc>
      </w:tr>
      <w:tr w:rsidR="009B5E39" w:rsidRPr="009806D5" w14:paraId="3A474534" w14:textId="77777777" w:rsidTr="00190E4A">
        <w:trPr>
          <w:trHeight w:val="283"/>
        </w:trPr>
        <w:tc>
          <w:tcPr>
            <w:tcW w:w="0" w:type="auto"/>
            <w:tcMar>
              <w:top w:w="0" w:type="dxa"/>
              <w:left w:w="108" w:type="dxa"/>
              <w:bottom w:w="0" w:type="dxa"/>
              <w:right w:w="108" w:type="dxa"/>
            </w:tcMar>
            <w:vAlign w:val="center"/>
            <w:hideMark/>
          </w:tcPr>
          <w:p w14:paraId="3A474533"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Comercio</w:t>
            </w:r>
          </w:p>
        </w:tc>
      </w:tr>
      <w:tr w:rsidR="009B5E39" w:rsidRPr="009806D5" w14:paraId="3A474536" w14:textId="77777777" w:rsidTr="00190E4A">
        <w:trPr>
          <w:trHeight w:val="283"/>
        </w:trPr>
        <w:tc>
          <w:tcPr>
            <w:tcW w:w="0" w:type="auto"/>
            <w:tcMar>
              <w:top w:w="0" w:type="dxa"/>
              <w:left w:w="108" w:type="dxa"/>
              <w:bottom w:w="0" w:type="dxa"/>
              <w:right w:w="108" w:type="dxa"/>
            </w:tcMar>
            <w:vAlign w:val="center"/>
            <w:hideMark/>
          </w:tcPr>
          <w:p w14:paraId="3A474535"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Gobierno Digital. </w:t>
            </w:r>
          </w:p>
        </w:tc>
      </w:tr>
      <w:tr w:rsidR="009B5E39" w:rsidRPr="009806D5" w14:paraId="3A474538" w14:textId="77777777" w:rsidTr="00190E4A">
        <w:trPr>
          <w:trHeight w:val="283"/>
        </w:trPr>
        <w:tc>
          <w:tcPr>
            <w:tcW w:w="0" w:type="auto"/>
            <w:tcMar>
              <w:top w:w="0" w:type="dxa"/>
              <w:left w:w="108" w:type="dxa"/>
              <w:bottom w:w="0" w:type="dxa"/>
              <w:right w:w="108" w:type="dxa"/>
            </w:tcMar>
            <w:vAlign w:val="center"/>
            <w:hideMark/>
          </w:tcPr>
          <w:p w14:paraId="3A474537"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Transparencia. </w:t>
            </w:r>
          </w:p>
        </w:tc>
      </w:tr>
      <w:tr w:rsidR="009B5E39" w:rsidRPr="009806D5" w14:paraId="3A47453A" w14:textId="77777777" w:rsidTr="00190E4A">
        <w:trPr>
          <w:trHeight w:val="283"/>
        </w:trPr>
        <w:tc>
          <w:tcPr>
            <w:tcW w:w="0" w:type="auto"/>
            <w:tcMar>
              <w:top w:w="0" w:type="dxa"/>
              <w:left w:w="108" w:type="dxa"/>
              <w:bottom w:w="0" w:type="dxa"/>
              <w:right w:w="108" w:type="dxa"/>
            </w:tcMar>
            <w:vAlign w:val="center"/>
            <w:hideMark/>
          </w:tcPr>
          <w:p w14:paraId="3A474539"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del Rastro y sus Servicios Complementarios</w:t>
            </w:r>
          </w:p>
        </w:tc>
      </w:tr>
      <w:tr w:rsidR="009B5E39" w:rsidRPr="009806D5" w14:paraId="3A47453C" w14:textId="77777777" w:rsidTr="00190E4A">
        <w:trPr>
          <w:trHeight w:val="283"/>
        </w:trPr>
        <w:tc>
          <w:tcPr>
            <w:tcW w:w="0" w:type="auto"/>
            <w:tcMar>
              <w:top w:w="0" w:type="dxa"/>
              <w:left w:w="108" w:type="dxa"/>
              <w:bottom w:w="0" w:type="dxa"/>
              <w:right w:w="108" w:type="dxa"/>
            </w:tcMar>
            <w:vAlign w:val="center"/>
            <w:hideMark/>
          </w:tcPr>
          <w:p w14:paraId="3A47453B"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Interno de la Secretaría General</w:t>
            </w:r>
          </w:p>
        </w:tc>
      </w:tr>
      <w:tr w:rsidR="009B5E39" w:rsidRPr="009806D5" w14:paraId="3A47453E" w14:textId="77777777" w:rsidTr="00190E4A">
        <w:trPr>
          <w:trHeight w:val="283"/>
        </w:trPr>
        <w:tc>
          <w:tcPr>
            <w:tcW w:w="0" w:type="auto"/>
            <w:tcMar>
              <w:top w:w="0" w:type="dxa"/>
              <w:left w:w="108" w:type="dxa"/>
              <w:bottom w:w="0" w:type="dxa"/>
              <w:right w:w="108" w:type="dxa"/>
            </w:tcMar>
            <w:vAlign w:val="center"/>
            <w:hideMark/>
          </w:tcPr>
          <w:p w14:paraId="3A47453D"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Giros Restringidos</w:t>
            </w:r>
          </w:p>
        </w:tc>
      </w:tr>
      <w:tr w:rsidR="009B5E39" w:rsidRPr="009806D5" w14:paraId="3A474540" w14:textId="77777777" w:rsidTr="00190E4A">
        <w:trPr>
          <w:trHeight w:val="283"/>
        </w:trPr>
        <w:tc>
          <w:tcPr>
            <w:tcW w:w="0" w:type="auto"/>
            <w:tcMar>
              <w:top w:w="0" w:type="dxa"/>
              <w:left w:w="108" w:type="dxa"/>
              <w:bottom w:w="0" w:type="dxa"/>
              <w:right w:w="108" w:type="dxa"/>
            </w:tcMar>
            <w:vAlign w:val="center"/>
            <w:hideMark/>
          </w:tcPr>
          <w:p w14:paraId="3A47453F"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Centro Histórico</w:t>
            </w:r>
          </w:p>
        </w:tc>
      </w:tr>
      <w:tr w:rsidR="009B5E39" w:rsidRPr="009806D5" w14:paraId="3A474542" w14:textId="77777777" w:rsidTr="00190E4A">
        <w:trPr>
          <w:trHeight w:val="283"/>
        </w:trPr>
        <w:tc>
          <w:tcPr>
            <w:tcW w:w="0" w:type="auto"/>
            <w:tcMar>
              <w:top w:w="0" w:type="dxa"/>
              <w:left w:w="108" w:type="dxa"/>
              <w:bottom w:w="0" w:type="dxa"/>
              <w:right w:w="108" w:type="dxa"/>
            </w:tcMar>
            <w:vAlign w:val="center"/>
            <w:hideMark/>
          </w:tcPr>
          <w:p w14:paraId="3A474541"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Nomenclatura</w:t>
            </w:r>
          </w:p>
        </w:tc>
      </w:tr>
      <w:tr w:rsidR="009B5E39" w:rsidRPr="009806D5" w14:paraId="3A474544" w14:textId="77777777" w:rsidTr="00190E4A">
        <w:trPr>
          <w:trHeight w:val="283"/>
        </w:trPr>
        <w:tc>
          <w:tcPr>
            <w:tcW w:w="0" w:type="auto"/>
            <w:tcMar>
              <w:top w:w="0" w:type="dxa"/>
              <w:left w:w="108" w:type="dxa"/>
              <w:bottom w:w="0" w:type="dxa"/>
              <w:right w:w="108" w:type="dxa"/>
            </w:tcMar>
            <w:vAlign w:val="center"/>
            <w:hideMark/>
          </w:tcPr>
          <w:p w14:paraId="3A474543"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Comodato de Áreas de Cesión</w:t>
            </w:r>
          </w:p>
        </w:tc>
      </w:tr>
      <w:tr w:rsidR="009B5E39" w:rsidRPr="009806D5" w14:paraId="3A474546" w14:textId="77777777" w:rsidTr="00190E4A">
        <w:trPr>
          <w:trHeight w:val="283"/>
        </w:trPr>
        <w:tc>
          <w:tcPr>
            <w:tcW w:w="0" w:type="auto"/>
            <w:tcMar>
              <w:top w:w="0" w:type="dxa"/>
              <w:left w:w="108" w:type="dxa"/>
              <w:bottom w:w="0" w:type="dxa"/>
              <w:right w:w="108" w:type="dxa"/>
            </w:tcMar>
            <w:vAlign w:val="center"/>
            <w:hideMark/>
          </w:tcPr>
          <w:p w14:paraId="3A474545" w14:textId="77777777" w:rsidR="009B5E39" w:rsidRPr="00400247" w:rsidRDefault="009B5E39" w:rsidP="00190E4A">
            <w:pPr>
              <w:jc w:val="both"/>
              <w:textAlignment w:val="baseline"/>
              <w:rPr>
                <w:rFonts w:ascii="Gotham" w:hAnsi="Gotham" w:cs="Arial"/>
                <w:bCs/>
                <w:color w:val="000000"/>
                <w:sz w:val="20"/>
                <w:szCs w:val="20"/>
                <w:lang w:eastAsia="es-MX"/>
              </w:rPr>
            </w:pPr>
            <w:r w:rsidRPr="00400247">
              <w:rPr>
                <w:rFonts w:ascii="Gotham" w:hAnsi="Gotham" w:cs="Arial"/>
                <w:bCs/>
                <w:color w:val="000000"/>
                <w:sz w:val="20"/>
                <w:szCs w:val="20"/>
                <w:lang w:eastAsia="es-MX"/>
              </w:rPr>
              <w:t xml:space="preserve">Reglamento </w:t>
            </w:r>
            <w:r>
              <w:rPr>
                <w:rFonts w:ascii="Gotham" w:hAnsi="Gotham" w:cs="Arial"/>
                <w:bCs/>
                <w:color w:val="000000"/>
                <w:sz w:val="20"/>
                <w:szCs w:val="20"/>
                <w:lang w:eastAsia="es-MX"/>
              </w:rPr>
              <w:t>para Funcionamiento interno de sesiones del Ayuntamiento de Tonalá, Jalisco</w:t>
            </w:r>
          </w:p>
        </w:tc>
      </w:tr>
      <w:tr w:rsidR="009B5E39" w:rsidRPr="009806D5" w14:paraId="3A474548" w14:textId="77777777" w:rsidTr="00190E4A">
        <w:trPr>
          <w:trHeight w:val="283"/>
        </w:trPr>
        <w:tc>
          <w:tcPr>
            <w:tcW w:w="0" w:type="auto"/>
            <w:tcMar>
              <w:top w:w="0" w:type="dxa"/>
              <w:left w:w="108" w:type="dxa"/>
              <w:bottom w:w="0" w:type="dxa"/>
              <w:right w:w="108" w:type="dxa"/>
            </w:tcMar>
            <w:vAlign w:val="center"/>
            <w:hideMark/>
          </w:tcPr>
          <w:p w14:paraId="3A474547"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Obras Públicas y Construcción</w:t>
            </w:r>
          </w:p>
        </w:tc>
      </w:tr>
      <w:tr w:rsidR="009B5E39" w:rsidRPr="009806D5" w14:paraId="3A47454A" w14:textId="77777777" w:rsidTr="00190E4A">
        <w:trPr>
          <w:trHeight w:val="283"/>
        </w:trPr>
        <w:tc>
          <w:tcPr>
            <w:tcW w:w="0" w:type="auto"/>
            <w:tcMar>
              <w:top w:w="0" w:type="dxa"/>
              <w:left w:w="108" w:type="dxa"/>
              <w:bottom w:w="0" w:type="dxa"/>
              <w:right w:w="108" w:type="dxa"/>
            </w:tcMar>
            <w:vAlign w:val="center"/>
            <w:hideMark/>
          </w:tcPr>
          <w:p w14:paraId="3A474549"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Delegaciones y Agencias </w:t>
            </w:r>
          </w:p>
        </w:tc>
      </w:tr>
      <w:tr w:rsidR="009B5E39" w:rsidRPr="009806D5" w14:paraId="3A47454C" w14:textId="77777777" w:rsidTr="00190E4A">
        <w:trPr>
          <w:trHeight w:val="283"/>
        </w:trPr>
        <w:tc>
          <w:tcPr>
            <w:tcW w:w="0" w:type="auto"/>
            <w:tcMar>
              <w:top w:w="0" w:type="dxa"/>
              <w:left w:w="108" w:type="dxa"/>
              <w:bottom w:w="0" w:type="dxa"/>
              <w:right w:w="108" w:type="dxa"/>
            </w:tcMar>
            <w:vAlign w:val="center"/>
            <w:hideMark/>
          </w:tcPr>
          <w:p w14:paraId="3A47454B"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Protección Civil y Bomberos</w:t>
            </w:r>
          </w:p>
        </w:tc>
      </w:tr>
      <w:tr w:rsidR="009B5E39" w:rsidRPr="009806D5" w14:paraId="3A47454E" w14:textId="77777777" w:rsidTr="00190E4A">
        <w:trPr>
          <w:trHeight w:val="283"/>
        </w:trPr>
        <w:tc>
          <w:tcPr>
            <w:tcW w:w="0" w:type="auto"/>
            <w:tcMar>
              <w:top w:w="0" w:type="dxa"/>
              <w:left w:w="108" w:type="dxa"/>
              <w:bottom w:w="0" w:type="dxa"/>
              <w:right w:w="108" w:type="dxa"/>
            </w:tcMar>
            <w:vAlign w:val="center"/>
            <w:hideMark/>
          </w:tcPr>
          <w:p w14:paraId="3A47454D"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Participación Ciudadana</w:t>
            </w:r>
            <w:r w:rsidR="00883EC2">
              <w:rPr>
                <w:rFonts w:ascii="Gotham" w:hAnsi="Gotham" w:cs="Arial"/>
                <w:color w:val="000000"/>
                <w:sz w:val="20"/>
                <w:szCs w:val="20"/>
                <w:lang w:eastAsia="es-MX"/>
              </w:rPr>
              <w:t xml:space="preserve"> </w:t>
            </w:r>
            <w:r w:rsidRPr="009806D5">
              <w:rPr>
                <w:rFonts w:ascii="Gotham" w:hAnsi="Gotham" w:cs="Arial"/>
                <w:color w:val="000000"/>
                <w:sz w:val="20"/>
                <w:szCs w:val="20"/>
                <w:lang w:eastAsia="es-MX"/>
              </w:rPr>
              <w:t> </w:t>
            </w:r>
          </w:p>
        </w:tc>
      </w:tr>
      <w:tr w:rsidR="009B5E39" w:rsidRPr="009806D5" w14:paraId="3A474550" w14:textId="77777777" w:rsidTr="00190E4A">
        <w:trPr>
          <w:trHeight w:val="283"/>
        </w:trPr>
        <w:tc>
          <w:tcPr>
            <w:tcW w:w="0" w:type="auto"/>
            <w:tcMar>
              <w:top w:w="0" w:type="dxa"/>
              <w:left w:w="108" w:type="dxa"/>
              <w:bottom w:w="0" w:type="dxa"/>
              <w:right w:w="108" w:type="dxa"/>
            </w:tcMar>
            <w:vAlign w:val="center"/>
            <w:hideMark/>
          </w:tcPr>
          <w:p w14:paraId="3A47454F"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Código para la Protección Ambiental </w:t>
            </w:r>
          </w:p>
        </w:tc>
      </w:tr>
      <w:tr w:rsidR="009B5E39" w:rsidRPr="009806D5" w14:paraId="3A474552" w14:textId="77777777" w:rsidTr="00190E4A">
        <w:trPr>
          <w:trHeight w:val="283"/>
        </w:trPr>
        <w:tc>
          <w:tcPr>
            <w:tcW w:w="0" w:type="auto"/>
            <w:tcMar>
              <w:top w:w="0" w:type="dxa"/>
              <w:left w:w="108" w:type="dxa"/>
              <w:bottom w:w="0" w:type="dxa"/>
              <w:right w:w="108" w:type="dxa"/>
            </w:tcMar>
            <w:vAlign w:val="center"/>
            <w:hideMark/>
          </w:tcPr>
          <w:p w14:paraId="3A474551"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Normas Técnicas Integrales en Materia de Redensificación Urbana</w:t>
            </w:r>
          </w:p>
        </w:tc>
      </w:tr>
      <w:tr w:rsidR="009B5E39" w:rsidRPr="009806D5" w14:paraId="3A474554" w14:textId="77777777" w:rsidTr="00190E4A">
        <w:trPr>
          <w:trHeight w:val="283"/>
        </w:trPr>
        <w:tc>
          <w:tcPr>
            <w:tcW w:w="0" w:type="auto"/>
            <w:tcMar>
              <w:top w:w="0" w:type="dxa"/>
              <w:left w:w="108" w:type="dxa"/>
              <w:bottom w:w="0" w:type="dxa"/>
              <w:right w:w="108" w:type="dxa"/>
            </w:tcMar>
            <w:vAlign w:val="center"/>
            <w:hideMark/>
          </w:tcPr>
          <w:p w14:paraId="3A474553"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lastRenderedPageBreak/>
              <w:t>Reglamento de Aseo Público</w:t>
            </w:r>
          </w:p>
        </w:tc>
      </w:tr>
      <w:tr w:rsidR="009B5E39" w:rsidRPr="009806D5" w14:paraId="3A474556" w14:textId="77777777" w:rsidTr="00190E4A">
        <w:trPr>
          <w:trHeight w:val="510"/>
        </w:trPr>
        <w:tc>
          <w:tcPr>
            <w:tcW w:w="0" w:type="auto"/>
            <w:tcMar>
              <w:top w:w="0" w:type="dxa"/>
              <w:left w:w="108" w:type="dxa"/>
              <w:bottom w:w="0" w:type="dxa"/>
              <w:right w:w="108" w:type="dxa"/>
            </w:tcMar>
            <w:vAlign w:val="center"/>
            <w:hideMark/>
          </w:tcPr>
          <w:p w14:paraId="3A474555"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del Sistema de Capacitación y Escalafón para los trabajadores al Servicio del Ayuntamiento</w:t>
            </w:r>
          </w:p>
        </w:tc>
      </w:tr>
      <w:tr w:rsidR="009B5E39" w:rsidRPr="009806D5" w14:paraId="3A474558" w14:textId="77777777" w:rsidTr="00190E4A">
        <w:trPr>
          <w:trHeight w:val="283"/>
        </w:trPr>
        <w:tc>
          <w:tcPr>
            <w:tcW w:w="0" w:type="auto"/>
            <w:tcMar>
              <w:top w:w="0" w:type="dxa"/>
              <w:left w:w="108" w:type="dxa"/>
              <w:bottom w:w="0" w:type="dxa"/>
              <w:right w:w="108" w:type="dxa"/>
            </w:tcMar>
            <w:vAlign w:val="center"/>
            <w:hideMark/>
          </w:tcPr>
          <w:p w14:paraId="3A474557"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de Policía y Buen Gobierno</w:t>
            </w:r>
          </w:p>
        </w:tc>
      </w:tr>
      <w:tr w:rsidR="009B5E39" w:rsidRPr="009806D5" w14:paraId="3A47455A" w14:textId="77777777" w:rsidTr="00190E4A">
        <w:trPr>
          <w:trHeight w:val="510"/>
        </w:trPr>
        <w:tc>
          <w:tcPr>
            <w:tcW w:w="0" w:type="auto"/>
            <w:tcMar>
              <w:top w:w="0" w:type="dxa"/>
              <w:left w:w="108" w:type="dxa"/>
              <w:bottom w:w="0" w:type="dxa"/>
              <w:right w:w="108" w:type="dxa"/>
            </w:tcMar>
            <w:vAlign w:val="center"/>
            <w:hideMark/>
          </w:tcPr>
          <w:p w14:paraId="3A474559" w14:textId="77777777" w:rsidR="009B5E39" w:rsidRPr="009806D5" w:rsidRDefault="009B5E39" w:rsidP="00190E4A">
            <w:pPr>
              <w:jc w:val="both"/>
              <w:textAlignment w:val="baseline"/>
              <w:rPr>
                <w:rFonts w:ascii="Gotham" w:hAnsi="Gotham" w:cs="Arial"/>
                <w:b/>
                <w:bCs/>
                <w:color w:val="000000"/>
                <w:sz w:val="20"/>
                <w:szCs w:val="20"/>
                <w:lang w:eastAsia="es-MX"/>
              </w:rPr>
            </w:pPr>
            <w:r w:rsidRPr="009806D5">
              <w:rPr>
                <w:rFonts w:ascii="Gotham" w:hAnsi="Gotham" w:cs="Arial"/>
                <w:color w:val="000000"/>
                <w:sz w:val="20"/>
                <w:szCs w:val="20"/>
                <w:lang w:eastAsia="es-MX"/>
              </w:rPr>
              <w:t>Reglamento Interno de la Coordinación del Gabinete de Seguridad, Prevención y Servicios de Emergencias y Movilidad</w:t>
            </w:r>
          </w:p>
        </w:tc>
      </w:tr>
      <w:tr w:rsidR="009B5E39" w:rsidRPr="009806D5" w14:paraId="3A47455C" w14:textId="77777777" w:rsidTr="00190E4A">
        <w:trPr>
          <w:trHeight w:val="283"/>
        </w:trPr>
        <w:tc>
          <w:tcPr>
            <w:tcW w:w="0" w:type="auto"/>
            <w:tcMar>
              <w:top w:w="0" w:type="dxa"/>
              <w:left w:w="108" w:type="dxa"/>
              <w:bottom w:w="0" w:type="dxa"/>
              <w:right w:w="108" w:type="dxa"/>
            </w:tcMar>
            <w:vAlign w:val="center"/>
            <w:hideMark/>
          </w:tcPr>
          <w:p w14:paraId="3A47455B" w14:textId="77777777" w:rsidR="009B5E39" w:rsidRPr="009806D5" w:rsidRDefault="009B5E39" w:rsidP="00190E4A">
            <w:pPr>
              <w:jc w:val="both"/>
              <w:textAlignment w:val="baseline"/>
              <w:rPr>
                <w:rFonts w:ascii="Gotham" w:hAnsi="Gotham" w:cs="Arial"/>
                <w:bCs/>
                <w:color w:val="000000"/>
                <w:sz w:val="20"/>
                <w:szCs w:val="20"/>
                <w:lang w:eastAsia="es-MX"/>
              </w:rPr>
            </w:pPr>
            <w:r>
              <w:rPr>
                <w:rFonts w:ascii="Gotham" w:hAnsi="Gotham" w:cs="Arial"/>
                <w:bCs/>
                <w:color w:val="000000"/>
                <w:sz w:val="20"/>
                <w:szCs w:val="20"/>
                <w:lang w:eastAsia="es-MX"/>
              </w:rPr>
              <w:t xml:space="preserve">Reglamento del Instituto Tonalteca las Artesanías </w:t>
            </w:r>
          </w:p>
        </w:tc>
      </w:tr>
      <w:tr w:rsidR="009B5E39" w:rsidRPr="009806D5" w14:paraId="3A47455E" w14:textId="77777777" w:rsidTr="00190E4A">
        <w:trPr>
          <w:trHeight w:val="283"/>
        </w:trPr>
        <w:tc>
          <w:tcPr>
            <w:tcW w:w="0" w:type="auto"/>
            <w:tcMar>
              <w:top w:w="0" w:type="dxa"/>
              <w:left w:w="108" w:type="dxa"/>
              <w:bottom w:w="0" w:type="dxa"/>
              <w:right w:w="108" w:type="dxa"/>
            </w:tcMar>
            <w:vAlign w:val="center"/>
            <w:hideMark/>
          </w:tcPr>
          <w:p w14:paraId="3A47455D" w14:textId="77777777" w:rsidR="009B5E39" w:rsidRPr="009806D5" w:rsidRDefault="009B5E39" w:rsidP="00190E4A">
            <w:pPr>
              <w:jc w:val="both"/>
              <w:textAlignment w:val="baseline"/>
              <w:rPr>
                <w:rFonts w:ascii="Gotham" w:hAnsi="Gotham" w:cs="Arial"/>
                <w:bCs/>
                <w:color w:val="000000"/>
                <w:sz w:val="20"/>
                <w:szCs w:val="20"/>
                <w:lang w:eastAsia="es-MX"/>
              </w:rPr>
            </w:pPr>
            <w:r w:rsidRPr="009806D5">
              <w:rPr>
                <w:rFonts w:ascii="Gotham" w:hAnsi="Gotham" w:cs="Arial"/>
                <w:bCs/>
                <w:color w:val="000000"/>
                <w:sz w:val="20"/>
                <w:szCs w:val="20"/>
                <w:lang w:eastAsia="es-MX"/>
              </w:rPr>
              <w:t xml:space="preserve">Reglamento </w:t>
            </w:r>
            <w:r>
              <w:rPr>
                <w:rFonts w:ascii="Gotham" w:hAnsi="Gotham" w:cs="Arial"/>
                <w:bCs/>
                <w:color w:val="000000"/>
                <w:sz w:val="20"/>
                <w:szCs w:val="20"/>
                <w:lang w:eastAsia="es-MX"/>
              </w:rPr>
              <w:t>S</w:t>
            </w:r>
            <w:r w:rsidRPr="009806D5">
              <w:rPr>
                <w:rFonts w:ascii="Gotham" w:hAnsi="Gotham" w:cs="Arial"/>
                <w:bCs/>
                <w:color w:val="000000"/>
                <w:sz w:val="20"/>
                <w:szCs w:val="20"/>
                <w:lang w:eastAsia="es-MX"/>
              </w:rPr>
              <w:t xml:space="preserve">istema DIF </w:t>
            </w:r>
            <w:r>
              <w:rPr>
                <w:rFonts w:ascii="Gotham" w:hAnsi="Gotham" w:cs="Arial"/>
                <w:bCs/>
                <w:color w:val="000000"/>
                <w:sz w:val="20"/>
                <w:szCs w:val="20"/>
                <w:lang w:eastAsia="es-MX"/>
              </w:rPr>
              <w:t>M</w:t>
            </w:r>
            <w:r w:rsidRPr="009806D5">
              <w:rPr>
                <w:rFonts w:ascii="Gotham" w:hAnsi="Gotham" w:cs="Arial"/>
                <w:bCs/>
                <w:color w:val="000000"/>
                <w:sz w:val="20"/>
                <w:szCs w:val="20"/>
                <w:lang w:eastAsia="es-MX"/>
              </w:rPr>
              <w:t>unicipal</w:t>
            </w:r>
          </w:p>
        </w:tc>
      </w:tr>
      <w:tr w:rsidR="009B5E39" w:rsidRPr="009806D5" w14:paraId="3A474560" w14:textId="77777777" w:rsidTr="00190E4A">
        <w:trPr>
          <w:trHeight w:val="283"/>
        </w:trPr>
        <w:tc>
          <w:tcPr>
            <w:tcW w:w="0" w:type="auto"/>
            <w:tcMar>
              <w:top w:w="0" w:type="dxa"/>
              <w:left w:w="108" w:type="dxa"/>
              <w:bottom w:w="0" w:type="dxa"/>
              <w:right w:w="108" w:type="dxa"/>
            </w:tcMar>
            <w:vAlign w:val="center"/>
            <w:hideMark/>
          </w:tcPr>
          <w:p w14:paraId="3A47455F" w14:textId="77777777" w:rsidR="009B5E39" w:rsidRPr="009806D5" w:rsidRDefault="009B5E39" w:rsidP="00190E4A">
            <w:pPr>
              <w:jc w:val="both"/>
              <w:textAlignment w:val="baseline"/>
              <w:rPr>
                <w:rFonts w:ascii="Gotham" w:hAnsi="Gotham" w:cs="Arial"/>
                <w:bCs/>
                <w:color w:val="000000"/>
                <w:sz w:val="20"/>
                <w:szCs w:val="20"/>
                <w:lang w:eastAsia="es-MX"/>
              </w:rPr>
            </w:pPr>
            <w:r w:rsidRPr="009806D5">
              <w:rPr>
                <w:rFonts w:ascii="Gotham" w:hAnsi="Gotham" w:cs="Arial"/>
                <w:bCs/>
                <w:color w:val="000000"/>
                <w:sz w:val="20"/>
                <w:szCs w:val="20"/>
                <w:lang w:eastAsia="es-MX"/>
              </w:rPr>
              <w:t>C</w:t>
            </w:r>
            <w:r>
              <w:rPr>
                <w:rFonts w:ascii="Gotham" w:hAnsi="Gotham" w:cs="Arial"/>
                <w:bCs/>
                <w:color w:val="000000"/>
                <w:sz w:val="20"/>
                <w:szCs w:val="20"/>
                <w:lang w:eastAsia="es-MX"/>
              </w:rPr>
              <w:t>ódigo para la P</w:t>
            </w:r>
            <w:r w:rsidRPr="009806D5">
              <w:rPr>
                <w:rFonts w:ascii="Gotham" w:hAnsi="Gotham" w:cs="Arial"/>
                <w:bCs/>
                <w:color w:val="000000"/>
                <w:sz w:val="20"/>
                <w:szCs w:val="20"/>
                <w:lang w:eastAsia="es-MX"/>
              </w:rPr>
              <w:t xml:space="preserve">rotección </w:t>
            </w:r>
            <w:r>
              <w:rPr>
                <w:rFonts w:ascii="Gotham" w:hAnsi="Gotham" w:cs="Arial"/>
                <w:bCs/>
                <w:color w:val="000000"/>
                <w:sz w:val="20"/>
                <w:szCs w:val="20"/>
                <w:lang w:eastAsia="es-MX"/>
              </w:rPr>
              <w:t>I</w:t>
            </w:r>
            <w:r w:rsidRPr="009806D5">
              <w:rPr>
                <w:rFonts w:ascii="Gotham" w:hAnsi="Gotham" w:cs="Arial"/>
                <w:bCs/>
                <w:color w:val="000000"/>
                <w:sz w:val="20"/>
                <w:szCs w:val="20"/>
                <w:lang w:eastAsia="es-MX"/>
              </w:rPr>
              <w:t xml:space="preserve">ntegral de los </w:t>
            </w:r>
            <w:r>
              <w:rPr>
                <w:rFonts w:ascii="Gotham" w:hAnsi="Gotham" w:cs="Arial"/>
                <w:bCs/>
                <w:color w:val="000000"/>
                <w:sz w:val="20"/>
                <w:szCs w:val="20"/>
                <w:lang w:eastAsia="es-MX"/>
              </w:rPr>
              <w:t>D</w:t>
            </w:r>
            <w:r w:rsidRPr="009806D5">
              <w:rPr>
                <w:rFonts w:ascii="Gotham" w:hAnsi="Gotham" w:cs="Arial"/>
                <w:bCs/>
                <w:color w:val="000000"/>
                <w:sz w:val="20"/>
                <w:szCs w:val="20"/>
                <w:lang w:eastAsia="es-MX"/>
              </w:rPr>
              <w:t xml:space="preserve">erechos </w:t>
            </w:r>
            <w:r>
              <w:rPr>
                <w:rFonts w:ascii="Gotham" w:hAnsi="Gotham" w:cs="Arial"/>
                <w:bCs/>
                <w:color w:val="000000"/>
                <w:sz w:val="20"/>
                <w:szCs w:val="20"/>
                <w:lang w:eastAsia="es-MX"/>
              </w:rPr>
              <w:t>F</w:t>
            </w:r>
            <w:r w:rsidRPr="009806D5">
              <w:rPr>
                <w:rFonts w:ascii="Gotham" w:hAnsi="Gotham" w:cs="Arial"/>
                <w:bCs/>
                <w:color w:val="000000"/>
                <w:sz w:val="20"/>
                <w:szCs w:val="20"/>
                <w:lang w:eastAsia="es-MX"/>
              </w:rPr>
              <w:t xml:space="preserve">undamentales de la </w:t>
            </w:r>
            <w:r>
              <w:rPr>
                <w:rFonts w:ascii="Gotham" w:hAnsi="Gotham" w:cs="Arial"/>
                <w:bCs/>
                <w:color w:val="000000"/>
                <w:sz w:val="20"/>
                <w:szCs w:val="20"/>
                <w:lang w:eastAsia="es-MX"/>
              </w:rPr>
              <w:t>M</w:t>
            </w:r>
            <w:r w:rsidRPr="009806D5">
              <w:rPr>
                <w:rFonts w:ascii="Gotham" w:hAnsi="Gotham" w:cs="Arial"/>
                <w:bCs/>
                <w:color w:val="000000"/>
                <w:sz w:val="20"/>
                <w:szCs w:val="20"/>
                <w:lang w:eastAsia="es-MX"/>
              </w:rPr>
              <w:t xml:space="preserve">ujer del </w:t>
            </w:r>
            <w:r>
              <w:rPr>
                <w:rFonts w:ascii="Gotham" w:hAnsi="Gotham" w:cs="Arial"/>
                <w:bCs/>
                <w:color w:val="000000"/>
                <w:sz w:val="20"/>
                <w:szCs w:val="20"/>
                <w:lang w:eastAsia="es-MX"/>
              </w:rPr>
              <w:t>M</w:t>
            </w:r>
            <w:r w:rsidRPr="009806D5">
              <w:rPr>
                <w:rFonts w:ascii="Gotham" w:hAnsi="Gotham" w:cs="Arial"/>
                <w:bCs/>
                <w:color w:val="000000"/>
                <w:sz w:val="20"/>
                <w:szCs w:val="20"/>
                <w:lang w:eastAsia="es-MX"/>
              </w:rPr>
              <w:t>unicipio</w:t>
            </w:r>
          </w:p>
        </w:tc>
      </w:tr>
      <w:tr w:rsidR="009B5E39" w:rsidRPr="009806D5" w14:paraId="3A474562" w14:textId="77777777" w:rsidTr="00190E4A">
        <w:trPr>
          <w:trHeight w:val="283"/>
        </w:trPr>
        <w:tc>
          <w:tcPr>
            <w:tcW w:w="0" w:type="auto"/>
            <w:tcMar>
              <w:top w:w="0" w:type="dxa"/>
              <w:left w:w="108" w:type="dxa"/>
              <w:bottom w:w="0" w:type="dxa"/>
              <w:right w:w="108" w:type="dxa"/>
            </w:tcMar>
            <w:vAlign w:val="center"/>
            <w:hideMark/>
          </w:tcPr>
          <w:p w14:paraId="3A474561" w14:textId="77777777" w:rsidR="009B5E39" w:rsidRPr="009806D5" w:rsidRDefault="009B5E39" w:rsidP="00190E4A">
            <w:pPr>
              <w:jc w:val="both"/>
              <w:textAlignment w:val="baseline"/>
              <w:rPr>
                <w:rFonts w:ascii="Gotham" w:hAnsi="Gotham" w:cs="Arial"/>
                <w:bCs/>
                <w:color w:val="000000"/>
                <w:sz w:val="20"/>
                <w:szCs w:val="20"/>
                <w:lang w:eastAsia="es-MX"/>
              </w:rPr>
            </w:pPr>
            <w:r w:rsidRPr="009806D5">
              <w:rPr>
                <w:rFonts w:ascii="Gotham" w:hAnsi="Gotham" w:cs="Arial"/>
                <w:bCs/>
                <w:color w:val="000000"/>
                <w:sz w:val="20"/>
                <w:szCs w:val="20"/>
                <w:lang w:eastAsia="es-MX"/>
              </w:rPr>
              <w:t>Reglamento del COMUDE</w:t>
            </w:r>
          </w:p>
        </w:tc>
      </w:tr>
      <w:tr w:rsidR="009B5E39" w:rsidRPr="009806D5" w14:paraId="3A47456A" w14:textId="77777777" w:rsidTr="00190E4A">
        <w:trPr>
          <w:trHeight w:val="283"/>
        </w:trPr>
        <w:tc>
          <w:tcPr>
            <w:tcW w:w="0" w:type="auto"/>
            <w:tcMar>
              <w:top w:w="0" w:type="dxa"/>
              <w:left w:w="108" w:type="dxa"/>
              <w:bottom w:w="0" w:type="dxa"/>
              <w:right w:w="108" w:type="dxa"/>
            </w:tcMar>
            <w:vAlign w:val="center"/>
            <w:hideMark/>
          </w:tcPr>
          <w:p w14:paraId="3A474563" w14:textId="77777777" w:rsidR="009B5E39" w:rsidRPr="009806D5" w:rsidRDefault="009B5E39" w:rsidP="00190E4A">
            <w:pPr>
              <w:spacing w:after="80"/>
              <w:jc w:val="both"/>
              <w:textAlignment w:val="baseline"/>
              <w:rPr>
                <w:rFonts w:ascii="Gotham" w:hAnsi="Gotham" w:cs="Arial"/>
                <w:bCs/>
                <w:color w:val="000000"/>
                <w:sz w:val="20"/>
                <w:szCs w:val="20"/>
                <w:lang w:eastAsia="es-MX"/>
              </w:rPr>
            </w:pPr>
            <w:r w:rsidRPr="009806D5">
              <w:rPr>
                <w:rFonts w:ascii="Gotham" w:hAnsi="Gotham" w:cs="Arial"/>
                <w:bCs/>
                <w:color w:val="000000"/>
                <w:sz w:val="20"/>
                <w:szCs w:val="20"/>
                <w:lang w:eastAsia="es-MX"/>
              </w:rPr>
              <w:t>Reglamento del Instituto de Alternativas para los Jóvenes de Tonalá</w:t>
            </w:r>
          </w:p>
          <w:p w14:paraId="3A474564" w14:textId="77777777" w:rsidR="009B5E39" w:rsidRDefault="009B5E39" w:rsidP="00190E4A">
            <w:pPr>
              <w:spacing w:after="80"/>
              <w:jc w:val="both"/>
              <w:textAlignment w:val="baseline"/>
              <w:rPr>
                <w:rFonts w:ascii="Gotham" w:hAnsi="Gotham" w:cs="Arial"/>
                <w:bCs/>
                <w:color w:val="000000"/>
                <w:sz w:val="20"/>
                <w:szCs w:val="20"/>
                <w:lang w:eastAsia="es-MX"/>
              </w:rPr>
            </w:pPr>
            <w:r w:rsidRPr="009806D5">
              <w:rPr>
                <w:rFonts w:ascii="Gotham" w:hAnsi="Gotham" w:cs="Arial"/>
                <w:bCs/>
                <w:color w:val="000000"/>
                <w:sz w:val="20"/>
                <w:szCs w:val="20"/>
                <w:lang w:eastAsia="es-MX"/>
              </w:rPr>
              <w:t>Reglamento para la Concesión de Bienes y Servicios Públicos Municipales.</w:t>
            </w:r>
          </w:p>
          <w:p w14:paraId="3A474565" w14:textId="77777777" w:rsidR="009B5E39" w:rsidRDefault="009B5E39" w:rsidP="00190E4A">
            <w:pPr>
              <w:spacing w:after="80"/>
              <w:jc w:val="both"/>
              <w:textAlignment w:val="baseline"/>
              <w:rPr>
                <w:rFonts w:ascii="Gotham" w:hAnsi="Gotham" w:cs="Arial"/>
                <w:bCs/>
                <w:color w:val="000000"/>
                <w:sz w:val="20"/>
                <w:szCs w:val="20"/>
                <w:lang w:eastAsia="es-MX"/>
              </w:rPr>
            </w:pPr>
            <w:r>
              <w:rPr>
                <w:rFonts w:ascii="Gotham" w:hAnsi="Gotham" w:cs="Arial"/>
                <w:bCs/>
                <w:color w:val="000000"/>
                <w:sz w:val="20"/>
                <w:szCs w:val="20"/>
                <w:lang w:eastAsia="es-MX"/>
              </w:rPr>
              <w:t>Reglamento de la Gaceta Municipal</w:t>
            </w:r>
          </w:p>
          <w:p w14:paraId="3A474566" w14:textId="77777777" w:rsidR="009B5E39" w:rsidRPr="009806D5" w:rsidRDefault="009B5E39" w:rsidP="00190E4A">
            <w:pPr>
              <w:spacing w:after="80"/>
              <w:jc w:val="both"/>
              <w:textAlignment w:val="baseline"/>
              <w:rPr>
                <w:rFonts w:ascii="Gotham" w:hAnsi="Gotham" w:cs="Arial"/>
                <w:bCs/>
                <w:color w:val="000000"/>
                <w:sz w:val="20"/>
                <w:szCs w:val="20"/>
                <w:lang w:eastAsia="es-MX"/>
              </w:rPr>
            </w:pPr>
            <w:r>
              <w:rPr>
                <w:rFonts w:ascii="Gotham" w:hAnsi="Gotham" w:cs="Arial"/>
                <w:bCs/>
                <w:color w:val="000000"/>
                <w:sz w:val="20"/>
                <w:szCs w:val="20"/>
                <w:lang w:eastAsia="es-MX"/>
              </w:rPr>
              <w:t>Reglamento de la Transformación Tecnológica</w:t>
            </w:r>
          </w:p>
          <w:p w14:paraId="3A474567" w14:textId="77777777" w:rsidR="009B5E39" w:rsidRDefault="009B5E39" w:rsidP="00190E4A">
            <w:pPr>
              <w:spacing w:after="80"/>
              <w:jc w:val="both"/>
              <w:textAlignment w:val="baseline"/>
              <w:rPr>
                <w:rFonts w:ascii="Gotham" w:hAnsi="Gotham" w:cs="Arial"/>
                <w:bCs/>
                <w:color w:val="000000"/>
                <w:sz w:val="20"/>
                <w:szCs w:val="20"/>
                <w:lang w:eastAsia="es-MX"/>
              </w:rPr>
            </w:pPr>
            <w:r w:rsidRPr="009806D5">
              <w:rPr>
                <w:rFonts w:ascii="Gotham" w:hAnsi="Gotham" w:cs="Arial"/>
                <w:bCs/>
                <w:color w:val="000000"/>
                <w:sz w:val="20"/>
                <w:szCs w:val="20"/>
                <w:lang w:eastAsia="es-MX"/>
              </w:rPr>
              <w:t>Reglamento de Proyectos de Inversión y Prestación de servicios del Municipio de Tonalá, Jalisco</w:t>
            </w:r>
          </w:p>
          <w:p w14:paraId="3A474568" w14:textId="77777777" w:rsidR="009B5E39" w:rsidRDefault="009B5E39" w:rsidP="00190E4A">
            <w:pPr>
              <w:spacing w:after="80"/>
              <w:jc w:val="both"/>
              <w:textAlignment w:val="baseline"/>
              <w:rPr>
                <w:rFonts w:ascii="Gotham" w:hAnsi="Gotham" w:cs="Arial"/>
                <w:bCs/>
                <w:color w:val="000000"/>
                <w:sz w:val="20"/>
                <w:szCs w:val="20"/>
                <w:lang w:eastAsia="es-MX"/>
              </w:rPr>
            </w:pPr>
            <w:r>
              <w:rPr>
                <w:rFonts w:ascii="Gotham" w:hAnsi="Gotham" w:cs="Arial"/>
                <w:bCs/>
                <w:color w:val="000000"/>
                <w:sz w:val="20"/>
                <w:szCs w:val="20"/>
                <w:lang w:eastAsia="es-MX"/>
              </w:rPr>
              <w:t>Reglamento para la Regularización y Titulación de Predios</w:t>
            </w:r>
          </w:p>
          <w:p w14:paraId="3A474569" w14:textId="77777777" w:rsidR="009B5E39" w:rsidRPr="009806D5" w:rsidRDefault="009B5E39" w:rsidP="00190E4A">
            <w:pPr>
              <w:spacing w:after="80"/>
              <w:jc w:val="both"/>
              <w:textAlignment w:val="baseline"/>
              <w:rPr>
                <w:rFonts w:ascii="Gotham" w:hAnsi="Gotham" w:cs="Arial"/>
                <w:bCs/>
                <w:color w:val="000000"/>
                <w:sz w:val="20"/>
                <w:szCs w:val="20"/>
                <w:lang w:eastAsia="es-MX"/>
              </w:rPr>
            </w:pPr>
            <w:r>
              <w:rPr>
                <w:rFonts w:ascii="Gotham" w:hAnsi="Gotham" w:cs="Arial"/>
                <w:bCs/>
                <w:color w:val="000000"/>
                <w:sz w:val="20"/>
                <w:szCs w:val="20"/>
                <w:lang w:eastAsia="es-MX"/>
              </w:rPr>
              <w:t>Reglamento para los Establecimientos Especializados en Adicciones en el Municipio de Tonalá, Jalisco.</w:t>
            </w:r>
            <w:r w:rsidRPr="009806D5">
              <w:rPr>
                <w:rFonts w:ascii="Gotham" w:hAnsi="Gotham" w:cs="Arial"/>
                <w:bCs/>
                <w:color w:val="000000"/>
                <w:sz w:val="20"/>
                <w:szCs w:val="20"/>
                <w:lang w:eastAsia="es-MX"/>
              </w:rPr>
              <w:t xml:space="preserve"> </w:t>
            </w:r>
          </w:p>
        </w:tc>
      </w:tr>
    </w:tbl>
    <w:p w14:paraId="3A47456B" w14:textId="77777777" w:rsidR="009B5E39" w:rsidRPr="009806D5" w:rsidRDefault="009B5E39" w:rsidP="009B5E39">
      <w:pPr>
        <w:jc w:val="both"/>
        <w:rPr>
          <w:rFonts w:ascii="Gotham" w:hAnsi="Gotham" w:cs="Arial"/>
          <w:sz w:val="20"/>
          <w:szCs w:val="20"/>
        </w:rPr>
      </w:pPr>
    </w:p>
    <w:p w14:paraId="3A47456C" w14:textId="77777777" w:rsidR="009B5E39" w:rsidRPr="009806D5" w:rsidRDefault="009B5E39" w:rsidP="009B5E39">
      <w:pPr>
        <w:jc w:val="both"/>
        <w:rPr>
          <w:rFonts w:ascii="Gotham" w:hAnsi="Gotham" w:cs="Arial"/>
          <w:sz w:val="20"/>
          <w:szCs w:val="20"/>
        </w:rPr>
      </w:pPr>
      <w:r w:rsidRPr="009806D5">
        <w:rPr>
          <w:rFonts w:ascii="Gotham" w:hAnsi="Gotham" w:cs="Arial"/>
          <w:sz w:val="20"/>
          <w:szCs w:val="20"/>
        </w:rPr>
        <w:t>La propuesta de creación de nuevos reglamentos:</w:t>
      </w:r>
    </w:p>
    <w:p w14:paraId="3A47456D" w14:textId="77777777" w:rsidR="009B5E39" w:rsidRPr="009806D5" w:rsidRDefault="009B5E39" w:rsidP="009B5E39">
      <w:pPr>
        <w:pStyle w:val="Estilo"/>
        <w:rPr>
          <w:rFonts w:ascii="Gotham" w:hAnsi="Gotham"/>
          <w:b/>
          <w:sz w:val="20"/>
          <w:szCs w:val="20"/>
          <w:lang w:val="es-ES_tradnl"/>
        </w:rPr>
      </w:pPr>
    </w:p>
    <w:p w14:paraId="3A47456E" w14:textId="77777777" w:rsidR="009B5E39" w:rsidRPr="000228BA" w:rsidRDefault="009B5E39" w:rsidP="009B5E39">
      <w:pPr>
        <w:pStyle w:val="Estilo"/>
        <w:ind w:left="284" w:right="283"/>
        <w:jc w:val="center"/>
        <w:rPr>
          <w:rFonts w:ascii="Gotham" w:hAnsi="Gotham"/>
          <w:b/>
          <w:sz w:val="19"/>
          <w:szCs w:val="19"/>
          <w:lang w:val="es-ES_tradnl"/>
        </w:rPr>
      </w:pPr>
      <w:r w:rsidRPr="000228BA">
        <w:rPr>
          <w:rFonts w:ascii="Gotham" w:hAnsi="Gotham"/>
          <w:b/>
          <w:sz w:val="19"/>
          <w:szCs w:val="19"/>
          <w:lang w:val="es-ES_tradnl"/>
        </w:rPr>
        <w:t>REGLAMENTO DE ARCHIVOS DEL MUNICIPIO DE TONALÁ, JALISCO Y DEL ARCHIVO GENERAL MUNICIPAL</w:t>
      </w:r>
    </w:p>
    <w:p w14:paraId="3A47456F" w14:textId="77777777" w:rsidR="009B5E39" w:rsidRPr="000228BA" w:rsidRDefault="009B5E39" w:rsidP="009B5E39">
      <w:pPr>
        <w:pStyle w:val="Estilo"/>
        <w:ind w:left="284" w:right="283"/>
        <w:rPr>
          <w:rFonts w:ascii="Gotham" w:hAnsi="Gotham"/>
          <w:b/>
          <w:sz w:val="19"/>
          <w:szCs w:val="19"/>
          <w:lang w:val="es-ES_tradnl"/>
        </w:rPr>
      </w:pPr>
    </w:p>
    <w:p w14:paraId="3A474570" w14:textId="77777777" w:rsidR="009B5E39" w:rsidRPr="000228BA" w:rsidRDefault="009B5E39" w:rsidP="009B5E39">
      <w:pPr>
        <w:pStyle w:val="Estilo"/>
        <w:ind w:left="284" w:right="283"/>
        <w:rPr>
          <w:rFonts w:ascii="Gotham" w:hAnsi="Gotham"/>
          <w:b/>
          <w:sz w:val="19"/>
          <w:szCs w:val="19"/>
          <w:lang w:val="es-ES_tradnl"/>
        </w:rPr>
      </w:pPr>
    </w:p>
    <w:p w14:paraId="3A474571" w14:textId="77777777" w:rsidR="009B5E39" w:rsidRPr="000228BA" w:rsidRDefault="009B5E39" w:rsidP="009B5E39">
      <w:pPr>
        <w:pStyle w:val="Ttulo1"/>
        <w:spacing w:before="0"/>
        <w:ind w:left="284" w:right="283"/>
        <w:jc w:val="center"/>
        <w:rPr>
          <w:rFonts w:ascii="Gotham" w:hAnsi="Gotham"/>
          <w:b w:val="0"/>
          <w:color w:val="auto"/>
          <w:sz w:val="19"/>
          <w:szCs w:val="19"/>
        </w:rPr>
      </w:pPr>
      <w:bookmarkStart w:id="6" w:name="_Toc75961921"/>
      <w:r w:rsidRPr="000228BA">
        <w:rPr>
          <w:rFonts w:ascii="Gotham" w:hAnsi="Gotham"/>
          <w:color w:val="auto"/>
          <w:sz w:val="19"/>
          <w:szCs w:val="19"/>
        </w:rPr>
        <w:t>CAPÍTULO I</w:t>
      </w:r>
      <w:bookmarkEnd w:id="6"/>
    </w:p>
    <w:p w14:paraId="3A474572" w14:textId="77777777" w:rsidR="009B5E39" w:rsidRPr="000228BA" w:rsidRDefault="009B5E39" w:rsidP="009B5E39">
      <w:pPr>
        <w:pStyle w:val="Ttulo2"/>
        <w:ind w:left="284" w:right="283"/>
        <w:jc w:val="center"/>
        <w:rPr>
          <w:rFonts w:ascii="Gotham" w:hAnsi="Gotham"/>
          <w:b w:val="0"/>
          <w:sz w:val="19"/>
          <w:szCs w:val="19"/>
        </w:rPr>
      </w:pPr>
      <w:bookmarkStart w:id="7" w:name="_Toc75961922"/>
      <w:r w:rsidRPr="000228BA">
        <w:rPr>
          <w:rFonts w:ascii="Gotham" w:hAnsi="Gotham"/>
          <w:sz w:val="19"/>
          <w:szCs w:val="19"/>
        </w:rPr>
        <w:t>DISPOSICIONES GENERALES</w:t>
      </w:r>
      <w:bookmarkEnd w:id="7"/>
    </w:p>
    <w:p w14:paraId="3A474573" w14:textId="77777777" w:rsidR="009B5E39" w:rsidRPr="000228BA" w:rsidRDefault="009B5E39" w:rsidP="009B5E39">
      <w:pPr>
        <w:pStyle w:val="Estilo"/>
        <w:ind w:left="284" w:right="283"/>
        <w:rPr>
          <w:rFonts w:ascii="Gotham" w:hAnsi="Gotham"/>
          <w:sz w:val="19"/>
          <w:szCs w:val="19"/>
        </w:rPr>
      </w:pPr>
    </w:p>
    <w:p w14:paraId="3A474574" w14:textId="77777777" w:rsidR="009B5E39" w:rsidRPr="000228BA" w:rsidRDefault="009B5E39" w:rsidP="00883EC2">
      <w:pPr>
        <w:pStyle w:val="Estilo"/>
        <w:ind w:left="284" w:right="283"/>
        <w:jc w:val="both"/>
        <w:rPr>
          <w:rFonts w:ascii="Gotham" w:hAnsi="Gotham"/>
          <w:sz w:val="19"/>
          <w:szCs w:val="19"/>
        </w:rPr>
      </w:pPr>
      <w:r w:rsidRPr="000228BA">
        <w:rPr>
          <w:rFonts w:ascii="Gotham" w:hAnsi="Gotham"/>
          <w:b/>
          <w:sz w:val="19"/>
          <w:szCs w:val="19"/>
        </w:rPr>
        <w:t xml:space="preserve">Artículo 1. </w:t>
      </w:r>
      <w:r w:rsidRPr="000228BA">
        <w:rPr>
          <w:rFonts w:ascii="Gotham" w:hAnsi="Gotham"/>
          <w:sz w:val="19"/>
          <w:szCs w:val="19"/>
        </w:rPr>
        <w:t>El presente Reglamento tiene el propósito de adoptar los principios y bases generales contenidos en la Ley General de Archivos y en la Ley de Archivos del Estado de Jalisco y sus Municipios; lo anterior, en lo referente a la organización, conservación, disponibilidad, integridad y localización de los archivos emanados de la administración pública centralizada municipal, y las disposiciones aplicables en materia de transparencia y acceso a la información pública. De igual forma, tiene por objeto regular el funcionamiento del Archivo General Municipal de Tonalá, Jalisco.</w:t>
      </w:r>
    </w:p>
    <w:p w14:paraId="3A474575" w14:textId="77777777" w:rsidR="009B5E39" w:rsidRPr="000228BA" w:rsidRDefault="009B5E39" w:rsidP="00883EC2">
      <w:pPr>
        <w:pStyle w:val="Estilo"/>
        <w:ind w:left="284" w:right="283"/>
        <w:jc w:val="both"/>
        <w:rPr>
          <w:rFonts w:ascii="Gotham" w:hAnsi="Gotham"/>
          <w:sz w:val="19"/>
          <w:szCs w:val="19"/>
        </w:rPr>
      </w:pPr>
    </w:p>
    <w:p w14:paraId="3A474576" w14:textId="77777777" w:rsidR="009B5E39" w:rsidRDefault="009B5E39" w:rsidP="00883EC2">
      <w:pPr>
        <w:ind w:left="284" w:right="283"/>
        <w:jc w:val="both"/>
        <w:rPr>
          <w:rFonts w:ascii="Gotham" w:hAnsi="Gotham" w:cs="Arial"/>
          <w:sz w:val="19"/>
          <w:szCs w:val="19"/>
        </w:rPr>
      </w:pPr>
      <w:r w:rsidRPr="000228BA">
        <w:rPr>
          <w:rFonts w:ascii="Gotham" w:hAnsi="Gotham" w:cs="Arial"/>
          <w:b/>
          <w:sz w:val="19"/>
          <w:szCs w:val="19"/>
        </w:rPr>
        <w:t>Artículo 2.</w:t>
      </w:r>
      <w:r w:rsidRPr="000228BA">
        <w:rPr>
          <w:rFonts w:ascii="Gotham" w:hAnsi="Gotham" w:cs="Arial"/>
          <w:sz w:val="19"/>
          <w:szCs w:val="19"/>
        </w:rPr>
        <w:t xml:space="preserve"> En lo no previsto por este Reglamento, se aplicará de manera supletoria:</w:t>
      </w:r>
    </w:p>
    <w:p w14:paraId="3A474577" w14:textId="77777777" w:rsidR="009B5E39" w:rsidRPr="000228BA" w:rsidRDefault="009B5E39" w:rsidP="00883EC2">
      <w:pPr>
        <w:ind w:left="284" w:right="283"/>
        <w:jc w:val="both"/>
        <w:rPr>
          <w:rFonts w:ascii="Gotham" w:hAnsi="Gotham" w:cs="Arial"/>
          <w:sz w:val="19"/>
          <w:szCs w:val="19"/>
        </w:rPr>
      </w:pPr>
    </w:p>
    <w:p w14:paraId="3A474578" w14:textId="77777777" w:rsidR="009B5E39" w:rsidRPr="000228BA" w:rsidRDefault="009B5E39" w:rsidP="00883EC2">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Ley General de Archivos; </w:t>
      </w:r>
    </w:p>
    <w:p w14:paraId="3A474579" w14:textId="77777777" w:rsidR="009B5E39" w:rsidRPr="00400247" w:rsidRDefault="009B5E39" w:rsidP="00883EC2">
      <w:pPr>
        <w:spacing w:after="120"/>
        <w:ind w:left="1134" w:right="283" w:hanging="850"/>
        <w:jc w:val="both"/>
        <w:rPr>
          <w:rFonts w:ascii="Gotham" w:hAnsi="Gotham" w:cs="Arial"/>
          <w:sz w:val="19"/>
          <w:szCs w:val="19"/>
        </w:rPr>
      </w:pPr>
      <w:r w:rsidRPr="00400247">
        <w:rPr>
          <w:rFonts w:ascii="Gotham" w:hAnsi="Gotham" w:cs="Arial"/>
          <w:sz w:val="19"/>
          <w:szCs w:val="19"/>
        </w:rPr>
        <w:t xml:space="preserve">II. </w:t>
      </w:r>
      <w:r w:rsidRPr="00400247">
        <w:rPr>
          <w:rFonts w:ascii="Gotham" w:hAnsi="Gotham" w:cs="Arial"/>
          <w:sz w:val="19"/>
          <w:szCs w:val="19"/>
        </w:rPr>
        <w:tab/>
        <w:t xml:space="preserve">La Ley de Archivos del Estado de Jalisco y sus Municipios; </w:t>
      </w:r>
    </w:p>
    <w:p w14:paraId="3A47457A" w14:textId="77777777" w:rsidR="009B5E39" w:rsidRPr="000228BA" w:rsidRDefault="009B5E39" w:rsidP="00883EC2">
      <w:pPr>
        <w:spacing w:after="120"/>
        <w:ind w:left="1134" w:right="283" w:hanging="850"/>
        <w:jc w:val="both"/>
        <w:rPr>
          <w:rFonts w:ascii="Gotham" w:hAnsi="Gotham" w:cs="Arial"/>
          <w:sz w:val="19"/>
          <w:szCs w:val="19"/>
        </w:rPr>
      </w:pPr>
      <w:r w:rsidRPr="00400247">
        <w:rPr>
          <w:rFonts w:ascii="Gotham" w:hAnsi="Gotham" w:cs="Arial"/>
          <w:sz w:val="19"/>
          <w:szCs w:val="19"/>
        </w:rPr>
        <w:t xml:space="preserve">III. </w:t>
      </w:r>
      <w:r w:rsidRPr="00400247">
        <w:rPr>
          <w:rFonts w:ascii="Gotham" w:hAnsi="Gotham" w:cs="Arial"/>
          <w:sz w:val="19"/>
          <w:szCs w:val="19"/>
        </w:rPr>
        <w:tab/>
        <w:t>Código Civil</w:t>
      </w:r>
      <w:r w:rsidRPr="000228BA">
        <w:rPr>
          <w:rFonts w:ascii="Gotham" w:hAnsi="Gotham" w:cs="Arial"/>
          <w:sz w:val="19"/>
          <w:szCs w:val="19"/>
        </w:rPr>
        <w:t xml:space="preserve"> del Estado de Jalisco;</w:t>
      </w:r>
    </w:p>
    <w:p w14:paraId="3A47457B" w14:textId="77777777" w:rsidR="009B5E39" w:rsidRPr="000228BA" w:rsidRDefault="009B5E39" w:rsidP="00883EC2">
      <w:pPr>
        <w:spacing w:after="120"/>
        <w:ind w:left="1134" w:right="283" w:hanging="850"/>
        <w:jc w:val="both"/>
        <w:rPr>
          <w:rFonts w:ascii="Gotham" w:hAnsi="Gotham" w:cs="Arial"/>
          <w:sz w:val="19"/>
          <w:szCs w:val="19"/>
        </w:rPr>
      </w:pPr>
      <w:r>
        <w:rPr>
          <w:rFonts w:ascii="Gotham" w:hAnsi="Gotham" w:cs="Arial"/>
          <w:sz w:val="19"/>
          <w:szCs w:val="19"/>
        </w:rPr>
        <w:t>IV</w:t>
      </w:r>
      <w:r w:rsidRPr="000228BA">
        <w:rPr>
          <w:rFonts w:ascii="Gotham" w:hAnsi="Gotham" w:cs="Arial"/>
          <w:sz w:val="19"/>
          <w:szCs w:val="19"/>
        </w:rPr>
        <w:t xml:space="preserve">. </w:t>
      </w:r>
      <w:r>
        <w:rPr>
          <w:rFonts w:ascii="Gotham" w:hAnsi="Gotham" w:cs="Arial"/>
          <w:sz w:val="19"/>
          <w:szCs w:val="19"/>
        </w:rPr>
        <w:tab/>
      </w:r>
      <w:r w:rsidRPr="000228BA">
        <w:rPr>
          <w:rFonts w:ascii="Gotham" w:hAnsi="Gotham" w:cs="Arial"/>
          <w:sz w:val="19"/>
          <w:szCs w:val="19"/>
        </w:rPr>
        <w:t xml:space="preserve">La Ley del Procedimiento Administrativo del Estado de Jalisco; </w:t>
      </w:r>
    </w:p>
    <w:p w14:paraId="3A47457C" w14:textId="77777777" w:rsidR="009B5E39" w:rsidRPr="000228BA" w:rsidRDefault="009B5E39" w:rsidP="00883EC2">
      <w:pPr>
        <w:pStyle w:val="Estilo"/>
        <w:ind w:left="1134" w:right="283" w:hanging="850"/>
        <w:jc w:val="both"/>
        <w:rPr>
          <w:rFonts w:ascii="Gotham" w:hAnsi="Gotham"/>
          <w:sz w:val="19"/>
          <w:szCs w:val="19"/>
        </w:rPr>
      </w:pPr>
      <w:r w:rsidRPr="000228BA">
        <w:rPr>
          <w:rFonts w:ascii="Gotham" w:hAnsi="Gotham"/>
          <w:sz w:val="19"/>
          <w:szCs w:val="19"/>
        </w:rPr>
        <w:t xml:space="preserve">V. </w:t>
      </w:r>
      <w:r>
        <w:rPr>
          <w:rFonts w:ascii="Gotham" w:hAnsi="Gotham"/>
          <w:sz w:val="19"/>
          <w:szCs w:val="19"/>
        </w:rPr>
        <w:tab/>
      </w:r>
      <w:r w:rsidRPr="000228BA">
        <w:rPr>
          <w:rFonts w:ascii="Gotham" w:hAnsi="Gotham"/>
          <w:sz w:val="19"/>
          <w:szCs w:val="19"/>
        </w:rPr>
        <w:t>Ley de Transparencia y Acceso a la Información Pública del Estado de Jalisco y sus Municipios.</w:t>
      </w:r>
    </w:p>
    <w:p w14:paraId="3A47457D" w14:textId="77777777" w:rsidR="009B5E39" w:rsidRPr="000228BA" w:rsidRDefault="009B5E39" w:rsidP="00883EC2">
      <w:pPr>
        <w:pStyle w:val="Estilo"/>
        <w:ind w:left="284" w:right="283"/>
        <w:jc w:val="both"/>
        <w:rPr>
          <w:rFonts w:ascii="Gotham" w:hAnsi="Gotham"/>
          <w:b/>
          <w:sz w:val="19"/>
          <w:szCs w:val="19"/>
        </w:rPr>
      </w:pPr>
      <w:r w:rsidRPr="000228BA">
        <w:rPr>
          <w:rFonts w:ascii="Gotham" w:hAnsi="Gotham"/>
          <w:sz w:val="19"/>
          <w:szCs w:val="19"/>
        </w:rPr>
        <w:t xml:space="preserve"> </w:t>
      </w:r>
    </w:p>
    <w:p w14:paraId="3A47457E" w14:textId="77777777" w:rsidR="009B5E39" w:rsidRPr="000228BA" w:rsidRDefault="009B5E39" w:rsidP="00883EC2">
      <w:pPr>
        <w:pStyle w:val="Estilo"/>
        <w:ind w:left="284" w:right="283"/>
        <w:jc w:val="both"/>
        <w:rPr>
          <w:rFonts w:ascii="Gotham" w:hAnsi="Gotham"/>
          <w:sz w:val="19"/>
          <w:szCs w:val="19"/>
        </w:rPr>
      </w:pPr>
      <w:r w:rsidRPr="000228BA">
        <w:rPr>
          <w:rFonts w:ascii="Gotham" w:hAnsi="Gotham"/>
          <w:b/>
          <w:sz w:val="19"/>
          <w:szCs w:val="19"/>
        </w:rPr>
        <w:t>Artículo 3.</w:t>
      </w:r>
      <w:r w:rsidRPr="000228BA">
        <w:rPr>
          <w:rFonts w:ascii="Gotham" w:hAnsi="Gotham"/>
          <w:sz w:val="19"/>
          <w:szCs w:val="19"/>
        </w:rPr>
        <w:t xml:space="preserve"> Para los efectos del Reglamento se entenderá por:</w:t>
      </w:r>
    </w:p>
    <w:p w14:paraId="3A47457F" w14:textId="77777777" w:rsidR="009B5E39" w:rsidRPr="000228BA" w:rsidRDefault="009B5E39" w:rsidP="00883EC2">
      <w:pPr>
        <w:pStyle w:val="Estilo"/>
        <w:ind w:left="284" w:right="283"/>
        <w:jc w:val="both"/>
        <w:rPr>
          <w:rFonts w:ascii="Gotham" w:hAnsi="Gotham"/>
          <w:sz w:val="19"/>
          <w:szCs w:val="19"/>
        </w:rPr>
      </w:pPr>
    </w:p>
    <w:p w14:paraId="3A474580"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lastRenderedPageBreak/>
        <w:t xml:space="preserve">I. </w:t>
      </w:r>
      <w:r>
        <w:rPr>
          <w:rFonts w:ascii="Gotham" w:hAnsi="Gotham"/>
          <w:sz w:val="19"/>
          <w:szCs w:val="19"/>
        </w:rPr>
        <w:tab/>
      </w:r>
      <w:r w:rsidRPr="000228BA">
        <w:rPr>
          <w:rFonts w:ascii="Gotham" w:hAnsi="Gotham"/>
          <w:sz w:val="19"/>
          <w:szCs w:val="19"/>
        </w:rPr>
        <w:t xml:space="preserve">Acervo: el conjunto de documentos producidos y recibidos por los Sujetos Obligados en el ejercicio de sus atribuciones y funciones con independencia del soporte, espacio o lugar que se resguarden; </w:t>
      </w:r>
    </w:p>
    <w:p w14:paraId="3A474581"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II. </w:t>
      </w:r>
      <w:r>
        <w:rPr>
          <w:rFonts w:ascii="Gotham" w:hAnsi="Gotham"/>
          <w:sz w:val="19"/>
          <w:szCs w:val="19"/>
        </w:rPr>
        <w:tab/>
      </w:r>
      <w:r w:rsidRPr="000228BA">
        <w:rPr>
          <w:rFonts w:ascii="Gotham" w:hAnsi="Gotham"/>
          <w:sz w:val="19"/>
          <w:szCs w:val="19"/>
        </w:rPr>
        <w:t xml:space="preserve">Actividad Archivística: el conjunto de acciones encaminadas a administrar, organizar, conservar y difundir documentos de archivo; </w:t>
      </w:r>
    </w:p>
    <w:p w14:paraId="3A474582"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III. </w:t>
      </w:r>
      <w:r>
        <w:rPr>
          <w:rFonts w:ascii="Gotham" w:hAnsi="Gotham"/>
          <w:sz w:val="19"/>
          <w:szCs w:val="19"/>
        </w:rPr>
        <w:tab/>
      </w:r>
      <w:r w:rsidRPr="000228BA">
        <w:rPr>
          <w:rFonts w:ascii="Gotham" w:hAnsi="Gotham"/>
          <w:sz w:val="19"/>
          <w:szCs w:val="19"/>
        </w:rPr>
        <w:t xml:space="preserve">Archivo: el conjunto organizado de documentos producidos o recibidos por los Sujetos Obligados en el ejercicio de sus atribuciones y funciones, con independencia del soporte, espacio o lugar en que se resguarden; </w:t>
      </w:r>
    </w:p>
    <w:p w14:paraId="3A474583"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IV. </w:t>
      </w:r>
      <w:r>
        <w:rPr>
          <w:rFonts w:ascii="Gotham" w:hAnsi="Gotham"/>
          <w:sz w:val="19"/>
          <w:szCs w:val="19"/>
        </w:rPr>
        <w:tab/>
      </w:r>
      <w:r w:rsidRPr="000228BA">
        <w:rPr>
          <w:rFonts w:ascii="Gotham" w:hAnsi="Gotham"/>
          <w:sz w:val="19"/>
          <w:szCs w:val="19"/>
        </w:rPr>
        <w:t xml:space="preserve">Archivo de Concentración: el integrado por documentos transferidos desde los Archivos de Trámite, cuyo uso y consulta es esporádica y que permanecen en él hasta su disposición documental; </w:t>
      </w:r>
    </w:p>
    <w:p w14:paraId="3A474584"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V. </w:t>
      </w:r>
      <w:r>
        <w:rPr>
          <w:rFonts w:ascii="Gotham" w:hAnsi="Gotham"/>
          <w:color w:val="000000" w:themeColor="text1"/>
          <w:sz w:val="19"/>
          <w:szCs w:val="19"/>
        </w:rPr>
        <w:tab/>
      </w:r>
      <w:r w:rsidRPr="000228BA">
        <w:rPr>
          <w:rFonts w:ascii="Gotham" w:hAnsi="Gotham"/>
          <w:color w:val="000000" w:themeColor="text1"/>
          <w:sz w:val="19"/>
          <w:szCs w:val="19"/>
        </w:rPr>
        <w:t xml:space="preserve">Archivo General Municipal: </w:t>
      </w:r>
      <w:r w:rsidRPr="000228BA">
        <w:rPr>
          <w:rFonts w:ascii="Gotham" w:hAnsi="Gotham"/>
          <w:sz w:val="19"/>
          <w:szCs w:val="19"/>
        </w:rPr>
        <w:t xml:space="preserve">es el encargado de la concentración, custodia, organización documental y conservación de documentos que se depositen en resguardo, que emanan de las dependencias del Municipio de Tonalá, Jalisco, cuya consulta sea esporádica, así como también aquellas de carácter histórico; </w:t>
      </w:r>
    </w:p>
    <w:p w14:paraId="3A474585"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VI. </w:t>
      </w:r>
      <w:r>
        <w:rPr>
          <w:rFonts w:ascii="Gotham" w:hAnsi="Gotham"/>
          <w:sz w:val="19"/>
          <w:szCs w:val="19"/>
        </w:rPr>
        <w:tab/>
      </w:r>
      <w:r w:rsidRPr="000228BA">
        <w:rPr>
          <w:rFonts w:ascii="Gotham" w:hAnsi="Gotham"/>
          <w:sz w:val="19"/>
          <w:szCs w:val="19"/>
        </w:rPr>
        <w:t xml:space="preserve">Archivo Histórico: el integrado por documentos de conservación permanente y de relevancia para la memoria municipal de carácter público, que concentra, organiza, conserva, resguarda, restaura y difunde los documentos de interés histórico; </w:t>
      </w:r>
    </w:p>
    <w:p w14:paraId="3A474586"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VII. </w:t>
      </w:r>
      <w:r>
        <w:rPr>
          <w:rFonts w:ascii="Gotham" w:hAnsi="Gotham"/>
          <w:sz w:val="19"/>
          <w:szCs w:val="19"/>
        </w:rPr>
        <w:tab/>
      </w:r>
      <w:r w:rsidRPr="000228BA">
        <w:rPr>
          <w:rFonts w:ascii="Gotham" w:hAnsi="Gotham"/>
          <w:sz w:val="19"/>
          <w:szCs w:val="19"/>
        </w:rPr>
        <w:t>Archivos de Trámite: los integrados por documentos de archivo de uso cotidiano y necesario para el ejercicio de las atribuciones y funciones de los Ayuntamiento y los organismos de la administración pública municipal;</w:t>
      </w:r>
    </w:p>
    <w:p w14:paraId="3A474587"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VIII. </w:t>
      </w:r>
      <w:r>
        <w:rPr>
          <w:rFonts w:ascii="Gotham" w:hAnsi="Gotham"/>
          <w:sz w:val="19"/>
          <w:szCs w:val="19"/>
        </w:rPr>
        <w:tab/>
      </w:r>
      <w:r w:rsidRPr="000228BA">
        <w:rPr>
          <w:rFonts w:ascii="Gotham" w:hAnsi="Gotham"/>
          <w:sz w:val="19"/>
          <w:szCs w:val="19"/>
        </w:rPr>
        <w:t>Archivo privado de interés público: Conjunto de documentos de interés público, histórico cultural, que se encuentran en propiedad de particulares que no reciben o ejercen recursos públicos ni realizan actos de autoridad;</w:t>
      </w:r>
    </w:p>
    <w:p w14:paraId="3A474588"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IX. </w:t>
      </w:r>
      <w:r>
        <w:rPr>
          <w:rFonts w:ascii="Gotham" w:hAnsi="Gotham"/>
          <w:color w:val="000000" w:themeColor="text1"/>
          <w:sz w:val="19"/>
          <w:szCs w:val="19"/>
        </w:rPr>
        <w:tab/>
      </w:r>
      <w:r w:rsidRPr="000228BA">
        <w:rPr>
          <w:rFonts w:ascii="Gotham" w:hAnsi="Gotham"/>
          <w:color w:val="000000" w:themeColor="text1"/>
          <w:sz w:val="19"/>
          <w:szCs w:val="19"/>
        </w:rPr>
        <w:t>Área Coordinadora de Archivos:</w:t>
      </w:r>
      <w:r w:rsidRPr="000228BA">
        <w:rPr>
          <w:rFonts w:ascii="Gotham" w:hAnsi="Gotham"/>
          <w:color w:val="FF0000"/>
          <w:sz w:val="19"/>
          <w:szCs w:val="19"/>
        </w:rPr>
        <w:t xml:space="preserve"> </w:t>
      </w:r>
      <w:r w:rsidRPr="000228BA">
        <w:rPr>
          <w:rFonts w:ascii="Gotham" w:hAnsi="Gotham"/>
          <w:sz w:val="19"/>
          <w:szCs w:val="19"/>
        </w:rPr>
        <w:t xml:space="preserve">la encargada de promover y vigilar el cumplimiento de las disposiciones en materia de gestión documental y administración de archivos, así como de coordinar las Áreas Operativas del sistema institucional de archivos; </w:t>
      </w:r>
    </w:p>
    <w:p w14:paraId="3A474589"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X. </w:t>
      </w:r>
      <w:r>
        <w:rPr>
          <w:rFonts w:ascii="Gotham" w:hAnsi="Gotham"/>
          <w:color w:val="000000" w:themeColor="text1"/>
          <w:sz w:val="19"/>
          <w:szCs w:val="19"/>
        </w:rPr>
        <w:tab/>
      </w:r>
      <w:r w:rsidRPr="000228BA">
        <w:rPr>
          <w:rFonts w:ascii="Gotham" w:hAnsi="Gotham"/>
          <w:color w:val="000000" w:themeColor="text1"/>
          <w:sz w:val="19"/>
          <w:szCs w:val="19"/>
        </w:rPr>
        <w:t>Áreas Operativas:</w:t>
      </w:r>
      <w:r w:rsidRPr="000228BA">
        <w:rPr>
          <w:rFonts w:ascii="Gotham" w:hAnsi="Gotham"/>
          <w:color w:val="FF0000"/>
          <w:sz w:val="19"/>
          <w:szCs w:val="19"/>
        </w:rPr>
        <w:t xml:space="preserve"> </w:t>
      </w:r>
      <w:r w:rsidRPr="000228BA">
        <w:rPr>
          <w:rFonts w:ascii="Gotham" w:hAnsi="Gotham"/>
          <w:sz w:val="19"/>
          <w:szCs w:val="19"/>
        </w:rPr>
        <w:t xml:space="preserve">las que integran el sistema institucional de archivos, las cuales son las Oficialías de Partes, los Archivos de Trámite, el Archivo de Concentración y el Archivo Histórico; </w:t>
      </w:r>
    </w:p>
    <w:p w14:paraId="3A47458A" w14:textId="77777777" w:rsidR="009B5E39" w:rsidRPr="000228BA" w:rsidRDefault="009B5E39" w:rsidP="00883EC2">
      <w:pPr>
        <w:pStyle w:val="Estilo"/>
        <w:tabs>
          <w:tab w:val="left" w:pos="1134"/>
        </w:tabs>
        <w:spacing w:after="120"/>
        <w:ind w:left="1134" w:right="283" w:hanging="850"/>
        <w:jc w:val="both"/>
        <w:rPr>
          <w:rFonts w:ascii="Gotham" w:hAnsi="Gotham"/>
          <w:color w:val="FF0000"/>
          <w:sz w:val="19"/>
          <w:szCs w:val="19"/>
        </w:rPr>
      </w:pPr>
      <w:r w:rsidRPr="000228BA">
        <w:rPr>
          <w:rFonts w:ascii="Gotham" w:hAnsi="Gotham"/>
          <w:color w:val="000000" w:themeColor="text1"/>
          <w:sz w:val="19"/>
          <w:szCs w:val="19"/>
        </w:rPr>
        <w:t xml:space="preserve">XI. </w:t>
      </w:r>
      <w:r>
        <w:rPr>
          <w:rFonts w:ascii="Gotham" w:hAnsi="Gotham"/>
          <w:color w:val="000000" w:themeColor="text1"/>
          <w:sz w:val="19"/>
          <w:szCs w:val="19"/>
        </w:rPr>
        <w:tab/>
      </w:r>
      <w:r w:rsidRPr="000228BA">
        <w:rPr>
          <w:rFonts w:ascii="Gotham" w:hAnsi="Gotham"/>
          <w:color w:val="000000" w:themeColor="text1"/>
          <w:sz w:val="19"/>
          <w:szCs w:val="19"/>
        </w:rPr>
        <w:t>Baja Documental: la eliminación de aquella documentación cuya vigencia haya prescrito en sus valores administrativos, legales, fiscales o contables, y en su caso,</w:t>
      </w:r>
      <w:r w:rsidRPr="000228BA">
        <w:rPr>
          <w:rFonts w:ascii="Gotham" w:hAnsi="Gotham"/>
          <w:sz w:val="19"/>
          <w:szCs w:val="19"/>
        </w:rPr>
        <w:t xml:space="preserve"> plazos de conservación, siempre y cuando no posea valores históricos de acuerdo con las disposiciones legales aplicables; </w:t>
      </w:r>
    </w:p>
    <w:p w14:paraId="3A47458B"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XII. </w:t>
      </w:r>
      <w:r>
        <w:rPr>
          <w:rFonts w:ascii="Gotham" w:hAnsi="Gotham"/>
          <w:color w:val="000000" w:themeColor="text1"/>
          <w:sz w:val="19"/>
          <w:szCs w:val="19"/>
        </w:rPr>
        <w:tab/>
      </w:r>
      <w:r w:rsidRPr="000228BA">
        <w:rPr>
          <w:rFonts w:ascii="Gotham" w:hAnsi="Gotham"/>
          <w:color w:val="000000" w:themeColor="text1"/>
          <w:sz w:val="19"/>
          <w:szCs w:val="19"/>
        </w:rPr>
        <w:t xml:space="preserve">Catálogo de Disposición Documental: el registro general y sistemático que identifica los valores documentales, la vigencia documental, los plazos de conservación y la disposición documental; </w:t>
      </w:r>
    </w:p>
    <w:p w14:paraId="3A47458C"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XIII. </w:t>
      </w:r>
      <w:r>
        <w:rPr>
          <w:rFonts w:ascii="Gotham" w:hAnsi="Gotham"/>
          <w:color w:val="000000" w:themeColor="text1"/>
          <w:sz w:val="19"/>
          <w:szCs w:val="19"/>
        </w:rPr>
        <w:tab/>
      </w:r>
      <w:r w:rsidRPr="000228BA">
        <w:rPr>
          <w:rFonts w:ascii="Gotham" w:hAnsi="Gotham"/>
          <w:color w:val="000000" w:themeColor="text1"/>
          <w:sz w:val="19"/>
          <w:szCs w:val="19"/>
        </w:rPr>
        <w:t>Ciclo Vital:</w:t>
      </w:r>
      <w:r w:rsidRPr="000228BA">
        <w:rPr>
          <w:rFonts w:ascii="Gotham" w:hAnsi="Gotham"/>
          <w:color w:val="FF0000"/>
          <w:sz w:val="19"/>
          <w:szCs w:val="19"/>
        </w:rPr>
        <w:t xml:space="preserve"> </w:t>
      </w:r>
      <w:r w:rsidRPr="000228BA">
        <w:rPr>
          <w:rFonts w:ascii="Gotham" w:hAnsi="Gotham"/>
          <w:sz w:val="19"/>
          <w:szCs w:val="19"/>
        </w:rPr>
        <w:t xml:space="preserve">las etapas por las que atraviesan los documentos de archivo desde su producción o recepción hasta su baja documental o transferencia al Archivo Histórico; </w:t>
      </w:r>
    </w:p>
    <w:p w14:paraId="3A47458D"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XIV. </w:t>
      </w:r>
      <w:r>
        <w:rPr>
          <w:rFonts w:ascii="Gotham" w:hAnsi="Gotham"/>
          <w:color w:val="000000" w:themeColor="text1"/>
          <w:sz w:val="19"/>
          <w:szCs w:val="19"/>
        </w:rPr>
        <w:tab/>
      </w:r>
      <w:r w:rsidRPr="000228BA">
        <w:rPr>
          <w:rFonts w:ascii="Gotham" w:hAnsi="Gotham"/>
          <w:color w:val="000000" w:themeColor="text1"/>
          <w:sz w:val="19"/>
          <w:szCs w:val="19"/>
        </w:rPr>
        <w:t>Consejo: al Consejo Municipal en materia de Archivos de Tonalá, Jalisco;</w:t>
      </w:r>
    </w:p>
    <w:p w14:paraId="3A47458E"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XV. </w:t>
      </w:r>
      <w:r>
        <w:rPr>
          <w:rFonts w:ascii="Gotham" w:hAnsi="Gotham"/>
          <w:color w:val="000000" w:themeColor="text1"/>
          <w:sz w:val="19"/>
          <w:szCs w:val="19"/>
        </w:rPr>
        <w:tab/>
      </w:r>
      <w:r w:rsidRPr="000228BA">
        <w:rPr>
          <w:rFonts w:ascii="Gotham" w:hAnsi="Gotham"/>
          <w:color w:val="000000" w:themeColor="text1"/>
          <w:sz w:val="19"/>
          <w:szCs w:val="19"/>
        </w:rPr>
        <w:t>Consejo Estatal: al Consejo del Estado de Jalisco del Sistema Estatal de Archivos;</w:t>
      </w:r>
    </w:p>
    <w:p w14:paraId="3A47458F"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XVI. </w:t>
      </w:r>
      <w:r>
        <w:rPr>
          <w:rFonts w:ascii="Gotham" w:hAnsi="Gotham"/>
          <w:color w:val="000000" w:themeColor="text1"/>
          <w:sz w:val="19"/>
          <w:szCs w:val="19"/>
        </w:rPr>
        <w:tab/>
      </w:r>
      <w:r w:rsidRPr="000228BA">
        <w:rPr>
          <w:rFonts w:ascii="Gotham" w:hAnsi="Gotham"/>
          <w:color w:val="000000" w:themeColor="text1"/>
          <w:sz w:val="19"/>
          <w:szCs w:val="19"/>
        </w:rPr>
        <w:t xml:space="preserve">Consejo Nacional: </w:t>
      </w:r>
      <w:r>
        <w:rPr>
          <w:rFonts w:ascii="Gotham" w:hAnsi="Gotham"/>
          <w:color w:val="000000" w:themeColor="text1"/>
          <w:sz w:val="19"/>
          <w:szCs w:val="19"/>
        </w:rPr>
        <w:t>A</w:t>
      </w:r>
      <w:r w:rsidRPr="000228BA">
        <w:rPr>
          <w:rFonts w:ascii="Gotham" w:hAnsi="Gotham"/>
          <w:color w:val="000000" w:themeColor="text1"/>
          <w:sz w:val="19"/>
          <w:szCs w:val="19"/>
        </w:rPr>
        <w:t>l Consejo Nacional de Archivos;</w:t>
      </w:r>
    </w:p>
    <w:p w14:paraId="3A474590"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XVII. </w:t>
      </w:r>
      <w:r>
        <w:rPr>
          <w:rFonts w:ascii="Gotham" w:hAnsi="Gotham"/>
          <w:sz w:val="19"/>
          <w:szCs w:val="19"/>
        </w:rPr>
        <w:tab/>
      </w:r>
      <w:r w:rsidRPr="000228BA">
        <w:rPr>
          <w:rFonts w:ascii="Gotham" w:hAnsi="Gotham"/>
          <w:sz w:val="19"/>
          <w:szCs w:val="19"/>
        </w:rPr>
        <w:t xml:space="preserve">Conservación de Archivos: el conjunto de procedimientos y medidas destinados a asegurar la prevención de alteraciones físicas de los documentos en papel y la preservación de los documentos digitales a largo plazo; </w:t>
      </w:r>
    </w:p>
    <w:p w14:paraId="3A474591"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lastRenderedPageBreak/>
        <w:t xml:space="preserve">XVIII. </w:t>
      </w:r>
      <w:r>
        <w:rPr>
          <w:rFonts w:ascii="Gotham" w:hAnsi="Gotham"/>
          <w:sz w:val="19"/>
          <w:szCs w:val="19"/>
        </w:rPr>
        <w:tab/>
      </w:r>
      <w:r w:rsidRPr="000228BA">
        <w:rPr>
          <w:rFonts w:ascii="Gotham" w:hAnsi="Gotham"/>
          <w:sz w:val="19"/>
          <w:szCs w:val="19"/>
        </w:rPr>
        <w:t xml:space="preserve">Consulta de Documentos: a las actividades relacionadas con la implantación de controles de acceso a los documentos debidamente organizados que garantizan el derecho que tienen los usuarios mediante la atención de requerimientos; </w:t>
      </w:r>
    </w:p>
    <w:p w14:paraId="3A474592"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XIX. </w:t>
      </w:r>
      <w:r>
        <w:rPr>
          <w:rFonts w:ascii="Gotham" w:hAnsi="Gotham"/>
          <w:sz w:val="19"/>
          <w:szCs w:val="19"/>
        </w:rPr>
        <w:tab/>
      </w:r>
      <w:r w:rsidRPr="000228BA">
        <w:rPr>
          <w:rFonts w:ascii="Gotham" w:hAnsi="Gotham"/>
          <w:sz w:val="19"/>
          <w:szCs w:val="19"/>
        </w:rPr>
        <w:t xml:space="preserve">Cuadro General de Clasificación Archivística: el instrumento técnico que refleja la estructura de un archivo con base en las series documentales generadas por las atribuciones y funciones de cada Sujeto Obligado; </w:t>
      </w:r>
    </w:p>
    <w:p w14:paraId="3A474593"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XX. </w:t>
      </w:r>
      <w:r>
        <w:rPr>
          <w:rFonts w:ascii="Gotham" w:hAnsi="Gotham"/>
          <w:color w:val="000000" w:themeColor="text1"/>
          <w:sz w:val="19"/>
          <w:szCs w:val="19"/>
        </w:rPr>
        <w:tab/>
      </w:r>
      <w:r w:rsidRPr="000228BA">
        <w:rPr>
          <w:rFonts w:ascii="Gotham" w:hAnsi="Gotham"/>
          <w:color w:val="000000" w:themeColor="text1"/>
          <w:sz w:val="19"/>
          <w:szCs w:val="19"/>
        </w:rPr>
        <w:t xml:space="preserve">Datos Abiertos: </w:t>
      </w:r>
      <w:r w:rsidRPr="000228BA">
        <w:rPr>
          <w:rFonts w:ascii="Gotham" w:hAnsi="Gotham"/>
          <w:sz w:val="19"/>
          <w:szCs w:val="19"/>
        </w:rPr>
        <w:t xml:space="preserve">los datos digitales en formatos abiertos de carácter público que son accesibles en línea y pueden ser usados, reutilizados y redistribuidos por cualquier interesado; </w:t>
      </w:r>
    </w:p>
    <w:p w14:paraId="3A474594"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XXI. </w:t>
      </w:r>
      <w:r>
        <w:rPr>
          <w:rFonts w:ascii="Gotham" w:hAnsi="Gotham"/>
          <w:color w:val="000000" w:themeColor="text1"/>
          <w:sz w:val="19"/>
          <w:szCs w:val="19"/>
        </w:rPr>
        <w:tab/>
      </w:r>
      <w:r w:rsidRPr="000228BA">
        <w:rPr>
          <w:rFonts w:ascii="Gotham" w:hAnsi="Gotham"/>
          <w:color w:val="000000" w:themeColor="text1"/>
          <w:sz w:val="19"/>
          <w:szCs w:val="19"/>
        </w:rPr>
        <w:t xml:space="preserve">Dependencias: las que integran la Administración Pública del Municipio de Tonalá, Jalisco; </w:t>
      </w:r>
    </w:p>
    <w:p w14:paraId="3A474595"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XXII. </w:t>
      </w:r>
      <w:r>
        <w:rPr>
          <w:rFonts w:ascii="Gotham" w:hAnsi="Gotham"/>
          <w:color w:val="000000" w:themeColor="text1"/>
          <w:sz w:val="19"/>
          <w:szCs w:val="19"/>
        </w:rPr>
        <w:tab/>
      </w:r>
      <w:r w:rsidRPr="000228BA">
        <w:rPr>
          <w:rFonts w:ascii="Gotham" w:hAnsi="Gotham"/>
          <w:color w:val="000000" w:themeColor="text1"/>
          <w:sz w:val="19"/>
          <w:szCs w:val="19"/>
        </w:rPr>
        <w:t xml:space="preserve">Despacho Documental: a la entrega de la correspondencia que realizan las Oficialías de Partes al Archivo de Trámite correspondiente para su integración, organización y gestión; </w:t>
      </w:r>
    </w:p>
    <w:p w14:paraId="3A474596"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XXIII. </w:t>
      </w:r>
      <w:r>
        <w:rPr>
          <w:rFonts w:ascii="Gotham" w:hAnsi="Gotham"/>
          <w:color w:val="000000" w:themeColor="text1"/>
          <w:sz w:val="19"/>
          <w:szCs w:val="19"/>
        </w:rPr>
        <w:tab/>
      </w:r>
      <w:r w:rsidRPr="000228BA">
        <w:rPr>
          <w:rFonts w:ascii="Gotham" w:hAnsi="Gotham"/>
          <w:color w:val="000000" w:themeColor="text1"/>
          <w:sz w:val="19"/>
          <w:szCs w:val="19"/>
        </w:rPr>
        <w:t xml:space="preserve">Jefatura: la Jefatura del Archivo General Municipal de Tonalá, Jalisco; </w:t>
      </w:r>
    </w:p>
    <w:p w14:paraId="3A474597"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XXIV. </w:t>
      </w:r>
      <w:r>
        <w:rPr>
          <w:rFonts w:ascii="Gotham" w:hAnsi="Gotham"/>
          <w:sz w:val="19"/>
          <w:szCs w:val="19"/>
        </w:rPr>
        <w:tab/>
      </w:r>
      <w:r w:rsidRPr="000228BA">
        <w:rPr>
          <w:rFonts w:ascii="Gotham" w:hAnsi="Gotham"/>
          <w:sz w:val="19"/>
          <w:szCs w:val="19"/>
        </w:rPr>
        <w:t xml:space="preserve">Disposición Documental: la selección sistemática de los expedientes de los Archivos de Trámite o Concentración cuya vigencia documental o uso ha prescrito, con el fin de realizar transferencias ordenadas o bajas documentales; </w:t>
      </w:r>
    </w:p>
    <w:p w14:paraId="3A474598"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XXV. </w:t>
      </w:r>
      <w:r>
        <w:rPr>
          <w:rFonts w:ascii="Gotham" w:hAnsi="Gotham"/>
          <w:sz w:val="19"/>
          <w:szCs w:val="19"/>
        </w:rPr>
        <w:tab/>
      </w:r>
      <w:r w:rsidRPr="000228BA">
        <w:rPr>
          <w:rFonts w:ascii="Gotham" w:hAnsi="Gotham"/>
          <w:sz w:val="19"/>
          <w:szCs w:val="19"/>
        </w:rPr>
        <w:t xml:space="preserve">Documento de Archivo: aquel que registra un hecho, acto administrativo, jurídico, fiscal o contable producido, recibido y utilizado en el ejercicio de las facultades, competencias o funciones de los Sujetos Obligados, con independencia de su soporte documental y que será considerado documento público; </w:t>
      </w:r>
    </w:p>
    <w:p w14:paraId="3A474599"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XXVI. </w:t>
      </w:r>
      <w:r>
        <w:rPr>
          <w:rFonts w:ascii="Gotham" w:hAnsi="Gotham"/>
          <w:sz w:val="19"/>
          <w:szCs w:val="19"/>
        </w:rPr>
        <w:tab/>
      </w:r>
      <w:r w:rsidRPr="000228BA">
        <w:rPr>
          <w:rFonts w:ascii="Gotham" w:hAnsi="Gotham"/>
          <w:sz w:val="19"/>
          <w:szCs w:val="19"/>
        </w:rPr>
        <w:t xml:space="preserve">Documentos Históricos: los que se preservan permanentemente porque poseen valores evidénciales, testimoniales e informativos relevantes para la sociedad, y que por ello forman parte íntegra de la memoria colectiva del Municipio y son fundamentales para el conocimiento de la historia local; </w:t>
      </w:r>
    </w:p>
    <w:p w14:paraId="3A47459A"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XXVII. </w:t>
      </w:r>
      <w:r>
        <w:rPr>
          <w:rFonts w:ascii="Gotham" w:hAnsi="Gotham"/>
          <w:sz w:val="19"/>
          <w:szCs w:val="19"/>
        </w:rPr>
        <w:tab/>
      </w:r>
      <w:r w:rsidRPr="000228BA">
        <w:rPr>
          <w:rFonts w:ascii="Gotham" w:hAnsi="Gotham"/>
          <w:sz w:val="19"/>
          <w:szCs w:val="19"/>
        </w:rPr>
        <w:t xml:space="preserve">Documento Reservado: aquellos que conforme a la Ley de Transparencia y Acceso a la información Pública del Estado de Jalisco y sus Municipios contengan información de carácter reservado y su acceso por parte de los particulares se regulará conforme a las disposiciones de la ley en comento y no serán sometidos al proceso de disposición documental hasta que finalice el plazo de su reserva establecido en la misma. </w:t>
      </w:r>
    </w:p>
    <w:p w14:paraId="3A47459B"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XXVIII. </w:t>
      </w:r>
      <w:r>
        <w:rPr>
          <w:rFonts w:ascii="Gotham" w:hAnsi="Gotham"/>
          <w:sz w:val="19"/>
          <w:szCs w:val="19"/>
        </w:rPr>
        <w:tab/>
      </w:r>
      <w:r w:rsidRPr="000228BA">
        <w:rPr>
          <w:rFonts w:ascii="Gotham" w:hAnsi="Gotham"/>
          <w:sz w:val="19"/>
          <w:szCs w:val="19"/>
        </w:rPr>
        <w:t xml:space="preserve">Estabilización: el procedimiento de limpieza de documentos, fumigación, integración de refuerzos, extracción de materiales que oxidan y deterioran el papel y resguardo de documentos sueltos en papel libre de ácido; </w:t>
      </w:r>
    </w:p>
    <w:p w14:paraId="3A47459C"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XXIX. </w:t>
      </w:r>
      <w:r>
        <w:rPr>
          <w:rFonts w:ascii="Gotham" w:hAnsi="Gotham"/>
          <w:sz w:val="19"/>
          <w:szCs w:val="19"/>
        </w:rPr>
        <w:tab/>
      </w:r>
      <w:r w:rsidRPr="000228BA">
        <w:rPr>
          <w:rFonts w:ascii="Gotham" w:hAnsi="Gotham"/>
          <w:sz w:val="19"/>
          <w:szCs w:val="19"/>
        </w:rPr>
        <w:t xml:space="preserve">Expediente: la unidad documental compuesta por documentos de archivo, ordenados y relacionados por un mismo asunto, actividad o trámite con independencia de su soporte documental; </w:t>
      </w:r>
    </w:p>
    <w:p w14:paraId="3A47459D"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XXX. </w:t>
      </w:r>
      <w:r>
        <w:rPr>
          <w:rFonts w:ascii="Gotham" w:hAnsi="Gotham"/>
          <w:sz w:val="19"/>
          <w:szCs w:val="19"/>
        </w:rPr>
        <w:tab/>
      </w:r>
      <w:r w:rsidRPr="000228BA">
        <w:rPr>
          <w:rFonts w:ascii="Gotham" w:hAnsi="Gotham"/>
          <w:sz w:val="19"/>
          <w:szCs w:val="19"/>
        </w:rPr>
        <w:t xml:space="preserve">Expediente Electrónico: al conjunto de documentos electrónicos generados o recibidos por los Sujetos Obligados, cualquiera que sea el tipo de información que contengan; </w:t>
      </w:r>
    </w:p>
    <w:p w14:paraId="3A47459E"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XXXI. </w:t>
      </w:r>
      <w:r>
        <w:rPr>
          <w:rFonts w:ascii="Gotham" w:hAnsi="Gotham"/>
          <w:sz w:val="19"/>
          <w:szCs w:val="19"/>
        </w:rPr>
        <w:tab/>
      </w:r>
      <w:r w:rsidRPr="000228BA">
        <w:rPr>
          <w:rFonts w:ascii="Gotham" w:hAnsi="Gotham"/>
          <w:sz w:val="19"/>
          <w:szCs w:val="19"/>
        </w:rPr>
        <w:t xml:space="preserve">Firma Electrónica Avanzada: los datos que en forma electrónica son vinculados o asociados a un mensaje de datos y que corresponden inequívocamente al firmante, con la finalidad de asegurar la integridad y autenticidad del mismo, de tal forma que esté vinculada únicamente al firmante y a los datos a los que se refiere, de manera que sea detectable cualquier modificación ulterior de éstos, la cual produce los mismos efectos jurídicos que la firma autógrafa; </w:t>
      </w:r>
    </w:p>
    <w:p w14:paraId="3A47459F"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XXXII. </w:t>
      </w:r>
      <w:r>
        <w:rPr>
          <w:rFonts w:ascii="Gotham" w:hAnsi="Gotham"/>
          <w:sz w:val="19"/>
          <w:szCs w:val="19"/>
        </w:rPr>
        <w:tab/>
      </w:r>
      <w:r w:rsidRPr="000228BA">
        <w:rPr>
          <w:rFonts w:ascii="Gotham" w:hAnsi="Gotham"/>
          <w:sz w:val="19"/>
          <w:szCs w:val="19"/>
        </w:rPr>
        <w:t xml:space="preserve">Fondo: el conjunto de documentos producidos orgánicamente por el Ayuntamiento y los organismos de la administración pública municipal y que se identifica con el respectivo nombre o denominación; </w:t>
      </w:r>
    </w:p>
    <w:p w14:paraId="3A4745A0"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lastRenderedPageBreak/>
        <w:t xml:space="preserve">XXXIII. </w:t>
      </w:r>
      <w:r>
        <w:rPr>
          <w:rFonts w:ascii="Gotham" w:hAnsi="Gotham"/>
          <w:sz w:val="19"/>
          <w:szCs w:val="19"/>
        </w:rPr>
        <w:tab/>
      </w:r>
      <w:r w:rsidRPr="000228BA">
        <w:rPr>
          <w:rFonts w:ascii="Gotham" w:hAnsi="Gotham"/>
          <w:sz w:val="19"/>
          <w:szCs w:val="19"/>
        </w:rPr>
        <w:t xml:space="preserve">Gestión Documental: el tratamiento integral de la documentación a lo largo de su ciclo vital, a través de la ejecución de procesos de producción, organización, acceso, consulta, valoración documental y conservación; </w:t>
      </w:r>
    </w:p>
    <w:p w14:paraId="3A4745A1"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XXXIV. </w:t>
      </w:r>
      <w:r>
        <w:rPr>
          <w:rFonts w:ascii="Gotham" w:hAnsi="Gotham"/>
          <w:sz w:val="19"/>
          <w:szCs w:val="19"/>
        </w:rPr>
        <w:tab/>
      </w:r>
      <w:r w:rsidRPr="000228BA">
        <w:rPr>
          <w:rFonts w:ascii="Gotham" w:hAnsi="Gotham"/>
          <w:sz w:val="19"/>
          <w:szCs w:val="19"/>
        </w:rPr>
        <w:t xml:space="preserve">Grupo Interdisciplinario: al conjunto de personas integrado por los titulares o los representantes que designen las siguientes dependencias: Sindicatura Municipal, Mejora Regulatoria, Área Coordinadora de Archivos, Innovación Gubernamental, Unidad de Transparencia; Órgano Interno de Control; Responsable del Archivo de Concentración, Responsable del Archivo Histórico, y los responsables de las Oficialías de Partes y de los Archivos de Trámite de las Unidades o Áreas Administrativas productoras o poseedoras de la documentación, únicamente cuando éstas sean sujetas de análisis de los procesos y procedimientos institucionales de su área, con la finalidad de coadyuvar en la Valoración Documental, así como cualquier otro a invitación del Jefe del Archivo Municipal; </w:t>
      </w:r>
    </w:p>
    <w:p w14:paraId="3A4745A2"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XXXV. </w:t>
      </w:r>
      <w:r>
        <w:rPr>
          <w:rFonts w:ascii="Gotham" w:hAnsi="Gotham"/>
          <w:color w:val="000000" w:themeColor="text1"/>
          <w:sz w:val="19"/>
          <w:szCs w:val="19"/>
        </w:rPr>
        <w:tab/>
      </w:r>
      <w:r w:rsidRPr="000228BA">
        <w:rPr>
          <w:rFonts w:ascii="Gotham" w:hAnsi="Gotham"/>
          <w:color w:val="000000" w:themeColor="text1"/>
          <w:sz w:val="19"/>
          <w:szCs w:val="19"/>
        </w:rPr>
        <w:t>Instrumentos de Consulta y Control Archivísticos: a</w:t>
      </w:r>
      <w:r w:rsidRPr="000228BA">
        <w:rPr>
          <w:rFonts w:ascii="Gotham" w:hAnsi="Gotham"/>
          <w:sz w:val="19"/>
          <w:szCs w:val="19"/>
        </w:rPr>
        <w:t xml:space="preserve"> los instrumentos técnicos que propician la organización, conservación, disponibilidad, integridad y localización de los documentos de archivo a lo largo de su ciclo vital que son el Cuadro General de Clasificación Archivística, el Catálogo de Disposición Documental y los Inventarios de Expedientes; </w:t>
      </w:r>
    </w:p>
    <w:p w14:paraId="3A4745A3"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XXXVI. </w:t>
      </w:r>
      <w:r>
        <w:rPr>
          <w:rFonts w:ascii="Gotham" w:hAnsi="Gotham"/>
          <w:sz w:val="19"/>
          <w:szCs w:val="19"/>
        </w:rPr>
        <w:tab/>
      </w:r>
      <w:r w:rsidRPr="000228BA">
        <w:rPr>
          <w:rFonts w:ascii="Gotham" w:hAnsi="Gotham"/>
          <w:sz w:val="19"/>
          <w:szCs w:val="19"/>
        </w:rPr>
        <w:t xml:space="preserve">Interoperabilidad: a la capacidad de los sistemas de información de compartir datos y posibilitar el intercambio entre ellos; </w:t>
      </w:r>
    </w:p>
    <w:p w14:paraId="3A4745A4"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XXXVII. </w:t>
      </w:r>
      <w:r>
        <w:rPr>
          <w:rFonts w:ascii="Gotham" w:hAnsi="Gotham"/>
          <w:sz w:val="19"/>
          <w:szCs w:val="19"/>
        </w:rPr>
        <w:tab/>
      </w:r>
      <w:r w:rsidRPr="000228BA">
        <w:rPr>
          <w:rFonts w:ascii="Gotham" w:hAnsi="Gotham"/>
          <w:sz w:val="19"/>
          <w:szCs w:val="19"/>
        </w:rPr>
        <w:t xml:space="preserve">Inventarios de Expedientes: a los Instrumentos de Consulta que describen los expedientes de un archivo y que permiten su localización a través del Inventario General, para las transferencias o para la baja documental; </w:t>
      </w:r>
    </w:p>
    <w:p w14:paraId="3A4745A5"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XXXVIII. </w:t>
      </w:r>
      <w:r>
        <w:rPr>
          <w:rFonts w:ascii="Gotham" w:hAnsi="Gotham"/>
          <w:sz w:val="19"/>
          <w:szCs w:val="19"/>
        </w:rPr>
        <w:tab/>
      </w:r>
      <w:r w:rsidRPr="000228BA">
        <w:rPr>
          <w:rFonts w:ascii="Gotham" w:hAnsi="Gotham"/>
          <w:sz w:val="19"/>
          <w:szCs w:val="19"/>
        </w:rPr>
        <w:t xml:space="preserve">Ley Estatal: la Ley de Archivos del Estado de Jalisco y sus Municipios; </w:t>
      </w:r>
    </w:p>
    <w:p w14:paraId="3A4745A6"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XXXIX. </w:t>
      </w:r>
      <w:r>
        <w:rPr>
          <w:rFonts w:ascii="Gotham" w:hAnsi="Gotham"/>
          <w:sz w:val="19"/>
          <w:szCs w:val="19"/>
        </w:rPr>
        <w:tab/>
      </w:r>
      <w:r w:rsidRPr="000228BA">
        <w:rPr>
          <w:rFonts w:ascii="Gotham" w:hAnsi="Gotham"/>
          <w:sz w:val="19"/>
          <w:szCs w:val="19"/>
        </w:rPr>
        <w:t xml:space="preserve">Ley General: la Ley General de Archivos; </w:t>
      </w:r>
    </w:p>
    <w:p w14:paraId="3A4745A7"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XL. </w:t>
      </w:r>
      <w:r>
        <w:rPr>
          <w:rFonts w:ascii="Gotham" w:hAnsi="Gotham"/>
          <w:color w:val="000000" w:themeColor="text1"/>
          <w:sz w:val="19"/>
          <w:szCs w:val="19"/>
        </w:rPr>
        <w:tab/>
      </w:r>
      <w:r w:rsidRPr="000228BA">
        <w:rPr>
          <w:rFonts w:ascii="Gotham" w:hAnsi="Gotham"/>
          <w:color w:val="000000" w:themeColor="text1"/>
          <w:sz w:val="19"/>
          <w:szCs w:val="19"/>
        </w:rPr>
        <w:t xml:space="preserve">Metadatos: al conjunto de datos que describen el contexto, contenido y estructura de los documentos de archivos y su administración, a través del tiempo, y que sirven para identificarlos, facilitar su búsqueda, administración y control de </w:t>
      </w:r>
      <w:r w:rsidRPr="000228BA">
        <w:rPr>
          <w:rFonts w:ascii="Gotham" w:hAnsi="Gotham"/>
          <w:sz w:val="19"/>
          <w:szCs w:val="19"/>
        </w:rPr>
        <w:t xml:space="preserve">acceso; </w:t>
      </w:r>
    </w:p>
    <w:p w14:paraId="3A4745A8"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XLI. </w:t>
      </w:r>
      <w:r>
        <w:rPr>
          <w:rFonts w:ascii="Gotham" w:hAnsi="Gotham"/>
          <w:color w:val="000000" w:themeColor="text1"/>
          <w:sz w:val="19"/>
          <w:szCs w:val="19"/>
        </w:rPr>
        <w:tab/>
      </w:r>
      <w:r w:rsidRPr="000228BA">
        <w:rPr>
          <w:rFonts w:ascii="Gotham" w:hAnsi="Gotham"/>
          <w:color w:val="000000" w:themeColor="text1"/>
          <w:sz w:val="19"/>
          <w:szCs w:val="19"/>
        </w:rPr>
        <w:t xml:space="preserve">Oficialías de Partes: las unidades responsables de la recepción, registro, clasificación, seguimiento y despacho de la documentación para la integración de los expedientes de los Archivos de Trámite; </w:t>
      </w:r>
    </w:p>
    <w:p w14:paraId="3A4745A9"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XLII. </w:t>
      </w:r>
      <w:r>
        <w:rPr>
          <w:rFonts w:ascii="Gotham" w:hAnsi="Gotham"/>
          <w:color w:val="000000" w:themeColor="text1"/>
          <w:sz w:val="19"/>
          <w:szCs w:val="19"/>
        </w:rPr>
        <w:tab/>
      </w:r>
      <w:r w:rsidRPr="000228BA">
        <w:rPr>
          <w:rFonts w:ascii="Gotham" w:hAnsi="Gotham"/>
          <w:color w:val="000000" w:themeColor="text1"/>
          <w:sz w:val="19"/>
          <w:szCs w:val="19"/>
        </w:rPr>
        <w:t>Organización: conjunto de operaciones intelectuales y mecánicas destinadas a la clasificación, ordenación y descripción de los distintos grupos documentales con el propósito de consultar y recuperar, eficaz y oportunamente, la información. Las operaciones intelectuales consisten en identificar y analizar los tipos de documentos, su procedencia, origen funcional y contenido, en tanto que las operaciones mecánicas son aquellas actividades que se desarrollan para la ubicación física de los expedientes;</w:t>
      </w:r>
    </w:p>
    <w:p w14:paraId="3A4745AA"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XLIII. </w:t>
      </w:r>
      <w:r>
        <w:rPr>
          <w:rFonts w:ascii="Gotham" w:hAnsi="Gotham"/>
          <w:color w:val="000000" w:themeColor="text1"/>
          <w:sz w:val="19"/>
          <w:szCs w:val="19"/>
        </w:rPr>
        <w:tab/>
      </w:r>
      <w:r w:rsidRPr="000228BA">
        <w:rPr>
          <w:rFonts w:ascii="Gotham" w:hAnsi="Gotham"/>
          <w:color w:val="000000" w:themeColor="text1"/>
          <w:sz w:val="19"/>
          <w:szCs w:val="19"/>
        </w:rPr>
        <w:t xml:space="preserve">Patrimonio Documental: los documentos que, por su naturaleza, no son sustituibles y dan cuenta de la evolución del Estado y de las personas e instituciones que han contribuido en su desarrollo; además de transmitir y heredar información significativa de la vida intelectual, social, política, económica, cultural y artística de una comunidad, incluyendo aquellos que hayan pertenecido o pertenezcan a los archivos de los órganos federales, estatales o municipales, o cualquier otra organización religiosa o civil; </w:t>
      </w:r>
    </w:p>
    <w:p w14:paraId="3A4745AB"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XLIV. </w:t>
      </w:r>
      <w:r>
        <w:rPr>
          <w:rFonts w:ascii="Gotham" w:hAnsi="Gotham"/>
          <w:color w:val="000000" w:themeColor="text1"/>
          <w:sz w:val="19"/>
          <w:szCs w:val="19"/>
        </w:rPr>
        <w:tab/>
      </w:r>
      <w:r w:rsidRPr="000228BA">
        <w:rPr>
          <w:rFonts w:ascii="Gotham" w:hAnsi="Gotham"/>
          <w:color w:val="000000" w:themeColor="text1"/>
          <w:sz w:val="19"/>
          <w:szCs w:val="19"/>
        </w:rPr>
        <w:t xml:space="preserve">Plazo de Conservación: el periodo de guarda de la documentación en los Archivos de Trámite y Archivo de Concentración, que consiste en la combinación de la vigencia documental y, en su caso, el término precautorio y periodo de reserva que se establezcan de conformidad con la normatividad aplicable; </w:t>
      </w:r>
    </w:p>
    <w:p w14:paraId="3A4745AC"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XLV. </w:t>
      </w:r>
      <w:r>
        <w:rPr>
          <w:rFonts w:ascii="Gotham" w:hAnsi="Gotham"/>
          <w:color w:val="000000" w:themeColor="text1"/>
          <w:sz w:val="19"/>
          <w:szCs w:val="19"/>
        </w:rPr>
        <w:tab/>
      </w:r>
      <w:r w:rsidRPr="000228BA">
        <w:rPr>
          <w:rFonts w:ascii="Gotham" w:hAnsi="Gotham"/>
          <w:color w:val="000000" w:themeColor="text1"/>
          <w:sz w:val="19"/>
          <w:szCs w:val="19"/>
        </w:rPr>
        <w:t xml:space="preserve">Préstamo Documental: el proceso mediante el cual el Archivo de Trámite designado por la unidad administrativa productora de la información, solicita al Archivo de Concentración por periodo determinado, los expedientes en resguardo de este último; </w:t>
      </w:r>
    </w:p>
    <w:p w14:paraId="3A4745AD"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lastRenderedPageBreak/>
        <w:t xml:space="preserve">XLVI. </w:t>
      </w:r>
      <w:r>
        <w:rPr>
          <w:rFonts w:ascii="Gotham" w:hAnsi="Gotham"/>
          <w:color w:val="000000" w:themeColor="text1"/>
          <w:sz w:val="19"/>
          <w:szCs w:val="19"/>
        </w:rPr>
        <w:tab/>
      </w:r>
      <w:r w:rsidRPr="000228BA">
        <w:rPr>
          <w:rFonts w:ascii="Gotham" w:hAnsi="Gotham"/>
          <w:color w:val="000000" w:themeColor="text1"/>
          <w:sz w:val="19"/>
          <w:szCs w:val="19"/>
        </w:rPr>
        <w:t xml:space="preserve">Programa Anual: al Programa Anual de Desarrollo Archivístico; </w:t>
      </w:r>
    </w:p>
    <w:p w14:paraId="3A4745AE"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XLVII. </w:t>
      </w:r>
      <w:r>
        <w:rPr>
          <w:rFonts w:ascii="Gotham" w:hAnsi="Gotham"/>
          <w:color w:val="000000" w:themeColor="text1"/>
          <w:sz w:val="19"/>
          <w:szCs w:val="19"/>
        </w:rPr>
        <w:tab/>
      </w:r>
      <w:r w:rsidRPr="000228BA">
        <w:rPr>
          <w:rFonts w:ascii="Gotham" w:hAnsi="Gotham"/>
          <w:color w:val="000000" w:themeColor="text1"/>
          <w:sz w:val="19"/>
          <w:szCs w:val="19"/>
        </w:rPr>
        <w:t xml:space="preserve">Reglamento: el Reglamento de Archivos del Municipio de Tonalá, Jalisco y del Archivo General Municipal; </w:t>
      </w:r>
    </w:p>
    <w:p w14:paraId="3A4745AF"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XLVIII. </w:t>
      </w:r>
      <w:r>
        <w:rPr>
          <w:rFonts w:ascii="Gotham" w:hAnsi="Gotham"/>
          <w:color w:val="000000" w:themeColor="text1"/>
          <w:sz w:val="19"/>
          <w:szCs w:val="19"/>
        </w:rPr>
        <w:tab/>
      </w:r>
      <w:r w:rsidRPr="000228BA">
        <w:rPr>
          <w:rFonts w:ascii="Gotham" w:hAnsi="Gotham"/>
          <w:color w:val="000000" w:themeColor="text1"/>
          <w:sz w:val="19"/>
          <w:szCs w:val="19"/>
        </w:rPr>
        <w:t xml:space="preserve">Restauración: que consiste en las intervenciones que, sobre bases previas de investigación, estén dirigidas a restituir al documento su integridad y, cuando sea </w:t>
      </w:r>
      <w:r w:rsidRPr="000228BA">
        <w:rPr>
          <w:rFonts w:ascii="Gotham" w:hAnsi="Gotham"/>
          <w:sz w:val="19"/>
          <w:szCs w:val="19"/>
        </w:rPr>
        <w:t xml:space="preserve">preciso, el uso; </w:t>
      </w:r>
    </w:p>
    <w:p w14:paraId="3A4745B0"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XLIX. </w:t>
      </w:r>
      <w:r>
        <w:rPr>
          <w:rFonts w:ascii="Gotham" w:hAnsi="Gotham"/>
          <w:sz w:val="19"/>
          <w:szCs w:val="19"/>
        </w:rPr>
        <w:tab/>
      </w:r>
      <w:r w:rsidRPr="000228BA">
        <w:rPr>
          <w:rFonts w:ascii="Gotham" w:hAnsi="Gotham"/>
          <w:sz w:val="19"/>
          <w:szCs w:val="19"/>
        </w:rPr>
        <w:t xml:space="preserve">Sección: a cada una de las divisiones del fondo documental basada en las atribuciones de los Sujetos Obligados, de conformidad con las disposiciones legales aplicables; </w:t>
      </w:r>
    </w:p>
    <w:p w14:paraId="3A4745B1"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L. </w:t>
      </w:r>
      <w:r>
        <w:rPr>
          <w:rFonts w:ascii="Gotham" w:hAnsi="Gotham"/>
          <w:sz w:val="19"/>
          <w:szCs w:val="19"/>
        </w:rPr>
        <w:tab/>
      </w:r>
      <w:r w:rsidRPr="000228BA">
        <w:rPr>
          <w:rFonts w:ascii="Gotham" w:hAnsi="Gotham"/>
          <w:sz w:val="19"/>
          <w:szCs w:val="19"/>
        </w:rPr>
        <w:t>Serie:</w:t>
      </w:r>
      <w:r>
        <w:rPr>
          <w:rFonts w:ascii="Gotham" w:hAnsi="Gotham"/>
          <w:sz w:val="19"/>
          <w:szCs w:val="19"/>
        </w:rPr>
        <w:t xml:space="preserve"> </w:t>
      </w:r>
      <w:r w:rsidRPr="000228BA">
        <w:rPr>
          <w:rFonts w:ascii="Gotham" w:hAnsi="Gotham"/>
          <w:sz w:val="19"/>
          <w:szCs w:val="19"/>
        </w:rPr>
        <w:t xml:space="preserve">la división de una sección que corresponde al conjunto de documentos producidos en el desarrollo de una misma atribución general integrados en expedientes de acuerdo a un asunto, actividad o trámite específico; </w:t>
      </w:r>
    </w:p>
    <w:p w14:paraId="3A4745B2"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LI. </w:t>
      </w:r>
      <w:r>
        <w:rPr>
          <w:rFonts w:ascii="Gotham" w:hAnsi="Gotham"/>
          <w:color w:val="000000" w:themeColor="text1"/>
          <w:sz w:val="19"/>
          <w:szCs w:val="19"/>
        </w:rPr>
        <w:tab/>
      </w:r>
      <w:r w:rsidRPr="000228BA">
        <w:rPr>
          <w:rFonts w:ascii="Gotham" w:hAnsi="Gotham"/>
          <w:color w:val="000000" w:themeColor="text1"/>
          <w:sz w:val="19"/>
          <w:szCs w:val="19"/>
        </w:rPr>
        <w:t xml:space="preserve">Sistema Estatal: el Sistema de Archivos del Estado de Jalisco; </w:t>
      </w:r>
    </w:p>
    <w:p w14:paraId="3A4745B3"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LII. </w:t>
      </w:r>
      <w:r>
        <w:rPr>
          <w:rFonts w:ascii="Gotham" w:hAnsi="Gotham"/>
          <w:color w:val="000000" w:themeColor="text1"/>
          <w:sz w:val="19"/>
          <w:szCs w:val="19"/>
        </w:rPr>
        <w:tab/>
      </w:r>
      <w:r w:rsidRPr="000228BA">
        <w:rPr>
          <w:rFonts w:ascii="Gotham" w:hAnsi="Gotham"/>
          <w:color w:val="000000" w:themeColor="text1"/>
          <w:sz w:val="19"/>
          <w:szCs w:val="19"/>
        </w:rPr>
        <w:t xml:space="preserve">Sistema Institucional de Archivos: es el conjunto de registros, procesos, procedimientos, criterios, estructuras, herramientas y funciones que desarrolla la Administración Pública Municipal </w:t>
      </w:r>
      <w:r w:rsidRPr="000228BA">
        <w:rPr>
          <w:rFonts w:ascii="Gotham" w:hAnsi="Gotham"/>
          <w:sz w:val="19"/>
          <w:szCs w:val="19"/>
        </w:rPr>
        <w:t>y sustenta la actividad archivística, de acuerdo con los procesos de gestión documental, el cual se integra por un área de coordinadora de archivos; por las áreas operativas (oficialía de partes o de gestión documental; archivo de trámite, por área o unidad; y archivo de concentración; archivo histórico) y un grupo interdisciplinario (como órgano de coordinación para efectos del proceso de valoración documental);</w:t>
      </w:r>
      <w:r w:rsidR="00883EC2">
        <w:rPr>
          <w:rFonts w:ascii="Gotham" w:hAnsi="Gotham"/>
          <w:sz w:val="19"/>
          <w:szCs w:val="19"/>
        </w:rPr>
        <w:t xml:space="preserve"> </w:t>
      </w:r>
    </w:p>
    <w:p w14:paraId="3A4745B4"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LIIII. </w:t>
      </w:r>
      <w:r>
        <w:rPr>
          <w:rFonts w:ascii="Gotham" w:hAnsi="Gotham"/>
          <w:color w:val="000000" w:themeColor="text1"/>
          <w:sz w:val="19"/>
          <w:szCs w:val="19"/>
        </w:rPr>
        <w:tab/>
      </w:r>
      <w:r w:rsidRPr="000228BA">
        <w:rPr>
          <w:rFonts w:ascii="Gotham" w:hAnsi="Gotham"/>
          <w:color w:val="000000" w:themeColor="text1"/>
          <w:sz w:val="19"/>
          <w:szCs w:val="19"/>
        </w:rPr>
        <w:t>Soportes Documentales:</w:t>
      </w:r>
      <w:r w:rsidRPr="000228BA">
        <w:rPr>
          <w:rFonts w:ascii="Gotham" w:hAnsi="Gotham"/>
          <w:color w:val="FF0000"/>
          <w:sz w:val="19"/>
          <w:szCs w:val="19"/>
        </w:rPr>
        <w:t xml:space="preserve"> </w:t>
      </w:r>
      <w:r w:rsidRPr="000228BA">
        <w:rPr>
          <w:rFonts w:ascii="Gotham" w:hAnsi="Gotham"/>
          <w:sz w:val="19"/>
          <w:szCs w:val="19"/>
        </w:rPr>
        <w:t xml:space="preserve">los medios en los cuales se contiene información además del papel, siendo estos materiales audiovisuales, fotográficos, fílmicos, digitales, electrónicos, sonoros, visuales, entre otros; </w:t>
      </w:r>
    </w:p>
    <w:p w14:paraId="3A4745B5"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LIV. </w:t>
      </w:r>
      <w:r>
        <w:rPr>
          <w:rFonts w:ascii="Gotham" w:hAnsi="Gotham"/>
          <w:sz w:val="19"/>
          <w:szCs w:val="19"/>
        </w:rPr>
        <w:tab/>
      </w:r>
      <w:r w:rsidRPr="000228BA">
        <w:rPr>
          <w:rFonts w:ascii="Gotham" w:hAnsi="Gotham"/>
          <w:sz w:val="19"/>
          <w:szCs w:val="19"/>
        </w:rPr>
        <w:t>Plan Estratégico: es el que contempla la planeación, la programación y la evaluación para el desarrollo de los archivos, que incluya un enfoque de administración de riesgos, protecció</w:t>
      </w:r>
      <w:r>
        <w:rPr>
          <w:rFonts w:ascii="Gotham" w:hAnsi="Gotham"/>
          <w:sz w:val="19"/>
          <w:szCs w:val="19"/>
        </w:rPr>
        <w:t>n a los derechos humanos y de o</w:t>
      </w:r>
      <w:r w:rsidRPr="000228BA">
        <w:rPr>
          <w:rFonts w:ascii="Gotham" w:hAnsi="Gotham"/>
          <w:sz w:val="19"/>
          <w:szCs w:val="19"/>
        </w:rPr>
        <w:t>t</w:t>
      </w:r>
      <w:r>
        <w:rPr>
          <w:rFonts w:ascii="Gotham" w:hAnsi="Gotham"/>
          <w:sz w:val="19"/>
          <w:szCs w:val="19"/>
        </w:rPr>
        <w:t>r</w:t>
      </w:r>
      <w:r w:rsidRPr="000228BA">
        <w:rPr>
          <w:rFonts w:ascii="Gotham" w:hAnsi="Gotham"/>
          <w:sz w:val="19"/>
          <w:szCs w:val="19"/>
        </w:rPr>
        <w:t>os derechos que de ellos deriven, así como de apertura proactiva de la información y la publicación de la información en formatos abiertos.</w:t>
      </w:r>
      <w:r w:rsidR="00883EC2">
        <w:rPr>
          <w:rFonts w:ascii="Gotham" w:hAnsi="Gotham"/>
          <w:sz w:val="19"/>
          <w:szCs w:val="19"/>
        </w:rPr>
        <w:t xml:space="preserve"> </w:t>
      </w:r>
    </w:p>
    <w:p w14:paraId="3A4745B6" w14:textId="77777777" w:rsidR="009B5E39" w:rsidRPr="000228BA" w:rsidRDefault="009B5E39" w:rsidP="00883EC2">
      <w:pPr>
        <w:pStyle w:val="Estilo"/>
        <w:tabs>
          <w:tab w:val="left" w:pos="1134"/>
        </w:tabs>
        <w:spacing w:after="120"/>
        <w:ind w:left="1134" w:right="283" w:hanging="850"/>
        <w:jc w:val="both"/>
        <w:rPr>
          <w:rFonts w:ascii="Gotham" w:hAnsi="Gotham"/>
          <w:color w:val="000000" w:themeColor="text1"/>
          <w:sz w:val="19"/>
          <w:szCs w:val="19"/>
        </w:rPr>
      </w:pPr>
      <w:r w:rsidRPr="000228BA">
        <w:rPr>
          <w:rFonts w:ascii="Gotham" w:hAnsi="Gotham"/>
          <w:color w:val="000000" w:themeColor="text1"/>
          <w:sz w:val="19"/>
          <w:szCs w:val="19"/>
        </w:rPr>
        <w:t xml:space="preserve">LV. </w:t>
      </w:r>
      <w:r>
        <w:rPr>
          <w:rFonts w:ascii="Gotham" w:hAnsi="Gotham"/>
          <w:color w:val="000000" w:themeColor="text1"/>
          <w:sz w:val="19"/>
          <w:szCs w:val="19"/>
        </w:rPr>
        <w:tab/>
      </w:r>
      <w:r w:rsidRPr="000228BA">
        <w:rPr>
          <w:rFonts w:ascii="Gotham" w:hAnsi="Gotham"/>
          <w:color w:val="000000" w:themeColor="text1"/>
          <w:sz w:val="19"/>
          <w:szCs w:val="19"/>
        </w:rPr>
        <w:t xml:space="preserve">Procedencia: Se refiere al orden original de cada fondo documental producido para distinguirlo de otros fondos semejantes; </w:t>
      </w:r>
    </w:p>
    <w:p w14:paraId="3A4745B7"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LVI. </w:t>
      </w:r>
      <w:r>
        <w:rPr>
          <w:rFonts w:ascii="Gotham" w:hAnsi="Gotham"/>
          <w:sz w:val="19"/>
          <w:szCs w:val="19"/>
        </w:rPr>
        <w:tab/>
      </w:r>
      <w:r w:rsidRPr="000228BA">
        <w:rPr>
          <w:rFonts w:ascii="Gotham" w:hAnsi="Gotham"/>
          <w:sz w:val="19"/>
          <w:szCs w:val="19"/>
        </w:rPr>
        <w:t>Subserie: la división de la serie documental;</w:t>
      </w:r>
    </w:p>
    <w:p w14:paraId="3A4745B8"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LVII. </w:t>
      </w:r>
      <w:r>
        <w:rPr>
          <w:rFonts w:ascii="Gotham" w:hAnsi="Gotham"/>
          <w:sz w:val="19"/>
          <w:szCs w:val="19"/>
        </w:rPr>
        <w:tab/>
      </w:r>
      <w:r w:rsidRPr="000228BA">
        <w:rPr>
          <w:rFonts w:ascii="Gotham" w:hAnsi="Gotham"/>
          <w:sz w:val="19"/>
          <w:szCs w:val="19"/>
        </w:rPr>
        <w:t xml:space="preserve">Sujetos Obligados: El o los señalados en la Ley de Archivos del Estado de Jalisco y sus Municipios y en la Ley General: la Ley General de Archivos, que reglamenten el acceso, proceso, generación, concentración, custodia, organización documental, conservación y disposición de documentos en el ámbito de sus competencias de acuerdo al presente Reglamento; </w:t>
      </w:r>
    </w:p>
    <w:p w14:paraId="3A4745B9"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LVIII. </w:t>
      </w:r>
      <w:r>
        <w:rPr>
          <w:rFonts w:ascii="Gotham" w:hAnsi="Gotham"/>
          <w:sz w:val="19"/>
          <w:szCs w:val="19"/>
        </w:rPr>
        <w:tab/>
      </w:r>
      <w:r w:rsidRPr="000228BA">
        <w:rPr>
          <w:rFonts w:ascii="Gotham" w:hAnsi="Gotham"/>
          <w:sz w:val="19"/>
          <w:szCs w:val="19"/>
        </w:rPr>
        <w:t xml:space="preserve">Transferencia: el traslado controlado y sistemático de expedientes de consulta esporádica de un Archivo de Trámite al Archivo de Concentración o transferencia primaria, y de expedientes que deben conservarse de manera permanente, del Archivo de Concentración al Archivo Histórico o transferencia secundaria; </w:t>
      </w:r>
    </w:p>
    <w:p w14:paraId="3A4745BA"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color w:val="000000" w:themeColor="text1"/>
          <w:sz w:val="19"/>
          <w:szCs w:val="19"/>
        </w:rPr>
        <w:t xml:space="preserve">LIX. </w:t>
      </w:r>
      <w:r>
        <w:rPr>
          <w:rFonts w:ascii="Gotham" w:hAnsi="Gotham"/>
          <w:color w:val="000000" w:themeColor="text1"/>
          <w:sz w:val="19"/>
          <w:szCs w:val="19"/>
        </w:rPr>
        <w:tab/>
      </w:r>
      <w:r w:rsidRPr="000228BA">
        <w:rPr>
          <w:rFonts w:ascii="Gotham" w:hAnsi="Gotham"/>
          <w:color w:val="000000" w:themeColor="text1"/>
          <w:sz w:val="19"/>
          <w:szCs w:val="19"/>
        </w:rPr>
        <w:t xml:space="preserve">Transferencia Directa: </w:t>
      </w:r>
      <w:r w:rsidRPr="000228BA">
        <w:rPr>
          <w:rFonts w:ascii="Gotham" w:hAnsi="Gotham"/>
          <w:sz w:val="19"/>
          <w:szCs w:val="19"/>
        </w:rPr>
        <w:t xml:space="preserve">al proceso por el cual de manera ordenada el Archivo Histórico recibe documentos que no se encuentran sujetos al Catálogo de Disposición Documental que fueron generados por sujetos externos a las dependencias, independiente del soporte documental, para su resguardo y custodia. </w:t>
      </w:r>
    </w:p>
    <w:p w14:paraId="3A4745BB"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LX. </w:t>
      </w:r>
      <w:r>
        <w:rPr>
          <w:rFonts w:ascii="Gotham" w:hAnsi="Gotham"/>
          <w:sz w:val="19"/>
          <w:szCs w:val="19"/>
        </w:rPr>
        <w:tab/>
      </w:r>
      <w:r w:rsidRPr="000228BA">
        <w:rPr>
          <w:rFonts w:ascii="Gotham" w:hAnsi="Gotham"/>
          <w:sz w:val="19"/>
          <w:szCs w:val="19"/>
        </w:rPr>
        <w:t>Trazabilidad: la cualidad que permite, a través de un sistema automatizado para la gestión documental y administración de archivos, identificar el acceso y la modificación de documentos electrónicos;</w:t>
      </w:r>
    </w:p>
    <w:p w14:paraId="3A4745BC" w14:textId="77777777" w:rsidR="009B5E39" w:rsidRPr="000228BA" w:rsidRDefault="009B5E39" w:rsidP="00883EC2">
      <w:pPr>
        <w:pStyle w:val="Estilo"/>
        <w:tabs>
          <w:tab w:val="left" w:pos="1134"/>
        </w:tabs>
        <w:spacing w:after="120"/>
        <w:ind w:left="1134" w:right="283" w:hanging="850"/>
        <w:jc w:val="both"/>
        <w:rPr>
          <w:rFonts w:ascii="Gotham" w:hAnsi="Gotham"/>
          <w:sz w:val="19"/>
          <w:szCs w:val="19"/>
        </w:rPr>
      </w:pPr>
      <w:r w:rsidRPr="000228BA">
        <w:rPr>
          <w:rFonts w:ascii="Gotham" w:hAnsi="Gotham"/>
          <w:sz w:val="19"/>
          <w:szCs w:val="19"/>
        </w:rPr>
        <w:t xml:space="preserve">LXI. </w:t>
      </w:r>
      <w:r>
        <w:rPr>
          <w:rFonts w:ascii="Gotham" w:hAnsi="Gotham"/>
          <w:sz w:val="19"/>
          <w:szCs w:val="19"/>
        </w:rPr>
        <w:tab/>
      </w:r>
      <w:r w:rsidRPr="000228BA">
        <w:rPr>
          <w:rFonts w:ascii="Gotham" w:hAnsi="Gotham"/>
          <w:sz w:val="19"/>
          <w:szCs w:val="19"/>
        </w:rPr>
        <w:t xml:space="preserve">Valoración Documental: el análisis e identificación de los valores documentales, consistente en el estudio de la condición de los documentos que les confiere características específicas </w:t>
      </w:r>
      <w:r w:rsidRPr="000228BA">
        <w:rPr>
          <w:rFonts w:ascii="Gotham" w:hAnsi="Gotham"/>
          <w:sz w:val="19"/>
          <w:szCs w:val="19"/>
        </w:rPr>
        <w:lastRenderedPageBreak/>
        <w:t>en los Archivos de Trámite, de Concentración o de evidencia, testimoniales e informativos para los Documentos Históricos, con el objeto de establecer criterios de destino final, así como para la disposición documental a través de los plazos de conservación; y</w:t>
      </w:r>
    </w:p>
    <w:p w14:paraId="3A4745BD" w14:textId="77777777" w:rsidR="009B5E39" w:rsidRPr="000228BA" w:rsidRDefault="009B5E39" w:rsidP="00883EC2">
      <w:pPr>
        <w:pStyle w:val="Estilo"/>
        <w:ind w:left="1134" w:right="283" w:hanging="850"/>
        <w:jc w:val="both"/>
        <w:rPr>
          <w:rFonts w:ascii="Gotham" w:hAnsi="Gotham"/>
          <w:sz w:val="19"/>
          <w:szCs w:val="19"/>
        </w:rPr>
      </w:pPr>
      <w:r w:rsidRPr="000228BA">
        <w:rPr>
          <w:rFonts w:ascii="Gotham" w:hAnsi="Gotham"/>
          <w:sz w:val="19"/>
          <w:szCs w:val="19"/>
        </w:rPr>
        <w:t xml:space="preserve">LXII. </w:t>
      </w:r>
      <w:r>
        <w:rPr>
          <w:rFonts w:ascii="Gotham" w:hAnsi="Gotham"/>
          <w:sz w:val="19"/>
          <w:szCs w:val="19"/>
        </w:rPr>
        <w:tab/>
      </w:r>
      <w:r w:rsidRPr="000228BA">
        <w:rPr>
          <w:rFonts w:ascii="Gotham" w:hAnsi="Gotham"/>
          <w:sz w:val="19"/>
          <w:szCs w:val="19"/>
        </w:rPr>
        <w:t>Vigencia Documental: el periodo durante el cual un Documento de Archivo mantiene sus valores administrativos, legales, fiscales o contables, de conformidad con las disposiciones legales aplicables en la materia.</w:t>
      </w:r>
    </w:p>
    <w:p w14:paraId="3A4745BE" w14:textId="77777777" w:rsidR="009B5E39" w:rsidRPr="000228BA" w:rsidRDefault="009B5E39" w:rsidP="00883EC2">
      <w:pPr>
        <w:pStyle w:val="Estilo"/>
        <w:ind w:left="284" w:right="283"/>
        <w:jc w:val="both"/>
        <w:rPr>
          <w:rFonts w:ascii="Gotham" w:hAnsi="Gotham"/>
          <w:sz w:val="19"/>
          <w:szCs w:val="19"/>
        </w:rPr>
      </w:pPr>
    </w:p>
    <w:p w14:paraId="3A4745BF" w14:textId="77777777" w:rsidR="009B5E39" w:rsidRPr="000228BA" w:rsidRDefault="009B5E39" w:rsidP="00883EC2">
      <w:pPr>
        <w:pStyle w:val="Estilo"/>
        <w:ind w:left="284" w:right="283"/>
        <w:jc w:val="both"/>
        <w:rPr>
          <w:rFonts w:ascii="Gotham" w:hAnsi="Gotham"/>
          <w:b/>
          <w:sz w:val="19"/>
          <w:szCs w:val="19"/>
        </w:rPr>
      </w:pPr>
      <w:r w:rsidRPr="000228BA">
        <w:rPr>
          <w:rFonts w:ascii="Gotham" w:hAnsi="Gotham"/>
          <w:b/>
          <w:sz w:val="19"/>
          <w:szCs w:val="19"/>
        </w:rPr>
        <w:t xml:space="preserve">Artículo 4. </w:t>
      </w:r>
      <w:r w:rsidRPr="000228BA">
        <w:rPr>
          <w:rFonts w:ascii="Gotham" w:hAnsi="Gotham"/>
          <w:sz w:val="19"/>
          <w:szCs w:val="19"/>
        </w:rPr>
        <w:t>La aplicación del presente reglamento, garantizará la organización, la conservación y el acceso a los particulares a los archivos públicos y a todo el sistema institucional de archivos con el propósito de lograr el cumplimiento de este Reglamento de acuerdo con los lineamientos emitidos por el Consejo Estatal de Archivos y por el Consejo Nacional de Archivos.</w:t>
      </w:r>
    </w:p>
    <w:p w14:paraId="3A4745C0" w14:textId="77777777" w:rsidR="009B5E39" w:rsidRPr="000228BA" w:rsidRDefault="009B5E39" w:rsidP="00883EC2">
      <w:pPr>
        <w:pStyle w:val="Estilo"/>
        <w:ind w:left="284" w:right="283"/>
        <w:jc w:val="both"/>
        <w:rPr>
          <w:rFonts w:ascii="Gotham" w:hAnsi="Gotham"/>
          <w:b/>
          <w:sz w:val="19"/>
          <w:szCs w:val="19"/>
        </w:rPr>
      </w:pPr>
    </w:p>
    <w:p w14:paraId="3A4745C1" w14:textId="77777777" w:rsidR="009B5E39" w:rsidRPr="000228BA" w:rsidRDefault="009B5E39" w:rsidP="00883EC2">
      <w:pPr>
        <w:pStyle w:val="Estilo"/>
        <w:ind w:left="284" w:right="283"/>
        <w:jc w:val="both"/>
        <w:rPr>
          <w:rFonts w:ascii="Gotham" w:hAnsi="Gotham"/>
          <w:sz w:val="19"/>
          <w:szCs w:val="19"/>
        </w:rPr>
      </w:pPr>
      <w:r w:rsidRPr="000228BA">
        <w:rPr>
          <w:rFonts w:ascii="Gotham" w:hAnsi="Gotham"/>
          <w:b/>
          <w:sz w:val="19"/>
          <w:szCs w:val="19"/>
        </w:rPr>
        <w:t xml:space="preserve">Artículo 5. </w:t>
      </w:r>
      <w:r w:rsidRPr="000228BA">
        <w:rPr>
          <w:rFonts w:ascii="Gotham" w:hAnsi="Gotham"/>
          <w:sz w:val="19"/>
          <w:szCs w:val="19"/>
        </w:rPr>
        <w:t xml:space="preserve">El reglamento se regirá por los siguientes principios: </w:t>
      </w:r>
    </w:p>
    <w:p w14:paraId="3A4745C2" w14:textId="77777777" w:rsidR="009B5E39" w:rsidRPr="000228BA" w:rsidRDefault="009B5E39" w:rsidP="00883EC2">
      <w:pPr>
        <w:pStyle w:val="Estilo"/>
        <w:ind w:left="284" w:right="283"/>
        <w:jc w:val="both"/>
        <w:rPr>
          <w:rFonts w:ascii="Gotham" w:hAnsi="Gotham"/>
          <w:sz w:val="19"/>
          <w:szCs w:val="19"/>
        </w:rPr>
      </w:pPr>
    </w:p>
    <w:p w14:paraId="3A4745C3" w14:textId="77777777" w:rsidR="009B5E39" w:rsidRPr="000228BA" w:rsidRDefault="009B5E39" w:rsidP="00883EC2">
      <w:pPr>
        <w:pStyle w:val="Estilo"/>
        <w:spacing w:after="120"/>
        <w:ind w:left="1134" w:right="283" w:hanging="850"/>
        <w:jc w:val="both"/>
        <w:rPr>
          <w:rFonts w:ascii="Gotham" w:hAnsi="Gotham"/>
          <w:sz w:val="19"/>
          <w:szCs w:val="19"/>
        </w:rPr>
      </w:pPr>
      <w:r w:rsidRPr="000228BA">
        <w:rPr>
          <w:rFonts w:ascii="Gotham" w:hAnsi="Gotham"/>
          <w:sz w:val="19"/>
          <w:szCs w:val="19"/>
        </w:rPr>
        <w:t xml:space="preserve">I. </w:t>
      </w:r>
      <w:r>
        <w:rPr>
          <w:rFonts w:ascii="Gotham" w:hAnsi="Gotham"/>
          <w:sz w:val="19"/>
          <w:szCs w:val="19"/>
        </w:rPr>
        <w:tab/>
      </w:r>
      <w:r w:rsidRPr="000228BA">
        <w:rPr>
          <w:rFonts w:ascii="Gotham" w:hAnsi="Gotham"/>
          <w:sz w:val="19"/>
          <w:szCs w:val="19"/>
        </w:rPr>
        <w:t xml:space="preserve">Accesibilidad: garantizar el acceso a la consulta de los archivos de acuerdo con esta ley, las normas de buenas prácticas internacionales y las disposiciones legales aplicables; </w:t>
      </w:r>
    </w:p>
    <w:p w14:paraId="3A4745C4" w14:textId="77777777" w:rsidR="009B5E39" w:rsidRPr="000228BA" w:rsidRDefault="009B5E39" w:rsidP="00883EC2">
      <w:pPr>
        <w:pStyle w:val="Estilo"/>
        <w:spacing w:after="120"/>
        <w:ind w:left="1134" w:right="283" w:hanging="850"/>
        <w:jc w:val="both"/>
        <w:rPr>
          <w:rFonts w:ascii="Gotham" w:hAnsi="Gotham"/>
          <w:sz w:val="19"/>
          <w:szCs w:val="19"/>
        </w:rPr>
      </w:pPr>
      <w:r w:rsidRPr="000228BA">
        <w:rPr>
          <w:rFonts w:ascii="Gotham" w:hAnsi="Gotham"/>
          <w:sz w:val="19"/>
          <w:szCs w:val="19"/>
        </w:rPr>
        <w:t xml:space="preserve">II. </w:t>
      </w:r>
      <w:r>
        <w:rPr>
          <w:rFonts w:ascii="Gotham" w:hAnsi="Gotham"/>
          <w:sz w:val="19"/>
          <w:szCs w:val="19"/>
        </w:rPr>
        <w:tab/>
      </w:r>
      <w:r w:rsidRPr="000228BA">
        <w:rPr>
          <w:rFonts w:ascii="Gotham" w:hAnsi="Gotham"/>
          <w:sz w:val="19"/>
          <w:szCs w:val="19"/>
        </w:rPr>
        <w:t xml:space="preserve">Conservación: adoptar las medidas de índole técnica, administrativa, ambiental y tecnológica, para la adecuada preservación de los documentos de archivo; </w:t>
      </w:r>
    </w:p>
    <w:p w14:paraId="3A4745C5" w14:textId="77777777" w:rsidR="009B5E39" w:rsidRPr="000228BA" w:rsidRDefault="009B5E39" w:rsidP="00883EC2">
      <w:pPr>
        <w:pStyle w:val="Estilo"/>
        <w:spacing w:after="120"/>
        <w:ind w:left="1134" w:right="283" w:hanging="850"/>
        <w:jc w:val="both"/>
        <w:rPr>
          <w:rFonts w:ascii="Gotham" w:hAnsi="Gotham"/>
          <w:sz w:val="19"/>
          <w:szCs w:val="19"/>
        </w:rPr>
      </w:pPr>
      <w:r w:rsidRPr="000228BA">
        <w:rPr>
          <w:rFonts w:ascii="Gotham" w:hAnsi="Gotham"/>
          <w:sz w:val="19"/>
          <w:szCs w:val="19"/>
        </w:rPr>
        <w:t xml:space="preserve">III. </w:t>
      </w:r>
      <w:r>
        <w:rPr>
          <w:rFonts w:ascii="Gotham" w:hAnsi="Gotham"/>
          <w:sz w:val="19"/>
          <w:szCs w:val="19"/>
        </w:rPr>
        <w:tab/>
      </w:r>
      <w:r w:rsidRPr="000228BA">
        <w:rPr>
          <w:rFonts w:ascii="Gotham" w:hAnsi="Gotham"/>
          <w:sz w:val="19"/>
          <w:szCs w:val="19"/>
        </w:rPr>
        <w:t xml:space="preserve">Continuidad: establecer la secuencia de todas las operaciones administrativas y técnicas que se relacionen con la administración de documentos; </w:t>
      </w:r>
    </w:p>
    <w:p w14:paraId="3A4745C6" w14:textId="77777777" w:rsidR="009B5E39" w:rsidRPr="000228BA" w:rsidRDefault="009B5E39" w:rsidP="00883EC2">
      <w:pPr>
        <w:pStyle w:val="Estilo"/>
        <w:spacing w:after="120"/>
        <w:ind w:left="1134" w:right="283" w:hanging="850"/>
        <w:jc w:val="both"/>
        <w:rPr>
          <w:rFonts w:ascii="Gotham" w:hAnsi="Gotham"/>
          <w:sz w:val="19"/>
          <w:szCs w:val="19"/>
        </w:rPr>
      </w:pPr>
      <w:r w:rsidRPr="000228BA">
        <w:rPr>
          <w:rFonts w:ascii="Gotham" w:hAnsi="Gotham"/>
          <w:sz w:val="19"/>
          <w:szCs w:val="19"/>
        </w:rPr>
        <w:t xml:space="preserve">IV. </w:t>
      </w:r>
      <w:r>
        <w:rPr>
          <w:rFonts w:ascii="Gotham" w:hAnsi="Gotham"/>
          <w:sz w:val="19"/>
          <w:szCs w:val="19"/>
        </w:rPr>
        <w:tab/>
      </w:r>
      <w:r w:rsidRPr="000228BA">
        <w:rPr>
          <w:rFonts w:ascii="Gotham" w:hAnsi="Gotham"/>
          <w:sz w:val="19"/>
          <w:szCs w:val="19"/>
        </w:rPr>
        <w:t xml:space="preserve">Disponibilidad: adoptar medidas pertinentes para la localización expedita de los documentos de archivo; </w:t>
      </w:r>
    </w:p>
    <w:p w14:paraId="3A4745C7" w14:textId="77777777" w:rsidR="009B5E39" w:rsidRPr="000228BA" w:rsidRDefault="009B5E39" w:rsidP="00883EC2">
      <w:pPr>
        <w:pStyle w:val="Estilo"/>
        <w:spacing w:after="120"/>
        <w:ind w:left="1134" w:right="283" w:hanging="850"/>
        <w:jc w:val="both"/>
        <w:rPr>
          <w:rFonts w:ascii="Gotham" w:hAnsi="Gotham"/>
          <w:sz w:val="19"/>
          <w:szCs w:val="19"/>
        </w:rPr>
      </w:pPr>
      <w:r w:rsidRPr="000228BA">
        <w:rPr>
          <w:rFonts w:ascii="Gotham" w:hAnsi="Gotham"/>
          <w:sz w:val="19"/>
          <w:szCs w:val="19"/>
        </w:rPr>
        <w:t xml:space="preserve">V. </w:t>
      </w:r>
      <w:r>
        <w:rPr>
          <w:rFonts w:ascii="Gotham" w:hAnsi="Gotham"/>
          <w:sz w:val="19"/>
          <w:szCs w:val="19"/>
        </w:rPr>
        <w:tab/>
      </w:r>
      <w:r w:rsidRPr="000228BA">
        <w:rPr>
          <w:rFonts w:ascii="Gotham" w:hAnsi="Gotham"/>
          <w:sz w:val="19"/>
          <w:szCs w:val="19"/>
        </w:rPr>
        <w:t>Integridad: garantizar que los documentos de archivo sean completos y veraces para reflejar con exactitud la información contenida; y</w:t>
      </w:r>
    </w:p>
    <w:p w14:paraId="3A4745C8" w14:textId="77777777" w:rsidR="009B5E39" w:rsidRPr="000228BA" w:rsidRDefault="009B5E39" w:rsidP="00883EC2">
      <w:pPr>
        <w:pStyle w:val="Estilo"/>
        <w:ind w:left="1134" w:right="283" w:hanging="850"/>
        <w:jc w:val="both"/>
        <w:rPr>
          <w:rFonts w:ascii="Gotham" w:hAnsi="Gotham"/>
          <w:sz w:val="19"/>
          <w:szCs w:val="19"/>
        </w:rPr>
      </w:pPr>
      <w:r w:rsidRPr="000228BA">
        <w:rPr>
          <w:rFonts w:ascii="Gotham" w:hAnsi="Gotham"/>
          <w:sz w:val="19"/>
          <w:szCs w:val="19"/>
        </w:rPr>
        <w:t xml:space="preserve">VI. </w:t>
      </w:r>
      <w:r>
        <w:rPr>
          <w:rFonts w:ascii="Gotham" w:hAnsi="Gotham"/>
          <w:sz w:val="19"/>
          <w:szCs w:val="19"/>
        </w:rPr>
        <w:tab/>
      </w:r>
      <w:r w:rsidRPr="000228BA">
        <w:rPr>
          <w:rFonts w:ascii="Gotham" w:hAnsi="Gotham"/>
          <w:sz w:val="19"/>
          <w:szCs w:val="19"/>
        </w:rPr>
        <w:t xml:space="preserve">Procedencia: conservar el origen de cada fondo documental producido por los sujetos obligados, para distinguirlo de otros fondos semejantes y respetar el orden interno de las series documentales en el desarrollo de su actividad institucional. </w:t>
      </w:r>
    </w:p>
    <w:p w14:paraId="3A4745C9" w14:textId="77777777" w:rsidR="009B5E39" w:rsidRPr="000228BA" w:rsidRDefault="009B5E39" w:rsidP="00883EC2">
      <w:pPr>
        <w:pStyle w:val="Estilo"/>
        <w:ind w:left="284" w:right="283"/>
        <w:jc w:val="both"/>
        <w:rPr>
          <w:rFonts w:ascii="Gotham" w:hAnsi="Gotham"/>
          <w:sz w:val="19"/>
          <w:szCs w:val="19"/>
        </w:rPr>
      </w:pPr>
    </w:p>
    <w:p w14:paraId="3A4745CA" w14:textId="77777777" w:rsidR="009B5E39" w:rsidRPr="000228BA" w:rsidRDefault="009B5E39" w:rsidP="00883EC2">
      <w:pPr>
        <w:pStyle w:val="Estilo"/>
        <w:ind w:left="284" w:right="283"/>
        <w:jc w:val="both"/>
        <w:rPr>
          <w:rFonts w:ascii="Gotham" w:hAnsi="Gotham"/>
          <w:sz w:val="19"/>
          <w:szCs w:val="19"/>
        </w:rPr>
      </w:pPr>
      <w:r w:rsidRPr="000228BA">
        <w:rPr>
          <w:rFonts w:ascii="Gotham" w:hAnsi="Gotham"/>
          <w:sz w:val="19"/>
          <w:szCs w:val="19"/>
        </w:rPr>
        <w:t xml:space="preserve">Se adoptarán de igual manera los principios establecidos en la Ley de Transparencia y Acceso a la Información Pública del Estado de Jalisco y sus Municipios; así como al Reglamento de la Ley de Transparencia y Acceso a la Información Pública del Estado de Jalisco y sus Municipios; y al Reglamento de Transparencia, Acceso a la Información Pública, Protección de Datos y Gobierno Abierto del Ayuntamiento de Tonalá, Jalisco. </w:t>
      </w:r>
    </w:p>
    <w:p w14:paraId="3A4745CB" w14:textId="77777777" w:rsidR="009B5E39" w:rsidRDefault="009B5E39" w:rsidP="00883EC2">
      <w:pPr>
        <w:pStyle w:val="Estilo"/>
        <w:ind w:left="284" w:right="283"/>
        <w:jc w:val="both"/>
        <w:rPr>
          <w:rFonts w:ascii="Gotham" w:hAnsi="Gotham"/>
          <w:sz w:val="19"/>
          <w:szCs w:val="19"/>
        </w:rPr>
      </w:pPr>
    </w:p>
    <w:p w14:paraId="3A4745CC" w14:textId="77777777" w:rsidR="009B5E39" w:rsidRPr="000228BA" w:rsidRDefault="009B5E39" w:rsidP="00883EC2">
      <w:pPr>
        <w:pStyle w:val="Estilo"/>
        <w:ind w:left="284" w:right="283"/>
        <w:jc w:val="both"/>
        <w:rPr>
          <w:rFonts w:ascii="Gotham" w:hAnsi="Gotham"/>
          <w:sz w:val="19"/>
          <w:szCs w:val="19"/>
        </w:rPr>
      </w:pPr>
    </w:p>
    <w:p w14:paraId="3A4745CD" w14:textId="77777777" w:rsidR="009B5E39" w:rsidRPr="000228BA" w:rsidRDefault="009B5E39" w:rsidP="00883EC2">
      <w:pPr>
        <w:ind w:left="284" w:right="283"/>
        <w:jc w:val="center"/>
        <w:rPr>
          <w:rFonts w:ascii="Gotham" w:hAnsi="Gotham" w:cs="Arial"/>
          <w:b/>
          <w:sz w:val="19"/>
          <w:szCs w:val="19"/>
        </w:rPr>
      </w:pPr>
      <w:r w:rsidRPr="000228BA">
        <w:rPr>
          <w:rFonts w:ascii="Gotham" w:hAnsi="Gotham" w:cs="Arial"/>
          <w:b/>
          <w:sz w:val="19"/>
          <w:szCs w:val="19"/>
        </w:rPr>
        <w:t>CAPITULO II</w:t>
      </w:r>
    </w:p>
    <w:p w14:paraId="3A4745CE" w14:textId="77777777" w:rsidR="009B5E39" w:rsidRPr="000228BA" w:rsidRDefault="009B5E39" w:rsidP="00883EC2">
      <w:pPr>
        <w:ind w:left="284" w:right="283"/>
        <w:jc w:val="center"/>
        <w:rPr>
          <w:rFonts w:ascii="Gotham" w:hAnsi="Gotham" w:cs="Arial"/>
          <w:b/>
          <w:sz w:val="19"/>
          <w:szCs w:val="19"/>
        </w:rPr>
      </w:pPr>
      <w:r w:rsidRPr="000228BA">
        <w:rPr>
          <w:rFonts w:ascii="Gotham" w:hAnsi="Gotham" w:cs="Arial"/>
          <w:b/>
          <w:sz w:val="19"/>
          <w:szCs w:val="19"/>
        </w:rPr>
        <w:t>DEL PATRIMONIO DOCUMENTAL</w:t>
      </w:r>
    </w:p>
    <w:p w14:paraId="3A4745CF" w14:textId="77777777" w:rsidR="009B5E39" w:rsidRPr="000228BA" w:rsidRDefault="009B5E39" w:rsidP="00883EC2">
      <w:pPr>
        <w:ind w:left="284" w:right="283"/>
        <w:jc w:val="center"/>
        <w:rPr>
          <w:rFonts w:ascii="Gotham" w:hAnsi="Gotham" w:cs="Arial"/>
          <w:b/>
          <w:sz w:val="19"/>
          <w:szCs w:val="19"/>
        </w:rPr>
      </w:pPr>
    </w:p>
    <w:p w14:paraId="3A4745D0" w14:textId="77777777" w:rsidR="009B5E39" w:rsidRPr="000228BA" w:rsidRDefault="009B5E39" w:rsidP="00883EC2">
      <w:pPr>
        <w:ind w:left="284" w:right="283"/>
        <w:jc w:val="both"/>
        <w:rPr>
          <w:rFonts w:ascii="Gotham" w:hAnsi="Gotham" w:cs="Arial"/>
          <w:b/>
          <w:sz w:val="19"/>
          <w:szCs w:val="19"/>
        </w:rPr>
      </w:pPr>
      <w:r w:rsidRPr="000228BA">
        <w:rPr>
          <w:rFonts w:ascii="Gotham" w:hAnsi="Gotham" w:cs="Arial"/>
          <w:b/>
          <w:sz w:val="19"/>
          <w:szCs w:val="19"/>
        </w:rPr>
        <w:t xml:space="preserve">Artículo 6. </w:t>
      </w:r>
      <w:r w:rsidRPr="000228BA">
        <w:rPr>
          <w:rFonts w:ascii="Gotham" w:hAnsi="Gotham" w:cs="Arial"/>
          <w:sz w:val="19"/>
          <w:szCs w:val="19"/>
        </w:rPr>
        <w:t xml:space="preserve">Los documentos públicos serán considerados como bienes nacionales con la categoría de bienes muebles bajo la administración de los sujetos obligados, según sea el caso, y formarán parte del patrimonio documental de la Nación en términos del Título Quinto Capítulo I de la Ley General. </w:t>
      </w:r>
    </w:p>
    <w:p w14:paraId="3A4745D1" w14:textId="77777777" w:rsidR="009B5E39" w:rsidRDefault="009B5E39" w:rsidP="00883EC2">
      <w:pPr>
        <w:ind w:left="284" w:right="283"/>
        <w:jc w:val="both"/>
        <w:rPr>
          <w:rFonts w:ascii="Gotham" w:hAnsi="Gotham" w:cs="Arial"/>
          <w:sz w:val="19"/>
          <w:szCs w:val="19"/>
        </w:rPr>
      </w:pPr>
      <w:r w:rsidRPr="000228BA">
        <w:rPr>
          <w:rFonts w:ascii="Gotham" w:hAnsi="Gotham" w:cs="Arial"/>
          <w:sz w:val="19"/>
          <w:szCs w:val="19"/>
        </w:rPr>
        <w:t xml:space="preserve">Los documentos públicos que constituyan el patrimonio municipal son de interés público y, por lo tanto, inalienables, inembargables y no están sujetos a ningún gravamen o afectación de dominio al ser bienes muebles con la categoría de bien patrimonial documental, salvo disposición legal en contrario. </w:t>
      </w:r>
    </w:p>
    <w:p w14:paraId="3A4745D2" w14:textId="77777777" w:rsidR="009B5E39" w:rsidRPr="000228BA" w:rsidRDefault="009B5E39" w:rsidP="00883EC2">
      <w:pPr>
        <w:ind w:left="284" w:right="283"/>
        <w:jc w:val="both"/>
        <w:rPr>
          <w:rFonts w:ascii="Gotham" w:hAnsi="Gotham" w:cs="Arial"/>
          <w:sz w:val="19"/>
          <w:szCs w:val="19"/>
        </w:rPr>
      </w:pPr>
    </w:p>
    <w:p w14:paraId="3A4745D3" w14:textId="77777777" w:rsidR="009B5E39" w:rsidRPr="000228BA" w:rsidRDefault="009B5E39" w:rsidP="00883EC2">
      <w:pPr>
        <w:ind w:left="284" w:right="283"/>
        <w:jc w:val="both"/>
        <w:rPr>
          <w:rFonts w:ascii="Gotham" w:hAnsi="Gotham" w:cs="Arial"/>
          <w:sz w:val="19"/>
          <w:szCs w:val="19"/>
        </w:rPr>
      </w:pPr>
      <w:r w:rsidRPr="000228BA">
        <w:rPr>
          <w:rFonts w:ascii="Gotham" w:hAnsi="Gotham" w:cs="Arial"/>
          <w:b/>
          <w:sz w:val="19"/>
          <w:szCs w:val="19"/>
        </w:rPr>
        <w:t xml:space="preserve">Artículo 7. </w:t>
      </w:r>
      <w:r w:rsidRPr="000228BA">
        <w:rPr>
          <w:rFonts w:ascii="Gotham" w:hAnsi="Gotham" w:cs="Arial"/>
          <w:sz w:val="19"/>
          <w:szCs w:val="19"/>
        </w:rPr>
        <w:t xml:space="preserve">El buen estado y la conservación de los documentos será responsabilidad de quien los use, los tenga bajo su custodia o posesión; por tanto se evitarán todos aquellos actos que propicien su daño o destrucción, para lo cual se deberán establecer los espacios físicos y las condiciones idóneas de guarda, a efecto de evitar su deterioro. </w:t>
      </w:r>
    </w:p>
    <w:p w14:paraId="3A4745D4" w14:textId="77777777" w:rsidR="009B5E39" w:rsidRDefault="009B5E39" w:rsidP="009B5E39">
      <w:pPr>
        <w:ind w:left="284" w:right="283"/>
        <w:jc w:val="both"/>
        <w:rPr>
          <w:rFonts w:ascii="Gotham" w:hAnsi="Gotham" w:cs="Arial"/>
          <w:b/>
          <w:sz w:val="19"/>
          <w:szCs w:val="19"/>
        </w:rPr>
      </w:pPr>
    </w:p>
    <w:p w14:paraId="3A4745D5" w14:textId="77777777" w:rsidR="009B5E39" w:rsidRPr="000228BA" w:rsidRDefault="009B5E39" w:rsidP="00883EC2">
      <w:pPr>
        <w:ind w:left="284" w:right="283"/>
        <w:jc w:val="both"/>
        <w:rPr>
          <w:rFonts w:ascii="Gotham" w:hAnsi="Gotham" w:cs="Arial"/>
          <w:b/>
          <w:sz w:val="19"/>
          <w:szCs w:val="19"/>
        </w:rPr>
      </w:pPr>
      <w:r w:rsidRPr="000228BA">
        <w:rPr>
          <w:rFonts w:ascii="Gotham" w:hAnsi="Gotham" w:cs="Arial"/>
          <w:b/>
          <w:sz w:val="19"/>
          <w:szCs w:val="19"/>
        </w:rPr>
        <w:lastRenderedPageBreak/>
        <w:t xml:space="preserve">Artículo 8. </w:t>
      </w:r>
      <w:r w:rsidRPr="000228BA">
        <w:rPr>
          <w:rFonts w:ascii="Gotham" w:hAnsi="Gotham" w:cs="Arial"/>
          <w:sz w:val="19"/>
          <w:szCs w:val="19"/>
        </w:rPr>
        <w:t>El municipio en coordinación con el Archivo General del Estado de Jalisco, realizaran acciones conducentes a la conservación de los archivos, cuando la documentación o actividad archivística esté en peligro o haya resultado afectada por fenómenos naturales o cualquiera de otra índole, que pudieran dañarlos o destruirlos.</w:t>
      </w:r>
      <w:r w:rsidRPr="000228BA">
        <w:rPr>
          <w:rFonts w:ascii="Gotham" w:hAnsi="Gotham" w:cs="Arial"/>
          <w:b/>
          <w:sz w:val="19"/>
          <w:szCs w:val="19"/>
        </w:rPr>
        <w:t xml:space="preserve"> </w:t>
      </w:r>
    </w:p>
    <w:p w14:paraId="3A4745D6" w14:textId="77777777" w:rsidR="009B5E39" w:rsidRDefault="009B5E39" w:rsidP="00883EC2">
      <w:pPr>
        <w:ind w:left="284" w:right="283"/>
        <w:jc w:val="both"/>
        <w:rPr>
          <w:rFonts w:ascii="Gotham" w:hAnsi="Gotham" w:cs="Arial"/>
          <w:b/>
          <w:sz w:val="19"/>
          <w:szCs w:val="19"/>
        </w:rPr>
      </w:pPr>
    </w:p>
    <w:p w14:paraId="3A4745D7" w14:textId="77777777" w:rsidR="009B5E39" w:rsidRDefault="009B5E39" w:rsidP="00883EC2">
      <w:pPr>
        <w:ind w:left="284" w:right="283"/>
        <w:jc w:val="both"/>
        <w:rPr>
          <w:rFonts w:ascii="Gotham" w:hAnsi="Gotham" w:cs="Arial"/>
          <w:sz w:val="19"/>
          <w:szCs w:val="19"/>
        </w:rPr>
      </w:pPr>
      <w:r w:rsidRPr="000228BA">
        <w:rPr>
          <w:rFonts w:ascii="Gotham" w:hAnsi="Gotham" w:cs="Arial"/>
          <w:b/>
          <w:sz w:val="19"/>
          <w:szCs w:val="19"/>
        </w:rPr>
        <w:t xml:space="preserve">Artículo 9. </w:t>
      </w:r>
      <w:r w:rsidRPr="000228BA">
        <w:rPr>
          <w:rFonts w:ascii="Gotham" w:hAnsi="Gotham" w:cs="Arial"/>
          <w:sz w:val="19"/>
          <w:szCs w:val="19"/>
        </w:rPr>
        <w:t>Para los efectos de la protección del patrimonio documental del municipio de Tonalá, Jalisco se deberá:</w:t>
      </w:r>
    </w:p>
    <w:p w14:paraId="3A4745D8" w14:textId="77777777" w:rsidR="009B5E39" w:rsidRPr="000228BA" w:rsidRDefault="009B5E39" w:rsidP="00883EC2">
      <w:pPr>
        <w:ind w:left="284" w:right="283"/>
        <w:jc w:val="both"/>
        <w:rPr>
          <w:rFonts w:ascii="Gotham" w:hAnsi="Gotham" w:cs="Arial"/>
          <w:sz w:val="19"/>
          <w:szCs w:val="19"/>
        </w:rPr>
      </w:pPr>
    </w:p>
    <w:p w14:paraId="3A4745D9" w14:textId="77777777" w:rsidR="009B5E39" w:rsidRPr="000228BA" w:rsidRDefault="009B5E39" w:rsidP="00883EC2">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Conservar, y en su caso, restaurar el patrimonio documental; </w:t>
      </w:r>
    </w:p>
    <w:p w14:paraId="3A4745DA" w14:textId="77777777" w:rsidR="009B5E39" w:rsidRPr="000228BA" w:rsidRDefault="009B5E39" w:rsidP="00883EC2">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Establecer mecanismos para que el público en general pueda acceder a la información contenida en los documentos que son patrimonio documental del municipio; </w:t>
      </w:r>
    </w:p>
    <w:p w14:paraId="3A4745DB" w14:textId="77777777" w:rsidR="009B5E39" w:rsidRPr="000228BA" w:rsidRDefault="009B5E39" w:rsidP="00883EC2">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Verificar que los usuarios de los archivos y documentos constitutivos del patrimonio documental de los sujetos obligados que posean cumplan con las disposiciones tendientes a la conservación de los documentos; y </w:t>
      </w:r>
    </w:p>
    <w:p w14:paraId="3A4745DC" w14:textId="77777777" w:rsidR="009B5E39" w:rsidRPr="000228BA" w:rsidRDefault="009B5E39" w:rsidP="00883EC2">
      <w:pPr>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Dar seguimiento a las acciones que surjan como consecuencia del incumplimiento a las disposiciones jurídicas aplicables.</w:t>
      </w:r>
      <w:r w:rsidR="00883EC2">
        <w:rPr>
          <w:rFonts w:ascii="Gotham" w:hAnsi="Gotham" w:cs="Arial"/>
          <w:sz w:val="19"/>
          <w:szCs w:val="19"/>
        </w:rPr>
        <w:t xml:space="preserve"> </w:t>
      </w:r>
      <w:r w:rsidRPr="000228BA">
        <w:rPr>
          <w:rFonts w:ascii="Gotham" w:hAnsi="Gotham" w:cs="Arial"/>
          <w:sz w:val="19"/>
          <w:szCs w:val="19"/>
        </w:rPr>
        <w:t xml:space="preserve"> </w:t>
      </w:r>
    </w:p>
    <w:p w14:paraId="3A4745DD" w14:textId="77777777" w:rsidR="009B5E39" w:rsidRDefault="009B5E39" w:rsidP="009B5E39">
      <w:pPr>
        <w:ind w:left="284" w:right="283"/>
        <w:jc w:val="center"/>
        <w:rPr>
          <w:rFonts w:ascii="Gotham" w:hAnsi="Gotham" w:cs="Arial"/>
          <w:b/>
          <w:sz w:val="19"/>
          <w:szCs w:val="19"/>
        </w:rPr>
      </w:pPr>
    </w:p>
    <w:p w14:paraId="3A4745DE" w14:textId="77777777" w:rsidR="009B5E39" w:rsidRPr="000228BA" w:rsidRDefault="009B5E39" w:rsidP="009B5E39">
      <w:pPr>
        <w:ind w:left="284" w:right="283"/>
        <w:jc w:val="center"/>
        <w:rPr>
          <w:rFonts w:ascii="Gotham" w:hAnsi="Gotham" w:cs="Arial"/>
          <w:b/>
          <w:sz w:val="19"/>
          <w:szCs w:val="19"/>
        </w:rPr>
      </w:pPr>
    </w:p>
    <w:p w14:paraId="3A4745DF"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CAPITULO III</w:t>
      </w:r>
    </w:p>
    <w:p w14:paraId="3A4745E0"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 LAS OBLIGACIONES</w:t>
      </w:r>
    </w:p>
    <w:p w14:paraId="3A4745E1" w14:textId="77777777" w:rsidR="009B5E39" w:rsidRDefault="009B5E39" w:rsidP="009B5E39">
      <w:pPr>
        <w:ind w:left="284" w:right="283"/>
        <w:jc w:val="both"/>
        <w:rPr>
          <w:rFonts w:ascii="Gotham" w:hAnsi="Gotham" w:cs="Arial"/>
          <w:b/>
          <w:sz w:val="19"/>
          <w:szCs w:val="19"/>
        </w:rPr>
      </w:pPr>
    </w:p>
    <w:p w14:paraId="3A4745E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10. </w:t>
      </w:r>
      <w:r w:rsidRPr="000228BA">
        <w:rPr>
          <w:rFonts w:ascii="Gotham" w:hAnsi="Gotham" w:cs="Arial"/>
          <w:sz w:val="19"/>
          <w:szCs w:val="19"/>
        </w:rPr>
        <w:t xml:space="preserve">Cada sujeto obligado es responsable de organizar y conservar sus archivos; de la creación y operación de sus sistemas institucionales; del cumplimiento de lo dispuesto por la Ley de Archivos del Estado de Jalisco y sus municipios, la Ley General y las determinaciones que emita el Consejo Nacional o el Consejo Estatal, según corresponda; y deberán garantizar que no se sustraigan, dañen o eliminen documentos de archivo y la información a su cargo. </w:t>
      </w:r>
    </w:p>
    <w:p w14:paraId="3A4745E3" w14:textId="77777777" w:rsidR="009B5E39" w:rsidRDefault="009B5E39" w:rsidP="009B5E39">
      <w:pPr>
        <w:ind w:left="284" w:right="283"/>
        <w:jc w:val="both"/>
        <w:rPr>
          <w:rFonts w:ascii="Gotham" w:hAnsi="Gotham" w:cs="Arial"/>
          <w:b/>
          <w:sz w:val="19"/>
          <w:szCs w:val="19"/>
        </w:rPr>
      </w:pPr>
    </w:p>
    <w:p w14:paraId="3A4745E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11. </w:t>
      </w:r>
      <w:r w:rsidRPr="000228BA">
        <w:rPr>
          <w:rFonts w:ascii="Gotham" w:hAnsi="Gotham" w:cs="Arial"/>
          <w:sz w:val="19"/>
          <w:szCs w:val="19"/>
        </w:rPr>
        <w:t xml:space="preserve">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Ley; los servidores públicos que al dejar de desempeñar su empleo, cargo o comisión, retengan intencionalmente algún documento de archivo e histórico de interés público, serán requeridos para el efecto de que lo regresen y en caso de no hacerlo, se procederá de acuerdo a lo establecido en los ordenamientos legales aplicables a esta infracción. </w:t>
      </w:r>
    </w:p>
    <w:p w14:paraId="3A4745E5" w14:textId="77777777" w:rsidR="009B5E39" w:rsidRDefault="009B5E39" w:rsidP="009B5E39">
      <w:pPr>
        <w:ind w:left="284" w:right="283"/>
        <w:jc w:val="both"/>
        <w:rPr>
          <w:rFonts w:ascii="Gotham" w:hAnsi="Gotham" w:cs="Arial"/>
          <w:b/>
          <w:sz w:val="19"/>
          <w:szCs w:val="19"/>
        </w:rPr>
      </w:pPr>
    </w:p>
    <w:p w14:paraId="3A4745E6" w14:textId="77777777" w:rsidR="009B5E39" w:rsidRDefault="009B5E39" w:rsidP="009B5E39">
      <w:pPr>
        <w:ind w:left="284" w:right="283"/>
        <w:jc w:val="both"/>
        <w:rPr>
          <w:rFonts w:ascii="Gotham" w:hAnsi="Gotham" w:cs="Arial"/>
          <w:b/>
          <w:sz w:val="19"/>
          <w:szCs w:val="19"/>
        </w:rPr>
      </w:pPr>
      <w:r w:rsidRPr="000228BA">
        <w:rPr>
          <w:rFonts w:ascii="Gotham" w:hAnsi="Gotham" w:cs="Arial"/>
          <w:b/>
          <w:sz w:val="19"/>
          <w:szCs w:val="19"/>
        </w:rPr>
        <w:t xml:space="preserve">Artículo 12. </w:t>
      </w:r>
      <w:r w:rsidRPr="000228BA">
        <w:rPr>
          <w:rFonts w:ascii="Gotham" w:hAnsi="Gotham" w:cs="Arial"/>
          <w:sz w:val="19"/>
          <w:szCs w:val="19"/>
        </w:rPr>
        <w:t>Los sujetos obligados deberán:</w:t>
      </w:r>
      <w:r w:rsidRPr="000228BA">
        <w:rPr>
          <w:rFonts w:ascii="Gotham" w:hAnsi="Gotham" w:cs="Arial"/>
          <w:b/>
          <w:sz w:val="19"/>
          <w:szCs w:val="19"/>
        </w:rPr>
        <w:t xml:space="preserve"> </w:t>
      </w:r>
    </w:p>
    <w:p w14:paraId="3A4745E7" w14:textId="77777777" w:rsidR="009B5E39" w:rsidRPr="000228BA" w:rsidRDefault="009B5E39" w:rsidP="009B5E39">
      <w:pPr>
        <w:ind w:left="284" w:right="283"/>
        <w:jc w:val="both"/>
        <w:rPr>
          <w:rFonts w:ascii="Gotham" w:hAnsi="Gotham" w:cs="Arial"/>
          <w:b/>
          <w:sz w:val="19"/>
          <w:szCs w:val="19"/>
        </w:rPr>
      </w:pPr>
    </w:p>
    <w:p w14:paraId="3A4745E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Organizar, administrar y conservar de manera homogénea los documentos de archivo que produzcan, reciban, obtengan, adquieran, transformen o posean, de acuerdo con sus facultades, competencias, atribuciones o funciones, conforme a los estándares nacionales e internacionales y principios en materia archivística, los términos de esta ley y demás disposiciones que les sean aplicables;</w:t>
      </w:r>
    </w:p>
    <w:p w14:paraId="3A4745E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Establecer un sistema institucional para la administración de sus archivos que contemple la implementación de los procesos de gestión documental, la aplicación de los instrumentos de control y consulta y la elaboración y puesta en práctica de los procedimientos de cada tipo de archivo; </w:t>
      </w:r>
    </w:p>
    <w:p w14:paraId="3A4745E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Integrar desde el inicio los documentos en expedientes; </w:t>
      </w:r>
    </w:p>
    <w:p w14:paraId="3A4745E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Inscribir en el Registro Nacional, de acuerdo con las disposiciones que se emitan en la materia, la existencia y ubicación de archivos bajo su resguardo; </w:t>
      </w:r>
    </w:p>
    <w:p w14:paraId="3A4745EC"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 xml:space="preserve">Conformar un grupo interdisciplinario que coadyuve en la valoración documental; </w:t>
      </w:r>
    </w:p>
    <w:p w14:paraId="3A4745E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lastRenderedPageBreak/>
        <w:t xml:space="preserve">VI. </w:t>
      </w:r>
      <w:r>
        <w:rPr>
          <w:rFonts w:ascii="Gotham" w:hAnsi="Gotham" w:cs="Arial"/>
          <w:sz w:val="19"/>
          <w:szCs w:val="19"/>
        </w:rPr>
        <w:tab/>
      </w:r>
      <w:r w:rsidRPr="000228BA">
        <w:rPr>
          <w:rFonts w:ascii="Gotham" w:hAnsi="Gotham" w:cs="Arial"/>
          <w:sz w:val="19"/>
          <w:szCs w:val="19"/>
        </w:rPr>
        <w:t xml:space="preserve">Dotar a los documentos de archivo de los elementos de identificación necesarios para asegurar que mantengan su procedencia y orden original; </w:t>
      </w:r>
    </w:p>
    <w:p w14:paraId="3A4745E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 xml:space="preserve">Destinar los espacios y equipos necesarios para el funcionamiento de sus archivos; </w:t>
      </w:r>
    </w:p>
    <w:p w14:paraId="3A4745E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VIII. </w:t>
      </w:r>
      <w:r>
        <w:rPr>
          <w:rFonts w:ascii="Gotham" w:hAnsi="Gotham" w:cs="Arial"/>
          <w:sz w:val="19"/>
          <w:szCs w:val="19"/>
        </w:rPr>
        <w:tab/>
      </w:r>
      <w:r w:rsidRPr="000228BA">
        <w:rPr>
          <w:rFonts w:ascii="Gotham" w:hAnsi="Gotham" w:cs="Arial"/>
          <w:sz w:val="19"/>
          <w:szCs w:val="19"/>
        </w:rPr>
        <w:t xml:space="preserve">Promover el desarrollo de infraestructura y equipamiento para la gestión documental y administración de archivos; </w:t>
      </w:r>
    </w:p>
    <w:p w14:paraId="3A4745F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IX. </w:t>
      </w:r>
      <w:r>
        <w:rPr>
          <w:rFonts w:ascii="Gotham" w:hAnsi="Gotham" w:cs="Arial"/>
          <w:sz w:val="19"/>
          <w:szCs w:val="19"/>
        </w:rPr>
        <w:tab/>
      </w:r>
      <w:r w:rsidRPr="000228BA">
        <w:rPr>
          <w:rFonts w:ascii="Gotham" w:hAnsi="Gotham" w:cs="Arial"/>
          <w:sz w:val="19"/>
          <w:szCs w:val="19"/>
        </w:rPr>
        <w:t xml:space="preserve">Racionalizar la producción, uso, distribución y control de los documentos de archivo; </w:t>
      </w:r>
    </w:p>
    <w:p w14:paraId="3A4745F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 </w:t>
      </w:r>
      <w:r>
        <w:rPr>
          <w:rFonts w:ascii="Gotham" w:hAnsi="Gotham" w:cs="Arial"/>
          <w:sz w:val="19"/>
          <w:szCs w:val="19"/>
        </w:rPr>
        <w:tab/>
      </w:r>
      <w:r w:rsidRPr="000228BA">
        <w:rPr>
          <w:rFonts w:ascii="Gotham" w:hAnsi="Gotham" w:cs="Arial"/>
          <w:sz w:val="19"/>
          <w:szCs w:val="19"/>
        </w:rPr>
        <w:t xml:space="preserve">Resguardar los documentos contenidos en sus archivos; </w:t>
      </w:r>
    </w:p>
    <w:p w14:paraId="3A4745F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 </w:t>
      </w:r>
      <w:r>
        <w:rPr>
          <w:rFonts w:ascii="Gotham" w:hAnsi="Gotham" w:cs="Arial"/>
          <w:sz w:val="19"/>
          <w:szCs w:val="19"/>
        </w:rPr>
        <w:tab/>
      </w:r>
      <w:r w:rsidRPr="000228BA">
        <w:rPr>
          <w:rFonts w:ascii="Gotham" w:hAnsi="Gotham" w:cs="Arial"/>
          <w:sz w:val="19"/>
          <w:szCs w:val="19"/>
        </w:rPr>
        <w:t xml:space="preserve">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aplicables; y </w:t>
      </w:r>
    </w:p>
    <w:p w14:paraId="3A4745F3"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XII. </w:t>
      </w:r>
      <w:r>
        <w:rPr>
          <w:rFonts w:ascii="Gotham" w:hAnsi="Gotham" w:cs="Arial"/>
          <w:sz w:val="19"/>
          <w:szCs w:val="19"/>
        </w:rPr>
        <w:tab/>
      </w:r>
      <w:r w:rsidRPr="000228BA">
        <w:rPr>
          <w:rFonts w:ascii="Gotham" w:hAnsi="Gotham" w:cs="Arial"/>
          <w:sz w:val="19"/>
          <w:szCs w:val="19"/>
        </w:rPr>
        <w:t xml:space="preserve">Las demás disposiciones establecidas en la Ley de Archivos del Estado de Jalisco y sus municipios y otras disposiciones aplicables. </w:t>
      </w:r>
    </w:p>
    <w:p w14:paraId="3A4745F4" w14:textId="77777777" w:rsidR="009B5E39" w:rsidRDefault="009B5E39" w:rsidP="009B5E39">
      <w:pPr>
        <w:ind w:left="284" w:right="283"/>
        <w:jc w:val="both"/>
        <w:rPr>
          <w:rFonts w:ascii="Gotham" w:hAnsi="Gotham" w:cs="Arial"/>
          <w:sz w:val="19"/>
          <w:szCs w:val="19"/>
        </w:rPr>
      </w:pPr>
    </w:p>
    <w:p w14:paraId="3A4745F5"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Los fideicomisos que se constituyan y los fondos públicos que no cuenten con estructura orgánica, así como cualquier persona física que reciba y ejerza recursos públicos, o realice actos de autoridad en el municipio, estarán obligados a cumplir con las disposiciones de las fracciones I, VI, VII, IX y X del presente artículo. </w:t>
      </w:r>
    </w:p>
    <w:p w14:paraId="3A4745F6" w14:textId="77777777" w:rsidR="009B5E39" w:rsidRDefault="009B5E39" w:rsidP="009B5E39">
      <w:pPr>
        <w:ind w:left="284" w:right="283"/>
        <w:jc w:val="both"/>
        <w:rPr>
          <w:rFonts w:ascii="Gotham" w:hAnsi="Gotham" w:cs="Arial"/>
          <w:sz w:val="19"/>
          <w:szCs w:val="19"/>
        </w:rPr>
      </w:pPr>
    </w:p>
    <w:p w14:paraId="3A4745F7"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Los sujetos obligados deberán conservar los archivos relativos a violaciones graves de derechos humanos, así como respetar y garantizar el derecho de acceso a los mismos, de conformidad con la Ley de Transparencia y Acceso a la Información Pública del Estado de Jalisco y sus Municipios, siempre que no hayan sido declarados como históricos, en cuyo caso, su consulta será irrestricta.</w:t>
      </w:r>
    </w:p>
    <w:p w14:paraId="3A4745F8" w14:textId="77777777" w:rsidR="009B5E39" w:rsidRDefault="009B5E39" w:rsidP="009B5E39">
      <w:pPr>
        <w:ind w:left="284" w:right="283"/>
        <w:jc w:val="both"/>
        <w:rPr>
          <w:rFonts w:ascii="Gotham" w:hAnsi="Gotham" w:cs="Arial"/>
          <w:b/>
          <w:sz w:val="19"/>
          <w:szCs w:val="19"/>
        </w:rPr>
      </w:pPr>
    </w:p>
    <w:p w14:paraId="3A4745F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13. </w:t>
      </w:r>
      <w:r w:rsidRPr="000228BA">
        <w:rPr>
          <w:rFonts w:ascii="Gotham" w:hAnsi="Gotham" w:cs="Arial"/>
          <w:sz w:val="19"/>
          <w:szCs w:val="19"/>
        </w:rPr>
        <w:t>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w:t>
      </w:r>
    </w:p>
    <w:p w14:paraId="3A4745FA" w14:textId="77777777" w:rsidR="009B5E39" w:rsidRDefault="009B5E39" w:rsidP="009B5E39">
      <w:pPr>
        <w:ind w:left="284" w:right="283"/>
        <w:jc w:val="both"/>
        <w:rPr>
          <w:rFonts w:ascii="Gotham" w:hAnsi="Gotham" w:cs="Arial"/>
          <w:sz w:val="19"/>
          <w:szCs w:val="19"/>
        </w:rPr>
      </w:pPr>
    </w:p>
    <w:p w14:paraId="3A4745F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Los órganos internos de control o equivalentes de los sujetos obligados vigilarán el estricto cumplimiento de la presente ley, de acuerdo con sus competencias e integrarán auditorías archivísticas en sus programas anuales de trabajo. Así mismo, el Instituto de Transparencia, Información Pública y Protección de Datos Personales del Estado de Jalisco, y la Comisión Estatal de Derechos Humanos serán vigilantes del cumplimiento de esta ley en el ámbito de sus atribuciones.</w:t>
      </w:r>
    </w:p>
    <w:p w14:paraId="3A4745FC" w14:textId="77777777" w:rsidR="009B5E39" w:rsidRDefault="009B5E39" w:rsidP="009B5E39">
      <w:pPr>
        <w:ind w:left="284" w:right="283"/>
        <w:jc w:val="both"/>
        <w:rPr>
          <w:rFonts w:ascii="Gotham" w:hAnsi="Gotham" w:cs="Arial"/>
          <w:b/>
          <w:sz w:val="19"/>
          <w:szCs w:val="19"/>
        </w:rPr>
      </w:pPr>
    </w:p>
    <w:p w14:paraId="3A4745FD"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14.</w:t>
      </w:r>
      <w:r w:rsidRPr="000228BA">
        <w:rPr>
          <w:rFonts w:ascii="Gotham" w:hAnsi="Gotham" w:cs="Arial"/>
          <w:sz w:val="19"/>
          <w:szCs w:val="19"/>
        </w:rPr>
        <w:t xml:space="preserve"> Los sujetos obligados deberán contar con los instrumentos de control y de consulta archivísticos conforme a sus atribuciones y funciones, manteniéndolos actualizados y disponibles; debiendo contar al menos con los siguientes: </w:t>
      </w:r>
    </w:p>
    <w:p w14:paraId="3A4745FE" w14:textId="77777777" w:rsidR="009B5E39" w:rsidRDefault="009B5E39" w:rsidP="009B5E39">
      <w:pPr>
        <w:ind w:left="284" w:right="283"/>
        <w:jc w:val="both"/>
        <w:rPr>
          <w:rFonts w:ascii="Gotham" w:hAnsi="Gotham" w:cs="Arial"/>
          <w:sz w:val="19"/>
          <w:szCs w:val="19"/>
        </w:rPr>
      </w:pPr>
    </w:p>
    <w:p w14:paraId="3A4745F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Cuadro general de clasificación archivística; </w:t>
      </w:r>
    </w:p>
    <w:p w14:paraId="3A47460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Catálogo de disposición documental; e </w:t>
      </w:r>
    </w:p>
    <w:p w14:paraId="3A474601"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Inventarios documentales. </w:t>
      </w:r>
    </w:p>
    <w:p w14:paraId="3A474602" w14:textId="77777777" w:rsidR="009B5E39" w:rsidRDefault="009B5E39" w:rsidP="009B5E39">
      <w:pPr>
        <w:ind w:left="284" w:right="283"/>
        <w:jc w:val="both"/>
        <w:rPr>
          <w:rFonts w:ascii="Gotham" w:hAnsi="Gotham" w:cs="Arial"/>
          <w:sz w:val="19"/>
          <w:szCs w:val="19"/>
        </w:rPr>
      </w:pPr>
    </w:p>
    <w:p w14:paraId="3A474603"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La estructura del cuadro general de clasificación archivística atenderá los niveles de fondo, sección y serie, sin que esto excluya la posibilidad de que existan niveles intermedios, los cuales, serán identificados mediante una clave alfanumérica. </w:t>
      </w:r>
    </w:p>
    <w:p w14:paraId="3A474604" w14:textId="77777777" w:rsidR="009B5E39" w:rsidRDefault="009B5E39" w:rsidP="009B5E39">
      <w:pPr>
        <w:ind w:left="284" w:right="283"/>
        <w:jc w:val="both"/>
        <w:rPr>
          <w:rFonts w:ascii="Gotham" w:hAnsi="Gotham" w:cs="Arial"/>
          <w:b/>
          <w:sz w:val="19"/>
          <w:szCs w:val="19"/>
        </w:rPr>
      </w:pPr>
    </w:p>
    <w:p w14:paraId="3A474605"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15.</w:t>
      </w:r>
      <w:r w:rsidRPr="000228BA">
        <w:rPr>
          <w:rFonts w:ascii="Gotham" w:hAnsi="Gotham" w:cs="Arial"/>
          <w:sz w:val="19"/>
          <w:szCs w:val="19"/>
        </w:rPr>
        <w:t xml:space="preserve"> Además de los instrumentos de control y consulta archivísticos, los sujetos obligados deberán contar y poner a disposición del público, la Guía de Archivo Documental y el Índice de Expedientes Clasificados como Reservados a que hace referencia la Ley General de Transparencia y </w:t>
      </w:r>
      <w:r w:rsidRPr="000228BA">
        <w:rPr>
          <w:rFonts w:ascii="Gotham" w:hAnsi="Gotham" w:cs="Arial"/>
          <w:sz w:val="19"/>
          <w:szCs w:val="19"/>
        </w:rPr>
        <w:lastRenderedPageBreak/>
        <w:t>Acceso a la Información Pública y la Ley de Transparencia y Acceso a la Información Pública del Estado de Jalisco y sus Municipios.</w:t>
      </w:r>
      <w:r w:rsidR="00883EC2">
        <w:rPr>
          <w:rFonts w:ascii="Gotham" w:hAnsi="Gotham" w:cs="Arial"/>
          <w:sz w:val="19"/>
          <w:szCs w:val="19"/>
        </w:rPr>
        <w:t xml:space="preserve"> </w:t>
      </w:r>
    </w:p>
    <w:p w14:paraId="3A474606" w14:textId="77777777" w:rsidR="009B5E39" w:rsidRDefault="009B5E39" w:rsidP="009B5E39">
      <w:pPr>
        <w:ind w:left="284" w:right="283"/>
        <w:jc w:val="both"/>
        <w:rPr>
          <w:rFonts w:ascii="Gotham" w:hAnsi="Gotham" w:cs="Arial"/>
          <w:b/>
          <w:sz w:val="19"/>
          <w:szCs w:val="19"/>
        </w:rPr>
      </w:pPr>
    </w:p>
    <w:p w14:paraId="3A474607"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16.</w:t>
      </w:r>
      <w:r w:rsidRPr="000228BA">
        <w:rPr>
          <w:rFonts w:ascii="Gotham" w:hAnsi="Gotham" w:cs="Arial"/>
          <w:sz w:val="19"/>
          <w:szCs w:val="19"/>
        </w:rPr>
        <w:t xml:space="preserve"> El desecho de papel derivado de las bajas documentales, deberá destinarse preferentemente para fines de reciclaje, y en caso de obtener ingresos el sujeto obligado por dicha acción, el monto obtenido deberá ser destinado para el mantenimiento y conservación de sus archivos.</w:t>
      </w:r>
    </w:p>
    <w:p w14:paraId="3A474608" w14:textId="77777777" w:rsidR="009B5E39" w:rsidRPr="000228BA" w:rsidRDefault="009B5E39" w:rsidP="009B5E39">
      <w:pPr>
        <w:ind w:left="284" w:right="283"/>
        <w:jc w:val="both"/>
        <w:rPr>
          <w:rFonts w:ascii="Gotham" w:hAnsi="Gotham" w:cs="Arial"/>
          <w:b/>
          <w:sz w:val="19"/>
          <w:szCs w:val="19"/>
        </w:rPr>
      </w:pPr>
    </w:p>
    <w:p w14:paraId="3A47460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17.</w:t>
      </w:r>
      <w:r w:rsidRPr="000228BA">
        <w:rPr>
          <w:rFonts w:ascii="Gotham" w:hAnsi="Gotham" w:cs="Arial"/>
          <w:sz w:val="19"/>
          <w:szCs w:val="19"/>
        </w:rPr>
        <w:t xml:space="preserve"> La responsabilidad de conservar íntegramente los documentos de archivo, tanto físicamente como en su contenido, así como de la organización, conservación, disponibilidad, integridad, localización y el buen funcionamiento del sistema institucional, recaerá en el titular del Área Coordinadora de Archivos.</w:t>
      </w:r>
    </w:p>
    <w:p w14:paraId="3A47460A" w14:textId="77777777" w:rsidR="009B5E39" w:rsidRPr="000228BA" w:rsidRDefault="009B5E39" w:rsidP="009B5E39">
      <w:pPr>
        <w:ind w:left="284" w:right="283"/>
        <w:jc w:val="both"/>
        <w:rPr>
          <w:rFonts w:ascii="Gotham" w:hAnsi="Gotham" w:cs="Arial"/>
          <w:sz w:val="19"/>
          <w:szCs w:val="19"/>
        </w:rPr>
      </w:pPr>
    </w:p>
    <w:p w14:paraId="3A47460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18.</w:t>
      </w:r>
      <w:r w:rsidRPr="000228BA">
        <w:rPr>
          <w:rFonts w:ascii="Gotham" w:hAnsi="Gotham" w:cs="Arial"/>
          <w:sz w:val="19"/>
          <w:szCs w:val="19"/>
        </w:rPr>
        <w:t xml:space="preserve"> Los servidores públicos que manejen, generen, utilicen o administren documentos de archivo, en el desempeño de sus funciones, de su empleo, cargo o comisión quedan sujetos a las siguientes obligaciones: </w:t>
      </w:r>
    </w:p>
    <w:p w14:paraId="3A47460C" w14:textId="77777777" w:rsidR="009B5E39" w:rsidRPr="000228BA" w:rsidRDefault="009B5E39" w:rsidP="009B5E39">
      <w:pPr>
        <w:ind w:left="284" w:right="283"/>
        <w:jc w:val="both"/>
        <w:rPr>
          <w:rFonts w:ascii="Gotham" w:hAnsi="Gotham" w:cs="Arial"/>
          <w:sz w:val="19"/>
          <w:szCs w:val="19"/>
        </w:rPr>
      </w:pPr>
    </w:p>
    <w:p w14:paraId="3A47460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Deberán conservar los documentos de archivos, los cuales bajo ningún concepto se considerará propiedad de quien los produjo; </w:t>
      </w:r>
    </w:p>
    <w:p w14:paraId="3A47460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Deberán registrar los documentos en los archivos de trámite; </w:t>
      </w:r>
    </w:p>
    <w:p w14:paraId="3A47460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Cuando sean remitidos al archivo de concentración, éstos deberán inventariarse e integrarse en el archivo general que corresponda, a efecto de garantizar su control, carácter de propiedad e interés público; y </w:t>
      </w:r>
    </w:p>
    <w:p w14:paraId="3A474610"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Los servidores públicos que deban elaborar un acta de entrega-recepción al separarse de su empleo, cargo o comisión, deberán entregar los archivos que se encuentren bajo su custodia en los términos de la Ley de Entrega-Recepción del Estado de Jalisco y sus Municipios.</w:t>
      </w:r>
    </w:p>
    <w:p w14:paraId="3A474611" w14:textId="77777777" w:rsidR="009B5E39" w:rsidRPr="000228BA" w:rsidRDefault="009B5E39" w:rsidP="009B5E39">
      <w:pPr>
        <w:ind w:left="284" w:right="283"/>
        <w:jc w:val="both"/>
        <w:rPr>
          <w:rFonts w:ascii="Gotham" w:hAnsi="Gotham" w:cs="Arial"/>
          <w:sz w:val="19"/>
          <w:szCs w:val="19"/>
        </w:rPr>
      </w:pPr>
    </w:p>
    <w:p w14:paraId="3A47461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19.</w:t>
      </w:r>
      <w:r w:rsidRPr="000228BA">
        <w:rPr>
          <w:rFonts w:ascii="Gotham" w:hAnsi="Gotham" w:cs="Arial"/>
          <w:sz w:val="19"/>
          <w:szCs w:val="19"/>
        </w:rPr>
        <w:t xml:space="preserve"> En el caso en el que un sujeto obligado, área o unidad de éste se fusione, extinga o cambie de adscripción, el responsable de los referidos procesos de transformación dispondrá lo necesario para asegurar que todos los documentos de archivo y los instrumentos de control y consulta archivísticos sean trasladados a los archivos que correspondan. En ningún caso, el área o unidad receptora podrá modificar los instrumentos de control y consulta archivísticos. </w:t>
      </w:r>
    </w:p>
    <w:p w14:paraId="3A474613" w14:textId="77777777" w:rsidR="009B5E39" w:rsidRPr="000228BA" w:rsidRDefault="009B5E39" w:rsidP="009B5E39">
      <w:pPr>
        <w:ind w:left="284" w:right="283"/>
        <w:jc w:val="both"/>
        <w:rPr>
          <w:rFonts w:ascii="Gotham" w:hAnsi="Gotham" w:cs="Arial"/>
          <w:b/>
          <w:sz w:val="19"/>
          <w:szCs w:val="19"/>
        </w:rPr>
      </w:pPr>
    </w:p>
    <w:p w14:paraId="3A47461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20.</w:t>
      </w:r>
      <w:r w:rsidRPr="000228BA">
        <w:rPr>
          <w:rFonts w:ascii="Gotham" w:hAnsi="Gotham" w:cs="Arial"/>
          <w:sz w:val="19"/>
          <w:szCs w:val="19"/>
        </w:rPr>
        <w:t xml:space="preserve"> Tratándose de la liquidación o extinción de un área o unidad será obligación del liquidador remitir al Archivo General del municipio del inventario de los expedientes, así como el fondo que se resguardará. </w:t>
      </w:r>
    </w:p>
    <w:p w14:paraId="3A474615" w14:textId="77777777" w:rsidR="009B5E39" w:rsidRPr="000228BA" w:rsidRDefault="009B5E39" w:rsidP="009B5E39">
      <w:pPr>
        <w:ind w:left="284" w:right="283"/>
        <w:rPr>
          <w:rFonts w:ascii="Gotham" w:hAnsi="Gotham" w:cs="Arial"/>
          <w:sz w:val="19"/>
          <w:szCs w:val="19"/>
        </w:rPr>
      </w:pPr>
    </w:p>
    <w:p w14:paraId="3A474616" w14:textId="77777777" w:rsidR="009B5E39" w:rsidRPr="000228BA" w:rsidRDefault="009B5E39" w:rsidP="009B5E39">
      <w:pPr>
        <w:ind w:left="284" w:right="283"/>
        <w:rPr>
          <w:rFonts w:ascii="Gotham" w:hAnsi="Gotham" w:cs="Arial"/>
          <w:b/>
          <w:sz w:val="19"/>
          <w:szCs w:val="19"/>
        </w:rPr>
      </w:pPr>
    </w:p>
    <w:p w14:paraId="3A474617"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CAPITULO IV</w:t>
      </w:r>
    </w:p>
    <w:p w14:paraId="3A474618"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DEL ACCESO Y RESERVA DE LOS ARCHIVOS PÚBLICOS</w:t>
      </w:r>
    </w:p>
    <w:p w14:paraId="3A474619" w14:textId="77777777" w:rsidR="009B5E39" w:rsidRPr="000228BA" w:rsidRDefault="009B5E39" w:rsidP="009B5E39">
      <w:pPr>
        <w:ind w:left="284" w:right="283"/>
        <w:jc w:val="both"/>
        <w:rPr>
          <w:rFonts w:ascii="Gotham" w:hAnsi="Gotham" w:cs="Arial"/>
          <w:b/>
          <w:sz w:val="19"/>
          <w:szCs w:val="19"/>
        </w:rPr>
      </w:pPr>
    </w:p>
    <w:p w14:paraId="3A47461A"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21. </w:t>
      </w:r>
      <w:r w:rsidRPr="000228BA">
        <w:rPr>
          <w:rFonts w:ascii="Gotham" w:hAnsi="Gotham" w:cs="Arial"/>
          <w:sz w:val="19"/>
          <w:szCs w:val="19"/>
        </w:rPr>
        <w:t>El acceso a los archivos públicos es gratuito. Puede fijarse un costo a la expedición de copias de los documentos o elementos técnicos, por el monto del costo previsto en la ley de ingresos municipal correspondiente o los costos de reproducción de los materiales o medios en que se realice el despacho de documentos, expidiendo en forma gratuita las primeras veinte copias relativas a la información solicitada. Privilegiando el soporte electrónico de los expedientes a efectos de facilitar su consulta y garantizar su gratuidad.</w:t>
      </w:r>
    </w:p>
    <w:p w14:paraId="3A47461B" w14:textId="77777777" w:rsidR="009B5E39" w:rsidRDefault="009B5E39" w:rsidP="009B5E39">
      <w:pPr>
        <w:ind w:left="284" w:right="283"/>
        <w:jc w:val="both"/>
        <w:rPr>
          <w:rFonts w:ascii="Gotham" w:hAnsi="Gotham" w:cs="Arial"/>
          <w:b/>
          <w:sz w:val="19"/>
          <w:szCs w:val="19"/>
        </w:rPr>
      </w:pPr>
    </w:p>
    <w:p w14:paraId="3A47461C"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22.</w:t>
      </w:r>
      <w:r w:rsidRPr="000228BA">
        <w:rPr>
          <w:rFonts w:ascii="Gotham" w:hAnsi="Gotham" w:cs="Arial"/>
          <w:sz w:val="19"/>
          <w:szCs w:val="19"/>
        </w:rPr>
        <w:t xml:space="preserve"> La información contenida en los documentos de archivo producidos, obtenidos, adquiridos, transformados o en posesión del municipio de Tonalá, Jalisco, será pública y accesible a cualquier persona en los términos y condiciones que establece la reglamentación y legislación en materia de transparencia y acceso a la información pública y de protección de datos personales. El </w:t>
      </w:r>
      <w:r w:rsidRPr="000228BA">
        <w:rPr>
          <w:rFonts w:ascii="Gotham" w:hAnsi="Gotham" w:cs="Arial"/>
          <w:sz w:val="19"/>
          <w:szCs w:val="19"/>
        </w:rPr>
        <w:lastRenderedPageBreak/>
        <w:t xml:space="preserve">municipio de Tonalá, Jalisco garantizará la organización, conservación y preservación de los archivos con el objeto de respetar el derecho a la verdad y el acceso a la información contenida en los archivos, así como fomentar el conocimiento del patrimonio documental del municipio. </w:t>
      </w:r>
    </w:p>
    <w:p w14:paraId="3A47461D" w14:textId="77777777" w:rsidR="009B5E39" w:rsidRDefault="009B5E39" w:rsidP="009B5E39">
      <w:pPr>
        <w:ind w:left="284" w:right="283"/>
        <w:jc w:val="both"/>
        <w:rPr>
          <w:rFonts w:ascii="Gotham" w:hAnsi="Gotham" w:cs="Arial"/>
          <w:b/>
          <w:sz w:val="19"/>
          <w:szCs w:val="19"/>
        </w:rPr>
      </w:pPr>
    </w:p>
    <w:p w14:paraId="3A47461E"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23.</w:t>
      </w:r>
      <w:r w:rsidRPr="000228BA">
        <w:rPr>
          <w:rFonts w:ascii="Gotham" w:hAnsi="Gotham" w:cs="Arial"/>
          <w:sz w:val="19"/>
          <w:szCs w:val="19"/>
        </w:rPr>
        <w:t xml:space="preserve"> La copia y reproducción de un documento estará acorde al requerimiento que su trámite determine y a la necesidad de divulgación que deba tener. En todo caso, se procurará la no reproducción indiscriminada de copias y se privilegiará el uso de medios digitales a efectos de facilitar su consulta. </w:t>
      </w:r>
    </w:p>
    <w:p w14:paraId="3A47461F" w14:textId="77777777" w:rsidR="009B5E39" w:rsidRDefault="009B5E39" w:rsidP="009B5E39">
      <w:pPr>
        <w:ind w:left="284" w:right="283"/>
        <w:jc w:val="both"/>
        <w:rPr>
          <w:rFonts w:ascii="Gotham" w:hAnsi="Gotham" w:cs="Arial"/>
          <w:b/>
          <w:sz w:val="19"/>
          <w:szCs w:val="19"/>
        </w:rPr>
      </w:pPr>
    </w:p>
    <w:p w14:paraId="3A474620"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24.</w:t>
      </w:r>
      <w:r w:rsidRPr="000228BA">
        <w:rPr>
          <w:rFonts w:ascii="Gotham" w:hAnsi="Gotham" w:cs="Arial"/>
          <w:sz w:val="19"/>
          <w:szCs w:val="19"/>
        </w:rPr>
        <w:t xml:space="preserve"> Los sujetos obligados deberán producir, registrar, organizar y conservar los documentos de archivo sobre todo acto que derive del ejercicio de sus facultades, competencias o funciones, mismos que son documentos públicos de acuerdo con lo establecido en las disposiciones correspondientes. </w:t>
      </w:r>
    </w:p>
    <w:p w14:paraId="3A474621" w14:textId="77777777" w:rsidR="009B5E39" w:rsidRDefault="009B5E39" w:rsidP="009B5E39">
      <w:pPr>
        <w:ind w:left="284" w:right="283"/>
        <w:jc w:val="both"/>
        <w:rPr>
          <w:rFonts w:ascii="Gotham" w:hAnsi="Gotham" w:cs="Arial"/>
          <w:sz w:val="19"/>
          <w:szCs w:val="19"/>
        </w:rPr>
      </w:pPr>
    </w:p>
    <w:p w14:paraId="3A47462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 </w:t>
      </w:r>
    </w:p>
    <w:p w14:paraId="3A474623"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CAPÍTULO V</w:t>
      </w:r>
    </w:p>
    <w:p w14:paraId="3A474624"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DEL SISTEMA INSTITUCIONAL DE ARCHIVOS</w:t>
      </w:r>
    </w:p>
    <w:p w14:paraId="3A474625" w14:textId="77777777" w:rsidR="009B5E39" w:rsidRPr="000228BA" w:rsidRDefault="009B5E39" w:rsidP="009B5E39">
      <w:pPr>
        <w:ind w:left="284" w:right="283"/>
        <w:jc w:val="center"/>
        <w:rPr>
          <w:rFonts w:ascii="Gotham" w:hAnsi="Gotham" w:cs="Arial"/>
          <w:b/>
          <w:sz w:val="19"/>
          <w:szCs w:val="19"/>
        </w:rPr>
      </w:pPr>
    </w:p>
    <w:p w14:paraId="3A474626"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25. </w:t>
      </w:r>
      <w:r w:rsidRPr="000228BA">
        <w:rPr>
          <w:rFonts w:ascii="Gotham" w:hAnsi="Gotham" w:cs="Arial"/>
          <w:sz w:val="19"/>
          <w:szCs w:val="19"/>
        </w:rPr>
        <w:t>Todos los documentos de archivo en posesión de los sujetos obligados formarán parte del sistema institucional de archivos, deberán agruparse en expedientes de manera lógica y cronológica, y relacionarse con un mismo asunto, reflejando con exactitud la información contenida en ellos, en términos de las disposiciones jurídicas aplicables.</w:t>
      </w:r>
      <w:r w:rsidR="00883EC2">
        <w:rPr>
          <w:rFonts w:ascii="Gotham" w:hAnsi="Gotham" w:cs="Arial"/>
          <w:sz w:val="19"/>
          <w:szCs w:val="19"/>
        </w:rPr>
        <w:t xml:space="preserve"> </w:t>
      </w:r>
      <w:r w:rsidRPr="000228BA">
        <w:rPr>
          <w:rFonts w:ascii="Gotham" w:hAnsi="Gotham" w:cs="Arial"/>
          <w:sz w:val="19"/>
          <w:szCs w:val="19"/>
        </w:rPr>
        <w:t xml:space="preserve"> </w:t>
      </w:r>
    </w:p>
    <w:p w14:paraId="3A474627" w14:textId="77777777" w:rsidR="009B5E39" w:rsidRDefault="009B5E39" w:rsidP="009B5E39">
      <w:pPr>
        <w:ind w:left="284" w:right="283"/>
        <w:jc w:val="both"/>
        <w:rPr>
          <w:rFonts w:ascii="Gotham" w:hAnsi="Gotham" w:cs="Arial"/>
          <w:b/>
          <w:sz w:val="19"/>
          <w:szCs w:val="19"/>
        </w:rPr>
      </w:pPr>
    </w:p>
    <w:p w14:paraId="3A474628"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26. </w:t>
      </w:r>
      <w:r w:rsidRPr="000228BA">
        <w:rPr>
          <w:rFonts w:ascii="Gotham" w:hAnsi="Gotham" w:cs="Arial"/>
          <w:sz w:val="19"/>
          <w:szCs w:val="19"/>
        </w:rPr>
        <w:t>El Sistema Institucional de Archivos se integra por:</w:t>
      </w:r>
    </w:p>
    <w:p w14:paraId="3A474629" w14:textId="77777777" w:rsidR="009B5E39" w:rsidRDefault="009B5E39" w:rsidP="009B5E39">
      <w:pPr>
        <w:ind w:left="284" w:right="283"/>
        <w:jc w:val="both"/>
        <w:rPr>
          <w:rFonts w:ascii="Gotham" w:hAnsi="Gotham" w:cs="Arial"/>
          <w:sz w:val="19"/>
          <w:szCs w:val="19"/>
        </w:rPr>
      </w:pPr>
    </w:p>
    <w:p w14:paraId="3A47462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El Área Coordinadora de Archivos, recaerá en la o el titular de la Jefatura de Archivo Municipal;</w:t>
      </w:r>
      <w:r w:rsidR="00883EC2">
        <w:rPr>
          <w:rFonts w:ascii="Gotham" w:hAnsi="Gotham" w:cs="Arial"/>
          <w:sz w:val="19"/>
          <w:szCs w:val="19"/>
        </w:rPr>
        <w:t xml:space="preserve"> </w:t>
      </w:r>
    </w:p>
    <w:p w14:paraId="3A47462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Las Áreas Operativas siguientes:</w:t>
      </w:r>
    </w:p>
    <w:p w14:paraId="3A47462C" w14:textId="77777777" w:rsidR="009B5E39" w:rsidRPr="000228BA" w:rsidRDefault="009B5E39" w:rsidP="009B5E39">
      <w:pPr>
        <w:spacing w:after="80"/>
        <w:ind w:left="1560" w:right="283" w:hanging="426"/>
        <w:jc w:val="both"/>
        <w:rPr>
          <w:rFonts w:ascii="Gotham" w:hAnsi="Gotham" w:cs="Arial"/>
          <w:sz w:val="19"/>
          <w:szCs w:val="19"/>
        </w:rPr>
      </w:pPr>
      <w:r w:rsidRPr="000228BA">
        <w:rPr>
          <w:rFonts w:ascii="Gotham" w:hAnsi="Gotham" w:cs="Arial"/>
          <w:sz w:val="19"/>
          <w:szCs w:val="19"/>
        </w:rPr>
        <w:t xml:space="preserve">a) </w:t>
      </w:r>
      <w:r>
        <w:rPr>
          <w:rFonts w:ascii="Gotham" w:hAnsi="Gotham" w:cs="Arial"/>
          <w:sz w:val="19"/>
          <w:szCs w:val="19"/>
        </w:rPr>
        <w:tab/>
      </w:r>
      <w:r w:rsidRPr="000228BA">
        <w:rPr>
          <w:rFonts w:ascii="Gotham" w:hAnsi="Gotham" w:cs="Arial"/>
          <w:sz w:val="19"/>
          <w:szCs w:val="19"/>
        </w:rPr>
        <w:t>Oficialía de Partes o de gestión documental;</w:t>
      </w:r>
    </w:p>
    <w:p w14:paraId="3A47462D" w14:textId="77777777" w:rsidR="009B5E39" w:rsidRPr="000228BA" w:rsidRDefault="009B5E39" w:rsidP="009B5E39">
      <w:pPr>
        <w:spacing w:after="80"/>
        <w:ind w:left="1560" w:right="283" w:hanging="426"/>
        <w:jc w:val="both"/>
        <w:rPr>
          <w:rFonts w:ascii="Gotham" w:hAnsi="Gotham" w:cs="Arial"/>
          <w:sz w:val="19"/>
          <w:szCs w:val="19"/>
        </w:rPr>
      </w:pPr>
      <w:r w:rsidRPr="000228BA">
        <w:rPr>
          <w:rFonts w:ascii="Gotham" w:hAnsi="Gotham" w:cs="Arial"/>
          <w:sz w:val="19"/>
          <w:szCs w:val="19"/>
        </w:rPr>
        <w:t xml:space="preserve">b) </w:t>
      </w:r>
      <w:r>
        <w:rPr>
          <w:rFonts w:ascii="Gotham" w:hAnsi="Gotham" w:cs="Arial"/>
          <w:sz w:val="19"/>
          <w:szCs w:val="19"/>
        </w:rPr>
        <w:tab/>
      </w:r>
      <w:r w:rsidRPr="000228BA">
        <w:rPr>
          <w:rFonts w:ascii="Gotham" w:hAnsi="Gotham" w:cs="Arial"/>
          <w:sz w:val="19"/>
          <w:szCs w:val="19"/>
        </w:rPr>
        <w:t>Archivo de Trámite por área o unidad;</w:t>
      </w:r>
    </w:p>
    <w:p w14:paraId="3A47462E" w14:textId="77777777" w:rsidR="009B5E39" w:rsidRPr="000228BA" w:rsidRDefault="009B5E39" w:rsidP="009B5E39">
      <w:pPr>
        <w:spacing w:after="80"/>
        <w:ind w:left="1560" w:right="283" w:hanging="426"/>
        <w:jc w:val="both"/>
        <w:rPr>
          <w:rFonts w:ascii="Gotham" w:hAnsi="Gotham" w:cs="Arial"/>
          <w:sz w:val="19"/>
          <w:szCs w:val="19"/>
        </w:rPr>
      </w:pPr>
      <w:r w:rsidRPr="000228BA">
        <w:rPr>
          <w:rFonts w:ascii="Gotham" w:hAnsi="Gotham" w:cs="Arial"/>
          <w:sz w:val="19"/>
          <w:szCs w:val="19"/>
        </w:rPr>
        <w:t xml:space="preserve">c) </w:t>
      </w:r>
      <w:r>
        <w:rPr>
          <w:rFonts w:ascii="Gotham" w:hAnsi="Gotham" w:cs="Arial"/>
          <w:sz w:val="19"/>
          <w:szCs w:val="19"/>
        </w:rPr>
        <w:tab/>
      </w:r>
      <w:r w:rsidRPr="000228BA">
        <w:rPr>
          <w:rFonts w:ascii="Gotham" w:hAnsi="Gotham" w:cs="Arial"/>
          <w:sz w:val="19"/>
          <w:szCs w:val="19"/>
        </w:rPr>
        <w:t>Archivo de Concentración; y</w:t>
      </w:r>
    </w:p>
    <w:p w14:paraId="3A47462F"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d) </w:t>
      </w:r>
      <w:r>
        <w:rPr>
          <w:rFonts w:ascii="Gotham" w:hAnsi="Gotham" w:cs="Arial"/>
          <w:sz w:val="19"/>
          <w:szCs w:val="19"/>
        </w:rPr>
        <w:tab/>
      </w:r>
      <w:r w:rsidRPr="000228BA">
        <w:rPr>
          <w:rFonts w:ascii="Gotham" w:hAnsi="Gotham" w:cs="Arial"/>
          <w:sz w:val="19"/>
          <w:szCs w:val="19"/>
        </w:rPr>
        <w:t>Archivo Histórico; y</w:t>
      </w:r>
    </w:p>
    <w:p w14:paraId="3A474630"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Grupo Interdisciplinario, como órgano de coordinación para efectos del proceso de valoración documental. </w:t>
      </w:r>
    </w:p>
    <w:p w14:paraId="3A474631" w14:textId="77777777" w:rsidR="009B5E39" w:rsidRDefault="009B5E39" w:rsidP="009B5E39">
      <w:pPr>
        <w:ind w:left="284" w:right="283"/>
        <w:jc w:val="both"/>
        <w:rPr>
          <w:rFonts w:ascii="Gotham" w:hAnsi="Gotham" w:cs="Arial"/>
          <w:sz w:val="19"/>
          <w:szCs w:val="19"/>
        </w:rPr>
      </w:pPr>
    </w:p>
    <w:p w14:paraId="3A47463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Los responsables de las áreas operativas a que se refiere la fracción II, incisos a) y b), serán nombrados por el titular de cada unidad administrativa; a su vez, los responsables referidos en los incisos c) y d), serán nombrados por el titular de la Jefatura de Archivo Municipal. </w:t>
      </w:r>
    </w:p>
    <w:p w14:paraId="3A474633" w14:textId="77777777" w:rsidR="009B5E39" w:rsidRDefault="009B5E39" w:rsidP="009B5E39">
      <w:pPr>
        <w:ind w:left="284" w:right="283"/>
        <w:jc w:val="both"/>
        <w:rPr>
          <w:rFonts w:ascii="Gotham" w:hAnsi="Gotham" w:cs="Arial"/>
          <w:sz w:val="19"/>
          <w:szCs w:val="19"/>
        </w:rPr>
      </w:pPr>
    </w:p>
    <w:p w14:paraId="3A47463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Los encargados y responsables de cada área deberán ser servidores públicos y contar con licenciatura u oficio en áreas afines o tener conocimientos, habilidades, competencias en archivística. </w:t>
      </w:r>
    </w:p>
    <w:p w14:paraId="3A474635" w14:textId="77777777" w:rsidR="009B5E39" w:rsidRDefault="009B5E39" w:rsidP="009B5E39">
      <w:pPr>
        <w:ind w:left="284" w:right="283"/>
        <w:jc w:val="both"/>
        <w:rPr>
          <w:rFonts w:ascii="Gotham" w:hAnsi="Gotham" w:cs="Arial"/>
          <w:b/>
          <w:sz w:val="19"/>
          <w:szCs w:val="19"/>
        </w:rPr>
      </w:pPr>
    </w:p>
    <w:p w14:paraId="3A474636"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27.</w:t>
      </w:r>
      <w:r w:rsidRPr="000228BA">
        <w:rPr>
          <w:rFonts w:ascii="Gotham" w:hAnsi="Gotham" w:cs="Arial"/>
          <w:sz w:val="19"/>
          <w:szCs w:val="19"/>
        </w:rPr>
        <w:t xml:space="preserve"> El Área Coordinadora de Archivos promoverá que las Áreas Operativas lleven a cabo las acciones de gestión documental y administración de los archivos, de manera conjunta con las Dependencias.</w:t>
      </w:r>
    </w:p>
    <w:p w14:paraId="3A474637" w14:textId="77777777" w:rsidR="009B5E39" w:rsidRDefault="009B5E39" w:rsidP="009B5E39">
      <w:pPr>
        <w:ind w:left="284" w:right="283"/>
        <w:jc w:val="both"/>
        <w:rPr>
          <w:rFonts w:ascii="Gotham" w:hAnsi="Gotham" w:cs="Arial"/>
          <w:b/>
          <w:sz w:val="19"/>
          <w:szCs w:val="19"/>
        </w:rPr>
      </w:pPr>
    </w:p>
    <w:p w14:paraId="3A474638"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28.</w:t>
      </w:r>
      <w:r w:rsidRPr="000228BA">
        <w:rPr>
          <w:rFonts w:ascii="Gotham" w:hAnsi="Gotham" w:cs="Arial"/>
          <w:sz w:val="19"/>
          <w:szCs w:val="19"/>
        </w:rPr>
        <w:t xml:space="preserve"> El Área Coordinadora de Archivos tendrá las siguientes funciones:</w:t>
      </w:r>
    </w:p>
    <w:p w14:paraId="3A474639" w14:textId="77777777" w:rsidR="009B5E39" w:rsidRDefault="009B5E39" w:rsidP="009B5E39">
      <w:pPr>
        <w:ind w:left="284" w:right="283"/>
        <w:jc w:val="both"/>
        <w:rPr>
          <w:rFonts w:ascii="Gotham" w:hAnsi="Gotham" w:cs="Arial"/>
          <w:sz w:val="19"/>
          <w:szCs w:val="19"/>
        </w:rPr>
      </w:pPr>
    </w:p>
    <w:p w14:paraId="3A47463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Elaborar, con la colaboración de los responsables de los Archivos de Trámite, Archivo de Concentración y Archivo Histórico, los Instrumentos de Consulta y Control Archivístico previstos en la Ley General, la Ley Estatal y demás normatividad aplicable;</w:t>
      </w:r>
    </w:p>
    <w:p w14:paraId="3A47463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lastRenderedPageBreak/>
        <w:t xml:space="preserve">II. </w:t>
      </w:r>
      <w:r>
        <w:rPr>
          <w:rFonts w:ascii="Gotham" w:hAnsi="Gotham" w:cs="Arial"/>
          <w:sz w:val="19"/>
          <w:szCs w:val="19"/>
        </w:rPr>
        <w:tab/>
      </w:r>
      <w:r w:rsidRPr="000228BA">
        <w:rPr>
          <w:rFonts w:ascii="Gotham" w:hAnsi="Gotham" w:cs="Arial"/>
          <w:sz w:val="19"/>
          <w:szCs w:val="19"/>
        </w:rPr>
        <w:t>Elaborar los criterios específicos y recomendaciones en materia de organización, así como establecer las medidas y procedimientos que garanticen la conservación de la información y de los archivos, conforme a la normatividad aplicable;</w:t>
      </w:r>
    </w:p>
    <w:p w14:paraId="3A47463C"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Elaborar y someter a consideración del Presidente Municipal o de quien éste designe, el Programa Anual y el informe anual de cumplimiento del Programa; </w:t>
      </w:r>
    </w:p>
    <w:p w14:paraId="3A47463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Publicar el Programa Anual en su portal electrónico dentro de los primeros treinta días naturales del ejercicio fiscal correspondiente;</w:t>
      </w:r>
    </w:p>
    <w:p w14:paraId="3A47463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Coordinar los Procesos de Valoración y Disposición Documental que realicen las Áreas Operativas;</w:t>
      </w:r>
    </w:p>
    <w:p w14:paraId="3A47463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Coordinar las actividades destinadas a la modernización y automatización de los procesos archivísticos y a la gestión de documentos electrónicos de las áreas operativas;</w:t>
      </w:r>
    </w:p>
    <w:p w14:paraId="3A47464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Brindar asesoría técnica para la operación de los archivos;</w:t>
      </w:r>
    </w:p>
    <w:p w14:paraId="3A47464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VIII. </w:t>
      </w:r>
      <w:r>
        <w:rPr>
          <w:rFonts w:ascii="Gotham" w:hAnsi="Gotham" w:cs="Arial"/>
          <w:sz w:val="19"/>
          <w:szCs w:val="19"/>
        </w:rPr>
        <w:tab/>
      </w:r>
      <w:r w:rsidRPr="000228BA">
        <w:rPr>
          <w:rFonts w:ascii="Gotham" w:hAnsi="Gotham" w:cs="Arial"/>
          <w:sz w:val="19"/>
          <w:szCs w:val="19"/>
        </w:rPr>
        <w:t>Establecer programas encaminados a la implementación del servicio de profesionalización y oficios; así como de la capacitación y cultura archivística, que permitan el fortalecimiento de la gestión documental y la administración de archivos;</w:t>
      </w:r>
    </w:p>
    <w:p w14:paraId="3A47464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IX. </w:t>
      </w:r>
      <w:r>
        <w:rPr>
          <w:rFonts w:ascii="Gotham" w:hAnsi="Gotham" w:cs="Arial"/>
          <w:sz w:val="19"/>
          <w:szCs w:val="19"/>
        </w:rPr>
        <w:tab/>
      </w:r>
      <w:r w:rsidRPr="000228BA">
        <w:rPr>
          <w:rFonts w:ascii="Gotham" w:hAnsi="Gotham" w:cs="Arial"/>
          <w:sz w:val="19"/>
          <w:szCs w:val="19"/>
        </w:rPr>
        <w:t>Coordinar con las dependencias las políticas de acceso, seguridad y la conservación a largo plazo de los archivos, y en su caso, gestionar ante la instancia competente la implementación de una auditoría archivística;</w:t>
      </w:r>
    </w:p>
    <w:p w14:paraId="3A474643"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 </w:t>
      </w:r>
      <w:r>
        <w:rPr>
          <w:rFonts w:ascii="Gotham" w:hAnsi="Gotham" w:cs="Arial"/>
          <w:sz w:val="19"/>
          <w:szCs w:val="19"/>
        </w:rPr>
        <w:tab/>
      </w:r>
      <w:r w:rsidRPr="000228BA">
        <w:rPr>
          <w:rFonts w:ascii="Gotham" w:hAnsi="Gotham" w:cs="Arial"/>
          <w:sz w:val="19"/>
          <w:szCs w:val="19"/>
        </w:rPr>
        <w:t>Coordinar la operación de los archivos de trámite, archivo de concentración e archivo histórico, de acuerdo con la normatividad aplicable;</w:t>
      </w:r>
    </w:p>
    <w:p w14:paraId="3A47464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 </w:t>
      </w:r>
      <w:r>
        <w:rPr>
          <w:rFonts w:ascii="Gotham" w:hAnsi="Gotham" w:cs="Arial"/>
          <w:sz w:val="19"/>
          <w:szCs w:val="19"/>
        </w:rPr>
        <w:tab/>
      </w:r>
      <w:r w:rsidRPr="000228BA">
        <w:rPr>
          <w:rFonts w:ascii="Gotham" w:hAnsi="Gotham" w:cs="Arial"/>
          <w:sz w:val="19"/>
          <w:szCs w:val="19"/>
        </w:rPr>
        <w:t>Autorizar la transferencia de los archivos cuando una dependencia sea sometida a procesos de fusión, escisión, extinción, cambio de adscripción o cualquier tipo de transformación, de conformidad con las disposiciones legales aplicables;</w:t>
      </w:r>
    </w:p>
    <w:p w14:paraId="3A47464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XII. </w:t>
      </w:r>
      <w:r>
        <w:rPr>
          <w:rFonts w:ascii="Gotham" w:hAnsi="Gotham" w:cs="Arial"/>
          <w:sz w:val="19"/>
          <w:szCs w:val="19"/>
        </w:rPr>
        <w:tab/>
      </w:r>
      <w:r w:rsidRPr="000228BA">
        <w:rPr>
          <w:rFonts w:ascii="Gotham" w:hAnsi="Gotham" w:cs="Arial"/>
          <w:sz w:val="19"/>
          <w:szCs w:val="19"/>
        </w:rPr>
        <w:t>Participar en el Comité de Transparencia del Sujeto Obligado en los términos de la Ley de Transparencia y Acceso a la Información Pública del Estado de Jalisco y sus Municipios;</w:t>
      </w:r>
    </w:p>
    <w:p w14:paraId="3A47464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XIII. </w:t>
      </w:r>
      <w:r>
        <w:rPr>
          <w:rFonts w:ascii="Gotham" w:hAnsi="Gotham" w:cs="Arial"/>
          <w:sz w:val="19"/>
          <w:szCs w:val="19"/>
        </w:rPr>
        <w:tab/>
      </w:r>
      <w:r w:rsidRPr="000228BA">
        <w:rPr>
          <w:rFonts w:ascii="Gotham" w:hAnsi="Gotham" w:cs="Arial"/>
          <w:sz w:val="19"/>
          <w:szCs w:val="19"/>
        </w:rPr>
        <w:t>Junto con el Grupo Interdisciplinario, promoverá la baja documental de los expedientes que hayan cumplido su vigencia documental, y en su caso, plazos de conservación, debiendo identificar los documentos que cuenten con valores históricos, a fin de que sean transferidos al archivo histórico;</w:t>
      </w:r>
    </w:p>
    <w:p w14:paraId="3A474647"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XIV. </w:t>
      </w:r>
      <w:r>
        <w:rPr>
          <w:rFonts w:ascii="Gotham" w:hAnsi="Gotham" w:cs="Arial"/>
          <w:sz w:val="19"/>
          <w:szCs w:val="19"/>
        </w:rPr>
        <w:tab/>
      </w:r>
      <w:r w:rsidRPr="000228BA">
        <w:rPr>
          <w:rFonts w:ascii="Gotham" w:hAnsi="Gotham" w:cs="Arial"/>
          <w:sz w:val="19"/>
          <w:szCs w:val="19"/>
        </w:rPr>
        <w:t xml:space="preserve">Publicar en el portal de transparencia, en coordinación con el archivo de concentración, las actas de baja documental, las actas de transferencia secundaria, los Instrumentos de consulta y control archivísticos, así como las fichas técnicas de valoración documental, a fin de que sean publicadas el primer día hábil del siguiente año del que se trate, con el aval del grupo interdisciplinario; </w:t>
      </w:r>
    </w:p>
    <w:p w14:paraId="3A474648"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XVI. </w:t>
      </w:r>
      <w:r>
        <w:rPr>
          <w:rFonts w:ascii="Gotham" w:hAnsi="Gotham" w:cs="Arial"/>
          <w:sz w:val="19"/>
          <w:szCs w:val="19"/>
        </w:rPr>
        <w:tab/>
      </w:r>
      <w:r w:rsidRPr="000228BA">
        <w:rPr>
          <w:rFonts w:ascii="Gotham" w:hAnsi="Gotham" w:cs="Arial"/>
          <w:sz w:val="19"/>
          <w:szCs w:val="19"/>
        </w:rPr>
        <w:t>Las demás que establezcan otros ordenamientos aplicables.</w:t>
      </w:r>
    </w:p>
    <w:p w14:paraId="3A474649" w14:textId="77777777" w:rsidR="009B5E39" w:rsidRDefault="009B5E39" w:rsidP="009B5E39">
      <w:pPr>
        <w:ind w:left="284" w:right="283"/>
        <w:jc w:val="both"/>
        <w:rPr>
          <w:rFonts w:ascii="Gotham" w:hAnsi="Gotham" w:cs="Arial"/>
          <w:b/>
          <w:sz w:val="19"/>
          <w:szCs w:val="19"/>
        </w:rPr>
      </w:pPr>
    </w:p>
    <w:p w14:paraId="3A47464A"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29.</w:t>
      </w:r>
      <w:r w:rsidRPr="000228BA">
        <w:rPr>
          <w:rFonts w:ascii="Gotham" w:hAnsi="Gotham" w:cs="Arial"/>
          <w:sz w:val="19"/>
          <w:szCs w:val="19"/>
        </w:rPr>
        <w:t xml:space="preserve"> Las oficialías de partes o de gestión documental son responsables de la recepción, registro, seguimiento y despacho de la documentación para la integración de los expedientes de los archivos de trámite. Estas áreas deberán de realizar las siguientes funciones:</w:t>
      </w:r>
    </w:p>
    <w:p w14:paraId="3A47464B" w14:textId="77777777" w:rsidR="009B5E39" w:rsidRDefault="009B5E39" w:rsidP="009B5E39">
      <w:pPr>
        <w:ind w:left="284" w:right="283"/>
        <w:jc w:val="both"/>
        <w:rPr>
          <w:rFonts w:ascii="Gotham" w:hAnsi="Gotham" w:cs="Arial"/>
          <w:sz w:val="19"/>
          <w:szCs w:val="19"/>
        </w:rPr>
      </w:pPr>
    </w:p>
    <w:p w14:paraId="3A47464C"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Recibir la correspondencia de entrada;</w:t>
      </w:r>
    </w:p>
    <w:p w14:paraId="3A47464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Realizar la digitalización de los documentos;</w:t>
      </w:r>
    </w:p>
    <w:p w14:paraId="3A47464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Llevar el registro de la documentación a través de un sistema o base de datos que contará como mínimo con la siguiente información;</w:t>
      </w:r>
    </w:p>
    <w:p w14:paraId="3A47464F" w14:textId="77777777" w:rsidR="009B5E39" w:rsidRPr="000228BA" w:rsidRDefault="009B5E39" w:rsidP="009B5E39">
      <w:pPr>
        <w:spacing w:after="80"/>
        <w:ind w:left="1560" w:right="283" w:hanging="426"/>
        <w:jc w:val="both"/>
        <w:rPr>
          <w:rFonts w:ascii="Gotham" w:hAnsi="Gotham" w:cs="Arial"/>
          <w:sz w:val="19"/>
          <w:szCs w:val="19"/>
        </w:rPr>
      </w:pPr>
      <w:r w:rsidRPr="000228BA">
        <w:rPr>
          <w:rFonts w:ascii="Gotham" w:hAnsi="Gotham" w:cs="Arial"/>
          <w:sz w:val="19"/>
          <w:szCs w:val="19"/>
        </w:rPr>
        <w:t xml:space="preserve">a) </w:t>
      </w:r>
      <w:r>
        <w:rPr>
          <w:rFonts w:ascii="Gotham" w:hAnsi="Gotham" w:cs="Arial"/>
          <w:sz w:val="19"/>
          <w:szCs w:val="19"/>
        </w:rPr>
        <w:tab/>
      </w:r>
      <w:r w:rsidRPr="000228BA">
        <w:rPr>
          <w:rFonts w:ascii="Gotham" w:hAnsi="Gotham" w:cs="Arial"/>
          <w:sz w:val="19"/>
          <w:szCs w:val="19"/>
        </w:rPr>
        <w:t>El número identificador o folio consecutivo de ingreso.</w:t>
      </w:r>
    </w:p>
    <w:p w14:paraId="3A474650" w14:textId="77777777" w:rsidR="009B5E39" w:rsidRPr="000228BA" w:rsidRDefault="009B5E39" w:rsidP="009B5E39">
      <w:pPr>
        <w:spacing w:after="80"/>
        <w:ind w:left="1560" w:right="283" w:hanging="426"/>
        <w:jc w:val="both"/>
        <w:rPr>
          <w:rFonts w:ascii="Gotham" w:hAnsi="Gotham" w:cs="Arial"/>
          <w:sz w:val="19"/>
          <w:szCs w:val="19"/>
        </w:rPr>
      </w:pPr>
      <w:r w:rsidRPr="000228BA">
        <w:rPr>
          <w:rFonts w:ascii="Gotham" w:hAnsi="Gotham" w:cs="Arial"/>
          <w:sz w:val="19"/>
          <w:szCs w:val="19"/>
        </w:rPr>
        <w:lastRenderedPageBreak/>
        <w:t xml:space="preserve">b) </w:t>
      </w:r>
      <w:r>
        <w:rPr>
          <w:rFonts w:ascii="Gotham" w:hAnsi="Gotham" w:cs="Arial"/>
          <w:sz w:val="19"/>
          <w:szCs w:val="19"/>
        </w:rPr>
        <w:tab/>
      </w:r>
      <w:r w:rsidRPr="000228BA">
        <w:rPr>
          <w:rFonts w:ascii="Gotham" w:hAnsi="Gotham" w:cs="Arial"/>
          <w:sz w:val="19"/>
          <w:szCs w:val="19"/>
        </w:rPr>
        <w:t>El asunto o breve descripción del contenido del documento.</w:t>
      </w:r>
    </w:p>
    <w:p w14:paraId="3A474651" w14:textId="77777777" w:rsidR="009B5E39" w:rsidRPr="000228BA" w:rsidRDefault="009B5E39" w:rsidP="009B5E39">
      <w:pPr>
        <w:spacing w:after="80"/>
        <w:ind w:left="1560" w:right="283" w:hanging="426"/>
        <w:jc w:val="both"/>
        <w:rPr>
          <w:rFonts w:ascii="Gotham" w:hAnsi="Gotham" w:cs="Arial"/>
          <w:sz w:val="19"/>
          <w:szCs w:val="19"/>
        </w:rPr>
      </w:pPr>
      <w:r w:rsidRPr="000228BA">
        <w:rPr>
          <w:rFonts w:ascii="Gotham" w:hAnsi="Gotham" w:cs="Arial"/>
          <w:sz w:val="19"/>
          <w:szCs w:val="19"/>
        </w:rPr>
        <w:t xml:space="preserve">c) </w:t>
      </w:r>
      <w:r>
        <w:rPr>
          <w:rFonts w:ascii="Gotham" w:hAnsi="Gotham" w:cs="Arial"/>
          <w:sz w:val="19"/>
          <w:szCs w:val="19"/>
        </w:rPr>
        <w:tab/>
      </w:r>
      <w:r w:rsidRPr="000228BA">
        <w:rPr>
          <w:rFonts w:ascii="Gotham" w:hAnsi="Gotham" w:cs="Arial"/>
          <w:sz w:val="19"/>
          <w:szCs w:val="19"/>
        </w:rPr>
        <w:t>Fecha y hora de recepción.</w:t>
      </w:r>
    </w:p>
    <w:p w14:paraId="3A474652" w14:textId="77777777" w:rsidR="009B5E39" w:rsidRPr="000228BA" w:rsidRDefault="009B5E39" w:rsidP="009B5E39">
      <w:pPr>
        <w:spacing w:after="80"/>
        <w:ind w:left="1560" w:right="283" w:hanging="426"/>
        <w:jc w:val="both"/>
        <w:rPr>
          <w:rFonts w:ascii="Gotham" w:hAnsi="Gotham" w:cs="Arial"/>
          <w:sz w:val="19"/>
          <w:szCs w:val="19"/>
        </w:rPr>
      </w:pPr>
      <w:r w:rsidRPr="000228BA">
        <w:rPr>
          <w:rFonts w:ascii="Gotham" w:hAnsi="Gotham" w:cs="Arial"/>
          <w:sz w:val="19"/>
          <w:szCs w:val="19"/>
        </w:rPr>
        <w:t xml:space="preserve">d) </w:t>
      </w:r>
      <w:r>
        <w:rPr>
          <w:rFonts w:ascii="Gotham" w:hAnsi="Gotham" w:cs="Arial"/>
          <w:sz w:val="19"/>
          <w:szCs w:val="19"/>
        </w:rPr>
        <w:tab/>
      </w:r>
      <w:r w:rsidRPr="000228BA">
        <w:rPr>
          <w:rFonts w:ascii="Gotham" w:hAnsi="Gotham" w:cs="Arial"/>
          <w:sz w:val="19"/>
          <w:szCs w:val="19"/>
        </w:rPr>
        <w:t>Medio por el cual ingresó. y</w:t>
      </w:r>
    </w:p>
    <w:p w14:paraId="3A474653"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e) </w:t>
      </w:r>
      <w:r>
        <w:rPr>
          <w:rFonts w:ascii="Gotham" w:hAnsi="Gotham" w:cs="Arial"/>
          <w:sz w:val="19"/>
          <w:szCs w:val="19"/>
        </w:rPr>
        <w:tab/>
      </w:r>
      <w:r w:rsidRPr="000228BA">
        <w:rPr>
          <w:rFonts w:ascii="Gotham" w:hAnsi="Gotham" w:cs="Arial"/>
          <w:sz w:val="19"/>
          <w:szCs w:val="19"/>
        </w:rPr>
        <w:t>Área y receptor del documento con nombre y área administrativa.</w:t>
      </w:r>
    </w:p>
    <w:p w14:paraId="3A47465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Facilitar un código de identificación, ya sea un código alfanumérico u otro pertinente; y</w:t>
      </w:r>
    </w:p>
    <w:p w14:paraId="3A474655"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Distribuir la documentación a los archivos de trámite correspondientes para la debida integración del expediente.</w:t>
      </w:r>
    </w:p>
    <w:p w14:paraId="3A474656" w14:textId="77777777" w:rsidR="009B5E39" w:rsidRDefault="009B5E39" w:rsidP="009B5E39">
      <w:pPr>
        <w:ind w:left="284" w:right="283"/>
        <w:jc w:val="both"/>
        <w:rPr>
          <w:rFonts w:ascii="Gotham" w:hAnsi="Gotham" w:cs="Arial"/>
          <w:sz w:val="19"/>
          <w:szCs w:val="19"/>
        </w:rPr>
      </w:pPr>
    </w:p>
    <w:p w14:paraId="3A474657"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En caso de documentos que sean remitidos a la oficialía de partes o de gestión documental a través de medios electrónicos, el responsable tomará en consideración si es necesario que se haga la impresión de los mismos o se reciban y sean derivados por dichos medios.</w:t>
      </w:r>
    </w:p>
    <w:p w14:paraId="3A474658" w14:textId="77777777" w:rsidR="009B5E39" w:rsidRDefault="009B5E39" w:rsidP="009B5E39">
      <w:pPr>
        <w:ind w:left="284" w:right="283"/>
        <w:jc w:val="both"/>
        <w:rPr>
          <w:rFonts w:ascii="Gotham" w:hAnsi="Gotham" w:cs="Arial"/>
          <w:b/>
          <w:sz w:val="19"/>
          <w:szCs w:val="19"/>
        </w:rPr>
      </w:pPr>
    </w:p>
    <w:p w14:paraId="3A47465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30. </w:t>
      </w:r>
      <w:r w:rsidRPr="000228BA">
        <w:rPr>
          <w:rFonts w:ascii="Gotham" w:hAnsi="Gotham" w:cs="Arial"/>
          <w:sz w:val="19"/>
          <w:szCs w:val="19"/>
        </w:rPr>
        <w:t>El archivo de trámite lo constituyen todas las Dependencias que conforman el Municipio de Tonalá, Jalisco, deberán contar en sus oficinas con un Archivo de Trámite, un encargado del mismo y material de trabajo, esto con el objeto de lograr salvaguardar la documentación generada por las administraciones.</w:t>
      </w:r>
    </w:p>
    <w:p w14:paraId="3A47465A" w14:textId="77777777" w:rsidR="009B5E39" w:rsidRDefault="009B5E39" w:rsidP="009B5E39">
      <w:pPr>
        <w:ind w:left="284" w:right="283"/>
        <w:jc w:val="both"/>
        <w:rPr>
          <w:rFonts w:ascii="Gotham" w:hAnsi="Gotham" w:cs="Arial"/>
          <w:sz w:val="19"/>
          <w:szCs w:val="19"/>
        </w:rPr>
      </w:pPr>
    </w:p>
    <w:p w14:paraId="3A47465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Los titulares de las dependencias del Municipio deberán nombrar un servidor público que fungirá como enlace con el Área Coordinadora de Archivos, para efecto de recibir la capacitación adecuada en todo lo que respecta a la organización, depuración y realizar lo necesario para la transferencia primaria, para lo cual cumplirá con las siguientes funciones:</w:t>
      </w:r>
    </w:p>
    <w:p w14:paraId="3A47465C" w14:textId="77777777" w:rsidR="009B5E39" w:rsidRDefault="009B5E39" w:rsidP="009B5E39">
      <w:pPr>
        <w:ind w:left="284" w:right="283"/>
        <w:jc w:val="both"/>
        <w:rPr>
          <w:rFonts w:ascii="Gotham" w:hAnsi="Gotham" w:cs="Arial"/>
          <w:sz w:val="19"/>
          <w:szCs w:val="19"/>
        </w:rPr>
      </w:pPr>
    </w:p>
    <w:p w14:paraId="3A47465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Integrar y organizar los expedientes que el área produzca, use y reciba;</w:t>
      </w:r>
    </w:p>
    <w:p w14:paraId="3A47465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Asegurar la localización, consulta y control de los expedientes mediante los elementos de identificación y elaboración de los inventarios documentales;</w:t>
      </w:r>
    </w:p>
    <w:p w14:paraId="3A47465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Resguardar los archivos, expedientes y la información que haya sido clasificada de conformidad con la Ley de Transparencia y Acceso a la Información Pública del Estado de Jalisco y sus Municipios y la Ley de Protección de Datos Personales en Posesión de los Sujetos Obligados del Estado de Jalisco y sus Municipios, en tanto conserve tal carácter;</w:t>
      </w:r>
    </w:p>
    <w:p w14:paraId="3A47466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Colaborar con el Área Coordinadora de Archivos en la elaboración de los instrumentos de control archivístico previstos en la Ley General y demás disposiciones aplicables;</w:t>
      </w:r>
    </w:p>
    <w:p w14:paraId="3A47466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Trabajar de acuerdo con los criterios específicos y recomendaciones dictados por el Área Coordinadora de Archivos;</w:t>
      </w:r>
    </w:p>
    <w:p w14:paraId="3A47466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 xml:space="preserve">Realizar las transferencias primarias al Archivo de Concentración; </w:t>
      </w:r>
    </w:p>
    <w:p w14:paraId="3A474663"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Gestionar ante el archivo de concentración los documentos y expedientes que sean solicitados con fundamento en la Ley de Transparencia y Acceso a la Información Pública del Estado de Jalisco y sus Municipios, La Ley de Responsabilidades de los Servidores Públicos del Estado de Jalisco, o bien para su consulta, quedando transitoriamente bajo su responsabilidad, a través del préstamo documental;</w:t>
      </w:r>
    </w:p>
    <w:p w14:paraId="3A47466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VIII. </w:t>
      </w:r>
      <w:r>
        <w:rPr>
          <w:rFonts w:ascii="Gotham" w:hAnsi="Gotham" w:cs="Arial"/>
          <w:sz w:val="19"/>
          <w:szCs w:val="19"/>
        </w:rPr>
        <w:tab/>
      </w:r>
      <w:r w:rsidRPr="000228BA">
        <w:rPr>
          <w:rFonts w:ascii="Gotham" w:hAnsi="Gotham" w:cs="Arial"/>
          <w:sz w:val="19"/>
          <w:szCs w:val="19"/>
        </w:rPr>
        <w:t>Organizar los expedientes conforme al Cuadro General de Clasificación Archivística; y</w:t>
      </w:r>
    </w:p>
    <w:p w14:paraId="3A474665"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IX. </w:t>
      </w:r>
      <w:r>
        <w:rPr>
          <w:rFonts w:ascii="Gotham" w:hAnsi="Gotham" w:cs="Arial"/>
          <w:sz w:val="19"/>
          <w:szCs w:val="19"/>
        </w:rPr>
        <w:tab/>
      </w:r>
      <w:r w:rsidRPr="000228BA">
        <w:rPr>
          <w:rFonts w:ascii="Gotham" w:hAnsi="Gotham" w:cs="Arial"/>
          <w:sz w:val="19"/>
          <w:szCs w:val="19"/>
        </w:rPr>
        <w:t>Las que establezcan las disposiciones aplicables.</w:t>
      </w:r>
    </w:p>
    <w:p w14:paraId="3A474666" w14:textId="77777777" w:rsidR="009B5E39" w:rsidRDefault="009B5E39" w:rsidP="009B5E39">
      <w:pPr>
        <w:ind w:left="284" w:right="283"/>
        <w:jc w:val="both"/>
        <w:rPr>
          <w:rFonts w:ascii="Gotham" w:hAnsi="Gotham" w:cs="Arial"/>
          <w:b/>
          <w:sz w:val="19"/>
          <w:szCs w:val="19"/>
        </w:rPr>
      </w:pPr>
    </w:p>
    <w:p w14:paraId="3A474667"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31</w:t>
      </w:r>
      <w:r w:rsidRPr="000228BA">
        <w:rPr>
          <w:rFonts w:ascii="Gotham" w:hAnsi="Gotham" w:cs="Arial"/>
          <w:sz w:val="19"/>
          <w:szCs w:val="19"/>
        </w:rPr>
        <w:t xml:space="preserve">. El Archivo de Concentración, tendrá las siguientes funciones: </w:t>
      </w:r>
    </w:p>
    <w:p w14:paraId="3A474668" w14:textId="77777777" w:rsidR="009B5E39" w:rsidRDefault="009B5E39" w:rsidP="009B5E39">
      <w:pPr>
        <w:ind w:left="284" w:right="283"/>
        <w:jc w:val="both"/>
        <w:rPr>
          <w:rFonts w:ascii="Gotham" w:hAnsi="Gotham" w:cs="Arial"/>
          <w:sz w:val="19"/>
          <w:szCs w:val="19"/>
        </w:rPr>
      </w:pPr>
    </w:p>
    <w:p w14:paraId="3A47466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Asegurar y describir los fondos bajo su resguardo, así como la consulta de los expedientes; </w:t>
      </w:r>
    </w:p>
    <w:p w14:paraId="3A47466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Recibir las transferencias primarias y brindar servicios de préstamo y consulta a las unidades o áreas administrativas productoras de la documentación que resguarda; </w:t>
      </w:r>
    </w:p>
    <w:p w14:paraId="3A47466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lastRenderedPageBreak/>
        <w:t xml:space="preserve">III. </w:t>
      </w:r>
      <w:r>
        <w:rPr>
          <w:rFonts w:ascii="Gotham" w:hAnsi="Gotham" w:cs="Arial"/>
          <w:sz w:val="19"/>
          <w:szCs w:val="19"/>
        </w:rPr>
        <w:tab/>
      </w:r>
      <w:r w:rsidRPr="000228BA">
        <w:rPr>
          <w:rFonts w:ascii="Gotham" w:hAnsi="Gotham" w:cs="Arial"/>
          <w:sz w:val="19"/>
          <w:szCs w:val="19"/>
        </w:rPr>
        <w:t xml:space="preserve">Conservar los expedientes hasta cumplir su vigencia documental de acuerdo con lo establecido en el catálogo de disposición documental; </w:t>
      </w:r>
    </w:p>
    <w:p w14:paraId="3A47466C"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Colaborar con el Área Coordinadora de Archivos en la elaboración de los instrumentos de control archivístico previstos en esta ley y demás disposiciones aplicables; </w:t>
      </w:r>
    </w:p>
    <w:p w14:paraId="3A47466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 xml:space="preserve">Participar con el Área Coordinadora de Archivos en la elaboración de los criterios de valoración y disposición documental; </w:t>
      </w:r>
    </w:p>
    <w:p w14:paraId="3A47466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 xml:space="preserve">Ejecutar la baja documental de los expedientes que integran las series documentales que hayan cumplido su vigencia documental y, en su caso, plazos de conservación y que no posean valores históricos, conforme a las disposiciones aplicables; </w:t>
      </w:r>
    </w:p>
    <w:p w14:paraId="3A47466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 xml:space="preserve">Identificar los expedientes que integran las series documentales que hayan cumplido su vigencia documental y que cuenten con valores históricos, y que serán transferidos a los archivos históricos de los sujetos obligados, según corresponda; </w:t>
      </w:r>
    </w:p>
    <w:p w14:paraId="3A47467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VIII. </w:t>
      </w:r>
      <w:r>
        <w:rPr>
          <w:rFonts w:ascii="Gotham" w:hAnsi="Gotham" w:cs="Arial"/>
          <w:sz w:val="19"/>
          <w:szCs w:val="19"/>
        </w:rPr>
        <w:tab/>
      </w:r>
      <w:r w:rsidRPr="000228BA">
        <w:rPr>
          <w:rFonts w:ascii="Gotham" w:hAnsi="Gotham" w:cs="Arial"/>
          <w:sz w:val="19"/>
          <w:szCs w:val="19"/>
        </w:rPr>
        <w:t xml:space="preserve">Promover las bajas de los expedientes que integran las series documentales que hayan cumplido sus plazos de conservación y que no posean valores históricos conforme a las disposiciones legales aplicables; </w:t>
      </w:r>
    </w:p>
    <w:p w14:paraId="3A47467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IX. </w:t>
      </w:r>
      <w:r>
        <w:rPr>
          <w:rFonts w:ascii="Gotham" w:hAnsi="Gotham" w:cs="Arial"/>
          <w:sz w:val="19"/>
          <w:szCs w:val="19"/>
        </w:rPr>
        <w:tab/>
      </w:r>
      <w:r w:rsidRPr="000228BA">
        <w:rPr>
          <w:rFonts w:ascii="Gotham" w:hAnsi="Gotham" w:cs="Arial"/>
          <w:sz w:val="19"/>
          <w:szCs w:val="19"/>
        </w:rPr>
        <w:t xml:space="preserve">Integrar a sus respectivos expedientes, el registro de los procesos de disposición documental, incluyendo oficios, dictámenes, actas e inventarios; </w:t>
      </w:r>
    </w:p>
    <w:p w14:paraId="3A47467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 </w:t>
      </w:r>
      <w:r>
        <w:rPr>
          <w:rFonts w:ascii="Gotham" w:hAnsi="Gotham" w:cs="Arial"/>
          <w:sz w:val="19"/>
          <w:szCs w:val="19"/>
        </w:rPr>
        <w:tab/>
      </w:r>
      <w:r w:rsidRPr="000228BA">
        <w:rPr>
          <w:rFonts w:ascii="Gotham" w:hAnsi="Gotham" w:cs="Arial"/>
          <w:sz w:val="19"/>
          <w:szCs w:val="19"/>
        </w:rPr>
        <w:t xml:space="preserve">Publicar, al final de cada año, los dictámenes y actas de baja documental y transferencia secundaria, en los términos que establezcan las disposiciones en la materia y conservarlos en el archivo de concentración por un periodo de diez años a partir de la fecha de su elaboración; </w:t>
      </w:r>
    </w:p>
    <w:p w14:paraId="3A474673" w14:textId="5CF2C99D"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 </w:t>
      </w:r>
      <w:r>
        <w:rPr>
          <w:rFonts w:ascii="Gotham" w:hAnsi="Gotham" w:cs="Arial"/>
          <w:sz w:val="19"/>
          <w:szCs w:val="19"/>
        </w:rPr>
        <w:tab/>
      </w:r>
      <w:r w:rsidRPr="000228BA">
        <w:rPr>
          <w:rFonts w:ascii="Gotham" w:hAnsi="Gotham" w:cs="Arial"/>
          <w:sz w:val="19"/>
          <w:szCs w:val="19"/>
        </w:rPr>
        <w:t xml:space="preserve">Realizar la transferencia secundaria de las series documentales que hayan cumplido su vigencia documental y posean valores </w:t>
      </w:r>
      <w:r w:rsidR="0015568D" w:rsidRPr="000228BA">
        <w:rPr>
          <w:rFonts w:ascii="Gotham" w:hAnsi="Gotham" w:cs="Arial"/>
          <w:sz w:val="19"/>
          <w:szCs w:val="19"/>
        </w:rPr>
        <w:t>evidénciales</w:t>
      </w:r>
      <w:r w:rsidRPr="000228BA">
        <w:rPr>
          <w:rFonts w:ascii="Gotham" w:hAnsi="Gotham" w:cs="Arial"/>
          <w:sz w:val="19"/>
          <w:szCs w:val="19"/>
        </w:rPr>
        <w:t xml:space="preserve">, testimoniales e informativos al archivo histórico, o Archivo General del Estado, según corresponda; </w:t>
      </w:r>
    </w:p>
    <w:p w14:paraId="3A47467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XII. </w:t>
      </w:r>
      <w:r>
        <w:rPr>
          <w:rFonts w:ascii="Gotham" w:hAnsi="Gotham" w:cs="Arial"/>
          <w:sz w:val="19"/>
          <w:szCs w:val="19"/>
        </w:rPr>
        <w:tab/>
      </w:r>
      <w:r w:rsidRPr="000228BA">
        <w:rPr>
          <w:rFonts w:ascii="Gotham" w:hAnsi="Gotham" w:cs="Arial"/>
          <w:sz w:val="19"/>
          <w:szCs w:val="19"/>
        </w:rPr>
        <w:t>Conservar los dictámenes de Baja Documental por un periodo de diez años contados a partir de la fecha de su elaboración;</w:t>
      </w:r>
    </w:p>
    <w:p w14:paraId="3A47467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XIII. </w:t>
      </w:r>
      <w:r>
        <w:rPr>
          <w:rFonts w:ascii="Gotham" w:hAnsi="Gotham" w:cs="Arial"/>
          <w:sz w:val="19"/>
          <w:szCs w:val="19"/>
        </w:rPr>
        <w:tab/>
      </w:r>
      <w:r w:rsidRPr="000228BA">
        <w:rPr>
          <w:rFonts w:ascii="Gotham" w:hAnsi="Gotham" w:cs="Arial"/>
          <w:sz w:val="19"/>
          <w:szCs w:val="19"/>
        </w:rPr>
        <w:t>Previa a la emisión de una convocatoria las dependencias solicitarán por escrito a la Jefatura de Archivo General Municipal, la recepción de sus documentos, reservándose éste la facultad de recibirla, según sean las condiciones de espacio con que cuente en ese momento;</w:t>
      </w:r>
    </w:p>
    <w:p w14:paraId="3A47467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XIV. </w:t>
      </w:r>
      <w:r>
        <w:rPr>
          <w:rFonts w:ascii="Gotham" w:hAnsi="Gotham" w:cs="Arial"/>
          <w:sz w:val="19"/>
          <w:szCs w:val="19"/>
        </w:rPr>
        <w:tab/>
      </w:r>
      <w:r w:rsidRPr="000228BA">
        <w:rPr>
          <w:rFonts w:ascii="Gotham" w:hAnsi="Gotham" w:cs="Arial"/>
          <w:sz w:val="19"/>
          <w:szCs w:val="19"/>
        </w:rPr>
        <w:t xml:space="preserve">Una vez programada la recepción documental de las oficinas, éstos deberán venir relacionados debidamente en el formato correspondiente, y de ser posible digitalizados; y </w:t>
      </w:r>
    </w:p>
    <w:p w14:paraId="3A474677"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XV. </w:t>
      </w:r>
      <w:r>
        <w:rPr>
          <w:rFonts w:ascii="Gotham" w:hAnsi="Gotham" w:cs="Arial"/>
          <w:sz w:val="19"/>
          <w:szCs w:val="19"/>
        </w:rPr>
        <w:tab/>
      </w:r>
      <w:r w:rsidRPr="000228BA">
        <w:rPr>
          <w:rFonts w:ascii="Gotham" w:hAnsi="Gotham" w:cs="Arial"/>
          <w:sz w:val="19"/>
          <w:szCs w:val="19"/>
        </w:rPr>
        <w:t xml:space="preserve">Las que establezcan el Consejo Nacional o Estatal, en sus respectivos ámbitos de competencia, y las demás disposiciones aplicables en la materia. </w:t>
      </w:r>
    </w:p>
    <w:p w14:paraId="3A474678" w14:textId="77777777" w:rsidR="009B5E39" w:rsidRDefault="009B5E39" w:rsidP="009B5E39">
      <w:pPr>
        <w:ind w:left="284" w:right="283"/>
        <w:jc w:val="both"/>
        <w:rPr>
          <w:rFonts w:ascii="Gotham" w:hAnsi="Gotham" w:cs="Arial"/>
          <w:sz w:val="19"/>
          <w:szCs w:val="19"/>
        </w:rPr>
      </w:pPr>
    </w:p>
    <w:p w14:paraId="3A47467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Los sujetos obligados podrán coordinarse para establecer archivos de concentración comunes con la denominación y en los términos de los convenios o instrumentos que les den origen, debiendo identificar con claridad a los responsables de la administración de los archivos y dar aviso a la Dirección General de Archivo del Estado y al Consejo Estatal de Archivos, en un plazo máximo de cinco días hábiles posteriores a su designación.</w:t>
      </w:r>
      <w:r w:rsidR="00883EC2">
        <w:rPr>
          <w:rFonts w:ascii="Gotham" w:hAnsi="Gotham" w:cs="Arial"/>
          <w:sz w:val="19"/>
          <w:szCs w:val="19"/>
        </w:rPr>
        <w:t xml:space="preserve"> </w:t>
      </w:r>
    </w:p>
    <w:p w14:paraId="3A47467A" w14:textId="77777777" w:rsidR="009B5E39" w:rsidRDefault="009B5E39" w:rsidP="009B5E39">
      <w:pPr>
        <w:ind w:left="284" w:right="283"/>
        <w:jc w:val="both"/>
        <w:rPr>
          <w:rFonts w:ascii="Gotham" w:hAnsi="Gotham" w:cs="Arial"/>
          <w:b/>
          <w:sz w:val="19"/>
          <w:szCs w:val="19"/>
        </w:rPr>
      </w:pPr>
    </w:p>
    <w:p w14:paraId="3A47467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32. </w:t>
      </w:r>
      <w:r w:rsidRPr="000228BA">
        <w:rPr>
          <w:rFonts w:ascii="Gotham" w:hAnsi="Gotham" w:cs="Arial"/>
          <w:sz w:val="19"/>
          <w:szCs w:val="19"/>
        </w:rPr>
        <w:t xml:space="preserve">El Archivo histórico, tendrá las siguientes funciones: </w:t>
      </w:r>
    </w:p>
    <w:p w14:paraId="3A47467C" w14:textId="77777777" w:rsidR="009B5E39" w:rsidRDefault="009B5E39" w:rsidP="009B5E39">
      <w:pPr>
        <w:ind w:left="284" w:right="283"/>
        <w:jc w:val="both"/>
        <w:rPr>
          <w:rFonts w:ascii="Gotham" w:hAnsi="Gotham" w:cs="Arial"/>
          <w:sz w:val="19"/>
          <w:szCs w:val="19"/>
        </w:rPr>
      </w:pPr>
    </w:p>
    <w:p w14:paraId="3A47467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Recibir las transferencias secundarias, así como organizar y conservar los expedientes bajo su resguardo; </w:t>
      </w:r>
    </w:p>
    <w:p w14:paraId="3A47467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Brindar servicios de consulta al público, así como difundir el patrimonio documental; </w:t>
      </w:r>
    </w:p>
    <w:p w14:paraId="3A47467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Establecer los procedimientos de consulta de los acervos que resguarda; </w:t>
      </w:r>
    </w:p>
    <w:p w14:paraId="3A47468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lastRenderedPageBreak/>
        <w:t xml:space="preserve">IV. </w:t>
      </w:r>
      <w:r>
        <w:rPr>
          <w:rFonts w:ascii="Gotham" w:hAnsi="Gotham" w:cs="Arial"/>
          <w:sz w:val="19"/>
          <w:szCs w:val="19"/>
        </w:rPr>
        <w:tab/>
      </w:r>
      <w:r w:rsidRPr="000228BA">
        <w:rPr>
          <w:rFonts w:ascii="Gotham" w:hAnsi="Gotham" w:cs="Arial"/>
          <w:sz w:val="19"/>
          <w:szCs w:val="19"/>
        </w:rPr>
        <w:t xml:space="preserve">Colaborar con el Área Coordinadora de Archivos en la elaboración de los instrumentos de control archivístico previstos en esta ley, así como en la demás normatividad aplicable; </w:t>
      </w:r>
    </w:p>
    <w:p w14:paraId="3A47468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 xml:space="preserve">Implementar políticas y estrategias que permitan conservar los documentos históricos y aplicar los mecanismos y las herramientas que proporcionan las tecnologías de la información para mantenerlos a disposición de los usuarios; y </w:t>
      </w:r>
    </w:p>
    <w:p w14:paraId="3A474682"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 xml:space="preserve">Las demás que establezcan las disposiciones legales aplicables. </w:t>
      </w:r>
    </w:p>
    <w:p w14:paraId="3A474683" w14:textId="77777777" w:rsidR="009B5E39" w:rsidRDefault="009B5E39" w:rsidP="009B5E39">
      <w:pPr>
        <w:ind w:left="284" w:right="283"/>
        <w:jc w:val="both"/>
        <w:rPr>
          <w:rFonts w:ascii="Gotham" w:hAnsi="Gotham" w:cs="Arial"/>
          <w:b/>
          <w:sz w:val="19"/>
          <w:szCs w:val="19"/>
        </w:rPr>
      </w:pPr>
    </w:p>
    <w:p w14:paraId="3A47468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33.</w:t>
      </w:r>
      <w:r w:rsidRPr="000228BA">
        <w:rPr>
          <w:rFonts w:ascii="Gotham" w:hAnsi="Gotham" w:cs="Arial"/>
          <w:sz w:val="19"/>
          <w:szCs w:val="19"/>
        </w:rPr>
        <w:t xml:space="preserve"> Cuando los documentos históricos presenten un deterioro físico que impida su consulta directa, los archivos generales proporcionarán la información, cuando las condiciones lo permitan, mediante un sistema de reproducción que no afecte la integridad del documento.</w:t>
      </w:r>
    </w:p>
    <w:p w14:paraId="3A474685" w14:textId="77777777" w:rsidR="009B5E39" w:rsidRDefault="009B5E39" w:rsidP="009B5E39">
      <w:pPr>
        <w:ind w:left="284" w:right="283"/>
        <w:jc w:val="both"/>
        <w:rPr>
          <w:rFonts w:ascii="Gotham" w:hAnsi="Gotham" w:cs="Arial"/>
          <w:b/>
          <w:sz w:val="19"/>
          <w:szCs w:val="19"/>
        </w:rPr>
      </w:pPr>
    </w:p>
    <w:p w14:paraId="3A474686"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34.</w:t>
      </w:r>
      <w:r w:rsidRPr="000228BA">
        <w:rPr>
          <w:rFonts w:ascii="Gotham" w:hAnsi="Gotham" w:cs="Arial"/>
          <w:sz w:val="19"/>
          <w:szCs w:val="19"/>
        </w:rPr>
        <w:t xml:space="preserve"> Los sujetos obligados podrán coordinarse para establecer archivos históricos comunes en los términos de los convenios o instrumentos que les den origen, debiendo identificar con claridad a los responsables de la administración de los archivos y dar aviso a la Dirección General de Archivos del Estado y al Consejo Estatal, en un plazo máximo de cinco días hábiles posteriores a su designación.</w:t>
      </w:r>
    </w:p>
    <w:p w14:paraId="3A474687" w14:textId="77777777" w:rsidR="009B5E39" w:rsidRDefault="009B5E39" w:rsidP="009B5E39">
      <w:pPr>
        <w:ind w:left="284" w:right="283"/>
        <w:jc w:val="both"/>
        <w:rPr>
          <w:rFonts w:ascii="Gotham" w:hAnsi="Gotham" w:cs="Arial"/>
          <w:b/>
          <w:sz w:val="19"/>
          <w:szCs w:val="19"/>
        </w:rPr>
      </w:pPr>
    </w:p>
    <w:p w14:paraId="3A474688" w14:textId="0E8A49F6"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35.</w:t>
      </w:r>
      <w:r w:rsidRPr="000228BA">
        <w:rPr>
          <w:rFonts w:ascii="Gotham" w:hAnsi="Gotham" w:cs="Arial"/>
          <w:sz w:val="19"/>
          <w:szCs w:val="19"/>
        </w:rPr>
        <w:t xml:space="preserve"> Los documentos contenidos en los archivos históricos son fuentes de acceso público. Una vez que haya concluido la vigencia documental y autorizada la transferencia secundaria a un archivo histórico, éstos no podrán ser clasificados como reservados o confidenciales. </w:t>
      </w:r>
      <w:r w:rsidR="0015568D" w:rsidRPr="000228BA">
        <w:rPr>
          <w:rFonts w:ascii="Gotham" w:hAnsi="Gotham" w:cs="Arial"/>
          <w:sz w:val="19"/>
          <w:szCs w:val="19"/>
        </w:rPr>
        <w:t>Así</w:t>
      </w:r>
      <w:r w:rsidRPr="000228BA">
        <w:rPr>
          <w:rFonts w:ascii="Gotham" w:hAnsi="Gotham" w:cs="Arial"/>
          <w:sz w:val="19"/>
          <w:szCs w:val="19"/>
        </w:rPr>
        <w:t xml:space="preserve"> mismo, deberá considerarse que de acuerdo con la legislación en materia de transparencia y acceso a la información pública, no podrá clasificarse como reservada aquella información que esté relacionada con violaciones graves a derechos humanos o delitos de lesa humanidad, o actos de corrupción. </w:t>
      </w:r>
    </w:p>
    <w:p w14:paraId="3A474689" w14:textId="77777777" w:rsidR="009B5E39" w:rsidRDefault="009B5E39" w:rsidP="009B5E39">
      <w:pPr>
        <w:ind w:left="284" w:right="283"/>
        <w:jc w:val="both"/>
        <w:rPr>
          <w:rFonts w:ascii="Gotham" w:hAnsi="Gotham" w:cs="Arial"/>
          <w:sz w:val="19"/>
          <w:szCs w:val="19"/>
        </w:rPr>
      </w:pPr>
    </w:p>
    <w:p w14:paraId="3A47468A"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En tratándose de violaciones graves a los derechos humanos o delitos de lesa humanidad, deberá constar para ello la opinión técnica de la Comisión Estatal de Derechos Humanos o, en su caso, la Comisión Nacional de Derechos Humanos. </w:t>
      </w:r>
    </w:p>
    <w:p w14:paraId="3A47468B" w14:textId="77777777" w:rsidR="009B5E39" w:rsidRDefault="009B5E39" w:rsidP="009B5E39">
      <w:pPr>
        <w:ind w:left="284" w:right="283"/>
        <w:jc w:val="both"/>
        <w:rPr>
          <w:rFonts w:ascii="Gotham" w:hAnsi="Gotham" w:cs="Arial"/>
          <w:sz w:val="19"/>
          <w:szCs w:val="19"/>
        </w:rPr>
      </w:pPr>
    </w:p>
    <w:p w14:paraId="3A47468C"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Los documentos que contengan datos personales sensibles, de acuerdo con la normatividad en la materia, respecto de los cuales se haya determinado su conservación permanente por tener valor histórico, conservarán tal carácter, en el archivo de concentración, por un plazo de setenta años, a partir de la fecha de creación del documento, y serán de acceso restringido durante dicho plazo, siempre y cuando no se contraponga con lo establecido en el párrafo anterior.</w:t>
      </w:r>
    </w:p>
    <w:p w14:paraId="3A47468D" w14:textId="77777777" w:rsidR="009B5E39" w:rsidRDefault="009B5E39" w:rsidP="009B5E39">
      <w:pPr>
        <w:ind w:left="284" w:right="283"/>
        <w:jc w:val="both"/>
        <w:rPr>
          <w:rFonts w:ascii="Gotham" w:hAnsi="Gotham" w:cs="Arial"/>
          <w:b/>
          <w:sz w:val="19"/>
          <w:szCs w:val="19"/>
        </w:rPr>
      </w:pPr>
    </w:p>
    <w:p w14:paraId="3A47468E"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36.</w:t>
      </w:r>
      <w:r w:rsidR="00883EC2">
        <w:rPr>
          <w:rFonts w:ascii="Gotham" w:hAnsi="Gotham" w:cs="Arial"/>
          <w:b/>
          <w:sz w:val="19"/>
          <w:szCs w:val="19"/>
        </w:rPr>
        <w:t xml:space="preserve"> </w:t>
      </w:r>
      <w:r w:rsidRPr="000228BA">
        <w:rPr>
          <w:rFonts w:ascii="Gotham" w:hAnsi="Gotham" w:cs="Arial"/>
          <w:sz w:val="19"/>
          <w:szCs w:val="19"/>
        </w:rPr>
        <w:t xml:space="preserve">El sujeto obligado deberá asegurar que se cumplan los plazos de conservación establecidos en el catálogo de disposición documental y que los mismos no excedan y que no sean menores al tiempo que la normatividad específica que rija las funciones y atribuciones del sujeto obligado disponga o, en su caso, del uso, consulta y utilidad que tenga su información. En ningún caso el plazo podrá exceder de veinticinco años, salvo aquellos que por su naturaleza requieran conservarse por un tiempo mayor. </w:t>
      </w:r>
    </w:p>
    <w:p w14:paraId="3A47468F" w14:textId="77777777" w:rsidR="009B5E39" w:rsidRDefault="009B5E39" w:rsidP="009B5E39">
      <w:pPr>
        <w:ind w:left="284" w:right="283"/>
        <w:jc w:val="both"/>
        <w:rPr>
          <w:rFonts w:ascii="Gotham" w:hAnsi="Gotham" w:cs="Arial"/>
          <w:sz w:val="19"/>
          <w:szCs w:val="19"/>
        </w:rPr>
      </w:pPr>
    </w:p>
    <w:p w14:paraId="3A474690"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El plazo al que se refiere el párrafo anterior, comenzará a contar a partir de que el expediente se transfiera al archivo de concentración. </w:t>
      </w:r>
    </w:p>
    <w:p w14:paraId="3A474691" w14:textId="77777777" w:rsidR="009B5E39" w:rsidRDefault="009B5E39" w:rsidP="009B5E39">
      <w:pPr>
        <w:ind w:left="284" w:right="283"/>
        <w:jc w:val="both"/>
        <w:rPr>
          <w:rFonts w:ascii="Gotham" w:hAnsi="Gotham" w:cs="Arial"/>
          <w:sz w:val="19"/>
          <w:szCs w:val="19"/>
        </w:rPr>
      </w:pPr>
    </w:p>
    <w:p w14:paraId="3A47469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Los documentos o expedientes que hayan sido objeto de solicitudes de acceso a la información, se conservarán por dos años más a la conclusión de la vigencia documental, señalada en el catálogo de disposición documental, para lo que deberá añadirse en éste un apéndice que contenga los datos básicos de valoración y disposición documental a que se refiere esta ley de documentos o expedientes en específico. </w:t>
      </w:r>
    </w:p>
    <w:p w14:paraId="3A474693" w14:textId="77777777" w:rsidR="009B5E39" w:rsidRDefault="009B5E39" w:rsidP="009B5E39">
      <w:pPr>
        <w:ind w:left="284" w:right="283"/>
        <w:jc w:val="both"/>
        <w:rPr>
          <w:rFonts w:ascii="Gotham" w:hAnsi="Gotham" w:cs="Arial"/>
          <w:b/>
          <w:sz w:val="19"/>
          <w:szCs w:val="19"/>
        </w:rPr>
      </w:pPr>
    </w:p>
    <w:p w14:paraId="3A47469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37. </w:t>
      </w:r>
      <w:r w:rsidRPr="000228BA">
        <w:rPr>
          <w:rFonts w:ascii="Gotham" w:hAnsi="Gotham" w:cs="Arial"/>
          <w:sz w:val="19"/>
          <w:szCs w:val="19"/>
        </w:rPr>
        <w:t>El responsable del archivo histórico adoptará medidas para fomentar la conservación y difusión de los documentos con valor histórico que forman parte del patrimonio documental, las que incluirán:</w:t>
      </w:r>
    </w:p>
    <w:p w14:paraId="3A474695" w14:textId="77777777" w:rsidR="009B5E39" w:rsidRDefault="009B5E39" w:rsidP="009B5E39">
      <w:pPr>
        <w:ind w:left="284" w:right="283"/>
        <w:jc w:val="both"/>
        <w:rPr>
          <w:rFonts w:ascii="Gotham" w:hAnsi="Gotham" w:cs="Arial"/>
          <w:sz w:val="19"/>
          <w:szCs w:val="19"/>
        </w:rPr>
      </w:pPr>
    </w:p>
    <w:p w14:paraId="3A47469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lastRenderedPageBreak/>
        <w:t xml:space="preserve">I. </w:t>
      </w:r>
      <w:r>
        <w:rPr>
          <w:rFonts w:ascii="Gotham" w:hAnsi="Gotham" w:cs="Arial"/>
          <w:sz w:val="19"/>
          <w:szCs w:val="19"/>
        </w:rPr>
        <w:tab/>
      </w:r>
      <w:r w:rsidRPr="000228BA">
        <w:rPr>
          <w:rFonts w:ascii="Gotham" w:hAnsi="Gotham" w:cs="Arial"/>
          <w:sz w:val="19"/>
          <w:szCs w:val="19"/>
        </w:rPr>
        <w:t>Formular políticas y estrategias archivísticas que fomenten la conservación y difusión de los documentos históricos;</w:t>
      </w:r>
    </w:p>
    <w:p w14:paraId="3A474697"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Desarrollar programas de difusión de los documentos históricos a través de medios digitales, con el fin de favorecer el acceso libre y gratuito a los contenidos culturales e informativos;</w:t>
      </w:r>
    </w:p>
    <w:p w14:paraId="3A47469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Elaborar y automatizar los instrumentos de consulta que permitan la localización de los documentos resguardados en los fondos y colecciones de los archivos históricos;</w:t>
      </w:r>
    </w:p>
    <w:p w14:paraId="3A47469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Implementar programas de exposiciones presenciales y virtuales para divulgar el patrimonio documental; </w:t>
      </w:r>
    </w:p>
    <w:p w14:paraId="3A47469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 xml:space="preserve">Implementar programas con actividades pedagógicas que acerquen los archivos a los estudiantes de diferentes grados educativos; </w:t>
      </w:r>
    </w:p>
    <w:p w14:paraId="3A47469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 xml:space="preserve">Propiciar la investigación de temas históricos y regionales para fortalecer la identidad estatal y nacional; y </w:t>
      </w:r>
    </w:p>
    <w:p w14:paraId="3A47469C" w14:textId="77777777" w:rsidR="009B5E39" w:rsidRPr="000228BA" w:rsidRDefault="009B5E39" w:rsidP="009B5E39">
      <w:pPr>
        <w:ind w:left="1134" w:right="283" w:hanging="850"/>
        <w:jc w:val="both"/>
        <w:rPr>
          <w:rFonts w:ascii="Gotham" w:hAnsi="Gotham" w:cs="Arial"/>
          <w:b/>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Divulgar instrumentos de consulta, boletines informativos y cualquier otro tipo de publicación de interés, para difundir y brindar acceso a los archivos históricos.</w:t>
      </w:r>
    </w:p>
    <w:p w14:paraId="3A47469D" w14:textId="77777777" w:rsidR="009B5E39" w:rsidRDefault="009B5E39" w:rsidP="009B5E39">
      <w:pPr>
        <w:ind w:left="284" w:right="283"/>
        <w:jc w:val="both"/>
        <w:rPr>
          <w:rFonts w:ascii="Gotham" w:hAnsi="Gotham" w:cs="Arial"/>
          <w:b/>
          <w:sz w:val="19"/>
          <w:szCs w:val="19"/>
        </w:rPr>
      </w:pPr>
    </w:p>
    <w:p w14:paraId="3A47469E"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38. </w:t>
      </w:r>
      <w:r w:rsidRPr="000228BA">
        <w:rPr>
          <w:rFonts w:ascii="Gotham" w:hAnsi="Gotham" w:cs="Arial"/>
          <w:sz w:val="19"/>
          <w:szCs w:val="19"/>
        </w:rPr>
        <w:t>El municipio de Tonalá, Jalisco podrá coordinarse con otros Municipios para establecer archivos históricos comunes de carácter regional, en los términos que establezcan los convenios correspondientes y los instrumentos jurídicos de su creación.</w:t>
      </w:r>
    </w:p>
    <w:p w14:paraId="3A47469F" w14:textId="77777777" w:rsidR="009B5E39" w:rsidRDefault="009B5E39" w:rsidP="009B5E39">
      <w:pPr>
        <w:ind w:left="284" w:right="283"/>
        <w:jc w:val="both"/>
        <w:rPr>
          <w:rFonts w:ascii="Gotham" w:hAnsi="Gotham" w:cs="Arial"/>
          <w:sz w:val="19"/>
          <w:szCs w:val="19"/>
        </w:rPr>
      </w:pPr>
    </w:p>
    <w:p w14:paraId="3A4746A0"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El convenio o instrumento que dé origen a la coordinación referida en el párrafo anterior deberá identificar con claridad a los responsables de la Dirección General de Archivos Regional y de sus áreas operativas, debiendo dar aviso a la Dirección General de Archivos del Estado y al Consejo Estatal, en un plazo máximo de cinco días hábiles posteriores a su designación.</w:t>
      </w:r>
    </w:p>
    <w:p w14:paraId="3A4746A1" w14:textId="77777777" w:rsidR="009B5E39" w:rsidRDefault="009B5E39" w:rsidP="009B5E39">
      <w:pPr>
        <w:ind w:left="284" w:right="283"/>
        <w:jc w:val="both"/>
        <w:rPr>
          <w:rFonts w:ascii="Gotham" w:hAnsi="Gotham" w:cs="Arial"/>
          <w:b/>
          <w:sz w:val="19"/>
          <w:szCs w:val="19"/>
        </w:rPr>
      </w:pPr>
    </w:p>
    <w:p w14:paraId="3A4746A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39. </w:t>
      </w:r>
      <w:r w:rsidRPr="000228BA">
        <w:rPr>
          <w:rFonts w:ascii="Gotham" w:hAnsi="Gotham" w:cs="Arial"/>
          <w:sz w:val="19"/>
          <w:szCs w:val="19"/>
        </w:rPr>
        <w:t>El responsable del Área Coordinadora de Archivos, integrará y formalizará el Grupo Interdisciplinario, convocará a las reuniones de trabajo y fungirá como moderador en las mismas, por lo que será el encargado de llevar el registro y seguimiento de los acuerdos y compromisos establecidos, conservando las constancias respectivas.</w:t>
      </w:r>
    </w:p>
    <w:p w14:paraId="3A4746A3" w14:textId="77777777" w:rsidR="009B5E39" w:rsidRDefault="009B5E39" w:rsidP="009B5E39">
      <w:pPr>
        <w:ind w:left="284" w:right="283"/>
        <w:jc w:val="both"/>
        <w:rPr>
          <w:rFonts w:ascii="Gotham" w:hAnsi="Gotham" w:cs="Arial"/>
          <w:sz w:val="19"/>
          <w:szCs w:val="19"/>
        </w:rPr>
      </w:pPr>
    </w:p>
    <w:p w14:paraId="3A4746A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El Grupo Interdisciplinario, en el ámbito de sus atribuciones, coadyuvará en el análisis de los procesos y procedimientos institucionales que dan origen a la documentación que integran los expedientes de cada serie documental, con el fin de colaborar con las Dependencias productoras de la documentación en el establecimiento de los Valores Documentales, vigencias, plazos de conservación y disposición documental durante el proceso de elaboración de las fichas técnicas de Valoración Documental de la Serie y que, en conjunto, conforman el Catálogo de Disposición Documental.</w:t>
      </w:r>
    </w:p>
    <w:p w14:paraId="3A4746A5" w14:textId="77777777" w:rsidR="009B5E39" w:rsidRDefault="009B5E39" w:rsidP="009B5E39">
      <w:pPr>
        <w:ind w:left="284" w:right="283"/>
        <w:jc w:val="both"/>
        <w:rPr>
          <w:rFonts w:ascii="Gotham" w:hAnsi="Gotham" w:cs="Arial"/>
          <w:sz w:val="19"/>
          <w:szCs w:val="19"/>
        </w:rPr>
      </w:pPr>
    </w:p>
    <w:p w14:paraId="3A4746A6"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Será integrado por los titulares o sus representantes, de las siguientes unidades y áreas administrativas: </w:t>
      </w:r>
    </w:p>
    <w:p w14:paraId="3A4746A7" w14:textId="77777777" w:rsidR="009B5E39" w:rsidRDefault="009B5E39" w:rsidP="009B5E39">
      <w:pPr>
        <w:ind w:left="284" w:right="283"/>
        <w:jc w:val="both"/>
        <w:rPr>
          <w:rFonts w:ascii="Gotham" w:hAnsi="Gotham" w:cs="Arial"/>
          <w:sz w:val="19"/>
          <w:szCs w:val="19"/>
        </w:rPr>
      </w:pPr>
    </w:p>
    <w:p w14:paraId="3A4746A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Por la o el Jefe de Archivo Municipal que a su vez hace la función de Área Coordinadora de Archivos; </w:t>
      </w:r>
    </w:p>
    <w:p w14:paraId="3A4746A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Oficialía de partes o gestión documental del Municipio; </w:t>
      </w:r>
    </w:p>
    <w:p w14:paraId="3A4746A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La o el responsable del Archivo de trámite que depende de la Jefatura de Archivo Municipal; </w:t>
      </w:r>
    </w:p>
    <w:p w14:paraId="3A4746A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La o el responsable del Archivo de Concentración que depende de la Jefatura de Archivo Municipal; </w:t>
      </w:r>
    </w:p>
    <w:p w14:paraId="3A4746AC"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 xml:space="preserve">La o el responsable del Archivo Histórico que depende de la Jefatura de Archivo Municipal, en su caso; y </w:t>
      </w:r>
    </w:p>
    <w:p w14:paraId="3A4746AD"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lastRenderedPageBreak/>
        <w:t xml:space="preserve">VI. </w:t>
      </w:r>
      <w:r>
        <w:rPr>
          <w:rFonts w:ascii="Gotham" w:hAnsi="Gotham" w:cs="Arial"/>
          <w:sz w:val="19"/>
          <w:szCs w:val="19"/>
        </w:rPr>
        <w:tab/>
      </w:r>
      <w:r w:rsidRPr="000228BA">
        <w:rPr>
          <w:rFonts w:ascii="Gotham" w:hAnsi="Gotham" w:cs="Arial"/>
          <w:sz w:val="19"/>
          <w:szCs w:val="19"/>
        </w:rPr>
        <w:t xml:space="preserve">Los responsables de los archivos de trámite de las áreas o unidades administrativas productoras de la documentación, únicamente cuando sea sujeta de análisis de los procesos y procedimientos institucionales de su área. </w:t>
      </w:r>
    </w:p>
    <w:p w14:paraId="3A4746AE" w14:textId="77777777" w:rsidR="009B5E39" w:rsidRDefault="009B5E39" w:rsidP="009B5E39">
      <w:pPr>
        <w:ind w:left="284" w:right="283"/>
        <w:jc w:val="both"/>
        <w:rPr>
          <w:rFonts w:ascii="Gotham" w:hAnsi="Gotham" w:cs="Arial"/>
          <w:sz w:val="19"/>
          <w:szCs w:val="19"/>
        </w:rPr>
      </w:pPr>
    </w:p>
    <w:p w14:paraId="3A4746AF"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Los responsables a que aluden las fracciones III, IV, V y VI podrán nombrar un suplente para representación en caso de </w:t>
      </w:r>
      <w:r w:rsidRPr="003D1DA7">
        <w:rPr>
          <w:rFonts w:ascii="Gotham" w:hAnsi="Gotham" w:cs="Arial"/>
          <w:sz w:val="19"/>
          <w:szCs w:val="19"/>
        </w:rPr>
        <w:t>ausencia.</w:t>
      </w:r>
    </w:p>
    <w:p w14:paraId="3A4746B0" w14:textId="77777777" w:rsidR="009B5E39" w:rsidRDefault="009B5E39" w:rsidP="009B5E39">
      <w:pPr>
        <w:ind w:left="284" w:right="283"/>
        <w:jc w:val="both"/>
        <w:rPr>
          <w:rFonts w:ascii="Gotham" w:hAnsi="Gotham" w:cs="Arial"/>
          <w:sz w:val="19"/>
          <w:szCs w:val="19"/>
        </w:rPr>
      </w:pPr>
    </w:p>
    <w:p w14:paraId="3A4746B1"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Para su funcionamiento, el grupo interdisciplinario establecerá sus reglas de operación.</w:t>
      </w:r>
    </w:p>
    <w:p w14:paraId="3A4746B2" w14:textId="77777777" w:rsidR="009B5E39" w:rsidRDefault="009B5E39" w:rsidP="009B5E39">
      <w:pPr>
        <w:ind w:left="284" w:right="283"/>
        <w:jc w:val="both"/>
        <w:rPr>
          <w:rFonts w:ascii="Gotham" w:hAnsi="Gotham" w:cs="Arial"/>
          <w:b/>
          <w:sz w:val="19"/>
          <w:szCs w:val="19"/>
        </w:rPr>
      </w:pPr>
    </w:p>
    <w:p w14:paraId="3A4746B3" w14:textId="77777777" w:rsidR="009B5E39" w:rsidRPr="000228BA" w:rsidRDefault="009B5E39" w:rsidP="009B5E39">
      <w:pPr>
        <w:ind w:left="284" w:right="283"/>
        <w:jc w:val="both"/>
        <w:rPr>
          <w:rFonts w:ascii="Gotham" w:hAnsi="Gotham" w:cs="Arial"/>
          <w:b/>
          <w:sz w:val="19"/>
          <w:szCs w:val="19"/>
        </w:rPr>
      </w:pPr>
      <w:r w:rsidRPr="000228BA">
        <w:rPr>
          <w:rFonts w:ascii="Gotham" w:hAnsi="Gotham" w:cs="Arial"/>
          <w:b/>
          <w:sz w:val="19"/>
          <w:szCs w:val="19"/>
        </w:rPr>
        <w:t xml:space="preserve">Artículo 40. </w:t>
      </w:r>
      <w:r w:rsidRPr="000228BA">
        <w:rPr>
          <w:rFonts w:ascii="Gotham" w:hAnsi="Gotham" w:cs="Arial"/>
          <w:sz w:val="19"/>
          <w:szCs w:val="19"/>
        </w:rPr>
        <w:t>El grupo interdisciplinario, tendrá las siguientes atribuciones:</w:t>
      </w:r>
      <w:r w:rsidRPr="000228BA">
        <w:rPr>
          <w:rFonts w:ascii="Gotham" w:hAnsi="Gotham" w:cs="Arial"/>
          <w:b/>
          <w:sz w:val="19"/>
          <w:szCs w:val="19"/>
        </w:rPr>
        <w:t xml:space="preserve"> </w:t>
      </w:r>
    </w:p>
    <w:p w14:paraId="3A4746B4" w14:textId="77777777" w:rsidR="009B5E39" w:rsidRDefault="009B5E39" w:rsidP="009B5E39">
      <w:pPr>
        <w:ind w:left="284" w:right="283"/>
        <w:jc w:val="both"/>
        <w:rPr>
          <w:rFonts w:ascii="Gotham" w:hAnsi="Gotham" w:cs="Arial"/>
          <w:sz w:val="19"/>
          <w:szCs w:val="19"/>
        </w:rPr>
      </w:pPr>
    </w:p>
    <w:p w14:paraId="3A4746B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Analizará los procesos y procedimientos institucionales que dan origen a la documentación que integran los expedientes de cada serie documental, con el fin de establecer, con las áreas o unidades administrativas productoras, los criterios de valoración documental, vigencias, bajas documentales, plazos de conservación y disposición documental durante el proceso de elaboración de las fichas técnicas de valoración de la serie documental y que, en conjunto, conforman el catálogo de disposición documental; </w:t>
      </w:r>
    </w:p>
    <w:p w14:paraId="3A4746B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Podrá recibir la asesoría de un especialista en la naturaleza y objeto social del sujeto obligado; el sujeto obligado podrá realizar convenios de colaboración con instituciones académicas, de educación superior, de investigación pública o privada, así como con dependencias de la administración pública estatal o federal, para efectos de garantizar lo dispuesto en el párrafo anterior; </w:t>
      </w:r>
    </w:p>
    <w:p w14:paraId="3A4746B7"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Deberá presentar la solicitud de baja o de transferencia secundaria junto con las fichas técnicas e inventarios respectivos al archivo general que corresponda para su dictamen final; y </w:t>
      </w:r>
    </w:p>
    <w:p w14:paraId="3A4746B8"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Sesionará de manera ordinaria por lo menos una vez al año, y de manera extraordinaria las veces que así lo considere. </w:t>
      </w:r>
    </w:p>
    <w:p w14:paraId="3A4746B9" w14:textId="77777777" w:rsidR="009B5E39" w:rsidRDefault="009B5E39" w:rsidP="009B5E39">
      <w:pPr>
        <w:ind w:left="284" w:right="283"/>
        <w:jc w:val="both"/>
        <w:rPr>
          <w:rFonts w:ascii="Gotham" w:hAnsi="Gotham" w:cs="Arial"/>
          <w:sz w:val="19"/>
          <w:szCs w:val="19"/>
        </w:rPr>
      </w:pPr>
    </w:p>
    <w:p w14:paraId="3A4746BA"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Las áreas o unidades administrativas productoras deberán remitir al sujeto obligado la información de las bajas documentales, el catálogo de disposición documental y las actas de valoración a fin de que sean publicadas el primer día hábil del siguiente año del que se trate, con el aval del grupo interdisciplinario.</w:t>
      </w:r>
    </w:p>
    <w:p w14:paraId="3A4746BB" w14:textId="77777777" w:rsidR="009B5E39" w:rsidRDefault="009B5E39" w:rsidP="009B5E39">
      <w:pPr>
        <w:ind w:left="284" w:right="283"/>
        <w:jc w:val="both"/>
        <w:rPr>
          <w:rFonts w:ascii="Gotham" w:hAnsi="Gotham" w:cs="Arial"/>
          <w:b/>
          <w:sz w:val="19"/>
          <w:szCs w:val="19"/>
        </w:rPr>
      </w:pPr>
    </w:p>
    <w:p w14:paraId="3A4746BC"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41. </w:t>
      </w:r>
      <w:r w:rsidRPr="000228BA">
        <w:rPr>
          <w:rFonts w:ascii="Gotham" w:hAnsi="Gotham" w:cs="Arial"/>
          <w:sz w:val="19"/>
          <w:szCs w:val="19"/>
        </w:rPr>
        <w:t xml:space="preserve">El responsable del Área Coordinadora de Archivos además de integrar y formalizar el grupo interdisciplinario, considerará durante el proceso de elaboración del catálogo de disposición documental deberá: </w:t>
      </w:r>
    </w:p>
    <w:p w14:paraId="3A4746BD" w14:textId="77777777" w:rsidR="009B5E39" w:rsidRDefault="009B5E39" w:rsidP="009B5E39">
      <w:pPr>
        <w:ind w:left="284" w:right="283"/>
        <w:jc w:val="both"/>
        <w:rPr>
          <w:rFonts w:ascii="Gotham" w:hAnsi="Gotham" w:cs="Arial"/>
          <w:sz w:val="19"/>
          <w:szCs w:val="19"/>
        </w:rPr>
      </w:pPr>
    </w:p>
    <w:p w14:paraId="3A4746B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Establecer un plan de trabajo para la elaboración de las fichas técnicas de valoración documental que incluya al menos: </w:t>
      </w:r>
    </w:p>
    <w:p w14:paraId="3A4746BF"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a) </w:t>
      </w:r>
      <w:r>
        <w:rPr>
          <w:rFonts w:ascii="Gotham" w:hAnsi="Gotham" w:cs="Arial"/>
          <w:sz w:val="19"/>
          <w:szCs w:val="19"/>
        </w:rPr>
        <w:tab/>
      </w:r>
      <w:r w:rsidRPr="000228BA">
        <w:rPr>
          <w:rFonts w:ascii="Gotham" w:hAnsi="Gotham" w:cs="Arial"/>
          <w:sz w:val="19"/>
          <w:szCs w:val="19"/>
        </w:rPr>
        <w:t xml:space="preserve">Un calendario de visitas a las áreas productoras de la documentación para el levantamiento de información; y </w:t>
      </w:r>
    </w:p>
    <w:p w14:paraId="3A4746C0"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b) </w:t>
      </w:r>
      <w:r>
        <w:rPr>
          <w:rFonts w:ascii="Gotham" w:hAnsi="Gotham" w:cs="Arial"/>
          <w:sz w:val="19"/>
          <w:szCs w:val="19"/>
        </w:rPr>
        <w:tab/>
      </w:r>
      <w:r w:rsidRPr="000228BA">
        <w:rPr>
          <w:rFonts w:ascii="Gotham" w:hAnsi="Gotham" w:cs="Arial"/>
          <w:sz w:val="19"/>
          <w:szCs w:val="19"/>
        </w:rPr>
        <w:t xml:space="preserve">Un calendario de reuniones del grupo interdisciplinario. </w:t>
      </w:r>
    </w:p>
    <w:p w14:paraId="3A4746C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Preparar las herramientas metodológicas y normativas,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3A4746C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 </w:t>
      </w:r>
    </w:p>
    <w:p w14:paraId="3A4746C3"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lastRenderedPageBreak/>
        <w:t xml:space="preserve">IV. </w:t>
      </w:r>
      <w:r>
        <w:rPr>
          <w:rFonts w:ascii="Gotham" w:hAnsi="Gotham" w:cs="Arial"/>
          <w:sz w:val="19"/>
          <w:szCs w:val="19"/>
        </w:rPr>
        <w:tab/>
      </w:r>
      <w:r w:rsidRPr="000228BA">
        <w:rPr>
          <w:rFonts w:ascii="Gotham" w:hAnsi="Gotham" w:cs="Arial"/>
          <w:sz w:val="19"/>
          <w:szCs w:val="19"/>
        </w:rPr>
        <w:t>Integrar el catálogo de disposición documental.</w:t>
      </w:r>
      <w:r w:rsidR="00883EC2">
        <w:rPr>
          <w:rFonts w:ascii="Gotham" w:hAnsi="Gotham" w:cs="Arial"/>
          <w:sz w:val="19"/>
          <w:szCs w:val="19"/>
        </w:rPr>
        <w:t xml:space="preserve"> </w:t>
      </w:r>
    </w:p>
    <w:p w14:paraId="3A4746C4" w14:textId="77777777" w:rsidR="009B5E39" w:rsidRPr="000228BA" w:rsidRDefault="009B5E39" w:rsidP="009B5E39">
      <w:pPr>
        <w:ind w:left="284" w:right="283"/>
        <w:rPr>
          <w:rFonts w:ascii="Gotham" w:hAnsi="Gotham" w:cs="Arial"/>
          <w:b/>
          <w:sz w:val="19"/>
          <w:szCs w:val="19"/>
        </w:rPr>
      </w:pPr>
    </w:p>
    <w:p w14:paraId="3A4746C5" w14:textId="77777777" w:rsidR="009B5E39" w:rsidRPr="000228BA" w:rsidRDefault="009B5E39" w:rsidP="009B5E39">
      <w:pPr>
        <w:ind w:left="284" w:right="283"/>
        <w:rPr>
          <w:rFonts w:ascii="Gotham" w:hAnsi="Gotham" w:cs="Arial"/>
          <w:sz w:val="19"/>
          <w:szCs w:val="19"/>
        </w:rPr>
      </w:pPr>
      <w:r w:rsidRPr="000228BA">
        <w:rPr>
          <w:rFonts w:ascii="Gotham" w:hAnsi="Gotham" w:cs="Arial"/>
          <w:b/>
          <w:sz w:val="19"/>
          <w:szCs w:val="19"/>
        </w:rPr>
        <w:t xml:space="preserve">Artículo 42. </w:t>
      </w:r>
      <w:r w:rsidRPr="000228BA">
        <w:rPr>
          <w:rFonts w:ascii="Gotham" w:hAnsi="Gotham" w:cs="Arial"/>
          <w:sz w:val="19"/>
          <w:szCs w:val="19"/>
        </w:rPr>
        <w:t xml:space="preserve">Son funciones del Grupo Interdisciplinario, las siguientes: </w:t>
      </w:r>
    </w:p>
    <w:p w14:paraId="3A4746C6" w14:textId="77777777" w:rsidR="009B5E39" w:rsidRPr="000228BA" w:rsidRDefault="009B5E39" w:rsidP="009B5E39">
      <w:pPr>
        <w:ind w:left="284" w:right="283"/>
        <w:rPr>
          <w:rFonts w:ascii="Gotham" w:hAnsi="Gotham" w:cs="Arial"/>
          <w:sz w:val="19"/>
          <w:szCs w:val="19"/>
        </w:rPr>
      </w:pPr>
    </w:p>
    <w:p w14:paraId="3A4746C7" w14:textId="77777777" w:rsidR="009B5E39" w:rsidRPr="000228BA" w:rsidRDefault="009B5E39" w:rsidP="009B5E39">
      <w:pPr>
        <w:spacing w:after="120"/>
        <w:ind w:left="1134" w:right="283" w:hanging="850"/>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Formular opiniones, referencias técnicas sobre valores documentales, pautas de comportamiento y recomendaciones sobre la disposición documental de las series documentales; </w:t>
      </w:r>
    </w:p>
    <w:p w14:paraId="3A4746C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Considerar, en la formulación de referencias técnicas para la identificación de valores documentales, vigencias, plazos de conservación y disposición documental de las series, la planeación estratégica y normatividad, así como los siguientes criterios:</w:t>
      </w:r>
    </w:p>
    <w:p w14:paraId="3A4746C9"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a) </w:t>
      </w:r>
      <w:r>
        <w:rPr>
          <w:rFonts w:ascii="Gotham" w:hAnsi="Gotham" w:cs="Arial"/>
          <w:sz w:val="19"/>
          <w:szCs w:val="19"/>
        </w:rPr>
        <w:tab/>
      </w:r>
      <w:r w:rsidRPr="000228BA">
        <w:rPr>
          <w:rFonts w:ascii="Gotham" w:hAnsi="Gotham" w:cs="Arial"/>
          <w:sz w:val="19"/>
          <w:szCs w:val="19"/>
        </w:rPr>
        <w:t xml:space="preserve">Procedencia: considerar que el valor de los documentos depende del nivel jerárquico que ocupa el productor, por lo que se debe estudiar la producción documental de las unidades administrativas productoras de la documentación en el ejercicio de sus funciones, desde el más alto nivel jerárquico, hasta el operativo, realizando una completa identificación de los procesos institucionales hasta llegar a nivel de procedimiento; </w:t>
      </w:r>
    </w:p>
    <w:p w14:paraId="3A4746CA"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b) </w:t>
      </w:r>
      <w:r>
        <w:rPr>
          <w:rFonts w:ascii="Gotham" w:hAnsi="Gotham" w:cs="Arial"/>
          <w:sz w:val="19"/>
          <w:szCs w:val="19"/>
        </w:rPr>
        <w:tab/>
      </w:r>
      <w:r w:rsidRPr="000228BA">
        <w:rPr>
          <w:rFonts w:ascii="Gotham" w:hAnsi="Gotham" w:cs="Arial"/>
          <w:sz w:val="19"/>
          <w:szCs w:val="19"/>
        </w:rPr>
        <w:t xml:space="preserve">Orden original: garantizar que las secciones y las series no se mezclen entre sí. Dentro de cada serie debe respetarse el orden en que la documentación fue producida; </w:t>
      </w:r>
    </w:p>
    <w:p w14:paraId="3A4746CB"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c) </w:t>
      </w:r>
      <w:r>
        <w:rPr>
          <w:rFonts w:ascii="Gotham" w:hAnsi="Gotham" w:cs="Arial"/>
          <w:sz w:val="19"/>
          <w:szCs w:val="19"/>
        </w:rPr>
        <w:tab/>
      </w:r>
      <w:r w:rsidRPr="000228BA">
        <w:rPr>
          <w:rFonts w:ascii="Gotham" w:hAnsi="Gotham" w:cs="Arial"/>
          <w:sz w:val="19"/>
          <w:szCs w:val="19"/>
        </w:rPr>
        <w:t xml:space="preserve">Diplomático: analizar la estructura, contexto y contenido de los documentos que integran la serie, considerando que los documentos originales, terminados y formalizados, tienen mayor valor que las copias, a menos que éstas obren como originales dentro de los expedientes; </w:t>
      </w:r>
    </w:p>
    <w:p w14:paraId="3A4746CC"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d) </w:t>
      </w:r>
      <w:r>
        <w:rPr>
          <w:rFonts w:ascii="Gotham" w:hAnsi="Gotham" w:cs="Arial"/>
          <w:sz w:val="19"/>
          <w:szCs w:val="19"/>
        </w:rPr>
        <w:tab/>
      </w:r>
      <w:r w:rsidRPr="000228BA">
        <w:rPr>
          <w:rFonts w:ascii="Gotham" w:hAnsi="Gotham" w:cs="Arial"/>
          <w:sz w:val="19"/>
          <w:szCs w:val="19"/>
        </w:rPr>
        <w:t xml:space="preserve">Contexto: considerar la importancia y tendencias socioeconómicas, programas y actividades que inciden de manera directa e indirecta en las funciones del productor de la documentación; </w:t>
      </w:r>
    </w:p>
    <w:p w14:paraId="3A4746CD"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e) </w:t>
      </w:r>
      <w:r>
        <w:rPr>
          <w:rFonts w:ascii="Gotham" w:hAnsi="Gotham" w:cs="Arial"/>
          <w:sz w:val="19"/>
          <w:szCs w:val="19"/>
        </w:rPr>
        <w:tab/>
      </w:r>
      <w:r w:rsidRPr="000228BA">
        <w:rPr>
          <w:rFonts w:ascii="Gotham" w:hAnsi="Gotham" w:cs="Arial"/>
          <w:sz w:val="19"/>
          <w:szCs w:val="19"/>
        </w:rPr>
        <w:t xml:space="preserve">Contenido: privilegiar los documentos que contienen información fundamental para reconstruir la actuación del sujeto obligado, de un acontecimiento, de un periodo concreto, de un territorio o de las personas, considerando para ello la exclusividad de los documentos, es decir, si la información solamente se contiene en ese documento o se contiene en otro, así como los documentos con información resumida; y </w:t>
      </w:r>
    </w:p>
    <w:p w14:paraId="3A4746CE" w14:textId="77777777" w:rsidR="009B5E39" w:rsidRPr="000228BA" w:rsidRDefault="009B5E39" w:rsidP="009B5E39">
      <w:pPr>
        <w:spacing w:after="120"/>
        <w:ind w:left="1560" w:right="283" w:hanging="426"/>
        <w:jc w:val="both"/>
        <w:rPr>
          <w:rFonts w:ascii="Gotham" w:hAnsi="Gotham" w:cs="Arial"/>
          <w:sz w:val="19"/>
          <w:szCs w:val="19"/>
        </w:rPr>
      </w:pPr>
      <w:r w:rsidRPr="000228BA">
        <w:rPr>
          <w:rFonts w:ascii="Gotham" w:hAnsi="Gotham" w:cs="Arial"/>
          <w:sz w:val="19"/>
          <w:szCs w:val="19"/>
        </w:rPr>
        <w:t xml:space="preserve">f) </w:t>
      </w:r>
      <w:r>
        <w:rPr>
          <w:rFonts w:ascii="Gotham" w:hAnsi="Gotham" w:cs="Arial"/>
          <w:sz w:val="19"/>
          <w:szCs w:val="19"/>
        </w:rPr>
        <w:tab/>
      </w:r>
      <w:r w:rsidRPr="000228BA">
        <w:rPr>
          <w:rFonts w:ascii="Gotham" w:hAnsi="Gotham" w:cs="Arial"/>
          <w:sz w:val="19"/>
          <w:szCs w:val="19"/>
        </w:rPr>
        <w:t>Utilización: considerar los documentos que han sido objeto de demanda frecuente por parte del órgano productor, investigadores o ciudadanos en general, así como el estado de conservación de los mismos;</w:t>
      </w:r>
    </w:p>
    <w:p w14:paraId="3A4746C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Proponer, cuando corresponda, se atienda al programa de gestión de riesgos institucional o los procesos de certificación a que haya lugar; </w:t>
      </w:r>
    </w:p>
    <w:p w14:paraId="3A4746D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Sugerir que lo establecido en las fichas técnicas de valoración documental esté alineado a la operación funcional, misional y objetivos estratégicos del sujeto obligado; </w:t>
      </w:r>
    </w:p>
    <w:p w14:paraId="3A4746D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Advertir que en las fichas técnicas de valoración documental se incluya y se respete el marco normativo que regula la gestión institucional;</w:t>
      </w:r>
    </w:p>
    <w:p w14:paraId="3A4746D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 xml:space="preserve">Recomendar que se realicen procesos de automatización en apego a lo establecido para la gestión documental y administración de archivos; </w:t>
      </w:r>
    </w:p>
    <w:p w14:paraId="3A4746D3"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Emitir su manual de operaciones para su funcionamiento y reglas de operación; y</w:t>
      </w:r>
    </w:p>
    <w:p w14:paraId="3A4746D4"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VIII. </w:t>
      </w:r>
      <w:r>
        <w:rPr>
          <w:rFonts w:ascii="Gotham" w:hAnsi="Gotham" w:cs="Arial"/>
          <w:sz w:val="19"/>
          <w:szCs w:val="19"/>
        </w:rPr>
        <w:tab/>
      </w:r>
      <w:r w:rsidRPr="000228BA">
        <w:rPr>
          <w:rFonts w:ascii="Gotham" w:hAnsi="Gotham" w:cs="Arial"/>
          <w:sz w:val="19"/>
          <w:szCs w:val="19"/>
        </w:rPr>
        <w:t>Las demás que se definan en otras disposiciones y el Consejo Nacional.</w:t>
      </w:r>
    </w:p>
    <w:p w14:paraId="3A4746D5" w14:textId="77777777" w:rsidR="009B5E39" w:rsidRPr="000228BA" w:rsidRDefault="009B5E39" w:rsidP="009B5E39">
      <w:pPr>
        <w:ind w:left="284" w:right="283"/>
        <w:jc w:val="both"/>
        <w:rPr>
          <w:rFonts w:ascii="Gotham" w:hAnsi="Gotham" w:cs="Arial"/>
          <w:b/>
          <w:sz w:val="19"/>
          <w:szCs w:val="19"/>
        </w:rPr>
      </w:pPr>
    </w:p>
    <w:p w14:paraId="3A4746D6"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43.</w:t>
      </w:r>
      <w:r w:rsidRPr="000228BA">
        <w:rPr>
          <w:rFonts w:ascii="Gotham" w:hAnsi="Gotham" w:cs="Arial"/>
          <w:sz w:val="19"/>
          <w:szCs w:val="19"/>
        </w:rPr>
        <w:t xml:space="preserve"> A las áreas productoras de la documentación les corresponde: </w:t>
      </w:r>
    </w:p>
    <w:p w14:paraId="3A4746D7" w14:textId="77777777" w:rsidR="009B5E39" w:rsidRPr="000228BA" w:rsidRDefault="009B5E39" w:rsidP="009B5E39">
      <w:pPr>
        <w:ind w:left="284" w:right="283"/>
        <w:jc w:val="both"/>
        <w:rPr>
          <w:rFonts w:ascii="Gotham" w:hAnsi="Gotham" w:cs="Arial"/>
          <w:sz w:val="19"/>
          <w:szCs w:val="19"/>
        </w:rPr>
      </w:pPr>
    </w:p>
    <w:p w14:paraId="3A4746D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Brindar al responsable del Área Coordinadora de Archivos las facilidades necesarias para la elaboración de las fichas técnicas de valoración documental; </w:t>
      </w:r>
    </w:p>
    <w:p w14:paraId="3A4746D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lastRenderedPageBreak/>
        <w:t xml:space="preserve">II. </w:t>
      </w:r>
      <w:r>
        <w:rPr>
          <w:rFonts w:ascii="Gotham" w:hAnsi="Gotham" w:cs="Arial"/>
          <w:sz w:val="19"/>
          <w:szCs w:val="19"/>
        </w:rPr>
        <w:tab/>
      </w:r>
      <w:r w:rsidRPr="000228BA">
        <w:rPr>
          <w:rFonts w:ascii="Gotham" w:hAnsi="Gotham" w:cs="Arial"/>
          <w:sz w:val="19"/>
          <w:szCs w:val="19"/>
        </w:rPr>
        <w:t xml:space="preserve">Identificar y determinar la trascendencia de los documentos que conforman las series como evidencia y registro del desarrollo de sus funciones, reconociendo el uso, acceso, consulta y utilidad institucional, con base en el marco normativo que los faculta; </w:t>
      </w:r>
    </w:p>
    <w:p w14:paraId="3A4746D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Prever los impactos institucionales en caso de no documentar adecuadamente sus procesos de trabajo; y </w:t>
      </w:r>
    </w:p>
    <w:p w14:paraId="3A4746DB"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Coadyuvar en la determinación de los valores, la vigencia, los plazos de conservación y disposición documental de las series documentales que produce. </w:t>
      </w:r>
    </w:p>
    <w:p w14:paraId="3A4746DC" w14:textId="77777777" w:rsidR="009B5E39" w:rsidRPr="000228BA" w:rsidRDefault="009B5E39" w:rsidP="009B5E39">
      <w:pPr>
        <w:ind w:left="284" w:right="283"/>
        <w:jc w:val="both"/>
        <w:rPr>
          <w:rFonts w:ascii="Gotham" w:hAnsi="Gotham" w:cs="Arial"/>
          <w:sz w:val="19"/>
          <w:szCs w:val="19"/>
        </w:rPr>
      </w:pPr>
    </w:p>
    <w:p w14:paraId="3A4746DD"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44.</w:t>
      </w:r>
      <w:r w:rsidRPr="000228BA">
        <w:rPr>
          <w:rFonts w:ascii="Gotham" w:hAnsi="Gotham" w:cs="Arial"/>
          <w:sz w:val="19"/>
          <w:szCs w:val="19"/>
        </w:rPr>
        <w:t xml:space="preserve"> El sujeto obligado deberá asegurar que los plazos de conservación</w:t>
      </w:r>
      <w:r w:rsidR="00883EC2">
        <w:rPr>
          <w:rFonts w:ascii="Gotham" w:hAnsi="Gotham" w:cs="Arial"/>
          <w:sz w:val="19"/>
          <w:szCs w:val="19"/>
        </w:rPr>
        <w:t xml:space="preserve"> </w:t>
      </w:r>
      <w:r w:rsidRPr="000228BA">
        <w:rPr>
          <w:rFonts w:ascii="Gotham" w:hAnsi="Gotham" w:cs="Arial"/>
          <w:sz w:val="19"/>
          <w:szCs w:val="19"/>
        </w:rPr>
        <w:t xml:space="preserve">establecidos en el catálogo de disposición documental hayan prescrito y que la documentación no se encuentre clasificada como reservada o confidencial al promover una baja documental o transferencia secundaria. </w:t>
      </w:r>
    </w:p>
    <w:p w14:paraId="3A4746DE" w14:textId="77777777" w:rsidR="009B5E39" w:rsidRDefault="009B5E39" w:rsidP="009B5E39">
      <w:pPr>
        <w:ind w:left="284" w:right="283"/>
        <w:jc w:val="both"/>
        <w:rPr>
          <w:rFonts w:ascii="Gotham" w:hAnsi="Gotham" w:cs="Arial"/>
          <w:sz w:val="19"/>
          <w:szCs w:val="19"/>
        </w:rPr>
      </w:pPr>
    </w:p>
    <w:p w14:paraId="3A4746DF"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El sujeto obligado deberá observar que los plazos de prescripción sean conforme a lo establecido en el presente reglamento o, en su caso, conservarlos por el tiempo que prevean otras disposiciones legales aplicables. </w:t>
      </w:r>
    </w:p>
    <w:p w14:paraId="3A4746E0" w14:textId="77777777" w:rsidR="009B5E39" w:rsidRPr="000228BA" w:rsidRDefault="009B5E39" w:rsidP="009B5E39">
      <w:pPr>
        <w:ind w:left="284" w:right="283"/>
        <w:jc w:val="both"/>
        <w:rPr>
          <w:rFonts w:ascii="Gotham" w:hAnsi="Gotham" w:cs="Arial"/>
          <w:sz w:val="19"/>
          <w:szCs w:val="19"/>
        </w:rPr>
      </w:pPr>
    </w:p>
    <w:p w14:paraId="3A4746E1"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Por lo que respecta a las liquidaciones, fusiones, escisiones y extinciones, cualquiera sea su naturaleza, los archivos correspondientes a éstas deberán preservarse por un lapso de quince años a partir de que se efectúe la liquidación.</w:t>
      </w:r>
    </w:p>
    <w:p w14:paraId="3A4746E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 </w:t>
      </w:r>
    </w:p>
    <w:p w14:paraId="3A4746E3"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45.</w:t>
      </w:r>
      <w:r w:rsidRPr="000228BA">
        <w:rPr>
          <w:rFonts w:ascii="Gotham" w:hAnsi="Gotham" w:cs="Arial"/>
          <w:sz w:val="19"/>
          <w:szCs w:val="19"/>
        </w:rPr>
        <w:t xml:space="preserve"> El Área Coordinadora de Archivos junto con el grupo interdisciplinario promoverá la baja documental de los expedientes que hayan cumplido su vigencia documental y, en su caso, plazos de conservación, debiendo identificar los documentos que cuenten con valores históricos, a fin de que sean transferidos al archivo histórico. </w:t>
      </w:r>
    </w:p>
    <w:p w14:paraId="3A4746E4" w14:textId="77777777" w:rsidR="009B5E39" w:rsidRPr="000228BA" w:rsidRDefault="009B5E39" w:rsidP="009B5E39">
      <w:pPr>
        <w:ind w:left="284" w:right="283"/>
        <w:jc w:val="both"/>
        <w:rPr>
          <w:rFonts w:ascii="Gotham" w:hAnsi="Gotham" w:cs="Arial"/>
          <w:sz w:val="19"/>
          <w:szCs w:val="19"/>
        </w:rPr>
      </w:pPr>
    </w:p>
    <w:p w14:paraId="3A4746E5"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Así mismo, deberán de emitir los dictámenes, fichas técnicas de valoración y actas de la baja documental o, en su caso, su transferencia secundaria, y publicarlos una vez al año al portal de transparencia, dando aviso de esto al Consejo Estatal.</w:t>
      </w:r>
    </w:p>
    <w:p w14:paraId="3A4746E6" w14:textId="77777777" w:rsidR="009B5E39" w:rsidRPr="000228BA" w:rsidRDefault="009B5E39" w:rsidP="009B5E39">
      <w:pPr>
        <w:ind w:left="284" w:right="283"/>
        <w:jc w:val="both"/>
        <w:rPr>
          <w:rFonts w:ascii="Gotham" w:hAnsi="Gotham" w:cs="Arial"/>
          <w:sz w:val="19"/>
          <w:szCs w:val="19"/>
        </w:rPr>
      </w:pPr>
    </w:p>
    <w:p w14:paraId="3A4746E7"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El titular del Archivo General Municipal será el responsable de la autorización de las transferencias promovidas por el grupo interdisciplinario.</w:t>
      </w:r>
    </w:p>
    <w:p w14:paraId="3A4746E8" w14:textId="77777777" w:rsidR="009B5E39" w:rsidRPr="000228BA" w:rsidRDefault="009B5E39" w:rsidP="009B5E39">
      <w:pPr>
        <w:ind w:left="284" w:right="283"/>
        <w:jc w:val="both"/>
        <w:rPr>
          <w:rFonts w:ascii="Gotham" w:hAnsi="Gotham" w:cs="Arial"/>
          <w:b/>
          <w:sz w:val="19"/>
          <w:szCs w:val="19"/>
        </w:rPr>
      </w:pPr>
    </w:p>
    <w:p w14:paraId="3A4746E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46</w:t>
      </w:r>
      <w:r w:rsidRPr="000228BA">
        <w:rPr>
          <w:rFonts w:ascii="Gotham" w:hAnsi="Gotham" w:cs="Arial"/>
          <w:sz w:val="19"/>
          <w:szCs w:val="19"/>
        </w:rPr>
        <w:t xml:space="preserve">. Los sujetos obligados, junto con el grupo interdisciplinario, identificarán los documentos de archivo producidos en el desarrollo de sus funciones y atribuciones, mismas que se vincularán con las series documentales, cada una de éstas contará con una ficha técnica de valoración que, en su conjunto, conformarán el instrumento de control archivístico llamado catálogo de disposición documental. </w:t>
      </w:r>
    </w:p>
    <w:p w14:paraId="3A4746EA" w14:textId="77777777" w:rsidR="009B5E39" w:rsidRPr="000228BA" w:rsidRDefault="009B5E39" w:rsidP="009B5E39">
      <w:pPr>
        <w:ind w:left="284" w:right="283"/>
        <w:jc w:val="both"/>
        <w:rPr>
          <w:rFonts w:ascii="Gotham" w:hAnsi="Gotham" w:cs="Arial"/>
          <w:sz w:val="19"/>
          <w:szCs w:val="19"/>
        </w:rPr>
      </w:pPr>
    </w:p>
    <w:p w14:paraId="3A4746E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La ficha técnica de valoración documental deberá contener al menos la descripción de los datos de identificación, el contexto, contenido, valoración, condiciones de acceso, ubicación y responsable de la custodia de la serie o subserie. </w:t>
      </w:r>
    </w:p>
    <w:p w14:paraId="3A4746EC" w14:textId="77777777" w:rsidR="009B5E39" w:rsidRPr="000228BA" w:rsidRDefault="009B5E39" w:rsidP="009B5E39">
      <w:pPr>
        <w:ind w:left="284" w:right="283"/>
        <w:jc w:val="both"/>
        <w:rPr>
          <w:rFonts w:ascii="Gotham" w:hAnsi="Gotham" w:cs="Arial"/>
          <w:b/>
          <w:sz w:val="19"/>
          <w:szCs w:val="19"/>
        </w:rPr>
      </w:pPr>
    </w:p>
    <w:p w14:paraId="3A4746ED"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47.</w:t>
      </w:r>
      <w:r w:rsidRPr="000228BA">
        <w:rPr>
          <w:rFonts w:ascii="Gotham" w:hAnsi="Gotham" w:cs="Arial"/>
          <w:sz w:val="19"/>
          <w:szCs w:val="19"/>
        </w:rPr>
        <w:t xml:space="preserve"> Los sujetos obligados deberán publicar en su portal electrónico con vínculo al portal de transparencia, los expedientes de baja documental y transferencia secundaria, los cuales se conservarán en el archivo de concentración por un periodo mínimo de diez años a partir de la fecha de su elaboración.</w:t>
      </w:r>
    </w:p>
    <w:p w14:paraId="3A4746EE" w14:textId="77777777" w:rsidR="009B5E39" w:rsidRPr="000228BA" w:rsidRDefault="009B5E39" w:rsidP="009B5E39">
      <w:pPr>
        <w:ind w:left="284" w:right="283"/>
        <w:jc w:val="both"/>
        <w:rPr>
          <w:rFonts w:ascii="Gotham" w:hAnsi="Gotham" w:cs="Arial"/>
          <w:sz w:val="19"/>
          <w:szCs w:val="19"/>
        </w:rPr>
      </w:pPr>
    </w:p>
    <w:p w14:paraId="3A4746EF"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48.</w:t>
      </w:r>
      <w:r w:rsidRPr="000228BA">
        <w:rPr>
          <w:rFonts w:ascii="Gotham" w:hAnsi="Gotham" w:cs="Arial"/>
          <w:sz w:val="19"/>
          <w:szCs w:val="19"/>
        </w:rPr>
        <w:t xml:space="preserve"> Los sujetos obligados deberán adoptar las medidas y procedimientos que garanticen la conservación de la información, independientemente del soporte documental en que se encuentre, observando al menos lo siguiente: </w:t>
      </w:r>
    </w:p>
    <w:p w14:paraId="3A4746F0" w14:textId="77777777" w:rsidR="009B5E39" w:rsidRPr="000228BA" w:rsidRDefault="009B5E39" w:rsidP="009B5E39">
      <w:pPr>
        <w:ind w:left="284" w:right="283"/>
        <w:jc w:val="both"/>
        <w:rPr>
          <w:rFonts w:ascii="Gotham" w:hAnsi="Gotham" w:cs="Arial"/>
          <w:sz w:val="19"/>
          <w:szCs w:val="19"/>
        </w:rPr>
      </w:pPr>
    </w:p>
    <w:p w14:paraId="3A4746F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Establecer un programa de seguridad de la información que garantice la continuidad de la operación, minimice los riesgos y maximice la eficiencia de los servicios;</w:t>
      </w:r>
    </w:p>
    <w:p w14:paraId="3A4746F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lastRenderedPageBreak/>
        <w:t xml:space="preserve">II. </w:t>
      </w:r>
      <w:r>
        <w:rPr>
          <w:rFonts w:ascii="Gotham" w:hAnsi="Gotham" w:cs="Arial"/>
          <w:sz w:val="19"/>
          <w:szCs w:val="19"/>
        </w:rPr>
        <w:tab/>
      </w:r>
      <w:r w:rsidRPr="000228BA">
        <w:rPr>
          <w:rFonts w:ascii="Gotham" w:hAnsi="Gotham" w:cs="Arial"/>
          <w:sz w:val="19"/>
          <w:szCs w:val="19"/>
        </w:rPr>
        <w:t xml:space="preserve">Implementar controles que incluyan políticas de seguridad que abarquen la estructura organizacional, clasificación y control de activos, recursos humanos, comunicaciones y administración de operaciones, control de acceso, desarrollo y mantenimiento de sistemas, continuidad de las actividades de la organización, gestión de riesgos, requerimientos legales y auditoría; </w:t>
      </w:r>
    </w:p>
    <w:p w14:paraId="3A4746F3"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Contar con espacios diseñados y destinados exclusivamente a la recepción, organización y resguardo temporal o definitivo de los expedientes; y</w:t>
      </w:r>
    </w:p>
    <w:p w14:paraId="3A4746F4"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Contar con sistemas de control ambiental y de seguridad para conservar los documentos. </w:t>
      </w:r>
    </w:p>
    <w:p w14:paraId="3A4746F5" w14:textId="77777777" w:rsidR="009B5E39" w:rsidRPr="000228BA" w:rsidRDefault="009B5E39" w:rsidP="009B5E39">
      <w:pPr>
        <w:ind w:left="284" w:right="283"/>
        <w:jc w:val="both"/>
        <w:rPr>
          <w:rFonts w:ascii="Gotham" w:hAnsi="Gotham" w:cs="Arial"/>
          <w:sz w:val="19"/>
          <w:szCs w:val="19"/>
        </w:rPr>
      </w:pPr>
    </w:p>
    <w:p w14:paraId="3A4746F6" w14:textId="77777777" w:rsidR="009B5E39" w:rsidRPr="000228BA" w:rsidRDefault="009B5E39" w:rsidP="009B5E39">
      <w:pPr>
        <w:ind w:left="284" w:right="283"/>
        <w:jc w:val="both"/>
        <w:rPr>
          <w:rFonts w:ascii="Gotham" w:hAnsi="Gotham" w:cs="Arial"/>
          <w:sz w:val="19"/>
          <w:szCs w:val="19"/>
        </w:rPr>
      </w:pPr>
    </w:p>
    <w:p w14:paraId="3A4746F7"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CAPÍTULO VI</w:t>
      </w:r>
    </w:p>
    <w:p w14:paraId="3A4746F8"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DEL CONSEJO MUNICIPAL EN MATERIA DE ARCHIVOS</w:t>
      </w:r>
    </w:p>
    <w:p w14:paraId="3A4746F9"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 xml:space="preserve"> DEL MUNICIPIO DE TONALÁ, JALISCO.</w:t>
      </w:r>
    </w:p>
    <w:p w14:paraId="3A4746FA" w14:textId="77777777" w:rsidR="009B5E39" w:rsidRPr="000228BA" w:rsidRDefault="009B5E39" w:rsidP="009B5E39">
      <w:pPr>
        <w:ind w:left="284" w:right="283"/>
        <w:jc w:val="both"/>
        <w:rPr>
          <w:rFonts w:ascii="Gotham" w:hAnsi="Gotham" w:cs="Arial"/>
          <w:sz w:val="19"/>
          <w:szCs w:val="19"/>
        </w:rPr>
      </w:pPr>
    </w:p>
    <w:p w14:paraId="3A4746FB" w14:textId="77777777" w:rsidR="009B5E39" w:rsidRPr="000228BA" w:rsidRDefault="009B5E39" w:rsidP="009B5E39">
      <w:pPr>
        <w:ind w:left="284" w:right="283"/>
        <w:jc w:val="both"/>
        <w:rPr>
          <w:rFonts w:ascii="Gotham" w:hAnsi="Gotham" w:cs="Arial"/>
          <w:b/>
          <w:sz w:val="19"/>
          <w:szCs w:val="19"/>
        </w:rPr>
      </w:pPr>
    </w:p>
    <w:p w14:paraId="3A4746FC"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49. </w:t>
      </w:r>
      <w:r w:rsidRPr="000228BA">
        <w:rPr>
          <w:rFonts w:ascii="Gotham" w:hAnsi="Gotham" w:cs="Arial"/>
          <w:sz w:val="19"/>
          <w:szCs w:val="19"/>
        </w:rPr>
        <w:t>Para la adecuada organización y conservación homogénea de los archivos municipales se contará con un Consejo Municipal en materia de Archivos, mismo que estará integrado por:</w:t>
      </w:r>
    </w:p>
    <w:p w14:paraId="3A4746FD" w14:textId="77777777" w:rsidR="009B5E39" w:rsidRPr="000228BA" w:rsidRDefault="009B5E39" w:rsidP="009B5E39">
      <w:pPr>
        <w:ind w:left="284" w:right="283"/>
        <w:jc w:val="both"/>
        <w:rPr>
          <w:rFonts w:ascii="Gotham" w:hAnsi="Gotham" w:cs="Arial"/>
          <w:sz w:val="19"/>
          <w:szCs w:val="19"/>
        </w:rPr>
      </w:pPr>
    </w:p>
    <w:p w14:paraId="3A4746FE"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 </w:t>
      </w:r>
      <w:r>
        <w:rPr>
          <w:rFonts w:ascii="Gotham" w:hAnsi="Gotham"/>
          <w:sz w:val="19"/>
          <w:szCs w:val="19"/>
        </w:rPr>
        <w:tab/>
      </w:r>
      <w:r w:rsidRPr="000228BA">
        <w:rPr>
          <w:rFonts w:ascii="Gotham" w:hAnsi="Gotham"/>
          <w:sz w:val="19"/>
          <w:szCs w:val="19"/>
        </w:rPr>
        <w:t>La o el titular de la Jefatura de Archivo General del municipio, quien estará a cargo de la Presidencia del Consejo;</w:t>
      </w:r>
    </w:p>
    <w:p w14:paraId="3A4746FF"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II. </w:t>
      </w:r>
      <w:r>
        <w:rPr>
          <w:rFonts w:ascii="Gotham" w:hAnsi="Gotham"/>
          <w:sz w:val="19"/>
          <w:szCs w:val="19"/>
        </w:rPr>
        <w:tab/>
      </w:r>
      <w:r w:rsidRPr="000228BA">
        <w:rPr>
          <w:rFonts w:ascii="Gotham" w:hAnsi="Gotham"/>
          <w:sz w:val="19"/>
          <w:szCs w:val="19"/>
        </w:rPr>
        <w:t>La o el titular o responsable de las oficialías de partes o de gestión documental del Municipio de Tonalá Jalisco, quién será la Secretaría Ejecutiva del Consejo;</w:t>
      </w:r>
    </w:p>
    <w:p w14:paraId="3A474700"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III. </w:t>
      </w:r>
      <w:r>
        <w:rPr>
          <w:rFonts w:ascii="Gotham" w:hAnsi="Gotham"/>
          <w:sz w:val="19"/>
          <w:szCs w:val="19"/>
        </w:rPr>
        <w:tab/>
      </w:r>
      <w:r w:rsidRPr="000228BA">
        <w:rPr>
          <w:rFonts w:ascii="Gotham" w:hAnsi="Gotham"/>
          <w:sz w:val="19"/>
          <w:szCs w:val="19"/>
        </w:rPr>
        <w:t>El o la titular de la Secretaria General;</w:t>
      </w:r>
    </w:p>
    <w:p w14:paraId="3A474701"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IV. </w:t>
      </w:r>
      <w:r>
        <w:rPr>
          <w:rFonts w:ascii="Gotham" w:hAnsi="Gotham"/>
          <w:sz w:val="19"/>
          <w:szCs w:val="19"/>
        </w:rPr>
        <w:tab/>
      </w:r>
      <w:r w:rsidRPr="000228BA">
        <w:rPr>
          <w:rFonts w:ascii="Gotham" w:hAnsi="Gotham"/>
          <w:sz w:val="19"/>
          <w:szCs w:val="19"/>
        </w:rPr>
        <w:t>La o el titular de la Dirección de Unidades Administrativas y Agencias Municipales;</w:t>
      </w:r>
    </w:p>
    <w:p w14:paraId="3A474702"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V. </w:t>
      </w:r>
      <w:r>
        <w:rPr>
          <w:rFonts w:ascii="Gotham" w:hAnsi="Gotham"/>
          <w:sz w:val="19"/>
          <w:szCs w:val="19"/>
        </w:rPr>
        <w:tab/>
      </w:r>
      <w:r w:rsidRPr="000228BA">
        <w:rPr>
          <w:rFonts w:ascii="Gotham" w:hAnsi="Gotham"/>
          <w:sz w:val="19"/>
          <w:szCs w:val="19"/>
        </w:rPr>
        <w:t>La o el titular de la Unidad de Transparencia;</w:t>
      </w:r>
    </w:p>
    <w:p w14:paraId="3A474703"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VI. </w:t>
      </w:r>
      <w:r>
        <w:rPr>
          <w:rFonts w:ascii="Gotham" w:hAnsi="Gotham"/>
          <w:sz w:val="19"/>
          <w:szCs w:val="19"/>
        </w:rPr>
        <w:tab/>
      </w:r>
      <w:r w:rsidRPr="000228BA">
        <w:rPr>
          <w:rFonts w:ascii="Gotham" w:hAnsi="Gotham"/>
          <w:sz w:val="19"/>
          <w:szCs w:val="19"/>
        </w:rPr>
        <w:t>La o el titular de la Contraloría Municipal;</w:t>
      </w:r>
    </w:p>
    <w:p w14:paraId="3A474704"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VII. </w:t>
      </w:r>
      <w:r>
        <w:rPr>
          <w:rFonts w:ascii="Gotham" w:hAnsi="Gotham"/>
          <w:sz w:val="19"/>
          <w:szCs w:val="19"/>
        </w:rPr>
        <w:tab/>
      </w:r>
      <w:r w:rsidRPr="000228BA">
        <w:rPr>
          <w:rFonts w:ascii="Gotham" w:hAnsi="Gotham"/>
          <w:sz w:val="19"/>
          <w:szCs w:val="19"/>
        </w:rPr>
        <w:t>Mediante invitación de la Presidencia del Consejo, hasta tres académicos representantes de diversos centros universitarios, considerando entre ellos el Centro Universitario de Tonalá de la Universidad de Guadalajara;</w:t>
      </w:r>
    </w:p>
    <w:p w14:paraId="3A474705"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VIII. </w:t>
      </w:r>
      <w:r>
        <w:rPr>
          <w:rFonts w:ascii="Gotham" w:hAnsi="Gotham"/>
          <w:sz w:val="19"/>
          <w:szCs w:val="19"/>
        </w:rPr>
        <w:tab/>
      </w:r>
      <w:r w:rsidRPr="000228BA">
        <w:rPr>
          <w:rFonts w:ascii="Gotham" w:hAnsi="Gotham"/>
          <w:color w:val="000000"/>
          <w:sz w:val="19"/>
          <w:szCs w:val="19"/>
          <w:lang w:eastAsia="es-MX"/>
        </w:rPr>
        <w:t>Mediante invitación de la Presidencia del Consejo, hasta cuatro r</w:t>
      </w:r>
      <w:r w:rsidRPr="000228BA">
        <w:rPr>
          <w:rFonts w:ascii="Gotham" w:hAnsi="Gotham"/>
          <w:sz w:val="19"/>
          <w:szCs w:val="19"/>
        </w:rPr>
        <w:t xml:space="preserve">epresentantes o responsables de diversos archivos privados; </w:t>
      </w:r>
    </w:p>
    <w:p w14:paraId="3A474706"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IX. </w:t>
      </w:r>
      <w:r>
        <w:rPr>
          <w:rFonts w:ascii="Gotham" w:hAnsi="Gotham"/>
          <w:sz w:val="19"/>
          <w:szCs w:val="19"/>
        </w:rPr>
        <w:tab/>
      </w:r>
      <w:r w:rsidRPr="000228BA">
        <w:rPr>
          <w:rFonts w:ascii="Gotham" w:hAnsi="Gotham"/>
          <w:sz w:val="19"/>
          <w:szCs w:val="19"/>
        </w:rPr>
        <w:t>El titular del área de Innovación Gubernamental (Informática y/o redes);</w:t>
      </w:r>
    </w:p>
    <w:p w14:paraId="3A474707"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X. </w:t>
      </w:r>
      <w:r>
        <w:rPr>
          <w:rFonts w:ascii="Gotham" w:hAnsi="Gotham"/>
          <w:sz w:val="19"/>
          <w:szCs w:val="19"/>
        </w:rPr>
        <w:tab/>
      </w:r>
      <w:r w:rsidRPr="000228BA">
        <w:rPr>
          <w:rFonts w:ascii="Gotham" w:hAnsi="Gotham"/>
          <w:sz w:val="19"/>
          <w:szCs w:val="19"/>
        </w:rPr>
        <w:t>Mediante invitación de la Presidencia del Consejo, hasta cinco ciudadanos preferentemente con licenciatura u oficio en áreas afines o tener conocimientos, habilidades, competencias y experiencia acreditada en archivística.</w:t>
      </w:r>
    </w:p>
    <w:p w14:paraId="3A474708" w14:textId="77777777" w:rsidR="009B5E39" w:rsidRPr="000228BA" w:rsidRDefault="009B5E39" w:rsidP="009B5E39">
      <w:pPr>
        <w:pStyle w:val="Estilo"/>
        <w:ind w:left="1134" w:right="283" w:hanging="850"/>
        <w:rPr>
          <w:rFonts w:ascii="Gotham" w:hAnsi="Gotham"/>
          <w:sz w:val="19"/>
          <w:szCs w:val="19"/>
        </w:rPr>
      </w:pPr>
      <w:r w:rsidRPr="000228BA">
        <w:rPr>
          <w:rFonts w:ascii="Gotham" w:hAnsi="Gotham"/>
          <w:sz w:val="19"/>
          <w:szCs w:val="19"/>
        </w:rPr>
        <w:t xml:space="preserve">XI. </w:t>
      </w:r>
      <w:r>
        <w:rPr>
          <w:rFonts w:ascii="Gotham" w:hAnsi="Gotham"/>
          <w:sz w:val="19"/>
          <w:szCs w:val="19"/>
        </w:rPr>
        <w:tab/>
      </w:r>
      <w:r w:rsidRPr="000228BA">
        <w:rPr>
          <w:rFonts w:ascii="Gotham" w:hAnsi="Gotham"/>
          <w:sz w:val="19"/>
          <w:szCs w:val="19"/>
        </w:rPr>
        <w:t>Mediante invitación de la Presidencia del Consejo, al titular del Archivo del Estado de Jalisco; así como del Archivo General de la Nación.</w:t>
      </w:r>
      <w:r w:rsidR="00883EC2">
        <w:rPr>
          <w:rFonts w:ascii="Gotham" w:hAnsi="Gotham"/>
          <w:sz w:val="19"/>
          <w:szCs w:val="19"/>
        </w:rPr>
        <w:t xml:space="preserve"> </w:t>
      </w:r>
    </w:p>
    <w:p w14:paraId="3A474709" w14:textId="77777777" w:rsidR="009B5E39" w:rsidRPr="000228BA" w:rsidRDefault="009B5E39" w:rsidP="009B5E39">
      <w:pPr>
        <w:pStyle w:val="Estilo"/>
        <w:ind w:left="284" w:right="283"/>
        <w:rPr>
          <w:rFonts w:ascii="Gotham" w:hAnsi="Gotham"/>
          <w:sz w:val="19"/>
          <w:szCs w:val="19"/>
        </w:rPr>
      </w:pPr>
    </w:p>
    <w:p w14:paraId="3A47470A"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Asimismo, la Presidencia del Consejo podrá determinar la integración de otras dependencias o miembros de la sociedad civil que se consideren apropiados para el buen desempeño del Consejo, los cuales solo tendrán derecho a voz pero no a voto.</w:t>
      </w:r>
    </w:p>
    <w:p w14:paraId="3A47470B" w14:textId="77777777" w:rsidR="009B5E39" w:rsidRDefault="009B5E39" w:rsidP="009B5E39">
      <w:pPr>
        <w:ind w:left="284" w:right="283"/>
        <w:jc w:val="both"/>
        <w:rPr>
          <w:rFonts w:ascii="Gotham" w:hAnsi="Gotham" w:cs="Arial"/>
          <w:b/>
          <w:sz w:val="19"/>
          <w:szCs w:val="19"/>
        </w:rPr>
      </w:pPr>
    </w:p>
    <w:p w14:paraId="3A47470C" w14:textId="77777777" w:rsidR="009B5E39" w:rsidRPr="000228BA" w:rsidRDefault="009B5E39" w:rsidP="009B5E39">
      <w:pPr>
        <w:ind w:left="284" w:right="283"/>
        <w:jc w:val="both"/>
        <w:rPr>
          <w:rFonts w:ascii="Gotham" w:eastAsia="Arial" w:hAnsi="Gotham" w:cs="Arial"/>
          <w:sz w:val="19"/>
          <w:szCs w:val="19"/>
        </w:rPr>
      </w:pPr>
      <w:r w:rsidRPr="000228BA">
        <w:rPr>
          <w:rFonts w:ascii="Gotham" w:hAnsi="Gotham" w:cs="Arial"/>
          <w:b/>
          <w:sz w:val="19"/>
          <w:szCs w:val="19"/>
        </w:rPr>
        <w:t xml:space="preserve">Artículo 50. </w:t>
      </w:r>
      <w:r w:rsidRPr="000228BA">
        <w:rPr>
          <w:rFonts w:ascii="Gotham" w:eastAsia="Arial" w:hAnsi="Gotham" w:cs="Arial"/>
          <w:sz w:val="19"/>
          <w:szCs w:val="19"/>
        </w:rPr>
        <w:t>Por cada uno de los integrantes del Consejo se deberá nombrar un suplente, estos nombramientos son de carácter honorífico y, por tanto, no remunerados.</w:t>
      </w:r>
    </w:p>
    <w:p w14:paraId="3A47470D" w14:textId="77777777" w:rsidR="009B5E39" w:rsidRDefault="009B5E39" w:rsidP="009B5E39">
      <w:pPr>
        <w:pStyle w:val="Estilo"/>
        <w:ind w:left="284" w:right="283"/>
        <w:rPr>
          <w:rFonts w:ascii="Gotham" w:hAnsi="Gotham"/>
          <w:b/>
          <w:sz w:val="19"/>
          <w:szCs w:val="19"/>
        </w:rPr>
      </w:pPr>
    </w:p>
    <w:p w14:paraId="3A47470E" w14:textId="77777777" w:rsidR="009B5E39" w:rsidRPr="000228BA" w:rsidRDefault="009B5E39" w:rsidP="009B5E39">
      <w:pPr>
        <w:pStyle w:val="Estilo"/>
        <w:ind w:left="284" w:right="283"/>
        <w:rPr>
          <w:rFonts w:ascii="Gotham" w:hAnsi="Gotham"/>
          <w:sz w:val="19"/>
          <w:szCs w:val="19"/>
        </w:rPr>
      </w:pPr>
      <w:r w:rsidRPr="000228BA">
        <w:rPr>
          <w:rFonts w:ascii="Gotham" w:hAnsi="Gotham"/>
          <w:b/>
          <w:sz w:val="19"/>
          <w:szCs w:val="19"/>
        </w:rPr>
        <w:t xml:space="preserve">Artículo 51. </w:t>
      </w:r>
      <w:r w:rsidRPr="000228BA">
        <w:rPr>
          <w:rFonts w:ascii="Gotham" w:hAnsi="Gotham"/>
          <w:sz w:val="19"/>
          <w:szCs w:val="19"/>
        </w:rPr>
        <w:t>El Consejo se deberá instalar preferentemente dentro de los primeros 90 días de iniciado el periodo de cada administración municipal.</w:t>
      </w:r>
    </w:p>
    <w:p w14:paraId="3A47470F" w14:textId="77777777" w:rsidR="009B5E39" w:rsidRPr="000228BA" w:rsidRDefault="009B5E39" w:rsidP="009B5E39">
      <w:pPr>
        <w:pStyle w:val="Estilo"/>
        <w:ind w:left="284" w:right="283"/>
        <w:rPr>
          <w:rFonts w:ascii="Gotham" w:hAnsi="Gotham"/>
          <w:sz w:val="19"/>
          <w:szCs w:val="19"/>
        </w:rPr>
      </w:pPr>
    </w:p>
    <w:p w14:paraId="3A474710" w14:textId="77777777" w:rsidR="009B5E39" w:rsidRPr="000228BA" w:rsidRDefault="009B5E39" w:rsidP="009B5E39">
      <w:pPr>
        <w:ind w:left="284" w:right="283"/>
        <w:jc w:val="both"/>
        <w:rPr>
          <w:rFonts w:ascii="Gotham" w:hAnsi="Gotham" w:cs="Arial"/>
          <w:color w:val="000000"/>
          <w:sz w:val="19"/>
          <w:szCs w:val="19"/>
          <w:lang w:eastAsia="es-MX"/>
        </w:rPr>
      </w:pPr>
      <w:r w:rsidRPr="000228BA">
        <w:rPr>
          <w:rFonts w:ascii="Gotham" w:hAnsi="Gotham" w:cs="Arial"/>
          <w:b/>
          <w:sz w:val="19"/>
          <w:szCs w:val="19"/>
        </w:rPr>
        <w:lastRenderedPageBreak/>
        <w:t xml:space="preserve">Artículo 52. </w:t>
      </w:r>
      <w:r w:rsidRPr="000228BA">
        <w:rPr>
          <w:rFonts w:ascii="Gotham" w:eastAsia="Arial" w:hAnsi="Gotham" w:cs="Arial"/>
          <w:sz w:val="19"/>
          <w:szCs w:val="19"/>
        </w:rPr>
        <w:t>El</w:t>
      </w:r>
      <w:r w:rsidRPr="000228BA">
        <w:rPr>
          <w:rFonts w:ascii="Gotham" w:eastAsia="Arial" w:hAnsi="Gotham" w:cs="Arial"/>
          <w:spacing w:val="19"/>
          <w:sz w:val="19"/>
          <w:szCs w:val="19"/>
        </w:rPr>
        <w:t xml:space="preserve"> </w:t>
      </w:r>
      <w:r w:rsidRPr="000228BA">
        <w:rPr>
          <w:rFonts w:ascii="Gotham" w:eastAsia="Arial" w:hAnsi="Gotham" w:cs="Arial"/>
          <w:sz w:val="19"/>
          <w:szCs w:val="19"/>
        </w:rPr>
        <w:t>Co</w:t>
      </w:r>
      <w:r w:rsidRPr="000228BA">
        <w:rPr>
          <w:rFonts w:ascii="Gotham" w:eastAsia="Arial" w:hAnsi="Gotham" w:cs="Arial"/>
          <w:spacing w:val="1"/>
          <w:sz w:val="19"/>
          <w:szCs w:val="19"/>
        </w:rPr>
        <w:t>n</w:t>
      </w:r>
      <w:r w:rsidRPr="000228BA">
        <w:rPr>
          <w:rFonts w:ascii="Gotham" w:eastAsia="Arial" w:hAnsi="Gotham" w:cs="Arial"/>
          <w:spacing w:val="2"/>
          <w:sz w:val="19"/>
          <w:szCs w:val="19"/>
        </w:rPr>
        <w:t>s</w:t>
      </w:r>
      <w:r w:rsidRPr="000228BA">
        <w:rPr>
          <w:rFonts w:ascii="Gotham" w:eastAsia="Arial" w:hAnsi="Gotham" w:cs="Arial"/>
          <w:spacing w:val="1"/>
          <w:sz w:val="19"/>
          <w:szCs w:val="19"/>
        </w:rPr>
        <w:t>e</w:t>
      </w:r>
      <w:r w:rsidRPr="000228BA">
        <w:rPr>
          <w:rFonts w:ascii="Gotham" w:eastAsia="Arial" w:hAnsi="Gotham" w:cs="Arial"/>
          <w:sz w:val="19"/>
          <w:szCs w:val="19"/>
        </w:rPr>
        <w:t>jo</w:t>
      </w:r>
      <w:r w:rsidRPr="000228BA">
        <w:rPr>
          <w:rFonts w:ascii="Gotham" w:eastAsia="Arial" w:hAnsi="Gotham" w:cs="Arial"/>
          <w:spacing w:val="20"/>
          <w:sz w:val="19"/>
          <w:szCs w:val="19"/>
        </w:rPr>
        <w:t xml:space="preserve"> </w:t>
      </w:r>
      <w:r w:rsidRPr="000228BA">
        <w:rPr>
          <w:rFonts w:ascii="Gotham" w:eastAsia="Arial" w:hAnsi="Gotham" w:cs="Arial"/>
          <w:sz w:val="19"/>
          <w:szCs w:val="19"/>
        </w:rPr>
        <w:t>se</w:t>
      </w:r>
      <w:r w:rsidRPr="000228BA">
        <w:rPr>
          <w:rFonts w:ascii="Gotham" w:eastAsia="Arial" w:hAnsi="Gotham" w:cs="Arial"/>
          <w:spacing w:val="20"/>
          <w:sz w:val="19"/>
          <w:szCs w:val="19"/>
        </w:rPr>
        <w:t xml:space="preserve">sionará de forma ordinaria </w:t>
      </w:r>
      <w:r w:rsidRPr="000228BA">
        <w:rPr>
          <w:rFonts w:ascii="Gotham" w:eastAsia="Arial" w:hAnsi="Gotham" w:cs="Arial"/>
          <w:spacing w:val="1"/>
          <w:sz w:val="19"/>
          <w:szCs w:val="19"/>
        </w:rPr>
        <w:t>a</w:t>
      </w:r>
      <w:r w:rsidRPr="000228BA">
        <w:rPr>
          <w:rFonts w:ascii="Gotham" w:eastAsia="Arial" w:hAnsi="Gotham" w:cs="Arial"/>
          <w:sz w:val="19"/>
          <w:szCs w:val="19"/>
        </w:rPr>
        <w:t>l</w:t>
      </w:r>
      <w:r w:rsidRPr="000228BA">
        <w:rPr>
          <w:rFonts w:ascii="Gotham" w:eastAsia="Arial" w:hAnsi="Gotham" w:cs="Arial"/>
          <w:spacing w:val="19"/>
          <w:sz w:val="19"/>
          <w:szCs w:val="19"/>
        </w:rPr>
        <w:t xml:space="preserve"> </w:t>
      </w:r>
      <w:r w:rsidRPr="000228BA">
        <w:rPr>
          <w:rFonts w:ascii="Gotham" w:eastAsia="Arial" w:hAnsi="Gotham" w:cs="Arial"/>
          <w:spacing w:val="1"/>
          <w:sz w:val="19"/>
          <w:szCs w:val="19"/>
        </w:rPr>
        <w:t>meno</w:t>
      </w:r>
      <w:r w:rsidRPr="000228BA">
        <w:rPr>
          <w:rFonts w:ascii="Gotham" w:eastAsia="Arial" w:hAnsi="Gotham" w:cs="Arial"/>
          <w:sz w:val="19"/>
          <w:szCs w:val="19"/>
        </w:rPr>
        <w:t>s</w:t>
      </w:r>
      <w:r w:rsidRPr="000228BA">
        <w:rPr>
          <w:rFonts w:ascii="Gotham" w:eastAsia="Arial" w:hAnsi="Gotham" w:cs="Arial"/>
          <w:spacing w:val="20"/>
          <w:sz w:val="19"/>
          <w:szCs w:val="19"/>
        </w:rPr>
        <w:t xml:space="preserve"> </w:t>
      </w:r>
      <w:r w:rsidRPr="000228BA">
        <w:rPr>
          <w:rFonts w:ascii="Gotham" w:eastAsia="Arial" w:hAnsi="Gotham" w:cs="Arial"/>
          <w:spacing w:val="1"/>
          <w:sz w:val="19"/>
          <w:szCs w:val="19"/>
        </w:rPr>
        <w:t>u</w:t>
      </w:r>
      <w:r w:rsidRPr="000228BA">
        <w:rPr>
          <w:rFonts w:ascii="Gotham" w:eastAsia="Arial" w:hAnsi="Gotham" w:cs="Arial"/>
          <w:spacing w:val="-1"/>
          <w:sz w:val="19"/>
          <w:szCs w:val="19"/>
        </w:rPr>
        <w:t>n</w:t>
      </w:r>
      <w:r w:rsidRPr="000228BA">
        <w:rPr>
          <w:rFonts w:ascii="Gotham" w:eastAsia="Arial" w:hAnsi="Gotham" w:cs="Arial"/>
          <w:sz w:val="19"/>
          <w:szCs w:val="19"/>
        </w:rPr>
        <w:t>a</w:t>
      </w:r>
      <w:r w:rsidRPr="000228BA">
        <w:rPr>
          <w:rFonts w:ascii="Gotham" w:eastAsia="Arial" w:hAnsi="Gotham" w:cs="Arial"/>
          <w:spacing w:val="20"/>
          <w:sz w:val="19"/>
          <w:szCs w:val="19"/>
        </w:rPr>
        <w:t xml:space="preserve"> </w:t>
      </w:r>
      <w:r w:rsidRPr="000228BA">
        <w:rPr>
          <w:rFonts w:ascii="Gotham" w:eastAsia="Arial" w:hAnsi="Gotham" w:cs="Arial"/>
          <w:spacing w:val="-2"/>
          <w:sz w:val="19"/>
          <w:szCs w:val="19"/>
        </w:rPr>
        <w:t>v</w:t>
      </w:r>
      <w:r w:rsidRPr="000228BA">
        <w:rPr>
          <w:rFonts w:ascii="Gotham" w:eastAsia="Arial" w:hAnsi="Gotham" w:cs="Arial"/>
          <w:spacing w:val="1"/>
          <w:sz w:val="19"/>
          <w:szCs w:val="19"/>
        </w:rPr>
        <w:t>e</w:t>
      </w:r>
      <w:r w:rsidRPr="000228BA">
        <w:rPr>
          <w:rFonts w:ascii="Gotham" w:eastAsia="Arial" w:hAnsi="Gotham" w:cs="Arial"/>
          <w:sz w:val="19"/>
          <w:szCs w:val="19"/>
        </w:rPr>
        <w:t>z</w:t>
      </w:r>
      <w:r w:rsidRPr="000228BA">
        <w:rPr>
          <w:rFonts w:ascii="Gotham" w:eastAsia="Arial" w:hAnsi="Gotham" w:cs="Arial"/>
          <w:spacing w:val="22"/>
          <w:sz w:val="19"/>
          <w:szCs w:val="19"/>
        </w:rPr>
        <w:t xml:space="preserve"> </w:t>
      </w:r>
      <w:r w:rsidRPr="000228BA">
        <w:rPr>
          <w:rFonts w:ascii="Gotham" w:eastAsia="Arial" w:hAnsi="Gotham" w:cs="Arial"/>
          <w:sz w:val="19"/>
          <w:szCs w:val="19"/>
        </w:rPr>
        <w:t>c</w:t>
      </w:r>
      <w:r w:rsidRPr="000228BA">
        <w:rPr>
          <w:rFonts w:ascii="Gotham" w:eastAsia="Arial" w:hAnsi="Gotham" w:cs="Arial"/>
          <w:spacing w:val="1"/>
          <w:sz w:val="19"/>
          <w:szCs w:val="19"/>
        </w:rPr>
        <w:t>ad</w:t>
      </w:r>
      <w:r w:rsidRPr="000228BA">
        <w:rPr>
          <w:rFonts w:ascii="Gotham" w:eastAsia="Arial" w:hAnsi="Gotham" w:cs="Arial"/>
          <w:sz w:val="19"/>
          <w:szCs w:val="19"/>
        </w:rPr>
        <w:t>a</w:t>
      </w:r>
      <w:r w:rsidRPr="000228BA">
        <w:rPr>
          <w:rFonts w:ascii="Gotham" w:eastAsia="Arial" w:hAnsi="Gotham" w:cs="Arial"/>
          <w:spacing w:val="20"/>
          <w:sz w:val="19"/>
          <w:szCs w:val="19"/>
        </w:rPr>
        <w:t xml:space="preserve"> </w:t>
      </w:r>
      <w:r w:rsidRPr="000228BA">
        <w:rPr>
          <w:rFonts w:ascii="Gotham" w:eastAsia="Arial" w:hAnsi="Gotham" w:cs="Arial"/>
          <w:spacing w:val="9"/>
          <w:sz w:val="19"/>
          <w:szCs w:val="19"/>
        </w:rPr>
        <w:t>s</w:t>
      </w:r>
      <w:r w:rsidRPr="000228BA">
        <w:rPr>
          <w:rFonts w:ascii="Gotham" w:eastAsia="Arial" w:hAnsi="Gotham" w:cs="Arial"/>
          <w:spacing w:val="-1"/>
          <w:sz w:val="19"/>
          <w:szCs w:val="19"/>
        </w:rPr>
        <w:t>e</w:t>
      </w:r>
      <w:r w:rsidRPr="000228BA">
        <w:rPr>
          <w:rFonts w:ascii="Gotham" w:eastAsia="Arial" w:hAnsi="Gotham" w:cs="Arial"/>
          <w:spacing w:val="1"/>
          <w:sz w:val="19"/>
          <w:szCs w:val="19"/>
        </w:rPr>
        <w:t>me</w:t>
      </w:r>
      <w:r w:rsidRPr="000228BA">
        <w:rPr>
          <w:rFonts w:ascii="Gotham" w:eastAsia="Arial" w:hAnsi="Gotham" w:cs="Arial"/>
          <w:sz w:val="19"/>
          <w:szCs w:val="19"/>
        </w:rPr>
        <w:t>st</w:t>
      </w:r>
      <w:r w:rsidRPr="000228BA">
        <w:rPr>
          <w:rFonts w:ascii="Gotham" w:eastAsia="Arial" w:hAnsi="Gotham" w:cs="Arial"/>
          <w:spacing w:val="-3"/>
          <w:sz w:val="19"/>
          <w:szCs w:val="19"/>
        </w:rPr>
        <w:t>r</w:t>
      </w:r>
      <w:r w:rsidRPr="000228BA">
        <w:rPr>
          <w:rFonts w:ascii="Gotham" w:eastAsia="Arial" w:hAnsi="Gotham" w:cs="Arial"/>
          <w:spacing w:val="-1"/>
          <w:sz w:val="19"/>
          <w:szCs w:val="19"/>
        </w:rPr>
        <w:t>e</w:t>
      </w:r>
      <w:r w:rsidRPr="000228BA">
        <w:rPr>
          <w:rFonts w:ascii="Gotham" w:eastAsia="Arial" w:hAnsi="Gotham" w:cs="Arial"/>
          <w:sz w:val="19"/>
          <w:szCs w:val="19"/>
        </w:rPr>
        <w:t xml:space="preserve"> y de forma extraordinaria</w:t>
      </w:r>
      <w:r w:rsidRPr="000228BA">
        <w:rPr>
          <w:rFonts w:ascii="Gotham" w:eastAsia="Arial" w:hAnsi="Gotham" w:cs="Arial"/>
          <w:spacing w:val="16"/>
          <w:sz w:val="19"/>
          <w:szCs w:val="19"/>
        </w:rPr>
        <w:t xml:space="preserve"> </w:t>
      </w:r>
      <w:r w:rsidRPr="000228BA">
        <w:rPr>
          <w:rFonts w:ascii="Gotham" w:eastAsia="Arial" w:hAnsi="Gotham" w:cs="Arial"/>
          <w:spacing w:val="-2"/>
          <w:sz w:val="19"/>
          <w:szCs w:val="19"/>
        </w:rPr>
        <w:t>c</w:t>
      </w:r>
      <w:r w:rsidRPr="000228BA">
        <w:rPr>
          <w:rFonts w:ascii="Gotham" w:eastAsia="Arial" w:hAnsi="Gotham" w:cs="Arial"/>
          <w:spacing w:val="1"/>
          <w:sz w:val="19"/>
          <w:szCs w:val="19"/>
        </w:rPr>
        <w:t>u</w:t>
      </w:r>
      <w:r w:rsidRPr="000228BA">
        <w:rPr>
          <w:rFonts w:ascii="Gotham" w:eastAsia="Arial" w:hAnsi="Gotham" w:cs="Arial"/>
          <w:spacing w:val="-1"/>
          <w:sz w:val="19"/>
          <w:szCs w:val="19"/>
        </w:rPr>
        <w:t>a</w:t>
      </w:r>
      <w:r w:rsidRPr="000228BA">
        <w:rPr>
          <w:rFonts w:ascii="Gotham" w:eastAsia="Arial" w:hAnsi="Gotham" w:cs="Arial"/>
          <w:spacing w:val="1"/>
          <w:sz w:val="19"/>
          <w:szCs w:val="19"/>
        </w:rPr>
        <w:t>n</w:t>
      </w:r>
      <w:r w:rsidRPr="000228BA">
        <w:rPr>
          <w:rFonts w:ascii="Gotham" w:eastAsia="Arial" w:hAnsi="Gotham" w:cs="Arial"/>
          <w:sz w:val="19"/>
          <w:szCs w:val="19"/>
        </w:rPr>
        <w:t>t</w:t>
      </w:r>
      <w:r w:rsidRPr="000228BA">
        <w:rPr>
          <w:rFonts w:ascii="Gotham" w:eastAsia="Arial" w:hAnsi="Gotham" w:cs="Arial"/>
          <w:spacing w:val="1"/>
          <w:sz w:val="19"/>
          <w:szCs w:val="19"/>
        </w:rPr>
        <w:t>a</w:t>
      </w:r>
      <w:r w:rsidRPr="000228BA">
        <w:rPr>
          <w:rFonts w:ascii="Gotham" w:eastAsia="Arial" w:hAnsi="Gotham" w:cs="Arial"/>
          <w:sz w:val="19"/>
          <w:szCs w:val="19"/>
        </w:rPr>
        <w:t>s</w:t>
      </w:r>
      <w:r w:rsidRPr="000228BA">
        <w:rPr>
          <w:rFonts w:ascii="Gotham" w:eastAsia="Arial" w:hAnsi="Gotham" w:cs="Arial"/>
          <w:spacing w:val="16"/>
          <w:sz w:val="19"/>
          <w:szCs w:val="19"/>
        </w:rPr>
        <w:t xml:space="preserve"> </w:t>
      </w:r>
      <w:r w:rsidRPr="000228BA">
        <w:rPr>
          <w:rFonts w:ascii="Gotham" w:eastAsia="Arial" w:hAnsi="Gotham" w:cs="Arial"/>
          <w:spacing w:val="-2"/>
          <w:sz w:val="19"/>
          <w:szCs w:val="19"/>
        </w:rPr>
        <w:t>v</w:t>
      </w:r>
      <w:r w:rsidRPr="000228BA">
        <w:rPr>
          <w:rFonts w:ascii="Gotham" w:eastAsia="Arial" w:hAnsi="Gotham" w:cs="Arial"/>
          <w:spacing w:val="1"/>
          <w:sz w:val="19"/>
          <w:szCs w:val="19"/>
        </w:rPr>
        <w:t>e</w:t>
      </w:r>
      <w:r w:rsidRPr="000228BA">
        <w:rPr>
          <w:rFonts w:ascii="Gotham" w:eastAsia="Arial" w:hAnsi="Gotham" w:cs="Arial"/>
          <w:sz w:val="19"/>
          <w:szCs w:val="19"/>
        </w:rPr>
        <w:t>c</w:t>
      </w:r>
      <w:r w:rsidRPr="000228BA">
        <w:rPr>
          <w:rFonts w:ascii="Gotham" w:eastAsia="Arial" w:hAnsi="Gotham" w:cs="Arial"/>
          <w:spacing w:val="1"/>
          <w:sz w:val="19"/>
          <w:szCs w:val="19"/>
        </w:rPr>
        <w:t>e</w:t>
      </w:r>
      <w:r w:rsidRPr="000228BA">
        <w:rPr>
          <w:rFonts w:ascii="Gotham" w:eastAsia="Arial" w:hAnsi="Gotham" w:cs="Arial"/>
          <w:sz w:val="19"/>
          <w:szCs w:val="19"/>
        </w:rPr>
        <w:t>s</w:t>
      </w:r>
      <w:r w:rsidRPr="000228BA">
        <w:rPr>
          <w:rFonts w:ascii="Gotham" w:eastAsia="Arial" w:hAnsi="Gotham" w:cs="Arial"/>
          <w:spacing w:val="15"/>
          <w:sz w:val="19"/>
          <w:szCs w:val="19"/>
        </w:rPr>
        <w:t xml:space="preserve"> </w:t>
      </w:r>
      <w:r w:rsidRPr="000228BA">
        <w:rPr>
          <w:rFonts w:ascii="Gotham" w:eastAsia="Arial" w:hAnsi="Gotham" w:cs="Arial"/>
          <w:spacing w:val="-2"/>
          <w:sz w:val="19"/>
          <w:szCs w:val="19"/>
        </w:rPr>
        <w:t>s</w:t>
      </w:r>
      <w:r w:rsidRPr="000228BA">
        <w:rPr>
          <w:rFonts w:ascii="Gotham" w:eastAsia="Arial" w:hAnsi="Gotham" w:cs="Arial"/>
          <w:spacing w:val="1"/>
          <w:sz w:val="19"/>
          <w:szCs w:val="19"/>
        </w:rPr>
        <w:t>e</w:t>
      </w:r>
      <w:r w:rsidRPr="000228BA">
        <w:rPr>
          <w:rFonts w:ascii="Gotham" w:eastAsia="Arial" w:hAnsi="Gotham" w:cs="Arial"/>
          <w:sz w:val="19"/>
          <w:szCs w:val="19"/>
        </w:rPr>
        <w:t xml:space="preserve">a </w:t>
      </w:r>
      <w:r w:rsidRPr="000228BA">
        <w:rPr>
          <w:rFonts w:ascii="Gotham" w:eastAsia="Arial" w:hAnsi="Gotham" w:cs="Arial"/>
          <w:spacing w:val="1"/>
          <w:sz w:val="19"/>
          <w:szCs w:val="19"/>
        </w:rPr>
        <w:t>ne</w:t>
      </w:r>
      <w:r w:rsidRPr="000228BA">
        <w:rPr>
          <w:rFonts w:ascii="Gotham" w:eastAsia="Arial" w:hAnsi="Gotham" w:cs="Arial"/>
          <w:sz w:val="19"/>
          <w:szCs w:val="19"/>
        </w:rPr>
        <w:t>c</w:t>
      </w:r>
      <w:r w:rsidRPr="000228BA">
        <w:rPr>
          <w:rFonts w:ascii="Gotham" w:eastAsia="Arial" w:hAnsi="Gotham" w:cs="Arial"/>
          <w:spacing w:val="1"/>
          <w:sz w:val="19"/>
          <w:szCs w:val="19"/>
        </w:rPr>
        <w:t>e</w:t>
      </w:r>
      <w:r w:rsidRPr="000228BA">
        <w:rPr>
          <w:rFonts w:ascii="Gotham" w:eastAsia="Arial" w:hAnsi="Gotham" w:cs="Arial"/>
          <w:spacing w:val="-2"/>
          <w:sz w:val="19"/>
          <w:szCs w:val="19"/>
        </w:rPr>
        <w:t>s</w:t>
      </w:r>
      <w:r w:rsidRPr="000228BA">
        <w:rPr>
          <w:rFonts w:ascii="Gotham" w:eastAsia="Arial" w:hAnsi="Gotham" w:cs="Arial"/>
          <w:spacing w:val="1"/>
          <w:sz w:val="19"/>
          <w:szCs w:val="19"/>
        </w:rPr>
        <w:t>a</w:t>
      </w:r>
      <w:r w:rsidRPr="000228BA">
        <w:rPr>
          <w:rFonts w:ascii="Gotham" w:eastAsia="Arial" w:hAnsi="Gotham" w:cs="Arial"/>
          <w:sz w:val="19"/>
          <w:szCs w:val="19"/>
        </w:rPr>
        <w:t>r</w:t>
      </w:r>
      <w:r w:rsidRPr="000228BA">
        <w:rPr>
          <w:rFonts w:ascii="Gotham" w:eastAsia="Arial" w:hAnsi="Gotham" w:cs="Arial"/>
          <w:spacing w:val="-1"/>
          <w:sz w:val="19"/>
          <w:szCs w:val="19"/>
        </w:rPr>
        <w:t>i</w:t>
      </w:r>
      <w:r w:rsidRPr="000228BA">
        <w:rPr>
          <w:rFonts w:ascii="Gotham" w:eastAsia="Arial" w:hAnsi="Gotham" w:cs="Arial"/>
          <w:spacing w:val="1"/>
          <w:sz w:val="19"/>
          <w:szCs w:val="19"/>
        </w:rPr>
        <w:t xml:space="preserve">o, </w:t>
      </w:r>
      <w:r w:rsidRPr="000228BA">
        <w:rPr>
          <w:rFonts w:ascii="Gotham" w:eastAsia="Arial" w:hAnsi="Gotham" w:cs="Arial"/>
          <w:sz w:val="19"/>
          <w:szCs w:val="19"/>
        </w:rPr>
        <w:t>a</w:t>
      </w:r>
      <w:r w:rsidRPr="000228BA">
        <w:rPr>
          <w:rFonts w:ascii="Gotham" w:eastAsia="Arial" w:hAnsi="Gotham" w:cs="Arial"/>
          <w:spacing w:val="1"/>
          <w:sz w:val="19"/>
          <w:szCs w:val="19"/>
        </w:rPr>
        <w:t xml:space="preserve"> </w:t>
      </w:r>
      <w:r w:rsidRPr="000228BA">
        <w:rPr>
          <w:rFonts w:ascii="Gotham" w:eastAsia="Arial" w:hAnsi="Gotham" w:cs="Arial"/>
          <w:spacing w:val="-2"/>
          <w:sz w:val="19"/>
          <w:szCs w:val="19"/>
        </w:rPr>
        <w:t>i</w:t>
      </w:r>
      <w:r w:rsidRPr="000228BA">
        <w:rPr>
          <w:rFonts w:ascii="Gotham" w:eastAsia="Arial" w:hAnsi="Gotham" w:cs="Arial"/>
          <w:spacing w:val="1"/>
          <w:sz w:val="19"/>
          <w:szCs w:val="19"/>
        </w:rPr>
        <w:t>n</w:t>
      </w:r>
      <w:r w:rsidRPr="000228BA">
        <w:rPr>
          <w:rFonts w:ascii="Gotham" w:eastAsia="Arial" w:hAnsi="Gotham" w:cs="Arial"/>
          <w:sz w:val="19"/>
          <w:szCs w:val="19"/>
        </w:rPr>
        <w:t>ic</w:t>
      </w:r>
      <w:r w:rsidRPr="000228BA">
        <w:rPr>
          <w:rFonts w:ascii="Gotham" w:eastAsia="Arial" w:hAnsi="Gotham" w:cs="Arial"/>
          <w:spacing w:val="-1"/>
          <w:sz w:val="19"/>
          <w:szCs w:val="19"/>
        </w:rPr>
        <w:t>i</w:t>
      </w:r>
      <w:r w:rsidRPr="000228BA">
        <w:rPr>
          <w:rFonts w:ascii="Gotham" w:eastAsia="Arial" w:hAnsi="Gotham" w:cs="Arial"/>
          <w:spacing w:val="1"/>
          <w:sz w:val="19"/>
          <w:szCs w:val="19"/>
        </w:rPr>
        <w:t>a</w:t>
      </w:r>
      <w:r w:rsidRPr="000228BA">
        <w:rPr>
          <w:rFonts w:ascii="Gotham" w:eastAsia="Arial" w:hAnsi="Gotham" w:cs="Arial"/>
          <w:sz w:val="19"/>
          <w:szCs w:val="19"/>
        </w:rPr>
        <w:t>ti</w:t>
      </w:r>
      <w:r w:rsidRPr="000228BA">
        <w:rPr>
          <w:rFonts w:ascii="Gotham" w:eastAsia="Arial" w:hAnsi="Gotham" w:cs="Arial"/>
          <w:spacing w:val="-2"/>
          <w:sz w:val="19"/>
          <w:szCs w:val="19"/>
        </w:rPr>
        <w:t>v</w:t>
      </w:r>
      <w:r w:rsidRPr="000228BA">
        <w:rPr>
          <w:rFonts w:ascii="Gotham" w:eastAsia="Arial" w:hAnsi="Gotham" w:cs="Arial"/>
          <w:sz w:val="19"/>
          <w:szCs w:val="19"/>
        </w:rPr>
        <w:t>a</w:t>
      </w:r>
      <w:r w:rsidRPr="000228BA">
        <w:rPr>
          <w:rFonts w:ascii="Gotham" w:eastAsia="Arial" w:hAnsi="Gotham" w:cs="Arial"/>
          <w:spacing w:val="1"/>
          <w:sz w:val="19"/>
          <w:szCs w:val="19"/>
        </w:rPr>
        <w:t xml:space="preserve"> de la</w:t>
      </w:r>
      <w:r w:rsidRPr="000228BA">
        <w:rPr>
          <w:rFonts w:ascii="Gotham" w:eastAsia="Arial" w:hAnsi="Gotham" w:cs="Arial"/>
          <w:sz w:val="19"/>
          <w:szCs w:val="19"/>
        </w:rPr>
        <w:t xml:space="preserve"> Presidencia</w:t>
      </w:r>
      <w:r w:rsidRPr="000228BA">
        <w:rPr>
          <w:rFonts w:ascii="Gotham" w:eastAsia="Arial" w:hAnsi="Gotham" w:cs="Arial"/>
          <w:spacing w:val="1"/>
          <w:sz w:val="19"/>
          <w:szCs w:val="19"/>
        </w:rPr>
        <w:t xml:space="preserve"> </w:t>
      </w:r>
      <w:r w:rsidRPr="000228BA">
        <w:rPr>
          <w:rFonts w:ascii="Gotham" w:eastAsia="Arial" w:hAnsi="Gotham" w:cs="Arial"/>
          <w:sz w:val="19"/>
          <w:szCs w:val="19"/>
        </w:rPr>
        <w:t xml:space="preserve">o </w:t>
      </w:r>
      <w:r w:rsidRPr="000228BA">
        <w:rPr>
          <w:rFonts w:ascii="Gotham" w:eastAsia="Arial" w:hAnsi="Gotham" w:cs="Arial"/>
          <w:spacing w:val="1"/>
          <w:sz w:val="19"/>
          <w:szCs w:val="19"/>
        </w:rPr>
        <w:t>d</w:t>
      </w:r>
      <w:r w:rsidRPr="000228BA">
        <w:rPr>
          <w:rFonts w:ascii="Gotham" w:eastAsia="Arial" w:hAnsi="Gotham" w:cs="Arial"/>
          <w:sz w:val="19"/>
          <w:szCs w:val="19"/>
        </w:rPr>
        <w:t>e</w:t>
      </w:r>
      <w:r w:rsidRPr="000228BA">
        <w:rPr>
          <w:rFonts w:ascii="Gotham" w:eastAsia="Arial" w:hAnsi="Gotham" w:cs="Arial"/>
          <w:spacing w:val="1"/>
          <w:sz w:val="19"/>
          <w:szCs w:val="19"/>
        </w:rPr>
        <w:t xml:space="preserve"> </w:t>
      </w:r>
      <w:r w:rsidRPr="000228BA">
        <w:rPr>
          <w:rFonts w:ascii="Gotham" w:eastAsia="Arial" w:hAnsi="Gotham" w:cs="Arial"/>
          <w:spacing w:val="-2"/>
          <w:sz w:val="19"/>
          <w:szCs w:val="19"/>
        </w:rPr>
        <w:t>l</w:t>
      </w:r>
      <w:r w:rsidRPr="000228BA">
        <w:rPr>
          <w:rFonts w:ascii="Gotham" w:eastAsia="Arial" w:hAnsi="Gotham" w:cs="Arial"/>
          <w:sz w:val="19"/>
          <w:szCs w:val="19"/>
        </w:rPr>
        <w:t>a</w:t>
      </w:r>
      <w:r w:rsidRPr="000228BA">
        <w:rPr>
          <w:rFonts w:ascii="Gotham" w:eastAsia="Arial" w:hAnsi="Gotham" w:cs="Arial"/>
          <w:spacing w:val="-1"/>
          <w:sz w:val="19"/>
          <w:szCs w:val="19"/>
        </w:rPr>
        <w:t xml:space="preserve"> </w:t>
      </w:r>
      <w:r w:rsidRPr="000228BA">
        <w:rPr>
          <w:rFonts w:ascii="Gotham" w:eastAsia="Arial" w:hAnsi="Gotham" w:cs="Arial"/>
          <w:spacing w:val="1"/>
          <w:sz w:val="19"/>
          <w:szCs w:val="19"/>
        </w:rPr>
        <w:t>ma</w:t>
      </w:r>
      <w:r w:rsidRPr="000228BA">
        <w:rPr>
          <w:rFonts w:ascii="Gotham" w:eastAsia="Arial" w:hAnsi="Gotham" w:cs="Arial"/>
          <w:spacing w:val="-2"/>
          <w:sz w:val="19"/>
          <w:szCs w:val="19"/>
        </w:rPr>
        <w:t>y</w:t>
      </w:r>
      <w:r w:rsidRPr="000228BA">
        <w:rPr>
          <w:rFonts w:ascii="Gotham" w:eastAsia="Arial" w:hAnsi="Gotham" w:cs="Arial"/>
          <w:spacing w:val="1"/>
          <w:sz w:val="19"/>
          <w:szCs w:val="19"/>
        </w:rPr>
        <w:t>o</w:t>
      </w:r>
      <w:r w:rsidRPr="000228BA">
        <w:rPr>
          <w:rFonts w:ascii="Gotham" w:eastAsia="Arial" w:hAnsi="Gotham" w:cs="Arial"/>
          <w:sz w:val="19"/>
          <w:szCs w:val="19"/>
        </w:rPr>
        <w:t>r</w:t>
      </w:r>
      <w:r w:rsidRPr="000228BA">
        <w:rPr>
          <w:rFonts w:ascii="Gotham" w:eastAsia="Arial" w:hAnsi="Gotham" w:cs="Arial"/>
          <w:spacing w:val="-3"/>
          <w:sz w:val="19"/>
          <w:szCs w:val="19"/>
        </w:rPr>
        <w:t>í</w:t>
      </w:r>
      <w:r w:rsidRPr="000228BA">
        <w:rPr>
          <w:rFonts w:ascii="Gotham" w:eastAsia="Arial" w:hAnsi="Gotham" w:cs="Arial"/>
          <w:sz w:val="19"/>
          <w:szCs w:val="19"/>
        </w:rPr>
        <w:t>a</w:t>
      </w:r>
      <w:r w:rsidRPr="000228BA">
        <w:rPr>
          <w:rFonts w:ascii="Gotham" w:eastAsia="Arial" w:hAnsi="Gotham" w:cs="Arial"/>
          <w:spacing w:val="1"/>
          <w:sz w:val="19"/>
          <w:szCs w:val="19"/>
        </w:rPr>
        <w:t xml:space="preserve"> d</w:t>
      </w:r>
      <w:r w:rsidRPr="000228BA">
        <w:rPr>
          <w:rFonts w:ascii="Gotham" w:eastAsia="Arial" w:hAnsi="Gotham" w:cs="Arial"/>
          <w:sz w:val="19"/>
          <w:szCs w:val="19"/>
        </w:rPr>
        <w:t>e</w:t>
      </w:r>
      <w:r w:rsidRPr="000228BA">
        <w:rPr>
          <w:rFonts w:ascii="Gotham" w:eastAsia="Arial" w:hAnsi="Gotham" w:cs="Arial"/>
          <w:spacing w:val="1"/>
          <w:sz w:val="19"/>
          <w:szCs w:val="19"/>
        </w:rPr>
        <w:t xml:space="preserve"> </w:t>
      </w:r>
      <w:r w:rsidRPr="000228BA">
        <w:rPr>
          <w:rFonts w:ascii="Gotham" w:eastAsia="Arial" w:hAnsi="Gotham" w:cs="Arial"/>
          <w:sz w:val="19"/>
          <w:szCs w:val="19"/>
        </w:rPr>
        <w:t>l</w:t>
      </w:r>
      <w:r w:rsidRPr="000228BA">
        <w:rPr>
          <w:rFonts w:ascii="Gotham" w:eastAsia="Arial" w:hAnsi="Gotham" w:cs="Arial"/>
          <w:spacing w:val="1"/>
          <w:sz w:val="19"/>
          <w:szCs w:val="19"/>
        </w:rPr>
        <w:t>o</w:t>
      </w:r>
      <w:r w:rsidRPr="000228BA">
        <w:rPr>
          <w:rFonts w:ascii="Gotham" w:eastAsia="Arial" w:hAnsi="Gotham" w:cs="Arial"/>
          <w:sz w:val="19"/>
          <w:szCs w:val="19"/>
        </w:rPr>
        <w:t>s integrantes del Consejo y sus</w:t>
      </w:r>
      <w:r w:rsidRPr="000228BA">
        <w:rPr>
          <w:rFonts w:ascii="Gotham" w:hAnsi="Gotham" w:cs="Arial"/>
          <w:color w:val="000000"/>
          <w:sz w:val="19"/>
          <w:szCs w:val="19"/>
          <w:lang w:eastAsia="es-MX"/>
        </w:rPr>
        <w:t xml:space="preserve"> sesiones serán en todo momento públicas y abiertas.</w:t>
      </w:r>
    </w:p>
    <w:p w14:paraId="3A474711" w14:textId="77777777" w:rsidR="009B5E39" w:rsidRDefault="009B5E39" w:rsidP="009B5E39">
      <w:pPr>
        <w:ind w:left="284" w:right="283"/>
        <w:jc w:val="both"/>
        <w:rPr>
          <w:rFonts w:ascii="Gotham" w:hAnsi="Gotham" w:cs="Arial"/>
          <w:b/>
          <w:sz w:val="19"/>
          <w:szCs w:val="19"/>
        </w:rPr>
      </w:pPr>
    </w:p>
    <w:p w14:paraId="3A474712" w14:textId="77777777" w:rsidR="009B5E39" w:rsidRDefault="009B5E39" w:rsidP="009B5E39">
      <w:pPr>
        <w:ind w:left="284" w:right="283"/>
        <w:jc w:val="both"/>
        <w:rPr>
          <w:rFonts w:ascii="Gotham" w:eastAsia="Arial" w:hAnsi="Gotham" w:cs="Arial"/>
          <w:sz w:val="19"/>
          <w:szCs w:val="19"/>
        </w:rPr>
      </w:pPr>
      <w:r w:rsidRPr="000228BA">
        <w:rPr>
          <w:rFonts w:ascii="Gotham" w:hAnsi="Gotham" w:cs="Arial"/>
          <w:b/>
          <w:sz w:val="19"/>
          <w:szCs w:val="19"/>
        </w:rPr>
        <w:t xml:space="preserve">Artículo 53. </w:t>
      </w:r>
      <w:r w:rsidRPr="000228BA">
        <w:rPr>
          <w:rFonts w:ascii="Gotham" w:eastAsia="Arial" w:hAnsi="Gotham" w:cs="Arial"/>
          <w:sz w:val="19"/>
          <w:szCs w:val="19"/>
        </w:rPr>
        <w:t xml:space="preserve">Los integrantes del Consejo tendrán derecho a voz y voto, con excepción de la </w:t>
      </w:r>
      <w:r w:rsidRPr="000228BA">
        <w:rPr>
          <w:rFonts w:ascii="Gotham" w:hAnsi="Gotham" w:cs="Arial"/>
          <w:sz w:val="19"/>
          <w:szCs w:val="19"/>
        </w:rPr>
        <w:t>Secretaría Ejecutiva</w:t>
      </w:r>
      <w:r w:rsidRPr="000228BA">
        <w:rPr>
          <w:rFonts w:ascii="Gotham" w:eastAsia="Arial" w:hAnsi="Gotham" w:cs="Arial"/>
          <w:sz w:val="19"/>
          <w:szCs w:val="19"/>
        </w:rPr>
        <w:t xml:space="preserve"> quien sólo contará con derecho a voz.</w:t>
      </w:r>
    </w:p>
    <w:p w14:paraId="3A474713" w14:textId="77777777" w:rsidR="00C9405B" w:rsidRPr="000228BA" w:rsidRDefault="00C9405B" w:rsidP="009B5E39">
      <w:pPr>
        <w:ind w:left="284" w:right="283"/>
        <w:jc w:val="both"/>
        <w:rPr>
          <w:rFonts w:ascii="Gotham" w:eastAsia="Arial" w:hAnsi="Gotham" w:cs="Arial"/>
          <w:sz w:val="19"/>
          <w:szCs w:val="19"/>
        </w:rPr>
      </w:pPr>
    </w:p>
    <w:p w14:paraId="3A474714" w14:textId="77777777" w:rsidR="009B5E39" w:rsidRPr="000228BA" w:rsidRDefault="009B5E39" w:rsidP="009B5E39">
      <w:pPr>
        <w:ind w:left="284" w:right="283"/>
        <w:jc w:val="both"/>
        <w:rPr>
          <w:rFonts w:ascii="Gotham" w:eastAsia="Arial" w:hAnsi="Gotham" w:cs="Arial"/>
          <w:spacing w:val="1"/>
          <w:sz w:val="19"/>
          <w:szCs w:val="19"/>
        </w:rPr>
      </w:pPr>
      <w:r w:rsidRPr="000228BA">
        <w:rPr>
          <w:rFonts w:ascii="Gotham" w:eastAsia="Arial" w:hAnsi="Gotham" w:cs="Arial"/>
          <w:b/>
          <w:spacing w:val="1"/>
          <w:sz w:val="19"/>
          <w:szCs w:val="19"/>
        </w:rPr>
        <w:t xml:space="preserve">Artículo 54. </w:t>
      </w:r>
      <w:r w:rsidRPr="000228BA">
        <w:rPr>
          <w:rFonts w:ascii="Gotham" w:eastAsia="Arial" w:hAnsi="Gotham" w:cs="Arial"/>
          <w:spacing w:val="1"/>
          <w:sz w:val="19"/>
          <w:szCs w:val="19"/>
        </w:rPr>
        <w:t>Para todo lo relacionado a las sesiones del Consejo se estará a lo dispuesto y establecido en el Reglamento para el Funcionamiento Interno de Sesiones del Ayuntamiento de Tonalá, Jalisco y demás reglamentación y legislación vigente y aplicable en la materia.</w:t>
      </w:r>
    </w:p>
    <w:p w14:paraId="3A474715" w14:textId="77777777" w:rsidR="009B5E39" w:rsidRDefault="009B5E39" w:rsidP="009B5E39">
      <w:pPr>
        <w:pStyle w:val="Estilo"/>
        <w:ind w:left="284" w:right="283"/>
        <w:rPr>
          <w:rFonts w:ascii="Gotham" w:hAnsi="Gotham"/>
          <w:b/>
          <w:sz w:val="19"/>
          <w:szCs w:val="19"/>
        </w:rPr>
      </w:pPr>
    </w:p>
    <w:p w14:paraId="3A474716" w14:textId="77777777" w:rsidR="009B5E39" w:rsidRPr="000228BA" w:rsidRDefault="009B5E39" w:rsidP="009B5E39">
      <w:pPr>
        <w:pStyle w:val="Estilo"/>
        <w:ind w:left="284" w:right="283"/>
        <w:rPr>
          <w:rFonts w:ascii="Gotham" w:hAnsi="Gotham"/>
          <w:sz w:val="19"/>
          <w:szCs w:val="19"/>
        </w:rPr>
      </w:pPr>
      <w:r w:rsidRPr="000228BA">
        <w:rPr>
          <w:rFonts w:ascii="Gotham" w:hAnsi="Gotham"/>
          <w:b/>
          <w:sz w:val="19"/>
          <w:szCs w:val="19"/>
        </w:rPr>
        <w:t xml:space="preserve">Artículo 55.- </w:t>
      </w:r>
      <w:r w:rsidRPr="000228BA">
        <w:rPr>
          <w:rFonts w:ascii="Gotham" w:hAnsi="Gotham"/>
          <w:sz w:val="19"/>
          <w:szCs w:val="19"/>
        </w:rPr>
        <w:t>El Consejo tendrá las siguientes atribuciones:</w:t>
      </w:r>
    </w:p>
    <w:p w14:paraId="3A474717" w14:textId="77777777" w:rsidR="009B5E39" w:rsidRPr="000228BA" w:rsidRDefault="009B5E39" w:rsidP="009B5E39">
      <w:pPr>
        <w:pStyle w:val="Estilo"/>
        <w:ind w:left="284" w:right="283"/>
        <w:rPr>
          <w:rFonts w:ascii="Gotham" w:hAnsi="Gotham"/>
          <w:sz w:val="19"/>
          <w:szCs w:val="19"/>
        </w:rPr>
      </w:pPr>
    </w:p>
    <w:p w14:paraId="3A474718"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 </w:t>
      </w:r>
      <w:r>
        <w:rPr>
          <w:rFonts w:ascii="Gotham" w:hAnsi="Gotham"/>
          <w:sz w:val="19"/>
          <w:szCs w:val="19"/>
        </w:rPr>
        <w:tab/>
      </w:r>
      <w:r w:rsidRPr="000228BA">
        <w:rPr>
          <w:rFonts w:ascii="Gotham" w:hAnsi="Gotham"/>
          <w:sz w:val="19"/>
          <w:szCs w:val="19"/>
        </w:rPr>
        <w:t>Implementar las políticas, programas, lineamientos y directrices para la organización y administración de los archivos;</w:t>
      </w:r>
    </w:p>
    <w:p w14:paraId="3A474719"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II. </w:t>
      </w:r>
      <w:r>
        <w:rPr>
          <w:rFonts w:ascii="Gotham" w:hAnsi="Gotham"/>
          <w:sz w:val="19"/>
          <w:szCs w:val="19"/>
        </w:rPr>
        <w:tab/>
      </w:r>
      <w:r w:rsidRPr="000228BA">
        <w:rPr>
          <w:rFonts w:ascii="Gotham" w:hAnsi="Gotham"/>
          <w:sz w:val="19"/>
          <w:szCs w:val="19"/>
        </w:rPr>
        <w:t>Armonizar las políticas, programas, lineamientos y directrices para la organización y administración de los archivos;</w:t>
      </w:r>
    </w:p>
    <w:p w14:paraId="3A47471A"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III. </w:t>
      </w:r>
      <w:r>
        <w:rPr>
          <w:rFonts w:ascii="Gotham" w:hAnsi="Gotham"/>
          <w:sz w:val="19"/>
          <w:szCs w:val="19"/>
        </w:rPr>
        <w:tab/>
      </w:r>
      <w:r w:rsidRPr="000228BA">
        <w:rPr>
          <w:rFonts w:ascii="Gotham" w:hAnsi="Gotham"/>
          <w:sz w:val="19"/>
          <w:szCs w:val="19"/>
        </w:rPr>
        <w:t>Coordinar y dar agilidad al funcionamiento y uso de los archivos de trámite, concentración e históricos, en su caso, de los sujetos obligados;</w:t>
      </w:r>
    </w:p>
    <w:p w14:paraId="3A47471B"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IV. </w:t>
      </w:r>
      <w:r>
        <w:rPr>
          <w:rFonts w:ascii="Gotham" w:hAnsi="Gotham"/>
          <w:sz w:val="19"/>
          <w:szCs w:val="19"/>
        </w:rPr>
        <w:tab/>
      </w:r>
      <w:r w:rsidRPr="000228BA">
        <w:rPr>
          <w:rFonts w:ascii="Gotham" w:hAnsi="Gotham"/>
          <w:sz w:val="19"/>
          <w:szCs w:val="19"/>
        </w:rPr>
        <w:t>Proponer las campañas de difusión sobre la importancia de los archivos como fuente de información esencial y como parte de la memoria colectiva;</w:t>
      </w:r>
    </w:p>
    <w:p w14:paraId="3A47471C"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V. </w:t>
      </w:r>
      <w:r>
        <w:rPr>
          <w:rFonts w:ascii="Gotham" w:hAnsi="Gotham"/>
          <w:sz w:val="19"/>
          <w:szCs w:val="19"/>
        </w:rPr>
        <w:tab/>
      </w:r>
      <w:r w:rsidRPr="000228BA">
        <w:rPr>
          <w:rFonts w:ascii="Gotham" w:hAnsi="Gotham"/>
          <w:sz w:val="19"/>
          <w:szCs w:val="19"/>
        </w:rPr>
        <w:t>Operar como mecanismo de enlace y coordinación con el Consejo del Estado de Jalisco del Sistema Estatal de Archivos y demás Consejos en la materia;</w:t>
      </w:r>
    </w:p>
    <w:p w14:paraId="3A47471D" w14:textId="77777777" w:rsidR="009B5E39" w:rsidRPr="000228BA" w:rsidRDefault="009B5E39" w:rsidP="009B5E39">
      <w:pPr>
        <w:pStyle w:val="Estilo"/>
        <w:spacing w:after="120"/>
        <w:ind w:left="1134" w:right="283" w:hanging="850"/>
        <w:rPr>
          <w:rFonts w:ascii="Gotham" w:hAnsi="Gotham"/>
          <w:sz w:val="19"/>
          <w:szCs w:val="19"/>
        </w:rPr>
      </w:pPr>
      <w:r w:rsidRPr="000228BA">
        <w:rPr>
          <w:rFonts w:ascii="Gotham" w:hAnsi="Gotham"/>
          <w:sz w:val="19"/>
          <w:szCs w:val="19"/>
        </w:rPr>
        <w:t xml:space="preserve">VI. </w:t>
      </w:r>
      <w:r>
        <w:rPr>
          <w:rFonts w:ascii="Gotham" w:hAnsi="Gotham"/>
          <w:sz w:val="19"/>
          <w:szCs w:val="19"/>
        </w:rPr>
        <w:tab/>
      </w:r>
      <w:r w:rsidRPr="000228BA">
        <w:rPr>
          <w:rFonts w:ascii="Gotham" w:hAnsi="Gotham"/>
          <w:sz w:val="19"/>
          <w:szCs w:val="19"/>
        </w:rPr>
        <w:t>Fomentar la generación, uso y distribución de datos en formatos abiertos;</w:t>
      </w:r>
    </w:p>
    <w:p w14:paraId="3A47471E" w14:textId="77777777" w:rsidR="009B5E39" w:rsidRPr="000228BA" w:rsidRDefault="009B5E39" w:rsidP="009B5E39">
      <w:pPr>
        <w:pStyle w:val="Estilo"/>
        <w:tabs>
          <w:tab w:val="left" w:pos="2694"/>
        </w:tabs>
        <w:spacing w:after="120"/>
        <w:ind w:left="1134" w:right="283" w:hanging="850"/>
        <w:rPr>
          <w:rFonts w:ascii="Gotham" w:hAnsi="Gotham"/>
          <w:sz w:val="19"/>
          <w:szCs w:val="19"/>
        </w:rPr>
      </w:pPr>
      <w:r w:rsidRPr="000228BA">
        <w:rPr>
          <w:rFonts w:ascii="Gotham" w:hAnsi="Gotham"/>
          <w:sz w:val="19"/>
          <w:szCs w:val="19"/>
        </w:rPr>
        <w:t xml:space="preserve">VII. </w:t>
      </w:r>
      <w:r>
        <w:rPr>
          <w:rFonts w:ascii="Gotham" w:hAnsi="Gotham"/>
          <w:sz w:val="19"/>
          <w:szCs w:val="19"/>
        </w:rPr>
        <w:tab/>
      </w:r>
      <w:r w:rsidRPr="000228BA">
        <w:rPr>
          <w:rFonts w:ascii="Gotham" w:hAnsi="Gotham"/>
          <w:sz w:val="19"/>
          <w:szCs w:val="19"/>
        </w:rPr>
        <w:t>Propiciar la adquisición, integración, conservación y custodia de documentos que constituyan evidencias importantes de los acontecimientos históricos del municipio, de la actuación biográfica de personajes destacados, así como de la crónica de sucesos importantes que puedan tener contenido de interés social o público;</w:t>
      </w:r>
    </w:p>
    <w:p w14:paraId="3A47471F" w14:textId="77777777" w:rsidR="009B5E39" w:rsidRPr="000228BA" w:rsidRDefault="009B5E39" w:rsidP="009B5E39">
      <w:pPr>
        <w:pStyle w:val="Estilo"/>
        <w:tabs>
          <w:tab w:val="left" w:pos="2694"/>
        </w:tabs>
        <w:spacing w:after="120"/>
        <w:ind w:left="1134" w:right="283" w:hanging="850"/>
        <w:rPr>
          <w:rFonts w:ascii="Gotham" w:hAnsi="Gotham"/>
          <w:sz w:val="19"/>
          <w:szCs w:val="19"/>
        </w:rPr>
      </w:pPr>
      <w:r w:rsidRPr="000228BA">
        <w:rPr>
          <w:rFonts w:ascii="Gotham" w:hAnsi="Gotham"/>
          <w:sz w:val="19"/>
          <w:szCs w:val="19"/>
        </w:rPr>
        <w:t xml:space="preserve">VIII. </w:t>
      </w:r>
      <w:r>
        <w:rPr>
          <w:rFonts w:ascii="Gotham" w:hAnsi="Gotham"/>
          <w:sz w:val="19"/>
          <w:szCs w:val="19"/>
        </w:rPr>
        <w:tab/>
      </w:r>
      <w:r w:rsidRPr="000228BA">
        <w:rPr>
          <w:rFonts w:ascii="Gotham" w:hAnsi="Gotham"/>
          <w:sz w:val="19"/>
          <w:szCs w:val="19"/>
        </w:rPr>
        <w:t>Facilitar el uso de la información documental para la investigación y uso de la comunidad; y</w:t>
      </w:r>
    </w:p>
    <w:p w14:paraId="3A474720"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IX. </w:t>
      </w:r>
      <w:r>
        <w:rPr>
          <w:rFonts w:ascii="Gotham" w:hAnsi="Gotham" w:cs="Arial"/>
          <w:sz w:val="19"/>
          <w:szCs w:val="19"/>
        </w:rPr>
        <w:tab/>
      </w:r>
      <w:r w:rsidRPr="000228BA">
        <w:rPr>
          <w:rFonts w:ascii="Gotham" w:hAnsi="Gotham" w:cs="Arial"/>
          <w:sz w:val="19"/>
          <w:szCs w:val="19"/>
        </w:rPr>
        <w:t>Las demás que se establezcan en el presente reglamento y demás normatividad aplicable y vigente en la materia.</w:t>
      </w:r>
    </w:p>
    <w:p w14:paraId="3A474721" w14:textId="77777777" w:rsidR="009B5E39" w:rsidRDefault="009B5E39" w:rsidP="009B5E39">
      <w:pPr>
        <w:pStyle w:val="Estilo"/>
        <w:ind w:left="284" w:right="283"/>
        <w:rPr>
          <w:rFonts w:ascii="Gotham" w:hAnsi="Gotham"/>
          <w:b/>
          <w:sz w:val="19"/>
          <w:szCs w:val="19"/>
        </w:rPr>
      </w:pPr>
    </w:p>
    <w:p w14:paraId="3A474722" w14:textId="77777777" w:rsidR="009B5E39" w:rsidRPr="000228BA" w:rsidRDefault="009B5E39" w:rsidP="009B5E39">
      <w:pPr>
        <w:pStyle w:val="Estilo"/>
        <w:ind w:left="284" w:right="283"/>
        <w:rPr>
          <w:rFonts w:ascii="Gotham" w:hAnsi="Gotham"/>
          <w:sz w:val="19"/>
          <w:szCs w:val="19"/>
        </w:rPr>
      </w:pPr>
      <w:r w:rsidRPr="000228BA">
        <w:rPr>
          <w:rFonts w:ascii="Gotham" w:hAnsi="Gotham"/>
          <w:b/>
          <w:sz w:val="19"/>
          <w:szCs w:val="19"/>
        </w:rPr>
        <w:t xml:space="preserve">Artículo 56. </w:t>
      </w:r>
      <w:r w:rsidRPr="000228BA">
        <w:rPr>
          <w:rFonts w:ascii="Gotham" w:hAnsi="Gotham"/>
          <w:sz w:val="19"/>
          <w:szCs w:val="19"/>
        </w:rPr>
        <w:t>La Presidencia del Consejo tendrá las siguientes facultades:</w:t>
      </w:r>
    </w:p>
    <w:p w14:paraId="3A474723" w14:textId="77777777" w:rsidR="009B5E39" w:rsidRPr="000228BA" w:rsidRDefault="009B5E39" w:rsidP="009B5E39">
      <w:pPr>
        <w:pStyle w:val="Estilo"/>
        <w:ind w:left="284" w:right="283"/>
        <w:rPr>
          <w:rFonts w:ascii="Gotham" w:hAnsi="Gotham"/>
          <w:sz w:val="19"/>
          <w:szCs w:val="19"/>
        </w:rPr>
      </w:pPr>
    </w:p>
    <w:p w14:paraId="3A47472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Convocar y presidir las reuniones del Consejo, contando con voto de calidad;</w:t>
      </w:r>
    </w:p>
    <w:p w14:paraId="3A47472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Ejecutar los acuerdos que emanen del Consejo, dictando las disposiciones necesarias para su cumplimiento;</w:t>
      </w:r>
    </w:p>
    <w:p w14:paraId="3A47472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Representar al Consejo ante cualquier autoridad o institución oficial o privada;</w:t>
      </w:r>
    </w:p>
    <w:p w14:paraId="3A474727"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Rendir un informe anual de su gestión ante el Consejo;</w:t>
      </w:r>
    </w:p>
    <w:p w14:paraId="3A47472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Nombrar a quien estará a cargo de la Secretaría Ejecutiva; y</w:t>
      </w:r>
    </w:p>
    <w:p w14:paraId="3A474729"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Las demás que se establezcan en el presente ordenamiento y demás normatividad aplicable y vigente en la materia.</w:t>
      </w:r>
    </w:p>
    <w:p w14:paraId="3A47472A" w14:textId="77777777" w:rsidR="009B5E39" w:rsidRDefault="009B5E39" w:rsidP="009B5E39">
      <w:pPr>
        <w:pStyle w:val="Estilo"/>
        <w:ind w:left="284" w:right="283"/>
        <w:rPr>
          <w:rFonts w:ascii="Gotham" w:hAnsi="Gotham"/>
          <w:b/>
          <w:sz w:val="19"/>
          <w:szCs w:val="19"/>
        </w:rPr>
      </w:pPr>
    </w:p>
    <w:p w14:paraId="3A47472B" w14:textId="77777777" w:rsidR="009B5E39" w:rsidRPr="000228BA" w:rsidRDefault="009B5E39" w:rsidP="009B5E39">
      <w:pPr>
        <w:pStyle w:val="Estilo"/>
        <w:ind w:left="284" w:right="283"/>
        <w:rPr>
          <w:rFonts w:ascii="Gotham" w:hAnsi="Gotham"/>
          <w:sz w:val="19"/>
          <w:szCs w:val="19"/>
        </w:rPr>
      </w:pPr>
      <w:r w:rsidRPr="000228BA">
        <w:rPr>
          <w:rFonts w:ascii="Gotham" w:hAnsi="Gotham"/>
          <w:b/>
          <w:sz w:val="19"/>
          <w:szCs w:val="19"/>
        </w:rPr>
        <w:t xml:space="preserve">Artículo 57. </w:t>
      </w:r>
      <w:r w:rsidRPr="000228BA">
        <w:rPr>
          <w:rFonts w:ascii="Gotham" w:hAnsi="Gotham"/>
          <w:sz w:val="19"/>
          <w:szCs w:val="19"/>
        </w:rPr>
        <w:t>La Secretaría Ejecutiva del Consejo tendrá las siguientes facultades:</w:t>
      </w:r>
    </w:p>
    <w:p w14:paraId="3A47472C" w14:textId="77777777" w:rsidR="009B5E39" w:rsidRPr="000228BA" w:rsidRDefault="009B5E39" w:rsidP="009B5E39">
      <w:pPr>
        <w:pStyle w:val="Estilo"/>
        <w:ind w:left="284" w:right="283"/>
        <w:rPr>
          <w:rFonts w:ascii="Gotham" w:hAnsi="Gotham"/>
          <w:sz w:val="19"/>
          <w:szCs w:val="19"/>
        </w:rPr>
      </w:pPr>
    </w:p>
    <w:p w14:paraId="3A47472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eastAsia="Arial" w:hAnsi="Gotham" w:cs="Arial"/>
          <w:sz w:val="19"/>
          <w:szCs w:val="19"/>
        </w:rPr>
        <w:lastRenderedPageBreak/>
        <w:t xml:space="preserve">I. </w:t>
      </w:r>
      <w:r>
        <w:rPr>
          <w:rFonts w:ascii="Gotham" w:eastAsia="Arial" w:hAnsi="Gotham" w:cs="Arial"/>
          <w:sz w:val="19"/>
          <w:szCs w:val="19"/>
        </w:rPr>
        <w:tab/>
      </w:r>
      <w:r w:rsidRPr="000228BA">
        <w:rPr>
          <w:rFonts w:ascii="Gotham" w:eastAsia="Arial" w:hAnsi="Gotham" w:cs="Arial"/>
          <w:sz w:val="19"/>
          <w:szCs w:val="19"/>
        </w:rPr>
        <w:t>Emitir la</w:t>
      </w:r>
      <w:r w:rsidRPr="000228BA">
        <w:rPr>
          <w:rFonts w:ascii="Gotham" w:eastAsia="Arial" w:hAnsi="Gotham" w:cs="Arial"/>
          <w:spacing w:val="13"/>
          <w:sz w:val="19"/>
          <w:szCs w:val="19"/>
        </w:rPr>
        <w:t xml:space="preserve"> </w:t>
      </w:r>
      <w:r w:rsidRPr="000228BA">
        <w:rPr>
          <w:rFonts w:ascii="Gotham" w:eastAsia="Arial" w:hAnsi="Gotham" w:cs="Arial"/>
          <w:sz w:val="19"/>
          <w:szCs w:val="19"/>
        </w:rPr>
        <w:t>c</w:t>
      </w:r>
      <w:r w:rsidRPr="000228BA">
        <w:rPr>
          <w:rFonts w:ascii="Gotham" w:eastAsia="Arial" w:hAnsi="Gotham" w:cs="Arial"/>
          <w:spacing w:val="1"/>
          <w:sz w:val="19"/>
          <w:szCs w:val="19"/>
        </w:rPr>
        <w:t>on</w:t>
      </w:r>
      <w:r w:rsidRPr="000228BA">
        <w:rPr>
          <w:rFonts w:ascii="Gotham" w:eastAsia="Arial" w:hAnsi="Gotham" w:cs="Arial"/>
          <w:spacing w:val="-2"/>
          <w:sz w:val="19"/>
          <w:szCs w:val="19"/>
        </w:rPr>
        <w:t>v</w:t>
      </w:r>
      <w:r w:rsidRPr="000228BA">
        <w:rPr>
          <w:rFonts w:ascii="Gotham" w:eastAsia="Arial" w:hAnsi="Gotham" w:cs="Arial"/>
          <w:spacing w:val="1"/>
          <w:sz w:val="19"/>
          <w:szCs w:val="19"/>
        </w:rPr>
        <w:t>o</w:t>
      </w:r>
      <w:r w:rsidRPr="000228BA">
        <w:rPr>
          <w:rFonts w:ascii="Gotham" w:eastAsia="Arial" w:hAnsi="Gotham" w:cs="Arial"/>
          <w:sz w:val="19"/>
          <w:szCs w:val="19"/>
        </w:rPr>
        <w:t>c</w:t>
      </w:r>
      <w:r w:rsidRPr="000228BA">
        <w:rPr>
          <w:rFonts w:ascii="Gotham" w:eastAsia="Arial" w:hAnsi="Gotham" w:cs="Arial"/>
          <w:spacing w:val="1"/>
          <w:sz w:val="19"/>
          <w:szCs w:val="19"/>
        </w:rPr>
        <w:t>a</w:t>
      </w:r>
      <w:r w:rsidRPr="000228BA">
        <w:rPr>
          <w:rFonts w:ascii="Gotham" w:eastAsia="Arial" w:hAnsi="Gotham" w:cs="Arial"/>
          <w:sz w:val="19"/>
          <w:szCs w:val="19"/>
        </w:rPr>
        <w:t>t</w:t>
      </w:r>
      <w:r w:rsidRPr="000228BA">
        <w:rPr>
          <w:rFonts w:ascii="Gotham" w:eastAsia="Arial" w:hAnsi="Gotham" w:cs="Arial"/>
          <w:spacing w:val="1"/>
          <w:sz w:val="19"/>
          <w:szCs w:val="19"/>
        </w:rPr>
        <w:t>o</w:t>
      </w:r>
      <w:r w:rsidRPr="000228BA">
        <w:rPr>
          <w:rFonts w:ascii="Gotham" w:eastAsia="Arial" w:hAnsi="Gotham" w:cs="Arial"/>
          <w:sz w:val="19"/>
          <w:szCs w:val="19"/>
        </w:rPr>
        <w:t>r</w:t>
      </w:r>
      <w:r w:rsidRPr="000228BA">
        <w:rPr>
          <w:rFonts w:ascii="Gotham" w:eastAsia="Arial" w:hAnsi="Gotham" w:cs="Arial"/>
          <w:spacing w:val="-1"/>
          <w:sz w:val="19"/>
          <w:szCs w:val="19"/>
        </w:rPr>
        <w:t>i</w:t>
      </w:r>
      <w:r w:rsidRPr="000228BA">
        <w:rPr>
          <w:rFonts w:ascii="Gotham" w:eastAsia="Arial" w:hAnsi="Gotham" w:cs="Arial"/>
          <w:sz w:val="19"/>
          <w:szCs w:val="19"/>
        </w:rPr>
        <w:t>a a las sesiones del Consejo</w:t>
      </w:r>
      <w:r w:rsidRPr="000228BA">
        <w:rPr>
          <w:rFonts w:ascii="Gotham" w:eastAsia="Arial" w:hAnsi="Gotham" w:cs="Arial"/>
          <w:spacing w:val="13"/>
          <w:sz w:val="19"/>
          <w:szCs w:val="19"/>
        </w:rPr>
        <w:t>, previa instrucción de la Presidencia, así como</w:t>
      </w:r>
      <w:r w:rsidRPr="000228BA">
        <w:rPr>
          <w:rFonts w:ascii="Gotham" w:hAnsi="Gotham" w:cs="Arial"/>
          <w:sz w:val="19"/>
          <w:szCs w:val="19"/>
        </w:rPr>
        <w:t xml:space="preserve"> asistir a dichas sesiones;</w:t>
      </w:r>
    </w:p>
    <w:p w14:paraId="3A47472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Levantar las actas de las reuniones del Consejo;</w:t>
      </w:r>
    </w:p>
    <w:p w14:paraId="3A47472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Verificar la asistencia y el quórum necesario;</w:t>
      </w:r>
    </w:p>
    <w:p w14:paraId="3A47473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Organizar el archivo del Consejo;</w:t>
      </w:r>
    </w:p>
    <w:p w14:paraId="3A47473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Firmar y recabar las firmas de las actas de las reuniones del Consejo;</w:t>
      </w:r>
    </w:p>
    <w:p w14:paraId="3A47473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Autorizar las copias de las actas del Consejo y de los documentos que existan en el archivo; y</w:t>
      </w:r>
    </w:p>
    <w:p w14:paraId="3A474733"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Las demás que se establezcan en el presente reglamento y demás normatividad aplicable y vigente en la materia.</w:t>
      </w:r>
    </w:p>
    <w:p w14:paraId="3A474734" w14:textId="77777777" w:rsidR="009B5E39" w:rsidRPr="000228BA" w:rsidRDefault="009B5E39" w:rsidP="009B5E39">
      <w:pPr>
        <w:ind w:left="284" w:right="283"/>
        <w:jc w:val="both"/>
        <w:rPr>
          <w:rFonts w:ascii="Gotham" w:hAnsi="Gotham" w:cs="Arial"/>
          <w:b/>
          <w:sz w:val="19"/>
          <w:szCs w:val="19"/>
        </w:rPr>
      </w:pPr>
    </w:p>
    <w:p w14:paraId="3A474735" w14:textId="77777777" w:rsidR="009B5E39" w:rsidRPr="000228BA" w:rsidRDefault="009B5E39" w:rsidP="009B5E39">
      <w:pPr>
        <w:ind w:left="284" w:right="283"/>
        <w:jc w:val="center"/>
        <w:rPr>
          <w:rFonts w:ascii="Gotham" w:hAnsi="Gotham" w:cs="Arial"/>
          <w:b/>
          <w:sz w:val="19"/>
          <w:szCs w:val="19"/>
        </w:rPr>
      </w:pPr>
    </w:p>
    <w:p w14:paraId="3A474736"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CAPÍTULO VII</w:t>
      </w:r>
    </w:p>
    <w:p w14:paraId="3A474737"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 LA PLANEACIÓN EN MATERIA ARCHIVÍSTICA</w:t>
      </w:r>
    </w:p>
    <w:p w14:paraId="3A474738" w14:textId="77777777" w:rsidR="009B5E39" w:rsidRDefault="009B5E39" w:rsidP="009B5E39">
      <w:pPr>
        <w:ind w:left="284" w:right="283"/>
        <w:jc w:val="both"/>
        <w:rPr>
          <w:rFonts w:ascii="Gotham" w:hAnsi="Gotham" w:cs="Arial"/>
          <w:b/>
          <w:sz w:val="19"/>
          <w:szCs w:val="19"/>
        </w:rPr>
      </w:pPr>
    </w:p>
    <w:p w14:paraId="3A474739" w14:textId="77777777" w:rsidR="009B5E39" w:rsidRPr="000228BA" w:rsidRDefault="009B5E39" w:rsidP="009B5E39">
      <w:pPr>
        <w:ind w:left="284" w:right="283"/>
        <w:jc w:val="both"/>
        <w:rPr>
          <w:rFonts w:ascii="Gotham" w:hAnsi="Gotham" w:cs="Arial"/>
          <w:b/>
          <w:sz w:val="19"/>
          <w:szCs w:val="19"/>
        </w:rPr>
      </w:pPr>
      <w:r w:rsidRPr="000228BA">
        <w:rPr>
          <w:rFonts w:ascii="Gotham" w:hAnsi="Gotham" w:cs="Arial"/>
          <w:b/>
          <w:sz w:val="19"/>
          <w:szCs w:val="19"/>
        </w:rPr>
        <w:t xml:space="preserve">Artículo 58. </w:t>
      </w:r>
      <w:r w:rsidRPr="000228BA">
        <w:rPr>
          <w:rFonts w:ascii="Gotham" w:hAnsi="Gotham" w:cs="Arial"/>
          <w:sz w:val="19"/>
          <w:szCs w:val="19"/>
        </w:rPr>
        <w:t>Se deberá elaborar un plan estratégico en materia de archivos que contemple la planeación, la programación y la evaluación para el desarrollo de los archivos y deberá incluir un enfoque de administración de riesgos, protección a los derechos humanos y de otros derechos que de ellos deriven, así como de apertura proactiva de la información y la publicación de la información en formatos abiertos. Dicho plan será publicado en el portal del municipio dentro de los primeros treinta días naturales del ejercicio fiscal correspondiente.</w:t>
      </w:r>
      <w:r w:rsidRPr="000228BA">
        <w:rPr>
          <w:rFonts w:ascii="Gotham" w:hAnsi="Gotham" w:cs="Arial"/>
          <w:b/>
          <w:sz w:val="19"/>
          <w:szCs w:val="19"/>
        </w:rPr>
        <w:t xml:space="preserve"> </w:t>
      </w:r>
    </w:p>
    <w:p w14:paraId="3A47473A" w14:textId="77777777" w:rsidR="009B5E39" w:rsidRDefault="009B5E39" w:rsidP="009B5E39">
      <w:pPr>
        <w:ind w:left="284" w:right="283"/>
        <w:jc w:val="both"/>
        <w:rPr>
          <w:rFonts w:ascii="Gotham" w:hAnsi="Gotham" w:cs="Arial"/>
          <w:b/>
          <w:sz w:val="19"/>
          <w:szCs w:val="19"/>
        </w:rPr>
      </w:pPr>
    </w:p>
    <w:p w14:paraId="3A47473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59. </w:t>
      </w:r>
      <w:r w:rsidRPr="000228BA">
        <w:rPr>
          <w:rFonts w:ascii="Gotham" w:hAnsi="Gotham" w:cs="Arial"/>
          <w:sz w:val="19"/>
          <w:szCs w:val="19"/>
        </w:rPr>
        <w:t xml:space="preserve">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almacenamiento, migración progresiva a expedientes electrónicos y preservación a largo plazo de los documentos de expedientes electrónicos, además de la asociación de los metadatos mínimos de descripción y asociados. </w:t>
      </w:r>
    </w:p>
    <w:p w14:paraId="3A47473C" w14:textId="77777777" w:rsidR="009B5E39" w:rsidRDefault="009B5E39" w:rsidP="009B5E39">
      <w:pPr>
        <w:ind w:left="284" w:right="283"/>
        <w:jc w:val="both"/>
        <w:rPr>
          <w:rFonts w:ascii="Gotham" w:hAnsi="Gotham" w:cs="Arial"/>
          <w:b/>
          <w:sz w:val="19"/>
          <w:szCs w:val="19"/>
        </w:rPr>
      </w:pPr>
    </w:p>
    <w:p w14:paraId="3A47473D"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60. </w:t>
      </w:r>
      <w:r w:rsidRPr="000228BA">
        <w:rPr>
          <w:rFonts w:ascii="Gotham" w:hAnsi="Gotham" w:cs="Arial"/>
          <w:sz w:val="19"/>
          <w:szCs w:val="19"/>
        </w:rPr>
        <w:t>Se deberá elaborar un informe anual detallando el cumplimiento del programa anual, el cual será publicado en su portal electrónico a más tardar el último día del mes de enero del siguiente año de la ejecución de dicho programa.</w:t>
      </w:r>
    </w:p>
    <w:p w14:paraId="3A47473E" w14:textId="77777777" w:rsidR="009B5E39" w:rsidRDefault="009B5E39" w:rsidP="009B5E39">
      <w:pPr>
        <w:ind w:left="284" w:right="283"/>
        <w:jc w:val="center"/>
        <w:rPr>
          <w:rFonts w:ascii="Gotham" w:hAnsi="Gotham" w:cs="Arial"/>
          <w:b/>
          <w:color w:val="000000" w:themeColor="text1"/>
          <w:sz w:val="19"/>
          <w:szCs w:val="19"/>
        </w:rPr>
      </w:pPr>
    </w:p>
    <w:p w14:paraId="3A47473F" w14:textId="77777777" w:rsidR="009B5E39" w:rsidRPr="000228BA" w:rsidRDefault="009B5E39" w:rsidP="009B5E39">
      <w:pPr>
        <w:ind w:left="284" w:right="283"/>
        <w:jc w:val="center"/>
        <w:rPr>
          <w:rFonts w:ascii="Gotham" w:hAnsi="Gotham" w:cs="Arial"/>
          <w:b/>
          <w:color w:val="000000" w:themeColor="text1"/>
          <w:sz w:val="19"/>
          <w:szCs w:val="19"/>
        </w:rPr>
      </w:pPr>
    </w:p>
    <w:p w14:paraId="3A474740" w14:textId="77777777" w:rsidR="009B5E39" w:rsidRPr="000228BA" w:rsidRDefault="009B5E39" w:rsidP="009B5E39">
      <w:pPr>
        <w:ind w:left="284" w:right="283"/>
        <w:jc w:val="center"/>
        <w:rPr>
          <w:rFonts w:ascii="Gotham" w:hAnsi="Gotham" w:cs="Arial"/>
          <w:b/>
          <w:color w:val="000000" w:themeColor="text1"/>
          <w:sz w:val="19"/>
          <w:szCs w:val="19"/>
        </w:rPr>
      </w:pPr>
      <w:r w:rsidRPr="000228BA">
        <w:rPr>
          <w:rFonts w:ascii="Gotham" w:hAnsi="Gotham" w:cs="Arial"/>
          <w:b/>
          <w:color w:val="000000" w:themeColor="text1"/>
          <w:sz w:val="19"/>
          <w:szCs w:val="19"/>
        </w:rPr>
        <w:t>CAPÍTULO VIII</w:t>
      </w:r>
    </w:p>
    <w:p w14:paraId="3A474741" w14:textId="77777777" w:rsidR="009B5E39" w:rsidRPr="000228BA" w:rsidRDefault="009B5E39" w:rsidP="009B5E39">
      <w:pPr>
        <w:ind w:left="284" w:right="283"/>
        <w:jc w:val="center"/>
        <w:rPr>
          <w:rFonts w:ascii="Gotham" w:hAnsi="Gotham" w:cs="Arial"/>
          <w:b/>
          <w:color w:val="000000" w:themeColor="text1"/>
          <w:sz w:val="19"/>
          <w:szCs w:val="19"/>
        </w:rPr>
      </w:pPr>
      <w:r w:rsidRPr="000228BA">
        <w:rPr>
          <w:rFonts w:ascii="Gotham" w:hAnsi="Gotham" w:cs="Arial"/>
          <w:b/>
          <w:color w:val="000000" w:themeColor="text1"/>
          <w:sz w:val="19"/>
          <w:szCs w:val="19"/>
        </w:rPr>
        <w:t>DE LAS AUDITORÍAS ARCHIVÍSTICAS</w:t>
      </w:r>
    </w:p>
    <w:p w14:paraId="3A474742" w14:textId="77777777" w:rsidR="009B5E39" w:rsidRDefault="009B5E39" w:rsidP="009B5E39">
      <w:pPr>
        <w:ind w:left="284" w:right="283"/>
        <w:jc w:val="both"/>
        <w:rPr>
          <w:rFonts w:ascii="Gotham" w:hAnsi="Gotham" w:cs="Arial"/>
          <w:b/>
          <w:color w:val="000000" w:themeColor="text1"/>
          <w:sz w:val="19"/>
          <w:szCs w:val="19"/>
        </w:rPr>
      </w:pPr>
    </w:p>
    <w:p w14:paraId="3A474743" w14:textId="77777777" w:rsidR="009B5E39" w:rsidRPr="000228BA" w:rsidRDefault="009B5E39" w:rsidP="009B5E39">
      <w:pPr>
        <w:ind w:left="284" w:right="283"/>
        <w:jc w:val="both"/>
        <w:rPr>
          <w:rFonts w:ascii="Gotham" w:hAnsi="Gotham" w:cs="Arial"/>
          <w:color w:val="000000" w:themeColor="text1"/>
          <w:sz w:val="19"/>
          <w:szCs w:val="19"/>
        </w:rPr>
      </w:pPr>
      <w:r w:rsidRPr="000228BA">
        <w:rPr>
          <w:rFonts w:ascii="Gotham" w:hAnsi="Gotham" w:cs="Arial"/>
          <w:b/>
          <w:color w:val="000000" w:themeColor="text1"/>
          <w:sz w:val="19"/>
          <w:szCs w:val="19"/>
        </w:rPr>
        <w:t>Artículo 61.</w:t>
      </w:r>
      <w:r w:rsidRPr="000228BA">
        <w:rPr>
          <w:rFonts w:ascii="Gotham" w:hAnsi="Gotham" w:cs="Arial"/>
          <w:color w:val="000000" w:themeColor="text1"/>
          <w:sz w:val="19"/>
          <w:szCs w:val="19"/>
        </w:rPr>
        <w:t xml:space="preserve"> La auditoría archivística es una herramienta de control y supervisión de los sistemas institucionales de archivos, a fin de verificar el cumplimiento de las normas que establece la Ley Estatal, el Reglamento y los lineamientos que emita el Consejo Nacional, con el fin de descubrir las fallas en sus estructuras y sus vulnerabilidades. </w:t>
      </w:r>
    </w:p>
    <w:p w14:paraId="3A474744" w14:textId="77777777" w:rsidR="009B5E39" w:rsidRDefault="009B5E39" w:rsidP="009B5E39">
      <w:pPr>
        <w:ind w:left="284" w:right="283"/>
        <w:jc w:val="both"/>
        <w:rPr>
          <w:rFonts w:ascii="Gotham" w:hAnsi="Gotham" w:cs="Arial"/>
          <w:color w:val="000000" w:themeColor="text1"/>
          <w:sz w:val="19"/>
          <w:szCs w:val="19"/>
        </w:rPr>
      </w:pPr>
    </w:p>
    <w:p w14:paraId="3A474745" w14:textId="77777777" w:rsidR="009B5E39" w:rsidRPr="000228BA" w:rsidRDefault="009B5E39" w:rsidP="009B5E39">
      <w:pPr>
        <w:ind w:left="284" w:right="283"/>
        <w:jc w:val="both"/>
        <w:rPr>
          <w:rFonts w:ascii="Gotham" w:hAnsi="Gotham" w:cs="Arial"/>
          <w:color w:val="000000" w:themeColor="text1"/>
          <w:sz w:val="19"/>
          <w:szCs w:val="19"/>
        </w:rPr>
      </w:pPr>
      <w:r w:rsidRPr="000228BA">
        <w:rPr>
          <w:rFonts w:ascii="Gotham" w:hAnsi="Gotham" w:cs="Arial"/>
          <w:color w:val="000000" w:themeColor="text1"/>
          <w:sz w:val="19"/>
          <w:szCs w:val="19"/>
        </w:rPr>
        <w:t>Las auditorías archivísticas serán realizadas anualmente por la Contraloría Ciudadana u Órgano Interno de Control.</w:t>
      </w:r>
    </w:p>
    <w:p w14:paraId="3A474746" w14:textId="77777777" w:rsidR="009B5E39" w:rsidRDefault="009B5E39" w:rsidP="009B5E39">
      <w:pPr>
        <w:ind w:left="284" w:right="283"/>
        <w:jc w:val="both"/>
        <w:rPr>
          <w:rFonts w:ascii="Gotham" w:hAnsi="Gotham" w:cs="Arial"/>
          <w:color w:val="000000" w:themeColor="text1"/>
          <w:sz w:val="19"/>
          <w:szCs w:val="19"/>
        </w:rPr>
      </w:pPr>
    </w:p>
    <w:p w14:paraId="3A474747" w14:textId="77777777" w:rsidR="009B5E39" w:rsidRPr="000228BA" w:rsidRDefault="009B5E39" w:rsidP="009B5E39">
      <w:pPr>
        <w:ind w:left="284" w:right="283"/>
        <w:jc w:val="both"/>
        <w:rPr>
          <w:rFonts w:ascii="Gotham" w:hAnsi="Gotham" w:cs="Arial"/>
          <w:color w:val="000000" w:themeColor="text1"/>
          <w:sz w:val="19"/>
          <w:szCs w:val="19"/>
        </w:rPr>
      </w:pPr>
      <w:r w:rsidRPr="000228BA">
        <w:rPr>
          <w:rFonts w:ascii="Gotham" w:hAnsi="Gotham" w:cs="Arial"/>
          <w:color w:val="000000" w:themeColor="text1"/>
          <w:sz w:val="19"/>
          <w:szCs w:val="19"/>
        </w:rPr>
        <w:t>Evaluará el cumplimento normativo y los procesos técnicos archivísticos que deben cumplir los Sujetos Obligados para garantizar la integridad, accesibilidad y conservación de los documentos a través de sistemas de gestión documental.</w:t>
      </w:r>
    </w:p>
    <w:p w14:paraId="3A474748" w14:textId="77777777" w:rsidR="009B5E39" w:rsidRDefault="009B5E39" w:rsidP="009B5E39">
      <w:pPr>
        <w:ind w:left="284" w:right="283"/>
        <w:jc w:val="both"/>
        <w:rPr>
          <w:rFonts w:ascii="Gotham" w:hAnsi="Gotham" w:cs="Arial"/>
          <w:color w:val="000000" w:themeColor="text1"/>
          <w:sz w:val="19"/>
          <w:szCs w:val="19"/>
        </w:rPr>
      </w:pPr>
    </w:p>
    <w:p w14:paraId="3A474749" w14:textId="77777777" w:rsidR="009B5E39" w:rsidRDefault="009B5E39" w:rsidP="009B5E39">
      <w:pPr>
        <w:ind w:left="284" w:right="283"/>
        <w:jc w:val="both"/>
        <w:rPr>
          <w:rFonts w:ascii="Gotham" w:hAnsi="Gotham" w:cs="Arial"/>
          <w:color w:val="000000" w:themeColor="text1"/>
          <w:sz w:val="19"/>
          <w:szCs w:val="19"/>
        </w:rPr>
      </w:pPr>
    </w:p>
    <w:p w14:paraId="3A47474A" w14:textId="77777777" w:rsidR="00C9405B" w:rsidRPr="000228BA" w:rsidRDefault="00C9405B" w:rsidP="009B5E39">
      <w:pPr>
        <w:ind w:left="284" w:right="283"/>
        <w:jc w:val="both"/>
        <w:rPr>
          <w:rFonts w:ascii="Gotham" w:hAnsi="Gotham" w:cs="Arial"/>
          <w:color w:val="000000" w:themeColor="text1"/>
          <w:sz w:val="19"/>
          <w:szCs w:val="19"/>
        </w:rPr>
      </w:pPr>
    </w:p>
    <w:p w14:paraId="3A47474B"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lastRenderedPageBreak/>
        <w:t>CAPÍTULO IX</w:t>
      </w:r>
    </w:p>
    <w:p w14:paraId="3A47474C"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 LA JEFATURA DEL ARCHIVO GENERAL MUNICIPAL</w:t>
      </w:r>
    </w:p>
    <w:p w14:paraId="3A47474D" w14:textId="77777777" w:rsidR="009B5E39" w:rsidRPr="000228BA" w:rsidRDefault="009B5E39" w:rsidP="009B5E39">
      <w:pPr>
        <w:ind w:left="284" w:right="283"/>
        <w:jc w:val="center"/>
        <w:rPr>
          <w:rFonts w:ascii="Gotham" w:hAnsi="Gotham" w:cs="Arial"/>
          <w:b/>
          <w:sz w:val="19"/>
          <w:szCs w:val="19"/>
        </w:rPr>
      </w:pPr>
    </w:p>
    <w:p w14:paraId="3A47474E"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62.</w:t>
      </w:r>
      <w:r w:rsidRPr="000228BA">
        <w:rPr>
          <w:rFonts w:ascii="Gotham" w:hAnsi="Gotham" w:cs="Arial"/>
          <w:sz w:val="19"/>
          <w:szCs w:val="19"/>
        </w:rPr>
        <w:t xml:space="preserve"> La Jefatura del Archivo General Municipal es una dependencia adscrita a la Secretaría General del Ayuntamiento, encargada de la concentración, custodia, organización documental y conservación de documentos que se depositen en resguardo, que emanan de las Dependencias del Municipio de Tonalá, Jalisco, cuya consulta sea esporádica, así como también aquellas de carácter histórico. </w:t>
      </w:r>
    </w:p>
    <w:p w14:paraId="3A47474F" w14:textId="77777777" w:rsidR="009B5E39" w:rsidRDefault="009B5E39" w:rsidP="009B5E39">
      <w:pPr>
        <w:ind w:left="284" w:right="283"/>
        <w:jc w:val="both"/>
        <w:rPr>
          <w:rFonts w:ascii="Gotham" w:hAnsi="Gotham" w:cs="Arial"/>
          <w:b/>
          <w:sz w:val="19"/>
          <w:szCs w:val="19"/>
        </w:rPr>
      </w:pPr>
    </w:p>
    <w:p w14:paraId="3A474750"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63.</w:t>
      </w:r>
      <w:r w:rsidRPr="000228BA">
        <w:rPr>
          <w:rFonts w:ascii="Gotham" w:hAnsi="Gotham" w:cs="Arial"/>
          <w:sz w:val="19"/>
          <w:szCs w:val="19"/>
        </w:rPr>
        <w:t xml:space="preserve"> Corresponde a la o el titular del Archivo General Municipal: </w:t>
      </w:r>
    </w:p>
    <w:p w14:paraId="3A474751" w14:textId="77777777" w:rsidR="009B5E39" w:rsidRDefault="009B5E39" w:rsidP="009B5E39">
      <w:pPr>
        <w:ind w:left="284" w:right="283"/>
        <w:jc w:val="both"/>
        <w:rPr>
          <w:rFonts w:ascii="Gotham" w:hAnsi="Gotham" w:cs="Arial"/>
          <w:sz w:val="19"/>
          <w:szCs w:val="19"/>
        </w:rPr>
      </w:pPr>
    </w:p>
    <w:p w14:paraId="3A47475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Coadyuvar con la vigilancia de la correcta aplicación de la normatividad en materia archivística; </w:t>
      </w:r>
    </w:p>
    <w:p w14:paraId="3A474753"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Implementar y vigilar la correcta aplicación de los instrumentos archivísticos, y demás disposiciones; </w:t>
      </w:r>
    </w:p>
    <w:p w14:paraId="3A47475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Implementar cursos de capacitación y asesoría a las dependencias del Municipio respecto a la organización y el funcionamiento de sus propios archivos; </w:t>
      </w:r>
    </w:p>
    <w:p w14:paraId="3A47475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Recibir y controlar los documentos de archivos que se le remitan, mediante el proceso de trasferencia primaria y organizar los fondos, secciones y series que constituyan su acervo, de conformidad con el principio de procedencia y orden original, según la normatividad aplicable en la materia;</w:t>
      </w:r>
    </w:p>
    <w:p w14:paraId="3A47475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 xml:space="preserve">Resguardar la documentación semiactiva generada por las diversas dependencias que conforman el Municipio de Tonalá, Jalisco, para su cuidado, protección y resguardo; </w:t>
      </w:r>
    </w:p>
    <w:p w14:paraId="3A474757"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 xml:space="preserve">Poner a disposición de las oficinas generadoras su información que se resguarda en el archivo, ya sea para algún trámite o para que puedan dar respuesta a solicitudes de transparencia, la información se podrá dar si así lo requieren por medios electrónicos para mayor celeridad; </w:t>
      </w:r>
    </w:p>
    <w:p w14:paraId="3A47475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 xml:space="preserve">Poner a disposición del usuario la información resguardada en el archivo Histórico; </w:t>
      </w:r>
    </w:p>
    <w:p w14:paraId="3A47475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VIII. </w:t>
      </w:r>
      <w:r>
        <w:rPr>
          <w:rFonts w:ascii="Gotham" w:hAnsi="Gotham" w:cs="Arial"/>
          <w:sz w:val="19"/>
          <w:szCs w:val="19"/>
        </w:rPr>
        <w:tab/>
      </w:r>
      <w:r w:rsidRPr="000228BA">
        <w:rPr>
          <w:rFonts w:ascii="Gotham" w:hAnsi="Gotham" w:cs="Arial"/>
          <w:sz w:val="19"/>
          <w:szCs w:val="19"/>
        </w:rPr>
        <w:t xml:space="preserve">Dar respuesta a las solicitudes que lleguen de trasparencia peticionando información que se genere en el Archivo general municipal. </w:t>
      </w:r>
    </w:p>
    <w:p w14:paraId="3A47475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IX. </w:t>
      </w:r>
      <w:r>
        <w:rPr>
          <w:rFonts w:ascii="Gotham" w:hAnsi="Gotham" w:cs="Arial"/>
          <w:sz w:val="19"/>
          <w:szCs w:val="19"/>
        </w:rPr>
        <w:tab/>
      </w:r>
      <w:r w:rsidRPr="000228BA">
        <w:rPr>
          <w:rFonts w:ascii="Gotham" w:hAnsi="Gotham" w:cs="Arial"/>
          <w:sz w:val="19"/>
          <w:szCs w:val="19"/>
        </w:rPr>
        <w:t xml:space="preserve">Localizar, identificar, rescatar y registrar la información de Tonalá, Jalisco en cualquier tipo de soporte documental para su difusión; </w:t>
      </w:r>
    </w:p>
    <w:p w14:paraId="3A47475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 </w:t>
      </w:r>
      <w:r>
        <w:rPr>
          <w:rFonts w:ascii="Gotham" w:hAnsi="Gotham" w:cs="Arial"/>
          <w:sz w:val="19"/>
          <w:szCs w:val="19"/>
        </w:rPr>
        <w:tab/>
      </w:r>
      <w:r w:rsidRPr="000228BA">
        <w:rPr>
          <w:rFonts w:ascii="Gotham" w:hAnsi="Gotham" w:cs="Arial"/>
          <w:sz w:val="19"/>
          <w:szCs w:val="19"/>
        </w:rPr>
        <w:t xml:space="preserve">Realizar exposiciones que den a conocer la historia o cultura preferentemente del Municipio de Tonalá, Jalisco; </w:t>
      </w:r>
    </w:p>
    <w:p w14:paraId="3A47475C"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 </w:t>
      </w:r>
      <w:r>
        <w:rPr>
          <w:rFonts w:ascii="Gotham" w:hAnsi="Gotham" w:cs="Arial"/>
          <w:sz w:val="19"/>
          <w:szCs w:val="19"/>
        </w:rPr>
        <w:tab/>
      </w:r>
      <w:r w:rsidRPr="000228BA">
        <w:rPr>
          <w:rFonts w:ascii="Gotham" w:hAnsi="Gotham" w:cs="Arial"/>
          <w:sz w:val="19"/>
          <w:szCs w:val="19"/>
        </w:rPr>
        <w:t>Fungir como responsable del Área Coordinadora de Archivos;</w:t>
      </w:r>
    </w:p>
    <w:p w14:paraId="3A47475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XII. </w:t>
      </w:r>
      <w:r>
        <w:rPr>
          <w:rFonts w:ascii="Gotham" w:hAnsi="Gotham" w:cs="Arial"/>
          <w:sz w:val="19"/>
          <w:szCs w:val="19"/>
        </w:rPr>
        <w:tab/>
      </w:r>
      <w:r w:rsidRPr="000228BA">
        <w:rPr>
          <w:rFonts w:ascii="Gotham" w:hAnsi="Gotham" w:cs="Arial"/>
          <w:sz w:val="19"/>
          <w:szCs w:val="19"/>
        </w:rPr>
        <w:t xml:space="preserve">Instalar y formalizar el Grupo Interdisciplinario, formar parte del mismo, convocar a las reuniones de trabajo y fungir como moderador en las mismas, será  encargado de llevar el registro y seguimiento de los acuerdos y compromisos establecidos, conservando las constancias respectivas. </w:t>
      </w:r>
    </w:p>
    <w:p w14:paraId="3A47475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XIII. </w:t>
      </w:r>
      <w:r>
        <w:rPr>
          <w:rFonts w:ascii="Gotham" w:hAnsi="Gotham" w:cs="Arial"/>
          <w:sz w:val="19"/>
          <w:szCs w:val="19"/>
        </w:rPr>
        <w:tab/>
      </w:r>
      <w:r w:rsidRPr="000228BA">
        <w:rPr>
          <w:rFonts w:ascii="Gotham" w:hAnsi="Gotham" w:cs="Arial"/>
          <w:sz w:val="19"/>
          <w:szCs w:val="19"/>
        </w:rPr>
        <w:t xml:space="preserve">Establecer comunicación oficial con el Archivo General del Estado, el Archivo General de la Nacional, el Instituto Nacional de Antropología e Historia, la Secretaria de Cultura (federal y estatal), así como demás dependencias gubernamental u organismos de la sociedad civil, que permitan a través de acciones coordinadas dar cumplimiento a los objetivos institucionales, sea a través de convenios de colaboración u otros instrumentos jurídicos. </w:t>
      </w:r>
    </w:p>
    <w:p w14:paraId="3A47475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XIV. </w:t>
      </w:r>
      <w:r>
        <w:rPr>
          <w:rFonts w:ascii="Gotham" w:hAnsi="Gotham" w:cs="Arial"/>
          <w:sz w:val="19"/>
          <w:szCs w:val="19"/>
        </w:rPr>
        <w:tab/>
      </w:r>
      <w:r w:rsidRPr="000228BA">
        <w:rPr>
          <w:rFonts w:ascii="Gotham" w:hAnsi="Gotham" w:cs="Arial"/>
          <w:sz w:val="19"/>
          <w:szCs w:val="19"/>
        </w:rPr>
        <w:t>Gestionar ante el Poder Ejecutivo del Estado de Jalisco y Federal, la obtención de recursos económicos, para la promoción de la capacitación, equipamiento y sistematización de los archivos.</w:t>
      </w:r>
      <w:r w:rsidR="00883EC2">
        <w:rPr>
          <w:rFonts w:ascii="Gotham" w:hAnsi="Gotham" w:cs="Arial"/>
          <w:sz w:val="19"/>
          <w:szCs w:val="19"/>
        </w:rPr>
        <w:t xml:space="preserve"> </w:t>
      </w:r>
      <w:r w:rsidRPr="000228BA">
        <w:rPr>
          <w:rFonts w:ascii="Gotham" w:hAnsi="Gotham" w:cs="Arial"/>
          <w:sz w:val="19"/>
          <w:szCs w:val="19"/>
        </w:rPr>
        <w:t xml:space="preserve"> </w:t>
      </w:r>
    </w:p>
    <w:p w14:paraId="3A474760" w14:textId="77777777" w:rsidR="009B5E39" w:rsidRPr="000228BA" w:rsidRDefault="009B5E39" w:rsidP="009B5E39">
      <w:pPr>
        <w:ind w:left="1134" w:right="283" w:hanging="850"/>
        <w:jc w:val="both"/>
        <w:rPr>
          <w:rFonts w:ascii="Gotham" w:hAnsi="Gotham" w:cs="Arial"/>
          <w:color w:val="000000" w:themeColor="text1"/>
          <w:sz w:val="19"/>
          <w:szCs w:val="19"/>
        </w:rPr>
      </w:pPr>
      <w:r w:rsidRPr="000228BA">
        <w:rPr>
          <w:rFonts w:ascii="Gotham" w:hAnsi="Gotham" w:cs="Arial"/>
          <w:color w:val="000000" w:themeColor="text1"/>
          <w:sz w:val="19"/>
          <w:szCs w:val="19"/>
        </w:rPr>
        <w:lastRenderedPageBreak/>
        <w:t xml:space="preserve">XV. </w:t>
      </w:r>
      <w:r>
        <w:rPr>
          <w:rFonts w:ascii="Gotham" w:hAnsi="Gotham" w:cs="Arial"/>
          <w:color w:val="000000" w:themeColor="text1"/>
          <w:sz w:val="19"/>
          <w:szCs w:val="19"/>
        </w:rPr>
        <w:tab/>
      </w:r>
      <w:r w:rsidRPr="000228BA">
        <w:rPr>
          <w:rFonts w:ascii="Gotham" w:hAnsi="Gotham" w:cs="Arial"/>
          <w:color w:val="000000" w:themeColor="text1"/>
          <w:sz w:val="19"/>
          <w:szCs w:val="19"/>
        </w:rPr>
        <w:t>Las demás que establezcan otras disposiciones legales reglamentarias y aplicables en la materia.</w:t>
      </w:r>
    </w:p>
    <w:p w14:paraId="3A474761" w14:textId="77777777" w:rsidR="009B5E39" w:rsidRDefault="009B5E39" w:rsidP="009B5E39">
      <w:pPr>
        <w:ind w:left="284" w:right="283"/>
        <w:jc w:val="both"/>
        <w:rPr>
          <w:rFonts w:ascii="Gotham" w:hAnsi="Gotham" w:cs="Arial"/>
          <w:b/>
          <w:sz w:val="19"/>
          <w:szCs w:val="19"/>
        </w:rPr>
      </w:pPr>
    </w:p>
    <w:p w14:paraId="3A47476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64.</w:t>
      </w:r>
      <w:r w:rsidRPr="000228BA">
        <w:rPr>
          <w:rFonts w:ascii="Gotham" w:hAnsi="Gotham" w:cs="Arial"/>
          <w:sz w:val="19"/>
          <w:szCs w:val="19"/>
        </w:rPr>
        <w:t xml:space="preserve"> Son funciones de la Jefatura de Archivo General Municipal:</w:t>
      </w:r>
    </w:p>
    <w:p w14:paraId="3A474763" w14:textId="77777777" w:rsidR="009B5E39" w:rsidRDefault="009B5E39" w:rsidP="009B5E39">
      <w:pPr>
        <w:ind w:left="284" w:right="283"/>
        <w:jc w:val="both"/>
        <w:rPr>
          <w:rFonts w:ascii="Gotham" w:hAnsi="Gotham" w:cs="Arial"/>
          <w:sz w:val="19"/>
          <w:szCs w:val="19"/>
        </w:rPr>
      </w:pPr>
    </w:p>
    <w:p w14:paraId="3A47476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Cuidar de la exacta observancia de este Reglamento, resoluciones y acuerdos relativos al Archivo General Municipal, y consultar con la Secretaría General del Ayuntamiento todas las reformas o mejoras que estime convenientes o realizables;</w:t>
      </w:r>
    </w:p>
    <w:p w14:paraId="3A47476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Preservar, organizar y administrar el archivo del municipio, clasificar los documentos que allí se concentran, llevar registro de éstos; así como, de la recepción y envío de los mismos a las instancias competentes; </w:t>
      </w:r>
    </w:p>
    <w:p w14:paraId="3A47476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Conservar, restaurar, difundir y reproducir el acervo documental del municipio que se considere de interés para el público en general; </w:t>
      </w:r>
    </w:p>
    <w:p w14:paraId="3A474767"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Establecer el servicio de préstamo y consulta de documentación del Archivo General, en los términos de la normatividad aplicable; </w:t>
      </w:r>
    </w:p>
    <w:p w14:paraId="3A47476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 xml:space="preserve">Atender a la población en las consultas que realice; así como, proporcionarle los servicios relativos al banco de datos e información documental, estadística e histórica, conforme lo dispuesto en la normatividad aplicable; </w:t>
      </w:r>
    </w:p>
    <w:p w14:paraId="3A47476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 xml:space="preserve">Facilitar los documentos en resguardo, para su consulta y en su caso fotocopiarlos, conforme lo dispuesto en la normatividad aplicable; </w:t>
      </w:r>
    </w:p>
    <w:p w14:paraId="3A47476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 </w:t>
      </w:r>
      <w:r>
        <w:rPr>
          <w:rFonts w:ascii="Gotham" w:hAnsi="Gotham" w:cs="Arial"/>
          <w:sz w:val="19"/>
          <w:szCs w:val="19"/>
        </w:rPr>
        <w:tab/>
      </w:r>
      <w:r w:rsidRPr="000228BA">
        <w:rPr>
          <w:rFonts w:ascii="Gotham" w:hAnsi="Gotham" w:cs="Arial"/>
          <w:sz w:val="19"/>
          <w:szCs w:val="19"/>
        </w:rPr>
        <w:t xml:space="preserve">Emitir a las dependencias competentes los informes que le sean solicitados, conforme lo dispuesto en la normatividad; </w:t>
      </w:r>
    </w:p>
    <w:p w14:paraId="3A47476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VIII. </w:t>
      </w:r>
      <w:r>
        <w:rPr>
          <w:rFonts w:ascii="Gotham" w:hAnsi="Gotham" w:cs="Arial"/>
          <w:sz w:val="19"/>
          <w:szCs w:val="19"/>
        </w:rPr>
        <w:tab/>
      </w:r>
      <w:r w:rsidRPr="000228BA">
        <w:rPr>
          <w:rFonts w:ascii="Gotham" w:hAnsi="Gotham" w:cs="Arial"/>
          <w:sz w:val="19"/>
          <w:szCs w:val="19"/>
        </w:rPr>
        <w:t xml:space="preserve">Proponer a las dependencias competentes, las políticas, criterios y acciones necesarias para la preservación de los documentos; </w:t>
      </w:r>
    </w:p>
    <w:p w14:paraId="3A47476C"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IX. </w:t>
      </w:r>
      <w:r>
        <w:rPr>
          <w:rFonts w:ascii="Gotham" w:hAnsi="Gotham" w:cs="Arial"/>
          <w:sz w:val="19"/>
          <w:szCs w:val="19"/>
        </w:rPr>
        <w:tab/>
      </w:r>
      <w:r w:rsidRPr="000228BA">
        <w:rPr>
          <w:rFonts w:ascii="Gotham" w:hAnsi="Gotham" w:cs="Arial"/>
          <w:sz w:val="19"/>
          <w:szCs w:val="19"/>
        </w:rPr>
        <w:t xml:space="preserve">Informar al Secretario General del Ayuntamiento sobre las actividades e investigaciones realizadas por la dependencia, así como del estado que guarda el Archivo General; </w:t>
      </w:r>
    </w:p>
    <w:p w14:paraId="3A47476D"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 </w:t>
      </w:r>
      <w:r>
        <w:rPr>
          <w:rFonts w:ascii="Gotham" w:hAnsi="Gotham" w:cs="Arial"/>
          <w:sz w:val="19"/>
          <w:szCs w:val="19"/>
        </w:rPr>
        <w:tab/>
      </w:r>
      <w:r w:rsidRPr="000228BA">
        <w:rPr>
          <w:rFonts w:ascii="Gotham" w:hAnsi="Gotham" w:cs="Arial"/>
          <w:sz w:val="19"/>
          <w:szCs w:val="19"/>
        </w:rPr>
        <w:t xml:space="preserve">Asesorar técnicamente en asuntos de su competencia, a los titulares de las dependencias municipales; así como comunicarles las deficiencias que existen en la documentación que envían al Archivo General y en su manejo; </w:t>
      </w:r>
    </w:p>
    <w:p w14:paraId="3A47476E"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 </w:t>
      </w:r>
      <w:r>
        <w:rPr>
          <w:rFonts w:ascii="Gotham" w:hAnsi="Gotham" w:cs="Arial"/>
          <w:sz w:val="19"/>
          <w:szCs w:val="19"/>
        </w:rPr>
        <w:tab/>
      </w:r>
      <w:r w:rsidRPr="000228BA">
        <w:rPr>
          <w:rFonts w:ascii="Gotham" w:hAnsi="Gotham" w:cs="Arial"/>
          <w:sz w:val="19"/>
          <w:szCs w:val="19"/>
        </w:rPr>
        <w:t xml:space="preserve">Elaborar y remitir al Ayuntamiento a través de la Secretaría General del Ayuntamiento, el dictamen técnico que sustente la depuración de documentos, conforme a la normatividad aplicable; </w:t>
      </w:r>
    </w:p>
    <w:p w14:paraId="3A47476F"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XII. </w:t>
      </w:r>
      <w:r>
        <w:rPr>
          <w:rFonts w:ascii="Gotham" w:hAnsi="Gotham" w:cs="Arial"/>
          <w:sz w:val="19"/>
          <w:szCs w:val="19"/>
        </w:rPr>
        <w:tab/>
      </w:r>
      <w:r w:rsidRPr="000228BA">
        <w:rPr>
          <w:rFonts w:ascii="Gotham" w:hAnsi="Gotham" w:cs="Arial"/>
          <w:sz w:val="19"/>
          <w:szCs w:val="19"/>
        </w:rPr>
        <w:t>Autorizar las transferencias promovidas por el Grupo Interdisciplinario;</w:t>
      </w:r>
    </w:p>
    <w:p w14:paraId="3A474770"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XIII. </w:t>
      </w:r>
      <w:r>
        <w:rPr>
          <w:rFonts w:ascii="Gotham" w:hAnsi="Gotham" w:cs="Arial"/>
          <w:sz w:val="19"/>
          <w:szCs w:val="19"/>
        </w:rPr>
        <w:tab/>
      </w:r>
      <w:r w:rsidRPr="000228BA">
        <w:rPr>
          <w:rFonts w:ascii="Gotham" w:hAnsi="Gotham" w:cs="Arial"/>
          <w:sz w:val="19"/>
          <w:szCs w:val="19"/>
        </w:rPr>
        <w:t>Ser la responsable de la ejecución de la baja documental o de transferencia secundaria dictaminada por el Grupo Interdisciplinario.</w:t>
      </w:r>
    </w:p>
    <w:p w14:paraId="3A474771"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XIV. </w:t>
      </w:r>
      <w:r>
        <w:rPr>
          <w:rFonts w:ascii="Gotham" w:hAnsi="Gotham" w:cs="Arial"/>
          <w:sz w:val="19"/>
          <w:szCs w:val="19"/>
        </w:rPr>
        <w:tab/>
      </w:r>
      <w:r w:rsidRPr="000228BA">
        <w:rPr>
          <w:rFonts w:ascii="Gotham" w:hAnsi="Gotham" w:cs="Arial"/>
          <w:sz w:val="19"/>
          <w:szCs w:val="19"/>
        </w:rPr>
        <w:t>Vigilar el adecuado manejo de documentos históricos que hagan los usuarios, así como de que no salga del Archivo General Municipal, ningún documento o copia sin la debida autorización;</w:t>
      </w:r>
    </w:p>
    <w:p w14:paraId="3A474772"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XV. </w:t>
      </w:r>
      <w:r>
        <w:rPr>
          <w:rFonts w:ascii="Gotham" w:hAnsi="Gotham" w:cs="Arial"/>
          <w:sz w:val="19"/>
          <w:szCs w:val="19"/>
        </w:rPr>
        <w:tab/>
      </w:r>
      <w:r w:rsidRPr="000228BA">
        <w:rPr>
          <w:rFonts w:ascii="Gotham" w:hAnsi="Gotham" w:cs="Arial"/>
          <w:sz w:val="19"/>
          <w:szCs w:val="19"/>
        </w:rPr>
        <w:t>Apoyar la capacitación de su personal a través de cursos, congresos y seminarios;</w:t>
      </w:r>
    </w:p>
    <w:p w14:paraId="3A474773"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XVI. </w:t>
      </w:r>
      <w:r>
        <w:rPr>
          <w:rFonts w:ascii="Gotham" w:hAnsi="Gotham" w:cs="Arial"/>
          <w:sz w:val="19"/>
          <w:szCs w:val="19"/>
        </w:rPr>
        <w:tab/>
      </w:r>
      <w:r w:rsidRPr="000228BA">
        <w:rPr>
          <w:rFonts w:ascii="Gotham" w:hAnsi="Gotham" w:cs="Arial"/>
          <w:sz w:val="19"/>
          <w:szCs w:val="19"/>
        </w:rPr>
        <w:t>Emitir la constancia de no adeudo de préstamo documental o de procesos de valoración y disposición documental al Archivo General Municipal;</w:t>
      </w:r>
    </w:p>
    <w:p w14:paraId="3A47477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XVII. </w:t>
      </w:r>
      <w:r>
        <w:rPr>
          <w:rFonts w:ascii="Gotham" w:hAnsi="Gotham" w:cs="Arial"/>
          <w:sz w:val="19"/>
          <w:szCs w:val="19"/>
        </w:rPr>
        <w:tab/>
      </w:r>
      <w:r w:rsidRPr="000228BA">
        <w:rPr>
          <w:rFonts w:ascii="Gotham" w:hAnsi="Gotham" w:cs="Arial"/>
          <w:sz w:val="19"/>
          <w:szCs w:val="19"/>
        </w:rPr>
        <w:t>Realizar una planeación anual de actividades y proponer cuadros de clasificación, catálogos, guías y/o manuales; sistemas de organización técnica, rescate de documentos y digitalización de documentos;</w:t>
      </w:r>
    </w:p>
    <w:p w14:paraId="3A47477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lastRenderedPageBreak/>
        <w:t xml:space="preserve">XVIII. </w:t>
      </w:r>
      <w:r>
        <w:rPr>
          <w:rFonts w:ascii="Gotham" w:hAnsi="Gotham" w:cs="Arial"/>
          <w:sz w:val="19"/>
          <w:szCs w:val="19"/>
        </w:rPr>
        <w:tab/>
      </w:r>
      <w:r w:rsidRPr="000228BA">
        <w:rPr>
          <w:rFonts w:ascii="Gotham" w:hAnsi="Gotham" w:cs="Arial"/>
          <w:sz w:val="19"/>
          <w:szCs w:val="19"/>
        </w:rPr>
        <w:t xml:space="preserve">Elaborar los manuales de organización y de procedimientos del Archivo General, en coordinación con las dependencias competentes, enviarlos para su aprobación, registro y aplicarlos; </w:t>
      </w:r>
    </w:p>
    <w:p w14:paraId="3A47477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XIX. </w:t>
      </w:r>
      <w:r>
        <w:rPr>
          <w:rFonts w:ascii="Gotham" w:hAnsi="Gotham" w:cs="Arial"/>
          <w:sz w:val="19"/>
          <w:szCs w:val="19"/>
        </w:rPr>
        <w:tab/>
      </w:r>
      <w:r w:rsidRPr="000228BA">
        <w:rPr>
          <w:rFonts w:ascii="Gotham" w:hAnsi="Gotham" w:cs="Arial"/>
          <w:sz w:val="19"/>
          <w:szCs w:val="19"/>
        </w:rPr>
        <w:t>Informar al Secretario General del Ayuntamiento, los avances de sus actividades y los resultados de sus análisis estadísticos que permitan medir la capacidad de respuesta del Archivo General en los términos y condiciones que indique la misma;</w:t>
      </w:r>
    </w:p>
    <w:p w14:paraId="3A474777" w14:textId="77777777" w:rsidR="009B5E39" w:rsidRPr="000228BA" w:rsidRDefault="009B5E39" w:rsidP="009B5E39">
      <w:pPr>
        <w:spacing w:after="120"/>
        <w:ind w:left="1134" w:right="283" w:hanging="850"/>
        <w:jc w:val="both"/>
        <w:rPr>
          <w:rFonts w:ascii="Gotham" w:hAnsi="Gotham" w:cs="Arial"/>
          <w:color w:val="000000" w:themeColor="text1"/>
          <w:sz w:val="19"/>
          <w:szCs w:val="19"/>
        </w:rPr>
      </w:pPr>
      <w:r w:rsidRPr="000228BA">
        <w:rPr>
          <w:rFonts w:ascii="Gotham" w:hAnsi="Gotham" w:cs="Arial"/>
          <w:color w:val="000000" w:themeColor="text1"/>
          <w:sz w:val="19"/>
          <w:szCs w:val="19"/>
        </w:rPr>
        <w:t xml:space="preserve">XX. </w:t>
      </w:r>
      <w:r>
        <w:rPr>
          <w:rFonts w:ascii="Gotham" w:hAnsi="Gotham" w:cs="Arial"/>
          <w:color w:val="000000" w:themeColor="text1"/>
          <w:sz w:val="19"/>
          <w:szCs w:val="19"/>
        </w:rPr>
        <w:tab/>
      </w:r>
      <w:r w:rsidRPr="000228BA">
        <w:rPr>
          <w:rFonts w:ascii="Gotham" w:hAnsi="Gotham" w:cs="Arial"/>
          <w:color w:val="000000" w:themeColor="text1"/>
          <w:sz w:val="19"/>
          <w:szCs w:val="19"/>
        </w:rPr>
        <w:t xml:space="preserve">Celebrar acuerdos y convenios con archivos públicos y privados, centros de servicio y de difusión e instituciones de investigación para intercambio cultural; </w:t>
      </w:r>
    </w:p>
    <w:p w14:paraId="3A47477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XXI. </w:t>
      </w:r>
      <w:r>
        <w:rPr>
          <w:rFonts w:ascii="Gotham" w:hAnsi="Gotham" w:cs="Arial"/>
          <w:sz w:val="19"/>
          <w:szCs w:val="19"/>
        </w:rPr>
        <w:tab/>
      </w:r>
      <w:r w:rsidRPr="000228BA">
        <w:rPr>
          <w:rFonts w:ascii="Gotham" w:hAnsi="Gotham" w:cs="Arial"/>
          <w:sz w:val="19"/>
          <w:szCs w:val="19"/>
        </w:rPr>
        <w:t xml:space="preserve">Coadyuvar con la Secretaría General del Ayuntamiento, cotejando la información que se encuentra en resguardo del Archivo General Municipal, para su respectiva certificación; </w:t>
      </w:r>
    </w:p>
    <w:p w14:paraId="3A47477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XXII. </w:t>
      </w:r>
      <w:r>
        <w:rPr>
          <w:rFonts w:ascii="Gotham" w:hAnsi="Gotham" w:cs="Arial"/>
          <w:sz w:val="19"/>
          <w:szCs w:val="19"/>
        </w:rPr>
        <w:tab/>
      </w:r>
      <w:r w:rsidRPr="000228BA">
        <w:rPr>
          <w:rFonts w:ascii="Gotham" w:hAnsi="Gotham" w:cs="Arial"/>
          <w:sz w:val="19"/>
          <w:szCs w:val="19"/>
        </w:rPr>
        <w:t>Celebrar acuerdos interinstitucionales y convenios con instituciones educativas, centros de investigación y organismos públicos o privados, para recibir servicios de capacitación en materia de archivos; y</w:t>
      </w:r>
    </w:p>
    <w:p w14:paraId="3A47477A"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XXIII. </w:t>
      </w:r>
      <w:r>
        <w:rPr>
          <w:rFonts w:ascii="Gotham" w:hAnsi="Gotham" w:cs="Arial"/>
          <w:sz w:val="19"/>
          <w:szCs w:val="19"/>
        </w:rPr>
        <w:tab/>
      </w:r>
      <w:r w:rsidRPr="000228BA">
        <w:rPr>
          <w:rFonts w:ascii="Gotham" w:hAnsi="Gotham" w:cs="Arial"/>
          <w:sz w:val="19"/>
          <w:szCs w:val="19"/>
        </w:rPr>
        <w:t>Las demás que le sean encomendadas por el Secretario General del Ayuntamiento en el ámbito de su competencia y especialidad.</w:t>
      </w:r>
    </w:p>
    <w:p w14:paraId="3A47477B" w14:textId="77777777" w:rsidR="009B5E39" w:rsidRDefault="009B5E39" w:rsidP="009B5E39">
      <w:pPr>
        <w:ind w:left="284" w:right="283"/>
        <w:jc w:val="center"/>
        <w:rPr>
          <w:rFonts w:ascii="Gotham" w:hAnsi="Gotham" w:cs="Arial"/>
          <w:b/>
          <w:sz w:val="19"/>
          <w:szCs w:val="19"/>
        </w:rPr>
      </w:pPr>
    </w:p>
    <w:p w14:paraId="3A47477C" w14:textId="77777777" w:rsidR="009B5E39" w:rsidRPr="000228BA" w:rsidRDefault="009B5E39" w:rsidP="009B5E39">
      <w:pPr>
        <w:ind w:left="284" w:right="283"/>
        <w:jc w:val="center"/>
        <w:rPr>
          <w:rFonts w:ascii="Gotham" w:hAnsi="Gotham" w:cs="Arial"/>
          <w:b/>
          <w:sz w:val="19"/>
          <w:szCs w:val="19"/>
        </w:rPr>
      </w:pPr>
    </w:p>
    <w:p w14:paraId="3A47477D"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CAPÍTULO X</w:t>
      </w:r>
    </w:p>
    <w:p w14:paraId="3A47477E"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 LA RESTAURACIÓN DE DOCUMENTOS</w:t>
      </w:r>
    </w:p>
    <w:p w14:paraId="3A47477F" w14:textId="77777777" w:rsidR="009B5E39" w:rsidRPr="000228BA" w:rsidRDefault="009B5E39" w:rsidP="009B5E39">
      <w:pPr>
        <w:ind w:left="284" w:right="283"/>
        <w:jc w:val="both"/>
        <w:rPr>
          <w:rFonts w:ascii="Gotham" w:hAnsi="Gotham" w:cs="Arial"/>
          <w:b/>
          <w:sz w:val="19"/>
          <w:szCs w:val="19"/>
        </w:rPr>
      </w:pPr>
    </w:p>
    <w:p w14:paraId="3A474780"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65.</w:t>
      </w:r>
      <w:r w:rsidRPr="000228BA">
        <w:rPr>
          <w:rFonts w:ascii="Gotham" w:hAnsi="Gotham" w:cs="Arial"/>
          <w:sz w:val="19"/>
          <w:szCs w:val="19"/>
        </w:rPr>
        <w:t xml:space="preserve"> La restauración de documentos se realizará estrictamente cuando sea necesario y será responsabilidad del titular del Archivo Histórico y del Archivo General Municipal, quienes deberán encomendar esta labor al personal especializado en dicha materia.</w:t>
      </w:r>
    </w:p>
    <w:p w14:paraId="3A474781" w14:textId="77777777" w:rsidR="009B5E39" w:rsidRDefault="009B5E39" w:rsidP="009B5E39">
      <w:pPr>
        <w:ind w:left="284" w:right="283"/>
        <w:jc w:val="both"/>
        <w:rPr>
          <w:rFonts w:ascii="Gotham" w:hAnsi="Gotham" w:cs="Arial"/>
          <w:b/>
          <w:sz w:val="19"/>
          <w:szCs w:val="19"/>
        </w:rPr>
      </w:pPr>
    </w:p>
    <w:p w14:paraId="3A47478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66.</w:t>
      </w:r>
      <w:r w:rsidRPr="000228BA">
        <w:rPr>
          <w:rFonts w:ascii="Gotham" w:hAnsi="Gotham" w:cs="Arial"/>
          <w:sz w:val="19"/>
          <w:szCs w:val="19"/>
        </w:rPr>
        <w:t xml:space="preserve"> A los documentos que sean objeto de restauración se le deberá anexar una ficha técnica que contenga los siguientes datos respecto al documento a ser restaurado.</w:t>
      </w:r>
    </w:p>
    <w:p w14:paraId="3A474783" w14:textId="77777777" w:rsidR="009B5E39" w:rsidRDefault="009B5E39" w:rsidP="009B5E39">
      <w:pPr>
        <w:ind w:left="284" w:right="283"/>
        <w:jc w:val="both"/>
        <w:rPr>
          <w:rFonts w:ascii="Gotham" w:hAnsi="Gotham" w:cs="Arial"/>
          <w:sz w:val="19"/>
          <w:szCs w:val="19"/>
        </w:rPr>
      </w:pPr>
    </w:p>
    <w:p w14:paraId="3A47478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Fondo;</w:t>
      </w:r>
    </w:p>
    <w:p w14:paraId="3A47478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Serie;</w:t>
      </w:r>
    </w:p>
    <w:p w14:paraId="3A47478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Tipo de documento (libro, mapa, plano, expediente, fotografía, entre otros; y</w:t>
      </w:r>
    </w:p>
    <w:p w14:paraId="3A474787"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Tipo de daño que presenta.</w:t>
      </w:r>
    </w:p>
    <w:p w14:paraId="3A474788" w14:textId="77777777" w:rsidR="009B5E39" w:rsidRDefault="009B5E39" w:rsidP="009B5E39">
      <w:pPr>
        <w:ind w:left="284" w:right="283"/>
        <w:jc w:val="both"/>
        <w:rPr>
          <w:rFonts w:ascii="Gotham" w:hAnsi="Gotham" w:cs="Arial"/>
          <w:b/>
          <w:sz w:val="19"/>
          <w:szCs w:val="19"/>
        </w:rPr>
      </w:pPr>
    </w:p>
    <w:p w14:paraId="3A47478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67.</w:t>
      </w:r>
      <w:r w:rsidRPr="000228BA">
        <w:rPr>
          <w:rFonts w:ascii="Gotham" w:hAnsi="Gotham" w:cs="Arial"/>
          <w:sz w:val="19"/>
          <w:szCs w:val="19"/>
        </w:rPr>
        <w:t xml:space="preserve"> Una vez que se turne el documento para su restauración, el personal especializado emitirá dictamen por escrito donde especificará el tipo de daño que presenta el documento; las acciones necesarias para su restauración; el tiempo, material, herramientas y número de intervenciones que se requieren; o la opinión de que el documento no es susceptible de ser restaurado.</w:t>
      </w:r>
    </w:p>
    <w:p w14:paraId="3A47478A" w14:textId="77777777" w:rsidR="009B5E39" w:rsidRDefault="009B5E39" w:rsidP="009B5E39">
      <w:pPr>
        <w:ind w:left="284" w:right="283"/>
        <w:jc w:val="both"/>
        <w:rPr>
          <w:rFonts w:ascii="Gotham" w:hAnsi="Gotham" w:cs="Arial"/>
          <w:b/>
          <w:sz w:val="19"/>
          <w:szCs w:val="19"/>
        </w:rPr>
      </w:pPr>
    </w:p>
    <w:p w14:paraId="3A47478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68.</w:t>
      </w:r>
      <w:r w:rsidRPr="000228BA">
        <w:rPr>
          <w:rFonts w:ascii="Gotham" w:hAnsi="Gotham" w:cs="Arial"/>
          <w:sz w:val="19"/>
          <w:szCs w:val="19"/>
        </w:rPr>
        <w:t xml:space="preserve"> A los documentos que sean objeto de restauración se les deberá anexar:</w:t>
      </w:r>
    </w:p>
    <w:p w14:paraId="3A47478C" w14:textId="77777777" w:rsidR="009B5E39" w:rsidRDefault="009B5E39" w:rsidP="009B5E39">
      <w:pPr>
        <w:ind w:left="284" w:right="283"/>
        <w:jc w:val="both"/>
        <w:rPr>
          <w:rFonts w:ascii="Gotham" w:hAnsi="Gotham" w:cs="Arial"/>
          <w:sz w:val="19"/>
          <w:szCs w:val="19"/>
        </w:rPr>
      </w:pPr>
    </w:p>
    <w:p w14:paraId="3A47478D" w14:textId="77777777" w:rsidR="009B5E39" w:rsidRPr="000228BA" w:rsidRDefault="009B5E39" w:rsidP="009B5E39">
      <w:pPr>
        <w:spacing w:after="24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Las especificaciones y las técnicas de reposición;</w:t>
      </w:r>
    </w:p>
    <w:p w14:paraId="3A47478E" w14:textId="77777777" w:rsidR="009B5E39" w:rsidRPr="000228BA" w:rsidRDefault="009B5E39" w:rsidP="009B5E39">
      <w:pPr>
        <w:spacing w:after="24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Si la información del documento ha sido alterada o no;</w:t>
      </w:r>
    </w:p>
    <w:p w14:paraId="3A47478F" w14:textId="77777777" w:rsidR="009B5E39" w:rsidRPr="000228BA" w:rsidRDefault="009B5E39" w:rsidP="009B5E39">
      <w:pPr>
        <w:spacing w:after="24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Las recomendaciones de uso y cuidado;</w:t>
      </w:r>
    </w:p>
    <w:p w14:paraId="3A474790" w14:textId="77777777" w:rsidR="009B5E39" w:rsidRPr="000228BA" w:rsidRDefault="009B5E39" w:rsidP="009B5E39">
      <w:pPr>
        <w:spacing w:after="24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La fecha en que el documento deberá recibir mantenimiento, a efecto de su conservación.</w:t>
      </w:r>
    </w:p>
    <w:p w14:paraId="3A474791"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Esta constancia la deberá otorgar el titular del Archivo Histórico y el responsable del trabajo de restauración.</w:t>
      </w:r>
    </w:p>
    <w:p w14:paraId="3A474792" w14:textId="77777777" w:rsidR="009B5E39" w:rsidRDefault="009B5E39" w:rsidP="009B5E39">
      <w:pPr>
        <w:ind w:left="284" w:right="283"/>
        <w:jc w:val="both"/>
        <w:rPr>
          <w:rFonts w:ascii="Gotham" w:hAnsi="Gotham" w:cs="Arial"/>
          <w:b/>
          <w:sz w:val="19"/>
          <w:szCs w:val="19"/>
        </w:rPr>
      </w:pPr>
    </w:p>
    <w:p w14:paraId="3A474793"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lastRenderedPageBreak/>
        <w:t>Artículo 69.</w:t>
      </w:r>
      <w:r w:rsidRPr="000228BA">
        <w:rPr>
          <w:rFonts w:ascii="Gotham" w:hAnsi="Gotham" w:cs="Arial"/>
          <w:sz w:val="19"/>
          <w:szCs w:val="19"/>
        </w:rPr>
        <w:t xml:space="preserve"> En el caso de documentos que por su estado de deterioro no puedan ser sometidos a restauración y estén en riesgo de inminente desaparición de los mismos, deberán ser reproducidos de manera facsimilar, en la medida que lo permita su condición de degradación.</w:t>
      </w:r>
    </w:p>
    <w:p w14:paraId="3A474794" w14:textId="77777777" w:rsidR="009B5E39" w:rsidRDefault="009B5E39" w:rsidP="009B5E39">
      <w:pPr>
        <w:ind w:left="284" w:right="283"/>
        <w:jc w:val="center"/>
        <w:rPr>
          <w:rFonts w:ascii="Gotham" w:hAnsi="Gotham" w:cs="Arial"/>
          <w:b/>
          <w:sz w:val="19"/>
          <w:szCs w:val="19"/>
        </w:rPr>
      </w:pPr>
    </w:p>
    <w:p w14:paraId="3A474795" w14:textId="77777777" w:rsidR="009B5E39" w:rsidRPr="000228BA" w:rsidRDefault="009B5E39" w:rsidP="009B5E39">
      <w:pPr>
        <w:ind w:left="284" w:right="283"/>
        <w:jc w:val="center"/>
        <w:rPr>
          <w:rFonts w:ascii="Gotham" w:hAnsi="Gotham" w:cs="Arial"/>
          <w:b/>
          <w:sz w:val="19"/>
          <w:szCs w:val="19"/>
        </w:rPr>
      </w:pPr>
    </w:p>
    <w:p w14:paraId="3A474796"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CAPÍTULO XI</w:t>
      </w:r>
    </w:p>
    <w:p w14:paraId="3A474797"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GESTIÓN DOCUMENTAL ELECTRÓNICA</w:t>
      </w:r>
    </w:p>
    <w:p w14:paraId="3A474798" w14:textId="77777777" w:rsidR="009B5E39" w:rsidRPr="000228BA" w:rsidRDefault="009B5E39" w:rsidP="009B5E39">
      <w:pPr>
        <w:ind w:left="284" w:right="283"/>
        <w:jc w:val="center"/>
        <w:rPr>
          <w:rFonts w:ascii="Gotham" w:hAnsi="Gotham" w:cs="Arial"/>
          <w:b/>
          <w:sz w:val="19"/>
          <w:szCs w:val="19"/>
        </w:rPr>
      </w:pPr>
    </w:p>
    <w:p w14:paraId="3A47479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70.</w:t>
      </w:r>
      <w:r w:rsidRPr="000228BA">
        <w:rPr>
          <w:rFonts w:ascii="Gotham" w:hAnsi="Gotham" w:cs="Arial"/>
          <w:sz w:val="19"/>
          <w:szCs w:val="19"/>
        </w:rPr>
        <w:t xml:space="preserve"> Además de los procesos de gestión documental, se deberá contemplar para la gestión documental electrónica la incorporación, asignación de acceso, seguridad, almacenamiento, uso y trazabilidad de los metadatos.</w:t>
      </w:r>
    </w:p>
    <w:p w14:paraId="3A47479A" w14:textId="77777777" w:rsidR="009B5E39" w:rsidRDefault="009B5E39" w:rsidP="009B5E39">
      <w:pPr>
        <w:ind w:left="284" w:right="283"/>
        <w:jc w:val="both"/>
        <w:rPr>
          <w:rFonts w:ascii="Gotham" w:hAnsi="Gotham" w:cs="Arial"/>
          <w:b/>
          <w:sz w:val="19"/>
          <w:szCs w:val="19"/>
        </w:rPr>
      </w:pPr>
    </w:p>
    <w:p w14:paraId="3A47479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71.</w:t>
      </w:r>
      <w:r w:rsidRPr="000228BA">
        <w:rPr>
          <w:rFonts w:ascii="Gotham" w:hAnsi="Gotham" w:cs="Arial"/>
          <w:sz w:val="19"/>
          <w:szCs w:val="19"/>
        </w:rPr>
        <w:t xml:space="preserve"> El Programa Anual establecerá los procedimientos para la generación, administración, uso y control de los expedientes electrónicos, así como un plan de preservación a largo plazo que contemplen la migración, la emulación o cualquier otro método de conservación de los documentos de expedientes electrónicos que propongan los avances tecnológicos apoyándose en las disposiciones emanadas de los Consejo Nacional y Estatal.</w:t>
      </w:r>
    </w:p>
    <w:p w14:paraId="3A47479C" w14:textId="77777777" w:rsidR="009B5E39" w:rsidRDefault="009B5E39" w:rsidP="009B5E39">
      <w:pPr>
        <w:ind w:left="284" w:right="283"/>
        <w:jc w:val="both"/>
        <w:rPr>
          <w:rFonts w:ascii="Gotham" w:hAnsi="Gotham" w:cs="Arial"/>
          <w:b/>
          <w:sz w:val="19"/>
          <w:szCs w:val="19"/>
        </w:rPr>
      </w:pPr>
    </w:p>
    <w:p w14:paraId="3A47479D"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72.</w:t>
      </w:r>
      <w:r w:rsidRPr="000228BA">
        <w:rPr>
          <w:rFonts w:ascii="Gotham" w:hAnsi="Gotham" w:cs="Arial"/>
          <w:sz w:val="19"/>
          <w:szCs w:val="19"/>
        </w:rPr>
        <w:t xml:space="preserve"> Se deberán incorporar medidas de seguridad informática que garanticen la integridad y disponibilidad de los documentos de expedientes electrónicos, así como su control y administración archivística de acuerdo con los lineamientos que emita el Consejo Nacional y Estatal.</w:t>
      </w:r>
    </w:p>
    <w:p w14:paraId="3A47479E" w14:textId="77777777" w:rsidR="009B5E39" w:rsidRDefault="009B5E39" w:rsidP="009B5E39">
      <w:pPr>
        <w:ind w:left="284" w:right="283"/>
        <w:jc w:val="both"/>
        <w:rPr>
          <w:rFonts w:ascii="Gotham" w:hAnsi="Gotham" w:cs="Arial"/>
          <w:b/>
          <w:sz w:val="19"/>
          <w:szCs w:val="19"/>
        </w:rPr>
      </w:pPr>
    </w:p>
    <w:p w14:paraId="3A47479F"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73.</w:t>
      </w:r>
      <w:r w:rsidRPr="000228BA">
        <w:rPr>
          <w:rFonts w:ascii="Gotham" w:hAnsi="Gotham" w:cs="Arial"/>
          <w:sz w:val="19"/>
          <w:szCs w:val="19"/>
        </w:rPr>
        <w:t xml:space="preserve"> Se deberán de gestionar los documentos de expedientes electrónicos en el servicio de nube del Municipio de Tonalá, Jalisco.</w:t>
      </w:r>
    </w:p>
    <w:p w14:paraId="3A4747A0" w14:textId="77777777" w:rsidR="009B5E39" w:rsidRDefault="009B5E39" w:rsidP="009B5E39">
      <w:pPr>
        <w:ind w:left="284" w:right="283"/>
        <w:jc w:val="both"/>
        <w:rPr>
          <w:rFonts w:ascii="Gotham" w:hAnsi="Gotham" w:cs="Arial"/>
          <w:b/>
          <w:sz w:val="19"/>
          <w:szCs w:val="19"/>
        </w:rPr>
      </w:pPr>
    </w:p>
    <w:p w14:paraId="3A4747A1"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74.</w:t>
      </w:r>
      <w:r w:rsidRPr="000228BA">
        <w:rPr>
          <w:rFonts w:ascii="Gotham" w:hAnsi="Gotham" w:cs="Arial"/>
          <w:sz w:val="19"/>
          <w:szCs w:val="19"/>
        </w:rPr>
        <w:t xml:space="preserve"> Igualmente se deberán de desarrollar medidas de interoperabilidad que permitan la Gestión Documental integral, considerando lo siguiente:</w:t>
      </w:r>
    </w:p>
    <w:p w14:paraId="3A4747A2" w14:textId="77777777" w:rsidR="009B5E39" w:rsidRDefault="009B5E39" w:rsidP="009B5E39">
      <w:pPr>
        <w:ind w:left="284" w:right="283"/>
        <w:jc w:val="both"/>
        <w:rPr>
          <w:rFonts w:ascii="Gotham" w:hAnsi="Gotham" w:cs="Arial"/>
          <w:sz w:val="19"/>
          <w:szCs w:val="19"/>
        </w:rPr>
      </w:pPr>
    </w:p>
    <w:p w14:paraId="3A4747A3"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El Expediente Electrónico, la digitalización, el copiado autentico y conversión, la política de firma electrónica;</w:t>
      </w:r>
    </w:p>
    <w:p w14:paraId="3A4747A4"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La edición de videos históricos;</w:t>
      </w:r>
    </w:p>
    <w:p w14:paraId="3A4747A5"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Diseñar y alimentar la página del Archivo General Municipal;</w:t>
      </w:r>
    </w:p>
    <w:p w14:paraId="3A4747A6"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Difundir lo que en el Archivo General Municipal se lleva a cabo; y</w:t>
      </w:r>
    </w:p>
    <w:p w14:paraId="3A4747A7" w14:textId="77777777" w:rsidR="009B5E39"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Respaldar la información que se resguarda en el Archivo General Municipal.</w:t>
      </w:r>
      <w:r w:rsidRPr="000228BA">
        <w:rPr>
          <w:rFonts w:ascii="Gotham" w:hAnsi="Gotham" w:cs="Arial"/>
          <w:sz w:val="19"/>
          <w:szCs w:val="19"/>
        </w:rPr>
        <w:cr/>
      </w:r>
    </w:p>
    <w:p w14:paraId="3A4747A8" w14:textId="77777777" w:rsidR="009B5E39" w:rsidRPr="000228BA" w:rsidRDefault="009B5E39" w:rsidP="009B5E39">
      <w:pPr>
        <w:ind w:left="284" w:right="283"/>
        <w:jc w:val="both"/>
        <w:rPr>
          <w:rFonts w:ascii="Gotham" w:hAnsi="Gotham" w:cs="Arial"/>
          <w:sz w:val="19"/>
          <w:szCs w:val="19"/>
        </w:rPr>
      </w:pPr>
    </w:p>
    <w:p w14:paraId="3A4747A9"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CAPÍTULO XII</w:t>
      </w:r>
    </w:p>
    <w:p w14:paraId="3A4747AA"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 LOS EXPEDIENTES ELECTRÓNICOS</w:t>
      </w:r>
    </w:p>
    <w:p w14:paraId="3A4747AB" w14:textId="77777777" w:rsidR="009B5E39" w:rsidRPr="000228BA" w:rsidRDefault="009B5E39" w:rsidP="009B5E39">
      <w:pPr>
        <w:ind w:left="284" w:right="283"/>
        <w:jc w:val="center"/>
        <w:rPr>
          <w:rFonts w:ascii="Gotham" w:hAnsi="Gotham" w:cs="Arial"/>
          <w:b/>
          <w:sz w:val="19"/>
          <w:szCs w:val="19"/>
        </w:rPr>
      </w:pPr>
    </w:p>
    <w:p w14:paraId="3A4747AC"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75. </w:t>
      </w:r>
      <w:r w:rsidRPr="000228BA">
        <w:rPr>
          <w:rFonts w:ascii="Gotham" w:hAnsi="Gotham" w:cs="Arial"/>
          <w:sz w:val="19"/>
          <w:szCs w:val="19"/>
        </w:rPr>
        <w:t>Además de los procesos de gestión documental previstos en esta ley, se deberá contemplar para la gestión documental electrónica la incorporación, asignación de acceso, seguridad, almacenamiento, uso y trazabilidad de los metadatos.</w:t>
      </w:r>
    </w:p>
    <w:p w14:paraId="3A4747AD" w14:textId="77777777" w:rsidR="009B5E39" w:rsidRPr="000228BA" w:rsidRDefault="009B5E39" w:rsidP="009B5E39">
      <w:pPr>
        <w:ind w:left="284" w:right="283"/>
        <w:jc w:val="both"/>
        <w:rPr>
          <w:rFonts w:ascii="Gotham" w:hAnsi="Gotham" w:cs="Arial"/>
          <w:b/>
          <w:sz w:val="19"/>
          <w:szCs w:val="19"/>
        </w:rPr>
      </w:pPr>
    </w:p>
    <w:p w14:paraId="3A4747AE"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76. </w:t>
      </w:r>
      <w:r w:rsidRPr="000228BA">
        <w:rPr>
          <w:rFonts w:ascii="Gotham" w:hAnsi="Gotham" w:cs="Arial"/>
          <w:sz w:val="19"/>
          <w:szCs w:val="19"/>
        </w:rPr>
        <w:t>Los sujetos obligados establecerán en su programa anual los procedimientos para la generación, administración, uso y control de los expedientes electrónicos, así como un plan de preservación a largo plazo que contemplen la migración, la emulación o cualquier otro método de conservación de los documentos de expediente electrónicos que propongan los avances tecnológicos apoyándose en las disposiciones emanadas de los Consejos Nacional y Estatal.</w:t>
      </w:r>
    </w:p>
    <w:p w14:paraId="3A4747AF" w14:textId="77777777" w:rsidR="009B5E39" w:rsidRPr="000228BA" w:rsidRDefault="009B5E39" w:rsidP="009B5E39">
      <w:pPr>
        <w:ind w:left="284" w:right="283"/>
        <w:jc w:val="both"/>
        <w:rPr>
          <w:rFonts w:ascii="Gotham" w:hAnsi="Gotham" w:cs="Arial"/>
          <w:b/>
          <w:sz w:val="19"/>
          <w:szCs w:val="19"/>
        </w:rPr>
      </w:pPr>
    </w:p>
    <w:p w14:paraId="3A4747B0"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77. </w:t>
      </w:r>
      <w:r w:rsidRPr="000228BA">
        <w:rPr>
          <w:rFonts w:ascii="Gotham" w:hAnsi="Gotham" w:cs="Arial"/>
          <w:sz w:val="19"/>
          <w:szCs w:val="19"/>
        </w:rPr>
        <w:t xml:space="preserve">Los documentos de expedientes electrónicos que pertenezcan a series documentales con valor histórico se deberán conservar en sus formatos originales, así como una copia de su representación gráfica o visual. </w:t>
      </w:r>
    </w:p>
    <w:p w14:paraId="3A4747B1" w14:textId="77777777" w:rsidR="009B5E39" w:rsidRPr="000228BA" w:rsidRDefault="009B5E39" w:rsidP="009B5E39">
      <w:pPr>
        <w:ind w:left="284" w:right="283"/>
        <w:jc w:val="both"/>
        <w:rPr>
          <w:rFonts w:ascii="Gotham" w:hAnsi="Gotham" w:cs="Arial"/>
          <w:sz w:val="19"/>
          <w:szCs w:val="19"/>
        </w:rPr>
      </w:pPr>
    </w:p>
    <w:p w14:paraId="3A4747B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lastRenderedPageBreak/>
        <w:t>En lo que respecta a los metadatos de los archivos, además de lo anterior, en caso de ser necesario, los sujetos obligados adoptarán medidas de protección de datos personales de acuerdo a la normatividad vigente.</w:t>
      </w:r>
    </w:p>
    <w:p w14:paraId="3A4747B3" w14:textId="77777777" w:rsidR="009B5E39" w:rsidRPr="000228BA" w:rsidRDefault="009B5E39" w:rsidP="009B5E39">
      <w:pPr>
        <w:ind w:left="284" w:right="283"/>
        <w:jc w:val="both"/>
        <w:rPr>
          <w:rFonts w:ascii="Gotham" w:hAnsi="Gotham" w:cs="Arial"/>
          <w:b/>
          <w:sz w:val="19"/>
          <w:szCs w:val="19"/>
        </w:rPr>
      </w:pPr>
    </w:p>
    <w:p w14:paraId="3A4747B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78. </w:t>
      </w:r>
      <w:r w:rsidRPr="000228BA">
        <w:rPr>
          <w:rFonts w:ascii="Gotham" w:hAnsi="Gotham" w:cs="Arial"/>
          <w:sz w:val="19"/>
          <w:szCs w:val="19"/>
        </w:rPr>
        <w:t>Los sujetos obligados adoptarán las medidas de organización, técnicas y tecnológicas para garantizar la recuperación y conservación de los documentos de expedientes electrónicos producidos y recibidos que se encuentren en un sistema automatizado para la gestión documental y administración de archivos, bases de datos y correos electrónicos a lo largo de su ciclo vital.</w:t>
      </w:r>
    </w:p>
    <w:p w14:paraId="3A4747B5" w14:textId="77777777" w:rsidR="009B5E39" w:rsidRPr="000228BA" w:rsidRDefault="009B5E39" w:rsidP="009B5E39">
      <w:pPr>
        <w:ind w:left="284" w:right="283"/>
        <w:jc w:val="both"/>
        <w:rPr>
          <w:rFonts w:ascii="Gotham" w:hAnsi="Gotham" w:cs="Arial"/>
          <w:b/>
          <w:sz w:val="19"/>
          <w:szCs w:val="19"/>
        </w:rPr>
      </w:pPr>
    </w:p>
    <w:p w14:paraId="3A4747B6"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79. </w:t>
      </w:r>
      <w:r w:rsidRPr="000228BA">
        <w:rPr>
          <w:rFonts w:ascii="Gotham" w:hAnsi="Gotham" w:cs="Arial"/>
          <w:sz w:val="19"/>
          <w:szCs w:val="19"/>
        </w:rPr>
        <w:t>Los sujetos obligados deberán implementar sistemas automatizados para la gestión documental y administración de archivos que permitan mantener, registrar y controlar los documentos contenidos en sus archivos en el orden original en que fueron producidos, que incluyen la producción, organización, acceso, consulta, valoración documental, disposición documental y conservación, en los términos que establezcan el Consejo Nacional de Archivo y las disposiciones jurídicas aplicables.</w:t>
      </w:r>
    </w:p>
    <w:p w14:paraId="3A4747B7" w14:textId="77777777" w:rsidR="009B5E39" w:rsidRPr="000228BA" w:rsidRDefault="009B5E39" w:rsidP="009B5E39">
      <w:pPr>
        <w:ind w:left="284" w:right="283"/>
        <w:jc w:val="both"/>
        <w:rPr>
          <w:rFonts w:ascii="Gotham" w:hAnsi="Gotham" w:cs="Arial"/>
          <w:b/>
          <w:sz w:val="19"/>
          <w:szCs w:val="19"/>
        </w:rPr>
      </w:pPr>
    </w:p>
    <w:p w14:paraId="3A4747B8" w14:textId="77777777" w:rsidR="009B5E39" w:rsidRPr="000228BA" w:rsidRDefault="009B5E39" w:rsidP="00883EC2">
      <w:pPr>
        <w:pStyle w:val="Estilo"/>
        <w:ind w:left="284" w:right="283"/>
        <w:jc w:val="both"/>
        <w:rPr>
          <w:rFonts w:ascii="Gotham" w:hAnsi="Gotham"/>
          <w:sz w:val="19"/>
          <w:szCs w:val="19"/>
        </w:rPr>
      </w:pPr>
      <w:r w:rsidRPr="000228BA">
        <w:rPr>
          <w:rFonts w:ascii="Gotham" w:hAnsi="Gotham"/>
          <w:b/>
          <w:sz w:val="19"/>
          <w:szCs w:val="19"/>
        </w:rPr>
        <w:t>Artículo 80.</w:t>
      </w:r>
      <w:r w:rsidRPr="000228BA">
        <w:rPr>
          <w:rFonts w:ascii="Gotham" w:hAnsi="Gotham"/>
          <w:sz w:val="19"/>
          <w:szCs w:val="19"/>
        </w:rPr>
        <w:t xml:space="preserve"> Los sujetos obligados que, por sus atribuciones, utilicen la firma electrónica avanzada para realizar trámites o proporcionar servicios que impliquen la certificación de identidad del solicitante, generarán documentos de expediente electrónico con validez jurídica de acuerdo con la reglamentación y normatividad aplicable en la materia y las disposiciones que para el efecto se emitan.</w:t>
      </w:r>
    </w:p>
    <w:p w14:paraId="3A4747B9" w14:textId="77777777" w:rsidR="009B5E39" w:rsidRPr="000228BA" w:rsidRDefault="009B5E39" w:rsidP="009B5E39">
      <w:pPr>
        <w:pStyle w:val="Estilo"/>
        <w:ind w:left="284" w:right="283"/>
        <w:rPr>
          <w:rFonts w:ascii="Gotham" w:hAnsi="Gotham"/>
          <w:sz w:val="19"/>
          <w:szCs w:val="19"/>
        </w:rPr>
      </w:pPr>
    </w:p>
    <w:p w14:paraId="3A4747BA" w14:textId="77777777" w:rsidR="009B5E39" w:rsidRPr="000228BA" w:rsidRDefault="009B5E39" w:rsidP="009B5E39">
      <w:pPr>
        <w:ind w:left="284" w:right="283"/>
        <w:jc w:val="center"/>
        <w:rPr>
          <w:rFonts w:ascii="Gotham" w:hAnsi="Gotham" w:cs="Arial"/>
          <w:b/>
          <w:sz w:val="19"/>
          <w:szCs w:val="19"/>
        </w:rPr>
      </w:pPr>
    </w:p>
    <w:p w14:paraId="3A4747BB"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CAPÍTULO XIII</w:t>
      </w:r>
    </w:p>
    <w:p w14:paraId="3A4747BC"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 LAS DENUNCIAS</w:t>
      </w:r>
    </w:p>
    <w:p w14:paraId="3A4747BD" w14:textId="77777777" w:rsidR="009B5E39" w:rsidRPr="000228BA" w:rsidRDefault="009B5E39" w:rsidP="009B5E39">
      <w:pPr>
        <w:ind w:left="284" w:right="283"/>
        <w:jc w:val="center"/>
        <w:rPr>
          <w:rFonts w:ascii="Gotham" w:hAnsi="Gotham" w:cs="Arial"/>
          <w:b/>
          <w:sz w:val="19"/>
          <w:szCs w:val="19"/>
        </w:rPr>
      </w:pPr>
    </w:p>
    <w:p w14:paraId="3A4747BE"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 xml:space="preserve">Artículo 81. </w:t>
      </w:r>
      <w:r w:rsidRPr="000228BA">
        <w:rPr>
          <w:rFonts w:ascii="Gotham" w:hAnsi="Gotham" w:cs="Arial"/>
          <w:sz w:val="19"/>
          <w:szCs w:val="19"/>
        </w:rPr>
        <w:t>Los órganos internos de control podrán recibir denuncias debidamente</w:t>
      </w:r>
      <w:r w:rsidR="00883EC2">
        <w:rPr>
          <w:rFonts w:ascii="Gotham" w:hAnsi="Gotham" w:cs="Arial"/>
          <w:sz w:val="19"/>
          <w:szCs w:val="19"/>
        </w:rPr>
        <w:t xml:space="preserve"> </w:t>
      </w:r>
      <w:r w:rsidRPr="000228BA">
        <w:rPr>
          <w:rFonts w:ascii="Gotham" w:hAnsi="Gotham" w:cs="Arial"/>
          <w:sz w:val="19"/>
          <w:szCs w:val="19"/>
        </w:rPr>
        <w:t xml:space="preserve">integradas, a fin de que se realicen auditorías archivísticas que versen sobre la implementación de lineamientos emitidos por los Consejos Estatal o Nacional. </w:t>
      </w:r>
    </w:p>
    <w:p w14:paraId="3A4747BF" w14:textId="77777777" w:rsidR="009B5E39" w:rsidRPr="000228BA" w:rsidRDefault="009B5E39" w:rsidP="009B5E39">
      <w:pPr>
        <w:ind w:left="284" w:right="283"/>
        <w:jc w:val="both"/>
        <w:rPr>
          <w:rFonts w:ascii="Gotham" w:hAnsi="Gotham" w:cs="Arial"/>
          <w:sz w:val="19"/>
          <w:szCs w:val="19"/>
        </w:rPr>
      </w:pPr>
    </w:p>
    <w:p w14:paraId="3A4747C0"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82.</w:t>
      </w:r>
      <w:r w:rsidRPr="000228BA">
        <w:rPr>
          <w:rFonts w:ascii="Gotham" w:hAnsi="Gotham" w:cs="Arial"/>
          <w:sz w:val="19"/>
          <w:szCs w:val="19"/>
        </w:rPr>
        <w:t xml:space="preserve"> Los servidores públicos o funcionarios que hayan presentado alguna denuncia, no podrán ser removidos de su encargo por pérdida de confianza por dicha acción. </w:t>
      </w:r>
    </w:p>
    <w:p w14:paraId="3A4747C1" w14:textId="77777777" w:rsidR="009B5E39" w:rsidRPr="000228BA" w:rsidRDefault="009B5E39" w:rsidP="009B5E39">
      <w:pPr>
        <w:ind w:left="284" w:right="283"/>
        <w:jc w:val="both"/>
        <w:rPr>
          <w:rFonts w:ascii="Gotham" w:hAnsi="Gotham" w:cs="Arial"/>
          <w:sz w:val="19"/>
          <w:szCs w:val="19"/>
        </w:rPr>
      </w:pPr>
    </w:p>
    <w:p w14:paraId="3A4747C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83</w:t>
      </w:r>
      <w:r w:rsidRPr="000228BA">
        <w:rPr>
          <w:rFonts w:ascii="Gotham" w:hAnsi="Gotham" w:cs="Arial"/>
          <w:sz w:val="19"/>
          <w:szCs w:val="19"/>
        </w:rPr>
        <w:t>. Las auditorías archivísticas de ninguna manera son parte de las cuentas públicas por tratarse de procesos de seguimiento a los lineamientos del Consejo Nacional y el presente reglamento.</w:t>
      </w:r>
    </w:p>
    <w:p w14:paraId="3A4747C3" w14:textId="77777777" w:rsidR="009B5E39" w:rsidRPr="000228BA" w:rsidRDefault="009B5E39" w:rsidP="009B5E39">
      <w:pPr>
        <w:ind w:left="284" w:right="283"/>
        <w:jc w:val="both"/>
        <w:rPr>
          <w:rFonts w:ascii="Gotham" w:hAnsi="Gotham" w:cs="Arial"/>
          <w:sz w:val="19"/>
          <w:szCs w:val="19"/>
        </w:rPr>
      </w:pPr>
    </w:p>
    <w:p w14:paraId="3A4747C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Cuando se detecten irregularidades en la aplicación de recursos públicos en materia de este reglamento, el órgano interno de control llevará a cabo todas las acciones resarcitorias que correspondan. </w:t>
      </w:r>
    </w:p>
    <w:p w14:paraId="3A4747C5" w14:textId="77777777" w:rsidR="009B5E39" w:rsidRPr="000228BA" w:rsidRDefault="009B5E39" w:rsidP="009B5E39">
      <w:pPr>
        <w:ind w:left="284" w:right="283"/>
        <w:jc w:val="both"/>
        <w:rPr>
          <w:rFonts w:ascii="Gotham" w:hAnsi="Gotham" w:cs="Arial"/>
          <w:sz w:val="19"/>
          <w:szCs w:val="19"/>
        </w:rPr>
      </w:pPr>
    </w:p>
    <w:p w14:paraId="3A4747C6"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84.</w:t>
      </w:r>
      <w:r w:rsidRPr="000228BA">
        <w:rPr>
          <w:rFonts w:ascii="Gotham" w:hAnsi="Gotham" w:cs="Arial"/>
          <w:sz w:val="19"/>
          <w:szCs w:val="19"/>
        </w:rPr>
        <w:t xml:space="preserve"> En caso de incumplimiento por parte del sujeto directo responsable, el órgano interno de control iniciará el procedimiento administrativo de responsabilidad correspondiente. </w:t>
      </w:r>
    </w:p>
    <w:p w14:paraId="3A4747C7" w14:textId="77777777" w:rsidR="009B5E39" w:rsidRPr="000228BA" w:rsidRDefault="009B5E39" w:rsidP="009B5E39">
      <w:pPr>
        <w:ind w:left="284" w:right="283"/>
        <w:jc w:val="both"/>
        <w:rPr>
          <w:rFonts w:ascii="Gotham" w:hAnsi="Gotham" w:cs="Arial"/>
          <w:b/>
          <w:sz w:val="19"/>
          <w:szCs w:val="19"/>
        </w:rPr>
      </w:pPr>
    </w:p>
    <w:p w14:paraId="3A4747C8"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85.</w:t>
      </w:r>
      <w:r w:rsidRPr="000228BA">
        <w:rPr>
          <w:rFonts w:ascii="Gotham" w:hAnsi="Gotham" w:cs="Arial"/>
          <w:sz w:val="19"/>
          <w:szCs w:val="19"/>
        </w:rPr>
        <w:t xml:space="preserve"> Lo dispuesto en el artículo que antecede no exime al superior jerárquico </w:t>
      </w:r>
    </w:p>
    <w:p w14:paraId="3A4747C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en materia de responsabilidades por hacer caso omiso a los requerimientos del órgano interno de control. </w:t>
      </w:r>
    </w:p>
    <w:p w14:paraId="3A4747CA" w14:textId="77777777" w:rsidR="009B5E39" w:rsidRPr="000228BA" w:rsidRDefault="009B5E39" w:rsidP="009B5E39">
      <w:pPr>
        <w:ind w:left="284" w:right="283"/>
        <w:jc w:val="both"/>
        <w:rPr>
          <w:rFonts w:ascii="Gotham" w:hAnsi="Gotham" w:cs="Arial"/>
          <w:b/>
          <w:sz w:val="19"/>
          <w:szCs w:val="19"/>
        </w:rPr>
      </w:pPr>
    </w:p>
    <w:p w14:paraId="3A4747CB"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86.</w:t>
      </w:r>
      <w:r w:rsidRPr="000228BA">
        <w:rPr>
          <w:rFonts w:ascii="Gotham" w:hAnsi="Gotham" w:cs="Arial"/>
          <w:sz w:val="19"/>
          <w:szCs w:val="19"/>
        </w:rPr>
        <w:t xml:space="preserve"> Cuando la auditoría archivística tenga por objeto verificar y evaluar al</w:t>
      </w:r>
      <w:r w:rsidR="00C9405B">
        <w:rPr>
          <w:rFonts w:ascii="Gotham" w:hAnsi="Gotham" w:cs="Arial"/>
          <w:sz w:val="19"/>
          <w:szCs w:val="19"/>
        </w:rPr>
        <w:t xml:space="preserve"> </w:t>
      </w:r>
      <w:r w:rsidRPr="000228BA">
        <w:rPr>
          <w:rFonts w:ascii="Gotham" w:hAnsi="Gotham" w:cs="Arial"/>
          <w:sz w:val="19"/>
          <w:szCs w:val="19"/>
        </w:rPr>
        <w:t>sistema institucional de archivos de un sujeto obligado, dicho informe deberá contener un pliego de observaciones con recomendaciones correctivas que no conlleven a sanción alguna.</w:t>
      </w:r>
    </w:p>
    <w:p w14:paraId="3A4747CC" w14:textId="77777777" w:rsidR="009B5E39" w:rsidRDefault="009B5E39" w:rsidP="009B5E39">
      <w:pPr>
        <w:ind w:left="284" w:right="283"/>
        <w:jc w:val="both"/>
        <w:rPr>
          <w:rFonts w:ascii="Gotham" w:hAnsi="Gotham" w:cs="Arial"/>
          <w:sz w:val="19"/>
          <w:szCs w:val="19"/>
        </w:rPr>
      </w:pPr>
    </w:p>
    <w:p w14:paraId="3A4747CD" w14:textId="77777777" w:rsidR="009B5E39" w:rsidRPr="000228BA" w:rsidRDefault="009B5E39" w:rsidP="009B5E39">
      <w:pPr>
        <w:ind w:left="284" w:right="283"/>
        <w:jc w:val="both"/>
        <w:rPr>
          <w:rFonts w:ascii="Gotham" w:hAnsi="Gotham" w:cs="Arial"/>
          <w:sz w:val="19"/>
          <w:szCs w:val="19"/>
        </w:rPr>
      </w:pPr>
    </w:p>
    <w:p w14:paraId="3A4747CE"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CAPÍTULO XIV</w:t>
      </w:r>
    </w:p>
    <w:p w14:paraId="3A4747CF" w14:textId="77777777" w:rsidR="009B5E39" w:rsidRPr="000228BA" w:rsidRDefault="009B5E39" w:rsidP="009B5E39">
      <w:pPr>
        <w:ind w:left="284" w:right="283"/>
        <w:jc w:val="center"/>
        <w:rPr>
          <w:rFonts w:ascii="Gotham" w:hAnsi="Gotham" w:cs="Arial"/>
          <w:b/>
          <w:sz w:val="19"/>
          <w:szCs w:val="19"/>
        </w:rPr>
      </w:pPr>
      <w:r w:rsidRPr="000228BA">
        <w:rPr>
          <w:rFonts w:ascii="Gotham" w:hAnsi="Gotham" w:cs="Arial"/>
          <w:b/>
          <w:sz w:val="19"/>
          <w:szCs w:val="19"/>
        </w:rPr>
        <w:t>DE LAS INFRACCIONES, SANCIONES Y RECURSOS</w:t>
      </w:r>
    </w:p>
    <w:p w14:paraId="3A4747D0" w14:textId="77777777" w:rsidR="009B5E39" w:rsidRPr="000228BA" w:rsidRDefault="009B5E39" w:rsidP="009B5E39">
      <w:pPr>
        <w:ind w:left="284" w:right="283"/>
        <w:jc w:val="center"/>
        <w:rPr>
          <w:rFonts w:ascii="Gotham" w:hAnsi="Gotham" w:cs="Arial"/>
          <w:b/>
          <w:sz w:val="19"/>
          <w:szCs w:val="19"/>
        </w:rPr>
      </w:pPr>
    </w:p>
    <w:p w14:paraId="3A4747D1"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lastRenderedPageBreak/>
        <w:t>Artículo 87.</w:t>
      </w:r>
      <w:r w:rsidRPr="000228BA">
        <w:rPr>
          <w:rFonts w:ascii="Gotham" w:hAnsi="Gotham" w:cs="Arial"/>
          <w:sz w:val="19"/>
          <w:szCs w:val="19"/>
        </w:rPr>
        <w:t xml:space="preserve"> Las responsabilidades a que se refiere este capítulo se constituirán, en primer término, a los sujetos que directamente hayan ejecutado los actos o incurran en las omisiones que las hayan originado y, subsidiariamente, y en ese orden, al titular del sujeto obligado que por la índole de sus funciones, haya omitido la revisión o autorizado tales actos, por causas que impliquen dolo, culpa o negligencia por parte de los mismos. </w:t>
      </w:r>
    </w:p>
    <w:p w14:paraId="3A4747D2" w14:textId="77777777" w:rsidR="009B5E39" w:rsidRPr="000228BA" w:rsidRDefault="009B5E39" w:rsidP="009B5E39">
      <w:pPr>
        <w:ind w:left="284" w:right="283"/>
        <w:jc w:val="both"/>
        <w:rPr>
          <w:rFonts w:ascii="Gotham" w:hAnsi="Gotham" w:cs="Arial"/>
          <w:sz w:val="19"/>
          <w:szCs w:val="19"/>
        </w:rPr>
      </w:pPr>
    </w:p>
    <w:p w14:paraId="3A4747D3"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Serán responsables solidarios con los servidores públicos, los particulares, persona física o jurídica, en los casos en que hayan participado y originado cualquier tipo de responsabilidad prevista en este título. </w:t>
      </w:r>
    </w:p>
    <w:p w14:paraId="3A4747D4" w14:textId="77777777" w:rsidR="009B5E39" w:rsidRPr="000228BA" w:rsidRDefault="009B5E39" w:rsidP="009B5E39">
      <w:pPr>
        <w:ind w:left="284" w:right="283"/>
        <w:jc w:val="both"/>
        <w:rPr>
          <w:rFonts w:ascii="Gotham" w:hAnsi="Gotham" w:cs="Arial"/>
          <w:b/>
          <w:sz w:val="19"/>
          <w:szCs w:val="19"/>
        </w:rPr>
      </w:pPr>
    </w:p>
    <w:p w14:paraId="3A4747D5"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88.</w:t>
      </w:r>
      <w:r w:rsidRPr="000228BA">
        <w:rPr>
          <w:rFonts w:ascii="Gotham" w:hAnsi="Gotham" w:cs="Arial"/>
          <w:sz w:val="19"/>
          <w:szCs w:val="19"/>
        </w:rPr>
        <w:t xml:space="preserve"> Se considerará que comete una falta administrativa no grave, el servidor público cuyos actos u omisiones incumplan o transgredan lo contenido en las obligaciones siguientes:</w:t>
      </w:r>
    </w:p>
    <w:p w14:paraId="3A4747D6" w14:textId="77777777" w:rsidR="009B5E39" w:rsidRPr="000228BA" w:rsidRDefault="009B5E39" w:rsidP="009B5E39">
      <w:pPr>
        <w:ind w:left="284" w:right="283"/>
        <w:jc w:val="both"/>
        <w:rPr>
          <w:rFonts w:ascii="Gotham" w:hAnsi="Gotham" w:cs="Arial"/>
          <w:sz w:val="19"/>
          <w:szCs w:val="19"/>
        </w:rPr>
      </w:pPr>
    </w:p>
    <w:p w14:paraId="3A4747D7"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 </w:t>
      </w:r>
      <w:r>
        <w:rPr>
          <w:rFonts w:ascii="Gotham" w:hAnsi="Gotham" w:cs="Arial"/>
          <w:sz w:val="19"/>
          <w:szCs w:val="19"/>
        </w:rPr>
        <w:tab/>
      </w:r>
      <w:r w:rsidRPr="000228BA">
        <w:rPr>
          <w:rFonts w:ascii="Gotham" w:hAnsi="Gotham" w:cs="Arial"/>
          <w:sz w:val="19"/>
          <w:szCs w:val="19"/>
        </w:rPr>
        <w:t xml:space="preserve">Impedir u obstaculizar la consulta de documentos de los archivos sin causa justificada; </w:t>
      </w:r>
    </w:p>
    <w:p w14:paraId="3A4747D8"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 </w:t>
      </w:r>
      <w:r>
        <w:rPr>
          <w:rFonts w:ascii="Gotham" w:hAnsi="Gotham" w:cs="Arial"/>
          <w:sz w:val="19"/>
          <w:szCs w:val="19"/>
        </w:rPr>
        <w:tab/>
      </w:r>
      <w:r w:rsidRPr="000228BA">
        <w:rPr>
          <w:rFonts w:ascii="Gotham" w:hAnsi="Gotham" w:cs="Arial"/>
          <w:sz w:val="19"/>
          <w:szCs w:val="19"/>
        </w:rPr>
        <w:t xml:space="preserve">Omitir publicar el catálogo de disposición documental, el dictamen y el acta de baja documental, así como el acta que se levante en caso de documentación siniestrada en los portales electrónicos; a menos que el órgano interno de control compruebe que se trató de un acto deliberado, lo cual será constitutivo de probable responsabilidad penal en los términos del Código Penal del Estado; </w:t>
      </w:r>
    </w:p>
    <w:p w14:paraId="3A4747D9"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III. </w:t>
      </w:r>
      <w:r>
        <w:rPr>
          <w:rFonts w:ascii="Gotham" w:hAnsi="Gotham" w:cs="Arial"/>
          <w:sz w:val="19"/>
          <w:szCs w:val="19"/>
        </w:rPr>
        <w:tab/>
      </w:r>
      <w:r w:rsidRPr="000228BA">
        <w:rPr>
          <w:rFonts w:ascii="Gotham" w:hAnsi="Gotham" w:cs="Arial"/>
          <w:sz w:val="19"/>
          <w:szCs w:val="19"/>
        </w:rPr>
        <w:t xml:space="preserve">Negarse a entregar los documentos que haya tenido a su disposición. Esta entrega deberá realizarse en los cinco días hábiles contados a partir de la fecha en que renuncie o se le notifique su separación del cargo, salvo que exista un plazo diferente por la disposición legal que regula los procesos de entrega - recepción, debiendo elaborar en cualquier caso un acta circunstanciada; </w:t>
      </w:r>
    </w:p>
    <w:p w14:paraId="3A4747DA"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IV. </w:t>
      </w:r>
      <w:r>
        <w:rPr>
          <w:rFonts w:ascii="Gotham" w:hAnsi="Gotham" w:cs="Arial"/>
          <w:sz w:val="19"/>
          <w:szCs w:val="19"/>
        </w:rPr>
        <w:tab/>
      </w:r>
      <w:r w:rsidRPr="000228BA">
        <w:rPr>
          <w:rFonts w:ascii="Gotham" w:hAnsi="Gotham" w:cs="Arial"/>
          <w:sz w:val="19"/>
          <w:szCs w:val="19"/>
        </w:rPr>
        <w:t xml:space="preserve">Negarse a recibir los documentos a que se refiere la fracción anterior, y verificar que correspondan al contenido del acta circunstanciada, los inventarios e informes, debiendo solicitar las aclaraciones pertinentes dentro del término de cinco días hábiles contados a partir del acto de entrega - recepción; en caso de encontrar alguna inconsistencia, deberá presentar denuncia de responsabilidad al órgano competente del que se trate; </w:t>
      </w:r>
    </w:p>
    <w:p w14:paraId="3A4747DB" w14:textId="77777777" w:rsidR="009B5E39" w:rsidRPr="000228BA" w:rsidRDefault="009B5E39" w:rsidP="009B5E39">
      <w:pPr>
        <w:spacing w:after="120"/>
        <w:ind w:left="1134" w:right="283" w:hanging="850"/>
        <w:jc w:val="both"/>
        <w:rPr>
          <w:rFonts w:ascii="Gotham" w:hAnsi="Gotham" w:cs="Arial"/>
          <w:sz w:val="19"/>
          <w:szCs w:val="19"/>
        </w:rPr>
      </w:pPr>
      <w:r w:rsidRPr="000228BA">
        <w:rPr>
          <w:rFonts w:ascii="Gotham" w:hAnsi="Gotham" w:cs="Arial"/>
          <w:sz w:val="19"/>
          <w:szCs w:val="19"/>
        </w:rPr>
        <w:t xml:space="preserve">V. </w:t>
      </w:r>
      <w:r>
        <w:rPr>
          <w:rFonts w:ascii="Gotham" w:hAnsi="Gotham" w:cs="Arial"/>
          <w:sz w:val="19"/>
          <w:szCs w:val="19"/>
        </w:rPr>
        <w:tab/>
      </w:r>
      <w:r w:rsidRPr="000228BA">
        <w:rPr>
          <w:rFonts w:ascii="Gotham" w:hAnsi="Gotham" w:cs="Arial"/>
          <w:sz w:val="19"/>
          <w:szCs w:val="19"/>
        </w:rPr>
        <w:t xml:space="preserve">Actuar con dolo o negligencia en la ejecución de medidas de índole técnica, administrativa, ambiental o tecnológica, para la conservación de los archivos; y </w:t>
      </w:r>
    </w:p>
    <w:p w14:paraId="3A4747DC" w14:textId="77777777" w:rsidR="009B5E39" w:rsidRPr="000228BA" w:rsidRDefault="009B5E39" w:rsidP="009B5E39">
      <w:pPr>
        <w:ind w:left="1134" w:right="283" w:hanging="850"/>
        <w:jc w:val="both"/>
        <w:rPr>
          <w:rFonts w:ascii="Gotham" w:hAnsi="Gotham" w:cs="Arial"/>
          <w:sz w:val="19"/>
          <w:szCs w:val="19"/>
        </w:rPr>
      </w:pPr>
      <w:r w:rsidRPr="000228BA">
        <w:rPr>
          <w:rFonts w:ascii="Gotham" w:hAnsi="Gotham" w:cs="Arial"/>
          <w:sz w:val="19"/>
          <w:szCs w:val="19"/>
        </w:rPr>
        <w:t xml:space="preserve">VI. </w:t>
      </w:r>
      <w:r>
        <w:rPr>
          <w:rFonts w:ascii="Gotham" w:hAnsi="Gotham" w:cs="Arial"/>
          <w:sz w:val="19"/>
          <w:szCs w:val="19"/>
        </w:rPr>
        <w:tab/>
      </w:r>
      <w:r w:rsidRPr="000228BA">
        <w:rPr>
          <w:rFonts w:ascii="Gotham" w:hAnsi="Gotham" w:cs="Arial"/>
          <w:sz w:val="19"/>
          <w:szCs w:val="19"/>
        </w:rPr>
        <w:t>Cualquier otra acción u omisión que contravenga lo dispuesto en este Reglamento, a la Ley de Archivos del Estado de Jalisco y sus Municipios, la Ley de Responsabilidades Políticas y Administrativas del Estado de Jalisco, y demás disposiciones aplicables que de ellos deriven.</w:t>
      </w:r>
    </w:p>
    <w:p w14:paraId="3A4747DD" w14:textId="77777777" w:rsidR="009B5E39" w:rsidRPr="000228BA" w:rsidRDefault="009B5E39" w:rsidP="009B5E39">
      <w:pPr>
        <w:ind w:left="284" w:right="283"/>
        <w:jc w:val="both"/>
        <w:rPr>
          <w:rFonts w:ascii="Gotham" w:hAnsi="Gotham" w:cs="Arial"/>
          <w:b/>
          <w:sz w:val="19"/>
          <w:szCs w:val="19"/>
        </w:rPr>
      </w:pPr>
    </w:p>
    <w:p w14:paraId="3A4747DE"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89.</w:t>
      </w:r>
      <w:r w:rsidRPr="000228BA">
        <w:rPr>
          <w:rFonts w:ascii="Gotham" w:hAnsi="Gotham" w:cs="Arial"/>
          <w:sz w:val="19"/>
          <w:szCs w:val="19"/>
        </w:rPr>
        <w:t xml:space="preserve"> Las sanciones administrativas señaladas en este reglamento son aplicables sin perjuicio de la responsabilidad civil o penal de quienes incurran en ellas. </w:t>
      </w:r>
    </w:p>
    <w:p w14:paraId="3A4747DF" w14:textId="77777777" w:rsidR="009B5E39" w:rsidRPr="000228BA" w:rsidRDefault="009B5E39" w:rsidP="009B5E39">
      <w:pPr>
        <w:ind w:left="284" w:right="283"/>
        <w:jc w:val="both"/>
        <w:rPr>
          <w:rFonts w:ascii="Gotham" w:hAnsi="Gotham" w:cs="Arial"/>
          <w:sz w:val="19"/>
          <w:szCs w:val="19"/>
        </w:rPr>
      </w:pPr>
    </w:p>
    <w:p w14:paraId="3A4747E0"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sz w:val="19"/>
          <w:szCs w:val="19"/>
        </w:rPr>
        <w:t xml:space="preserve">En caso de que existan hechos que pudieran ser constitutivos de algún delito, las  autoridades estarán obligadas a realizar la denuncia ante el Ministerio Público correspondiente, coadyuvando en la investigación y aportando todos los elementos probatorios con los que cuente. </w:t>
      </w:r>
    </w:p>
    <w:p w14:paraId="3A4747E1" w14:textId="77777777" w:rsidR="009B5E39" w:rsidRPr="000228BA" w:rsidRDefault="009B5E39" w:rsidP="009B5E39">
      <w:pPr>
        <w:ind w:left="284" w:right="283"/>
        <w:jc w:val="both"/>
        <w:rPr>
          <w:rFonts w:ascii="Gotham" w:hAnsi="Gotham" w:cs="Arial"/>
          <w:b/>
          <w:sz w:val="19"/>
          <w:szCs w:val="19"/>
        </w:rPr>
      </w:pPr>
    </w:p>
    <w:p w14:paraId="3A4747E2"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90.</w:t>
      </w:r>
      <w:r w:rsidRPr="000228BA">
        <w:rPr>
          <w:rFonts w:ascii="Gotham" w:hAnsi="Gotham" w:cs="Arial"/>
          <w:sz w:val="19"/>
          <w:szCs w:val="19"/>
        </w:rPr>
        <w:t xml:space="preserve"> El procedimiento administrativo podrá iniciarse de oficio o a petición de parte interesada. </w:t>
      </w:r>
    </w:p>
    <w:p w14:paraId="3A4747E3" w14:textId="77777777" w:rsidR="009B5E39" w:rsidRPr="000228BA" w:rsidRDefault="009B5E39" w:rsidP="009B5E39">
      <w:pPr>
        <w:ind w:left="284" w:right="283"/>
        <w:jc w:val="both"/>
        <w:rPr>
          <w:rFonts w:ascii="Gotham" w:hAnsi="Gotham" w:cs="Arial"/>
          <w:b/>
          <w:sz w:val="19"/>
          <w:szCs w:val="19"/>
        </w:rPr>
      </w:pPr>
    </w:p>
    <w:p w14:paraId="3A4747E4"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Artículo 91</w:t>
      </w:r>
      <w:r w:rsidRPr="000228BA">
        <w:rPr>
          <w:rFonts w:ascii="Gotham" w:hAnsi="Gotham" w:cs="Arial"/>
          <w:sz w:val="19"/>
          <w:szCs w:val="19"/>
        </w:rPr>
        <w:t>. En ningún caso las oficialías de parte o unidades de gestión documental podrán rechazar las denuncias administrativas o penales que se le presenten, lo que en su caso deberá remitirla ante el órgano correspondiente.</w:t>
      </w:r>
    </w:p>
    <w:p w14:paraId="3A4747E5" w14:textId="77777777" w:rsidR="009B5E39" w:rsidRPr="000228BA" w:rsidRDefault="009B5E39" w:rsidP="009B5E39">
      <w:pPr>
        <w:ind w:left="284" w:right="283"/>
        <w:jc w:val="both"/>
        <w:rPr>
          <w:rFonts w:ascii="Gotham" w:hAnsi="Gotham" w:cs="Arial"/>
          <w:sz w:val="19"/>
          <w:szCs w:val="19"/>
        </w:rPr>
      </w:pPr>
    </w:p>
    <w:p w14:paraId="3A4747E6" w14:textId="77777777" w:rsidR="009B5E39" w:rsidRPr="000228BA" w:rsidRDefault="009B5E39" w:rsidP="009B5E39">
      <w:pPr>
        <w:ind w:left="284" w:right="283"/>
        <w:jc w:val="both"/>
        <w:rPr>
          <w:rFonts w:ascii="Gotham" w:hAnsi="Gotham" w:cs="Arial"/>
          <w:sz w:val="19"/>
          <w:szCs w:val="19"/>
        </w:rPr>
      </w:pPr>
    </w:p>
    <w:p w14:paraId="3A4747E7" w14:textId="77777777" w:rsidR="009B5E39" w:rsidRDefault="009B5E39" w:rsidP="009B5E39">
      <w:pPr>
        <w:ind w:left="284" w:right="283"/>
        <w:jc w:val="center"/>
        <w:rPr>
          <w:rFonts w:ascii="Gotham" w:hAnsi="Gotham" w:cs="Arial"/>
          <w:b/>
          <w:sz w:val="19"/>
          <w:szCs w:val="19"/>
        </w:rPr>
      </w:pPr>
      <w:r w:rsidRPr="000228BA">
        <w:rPr>
          <w:rFonts w:ascii="Gotham" w:hAnsi="Gotham" w:cs="Arial"/>
          <w:b/>
          <w:sz w:val="19"/>
          <w:szCs w:val="19"/>
        </w:rPr>
        <w:t>ARTÍCULOS TRANSITORIOS</w:t>
      </w:r>
    </w:p>
    <w:p w14:paraId="3A4747E8" w14:textId="77777777" w:rsidR="009B5E39" w:rsidRPr="000228BA" w:rsidRDefault="009B5E39" w:rsidP="009B5E39">
      <w:pPr>
        <w:ind w:left="284" w:right="283"/>
        <w:jc w:val="center"/>
        <w:rPr>
          <w:rFonts w:ascii="Gotham" w:hAnsi="Gotham" w:cs="Arial"/>
          <w:b/>
          <w:sz w:val="19"/>
          <w:szCs w:val="19"/>
        </w:rPr>
      </w:pPr>
    </w:p>
    <w:p w14:paraId="3A4747E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lastRenderedPageBreak/>
        <w:t xml:space="preserve">PRIMERO. </w:t>
      </w:r>
      <w:r w:rsidRPr="000228BA">
        <w:rPr>
          <w:rFonts w:ascii="Gotham" w:hAnsi="Gotham" w:cs="Arial"/>
          <w:sz w:val="19"/>
          <w:szCs w:val="19"/>
        </w:rPr>
        <w:t>El presente Reglamento entrará en vigor al día siguiente de su publicación en la Gaceta Municipal Tlahtolli</w:t>
      </w:r>
    </w:p>
    <w:p w14:paraId="3A4747EA" w14:textId="77777777" w:rsidR="009B5E39" w:rsidRDefault="009B5E39" w:rsidP="009B5E39">
      <w:pPr>
        <w:ind w:left="284" w:right="283"/>
        <w:jc w:val="both"/>
        <w:rPr>
          <w:rFonts w:ascii="Gotham" w:hAnsi="Gotham" w:cs="Arial"/>
          <w:b/>
          <w:sz w:val="19"/>
          <w:szCs w:val="19"/>
        </w:rPr>
      </w:pPr>
    </w:p>
    <w:p w14:paraId="3A4747EB" w14:textId="77777777" w:rsidR="009B5E39" w:rsidRPr="000228BA" w:rsidRDefault="009B5E39" w:rsidP="009B5E39">
      <w:pPr>
        <w:ind w:left="284" w:right="283"/>
        <w:jc w:val="both"/>
        <w:rPr>
          <w:rFonts w:ascii="Gotham" w:hAnsi="Gotham" w:cs="Arial"/>
          <w:b/>
          <w:sz w:val="19"/>
          <w:szCs w:val="19"/>
        </w:rPr>
      </w:pPr>
      <w:r w:rsidRPr="000228BA">
        <w:rPr>
          <w:rFonts w:ascii="Gotham" w:hAnsi="Gotham" w:cs="Arial"/>
          <w:b/>
          <w:sz w:val="19"/>
          <w:szCs w:val="19"/>
        </w:rPr>
        <w:t>SEGUNDO</w:t>
      </w:r>
      <w:r w:rsidRPr="000228BA">
        <w:rPr>
          <w:rFonts w:ascii="Gotham" w:hAnsi="Gotham" w:cs="Arial"/>
          <w:sz w:val="19"/>
          <w:szCs w:val="19"/>
        </w:rPr>
        <w:t xml:space="preserve">. Se abroga el Reglamento del Archivo General del Municipio de Tonalá, Jalisco. </w:t>
      </w:r>
    </w:p>
    <w:p w14:paraId="3A4747EC" w14:textId="77777777" w:rsidR="009B5E39" w:rsidRDefault="009B5E39" w:rsidP="009B5E39">
      <w:pPr>
        <w:ind w:left="284" w:right="283"/>
        <w:jc w:val="both"/>
        <w:rPr>
          <w:rFonts w:ascii="Gotham" w:hAnsi="Gotham" w:cs="Arial"/>
          <w:b/>
          <w:sz w:val="19"/>
          <w:szCs w:val="19"/>
        </w:rPr>
      </w:pPr>
    </w:p>
    <w:p w14:paraId="3A4747ED"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TERCERO.</w:t>
      </w:r>
      <w:r w:rsidRPr="000228BA">
        <w:rPr>
          <w:rFonts w:ascii="Gotham" w:hAnsi="Gotham" w:cs="Arial"/>
          <w:sz w:val="19"/>
          <w:szCs w:val="19"/>
        </w:rPr>
        <w:t xml:space="preserve"> Los procesos administrativos, archivísticos y técnicos iniciados hasta antes de la entrada en vigor de este Reglamento, continuarán su trámite conforme al ordenamiento con el cual comenzaron a efectuarse.</w:t>
      </w:r>
    </w:p>
    <w:p w14:paraId="3A4747EE" w14:textId="77777777" w:rsidR="009B5E39" w:rsidRDefault="009B5E39" w:rsidP="009B5E39">
      <w:pPr>
        <w:ind w:left="284" w:right="283"/>
        <w:jc w:val="both"/>
        <w:rPr>
          <w:rFonts w:ascii="Gotham" w:hAnsi="Gotham" w:cs="Arial"/>
          <w:b/>
          <w:sz w:val="19"/>
          <w:szCs w:val="19"/>
        </w:rPr>
      </w:pPr>
    </w:p>
    <w:p w14:paraId="3A4747EF"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CUARTO.</w:t>
      </w:r>
      <w:r w:rsidRPr="000228BA">
        <w:rPr>
          <w:rFonts w:ascii="Gotham" w:hAnsi="Gotham" w:cs="Arial"/>
          <w:sz w:val="19"/>
          <w:szCs w:val="19"/>
        </w:rPr>
        <w:t xml:space="preserve"> La elaboración y observancia del Cuadro General de Clasificación Archivística, será obligatorio para las Áreas Operativas de los Sujetos Obligados, ello, dentro de los seis meses tomados en cuenta a partir de la entrada en vigor de este Reglamento, bajo supervisión y asesoría de la Jefatura del Archivo General Municipal de Tonalá, Jalisco.</w:t>
      </w:r>
    </w:p>
    <w:p w14:paraId="3A4747F0" w14:textId="77777777" w:rsidR="009B5E39" w:rsidRDefault="009B5E39" w:rsidP="009B5E39">
      <w:pPr>
        <w:ind w:left="284" w:right="283"/>
        <w:jc w:val="both"/>
        <w:rPr>
          <w:rFonts w:ascii="Gotham" w:hAnsi="Gotham" w:cs="Arial"/>
          <w:b/>
          <w:sz w:val="19"/>
          <w:szCs w:val="19"/>
        </w:rPr>
      </w:pPr>
    </w:p>
    <w:p w14:paraId="3A4747F1"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QUINTO.</w:t>
      </w:r>
      <w:r w:rsidRPr="000228BA">
        <w:rPr>
          <w:rFonts w:ascii="Gotham" w:hAnsi="Gotham" w:cs="Arial"/>
          <w:sz w:val="19"/>
          <w:szCs w:val="19"/>
        </w:rPr>
        <w:t xml:space="preserve"> El Catálogo de Disposición Documental entrará en vigor a partir de seis meses posteriores tomando en cuenta la obligatoriedad del Cuadro General de Clasificación Archivística.</w:t>
      </w:r>
    </w:p>
    <w:p w14:paraId="3A4747F2" w14:textId="77777777" w:rsidR="009B5E39" w:rsidRDefault="009B5E39" w:rsidP="009B5E39">
      <w:pPr>
        <w:ind w:left="284" w:right="283"/>
        <w:jc w:val="both"/>
        <w:rPr>
          <w:rFonts w:ascii="Gotham" w:hAnsi="Gotham" w:cs="Arial"/>
          <w:b/>
          <w:sz w:val="19"/>
          <w:szCs w:val="19"/>
        </w:rPr>
      </w:pPr>
    </w:p>
    <w:p w14:paraId="3A4747F3"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SEXTO</w:t>
      </w:r>
      <w:r w:rsidRPr="000228BA">
        <w:rPr>
          <w:rFonts w:ascii="Gotham" w:hAnsi="Gotham" w:cs="Arial"/>
          <w:sz w:val="19"/>
          <w:szCs w:val="19"/>
        </w:rPr>
        <w:t>. Los Inventarios Documentales, la Guía de Archivo Documental y el Índice de Expedientes Clasificados como Reservados, serán publicados y entrarán en vigor a partir de seis meses de su publicación, tomando en cuenta la obligatoriedad del Catálogo de Disposición Documental.</w:t>
      </w:r>
    </w:p>
    <w:p w14:paraId="3A4747F4" w14:textId="77777777" w:rsidR="009B5E39" w:rsidRDefault="009B5E39" w:rsidP="009B5E39">
      <w:pPr>
        <w:ind w:left="284" w:right="283"/>
        <w:jc w:val="both"/>
        <w:rPr>
          <w:rFonts w:ascii="Gotham" w:hAnsi="Gotham" w:cs="Arial"/>
          <w:b/>
          <w:sz w:val="19"/>
          <w:szCs w:val="19"/>
        </w:rPr>
      </w:pPr>
    </w:p>
    <w:p w14:paraId="3A4747F5" w14:textId="77777777" w:rsidR="009B5E39" w:rsidRPr="000228BA" w:rsidRDefault="009B5E39" w:rsidP="009B5E39">
      <w:pPr>
        <w:ind w:left="284" w:right="283"/>
        <w:jc w:val="both"/>
        <w:rPr>
          <w:rFonts w:ascii="Gotham" w:hAnsi="Gotham" w:cs="Arial"/>
          <w:b/>
          <w:sz w:val="19"/>
          <w:szCs w:val="19"/>
        </w:rPr>
      </w:pPr>
      <w:r w:rsidRPr="000228BA">
        <w:rPr>
          <w:rFonts w:ascii="Gotham" w:hAnsi="Gotham" w:cs="Arial"/>
          <w:b/>
          <w:sz w:val="19"/>
          <w:szCs w:val="19"/>
        </w:rPr>
        <w:t>SÉPTIMO.</w:t>
      </w:r>
      <w:r w:rsidRPr="000228BA">
        <w:rPr>
          <w:rFonts w:ascii="Gotham" w:hAnsi="Gotham" w:cs="Arial"/>
          <w:sz w:val="19"/>
          <w:szCs w:val="19"/>
        </w:rPr>
        <w:t xml:space="preserve"> El Grupo Interdisciplinario tendrá que constituirse dentro de los 60 treinta días hábiles a partir del día siguiente de la entrada en vigor del Reglamento.</w:t>
      </w:r>
      <w:r w:rsidRPr="000228BA">
        <w:rPr>
          <w:rFonts w:ascii="Gotham" w:hAnsi="Gotham" w:cs="Arial"/>
          <w:b/>
          <w:sz w:val="19"/>
          <w:szCs w:val="19"/>
        </w:rPr>
        <w:t xml:space="preserve"> </w:t>
      </w:r>
    </w:p>
    <w:p w14:paraId="3A4747F6" w14:textId="77777777" w:rsidR="009B5E39" w:rsidRDefault="009B5E39" w:rsidP="009B5E39">
      <w:pPr>
        <w:ind w:left="284" w:right="283"/>
        <w:jc w:val="both"/>
        <w:rPr>
          <w:rFonts w:ascii="Gotham" w:hAnsi="Gotham" w:cs="Arial"/>
          <w:b/>
          <w:sz w:val="19"/>
          <w:szCs w:val="19"/>
        </w:rPr>
      </w:pPr>
    </w:p>
    <w:p w14:paraId="3A4747F7"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OCTAVO.</w:t>
      </w:r>
      <w:r w:rsidRPr="000228BA">
        <w:rPr>
          <w:rFonts w:ascii="Gotham" w:hAnsi="Gotham" w:cs="Arial"/>
          <w:sz w:val="19"/>
          <w:szCs w:val="19"/>
        </w:rPr>
        <w:t xml:space="preserve"> El Grupo Interdisciplinario está obligado a emitir su normatividad interna a más tardar a los 30 treinta días hábiles a partir de su constitución.</w:t>
      </w:r>
    </w:p>
    <w:p w14:paraId="3A4747F8" w14:textId="77777777" w:rsidR="009B5E39" w:rsidRDefault="009B5E39" w:rsidP="009B5E39">
      <w:pPr>
        <w:ind w:left="284" w:right="283"/>
        <w:jc w:val="both"/>
        <w:rPr>
          <w:rFonts w:ascii="Gotham" w:hAnsi="Gotham" w:cs="Arial"/>
          <w:b/>
          <w:sz w:val="19"/>
          <w:szCs w:val="19"/>
        </w:rPr>
      </w:pPr>
    </w:p>
    <w:p w14:paraId="3A4747F9" w14:textId="77777777" w:rsidR="009B5E39" w:rsidRPr="000228BA" w:rsidRDefault="009B5E39" w:rsidP="009B5E39">
      <w:pPr>
        <w:ind w:left="284" w:right="283"/>
        <w:jc w:val="both"/>
        <w:rPr>
          <w:rFonts w:ascii="Gotham" w:hAnsi="Gotham" w:cs="Arial"/>
          <w:sz w:val="19"/>
          <w:szCs w:val="19"/>
        </w:rPr>
      </w:pPr>
      <w:r w:rsidRPr="000228BA">
        <w:rPr>
          <w:rFonts w:ascii="Gotham" w:hAnsi="Gotham" w:cs="Arial"/>
          <w:b/>
          <w:sz w:val="19"/>
          <w:szCs w:val="19"/>
        </w:rPr>
        <w:t>NOVENO.</w:t>
      </w:r>
      <w:r w:rsidRPr="000228BA">
        <w:rPr>
          <w:rFonts w:ascii="Gotham" w:hAnsi="Gotham" w:cs="Arial"/>
          <w:sz w:val="19"/>
          <w:szCs w:val="19"/>
        </w:rPr>
        <w:t xml:space="preserve"> Los asuntos no previstos en el presente Reglamento se resolverán aplicando supletoriamente la Ley General de Archivos, la Ley de Archivos del Estado de Jalisco y sus Municipios. </w:t>
      </w:r>
    </w:p>
    <w:p w14:paraId="3A4747FA" w14:textId="77777777" w:rsidR="009B5E39" w:rsidRPr="007F5276" w:rsidRDefault="009B5E39" w:rsidP="009B5E39">
      <w:pPr>
        <w:jc w:val="both"/>
        <w:rPr>
          <w:rFonts w:ascii="Gotham" w:hAnsi="Gotham" w:cs="Arial"/>
          <w:sz w:val="20"/>
          <w:szCs w:val="20"/>
        </w:rPr>
      </w:pPr>
    </w:p>
    <w:p w14:paraId="3A4747FB" w14:textId="77777777" w:rsidR="009B5E39" w:rsidRPr="007F5276" w:rsidRDefault="009B5E39" w:rsidP="009B5E39">
      <w:pPr>
        <w:jc w:val="both"/>
        <w:rPr>
          <w:rFonts w:ascii="Gotham" w:hAnsi="Gotham" w:cs="Arial"/>
          <w:b/>
          <w:sz w:val="20"/>
          <w:szCs w:val="20"/>
        </w:rPr>
      </w:pPr>
      <w:r w:rsidRPr="007F5276">
        <w:rPr>
          <w:rFonts w:ascii="Gotham" w:hAnsi="Gotham" w:cs="Arial"/>
          <w:b/>
          <w:sz w:val="20"/>
          <w:szCs w:val="20"/>
        </w:rPr>
        <w:t>Ahora bien, con respecto al REGLAMENTO DE TRANSPARENCIA, ACCESO A LA INFORMACIÓN PÚBLICA, PROTECCIÓN DE DATOS Y GOBIERNO ABIERTO DEL AYUNTAMIENTO DE TONALÁ, JALISCO</w:t>
      </w:r>
      <w:r w:rsidRPr="007F5276">
        <w:rPr>
          <w:rFonts w:ascii="Gotham" w:hAnsi="Gotham" w:cs="Arial"/>
          <w:sz w:val="20"/>
          <w:szCs w:val="20"/>
        </w:rPr>
        <w:t>, se propone:</w:t>
      </w:r>
      <w:r w:rsidRPr="007F5276">
        <w:rPr>
          <w:rFonts w:ascii="Gotham" w:hAnsi="Gotham" w:cs="Arial"/>
          <w:b/>
          <w:sz w:val="20"/>
          <w:szCs w:val="20"/>
        </w:rPr>
        <w:t xml:space="preserve"> </w:t>
      </w:r>
    </w:p>
    <w:p w14:paraId="3A4747FC" w14:textId="77777777" w:rsidR="009B5E39" w:rsidRPr="007F5276" w:rsidRDefault="00883EC2" w:rsidP="009B5E39">
      <w:pPr>
        <w:jc w:val="both"/>
        <w:rPr>
          <w:rFonts w:ascii="Gotham" w:hAnsi="Gotham" w:cs="Arial"/>
          <w:sz w:val="20"/>
          <w:szCs w:val="20"/>
        </w:rPr>
      </w:pPr>
      <w:r>
        <w:rPr>
          <w:rFonts w:ascii="Gotham" w:hAnsi="Gotham" w:cs="Arial"/>
          <w:sz w:val="20"/>
          <w:szCs w:val="20"/>
        </w:rPr>
        <w:t xml:space="preserve"> </w:t>
      </w:r>
    </w:p>
    <w:p w14:paraId="3A4747FD" w14:textId="77777777" w:rsidR="009B5E39" w:rsidRPr="007F5276" w:rsidRDefault="009B5E39" w:rsidP="009B5E39">
      <w:pPr>
        <w:jc w:val="both"/>
        <w:rPr>
          <w:rFonts w:ascii="Gotham" w:hAnsi="Gotham" w:cs="Arial"/>
          <w:sz w:val="20"/>
          <w:szCs w:val="20"/>
        </w:rPr>
      </w:pPr>
      <w:r w:rsidRPr="007F5276">
        <w:rPr>
          <w:rFonts w:ascii="Gotham" w:hAnsi="Gotham" w:cs="Arial"/>
          <w:sz w:val="20"/>
          <w:szCs w:val="20"/>
        </w:rPr>
        <w:t>En primer término, adicionar en el artículo 3, dos fracciones más (la VII y la XXIV) para quedar de la siguiente manera:</w:t>
      </w:r>
    </w:p>
    <w:p w14:paraId="3A4747FE" w14:textId="77777777" w:rsidR="009B5E39" w:rsidRPr="007F5276" w:rsidRDefault="009B5E39" w:rsidP="009B5E39">
      <w:pPr>
        <w:jc w:val="both"/>
        <w:rPr>
          <w:rFonts w:ascii="Gotham" w:hAnsi="Gotham" w:cs="Arial"/>
          <w:b/>
          <w:sz w:val="20"/>
          <w:szCs w:val="20"/>
        </w:rPr>
      </w:pPr>
    </w:p>
    <w:p w14:paraId="3A4747FF" w14:textId="77777777" w:rsidR="009B5E39" w:rsidRPr="007F5276" w:rsidRDefault="009B5E39" w:rsidP="009B5E39">
      <w:pPr>
        <w:ind w:left="284" w:right="283"/>
        <w:jc w:val="both"/>
        <w:rPr>
          <w:rFonts w:ascii="Gotham" w:hAnsi="Gotham" w:cs="Arial"/>
          <w:sz w:val="19"/>
          <w:szCs w:val="19"/>
        </w:rPr>
      </w:pPr>
      <w:r w:rsidRPr="007F5276">
        <w:rPr>
          <w:rFonts w:ascii="Gotham" w:hAnsi="Gotham" w:cs="Arial"/>
          <w:b/>
          <w:sz w:val="19"/>
          <w:szCs w:val="19"/>
        </w:rPr>
        <w:t>Artículo 3.</w:t>
      </w:r>
      <w:r w:rsidRPr="007F5276">
        <w:rPr>
          <w:rFonts w:ascii="Gotham" w:hAnsi="Gotham" w:cs="Arial"/>
          <w:sz w:val="19"/>
          <w:szCs w:val="19"/>
        </w:rPr>
        <w:t xml:space="preserve"> Del glosario.</w:t>
      </w:r>
    </w:p>
    <w:p w14:paraId="3A474800" w14:textId="77777777" w:rsidR="009B5E39" w:rsidRDefault="009B5E39" w:rsidP="009B5E39">
      <w:pPr>
        <w:ind w:left="284" w:right="283"/>
        <w:jc w:val="both"/>
        <w:rPr>
          <w:rFonts w:ascii="Gotham" w:hAnsi="Gotham" w:cs="Arial"/>
          <w:sz w:val="19"/>
          <w:szCs w:val="19"/>
        </w:rPr>
      </w:pPr>
    </w:p>
    <w:p w14:paraId="3A474801" w14:textId="77777777" w:rsidR="009B5E39" w:rsidRPr="007F5276" w:rsidRDefault="009B5E39" w:rsidP="009B5E39">
      <w:pPr>
        <w:ind w:left="284" w:right="283"/>
        <w:jc w:val="both"/>
        <w:rPr>
          <w:rFonts w:ascii="Gotham" w:hAnsi="Gotham" w:cs="Arial"/>
          <w:sz w:val="19"/>
          <w:szCs w:val="19"/>
        </w:rPr>
      </w:pPr>
      <w:r w:rsidRPr="007F5276">
        <w:rPr>
          <w:rFonts w:ascii="Gotham" w:hAnsi="Gotham" w:cs="Arial"/>
          <w:sz w:val="19"/>
          <w:szCs w:val="19"/>
        </w:rPr>
        <w:t>Además de las definiciones establecidas en la Ley, para los efectos del presente Reglamento, se entenderá por:</w:t>
      </w:r>
    </w:p>
    <w:p w14:paraId="3A474802" w14:textId="77777777" w:rsidR="009B5E39" w:rsidRDefault="009B5E39" w:rsidP="009B5E39">
      <w:pPr>
        <w:ind w:left="284" w:right="283"/>
        <w:jc w:val="both"/>
        <w:rPr>
          <w:rFonts w:ascii="Gotham" w:hAnsi="Gotham" w:cs="Arial"/>
          <w:sz w:val="19"/>
          <w:szCs w:val="19"/>
        </w:rPr>
      </w:pPr>
    </w:p>
    <w:p w14:paraId="3A474803"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I. </w:t>
      </w:r>
      <w:r>
        <w:rPr>
          <w:rFonts w:ascii="Gotham" w:hAnsi="Gotham" w:cs="Arial"/>
          <w:sz w:val="19"/>
          <w:szCs w:val="19"/>
        </w:rPr>
        <w:tab/>
      </w:r>
      <w:r w:rsidRPr="007F5276">
        <w:rPr>
          <w:rFonts w:ascii="Gotham" w:hAnsi="Gotham" w:cs="Arial"/>
          <w:sz w:val="19"/>
          <w:szCs w:val="19"/>
        </w:rPr>
        <w:t>Ajuste Razonable: Modificaciones y/o adaptaciones necesarias para garantizar a las personas con discapacidad, así como a los integrantes de los pueblos y comunidades indígenas el goce del derecho de acceso</w:t>
      </w:r>
      <w:r w:rsidR="00883EC2">
        <w:rPr>
          <w:rFonts w:ascii="Gotham" w:hAnsi="Gotham" w:cs="Arial"/>
          <w:sz w:val="19"/>
          <w:szCs w:val="19"/>
        </w:rPr>
        <w:t xml:space="preserve"> </w:t>
      </w:r>
      <w:r w:rsidRPr="007F5276">
        <w:rPr>
          <w:rFonts w:ascii="Gotham" w:hAnsi="Gotham" w:cs="Arial"/>
          <w:sz w:val="19"/>
          <w:szCs w:val="19"/>
        </w:rPr>
        <w:t>a</w:t>
      </w:r>
      <w:r w:rsidR="00883EC2">
        <w:rPr>
          <w:rFonts w:ascii="Gotham" w:hAnsi="Gotham" w:cs="Arial"/>
          <w:sz w:val="19"/>
          <w:szCs w:val="19"/>
        </w:rPr>
        <w:t xml:space="preserve"> </w:t>
      </w:r>
      <w:r w:rsidRPr="007F5276">
        <w:rPr>
          <w:rFonts w:ascii="Gotham" w:hAnsi="Gotham" w:cs="Arial"/>
          <w:sz w:val="19"/>
          <w:szCs w:val="19"/>
        </w:rPr>
        <w:t>la</w:t>
      </w:r>
      <w:r w:rsidR="00883EC2">
        <w:rPr>
          <w:rFonts w:ascii="Gotham" w:hAnsi="Gotham" w:cs="Arial"/>
          <w:sz w:val="19"/>
          <w:szCs w:val="19"/>
        </w:rPr>
        <w:t xml:space="preserve"> </w:t>
      </w:r>
      <w:r w:rsidRPr="007F5276">
        <w:rPr>
          <w:rFonts w:ascii="Gotham" w:hAnsi="Gotham" w:cs="Arial"/>
          <w:sz w:val="19"/>
          <w:szCs w:val="19"/>
        </w:rPr>
        <w:t>información,</w:t>
      </w:r>
      <w:r w:rsidR="00883EC2">
        <w:rPr>
          <w:rFonts w:ascii="Gotham" w:hAnsi="Gotham" w:cs="Arial"/>
          <w:sz w:val="19"/>
          <w:szCs w:val="19"/>
        </w:rPr>
        <w:t xml:space="preserve"> </w:t>
      </w:r>
      <w:r w:rsidRPr="007F5276">
        <w:rPr>
          <w:rFonts w:ascii="Gotham" w:hAnsi="Gotham" w:cs="Arial"/>
          <w:sz w:val="19"/>
          <w:szCs w:val="19"/>
        </w:rPr>
        <w:t>en</w:t>
      </w:r>
      <w:r w:rsidR="00883EC2">
        <w:rPr>
          <w:rFonts w:ascii="Gotham" w:hAnsi="Gotham" w:cs="Arial"/>
          <w:sz w:val="19"/>
          <w:szCs w:val="19"/>
        </w:rPr>
        <w:t xml:space="preserve"> </w:t>
      </w:r>
      <w:r w:rsidRPr="007F5276">
        <w:rPr>
          <w:rFonts w:ascii="Gotham" w:hAnsi="Gotham" w:cs="Arial"/>
          <w:sz w:val="19"/>
          <w:szCs w:val="19"/>
        </w:rPr>
        <w:t>igualdad de condiciones;</w:t>
      </w:r>
    </w:p>
    <w:p w14:paraId="3A474804"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II. </w:t>
      </w:r>
      <w:r>
        <w:rPr>
          <w:rFonts w:ascii="Gotham" w:hAnsi="Gotham" w:cs="Arial"/>
          <w:sz w:val="19"/>
          <w:szCs w:val="19"/>
        </w:rPr>
        <w:tab/>
      </w:r>
      <w:r w:rsidRPr="007F5276">
        <w:rPr>
          <w:rFonts w:ascii="Gotham" w:hAnsi="Gotham" w:cs="Arial"/>
          <w:sz w:val="19"/>
          <w:szCs w:val="19"/>
        </w:rPr>
        <w:t>ARCO: Acceso, Rectificación, Cancelación y Oposición de los datos personales en posesión del Sujeto Obligado;</w:t>
      </w:r>
    </w:p>
    <w:p w14:paraId="3A474805"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III. </w:t>
      </w:r>
      <w:r>
        <w:rPr>
          <w:rFonts w:ascii="Gotham" w:hAnsi="Gotham" w:cs="Arial"/>
          <w:sz w:val="19"/>
          <w:szCs w:val="19"/>
        </w:rPr>
        <w:tab/>
      </w:r>
      <w:r w:rsidRPr="007F5276">
        <w:rPr>
          <w:rFonts w:ascii="Gotham" w:hAnsi="Gotham" w:cs="Arial"/>
          <w:sz w:val="19"/>
          <w:szCs w:val="19"/>
        </w:rPr>
        <w:t>Actos positivos: Conjunto de acciones y conductas de los Titulares</w:t>
      </w:r>
      <w:r w:rsidR="00883EC2">
        <w:rPr>
          <w:rFonts w:ascii="Gotham" w:hAnsi="Gotham" w:cs="Arial"/>
          <w:sz w:val="19"/>
          <w:szCs w:val="19"/>
        </w:rPr>
        <w:t xml:space="preserve"> </w:t>
      </w:r>
      <w:r w:rsidRPr="007F5276">
        <w:rPr>
          <w:rFonts w:ascii="Gotham" w:hAnsi="Gotham" w:cs="Arial"/>
          <w:sz w:val="19"/>
          <w:szCs w:val="19"/>
        </w:rPr>
        <w:t>de</w:t>
      </w:r>
      <w:r w:rsidR="00883EC2">
        <w:rPr>
          <w:rFonts w:ascii="Gotham" w:hAnsi="Gotham" w:cs="Arial"/>
          <w:sz w:val="19"/>
          <w:szCs w:val="19"/>
        </w:rPr>
        <w:t xml:space="preserve"> </w:t>
      </w:r>
      <w:r w:rsidRPr="007F5276">
        <w:rPr>
          <w:rFonts w:ascii="Gotham" w:hAnsi="Gotham" w:cs="Arial"/>
          <w:sz w:val="19"/>
          <w:szCs w:val="19"/>
        </w:rPr>
        <w:t>las Unidades Administrativas, Enlaces de Transparencia y la Unidad de Transparencia materialmente posibles para buscar una respuesta de manera satisfactoria a favor de la persona, para no violentar su derecho fundamental de acceso</w:t>
      </w:r>
      <w:r w:rsidR="00883EC2">
        <w:rPr>
          <w:rFonts w:ascii="Gotham" w:hAnsi="Gotham" w:cs="Arial"/>
          <w:sz w:val="19"/>
          <w:szCs w:val="19"/>
        </w:rPr>
        <w:t xml:space="preserve"> </w:t>
      </w:r>
      <w:r w:rsidRPr="007F5276">
        <w:rPr>
          <w:rFonts w:ascii="Gotham" w:hAnsi="Gotham" w:cs="Arial"/>
          <w:sz w:val="19"/>
          <w:szCs w:val="19"/>
        </w:rPr>
        <w:t>a</w:t>
      </w:r>
      <w:r w:rsidR="00883EC2">
        <w:rPr>
          <w:rFonts w:ascii="Gotham" w:hAnsi="Gotham" w:cs="Arial"/>
          <w:sz w:val="19"/>
          <w:szCs w:val="19"/>
        </w:rPr>
        <w:t xml:space="preserve"> </w:t>
      </w:r>
      <w:r w:rsidRPr="007F5276">
        <w:rPr>
          <w:rFonts w:ascii="Gotham" w:hAnsi="Gotham" w:cs="Arial"/>
          <w:sz w:val="19"/>
          <w:szCs w:val="19"/>
        </w:rPr>
        <w:t>la</w:t>
      </w:r>
      <w:r w:rsidR="00883EC2">
        <w:rPr>
          <w:rFonts w:ascii="Gotham" w:hAnsi="Gotham" w:cs="Arial"/>
          <w:sz w:val="19"/>
          <w:szCs w:val="19"/>
        </w:rPr>
        <w:t xml:space="preserve"> </w:t>
      </w:r>
      <w:r w:rsidRPr="007F5276">
        <w:rPr>
          <w:rFonts w:ascii="Gotham" w:hAnsi="Gotham" w:cs="Arial"/>
          <w:sz w:val="19"/>
          <w:szCs w:val="19"/>
        </w:rPr>
        <w:t>información;</w:t>
      </w:r>
    </w:p>
    <w:p w14:paraId="3A474806"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IV. </w:t>
      </w:r>
      <w:r>
        <w:rPr>
          <w:rFonts w:ascii="Gotham" w:hAnsi="Gotham" w:cs="Arial"/>
          <w:sz w:val="19"/>
          <w:szCs w:val="19"/>
        </w:rPr>
        <w:tab/>
      </w:r>
      <w:r w:rsidRPr="007F5276">
        <w:rPr>
          <w:rFonts w:ascii="Gotham" w:hAnsi="Gotham" w:cs="Arial"/>
          <w:sz w:val="19"/>
          <w:szCs w:val="19"/>
        </w:rPr>
        <w:t>Ayuntamiento: Al Ayuntamiento Constitucional de Tonalá, Jalisco;</w:t>
      </w:r>
    </w:p>
    <w:p w14:paraId="3A474807"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lastRenderedPageBreak/>
        <w:t xml:space="preserve">V. </w:t>
      </w:r>
      <w:r>
        <w:rPr>
          <w:rFonts w:ascii="Gotham" w:hAnsi="Gotham" w:cs="Arial"/>
          <w:sz w:val="19"/>
          <w:szCs w:val="19"/>
        </w:rPr>
        <w:tab/>
      </w:r>
      <w:r w:rsidRPr="007F5276">
        <w:rPr>
          <w:rFonts w:ascii="Gotham" w:hAnsi="Gotham" w:cs="Arial"/>
          <w:sz w:val="19"/>
          <w:szCs w:val="19"/>
        </w:rPr>
        <w:t>Consejo: Consejo Ciudadano para la Consolidación de un Gobierno Abierto;</w:t>
      </w:r>
    </w:p>
    <w:p w14:paraId="3A474808" w14:textId="77777777" w:rsidR="009B5E39" w:rsidRPr="003D1DA7" w:rsidRDefault="009B5E39" w:rsidP="009B5E39">
      <w:pPr>
        <w:spacing w:after="120"/>
        <w:ind w:left="1134" w:right="283" w:hanging="850"/>
        <w:jc w:val="both"/>
        <w:rPr>
          <w:rFonts w:ascii="Gotham" w:hAnsi="Gotham" w:cs="Arial"/>
          <w:color w:val="000000" w:themeColor="text1"/>
          <w:sz w:val="19"/>
          <w:szCs w:val="19"/>
        </w:rPr>
      </w:pPr>
      <w:r w:rsidRPr="007F5276">
        <w:rPr>
          <w:rFonts w:ascii="Gotham" w:hAnsi="Gotham" w:cs="Arial"/>
          <w:sz w:val="19"/>
          <w:szCs w:val="19"/>
        </w:rPr>
        <w:t xml:space="preserve">VI. </w:t>
      </w:r>
      <w:r>
        <w:rPr>
          <w:rFonts w:ascii="Gotham" w:hAnsi="Gotham" w:cs="Arial"/>
          <w:sz w:val="19"/>
          <w:szCs w:val="19"/>
        </w:rPr>
        <w:tab/>
      </w:r>
      <w:r w:rsidRPr="007F5276">
        <w:rPr>
          <w:rFonts w:ascii="Gotham" w:hAnsi="Gotham" w:cs="Arial"/>
          <w:sz w:val="19"/>
          <w:szCs w:val="19"/>
        </w:rPr>
        <w:t>Comité: Comité de Transparencia;</w:t>
      </w:r>
    </w:p>
    <w:p w14:paraId="3A474809" w14:textId="77777777" w:rsidR="009B5E39" w:rsidRPr="007F5276" w:rsidRDefault="009B5E39" w:rsidP="009B5E39">
      <w:pPr>
        <w:spacing w:after="120"/>
        <w:ind w:left="1134" w:right="283" w:hanging="850"/>
        <w:jc w:val="both"/>
        <w:rPr>
          <w:rFonts w:ascii="Gotham" w:hAnsi="Gotham" w:cs="Arial"/>
          <w:color w:val="FF0000"/>
          <w:sz w:val="19"/>
          <w:szCs w:val="19"/>
        </w:rPr>
      </w:pPr>
      <w:r w:rsidRPr="003D1DA7">
        <w:rPr>
          <w:rFonts w:ascii="Gotham" w:hAnsi="Gotham" w:cs="Arial"/>
          <w:color w:val="000000" w:themeColor="text1"/>
          <w:sz w:val="19"/>
          <w:szCs w:val="19"/>
        </w:rPr>
        <w:t xml:space="preserve">VII. </w:t>
      </w:r>
      <w:r w:rsidRPr="003D1DA7">
        <w:rPr>
          <w:rFonts w:ascii="Gotham" w:hAnsi="Gotham" w:cs="Arial"/>
          <w:color w:val="000000" w:themeColor="text1"/>
          <w:sz w:val="19"/>
          <w:szCs w:val="19"/>
        </w:rPr>
        <w:tab/>
        <w:t>Comité de Clasificación: Comité de Clasificación;</w:t>
      </w:r>
      <w:r w:rsidR="00883EC2">
        <w:rPr>
          <w:rFonts w:ascii="Gotham" w:hAnsi="Gotham" w:cs="Arial"/>
          <w:color w:val="FF0000"/>
          <w:sz w:val="19"/>
          <w:szCs w:val="19"/>
        </w:rPr>
        <w:t xml:space="preserve"> </w:t>
      </w:r>
    </w:p>
    <w:p w14:paraId="3A47480A"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VIII. </w:t>
      </w:r>
      <w:r>
        <w:rPr>
          <w:rFonts w:ascii="Gotham" w:hAnsi="Gotham" w:cs="Arial"/>
          <w:sz w:val="19"/>
          <w:szCs w:val="19"/>
        </w:rPr>
        <w:tab/>
      </w:r>
      <w:r w:rsidRPr="007F5276">
        <w:rPr>
          <w:rFonts w:ascii="Gotham" w:hAnsi="Gotham" w:cs="Arial"/>
          <w:sz w:val="19"/>
          <w:szCs w:val="19"/>
        </w:rPr>
        <w:t>Convenio de Adhesión: Instrumento jurídico que establecen los Sujetos Obligados del Ayuntamiento con el fin de integrar un solo Comité</w:t>
      </w:r>
      <w:r w:rsidR="00883EC2">
        <w:rPr>
          <w:rFonts w:ascii="Gotham" w:hAnsi="Gotham" w:cs="Arial"/>
          <w:sz w:val="19"/>
          <w:szCs w:val="19"/>
        </w:rPr>
        <w:t xml:space="preserve"> </w:t>
      </w:r>
      <w:r w:rsidRPr="007F5276">
        <w:rPr>
          <w:rFonts w:ascii="Gotham" w:hAnsi="Gotham" w:cs="Arial"/>
          <w:sz w:val="19"/>
          <w:szCs w:val="19"/>
        </w:rPr>
        <w:t>de</w:t>
      </w:r>
      <w:r w:rsidR="00883EC2">
        <w:rPr>
          <w:rFonts w:ascii="Gotham" w:hAnsi="Gotham" w:cs="Arial"/>
          <w:sz w:val="19"/>
          <w:szCs w:val="19"/>
        </w:rPr>
        <w:t xml:space="preserve"> </w:t>
      </w:r>
      <w:r w:rsidRPr="007F5276">
        <w:rPr>
          <w:rFonts w:ascii="Gotham" w:hAnsi="Gotham" w:cs="Arial"/>
          <w:sz w:val="19"/>
          <w:szCs w:val="19"/>
        </w:rPr>
        <w:t>Transparencia y, según sea el caso, publicar su</w:t>
      </w:r>
      <w:r w:rsidR="00883EC2">
        <w:rPr>
          <w:rFonts w:ascii="Gotham" w:hAnsi="Gotham" w:cs="Arial"/>
          <w:sz w:val="19"/>
          <w:szCs w:val="19"/>
        </w:rPr>
        <w:t xml:space="preserve"> </w:t>
      </w:r>
      <w:r w:rsidRPr="007F5276">
        <w:rPr>
          <w:rFonts w:ascii="Gotham" w:hAnsi="Gotham" w:cs="Arial"/>
          <w:sz w:val="19"/>
          <w:szCs w:val="19"/>
        </w:rPr>
        <w:t>respectiva</w:t>
      </w:r>
      <w:r w:rsidR="00883EC2">
        <w:rPr>
          <w:rFonts w:ascii="Gotham" w:hAnsi="Gotham" w:cs="Arial"/>
          <w:sz w:val="19"/>
          <w:szCs w:val="19"/>
        </w:rPr>
        <w:t xml:space="preserve"> </w:t>
      </w:r>
      <w:r w:rsidRPr="007F5276">
        <w:rPr>
          <w:rFonts w:ascii="Gotham" w:hAnsi="Gotham" w:cs="Arial"/>
          <w:sz w:val="19"/>
          <w:szCs w:val="19"/>
        </w:rPr>
        <w:t>Información</w:t>
      </w:r>
      <w:r w:rsidR="00883EC2">
        <w:rPr>
          <w:rFonts w:ascii="Gotham" w:hAnsi="Gotham" w:cs="Arial"/>
          <w:sz w:val="19"/>
          <w:szCs w:val="19"/>
        </w:rPr>
        <w:t xml:space="preserve"> </w:t>
      </w:r>
      <w:r w:rsidRPr="007F5276">
        <w:rPr>
          <w:rFonts w:ascii="Gotham" w:hAnsi="Gotham" w:cs="Arial"/>
          <w:sz w:val="19"/>
          <w:szCs w:val="19"/>
        </w:rPr>
        <w:t>fundamental en un solo Sitio de Internet;</w:t>
      </w:r>
    </w:p>
    <w:p w14:paraId="3A47480B"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IX. </w:t>
      </w:r>
      <w:r>
        <w:rPr>
          <w:rFonts w:ascii="Gotham" w:hAnsi="Gotham" w:cs="Arial"/>
          <w:sz w:val="19"/>
          <w:szCs w:val="19"/>
        </w:rPr>
        <w:tab/>
      </w:r>
      <w:r w:rsidRPr="007F5276">
        <w:rPr>
          <w:rFonts w:ascii="Gotham" w:hAnsi="Gotham" w:cs="Arial"/>
          <w:sz w:val="19"/>
          <w:szCs w:val="19"/>
        </w:rPr>
        <w:t>Enlace de Transparencia: Servidor público responsable de gestionar la información pública al interior de la dependencia que integran al Sujeto Obligado a la que se encuentra adscrito, tanto en lo relativo a las solicitudes</w:t>
      </w:r>
      <w:r w:rsidR="00883EC2">
        <w:rPr>
          <w:rFonts w:ascii="Gotham" w:hAnsi="Gotham" w:cs="Arial"/>
          <w:sz w:val="19"/>
          <w:szCs w:val="19"/>
        </w:rPr>
        <w:t xml:space="preserve"> </w:t>
      </w:r>
      <w:r w:rsidRPr="007F5276">
        <w:rPr>
          <w:rFonts w:ascii="Gotham" w:hAnsi="Gotham" w:cs="Arial"/>
          <w:sz w:val="19"/>
          <w:szCs w:val="19"/>
        </w:rPr>
        <w:t>de</w:t>
      </w:r>
      <w:r w:rsidR="00883EC2">
        <w:rPr>
          <w:rFonts w:ascii="Gotham" w:hAnsi="Gotham" w:cs="Arial"/>
          <w:sz w:val="19"/>
          <w:szCs w:val="19"/>
        </w:rPr>
        <w:t xml:space="preserve"> </w:t>
      </w:r>
      <w:r w:rsidRPr="007F5276">
        <w:rPr>
          <w:rFonts w:ascii="Gotham" w:hAnsi="Gotham" w:cs="Arial"/>
          <w:sz w:val="19"/>
          <w:szCs w:val="19"/>
        </w:rPr>
        <w:t>información,</w:t>
      </w:r>
      <w:r w:rsidR="00883EC2">
        <w:rPr>
          <w:rFonts w:ascii="Gotham" w:hAnsi="Gotham" w:cs="Arial"/>
          <w:sz w:val="19"/>
          <w:szCs w:val="19"/>
        </w:rPr>
        <w:t xml:space="preserve"> </w:t>
      </w:r>
      <w:r w:rsidRPr="007F5276">
        <w:rPr>
          <w:rFonts w:ascii="Gotham" w:hAnsi="Gotham" w:cs="Arial"/>
          <w:sz w:val="19"/>
          <w:szCs w:val="19"/>
        </w:rPr>
        <w:t>como la necesaria para el cumplimiento de las obligaciones de publicación de información fundamental y la que pertenece</w:t>
      </w:r>
      <w:r w:rsidR="00883EC2">
        <w:rPr>
          <w:rFonts w:ascii="Gotham" w:hAnsi="Gotham" w:cs="Arial"/>
          <w:sz w:val="19"/>
          <w:szCs w:val="19"/>
        </w:rPr>
        <w:t xml:space="preserve"> </w:t>
      </w:r>
      <w:r w:rsidRPr="007F5276">
        <w:rPr>
          <w:rFonts w:ascii="Gotham" w:hAnsi="Gotham" w:cs="Arial"/>
          <w:sz w:val="19"/>
          <w:szCs w:val="19"/>
        </w:rPr>
        <w:t>a</w:t>
      </w:r>
      <w:r w:rsidR="00883EC2">
        <w:rPr>
          <w:rFonts w:ascii="Gotham" w:hAnsi="Gotham" w:cs="Arial"/>
          <w:sz w:val="19"/>
          <w:szCs w:val="19"/>
        </w:rPr>
        <w:t xml:space="preserve"> </w:t>
      </w:r>
      <w:r w:rsidRPr="007F5276">
        <w:rPr>
          <w:rFonts w:ascii="Gotham" w:hAnsi="Gotham" w:cs="Arial"/>
          <w:sz w:val="19"/>
          <w:szCs w:val="19"/>
        </w:rPr>
        <w:t>los</w:t>
      </w:r>
      <w:r w:rsidR="00883EC2">
        <w:rPr>
          <w:rFonts w:ascii="Gotham" w:hAnsi="Gotham" w:cs="Arial"/>
          <w:sz w:val="19"/>
          <w:szCs w:val="19"/>
        </w:rPr>
        <w:t xml:space="preserve"> </w:t>
      </w:r>
      <w:r w:rsidRPr="007F5276">
        <w:rPr>
          <w:rFonts w:ascii="Gotham" w:hAnsi="Gotham" w:cs="Arial"/>
          <w:sz w:val="19"/>
          <w:szCs w:val="19"/>
        </w:rPr>
        <w:t>rubros</w:t>
      </w:r>
      <w:r w:rsidR="00883EC2">
        <w:rPr>
          <w:rFonts w:ascii="Gotham" w:hAnsi="Gotham" w:cs="Arial"/>
          <w:sz w:val="19"/>
          <w:szCs w:val="19"/>
        </w:rPr>
        <w:t xml:space="preserve"> </w:t>
      </w:r>
      <w:r w:rsidRPr="007F5276">
        <w:rPr>
          <w:rFonts w:ascii="Gotham" w:hAnsi="Gotham" w:cs="Arial"/>
          <w:sz w:val="19"/>
          <w:szCs w:val="19"/>
        </w:rPr>
        <w:t>de</w:t>
      </w:r>
      <w:r w:rsidR="00883EC2">
        <w:rPr>
          <w:rFonts w:ascii="Gotham" w:hAnsi="Gotham" w:cs="Arial"/>
          <w:sz w:val="19"/>
          <w:szCs w:val="19"/>
        </w:rPr>
        <w:t xml:space="preserve"> </w:t>
      </w:r>
      <w:r w:rsidRPr="007F5276">
        <w:rPr>
          <w:rFonts w:ascii="Gotham" w:hAnsi="Gotham" w:cs="Arial"/>
          <w:sz w:val="19"/>
          <w:szCs w:val="19"/>
        </w:rPr>
        <w:t>Transparencia</w:t>
      </w:r>
      <w:r w:rsidR="00883EC2">
        <w:rPr>
          <w:rFonts w:ascii="Gotham" w:hAnsi="Gotham" w:cs="Arial"/>
          <w:sz w:val="19"/>
          <w:szCs w:val="19"/>
        </w:rPr>
        <w:t xml:space="preserve"> </w:t>
      </w:r>
      <w:r w:rsidRPr="007F5276">
        <w:rPr>
          <w:rFonts w:ascii="Gotham" w:hAnsi="Gotham" w:cs="Arial"/>
          <w:sz w:val="19"/>
          <w:szCs w:val="19"/>
        </w:rPr>
        <w:t>Focalizada y Proactiva;</w:t>
      </w:r>
    </w:p>
    <w:p w14:paraId="3A47480C"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 </w:t>
      </w:r>
      <w:r>
        <w:rPr>
          <w:rFonts w:ascii="Gotham" w:hAnsi="Gotham" w:cs="Arial"/>
          <w:sz w:val="19"/>
          <w:szCs w:val="19"/>
        </w:rPr>
        <w:tab/>
      </w:r>
      <w:r w:rsidRPr="007F5276">
        <w:rPr>
          <w:rFonts w:ascii="Gotham" w:hAnsi="Gotham" w:cs="Arial"/>
          <w:sz w:val="19"/>
          <w:szCs w:val="19"/>
        </w:rPr>
        <w:t>Instituto: El Instituto de Transparencia, Información Pública y Protección de Datos Personales del Estado de Jalisco;</w:t>
      </w:r>
    </w:p>
    <w:p w14:paraId="3A47480D"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XI. </w:t>
      </w:r>
      <w:r>
        <w:rPr>
          <w:rFonts w:ascii="Gotham" w:hAnsi="Gotham" w:cs="Arial"/>
          <w:sz w:val="19"/>
          <w:szCs w:val="19"/>
        </w:rPr>
        <w:tab/>
      </w:r>
      <w:r w:rsidRPr="007F5276">
        <w:rPr>
          <w:rFonts w:ascii="Gotham" w:hAnsi="Gotham" w:cs="Arial"/>
          <w:sz w:val="19"/>
          <w:szCs w:val="19"/>
        </w:rPr>
        <w:t>Interoperabilidad: Capacidad de un sistema de información de comunicarse y compartir</w:t>
      </w:r>
      <w:r w:rsidR="00883EC2">
        <w:rPr>
          <w:rFonts w:ascii="Gotham" w:hAnsi="Gotham" w:cs="Arial"/>
          <w:sz w:val="19"/>
          <w:szCs w:val="19"/>
        </w:rPr>
        <w:t xml:space="preserve"> </w:t>
      </w:r>
      <w:r w:rsidRPr="007F5276">
        <w:rPr>
          <w:rFonts w:ascii="Gotham" w:hAnsi="Gotham" w:cs="Arial"/>
          <w:sz w:val="19"/>
          <w:szCs w:val="19"/>
        </w:rPr>
        <w:t>datos,</w:t>
      </w:r>
      <w:r w:rsidR="00883EC2">
        <w:rPr>
          <w:rFonts w:ascii="Gotham" w:hAnsi="Gotham" w:cs="Arial"/>
          <w:sz w:val="19"/>
          <w:szCs w:val="19"/>
        </w:rPr>
        <w:t xml:space="preserve"> </w:t>
      </w:r>
      <w:r w:rsidRPr="007F5276">
        <w:rPr>
          <w:rFonts w:ascii="Gotham" w:hAnsi="Gotham" w:cs="Arial"/>
          <w:sz w:val="19"/>
          <w:szCs w:val="19"/>
        </w:rPr>
        <w:t>información,</w:t>
      </w:r>
      <w:r w:rsidR="00883EC2">
        <w:rPr>
          <w:rFonts w:ascii="Gotham" w:hAnsi="Gotham" w:cs="Arial"/>
          <w:sz w:val="19"/>
          <w:szCs w:val="19"/>
        </w:rPr>
        <w:t xml:space="preserve"> </w:t>
      </w:r>
      <w:r w:rsidRPr="007F5276">
        <w:rPr>
          <w:rFonts w:ascii="Gotham" w:hAnsi="Gotham" w:cs="Arial"/>
          <w:sz w:val="19"/>
          <w:szCs w:val="19"/>
        </w:rPr>
        <w:t>documentos</w:t>
      </w:r>
      <w:r w:rsidR="00883EC2">
        <w:rPr>
          <w:rFonts w:ascii="Gotham" w:hAnsi="Gotham" w:cs="Arial"/>
          <w:sz w:val="19"/>
          <w:szCs w:val="19"/>
        </w:rPr>
        <w:t xml:space="preserve"> </w:t>
      </w:r>
      <w:r w:rsidRPr="007F5276">
        <w:rPr>
          <w:rFonts w:ascii="Gotham" w:hAnsi="Gotham" w:cs="Arial"/>
          <w:sz w:val="19"/>
          <w:szCs w:val="19"/>
        </w:rPr>
        <w:t>y</w:t>
      </w:r>
      <w:r w:rsidR="00883EC2">
        <w:rPr>
          <w:rFonts w:ascii="Gotham" w:hAnsi="Gotham" w:cs="Arial"/>
          <w:sz w:val="19"/>
          <w:szCs w:val="19"/>
        </w:rPr>
        <w:t xml:space="preserve"> </w:t>
      </w:r>
      <w:r w:rsidRPr="007F5276">
        <w:rPr>
          <w:rFonts w:ascii="Gotham" w:hAnsi="Gotham" w:cs="Arial"/>
          <w:sz w:val="19"/>
          <w:szCs w:val="19"/>
        </w:rPr>
        <w:t>objetos</w:t>
      </w:r>
      <w:r w:rsidR="00883EC2">
        <w:rPr>
          <w:rFonts w:ascii="Gotham" w:hAnsi="Gotham" w:cs="Arial"/>
          <w:sz w:val="19"/>
          <w:szCs w:val="19"/>
        </w:rPr>
        <w:t xml:space="preserve"> </w:t>
      </w:r>
      <w:r w:rsidRPr="007F5276">
        <w:rPr>
          <w:rFonts w:ascii="Gotham" w:hAnsi="Gotham" w:cs="Arial"/>
          <w:sz w:val="19"/>
          <w:szCs w:val="19"/>
        </w:rPr>
        <w:t>digitales</w:t>
      </w:r>
      <w:r w:rsidR="00883EC2">
        <w:rPr>
          <w:rFonts w:ascii="Gotham" w:hAnsi="Gotham" w:cs="Arial"/>
          <w:sz w:val="19"/>
          <w:szCs w:val="19"/>
        </w:rPr>
        <w:t xml:space="preserve"> </w:t>
      </w:r>
      <w:r w:rsidRPr="007F5276">
        <w:rPr>
          <w:rFonts w:ascii="Gotham" w:hAnsi="Gotham" w:cs="Arial"/>
          <w:sz w:val="19"/>
          <w:szCs w:val="19"/>
        </w:rPr>
        <w:t>de</w:t>
      </w:r>
      <w:r w:rsidR="00883EC2">
        <w:rPr>
          <w:rFonts w:ascii="Gotham" w:hAnsi="Gotham" w:cs="Arial"/>
          <w:sz w:val="19"/>
          <w:szCs w:val="19"/>
        </w:rPr>
        <w:t xml:space="preserve"> </w:t>
      </w:r>
      <w:r w:rsidRPr="007F5276">
        <w:rPr>
          <w:rFonts w:ascii="Gotham" w:hAnsi="Gotham" w:cs="Arial"/>
          <w:sz w:val="19"/>
          <w:szCs w:val="19"/>
        </w:rPr>
        <w:t>forma</w:t>
      </w:r>
      <w:r w:rsidR="00883EC2">
        <w:rPr>
          <w:rFonts w:ascii="Gotham" w:hAnsi="Gotham" w:cs="Arial"/>
          <w:sz w:val="19"/>
          <w:szCs w:val="19"/>
        </w:rPr>
        <w:t xml:space="preserve"> </w:t>
      </w:r>
      <w:r w:rsidRPr="007F5276">
        <w:rPr>
          <w:rFonts w:ascii="Gotham" w:hAnsi="Gotham" w:cs="Arial"/>
          <w:sz w:val="19"/>
          <w:szCs w:val="19"/>
        </w:rPr>
        <w:t>efectiva, con uno o varios sistemas de información, mediante una</w:t>
      </w:r>
      <w:r w:rsidR="00883EC2">
        <w:rPr>
          <w:rFonts w:ascii="Gotham" w:hAnsi="Gotham" w:cs="Arial"/>
          <w:sz w:val="19"/>
          <w:szCs w:val="19"/>
        </w:rPr>
        <w:t xml:space="preserve"> </w:t>
      </w:r>
      <w:r w:rsidRPr="007F5276">
        <w:rPr>
          <w:rFonts w:ascii="Gotham" w:hAnsi="Gotham" w:cs="Arial"/>
          <w:sz w:val="19"/>
          <w:szCs w:val="19"/>
        </w:rPr>
        <w:t>interconexión</w:t>
      </w:r>
      <w:r w:rsidR="00883EC2">
        <w:rPr>
          <w:rFonts w:ascii="Gotham" w:hAnsi="Gotham" w:cs="Arial"/>
          <w:sz w:val="19"/>
          <w:szCs w:val="19"/>
        </w:rPr>
        <w:t xml:space="preserve"> </w:t>
      </w:r>
      <w:r w:rsidRPr="007F5276">
        <w:rPr>
          <w:rFonts w:ascii="Gotham" w:hAnsi="Gotham" w:cs="Arial"/>
          <w:sz w:val="19"/>
          <w:szCs w:val="19"/>
        </w:rPr>
        <w:t>libre, automática y transparente, sin dejar de utilizar en ningún momento la interfaz del sistema propio;</w:t>
      </w:r>
    </w:p>
    <w:p w14:paraId="3A47480E"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XII. </w:t>
      </w:r>
      <w:r>
        <w:rPr>
          <w:rFonts w:ascii="Gotham" w:hAnsi="Gotham" w:cs="Arial"/>
          <w:sz w:val="19"/>
          <w:szCs w:val="19"/>
        </w:rPr>
        <w:tab/>
      </w:r>
      <w:r w:rsidRPr="007F5276">
        <w:rPr>
          <w:rFonts w:ascii="Gotham" w:hAnsi="Gotham" w:cs="Arial"/>
          <w:sz w:val="19"/>
          <w:szCs w:val="19"/>
        </w:rPr>
        <w:t>Ley: La Ley de Transparencia y Acceso a la Información Pública del Estado de Jalisco y sus Municipios;</w:t>
      </w:r>
    </w:p>
    <w:p w14:paraId="3A47480F"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XIII. </w:t>
      </w:r>
      <w:r>
        <w:rPr>
          <w:rFonts w:ascii="Gotham" w:hAnsi="Gotham" w:cs="Arial"/>
          <w:sz w:val="19"/>
          <w:szCs w:val="19"/>
        </w:rPr>
        <w:tab/>
      </w:r>
      <w:r w:rsidRPr="007F5276">
        <w:rPr>
          <w:rFonts w:ascii="Gotham" w:hAnsi="Gotham" w:cs="Arial"/>
          <w:sz w:val="19"/>
          <w:szCs w:val="19"/>
        </w:rPr>
        <w:t>Ley General: Ley General de Transparencia y Acceso a la Información Pública;</w:t>
      </w:r>
    </w:p>
    <w:p w14:paraId="3A474810"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XIV. </w:t>
      </w:r>
      <w:r>
        <w:rPr>
          <w:rFonts w:ascii="Gotham" w:hAnsi="Gotham" w:cs="Arial"/>
          <w:sz w:val="19"/>
          <w:szCs w:val="19"/>
        </w:rPr>
        <w:tab/>
      </w:r>
      <w:r w:rsidRPr="007F5276">
        <w:rPr>
          <w:rFonts w:ascii="Gotham" w:hAnsi="Gotham" w:cs="Arial"/>
          <w:sz w:val="19"/>
          <w:szCs w:val="19"/>
        </w:rPr>
        <w:t>Lineamientos: Los Lineamientos Generales son los publicados por el Instituto Nacional de Transparencia, Acceso a la Información y Protección de Datos Personales; así como el Sistema Nacional de Transparencia y el Instituto;</w:t>
      </w:r>
    </w:p>
    <w:p w14:paraId="3A474811"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XV. </w:t>
      </w:r>
      <w:r>
        <w:rPr>
          <w:rFonts w:ascii="Gotham" w:hAnsi="Gotham" w:cs="Arial"/>
          <w:sz w:val="19"/>
          <w:szCs w:val="19"/>
        </w:rPr>
        <w:tab/>
      </w:r>
      <w:r w:rsidRPr="007F5276">
        <w:rPr>
          <w:rFonts w:ascii="Gotham" w:hAnsi="Gotham" w:cs="Arial"/>
          <w:sz w:val="19"/>
          <w:szCs w:val="19"/>
        </w:rPr>
        <w:t>Municipio: Al Municipio de Tonalá, Jalisco, que es un nivel de gobierno regido por el Ayuntamiento, con personalidad jurídica y patrimonio propio;</w:t>
      </w:r>
    </w:p>
    <w:p w14:paraId="3A474812"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XVI. </w:t>
      </w:r>
      <w:r>
        <w:rPr>
          <w:rFonts w:ascii="Gotham" w:hAnsi="Gotham" w:cs="Arial"/>
          <w:sz w:val="19"/>
          <w:szCs w:val="19"/>
        </w:rPr>
        <w:tab/>
      </w:r>
      <w:r w:rsidRPr="007F5276">
        <w:rPr>
          <w:rFonts w:ascii="Gotham" w:hAnsi="Gotham" w:cs="Arial"/>
          <w:sz w:val="19"/>
          <w:szCs w:val="19"/>
        </w:rPr>
        <w:t>Organismos Garantes: Institutos y/o Consejos de Transparencia y Acceso a la Información nacional y locales;</w:t>
      </w:r>
    </w:p>
    <w:p w14:paraId="3A474813"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XVII. </w:t>
      </w:r>
      <w:r>
        <w:rPr>
          <w:rFonts w:ascii="Gotham" w:hAnsi="Gotham" w:cs="Arial"/>
          <w:sz w:val="19"/>
          <w:szCs w:val="19"/>
        </w:rPr>
        <w:tab/>
      </w:r>
      <w:r w:rsidRPr="007F5276">
        <w:rPr>
          <w:rFonts w:ascii="Gotham" w:hAnsi="Gotham" w:cs="Arial"/>
          <w:sz w:val="19"/>
          <w:szCs w:val="19"/>
        </w:rPr>
        <w:t>Página Web: Unidad básica de un Sitio de Internet con documentos digitales sobre un mismo tema;</w:t>
      </w:r>
    </w:p>
    <w:p w14:paraId="3A474814"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XVIII. </w:t>
      </w:r>
      <w:r>
        <w:rPr>
          <w:rFonts w:ascii="Gotham" w:hAnsi="Gotham" w:cs="Arial"/>
          <w:sz w:val="19"/>
          <w:szCs w:val="19"/>
        </w:rPr>
        <w:tab/>
      </w:r>
      <w:r w:rsidRPr="007F5276">
        <w:rPr>
          <w:rFonts w:ascii="Gotham" w:hAnsi="Gotham" w:cs="Arial"/>
          <w:sz w:val="19"/>
          <w:szCs w:val="19"/>
        </w:rPr>
        <w:t>Plataforma Nacional de Transparencia: Plataforma electrónica para el cumplimiento de los procedimientos, obligaciones y disposiciones en materia de transparencia, acceso a la información y protección de datos confidencial, conformada con al menos los sistemas de solicitudes de información, gestión de medios de impugnación, sitios de Internet para la publicación de obligaciones de transparencia y sistemas de comunicación con Organismos Garantes y Sujetos Obligados;</w:t>
      </w:r>
    </w:p>
    <w:p w14:paraId="3A474815"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XIX. </w:t>
      </w:r>
      <w:r>
        <w:rPr>
          <w:rFonts w:ascii="Gotham" w:hAnsi="Gotham" w:cs="Arial"/>
          <w:sz w:val="19"/>
          <w:szCs w:val="19"/>
        </w:rPr>
        <w:tab/>
      </w:r>
      <w:r w:rsidRPr="007F5276">
        <w:rPr>
          <w:rFonts w:ascii="Gotham" w:hAnsi="Gotham" w:cs="Arial"/>
          <w:sz w:val="19"/>
          <w:szCs w:val="19"/>
        </w:rPr>
        <w:t>Portal: Portal de Internet, dominio de Internet de un Sujeto Obligado, que opera como “puerta principal” en el que se integran recursos informativos sobre su naturaleza, estructura, servicios y demás información que considere</w:t>
      </w:r>
      <w:r w:rsidR="00883EC2">
        <w:rPr>
          <w:rFonts w:ascii="Gotham" w:hAnsi="Gotham" w:cs="Arial"/>
          <w:sz w:val="19"/>
          <w:szCs w:val="19"/>
        </w:rPr>
        <w:t xml:space="preserve"> </w:t>
      </w:r>
      <w:r w:rsidRPr="007F5276">
        <w:rPr>
          <w:rFonts w:ascii="Gotham" w:hAnsi="Gotham" w:cs="Arial"/>
          <w:sz w:val="19"/>
          <w:szCs w:val="19"/>
        </w:rPr>
        <w:t>pertinente con fines comunicativos y de interacción con los usuarios;</w:t>
      </w:r>
    </w:p>
    <w:p w14:paraId="3A474816"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XX. </w:t>
      </w:r>
      <w:r>
        <w:rPr>
          <w:rFonts w:ascii="Gotham" w:hAnsi="Gotham" w:cs="Arial"/>
          <w:sz w:val="19"/>
          <w:szCs w:val="19"/>
        </w:rPr>
        <w:tab/>
      </w:r>
      <w:r w:rsidRPr="007F5276">
        <w:rPr>
          <w:rFonts w:ascii="Gotham" w:hAnsi="Gotham" w:cs="Arial"/>
          <w:sz w:val="19"/>
          <w:szCs w:val="19"/>
        </w:rPr>
        <w:t>Presidente: Al Presidente del Comité de Transparencia del Sujeto Obligado, o sujetos obligados integrados mediante convenio de adhesión;</w:t>
      </w:r>
    </w:p>
    <w:p w14:paraId="3A474817"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XXI. </w:t>
      </w:r>
      <w:r>
        <w:rPr>
          <w:rFonts w:ascii="Gotham" w:hAnsi="Gotham" w:cs="Arial"/>
          <w:sz w:val="19"/>
          <w:szCs w:val="19"/>
        </w:rPr>
        <w:tab/>
      </w:r>
      <w:r w:rsidRPr="007F5276">
        <w:rPr>
          <w:rFonts w:ascii="Gotham" w:hAnsi="Gotham" w:cs="Arial"/>
          <w:sz w:val="19"/>
          <w:szCs w:val="19"/>
        </w:rPr>
        <w:t>Presidente Municipal: Al Presidente Municipal de Tonalá, Jalisco;</w:t>
      </w:r>
    </w:p>
    <w:p w14:paraId="3A474818"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XXII. </w:t>
      </w:r>
      <w:r>
        <w:rPr>
          <w:rFonts w:ascii="Gotham" w:hAnsi="Gotham" w:cs="Arial"/>
          <w:sz w:val="19"/>
          <w:szCs w:val="19"/>
        </w:rPr>
        <w:tab/>
      </w:r>
      <w:r w:rsidRPr="007F5276">
        <w:rPr>
          <w:rFonts w:ascii="Gotham" w:hAnsi="Gotham" w:cs="Arial"/>
          <w:sz w:val="19"/>
          <w:szCs w:val="19"/>
        </w:rPr>
        <w:t>Prueba de daño: Lo establecido en el artículo 18 de la Ley;</w:t>
      </w:r>
    </w:p>
    <w:p w14:paraId="3A474819"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XXIII. </w:t>
      </w:r>
      <w:r>
        <w:rPr>
          <w:rFonts w:ascii="Gotham" w:hAnsi="Gotham" w:cs="Arial"/>
          <w:sz w:val="19"/>
          <w:szCs w:val="19"/>
        </w:rPr>
        <w:tab/>
      </w:r>
      <w:r w:rsidRPr="007F5276">
        <w:rPr>
          <w:rFonts w:ascii="Gotham" w:hAnsi="Gotham" w:cs="Arial"/>
          <w:sz w:val="19"/>
          <w:szCs w:val="19"/>
        </w:rPr>
        <w:t>Reglamento: Reglamento de Transparencia, y Acceso a la Información Pública, Protección de Datos y Gobierno Abierto del Ayuntamiento de Tonalá, Jalisco;</w:t>
      </w:r>
    </w:p>
    <w:p w14:paraId="3A47481A" w14:textId="77777777" w:rsidR="009B5E39" w:rsidRPr="003D1DA7" w:rsidRDefault="009B5E39" w:rsidP="009B5E39">
      <w:pPr>
        <w:spacing w:after="120"/>
        <w:ind w:left="1134" w:right="283" w:hanging="850"/>
        <w:jc w:val="both"/>
        <w:rPr>
          <w:rFonts w:ascii="Gotham" w:hAnsi="Gotham" w:cs="Arial"/>
          <w:color w:val="000000" w:themeColor="text1"/>
          <w:sz w:val="19"/>
          <w:szCs w:val="19"/>
        </w:rPr>
      </w:pPr>
      <w:r w:rsidRPr="007F5276">
        <w:rPr>
          <w:rFonts w:ascii="Gotham" w:hAnsi="Gotham" w:cs="Arial"/>
          <w:sz w:val="19"/>
          <w:szCs w:val="19"/>
        </w:rPr>
        <w:lastRenderedPageBreak/>
        <w:t xml:space="preserve">XXIV. </w:t>
      </w:r>
      <w:r>
        <w:rPr>
          <w:rFonts w:ascii="Gotham" w:hAnsi="Gotham" w:cs="Arial"/>
          <w:sz w:val="19"/>
          <w:szCs w:val="19"/>
        </w:rPr>
        <w:tab/>
      </w:r>
      <w:r w:rsidRPr="007F5276">
        <w:rPr>
          <w:rFonts w:ascii="Gotham" w:hAnsi="Gotham" w:cs="Arial"/>
          <w:sz w:val="19"/>
          <w:szCs w:val="19"/>
        </w:rPr>
        <w:t xml:space="preserve">Reglamento de la Ley: </w:t>
      </w:r>
      <w:r w:rsidRPr="003D1DA7">
        <w:rPr>
          <w:rFonts w:ascii="Gotham" w:hAnsi="Gotham" w:cs="Arial"/>
          <w:color w:val="000000" w:themeColor="text1"/>
          <w:sz w:val="19"/>
          <w:szCs w:val="19"/>
        </w:rPr>
        <w:t>Reglamento de la Ley de Transparencia y Acceso a la Información Pública del Estado de Jalisco y sus Municipios;</w:t>
      </w:r>
    </w:p>
    <w:p w14:paraId="3A47481B"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XXV. </w:t>
      </w:r>
      <w:r>
        <w:rPr>
          <w:rFonts w:ascii="Gotham" w:hAnsi="Gotham" w:cs="Arial"/>
          <w:sz w:val="19"/>
          <w:szCs w:val="19"/>
        </w:rPr>
        <w:tab/>
      </w:r>
      <w:r w:rsidRPr="007F5276">
        <w:rPr>
          <w:rFonts w:ascii="Gotham" w:hAnsi="Gotham" w:cs="Arial"/>
          <w:sz w:val="19"/>
          <w:szCs w:val="19"/>
        </w:rPr>
        <w:t>Sistema Nacional: Sistema Nacional de Transparencia, Acceso a la Información Pública, Protección de Datos Personales;</w:t>
      </w:r>
    </w:p>
    <w:p w14:paraId="3A47481C"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XXVI. </w:t>
      </w:r>
      <w:r>
        <w:rPr>
          <w:rFonts w:ascii="Gotham" w:hAnsi="Gotham" w:cs="Arial"/>
          <w:sz w:val="19"/>
          <w:szCs w:val="19"/>
        </w:rPr>
        <w:tab/>
      </w:r>
      <w:r w:rsidRPr="007F5276">
        <w:rPr>
          <w:rFonts w:ascii="Gotham" w:hAnsi="Gotham" w:cs="Arial"/>
          <w:sz w:val="19"/>
          <w:szCs w:val="19"/>
        </w:rPr>
        <w:t>Sitio: Sitio de Internet, conjunto de páginas, documentos y archivos digitales, así como servicios en línea, estructurados y organizados bajo un mismo tema o finalidad, como parte o subdominio de un Portal;</w:t>
      </w:r>
    </w:p>
    <w:p w14:paraId="3A47481D"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XXVII. </w:t>
      </w:r>
      <w:r>
        <w:rPr>
          <w:rFonts w:ascii="Gotham" w:hAnsi="Gotham" w:cs="Arial"/>
          <w:sz w:val="19"/>
          <w:szCs w:val="19"/>
        </w:rPr>
        <w:tab/>
      </w:r>
      <w:r w:rsidRPr="007F5276">
        <w:rPr>
          <w:rFonts w:ascii="Gotham" w:hAnsi="Gotham" w:cs="Arial"/>
          <w:sz w:val="19"/>
          <w:szCs w:val="19"/>
        </w:rPr>
        <w:t>Sujeto Obligado: Los señalados en el artículo 5 del Reglamento;</w:t>
      </w:r>
    </w:p>
    <w:p w14:paraId="3A47481E" w14:textId="77777777" w:rsidR="009B5E39" w:rsidRPr="007F5276" w:rsidRDefault="009B5E39" w:rsidP="009B5E39">
      <w:pPr>
        <w:spacing w:after="120"/>
        <w:ind w:left="1134" w:right="283" w:hanging="850"/>
        <w:jc w:val="both"/>
        <w:rPr>
          <w:rFonts w:ascii="Gotham" w:hAnsi="Gotham" w:cs="Arial"/>
          <w:sz w:val="19"/>
          <w:szCs w:val="19"/>
        </w:rPr>
      </w:pPr>
      <w:r w:rsidRPr="007F5276">
        <w:rPr>
          <w:rFonts w:ascii="Gotham" w:hAnsi="Gotham" w:cs="Arial"/>
          <w:sz w:val="19"/>
          <w:szCs w:val="19"/>
        </w:rPr>
        <w:t xml:space="preserve">XXVIII. </w:t>
      </w:r>
      <w:r>
        <w:rPr>
          <w:rFonts w:ascii="Gotham" w:hAnsi="Gotham" w:cs="Arial"/>
          <w:sz w:val="19"/>
          <w:szCs w:val="19"/>
        </w:rPr>
        <w:tab/>
      </w:r>
      <w:r w:rsidRPr="007F5276">
        <w:rPr>
          <w:rFonts w:ascii="Gotham" w:hAnsi="Gotham" w:cs="Arial"/>
          <w:sz w:val="19"/>
          <w:szCs w:val="19"/>
        </w:rPr>
        <w:t>Unidad: La Coordinación de la Unidad de Transparencia; Unidad Administrativa: Dependencia que en el marco de sus atribuciones y facultades genera, posee y administra información pública y confidencial; y</w:t>
      </w:r>
    </w:p>
    <w:p w14:paraId="3A47481F" w14:textId="77777777" w:rsidR="009B5E39" w:rsidRPr="007F5276" w:rsidRDefault="009B5E39" w:rsidP="009B5E39">
      <w:pPr>
        <w:ind w:left="1134" w:right="283" w:hanging="850"/>
        <w:jc w:val="both"/>
        <w:rPr>
          <w:rFonts w:ascii="Gotham" w:hAnsi="Gotham" w:cs="Arial"/>
          <w:sz w:val="19"/>
          <w:szCs w:val="19"/>
        </w:rPr>
      </w:pPr>
      <w:r w:rsidRPr="007F5276">
        <w:rPr>
          <w:rFonts w:ascii="Gotham" w:hAnsi="Gotham" w:cs="Arial"/>
          <w:sz w:val="19"/>
          <w:szCs w:val="19"/>
        </w:rPr>
        <w:t xml:space="preserve">XXIX. </w:t>
      </w:r>
      <w:r>
        <w:rPr>
          <w:rFonts w:ascii="Gotham" w:hAnsi="Gotham" w:cs="Arial"/>
          <w:sz w:val="19"/>
          <w:szCs w:val="19"/>
        </w:rPr>
        <w:tab/>
      </w:r>
      <w:r w:rsidRPr="007F5276">
        <w:rPr>
          <w:rFonts w:ascii="Gotham" w:hAnsi="Gotham" w:cs="Arial"/>
          <w:sz w:val="19"/>
          <w:szCs w:val="19"/>
        </w:rPr>
        <w:t>Usabilidad: Principios de arquitectura, diseño, experiencia, disposición y acceso a la información en Internet basados en el Usuario.</w:t>
      </w:r>
    </w:p>
    <w:p w14:paraId="3A474820" w14:textId="77777777" w:rsidR="009B5E39" w:rsidRPr="001B4EFE" w:rsidRDefault="009B5E39" w:rsidP="009B5E39">
      <w:pPr>
        <w:pStyle w:val="Prrafodelista"/>
        <w:ind w:left="0"/>
        <w:contextualSpacing w:val="0"/>
        <w:jc w:val="both"/>
        <w:rPr>
          <w:rFonts w:ascii="Gotham" w:hAnsi="Gotham" w:cs="Arial"/>
          <w:b/>
          <w:color w:val="000000" w:themeColor="text1"/>
          <w:sz w:val="20"/>
          <w:szCs w:val="20"/>
        </w:rPr>
      </w:pPr>
    </w:p>
    <w:p w14:paraId="3A474821" w14:textId="77777777" w:rsidR="009B5E39" w:rsidRPr="001B4EFE" w:rsidRDefault="009B5E39" w:rsidP="009B5E39">
      <w:pPr>
        <w:pStyle w:val="Prrafodelista"/>
        <w:ind w:left="0"/>
        <w:contextualSpacing w:val="0"/>
        <w:jc w:val="both"/>
        <w:rPr>
          <w:rFonts w:ascii="Gotham" w:hAnsi="Gotham" w:cs="Arial"/>
          <w:b/>
          <w:color w:val="000000" w:themeColor="text1"/>
          <w:sz w:val="20"/>
          <w:szCs w:val="20"/>
        </w:rPr>
      </w:pPr>
      <w:r w:rsidRPr="001B4EFE">
        <w:rPr>
          <w:rFonts w:ascii="Gotham" w:hAnsi="Gotham" w:cs="Arial"/>
          <w:b/>
          <w:color w:val="000000" w:themeColor="text1"/>
          <w:sz w:val="20"/>
          <w:szCs w:val="20"/>
        </w:rPr>
        <w:t>Se propone también adicionar, dos fracciones más, al artículo 4, dice:</w:t>
      </w:r>
    </w:p>
    <w:p w14:paraId="3A474822" w14:textId="77777777" w:rsidR="009B5E39" w:rsidRPr="001B4EFE" w:rsidRDefault="009B5E39" w:rsidP="009B5E39">
      <w:pPr>
        <w:pStyle w:val="Prrafodelista"/>
        <w:ind w:left="0"/>
        <w:contextualSpacing w:val="0"/>
        <w:jc w:val="both"/>
        <w:rPr>
          <w:rFonts w:ascii="Gotham" w:hAnsi="Gotham" w:cs="Arial"/>
          <w:b/>
          <w:color w:val="000000" w:themeColor="text1"/>
          <w:sz w:val="20"/>
          <w:szCs w:val="20"/>
        </w:rPr>
      </w:pPr>
    </w:p>
    <w:p w14:paraId="3A474823" w14:textId="77777777" w:rsidR="009B5E39" w:rsidRPr="001B4EFE" w:rsidRDefault="009B5E39" w:rsidP="009B5E39">
      <w:pPr>
        <w:ind w:left="284" w:right="283"/>
        <w:jc w:val="both"/>
        <w:rPr>
          <w:rFonts w:ascii="Gotham" w:hAnsi="Gotham" w:cs="Arial"/>
          <w:sz w:val="19"/>
          <w:szCs w:val="19"/>
        </w:rPr>
      </w:pPr>
      <w:r w:rsidRPr="001B4EFE">
        <w:rPr>
          <w:rFonts w:ascii="Gotham" w:hAnsi="Gotham" w:cs="Arial"/>
          <w:sz w:val="19"/>
          <w:szCs w:val="19"/>
        </w:rPr>
        <w:t>Artículo 4. De la Supletoriedad.</w:t>
      </w:r>
    </w:p>
    <w:p w14:paraId="3A474824" w14:textId="77777777" w:rsidR="009B5E39" w:rsidRDefault="009B5E39" w:rsidP="009B5E39">
      <w:pPr>
        <w:ind w:left="284" w:right="283"/>
        <w:jc w:val="both"/>
        <w:rPr>
          <w:rFonts w:ascii="Gotham" w:hAnsi="Gotham" w:cs="Arial"/>
          <w:sz w:val="19"/>
          <w:szCs w:val="19"/>
        </w:rPr>
      </w:pPr>
    </w:p>
    <w:p w14:paraId="3A474825" w14:textId="77777777" w:rsidR="009B5E39" w:rsidRPr="001B4EFE" w:rsidRDefault="009B5E39" w:rsidP="009B5E39">
      <w:pPr>
        <w:ind w:left="284" w:right="283"/>
        <w:jc w:val="both"/>
        <w:rPr>
          <w:rFonts w:ascii="Gotham" w:hAnsi="Gotham" w:cs="Arial"/>
          <w:sz w:val="19"/>
          <w:szCs w:val="19"/>
        </w:rPr>
      </w:pPr>
      <w:r w:rsidRPr="001B4EFE">
        <w:rPr>
          <w:rFonts w:ascii="Gotham" w:hAnsi="Gotham" w:cs="Arial"/>
          <w:sz w:val="19"/>
          <w:szCs w:val="19"/>
        </w:rPr>
        <w:t>Se aplicará de manera supletoria para el presente Reglamento, lo establecido en:</w:t>
      </w:r>
    </w:p>
    <w:p w14:paraId="3A474826" w14:textId="77777777" w:rsidR="009B5E39" w:rsidRDefault="009B5E39" w:rsidP="009B5E39">
      <w:pPr>
        <w:ind w:left="284" w:right="283"/>
        <w:jc w:val="both"/>
        <w:rPr>
          <w:rFonts w:ascii="Gotham" w:hAnsi="Gotham" w:cs="Arial"/>
          <w:sz w:val="19"/>
          <w:szCs w:val="19"/>
        </w:rPr>
      </w:pPr>
    </w:p>
    <w:p w14:paraId="3A474827" w14:textId="77777777" w:rsidR="009B5E39" w:rsidRPr="001B4EFE" w:rsidRDefault="009B5E39" w:rsidP="009B5E39">
      <w:pPr>
        <w:spacing w:after="120"/>
        <w:ind w:left="1134" w:right="283" w:hanging="850"/>
        <w:jc w:val="both"/>
        <w:rPr>
          <w:rFonts w:ascii="Gotham" w:hAnsi="Gotham" w:cs="Arial"/>
          <w:sz w:val="19"/>
          <w:szCs w:val="19"/>
        </w:rPr>
      </w:pPr>
      <w:r w:rsidRPr="001B4EFE">
        <w:rPr>
          <w:rFonts w:ascii="Gotham" w:hAnsi="Gotham" w:cs="Arial"/>
          <w:sz w:val="19"/>
          <w:szCs w:val="19"/>
        </w:rPr>
        <w:t xml:space="preserve">I. </w:t>
      </w:r>
      <w:r>
        <w:rPr>
          <w:rFonts w:ascii="Gotham" w:hAnsi="Gotham" w:cs="Arial"/>
          <w:sz w:val="19"/>
          <w:szCs w:val="19"/>
        </w:rPr>
        <w:tab/>
      </w:r>
      <w:r w:rsidRPr="001B4EFE">
        <w:rPr>
          <w:rFonts w:ascii="Gotham" w:hAnsi="Gotham" w:cs="Arial"/>
          <w:sz w:val="19"/>
          <w:szCs w:val="19"/>
        </w:rPr>
        <w:t>La Ley;</w:t>
      </w:r>
    </w:p>
    <w:p w14:paraId="3A474828" w14:textId="77777777" w:rsidR="009B5E39" w:rsidRPr="001B4EFE" w:rsidRDefault="009B5E39" w:rsidP="009B5E39">
      <w:pPr>
        <w:spacing w:after="120"/>
        <w:ind w:left="1134" w:right="283" w:hanging="850"/>
        <w:jc w:val="both"/>
        <w:rPr>
          <w:rFonts w:ascii="Gotham" w:hAnsi="Gotham" w:cs="Arial"/>
          <w:sz w:val="19"/>
          <w:szCs w:val="19"/>
        </w:rPr>
      </w:pPr>
      <w:r w:rsidRPr="001B4EFE">
        <w:rPr>
          <w:rFonts w:ascii="Gotham" w:hAnsi="Gotham" w:cs="Arial"/>
          <w:sz w:val="19"/>
          <w:szCs w:val="19"/>
        </w:rPr>
        <w:t xml:space="preserve">II. </w:t>
      </w:r>
      <w:r>
        <w:rPr>
          <w:rFonts w:ascii="Gotham" w:hAnsi="Gotham" w:cs="Arial"/>
          <w:sz w:val="19"/>
          <w:szCs w:val="19"/>
        </w:rPr>
        <w:tab/>
      </w:r>
      <w:r w:rsidRPr="001B4EFE">
        <w:rPr>
          <w:rFonts w:ascii="Gotham" w:hAnsi="Gotham" w:cs="Arial"/>
          <w:sz w:val="19"/>
          <w:szCs w:val="19"/>
        </w:rPr>
        <w:t>La Ley General;</w:t>
      </w:r>
    </w:p>
    <w:p w14:paraId="3A474829" w14:textId="77777777" w:rsidR="009B5E39" w:rsidRPr="001B4EFE" w:rsidRDefault="009B5E39" w:rsidP="009B5E39">
      <w:pPr>
        <w:spacing w:after="120"/>
        <w:ind w:left="1134" w:right="283" w:hanging="850"/>
        <w:jc w:val="both"/>
        <w:rPr>
          <w:rFonts w:ascii="Gotham" w:hAnsi="Gotham" w:cs="Arial"/>
          <w:sz w:val="19"/>
          <w:szCs w:val="19"/>
        </w:rPr>
      </w:pPr>
      <w:r w:rsidRPr="001B4EFE">
        <w:rPr>
          <w:rFonts w:ascii="Gotham" w:hAnsi="Gotham" w:cs="Arial"/>
          <w:sz w:val="19"/>
          <w:szCs w:val="19"/>
        </w:rPr>
        <w:t xml:space="preserve">III. </w:t>
      </w:r>
      <w:r>
        <w:rPr>
          <w:rFonts w:ascii="Gotham" w:hAnsi="Gotham" w:cs="Arial"/>
          <w:sz w:val="19"/>
          <w:szCs w:val="19"/>
        </w:rPr>
        <w:tab/>
      </w:r>
      <w:r w:rsidRPr="001B4EFE">
        <w:rPr>
          <w:rFonts w:ascii="Gotham" w:hAnsi="Gotham" w:cs="Arial"/>
          <w:sz w:val="19"/>
          <w:szCs w:val="19"/>
        </w:rPr>
        <w:t>Los Lineamientos; y</w:t>
      </w:r>
    </w:p>
    <w:p w14:paraId="3A47482A" w14:textId="77777777" w:rsidR="009B5E39" w:rsidRPr="001B4EFE" w:rsidRDefault="009B5E39" w:rsidP="009B5E39">
      <w:pPr>
        <w:ind w:left="1134" w:right="283" w:hanging="850"/>
        <w:jc w:val="both"/>
        <w:rPr>
          <w:rFonts w:ascii="Gotham" w:hAnsi="Gotham" w:cs="Arial"/>
          <w:sz w:val="19"/>
          <w:szCs w:val="19"/>
        </w:rPr>
      </w:pPr>
      <w:r w:rsidRPr="001B4EFE">
        <w:rPr>
          <w:rFonts w:ascii="Gotham" w:hAnsi="Gotham" w:cs="Arial"/>
          <w:sz w:val="19"/>
          <w:szCs w:val="19"/>
        </w:rPr>
        <w:t xml:space="preserve">IV. </w:t>
      </w:r>
      <w:r>
        <w:rPr>
          <w:rFonts w:ascii="Gotham" w:hAnsi="Gotham" w:cs="Arial"/>
          <w:sz w:val="19"/>
          <w:szCs w:val="19"/>
        </w:rPr>
        <w:tab/>
      </w:r>
      <w:r w:rsidRPr="001B4EFE">
        <w:rPr>
          <w:rFonts w:ascii="Gotham" w:hAnsi="Gotham" w:cs="Arial"/>
          <w:sz w:val="19"/>
          <w:szCs w:val="19"/>
        </w:rPr>
        <w:t>Las demás disposiciones legales y administrativas aplicables en lo conducente.</w:t>
      </w:r>
    </w:p>
    <w:p w14:paraId="3A47482B" w14:textId="77777777" w:rsidR="009B5E39" w:rsidRPr="00212F7E" w:rsidRDefault="009B5E39" w:rsidP="009B5E39">
      <w:pPr>
        <w:pStyle w:val="Prrafodelista"/>
        <w:ind w:left="0"/>
        <w:contextualSpacing w:val="0"/>
        <w:jc w:val="both"/>
        <w:rPr>
          <w:rFonts w:ascii="Gotham" w:hAnsi="Gotham" w:cs="Arial"/>
          <w:b/>
          <w:color w:val="000000" w:themeColor="text1"/>
          <w:sz w:val="20"/>
          <w:szCs w:val="20"/>
        </w:rPr>
      </w:pPr>
    </w:p>
    <w:p w14:paraId="3A47482C" w14:textId="77777777" w:rsidR="009B5E39" w:rsidRPr="00212F7E" w:rsidRDefault="009B5E39" w:rsidP="009B5E39">
      <w:pPr>
        <w:pStyle w:val="Prrafodelista"/>
        <w:ind w:left="0"/>
        <w:contextualSpacing w:val="0"/>
        <w:jc w:val="both"/>
        <w:rPr>
          <w:rFonts w:ascii="Gotham" w:hAnsi="Gotham" w:cs="Arial"/>
          <w:b/>
          <w:color w:val="000000" w:themeColor="text1"/>
          <w:sz w:val="20"/>
          <w:szCs w:val="20"/>
        </w:rPr>
      </w:pPr>
      <w:r w:rsidRPr="00212F7E">
        <w:rPr>
          <w:rFonts w:ascii="Gotham" w:hAnsi="Gotham" w:cs="Arial"/>
          <w:b/>
          <w:color w:val="000000" w:themeColor="text1"/>
          <w:sz w:val="20"/>
          <w:szCs w:val="20"/>
        </w:rPr>
        <w:t xml:space="preserve">Debe decir: </w:t>
      </w:r>
    </w:p>
    <w:p w14:paraId="3A47482D" w14:textId="77777777" w:rsidR="009B5E39" w:rsidRPr="00212F7E" w:rsidRDefault="009B5E39" w:rsidP="009B5E39">
      <w:pPr>
        <w:pStyle w:val="Prrafodelista"/>
        <w:ind w:left="0"/>
        <w:contextualSpacing w:val="0"/>
        <w:jc w:val="both"/>
        <w:rPr>
          <w:rFonts w:ascii="Gotham" w:hAnsi="Gotham" w:cs="Arial"/>
          <w:b/>
          <w:color w:val="000000" w:themeColor="text1"/>
          <w:sz w:val="20"/>
          <w:szCs w:val="20"/>
        </w:rPr>
      </w:pPr>
    </w:p>
    <w:p w14:paraId="3A47482E" w14:textId="77777777" w:rsidR="009B5E39" w:rsidRPr="001133B0" w:rsidRDefault="009B5E39" w:rsidP="009B5E39">
      <w:pPr>
        <w:ind w:left="284" w:right="283"/>
        <w:jc w:val="both"/>
        <w:rPr>
          <w:rFonts w:ascii="Gotham" w:hAnsi="Gotham" w:cs="Arial"/>
          <w:b/>
          <w:sz w:val="19"/>
          <w:szCs w:val="19"/>
        </w:rPr>
      </w:pPr>
      <w:r w:rsidRPr="001133B0">
        <w:rPr>
          <w:rFonts w:ascii="Gotham" w:hAnsi="Gotham" w:cs="Arial"/>
          <w:b/>
          <w:sz w:val="19"/>
          <w:szCs w:val="19"/>
        </w:rPr>
        <w:t>Artículo 4. De la Supletoriedad.</w:t>
      </w:r>
    </w:p>
    <w:p w14:paraId="3A47482F" w14:textId="77777777" w:rsidR="009B5E39" w:rsidRPr="001133B0" w:rsidRDefault="009B5E39" w:rsidP="009B5E39">
      <w:pPr>
        <w:ind w:left="284" w:right="283"/>
        <w:jc w:val="both"/>
        <w:rPr>
          <w:rFonts w:ascii="Gotham" w:hAnsi="Gotham" w:cs="Arial"/>
          <w:sz w:val="19"/>
          <w:szCs w:val="19"/>
        </w:rPr>
      </w:pPr>
    </w:p>
    <w:p w14:paraId="3A474830" w14:textId="77777777" w:rsidR="009B5E39" w:rsidRPr="001133B0" w:rsidRDefault="009B5E39" w:rsidP="009B5E39">
      <w:pPr>
        <w:ind w:left="284" w:right="283"/>
        <w:jc w:val="both"/>
        <w:rPr>
          <w:rFonts w:ascii="Gotham" w:hAnsi="Gotham" w:cs="Arial"/>
          <w:sz w:val="19"/>
          <w:szCs w:val="19"/>
        </w:rPr>
      </w:pPr>
      <w:r w:rsidRPr="001133B0">
        <w:rPr>
          <w:rFonts w:ascii="Gotham" w:hAnsi="Gotham" w:cs="Arial"/>
          <w:sz w:val="19"/>
          <w:szCs w:val="19"/>
        </w:rPr>
        <w:t>Se aplicará de manera supletoria para el presente Reglamento, lo establecido en:</w:t>
      </w:r>
    </w:p>
    <w:p w14:paraId="3A474831" w14:textId="77777777" w:rsidR="009B5E39" w:rsidRDefault="009B5E39" w:rsidP="009B5E39">
      <w:pPr>
        <w:ind w:left="284" w:right="283"/>
        <w:jc w:val="both"/>
        <w:rPr>
          <w:rFonts w:ascii="Gotham" w:hAnsi="Gotham" w:cs="Arial"/>
          <w:sz w:val="19"/>
          <w:szCs w:val="19"/>
        </w:rPr>
      </w:pPr>
    </w:p>
    <w:p w14:paraId="3A474832" w14:textId="77777777" w:rsidR="009B5E39" w:rsidRPr="001133B0" w:rsidRDefault="009B5E39" w:rsidP="009B5E39">
      <w:pPr>
        <w:spacing w:after="120"/>
        <w:ind w:left="1134" w:right="283" w:hanging="850"/>
        <w:jc w:val="both"/>
        <w:rPr>
          <w:rFonts w:ascii="Gotham" w:hAnsi="Gotham" w:cs="Arial"/>
          <w:sz w:val="19"/>
          <w:szCs w:val="19"/>
        </w:rPr>
      </w:pPr>
      <w:r w:rsidRPr="001133B0">
        <w:rPr>
          <w:rFonts w:ascii="Gotham" w:hAnsi="Gotham" w:cs="Arial"/>
          <w:sz w:val="19"/>
          <w:szCs w:val="19"/>
        </w:rPr>
        <w:t xml:space="preserve">I. </w:t>
      </w:r>
      <w:r>
        <w:rPr>
          <w:rFonts w:ascii="Gotham" w:hAnsi="Gotham" w:cs="Arial"/>
          <w:sz w:val="19"/>
          <w:szCs w:val="19"/>
        </w:rPr>
        <w:tab/>
      </w:r>
      <w:r w:rsidRPr="001133B0">
        <w:rPr>
          <w:rFonts w:ascii="Gotham" w:hAnsi="Gotham" w:cs="Arial"/>
          <w:sz w:val="19"/>
          <w:szCs w:val="19"/>
        </w:rPr>
        <w:t>Ley General de Transparencia y Acceso a la Información Pública;</w:t>
      </w:r>
    </w:p>
    <w:p w14:paraId="3A474833" w14:textId="77777777" w:rsidR="009B5E39" w:rsidRPr="001133B0" w:rsidRDefault="009B5E39" w:rsidP="009B5E39">
      <w:pPr>
        <w:spacing w:after="120"/>
        <w:ind w:left="1134" w:right="283" w:hanging="850"/>
        <w:jc w:val="both"/>
        <w:rPr>
          <w:rFonts w:ascii="Gotham" w:hAnsi="Gotham" w:cs="Arial"/>
          <w:sz w:val="19"/>
          <w:szCs w:val="19"/>
        </w:rPr>
      </w:pPr>
      <w:r w:rsidRPr="001133B0">
        <w:rPr>
          <w:rFonts w:ascii="Gotham" w:hAnsi="Gotham" w:cs="Arial"/>
          <w:sz w:val="19"/>
          <w:szCs w:val="19"/>
        </w:rPr>
        <w:t xml:space="preserve">II. </w:t>
      </w:r>
      <w:r>
        <w:rPr>
          <w:rFonts w:ascii="Gotham" w:hAnsi="Gotham" w:cs="Arial"/>
          <w:sz w:val="19"/>
          <w:szCs w:val="19"/>
        </w:rPr>
        <w:tab/>
      </w:r>
      <w:r w:rsidRPr="001133B0">
        <w:rPr>
          <w:rFonts w:ascii="Gotham" w:hAnsi="Gotham" w:cs="Arial"/>
          <w:sz w:val="19"/>
          <w:szCs w:val="19"/>
        </w:rPr>
        <w:t>La Ley de Transparencia y Acceso a la Información Pública del Estado de Jalisco y sus Municipios;</w:t>
      </w:r>
    </w:p>
    <w:p w14:paraId="3A474834" w14:textId="77777777" w:rsidR="009B5E39" w:rsidRPr="001133B0" w:rsidRDefault="009B5E39" w:rsidP="009B5E39">
      <w:pPr>
        <w:spacing w:after="120"/>
        <w:ind w:left="1134" w:right="283" w:hanging="850"/>
        <w:jc w:val="both"/>
        <w:rPr>
          <w:rFonts w:ascii="Gotham" w:hAnsi="Gotham" w:cs="Arial"/>
          <w:sz w:val="19"/>
          <w:szCs w:val="19"/>
        </w:rPr>
      </w:pPr>
      <w:r w:rsidRPr="001133B0">
        <w:rPr>
          <w:rFonts w:ascii="Gotham" w:hAnsi="Gotham" w:cs="Arial"/>
          <w:sz w:val="19"/>
          <w:szCs w:val="19"/>
        </w:rPr>
        <w:t xml:space="preserve">III. </w:t>
      </w:r>
      <w:r>
        <w:rPr>
          <w:rFonts w:ascii="Gotham" w:hAnsi="Gotham" w:cs="Arial"/>
          <w:sz w:val="19"/>
          <w:szCs w:val="19"/>
        </w:rPr>
        <w:tab/>
      </w:r>
      <w:r w:rsidRPr="001133B0">
        <w:rPr>
          <w:rFonts w:ascii="Gotham" w:hAnsi="Gotham" w:cs="Arial"/>
          <w:sz w:val="19"/>
          <w:szCs w:val="19"/>
        </w:rPr>
        <w:t xml:space="preserve">El Reglamento de la Ley de Transparencia y Acceso a la Información Pública del Estado de Jalisco y sus Municipios; </w:t>
      </w:r>
    </w:p>
    <w:p w14:paraId="3A474835" w14:textId="77777777" w:rsidR="009B5E39" w:rsidRPr="001133B0" w:rsidRDefault="009B5E39" w:rsidP="009B5E39">
      <w:pPr>
        <w:spacing w:after="120"/>
        <w:ind w:left="1134" w:right="283" w:hanging="850"/>
        <w:jc w:val="both"/>
        <w:rPr>
          <w:rFonts w:ascii="Gotham" w:hAnsi="Gotham" w:cs="Arial"/>
          <w:sz w:val="19"/>
          <w:szCs w:val="19"/>
        </w:rPr>
      </w:pPr>
      <w:r w:rsidRPr="001133B0">
        <w:rPr>
          <w:rFonts w:ascii="Gotham" w:hAnsi="Gotham" w:cs="Arial"/>
          <w:sz w:val="19"/>
          <w:szCs w:val="19"/>
        </w:rPr>
        <w:t xml:space="preserve">IV. </w:t>
      </w:r>
      <w:r>
        <w:rPr>
          <w:rFonts w:ascii="Gotham" w:hAnsi="Gotham" w:cs="Arial"/>
          <w:sz w:val="19"/>
          <w:szCs w:val="19"/>
        </w:rPr>
        <w:tab/>
      </w:r>
      <w:r w:rsidRPr="001133B0">
        <w:rPr>
          <w:rFonts w:ascii="Gotham" w:hAnsi="Gotham" w:cs="Arial"/>
          <w:sz w:val="19"/>
          <w:szCs w:val="19"/>
        </w:rPr>
        <w:t>El Reglamento de Transparencia, y Acceso a la Información Pública, Protección de Datos y Gobierno Abierto del Ayuntamiento de Tonalá, Jalisco;</w:t>
      </w:r>
    </w:p>
    <w:p w14:paraId="3A474836" w14:textId="77777777" w:rsidR="009B5E39" w:rsidRPr="001133B0" w:rsidRDefault="009B5E39" w:rsidP="009B5E39">
      <w:pPr>
        <w:spacing w:after="120"/>
        <w:ind w:left="1134" w:right="283" w:hanging="850"/>
        <w:jc w:val="both"/>
        <w:rPr>
          <w:rFonts w:ascii="Gotham" w:hAnsi="Gotham" w:cs="Arial"/>
          <w:sz w:val="19"/>
          <w:szCs w:val="19"/>
        </w:rPr>
      </w:pPr>
      <w:r w:rsidRPr="001133B0">
        <w:rPr>
          <w:rFonts w:ascii="Gotham" w:hAnsi="Gotham" w:cs="Arial"/>
          <w:sz w:val="19"/>
          <w:szCs w:val="19"/>
        </w:rPr>
        <w:t xml:space="preserve">V. </w:t>
      </w:r>
      <w:r>
        <w:rPr>
          <w:rFonts w:ascii="Gotham" w:hAnsi="Gotham" w:cs="Arial"/>
          <w:sz w:val="19"/>
          <w:szCs w:val="19"/>
        </w:rPr>
        <w:tab/>
      </w:r>
      <w:r w:rsidRPr="001133B0">
        <w:rPr>
          <w:rFonts w:ascii="Gotham" w:hAnsi="Gotham" w:cs="Arial"/>
          <w:sz w:val="19"/>
          <w:szCs w:val="19"/>
        </w:rPr>
        <w:t>Los Lineamientos Generales del Instituto Nacional de Transparencia, Acceso a la Información y Protección de Datos Personales; así como del Sistema Nacional de Transparencia y el Instituto;</w:t>
      </w:r>
    </w:p>
    <w:p w14:paraId="3A474837" w14:textId="77777777" w:rsidR="009B5E39" w:rsidRPr="001133B0" w:rsidRDefault="009B5E39" w:rsidP="009B5E39">
      <w:pPr>
        <w:ind w:left="1134" w:right="283" w:hanging="850"/>
        <w:jc w:val="both"/>
        <w:rPr>
          <w:rFonts w:ascii="Gotham" w:hAnsi="Gotham" w:cs="Arial"/>
          <w:sz w:val="19"/>
          <w:szCs w:val="19"/>
        </w:rPr>
      </w:pPr>
      <w:r w:rsidRPr="001133B0">
        <w:rPr>
          <w:rFonts w:ascii="Gotham" w:hAnsi="Gotham" w:cs="Arial"/>
          <w:sz w:val="19"/>
          <w:szCs w:val="19"/>
        </w:rPr>
        <w:t xml:space="preserve">VI. </w:t>
      </w:r>
      <w:r>
        <w:rPr>
          <w:rFonts w:ascii="Gotham" w:hAnsi="Gotham" w:cs="Arial"/>
          <w:sz w:val="19"/>
          <w:szCs w:val="19"/>
        </w:rPr>
        <w:tab/>
      </w:r>
      <w:r w:rsidRPr="001133B0">
        <w:rPr>
          <w:rFonts w:ascii="Gotham" w:hAnsi="Gotham" w:cs="Arial"/>
          <w:sz w:val="19"/>
          <w:szCs w:val="19"/>
        </w:rPr>
        <w:t>Las demás disposiciones legales y administrativas aplicables en la materia.</w:t>
      </w:r>
    </w:p>
    <w:p w14:paraId="3A474838" w14:textId="77777777" w:rsidR="009B5E39" w:rsidRPr="00B31F2B" w:rsidRDefault="009B5E39" w:rsidP="009B5E39">
      <w:pPr>
        <w:pStyle w:val="Prrafodelista"/>
        <w:ind w:left="0"/>
        <w:contextualSpacing w:val="0"/>
        <w:jc w:val="both"/>
        <w:rPr>
          <w:rFonts w:ascii="Gotham" w:hAnsi="Gotham" w:cs="Arial"/>
          <w:b/>
          <w:color w:val="000000" w:themeColor="text1"/>
          <w:sz w:val="20"/>
          <w:szCs w:val="20"/>
        </w:rPr>
      </w:pPr>
      <w:bookmarkStart w:id="8" w:name="_Toc40950506"/>
    </w:p>
    <w:p w14:paraId="3A474839" w14:textId="77777777" w:rsidR="009B5E39" w:rsidRPr="00B31F2B" w:rsidRDefault="009B5E39" w:rsidP="009B5E39">
      <w:pPr>
        <w:pStyle w:val="Prrafodelista"/>
        <w:ind w:left="0"/>
        <w:contextualSpacing w:val="0"/>
        <w:jc w:val="both"/>
        <w:rPr>
          <w:rFonts w:ascii="Gotham" w:hAnsi="Gotham" w:cs="Arial"/>
          <w:b/>
          <w:color w:val="000000" w:themeColor="text1"/>
          <w:sz w:val="20"/>
          <w:szCs w:val="20"/>
        </w:rPr>
      </w:pPr>
      <w:r w:rsidRPr="00B31F2B">
        <w:rPr>
          <w:rFonts w:ascii="Gotham" w:hAnsi="Gotham" w:cs="Arial"/>
          <w:b/>
          <w:color w:val="000000" w:themeColor="text1"/>
          <w:sz w:val="20"/>
          <w:szCs w:val="20"/>
        </w:rPr>
        <w:t xml:space="preserve">Se propone modificar el artículo 6, dice: </w:t>
      </w:r>
    </w:p>
    <w:p w14:paraId="3A47483A" w14:textId="77777777" w:rsidR="009B5E39" w:rsidRPr="00B31F2B" w:rsidRDefault="009B5E39" w:rsidP="009B5E39">
      <w:pPr>
        <w:pStyle w:val="Prrafodelista"/>
        <w:ind w:left="0"/>
        <w:contextualSpacing w:val="0"/>
        <w:jc w:val="both"/>
        <w:rPr>
          <w:rFonts w:ascii="Gotham" w:hAnsi="Gotham" w:cs="Arial"/>
          <w:b/>
          <w:color w:val="000000" w:themeColor="text1"/>
          <w:sz w:val="20"/>
          <w:szCs w:val="20"/>
        </w:rPr>
      </w:pPr>
    </w:p>
    <w:p w14:paraId="3A47483B" w14:textId="77777777" w:rsidR="009B5E39" w:rsidRPr="001133B0" w:rsidRDefault="009B5E39" w:rsidP="009B5E39">
      <w:pPr>
        <w:ind w:left="284" w:right="283"/>
        <w:jc w:val="both"/>
        <w:rPr>
          <w:rFonts w:ascii="Gotham" w:hAnsi="Gotham" w:cs="Arial"/>
          <w:sz w:val="19"/>
          <w:szCs w:val="19"/>
        </w:rPr>
      </w:pPr>
      <w:r w:rsidRPr="001133B0">
        <w:rPr>
          <w:rFonts w:ascii="Gotham" w:hAnsi="Gotham" w:cs="Arial"/>
          <w:sz w:val="19"/>
          <w:szCs w:val="19"/>
        </w:rPr>
        <w:t>Artículo 6. De las Unidades Administrativas de los Sujetos Obligados:</w:t>
      </w:r>
      <w:r w:rsidR="00883EC2">
        <w:rPr>
          <w:rFonts w:ascii="Gotham" w:hAnsi="Gotham" w:cs="Arial"/>
          <w:sz w:val="19"/>
          <w:szCs w:val="19"/>
        </w:rPr>
        <w:t xml:space="preserve"> </w:t>
      </w:r>
    </w:p>
    <w:p w14:paraId="3A47483C" w14:textId="77777777" w:rsidR="009B5E39" w:rsidRDefault="009B5E39" w:rsidP="009B5E39">
      <w:pPr>
        <w:ind w:left="284" w:right="283"/>
        <w:jc w:val="both"/>
        <w:rPr>
          <w:rFonts w:ascii="Gotham" w:hAnsi="Gotham" w:cs="Arial"/>
          <w:sz w:val="19"/>
          <w:szCs w:val="19"/>
        </w:rPr>
      </w:pPr>
    </w:p>
    <w:p w14:paraId="3A47483D" w14:textId="77777777" w:rsidR="009B5E39" w:rsidRPr="001133B0" w:rsidRDefault="009B5E39" w:rsidP="009B5E39">
      <w:pPr>
        <w:ind w:left="284" w:right="283"/>
        <w:jc w:val="both"/>
        <w:rPr>
          <w:rFonts w:ascii="Gotham" w:hAnsi="Gotham" w:cs="Arial"/>
          <w:sz w:val="19"/>
          <w:szCs w:val="19"/>
        </w:rPr>
      </w:pPr>
      <w:r w:rsidRPr="001133B0">
        <w:rPr>
          <w:rFonts w:ascii="Gotham" w:hAnsi="Gotham" w:cs="Arial"/>
          <w:sz w:val="19"/>
          <w:szCs w:val="19"/>
        </w:rPr>
        <w:lastRenderedPageBreak/>
        <w:t>Son Unidades Administrativas:</w:t>
      </w:r>
    </w:p>
    <w:p w14:paraId="3A47483E" w14:textId="77777777" w:rsidR="009B5E39" w:rsidRDefault="009B5E39" w:rsidP="009B5E39">
      <w:pPr>
        <w:ind w:left="284" w:right="283"/>
        <w:jc w:val="both"/>
        <w:rPr>
          <w:rFonts w:ascii="Gotham" w:hAnsi="Gotham" w:cs="Arial"/>
          <w:sz w:val="19"/>
          <w:szCs w:val="19"/>
        </w:rPr>
      </w:pPr>
    </w:p>
    <w:p w14:paraId="3A47483F" w14:textId="77777777" w:rsidR="009B5E39" w:rsidRPr="001133B0" w:rsidRDefault="009B5E39" w:rsidP="009B5E39">
      <w:pPr>
        <w:spacing w:after="120"/>
        <w:ind w:left="1134" w:right="283" w:hanging="850"/>
        <w:jc w:val="both"/>
        <w:rPr>
          <w:rFonts w:ascii="Gotham" w:hAnsi="Gotham" w:cs="Arial"/>
          <w:sz w:val="19"/>
          <w:szCs w:val="19"/>
        </w:rPr>
      </w:pPr>
      <w:r w:rsidRPr="001133B0">
        <w:rPr>
          <w:rFonts w:ascii="Gotham" w:hAnsi="Gotham" w:cs="Arial"/>
          <w:sz w:val="19"/>
          <w:szCs w:val="19"/>
        </w:rPr>
        <w:t>I.</w:t>
      </w:r>
      <w:r w:rsidRPr="001133B0">
        <w:rPr>
          <w:rFonts w:ascii="Gotham" w:hAnsi="Gotham" w:cs="Arial"/>
          <w:sz w:val="19"/>
          <w:szCs w:val="19"/>
        </w:rPr>
        <w:tab/>
        <w:t>Del Ayuntamiento:</w:t>
      </w:r>
    </w:p>
    <w:p w14:paraId="3A474840"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a)</w:t>
      </w:r>
      <w:r w:rsidRPr="001133B0">
        <w:rPr>
          <w:rFonts w:ascii="Gotham" w:hAnsi="Gotham" w:cs="Arial"/>
          <w:sz w:val="19"/>
          <w:szCs w:val="19"/>
        </w:rPr>
        <w:tab/>
        <w:t>El Despacho de la Presidencia Municipal;</w:t>
      </w:r>
    </w:p>
    <w:p w14:paraId="3A474841"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b)</w:t>
      </w:r>
      <w:r w:rsidRPr="001133B0">
        <w:rPr>
          <w:rFonts w:ascii="Gotham" w:hAnsi="Gotham" w:cs="Arial"/>
          <w:sz w:val="19"/>
          <w:szCs w:val="19"/>
        </w:rPr>
        <w:tab/>
        <w:t>La Sindicatura;</w:t>
      </w:r>
    </w:p>
    <w:p w14:paraId="3A474842"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c)</w:t>
      </w:r>
      <w:r w:rsidRPr="001133B0">
        <w:rPr>
          <w:rFonts w:ascii="Gotham" w:hAnsi="Gotham" w:cs="Arial"/>
          <w:sz w:val="19"/>
          <w:szCs w:val="19"/>
        </w:rPr>
        <w:tab/>
        <w:t>Las Regidurías; y</w:t>
      </w:r>
    </w:p>
    <w:p w14:paraId="3A474843" w14:textId="77777777" w:rsidR="009B5E39" w:rsidRPr="001133B0" w:rsidRDefault="009B5E39" w:rsidP="009B5E39">
      <w:pPr>
        <w:spacing w:after="120"/>
        <w:ind w:left="1560" w:right="283" w:hanging="426"/>
        <w:jc w:val="both"/>
        <w:rPr>
          <w:rFonts w:ascii="Gotham" w:hAnsi="Gotham" w:cs="Arial"/>
          <w:sz w:val="19"/>
          <w:szCs w:val="19"/>
        </w:rPr>
      </w:pPr>
      <w:r w:rsidRPr="001133B0">
        <w:rPr>
          <w:rFonts w:ascii="Gotham" w:hAnsi="Gotham" w:cs="Arial"/>
          <w:sz w:val="19"/>
          <w:szCs w:val="19"/>
        </w:rPr>
        <w:t>d)</w:t>
      </w:r>
      <w:r w:rsidRPr="001133B0">
        <w:rPr>
          <w:rFonts w:ascii="Gotham" w:hAnsi="Gotham" w:cs="Arial"/>
          <w:sz w:val="19"/>
          <w:szCs w:val="19"/>
        </w:rPr>
        <w:tab/>
        <w:t>Las Comisiones Edilicias.</w:t>
      </w:r>
    </w:p>
    <w:p w14:paraId="3A474844" w14:textId="77777777" w:rsidR="009B5E39" w:rsidRPr="001133B0" w:rsidRDefault="009B5E39" w:rsidP="009B5E39">
      <w:pPr>
        <w:spacing w:after="120"/>
        <w:ind w:left="1134" w:right="283" w:hanging="850"/>
        <w:jc w:val="both"/>
        <w:rPr>
          <w:rFonts w:ascii="Gotham" w:hAnsi="Gotham" w:cs="Arial"/>
          <w:sz w:val="19"/>
          <w:szCs w:val="19"/>
        </w:rPr>
      </w:pPr>
      <w:r w:rsidRPr="001133B0">
        <w:rPr>
          <w:rFonts w:ascii="Gotham" w:hAnsi="Gotham" w:cs="Arial"/>
          <w:sz w:val="19"/>
          <w:szCs w:val="19"/>
        </w:rPr>
        <w:t>II.</w:t>
      </w:r>
      <w:r w:rsidRPr="001133B0">
        <w:rPr>
          <w:rFonts w:ascii="Gotham" w:hAnsi="Gotham" w:cs="Arial"/>
          <w:sz w:val="19"/>
          <w:szCs w:val="19"/>
        </w:rPr>
        <w:tab/>
        <w:t>De los Órganos Auxiliares del Ayuntamiento:</w:t>
      </w:r>
    </w:p>
    <w:p w14:paraId="3A474845"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a)</w:t>
      </w:r>
      <w:r w:rsidRPr="001133B0">
        <w:rPr>
          <w:rFonts w:ascii="Gotham" w:hAnsi="Gotham" w:cs="Arial"/>
          <w:sz w:val="19"/>
          <w:szCs w:val="19"/>
        </w:rPr>
        <w:tab/>
        <w:t>Contraloría Municipal;</w:t>
      </w:r>
    </w:p>
    <w:p w14:paraId="3A474846"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b)</w:t>
      </w:r>
      <w:r w:rsidRPr="001133B0">
        <w:rPr>
          <w:rFonts w:ascii="Gotham" w:hAnsi="Gotham" w:cs="Arial"/>
          <w:sz w:val="19"/>
          <w:szCs w:val="19"/>
        </w:rPr>
        <w:tab/>
        <w:t>Secretaría General; y</w:t>
      </w:r>
    </w:p>
    <w:p w14:paraId="3A474847" w14:textId="77777777" w:rsidR="009B5E39" w:rsidRPr="001133B0" w:rsidRDefault="009B5E39" w:rsidP="009B5E39">
      <w:pPr>
        <w:spacing w:after="120"/>
        <w:ind w:left="1560" w:right="283" w:hanging="426"/>
        <w:jc w:val="both"/>
        <w:rPr>
          <w:rFonts w:ascii="Gotham" w:hAnsi="Gotham" w:cs="Arial"/>
          <w:sz w:val="19"/>
          <w:szCs w:val="19"/>
        </w:rPr>
      </w:pPr>
      <w:r w:rsidRPr="001133B0">
        <w:rPr>
          <w:rFonts w:ascii="Gotham" w:hAnsi="Gotham" w:cs="Arial"/>
          <w:sz w:val="19"/>
          <w:szCs w:val="19"/>
        </w:rPr>
        <w:t>c)</w:t>
      </w:r>
      <w:r w:rsidRPr="001133B0">
        <w:rPr>
          <w:rFonts w:ascii="Gotham" w:hAnsi="Gotham" w:cs="Arial"/>
          <w:sz w:val="19"/>
          <w:szCs w:val="19"/>
        </w:rPr>
        <w:tab/>
        <w:t>Hacienda Municipal.</w:t>
      </w:r>
    </w:p>
    <w:p w14:paraId="3A474848" w14:textId="77777777" w:rsidR="009B5E39" w:rsidRPr="001133B0" w:rsidRDefault="009B5E39" w:rsidP="009B5E39">
      <w:pPr>
        <w:spacing w:after="120"/>
        <w:ind w:left="1134" w:right="283" w:hanging="850"/>
        <w:jc w:val="both"/>
        <w:rPr>
          <w:rFonts w:ascii="Gotham" w:hAnsi="Gotham" w:cs="Arial"/>
          <w:sz w:val="19"/>
          <w:szCs w:val="19"/>
        </w:rPr>
      </w:pPr>
      <w:r w:rsidRPr="001133B0">
        <w:rPr>
          <w:rFonts w:ascii="Gotham" w:hAnsi="Gotham" w:cs="Arial"/>
          <w:sz w:val="19"/>
          <w:szCs w:val="19"/>
        </w:rPr>
        <w:t>III.</w:t>
      </w:r>
      <w:r w:rsidRPr="001133B0">
        <w:rPr>
          <w:rFonts w:ascii="Gotham" w:hAnsi="Gotham" w:cs="Arial"/>
          <w:sz w:val="19"/>
          <w:szCs w:val="19"/>
        </w:rPr>
        <w:tab/>
        <w:t xml:space="preserve">De la Administración Pública Centralizada: </w:t>
      </w:r>
    </w:p>
    <w:p w14:paraId="3A474849"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a)</w:t>
      </w:r>
      <w:r w:rsidRPr="001133B0">
        <w:rPr>
          <w:rFonts w:ascii="Gotham" w:hAnsi="Gotham" w:cs="Arial"/>
          <w:sz w:val="19"/>
          <w:szCs w:val="19"/>
        </w:rPr>
        <w:tab/>
        <w:t>Dirección General de Administración y Desarrollo Humano;</w:t>
      </w:r>
    </w:p>
    <w:p w14:paraId="3A47484A"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b)</w:t>
      </w:r>
      <w:r w:rsidRPr="001133B0">
        <w:rPr>
          <w:rFonts w:ascii="Gotham" w:hAnsi="Gotham" w:cs="Arial"/>
          <w:sz w:val="19"/>
          <w:szCs w:val="19"/>
        </w:rPr>
        <w:tab/>
        <w:t>Dirección General de Promoción, Desarrollo Económico, Turístico y Artesanal;</w:t>
      </w:r>
    </w:p>
    <w:p w14:paraId="3A47484B"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c)</w:t>
      </w:r>
      <w:r w:rsidRPr="001133B0">
        <w:rPr>
          <w:rFonts w:ascii="Gotham" w:hAnsi="Gotham" w:cs="Arial"/>
          <w:sz w:val="19"/>
          <w:szCs w:val="19"/>
        </w:rPr>
        <w:tab/>
        <w:t>Dirección General de Obras Públicas</w:t>
      </w:r>
    </w:p>
    <w:p w14:paraId="3A47484C"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d)</w:t>
      </w:r>
      <w:r w:rsidRPr="001133B0">
        <w:rPr>
          <w:rFonts w:ascii="Gotham" w:hAnsi="Gotham" w:cs="Arial"/>
          <w:sz w:val="19"/>
          <w:szCs w:val="19"/>
        </w:rPr>
        <w:tab/>
        <w:t>Dirección General de Desarrollo Social;</w:t>
      </w:r>
    </w:p>
    <w:p w14:paraId="3A47484D"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e)</w:t>
      </w:r>
      <w:r w:rsidRPr="001133B0">
        <w:rPr>
          <w:rFonts w:ascii="Gotham" w:hAnsi="Gotham" w:cs="Arial"/>
          <w:sz w:val="19"/>
          <w:szCs w:val="19"/>
        </w:rPr>
        <w:tab/>
        <w:t>Dirección General de Planeación y Desarrollo Urbano Sustentable;</w:t>
      </w:r>
    </w:p>
    <w:p w14:paraId="3A47484E" w14:textId="77777777" w:rsidR="009B5E39" w:rsidRPr="001133B0" w:rsidRDefault="009B5E39" w:rsidP="009B5E39">
      <w:pPr>
        <w:spacing w:after="80"/>
        <w:ind w:left="1560" w:right="283" w:hanging="426"/>
        <w:jc w:val="both"/>
        <w:rPr>
          <w:rFonts w:ascii="Gotham" w:hAnsi="Gotham" w:cs="Arial"/>
          <w:sz w:val="19"/>
          <w:szCs w:val="19"/>
        </w:rPr>
      </w:pPr>
      <w:r w:rsidRPr="001133B0">
        <w:rPr>
          <w:rFonts w:ascii="Gotham" w:hAnsi="Gotham" w:cs="Arial"/>
          <w:sz w:val="19"/>
          <w:szCs w:val="19"/>
        </w:rPr>
        <w:t>f)</w:t>
      </w:r>
      <w:r w:rsidRPr="001133B0">
        <w:rPr>
          <w:rFonts w:ascii="Gotham" w:hAnsi="Gotham" w:cs="Arial"/>
          <w:sz w:val="19"/>
          <w:szCs w:val="19"/>
        </w:rPr>
        <w:tab/>
        <w:t>Dirección General de Servicios Públicos Municipales; y</w:t>
      </w:r>
    </w:p>
    <w:p w14:paraId="3A47484F" w14:textId="77777777" w:rsidR="009B5E39" w:rsidRPr="001133B0" w:rsidRDefault="009B5E39" w:rsidP="009B5E39">
      <w:pPr>
        <w:ind w:left="1560" w:right="283" w:hanging="426"/>
        <w:jc w:val="both"/>
        <w:rPr>
          <w:rFonts w:ascii="Gotham" w:hAnsi="Gotham" w:cs="Arial"/>
          <w:sz w:val="19"/>
          <w:szCs w:val="19"/>
        </w:rPr>
      </w:pPr>
      <w:r w:rsidRPr="001133B0">
        <w:rPr>
          <w:rFonts w:ascii="Gotham" w:hAnsi="Gotham" w:cs="Arial"/>
          <w:sz w:val="19"/>
          <w:szCs w:val="19"/>
        </w:rPr>
        <w:t>g)</w:t>
      </w:r>
      <w:r w:rsidRPr="001133B0">
        <w:rPr>
          <w:rFonts w:ascii="Gotham" w:hAnsi="Gotham" w:cs="Arial"/>
          <w:sz w:val="19"/>
          <w:szCs w:val="19"/>
        </w:rPr>
        <w:tab/>
        <w:t>Comisaría General de Seguridad Pública.</w:t>
      </w:r>
    </w:p>
    <w:p w14:paraId="3A474850" w14:textId="77777777" w:rsidR="009B5E39" w:rsidRDefault="009B5E39" w:rsidP="009B5E39">
      <w:pPr>
        <w:ind w:left="284" w:right="283"/>
        <w:jc w:val="both"/>
        <w:rPr>
          <w:rFonts w:ascii="Gotham" w:hAnsi="Gotham" w:cs="Arial"/>
          <w:sz w:val="19"/>
          <w:szCs w:val="19"/>
        </w:rPr>
      </w:pPr>
    </w:p>
    <w:p w14:paraId="3A474851" w14:textId="77777777" w:rsidR="009B5E39" w:rsidRPr="001133B0" w:rsidRDefault="009B5E39" w:rsidP="009B5E39">
      <w:pPr>
        <w:ind w:left="284" w:right="283"/>
        <w:jc w:val="both"/>
        <w:rPr>
          <w:rFonts w:ascii="Gotham" w:hAnsi="Gotham" w:cs="Arial"/>
          <w:sz w:val="19"/>
          <w:szCs w:val="19"/>
        </w:rPr>
      </w:pPr>
      <w:r w:rsidRPr="001133B0">
        <w:rPr>
          <w:rFonts w:ascii="Gotham" w:hAnsi="Gotham" w:cs="Arial"/>
          <w:sz w:val="19"/>
          <w:szCs w:val="19"/>
        </w:rPr>
        <w:t>Así como las Direcciones de Área, Sub-Direcciones Coordinaciones, Jefaturas y las demás dependencias u oficinas que integran la Administración Pública Centralizada.</w:t>
      </w:r>
    </w:p>
    <w:p w14:paraId="3A474852"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53"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r w:rsidRPr="00293526">
        <w:rPr>
          <w:rFonts w:ascii="Gotham" w:hAnsi="Gotham" w:cs="Arial"/>
          <w:b/>
          <w:color w:val="000000" w:themeColor="text1"/>
          <w:sz w:val="20"/>
          <w:szCs w:val="20"/>
        </w:rPr>
        <w:t>Debe decir:</w:t>
      </w:r>
    </w:p>
    <w:bookmarkEnd w:id="8"/>
    <w:p w14:paraId="3A474854"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55" w14:textId="77777777" w:rsidR="009B5E39" w:rsidRPr="00FB54D8" w:rsidRDefault="009B5E39" w:rsidP="009B5E39">
      <w:pPr>
        <w:ind w:left="284" w:right="283"/>
        <w:jc w:val="both"/>
        <w:rPr>
          <w:rFonts w:ascii="Gotham" w:hAnsi="Gotham" w:cs="Arial"/>
          <w:color w:val="FF0000"/>
          <w:sz w:val="19"/>
          <w:szCs w:val="19"/>
        </w:rPr>
      </w:pPr>
      <w:r w:rsidRPr="00FB54D8">
        <w:rPr>
          <w:rFonts w:ascii="Gotham" w:hAnsi="Gotham" w:cs="Arial"/>
          <w:b/>
          <w:sz w:val="19"/>
          <w:szCs w:val="19"/>
        </w:rPr>
        <w:t>Artículo 6.</w:t>
      </w:r>
      <w:r w:rsidRPr="00FB54D8">
        <w:rPr>
          <w:rFonts w:ascii="Gotham" w:hAnsi="Gotham" w:cs="Arial"/>
          <w:sz w:val="19"/>
          <w:szCs w:val="19"/>
        </w:rPr>
        <w:t xml:space="preserve"> </w:t>
      </w:r>
      <w:r w:rsidRPr="00FB54D8">
        <w:rPr>
          <w:rFonts w:ascii="Gotham" w:hAnsi="Gotham" w:cs="Arial"/>
          <w:color w:val="FF0000"/>
          <w:sz w:val="19"/>
          <w:szCs w:val="19"/>
        </w:rPr>
        <w:t>Sujetos Obligados de las Unidades Administrativas:</w:t>
      </w:r>
      <w:r w:rsidR="00883EC2">
        <w:rPr>
          <w:rFonts w:ascii="Gotham" w:hAnsi="Gotham" w:cs="Arial"/>
          <w:color w:val="FF0000"/>
          <w:sz w:val="19"/>
          <w:szCs w:val="19"/>
        </w:rPr>
        <w:t xml:space="preserve"> </w:t>
      </w:r>
    </w:p>
    <w:p w14:paraId="3A474856" w14:textId="77777777" w:rsidR="009B5E39" w:rsidRPr="00FB54D8" w:rsidRDefault="009B5E39" w:rsidP="009B5E39">
      <w:pPr>
        <w:ind w:left="284" w:right="283"/>
        <w:jc w:val="both"/>
        <w:rPr>
          <w:rFonts w:ascii="Gotham" w:hAnsi="Gotham" w:cs="Arial"/>
          <w:sz w:val="19"/>
          <w:szCs w:val="19"/>
        </w:rPr>
      </w:pPr>
    </w:p>
    <w:p w14:paraId="3A474857" w14:textId="77777777" w:rsidR="009B5E39" w:rsidRPr="00FB54D8" w:rsidRDefault="009B5E39" w:rsidP="009B5E39">
      <w:pPr>
        <w:ind w:left="284" w:right="283"/>
        <w:jc w:val="both"/>
        <w:rPr>
          <w:rFonts w:ascii="Gotham" w:hAnsi="Gotham" w:cs="Arial"/>
          <w:sz w:val="19"/>
          <w:szCs w:val="19"/>
        </w:rPr>
      </w:pPr>
      <w:r w:rsidRPr="00FB54D8">
        <w:rPr>
          <w:rFonts w:ascii="Gotham" w:hAnsi="Gotham" w:cs="Arial"/>
          <w:sz w:val="19"/>
          <w:szCs w:val="19"/>
        </w:rPr>
        <w:t>Son Unidades Administrativas:</w:t>
      </w:r>
    </w:p>
    <w:p w14:paraId="3A474858" w14:textId="77777777" w:rsidR="009B5E39" w:rsidRPr="00FB54D8" w:rsidRDefault="009B5E39" w:rsidP="009B5E39">
      <w:pPr>
        <w:ind w:left="284" w:right="283"/>
        <w:jc w:val="both"/>
        <w:rPr>
          <w:rFonts w:ascii="Gotham" w:hAnsi="Gotham" w:cs="Arial"/>
          <w:sz w:val="19"/>
          <w:szCs w:val="19"/>
        </w:rPr>
      </w:pPr>
    </w:p>
    <w:p w14:paraId="3A474859" w14:textId="77777777" w:rsidR="009B5E39" w:rsidRPr="00FB54D8" w:rsidRDefault="009B5E39" w:rsidP="009B5E39">
      <w:pPr>
        <w:spacing w:after="120"/>
        <w:ind w:left="1134" w:right="283" w:hanging="850"/>
        <w:jc w:val="both"/>
        <w:rPr>
          <w:rFonts w:ascii="Gotham" w:hAnsi="Gotham" w:cs="Arial"/>
          <w:sz w:val="19"/>
          <w:szCs w:val="19"/>
        </w:rPr>
      </w:pPr>
      <w:r w:rsidRPr="00FB54D8">
        <w:rPr>
          <w:rFonts w:ascii="Gotham" w:hAnsi="Gotham" w:cs="Arial"/>
          <w:sz w:val="19"/>
          <w:szCs w:val="19"/>
        </w:rPr>
        <w:t xml:space="preserve">I. </w:t>
      </w:r>
      <w:r>
        <w:rPr>
          <w:rFonts w:ascii="Gotham" w:hAnsi="Gotham" w:cs="Arial"/>
          <w:sz w:val="19"/>
          <w:szCs w:val="19"/>
        </w:rPr>
        <w:tab/>
      </w:r>
      <w:r w:rsidRPr="00FB54D8">
        <w:rPr>
          <w:rFonts w:ascii="Gotham" w:hAnsi="Gotham" w:cs="Arial"/>
          <w:sz w:val="19"/>
          <w:szCs w:val="19"/>
        </w:rPr>
        <w:t>Del Ayuntamiento:</w:t>
      </w:r>
    </w:p>
    <w:p w14:paraId="3A47485A"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a) El Despacho de la Presidencia Municipal;</w:t>
      </w:r>
    </w:p>
    <w:p w14:paraId="3A47485B"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b) La Sindicatura;</w:t>
      </w:r>
    </w:p>
    <w:p w14:paraId="3A47485C"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c) Las Regidurías; y</w:t>
      </w:r>
    </w:p>
    <w:p w14:paraId="3A47485D" w14:textId="77777777" w:rsidR="009B5E39" w:rsidRPr="00FB54D8" w:rsidRDefault="009B5E39" w:rsidP="009B5E39">
      <w:pPr>
        <w:spacing w:after="120"/>
        <w:ind w:left="1560" w:right="283" w:hanging="426"/>
        <w:jc w:val="both"/>
        <w:rPr>
          <w:rFonts w:ascii="Gotham" w:hAnsi="Gotham" w:cs="Arial"/>
          <w:sz w:val="19"/>
          <w:szCs w:val="19"/>
        </w:rPr>
      </w:pPr>
      <w:r w:rsidRPr="00FB54D8">
        <w:rPr>
          <w:rFonts w:ascii="Gotham" w:hAnsi="Gotham" w:cs="Arial"/>
          <w:sz w:val="19"/>
          <w:szCs w:val="19"/>
        </w:rPr>
        <w:t>d) Las Comisiones Edilicias.</w:t>
      </w:r>
    </w:p>
    <w:p w14:paraId="3A47485E" w14:textId="77777777" w:rsidR="009B5E39" w:rsidRPr="00FB54D8" w:rsidRDefault="009B5E39" w:rsidP="009B5E39">
      <w:pPr>
        <w:spacing w:after="120"/>
        <w:ind w:left="1134" w:right="283" w:hanging="850"/>
        <w:jc w:val="both"/>
        <w:rPr>
          <w:rFonts w:ascii="Gotham" w:hAnsi="Gotham" w:cs="Arial"/>
          <w:sz w:val="19"/>
          <w:szCs w:val="19"/>
        </w:rPr>
      </w:pPr>
      <w:r w:rsidRPr="00FB54D8">
        <w:rPr>
          <w:rFonts w:ascii="Gotham" w:hAnsi="Gotham" w:cs="Arial"/>
          <w:sz w:val="19"/>
          <w:szCs w:val="19"/>
        </w:rPr>
        <w:t xml:space="preserve">II. </w:t>
      </w:r>
      <w:r>
        <w:rPr>
          <w:rFonts w:ascii="Gotham" w:hAnsi="Gotham" w:cs="Arial"/>
          <w:sz w:val="19"/>
          <w:szCs w:val="19"/>
        </w:rPr>
        <w:tab/>
      </w:r>
      <w:r w:rsidRPr="00FB54D8">
        <w:rPr>
          <w:rFonts w:ascii="Gotham" w:hAnsi="Gotham" w:cs="Arial"/>
          <w:sz w:val="19"/>
          <w:szCs w:val="19"/>
        </w:rPr>
        <w:t>De los Órganos Auxiliares del Ayuntamiento:</w:t>
      </w:r>
    </w:p>
    <w:p w14:paraId="3A47485F"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a) Contraloría Municipal;</w:t>
      </w:r>
    </w:p>
    <w:p w14:paraId="3A474860"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b) Secretaría General; y</w:t>
      </w:r>
    </w:p>
    <w:p w14:paraId="3A474861" w14:textId="77777777" w:rsidR="009B5E39" w:rsidRPr="00FB54D8" w:rsidRDefault="009B5E39" w:rsidP="009B5E39">
      <w:pPr>
        <w:spacing w:after="120"/>
        <w:ind w:left="1560" w:right="283" w:hanging="426"/>
        <w:jc w:val="both"/>
        <w:rPr>
          <w:rFonts w:ascii="Gotham" w:hAnsi="Gotham" w:cs="Arial"/>
          <w:sz w:val="19"/>
          <w:szCs w:val="19"/>
        </w:rPr>
      </w:pPr>
      <w:r w:rsidRPr="00FB54D8">
        <w:rPr>
          <w:rFonts w:ascii="Gotham" w:hAnsi="Gotham" w:cs="Arial"/>
          <w:sz w:val="19"/>
          <w:szCs w:val="19"/>
        </w:rPr>
        <w:t xml:space="preserve">c) </w:t>
      </w:r>
      <w:r w:rsidRPr="00FB54D8">
        <w:rPr>
          <w:rFonts w:ascii="Gotham" w:hAnsi="Gotham" w:cs="Arial"/>
          <w:color w:val="FF0000"/>
          <w:sz w:val="19"/>
          <w:szCs w:val="19"/>
        </w:rPr>
        <w:t>Tesorería o Hacienda Municipal</w:t>
      </w:r>
      <w:r w:rsidRPr="00FB54D8">
        <w:rPr>
          <w:rFonts w:ascii="Gotham" w:hAnsi="Gotham" w:cs="Arial"/>
          <w:sz w:val="19"/>
          <w:szCs w:val="19"/>
        </w:rPr>
        <w:t>.</w:t>
      </w:r>
    </w:p>
    <w:p w14:paraId="3A474862" w14:textId="77777777" w:rsidR="009B5E39" w:rsidRPr="00FB54D8" w:rsidRDefault="009B5E39" w:rsidP="009B5E39">
      <w:pPr>
        <w:spacing w:after="120"/>
        <w:ind w:left="1134" w:right="283" w:hanging="850"/>
        <w:jc w:val="both"/>
        <w:rPr>
          <w:rFonts w:ascii="Gotham" w:hAnsi="Gotham" w:cs="Arial"/>
          <w:sz w:val="19"/>
          <w:szCs w:val="19"/>
        </w:rPr>
      </w:pPr>
      <w:r w:rsidRPr="00FB54D8">
        <w:rPr>
          <w:rFonts w:ascii="Gotham" w:hAnsi="Gotham" w:cs="Arial"/>
          <w:sz w:val="19"/>
          <w:szCs w:val="19"/>
        </w:rPr>
        <w:t xml:space="preserve">III. </w:t>
      </w:r>
      <w:r>
        <w:rPr>
          <w:rFonts w:ascii="Gotham" w:hAnsi="Gotham" w:cs="Arial"/>
          <w:sz w:val="19"/>
          <w:szCs w:val="19"/>
        </w:rPr>
        <w:tab/>
      </w:r>
      <w:r w:rsidRPr="00FB54D8">
        <w:rPr>
          <w:rFonts w:ascii="Gotham" w:hAnsi="Gotham" w:cs="Arial"/>
          <w:sz w:val="19"/>
          <w:szCs w:val="19"/>
        </w:rPr>
        <w:t xml:space="preserve">De la Administración Pública Centralizada: </w:t>
      </w:r>
    </w:p>
    <w:p w14:paraId="3A474863"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a) Dirección General de Administración y Desarrollo Humano;</w:t>
      </w:r>
    </w:p>
    <w:p w14:paraId="3A474864" w14:textId="77777777" w:rsidR="009B5E39" w:rsidRPr="00FB54D8" w:rsidRDefault="009B5E39" w:rsidP="009B5E39">
      <w:pPr>
        <w:spacing w:after="80"/>
        <w:ind w:left="1560" w:right="283" w:hanging="426"/>
        <w:jc w:val="both"/>
        <w:rPr>
          <w:rFonts w:ascii="Gotham" w:hAnsi="Gotham" w:cs="Arial"/>
          <w:color w:val="FF0000"/>
          <w:sz w:val="19"/>
          <w:szCs w:val="19"/>
        </w:rPr>
      </w:pPr>
      <w:r w:rsidRPr="00FB54D8">
        <w:rPr>
          <w:rFonts w:ascii="Gotham" w:hAnsi="Gotham" w:cs="Arial"/>
          <w:color w:val="FF0000"/>
          <w:sz w:val="19"/>
          <w:szCs w:val="19"/>
        </w:rPr>
        <w:t>b) Dirección General de Atracción a la Inversión;</w:t>
      </w:r>
    </w:p>
    <w:p w14:paraId="3A474865"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c) Dirección General de Obras Públicas;</w:t>
      </w:r>
    </w:p>
    <w:p w14:paraId="3A474866"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lastRenderedPageBreak/>
        <w:t>d) Dirección General de Desarrollo Social;</w:t>
      </w:r>
    </w:p>
    <w:p w14:paraId="3A474867"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e) Dirección General de Planeación y Desarrollo Urbano Sustentable;</w:t>
      </w:r>
    </w:p>
    <w:p w14:paraId="3A474868"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f) Dirección General de Servicios Públicos Municipales; y</w:t>
      </w:r>
    </w:p>
    <w:p w14:paraId="3A474869" w14:textId="77777777" w:rsidR="009B5E39" w:rsidRPr="00FB54D8" w:rsidRDefault="009B5E39" w:rsidP="009B5E39">
      <w:pPr>
        <w:ind w:left="1560" w:right="283" w:hanging="426"/>
        <w:jc w:val="both"/>
        <w:rPr>
          <w:rFonts w:ascii="Gotham" w:hAnsi="Gotham" w:cs="Arial"/>
          <w:color w:val="FF0000"/>
          <w:sz w:val="19"/>
          <w:szCs w:val="19"/>
        </w:rPr>
      </w:pPr>
      <w:r w:rsidRPr="00FB54D8">
        <w:rPr>
          <w:rFonts w:ascii="Gotham" w:hAnsi="Gotham" w:cs="Arial"/>
          <w:color w:val="FF0000"/>
          <w:sz w:val="19"/>
          <w:szCs w:val="19"/>
        </w:rPr>
        <w:t>g) Comisaría de Seguridad Pública.</w:t>
      </w:r>
    </w:p>
    <w:p w14:paraId="3A47486A" w14:textId="77777777" w:rsidR="009B5E39" w:rsidRDefault="009B5E39" w:rsidP="009B5E39">
      <w:pPr>
        <w:ind w:left="284" w:right="283"/>
        <w:jc w:val="both"/>
        <w:rPr>
          <w:rFonts w:ascii="Gotham" w:hAnsi="Gotham" w:cs="Arial"/>
          <w:sz w:val="19"/>
          <w:szCs w:val="19"/>
        </w:rPr>
      </w:pPr>
    </w:p>
    <w:p w14:paraId="3A47486B" w14:textId="77777777" w:rsidR="009B5E39" w:rsidRPr="00FB54D8" w:rsidRDefault="009B5E39" w:rsidP="009B5E39">
      <w:pPr>
        <w:ind w:left="284" w:right="283"/>
        <w:jc w:val="both"/>
        <w:rPr>
          <w:rFonts w:ascii="Gotham" w:hAnsi="Gotham" w:cs="Arial"/>
          <w:sz w:val="19"/>
          <w:szCs w:val="19"/>
        </w:rPr>
      </w:pPr>
      <w:r w:rsidRPr="00FB54D8">
        <w:rPr>
          <w:rFonts w:ascii="Gotham" w:hAnsi="Gotham" w:cs="Arial"/>
          <w:sz w:val="19"/>
          <w:szCs w:val="19"/>
        </w:rPr>
        <w:t>Así como</w:t>
      </w:r>
      <w:r w:rsidR="00883EC2">
        <w:rPr>
          <w:rFonts w:ascii="Gotham" w:hAnsi="Gotham" w:cs="Arial"/>
          <w:sz w:val="19"/>
          <w:szCs w:val="19"/>
        </w:rPr>
        <w:t xml:space="preserve"> </w:t>
      </w:r>
      <w:r w:rsidRPr="00FB54D8">
        <w:rPr>
          <w:rFonts w:ascii="Gotham" w:hAnsi="Gotham" w:cs="Arial"/>
          <w:sz w:val="19"/>
          <w:szCs w:val="19"/>
        </w:rPr>
        <w:t>las</w:t>
      </w:r>
      <w:r w:rsidR="00883EC2">
        <w:rPr>
          <w:rFonts w:ascii="Gotham" w:hAnsi="Gotham" w:cs="Arial"/>
          <w:sz w:val="19"/>
          <w:szCs w:val="19"/>
        </w:rPr>
        <w:t xml:space="preserve"> </w:t>
      </w:r>
      <w:r w:rsidRPr="00FB54D8">
        <w:rPr>
          <w:rFonts w:ascii="Gotham" w:hAnsi="Gotham" w:cs="Arial"/>
          <w:sz w:val="19"/>
          <w:szCs w:val="19"/>
        </w:rPr>
        <w:t>Direcciones</w:t>
      </w:r>
      <w:r w:rsidR="00883EC2">
        <w:rPr>
          <w:rFonts w:ascii="Gotham" w:hAnsi="Gotham" w:cs="Arial"/>
          <w:sz w:val="19"/>
          <w:szCs w:val="19"/>
        </w:rPr>
        <w:t xml:space="preserve"> </w:t>
      </w:r>
      <w:r w:rsidRPr="00FB54D8">
        <w:rPr>
          <w:rFonts w:ascii="Gotham" w:hAnsi="Gotham" w:cs="Arial"/>
          <w:sz w:val="19"/>
          <w:szCs w:val="19"/>
        </w:rPr>
        <w:t>de</w:t>
      </w:r>
      <w:r w:rsidR="00883EC2">
        <w:rPr>
          <w:rFonts w:ascii="Gotham" w:hAnsi="Gotham" w:cs="Arial"/>
          <w:sz w:val="19"/>
          <w:szCs w:val="19"/>
        </w:rPr>
        <w:t xml:space="preserve"> </w:t>
      </w:r>
      <w:r w:rsidRPr="00FB54D8">
        <w:rPr>
          <w:rFonts w:ascii="Gotham" w:hAnsi="Gotham" w:cs="Arial"/>
          <w:sz w:val="19"/>
          <w:szCs w:val="19"/>
        </w:rPr>
        <w:t>Área,</w:t>
      </w:r>
      <w:r w:rsidR="00883EC2">
        <w:rPr>
          <w:rFonts w:ascii="Gotham" w:hAnsi="Gotham" w:cs="Arial"/>
          <w:sz w:val="19"/>
          <w:szCs w:val="19"/>
        </w:rPr>
        <w:t xml:space="preserve"> </w:t>
      </w:r>
      <w:r w:rsidRPr="00FB54D8">
        <w:rPr>
          <w:rFonts w:ascii="Gotham" w:hAnsi="Gotham" w:cs="Arial"/>
          <w:sz w:val="19"/>
          <w:szCs w:val="19"/>
        </w:rPr>
        <w:t>Sub-Direcciones,</w:t>
      </w:r>
      <w:r w:rsidR="00883EC2">
        <w:rPr>
          <w:rFonts w:ascii="Gotham" w:hAnsi="Gotham" w:cs="Arial"/>
          <w:sz w:val="19"/>
          <w:szCs w:val="19"/>
        </w:rPr>
        <w:t xml:space="preserve"> </w:t>
      </w:r>
      <w:r w:rsidRPr="00FB54D8">
        <w:rPr>
          <w:rFonts w:ascii="Gotham" w:hAnsi="Gotham" w:cs="Arial"/>
          <w:sz w:val="19"/>
          <w:szCs w:val="19"/>
        </w:rPr>
        <w:t>Coordinaciones,</w:t>
      </w:r>
      <w:r w:rsidR="00883EC2">
        <w:rPr>
          <w:rFonts w:ascii="Gotham" w:hAnsi="Gotham" w:cs="Arial"/>
          <w:sz w:val="19"/>
          <w:szCs w:val="19"/>
        </w:rPr>
        <w:t xml:space="preserve"> </w:t>
      </w:r>
      <w:r w:rsidRPr="00FB54D8">
        <w:rPr>
          <w:rFonts w:ascii="Gotham" w:hAnsi="Gotham" w:cs="Arial"/>
          <w:sz w:val="19"/>
          <w:szCs w:val="19"/>
        </w:rPr>
        <w:t>Jefaturas y las demás dependencias u oficinas que integran la Administración Pública Centralizada.</w:t>
      </w:r>
    </w:p>
    <w:p w14:paraId="3A47486C" w14:textId="77777777" w:rsidR="009B5E39" w:rsidRDefault="009B5E39" w:rsidP="009B5E39">
      <w:pPr>
        <w:ind w:left="284" w:right="283"/>
        <w:jc w:val="both"/>
        <w:rPr>
          <w:rFonts w:ascii="Gotham" w:hAnsi="Gotham" w:cs="Arial"/>
          <w:sz w:val="19"/>
          <w:szCs w:val="19"/>
        </w:rPr>
      </w:pPr>
    </w:p>
    <w:p w14:paraId="3A47486D" w14:textId="77777777" w:rsidR="009B5E39" w:rsidRPr="00FB54D8" w:rsidRDefault="009B5E39" w:rsidP="009B5E39">
      <w:pPr>
        <w:spacing w:after="120"/>
        <w:ind w:left="1134" w:right="283" w:hanging="850"/>
        <w:jc w:val="both"/>
        <w:rPr>
          <w:rFonts w:ascii="Gotham" w:hAnsi="Gotham" w:cs="Arial"/>
          <w:sz w:val="19"/>
          <w:szCs w:val="19"/>
        </w:rPr>
      </w:pPr>
      <w:r w:rsidRPr="00FB54D8">
        <w:rPr>
          <w:rFonts w:ascii="Gotham" w:hAnsi="Gotham" w:cs="Arial"/>
          <w:sz w:val="19"/>
          <w:szCs w:val="19"/>
        </w:rPr>
        <w:t>IV</w:t>
      </w:r>
      <w:r>
        <w:rPr>
          <w:rFonts w:ascii="Gotham" w:hAnsi="Gotham" w:cs="Arial"/>
          <w:sz w:val="19"/>
          <w:szCs w:val="19"/>
        </w:rPr>
        <w:t>.</w:t>
      </w:r>
      <w:r>
        <w:rPr>
          <w:rFonts w:ascii="Gotham" w:hAnsi="Gotham" w:cs="Arial"/>
          <w:sz w:val="19"/>
          <w:szCs w:val="19"/>
        </w:rPr>
        <w:tab/>
      </w:r>
      <w:r w:rsidRPr="00FB54D8">
        <w:rPr>
          <w:rFonts w:ascii="Gotham" w:hAnsi="Gotham" w:cs="Arial"/>
          <w:sz w:val="19"/>
          <w:szCs w:val="19"/>
        </w:rPr>
        <w:t>.….:</w:t>
      </w:r>
    </w:p>
    <w:p w14:paraId="3A47486E"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a) …; y</w:t>
      </w:r>
    </w:p>
    <w:p w14:paraId="3A47486F" w14:textId="77777777" w:rsidR="009B5E39" w:rsidRPr="00FB54D8" w:rsidRDefault="009B5E39" w:rsidP="009B5E39">
      <w:pPr>
        <w:spacing w:after="120"/>
        <w:ind w:left="1560" w:right="283" w:hanging="426"/>
        <w:jc w:val="both"/>
        <w:rPr>
          <w:rFonts w:ascii="Gotham" w:hAnsi="Gotham" w:cs="Arial"/>
          <w:sz w:val="19"/>
          <w:szCs w:val="19"/>
        </w:rPr>
      </w:pPr>
      <w:r w:rsidRPr="00FB54D8">
        <w:rPr>
          <w:rFonts w:ascii="Gotham" w:hAnsi="Gotham" w:cs="Arial"/>
          <w:sz w:val="19"/>
          <w:szCs w:val="19"/>
        </w:rPr>
        <w:t>b) …...</w:t>
      </w:r>
    </w:p>
    <w:p w14:paraId="3A474870" w14:textId="77777777" w:rsidR="009B5E39" w:rsidRPr="00FB54D8" w:rsidRDefault="009B5E39" w:rsidP="009B5E39">
      <w:pPr>
        <w:spacing w:after="120"/>
        <w:ind w:left="1134" w:right="283" w:hanging="850"/>
        <w:jc w:val="both"/>
        <w:rPr>
          <w:rFonts w:ascii="Gotham" w:hAnsi="Gotham" w:cs="Arial"/>
          <w:sz w:val="19"/>
          <w:szCs w:val="19"/>
        </w:rPr>
      </w:pPr>
      <w:r w:rsidRPr="00FB54D8">
        <w:rPr>
          <w:rFonts w:ascii="Gotham" w:hAnsi="Gotham" w:cs="Arial"/>
          <w:sz w:val="19"/>
          <w:szCs w:val="19"/>
        </w:rPr>
        <w:t>V</w:t>
      </w:r>
      <w:r>
        <w:rPr>
          <w:rFonts w:ascii="Gotham" w:hAnsi="Gotham" w:cs="Arial"/>
          <w:sz w:val="19"/>
          <w:szCs w:val="19"/>
        </w:rPr>
        <w:t>.</w:t>
      </w:r>
      <w:r>
        <w:rPr>
          <w:rFonts w:ascii="Gotham" w:hAnsi="Gotham" w:cs="Arial"/>
          <w:sz w:val="19"/>
          <w:szCs w:val="19"/>
        </w:rPr>
        <w:tab/>
      </w:r>
      <w:r w:rsidRPr="00FB54D8">
        <w:rPr>
          <w:rFonts w:ascii="Gotham" w:hAnsi="Gotham" w:cs="Arial"/>
          <w:sz w:val="19"/>
          <w:szCs w:val="19"/>
        </w:rPr>
        <w:t>….</w:t>
      </w:r>
    </w:p>
    <w:p w14:paraId="3A474871" w14:textId="77777777" w:rsidR="009B5E39" w:rsidRPr="00FB54D8" w:rsidRDefault="009B5E39" w:rsidP="009B5E39">
      <w:pPr>
        <w:spacing w:after="120"/>
        <w:ind w:left="1134" w:right="283"/>
        <w:jc w:val="both"/>
        <w:rPr>
          <w:rFonts w:ascii="Gotham" w:hAnsi="Gotham" w:cs="Arial"/>
          <w:sz w:val="19"/>
          <w:szCs w:val="19"/>
        </w:rPr>
      </w:pPr>
      <w:r w:rsidRPr="00FB54D8">
        <w:rPr>
          <w:rFonts w:ascii="Gotham" w:hAnsi="Gotham" w:cs="Arial"/>
          <w:sz w:val="19"/>
          <w:szCs w:val="19"/>
        </w:rPr>
        <w:t>a) ….</w:t>
      </w:r>
    </w:p>
    <w:p w14:paraId="3A474872" w14:textId="77777777" w:rsidR="009B5E39" w:rsidRPr="00FB54D8" w:rsidRDefault="009B5E39" w:rsidP="009B5E39">
      <w:pPr>
        <w:spacing w:after="120"/>
        <w:ind w:left="1134" w:right="283" w:hanging="850"/>
        <w:jc w:val="both"/>
        <w:rPr>
          <w:rFonts w:ascii="Gotham" w:hAnsi="Gotham" w:cs="Arial"/>
          <w:sz w:val="19"/>
          <w:szCs w:val="19"/>
        </w:rPr>
      </w:pPr>
      <w:r w:rsidRPr="00FB54D8">
        <w:rPr>
          <w:rFonts w:ascii="Gotham" w:hAnsi="Gotham" w:cs="Arial"/>
          <w:sz w:val="19"/>
          <w:szCs w:val="19"/>
        </w:rPr>
        <w:t xml:space="preserve">VI. </w:t>
      </w:r>
      <w:r>
        <w:rPr>
          <w:rFonts w:ascii="Gotham" w:hAnsi="Gotham" w:cs="Arial"/>
          <w:sz w:val="19"/>
          <w:szCs w:val="19"/>
        </w:rPr>
        <w:tab/>
      </w:r>
      <w:r w:rsidRPr="00FB54D8">
        <w:rPr>
          <w:rFonts w:ascii="Gotham" w:hAnsi="Gotham" w:cs="Arial"/>
          <w:sz w:val="19"/>
          <w:szCs w:val="19"/>
        </w:rPr>
        <w:t>…..:</w:t>
      </w:r>
    </w:p>
    <w:p w14:paraId="3A474873"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a) …;</w:t>
      </w:r>
    </w:p>
    <w:p w14:paraId="3A474874" w14:textId="77777777" w:rsidR="009B5E39" w:rsidRPr="00FB54D8" w:rsidRDefault="009B5E39" w:rsidP="009B5E39">
      <w:pPr>
        <w:spacing w:after="80"/>
        <w:ind w:left="1560" w:right="283" w:hanging="426"/>
        <w:jc w:val="both"/>
        <w:rPr>
          <w:rFonts w:ascii="Gotham" w:hAnsi="Gotham" w:cs="Arial"/>
          <w:sz w:val="19"/>
          <w:szCs w:val="19"/>
        </w:rPr>
      </w:pPr>
      <w:r w:rsidRPr="00FB54D8">
        <w:rPr>
          <w:rFonts w:ascii="Gotham" w:hAnsi="Gotham" w:cs="Arial"/>
          <w:sz w:val="19"/>
          <w:szCs w:val="19"/>
        </w:rPr>
        <w:t>b) …; y</w:t>
      </w:r>
    </w:p>
    <w:p w14:paraId="3A474875" w14:textId="77777777" w:rsidR="009B5E39" w:rsidRPr="00FB54D8" w:rsidRDefault="009B5E39" w:rsidP="009B5E39">
      <w:pPr>
        <w:ind w:left="1560" w:right="283" w:hanging="426"/>
        <w:jc w:val="both"/>
        <w:rPr>
          <w:rFonts w:ascii="Gotham" w:hAnsi="Gotham" w:cs="Arial"/>
          <w:sz w:val="19"/>
          <w:szCs w:val="19"/>
        </w:rPr>
      </w:pPr>
      <w:r w:rsidRPr="00FB54D8">
        <w:rPr>
          <w:rFonts w:ascii="Gotham" w:hAnsi="Gotham" w:cs="Arial"/>
          <w:sz w:val="19"/>
          <w:szCs w:val="19"/>
        </w:rPr>
        <w:t>c) …. .</w:t>
      </w:r>
    </w:p>
    <w:p w14:paraId="3A474876" w14:textId="77777777" w:rsidR="009B5E39" w:rsidRPr="00FB54D8" w:rsidRDefault="009B5E39" w:rsidP="009B5E39">
      <w:pPr>
        <w:ind w:left="284" w:right="283"/>
        <w:jc w:val="both"/>
        <w:rPr>
          <w:rFonts w:ascii="Gotham" w:hAnsi="Gotham" w:cs="Arial"/>
          <w:sz w:val="19"/>
          <w:szCs w:val="19"/>
        </w:rPr>
      </w:pPr>
      <w:r w:rsidRPr="00FB54D8">
        <w:rPr>
          <w:rFonts w:ascii="Gotham" w:hAnsi="Gotham" w:cs="Arial"/>
          <w:sz w:val="19"/>
          <w:szCs w:val="19"/>
        </w:rPr>
        <w:t>……..</w:t>
      </w:r>
    </w:p>
    <w:p w14:paraId="3A474877" w14:textId="77777777" w:rsidR="009B5E39" w:rsidRDefault="009B5E39" w:rsidP="009B5E39">
      <w:pPr>
        <w:pStyle w:val="Prrafodelista"/>
        <w:ind w:left="0"/>
        <w:contextualSpacing w:val="0"/>
        <w:jc w:val="both"/>
        <w:rPr>
          <w:rFonts w:ascii="Gotham" w:hAnsi="Gotham" w:cs="Arial"/>
          <w:b/>
          <w:color w:val="000000" w:themeColor="text1"/>
          <w:sz w:val="20"/>
          <w:szCs w:val="20"/>
        </w:rPr>
      </w:pPr>
    </w:p>
    <w:p w14:paraId="3A474878"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r w:rsidRPr="00293526">
        <w:rPr>
          <w:rFonts w:ascii="Gotham" w:hAnsi="Gotham" w:cs="Arial"/>
          <w:b/>
          <w:color w:val="000000" w:themeColor="text1"/>
          <w:sz w:val="20"/>
          <w:szCs w:val="20"/>
        </w:rPr>
        <w:t xml:space="preserve">Artículos 7, 8 y 9, intocados; </w:t>
      </w:r>
    </w:p>
    <w:p w14:paraId="3A474879"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7A"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r w:rsidRPr="00293526">
        <w:rPr>
          <w:rFonts w:ascii="Gotham" w:hAnsi="Gotham" w:cs="Arial"/>
          <w:b/>
          <w:color w:val="000000" w:themeColor="text1"/>
          <w:sz w:val="20"/>
          <w:szCs w:val="20"/>
        </w:rPr>
        <w:t>Se propone adicionar en el Capítulo II, lo siguiente:</w:t>
      </w:r>
    </w:p>
    <w:p w14:paraId="3A47487B"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7C"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r w:rsidRPr="00293526">
        <w:rPr>
          <w:rFonts w:ascii="Gotham" w:hAnsi="Gotham" w:cs="Arial"/>
          <w:b/>
          <w:color w:val="000000" w:themeColor="text1"/>
          <w:sz w:val="20"/>
          <w:szCs w:val="20"/>
        </w:rPr>
        <w:t>Dice:</w:t>
      </w:r>
    </w:p>
    <w:p w14:paraId="3A47487D"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bookmarkStart w:id="9" w:name="_Toc40950508"/>
    </w:p>
    <w:p w14:paraId="3A47487E" w14:textId="77777777" w:rsidR="009B5E39" w:rsidRPr="009A3035" w:rsidRDefault="009B5E39" w:rsidP="009B5E39">
      <w:pPr>
        <w:ind w:left="284" w:right="283"/>
        <w:jc w:val="center"/>
        <w:rPr>
          <w:rFonts w:ascii="Gotham" w:hAnsi="Gotham" w:cs="Arial"/>
          <w:sz w:val="19"/>
          <w:szCs w:val="19"/>
        </w:rPr>
      </w:pPr>
      <w:r w:rsidRPr="009A3035">
        <w:rPr>
          <w:rFonts w:ascii="Gotham" w:hAnsi="Gotham" w:cs="Arial"/>
          <w:sz w:val="19"/>
          <w:szCs w:val="19"/>
        </w:rPr>
        <w:t>CAPÍTULO II</w:t>
      </w:r>
    </w:p>
    <w:p w14:paraId="3A47487F" w14:textId="77777777" w:rsidR="009B5E39" w:rsidRPr="009A3035" w:rsidRDefault="009B5E39" w:rsidP="009B5E39">
      <w:pPr>
        <w:ind w:left="284" w:right="283"/>
        <w:jc w:val="center"/>
        <w:rPr>
          <w:rFonts w:ascii="Gotham" w:hAnsi="Gotham" w:cs="Arial"/>
          <w:sz w:val="19"/>
          <w:szCs w:val="19"/>
        </w:rPr>
      </w:pPr>
      <w:r w:rsidRPr="009A3035">
        <w:rPr>
          <w:rFonts w:ascii="Gotham" w:hAnsi="Gotham" w:cs="Arial"/>
          <w:sz w:val="19"/>
          <w:szCs w:val="19"/>
        </w:rPr>
        <w:t>Del</w:t>
      </w:r>
      <w:r w:rsidR="00883EC2">
        <w:rPr>
          <w:rFonts w:ascii="Gotham" w:hAnsi="Gotham" w:cs="Arial"/>
          <w:sz w:val="19"/>
          <w:szCs w:val="19"/>
        </w:rPr>
        <w:t xml:space="preserve"> </w:t>
      </w:r>
      <w:r w:rsidRPr="009A3035">
        <w:rPr>
          <w:rFonts w:ascii="Gotham" w:hAnsi="Gotham" w:cs="Arial"/>
          <w:sz w:val="19"/>
          <w:szCs w:val="19"/>
        </w:rPr>
        <w:t>Comité de Transparencia</w:t>
      </w:r>
    </w:p>
    <w:p w14:paraId="3A474880"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81"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r w:rsidRPr="00293526">
        <w:rPr>
          <w:rFonts w:ascii="Gotham" w:hAnsi="Gotham" w:cs="Arial"/>
          <w:b/>
          <w:color w:val="000000" w:themeColor="text1"/>
          <w:sz w:val="20"/>
          <w:szCs w:val="20"/>
        </w:rPr>
        <w:t xml:space="preserve">Debe decir: </w:t>
      </w:r>
    </w:p>
    <w:p w14:paraId="3A474882"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83" w14:textId="77777777" w:rsidR="009B5E39" w:rsidRPr="009A3035" w:rsidRDefault="009B5E39" w:rsidP="009B5E39">
      <w:pPr>
        <w:ind w:left="284" w:right="283"/>
        <w:jc w:val="center"/>
        <w:rPr>
          <w:rFonts w:ascii="Gotham" w:hAnsi="Gotham" w:cs="Arial"/>
          <w:sz w:val="19"/>
          <w:szCs w:val="19"/>
        </w:rPr>
      </w:pPr>
      <w:r w:rsidRPr="009A3035">
        <w:rPr>
          <w:rFonts w:ascii="Gotham" w:hAnsi="Gotham" w:cs="Arial"/>
          <w:sz w:val="19"/>
          <w:szCs w:val="19"/>
        </w:rPr>
        <w:t xml:space="preserve">CAPÍTULO II </w:t>
      </w:r>
      <w:r w:rsidRPr="009A3035">
        <w:rPr>
          <w:rFonts w:ascii="Gotham" w:hAnsi="Gotham" w:cs="Arial"/>
          <w:sz w:val="19"/>
          <w:szCs w:val="19"/>
        </w:rPr>
        <w:br/>
        <w:t>Del</w:t>
      </w:r>
      <w:r w:rsidR="00883EC2">
        <w:rPr>
          <w:rFonts w:ascii="Gotham" w:hAnsi="Gotham" w:cs="Arial"/>
          <w:sz w:val="19"/>
          <w:szCs w:val="19"/>
        </w:rPr>
        <w:t xml:space="preserve"> </w:t>
      </w:r>
      <w:r w:rsidRPr="009A3035">
        <w:rPr>
          <w:rFonts w:ascii="Gotham" w:hAnsi="Gotham" w:cs="Arial"/>
          <w:sz w:val="19"/>
          <w:szCs w:val="19"/>
        </w:rPr>
        <w:t>Comité</w:t>
      </w:r>
      <w:r w:rsidR="00883EC2">
        <w:rPr>
          <w:rFonts w:ascii="Gotham" w:hAnsi="Gotham" w:cs="Arial"/>
          <w:sz w:val="19"/>
          <w:szCs w:val="19"/>
        </w:rPr>
        <w:t xml:space="preserve"> </w:t>
      </w:r>
      <w:r w:rsidRPr="009A3035">
        <w:rPr>
          <w:rFonts w:ascii="Gotham" w:hAnsi="Gotham" w:cs="Arial"/>
          <w:sz w:val="19"/>
          <w:szCs w:val="19"/>
        </w:rPr>
        <w:t>de Transparencia</w:t>
      </w:r>
      <w:bookmarkEnd w:id="9"/>
      <w:r w:rsidRPr="009A3035">
        <w:rPr>
          <w:rFonts w:ascii="Gotham" w:hAnsi="Gotham" w:cs="Arial"/>
          <w:sz w:val="19"/>
          <w:szCs w:val="19"/>
        </w:rPr>
        <w:t xml:space="preserve"> y Comité de Clasificación</w:t>
      </w:r>
    </w:p>
    <w:p w14:paraId="3A474884"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85"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r w:rsidRPr="00293526">
        <w:rPr>
          <w:rFonts w:ascii="Gotham" w:hAnsi="Gotham" w:cs="Arial"/>
          <w:b/>
          <w:color w:val="000000" w:themeColor="text1"/>
          <w:sz w:val="20"/>
          <w:szCs w:val="20"/>
        </w:rPr>
        <w:t>Artículos del 10 al 15, quedan intocados.</w:t>
      </w:r>
    </w:p>
    <w:p w14:paraId="3A474886"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87"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r w:rsidRPr="003D1DA7">
        <w:rPr>
          <w:rFonts w:ascii="Gotham" w:hAnsi="Gotham" w:cs="Arial"/>
          <w:b/>
          <w:color w:val="000000" w:themeColor="text1"/>
          <w:sz w:val="20"/>
          <w:szCs w:val="20"/>
        </w:rPr>
        <w:t>Se adicionan</w:t>
      </w:r>
      <w:r w:rsidRPr="00293526">
        <w:rPr>
          <w:rFonts w:ascii="Gotham" w:hAnsi="Gotham" w:cs="Arial"/>
          <w:b/>
          <w:color w:val="000000" w:themeColor="text1"/>
          <w:sz w:val="20"/>
          <w:szCs w:val="20"/>
        </w:rPr>
        <w:t xml:space="preserve"> del artículo 16 al 26, por lo tanto, se recorre el resto del articulado del Reglamento para quedar de la siguiente manera, hasta el final el artículo 62:</w:t>
      </w:r>
    </w:p>
    <w:p w14:paraId="3A474888" w14:textId="77777777" w:rsidR="009B5E39" w:rsidRPr="00293526" w:rsidRDefault="009B5E39" w:rsidP="009B5E39">
      <w:pPr>
        <w:pStyle w:val="Prrafodelista"/>
        <w:ind w:left="0"/>
        <w:contextualSpacing w:val="0"/>
        <w:jc w:val="both"/>
        <w:rPr>
          <w:rFonts w:ascii="Gotham" w:hAnsi="Gotham" w:cs="Arial"/>
          <w:b/>
          <w:color w:val="000000" w:themeColor="text1"/>
          <w:sz w:val="20"/>
          <w:szCs w:val="20"/>
        </w:rPr>
      </w:pPr>
    </w:p>
    <w:p w14:paraId="3A474889"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r w:rsidRPr="00242957">
        <w:rPr>
          <w:rFonts w:ascii="Gotham" w:hAnsi="Gotham" w:cs="Arial"/>
          <w:b/>
          <w:bCs/>
          <w:color w:val="000000" w:themeColor="text1"/>
          <w:sz w:val="19"/>
          <w:szCs w:val="19"/>
        </w:rPr>
        <w:t>Artículo 16</w:t>
      </w:r>
      <w:r w:rsidRPr="00242957">
        <w:rPr>
          <w:rFonts w:ascii="Gotham" w:hAnsi="Gotham" w:cs="Arial"/>
          <w:bCs/>
          <w:color w:val="000000" w:themeColor="text1"/>
          <w:sz w:val="19"/>
          <w:szCs w:val="19"/>
        </w:rPr>
        <w:t>.</w:t>
      </w:r>
      <w:r w:rsidRPr="00242957">
        <w:rPr>
          <w:rFonts w:ascii="Gotham" w:hAnsi="Gotham" w:cs="Arial"/>
          <w:b/>
          <w:bCs/>
          <w:color w:val="000000" w:themeColor="text1"/>
          <w:sz w:val="19"/>
          <w:szCs w:val="19"/>
        </w:rPr>
        <w:t xml:space="preserve"> </w:t>
      </w:r>
      <w:r w:rsidRPr="00242957">
        <w:rPr>
          <w:rFonts w:ascii="Gotham" w:hAnsi="Gotham" w:cs="Arial"/>
          <w:color w:val="FF0000"/>
          <w:sz w:val="19"/>
          <w:szCs w:val="19"/>
        </w:rPr>
        <w:t>El Comité de Clasificación a que aluden los artículos 6 y 7 del Reglamento de la Ley de Transparencia y Acceso a la Información Pública del Estado de Jalisco y sus Municipios, es el encargado del Municipio de Tonalá de:</w:t>
      </w:r>
    </w:p>
    <w:p w14:paraId="3A47488A"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p>
    <w:p w14:paraId="3A47488B" w14:textId="77777777" w:rsidR="009B5E39" w:rsidRPr="00242957" w:rsidRDefault="009B5E39" w:rsidP="009B5E39">
      <w:pPr>
        <w:spacing w:after="120"/>
        <w:ind w:left="1134" w:right="283" w:hanging="850"/>
        <w:jc w:val="both"/>
        <w:outlineLvl w:val="0"/>
        <w:rPr>
          <w:rFonts w:ascii="Gotham" w:hAnsi="Gotham" w:cs="Arial"/>
          <w:color w:val="FF0000"/>
          <w:sz w:val="19"/>
          <w:szCs w:val="19"/>
        </w:rPr>
      </w:pPr>
      <w:r w:rsidRPr="00242957">
        <w:rPr>
          <w:rFonts w:ascii="Gotham" w:hAnsi="Gotham" w:cs="Arial"/>
          <w:color w:val="FF0000"/>
          <w:sz w:val="19"/>
          <w:szCs w:val="19"/>
        </w:rPr>
        <w:t xml:space="preserve">I. </w:t>
      </w:r>
      <w:r>
        <w:rPr>
          <w:rFonts w:ascii="Gotham" w:hAnsi="Gotham" w:cs="Arial"/>
          <w:color w:val="FF0000"/>
          <w:sz w:val="19"/>
          <w:szCs w:val="19"/>
        </w:rPr>
        <w:tab/>
      </w:r>
      <w:r w:rsidRPr="00242957">
        <w:rPr>
          <w:rFonts w:ascii="Gotham" w:hAnsi="Gotham" w:cs="Arial"/>
          <w:color w:val="FF0000"/>
          <w:sz w:val="19"/>
          <w:szCs w:val="19"/>
        </w:rPr>
        <w:t>Clasificar la información pública que generen o posean;</w:t>
      </w:r>
    </w:p>
    <w:p w14:paraId="3A47488C" w14:textId="77777777" w:rsidR="009B5E39" w:rsidRPr="00242957" w:rsidRDefault="009B5E39" w:rsidP="009B5E39">
      <w:pPr>
        <w:spacing w:after="120"/>
        <w:ind w:left="1134" w:right="283" w:hanging="850"/>
        <w:jc w:val="both"/>
        <w:outlineLvl w:val="0"/>
        <w:rPr>
          <w:rFonts w:ascii="Gotham" w:hAnsi="Gotham" w:cs="Arial"/>
          <w:color w:val="FF0000"/>
          <w:sz w:val="19"/>
          <w:szCs w:val="19"/>
        </w:rPr>
      </w:pPr>
      <w:r w:rsidRPr="00242957">
        <w:rPr>
          <w:rFonts w:ascii="Gotham" w:hAnsi="Gotham" w:cs="Arial"/>
          <w:color w:val="FF0000"/>
          <w:sz w:val="19"/>
          <w:szCs w:val="19"/>
        </w:rPr>
        <w:t xml:space="preserve">II. </w:t>
      </w:r>
      <w:r>
        <w:rPr>
          <w:rFonts w:ascii="Gotham" w:hAnsi="Gotham" w:cs="Arial"/>
          <w:color w:val="FF0000"/>
          <w:sz w:val="19"/>
          <w:szCs w:val="19"/>
        </w:rPr>
        <w:tab/>
      </w:r>
      <w:r w:rsidRPr="00242957">
        <w:rPr>
          <w:rFonts w:ascii="Gotham" w:hAnsi="Gotham" w:cs="Arial"/>
          <w:color w:val="FF0000"/>
          <w:sz w:val="19"/>
          <w:szCs w:val="19"/>
        </w:rPr>
        <w:t>Elaborar y remitir al Instituto, para su aprobación, los criterios generales de clasificación, publicación y actualización de la información fundamental y protección de información confidencial y reservada;</w:t>
      </w:r>
    </w:p>
    <w:p w14:paraId="3A47488D" w14:textId="77777777" w:rsidR="009B5E39" w:rsidRPr="00242957" w:rsidRDefault="009B5E39" w:rsidP="009B5E39">
      <w:pPr>
        <w:spacing w:after="120"/>
        <w:ind w:left="1134" w:right="283" w:hanging="850"/>
        <w:jc w:val="both"/>
        <w:outlineLvl w:val="0"/>
        <w:rPr>
          <w:rFonts w:ascii="Gotham" w:hAnsi="Gotham" w:cs="Arial"/>
          <w:color w:val="FF0000"/>
          <w:sz w:val="19"/>
          <w:szCs w:val="19"/>
        </w:rPr>
      </w:pPr>
      <w:r w:rsidRPr="00242957">
        <w:rPr>
          <w:rFonts w:ascii="Gotham" w:hAnsi="Gotham" w:cs="Arial"/>
          <w:color w:val="FF0000"/>
          <w:sz w:val="19"/>
          <w:szCs w:val="19"/>
        </w:rPr>
        <w:t xml:space="preserve">III. </w:t>
      </w:r>
      <w:r>
        <w:rPr>
          <w:rFonts w:ascii="Gotham" w:hAnsi="Gotham" w:cs="Arial"/>
          <w:color w:val="FF0000"/>
          <w:sz w:val="19"/>
          <w:szCs w:val="19"/>
        </w:rPr>
        <w:tab/>
      </w:r>
      <w:r w:rsidRPr="00242957">
        <w:rPr>
          <w:rFonts w:ascii="Gotham" w:hAnsi="Gotham" w:cs="Arial"/>
          <w:color w:val="FF0000"/>
          <w:sz w:val="19"/>
          <w:szCs w:val="19"/>
        </w:rPr>
        <w:t>Fijar precedentes para la resolución de solicitudes de información respecto a la clasificación, publicación y actualización de la información; y</w:t>
      </w:r>
    </w:p>
    <w:p w14:paraId="3A47488E" w14:textId="77777777" w:rsidR="009B5E39" w:rsidRPr="00242957" w:rsidRDefault="009B5E39" w:rsidP="009B5E39">
      <w:pPr>
        <w:ind w:left="1134" w:right="283" w:hanging="850"/>
        <w:jc w:val="both"/>
        <w:outlineLvl w:val="0"/>
        <w:rPr>
          <w:rFonts w:ascii="Gotham" w:hAnsi="Gotham" w:cs="Arial"/>
          <w:color w:val="FF0000"/>
          <w:sz w:val="19"/>
          <w:szCs w:val="19"/>
        </w:rPr>
      </w:pPr>
      <w:r w:rsidRPr="00242957">
        <w:rPr>
          <w:rFonts w:ascii="Gotham" w:hAnsi="Gotham" w:cs="Arial"/>
          <w:color w:val="FF0000"/>
          <w:sz w:val="19"/>
          <w:szCs w:val="19"/>
        </w:rPr>
        <w:lastRenderedPageBreak/>
        <w:t xml:space="preserve">IV. </w:t>
      </w:r>
      <w:r>
        <w:rPr>
          <w:rFonts w:ascii="Gotham" w:hAnsi="Gotham" w:cs="Arial"/>
          <w:color w:val="FF0000"/>
          <w:sz w:val="19"/>
          <w:szCs w:val="19"/>
        </w:rPr>
        <w:tab/>
      </w:r>
      <w:r w:rsidRPr="00242957">
        <w:rPr>
          <w:rFonts w:ascii="Gotham" w:hAnsi="Gotham" w:cs="Arial"/>
          <w:color w:val="FF0000"/>
          <w:sz w:val="19"/>
          <w:szCs w:val="19"/>
        </w:rPr>
        <w:t>Integrar, sustanciar y resolver los procedimientos de protección de información.</w:t>
      </w:r>
    </w:p>
    <w:p w14:paraId="3A47488F" w14:textId="77777777" w:rsidR="009B5E39" w:rsidRPr="00242957" w:rsidRDefault="009B5E39" w:rsidP="009B5E39">
      <w:pPr>
        <w:pStyle w:val="Body1"/>
        <w:spacing w:after="0" w:line="240" w:lineRule="auto"/>
        <w:ind w:left="284" w:right="283"/>
        <w:jc w:val="both"/>
        <w:rPr>
          <w:rFonts w:ascii="Gotham" w:hAnsi="Gotham" w:cs="Arial"/>
          <w:color w:val="auto"/>
          <w:sz w:val="19"/>
          <w:szCs w:val="19"/>
        </w:rPr>
      </w:pPr>
    </w:p>
    <w:p w14:paraId="3A474890"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r w:rsidRPr="00242957">
        <w:rPr>
          <w:rFonts w:ascii="Gotham" w:hAnsi="Gotham" w:cs="Arial"/>
          <w:b/>
          <w:bCs/>
          <w:color w:val="auto"/>
          <w:sz w:val="19"/>
          <w:szCs w:val="19"/>
        </w:rPr>
        <w:t>Artículo 17</w:t>
      </w:r>
      <w:r w:rsidRPr="00242957">
        <w:rPr>
          <w:rFonts w:ascii="Gotham" w:hAnsi="Gotham" w:cs="Arial"/>
          <w:bCs/>
          <w:color w:val="auto"/>
          <w:sz w:val="19"/>
          <w:szCs w:val="19"/>
        </w:rPr>
        <w:t>.</w:t>
      </w:r>
      <w:r w:rsidRPr="00242957">
        <w:rPr>
          <w:rFonts w:ascii="Gotham" w:hAnsi="Gotham" w:cs="Arial"/>
          <w:color w:val="auto"/>
          <w:sz w:val="19"/>
          <w:szCs w:val="19"/>
        </w:rPr>
        <w:t xml:space="preserve"> </w:t>
      </w:r>
      <w:r w:rsidRPr="00242957">
        <w:rPr>
          <w:rFonts w:ascii="Gotham" w:hAnsi="Gotham" w:cs="Arial"/>
          <w:color w:val="FF0000"/>
          <w:sz w:val="19"/>
          <w:szCs w:val="19"/>
        </w:rPr>
        <w:t>El Comité de Clasificación se integrará de acuerdo con lo previsto en el artículo 28 de la Ley. En caso de no contar con unidad de control interno, serán miembros del mismo:</w:t>
      </w:r>
    </w:p>
    <w:p w14:paraId="3A474891"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p>
    <w:p w14:paraId="3A474892" w14:textId="77777777" w:rsidR="009B5E39" w:rsidRPr="00242957" w:rsidRDefault="009B5E39" w:rsidP="009B5E39">
      <w:pPr>
        <w:spacing w:after="120"/>
        <w:ind w:left="1134" w:right="283" w:hanging="850"/>
        <w:jc w:val="both"/>
        <w:outlineLvl w:val="0"/>
        <w:rPr>
          <w:rFonts w:ascii="Gotham" w:hAnsi="Gotham" w:cs="Arial"/>
          <w:color w:val="FF0000"/>
          <w:sz w:val="19"/>
          <w:szCs w:val="19"/>
        </w:rPr>
      </w:pPr>
      <w:r w:rsidRPr="00242957">
        <w:rPr>
          <w:rFonts w:ascii="Gotham" w:hAnsi="Gotham" w:cs="Arial"/>
          <w:color w:val="FF0000"/>
          <w:sz w:val="19"/>
          <w:szCs w:val="19"/>
        </w:rPr>
        <w:t xml:space="preserve">I. </w:t>
      </w:r>
      <w:r>
        <w:rPr>
          <w:rFonts w:ascii="Gotham" w:hAnsi="Gotham" w:cs="Arial"/>
          <w:color w:val="FF0000"/>
          <w:sz w:val="19"/>
          <w:szCs w:val="19"/>
        </w:rPr>
        <w:tab/>
      </w:r>
      <w:r w:rsidRPr="00242957">
        <w:rPr>
          <w:rFonts w:ascii="Gotham" w:hAnsi="Gotham" w:cs="Arial"/>
          <w:color w:val="FF0000"/>
          <w:sz w:val="19"/>
          <w:szCs w:val="19"/>
        </w:rPr>
        <w:t>El titular del área jurídica, salvo que sea también titular de la Unidad de Transparencia; o</w:t>
      </w:r>
    </w:p>
    <w:p w14:paraId="3A474893" w14:textId="77777777" w:rsidR="009B5E39" w:rsidRPr="00242957" w:rsidRDefault="009B5E39" w:rsidP="009B5E39">
      <w:pPr>
        <w:ind w:left="1134" w:right="283" w:hanging="850"/>
        <w:jc w:val="both"/>
        <w:outlineLvl w:val="0"/>
        <w:rPr>
          <w:rFonts w:ascii="Gotham" w:hAnsi="Gotham" w:cs="Arial"/>
          <w:color w:val="FF0000"/>
          <w:sz w:val="19"/>
          <w:szCs w:val="19"/>
        </w:rPr>
      </w:pPr>
      <w:r w:rsidRPr="00242957">
        <w:rPr>
          <w:rFonts w:ascii="Gotham" w:hAnsi="Gotham" w:cs="Arial"/>
          <w:color w:val="FF0000"/>
          <w:sz w:val="19"/>
          <w:szCs w:val="19"/>
        </w:rPr>
        <w:t xml:space="preserve">II. </w:t>
      </w:r>
      <w:r>
        <w:rPr>
          <w:rFonts w:ascii="Gotham" w:hAnsi="Gotham" w:cs="Arial"/>
          <w:color w:val="FF0000"/>
          <w:sz w:val="19"/>
          <w:szCs w:val="19"/>
        </w:rPr>
        <w:tab/>
      </w:r>
      <w:r w:rsidRPr="00242957">
        <w:rPr>
          <w:rFonts w:ascii="Gotham" w:hAnsi="Gotham" w:cs="Arial"/>
          <w:color w:val="FF0000"/>
          <w:sz w:val="19"/>
          <w:szCs w:val="19"/>
        </w:rPr>
        <w:t>El titular del área administrativa.</w:t>
      </w:r>
    </w:p>
    <w:p w14:paraId="3A474894" w14:textId="77777777" w:rsidR="009B5E39" w:rsidRDefault="009B5E39" w:rsidP="009B5E39">
      <w:pPr>
        <w:pStyle w:val="Body1"/>
        <w:spacing w:after="0" w:line="240" w:lineRule="auto"/>
        <w:ind w:left="284" w:right="283"/>
        <w:jc w:val="both"/>
        <w:rPr>
          <w:rFonts w:ascii="Gotham" w:hAnsi="Gotham" w:cs="Arial"/>
          <w:color w:val="FF0000"/>
          <w:sz w:val="19"/>
          <w:szCs w:val="19"/>
        </w:rPr>
      </w:pPr>
    </w:p>
    <w:p w14:paraId="3A474895"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r w:rsidRPr="00242957">
        <w:rPr>
          <w:rFonts w:ascii="Gotham" w:hAnsi="Gotham" w:cs="Arial"/>
          <w:color w:val="FF0000"/>
          <w:sz w:val="19"/>
          <w:szCs w:val="19"/>
        </w:rPr>
        <w:t>En caso de que el titular del sujeto obligado sea un órgano colegiado, de conformidad con lo dispuesto por el artículo 28 párrafo 2 de la Ley, se podrá delegar la función de integración del Comité de Clasificación en el titular de la entidad administrativa de mayor rango que dependa del cuerpo colegiado.</w:t>
      </w:r>
    </w:p>
    <w:p w14:paraId="3A474896" w14:textId="77777777" w:rsidR="009B5E39" w:rsidRPr="00242957" w:rsidRDefault="009B5E39" w:rsidP="009B5E39">
      <w:pPr>
        <w:pStyle w:val="Body1"/>
        <w:spacing w:after="0" w:line="240" w:lineRule="auto"/>
        <w:ind w:left="284" w:right="283"/>
        <w:jc w:val="both"/>
        <w:rPr>
          <w:rFonts w:ascii="Gotham" w:hAnsi="Gotham" w:cs="Arial"/>
          <w:color w:val="auto"/>
          <w:sz w:val="19"/>
          <w:szCs w:val="19"/>
        </w:rPr>
      </w:pPr>
    </w:p>
    <w:p w14:paraId="3A474897"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r w:rsidRPr="00242957">
        <w:rPr>
          <w:rFonts w:ascii="Gotham" w:hAnsi="Gotham" w:cs="Arial"/>
          <w:b/>
          <w:bCs/>
          <w:color w:val="auto"/>
          <w:sz w:val="19"/>
          <w:szCs w:val="19"/>
        </w:rPr>
        <w:t>Artículo 18</w:t>
      </w:r>
      <w:r w:rsidRPr="00242957">
        <w:rPr>
          <w:rFonts w:ascii="Gotham" w:hAnsi="Gotham" w:cs="Arial"/>
          <w:bCs/>
          <w:color w:val="auto"/>
          <w:sz w:val="19"/>
          <w:szCs w:val="19"/>
        </w:rPr>
        <w:t xml:space="preserve">. </w:t>
      </w:r>
      <w:r w:rsidRPr="00242957">
        <w:rPr>
          <w:rFonts w:ascii="Gotham" w:hAnsi="Gotham" w:cs="Arial"/>
          <w:color w:val="FF0000"/>
          <w:sz w:val="19"/>
          <w:szCs w:val="19"/>
        </w:rPr>
        <w:t>En el caso de que dos o más sujetos obligados tengan un superior jerárquico común o compartan información, podrán concentrarse en un solo Comité de Clasificación y una Unidad de Transparencia, lo cual deberá establecer en su normativa interna. Los organismos públicos descentralizados vinculados con el sujeto obligado podrán operar bajo dicha figura de concentración mediante convenios de adhesión a la misma que firmen con el sujeto obligado.</w:t>
      </w:r>
    </w:p>
    <w:p w14:paraId="3A474898"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p>
    <w:p w14:paraId="3A474899" w14:textId="77777777" w:rsidR="009B5E39" w:rsidRPr="00242957" w:rsidRDefault="009B5E39" w:rsidP="009B5E39">
      <w:pPr>
        <w:ind w:left="284" w:right="283"/>
        <w:jc w:val="both"/>
        <w:rPr>
          <w:rFonts w:ascii="Gotham" w:hAnsi="Gotham" w:cs="Arial"/>
          <w:color w:val="FF0000"/>
          <w:sz w:val="19"/>
          <w:szCs w:val="19"/>
        </w:rPr>
      </w:pPr>
      <w:r w:rsidRPr="00242957">
        <w:rPr>
          <w:rFonts w:ascii="Gotham" w:hAnsi="Gotham" w:cs="Arial"/>
          <w:b/>
          <w:bCs/>
          <w:color w:val="000000" w:themeColor="text1"/>
          <w:sz w:val="19"/>
          <w:szCs w:val="19"/>
        </w:rPr>
        <w:t>Artículo</w:t>
      </w:r>
      <w:r w:rsidRPr="00242957">
        <w:rPr>
          <w:rFonts w:ascii="Gotham" w:hAnsi="Gotham" w:cs="Arial"/>
          <w:b/>
          <w:bCs/>
          <w:color w:val="FF0000"/>
          <w:sz w:val="19"/>
          <w:szCs w:val="19"/>
        </w:rPr>
        <w:t xml:space="preserve"> </w:t>
      </w:r>
      <w:r w:rsidRPr="00242957">
        <w:rPr>
          <w:rFonts w:ascii="Gotham" w:hAnsi="Gotham" w:cs="Arial"/>
          <w:b/>
          <w:bCs/>
          <w:color w:val="000000" w:themeColor="text1"/>
          <w:sz w:val="19"/>
          <w:szCs w:val="19"/>
        </w:rPr>
        <w:t>19</w:t>
      </w:r>
      <w:r w:rsidRPr="00242957">
        <w:rPr>
          <w:rFonts w:ascii="Gotham" w:hAnsi="Gotham" w:cs="Arial"/>
          <w:bCs/>
          <w:color w:val="000000" w:themeColor="text1"/>
          <w:sz w:val="19"/>
          <w:szCs w:val="19"/>
        </w:rPr>
        <w:t>.</w:t>
      </w:r>
      <w:r w:rsidRPr="00242957">
        <w:rPr>
          <w:rFonts w:ascii="Gotham" w:hAnsi="Gotham" w:cs="Arial"/>
          <w:b/>
          <w:bCs/>
          <w:color w:val="FF0000"/>
          <w:sz w:val="19"/>
          <w:szCs w:val="19"/>
        </w:rPr>
        <w:t xml:space="preserve"> </w:t>
      </w:r>
      <w:r w:rsidRPr="00242957">
        <w:rPr>
          <w:rFonts w:ascii="Gotham" w:hAnsi="Gotham" w:cs="Arial"/>
          <w:color w:val="FF0000"/>
          <w:sz w:val="19"/>
          <w:szCs w:val="19"/>
        </w:rPr>
        <w:t>El Comité de Clasificación será constituido por acuerdo del órgano colegiado que dirija al sujeto obligado y, en su caso, en su primera sesión de instalación dentro de los primeros diez días hábiles posteriores al inicio de la Administración Municipal por acuerdo de sus integrantes, levantándose acta de la misma.</w:t>
      </w:r>
    </w:p>
    <w:p w14:paraId="3A47489A" w14:textId="77777777" w:rsidR="009B5E39" w:rsidRDefault="009B5E39" w:rsidP="009B5E39">
      <w:pPr>
        <w:pStyle w:val="Body1"/>
        <w:spacing w:after="0" w:line="240" w:lineRule="auto"/>
        <w:ind w:left="284" w:right="283"/>
        <w:jc w:val="both"/>
        <w:rPr>
          <w:rFonts w:ascii="Gotham" w:hAnsi="Gotham" w:cs="Arial"/>
          <w:color w:val="FF0000"/>
          <w:sz w:val="19"/>
          <w:szCs w:val="19"/>
        </w:rPr>
      </w:pPr>
    </w:p>
    <w:p w14:paraId="3A47489B"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r w:rsidRPr="00242957">
        <w:rPr>
          <w:rFonts w:ascii="Gotham" w:hAnsi="Gotham" w:cs="Arial"/>
          <w:color w:val="FF0000"/>
          <w:sz w:val="19"/>
          <w:szCs w:val="19"/>
        </w:rPr>
        <w:t>En cualquier caso, el sujeto obligado deberá remitir al Instituto copia certificada del acuerdo con el que se constituya e instale el Comité de Clasificación.</w:t>
      </w:r>
    </w:p>
    <w:p w14:paraId="3A47489C" w14:textId="77777777" w:rsidR="009B5E39" w:rsidRPr="00242957" w:rsidRDefault="009B5E39" w:rsidP="009B5E39">
      <w:pPr>
        <w:pStyle w:val="Body1"/>
        <w:spacing w:after="0" w:line="240" w:lineRule="auto"/>
        <w:ind w:left="284" w:right="283"/>
        <w:jc w:val="both"/>
        <w:rPr>
          <w:rFonts w:ascii="Gotham" w:hAnsi="Gotham" w:cs="Arial"/>
          <w:color w:val="000000" w:themeColor="text1"/>
          <w:sz w:val="19"/>
          <w:szCs w:val="19"/>
        </w:rPr>
      </w:pPr>
    </w:p>
    <w:p w14:paraId="3A47489D"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r w:rsidRPr="00242957">
        <w:rPr>
          <w:rFonts w:ascii="Gotham" w:hAnsi="Gotham" w:cs="Arial"/>
          <w:b/>
          <w:bCs/>
          <w:color w:val="000000" w:themeColor="text1"/>
          <w:sz w:val="19"/>
          <w:szCs w:val="19"/>
        </w:rPr>
        <w:t>Artículo 20</w:t>
      </w:r>
      <w:r w:rsidRPr="00242957">
        <w:rPr>
          <w:rFonts w:ascii="Gotham" w:hAnsi="Gotham" w:cs="Arial"/>
          <w:bCs/>
          <w:color w:val="000000" w:themeColor="text1"/>
          <w:sz w:val="19"/>
          <w:szCs w:val="19"/>
        </w:rPr>
        <w:t>.</w:t>
      </w:r>
      <w:r w:rsidRPr="00242957">
        <w:rPr>
          <w:rFonts w:ascii="Gotham" w:hAnsi="Gotham" w:cs="Arial"/>
          <w:b/>
          <w:bCs/>
          <w:color w:val="FF0000"/>
          <w:sz w:val="19"/>
          <w:szCs w:val="19"/>
        </w:rPr>
        <w:t xml:space="preserve"> </w:t>
      </w:r>
      <w:r w:rsidRPr="00242957">
        <w:rPr>
          <w:rFonts w:ascii="Gotham" w:hAnsi="Gotham" w:cs="Arial"/>
          <w:color w:val="FF0000"/>
          <w:sz w:val="19"/>
          <w:szCs w:val="19"/>
        </w:rPr>
        <w:t>Las sesiones del Comité de Clasificación deberán ser convocadas por el Presidente de dicho Comité, dentro de la periodicidad que señala la Ley, o a petición del Secretario y Titular de la Unidad de Transparencia, cuando considere estar ante un caso que lo amerita.</w:t>
      </w:r>
    </w:p>
    <w:p w14:paraId="3A47489E" w14:textId="77777777" w:rsidR="009B5E39" w:rsidRPr="00242957" w:rsidRDefault="009B5E39" w:rsidP="009B5E39">
      <w:pPr>
        <w:pStyle w:val="Body1"/>
        <w:spacing w:after="0" w:line="240" w:lineRule="auto"/>
        <w:ind w:left="284" w:right="283"/>
        <w:jc w:val="both"/>
        <w:rPr>
          <w:rFonts w:ascii="Gotham" w:hAnsi="Gotham" w:cs="Arial"/>
          <w:color w:val="000000" w:themeColor="text1"/>
          <w:sz w:val="19"/>
          <w:szCs w:val="19"/>
        </w:rPr>
      </w:pPr>
    </w:p>
    <w:p w14:paraId="3A47489F" w14:textId="77777777" w:rsidR="009B5E39" w:rsidRPr="00242957" w:rsidRDefault="009B5E39" w:rsidP="009B5E39">
      <w:pPr>
        <w:ind w:left="284" w:right="283"/>
        <w:rPr>
          <w:rFonts w:ascii="Gotham" w:hAnsi="Gotham" w:cs="Arial"/>
          <w:color w:val="FF0000"/>
          <w:sz w:val="19"/>
          <w:szCs w:val="19"/>
        </w:rPr>
      </w:pPr>
      <w:r w:rsidRPr="00242957">
        <w:rPr>
          <w:rFonts w:ascii="Gotham" w:hAnsi="Gotham" w:cs="Arial"/>
          <w:b/>
          <w:bCs/>
          <w:color w:val="000000" w:themeColor="text1"/>
          <w:sz w:val="19"/>
          <w:szCs w:val="19"/>
        </w:rPr>
        <w:t>Artículo 21</w:t>
      </w:r>
      <w:r w:rsidRPr="00242957">
        <w:rPr>
          <w:rFonts w:ascii="Gotham" w:hAnsi="Gotham" w:cs="Arial"/>
          <w:bCs/>
          <w:color w:val="000000" w:themeColor="text1"/>
          <w:sz w:val="19"/>
          <w:szCs w:val="19"/>
        </w:rPr>
        <w:t>.</w:t>
      </w:r>
      <w:r w:rsidRPr="00242957">
        <w:rPr>
          <w:rFonts w:ascii="Gotham" w:hAnsi="Gotham" w:cs="Arial"/>
          <w:b/>
          <w:bCs/>
          <w:color w:val="000000" w:themeColor="text1"/>
          <w:sz w:val="19"/>
          <w:szCs w:val="19"/>
        </w:rPr>
        <w:t xml:space="preserve"> </w:t>
      </w:r>
      <w:r w:rsidRPr="00242957">
        <w:rPr>
          <w:rFonts w:ascii="Gotham" w:hAnsi="Gotham" w:cs="Arial"/>
          <w:color w:val="FF0000"/>
          <w:sz w:val="19"/>
          <w:szCs w:val="19"/>
        </w:rPr>
        <w:t xml:space="preserve">El Comité de Clasificación de cada sujeto obligado llevará a cabo la clasificación de la información pública mediante dos procedimientos: </w:t>
      </w:r>
      <w:r w:rsidRPr="00242957">
        <w:rPr>
          <w:rFonts w:ascii="Gotham" w:hAnsi="Gotham" w:cs="Arial"/>
          <w:b/>
          <w:bCs/>
          <w:color w:val="FF0000"/>
          <w:sz w:val="19"/>
          <w:szCs w:val="19"/>
        </w:rPr>
        <w:tab/>
      </w:r>
    </w:p>
    <w:p w14:paraId="3A4748A0" w14:textId="77777777" w:rsidR="009B5E39" w:rsidRDefault="009B5E39" w:rsidP="009B5E39">
      <w:pPr>
        <w:ind w:left="284" w:right="283"/>
        <w:rPr>
          <w:rFonts w:ascii="Gotham" w:hAnsi="Gotham" w:cs="Arial"/>
          <w:bCs/>
          <w:color w:val="FF0000"/>
          <w:sz w:val="19"/>
          <w:szCs w:val="19"/>
        </w:rPr>
      </w:pPr>
    </w:p>
    <w:p w14:paraId="3A4748A1" w14:textId="77777777" w:rsidR="009B5E39" w:rsidRPr="00242957" w:rsidRDefault="009B5E39" w:rsidP="009B5E39">
      <w:pPr>
        <w:spacing w:after="120"/>
        <w:ind w:left="1134" w:right="283" w:hanging="850"/>
        <w:rPr>
          <w:rFonts w:ascii="Gotham" w:hAnsi="Gotham" w:cs="Arial"/>
          <w:bCs/>
          <w:color w:val="FF0000"/>
          <w:sz w:val="19"/>
          <w:szCs w:val="19"/>
        </w:rPr>
      </w:pPr>
      <w:r w:rsidRPr="00242957">
        <w:rPr>
          <w:rFonts w:ascii="Gotham" w:hAnsi="Gotham" w:cs="Arial"/>
          <w:bCs/>
          <w:color w:val="FF0000"/>
          <w:sz w:val="19"/>
          <w:szCs w:val="19"/>
        </w:rPr>
        <w:t xml:space="preserve">I. </w:t>
      </w:r>
      <w:r>
        <w:rPr>
          <w:rFonts w:ascii="Gotham" w:hAnsi="Gotham" w:cs="Arial"/>
          <w:bCs/>
          <w:color w:val="FF0000"/>
          <w:sz w:val="19"/>
          <w:szCs w:val="19"/>
        </w:rPr>
        <w:tab/>
      </w:r>
      <w:r w:rsidRPr="00242957">
        <w:rPr>
          <w:rFonts w:ascii="Gotham" w:hAnsi="Gotham" w:cs="Arial"/>
          <w:color w:val="FF0000"/>
          <w:sz w:val="19"/>
          <w:szCs w:val="19"/>
        </w:rPr>
        <w:t>Procedimiento de clasificación inicial; y</w:t>
      </w:r>
    </w:p>
    <w:p w14:paraId="3A4748A2" w14:textId="77777777" w:rsidR="009B5E39" w:rsidRPr="00242957" w:rsidRDefault="009B5E39" w:rsidP="009B5E39">
      <w:pPr>
        <w:ind w:left="1134" w:right="283" w:hanging="850"/>
        <w:rPr>
          <w:rFonts w:ascii="Gotham" w:hAnsi="Gotham" w:cs="Arial"/>
          <w:color w:val="FF0000"/>
          <w:sz w:val="19"/>
          <w:szCs w:val="19"/>
        </w:rPr>
      </w:pPr>
      <w:r w:rsidRPr="00242957">
        <w:rPr>
          <w:rFonts w:ascii="Gotham" w:hAnsi="Gotham" w:cs="Arial"/>
          <w:bCs/>
          <w:color w:val="FF0000"/>
          <w:sz w:val="19"/>
          <w:szCs w:val="19"/>
        </w:rPr>
        <w:t>II.</w:t>
      </w:r>
      <w:r w:rsidRPr="00242957">
        <w:rPr>
          <w:rFonts w:ascii="Gotham" w:hAnsi="Gotham" w:cs="Arial"/>
          <w:color w:val="FF0000"/>
          <w:sz w:val="19"/>
          <w:szCs w:val="19"/>
        </w:rPr>
        <w:t xml:space="preserve"> </w:t>
      </w:r>
      <w:r>
        <w:rPr>
          <w:rFonts w:ascii="Gotham" w:hAnsi="Gotham" w:cs="Arial"/>
          <w:color w:val="FF0000"/>
          <w:sz w:val="19"/>
          <w:szCs w:val="19"/>
        </w:rPr>
        <w:tab/>
      </w:r>
      <w:r w:rsidRPr="00242957">
        <w:rPr>
          <w:rFonts w:ascii="Gotham" w:hAnsi="Gotham" w:cs="Arial"/>
          <w:color w:val="FF0000"/>
          <w:sz w:val="19"/>
          <w:szCs w:val="19"/>
        </w:rPr>
        <w:t>Procedimiento de modificación de clasificación.</w:t>
      </w:r>
    </w:p>
    <w:p w14:paraId="3A4748A3" w14:textId="77777777" w:rsidR="009B5E39" w:rsidRDefault="009B5E39" w:rsidP="009B5E39">
      <w:pPr>
        <w:pStyle w:val="Body1"/>
        <w:spacing w:after="0" w:line="240" w:lineRule="auto"/>
        <w:ind w:left="284" w:right="283"/>
        <w:jc w:val="both"/>
        <w:rPr>
          <w:rFonts w:ascii="Gotham" w:hAnsi="Gotham" w:cs="Arial"/>
          <w:b/>
          <w:bCs/>
          <w:color w:val="000000" w:themeColor="text1"/>
          <w:sz w:val="19"/>
          <w:szCs w:val="19"/>
        </w:rPr>
      </w:pPr>
    </w:p>
    <w:p w14:paraId="3A4748A4"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r w:rsidRPr="00242957">
        <w:rPr>
          <w:rFonts w:ascii="Gotham" w:hAnsi="Gotham" w:cs="Arial"/>
          <w:b/>
          <w:bCs/>
          <w:color w:val="000000" w:themeColor="text1"/>
          <w:sz w:val="19"/>
          <w:szCs w:val="19"/>
        </w:rPr>
        <w:t>Artículo 22</w:t>
      </w:r>
      <w:r w:rsidRPr="00242957">
        <w:rPr>
          <w:rFonts w:ascii="Gotham" w:hAnsi="Gotham" w:cs="Arial"/>
          <w:bCs/>
          <w:color w:val="000000" w:themeColor="text1"/>
          <w:sz w:val="19"/>
          <w:szCs w:val="19"/>
        </w:rPr>
        <w:t xml:space="preserve">. </w:t>
      </w:r>
      <w:r w:rsidRPr="00242957">
        <w:rPr>
          <w:rFonts w:ascii="Gotham" w:hAnsi="Gotham" w:cs="Arial"/>
          <w:color w:val="FF0000"/>
          <w:sz w:val="19"/>
          <w:szCs w:val="19"/>
        </w:rPr>
        <w:t>El procedimiento de clasificación inicial de la información se llevará a cabo de la siguiente forma:</w:t>
      </w:r>
    </w:p>
    <w:p w14:paraId="3A4748A5"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p>
    <w:p w14:paraId="3A4748A6" w14:textId="77777777" w:rsidR="009B5E39" w:rsidRPr="00242957" w:rsidRDefault="009B5E39" w:rsidP="009B5E39">
      <w:pPr>
        <w:spacing w:after="120"/>
        <w:ind w:left="1134" w:right="283" w:hanging="850"/>
        <w:jc w:val="both"/>
        <w:rPr>
          <w:rFonts w:ascii="Gotham" w:hAnsi="Gotham" w:cs="Arial"/>
          <w:color w:val="FF0000"/>
          <w:sz w:val="19"/>
          <w:szCs w:val="19"/>
        </w:rPr>
      </w:pPr>
      <w:r w:rsidRPr="00242957">
        <w:rPr>
          <w:rFonts w:ascii="Gotham" w:hAnsi="Gotham" w:cs="Arial"/>
          <w:bCs/>
          <w:color w:val="FF0000"/>
          <w:sz w:val="19"/>
          <w:szCs w:val="19"/>
        </w:rPr>
        <w:t xml:space="preserve">I. </w:t>
      </w:r>
      <w:r>
        <w:rPr>
          <w:rFonts w:ascii="Gotham" w:hAnsi="Gotham" w:cs="Arial"/>
          <w:bCs/>
          <w:color w:val="FF0000"/>
          <w:sz w:val="19"/>
          <w:szCs w:val="19"/>
        </w:rPr>
        <w:tab/>
      </w:r>
      <w:r w:rsidRPr="00242957">
        <w:rPr>
          <w:rFonts w:ascii="Gotham" w:hAnsi="Gotham" w:cs="Arial"/>
          <w:color w:val="FF0000"/>
          <w:sz w:val="19"/>
          <w:szCs w:val="19"/>
        </w:rPr>
        <w:t xml:space="preserve">Una vez emitidos los criterios de clasificación de la información por parte del Comité de Clasificación, autorizados por el Instituto y notificado el registro, el sujeto obligado procederá en la siguiente sesión de Comité a llevar a cabo el inicio del proceso de clasificación de la información pública que haya generado o que posea; </w:t>
      </w:r>
    </w:p>
    <w:p w14:paraId="3A4748A7" w14:textId="77777777" w:rsidR="009B5E39" w:rsidRPr="00242957" w:rsidRDefault="009B5E39" w:rsidP="009B5E39">
      <w:pPr>
        <w:spacing w:after="120"/>
        <w:ind w:left="1134" w:right="283" w:hanging="850"/>
        <w:jc w:val="both"/>
        <w:rPr>
          <w:rFonts w:ascii="Gotham" w:hAnsi="Gotham" w:cs="Arial"/>
          <w:color w:val="FF0000"/>
          <w:sz w:val="19"/>
          <w:szCs w:val="19"/>
        </w:rPr>
      </w:pPr>
      <w:r w:rsidRPr="00242957">
        <w:rPr>
          <w:rFonts w:ascii="Gotham" w:hAnsi="Gotham" w:cs="Arial"/>
          <w:bCs/>
          <w:color w:val="FF0000"/>
          <w:sz w:val="19"/>
          <w:szCs w:val="19"/>
        </w:rPr>
        <w:t xml:space="preserve">II. </w:t>
      </w:r>
      <w:r>
        <w:rPr>
          <w:rFonts w:ascii="Gotham" w:hAnsi="Gotham" w:cs="Arial"/>
          <w:bCs/>
          <w:color w:val="FF0000"/>
          <w:sz w:val="19"/>
          <w:szCs w:val="19"/>
        </w:rPr>
        <w:tab/>
      </w:r>
      <w:r w:rsidRPr="00242957">
        <w:rPr>
          <w:rFonts w:ascii="Gotham" w:hAnsi="Gotham" w:cs="Arial"/>
          <w:color w:val="FF0000"/>
          <w:sz w:val="19"/>
          <w:szCs w:val="19"/>
        </w:rPr>
        <w:t xml:space="preserve">El Comité expedirá las actas de clasificación de información correspondiente, mismas que deberán contener, por lo menos: </w:t>
      </w:r>
    </w:p>
    <w:p w14:paraId="3A4748A8" w14:textId="77777777" w:rsidR="009B5E39" w:rsidRPr="00242957" w:rsidRDefault="009B5E39" w:rsidP="009B5E39">
      <w:pPr>
        <w:spacing w:after="120"/>
        <w:ind w:left="1560" w:right="283" w:hanging="426"/>
        <w:jc w:val="both"/>
        <w:outlineLvl w:val="0"/>
        <w:rPr>
          <w:rFonts w:ascii="Gotham" w:hAnsi="Gotham" w:cs="Arial"/>
          <w:color w:val="FF0000"/>
          <w:sz w:val="19"/>
          <w:szCs w:val="19"/>
        </w:rPr>
      </w:pPr>
      <w:r w:rsidRPr="00242957">
        <w:rPr>
          <w:rFonts w:ascii="Gotham" w:hAnsi="Gotham" w:cs="Arial"/>
          <w:color w:val="FF0000"/>
          <w:sz w:val="19"/>
          <w:szCs w:val="19"/>
        </w:rPr>
        <w:t xml:space="preserve">a) </w:t>
      </w:r>
      <w:r>
        <w:rPr>
          <w:rFonts w:ascii="Gotham" w:hAnsi="Gotham" w:cs="Arial"/>
          <w:color w:val="FF0000"/>
          <w:sz w:val="19"/>
          <w:szCs w:val="19"/>
        </w:rPr>
        <w:tab/>
      </w:r>
      <w:r w:rsidRPr="00242957">
        <w:rPr>
          <w:rFonts w:ascii="Gotham" w:hAnsi="Gotham" w:cs="Arial"/>
          <w:color w:val="FF0000"/>
          <w:sz w:val="19"/>
          <w:szCs w:val="19"/>
        </w:rPr>
        <w:t xml:space="preserve">El nombre o denominación del sujeto obligado; </w:t>
      </w:r>
    </w:p>
    <w:p w14:paraId="3A4748A9" w14:textId="77777777" w:rsidR="009B5E39" w:rsidRPr="00242957" w:rsidRDefault="009B5E39" w:rsidP="009B5E39">
      <w:pPr>
        <w:spacing w:after="120"/>
        <w:ind w:left="1560" w:right="283" w:hanging="426"/>
        <w:jc w:val="both"/>
        <w:outlineLvl w:val="0"/>
        <w:rPr>
          <w:rFonts w:ascii="Gotham" w:hAnsi="Gotham" w:cs="Arial"/>
          <w:color w:val="FF0000"/>
          <w:sz w:val="19"/>
          <w:szCs w:val="19"/>
        </w:rPr>
      </w:pPr>
      <w:r w:rsidRPr="00242957">
        <w:rPr>
          <w:rFonts w:ascii="Gotham" w:hAnsi="Gotham" w:cs="Arial"/>
          <w:color w:val="FF0000"/>
          <w:sz w:val="19"/>
          <w:szCs w:val="19"/>
        </w:rPr>
        <w:t xml:space="preserve">b) </w:t>
      </w:r>
      <w:r>
        <w:rPr>
          <w:rFonts w:ascii="Gotham" w:hAnsi="Gotham" w:cs="Arial"/>
          <w:color w:val="FF0000"/>
          <w:sz w:val="19"/>
          <w:szCs w:val="19"/>
        </w:rPr>
        <w:tab/>
      </w:r>
      <w:r w:rsidRPr="00242957">
        <w:rPr>
          <w:rFonts w:ascii="Gotham" w:hAnsi="Gotham" w:cs="Arial"/>
          <w:color w:val="FF0000"/>
          <w:sz w:val="19"/>
          <w:szCs w:val="19"/>
        </w:rPr>
        <w:t xml:space="preserve">El área generadora de la información; </w:t>
      </w:r>
    </w:p>
    <w:p w14:paraId="3A4748AA" w14:textId="77777777" w:rsidR="009B5E39" w:rsidRPr="00242957" w:rsidRDefault="009B5E39" w:rsidP="009B5E39">
      <w:pPr>
        <w:spacing w:after="120"/>
        <w:ind w:left="1560" w:right="283" w:hanging="426"/>
        <w:jc w:val="both"/>
        <w:outlineLvl w:val="0"/>
        <w:rPr>
          <w:rFonts w:ascii="Gotham" w:hAnsi="Gotham" w:cs="Arial"/>
          <w:color w:val="FF0000"/>
          <w:sz w:val="19"/>
          <w:szCs w:val="19"/>
        </w:rPr>
      </w:pPr>
      <w:r w:rsidRPr="00242957">
        <w:rPr>
          <w:rFonts w:ascii="Gotham" w:hAnsi="Gotham" w:cs="Arial"/>
          <w:color w:val="FF0000"/>
          <w:sz w:val="19"/>
          <w:szCs w:val="19"/>
        </w:rPr>
        <w:t xml:space="preserve">c) </w:t>
      </w:r>
      <w:r>
        <w:rPr>
          <w:rFonts w:ascii="Gotham" w:hAnsi="Gotham" w:cs="Arial"/>
          <w:color w:val="FF0000"/>
          <w:sz w:val="19"/>
          <w:szCs w:val="19"/>
        </w:rPr>
        <w:tab/>
      </w:r>
      <w:r w:rsidRPr="00242957">
        <w:rPr>
          <w:rFonts w:ascii="Gotham" w:hAnsi="Gotham" w:cs="Arial"/>
          <w:color w:val="FF0000"/>
          <w:sz w:val="19"/>
          <w:szCs w:val="19"/>
        </w:rPr>
        <w:t xml:space="preserve">La fecha de aprobación del acta; </w:t>
      </w:r>
    </w:p>
    <w:p w14:paraId="3A4748AB" w14:textId="77777777" w:rsidR="009B5E39" w:rsidRPr="00242957" w:rsidRDefault="009B5E39" w:rsidP="009B5E39">
      <w:pPr>
        <w:spacing w:after="120"/>
        <w:ind w:left="1560" w:right="283" w:hanging="426"/>
        <w:jc w:val="both"/>
        <w:outlineLvl w:val="0"/>
        <w:rPr>
          <w:rFonts w:ascii="Gotham" w:hAnsi="Gotham" w:cs="Arial"/>
          <w:color w:val="FF0000"/>
          <w:sz w:val="19"/>
          <w:szCs w:val="19"/>
        </w:rPr>
      </w:pPr>
      <w:r w:rsidRPr="00242957">
        <w:rPr>
          <w:rFonts w:ascii="Gotham" w:hAnsi="Gotham" w:cs="Arial"/>
          <w:color w:val="FF0000"/>
          <w:sz w:val="19"/>
          <w:szCs w:val="19"/>
        </w:rPr>
        <w:t xml:space="preserve">d) </w:t>
      </w:r>
      <w:r>
        <w:rPr>
          <w:rFonts w:ascii="Gotham" w:hAnsi="Gotham" w:cs="Arial"/>
          <w:color w:val="FF0000"/>
          <w:sz w:val="19"/>
          <w:szCs w:val="19"/>
        </w:rPr>
        <w:tab/>
      </w:r>
      <w:r w:rsidRPr="00242957">
        <w:rPr>
          <w:rFonts w:ascii="Gotham" w:hAnsi="Gotham" w:cs="Arial"/>
          <w:color w:val="FF0000"/>
          <w:sz w:val="19"/>
          <w:szCs w:val="19"/>
        </w:rPr>
        <w:t xml:space="preserve">Los criterios de clasificación de información pública aplicables; </w:t>
      </w:r>
    </w:p>
    <w:p w14:paraId="3A4748AC" w14:textId="77777777" w:rsidR="009B5E39" w:rsidRPr="00242957" w:rsidRDefault="009B5E39" w:rsidP="009B5E39">
      <w:pPr>
        <w:spacing w:after="120"/>
        <w:ind w:left="1560" w:right="283" w:hanging="426"/>
        <w:jc w:val="both"/>
        <w:outlineLvl w:val="0"/>
        <w:rPr>
          <w:rFonts w:ascii="Gotham" w:hAnsi="Gotham" w:cs="Arial"/>
          <w:color w:val="FF0000"/>
          <w:sz w:val="19"/>
          <w:szCs w:val="19"/>
        </w:rPr>
      </w:pPr>
      <w:r w:rsidRPr="00242957">
        <w:rPr>
          <w:rFonts w:ascii="Gotham" w:hAnsi="Gotham" w:cs="Arial"/>
          <w:color w:val="FF0000"/>
          <w:sz w:val="19"/>
          <w:szCs w:val="19"/>
        </w:rPr>
        <w:lastRenderedPageBreak/>
        <w:t xml:space="preserve">e) </w:t>
      </w:r>
      <w:r>
        <w:rPr>
          <w:rFonts w:ascii="Gotham" w:hAnsi="Gotham" w:cs="Arial"/>
          <w:color w:val="FF0000"/>
          <w:sz w:val="19"/>
          <w:szCs w:val="19"/>
        </w:rPr>
        <w:tab/>
      </w:r>
      <w:r w:rsidRPr="00242957">
        <w:rPr>
          <w:rFonts w:ascii="Gotham" w:hAnsi="Gotham" w:cs="Arial"/>
          <w:color w:val="FF0000"/>
          <w:sz w:val="19"/>
          <w:szCs w:val="19"/>
        </w:rPr>
        <w:t xml:space="preserve">Fundamentación y motivación, observando lo señalado por los artículos 17 y 18 de la Ley, en su caso; </w:t>
      </w:r>
    </w:p>
    <w:p w14:paraId="3A4748AD" w14:textId="77777777" w:rsidR="009B5E39" w:rsidRPr="00242957" w:rsidRDefault="009B5E39" w:rsidP="009B5E39">
      <w:pPr>
        <w:spacing w:after="120"/>
        <w:ind w:left="1560" w:right="283" w:hanging="426"/>
        <w:jc w:val="both"/>
        <w:outlineLvl w:val="0"/>
        <w:rPr>
          <w:rFonts w:ascii="Gotham" w:hAnsi="Gotham" w:cs="Arial"/>
          <w:color w:val="FF0000"/>
          <w:sz w:val="19"/>
          <w:szCs w:val="19"/>
        </w:rPr>
      </w:pPr>
      <w:r w:rsidRPr="00242957">
        <w:rPr>
          <w:rFonts w:ascii="Gotham" w:hAnsi="Gotham" w:cs="Arial"/>
          <w:color w:val="FF0000"/>
          <w:sz w:val="19"/>
          <w:szCs w:val="19"/>
        </w:rPr>
        <w:t xml:space="preserve">f) </w:t>
      </w:r>
      <w:r>
        <w:rPr>
          <w:rFonts w:ascii="Gotham" w:hAnsi="Gotham" w:cs="Arial"/>
          <w:color w:val="FF0000"/>
          <w:sz w:val="19"/>
          <w:szCs w:val="19"/>
        </w:rPr>
        <w:tab/>
      </w:r>
      <w:r w:rsidRPr="00242957">
        <w:rPr>
          <w:rFonts w:ascii="Gotham" w:hAnsi="Gotham" w:cs="Arial"/>
          <w:color w:val="FF0000"/>
          <w:sz w:val="19"/>
          <w:szCs w:val="19"/>
        </w:rPr>
        <w:t>El carácter de reservada o confidencial, indicando, en su caso, las partes o páginas del documento en el que consten;</w:t>
      </w:r>
    </w:p>
    <w:p w14:paraId="3A4748AE" w14:textId="77777777" w:rsidR="009B5E39" w:rsidRPr="00242957" w:rsidRDefault="009B5E39" w:rsidP="009B5E39">
      <w:pPr>
        <w:spacing w:after="120"/>
        <w:ind w:left="1560" w:right="283" w:hanging="426"/>
        <w:jc w:val="both"/>
        <w:outlineLvl w:val="0"/>
        <w:rPr>
          <w:rFonts w:ascii="Gotham" w:hAnsi="Gotham" w:cs="Arial"/>
          <w:color w:val="FF0000"/>
          <w:sz w:val="19"/>
          <w:szCs w:val="19"/>
        </w:rPr>
      </w:pPr>
      <w:r w:rsidRPr="00242957">
        <w:rPr>
          <w:rFonts w:ascii="Gotham" w:hAnsi="Gotham" w:cs="Arial"/>
          <w:color w:val="FF0000"/>
          <w:sz w:val="19"/>
          <w:szCs w:val="19"/>
        </w:rPr>
        <w:t xml:space="preserve">g) </w:t>
      </w:r>
      <w:r>
        <w:rPr>
          <w:rFonts w:ascii="Gotham" w:hAnsi="Gotham" w:cs="Arial"/>
          <w:color w:val="FF0000"/>
          <w:sz w:val="19"/>
          <w:szCs w:val="19"/>
        </w:rPr>
        <w:tab/>
      </w:r>
      <w:r w:rsidRPr="00242957">
        <w:rPr>
          <w:rFonts w:ascii="Gotham" w:hAnsi="Gotham" w:cs="Arial"/>
          <w:color w:val="FF0000"/>
          <w:sz w:val="19"/>
          <w:szCs w:val="19"/>
        </w:rPr>
        <w:t xml:space="preserve">La precisión del plazo de reserva, así como su fecha de inicio; y </w:t>
      </w:r>
    </w:p>
    <w:p w14:paraId="3A4748AF" w14:textId="77777777" w:rsidR="009B5E39" w:rsidRPr="00242957" w:rsidRDefault="009B5E39" w:rsidP="009B5E39">
      <w:pPr>
        <w:spacing w:after="120"/>
        <w:ind w:left="1560" w:right="283" w:hanging="426"/>
        <w:jc w:val="both"/>
        <w:outlineLvl w:val="0"/>
        <w:rPr>
          <w:rFonts w:ascii="Gotham" w:hAnsi="Gotham" w:cs="Arial"/>
          <w:color w:val="FF0000"/>
          <w:sz w:val="19"/>
          <w:szCs w:val="19"/>
        </w:rPr>
      </w:pPr>
      <w:r w:rsidRPr="00242957">
        <w:rPr>
          <w:rFonts w:ascii="Gotham" w:hAnsi="Gotham" w:cs="Arial"/>
          <w:color w:val="FF0000"/>
          <w:sz w:val="19"/>
          <w:szCs w:val="19"/>
        </w:rPr>
        <w:t xml:space="preserve">h) </w:t>
      </w:r>
      <w:r>
        <w:rPr>
          <w:rFonts w:ascii="Gotham" w:hAnsi="Gotham" w:cs="Arial"/>
          <w:color w:val="FF0000"/>
          <w:sz w:val="19"/>
          <w:szCs w:val="19"/>
        </w:rPr>
        <w:tab/>
      </w:r>
      <w:r w:rsidRPr="00242957">
        <w:rPr>
          <w:rFonts w:ascii="Gotham" w:hAnsi="Gotham" w:cs="Arial"/>
          <w:color w:val="FF0000"/>
          <w:sz w:val="19"/>
          <w:szCs w:val="19"/>
        </w:rPr>
        <w:t>Nombre, cargo y firma de los miembros del Comité.</w:t>
      </w:r>
    </w:p>
    <w:p w14:paraId="3A4748B0" w14:textId="77777777" w:rsidR="009B5E39" w:rsidRPr="00242957" w:rsidRDefault="009B5E39" w:rsidP="009B5E39">
      <w:pPr>
        <w:pStyle w:val="Body1"/>
        <w:spacing w:after="0" w:line="240" w:lineRule="auto"/>
        <w:ind w:left="1134" w:right="283" w:hanging="850"/>
        <w:jc w:val="both"/>
        <w:rPr>
          <w:rFonts w:ascii="Gotham" w:hAnsi="Gotham" w:cs="Arial"/>
          <w:color w:val="FF0000"/>
          <w:sz w:val="19"/>
          <w:szCs w:val="19"/>
        </w:rPr>
      </w:pPr>
      <w:r w:rsidRPr="00242957">
        <w:rPr>
          <w:rFonts w:ascii="Gotham" w:hAnsi="Gotham" w:cs="Arial"/>
          <w:bCs/>
          <w:color w:val="FF0000"/>
          <w:sz w:val="19"/>
          <w:szCs w:val="19"/>
        </w:rPr>
        <w:t xml:space="preserve">III. </w:t>
      </w:r>
      <w:r>
        <w:rPr>
          <w:rFonts w:ascii="Gotham" w:hAnsi="Gotham" w:cs="Arial"/>
          <w:bCs/>
          <w:color w:val="FF0000"/>
          <w:sz w:val="19"/>
          <w:szCs w:val="19"/>
        </w:rPr>
        <w:tab/>
      </w:r>
      <w:r w:rsidRPr="00242957">
        <w:rPr>
          <w:rFonts w:ascii="Gotham" w:hAnsi="Gotham" w:cs="Arial"/>
          <w:color w:val="FF0000"/>
          <w:sz w:val="19"/>
          <w:szCs w:val="19"/>
        </w:rPr>
        <w:t>La información que ya se encuentre clasificada y que no guarde los parámetros señalados en la Ley o el presente Reglamento deberá someterse al procedimiento de modificación de clasificación de información.</w:t>
      </w:r>
    </w:p>
    <w:p w14:paraId="3A4748B1" w14:textId="77777777" w:rsidR="009B5E39" w:rsidRPr="00242957" w:rsidRDefault="009B5E39" w:rsidP="009B5E39">
      <w:pPr>
        <w:ind w:left="284" w:right="283"/>
        <w:rPr>
          <w:rFonts w:ascii="Gotham" w:hAnsi="Gotham" w:cs="Arial"/>
          <w:b/>
          <w:bCs/>
          <w:color w:val="000000" w:themeColor="text1"/>
          <w:sz w:val="19"/>
          <w:szCs w:val="19"/>
        </w:rPr>
      </w:pPr>
    </w:p>
    <w:p w14:paraId="3A4748B2" w14:textId="77777777" w:rsidR="009B5E39" w:rsidRPr="00242957" w:rsidRDefault="009B5E39" w:rsidP="009B5E39">
      <w:pPr>
        <w:ind w:left="284" w:right="283"/>
        <w:rPr>
          <w:rFonts w:ascii="Gotham" w:hAnsi="Gotham" w:cs="Arial"/>
          <w:b/>
          <w:bCs/>
          <w:color w:val="FF0000"/>
          <w:sz w:val="19"/>
          <w:szCs w:val="19"/>
        </w:rPr>
      </w:pPr>
      <w:r w:rsidRPr="00242957">
        <w:rPr>
          <w:rFonts w:ascii="Gotham" w:hAnsi="Gotham" w:cs="Arial"/>
          <w:b/>
          <w:bCs/>
          <w:color w:val="000000" w:themeColor="text1"/>
          <w:sz w:val="19"/>
          <w:szCs w:val="19"/>
        </w:rPr>
        <w:t xml:space="preserve">Artículo 23. </w:t>
      </w:r>
      <w:r w:rsidRPr="00242957">
        <w:rPr>
          <w:rFonts w:ascii="Gotham" w:hAnsi="Gotham" w:cs="Arial"/>
          <w:color w:val="FF0000"/>
          <w:sz w:val="19"/>
          <w:szCs w:val="19"/>
        </w:rPr>
        <w:t>El procedimiento de modificación de clasificación puede ser:</w:t>
      </w:r>
    </w:p>
    <w:p w14:paraId="3A4748B3" w14:textId="77777777" w:rsidR="009B5E39" w:rsidRDefault="009B5E39" w:rsidP="009B5E39">
      <w:pPr>
        <w:ind w:left="284" w:right="283"/>
        <w:rPr>
          <w:rFonts w:ascii="Gotham" w:hAnsi="Gotham" w:cs="Arial"/>
          <w:bCs/>
          <w:color w:val="FF0000"/>
          <w:sz w:val="19"/>
          <w:szCs w:val="19"/>
        </w:rPr>
      </w:pPr>
    </w:p>
    <w:p w14:paraId="3A4748B4" w14:textId="77777777" w:rsidR="009B5E39" w:rsidRPr="00242957" w:rsidRDefault="009B5E39" w:rsidP="009B5E39">
      <w:pPr>
        <w:spacing w:after="120"/>
        <w:ind w:left="1134" w:right="283" w:hanging="850"/>
        <w:rPr>
          <w:rFonts w:ascii="Gotham" w:hAnsi="Gotham" w:cs="Arial"/>
          <w:b/>
          <w:bCs/>
          <w:color w:val="FF0000"/>
          <w:sz w:val="19"/>
          <w:szCs w:val="19"/>
        </w:rPr>
      </w:pPr>
      <w:r w:rsidRPr="00242957">
        <w:rPr>
          <w:rFonts w:ascii="Gotham" w:hAnsi="Gotham" w:cs="Arial"/>
          <w:bCs/>
          <w:color w:val="FF0000"/>
          <w:sz w:val="19"/>
          <w:szCs w:val="19"/>
        </w:rPr>
        <w:t xml:space="preserve">I. </w:t>
      </w:r>
      <w:r>
        <w:rPr>
          <w:rFonts w:ascii="Gotham" w:hAnsi="Gotham" w:cs="Arial"/>
          <w:bCs/>
          <w:color w:val="FF0000"/>
          <w:sz w:val="19"/>
          <w:szCs w:val="19"/>
        </w:rPr>
        <w:tab/>
      </w:r>
      <w:r w:rsidRPr="00242957">
        <w:rPr>
          <w:rFonts w:ascii="Gotham" w:hAnsi="Gotham" w:cs="Arial"/>
          <w:color w:val="FF0000"/>
          <w:sz w:val="19"/>
          <w:szCs w:val="19"/>
        </w:rPr>
        <w:t xml:space="preserve">De oficio por el propio sujeto obligado, por considerar que las condiciones que generaron su clasificación han variado; o </w:t>
      </w:r>
    </w:p>
    <w:p w14:paraId="3A4748B5" w14:textId="77777777" w:rsidR="009B5E39" w:rsidRPr="00242957" w:rsidRDefault="009B5E39" w:rsidP="009B5E39">
      <w:pPr>
        <w:spacing w:after="120"/>
        <w:ind w:left="1134" w:right="283" w:hanging="850"/>
        <w:jc w:val="both"/>
        <w:rPr>
          <w:rFonts w:ascii="Gotham" w:hAnsi="Gotham" w:cs="Arial"/>
          <w:color w:val="FF0000"/>
          <w:sz w:val="19"/>
          <w:szCs w:val="19"/>
        </w:rPr>
      </w:pPr>
      <w:r w:rsidRPr="00242957">
        <w:rPr>
          <w:rFonts w:ascii="Gotham" w:hAnsi="Gotham" w:cs="Arial"/>
          <w:bCs/>
          <w:color w:val="FF0000"/>
          <w:sz w:val="19"/>
          <w:szCs w:val="19"/>
        </w:rPr>
        <w:t xml:space="preserve">II. </w:t>
      </w:r>
      <w:r>
        <w:rPr>
          <w:rFonts w:ascii="Gotham" w:hAnsi="Gotham" w:cs="Arial"/>
          <w:bCs/>
          <w:color w:val="FF0000"/>
          <w:sz w:val="19"/>
          <w:szCs w:val="19"/>
        </w:rPr>
        <w:tab/>
      </w:r>
      <w:r w:rsidRPr="00242957">
        <w:rPr>
          <w:rFonts w:ascii="Gotham" w:hAnsi="Gotham" w:cs="Arial"/>
          <w:color w:val="FF0000"/>
          <w:sz w:val="19"/>
          <w:szCs w:val="19"/>
        </w:rPr>
        <w:t xml:space="preserve">Por resolución del Instituto, con motivo de: </w:t>
      </w:r>
    </w:p>
    <w:p w14:paraId="3A4748B6" w14:textId="77777777" w:rsidR="009B5E39" w:rsidRPr="00242957" w:rsidRDefault="009B5E39" w:rsidP="009B5E39">
      <w:pPr>
        <w:spacing w:after="80"/>
        <w:ind w:left="1134" w:right="283"/>
        <w:jc w:val="both"/>
        <w:rPr>
          <w:rFonts w:ascii="Gotham" w:hAnsi="Gotham" w:cs="Arial"/>
          <w:color w:val="FF0000"/>
          <w:sz w:val="19"/>
          <w:szCs w:val="19"/>
        </w:rPr>
      </w:pPr>
      <w:r w:rsidRPr="00242957">
        <w:rPr>
          <w:rFonts w:ascii="Gotham" w:hAnsi="Gotham" w:cs="Arial"/>
          <w:bCs/>
          <w:color w:val="FF0000"/>
          <w:sz w:val="19"/>
          <w:szCs w:val="19"/>
        </w:rPr>
        <w:t>a)</w:t>
      </w:r>
      <w:r w:rsidRPr="00242957">
        <w:rPr>
          <w:rFonts w:ascii="Gotham" w:hAnsi="Gotham" w:cs="Arial"/>
          <w:color w:val="FF0000"/>
          <w:sz w:val="19"/>
          <w:szCs w:val="19"/>
        </w:rPr>
        <w:t xml:space="preserve"> Una revisión de clasificación;</w:t>
      </w:r>
    </w:p>
    <w:p w14:paraId="3A4748B7" w14:textId="77777777" w:rsidR="009B5E39" w:rsidRPr="00242957" w:rsidRDefault="009B5E39" w:rsidP="009B5E39">
      <w:pPr>
        <w:spacing w:after="80"/>
        <w:ind w:left="1134" w:right="283"/>
        <w:jc w:val="both"/>
        <w:rPr>
          <w:rFonts w:ascii="Gotham" w:hAnsi="Gotham" w:cs="Arial"/>
          <w:color w:val="FF0000"/>
          <w:sz w:val="19"/>
          <w:szCs w:val="19"/>
        </w:rPr>
      </w:pPr>
      <w:r w:rsidRPr="00242957">
        <w:rPr>
          <w:rFonts w:ascii="Gotham" w:hAnsi="Gotham" w:cs="Arial"/>
          <w:bCs/>
          <w:color w:val="FF0000"/>
          <w:sz w:val="19"/>
          <w:szCs w:val="19"/>
        </w:rPr>
        <w:t>b)</w:t>
      </w:r>
      <w:r w:rsidRPr="00242957">
        <w:rPr>
          <w:rFonts w:ascii="Gotham" w:hAnsi="Gotham" w:cs="Arial"/>
          <w:color w:val="FF0000"/>
          <w:sz w:val="19"/>
          <w:szCs w:val="19"/>
        </w:rPr>
        <w:t xml:space="preserve"> Un recurso de revisión; o</w:t>
      </w:r>
    </w:p>
    <w:p w14:paraId="3A4748B8" w14:textId="77777777" w:rsidR="009B5E39" w:rsidRPr="00242957" w:rsidRDefault="009B5E39" w:rsidP="009B5E39">
      <w:pPr>
        <w:ind w:left="1134" w:right="283"/>
        <w:jc w:val="both"/>
        <w:rPr>
          <w:rFonts w:ascii="Gotham" w:hAnsi="Gotham" w:cs="Arial"/>
          <w:color w:val="FF0000"/>
          <w:sz w:val="19"/>
          <w:szCs w:val="19"/>
        </w:rPr>
      </w:pPr>
      <w:r w:rsidRPr="00242957">
        <w:rPr>
          <w:rFonts w:ascii="Gotham" w:hAnsi="Gotham" w:cs="Arial"/>
          <w:bCs/>
          <w:color w:val="FF0000"/>
          <w:sz w:val="19"/>
          <w:szCs w:val="19"/>
        </w:rPr>
        <w:t>c)</w:t>
      </w:r>
      <w:r w:rsidRPr="00242957">
        <w:rPr>
          <w:rFonts w:ascii="Gotham" w:hAnsi="Gotham" w:cs="Arial"/>
          <w:color w:val="FF0000"/>
          <w:sz w:val="19"/>
          <w:szCs w:val="19"/>
        </w:rPr>
        <w:t xml:space="preserve"> Un recurso de transparencia</w:t>
      </w:r>
    </w:p>
    <w:p w14:paraId="3A4748B9" w14:textId="77777777" w:rsidR="009B5E39" w:rsidRDefault="009B5E39" w:rsidP="009B5E39">
      <w:pPr>
        <w:ind w:left="284" w:right="283"/>
        <w:jc w:val="both"/>
        <w:rPr>
          <w:rFonts w:ascii="Gotham" w:hAnsi="Gotham" w:cs="Arial"/>
          <w:b/>
          <w:bCs/>
          <w:color w:val="000000" w:themeColor="text1"/>
          <w:sz w:val="19"/>
          <w:szCs w:val="19"/>
        </w:rPr>
      </w:pPr>
    </w:p>
    <w:p w14:paraId="3A4748BA" w14:textId="77777777" w:rsidR="009B5E39" w:rsidRPr="00242957" w:rsidRDefault="009B5E39" w:rsidP="009B5E39">
      <w:pPr>
        <w:ind w:left="284" w:right="283"/>
        <w:jc w:val="both"/>
        <w:rPr>
          <w:rFonts w:ascii="Gotham" w:hAnsi="Gotham" w:cs="Arial"/>
          <w:color w:val="FF0000"/>
          <w:sz w:val="19"/>
          <w:szCs w:val="19"/>
        </w:rPr>
      </w:pPr>
      <w:r w:rsidRPr="00242957">
        <w:rPr>
          <w:rFonts w:ascii="Gotham" w:hAnsi="Gotham" w:cs="Arial"/>
          <w:b/>
          <w:bCs/>
          <w:color w:val="000000" w:themeColor="text1"/>
          <w:sz w:val="19"/>
          <w:szCs w:val="19"/>
        </w:rPr>
        <w:t>Artículo 24</w:t>
      </w:r>
      <w:r w:rsidRPr="00242957">
        <w:rPr>
          <w:rFonts w:ascii="Gotham" w:hAnsi="Gotham" w:cs="Arial"/>
          <w:bCs/>
          <w:color w:val="000000" w:themeColor="text1"/>
          <w:sz w:val="19"/>
          <w:szCs w:val="19"/>
        </w:rPr>
        <w:t>.</w:t>
      </w:r>
      <w:r w:rsidRPr="00242957">
        <w:rPr>
          <w:rFonts w:ascii="Gotham" w:hAnsi="Gotham" w:cs="Arial"/>
          <w:color w:val="000000" w:themeColor="text1"/>
          <w:sz w:val="19"/>
          <w:szCs w:val="19"/>
        </w:rPr>
        <w:t xml:space="preserve"> </w:t>
      </w:r>
      <w:r w:rsidRPr="00242957">
        <w:rPr>
          <w:rFonts w:ascii="Gotham" w:hAnsi="Gotham" w:cs="Arial"/>
          <w:color w:val="FF0000"/>
          <w:sz w:val="19"/>
          <w:szCs w:val="19"/>
        </w:rPr>
        <w:t xml:space="preserve">El procedimiento de modificación de clasificación de información de oficio se llevará a cabo de conformidad con lo establecido por la Ley, los criterios generales y el Reglamento Interno de Información Pública de cada sujeto obligado. </w:t>
      </w:r>
    </w:p>
    <w:p w14:paraId="3A4748BB" w14:textId="77777777" w:rsidR="009B5E39" w:rsidRDefault="009B5E39" w:rsidP="009B5E39">
      <w:pPr>
        <w:ind w:left="284" w:right="283"/>
        <w:jc w:val="both"/>
        <w:rPr>
          <w:rFonts w:ascii="Gotham" w:hAnsi="Gotham" w:cs="Arial"/>
          <w:b/>
          <w:bCs/>
          <w:color w:val="000000" w:themeColor="text1"/>
          <w:sz w:val="19"/>
          <w:szCs w:val="19"/>
        </w:rPr>
      </w:pPr>
    </w:p>
    <w:p w14:paraId="3A4748BC" w14:textId="77777777" w:rsidR="009B5E39" w:rsidRPr="00242957" w:rsidRDefault="009B5E39" w:rsidP="009B5E39">
      <w:pPr>
        <w:ind w:left="284" w:right="283"/>
        <w:jc w:val="both"/>
        <w:rPr>
          <w:rFonts w:ascii="Gotham" w:hAnsi="Gotham" w:cs="Arial"/>
          <w:color w:val="FF0000"/>
          <w:sz w:val="19"/>
          <w:szCs w:val="19"/>
        </w:rPr>
      </w:pPr>
      <w:r w:rsidRPr="00242957">
        <w:rPr>
          <w:rFonts w:ascii="Gotham" w:hAnsi="Gotham" w:cs="Arial"/>
          <w:b/>
          <w:bCs/>
          <w:color w:val="000000" w:themeColor="text1"/>
          <w:sz w:val="19"/>
          <w:szCs w:val="19"/>
        </w:rPr>
        <w:t>Artículo 25</w:t>
      </w:r>
      <w:r w:rsidRPr="00242957">
        <w:rPr>
          <w:rFonts w:ascii="Gotham" w:hAnsi="Gotham" w:cs="Arial"/>
          <w:bCs/>
          <w:color w:val="000000" w:themeColor="text1"/>
          <w:sz w:val="19"/>
          <w:szCs w:val="19"/>
        </w:rPr>
        <w:t>.</w:t>
      </w:r>
      <w:r w:rsidRPr="00242957">
        <w:rPr>
          <w:rFonts w:ascii="Gotham" w:hAnsi="Gotham" w:cs="Arial"/>
          <w:color w:val="000000" w:themeColor="text1"/>
          <w:sz w:val="19"/>
          <w:szCs w:val="19"/>
        </w:rPr>
        <w:t xml:space="preserve"> </w:t>
      </w:r>
      <w:r w:rsidRPr="00242957">
        <w:rPr>
          <w:rFonts w:ascii="Gotham" w:hAnsi="Gotham" w:cs="Arial"/>
          <w:color w:val="FF0000"/>
          <w:sz w:val="19"/>
          <w:szCs w:val="19"/>
        </w:rPr>
        <w:t xml:space="preserve">El procedimiento de modificación de clasificación de información como consecuencia de la revisión de clasificación del Instituto, se deberá llevar a cabo de conformidad con lo establecido por el artículo 64 de la Ley y por el Reglamento de la Ley en materia de visitas e inspecciones. </w:t>
      </w:r>
    </w:p>
    <w:p w14:paraId="3A4748BD" w14:textId="77777777" w:rsidR="009B5E39" w:rsidRDefault="009B5E39" w:rsidP="009B5E39">
      <w:pPr>
        <w:ind w:left="284" w:right="283"/>
        <w:jc w:val="both"/>
        <w:rPr>
          <w:rFonts w:ascii="Gotham" w:hAnsi="Gotham" w:cs="Arial"/>
          <w:b/>
          <w:bCs/>
          <w:color w:val="000000" w:themeColor="text1"/>
          <w:sz w:val="19"/>
          <w:szCs w:val="19"/>
        </w:rPr>
      </w:pPr>
    </w:p>
    <w:p w14:paraId="3A4748BE" w14:textId="77777777" w:rsidR="009B5E39" w:rsidRPr="00242957" w:rsidRDefault="009B5E39" w:rsidP="009B5E39">
      <w:pPr>
        <w:ind w:left="284" w:right="283"/>
        <w:jc w:val="both"/>
        <w:rPr>
          <w:rFonts w:ascii="Gotham" w:hAnsi="Gotham" w:cs="Arial"/>
          <w:color w:val="FF0000"/>
          <w:sz w:val="19"/>
          <w:szCs w:val="19"/>
        </w:rPr>
      </w:pPr>
      <w:r w:rsidRPr="00242957">
        <w:rPr>
          <w:rFonts w:ascii="Gotham" w:hAnsi="Gotham" w:cs="Arial"/>
          <w:b/>
          <w:bCs/>
          <w:color w:val="000000" w:themeColor="text1"/>
          <w:sz w:val="19"/>
          <w:szCs w:val="19"/>
        </w:rPr>
        <w:t>Artículo 26</w:t>
      </w:r>
      <w:r w:rsidRPr="00242957">
        <w:rPr>
          <w:rFonts w:ascii="Gotham" w:hAnsi="Gotham" w:cs="Arial"/>
          <w:bCs/>
          <w:color w:val="000000" w:themeColor="text1"/>
          <w:sz w:val="19"/>
          <w:szCs w:val="19"/>
        </w:rPr>
        <w:t>.</w:t>
      </w:r>
      <w:r w:rsidRPr="00242957">
        <w:rPr>
          <w:rFonts w:ascii="Gotham" w:hAnsi="Gotham" w:cs="Arial"/>
          <w:color w:val="000000" w:themeColor="text1"/>
          <w:sz w:val="19"/>
          <w:szCs w:val="19"/>
        </w:rPr>
        <w:t xml:space="preserve"> </w:t>
      </w:r>
      <w:r w:rsidRPr="00242957">
        <w:rPr>
          <w:rFonts w:ascii="Gotham" w:hAnsi="Gotham" w:cs="Arial"/>
          <w:color w:val="FF0000"/>
          <w:sz w:val="19"/>
          <w:szCs w:val="19"/>
        </w:rPr>
        <w:t xml:space="preserve">El Instituto, a través de su Consejo, podrá establecer en sus resoluciones de recursos de revisión la modificación de la clasificación de información. </w:t>
      </w:r>
    </w:p>
    <w:p w14:paraId="3A4748BF" w14:textId="77777777" w:rsidR="009B5E39" w:rsidRDefault="009B5E39" w:rsidP="009B5E39">
      <w:pPr>
        <w:pStyle w:val="Body1"/>
        <w:spacing w:after="0" w:line="240" w:lineRule="auto"/>
        <w:ind w:left="284" w:right="283"/>
        <w:jc w:val="both"/>
        <w:rPr>
          <w:rFonts w:ascii="Gotham" w:hAnsi="Gotham" w:cs="Arial"/>
          <w:color w:val="FF0000"/>
          <w:sz w:val="19"/>
          <w:szCs w:val="19"/>
        </w:rPr>
      </w:pPr>
    </w:p>
    <w:p w14:paraId="3A4748C0" w14:textId="77777777" w:rsidR="009B5E39" w:rsidRPr="00242957" w:rsidRDefault="009B5E39" w:rsidP="009B5E39">
      <w:pPr>
        <w:pStyle w:val="Body1"/>
        <w:spacing w:after="0" w:line="240" w:lineRule="auto"/>
        <w:ind w:left="284" w:right="283"/>
        <w:jc w:val="both"/>
        <w:rPr>
          <w:rFonts w:ascii="Gotham" w:hAnsi="Gotham" w:cs="Arial"/>
          <w:color w:val="FF0000"/>
          <w:sz w:val="19"/>
          <w:szCs w:val="19"/>
        </w:rPr>
      </w:pPr>
      <w:r w:rsidRPr="00242957">
        <w:rPr>
          <w:rFonts w:ascii="Gotham" w:hAnsi="Gotham" w:cs="Arial"/>
          <w:color w:val="FF0000"/>
          <w:sz w:val="19"/>
          <w:szCs w:val="19"/>
        </w:rPr>
        <w:t>En este caso, el Consejo deberá señalar en su resolución el fundamento y las motivaciones por las cuales modifica la clasificación de información, en las cuales deberá incluir la justificación de las hipótesis.</w:t>
      </w:r>
    </w:p>
    <w:p w14:paraId="3A4748C1" w14:textId="77777777" w:rsidR="009B5E39" w:rsidRDefault="009B5E39" w:rsidP="009B5E39">
      <w:pPr>
        <w:ind w:left="284" w:right="283"/>
        <w:jc w:val="both"/>
        <w:rPr>
          <w:rFonts w:ascii="Gotham" w:hAnsi="Gotham" w:cs="Arial"/>
          <w:sz w:val="19"/>
          <w:szCs w:val="19"/>
        </w:rPr>
      </w:pPr>
    </w:p>
    <w:p w14:paraId="3A4748C2" w14:textId="77777777" w:rsidR="009B5E39" w:rsidRPr="00242957" w:rsidRDefault="009B5E39" w:rsidP="009B5E39">
      <w:pPr>
        <w:ind w:left="284" w:right="283"/>
        <w:jc w:val="both"/>
        <w:rPr>
          <w:rFonts w:ascii="Gotham" w:hAnsi="Gotham" w:cs="Arial"/>
          <w:sz w:val="19"/>
          <w:szCs w:val="19"/>
        </w:rPr>
      </w:pPr>
    </w:p>
    <w:p w14:paraId="3A4748C3" w14:textId="77777777" w:rsidR="009B5E39" w:rsidRPr="00A12ED2" w:rsidRDefault="009B5E39" w:rsidP="009B5E39">
      <w:pPr>
        <w:ind w:left="284" w:right="283"/>
        <w:jc w:val="center"/>
        <w:rPr>
          <w:rFonts w:ascii="Gotham" w:hAnsi="Gotham" w:cs="Arial"/>
          <w:sz w:val="19"/>
          <w:szCs w:val="19"/>
        </w:rPr>
      </w:pPr>
      <w:bookmarkStart w:id="10" w:name="_Toc40950509"/>
      <w:r w:rsidRPr="00A12ED2">
        <w:rPr>
          <w:rFonts w:ascii="Gotham" w:hAnsi="Gotham" w:cs="Arial"/>
          <w:sz w:val="19"/>
          <w:szCs w:val="19"/>
        </w:rPr>
        <w:t xml:space="preserve">CAPITULO III </w:t>
      </w:r>
      <w:r w:rsidRPr="00A12ED2">
        <w:rPr>
          <w:rFonts w:ascii="Gotham" w:hAnsi="Gotham" w:cs="Arial"/>
          <w:sz w:val="19"/>
          <w:szCs w:val="19"/>
        </w:rPr>
        <w:br/>
        <w:t>De</w:t>
      </w:r>
      <w:r w:rsidR="00883EC2">
        <w:rPr>
          <w:rFonts w:ascii="Gotham" w:hAnsi="Gotham" w:cs="Arial"/>
          <w:sz w:val="19"/>
          <w:szCs w:val="19"/>
        </w:rPr>
        <w:t xml:space="preserve"> </w:t>
      </w:r>
      <w:r w:rsidRPr="00A12ED2">
        <w:rPr>
          <w:rFonts w:ascii="Gotham" w:hAnsi="Gotham" w:cs="Arial"/>
          <w:sz w:val="19"/>
          <w:szCs w:val="19"/>
        </w:rPr>
        <w:t>la</w:t>
      </w:r>
      <w:r w:rsidR="00883EC2">
        <w:rPr>
          <w:rFonts w:ascii="Gotham" w:hAnsi="Gotham" w:cs="Arial"/>
          <w:sz w:val="19"/>
          <w:szCs w:val="19"/>
        </w:rPr>
        <w:t xml:space="preserve"> </w:t>
      </w:r>
      <w:r w:rsidRPr="00A12ED2">
        <w:rPr>
          <w:rFonts w:ascii="Gotham" w:hAnsi="Gotham" w:cs="Arial"/>
          <w:sz w:val="19"/>
          <w:szCs w:val="19"/>
        </w:rPr>
        <w:t>Unidad de Transparencia.</w:t>
      </w:r>
      <w:bookmarkEnd w:id="10"/>
    </w:p>
    <w:p w14:paraId="3A4748C4" w14:textId="77777777" w:rsidR="009B5E39" w:rsidRPr="00242957" w:rsidRDefault="009B5E39" w:rsidP="009B5E39">
      <w:pPr>
        <w:ind w:left="284" w:right="283"/>
        <w:jc w:val="both"/>
        <w:rPr>
          <w:rFonts w:ascii="Gotham" w:hAnsi="Gotham" w:cs="Arial"/>
          <w:sz w:val="19"/>
          <w:szCs w:val="19"/>
        </w:rPr>
      </w:pPr>
    </w:p>
    <w:p w14:paraId="3A4748C5"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27.</w:t>
      </w:r>
      <w:r w:rsidRPr="00242957">
        <w:rPr>
          <w:rFonts w:ascii="Gotham" w:hAnsi="Gotham" w:cs="Arial"/>
          <w:sz w:val="19"/>
          <w:szCs w:val="19"/>
        </w:rPr>
        <w:t xml:space="preserve"> De la Unidad.</w:t>
      </w:r>
    </w:p>
    <w:p w14:paraId="3A4748C6" w14:textId="77777777" w:rsidR="009B5E39" w:rsidRDefault="009B5E39" w:rsidP="009B5E39">
      <w:pPr>
        <w:ind w:left="284" w:right="283"/>
        <w:jc w:val="both"/>
        <w:rPr>
          <w:rFonts w:ascii="Gotham" w:hAnsi="Gotham" w:cs="Arial"/>
          <w:sz w:val="19"/>
          <w:szCs w:val="19"/>
        </w:rPr>
      </w:pPr>
    </w:p>
    <w:p w14:paraId="3A4748C7"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Unidad de Transparencia depende del Titular del Sujeto Obligado de</w:t>
      </w:r>
      <w:r w:rsidR="00883EC2">
        <w:rPr>
          <w:rFonts w:ascii="Gotham" w:hAnsi="Gotham" w:cs="Arial"/>
          <w:sz w:val="19"/>
          <w:szCs w:val="19"/>
        </w:rPr>
        <w:t xml:space="preserve"> </w:t>
      </w:r>
      <w:r w:rsidRPr="00242957">
        <w:rPr>
          <w:rFonts w:ascii="Gotham" w:hAnsi="Gotham" w:cs="Arial"/>
          <w:sz w:val="19"/>
          <w:szCs w:val="19"/>
        </w:rPr>
        <w:t>conformidad con el artículo 24, Fracción II de la</w:t>
      </w:r>
      <w:r w:rsidR="00883EC2">
        <w:rPr>
          <w:rFonts w:ascii="Gotham" w:hAnsi="Gotham" w:cs="Arial"/>
          <w:sz w:val="19"/>
          <w:szCs w:val="19"/>
        </w:rPr>
        <w:t xml:space="preserve"> </w:t>
      </w:r>
      <w:r w:rsidRPr="00242957">
        <w:rPr>
          <w:rFonts w:ascii="Gotham" w:hAnsi="Gotham" w:cs="Arial"/>
          <w:sz w:val="19"/>
          <w:szCs w:val="19"/>
        </w:rPr>
        <w:t>Ley</w:t>
      </w:r>
      <w:r w:rsidR="00883EC2">
        <w:rPr>
          <w:rFonts w:ascii="Gotham" w:hAnsi="Gotham" w:cs="Arial"/>
          <w:sz w:val="19"/>
          <w:szCs w:val="19"/>
        </w:rPr>
        <w:t xml:space="preserve"> </w:t>
      </w:r>
      <w:r w:rsidRPr="00242957">
        <w:rPr>
          <w:rFonts w:ascii="Gotham" w:hAnsi="Gotham" w:cs="Arial"/>
          <w:sz w:val="19"/>
          <w:szCs w:val="19"/>
        </w:rPr>
        <w:t>General,</w:t>
      </w:r>
      <w:r w:rsidR="00883EC2">
        <w:rPr>
          <w:rFonts w:ascii="Gotham" w:hAnsi="Gotham" w:cs="Arial"/>
          <w:sz w:val="19"/>
          <w:szCs w:val="19"/>
        </w:rPr>
        <w:t xml:space="preserve"> </w:t>
      </w:r>
      <w:r w:rsidRPr="00242957">
        <w:rPr>
          <w:rFonts w:ascii="Gotham" w:hAnsi="Gotham" w:cs="Arial"/>
          <w:sz w:val="19"/>
          <w:szCs w:val="19"/>
        </w:rPr>
        <w:t>formará</w:t>
      </w:r>
      <w:r w:rsidR="00883EC2">
        <w:rPr>
          <w:rFonts w:ascii="Gotham" w:hAnsi="Gotham" w:cs="Arial"/>
          <w:sz w:val="19"/>
          <w:szCs w:val="19"/>
        </w:rPr>
        <w:t xml:space="preserve"> </w:t>
      </w:r>
      <w:r w:rsidRPr="00242957">
        <w:rPr>
          <w:rFonts w:ascii="Gotham" w:hAnsi="Gotham" w:cs="Arial"/>
          <w:sz w:val="19"/>
          <w:szCs w:val="19"/>
        </w:rPr>
        <w:t>parte</w:t>
      </w:r>
      <w:r w:rsidR="00883EC2">
        <w:rPr>
          <w:rFonts w:ascii="Gotham" w:hAnsi="Gotham" w:cs="Arial"/>
          <w:sz w:val="19"/>
          <w:szCs w:val="19"/>
        </w:rPr>
        <w:t xml:space="preserve"> </w:t>
      </w:r>
      <w:r w:rsidRPr="00242957">
        <w:rPr>
          <w:rFonts w:ascii="Gotham" w:hAnsi="Gotham" w:cs="Arial"/>
          <w:sz w:val="19"/>
          <w:szCs w:val="19"/>
        </w:rPr>
        <w:t>del</w:t>
      </w:r>
      <w:r w:rsidR="00883EC2">
        <w:rPr>
          <w:rFonts w:ascii="Gotham" w:hAnsi="Gotham" w:cs="Arial"/>
          <w:sz w:val="19"/>
          <w:szCs w:val="19"/>
        </w:rPr>
        <w:t xml:space="preserve"> </w:t>
      </w:r>
      <w:r w:rsidRPr="00242957">
        <w:rPr>
          <w:rFonts w:ascii="Gotham" w:hAnsi="Gotham" w:cs="Arial"/>
          <w:sz w:val="19"/>
          <w:szCs w:val="19"/>
        </w:rPr>
        <w:t>Despacho</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la</w:t>
      </w:r>
      <w:r w:rsidR="00883EC2">
        <w:rPr>
          <w:rFonts w:ascii="Gotham" w:hAnsi="Gotham" w:cs="Arial"/>
          <w:sz w:val="19"/>
          <w:szCs w:val="19"/>
        </w:rPr>
        <w:t xml:space="preserve"> </w:t>
      </w:r>
      <w:r w:rsidRPr="00242957">
        <w:rPr>
          <w:rFonts w:ascii="Gotham" w:hAnsi="Gotham" w:cs="Arial"/>
          <w:sz w:val="19"/>
          <w:szCs w:val="19"/>
        </w:rPr>
        <w:t>Presidencia con las atribuciones y obligaciones establecidas en la Ley.</w:t>
      </w:r>
    </w:p>
    <w:p w14:paraId="3A4748C8" w14:textId="77777777" w:rsidR="009B5E39" w:rsidRDefault="009B5E39" w:rsidP="009B5E39">
      <w:pPr>
        <w:ind w:left="284" w:right="283"/>
        <w:jc w:val="both"/>
        <w:rPr>
          <w:rFonts w:ascii="Gotham" w:hAnsi="Gotham" w:cs="Arial"/>
          <w:sz w:val="19"/>
          <w:szCs w:val="19"/>
        </w:rPr>
      </w:pPr>
    </w:p>
    <w:p w14:paraId="3A4748C9"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El Titular de la Unidad de Transparencia es designado por el Presidente Municipal y ratificado por el Pleno del Ayuntamiento por mayoría, debe cumplir cuándo menos con los siguientes requisitos:</w:t>
      </w:r>
    </w:p>
    <w:p w14:paraId="3A4748CA" w14:textId="77777777" w:rsidR="009B5E39" w:rsidRDefault="009B5E39" w:rsidP="009B5E39">
      <w:pPr>
        <w:ind w:left="284" w:right="283"/>
        <w:jc w:val="both"/>
        <w:rPr>
          <w:rFonts w:ascii="Gotham" w:hAnsi="Gotham" w:cs="Arial"/>
          <w:sz w:val="19"/>
          <w:szCs w:val="19"/>
        </w:rPr>
      </w:pPr>
    </w:p>
    <w:p w14:paraId="3A4748CB"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Acreditar conocimientos y experiencia en materia de Acceso a la Información Pública y Protección de Datos Personales de cuando menos un año;</w:t>
      </w:r>
    </w:p>
    <w:p w14:paraId="3A4748CC"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Ser mexicano en pleno uso y goce de sus derechos;</w:t>
      </w:r>
    </w:p>
    <w:p w14:paraId="3A4748CD"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lastRenderedPageBreak/>
        <w:t xml:space="preserve">III. </w:t>
      </w:r>
      <w:r>
        <w:rPr>
          <w:rFonts w:ascii="Gotham" w:hAnsi="Gotham" w:cs="Arial"/>
          <w:sz w:val="19"/>
          <w:szCs w:val="19"/>
        </w:rPr>
        <w:tab/>
      </w:r>
      <w:r w:rsidRPr="00242957">
        <w:rPr>
          <w:rFonts w:ascii="Gotham" w:hAnsi="Gotham" w:cs="Arial"/>
          <w:sz w:val="19"/>
          <w:szCs w:val="19"/>
        </w:rPr>
        <w:t>Tener experiencia en la administración pública;</w:t>
      </w:r>
    </w:p>
    <w:p w14:paraId="3A4748CE"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Contar con título profesional registrado de nivel licenciatura.</w:t>
      </w:r>
    </w:p>
    <w:p w14:paraId="3A4748CF" w14:textId="77777777" w:rsidR="009B5E39" w:rsidRDefault="009B5E39" w:rsidP="009B5E39">
      <w:pPr>
        <w:ind w:left="284" w:right="283"/>
        <w:jc w:val="both"/>
        <w:rPr>
          <w:rFonts w:ascii="Gotham" w:hAnsi="Gotham" w:cs="Arial"/>
          <w:color w:val="FF0000"/>
          <w:sz w:val="19"/>
          <w:szCs w:val="19"/>
        </w:rPr>
      </w:pPr>
    </w:p>
    <w:p w14:paraId="3A4748D0" w14:textId="77777777" w:rsidR="009B5E39" w:rsidRPr="00242957" w:rsidRDefault="009B5E39" w:rsidP="009B5E39">
      <w:pPr>
        <w:ind w:left="284" w:right="283"/>
        <w:jc w:val="both"/>
        <w:rPr>
          <w:rFonts w:ascii="Gotham" w:hAnsi="Gotham" w:cs="Arial"/>
          <w:color w:val="FF0000"/>
          <w:sz w:val="19"/>
          <w:szCs w:val="19"/>
        </w:rPr>
      </w:pPr>
      <w:r w:rsidRPr="00242957">
        <w:rPr>
          <w:rFonts w:ascii="Gotham" w:hAnsi="Gotham" w:cs="Arial"/>
          <w:color w:val="FF0000"/>
          <w:sz w:val="19"/>
          <w:szCs w:val="19"/>
        </w:rPr>
        <w:t>La organización de la Unidad para cumplir con sus actividades será determinada por su Reglamento Interno, Manual de Operación y de Organización.</w:t>
      </w:r>
    </w:p>
    <w:p w14:paraId="3A4748D1" w14:textId="77777777" w:rsidR="009B5E39" w:rsidRDefault="009B5E39" w:rsidP="009B5E39">
      <w:pPr>
        <w:ind w:left="284" w:right="283"/>
        <w:jc w:val="both"/>
        <w:rPr>
          <w:rFonts w:ascii="Gotham" w:hAnsi="Gotham" w:cs="Arial"/>
          <w:color w:val="FF0000"/>
          <w:sz w:val="19"/>
          <w:szCs w:val="19"/>
        </w:rPr>
      </w:pPr>
    </w:p>
    <w:p w14:paraId="3A4748D2" w14:textId="77777777" w:rsidR="009B5E39" w:rsidRPr="00242957" w:rsidRDefault="009B5E39" w:rsidP="009B5E39">
      <w:pPr>
        <w:ind w:left="284" w:right="283"/>
        <w:jc w:val="both"/>
        <w:rPr>
          <w:rFonts w:ascii="Gotham" w:hAnsi="Gotham" w:cs="Arial"/>
          <w:color w:val="FF0000"/>
          <w:sz w:val="19"/>
          <w:szCs w:val="19"/>
        </w:rPr>
      </w:pPr>
    </w:p>
    <w:p w14:paraId="3A4748D3" w14:textId="77777777" w:rsidR="009B5E39" w:rsidRPr="00B1547F" w:rsidRDefault="009B5E39" w:rsidP="009B5E39">
      <w:pPr>
        <w:ind w:left="284" w:right="283"/>
        <w:jc w:val="center"/>
        <w:rPr>
          <w:rFonts w:ascii="Gotham" w:hAnsi="Gotham" w:cs="Arial"/>
          <w:sz w:val="19"/>
          <w:szCs w:val="19"/>
        </w:rPr>
      </w:pPr>
      <w:bookmarkStart w:id="11" w:name="_Toc40950510"/>
      <w:r w:rsidRPr="00B1547F">
        <w:rPr>
          <w:rFonts w:ascii="Gotham" w:hAnsi="Gotham" w:cs="Arial"/>
          <w:sz w:val="19"/>
          <w:szCs w:val="19"/>
        </w:rPr>
        <w:t xml:space="preserve">TÍTULO TERCERO </w:t>
      </w:r>
      <w:r w:rsidRPr="00B1547F">
        <w:rPr>
          <w:rFonts w:ascii="Gotham" w:hAnsi="Gotham" w:cs="Arial"/>
          <w:sz w:val="19"/>
          <w:szCs w:val="19"/>
        </w:rPr>
        <w:br/>
        <w:t>DE</w:t>
      </w:r>
      <w:r w:rsidR="00883EC2">
        <w:rPr>
          <w:rFonts w:ascii="Gotham" w:hAnsi="Gotham" w:cs="Arial"/>
          <w:sz w:val="19"/>
          <w:szCs w:val="19"/>
        </w:rPr>
        <w:t xml:space="preserve"> </w:t>
      </w:r>
      <w:r w:rsidRPr="00B1547F">
        <w:rPr>
          <w:rFonts w:ascii="Gotham" w:hAnsi="Gotham" w:cs="Arial"/>
          <w:sz w:val="19"/>
          <w:szCs w:val="19"/>
        </w:rPr>
        <w:t>LA</w:t>
      </w:r>
      <w:r w:rsidR="00883EC2">
        <w:rPr>
          <w:rFonts w:ascii="Gotham" w:hAnsi="Gotham" w:cs="Arial"/>
          <w:sz w:val="19"/>
          <w:szCs w:val="19"/>
        </w:rPr>
        <w:t xml:space="preserve"> </w:t>
      </w:r>
      <w:r w:rsidRPr="00B1547F">
        <w:rPr>
          <w:rFonts w:ascii="Gotham" w:hAnsi="Gotham" w:cs="Arial"/>
          <w:sz w:val="19"/>
          <w:szCs w:val="19"/>
        </w:rPr>
        <w:t>INFORMACIÓN PÚBLICA</w:t>
      </w:r>
      <w:bookmarkEnd w:id="11"/>
    </w:p>
    <w:p w14:paraId="3A4748D4" w14:textId="77777777" w:rsidR="009B5E39" w:rsidRPr="00242957" w:rsidRDefault="009B5E39" w:rsidP="009B5E39">
      <w:pPr>
        <w:ind w:left="284" w:right="283"/>
        <w:jc w:val="center"/>
        <w:rPr>
          <w:rFonts w:ascii="Gotham" w:hAnsi="Gotham" w:cs="Arial"/>
          <w:sz w:val="19"/>
          <w:szCs w:val="19"/>
        </w:rPr>
      </w:pPr>
    </w:p>
    <w:p w14:paraId="3A4748D5" w14:textId="77777777" w:rsidR="009B5E39" w:rsidRPr="00B1547F" w:rsidRDefault="009B5E39" w:rsidP="009B5E39">
      <w:pPr>
        <w:ind w:left="284" w:right="283"/>
        <w:jc w:val="center"/>
        <w:rPr>
          <w:rFonts w:ascii="Gotham" w:hAnsi="Gotham" w:cs="Arial"/>
          <w:sz w:val="19"/>
          <w:szCs w:val="19"/>
        </w:rPr>
      </w:pPr>
      <w:bookmarkStart w:id="12" w:name="_Toc40950511"/>
      <w:r w:rsidRPr="00B1547F">
        <w:rPr>
          <w:rFonts w:ascii="Gotham" w:hAnsi="Gotham" w:cs="Arial"/>
          <w:sz w:val="19"/>
          <w:szCs w:val="19"/>
        </w:rPr>
        <w:t xml:space="preserve">CAPÍTULO I </w:t>
      </w:r>
      <w:r w:rsidRPr="00B1547F">
        <w:rPr>
          <w:rFonts w:ascii="Gotham" w:hAnsi="Gotham" w:cs="Arial"/>
          <w:sz w:val="19"/>
          <w:szCs w:val="19"/>
        </w:rPr>
        <w:br/>
        <w:t>De</w:t>
      </w:r>
      <w:r w:rsidR="00883EC2">
        <w:rPr>
          <w:rFonts w:ascii="Gotham" w:hAnsi="Gotham" w:cs="Arial"/>
          <w:sz w:val="19"/>
          <w:szCs w:val="19"/>
        </w:rPr>
        <w:t xml:space="preserve"> </w:t>
      </w:r>
      <w:r w:rsidRPr="00B1547F">
        <w:rPr>
          <w:rFonts w:ascii="Gotham" w:hAnsi="Gotham" w:cs="Arial"/>
          <w:sz w:val="19"/>
          <w:szCs w:val="19"/>
        </w:rPr>
        <w:t>la</w:t>
      </w:r>
      <w:r w:rsidR="00883EC2">
        <w:rPr>
          <w:rFonts w:ascii="Gotham" w:hAnsi="Gotham" w:cs="Arial"/>
          <w:sz w:val="19"/>
          <w:szCs w:val="19"/>
        </w:rPr>
        <w:t xml:space="preserve"> </w:t>
      </w:r>
      <w:r w:rsidRPr="00B1547F">
        <w:rPr>
          <w:rFonts w:ascii="Gotham" w:hAnsi="Gotham" w:cs="Arial"/>
          <w:sz w:val="19"/>
          <w:szCs w:val="19"/>
        </w:rPr>
        <w:t>Información Fundamental</w:t>
      </w:r>
      <w:bookmarkEnd w:id="12"/>
    </w:p>
    <w:p w14:paraId="3A4748D6" w14:textId="77777777" w:rsidR="009B5E39" w:rsidRPr="00242957" w:rsidRDefault="009B5E39" w:rsidP="009B5E39">
      <w:pPr>
        <w:ind w:left="284" w:right="283"/>
        <w:rPr>
          <w:rFonts w:ascii="Gotham" w:hAnsi="Gotham"/>
          <w:sz w:val="19"/>
          <w:szCs w:val="19"/>
        </w:rPr>
      </w:pPr>
    </w:p>
    <w:p w14:paraId="3A4748D7" w14:textId="77777777" w:rsidR="009B5E39" w:rsidRPr="00242957" w:rsidRDefault="009B5E39" w:rsidP="009B5E39">
      <w:pPr>
        <w:ind w:left="284" w:right="283"/>
        <w:rPr>
          <w:rFonts w:ascii="Gotham" w:hAnsi="Gotham" w:cs="Arial"/>
          <w:sz w:val="19"/>
          <w:szCs w:val="19"/>
        </w:rPr>
      </w:pPr>
      <w:r w:rsidRPr="00242957">
        <w:rPr>
          <w:rFonts w:ascii="Gotham" w:hAnsi="Gotham" w:cs="Arial"/>
          <w:b/>
          <w:sz w:val="19"/>
          <w:szCs w:val="19"/>
        </w:rPr>
        <w:t>Artículo 28.</w:t>
      </w:r>
      <w:r w:rsidRPr="00242957">
        <w:rPr>
          <w:rFonts w:ascii="Gotham" w:hAnsi="Gotham" w:cs="Arial"/>
          <w:sz w:val="19"/>
          <w:szCs w:val="19"/>
        </w:rPr>
        <w:t xml:space="preserve"> De la Información Fundamental.</w:t>
      </w:r>
    </w:p>
    <w:p w14:paraId="3A4748D8" w14:textId="77777777" w:rsidR="009B5E39" w:rsidRDefault="009B5E39" w:rsidP="009B5E39">
      <w:pPr>
        <w:ind w:left="284" w:right="283"/>
        <w:rPr>
          <w:rFonts w:ascii="Gotham" w:hAnsi="Gotham" w:cs="Arial"/>
          <w:sz w:val="19"/>
          <w:szCs w:val="19"/>
        </w:rPr>
      </w:pPr>
    </w:p>
    <w:p w14:paraId="3A4748D9" w14:textId="77777777" w:rsidR="009B5E39" w:rsidRPr="00242957" w:rsidRDefault="009B5E39" w:rsidP="009B5E39">
      <w:pPr>
        <w:ind w:left="284" w:right="283"/>
        <w:rPr>
          <w:rFonts w:ascii="Gotham" w:hAnsi="Gotham" w:cs="Arial"/>
          <w:sz w:val="19"/>
          <w:szCs w:val="19"/>
        </w:rPr>
      </w:pPr>
      <w:r w:rsidRPr="00242957">
        <w:rPr>
          <w:rFonts w:ascii="Gotham" w:hAnsi="Gotham" w:cs="Arial"/>
          <w:sz w:val="19"/>
          <w:szCs w:val="19"/>
        </w:rPr>
        <w:t>Será información fundamental obligatoria para los sujetos obligados:</w:t>
      </w:r>
    </w:p>
    <w:p w14:paraId="3A4748DA" w14:textId="77777777" w:rsidR="009B5E39" w:rsidRDefault="009B5E39" w:rsidP="009B5E39">
      <w:pPr>
        <w:ind w:left="284" w:right="283"/>
        <w:rPr>
          <w:rFonts w:ascii="Gotham" w:hAnsi="Gotham" w:cs="Arial"/>
          <w:sz w:val="19"/>
          <w:szCs w:val="19"/>
        </w:rPr>
      </w:pPr>
    </w:p>
    <w:p w14:paraId="3A4748DB" w14:textId="77777777" w:rsidR="009B5E39" w:rsidRPr="00242957" w:rsidRDefault="009B5E39" w:rsidP="009B5E39">
      <w:pPr>
        <w:spacing w:after="120"/>
        <w:ind w:left="1134" w:right="283" w:hanging="850"/>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La establecida en la Ley y la Ley General;</w:t>
      </w:r>
    </w:p>
    <w:p w14:paraId="3A4748DC" w14:textId="77777777" w:rsidR="009B5E39" w:rsidRPr="00242957" w:rsidRDefault="009B5E39" w:rsidP="009B5E39">
      <w:pPr>
        <w:spacing w:after="120"/>
        <w:ind w:left="1134" w:right="283" w:hanging="850"/>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La información Proactiva y Focalizada indicada en la Ley;</w:t>
      </w:r>
    </w:p>
    <w:p w14:paraId="3A4748DD"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Los Reglamentos abrogados o reformados, de al menos los últimos 6 seis años;</w:t>
      </w:r>
    </w:p>
    <w:p w14:paraId="3A4748DE"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 xml:space="preserve">La información sobre el Presupuesto Ciudadano, bajo los lineamientos del Consejo Nacional de Armonización Contable; </w:t>
      </w:r>
    </w:p>
    <w:p w14:paraId="3A4748DF"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La información sobre la adenda al Presupuesto de Egresos Municipal donde contemple cuando menos:</w:t>
      </w:r>
    </w:p>
    <w:p w14:paraId="3A4748E0"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Las políticas para la contratación de la deuda pública;</w:t>
      </w:r>
    </w:p>
    <w:p w14:paraId="3A4748E1"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El monto asignado presupuestalmente a la Unidad de Transparencia;</w:t>
      </w:r>
    </w:p>
    <w:p w14:paraId="3A4748E2"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c) </w:t>
      </w:r>
      <w:r>
        <w:rPr>
          <w:rFonts w:ascii="Gotham" w:hAnsi="Gotham" w:cs="Arial"/>
          <w:sz w:val="19"/>
          <w:szCs w:val="19"/>
        </w:rPr>
        <w:tab/>
      </w:r>
      <w:r w:rsidRPr="00242957">
        <w:rPr>
          <w:rFonts w:ascii="Gotham" w:hAnsi="Gotham" w:cs="Arial"/>
          <w:sz w:val="19"/>
          <w:szCs w:val="19"/>
        </w:rPr>
        <w:t>El monto asignado presupuestalmente a los gastos de Comunicación Social;</w:t>
      </w:r>
    </w:p>
    <w:p w14:paraId="3A4748E3"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d) </w:t>
      </w:r>
      <w:r>
        <w:rPr>
          <w:rFonts w:ascii="Gotham" w:hAnsi="Gotham" w:cs="Arial"/>
          <w:sz w:val="19"/>
          <w:szCs w:val="19"/>
        </w:rPr>
        <w:tab/>
      </w:r>
      <w:r w:rsidRPr="00242957">
        <w:rPr>
          <w:rFonts w:ascii="Gotham" w:hAnsi="Gotham" w:cs="Arial"/>
          <w:sz w:val="19"/>
          <w:szCs w:val="19"/>
        </w:rPr>
        <w:t>Los montos de actuación para contratación de obras públicas, servicios relacionados, adquisición de bienes y servicios; y</w:t>
      </w:r>
    </w:p>
    <w:p w14:paraId="3A4748E4"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e) </w:t>
      </w:r>
      <w:r>
        <w:rPr>
          <w:rFonts w:ascii="Gotham" w:hAnsi="Gotham" w:cs="Arial"/>
          <w:sz w:val="19"/>
          <w:szCs w:val="19"/>
        </w:rPr>
        <w:tab/>
      </w:r>
      <w:r w:rsidRPr="00242957">
        <w:rPr>
          <w:rFonts w:ascii="Gotham" w:hAnsi="Gotham" w:cs="Arial"/>
          <w:sz w:val="19"/>
          <w:szCs w:val="19"/>
        </w:rPr>
        <w:t>Catálogo de niveles de plazas en el Ayuntamiento de Tonalá.</w:t>
      </w:r>
    </w:p>
    <w:p w14:paraId="3A4748E5"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Información sobre la asistencia social:</w:t>
      </w:r>
    </w:p>
    <w:p w14:paraId="3A4748E6"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El anexo transversal para la atención de las niñas, niños y adolescentes emitido por el Fondo de las Naciones Unidas para la Infancia (UNICEF); y</w:t>
      </w:r>
    </w:p>
    <w:p w14:paraId="3A4748E7"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Las demás acciones que realice el Municipio en esta materia</w:t>
      </w:r>
    </w:p>
    <w:p w14:paraId="3A4748E8"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VII. </w:t>
      </w:r>
      <w:r>
        <w:rPr>
          <w:rFonts w:ascii="Gotham" w:hAnsi="Gotham" w:cs="Arial"/>
          <w:sz w:val="19"/>
          <w:szCs w:val="19"/>
        </w:rPr>
        <w:tab/>
      </w:r>
      <w:r w:rsidRPr="00242957">
        <w:rPr>
          <w:rFonts w:ascii="Gotham" w:hAnsi="Gotham" w:cs="Arial"/>
          <w:sz w:val="19"/>
          <w:szCs w:val="19"/>
        </w:rPr>
        <w:t>Indicadores de Gestión.</w:t>
      </w:r>
    </w:p>
    <w:p w14:paraId="3A4748E9"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Estadística que demuestre los índices en materia de Seguridad Pública y Prevención Social del Delito;</w:t>
      </w:r>
    </w:p>
    <w:p w14:paraId="3A4748EA"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Estadística que demuestre indicadores de la deuda pública; y</w:t>
      </w:r>
    </w:p>
    <w:p w14:paraId="3A4748EB"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c) </w:t>
      </w:r>
      <w:r>
        <w:rPr>
          <w:rFonts w:ascii="Gotham" w:hAnsi="Gotham" w:cs="Arial"/>
          <w:sz w:val="19"/>
          <w:szCs w:val="19"/>
        </w:rPr>
        <w:tab/>
      </w:r>
      <w:r w:rsidRPr="00242957">
        <w:rPr>
          <w:rFonts w:ascii="Gotham" w:hAnsi="Gotham" w:cs="Arial"/>
          <w:sz w:val="19"/>
          <w:szCs w:val="19"/>
        </w:rPr>
        <w:t>Estadística respecto del sentido del voto emitido por los integrantes del Ayuntamiento en las Sesiones del Pleno.</w:t>
      </w:r>
    </w:p>
    <w:p w14:paraId="3A4748EC"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VIII. </w:t>
      </w:r>
      <w:r>
        <w:rPr>
          <w:rFonts w:ascii="Gotham" w:hAnsi="Gotham" w:cs="Arial"/>
          <w:sz w:val="19"/>
          <w:szCs w:val="19"/>
        </w:rPr>
        <w:tab/>
      </w:r>
      <w:r w:rsidRPr="00242957">
        <w:rPr>
          <w:rFonts w:ascii="Gotham" w:hAnsi="Gotham" w:cs="Arial"/>
          <w:sz w:val="19"/>
          <w:szCs w:val="19"/>
        </w:rPr>
        <w:t>El directorio de los servidores públicos de la administración pública municipal, desde el Presidente Municipal hasta las Jefaturas de Departamento.</w:t>
      </w:r>
    </w:p>
    <w:p w14:paraId="3A4748ED" w14:textId="77777777" w:rsidR="009B5E39" w:rsidRDefault="009B5E39" w:rsidP="009B5E39">
      <w:pPr>
        <w:ind w:left="284" w:right="283"/>
        <w:jc w:val="both"/>
        <w:rPr>
          <w:rFonts w:ascii="Gotham" w:hAnsi="Gotham" w:cs="Arial"/>
          <w:sz w:val="19"/>
          <w:szCs w:val="19"/>
        </w:rPr>
      </w:pPr>
    </w:p>
    <w:p w14:paraId="3A4748EE"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lastRenderedPageBreak/>
        <w:t>El directorio deberá incluir, al menos, el nombre, cargo o nombramiento asignado, nivel del puesto en la estructura orgánica, fecha de alta en el cargo, número telefónico, domicilio para recibir correspondencia y dirección de correo electrónico oficiales.</w:t>
      </w:r>
    </w:p>
    <w:p w14:paraId="3A4748EF" w14:textId="77777777" w:rsidR="009B5E39" w:rsidRDefault="009B5E39" w:rsidP="009B5E39">
      <w:pPr>
        <w:ind w:left="284" w:right="283"/>
        <w:jc w:val="both"/>
        <w:rPr>
          <w:rFonts w:ascii="Gotham" w:hAnsi="Gotham" w:cs="Arial"/>
          <w:b/>
          <w:color w:val="000000" w:themeColor="text1"/>
          <w:sz w:val="19"/>
          <w:szCs w:val="19"/>
        </w:rPr>
      </w:pPr>
    </w:p>
    <w:p w14:paraId="3A4748F0"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color w:val="000000" w:themeColor="text1"/>
          <w:sz w:val="19"/>
          <w:szCs w:val="19"/>
        </w:rPr>
        <w:t>Artículo 29.</w:t>
      </w:r>
      <w:r w:rsidRPr="00242957">
        <w:rPr>
          <w:rFonts w:ascii="Gotham" w:hAnsi="Gotham" w:cs="Arial"/>
          <w:color w:val="000000" w:themeColor="text1"/>
          <w:sz w:val="19"/>
          <w:szCs w:val="19"/>
        </w:rPr>
        <w:t xml:space="preserve"> </w:t>
      </w:r>
      <w:r w:rsidRPr="00242957">
        <w:rPr>
          <w:rFonts w:ascii="Gotham" w:hAnsi="Gotham" w:cs="Arial"/>
          <w:sz w:val="19"/>
          <w:szCs w:val="19"/>
        </w:rPr>
        <w:t>De los requisitos y Características de la Información Fundamental.</w:t>
      </w:r>
    </w:p>
    <w:p w14:paraId="3A4748F1" w14:textId="77777777" w:rsidR="009B5E39" w:rsidRDefault="009B5E39" w:rsidP="009B5E39">
      <w:pPr>
        <w:ind w:left="284" w:right="283"/>
        <w:jc w:val="both"/>
        <w:rPr>
          <w:rFonts w:ascii="Gotham" w:hAnsi="Gotham" w:cs="Arial"/>
          <w:sz w:val="19"/>
          <w:szCs w:val="19"/>
        </w:rPr>
      </w:pPr>
    </w:p>
    <w:p w14:paraId="3A4748F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información fundamental establecida en</w:t>
      </w:r>
      <w:r w:rsidR="00883EC2">
        <w:rPr>
          <w:rFonts w:ascii="Gotham" w:hAnsi="Gotham" w:cs="Arial"/>
          <w:sz w:val="19"/>
          <w:szCs w:val="19"/>
        </w:rPr>
        <w:t xml:space="preserve"> </w:t>
      </w:r>
      <w:r w:rsidRPr="00242957">
        <w:rPr>
          <w:rFonts w:ascii="Gotham" w:hAnsi="Gotham" w:cs="Arial"/>
          <w:sz w:val="19"/>
          <w:szCs w:val="19"/>
        </w:rPr>
        <w:t>la</w:t>
      </w:r>
      <w:r w:rsidR="00883EC2">
        <w:rPr>
          <w:rFonts w:ascii="Gotham" w:hAnsi="Gotham" w:cs="Arial"/>
          <w:sz w:val="19"/>
          <w:szCs w:val="19"/>
        </w:rPr>
        <w:t xml:space="preserve"> </w:t>
      </w:r>
      <w:r w:rsidRPr="00242957">
        <w:rPr>
          <w:rFonts w:ascii="Gotham" w:hAnsi="Gotham" w:cs="Arial"/>
          <w:sz w:val="19"/>
          <w:szCs w:val="19"/>
        </w:rPr>
        <w:t>Ley</w:t>
      </w:r>
      <w:r w:rsidR="00883EC2">
        <w:rPr>
          <w:rFonts w:ascii="Gotham" w:hAnsi="Gotham" w:cs="Arial"/>
          <w:sz w:val="19"/>
          <w:szCs w:val="19"/>
        </w:rPr>
        <w:t xml:space="preserve"> </w:t>
      </w:r>
      <w:r w:rsidRPr="00242957">
        <w:rPr>
          <w:rFonts w:ascii="Gotham" w:hAnsi="Gotham" w:cs="Arial"/>
          <w:sz w:val="19"/>
          <w:szCs w:val="19"/>
        </w:rPr>
        <w:t>y</w:t>
      </w:r>
      <w:r w:rsidR="00883EC2">
        <w:rPr>
          <w:rFonts w:ascii="Gotham" w:hAnsi="Gotham" w:cs="Arial"/>
          <w:sz w:val="19"/>
          <w:szCs w:val="19"/>
        </w:rPr>
        <w:t xml:space="preserve"> </w:t>
      </w:r>
      <w:r w:rsidRPr="00242957">
        <w:rPr>
          <w:rFonts w:ascii="Gotham" w:hAnsi="Gotham" w:cs="Arial"/>
          <w:sz w:val="19"/>
          <w:szCs w:val="19"/>
        </w:rPr>
        <w:t>Ley</w:t>
      </w:r>
      <w:r w:rsidR="00883EC2">
        <w:rPr>
          <w:rFonts w:ascii="Gotham" w:hAnsi="Gotham" w:cs="Arial"/>
          <w:sz w:val="19"/>
          <w:szCs w:val="19"/>
        </w:rPr>
        <w:t xml:space="preserve"> </w:t>
      </w:r>
      <w:r w:rsidRPr="00242957">
        <w:rPr>
          <w:rFonts w:ascii="Gotham" w:hAnsi="Gotham" w:cs="Arial"/>
          <w:sz w:val="19"/>
          <w:szCs w:val="19"/>
        </w:rPr>
        <w:t>General</w:t>
      </w:r>
      <w:r w:rsidR="00883EC2">
        <w:rPr>
          <w:rFonts w:ascii="Gotham" w:hAnsi="Gotham" w:cs="Arial"/>
          <w:sz w:val="19"/>
          <w:szCs w:val="19"/>
        </w:rPr>
        <w:t xml:space="preserve"> </w:t>
      </w:r>
      <w:r w:rsidRPr="00242957">
        <w:rPr>
          <w:rFonts w:ascii="Gotham" w:hAnsi="Gotham" w:cs="Arial"/>
          <w:sz w:val="19"/>
          <w:szCs w:val="19"/>
        </w:rPr>
        <w:t>deberá</w:t>
      </w:r>
      <w:r w:rsidR="00883EC2">
        <w:rPr>
          <w:rFonts w:ascii="Gotham" w:hAnsi="Gotham" w:cs="Arial"/>
          <w:sz w:val="19"/>
          <w:szCs w:val="19"/>
        </w:rPr>
        <w:t xml:space="preserve"> </w:t>
      </w:r>
      <w:r w:rsidRPr="00242957">
        <w:rPr>
          <w:rFonts w:ascii="Gotham" w:hAnsi="Gotham" w:cs="Arial"/>
          <w:sz w:val="19"/>
          <w:szCs w:val="19"/>
        </w:rPr>
        <w:t>reunir</w:t>
      </w:r>
      <w:r w:rsidR="00883EC2">
        <w:rPr>
          <w:rFonts w:ascii="Gotham" w:hAnsi="Gotham" w:cs="Arial"/>
          <w:sz w:val="19"/>
          <w:szCs w:val="19"/>
        </w:rPr>
        <w:t xml:space="preserve"> </w:t>
      </w:r>
      <w:r w:rsidRPr="00242957">
        <w:rPr>
          <w:rFonts w:ascii="Gotham" w:hAnsi="Gotham" w:cs="Arial"/>
          <w:sz w:val="19"/>
          <w:szCs w:val="19"/>
        </w:rPr>
        <w:t>los</w:t>
      </w:r>
      <w:r w:rsidR="00883EC2">
        <w:rPr>
          <w:rFonts w:ascii="Gotham" w:hAnsi="Gotham" w:cs="Arial"/>
          <w:sz w:val="19"/>
          <w:szCs w:val="19"/>
        </w:rPr>
        <w:t xml:space="preserve"> </w:t>
      </w:r>
      <w:r w:rsidRPr="00242957">
        <w:rPr>
          <w:rFonts w:ascii="Gotham" w:hAnsi="Gotham" w:cs="Arial"/>
          <w:sz w:val="19"/>
          <w:szCs w:val="19"/>
        </w:rPr>
        <w:t>requisitos de claridad, calidad, veracidad y oportunidad. Con base en su naturaleza y fines propios, la información fundamental será interoperable, y para lo</w:t>
      </w:r>
      <w:r w:rsidR="00883EC2">
        <w:rPr>
          <w:rFonts w:ascii="Gotham" w:hAnsi="Gotham" w:cs="Arial"/>
          <w:sz w:val="19"/>
          <w:szCs w:val="19"/>
        </w:rPr>
        <w:t xml:space="preserve"> </w:t>
      </w:r>
      <w:r w:rsidRPr="00242957">
        <w:rPr>
          <w:rFonts w:ascii="Gotham" w:hAnsi="Gotham" w:cs="Arial"/>
          <w:sz w:val="19"/>
          <w:szCs w:val="19"/>
        </w:rPr>
        <w:t>cual</w:t>
      </w:r>
      <w:r w:rsidR="00883EC2">
        <w:rPr>
          <w:rFonts w:ascii="Gotham" w:hAnsi="Gotham" w:cs="Arial"/>
          <w:sz w:val="19"/>
          <w:szCs w:val="19"/>
        </w:rPr>
        <w:t xml:space="preserve"> </w:t>
      </w:r>
      <w:r w:rsidRPr="00242957">
        <w:rPr>
          <w:rFonts w:ascii="Gotham" w:hAnsi="Gotham" w:cs="Arial"/>
          <w:sz w:val="19"/>
          <w:szCs w:val="19"/>
        </w:rPr>
        <w:t>se</w:t>
      </w:r>
      <w:r w:rsidR="00883EC2">
        <w:rPr>
          <w:rFonts w:ascii="Gotham" w:hAnsi="Gotham" w:cs="Arial"/>
          <w:sz w:val="19"/>
          <w:szCs w:val="19"/>
        </w:rPr>
        <w:t xml:space="preserve"> </w:t>
      </w:r>
      <w:r w:rsidRPr="00242957">
        <w:rPr>
          <w:rFonts w:ascii="Gotham" w:hAnsi="Gotham" w:cs="Arial"/>
          <w:sz w:val="19"/>
          <w:szCs w:val="19"/>
        </w:rPr>
        <w:t>pondrá</w:t>
      </w:r>
      <w:r w:rsidR="00883EC2">
        <w:rPr>
          <w:rFonts w:ascii="Gotham" w:hAnsi="Gotham" w:cs="Arial"/>
          <w:sz w:val="19"/>
          <w:szCs w:val="19"/>
        </w:rPr>
        <w:t xml:space="preserve"> </w:t>
      </w:r>
      <w:r w:rsidRPr="00242957">
        <w:rPr>
          <w:rFonts w:ascii="Gotham" w:hAnsi="Gotham" w:cs="Arial"/>
          <w:sz w:val="19"/>
          <w:szCs w:val="19"/>
        </w:rPr>
        <w:t>a</w:t>
      </w:r>
      <w:r w:rsidR="00883EC2">
        <w:rPr>
          <w:rFonts w:ascii="Gotham" w:hAnsi="Gotham" w:cs="Arial"/>
          <w:sz w:val="19"/>
          <w:szCs w:val="19"/>
        </w:rPr>
        <w:t xml:space="preserve"> </w:t>
      </w:r>
      <w:r w:rsidRPr="00242957">
        <w:rPr>
          <w:rFonts w:ascii="Gotham" w:hAnsi="Gotham" w:cs="Arial"/>
          <w:sz w:val="19"/>
          <w:szCs w:val="19"/>
        </w:rPr>
        <w:t>disposición pública en datos</w:t>
      </w:r>
      <w:r w:rsidR="00883EC2">
        <w:rPr>
          <w:rFonts w:ascii="Gotham" w:hAnsi="Gotham" w:cs="Arial"/>
          <w:sz w:val="19"/>
          <w:szCs w:val="19"/>
        </w:rPr>
        <w:t xml:space="preserve"> </w:t>
      </w:r>
      <w:r w:rsidRPr="00242957">
        <w:rPr>
          <w:rFonts w:ascii="Gotham" w:hAnsi="Gotham" w:cs="Arial"/>
          <w:sz w:val="19"/>
          <w:szCs w:val="19"/>
        </w:rPr>
        <w:t>abiertos,</w:t>
      </w:r>
      <w:r w:rsidR="00883EC2">
        <w:rPr>
          <w:rFonts w:ascii="Gotham" w:hAnsi="Gotham" w:cs="Arial"/>
          <w:sz w:val="19"/>
          <w:szCs w:val="19"/>
        </w:rPr>
        <w:t xml:space="preserve"> </w:t>
      </w:r>
      <w:r w:rsidRPr="00242957">
        <w:rPr>
          <w:rFonts w:ascii="Gotham" w:hAnsi="Gotham" w:cs="Arial"/>
          <w:sz w:val="19"/>
          <w:szCs w:val="19"/>
        </w:rPr>
        <w:t>con</w:t>
      </w:r>
      <w:r w:rsidR="00883EC2">
        <w:rPr>
          <w:rFonts w:ascii="Gotham" w:hAnsi="Gotham" w:cs="Arial"/>
          <w:sz w:val="19"/>
          <w:szCs w:val="19"/>
        </w:rPr>
        <w:t xml:space="preserve"> </w:t>
      </w:r>
      <w:r w:rsidRPr="00242957">
        <w:rPr>
          <w:rFonts w:ascii="Gotham" w:hAnsi="Gotham" w:cs="Arial"/>
          <w:sz w:val="19"/>
          <w:szCs w:val="19"/>
        </w:rPr>
        <w:t>al</w:t>
      </w:r>
      <w:r w:rsidR="00883EC2">
        <w:rPr>
          <w:rFonts w:ascii="Gotham" w:hAnsi="Gotham" w:cs="Arial"/>
          <w:sz w:val="19"/>
          <w:szCs w:val="19"/>
        </w:rPr>
        <w:t xml:space="preserve"> </w:t>
      </w:r>
      <w:r w:rsidRPr="00242957">
        <w:rPr>
          <w:rFonts w:ascii="Gotham" w:hAnsi="Gotham" w:cs="Arial"/>
          <w:sz w:val="19"/>
          <w:szCs w:val="19"/>
        </w:rPr>
        <w:t>menos</w:t>
      </w:r>
      <w:r w:rsidR="00883EC2">
        <w:rPr>
          <w:rFonts w:ascii="Gotham" w:hAnsi="Gotham" w:cs="Arial"/>
          <w:sz w:val="19"/>
          <w:szCs w:val="19"/>
        </w:rPr>
        <w:t xml:space="preserve"> </w:t>
      </w:r>
      <w:r w:rsidRPr="00242957">
        <w:rPr>
          <w:rFonts w:ascii="Gotham" w:hAnsi="Gotham" w:cs="Arial"/>
          <w:sz w:val="19"/>
          <w:szCs w:val="19"/>
        </w:rPr>
        <w:t>las</w:t>
      </w:r>
      <w:r w:rsidR="00883EC2">
        <w:rPr>
          <w:rFonts w:ascii="Gotham" w:hAnsi="Gotham" w:cs="Arial"/>
          <w:sz w:val="19"/>
          <w:szCs w:val="19"/>
        </w:rPr>
        <w:t xml:space="preserve"> </w:t>
      </w:r>
      <w:r w:rsidRPr="00242957">
        <w:rPr>
          <w:rFonts w:ascii="Gotham" w:hAnsi="Gotham" w:cs="Arial"/>
          <w:sz w:val="19"/>
          <w:szCs w:val="19"/>
        </w:rPr>
        <w:t>características</w:t>
      </w:r>
      <w:r w:rsidR="00883EC2">
        <w:rPr>
          <w:rFonts w:ascii="Gotham" w:hAnsi="Gotham" w:cs="Arial"/>
          <w:sz w:val="19"/>
          <w:szCs w:val="19"/>
        </w:rPr>
        <w:t xml:space="preserve"> </w:t>
      </w:r>
      <w:r w:rsidRPr="00242957">
        <w:rPr>
          <w:rFonts w:ascii="Gotham" w:hAnsi="Gotham" w:cs="Arial"/>
          <w:sz w:val="19"/>
          <w:szCs w:val="19"/>
        </w:rPr>
        <w:t>establecidas</w:t>
      </w:r>
      <w:r w:rsidR="00883EC2">
        <w:rPr>
          <w:rFonts w:ascii="Gotham" w:hAnsi="Gotham" w:cs="Arial"/>
          <w:sz w:val="19"/>
          <w:szCs w:val="19"/>
        </w:rPr>
        <w:t xml:space="preserve"> </w:t>
      </w:r>
      <w:r w:rsidRPr="00242957">
        <w:rPr>
          <w:rFonts w:ascii="Gotham" w:hAnsi="Gotham" w:cs="Arial"/>
          <w:sz w:val="19"/>
          <w:szCs w:val="19"/>
        </w:rPr>
        <w:t>en</w:t>
      </w:r>
      <w:r w:rsidR="00883EC2">
        <w:rPr>
          <w:rFonts w:ascii="Gotham" w:hAnsi="Gotham" w:cs="Arial"/>
          <w:sz w:val="19"/>
          <w:szCs w:val="19"/>
        </w:rPr>
        <w:t xml:space="preserve"> </w:t>
      </w:r>
      <w:r w:rsidRPr="00242957">
        <w:rPr>
          <w:rFonts w:ascii="Gotham" w:hAnsi="Gotham" w:cs="Arial"/>
          <w:sz w:val="19"/>
          <w:szCs w:val="19"/>
        </w:rPr>
        <w:t>la</w:t>
      </w:r>
      <w:r w:rsidR="00883EC2">
        <w:rPr>
          <w:rFonts w:ascii="Gotham" w:hAnsi="Gotham" w:cs="Arial"/>
          <w:sz w:val="19"/>
          <w:szCs w:val="19"/>
        </w:rPr>
        <w:t xml:space="preserve"> </w:t>
      </w:r>
      <w:r w:rsidRPr="00242957">
        <w:rPr>
          <w:rFonts w:ascii="Gotham" w:hAnsi="Gotham" w:cs="Arial"/>
          <w:sz w:val="19"/>
          <w:szCs w:val="19"/>
        </w:rPr>
        <w:t>Ley, los Lineamientos establecidos por el Instituto y el Sistema Nacional de Transparencia.</w:t>
      </w:r>
    </w:p>
    <w:p w14:paraId="3A4748F3" w14:textId="77777777" w:rsidR="009B5E39" w:rsidRPr="00242957" w:rsidRDefault="009B5E39" w:rsidP="009B5E39">
      <w:pPr>
        <w:pStyle w:val="Prrafodelista"/>
        <w:ind w:left="284" w:right="283"/>
        <w:contextualSpacing w:val="0"/>
        <w:jc w:val="both"/>
        <w:rPr>
          <w:rFonts w:ascii="Gotham" w:hAnsi="Gotham" w:cs="Arial"/>
          <w:sz w:val="19"/>
          <w:szCs w:val="19"/>
        </w:rPr>
      </w:pPr>
    </w:p>
    <w:p w14:paraId="3A4748F4"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30.</w:t>
      </w:r>
      <w:r w:rsidRPr="00242957">
        <w:rPr>
          <w:rFonts w:ascii="Gotham" w:hAnsi="Gotham" w:cs="Arial"/>
          <w:sz w:val="19"/>
          <w:szCs w:val="19"/>
        </w:rPr>
        <w:t xml:space="preserve"> De la Publicación de Información Fundamental.</w:t>
      </w:r>
    </w:p>
    <w:p w14:paraId="3A4748F5" w14:textId="77777777" w:rsidR="009B5E39" w:rsidRDefault="009B5E39" w:rsidP="009B5E39">
      <w:pPr>
        <w:ind w:left="284" w:right="283"/>
        <w:jc w:val="both"/>
        <w:rPr>
          <w:rFonts w:ascii="Gotham" w:hAnsi="Gotham" w:cs="Arial"/>
          <w:sz w:val="19"/>
          <w:szCs w:val="19"/>
        </w:rPr>
      </w:pPr>
    </w:p>
    <w:p w14:paraId="3A4748F6"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En la publicación de Información Fundamental, los Sujetos Obligados y las Unidades Administrativas, observarán lo siguiente:</w:t>
      </w:r>
    </w:p>
    <w:p w14:paraId="3A4748F7" w14:textId="77777777" w:rsidR="009B5E39" w:rsidRDefault="009B5E39" w:rsidP="009B5E39">
      <w:pPr>
        <w:ind w:left="284" w:right="283"/>
        <w:jc w:val="both"/>
        <w:rPr>
          <w:rFonts w:ascii="Gotham" w:hAnsi="Gotham" w:cs="Arial"/>
          <w:sz w:val="19"/>
          <w:szCs w:val="19"/>
        </w:rPr>
      </w:pPr>
    </w:p>
    <w:p w14:paraId="3A4748F8"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La información fundamental establecida en el artículo 17 del presente Reglamento se publicará en el Sitio de Transparencia del Portal de cada sujeto obligado y en medios de fácil acceso, con base en las disposiciones de la Ley y los Lineamientos establecidos por el Instituto y el Sistema Nacional de Transparencia;</w:t>
      </w:r>
    </w:p>
    <w:p w14:paraId="3A4748F9"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Cuando no se disponga de convenios de Adhesión el Ayuntamiento, en su caso, integrará en su portal a través de un vínculo a los Sujetos Obligados establecidos en el Artículo 5 del presente Reglamento;</w:t>
      </w:r>
    </w:p>
    <w:p w14:paraId="3A4748FA"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El Ayuntamiento, a través de la Unidad, apoyará mediante Convenio</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Adhesión, a los sujetos obligados establecidos en el artículo 5 del presente Reglamento, que no cuenten con los recursos humanos y materiales necesarios, para publicar la información fundamental establecida en el Artículo 17 del presente Reglamento, o bien, no cuenten con un Portal de Internet;</w:t>
      </w:r>
    </w:p>
    <w:p w14:paraId="3A4748FB"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Los Sujetos Obligados que, mediante Convenio de Adhesión, que reciban el apoyo de la Unidad con base en el numeral anterior, serán responsables del contenido y actualización de lo publicado conforme a las disposiciones de la Ley y los Lineamientos establecidos por el Instituto y el Sistema Nacional de Transparencia; y</w:t>
      </w:r>
    </w:p>
    <w:p w14:paraId="3A4748FC"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Toda Información Fundamental publicada en los Sitios de Internet, se acompañará de:</w:t>
      </w:r>
    </w:p>
    <w:p w14:paraId="3A4748FD"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Un Glosario en lenguaje claro y sencillo sobre los conceptos técnicos de lo que se publica;</w:t>
      </w:r>
    </w:p>
    <w:p w14:paraId="3A4748FE"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Notas explicativas y pedagógicas en lenguaje claro y sencillo del contenido de cada elemento del catálogo de Información Fundamental;</w:t>
      </w:r>
    </w:p>
    <w:p w14:paraId="3A4748FF"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c) </w:t>
      </w:r>
      <w:r>
        <w:rPr>
          <w:rFonts w:ascii="Gotham" w:hAnsi="Gotham" w:cs="Arial"/>
          <w:sz w:val="19"/>
          <w:szCs w:val="19"/>
        </w:rPr>
        <w:tab/>
      </w:r>
      <w:r w:rsidRPr="00242957">
        <w:rPr>
          <w:rFonts w:ascii="Gotham" w:hAnsi="Gotham" w:cs="Arial"/>
          <w:sz w:val="19"/>
          <w:szCs w:val="19"/>
        </w:rPr>
        <w:t>Los Ajustes Razonables en todo lo publicado, cuando la naturaleza de la información lo requiera y los recursos tecnológicos lo permitan;</w:t>
      </w:r>
    </w:p>
    <w:p w14:paraId="3A474900"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d) </w:t>
      </w:r>
      <w:r>
        <w:rPr>
          <w:rFonts w:ascii="Gotham" w:hAnsi="Gotham" w:cs="Arial"/>
          <w:sz w:val="19"/>
          <w:szCs w:val="19"/>
        </w:rPr>
        <w:tab/>
      </w:r>
      <w:r w:rsidRPr="00242957">
        <w:rPr>
          <w:rFonts w:ascii="Gotham" w:hAnsi="Gotham" w:cs="Arial"/>
          <w:sz w:val="19"/>
          <w:szCs w:val="19"/>
        </w:rPr>
        <w:t>Aplicar los principios de usabilidad en Internet; y</w:t>
      </w:r>
    </w:p>
    <w:p w14:paraId="3A474901" w14:textId="77777777" w:rsidR="009B5E39" w:rsidRPr="00242957" w:rsidRDefault="009B5E39" w:rsidP="009B5E39">
      <w:pPr>
        <w:ind w:left="1560" w:right="283" w:hanging="426"/>
        <w:jc w:val="both"/>
        <w:rPr>
          <w:rFonts w:ascii="Gotham" w:hAnsi="Gotham" w:cs="Arial"/>
          <w:sz w:val="19"/>
          <w:szCs w:val="19"/>
        </w:rPr>
      </w:pPr>
      <w:r w:rsidRPr="00242957">
        <w:rPr>
          <w:rFonts w:ascii="Gotham" w:hAnsi="Gotham" w:cs="Arial"/>
          <w:sz w:val="19"/>
          <w:szCs w:val="19"/>
        </w:rPr>
        <w:t xml:space="preserve">e) </w:t>
      </w:r>
      <w:r>
        <w:rPr>
          <w:rFonts w:ascii="Gotham" w:hAnsi="Gotham" w:cs="Arial"/>
          <w:sz w:val="19"/>
          <w:szCs w:val="19"/>
        </w:rPr>
        <w:tab/>
      </w:r>
      <w:r w:rsidRPr="00242957">
        <w:rPr>
          <w:rFonts w:ascii="Gotham" w:hAnsi="Gotham" w:cs="Arial"/>
          <w:sz w:val="19"/>
          <w:szCs w:val="19"/>
        </w:rPr>
        <w:t>Los recursos que estime necesarias la Unidad para mayor comprensión de la información.</w:t>
      </w:r>
    </w:p>
    <w:p w14:paraId="3A474902" w14:textId="77777777" w:rsidR="009B5E39" w:rsidRDefault="009B5E39" w:rsidP="009B5E39">
      <w:pPr>
        <w:pStyle w:val="Ttulo2"/>
        <w:ind w:left="284" w:right="283"/>
        <w:rPr>
          <w:rFonts w:ascii="Gotham" w:hAnsi="Gotham" w:cs="Arial"/>
          <w:sz w:val="19"/>
          <w:szCs w:val="19"/>
        </w:rPr>
      </w:pPr>
      <w:bookmarkStart w:id="13" w:name="_Toc40950512"/>
    </w:p>
    <w:p w14:paraId="3A474903" w14:textId="77777777" w:rsidR="009B5E39" w:rsidRDefault="009B5E39" w:rsidP="009B5E39">
      <w:pPr>
        <w:pStyle w:val="Ttulo2"/>
        <w:ind w:left="284" w:right="283"/>
        <w:rPr>
          <w:rFonts w:ascii="Gotham" w:hAnsi="Gotham" w:cs="Arial"/>
          <w:sz w:val="19"/>
          <w:szCs w:val="19"/>
        </w:rPr>
      </w:pPr>
    </w:p>
    <w:p w14:paraId="3A474904" w14:textId="77777777" w:rsidR="009B5E39" w:rsidRPr="00242957" w:rsidRDefault="009B5E39" w:rsidP="009B5E39">
      <w:pPr>
        <w:ind w:left="284" w:right="283"/>
        <w:jc w:val="center"/>
        <w:rPr>
          <w:rFonts w:ascii="Gotham" w:hAnsi="Gotham" w:cs="Arial"/>
          <w:sz w:val="19"/>
          <w:szCs w:val="19"/>
        </w:rPr>
      </w:pPr>
      <w:r w:rsidRPr="00242957">
        <w:rPr>
          <w:rFonts w:ascii="Gotham" w:hAnsi="Gotham" w:cs="Arial"/>
          <w:sz w:val="19"/>
          <w:szCs w:val="19"/>
        </w:rPr>
        <w:t xml:space="preserve">CAPÍTULO II </w:t>
      </w:r>
      <w:r w:rsidRPr="00242957">
        <w:rPr>
          <w:rFonts w:ascii="Gotham" w:hAnsi="Gotham" w:cs="Arial"/>
          <w:sz w:val="19"/>
          <w:szCs w:val="19"/>
        </w:rPr>
        <w:br/>
        <w:t>De la Clasificación de Información Reservada y Protección de Información Confidencial</w:t>
      </w:r>
      <w:bookmarkEnd w:id="13"/>
    </w:p>
    <w:p w14:paraId="3A474905" w14:textId="77777777" w:rsidR="009B5E39" w:rsidRPr="00242957" w:rsidRDefault="009B5E39" w:rsidP="009B5E39">
      <w:pPr>
        <w:pStyle w:val="Prrafodelista"/>
        <w:ind w:left="284" w:right="283"/>
        <w:contextualSpacing w:val="0"/>
        <w:jc w:val="both"/>
        <w:rPr>
          <w:rFonts w:ascii="Gotham" w:hAnsi="Gotham" w:cs="Arial"/>
          <w:sz w:val="19"/>
          <w:szCs w:val="19"/>
        </w:rPr>
      </w:pPr>
    </w:p>
    <w:p w14:paraId="3A474906" w14:textId="77777777" w:rsidR="009B5E39" w:rsidRPr="00242957" w:rsidRDefault="009B5E39" w:rsidP="009B5E39">
      <w:pPr>
        <w:pStyle w:val="Prrafodelista"/>
        <w:ind w:left="284" w:right="283"/>
        <w:contextualSpacing w:val="0"/>
        <w:jc w:val="both"/>
        <w:rPr>
          <w:rFonts w:ascii="Gotham" w:hAnsi="Gotham" w:cs="Arial"/>
          <w:sz w:val="19"/>
          <w:szCs w:val="19"/>
        </w:rPr>
      </w:pPr>
      <w:r w:rsidRPr="00242957">
        <w:rPr>
          <w:rFonts w:ascii="Gotham" w:hAnsi="Gotham" w:cs="Arial"/>
          <w:b/>
          <w:sz w:val="19"/>
          <w:szCs w:val="19"/>
        </w:rPr>
        <w:t>Artículo 31.</w:t>
      </w:r>
      <w:r w:rsidRPr="00242957">
        <w:rPr>
          <w:rFonts w:ascii="Gotham" w:hAnsi="Gotham" w:cs="Arial"/>
          <w:sz w:val="19"/>
          <w:szCs w:val="19"/>
        </w:rPr>
        <w:t xml:space="preserve"> De la Información Pública Protegida.</w:t>
      </w:r>
    </w:p>
    <w:p w14:paraId="3A474907" w14:textId="77777777" w:rsidR="009B5E39" w:rsidRPr="00242957" w:rsidRDefault="009B5E39" w:rsidP="009B5E39">
      <w:pPr>
        <w:pStyle w:val="Prrafodelista"/>
        <w:ind w:left="284" w:right="283"/>
        <w:contextualSpacing w:val="0"/>
        <w:jc w:val="both"/>
        <w:rPr>
          <w:rFonts w:ascii="Gotham" w:hAnsi="Gotham" w:cs="Arial"/>
          <w:sz w:val="19"/>
          <w:szCs w:val="19"/>
        </w:rPr>
      </w:pPr>
    </w:p>
    <w:p w14:paraId="3A474908" w14:textId="77777777" w:rsidR="009B5E39" w:rsidRPr="00242957" w:rsidRDefault="009B5E39" w:rsidP="009B5E39">
      <w:pPr>
        <w:pStyle w:val="Prrafodelista"/>
        <w:ind w:left="284" w:right="283"/>
        <w:contextualSpacing w:val="0"/>
        <w:jc w:val="both"/>
        <w:rPr>
          <w:rFonts w:ascii="Gotham" w:hAnsi="Gotham" w:cs="Arial"/>
          <w:sz w:val="19"/>
          <w:szCs w:val="19"/>
        </w:rPr>
      </w:pPr>
      <w:r w:rsidRPr="00242957">
        <w:rPr>
          <w:rFonts w:ascii="Gotham" w:hAnsi="Gotham" w:cs="Arial"/>
          <w:sz w:val="19"/>
          <w:szCs w:val="19"/>
        </w:rPr>
        <w:lastRenderedPageBreak/>
        <w:t>La Información Pública Protegida es la información reservada y confidencial, de acuerdo a lo establecido en la Ley y la Ley General.</w:t>
      </w:r>
    </w:p>
    <w:p w14:paraId="3A474909" w14:textId="77777777" w:rsidR="009B5E39" w:rsidRPr="00242957" w:rsidRDefault="009B5E39" w:rsidP="009B5E39">
      <w:pPr>
        <w:pStyle w:val="Prrafodelista"/>
        <w:ind w:left="284" w:right="283"/>
        <w:contextualSpacing w:val="0"/>
        <w:jc w:val="both"/>
        <w:rPr>
          <w:rFonts w:ascii="Gotham" w:hAnsi="Gotham" w:cs="Arial"/>
          <w:sz w:val="19"/>
          <w:szCs w:val="19"/>
        </w:rPr>
      </w:pPr>
    </w:p>
    <w:p w14:paraId="3A47490A" w14:textId="77777777" w:rsidR="009B5E39" w:rsidRPr="00242957" w:rsidRDefault="009B5E39" w:rsidP="009B5E39">
      <w:pPr>
        <w:pStyle w:val="Prrafodelista"/>
        <w:ind w:left="284" w:right="283"/>
        <w:contextualSpacing w:val="0"/>
        <w:jc w:val="both"/>
        <w:rPr>
          <w:rFonts w:ascii="Gotham" w:hAnsi="Gotham" w:cs="Arial"/>
          <w:sz w:val="19"/>
          <w:szCs w:val="19"/>
        </w:rPr>
      </w:pPr>
      <w:r w:rsidRPr="00242957">
        <w:rPr>
          <w:rFonts w:ascii="Gotham" w:hAnsi="Gotham" w:cs="Arial"/>
          <w:sz w:val="19"/>
          <w:szCs w:val="19"/>
        </w:rPr>
        <w:t>Es responsable de la clasificación y protección de la información pública así como de los datos personales, el Comité y corresponsable el Titular de la Unidad Administrativa.</w:t>
      </w:r>
    </w:p>
    <w:p w14:paraId="3A47490B" w14:textId="77777777" w:rsidR="009B5E39" w:rsidRPr="00242957" w:rsidRDefault="009B5E39" w:rsidP="009B5E39">
      <w:pPr>
        <w:pStyle w:val="Prrafodelista"/>
        <w:ind w:left="284" w:right="283"/>
        <w:contextualSpacing w:val="0"/>
        <w:jc w:val="both"/>
        <w:rPr>
          <w:rFonts w:ascii="Gotham" w:hAnsi="Gotham" w:cs="Arial"/>
          <w:sz w:val="19"/>
          <w:szCs w:val="19"/>
        </w:rPr>
      </w:pPr>
    </w:p>
    <w:p w14:paraId="3A47490C" w14:textId="77777777" w:rsidR="009B5E39" w:rsidRPr="00242957" w:rsidRDefault="009B5E39" w:rsidP="009B5E39">
      <w:pPr>
        <w:pStyle w:val="Prrafodelista"/>
        <w:ind w:left="284" w:right="283"/>
        <w:contextualSpacing w:val="0"/>
        <w:jc w:val="both"/>
        <w:rPr>
          <w:rFonts w:ascii="Gotham" w:hAnsi="Gotham" w:cs="Arial"/>
          <w:sz w:val="19"/>
          <w:szCs w:val="19"/>
        </w:rPr>
      </w:pPr>
      <w:r w:rsidRPr="00242957">
        <w:rPr>
          <w:rFonts w:ascii="Gotham" w:hAnsi="Gotham" w:cs="Arial"/>
          <w:b/>
          <w:sz w:val="19"/>
          <w:szCs w:val="19"/>
        </w:rPr>
        <w:t>Artículo 32.</w:t>
      </w:r>
      <w:r w:rsidRPr="00242957">
        <w:rPr>
          <w:rFonts w:ascii="Gotham" w:hAnsi="Gotham" w:cs="Arial"/>
          <w:sz w:val="19"/>
          <w:szCs w:val="19"/>
        </w:rPr>
        <w:t xml:space="preserve"> Del Procedimiento de Clasificación de Información Pública Reservada.</w:t>
      </w:r>
    </w:p>
    <w:p w14:paraId="3A47490D" w14:textId="77777777" w:rsidR="009B5E39" w:rsidRPr="00242957" w:rsidRDefault="009B5E39" w:rsidP="009B5E39">
      <w:pPr>
        <w:pStyle w:val="Prrafodelista"/>
        <w:ind w:left="284" w:right="283"/>
        <w:contextualSpacing w:val="0"/>
        <w:jc w:val="both"/>
        <w:rPr>
          <w:rFonts w:ascii="Gotham" w:hAnsi="Gotham" w:cs="Arial"/>
          <w:sz w:val="19"/>
          <w:szCs w:val="19"/>
        </w:rPr>
      </w:pPr>
    </w:p>
    <w:p w14:paraId="3A47490E" w14:textId="77777777" w:rsidR="009B5E39" w:rsidRPr="00242957" w:rsidRDefault="009B5E39" w:rsidP="009B5E39">
      <w:pPr>
        <w:pStyle w:val="Prrafodelista"/>
        <w:ind w:left="284" w:right="283"/>
        <w:contextualSpacing w:val="0"/>
        <w:jc w:val="both"/>
        <w:rPr>
          <w:rFonts w:ascii="Gotham" w:hAnsi="Gotham" w:cs="Arial"/>
          <w:sz w:val="19"/>
          <w:szCs w:val="19"/>
        </w:rPr>
      </w:pPr>
      <w:r w:rsidRPr="00242957">
        <w:rPr>
          <w:rFonts w:ascii="Gotham" w:hAnsi="Gotham" w:cs="Arial"/>
          <w:sz w:val="19"/>
          <w:szCs w:val="19"/>
        </w:rPr>
        <w:t>En la clasificación de información pública como reservada, se observará el siguiente procedimiento:</w:t>
      </w:r>
    </w:p>
    <w:p w14:paraId="3A47490F" w14:textId="77777777" w:rsidR="009B5E39" w:rsidRPr="00242957" w:rsidRDefault="009B5E39" w:rsidP="009B5E39">
      <w:pPr>
        <w:pStyle w:val="Prrafodelista"/>
        <w:ind w:left="284" w:right="283"/>
        <w:contextualSpacing w:val="0"/>
        <w:jc w:val="both"/>
        <w:rPr>
          <w:rFonts w:ascii="Gotham" w:hAnsi="Gotham" w:cs="Arial"/>
          <w:sz w:val="19"/>
          <w:szCs w:val="19"/>
        </w:rPr>
      </w:pPr>
    </w:p>
    <w:p w14:paraId="3A474910"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La Unidad Administrativa, al recibir de la Unidad una solicitud de información que presuma sujeta a ser reservada, a más tardar un día hábil a su recepción,</w:t>
      </w:r>
      <w:r w:rsidR="00883EC2">
        <w:rPr>
          <w:rFonts w:ascii="Gotham" w:hAnsi="Gotham" w:cs="Arial"/>
          <w:sz w:val="19"/>
          <w:szCs w:val="19"/>
        </w:rPr>
        <w:t xml:space="preserve"> </w:t>
      </w:r>
      <w:r w:rsidRPr="00242957">
        <w:rPr>
          <w:rFonts w:ascii="Gotham" w:hAnsi="Gotham" w:cs="Arial"/>
          <w:sz w:val="19"/>
          <w:szCs w:val="19"/>
        </w:rPr>
        <w:t>propondrá una reserva inicial, para lo que aportará y propondrá a la Unidad elementos que la motiven y la justifiquen observando lo siguiente:</w:t>
      </w:r>
    </w:p>
    <w:p w14:paraId="3A474911"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El catálogo, las excepciones, la negación, periodos y extinción de reserva establecida en la Ley;</w:t>
      </w:r>
    </w:p>
    <w:p w14:paraId="3A474912"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Los Lineamientos emitidos por el Instituto; y</w:t>
      </w:r>
    </w:p>
    <w:p w14:paraId="3A474913" w14:textId="77777777" w:rsidR="009B5E39" w:rsidRPr="00242957" w:rsidRDefault="009B5E39" w:rsidP="009B5E39">
      <w:pPr>
        <w:ind w:left="1560" w:right="283" w:hanging="426"/>
        <w:jc w:val="both"/>
        <w:rPr>
          <w:rFonts w:ascii="Gotham" w:hAnsi="Gotham" w:cs="Arial"/>
          <w:sz w:val="19"/>
          <w:szCs w:val="19"/>
        </w:rPr>
      </w:pPr>
      <w:r w:rsidRPr="00242957">
        <w:rPr>
          <w:rFonts w:ascii="Gotham" w:hAnsi="Gotham" w:cs="Arial"/>
          <w:sz w:val="19"/>
          <w:szCs w:val="19"/>
        </w:rPr>
        <w:t xml:space="preserve">c) </w:t>
      </w:r>
      <w:r>
        <w:rPr>
          <w:rFonts w:ascii="Gotham" w:hAnsi="Gotham" w:cs="Arial"/>
          <w:sz w:val="19"/>
          <w:szCs w:val="19"/>
        </w:rPr>
        <w:tab/>
      </w:r>
      <w:r w:rsidRPr="00242957">
        <w:rPr>
          <w:rFonts w:ascii="Gotham" w:hAnsi="Gotham" w:cs="Arial"/>
          <w:sz w:val="19"/>
          <w:szCs w:val="19"/>
        </w:rPr>
        <w:t>La vigencia de las excepciones, la negación, periodos y extinción de reserva establecida en la Ley, con base en antecedentes de reserva aplicados a casos iguales.</w:t>
      </w:r>
    </w:p>
    <w:p w14:paraId="3A474914" w14:textId="77777777" w:rsidR="009B5E39" w:rsidRDefault="009B5E39" w:rsidP="009B5E39">
      <w:pPr>
        <w:ind w:left="1134" w:right="283" w:hanging="850"/>
        <w:jc w:val="both"/>
        <w:rPr>
          <w:rFonts w:ascii="Gotham" w:hAnsi="Gotham" w:cs="Arial"/>
          <w:sz w:val="19"/>
          <w:szCs w:val="19"/>
        </w:rPr>
      </w:pPr>
    </w:p>
    <w:p w14:paraId="3A474915"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En el caso de actualizarse en la solicitud específica los supuestos anteriores, se confirmará la reserva.</w:t>
      </w:r>
    </w:p>
    <w:p w14:paraId="3A474916" w14:textId="77777777" w:rsidR="009B5E39" w:rsidRDefault="009B5E39" w:rsidP="009B5E39">
      <w:pPr>
        <w:ind w:left="1134" w:right="283" w:hanging="850"/>
        <w:jc w:val="both"/>
        <w:rPr>
          <w:rFonts w:ascii="Gotham" w:hAnsi="Gotham" w:cs="Arial"/>
          <w:sz w:val="19"/>
          <w:szCs w:val="19"/>
        </w:rPr>
      </w:pPr>
    </w:p>
    <w:p w14:paraId="3A474917"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La Unidad Administrativa, al recibir de la Unidad una solicitud de información que no actualice los supuestos de la fracción I, en los primeros dos días hábiles a su recepción, propondrá una reserva inicial, para lo que aportará y propondrá al Comité los elementos que la motiven y justifiquen observando lo siguiente:</w:t>
      </w:r>
    </w:p>
    <w:p w14:paraId="3A474918"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El catálogo, las excepciones, la negación, periodos y extinción de reserva establecida en la Ley;</w:t>
      </w:r>
    </w:p>
    <w:p w14:paraId="3A474919"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Los Lineamientos emitidos por el Instituto; y</w:t>
      </w:r>
    </w:p>
    <w:p w14:paraId="3A47491A"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c) </w:t>
      </w:r>
      <w:r>
        <w:rPr>
          <w:rFonts w:ascii="Gotham" w:hAnsi="Gotham" w:cs="Arial"/>
          <w:sz w:val="19"/>
          <w:szCs w:val="19"/>
        </w:rPr>
        <w:tab/>
      </w:r>
      <w:r w:rsidRPr="00242957">
        <w:rPr>
          <w:rFonts w:ascii="Gotham" w:hAnsi="Gotham" w:cs="Arial"/>
          <w:sz w:val="19"/>
          <w:szCs w:val="19"/>
        </w:rPr>
        <w:t>EL periodo en que debe mantenerse la reserva.</w:t>
      </w:r>
    </w:p>
    <w:p w14:paraId="3A47491B"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El Secretario Técnico, para lo establecido en la fracción I, convocara a sesión extraordinaria del Comité para</w:t>
      </w:r>
      <w:r w:rsidR="00883EC2">
        <w:rPr>
          <w:rFonts w:ascii="Gotham" w:hAnsi="Gotham" w:cs="Arial"/>
          <w:sz w:val="19"/>
          <w:szCs w:val="19"/>
        </w:rPr>
        <w:t xml:space="preserve"> </w:t>
      </w:r>
      <w:r w:rsidRPr="00242957">
        <w:rPr>
          <w:rFonts w:ascii="Gotham" w:hAnsi="Gotham" w:cs="Arial"/>
          <w:sz w:val="19"/>
          <w:szCs w:val="19"/>
        </w:rPr>
        <w:t>atender</w:t>
      </w:r>
      <w:r w:rsidR="00883EC2">
        <w:rPr>
          <w:rFonts w:ascii="Gotham" w:hAnsi="Gotham" w:cs="Arial"/>
          <w:sz w:val="19"/>
          <w:szCs w:val="19"/>
        </w:rPr>
        <w:t xml:space="preserve"> </w:t>
      </w:r>
      <w:r w:rsidRPr="00242957">
        <w:rPr>
          <w:rFonts w:ascii="Gotham" w:hAnsi="Gotham" w:cs="Arial"/>
          <w:sz w:val="19"/>
          <w:szCs w:val="19"/>
        </w:rPr>
        <w:t>la</w:t>
      </w:r>
      <w:r w:rsidR="00883EC2">
        <w:rPr>
          <w:rFonts w:ascii="Gotham" w:hAnsi="Gotham" w:cs="Arial"/>
          <w:sz w:val="19"/>
          <w:szCs w:val="19"/>
        </w:rPr>
        <w:t xml:space="preserve"> </w:t>
      </w:r>
      <w:r w:rsidRPr="00242957">
        <w:rPr>
          <w:rFonts w:ascii="Gotham" w:hAnsi="Gotham" w:cs="Arial"/>
          <w:sz w:val="19"/>
          <w:szCs w:val="19"/>
        </w:rPr>
        <w:t>información</w:t>
      </w:r>
      <w:r w:rsidR="00883EC2">
        <w:rPr>
          <w:rFonts w:ascii="Gotham" w:hAnsi="Gotham" w:cs="Arial"/>
          <w:sz w:val="19"/>
          <w:szCs w:val="19"/>
        </w:rPr>
        <w:t xml:space="preserve"> </w:t>
      </w:r>
      <w:r w:rsidRPr="00242957">
        <w:rPr>
          <w:rFonts w:ascii="Gotham" w:hAnsi="Gotham" w:cs="Arial"/>
          <w:sz w:val="19"/>
          <w:szCs w:val="19"/>
        </w:rPr>
        <w:t>sujeta</w:t>
      </w:r>
      <w:r w:rsidR="00883EC2">
        <w:rPr>
          <w:rFonts w:ascii="Gotham" w:hAnsi="Gotham" w:cs="Arial"/>
          <w:sz w:val="19"/>
          <w:szCs w:val="19"/>
        </w:rPr>
        <w:t xml:space="preserve"> </w:t>
      </w:r>
      <w:r w:rsidRPr="00242957">
        <w:rPr>
          <w:rFonts w:ascii="Gotham" w:hAnsi="Gotham" w:cs="Arial"/>
          <w:sz w:val="19"/>
          <w:szCs w:val="19"/>
        </w:rPr>
        <w:t>a</w:t>
      </w:r>
      <w:r w:rsidR="00883EC2">
        <w:rPr>
          <w:rFonts w:ascii="Gotham" w:hAnsi="Gotham" w:cs="Arial"/>
          <w:sz w:val="19"/>
          <w:szCs w:val="19"/>
        </w:rPr>
        <w:t xml:space="preserve"> </w:t>
      </w:r>
      <w:r w:rsidRPr="00242957">
        <w:rPr>
          <w:rFonts w:ascii="Gotham" w:hAnsi="Gotham" w:cs="Arial"/>
          <w:sz w:val="19"/>
          <w:szCs w:val="19"/>
        </w:rPr>
        <w:t>clasificación</w:t>
      </w:r>
      <w:r w:rsidR="00883EC2">
        <w:rPr>
          <w:rFonts w:ascii="Gotham" w:hAnsi="Gotham" w:cs="Arial"/>
          <w:sz w:val="19"/>
          <w:szCs w:val="19"/>
        </w:rPr>
        <w:t xml:space="preserve"> </w:t>
      </w:r>
      <w:r w:rsidRPr="00242957">
        <w:rPr>
          <w:rFonts w:ascii="Gotham" w:hAnsi="Gotham" w:cs="Arial"/>
          <w:sz w:val="19"/>
          <w:szCs w:val="19"/>
        </w:rPr>
        <w:t>para</w:t>
      </w:r>
      <w:r w:rsidR="00883EC2">
        <w:rPr>
          <w:rFonts w:ascii="Gotham" w:hAnsi="Gotham" w:cs="Arial"/>
          <w:sz w:val="19"/>
          <w:szCs w:val="19"/>
        </w:rPr>
        <w:t xml:space="preserve"> </w:t>
      </w:r>
      <w:r w:rsidRPr="00242957">
        <w:rPr>
          <w:rFonts w:ascii="Gotham" w:hAnsi="Gotham" w:cs="Arial"/>
          <w:sz w:val="19"/>
          <w:szCs w:val="19"/>
        </w:rPr>
        <w:t>su</w:t>
      </w:r>
      <w:r w:rsidR="00883EC2">
        <w:rPr>
          <w:rFonts w:ascii="Gotham" w:hAnsi="Gotham" w:cs="Arial"/>
          <w:sz w:val="19"/>
          <w:szCs w:val="19"/>
        </w:rPr>
        <w:t xml:space="preserve"> </w:t>
      </w:r>
      <w:r w:rsidRPr="00242957">
        <w:rPr>
          <w:rFonts w:ascii="Gotham" w:hAnsi="Gotham" w:cs="Arial"/>
          <w:sz w:val="19"/>
          <w:szCs w:val="19"/>
        </w:rPr>
        <w:t>confirmación,</w:t>
      </w:r>
      <w:r w:rsidR="00883EC2">
        <w:rPr>
          <w:rFonts w:ascii="Gotham" w:hAnsi="Gotham" w:cs="Arial"/>
          <w:sz w:val="19"/>
          <w:szCs w:val="19"/>
        </w:rPr>
        <w:t xml:space="preserve"> </w:t>
      </w:r>
      <w:r w:rsidRPr="00242957">
        <w:rPr>
          <w:rFonts w:ascii="Gotham" w:hAnsi="Gotham" w:cs="Arial"/>
          <w:sz w:val="19"/>
          <w:szCs w:val="19"/>
        </w:rPr>
        <w:t>modificación</w:t>
      </w:r>
      <w:r w:rsidR="00883EC2">
        <w:rPr>
          <w:rFonts w:ascii="Gotham" w:hAnsi="Gotham" w:cs="Arial"/>
          <w:sz w:val="19"/>
          <w:szCs w:val="19"/>
        </w:rPr>
        <w:t xml:space="preserve"> </w:t>
      </w:r>
      <w:r w:rsidRPr="00242957">
        <w:rPr>
          <w:rFonts w:ascii="Gotham" w:hAnsi="Gotham" w:cs="Arial"/>
          <w:sz w:val="19"/>
          <w:szCs w:val="19"/>
        </w:rPr>
        <w:t>o</w:t>
      </w:r>
      <w:r w:rsidR="00883EC2">
        <w:rPr>
          <w:rFonts w:ascii="Gotham" w:hAnsi="Gotham" w:cs="Arial"/>
          <w:sz w:val="19"/>
          <w:szCs w:val="19"/>
        </w:rPr>
        <w:t xml:space="preserve"> </w:t>
      </w:r>
      <w:r w:rsidRPr="00242957">
        <w:rPr>
          <w:rFonts w:ascii="Gotham" w:hAnsi="Gotham" w:cs="Arial"/>
          <w:sz w:val="19"/>
          <w:szCs w:val="19"/>
        </w:rPr>
        <w:t>revocación</w:t>
      </w:r>
      <w:r w:rsidR="00883EC2">
        <w:rPr>
          <w:rFonts w:ascii="Gotham" w:hAnsi="Gotham" w:cs="Arial"/>
          <w:sz w:val="19"/>
          <w:szCs w:val="19"/>
        </w:rPr>
        <w:t xml:space="preserve"> </w:t>
      </w:r>
      <w:r w:rsidRPr="00242957">
        <w:rPr>
          <w:rFonts w:ascii="Gotham" w:hAnsi="Gotham" w:cs="Arial"/>
          <w:sz w:val="19"/>
          <w:szCs w:val="19"/>
        </w:rPr>
        <w:t>como</w:t>
      </w:r>
      <w:r w:rsidR="00883EC2">
        <w:rPr>
          <w:rFonts w:ascii="Gotham" w:hAnsi="Gotham" w:cs="Arial"/>
          <w:sz w:val="19"/>
          <w:szCs w:val="19"/>
        </w:rPr>
        <w:t xml:space="preserve"> </w:t>
      </w:r>
      <w:r w:rsidRPr="00242957">
        <w:rPr>
          <w:rFonts w:ascii="Gotham" w:hAnsi="Gotham" w:cs="Arial"/>
          <w:sz w:val="19"/>
          <w:szCs w:val="19"/>
        </w:rPr>
        <w:t>corresponda,</w:t>
      </w:r>
      <w:r w:rsidR="00883EC2">
        <w:rPr>
          <w:rFonts w:ascii="Gotham" w:hAnsi="Gotham" w:cs="Arial"/>
          <w:sz w:val="19"/>
          <w:szCs w:val="19"/>
        </w:rPr>
        <w:t xml:space="preserve"> </w:t>
      </w:r>
      <w:r w:rsidRPr="00242957">
        <w:rPr>
          <w:rFonts w:ascii="Gotham" w:hAnsi="Gotham" w:cs="Arial"/>
          <w:sz w:val="19"/>
          <w:szCs w:val="19"/>
        </w:rPr>
        <w:t>así</w:t>
      </w:r>
      <w:r w:rsidR="00883EC2">
        <w:rPr>
          <w:rFonts w:ascii="Gotham" w:hAnsi="Gotham" w:cs="Arial"/>
          <w:sz w:val="19"/>
          <w:szCs w:val="19"/>
        </w:rPr>
        <w:t xml:space="preserve"> </w:t>
      </w:r>
      <w:r w:rsidRPr="00242957">
        <w:rPr>
          <w:rFonts w:ascii="Gotham" w:hAnsi="Gotham" w:cs="Arial"/>
          <w:sz w:val="19"/>
          <w:szCs w:val="19"/>
        </w:rPr>
        <w:t>como</w:t>
      </w:r>
      <w:r w:rsidR="00883EC2">
        <w:rPr>
          <w:rFonts w:ascii="Gotham" w:hAnsi="Gotham" w:cs="Arial"/>
          <w:sz w:val="19"/>
          <w:szCs w:val="19"/>
        </w:rPr>
        <w:t xml:space="preserve"> </w:t>
      </w:r>
      <w:r w:rsidRPr="00242957">
        <w:rPr>
          <w:rFonts w:ascii="Gotham" w:hAnsi="Gotham" w:cs="Arial"/>
          <w:sz w:val="19"/>
          <w:szCs w:val="19"/>
        </w:rPr>
        <w:t>su vigencia;</w:t>
      </w:r>
    </w:p>
    <w:p w14:paraId="3A47491C"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El Comité, con la propuesta de reserva inicial, analizará y determinará la confirmación, modificación o revocación de la información requerida, asentándose en un acta, atendiendo lo dispuesto en la Ley, la Ley General, los lineamientos emitidos por el Instituto y por el Sistema Nacional de Transparencia y la fracción I, del presente artículo;</w:t>
      </w:r>
    </w:p>
    <w:p w14:paraId="3A47491D"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En el caso que la clasificación proceda, el Comité ordenará a la Unidad Administrativa elaborar una versión pública</w:t>
      </w:r>
      <w:r w:rsidR="00883EC2">
        <w:rPr>
          <w:rFonts w:ascii="Gotham" w:hAnsi="Gotham" w:cs="Arial"/>
          <w:sz w:val="19"/>
          <w:szCs w:val="19"/>
        </w:rPr>
        <w:t xml:space="preserve"> </w:t>
      </w:r>
      <w:r w:rsidRPr="00242957">
        <w:rPr>
          <w:rFonts w:ascii="Gotham" w:hAnsi="Gotham" w:cs="Arial"/>
          <w:sz w:val="19"/>
          <w:szCs w:val="19"/>
        </w:rPr>
        <w:t>del documento o</w:t>
      </w:r>
      <w:r w:rsidR="00883EC2">
        <w:rPr>
          <w:rFonts w:ascii="Gotham" w:hAnsi="Gotham" w:cs="Arial"/>
          <w:sz w:val="19"/>
          <w:szCs w:val="19"/>
        </w:rPr>
        <w:t xml:space="preserve"> </w:t>
      </w:r>
      <w:r w:rsidRPr="00242957">
        <w:rPr>
          <w:rFonts w:ascii="Gotham" w:hAnsi="Gotham" w:cs="Arial"/>
          <w:sz w:val="19"/>
          <w:szCs w:val="19"/>
        </w:rPr>
        <w:t>los documentos con</w:t>
      </w:r>
      <w:r w:rsidR="00883EC2">
        <w:rPr>
          <w:rFonts w:ascii="Gotham" w:hAnsi="Gotham" w:cs="Arial"/>
          <w:sz w:val="19"/>
          <w:szCs w:val="19"/>
        </w:rPr>
        <w:t xml:space="preserve"> </w:t>
      </w:r>
      <w:r w:rsidRPr="00242957">
        <w:rPr>
          <w:rFonts w:ascii="Gotham" w:hAnsi="Gotham" w:cs="Arial"/>
          <w:sz w:val="19"/>
          <w:szCs w:val="19"/>
        </w:rPr>
        <w:t>la información requerida y clasificada, la cual se integrará al expediente de clasificación, con apoyo de la Unidad de Transparencia; y</w:t>
      </w:r>
    </w:p>
    <w:p w14:paraId="3A47491E" w14:textId="77777777" w:rsidR="009B5E39" w:rsidRPr="00242957" w:rsidRDefault="009B5E39" w:rsidP="009B5E39">
      <w:pPr>
        <w:ind w:left="1134" w:right="283" w:hanging="850"/>
        <w:jc w:val="both"/>
        <w:rPr>
          <w:rFonts w:ascii="Gotham" w:hAnsi="Gotham" w:cs="Arial"/>
          <w:b/>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El Secretario Técnico</w:t>
      </w:r>
      <w:r w:rsidR="00883EC2">
        <w:rPr>
          <w:rFonts w:ascii="Gotham" w:hAnsi="Gotham" w:cs="Arial"/>
          <w:sz w:val="19"/>
          <w:szCs w:val="19"/>
        </w:rPr>
        <w:t xml:space="preserve"> </w:t>
      </w:r>
      <w:r w:rsidRPr="00242957">
        <w:rPr>
          <w:rFonts w:ascii="Gotham" w:hAnsi="Gotham" w:cs="Arial"/>
          <w:sz w:val="19"/>
          <w:szCs w:val="19"/>
        </w:rPr>
        <w:t>registrará</w:t>
      </w:r>
      <w:r w:rsidR="00883EC2">
        <w:rPr>
          <w:rFonts w:ascii="Gotham" w:hAnsi="Gotham" w:cs="Arial"/>
          <w:sz w:val="19"/>
          <w:szCs w:val="19"/>
        </w:rPr>
        <w:t xml:space="preserve"> </w:t>
      </w:r>
      <w:r w:rsidRPr="00242957">
        <w:rPr>
          <w:rFonts w:ascii="Gotham" w:hAnsi="Gotham" w:cs="Arial"/>
          <w:sz w:val="19"/>
          <w:szCs w:val="19"/>
        </w:rPr>
        <w:t>en</w:t>
      </w:r>
      <w:r w:rsidR="00883EC2">
        <w:rPr>
          <w:rFonts w:ascii="Gotham" w:hAnsi="Gotham" w:cs="Arial"/>
          <w:sz w:val="19"/>
          <w:szCs w:val="19"/>
        </w:rPr>
        <w:t xml:space="preserve"> </w:t>
      </w:r>
      <w:r w:rsidRPr="00242957">
        <w:rPr>
          <w:rFonts w:ascii="Gotham" w:hAnsi="Gotham" w:cs="Arial"/>
          <w:sz w:val="19"/>
          <w:szCs w:val="19"/>
        </w:rPr>
        <w:t>el</w:t>
      </w:r>
      <w:r w:rsidR="00883EC2">
        <w:rPr>
          <w:rFonts w:ascii="Gotham" w:hAnsi="Gotham" w:cs="Arial"/>
          <w:sz w:val="19"/>
          <w:szCs w:val="19"/>
        </w:rPr>
        <w:t xml:space="preserve"> </w:t>
      </w:r>
      <w:r w:rsidRPr="00242957">
        <w:rPr>
          <w:rFonts w:ascii="Gotham" w:hAnsi="Gotham" w:cs="Arial"/>
          <w:sz w:val="19"/>
          <w:szCs w:val="19"/>
        </w:rPr>
        <w:t>Sistema</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Información</w:t>
      </w:r>
      <w:r w:rsidR="00883EC2">
        <w:rPr>
          <w:rFonts w:ascii="Gotham" w:hAnsi="Gotham" w:cs="Arial"/>
          <w:sz w:val="19"/>
          <w:szCs w:val="19"/>
        </w:rPr>
        <w:t xml:space="preserve"> </w:t>
      </w:r>
      <w:r w:rsidRPr="00242957">
        <w:rPr>
          <w:rFonts w:ascii="Gotham" w:hAnsi="Gotham" w:cs="Arial"/>
          <w:sz w:val="19"/>
          <w:szCs w:val="19"/>
        </w:rPr>
        <w:t>Clasificada</w:t>
      </w:r>
      <w:r w:rsidR="00883EC2">
        <w:rPr>
          <w:rFonts w:ascii="Gotham" w:hAnsi="Gotham" w:cs="Arial"/>
          <w:sz w:val="19"/>
          <w:szCs w:val="19"/>
        </w:rPr>
        <w:t xml:space="preserve"> </w:t>
      </w:r>
      <w:r w:rsidRPr="00242957">
        <w:rPr>
          <w:rFonts w:ascii="Gotham" w:hAnsi="Gotham" w:cs="Arial"/>
          <w:sz w:val="19"/>
          <w:szCs w:val="19"/>
        </w:rPr>
        <w:t>y</w:t>
      </w:r>
      <w:r w:rsidR="00883EC2">
        <w:rPr>
          <w:rFonts w:ascii="Gotham" w:hAnsi="Gotham" w:cs="Arial"/>
          <w:sz w:val="19"/>
          <w:szCs w:val="19"/>
        </w:rPr>
        <w:t xml:space="preserve"> </w:t>
      </w:r>
      <w:r w:rsidRPr="00242957">
        <w:rPr>
          <w:rFonts w:ascii="Gotham" w:hAnsi="Gotham" w:cs="Arial"/>
          <w:sz w:val="19"/>
          <w:szCs w:val="19"/>
        </w:rPr>
        <w:t>notificará al solicitante sobre el acuerdo del Comité a través de la Unidad de Transparencia elaborando una respuesta y en su caso la versión pública</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conformidad con la Ley.</w:t>
      </w:r>
    </w:p>
    <w:p w14:paraId="3A47491F" w14:textId="77777777" w:rsidR="009B5E39" w:rsidRDefault="009B5E39" w:rsidP="009B5E39">
      <w:pPr>
        <w:ind w:left="284" w:right="283"/>
        <w:rPr>
          <w:rFonts w:ascii="Gotham" w:hAnsi="Gotham" w:cs="Arial"/>
          <w:b/>
          <w:sz w:val="19"/>
          <w:szCs w:val="19"/>
        </w:rPr>
      </w:pPr>
    </w:p>
    <w:p w14:paraId="3A474920" w14:textId="77777777" w:rsidR="009B5E39" w:rsidRPr="00242957" w:rsidRDefault="009B5E39" w:rsidP="009B5E39">
      <w:pPr>
        <w:ind w:left="284" w:right="283"/>
        <w:rPr>
          <w:rFonts w:ascii="Gotham" w:hAnsi="Gotham" w:cs="Arial"/>
          <w:sz w:val="19"/>
          <w:szCs w:val="19"/>
        </w:rPr>
      </w:pPr>
      <w:r w:rsidRPr="00242957">
        <w:rPr>
          <w:rFonts w:ascii="Gotham" w:hAnsi="Gotham" w:cs="Arial"/>
          <w:b/>
          <w:sz w:val="19"/>
          <w:szCs w:val="19"/>
        </w:rPr>
        <w:t>Artículo 33</w:t>
      </w:r>
      <w:r w:rsidRPr="00242957">
        <w:rPr>
          <w:rFonts w:ascii="Gotham" w:hAnsi="Gotham" w:cs="Arial"/>
          <w:sz w:val="19"/>
          <w:szCs w:val="19"/>
        </w:rPr>
        <w:t>. Del Procedimiento de Clasificación de</w:t>
      </w:r>
      <w:r w:rsidR="00883EC2">
        <w:rPr>
          <w:rFonts w:ascii="Gotham" w:hAnsi="Gotham" w:cs="Arial"/>
          <w:sz w:val="19"/>
          <w:szCs w:val="19"/>
        </w:rPr>
        <w:t xml:space="preserve"> </w:t>
      </w:r>
      <w:r w:rsidRPr="00242957">
        <w:rPr>
          <w:rFonts w:ascii="Gotham" w:hAnsi="Gotham" w:cs="Arial"/>
          <w:sz w:val="19"/>
          <w:szCs w:val="19"/>
        </w:rPr>
        <w:t xml:space="preserve">Información Confidencial. </w:t>
      </w:r>
    </w:p>
    <w:p w14:paraId="3A474921" w14:textId="77777777" w:rsidR="009B5E39" w:rsidRDefault="009B5E39" w:rsidP="009B5E39">
      <w:pPr>
        <w:ind w:left="284" w:right="283"/>
        <w:jc w:val="both"/>
        <w:rPr>
          <w:rFonts w:ascii="Gotham" w:hAnsi="Gotham" w:cs="Arial"/>
          <w:sz w:val="19"/>
          <w:szCs w:val="19"/>
        </w:rPr>
      </w:pPr>
    </w:p>
    <w:p w14:paraId="3A47492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En la clasificación de información confidencial, se observará el siguiente procedimiento:</w:t>
      </w:r>
    </w:p>
    <w:p w14:paraId="3A474923" w14:textId="77777777" w:rsidR="009B5E39" w:rsidRDefault="009B5E39" w:rsidP="009B5E39">
      <w:pPr>
        <w:ind w:left="284" w:right="283"/>
        <w:jc w:val="both"/>
        <w:rPr>
          <w:rFonts w:ascii="Gotham" w:hAnsi="Gotham" w:cs="Arial"/>
          <w:sz w:val="19"/>
          <w:szCs w:val="19"/>
        </w:rPr>
      </w:pPr>
    </w:p>
    <w:p w14:paraId="3A474924"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lastRenderedPageBreak/>
        <w:t xml:space="preserve">I. </w:t>
      </w:r>
      <w:r>
        <w:rPr>
          <w:rFonts w:ascii="Gotham" w:hAnsi="Gotham" w:cs="Arial"/>
          <w:sz w:val="19"/>
          <w:szCs w:val="19"/>
        </w:rPr>
        <w:tab/>
      </w:r>
      <w:r w:rsidRPr="00242957">
        <w:rPr>
          <w:rFonts w:ascii="Gotham" w:hAnsi="Gotham" w:cs="Arial"/>
          <w:sz w:val="19"/>
          <w:szCs w:val="19"/>
        </w:rPr>
        <w:t>La Unidad Administrativa, al recibir de la Unidad una solicitud de información que presuma contiene elementos sujetos a</w:t>
      </w:r>
      <w:r w:rsidR="00883EC2">
        <w:rPr>
          <w:rFonts w:ascii="Gotham" w:hAnsi="Gotham" w:cs="Arial"/>
          <w:sz w:val="19"/>
          <w:szCs w:val="19"/>
        </w:rPr>
        <w:t xml:space="preserve"> </w:t>
      </w:r>
      <w:r w:rsidRPr="00242957">
        <w:rPr>
          <w:rFonts w:ascii="Gotham" w:hAnsi="Gotham" w:cs="Arial"/>
          <w:sz w:val="19"/>
          <w:szCs w:val="19"/>
        </w:rPr>
        <w:t>reserva</w:t>
      </w:r>
      <w:r w:rsidR="00883EC2">
        <w:rPr>
          <w:rFonts w:ascii="Gotham" w:hAnsi="Gotham" w:cs="Arial"/>
          <w:sz w:val="19"/>
          <w:szCs w:val="19"/>
        </w:rPr>
        <w:t xml:space="preserve"> </w:t>
      </w:r>
      <w:r w:rsidRPr="00242957">
        <w:rPr>
          <w:rFonts w:ascii="Gotham" w:hAnsi="Gotham" w:cs="Arial"/>
          <w:sz w:val="19"/>
          <w:szCs w:val="19"/>
        </w:rPr>
        <w:t>y</w:t>
      </w:r>
      <w:r w:rsidR="00883EC2">
        <w:rPr>
          <w:rFonts w:ascii="Gotham" w:hAnsi="Gotham" w:cs="Arial"/>
          <w:sz w:val="19"/>
          <w:szCs w:val="19"/>
        </w:rPr>
        <w:t xml:space="preserve"> </w:t>
      </w:r>
      <w:r w:rsidRPr="00242957">
        <w:rPr>
          <w:rFonts w:ascii="Gotham" w:hAnsi="Gotham" w:cs="Arial"/>
          <w:sz w:val="19"/>
          <w:szCs w:val="19"/>
        </w:rPr>
        <w:t>protección</w:t>
      </w:r>
      <w:r w:rsidR="00883EC2">
        <w:rPr>
          <w:rFonts w:ascii="Gotham" w:hAnsi="Gotham" w:cs="Arial"/>
          <w:sz w:val="19"/>
          <w:szCs w:val="19"/>
        </w:rPr>
        <w:t xml:space="preserve"> </w:t>
      </w:r>
      <w:r w:rsidRPr="00242957">
        <w:rPr>
          <w:rFonts w:ascii="Gotham" w:hAnsi="Gotham" w:cs="Arial"/>
          <w:sz w:val="19"/>
          <w:szCs w:val="19"/>
        </w:rPr>
        <w:t>por</w:t>
      </w:r>
      <w:r w:rsidR="00883EC2">
        <w:rPr>
          <w:rFonts w:ascii="Gotham" w:hAnsi="Gotham" w:cs="Arial"/>
          <w:sz w:val="19"/>
          <w:szCs w:val="19"/>
        </w:rPr>
        <w:t xml:space="preserve"> </w:t>
      </w:r>
      <w:r w:rsidRPr="00242957">
        <w:rPr>
          <w:rFonts w:ascii="Gotham" w:hAnsi="Gotham" w:cs="Arial"/>
          <w:sz w:val="19"/>
          <w:szCs w:val="19"/>
        </w:rPr>
        <w:t>ser confidencial, en los primeros dos días hábiles a su recepción los aportará y propondrá a la</w:t>
      </w:r>
      <w:r w:rsidR="00883EC2">
        <w:rPr>
          <w:rFonts w:ascii="Gotham" w:hAnsi="Gotham" w:cs="Arial"/>
          <w:sz w:val="19"/>
          <w:szCs w:val="19"/>
        </w:rPr>
        <w:t xml:space="preserve"> </w:t>
      </w:r>
      <w:r w:rsidRPr="00242957">
        <w:rPr>
          <w:rFonts w:ascii="Gotham" w:hAnsi="Gotham" w:cs="Arial"/>
          <w:sz w:val="19"/>
          <w:szCs w:val="19"/>
        </w:rPr>
        <w:t>Unidad, con base en lo establecido la Ley, y los Lineamientos emitidos por el</w:t>
      </w:r>
      <w:r w:rsidR="00883EC2">
        <w:rPr>
          <w:rFonts w:ascii="Gotham" w:hAnsi="Gotham" w:cs="Arial"/>
          <w:sz w:val="19"/>
          <w:szCs w:val="19"/>
        </w:rPr>
        <w:t xml:space="preserve"> </w:t>
      </w:r>
      <w:r w:rsidRPr="00242957">
        <w:rPr>
          <w:rFonts w:ascii="Gotham" w:hAnsi="Gotham" w:cs="Arial"/>
          <w:sz w:val="19"/>
          <w:szCs w:val="19"/>
        </w:rPr>
        <w:t>Instituto;</w:t>
      </w:r>
    </w:p>
    <w:p w14:paraId="3A474925"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La Unidad Administrativa, en su propuesta de reserva y protección de información confidencial, deberá incluir de manera precisa y clara los motivos y fundamentos legales, sobre cada uno de los datos sujetos a reserva;</w:t>
      </w:r>
    </w:p>
    <w:p w14:paraId="3A474926"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La Unidad Administrativa elaborará una versión pública del documento con la información requerida, testando la información confidencial e indicando en el</w:t>
      </w:r>
      <w:r w:rsidR="00883EC2">
        <w:rPr>
          <w:rFonts w:ascii="Gotham" w:hAnsi="Gotham" w:cs="Arial"/>
          <w:sz w:val="19"/>
          <w:szCs w:val="19"/>
        </w:rPr>
        <w:t xml:space="preserve"> </w:t>
      </w:r>
      <w:r w:rsidRPr="00242957">
        <w:rPr>
          <w:rFonts w:ascii="Gotham" w:hAnsi="Gotham" w:cs="Arial"/>
          <w:sz w:val="19"/>
          <w:szCs w:val="19"/>
        </w:rPr>
        <w:t>mismo y al margen del documento el fundamento legal, la cual enviará a la Unidad;</w:t>
      </w:r>
      <w:r w:rsidR="00883EC2">
        <w:rPr>
          <w:rFonts w:ascii="Gotham" w:hAnsi="Gotham" w:cs="Arial"/>
          <w:sz w:val="19"/>
          <w:szCs w:val="19"/>
        </w:rPr>
        <w:t xml:space="preserve"> </w:t>
      </w:r>
      <w:r w:rsidRPr="00242957">
        <w:rPr>
          <w:rFonts w:ascii="Gotham" w:hAnsi="Gotham" w:cs="Arial"/>
          <w:sz w:val="19"/>
          <w:szCs w:val="19"/>
        </w:rPr>
        <w:t>y</w:t>
      </w:r>
    </w:p>
    <w:p w14:paraId="3A474927"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La Unidad validará la versión pública y emitirá una respuesta por escrito y la entregará al solicitante, de conformidad con la Ley.</w:t>
      </w:r>
    </w:p>
    <w:p w14:paraId="3A474928" w14:textId="77777777" w:rsidR="009B5E39" w:rsidRDefault="009B5E39" w:rsidP="009B5E39">
      <w:pPr>
        <w:ind w:left="284" w:right="283"/>
        <w:rPr>
          <w:rFonts w:ascii="Gotham" w:hAnsi="Gotham" w:cs="Arial"/>
          <w:b/>
          <w:sz w:val="19"/>
          <w:szCs w:val="19"/>
        </w:rPr>
      </w:pPr>
    </w:p>
    <w:p w14:paraId="3A474929" w14:textId="77777777" w:rsidR="009B5E39" w:rsidRPr="00242957" w:rsidRDefault="009B5E39" w:rsidP="009B5E39">
      <w:pPr>
        <w:ind w:left="284" w:right="283"/>
        <w:rPr>
          <w:rFonts w:ascii="Gotham" w:hAnsi="Gotham" w:cs="Arial"/>
          <w:sz w:val="19"/>
          <w:szCs w:val="19"/>
        </w:rPr>
      </w:pPr>
      <w:r w:rsidRPr="00242957">
        <w:rPr>
          <w:rFonts w:ascii="Gotham" w:hAnsi="Gotham" w:cs="Arial"/>
          <w:b/>
          <w:sz w:val="19"/>
          <w:szCs w:val="19"/>
        </w:rPr>
        <w:t>Artículo 34.</w:t>
      </w:r>
      <w:r w:rsidRPr="00242957">
        <w:rPr>
          <w:rFonts w:ascii="Gotham" w:hAnsi="Gotham" w:cs="Arial"/>
          <w:sz w:val="19"/>
          <w:szCs w:val="19"/>
        </w:rPr>
        <w:t xml:space="preserve"> Del Procedimiento de Protección de Información Confidencial.</w:t>
      </w:r>
    </w:p>
    <w:p w14:paraId="3A47492A" w14:textId="77777777" w:rsidR="009B5E39" w:rsidRDefault="009B5E39" w:rsidP="009B5E39">
      <w:pPr>
        <w:ind w:left="284" w:right="283"/>
        <w:jc w:val="both"/>
        <w:rPr>
          <w:rFonts w:ascii="Gotham" w:hAnsi="Gotham" w:cs="Arial"/>
          <w:sz w:val="19"/>
          <w:szCs w:val="19"/>
        </w:rPr>
      </w:pPr>
    </w:p>
    <w:p w14:paraId="3A47492B"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Para el procedimiento de protección de información confidencial, se atenderá de conformidad con la Ley y su Reglamento, así como los Lineamientos</w:t>
      </w:r>
      <w:r w:rsidR="00883EC2">
        <w:rPr>
          <w:rFonts w:ascii="Gotham" w:hAnsi="Gotham" w:cs="Arial"/>
          <w:sz w:val="19"/>
          <w:szCs w:val="19"/>
        </w:rPr>
        <w:t xml:space="preserve"> </w:t>
      </w:r>
      <w:r w:rsidRPr="00242957">
        <w:rPr>
          <w:rFonts w:ascii="Gotham" w:hAnsi="Gotham" w:cs="Arial"/>
          <w:sz w:val="19"/>
          <w:szCs w:val="19"/>
        </w:rPr>
        <w:t>emitidos</w:t>
      </w:r>
      <w:r w:rsidR="00883EC2">
        <w:rPr>
          <w:rFonts w:ascii="Gotham" w:hAnsi="Gotham" w:cs="Arial"/>
          <w:sz w:val="19"/>
          <w:szCs w:val="19"/>
        </w:rPr>
        <w:t xml:space="preserve"> </w:t>
      </w:r>
      <w:r w:rsidRPr="00242957">
        <w:rPr>
          <w:rFonts w:ascii="Gotham" w:hAnsi="Gotham" w:cs="Arial"/>
          <w:sz w:val="19"/>
          <w:szCs w:val="19"/>
        </w:rPr>
        <w:t>por</w:t>
      </w:r>
      <w:r w:rsidR="00883EC2">
        <w:rPr>
          <w:rFonts w:ascii="Gotham" w:hAnsi="Gotham" w:cs="Arial"/>
          <w:sz w:val="19"/>
          <w:szCs w:val="19"/>
        </w:rPr>
        <w:t xml:space="preserve"> </w:t>
      </w:r>
      <w:r w:rsidRPr="00242957">
        <w:rPr>
          <w:rFonts w:ascii="Gotham" w:hAnsi="Gotham" w:cs="Arial"/>
          <w:sz w:val="19"/>
          <w:szCs w:val="19"/>
        </w:rPr>
        <w:t>el</w:t>
      </w:r>
      <w:r w:rsidR="00883EC2">
        <w:rPr>
          <w:rFonts w:ascii="Gotham" w:hAnsi="Gotham" w:cs="Arial"/>
          <w:sz w:val="19"/>
          <w:szCs w:val="19"/>
        </w:rPr>
        <w:t xml:space="preserve"> </w:t>
      </w:r>
      <w:r w:rsidRPr="00242957">
        <w:rPr>
          <w:rFonts w:ascii="Gotham" w:hAnsi="Gotham" w:cs="Arial"/>
          <w:sz w:val="19"/>
          <w:szCs w:val="19"/>
        </w:rPr>
        <w:t>Instituto y el Sistema Nacional de Transparencia.</w:t>
      </w:r>
    </w:p>
    <w:p w14:paraId="3A47492C" w14:textId="77777777" w:rsidR="009B5E39" w:rsidRDefault="009B5E39" w:rsidP="009B5E39">
      <w:pPr>
        <w:ind w:left="284" w:right="283"/>
        <w:jc w:val="both"/>
        <w:rPr>
          <w:rFonts w:ascii="Gotham" w:hAnsi="Gotham" w:cs="Arial"/>
          <w:sz w:val="19"/>
          <w:szCs w:val="19"/>
        </w:rPr>
      </w:pPr>
    </w:p>
    <w:p w14:paraId="3A47492D"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Toda persona, titular de información confidencial, puede solicitar ante el sujeto obligado en cualquier tiempo el acceso, clasificación, rectificación, oposición,</w:t>
      </w:r>
      <w:r w:rsidR="00883EC2">
        <w:rPr>
          <w:rFonts w:ascii="Gotham" w:hAnsi="Gotham" w:cs="Arial"/>
          <w:sz w:val="19"/>
          <w:szCs w:val="19"/>
        </w:rPr>
        <w:t xml:space="preserve"> </w:t>
      </w:r>
      <w:r w:rsidRPr="00242957">
        <w:rPr>
          <w:rFonts w:ascii="Gotham" w:hAnsi="Gotham" w:cs="Arial"/>
          <w:sz w:val="19"/>
          <w:szCs w:val="19"/>
        </w:rPr>
        <w:t>modificación, corrección, sustitución, cancelación o ampliación de sus datos.</w:t>
      </w:r>
    </w:p>
    <w:p w14:paraId="3A47492E" w14:textId="77777777" w:rsidR="009B5E39" w:rsidRDefault="009B5E39" w:rsidP="009B5E39">
      <w:pPr>
        <w:ind w:left="284" w:right="283"/>
        <w:jc w:val="both"/>
        <w:rPr>
          <w:rFonts w:ascii="Gotham" w:hAnsi="Gotham" w:cs="Arial"/>
          <w:sz w:val="19"/>
          <w:szCs w:val="19"/>
        </w:rPr>
      </w:pPr>
    </w:p>
    <w:p w14:paraId="3A47492F"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Para el ejercicio del derecho anterior, se procederá conforme a lo establecido en la Ley;</w:t>
      </w:r>
    </w:p>
    <w:p w14:paraId="3A474930" w14:textId="77777777" w:rsidR="009B5E39" w:rsidRDefault="009B5E39" w:rsidP="009B5E39">
      <w:pPr>
        <w:ind w:left="284" w:right="283"/>
        <w:jc w:val="both"/>
        <w:rPr>
          <w:rFonts w:ascii="Gotham" w:hAnsi="Gotham" w:cs="Arial"/>
          <w:sz w:val="19"/>
          <w:szCs w:val="19"/>
        </w:rPr>
      </w:pPr>
    </w:p>
    <w:p w14:paraId="3A474931"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Unidad Administrativa, al recibir del Comité una solicitud para la protección de información confidencial le informara sobre su existencia y procedencia; asimismo,</w:t>
      </w:r>
      <w:r w:rsidR="00883EC2">
        <w:rPr>
          <w:rFonts w:ascii="Gotham" w:hAnsi="Gotham" w:cs="Arial"/>
          <w:sz w:val="19"/>
          <w:szCs w:val="19"/>
        </w:rPr>
        <w:t xml:space="preserve"> </w:t>
      </w:r>
      <w:r w:rsidRPr="00242957">
        <w:rPr>
          <w:rFonts w:ascii="Gotham" w:hAnsi="Gotham" w:cs="Arial"/>
          <w:sz w:val="19"/>
          <w:szCs w:val="19"/>
        </w:rPr>
        <w:t>aportará los elementos necesarios para que el Comité determine el sentido de la respuesta que se le dará a través de la Unidad al solicitante, conforme a lo establecido en la Ley.</w:t>
      </w:r>
    </w:p>
    <w:p w14:paraId="3A474932" w14:textId="77777777" w:rsidR="009B5E39" w:rsidRDefault="009B5E39" w:rsidP="009B5E39">
      <w:pPr>
        <w:ind w:left="284" w:right="283"/>
        <w:jc w:val="center"/>
        <w:rPr>
          <w:rFonts w:ascii="Gotham" w:hAnsi="Gotham" w:cs="Arial"/>
          <w:b/>
          <w:sz w:val="19"/>
          <w:szCs w:val="19"/>
        </w:rPr>
      </w:pPr>
    </w:p>
    <w:p w14:paraId="3A474933" w14:textId="77777777" w:rsidR="009B5E39" w:rsidRDefault="009B5E39" w:rsidP="009B5E39">
      <w:pPr>
        <w:ind w:left="284" w:right="283"/>
        <w:jc w:val="center"/>
        <w:rPr>
          <w:rFonts w:ascii="Gotham" w:hAnsi="Gotham" w:cs="Arial"/>
          <w:b/>
          <w:sz w:val="19"/>
          <w:szCs w:val="19"/>
        </w:rPr>
      </w:pPr>
    </w:p>
    <w:p w14:paraId="3A474934" w14:textId="77777777" w:rsidR="009B5E39" w:rsidRPr="00242957" w:rsidRDefault="009B5E39" w:rsidP="009B5E39">
      <w:pPr>
        <w:ind w:left="284" w:right="283"/>
        <w:jc w:val="center"/>
        <w:rPr>
          <w:rFonts w:ascii="Gotham" w:hAnsi="Gotham" w:cs="Arial"/>
          <w:b/>
          <w:sz w:val="19"/>
          <w:szCs w:val="19"/>
        </w:rPr>
      </w:pPr>
      <w:r w:rsidRPr="00242957">
        <w:rPr>
          <w:rFonts w:ascii="Gotham" w:hAnsi="Gotham" w:cs="Arial"/>
          <w:b/>
          <w:sz w:val="19"/>
          <w:szCs w:val="19"/>
        </w:rPr>
        <w:t>CAPÍTULO III</w:t>
      </w:r>
    </w:p>
    <w:p w14:paraId="3A474935" w14:textId="77777777" w:rsidR="009B5E39" w:rsidRPr="00242957" w:rsidRDefault="009B5E39" w:rsidP="009B5E39">
      <w:pPr>
        <w:ind w:left="284" w:right="283"/>
        <w:jc w:val="center"/>
        <w:rPr>
          <w:rFonts w:ascii="Gotham" w:hAnsi="Gotham" w:cs="Arial"/>
          <w:b/>
          <w:sz w:val="19"/>
          <w:szCs w:val="19"/>
        </w:rPr>
      </w:pPr>
      <w:r w:rsidRPr="00242957">
        <w:rPr>
          <w:rFonts w:ascii="Gotham" w:hAnsi="Gotham" w:cs="Arial"/>
          <w:b/>
          <w:sz w:val="19"/>
          <w:szCs w:val="19"/>
        </w:rPr>
        <w:t>Del Acceso a la Información Pública y Protección de la Información.</w:t>
      </w:r>
    </w:p>
    <w:p w14:paraId="3A474936" w14:textId="77777777" w:rsidR="009B5E39" w:rsidRPr="00242957" w:rsidRDefault="009B5E39" w:rsidP="009B5E39">
      <w:pPr>
        <w:ind w:left="284" w:right="283"/>
        <w:jc w:val="both"/>
        <w:rPr>
          <w:rFonts w:ascii="Gotham" w:hAnsi="Gotham" w:cs="Arial"/>
          <w:sz w:val="19"/>
          <w:szCs w:val="19"/>
        </w:rPr>
      </w:pPr>
    </w:p>
    <w:p w14:paraId="3A474937"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35.</w:t>
      </w:r>
      <w:r w:rsidRPr="00242957">
        <w:rPr>
          <w:rFonts w:ascii="Gotham" w:hAnsi="Gotham" w:cs="Arial"/>
          <w:sz w:val="19"/>
          <w:szCs w:val="19"/>
        </w:rPr>
        <w:t xml:space="preserve"> De las Disposiciones básicas.</w:t>
      </w:r>
    </w:p>
    <w:p w14:paraId="3A474938" w14:textId="77777777" w:rsidR="009B5E39" w:rsidRDefault="009B5E39" w:rsidP="009B5E39">
      <w:pPr>
        <w:ind w:left="284" w:right="283"/>
        <w:jc w:val="both"/>
        <w:rPr>
          <w:rFonts w:ascii="Gotham" w:hAnsi="Gotham" w:cs="Arial"/>
          <w:sz w:val="19"/>
          <w:szCs w:val="19"/>
        </w:rPr>
      </w:pPr>
    </w:p>
    <w:p w14:paraId="3A474939"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atención de las solicitudes de transparencia observará lo siguiente:</w:t>
      </w:r>
    </w:p>
    <w:p w14:paraId="3A47493A" w14:textId="77777777" w:rsidR="009B5E39" w:rsidRDefault="009B5E39" w:rsidP="009B5E39">
      <w:pPr>
        <w:ind w:left="284" w:right="283"/>
        <w:jc w:val="both"/>
        <w:rPr>
          <w:rFonts w:ascii="Gotham" w:hAnsi="Gotham" w:cs="Arial"/>
          <w:sz w:val="19"/>
          <w:szCs w:val="19"/>
        </w:rPr>
      </w:pPr>
    </w:p>
    <w:p w14:paraId="3A47493B"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Será la Unidad quien atenderá el acceso a la información pública por medio de solicitudes de información en cada una de sus modalidades, así como</w:t>
      </w:r>
      <w:r w:rsidR="00883EC2">
        <w:rPr>
          <w:rFonts w:ascii="Gotham" w:hAnsi="Gotham" w:cs="Arial"/>
          <w:sz w:val="19"/>
          <w:szCs w:val="19"/>
        </w:rPr>
        <w:t xml:space="preserve"> </w:t>
      </w:r>
      <w:r w:rsidRPr="00242957">
        <w:rPr>
          <w:rFonts w:ascii="Gotham" w:hAnsi="Gotham" w:cs="Arial"/>
          <w:sz w:val="19"/>
          <w:szCs w:val="19"/>
        </w:rPr>
        <w:t>sus</w:t>
      </w:r>
      <w:r w:rsidR="00883EC2">
        <w:rPr>
          <w:rFonts w:ascii="Gotham" w:hAnsi="Gotham" w:cs="Arial"/>
          <w:sz w:val="19"/>
          <w:szCs w:val="19"/>
        </w:rPr>
        <w:t xml:space="preserve"> </w:t>
      </w:r>
      <w:r w:rsidRPr="00242957">
        <w:rPr>
          <w:rFonts w:ascii="Gotham" w:hAnsi="Gotham" w:cs="Arial"/>
          <w:sz w:val="19"/>
          <w:szCs w:val="19"/>
        </w:rPr>
        <w:t>respuestas, los Sujetos Obligados y las Unidades Administrativas atenderá lo establecido en la Ley; y</w:t>
      </w:r>
    </w:p>
    <w:p w14:paraId="3A47493C"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El Comité atenderá las solicitudes de protección de datos en cada una de sus modalidades, así como sus respuestas, los Sujetos Obligados y las Unidades Administrativas atenderán lo establecido en la Ley.</w:t>
      </w:r>
    </w:p>
    <w:p w14:paraId="3A47493D"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El horario de recepción en la Unidad de Transparencia y Unidades Administrativas para efectos de acceso a la información pública y protección de información es de lunes a viernes en horarios de oficina de 09.00 a 15:00 horas y podrá utilizarse la firma electrónica avanzada para envíos por correo electrónico.</w:t>
      </w:r>
    </w:p>
    <w:p w14:paraId="3A47493E" w14:textId="77777777" w:rsidR="009B5E39" w:rsidRDefault="009B5E39" w:rsidP="009B5E39">
      <w:pPr>
        <w:ind w:left="284" w:right="283"/>
        <w:jc w:val="both"/>
        <w:rPr>
          <w:rFonts w:ascii="Gotham" w:hAnsi="Gotham" w:cs="Arial"/>
          <w:b/>
          <w:sz w:val="19"/>
          <w:szCs w:val="19"/>
        </w:rPr>
      </w:pPr>
    </w:p>
    <w:p w14:paraId="3A47493F"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36.</w:t>
      </w:r>
      <w:r w:rsidRPr="00242957">
        <w:rPr>
          <w:rFonts w:ascii="Gotham" w:hAnsi="Gotham" w:cs="Arial"/>
          <w:sz w:val="19"/>
          <w:szCs w:val="19"/>
        </w:rPr>
        <w:t xml:space="preserve"> Del Procedimiento Interno.</w:t>
      </w:r>
    </w:p>
    <w:p w14:paraId="3A474940" w14:textId="77777777" w:rsidR="009B5E39" w:rsidRDefault="009B5E39" w:rsidP="009B5E39">
      <w:pPr>
        <w:ind w:left="284" w:right="283"/>
        <w:jc w:val="both"/>
        <w:rPr>
          <w:rFonts w:ascii="Gotham" w:hAnsi="Gotham" w:cs="Arial"/>
          <w:sz w:val="19"/>
          <w:szCs w:val="19"/>
        </w:rPr>
      </w:pPr>
    </w:p>
    <w:p w14:paraId="3A474941"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lastRenderedPageBreak/>
        <w:t>En la gestión interna de las solicitudes de información pública y/o protección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información confidencial, se procederá de la siguiente forma:</w:t>
      </w:r>
    </w:p>
    <w:p w14:paraId="3A474942" w14:textId="77777777" w:rsidR="009B5E39" w:rsidRDefault="009B5E39" w:rsidP="009B5E39">
      <w:pPr>
        <w:ind w:left="284" w:right="283"/>
        <w:jc w:val="both"/>
        <w:rPr>
          <w:rFonts w:ascii="Gotham" w:hAnsi="Gotham" w:cs="Arial"/>
          <w:sz w:val="19"/>
          <w:szCs w:val="19"/>
        </w:rPr>
      </w:pPr>
    </w:p>
    <w:p w14:paraId="3A474943"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La Unidad turnará la solicitud a la Unidad Administrativa que genera, administra o resguarda la información con base en sus</w:t>
      </w:r>
      <w:r w:rsidR="00883EC2">
        <w:rPr>
          <w:rFonts w:ascii="Gotham" w:hAnsi="Gotham" w:cs="Arial"/>
          <w:sz w:val="19"/>
          <w:szCs w:val="19"/>
        </w:rPr>
        <w:t xml:space="preserve"> </w:t>
      </w:r>
      <w:r w:rsidRPr="00242957">
        <w:rPr>
          <w:rFonts w:ascii="Gotham" w:hAnsi="Gotham" w:cs="Arial"/>
          <w:sz w:val="19"/>
          <w:szCs w:val="19"/>
        </w:rPr>
        <w:t>atribuciones</w:t>
      </w:r>
      <w:r w:rsidR="00883EC2">
        <w:rPr>
          <w:rFonts w:ascii="Gotham" w:hAnsi="Gotham" w:cs="Arial"/>
          <w:sz w:val="19"/>
          <w:szCs w:val="19"/>
        </w:rPr>
        <w:t xml:space="preserve"> </w:t>
      </w:r>
      <w:r w:rsidRPr="00242957">
        <w:rPr>
          <w:rFonts w:ascii="Gotham" w:hAnsi="Gotham" w:cs="Arial"/>
          <w:sz w:val="19"/>
          <w:szCs w:val="19"/>
        </w:rPr>
        <w:t>y</w:t>
      </w:r>
      <w:r w:rsidR="00883EC2">
        <w:rPr>
          <w:rFonts w:ascii="Gotham" w:hAnsi="Gotham" w:cs="Arial"/>
          <w:sz w:val="19"/>
          <w:szCs w:val="19"/>
        </w:rPr>
        <w:t xml:space="preserve"> </w:t>
      </w:r>
      <w:r w:rsidRPr="00242957">
        <w:rPr>
          <w:rFonts w:ascii="Gotham" w:hAnsi="Gotham" w:cs="Arial"/>
          <w:sz w:val="19"/>
          <w:szCs w:val="19"/>
        </w:rPr>
        <w:t>obligaciones,</w:t>
      </w:r>
      <w:r w:rsidR="00883EC2">
        <w:rPr>
          <w:rFonts w:ascii="Gotham" w:hAnsi="Gotham" w:cs="Arial"/>
          <w:sz w:val="19"/>
          <w:szCs w:val="19"/>
        </w:rPr>
        <w:t xml:space="preserve"> </w:t>
      </w:r>
      <w:r w:rsidRPr="00242957">
        <w:rPr>
          <w:rFonts w:ascii="Gotham" w:hAnsi="Gotham" w:cs="Arial"/>
          <w:sz w:val="19"/>
          <w:szCs w:val="19"/>
        </w:rPr>
        <w:t>el</w:t>
      </w:r>
      <w:r w:rsidR="00883EC2">
        <w:rPr>
          <w:rFonts w:ascii="Gotham" w:hAnsi="Gotham" w:cs="Arial"/>
          <w:sz w:val="19"/>
          <w:szCs w:val="19"/>
        </w:rPr>
        <w:t xml:space="preserve"> </w:t>
      </w:r>
      <w:r w:rsidRPr="00242957">
        <w:rPr>
          <w:rFonts w:ascii="Gotham" w:hAnsi="Gotham" w:cs="Arial"/>
          <w:sz w:val="19"/>
          <w:szCs w:val="19"/>
        </w:rPr>
        <w:t>mismo día de su recepción;</w:t>
      </w:r>
    </w:p>
    <w:p w14:paraId="3A474944"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La Unidad Administrativa informará a la Unidad, en el supuesto de que proceda, sobre la incompetencia, prevención de la información solicitada, un día hábil</w:t>
      </w:r>
      <w:r w:rsidR="00883EC2">
        <w:rPr>
          <w:rFonts w:ascii="Gotham" w:hAnsi="Gotham" w:cs="Arial"/>
          <w:sz w:val="19"/>
          <w:szCs w:val="19"/>
        </w:rPr>
        <w:t xml:space="preserve"> </w:t>
      </w:r>
      <w:r w:rsidRPr="00242957">
        <w:rPr>
          <w:rFonts w:ascii="Gotham" w:hAnsi="Gotham" w:cs="Arial"/>
          <w:sz w:val="19"/>
          <w:szCs w:val="19"/>
        </w:rPr>
        <w:t>después en que recibió la solicitud conforme a los horarios establecidos en</w:t>
      </w:r>
      <w:r w:rsidR="00883EC2">
        <w:rPr>
          <w:rFonts w:ascii="Gotham" w:hAnsi="Gotham" w:cs="Arial"/>
          <w:sz w:val="19"/>
          <w:szCs w:val="19"/>
        </w:rPr>
        <w:t xml:space="preserve"> </w:t>
      </w:r>
      <w:r w:rsidRPr="00242957">
        <w:rPr>
          <w:rFonts w:ascii="Gotham" w:hAnsi="Gotham" w:cs="Arial"/>
          <w:sz w:val="19"/>
          <w:szCs w:val="19"/>
        </w:rPr>
        <w:t>el</w:t>
      </w:r>
      <w:r w:rsidR="00883EC2">
        <w:rPr>
          <w:rFonts w:ascii="Gotham" w:hAnsi="Gotham" w:cs="Arial"/>
          <w:sz w:val="19"/>
          <w:szCs w:val="19"/>
        </w:rPr>
        <w:t xml:space="preserve"> </w:t>
      </w:r>
      <w:r w:rsidRPr="00242957">
        <w:rPr>
          <w:rFonts w:ascii="Gotham" w:hAnsi="Gotham" w:cs="Arial"/>
          <w:sz w:val="19"/>
          <w:szCs w:val="19"/>
        </w:rPr>
        <w:t>artículo 9 fracción IX;</w:t>
      </w:r>
    </w:p>
    <w:p w14:paraId="3A474945" w14:textId="77777777" w:rsidR="009B5E39" w:rsidRDefault="009B5E39" w:rsidP="009B5E39">
      <w:pPr>
        <w:ind w:left="284" w:right="283"/>
        <w:jc w:val="both"/>
        <w:rPr>
          <w:rFonts w:ascii="Gotham" w:hAnsi="Gotham" w:cs="Arial"/>
          <w:sz w:val="19"/>
          <w:szCs w:val="19"/>
        </w:rPr>
      </w:pPr>
    </w:p>
    <w:p w14:paraId="3A474946"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En caso de omisión, será responsable del Titular y el Enlace de Transparencia de la Unidad Administrativa que no se pronuncie a lo señalado en el párrafo anterior en tiempo y forma, y que sea causa de incumplimiento a la solicitud de acceso a la información púbica, podrá incurrir en responsabilidad administrativa;</w:t>
      </w:r>
    </w:p>
    <w:p w14:paraId="3A474947" w14:textId="77777777" w:rsidR="009B5E39" w:rsidRDefault="009B5E39" w:rsidP="009B5E39">
      <w:pPr>
        <w:ind w:left="284" w:right="283"/>
        <w:jc w:val="both"/>
        <w:rPr>
          <w:rFonts w:ascii="Gotham" w:hAnsi="Gotham" w:cs="Arial"/>
          <w:sz w:val="19"/>
          <w:szCs w:val="19"/>
        </w:rPr>
      </w:pPr>
    </w:p>
    <w:p w14:paraId="3A474948"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Al interior de la Unidad Administrativa se tramitará la información solicitada y se entregará la respuesta a la Unidad, de los dos días hábiles siguientes a la recepción de la solicitud, conforme a los horarios establecidos</w:t>
      </w:r>
      <w:r w:rsidR="00883EC2">
        <w:rPr>
          <w:rFonts w:ascii="Gotham" w:hAnsi="Gotham" w:cs="Arial"/>
          <w:sz w:val="19"/>
          <w:szCs w:val="19"/>
        </w:rPr>
        <w:t xml:space="preserve"> </w:t>
      </w:r>
      <w:r w:rsidRPr="00242957">
        <w:rPr>
          <w:rFonts w:ascii="Gotham" w:hAnsi="Gotham" w:cs="Arial"/>
          <w:sz w:val="19"/>
          <w:szCs w:val="19"/>
        </w:rPr>
        <w:t>en</w:t>
      </w:r>
      <w:r w:rsidR="00883EC2">
        <w:rPr>
          <w:rFonts w:ascii="Gotham" w:hAnsi="Gotham" w:cs="Arial"/>
          <w:sz w:val="19"/>
          <w:szCs w:val="19"/>
        </w:rPr>
        <w:t xml:space="preserve"> </w:t>
      </w:r>
      <w:r w:rsidRPr="00242957">
        <w:rPr>
          <w:rFonts w:ascii="Gotham" w:hAnsi="Gotham" w:cs="Arial"/>
          <w:sz w:val="19"/>
          <w:szCs w:val="19"/>
        </w:rPr>
        <w:t>el</w:t>
      </w:r>
      <w:r w:rsidR="00883EC2">
        <w:rPr>
          <w:rFonts w:ascii="Gotham" w:hAnsi="Gotham" w:cs="Arial"/>
          <w:sz w:val="19"/>
          <w:szCs w:val="19"/>
        </w:rPr>
        <w:t xml:space="preserve"> </w:t>
      </w:r>
      <w:r w:rsidRPr="00242957">
        <w:rPr>
          <w:rFonts w:ascii="Gotham" w:hAnsi="Gotham" w:cs="Arial"/>
          <w:sz w:val="19"/>
          <w:szCs w:val="19"/>
        </w:rPr>
        <w:t>artículo</w:t>
      </w:r>
      <w:r w:rsidR="00883EC2">
        <w:rPr>
          <w:rFonts w:ascii="Gotham" w:hAnsi="Gotham" w:cs="Arial"/>
          <w:sz w:val="19"/>
          <w:szCs w:val="19"/>
        </w:rPr>
        <w:t xml:space="preserve"> </w:t>
      </w:r>
      <w:r w:rsidRPr="00242957">
        <w:rPr>
          <w:rFonts w:ascii="Gotham" w:hAnsi="Gotham" w:cs="Arial"/>
          <w:sz w:val="19"/>
          <w:szCs w:val="19"/>
        </w:rPr>
        <w:t>9</w:t>
      </w:r>
      <w:r w:rsidR="00883EC2">
        <w:rPr>
          <w:rFonts w:ascii="Gotham" w:hAnsi="Gotham" w:cs="Arial"/>
          <w:sz w:val="19"/>
          <w:szCs w:val="19"/>
        </w:rPr>
        <w:t xml:space="preserve"> </w:t>
      </w:r>
      <w:r w:rsidRPr="00242957">
        <w:rPr>
          <w:rFonts w:ascii="Gotham" w:hAnsi="Gotham" w:cs="Arial"/>
          <w:sz w:val="19"/>
          <w:szCs w:val="19"/>
        </w:rPr>
        <w:t>fracción</w:t>
      </w:r>
      <w:r w:rsidR="00883EC2">
        <w:rPr>
          <w:rFonts w:ascii="Gotham" w:hAnsi="Gotham" w:cs="Arial"/>
          <w:sz w:val="19"/>
          <w:szCs w:val="19"/>
        </w:rPr>
        <w:t xml:space="preserve"> </w:t>
      </w:r>
      <w:r w:rsidRPr="00242957">
        <w:rPr>
          <w:rFonts w:ascii="Gotham" w:hAnsi="Gotham" w:cs="Arial"/>
          <w:sz w:val="19"/>
          <w:szCs w:val="19"/>
        </w:rPr>
        <w:t>IX; con los datos siguientes:</w:t>
      </w:r>
    </w:p>
    <w:p w14:paraId="3A474949" w14:textId="77777777" w:rsidR="009B5E39" w:rsidRPr="00242957" w:rsidRDefault="009B5E39" w:rsidP="009B5E39">
      <w:pPr>
        <w:spacing w:after="8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Número de expediente de la solicitud de información;</w:t>
      </w:r>
    </w:p>
    <w:p w14:paraId="3A47494A" w14:textId="77777777" w:rsidR="009B5E39" w:rsidRPr="00242957" w:rsidRDefault="009B5E39" w:rsidP="009B5E39">
      <w:pPr>
        <w:spacing w:after="8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Transcripción de lo solicitado;</w:t>
      </w:r>
    </w:p>
    <w:p w14:paraId="3A47494B" w14:textId="77777777" w:rsidR="009B5E39" w:rsidRPr="00242957" w:rsidRDefault="009B5E39" w:rsidP="009B5E39">
      <w:pPr>
        <w:spacing w:after="80"/>
        <w:ind w:left="1560" w:right="283" w:hanging="426"/>
        <w:jc w:val="both"/>
        <w:rPr>
          <w:rFonts w:ascii="Gotham" w:hAnsi="Gotham" w:cs="Arial"/>
          <w:sz w:val="19"/>
          <w:szCs w:val="19"/>
        </w:rPr>
      </w:pPr>
      <w:r w:rsidRPr="00242957">
        <w:rPr>
          <w:rFonts w:ascii="Gotham" w:hAnsi="Gotham" w:cs="Arial"/>
          <w:sz w:val="19"/>
          <w:szCs w:val="19"/>
        </w:rPr>
        <w:t xml:space="preserve">c) </w:t>
      </w:r>
      <w:r>
        <w:rPr>
          <w:rFonts w:ascii="Gotham" w:hAnsi="Gotham" w:cs="Arial"/>
          <w:sz w:val="19"/>
          <w:szCs w:val="19"/>
        </w:rPr>
        <w:tab/>
      </w:r>
      <w:r w:rsidRPr="00242957">
        <w:rPr>
          <w:rFonts w:ascii="Gotham" w:hAnsi="Gotham" w:cs="Arial"/>
          <w:sz w:val="19"/>
          <w:szCs w:val="19"/>
        </w:rPr>
        <w:t>Respuesta correspondiente a la solicitud;</w:t>
      </w:r>
    </w:p>
    <w:p w14:paraId="3A47494C" w14:textId="77777777" w:rsidR="009B5E39" w:rsidRPr="00242957" w:rsidRDefault="009B5E39" w:rsidP="009B5E39">
      <w:pPr>
        <w:spacing w:after="80"/>
        <w:ind w:left="1560" w:right="283" w:hanging="426"/>
        <w:jc w:val="both"/>
        <w:rPr>
          <w:rFonts w:ascii="Gotham" w:hAnsi="Gotham" w:cs="Arial"/>
          <w:sz w:val="19"/>
          <w:szCs w:val="19"/>
        </w:rPr>
      </w:pPr>
      <w:r w:rsidRPr="00242957">
        <w:rPr>
          <w:rFonts w:ascii="Gotham" w:hAnsi="Gotham" w:cs="Arial"/>
          <w:sz w:val="19"/>
          <w:szCs w:val="19"/>
        </w:rPr>
        <w:t xml:space="preserve">d) </w:t>
      </w:r>
      <w:r>
        <w:rPr>
          <w:rFonts w:ascii="Gotham" w:hAnsi="Gotham" w:cs="Arial"/>
          <w:sz w:val="19"/>
          <w:szCs w:val="19"/>
        </w:rPr>
        <w:tab/>
      </w:r>
      <w:r w:rsidRPr="00242957">
        <w:rPr>
          <w:rFonts w:ascii="Gotham" w:hAnsi="Gotham" w:cs="Arial"/>
          <w:sz w:val="19"/>
          <w:szCs w:val="19"/>
        </w:rPr>
        <w:t>Fundamentación y motivación;</w:t>
      </w:r>
    </w:p>
    <w:p w14:paraId="3A47494D" w14:textId="77777777" w:rsidR="009B5E39" w:rsidRPr="00242957" w:rsidRDefault="009B5E39" w:rsidP="009B5E39">
      <w:pPr>
        <w:spacing w:after="80"/>
        <w:ind w:left="1560" w:right="283" w:hanging="426"/>
        <w:jc w:val="both"/>
        <w:rPr>
          <w:rFonts w:ascii="Gotham" w:hAnsi="Gotham" w:cs="Arial"/>
          <w:sz w:val="19"/>
          <w:szCs w:val="19"/>
        </w:rPr>
      </w:pPr>
      <w:r w:rsidRPr="00242957">
        <w:rPr>
          <w:rFonts w:ascii="Gotham" w:hAnsi="Gotham" w:cs="Arial"/>
          <w:sz w:val="19"/>
          <w:szCs w:val="19"/>
        </w:rPr>
        <w:t xml:space="preserve">e) </w:t>
      </w:r>
      <w:r>
        <w:rPr>
          <w:rFonts w:ascii="Gotham" w:hAnsi="Gotham" w:cs="Arial"/>
          <w:sz w:val="19"/>
          <w:szCs w:val="19"/>
        </w:rPr>
        <w:tab/>
      </w:r>
      <w:r w:rsidRPr="00242957">
        <w:rPr>
          <w:rFonts w:ascii="Gotham" w:hAnsi="Gotham" w:cs="Arial"/>
          <w:sz w:val="19"/>
          <w:szCs w:val="19"/>
        </w:rPr>
        <w:t>Lugar y fecha; y</w:t>
      </w:r>
    </w:p>
    <w:p w14:paraId="3A47494E"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f) </w:t>
      </w:r>
      <w:r>
        <w:rPr>
          <w:rFonts w:ascii="Gotham" w:hAnsi="Gotham" w:cs="Arial"/>
          <w:sz w:val="19"/>
          <w:szCs w:val="19"/>
        </w:rPr>
        <w:tab/>
      </w:r>
      <w:r w:rsidRPr="00242957">
        <w:rPr>
          <w:rFonts w:ascii="Gotham" w:hAnsi="Gotham" w:cs="Arial"/>
          <w:sz w:val="19"/>
          <w:szCs w:val="19"/>
        </w:rPr>
        <w:t>Nombre y firma del funcionario o servidor público responsable de la información.</w:t>
      </w:r>
    </w:p>
    <w:p w14:paraId="3A47494F"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En la generación y entrega de informes específicos, así como en las respuestas de inexistencia de información, se procederá de la misma forma que en los incisos precedentes, añadiendo además la justificación respectiva;</w:t>
      </w:r>
    </w:p>
    <w:p w14:paraId="3A474950"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En el procedimiento de clasificación inicial de información reservada, se procederá de la misma forma que en las fracciones I, II y III del</w:t>
      </w:r>
      <w:r w:rsidR="00883EC2">
        <w:rPr>
          <w:rFonts w:ascii="Gotham" w:hAnsi="Gotham" w:cs="Arial"/>
          <w:sz w:val="19"/>
          <w:szCs w:val="19"/>
        </w:rPr>
        <w:t xml:space="preserve"> </w:t>
      </w:r>
      <w:r w:rsidRPr="00242957">
        <w:rPr>
          <w:rFonts w:ascii="Gotham" w:hAnsi="Gotham" w:cs="Arial"/>
          <w:sz w:val="19"/>
          <w:szCs w:val="19"/>
        </w:rPr>
        <w:t>presente</w:t>
      </w:r>
      <w:r w:rsidR="00883EC2">
        <w:rPr>
          <w:rFonts w:ascii="Gotham" w:hAnsi="Gotham" w:cs="Arial"/>
          <w:sz w:val="19"/>
          <w:szCs w:val="19"/>
        </w:rPr>
        <w:t xml:space="preserve"> </w:t>
      </w:r>
      <w:r w:rsidRPr="00242957">
        <w:rPr>
          <w:rFonts w:ascii="Gotham" w:hAnsi="Gotham" w:cs="Arial"/>
          <w:sz w:val="19"/>
          <w:szCs w:val="19"/>
        </w:rPr>
        <w:t>artículo,</w:t>
      </w:r>
      <w:r w:rsidR="00883EC2">
        <w:rPr>
          <w:rFonts w:ascii="Gotham" w:hAnsi="Gotham" w:cs="Arial"/>
          <w:sz w:val="19"/>
          <w:szCs w:val="19"/>
        </w:rPr>
        <w:t xml:space="preserve"> </w:t>
      </w:r>
      <w:r w:rsidRPr="00242957">
        <w:rPr>
          <w:rFonts w:ascii="Gotham" w:hAnsi="Gotham" w:cs="Arial"/>
          <w:sz w:val="19"/>
          <w:szCs w:val="19"/>
        </w:rPr>
        <w:t>incorporando además:</w:t>
      </w:r>
    </w:p>
    <w:p w14:paraId="3A474951"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Prueba de daño, con base en lo dispuesto en la Ley y los Lineamientos del Instituto y del Sistema Nacional de Transparencia; y</w:t>
      </w:r>
    </w:p>
    <w:p w14:paraId="3A474952"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Documento con la información con reserva parcial o total, con base en el procedimiento establecido en el artículo 22 del presente Reglamento y en su caso la versión pública.</w:t>
      </w:r>
    </w:p>
    <w:p w14:paraId="3A474953"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En los procedimientos de clasificación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información</w:t>
      </w:r>
      <w:r w:rsidR="00883EC2">
        <w:rPr>
          <w:rFonts w:ascii="Gotham" w:hAnsi="Gotham" w:cs="Arial"/>
          <w:sz w:val="19"/>
          <w:szCs w:val="19"/>
        </w:rPr>
        <w:t xml:space="preserve"> </w:t>
      </w:r>
      <w:r w:rsidRPr="00242957">
        <w:rPr>
          <w:rFonts w:ascii="Gotham" w:hAnsi="Gotham" w:cs="Arial"/>
          <w:sz w:val="19"/>
          <w:szCs w:val="19"/>
        </w:rPr>
        <w:t>confidencial</w:t>
      </w:r>
      <w:r w:rsidR="00883EC2">
        <w:rPr>
          <w:rFonts w:ascii="Gotham" w:hAnsi="Gotham" w:cs="Arial"/>
          <w:sz w:val="19"/>
          <w:szCs w:val="19"/>
        </w:rPr>
        <w:t xml:space="preserve"> </w:t>
      </w:r>
      <w:r w:rsidRPr="00242957">
        <w:rPr>
          <w:rFonts w:ascii="Gotham" w:hAnsi="Gotham" w:cs="Arial"/>
          <w:sz w:val="19"/>
          <w:szCs w:val="19"/>
        </w:rPr>
        <w:t>se</w:t>
      </w:r>
      <w:r w:rsidR="00883EC2">
        <w:rPr>
          <w:rFonts w:ascii="Gotham" w:hAnsi="Gotham" w:cs="Arial"/>
          <w:sz w:val="19"/>
          <w:szCs w:val="19"/>
        </w:rPr>
        <w:t xml:space="preserve"> </w:t>
      </w:r>
      <w:r w:rsidRPr="00242957">
        <w:rPr>
          <w:rFonts w:ascii="Gotham" w:hAnsi="Gotham" w:cs="Arial"/>
          <w:sz w:val="19"/>
          <w:szCs w:val="19"/>
        </w:rPr>
        <w:t>procederá</w:t>
      </w:r>
      <w:r w:rsidR="00883EC2">
        <w:rPr>
          <w:rFonts w:ascii="Gotham" w:hAnsi="Gotham" w:cs="Arial"/>
          <w:sz w:val="19"/>
          <w:szCs w:val="19"/>
        </w:rPr>
        <w:t xml:space="preserve"> </w:t>
      </w:r>
      <w:r w:rsidRPr="00242957">
        <w:rPr>
          <w:rFonts w:ascii="Gotham" w:hAnsi="Gotham" w:cs="Arial"/>
          <w:sz w:val="19"/>
          <w:szCs w:val="19"/>
        </w:rPr>
        <w:t>de la misma forma que en las fracciones I, II y III del</w:t>
      </w:r>
      <w:r w:rsidR="00883EC2">
        <w:rPr>
          <w:rFonts w:ascii="Gotham" w:hAnsi="Gotham" w:cs="Arial"/>
          <w:sz w:val="19"/>
          <w:szCs w:val="19"/>
        </w:rPr>
        <w:t xml:space="preserve"> </w:t>
      </w:r>
      <w:r w:rsidRPr="00242957">
        <w:rPr>
          <w:rFonts w:ascii="Gotham" w:hAnsi="Gotham" w:cs="Arial"/>
          <w:sz w:val="19"/>
          <w:szCs w:val="19"/>
        </w:rPr>
        <w:t>presente</w:t>
      </w:r>
      <w:r w:rsidR="00883EC2">
        <w:rPr>
          <w:rFonts w:ascii="Gotham" w:hAnsi="Gotham" w:cs="Arial"/>
          <w:sz w:val="19"/>
          <w:szCs w:val="19"/>
        </w:rPr>
        <w:t xml:space="preserve"> </w:t>
      </w:r>
      <w:r w:rsidRPr="00242957">
        <w:rPr>
          <w:rFonts w:ascii="Gotham" w:hAnsi="Gotham" w:cs="Arial"/>
          <w:sz w:val="19"/>
          <w:szCs w:val="19"/>
        </w:rPr>
        <w:t>artículo,</w:t>
      </w:r>
      <w:r w:rsidR="00883EC2">
        <w:rPr>
          <w:rFonts w:ascii="Gotham" w:hAnsi="Gotham" w:cs="Arial"/>
          <w:sz w:val="19"/>
          <w:szCs w:val="19"/>
        </w:rPr>
        <w:t xml:space="preserve"> </w:t>
      </w:r>
      <w:r w:rsidRPr="00242957">
        <w:rPr>
          <w:rFonts w:ascii="Gotham" w:hAnsi="Gotham" w:cs="Arial"/>
          <w:sz w:val="19"/>
          <w:szCs w:val="19"/>
        </w:rPr>
        <w:t>incorporando además el documento con la información reservada</w:t>
      </w:r>
      <w:r w:rsidR="00883EC2">
        <w:rPr>
          <w:rFonts w:ascii="Gotham" w:hAnsi="Gotham" w:cs="Arial"/>
          <w:sz w:val="19"/>
          <w:szCs w:val="19"/>
        </w:rPr>
        <w:t xml:space="preserve"> </w:t>
      </w:r>
      <w:r w:rsidRPr="00242957">
        <w:rPr>
          <w:rFonts w:ascii="Gotham" w:hAnsi="Gotham" w:cs="Arial"/>
          <w:sz w:val="19"/>
          <w:szCs w:val="19"/>
        </w:rPr>
        <w:t>como</w:t>
      </w:r>
      <w:r w:rsidR="00883EC2">
        <w:rPr>
          <w:rFonts w:ascii="Gotham" w:hAnsi="Gotham" w:cs="Arial"/>
          <w:sz w:val="19"/>
          <w:szCs w:val="19"/>
        </w:rPr>
        <w:t xml:space="preserve"> </w:t>
      </w:r>
      <w:r w:rsidRPr="00242957">
        <w:rPr>
          <w:rFonts w:ascii="Gotham" w:hAnsi="Gotham" w:cs="Arial"/>
          <w:sz w:val="19"/>
          <w:szCs w:val="19"/>
        </w:rPr>
        <w:t>confidencial así como la protegida, con base en el procedimiento establecido en el artículo 22 y 23 del presente Reglamento, la Ley y su Reglamento, Ley General, Lineamientos emitidos por el Instituto y el Sistema Nacional de Transparencia; y</w:t>
      </w:r>
    </w:p>
    <w:p w14:paraId="3A474954"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VII. </w:t>
      </w:r>
      <w:r>
        <w:rPr>
          <w:rFonts w:ascii="Gotham" w:hAnsi="Gotham" w:cs="Arial"/>
          <w:sz w:val="19"/>
          <w:szCs w:val="19"/>
        </w:rPr>
        <w:tab/>
      </w:r>
      <w:r w:rsidRPr="00242957">
        <w:rPr>
          <w:rFonts w:ascii="Gotham" w:hAnsi="Gotham" w:cs="Arial"/>
          <w:sz w:val="19"/>
          <w:szCs w:val="19"/>
        </w:rPr>
        <w:t>En los procedimientos de protección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información</w:t>
      </w:r>
      <w:r w:rsidR="00883EC2">
        <w:rPr>
          <w:rFonts w:ascii="Gotham" w:hAnsi="Gotham" w:cs="Arial"/>
          <w:sz w:val="19"/>
          <w:szCs w:val="19"/>
        </w:rPr>
        <w:t xml:space="preserve"> </w:t>
      </w:r>
      <w:r w:rsidRPr="00242957">
        <w:rPr>
          <w:rFonts w:ascii="Gotham" w:hAnsi="Gotham" w:cs="Arial"/>
          <w:sz w:val="19"/>
          <w:szCs w:val="19"/>
        </w:rPr>
        <w:t>confidencial,</w:t>
      </w:r>
      <w:r w:rsidR="00883EC2">
        <w:rPr>
          <w:rFonts w:ascii="Gotham" w:hAnsi="Gotham" w:cs="Arial"/>
          <w:sz w:val="19"/>
          <w:szCs w:val="19"/>
        </w:rPr>
        <w:t xml:space="preserve"> </w:t>
      </w:r>
      <w:r w:rsidRPr="00242957">
        <w:rPr>
          <w:rFonts w:ascii="Gotham" w:hAnsi="Gotham" w:cs="Arial"/>
          <w:sz w:val="19"/>
          <w:szCs w:val="19"/>
        </w:rPr>
        <w:t>se</w:t>
      </w:r>
      <w:r w:rsidR="00883EC2">
        <w:rPr>
          <w:rFonts w:ascii="Gotham" w:hAnsi="Gotham" w:cs="Arial"/>
          <w:sz w:val="19"/>
          <w:szCs w:val="19"/>
        </w:rPr>
        <w:t xml:space="preserve"> </w:t>
      </w:r>
      <w:r w:rsidRPr="00242957">
        <w:rPr>
          <w:rFonts w:ascii="Gotham" w:hAnsi="Gotham" w:cs="Arial"/>
          <w:sz w:val="19"/>
          <w:szCs w:val="19"/>
        </w:rPr>
        <w:t>procederá,</w:t>
      </w:r>
      <w:r w:rsidR="00883EC2">
        <w:rPr>
          <w:rFonts w:ascii="Gotham" w:hAnsi="Gotham" w:cs="Arial"/>
          <w:sz w:val="19"/>
          <w:szCs w:val="19"/>
        </w:rPr>
        <w:t xml:space="preserve"> </w:t>
      </w:r>
      <w:r w:rsidRPr="00242957">
        <w:rPr>
          <w:rFonts w:ascii="Gotham" w:hAnsi="Gotham" w:cs="Arial"/>
          <w:sz w:val="19"/>
          <w:szCs w:val="19"/>
        </w:rPr>
        <w:t>con base en el procedimiento establecido en el</w:t>
      </w:r>
      <w:r w:rsidR="00883EC2">
        <w:rPr>
          <w:rFonts w:ascii="Gotham" w:hAnsi="Gotham" w:cs="Arial"/>
          <w:sz w:val="19"/>
          <w:szCs w:val="19"/>
        </w:rPr>
        <w:t xml:space="preserve"> </w:t>
      </w:r>
      <w:r w:rsidRPr="00242957">
        <w:rPr>
          <w:rFonts w:ascii="Gotham" w:hAnsi="Gotham" w:cs="Arial"/>
          <w:sz w:val="19"/>
          <w:szCs w:val="19"/>
        </w:rPr>
        <w:t>artículo</w:t>
      </w:r>
      <w:r w:rsidR="00883EC2">
        <w:rPr>
          <w:rFonts w:ascii="Gotham" w:hAnsi="Gotham" w:cs="Arial"/>
          <w:sz w:val="19"/>
          <w:szCs w:val="19"/>
        </w:rPr>
        <w:t xml:space="preserve"> </w:t>
      </w:r>
      <w:r w:rsidRPr="00242957">
        <w:rPr>
          <w:rFonts w:ascii="Gotham" w:hAnsi="Gotham" w:cs="Arial"/>
          <w:sz w:val="19"/>
          <w:szCs w:val="19"/>
        </w:rPr>
        <w:t>22</w:t>
      </w:r>
      <w:r w:rsidR="00883EC2">
        <w:rPr>
          <w:rFonts w:ascii="Gotham" w:hAnsi="Gotham" w:cs="Arial"/>
          <w:sz w:val="19"/>
          <w:szCs w:val="19"/>
        </w:rPr>
        <w:t xml:space="preserve"> </w:t>
      </w:r>
      <w:r w:rsidRPr="00242957">
        <w:rPr>
          <w:rFonts w:ascii="Gotham" w:hAnsi="Gotham" w:cs="Arial"/>
          <w:sz w:val="19"/>
          <w:szCs w:val="19"/>
        </w:rPr>
        <w:t>del</w:t>
      </w:r>
      <w:r w:rsidR="00883EC2">
        <w:rPr>
          <w:rFonts w:ascii="Gotham" w:hAnsi="Gotham" w:cs="Arial"/>
          <w:sz w:val="19"/>
          <w:szCs w:val="19"/>
        </w:rPr>
        <w:t xml:space="preserve"> </w:t>
      </w:r>
      <w:r w:rsidRPr="00242957">
        <w:rPr>
          <w:rFonts w:ascii="Gotham" w:hAnsi="Gotham" w:cs="Arial"/>
          <w:sz w:val="19"/>
          <w:szCs w:val="19"/>
        </w:rPr>
        <w:t>presente</w:t>
      </w:r>
      <w:r w:rsidR="00883EC2">
        <w:rPr>
          <w:rFonts w:ascii="Gotham" w:hAnsi="Gotham" w:cs="Arial"/>
          <w:sz w:val="19"/>
          <w:szCs w:val="19"/>
        </w:rPr>
        <w:t xml:space="preserve"> </w:t>
      </w:r>
      <w:r w:rsidRPr="00242957">
        <w:rPr>
          <w:rFonts w:ascii="Gotham" w:hAnsi="Gotham" w:cs="Arial"/>
          <w:sz w:val="19"/>
          <w:szCs w:val="19"/>
        </w:rPr>
        <w:t>Reglamento, así como lo establecido en la Ley y su Reglamento, Ley General, Lineamientos emitidos por el Instituto y el Sistema Nacional de Transparencia.</w:t>
      </w:r>
    </w:p>
    <w:p w14:paraId="3A474955"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VIII. </w:t>
      </w:r>
      <w:r>
        <w:rPr>
          <w:rFonts w:ascii="Gotham" w:hAnsi="Gotham" w:cs="Arial"/>
          <w:sz w:val="19"/>
          <w:szCs w:val="19"/>
        </w:rPr>
        <w:tab/>
      </w:r>
      <w:r w:rsidRPr="00242957">
        <w:rPr>
          <w:rFonts w:ascii="Gotham" w:hAnsi="Gotham" w:cs="Arial"/>
          <w:sz w:val="19"/>
          <w:szCs w:val="19"/>
        </w:rPr>
        <w:t>La respuesta a la solicitud por parte de la Unidad Administrativa deberá contener al menos los siguientes requisitos:</w:t>
      </w:r>
    </w:p>
    <w:p w14:paraId="3A474956"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Número de oficio de la Unidad Administrativa;</w:t>
      </w:r>
    </w:p>
    <w:p w14:paraId="3A474957"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Número de expediente;</w:t>
      </w:r>
    </w:p>
    <w:p w14:paraId="3A474958"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lastRenderedPageBreak/>
        <w:t xml:space="preserve">c) </w:t>
      </w:r>
      <w:r>
        <w:rPr>
          <w:rFonts w:ascii="Gotham" w:hAnsi="Gotham" w:cs="Arial"/>
          <w:sz w:val="19"/>
          <w:szCs w:val="19"/>
        </w:rPr>
        <w:tab/>
      </w:r>
      <w:r w:rsidRPr="00242957">
        <w:rPr>
          <w:rFonts w:ascii="Gotham" w:hAnsi="Gotham" w:cs="Arial"/>
          <w:sz w:val="19"/>
          <w:szCs w:val="19"/>
        </w:rPr>
        <w:t>Lugar y fecha;</w:t>
      </w:r>
    </w:p>
    <w:p w14:paraId="3A474959"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d) </w:t>
      </w:r>
      <w:r>
        <w:rPr>
          <w:rFonts w:ascii="Gotham" w:hAnsi="Gotham" w:cs="Arial"/>
          <w:sz w:val="19"/>
          <w:szCs w:val="19"/>
        </w:rPr>
        <w:tab/>
      </w:r>
      <w:r w:rsidRPr="00242957">
        <w:rPr>
          <w:rFonts w:ascii="Gotham" w:hAnsi="Gotham" w:cs="Arial"/>
          <w:sz w:val="19"/>
          <w:szCs w:val="19"/>
        </w:rPr>
        <w:t>Fundamentación y Motivación;</w:t>
      </w:r>
    </w:p>
    <w:p w14:paraId="3A47495A"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e) </w:t>
      </w:r>
      <w:r>
        <w:rPr>
          <w:rFonts w:ascii="Gotham" w:hAnsi="Gotham" w:cs="Arial"/>
          <w:sz w:val="19"/>
          <w:szCs w:val="19"/>
        </w:rPr>
        <w:tab/>
      </w:r>
      <w:r w:rsidRPr="00242957">
        <w:rPr>
          <w:rFonts w:ascii="Gotham" w:hAnsi="Gotham" w:cs="Arial"/>
          <w:sz w:val="19"/>
          <w:szCs w:val="19"/>
        </w:rPr>
        <w:t>Respuesta donde se hace referencia del servidor público responsable de la información; así como las comunicaciones internas para gestionar la búsqueda de la información, anexando documentos comprobatorios; y</w:t>
      </w:r>
    </w:p>
    <w:p w14:paraId="3A47495B"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f) </w:t>
      </w:r>
      <w:r>
        <w:rPr>
          <w:rFonts w:ascii="Gotham" w:hAnsi="Gotham" w:cs="Arial"/>
          <w:sz w:val="19"/>
          <w:szCs w:val="19"/>
        </w:rPr>
        <w:tab/>
      </w:r>
      <w:r w:rsidRPr="00242957">
        <w:rPr>
          <w:rFonts w:ascii="Gotham" w:hAnsi="Gotham" w:cs="Arial"/>
          <w:sz w:val="19"/>
          <w:szCs w:val="19"/>
        </w:rPr>
        <w:t>Nombre, cargo y firma del Titular de la Unidad Administrativa.</w:t>
      </w:r>
    </w:p>
    <w:p w14:paraId="3A47495C"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IX. </w:t>
      </w:r>
      <w:r>
        <w:rPr>
          <w:rFonts w:ascii="Gotham" w:hAnsi="Gotham" w:cs="Arial"/>
          <w:sz w:val="19"/>
          <w:szCs w:val="19"/>
        </w:rPr>
        <w:tab/>
      </w:r>
      <w:r w:rsidRPr="00242957">
        <w:rPr>
          <w:rFonts w:ascii="Gotham" w:hAnsi="Gotham" w:cs="Arial"/>
          <w:sz w:val="19"/>
          <w:szCs w:val="19"/>
        </w:rPr>
        <w:t>La Unidad deberá verificar los requisitos, y si es el caso realizará la prevención por alguna omisión a el Titular de la Unidad Administrativa y las oficinas internas poseedoras y generadoras de la información;</w:t>
      </w:r>
    </w:p>
    <w:p w14:paraId="3A47495D"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X. </w:t>
      </w:r>
      <w:r>
        <w:rPr>
          <w:rFonts w:ascii="Gotham" w:hAnsi="Gotham" w:cs="Arial"/>
          <w:sz w:val="19"/>
          <w:szCs w:val="19"/>
        </w:rPr>
        <w:tab/>
      </w:r>
      <w:r w:rsidRPr="00242957">
        <w:rPr>
          <w:rFonts w:ascii="Gotham" w:hAnsi="Gotham" w:cs="Arial"/>
          <w:sz w:val="19"/>
          <w:szCs w:val="19"/>
        </w:rPr>
        <w:t>En funciones de oficialía de partes, la Unidad, deberá adicionalmente a lo dispuesto por la Ley, recibirla, asignar un número progresivo de manera mecánica, sello y firma, así como el número de anexos que integran la respuesta; y</w:t>
      </w:r>
    </w:p>
    <w:p w14:paraId="3A47495E" w14:textId="77777777" w:rsidR="009B5E39"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XI. </w:t>
      </w:r>
      <w:r>
        <w:rPr>
          <w:rFonts w:ascii="Gotham" w:hAnsi="Gotham" w:cs="Arial"/>
          <w:sz w:val="19"/>
          <w:szCs w:val="19"/>
        </w:rPr>
        <w:tab/>
      </w:r>
      <w:r w:rsidRPr="00242957">
        <w:rPr>
          <w:rFonts w:ascii="Gotham" w:hAnsi="Gotham" w:cs="Arial"/>
          <w:sz w:val="19"/>
          <w:szCs w:val="19"/>
        </w:rPr>
        <w:t>En la recepción de solicitudes por cualquier vía, sobre el tema de acceso a la información, que resulten idénticos por la misma persona, la Unidad procederá a su acumulación, por simplicidad procesal.</w:t>
      </w:r>
    </w:p>
    <w:p w14:paraId="3A47495F" w14:textId="77777777" w:rsidR="009B5E39" w:rsidRDefault="009B5E39" w:rsidP="009B5E39">
      <w:pPr>
        <w:ind w:left="284" w:right="283"/>
        <w:jc w:val="both"/>
        <w:rPr>
          <w:rFonts w:ascii="Gotham" w:hAnsi="Gotham" w:cs="Arial"/>
          <w:sz w:val="19"/>
          <w:szCs w:val="19"/>
        </w:rPr>
      </w:pPr>
    </w:p>
    <w:p w14:paraId="3A474960" w14:textId="77777777" w:rsidR="009B5E39" w:rsidRPr="00242957" w:rsidRDefault="009B5E39" w:rsidP="009B5E39">
      <w:pPr>
        <w:ind w:left="284" w:right="283"/>
        <w:jc w:val="both"/>
        <w:rPr>
          <w:rFonts w:ascii="Gotham" w:hAnsi="Gotham" w:cs="Arial"/>
          <w:sz w:val="19"/>
          <w:szCs w:val="19"/>
        </w:rPr>
      </w:pPr>
    </w:p>
    <w:p w14:paraId="3A474961" w14:textId="77777777" w:rsidR="009B5E39" w:rsidRPr="00242957" w:rsidRDefault="009B5E39" w:rsidP="009B5E39">
      <w:pPr>
        <w:ind w:left="284" w:right="283"/>
        <w:jc w:val="center"/>
        <w:rPr>
          <w:rFonts w:ascii="Gotham" w:hAnsi="Gotham" w:cs="Arial"/>
          <w:b/>
          <w:sz w:val="19"/>
          <w:szCs w:val="19"/>
        </w:rPr>
      </w:pPr>
      <w:r w:rsidRPr="00242957">
        <w:rPr>
          <w:rFonts w:ascii="Gotham" w:hAnsi="Gotham" w:cs="Arial"/>
          <w:b/>
          <w:sz w:val="19"/>
          <w:szCs w:val="19"/>
        </w:rPr>
        <w:t>CAPÍTULO IV</w:t>
      </w:r>
    </w:p>
    <w:p w14:paraId="3A474962" w14:textId="77777777" w:rsidR="009B5E39" w:rsidRPr="00242957" w:rsidRDefault="009B5E39" w:rsidP="009B5E39">
      <w:pPr>
        <w:ind w:left="284" w:right="283"/>
        <w:jc w:val="center"/>
        <w:rPr>
          <w:rFonts w:ascii="Gotham" w:hAnsi="Gotham" w:cs="Arial"/>
          <w:b/>
          <w:sz w:val="19"/>
          <w:szCs w:val="19"/>
        </w:rPr>
      </w:pPr>
      <w:r w:rsidRPr="00242957">
        <w:rPr>
          <w:rFonts w:ascii="Gotham" w:hAnsi="Gotham" w:cs="Arial"/>
          <w:b/>
          <w:sz w:val="19"/>
          <w:szCs w:val="19"/>
        </w:rPr>
        <w:t>De la Documentación sobre la Gestión Pública.</w:t>
      </w:r>
    </w:p>
    <w:p w14:paraId="3A474963" w14:textId="77777777" w:rsidR="009B5E39" w:rsidRPr="00242957" w:rsidRDefault="009B5E39" w:rsidP="009B5E39">
      <w:pPr>
        <w:ind w:left="284" w:right="283"/>
        <w:jc w:val="both"/>
        <w:rPr>
          <w:rFonts w:ascii="Gotham" w:hAnsi="Gotham" w:cs="Arial"/>
          <w:b/>
          <w:sz w:val="19"/>
          <w:szCs w:val="19"/>
        </w:rPr>
      </w:pPr>
    </w:p>
    <w:p w14:paraId="3A474964"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 xml:space="preserve">Artículo 37. </w:t>
      </w:r>
      <w:r w:rsidRPr="00242957">
        <w:rPr>
          <w:rFonts w:ascii="Gotham" w:hAnsi="Gotham" w:cs="Arial"/>
          <w:sz w:val="19"/>
          <w:szCs w:val="19"/>
        </w:rPr>
        <w:t>Del Principio de Presunción de existencia.</w:t>
      </w:r>
    </w:p>
    <w:p w14:paraId="3A474965" w14:textId="77777777" w:rsidR="009B5E39" w:rsidRDefault="009B5E39" w:rsidP="009B5E39">
      <w:pPr>
        <w:ind w:left="284" w:right="283"/>
        <w:jc w:val="both"/>
        <w:rPr>
          <w:rFonts w:ascii="Gotham" w:hAnsi="Gotham" w:cs="Arial"/>
          <w:sz w:val="19"/>
          <w:szCs w:val="19"/>
        </w:rPr>
      </w:pPr>
    </w:p>
    <w:p w14:paraId="3A474966"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información debe existir si se refiere a las facultades, competencias y funciones que los ordenamientos jurídicos aplicables otorgan a los Sujetos Obligados.</w:t>
      </w:r>
    </w:p>
    <w:p w14:paraId="3A474967" w14:textId="77777777" w:rsidR="009B5E39" w:rsidRDefault="009B5E39" w:rsidP="009B5E39">
      <w:pPr>
        <w:ind w:left="284" w:right="283"/>
        <w:jc w:val="both"/>
        <w:rPr>
          <w:rFonts w:ascii="Gotham" w:hAnsi="Gotham" w:cs="Arial"/>
          <w:sz w:val="19"/>
          <w:szCs w:val="19"/>
        </w:rPr>
      </w:pPr>
    </w:p>
    <w:p w14:paraId="3A474968"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gestión pública genera actos administrativos, mismos que</w:t>
      </w:r>
      <w:r w:rsidR="00883EC2">
        <w:rPr>
          <w:rFonts w:ascii="Gotham" w:hAnsi="Gotham" w:cs="Arial"/>
          <w:sz w:val="19"/>
          <w:szCs w:val="19"/>
        </w:rPr>
        <w:t xml:space="preserve"> </w:t>
      </w:r>
      <w:r w:rsidRPr="00242957">
        <w:rPr>
          <w:rFonts w:ascii="Gotham" w:hAnsi="Gotham" w:cs="Arial"/>
          <w:sz w:val="19"/>
          <w:szCs w:val="19"/>
        </w:rPr>
        <w:t>se</w:t>
      </w:r>
      <w:r w:rsidR="00883EC2">
        <w:rPr>
          <w:rFonts w:ascii="Gotham" w:hAnsi="Gotham" w:cs="Arial"/>
          <w:sz w:val="19"/>
          <w:szCs w:val="19"/>
        </w:rPr>
        <w:t xml:space="preserve"> </w:t>
      </w:r>
      <w:r w:rsidRPr="00242957">
        <w:rPr>
          <w:rFonts w:ascii="Gotham" w:hAnsi="Gotham" w:cs="Arial"/>
          <w:sz w:val="19"/>
          <w:szCs w:val="19"/>
        </w:rPr>
        <w:t>deben</w:t>
      </w:r>
      <w:r w:rsidR="00883EC2">
        <w:rPr>
          <w:rFonts w:ascii="Gotham" w:hAnsi="Gotham" w:cs="Arial"/>
          <w:sz w:val="19"/>
          <w:szCs w:val="19"/>
        </w:rPr>
        <w:t xml:space="preserve"> </w:t>
      </w:r>
      <w:r w:rsidRPr="00242957">
        <w:rPr>
          <w:rFonts w:ascii="Gotham" w:hAnsi="Gotham" w:cs="Arial"/>
          <w:sz w:val="19"/>
          <w:szCs w:val="19"/>
        </w:rPr>
        <w:t>documentar, archivar y salvaguardar, de manera ordenada y deben estar disponibles para el acceso a los mismos.</w:t>
      </w:r>
    </w:p>
    <w:p w14:paraId="3A474969" w14:textId="77777777" w:rsidR="009B5E39" w:rsidRDefault="009B5E39" w:rsidP="009B5E39">
      <w:pPr>
        <w:ind w:left="284" w:right="283"/>
        <w:jc w:val="both"/>
        <w:rPr>
          <w:rFonts w:ascii="Gotham" w:hAnsi="Gotham" w:cs="Arial"/>
          <w:b/>
          <w:sz w:val="19"/>
          <w:szCs w:val="19"/>
        </w:rPr>
      </w:pPr>
    </w:p>
    <w:p w14:paraId="3A47496A"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38.</w:t>
      </w:r>
      <w:r w:rsidRPr="00242957">
        <w:rPr>
          <w:rFonts w:ascii="Gotham" w:hAnsi="Gotham" w:cs="Arial"/>
          <w:sz w:val="19"/>
          <w:szCs w:val="19"/>
        </w:rPr>
        <w:t xml:space="preserve"> De la inexistencia.</w:t>
      </w:r>
    </w:p>
    <w:p w14:paraId="3A47496B" w14:textId="77777777" w:rsidR="009B5E39" w:rsidRDefault="009B5E39" w:rsidP="009B5E39">
      <w:pPr>
        <w:ind w:left="284" w:right="283"/>
        <w:jc w:val="both"/>
        <w:rPr>
          <w:rFonts w:ascii="Gotham" w:hAnsi="Gotham" w:cs="Arial"/>
          <w:sz w:val="19"/>
          <w:szCs w:val="19"/>
        </w:rPr>
      </w:pPr>
    </w:p>
    <w:p w14:paraId="3A47496C"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Para la declaratoria de inexistencia de información para el cumplimiento de las</w:t>
      </w:r>
      <w:r w:rsidR="00883EC2">
        <w:rPr>
          <w:rFonts w:ascii="Gotham" w:hAnsi="Gotham" w:cs="Arial"/>
          <w:sz w:val="19"/>
          <w:szCs w:val="19"/>
        </w:rPr>
        <w:t xml:space="preserve"> </w:t>
      </w:r>
      <w:r w:rsidRPr="00242957">
        <w:rPr>
          <w:rFonts w:ascii="Gotham" w:hAnsi="Gotham" w:cs="Arial"/>
          <w:sz w:val="19"/>
          <w:szCs w:val="19"/>
        </w:rPr>
        <w:t>obligaciones en materia de transparencia y acceso a la</w:t>
      </w:r>
      <w:r w:rsidR="00883EC2">
        <w:rPr>
          <w:rFonts w:ascii="Gotham" w:hAnsi="Gotham" w:cs="Arial"/>
          <w:sz w:val="19"/>
          <w:szCs w:val="19"/>
        </w:rPr>
        <w:t xml:space="preserve"> </w:t>
      </w:r>
      <w:r w:rsidRPr="00242957">
        <w:rPr>
          <w:rFonts w:ascii="Gotham" w:hAnsi="Gotham" w:cs="Arial"/>
          <w:sz w:val="19"/>
          <w:szCs w:val="19"/>
        </w:rPr>
        <w:t>información,</w:t>
      </w:r>
      <w:r w:rsidR="00883EC2">
        <w:rPr>
          <w:rFonts w:ascii="Gotham" w:hAnsi="Gotham" w:cs="Arial"/>
          <w:sz w:val="19"/>
          <w:szCs w:val="19"/>
        </w:rPr>
        <w:t xml:space="preserve"> </w:t>
      </w:r>
      <w:r w:rsidRPr="00242957">
        <w:rPr>
          <w:rFonts w:ascii="Gotham" w:hAnsi="Gotham" w:cs="Arial"/>
          <w:sz w:val="19"/>
          <w:szCs w:val="19"/>
        </w:rPr>
        <w:t>se</w:t>
      </w:r>
      <w:r w:rsidR="00883EC2">
        <w:rPr>
          <w:rFonts w:ascii="Gotham" w:hAnsi="Gotham" w:cs="Arial"/>
          <w:sz w:val="19"/>
          <w:szCs w:val="19"/>
        </w:rPr>
        <w:t xml:space="preserve"> </w:t>
      </w:r>
      <w:r w:rsidRPr="00242957">
        <w:rPr>
          <w:rFonts w:ascii="Gotham" w:hAnsi="Gotham" w:cs="Arial"/>
          <w:sz w:val="19"/>
          <w:szCs w:val="19"/>
        </w:rPr>
        <w:t>procederá</w:t>
      </w:r>
      <w:r w:rsidR="00883EC2">
        <w:rPr>
          <w:rFonts w:ascii="Gotham" w:hAnsi="Gotham" w:cs="Arial"/>
          <w:sz w:val="19"/>
          <w:szCs w:val="19"/>
        </w:rPr>
        <w:t xml:space="preserve"> </w:t>
      </w:r>
      <w:r w:rsidRPr="00242957">
        <w:rPr>
          <w:rFonts w:ascii="Gotham" w:hAnsi="Gotham" w:cs="Arial"/>
          <w:sz w:val="19"/>
          <w:szCs w:val="19"/>
        </w:rPr>
        <w:t>conforme lo establece la Ley, y los lineamientos del Instituto y del Sistema Nacional de Transparencia, observando lo siguiente:</w:t>
      </w:r>
    </w:p>
    <w:p w14:paraId="3A47496D" w14:textId="77777777" w:rsidR="009B5E39" w:rsidRDefault="009B5E39" w:rsidP="009B5E39">
      <w:pPr>
        <w:ind w:left="284" w:right="283"/>
        <w:jc w:val="both"/>
        <w:rPr>
          <w:rFonts w:ascii="Gotham" w:hAnsi="Gotham" w:cs="Arial"/>
          <w:sz w:val="19"/>
          <w:szCs w:val="19"/>
        </w:rPr>
      </w:pPr>
    </w:p>
    <w:p w14:paraId="3A47496E"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El Sujeto Obligado o la Unidad Administrativa que manifieste la inexistencia de la información requerida notificará de manera fundada y motivada al Comité al día hábil siguiente de su recepción, que no se refiere a alguna de sus facultades, competencias o funciones, ofreciendo además elementos de</w:t>
      </w:r>
      <w:r w:rsidR="00883EC2">
        <w:rPr>
          <w:rFonts w:ascii="Gotham" w:hAnsi="Gotham" w:cs="Arial"/>
          <w:sz w:val="19"/>
          <w:szCs w:val="19"/>
        </w:rPr>
        <w:t xml:space="preserve"> </w:t>
      </w:r>
      <w:r w:rsidRPr="00242957">
        <w:rPr>
          <w:rFonts w:ascii="Gotham" w:hAnsi="Gotham" w:cs="Arial"/>
          <w:sz w:val="19"/>
          <w:szCs w:val="19"/>
        </w:rPr>
        <w:t>orientación</w:t>
      </w:r>
      <w:r w:rsidR="00883EC2">
        <w:rPr>
          <w:rFonts w:ascii="Gotham" w:hAnsi="Gotham" w:cs="Arial"/>
          <w:sz w:val="19"/>
          <w:szCs w:val="19"/>
        </w:rPr>
        <w:t xml:space="preserve"> </w:t>
      </w:r>
      <w:r w:rsidRPr="00242957">
        <w:rPr>
          <w:rFonts w:ascii="Gotham" w:hAnsi="Gotham" w:cs="Arial"/>
          <w:sz w:val="19"/>
          <w:szCs w:val="19"/>
        </w:rPr>
        <w:t>a</w:t>
      </w:r>
      <w:r w:rsidR="00883EC2">
        <w:rPr>
          <w:rFonts w:ascii="Gotham" w:hAnsi="Gotham" w:cs="Arial"/>
          <w:sz w:val="19"/>
          <w:szCs w:val="19"/>
        </w:rPr>
        <w:t xml:space="preserve"> </w:t>
      </w:r>
      <w:r w:rsidRPr="00242957">
        <w:rPr>
          <w:rFonts w:ascii="Gotham" w:hAnsi="Gotham" w:cs="Arial"/>
          <w:sz w:val="19"/>
          <w:szCs w:val="19"/>
        </w:rPr>
        <w:t>su alcance para la probable identificación de la Unidad Administrativa competente, para que el Comité tome las medidas pertinentes establecidas en el artículo 86-bis</w:t>
      </w:r>
      <w:r w:rsidR="00883EC2">
        <w:rPr>
          <w:rFonts w:ascii="Gotham" w:hAnsi="Gotham" w:cs="Arial"/>
          <w:sz w:val="19"/>
          <w:szCs w:val="19"/>
        </w:rPr>
        <w:t xml:space="preserve"> </w:t>
      </w:r>
      <w:r w:rsidRPr="00242957">
        <w:rPr>
          <w:rFonts w:ascii="Gotham" w:hAnsi="Gotham" w:cs="Arial"/>
          <w:sz w:val="19"/>
          <w:szCs w:val="19"/>
        </w:rPr>
        <w:t>de la Ley;</w:t>
      </w:r>
    </w:p>
    <w:p w14:paraId="3A47496F"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En el supuesto que la información requerida sea inexistente y se refiera a alguna de sus facultades, competencias o funciones no ejercidas por la Unidad Administrativa, ésta expondrá causas y circunstancias de tiempo, modo y lugar de su inexistencia, así como el funcionario o servidor público responsable de su generación.</w:t>
      </w:r>
    </w:p>
    <w:p w14:paraId="3A474970" w14:textId="77777777" w:rsidR="009B5E39" w:rsidRPr="00242957" w:rsidRDefault="009B5E39" w:rsidP="009B5E39">
      <w:pPr>
        <w:spacing w:after="120"/>
        <w:ind w:left="710" w:right="283" w:firstLine="424"/>
        <w:jc w:val="both"/>
        <w:rPr>
          <w:rFonts w:ascii="Gotham" w:hAnsi="Gotham" w:cs="Arial"/>
          <w:sz w:val="19"/>
          <w:szCs w:val="19"/>
        </w:rPr>
      </w:pPr>
      <w:r w:rsidRPr="00242957">
        <w:rPr>
          <w:rFonts w:ascii="Gotham" w:hAnsi="Gotham" w:cs="Arial"/>
          <w:sz w:val="19"/>
          <w:szCs w:val="19"/>
        </w:rPr>
        <w:t>La respuesta deberá incluir:</w:t>
      </w:r>
    </w:p>
    <w:p w14:paraId="3A474971"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a) </w:t>
      </w:r>
      <w:r>
        <w:rPr>
          <w:rFonts w:ascii="Gotham" w:hAnsi="Gotham" w:cs="Arial"/>
          <w:sz w:val="19"/>
          <w:szCs w:val="19"/>
        </w:rPr>
        <w:tab/>
      </w:r>
      <w:r w:rsidRPr="00242957">
        <w:rPr>
          <w:rFonts w:ascii="Gotham" w:hAnsi="Gotham" w:cs="Arial"/>
          <w:sz w:val="19"/>
          <w:szCs w:val="19"/>
        </w:rPr>
        <w:t>Número de expediente de la solicitud de información;</w:t>
      </w:r>
    </w:p>
    <w:p w14:paraId="3A474972"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b) </w:t>
      </w:r>
      <w:r>
        <w:rPr>
          <w:rFonts w:ascii="Gotham" w:hAnsi="Gotham" w:cs="Arial"/>
          <w:sz w:val="19"/>
          <w:szCs w:val="19"/>
        </w:rPr>
        <w:tab/>
      </w:r>
      <w:r w:rsidRPr="00242957">
        <w:rPr>
          <w:rFonts w:ascii="Gotham" w:hAnsi="Gotham" w:cs="Arial"/>
          <w:sz w:val="19"/>
          <w:szCs w:val="19"/>
        </w:rPr>
        <w:t>Transcripción de lo solicitado;</w:t>
      </w:r>
    </w:p>
    <w:p w14:paraId="3A474973"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c) </w:t>
      </w:r>
      <w:r>
        <w:rPr>
          <w:rFonts w:ascii="Gotham" w:hAnsi="Gotham" w:cs="Arial"/>
          <w:sz w:val="19"/>
          <w:szCs w:val="19"/>
        </w:rPr>
        <w:tab/>
      </w:r>
      <w:r w:rsidRPr="00242957">
        <w:rPr>
          <w:rFonts w:ascii="Gotham" w:hAnsi="Gotham" w:cs="Arial"/>
          <w:sz w:val="19"/>
          <w:szCs w:val="19"/>
        </w:rPr>
        <w:t>Fundamentación y motivación de la inexistencia;</w:t>
      </w:r>
    </w:p>
    <w:p w14:paraId="3A474974"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lastRenderedPageBreak/>
        <w:t xml:space="preserve">d) </w:t>
      </w:r>
      <w:r>
        <w:rPr>
          <w:rFonts w:ascii="Gotham" w:hAnsi="Gotham" w:cs="Arial"/>
          <w:sz w:val="19"/>
          <w:szCs w:val="19"/>
        </w:rPr>
        <w:tab/>
      </w:r>
      <w:r w:rsidRPr="00242957">
        <w:rPr>
          <w:rFonts w:ascii="Gotham" w:hAnsi="Gotham" w:cs="Arial"/>
          <w:sz w:val="19"/>
          <w:szCs w:val="19"/>
        </w:rPr>
        <w:t>Causas y circunstancias de la inexistencia, así como el servidor público o funcionario debió generarla;</w:t>
      </w:r>
    </w:p>
    <w:p w14:paraId="3A474975"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e) </w:t>
      </w:r>
      <w:r>
        <w:rPr>
          <w:rFonts w:ascii="Gotham" w:hAnsi="Gotham" w:cs="Arial"/>
          <w:sz w:val="19"/>
          <w:szCs w:val="19"/>
        </w:rPr>
        <w:tab/>
      </w:r>
      <w:r w:rsidRPr="00242957">
        <w:rPr>
          <w:rFonts w:ascii="Gotham" w:hAnsi="Gotham" w:cs="Arial"/>
          <w:sz w:val="19"/>
          <w:szCs w:val="19"/>
        </w:rPr>
        <w:t>En el caso de pérdida o extravío de la información, indicar los procedimientos emprendidos para su recuperación o restitución;</w:t>
      </w:r>
    </w:p>
    <w:p w14:paraId="3A474976"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f) </w:t>
      </w:r>
      <w:r>
        <w:rPr>
          <w:rFonts w:ascii="Gotham" w:hAnsi="Gotham" w:cs="Arial"/>
          <w:sz w:val="19"/>
          <w:szCs w:val="19"/>
        </w:rPr>
        <w:tab/>
      </w:r>
      <w:r w:rsidRPr="00242957">
        <w:rPr>
          <w:rFonts w:ascii="Gotham" w:hAnsi="Gotham" w:cs="Arial"/>
          <w:sz w:val="19"/>
          <w:szCs w:val="19"/>
        </w:rPr>
        <w:t>En el caso de robo o destrucción indebida de la información, indicar los procedimientos emprendidos para su recuperación y restitución, así como los procedimientos de responsabilidad administrativa, civil o penal iniciados;</w:t>
      </w:r>
    </w:p>
    <w:p w14:paraId="3A474977" w14:textId="77777777" w:rsidR="009B5E39" w:rsidRPr="00242957" w:rsidRDefault="009B5E39" w:rsidP="009B5E39">
      <w:pPr>
        <w:spacing w:after="120"/>
        <w:ind w:left="1560" w:right="283" w:hanging="426"/>
        <w:jc w:val="both"/>
        <w:rPr>
          <w:rFonts w:ascii="Gotham" w:hAnsi="Gotham" w:cs="Arial"/>
          <w:sz w:val="19"/>
          <w:szCs w:val="19"/>
        </w:rPr>
      </w:pPr>
      <w:r w:rsidRPr="00242957">
        <w:rPr>
          <w:rFonts w:ascii="Gotham" w:hAnsi="Gotham" w:cs="Arial"/>
          <w:sz w:val="19"/>
          <w:szCs w:val="19"/>
        </w:rPr>
        <w:t xml:space="preserve">g) </w:t>
      </w:r>
      <w:r>
        <w:rPr>
          <w:rFonts w:ascii="Gotham" w:hAnsi="Gotham" w:cs="Arial"/>
          <w:sz w:val="19"/>
          <w:szCs w:val="19"/>
        </w:rPr>
        <w:tab/>
      </w:r>
      <w:r w:rsidRPr="00242957">
        <w:rPr>
          <w:rFonts w:ascii="Gotham" w:hAnsi="Gotham" w:cs="Arial"/>
          <w:sz w:val="19"/>
          <w:szCs w:val="19"/>
        </w:rPr>
        <w:t>Lugar y fecha de la respuesta; y</w:t>
      </w:r>
    </w:p>
    <w:p w14:paraId="3A474978" w14:textId="77777777" w:rsidR="009B5E39" w:rsidRPr="00242957" w:rsidRDefault="009B5E39" w:rsidP="009B5E39">
      <w:pPr>
        <w:ind w:left="1560" w:right="283" w:hanging="426"/>
        <w:jc w:val="both"/>
        <w:rPr>
          <w:rFonts w:ascii="Gotham" w:hAnsi="Gotham" w:cs="Arial"/>
          <w:sz w:val="19"/>
          <w:szCs w:val="19"/>
        </w:rPr>
      </w:pPr>
      <w:r w:rsidRPr="00242957">
        <w:rPr>
          <w:rFonts w:ascii="Gotham" w:hAnsi="Gotham" w:cs="Arial"/>
          <w:sz w:val="19"/>
          <w:szCs w:val="19"/>
        </w:rPr>
        <w:t xml:space="preserve">h) </w:t>
      </w:r>
      <w:r>
        <w:rPr>
          <w:rFonts w:ascii="Gotham" w:hAnsi="Gotham" w:cs="Arial"/>
          <w:sz w:val="19"/>
          <w:szCs w:val="19"/>
        </w:rPr>
        <w:tab/>
      </w:r>
      <w:r w:rsidRPr="00242957">
        <w:rPr>
          <w:rFonts w:ascii="Gotham" w:hAnsi="Gotham" w:cs="Arial"/>
          <w:sz w:val="19"/>
          <w:szCs w:val="19"/>
        </w:rPr>
        <w:t>Nombre y firma del funcionario o servidor público responsable de la información.</w:t>
      </w:r>
    </w:p>
    <w:p w14:paraId="3A474979" w14:textId="77777777" w:rsidR="009B5E39" w:rsidRDefault="009B5E39" w:rsidP="009B5E39">
      <w:pPr>
        <w:pStyle w:val="Ttulo2"/>
        <w:ind w:left="284" w:right="283"/>
        <w:rPr>
          <w:rFonts w:ascii="Gotham" w:hAnsi="Gotham"/>
          <w:sz w:val="19"/>
          <w:szCs w:val="19"/>
        </w:rPr>
      </w:pPr>
      <w:bookmarkStart w:id="14" w:name="_Toc40950515"/>
    </w:p>
    <w:p w14:paraId="3A47497A" w14:textId="77777777" w:rsidR="009B5E39" w:rsidRDefault="009B5E39" w:rsidP="009B5E39">
      <w:pPr>
        <w:ind w:left="284" w:right="283"/>
        <w:jc w:val="center"/>
        <w:rPr>
          <w:rFonts w:ascii="Gotham" w:hAnsi="Gotham" w:cs="Arial"/>
          <w:sz w:val="19"/>
          <w:szCs w:val="19"/>
        </w:rPr>
      </w:pPr>
    </w:p>
    <w:p w14:paraId="3A47497B" w14:textId="77777777" w:rsidR="009B5E39" w:rsidRPr="0066457C" w:rsidRDefault="009B5E39" w:rsidP="009B5E39">
      <w:pPr>
        <w:ind w:left="284" w:right="283"/>
        <w:jc w:val="center"/>
        <w:rPr>
          <w:rFonts w:ascii="Gotham" w:hAnsi="Gotham" w:cs="Arial"/>
          <w:sz w:val="19"/>
          <w:szCs w:val="19"/>
        </w:rPr>
      </w:pPr>
      <w:r w:rsidRPr="0066457C">
        <w:rPr>
          <w:rFonts w:ascii="Gotham" w:hAnsi="Gotham" w:cs="Arial"/>
          <w:sz w:val="19"/>
          <w:szCs w:val="19"/>
        </w:rPr>
        <w:t>CAPÍTULO V</w:t>
      </w:r>
      <w:r w:rsidRPr="0066457C">
        <w:rPr>
          <w:rFonts w:ascii="Gotham" w:hAnsi="Gotham" w:cs="Arial"/>
          <w:sz w:val="19"/>
          <w:szCs w:val="19"/>
        </w:rPr>
        <w:br/>
        <w:t>De</w:t>
      </w:r>
      <w:r w:rsidR="00883EC2">
        <w:rPr>
          <w:rFonts w:ascii="Gotham" w:hAnsi="Gotham" w:cs="Arial"/>
          <w:sz w:val="19"/>
          <w:szCs w:val="19"/>
        </w:rPr>
        <w:t xml:space="preserve"> </w:t>
      </w:r>
      <w:r w:rsidRPr="0066457C">
        <w:rPr>
          <w:rFonts w:ascii="Gotham" w:hAnsi="Gotham" w:cs="Arial"/>
          <w:sz w:val="19"/>
          <w:szCs w:val="19"/>
        </w:rPr>
        <w:t>la</w:t>
      </w:r>
      <w:r w:rsidR="00883EC2">
        <w:rPr>
          <w:rFonts w:ascii="Gotham" w:hAnsi="Gotham" w:cs="Arial"/>
          <w:sz w:val="19"/>
          <w:szCs w:val="19"/>
        </w:rPr>
        <w:t xml:space="preserve"> </w:t>
      </w:r>
      <w:r w:rsidRPr="0066457C">
        <w:rPr>
          <w:rFonts w:ascii="Gotham" w:hAnsi="Gotham" w:cs="Arial"/>
          <w:sz w:val="19"/>
          <w:szCs w:val="19"/>
        </w:rPr>
        <w:t>Calidad de las Respuestas</w:t>
      </w:r>
      <w:bookmarkEnd w:id="14"/>
    </w:p>
    <w:p w14:paraId="3A47497C" w14:textId="77777777" w:rsidR="009B5E39" w:rsidRPr="00242957" w:rsidRDefault="009B5E39" w:rsidP="009B5E39">
      <w:pPr>
        <w:ind w:left="284" w:right="283"/>
        <w:jc w:val="both"/>
        <w:rPr>
          <w:rFonts w:ascii="Gotham" w:hAnsi="Gotham" w:cs="Arial"/>
          <w:b/>
          <w:sz w:val="19"/>
          <w:szCs w:val="19"/>
        </w:rPr>
      </w:pPr>
    </w:p>
    <w:p w14:paraId="3A47497D"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39.</w:t>
      </w:r>
      <w:r w:rsidRPr="00242957">
        <w:rPr>
          <w:rFonts w:ascii="Gotham" w:hAnsi="Gotham" w:cs="Arial"/>
          <w:sz w:val="19"/>
          <w:szCs w:val="19"/>
        </w:rPr>
        <w:t xml:space="preserve"> Del lenguaje en las respuestas.</w:t>
      </w:r>
    </w:p>
    <w:p w14:paraId="3A47497E" w14:textId="77777777" w:rsidR="009B5E39" w:rsidRDefault="009B5E39" w:rsidP="009B5E39">
      <w:pPr>
        <w:ind w:left="284" w:right="283"/>
        <w:jc w:val="both"/>
        <w:rPr>
          <w:rFonts w:ascii="Gotham" w:hAnsi="Gotham" w:cs="Arial"/>
          <w:sz w:val="19"/>
          <w:szCs w:val="19"/>
        </w:rPr>
      </w:pPr>
    </w:p>
    <w:p w14:paraId="3A47497F"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Unidad, deberá observar en todas las respuestas sobre solicitudes de información que otorgue a los solicitantes lo siguiente:</w:t>
      </w:r>
    </w:p>
    <w:p w14:paraId="3A474980" w14:textId="77777777" w:rsidR="009B5E39" w:rsidRDefault="009B5E39" w:rsidP="009B5E39">
      <w:pPr>
        <w:ind w:left="284" w:right="283"/>
        <w:jc w:val="both"/>
        <w:rPr>
          <w:rFonts w:ascii="Gotham" w:hAnsi="Gotham" w:cs="Arial"/>
          <w:sz w:val="19"/>
          <w:szCs w:val="19"/>
        </w:rPr>
      </w:pPr>
    </w:p>
    <w:p w14:paraId="3A474981"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Empleará un lenguaje claro y sencillo;</w:t>
      </w:r>
    </w:p>
    <w:p w14:paraId="3A474982"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En su caso, contará con los Ajustes Razonables que requiera el solicitante;</w:t>
      </w:r>
    </w:p>
    <w:p w14:paraId="3A474983"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Explicará la aplicación específica y alcance de los fundamentos legales que se invoquen o citen;</w:t>
      </w:r>
    </w:p>
    <w:p w14:paraId="3A474984"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Acompañará en los casos de reserva de información pública, clasificación y protección de información confidencial, o inexistencia, un resumen del acta que emita o ratifique el Comité;</w:t>
      </w:r>
    </w:p>
    <w:p w14:paraId="3A474985"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El nombre y cargo del titular de la Unidad Administrativa responsable de la respuesta a la solicitud de información; y</w:t>
      </w:r>
    </w:p>
    <w:p w14:paraId="3A474986"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Traducir en lengua indígena la respuesta, cuando sea solicitado de</w:t>
      </w:r>
      <w:r w:rsidR="00883EC2">
        <w:rPr>
          <w:rFonts w:ascii="Gotham" w:hAnsi="Gotham" w:cs="Arial"/>
          <w:sz w:val="19"/>
          <w:szCs w:val="19"/>
        </w:rPr>
        <w:t xml:space="preserve"> </w:t>
      </w:r>
      <w:r w:rsidRPr="00242957">
        <w:rPr>
          <w:rFonts w:ascii="Gotham" w:hAnsi="Gotham" w:cs="Arial"/>
          <w:sz w:val="19"/>
          <w:szCs w:val="19"/>
        </w:rPr>
        <w:t>manera expresa.</w:t>
      </w:r>
    </w:p>
    <w:p w14:paraId="3A474987" w14:textId="77777777" w:rsidR="009B5E39" w:rsidRDefault="009B5E39" w:rsidP="009B5E39">
      <w:pPr>
        <w:ind w:left="284" w:right="283"/>
        <w:jc w:val="both"/>
        <w:rPr>
          <w:rFonts w:ascii="Gotham" w:hAnsi="Gotham" w:cs="Arial"/>
          <w:sz w:val="19"/>
          <w:szCs w:val="19"/>
        </w:rPr>
      </w:pPr>
    </w:p>
    <w:p w14:paraId="3A474988"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En ningún caso, los Ajustes Razonables que se realicen para el acceso a la información de solicitantes con discapacidad serán con costo a los mismos.</w:t>
      </w:r>
    </w:p>
    <w:p w14:paraId="3A474989" w14:textId="77777777" w:rsidR="009B5E39" w:rsidRDefault="009B5E39" w:rsidP="009B5E39">
      <w:pPr>
        <w:ind w:left="284" w:right="283"/>
        <w:jc w:val="both"/>
        <w:rPr>
          <w:rFonts w:ascii="Gotham" w:hAnsi="Gotham" w:cs="Arial"/>
          <w:sz w:val="19"/>
          <w:szCs w:val="19"/>
        </w:rPr>
      </w:pPr>
    </w:p>
    <w:p w14:paraId="3A47498A" w14:textId="77777777" w:rsidR="009B5E39" w:rsidRPr="00242957" w:rsidRDefault="009B5E39" w:rsidP="009B5E39">
      <w:pPr>
        <w:ind w:left="284" w:right="283"/>
        <w:jc w:val="both"/>
        <w:rPr>
          <w:rFonts w:ascii="Gotham" w:hAnsi="Gotham" w:cs="Arial"/>
          <w:sz w:val="19"/>
          <w:szCs w:val="19"/>
        </w:rPr>
      </w:pPr>
    </w:p>
    <w:p w14:paraId="3A47498B" w14:textId="77777777" w:rsidR="009B5E39" w:rsidRPr="00242957" w:rsidRDefault="009B5E39" w:rsidP="009B5E39">
      <w:pPr>
        <w:ind w:left="284" w:right="283"/>
        <w:jc w:val="center"/>
        <w:rPr>
          <w:rFonts w:ascii="Gotham" w:hAnsi="Gotham" w:cs="Arial"/>
          <w:sz w:val="19"/>
          <w:szCs w:val="19"/>
        </w:rPr>
      </w:pPr>
      <w:bookmarkStart w:id="15" w:name="_Toc40950516"/>
      <w:r w:rsidRPr="00242957">
        <w:rPr>
          <w:rFonts w:ascii="Gotham" w:hAnsi="Gotham" w:cs="Arial"/>
          <w:sz w:val="19"/>
          <w:szCs w:val="19"/>
        </w:rPr>
        <w:t xml:space="preserve">CAPÍTULO VI </w:t>
      </w:r>
      <w:r w:rsidRPr="00242957">
        <w:rPr>
          <w:rFonts w:ascii="Gotham" w:hAnsi="Gotham" w:cs="Arial"/>
          <w:sz w:val="19"/>
          <w:szCs w:val="19"/>
        </w:rPr>
        <w:br/>
        <w:t>De</w:t>
      </w:r>
      <w:r w:rsidR="00883EC2">
        <w:rPr>
          <w:rFonts w:ascii="Gotham" w:hAnsi="Gotham" w:cs="Arial"/>
          <w:sz w:val="19"/>
          <w:szCs w:val="19"/>
        </w:rPr>
        <w:t xml:space="preserve"> </w:t>
      </w:r>
      <w:r w:rsidRPr="00242957">
        <w:rPr>
          <w:rFonts w:ascii="Gotham" w:hAnsi="Gotham" w:cs="Arial"/>
          <w:sz w:val="19"/>
          <w:szCs w:val="19"/>
        </w:rPr>
        <w:t>los Recursos</w:t>
      </w:r>
      <w:bookmarkEnd w:id="15"/>
    </w:p>
    <w:p w14:paraId="3A47498C" w14:textId="77777777" w:rsidR="009B5E39" w:rsidRPr="00242957" w:rsidRDefault="009B5E39" w:rsidP="009B5E39">
      <w:pPr>
        <w:ind w:left="284" w:right="283"/>
        <w:jc w:val="both"/>
        <w:rPr>
          <w:rFonts w:ascii="Gotham" w:hAnsi="Gotham" w:cs="Arial"/>
          <w:sz w:val="19"/>
          <w:szCs w:val="19"/>
        </w:rPr>
      </w:pPr>
    </w:p>
    <w:p w14:paraId="3A47498D"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40.</w:t>
      </w:r>
      <w:r w:rsidRPr="00242957">
        <w:rPr>
          <w:rFonts w:ascii="Gotham" w:hAnsi="Gotham" w:cs="Arial"/>
          <w:sz w:val="19"/>
          <w:szCs w:val="19"/>
        </w:rPr>
        <w:t xml:space="preserve"> De la atención de los Recursos de Revisión.</w:t>
      </w:r>
    </w:p>
    <w:p w14:paraId="3A47498E"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Para la formulación de los informes de Ley de los recursos de revisión, la Unidad girará comunicados internos a la Unidad Administrativa y/o Unidades Administrativas que conocieron de la solicitud de información impugnada, para que en el término de veinticuatro horas manifiesten lo que a su derecho corresponda respecto a los agravios expresados por el recurrente.</w:t>
      </w:r>
    </w:p>
    <w:p w14:paraId="3A47498F" w14:textId="77777777" w:rsidR="009B5E39" w:rsidRPr="00242957" w:rsidRDefault="009B5E39" w:rsidP="009B5E39">
      <w:pPr>
        <w:ind w:left="284" w:right="283"/>
        <w:jc w:val="both"/>
        <w:rPr>
          <w:rFonts w:ascii="Gotham" w:hAnsi="Gotham" w:cs="Arial"/>
          <w:sz w:val="19"/>
          <w:szCs w:val="19"/>
        </w:rPr>
      </w:pPr>
    </w:p>
    <w:p w14:paraId="3A474990"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Unidad deberá remitir al Instituto un informe en un plazo no mayor a tres días hábiles a partir del día siguiente de recibido, en contestación al recurso de revisión planteado, adjuntando las constancias que en su caso fueren remitidas por las Unidades Administrativas.</w:t>
      </w:r>
    </w:p>
    <w:p w14:paraId="3A474991" w14:textId="77777777" w:rsidR="009B5E39" w:rsidRDefault="009B5E39" w:rsidP="009B5E39">
      <w:pPr>
        <w:ind w:left="284" w:right="283"/>
        <w:jc w:val="both"/>
        <w:rPr>
          <w:rFonts w:ascii="Gotham" w:hAnsi="Gotham" w:cs="Arial"/>
          <w:sz w:val="19"/>
          <w:szCs w:val="19"/>
        </w:rPr>
      </w:pPr>
    </w:p>
    <w:p w14:paraId="3A47499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Unidad podrá cambiar la respuesta derivado de la respuesta de</w:t>
      </w:r>
      <w:r w:rsidR="00883EC2">
        <w:rPr>
          <w:rFonts w:ascii="Gotham" w:hAnsi="Gotham" w:cs="Arial"/>
          <w:sz w:val="19"/>
          <w:szCs w:val="19"/>
        </w:rPr>
        <w:t xml:space="preserve"> </w:t>
      </w:r>
      <w:r w:rsidRPr="00242957">
        <w:rPr>
          <w:rFonts w:ascii="Gotham" w:hAnsi="Gotham" w:cs="Arial"/>
          <w:sz w:val="19"/>
          <w:szCs w:val="19"/>
        </w:rPr>
        <w:t>la</w:t>
      </w:r>
      <w:r w:rsidR="00883EC2">
        <w:rPr>
          <w:rFonts w:ascii="Gotham" w:hAnsi="Gotham" w:cs="Arial"/>
          <w:sz w:val="19"/>
          <w:szCs w:val="19"/>
        </w:rPr>
        <w:t xml:space="preserve"> </w:t>
      </w:r>
      <w:r w:rsidRPr="00242957">
        <w:rPr>
          <w:rFonts w:ascii="Gotham" w:hAnsi="Gotham" w:cs="Arial"/>
          <w:sz w:val="19"/>
          <w:szCs w:val="19"/>
        </w:rPr>
        <w:t>Unidad</w:t>
      </w:r>
      <w:r w:rsidR="00883EC2">
        <w:rPr>
          <w:rFonts w:ascii="Gotham" w:hAnsi="Gotham" w:cs="Arial"/>
          <w:sz w:val="19"/>
          <w:szCs w:val="19"/>
        </w:rPr>
        <w:t xml:space="preserve"> </w:t>
      </w:r>
      <w:r w:rsidRPr="00242957">
        <w:rPr>
          <w:rFonts w:ascii="Gotham" w:hAnsi="Gotham" w:cs="Arial"/>
          <w:sz w:val="19"/>
          <w:szCs w:val="19"/>
        </w:rPr>
        <w:t xml:space="preserve">Administrativa que conocieron la solicitud o de alguna instancia diferente realizando actos positivos para entregar la información de manera posterior, después de presentar el informe señalado en el primer párrafo del </w:t>
      </w:r>
      <w:r w:rsidRPr="00242957">
        <w:rPr>
          <w:rFonts w:ascii="Gotham" w:hAnsi="Gotham" w:cs="Arial"/>
          <w:sz w:val="19"/>
          <w:szCs w:val="19"/>
        </w:rPr>
        <w:lastRenderedPageBreak/>
        <w:t>presente artículo, con el objeto de</w:t>
      </w:r>
      <w:r w:rsidR="00883EC2">
        <w:rPr>
          <w:rFonts w:ascii="Gotham" w:hAnsi="Gotham" w:cs="Arial"/>
          <w:sz w:val="19"/>
          <w:szCs w:val="19"/>
        </w:rPr>
        <w:t xml:space="preserve"> </w:t>
      </w:r>
      <w:r w:rsidRPr="00242957">
        <w:rPr>
          <w:rFonts w:ascii="Gotham" w:hAnsi="Gotham" w:cs="Arial"/>
          <w:sz w:val="19"/>
          <w:szCs w:val="19"/>
        </w:rPr>
        <w:t>solventar alguna transgresión al derecho fundamental de acceso a la información, de conformidad</w:t>
      </w:r>
      <w:r w:rsidR="00883EC2">
        <w:rPr>
          <w:rFonts w:ascii="Gotham" w:hAnsi="Gotham" w:cs="Arial"/>
          <w:sz w:val="19"/>
          <w:szCs w:val="19"/>
        </w:rPr>
        <w:t xml:space="preserve"> </w:t>
      </w:r>
      <w:r w:rsidRPr="00242957">
        <w:rPr>
          <w:rFonts w:ascii="Gotham" w:hAnsi="Gotham" w:cs="Arial"/>
          <w:sz w:val="19"/>
          <w:szCs w:val="19"/>
        </w:rPr>
        <w:t>con la Ley.</w:t>
      </w:r>
    </w:p>
    <w:p w14:paraId="3A474993" w14:textId="77777777" w:rsidR="009B5E39" w:rsidRDefault="009B5E39" w:rsidP="009B5E39">
      <w:pPr>
        <w:ind w:left="284" w:right="283"/>
        <w:jc w:val="both"/>
        <w:rPr>
          <w:rFonts w:ascii="Gotham" w:hAnsi="Gotham" w:cs="Arial"/>
          <w:b/>
          <w:sz w:val="19"/>
          <w:szCs w:val="19"/>
        </w:rPr>
      </w:pPr>
    </w:p>
    <w:p w14:paraId="3A474994"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41.</w:t>
      </w:r>
      <w:r w:rsidRPr="00242957">
        <w:rPr>
          <w:rFonts w:ascii="Gotham" w:hAnsi="Gotham" w:cs="Arial"/>
          <w:sz w:val="19"/>
          <w:szCs w:val="19"/>
        </w:rPr>
        <w:t xml:space="preserve"> Del Cumplimiento de las Resoluciones.</w:t>
      </w:r>
    </w:p>
    <w:p w14:paraId="3A474995" w14:textId="77777777" w:rsidR="009B5E39" w:rsidRDefault="009B5E39" w:rsidP="009B5E39">
      <w:pPr>
        <w:ind w:left="284" w:right="283"/>
        <w:jc w:val="both"/>
        <w:rPr>
          <w:rFonts w:ascii="Gotham" w:hAnsi="Gotham" w:cs="Arial"/>
          <w:sz w:val="19"/>
          <w:szCs w:val="19"/>
        </w:rPr>
      </w:pPr>
    </w:p>
    <w:p w14:paraId="3A474996" w14:textId="77777777" w:rsidR="009B5E39" w:rsidRPr="00242957" w:rsidRDefault="009B5E39" w:rsidP="009B5E39">
      <w:pPr>
        <w:ind w:left="284" w:right="283"/>
        <w:jc w:val="both"/>
        <w:rPr>
          <w:rFonts w:ascii="Gotham" w:hAnsi="Gotham" w:cs="Arial"/>
          <w:b/>
          <w:sz w:val="19"/>
          <w:szCs w:val="19"/>
        </w:rPr>
      </w:pPr>
      <w:r w:rsidRPr="00242957">
        <w:rPr>
          <w:rFonts w:ascii="Gotham" w:hAnsi="Gotham" w:cs="Arial"/>
          <w:sz w:val="19"/>
          <w:szCs w:val="19"/>
        </w:rPr>
        <w:t>Para el cumplimiento de las resoluciones de los recursos de revisión, se requerirá a las Unidades Administrativas, para que proporcionen a la Unidad la información necesaria con vistas a dar cumplimiento a lo ordenado por el Instituto, lo cual deberán hacer apegándose</w:t>
      </w:r>
      <w:r w:rsidR="00883EC2">
        <w:rPr>
          <w:rFonts w:ascii="Gotham" w:hAnsi="Gotham" w:cs="Arial"/>
          <w:sz w:val="19"/>
          <w:szCs w:val="19"/>
        </w:rPr>
        <w:t xml:space="preserve"> </w:t>
      </w:r>
      <w:r w:rsidRPr="00242957">
        <w:rPr>
          <w:rFonts w:ascii="Gotham" w:hAnsi="Gotham" w:cs="Arial"/>
          <w:sz w:val="19"/>
          <w:szCs w:val="19"/>
        </w:rPr>
        <w:t>al término concedido en la propia resolución del órgano garante.</w:t>
      </w:r>
    </w:p>
    <w:p w14:paraId="3A474997" w14:textId="77777777" w:rsidR="009B5E39" w:rsidRDefault="009B5E39" w:rsidP="009B5E39">
      <w:pPr>
        <w:ind w:left="284" w:right="283"/>
        <w:jc w:val="both"/>
        <w:rPr>
          <w:rFonts w:ascii="Gotham" w:hAnsi="Gotham" w:cs="Arial"/>
          <w:b/>
          <w:sz w:val="19"/>
          <w:szCs w:val="19"/>
        </w:rPr>
      </w:pPr>
    </w:p>
    <w:p w14:paraId="3A474998"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42.</w:t>
      </w:r>
      <w:r w:rsidRPr="00242957">
        <w:rPr>
          <w:rFonts w:ascii="Gotham" w:hAnsi="Gotham" w:cs="Arial"/>
          <w:sz w:val="19"/>
          <w:szCs w:val="19"/>
        </w:rPr>
        <w:t xml:space="preserve"> De la atención de los Recursos de Transparencia.</w:t>
      </w:r>
    </w:p>
    <w:p w14:paraId="3A474999" w14:textId="77777777" w:rsidR="009B5E39" w:rsidRDefault="009B5E39" w:rsidP="009B5E39">
      <w:pPr>
        <w:ind w:left="284" w:right="283"/>
        <w:jc w:val="both"/>
        <w:rPr>
          <w:rFonts w:ascii="Gotham" w:hAnsi="Gotham" w:cs="Arial"/>
          <w:sz w:val="19"/>
          <w:szCs w:val="19"/>
        </w:rPr>
      </w:pPr>
    </w:p>
    <w:p w14:paraId="3A47499A"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Para la formulación de los informes de Ley de los recursos de transparencia, se verificará</w:t>
      </w:r>
      <w:r w:rsidR="00883EC2">
        <w:rPr>
          <w:rFonts w:ascii="Gotham" w:hAnsi="Gotham" w:cs="Arial"/>
          <w:sz w:val="19"/>
          <w:szCs w:val="19"/>
        </w:rPr>
        <w:t xml:space="preserve"> </w:t>
      </w:r>
      <w:r w:rsidRPr="00242957">
        <w:rPr>
          <w:rFonts w:ascii="Gotham" w:hAnsi="Gotham" w:cs="Arial"/>
          <w:sz w:val="19"/>
          <w:szCs w:val="19"/>
        </w:rPr>
        <w:t>por parte de la Unidad que la información denunciada se encuentre actualizada, en caso contrario, girará comunicados internos a la Unidad Administrativa y/o Unidades Administrativas que generan, resguardan o administran la información, para que en el término de veinticuatro horas manifiesten los motivos, razones y circunstancias de la omisión de la publicación recurrida.</w:t>
      </w:r>
    </w:p>
    <w:p w14:paraId="3A47499B" w14:textId="77777777" w:rsidR="009B5E39" w:rsidRDefault="009B5E39" w:rsidP="009B5E39">
      <w:pPr>
        <w:ind w:left="284" w:right="283"/>
        <w:jc w:val="both"/>
        <w:rPr>
          <w:rFonts w:ascii="Gotham" w:hAnsi="Gotham" w:cs="Arial"/>
          <w:sz w:val="19"/>
          <w:szCs w:val="19"/>
        </w:rPr>
      </w:pPr>
    </w:p>
    <w:p w14:paraId="3A47499C"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El Titular de la Unidad remitirá al Instituto un informe en contestación al recurso de transparencia planteado, en un plazo no mayor a cinco días hábiles siguientes a la notificación, adjuntando las constancias que en su caso fueren remitidas por las Unidades Administrativas.</w:t>
      </w:r>
    </w:p>
    <w:p w14:paraId="3A47499D" w14:textId="77777777" w:rsidR="009B5E39" w:rsidRDefault="009B5E39" w:rsidP="009B5E39">
      <w:pPr>
        <w:ind w:left="284" w:right="283"/>
        <w:jc w:val="both"/>
        <w:rPr>
          <w:rFonts w:ascii="Gotham" w:hAnsi="Gotham" w:cs="Arial"/>
          <w:sz w:val="19"/>
          <w:szCs w:val="19"/>
        </w:rPr>
      </w:pPr>
    </w:p>
    <w:p w14:paraId="3A47499E"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El Titular de la Unidad hará del conocimiento por escrito al Presidente Municipal sobre el</w:t>
      </w:r>
      <w:r w:rsidR="00883EC2">
        <w:rPr>
          <w:rFonts w:ascii="Gotham" w:hAnsi="Gotham" w:cs="Arial"/>
          <w:sz w:val="19"/>
          <w:szCs w:val="19"/>
        </w:rPr>
        <w:t xml:space="preserve"> </w:t>
      </w:r>
      <w:r w:rsidRPr="00242957">
        <w:rPr>
          <w:rFonts w:ascii="Gotham" w:hAnsi="Gotham" w:cs="Arial"/>
          <w:sz w:val="19"/>
          <w:szCs w:val="19"/>
        </w:rPr>
        <w:t>recurso</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transparencia</w:t>
      </w:r>
      <w:r w:rsidR="00883EC2">
        <w:rPr>
          <w:rFonts w:ascii="Gotham" w:hAnsi="Gotham" w:cs="Arial"/>
          <w:sz w:val="19"/>
          <w:szCs w:val="19"/>
        </w:rPr>
        <w:t xml:space="preserve"> </w:t>
      </w:r>
      <w:r w:rsidRPr="00242957">
        <w:rPr>
          <w:rFonts w:ascii="Gotham" w:hAnsi="Gotham" w:cs="Arial"/>
          <w:sz w:val="19"/>
          <w:szCs w:val="19"/>
        </w:rPr>
        <w:t>interpuesto,</w:t>
      </w:r>
      <w:r w:rsidR="00883EC2">
        <w:rPr>
          <w:rFonts w:ascii="Gotham" w:hAnsi="Gotham" w:cs="Arial"/>
          <w:sz w:val="19"/>
          <w:szCs w:val="19"/>
        </w:rPr>
        <w:t xml:space="preserve"> </w:t>
      </w:r>
      <w:r w:rsidRPr="00242957">
        <w:rPr>
          <w:rFonts w:ascii="Gotham" w:hAnsi="Gotham" w:cs="Arial"/>
          <w:sz w:val="19"/>
          <w:szCs w:val="19"/>
        </w:rPr>
        <w:t>quien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ser</w:t>
      </w:r>
      <w:r w:rsidR="00883EC2">
        <w:rPr>
          <w:rFonts w:ascii="Gotham" w:hAnsi="Gotham" w:cs="Arial"/>
          <w:sz w:val="19"/>
          <w:szCs w:val="19"/>
        </w:rPr>
        <w:t xml:space="preserve"> </w:t>
      </w:r>
      <w:r w:rsidRPr="00242957">
        <w:rPr>
          <w:rFonts w:ascii="Gotham" w:hAnsi="Gotham" w:cs="Arial"/>
          <w:sz w:val="19"/>
          <w:szCs w:val="19"/>
        </w:rPr>
        <w:t>el</w:t>
      </w:r>
      <w:r w:rsidR="00883EC2">
        <w:rPr>
          <w:rFonts w:ascii="Gotham" w:hAnsi="Gotham" w:cs="Arial"/>
          <w:sz w:val="19"/>
          <w:szCs w:val="19"/>
        </w:rPr>
        <w:t xml:space="preserve"> </w:t>
      </w:r>
      <w:r w:rsidRPr="00242957">
        <w:rPr>
          <w:rFonts w:ascii="Gotham" w:hAnsi="Gotham" w:cs="Arial"/>
          <w:sz w:val="19"/>
          <w:szCs w:val="19"/>
        </w:rPr>
        <w:t>caso</w:t>
      </w:r>
      <w:r w:rsidR="00883EC2">
        <w:rPr>
          <w:rFonts w:ascii="Gotham" w:hAnsi="Gotham" w:cs="Arial"/>
          <w:sz w:val="19"/>
          <w:szCs w:val="19"/>
        </w:rPr>
        <w:t xml:space="preserve"> </w:t>
      </w:r>
      <w:r w:rsidRPr="00242957">
        <w:rPr>
          <w:rFonts w:ascii="Gotham" w:hAnsi="Gotham" w:cs="Arial"/>
          <w:sz w:val="19"/>
          <w:szCs w:val="19"/>
        </w:rPr>
        <w:t>instruirá</w:t>
      </w:r>
      <w:r w:rsidR="00883EC2">
        <w:rPr>
          <w:rFonts w:ascii="Gotham" w:hAnsi="Gotham" w:cs="Arial"/>
          <w:sz w:val="19"/>
          <w:szCs w:val="19"/>
        </w:rPr>
        <w:t xml:space="preserve"> </w:t>
      </w:r>
      <w:r w:rsidRPr="00242957">
        <w:rPr>
          <w:rFonts w:ascii="Gotham" w:hAnsi="Gotham" w:cs="Arial"/>
          <w:sz w:val="19"/>
          <w:szCs w:val="19"/>
        </w:rPr>
        <w:t>por</w:t>
      </w:r>
      <w:r w:rsidR="00883EC2">
        <w:rPr>
          <w:rFonts w:ascii="Gotham" w:hAnsi="Gotham" w:cs="Arial"/>
          <w:sz w:val="19"/>
          <w:szCs w:val="19"/>
        </w:rPr>
        <w:t xml:space="preserve"> </w:t>
      </w:r>
      <w:r w:rsidRPr="00242957">
        <w:rPr>
          <w:rFonts w:ascii="Gotham" w:hAnsi="Gotham" w:cs="Arial"/>
          <w:sz w:val="19"/>
          <w:szCs w:val="19"/>
        </w:rPr>
        <w:t>escrito</w:t>
      </w:r>
      <w:r w:rsidR="00883EC2">
        <w:rPr>
          <w:rFonts w:ascii="Gotham" w:hAnsi="Gotham" w:cs="Arial"/>
          <w:sz w:val="19"/>
          <w:szCs w:val="19"/>
        </w:rPr>
        <w:t xml:space="preserve"> </w:t>
      </w:r>
      <w:r w:rsidRPr="00242957">
        <w:rPr>
          <w:rFonts w:ascii="Gotham" w:hAnsi="Gotham" w:cs="Arial"/>
          <w:sz w:val="19"/>
          <w:szCs w:val="19"/>
        </w:rPr>
        <w:t>a</w:t>
      </w:r>
      <w:r w:rsidR="00883EC2">
        <w:rPr>
          <w:rFonts w:ascii="Gotham" w:hAnsi="Gotham" w:cs="Arial"/>
          <w:sz w:val="19"/>
          <w:szCs w:val="19"/>
        </w:rPr>
        <w:t xml:space="preserve"> </w:t>
      </w:r>
      <w:r w:rsidRPr="00242957">
        <w:rPr>
          <w:rFonts w:ascii="Gotham" w:hAnsi="Gotham" w:cs="Arial"/>
          <w:sz w:val="19"/>
          <w:szCs w:val="19"/>
        </w:rPr>
        <w:t>los sujetos obligados</w:t>
      </w:r>
      <w:r w:rsidR="00883EC2">
        <w:rPr>
          <w:rFonts w:ascii="Gotham" w:hAnsi="Gotham" w:cs="Arial"/>
          <w:sz w:val="19"/>
          <w:szCs w:val="19"/>
        </w:rPr>
        <w:t xml:space="preserve"> </w:t>
      </w:r>
      <w:r w:rsidRPr="00242957">
        <w:rPr>
          <w:rFonts w:ascii="Gotham" w:hAnsi="Gotham" w:cs="Arial"/>
          <w:sz w:val="19"/>
          <w:szCs w:val="19"/>
        </w:rPr>
        <w:t>establecidos</w:t>
      </w:r>
      <w:r w:rsidR="00883EC2">
        <w:rPr>
          <w:rFonts w:ascii="Gotham" w:hAnsi="Gotham" w:cs="Arial"/>
          <w:sz w:val="19"/>
          <w:szCs w:val="19"/>
        </w:rPr>
        <w:t xml:space="preserve"> </w:t>
      </w:r>
      <w:r w:rsidRPr="00242957">
        <w:rPr>
          <w:rFonts w:ascii="Gotham" w:hAnsi="Gotham" w:cs="Arial"/>
          <w:sz w:val="19"/>
          <w:szCs w:val="19"/>
        </w:rPr>
        <w:t>en</w:t>
      </w:r>
      <w:r w:rsidR="00883EC2">
        <w:rPr>
          <w:rFonts w:ascii="Gotham" w:hAnsi="Gotham" w:cs="Arial"/>
          <w:sz w:val="19"/>
          <w:szCs w:val="19"/>
        </w:rPr>
        <w:t xml:space="preserve"> </w:t>
      </w:r>
      <w:r w:rsidRPr="00242957">
        <w:rPr>
          <w:rFonts w:ascii="Gotham" w:hAnsi="Gotham" w:cs="Arial"/>
          <w:sz w:val="19"/>
          <w:szCs w:val="19"/>
        </w:rPr>
        <w:t>el</w:t>
      </w:r>
      <w:r w:rsidR="00883EC2">
        <w:rPr>
          <w:rFonts w:ascii="Gotham" w:hAnsi="Gotham" w:cs="Arial"/>
          <w:sz w:val="19"/>
          <w:szCs w:val="19"/>
        </w:rPr>
        <w:t xml:space="preserve"> </w:t>
      </w:r>
      <w:r w:rsidRPr="00242957">
        <w:rPr>
          <w:rFonts w:ascii="Gotham" w:hAnsi="Gotham" w:cs="Arial"/>
          <w:sz w:val="19"/>
          <w:szCs w:val="19"/>
        </w:rPr>
        <w:t>artículo</w:t>
      </w:r>
      <w:r w:rsidR="00883EC2">
        <w:rPr>
          <w:rFonts w:ascii="Gotham" w:hAnsi="Gotham" w:cs="Arial"/>
          <w:sz w:val="19"/>
          <w:szCs w:val="19"/>
        </w:rPr>
        <w:t xml:space="preserve"> </w:t>
      </w:r>
      <w:r w:rsidRPr="00242957">
        <w:rPr>
          <w:rFonts w:ascii="Gotham" w:hAnsi="Gotham" w:cs="Arial"/>
          <w:sz w:val="19"/>
          <w:szCs w:val="19"/>
        </w:rPr>
        <w:t>5</w:t>
      </w:r>
      <w:r w:rsidR="00883EC2">
        <w:rPr>
          <w:rFonts w:ascii="Gotham" w:hAnsi="Gotham" w:cs="Arial"/>
          <w:sz w:val="19"/>
          <w:szCs w:val="19"/>
        </w:rPr>
        <w:t xml:space="preserve"> </w:t>
      </w:r>
      <w:r w:rsidRPr="00242957">
        <w:rPr>
          <w:rFonts w:ascii="Gotham" w:hAnsi="Gotham" w:cs="Arial"/>
          <w:sz w:val="19"/>
          <w:szCs w:val="19"/>
        </w:rPr>
        <w:t>del</w:t>
      </w:r>
      <w:r w:rsidR="00883EC2">
        <w:rPr>
          <w:rFonts w:ascii="Gotham" w:hAnsi="Gotham" w:cs="Arial"/>
          <w:sz w:val="19"/>
          <w:szCs w:val="19"/>
        </w:rPr>
        <w:t xml:space="preserve"> </w:t>
      </w:r>
      <w:r w:rsidRPr="00242957">
        <w:rPr>
          <w:rFonts w:ascii="Gotham" w:hAnsi="Gotham" w:cs="Arial"/>
          <w:sz w:val="19"/>
          <w:szCs w:val="19"/>
        </w:rPr>
        <w:t>presente</w:t>
      </w:r>
      <w:r w:rsidR="00883EC2">
        <w:rPr>
          <w:rFonts w:ascii="Gotham" w:hAnsi="Gotham" w:cs="Arial"/>
          <w:sz w:val="19"/>
          <w:szCs w:val="19"/>
        </w:rPr>
        <w:t xml:space="preserve"> </w:t>
      </w:r>
      <w:r w:rsidRPr="00242957">
        <w:rPr>
          <w:rFonts w:ascii="Gotham" w:hAnsi="Gotham" w:cs="Arial"/>
          <w:sz w:val="19"/>
          <w:szCs w:val="19"/>
        </w:rPr>
        <w:t>Reglamento</w:t>
      </w:r>
      <w:r w:rsidR="00883EC2">
        <w:rPr>
          <w:rFonts w:ascii="Gotham" w:hAnsi="Gotham" w:cs="Arial"/>
          <w:sz w:val="19"/>
          <w:szCs w:val="19"/>
        </w:rPr>
        <w:t xml:space="preserve"> </w:t>
      </w:r>
      <w:r w:rsidRPr="00242957">
        <w:rPr>
          <w:rFonts w:ascii="Gotham" w:hAnsi="Gotham" w:cs="Arial"/>
          <w:sz w:val="19"/>
          <w:szCs w:val="19"/>
        </w:rPr>
        <w:t>para</w:t>
      </w:r>
      <w:r w:rsidR="00883EC2">
        <w:rPr>
          <w:rFonts w:ascii="Gotham" w:hAnsi="Gotham" w:cs="Arial"/>
          <w:sz w:val="19"/>
          <w:szCs w:val="19"/>
        </w:rPr>
        <w:t xml:space="preserve"> </w:t>
      </w:r>
      <w:r w:rsidRPr="00242957">
        <w:rPr>
          <w:rFonts w:ascii="Gotham" w:hAnsi="Gotham" w:cs="Arial"/>
          <w:sz w:val="19"/>
          <w:szCs w:val="19"/>
        </w:rPr>
        <w:t>que</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manera inmediata atiendan y resuelvan el Recurso de Transparencia y se haga</w:t>
      </w:r>
      <w:r w:rsidR="00883EC2">
        <w:rPr>
          <w:rFonts w:ascii="Gotham" w:hAnsi="Gotham" w:cs="Arial"/>
          <w:sz w:val="19"/>
          <w:szCs w:val="19"/>
        </w:rPr>
        <w:t xml:space="preserve"> </w:t>
      </w:r>
      <w:r w:rsidRPr="00242957">
        <w:rPr>
          <w:rFonts w:ascii="Gotham" w:hAnsi="Gotham" w:cs="Arial"/>
          <w:sz w:val="19"/>
          <w:szCs w:val="19"/>
        </w:rPr>
        <w:t>del</w:t>
      </w:r>
      <w:r w:rsidR="00883EC2">
        <w:rPr>
          <w:rFonts w:ascii="Gotham" w:hAnsi="Gotham" w:cs="Arial"/>
          <w:sz w:val="19"/>
          <w:szCs w:val="19"/>
        </w:rPr>
        <w:t xml:space="preserve"> </w:t>
      </w:r>
      <w:r w:rsidRPr="00242957">
        <w:rPr>
          <w:rFonts w:ascii="Gotham" w:hAnsi="Gotham" w:cs="Arial"/>
          <w:sz w:val="19"/>
          <w:szCs w:val="19"/>
        </w:rPr>
        <w:t>conocimiento del Instituto.</w:t>
      </w:r>
    </w:p>
    <w:p w14:paraId="3A47499F" w14:textId="77777777" w:rsidR="009B5E39" w:rsidRDefault="009B5E39" w:rsidP="009B5E39">
      <w:pPr>
        <w:ind w:left="284" w:right="283"/>
        <w:jc w:val="both"/>
        <w:rPr>
          <w:rFonts w:ascii="Gotham" w:hAnsi="Gotham" w:cs="Arial"/>
          <w:b/>
          <w:sz w:val="19"/>
          <w:szCs w:val="19"/>
        </w:rPr>
      </w:pPr>
    </w:p>
    <w:p w14:paraId="3A4749A0"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43.</w:t>
      </w:r>
      <w:r w:rsidRPr="00242957">
        <w:rPr>
          <w:rFonts w:ascii="Gotham" w:hAnsi="Gotham" w:cs="Arial"/>
          <w:sz w:val="19"/>
          <w:szCs w:val="19"/>
        </w:rPr>
        <w:t xml:space="preserve"> Del cumplimiento de Recursos de Transparencia.</w:t>
      </w:r>
    </w:p>
    <w:p w14:paraId="3A4749A1" w14:textId="77777777" w:rsidR="009B5E39" w:rsidRDefault="009B5E39" w:rsidP="009B5E39">
      <w:pPr>
        <w:ind w:left="284" w:right="283"/>
        <w:jc w:val="both"/>
        <w:rPr>
          <w:rFonts w:ascii="Gotham" w:hAnsi="Gotham" w:cs="Arial"/>
          <w:sz w:val="19"/>
          <w:szCs w:val="19"/>
        </w:rPr>
      </w:pPr>
    </w:p>
    <w:p w14:paraId="3A4749A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Para el cumplimiento de las resoluciones de los recursos de transparencia, se requerirá a</w:t>
      </w:r>
      <w:r w:rsidR="00883EC2">
        <w:rPr>
          <w:rFonts w:ascii="Gotham" w:hAnsi="Gotham" w:cs="Arial"/>
          <w:sz w:val="19"/>
          <w:szCs w:val="19"/>
        </w:rPr>
        <w:t xml:space="preserve"> </w:t>
      </w:r>
      <w:r w:rsidRPr="00242957">
        <w:rPr>
          <w:rFonts w:ascii="Gotham" w:hAnsi="Gotham" w:cs="Arial"/>
          <w:sz w:val="19"/>
          <w:szCs w:val="19"/>
        </w:rPr>
        <w:t>la Unidad Administrativa y/o Unidades Administrativas que generan la información, para que proporcionen a la Unidad la información necesaria con vistas a dar cumplimiento a lo requerido por el Instituto, lo cual deberán hacer apegándose al término concedido en la propia resolución.</w:t>
      </w:r>
    </w:p>
    <w:p w14:paraId="3A4749A3" w14:textId="77777777" w:rsidR="009B5E39" w:rsidRDefault="009B5E39" w:rsidP="009B5E39">
      <w:pPr>
        <w:ind w:left="284" w:right="283"/>
        <w:jc w:val="both"/>
        <w:rPr>
          <w:rFonts w:ascii="Gotham" w:hAnsi="Gotham" w:cs="Arial"/>
          <w:sz w:val="19"/>
          <w:szCs w:val="19"/>
        </w:rPr>
      </w:pPr>
    </w:p>
    <w:p w14:paraId="3A4749A4"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Se deberá incluir constancia certificadas sobre la impresión de pantallas, de la página del portal en el informe de cumplimiento.</w:t>
      </w:r>
    </w:p>
    <w:p w14:paraId="3A4749A5" w14:textId="77777777" w:rsidR="009B5E39" w:rsidRDefault="009B5E39" w:rsidP="009B5E39">
      <w:pPr>
        <w:ind w:left="284" w:right="283"/>
        <w:jc w:val="both"/>
        <w:rPr>
          <w:rFonts w:ascii="Gotham" w:hAnsi="Gotham" w:cs="Arial"/>
          <w:sz w:val="19"/>
          <w:szCs w:val="19"/>
        </w:rPr>
      </w:pPr>
    </w:p>
    <w:p w14:paraId="3A4749A6"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Unidad hará del conocimiento del Presidente Municipal del cumplimiento del Recurso de Transparencia.</w:t>
      </w:r>
    </w:p>
    <w:p w14:paraId="3A4749A7" w14:textId="77777777" w:rsidR="009B5E39" w:rsidRPr="00242957" w:rsidRDefault="009B5E39" w:rsidP="009B5E39">
      <w:pPr>
        <w:ind w:left="284" w:right="283"/>
        <w:jc w:val="both"/>
        <w:rPr>
          <w:rFonts w:ascii="Gotham" w:hAnsi="Gotham" w:cs="Arial"/>
          <w:b/>
          <w:sz w:val="19"/>
          <w:szCs w:val="19"/>
        </w:rPr>
      </w:pPr>
    </w:p>
    <w:p w14:paraId="3A4749A8"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44.</w:t>
      </w:r>
      <w:r w:rsidRPr="00242957">
        <w:rPr>
          <w:rFonts w:ascii="Gotham" w:hAnsi="Gotham" w:cs="Arial"/>
          <w:sz w:val="19"/>
          <w:szCs w:val="19"/>
        </w:rPr>
        <w:t xml:space="preserve"> De la atención de Recursos de Protección.</w:t>
      </w:r>
    </w:p>
    <w:p w14:paraId="3A4749A9" w14:textId="77777777" w:rsidR="009B5E39" w:rsidRDefault="009B5E39" w:rsidP="009B5E39">
      <w:pPr>
        <w:ind w:left="284" w:right="283"/>
        <w:jc w:val="both"/>
        <w:rPr>
          <w:rFonts w:ascii="Gotham" w:hAnsi="Gotham" w:cs="Arial"/>
          <w:sz w:val="19"/>
          <w:szCs w:val="19"/>
        </w:rPr>
      </w:pPr>
    </w:p>
    <w:p w14:paraId="3A4749AA"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Cuando la Unidad, declare parcialmente procedente o improcedente la solicitud de protección de información confidencial, remitirá al Instituto copia del expediente correspondiente dentro de los tres días hábiles siguientes a la emisión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la resolución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la solicitud de protección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información</w:t>
      </w:r>
      <w:r w:rsidR="00883EC2">
        <w:rPr>
          <w:rFonts w:ascii="Gotham" w:hAnsi="Gotham" w:cs="Arial"/>
          <w:sz w:val="19"/>
          <w:szCs w:val="19"/>
        </w:rPr>
        <w:t xml:space="preserve"> </w:t>
      </w:r>
      <w:r w:rsidRPr="00242957">
        <w:rPr>
          <w:rFonts w:ascii="Gotham" w:hAnsi="Gotham" w:cs="Arial"/>
          <w:sz w:val="19"/>
          <w:szCs w:val="19"/>
        </w:rPr>
        <w:t>confidencial respectiva.</w:t>
      </w:r>
      <w:r w:rsidR="00883EC2">
        <w:rPr>
          <w:rFonts w:ascii="Gotham" w:hAnsi="Gotham" w:cs="Arial"/>
          <w:sz w:val="19"/>
          <w:szCs w:val="19"/>
        </w:rPr>
        <w:t xml:space="preserve"> </w:t>
      </w:r>
      <w:r w:rsidRPr="00242957">
        <w:rPr>
          <w:rFonts w:ascii="Gotham" w:hAnsi="Gotham" w:cs="Arial"/>
          <w:sz w:val="19"/>
          <w:szCs w:val="19"/>
        </w:rPr>
        <w:t>Las demás establecidas en la Ley.</w:t>
      </w:r>
    </w:p>
    <w:p w14:paraId="3A4749AB" w14:textId="77777777" w:rsidR="009B5E39" w:rsidRDefault="009B5E39" w:rsidP="009B5E39">
      <w:pPr>
        <w:ind w:left="284" w:right="283"/>
        <w:jc w:val="both"/>
        <w:rPr>
          <w:rFonts w:ascii="Gotham" w:hAnsi="Gotham" w:cs="Arial"/>
          <w:b/>
          <w:sz w:val="19"/>
          <w:szCs w:val="19"/>
        </w:rPr>
      </w:pPr>
    </w:p>
    <w:p w14:paraId="3A4749AC"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 xml:space="preserve">Artículo 45. </w:t>
      </w:r>
      <w:r w:rsidRPr="00242957">
        <w:rPr>
          <w:rFonts w:ascii="Gotham" w:hAnsi="Gotham" w:cs="Arial"/>
          <w:sz w:val="19"/>
          <w:szCs w:val="19"/>
        </w:rPr>
        <w:t>Del cumplimiento de resoluciones de Recursos de Protección.</w:t>
      </w:r>
    </w:p>
    <w:p w14:paraId="3A4749AD" w14:textId="77777777" w:rsidR="009B5E39" w:rsidRDefault="009B5E39" w:rsidP="009B5E39">
      <w:pPr>
        <w:ind w:left="284" w:right="283"/>
        <w:jc w:val="both"/>
        <w:rPr>
          <w:rFonts w:ascii="Gotham" w:hAnsi="Gotham" w:cs="Arial"/>
          <w:sz w:val="19"/>
          <w:szCs w:val="19"/>
        </w:rPr>
      </w:pPr>
    </w:p>
    <w:p w14:paraId="3A4749AE"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Para el cumplimiento de las resoluciones de</w:t>
      </w:r>
      <w:r w:rsidR="00883EC2">
        <w:rPr>
          <w:rFonts w:ascii="Gotham" w:hAnsi="Gotham" w:cs="Arial"/>
          <w:sz w:val="19"/>
          <w:szCs w:val="19"/>
        </w:rPr>
        <w:t xml:space="preserve"> </w:t>
      </w:r>
      <w:r w:rsidRPr="00242957">
        <w:rPr>
          <w:rFonts w:ascii="Gotham" w:hAnsi="Gotham" w:cs="Arial"/>
          <w:sz w:val="19"/>
          <w:szCs w:val="19"/>
        </w:rPr>
        <w:t>los</w:t>
      </w:r>
      <w:r w:rsidR="00883EC2">
        <w:rPr>
          <w:rFonts w:ascii="Gotham" w:hAnsi="Gotham" w:cs="Arial"/>
          <w:sz w:val="19"/>
          <w:szCs w:val="19"/>
        </w:rPr>
        <w:t xml:space="preserve"> </w:t>
      </w:r>
      <w:r w:rsidRPr="00242957">
        <w:rPr>
          <w:rFonts w:ascii="Gotham" w:hAnsi="Gotham" w:cs="Arial"/>
          <w:sz w:val="19"/>
          <w:szCs w:val="19"/>
        </w:rPr>
        <w:t>recursos</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protección,</w:t>
      </w:r>
      <w:r w:rsidR="00883EC2">
        <w:rPr>
          <w:rFonts w:ascii="Gotham" w:hAnsi="Gotham" w:cs="Arial"/>
          <w:sz w:val="19"/>
          <w:szCs w:val="19"/>
        </w:rPr>
        <w:t xml:space="preserve"> </w:t>
      </w:r>
      <w:r w:rsidRPr="00242957">
        <w:rPr>
          <w:rFonts w:ascii="Gotham" w:hAnsi="Gotham" w:cs="Arial"/>
          <w:sz w:val="19"/>
          <w:szCs w:val="19"/>
        </w:rPr>
        <w:t>la</w:t>
      </w:r>
      <w:r w:rsidR="00883EC2">
        <w:rPr>
          <w:rFonts w:ascii="Gotham" w:hAnsi="Gotham" w:cs="Arial"/>
          <w:sz w:val="19"/>
          <w:szCs w:val="19"/>
        </w:rPr>
        <w:t xml:space="preserve"> </w:t>
      </w:r>
      <w:r w:rsidRPr="00242957">
        <w:rPr>
          <w:rFonts w:ascii="Gotham" w:hAnsi="Gotham" w:cs="Arial"/>
          <w:sz w:val="19"/>
          <w:szCs w:val="19"/>
        </w:rPr>
        <w:t>Unidad requerirá a las Unidades Administrativas responsables que</w:t>
      </w:r>
      <w:r w:rsidR="00883EC2">
        <w:rPr>
          <w:rFonts w:ascii="Gotham" w:hAnsi="Gotham" w:cs="Arial"/>
          <w:sz w:val="19"/>
          <w:szCs w:val="19"/>
        </w:rPr>
        <w:t xml:space="preserve"> </w:t>
      </w:r>
      <w:r w:rsidRPr="00242957">
        <w:rPr>
          <w:rFonts w:ascii="Gotham" w:hAnsi="Gotham" w:cs="Arial"/>
          <w:sz w:val="19"/>
          <w:szCs w:val="19"/>
        </w:rPr>
        <w:t>efectúen</w:t>
      </w:r>
      <w:r w:rsidR="00883EC2">
        <w:rPr>
          <w:rFonts w:ascii="Gotham" w:hAnsi="Gotham" w:cs="Arial"/>
          <w:sz w:val="19"/>
          <w:szCs w:val="19"/>
        </w:rPr>
        <w:t xml:space="preserve"> </w:t>
      </w:r>
      <w:r w:rsidRPr="00242957">
        <w:rPr>
          <w:rFonts w:ascii="Gotham" w:hAnsi="Gotham" w:cs="Arial"/>
          <w:sz w:val="19"/>
          <w:szCs w:val="19"/>
        </w:rPr>
        <w:t>las</w:t>
      </w:r>
      <w:r w:rsidR="00883EC2">
        <w:rPr>
          <w:rFonts w:ascii="Gotham" w:hAnsi="Gotham" w:cs="Arial"/>
          <w:sz w:val="19"/>
          <w:szCs w:val="19"/>
        </w:rPr>
        <w:t xml:space="preserve"> </w:t>
      </w:r>
      <w:r w:rsidRPr="00242957">
        <w:rPr>
          <w:rFonts w:ascii="Gotham" w:hAnsi="Gotham" w:cs="Arial"/>
          <w:sz w:val="19"/>
          <w:szCs w:val="19"/>
        </w:rPr>
        <w:t>acciones</w:t>
      </w:r>
      <w:r w:rsidR="00883EC2">
        <w:rPr>
          <w:rFonts w:ascii="Gotham" w:hAnsi="Gotham" w:cs="Arial"/>
          <w:sz w:val="19"/>
          <w:szCs w:val="19"/>
        </w:rPr>
        <w:t xml:space="preserve"> </w:t>
      </w:r>
      <w:r w:rsidRPr="00242957">
        <w:rPr>
          <w:rFonts w:ascii="Gotham" w:hAnsi="Gotham" w:cs="Arial"/>
          <w:sz w:val="19"/>
          <w:szCs w:val="19"/>
        </w:rPr>
        <w:t>necesarias para el cumplimiento de lo ordenado por el Instituto, y remitan a la Unidad las constancias necesarias para acreditar ante el Instituto su cumplimiento, apegándose al término concedido en la resolución.</w:t>
      </w:r>
    </w:p>
    <w:p w14:paraId="3A4749AF" w14:textId="77777777" w:rsidR="009B5E39" w:rsidRDefault="009B5E39" w:rsidP="009B5E39">
      <w:pPr>
        <w:ind w:left="284" w:right="283"/>
        <w:jc w:val="both"/>
        <w:rPr>
          <w:rFonts w:ascii="Gotham" w:hAnsi="Gotham" w:cs="Arial"/>
          <w:b/>
          <w:sz w:val="19"/>
          <w:szCs w:val="19"/>
        </w:rPr>
      </w:pPr>
    </w:p>
    <w:p w14:paraId="3A4749B0"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46.</w:t>
      </w:r>
      <w:r w:rsidRPr="00242957">
        <w:rPr>
          <w:rFonts w:ascii="Gotham" w:hAnsi="Gotham" w:cs="Arial"/>
          <w:sz w:val="19"/>
          <w:szCs w:val="19"/>
        </w:rPr>
        <w:t xml:space="preserve"> Del informe de cumplimiento.</w:t>
      </w:r>
    </w:p>
    <w:p w14:paraId="3A4749B1" w14:textId="77777777" w:rsidR="009B5E39" w:rsidRDefault="009B5E39" w:rsidP="009B5E39">
      <w:pPr>
        <w:ind w:left="284" w:right="283"/>
        <w:jc w:val="both"/>
        <w:rPr>
          <w:rFonts w:ascii="Gotham" w:hAnsi="Gotham" w:cs="Arial"/>
          <w:sz w:val="19"/>
          <w:szCs w:val="19"/>
        </w:rPr>
      </w:pPr>
    </w:p>
    <w:p w14:paraId="3A4749B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Una vez efectuado el cumplimiento a las resoluciones referidas en los artículos 30, 32 y 34</w:t>
      </w:r>
      <w:r w:rsidR="00883EC2">
        <w:rPr>
          <w:rFonts w:ascii="Gotham" w:hAnsi="Gotham" w:cs="Arial"/>
          <w:sz w:val="19"/>
          <w:szCs w:val="19"/>
        </w:rPr>
        <w:t xml:space="preserve"> </w:t>
      </w:r>
      <w:r w:rsidRPr="00242957">
        <w:rPr>
          <w:rFonts w:ascii="Gotham" w:hAnsi="Gotham" w:cs="Arial"/>
          <w:sz w:val="19"/>
          <w:szCs w:val="19"/>
        </w:rPr>
        <w:t>del presente Reglamento, la Unidad formulará y remitirá al Instituto cada uno de los informes correspondientes de cumplimiento, dentro del plazo que marque la propia Ley y resolución respectiva emitida por el Instituto.</w:t>
      </w:r>
    </w:p>
    <w:p w14:paraId="3A4749B3" w14:textId="77777777" w:rsidR="009B5E39" w:rsidRDefault="009B5E39" w:rsidP="009B5E39">
      <w:pPr>
        <w:pStyle w:val="Ttulo1"/>
        <w:spacing w:before="0"/>
        <w:ind w:left="284" w:right="283"/>
        <w:rPr>
          <w:rFonts w:ascii="Gotham" w:hAnsi="Gotham" w:cs="Arial"/>
          <w:sz w:val="19"/>
          <w:szCs w:val="19"/>
        </w:rPr>
      </w:pPr>
      <w:bookmarkStart w:id="16" w:name="_Toc40950517"/>
    </w:p>
    <w:p w14:paraId="3A4749B4" w14:textId="77777777" w:rsidR="009B5E39" w:rsidRDefault="009B5E39" w:rsidP="009B5E39">
      <w:pPr>
        <w:pStyle w:val="Ttulo1"/>
        <w:spacing w:before="0"/>
        <w:ind w:left="284" w:right="283"/>
        <w:rPr>
          <w:rFonts w:ascii="Gotham" w:hAnsi="Gotham" w:cs="Arial"/>
          <w:sz w:val="19"/>
          <w:szCs w:val="19"/>
        </w:rPr>
      </w:pPr>
    </w:p>
    <w:p w14:paraId="3A4749B5" w14:textId="77777777" w:rsidR="009B5E39" w:rsidRPr="00242957" w:rsidRDefault="009B5E39" w:rsidP="009B5E39">
      <w:pPr>
        <w:ind w:left="284" w:right="283"/>
        <w:jc w:val="center"/>
        <w:rPr>
          <w:rFonts w:ascii="Gotham" w:hAnsi="Gotham" w:cs="Arial"/>
          <w:sz w:val="19"/>
          <w:szCs w:val="19"/>
        </w:rPr>
      </w:pPr>
      <w:r w:rsidRPr="00242957">
        <w:rPr>
          <w:rFonts w:ascii="Gotham" w:hAnsi="Gotham" w:cs="Arial"/>
          <w:sz w:val="19"/>
          <w:szCs w:val="19"/>
        </w:rPr>
        <w:t xml:space="preserve">TÍTULO CUARTO </w:t>
      </w:r>
      <w:r w:rsidRPr="00242957">
        <w:rPr>
          <w:rFonts w:ascii="Gotham" w:hAnsi="Gotham" w:cs="Arial"/>
          <w:sz w:val="19"/>
          <w:szCs w:val="19"/>
        </w:rPr>
        <w:br/>
        <w:t>DEL SISTEMA DE GOBIERNO ABIERTO MUNICIPAL</w:t>
      </w:r>
      <w:bookmarkEnd w:id="16"/>
    </w:p>
    <w:p w14:paraId="3A4749B6" w14:textId="77777777" w:rsidR="009B5E39" w:rsidRPr="00242957" w:rsidRDefault="009B5E39" w:rsidP="009B5E39">
      <w:pPr>
        <w:ind w:left="284" w:right="283"/>
        <w:jc w:val="center"/>
        <w:rPr>
          <w:rFonts w:ascii="Gotham" w:hAnsi="Gotham" w:cs="Arial"/>
          <w:sz w:val="19"/>
          <w:szCs w:val="19"/>
        </w:rPr>
      </w:pPr>
    </w:p>
    <w:p w14:paraId="3A4749B7" w14:textId="77777777" w:rsidR="009B5E39" w:rsidRPr="00242957" w:rsidRDefault="009B5E39" w:rsidP="009B5E39">
      <w:pPr>
        <w:ind w:left="284" w:right="283"/>
        <w:jc w:val="center"/>
        <w:rPr>
          <w:rFonts w:ascii="Gotham" w:hAnsi="Gotham" w:cs="Arial"/>
          <w:sz w:val="19"/>
          <w:szCs w:val="19"/>
        </w:rPr>
      </w:pPr>
      <w:bookmarkStart w:id="17" w:name="_Toc40950518"/>
      <w:r w:rsidRPr="00242957">
        <w:rPr>
          <w:rFonts w:ascii="Gotham" w:hAnsi="Gotham" w:cs="Arial"/>
          <w:sz w:val="19"/>
          <w:szCs w:val="19"/>
        </w:rPr>
        <w:t xml:space="preserve">CAPÍTULO PRIMERO </w:t>
      </w:r>
      <w:r w:rsidRPr="00242957">
        <w:rPr>
          <w:rFonts w:ascii="Gotham" w:hAnsi="Gotham" w:cs="Arial"/>
          <w:sz w:val="19"/>
          <w:szCs w:val="19"/>
        </w:rPr>
        <w:br/>
        <w:t>Del</w:t>
      </w:r>
      <w:r w:rsidR="00883EC2">
        <w:rPr>
          <w:rFonts w:ascii="Gotham" w:hAnsi="Gotham" w:cs="Arial"/>
          <w:sz w:val="19"/>
          <w:szCs w:val="19"/>
        </w:rPr>
        <w:t xml:space="preserve"> </w:t>
      </w:r>
      <w:r w:rsidRPr="00242957">
        <w:rPr>
          <w:rFonts w:ascii="Gotham" w:hAnsi="Gotham" w:cs="Arial"/>
          <w:sz w:val="19"/>
          <w:szCs w:val="19"/>
        </w:rPr>
        <w:t>Gobierno</w:t>
      </w:r>
      <w:r w:rsidR="00883EC2">
        <w:rPr>
          <w:rFonts w:ascii="Gotham" w:hAnsi="Gotham" w:cs="Arial"/>
          <w:sz w:val="19"/>
          <w:szCs w:val="19"/>
        </w:rPr>
        <w:t xml:space="preserve"> </w:t>
      </w:r>
      <w:r w:rsidRPr="00242957">
        <w:rPr>
          <w:rFonts w:ascii="Gotham" w:hAnsi="Gotham" w:cs="Arial"/>
          <w:sz w:val="19"/>
          <w:szCs w:val="19"/>
        </w:rPr>
        <w:t>Abierto Municipal</w:t>
      </w:r>
      <w:bookmarkEnd w:id="17"/>
    </w:p>
    <w:p w14:paraId="3A4749B8" w14:textId="77777777" w:rsidR="009B5E39" w:rsidRPr="00242957" w:rsidRDefault="009B5E39" w:rsidP="009B5E39">
      <w:pPr>
        <w:ind w:left="284" w:right="283"/>
        <w:jc w:val="both"/>
        <w:rPr>
          <w:rFonts w:ascii="Gotham" w:hAnsi="Gotham" w:cs="Arial"/>
          <w:sz w:val="19"/>
          <w:szCs w:val="19"/>
        </w:rPr>
      </w:pPr>
    </w:p>
    <w:p w14:paraId="3A4749B9"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47.</w:t>
      </w:r>
      <w:r w:rsidRPr="00242957">
        <w:rPr>
          <w:rFonts w:ascii="Gotham" w:hAnsi="Gotham" w:cs="Arial"/>
          <w:sz w:val="19"/>
          <w:szCs w:val="19"/>
        </w:rPr>
        <w:t xml:space="preserve"> Del Gobierno Abierto Municipal.</w:t>
      </w:r>
    </w:p>
    <w:p w14:paraId="3A4749BA" w14:textId="77777777" w:rsidR="009B5E39" w:rsidRDefault="009B5E39" w:rsidP="009B5E39">
      <w:pPr>
        <w:ind w:left="284" w:right="283"/>
        <w:jc w:val="both"/>
        <w:rPr>
          <w:rFonts w:ascii="Gotham" w:hAnsi="Gotham" w:cs="Arial"/>
          <w:sz w:val="19"/>
          <w:szCs w:val="19"/>
        </w:rPr>
      </w:pPr>
    </w:p>
    <w:p w14:paraId="3A4749BB"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Es un instrumento y modelo de gobierno basado en la transparencia</w:t>
      </w:r>
      <w:r w:rsidR="00883EC2">
        <w:rPr>
          <w:rFonts w:ascii="Gotham" w:hAnsi="Gotham" w:cs="Arial"/>
          <w:sz w:val="19"/>
          <w:szCs w:val="19"/>
        </w:rPr>
        <w:t xml:space="preserve"> </w:t>
      </w:r>
      <w:r w:rsidRPr="00242957">
        <w:rPr>
          <w:rFonts w:ascii="Gotham" w:hAnsi="Gotham" w:cs="Arial"/>
          <w:sz w:val="19"/>
          <w:szCs w:val="19"/>
        </w:rPr>
        <w:t>y</w:t>
      </w:r>
      <w:r w:rsidR="00883EC2">
        <w:rPr>
          <w:rFonts w:ascii="Gotham" w:hAnsi="Gotham" w:cs="Arial"/>
          <w:sz w:val="19"/>
          <w:szCs w:val="19"/>
        </w:rPr>
        <w:t xml:space="preserve"> </w:t>
      </w:r>
      <w:r w:rsidRPr="00242957">
        <w:rPr>
          <w:rFonts w:ascii="Gotham" w:hAnsi="Gotham" w:cs="Arial"/>
          <w:sz w:val="19"/>
          <w:szCs w:val="19"/>
        </w:rPr>
        <w:t>rendición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cuentas, a través de la participación y colaboración de la sociedad, para construir un gobierno dialogante, colaborativo y promotor de políticas públicas.</w:t>
      </w:r>
    </w:p>
    <w:p w14:paraId="3A4749BC" w14:textId="77777777" w:rsidR="009B5E39" w:rsidRPr="003D1DA7" w:rsidRDefault="009B5E39" w:rsidP="009B5E39">
      <w:pPr>
        <w:ind w:left="284" w:right="283"/>
        <w:jc w:val="both"/>
        <w:rPr>
          <w:rFonts w:ascii="Gotham" w:hAnsi="Gotham" w:cs="Arial"/>
          <w:sz w:val="19"/>
          <w:szCs w:val="19"/>
        </w:rPr>
      </w:pPr>
    </w:p>
    <w:p w14:paraId="3A4749BD" w14:textId="77777777" w:rsidR="009B5E39" w:rsidRPr="00242957" w:rsidRDefault="009B5E39" w:rsidP="009B5E39">
      <w:pPr>
        <w:ind w:left="284" w:right="283"/>
        <w:jc w:val="both"/>
        <w:rPr>
          <w:rFonts w:ascii="Gotham" w:hAnsi="Gotham" w:cs="Arial"/>
          <w:sz w:val="19"/>
          <w:szCs w:val="19"/>
        </w:rPr>
      </w:pPr>
      <w:r w:rsidRPr="003D1DA7">
        <w:rPr>
          <w:rFonts w:ascii="Gotham" w:hAnsi="Gotham" w:cs="Arial"/>
          <w:sz w:val="19"/>
          <w:szCs w:val="19"/>
        </w:rPr>
        <w:t>La Comisión Edilicia de Transparencia, Rendición de Cuentas y Combate a la Corrupción</w:t>
      </w:r>
      <w:r w:rsidRPr="00242957">
        <w:rPr>
          <w:rFonts w:ascii="Gotham" w:hAnsi="Gotham" w:cs="Arial"/>
          <w:sz w:val="19"/>
          <w:szCs w:val="19"/>
        </w:rPr>
        <w:t xml:space="preserve"> en coordinación con la Unidad, la sociedad civil, universidades, empresarios, colegio de profesionistas, así como ciudadanos en general, propondrán acciones encaminadas a cumplir con los principios de</w:t>
      </w:r>
      <w:r w:rsidR="00883EC2">
        <w:rPr>
          <w:rFonts w:ascii="Gotham" w:hAnsi="Gotham" w:cs="Arial"/>
          <w:sz w:val="19"/>
          <w:szCs w:val="19"/>
        </w:rPr>
        <w:t xml:space="preserve"> </w:t>
      </w:r>
      <w:r w:rsidRPr="00242957">
        <w:rPr>
          <w:rFonts w:ascii="Gotham" w:hAnsi="Gotham" w:cs="Arial"/>
          <w:sz w:val="19"/>
          <w:szCs w:val="19"/>
        </w:rPr>
        <w:t>Gobierno</w:t>
      </w:r>
      <w:r w:rsidR="00883EC2">
        <w:rPr>
          <w:rFonts w:ascii="Gotham" w:hAnsi="Gotham" w:cs="Arial"/>
          <w:sz w:val="19"/>
          <w:szCs w:val="19"/>
        </w:rPr>
        <w:t xml:space="preserve"> </w:t>
      </w:r>
      <w:r w:rsidRPr="00242957">
        <w:rPr>
          <w:rFonts w:ascii="Gotham" w:hAnsi="Gotham" w:cs="Arial"/>
          <w:sz w:val="19"/>
          <w:szCs w:val="19"/>
        </w:rPr>
        <w:t>Abierto</w:t>
      </w:r>
      <w:r w:rsidR="00883EC2">
        <w:rPr>
          <w:rFonts w:ascii="Gotham" w:hAnsi="Gotham" w:cs="Arial"/>
          <w:sz w:val="19"/>
          <w:szCs w:val="19"/>
        </w:rPr>
        <w:t xml:space="preserve"> </w:t>
      </w:r>
      <w:r w:rsidRPr="00242957">
        <w:rPr>
          <w:rFonts w:ascii="Gotham" w:hAnsi="Gotham" w:cs="Arial"/>
          <w:sz w:val="19"/>
          <w:szCs w:val="19"/>
        </w:rPr>
        <w:t>bajo</w:t>
      </w:r>
      <w:r w:rsidR="00883EC2">
        <w:rPr>
          <w:rFonts w:ascii="Gotham" w:hAnsi="Gotham" w:cs="Arial"/>
          <w:sz w:val="19"/>
          <w:szCs w:val="19"/>
        </w:rPr>
        <w:t xml:space="preserve"> </w:t>
      </w:r>
      <w:r w:rsidRPr="00242957">
        <w:rPr>
          <w:rFonts w:ascii="Gotham" w:hAnsi="Gotham" w:cs="Arial"/>
          <w:sz w:val="19"/>
          <w:szCs w:val="19"/>
        </w:rPr>
        <w:t>las directrices de</w:t>
      </w:r>
      <w:r w:rsidR="00883EC2">
        <w:rPr>
          <w:rFonts w:ascii="Gotham" w:hAnsi="Gotham" w:cs="Arial"/>
          <w:sz w:val="19"/>
          <w:szCs w:val="19"/>
        </w:rPr>
        <w:t xml:space="preserve"> </w:t>
      </w:r>
      <w:r w:rsidRPr="00242957">
        <w:rPr>
          <w:rFonts w:ascii="Gotham" w:hAnsi="Gotham" w:cs="Arial"/>
          <w:sz w:val="19"/>
          <w:szCs w:val="19"/>
        </w:rPr>
        <w:t>la Ley General, La</w:t>
      </w:r>
      <w:r w:rsidR="00883EC2">
        <w:rPr>
          <w:rFonts w:ascii="Gotham" w:hAnsi="Gotham" w:cs="Arial"/>
          <w:sz w:val="19"/>
          <w:szCs w:val="19"/>
        </w:rPr>
        <w:t xml:space="preserve"> </w:t>
      </w:r>
      <w:r w:rsidRPr="00242957">
        <w:rPr>
          <w:rFonts w:ascii="Gotham" w:hAnsi="Gotham" w:cs="Arial"/>
          <w:sz w:val="19"/>
          <w:szCs w:val="19"/>
        </w:rPr>
        <w:t>Ley y los lineamientos.</w:t>
      </w:r>
    </w:p>
    <w:p w14:paraId="3A4749BE" w14:textId="77777777" w:rsidR="009B5E39" w:rsidRDefault="009B5E39" w:rsidP="009B5E39">
      <w:pPr>
        <w:ind w:left="284" w:right="283"/>
        <w:jc w:val="both"/>
        <w:rPr>
          <w:rFonts w:ascii="Gotham" w:hAnsi="Gotham" w:cs="Arial"/>
          <w:b/>
          <w:sz w:val="19"/>
          <w:szCs w:val="19"/>
        </w:rPr>
      </w:pPr>
    </w:p>
    <w:p w14:paraId="3A4749BF"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48.</w:t>
      </w:r>
      <w:r w:rsidRPr="00242957">
        <w:rPr>
          <w:rFonts w:ascii="Gotham" w:hAnsi="Gotham" w:cs="Arial"/>
          <w:sz w:val="19"/>
          <w:szCs w:val="19"/>
        </w:rPr>
        <w:t xml:space="preserve"> Principios del Gobierno Abierto. </w:t>
      </w:r>
    </w:p>
    <w:p w14:paraId="3A4749C0" w14:textId="77777777" w:rsidR="009B5E39" w:rsidRDefault="009B5E39" w:rsidP="009B5E39">
      <w:pPr>
        <w:ind w:left="284" w:right="283"/>
        <w:jc w:val="both"/>
        <w:rPr>
          <w:rFonts w:ascii="Gotham" w:hAnsi="Gotham" w:cs="Arial"/>
          <w:sz w:val="19"/>
          <w:szCs w:val="19"/>
        </w:rPr>
      </w:pPr>
    </w:p>
    <w:p w14:paraId="3A4749C1"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Serán principios de Gobierno Abierto Municipal:</w:t>
      </w:r>
    </w:p>
    <w:p w14:paraId="3A4749C2" w14:textId="77777777" w:rsidR="009B5E39" w:rsidRDefault="009B5E39" w:rsidP="009B5E39">
      <w:pPr>
        <w:ind w:left="284" w:right="283"/>
        <w:jc w:val="both"/>
        <w:rPr>
          <w:rFonts w:ascii="Gotham" w:hAnsi="Gotham" w:cs="Arial"/>
          <w:sz w:val="19"/>
          <w:szCs w:val="19"/>
        </w:rPr>
      </w:pPr>
    </w:p>
    <w:p w14:paraId="3A4749C3"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Modernizar los archivos;</w:t>
      </w:r>
    </w:p>
    <w:p w14:paraId="3A4749C4"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Incrementar el nivel de transparencia y acceso a la información pública con la utilización de las tecnologías de la información, con datos abiertos y reutilizables;</w:t>
      </w:r>
    </w:p>
    <w:p w14:paraId="3A4749C5"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Coparticipación de la sociedad civil y universidades, en la definición de nuevas políticas públicas y rediseño de las existentes, como instrumento de participación ciudadana;</w:t>
      </w:r>
    </w:p>
    <w:p w14:paraId="3A4749C6"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La rendición de cuentas;</w:t>
      </w:r>
    </w:p>
    <w:p w14:paraId="3A4749C7"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Combate a la Corrupción;</w:t>
      </w:r>
    </w:p>
    <w:p w14:paraId="3A4749C8"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Escrutinio público y evaluaciones externas; y</w:t>
      </w:r>
    </w:p>
    <w:p w14:paraId="3A4749C9"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VII. </w:t>
      </w:r>
      <w:r>
        <w:rPr>
          <w:rFonts w:ascii="Gotham" w:hAnsi="Gotham" w:cs="Arial"/>
          <w:sz w:val="19"/>
          <w:szCs w:val="19"/>
        </w:rPr>
        <w:tab/>
      </w:r>
      <w:r w:rsidRPr="00242957">
        <w:rPr>
          <w:rFonts w:ascii="Gotham" w:hAnsi="Gotham" w:cs="Arial"/>
          <w:sz w:val="19"/>
          <w:szCs w:val="19"/>
        </w:rPr>
        <w:t>Las que determine la Ley General, La Ley, y los lineamientos.</w:t>
      </w:r>
    </w:p>
    <w:p w14:paraId="3A4749CA" w14:textId="77777777" w:rsidR="009B5E39" w:rsidRDefault="009B5E39" w:rsidP="009B5E39">
      <w:pPr>
        <w:pStyle w:val="Ttulo2"/>
        <w:ind w:left="284" w:right="283"/>
        <w:rPr>
          <w:rFonts w:ascii="Gotham" w:hAnsi="Gotham" w:cs="Arial"/>
          <w:sz w:val="19"/>
          <w:szCs w:val="19"/>
        </w:rPr>
      </w:pPr>
      <w:bookmarkStart w:id="18" w:name="_Toc40950519"/>
    </w:p>
    <w:p w14:paraId="3A4749CB" w14:textId="77777777" w:rsidR="009B5E39" w:rsidRPr="000E4050" w:rsidRDefault="009B5E39" w:rsidP="009B5E39"/>
    <w:p w14:paraId="3A4749CC" w14:textId="77777777" w:rsidR="009B5E39" w:rsidRPr="00242957" w:rsidRDefault="009B5E39" w:rsidP="009B5E39">
      <w:pPr>
        <w:ind w:left="284" w:right="283"/>
        <w:jc w:val="center"/>
        <w:rPr>
          <w:rFonts w:ascii="Gotham" w:hAnsi="Gotham" w:cs="Arial"/>
          <w:sz w:val="19"/>
          <w:szCs w:val="19"/>
        </w:rPr>
      </w:pPr>
      <w:r w:rsidRPr="00242957">
        <w:rPr>
          <w:rFonts w:ascii="Gotham" w:hAnsi="Gotham" w:cs="Arial"/>
          <w:sz w:val="19"/>
          <w:szCs w:val="19"/>
        </w:rPr>
        <w:t xml:space="preserve">CAPÍTULO SEGUNDO </w:t>
      </w:r>
      <w:r w:rsidRPr="00242957">
        <w:rPr>
          <w:rFonts w:ascii="Gotham" w:hAnsi="Gotham" w:cs="Arial"/>
          <w:sz w:val="19"/>
          <w:szCs w:val="19"/>
        </w:rPr>
        <w:br/>
        <w:t>Del Consejo Ciudadano para la Consolidación de un Gobierno Abierto</w:t>
      </w:r>
      <w:bookmarkEnd w:id="18"/>
    </w:p>
    <w:p w14:paraId="3A4749CD" w14:textId="77777777" w:rsidR="009B5E39" w:rsidRPr="00242957" w:rsidRDefault="009B5E39" w:rsidP="009B5E39">
      <w:pPr>
        <w:ind w:left="284" w:right="283"/>
        <w:jc w:val="both"/>
        <w:rPr>
          <w:rFonts w:ascii="Gotham" w:hAnsi="Gotham" w:cs="Arial"/>
          <w:sz w:val="19"/>
          <w:szCs w:val="19"/>
        </w:rPr>
      </w:pPr>
    </w:p>
    <w:p w14:paraId="3A4749CE"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49.</w:t>
      </w:r>
      <w:r w:rsidRPr="00242957">
        <w:rPr>
          <w:rFonts w:ascii="Gotham" w:hAnsi="Gotham" w:cs="Arial"/>
          <w:sz w:val="19"/>
          <w:szCs w:val="19"/>
        </w:rPr>
        <w:t xml:space="preserve"> De la Naturaleza Jurídica y Finalidad del Consejo.</w:t>
      </w:r>
    </w:p>
    <w:p w14:paraId="3A4749CF" w14:textId="77777777" w:rsidR="009B5E39" w:rsidRDefault="009B5E39" w:rsidP="009B5E39">
      <w:pPr>
        <w:ind w:left="284" w:right="283"/>
        <w:jc w:val="both"/>
        <w:rPr>
          <w:rFonts w:ascii="Gotham" w:hAnsi="Gotham" w:cs="Arial"/>
          <w:sz w:val="19"/>
          <w:szCs w:val="19"/>
        </w:rPr>
      </w:pPr>
    </w:p>
    <w:p w14:paraId="3A4749D0"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El Consejo es un órgano de participación ciudadana, de carácter propositivo, autónomo e incluyente, que tiene como finalidad conformar un espacio para el análisis de las políticas públicas del Gobierno Municipal, la implementación de un sistema integral de rendición de cuentas, transparencia y acceso a la información. Los cargos en el Consejo son honoríficos, por lo que sus integrantes no percibirán retribución alguna por las funciones que desempeñen en el mismo.</w:t>
      </w:r>
    </w:p>
    <w:p w14:paraId="3A4749D1" w14:textId="77777777" w:rsidR="009B5E39" w:rsidRDefault="009B5E39" w:rsidP="009B5E39">
      <w:pPr>
        <w:ind w:left="284" w:right="283"/>
        <w:jc w:val="both"/>
        <w:rPr>
          <w:rFonts w:ascii="Gotham" w:hAnsi="Gotham" w:cs="Arial"/>
          <w:b/>
          <w:sz w:val="19"/>
          <w:szCs w:val="19"/>
        </w:rPr>
      </w:pPr>
    </w:p>
    <w:p w14:paraId="3A4749D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50.</w:t>
      </w:r>
      <w:r w:rsidRPr="00242957">
        <w:rPr>
          <w:rFonts w:ascii="Gotham" w:hAnsi="Gotham" w:cs="Arial"/>
          <w:sz w:val="19"/>
          <w:szCs w:val="19"/>
        </w:rPr>
        <w:t xml:space="preserve"> De las atribuciones y obligaciones del Consejo.</w:t>
      </w:r>
    </w:p>
    <w:p w14:paraId="3A4749D3" w14:textId="77777777" w:rsidR="009B5E39" w:rsidRDefault="009B5E39" w:rsidP="009B5E39">
      <w:pPr>
        <w:ind w:left="284" w:right="283"/>
        <w:jc w:val="both"/>
        <w:rPr>
          <w:rFonts w:ascii="Gotham" w:hAnsi="Gotham" w:cs="Arial"/>
          <w:sz w:val="19"/>
          <w:szCs w:val="19"/>
        </w:rPr>
      </w:pPr>
    </w:p>
    <w:p w14:paraId="3A4749D4"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Al Consejo corresponde el ejercicio de las siguientes atribuciones y obligaciones:</w:t>
      </w:r>
    </w:p>
    <w:p w14:paraId="3A4749D5" w14:textId="77777777" w:rsidR="009B5E39" w:rsidRDefault="009B5E39" w:rsidP="009B5E39">
      <w:pPr>
        <w:ind w:left="284" w:right="283"/>
        <w:jc w:val="both"/>
        <w:rPr>
          <w:rFonts w:ascii="Gotham" w:hAnsi="Gotham" w:cs="Arial"/>
          <w:sz w:val="19"/>
          <w:szCs w:val="19"/>
        </w:rPr>
      </w:pPr>
    </w:p>
    <w:p w14:paraId="3A4749D6"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Proponer al Ayuntamiento a través de las Comisiones Edilicias las reformas a los reglamentos municipales en materia</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transparencia</w:t>
      </w:r>
      <w:r w:rsidR="00883EC2">
        <w:rPr>
          <w:rFonts w:ascii="Gotham" w:hAnsi="Gotham" w:cs="Arial"/>
          <w:sz w:val="19"/>
          <w:szCs w:val="19"/>
        </w:rPr>
        <w:t xml:space="preserve"> </w:t>
      </w:r>
      <w:r w:rsidRPr="00242957">
        <w:rPr>
          <w:rFonts w:ascii="Gotham" w:hAnsi="Gotham" w:cs="Arial"/>
          <w:sz w:val="19"/>
          <w:szCs w:val="19"/>
        </w:rPr>
        <w:t>y</w:t>
      </w:r>
      <w:r w:rsidR="00883EC2">
        <w:rPr>
          <w:rFonts w:ascii="Gotham" w:hAnsi="Gotham" w:cs="Arial"/>
          <w:sz w:val="19"/>
          <w:szCs w:val="19"/>
        </w:rPr>
        <w:t xml:space="preserve"> </w:t>
      </w:r>
      <w:r w:rsidRPr="00242957">
        <w:rPr>
          <w:rFonts w:ascii="Gotham" w:hAnsi="Gotham" w:cs="Arial"/>
          <w:sz w:val="19"/>
          <w:szCs w:val="19"/>
        </w:rPr>
        <w:t>gobierno</w:t>
      </w:r>
      <w:r w:rsidR="00883EC2">
        <w:rPr>
          <w:rFonts w:ascii="Gotham" w:hAnsi="Gotham" w:cs="Arial"/>
          <w:sz w:val="19"/>
          <w:szCs w:val="19"/>
        </w:rPr>
        <w:t xml:space="preserve"> </w:t>
      </w:r>
      <w:r w:rsidRPr="00242957">
        <w:rPr>
          <w:rFonts w:ascii="Gotham" w:hAnsi="Gotham" w:cs="Arial"/>
          <w:sz w:val="19"/>
          <w:szCs w:val="19"/>
        </w:rPr>
        <w:t>abierto,</w:t>
      </w:r>
      <w:r w:rsidR="00883EC2">
        <w:rPr>
          <w:rFonts w:ascii="Gotham" w:hAnsi="Gotham" w:cs="Arial"/>
          <w:sz w:val="19"/>
          <w:szCs w:val="19"/>
        </w:rPr>
        <w:t xml:space="preserve"> </w:t>
      </w:r>
      <w:r w:rsidRPr="00242957">
        <w:rPr>
          <w:rFonts w:ascii="Gotham" w:hAnsi="Gotham" w:cs="Arial"/>
          <w:sz w:val="19"/>
          <w:szCs w:val="19"/>
        </w:rPr>
        <w:t>así</w:t>
      </w:r>
      <w:r w:rsidR="00883EC2">
        <w:rPr>
          <w:rFonts w:ascii="Gotham" w:hAnsi="Gotham" w:cs="Arial"/>
          <w:sz w:val="19"/>
          <w:szCs w:val="19"/>
        </w:rPr>
        <w:t xml:space="preserve"> </w:t>
      </w:r>
      <w:r w:rsidRPr="00242957">
        <w:rPr>
          <w:rFonts w:ascii="Gotham" w:hAnsi="Gotham" w:cs="Arial"/>
          <w:sz w:val="19"/>
          <w:szCs w:val="19"/>
        </w:rPr>
        <w:t>como la elaboración de las políticas públicas destinadas a los mismos temas;</w:t>
      </w:r>
    </w:p>
    <w:p w14:paraId="3A4749D7"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Sugerir la implementación de sistemas tendientes a modernizar el manejo de información de las dependencias y su modo de operación, a fin de transparentar su actuación;</w:t>
      </w:r>
    </w:p>
    <w:p w14:paraId="3A4749D8"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Vigilar y en su caso informar a la Unidad las omisiones que</w:t>
      </w:r>
      <w:r w:rsidR="00883EC2">
        <w:rPr>
          <w:rFonts w:ascii="Gotham" w:hAnsi="Gotham" w:cs="Arial"/>
          <w:sz w:val="19"/>
          <w:szCs w:val="19"/>
        </w:rPr>
        <w:t xml:space="preserve"> </w:t>
      </w:r>
      <w:r w:rsidRPr="00242957">
        <w:rPr>
          <w:rFonts w:ascii="Gotham" w:hAnsi="Gotham" w:cs="Arial"/>
          <w:sz w:val="19"/>
          <w:szCs w:val="19"/>
        </w:rPr>
        <w:t>se</w:t>
      </w:r>
      <w:r w:rsidR="00883EC2">
        <w:rPr>
          <w:rFonts w:ascii="Gotham" w:hAnsi="Gotham" w:cs="Arial"/>
          <w:sz w:val="19"/>
          <w:szCs w:val="19"/>
        </w:rPr>
        <w:t xml:space="preserve"> </w:t>
      </w:r>
      <w:r w:rsidRPr="00242957">
        <w:rPr>
          <w:rFonts w:ascii="Gotham" w:hAnsi="Gotham" w:cs="Arial"/>
          <w:sz w:val="19"/>
          <w:szCs w:val="19"/>
        </w:rPr>
        <w:t>presenten</w:t>
      </w:r>
      <w:r w:rsidR="00883EC2">
        <w:rPr>
          <w:rFonts w:ascii="Gotham" w:hAnsi="Gotham" w:cs="Arial"/>
          <w:sz w:val="19"/>
          <w:szCs w:val="19"/>
        </w:rPr>
        <w:t xml:space="preserve"> </w:t>
      </w:r>
      <w:r w:rsidRPr="00242957">
        <w:rPr>
          <w:rFonts w:ascii="Gotham" w:hAnsi="Gotham" w:cs="Arial"/>
          <w:sz w:val="19"/>
          <w:szCs w:val="19"/>
        </w:rPr>
        <w:t>en</w:t>
      </w:r>
      <w:r w:rsidR="00883EC2">
        <w:rPr>
          <w:rFonts w:ascii="Gotham" w:hAnsi="Gotham" w:cs="Arial"/>
          <w:sz w:val="19"/>
          <w:szCs w:val="19"/>
        </w:rPr>
        <w:t xml:space="preserve"> </w:t>
      </w:r>
      <w:r w:rsidRPr="00242957">
        <w:rPr>
          <w:rFonts w:ascii="Gotham" w:hAnsi="Gotham" w:cs="Arial"/>
          <w:sz w:val="19"/>
          <w:szCs w:val="19"/>
        </w:rPr>
        <w:t>relación con la publicación de la información fundamental;</w:t>
      </w:r>
    </w:p>
    <w:p w14:paraId="3A4749D9"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Promover y participar en mecanismos de interacción en</w:t>
      </w:r>
      <w:r w:rsidR="00883EC2">
        <w:rPr>
          <w:rFonts w:ascii="Gotham" w:hAnsi="Gotham" w:cs="Arial"/>
          <w:sz w:val="19"/>
          <w:szCs w:val="19"/>
        </w:rPr>
        <w:t xml:space="preserve"> </w:t>
      </w:r>
      <w:r w:rsidRPr="00242957">
        <w:rPr>
          <w:rFonts w:ascii="Gotham" w:hAnsi="Gotham" w:cs="Arial"/>
          <w:sz w:val="19"/>
          <w:szCs w:val="19"/>
        </w:rPr>
        <w:t>coordinación</w:t>
      </w:r>
      <w:r w:rsidR="00883EC2">
        <w:rPr>
          <w:rFonts w:ascii="Gotham" w:hAnsi="Gotham" w:cs="Arial"/>
          <w:sz w:val="19"/>
          <w:szCs w:val="19"/>
        </w:rPr>
        <w:t xml:space="preserve"> </w:t>
      </w:r>
      <w:r w:rsidRPr="00242957">
        <w:rPr>
          <w:rFonts w:ascii="Gotham" w:hAnsi="Gotham" w:cs="Arial"/>
          <w:sz w:val="19"/>
          <w:szCs w:val="19"/>
        </w:rPr>
        <w:t>con</w:t>
      </w:r>
      <w:r w:rsidR="00883EC2">
        <w:rPr>
          <w:rFonts w:ascii="Gotham" w:hAnsi="Gotham" w:cs="Arial"/>
          <w:sz w:val="19"/>
          <w:szCs w:val="19"/>
        </w:rPr>
        <w:t xml:space="preserve"> </w:t>
      </w:r>
      <w:r w:rsidRPr="00242957">
        <w:rPr>
          <w:rFonts w:ascii="Gotham" w:hAnsi="Gotham" w:cs="Arial"/>
          <w:sz w:val="19"/>
          <w:szCs w:val="19"/>
        </w:rPr>
        <w:t>la</w:t>
      </w:r>
      <w:r w:rsidR="00883EC2">
        <w:rPr>
          <w:rFonts w:ascii="Gotham" w:hAnsi="Gotham" w:cs="Arial"/>
          <w:sz w:val="19"/>
          <w:szCs w:val="19"/>
        </w:rPr>
        <w:t xml:space="preserve"> </w:t>
      </w:r>
      <w:r w:rsidRPr="00242957">
        <w:rPr>
          <w:rFonts w:ascii="Gotham" w:hAnsi="Gotham" w:cs="Arial"/>
          <w:sz w:val="19"/>
          <w:szCs w:val="19"/>
        </w:rPr>
        <w:t>Unidad hacía la sociedad civil y dependencias en foros, eventos, y encuentros en materia de transparencia y gobierno abierto;</w:t>
      </w:r>
    </w:p>
    <w:p w14:paraId="3A4749DA"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Proponer ante el Ayuntamiento los convenios en materia de gobierno abierto con instituciones públicas, internacionales, federales y locales así como con personas y organizaciones sociales y privadas;</w:t>
      </w:r>
    </w:p>
    <w:p w14:paraId="3A4749DB"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Proponer a la Unidad la determinación de información proactiva y focalizada; y</w:t>
      </w:r>
    </w:p>
    <w:p w14:paraId="3A4749DC"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VII. </w:t>
      </w:r>
      <w:r>
        <w:rPr>
          <w:rFonts w:ascii="Gotham" w:hAnsi="Gotham" w:cs="Arial"/>
          <w:sz w:val="19"/>
          <w:szCs w:val="19"/>
        </w:rPr>
        <w:tab/>
      </w:r>
      <w:r w:rsidRPr="00242957">
        <w:rPr>
          <w:rFonts w:ascii="Gotham" w:hAnsi="Gotham" w:cs="Arial"/>
          <w:sz w:val="19"/>
          <w:szCs w:val="19"/>
        </w:rPr>
        <w:t>Proponer al Presidente Municipal la elaboración de acuerdos y convenios de coordinación en el ámbito de su función, con los tres órdenes de gobierno y de concertación con organismos privados y sociales.</w:t>
      </w:r>
    </w:p>
    <w:p w14:paraId="3A4749DD" w14:textId="77777777" w:rsidR="009B5E39" w:rsidRPr="00242957" w:rsidRDefault="009B5E39" w:rsidP="009B5E39">
      <w:pPr>
        <w:ind w:left="284" w:right="283"/>
        <w:jc w:val="both"/>
        <w:rPr>
          <w:rFonts w:ascii="Gotham" w:hAnsi="Gotham" w:cs="Arial"/>
          <w:b/>
          <w:sz w:val="19"/>
          <w:szCs w:val="19"/>
        </w:rPr>
      </w:pPr>
    </w:p>
    <w:p w14:paraId="3A4749DE"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51.</w:t>
      </w:r>
      <w:r w:rsidRPr="00242957">
        <w:rPr>
          <w:rFonts w:ascii="Gotham" w:hAnsi="Gotham" w:cs="Arial"/>
          <w:sz w:val="19"/>
          <w:szCs w:val="19"/>
        </w:rPr>
        <w:t xml:space="preserve"> De las Sesiones del Consejo.</w:t>
      </w:r>
    </w:p>
    <w:p w14:paraId="3A4749DF" w14:textId="77777777" w:rsidR="009B5E39" w:rsidRDefault="009B5E39" w:rsidP="009B5E39">
      <w:pPr>
        <w:ind w:left="284" w:right="283"/>
        <w:jc w:val="both"/>
        <w:rPr>
          <w:rFonts w:ascii="Gotham" w:hAnsi="Gotham" w:cs="Arial"/>
          <w:sz w:val="19"/>
          <w:szCs w:val="19"/>
        </w:rPr>
      </w:pPr>
    </w:p>
    <w:p w14:paraId="3A4749E0"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El Consejo deberá celebrar sesiones al menos una vez cada tres meses sin perjuicio de</w:t>
      </w:r>
      <w:r w:rsidR="00883EC2">
        <w:rPr>
          <w:rFonts w:ascii="Gotham" w:hAnsi="Gotham" w:cs="Arial"/>
          <w:sz w:val="19"/>
          <w:szCs w:val="19"/>
        </w:rPr>
        <w:t xml:space="preserve"> </w:t>
      </w:r>
      <w:r w:rsidRPr="00242957">
        <w:rPr>
          <w:rFonts w:ascii="Gotham" w:hAnsi="Gotham" w:cs="Arial"/>
          <w:sz w:val="19"/>
          <w:szCs w:val="19"/>
        </w:rPr>
        <w:t>hacerlo cuantas veces sea necesario para el cumplimiento de sus funciones.</w:t>
      </w:r>
    </w:p>
    <w:p w14:paraId="3A4749E1" w14:textId="77777777" w:rsidR="009B5E39" w:rsidRDefault="009B5E39" w:rsidP="009B5E39">
      <w:pPr>
        <w:ind w:left="284" w:right="283"/>
        <w:jc w:val="both"/>
        <w:rPr>
          <w:rFonts w:ascii="Gotham" w:hAnsi="Gotham" w:cs="Arial"/>
          <w:sz w:val="19"/>
          <w:szCs w:val="19"/>
        </w:rPr>
      </w:pPr>
    </w:p>
    <w:p w14:paraId="3A4749E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Las Convocatorias a las reuniones del Consejo se harán por escrito a los integrantes del mismo, con un mínimo de cuarenta y ocho horas de anticipación, pudiendo notificar a los integrantes en forma electrónica.</w:t>
      </w:r>
    </w:p>
    <w:p w14:paraId="3A4749E3" w14:textId="77777777" w:rsidR="009B5E39" w:rsidRDefault="009B5E39" w:rsidP="009B5E39">
      <w:pPr>
        <w:ind w:left="284" w:right="283"/>
        <w:jc w:val="both"/>
        <w:rPr>
          <w:rFonts w:ascii="Gotham" w:hAnsi="Gotham" w:cs="Arial"/>
          <w:sz w:val="19"/>
          <w:szCs w:val="19"/>
        </w:rPr>
      </w:pPr>
    </w:p>
    <w:p w14:paraId="3A4749E4"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Las resoluciones del Consejo se tomarán por mayoría simple de votos; en caso de empate tendrá el presidente voto de calidad.</w:t>
      </w:r>
    </w:p>
    <w:p w14:paraId="3A4749E5" w14:textId="77777777" w:rsidR="009B5E39" w:rsidRDefault="009B5E39" w:rsidP="009B5E39">
      <w:pPr>
        <w:ind w:left="284" w:right="283"/>
        <w:jc w:val="both"/>
        <w:rPr>
          <w:rFonts w:ascii="Gotham" w:hAnsi="Gotham" w:cs="Arial"/>
          <w:b/>
          <w:sz w:val="19"/>
          <w:szCs w:val="19"/>
        </w:rPr>
      </w:pPr>
    </w:p>
    <w:p w14:paraId="3A4749E6"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52.</w:t>
      </w:r>
      <w:r w:rsidRPr="00242957">
        <w:rPr>
          <w:rFonts w:ascii="Gotham" w:hAnsi="Gotham" w:cs="Arial"/>
          <w:sz w:val="19"/>
          <w:szCs w:val="19"/>
        </w:rPr>
        <w:t xml:space="preserve"> De la Integración del Consejo. El Consejo estará integrado por:</w:t>
      </w:r>
    </w:p>
    <w:p w14:paraId="3A4749E7" w14:textId="77777777" w:rsidR="009B5E39" w:rsidRDefault="009B5E39" w:rsidP="009B5E39">
      <w:pPr>
        <w:ind w:left="284" w:right="283"/>
        <w:jc w:val="both"/>
        <w:rPr>
          <w:rFonts w:ascii="Gotham" w:hAnsi="Gotham" w:cs="Arial"/>
          <w:sz w:val="19"/>
          <w:szCs w:val="19"/>
        </w:rPr>
      </w:pPr>
    </w:p>
    <w:p w14:paraId="3A4749E8"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Cinco ciudadanos con vecindad en el Municipio;</w:t>
      </w:r>
    </w:p>
    <w:p w14:paraId="3A4749E9"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Un Regidor integrante de la Comisión, quien fungirá como Presidente del Consejo; y</w:t>
      </w:r>
    </w:p>
    <w:p w14:paraId="3A4749EA"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El titular de la Unidad, quien fungirá como Secretario Técnico del Consejo.</w:t>
      </w:r>
    </w:p>
    <w:p w14:paraId="3A4749EB" w14:textId="77777777" w:rsidR="009B5E39" w:rsidRDefault="009B5E39" w:rsidP="009B5E39">
      <w:pPr>
        <w:ind w:left="284" w:right="283"/>
        <w:jc w:val="both"/>
        <w:rPr>
          <w:rFonts w:ascii="Gotham" w:hAnsi="Gotham" w:cs="Arial"/>
          <w:sz w:val="19"/>
          <w:szCs w:val="19"/>
        </w:rPr>
      </w:pPr>
    </w:p>
    <w:p w14:paraId="3A4749EC"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 Comisión, en su primera sesión, deberá designar de entre sus miembros al Regidor que fungirá como representante titular del Consejo, quien será quien la presida, así como un suplente.</w:t>
      </w:r>
    </w:p>
    <w:p w14:paraId="3A4749ED" w14:textId="77777777" w:rsidR="009B5E39" w:rsidRDefault="009B5E39" w:rsidP="009B5E39">
      <w:pPr>
        <w:ind w:left="284" w:right="283"/>
        <w:jc w:val="both"/>
        <w:rPr>
          <w:rFonts w:ascii="Gotham" w:hAnsi="Gotham" w:cs="Arial"/>
          <w:sz w:val="19"/>
          <w:szCs w:val="19"/>
        </w:rPr>
      </w:pPr>
    </w:p>
    <w:p w14:paraId="3A4749EE"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Para el caso de inasistencias del Secretario Técnico, el Presidente del Consejo podrá determinar al integrante que auxilie en el levantamiento del acta correspondiente.</w:t>
      </w:r>
    </w:p>
    <w:p w14:paraId="3A4749EF" w14:textId="77777777" w:rsidR="009B5E39" w:rsidRDefault="009B5E39" w:rsidP="009B5E39">
      <w:pPr>
        <w:ind w:left="284" w:right="283"/>
        <w:jc w:val="both"/>
        <w:rPr>
          <w:rFonts w:ascii="Gotham" w:hAnsi="Gotham" w:cs="Arial"/>
          <w:sz w:val="19"/>
          <w:szCs w:val="19"/>
        </w:rPr>
      </w:pPr>
    </w:p>
    <w:p w14:paraId="3A4749F0" w14:textId="77777777" w:rsidR="009B5E39" w:rsidRPr="00242957" w:rsidRDefault="009B5E39" w:rsidP="009B5E39">
      <w:pPr>
        <w:ind w:left="284" w:right="283"/>
        <w:jc w:val="both"/>
        <w:rPr>
          <w:rFonts w:ascii="Gotham" w:hAnsi="Gotham" w:cs="Arial"/>
          <w:b/>
          <w:sz w:val="19"/>
          <w:szCs w:val="19"/>
        </w:rPr>
      </w:pPr>
      <w:r w:rsidRPr="00242957">
        <w:rPr>
          <w:rFonts w:ascii="Gotham" w:hAnsi="Gotham" w:cs="Arial"/>
          <w:sz w:val="19"/>
          <w:szCs w:val="19"/>
        </w:rPr>
        <w:t>Los Consejeros representantes de la sociedad civil propietarios o suplentes deberán acudir personalmente a las sesiones del Consejo.</w:t>
      </w:r>
    </w:p>
    <w:p w14:paraId="3A4749F1" w14:textId="77777777" w:rsidR="009B5E39" w:rsidRDefault="009B5E39" w:rsidP="009B5E39">
      <w:pPr>
        <w:ind w:left="284" w:right="283"/>
        <w:jc w:val="both"/>
        <w:rPr>
          <w:rFonts w:ascii="Gotham" w:hAnsi="Gotham" w:cs="Arial"/>
          <w:b/>
          <w:sz w:val="19"/>
          <w:szCs w:val="19"/>
        </w:rPr>
      </w:pPr>
    </w:p>
    <w:p w14:paraId="3A4749F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53.</w:t>
      </w:r>
      <w:r w:rsidRPr="00242957">
        <w:rPr>
          <w:rFonts w:ascii="Gotham" w:hAnsi="Gotham" w:cs="Arial"/>
          <w:sz w:val="19"/>
          <w:szCs w:val="19"/>
        </w:rPr>
        <w:t xml:space="preserve"> De los Requisitos que deberán reunir los Ciudadanos para ser designados Consejeros.</w:t>
      </w:r>
    </w:p>
    <w:p w14:paraId="3A4749F3" w14:textId="77777777" w:rsidR="009B5E39" w:rsidRDefault="009B5E39" w:rsidP="009B5E39">
      <w:pPr>
        <w:ind w:left="284" w:right="283"/>
        <w:jc w:val="both"/>
        <w:rPr>
          <w:rFonts w:ascii="Gotham" w:hAnsi="Gotham" w:cs="Arial"/>
          <w:sz w:val="19"/>
          <w:szCs w:val="19"/>
        </w:rPr>
      </w:pPr>
    </w:p>
    <w:p w14:paraId="3A4749F4"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lastRenderedPageBreak/>
        <w:t>Los ciudadanos que aspiren a ser designados como Consejeros, deberán</w:t>
      </w:r>
      <w:r w:rsidR="00883EC2">
        <w:rPr>
          <w:rFonts w:ascii="Gotham" w:hAnsi="Gotham" w:cs="Arial"/>
          <w:sz w:val="19"/>
          <w:szCs w:val="19"/>
        </w:rPr>
        <w:t xml:space="preserve"> </w:t>
      </w:r>
      <w:r w:rsidRPr="00242957">
        <w:rPr>
          <w:rFonts w:ascii="Gotham" w:hAnsi="Gotham" w:cs="Arial"/>
          <w:sz w:val="19"/>
          <w:szCs w:val="19"/>
        </w:rPr>
        <w:t>cubrir</w:t>
      </w:r>
      <w:r w:rsidR="00883EC2">
        <w:rPr>
          <w:rFonts w:ascii="Gotham" w:hAnsi="Gotham" w:cs="Arial"/>
          <w:sz w:val="19"/>
          <w:szCs w:val="19"/>
        </w:rPr>
        <w:t xml:space="preserve"> </w:t>
      </w:r>
      <w:r w:rsidRPr="00242957">
        <w:rPr>
          <w:rFonts w:ascii="Gotham" w:hAnsi="Gotham" w:cs="Arial"/>
          <w:sz w:val="19"/>
          <w:szCs w:val="19"/>
        </w:rPr>
        <w:t>los siguientes requisitos:</w:t>
      </w:r>
    </w:p>
    <w:p w14:paraId="3A4749F5" w14:textId="77777777" w:rsidR="009B5E39" w:rsidRDefault="009B5E39" w:rsidP="009B5E39">
      <w:pPr>
        <w:ind w:left="284" w:right="283"/>
        <w:jc w:val="both"/>
        <w:rPr>
          <w:rFonts w:ascii="Gotham" w:hAnsi="Gotham" w:cs="Arial"/>
          <w:sz w:val="19"/>
          <w:szCs w:val="19"/>
        </w:rPr>
      </w:pPr>
    </w:p>
    <w:p w14:paraId="3A4749F6"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Ser ciudadanos mexicanos, mayores de 21 veintiún años, con vecindad en el Municipio y en pleno uso y goce de sus derechos civiles y políticos;</w:t>
      </w:r>
    </w:p>
    <w:p w14:paraId="3A4749F7"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No ser servidor público;</w:t>
      </w:r>
    </w:p>
    <w:p w14:paraId="3A4749F8"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No ser pariente consanguíneo en línea recta, en cualquier grado, o en</w:t>
      </w:r>
      <w:r w:rsidR="00883EC2">
        <w:rPr>
          <w:rFonts w:ascii="Gotham" w:hAnsi="Gotham" w:cs="Arial"/>
          <w:sz w:val="19"/>
          <w:szCs w:val="19"/>
        </w:rPr>
        <w:t xml:space="preserve"> </w:t>
      </w:r>
      <w:r w:rsidRPr="00242957">
        <w:rPr>
          <w:rFonts w:ascii="Gotham" w:hAnsi="Gotham" w:cs="Arial"/>
          <w:sz w:val="19"/>
          <w:szCs w:val="19"/>
        </w:rPr>
        <w:t>línea</w:t>
      </w:r>
      <w:r w:rsidR="00883EC2">
        <w:rPr>
          <w:rFonts w:ascii="Gotham" w:hAnsi="Gotham" w:cs="Arial"/>
          <w:sz w:val="19"/>
          <w:szCs w:val="19"/>
        </w:rPr>
        <w:t xml:space="preserve"> </w:t>
      </w:r>
      <w:r w:rsidRPr="00242957">
        <w:rPr>
          <w:rFonts w:ascii="Gotham" w:hAnsi="Gotham" w:cs="Arial"/>
          <w:sz w:val="19"/>
          <w:szCs w:val="19"/>
        </w:rPr>
        <w:t>colateral, hasta el cuarto grado, ni por afinidad, de cualquier integrante del Ayuntamiento, o servidores públicos de primer o segundo nivel del Municipio; y</w:t>
      </w:r>
    </w:p>
    <w:p w14:paraId="3A4749F9"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Presentar una exposición de motivos acompañada a su registro en la cual manifieste las razones, propósito y objetivos para participar en el Consejo.</w:t>
      </w:r>
    </w:p>
    <w:p w14:paraId="3A4749FA"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Los Consejeros Ciudadanos durarán en su cargo tres años, iniciando su gestión a la mitad del periodo del gobierno municipal.</w:t>
      </w:r>
    </w:p>
    <w:p w14:paraId="3A4749FB"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Los Consejeros Ciudadanos serán removidos a propuesta del Consejo por acuerdo de la Comisión, de conformidad a la causales de remoción previstas en el presente reglamento, salvo tratándose del Regidor que lo integra o su Secretario Técnico.</w:t>
      </w:r>
    </w:p>
    <w:p w14:paraId="3A4749FC" w14:textId="77777777" w:rsidR="009B5E39" w:rsidRPr="00242957" w:rsidRDefault="009B5E39" w:rsidP="009B5E39">
      <w:pPr>
        <w:ind w:left="284" w:right="283"/>
        <w:jc w:val="both"/>
        <w:rPr>
          <w:rFonts w:ascii="Gotham" w:hAnsi="Gotham" w:cs="Arial"/>
          <w:b/>
          <w:sz w:val="19"/>
          <w:szCs w:val="19"/>
        </w:rPr>
      </w:pPr>
    </w:p>
    <w:p w14:paraId="3A4749FD"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54.</w:t>
      </w:r>
      <w:r w:rsidRPr="00242957">
        <w:rPr>
          <w:rFonts w:ascii="Gotham" w:hAnsi="Gotham" w:cs="Arial"/>
          <w:sz w:val="19"/>
          <w:szCs w:val="19"/>
        </w:rPr>
        <w:t xml:space="preserve"> Del Procedimiento para la Designación de los Ciudadanos que integrarán el Consejo.</w:t>
      </w:r>
    </w:p>
    <w:p w14:paraId="3A4749FE" w14:textId="77777777" w:rsidR="009B5E39" w:rsidRDefault="009B5E39" w:rsidP="009B5E39">
      <w:pPr>
        <w:ind w:left="284" w:right="283"/>
        <w:jc w:val="both"/>
        <w:rPr>
          <w:rFonts w:ascii="Gotham" w:hAnsi="Gotham" w:cs="Arial"/>
          <w:sz w:val="19"/>
          <w:szCs w:val="19"/>
        </w:rPr>
      </w:pPr>
    </w:p>
    <w:p w14:paraId="3A4749FF"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Se ajustará de la siguiente manera:</w:t>
      </w:r>
    </w:p>
    <w:p w14:paraId="3A474A00" w14:textId="77777777" w:rsidR="009B5E39" w:rsidRDefault="009B5E39" w:rsidP="009B5E39">
      <w:pPr>
        <w:ind w:left="284" w:right="283"/>
        <w:jc w:val="both"/>
        <w:rPr>
          <w:rFonts w:ascii="Gotham" w:hAnsi="Gotham" w:cs="Arial"/>
          <w:sz w:val="19"/>
          <w:szCs w:val="19"/>
        </w:rPr>
      </w:pPr>
    </w:p>
    <w:p w14:paraId="3A474A01"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La Secretaría General del Ayuntamiento, dentro del primer trimestre del segundo año de la gestión municipal de cada administración, expedirá una convocatoria pública abierta a los organismos sociales y a la sociedad en su conjunto, con la finalidad de allegarse propuestas de los Ciudadanos candidatos a Consejeros propietarios y suplentes;</w:t>
      </w:r>
    </w:p>
    <w:p w14:paraId="3A474A02"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Los Ciudadanos interesados deberán entregar sus solicitudes de registro en la Secretaría General del Ayuntamiento en un plazo de 20 veinte días hábiles a partir de publicada la convocatoria respectiva;</w:t>
      </w:r>
    </w:p>
    <w:p w14:paraId="3A474A03"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Dentro de los 3 tres días hábiles siguientes a que haya fenecido el plazo señalado en el párrafo anterior, la Secretaría General del Ayuntamiento remitirá al Regidor Presidente de la Comisión los candidatos registrados y sus</w:t>
      </w:r>
      <w:r w:rsidR="00883EC2">
        <w:rPr>
          <w:rFonts w:ascii="Gotham" w:hAnsi="Gotham" w:cs="Arial"/>
          <w:sz w:val="19"/>
          <w:szCs w:val="19"/>
        </w:rPr>
        <w:t xml:space="preserve"> </w:t>
      </w:r>
      <w:r w:rsidRPr="00242957">
        <w:rPr>
          <w:rFonts w:ascii="Gotham" w:hAnsi="Gotham" w:cs="Arial"/>
          <w:sz w:val="19"/>
          <w:szCs w:val="19"/>
        </w:rPr>
        <w:t>respectivos</w:t>
      </w:r>
      <w:r w:rsidR="00883EC2">
        <w:rPr>
          <w:rFonts w:ascii="Gotham" w:hAnsi="Gotham" w:cs="Arial"/>
          <w:sz w:val="19"/>
          <w:szCs w:val="19"/>
        </w:rPr>
        <w:t xml:space="preserve"> </w:t>
      </w:r>
      <w:r w:rsidRPr="00242957">
        <w:rPr>
          <w:rFonts w:ascii="Gotham" w:hAnsi="Gotham" w:cs="Arial"/>
          <w:sz w:val="19"/>
          <w:szCs w:val="19"/>
        </w:rPr>
        <w:t>expedientes;</w:t>
      </w:r>
    </w:p>
    <w:p w14:paraId="3A474A04"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El Presidente de la Comisión en un plazo no mayor a 30 treinta días naturales deberá verificar que cumplan con los requisitos para desempeñar el cargo y someterá a consideración de la Comisión la propuesta de aspirantes que deberán integrar el Consejo;</w:t>
      </w:r>
    </w:p>
    <w:p w14:paraId="3A474A05"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Aprobado por la Comisión, la propuesta será sometida al Pleno del Ayuntamiento, el cual en la Sesión siguiente a que haya presentado la propuesta, elegirá a quienes fungirán como consejeros, tanto titulares como sustitutos, para el periodo en cuestión establecido en la convocatoria, pudiendo modificar la propuesta que hubiese sido enviada por la Comisión; y</w:t>
      </w:r>
    </w:p>
    <w:p w14:paraId="3A474A06"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De entre los aspirantes que no hubiesen sido elegidos, pero cumplan con los requisitos correspondientes, se designarán Consejeros sustitutos en orden de preferencia.</w:t>
      </w:r>
    </w:p>
    <w:p w14:paraId="3A474A07" w14:textId="77777777" w:rsidR="009B5E39" w:rsidRDefault="009B5E39" w:rsidP="009B5E39">
      <w:pPr>
        <w:ind w:left="284" w:right="283"/>
        <w:jc w:val="both"/>
        <w:rPr>
          <w:rFonts w:ascii="Gotham" w:hAnsi="Gotham" w:cs="Arial"/>
          <w:b/>
          <w:sz w:val="19"/>
          <w:szCs w:val="19"/>
        </w:rPr>
      </w:pPr>
    </w:p>
    <w:p w14:paraId="3A474A08"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55.</w:t>
      </w:r>
      <w:r w:rsidRPr="00242957">
        <w:rPr>
          <w:rFonts w:ascii="Gotham" w:hAnsi="Gotham" w:cs="Arial"/>
          <w:sz w:val="19"/>
          <w:szCs w:val="19"/>
        </w:rPr>
        <w:t xml:space="preserve"> De las facultades y obligaciones del Presidente del</w:t>
      </w:r>
      <w:r w:rsidR="00883EC2">
        <w:rPr>
          <w:rFonts w:ascii="Gotham" w:hAnsi="Gotham" w:cs="Arial"/>
          <w:sz w:val="19"/>
          <w:szCs w:val="19"/>
        </w:rPr>
        <w:t xml:space="preserve"> </w:t>
      </w:r>
      <w:r w:rsidRPr="00242957">
        <w:rPr>
          <w:rFonts w:ascii="Gotham" w:hAnsi="Gotham" w:cs="Arial"/>
          <w:sz w:val="19"/>
          <w:szCs w:val="19"/>
        </w:rPr>
        <w:t>Consejo.</w:t>
      </w:r>
      <w:r w:rsidR="00883EC2">
        <w:rPr>
          <w:rFonts w:ascii="Gotham" w:hAnsi="Gotham" w:cs="Arial"/>
          <w:sz w:val="19"/>
          <w:szCs w:val="19"/>
        </w:rPr>
        <w:t xml:space="preserve"> </w:t>
      </w:r>
      <w:r w:rsidRPr="00242957">
        <w:rPr>
          <w:rFonts w:ascii="Gotham" w:hAnsi="Gotham" w:cs="Arial"/>
          <w:sz w:val="19"/>
          <w:szCs w:val="19"/>
        </w:rPr>
        <w:t>Las facultades y obligaciones del Presidente del Consejo serán las siguientes:</w:t>
      </w:r>
    </w:p>
    <w:p w14:paraId="3A474A09" w14:textId="77777777" w:rsidR="009B5E39" w:rsidRDefault="009B5E39" w:rsidP="009B5E39">
      <w:pPr>
        <w:ind w:left="284" w:right="283"/>
        <w:jc w:val="both"/>
        <w:rPr>
          <w:rFonts w:ascii="Gotham" w:hAnsi="Gotham" w:cs="Arial"/>
          <w:sz w:val="19"/>
          <w:szCs w:val="19"/>
        </w:rPr>
      </w:pPr>
    </w:p>
    <w:p w14:paraId="3A474A0A"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Presidir las Sesiones del Consejo;</w:t>
      </w:r>
    </w:p>
    <w:p w14:paraId="3A474A0B"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Convocar a las Sesiones del Consejo, a través del Secretario Técnico;</w:t>
      </w:r>
    </w:p>
    <w:p w14:paraId="3A474A0C"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Representar al Consejo;</w:t>
      </w:r>
    </w:p>
    <w:p w14:paraId="3A474A0D"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Ejecutar las determinaciones del Consejo; y</w:t>
      </w:r>
      <w:r w:rsidR="00883EC2">
        <w:rPr>
          <w:rFonts w:ascii="Gotham" w:hAnsi="Gotham" w:cs="Arial"/>
          <w:sz w:val="19"/>
          <w:szCs w:val="19"/>
        </w:rPr>
        <w:t xml:space="preserve"> </w:t>
      </w:r>
    </w:p>
    <w:p w14:paraId="3A474A0E"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lastRenderedPageBreak/>
        <w:t xml:space="preserve">V. </w:t>
      </w:r>
      <w:r>
        <w:rPr>
          <w:rFonts w:ascii="Gotham" w:hAnsi="Gotham" w:cs="Arial"/>
          <w:sz w:val="19"/>
          <w:szCs w:val="19"/>
        </w:rPr>
        <w:tab/>
      </w:r>
      <w:r w:rsidRPr="00242957">
        <w:rPr>
          <w:rFonts w:ascii="Gotham" w:hAnsi="Gotham" w:cs="Arial"/>
          <w:sz w:val="19"/>
          <w:szCs w:val="19"/>
        </w:rPr>
        <w:t>Emitir voto de calidad en caso de empate en las Sesiones del Consejo.</w:t>
      </w:r>
    </w:p>
    <w:p w14:paraId="3A474A0F" w14:textId="77777777" w:rsidR="009B5E39" w:rsidRDefault="009B5E39" w:rsidP="009B5E39">
      <w:pPr>
        <w:ind w:left="284" w:right="283"/>
        <w:jc w:val="both"/>
        <w:rPr>
          <w:rFonts w:ascii="Gotham" w:hAnsi="Gotham" w:cs="Arial"/>
          <w:b/>
          <w:sz w:val="19"/>
          <w:szCs w:val="19"/>
        </w:rPr>
      </w:pPr>
    </w:p>
    <w:p w14:paraId="3A474A10"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56.</w:t>
      </w:r>
      <w:r w:rsidRPr="00242957">
        <w:rPr>
          <w:rFonts w:ascii="Gotham" w:hAnsi="Gotham" w:cs="Arial"/>
          <w:sz w:val="19"/>
          <w:szCs w:val="19"/>
        </w:rPr>
        <w:t xml:space="preserve"> De las facultades y obligaciones del Secretario Técnico del Consejo.</w:t>
      </w:r>
    </w:p>
    <w:p w14:paraId="3A474A11" w14:textId="77777777" w:rsidR="009B5E39" w:rsidRDefault="009B5E39" w:rsidP="009B5E39">
      <w:pPr>
        <w:ind w:left="284" w:right="283"/>
        <w:jc w:val="both"/>
        <w:rPr>
          <w:rFonts w:ascii="Gotham" w:hAnsi="Gotham" w:cs="Arial"/>
          <w:sz w:val="19"/>
          <w:szCs w:val="19"/>
        </w:rPr>
      </w:pPr>
    </w:p>
    <w:p w14:paraId="3A474A1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Las facultades y obligaciones del Secretario Técnico del Consejo serán las siguientes:</w:t>
      </w:r>
    </w:p>
    <w:p w14:paraId="3A474A13" w14:textId="77777777" w:rsidR="009B5E39" w:rsidRDefault="009B5E39" w:rsidP="009B5E39">
      <w:pPr>
        <w:ind w:left="284" w:right="283"/>
        <w:jc w:val="both"/>
        <w:rPr>
          <w:rFonts w:ascii="Gotham" w:hAnsi="Gotham" w:cs="Arial"/>
          <w:sz w:val="19"/>
          <w:szCs w:val="19"/>
        </w:rPr>
      </w:pPr>
    </w:p>
    <w:p w14:paraId="3A474A14"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Elaborar previa instrucción del Presidente del Consejo las convocatorias a las sesiones;</w:t>
      </w:r>
    </w:p>
    <w:p w14:paraId="3A474A15"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Elaborar las actas que se</w:t>
      </w:r>
      <w:r w:rsidR="00883EC2">
        <w:rPr>
          <w:rFonts w:ascii="Gotham" w:hAnsi="Gotham" w:cs="Arial"/>
          <w:sz w:val="19"/>
          <w:szCs w:val="19"/>
        </w:rPr>
        <w:t xml:space="preserve"> </w:t>
      </w:r>
      <w:r w:rsidRPr="00242957">
        <w:rPr>
          <w:rFonts w:ascii="Gotham" w:hAnsi="Gotham" w:cs="Arial"/>
          <w:sz w:val="19"/>
          <w:szCs w:val="19"/>
        </w:rPr>
        <w:t>deriven</w:t>
      </w:r>
      <w:r w:rsidR="00883EC2">
        <w:rPr>
          <w:rFonts w:ascii="Gotham" w:hAnsi="Gotham" w:cs="Arial"/>
          <w:sz w:val="19"/>
          <w:szCs w:val="19"/>
        </w:rPr>
        <w:t xml:space="preserve"> </w:t>
      </w:r>
      <w:r w:rsidRPr="00242957">
        <w:rPr>
          <w:rFonts w:ascii="Gotham" w:hAnsi="Gotham" w:cs="Arial"/>
          <w:sz w:val="19"/>
          <w:szCs w:val="19"/>
        </w:rPr>
        <w:t>de</w:t>
      </w:r>
      <w:r w:rsidR="00883EC2">
        <w:rPr>
          <w:rFonts w:ascii="Gotham" w:hAnsi="Gotham" w:cs="Arial"/>
          <w:sz w:val="19"/>
          <w:szCs w:val="19"/>
        </w:rPr>
        <w:t xml:space="preserve"> </w:t>
      </w:r>
      <w:r w:rsidRPr="00242957">
        <w:rPr>
          <w:rFonts w:ascii="Gotham" w:hAnsi="Gotham" w:cs="Arial"/>
          <w:sz w:val="19"/>
          <w:szCs w:val="19"/>
        </w:rPr>
        <w:t>las</w:t>
      </w:r>
      <w:r w:rsidR="00883EC2">
        <w:rPr>
          <w:rFonts w:ascii="Gotham" w:hAnsi="Gotham" w:cs="Arial"/>
          <w:sz w:val="19"/>
          <w:szCs w:val="19"/>
        </w:rPr>
        <w:t xml:space="preserve"> </w:t>
      </w:r>
      <w:r w:rsidRPr="00242957">
        <w:rPr>
          <w:rFonts w:ascii="Gotham" w:hAnsi="Gotham" w:cs="Arial"/>
          <w:sz w:val="19"/>
          <w:szCs w:val="19"/>
        </w:rPr>
        <w:t>sesiones</w:t>
      </w:r>
      <w:r w:rsidR="00883EC2">
        <w:rPr>
          <w:rFonts w:ascii="Gotham" w:hAnsi="Gotham" w:cs="Arial"/>
          <w:sz w:val="19"/>
          <w:szCs w:val="19"/>
        </w:rPr>
        <w:t xml:space="preserve"> </w:t>
      </w:r>
      <w:r w:rsidRPr="00242957">
        <w:rPr>
          <w:rFonts w:ascii="Gotham" w:hAnsi="Gotham" w:cs="Arial"/>
          <w:sz w:val="19"/>
          <w:szCs w:val="19"/>
        </w:rPr>
        <w:t>del</w:t>
      </w:r>
      <w:r w:rsidR="00883EC2">
        <w:rPr>
          <w:rFonts w:ascii="Gotham" w:hAnsi="Gotham" w:cs="Arial"/>
          <w:sz w:val="19"/>
          <w:szCs w:val="19"/>
        </w:rPr>
        <w:t xml:space="preserve"> </w:t>
      </w:r>
      <w:r w:rsidRPr="00242957">
        <w:rPr>
          <w:rFonts w:ascii="Gotham" w:hAnsi="Gotham" w:cs="Arial"/>
          <w:sz w:val="19"/>
          <w:szCs w:val="19"/>
        </w:rPr>
        <w:t>Consejo</w:t>
      </w:r>
      <w:r w:rsidR="00883EC2">
        <w:rPr>
          <w:rFonts w:ascii="Gotham" w:hAnsi="Gotham" w:cs="Arial"/>
          <w:sz w:val="19"/>
          <w:szCs w:val="19"/>
        </w:rPr>
        <w:t xml:space="preserve"> </w:t>
      </w:r>
      <w:r w:rsidRPr="00242957">
        <w:rPr>
          <w:rFonts w:ascii="Gotham" w:hAnsi="Gotham" w:cs="Arial"/>
          <w:sz w:val="19"/>
          <w:szCs w:val="19"/>
        </w:rPr>
        <w:t>y</w:t>
      </w:r>
      <w:r w:rsidR="00883EC2">
        <w:rPr>
          <w:rFonts w:ascii="Gotham" w:hAnsi="Gotham" w:cs="Arial"/>
          <w:sz w:val="19"/>
          <w:szCs w:val="19"/>
        </w:rPr>
        <w:t xml:space="preserve"> </w:t>
      </w:r>
      <w:r w:rsidRPr="00242957">
        <w:rPr>
          <w:rFonts w:ascii="Gotham" w:hAnsi="Gotham" w:cs="Arial"/>
          <w:sz w:val="19"/>
          <w:szCs w:val="19"/>
        </w:rPr>
        <w:t>recabar</w:t>
      </w:r>
      <w:r w:rsidR="00883EC2">
        <w:rPr>
          <w:rFonts w:ascii="Gotham" w:hAnsi="Gotham" w:cs="Arial"/>
          <w:sz w:val="19"/>
          <w:szCs w:val="19"/>
        </w:rPr>
        <w:t xml:space="preserve"> </w:t>
      </w:r>
      <w:r w:rsidRPr="00242957">
        <w:rPr>
          <w:rFonts w:ascii="Gotham" w:hAnsi="Gotham" w:cs="Arial"/>
          <w:sz w:val="19"/>
          <w:szCs w:val="19"/>
        </w:rPr>
        <w:t>las</w:t>
      </w:r>
      <w:r w:rsidR="00883EC2">
        <w:rPr>
          <w:rFonts w:ascii="Gotham" w:hAnsi="Gotham" w:cs="Arial"/>
          <w:sz w:val="19"/>
          <w:szCs w:val="19"/>
        </w:rPr>
        <w:t xml:space="preserve"> </w:t>
      </w:r>
      <w:r w:rsidRPr="00242957">
        <w:rPr>
          <w:rFonts w:ascii="Gotham" w:hAnsi="Gotham" w:cs="Arial"/>
          <w:sz w:val="19"/>
          <w:szCs w:val="19"/>
        </w:rPr>
        <w:t>firmas</w:t>
      </w:r>
      <w:r w:rsidR="00883EC2">
        <w:rPr>
          <w:rFonts w:ascii="Gotham" w:hAnsi="Gotham" w:cs="Arial"/>
          <w:sz w:val="19"/>
          <w:szCs w:val="19"/>
        </w:rPr>
        <w:t xml:space="preserve"> </w:t>
      </w:r>
      <w:r w:rsidRPr="00242957">
        <w:rPr>
          <w:rFonts w:ascii="Gotham" w:hAnsi="Gotham" w:cs="Arial"/>
          <w:sz w:val="19"/>
          <w:szCs w:val="19"/>
        </w:rPr>
        <w:t>de sus integrantes;</w:t>
      </w:r>
    </w:p>
    <w:p w14:paraId="3A474A16"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Resguardar la documentación que se turne o suscriba el Consejo; y</w:t>
      </w:r>
    </w:p>
    <w:p w14:paraId="3A474A17"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Dar respuesta y trámite a los oficios y comunicados que se turnen al Consejo, debiendo someter a consideración del Presidente del Consejo aquellos que por su naturaleza e importancia lo requieran.</w:t>
      </w:r>
    </w:p>
    <w:p w14:paraId="3A474A18" w14:textId="77777777" w:rsidR="009B5E39" w:rsidRDefault="009B5E39" w:rsidP="009B5E39">
      <w:pPr>
        <w:ind w:left="284" w:right="283"/>
        <w:jc w:val="both"/>
        <w:rPr>
          <w:rFonts w:ascii="Gotham" w:hAnsi="Gotham" w:cs="Arial"/>
          <w:b/>
          <w:sz w:val="19"/>
          <w:szCs w:val="19"/>
        </w:rPr>
      </w:pPr>
    </w:p>
    <w:p w14:paraId="3A474A19"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57.</w:t>
      </w:r>
      <w:r w:rsidRPr="00242957">
        <w:rPr>
          <w:rFonts w:ascii="Gotham" w:hAnsi="Gotham" w:cs="Arial"/>
          <w:sz w:val="19"/>
          <w:szCs w:val="19"/>
        </w:rPr>
        <w:t xml:space="preserve"> De las obligaciones y facultades de los</w:t>
      </w:r>
      <w:r w:rsidR="00883EC2">
        <w:rPr>
          <w:rFonts w:ascii="Gotham" w:hAnsi="Gotham" w:cs="Arial"/>
          <w:sz w:val="19"/>
          <w:szCs w:val="19"/>
        </w:rPr>
        <w:t xml:space="preserve"> </w:t>
      </w:r>
      <w:r w:rsidRPr="00242957">
        <w:rPr>
          <w:rFonts w:ascii="Gotham" w:hAnsi="Gotham" w:cs="Arial"/>
          <w:sz w:val="19"/>
          <w:szCs w:val="19"/>
        </w:rPr>
        <w:t>integrantes del</w:t>
      </w:r>
      <w:r w:rsidR="00883EC2">
        <w:rPr>
          <w:rFonts w:ascii="Gotham" w:hAnsi="Gotham" w:cs="Arial"/>
          <w:sz w:val="19"/>
          <w:szCs w:val="19"/>
        </w:rPr>
        <w:t xml:space="preserve"> </w:t>
      </w:r>
      <w:r w:rsidRPr="00242957">
        <w:rPr>
          <w:rFonts w:ascii="Gotham" w:hAnsi="Gotham" w:cs="Arial"/>
          <w:sz w:val="19"/>
          <w:szCs w:val="19"/>
        </w:rPr>
        <w:t>Consejo.</w:t>
      </w:r>
      <w:r w:rsidR="00883EC2">
        <w:rPr>
          <w:rFonts w:ascii="Gotham" w:hAnsi="Gotham" w:cs="Arial"/>
          <w:sz w:val="19"/>
          <w:szCs w:val="19"/>
        </w:rPr>
        <w:t xml:space="preserve"> </w:t>
      </w:r>
      <w:r w:rsidRPr="00242957">
        <w:rPr>
          <w:rFonts w:ascii="Gotham" w:hAnsi="Gotham" w:cs="Arial"/>
          <w:sz w:val="19"/>
          <w:szCs w:val="19"/>
        </w:rPr>
        <w:t>Son obligaciones y facultades de los integrantes del Consejo las siguientes:</w:t>
      </w:r>
    </w:p>
    <w:p w14:paraId="3A474A1A" w14:textId="77777777" w:rsidR="009B5E39" w:rsidRDefault="009B5E39" w:rsidP="009B5E39">
      <w:pPr>
        <w:ind w:left="284" w:right="283"/>
        <w:jc w:val="both"/>
        <w:rPr>
          <w:rFonts w:ascii="Gotham" w:hAnsi="Gotham" w:cs="Arial"/>
          <w:sz w:val="19"/>
          <w:szCs w:val="19"/>
        </w:rPr>
      </w:pPr>
    </w:p>
    <w:p w14:paraId="3A474A1B"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Asistir puntualmente a las sesiones del Consejo y</w:t>
      </w:r>
      <w:r w:rsidR="00883EC2">
        <w:rPr>
          <w:rFonts w:ascii="Gotham" w:hAnsi="Gotham" w:cs="Arial"/>
          <w:sz w:val="19"/>
          <w:szCs w:val="19"/>
        </w:rPr>
        <w:t xml:space="preserve"> </w:t>
      </w:r>
      <w:r w:rsidRPr="00242957">
        <w:rPr>
          <w:rFonts w:ascii="Gotham" w:hAnsi="Gotham" w:cs="Arial"/>
          <w:sz w:val="19"/>
          <w:szCs w:val="19"/>
        </w:rPr>
        <w:t>demás</w:t>
      </w:r>
      <w:r w:rsidR="00883EC2">
        <w:rPr>
          <w:rFonts w:ascii="Gotham" w:hAnsi="Gotham" w:cs="Arial"/>
          <w:sz w:val="19"/>
          <w:szCs w:val="19"/>
        </w:rPr>
        <w:t xml:space="preserve"> </w:t>
      </w:r>
      <w:r w:rsidRPr="00242957">
        <w:rPr>
          <w:rFonts w:ascii="Gotham" w:hAnsi="Gotham" w:cs="Arial"/>
          <w:sz w:val="19"/>
          <w:szCs w:val="19"/>
        </w:rPr>
        <w:t>reuniones</w:t>
      </w:r>
      <w:r w:rsidR="00883EC2">
        <w:rPr>
          <w:rFonts w:ascii="Gotham" w:hAnsi="Gotham" w:cs="Arial"/>
          <w:sz w:val="19"/>
          <w:szCs w:val="19"/>
        </w:rPr>
        <w:t xml:space="preserve"> </w:t>
      </w:r>
      <w:r w:rsidRPr="00242957">
        <w:rPr>
          <w:rFonts w:ascii="Gotham" w:hAnsi="Gotham" w:cs="Arial"/>
          <w:sz w:val="19"/>
          <w:szCs w:val="19"/>
        </w:rPr>
        <w:t>a</w:t>
      </w:r>
      <w:r w:rsidR="00883EC2">
        <w:rPr>
          <w:rFonts w:ascii="Gotham" w:hAnsi="Gotham" w:cs="Arial"/>
          <w:sz w:val="19"/>
          <w:szCs w:val="19"/>
        </w:rPr>
        <w:t xml:space="preserve"> </w:t>
      </w:r>
      <w:r w:rsidRPr="00242957">
        <w:rPr>
          <w:rFonts w:ascii="Gotham" w:hAnsi="Gotham" w:cs="Arial"/>
          <w:sz w:val="19"/>
          <w:szCs w:val="19"/>
        </w:rPr>
        <w:t>las</w:t>
      </w:r>
      <w:r w:rsidR="00883EC2">
        <w:rPr>
          <w:rFonts w:ascii="Gotham" w:hAnsi="Gotham" w:cs="Arial"/>
          <w:sz w:val="19"/>
          <w:szCs w:val="19"/>
        </w:rPr>
        <w:t xml:space="preserve"> </w:t>
      </w:r>
      <w:r w:rsidRPr="00242957">
        <w:rPr>
          <w:rFonts w:ascii="Gotham" w:hAnsi="Gotham" w:cs="Arial"/>
          <w:sz w:val="19"/>
          <w:szCs w:val="19"/>
        </w:rPr>
        <w:t>que</w:t>
      </w:r>
      <w:r w:rsidR="00883EC2">
        <w:rPr>
          <w:rFonts w:ascii="Gotham" w:hAnsi="Gotham" w:cs="Arial"/>
          <w:sz w:val="19"/>
          <w:szCs w:val="19"/>
        </w:rPr>
        <w:t xml:space="preserve"> </w:t>
      </w:r>
      <w:r w:rsidRPr="00242957">
        <w:rPr>
          <w:rFonts w:ascii="Gotham" w:hAnsi="Gotham" w:cs="Arial"/>
          <w:sz w:val="19"/>
          <w:szCs w:val="19"/>
        </w:rPr>
        <w:t>fueran convocados;</w:t>
      </w:r>
    </w:p>
    <w:p w14:paraId="3A474A1C"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Participar en las Sesiones del Consejo con derecho voz y voto;</w:t>
      </w:r>
    </w:p>
    <w:p w14:paraId="3A474A1D"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Proponer las medidas que en cada caso se requiera para que el Consejo cumpla oportunamente con sus objetivos;</w:t>
      </w:r>
    </w:p>
    <w:p w14:paraId="3A474A1E"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Vigilar el cumplimiento y seguimiento de los acuerdos que emanen del Consejo;</w:t>
      </w:r>
    </w:p>
    <w:p w14:paraId="3A474A1F"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Guardar la debida confidencialidad respecto de la información clasificada que conozcan en virtud de sus funciones; y</w:t>
      </w:r>
    </w:p>
    <w:p w14:paraId="3A474A20"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Cumplir íntegramente con las disposiciones emanadas por el Consejo, este reglamento y demás leyes aplicables.</w:t>
      </w:r>
    </w:p>
    <w:p w14:paraId="3A474A21" w14:textId="77777777" w:rsidR="009B5E39" w:rsidRDefault="009B5E39" w:rsidP="009B5E39">
      <w:pPr>
        <w:ind w:left="284" w:right="283"/>
        <w:jc w:val="both"/>
        <w:rPr>
          <w:rFonts w:ascii="Gotham" w:hAnsi="Gotham" w:cs="Arial"/>
          <w:b/>
          <w:sz w:val="19"/>
          <w:szCs w:val="19"/>
        </w:rPr>
      </w:pPr>
    </w:p>
    <w:p w14:paraId="3A474A22"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58.</w:t>
      </w:r>
      <w:r w:rsidRPr="00242957">
        <w:rPr>
          <w:rFonts w:ascii="Gotham" w:hAnsi="Gotham" w:cs="Arial"/>
          <w:sz w:val="19"/>
          <w:szCs w:val="19"/>
        </w:rPr>
        <w:t xml:space="preserve"> De las causales de remoción de los Ciudadanos que integran el Consejo.</w:t>
      </w:r>
    </w:p>
    <w:p w14:paraId="3A474A23" w14:textId="77777777" w:rsidR="009B5E39" w:rsidRDefault="009B5E39" w:rsidP="009B5E39">
      <w:pPr>
        <w:ind w:left="284" w:right="283"/>
        <w:jc w:val="both"/>
        <w:rPr>
          <w:rFonts w:ascii="Gotham" w:hAnsi="Gotham" w:cs="Arial"/>
          <w:sz w:val="19"/>
          <w:szCs w:val="19"/>
        </w:rPr>
      </w:pPr>
    </w:p>
    <w:p w14:paraId="3A474A24"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Son causales de remoción de los Consejeros Ciudadanos las siguientes:</w:t>
      </w:r>
    </w:p>
    <w:p w14:paraId="3A474A25" w14:textId="77777777" w:rsidR="009B5E39" w:rsidRDefault="009B5E39" w:rsidP="009B5E39">
      <w:pPr>
        <w:ind w:left="284" w:right="283"/>
        <w:jc w:val="both"/>
        <w:rPr>
          <w:rFonts w:ascii="Gotham" w:hAnsi="Gotham" w:cs="Arial"/>
          <w:sz w:val="19"/>
          <w:szCs w:val="19"/>
        </w:rPr>
      </w:pPr>
    </w:p>
    <w:p w14:paraId="3A474A26"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 </w:t>
      </w:r>
      <w:r>
        <w:rPr>
          <w:rFonts w:ascii="Gotham" w:hAnsi="Gotham" w:cs="Arial"/>
          <w:sz w:val="19"/>
          <w:szCs w:val="19"/>
        </w:rPr>
        <w:tab/>
      </w:r>
      <w:r w:rsidRPr="00242957">
        <w:rPr>
          <w:rFonts w:ascii="Gotham" w:hAnsi="Gotham" w:cs="Arial"/>
          <w:sz w:val="19"/>
          <w:szCs w:val="19"/>
        </w:rPr>
        <w:t>Acumular tres faltas consecutivas a las sesiones del Consejo;</w:t>
      </w:r>
    </w:p>
    <w:p w14:paraId="3A474A27"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 </w:t>
      </w:r>
      <w:r>
        <w:rPr>
          <w:rFonts w:ascii="Gotham" w:hAnsi="Gotham" w:cs="Arial"/>
          <w:sz w:val="19"/>
          <w:szCs w:val="19"/>
        </w:rPr>
        <w:tab/>
      </w:r>
      <w:r w:rsidRPr="00242957">
        <w:rPr>
          <w:rFonts w:ascii="Gotham" w:hAnsi="Gotham" w:cs="Arial"/>
          <w:sz w:val="19"/>
          <w:szCs w:val="19"/>
        </w:rPr>
        <w:t>Contar con cinco faltas en el periodo de seis meses a las sesiones del Consejo, aun cuando éstas no sean consecutivas;</w:t>
      </w:r>
    </w:p>
    <w:p w14:paraId="3A474A28"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III. </w:t>
      </w:r>
      <w:r>
        <w:rPr>
          <w:rFonts w:ascii="Gotham" w:hAnsi="Gotham" w:cs="Arial"/>
          <w:sz w:val="19"/>
          <w:szCs w:val="19"/>
        </w:rPr>
        <w:tab/>
      </w:r>
      <w:r w:rsidRPr="00242957">
        <w:rPr>
          <w:rFonts w:ascii="Gotham" w:hAnsi="Gotham" w:cs="Arial"/>
          <w:sz w:val="19"/>
          <w:szCs w:val="19"/>
        </w:rPr>
        <w:t>Por falta de interés en el desempeño de su cargo, documentada por el propio Consejo;</w:t>
      </w:r>
    </w:p>
    <w:p w14:paraId="3A474A29"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IV. </w:t>
      </w:r>
      <w:r>
        <w:rPr>
          <w:rFonts w:ascii="Gotham" w:hAnsi="Gotham" w:cs="Arial"/>
          <w:sz w:val="19"/>
          <w:szCs w:val="19"/>
        </w:rPr>
        <w:tab/>
      </w:r>
      <w:r w:rsidRPr="00242957">
        <w:rPr>
          <w:rFonts w:ascii="Gotham" w:hAnsi="Gotham" w:cs="Arial"/>
          <w:sz w:val="19"/>
          <w:szCs w:val="19"/>
        </w:rPr>
        <w:t>Por utilizar el cargo de manera incorrecta para la obtención de algún lucro o tráfico de influencias;</w:t>
      </w:r>
    </w:p>
    <w:p w14:paraId="3A474A2A"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 </w:t>
      </w:r>
      <w:r>
        <w:rPr>
          <w:rFonts w:ascii="Gotham" w:hAnsi="Gotham" w:cs="Arial"/>
          <w:sz w:val="19"/>
          <w:szCs w:val="19"/>
        </w:rPr>
        <w:tab/>
      </w:r>
      <w:r w:rsidRPr="00242957">
        <w:rPr>
          <w:rFonts w:ascii="Gotham" w:hAnsi="Gotham" w:cs="Arial"/>
          <w:sz w:val="19"/>
          <w:szCs w:val="19"/>
        </w:rPr>
        <w:t>Por dejar de cumplir con alguno de los requisitos para ser designado consejero, de acuerdo al presente reglamento;</w:t>
      </w:r>
    </w:p>
    <w:p w14:paraId="3A474A2B" w14:textId="77777777" w:rsidR="009B5E39" w:rsidRPr="00242957" w:rsidRDefault="009B5E39" w:rsidP="009B5E39">
      <w:pPr>
        <w:spacing w:after="120"/>
        <w:ind w:left="1134" w:right="283" w:hanging="850"/>
        <w:jc w:val="both"/>
        <w:rPr>
          <w:rFonts w:ascii="Gotham" w:hAnsi="Gotham" w:cs="Arial"/>
          <w:sz w:val="19"/>
          <w:szCs w:val="19"/>
        </w:rPr>
      </w:pPr>
      <w:r w:rsidRPr="00242957">
        <w:rPr>
          <w:rFonts w:ascii="Gotham" w:hAnsi="Gotham" w:cs="Arial"/>
          <w:sz w:val="19"/>
          <w:szCs w:val="19"/>
        </w:rPr>
        <w:t xml:space="preserve">VI. </w:t>
      </w:r>
      <w:r>
        <w:rPr>
          <w:rFonts w:ascii="Gotham" w:hAnsi="Gotham" w:cs="Arial"/>
          <w:sz w:val="19"/>
          <w:szCs w:val="19"/>
        </w:rPr>
        <w:tab/>
      </w:r>
      <w:r w:rsidRPr="00242957">
        <w:rPr>
          <w:rFonts w:ascii="Gotham" w:hAnsi="Gotham" w:cs="Arial"/>
          <w:sz w:val="19"/>
          <w:szCs w:val="19"/>
        </w:rPr>
        <w:t>Por haberse conducido con falsedad en el cumplimiento de los requisitos</w:t>
      </w:r>
      <w:r w:rsidR="00883EC2">
        <w:rPr>
          <w:rFonts w:ascii="Gotham" w:hAnsi="Gotham" w:cs="Arial"/>
          <w:sz w:val="19"/>
          <w:szCs w:val="19"/>
        </w:rPr>
        <w:t xml:space="preserve"> </w:t>
      </w:r>
      <w:r w:rsidRPr="00242957">
        <w:rPr>
          <w:rFonts w:ascii="Gotham" w:hAnsi="Gotham" w:cs="Arial"/>
          <w:sz w:val="19"/>
          <w:szCs w:val="19"/>
        </w:rPr>
        <w:t>establecidos en la convocatoria por la cual participó para ser electo consejero; y</w:t>
      </w:r>
    </w:p>
    <w:p w14:paraId="3A474A2C" w14:textId="77777777" w:rsidR="009B5E39" w:rsidRPr="00242957" w:rsidRDefault="009B5E39" w:rsidP="009B5E39">
      <w:pPr>
        <w:ind w:left="1134" w:right="283" w:hanging="850"/>
        <w:jc w:val="both"/>
        <w:rPr>
          <w:rFonts w:ascii="Gotham" w:hAnsi="Gotham" w:cs="Arial"/>
          <w:sz w:val="19"/>
          <w:szCs w:val="19"/>
        </w:rPr>
      </w:pPr>
      <w:r w:rsidRPr="00242957">
        <w:rPr>
          <w:rFonts w:ascii="Gotham" w:hAnsi="Gotham" w:cs="Arial"/>
          <w:sz w:val="19"/>
          <w:szCs w:val="19"/>
        </w:rPr>
        <w:t xml:space="preserve">VII. </w:t>
      </w:r>
      <w:r>
        <w:rPr>
          <w:rFonts w:ascii="Gotham" w:hAnsi="Gotham" w:cs="Arial"/>
          <w:sz w:val="19"/>
          <w:szCs w:val="19"/>
        </w:rPr>
        <w:tab/>
      </w:r>
      <w:r w:rsidRPr="00242957">
        <w:rPr>
          <w:rFonts w:ascii="Gotham" w:hAnsi="Gotham" w:cs="Arial"/>
          <w:sz w:val="19"/>
          <w:szCs w:val="19"/>
        </w:rPr>
        <w:t>Por incumplimiento de cualquiera de las obligaciones derivadas del presente ordenamiento o de trabajos encomendados por el Consejo.</w:t>
      </w:r>
    </w:p>
    <w:p w14:paraId="3A474A2D" w14:textId="77777777" w:rsidR="009B5E39" w:rsidRDefault="009B5E39" w:rsidP="009B5E39">
      <w:pPr>
        <w:ind w:left="284" w:right="283"/>
        <w:jc w:val="both"/>
        <w:rPr>
          <w:rFonts w:ascii="Gotham" w:hAnsi="Gotham" w:cs="Arial"/>
          <w:sz w:val="19"/>
          <w:szCs w:val="19"/>
        </w:rPr>
      </w:pPr>
    </w:p>
    <w:p w14:paraId="3A474A2E" w14:textId="77777777" w:rsidR="009B5E39" w:rsidRPr="00242957" w:rsidRDefault="009B5E39" w:rsidP="009B5E39">
      <w:pPr>
        <w:ind w:left="284" w:right="283"/>
        <w:jc w:val="both"/>
        <w:rPr>
          <w:rFonts w:ascii="Gotham" w:hAnsi="Gotham" w:cs="Arial"/>
          <w:sz w:val="19"/>
          <w:szCs w:val="19"/>
        </w:rPr>
      </w:pPr>
    </w:p>
    <w:p w14:paraId="3A474A2F" w14:textId="77777777" w:rsidR="009B5E39" w:rsidRPr="00242957" w:rsidRDefault="009B5E39" w:rsidP="009B5E39">
      <w:pPr>
        <w:ind w:left="284" w:right="283"/>
        <w:jc w:val="center"/>
        <w:rPr>
          <w:rFonts w:ascii="Gotham" w:hAnsi="Gotham" w:cs="Arial"/>
          <w:b/>
          <w:sz w:val="19"/>
          <w:szCs w:val="19"/>
        </w:rPr>
      </w:pPr>
      <w:r w:rsidRPr="00242957">
        <w:rPr>
          <w:rFonts w:ascii="Gotham" w:hAnsi="Gotham" w:cs="Arial"/>
          <w:b/>
          <w:sz w:val="19"/>
          <w:szCs w:val="19"/>
        </w:rPr>
        <w:t>TÍTULO QUINTO.</w:t>
      </w:r>
    </w:p>
    <w:p w14:paraId="3A474A30" w14:textId="77777777" w:rsidR="009B5E39" w:rsidRPr="00242957" w:rsidRDefault="009B5E39" w:rsidP="009B5E39">
      <w:pPr>
        <w:ind w:left="284" w:right="283"/>
        <w:jc w:val="center"/>
        <w:rPr>
          <w:rFonts w:ascii="Gotham" w:hAnsi="Gotham" w:cs="Arial"/>
          <w:b/>
          <w:sz w:val="19"/>
          <w:szCs w:val="19"/>
        </w:rPr>
      </w:pPr>
      <w:r w:rsidRPr="00242957">
        <w:rPr>
          <w:rFonts w:ascii="Gotham" w:hAnsi="Gotham" w:cs="Arial"/>
          <w:b/>
          <w:sz w:val="19"/>
          <w:szCs w:val="19"/>
        </w:rPr>
        <w:lastRenderedPageBreak/>
        <w:t>DE LAS RESPONSABILIDADES Y SANCIONES</w:t>
      </w:r>
    </w:p>
    <w:p w14:paraId="3A474A31" w14:textId="77777777" w:rsidR="009B5E39" w:rsidRPr="00242957" w:rsidRDefault="009B5E39" w:rsidP="009B5E39">
      <w:pPr>
        <w:ind w:left="284" w:right="283"/>
        <w:jc w:val="center"/>
        <w:rPr>
          <w:rFonts w:ascii="Gotham" w:hAnsi="Gotham" w:cs="Arial"/>
          <w:b/>
          <w:sz w:val="19"/>
          <w:szCs w:val="19"/>
        </w:rPr>
      </w:pPr>
      <w:r w:rsidRPr="00242957">
        <w:rPr>
          <w:rFonts w:ascii="Gotham" w:hAnsi="Gotham" w:cs="Arial"/>
          <w:b/>
          <w:sz w:val="19"/>
          <w:szCs w:val="19"/>
        </w:rPr>
        <w:t>CAPÍTULO ÚNICO De las Responsabilidades y Sanciones</w:t>
      </w:r>
    </w:p>
    <w:p w14:paraId="3A474A32" w14:textId="77777777" w:rsidR="009B5E39" w:rsidRPr="00242957" w:rsidRDefault="009B5E39" w:rsidP="009B5E39">
      <w:pPr>
        <w:ind w:left="284" w:right="283"/>
        <w:jc w:val="both"/>
        <w:rPr>
          <w:rFonts w:ascii="Gotham" w:hAnsi="Gotham" w:cs="Arial"/>
          <w:sz w:val="19"/>
          <w:szCs w:val="19"/>
        </w:rPr>
      </w:pPr>
    </w:p>
    <w:p w14:paraId="3A474A33"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59.</w:t>
      </w:r>
      <w:r w:rsidRPr="00242957">
        <w:rPr>
          <w:rFonts w:ascii="Gotham" w:hAnsi="Gotham" w:cs="Arial"/>
          <w:sz w:val="19"/>
          <w:szCs w:val="19"/>
        </w:rPr>
        <w:t xml:space="preserve"> Procedimiento de responsabilidad.</w:t>
      </w:r>
    </w:p>
    <w:p w14:paraId="3A474A34" w14:textId="77777777" w:rsidR="009B5E39" w:rsidRDefault="009B5E39" w:rsidP="009B5E39">
      <w:pPr>
        <w:ind w:left="284" w:right="283"/>
        <w:jc w:val="both"/>
        <w:rPr>
          <w:rFonts w:ascii="Gotham" w:hAnsi="Gotham" w:cs="Arial"/>
          <w:sz w:val="19"/>
          <w:szCs w:val="19"/>
        </w:rPr>
      </w:pPr>
    </w:p>
    <w:p w14:paraId="3A474A35"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El Comité, con base en la resolución que emita sobre la inexistencia de información, dará vista a la Contraloría Municipal y Sindicatura, para iniciar el procedimiento de responsabilidad administrativa, civil o penal que corresponda, de conformidad con la legislación en la materia.</w:t>
      </w:r>
    </w:p>
    <w:p w14:paraId="3A474A36" w14:textId="77777777" w:rsidR="009B5E39" w:rsidRDefault="009B5E39" w:rsidP="009B5E39">
      <w:pPr>
        <w:ind w:left="284" w:right="283"/>
        <w:jc w:val="both"/>
        <w:rPr>
          <w:rFonts w:ascii="Gotham" w:hAnsi="Gotham" w:cs="Arial"/>
          <w:b/>
          <w:sz w:val="19"/>
          <w:szCs w:val="19"/>
        </w:rPr>
      </w:pPr>
    </w:p>
    <w:p w14:paraId="3A474A37"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60.</w:t>
      </w:r>
      <w:r w:rsidRPr="00242957">
        <w:rPr>
          <w:rFonts w:ascii="Gotham" w:hAnsi="Gotham" w:cs="Arial"/>
          <w:sz w:val="19"/>
          <w:szCs w:val="19"/>
        </w:rPr>
        <w:t xml:space="preserve"> De las Infracciones.</w:t>
      </w:r>
    </w:p>
    <w:p w14:paraId="3A474A38" w14:textId="77777777" w:rsidR="009B5E39" w:rsidRDefault="009B5E39" w:rsidP="009B5E39">
      <w:pPr>
        <w:ind w:left="284" w:right="283"/>
        <w:jc w:val="both"/>
        <w:rPr>
          <w:rFonts w:ascii="Gotham" w:hAnsi="Gotham" w:cs="Arial"/>
          <w:sz w:val="19"/>
          <w:szCs w:val="19"/>
        </w:rPr>
      </w:pPr>
    </w:p>
    <w:p w14:paraId="3A474A39"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Serán infracciones de los titulares de los Sujetos Obligados, del Comité de Transparencia y de las Unidades Administrativas, las señaladas en los artículos 119, 120 y 121 de la Ley.</w:t>
      </w:r>
    </w:p>
    <w:p w14:paraId="3A474A3A" w14:textId="77777777" w:rsidR="009B5E39" w:rsidRDefault="009B5E39" w:rsidP="009B5E39">
      <w:pPr>
        <w:ind w:left="284" w:right="283"/>
        <w:jc w:val="both"/>
        <w:rPr>
          <w:rFonts w:ascii="Gotham" w:hAnsi="Gotham" w:cs="Arial"/>
          <w:sz w:val="19"/>
          <w:szCs w:val="19"/>
        </w:rPr>
      </w:pPr>
    </w:p>
    <w:p w14:paraId="3A474A3B"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Serán infracciones de los titulares de las Unidades Administrativas, las señaladas en el artículo 122 de la Ley.</w:t>
      </w:r>
    </w:p>
    <w:p w14:paraId="3A474A3C" w14:textId="77777777" w:rsidR="009B5E39" w:rsidRDefault="009B5E39" w:rsidP="009B5E39">
      <w:pPr>
        <w:ind w:left="284" w:right="283"/>
        <w:jc w:val="both"/>
        <w:rPr>
          <w:rFonts w:ascii="Gotham" w:hAnsi="Gotham" w:cs="Arial"/>
          <w:b/>
          <w:sz w:val="19"/>
          <w:szCs w:val="19"/>
        </w:rPr>
      </w:pPr>
    </w:p>
    <w:p w14:paraId="3A474A3D" w14:textId="77777777" w:rsidR="009B5E39" w:rsidRPr="00242957" w:rsidRDefault="009B5E39" w:rsidP="009B5E39">
      <w:pPr>
        <w:ind w:left="284" w:right="283"/>
        <w:jc w:val="both"/>
        <w:rPr>
          <w:rFonts w:ascii="Gotham" w:hAnsi="Gotham" w:cs="Arial"/>
          <w:b/>
          <w:sz w:val="19"/>
          <w:szCs w:val="19"/>
        </w:rPr>
      </w:pPr>
      <w:r w:rsidRPr="00242957">
        <w:rPr>
          <w:rFonts w:ascii="Gotham" w:hAnsi="Gotham" w:cs="Arial"/>
          <w:b/>
          <w:sz w:val="19"/>
          <w:szCs w:val="19"/>
        </w:rPr>
        <w:t>Artículo 61.</w:t>
      </w:r>
      <w:r w:rsidRPr="00242957">
        <w:rPr>
          <w:rFonts w:ascii="Gotham" w:hAnsi="Gotham" w:cs="Arial"/>
          <w:sz w:val="19"/>
          <w:szCs w:val="19"/>
        </w:rPr>
        <w:t xml:space="preserve"> Sanciones.</w:t>
      </w:r>
    </w:p>
    <w:p w14:paraId="3A474A3E" w14:textId="77777777" w:rsidR="009B5E39" w:rsidRDefault="009B5E39" w:rsidP="009B5E39">
      <w:pPr>
        <w:ind w:left="284" w:right="283"/>
        <w:jc w:val="both"/>
        <w:rPr>
          <w:rFonts w:ascii="Gotham" w:hAnsi="Gotham" w:cs="Arial"/>
          <w:sz w:val="19"/>
          <w:szCs w:val="19"/>
        </w:rPr>
      </w:pPr>
    </w:p>
    <w:p w14:paraId="3A474A3F"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Las infracciones antes señaladas serán sancionadas conforme a lo establecido en los artículos 123, 124, 125 y 126 de la Ley.</w:t>
      </w:r>
    </w:p>
    <w:p w14:paraId="3A474A40" w14:textId="77777777" w:rsidR="009B5E39" w:rsidRDefault="009B5E39" w:rsidP="009B5E39">
      <w:pPr>
        <w:ind w:left="284" w:right="283"/>
        <w:jc w:val="both"/>
        <w:rPr>
          <w:rFonts w:ascii="Gotham" w:hAnsi="Gotham" w:cs="Arial"/>
          <w:b/>
          <w:sz w:val="19"/>
          <w:szCs w:val="19"/>
        </w:rPr>
      </w:pPr>
    </w:p>
    <w:p w14:paraId="3A474A41"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Artículo 62.</w:t>
      </w:r>
      <w:r w:rsidRPr="00242957">
        <w:rPr>
          <w:rFonts w:ascii="Gotham" w:hAnsi="Gotham" w:cs="Arial"/>
          <w:sz w:val="19"/>
          <w:szCs w:val="19"/>
        </w:rPr>
        <w:t xml:space="preserve"> Responsabilidades Penal, Civil y Política.</w:t>
      </w:r>
    </w:p>
    <w:p w14:paraId="3A474A42" w14:textId="77777777" w:rsidR="009B5E39" w:rsidRDefault="009B5E39" w:rsidP="009B5E39">
      <w:pPr>
        <w:ind w:left="284" w:right="283"/>
        <w:jc w:val="both"/>
        <w:rPr>
          <w:rFonts w:ascii="Gotham" w:hAnsi="Gotham" w:cs="Arial"/>
          <w:sz w:val="19"/>
          <w:szCs w:val="19"/>
        </w:rPr>
      </w:pPr>
    </w:p>
    <w:p w14:paraId="3A474A43"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sz w:val="19"/>
          <w:szCs w:val="19"/>
        </w:rPr>
        <w:t>Los servidores públicos del Ayuntamiento serán sujetos de responsabilidad penal, civil y política conforme a lo establecido en la Ley.</w:t>
      </w:r>
    </w:p>
    <w:p w14:paraId="3A474A44" w14:textId="77777777" w:rsidR="009B5E39" w:rsidRDefault="009B5E39" w:rsidP="009B5E39">
      <w:pPr>
        <w:ind w:left="284" w:right="283"/>
        <w:jc w:val="both"/>
        <w:rPr>
          <w:rFonts w:ascii="Gotham" w:hAnsi="Gotham" w:cs="Arial"/>
          <w:sz w:val="19"/>
          <w:szCs w:val="19"/>
        </w:rPr>
      </w:pPr>
    </w:p>
    <w:p w14:paraId="3A474A45" w14:textId="77777777" w:rsidR="009B5E39" w:rsidRPr="00242957" w:rsidRDefault="009B5E39" w:rsidP="009B5E39">
      <w:pPr>
        <w:ind w:left="284" w:right="283"/>
        <w:jc w:val="both"/>
        <w:rPr>
          <w:rFonts w:ascii="Gotham" w:hAnsi="Gotham" w:cs="Arial"/>
          <w:sz w:val="19"/>
          <w:szCs w:val="19"/>
        </w:rPr>
      </w:pPr>
    </w:p>
    <w:p w14:paraId="3A474A46" w14:textId="77777777" w:rsidR="009B5E39" w:rsidRPr="00242957" w:rsidRDefault="009B5E39" w:rsidP="009B5E39">
      <w:pPr>
        <w:ind w:left="284" w:right="283"/>
        <w:jc w:val="center"/>
        <w:rPr>
          <w:rFonts w:ascii="Gotham" w:hAnsi="Gotham" w:cs="Arial"/>
          <w:sz w:val="19"/>
          <w:szCs w:val="19"/>
        </w:rPr>
      </w:pPr>
      <w:r w:rsidRPr="00242957">
        <w:rPr>
          <w:rFonts w:ascii="Gotham" w:hAnsi="Gotham" w:cs="Arial"/>
          <w:sz w:val="19"/>
          <w:szCs w:val="19"/>
        </w:rPr>
        <w:t>TRANSITORIOS</w:t>
      </w:r>
    </w:p>
    <w:p w14:paraId="3A474A47" w14:textId="77777777" w:rsidR="009B5E39" w:rsidRPr="00242957" w:rsidRDefault="009B5E39" w:rsidP="009B5E39">
      <w:pPr>
        <w:ind w:left="284" w:right="283"/>
        <w:jc w:val="both"/>
        <w:rPr>
          <w:rFonts w:ascii="Gotham" w:hAnsi="Gotham" w:cs="Arial"/>
          <w:b/>
          <w:sz w:val="19"/>
          <w:szCs w:val="19"/>
        </w:rPr>
      </w:pPr>
    </w:p>
    <w:p w14:paraId="3A474A48" w14:textId="77777777" w:rsidR="009B5E39" w:rsidRPr="00242957" w:rsidRDefault="009B5E39" w:rsidP="009B5E39">
      <w:pPr>
        <w:ind w:left="284" w:right="283"/>
        <w:jc w:val="both"/>
        <w:rPr>
          <w:rFonts w:ascii="Gotham" w:hAnsi="Gotham" w:cs="Arial"/>
          <w:b/>
          <w:sz w:val="19"/>
          <w:szCs w:val="19"/>
        </w:rPr>
      </w:pPr>
      <w:r w:rsidRPr="00242957">
        <w:rPr>
          <w:rFonts w:ascii="Gotham" w:hAnsi="Gotham" w:cs="Arial"/>
          <w:b/>
          <w:sz w:val="19"/>
          <w:szCs w:val="19"/>
        </w:rPr>
        <w:t>PRIMERO.</w:t>
      </w:r>
      <w:r w:rsidRPr="00242957">
        <w:rPr>
          <w:rFonts w:ascii="Gotham" w:hAnsi="Gotham" w:cs="Arial"/>
          <w:sz w:val="19"/>
          <w:szCs w:val="19"/>
        </w:rPr>
        <w:t xml:space="preserve"> Publíquense las reformas y adiciones en la Gaceta Municipal Tlahtolli de Tonalá, Jalisco.</w:t>
      </w:r>
    </w:p>
    <w:p w14:paraId="3A474A49" w14:textId="77777777" w:rsidR="009B5E39" w:rsidRDefault="009B5E39" w:rsidP="009B5E39">
      <w:pPr>
        <w:ind w:left="284" w:right="283"/>
        <w:jc w:val="both"/>
        <w:rPr>
          <w:rFonts w:ascii="Gotham" w:hAnsi="Gotham" w:cs="Arial"/>
          <w:b/>
          <w:sz w:val="19"/>
          <w:szCs w:val="19"/>
        </w:rPr>
      </w:pPr>
    </w:p>
    <w:p w14:paraId="3A474A4A" w14:textId="77777777" w:rsidR="009B5E39" w:rsidRPr="00242957" w:rsidRDefault="009B5E39" w:rsidP="009B5E39">
      <w:pPr>
        <w:ind w:left="284" w:right="283"/>
        <w:jc w:val="both"/>
        <w:rPr>
          <w:rFonts w:ascii="Gotham" w:hAnsi="Gotham" w:cs="Arial"/>
          <w:b/>
          <w:sz w:val="19"/>
          <w:szCs w:val="19"/>
        </w:rPr>
      </w:pPr>
      <w:r w:rsidRPr="00242957">
        <w:rPr>
          <w:rFonts w:ascii="Gotham" w:hAnsi="Gotham" w:cs="Arial"/>
          <w:b/>
          <w:sz w:val="19"/>
          <w:szCs w:val="19"/>
        </w:rPr>
        <w:t xml:space="preserve">SEGUNDO. </w:t>
      </w:r>
      <w:r w:rsidRPr="003D1DA7">
        <w:rPr>
          <w:rFonts w:ascii="Gotham" w:hAnsi="Gotham" w:cs="Arial"/>
          <w:sz w:val="19"/>
          <w:szCs w:val="19"/>
        </w:rPr>
        <w:t>Las reformas</w:t>
      </w:r>
      <w:r w:rsidRPr="00242957">
        <w:rPr>
          <w:rFonts w:ascii="Gotham" w:hAnsi="Gotham" w:cs="Arial"/>
          <w:sz w:val="19"/>
          <w:szCs w:val="19"/>
        </w:rPr>
        <w:t xml:space="preserve"> y adiciones entrarán en vigor al día siguiente de su publicación en la Gaceta Municipal Tlahtolli de Tonalá, Jalisco.</w:t>
      </w:r>
    </w:p>
    <w:p w14:paraId="3A474A4B" w14:textId="77777777" w:rsidR="009B5E39" w:rsidRDefault="009B5E39" w:rsidP="009B5E39">
      <w:pPr>
        <w:ind w:left="284" w:right="283"/>
        <w:jc w:val="both"/>
        <w:rPr>
          <w:rFonts w:ascii="Gotham" w:hAnsi="Gotham" w:cs="Arial"/>
          <w:b/>
          <w:sz w:val="19"/>
          <w:szCs w:val="19"/>
        </w:rPr>
      </w:pPr>
    </w:p>
    <w:p w14:paraId="3A474A4C"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 xml:space="preserve">TERCERO. </w:t>
      </w:r>
      <w:r w:rsidRPr="00242957">
        <w:rPr>
          <w:rFonts w:ascii="Gotham" w:hAnsi="Gotham" w:cs="Arial"/>
          <w:sz w:val="19"/>
          <w:szCs w:val="19"/>
        </w:rPr>
        <w:t>Quedan derogadas todas las disposiciones de orden municipal que se opongan o contravengan lo establecido en la reforma aprobada.</w:t>
      </w:r>
    </w:p>
    <w:p w14:paraId="3A474A4D" w14:textId="77777777" w:rsidR="009B5E39" w:rsidRDefault="009B5E39" w:rsidP="009B5E39">
      <w:pPr>
        <w:ind w:left="284" w:right="283"/>
        <w:jc w:val="both"/>
        <w:rPr>
          <w:rFonts w:ascii="Gotham" w:hAnsi="Gotham" w:cs="Arial"/>
          <w:b/>
          <w:sz w:val="19"/>
          <w:szCs w:val="19"/>
        </w:rPr>
      </w:pPr>
    </w:p>
    <w:p w14:paraId="3A474A4E"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CUARTO.</w:t>
      </w:r>
      <w:r w:rsidRPr="00242957">
        <w:rPr>
          <w:rFonts w:ascii="Gotham" w:hAnsi="Gotham" w:cs="Arial"/>
          <w:sz w:val="19"/>
          <w:szCs w:val="19"/>
        </w:rPr>
        <w:t xml:space="preserve"> Una vez publicada las reformas y adiciones remítanse, mediante oficio, un tanto de la misma al Congreso del Estado de Jalisco, para el cumplimiento de los efectos ordenados en el artículo 42, fracción VII, de la Ley del Gobierno y la Administración Pública Municipal del Estado de Jalisco.</w:t>
      </w:r>
    </w:p>
    <w:p w14:paraId="3A474A4F" w14:textId="77777777" w:rsidR="009B5E39" w:rsidRDefault="009B5E39" w:rsidP="009B5E39">
      <w:pPr>
        <w:ind w:left="284" w:right="283"/>
        <w:jc w:val="both"/>
        <w:rPr>
          <w:rFonts w:ascii="Gotham" w:hAnsi="Gotham" w:cs="Arial"/>
          <w:b/>
          <w:sz w:val="19"/>
          <w:szCs w:val="19"/>
        </w:rPr>
      </w:pPr>
    </w:p>
    <w:p w14:paraId="3A474A50" w14:textId="77777777" w:rsidR="009B5E39" w:rsidRPr="00242957" w:rsidRDefault="009B5E39" w:rsidP="009B5E39">
      <w:pPr>
        <w:ind w:left="284" w:right="283"/>
        <w:jc w:val="both"/>
        <w:rPr>
          <w:rFonts w:ascii="Gotham" w:hAnsi="Gotham" w:cs="Arial"/>
          <w:sz w:val="19"/>
          <w:szCs w:val="19"/>
        </w:rPr>
      </w:pPr>
      <w:r w:rsidRPr="00242957">
        <w:rPr>
          <w:rFonts w:ascii="Gotham" w:hAnsi="Gotham" w:cs="Arial"/>
          <w:b/>
          <w:sz w:val="19"/>
          <w:szCs w:val="19"/>
        </w:rPr>
        <w:t>QUINTO.</w:t>
      </w:r>
      <w:r w:rsidRPr="00242957">
        <w:rPr>
          <w:rFonts w:ascii="Gotham" w:hAnsi="Gotham" w:cs="Arial"/>
          <w:sz w:val="19"/>
          <w:szCs w:val="19"/>
        </w:rPr>
        <w:t xml:space="preserve"> La Dirección de Transparencia contará con un plazo de noventa días naturales, contados a partir de la publicación de la reforma aprobada, para garantizar el cumplimiento de lo establecido en el presente ordenamiento.</w:t>
      </w:r>
    </w:p>
    <w:p w14:paraId="3A474A51" w14:textId="77777777" w:rsidR="009B5E39" w:rsidRPr="009A3541" w:rsidRDefault="00883EC2" w:rsidP="009B5E39">
      <w:pPr>
        <w:jc w:val="both"/>
        <w:rPr>
          <w:rFonts w:ascii="Gotham" w:hAnsi="Gotham" w:cs="Arial"/>
          <w:sz w:val="20"/>
          <w:szCs w:val="20"/>
        </w:rPr>
      </w:pPr>
      <w:r>
        <w:rPr>
          <w:rFonts w:ascii="Gotham" w:hAnsi="Gotham" w:cs="Arial"/>
          <w:sz w:val="20"/>
          <w:szCs w:val="20"/>
        </w:rPr>
        <w:t xml:space="preserve"> </w:t>
      </w:r>
    </w:p>
    <w:p w14:paraId="3A474A52" w14:textId="77777777" w:rsidR="009B5E39" w:rsidRPr="009A3541" w:rsidRDefault="009B5E39" w:rsidP="009B5E39">
      <w:pPr>
        <w:jc w:val="both"/>
        <w:rPr>
          <w:rFonts w:ascii="Gotham" w:hAnsi="Gotham" w:cs="Arial"/>
          <w:b/>
          <w:sz w:val="20"/>
          <w:szCs w:val="20"/>
        </w:rPr>
      </w:pPr>
      <w:r w:rsidRPr="009A3541">
        <w:rPr>
          <w:rFonts w:ascii="Gotham" w:hAnsi="Gotham" w:cs="Arial"/>
          <w:b/>
          <w:sz w:val="20"/>
          <w:szCs w:val="20"/>
        </w:rPr>
        <w:t>Por lo que respecto al REGLAMENTO ASEO PÚBLICO PARA LA PREVENCIÓN Y GESTIÓN DE LOS RESIDUOS DEL MUNICIPIO DE TONALÁ, JALISCO, se propone lo siguiente:</w:t>
      </w:r>
    </w:p>
    <w:p w14:paraId="3A474A53" w14:textId="77777777" w:rsidR="009B5E39" w:rsidRPr="009A3541" w:rsidRDefault="009B5E39" w:rsidP="009B5E39">
      <w:pPr>
        <w:jc w:val="both"/>
        <w:rPr>
          <w:rFonts w:ascii="Gotham" w:hAnsi="Gotham" w:cs="Arial"/>
          <w:b/>
          <w:sz w:val="20"/>
          <w:szCs w:val="20"/>
        </w:rPr>
      </w:pPr>
    </w:p>
    <w:p w14:paraId="3A474A54" w14:textId="77777777" w:rsidR="009B5E39" w:rsidRPr="009A3541" w:rsidRDefault="009B5E39" w:rsidP="009B5E39">
      <w:pPr>
        <w:jc w:val="both"/>
        <w:rPr>
          <w:rFonts w:ascii="Gotham" w:hAnsi="Gotham" w:cs="Arial"/>
          <w:b/>
          <w:sz w:val="20"/>
          <w:szCs w:val="20"/>
        </w:rPr>
      </w:pPr>
      <w:r w:rsidRPr="009A3541">
        <w:rPr>
          <w:rFonts w:ascii="Gotham" w:hAnsi="Gotham" w:cs="Arial"/>
          <w:b/>
          <w:sz w:val="20"/>
          <w:szCs w:val="20"/>
        </w:rPr>
        <w:t>Agregar un capítulo completo, se propone sea el capítulo V, del Título Segundo denominado: De la Gestión Integral de Residuos, el cual quedaría de la siguiente manera:</w:t>
      </w:r>
    </w:p>
    <w:p w14:paraId="3A474A55" w14:textId="77777777" w:rsidR="009B5E39" w:rsidRPr="009A3541" w:rsidRDefault="009B5E39" w:rsidP="009B5E39">
      <w:pPr>
        <w:jc w:val="center"/>
        <w:rPr>
          <w:rFonts w:ascii="Gotham" w:hAnsi="Gotham" w:cs="Arial"/>
          <w:b/>
          <w:sz w:val="20"/>
          <w:szCs w:val="20"/>
        </w:rPr>
      </w:pPr>
    </w:p>
    <w:p w14:paraId="3A474A56" w14:textId="77777777" w:rsidR="009B5E39" w:rsidRPr="009A3541" w:rsidRDefault="009B5E39" w:rsidP="009B5E39">
      <w:pPr>
        <w:ind w:left="284" w:right="283"/>
        <w:jc w:val="center"/>
        <w:rPr>
          <w:rFonts w:ascii="Gotham" w:hAnsi="Gotham" w:cs="Arial"/>
          <w:b/>
          <w:sz w:val="19"/>
          <w:szCs w:val="19"/>
        </w:rPr>
      </w:pPr>
      <w:r w:rsidRPr="009A3541">
        <w:rPr>
          <w:rFonts w:ascii="Gotham" w:hAnsi="Gotham" w:cs="Arial"/>
          <w:b/>
          <w:sz w:val="19"/>
          <w:szCs w:val="19"/>
        </w:rPr>
        <w:t>CAPÍTULO V</w:t>
      </w:r>
    </w:p>
    <w:p w14:paraId="3A474A57" w14:textId="77777777" w:rsidR="009B5E39" w:rsidRPr="009A3541" w:rsidRDefault="009B5E39" w:rsidP="009B5E39">
      <w:pPr>
        <w:ind w:left="284" w:right="283"/>
        <w:jc w:val="center"/>
        <w:rPr>
          <w:rFonts w:ascii="Gotham" w:hAnsi="Gotham" w:cs="Arial"/>
          <w:b/>
          <w:sz w:val="19"/>
          <w:szCs w:val="19"/>
        </w:rPr>
      </w:pPr>
      <w:r w:rsidRPr="009A3541">
        <w:rPr>
          <w:rFonts w:ascii="Gotham" w:hAnsi="Gotham" w:cs="Arial"/>
          <w:b/>
          <w:sz w:val="19"/>
          <w:szCs w:val="19"/>
        </w:rPr>
        <w:t>INSTRUMENTOS DE POLÍTICA EN MATERIA DE RESIDUOS</w:t>
      </w:r>
    </w:p>
    <w:p w14:paraId="3A474A58" w14:textId="77777777" w:rsidR="009B5E39" w:rsidRPr="009A3541" w:rsidRDefault="009B5E39" w:rsidP="009B5E39">
      <w:pPr>
        <w:ind w:left="284" w:right="284"/>
        <w:jc w:val="center"/>
        <w:rPr>
          <w:rFonts w:ascii="Gotham" w:hAnsi="Gotham" w:cs="Arial"/>
          <w:b/>
          <w:sz w:val="19"/>
          <w:szCs w:val="19"/>
        </w:rPr>
      </w:pPr>
    </w:p>
    <w:p w14:paraId="3A474A59"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lastRenderedPageBreak/>
        <w:t>Artículo 45.</w:t>
      </w:r>
      <w:r w:rsidRPr="009A3541">
        <w:rPr>
          <w:rFonts w:ascii="Gotham" w:hAnsi="Gotham" w:cs="Arial"/>
          <w:sz w:val="19"/>
          <w:szCs w:val="19"/>
        </w:rPr>
        <w:t xml:space="preserve"> Son instrumentos de política en materia de residuos: </w:t>
      </w:r>
    </w:p>
    <w:p w14:paraId="3A474A5A" w14:textId="77777777" w:rsidR="009B5E39" w:rsidRDefault="009B5E39" w:rsidP="009B5E39">
      <w:pPr>
        <w:ind w:left="284" w:right="284"/>
        <w:jc w:val="both"/>
        <w:rPr>
          <w:rFonts w:ascii="Gotham" w:hAnsi="Gotham" w:cs="Arial"/>
          <w:sz w:val="19"/>
          <w:szCs w:val="19"/>
        </w:rPr>
      </w:pPr>
    </w:p>
    <w:p w14:paraId="3A474A5B"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 </w:t>
      </w:r>
      <w:r>
        <w:rPr>
          <w:rFonts w:ascii="Gotham" w:hAnsi="Gotham" w:cs="Arial"/>
          <w:sz w:val="19"/>
          <w:szCs w:val="19"/>
        </w:rPr>
        <w:tab/>
      </w:r>
      <w:r w:rsidRPr="009A3541">
        <w:rPr>
          <w:rFonts w:ascii="Gotham" w:hAnsi="Gotham" w:cs="Arial"/>
          <w:sz w:val="19"/>
          <w:szCs w:val="19"/>
        </w:rPr>
        <w:t>El Programa Municipal para la Prevención y Gestión Integral de los Residuos;</w:t>
      </w:r>
    </w:p>
    <w:p w14:paraId="3A474A5C"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 </w:t>
      </w:r>
      <w:r>
        <w:rPr>
          <w:rFonts w:ascii="Gotham" w:hAnsi="Gotham" w:cs="Arial"/>
          <w:sz w:val="19"/>
          <w:szCs w:val="19"/>
        </w:rPr>
        <w:tab/>
      </w:r>
      <w:r w:rsidRPr="009A3541">
        <w:rPr>
          <w:rFonts w:ascii="Gotham" w:hAnsi="Gotham" w:cs="Arial"/>
          <w:sz w:val="19"/>
          <w:szCs w:val="19"/>
        </w:rPr>
        <w:t>Los Planes de manejo de residuos;</w:t>
      </w:r>
    </w:p>
    <w:p w14:paraId="3A474A5D"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III. </w:t>
      </w:r>
      <w:r>
        <w:rPr>
          <w:rFonts w:ascii="Gotham" w:hAnsi="Gotham" w:cs="Arial"/>
          <w:sz w:val="19"/>
          <w:szCs w:val="19"/>
        </w:rPr>
        <w:tab/>
      </w:r>
      <w:r w:rsidRPr="009A3541">
        <w:rPr>
          <w:rFonts w:ascii="Gotham" w:hAnsi="Gotham" w:cs="Arial"/>
          <w:sz w:val="19"/>
          <w:szCs w:val="19"/>
        </w:rPr>
        <w:t xml:space="preserve">La participación social; </w:t>
      </w:r>
    </w:p>
    <w:p w14:paraId="3A474A5E"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IV. </w:t>
      </w:r>
      <w:r>
        <w:rPr>
          <w:rFonts w:ascii="Gotham" w:hAnsi="Gotham" w:cs="Arial"/>
          <w:sz w:val="19"/>
          <w:szCs w:val="19"/>
        </w:rPr>
        <w:tab/>
      </w:r>
      <w:r w:rsidRPr="009A3541">
        <w:rPr>
          <w:rFonts w:ascii="Gotham" w:hAnsi="Gotham" w:cs="Arial"/>
          <w:sz w:val="19"/>
          <w:szCs w:val="19"/>
        </w:rPr>
        <w:t xml:space="preserve">El derecho a la información; </w:t>
      </w:r>
    </w:p>
    <w:p w14:paraId="3A474A5F"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V. </w:t>
      </w:r>
      <w:r>
        <w:rPr>
          <w:rFonts w:ascii="Gotham" w:hAnsi="Gotham" w:cs="Arial"/>
          <w:sz w:val="19"/>
          <w:szCs w:val="19"/>
        </w:rPr>
        <w:tab/>
      </w:r>
      <w:r w:rsidRPr="009A3541">
        <w:rPr>
          <w:rFonts w:ascii="Gotham" w:hAnsi="Gotham" w:cs="Arial"/>
          <w:sz w:val="19"/>
          <w:szCs w:val="19"/>
        </w:rPr>
        <w:t xml:space="preserve">La educación ambiental; y </w:t>
      </w:r>
    </w:p>
    <w:p w14:paraId="3A474A60" w14:textId="77777777" w:rsidR="009B5E39" w:rsidRPr="009A3541" w:rsidRDefault="009B5E39" w:rsidP="009B5E39">
      <w:pPr>
        <w:ind w:left="1134" w:right="284" w:hanging="850"/>
        <w:jc w:val="both"/>
        <w:rPr>
          <w:rFonts w:ascii="Gotham" w:hAnsi="Gotham" w:cs="Arial"/>
          <w:sz w:val="19"/>
          <w:szCs w:val="19"/>
        </w:rPr>
      </w:pPr>
      <w:r w:rsidRPr="009A3541">
        <w:rPr>
          <w:rFonts w:ascii="Gotham" w:hAnsi="Gotham" w:cs="Arial"/>
          <w:sz w:val="19"/>
          <w:szCs w:val="19"/>
        </w:rPr>
        <w:t xml:space="preserve">VI. </w:t>
      </w:r>
      <w:r>
        <w:rPr>
          <w:rFonts w:ascii="Gotham" w:hAnsi="Gotham" w:cs="Arial"/>
          <w:sz w:val="19"/>
          <w:szCs w:val="19"/>
        </w:rPr>
        <w:tab/>
      </w:r>
      <w:r w:rsidRPr="009A3541">
        <w:rPr>
          <w:rFonts w:ascii="Gotham" w:hAnsi="Gotham" w:cs="Arial"/>
          <w:sz w:val="19"/>
          <w:szCs w:val="19"/>
        </w:rPr>
        <w:t xml:space="preserve">La promoción de la inversión privada y/o social para la instalación de infraestructura para el manejo de los residuos especiales. </w:t>
      </w:r>
    </w:p>
    <w:p w14:paraId="3A474A61" w14:textId="77777777" w:rsidR="009B5E39" w:rsidRDefault="009B5E39" w:rsidP="009B5E39">
      <w:pPr>
        <w:ind w:left="284" w:right="284"/>
        <w:jc w:val="both"/>
        <w:rPr>
          <w:rFonts w:ascii="Gotham" w:hAnsi="Gotham" w:cs="Arial"/>
          <w:b/>
          <w:sz w:val="19"/>
          <w:szCs w:val="19"/>
        </w:rPr>
      </w:pPr>
    </w:p>
    <w:p w14:paraId="3A474A62"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t>Artículo 46.</w:t>
      </w:r>
      <w:r w:rsidRPr="009A3541">
        <w:rPr>
          <w:rFonts w:ascii="Gotham" w:hAnsi="Gotham" w:cs="Arial"/>
          <w:sz w:val="19"/>
          <w:szCs w:val="19"/>
        </w:rPr>
        <w:t xml:space="preserve"> El Municipio en el ámbito de su competencia elaborará e instrumentará el programa municipal para la prevención y gestión integral de los residuos. Este programa deberá contener al menos lo siguiente:</w:t>
      </w:r>
    </w:p>
    <w:p w14:paraId="3A474A63" w14:textId="77777777" w:rsidR="009B5E39" w:rsidRDefault="009B5E39" w:rsidP="009B5E39">
      <w:pPr>
        <w:ind w:left="284" w:right="284"/>
        <w:jc w:val="both"/>
        <w:rPr>
          <w:rFonts w:ascii="Gotham" w:hAnsi="Gotham" w:cs="Arial"/>
          <w:sz w:val="19"/>
          <w:szCs w:val="19"/>
        </w:rPr>
      </w:pPr>
    </w:p>
    <w:p w14:paraId="3A474A64"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 </w:t>
      </w:r>
      <w:r>
        <w:rPr>
          <w:rFonts w:ascii="Gotham" w:hAnsi="Gotham" w:cs="Arial"/>
          <w:sz w:val="19"/>
          <w:szCs w:val="19"/>
        </w:rPr>
        <w:tab/>
      </w:r>
      <w:r w:rsidRPr="009A3541">
        <w:rPr>
          <w:rFonts w:ascii="Gotham" w:hAnsi="Gotham" w:cs="Arial"/>
          <w:sz w:val="19"/>
          <w:szCs w:val="19"/>
        </w:rPr>
        <w:t>El diagnóstico básico para la gestión integral de residuos de su competencia, en el que se precise la capacidad y efectividad de la infraestructura disponible para satisfacer la demanda de servicios;</w:t>
      </w:r>
    </w:p>
    <w:p w14:paraId="3A474A65"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 </w:t>
      </w:r>
      <w:r>
        <w:rPr>
          <w:rFonts w:ascii="Gotham" w:hAnsi="Gotham" w:cs="Arial"/>
          <w:sz w:val="19"/>
          <w:szCs w:val="19"/>
        </w:rPr>
        <w:tab/>
      </w:r>
      <w:r w:rsidRPr="009A3541">
        <w:rPr>
          <w:rFonts w:ascii="Gotham" w:hAnsi="Gotham" w:cs="Arial"/>
          <w:sz w:val="19"/>
          <w:szCs w:val="19"/>
        </w:rPr>
        <w:t>La política en materia de residuos sólidos urbanos y de manejo especial;</w:t>
      </w:r>
    </w:p>
    <w:p w14:paraId="3A474A66"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III. </w:t>
      </w:r>
      <w:r>
        <w:rPr>
          <w:rFonts w:ascii="Gotham" w:hAnsi="Gotham" w:cs="Arial"/>
          <w:sz w:val="19"/>
          <w:szCs w:val="19"/>
        </w:rPr>
        <w:tab/>
      </w:r>
      <w:r w:rsidRPr="009A3541">
        <w:rPr>
          <w:rFonts w:ascii="Gotham" w:hAnsi="Gotham" w:cs="Arial"/>
          <w:sz w:val="19"/>
          <w:szCs w:val="19"/>
        </w:rPr>
        <w:t xml:space="preserve">La definición de objetivos y metas locales para la prevención de la generación y el mejoramiento de la gestión de los residuos sólidos urbanos y de manejo especial, así como las estrategias y plazos para su cumplimiento; </w:t>
      </w:r>
    </w:p>
    <w:p w14:paraId="3A474A67"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IV. </w:t>
      </w:r>
      <w:r>
        <w:rPr>
          <w:rFonts w:ascii="Gotham" w:hAnsi="Gotham" w:cs="Arial"/>
          <w:sz w:val="19"/>
          <w:szCs w:val="19"/>
        </w:rPr>
        <w:tab/>
      </w:r>
      <w:r w:rsidRPr="009A3541">
        <w:rPr>
          <w:rFonts w:ascii="Gotham" w:hAnsi="Gotham" w:cs="Arial"/>
          <w:sz w:val="19"/>
          <w:szCs w:val="19"/>
        </w:rPr>
        <w:t xml:space="preserve">Los medios de financiamiento de las acciones consideradas en los programas; </w:t>
      </w:r>
    </w:p>
    <w:p w14:paraId="3A474A68"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V. </w:t>
      </w:r>
      <w:r>
        <w:rPr>
          <w:rFonts w:ascii="Gotham" w:hAnsi="Gotham" w:cs="Arial"/>
          <w:sz w:val="19"/>
          <w:szCs w:val="19"/>
        </w:rPr>
        <w:tab/>
      </w:r>
      <w:r w:rsidRPr="009A3541">
        <w:rPr>
          <w:rFonts w:ascii="Gotham" w:hAnsi="Gotham" w:cs="Arial"/>
          <w:sz w:val="19"/>
          <w:szCs w:val="19"/>
        </w:rPr>
        <w:t xml:space="preserve">Los mecanismos para fomentar la vinculación entre los programas municipales correspondientes, a fin de crear sinergias; y </w:t>
      </w:r>
    </w:p>
    <w:p w14:paraId="3A474A69" w14:textId="77777777" w:rsidR="009B5E39" w:rsidRPr="009A3541" w:rsidRDefault="009B5E39" w:rsidP="009B5E39">
      <w:pPr>
        <w:ind w:left="1134" w:right="284" w:hanging="850"/>
        <w:jc w:val="both"/>
        <w:rPr>
          <w:rFonts w:ascii="Gotham" w:hAnsi="Gotham" w:cs="Arial"/>
          <w:sz w:val="19"/>
          <w:szCs w:val="19"/>
        </w:rPr>
      </w:pPr>
      <w:r w:rsidRPr="009A3541">
        <w:rPr>
          <w:rFonts w:ascii="Gotham" w:hAnsi="Gotham" w:cs="Arial"/>
          <w:sz w:val="19"/>
          <w:szCs w:val="19"/>
        </w:rPr>
        <w:t xml:space="preserve">VI. </w:t>
      </w:r>
      <w:r>
        <w:rPr>
          <w:rFonts w:ascii="Gotham" w:hAnsi="Gotham" w:cs="Arial"/>
          <w:sz w:val="19"/>
          <w:szCs w:val="19"/>
        </w:rPr>
        <w:tab/>
      </w:r>
      <w:r w:rsidRPr="009A3541">
        <w:rPr>
          <w:rFonts w:ascii="Gotham" w:hAnsi="Gotham" w:cs="Arial"/>
          <w:sz w:val="19"/>
          <w:szCs w:val="19"/>
        </w:rPr>
        <w:t xml:space="preserve">La asistencia técnica que en su caso requiera. </w:t>
      </w:r>
    </w:p>
    <w:p w14:paraId="3A474A6A" w14:textId="77777777" w:rsidR="009B5E39" w:rsidRDefault="009B5E39" w:rsidP="009B5E39">
      <w:pPr>
        <w:ind w:left="284" w:right="284"/>
        <w:jc w:val="both"/>
        <w:rPr>
          <w:rFonts w:ascii="Gotham" w:hAnsi="Gotham" w:cs="Arial"/>
          <w:b/>
          <w:sz w:val="19"/>
          <w:szCs w:val="19"/>
        </w:rPr>
      </w:pPr>
    </w:p>
    <w:p w14:paraId="3A474A6B"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t>Artículo 47.</w:t>
      </w:r>
      <w:r w:rsidRPr="009A3541">
        <w:rPr>
          <w:rFonts w:ascii="Gotham" w:hAnsi="Gotham" w:cs="Arial"/>
          <w:sz w:val="19"/>
          <w:szCs w:val="19"/>
        </w:rPr>
        <w:t xml:space="preserve"> Los planes municipales de manejo de residuos, tendrán los siguientes fines: </w:t>
      </w:r>
    </w:p>
    <w:p w14:paraId="3A474A6C" w14:textId="77777777" w:rsidR="009B5E39" w:rsidRDefault="009B5E39" w:rsidP="009B5E39">
      <w:pPr>
        <w:ind w:left="284" w:right="284"/>
        <w:jc w:val="both"/>
        <w:rPr>
          <w:rFonts w:ascii="Gotham" w:hAnsi="Gotham" w:cs="Arial"/>
          <w:sz w:val="19"/>
          <w:szCs w:val="19"/>
        </w:rPr>
      </w:pPr>
    </w:p>
    <w:p w14:paraId="3A474A6D"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 </w:t>
      </w:r>
      <w:r>
        <w:rPr>
          <w:rFonts w:ascii="Gotham" w:hAnsi="Gotham" w:cs="Arial"/>
          <w:sz w:val="19"/>
          <w:szCs w:val="19"/>
        </w:rPr>
        <w:tab/>
      </w:r>
      <w:r w:rsidRPr="009A3541">
        <w:rPr>
          <w:rFonts w:ascii="Gotham" w:hAnsi="Gotham" w:cs="Arial"/>
          <w:sz w:val="19"/>
          <w:szCs w:val="19"/>
        </w:rPr>
        <w:t>Promover la prevención de la generación y la valorización de los residuos sólidos urbanos y de manejo especial, así como su manejo integral, a través de medidas que reduzcan los costos de su administración, faciliten y hagan más efectivos, desde la perspectiva ambiental, tecnológica, económica y social;</w:t>
      </w:r>
    </w:p>
    <w:p w14:paraId="3A474A6E"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 </w:t>
      </w:r>
      <w:r>
        <w:rPr>
          <w:rFonts w:ascii="Gotham" w:hAnsi="Gotham" w:cs="Arial"/>
          <w:sz w:val="19"/>
          <w:szCs w:val="19"/>
        </w:rPr>
        <w:tab/>
      </w:r>
      <w:r w:rsidRPr="009A3541">
        <w:rPr>
          <w:rFonts w:ascii="Gotham" w:hAnsi="Gotham" w:cs="Arial"/>
          <w:sz w:val="19"/>
          <w:szCs w:val="19"/>
        </w:rPr>
        <w:t xml:space="preserve">Establecer modalidades de manejo que respondan a las particularidades de los residuos y de los materiales que los constituyan; </w:t>
      </w:r>
    </w:p>
    <w:p w14:paraId="3A474A6F"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III. </w:t>
      </w:r>
      <w:r>
        <w:rPr>
          <w:rFonts w:ascii="Gotham" w:hAnsi="Gotham" w:cs="Arial"/>
          <w:sz w:val="19"/>
          <w:szCs w:val="19"/>
        </w:rPr>
        <w:tab/>
      </w:r>
      <w:r w:rsidRPr="009A3541">
        <w:rPr>
          <w:rFonts w:ascii="Gotham" w:hAnsi="Gotham" w:cs="Arial"/>
          <w:sz w:val="19"/>
          <w:szCs w:val="19"/>
        </w:rPr>
        <w:t xml:space="preserve">Atender a las necesidades específicas de ciertos generadores que presentan características peculiares; </w:t>
      </w:r>
    </w:p>
    <w:p w14:paraId="3A474A70"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IV. </w:t>
      </w:r>
      <w:r>
        <w:rPr>
          <w:rFonts w:ascii="Gotham" w:hAnsi="Gotham" w:cs="Arial"/>
          <w:sz w:val="19"/>
          <w:szCs w:val="19"/>
        </w:rPr>
        <w:tab/>
      </w:r>
      <w:r w:rsidRPr="009A3541">
        <w:rPr>
          <w:rFonts w:ascii="Gotham" w:hAnsi="Gotham" w:cs="Arial"/>
          <w:sz w:val="19"/>
          <w:szCs w:val="19"/>
        </w:rPr>
        <w:t xml:space="preserve">Establecer esquemas de manejo en los que aplique el principio de responsabilidad compartida de los distintos sectores involucrados; y </w:t>
      </w:r>
    </w:p>
    <w:p w14:paraId="3A474A71" w14:textId="77777777" w:rsidR="009B5E39" w:rsidRPr="009A3541" w:rsidRDefault="009B5E39" w:rsidP="009B5E39">
      <w:pPr>
        <w:ind w:left="1134" w:right="284" w:hanging="850"/>
        <w:jc w:val="both"/>
        <w:rPr>
          <w:rFonts w:ascii="Gotham" w:hAnsi="Gotham" w:cs="Arial"/>
          <w:sz w:val="19"/>
          <w:szCs w:val="19"/>
        </w:rPr>
      </w:pPr>
      <w:r w:rsidRPr="009A3541">
        <w:rPr>
          <w:rFonts w:ascii="Gotham" w:hAnsi="Gotham" w:cs="Arial"/>
          <w:sz w:val="19"/>
          <w:szCs w:val="19"/>
        </w:rPr>
        <w:t xml:space="preserve">V. </w:t>
      </w:r>
      <w:r>
        <w:rPr>
          <w:rFonts w:ascii="Gotham" w:hAnsi="Gotham" w:cs="Arial"/>
          <w:sz w:val="19"/>
          <w:szCs w:val="19"/>
        </w:rPr>
        <w:tab/>
      </w:r>
      <w:r w:rsidRPr="009A3541">
        <w:rPr>
          <w:rFonts w:ascii="Gotham" w:hAnsi="Gotham" w:cs="Arial"/>
          <w:sz w:val="19"/>
          <w:szCs w:val="19"/>
        </w:rPr>
        <w:t xml:space="preserve">Alentar la innovación de procesos, métodos y tecnologías, para lograr un manejo integral de los residuos, que sea económicamente factible. </w:t>
      </w:r>
    </w:p>
    <w:p w14:paraId="3A474A72" w14:textId="77777777" w:rsidR="009B5E39" w:rsidRDefault="009B5E39" w:rsidP="009B5E39">
      <w:pPr>
        <w:ind w:left="284" w:right="284"/>
        <w:jc w:val="both"/>
        <w:rPr>
          <w:rFonts w:ascii="Gotham" w:hAnsi="Gotham" w:cs="Arial"/>
          <w:b/>
          <w:sz w:val="19"/>
          <w:szCs w:val="19"/>
        </w:rPr>
      </w:pPr>
    </w:p>
    <w:p w14:paraId="3A474A73"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t>Artículo 48.</w:t>
      </w:r>
      <w:r w:rsidRPr="009A3541">
        <w:rPr>
          <w:rFonts w:ascii="Gotham" w:hAnsi="Gotham" w:cs="Arial"/>
          <w:sz w:val="19"/>
          <w:szCs w:val="19"/>
        </w:rPr>
        <w:t xml:space="preserve"> Estarán obligados a la formulación y ejecución de los planes de manejo, según corresponda: </w:t>
      </w:r>
    </w:p>
    <w:p w14:paraId="3A474A74" w14:textId="77777777" w:rsidR="009B5E39" w:rsidRDefault="009B5E39" w:rsidP="009B5E39">
      <w:pPr>
        <w:ind w:left="284" w:right="284"/>
        <w:jc w:val="both"/>
        <w:rPr>
          <w:rFonts w:ascii="Gotham" w:hAnsi="Gotham" w:cs="Arial"/>
          <w:sz w:val="19"/>
          <w:szCs w:val="19"/>
        </w:rPr>
      </w:pPr>
    </w:p>
    <w:p w14:paraId="3A474A75"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 </w:t>
      </w:r>
      <w:r>
        <w:rPr>
          <w:rFonts w:ascii="Gotham" w:hAnsi="Gotham" w:cs="Arial"/>
          <w:sz w:val="19"/>
          <w:szCs w:val="19"/>
        </w:rPr>
        <w:tab/>
      </w:r>
      <w:r w:rsidRPr="009A3541">
        <w:rPr>
          <w:rFonts w:ascii="Gotham" w:hAnsi="Gotham" w:cs="Arial"/>
          <w:sz w:val="19"/>
          <w:szCs w:val="19"/>
        </w:rPr>
        <w:t xml:space="preserve">Los grandes generadores y los productores, importadores, exportadores y distribuidores de los productos que al desecharse se convierten en residuos sólidos urbanos o de manejo </w:t>
      </w:r>
      <w:r w:rsidRPr="009A3541">
        <w:rPr>
          <w:rFonts w:ascii="Gotham" w:hAnsi="Gotham" w:cs="Arial"/>
          <w:sz w:val="19"/>
          <w:szCs w:val="19"/>
        </w:rPr>
        <w:lastRenderedPageBreak/>
        <w:t xml:space="preserve">especial que se incluyan en los listados de residuos sujetos a planes de manejo de conformidad con las Normas Oficiales Mexicanas correspondientes; y </w:t>
      </w:r>
    </w:p>
    <w:p w14:paraId="3A474A76" w14:textId="77777777" w:rsidR="009B5E39" w:rsidRPr="009A3541" w:rsidRDefault="009B5E39" w:rsidP="009B5E39">
      <w:pPr>
        <w:ind w:left="1134" w:right="284" w:hanging="850"/>
        <w:jc w:val="both"/>
        <w:rPr>
          <w:rFonts w:ascii="Gotham" w:hAnsi="Gotham" w:cs="Arial"/>
          <w:sz w:val="19"/>
          <w:szCs w:val="19"/>
        </w:rPr>
      </w:pPr>
      <w:r w:rsidRPr="009A3541">
        <w:rPr>
          <w:rFonts w:ascii="Gotham" w:hAnsi="Gotham" w:cs="Arial"/>
          <w:sz w:val="19"/>
          <w:szCs w:val="19"/>
        </w:rPr>
        <w:t xml:space="preserve">II. </w:t>
      </w:r>
      <w:r>
        <w:rPr>
          <w:rFonts w:ascii="Gotham" w:hAnsi="Gotham" w:cs="Arial"/>
          <w:sz w:val="19"/>
          <w:szCs w:val="19"/>
        </w:rPr>
        <w:tab/>
      </w:r>
      <w:r w:rsidRPr="009A3541">
        <w:rPr>
          <w:rFonts w:ascii="Gotham" w:hAnsi="Gotham" w:cs="Arial"/>
          <w:sz w:val="19"/>
          <w:szCs w:val="19"/>
        </w:rPr>
        <w:t xml:space="preserve">Los generadores de residuos biológicos infecciosos. </w:t>
      </w:r>
    </w:p>
    <w:p w14:paraId="3A474A77" w14:textId="77777777" w:rsidR="009B5E39" w:rsidRDefault="009B5E39" w:rsidP="009B5E39">
      <w:pPr>
        <w:ind w:left="284" w:right="284"/>
        <w:jc w:val="both"/>
        <w:rPr>
          <w:rFonts w:ascii="Gotham" w:hAnsi="Gotham" w:cs="Arial"/>
          <w:b/>
          <w:sz w:val="19"/>
          <w:szCs w:val="19"/>
        </w:rPr>
      </w:pPr>
    </w:p>
    <w:p w14:paraId="3A474A78"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t>Artículo 49.</w:t>
      </w:r>
      <w:r w:rsidRPr="009A3541">
        <w:rPr>
          <w:rFonts w:ascii="Gotham" w:hAnsi="Gotham" w:cs="Arial"/>
          <w:sz w:val="19"/>
          <w:szCs w:val="19"/>
        </w:rPr>
        <w:t xml:space="preserve"> Los planes de manejo aplicables a productos de consumo que al desecharse se convierten en residuos, deberán considerar, entre otros, los siguientes aspectos:</w:t>
      </w:r>
    </w:p>
    <w:p w14:paraId="3A474A79" w14:textId="77777777" w:rsidR="009B5E39" w:rsidRDefault="009B5E39" w:rsidP="009B5E39">
      <w:pPr>
        <w:ind w:left="284" w:right="284"/>
        <w:jc w:val="both"/>
        <w:rPr>
          <w:rFonts w:ascii="Gotham" w:hAnsi="Gotham" w:cs="Arial"/>
          <w:sz w:val="19"/>
          <w:szCs w:val="19"/>
        </w:rPr>
      </w:pPr>
    </w:p>
    <w:p w14:paraId="3A474A7A"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 </w:t>
      </w:r>
      <w:r>
        <w:rPr>
          <w:rFonts w:ascii="Gotham" w:hAnsi="Gotham" w:cs="Arial"/>
          <w:sz w:val="19"/>
          <w:szCs w:val="19"/>
        </w:rPr>
        <w:tab/>
      </w:r>
      <w:r w:rsidRPr="009A3541">
        <w:rPr>
          <w:rFonts w:ascii="Gotham" w:hAnsi="Gotham" w:cs="Arial"/>
          <w:sz w:val="19"/>
          <w:szCs w:val="19"/>
        </w:rPr>
        <w:t xml:space="preserve">Los procedimientos para su acopio, almacenamiento, transporte y envío a reciclaje, tratamiento o disposición final, que se prevén utilizar; </w:t>
      </w:r>
    </w:p>
    <w:p w14:paraId="3A474A7B"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 </w:t>
      </w:r>
      <w:r>
        <w:rPr>
          <w:rFonts w:ascii="Gotham" w:hAnsi="Gotham" w:cs="Arial"/>
          <w:sz w:val="19"/>
          <w:szCs w:val="19"/>
        </w:rPr>
        <w:tab/>
      </w:r>
      <w:r w:rsidRPr="009A3541">
        <w:rPr>
          <w:rFonts w:ascii="Gotham" w:hAnsi="Gotham" w:cs="Arial"/>
          <w:sz w:val="19"/>
          <w:szCs w:val="19"/>
        </w:rPr>
        <w:t xml:space="preserve">Las estrategias y medios a través de los cuales se comunicará a los consumidores, las acciones que éstos deben realizar para devolver los productos del listado a los proveedores o a los centros de acopio destinados para tal fin, según corresponda; </w:t>
      </w:r>
    </w:p>
    <w:p w14:paraId="3A474A7C"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III. </w:t>
      </w:r>
      <w:r>
        <w:rPr>
          <w:rFonts w:ascii="Gotham" w:hAnsi="Gotham" w:cs="Arial"/>
          <w:sz w:val="19"/>
          <w:szCs w:val="19"/>
        </w:rPr>
        <w:tab/>
      </w:r>
      <w:r w:rsidRPr="009A3541">
        <w:rPr>
          <w:rFonts w:ascii="Gotham" w:hAnsi="Gotham" w:cs="Arial"/>
          <w:sz w:val="19"/>
          <w:szCs w:val="19"/>
        </w:rPr>
        <w:t>Los procedimientos mediante los cuales se darán a conocer a los consumidores las precauciones que, en su caso, deban de adoptar en el manejo de los productos que devolverán a los proveedores, a fin de prevenir o reducir riesgos; y</w:t>
      </w:r>
    </w:p>
    <w:p w14:paraId="3A474A7D" w14:textId="77777777" w:rsidR="009B5E39" w:rsidRPr="009A3541" w:rsidRDefault="009B5E39" w:rsidP="009B5E39">
      <w:pPr>
        <w:ind w:left="1134" w:right="284" w:hanging="850"/>
        <w:jc w:val="both"/>
        <w:rPr>
          <w:rFonts w:ascii="Gotham" w:hAnsi="Gotham" w:cs="Arial"/>
          <w:sz w:val="19"/>
          <w:szCs w:val="19"/>
        </w:rPr>
      </w:pPr>
      <w:r w:rsidRPr="009A3541">
        <w:rPr>
          <w:rFonts w:ascii="Gotham" w:hAnsi="Gotham" w:cs="Arial"/>
          <w:sz w:val="19"/>
          <w:szCs w:val="19"/>
        </w:rPr>
        <w:t xml:space="preserve">IV. </w:t>
      </w:r>
      <w:r>
        <w:rPr>
          <w:rFonts w:ascii="Gotham" w:hAnsi="Gotham" w:cs="Arial"/>
          <w:sz w:val="19"/>
          <w:szCs w:val="19"/>
        </w:rPr>
        <w:tab/>
      </w:r>
      <w:r w:rsidRPr="009A3541">
        <w:rPr>
          <w:rFonts w:ascii="Gotham" w:hAnsi="Gotham" w:cs="Arial"/>
          <w:sz w:val="19"/>
          <w:szCs w:val="19"/>
        </w:rPr>
        <w:t>Los responsables y las partes que intervengan en su formulación y ejecución.</w:t>
      </w:r>
    </w:p>
    <w:p w14:paraId="3A474A7E" w14:textId="77777777" w:rsidR="009B5E39" w:rsidRDefault="009B5E39" w:rsidP="009B5E39">
      <w:pPr>
        <w:ind w:left="284" w:right="284"/>
        <w:jc w:val="both"/>
        <w:rPr>
          <w:rFonts w:ascii="Gotham" w:hAnsi="Gotham" w:cs="Arial"/>
          <w:sz w:val="19"/>
          <w:szCs w:val="19"/>
        </w:rPr>
      </w:pPr>
    </w:p>
    <w:p w14:paraId="3A474A7F"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sz w:val="19"/>
          <w:szCs w:val="19"/>
        </w:rPr>
        <w:t xml:space="preserve">En todo caso, al formular los planes de manejo aplicables a productos de consumo, se evitará establecer barreras técnicas innecesarias al comercio o un trato discriminatorio que afecte su comercialización. </w:t>
      </w:r>
    </w:p>
    <w:p w14:paraId="3A474A80" w14:textId="77777777" w:rsidR="009B5E39" w:rsidRDefault="009B5E39" w:rsidP="009B5E39">
      <w:pPr>
        <w:ind w:left="284" w:right="284"/>
        <w:jc w:val="both"/>
        <w:rPr>
          <w:rFonts w:ascii="Gotham" w:hAnsi="Gotham" w:cs="Arial"/>
          <w:b/>
          <w:sz w:val="19"/>
          <w:szCs w:val="19"/>
        </w:rPr>
      </w:pPr>
    </w:p>
    <w:p w14:paraId="3A474A81"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t>Artículo 50.</w:t>
      </w:r>
      <w:r w:rsidRPr="009A3541">
        <w:rPr>
          <w:rFonts w:ascii="Gotham" w:hAnsi="Gotham" w:cs="Arial"/>
          <w:sz w:val="19"/>
          <w:szCs w:val="19"/>
        </w:rPr>
        <w:t xml:space="preserve"> Las empresas o establecimientos responsables de los planes de manejo tendrán obligación de presentar, para su registro a la autoridad municipal los residuos de manejo especial, los biológicos infecciosos y los residuos sólidos urbanos, de conformidad con lo dispuesto en este Reglamento. </w:t>
      </w:r>
    </w:p>
    <w:p w14:paraId="3A474A82" w14:textId="77777777" w:rsidR="009B5E39" w:rsidRDefault="009B5E39" w:rsidP="009B5E39">
      <w:pPr>
        <w:ind w:left="284" w:right="284"/>
        <w:jc w:val="both"/>
        <w:rPr>
          <w:rFonts w:ascii="Gotham" w:hAnsi="Gotham" w:cs="Arial"/>
          <w:b/>
          <w:sz w:val="19"/>
          <w:szCs w:val="19"/>
        </w:rPr>
      </w:pPr>
    </w:p>
    <w:p w14:paraId="3A474A83"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t>Artículo 51.</w:t>
      </w:r>
      <w:r w:rsidRPr="009A3541">
        <w:rPr>
          <w:rFonts w:ascii="Gotham" w:hAnsi="Gotham" w:cs="Arial"/>
          <w:sz w:val="19"/>
          <w:szCs w:val="19"/>
        </w:rPr>
        <w:t xml:space="preserve"> El gobierno municipal, en la esfera de su competencia, promoverá la participación de todos los sectores de la sociedad en la prevención de la generación, la valorización y gestión integral de residuos, para lo cual:</w:t>
      </w:r>
    </w:p>
    <w:p w14:paraId="3A474A84" w14:textId="77777777" w:rsidR="009B5E39" w:rsidRDefault="009B5E39" w:rsidP="009B5E39">
      <w:pPr>
        <w:ind w:left="284" w:right="284"/>
        <w:jc w:val="both"/>
        <w:rPr>
          <w:rFonts w:ascii="Gotham" w:hAnsi="Gotham" w:cs="Arial"/>
          <w:sz w:val="19"/>
          <w:szCs w:val="19"/>
        </w:rPr>
      </w:pPr>
    </w:p>
    <w:p w14:paraId="3A474A85"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 </w:t>
      </w:r>
      <w:r>
        <w:rPr>
          <w:rFonts w:ascii="Gotham" w:hAnsi="Gotham" w:cs="Arial"/>
          <w:sz w:val="19"/>
          <w:szCs w:val="19"/>
        </w:rPr>
        <w:tab/>
      </w:r>
      <w:r w:rsidRPr="009A3541">
        <w:rPr>
          <w:rFonts w:ascii="Gotham" w:hAnsi="Gotham" w:cs="Arial"/>
          <w:sz w:val="19"/>
          <w:szCs w:val="19"/>
        </w:rPr>
        <w:t xml:space="preserve">Convocarán a los grupos sociales organizados a participar en proyectos destinados a generar la información necesaria para sustentar programas de gestión integral de residuos; </w:t>
      </w:r>
    </w:p>
    <w:p w14:paraId="3A474A86"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 </w:t>
      </w:r>
      <w:r>
        <w:rPr>
          <w:rFonts w:ascii="Gotham" w:hAnsi="Gotham" w:cs="Arial"/>
          <w:sz w:val="19"/>
          <w:szCs w:val="19"/>
        </w:rPr>
        <w:tab/>
      </w:r>
      <w:r w:rsidRPr="009A3541">
        <w:rPr>
          <w:rFonts w:ascii="Gotham" w:hAnsi="Gotham" w:cs="Arial"/>
          <w:sz w:val="19"/>
          <w:szCs w:val="19"/>
        </w:rPr>
        <w:t xml:space="preserve">Celebrarán convenios de concertación con organizaciones sociales y privadas en la materia objeto del presente Reglamento; </w:t>
      </w:r>
    </w:p>
    <w:p w14:paraId="3A474A87"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III. </w:t>
      </w:r>
      <w:r>
        <w:rPr>
          <w:rFonts w:ascii="Gotham" w:hAnsi="Gotham" w:cs="Arial"/>
          <w:sz w:val="19"/>
          <w:szCs w:val="19"/>
        </w:rPr>
        <w:tab/>
      </w:r>
      <w:r w:rsidRPr="009A3541">
        <w:rPr>
          <w:rFonts w:ascii="Gotham" w:hAnsi="Gotham" w:cs="Arial"/>
          <w:sz w:val="19"/>
          <w:szCs w:val="19"/>
        </w:rPr>
        <w:t>Celebrarán convenios con medios de comunicación masiva para la promoción de las acciones de prevención y gestión integral de los residuos;</w:t>
      </w:r>
    </w:p>
    <w:p w14:paraId="3A474A88"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IV. </w:t>
      </w:r>
      <w:r>
        <w:rPr>
          <w:rFonts w:ascii="Gotham" w:hAnsi="Gotham" w:cs="Arial"/>
          <w:sz w:val="19"/>
          <w:szCs w:val="19"/>
        </w:rPr>
        <w:tab/>
      </w:r>
      <w:r w:rsidRPr="009A3541">
        <w:rPr>
          <w:rFonts w:ascii="Gotham" w:hAnsi="Gotham" w:cs="Arial"/>
          <w:sz w:val="19"/>
          <w:szCs w:val="19"/>
        </w:rPr>
        <w:t xml:space="preserve">Promoverán el reconocimiento a los esfuerzos más destacados de la sociedad en materia de prevención y gestión integral de los residuos; </w:t>
      </w:r>
    </w:p>
    <w:p w14:paraId="3A474A89" w14:textId="77777777" w:rsidR="009B5E39" w:rsidRPr="009A3541" w:rsidRDefault="009B5E39" w:rsidP="009B5E39">
      <w:pPr>
        <w:spacing w:after="120"/>
        <w:ind w:left="1134" w:right="284" w:hanging="850"/>
        <w:jc w:val="both"/>
        <w:rPr>
          <w:rFonts w:ascii="Gotham" w:hAnsi="Gotham" w:cs="Arial"/>
          <w:sz w:val="19"/>
          <w:szCs w:val="19"/>
        </w:rPr>
      </w:pPr>
      <w:r w:rsidRPr="009A3541">
        <w:rPr>
          <w:rFonts w:ascii="Gotham" w:hAnsi="Gotham" w:cs="Arial"/>
          <w:sz w:val="19"/>
          <w:szCs w:val="19"/>
        </w:rPr>
        <w:t xml:space="preserve">V. </w:t>
      </w:r>
      <w:r>
        <w:rPr>
          <w:rFonts w:ascii="Gotham" w:hAnsi="Gotham" w:cs="Arial"/>
          <w:sz w:val="19"/>
          <w:szCs w:val="19"/>
        </w:rPr>
        <w:tab/>
      </w:r>
      <w:r w:rsidRPr="009A3541">
        <w:rPr>
          <w:rFonts w:ascii="Gotham" w:hAnsi="Gotham" w:cs="Arial"/>
          <w:sz w:val="19"/>
          <w:szCs w:val="19"/>
        </w:rPr>
        <w:t xml:space="preserve">Impulsarán la conciencia ecológica y la aplicación del presente Reglamento, a través de la realización de acciones conjuntas con la comunidad para la prevención y gestión integral de los residuos. </w:t>
      </w:r>
    </w:p>
    <w:p w14:paraId="3A474A8A" w14:textId="77777777" w:rsidR="009B5E39" w:rsidRPr="009A3541" w:rsidRDefault="009B5E39" w:rsidP="009B5E39">
      <w:pPr>
        <w:spacing w:after="120"/>
        <w:ind w:left="1134" w:right="284"/>
        <w:jc w:val="both"/>
        <w:rPr>
          <w:rFonts w:ascii="Gotham" w:hAnsi="Gotham" w:cs="Arial"/>
          <w:sz w:val="19"/>
          <w:szCs w:val="19"/>
        </w:rPr>
      </w:pPr>
      <w:r w:rsidRPr="009A3541">
        <w:rPr>
          <w:rFonts w:ascii="Gotham" w:hAnsi="Gotham" w:cs="Arial"/>
          <w:sz w:val="19"/>
          <w:szCs w:val="19"/>
        </w:rPr>
        <w:t xml:space="preserve">Para ello, podrán celebrar convenios de concertación con comunidades urbanas y rurales, así como con diversas organizaciones sociales; y </w:t>
      </w:r>
    </w:p>
    <w:p w14:paraId="3A474A8B" w14:textId="77777777" w:rsidR="009B5E39" w:rsidRPr="009A3541" w:rsidRDefault="009B5E39" w:rsidP="009B5E39">
      <w:pPr>
        <w:ind w:left="1134" w:right="284" w:hanging="850"/>
        <w:jc w:val="both"/>
        <w:rPr>
          <w:rFonts w:ascii="Gotham" w:hAnsi="Gotham" w:cs="Arial"/>
          <w:sz w:val="19"/>
          <w:szCs w:val="19"/>
        </w:rPr>
      </w:pPr>
      <w:r w:rsidRPr="009A3541">
        <w:rPr>
          <w:rFonts w:ascii="Gotham" w:hAnsi="Gotham" w:cs="Arial"/>
          <w:sz w:val="19"/>
          <w:szCs w:val="19"/>
        </w:rPr>
        <w:t xml:space="preserve">VI. </w:t>
      </w:r>
      <w:r>
        <w:rPr>
          <w:rFonts w:ascii="Gotham" w:hAnsi="Gotham" w:cs="Arial"/>
          <w:sz w:val="19"/>
          <w:szCs w:val="19"/>
        </w:rPr>
        <w:tab/>
      </w:r>
      <w:r w:rsidRPr="009A3541">
        <w:rPr>
          <w:rFonts w:ascii="Gotham" w:hAnsi="Gotham" w:cs="Arial"/>
          <w:sz w:val="19"/>
          <w:szCs w:val="19"/>
        </w:rPr>
        <w:t xml:space="preserve">Concertarán acciones e inversiones con los sectores social y privado, instituciones académicas, grupos y organizaciones sociales y demás personas físicas y morales interesadas. </w:t>
      </w:r>
    </w:p>
    <w:p w14:paraId="3A474A8C" w14:textId="77777777" w:rsidR="009B5E39" w:rsidRDefault="009B5E39" w:rsidP="009B5E39">
      <w:pPr>
        <w:ind w:left="284" w:right="284"/>
        <w:jc w:val="both"/>
        <w:rPr>
          <w:rFonts w:ascii="Gotham" w:hAnsi="Gotham" w:cs="Arial"/>
          <w:b/>
          <w:sz w:val="19"/>
          <w:szCs w:val="19"/>
        </w:rPr>
      </w:pPr>
    </w:p>
    <w:p w14:paraId="3A474A8D"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t>Artículo 52.</w:t>
      </w:r>
      <w:r w:rsidRPr="009A3541">
        <w:rPr>
          <w:rFonts w:ascii="Gotham" w:hAnsi="Gotham" w:cs="Arial"/>
          <w:sz w:val="19"/>
          <w:szCs w:val="19"/>
        </w:rPr>
        <w:t xml:space="preserve"> La autoridad municipal en el ámbito de su competencia, integrará el Sistema de Información sobre la Gestión Integral de Residuos, que contendrá la información relativa a la situación </w:t>
      </w:r>
      <w:r w:rsidRPr="009A3541">
        <w:rPr>
          <w:rFonts w:ascii="Gotham" w:hAnsi="Gotham" w:cs="Arial"/>
          <w:sz w:val="19"/>
          <w:szCs w:val="19"/>
        </w:rPr>
        <w:lastRenderedPageBreak/>
        <w:t xml:space="preserve">local, los inventarios de residuos generados, la infraestructura disponible para su manejo, las disposiciones jurídicas aplicables a su regulación y control y otros aspectos que faciliten el logro de los objetivos de este Reglamento, de la Ley General, la Ley de Transparencia y de Acceso a la Información Pública y demás disposiciones aplicables. </w:t>
      </w:r>
    </w:p>
    <w:p w14:paraId="3A474A8E" w14:textId="77777777" w:rsidR="009B5E39" w:rsidRDefault="009B5E39" w:rsidP="009B5E39">
      <w:pPr>
        <w:ind w:left="284" w:right="284"/>
        <w:jc w:val="both"/>
        <w:rPr>
          <w:rFonts w:ascii="Gotham" w:hAnsi="Gotham" w:cs="Arial"/>
          <w:b/>
          <w:sz w:val="19"/>
          <w:szCs w:val="19"/>
        </w:rPr>
      </w:pPr>
    </w:p>
    <w:p w14:paraId="3A474A8F"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b/>
          <w:sz w:val="19"/>
          <w:szCs w:val="19"/>
        </w:rPr>
        <w:t>Artículo 53.</w:t>
      </w:r>
      <w:r w:rsidRPr="009A3541">
        <w:rPr>
          <w:rFonts w:ascii="Gotham" w:hAnsi="Gotham" w:cs="Arial"/>
          <w:sz w:val="19"/>
          <w:szCs w:val="19"/>
        </w:rPr>
        <w:t xml:space="preserve"> La autoridad municipal promoverá la inversión privada y/o social para la instalación de infraestructura para el manejo de los residuos especiales en la medida y cantidades de su generación, atendiendo al principio de que el responsable de generar contaminación debe cubrir los costos que de ella derivan.</w:t>
      </w:r>
    </w:p>
    <w:p w14:paraId="3A474A90" w14:textId="77777777" w:rsidR="009B5E39" w:rsidRDefault="009B5E39" w:rsidP="009B5E39">
      <w:pPr>
        <w:ind w:left="284" w:right="284"/>
        <w:jc w:val="both"/>
        <w:rPr>
          <w:rFonts w:ascii="Gotham" w:hAnsi="Gotham" w:cs="Arial"/>
          <w:sz w:val="19"/>
          <w:szCs w:val="19"/>
        </w:rPr>
      </w:pPr>
    </w:p>
    <w:p w14:paraId="3A474A91"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sz w:val="19"/>
          <w:szCs w:val="19"/>
        </w:rPr>
        <w:t xml:space="preserve">Del Título, de la Inspección y Vigilancia, Capítulo I Disposiciones Generales, Capitulo II De las actividades de Inspección; del Título IV De las infracciones y Sanciones Capítulo I De las Sanciones, Capitulo II De los Recursos Administrativos, Capítulo III Del Recurso de Revisión, Capítulo IV Del Recurso de Inconformidad, Capítulo V De la Suspensión del Acto Reclamado, Capítulo VI del Juicio de Nulidad, se recorren de manera progresiva los números de los artículos, el contenido del articulado intocado. </w:t>
      </w:r>
    </w:p>
    <w:p w14:paraId="3A474A92" w14:textId="77777777" w:rsidR="009B5E39" w:rsidRDefault="009B5E39" w:rsidP="009B5E39">
      <w:pPr>
        <w:ind w:left="284" w:right="284"/>
        <w:jc w:val="center"/>
        <w:rPr>
          <w:rFonts w:ascii="Gotham" w:hAnsi="Gotham" w:cs="Arial"/>
          <w:b/>
          <w:sz w:val="19"/>
          <w:szCs w:val="19"/>
        </w:rPr>
      </w:pPr>
    </w:p>
    <w:p w14:paraId="3A474A93" w14:textId="77777777" w:rsidR="009B5E39" w:rsidRDefault="009B5E39" w:rsidP="009B5E39">
      <w:pPr>
        <w:ind w:left="284" w:right="284"/>
        <w:jc w:val="center"/>
        <w:rPr>
          <w:rFonts w:ascii="Gotham" w:hAnsi="Gotham" w:cs="Arial"/>
          <w:b/>
          <w:sz w:val="19"/>
          <w:szCs w:val="19"/>
        </w:rPr>
      </w:pPr>
    </w:p>
    <w:p w14:paraId="3A474A94" w14:textId="77777777" w:rsidR="009B5E39" w:rsidRPr="009A3541" w:rsidRDefault="009B5E39" w:rsidP="009B5E39">
      <w:pPr>
        <w:ind w:left="284" w:right="284"/>
        <w:jc w:val="center"/>
        <w:rPr>
          <w:rFonts w:ascii="Gotham" w:hAnsi="Gotham" w:cs="Arial"/>
          <w:b/>
          <w:sz w:val="19"/>
          <w:szCs w:val="19"/>
        </w:rPr>
      </w:pPr>
      <w:r w:rsidRPr="009A3541">
        <w:rPr>
          <w:rFonts w:ascii="Gotham" w:hAnsi="Gotham" w:cs="Arial"/>
          <w:b/>
          <w:sz w:val="19"/>
          <w:szCs w:val="19"/>
        </w:rPr>
        <w:t>TRANSITORIOS</w:t>
      </w:r>
    </w:p>
    <w:p w14:paraId="3A474A95" w14:textId="77777777" w:rsidR="009B5E39" w:rsidRDefault="009B5E39" w:rsidP="009B5E39">
      <w:pPr>
        <w:ind w:left="284" w:right="284"/>
        <w:jc w:val="both"/>
        <w:rPr>
          <w:rFonts w:ascii="Gotham" w:hAnsi="Gotham" w:cs="Arial"/>
          <w:sz w:val="19"/>
          <w:szCs w:val="19"/>
        </w:rPr>
      </w:pPr>
    </w:p>
    <w:p w14:paraId="3A474A96"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sz w:val="19"/>
          <w:szCs w:val="19"/>
        </w:rPr>
        <w:t>PRIMERO. Las presentes reformas entrarán, en vigor una al día siguiente de su publicación en la gaceta Municipal Tlahtolli.</w:t>
      </w:r>
    </w:p>
    <w:p w14:paraId="3A474A97" w14:textId="77777777" w:rsidR="009B5E39" w:rsidRDefault="009B5E39" w:rsidP="009B5E39">
      <w:pPr>
        <w:ind w:left="284" w:right="284"/>
        <w:jc w:val="both"/>
        <w:rPr>
          <w:rFonts w:ascii="Gotham" w:hAnsi="Gotham" w:cs="Arial"/>
          <w:sz w:val="19"/>
          <w:szCs w:val="19"/>
        </w:rPr>
      </w:pPr>
    </w:p>
    <w:p w14:paraId="3A474A98" w14:textId="77777777" w:rsidR="009B5E39" w:rsidRPr="009A3541" w:rsidRDefault="009B5E39" w:rsidP="009B5E39">
      <w:pPr>
        <w:ind w:left="284" w:right="284"/>
        <w:jc w:val="both"/>
        <w:rPr>
          <w:rFonts w:ascii="Gotham" w:hAnsi="Gotham" w:cs="Arial"/>
          <w:sz w:val="19"/>
          <w:szCs w:val="19"/>
        </w:rPr>
      </w:pPr>
      <w:r w:rsidRPr="009A3541">
        <w:rPr>
          <w:rFonts w:ascii="Gotham" w:hAnsi="Gotham" w:cs="Arial"/>
          <w:sz w:val="19"/>
          <w:szCs w:val="19"/>
        </w:rPr>
        <w:t>SEGUNDO. Remítase el presente Reglamento al C. Presidente Municipal, para los efectos de su obligatoria promulgación y publicación, de conformidad con el artículo 42 fracción IV de la Ley del Gobierno y la Administración Pública Municipal del Estado de Jalisco.</w:t>
      </w:r>
      <w:r w:rsidR="00883EC2">
        <w:rPr>
          <w:rFonts w:ascii="Gotham" w:hAnsi="Gotham" w:cs="Arial"/>
          <w:sz w:val="19"/>
          <w:szCs w:val="19"/>
        </w:rPr>
        <w:t xml:space="preserve">  </w:t>
      </w:r>
    </w:p>
    <w:p w14:paraId="3A474A99" w14:textId="77777777" w:rsidR="009B5E39" w:rsidRPr="004C042D" w:rsidRDefault="009B5E39" w:rsidP="009B5E39">
      <w:pPr>
        <w:jc w:val="both"/>
        <w:rPr>
          <w:rFonts w:ascii="Gotham" w:hAnsi="Gotham" w:cs="Arial"/>
          <w:sz w:val="20"/>
          <w:szCs w:val="20"/>
        </w:rPr>
      </w:pPr>
      <w:r w:rsidRPr="004C042D">
        <w:rPr>
          <w:rFonts w:ascii="Gotham" w:hAnsi="Gotham" w:cs="Arial"/>
          <w:sz w:val="20"/>
          <w:szCs w:val="20"/>
        </w:rPr>
        <w:t xml:space="preserve"> </w:t>
      </w:r>
    </w:p>
    <w:p w14:paraId="3A474A9A" w14:textId="77777777" w:rsidR="009B5E39" w:rsidRPr="004C042D" w:rsidRDefault="009B5E39" w:rsidP="009B5E39">
      <w:pPr>
        <w:jc w:val="both"/>
        <w:rPr>
          <w:rFonts w:ascii="Gotham" w:hAnsi="Gotham" w:cs="Arial"/>
          <w:b/>
          <w:sz w:val="20"/>
          <w:szCs w:val="20"/>
        </w:rPr>
      </w:pPr>
      <w:r w:rsidRPr="004C042D">
        <w:rPr>
          <w:rFonts w:ascii="Gotham" w:hAnsi="Gotham" w:cs="Arial"/>
          <w:b/>
          <w:sz w:val="20"/>
          <w:szCs w:val="20"/>
        </w:rPr>
        <w:t>Por lo que respecta al REGLAMENTO DE DELEGACIONES Y AGENCIAS DEL AYUNTAMIENTO CONSTITUCIONAL DE TONALA, JALISCO, se proponen las siguientes modificaciones:</w:t>
      </w:r>
    </w:p>
    <w:p w14:paraId="3A474A9B" w14:textId="77777777" w:rsidR="009B5E39" w:rsidRPr="004C042D" w:rsidRDefault="009B5E39" w:rsidP="009B5E39">
      <w:pPr>
        <w:jc w:val="both"/>
        <w:rPr>
          <w:rFonts w:ascii="Gotham" w:hAnsi="Gotham" w:cs="Arial"/>
          <w:sz w:val="20"/>
          <w:szCs w:val="20"/>
        </w:rPr>
      </w:pPr>
    </w:p>
    <w:p w14:paraId="3A474A9C" w14:textId="77777777" w:rsidR="009B5E39" w:rsidRPr="004C042D" w:rsidRDefault="009B5E39" w:rsidP="009B5E39">
      <w:pPr>
        <w:jc w:val="both"/>
        <w:rPr>
          <w:rFonts w:ascii="Gotham" w:hAnsi="Gotham" w:cs="Arial"/>
          <w:sz w:val="20"/>
          <w:szCs w:val="20"/>
        </w:rPr>
      </w:pPr>
      <w:r w:rsidRPr="004C042D">
        <w:rPr>
          <w:rFonts w:ascii="Gotham" w:hAnsi="Gotham" w:cs="Arial"/>
          <w:sz w:val="20"/>
          <w:szCs w:val="20"/>
        </w:rPr>
        <w:t xml:space="preserve">Artículos del 1 al 5, quedan intocados; </w:t>
      </w:r>
    </w:p>
    <w:p w14:paraId="3A474A9D" w14:textId="77777777" w:rsidR="009B5E39" w:rsidRPr="004C042D" w:rsidRDefault="009B5E39" w:rsidP="009B5E39">
      <w:pPr>
        <w:jc w:val="both"/>
        <w:rPr>
          <w:rFonts w:ascii="Gotham" w:hAnsi="Gotham" w:cs="Arial"/>
          <w:sz w:val="20"/>
          <w:szCs w:val="20"/>
        </w:rPr>
      </w:pPr>
    </w:p>
    <w:p w14:paraId="3A474A9E" w14:textId="77777777" w:rsidR="009B5E39" w:rsidRPr="004C042D" w:rsidRDefault="009B5E39" w:rsidP="009B5E39">
      <w:pPr>
        <w:jc w:val="both"/>
        <w:rPr>
          <w:rFonts w:ascii="Gotham" w:hAnsi="Gotham" w:cs="Arial"/>
          <w:sz w:val="20"/>
          <w:szCs w:val="20"/>
        </w:rPr>
      </w:pPr>
      <w:r w:rsidRPr="004C042D">
        <w:rPr>
          <w:rFonts w:ascii="Gotham" w:hAnsi="Gotham" w:cs="Arial"/>
          <w:sz w:val="20"/>
          <w:szCs w:val="20"/>
        </w:rPr>
        <w:t>Del artículo 6 se reforma:</w:t>
      </w:r>
    </w:p>
    <w:p w14:paraId="3A474A9F" w14:textId="77777777" w:rsidR="009B5E39" w:rsidRPr="004C042D" w:rsidRDefault="009B5E39" w:rsidP="009B5E39">
      <w:pPr>
        <w:jc w:val="both"/>
        <w:rPr>
          <w:rFonts w:ascii="Gotham" w:hAnsi="Gotham" w:cs="Arial"/>
          <w:b/>
          <w:sz w:val="20"/>
          <w:szCs w:val="20"/>
        </w:rPr>
      </w:pPr>
    </w:p>
    <w:p w14:paraId="3A474AA0" w14:textId="77777777" w:rsidR="009B5E39" w:rsidRPr="004C042D" w:rsidRDefault="009B5E39" w:rsidP="009B5E39">
      <w:pPr>
        <w:jc w:val="both"/>
        <w:rPr>
          <w:rFonts w:ascii="Gotham" w:hAnsi="Gotham" w:cs="Arial"/>
          <w:b/>
          <w:sz w:val="20"/>
          <w:szCs w:val="20"/>
        </w:rPr>
      </w:pPr>
      <w:r w:rsidRPr="004C042D">
        <w:rPr>
          <w:rFonts w:ascii="Gotham" w:hAnsi="Gotham" w:cs="Arial"/>
          <w:b/>
          <w:sz w:val="20"/>
          <w:szCs w:val="20"/>
        </w:rPr>
        <w:t>Dice:</w:t>
      </w:r>
    </w:p>
    <w:p w14:paraId="3A474AA1" w14:textId="77777777" w:rsidR="009B5E39" w:rsidRPr="004C042D" w:rsidRDefault="009B5E39" w:rsidP="009B5E39">
      <w:pPr>
        <w:jc w:val="both"/>
        <w:rPr>
          <w:rFonts w:ascii="Gotham" w:hAnsi="Gotham" w:cs="Arial"/>
          <w:sz w:val="20"/>
          <w:szCs w:val="20"/>
        </w:rPr>
      </w:pPr>
    </w:p>
    <w:p w14:paraId="3A474AA2" w14:textId="77777777" w:rsidR="009B5E39" w:rsidRPr="004C042D" w:rsidRDefault="009B5E39" w:rsidP="009B5E39">
      <w:pPr>
        <w:ind w:left="284" w:right="284"/>
        <w:jc w:val="both"/>
        <w:rPr>
          <w:rFonts w:ascii="Gotham" w:hAnsi="Gotham" w:cs="Arial"/>
          <w:sz w:val="19"/>
          <w:szCs w:val="19"/>
        </w:rPr>
      </w:pPr>
      <w:r w:rsidRPr="004C042D">
        <w:rPr>
          <w:rFonts w:ascii="Gotham" w:hAnsi="Gotham" w:cs="Arial"/>
          <w:sz w:val="19"/>
          <w:szCs w:val="19"/>
        </w:rPr>
        <w:t>Artículo 6. El Municipio cuenta con las siguientes Delegaciones y Agencias Municipales:</w:t>
      </w:r>
    </w:p>
    <w:p w14:paraId="3A474AA3" w14:textId="77777777" w:rsidR="009B5E39" w:rsidRPr="004C042D" w:rsidRDefault="009B5E39" w:rsidP="009B5E39">
      <w:pPr>
        <w:ind w:left="284" w:right="284"/>
        <w:jc w:val="both"/>
        <w:rPr>
          <w:rFonts w:ascii="Gotham" w:hAnsi="Gotham" w:cs="Arial"/>
          <w:sz w:val="19"/>
          <w:szCs w:val="19"/>
        </w:rPr>
      </w:pPr>
    </w:p>
    <w:p w14:paraId="3A474AA4" w14:textId="77777777" w:rsidR="009B5E39" w:rsidRPr="004C042D" w:rsidRDefault="009B5E39" w:rsidP="009B5E39">
      <w:pPr>
        <w:ind w:left="284" w:right="284"/>
        <w:jc w:val="both"/>
        <w:rPr>
          <w:rFonts w:ascii="Gotham" w:hAnsi="Gotham" w:cs="Arial"/>
          <w:sz w:val="19"/>
          <w:szCs w:val="19"/>
        </w:rPr>
      </w:pPr>
      <w:r w:rsidRPr="004C042D">
        <w:rPr>
          <w:rFonts w:ascii="Gotham" w:hAnsi="Gotham" w:cs="Arial"/>
          <w:sz w:val="19"/>
          <w:szCs w:val="19"/>
        </w:rPr>
        <w:t>Delegaciones:</w:t>
      </w:r>
    </w:p>
    <w:p w14:paraId="3A474AA5" w14:textId="77777777" w:rsidR="009B5E39" w:rsidRPr="004C042D" w:rsidRDefault="009B5E39" w:rsidP="009B5E39">
      <w:pPr>
        <w:ind w:left="284" w:right="284"/>
        <w:jc w:val="both"/>
        <w:rPr>
          <w:rFonts w:ascii="Gotham" w:hAnsi="Gotham" w:cs="Arial"/>
          <w:sz w:val="19"/>
          <w:szCs w:val="19"/>
        </w:rPr>
      </w:pPr>
    </w:p>
    <w:p w14:paraId="3A474AA6"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w:t>
      </w:r>
      <w:r w:rsidRPr="004C042D">
        <w:rPr>
          <w:rFonts w:ascii="Gotham" w:hAnsi="Gotham" w:cs="Arial"/>
          <w:sz w:val="19"/>
          <w:szCs w:val="19"/>
        </w:rPr>
        <w:tab/>
        <w:t>Puente Grande;</w:t>
      </w:r>
    </w:p>
    <w:p w14:paraId="3A474AA7"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II.</w:t>
      </w:r>
      <w:r w:rsidRPr="004C042D">
        <w:rPr>
          <w:rFonts w:ascii="Gotham" w:hAnsi="Gotham" w:cs="Arial"/>
          <w:sz w:val="19"/>
          <w:szCs w:val="19"/>
        </w:rPr>
        <w:tab/>
        <w:t>Zalatitán;</w:t>
      </w:r>
    </w:p>
    <w:p w14:paraId="3A474AA8"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III.</w:t>
      </w:r>
      <w:r w:rsidRPr="004C042D">
        <w:rPr>
          <w:rFonts w:ascii="Gotham" w:hAnsi="Gotham" w:cs="Arial"/>
          <w:sz w:val="19"/>
          <w:szCs w:val="19"/>
        </w:rPr>
        <w:tab/>
        <w:t>San Gaspar;</w:t>
      </w:r>
    </w:p>
    <w:p w14:paraId="3A474AA9"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IV.</w:t>
      </w:r>
      <w:r w:rsidRPr="004C042D">
        <w:rPr>
          <w:rFonts w:ascii="Gotham" w:hAnsi="Gotham" w:cs="Arial"/>
          <w:sz w:val="19"/>
          <w:szCs w:val="19"/>
        </w:rPr>
        <w:tab/>
        <w:t>El Rosario;</w:t>
      </w:r>
    </w:p>
    <w:p w14:paraId="3A474AAA"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V.</w:t>
      </w:r>
      <w:r w:rsidRPr="004C042D">
        <w:rPr>
          <w:rFonts w:ascii="Gotham" w:hAnsi="Gotham" w:cs="Arial"/>
          <w:sz w:val="19"/>
          <w:szCs w:val="19"/>
        </w:rPr>
        <w:tab/>
        <w:t>Santa Cruz de las Huertas;</w:t>
      </w:r>
    </w:p>
    <w:p w14:paraId="3A474AAB"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VI.</w:t>
      </w:r>
      <w:r w:rsidRPr="004C042D">
        <w:rPr>
          <w:rFonts w:ascii="Gotham" w:hAnsi="Gotham" w:cs="Arial"/>
          <w:sz w:val="19"/>
          <w:szCs w:val="19"/>
        </w:rPr>
        <w:tab/>
        <w:t>Coyula;</w:t>
      </w:r>
    </w:p>
    <w:p w14:paraId="3A474AAC"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VII.</w:t>
      </w:r>
      <w:r w:rsidRPr="004C042D">
        <w:rPr>
          <w:rFonts w:ascii="Gotham" w:hAnsi="Gotham" w:cs="Arial"/>
          <w:sz w:val="19"/>
          <w:szCs w:val="19"/>
        </w:rPr>
        <w:tab/>
        <w:t>Tololotlán;</w:t>
      </w:r>
    </w:p>
    <w:p w14:paraId="3A474AAD"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VIII.</w:t>
      </w:r>
      <w:r w:rsidRPr="004C042D">
        <w:rPr>
          <w:rFonts w:ascii="Gotham" w:hAnsi="Gotham" w:cs="Arial"/>
          <w:sz w:val="19"/>
          <w:szCs w:val="19"/>
        </w:rPr>
        <w:tab/>
        <w:t>Lomas del Camichín;</w:t>
      </w:r>
    </w:p>
    <w:p w14:paraId="3A474AAE"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IX.</w:t>
      </w:r>
      <w:r w:rsidRPr="004C042D">
        <w:rPr>
          <w:rFonts w:ascii="Gotham" w:hAnsi="Gotham" w:cs="Arial"/>
          <w:sz w:val="19"/>
          <w:szCs w:val="19"/>
        </w:rPr>
        <w:tab/>
        <w:t>Colonia Jalisco “A”; y</w:t>
      </w:r>
    </w:p>
    <w:p w14:paraId="3A474AAF" w14:textId="77777777" w:rsidR="009B5E39" w:rsidRPr="004C042D" w:rsidRDefault="009B5E39" w:rsidP="009B5E39">
      <w:pPr>
        <w:ind w:left="1134" w:right="284" w:hanging="850"/>
        <w:jc w:val="both"/>
        <w:rPr>
          <w:rFonts w:ascii="Gotham" w:hAnsi="Gotham" w:cs="Arial"/>
          <w:sz w:val="19"/>
          <w:szCs w:val="19"/>
        </w:rPr>
      </w:pPr>
      <w:r w:rsidRPr="004C042D">
        <w:rPr>
          <w:rFonts w:ascii="Gotham" w:hAnsi="Gotham" w:cs="Arial"/>
          <w:sz w:val="19"/>
          <w:szCs w:val="19"/>
        </w:rPr>
        <w:t>X.</w:t>
      </w:r>
      <w:r w:rsidRPr="004C042D">
        <w:rPr>
          <w:rFonts w:ascii="Gotham" w:hAnsi="Gotham" w:cs="Arial"/>
          <w:sz w:val="19"/>
          <w:szCs w:val="19"/>
        </w:rPr>
        <w:tab/>
        <w:t>Santa Paula “A”;</w:t>
      </w:r>
    </w:p>
    <w:p w14:paraId="3A474AB0" w14:textId="77777777" w:rsidR="009B5E39" w:rsidRPr="004C042D" w:rsidRDefault="009B5E39" w:rsidP="009B5E39">
      <w:pPr>
        <w:ind w:left="284" w:right="284"/>
        <w:jc w:val="both"/>
        <w:rPr>
          <w:rFonts w:ascii="Gotham" w:hAnsi="Gotham" w:cs="Arial"/>
          <w:sz w:val="19"/>
          <w:szCs w:val="19"/>
        </w:rPr>
      </w:pPr>
    </w:p>
    <w:p w14:paraId="3A474AB1" w14:textId="77777777" w:rsidR="009B5E39" w:rsidRPr="004C042D" w:rsidRDefault="009B5E39" w:rsidP="009B5E39">
      <w:pPr>
        <w:ind w:left="284" w:right="284"/>
        <w:jc w:val="both"/>
        <w:rPr>
          <w:rFonts w:ascii="Gotham" w:hAnsi="Gotham" w:cs="Arial"/>
          <w:sz w:val="19"/>
          <w:szCs w:val="19"/>
        </w:rPr>
      </w:pPr>
      <w:r w:rsidRPr="004C042D">
        <w:rPr>
          <w:rFonts w:ascii="Gotham" w:hAnsi="Gotham" w:cs="Arial"/>
          <w:sz w:val="19"/>
          <w:szCs w:val="19"/>
        </w:rPr>
        <w:lastRenderedPageBreak/>
        <w:t>Agencias:</w:t>
      </w:r>
    </w:p>
    <w:p w14:paraId="3A474AB2" w14:textId="77777777" w:rsidR="009B5E39" w:rsidRPr="004C042D" w:rsidRDefault="009B5E39" w:rsidP="009B5E39">
      <w:pPr>
        <w:ind w:left="284" w:right="284"/>
        <w:jc w:val="both"/>
        <w:rPr>
          <w:rFonts w:ascii="Gotham" w:hAnsi="Gotham" w:cs="Arial"/>
          <w:sz w:val="19"/>
          <w:szCs w:val="19"/>
        </w:rPr>
      </w:pPr>
    </w:p>
    <w:p w14:paraId="3A474AB3"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w:t>
      </w:r>
      <w:r w:rsidRPr="004C042D">
        <w:rPr>
          <w:rFonts w:ascii="Gotham" w:hAnsi="Gotham" w:cs="Arial"/>
          <w:sz w:val="19"/>
          <w:szCs w:val="19"/>
        </w:rPr>
        <w:tab/>
        <w:t xml:space="preserve">Arroyo de en medio; </w:t>
      </w:r>
    </w:p>
    <w:p w14:paraId="3A474AB4"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II.</w:t>
      </w:r>
      <w:r w:rsidRPr="004C042D">
        <w:rPr>
          <w:rFonts w:ascii="Gotham" w:hAnsi="Gotham" w:cs="Arial"/>
          <w:sz w:val="19"/>
          <w:szCs w:val="19"/>
        </w:rPr>
        <w:tab/>
        <w:t>El vado;</w:t>
      </w:r>
    </w:p>
    <w:p w14:paraId="3A474AB5"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III.</w:t>
      </w:r>
      <w:r w:rsidRPr="004C042D">
        <w:rPr>
          <w:rFonts w:ascii="Gotham" w:hAnsi="Gotham" w:cs="Arial"/>
          <w:sz w:val="19"/>
          <w:szCs w:val="19"/>
        </w:rPr>
        <w:tab/>
        <w:t>Agua Blanca;</w:t>
      </w:r>
    </w:p>
    <w:p w14:paraId="3A474AB6"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IV.</w:t>
      </w:r>
      <w:r w:rsidRPr="004C042D">
        <w:rPr>
          <w:rFonts w:ascii="Gotham" w:hAnsi="Gotham" w:cs="Arial"/>
          <w:sz w:val="19"/>
          <w:szCs w:val="19"/>
        </w:rPr>
        <w:tab/>
        <w:t>Jauja;</w:t>
      </w:r>
    </w:p>
    <w:p w14:paraId="3A474AB7"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V.</w:t>
      </w:r>
      <w:r w:rsidRPr="004C042D">
        <w:rPr>
          <w:rFonts w:ascii="Gotham" w:hAnsi="Gotham" w:cs="Arial"/>
          <w:sz w:val="19"/>
          <w:szCs w:val="19"/>
        </w:rPr>
        <w:tab/>
        <w:t>Lomas de la Soledad;</w:t>
      </w:r>
    </w:p>
    <w:p w14:paraId="3A474AB8"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VI.</w:t>
      </w:r>
      <w:r w:rsidRPr="004C042D">
        <w:rPr>
          <w:rFonts w:ascii="Gotham" w:hAnsi="Gotham" w:cs="Arial"/>
          <w:sz w:val="19"/>
          <w:szCs w:val="19"/>
        </w:rPr>
        <w:tab/>
        <w:t>Rancho de la Cruz;</w:t>
      </w:r>
    </w:p>
    <w:p w14:paraId="3A474AB9"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VII.</w:t>
      </w:r>
      <w:r w:rsidRPr="004C042D">
        <w:rPr>
          <w:rFonts w:ascii="Gotham" w:hAnsi="Gotham" w:cs="Arial"/>
          <w:sz w:val="19"/>
          <w:szCs w:val="19"/>
        </w:rPr>
        <w:tab/>
        <w:t>Ciudad Aztlán;</w:t>
      </w:r>
    </w:p>
    <w:p w14:paraId="3A474ABA"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VIII.</w:t>
      </w:r>
      <w:r w:rsidRPr="004C042D">
        <w:rPr>
          <w:rFonts w:ascii="Gotham" w:hAnsi="Gotham" w:cs="Arial"/>
          <w:sz w:val="19"/>
          <w:szCs w:val="19"/>
        </w:rPr>
        <w:tab/>
        <w:t>Loma Dorada sección “A”;</w:t>
      </w:r>
    </w:p>
    <w:p w14:paraId="3A474ABB"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IX.</w:t>
      </w:r>
      <w:r w:rsidRPr="004C042D">
        <w:rPr>
          <w:rFonts w:ascii="Gotham" w:hAnsi="Gotham" w:cs="Arial"/>
          <w:sz w:val="19"/>
          <w:szCs w:val="19"/>
        </w:rPr>
        <w:tab/>
        <w:t>Loma Dorada sección “B”;</w:t>
      </w:r>
    </w:p>
    <w:p w14:paraId="3A474ABC"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w:t>
      </w:r>
      <w:r w:rsidRPr="004C042D">
        <w:rPr>
          <w:rFonts w:ascii="Gotham" w:hAnsi="Gotham" w:cs="Arial"/>
          <w:sz w:val="19"/>
          <w:szCs w:val="19"/>
        </w:rPr>
        <w:tab/>
        <w:t>Loma Dorada sección “C”;</w:t>
      </w:r>
    </w:p>
    <w:p w14:paraId="3A474ABD"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XI.</w:t>
      </w:r>
      <w:r w:rsidRPr="004C042D">
        <w:rPr>
          <w:rFonts w:ascii="Gotham" w:hAnsi="Gotham" w:cs="Arial"/>
          <w:sz w:val="19"/>
          <w:szCs w:val="19"/>
        </w:rPr>
        <w:tab/>
        <w:t>Loma Dorada sección “D”;</w:t>
      </w:r>
    </w:p>
    <w:p w14:paraId="3A474ABE"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XII.</w:t>
      </w:r>
      <w:r w:rsidRPr="004C042D">
        <w:rPr>
          <w:rFonts w:ascii="Gotham" w:hAnsi="Gotham" w:cs="Arial"/>
          <w:sz w:val="19"/>
          <w:szCs w:val="19"/>
        </w:rPr>
        <w:tab/>
        <w:t>San Miguel de la Punta;</w:t>
      </w:r>
    </w:p>
    <w:p w14:paraId="3A474ABF"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XIII.</w:t>
      </w:r>
      <w:r w:rsidRPr="004C042D">
        <w:rPr>
          <w:rFonts w:ascii="Gotham" w:hAnsi="Gotham" w:cs="Arial"/>
          <w:sz w:val="19"/>
          <w:szCs w:val="19"/>
        </w:rPr>
        <w:tab/>
        <w:t>La Ladrillera;</w:t>
      </w:r>
    </w:p>
    <w:p w14:paraId="3A474AC0"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XIV.</w:t>
      </w:r>
      <w:r w:rsidRPr="004C042D">
        <w:rPr>
          <w:rFonts w:ascii="Gotham" w:hAnsi="Gotham" w:cs="Arial"/>
          <w:sz w:val="19"/>
          <w:szCs w:val="19"/>
        </w:rPr>
        <w:tab/>
        <w:t>Rey Xólotl;</w:t>
      </w:r>
    </w:p>
    <w:p w14:paraId="3A474AC1"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XV.</w:t>
      </w:r>
      <w:r w:rsidRPr="004C042D">
        <w:rPr>
          <w:rFonts w:ascii="Gotham" w:hAnsi="Gotham" w:cs="Arial"/>
          <w:sz w:val="19"/>
          <w:szCs w:val="19"/>
        </w:rPr>
        <w:tab/>
        <w:t>San Francisco de la Soledad;</w:t>
      </w:r>
    </w:p>
    <w:p w14:paraId="3A474AC2"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XVI.</w:t>
      </w:r>
      <w:r w:rsidRPr="004C042D">
        <w:rPr>
          <w:rFonts w:ascii="Gotham" w:hAnsi="Gotham" w:cs="Arial"/>
          <w:sz w:val="19"/>
          <w:szCs w:val="19"/>
        </w:rPr>
        <w:tab/>
        <w:t>Loma Bonita;</w:t>
      </w:r>
    </w:p>
    <w:p w14:paraId="3A474AC3"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XVII.</w:t>
      </w:r>
      <w:r w:rsidRPr="004C042D">
        <w:rPr>
          <w:rFonts w:ascii="Gotham" w:hAnsi="Gotham" w:cs="Arial"/>
          <w:sz w:val="19"/>
          <w:szCs w:val="19"/>
        </w:rPr>
        <w:tab/>
        <w:t xml:space="preserve">Francisco Villa; </w:t>
      </w:r>
    </w:p>
    <w:p w14:paraId="3A474AC4"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XVIII.</w:t>
      </w:r>
      <w:r w:rsidRPr="004C042D">
        <w:rPr>
          <w:rFonts w:ascii="Gotham" w:hAnsi="Gotham" w:cs="Arial"/>
          <w:sz w:val="19"/>
          <w:szCs w:val="19"/>
        </w:rPr>
        <w:tab/>
        <w:t>Colonia Constancio Hernández;</w:t>
      </w:r>
    </w:p>
    <w:p w14:paraId="3A474AC5"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XIX.</w:t>
      </w:r>
      <w:r w:rsidRPr="004C042D">
        <w:rPr>
          <w:rFonts w:ascii="Gotham" w:hAnsi="Gotham" w:cs="Arial"/>
          <w:sz w:val="19"/>
          <w:szCs w:val="19"/>
        </w:rPr>
        <w:tab/>
        <w:t>20 de Noviembre;</w:t>
      </w:r>
    </w:p>
    <w:p w14:paraId="3A474AC6"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XX.</w:t>
      </w:r>
      <w:r w:rsidRPr="004C042D">
        <w:rPr>
          <w:rFonts w:ascii="Gotham" w:hAnsi="Gotham" w:cs="Arial"/>
          <w:sz w:val="19"/>
          <w:szCs w:val="19"/>
        </w:rPr>
        <w:tab/>
        <w:t>Infonavit la Soledad:</w:t>
      </w:r>
    </w:p>
    <w:p w14:paraId="3A474AC7"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XXI.</w:t>
      </w:r>
      <w:r w:rsidRPr="004C042D">
        <w:rPr>
          <w:rFonts w:ascii="Gotham" w:hAnsi="Gotham" w:cs="Arial"/>
          <w:sz w:val="19"/>
          <w:szCs w:val="19"/>
        </w:rPr>
        <w:tab/>
        <w:t>Alamedas de Zalatitán;</w:t>
      </w:r>
    </w:p>
    <w:p w14:paraId="3A474AC8"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XXII.</w:t>
      </w:r>
      <w:r w:rsidRPr="004C042D">
        <w:rPr>
          <w:rFonts w:ascii="Gotham" w:hAnsi="Gotham" w:cs="Arial"/>
          <w:sz w:val="19"/>
          <w:szCs w:val="19"/>
        </w:rPr>
        <w:tab/>
        <w:t>Colonia Jalisco “B”;</w:t>
      </w:r>
    </w:p>
    <w:p w14:paraId="3A474AC9" w14:textId="77777777" w:rsidR="009B5E39" w:rsidRPr="004C042D" w:rsidRDefault="009B5E39" w:rsidP="009B5E39">
      <w:pPr>
        <w:spacing w:after="80"/>
        <w:ind w:left="1134" w:right="284" w:hanging="850"/>
        <w:jc w:val="both"/>
        <w:rPr>
          <w:rFonts w:ascii="Gotham" w:hAnsi="Gotham" w:cs="Arial"/>
          <w:sz w:val="19"/>
          <w:szCs w:val="19"/>
        </w:rPr>
      </w:pPr>
      <w:r w:rsidRPr="004C042D">
        <w:rPr>
          <w:rFonts w:ascii="Gotham" w:hAnsi="Gotham" w:cs="Arial"/>
          <w:sz w:val="19"/>
          <w:szCs w:val="19"/>
        </w:rPr>
        <w:t>XXIII.</w:t>
      </w:r>
      <w:r w:rsidRPr="004C042D">
        <w:rPr>
          <w:rFonts w:ascii="Gotham" w:hAnsi="Gotham" w:cs="Arial"/>
          <w:sz w:val="19"/>
          <w:szCs w:val="19"/>
        </w:rPr>
        <w:tab/>
        <w:t>Santa Paula;</w:t>
      </w:r>
    </w:p>
    <w:p w14:paraId="3A474ACA" w14:textId="77777777" w:rsidR="009B5E39" w:rsidRPr="004C042D" w:rsidRDefault="009B5E39" w:rsidP="009B5E39">
      <w:pPr>
        <w:ind w:left="1134" w:right="284" w:hanging="850"/>
        <w:jc w:val="both"/>
        <w:rPr>
          <w:rFonts w:ascii="Gotham" w:hAnsi="Gotham" w:cs="Arial"/>
          <w:sz w:val="19"/>
          <w:szCs w:val="19"/>
        </w:rPr>
      </w:pPr>
      <w:r w:rsidRPr="004C042D">
        <w:rPr>
          <w:rFonts w:ascii="Gotham" w:hAnsi="Gotham" w:cs="Arial"/>
          <w:sz w:val="19"/>
          <w:szCs w:val="19"/>
        </w:rPr>
        <w:t>XXIV.</w:t>
      </w:r>
      <w:r w:rsidRPr="004C042D">
        <w:rPr>
          <w:rFonts w:ascii="Gotham" w:hAnsi="Gotham" w:cs="Arial"/>
          <w:sz w:val="19"/>
          <w:szCs w:val="19"/>
        </w:rPr>
        <w:tab/>
        <w:t>Los Pocitos.</w:t>
      </w:r>
    </w:p>
    <w:p w14:paraId="3A474ACB" w14:textId="77777777" w:rsidR="009B5E39" w:rsidRPr="0061445F" w:rsidRDefault="009B5E39" w:rsidP="009B5E39">
      <w:pPr>
        <w:jc w:val="both"/>
        <w:rPr>
          <w:rFonts w:ascii="Gotham" w:hAnsi="Gotham" w:cs="Arial"/>
          <w:b/>
          <w:sz w:val="20"/>
          <w:szCs w:val="20"/>
        </w:rPr>
      </w:pPr>
    </w:p>
    <w:p w14:paraId="3A474ACC" w14:textId="77777777" w:rsidR="009B5E39" w:rsidRPr="0061445F" w:rsidRDefault="009B5E39" w:rsidP="009B5E39">
      <w:pPr>
        <w:jc w:val="both"/>
        <w:rPr>
          <w:rFonts w:ascii="Gotham" w:hAnsi="Gotham" w:cs="Arial"/>
          <w:b/>
          <w:sz w:val="20"/>
          <w:szCs w:val="20"/>
        </w:rPr>
      </w:pPr>
      <w:r w:rsidRPr="0061445F">
        <w:rPr>
          <w:rFonts w:ascii="Gotham" w:hAnsi="Gotham" w:cs="Arial"/>
          <w:b/>
          <w:sz w:val="20"/>
          <w:szCs w:val="20"/>
        </w:rPr>
        <w:t>Debe decir:</w:t>
      </w:r>
    </w:p>
    <w:p w14:paraId="3A474ACD" w14:textId="77777777" w:rsidR="009B5E39" w:rsidRPr="0061445F" w:rsidRDefault="009B5E39" w:rsidP="009B5E39">
      <w:pPr>
        <w:jc w:val="both"/>
        <w:rPr>
          <w:rFonts w:ascii="Gotham" w:hAnsi="Gotham" w:cs="Arial"/>
          <w:b/>
          <w:sz w:val="20"/>
          <w:szCs w:val="20"/>
        </w:rPr>
      </w:pPr>
    </w:p>
    <w:p w14:paraId="3A474ACE" w14:textId="77777777" w:rsidR="009B5E39" w:rsidRPr="0061445F" w:rsidRDefault="009B5E39" w:rsidP="009B5E39">
      <w:pPr>
        <w:ind w:left="284" w:right="284"/>
        <w:jc w:val="both"/>
        <w:rPr>
          <w:rFonts w:ascii="Gotham" w:hAnsi="Gotham" w:cs="Arial"/>
          <w:b/>
          <w:sz w:val="19"/>
          <w:szCs w:val="19"/>
        </w:rPr>
      </w:pPr>
      <w:r w:rsidRPr="0061445F">
        <w:rPr>
          <w:rFonts w:ascii="Gotham" w:hAnsi="Gotham" w:cs="Arial"/>
          <w:b/>
          <w:sz w:val="19"/>
          <w:szCs w:val="19"/>
        </w:rPr>
        <w:t>Artículo 6. El Municipio cuenta con las siguientes Delegaciones y Agencias Municipales:</w:t>
      </w:r>
    </w:p>
    <w:p w14:paraId="3A474ACF" w14:textId="77777777" w:rsidR="009B5E39" w:rsidRPr="0061445F" w:rsidRDefault="009B5E39" w:rsidP="009B5E39">
      <w:pPr>
        <w:ind w:left="284" w:right="284"/>
        <w:jc w:val="both"/>
        <w:rPr>
          <w:rFonts w:ascii="Gotham" w:hAnsi="Gotham" w:cs="Arial"/>
          <w:b/>
          <w:sz w:val="19"/>
          <w:szCs w:val="19"/>
        </w:rPr>
      </w:pPr>
    </w:p>
    <w:p w14:paraId="3A474AD0" w14:textId="77777777" w:rsidR="009B5E39" w:rsidRPr="0061445F" w:rsidRDefault="009B5E39" w:rsidP="009B5E39">
      <w:pPr>
        <w:ind w:left="284" w:right="284"/>
        <w:jc w:val="both"/>
        <w:rPr>
          <w:rFonts w:ascii="Gotham" w:hAnsi="Gotham" w:cs="Arial"/>
          <w:b/>
          <w:sz w:val="19"/>
          <w:szCs w:val="19"/>
        </w:rPr>
      </w:pPr>
      <w:r w:rsidRPr="0061445F">
        <w:rPr>
          <w:rFonts w:ascii="Gotham" w:hAnsi="Gotham" w:cs="Arial"/>
          <w:b/>
          <w:sz w:val="19"/>
          <w:szCs w:val="19"/>
        </w:rPr>
        <w:t>Delegaciones:</w:t>
      </w:r>
    </w:p>
    <w:p w14:paraId="3A474AD1" w14:textId="77777777" w:rsidR="009B5E39" w:rsidRPr="0061445F" w:rsidRDefault="009B5E39" w:rsidP="009B5E39">
      <w:pPr>
        <w:ind w:left="284" w:right="284"/>
        <w:jc w:val="both"/>
        <w:rPr>
          <w:rFonts w:ascii="Gotham" w:hAnsi="Gotham" w:cs="Arial"/>
          <w:b/>
          <w:sz w:val="19"/>
          <w:szCs w:val="19"/>
        </w:rPr>
      </w:pPr>
    </w:p>
    <w:p w14:paraId="3A474AD2"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 </w:t>
      </w:r>
      <w:r>
        <w:rPr>
          <w:rFonts w:ascii="Gotham" w:hAnsi="Gotham" w:cs="Arial"/>
          <w:b/>
          <w:sz w:val="19"/>
          <w:szCs w:val="19"/>
        </w:rPr>
        <w:tab/>
      </w:r>
      <w:r w:rsidRPr="0061445F">
        <w:rPr>
          <w:rFonts w:ascii="Gotham" w:hAnsi="Gotham" w:cs="Arial"/>
          <w:b/>
          <w:sz w:val="19"/>
          <w:szCs w:val="19"/>
        </w:rPr>
        <w:t>Puente Grande;</w:t>
      </w:r>
    </w:p>
    <w:p w14:paraId="3A474AD3"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II. </w:t>
      </w:r>
      <w:r>
        <w:rPr>
          <w:rFonts w:ascii="Gotham" w:hAnsi="Gotham" w:cs="Arial"/>
          <w:b/>
          <w:sz w:val="19"/>
          <w:szCs w:val="19"/>
        </w:rPr>
        <w:tab/>
      </w:r>
      <w:r w:rsidRPr="0061445F">
        <w:rPr>
          <w:rFonts w:ascii="Gotham" w:hAnsi="Gotham" w:cs="Arial"/>
          <w:b/>
          <w:sz w:val="19"/>
          <w:szCs w:val="19"/>
        </w:rPr>
        <w:t>Zalatitán;</w:t>
      </w:r>
    </w:p>
    <w:p w14:paraId="3A474AD4"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III. </w:t>
      </w:r>
      <w:r>
        <w:rPr>
          <w:rFonts w:ascii="Gotham" w:hAnsi="Gotham" w:cs="Arial"/>
          <w:b/>
          <w:sz w:val="19"/>
          <w:szCs w:val="19"/>
        </w:rPr>
        <w:tab/>
      </w:r>
      <w:r w:rsidRPr="0061445F">
        <w:rPr>
          <w:rFonts w:ascii="Gotham" w:hAnsi="Gotham" w:cs="Arial"/>
          <w:b/>
          <w:sz w:val="19"/>
          <w:szCs w:val="19"/>
        </w:rPr>
        <w:t>San Gaspar;</w:t>
      </w:r>
    </w:p>
    <w:p w14:paraId="3A474AD5"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IV. </w:t>
      </w:r>
      <w:r>
        <w:rPr>
          <w:rFonts w:ascii="Gotham" w:hAnsi="Gotham" w:cs="Arial"/>
          <w:b/>
          <w:sz w:val="19"/>
          <w:szCs w:val="19"/>
        </w:rPr>
        <w:tab/>
      </w:r>
      <w:r w:rsidRPr="0061445F">
        <w:rPr>
          <w:rFonts w:ascii="Gotham" w:hAnsi="Gotham" w:cs="Arial"/>
          <w:b/>
          <w:sz w:val="19"/>
          <w:szCs w:val="19"/>
        </w:rPr>
        <w:t>El Rosario;</w:t>
      </w:r>
    </w:p>
    <w:p w14:paraId="3A474AD6"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V. </w:t>
      </w:r>
      <w:r>
        <w:rPr>
          <w:rFonts w:ascii="Gotham" w:hAnsi="Gotham" w:cs="Arial"/>
          <w:b/>
          <w:sz w:val="19"/>
          <w:szCs w:val="19"/>
        </w:rPr>
        <w:tab/>
      </w:r>
      <w:r w:rsidRPr="0061445F">
        <w:rPr>
          <w:rFonts w:ascii="Gotham" w:hAnsi="Gotham" w:cs="Arial"/>
          <w:b/>
          <w:sz w:val="19"/>
          <w:szCs w:val="19"/>
        </w:rPr>
        <w:t>Santa Cruz de las Huertas;</w:t>
      </w:r>
    </w:p>
    <w:p w14:paraId="3A474AD7"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VI. </w:t>
      </w:r>
      <w:r>
        <w:rPr>
          <w:rFonts w:ascii="Gotham" w:hAnsi="Gotham" w:cs="Arial"/>
          <w:b/>
          <w:sz w:val="19"/>
          <w:szCs w:val="19"/>
        </w:rPr>
        <w:tab/>
      </w:r>
      <w:r w:rsidRPr="0061445F">
        <w:rPr>
          <w:rFonts w:ascii="Gotham" w:hAnsi="Gotham" w:cs="Arial"/>
          <w:b/>
          <w:sz w:val="19"/>
          <w:szCs w:val="19"/>
        </w:rPr>
        <w:t>Coyula;</w:t>
      </w:r>
    </w:p>
    <w:p w14:paraId="3A474AD8"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VII. </w:t>
      </w:r>
      <w:r>
        <w:rPr>
          <w:rFonts w:ascii="Gotham" w:hAnsi="Gotham" w:cs="Arial"/>
          <w:b/>
          <w:sz w:val="19"/>
          <w:szCs w:val="19"/>
        </w:rPr>
        <w:tab/>
      </w:r>
      <w:r w:rsidRPr="0061445F">
        <w:rPr>
          <w:rFonts w:ascii="Gotham" w:hAnsi="Gotham" w:cs="Arial"/>
          <w:b/>
          <w:sz w:val="19"/>
          <w:szCs w:val="19"/>
        </w:rPr>
        <w:t>Tololotlán;</w:t>
      </w:r>
    </w:p>
    <w:p w14:paraId="3A474AD9"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VIII. </w:t>
      </w:r>
      <w:r>
        <w:rPr>
          <w:rFonts w:ascii="Gotham" w:hAnsi="Gotham" w:cs="Arial"/>
          <w:b/>
          <w:sz w:val="19"/>
          <w:szCs w:val="19"/>
        </w:rPr>
        <w:tab/>
      </w:r>
      <w:r w:rsidRPr="0061445F">
        <w:rPr>
          <w:rFonts w:ascii="Gotham" w:hAnsi="Gotham" w:cs="Arial"/>
          <w:b/>
          <w:sz w:val="19"/>
          <w:szCs w:val="19"/>
        </w:rPr>
        <w:t>Lomas del Camichín;</w:t>
      </w:r>
    </w:p>
    <w:p w14:paraId="3A474ADA"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IX. </w:t>
      </w:r>
      <w:r>
        <w:rPr>
          <w:rFonts w:ascii="Gotham" w:hAnsi="Gotham" w:cs="Arial"/>
          <w:b/>
          <w:sz w:val="19"/>
          <w:szCs w:val="19"/>
        </w:rPr>
        <w:tab/>
      </w:r>
      <w:r w:rsidRPr="0061445F">
        <w:rPr>
          <w:rFonts w:ascii="Gotham" w:hAnsi="Gotham" w:cs="Arial"/>
          <w:b/>
          <w:sz w:val="19"/>
          <w:szCs w:val="19"/>
        </w:rPr>
        <w:t xml:space="preserve">Colonia Jalisco “A”; </w:t>
      </w:r>
    </w:p>
    <w:p w14:paraId="3A474ADB"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lastRenderedPageBreak/>
        <w:t xml:space="preserve">X. </w:t>
      </w:r>
      <w:r>
        <w:rPr>
          <w:rFonts w:ascii="Gotham" w:hAnsi="Gotham" w:cs="Arial"/>
          <w:b/>
          <w:sz w:val="19"/>
          <w:szCs w:val="19"/>
        </w:rPr>
        <w:tab/>
      </w:r>
      <w:r w:rsidRPr="0061445F">
        <w:rPr>
          <w:rFonts w:ascii="Gotham" w:hAnsi="Gotham" w:cs="Arial"/>
          <w:b/>
          <w:sz w:val="19"/>
          <w:szCs w:val="19"/>
        </w:rPr>
        <w:t>Colonia Jalisco “B”</w:t>
      </w:r>
    </w:p>
    <w:p w14:paraId="3A474ADC"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XI. </w:t>
      </w:r>
      <w:r>
        <w:rPr>
          <w:rFonts w:ascii="Gotham" w:hAnsi="Gotham" w:cs="Arial"/>
          <w:b/>
          <w:sz w:val="19"/>
          <w:szCs w:val="19"/>
        </w:rPr>
        <w:tab/>
      </w:r>
      <w:r w:rsidRPr="0061445F">
        <w:rPr>
          <w:rFonts w:ascii="Gotham" w:hAnsi="Gotham" w:cs="Arial"/>
          <w:b/>
          <w:sz w:val="19"/>
          <w:szCs w:val="19"/>
        </w:rPr>
        <w:t>Santa Paula “A”;</w:t>
      </w:r>
    </w:p>
    <w:p w14:paraId="3A474ADD"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XII. </w:t>
      </w:r>
      <w:r>
        <w:rPr>
          <w:rFonts w:ascii="Gotham" w:hAnsi="Gotham" w:cs="Arial"/>
          <w:b/>
          <w:sz w:val="19"/>
          <w:szCs w:val="19"/>
        </w:rPr>
        <w:tab/>
      </w:r>
      <w:r w:rsidRPr="0061445F">
        <w:rPr>
          <w:rFonts w:ascii="Gotham" w:hAnsi="Gotham" w:cs="Arial"/>
          <w:b/>
          <w:sz w:val="19"/>
          <w:szCs w:val="19"/>
        </w:rPr>
        <w:t>Santa Paula “B”;</w:t>
      </w:r>
    </w:p>
    <w:p w14:paraId="3A474ADE"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XIII. </w:t>
      </w:r>
      <w:r>
        <w:rPr>
          <w:rFonts w:ascii="Gotham" w:hAnsi="Gotham" w:cs="Arial"/>
          <w:b/>
          <w:sz w:val="19"/>
          <w:szCs w:val="19"/>
        </w:rPr>
        <w:tab/>
      </w:r>
      <w:r w:rsidRPr="0061445F">
        <w:rPr>
          <w:rFonts w:ascii="Gotham" w:hAnsi="Gotham" w:cs="Arial"/>
          <w:b/>
          <w:sz w:val="19"/>
          <w:szCs w:val="19"/>
        </w:rPr>
        <w:t>Loma Dorada “A” norte;</w:t>
      </w:r>
    </w:p>
    <w:p w14:paraId="3A474ADF"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XIV. </w:t>
      </w:r>
      <w:r>
        <w:rPr>
          <w:rFonts w:ascii="Gotham" w:hAnsi="Gotham" w:cs="Arial"/>
          <w:b/>
          <w:sz w:val="19"/>
          <w:szCs w:val="19"/>
        </w:rPr>
        <w:tab/>
      </w:r>
      <w:r w:rsidRPr="0061445F">
        <w:rPr>
          <w:rFonts w:ascii="Gotham" w:hAnsi="Gotham" w:cs="Arial"/>
          <w:b/>
          <w:sz w:val="19"/>
          <w:szCs w:val="19"/>
        </w:rPr>
        <w:t>Loma Dorada “B” sur;</w:t>
      </w:r>
    </w:p>
    <w:p w14:paraId="3A474AE0"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XV. </w:t>
      </w:r>
      <w:r>
        <w:rPr>
          <w:rFonts w:ascii="Gotham" w:hAnsi="Gotham" w:cs="Arial"/>
          <w:b/>
          <w:sz w:val="19"/>
          <w:szCs w:val="19"/>
        </w:rPr>
        <w:tab/>
      </w:r>
      <w:r w:rsidRPr="0061445F">
        <w:rPr>
          <w:rFonts w:ascii="Gotham" w:hAnsi="Gotham" w:cs="Arial"/>
          <w:b/>
          <w:sz w:val="19"/>
          <w:szCs w:val="19"/>
        </w:rPr>
        <w:t>Rancho de la Cruz; y</w:t>
      </w:r>
    </w:p>
    <w:p w14:paraId="3A474AE1" w14:textId="77777777" w:rsidR="009B5E39" w:rsidRPr="0061445F" w:rsidRDefault="009B5E39" w:rsidP="009B5E39">
      <w:pPr>
        <w:ind w:left="1134" w:right="284" w:hanging="850"/>
        <w:jc w:val="both"/>
        <w:rPr>
          <w:rFonts w:ascii="Gotham" w:hAnsi="Gotham" w:cs="Arial"/>
          <w:b/>
          <w:sz w:val="19"/>
          <w:szCs w:val="19"/>
        </w:rPr>
      </w:pPr>
      <w:r w:rsidRPr="0061445F">
        <w:rPr>
          <w:rFonts w:ascii="Gotham" w:hAnsi="Gotham" w:cs="Arial"/>
          <w:b/>
          <w:sz w:val="19"/>
          <w:szCs w:val="19"/>
        </w:rPr>
        <w:t xml:space="preserve">XVI. </w:t>
      </w:r>
      <w:r>
        <w:rPr>
          <w:rFonts w:ascii="Gotham" w:hAnsi="Gotham" w:cs="Arial"/>
          <w:b/>
          <w:sz w:val="19"/>
          <w:szCs w:val="19"/>
        </w:rPr>
        <w:tab/>
      </w:r>
      <w:r w:rsidRPr="0061445F">
        <w:rPr>
          <w:rFonts w:ascii="Gotham" w:hAnsi="Gotham" w:cs="Arial"/>
          <w:b/>
          <w:sz w:val="19"/>
          <w:szCs w:val="19"/>
        </w:rPr>
        <w:t>El vado</w:t>
      </w:r>
    </w:p>
    <w:p w14:paraId="3A474AE2" w14:textId="77777777" w:rsidR="009B5E39" w:rsidRPr="0061445F" w:rsidRDefault="009B5E39" w:rsidP="009B5E39">
      <w:pPr>
        <w:ind w:left="284" w:right="284"/>
        <w:jc w:val="both"/>
        <w:rPr>
          <w:rFonts w:ascii="Gotham" w:hAnsi="Gotham" w:cs="Arial"/>
          <w:b/>
          <w:sz w:val="19"/>
          <w:szCs w:val="19"/>
        </w:rPr>
      </w:pPr>
    </w:p>
    <w:p w14:paraId="3A474AE3" w14:textId="77777777" w:rsidR="009B5E39" w:rsidRDefault="009B5E39" w:rsidP="009B5E39">
      <w:pPr>
        <w:ind w:left="284" w:right="284"/>
        <w:jc w:val="both"/>
        <w:rPr>
          <w:rFonts w:ascii="Gotham" w:hAnsi="Gotham" w:cs="Arial"/>
          <w:b/>
          <w:sz w:val="19"/>
          <w:szCs w:val="19"/>
        </w:rPr>
      </w:pPr>
      <w:r w:rsidRPr="0061445F">
        <w:rPr>
          <w:rFonts w:ascii="Gotham" w:hAnsi="Gotham" w:cs="Arial"/>
          <w:b/>
          <w:sz w:val="19"/>
          <w:szCs w:val="19"/>
        </w:rPr>
        <w:t>Agencias:</w:t>
      </w:r>
    </w:p>
    <w:p w14:paraId="3A474AE4" w14:textId="77777777" w:rsidR="009B5E39" w:rsidRPr="0061445F" w:rsidRDefault="009B5E39" w:rsidP="009B5E39">
      <w:pPr>
        <w:ind w:left="284" w:right="284"/>
        <w:jc w:val="both"/>
        <w:rPr>
          <w:rFonts w:ascii="Gotham" w:hAnsi="Gotham" w:cs="Arial"/>
          <w:b/>
          <w:sz w:val="19"/>
          <w:szCs w:val="19"/>
        </w:rPr>
      </w:pPr>
    </w:p>
    <w:p w14:paraId="3A474AE5"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 </w:t>
      </w:r>
      <w:r>
        <w:rPr>
          <w:rFonts w:ascii="Gotham" w:hAnsi="Gotham" w:cs="Arial"/>
          <w:b/>
          <w:sz w:val="19"/>
          <w:szCs w:val="19"/>
        </w:rPr>
        <w:tab/>
      </w:r>
      <w:r w:rsidRPr="0061445F">
        <w:rPr>
          <w:rFonts w:ascii="Gotham" w:hAnsi="Gotham" w:cs="Arial"/>
          <w:b/>
          <w:sz w:val="19"/>
          <w:szCs w:val="19"/>
        </w:rPr>
        <w:t>Agua Blanca;</w:t>
      </w:r>
    </w:p>
    <w:p w14:paraId="3A474AE6"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II. </w:t>
      </w:r>
      <w:r>
        <w:rPr>
          <w:rFonts w:ascii="Gotham" w:hAnsi="Gotham" w:cs="Arial"/>
          <w:b/>
          <w:sz w:val="19"/>
          <w:szCs w:val="19"/>
        </w:rPr>
        <w:tab/>
      </w:r>
      <w:r w:rsidRPr="0061445F">
        <w:rPr>
          <w:rFonts w:ascii="Gotham" w:hAnsi="Gotham" w:cs="Arial"/>
          <w:b/>
          <w:sz w:val="19"/>
          <w:szCs w:val="19"/>
        </w:rPr>
        <w:t>Jauja;</w:t>
      </w:r>
    </w:p>
    <w:p w14:paraId="3A474AE7"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III. </w:t>
      </w:r>
      <w:r>
        <w:rPr>
          <w:rFonts w:ascii="Gotham" w:hAnsi="Gotham" w:cs="Arial"/>
          <w:b/>
          <w:sz w:val="19"/>
          <w:szCs w:val="19"/>
        </w:rPr>
        <w:tab/>
      </w:r>
      <w:r w:rsidRPr="0061445F">
        <w:rPr>
          <w:rFonts w:ascii="Gotham" w:hAnsi="Gotham" w:cs="Arial"/>
          <w:b/>
          <w:sz w:val="19"/>
          <w:szCs w:val="19"/>
        </w:rPr>
        <w:t>Lomas de la Soledad;</w:t>
      </w:r>
    </w:p>
    <w:p w14:paraId="3A474AE8"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IV. </w:t>
      </w:r>
      <w:r>
        <w:rPr>
          <w:rFonts w:ascii="Gotham" w:hAnsi="Gotham" w:cs="Arial"/>
          <w:b/>
          <w:sz w:val="19"/>
          <w:szCs w:val="19"/>
        </w:rPr>
        <w:tab/>
      </w:r>
      <w:r w:rsidRPr="0061445F">
        <w:rPr>
          <w:rFonts w:ascii="Gotham" w:hAnsi="Gotham" w:cs="Arial"/>
          <w:b/>
          <w:sz w:val="19"/>
          <w:szCs w:val="19"/>
        </w:rPr>
        <w:t>Rancho del a Cruz;</w:t>
      </w:r>
    </w:p>
    <w:p w14:paraId="3A474AE9"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V. </w:t>
      </w:r>
      <w:r>
        <w:rPr>
          <w:rFonts w:ascii="Gotham" w:hAnsi="Gotham" w:cs="Arial"/>
          <w:b/>
          <w:sz w:val="19"/>
          <w:szCs w:val="19"/>
        </w:rPr>
        <w:tab/>
      </w:r>
      <w:r w:rsidRPr="0061445F">
        <w:rPr>
          <w:rFonts w:ascii="Gotham" w:hAnsi="Gotham" w:cs="Arial"/>
          <w:b/>
          <w:sz w:val="19"/>
          <w:szCs w:val="19"/>
        </w:rPr>
        <w:t>San Miguel de la Punta;</w:t>
      </w:r>
    </w:p>
    <w:p w14:paraId="3A474AEA"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VI. </w:t>
      </w:r>
      <w:r>
        <w:rPr>
          <w:rFonts w:ascii="Gotham" w:hAnsi="Gotham" w:cs="Arial"/>
          <w:b/>
          <w:sz w:val="19"/>
          <w:szCs w:val="19"/>
        </w:rPr>
        <w:tab/>
      </w:r>
      <w:r w:rsidRPr="0061445F">
        <w:rPr>
          <w:rFonts w:ascii="Gotham" w:hAnsi="Gotham" w:cs="Arial"/>
          <w:b/>
          <w:sz w:val="19"/>
          <w:szCs w:val="19"/>
        </w:rPr>
        <w:t>Rey Xólotl;</w:t>
      </w:r>
    </w:p>
    <w:p w14:paraId="3A474AEB"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VII. </w:t>
      </w:r>
      <w:r>
        <w:rPr>
          <w:rFonts w:ascii="Gotham" w:hAnsi="Gotham" w:cs="Arial"/>
          <w:b/>
          <w:sz w:val="19"/>
          <w:szCs w:val="19"/>
        </w:rPr>
        <w:tab/>
      </w:r>
      <w:r w:rsidRPr="0061445F">
        <w:rPr>
          <w:rFonts w:ascii="Gotham" w:hAnsi="Gotham" w:cs="Arial"/>
          <w:b/>
          <w:sz w:val="19"/>
          <w:szCs w:val="19"/>
        </w:rPr>
        <w:t>Loma Bonita;</w:t>
      </w:r>
    </w:p>
    <w:p w14:paraId="3A474AEC" w14:textId="77777777" w:rsidR="009B5E39" w:rsidRPr="0061445F" w:rsidRDefault="009B5E39" w:rsidP="009B5E39">
      <w:pPr>
        <w:spacing w:after="80"/>
        <w:ind w:left="1134" w:right="284" w:hanging="850"/>
        <w:jc w:val="both"/>
        <w:rPr>
          <w:rFonts w:ascii="Gotham" w:hAnsi="Gotham" w:cs="Arial"/>
          <w:b/>
          <w:sz w:val="19"/>
          <w:szCs w:val="19"/>
        </w:rPr>
      </w:pPr>
      <w:r w:rsidRPr="0061445F">
        <w:rPr>
          <w:rFonts w:ascii="Gotham" w:hAnsi="Gotham" w:cs="Arial"/>
          <w:b/>
          <w:sz w:val="19"/>
          <w:szCs w:val="19"/>
        </w:rPr>
        <w:t xml:space="preserve">VIII. </w:t>
      </w:r>
      <w:r>
        <w:rPr>
          <w:rFonts w:ascii="Gotham" w:hAnsi="Gotham" w:cs="Arial"/>
          <w:b/>
          <w:sz w:val="19"/>
          <w:szCs w:val="19"/>
        </w:rPr>
        <w:tab/>
      </w:r>
      <w:r w:rsidRPr="0061445F">
        <w:rPr>
          <w:rFonts w:ascii="Gotham" w:hAnsi="Gotham" w:cs="Arial"/>
          <w:b/>
          <w:sz w:val="19"/>
          <w:szCs w:val="19"/>
        </w:rPr>
        <w:t>Infonavit la Soledad/Los Pocitos;</w:t>
      </w:r>
    </w:p>
    <w:p w14:paraId="3A474AED" w14:textId="77777777" w:rsidR="009B5E39" w:rsidRPr="0061445F" w:rsidRDefault="009B5E39" w:rsidP="009B5E39">
      <w:pPr>
        <w:ind w:left="1134" w:right="284" w:hanging="850"/>
        <w:jc w:val="both"/>
        <w:rPr>
          <w:rFonts w:ascii="Gotham" w:hAnsi="Gotham" w:cs="Arial"/>
          <w:b/>
          <w:sz w:val="19"/>
          <w:szCs w:val="19"/>
        </w:rPr>
      </w:pPr>
      <w:r w:rsidRPr="0061445F">
        <w:rPr>
          <w:rFonts w:ascii="Gotham" w:hAnsi="Gotham" w:cs="Arial"/>
          <w:b/>
          <w:sz w:val="19"/>
          <w:szCs w:val="19"/>
        </w:rPr>
        <w:t xml:space="preserve">IX. </w:t>
      </w:r>
      <w:r>
        <w:rPr>
          <w:rFonts w:ascii="Gotham" w:hAnsi="Gotham" w:cs="Arial"/>
          <w:b/>
          <w:sz w:val="19"/>
          <w:szCs w:val="19"/>
        </w:rPr>
        <w:tab/>
      </w:r>
      <w:r w:rsidRPr="0061445F">
        <w:rPr>
          <w:rFonts w:ascii="Gotham" w:hAnsi="Gotham" w:cs="Arial"/>
          <w:b/>
          <w:sz w:val="19"/>
          <w:szCs w:val="19"/>
        </w:rPr>
        <w:t>Alamedas de Zalatitán;</w:t>
      </w:r>
    </w:p>
    <w:p w14:paraId="3A474AEE" w14:textId="77777777" w:rsidR="009B5E39" w:rsidRPr="003D457F" w:rsidRDefault="009B5E39" w:rsidP="009B5E39">
      <w:pPr>
        <w:jc w:val="both"/>
        <w:rPr>
          <w:rFonts w:ascii="Gotham" w:hAnsi="Gotham" w:cs="Arial"/>
          <w:b/>
          <w:sz w:val="20"/>
          <w:szCs w:val="20"/>
        </w:rPr>
      </w:pPr>
    </w:p>
    <w:p w14:paraId="3A474AEF" w14:textId="77777777" w:rsidR="009B5E39" w:rsidRPr="003D457F" w:rsidRDefault="009B5E39" w:rsidP="009B5E39">
      <w:pPr>
        <w:jc w:val="both"/>
        <w:rPr>
          <w:rFonts w:ascii="Gotham" w:hAnsi="Gotham" w:cs="Arial"/>
          <w:b/>
          <w:sz w:val="20"/>
          <w:szCs w:val="20"/>
        </w:rPr>
      </w:pPr>
      <w:r w:rsidRPr="003D457F">
        <w:rPr>
          <w:rFonts w:ascii="Gotham" w:hAnsi="Gotham" w:cs="Arial"/>
          <w:b/>
          <w:sz w:val="20"/>
          <w:szCs w:val="20"/>
        </w:rPr>
        <w:t xml:space="preserve">El artículo 7 intocado al 9 intocados; </w:t>
      </w:r>
    </w:p>
    <w:p w14:paraId="3A474AF0" w14:textId="77777777" w:rsidR="009B5E39" w:rsidRPr="003D457F" w:rsidRDefault="009B5E39" w:rsidP="009B5E39">
      <w:pPr>
        <w:jc w:val="both"/>
        <w:rPr>
          <w:rFonts w:ascii="Gotham" w:hAnsi="Gotham" w:cs="Arial"/>
          <w:b/>
          <w:sz w:val="20"/>
          <w:szCs w:val="20"/>
        </w:rPr>
      </w:pPr>
    </w:p>
    <w:p w14:paraId="3A474AF1" w14:textId="77777777" w:rsidR="009B5E39" w:rsidRPr="003D457F" w:rsidRDefault="009B5E39" w:rsidP="009B5E39">
      <w:pPr>
        <w:jc w:val="both"/>
        <w:rPr>
          <w:rFonts w:ascii="Gotham" w:hAnsi="Gotham" w:cs="Arial"/>
          <w:b/>
          <w:sz w:val="20"/>
          <w:szCs w:val="20"/>
        </w:rPr>
      </w:pPr>
      <w:r w:rsidRPr="003D457F">
        <w:rPr>
          <w:rFonts w:ascii="Gotham" w:hAnsi="Gotham" w:cs="Arial"/>
          <w:b/>
          <w:sz w:val="20"/>
          <w:szCs w:val="20"/>
        </w:rPr>
        <w:t>Artículo 10. Se deroga; artículos del 11 al 13 intocados;</w:t>
      </w:r>
    </w:p>
    <w:p w14:paraId="3A474AF2" w14:textId="77777777" w:rsidR="009B5E39" w:rsidRPr="003D457F" w:rsidRDefault="009B5E39" w:rsidP="009B5E39">
      <w:pPr>
        <w:jc w:val="both"/>
        <w:rPr>
          <w:rFonts w:ascii="Gotham" w:hAnsi="Gotham" w:cs="Arial"/>
          <w:b/>
          <w:sz w:val="20"/>
          <w:szCs w:val="20"/>
        </w:rPr>
      </w:pPr>
    </w:p>
    <w:p w14:paraId="3A474AF3" w14:textId="77777777" w:rsidR="009B5E39" w:rsidRPr="003D457F" w:rsidRDefault="009B5E39" w:rsidP="009B5E39">
      <w:pPr>
        <w:jc w:val="both"/>
        <w:rPr>
          <w:rFonts w:ascii="Gotham" w:hAnsi="Gotham" w:cs="Arial"/>
          <w:b/>
          <w:sz w:val="20"/>
          <w:szCs w:val="20"/>
        </w:rPr>
      </w:pPr>
      <w:r w:rsidRPr="003D457F">
        <w:rPr>
          <w:rFonts w:ascii="Gotham" w:hAnsi="Gotham" w:cs="Arial"/>
          <w:b/>
          <w:sz w:val="20"/>
          <w:szCs w:val="20"/>
        </w:rPr>
        <w:t>Se propone modificar el Artículo 14: dice:</w:t>
      </w:r>
    </w:p>
    <w:p w14:paraId="3A474AF4" w14:textId="77777777" w:rsidR="009B5E39" w:rsidRPr="003D457F" w:rsidRDefault="009B5E39" w:rsidP="009B5E39">
      <w:pPr>
        <w:jc w:val="both"/>
        <w:rPr>
          <w:rFonts w:ascii="Gotham" w:hAnsi="Gotham" w:cs="Arial"/>
          <w:b/>
          <w:sz w:val="20"/>
          <w:szCs w:val="20"/>
        </w:rPr>
      </w:pPr>
    </w:p>
    <w:p w14:paraId="3A474AF5" w14:textId="77777777" w:rsidR="009B5E39" w:rsidRPr="00FD56F6" w:rsidRDefault="009B5E39" w:rsidP="009B5E39">
      <w:pPr>
        <w:pStyle w:val="Textoindependiente"/>
        <w:spacing w:after="0"/>
        <w:ind w:left="284" w:right="283"/>
        <w:jc w:val="both"/>
        <w:rPr>
          <w:rFonts w:ascii="Gotham" w:hAnsi="Gotham" w:cs="Arial"/>
          <w:sz w:val="19"/>
          <w:szCs w:val="19"/>
        </w:rPr>
      </w:pPr>
      <w:r w:rsidRPr="00FD56F6">
        <w:rPr>
          <w:rFonts w:ascii="Gotham" w:hAnsi="Gotham" w:cs="Arial"/>
          <w:b/>
          <w:sz w:val="19"/>
          <w:szCs w:val="19"/>
        </w:rPr>
        <w:t xml:space="preserve">Artículo 14. </w:t>
      </w:r>
      <w:r w:rsidRPr="00FD56F6">
        <w:rPr>
          <w:rFonts w:ascii="Gotham" w:hAnsi="Gotham" w:cs="Arial"/>
          <w:sz w:val="19"/>
          <w:szCs w:val="19"/>
        </w:rPr>
        <w:t>Para ser Delegado, Subdelegado o Agente Municipal se requiere por lo menos, cumplir con los siguientes</w:t>
      </w:r>
      <w:r w:rsidRPr="00FD56F6">
        <w:rPr>
          <w:rFonts w:ascii="Gotham" w:hAnsi="Gotham" w:cs="Arial"/>
          <w:spacing w:val="-2"/>
          <w:sz w:val="19"/>
          <w:szCs w:val="19"/>
        </w:rPr>
        <w:t xml:space="preserve"> </w:t>
      </w:r>
      <w:r w:rsidRPr="00FD56F6">
        <w:rPr>
          <w:rFonts w:ascii="Gotham" w:hAnsi="Gotham" w:cs="Arial"/>
          <w:sz w:val="19"/>
          <w:szCs w:val="19"/>
        </w:rPr>
        <w:t>requisitos:</w:t>
      </w:r>
    </w:p>
    <w:p w14:paraId="3A474AF6" w14:textId="77777777" w:rsidR="009B5E39" w:rsidRPr="00FD56F6" w:rsidRDefault="009B5E39" w:rsidP="009B5E39">
      <w:pPr>
        <w:widowControl w:val="0"/>
        <w:tabs>
          <w:tab w:val="left" w:pos="941"/>
          <w:tab w:val="left" w:pos="942"/>
        </w:tabs>
        <w:autoSpaceDE w:val="0"/>
        <w:autoSpaceDN w:val="0"/>
        <w:ind w:left="284" w:right="283"/>
        <w:jc w:val="both"/>
        <w:rPr>
          <w:rFonts w:ascii="Gotham" w:hAnsi="Gotham" w:cs="Arial"/>
          <w:sz w:val="19"/>
          <w:szCs w:val="19"/>
        </w:rPr>
      </w:pPr>
    </w:p>
    <w:p w14:paraId="3A474AF7"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I. </w:t>
      </w:r>
      <w:r>
        <w:rPr>
          <w:rFonts w:ascii="Gotham" w:hAnsi="Gotham" w:cs="Arial"/>
          <w:sz w:val="19"/>
          <w:szCs w:val="19"/>
        </w:rPr>
        <w:tab/>
      </w:r>
      <w:r w:rsidRPr="00FD56F6">
        <w:rPr>
          <w:rFonts w:ascii="Gotham" w:hAnsi="Gotham" w:cs="Arial"/>
          <w:sz w:val="19"/>
          <w:szCs w:val="19"/>
        </w:rPr>
        <w:t>Tener 18 años cumplidos al día de la</w:t>
      </w:r>
      <w:r w:rsidRPr="00FD56F6">
        <w:rPr>
          <w:rFonts w:ascii="Gotham" w:hAnsi="Gotham" w:cs="Arial"/>
          <w:spacing w:val="-8"/>
          <w:sz w:val="19"/>
          <w:szCs w:val="19"/>
        </w:rPr>
        <w:t xml:space="preserve"> </w:t>
      </w:r>
      <w:r w:rsidRPr="00FD56F6">
        <w:rPr>
          <w:rFonts w:ascii="Gotham" w:hAnsi="Gotham" w:cs="Arial"/>
          <w:sz w:val="19"/>
          <w:szCs w:val="19"/>
        </w:rPr>
        <w:t>designación;</w:t>
      </w:r>
    </w:p>
    <w:p w14:paraId="3A474AF8"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II. </w:t>
      </w:r>
      <w:r>
        <w:rPr>
          <w:rFonts w:ascii="Gotham" w:hAnsi="Gotham" w:cs="Arial"/>
          <w:sz w:val="19"/>
          <w:szCs w:val="19"/>
        </w:rPr>
        <w:tab/>
      </w:r>
      <w:r w:rsidRPr="00FD56F6">
        <w:rPr>
          <w:rFonts w:ascii="Gotham" w:hAnsi="Gotham" w:cs="Arial"/>
          <w:sz w:val="19"/>
          <w:szCs w:val="19"/>
        </w:rPr>
        <w:t>Tener un modo honesto de</w:t>
      </w:r>
      <w:r w:rsidRPr="00FD56F6">
        <w:rPr>
          <w:rFonts w:ascii="Gotham" w:hAnsi="Gotham" w:cs="Arial"/>
          <w:spacing w:val="-4"/>
          <w:sz w:val="19"/>
          <w:szCs w:val="19"/>
        </w:rPr>
        <w:t xml:space="preserve"> </w:t>
      </w:r>
      <w:r w:rsidRPr="00FD56F6">
        <w:rPr>
          <w:rFonts w:ascii="Gotham" w:hAnsi="Gotham" w:cs="Arial"/>
          <w:sz w:val="19"/>
          <w:szCs w:val="19"/>
        </w:rPr>
        <w:t>vivir;</w:t>
      </w:r>
    </w:p>
    <w:p w14:paraId="3A474AF9"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III. </w:t>
      </w:r>
      <w:r>
        <w:rPr>
          <w:rFonts w:ascii="Gotham" w:hAnsi="Gotham" w:cs="Arial"/>
          <w:sz w:val="19"/>
          <w:szCs w:val="19"/>
        </w:rPr>
        <w:tab/>
      </w:r>
      <w:r w:rsidRPr="00FD56F6">
        <w:rPr>
          <w:rFonts w:ascii="Gotham" w:hAnsi="Gotham" w:cs="Arial"/>
          <w:sz w:val="19"/>
          <w:szCs w:val="19"/>
        </w:rPr>
        <w:t>Tener su residencia en la Delegación o Agencia Municipal</w:t>
      </w:r>
      <w:r w:rsidRPr="00FD56F6">
        <w:rPr>
          <w:rFonts w:ascii="Gotham" w:hAnsi="Gotham" w:cs="Arial"/>
          <w:spacing w:val="-18"/>
          <w:sz w:val="19"/>
          <w:szCs w:val="19"/>
        </w:rPr>
        <w:t xml:space="preserve"> </w:t>
      </w:r>
      <w:r w:rsidRPr="00FD56F6">
        <w:rPr>
          <w:rFonts w:ascii="Gotham" w:hAnsi="Gotham" w:cs="Arial"/>
          <w:sz w:val="19"/>
          <w:szCs w:val="19"/>
        </w:rPr>
        <w:t>correspondiente;</w:t>
      </w:r>
    </w:p>
    <w:p w14:paraId="3A474AFA"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IV. </w:t>
      </w:r>
      <w:r>
        <w:rPr>
          <w:rFonts w:ascii="Gotham" w:hAnsi="Gotham" w:cs="Arial"/>
          <w:sz w:val="19"/>
          <w:szCs w:val="19"/>
        </w:rPr>
        <w:tab/>
      </w:r>
      <w:r w:rsidRPr="00FD56F6">
        <w:rPr>
          <w:rFonts w:ascii="Gotham" w:hAnsi="Gotham" w:cs="Arial"/>
          <w:sz w:val="19"/>
          <w:szCs w:val="19"/>
        </w:rPr>
        <w:t>Haber terminado la enseñanza</w:t>
      </w:r>
      <w:r w:rsidRPr="00FD56F6">
        <w:rPr>
          <w:rFonts w:ascii="Gotham" w:hAnsi="Gotham" w:cs="Arial"/>
          <w:spacing w:val="-2"/>
          <w:sz w:val="19"/>
          <w:szCs w:val="19"/>
        </w:rPr>
        <w:t xml:space="preserve"> </w:t>
      </w:r>
      <w:r w:rsidRPr="00FD56F6">
        <w:rPr>
          <w:rFonts w:ascii="Gotham" w:hAnsi="Gotham" w:cs="Arial"/>
          <w:sz w:val="19"/>
          <w:szCs w:val="19"/>
        </w:rPr>
        <w:t xml:space="preserve">secundaria. </w:t>
      </w:r>
    </w:p>
    <w:p w14:paraId="3A474AFB"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V. </w:t>
      </w:r>
      <w:r>
        <w:rPr>
          <w:rFonts w:ascii="Gotham" w:hAnsi="Gotham" w:cs="Arial"/>
          <w:sz w:val="19"/>
          <w:szCs w:val="19"/>
        </w:rPr>
        <w:tab/>
      </w:r>
      <w:r w:rsidRPr="00FD56F6">
        <w:rPr>
          <w:rFonts w:ascii="Gotham" w:hAnsi="Gotham" w:cs="Arial"/>
          <w:sz w:val="19"/>
          <w:szCs w:val="19"/>
        </w:rPr>
        <w:t>No contar con antecedentes penales;</w:t>
      </w:r>
    </w:p>
    <w:p w14:paraId="3A474AFC"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VI. </w:t>
      </w:r>
      <w:r>
        <w:rPr>
          <w:rFonts w:ascii="Gotham" w:hAnsi="Gotham" w:cs="Arial"/>
          <w:sz w:val="19"/>
          <w:szCs w:val="19"/>
        </w:rPr>
        <w:tab/>
      </w:r>
      <w:r w:rsidRPr="00FD56F6">
        <w:rPr>
          <w:rFonts w:ascii="Gotham" w:hAnsi="Gotham" w:cs="Arial"/>
          <w:sz w:val="19"/>
          <w:szCs w:val="19"/>
        </w:rPr>
        <w:t>Tener vocación de servicio y ser de reconocida honorabilidad;</w:t>
      </w:r>
    </w:p>
    <w:p w14:paraId="3A474AFD"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VII. </w:t>
      </w:r>
      <w:r>
        <w:rPr>
          <w:rFonts w:ascii="Gotham" w:hAnsi="Gotham" w:cs="Arial"/>
          <w:sz w:val="19"/>
          <w:szCs w:val="19"/>
        </w:rPr>
        <w:tab/>
      </w:r>
      <w:r w:rsidRPr="00FD56F6">
        <w:rPr>
          <w:rFonts w:ascii="Gotham" w:hAnsi="Gotham" w:cs="Arial"/>
          <w:sz w:val="19"/>
          <w:szCs w:val="19"/>
        </w:rPr>
        <w:t>Estar en pleno uso de sus derechos civiles y políticos;</w:t>
      </w:r>
    </w:p>
    <w:p w14:paraId="3A474AFE"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VIII. </w:t>
      </w:r>
      <w:r>
        <w:rPr>
          <w:rFonts w:ascii="Gotham" w:hAnsi="Gotham" w:cs="Arial"/>
          <w:sz w:val="19"/>
          <w:szCs w:val="19"/>
        </w:rPr>
        <w:tab/>
      </w:r>
      <w:r w:rsidRPr="00FD56F6">
        <w:rPr>
          <w:rFonts w:ascii="Gotham" w:hAnsi="Gotham" w:cs="Arial"/>
          <w:sz w:val="19"/>
          <w:szCs w:val="19"/>
        </w:rPr>
        <w:t>No ser servidor público del Municipio; se deroga</w:t>
      </w:r>
    </w:p>
    <w:p w14:paraId="3A474AFF" w14:textId="77777777" w:rsidR="009B5E39" w:rsidRPr="00FD56F6" w:rsidRDefault="009B5E39" w:rsidP="009B5E39">
      <w:pPr>
        <w:widowControl w:val="0"/>
        <w:autoSpaceDE w:val="0"/>
        <w:autoSpaceDN w:val="0"/>
        <w:spacing w:after="120"/>
        <w:ind w:left="1134" w:right="283" w:hanging="850"/>
        <w:jc w:val="both"/>
        <w:rPr>
          <w:rFonts w:ascii="Gotham" w:hAnsi="Gotham" w:cs="Arial"/>
          <w:sz w:val="19"/>
          <w:szCs w:val="19"/>
        </w:rPr>
      </w:pPr>
      <w:r w:rsidRPr="00FD56F6">
        <w:rPr>
          <w:rFonts w:ascii="Gotham" w:hAnsi="Gotham" w:cs="Arial"/>
          <w:sz w:val="19"/>
          <w:szCs w:val="19"/>
        </w:rPr>
        <w:t xml:space="preserve">IX. </w:t>
      </w:r>
      <w:r>
        <w:rPr>
          <w:rFonts w:ascii="Gotham" w:hAnsi="Gotham" w:cs="Arial"/>
          <w:sz w:val="19"/>
          <w:szCs w:val="19"/>
        </w:rPr>
        <w:tab/>
      </w:r>
      <w:r w:rsidRPr="00FD56F6">
        <w:rPr>
          <w:rFonts w:ascii="Gotham" w:hAnsi="Gotham" w:cs="Arial"/>
          <w:sz w:val="19"/>
          <w:szCs w:val="19"/>
        </w:rPr>
        <w:t>No formar parte de órganos directivos de partidos políticos o ser su representante ante organismos electorales; y se deroga</w:t>
      </w:r>
    </w:p>
    <w:p w14:paraId="3A474B00" w14:textId="77777777" w:rsidR="009B5E39" w:rsidRPr="00FD56F6" w:rsidRDefault="009B5E39" w:rsidP="009B5E39">
      <w:pPr>
        <w:widowControl w:val="0"/>
        <w:autoSpaceDE w:val="0"/>
        <w:autoSpaceDN w:val="0"/>
        <w:ind w:left="1134" w:right="283" w:hanging="850"/>
        <w:jc w:val="both"/>
        <w:rPr>
          <w:rFonts w:ascii="Gotham" w:hAnsi="Gotham" w:cs="Arial"/>
          <w:sz w:val="19"/>
          <w:szCs w:val="19"/>
        </w:rPr>
      </w:pPr>
      <w:r w:rsidRPr="00FD56F6">
        <w:rPr>
          <w:rFonts w:ascii="Gotham" w:hAnsi="Gotham" w:cs="Arial"/>
          <w:sz w:val="19"/>
          <w:szCs w:val="19"/>
        </w:rPr>
        <w:t xml:space="preserve">X. </w:t>
      </w:r>
      <w:r>
        <w:rPr>
          <w:rFonts w:ascii="Gotham" w:hAnsi="Gotham" w:cs="Arial"/>
          <w:sz w:val="19"/>
          <w:szCs w:val="19"/>
        </w:rPr>
        <w:tab/>
      </w:r>
      <w:r w:rsidRPr="00FD56F6">
        <w:rPr>
          <w:rFonts w:ascii="Gotham" w:hAnsi="Gotham" w:cs="Arial"/>
          <w:sz w:val="19"/>
          <w:szCs w:val="19"/>
        </w:rPr>
        <w:t>No ser ministro de culto religioso.</w:t>
      </w:r>
    </w:p>
    <w:p w14:paraId="3A474B01" w14:textId="77777777" w:rsidR="009B5E39" w:rsidRPr="00FD56F6" w:rsidRDefault="009B5E39" w:rsidP="009B5E39">
      <w:pPr>
        <w:jc w:val="both"/>
        <w:rPr>
          <w:rFonts w:ascii="Gotham" w:hAnsi="Gotham" w:cs="Arial"/>
          <w:b/>
          <w:sz w:val="20"/>
          <w:szCs w:val="20"/>
        </w:rPr>
      </w:pPr>
    </w:p>
    <w:p w14:paraId="3A474B02" w14:textId="77777777" w:rsidR="009B5E39" w:rsidRPr="00FD56F6" w:rsidRDefault="009B5E39" w:rsidP="009B5E39">
      <w:pPr>
        <w:jc w:val="both"/>
        <w:rPr>
          <w:rFonts w:ascii="Gotham" w:hAnsi="Gotham" w:cs="Arial"/>
          <w:b/>
          <w:sz w:val="20"/>
          <w:szCs w:val="20"/>
        </w:rPr>
      </w:pPr>
      <w:r w:rsidRPr="00FD56F6">
        <w:rPr>
          <w:rFonts w:ascii="Gotham" w:hAnsi="Gotham" w:cs="Arial"/>
          <w:b/>
          <w:sz w:val="20"/>
          <w:szCs w:val="20"/>
        </w:rPr>
        <w:t>Debe decir:</w:t>
      </w:r>
    </w:p>
    <w:p w14:paraId="3A474B03" w14:textId="77777777" w:rsidR="009B5E39" w:rsidRPr="00FD56F6" w:rsidRDefault="009B5E39" w:rsidP="009B5E39">
      <w:pPr>
        <w:jc w:val="both"/>
        <w:rPr>
          <w:rFonts w:ascii="Gotham" w:hAnsi="Gotham" w:cs="Arial"/>
          <w:b/>
          <w:sz w:val="20"/>
          <w:szCs w:val="20"/>
        </w:rPr>
      </w:pPr>
    </w:p>
    <w:p w14:paraId="3A474B04" w14:textId="77777777" w:rsidR="009B5E39" w:rsidRPr="009F5010" w:rsidRDefault="009B5E39" w:rsidP="009B5E39">
      <w:pPr>
        <w:widowControl w:val="0"/>
        <w:autoSpaceDE w:val="0"/>
        <w:autoSpaceDN w:val="0"/>
        <w:spacing w:after="120"/>
        <w:ind w:left="284" w:right="284"/>
        <w:jc w:val="both"/>
        <w:rPr>
          <w:rFonts w:ascii="Gotham" w:hAnsi="Gotham" w:cs="Arial"/>
          <w:sz w:val="19"/>
          <w:szCs w:val="19"/>
        </w:rPr>
      </w:pPr>
      <w:r w:rsidRPr="009F5010">
        <w:rPr>
          <w:rFonts w:ascii="Gotham" w:hAnsi="Gotham" w:cs="Arial"/>
          <w:b/>
          <w:sz w:val="19"/>
          <w:szCs w:val="19"/>
        </w:rPr>
        <w:t xml:space="preserve">Artículo 14. </w:t>
      </w:r>
      <w:r w:rsidRPr="009F5010">
        <w:rPr>
          <w:rFonts w:ascii="Gotham" w:hAnsi="Gotham" w:cs="Arial"/>
          <w:sz w:val="19"/>
          <w:szCs w:val="19"/>
        </w:rPr>
        <w:t xml:space="preserve">Para ser Delegado, Subdelegado o Agente Municipal se requiere por lo menos, cumplir </w:t>
      </w:r>
      <w:r w:rsidRPr="009F5010">
        <w:rPr>
          <w:rFonts w:ascii="Gotham" w:hAnsi="Gotham" w:cs="Arial"/>
          <w:sz w:val="19"/>
          <w:szCs w:val="19"/>
        </w:rPr>
        <w:lastRenderedPageBreak/>
        <w:t>con los siguientes requisitos:</w:t>
      </w:r>
    </w:p>
    <w:p w14:paraId="3A474B05" w14:textId="77777777" w:rsidR="009B5E39" w:rsidRPr="009F5010" w:rsidRDefault="009B5E39" w:rsidP="009B5E39">
      <w:pPr>
        <w:widowControl w:val="0"/>
        <w:autoSpaceDE w:val="0"/>
        <w:autoSpaceDN w:val="0"/>
        <w:spacing w:after="120"/>
        <w:ind w:left="1134" w:right="284" w:hanging="850"/>
        <w:jc w:val="both"/>
        <w:rPr>
          <w:rFonts w:ascii="Gotham" w:hAnsi="Gotham" w:cs="Arial"/>
          <w:sz w:val="19"/>
          <w:szCs w:val="19"/>
        </w:rPr>
      </w:pPr>
      <w:r w:rsidRPr="009F5010">
        <w:rPr>
          <w:rFonts w:ascii="Gotham" w:hAnsi="Gotham" w:cs="Arial"/>
          <w:sz w:val="19"/>
          <w:szCs w:val="19"/>
        </w:rPr>
        <w:t xml:space="preserve">I. </w:t>
      </w:r>
      <w:r>
        <w:rPr>
          <w:rFonts w:ascii="Gotham" w:hAnsi="Gotham" w:cs="Arial"/>
          <w:sz w:val="19"/>
          <w:szCs w:val="19"/>
        </w:rPr>
        <w:tab/>
      </w:r>
      <w:r w:rsidRPr="009F5010">
        <w:rPr>
          <w:rFonts w:ascii="Gotham" w:hAnsi="Gotham" w:cs="Arial"/>
          <w:sz w:val="19"/>
          <w:szCs w:val="19"/>
        </w:rPr>
        <w:t>Tener 18 años cumplidos al día de la designación;</w:t>
      </w:r>
    </w:p>
    <w:p w14:paraId="3A474B06" w14:textId="77777777" w:rsidR="009B5E39" w:rsidRPr="009F5010" w:rsidRDefault="009B5E39" w:rsidP="009B5E39">
      <w:pPr>
        <w:widowControl w:val="0"/>
        <w:autoSpaceDE w:val="0"/>
        <w:autoSpaceDN w:val="0"/>
        <w:spacing w:after="120"/>
        <w:ind w:left="1134" w:right="284" w:hanging="850"/>
        <w:jc w:val="both"/>
        <w:rPr>
          <w:rFonts w:ascii="Gotham" w:hAnsi="Gotham" w:cs="Arial"/>
          <w:sz w:val="19"/>
          <w:szCs w:val="19"/>
        </w:rPr>
      </w:pPr>
      <w:r w:rsidRPr="009F5010">
        <w:rPr>
          <w:rFonts w:ascii="Gotham" w:hAnsi="Gotham" w:cs="Arial"/>
          <w:sz w:val="19"/>
          <w:szCs w:val="19"/>
        </w:rPr>
        <w:t xml:space="preserve">II. </w:t>
      </w:r>
      <w:r>
        <w:rPr>
          <w:rFonts w:ascii="Gotham" w:hAnsi="Gotham" w:cs="Arial"/>
          <w:sz w:val="19"/>
          <w:szCs w:val="19"/>
        </w:rPr>
        <w:tab/>
      </w:r>
      <w:r w:rsidRPr="009F5010">
        <w:rPr>
          <w:rFonts w:ascii="Gotham" w:hAnsi="Gotham" w:cs="Arial"/>
          <w:sz w:val="19"/>
          <w:szCs w:val="19"/>
        </w:rPr>
        <w:t>Tener un modo honesto de vivir;</w:t>
      </w:r>
    </w:p>
    <w:p w14:paraId="3A474B07" w14:textId="77777777" w:rsidR="009B5E39" w:rsidRPr="009F5010" w:rsidRDefault="009B5E39" w:rsidP="009B5E39">
      <w:pPr>
        <w:widowControl w:val="0"/>
        <w:autoSpaceDE w:val="0"/>
        <w:autoSpaceDN w:val="0"/>
        <w:spacing w:after="120"/>
        <w:ind w:left="1134" w:right="284" w:hanging="850"/>
        <w:jc w:val="both"/>
        <w:rPr>
          <w:rFonts w:ascii="Gotham" w:hAnsi="Gotham" w:cs="Arial"/>
          <w:b/>
          <w:sz w:val="19"/>
          <w:szCs w:val="19"/>
        </w:rPr>
      </w:pPr>
      <w:r w:rsidRPr="009F5010">
        <w:rPr>
          <w:rFonts w:ascii="Gotham" w:hAnsi="Gotham" w:cs="Arial"/>
          <w:sz w:val="19"/>
          <w:szCs w:val="19"/>
        </w:rPr>
        <w:t xml:space="preserve">III. </w:t>
      </w:r>
      <w:r>
        <w:rPr>
          <w:rFonts w:ascii="Gotham" w:hAnsi="Gotham" w:cs="Arial"/>
          <w:sz w:val="19"/>
          <w:szCs w:val="19"/>
        </w:rPr>
        <w:tab/>
      </w:r>
      <w:r w:rsidRPr="009F5010">
        <w:rPr>
          <w:rFonts w:ascii="Gotham" w:hAnsi="Gotham" w:cs="Arial"/>
          <w:sz w:val="19"/>
          <w:szCs w:val="19"/>
        </w:rPr>
        <w:t xml:space="preserve">Tener su residencia en la Delegación o Agencia Municipal correspondiente, </w:t>
      </w:r>
      <w:r w:rsidRPr="009F5010">
        <w:rPr>
          <w:rFonts w:ascii="Gotham" w:hAnsi="Gotham" w:cs="Arial"/>
          <w:b/>
          <w:sz w:val="19"/>
          <w:szCs w:val="19"/>
        </w:rPr>
        <w:t>preferentemente;</w:t>
      </w:r>
    </w:p>
    <w:p w14:paraId="3A474B08" w14:textId="77777777" w:rsidR="009B5E39" w:rsidRPr="009F5010" w:rsidRDefault="009B5E39" w:rsidP="009B5E39">
      <w:pPr>
        <w:widowControl w:val="0"/>
        <w:autoSpaceDE w:val="0"/>
        <w:autoSpaceDN w:val="0"/>
        <w:spacing w:after="120"/>
        <w:ind w:left="1134" w:right="284" w:hanging="850"/>
        <w:jc w:val="both"/>
        <w:rPr>
          <w:rFonts w:ascii="Gotham" w:hAnsi="Gotham" w:cs="Arial"/>
          <w:sz w:val="19"/>
          <w:szCs w:val="19"/>
        </w:rPr>
      </w:pPr>
      <w:r w:rsidRPr="009F5010">
        <w:rPr>
          <w:rFonts w:ascii="Gotham" w:hAnsi="Gotham" w:cs="Arial"/>
          <w:sz w:val="19"/>
          <w:szCs w:val="19"/>
        </w:rPr>
        <w:t xml:space="preserve">IV. </w:t>
      </w:r>
      <w:r>
        <w:rPr>
          <w:rFonts w:ascii="Gotham" w:hAnsi="Gotham" w:cs="Arial"/>
          <w:sz w:val="19"/>
          <w:szCs w:val="19"/>
        </w:rPr>
        <w:tab/>
      </w:r>
      <w:r w:rsidRPr="009F5010">
        <w:rPr>
          <w:rFonts w:ascii="Gotham" w:hAnsi="Gotham" w:cs="Arial"/>
          <w:sz w:val="19"/>
          <w:szCs w:val="19"/>
        </w:rPr>
        <w:t>Haber terminado la enseñanza secundaria.</w:t>
      </w:r>
    </w:p>
    <w:p w14:paraId="3A474B09" w14:textId="77777777" w:rsidR="009B5E39" w:rsidRPr="009F5010" w:rsidRDefault="009B5E39" w:rsidP="009B5E39">
      <w:pPr>
        <w:widowControl w:val="0"/>
        <w:autoSpaceDE w:val="0"/>
        <w:autoSpaceDN w:val="0"/>
        <w:spacing w:after="120"/>
        <w:ind w:left="1134" w:right="284" w:hanging="850"/>
        <w:jc w:val="both"/>
        <w:rPr>
          <w:rFonts w:ascii="Gotham" w:hAnsi="Gotham" w:cs="Arial"/>
          <w:sz w:val="19"/>
          <w:szCs w:val="19"/>
        </w:rPr>
      </w:pPr>
      <w:r w:rsidRPr="009F5010">
        <w:rPr>
          <w:rFonts w:ascii="Gotham" w:hAnsi="Gotham" w:cs="Arial"/>
          <w:sz w:val="19"/>
          <w:szCs w:val="19"/>
        </w:rPr>
        <w:t xml:space="preserve">V. </w:t>
      </w:r>
      <w:r>
        <w:rPr>
          <w:rFonts w:ascii="Gotham" w:hAnsi="Gotham" w:cs="Arial"/>
          <w:sz w:val="19"/>
          <w:szCs w:val="19"/>
        </w:rPr>
        <w:tab/>
      </w:r>
      <w:r w:rsidRPr="009F5010">
        <w:rPr>
          <w:rFonts w:ascii="Gotham" w:hAnsi="Gotham" w:cs="Arial"/>
          <w:sz w:val="19"/>
          <w:szCs w:val="19"/>
        </w:rPr>
        <w:t>No contar con antecedentes penales;</w:t>
      </w:r>
    </w:p>
    <w:p w14:paraId="3A474B0A" w14:textId="77777777" w:rsidR="009B5E39" w:rsidRPr="009F5010" w:rsidRDefault="009B5E39" w:rsidP="009B5E39">
      <w:pPr>
        <w:widowControl w:val="0"/>
        <w:autoSpaceDE w:val="0"/>
        <w:autoSpaceDN w:val="0"/>
        <w:spacing w:after="120"/>
        <w:ind w:left="1134" w:right="284" w:hanging="850"/>
        <w:jc w:val="both"/>
        <w:rPr>
          <w:rFonts w:ascii="Gotham" w:hAnsi="Gotham" w:cs="Arial"/>
          <w:sz w:val="19"/>
          <w:szCs w:val="19"/>
        </w:rPr>
      </w:pPr>
      <w:r w:rsidRPr="009F5010">
        <w:rPr>
          <w:rFonts w:ascii="Gotham" w:hAnsi="Gotham" w:cs="Arial"/>
          <w:sz w:val="19"/>
          <w:szCs w:val="19"/>
        </w:rPr>
        <w:t xml:space="preserve">VI. </w:t>
      </w:r>
      <w:r>
        <w:rPr>
          <w:rFonts w:ascii="Gotham" w:hAnsi="Gotham" w:cs="Arial"/>
          <w:sz w:val="19"/>
          <w:szCs w:val="19"/>
        </w:rPr>
        <w:tab/>
      </w:r>
      <w:r w:rsidRPr="009F5010">
        <w:rPr>
          <w:rFonts w:ascii="Gotham" w:hAnsi="Gotham" w:cs="Arial"/>
          <w:sz w:val="19"/>
          <w:szCs w:val="19"/>
        </w:rPr>
        <w:t>Tener vocación de servicio y ser de reconocida honorabilidad;</w:t>
      </w:r>
    </w:p>
    <w:p w14:paraId="3A474B0B" w14:textId="77777777" w:rsidR="009B5E39" w:rsidRPr="009F5010" w:rsidRDefault="009B5E39" w:rsidP="009B5E39">
      <w:pPr>
        <w:widowControl w:val="0"/>
        <w:autoSpaceDE w:val="0"/>
        <w:autoSpaceDN w:val="0"/>
        <w:spacing w:after="120"/>
        <w:ind w:left="1134" w:right="284" w:hanging="850"/>
        <w:jc w:val="both"/>
        <w:rPr>
          <w:rFonts w:ascii="Gotham" w:hAnsi="Gotham" w:cs="Arial"/>
          <w:sz w:val="19"/>
          <w:szCs w:val="19"/>
        </w:rPr>
      </w:pPr>
      <w:r w:rsidRPr="009F5010">
        <w:rPr>
          <w:rFonts w:ascii="Gotham" w:hAnsi="Gotham" w:cs="Arial"/>
          <w:sz w:val="19"/>
          <w:szCs w:val="19"/>
        </w:rPr>
        <w:t xml:space="preserve">VII. </w:t>
      </w:r>
      <w:r>
        <w:rPr>
          <w:rFonts w:ascii="Gotham" w:hAnsi="Gotham" w:cs="Arial"/>
          <w:sz w:val="19"/>
          <w:szCs w:val="19"/>
        </w:rPr>
        <w:tab/>
      </w:r>
      <w:r w:rsidRPr="009F5010">
        <w:rPr>
          <w:rFonts w:ascii="Gotham" w:hAnsi="Gotham" w:cs="Arial"/>
          <w:sz w:val="19"/>
          <w:szCs w:val="19"/>
        </w:rPr>
        <w:t>Estar en pleno uso de sus derechos civiles y políticos;</w:t>
      </w:r>
    </w:p>
    <w:p w14:paraId="3A474B0C" w14:textId="77777777" w:rsidR="009B5E39" w:rsidRPr="009F5010" w:rsidRDefault="009B5E39" w:rsidP="009B5E39">
      <w:pPr>
        <w:widowControl w:val="0"/>
        <w:autoSpaceDE w:val="0"/>
        <w:autoSpaceDN w:val="0"/>
        <w:spacing w:after="120"/>
        <w:ind w:left="1134" w:right="284" w:hanging="850"/>
        <w:jc w:val="both"/>
        <w:rPr>
          <w:rFonts w:ascii="Gotham" w:hAnsi="Gotham" w:cs="Arial"/>
          <w:sz w:val="19"/>
          <w:szCs w:val="19"/>
        </w:rPr>
      </w:pPr>
      <w:r w:rsidRPr="009F5010">
        <w:rPr>
          <w:rFonts w:ascii="Gotham" w:hAnsi="Gotham" w:cs="Arial"/>
          <w:sz w:val="19"/>
          <w:szCs w:val="19"/>
        </w:rPr>
        <w:t xml:space="preserve">VIII. </w:t>
      </w:r>
      <w:r>
        <w:rPr>
          <w:rFonts w:ascii="Gotham" w:hAnsi="Gotham" w:cs="Arial"/>
          <w:sz w:val="19"/>
          <w:szCs w:val="19"/>
        </w:rPr>
        <w:tab/>
      </w:r>
      <w:r w:rsidRPr="009F5010">
        <w:rPr>
          <w:rFonts w:ascii="Gotham" w:hAnsi="Gotham" w:cs="Arial"/>
          <w:b/>
          <w:sz w:val="19"/>
          <w:szCs w:val="19"/>
        </w:rPr>
        <w:t>Se deroga;</w:t>
      </w:r>
    </w:p>
    <w:p w14:paraId="3A474B0D" w14:textId="77777777" w:rsidR="009B5E39" w:rsidRPr="009F5010" w:rsidRDefault="009B5E39" w:rsidP="009B5E39">
      <w:pPr>
        <w:widowControl w:val="0"/>
        <w:autoSpaceDE w:val="0"/>
        <w:autoSpaceDN w:val="0"/>
        <w:spacing w:after="120"/>
        <w:ind w:left="1134" w:right="284" w:hanging="850"/>
        <w:jc w:val="both"/>
        <w:rPr>
          <w:rFonts w:ascii="Gotham" w:hAnsi="Gotham" w:cs="Arial"/>
          <w:sz w:val="19"/>
          <w:szCs w:val="19"/>
        </w:rPr>
      </w:pPr>
      <w:r w:rsidRPr="009F5010">
        <w:rPr>
          <w:rFonts w:ascii="Gotham" w:hAnsi="Gotham" w:cs="Arial"/>
          <w:sz w:val="19"/>
          <w:szCs w:val="19"/>
        </w:rPr>
        <w:t xml:space="preserve">IX. </w:t>
      </w:r>
      <w:r>
        <w:rPr>
          <w:rFonts w:ascii="Gotham" w:hAnsi="Gotham" w:cs="Arial"/>
          <w:sz w:val="19"/>
          <w:szCs w:val="19"/>
        </w:rPr>
        <w:tab/>
      </w:r>
      <w:r w:rsidRPr="009F5010">
        <w:rPr>
          <w:rFonts w:ascii="Gotham" w:hAnsi="Gotham" w:cs="Arial"/>
          <w:b/>
          <w:sz w:val="19"/>
          <w:szCs w:val="19"/>
        </w:rPr>
        <w:t xml:space="preserve">Se deroga; </w:t>
      </w:r>
    </w:p>
    <w:p w14:paraId="3A474B0E" w14:textId="77777777" w:rsidR="009B5E39" w:rsidRPr="009F5010" w:rsidRDefault="009B5E39" w:rsidP="009B5E39">
      <w:pPr>
        <w:widowControl w:val="0"/>
        <w:autoSpaceDE w:val="0"/>
        <w:autoSpaceDN w:val="0"/>
        <w:ind w:left="1134" w:right="283" w:hanging="850"/>
        <w:jc w:val="both"/>
        <w:rPr>
          <w:rFonts w:ascii="Gotham" w:hAnsi="Gotham" w:cs="Arial"/>
          <w:sz w:val="19"/>
          <w:szCs w:val="19"/>
        </w:rPr>
      </w:pPr>
      <w:r w:rsidRPr="009F5010">
        <w:rPr>
          <w:rFonts w:ascii="Gotham" w:hAnsi="Gotham" w:cs="Arial"/>
          <w:sz w:val="19"/>
          <w:szCs w:val="19"/>
        </w:rPr>
        <w:t xml:space="preserve">X. </w:t>
      </w:r>
      <w:r>
        <w:rPr>
          <w:rFonts w:ascii="Gotham" w:hAnsi="Gotham" w:cs="Arial"/>
          <w:sz w:val="19"/>
          <w:szCs w:val="19"/>
        </w:rPr>
        <w:tab/>
      </w:r>
      <w:r w:rsidRPr="009F5010">
        <w:rPr>
          <w:rFonts w:ascii="Gotham" w:hAnsi="Gotham" w:cs="Arial"/>
          <w:sz w:val="19"/>
          <w:szCs w:val="19"/>
        </w:rPr>
        <w:t>No ser ministro de culto religioso.</w:t>
      </w:r>
    </w:p>
    <w:p w14:paraId="3A474B0F" w14:textId="77777777" w:rsidR="009B5E39" w:rsidRPr="009F5010" w:rsidRDefault="009B5E39" w:rsidP="009B5E39">
      <w:pPr>
        <w:jc w:val="both"/>
        <w:rPr>
          <w:rFonts w:ascii="Gotham" w:hAnsi="Gotham" w:cs="Arial"/>
          <w:b/>
          <w:sz w:val="20"/>
          <w:szCs w:val="20"/>
        </w:rPr>
      </w:pPr>
    </w:p>
    <w:p w14:paraId="3A474B10" w14:textId="77777777" w:rsidR="009B5E39" w:rsidRPr="009F5010" w:rsidRDefault="009B5E39" w:rsidP="009B5E39">
      <w:pPr>
        <w:jc w:val="both"/>
        <w:rPr>
          <w:rFonts w:ascii="Gotham" w:hAnsi="Gotham" w:cs="Arial"/>
          <w:b/>
          <w:sz w:val="20"/>
          <w:szCs w:val="20"/>
        </w:rPr>
      </w:pPr>
      <w:r w:rsidRPr="009F5010">
        <w:rPr>
          <w:rFonts w:ascii="Gotham" w:hAnsi="Gotham" w:cs="Arial"/>
          <w:b/>
          <w:sz w:val="20"/>
          <w:szCs w:val="20"/>
        </w:rPr>
        <w:t>Artículo 15 intocado;</w:t>
      </w:r>
    </w:p>
    <w:p w14:paraId="3A474B11" w14:textId="77777777" w:rsidR="009B5E39" w:rsidRPr="009F5010" w:rsidRDefault="009B5E39" w:rsidP="009B5E39">
      <w:pPr>
        <w:jc w:val="both"/>
        <w:rPr>
          <w:rFonts w:ascii="Gotham" w:hAnsi="Gotham" w:cs="Arial"/>
          <w:b/>
          <w:sz w:val="20"/>
          <w:szCs w:val="20"/>
        </w:rPr>
      </w:pPr>
    </w:p>
    <w:p w14:paraId="3A474B12" w14:textId="77777777" w:rsidR="009B5E39" w:rsidRPr="009F5010" w:rsidRDefault="009B5E39" w:rsidP="009B5E39">
      <w:pPr>
        <w:jc w:val="both"/>
        <w:rPr>
          <w:rFonts w:ascii="Gotham" w:hAnsi="Gotham" w:cs="Arial"/>
          <w:b/>
          <w:sz w:val="20"/>
          <w:szCs w:val="20"/>
        </w:rPr>
      </w:pPr>
      <w:r w:rsidRPr="009F5010">
        <w:rPr>
          <w:rFonts w:ascii="Gotham" w:hAnsi="Gotham" w:cs="Arial"/>
          <w:b/>
          <w:sz w:val="20"/>
          <w:szCs w:val="20"/>
        </w:rPr>
        <w:t>Se propone modificar el artículo 16, dice:</w:t>
      </w:r>
    </w:p>
    <w:p w14:paraId="3A474B13" w14:textId="77777777" w:rsidR="009B5E39" w:rsidRPr="009F5010" w:rsidRDefault="009B5E39" w:rsidP="009B5E39">
      <w:pPr>
        <w:jc w:val="both"/>
        <w:rPr>
          <w:rFonts w:ascii="Gotham" w:hAnsi="Gotham" w:cs="Arial"/>
          <w:b/>
          <w:sz w:val="20"/>
          <w:szCs w:val="20"/>
        </w:rPr>
      </w:pPr>
    </w:p>
    <w:p w14:paraId="3A474B14" w14:textId="77777777" w:rsidR="009B5E39" w:rsidRPr="00DD25F6" w:rsidRDefault="009B5E39" w:rsidP="009B5E39">
      <w:pPr>
        <w:widowControl w:val="0"/>
        <w:tabs>
          <w:tab w:val="left" w:pos="942"/>
        </w:tabs>
        <w:autoSpaceDE w:val="0"/>
        <w:autoSpaceDN w:val="0"/>
        <w:ind w:left="284" w:right="283"/>
        <w:jc w:val="both"/>
        <w:rPr>
          <w:rFonts w:ascii="Gotham" w:hAnsi="Gotham" w:cs="Arial"/>
          <w:sz w:val="19"/>
          <w:szCs w:val="19"/>
        </w:rPr>
      </w:pPr>
      <w:r w:rsidRPr="00DD25F6">
        <w:rPr>
          <w:rFonts w:ascii="Gotham" w:hAnsi="Gotham" w:cs="Arial"/>
          <w:b/>
          <w:sz w:val="19"/>
          <w:szCs w:val="19"/>
        </w:rPr>
        <w:t>Artículo 16.</w:t>
      </w:r>
      <w:r w:rsidRPr="00DD25F6">
        <w:rPr>
          <w:rFonts w:ascii="Gotham" w:hAnsi="Gotham" w:cs="Arial"/>
          <w:sz w:val="19"/>
          <w:szCs w:val="19"/>
        </w:rPr>
        <w:t xml:space="preserve"> Son causas de destitución del cargo de Delegado, Subdelegado o Agente Municipal, las siguientes:</w:t>
      </w:r>
    </w:p>
    <w:p w14:paraId="3A474B15" w14:textId="77777777" w:rsidR="009B5E39" w:rsidRDefault="009B5E39" w:rsidP="009B5E39">
      <w:pPr>
        <w:widowControl w:val="0"/>
        <w:tabs>
          <w:tab w:val="left" w:pos="942"/>
        </w:tabs>
        <w:autoSpaceDE w:val="0"/>
        <w:autoSpaceDN w:val="0"/>
        <w:ind w:left="284" w:right="283"/>
        <w:jc w:val="both"/>
        <w:rPr>
          <w:rFonts w:ascii="Gotham" w:hAnsi="Gotham" w:cs="Arial"/>
          <w:sz w:val="19"/>
          <w:szCs w:val="19"/>
        </w:rPr>
      </w:pPr>
    </w:p>
    <w:p w14:paraId="3A474B16"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I. </w:t>
      </w:r>
      <w:r>
        <w:rPr>
          <w:rFonts w:ascii="Gotham" w:hAnsi="Gotham" w:cs="Arial"/>
          <w:sz w:val="19"/>
          <w:szCs w:val="19"/>
        </w:rPr>
        <w:tab/>
      </w:r>
      <w:r w:rsidRPr="00DD25F6">
        <w:rPr>
          <w:rFonts w:ascii="Gotham" w:hAnsi="Gotham" w:cs="Arial"/>
          <w:sz w:val="19"/>
          <w:szCs w:val="19"/>
        </w:rPr>
        <w:t>Incurrir en la comisión de algún delito doloso;</w:t>
      </w:r>
    </w:p>
    <w:p w14:paraId="3A474B17"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II. </w:t>
      </w:r>
      <w:r>
        <w:rPr>
          <w:rFonts w:ascii="Gotham" w:hAnsi="Gotham" w:cs="Arial"/>
          <w:sz w:val="19"/>
          <w:szCs w:val="19"/>
        </w:rPr>
        <w:tab/>
      </w:r>
      <w:r w:rsidRPr="00DD25F6">
        <w:rPr>
          <w:rFonts w:ascii="Gotham" w:hAnsi="Gotham" w:cs="Arial"/>
          <w:sz w:val="19"/>
          <w:szCs w:val="19"/>
        </w:rPr>
        <w:t>Incumplir o abandonar sus funciones, sin causa justificada;</w:t>
      </w:r>
    </w:p>
    <w:p w14:paraId="3A474B18"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III. </w:t>
      </w:r>
      <w:r>
        <w:rPr>
          <w:rFonts w:ascii="Gotham" w:hAnsi="Gotham" w:cs="Arial"/>
          <w:sz w:val="19"/>
          <w:szCs w:val="19"/>
        </w:rPr>
        <w:tab/>
      </w:r>
      <w:r w:rsidRPr="00DD25F6">
        <w:rPr>
          <w:rFonts w:ascii="Gotham" w:hAnsi="Gotham" w:cs="Arial"/>
          <w:sz w:val="19"/>
          <w:szCs w:val="19"/>
        </w:rPr>
        <w:t>No acatar instrucciones recibidas por la Autoridad Municipal competente, sin causa justificada;</w:t>
      </w:r>
    </w:p>
    <w:p w14:paraId="3A474B19"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IV. </w:t>
      </w:r>
      <w:r>
        <w:rPr>
          <w:rFonts w:ascii="Gotham" w:hAnsi="Gotham" w:cs="Arial"/>
          <w:sz w:val="19"/>
          <w:szCs w:val="19"/>
        </w:rPr>
        <w:tab/>
      </w:r>
      <w:r w:rsidRPr="00DD25F6">
        <w:rPr>
          <w:rFonts w:ascii="Gotham" w:hAnsi="Gotham" w:cs="Arial"/>
          <w:sz w:val="19"/>
          <w:szCs w:val="19"/>
        </w:rPr>
        <w:t>Cambiar de domicilio a otra zona o municipio;</w:t>
      </w:r>
    </w:p>
    <w:p w14:paraId="3A474B1A"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V. </w:t>
      </w:r>
      <w:r>
        <w:rPr>
          <w:rFonts w:ascii="Gotham" w:hAnsi="Gotham" w:cs="Arial"/>
          <w:sz w:val="19"/>
          <w:szCs w:val="19"/>
        </w:rPr>
        <w:tab/>
      </w:r>
      <w:r w:rsidRPr="00DD25F6">
        <w:rPr>
          <w:rFonts w:ascii="Gotham" w:hAnsi="Gotham" w:cs="Arial"/>
          <w:sz w:val="19"/>
          <w:szCs w:val="19"/>
        </w:rPr>
        <w:t>Actuar con prepotencia o arbitrariedad en el cumplimiento de sus funciones;</w:t>
      </w:r>
    </w:p>
    <w:p w14:paraId="3A474B1B"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VI. </w:t>
      </w:r>
      <w:r>
        <w:rPr>
          <w:rFonts w:ascii="Gotham" w:hAnsi="Gotham" w:cs="Arial"/>
          <w:sz w:val="19"/>
          <w:szCs w:val="19"/>
        </w:rPr>
        <w:tab/>
      </w:r>
      <w:r w:rsidRPr="00DD25F6">
        <w:rPr>
          <w:rFonts w:ascii="Gotham" w:hAnsi="Gotham" w:cs="Arial"/>
          <w:sz w:val="19"/>
          <w:szCs w:val="19"/>
        </w:rPr>
        <w:t>Extender constancias respecto de hechos falsos;</w:t>
      </w:r>
    </w:p>
    <w:p w14:paraId="3A474B1C"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VII. </w:t>
      </w:r>
      <w:r>
        <w:rPr>
          <w:rFonts w:ascii="Gotham" w:hAnsi="Gotham" w:cs="Arial"/>
          <w:sz w:val="19"/>
          <w:szCs w:val="19"/>
        </w:rPr>
        <w:tab/>
      </w:r>
      <w:r w:rsidRPr="00DD25F6">
        <w:rPr>
          <w:rFonts w:ascii="Gotham" w:hAnsi="Gotham" w:cs="Arial"/>
          <w:sz w:val="19"/>
          <w:szCs w:val="19"/>
        </w:rPr>
        <w:t>Por incapacidad física o mental declarada judicialmente sobrevenida después de su nombramiento;</w:t>
      </w:r>
    </w:p>
    <w:p w14:paraId="3A474B1D"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VIII. </w:t>
      </w:r>
      <w:r>
        <w:rPr>
          <w:rFonts w:ascii="Gotham" w:hAnsi="Gotham" w:cs="Arial"/>
          <w:sz w:val="19"/>
          <w:szCs w:val="19"/>
        </w:rPr>
        <w:tab/>
      </w:r>
      <w:r w:rsidRPr="00DD25F6">
        <w:rPr>
          <w:rFonts w:ascii="Gotham" w:hAnsi="Gotham" w:cs="Arial"/>
          <w:sz w:val="19"/>
          <w:szCs w:val="19"/>
        </w:rPr>
        <w:t>Por utilizar el cargo conferido para fines políticos, partidistas o religiosos en beneficio propio o de terceros;</w:t>
      </w:r>
    </w:p>
    <w:p w14:paraId="3A474B1E"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IX. </w:t>
      </w:r>
      <w:r>
        <w:rPr>
          <w:rFonts w:ascii="Gotham" w:hAnsi="Gotham" w:cs="Arial"/>
          <w:sz w:val="19"/>
          <w:szCs w:val="19"/>
        </w:rPr>
        <w:tab/>
      </w:r>
      <w:r w:rsidRPr="00DD25F6">
        <w:rPr>
          <w:rFonts w:ascii="Gotham" w:hAnsi="Gotham" w:cs="Arial"/>
          <w:sz w:val="19"/>
          <w:szCs w:val="19"/>
        </w:rPr>
        <w:t>Por realizar cobros indebidos a las personas por el desempeño de sus facultades o por cumplimiento de sus obligaciones;</w:t>
      </w:r>
    </w:p>
    <w:p w14:paraId="3A474B1F"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X. </w:t>
      </w:r>
      <w:r>
        <w:rPr>
          <w:rFonts w:ascii="Gotham" w:hAnsi="Gotham" w:cs="Arial"/>
          <w:sz w:val="19"/>
          <w:szCs w:val="19"/>
        </w:rPr>
        <w:tab/>
      </w:r>
      <w:r w:rsidRPr="00DD25F6">
        <w:rPr>
          <w:rFonts w:ascii="Gotham" w:hAnsi="Gotham" w:cs="Arial"/>
          <w:sz w:val="19"/>
          <w:szCs w:val="19"/>
        </w:rPr>
        <w:t>Por contravenir lo previsto en este reglamento y otras disposiciones aplicables;</w:t>
      </w:r>
    </w:p>
    <w:p w14:paraId="3A474B20" w14:textId="77777777" w:rsidR="009B5E39" w:rsidRPr="00DD25F6" w:rsidRDefault="009B5E39" w:rsidP="009B5E39">
      <w:pPr>
        <w:widowControl w:val="0"/>
        <w:autoSpaceDE w:val="0"/>
        <w:autoSpaceDN w:val="0"/>
        <w:spacing w:after="120"/>
        <w:ind w:left="1134" w:right="283" w:hanging="850"/>
        <w:jc w:val="both"/>
        <w:rPr>
          <w:rFonts w:ascii="Gotham" w:hAnsi="Gotham" w:cs="Arial"/>
          <w:sz w:val="19"/>
          <w:szCs w:val="19"/>
        </w:rPr>
      </w:pPr>
      <w:r w:rsidRPr="00DD25F6">
        <w:rPr>
          <w:rFonts w:ascii="Gotham" w:hAnsi="Gotham" w:cs="Arial"/>
          <w:sz w:val="19"/>
          <w:szCs w:val="19"/>
        </w:rPr>
        <w:t xml:space="preserve">XI. </w:t>
      </w:r>
      <w:r>
        <w:rPr>
          <w:rFonts w:ascii="Gotham" w:hAnsi="Gotham" w:cs="Arial"/>
          <w:sz w:val="19"/>
          <w:szCs w:val="19"/>
        </w:rPr>
        <w:tab/>
      </w:r>
      <w:r w:rsidRPr="00DD25F6">
        <w:rPr>
          <w:rFonts w:ascii="Gotham" w:hAnsi="Gotham" w:cs="Arial"/>
          <w:sz w:val="19"/>
          <w:szCs w:val="19"/>
        </w:rPr>
        <w:t>Por falta de probidad o notoria ineficiencia en el cumplimiento de sus funciones; y</w:t>
      </w:r>
    </w:p>
    <w:p w14:paraId="3A474B21" w14:textId="77777777" w:rsidR="009B5E39" w:rsidRPr="00DD25F6" w:rsidRDefault="009B5E39" w:rsidP="009B5E39">
      <w:pPr>
        <w:widowControl w:val="0"/>
        <w:autoSpaceDE w:val="0"/>
        <w:autoSpaceDN w:val="0"/>
        <w:ind w:left="1134" w:right="283" w:hanging="850"/>
        <w:jc w:val="both"/>
        <w:rPr>
          <w:rFonts w:ascii="Gotham" w:hAnsi="Gotham" w:cs="Arial"/>
          <w:sz w:val="19"/>
          <w:szCs w:val="19"/>
        </w:rPr>
      </w:pPr>
      <w:r w:rsidRPr="00DD25F6">
        <w:rPr>
          <w:rFonts w:ascii="Gotham" w:hAnsi="Gotham" w:cs="Arial"/>
          <w:sz w:val="19"/>
          <w:szCs w:val="19"/>
        </w:rPr>
        <w:t xml:space="preserve">XII. </w:t>
      </w:r>
      <w:r>
        <w:rPr>
          <w:rFonts w:ascii="Gotham" w:hAnsi="Gotham" w:cs="Arial"/>
          <w:sz w:val="19"/>
          <w:szCs w:val="19"/>
        </w:rPr>
        <w:tab/>
      </w:r>
      <w:r w:rsidRPr="00DD25F6">
        <w:rPr>
          <w:rFonts w:ascii="Gotham" w:hAnsi="Gotham" w:cs="Arial"/>
          <w:sz w:val="19"/>
          <w:szCs w:val="19"/>
        </w:rPr>
        <w:t>Las demás, a juicio del Ayuntamiento.</w:t>
      </w:r>
    </w:p>
    <w:p w14:paraId="3A474B22" w14:textId="77777777" w:rsidR="009B5E39" w:rsidRPr="00DD25F6" w:rsidRDefault="009B5E39" w:rsidP="009B5E39">
      <w:pPr>
        <w:jc w:val="both"/>
        <w:rPr>
          <w:rFonts w:ascii="Gotham" w:hAnsi="Gotham" w:cs="Arial"/>
          <w:b/>
          <w:sz w:val="20"/>
          <w:szCs w:val="20"/>
        </w:rPr>
      </w:pPr>
    </w:p>
    <w:p w14:paraId="3A474B23" w14:textId="77777777" w:rsidR="009B5E39" w:rsidRPr="00DD25F6" w:rsidRDefault="009B5E39" w:rsidP="009B5E39">
      <w:pPr>
        <w:jc w:val="both"/>
        <w:rPr>
          <w:rFonts w:ascii="Gotham" w:hAnsi="Gotham" w:cs="Arial"/>
          <w:b/>
          <w:sz w:val="20"/>
          <w:szCs w:val="20"/>
        </w:rPr>
      </w:pPr>
      <w:r w:rsidRPr="00DD25F6">
        <w:rPr>
          <w:rFonts w:ascii="Gotham" w:hAnsi="Gotham" w:cs="Arial"/>
          <w:b/>
          <w:sz w:val="20"/>
          <w:szCs w:val="20"/>
        </w:rPr>
        <w:t>Debe decir:</w:t>
      </w:r>
    </w:p>
    <w:p w14:paraId="3A474B24" w14:textId="77777777" w:rsidR="009B5E39" w:rsidRPr="00DD25F6" w:rsidRDefault="009B5E39" w:rsidP="009B5E39">
      <w:pPr>
        <w:jc w:val="both"/>
        <w:rPr>
          <w:rFonts w:ascii="Gotham" w:hAnsi="Gotham" w:cs="Arial"/>
          <w:b/>
          <w:sz w:val="20"/>
          <w:szCs w:val="20"/>
        </w:rPr>
      </w:pPr>
    </w:p>
    <w:p w14:paraId="3A474B25" w14:textId="77777777" w:rsidR="009B5E39" w:rsidRPr="00233313" w:rsidRDefault="009B5E39" w:rsidP="009B5E39">
      <w:pPr>
        <w:widowControl w:val="0"/>
        <w:tabs>
          <w:tab w:val="left" w:pos="942"/>
        </w:tabs>
        <w:autoSpaceDE w:val="0"/>
        <w:autoSpaceDN w:val="0"/>
        <w:ind w:left="284" w:right="283"/>
        <w:jc w:val="both"/>
        <w:rPr>
          <w:rFonts w:ascii="Gotham" w:hAnsi="Gotham" w:cs="Arial"/>
          <w:sz w:val="19"/>
          <w:szCs w:val="19"/>
        </w:rPr>
      </w:pPr>
      <w:r w:rsidRPr="00233313">
        <w:rPr>
          <w:rFonts w:ascii="Gotham" w:hAnsi="Gotham" w:cs="Arial"/>
          <w:b/>
          <w:sz w:val="19"/>
          <w:szCs w:val="19"/>
        </w:rPr>
        <w:t>Artículo 16.</w:t>
      </w:r>
      <w:r w:rsidRPr="00233313">
        <w:rPr>
          <w:rFonts w:ascii="Gotham" w:hAnsi="Gotham" w:cs="Arial"/>
          <w:sz w:val="19"/>
          <w:szCs w:val="19"/>
        </w:rPr>
        <w:t xml:space="preserve"> Son causas de destitución del cargo de Delegado, Subdelegado o Agente Municipal, las siguientes:</w:t>
      </w:r>
    </w:p>
    <w:p w14:paraId="3A474B26" w14:textId="77777777" w:rsidR="009B5E39" w:rsidRDefault="009B5E39" w:rsidP="009B5E39">
      <w:pPr>
        <w:widowControl w:val="0"/>
        <w:tabs>
          <w:tab w:val="left" w:pos="942"/>
        </w:tabs>
        <w:autoSpaceDE w:val="0"/>
        <w:autoSpaceDN w:val="0"/>
        <w:ind w:left="284" w:right="283"/>
        <w:jc w:val="both"/>
        <w:rPr>
          <w:rFonts w:ascii="Gotham" w:hAnsi="Gotham" w:cs="Arial"/>
          <w:sz w:val="19"/>
          <w:szCs w:val="19"/>
        </w:rPr>
      </w:pPr>
    </w:p>
    <w:p w14:paraId="3A474B27"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I. </w:t>
      </w:r>
      <w:r>
        <w:rPr>
          <w:rFonts w:ascii="Gotham" w:hAnsi="Gotham" w:cs="Arial"/>
          <w:sz w:val="19"/>
          <w:szCs w:val="19"/>
        </w:rPr>
        <w:tab/>
      </w:r>
      <w:r w:rsidRPr="00233313">
        <w:rPr>
          <w:rFonts w:ascii="Gotham" w:hAnsi="Gotham" w:cs="Arial"/>
          <w:sz w:val="19"/>
          <w:szCs w:val="19"/>
        </w:rPr>
        <w:t>Incurrir en la comisión de algún delito doloso;</w:t>
      </w:r>
    </w:p>
    <w:p w14:paraId="3A474B28"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lastRenderedPageBreak/>
        <w:t xml:space="preserve">II. </w:t>
      </w:r>
      <w:r>
        <w:rPr>
          <w:rFonts w:ascii="Gotham" w:hAnsi="Gotham" w:cs="Arial"/>
          <w:sz w:val="19"/>
          <w:szCs w:val="19"/>
        </w:rPr>
        <w:tab/>
      </w:r>
      <w:r w:rsidRPr="00233313">
        <w:rPr>
          <w:rFonts w:ascii="Gotham" w:hAnsi="Gotham" w:cs="Arial"/>
          <w:sz w:val="19"/>
          <w:szCs w:val="19"/>
        </w:rPr>
        <w:t>Incumplir o abandonar sus funciones, sin causa justificada;</w:t>
      </w:r>
    </w:p>
    <w:p w14:paraId="3A474B29"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III. </w:t>
      </w:r>
      <w:r>
        <w:rPr>
          <w:rFonts w:ascii="Gotham" w:hAnsi="Gotham" w:cs="Arial"/>
          <w:sz w:val="19"/>
          <w:szCs w:val="19"/>
        </w:rPr>
        <w:tab/>
      </w:r>
      <w:r w:rsidRPr="00233313">
        <w:rPr>
          <w:rFonts w:ascii="Gotham" w:hAnsi="Gotham" w:cs="Arial"/>
          <w:sz w:val="19"/>
          <w:szCs w:val="19"/>
        </w:rPr>
        <w:t>No acatar instrucciones recibidas por la Autoridad Municipal competente, sin causa justificada;</w:t>
      </w:r>
    </w:p>
    <w:p w14:paraId="3A474B2A"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IV. </w:t>
      </w:r>
      <w:r>
        <w:rPr>
          <w:rFonts w:ascii="Gotham" w:hAnsi="Gotham" w:cs="Arial"/>
          <w:sz w:val="19"/>
          <w:szCs w:val="19"/>
        </w:rPr>
        <w:tab/>
      </w:r>
      <w:r w:rsidRPr="00233313">
        <w:rPr>
          <w:rFonts w:ascii="Gotham" w:hAnsi="Gotham" w:cs="Arial"/>
          <w:sz w:val="19"/>
          <w:szCs w:val="19"/>
        </w:rPr>
        <w:t>Cambiar de domicilio a otra zona o municipio;</w:t>
      </w:r>
    </w:p>
    <w:p w14:paraId="3A474B2B"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V. </w:t>
      </w:r>
      <w:r>
        <w:rPr>
          <w:rFonts w:ascii="Gotham" w:hAnsi="Gotham" w:cs="Arial"/>
          <w:sz w:val="19"/>
          <w:szCs w:val="19"/>
        </w:rPr>
        <w:tab/>
      </w:r>
      <w:r w:rsidRPr="00233313">
        <w:rPr>
          <w:rFonts w:ascii="Gotham" w:hAnsi="Gotham" w:cs="Arial"/>
          <w:sz w:val="19"/>
          <w:szCs w:val="19"/>
        </w:rPr>
        <w:t>Actuar con prepotencia o arbitrariedad en el cumplimiento de sus funciones;</w:t>
      </w:r>
    </w:p>
    <w:p w14:paraId="3A474B2C"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VI. </w:t>
      </w:r>
      <w:r>
        <w:rPr>
          <w:rFonts w:ascii="Gotham" w:hAnsi="Gotham" w:cs="Arial"/>
          <w:sz w:val="19"/>
          <w:szCs w:val="19"/>
        </w:rPr>
        <w:tab/>
      </w:r>
      <w:r w:rsidRPr="00233313">
        <w:rPr>
          <w:rFonts w:ascii="Gotham" w:hAnsi="Gotham" w:cs="Arial"/>
          <w:b/>
          <w:sz w:val="19"/>
          <w:szCs w:val="19"/>
        </w:rPr>
        <w:t>Se deroga</w:t>
      </w:r>
      <w:r w:rsidRPr="00233313">
        <w:rPr>
          <w:rFonts w:ascii="Gotham" w:hAnsi="Gotham" w:cs="Arial"/>
          <w:sz w:val="19"/>
          <w:szCs w:val="19"/>
        </w:rPr>
        <w:t xml:space="preserve">; </w:t>
      </w:r>
    </w:p>
    <w:p w14:paraId="3A474B2D"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VII. </w:t>
      </w:r>
      <w:r>
        <w:rPr>
          <w:rFonts w:ascii="Gotham" w:hAnsi="Gotham" w:cs="Arial"/>
          <w:sz w:val="19"/>
          <w:szCs w:val="19"/>
        </w:rPr>
        <w:tab/>
      </w:r>
      <w:r w:rsidRPr="00233313">
        <w:rPr>
          <w:rFonts w:ascii="Gotham" w:hAnsi="Gotham" w:cs="Arial"/>
          <w:sz w:val="19"/>
          <w:szCs w:val="19"/>
        </w:rPr>
        <w:t>Por incapacidad física o mental declarada judicialmente sobrevenida después de su nombramiento;</w:t>
      </w:r>
    </w:p>
    <w:p w14:paraId="3A474B2E"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VIII. </w:t>
      </w:r>
      <w:r>
        <w:rPr>
          <w:rFonts w:ascii="Gotham" w:hAnsi="Gotham" w:cs="Arial"/>
          <w:sz w:val="19"/>
          <w:szCs w:val="19"/>
        </w:rPr>
        <w:tab/>
      </w:r>
      <w:r w:rsidRPr="00233313">
        <w:rPr>
          <w:rFonts w:ascii="Gotham" w:hAnsi="Gotham" w:cs="Arial"/>
          <w:sz w:val="19"/>
          <w:szCs w:val="19"/>
        </w:rPr>
        <w:t>Por utilizar el cargo conferido para fines políticos, partidistas o religiosos en beneficio propio o de terceros;</w:t>
      </w:r>
    </w:p>
    <w:p w14:paraId="3A474B2F"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IX. </w:t>
      </w:r>
      <w:r>
        <w:rPr>
          <w:rFonts w:ascii="Gotham" w:hAnsi="Gotham" w:cs="Arial"/>
          <w:sz w:val="19"/>
          <w:szCs w:val="19"/>
        </w:rPr>
        <w:tab/>
      </w:r>
      <w:r w:rsidRPr="00233313">
        <w:rPr>
          <w:rFonts w:ascii="Gotham" w:hAnsi="Gotham" w:cs="Arial"/>
          <w:sz w:val="19"/>
          <w:szCs w:val="19"/>
        </w:rPr>
        <w:t>Por realizar cobros indebidos a las personas por el desempeño de sus facultades o por cumplimiento de sus obligaciones;</w:t>
      </w:r>
    </w:p>
    <w:p w14:paraId="3A474B30"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X. </w:t>
      </w:r>
      <w:r>
        <w:rPr>
          <w:rFonts w:ascii="Gotham" w:hAnsi="Gotham" w:cs="Arial"/>
          <w:sz w:val="19"/>
          <w:szCs w:val="19"/>
        </w:rPr>
        <w:tab/>
      </w:r>
      <w:r w:rsidRPr="00233313">
        <w:rPr>
          <w:rFonts w:ascii="Gotham" w:hAnsi="Gotham" w:cs="Arial"/>
          <w:sz w:val="19"/>
          <w:szCs w:val="19"/>
        </w:rPr>
        <w:t>Por contravenir lo previsto en este reglamento y otras disposiciones aplicables;</w:t>
      </w:r>
    </w:p>
    <w:p w14:paraId="3A474B31" w14:textId="77777777" w:rsidR="009B5E39" w:rsidRPr="00233313" w:rsidRDefault="009B5E39" w:rsidP="009B5E39">
      <w:pPr>
        <w:widowControl w:val="0"/>
        <w:autoSpaceDE w:val="0"/>
        <w:autoSpaceDN w:val="0"/>
        <w:spacing w:after="120"/>
        <w:ind w:left="1134" w:right="283" w:hanging="850"/>
        <w:jc w:val="both"/>
        <w:rPr>
          <w:rFonts w:ascii="Gotham" w:hAnsi="Gotham" w:cs="Arial"/>
          <w:sz w:val="19"/>
          <w:szCs w:val="19"/>
        </w:rPr>
      </w:pPr>
      <w:r w:rsidRPr="00233313">
        <w:rPr>
          <w:rFonts w:ascii="Gotham" w:hAnsi="Gotham" w:cs="Arial"/>
          <w:sz w:val="19"/>
          <w:szCs w:val="19"/>
        </w:rPr>
        <w:t xml:space="preserve">XI. </w:t>
      </w:r>
      <w:r>
        <w:rPr>
          <w:rFonts w:ascii="Gotham" w:hAnsi="Gotham" w:cs="Arial"/>
          <w:sz w:val="19"/>
          <w:szCs w:val="19"/>
        </w:rPr>
        <w:tab/>
      </w:r>
      <w:r w:rsidRPr="00233313">
        <w:rPr>
          <w:rFonts w:ascii="Gotham" w:hAnsi="Gotham" w:cs="Arial"/>
          <w:sz w:val="19"/>
          <w:szCs w:val="19"/>
        </w:rPr>
        <w:t>Por falta de probidad o notoria ineficiencia en el cumplimiento de sus funciones; y</w:t>
      </w:r>
    </w:p>
    <w:p w14:paraId="3A474B32" w14:textId="77777777" w:rsidR="009B5E39" w:rsidRPr="00233313" w:rsidRDefault="009B5E39" w:rsidP="009B5E39">
      <w:pPr>
        <w:widowControl w:val="0"/>
        <w:autoSpaceDE w:val="0"/>
        <w:autoSpaceDN w:val="0"/>
        <w:ind w:left="1134" w:right="283" w:hanging="850"/>
        <w:jc w:val="both"/>
        <w:rPr>
          <w:rFonts w:ascii="Gotham" w:hAnsi="Gotham" w:cs="Arial"/>
          <w:sz w:val="19"/>
          <w:szCs w:val="19"/>
        </w:rPr>
      </w:pPr>
      <w:r w:rsidRPr="00233313">
        <w:rPr>
          <w:rFonts w:ascii="Gotham" w:hAnsi="Gotham" w:cs="Arial"/>
          <w:sz w:val="19"/>
          <w:szCs w:val="19"/>
        </w:rPr>
        <w:t xml:space="preserve">XII. </w:t>
      </w:r>
      <w:r>
        <w:rPr>
          <w:rFonts w:ascii="Gotham" w:hAnsi="Gotham" w:cs="Arial"/>
          <w:sz w:val="19"/>
          <w:szCs w:val="19"/>
        </w:rPr>
        <w:tab/>
      </w:r>
      <w:r w:rsidRPr="00233313">
        <w:rPr>
          <w:rFonts w:ascii="Gotham" w:hAnsi="Gotham" w:cs="Arial"/>
          <w:sz w:val="19"/>
          <w:szCs w:val="19"/>
        </w:rPr>
        <w:t>Las demás, a juicio del Ayuntamiento.</w:t>
      </w:r>
    </w:p>
    <w:p w14:paraId="3A474B33" w14:textId="77777777" w:rsidR="009B5E39" w:rsidRPr="00FF4C53" w:rsidRDefault="009B5E39" w:rsidP="009B5E39">
      <w:pPr>
        <w:jc w:val="both"/>
        <w:rPr>
          <w:rFonts w:ascii="Gotham" w:hAnsi="Gotham" w:cs="Arial"/>
          <w:b/>
          <w:sz w:val="20"/>
          <w:szCs w:val="20"/>
        </w:rPr>
      </w:pPr>
    </w:p>
    <w:p w14:paraId="3A474B34" w14:textId="77777777" w:rsidR="009B5E39" w:rsidRPr="00FF4C53" w:rsidRDefault="009B5E39" w:rsidP="009B5E39">
      <w:pPr>
        <w:jc w:val="both"/>
        <w:rPr>
          <w:rFonts w:ascii="Gotham" w:hAnsi="Gotham" w:cs="Arial"/>
          <w:b/>
          <w:sz w:val="20"/>
          <w:szCs w:val="20"/>
        </w:rPr>
      </w:pPr>
      <w:r w:rsidRPr="00FF4C53">
        <w:rPr>
          <w:rFonts w:ascii="Gotham" w:hAnsi="Gotham" w:cs="Arial"/>
          <w:b/>
          <w:sz w:val="20"/>
          <w:szCs w:val="20"/>
        </w:rPr>
        <w:t>Se adiciona el artículo 16 bis. Prohibiciones.</w:t>
      </w:r>
    </w:p>
    <w:p w14:paraId="3A474B35" w14:textId="77777777" w:rsidR="009B5E39" w:rsidRPr="00FF4C53" w:rsidRDefault="009B5E39" w:rsidP="009B5E39">
      <w:pPr>
        <w:jc w:val="both"/>
        <w:rPr>
          <w:rFonts w:ascii="Gotham" w:hAnsi="Gotham" w:cs="Arial"/>
          <w:b/>
          <w:sz w:val="20"/>
          <w:szCs w:val="20"/>
        </w:rPr>
      </w:pPr>
    </w:p>
    <w:p w14:paraId="3A474B36" w14:textId="77777777" w:rsidR="009B5E39" w:rsidRPr="00FF4C53" w:rsidRDefault="009B5E39" w:rsidP="009B5E39">
      <w:pPr>
        <w:widowControl w:val="0"/>
        <w:tabs>
          <w:tab w:val="left" w:pos="942"/>
        </w:tabs>
        <w:autoSpaceDE w:val="0"/>
        <w:autoSpaceDN w:val="0"/>
        <w:ind w:left="284" w:right="283"/>
        <w:jc w:val="both"/>
        <w:rPr>
          <w:rFonts w:ascii="Gotham" w:hAnsi="Gotham" w:cs="Arial"/>
          <w:b/>
          <w:sz w:val="19"/>
          <w:szCs w:val="19"/>
        </w:rPr>
      </w:pPr>
      <w:r w:rsidRPr="00FF4C53">
        <w:rPr>
          <w:rFonts w:ascii="Gotham" w:hAnsi="Gotham" w:cs="Arial"/>
          <w:b/>
          <w:sz w:val="19"/>
          <w:szCs w:val="19"/>
        </w:rPr>
        <w:t>Artículo 16 bis. Prohibiciones. Los delegados y agentes municipales, tienen estrictamente prohibido:</w:t>
      </w:r>
    </w:p>
    <w:p w14:paraId="3A474B37" w14:textId="77777777" w:rsidR="009B5E39" w:rsidRPr="00FF4C53" w:rsidRDefault="009B5E39" w:rsidP="009B5E39">
      <w:pPr>
        <w:widowControl w:val="0"/>
        <w:tabs>
          <w:tab w:val="left" w:pos="942"/>
        </w:tabs>
        <w:autoSpaceDE w:val="0"/>
        <w:autoSpaceDN w:val="0"/>
        <w:ind w:left="284" w:right="283"/>
        <w:jc w:val="both"/>
        <w:rPr>
          <w:rFonts w:ascii="Gotham" w:hAnsi="Gotham" w:cs="Arial"/>
          <w:b/>
          <w:sz w:val="19"/>
          <w:szCs w:val="19"/>
        </w:rPr>
      </w:pPr>
    </w:p>
    <w:p w14:paraId="3A474B38" w14:textId="77777777" w:rsidR="009B5E39" w:rsidRPr="00FF4C53" w:rsidRDefault="009B5E39" w:rsidP="009B5E39">
      <w:pPr>
        <w:widowControl w:val="0"/>
        <w:autoSpaceDE w:val="0"/>
        <w:autoSpaceDN w:val="0"/>
        <w:spacing w:after="120"/>
        <w:ind w:left="1134" w:right="283" w:hanging="850"/>
        <w:jc w:val="both"/>
        <w:rPr>
          <w:rFonts w:ascii="Gotham" w:hAnsi="Gotham" w:cs="Arial"/>
          <w:b/>
          <w:sz w:val="19"/>
          <w:szCs w:val="19"/>
        </w:rPr>
      </w:pPr>
      <w:r w:rsidRPr="00FF4C53">
        <w:rPr>
          <w:rFonts w:ascii="Gotham" w:hAnsi="Gotham" w:cs="Arial"/>
          <w:b/>
          <w:sz w:val="19"/>
          <w:szCs w:val="19"/>
        </w:rPr>
        <w:t xml:space="preserve">I. </w:t>
      </w:r>
      <w:r>
        <w:rPr>
          <w:rFonts w:ascii="Gotham" w:hAnsi="Gotham" w:cs="Arial"/>
          <w:b/>
          <w:sz w:val="19"/>
          <w:szCs w:val="19"/>
        </w:rPr>
        <w:tab/>
      </w:r>
      <w:r w:rsidRPr="00FF4C53">
        <w:rPr>
          <w:rFonts w:ascii="Gotham" w:hAnsi="Gotham" w:cs="Arial"/>
          <w:b/>
          <w:sz w:val="19"/>
          <w:szCs w:val="19"/>
        </w:rPr>
        <w:t>Expedir cualquier documento, constancia u otro análogo por ejercicio de su encargo;</w:t>
      </w:r>
    </w:p>
    <w:p w14:paraId="3A474B39" w14:textId="77777777" w:rsidR="009B5E39" w:rsidRPr="00FF4C53" w:rsidRDefault="009B5E39" w:rsidP="009B5E39">
      <w:pPr>
        <w:widowControl w:val="0"/>
        <w:autoSpaceDE w:val="0"/>
        <w:autoSpaceDN w:val="0"/>
        <w:ind w:left="1134" w:right="283" w:hanging="850"/>
        <w:jc w:val="both"/>
        <w:rPr>
          <w:rFonts w:ascii="Gotham" w:hAnsi="Gotham" w:cs="Arial"/>
          <w:b/>
          <w:sz w:val="19"/>
          <w:szCs w:val="19"/>
        </w:rPr>
      </w:pPr>
      <w:r w:rsidRPr="00FF4C53">
        <w:rPr>
          <w:rFonts w:ascii="Gotham" w:hAnsi="Gotham" w:cs="Arial"/>
          <w:b/>
          <w:sz w:val="19"/>
          <w:szCs w:val="19"/>
        </w:rPr>
        <w:t xml:space="preserve">II. </w:t>
      </w:r>
      <w:r>
        <w:rPr>
          <w:rFonts w:ascii="Gotham" w:hAnsi="Gotham" w:cs="Arial"/>
          <w:b/>
          <w:sz w:val="19"/>
          <w:szCs w:val="19"/>
        </w:rPr>
        <w:tab/>
      </w:r>
      <w:r w:rsidRPr="00FF4C53">
        <w:rPr>
          <w:rFonts w:ascii="Gotham" w:hAnsi="Gotham" w:cs="Arial"/>
          <w:b/>
          <w:sz w:val="19"/>
          <w:szCs w:val="19"/>
        </w:rPr>
        <w:t>Otorgar vistos buenos de cualquier índole;</w:t>
      </w:r>
    </w:p>
    <w:p w14:paraId="3A474B3A" w14:textId="77777777" w:rsidR="009B5E39" w:rsidRPr="002C7722" w:rsidRDefault="009B5E39" w:rsidP="009B5E39">
      <w:pPr>
        <w:jc w:val="both"/>
        <w:rPr>
          <w:rFonts w:ascii="Gotham" w:hAnsi="Gotham" w:cs="Arial"/>
          <w:sz w:val="20"/>
          <w:szCs w:val="20"/>
        </w:rPr>
      </w:pPr>
    </w:p>
    <w:p w14:paraId="3A474B3B" w14:textId="409C2815" w:rsidR="009B5E39" w:rsidRPr="002C7722" w:rsidRDefault="009B5E39" w:rsidP="009B5E39">
      <w:pPr>
        <w:jc w:val="both"/>
        <w:rPr>
          <w:rFonts w:ascii="Gotham" w:hAnsi="Gotham" w:cs="Arial"/>
          <w:sz w:val="20"/>
          <w:szCs w:val="20"/>
        </w:rPr>
      </w:pPr>
      <w:r w:rsidRPr="002C7722">
        <w:rPr>
          <w:rFonts w:ascii="Gotham" w:hAnsi="Gotham" w:cs="Arial"/>
          <w:sz w:val="20"/>
          <w:szCs w:val="20"/>
        </w:rPr>
        <w:t xml:space="preserve">El resto del articulado del 17 al 30 </w:t>
      </w:r>
      <w:r w:rsidR="0015568D" w:rsidRPr="002C7722">
        <w:rPr>
          <w:rFonts w:ascii="Gotham" w:hAnsi="Gotham" w:cs="Arial"/>
          <w:sz w:val="20"/>
          <w:szCs w:val="20"/>
        </w:rPr>
        <w:t>queda</w:t>
      </w:r>
      <w:r w:rsidR="0015568D">
        <w:rPr>
          <w:rFonts w:ascii="Gotham" w:hAnsi="Gotham" w:cs="Arial"/>
          <w:sz w:val="20"/>
          <w:szCs w:val="20"/>
        </w:rPr>
        <w:t>nd</w:t>
      </w:r>
      <w:r w:rsidR="0015568D" w:rsidRPr="002C7722">
        <w:rPr>
          <w:rFonts w:ascii="Gotham" w:hAnsi="Gotham" w:cs="Arial"/>
          <w:sz w:val="20"/>
          <w:szCs w:val="20"/>
        </w:rPr>
        <w:t>o</w:t>
      </w:r>
      <w:r w:rsidRPr="002C7722">
        <w:rPr>
          <w:rFonts w:ascii="Gotham" w:hAnsi="Gotham" w:cs="Arial"/>
          <w:sz w:val="20"/>
          <w:szCs w:val="20"/>
        </w:rPr>
        <w:t xml:space="preserve"> intocados. </w:t>
      </w:r>
    </w:p>
    <w:p w14:paraId="3A474B3C" w14:textId="77777777" w:rsidR="009B5E39" w:rsidRDefault="009B5E39" w:rsidP="009B5E39">
      <w:pPr>
        <w:jc w:val="both"/>
        <w:rPr>
          <w:rFonts w:ascii="Gotham" w:hAnsi="Gotham" w:cs="Arial"/>
          <w:sz w:val="20"/>
          <w:szCs w:val="20"/>
        </w:rPr>
      </w:pPr>
    </w:p>
    <w:p w14:paraId="3A474B3D" w14:textId="77777777" w:rsidR="00C9405B" w:rsidRPr="002C7722" w:rsidRDefault="00C9405B" w:rsidP="009B5E39">
      <w:pPr>
        <w:jc w:val="both"/>
        <w:rPr>
          <w:rFonts w:ascii="Gotham" w:hAnsi="Gotham" w:cs="Arial"/>
          <w:sz w:val="20"/>
          <w:szCs w:val="20"/>
        </w:rPr>
      </w:pPr>
    </w:p>
    <w:p w14:paraId="3A474B3E" w14:textId="77777777" w:rsidR="009B5E39" w:rsidRPr="002C7722" w:rsidRDefault="009B5E39" w:rsidP="009B5E39">
      <w:pPr>
        <w:widowControl w:val="0"/>
        <w:tabs>
          <w:tab w:val="left" w:pos="942"/>
        </w:tabs>
        <w:autoSpaceDE w:val="0"/>
        <w:autoSpaceDN w:val="0"/>
        <w:ind w:left="284" w:right="283"/>
        <w:jc w:val="center"/>
        <w:rPr>
          <w:rFonts w:ascii="Gotham" w:hAnsi="Gotham" w:cs="Arial"/>
          <w:sz w:val="19"/>
          <w:szCs w:val="19"/>
        </w:rPr>
      </w:pPr>
      <w:r w:rsidRPr="002C7722">
        <w:rPr>
          <w:rFonts w:ascii="Gotham" w:hAnsi="Gotham" w:cs="Arial"/>
          <w:sz w:val="19"/>
          <w:szCs w:val="19"/>
        </w:rPr>
        <w:t>TRANSITORIOS</w:t>
      </w:r>
    </w:p>
    <w:p w14:paraId="3A474B3F" w14:textId="77777777" w:rsidR="009B5E39" w:rsidRPr="002C7722" w:rsidRDefault="009B5E39" w:rsidP="009B5E39">
      <w:pPr>
        <w:widowControl w:val="0"/>
        <w:tabs>
          <w:tab w:val="left" w:pos="942"/>
        </w:tabs>
        <w:autoSpaceDE w:val="0"/>
        <w:autoSpaceDN w:val="0"/>
        <w:ind w:left="284" w:right="283"/>
        <w:rPr>
          <w:rFonts w:ascii="Gotham" w:hAnsi="Gotham" w:cs="Arial"/>
          <w:sz w:val="19"/>
          <w:szCs w:val="19"/>
        </w:rPr>
      </w:pPr>
    </w:p>
    <w:p w14:paraId="3A474B40" w14:textId="77777777" w:rsidR="009B5E39" w:rsidRPr="002C7722" w:rsidRDefault="009B5E39" w:rsidP="009B5E39">
      <w:pPr>
        <w:widowControl w:val="0"/>
        <w:tabs>
          <w:tab w:val="left" w:pos="942"/>
        </w:tabs>
        <w:autoSpaceDE w:val="0"/>
        <w:autoSpaceDN w:val="0"/>
        <w:ind w:left="284" w:right="283"/>
        <w:rPr>
          <w:rFonts w:ascii="Gotham" w:hAnsi="Gotham" w:cs="Arial"/>
          <w:sz w:val="19"/>
          <w:szCs w:val="19"/>
        </w:rPr>
      </w:pPr>
      <w:r w:rsidRPr="002C7722">
        <w:rPr>
          <w:rFonts w:ascii="Gotham" w:hAnsi="Gotham" w:cs="Arial"/>
          <w:sz w:val="19"/>
          <w:szCs w:val="19"/>
        </w:rPr>
        <w:t>PRIMERO. Las presentes reformas entrarán, en vigor una al día siguiente de su publicación en la gaceta Municipal Tlahtolli.</w:t>
      </w:r>
    </w:p>
    <w:p w14:paraId="3A474B41" w14:textId="77777777" w:rsidR="009B5E39" w:rsidRPr="002C7722" w:rsidRDefault="009B5E39" w:rsidP="009B5E39">
      <w:pPr>
        <w:widowControl w:val="0"/>
        <w:tabs>
          <w:tab w:val="left" w:pos="942"/>
        </w:tabs>
        <w:autoSpaceDE w:val="0"/>
        <w:autoSpaceDN w:val="0"/>
        <w:ind w:left="284" w:right="283"/>
        <w:rPr>
          <w:rFonts w:ascii="Gotham" w:hAnsi="Gotham" w:cs="Arial"/>
          <w:sz w:val="19"/>
          <w:szCs w:val="19"/>
        </w:rPr>
      </w:pPr>
    </w:p>
    <w:p w14:paraId="3A474B42" w14:textId="77777777" w:rsidR="009B5E39" w:rsidRPr="002C7722" w:rsidRDefault="009B5E39" w:rsidP="009B5E39">
      <w:pPr>
        <w:widowControl w:val="0"/>
        <w:tabs>
          <w:tab w:val="left" w:pos="942"/>
        </w:tabs>
        <w:autoSpaceDE w:val="0"/>
        <w:autoSpaceDN w:val="0"/>
        <w:ind w:left="284" w:right="283"/>
        <w:rPr>
          <w:rFonts w:ascii="Gotham" w:hAnsi="Gotham" w:cs="Arial"/>
          <w:sz w:val="19"/>
          <w:szCs w:val="19"/>
        </w:rPr>
      </w:pPr>
      <w:r w:rsidRPr="002C7722">
        <w:rPr>
          <w:rFonts w:ascii="Gotham" w:hAnsi="Gotham" w:cs="Arial"/>
          <w:sz w:val="19"/>
          <w:szCs w:val="19"/>
        </w:rPr>
        <w:t>SEGUNDO. Remítase el presente Reglamento al C. Presidente Municipal, para los efectos de su obligatoria promulgación y publicación, de conformidad con el artículo 42 fracción IV de la Ley del Gobierno y la Administración Pública Municipal del Estado de Jalisco.</w:t>
      </w:r>
      <w:r w:rsidR="00883EC2">
        <w:rPr>
          <w:rFonts w:ascii="Gotham" w:hAnsi="Gotham" w:cs="Arial"/>
          <w:sz w:val="19"/>
          <w:szCs w:val="19"/>
        </w:rPr>
        <w:t xml:space="preserve">  </w:t>
      </w:r>
    </w:p>
    <w:p w14:paraId="3A474B43" w14:textId="77777777" w:rsidR="009B5E39" w:rsidRPr="002C7722" w:rsidRDefault="009B5E39" w:rsidP="009B5E39">
      <w:pPr>
        <w:jc w:val="both"/>
        <w:rPr>
          <w:rFonts w:ascii="Gotham" w:hAnsi="Gotham" w:cs="Arial"/>
          <w:b/>
          <w:sz w:val="20"/>
          <w:szCs w:val="20"/>
        </w:rPr>
      </w:pPr>
    </w:p>
    <w:p w14:paraId="3A474B44" w14:textId="77777777" w:rsidR="009B5E39" w:rsidRPr="002C7722" w:rsidRDefault="009B5E39" w:rsidP="009B5E39">
      <w:pPr>
        <w:jc w:val="both"/>
        <w:rPr>
          <w:rFonts w:ascii="Gotham" w:hAnsi="Gotham" w:cs="Arial"/>
          <w:b/>
          <w:sz w:val="20"/>
          <w:szCs w:val="20"/>
        </w:rPr>
      </w:pPr>
      <w:r w:rsidRPr="002C7722">
        <w:rPr>
          <w:rFonts w:ascii="Gotham" w:hAnsi="Gotham" w:cs="Arial"/>
          <w:sz w:val="20"/>
          <w:szCs w:val="20"/>
        </w:rPr>
        <w:t>Por lo que respecta al</w:t>
      </w:r>
      <w:r w:rsidRPr="002C7722">
        <w:rPr>
          <w:rFonts w:ascii="Gotham" w:hAnsi="Gotham" w:cs="Arial"/>
          <w:b/>
          <w:sz w:val="20"/>
          <w:szCs w:val="20"/>
        </w:rPr>
        <w:t xml:space="preserve"> CÓDIGO PARA LA PROTECCIÓN AMBIENTAL, CAMBIO CLIMÁTICO Y SUSTENTABILIDAD DEL MUNICIPIO DE TONALÁ, JALISCO; se propone la siguiente reforma:</w:t>
      </w:r>
    </w:p>
    <w:p w14:paraId="3A474B45" w14:textId="77777777" w:rsidR="009B5E39" w:rsidRPr="002C7722" w:rsidRDefault="009B5E39" w:rsidP="009B5E39">
      <w:pPr>
        <w:jc w:val="both"/>
        <w:rPr>
          <w:rFonts w:ascii="Gotham" w:hAnsi="Gotham" w:cs="Arial"/>
          <w:b/>
          <w:sz w:val="20"/>
          <w:szCs w:val="20"/>
        </w:rPr>
      </w:pPr>
    </w:p>
    <w:p w14:paraId="3A474B46" w14:textId="77777777" w:rsidR="009B5E39" w:rsidRPr="00222929" w:rsidRDefault="009B5E39" w:rsidP="009B5E39">
      <w:pPr>
        <w:widowControl w:val="0"/>
        <w:tabs>
          <w:tab w:val="left" w:pos="942"/>
        </w:tabs>
        <w:autoSpaceDE w:val="0"/>
        <w:autoSpaceDN w:val="0"/>
        <w:ind w:left="284" w:right="283"/>
        <w:jc w:val="center"/>
        <w:rPr>
          <w:rFonts w:ascii="Gotham" w:hAnsi="Gotham" w:cs="Arial"/>
          <w:b/>
          <w:sz w:val="19"/>
          <w:szCs w:val="19"/>
        </w:rPr>
      </w:pPr>
      <w:r w:rsidRPr="00222929">
        <w:rPr>
          <w:rFonts w:ascii="Gotham" w:hAnsi="Gotham" w:cs="Arial"/>
          <w:b/>
          <w:sz w:val="19"/>
          <w:szCs w:val="19"/>
        </w:rPr>
        <w:t>CAPÍTULO III</w:t>
      </w:r>
    </w:p>
    <w:p w14:paraId="3A474B47" w14:textId="77777777" w:rsidR="009B5E39" w:rsidRPr="00222929" w:rsidRDefault="009B5E39" w:rsidP="009B5E39">
      <w:pPr>
        <w:widowControl w:val="0"/>
        <w:tabs>
          <w:tab w:val="left" w:pos="942"/>
        </w:tabs>
        <w:autoSpaceDE w:val="0"/>
        <w:autoSpaceDN w:val="0"/>
        <w:ind w:left="284" w:right="283"/>
        <w:jc w:val="center"/>
        <w:rPr>
          <w:rFonts w:ascii="Gotham" w:hAnsi="Gotham" w:cs="Arial"/>
          <w:b/>
          <w:sz w:val="19"/>
          <w:szCs w:val="19"/>
        </w:rPr>
      </w:pPr>
      <w:r w:rsidRPr="00222929">
        <w:rPr>
          <w:rFonts w:ascii="Gotham" w:hAnsi="Gotham" w:cs="Arial"/>
          <w:b/>
          <w:sz w:val="19"/>
          <w:szCs w:val="19"/>
        </w:rPr>
        <w:t>DEL RUIDO, VIBRACIONES, ENERGÍA TÉRMICA Y LUMÍNICA, OLORES Y CONTAMINACIÓN VISUAL</w:t>
      </w:r>
    </w:p>
    <w:p w14:paraId="3A474B48" w14:textId="77777777" w:rsidR="009B5E39" w:rsidRPr="002C7722" w:rsidRDefault="009B5E39" w:rsidP="009B5E39">
      <w:pPr>
        <w:jc w:val="both"/>
        <w:rPr>
          <w:rFonts w:ascii="Gotham" w:hAnsi="Gotham" w:cs="Arial"/>
          <w:b/>
          <w:sz w:val="20"/>
          <w:szCs w:val="20"/>
        </w:rPr>
      </w:pPr>
    </w:p>
    <w:p w14:paraId="3A474B49" w14:textId="77777777" w:rsidR="009B5E39" w:rsidRPr="002C7722" w:rsidRDefault="009B5E39" w:rsidP="009B5E39">
      <w:pPr>
        <w:jc w:val="both"/>
        <w:rPr>
          <w:rFonts w:ascii="Gotham" w:hAnsi="Gotham" w:cs="Arial"/>
          <w:b/>
          <w:sz w:val="20"/>
          <w:szCs w:val="20"/>
        </w:rPr>
      </w:pPr>
      <w:r w:rsidRPr="002C7722">
        <w:rPr>
          <w:rFonts w:ascii="Gotham" w:hAnsi="Gotham" w:cs="Arial"/>
          <w:b/>
          <w:sz w:val="20"/>
          <w:szCs w:val="20"/>
        </w:rPr>
        <w:t xml:space="preserve">Dice: </w:t>
      </w:r>
    </w:p>
    <w:p w14:paraId="3A474B4A" w14:textId="77777777" w:rsidR="009B5E39" w:rsidRPr="002C7722" w:rsidRDefault="009B5E39" w:rsidP="009B5E39">
      <w:pPr>
        <w:jc w:val="both"/>
        <w:rPr>
          <w:rFonts w:ascii="Gotham" w:hAnsi="Gotham" w:cs="Arial"/>
          <w:b/>
          <w:sz w:val="20"/>
          <w:szCs w:val="20"/>
        </w:rPr>
      </w:pPr>
    </w:p>
    <w:p w14:paraId="3A474B4B" w14:textId="77777777" w:rsidR="009B5E39" w:rsidRPr="00222929" w:rsidRDefault="009B5E39" w:rsidP="009B5E39">
      <w:pPr>
        <w:widowControl w:val="0"/>
        <w:tabs>
          <w:tab w:val="left" w:pos="942"/>
        </w:tabs>
        <w:autoSpaceDE w:val="0"/>
        <w:autoSpaceDN w:val="0"/>
        <w:ind w:left="284" w:right="283"/>
        <w:jc w:val="both"/>
        <w:rPr>
          <w:rFonts w:ascii="Gotham" w:hAnsi="Gotham" w:cs="Arial"/>
          <w:sz w:val="19"/>
          <w:szCs w:val="19"/>
        </w:rPr>
      </w:pPr>
      <w:r w:rsidRPr="00222929">
        <w:rPr>
          <w:rFonts w:ascii="Gotham" w:hAnsi="Gotham" w:cs="Arial"/>
          <w:b/>
          <w:sz w:val="19"/>
          <w:szCs w:val="19"/>
        </w:rPr>
        <w:t>Artículo 35.-</w:t>
      </w:r>
      <w:r w:rsidRPr="00222929">
        <w:rPr>
          <w:rFonts w:ascii="Gotham" w:hAnsi="Gotham" w:cs="Arial"/>
          <w:sz w:val="19"/>
          <w:szCs w:val="19"/>
        </w:rPr>
        <w:t xml:space="preserve"> Se prohíben las emisiones de ruido en establecimientos mercantiles y de servicios que excedan los límites máximos permisibles establecidos en la NOM-081-SEMARNAT-199423 o la que la substituyera.</w:t>
      </w:r>
    </w:p>
    <w:p w14:paraId="3A474B4C" w14:textId="77777777" w:rsidR="009B5E39" w:rsidRPr="002C7722" w:rsidRDefault="009B5E39" w:rsidP="009B5E39">
      <w:pPr>
        <w:jc w:val="both"/>
        <w:rPr>
          <w:rFonts w:ascii="Gotham" w:hAnsi="Gotham" w:cs="Arial"/>
          <w:b/>
          <w:sz w:val="20"/>
          <w:szCs w:val="20"/>
        </w:rPr>
      </w:pPr>
    </w:p>
    <w:p w14:paraId="3A474B4D" w14:textId="77777777" w:rsidR="009B5E39" w:rsidRPr="002C7722" w:rsidRDefault="009B5E39" w:rsidP="009B5E39">
      <w:pPr>
        <w:jc w:val="both"/>
        <w:rPr>
          <w:rFonts w:ascii="Gotham" w:hAnsi="Gotham" w:cs="Arial"/>
          <w:b/>
          <w:sz w:val="20"/>
          <w:szCs w:val="20"/>
        </w:rPr>
      </w:pPr>
      <w:r w:rsidRPr="002C7722">
        <w:rPr>
          <w:rFonts w:ascii="Gotham" w:hAnsi="Gotham" w:cs="Arial"/>
          <w:b/>
          <w:sz w:val="20"/>
          <w:szCs w:val="20"/>
        </w:rPr>
        <w:lastRenderedPageBreak/>
        <w:t>Debe decir:</w:t>
      </w:r>
    </w:p>
    <w:p w14:paraId="3A474B4E" w14:textId="77777777" w:rsidR="009B5E39" w:rsidRPr="002C7722" w:rsidRDefault="009B5E39" w:rsidP="009B5E39">
      <w:pPr>
        <w:jc w:val="both"/>
        <w:rPr>
          <w:rFonts w:ascii="Gotham" w:hAnsi="Gotham" w:cs="Arial"/>
          <w:b/>
          <w:sz w:val="20"/>
          <w:szCs w:val="20"/>
        </w:rPr>
      </w:pPr>
    </w:p>
    <w:p w14:paraId="3A474B4F" w14:textId="77777777" w:rsidR="009B5E39" w:rsidRPr="00222929" w:rsidRDefault="009B5E39" w:rsidP="009B5E39">
      <w:pPr>
        <w:widowControl w:val="0"/>
        <w:tabs>
          <w:tab w:val="left" w:pos="942"/>
        </w:tabs>
        <w:autoSpaceDE w:val="0"/>
        <w:autoSpaceDN w:val="0"/>
        <w:ind w:left="284" w:right="283"/>
        <w:jc w:val="both"/>
        <w:rPr>
          <w:rFonts w:ascii="Gotham" w:hAnsi="Gotham" w:cs="Arial"/>
          <w:sz w:val="19"/>
          <w:szCs w:val="19"/>
        </w:rPr>
      </w:pPr>
      <w:r w:rsidRPr="00222929">
        <w:rPr>
          <w:rFonts w:ascii="Gotham" w:hAnsi="Gotham" w:cs="Arial"/>
          <w:b/>
          <w:sz w:val="19"/>
          <w:szCs w:val="19"/>
        </w:rPr>
        <w:t>Artículo 35.-</w:t>
      </w:r>
      <w:r w:rsidRPr="00222929">
        <w:rPr>
          <w:rFonts w:ascii="Gotham" w:hAnsi="Gotham" w:cs="Arial"/>
          <w:sz w:val="19"/>
          <w:szCs w:val="19"/>
        </w:rPr>
        <w:t xml:space="preserve"> Se prohíben las emisiones de ruido en establecimientos mercantiles y de servicios que excedan los límites máximos permisibles establecidos en la NOM-081-SEMARNAT-1994 que establece los límites máximos permisibles de emisión de ruido de las fuentes fijas y su método de medición o la que la substituyera.</w:t>
      </w:r>
    </w:p>
    <w:p w14:paraId="3A474B50" w14:textId="77777777" w:rsidR="009B5E39" w:rsidRPr="00222929" w:rsidRDefault="009B5E39" w:rsidP="009B5E39">
      <w:pPr>
        <w:jc w:val="both"/>
        <w:rPr>
          <w:rFonts w:ascii="Gotham" w:hAnsi="Gotham" w:cs="Arial"/>
          <w:sz w:val="20"/>
          <w:szCs w:val="20"/>
        </w:rPr>
      </w:pPr>
    </w:p>
    <w:p w14:paraId="3A474B51" w14:textId="77777777" w:rsidR="009B5E39" w:rsidRDefault="009B5E39" w:rsidP="009B5E39">
      <w:pPr>
        <w:jc w:val="both"/>
        <w:rPr>
          <w:rFonts w:ascii="Gotham" w:hAnsi="Gotham" w:cs="Arial"/>
          <w:sz w:val="20"/>
          <w:szCs w:val="20"/>
        </w:rPr>
      </w:pPr>
      <w:r w:rsidRPr="00222929">
        <w:rPr>
          <w:rFonts w:ascii="Gotham" w:hAnsi="Gotham" w:cs="Arial"/>
          <w:sz w:val="20"/>
          <w:szCs w:val="20"/>
        </w:rPr>
        <w:t>También deberá de considerarse el Acuerdo por el que se modifica el numeral 5.4 de la NOM-081-SEMARNAT-1994:</w:t>
      </w:r>
    </w:p>
    <w:p w14:paraId="3A474B52" w14:textId="77777777" w:rsidR="009B5E39" w:rsidRPr="00222929" w:rsidRDefault="009B5E39" w:rsidP="009B5E39">
      <w:pPr>
        <w:jc w:val="both"/>
        <w:rPr>
          <w:rFonts w:ascii="Gotham" w:hAnsi="Gotham" w:cs="Arial"/>
          <w:sz w:val="20"/>
          <w:szCs w:val="20"/>
        </w:rPr>
      </w:pPr>
    </w:p>
    <w:p w14:paraId="3A474B53" w14:textId="77777777" w:rsidR="009B5E39" w:rsidRPr="00222929" w:rsidRDefault="009B5E39" w:rsidP="009B5E39">
      <w:pPr>
        <w:widowControl w:val="0"/>
        <w:tabs>
          <w:tab w:val="left" w:pos="942"/>
        </w:tabs>
        <w:autoSpaceDE w:val="0"/>
        <w:autoSpaceDN w:val="0"/>
        <w:ind w:left="284" w:right="283"/>
        <w:rPr>
          <w:rFonts w:ascii="Gotham" w:hAnsi="Gotham" w:cs="Arial"/>
          <w:sz w:val="19"/>
          <w:szCs w:val="19"/>
        </w:rPr>
      </w:pPr>
      <w:r w:rsidRPr="00222929">
        <w:rPr>
          <w:rFonts w:ascii="Gotham" w:hAnsi="Gotham" w:cs="Arial"/>
          <w:sz w:val="19"/>
          <w:szCs w:val="19"/>
        </w:rPr>
        <w:t>Los límites máximos permisibles del nivel sonoro en ponderación "A" emitidos por fuentes fijas, son los establecidos en la Tabla 1.</w:t>
      </w:r>
    </w:p>
    <w:p w14:paraId="3A474B54" w14:textId="77777777" w:rsidR="009B5E39" w:rsidRPr="00222929" w:rsidRDefault="009B5E39" w:rsidP="009B5E39">
      <w:pPr>
        <w:widowControl w:val="0"/>
        <w:tabs>
          <w:tab w:val="left" w:pos="942"/>
        </w:tabs>
        <w:autoSpaceDE w:val="0"/>
        <w:autoSpaceDN w:val="0"/>
        <w:ind w:left="284" w:right="283"/>
        <w:rPr>
          <w:rFonts w:ascii="Gotham" w:hAnsi="Gotham" w:cs="Arial"/>
          <w:sz w:val="19"/>
          <w:szCs w:val="19"/>
        </w:rPr>
      </w:pPr>
    </w:p>
    <w:p w14:paraId="3A474B55" w14:textId="77777777" w:rsidR="009B5E39" w:rsidRPr="009233EB" w:rsidRDefault="009B5E39" w:rsidP="009B5E39">
      <w:pPr>
        <w:widowControl w:val="0"/>
        <w:tabs>
          <w:tab w:val="left" w:pos="942"/>
        </w:tabs>
        <w:autoSpaceDE w:val="0"/>
        <w:autoSpaceDN w:val="0"/>
        <w:spacing w:after="120"/>
        <w:ind w:left="284" w:right="283"/>
        <w:jc w:val="center"/>
        <w:rPr>
          <w:rFonts w:ascii="Gotham" w:hAnsi="Gotham" w:cs="Arial"/>
          <w:b/>
          <w:sz w:val="19"/>
          <w:szCs w:val="19"/>
        </w:rPr>
      </w:pPr>
      <w:r w:rsidRPr="009233EB">
        <w:rPr>
          <w:rFonts w:ascii="Gotham" w:hAnsi="Gotham" w:cs="Arial"/>
          <w:b/>
          <w:sz w:val="19"/>
          <w:szCs w:val="19"/>
        </w:rPr>
        <w:t>TABLA 1. LÍMITES MÁXIMOS PERMISIBLES.</w:t>
      </w:r>
    </w:p>
    <w:tbl>
      <w:tblPr>
        <w:tblW w:w="9206"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61"/>
        <w:gridCol w:w="2694"/>
        <w:gridCol w:w="2551"/>
      </w:tblGrid>
      <w:tr w:rsidR="009B5E39" w:rsidRPr="009233EB" w14:paraId="3A474B59" w14:textId="77777777" w:rsidTr="00190E4A">
        <w:trP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56"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b/>
                <w:bCs/>
                <w:color w:val="000000"/>
                <w:sz w:val="18"/>
                <w:szCs w:val="18"/>
                <w:lang w:eastAsia="es-MX"/>
              </w:rPr>
              <w:t>ZONA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57"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b/>
                <w:bCs/>
                <w:color w:val="000000"/>
                <w:sz w:val="18"/>
                <w:szCs w:val="18"/>
                <w:lang w:eastAsia="es-MX"/>
              </w:rPr>
              <w:t>HORARIO</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58"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b/>
                <w:bCs/>
                <w:color w:val="000000"/>
                <w:sz w:val="18"/>
                <w:szCs w:val="18"/>
                <w:lang w:eastAsia="es-MX"/>
              </w:rPr>
              <w:t>LÍMITE MÁXIMO</w:t>
            </w:r>
            <w:r w:rsidRPr="009233EB">
              <w:rPr>
                <w:rFonts w:ascii="Gotham" w:hAnsi="Gotham" w:cs="Arial"/>
                <w:color w:val="000000"/>
                <w:sz w:val="18"/>
                <w:szCs w:val="18"/>
                <w:lang w:eastAsia="es-MX"/>
              </w:rPr>
              <w:br/>
            </w:r>
            <w:r w:rsidRPr="009233EB">
              <w:rPr>
                <w:rFonts w:ascii="Gotham" w:hAnsi="Gotham" w:cs="Arial"/>
                <w:b/>
                <w:bCs/>
                <w:color w:val="000000"/>
                <w:sz w:val="18"/>
                <w:szCs w:val="18"/>
                <w:lang w:eastAsia="es-MX"/>
              </w:rPr>
              <w:t>PERMISIBLE dB decibelios (A)</w:t>
            </w:r>
          </w:p>
        </w:tc>
      </w:tr>
      <w:tr w:rsidR="009B5E39" w:rsidRPr="009233EB" w14:paraId="3A474B5F" w14:textId="77777777" w:rsidTr="00190E4A">
        <w:trP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5A" w14:textId="77777777" w:rsidR="009B5E39" w:rsidRPr="009233EB" w:rsidRDefault="009B5E39" w:rsidP="00190E4A">
            <w:pPr>
              <w:spacing w:before="80" w:after="80"/>
              <w:jc w:val="both"/>
              <w:rPr>
                <w:rFonts w:ascii="Gotham" w:hAnsi="Gotham" w:cs="Arial"/>
                <w:color w:val="000000"/>
                <w:sz w:val="18"/>
                <w:szCs w:val="18"/>
                <w:lang w:eastAsia="es-MX"/>
              </w:rPr>
            </w:pPr>
            <w:r w:rsidRPr="009233EB">
              <w:rPr>
                <w:rFonts w:ascii="Gotham" w:hAnsi="Gotham" w:cs="Arial"/>
                <w:color w:val="000000"/>
                <w:sz w:val="18"/>
                <w:szCs w:val="18"/>
                <w:lang w:eastAsia="es-MX"/>
              </w:rPr>
              <w:t>Residencial1 (exteriores)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5B"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6:00 a 22:00</w:t>
            </w:r>
          </w:p>
          <w:p w14:paraId="3A474B5C"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22:00 a 6:00</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5D"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55</w:t>
            </w:r>
          </w:p>
          <w:p w14:paraId="3A474B5E"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50</w:t>
            </w:r>
          </w:p>
        </w:tc>
      </w:tr>
      <w:tr w:rsidR="009B5E39" w:rsidRPr="009233EB" w14:paraId="3A474B65" w14:textId="77777777" w:rsidTr="00190E4A">
        <w:trP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0" w14:textId="77777777" w:rsidR="009B5E39" w:rsidRPr="009233EB" w:rsidRDefault="009B5E39" w:rsidP="00190E4A">
            <w:pPr>
              <w:spacing w:before="80" w:after="80"/>
              <w:jc w:val="both"/>
              <w:rPr>
                <w:rFonts w:ascii="Gotham" w:hAnsi="Gotham" w:cs="Arial"/>
                <w:color w:val="000000"/>
                <w:sz w:val="18"/>
                <w:szCs w:val="18"/>
                <w:lang w:eastAsia="es-MX"/>
              </w:rPr>
            </w:pPr>
            <w:r w:rsidRPr="009233EB">
              <w:rPr>
                <w:rFonts w:ascii="Gotham" w:hAnsi="Gotham" w:cs="Arial"/>
                <w:color w:val="000000"/>
                <w:sz w:val="18"/>
                <w:szCs w:val="18"/>
                <w:lang w:eastAsia="es-MX"/>
              </w:rPr>
              <w:t>Industriales y comerciales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1"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6:00 a 22:00</w:t>
            </w:r>
          </w:p>
          <w:p w14:paraId="3A474B62"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22:00 a 6:00</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3"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68</w:t>
            </w:r>
          </w:p>
          <w:p w14:paraId="3A474B64"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65</w:t>
            </w:r>
          </w:p>
        </w:tc>
      </w:tr>
      <w:tr w:rsidR="009B5E39" w:rsidRPr="009233EB" w14:paraId="3A474B69" w14:textId="77777777" w:rsidTr="00190E4A">
        <w:trP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6" w14:textId="77777777" w:rsidR="009B5E39" w:rsidRPr="009233EB" w:rsidRDefault="009B5E39" w:rsidP="00190E4A">
            <w:pPr>
              <w:spacing w:before="80" w:after="80"/>
              <w:jc w:val="both"/>
              <w:rPr>
                <w:rFonts w:ascii="Gotham" w:hAnsi="Gotham" w:cs="Arial"/>
                <w:color w:val="000000"/>
                <w:sz w:val="18"/>
                <w:szCs w:val="18"/>
                <w:lang w:eastAsia="es-MX"/>
              </w:rPr>
            </w:pPr>
            <w:r w:rsidRPr="009233EB">
              <w:rPr>
                <w:rFonts w:ascii="Gotham" w:hAnsi="Gotham" w:cs="Arial"/>
                <w:color w:val="000000"/>
                <w:sz w:val="18"/>
                <w:szCs w:val="18"/>
                <w:lang w:eastAsia="es-MX"/>
              </w:rPr>
              <w:t>Escuelas (áreas exteriores de juego)</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7"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Durante el juego</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8"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55</w:t>
            </w:r>
          </w:p>
        </w:tc>
      </w:tr>
      <w:tr w:rsidR="009B5E39" w:rsidRPr="009233EB" w14:paraId="3A474B6D" w14:textId="77777777" w:rsidTr="00190E4A">
        <w:trP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A" w14:textId="77777777" w:rsidR="009B5E39" w:rsidRPr="009233EB" w:rsidRDefault="009B5E39" w:rsidP="00190E4A">
            <w:pPr>
              <w:spacing w:before="80" w:after="80"/>
              <w:jc w:val="both"/>
              <w:rPr>
                <w:rFonts w:ascii="Gotham" w:hAnsi="Gotham" w:cs="Arial"/>
                <w:color w:val="000000"/>
                <w:sz w:val="18"/>
                <w:szCs w:val="18"/>
                <w:lang w:eastAsia="es-MX"/>
              </w:rPr>
            </w:pPr>
            <w:r w:rsidRPr="009233EB">
              <w:rPr>
                <w:rFonts w:ascii="Gotham" w:hAnsi="Gotham" w:cs="Arial"/>
                <w:color w:val="000000"/>
                <w:sz w:val="18"/>
                <w:szCs w:val="18"/>
                <w:lang w:eastAsia="es-MX"/>
              </w:rPr>
              <w:t>Ceremonias, festivales y eventos de entretenimiento.</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B"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4 horas</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474B6C" w14:textId="77777777" w:rsidR="009B5E39" w:rsidRPr="009233EB" w:rsidRDefault="009B5E39" w:rsidP="00190E4A">
            <w:pPr>
              <w:spacing w:before="80" w:after="80"/>
              <w:jc w:val="center"/>
              <w:rPr>
                <w:rFonts w:ascii="Gotham" w:hAnsi="Gotham" w:cs="Arial"/>
                <w:color w:val="000000"/>
                <w:sz w:val="18"/>
                <w:szCs w:val="18"/>
                <w:lang w:eastAsia="es-MX"/>
              </w:rPr>
            </w:pPr>
            <w:r w:rsidRPr="009233EB">
              <w:rPr>
                <w:rFonts w:ascii="Gotham" w:hAnsi="Gotham" w:cs="Arial"/>
                <w:color w:val="000000"/>
                <w:sz w:val="18"/>
                <w:szCs w:val="18"/>
                <w:lang w:eastAsia="es-MX"/>
              </w:rPr>
              <w:t>100</w:t>
            </w:r>
          </w:p>
        </w:tc>
      </w:tr>
    </w:tbl>
    <w:p w14:paraId="3A474B6E" w14:textId="77777777" w:rsidR="009B5E39" w:rsidRPr="004529A9" w:rsidRDefault="009B5E39" w:rsidP="009B5E39">
      <w:pPr>
        <w:widowControl w:val="0"/>
        <w:tabs>
          <w:tab w:val="left" w:pos="942"/>
        </w:tabs>
        <w:autoSpaceDE w:val="0"/>
        <w:autoSpaceDN w:val="0"/>
        <w:ind w:left="284" w:right="283"/>
        <w:rPr>
          <w:rFonts w:ascii="Gotham" w:hAnsi="Gotham" w:cs="Arial"/>
          <w:sz w:val="19"/>
          <w:szCs w:val="19"/>
        </w:rPr>
      </w:pPr>
      <w:r w:rsidRPr="004529A9">
        <w:rPr>
          <w:rFonts w:ascii="Gotham" w:hAnsi="Gotham" w:cs="Arial"/>
          <w:sz w:val="19"/>
          <w:szCs w:val="19"/>
        </w:rPr>
        <w:t> </w:t>
      </w:r>
    </w:p>
    <w:p w14:paraId="3A474B6F" w14:textId="77777777" w:rsidR="009B5E39" w:rsidRPr="004529A9" w:rsidRDefault="009B5E39" w:rsidP="009B5E39">
      <w:pPr>
        <w:widowControl w:val="0"/>
        <w:tabs>
          <w:tab w:val="left" w:pos="942"/>
        </w:tabs>
        <w:autoSpaceDE w:val="0"/>
        <w:autoSpaceDN w:val="0"/>
        <w:ind w:left="284" w:right="283"/>
        <w:rPr>
          <w:rFonts w:ascii="Gotham" w:hAnsi="Gotham" w:cs="Arial"/>
          <w:sz w:val="19"/>
          <w:szCs w:val="19"/>
        </w:rPr>
      </w:pPr>
      <w:r w:rsidRPr="004529A9">
        <w:rPr>
          <w:rFonts w:ascii="Gotham" w:hAnsi="Gotham" w:cs="Arial"/>
          <w:sz w:val="19"/>
          <w:szCs w:val="19"/>
        </w:rPr>
        <w:t>1 Entendida por: vivienda habitacional unifamiliar y plurifamiliar; vivienda habitacional con comercio en planta baja; vivienda habitacional mixta; vivienda habitacional con oficinas; centros de barrio y zonas de servicios educativos.</w:t>
      </w:r>
    </w:p>
    <w:p w14:paraId="3A474B70" w14:textId="77777777" w:rsidR="009B5E39" w:rsidRPr="004529A9" w:rsidRDefault="009B5E39" w:rsidP="009B5E39">
      <w:pPr>
        <w:widowControl w:val="0"/>
        <w:tabs>
          <w:tab w:val="left" w:pos="942"/>
        </w:tabs>
        <w:autoSpaceDE w:val="0"/>
        <w:autoSpaceDN w:val="0"/>
        <w:ind w:left="284" w:right="283"/>
        <w:rPr>
          <w:rFonts w:ascii="Gotham" w:hAnsi="Gotham" w:cs="Arial"/>
          <w:sz w:val="19"/>
          <w:szCs w:val="19"/>
        </w:rPr>
      </w:pPr>
    </w:p>
    <w:p w14:paraId="3A474B71" w14:textId="77777777" w:rsidR="009B5E39" w:rsidRPr="004529A9" w:rsidRDefault="009B5E39" w:rsidP="009B5E39">
      <w:pPr>
        <w:widowControl w:val="0"/>
        <w:tabs>
          <w:tab w:val="left" w:pos="942"/>
        </w:tabs>
        <w:autoSpaceDE w:val="0"/>
        <w:autoSpaceDN w:val="0"/>
        <w:ind w:left="284" w:right="283"/>
        <w:jc w:val="center"/>
        <w:rPr>
          <w:rFonts w:ascii="Gotham" w:hAnsi="Gotham" w:cs="Arial"/>
          <w:sz w:val="19"/>
          <w:szCs w:val="19"/>
        </w:rPr>
      </w:pPr>
      <w:r w:rsidRPr="004529A9">
        <w:rPr>
          <w:rFonts w:ascii="Gotham" w:hAnsi="Gotham" w:cs="Arial"/>
          <w:sz w:val="19"/>
          <w:szCs w:val="19"/>
        </w:rPr>
        <w:t>CAPÍTULO VI</w:t>
      </w:r>
    </w:p>
    <w:p w14:paraId="3A474B72" w14:textId="77777777" w:rsidR="009B5E39" w:rsidRPr="004529A9" w:rsidRDefault="009B5E39" w:rsidP="009B5E39">
      <w:pPr>
        <w:widowControl w:val="0"/>
        <w:tabs>
          <w:tab w:val="left" w:pos="942"/>
        </w:tabs>
        <w:autoSpaceDE w:val="0"/>
        <w:autoSpaceDN w:val="0"/>
        <w:ind w:left="284" w:right="283"/>
        <w:jc w:val="center"/>
        <w:rPr>
          <w:rFonts w:ascii="Gotham" w:hAnsi="Gotham" w:cs="Arial"/>
          <w:sz w:val="19"/>
          <w:szCs w:val="19"/>
        </w:rPr>
      </w:pPr>
      <w:r w:rsidRPr="004529A9">
        <w:rPr>
          <w:rFonts w:ascii="Gotham" w:hAnsi="Gotham" w:cs="Arial"/>
          <w:sz w:val="19"/>
          <w:szCs w:val="19"/>
        </w:rPr>
        <w:t>DE LAS INFRACCIONES</w:t>
      </w:r>
    </w:p>
    <w:p w14:paraId="3A474B73" w14:textId="77777777" w:rsidR="009B5E39" w:rsidRPr="004529A9" w:rsidRDefault="009B5E39" w:rsidP="009B5E39">
      <w:pPr>
        <w:jc w:val="both"/>
        <w:rPr>
          <w:rFonts w:ascii="Gotham" w:hAnsi="Gotham" w:cs="Arial"/>
          <w:b/>
          <w:sz w:val="20"/>
          <w:szCs w:val="20"/>
        </w:rPr>
      </w:pPr>
    </w:p>
    <w:p w14:paraId="3A474B74" w14:textId="77777777" w:rsidR="009B5E39" w:rsidRPr="004529A9" w:rsidRDefault="009B5E39" w:rsidP="009B5E39">
      <w:pPr>
        <w:jc w:val="both"/>
        <w:rPr>
          <w:rFonts w:ascii="Gotham" w:hAnsi="Gotham" w:cs="Arial"/>
          <w:b/>
          <w:sz w:val="20"/>
          <w:szCs w:val="20"/>
        </w:rPr>
      </w:pPr>
      <w:r w:rsidRPr="004529A9">
        <w:rPr>
          <w:rFonts w:ascii="Gotham" w:hAnsi="Gotham" w:cs="Arial"/>
          <w:b/>
          <w:sz w:val="20"/>
          <w:szCs w:val="20"/>
        </w:rPr>
        <w:t xml:space="preserve">Dice: </w:t>
      </w:r>
    </w:p>
    <w:p w14:paraId="3A474B75" w14:textId="77777777" w:rsidR="009B5E39" w:rsidRPr="004529A9" w:rsidRDefault="009B5E39" w:rsidP="009B5E39">
      <w:pPr>
        <w:jc w:val="both"/>
        <w:rPr>
          <w:rFonts w:ascii="Gotham" w:hAnsi="Gotham" w:cs="Arial"/>
          <w:b/>
          <w:sz w:val="20"/>
          <w:szCs w:val="20"/>
        </w:rPr>
      </w:pPr>
    </w:p>
    <w:p w14:paraId="3A474B76" w14:textId="77777777" w:rsidR="009B5E39" w:rsidRPr="004529A9" w:rsidRDefault="009B5E39" w:rsidP="009B5E39">
      <w:pPr>
        <w:widowControl w:val="0"/>
        <w:tabs>
          <w:tab w:val="left" w:pos="942"/>
        </w:tabs>
        <w:autoSpaceDE w:val="0"/>
        <w:autoSpaceDN w:val="0"/>
        <w:ind w:left="284" w:right="283"/>
        <w:jc w:val="both"/>
        <w:rPr>
          <w:rFonts w:ascii="Gotham" w:hAnsi="Gotham" w:cs="Arial"/>
          <w:sz w:val="19"/>
          <w:szCs w:val="19"/>
        </w:rPr>
      </w:pPr>
      <w:r w:rsidRPr="004529A9">
        <w:rPr>
          <w:rFonts w:ascii="Gotham" w:hAnsi="Gotham" w:cs="Arial"/>
          <w:b/>
          <w:sz w:val="19"/>
          <w:szCs w:val="19"/>
        </w:rPr>
        <w:t>Artículo 309.-</w:t>
      </w:r>
      <w:r w:rsidRPr="004529A9">
        <w:rPr>
          <w:rFonts w:ascii="Gotham" w:hAnsi="Gotham" w:cs="Arial"/>
          <w:sz w:val="19"/>
          <w:szCs w:val="19"/>
        </w:rPr>
        <w:t xml:space="preserve"> Son infracciones en materia de emisiones de ruido, vibraciones, energía térmica, energía lumínica u olores perjudiciales:</w:t>
      </w:r>
    </w:p>
    <w:p w14:paraId="3A474B77" w14:textId="77777777" w:rsidR="009B5E39" w:rsidRPr="004529A9" w:rsidRDefault="009B5E39" w:rsidP="009B5E39">
      <w:pPr>
        <w:widowControl w:val="0"/>
        <w:tabs>
          <w:tab w:val="left" w:pos="942"/>
        </w:tabs>
        <w:autoSpaceDE w:val="0"/>
        <w:autoSpaceDN w:val="0"/>
        <w:ind w:left="284" w:right="283"/>
        <w:jc w:val="both"/>
        <w:rPr>
          <w:rFonts w:ascii="Gotham" w:hAnsi="Gotham" w:cs="Arial"/>
          <w:sz w:val="19"/>
          <w:szCs w:val="19"/>
        </w:rPr>
      </w:pPr>
    </w:p>
    <w:p w14:paraId="3A474B78" w14:textId="77777777" w:rsidR="009B5E39" w:rsidRPr="004529A9" w:rsidRDefault="009B5E39" w:rsidP="009B5E39">
      <w:pPr>
        <w:pStyle w:val="Lista"/>
        <w:widowControl w:val="0"/>
        <w:numPr>
          <w:ilvl w:val="0"/>
          <w:numId w:val="172"/>
        </w:numPr>
        <w:suppressAutoHyphens/>
        <w:autoSpaceDN w:val="0"/>
        <w:spacing w:after="120"/>
        <w:ind w:left="1135" w:hanging="851"/>
        <w:contextualSpacing w:val="0"/>
        <w:jc w:val="both"/>
        <w:rPr>
          <w:rFonts w:ascii="Gotham" w:hAnsi="Gotham" w:cs="Arial"/>
          <w:sz w:val="19"/>
          <w:szCs w:val="19"/>
        </w:rPr>
      </w:pPr>
      <w:r w:rsidRPr="004529A9">
        <w:rPr>
          <w:rFonts w:ascii="Gotham" w:hAnsi="Gotham" w:cs="Arial"/>
          <w:sz w:val="19"/>
          <w:szCs w:val="19"/>
        </w:rPr>
        <w:t>Realizar emisiones de ruido, vibraciones, energía térmica, energía lumínica u olores perjudiciales sin que la licencia de giro contemple el concepto en los términos del presente ordenamiento;</w:t>
      </w:r>
    </w:p>
    <w:p w14:paraId="3A474B79" w14:textId="77777777" w:rsidR="009B5E39" w:rsidRPr="004529A9" w:rsidRDefault="009B5E39" w:rsidP="009B5E39">
      <w:pPr>
        <w:pStyle w:val="Lista"/>
        <w:widowControl w:val="0"/>
        <w:numPr>
          <w:ilvl w:val="0"/>
          <w:numId w:val="172"/>
        </w:numPr>
        <w:suppressAutoHyphens/>
        <w:autoSpaceDN w:val="0"/>
        <w:spacing w:after="120"/>
        <w:ind w:left="1135" w:hanging="851"/>
        <w:contextualSpacing w:val="0"/>
        <w:jc w:val="both"/>
        <w:rPr>
          <w:rFonts w:ascii="Gotham" w:hAnsi="Gotham" w:cs="Arial"/>
          <w:sz w:val="19"/>
          <w:szCs w:val="19"/>
        </w:rPr>
      </w:pPr>
      <w:r w:rsidRPr="004529A9">
        <w:rPr>
          <w:rFonts w:ascii="Gotham" w:hAnsi="Gotham" w:cs="Arial"/>
          <w:sz w:val="19"/>
          <w:szCs w:val="19"/>
        </w:rPr>
        <w:t>Asentar datos falsos o erróneos en la manifestación de emisiones de ruido, vibraciones, energía térmica, energía lumínica u olores perjudiciales al momento de solicitar la licencia de giro o su refrendo;</w:t>
      </w:r>
    </w:p>
    <w:p w14:paraId="3A474B7A" w14:textId="77777777" w:rsidR="009B5E39" w:rsidRPr="004529A9" w:rsidRDefault="009B5E39" w:rsidP="009B5E39">
      <w:pPr>
        <w:pStyle w:val="Lista"/>
        <w:widowControl w:val="0"/>
        <w:numPr>
          <w:ilvl w:val="0"/>
          <w:numId w:val="172"/>
        </w:numPr>
        <w:suppressAutoHyphens/>
        <w:autoSpaceDN w:val="0"/>
        <w:spacing w:after="120"/>
        <w:ind w:left="1135" w:hanging="851"/>
        <w:contextualSpacing w:val="0"/>
        <w:jc w:val="both"/>
        <w:rPr>
          <w:rFonts w:ascii="Gotham" w:hAnsi="Gotham" w:cs="Arial"/>
          <w:sz w:val="19"/>
          <w:szCs w:val="19"/>
        </w:rPr>
      </w:pPr>
      <w:r w:rsidRPr="004529A9">
        <w:rPr>
          <w:rFonts w:ascii="Gotham" w:hAnsi="Gotham" w:cs="Arial"/>
          <w:sz w:val="19"/>
          <w:szCs w:val="19"/>
        </w:rPr>
        <w:t>No realizar las modificaciones o adecuaciones que le sean requeridos por la autoridad competente en los plazos determinados;</w:t>
      </w:r>
    </w:p>
    <w:p w14:paraId="3A474B7B" w14:textId="77777777" w:rsidR="009B5E39" w:rsidRPr="004529A9" w:rsidRDefault="009B5E39" w:rsidP="009B5E39">
      <w:pPr>
        <w:pStyle w:val="Lista"/>
        <w:widowControl w:val="0"/>
        <w:numPr>
          <w:ilvl w:val="0"/>
          <w:numId w:val="172"/>
        </w:numPr>
        <w:suppressAutoHyphens/>
        <w:autoSpaceDN w:val="0"/>
        <w:spacing w:after="120"/>
        <w:ind w:left="1135" w:hanging="851"/>
        <w:contextualSpacing w:val="0"/>
        <w:jc w:val="both"/>
        <w:rPr>
          <w:rFonts w:ascii="Gotham" w:hAnsi="Gotham" w:cs="Arial"/>
          <w:sz w:val="19"/>
          <w:szCs w:val="19"/>
        </w:rPr>
      </w:pPr>
      <w:r w:rsidRPr="004529A9">
        <w:rPr>
          <w:rFonts w:ascii="Gotham" w:hAnsi="Gotham" w:cs="Arial"/>
          <w:sz w:val="19"/>
          <w:szCs w:val="19"/>
        </w:rPr>
        <w:t>No contar con equipos, sistemas y aditamentos necesarios para reducir los efectos negativos al ambiente de las emisiones de ruido, vibraciones, energía térmica, energía lumínica u olores perjudiciales o no operarlos debidamente;</w:t>
      </w:r>
    </w:p>
    <w:p w14:paraId="3A474B7C" w14:textId="77777777" w:rsidR="009B5E39" w:rsidRPr="004529A9" w:rsidRDefault="009B5E39" w:rsidP="009B5E39">
      <w:pPr>
        <w:pStyle w:val="Lista"/>
        <w:widowControl w:val="0"/>
        <w:numPr>
          <w:ilvl w:val="0"/>
          <w:numId w:val="172"/>
        </w:numPr>
        <w:suppressAutoHyphens/>
        <w:autoSpaceDN w:val="0"/>
        <w:spacing w:after="120"/>
        <w:ind w:left="1135" w:hanging="851"/>
        <w:contextualSpacing w:val="0"/>
        <w:jc w:val="both"/>
        <w:rPr>
          <w:rFonts w:ascii="Gotham" w:hAnsi="Gotham" w:cs="Arial"/>
          <w:sz w:val="19"/>
          <w:szCs w:val="19"/>
        </w:rPr>
      </w:pPr>
      <w:r w:rsidRPr="004529A9">
        <w:rPr>
          <w:rFonts w:ascii="Gotham" w:hAnsi="Gotham" w:cs="Arial"/>
          <w:sz w:val="19"/>
          <w:szCs w:val="19"/>
        </w:rPr>
        <w:lastRenderedPageBreak/>
        <w:t>Emitir emisiones de ruido, vibraciones, energía térmica, energía lumínica u olores perjudiciales que trasciendan el límite establecido en la normas oficiales y estatales correspondientes;</w:t>
      </w:r>
    </w:p>
    <w:p w14:paraId="3A474B7D" w14:textId="77777777" w:rsidR="009B5E39" w:rsidRPr="004529A9" w:rsidRDefault="009B5E39" w:rsidP="009B5E39">
      <w:pPr>
        <w:pStyle w:val="Lista"/>
        <w:widowControl w:val="0"/>
        <w:numPr>
          <w:ilvl w:val="0"/>
          <w:numId w:val="172"/>
        </w:numPr>
        <w:suppressAutoHyphens/>
        <w:autoSpaceDN w:val="0"/>
        <w:spacing w:after="120"/>
        <w:ind w:left="1135" w:hanging="851"/>
        <w:contextualSpacing w:val="0"/>
        <w:jc w:val="both"/>
        <w:rPr>
          <w:rFonts w:ascii="Gotham" w:hAnsi="Gotham" w:cs="Arial"/>
          <w:sz w:val="19"/>
          <w:szCs w:val="19"/>
        </w:rPr>
      </w:pPr>
      <w:r w:rsidRPr="004529A9">
        <w:rPr>
          <w:rFonts w:ascii="Gotham" w:hAnsi="Gotham" w:cs="Arial"/>
          <w:sz w:val="19"/>
          <w:szCs w:val="19"/>
        </w:rPr>
        <w:t>No efectuar los estudios requeridos por la autoridad competente en el plazo que le sea indicado o no presentarlos para su validación;</w:t>
      </w:r>
    </w:p>
    <w:p w14:paraId="3A474B7E" w14:textId="77777777" w:rsidR="009B5E39" w:rsidRPr="004529A9" w:rsidRDefault="009B5E39" w:rsidP="009B5E39">
      <w:pPr>
        <w:pStyle w:val="Lista"/>
        <w:widowControl w:val="0"/>
        <w:numPr>
          <w:ilvl w:val="0"/>
          <w:numId w:val="172"/>
        </w:numPr>
        <w:suppressAutoHyphens/>
        <w:autoSpaceDN w:val="0"/>
        <w:ind w:left="1134" w:hanging="850"/>
        <w:contextualSpacing w:val="0"/>
        <w:jc w:val="both"/>
        <w:rPr>
          <w:rFonts w:ascii="Gotham" w:hAnsi="Gotham" w:cs="Arial"/>
          <w:sz w:val="19"/>
          <w:szCs w:val="19"/>
        </w:rPr>
      </w:pPr>
      <w:r w:rsidRPr="004529A9">
        <w:rPr>
          <w:rFonts w:ascii="Gotham" w:hAnsi="Gotham" w:cs="Arial"/>
          <w:sz w:val="19"/>
          <w:szCs w:val="19"/>
        </w:rPr>
        <w:t>Las demás que se establezcan en la legislación, normatividad y reglamentación vigente y aplicable.</w:t>
      </w:r>
    </w:p>
    <w:p w14:paraId="3A474B7F" w14:textId="77777777" w:rsidR="009B5E39" w:rsidRPr="004529A9" w:rsidRDefault="009B5E39" w:rsidP="009B5E39">
      <w:pPr>
        <w:jc w:val="both"/>
        <w:rPr>
          <w:rFonts w:ascii="Gotham" w:hAnsi="Gotham" w:cs="Arial"/>
          <w:b/>
          <w:sz w:val="20"/>
          <w:szCs w:val="20"/>
        </w:rPr>
      </w:pPr>
    </w:p>
    <w:p w14:paraId="3A474B80" w14:textId="77777777" w:rsidR="009B5E39" w:rsidRPr="004529A9" w:rsidRDefault="009B5E39" w:rsidP="009B5E39">
      <w:pPr>
        <w:jc w:val="both"/>
        <w:rPr>
          <w:rFonts w:ascii="Gotham" w:hAnsi="Gotham" w:cs="Arial"/>
          <w:b/>
          <w:sz w:val="20"/>
          <w:szCs w:val="20"/>
        </w:rPr>
      </w:pPr>
      <w:r w:rsidRPr="004529A9">
        <w:rPr>
          <w:rFonts w:ascii="Gotham" w:hAnsi="Gotham" w:cs="Arial"/>
          <w:b/>
          <w:sz w:val="20"/>
          <w:szCs w:val="20"/>
        </w:rPr>
        <w:t>Debe decir:</w:t>
      </w:r>
    </w:p>
    <w:p w14:paraId="3A474B81" w14:textId="77777777" w:rsidR="009B5E39" w:rsidRPr="004529A9" w:rsidRDefault="009B5E39" w:rsidP="009B5E39">
      <w:pPr>
        <w:jc w:val="both"/>
        <w:rPr>
          <w:rFonts w:ascii="Gotham" w:hAnsi="Gotham" w:cs="Arial"/>
          <w:b/>
          <w:sz w:val="20"/>
          <w:szCs w:val="20"/>
        </w:rPr>
      </w:pPr>
    </w:p>
    <w:p w14:paraId="3A474B82" w14:textId="77777777" w:rsidR="009B5E39" w:rsidRPr="004529A9" w:rsidRDefault="009B5E39" w:rsidP="009B5E39">
      <w:pPr>
        <w:widowControl w:val="0"/>
        <w:tabs>
          <w:tab w:val="left" w:pos="942"/>
        </w:tabs>
        <w:autoSpaceDE w:val="0"/>
        <w:autoSpaceDN w:val="0"/>
        <w:ind w:left="284" w:right="283"/>
        <w:jc w:val="both"/>
        <w:rPr>
          <w:rFonts w:ascii="Gotham" w:hAnsi="Gotham" w:cs="Arial"/>
          <w:b/>
          <w:sz w:val="19"/>
          <w:szCs w:val="19"/>
        </w:rPr>
      </w:pPr>
      <w:r w:rsidRPr="004529A9">
        <w:rPr>
          <w:rFonts w:ascii="Gotham" w:hAnsi="Gotham" w:cs="Arial"/>
          <w:b/>
          <w:sz w:val="19"/>
          <w:szCs w:val="19"/>
        </w:rPr>
        <w:t>Artículo 309.- Son infracciones en materia de emisiones de ruido, vibraciones, energía térmica, energía lumínica u olores perjudiciales:</w:t>
      </w:r>
    </w:p>
    <w:p w14:paraId="3A474B83" w14:textId="77777777" w:rsidR="009B5E39" w:rsidRPr="001045E8" w:rsidRDefault="009B5E39" w:rsidP="009B5E39">
      <w:pPr>
        <w:widowControl w:val="0"/>
        <w:tabs>
          <w:tab w:val="left" w:pos="942"/>
        </w:tabs>
        <w:autoSpaceDE w:val="0"/>
        <w:autoSpaceDN w:val="0"/>
        <w:ind w:left="284" w:right="283"/>
        <w:jc w:val="both"/>
        <w:rPr>
          <w:rFonts w:ascii="Gotham" w:hAnsi="Gotham" w:cs="Arial"/>
          <w:sz w:val="19"/>
          <w:szCs w:val="19"/>
        </w:rPr>
      </w:pPr>
    </w:p>
    <w:p w14:paraId="3A474B84" w14:textId="77777777" w:rsidR="009B5E39" w:rsidRPr="001045E8" w:rsidRDefault="009B5E39" w:rsidP="009B5E39">
      <w:pPr>
        <w:widowControl w:val="0"/>
        <w:autoSpaceDE w:val="0"/>
        <w:autoSpaceDN w:val="0"/>
        <w:spacing w:after="120"/>
        <w:ind w:left="1134" w:right="283" w:hanging="850"/>
        <w:jc w:val="both"/>
        <w:rPr>
          <w:rFonts w:ascii="Gotham" w:hAnsi="Gotham" w:cs="Arial"/>
          <w:sz w:val="19"/>
          <w:szCs w:val="19"/>
        </w:rPr>
      </w:pPr>
      <w:r w:rsidRPr="001045E8">
        <w:rPr>
          <w:rFonts w:ascii="Gotham" w:hAnsi="Gotham" w:cs="Arial"/>
          <w:sz w:val="19"/>
          <w:szCs w:val="19"/>
        </w:rPr>
        <w:t>I.</w:t>
      </w:r>
      <w:r w:rsidRPr="001045E8">
        <w:rPr>
          <w:rFonts w:ascii="Gotham" w:hAnsi="Gotham" w:cs="Arial"/>
          <w:sz w:val="19"/>
          <w:szCs w:val="19"/>
        </w:rPr>
        <w:tab/>
        <w:t>Realizar emisiones de ruido, vibraciones, energía térmica, energía lumínica u olores perjudiciales sin que la licencia de giro contemple el concepto en los términos del presente ordenamiento;</w:t>
      </w:r>
    </w:p>
    <w:p w14:paraId="3A474B85" w14:textId="77777777" w:rsidR="009B5E39" w:rsidRPr="001045E8" w:rsidRDefault="009B5E39" w:rsidP="009B5E39">
      <w:pPr>
        <w:widowControl w:val="0"/>
        <w:autoSpaceDE w:val="0"/>
        <w:autoSpaceDN w:val="0"/>
        <w:spacing w:after="120"/>
        <w:ind w:left="1134" w:right="283" w:hanging="850"/>
        <w:jc w:val="both"/>
        <w:rPr>
          <w:rFonts w:ascii="Gotham" w:hAnsi="Gotham" w:cs="Arial"/>
          <w:sz w:val="19"/>
          <w:szCs w:val="19"/>
        </w:rPr>
      </w:pPr>
      <w:r w:rsidRPr="001045E8">
        <w:rPr>
          <w:rFonts w:ascii="Gotham" w:hAnsi="Gotham" w:cs="Arial"/>
          <w:sz w:val="19"/>
          <w:szCs w:val="19"/>
        </w:rPr>
        <w:t>II.</w:t>
      </w:r>
      <w:r w:rsidRPr="001045E8">
        <w:rPr>
          <w:rFonts w:ascii="Gotham" w:hAnsi="Gotham" w:cs="Arial"/>
          <w:sz w:val="19"/>
          <w:szCs w:val="19"/>
        </w:rPr>
        <w:tab/>
        <w:t>Asentar datos falsos o erróneos en la manifestación de emisiones de ruido, vibraciones, energía térmica, energía lumínica u olores perjudiciales al momento de solicitar la licencia de giro o su refrendo;</w:t>
      </w:r>
    </w:p>
    <w:p w14:paraId="3A474B86" w14:textId="77777777" w:rsidR="009B5E39" w:rsidRPr="001045E8" w:rsidRDefault="009B5E39" w:rsidP="009B5E39">
      <w:pPr>
        <w:widowControl w:val="0"/>
        <w:autoSpaceDE w:val="0"/>
        <w:autoSpaceDN w:val="0"/>
        <w:spacing w:after="120"/>
        <w:ind w:left="1134" w:right="283" w:hanging="850"/>
        <w:jc w:val="both"/>
        <w:rPr>
          <w:rFonts w:ascii="Gotham" w:hAnsi="Gotham" w:cs="Arial"/>
          <w:sz w:val="19"/>
          <w:szCs w:val="19"/>
        </w:rPr>
      </w:pPr>
      <w:r w:rsidRPr="001045E8">
        <w:rPr>
          <w:rFonts w:ascii="Gotham" w:hAnsi="Gotham" w:cs="Arial"/>
          <w:sz w:val="19"/>
          <w:szCs w:val="19"/>
        </w:rPr>
        <w:t>III.</w:t>
      </w:r>
      <w:r w:rsidRPr="001045E8">
        <w:rPr>
          <w:rFonts w:ascii="Gotham" w:hAnsi="Gotham" w:cs="Arial"/>
          <w:sz w:val="19"/>
          <w:szCs w:val="19"/>
        </w:rPr>
        <w:tab/>
        <w:t>No realizar las modificaciones o adecuaciones que le sean requeridos por la autoridad competente en los plazos determinados;</w:t>
      </w:r>
    </w:p>
    <w:p w14:paraId="3A474B87" w14:textId="77777777" w:rsidR="009B5E39" w:rsidRPr="001045E8" w:rsidRDefault="009B5E39" w:rsidP="009B5E39">
      <w:pPr>
        <w:widowControl w:val="0"/>
        <w:autoSpaceDE w:val="0"/>
        <w:autoSpaceDN w:val="0"/>
        <w:spacing w:after="120"/>
        <w:ind w:left="1134" w:right="283" w:hanging="850"/>
        <w:jc w:val="both"/>
        <w:rPr>
          <w:rFonts w:ascii="Gotham" w:hAnsi="Gotham" w:cs="Arial"/>
          <w:sz w:val="19"/>
          <w:szCs w:val="19"/>
        </w:rPr>
      </w:pPr>
      <w:r w:rsidRPr="001045E8">
        <w:rPr>
          <w:rFonts w:ascii="Gotham" w:hAnsi="Gotham" w:cs="Arial"/>
          <w:sz w:val="19"/>
          <w:szCs w:val="19"/>
        </w:rPr>
        <w:t>IV.</w:t>
      </w:r>
      <w:r w:rsidRPr="001045E8">
        <w:rPr>
          <w:rFonts w:ascii="Gotham" w:hAnsi="Gotham" w:cs="Arial"/>
          <w:sz w:val="19"/>
          <w:szCs w:val="19"/>
        </w:rPr>
        <w:tab/>
        <w:t>No contar con equipos, sistemas y aditamentos necesarios para reducir los efectos negativos al ambiente de las emisiones de ruido, vibraciones, energía térmica, energía lumínica u olores perjudiciales o no operarlos debidamente;</w:t>
      </w:r>
    </w:p>
    <w:p w14:paraId="3A474B88" w14:textId="77777777" w:rsidR="009B5E39" w:rsidRPr="001045E8" w:rsidRDefault="009B5E39" w:rsidP="009B5E39">
      <w:pPr>
        <w:widowControl w:val="0"/>
        <w:autoSpaceDE w:val="0"/>
        <w:autoSpaceDN w:val="0"/>
        <w:spacing w:after="120"/>
        <w:ind w:left="1134" w:right="283" w:hanging="850"/>
        <w:jc w:val="both"/>
        <w:rPr>
          <w:rFonts w:ascii="Gotham" w:hAnsi="Gotham" w:cs="Arial"/>
          <w:b/>
          <w:sz w:val="19"/>
          <w:szCs w:val="19"/>
        </w:rPr>
      </w:pPr>
      <w:r w:rsidRPr="001045E8">
        <w:rPr>
          <w:rFonts w:ascii="Gotham" w:hAnsi="Gotham" w:cs="Arial"/>
          <w:b/>
          <w:sz w:val="19"/>
          <w:szCs w:val="19"/>
        </w:rPr>
        <w:t>V.</w:t>
      </w:r>
      <w:r w:rsidRPr="001045E8">
        <w:rPr>
          <w:rFonts w:ascii="Gotham" w:hAnsi="Gotham" w:cs="Arial"/>
          <w:b/>
          <w:sz w:val="19"/>
          <w:szCs w:val="19"/>
        </w:rPr>
        <w:tab/>
        <w:t>Emitir emisiones de ruido que excedan los límites máximos permisibles establecidos en la NOM-081-SEMARNAT-1994 así como por el acuerdo por el que se modifica el numeral 5.4 de la NOM-081-SEMARNAT-1994; vibraciones, energía térmica, energía lumínica u olores perjudiciales que trasciendan el límite establecido en la normas oficiales y estatales correspondientes;</w:t>
      </w:r>
    </w:p>
    <w:p w14:paraId="3A474B89" w14:textId="77777777" w:rsidR="009B5E39" w:rsidRPr="001045E8" w:rsidRDefault="009B5E39" w:rsidP="009B5E39">
      <w:pPr>
        <w:widowControl w:val="0"/>
        <w:autoSpaceDE w:val="0"/>
        <w:autoSpaceDN w:val="0"/>
        <w:spacing w:after="120"/>
        <w:ind w:left="1134" w:right="283" w:hanging="850"/>
        <w:jc w:val="both"/>
        <w:rPr>
          <w:rFonts w:ascii="Gotham" w:hAnsi="Gotham" w:cs="Arial"/>
          <w:sz w:val="19"/>
          <w:szCs w:val="19"/>
        </w:rPr>
      </w:pPr>
      <w:r w:rsidRPr="001045E8">
        <w:rPr>
          <w:rFonts w:ascii="Gotham" w:hAnsi="Gotham" w:cs="Arial"/>
          <w:sz w:val="19"/>
          <w:szCs w:val="19"/>
        </w:rPr>
        <w:t>VI.</w:t>
      </w:r>
      <w:r w:rsidRPr="001045E8">
        <w:rPr>
          <w:rFonts w:ascii="Gotham" w:hAnsi="Gotham" w:cs="Arial"/>
          <w:sz w:val="19"/>
          <w:szCs w:val="19"/>
        </w:rPr>
        <w:tab/>
        <w:t>No efectuar los estudios requeridos por la autoridad competente en el plazo que le sea indicado o no presentarlos para su validación;</w:t>
      </w:r>
    </w:p>
    <w:p w14:paraId="3A474B8A" w14:textId="77777777" w:rsidR="009B5E39" w:rsidRPr="001045E8" w:rsidRDefault="009B5E39" w:rsidP="009B5E39">
      <w:pPr>
        <w:widowControl w:val="0"/>
        <w:autoSpaceDE w:val="0"/>
        <w:autoSpaceDN w:val="0"/>
        <w:ind w:left="1134" w:right="283" w:hanging="850"/>
        <w:jc w:val="both"/>
        <w:rPr>
          <w:rFonts w:ascii="Gotham" w:hAnsi="Gotham" w:cs="Arial"/>
          <w:sz w:val="19"/>
          <w:szCs w:val="19"/>
        </w:rPr>
      </w:pPr>
      <w:r w:rsidRPr="001045E8">
        <w:rPr>
          <w:rFonts w:ascii="Gotham" w:hAnsi="Gotham" w:cs="Arial"/>
          <w:sz w:val="19"/>
          <w:szCs w:val="19"/>
        </w:rPr>
        <w:t>VII.</w:t>
      </w:r>
      <w:r w:rsidRPr="001045E8">
        <w:rPr>
          <w:rFonts w:ascii="Gotham" w:hAnsi="Gotham" w:cs="Arial"/>
          <w:sz w:val="19"/>
          <w:szCs w:val="19"/>
        </w:rPr>
        <w:tab/>
        <w:t>Las demás que se establezcan en la legislación, normatividad y reglamentación vigente y aplicable.</w:t>
      </w:r>
    </w:p>
    <w:p w14:paraId="3A474B8B" w14:textId="77777777" w:rsidR="009B5E39" w:rsidRPr="00387B33" w:rsidRDefault="009B5E39" w:rsidP="009B5E39">
      <w:pPr>
        <w:jc w:val="both"/>
        <w:rPr>
          <w:rFonts w:ascii="Gotham" w:hAnsi="Gotham" w:cs="Arial"/>
          <w:b/>
          <w:sz w:val="20"/>
          <w:szCs w:val="20"/>
        </w:rPr>
      </w:pPr>
    </w:p>
    <w:p w14:paraId="3A474B8C" w14:textId="77777777" w:rsidR="009B5E39" w:rsidRPr="00387B33" w:rsidRDefault="009B5E39" w:rsidP="009B5E39">
      <w:pPr>
        <w:jc w:val="both"/>
        <w:rPr>
          <w:rFonts w:ascii="Gotham" w:hAnsi="Gotham" w:cs="Arial"/>
          <w:b/>
          <w:sz w:val="20"/>
          <w:szCs w:val="20"/>
        </w:rPr>
      </w:pPr>
      <w:r w:rsidRPr="00387B33">
        <w:rPr>
          <w:rFonts w:ascii="Gotham" w:hAnsi="Gotham" w:cs="Arial"/>
          <w:b/>
          <w:sz w:val="20"/>
          <w:szCs w:val="20"/>
        </w:rPr>
        <w:t xml:space="preserve">También se sugieren las siguientes modificaciones: En todo el Documento dice: Dirección de Gestión Ambiental Cambio Climático y Sustentabilidad. </w:t>
      </w:r>
    </w:p>
    <w:p w14:paraId="3A474B8D" w14:textId="77777777" w:rsidR="009B5E39" w:rsidRPr="00387B33" w:rsidRDefault="009B5E39" w:rsidP="009B5E39">
      <w:pPr>
        <w:jc w:val="both"/>
        <w:rPr>
          <w:rFonts w:ascii="Gotham" w:hAnsi="Gotham" w:cs="Arial"/>
          <w:b/>
          <w:sz w:val="20"/>
          <w:szCs w:val="20"/>
        </w:rPr>
      </w:pPr>
    </w:p>
    <w:p w14:paraId="3A474B8E" w14:textId="77777777" w:rsidR="009B5E39" w:rsidRPr="00387B33" w:rsidRDefault="009B5E39" w:rsidP="009B5E39">
      <w:pPr>
        <w:jc w:val="both"/>
        <w:rPr>
          <w:rFonts w:ascii="Gotham" w:hAnsi="Gotham" w:cs="Arial"/>
          <w:b/>
          <w:sz w:val="20"/>
          <w:szCs w:val="20"/>
        </w:rPr>
      </w:pPr>
      <w:r w:rsidRPr="00387B33">
        <w:rPr>
          <w:rFonts w:ascii="Gotham" w:hAnsi="Gotham" w:cs="Arial"/>
          <w:b/>
          <w:sz w:val="20"/>
          <w:szCs w:val="20"/>
        </w:rPr>
        <w:t>Se propone: DIRECCIÓN DE ECOLOGÍA Y CAMBIO CLIMÁTICO.</w:t>
      </w:r>
    </w:p>
    <w:p w14:paraId="3A474B8F" w14:textId="77777777" w:rsidR="009B5E39" w:rsidRPr="00387B33" w:rsidRDefault="009B5E39" w:rsidP="009B5E39">
      <w:pPr>
        <w:jc w:val="both"/>
        <w:rPr>
          <w:rFonts w:ascii="Gotham" w:hAnsi="Gotham" w:cs="Arial"/>
          <w:b/>
          <w:sz w:val="20"/>
          <w:szCs w:val="20"/>
        </w:rPr>
      </w:pPr>
    </w:p>
    <w:p w14:paraId="3A474B90" w14:textId="77777777" w:rsidR="009B5E39" w:rsidRPr="00387B33" w:rsidRDefault="009B5E39" w:rsidP="009B5E39">
      <w:pPr>
        <w:jc w:val="both"/>
        <w:rPr>
          <w:rFonts w:ascii="Gotham" w:hAnsi="Gotham" w:cs="Arial"/>
          <w:b/>
          <w:sz w:val="20"/>
          <w:szCs w:val="20"/>
        </w:rPr>
      </w:pPr>
      <w:r w:rsidRPr="00387B33">
        <w:rPr>
          <w:rFonts w:ascii="Gotham" w:hAnsi="Gotham" w:cs="Arial"/>
          <w:b/>
          <w:sz w:val="20"/>
          <w:szCs w:val="20"/>
        </w:rPr>
        <w:t>En el artículo 3 dice:</w:t>
      </w:r>
    </w:p>
    <w:p w14:paraId="3A474B91" w14:textId="77777777" w:rsidR="009B5E39" w:rsidRPr="00387B33" w:rsidRDefault="009B5E39" w:rsidP="009B5E39">
      <w:pPr>
        <w:jc w:val="both"/>
        <w:rPr>
          <w:rFonts w:ascii="Gotham" w:hAnsi="Gotham" w:cs="Arial"/>
          <w:b/>
          <w:sz w:val="20"/>
          <w:szCs w:val="20"/>
        </w:rPr>
      </w:pPr>
    </w:p>
    <w:p w14:paraId="3A474B92" w14:textId="77777777" w:rsidR="009B5E39" w:rsidRPr="00387B33" w:rsidRDefault="009B5E39" w:rsidP="009B5E39">
      <w:pPr>
        <w:widowControl w:val="0"/>
        <w:tabs>
          <w:tab w:val="left" w:pos="942"/>
        </w:tabs>
        <w:autoSpaceDE w:val="0"/>
        <w:autoSpaceDN w:val="0"/>
        <w:ind w:left="284" w:right="283"/>
        <w:jc w:val="center"/>
        <w:rPr>
          <w:rFonts w:ascii="Gotham" w:hAnsi="Gotham" w:cs="Arial"/>
          <w:b/>
          <w:sz w:val="19"/>
          <w:szCs w:val="19"/>
        </w:rPr>
      </w:pPr>
      <w:r w:rsidRPr="00387B33">
        <w:rPr>
          <w:rFonts w:ascii="Gotham" w:hAnsi="Gotham" w:cs="Arial"/>
          <w:b/>
          <w:sz w:val="19"/>
          <w:szCs w:val="19"/>
        </w:rPr>
        <w:t>LIBRO PRIMERO DISPOSICIONES PRELIMINARES</w:t>
      </w:r>
    </w:p>
    <w:p w14:paraId="3A474B93" w14:textId="77777777" w:rsidR="009B5E39" w:rsidRDefault="009B5E39" w:rsidP="009B5E39">
      <w:pPr>
        <w:widowControl w:val="0"/>
        <w:tabs>
          <w:tab w:val="left" w:pos="942"/>
        </w:tabs>
        <w:autoSpaceDE w:val="0"/>
        <w:autoSpaceDN w:val="0"/>
        <w:ind w:left="284" w:right="283"/>
        <w:jc w:val="center"/>
        <w:rPr>
          <w:rFonts w:ascii="Gotham" w:hAnsi="Gotham" w:cs="Arial"/>
          <w:b/>
          <w:sz w:val="19"/>
          <w:szCs w:val="19"/>
        </w:rPr>
      </w:pPr>
    </w:p>
    <w:p w14:paraId="3A474B94" w14:textId="77777777" w:rsidR="009B5E39" w:rsidRPr="00387B33" w:rsidRDefault="009B5E39" w:rsidP="009B5E39">
      <w:pPr>
        <w:widowControl w:val="0"/>
        <w:tabs>
          <w:tab w:val="left" w:pos="942"/>
        </w:tabs>
        <w:autoSpaceDE w:val="0"/>
        <w:autoSpaceDN w:val="0"/>
        <w:ind w:left="284" w:right="283"/>
        <w:jc w:val="center"/>
        <w:rPr>
          <w:rFonts w:ascii="Gotham" w:hAnsi="Gotham" w:cs="Arial"/>
          <w:b/>
          <w:sz w:val="19"/>
          <w:szCs w:val="19"/>
        </w:rPr>
      </w:pPr>
      <w:r w:rsidRPr="00387B33">
        <w:rPr>
          <w:rFonts w:ascii="Gotham" w:hAnsi="Gotham" w:cs="Arial"/>
          <w:b/>
          <w:sz w:val="19"/>
          <w:szCs w:val="19"/>
        </w:rPr>
        <w:t>TÍTULO PRIMERO GENERALIDADES Y COMPETENCIA.</w:t>
      </w:r>
    </w:p>
    <w:p w14:paraId="3A474B95" w14:textId="77777777" w:rsidR="009B5E39" w:rsidRPr="00387B33" w:rsidRDefault="009B5E39" w:rsidP="009B5E39">
      <w:pPr>
        <w:jc w:val="both"/>
        <w:rPr>
          <w:rFonts w:ascii="Gotham" w:hAnsi="Gotham" w:cs="Arial"/>
          <w:b/>
          <w:sz w:val="20"/>
          <w:szCs w:val="20"/>
        </w:rPr>
      </w:pPr>
    </w:p>
    <w:p w14:paraId="3A474B96" w14:textId="77777777" w:rsidR="009B5E39" w:rsidRPr="00387B33" w:rsidRDefault="009B5E39" w:rsidP="009B5E39">
      <w:pPr>
        <w:jc w:val="both"/>
        <w:rPr>
          <w:rFonts w:ascii="Gotham" w:hAnsi="Gotham" w:cs="Arial"/>
          <w:b/>
          <w:sz w:val="20"/>
          <w:szCs w:val="20"/>
        </w:rPr>
      </w:pPr>
      <w:r w:rsidRPr="00387B33">
        <w:rPr>
          <w:rFonts w:ascii="Gotham" w:hAnsi="Gotham" w:cs="Arial"/>
          <w:b/>
          <w:sz w:val="20"/>
          <w:szCs w:val="20"/>
        </w:rPr>
        <w:t xml:space="preserve">Dice: </w:t>
      </w:r>
    </w:p>
    <w:p w14:paraId="3A474B97" w14:textId="77777777" w:rsidR="009B5E39" w:rsidRPr="00387B33" w:rsidRDefault="009B5E39" w:rsidP="009B5E39">
      <w:pPr>
        <w:jc w:val="both"/>
        <w:rPr>
          <w:rFonts w:ascii="Gotham" w:hAnsi="Gotham" w:cs="Arial"/>
          <w:b/>
          <w:sz w:val="20"/>
          <w:szCs w:val="20"/>
        </w:rPr>
      </w:pPr>
    </w:p>
    <w:p w14:paraId="3A474B98" w14:textId="77777777" w:rsidR="009B5E39" w:rsidRPr="00387B33" w:rsidRDefault="009B5E39" w:rsidP="009B5E39">
      <w:pPr>
        <w:widowControl w:val="0"/>
        <w:tabs>
          <w:tab w:val="left" w:pos="942"/>
        </w:tabs>
        <w:autoSpaceDE w:val="0"/>
        <w:autoSpaceDN w:val="0"/>
        <w:ind w:left="284" w:right="283"/>
        <w:jc w:val="both"/>
        <w:rPr>
          <w:rFonts w:ascii="Gotham" w:hAnsi="Gotham" w:cs="Arial"/>
          <w:sz w:val="19"/>
          <w:szCs w:val="19"/>
        </w:rPr>
      </w:pPr>
      <w:r w:rsidRPr="00387B33">
        <w:rPr>
          <w:rFonts w:ascii="Gotham" w:hAnsi="Gotham" w:cs="Arial"/>
          <w:b/>
          <w:sz w:val="19"/>
          <w:szCs w:val="19"/>
        </w:rPr>
        <w:t>Artículo 3.-</w:t>
      </w:r>
      <w:r w:rsidRPr="00387B33">
        <w:rPr>
          <w:rFonts w:ascii="Gotham" w:hAnsi="Gotham" w:cs="Arial"/>
          <w:sz w:val="19"/>
          <w:szCs w:val="19"/>
        </w:rPr>
        <w:t xml:space="preserve"> Serán normas supletorias del presente ordenamiento en lo que resulte aplicable, la Ley General Del Equilibrio Ecológico y la Protección al Ambiente, la Ley de Aguas Nacionales, la Ley General para la Prevención y Gestión Integral de los Residuos, la Ley Estatal del Equilibrio Ecológico y la Protección al Ambiente, la Ley para la Acción ante el Cambio Climático del Estado De Jalisco, la </w:t>
      </w:r>
      <w:r w:rsidRPr="00387B33">
        <w:rPr>
          <w:rFonts w:ascii="Gotham" w:hAnsi="Gotham" w:cs="Arial"/>
          <w:sz w:val="19"/>
          <w:szCs w:val="19"/>
        </w:rPr>
        <w:lastRenderedPageBreak/>
        <w:t>Ley de Gestión Integral de los Residuos del Estado de Jalisco, la Ley General de Desarrollo Forestal Sustentable, la Ley de Protección, Conservación y Fomento de Arbolado y Áreas Verdes Urbanas del Estado de Jalisco y sus Municipios, el Código Urbano para el Estado de Jalisco, la Ley del Procedimiento Administrativo del Estado de Jalisco, las Normas Oficiales Mexicanas, los tratados internacionales ratificados por el Senado de la República, así como las demás disposiciones legales vigentes en la materia.</w:t>
      </w:r>
    </w:p>
    <w:p w14:paraId="3A474B99" w14:textId="77777777" w:rsidR="009B5E39" w:rsidRPr="00387B33" w:rsidRDefault="009B5E39" w:rsidP="009B5E39">
      <w:pPr>
        <w:jc w:val="both"/>
        <w:rPr>
          <w:rFonts w:ascii="Gotham" w:hAnsi="Gotham" w:cs="Arial"/>
          <w:b/>
          <w:sz w:val="20"/>
          <w:szCs w:val="20"/>
        </w:rPr>
      </w:pPr>
    </w:p>
    <w:p w14:paraId="3A474B9A" w14:textId="77777777" w:rsidR="009B5E39" w:rsidRPr="00387B33" w:rsidRDefault="009B5E39" w:rsidP="009B5E39">
      <w:pPr>
        <w:jc w:val="both"/>
        <w:rPr>
          <w:rFonts w:ascii="Gotham" w:hAnsi="Gotham" w:cs="Arial"/>
          <w:b/>
          <w:sz w:val="20"/>
          <w:szCs w:val="20"/>
        </w:rPr>
      </w:pPr>
      <w:r w:rsidRPr="00387B33">
        <w:rPr>
          <w:rFonts w:ascii="Gotham" w:hAnsi="Gotham" w:cs="Arial"/>
          <w:b/>
          <w:sz w:val="20"/>
          <w:szCs w:val="20"/>
        </w:rPr>
        <w:t>Debe decir:</w:t>
      </w:r>
    </w:p>
    <w:p w14:paraId="3A474B9B" w14:textId="77777777" w:rsidR="009B5E39" w:rsidRPr="00387B33" w:rsidRDefault="009B5E39" w:rsidP="009B5E39">
      <w:pPr>
        <w:jc w:val="both"/>
        <w:rPr>
          <w:rFonts w:ascii="Gotham" w:hAnsi="Gotham" w:cs="Arial"/>
          <w:b/>
          <w:sz w:val="20"/>
          <w:szCs w:val="20"/>
        </w:rPr>
      </w:pPr>
    </w:p>
    <w:p w14:paraId="3A474B9C" w14:textId="77777777" w:rsidR="009B5E39" w:rsidRPr="00162724" w:rsidRDefault="009B5E39" w:rsidP="009B5E39">
      <w:pPr>
        <w:widowControl w:val="0"/>
        <w:tabs>
          <w:tab w:val="left" w:pos="942"/>
        </w:tabs>
        <w:autoSpaceDE w:val="0"/>
        <w:autoSpaceDN w:val="0"/>
        <w:ind w:left="284" w:right="283"/>
        <w:jc w:val="both"/>
        <w:rPr>
          <w:rFonts w:ascii="Gotham" w:hAnsi="Gotham" w:cs="Arial"/>
          <w:sz w:val="19"/>
          <w:szCs w:val="19"/>
        </w:rPr>
      </w:pPr>
      <w:r w:rsidRPr="009B3BE1">
        <w:rPr>
          <w:rFonts w:ascii="Gotham" w:hAnsi="Gotham" w:cs="Arial"/>
          <w:b/>
          <w:sz w:val="19"/>
          <w:szCs w:val="19"/>
        </w:rPr>
        <w:t>Artículo 3.-</w:t>
      </w:r>
      <w:r w:rsidRPr="00162724">
        <w:rPr>
          <w:rFonts w:ascii="Gotham" w:hAnsi="Gotham" w:cs="Arial"/>
          <w:sz w:val="19"/>
          <w:szCs w:val="19"/>
        </w:rPr>
        <w:t xml:space="preserve"> Serán normas supletorias del presente ordenamiento en lo que resulte aplicable, la Ley General Del Equilibrio Ecológico y la Protección al Ambiente, la Ley de Aguas Nacionales, la Ley General para la Prevención y Gestión Integral de los Residuos, </w:t>
      </w:r>
      <w:r w:rsidRPr="00162724">
        <w:rPr>
          <w:rFonts w:ascii="Gotham" w:hAnsi="Gotham" w:cs="Arial"/>
          <w:b/>
          <w:sz w:val="19"/>
          <w:szCs w:val="19"/>
        </w:rPr>
        <w:t xml:space="preserve">Ley Federal </w:t>
      </w:r>
      <w:r>
        <w:rPr>
          <w:rFonts w:ascii="Gotham" w:hAnsi="Gotham" w:cs="Arial"/>
          <w:b/>
          <w:sz w:val="19"/>
          <w:szCs w:val="19"/>
        </w:rPr>
        <w:t>d</w:t>
      </w:r>
      <w:r w:rsidRPr="00162724">
        <w:rPr>
          <w:rFonts w:ascii="Gotham" w:hAnsi="Gotham" w:cs="Arial"/>
          <w:b/>
          <w:sz w:val="19"/>
          <w:szCs w:val="19"/>
        </w:rPr>
        <w:t xml:space="preserve">e </w:t>
      </w:r>
      <w:r>
        <w:rPr>
          <w:rFonts w:ascii="Gotham" w:hAnsi="Gotham" w:cs="Arial"/>
          <w:b/>
          <w:sz w:val="19"/>
          <w:szCs w:val="19"/>
        </w:rPr>
        <w:t>R</w:t>
      </w:r>
      <w:r w:rsidRPr="00162724">
        <w:rPr>
          <w:rFonts w:ascii="Gotham" w:hAnsi="Gotham" w:cs="Arial"/>
          <w:b/>
          <w:sz w:val="19"/>
          <w:szCs w:val="19"/>
        </w:rPr>
        <w:t>esponsabilidad Ambiental</w:t>
      </w:r>
      <w:r w:rsidRPr="00162724">
        <w:rPr>
          <w:rFonts w:ascii="Gotham" w:hAnsi="Gotham" w:cs="Arial"/>
          <w:sz w:val="19"/>
          <w:szCs w:val="19"/>
        </w:rPr>
        <w:t>,</w:t>
      </w:r>
      <w:r w:rsidR="00883EC2">
        <w:rPr>
          <w:rFonts w:ascii="Gotham" w:hAnsi="Gotham" w:cs="Arial"/>
          <w:sz w:val="19"/>
          <w:szCs w:val="19"/>
        </w:rPr>
        <w:t xml:space="preserve"> </w:t>
      </w:r>
      <w:r w:rsidRPr="00162724">
        <w:rPr>
          <w:rFonts w:ascii="Gotham" w:hAnsi="Gotham" w:cs="Arial"/>
          <w:sz w:val="19"/>
          <w:szCs w:val="19"/>
        </w:rPr>
        <w:t>la Ley Estatal del Equilibrio Ecológico y la Protección al Ambiente, la Ley para la Acción ante el Cambio Climático del Estado De Jalisco, la Ley de Gestión Integral de los Residuos del Estado de Jalisco, la Ley General de Desarrollo Forestal Sustentable, la Ley de Protección, Conservación y Fomento de Arbolado y Áreas Verdes Urbanas del Estado de Jalisco y sus Municipios, el Código Urbano para el Estado de Jalisco, la Ley del Procedimiento Administrativo del Estado de Jalisco, las Normas Oficiales Mexicanas, los tratados internacionales ratificados por el Senado de la República, así como las demás disposiciones legales vigentes en la materia.</w:t>
      </w:r>
    </w:p>
    <w:p w14:paraId="3A474B9D" w14:textId="77777777" w:rsidR="009B5E39" w:rsidRPr="009B3BE1" w:rsidRDefault="009B5E39" w:rsidP="009B5E39">
      <w:pPr>
        <w:jc w:val="both"/>
        <w:rPr>
          <w:rFonts w:ascii="Gotham" w:hAnsi="Gotham" w:cs="Arial"/>
          <w:b/>
          <w:sz w:val="20"/>
          <w:szCs w:val="20"/>
        </w:rPr>
      </w:pPr>
    </w:p>
    <w:p w14:paraId="3A474B9E" w14:textId="77777777" w:rsidR="009B5E39" w:rsidRDefault="009B5E39" w:rsidP="009B5E39">
      <w:pPr>
        <w:jc w:val="both"/>
        <w:rPr>
          <w:rFonts w:ascii="Gotham" w:hAnsi="Gotham" w:cs="Arial"/>
          <w:b/>
          <w:sz w:val="20"/>
          <w:szCs w:val="20"/>
        </w:rPr>
      </w:pPr>
      <w:r w:rsidRPr="009B3BE1">
        <w:rPr>
          <w:rFonts w:ascii="Gotham" w:hAnsi="Gotham" w:cs="Arial"/>
          <w:b/>
          <w:sz w:val="20"/>
          <w:szCs w:val="20"/>
        </w:rPr>
        <w:t xml:space="preserve">Dice: </w:t>
      </w:r>
    </w:p>
    <w:p w14:paraId="3A474B9F" w14:textId="77777777" w:rsidR="009B5E39" w:rsidRPr="009B3BE1" w:rsidRDefault="009B5E39" w:rsidP="009B5E39">
      <w:pPr>
        <w:jc w:val="both"/>
        <w:rPr>
          <w:rFonts w:ascii="Gotham" w:hAnsi="Gotham" w:cs="Arial"/>
          <w:b/>
          <w:sz w:val="20"/>
          <w:szCs w:val="20"/>
        </w:rPr>
      </w:pPr>
    </w:p>
    <w:p w14:paraId="3A474BA0" w14:textId="77777777" w:rsidR="009B5E39" w:rsidRPr="009B3BE1" w:rsidRDefault="009B5E39" w:rsidP="009B5E39">
      <w:pPr>
        <w:widowControl w:val="0"/>
        <w:tabs>
          <w:tab w:val="left" w:pos="942"/>
        </w:tabs>
        <w:autoSpaceDE w:val="0"/>
        <w:autoSpaceDN w:val="0"/>
        <w:ind w:left="284" w:right="283"/>
        <w:jc w:val="center"/>
        <w:rPr>
          <w:rFonts w:ascii="Gotham" w:hAnsi="Gotham" w:cs="Arial"/>
          <w:sz w:val="19"/>
          <w:szCs w:val="19"/>
        </w:rPr>
      </w:pPr>
      <w:r w:rsidRPr="009B3BE1">
        <w:rPr>
          <w:rFonts w:ascii="Gotham" w:hAnsi="Gotham" w:cs="Arial"/>
          <w:sz w:val="19"/>
          <w:szCs w:val="19"/>
        </w:rPr>
        <w:t>TITULO SEGUNDO DE INSPECCION Y VIGILANCIA.</w:t>
      </w:r>
    </w:p>
    <w:p w14:paraId="3A474BA1" w14:textId="77777777" w:rsidR="009B5E39" w:rsidRDefault="009B5E39" w:rsidP="009B5E39">
      <w:pPr>
        <w:widowControl w:val="0"/>
        <w:tabs>
          <w:tab w:val="left" w:pos="942"/>
        </w:tabs>
        <w:autoSpaceDE w:val="0"/>
        <w:autoSpaceDN w:val="0"/>
        <w:ind w:left="284" w:right="283"/>
        <w:jc w:val="center"/>
        <w:rPr>
          <w:rFonts w:ascii="Gotham" w:hAnsi="Gotham" w:cs="Arial"/>
          <w:sz w:val="19"/>
          <w:szCs w:val="19"/>
        </w:rPr>
      </w:pPr>
    </w:p>
    <w:p w14:paraId="3A474BA2" w14:textId="77777777" w:rsidR="009B5E39" w:rsidRPr="009B3BE1" w:rsidRDefault="009B5E39" w:rsidP="009B5E39">
      <w:pPr>
        <w:widowControl w:val="0"/>
        <w:tabs>
          <w:tab w:val="left" w:pos="942"/>
        </w:tabs>
        <w:autoSpaceDE w:val="0"/>
        <w:autoSpaceDN w:val="0"/>
        <w:ind w:left="284" w:right="283"/>
        <w:jc w:val="center"/>
        <w:rPr>
          <w:rFonts w:ascii="Gotham" w:hAnsi="Gotham" w:cs="Arial"/>
          <w:sz w:val="19"/>
          <w:szCs w:val="19"/>
        </w:rPr>
      </w:pPr>
      <w:r w:rsidRPr="009B3BE1">
        <w:rPr>
          <w:rFonts w:ascii="Gotham" w:hAnsi="Gotham" w:cs="Arial"/>
          <w:sz w:val="19"/>
          <w:szCs w:val="19"/>
        </w:rPr>
        <w:t>CAPÍTULO I DISPOSICIONES EN MATERIA DE INSPECCIÓN Y VIGILANCIA</w:t>
      </w:r>
    </w:p>
    <w:p w14:paraId="3A474BA3" w14:textId="77777777" w:rsidR="009B5E39" w:rsidRPr="001D4AD5" w:rsidRDefault="009B5E39" w:rsidP="009B5E39">
      <w:pPr>
        <w:jc w:val="center"/>
        <w:rPr>
          <w:rFonts w:ascii="Arial" w:hAnsi="Arial" w:cs="Arial"/>
        </w:rPr>
      </w:pPr>
    </w:p>
    <w:p w14:paraId="3A474BA4" w14:textId="77777777" w:rsidR="009B5E39" w:rsidRPr="000F73C8" w:rsidRDefault="009B5E39" w:rsidP="009B5E39">
      <w:pPr>
        <w:widowControl w:val="0"/>
        <w:tabs>
          <w:tab w:val="left" w:pos="942"/>
        </w:tabs>
        <w:autoSpaceDE w:val="0"/>
        <w:autoSpaceDN w:val="0"/>
        <w:ind w:left="284" w:right="283"/>
        <w:jc w:val="both"/>
        <w:rPr>
          <w:rFonts w:ascii="Gotham" w:hAnsi="Gotham" w:cs="Arial"/>
          <w:sz w:val="19"/>
          <w:szCs w:val="19"/>
        </w:rPr>
      </w:pPr>
      <w:r w:rsidRPr="000F73C8">
        <w:rPr>
          <w:rFonts w:ascii="Gotham" w:hAnsi="Gotham" w:cs="Arial"/>
          <w:sz w:val="19"/>
          <w:szCs w:val="19"/>
        </w:rPr>
        <w:t>Artículo 273.- Son autoridades competentes para ordenar visitas de inspección, así como ordenar la elaboración de actas administrativas por faltas a los lineamientos establecidos en el presente código, así como a los reglamentos municipales, normas y leyes de aplicación municipal, las siguientes:</w:t>
      </w:r>
    </w:p>
    <w:p w14:paraId="3A474BA5" w14:textId="77777777" w:rsidR="009B5E39" w:rsidRDefault="009B5E39" w:rsidP="009B5E39">
      <w:pPr>
        <w:widowControl w:val="0"/>
        <w:tabs>
          <w:tab w:val="left" w:pos="942"/>
        </w:tabs>
        <w:autoSpaceDE w:val="0"/>
        <w:autoSpaceDN w:val="0"/>
        <w:ind w:left="284" w:right="283"/>
        <w:jc w:val="both"/>
        <w:rPr>
          <w:rFonts w:ascii="Gotham" w:hAnsi="Gotham" w:cs="Arial"/>
          <w:sz w:val="19"/>
          <w:szCs w:val="19"/>
        </w:rPr>
      </w:pPr>
    </w:p>
    <w:p w14:paraId="3A474BA6" w14:textId="77777777" w:rsidR="009B5E39" w:rsidRPr="000F73C8" w:rsidRDefault="009B5E39" w:rsidP="009B5E39">
      <w:pPr>
        <w:widowControl w:val="0"/>
        <w:autoSpaceDE w:val="0"/>
        <w:autoSpaceDN w:val="0"/>
        <w:spacing w:after="120"/>
        <w:ind w:left="1134" w:right="283" w:hanging="850"/>
        <w:jc w:val="both"/>
        <w:rPr>
          <w:rFonts w:ascii="Gotham" w:hAnsi="Gotham" w:cs="Arial"/>
          <w:sz w:val="19"/>
          <w:szCs w:val="19"/>
        </w:rPr>
      </w:pPr>
      <w:r w:rsidRPr="000F73C8">
        <w:rPr>
          <w:rFonts w:ascii="Gotham" w:hAnsi="Gotham" w:cs="Arial"/>
          <w:sz w:val="19"/>
          <w:szCs w:val="19"/>
        </w:rPr>
        <w:t xml:space="preserve">I. </w:t>
      </w:r>
      <w:r>
        <w:rPr>
          <w:rFonts w:ascii="Gotham" w:hAnsi="Gotham" w:cs="Arial"/>
          <w:sz w:val="19"/>
          <w:szCs w:val="19"/>
        </w:rPr>
        <w:tab/>
      </w:r>
      <w:r w:rsidRPr="000F73C8">
        <w:rPr>
          <w:rFonts w:ascii="Gotham" w:hAnsi="Gotham" w:cs="Arial"/>
          <w:sz w:val="19"/>
          <w:szCs w:val="19"/>
        </w:rPr>
        <w:t>Con Carácter de Ordenadoras:</w:t>
      </w:r>
    </w:p>
    <w:p w14:paraId="3A474BA7"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A. El Pleno del Ayuntamiento;</w:t>
      </w:r>
    </w:p>
    <w:p w14:paraId="3A474BA8"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B. El Presidente Municipal;</w:t>
      </w:r>
    </w:p>
    <w:p w14:paraId="3A474BA9"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C. El Secretario General del Ayuntamiento;</w:t>
      </w:r>
    </w:p>
    <w:p w14:paraId="3A474BAA"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D. La Dirección de Gestión Ambiental, Cambio Climático y Sustentabilidad; y</w:t>
      </w:r>
    </w:p>
    <w:p w14:paraId="3A474BAB" w14:textId="77777777" w:rsidR="009B5E39" w:rsidRPr="000F73C8" w:rsidRDefault="009B5E39" w:rsidP="009B5E39">
      <w:pPr>
        <w:widowControl w:val="0"/>
        <w:autoSpaceDE w:val="0"/>
        <w:autoSpaceDN w:val="0"/>
        <w:spacing w:after="120"/>
        <w:ind w:left="1560" w:right="283" w:hanging="426"/>
        <w:jc w:val="both"/>
        <w:rPr>
          <w:rFonts w:ascii="Gotham" w:hAnsi="Gotham" w:cs="Arial"/>
          <w:sz w:val="19"/>
          <w:szCs w:val="19"/>
        </w:rPr>
      </w:pPr>
      <w:r w:rsidRPr="000F73C8">
        <w:rPr>
          <w:rFonts w:ascii="Gotham" w:hAnsi="Gotham" w:cs="Arial"/>
          <w:sz w:val="19"/>
          <w:szCs w:val="19"/>
        </w:rPr>
        <w:t>E. Las autoridades que establezcan los reglamentos y leyes de aplicación municipal.</w:t>
      </w:r>
    </w:p>
    <w:p w14:paraId="3A474BAC" w14:textId="77777777" w:rsidR="009B5E39" w:rsidRPr="000F73C8" w:rsidRDefault="009B5E39" w:rsidP="009B5E39">
      <w:pPr>
        <w:widowControl w:val="0"/>
        <w:autoSpaceDE w:val="0"/>
        <w:autoSpaceDN w:val="0"/>
        <w:spacing w:after="120"/>
        <w:ind w:left="1134" w:right="283" w:hanging="850"/>
        <w:jc w:val="both"/>
        <w:rPr>
          <w:rFonts w:ascii="Gotham" w:hAnsi="Gotham" w:cs="Arial"/>
          <w:sz w:val="19"/>
          <w:szCs w:val="19"/>
        </w:rPr>
      </w:pPr>
      <w:r w:rsidRPr="000F73C8">
        <w:rPr>
          <w:rFonts w:ascii="Gotham" w:hAnsi="Gotham" w:cs="Arial"/>
          <w:sz w:val="19"/>
          <w:szCs w:val="19"/>
        </w:rPr>
        <w:t xml:space="preserve">II. </w:t>
      </w:r>
      <w:r>
        <w:rPr>
          <w:rFonts w:ascii="Gotham" w:hAnsi="Gotham" w:cs="Arial"/>
          <w:sz w:val="19"/>
          <w:szCs w:val="19"/>
        </w:rPr>
        <w:tab/>
      </w:r>
      <w:r w:rsidRPr="000F73C8">
        <w:rPr>
          <w:rFonts w:ascii="Gotham" w:hAnsi="Gotham" w:cs="Arial"/>
          <w:sz w:val="19"/>
          <w:szCs w:val="19"/>
        </w:rPr>
        <w:t>Con Carácter de Ejecutoras:</w:t>
      </w:r>
    </w:p>
    <w:p w14:paraId="3A474BAD"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A. Los inspectores adscritos a Dirección de Inspección y Vigilancia Municipal; y</w:t>
      </w:r>
    </w:p>
    <w:p w14:paraId="3A474BAE" w14:textId="77777777" w:rsidR="009B5E39" w:rsidRPr="000F73C8" w:rsidRDefault="009B5E39" w:rsidP="009B5E39">
      <w:pPr>
        <w:widowControl w:val="0"/>
        <w:autoSpaceDE w:val="0"/>
        <w:autoSpaceDN w:val="0"/>
        <w:spacing w:after="120"/>
        <w:ind w:left="1560" w:right="283" w:hanging="426"/>
        <w:jc w:val="both"/>
        <w:rPr>
          <w:rFonts w:ascii="Gotham" w:hAnsi="Gotham" w:cs="Arial"/>
          <w:sz w:val="19"/>
          <w:szCs w:val="19"/>
        </w:rPr>
      </w:pPr>
      <w:r w:rsidRPr="000F73C8">
        <w:rPr>
          <w:rFonts w:ascii="Gotham" w:hAnsi="Gotham" w:cs="Arial"/>
          <w:sz w:val="19"/>
          <w:szCs w:val="19"/>
        </w:rPr>
        <w:t>B. Los elementos de las corporaciones de Policía Preventiva Municipal.</w:t>
      </w:r>
    </w:p>
    <w:p w14:paraId="3A474BAF" w14:textId="77777777" w:rsidR="009B5E39" w:rsidRPr="000F73C8" w:rsidRDefault="009B5E39" w:rsidP="009B5E39">
      <w:pPr>
        <w:widowControl w:val="0"/>
        <w:autoSpaceDE w:val="0"/>
        <w:autoSpaceDN w:val="0"/>
        <w:spacing w:after="120"/>
        <w:ind w:left="1134" w:right="283" w:hanging="850"/>
        <w:jc w:val="both"/>
        <w:rPr>
          <w:rFonts w:ascii="Gotham" w:hAnsi="Gotham" w:cs="Arial"/>
          <w:sz w:val="19"/>
          <w:szCs w:val="19"/>
        </w:rPr>
      </w:pPr>
      <w:r w:rsidRPr="000F73C8">
        <w:rPr>
          <w:rFonts w:ascii="Gotham" w:hAnsi="Gotham" w:cs="Arial"/>
          <w:sz w:val="19"/>
          <w:szCs w:val="19"/>
        </w:rPr>
        <w:t>III. Con Carácter de Sancionadoras:</w:t>
      </w:r>
    </w:p>
    <w:p w14:paraId="3A474BB0"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A. El Presidente Municipal;</w:t>
      </w:r>
    </w:p>
    <w:p w14:paraId="3A474BB1"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B. El Secretario General del Ayuntamiento; y</w:t>
      </w:r>
    </w:p>
    <w:p w14:paraId="3A474BB2" w14:textId="77777777" w:rsidR="009B5E39" w:rsidRPr="000F73C8" w:rsidRDefault="009B5E39" w:rsidP="009B5E39">
      <w:pPr>
        <w:widowControl w:val="0"/>
        <w:autoSpaceDE w:val="0"/>
        <w:autoSpaceDN w:val="0"/>
        <w:ind w:left="1560" w:right="283" w:hanging="426"/>
        <w:jc w:val="both"/>
        <w:rPr>
          <w:rFonts w:ascii="Gotham" w:hAnsi="Gotham" w:cs="Arial"/>
          <w:sz w:val="19"/>
          <w:szCs w:val="19"/>
        </w:rPr>
      </w:pPr>
      <w:r w:rsidRPr="000F73C8">
        <w:rPr>
          <w:rFonts w:ascii="Gotham" w:hAnsi="Gotham" w:cs="Arial"/>
          <w:sz w:val="19"/>
          <w:szCs w:val="19"/>
        </w:rPr>
        <w:t>C. Los inspectores de la Dirección de Inspección y Vigilancia Municipal.</w:t>
      </w:r>
    </w:p>
    <w:p w14:paraId="3A474BB3" w14:textId="77777777" w:rsidR="009B5E39" w:rsidRPr="009B3BE1" w:rsidRDefault="009B5E39" w:rsidP="009B5E39">
      <w:pPr>
        <w:jc w:val="both"/>
        <w:rPr>
          <w:rFonts w:ascii="Gotham" w:hAnsi="Gotham" w:cs="Arial"/>
          <w:b/>
          <w:sz w:val="20"/>
          <w:szCs w:val="20"/>
        </w:rPr>
      </w:pPr>
    </w:p>
    <w:p w14:paraId="3A474BB4" w14:textId="77777777" w:rsidR="009B5E39" w:rsidRPr="009B3BE1" w:rsidRDefault="009B5E39" w:rsidP="009B5E39">
      <w:pPr>
        <w:jc w:val="both"/>
        <w:rPr>
          <w:rFonts w:ascii="Gotham" w:hAnsi="Gotham" w:cs="Arial"/>
          <w:b/>
          <w:sz w:val="20"/>
          <w:szCs w:val="20"/>
        </w:rPr>
      </w:pPr>
      <w:r w:rsidRPr="009B3BE1">
        <w:rPr>
          <w:rFonts w:ascii="Gotham" w:hAnsi="Gotham" w:cs="Arial"/>
          <w:b/>
          <w:sz w:val="20"/>
          <w:szCs w:val="20"/>
        </w:rPr>
        <w:t xml:space="preserve">Debe decir: </w:t>
      </w:r>
    </w:p>
    <w:p w14:paraId="3A474BB5" w14:textId="77777777" w:rsidR="009B5E39" w:rsidRPr="009B3BE1" w:rsidRDefault="009B5E39" w:rsidP="009B5E39">
      <w:pPr>
        <w:jc w:val="both"/>
        <w:rPr>
          <w:rFonts w:ascii="Gotham" w:hAnsi="Gotham" w:cs="Arial"/>
          <w:b/>
          <w:sz w:val="20"/>
          <w:szCs w:val="20"/>
        </w:rPr>
      </w:pPr>
    </w:p>
    <w:p w14:paraId="3A474BB6"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r w:rsidRPr="00687318">
        <w:rPr>
          <w:rFonts w:ascii="Gotham" w:hAnsi="Gotham" w:cs="Arial"/>
          <w:sz w:val="19"/>
          <w:szCs w:val="19"/>
        </w:rPr>
        <w:t>TITULO SEGUNDO DE INSPECCION Y VIGILANCIA.</w:t>
      </w:r>
    </w:p>
    <w:p w14:paraId="3A474BB7"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p>
    <w:p w14:paraId="3A474BB8"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r w:rsidRPr="00687318">
        <w:rPr>
          <w:rFonts w:ascii="Gotham" w:hAnsi="Gotham" w:cs="Arial"/>
          <w:sz w:val="19"/>
          <w:szCs w:val="19"/>
        </w:rPr>
        <w:t>CAPÍTULO I DISPOSICIONES EN MATERIA DE INSPECCIÓN Y VIGILANCIA</w:t>
      </w:r>
    </w:p>
    <w:p w14:paraId="3A474BB9"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p>
    <w:p w14:paraId="3A474BBA" w14:textId="77777777" w:rsidR="009B5E39" w:rsidRPr="000F73C8" w:rsidRDefault="009B5E39" w:rsidP="009B5E39">
      <w:pPr>
        <w:widowControl w:val="0"/>
        <w:tabs>
          <w:tab w:val="left" w:pos="942"/>
        </w:tabs>
        <w:autoSpaceDE w:val="0"/>
        <w:autoSpaceDN w:val="0"/>
        <w:ind w:left="284" w:right="283"/>
        <w:jc w:val="both"/>
        <w:rPr>
          <w:rFonts w:ascii="Gotham" w:hAnsi="Gotham" w:cs="Arial"/>
          <w:sz w:val="19"/>
          <w:szCs w:val="19"/>
        </w:rPr>
      </w:pPr>
      <w:r w:rsidRPr="00373CBD">
        <w:rPr>
          <w:rFonts w:ascii="Gotham" w:hAnsi="Gotham" w:cs="Arial"/>
          <w:b/>
          <w:sz w:val="19"/>
          <w:szCs w:val="19"/>
        </w:rPr>
        <w:t>Artículo 273.-</w:t>
      </w:r>
      <w:r w:rsidRPr="000F73C8">
        <w:rPr>
          <w:rFonts w:ascii="Gotham" w:hAnsi="Gotham" w:cs="Arial"/>
          <w:sz w:val="19"/>
          <w:szCs w:val="19"/>
        </w:rPr>
        <w:t xml:space="preserve"> Son autoridades competentes para ordenar visitas de inspección, así como ordenar la elaboración de actas administrativas por faltas a los lineamientos establecidos en el presente código, así como a los reglamentos municipales, normas y leyes de aplicación municipal, las siguientes:</w:t>
      </w:r>
    </w:p>
    <w:p w14:paraId="3A474BBB" w14:textId="77777777" w:rsidR="009B5E39" w:rsidRPr="000F73C8" w:rsidRDefault="009B5E39" w:rsidP="009B5E39">
      <w:pPr>
        <w:widowControl w:val="0"/>
        <w:tabs>
          <w:tab w:val="left" w:pos="942"/>
        </w:tabs>
        <w:autoSpaceDE w:val="0"/>
        <w:autoSpaceDN w:val="0"/>
        <w:ind w:left="284" w:right="283"/>
        <w:jc w:val="both"/>
        <w:rPr>
          <w:rFonts w:ascii="Gotham" w:hAnsi="Gotham" w:cs="Arial"/>
          <w:sz w:val="19"/>
          <w:szCs w:val="19"/>
        </w:rPr>
      </w:pPr>
    </w:p>
    <w:p w14:paraId="3A474BBC" w14:textId="77777777" w:rsidR="009B5E39" w:rsidRPr="000F73C8" w:rsidRDefault="009B5E39" w:rsidP="009B5E39">
      <w:pPr>
        <w:widowControl w:val="0"/>
        <w:autoSpaceDE w:val="0"/>
        <w:autoSpaceDN w:val="0"/>
        <w:spacing w:after="120"/>
        <w:ind w:left="1134" w:right="283" w:hanging="850"/>
        <w:jc w:val="both"/>
        <w:rPr>
          <w:rFonts w:ascii="Gotham" w:hAnsi="Gotham" w:cs="Arial"/>
          <w:sz w:val="19"/>
          <w:szCs w:val="19"/>
        </w:rPr>
      </w:pPr>
      <w:r w:rsidRPr="000F73C8">
        <w:rPr>
          <w:rFonts w:ascii="Gotham" w:hAnsi="Gotham" w:cs="Arial"/>
          <w:sz w:val="19"/>
          <w:szCs w:val="19"/>
        </w:rPr>
        <w:t xml:space="preserve">I. </w:t>
      </w:r>
      <w:r>
        <w:rPr>
          <w:rFonts w:ascii="Gotham" w:hAnsi="Gotham" w:cs="Arial"/>
          <w:sz w:val="19"/>
          <w:szCs w:val="19"/>
        </w:rPr>
        <w:tab/>
      </w:r>
      <w:r w:rsidRPr="000F73C8">
        <w:rPr>
          <w:rFonts w:ascii="Gotham" w:hAnsi="Gotham" w:cs="Arial"/>
          <w:sz w:val="19"/>
          <w:szCs w:val="19"/>
        </w:rPr>
        <w:t>Con Carácter de Ordenadoras:</w:t>
      </w:r>
    </w:p>
    <w:p w14:paraId="3A474BBD"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A. El Pleno del Ayuntamiento;</w:t>
      </w:r>
    </w:p>
    <w:p w14:paraId="3A474BBE"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B. El Presidente Municipal;</w:t>
      </w:r>
    </w:p>
    <w:p w14:paraId="3A474BBF"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C. El Secretario General del Ayuntamiento;</w:t>
      </w:r>
    </w:p>
    <w:p w14:paraId="3A474BC0"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D. La Dirección de Gestión Ambiental, Cambio Climático y Sustentabilidad; y</w:t>
      </w:r>
    </w:p>
    <w:p w14:paraId="3A474BC1" w14:textId="77777777" w:rsidR="009B5E39" w:rsidRPr="000F73C8" w:rsidRDefault="009B5E39" w:rsidP="009B5E39">
      <w:pPr>
        <w:widowControl w:val="0"/>
        <w:autoSpaceDE w:val="0"/>
        <w:autoSpaceDN w:val="0"/>
        <w:spacing w:after="120"/>
        <w:ind w:left="1560" w:right="283" w:hanging="426"/>
        <w:jc w:val="both"/>
        <w:rPr>
          <w:rFonts w:ascii="Gotham" w:hAnsi="Gotham" w:cs="Arial"/>
          <w:sz w:val="19"/>
          <w:szCs w:val="19"/>
        </w:rPr>
      </w:pPr>
      <w:r w:rsidRPr="000F73C8">
        <w:rPr>
          <w:rFonts w:ascii="Gotham" w:hAnsi="Gotham" w:cs="Arial"/>
          <w:sz w:val="19"/>
          <w:szCs w:val="19"/>
        </w:rPr>
        <w:t>E. Las autoridades que establezcan los reglamentos y leyes de aplicación municipal.</w:t>
      </w:r>
    </w:p>
    <w:p w14:paraId="3A474BC2" w14:textId="77777777" w:rsidR="009B5E39" w:rsidRPr="000F73C8" w:rsidRDefault="009B5E39" w:rsidP="009B5E39">
      <w:pPr>
        <w:widowControl w:val="0"/>
        <w:autoSpaceDE w:val="0"/>
        <w:autoSpaceDN w:val="0"/>
        <w:spacing w:after="120"/>
        <w:ind w:left="1134" w:right="283" w:hanging="850"/>
        <w:jc w:val="both"/>
        <w:rPr>
          <w:rFonts w:ascii="Gotham" w:hAnsi="Gotham" w:cs="Arial"/>
          <w:sz w:val="19"/>
          <w:szCs w:val="19"/>
        </w:rPr>
      </w:pPr>
      <w:r w:rsidRPr="000F73C8">
        <w:rPr>
          <w:rFonts w:ascii="Gotham" w:hAnsi="Gotham" w:cs="Arial"/>
          <w:sz w:val="19"/>
          <w:szCs w:val="19"/>
        </w:rPr>
        <w:t xml:space="preserve">II. </w:t>
      </w:r>
      <w:r>
        <w:rPr>
          <w:rFonts w:ascii="Gotham" w:hAnsi="Gotham" w:cs="Arial"/>
          <w:sz w:val="19"/>
          <w:szCs w:val="19"/>
        </w:rPr>
        <w:tab/>
      </w:r>
      <w:r w:rsidRPr="000F73C8">
        <w:rPr>
          <w:rFonts w:ascii="Gotham" w:hAnsi="Gotham" w:cs="Arial"/>
          <w:sz w:val="19"/>
          <w:szCs w:val="19"/>
        </w:rPr>
        <w:t>Con Carácter de Ejecutoras:</w:t>
      </w:r>
    </w:p>
    <w:p w14:paraId="3A474BC3"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A. Los inspectores adscritos a Dirección de Inspección y Vigilancia Municipal; y</w:t>
      </w:r>
    </w:p>
    <w:p w14:paraId="3A474BC4"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B. Los elementos de las corporaciones de Policía Preventiva Municipal.</w:t>
      </w:r>
    </w:p>
    <w:p w14:paraId="3A474BC5" w14:textId="77777777" w:rsidR="009B5E39" w:rsidRPr="000F73C8" w:rsidRDefault="009B5E39" w:rsidP="009B5E39">
      <w:pPr>
        <w:widowControl w:val="0"/>
        <w:autoSpaceDE w:val="0"/>
        <w:autoSpaceDN w:val="0"/>
        <w:spacing w:after="120"/>
        <w:ind w:left="1560" w:right="283" w:hanging="426"/>
        <w:jc w:val="both"/>
        <w:rPr>
          <w:rFonts w:ascii="Gotham" w:hAnsi="Gotham" w:cs="Arial"/>
          <w:sz w:val="19"/>
          <w:szCs w:val="19"/>
        </w:rPr>
      </w:pPr>
      <w:r w:rsidRPr="000F73C8">
        <w:rPr>
          <w:rFonts w:ascii="Gotham" w:hAnsi="Gotham" w:cs="Arial"/>
          <w:sz w:val="19"/>
          <w:szCs w:val="19"/>
        </w:rPr>
        <w:t>C. Dirección de Ecología y Cambio Climático</w:t>
      </w:r>
    </w:p>
    <w:p w14:paraId="3A474BC6" w14:textId="77777777" w:rsidR="009B5E39" w:rsidRPr="000F73C8" w:rsidRDefault="009B5E39" w:rsidP="009B5E39">
      <w:pPr>
        <w:widowControl w:val="0"/>
        <w:autoSpaceDE w:val="0"/>
        <w:autoSpaceDN w:val="0"/>
        <w:spacing w:after="120"/>
        <w:ind w:left="1134" w:right="283" w:hanging="850"/>
        <w:jc w:val="both"/>
        <w:rPr>
          <w:rFonts w:ascii="Gotham" w:hAnsi="Gotham" w:cs="Arial"/>
          <w:sz w:val="19"/>
          <w:szCs w:val="19"/>
        </w:rPr>
      </w:pPr>
      <w:r w:rsidRPr="000F73C8">
        <w:rPr>
          <w:rFonts w:ascii="Gotham" w:hAnsi="Gotham" w:cs="Arial"/>
          <w:sz w:val="19"/>
          <w:szCs w:val="19"/>
        </w:rPr>
        <w:t xml:space="preserve">III. </w:t>
      </w:r>
      <w:r>
        <w:rPr>
          <w:rFonts w:ascii="Gotham" w:hAnsi="Gotham" w:cs="Arial"/>
          <w:sz w:val="19"/>
          <w:szCs w:val="19"/>
        </w:rPr>
        <w:tab/>
      </w:r>
      <w:r w:rsidRPr="000F73C8">
        <w:rPr>
          <w:rFonts w:ascii="Gotham" w:hAnsi="Gotham" w:cs="Arial"/>
          <w:sz w:val="19"/>
          <w:szCs w:val="19"/>
        </w:rPr>
        <w:t>Con Carácter de Sancionadoras:</w:t>
      </w:r>
    </w:p>
    <w:p w14:paraId="3A474BC7"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A. El Presidente Municipal;</w:t>
      </w:r>
    </w:p>
    <w:p w14:paraId="3A474BC8"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B. El Secretario General del Ayuntamiento; y</w:t>
      </w:r>
    </w:p>
    <w:p w14:paraId="3A474BC9" w14:textId="77777777" w:rsidR="009B5E39" w:rsidRPr="000F73C8" w:rsidRDefault="009B5E39" w:rsidP="009B5E39">
      <w:pPr>
        <w:widowControl w:val="0"/>
        <w:autoSpaceDE w:val="0"/>
        <w:autoSpaceDN w:val="0"/>
        <w:spacing w:after="80"/>
        <w:ind w:left="1560" w:right="283" w:hanging="426"/>
        <w:jc w:val="both"/>
        <w:rPr>
          <w:rFonts w:ascii="Gotham" w:hAnsi="Gotham" w:cs="Arial"/>
          <w:sz w:val="19"/>
          <w:szCs w:val="19"/>
        </w:rPr>
      </w:pPr>
      <w:r w:rsidRPr="000F73C8">
        <w:rPr>
          <w:rFonts w:ascii="Gotham" w:hAnsi="Gotham" w:cs="Arial"/>
          <w:sz w:val="19"/>
          <w:szCs w:val="19"/>
        </w:rPr>
        <w:t>C. Los inspectores de la Dirección de Inspección y Vigilancia Municipal.</w:t>
      </w:r>
    </w:p>
    <w:p w14:paraId="3A474BCA" w14:textId="77777777" w:rsidR="009B5E39" w:rsidRPr="000F73C8" w:rsidRDefault="009B5E39" w:rsidP="009B5E39">
      <w:pPr>
        <w:widowControl w:val="0"/>
        <w:autoSpaceDE w:val="0"/>
        <w:autoSpaceDN w:val="0"/>
        <w:ind w:left="1560" w:right="283" w:hanging="426"/>
        <w:jc w:val="both"/>
        <w:rPr>
          <w:rFonts w:ascii="Gotham" w:hAnsi="Gotham" w:cs="Arial"/>
          <w:sz w:val="19"/>
          <w:szCs w:val="19"/>
        </w:rPr>
      </w:pPr>
      <w:r w:rsidRPr="000F73C8">
        <w:rPr>
          <w:rFonts w:ascii="Gotham" w:hAnsi="Gotham" w:cs="Arial"/>
          <w:sz w:val="19"/>
          <w:szCs w:val="19"/>
        </w:rPr>
        <w:t>D. Dirección de Ecología y Cambio Climático</w:t>
      </w:r>
    </w:p>
    <w:p w14:paraId="3A474BCB" w14:textId="77777777" w:rsidR="009B5E39" w:rsidRPr="009B3BE1" w:rsidRDefault="009B5E39" w:rsidP="009B5E39">
      <w:pPr>
        <w:jc w:val="both"/>
        <w:rPr>
          <w:rFonts w:ascii="Gotham" w:hAnsi="Gotham" w:cs="Arial"/>
          <w:b/>
          <w:sz w:val="20"/>
          <w:szCs w:val="20"/>
        </w:rPr>
      </w:pPr>
    </w:p>
    <w:p w14:paraId="3A474BCC" w14:textId="77777777" w:rsidR="009B5E39" w:rsidRPr="009B3BE1" w:rsidRDefault="009B5E39" w:rsidP="009B5E39">
      <w:pPr>
        <w:jc w:val="both"/>
        <w:rPr>
          <w:rFonts w:ascii="Gotham" w:hAnsi="Gotham" w:cs="Arial"/>
          <w:b/>
          <w:sz w:val="20"/>
          <w:szCs w:val="20"/>
        </w:rPr>
      </w:pPr>
      <w:r w:rsidRPr="009B3BE1">
        <w:rPr>
          <w:rFonts w:ascii="Gotham" w:hAnsi="Gotham" w:cs="Arial"/>
          <w:b/>
          <w:sz w:val="20"/>
          <w:szCs w:val="20"/>
        </w:rPr>
        <w:t>Dice:</w:t>
      </w:r>
      <w:r w:rsidR="00883EC2">
        <w:rPr>
          <w:rFonts w:ascii="Gotham" w:hAnsi="Gotham" w:cs="Arial"/>
          <w:b/>
          <w:sz w:val="20"/>
          <w:szCs w:val="20"/>
        </w:rPr>
        <w:t xml:space="preserve"> </w:t>
      </w:r>
    </w:p>
    <w:p w14:paraId="3A474BCD" w14:textId="77777777" w:rsidR="009B5E39" w:rsidRPr="009B3BE1" w:rsidRDefault="009B5E39" w:rsidP="009B5E39">
      <w:pPr>
        <w:jc w:val="both"/>
        <w:rPr>
          <w:rFonts w:ascii="Gotham" w:hAnsi="Gotham" w:cs="Arial"/>
          <w:b/>
          <w:sz w:val="20"/>
          <w:szCs w:val="20"/>
        </w:rPr>
      </w:pPr>
    </w:p>
    <w:p w14:paraId="3A474BCE"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r w:rsidRPr="00687318">
        <w:rPr>
          <w:rFonts w:ascii="Gotham" w:hAnsi="Gotham" w:cs="Arial"/>
          <w:sz w:val="19"/>
          <w:szCs w:val="19"/>
        </w:rPr>
        <w:t>LIBRO TERCERO DE LA GESTIÓN INTEGRAL DE RESIDUOS.</w:t>
      </w:r>
    </w:p>
    <w:p w14:paraId="3A474BCF"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p>
    <w:p w14:paraId="3A474BD0"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r w:rsidRPr="00687318">
        <w:rPr>
          <w:rFonts w:ascii="Gotham" w:hAnsi="Gotham" w:cs="Arial"/>
          <w:sz w:val="19"/>
          <w:szCs w:val="19"/>
        </w:rPr>
        <w:t>TÍTULO PRIMERO DISPOSICIONES GENERALES.</w:t>
      </w:r>
    </w:p>
    <w:p w14:paraId="3A474BD1" w14:textId="77777777" w:rsidR="009B5E39" w:rsidRPr="000F73C8" w:rsidRDefault="009B5E39" w:rsidP="009B5E39">
      <w:pPr>
        <w:widowControl w:val="0"/>
        <w:tabs>
          <w:tab w:val="left" w:pos="942"/>
        </w:tabs>
        <w:autoSpaceDE w:val="0"/>
        <w:autoSpaceDN w:val="0"/>
        <w:ind w:left="284" w:right="283"/>
        <w:jc w:val="center"/>
        <w:rPr>
          <w:rFonts w:ascii="Gotham" w:hAnsi="Gotham" w:cs="Arial"/>
          <w:sz w:val="19"/>
          <w:szCs w:val="19"/>
        </w:rPr>
      </w:pPr>
    </w:p>
    <w:p w14:paraId="3A474BD2" w14:textId="77777777" w:rsidR="009B5E39" w:rsidRPr="000F73C8" w:rsidRDefault="009B5E39" w:rsidP="009B5E39">
      <w:pPr>
        <w:widowControl w:val="0"/>
        <w:tabs>
          <w:tab w:val="left" w:pos="942"/>
        </w:tabs>
        <w:autoSpaceDE w:val="0"/>
        <w:autoSpaceDN w:val="0"/>
        <w:ind w:left="284" w:right="283"/>
        <w:jc w:val="both"/>
        <w:rPr>
          <w:rFonts w:ascii="Gotham" w:hAnsi="Gotham" w:cs="Arial"/>
          <w:sz w:val="19"/>
          <w:szCs w:val="19"/>
        </w:rPr>
      </w:pPr>
      <w:r w:rsidRPr="00373CBD">
        <w:rPr>
          <w:rFonts w:ascii="Gotham" w:hAnsi="Gotham" w:cs="Arial"/>
          <w:b/>
          <w:sz w:val="19"/>
          <w:szCs w:val="19"/>
        </w:rPr>
        <w:t>Artículo 102.-</w:t>
      </w:r>
      <w:r w:rsidRPr="000F73C8">
        <w:rPr>
          <w:rFonts w:ascii="Gotham" w:hAnsi="Gotham" w:cs="Arial"/>
          <w:sz w:val="19"/>
          <w:szCs w:val="19"/>
        </w:rPr>
        <w:t xml:space="preserve"> Las presente disposiciones tienen por objeto regular la generación y gestión integral de los residuos sólidos urbanos que se manejan dentro del Municipio, así como la prestación del servicio de aseo público municipal, de conformidad con lo establecido en la Ley General para la Prevención y Gestión Integral de los Residuos y en la Ley de Gestión Integral de los Residuos del Estado de Jalisco. </w:t>
      </w:r>
    </w:p>
    <w:p w14:paraId="3A474BD3" w14:textId="77777777" w:rsidR="009B5E39" w:rsidRPr="009B3BE1" w:rsidRDefault="009B5E39" w:rsidP="009B5E39">
      <w:pPr>
        <w:jc w:val="both"/>
        <w:rPr>
          <w:rFonts w:ascii="Gotham" w:hAnsi="Gotham" w:cs="Arial"/>
          <w:b/>
          <w:sz w:val="20"/>
          <w:szCs w:val="20"/>
        </w:rPr>
      </w:pPr>
    </w:p>
    <w:p w14:paraId="3A474BD4" w14:textId="77777777" w:rsidR="009B5E39" w:rsidRPr="009B3BE1" w:rsidRDefault="009B5E39" w:rsidP="009B5E39">
      <w:pPr>
        <w:jc w:val="both"/>
        <w:rPr>
          <w:rFonts w:ascii="Gotham" w:hAnsi="Gotham" w:cs="Arial"/>
          <w:b/>
          <w:sz w:val="20"/>
          <w:szCs w:val="20"/>
        </w:rPr>
      </w:pPr>
      <w:r w:rsidRPr="009B3BE1">
        <w:rPr>
          <w:rFonts w:ascii="Gotham" w:hAnsi="Gotham" w:cs="Arial"/>
          <w:b/>
          <w:sz w:val="20"/>
          <w:szCs w:val="20"/>
        </w:rPr>
        <w:t>Debe decir:</w:t>
      </w:r>
    </w:p>
    <w:p w14:paraId="3A474BD5" w14:textId="77777777" w:rsidR="009B5E39" w:rsidRDefault="009B5E39" w:rsidP="009B5E39">
      <w:pPr>
        <w:pStyle w:val="Prrafodelista"/>
        <w:ind w:left="0"/>
        <w:contextualSpacing w:val="0"/>
        <w:jc w:val="both"/>
        <w:rPr>
          <w:rFonts w:ascii="Arial" w:hAnsi="Arial" w:cs="Arial"/>
          <w:b/>
        </w:rPr>
      </w:pPr>
    </w:p>
    <w:p w14:paraId="3A474BD6"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r w:rsidRPr="00687318">
        <w:rPr>
          <w:rFonts w:ascii="Gotham" w:hAnsi="Gotham" w:cs="Arial"/>
          <w:sz w:val="19"/>
          <w:szCs w:val="19"/>
        </w:rPr>
        <w:t>LIBRO TERCERO DE LA GESTIÓN INTEGRAL DE RESIDUOS.</w:t>
      </w:r>
    </w:p>
    <w:p w14:paraId="3A474BD7"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p>
    <w:p w14:paraId="3A474BD8" w14:textId="77777777" w:rsidR="009B5E39" w:rsidRPr="00687318" w:rsidRDefault="009B5E39" w:rsidP="009B5E39">
      <w:pPr>
        <w:widowControl w:val="0"/>
        <w:tabs>
          <w:tab w:val="left" w:pos="942"/>
        </w:tabs>
        <w:autoSpaceDE w:val="0"/>
        <w:autoSpaceDN w:val="0"/>
        <w:ind w:left="284" w:right="283"/>
        <w:jc w:val="center"/>
        <w:rPr>
          <w:rFonts w:ascii="Gotham" w:hAnsi="Gotham" w:cs="Arial"/>
          <w:sz w:val="19"/>
          <w:szCs w:val="19"/>
        </w:rPr>
      </w:pPr>
      <w:r w:rsidRPr="00687318">
        <w:rPr>
          <w:rFonts w:ascii="Gotham" w:hAnsi="Gotham" w:cs="Arial"/>
          <w:sz w:val="19"/>
          <w:szCs w:val="19"/>
        </w:rPr>
        <w:t>TÍTULO PRIMERO DISPOSICIONES GENERALES.</w:t>
      </w:r>
    </w:p>
    <w:p w14:paraId="3A474BD9" w14:textId="77777777" w:rsidR="009B5E39" w:rsidRPr="000F73C8" w:rsidRDefault="009B5E39" w:rsidP="009B5E39">
      <w:pPr>
        <w:widowControl w:val="0"/>
        <w:tabs>
          <w:tab w:val="left" w:pos="942"/>
        </w:tabs>
        <w:autoSpaceDE w:val="0"/>
        <w:autoSpaceDN w:val="0"/>
        <w:ind w:left="284" w:right="283"/>
        <w:jc w:val="center"/>
        <w:rPr>
          <w:rFonts w:ascii="Gotham" w:hAnsi="Gotham" w:cs="Arial"/>
          <w:sz w:val="19"/>
          <w:szCs w:val="19"/>
        </w:rPr>
      </w:pPr>
    </w:p>
    <w:p w14:paraId="3A474BDA" w14:textId="77777777" w:rsidR="009B5E39" w:rsidRPr="000F73C8" w:rsidRDefault="009B5E39" w:rsidP="009B5E39">
      <w:pPr>
        <w:widowControl w:val="0"/>
        <w:tabs>
          <w:tab w:val="left" w:pos="942"/>
        </w:tabs>
        <w:autoSpaceDE w:val="0"/>
        <w:autoSpaceDN w:val="0"/>
        <w:ind w:left="284" w:right="283"/>
        <w:jc w:val="both"/>
        <w:rPr>
          <w:rFonts w:ascii="Gotham" w:hAnsi="Gotham" w:cs="Arial"/>
          <w:sz w:val="19"/>
          <w:szCs w:val="19"/>
        </w:rPr>
      </w:pPr>
      <w:r w:rsidRPr="00373CBD">
        <w:rPr>
          <w:rFonts w:ascii="Gotham" w:hAnsi="Gotham" w:cs="Arial"/>
          <w:b/>
          <w:sz w:val="19"/>
          <w:szCs w:val="19"/>
        </w:rPr>
        <w:t>Artículo 102.-</w:t>
      </w:r>
      <w:r w:rsidRPr="000F73C8">
        <w:rPr>
          <w:rFonts w:ascii="Gotham" w:hAnsi="Gotham" w:cs="Arial"/>
          <w:sz w:val="19"/>
          <w:szCs w:val="19"/>
        </w:rPr>
        <w:t xml:space="preserve"> Las presente disposiciones tienen por objeto regular la generación y gestión integral de los residuos sólidos urbanos que se manejan dentro del Municipio, así como la prestación del servicio de aseo público municipal, de conformidad con lo establecido en la Ley General para la Prevención y Gestión Integral de los Residuos y en la Ley de Gestión Integral de los Residuos del Estado de Jalisco, Reglamento Aseo Público para la Prevención y Gestión Integral de los Residuos del Municipio de Tonalá Jalisco.</w:t>
      </w:r>
    </w:p>
    <w:p w14:paraId="3A474BDB" w14:textId="77777777" w:rsidR="009B5E39" w:rsidRPr="009B3BE1" w:rsidRDefault="009B5E39" w:rsidP="009B5E39">
      <w:pPr>
        <w:jc w:val="both"/>
        <w:rPr>
          <w:rFonts w:ascii="Gotham" w:hAnsi="Gotham" w:cs="Arial"/>
          <w:b/>
          <w:sz w:val="20"/>
          <w:szCs w:val="20"/>
        </w:rPr>
      </w:pPr>
    </w:p>
    <w:p w14:paraId="3A474BDC" w14:textId="77777777" w:rsidR="009B5E39" w:rsidRPr="009B3BE1" w:rsidRDefault="009B5E39" w:rsidP="009B5E39">
      <w:pPr>
        <w:jc w:val="both"/>
        <w:rPr>
          <w:rFonts w:ascii="Gotham" w:hAnsi="Gotham" w:cs="Arial"/>
          <w:b/>
          <w:sz w:val="20"/>
          <w:szCs w:val="20"/>
        </w:rPr>
      </w:pPr>
      <w:r w:rsidRPr="009B3BE1">
        <w:rPr>
          <w:rFonts w:ascii="Gotham" w:hAnsi="Gotham" w:cs="Arial"/>
          <w:b/>
          <w:sz w:val="20"/>
          <w:szCs w:val="20"/>
        </w:rPr>
        <w:t xml:space="preserve">El artículo 175 dice: </w:t>
      </w:r>
    </w:p>
    <w:p w14:paraId="3A474BDD" w14:textId="77777777" w:rsidR="009B5E39" w:rsidRPr="000F73C8" w:rsidRDefault="009B5E39" w:rsidP="009B5E39">
      <w:pPr>
        <w:widowControl w:val="0"/>
        <w:tabs>
          <w:tab w:val="left" w:pos="942"/>
        </w:tabs>
        <w:autoSpaceDE w:val="0"/>
        <w:autoSpaceDN w:val="0"/>
        <w:ind w:left="284" w:right="283"/>
        <w:jc w:val="both"/>
        <w:rPr>
          <w:rFonts w:ascii="Gotham" w:hAnsi="Gotham" w:cs="Arial"/>
          <w:sz w:val="19"/>
          <w:szCs w:val="19"/>
        </w:rPr>
      </w:pPr>
    </w:p>
    <w:p w14:paraId="3A474BDE" w14:textId="77777777" w:rsidR="009B5E39" w:rsidRPr="000F73C8" w:rsidRDefault="009B5E39" w:rsidP="009B5E39">
      <w:pPr>
        <w:widowControl w:val="0"/>
        <w:tabs>
          <w:tab w:val="left" w:pos="942"/>
        </w:tabs>
        <w:autoSpaceDE w:val="0"/>
        <w:autoSpaceDN w:val="0"/>
        <w:ind w:left="284" w:right="283"/>
        <w:jc w:val="both"/>
        <w:rPr>
          <w:rFonts w:ascii="Gotham" w:hAnsi="Gotham"/>
          <w:sz w:val="19"/>
          <w:szCs w:val="19"/>
        </w:rPr>
      </w:pPr>
      <w:r w:rsidRPr="00373CBD">
        <w:rPr>
          <w:rFonts w:ascii="Gotham" w:hAnsi="Gotham" w:cs="Arial"/>
          <w:b/>
          <w:sz w:val="19"/>
          <w:szCs w:val="19"/>
        </w:rPr>
        <w:t>Artículo 175.-</w:t>
      </w:r>
      <w:r w:rsidRPr="000F73C8">
        <w:rPr>
          <w:rFonts w:ascii="Gotham" w:hAnsi="Gotham" w:cs="Arial"/>
          <w:sz w:val="19"/>
          <w:szCs w:val="19"/>
        </w:rPr>
        <w:t xml:space="preserve"> La construcción, protección, conservación y mantenimiento de las áreas verdes del </w:t>
      </w:r>
      <w:r w:rsidRPr="000F73C8">
        <w:rPr>
          <w:rFonts w:ascii="Gotham" w:hAnsi="Gotham" w:cs="Arial"/>
          <w:sz w:val="19"/>
          <w:szCs w:val="19"/>
        </w:rPr>
        <w:lastRenderedPageBreak/>
        <w:t>Municipio corresponde a la Dirección de Mejoramiento Urbano, a través de la Jefatura de Parques y Jardines, tomando en consideración criterios ambientales así como, en su caso, la opinión técnica de la Dirección, siendo esta última la encargada de llevar a cabo l</w:t>
      </w:r>
      <w:r w:rsidRPr="000F73C8">
        <w:rPr>
          <w:rFonts w:ascii="Gotham" w:hAnsi="Gotham"/>
          <w:sz w:val="19"/>
          <w:szCs w:val="19"/>
        </w:rPr>
        <w:t>a planeación y diseño de las áreas verdes municipales.</w:t>
      </w:r>
    </w:p>
    <w:p w14:paraId="3A474BDF" w14:textId="77777777" w:rsidR="009B5E39" w:rsidRPr="00373CBD" w:rsidRDefault="009B5E39" w:rsidP="009B5E39">
      <w:pPr>
        <w:jc w:val="both"/>
        <w:rPr>
          <w:rFonts w:ascii="Gotham" w:hAnsi="Gotham"/>
          <w:sz w:val="20"/>
          <w:szCs w:val="20"/>
        </w:rPr>
      </w:pPr>
    </w:p>
    <w:p w14:paraId="3A474BE0" w14:textId="77777777" w:rsidR="009B5E39" w:rsidRPr="00687318" w:rsidRDefault="009B5E39" w:rsidP="009B5E39">
      <w:pPr>
        <w:jc w:val="both"/>
        <w:rPr>
          <w:rFonts w:ascii="Gotham" w:hAnsi="Gotham"/>
          <w:b/>
          <w:sz w:val="20"/>
          <w:szCs w:val="20"/>
        </w:rPr>
      </w:pPr>
      <w:r w:rsidRPr="00687318">
        <w:rPr>
          <w:rFonts w:ascii="Gotham" w:hAnsi="Gotham"/>
          <w:b/>
          <w:sz w:val="20"/>
          <w:szCs w:val="20"/>
        </w:rPr>
        <w:t xml:space="preserve">Debe decir, se propone: </w:t>
      </w:r>
    </w:p>
    <w:p w14:paraId="3A474BE1" w14:textId="77777777" w:rsidR="009B5E39" w:rsidRPr="00373CBD" w:rsidRDefault="009B5E39" w:rsidP="009B5E39">
      <w:pPr>
        <w:jc w:val="both"/>
        <w:rPr>
          <w:rFonts w:ascii="Gotham" w:hAnsi="Gotham" w:cs="Arial"/>
          <w:b/>
          <w:sz w:val="20"/>
          <w:szCs w:val="20"/>
        </w:rPr>
      </w:pPr>
    </w:p>
    <w:p w14:paraId="3A474BE2" w14:textId="77777777" w:rsidR="009B5E39" w:rsidRPr="000F73C8" w:rsidRDefault="009B5E39" w:rsidP="009B5E39">
      <w:pPr>
        <w:widowControl w:val="0"/>
        <w:tabs>
          <w:tab w:val="left" w:pos="942"/>
        </w:tabs>
        <w:autoSpaceDE w:val="0"/>
        <w:autoSpaceDN w:val="0"/>
        <w:ind w:left="284" w:right="283"/>
        <w:jc w:val="both"/>
        <w:rPr>
          <w:rFonts w:ascii="Gotham" w:hAnsi="Gotham" w:cs="Arial"/>
          <w:sz w:val="19"/>
          <w:szCs w:val="19"/>
        </w:rPr>
      </w:pPr>
      <w:r w:rsidRPr="00373CBD">
        <w:rPr>
          <w:rFonts w:ascii="Gotham" w:hAnsi="Gotham" w:cs="Arial"/>
          <w:b/>
          <w:sz w:val="19"/>
          <w:szCs w:val="19"/>
        </w:rPr>
        <w:t>Artículo 175.</w:t>
      </w:r>
      <w:r w:rsidRPr="000F73C8">
        <w:rPr>
          <w:rFonts w:ascii="Gotham" w:hAnsi="Gotham" w:cs="Arial"/>
          <w:sz w:val="19"/>
          <w:szCs w:val="19"/>
        </w:rPr>
        <w:t xml:space="preserve"> La construcción, protección, conservación y mantenimiento de las áreas verdes del Municipio corresponde a la Jefatura de Parques y Jardines, tomando en consideración criterios ambientales, así como, en su caso, la opinión técnica de la Dirección, siendo esta última la encargada de llevar a cabo la planeación y diseño de las áreas verdes municipales.</w:t>
      </w:r>
    </w:p>
    <w:p w14:paraId="3A474BE3" w14:textId="77777777" w:rsidR="009B5E39" w:rsidRPr="00687318" w:rsidRDefault="009B5E39" w:rsidP="009B5E39">
      <w:pPr>
        <w:jc w:val="both"/>
        <w:rPr>
          <w:rFonts w:ascii="Gotham" w:hAnsi="Gotham"/>
          <w:b/>
          <w:sz w:val="20"/>
          <w:szCs w:val="20"/>
        </w:rPr>
      </w:pPr>
    </w:p>
    <w:p w14:paraId="3A474BE4" w14:textId="77777777" w:rsidR="009B5E39" w:rsidRPr="00687318" w:rsidRDefault="009B5E39" w:rsidP="009B5E39">
      <w:pPr>
        <w:jc w:val="both"/>
        <w:rPr>
          <w:rFonts w:ascii="Gotham" w:hAnsi="Gotham"/>
          <w:b/>
          <w:sz w:val="20"/>
          <w:szCs w:val="20"/>
        </w:rPr>
      </w:pPr>
      <w:r w:rsidRPr="00687318">
        <w:rPr>
          <w:rFonts w:ascii="Gotham" w:hAnsi="Gotham"/>
          <w:b/>
          <w:sz w:val="20"/>
          <w:szCs w:val="20"/>
        </w:rPr>
        <w:t xml:space="preserve">Dice: </w:t>
      </w:r>
    </w:p>
    <w:p w14:paraId="3A474BE5" w14:textId="77777777" w:rsidR="009B5E39" w:rsidRPr="00687318" w:rsidRDefault="009B5E39" w:rsidP="009B5E39">
      <w:pPr>
        <w:jc w:val="both"/>
        <w:rPr>
          <w:rFonts w:ascii="Gotham" w:hAnsi="Gotham"/>
          <w:b/>
          <w:sz w:val="20"/>
          <w:szCs w:val="20"/>
        </w:rPr>
      </w:pPr>
    </w:p>
    <w:p w14:paraId="3A474BE6" w14:textId="77777777" w:rsidR="009B5E39" w:rsidRPr="000F73C8" w:rsidRDefault="009B5E39" w:rsidP="009B5E39">
      <w:pPr>
        <w:widowControl w:val="0"/>
        <w:tabs>
          <w:tab w:val="left" w:pos="942"/>
        </w:tabs>
        <w:autoSpaceDE w:val="0"/>
        <w:autoSpaceDN w:val="0"/>
        <w:ind w:left="284" w:right="283"/>
        <w:jc w:val="both"/>
        <w:rPr>
          <w:rFonts w:ascii="Gotham" w:hAnsi="Gotham" w:cs="Arial"/>
          <w:sz w:val="19"/>
          <w:szCs w:val="19"/>
        </w:rPr>
      </w:pPr>
      <w:r w:rsidRPr="00373CBD">
        <w:rPr>
          <w:rFonts w:ascii="Gotham" w:hAnsi="Gotham" w:cs="Arial"/>
          <w:b/>
          <w:sz w:val="19"/>
          <w:szCs w:val="19"/>
        </w:rPr>
        <w:t>Artículo 189.-</w:t>
      </w:r>
      <w:r w:rsidRPr="000F73C8">
        <w:rPr>
          <w:rFonts w:ascii="Gotham" w:hAnsi="Gotham" w:cs="Arial"/>
          <w:sz w:val="19"/>
          <w:szCs w:val="19"/>
        </w:rPr>
        <w:t xml:space="preserve"> La conservación, preservación, manejo y protección del arbolado urbano corresponde a la Dirección de Mejoramiento Urbano, a través de la Jefatura de Parques y Jardines, tomando en consideración criterios ambientales así como, en su caso, la opinión técnica de la Dirección de Gestión Ambiental, Cambio Climático y Sustentabilidad.</w:t>
      </w:r>
    </w:p>
    <w:p w14:paraId="3A474BE7" w14:textId="77777777" w:rsidR="009B5E39" w:rsidRPr="00F654C2" w:rsidRDefault="009B5E39" w:rsidP="009B5E39">
      <w:pPr>
        <w:jc w:val="both"/>
        <w:rPr>
          <w:rFonts w:ascii="Gotham" w:hAnsi="Gotham"/>
          <w:b/>
          <w:sz w:val="20"/>
          <w:szCs w:val="20"/>
        </w:rPr>
      </w:pPr>
    </w:p>
    <w:p w14:paraId="3A474BE8" w14:textId="77777777" w:rsidR="009B5E39" w:rsidRPr="00F654C2" w:rsidRDefault="009B5E39" w:rsidP="009B5E39">
      <w:pPr>
        <w:jc w:val="both"/>
        <w:rPr>
          <w:rFonts w:ascii="Gotham" w:hAnsi="Gotham"/>
          <w:b/>
          <w:sz w:val="20"/>
          <w:szCs w:val="20"/>
        </w:rPr>
      </w:pPr>
      <w:r w:rsidRPr="00F654C2">
        <w:rPr>
          <w:rFonts w:ascii="Gotham" w:hAnsi="Gotham"/>
          <w:b/>
          <w:sz w:val="20"/>
          <w:szCs w:val="20"/>
        </w:rPr>
        <w:t xml:space="preserve">Se propone modificar, debe decir: </w:t>
      </w:r>
    </w:p>
    <w:p w14:paraId="3A474BE9" w14:textId="77777777" w:rsidR="009B5E39" w:rsidRPr="00F654C2" w:rsidRDefault="009B5E39" w:rsidP="009B5E39">
      <w:pPr>
        <w:jc w:val="both"/>
        <w:rPr>
          <w:rFonts w:ascii="Gotham" w:hAnsi="Gotham"/>
          <w:b/>
          <w:sz w:val="20"/>
          <w:szCs w:val="20"/>
        </w:rPr>
      </w:pPr>
    </w:p>
    <w:p w14:paraId="3A474BEA" w14:textId="77777777" w:rsidR="009B5E39" w:rsidRPr="009D3332" w:rsidRDefault="009B5E39" w:rsidP="009B5E39">
      <w:pPr>
        <w:widowControl w:val="0"/>
        <w:tabs>
          <w:tab w:val="left" w:pos="942"/>
        </w:tabs>
        <w:autoSpaceDE w:val="0"/>
        <w:autoSpaceDN w:val="0"/>
        <w:ind w:left="284" w:right="283"/>
        <w:jc w:val="both"/>
        <w:rPr>
          <w:rFonts w:ascii="Gotham" w:hAnsi="Gotham" w:cs="Arial"/>
          <w:sz w:val="19"/>
          <w:szCs w:val="19"/>
        </w:rPr>
      </w:pPr>
      <w:r w:rsidRPr="009D3332">
        <w:rPr>
          <w:rFonts w:ascii="Gotham" w:hAnsi="Gotham" w:cs="Arial"/>
          <w:b/>
          <w:sz w:val="19"/>
          <w:szCs w:val="19"/>
        </w:rPr>
        <w:t>Artículo 189.-</w:t>
      </w:r>
      <w:r w:rsidRPr="009D3332">
        <w:rPr>
          <w:rFonts w:ascii="Gotham" w:hAnsi="Gotham" w:cs="Arial"/>
          <w:sz w:val="19"/>
          <w:szCs w:val="19"/>
        </w:rPr>
        <w:t xml:space="preserve"> La conservación, preservación, manejo y protección del arbolado urbano corresponde </w:t>
      </w:r>
      <w:r w:rsidRPr="009D3332">
        <w:rPr>
          <w:rFonts w:ascii="Gotham" w:hAnsi="Gotham" w:cs="Arial"/>
          <w:b/>
          <w:sz w:val="19"/>
          <w:szCs w:val="19"/>
        </w:rPr>
        <w:t>a la Jefatura de Parques y Jardines</w:t>
      </w:r>
      <w:r w:rsidRPr="009D3332">
        <w:rPr>
          <w:rFonts w:ascii="Gotham" w:hAnsi="Gotham" w:cs="Arial"/>
          <w:sz w:val="19"/>
          <w:szCs w:val="19"/>
        </w:rPr>
        <w:t>, tomando en consideración criterios ambientales así como, en su caso, la opinión técnica de la Dirección de Gestión Ambiental, Cambio Climático y Sustentabilidad.</w:t>
      </w:r>
    </w:p>
    <w:p w14:paraId="3A474BEB" w14:textId="77777777" w:rsidR="009B5E39" w:rsidRPr="009D3332" w:rsidRDefault="009B5E39" w:rsidP="009B5E39">
      <w:pPr>
        <w:jc w:val="both"/>
        <w:rPr>
          <w:rFonts w:ascii="Gotham" w:hAnsi="Gotham"/>
          <w:b/>
          <w:sz w:val="20"/>
          <w:szCs w:val="20"/>
        </w:rPr>
      </w:pPr>
    </w:p>
    <w:p w14:paraId="3A474BEC" w14:textId="77777777" w:rsidR="009B5E39" w:rsidRDefault="009B5E39" w:rsidP="009B5E39">
      <w:pPr>
        <w:jc w:val="both"/>
        <w:rPr>
          <w:rFonts w:ascii="Gotham" w:hAnsi="Gotham"/>
          <w:b/>
          <w:sz w:val="20"/>
          <w:szCs w:val="20"/>
        </w:rPr>
      </w:pPr>
      <w:r w:rsidRPr="009D3332">
        <w:rPr>
          <w:rFonts w:ascii="Gotham" w:hAnsi="Gotham"/>
          <w:b/>
          <w:sz w:val="20"/>
          <w:szCs w:val="20"/>
        </w:rPr>
        <w:t xml:space="preserve">Dice: </w:t>
      </w:r>
    </w:p>
    <w:p w14:paraId="3A474BED" w14:textId="77777777" w:rsidR="009B5E39" w:rsidRPr="009D3332" w:rsidRDefault="009B5E39" w:rsidP="009B5E39">
      <w:pPr>
        <w:jc w:val="both"/>
        <w:rPr>
          <w:rFonts w:ascii="Gotham" w:hAnsi="Gotham"/>
          <w:b/>
          <w:sz w:val="20"/>
          <w:szCs w:val="20"/>
        </w:rPr>
      </w:pPr>
    </w:p>
    <w:p w14:paraId="3A474BEE"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190.</w:t>
      </w:r>
      <w:r w:rsidRPr="002349B5">
        <w:rPr>
          <w:rFonts w:ascii="Gotham" w:hAnsi="Gotham" w:cs="Arial"/>
          <w:sz w:val="19"/>
          <w:szCs w:val="19"/>
        </w:rPr>
        <w:t xml:space="preserve"> Para el tratamiento, control y eliminación de plagas en el arbolado, deberá emplearse un manejo correctivo de plagas haciendo uso de agentes y técnicas de control bilógico mecánico, prescindiendo de químicos y considerando el uso de plaguicidas para situaciones de emergencia o riesgo, de conformidad a la capacidad presupuestaria.</w:t>
      </w:r>
    </w:p>
    <w:p w14:paraId="3A474BEF" w14:textId="77777777" w:rsidR="009B5E39" w:rsidRPr="004476DB" w:rsidRDefault="009B5E39" w:rsidP="009B5E39">
      <w:pPr>
        <w:jc w:val="both"/>
        <w:rPr>
          <w:rFonts w:ascii="Gotham" w:hAnsi="Gotham"/>
          <w:b/>
          <w:sz w:val="20"/>
          <w:szCs w:val="20"/>
        </w:rPr>
      </w:pPr>
    </w:p>
    <w:p w14:paraId="3A474BF0"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Se propone cambio, debe decir: </w:t>
      </w:r>
    </w:p>
    <w:p w14:paraId="3A474BF1" w14:textId="77777777" w:rsidR="009B5E39" w:rsidRPr="004476DB" w:rsidRDefault="009B5E39" w:rsidP="009B5E39">
      <w:pPr>
        <w:jc w:val="both"/>
        <w:rPr>
          <w:rFonts w:ascii="Gotham" w:hAnsi="Gotham"/>
          <w:b/>
          <w:sz w:val="20"/>
          <w:szCs w:val="20"/>
        </w:rPr>
      </w:pPr>
    </w:p>
    <w:p w14:paraId="3A474BF2"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190.</w:t>
      </w:r>
      <w:r w:rsidRPr="002349B5">
        <w:rPr>
          <w:rFonts w:ascii="Gotham" w:hAnsi="Gotham" w:cs="Arial"/>
          <w:sz w:val="19"/>
          <w:szCs w:val="19"/>
        </w:rPr>
        <w:t xml:space="preserve"> Para el tratamiento, control y eliminación de plagas en el arbolado, deberá emplearse un manejo correctivo de plagas haciendo uso de agentes y técnicas de control bilógico o mecánico, prescindiendo de químicos y considerando el uso de plaguicidas para situaciones de emergencia o riesgo, de conformidad a la capacidad presupuestaria.</w:t>
      </w:r>
    </w:p>
    <w:p w14:paraId="3A474BF3" w14:textId="77777777" w:rsidR="009B5E39" w:rsidRPr="004476DB" w:rsidRDefault="009B5E39" w:rsidP="009B5E39">
      <w:pPr>
        <w:jc w:val="both"/>
        <w:rPr>
          <w:rFonts w:ascii="Gotham" w:hAnsi="Gotham"/>
          <w:b/>
          <w:sz w:val="20"/>
          <w:szCs w:val="20"/>
        </w:rPr>
      </w:pPr>
    </w:p>
    <w:p w14:paraId="3A474BF4"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Dice: </w:t>
      </w:r>
    </w:p>
    <w:p w14:paraId="3A474BF5" w14:textId="77777777" w:rsidR="009B5E39" w:rsidRPr="004476DB" w:rsidRDefault="009B5E39" w:rsidP="009B5E39">
      <w:pPr>
        <w:jc w:val="both"/>
        <w:rPr>
          <w:rFonts w:ascii="Gotham" w:hAnsi="Gotham"/>
          <w:b/>
          <w:sz w:val="20"/>
          <w:szCs w:val="20"/>
        </w:rPr>
      </w:pPr>
    </w:p>
    <w:p w14:paraId="3A474BF6"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218.</w:t>
      </w:r>
      <w:r w:rsidRPr="002349B5">
        <w:rPr>
          <w:rFonts w:ascii="Gotham" w:hAnsi="Gotham" w:cs="Arial"/>
          <w:sz w:val="19"/>
          <w:szCs w:val="19"/>
        </w:rPr>
        <w:t xml:space="preserve"> Corresponde al parque una superficie de 84,535.50 metros cuadrados, mismo que cuenta con las siguientes estructuras: </w:t>
      </w:r>
    </w:p>
    <w:p w14:paraId="3A474BF7"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p>
    <w:p w14:paraId="3A474BF8"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w:t>
      </w:r>
      <w:r w:rsidRPr="002349B5">
        <w:rPr>
          <w:rFonts w:ascii="Gotham" w:hAnsi="Gotham" w:cs="Arial"/>
          <w:sz w:val="19"/>
          <w:szCs w:val="19"/>
        </w:rPr>
        <w:tab/>
        <w:t>Anfiteatro;</w:t>
      </w:r>
    </w:p>
    <w:p w14:paraId="3A474BF9"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II.</w:t>
      </w:r>
      <w:r w:rsidRPr="002349B5">
        <w:rPr>
          <w:rFonts w:ascii="Gotham" w:hAnsi="Gotham" w:cs="Arial"/>
          <w:sz w:val="19"/>
          <w:szCs w:val="19"/>
        </w:rPr>
        <w:tab/>
        <w:t>Baños;</w:t>
      </w:r>
    </w:p>
    <w:p w14:paraId="3A474BFA"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III.</w:t>
      </w:r>
      <w:r w:rsidRPr="002349B5">
        <w:rPr>
          <w:rFonts w:ascii="Gotham" w:hAnsi="Gotham" w:cs="Arial"/>
          <w:sz w:val="19"/>
          <w:szCs w:val="19"/>
        </w:rPr>
        <w:tab/>
        <w:t>Bodegas;</w:t>
      </w:r>
    </w:p>
    <w:p w14:paraId="3A474BFB"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IV.</w:t>
      </w:r>
      <w:r w:rsidRPr="002349B5">
        <w:rPr>
          <w:rFonts w:ascii="Gotham" w:hAnsi="Gotham" w:cs="Arial"/>
          <w:sz w:val="19"/>
          <w:szCs w:val="19"/>
        </w:rPr>
        <w:tab/>
        <w:t>Canchas de básquetbol;</w:t>
      </w:r>
    </w:p>
    <w:p w14:paraId="3A474BFC"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V.</w:t>
      </w:r>
      <w:r w:rsidRPr="002349B5">
        <w:rPr>
          <w:rFonts w:ascii="Gotham" w:hAnsi="Gotham" w:cs="Arial"/>
          <w:sz w:val="19"/>
          <w:szCs w:val="19"/>
        </w:rPr>
        <w:tab/>
        <w:t>Canchas de béisbol;</w:t>
      </w:r>
    </w:p>
    <w:p w14:paraId="3A474BFD"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VI.</w:t>
      </w:r>
      <w:r w:rsidRPr="002349B5">
        <w:rPr>
          <w:rFonts w:ascii="Gotham" w:hAnsi="Gotham" w:cs="Arial"/>
          <w:sz w:val="19"/>
          <w:szCs w:val="19"/>
        </w:rPr>
        <w:tab/>
        <w:t>Canchas de fútbol;</w:t>
      </w:r>
    </w:p>
    <w:p w14:paraId="3A474BFE"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VII.</w:t>
      </w:r>
      <w:r w:rsidRPr="002349B5">
        <w:rPr>
          <w:rFonts w:ascii="Gotham" w:hAnsi="Gotham" w:cs="Arial"/>
          <w:sz w:val="19"/>
          <w:szCs w:val="19"/>
        </w:rPr>
        <w:tab/>
        <w:t>Estacionamiento;</w:t>
      </w:r>
    </w:p>
    <w:p w14:paraId="3A474BFF"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lastRenderedPageBreak/>
        <w:t>VIII.</w:t>
      </w:r>
      <w:r w:rsidRPr="002349B5">
        <w:rPr>
          <w:rFonts w:ascii="Gotham" w:hAnsi="Gotham" w:cs="Arial"/>
          <w:sz w:val="19"/>
          <w:szCs w:val="19"/>
        </w:rPr>
        <w:tab/>
        <w:t>Estructuras de juegos y nacimiento gigante;</w:t>
      </w:r>
    </w:p>
    <w:p w14:paraId="3A474C00"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IX.</w:t>
      </w:r>
      <w:r w:rsidRPr="002349B5">
        <w:rPr>
          <w:rFonts w:ascii="Gotham" w:hAnsi="Gotham" w:cs="Arial"/>
          <w:sz w:val="19"/>
          <w:szCs w:val="19"/>
        </w:rPr>
        <w:tab/>
        <w:t>Palenque; y</w:t>
      </w:r>
    </w:p>
    <w:p w14:paraId="3A474C01" w14:textId="77777777" w:rsidR="009B5E39" w:rsidRPr="002349B5" w:rsidRDefault="009B5E39" w:rsidP="009B5E39">
      <w:pPr>
        <w:widowControl w:val="0"/>
        <w:autoSpaceDE w:val="0"/>
        <w:autoSpaceDN w:val="0"/>
        <w:ind w:left="1134" w:right="283" w:hanging="850"/>
        <w:jc w:val="both"/>
        <w:rPr>
          <w:rFonts w:ascii="Gotham" w:hAnsi="Gotham" w:cs="Arial"/>
          <w:sz w:val="19"/>
          <w:szCs w:val="19"/>
        </w:rPr>
      </w:pPr>
      <w:r w:rsidRPr="002349B5">
        <w:rPr>
          <w:rFonts w:ascii="Gotham" w:hAnsi="Gotham" w:cs="Arial"/>
          <w:sz w:val="19"/>
          <w:szCs w:val="19"/>
        </w:rPr>
        <w:t>X.</w:t>
      </w:r>
      <w:r w:rsidRPr="002349B5">
        <w:rPr>
          <w:rFonts w:ascii="Gotham" w:hAnsi="Gotham" w:cs="Arial"/>
          <w:sz w:val="19"/>
          <w:szCs w:val="19"/>
        </w:rPr>
        <w:tab/>
        <w:t>Vivero municipal.</w:t>
      </w:r>
    </w:p>
    <w:p w14:paraId="3A474C02" w14:textId="77777777" w:rsidR="009B5E39" w:rsidRPr="004476DB" w:rsidRDefault="009B5E39" w:rsidP="009B5E39">
      <w:pPr>
        <w:jc w:val="both"/>
        <w:rPr>
          <w:rFonts w:ascii="Gotham" w:hAnsi="Gotham"/>
          <w:b/>
          <w:sz w:val="20"/>
          <w:szCs w:val="20"/>
        </w:rPr>
      </w:pPr>
    </w:p>
    <w:p w14:paraId="3A474C03"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Se propone modificar, debe decir: </w:t>
      </w:r>
    </w:p>
    <w:p w14:paraId="3A474C04" w14:textId="77777777" w:rsidR="009B5E39" w:rsidRPr="004476DB" w:rsidRDefault="009B5E39" w:rsidP="009B5E39">
      <w:pPr>
        <w:jc w:val="both"/>
        <w:rPr>
          <w:rFonts w:ascii="Gotham" w:hAnsi="Gotham"/>
          <w:b/>
          <w:sz w:val="20"/>
          <w:szCs w:val="20"/>
        </w:rPr>
      </w:pPr>
    </w:p>
    <w:p w14:paraId="3A474C05"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218.</w:t>
      </w:r>
      <w:r w:rsidRPr="002349B5">
        <w:rPr>
          <w:rFonts w:ascii="Gotham" w:hAnsi="Gotham" w:cs="Arial"/>
          <w:sz w:val="19"/>
          <w:szCs w:val="19"/>
        </w:rPr>
        <w:t xml:space="preserve"> Corresponde al parque una superficie de 84,535.50 metros cuadrados, mismo que cuenta con las siguientes estructuras: </w:t>
      </w:r>
    </w:p>
    <w:p w14:paraId="3A474C06"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p>
    <w:p w14:paraId="3A474C07"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w:t>
      </w:r>
      <w:r w:rsidRPr="002349B5">
        <w:rPr>
          <w:rFonts w:ascii="Gotham" w:hAnsi="Gotham" w:cs="Arial"/>
          <w:sz w:val="19"/>
          <w:szCs w:val="19"/>
        </w:rPr>
        <w:tab/>
        <w:t>Anfiteatro;</w:t>
      </w:r>
    </w:p>
    <w:p w14:paraId="3A474C08"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II.</w:t>
      </w:r>
      <w:r w:rsidRPr="002349B5">
        <w:rPr>
          <w:rFonts w:ascii="Gotham" w:hAnsi="Gotham" w:cs="Arial"/>
          <w:sz w:val="19"/>
          <w:szCs w:val="19"/>
        </w:rPr>
        <w:tab/>
        <w:t>Baños;</w:t>
      </w:r>
    </w:p>
    <w:p w14:paraId="3A474C09"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III.</w:t>
      </w:r>
      <w:r w:rsidRPr="002349B5">
        <w:rPr>
          <w:rFonts w:ascii="Gotham" w:hAnsi="Gotham" w:cs="Arial"/>
          <w:sz w:val="19"/>
          <w:szCs w:val="19"/>
        </w:rPr>
        <w:tab/>
        <w:t>Bodegas;</w:t>
      </w:r>
    </w:p>
    <w:p w14:paraId="3A474C0A"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IV.</w:t>
      </w:r>
      <w:r w:rsidRPr="002349B5">
        <w:rPr>
          <w:rFonts w:ascii="Gotham" w:hAnsi="Gotham" w:cs="Arial"/>
          <w:sz w:val="19"/>
          <w:szCs w:val="19"/>
        </w:rPr>
        <w:tab/>
        <w:t>Canchas de básquetbol;</w:t>
      </w:r>
    </w:p>
    <w:p w14:paraId="3A474C0B"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V.</w:t>
      </w:r>
      <w:r w:rsidRPr="002349B5">
        <w:rPr>
          <w:rFonts w:ascii="Gotham" w:hAnsi="Gotham" w:cs="Arial"/>
          <w:sz w:val="19"/>
          <w:szCs w:val="19"/>
        </w:rPr>
        <w:tab/>
        <w:t>Canchas de béisbol;</w:t>
      </w:r>
    </w:p>
    <w:p w14:paraId="3A474C0C"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VI.</w:t>
      </w:r>
      <w:r w:rsidRPr="002349B5">
        <w:rPr>
          <w:rFonts w:ascii="Gotham" w:hAnsi="Gotham" w:cs="Arial"/>
          <w:sz w:val="19"/>
          <w:szCs w:val="19"/>
        </w:rPr>
        <w:tab/>
        <w:t>Canchas de fútbol;</w:t>
      </w:r>
    </w:p>
    <w:p w14:paraId="3A474C0D"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VII.</w:t>
      </w:r>
      <w:r w:rsidRPr="002349B5">
        <w:rPr>
          <w:rFonts w:ascii="Gotham" w:hAnsi="Gotham" w:cs="Arial"/>
          <w:sz w:val="19"/>
          <w:szCs w:val="19"/>
        </w:rPr>
        <w:tab/>
        <w:t>Estacionamiento;</w:t>
      </w:r>
    </w:p>
    <w:p w14:paraId="3A474C0E"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VIII.</w:t>
      </w:r>
      <w:r w:rsidRPr="002349B5">
        <w:rPr>
          <w:rFonts w:ascii="Gotham" w:hAnsi="Gotham" w:cs="Arial"/>
          <w:sz w:val="19"/>
          <w:szCs w:val="19"/>
        </w:rPr>
        <w:tab/>
        <w:t>Estructuras de juegos y nacimiento gigante;</w:t>
      </w:r>
    </w:p>
    <w:p w14:paraId="3A474C0F" w14:textId="77777777" w:rsidR="009B5E39" w:rsidRPr="002349B5" w:rsidRDefault="009B5E39" w:rsidP="009B5E39">
      <w:pPr>
        <w:widowControl w:val="0"/>
        <w:autoSpaceDE w:val="0"/>
        <w:autoSpaceDN w:val="0"/>
        <w:spacing w:after="80"/>
        <w:ind w:left="1134" w:right="283" w:hanging="850"/>
        <w:jc w:val="both"/>
        <w:rPr>
          <w:rFonts w:ascii="Gotham" w:hAnsi="Gotham" w:cs="Arial"/>
          <w:sz w:val="19"/>
          <w:szCs w:val="19"/>
        </w:rPr>
      </w:pPr>
      <w:r w:rsidRPr="002349B5">
        <w:rPr>
          <w:rFonts w:ascii="Gotham" w:hAnsi="Gotham" w:cs="Arial"/>
          <w:sz w:val="19"/>
          <w:szCs w:val="19"/>
        </w:rPr>
        <w:t>IX.</w:t>
      </w:r>
      <w:r w:rsidRPr="002349B5">
        <w:rPr>
          <w:rFonts w:ascii="Gotham" w:hAnsi="Gotham" w:cs="Arial"/>
          <w:sz w:val="19"/>
          <w:szCs w:val="19"/>
        </w:rPr>
        <w:tab/>
        <w:t>Palenque; y</w:t>
      </w:r>
    </w:p>
    <w:p w14:paraId="3A474C10" w14:textId="77777777" w:rsidR="009B5E39" w:rsidRPr="002349B5" w:rsidRDefault="009B5E39" w:rsidP="009B5E39">
      <w:pPr>
        <w:widowControl w:val="0"/>
        <w:autoSpaceDE w:val="0"/>
        <w:autoSpaceDN w:val="0"/>
        <w:ind w:left="1134" w:right="283" w:hanging="850"/>
        <w:jc w:val="both"/>
        <w:rPr>
          <w:rFonts w:ascii="Gotham" w:hAnsi="Gotham" w:cs="Arial"/>
          <w:sz w:val="19"/>
          <w:szCs w:val="19"/>
        </w:rPr>
      </w:pPr>
      <w:r w:rsidRPr="002349B5">
        <w:rPr>
          <w:rFonts w:ascii="Gotham" w:hAnsi="Gotham" w:cs="Arial"/>
          <w:sz w:val="19"/>
          <w:szCs w:val="19"/>
        </w:rPr>
        <w:t>X.</w:t>
      </w:r>
      <w:r w:rsidRPr="002349B5">
        <w:rPr>
          <w:rFonts w:ascii="Gotham" w:hAnsi="Gotham" w:cs="Arial"/>
          <w:sz w:val="19"/>
          <w:szCs w:val="19"/>
        </w:rPr>
        <w:tab/>
        <w:t>Vivero municipal.</w:t>
      </w:r>
    </w:p>
    <w:p w14:paraId="3A474C11" w14:textId="77777777" w:rsidR="009B5E39" w:rsidRPr="004476DB" w:rsidRDefault="009B5E39" w:rsidP="009B5E39">
      <w:pPr>
        <w:jc w:val="both"/>
        <w:rPr>
          <w:rFonts w:ascii="Gotham" w:hAnsi="Gotham"/>
          <w:b/>
          <w:sz w:val="20"/>
          <w:szCs w:val="20"/>
        </w:rPr>
      </w:pPr>
    </w:p>
    <w:p w14:paraId="3A474C12" w14:textId="77777777" w:rsidR="009B5E39" w:rsidRPr="004476DB" w:rsidRDefault="009B5E39" w:rsidP="009B5E39">
      <w:pPr>
        <w:jc w:val="both"/>
        <w:rPr>
          <w:rFonts w:ascii="Gotham" w:hAnsi="Gotham"/>
          <w:b/>
          <w:sz w:val="20"/>
          <w:szCs w:val="20"/>
        </w:rPr>
      </w:pPr>
      <w:r w:rsidRPr="004476DB">
        <w:rPr>
          <w:rFonts w:ascii="Gotham" w:hAnsi="Gotham"/>
          <w:b/>
          <w:sz w:val="20"/>
          <w:szCs w:val="20"/>
        </w:rPr>
        <w:t>Dice:</w:t>
      </w:r>
    </w:p>
    <w:p w14:paraId="3A474C13" w14:textId="77777777" w:rsidR="009B5E39" w:rsidRPr="004476DB" w:rsidRDefault="009B5E39" w:rsidP="009B5E39">
      <w:pPr>
        <w:jc w:val="both"/>
        <w:rPr>
          <w:rFonts w:ascii="Gotham" w:hAnsi="Gotham"/>
          <w:b/>
          <w:sz w:val="20"/>
          <w:szCs w:val="20"/>
        </w:rPr>
      </w:pPr>
    </w:p>
    <w:p w14:paraId="3A474C14"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231.</w:t>
      </w:r>
      <w:r w:rsidRPr="002349B5">
        <w:rPr>
          <w:rFonts w:ascii="Gotham" w:hAnsi="Gotham" w:cs="Arial"/>
          <w:sz w:val="19"/>
          <w:szCs w:val="19"/>
        </w:rPr>
        <w:t xml:space="preserve"> Todo usuario deberá hacer el pago correspondiente por el uso del estacionamiento. </w:t>
      </w:r>
    </w:p>
    <w:p w14:paraId="3A474C15" w14:textId="77777777" w:rsidR="009B5E39" w:rsidRPr="004476DB" w:rsidRDefault="009B5E39" w:rsidP="009B5E39">
      <w:pPr>
        <w:jc w:val="both"/>
        <w:rPr>
          <w:rFonts w:ascii="Gotham" w:hAnsi="Gotham"/>
          <w:b/>
          <w:sz w:val="20"/>
          <w:szCs w:val="20"/>
        </w:rPr>
      </w:pPr>
    </w:p>
    <w:p w14:paraId="3A474C16"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Debe decir: </w:t>
      </w:r>
    </w:p>
    <w:p w14:paraId="3A474C17" w14:textId="77777777" w:rsidR="009B5E39" w:rsidRPr="004476DB" w:rsidRDefault="009B5E39" w:rsidP="009B5E39">
      <w:pPr>
        <w:jc w:val="both"/>
        <w:rPr>
          <w:rFonts w:ascii="Gotham" w:hAnsi="Gotham"/>
          <w:b/>
          <w:sz w:val="20"/>
          <w:szCs w:val="20"/>
        </w:rPr>
      </w:pPr>
    </w:p>
    <w:p w14:paraId="3A474C18"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231.</w:t>
      </w:r>
      <w:r w:rsidRPr="002349B5">
        <w:rPr>
          <w:rFonts w:ascii="Gotham" w:hAnsi="Gotham" w:cs="Arial"/>
          <w:sz w:val="19"/>
          <w:szCs w:val="19"/>
        </w:rPr>
        <w:t xml:space="preserve"> Todo usuario que deseé ingresar en vehículo y utilizar el área de estacionamiento, deberá hacer el pago correspondiente por el uso de este. </w:t>
      </w:r>
    </w:p>
    <w:p w14:paraId="3A474C19" w14:textId="77777777" w:rsidR="009B5E39" w:rsidRPr="004476DB" w:rsidRDefault="009B5E39" w:rsidP="009B5E39">
      <w:pPr>
        <w:jc w:val="both"/>
        <w:rPr>
          <w:rFonts w:ascii="Gotham" w:hAnsi="Gotham"/>
          <w:b/>
          <w:sz w:val="20"/>
          <w:szCs w:val="20"/>
        </w:rPr>
      </w:pPr>
    </w:p>
    <w:p w14:paraId="3A474C1A"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Dice: </w:t>
      </w:r>
    </w:p>
    <w:p w14:paraId="3A474C1B" w14:textId="77777777" w:rsidR="009B5E39" w:rsidRPr="004476DB" w:rsidRDefault="009B5E39" w:rsidP="009B5E39">
      <w:pPr>
        <w:jc w:val="both"/>
        <w:rPr>
          <w:rFonts w:ascii="Gotham" w:hAnsi="Gotham"/>
          <w:b/>
          <w:sz w:val="20"/>
          <w:szCs w:val="20"/>
        </w:rPr>
      </w:pPr>
    </w:p>
    <w:p w14:paraId="3A474C1C"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227.</w:t>
      </w:r>
      <w:r w:rsidRPr="002349B5">
        <w:rPr>
          <w:rFonts w:ascii="Gotham" w:hAnsi="Gotham" w:cs="Arial"/>
          <w:sz w:val="19"/>
          <w:szCs w:val="19"/>
        </w:rPr>
        <w:t xml:space="preserve"> El parque no se hace responsable por accidentes o percances de cualquier índole, ni por objetos o pertenencias olvidadas, extraviadas o sustraídas.</w:t>
      </w:r>
    </w:p>
    <w:p w14:paraId="3A474C1D" w14:textId="77777777" w:rsidR="009B5E39" w:rsidRPr="004476DB" w:rsidRDefault="009B5E39" w:rsidP="009B5E39">
      <w:pPr>
        <w:jc w:val="both"/>
        <w:rPr>
          <w:rFonts w:ascii="Gotham" w:hAnsi="Gotham"/>
          <w:b/>
          <w:sz w:val="20"/>
          <w:szCs w:val="20"/>
        </w:rPr>
      </w:pPr>
    </w:p>
    <w:p w14:paraId="3A474C1E"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Debe decir: </w:t>
      </w:r>
    </w:p>
    <w:p w14:paraId="3A474C1F" w14:textId="77777777" w:rsidR="009B5E39" w:rsidRPr="004476DB" w:rsidRDefault="009B5E39" w:rsidP="009B5E39">
      <w:pPr>
        <w:jc w:val="both"/>
        <w:rPr>
          <w:rFonts w:ascii="Gotham" w:hAnsi="Gotham"/>
          <w:b/>
          <w:sz w:val="20"/>
          <w:szCs w:val="20"/>
        </w:rPr>
      </w:pPr>
    </w:p>
    <w:p w14:paraId="3A474C20"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227.</w:t>
      </w:r>
      <w:r w:rsidRPr="002349B5">
        <w:rPr>
          <w:rFonts w:ascii="Gotham" w:hAnsi="Gotham" w:cs="Arial"/>
          <w:sz w:val="19"/>
          <w:szCs w:val="19"/>
        </w:rPr>
        <w:t xml:space="preserve"> La Dirección no se hace responsable por accidentes o percances de cualquier índole, ni por objetos o pertenencias olvidadas, extraviadas o sustraídas.</w:t>
      </w:r>
    </w:p>
    <w:p w14:paraId="3A474C21" w14:textId="77777777" w:rsidR="009B5E39" w:rsidRPr="004476DB" w:rsidRDefault="009B5E39" w:rsidP="009B5E39">
      <w:pPr>
        <w:jc w:val="both"/>
        <w:rPr>
          <w:rFonts w:ascii="Gotham" w:hAnsi="Gotham"/>
          <w:b/>
          <w:sz w:val="20"/>
          <w:szCs w:val="20"/>
        </w:rPr>
      </w:pPr>
    </w:p>
    <w:p w14:paraId="3A474C22"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Dice: </w:t>
      </w:r>
    </w:p>
    <w:p w14:paraId="3A474C23" w14:textId="77777777" w:rsidR="009B5E39" w:rsidRPr="004476DB" w:rsidRDefault="009B5E39" w:rsidP="009B5E39">
      <w:pPr>
        <w:jc w:val="both"/>
        <w:rPr>
          <w:rFonts w:ascii="Gotham" w:hAnsi="Gotham"/>
          <w:b/>
          <w:sz w:val="20"/>
          <w:szCs w:val="20"/>
        </w:rPr>
      </w:pPr>
    </w:p>
    <w:p w14:paraId="3A474C24"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233.</w:t>
      </w:r>
      <w:r w:rsidRPr="002349B5">
        <w:rPr>
          <w:rFonts w:ascii="Gotham" w:hAnsi="Gotham" w:cs="Arial"/>
          <w:sz w:val="19"/>
          <w:szCs w:val="19"/>
        </w:rPr>
        <w:t xml:space="preserve"> Se prohíbe a los usuarios dañar la flora y fauna del parque, así como introducir vegetación ajena al mismo, con la excepción de que se cuente con autorización por escrito de la Dirección.</w:t>
      </w:r>
    </w:p>
    <w:p w14:paraId="3A474C25" w14:textId="77777777" w:rsidR="009B5E39" w:rsidRPr="004476DB" w:rsidRDefault="009B5E39" w:rsidP="009B5E39">
      <w:pPr>
        <w:jc w:val="both"/>
        <w:rPr>
          <w:rFonts w:ascii="Gotham" w:hAnsi="Gotham"/>
          <w:b/>
          <w:sz w:val="20"/>
          <w:szCs w:val="20"/>
        </w:rPr>
      </w:pPr>
    </w:p>
    <w:p w14:paraId="3A474C26"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Debe decir: </w:t>
      </w:r>
    </w:p>
    <w:p w14:paraId="3A474C27" w14:textId="77777777" w:rsidR="009B5E39" w:rsidRPr="004476DB" w:rsidRDefault="009B5E39" w:rsidP="009B5E39">
      <w:pPr>
        <w:jc w:val="both"/>
        <w:rPr>
          <w:rFonts w:ascii="Gotham" w:hAnsi="Gotham"/>
          <w:b/>
          <w:sz w:val="20"/>
          <w:szCs w:val="20"/>
        </w:rPr>
      </w:pPr>
    </w:p>
    <w:p w14:paraId="3A474C28"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b/>
          <w:sz w:val="19"/>
          <w:szCs w:val="19"/>
        </w:rPr>
        <w:t>Artículo 233.-</w:t>
      </w:r>
      <w:r w:rsidRPr="002349B5">
        <w:rPr>
          <w:rFonts w:ascii="Gotham" w:hAnsi="Gotham" w:cs="Arial"/>
          <w:sz w:val="19"/>
          <w:szCs w:val="19"/>
        </w:rPr>
        <w:t xml:space="preserve"> Se prohíbe a los usuarios dañar la flora y fauna del parque, así como introducir </w:t>
      </w:r>
      <w:r w:rsidRPr="002349B5">
        <w:rPr>
          <w:rFonts w:ascii="Gotham" w:hAnsi="Gotham" w:cs="Arial"/>
          <w:i/>
          <w:sz w:val="19"/>
          <w:szCs w:val="19"/>
        </w:rPr>
        <w:t>vegetación y fauna</w:t>
      </w:r>
      <w:r w:rsidRPr="002349B5">
        <w:rPr>
          <w:rFonts w:ascii="Gotham" w:hAnsi="Gotham" w:cs="Arial"/>
          <w:sz w:val="19"/>
          <w:szCs w:val="19"/>
        </w:rPr>
        <w:t xml:space="preserve"> ajena al mismo, con la excepción de que se cuente con autorización por escrito de la Dirección.</w:t>
      </w:r>
    </w:p>
    <w:p w14:paraId="3A474C29" w14:textId="77777777" w:rsidR="009B5E39" w:rsidRPr="004476DB" w:rsidRDefault="009B5E39" w:rsidP="009B5E39">
      <w:pPr>
        <w:jc w:val="both"/>
        <w:rPr>
          <w:rFonts w:ascii="Gotham" w:hAnsi="Gotham"/>
          <w:b/>
          <w:sz w:val="20"/>
          <w:szCs w:val="20"/>
        </w:rPr>
      </w:pPr>
    </w:p>
    <w:p w14:paraId="3A474C2A" w14:textId="77777777" w:rsidR="009B5E39" w:rsidRPr="004476DB" w:rsidRDefault="009B5E39" w:rsidP="009B5E39">
      <w:pPr>
        <w:jc w:val="both"/>
        <w:rPr>
          <w:rFonts w:ascii="Gotham" w:hAnsi="Gotham"/>
          <w:b/>
          <w:sz w:val="20"/>
          <w:szCs w:val="20"/>
        </w:rPr>
      </w:pPr>
      <w:r w:rsidRPr="004476DB">
        <w:rPr>
          <w:rFonts w:ascii="Gotham" w:hAnsi="Gotham"/>
          <w:b/>
          <w:sz w:val="20"/>
          <w:szCs w:val="20"/>
        </w:rPr>
        <w:t xml:space="preserve">Se sugiere adicionar, asignándole el número que corresponda: </w:t>
      </w:r>
    </w:p>
    <w:p w14:paraId="3A474C2B" w14:textId="77777777" w:rsidR="009B5E39" w:rsidRPr="004476DB" w:rsidRDefault="009B5E39" w:rsidP="009B5E39">
      <w:pPr>
        <w:jc w:val="both"/>
        <w:rPr>
          <w:rFonts w:ascii="Gotham" w:hAnsi="Gotham"/>
          <w:b/>
          <w:sz w:val="20"/>
          <w:szCs w:val="20"/>
        </w:rPr>
      </w:pPr>
    </w:p>
    <w:p w14:paraId="3A474C2C" w14:textId="77777777" w:rsidR="009B5E39" w:rsidRPr="002349B5" w:rsidRDefault="009B5E39" w:rsidP="009B5E39">
      <w:pPr>
        <w:widowControl w:val="0"/>
        <w:tabs>
          <w:tab w:val="left" w:pos="942"/>
        </w:tabs>
        <w:autoSpaceDE w:val="0"/>
        <w:autoSpaceDN w:val="0"/>
        <w:ind w:left="284" w:right="283"/>
        <w:jc w:val="center"/>
        <w:rPr>
          <w:rFonts w:ascii="Gotham" w:hAnsi="Gotham" w:cs="Arial"/>
          <w:b/>
          <w:sz w:val="19"/>
          <w:szCs w:val="19"/>
        </w:rPr>
      </w:pPr>
      <w:r w:rsidRPr="002349B5">
        <w:rPr>
          <w:rFonts w:ascii="Gotham" w:hAnsi="Gotham" w:cs="Arial"/>
          <w:b/>
          <w:sz w:val="19"/>
          <w:szCs w:val="19"/>
        </w:rPr>
        <w:t>CAPÍTULO IV.  De La Forestación Y Reforestación:</w:t>
      </w:r>
    </w:p>
    <w:p w14:paraId="3A474C2D"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p>
    <w:p w14:paraId="3A474C2E"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sz w:val="19"/>
          <w:szCs w:val="19"/>
        </w:rPr>
        <w:t>Cuando se va a llevar a cabo una plantación dentro del municipio por una acción urbanística, la paleta vegetal deberá de seguir, como mínimo, la siguiente función: 60 al 70 % de los individuos forestales deberán ser endémicos y/o nativos del México. Misma que deberá ser previamente autorizada por la Dirección.</w:t>
      </w:r>
    </w:p>
    <w:p w14:paraId="3A474C2F"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p>
    <w:p w14:paraId="3A474C30"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sz w:val="19"/>
          <w:szCs w:val="19"/>
        </w:rPr>
        <w:t xml:space="preserve">Cualquier proyecto paisajístico que requiera visto bueno, pasará por un proceso de análisis o estudio y será aprobada o rechazada, según sea el caso, por la Dirección. </w:t>
      </w:r>
    </w:p>
    <w:p w14:paraId="3A474C31" w14:textId="77777777" w:rsidR="009B5E39" w:rsidRDefault="009B5E39" w:rsidP="009B5E39">
      <w:pPr>
        <w:widowControl w:val="0"/>
        <w:tabs>
          <w:tab w:val="left" w:pos="942"/>
        </w:tabs>
        <w:autoSpaceDE w:val="0"/>
        <w:autoSpaceDN w:val="0"/>
        <w:ind w:left="284" w:right="283"/>
        <w:jc w:val="both"/>
        <w:rPr>
          <w:rFonts w:ascii="Gotham" w:hAnsi="Gotham" w:cs="Arial"/>
          <w:sz w:val="19"/>
          <w:szCs w:val="19"/>
        </w:rPr>
      </w:pPr>
    </w:p>
    <w:p w14:paraId="3A474C32" w14:textId="77777777" w:rsidR="009B5E39" w:rsidRPr="00E813DD" w:rsidRDefault="009B5E39" w:rsidP="009B5E39">
      <w:pPr>
        <w:widowControl w:val="0"/>
        <w:tabs>
          <w:tab w:val="left" w:pos="942"/>
        </w:tabs>
        <w:autoSpaceDE w:val="0"/>
        <w:autoSpaceDN w:val="0"/>
        <w:ind w:left="284" w:right="283"/>
        <w:jc w:val="both"/>
        <w:rPr>
          <w:rFonts w:ascii="Gotham" w:hAnsi="Gotham" w:cs="Arial"/>
          <w:sz w:val="19"/>
          <w:szCs w:val="19"/>
        </w:rPr>
      </w:pPr>
    </w:p>
    <w:p w14:paraId="3A474C33" w14:textId="77777777" w:rsidR="009B5E39" w:rsidRPr="002349B5" w:rsidRDefault="009B5E39" w:rsidP="009B5E39">
      <w:pPr>
        <w:jc w:val="center"/>
        <w:rPr>
          <w:rFonts w:ascii="Gotham" w:hAnsi="Gotham" w:cs="Arial"/>
          <w:b/>
          <w:sz w:val="19"/>
          <w:szCs w:val="19"/>
        </w:rPr>
      </w:pPr>
      <w:r w:rsidRPr="002349B5">
        <w:rPr>
          <w:rFonts w:ascii="Gotham" w:hAnsi="Gotham" w:cs="Arial"/>
          <w:b/>
          <w:sz w:val="19"/>
          <w:szCs w:val="19"/>
        </w:rPr>
        <w:t>TRANSITORIOS</w:t>
      </w:r>
    </w:p>
    <w:p w14:paraId="3A474C34" w14:textId="77777777" w:rsidR="009B5E39" w:rsidRPr="002349B5" w:rsidRDefault="009B5E39" w:rsidP="009B5E39">
      <w:pPr>
        <w:jc w:val="center"/>
        <w:rPr>
          <w:rFonts w:ascii="Gotham" w:hAnsi="Gotham" w:cs="Arial"/>
          <w:b/>
          <w:sz w:val="19"/>
          <w:szCs w:val="19"/>
        </w:rPr>
      </w:pPr>
    </w:p>
    <w:p w14:paraId="3A474C35"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sz w:val="19"/>
          <w:szCs w:val="19"/>
        </w:rPr>
        <w:t xml:space="preserve">PRIMERO. </w:t>
      </w:r>
      <w:r w:rsidRPr="003D1DA7">
        <w:rPr>
          <w:rFonts w:ascii="Gotham" w:hAnsi="Gotham" w:cs="Arial"/>
          <w:sz w:val="19"/>
          <w:szCs w:val="19"/>
        </w:rPr>
        <w:t>Las presentes reformas</w:t>
      </w:r>
      <w:r w:rsidRPr="002349B5">
        <w:rPr>
          <w:rFonts w:ascii="Gotham" w:hAnsi="Gotham" w:cs="Arial"/>
          <w:sz w:val="19"/>
          <w:szCs w:val="19"/>
        </w:rPr>
        <w:t xml:space="preserve"> entrará</w:t>
      </w:r>
      <w:r>
        <w:rPr>
          <w:rFonts w:ascii="Gotham" w:hAnsi="Gotham" w:cs="Arial"/>
          <w:sz w:val="19"/>
          <w:szCs w:val="19"/>
        </w:rPr>
        <w:t>n</w:t>
      </w:r>
      <w:r w:rsidRPr="002349B5">
        <w:rPr>
          <w:rFonts w:ascii="Gotham" w:hAnsi="Gotham" w:cs="Arial"/>
          <w:sz w:val="19"/>
          <w:szCs w:val="19"/>
        </w:rPr>
        <w:t>, en vigor una al día siguiente de su publicación en la gaceta Municipal Tlahtolli.</w:t>
      </w:r>
    </w:p>
    <w:p w14:paraId="3A474C36"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p>
    <w:p w14:paraId="3A474C37" w14:textId="77777777" w:rsidR="009B5E39" w:rsidRPr="002349B5" w:rsidRDefault="009B5E39" w:rsidP="009B5E39">
      <w:pPr>
        <w:widowControl w:val="0"/>
        <w:tabs>
          <w:tab w:val="left" w:pos="942"/>
        </w:tabs>
        <w:autoSpaceDE w:val="0"/>
        <w:autoSpaceDN w:val="0"/>
        <w:ind w:left="284" w:right="283"/>
        <w:jc w:val="both"/>
        <w:rPr>
          <w:rFonts w:ascii="Gotham" w:hAnsi="Gotham" w:cs="Arial"/>
          <w:sz w:val="19"/>
          <w:szCs w:val="19"/>
        </w:rPr>
      </w:pPr>
      <w:r w:rsidRPr="002349B5">
        <w:rPr>
          <w:rFonts w:ascii="Gotham" w:hAnsi="Gotham" w:cs="Arial"/>
          <w:sz w:val="19"/>
          <w:szCs w:val="19"/>
        </w:rPr>
        <w:t xml:space="preserve">SEGUNDO. Remítase el presente Reglamento al C. Presidente Municipal, para los efectos de su obligatoria promulgación y publicación, de conformidad con el artículo 42 fracción IV de la Ley del Gobierno y la Administración Pública Municipal del Estado de Jalisco.    </w:t>
      </w:r>
    </w:p>
    <w:p w14:paraId="3A474C38" w14:textId="77777777" w:rsidR="009B5E39" w:rsidRPr="009A1DE0" w:rsidRDefault="009B5E39" w:rsidP="009B5E39">
      <w:pPr>
        <w:jc w:val="both"/>
        <w:rPr>
          <w:rFonts w:ascii="Gotham" w:hAnsi="Gotham"/>
          <w:b/>
          <w:sz w:val="20"/>
          <w:szCs w:val="20"/>
        </w:rPr>
      </w:pPr>
    </w:p>
    <w:p w14:paraId="3A474C39" w14:textId="77777777" w:rsidR="009B5E39" w:rsidRPr="009A1DE0" w:rsidRDefault="009B5E39" w:rsidP="009B5E39">
      <w:pPr>
        <w:jc w:val="both"/>
        <w:rPr>
          <w:rFonts w:ascii="Gotham" w:hAnsi="Gotham"/>
          <w:b/>
          <w:sz w:val="20"/>
          <w:szCs w:val="20"/>
        </w:rPr>
      </w:pPr>
      <w:r w:rsidRPr="009A1DE0">
        <w:rPr>
          <w:rFonts w:ascii="Gotham" w:hAnsi="Gotham"/>
          <w:sz w:val="20"/>
          <w:szCs w:val="20"/>
        </w:rPr>
        <w:t>Con respecto al</w:t>
      </w:r>
      <w:r w:rsidRPr="009A1DE0">
        <w:rPr>
          <w:rFonts w:ascii="Gotham" w:hAnsi="Gotham"/>
          <w:b/>
          <w:sz w:val="20"/>
          <w:szCs w:val="20"/>
        </w:rPr>
        <w:t xml:space="preserve"> REGLAMENTO DEL INSTITUTO DE ALTERNATIVAS PARA LOS JÓVENES DEL MUNICIPIO DE TONALÁ, se propone: </w:t>
      </w:r>
      <w:r w:rsidRPr="009A1DE0">
        <w:rPr>
          <w:rFonts w:ascii="Gotham" w:hAnsi="Gotham"/>
          <w:b/>
          <w:sz w:val="20"/>
          <w:szCs w:val="20"/>
        </w:rPr>
        <w:cr/>
        <w:t xml:space="preserve"> </w:t>
      </w:r>
    </w:p>
    <w:p w14:paraId="3A474C3A" w14:textId="77777777" w:rsidR="009B5E39" w:rsidRPr="009A1DE0" w:rsidRDefault="009B5E39" w:rsidP="009B5E39">
      <w:pPr>
        <w:jc w:val="both"/>
        <w:rPr>
          <w:rFonts w:ascii="Gotham" w:hAnsi="Gotham"/>
          <w:b/>
          <w:sz w:val="20"/>
          <w:szCs w:val="20"/>
        </w:rPr>
      </w:pPr>
      <w:r w:rsidRPr="009A1DE0">
        <w:rPr>
          <w:rFonts w:ascii="Gotham" w:hAnsi="Gotham"/>
          <w:b/>
          <w:sz w:val="20"/>
          <w:szCs w:val="20"/>
        </w:rPr>
        <w:t xml:space="preserve">Dice: </w:t>
      </w:r>
    </w:p>
    <w:p w14:paraId="3A474C3B" w14:textId="77777777" w:rsidR="009B5E39" w:rsidRPr="009A1DE0" w:rsidRDefault="009B5E39" w:rsidP="009B5E39">
      <w:pPr>
        <w:jc w:val="both"/>
        <w:rPr>
          <w:rFonts w:ascii="Gotham" w:hAnsi="Gotham"/>
          <w:b/>
          <w:sz w:val="20"/>
          <w:szCs w:val="20"/>
        </w:rPr>
      </w:pPr>
    </w:p>
    <w:p w14:paraId="3A474C3C" w14:textId="77777777" w:rsidR="009B5E39" w:rsidRPr="001A0A3A" w:rsidRDefault="009B5E39" w:rsidP="009B5E39">
      <w:pPr>
        <w:widowControl w:val="0"/>
        <w:tabs>
          <w:tab w:val="left" w:pos="942"/>
        </w:tabs>
        <w:autoSpaceDE w:val="0"/>
        <w:autoSpaceDN w:val="0"/>
        <w:ind w:left="284" w:right="283"/>
        <w:jc w:val="center"/>
        <w:rPr>
          <w:rFonts w:ascii="Gotham" w:hAnsi="Gotham" w:cs="Arial"/>
          <w:b/>
          <w:sz w:val="19"/>
          <w:szCs w:val="19"/>
        </w:rPr>
      </w:pPr>
      <w:r w:rsidRPr="001A0A3A">
        <w:rPr>
          <w:rFonts w:ascii="Gotham" w:hAnsi="Gotham" w:cs="Arial"/>
          <w:b/>
          <w:sz w:val="19"/>
          <w:szCs w:val="19"/>
        </w:rPr>
        <w:t>TÍTULO II</w:t>
      </w:r>
    </w:p>
    <w:p w14:paraId="3A474C3D" w14:textId="77777777" w:rsidR="009B5E39" w:rsidRPr="001A0A3A" w:rsidRDefault="009B5E39" w:rsidP="009B5E39">
      <w:pPr>
        <w:widowControl w:val="0"/>
        <w:tabs>
          <w:tab w:val="left" w:pos="942"/>
        </w:tabs>
        <w:autoSpaceDE w:val="0"/>
        <w:autoSpaceDN w:val="0"/>
        <w:ind w:left="284" w:right="283"/>
        <w:jc w:val="center"/>
        <w:rPr>
          <w:rFonts w:ascii="Gotham" w:hAnsi="Gotham" w:cs="Arial"/>
          <w:b/>
          <w:sz w:val="19"/>
          <w:szCs w:val="19"/>
        </w:rPr>
      </w:pPr>
      <w:r w:rsidRPr="001A0A3A">
        <w:rPr>
          <w:rFonts w:ascii="Gotham" w:hAnsi="Gotham" w:cs="Arial"/>
          <w:b/>
          <w:sz w:val="19"/>
          <w:szCs w:val="19"/>
        </w:rPr>
        <w:t>DEL ÓRGANO DE GOBIERNO</w:t>
      </w:r>
    </w:p>
    <w:p w14:paraId="3A474C3E" w14:textId="77777777" w:rsidR="009B5E39" w:rsidRPr="001A0A3A" w:rsidRDefault="009B5E39" w:rsidP="009B5E39">
      <w:pPr>
        <w:widowControl w:val="0"/>
        <w:tabs>
          <w:tab w:val="left" w:pos="942"/>
        </w:tabs>
        <w:autoSpaceDE w:val="0"/>
        <w:autoSpaceDN w:val="0"/>
        <w:ind w:left="284" w:right="283"/>
        <w:jc w:val="center"/>
        <w:rPr>
          <w:rFonts w:ascii="Gotham" w:hAnsi="Gotham" w:cs="Arial"/>
          <w:b/>
          <w:sz w:val="19"/>
          <w:szCs w:val="19"/>
        </w:rPr>
      </w:pPr>
    </w:p>
    <w:p w14:paraId="3A474C3F" w14:textId="77777777" w:rsidR="009B5E39" w:rsidRPr="001A0A3A" w:rsidRDefault="009B5E39" w:rsidP="009B5E39">
      <w:pPr>
        <w:widowControl w:val="0"/>
        <w:tabs>
          <w:tab w:val="left" w:pos="942"/>
        </w:tabs>
        <w:autoSpaceDE w:val="0"/>
        <w:autoSpaceDN w:val="0"/>
        <w:ind w:left="284" w:right="283"/>
        <w:jc w:val="center"/>
        <w:rPr>
          <w:rFonts w:ascii="Gotham" w:hAnsi="Gotham" w:cs="Arial"/>
          <w:b/>
          <w:sz w:val="19"/>
          <w:szCs w:val="19"/>
        </w:rPr>
      </w:pPr>
      <w:r w:rsidRPr="001A0A3A">
        <w:rPr>
          <w:rFonts w:ascii="Gotham" w:hAnsi="Gotham" w:cs="Arial"/>
          <w:b/>
          <w:sz w:val="19"/>
          <w:szCs w:val="19"/>
        </w:rPr>
        <w:t>CAPÍTULO I</w:t>
      </w:r>
    </w:p>
    <w:p w14:paraId="3A474C40" w14:textId="77777777" w:rsidR="009B5E39" w:rsidRPr="001A0A3A" w:rsidRDefault="009B5E39" w:rsidP="009B5E39">
      <w:pPr>
        <w:widowControl w:val="0"/>
        <w:tabs>
          <w:tab w:val="left" w:pos="942"/>
        </w:tabs>
        <w:autoSpaceDE w:val="0"/>
        <w:autoSpaceDN w:val="0"/>
        <w:ind w:left="284" w:right="283"/>
        <w:jc w:val="center"/>
        <w:rPr>
          <w:rFonts w:ascii="Gotham" w:hAnsi="Gotham" w:cs="Arial"/>
          <w:b/>
          <w:sz w:val="19"/>
          <w:szCs w:val="19"/>
        </w:rPr>
      </w:pPr>
      <w:r w:rsidRPr="001A0A3A">
        <w:rPr>
          <w:rFonts w:ascii="Gotham" w:hAnsi="Gotham" w:cs="Arial"/>
          <w:b/>
          <w:sz w:val="19"/>
          <w:szCs w:val="19"/>
        </w:rPr>
        <w:t>DE LA JUNTA DE GOBIERNO</w:t>
      </w:r>
    </w:p>
    <w:p w14:paraId="3A474C41" w14:textId="77777777" w:rsidR="009B5E39" w:rsidRPr="001A0A3A" w:rsidRDefault="009B5E39" w:rsidP="009B5E39">
      <w:pPr>
        <w:widowControl w:val="0"/>
        <w:tabs>
          <w:tab w:val="left" w:pos="942"/>
        </w:tabs>
        <w:autoSpaceDE w:val="0"/>
        <w:autoSpaceDN w:val="0"/>
        <w:ind w:left="284" w:right="283"/>
        <w:jc w:val="center"/>
        <w:rPr>
          <w:rFonts w:ascii="Gotham" w:hAnsi="Gotham" w:cs="Arial"/>
          <w:b/>
          <w:sz w:val="19"/>
          <w:szCs w:val="19"/>
        </w:rPr>
      </w:pPr>
    </w:p>
    <w:p w14:paraId="3A474C42" w14:textId="77777777" w:rsidR="009B5E39" w:rsidRPr="000B2477" w:rsidRDefault="009B5E39" w:rsidP="009B5E39">
      <w:pPr>
        <w:widowControl w:val="0"/>
        <w:tabs>
          <w:tab w:val="left" w:pos="942"/>
        </w:tabs>
        <w:autoSpaceDE w:val="0"/>
        <w:autoSpaceDN w:val="0"/>
        <w:ind w:left="284" w:right="283"/>
        <w:jc w:val="both"/>
        <w:rPr>
          <w:rFonts w:ascii="Gotham" w:hAnsi="Gotham" w:cs="Arial"/>
          <w:sz w:val="19"/>
          <w:szCs w:val="19"/>
        </w:rPr>
      </w:pPr>
      <w:r w:rsidRPr="000B2477">
        <w:rPr>
          <w:rFonts w:ascii="Gotham" w:hAnsi="Gotham" w:cs="Arial"/>
          <w:b/>
          <w:sz w:val="19"/>
          <w:szCs w:val="19"/>
        </w:rPr>
        <w:t>Artículo 8.-</w:t>
      </w:r>
      <w:r w:rsidRPr="000B2477">
        <w:rPr>
          <w:rFonts w:ascii="Gotham" w:hAnsi="Gotham" w:cs="Arial"/>
          <w:sz w:val="19"/>
          <w:szCs w:val="19"/>
        </w:rPr>
        <w:t xml:space="preserve"> La Junta de Gobierno está integrada por los miembros propietarios siguientes:</w:t>
      </w:r>
    </w:p>
    <w:p w14:paraId="3A474C43" w14:textId="77777777" w:rsidR="009B5E39" w:rsidRPr="000B2477" w:rsidRDefault="009B5E39" w:rsidP="009B5E39">
      <w:pPr>
        <w:widowControl w:val="0"/>
        <w:tabs>
          <w:tab w:val="left" w:pos="942"/>
        </w:tabs>
        <w:autoSpaceDE w:val="0"/>
        <w:autoSpaceDN w:val="0"/>
        <w:ind w:left="284" w:right="283"/>
        <w:jc w:val="both"/>
        <w:rPr>
          <w:rFonts w:ascii="Gotham" w:hAnsi="Gotham" w:cs="Arial"/>
          <w:sz w:val="19"/>
          <w:szCs w:val="19"/>
        </w:rPr>
      </w:pPr>
    </w:p>
    <w:p w14:paraId="3A474C44" w14:textId="77777777" w:rsidR="009B5E39" w:rsidRPr="000B2477" w:rsidRDefault="009B5E39" w:rsidP="009B5E39">
      <w:pPr>
        <w:widowControl w:val="0"/>
        <w:autoSpaceDE w:val="0"/>
        <w:autoSpaceDN w:val="0"/>
        <w:spacing w:after="120"/>
        <w:ind w:left="1134" w:right="283" w:hanging="850"/>
        <w:jc w:val="both"/>
        <w:rPr>
          <w:rFonts w:ascii="Gotham" w:hAnsi="Gotham" w:cs="Arial"/>
          <w:sz w:val="19"/>
          <w:szCs w:val="19"/>
        </w:rPr>
      </w:pPr>
      <w:r w:rsidRPr="000B2477">
        <w:rPr>
          <w:rFonts w:ascii="Gotham" w:hAnsi="Gotham" w:cs="Arial"/>
          <w:sz w:val="19"/>
          <w:szCs w:val="19"/>
        </w:rPr>
        <w:t xml:space="preserve">I.- </w:t>
      </w:r>
      <w:r>
        <w:rPr>
          <w:rFonts w:ascii="Gotham" w:hAnsi="Gotham" w:cs="Arial"/>
          <w:sz w:val="19"/>
          <w:szCs w:val="19"/>
        </w:rPr>
        <w:tab/>
      </w:r>
      <w:r w:rsidRPr="000B2477">
        <w:rPr>
          <w:rFonts w:ascii="Gotham" w:hAnsi="Gotham" w:cs="Arial"/>
          <w:sz w:val="19"/>
          <w:szCs w:val="19"/>
        </w:rPr>
        <w:t xml:space="preserve">Un Presidente, responsabilidad que recaerá en el Presidente Municipal; </w:t>
      </w:r>
    </w:p>
    <w:p w14:paraId="3A474C45" w14:textId="77777777" w:rsidR="009B5E39" w:rsidRPr="000B2477" w:rsidRDefault="009B5E39" w:rsidP="009B5E39">
      <w:pPr>
        <w:widowControl w:val="0"/>
        <w:autoSpaceDE w:val="0"/>
        <w:autoSpaceDN w:val="0"/>
        <w:spacing w:after="120"/>
        <w:ind w:left="1134" w:right="283" w:hanging="850"/>
        <w:jc w:val="both"/>
        <w:rPr>
          <w:rFonts w:ascii="Gotham" w:hAnsi="Gotham" w:cs="Arial"/>
          <w:sz w:val="19"/>
          <w:szCs w:val="19"/>
        </w:rPr>
      </w:pPr>
      <w:r w:rsidRPr="000B2477">
        <w:rPr>
          <w:rFonts w:ascii="Gotham" w:hAnsi="Gotham" w:cs="Arial"/>
          <w:sz w:val="19"/>
          <w:szCs w:val="19"/>
        </w:rPr>
        <w:t xml:space="preserve">II.- </w:t>
      </w:r>
      <w:r>
        <w:rPr>
          <w:rFonts w:ascii="Gotham" w:hAnsi="Gotham" w:cs="Arial"/>
          <w:sz w:val="19"/>
          <w:szCs w:val="19"/>
        </w:rPr>
        <w:tab/>
      </w:r>
      <w:r w:rsidRPr="000B2477">
        <w:rPr>
          <w:rFonts w:ascii="Gotham" w:hAnsi="Gotham" w:cs="Arial"/>
          <w:sz w:val="19"/>
          <w:szCs w:val="19"/>
        </w:rPr>
        <w:t xml:space="preserve">Los siguientes vocales: </w:t>
      </w:r>
    </w:p>
    <w:p w14:paraId="3A474C46"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a) </w:t>
      </w:r>
      <w:r>
        <w:rPr>
          <w:rFonts w:ascii="Gotham" w:hAnsi="Gotham" w:cs="Arial"/>
          <w:sz w:val="19"/>
          <w:szCs w:val="19"/>
        </w:rPr>
        <w:tab/>
      </w:r>
      <w:r w:rsidRPr="000B2477">
        <w:rPr>
          <w:rFonts w:ascii="Gotham" w:hAnsi="Gotham" w:cs="Arial"/>
          <w:sz w:val="19"/>
          <w:szCs w:val="19"/>
        </w:rPr>
        <w:t xml:space="preserve">El Síndico Municipal del Ayuntamiento de Tonalá, Jalisco; </w:t>
      </w:r>
    </w:p>
    <w:p w14:paraId="3A474C47"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b) </w:t>
      </w:r>
      <w:r>
        <w:rPr>
          <w:rFonts w:ascii="Gotham" w:hAnsi="Gotham" w:cs="Arial"/>
          <w:sz w:val="19"/>
          <w:szCs w:val="19"/>
        </w:rPr>
        <w:tab/>
      </w:r>
      <w:r w:rsidRPr="000B2477">
        <w:rPr>
          <w:rFonts w:ascii="Gotham" w:hAnsi="Gotham" w:cs="Arial"/>
          <w:sz w:val="19"/>
          <w:szCs w:val="19"/>
        </w:rPr>
        <w:t xml:space="preserve">El Secretario General de Ayuntamiento de Tonalá, Jalisco; </w:t>
      </w:r>
    </w:p>
    <w:p w14:paraId="3A474C48"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c) </w:t>
      </w:r>
      <w:r>
        <w:rPr>
          <w:rFonts w:ascii="Gotham" w:hAnsi="Gotham" w:cs="Arial"/>
          <w:sz w:val="19"/>
          <w:szCs w:val="19"/>
        </w:rPr>
        <w:tab/>
      </w:r>
      <w:r w:rsidRPr="000B2477">
        <w:rPr>
          <w:rFonts w:ascii="Gotham" w:hAnsi="Gotham" w:cs="Arial"/>
          <w:sz w:val="19"/>
          <w:szCs w:val="19"/>
        </w:rPr>
        <w:t xml:space="preserve">El Contralor Municipal del Ayuntamiento de Tonalá, Jalisco; </w:t>
      </w:r>
    </w:p>
    <w:p w14:paraId="3A474C49"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d) </w:t>
      </w:r>
      <w:r>
        <w:rPr>
          <w:rFonts w:ascii="Gotham" w:hAnsi="Gotham" w:cs="Arial"/>
          <w:sz w:val="19"/>
          <w:szCs w:val="19"/>
        </w:rPr>
        <w:tab/>
      </w:r>
      <w:r w:rsidRPr="000B2477">
        <w:rPr>
          <w:rFonts w:ascii="Gotham" w:hAnsi="Gotham" w:cs="Arial"/>
          <w:sz w:val="19"/>
          <w:szCs w:val="19"/>
        </w:rPr>
        <w:t xml:space="preserve">El Regidor Presidente de la Comisión Edilicia de Bienestar, Desarrollo, Asistencia Social y Familiar; </w:t>
      </w:r>
    </w:p>
    <w:p w14:paraId="3A474C4A"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e) </w:t>
      </w:r>
      <w:r>
        <w:rPr>
          <w:rFonts w:ascii="Gotham" w:hAnsi="Gotham" w:cs="Arial"/>
          <w:sz w:val="19"/>
          <w:szCs w:val="19"/>
        </w:rPr>
        <w:tab/>
      </w:r>
      <w:r w:rsidRPr="000B2477">
        <w:rPr>
          <w:rFonts w:ascii="Gotham" w:hAnsi="Gotham" w:cs="Arial"/>
          <w:sz w:val="19"/>
          <w:szCs w:val="19"/>
        </w:rPr>
        <w:t>El Regidor Presidente de la Comisión Edilicia Comisión Edilicia de Cultura, Educación e Innovación Tecnológica;</w:t>
      </w:r>
      <w:r w:rsidR="00883EC2">
        <w:rPr>
          <w:rFonts w:ascii="Gotham" w:hAnsi="Gotham" w:cs="Arial"/>
          <w:sz w:val="19"/>
          <w:szCs w:val="19"/>
        </w:rPr>
        <w:t xml:space="preserve"> </w:t>
      </w:r>
    </w:p>
    <w:p w14:paraId="3A474C4B"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f) </w:t>
      </w:r>
      <w:r>
        <w:rPr>
          <w:rFonts w:ascii="Gotham" w:hAnsi="Gotham" w:cs="Arial"/>
          <w:sz w:val="19"/>
          <w:szCs w:val="19"/>
        </w:rPr>
        <w:tab/>
      </w:r>
      <w:r w:rsidRPr="000B2477">
        <w:rPr>
          <w:rFonts w:ascii="Gotham" w:hAnsi="Gotham" w:cs="Arial"/>
          <w:sz w:val="19"/>
          <w:szCs w:val="19"/>
        </w:rPr>
        <w:t xml:space="preserve">El Director de Participación Ciudadana de la Dirección General de Bienestar Social; </w:t>
      </w:r>
    </w:p>
    <w:p w14:paraId="3A474C4C"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g) </w:t>
      </w:r>
      <w:r>
        <w:rPr>
          <w:rFonts w:ascii="Gotham" w:hAnsi="Gotham" w:cs="Arial"/>
          <w:sz w:val="19"/>
          <w:szCs w:val="19"/>
        </w:rPr>
        <w:tab/>
      </w:r>
      <w:r w:rsidRPr="000B2477">
        <w:rPr>
          <w:rFonts w:ascii="Gotham" w:hAnsi="Gotham" w:cs="Arial"/>
          <w:sz w:val="19"/>
          <w:szCs w:val="19"/>
        </w:rPr>
        <w:t xml:space="preserve">El Regidor Presidente de la Comisión Edilicia de Atención a la Juventud y el Deporte; </w:t>
      </w:r>
    </w:p>
    <w:p w14:paraId="3A474C4D" w14:textId="77777777" w:rsidR="009B5E39" w:rsidRPr="000B2477" w:rsidRDefault="009B5E39" w:rsidP="009B5E39">
      <w:pPr>
        <w:widowControl w:val="0"/>
        <w:autoSpaceDE w:val="0"/>
        <w:autoSpaceDN w:val="0"/>
        <w:ind w:left="1134" w:right="283" w:hanging="850"/>
        <w:jc w:val="both"/>
        <w:rPr>
          <w:rFonts w:ascii="Gotham" w:hAnsi="Gotham" w:cs="Arial"/>
          <w:sz w:val="19"/>
          <w:szCs w:val="19"/>
        </w:rPr>
      </w:pPr>
      <w:r w:rsidRPr="000B2477">
        <w:rPr>
          <w:rFonts w:ascii="Gotham" w:hAnsi="Gotham" w:cs="Arial"/>
          <w:sz w:val="19"/>
          <w:szCs w:val="19"/>
        </w:rPr>
        <w:t xml:space="preserve">III.- </w:t>
      </w:r>
      <w:r>
        <w:rPr>
          <w:rFonts w:ascii="Gotham" w:hAnsi="Gotham" w:cs="Arial"/>
          <w:sz w:val="19"/>
          <w:szCs w:val="19"/>
        </w:rPr>
        <w:tab/>
      </w:r>
      <w:r w:rsidRPr="000B2477">
        <w:rPr>
          <w:rFonts w:ascii="Gotham" w:hAnsi="Gotham" w:cs="Arial"/>
          <w:sz w:val="19"/>
          <w:szCs w:val="19"/>
        </w:rPr>
        <w:t>Un Secretario Técnico, que recaerá en el Director del Instituto de Alternativas para Jóvenes del Municipio de Tonalá.</w:t>
      </w:r>
    </w:p>
    <w:p w14:paraId="3A474C4E" w14:textId="77777777" w:rsidR="009B5E39" w:rsidRPr="00694008" w:rsidRDefault="009B5E39" w:rsidP="009B5E39">
      <w:pPr>
        <w:jc w:val="both"/>
        <w:rPr>
          <w:rFonts w:ascii="Gotham" w:hAnsi="Gotham"/>
          <w:b/>
          <w:sz w:val="20"/>
          <w:szCs w:val="20"/>
        </w:rPr>
      </w:pPr>
    </w:p>
    <w:p w14:paraId="3A474C4F" w14:textId="77777777" w:rsidR="009B5E39" w:rsidRPr="00694008" w:rsidRDefault="009B5E39" w:rsidP="009B5E39">
      <w:pPr>
        <w:jc w:val="both"/>
        <w:rPr>
          <w:rFonts w:ascii="Gotham" w:hAnsi="Gotham"/>
          <w:b/>
          <w:sz w:val="20"/>
          <w:szCs w:val="20"/>
        </w:rPr>
      </w:pPr>
      <w:r w:rsidRPr="00694008">
        <w:rPr>
          <w:rFonts w:ascii="Gotham" w:hAnsi="Gotham"/>
          <w:b/>
          <w:sz w:val="20"/>
          <w:szCs w:val="20"/>
        </w:rPr>
        <w:t>Debe decir:</w:t>
      </w:r>
    </w:p>
    <w:p w14:paraId="3A474C50" w14:textId="77777777" w:rsidR="009B5E39" w:rsidRPr="00694008" w:rsidRDefault="009B5E39" w:rsidP="009B5E39">
      <w:pPr>
        <w:jc w:val="both"/>
        <w:rPr>
          <w:rFonts w:ascii="Gotham" w:hAnsi="Gotham"/>
          <w:b/>
          <w:sz w:val="20"/>
          <w:szCs w:val="20"/>
        </w:rPr>
      </w:pPr>
    </w:p>
    <w:p w14:paraId="3A474C51" w14:textId="77777777" w:rsidR="009B5E39" w:rsidRPr="000B2477" w:rsidRDefault="009B5E39" w:rsidP="009B5E39">
      <w:pPr>
        <w:widowControl w:val="0"/>
        <w:tabs>
          <w:tab w:val="left" w:pos="942"/>
        </w:tabs>
        <w:autoSpaceDE w:val="0"/>
        <w:autoSpaceDN w:val="0"/>
        <w:ind w:left="284" w:right="283"/>
        <w:jc w:val="both"/>
        <w:rPr>
          <w:rFonts w:ascii="Gotham" w:hAnsi="Gotham" w:cs="Arial"/>
          <w:sz w:val="19"/>
          <w:szCs w:val="19"/>
        </w:rPr>
      </w:pPr>
      <w:r w:rsidRPr="000B2477">
        <w:rPr>
          <w:rFonts w:ascii="Gotham" w:hAnsi="Gotham" w:cs="Arial"/>
          <w:b/>
          <w:sz w:val="19"/>
          <w:szCs w:val="19"/>
        </w:rPr>
        <w:t>Artículo 8.-</w:t>
      </w:r>
      <w:r w:rsidRPr="000B2477">
        <w:rPr>
          <w:rFonts w:ascii="Gotham" w:hAnsi="Gotham" w:cs="Arial"/>
          <w:sz w:val="19"/>
          <w:szCs w:val="19"/>
        </w:rPr>
        <w:t xml:space="preserve"> La Junta de Gobierno está integrada por los miembros propietarios siguientes:</w:t>
      </w:r>
    </w:p>
    <w:p w14:paraId="3A474C52" w14:textId="77777777" w:rsidR="009B5E39" w:rsidRPr="000B2477" w:rsidRDefault="009B5E39" w:rsidP="009B5E39">
      <w:pPr>
        <w:widowControl w:val="0"/>
        <w:tabs>
          <w:tab w:val="left" w:pos="942"/>
        </w:tabs>
        <w:autoSpaceDE w:val="0"/>
        <w:autoSpaceDN w:val="0"/>
        <w:ind w:left="284" w:right="283"/>
        <w:jc w:val="both"/>
        <w:rPr>
          <w:rFonts w:ascii="Gotham" w:hAnsi="Gotham" w:cs="Arial"/>
          <w:sz w:val="19"/>
          <w:szCs w:val="19"/>
        </w:rPr>
      </w:pPr>
    </w:p>
    <w:p w14:paraId="3A474C53" w14:textId="77777777" w:rsidR="009B5E39" w:rsidRPr="000B2477" w:rsidRDefault="009B5E39" w:rsidP="009B5E39">
      <w:pPr>
        <w:widowControl w:val="0"/>
        <w:autoSpaceDE w:val="0"/>
        <w:autoSpaceDN w:val="0"/>
        <w:spacing w:after="120"/>
        <w:ind w:left="1134" w:right="283" w:hanging="850"/>
        <w:jc w:val="both"/>
        <w:rPr>
          <w:rFonts w:ascii="Gotham" w:hAnsi="Gotham" w:cs="Arial"/>
          <w:sz w:val="19"/>
          <w:szCs w:val="19"/>
        </w:rPr>
      </w:pPr>
      <w:r w:rsidRPr="000B2477">
        <w:rPr>
          <w:rFonts w:ascii="Gotham" w:hAnsi="Gotham" w:cs="Arial"/>
          <w:sz w:val="19"/>
          <w:szCs w:val="19"/>
        </w:rPr>
        <w:t xml:space="preserve">I.- </w:t>
      </w:r>
      <w:r>
        <w:rPr>
          <w:rFonts w:ascii="Gotham" w:hAnsi="Gotham" w:cs="Arial"/>
          <w:sz w:val="19"/>
          <w:szCs w:val="19"/>
        </w:rPr>
        <w:tab/>
      </w:r>
      <w:r w:rsidRPr="000B2477">
        <w:rPr>
          <w:rFonts w:ascii="Gotham" w:hAnsi="Gotham" w:cs="Arial"/>
          <w:sz w:val="19"/>
          <w:szCs w:val="19"/>
        </w:rPr>
        <w:t xml:space="preserve">Un Presidente, responsabilidad que recaerá en el Presidente Municipal; </w:t>
      </w:r>
    </w:p>
    <w:p w14:paraId="3A474C54" w14:textId="77777777" w:rsidR="009B5E39" w:rsidRPr="000B2477" w:rsidRDefault="009B5E39" w:rsidP="009B5E39">
      <w:pPr>
        <w:widowControl w:val="0"/>
        <w:autoSpaceDE w:val="0"/>
        <w:autoSpaceDN w:val="0"/>
        <w:spacing w:after="120"/>
        <w:ind w:left="1134" w:right="283" w:hanging="850"/>
        <w:jc w:val="both"/>
        <w:rPr>
          <w:rFonts w:ascii="Gotham" w:hAnsi="Gotham" w:cs="Arial"/>
          <w:sz w:val="19"/>
          <w:szCs w:val="19"/>
        </w:rPr>
      </w:pPr>
      <w:r w:rsidRPr="000B2477">
        <w:rPr>
          <w:rFonts w:ascii="Gotham" w:hAnsi="Gotham" w:cs="Arial"/>
          <w:sz w:val="19"/>
          <w:szCs w:val="19"/>
        </w:rPr>
        <w:t xml:space="preserve">II.- </w:t>
      </w:r>
      <w:r>
        <w:rPr>
          <w:rFonts w:ascii="Gotham" w:hAnsi="Gotham" w:cs="Arial"/>
          <w:sz w:val="19"/>
          <w:szCs w:val="19"/>
        </w:rPr>
        <w:tab/>
      </w:r>
      <w:r w:rsidRPr="000B2477">
        <w:rPr>
          <w:rFonts w:ascii="Gotham" w:hAnsi="Gotham" w:cs="Arial"/>
          <w:sz w:val="19"/>
          <w:szCs w:val="19"/>
        </w:rPr>
        <w:t xml:space="preserve">Los siguientes vocales: </w:t>
      </w:r>
    </w:p>
    <w:p w14:paraId="3A474C55"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a) </w:t>
      </w:r>
      <w:r>
        <w:rPr>
          <w:rFonts w:ascii="Gotham" w:hAnsi="Gotham" w:cs="Arial"/>
          <w:sz w:val="19"/>
          <w:szCs w:val="19"/>
        </w:rPr>
        <w:tab/>
      </w:r>
      <w:r w:rsidRPr="000B2477">
        <w:rPr>
          <w:rFonts w:ascii="Gotham" w:hAnsi="Gotham" w:cs="Arial"/>
          <w:sz w:val="19"/>
          <w:szCs w:val="19"/>
        </w:rPr>
        <w:t xml:space="preserve">La o el Síndico Municipal del Ayuntamiento de Tonalá, Jalisco; </w:t>
      </w:r>
    </w:p>
    <w:p w14:paraId="3A474C56"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b) </w:t>
      </w:r>
      <w:r>
        <w:rPr>
          <w:rFonts w:ascii="Gotham" w:hAnsi="Gotham" w:cs="Arial"/>
          <w:sz w:val="19"/>
          <w:szCs w:val="19"/>
        </w:rPr>
        <w:tab/>
      </w:r>
      <w:r w:rsidRPr="000B2477">
        <w:rPr>
          <w:rFonts w:ascii="Gotham" w:hAnsi="Gotham" w:cs="Arial"/>
          <w:sz w:val="19"/>
          <w:szCs w:val="19"/>
        </w:rPr>
        <w:t xml:space="preserve">La o el Secretario General de Ayuntamiento de Tonalá, Jalisco; </w:t>
      </w:r>
    </w:p>
    <w:p w14:paraId="3A474C57"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c) </w:t>
      </w:r>
      <w:r>
        <w:rPr>
          <w:rFonts w:ascii="Gotham" w:hAnsi="Gotham" w:cs="Arial"/>
          <w:sz w:val="19"/>
          <w:szCs w:val="19"/>
        </w:rPr>
        <w:tab/>
      </w:r>
      <w:r w:rsidRPr="000B2477">
        <w:rPr>
          <w:rFonts w:ascii="Gotham" w:hAnsi="Gotham" w:cs="Arial"/>
          <w:sz w:val="19"/>
          <w:szCs w:val="19"/>
        </w:rPr>
        <w:t xml:space="preserve">La o el Contralor Municipal del Ayuntamiento de Tonalá, Jalisco; </w:t>
      </w:r>
    </w:p>
    <w:p w14:paraId="3A474C58"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d) </w:t>
      </w:r>
      <w:r>
        <w:rPr>
          <w:rFonts w:ascii="Gotham" w:hAnsi="Gotham" w:cs="Arial"/>
          <w:sz w:val="19"/>
          <w:szCs w:val="19"/>
        </w:rPr>
        <w:tab/>
      </w:r>
      <w:r w:rsidRPr="000B2477">
        <w:rPr>
          <w:rFonts w:ascii="Gotham" w:hAnsi="Gotham" w:cs="Arial"/>
          <w:sz w:val="19"/>
          <w:szCs w:val="19"/>
        </w:rPr>
        <w:t xml:space="preserve">La o el Director de Participación Ciudadana de la Dirección General de Bienestar Social; </w:t>
      </w:r>
    </w:p>
    <w:p w14:paraId="3A474C59"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e) </w:t>
      </w:r>
      <w:r>
        <w:rPr>
          <w:rFonts w:ascii="Gotham" w:hAnsi="Gotham" w:cs="Arial"/>
          <w:sz w:val="19"/>
          <w:szCs w:val="19"/>
        </w:rPr>
        <w:tab/>
      </w:r>
      <w:r w:rsidRPr="000B2477">
        <w:rPr>
          <w:rFonts w:ascii="Gotham" w:hAnsi="Gotham" w:cs="Arial"/>
          <w:sz w:val="19"/>
          <w:szCs w:val="19"/>
        </w:rPr>
        <w:t xml:space="preserve">El Regidor Presidente de la Comisión Edilicia de Bienestar, Desarrollo, Asistencia Social y Familiar; </w:t>
      </w:r>
    </w:p>
    <w:p w14:paraId="3A474C5A"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f) </w:t>
      </w:r>
      <w:r>
        <w:rPr>
          <w:rFonts w:ascii="Gotham" w:hAnsi="Gotham" w:cs="Arial"/>
          <w:sz w:val="19"/>
          <w:szCs w:val="19"/>
        </w:rPr>
        <w:tab/>
      </w:r>
      <w:r w:rsidRPr="000B2477">
        <w:rPr>
          <w:rFonts w:ascii="Gotham" w:hAnsi="Gotham" w:cs="Arial"/>
          <w:sz w:val="19"/>
          <w:szCs w:val="19"/>
        </w:rPr>
        <w:t>La o el Regidor Presidente de la Comisión Edilicia Comisión Edilicia de Cultura, Educación e Innovación Tecnológica;</w:t>
      </w:r>
      <w:r w:rsidR="00883EC2">
        <w:rPr>
          <w:rFonts w:ascii="Gotham" w:hAnsi="Gotham" w:cs="Arial"/>
          <w:sz w:val="19"/>
          <w:szCs w:val="19"/>
        </w:rPr>
        <w:t xml:space="preserve"> </w:t>
      </w:r>
    </w:p>
    <w:p w14:paraId="3A474C5B" w14:textId="77777777" w:rsidR="009B5E39" w:rsidRPr="000B2477" w:rsidRDefault="009B5E39" w:rsidP="009B5E39">
      <w:pPr>
        <w:widowControl w:val="0"/>
        <w:autoSpaceDE w:val="0"/>
        <w:autoSpaceDN w:val="0"/>
        <w:spacing w:after="120"/>
        <w:ind w:left="1560" w:right="283" w:hanging="426"/>
        <w:jc w:val="both"/>
        <w:rPr>
          <w:rFonts w:ascii="Gotham" w:hAnsi="Gotham" w:cs="Arial"/>
          <w:sz w:val="19"/>
          <w:szCs w:val="19"/>
        </w:rPr>
      </w:pPr>
      <w:r w:rsidRPr="000B2477">
        <w:rPr>
          <w:rFonts w:ascii="Gotham" w:hAnsi="Gotham" w:cs="Arial"/>
          <w:sz w:val="19"/>
          <w:szCs w:val="19"/>
        </w:rPr>
        <w:t xml:space="preserve">g) </w:t>
      </w:r>
      <w:r>
        <w:rPr>
          <w:rFonts w:ascii="Gotham" w:hAnsi="Gotham" w:cs="Arial"/>
          <w:sz w:val="19"/>
          <w:szCs w:val="19"/>
        </w:rPr>
        <w:tab/>
      </w:r>
      <w:r w:rsidRPr="000B2477">
        <w:rPr>
          <w:rFonts w:ascii="Gotham" w:hAnsi="Gotham" w:cs="Arial"/>
          <w:sz w:val="19"/>
          <w:szCs w:val="19"/>
        </w:rPr>
        <w:t xml:space="preserve">La o el Regidor Presidente de la Comisión Edilicia de Atención a la Juventud y el Deporte; </w:t>
      </w:r>
    </w:p>
    <w:p w14:paraId="3A474C5C" w14:textId="77777777" w:rsidR="009B5E39" w:rsidRPr="000B2477" w:rsidRDefault="009B5E39" w:rsidP="009B5E39">
      <w:pPr>
        <w:widowControl w:val="0"/>
        <w:autoSpaceDE w:val="0"/>
        <w:autoSpaceDN w:val="0"/>
        <w:spacing w:after="120"/>
        <w:ind w:left="1560" w:right="283" w:hanging="426"/>
        <w:jc w:val="both"/>
        <w:rPr>
          <w:rFonts w:ascii="Gotham" w:hAnsi="Gotham" w:cs="Arial"/>
          <w:b/>
          <w:sz w:val="19"/>
          <w:szCs w:val="19"/>
        </w:rPr>
      </w:pPr>
      <w:r w:rsidRPr="000B2477">
        <w:rPr>
          <w:rFonts w:ascii="Gotham" w:hAnsi="Gotham" w:cs="Arial"/>
          <w:b/>
          <w:sz w:val="19"/>
          <w:szCs w:val="19"/>
        </w:rPr>
        <w:t xml:space="preserve">h) </w:t>
      </w:r>
      <w:r>
        <w:rPr>
          <w:rFonts w:ascii="Gotham" w:hAnsi="Gotham" w:cs="Arial"/>
          <w:b/>
          <w:sz w:val="19"/>
          <w:szCs w:val="19"/>
        </w:rPr>
        <w:tab/>
      </w:r>
      <w:r w:rsidRPr="000B2477">
        <w:rPr>
          <w:rFonts w:ascii="Gotham" w:hAnsi="Gotham" w:cs="Arial"/>
          <w:b/>
          <w:sz w:val="19"/>
          <w:szCs w:val="19"/>
        </w:rPr>
        <w:t>La o el Regidor Presidente de la Comisión Edilicia de Protección civil y bomberos;</w:t>
      </w:r>
    </w:p>
    <w:p w14:paraId="3A474C5D" w14:textId="77777777" w:rsidR="009B5E39" w:rsidRPr="000B2477" w:rsidRDefault="009B5E39" w:rsidP="009B5E39">
      <w:pPr>
        <w:widowControl w:val="0"/>
        <w:autoSpaceDE w:val="0"/>
        <w:autoSpaceDN w:val="0"/>
        <w:spacing w:after="120"/>
        <w:ind w:left="1560" w:right="283" w:hanging="426"/>
        <w:jc w:val="both"/>
        <w:rPr>
          <w:rFonts w:ascii="Gotham" w:hAnsi="Gotham" w:cs="Arial"/>
          <w:b/>
          <w:sz w:val="19"/>
          <w:szCs w:val="19"/>
        </w:rPr>
      </w:pPr>
      <w:r w:rsidRPr="000B2477">
        <w:rPr>
          <w:rFonts w:ascii="Gotham" w:hAnsi="Gotham" w:cs="Arial"/>
          <w:b/>
          <w:sz w:val="19"/>
          <w:szCs w:val="19"/>
        </w:rPr>
        <w:t xml:space="preserve">i) </w:t>
      </w:r>
      <w:r>
        <w:rPr>
          <w:rFonts w:ascii="Gotham" w:hAnsi="Gotham" w:cs="Arial"/>
          <w:b/>
          <w:sz w:val="19"/>
          <w:szCs w:val="19"/>
        </w:rPr>
        <w:tab/>
      </w:r>
      <w:r w:rsidRPr="000B2477">
        <w:rPr>
          <w:rFonts w:ascii="Gotham" w:hAnsi="Gotham" w:cs="Arial"/>
          <w:b/>
          <w:sz w:val="19"/>
          <w:szCs w:val="19"/>
        </w:rPr>
        <w:t xml:space="preserve">La o el Regidor Presidente de la Comisión Edilicia de Seguridad y Prevención Ciudadana; </w:t>
      </w:r>
    </w:p>
    <w:p w14:paraId="3A474C5E" w14:textId="77777777" w:rsidR="009B5E39" w:rsidRPr="000B2477" w:rsidRDefault="009B5E39" w:rsidP="009B5E39">
      <w:pPr>
        <w:widowControl w:val="0"/>
        <w:autoSpaceDE w:val="0"/>
        <w:autoSpaceDN w:val="0"/>
        <w:spacing w:after="120"/>
        <w:ind w:left="1560" w:right="283" w:hanging="426"/>
        <w:jc w:val="both"/>
        <w:rPr>
          <w:rFonts w:ascii="Gotham" w:hAnsi="Gotham" w:cs="Arial"/>
          <w:b/>
          <w:sz w:val="19"/>
          <w:szCs w:val="19"/>
        </w:rPr>
      </w:pPr>
      <w:r w:rsidRPr="000B2477">
        <w:rPr>
          <w:rFonts w:ascii="Gotham" w:hAnsi="Gotham" w:cs="Arial"/>
          <w:b/>
          <w:sz w:val="19"/>
          <w:szCs w:val="19"/>
        </w:rPr>
        <w:t xml:space="preserve">j) </w:t>
      </w:r>
      <w:r>
        <w:rPr>
          <w:rFonts w:ascii="Gotham" w:hAnsi="Gotham" w:cs="Arial"/>
          <w:b/>
          <w:sz w:val="19"/>
          <w:szCs w:val="19"/>
        </w:rPr>
        <w:tab/>
      </w:r>
      <w:r w:rsidRPr="000B2477">
        <w:rPr>
          <w:rFonts w:ascii="Gotham" w:hAnsi="Gotham" w:cs="Arial"/>
          <w:b/>
          <w:sz w:val="19"/>
          <w:szCs w:val="19"/>
        </w:rPr>
        <w:t>La o el Regidor Presidente de la Comisión Edilicia de Servicios Médicos, Salubridad e Higiene;</w:t>
      </w:r>
    </w:p>
    <w:p w14:paraId="3A474C5F" w14:textId="77777777" w:rsidR="009B5E39" w:rsidRPr="000B2477" w:rsidRDefault="009B5E39" w:rsidP="009B5E39">
      <w:pPr>
        <w:widowControl w:val="0"/>
        <w:autoSpaceDE w:val="0"/>
        <w:autoSpaceDN w:val="0"/>
        <w:spacing w:after="120"/>
        <w:ind w:left="1560" w:right="283" w:hanging="426"/>
        <w:jc w:val="both"/>
        <w:rPr>
          <w:rFonts w:ascii="Gotham" w:hAnsi="Gotham" w:cs="Arial"/>
          <w:b/>
          <w:sz w:val="19"/>
          <w:szCs w:val="19"/>
        </w:rPr>
      </w:pPr>
      <w:r w:rsidRPr="000B2477">
        <w:rPr>
          <w:rFonts w:ascii="Gotham" w:hAnsi="Gotham" w:cs="Arial"/>
          <w:b/>
          <w:sz w:val="19"/>
          <w:szCs w:val="19"/>
        </w:rPr>
        <w:t xml:space="preserve">k) </w:t>
      </w:r>
      <w:r>
        <w:rPr>
          <w:rFonts w:ascii="Gotham" w:hAnsi="Gotham" w:cs="Arial"/>
          <w:b/>
          <w:sz w:val="19"/>
          <w:szCs w:val="19"/>
        </w:rPr>
        <w:tab/>
      </w:r>
      <w:r w:rsidRPr="000B2477">
        <w:rPr>
          <w:rFonts w:ascii="Gotham" w:hAnsi="Gotham" w:cs="Arial"/>
          <w:b/>
          <w:sz w:val="19"/>
          <w:szCs w:val="19"/>
        </w:rPr>
        <w:t>La o el Regidor Presidente de la Comisión Edilicia de Medio ambiente, Ecología, saneamiento, Acción contra la contaminación y Cambio Climático:</w:t>
      </w:r>
    </w:p>
    <w:p w14:paraId="3A474C60" w14:textId="77777777" w:rsidR="009B5E39" w:rsidRPr="000B2477" w:rsidRDefault="009B5E39" w:rsidP="009B5E39">
      <w:pPr>
        <w:widowControl w:val="0"/>
        <w:autoSpaceDE w:val="0"/>
        <w:autoSpaceDN w:val="0"/>
        <w:ind w:left="1134" w:right="283" w:hanging="850"/>
        <w:jc w:val="both"/>
        <w:rPr>
          <w:rFonts w:ascii="Gotham" w:hAnsi="Gotham" w:cs="Arial"/>
          <w:sz w:val="19"/>
          <w:szCs w:val="19"/>
        </w:rPr>
      </w:pPr>
      <w:r w:rsidRPr="000B2477">
        <w:rPr>
          <w:rFonts w:ascii="Gotham" w:hAnsi="Gotham" w:cs="Arial"/>
          <w:sz w:val="19"/>
          <w:szCs w:val="19"/>
        </w:rPr>
        <w:t xml:space="preserve">III.- </w:t>
      </w:r>
      <w:r>
        <w:rPr>
          <w:rFonts w:ascii="Gotham" w:hAnsi="Gotham" w:cs="Arial"/>
          <w:sz w:val="19"/>
          <w:szCs w:val="19"/>
        </w:rPr>
        <w:tab/>
      </w:r>
      <w:r w:rsidRPr="000B2477">
        <w:rPr>
          <w:rFonts w:ascii="Gotham" w:hAnsi="Gotham" w:cs="Arial"/>
          <w:sz w:val="19"/>
          <w:szCs w:val="19"/>
        </w:rPr>
        <w:t>Un Secretario Técnico, que recaerá en el Director del Instituto de Alternativas para Jóvenes del Municipio de Tonalá.</w:t>
      </w:r>
    </w:p>
    <w:p w14:paraId="3A474C61" w14:textId="77777777" w:rsidR="009B5E39" w:rsidRPr="00694008" w:rsidRDefault="009B5E39" w:rsidP="009B5E39">
      <w:pPr>
        <w:jc w:val="both"/>
        <w:rPr>
          <w:rFonts w:ascii="Gotham" w:hAnsi="Gotham"/>
          <w:b/>
          <w:sz w:val="20"/>
          <w:szCs w:val="20"/>
        </w:rPr>
      </w:pPr>
    </w:p>
    <w:p w14:paraId="3A474C62" w14:textId="77777777" w:rsidR="009B5E39" w:rsidRPr="00694008" w:rsidRDefault="009B5E39" w:rsidP="009B5E39">
      <w:pPr>
        <w:jc w:val="both"/>
        <w:rPr>
          <w:rFonts w:ascii="Gotham" w:hAnsi="Gotham"/>
          <w:b/>
          <w:sz w:val="20"/>
          <w:szCs w:val="20"/>
        </w:rPr>
      </w:pPr>
      <w:r w:rsidRPr="00694008">
        <w:rPr>
          <w:rFonts w:ascii="Gotham" w:hAnsi="Gotham"/>
          <w:b/>
          <w:sz w:val="20"/>
          <w:szCs w:val="20"/>
        </w:rPr>
        <w:t>Se propone modificar el artículo 31:</w:t>
      </w:r>
    </w:p>
    <w:p w14:paraId="3A474C63" w14:textId="77777777" w:rsidR="009B5E39" w:rsidRPr="00694008" w:rsidRDefault="009B5E39" w:rsidP="009B5E39">
      <w:pPr>
        <w:jc w:val="both"/>
        <w:rPr>
          <w:rFonts w:ascii="Gotham" w:hAnsi="Gotham"/>
          <w:b/>
          <w:sz w:val="20"/>
          <w:szCs w:val="20"/>
        </w:rPr>
      </w:pPr>
    </w:p>
    <w:p w14:paraId="3A474C64" w14:textId="77777777" w:rsidR="009B5E39" w:rsidRPr="000B2477" w:rsidRDefault="009B5E39" w:rsidP="009B5E39">
      <w:pPr>
        <w:widowControl w:val="0"/>
        <w:tabs>
          <w:tab w:val="left" w:pos="942"/>
        </w:tabs>
        <w:autoSpaceDE w:val="0"/>
        <w:autoSpaceDN w:val="0"/>
        <w:ind w:left="284" w:right="283"/>
        <w:jc w:val="both"/>
        <w:rPr>
          <w:rFonts w:ascii="Gotham" w:hAnsi="Gotham" w:cs="Arial"/>
          <w:sz w:val="19"/>
          <w:szCs w:val="19"/>
        </w:rPr>
      </w:pPr>
      <w:r w:rsidRPr="000B2477">
        <w:rPr>
          <w:rFonts w:ascii="Gotham" w:hAnsi="Gotham" w:cs="Arial"/>
          <w:b/>
          <w:sz w:val="19"/>
          <w:szCs w:val="19"/>
        </w:rPr>
        <w:t>Artículo 31.-</w:t>
      </w:r>
      <w:r w:rsidRPr="000B2477">
        <w:rPr>
          <w:rFonts w:ascii="Gotham" w:hAnsi="Gotham" w:cs="Arial"/>
          <w:sz w:val="19"/>
          <w:szCs w:val="19"/>
        </w:rPr>
        <w:t xml:space="preserve"> Para el despacho de los asuntos de su competencia, el Instituto contará con las áreas siguientes: </w:t>
      </w:r>
    </w:p>
    <w:p w14:paraId="3A474C65" w14:textId="77777777" w:rsidR="009B5E39" w:rsidRPr="000B2477" w:rsidRDefault="009B5E39" w:rsidP="009B5E39">
      <w:pPr>
        <w:widowControl w:val="0"/>
        <w:tabs>
          <w:tab w:val="left" w:pos="942"/>
        </w:tabs>
        <w:autoSpaceDE w:val="0"/>
        <w:autoSpaceDN w:val="0"/>
        <w:ind w:left="284" w:right="283"/>
        <w:jc w:val="both"/>
        <w:rPr>
          <w:rFonts w:ascii="Gotham" w:hAnsi="Gotham" w:cs="Arial"/>
          <w:sz w:val="19"/>
          <w:szCs w:val="19"/>
        </w:rPr>
      </w:pPr>
    </w:p>
    <w:p w14:paraId="3A474C66" w14:textId="77777777" w:rsidR="009B5E39" w:rsidRPr="000B2477" w:rsidRDefault="009B5E39" w:rsidP="009B5E39">
      <w:pPr>
        <w:widowControl w:val="0"/>
        <w:autoSpaceDE w:val="0"/>
        <w:autoSpaceDN w:val="0"/>
        <w:spacing w:after="120"/>
        <w:ind w:left="1134" w:right="283" w:hanging="850"/>
        <w:jc w:val="both"/>
        <w:rPr>
          <w:rFonts w:ascii="Gotham" w:hAnsi="Gotham" w:cs="Arial"/>
          <w:sz w:val="19"/>
          <w:szCs w:val="19"/>
        </w:rPr>
      </w:pPr>
      <w:r w:rsidRPr="000B2477">
        <w:rPr>
          <w:rFonts w:ascii="Gotham" w:hAnsi="Gotham" w:cs="Arial"/>
          <w:sz w:val="19"/>
          <w:szCs w:val="19"/>
        </w:rPr>
        <w:t xml:space="preserve">I.- </w:t>
      </w:r>
      <w:r>
        <w:rPr>
          <w:rFonts w:ascii="Gotham" w:hAnsi="Gotham" w:cs="Arial"/>
          <w:sz w:val="19"/>
          <w:szCs w:val="19"/>
        </w:rPr>
        <w:tab/>
      </w:r>
      <w:r w:rsidRPr="000B2477">
        <w:rPr>
          <w:rFonts w:ascii="Gotham" w:hAnsi="Gotham" w:cs="Arial"/>
          <w:sz w:val="19"/>
          <w:szCs w:val="19"/>
        </w:rPr>
        <w:t>La Dirección:</w:t>
      </w:r>
    </w:p>
    <w:p w14:paraId="3A474C67" w14:textId="77777777" w:rsidR="009B5E39" w:rsidRPr="000B2477" w:rsidRDefault="009B5E39" w:rsidP="009B5E39">
      <w:pPr>
        <w:widowControl w:val="0"/>
        <w:autoSpaceDE w:val="0"/>
        <w:autoSpaceDN w:val="0"/>
        <w:spacing w:after="80"/>
        <w:ind w:left="1560" w:right="283" w:hanging="426"/>
        <w:jc w:val="both"/>
        <w:rPr>
          <w:rFonts w:ascii="Gotham" w:hAnsi="Gotham" w:cs="Arial"/>
          <w:sz w:val="19"/>
          <w:szCs w:val="19"/>
        </w:rPr>
      </w:pPr>
      <w:r w:rsidRPr="000B2477">
        <w:rPr>
          <w:rFonts w:ascii="Gotham" w:hAnsi="Gotham" w:cs="Arial"/>
          <w:sz w:val="19"/>
          <w:szCs w:val="19"/>
        </w:rPr>
        <w:t xml:space="preserve">a) </w:t>
      </w:r>
      <w:r>
        <w:rPr>
          <w:rFonts w:ascii="Gotham" w:hAnsi="Gotham" w:cs="Arial"/>
          <w:sz w:val="19"/>
          <w:szCs w:val="19"/>
        </w:rPr>
        <w:tab/>
      </w:r>
      <w:r w:rsidRPr="000B2477">
        <w:rPr>
          <w:rFonts w:ascii="Gotham" w:hAnsi="Gotham" w:cs="Arial"/>
          <w:sz w:val="19"/>
          <w:szCs w:val="19"/>
        </w:rPr>
        <w:t xml:space="preserve">La Jefatura de Alternativas a la Juventud; </w:t>
      </w:r>
    </w:p>
    <w:p w14:paraId="3A474C68" w14:textId="77777777" w:rsidR="009B5E39" w:rsidRPr="000B2477" w:rsidRDefault="009B5E39" w:rsidP="009B5E39">
      <w:pPr>
        <w:widowControl w:val="0"/>
        <w:autoSpaceDE w:val="0"/>
        <w:autoSpaceDN w:val="0"/>
        <w:spacing w:after="80"/>
        <w:ind w:left="1560" w:right="283" w:hanging="426"/>
        <w:jc w:val="both"/>
        <w:rPr>
          <w:rFonts w:ascii="Gotham" w:hAnsi="Gotham" w:cs="Arial"/>
          <w:sz w:val="19"/>
          <w:szCs w:val="19"/>
        </w:rPr>
      </w:pPr>
      <w:r w:rsidRPr="000B2477">
        <w:rPr>
          <w:rFonts w:ascii="Gotham" w:hAnsi="Gotham" w:cs="Arial"/>
          <w:sz w:val="19"/>
          <w:szCs w:val="19"/>
        </w:rPr>
        <w:t xml:space="preserve">b) </w:t>
      </w:r>
      <w:r>
        <w:rPr>
          <w:rFonts w:ascii="Gotham" w:hAnsi="Gotham" w:cs="Arial"/>
          <w:sz w:val="19"/>
          <w:szCs w:val="19"/>
        </w:rPr>
        <w:tab/>
      </w:r>
      <w:r w:rsidRPr="000B2477">
        <w:rPr>
          <w:rFonts w:ascii="Gotham" w:hAnsi="Gotham" w:cs="Arial"/>
          <w:sz w:val="19"/>
          <w:szCs w:val="19"/>
        </w:rPr>
        <w:t>La Jefatura de Operativa;</w:t>
      </w:r>
    </w:p>
    <w:p w14:paraId="3A474C69" w14:textId="77777777" w:rsidR="009B5E39" w:rsidRPr="000B2477" w:rsidRDefault="009B5E39" w:rsidP="009B5E39">
      <w:pPr>
        <w:widowControl w:val="0"/>
        <w:autoSpaceDE w:val="0"/>
        <w:autoSpaceDN w:val="0"/>
        <w:spacing w:after="80"/>
        <w:ind w:left="1560" w:right="283" w:hanging="426"/>
        <w:jc w:val="both"/>
        <w:rPr>
          <w:rFonts w:ascii="Gotham" w:hAnsi="Gotham" w:cs="Arial"/>
          <w:sz w:val="19"/>
          <w:szCs w:val="19"/>
        </w:rPr>
      </w:pPr>
      <w:r w:rsidRPr="000B2477">
        <w:rPr>
          <w:rFonts w:ascii="Gotham" w:hAnsi="Gotham" w:cs="Arial"/>
          <w:sz w:val="19"/>
          <w:szCs w:val="19"/>
        </w:rPr>
        <w:t xml:space="preserve">c) </w:t>
      </w:r>
      <w:r>
        <w:rPr>
          <w:rFonts w:ascii="Gotham" w:hAnsi="Gotham" w:cs="Arial"/>
          <w:sz w:val="19"/>
          <w:szCs w:val="19"/>
        </w:rPr>
        <w:tab/>
      </w:r>
      <w:r w:rsidRPr="000B2477">
        <w:rPr>
          <w:rFonts w:ascii="Gotham" w:hAnsi="Gotham" w:cs="Arial"/>
          <w:sz w:val="19"/>
          <w:szCs w:val="19"/>
        </w:rPr>
        <w:t>La Jefatura Administrativa;</w:t>
      </w:r>
    </w:p>
    <w:p w14:paraId="3A474C6A" w14:textId="77777777" w:rsidR="009B5E39" w:rsidRPr="000B2477" w:rsidRDefault="009B5E39" w:rsidP="009B5E39">
      <w:pPr>
        <w:widowControl w:val="0"/>
        <w:autoSpaceDE w:val="0"/>
        <w:autoSpaceDN w:val="0"/>
        <w:spacing w:after="80"/>
        <w:ind w:left="1560" w:right="283" w:hanging="426"/>
        <w:jc w:val="both"/>
        <w:rPr>
          <w:rFonts w:ascii="Gotham" w:hAnsi="Gotham" w:cs="Arial"/>
          <w:sz w:val="19"/>
          <w:szCs w:val="19"/>
        </w:rPr>
      </w:pPr>
      <w:r w:rsidRPr="000B2477">
        <w:rPr>
          <w:rFonts w:ascii="Gotham" w:hAnsi="Gotham" w:cs="Arial"/>
          <w:sz w:val="19"/>
          <w:szCs w:val="19"/>
        </w:rPr>
        <w:t xml:space="preserve">d) </w:t>
      </w:r>
      <w:r>
        <w:rPr>
          <w:rFonts w:ascii="Gotham" w:hAnsi="Gotham" w:cs="Arial"/>
          <w:sz w:val="19"/>
          <w:szCs w:val="19"/>
        </w:rPr>
        <w:tab/>
      </w:r>
      <w:r w:rsidRPr="000B2477">
        <w:rPr>
          <w:rFonts w:ascii="Gotham" w:hAnsi="Gotham" w:cs="Arial"/>
          <w:sz w:val="19"/>
          <w:szCs w:val="19"/>
        </w:rPr>
        <w:t>La Jefatura de Asuntos Jurídicos y Transparencia;</w:t>
      </w:r>
    </w:p>
    <w:p w14:paraId="3A474C6B" w14:textId="77777777" w:rsidR="009B5E39" w:rsidRPr="000B2477" w:rsidRDefault="009B5E39" w:rsidP="009B5E39">
      <w:pPr>
        <w:widowControl w:val="0"/>
        <w:autoSpaceDE w:val="0"/>
        <w:autoSpaceDN w:val="0"/>
        <w:spacing w:after="80"/>
        <w:ind w:left="1560" w:right="283" w:hanging="426"/>
        <w:jc w:val="both"/>
        <w:rPr>
          <w:rFonts w:ascii="Gotham" w:hAnsi="Gotham" w:cs="Arial"/>
          <w:sz w:val="19"/>
          <w:szCs w:val="19"/>
        </w:rPr>
      </w:pPr>
      <w:r w:rsidRPr="000B2477">
        <w:rPr>
          <w:rFonts w:ascii="Gotham" w:hAnsi="Gotham" w:cs="Arial"/>
          <w:sz w:val="19"/>
          <w:szCs w:val="19"/>
        </w:rPr>
        <w:t xml:space="preserve">e) </w:t>
      </w:r>
      <w:r>
        <w:rPr>
          <w:rFonts w:ascii="Gotham" w:hAnsi="Gotham" w:cs="Arial"/>
          <w:sz w:val="19"/>
          <w:szCs w:val="19"/>
        </w:rPr>
        <w:tab/>
      </w:r>
      <w:r w:rsidRPr="000B2477">
        <w:rPr>
          <w:rFonts w:ascii="Gotham" w:hAnsi="Gotham" w:cs="Arial"/>
          <w:sz w:val="19"/>
          <w:szCs w:val="19"/>
        </w:rPr>
        <w:t>La Jefatura de Gestión y Vinculación de Programas; y</w:t>
      </w:r>
    </w:p>
    <w:p w14:paraId="3A474C6C" w14:textId="77777777" w:rsidR="009B5E39" w:rsidRPr="000B2477" w:rsidRDefault="009B5E39" w:rsidP="009B5E39">
      <w:pPr>
        <w:widowControl w:val="0"/>
        <w:autoSpaceDE w:val="0"/>
        <w:autoSpaceDN w:val="0"/>
        <w:ind w:left="1560" w:right="283" w:hanging="426"/>
        <w:jc w:val="both"/>
        <w:rPr>
          <w:rFonts w:ascii="Gotham" w:hAnsi="Gotham" w:cs="Arial"/>
          <w:b/>
          <w:sz w:val="19"/>
          <w:szCs w:val="19"/>
        </w:rPr>
      </w:pPr>
      <w:r w:rsidRPr="000B2477">
        <w:rPr>
          <w:rFonts w:ascii="Gotham" w:hAnsi="Gotham" w:cs="Arial"/>
          <w:b/>
          <w:sz w:val="19"/>
          <w:szCs w:val="19"/>
        </w:rPr>
        <w:t xml:space="preserve">f) </w:t>
      </w:r>
      <w:r>
        <w:rPr>
          <w:rFonts w:ascii="Gotham" w:hAnsi="Gotham" w:cs="Arial"/>
          <w:b/>
          <w:sz w:val="19"/>
          <w:szCs w:val="19"/>
        </w:rPr>
        <w:tab/>
      </w:r>
      <w:r w:rsidRPr="000B2477">
        <w:rPr>
          <w:rFonts w:ascii="Gotham" w:hAnsi="Gotham" w:cs="Arial"/>
          <w:b/>
          <w:sz w:val="19"/>
          <w:szCs w:val="19"/>
        </w:rPr>
        <w:t>La Jefatura de seguridad y prevención juveniles;</w:t>
      </w:r>
    </w:p>
    <w:p w14:paraId="3A474C6D" w14:textId="77777777" w:rsidR="009B5E39" w:rsidRPr="003E70D3" w:rsidRDefault="009B5E39" w:rsidP="009B5E39">
      <w:pPr>
        <w:widowControl w:val="0"/>
        <w:tabs>
          <w:tab w:val="left" w:pos="942"/>
        </w:tabs>
        <w:autoSpaceDE w:val="0"/>
        <w:autoSpaceDN w:val="0"/>
        <w:ind w:left="284" w:right="283"/>
        <w:jc w:val="both"/>
        <w:rPr>
          <w:rFonts w:ascii="Gotham" w:hAnsi="Gotham" w:cs="Arial"/>
          <w:sz w:val="19"/>
          <w:szCs w:val="19"/>
        </w:rPr>
      </w:pPr>
    </w:p>
    <w:p w14:paraId="3A474C6E" w14:textId="77777777" w:rsidR="009B5E39" w:rsidRPr="003E70D3" w:rsidRDefault="009B5E39" w:rsidP="009B5E39">
      <w:pPr>
        <w:widowControl w:val="0"/>
        <w:tabs>
          <w:tab w:val="left" w:pos="942"/>
        </w:tabs>
        <w:autoSpaceDE w:val="0"/>
        <w:autoSpaceDN w:val="0"/>
        <w:ind w:left="284" w:right="283"/>
        <w:jc w:val="both"/>
        <w:rPr>
          <w:rFonts w:ascii="Gotham" w:hAnsi="Gotham" w:cs="Arial"/>
          <w:sz w:val="19"/>
          <w:szCs w:val="19"/>
        </w:rPr>
      </w:pPr>
    </w:p>
    <w:p w14:paraId="3A474C6F" w14:textId="77777777" w:rsidR="009B5E39" w:rsidRPr="003E70D3" w:rsidRDefault="009B5E39" w:rsidP="009B5E39">
      <w:pPr>
        <w:widowControl w:val="0"/>
        <w:tabs>
          <w:tab w:val="left" w:pos="942"/>
        </w:tabs>
        <w:autoSpaceDE w:val="0"/>
        <w:autoSpaceDN w:val="0"/>
        <w:ind w:left="284" w:right="283"/>
        <w:jc w:val="center"/>
        <w:rPr>
          <w:rFonts w:ascii="Gotham" w:hAnsi="Gotham" w:cs="Arial"/>
          <w:sz w:val="19"/>
          <w:szCs w:val="19"/>
        </w:rPr>
      </w:pPr>
      <w:r w:rsidRPr="003E70D3">
        <w:rPr>
          <w:rFonts w:ascii="Gotham" w:hAnsi="Gotham" w:cs="Arial"/>
          <w:sz w:val="19"/>
          <w:szCs w:val="19"/>
        </w:rPr>
        <w:t>TRANSITORIOS</w:t>
      </w:r>
    </w:p>
    <w:p w14:paraId="3A474C70" w14:textId="77777777" w:rsidR="009B5E39" w:rsidRPr="003E70D3" w:rsidRDefault="009B5E39" w:rsidP="009B5E39">
      <w:pPr>
        <w:widowControl w:val="0"/>
        <w:tabs>
          <w:tab w:val="left" w:pos="942"/>
        </w:tabs>
        <w:autoSpaceDE w:val="0"/>
        <w:autoSpaceDN w:val="0"/>
        <w:ind w:left="284" w:right="283"/>
        <w:jc w:val="both"/>
        <w:rPr>
          <w:rFonts w:ascii="Gotham" w:hAnsi="Gotham" w:cs="Arial"/>
          <w:sz w:val="19"/>
          <w:szCs w:val="19"/>
        </w:rPr>
      </w:pPr>
    </w:p>
    <w:p w14:paraId="3A474C71" w14:textId="77777777" w:rsidR="009B5E39" w:rsidRPr="003E70D3" w:rsidRDefault="009B5E39" w:rsidP="009B5E39">
      <w:pPr>
        <w:widowControl w:val="0"/>
        <w:tabs>
          <w:tab w:val="left" w:pos="942"/>
        </w:tabs>
        <w:autoSpaceDE w:val="0"/>
        <w:autoSpaceDN w:val="0"/>
        <w:ind w:left="284" w:right="283"/>
        <w:jc w:val="both"/>
        <w:rPr>
          <w:rFonts w:ascii="Gotham" w:hAnsi="Gotham" w:cs="Arial"/>
          <w:sz w:val="19"/>
          <w:szCs w:val="19"/>
        </w:rPr>
      </w:pPr>
      <w:r w:rsidRPr="003E70D3">
        <w:rPr>
          <w:rFonts w:ascii="Gotham" w:hAnsi="Gotham" w:cs="Arial"/>
          <w:sz w:val="19"/>
          <w:szCs w:val="19"/>
        </w:rPr>
        <w:t xml:space="preserve">PRIMERO. </w:t>
      </w:r>
      <w:r w:rsidRPr="003D1DA7">
        <w:rPr>
          <w:rFonts w:ascii="Gotham" w:hAnsi="Gotham" w:cs="Arial"/>
          <w:sz w:val="19"/>
          <w:szCs w:val="19"/>
        </w:rPr>
        <w:t>Las presentes reformas</w:t>
      </w:r>
      <w:r w:rsidRPr="003E70D3">
        <w:rPr>
          <w:rFonts w:ascii="Gotham" w:hAnsi="Gotham" w:cs="Arial"/>
          <w:sz w:val="19"/>
          <w:szCs w:val="19"/>
        </w:rPr>
        <w:t xml:space="preserve"> entrará</w:t>
      </w:r>
      <w:r>
        <w:rPr>
          <w:rFonts w:ascii="Gotham" w:hAnsi="Gotham" w:cs="Arial"/>
          <w:sz w:val="19"/>
          <w:szCs w:val="19"/>
        </w:rPr>
        <w:t>n</w:t>
      </w:r>
      <w:r w:rsidRPr="003E70D3">
        <w:rPr>
          <w:rFonts w:ascii="Gotham" w:hAnsi="Gotham" w:cs="Arial"/>
          <w:sz w:val="19"/>
          <w:szCs w:val="19"/>
        </w:rPr>
        <w:t>, en vigor una al día siguiente de su publicación en la gaceta Municipal Tlahtolli.</w:t>
      </w:r>
    </w:p>
    <w:p w14:paraId="3A474C72" w14:textId="77777777" w:rsidR="009B5E39" w:rsidRPr="003E70D3" w:rsidRDefault="009B5E39" w:rsidP="009B5E39">
      <w:pPr>
        <w:widowControl w:val="0"/>
        <w:tabs>
          <w:tab w:val="left" w:pos="942"/>
        </w:tabs>
        <w:autoSpaceDE w:val="0"/>
        <w:autoSpaceDN w:val="0"/>
        <w:ind w:left="284" w:right="283"/>
        <w:jc w:val="both"/>
        <w:rPr>
          <w:rFonts w:ascii="Gotham" w:hAnsi="Gotham" w:cs="Arial"/>
          <w:sz w:val="19"/>
          <w:szCs w:val="19"/>
        </w:rPr>
      </w:pPr>
    </w:p>
    <w:p w14:paraId="3A474C73" w14:textId="77777777" w:rsidR="009B5E39" w:rsidRPr="003E70D3" w:rsidRDefault="009B5E39" w:rsidP="009B5E39">
      <w:pPr>
        <w:widowControl w:val="0"/>
        <w:tabs>
          <w:tab w:val="left" w:pos="942"/>
        </w:tabs>
        <w:autoSpaceDE w:val="0"/>
        <w:autoSpaceDN w:val="0"/>
        <w:ind w:left="284" w:right="283"/>
        <w:jc w:val="both"/>
        <w:rPr>
          <w:rFonts w:ascii="Gotham" w:hAnsi="Gotham" w:cs="Arial"/>
          <w:sz w:val="19"/>
          <w:szCs w:val="19"/>
        </w:rPr>
      </w:pPr>
      <w:r w:rsidRPr="003E70D3">
        <w:rPr>
          <w:rFonts w:ascii="Gotham" w:hAnsi="Gotham" w:cs="Arial"/>
          <w:sz w:val="19"/>
          <w:szCs w:val="19"/>
        </w:rPr>
        <w:t>SEGUNDO. Remítase el presente Reglamento al C. Presidente Municipal, para los efectos de su obligatoria promulgación y publicación, de conformidad con el artículo 42 fracción IV de la Ley del Gobierno y la Administración Pública Municipal del Estado de Jalisco.</w:t>
      </w:r>
    </w:p>
    <w:p w14:paraId="3A474C74" w14:textId="77777777" w:rsidR="009B5E39" w:rsidRPr="003E70D3" w:rsidRDefault="009B5E39" w:rsidP="009B5E39">
      <w:pPr>
        <w:jc w:val="both"/>
        <w:rPr>
          <w:rFonts w:ascii="Gotham" w:hAnsi="Gotham"/>
          <w:sz w:val="20"/>
          <w:szCs w:val="20"/>
        </w:rPr>
      </w:pPr>
    </w:p>
    <w:p w14:paraId="3A474C75" w14:textId="77777777" w:rsidR="009B5E39" w:rsidRPr="003E70D3" w:rsidRDefault="009B5E39" w:rsidP="009B5E39">
      <w:pPr>
        <w:jc w:val="both"/>
        <w:rPr>
          <w:rFonts w:ascii="Gotham" w:hAnsi="Gotham"/>
          <w:sz w:val="20"/>
          <w:szCs w:val="20"/>
        </w:rPr>
      </w:pPr>
      <w:r w:rsidRPr="003E70D3">
        <w:rPr>
          <w:rFonts w:ascii="Gotham" w:hAnsi="Gotham"/>
          <w:sz w:val="20"/>
          <w:szCs w:val="20"/>
        </w:rPr>
        <w:t xml:space="preserve">Se proponen modificaciones al </w:t>
      </w:r>
      <w:r w:rsidRPr="003E70D3">
        <w:rPr>
          <w:rFonts w:ascii="Gotham" w:hAnsi="Gotham"/>
          <w:b/>
          <w:sz w:val="20"/>
          <w:szCs w:val="20"/>
        </w:rPr>
        <w:t>REGLAMENTO DE ESPECTÁCULOS</w:t>
      </w:r>
      <w:r w:rsidRPr="003E70D3">
        <w:rPr>
          <w:rFonts w:ascii="Gotham" w:hAnsi="Gotham"/>
          <w:sz w:val="20"/>
          <w:szCs w:val="20"/>
        </w:rPr>
        <w:t xml:space="preserve">, las cuales son las siguientes: </w:t>
      </w:r>
      <w:r w:rsidRPr="003E70D3">
        <w:rPr>
          <w:rFonts w:ascii="Gotham" w:hAnsi="Gotham"/>
          <w:sz w:val="20"/>
          <w:szCs w:val="20"/>
        </w:rPr>
        <w:cr/>
      </w:r>
    </w:p>
    <w:p w14:paraId="3A474C76" w14:textId="77777777" w:rsidR="009B5E39" w:rsidRPr="003E70D3" w:rsidRDefault="009B5E39" w:rsidP="009B5E39">
      <w:pPr>
        <w:jc w:val="both"/>
        <w:rPr>
          <w:rFonts w:ascii="Gotham" w:hAnsi="Gotham"/>
          <w:b/>
          <w:sz w:val="20"/>
          <w:szCs w:val="20"/>
        </w:rPr>
      </w:pPr>
      <w:r w:rsidRPr="003E70D3">
        <w:rPr>
          <w:rFonts w:ascii="Gotham" w:hAnsi="Gotham"/>
          <w:b/>
          <w:sz w:val="20"/>
          <w:szCs w:val="20"/>
        </w:rPr>
        <w:t>Artículo 1 y 2 quedan intocados.</w:t>
      </w:r>
    </w:p>
    <w:p w14:paraId="3A474C77" w14:textId="77777777" w:rsidR="009B5E39" w:rsidRPr="003E70D3" w:rsidRDefault="009B5E39" w:rsidP="009B5E39">
      <w:pPr>
        <w:jc w:val="both"/>
        <w:rPr>
          <w:rFonts w:ascii="Gotham" w:hAnsi="Gotham"/>
          <w:sz w:val="20"/>
          <w:szCs w:val="20"/>
        </w:rPr>
      </w:pPr>
    </w:p>
    <w:p w14:paraId="3A474C78" w14:textId="77777777" w:rsidR="009B5E39" w:rsidRPr="00EB0529" w:rsidRDefault="009B5E39" w:rsidP="009B5E39">
      <w:pPr>
        <w:widowControl w:val="0"/>
        <w:tabs>
          <w:tab w:val="left" w:pos="942"/>
        </w:tabs>
        <w:autoSpaceDE w:val="0"/>
        <w:autoSpaceDN w:val="0"/>
        <w:ind w:left="284" w:right="283"/>
        <w:jc w:val="both"/>
        <w:rPr>
          <w:rFonts w:ascii="Gotham" w:hAnsi="Gotham" w:cs="Arial"/>
          <w:sz w:val="19"/>
          <w:szCs w:val="19"/>
        </w:rPr>
      </w:pPr>
      <w:r w:rsidRPr="00EB0529">
        <w:rPr>
          <w:rFonts w:ascii="Gotham" w:hAnsi="Gotham" w:cs="Arial"/>
          <w:b/>
          <w:sz w:val="19"/>
          <w:szCs w:val="19"/>
        </w:rPr>
        <w:t>Artículo 1.</w:t>
      </w:r>
      <w:r w:rsidRPr="00EB0529">
        <w:rPr>
          <w:rFonts w:ascii="Gotham" w:hAnsi="Gotham" w:cs="Arial"/>
          <w:sz w:val="19"/>
          <w:szCs w:val="19"/>
        </w:rPr>
        <w:t xml:space="preserve"> El presente reglamento norma las diversiones y los espectáculos públicos que son organizados para el público, a través de eventos, tanto culturales como recreativos, que se desarrollen en este municipio de Tonalá Jalisco, en protección del interés colectivo.</w:t>
      </w:r>
    </w:p>
    <w:p w14:paraId="3A474C79" w14:textId="77777777" w:rsidR="009B5E39" w:rsidRPr="00EB0529" w:rsidRDefault="009B5E39" w:rsidP="009B5E39">
      <w:pPr>
        <w:widowControl w:val="0"/>
        <w:tabs>
          <w:tab w:val="left" w:pos="942"/>
        </w:tabs>
        <w:autoSpaceDE w:val="0"/>
        <w:autoSpaceDN w:val="0"/>
        <w:ind w:left="284" w:right="283"/>
        <w:jc w:val="both"/>
        <w:rPr>
          <w:rFonts w:ascii="Gotham" w:hAnsi="Gotham" w:cs="Arial"/>
          <w:sz w:val="19"/>
          <w:szCs w:val="19"/>
        </w:rPr>
      </w:pPr>
    </w:p>
    <w:p w14:paraId="3A474C7A" w14:textId="77777777" w:rsidR="009B5E39" w:rsidRPr="00EB0529" w:rsidRDefault="009B5E39" w:rsidP="009B5E39">
      <w:pPr>
        <w:widowControl w:val="0"/>
        <w:tabs>
          <w:tab w:val="left" w:pos="942"/>
        </w:tabs>
        <w:autoSpaceDE w:val="0"/>
        <w:autoSpaceDN w:val="0"/>
        <w:ind w:left="284" w:right="283"/>
        <w:jc w:val="both"/>
        <w:rPr>
          <w:rFonts w:ascii="Gotham" w:hAnsi="Gotham" w:cs="Arial"/>
          <w:sz w:val="19"/>
          <w:szCs w:val="19"/>
        </w:rPr>
      </w:pPr>
      <w:r w:rsidRPr="00EB0529">
        <w:rPr>
          <w:rFonts w:ascii="Gotham" w:hAnsi="Gotham" w:cs="Arial"/>
          <w:b/>
          <w:sz w:val="19"/>
          <w:szCs w:val="19"/>
        </w:rPr>
        <w:t>Artículo 2.</w:t>
      </w:r>
      <w:r w:rsidRPr="00EB0529">
        <w:rPr>
          <w:rFonts w:ascii="Gotham" w:hAnsi="Gotham" w:cs="Arial"/>
          <w:sz w:val="19"/>
          <w:szCs w:val="19"/>
        </w:rPr>
        <w:t xml:space="preserve"> La autoridad municipal fomentará espectáculos como una forma de mejorar el nivel cultural de los habitantes y garantizará la seguridad, comodidad y, en general, los intereses de los espectadores, vigilando que los empresarios cumplan con los derechos y obligaciones, así como las condiciones a las que deben ajustarse los espectáculo y diversiones que presenten al público.</w:t>
      </w:r>
    </w:p>
    <w:p w14:paraId="3A474C7B" w14:textId="77777777" w:rsidR="009B5E39" w:rsidRPr="003E70D3" w:rsidRDefault="009B5E39" w:rsidP="009B5E39">
      <w:pPr>
        <w:jc w:val="both"/>
        <w:rPr>
          <w:rFonts w:ascii="Gotham" w:hAnsi="Gotham"/>
          <w:b/>
          <w:sz w:val="20"/>
          <w:szCs w:val="20"/>
        </w:rPr>
      </w:pPr>
    </w:p>
    <w:p w14:paraId="3A474C7C" w14:textId="77777777" w:rsidR="009B5E39" w:rsidRPr="003E70D3" w:rsidRDefault="009B5E39" w:rsidP="009B5E39">
      <w:pPr>
        <w:jc w:val="both"/>
        <w:rPr>
          <w:rFonts w:ascii="Gotham" w:hAnsi="Gotham"/>
          <w:b/>
          <w:sz w:val="20"/>
          <w:szCs w:val="20"/>
        </w:rPr>
      </w:pPr>
      <w:r w:rsidRPr="003E70D3">
        <w:rPr>
          <w:rFonts w:ascii="Gotham" w:hAnsi="Gotham"/>
          <w:b/>
          <w:sz w:val="20"/>
          <w:szCs w:val="20"/>
        </w:rPr>
        <w:t xml:space="preserve">Se propone modificar el Artículo 3, actualmente dice: </w:t>
      </w:r>
    </w:p>
    <w:p w14:paraId="3A474C7D" w14:textId="77777777" w:rsidR="009B5E39" w:rsidRPr="003E70D3" w:rsidRDefault="009B5E39" w:rsidP="009B5E39">
      <w:pPr>
        <w:jc w:val="both"/>
        <w:rPr>
          <w:rFonts w:ascii="Gotham" w:hAnsi="Gotham"/>
          <w:b/>
          <w:sz w:val="20"/>
          <w:szCs w:val="20"/>
        </w:rPr>
      </w:pPr>
    </w:p>
    <w:p w14:paraId="3A474C7E"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3</w:t>
      </w:r>
      <w:r w:rsidRPr="00DC4B34">
        <w:rPr>
          <w:rFonts w:ascii="Gotham" w:hAnsi="Gotham" w:cs="Arial"/>
          <w:sz w:val="19"/>
          <w:szCs w:val="19"/>
        </w:rPr>
        <w:t xml:space="preserve">. Los individuos o las empresas que se dediquen a la presentación de espectáculos públicos diversiones o cualquier otra actividad contemplada en este reglamento, deberán recabar previamente el visto bueno del oficial mayor de Padrón y Licencias, que sólo será concedido si se reúnen las condiciones establecidas en este ordenamiento y en las demás disposiciones legales aplicables, recabando para ello la opinión favorable de la comisión de espectáculos del cabildo, quien señalará los requisitos que se deben cubrir para garantizar los intereses de los espectadores y la calidad de los espectáculos. </w:t>
      </w:r>
    </w:p>
    <w:p w14:paraId="3A474C7F" w14:textId="77777777" w:rsidR="009B5E39" w:rsidRPr="00EB0529" w:rsidRDefault="009B5E39" w:rsidP="009B5E39">
      <w:pPr>
        <w:jc w:val="both"/>
        <w:rPr>
          <w:rFonts w:ascii="Gotham" w:hAnsi="Gotham"/>
          <w:b/>
          <w:sz w:val="20"/>
          <w:szCs w:val="20"/>
        </w:rPr>
      </w:pPr>
    </w:p>
    <w:p w14:paraId="3A474C80" w14:textId="77777777" w:rsidR="009B5E39" w:rsidRPr="00EB0529" w:rsidRDefault="009B5E39" w:rsidP="009B5E39">
      <w:pPr>
        <w:jc w:val="both"/>
        <w:rPr>
          <w:rFonts w:ascii="Gotham" w:hAnsi="Gotham"/>
          <w:b/>
          <w:sz w:val="20"/>
          <w:szCs w:val="20"/>
        </w:rPr>
      </w:pPr>
      <w:r w:rsidRPr="00EB0529">
        <w:rPr>
          <w:rFonts w:ascii="Gotham" w:hAnsi="Gotham"/>
          <w:b/>
          <w:sz w:val="20"/>
          <w:szCs w:val="20"/>
        </w:rPr>
        <w:t xml:space="preserve">Debe decir: </w:t>
      </w:r>
    </w:p>
    <w:p w14:paraId="3A474C81" w14:textId="77777777" w:rsidR="009B5E39" w:rsidRPr="00EB0529" w:rsidRDefault="009B5E39" w:rsidP="009B5E39">
      <w:pPr>
        <w:jc w:val="both"/>
        <w:rPr>
          <w:rFonts w:ascii="Gotham" w:hAnsi="Gotham"/>
          <w:b/>
          <w:sz w:val="20"/>
          <w:szCs w:val="20"/>
        </w:rPr>
      </w:pPr>
    </w:p>
    <w:p w14:paraId="3A474C82"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DC4B34">
        <w:rPr>
          <w:rFonts w:ascii="Gotham" w:hAnsi="Gotham" w:cs="Arial"/>
          <w:sz w:val="19"/>
          <w:szCs w:val="19"/>
        </w:rPr>
        <w:t xml:space="preserve">Los individuos o las empresas que se dediquen a la presentación de espectáculos públicos diversiones o cualquier otra actividad contemplada en este reglamento, deberán recabar previamente el visto bueno del Director de Padrón y Licencias, que sólo será concedido si se reúnen las condiciones establecidas en este ordenamiento y en las demás disposiciones legales aplicables, quien señalará los requisitos que se deben cubrir para garantizar los intereses de los espectadores y la calidad de los espectáculos. </w:t>
      </w:r>
    </w:p>
    <w:p w14:paraId="3A474C83" w14:textId="77777777" w:rsidR="009B5E39" w:rsidRPr="00EB0529" w:rsidRDefault="009B5E39" w:rsidP="009B5E39">
      <w:pPr>
        <w:jc w:val="both"/>
        <w:rPr>
          <w:rFonts w:ascii="Gotham" w:hAnsi="Gotham"/>
          <w:b/>
          <w:sz w:val="20"/>
          <w:szCs w:val="20"/>
        </w:rPr>
      </w:pPr>
    </w:p>
    <w:p w14:paraId="3A474C84" w14:textId="77777777" w:rsidR="009B5E39" w:rsidRPr="00EB0529" w:rsidRDefault="009B5E39" w:rsidP="009B5E39">
      <w:pPr>
        <w:jc w:val="both"/>
        <w:rPr>
          <w:rFonts w:ascii="Gotham" w:hAnsi="Gotham"/>
          <w:b/>
          <w:sz w:val="20"/>
          <w:szCs w:val="20"/>
        </w:rPr>
      </w:pPr>
      <w:r w:rsidRPr="00EB0529">
        <w:rPr>
          <w:rFonts w:ascii="Gotham" w:hAnsi="Gotham"/>
          <w:b/>
          <w:sz w:val="20"/>
          <w:szCs w:val="20"/>
        </w:rPr>
        <w:t xml:space="preserve">Artículo 4 actualmente dice: </w:t>
      </w:r>
    </w:p>
    <w:p w14:paraId="3A474C85" w14:textId="77777777" w:rsidR="009B5E39" w:rsidRPr="00EB0529" w:rsidRDefault="009B5E39" w:rsidP="009B5E39">
      <w:pPr>
        <w:jc w:val="both"/>
        <w:rPr>
          <w:rFonts w:ascii="Gotham" w:hAnsi="Gotham"/>
          <w:b/>
          <w:sz w:val="20"/>
          <w:szCs w:val="20"/>
        </w:rPr>
      </w:pPr>
    </w:p>
    <w:p w14:paraId="3A474C86"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4</w:t>
      </w:r>
      <w:r w:rsidRPr="00DC4B34">
        <w:rPr>
          <w:rFonts w:ascii="Gotham" w:hAnsi="Gotham" w:cs="Arial"/>
          <w:sz w:val="19"/>
          <w:szCs w:val="19"/>
        </w:rPr>
        <w:t>. Tanto en las obras públicas, como en los locales cerrados o abiertos, se pueden presentar los espectáculos o diversiones públicas.</w:t>
      </w:r>
    </w:p>
    <w:p w14:paraId="3A474C87" w14:textId="77777777" w:rsidR="009B5E39" w:rsidRPr="00EB0529" w:rsidRDefault="009B5E39" w:rsidP="009B5E39">
      <w:pPr>
        <w:jc w:val="both"/>
        <w:rPr>
          <w:rFonts w:ascii="Gotham" w:hAnsi="Gotham"/>
          <w:b/>
          <w:sz w:val="20"/>
          <w:szCs w:val="20"/>
        </w:rPr>
      </w:pPr>
    </w:p>
    <w:p w14:paraId="3A474C88" w14:textId="77777777" w:rsidR="009B5E39" w:rsidRPr="00EB0529" w:rsidRDefault="009B5E39" w:rsidP="009B5E39">
      <w:pPr>
        <w:jc w:val="both"/>
        <w:rPr>
          <w:rFonts w:ascii="Gotham" w:hAnsi="Gotham"/>
          <w:b/>
          <w:sz w:val="20"/>
          <w:szCs w:val="20"/>
        </w:rPr>
      </w:pPr>
      <w:r w:rsidRPr="00EB0529">
        <w:rPr>
          <w:rFonts w:ascii="Gotham" w:hAnsi="Gotham"/>
          <w:b/>
          <w:sz w:val="20"/>
          <w:szCs w:val="20"/>
        </w:rPr>
        <w:t xml:space="preserve">Debe decir: </w:t>
      </w:r>
    </w:p>
    <w:p w14:paraId="3A474C89" w14:textId="77777777" w:rsidR="009B5E39" w:rsidRPr="00EB0529" w:rsidRDefault="009B5E39" w:rsidP="009B5E39">
      <w:pPr>
        <w:jc w:val="both"/>
        <w:rPr>
          <w:rFonts w:ascii="Gotham" w:hAnsi="Gotham"/>
          <w:b/>
          <w:sz w:val="20"/>
          <w:szCs w:val="20"/>
        </w:rPr>
      </w:pPr>
    </w:p>
    <w:p w14:paraId="3A474C8A"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4.</w:t>
      </w:r>
      <w:r w:rsidRPr="00DC4B34">
        <w:rPr>
          <w:rFonts w:ascii="Gotham" w:hAnsi="Gotham" w:cs="Arial"/>
          <w:sz w:val="19"/>
          <w:szCs w:val="19"/>
        </w:rPr>
        <w:t xml:space="preserve"> Tanto en lugares públicos, como en los locales cerrados o abiertos, se pueden presentar los espectáculos o diversiones públicas, siempre y cuando reúnen las condiciones establecidas en este reglamento y en las demás disposiciones legales aplicables. </w:t>
      </w:r>
    </w:p>
    <w:p w14:paraId="3A474C8B" w14:textId="77777777" w:rsidR="009B5E39" w:rsidRPr="00EB0529" w:rsidRDefault="009B5E39" w:rsidP="009B5E39">
      <w:pPr>
        <w:jc w:val="both"/>
        <w:rPr>
          <w:rFonts w:ascii="Gotham" w:hAnsi="Gotham"/>
          <w:b/>
          <w:sz w:val="20"/>
          <w:szCs w:val="20"/>
        </w:rPr>
      </w:pPr>
    </w:p>
    <w:p w14:paraId="3A474C8C" w14:textId="77777777" w:rsidR="009B5E39" w:rsidRPr="00EB0529" w:rsidRDefault="009B5E39" w:rsidP="009B5E39">
      <w:pPr>
        <w:jc w:val="both"/>
        <w:rPr>
          <w:rFonts w:ascii="Gotham" w:hAnsi="Gotham"/>
          <w:b/>
          <w:sz w:val="20"/>
          <w:szCs w:val="20"/>
        </w:rPr>
      </w:pPr>
      <w:r w:rsidRPr="00EB0529">
        <w:rPr>
          <w:rFonts w:ascii="Gotham" w:hAnsi="Gotham"/>
          <w:b/>
          <w:sz w:val="20"/>
          <w:szCs w:val="20"/>
        </w:rPr>
        <w:t>Los artículos 5, 6, 7, 8, 9, 10, 11, 12, 13, 14, 15</w:t>
      </w:r>
      <w:r w:rsidR="00883EC2">
        <w:rPr>
          <w:rFonts w:ascii="Gotham" w:hAnsi="Gotham"/>
          <w:b/>
          <w:sz w:val="20"/>
          <w:szCs w:val="20"/>
        </w:rPr>
        <w:t xml:space="preserve"> </w:t>
      </w:r>
      <w:r w:rsidRPr="00EB0529">
        <w:rPr>
          <w:rFonts w:ascii="Gotham" w:hAnsi="Gotham"/>
          <w:b/>
          <w:sz w:val="20"/>
          <w:szCs w:val="20"/>
        </w:rPr>
        <w:t>queda intocados.</w:t>
      </w:r>
    </w:p>
    <w:p w14:paraId="3A474C8D" w14:textId="77777777" w:rsidR="009B5E39" w:rsidRPr="00EB0529" w:rsidRDefault="009B5E39" w:rsidP="009B5E39">
      <w:pPr>
        <w:jc w:val="both"/>
        <w:rPr>
          <w:rFonts w:ascii="Gotham" w:hAnsi="Gotham"/>
          <w:b/>
          <w:sz w:val="20"/>
          <w:szCs w:val="20"/>
        </w:rPr>
      </w:pPr>
    </w:p>
    <w:p w14:paraId="3A474C8E"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5.</w:t>
      </w:r>
      <w:r w:rsidRPr="00DC4B34">
        <w:rPr>
          <w:rFonts w:ascii="Gotham" w:hAnsi="Gotham" w:cs="Arial"/>
          <w:sz w:val="19"/>
          <w:szCs w:val="19"/>
        </w:rPr>
        <w:t xml:space="preserve"> Todos los locales destinados a la presentación de espectáculos o diversiones públicas deben ajustarse a lo estipulado en el presente reglamento, y a las demás disposiciones legales aplicables.</w:t>
      </w:r>
    </w:p>
    <w:p w14:paraId="3A474C8F"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90"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lastRenderedPageBreak/>
        <w:t>Artículo 6.</w:t>
      </w:r>
      <w:r w:rsidRPr="00DC4B34">
        <w:rPr>
          <w:rFonts w:ascii="Gotham" w:hAnsi="Gotham" w:cs="Arial"/>
          <w:sz w:val="19"/>
          <w:szCs w:val="19"/>
        </w:rPr>
        <w:t xml:space="preserve"> En los locales cerrados deberá colocarse en lugares visibles un croquis del inmueble, en el que se señalará con claridad la ubicación de las salidas de emergencia, de los extinguidores y demás elementos de seguridad, y dar gráficamente, una orientación sobre los pasos a seguir en caso de emergencia.</w:t>
      </w:r>
    </w:p>
    <w:p w14:paraId="3A474C91"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92"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7.</w:t>
      </w:r>
      <w:r w:rsidR="00883EC2">
        <w:rPr>
          <w:rFonts w:ascii="Gotham" w:hAnsi="Gotham" w:cs="Arial"/>
          <w:sz w:val="19"/>
          <w:szCs w:val="19"/>
        </w:rPr>
        <w:t xml:space="preserve"> </w:t>
      </w:r>
      <w:r w:rsidRPr="00DC4B34">
        <w:rPr>
          <w:rFonts w:ascii="Gotham" w:hAnsi="Gotham" w:cs="Arial"/>
          <w:sz w:val="19"/>
          <w:szCs w:val="19"/>
        </w:rPr>
        <w:t>Todos los locales cerrados deberán estar iluminados suficientemente y sin interrupción, desde que se abren para el ingreso de los espectadores hasta el retiro de los mismos.</w:t>
      </w:r>
    </w:p>
    <w:p w14:paraId="3A474C93"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94"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8.</w:t>
      </w:r>
      <w:r w:rsidRPr="00DC4B34">
        <w:rPr>
          <w:rFonts w:ascii="Gotham" w:hAnsi="Gotham" w:cs="Arial"/>
          <w:sz w:val="19"/>
          <w:szCs w:val="19"/>
        </w:rPr>
        <w:t xml:space="preserve"> Los locales destinados a la presentación de espectáculos o diversiones públicas deberán tener letreros en todas las puertas que conduzcan al exterior, la palabra "Salida" perfectamente visible y los demás señalamientos, a juicio de la Dirección General de Obras Públicas Municipales y del departamento de Inspección y Reglamentos.</w:t>
      </w:r>
    </w:p>
    <w:p w14:paraId="3A474C95"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96"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9.</w:t>
      </w:r>
      <w:r w:rsidRPr="00DC4B34">
        <w:rPr>
          <w:rFonts w:ascii="Gotham" w:hAnsi="Gotham" w:cs="Arial"/>
          <w:sz w:val="19"/>
          <w:szCs w:val="19"/>
        </w:rPr>
        <w:t xml:space="preserve"> Los locales cerrados deberán estar suficientemente ventilados, exigiéndose para el efecto la instalación de aire acondicionado y los aparatos purificadores de ambiente que se necesiten.</w:t>
      </w:r>
    </w:p>
    <w:p w14:paraId="3A474C97"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98"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10.</w:t>
      </w:r>
      <w:r w:rsidRPr="00DC4B34">
        <w:rPr>
          <w:rFonts w:ascii="Gotham" w:hAnsi="Gotham" w:cs="Arial"/>
          <w:sz w:val="19"/>
          <w:szCs w:val="19"/>
        </w:rPr>
        <w:t xml:space="preserve"> Los locales destinados a la presentación de espectáculos públicos deberán estar provistos de una planta eléctrica de la capacidad suficiente, que supla las eventuales interrupciones en el suministro de la energía.</w:t>
      </w:r>
    </w:p>
    <w:p w14:paraId="3A474C99"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9A"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11.</w:t>
      </w:r>
      <w:r w:rsidRPr="00DC4B34">
        <w:rPr>
          <w:rFonts w:ascii="Gotham" w:hAnsi="Gotham" w:cs="Arial"/>
          <w:sz w:val="19"/>
          <w:szCs w:val="19"/>
        </w:rPr>
        <w:t xml:space="preserve"> En todos los locales donde se presenten espectáculos públicos que por su naturaleza requieran mantener cerradas las puertas durante las funciones, las de emergencia deberán contar con un mecanismo que permita abrirlas instantáneamente cuando la ocasión lo exija.</w:t>
      </w:r>
    </w:p>
    <w:p w14:paraId="3A474C9B"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9C"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12.</w:t>
      </w:r>
      <w:r w:rsidRPr="00DC4B34">
        <w:rPr>
          <w:rFonts w:ascii="Gotham" w:hAnsi="Gotham" w:cs="Arial"/>
          <w:sz w:val="19"/>
          <w:szCs w:val="19"/>
        </w:rPr>
        <w:t xml:space="preserve"> Todas las salidas de emergencia, no deben ofrecer ningún peligro para el público; su desembocadura debe ser preferentemente a un lugar abierto y los pasillos que conduzcan a tales salidas no deben tener escaleras, sino rampas de suave desnivel.</w:t>
      </w:r>
    </w:p>
    <w:p w14:paraId="3A474C9D"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9E"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13.</w:t>
      </w:r>
      <w:r w:rsidRPr="00DC4B34">
        <w:rPr>
          <w:rFonts w:ascii="Gotham" w:hAnsi="Gotham" w:cs="Arial"/>
          <w:sz w:val="19"/>
          <w:szCs w:val="19"/>
        </w:rPr>
        <w:t xml:space="preserve"> Las butacas deben estar colocadas de tal manera que permitan el libre paso de personas entre una fila y otra, sin que los espectadores que se encuentren sentados tengan que levantarse con ese fin.</w:t>
      </w:r>
    </w:p>
    <w:p w14:paraId="3A474C9F"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A0"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14.</w:t>
      </w:r>
      <w:r w:rsidRPr="00DC4B34">
        <w:rPr>
          <w:rFonts w:ascii="Gotham" w:hAnsi="Gotham" w:cs="Arial"/>
          <w:sz w:val="19"/>
          <w:szCs w:val="19"/>
        </w:rPr>
        <w:t xml:space="preserve"> El aforo original en ningún caso será motivo de aumento en el número de asientos, sillas, bancas o cualquier objeto en pasillos u otro lugar donde puedan obstruir la libre circulación del público. </w:t>
      </w:r>
    </w:p>
    <w:p w14:paraId="3A474CA1"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p>
    <w:p w14:paraId="3A474CA2"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15.</w:t>
      </w:r>
      <w:r w:rsidRPr="00DC4B34">
        <w:rPr>
          <w:rFonts w:ascii="Gotham" w:hAnsi="Gotham" w:cs="Arial"/>
          <w:sz w:val="19"/>
          <w:szCs w:val="19"/>
        </w:rPr>
        <w:t xml:space="preserve"> Los locales deben tener teléfonos públicos; si su aforo no excede de 3,000, un aparato; y uno más por cada 3,000 localidades más. Los empresarios están obligados a proporcionar gratuitamente al público sus teléfonos privados, en caso de que los públicos sufran deterioro o avería.</w:t>
      </w:r>
    </w:p>
    <w:p w14:paraId="3A474CA3" w14:textId="77777777" w:rsidR="009B5E39" w:rsidRPr="00EB0529" w:rsidRDefault="009B5E39" w:rsidP="009B5E39">
      <w:pPr>
        <w:jc w:val="both"/>
        <w:rPr>
          <w:rFonts w:ascii="Gotham" w:hAnsi="Gotham"/>
          <w:b/>
          <w:sz w:val="20"/>
          <w:szCs w:val="20"/>
        </w:rPr>
      </w:pPr>
    </w:p>
    <w:p w14:paraId="3A474CA4" w14:textId="77777777" w:rsidR="009B5E39" w:rsidRPr="00EB0529" w:rsidRDefault="009B5E39" w:rsidP="009B5E39">
      <w:pPr>
        <w:jc w:val="both"/>
        <w:rPr>
          <w:rFonts w:ascii="Gotham" w:hAnsi="Gotham"/>
          <w:b/>
          <w:sz w:val="20"/>
          <w:szCs w:val="20"/>
        </w:rPr>
      </w:pPr>
      <w:r w:rsidRPr="00EB0529">
        <w:rPr>
          <w:rFonts w:ascii="Gotham" w:hAnsi="Gotham"/>
          <w:b/>
          <w:sz w:val="20"/>
          <w:szCs w:val="20"/>
        </w:rPr>
        <w:t xml:space="preserve">Artículo 16 actualmente dice: </w:t>
      </w:r>
    </w:p>
    <w:p w14:paraId="3A474CA5" w14:textId="77777777" w:rsidR="009B5E39" w:rsidRPr="00EB0529" w:rsidRDefault="009B5E39" w:rsidP="009B5E39">
      <w:pPr>
        <w:jc w:val="both"/>
        <w:rPr>
          <w:rFonts w:ascii="Gotham" w:hAnsi="Gotham"/>
          <w:b/>
          <w:sz w:val="20"/>
          <w:szCs w:val="20"/>
        </w:rPr>
      </w:pPr>
    </w:p>
    <w:p w14:paraId="3A474CA6"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16.</w:t>
      </w:r>
      <w:r w:rsidRPr="00DC4B34">
        <w:rPr>
          <w:rFonts w:ascii="Gotham" w:hAnsi="Gotham" w:cs="Arial"/>
          <w:sz w:val="19"/>
          <w:szCs w:val="19"/>
        </w:rPr>
        <w:t xml:space="preserve"> Todos los locales inclusive aquellos que presenten funciones aisladas, serán supervisados previamente a la presentación de los espectáculos públicos por el departamento de Inspección, recabando la opinión favorable de la comisión de espectáculos del cabildo en cuanto a la verificación de las condiciones de seguridad, comodidad, higiene y funcionalidad requerida. En los locales cerrados se verificará el buen estado de los equipos y elementos destinados a la prevención de incendios, así como las medidas pertinentes para evitar un siniestro, ajustándose a las disposiciones aplicables.</w:t>
      </w:r>
    </w:p>
    <w:p w14:paraId="3A474CA7" w14:textId="77777777" w:rsidR="009B5E39" w:rsidRPr="00F94C5C" w:rsidRDefault="009B5E39" w:rsidP="009B5E39">
      <w:pPr>
        <w:jc w:val="both"/>
        <w:rPr>
          <w:rFonts w:ascii="Gotham" w:hAnsi="Gotham"/>
          <w:b/>
          <w:sz w:val="20"/>
          <w:szCs w:val="20"/>
        </w:rPr>
      </w:pPr>
    </w:p>
    <w:p w14:paraId="3A474CA8" w14:textId="77777777" w:rsidR="009B5E39" w:rsidRPr="00F94C5C" w:rsidRDefault="009B5E39" w:rsidP="009B5E39">
      <w:pPr>
        <w:jc w:val="both"/>
        <w:rPr>
          <w:rFonts w:ascii="Gotham" w:hAnsi="Gotham"/>
          <w:b/>
          <w:sz w:val="20"/>
          <w:szCs w:val="20"/>
        </w:rPr>
      </w:pPr>
      <w:r w:rsidRPr="00F94C5C">
        <w:rPr>
          <w:rFonts w:ascii="Gotham" w:hAnsi="Gotham"/>
          <w:b/>
          <w:sz w:val="20"/>
          <w:szCs w:val="20"/>
        </w:rPr>
        <w:t xml:space="preserve">Debe decir: </w:t>
      </w:r>
    </w:p>
    <w:p w14:paraId="3A474CA9" w14:textId="77777777" w:rsidR="009B5E39" w:rsidRPr="00F94C5C" w:rsidRDefault="009B5E39" w:rsidP="009B5E39">
      <w:pPr>
        <w:jc w:val="both"/>
        <w:rPr>
          <w:rFonts w:ascii="Gotham" w:hAnsi="Gotham"/>
          <w:b/>
          <w:sz w:val="20"/>
          <w:szCs w:val="20"/>
        </w:rPr>
      </w:pPr>
    </w:p>
    <w:p w14:paraId="3A474CAA"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16.</w:t>
      </w:r>
      <w:r w:rsidRPr="00DC4B34">
        <w:rPr>
          <w:rFonts w:ascii="Gotham" w:hAnsi="Gotham" w:cs="Arial"/>
          <w:sz w:val="19"/>
          <w:szCs w:val="19"/>
        </w:rPr>
        <w:t xml:space="preserve"> Todos los locales inclusive aquellos que presenten funciones aisladas, serán supervisados previamente a la presentación de los espectáculos públicos por Dirección de Inspección y Vigilancia, para la verificación de las condiciones de seguridad, comodidad, higiene y funcionalidad requerida. </w:t>
      </w:r>
      <w:r w:rsidRPr="00DC4B34">
        <w:rPr>
          <w:rFonts w:ascii="Gotham" w:hAnsi="Gotham" w:cs="Arial"/>
          <w:sz w:val="19"/>
          <w:szCs w:val="19"/>
        </w:rPr>
        <w:lastRenderedPageBreak/>
        <w:t>En los locales cerrados se verificará el buen estado de los equipos y elementos destinados a la prevención de incendios, así como las medidas pertinentes para evitar un siniestro, ajustándose a las disposiciones aplicables.</w:t>
      </w:r>
    </w:p>
    <w:p w14:paraId="3A474CAB" w14:textId="77777777" w:rsidR="009B5E39" w:rsidRPr="00F94C5C" w:rsidRDefault="009B5E39" w:rsidP="009B5E39">
      <w:pPr>
        <w:jc w:val="both"/>
        <w:rPr>
          <w:rFonts w:ascii="Gotham" w:hAnsi="Gotham"/>
          <w:b/>
          <w:sz w:val="20"/>
          <w:szCs w:val="20"/>
        </w:rPr>
      </w:pPr>
    </w:p>
    <w:p w14:paraId="3A474CAC" w14:textId="77777777" w:rsidR="009B5E39" w:rsidRPr="00F94C5C" w:rsidRDefault="009B5E39" w:rsidP="009B5E39">
      <w:pPr>
        <w:jc w:val="both"/>
        <w:rPr>
          <w:rFonts w:ascii="Gotham" w:hAnsi="Gotham"/>
          <w:b/>
          <w:sz w:val="20"/>
          <w:szCs w:val="20"/>
        </w:rPr>
      </w:pPr>
      <w:r w:rsidRPr="00F94C5C">
        <w:rPr>
          <w:rFonts w:ascii="Gotham" w:hAnsi="Gotham"/>
          <w:b/>
          <w:sz w:val="20"/>
          <w:szCs w:val="20"/>
        </w:rPr>
        <w:t>El artículo 17 actualmente dice:</w:t>
      </w:r>
    </w:p>
    <w:p w14:paraId="3A474CAD" w14:textId="77777777" w:rsidR="009B5E39" w:rsidRPr="00F94C5C" w:rsidRDefault="009B5E39" w:rsidP="009B5E39">
      <w:pPr>
        <w:jc w:val="both"/>
        <w:rPr>
          <w:rFonts w:ascii="Gotham" w:hAnsi="Gotham"/>
          <w:b/>
          <w:sz w:val="20"/>
          <w:szCs w:val="20"/>
        </w:rPr>
      </w:pPr>
    </w:p>
    <w:p w14:paraId="3A474CAE" w14:textId="77777777" w:rsidR="009B5E39" w:rsidRPr="00DC4B34" w:rsidRDefault="009B5E39" w:rsidP="009B5E39">
      <w:pPr>
        <w:widowControl w:val="0"/>
        <w:tabs>
          <w:tab w:val="left" w:pos="942"/>
        </w:tabs>
        <w:autoSpaceDE w:val="0"/>
        <w:autoSpaceDN w:val="0"/>
        <w:ind w:left="284" w:right="283"/>
        <w:jc w:val="both"/>
        <w:rPr>
          <w:rFonts w:ascii="Gotham" w:hAnsi="Gotham" w:cs="Arial"/>
          <w:sz w:val="19"/>
          <w:szCs w:val="19"/>
        </w:rPr>
      </w:pPr>
      <w:r w:rsidRPr="00F64D8A">
        <w:rPr>
          <w:rFonts w:ascii="Gotham" w:hAnsi="Gotham" w:cs="Arial"/>
          <w:b/>
          <w:sz w:val="19"/>
          <w:szCs w:val="19"/>
        </w:rPr>
        <w:t>Artículo 17.</w:t>
      </w:r>
      <w:r w:rsidRPr="00DC4B34">
        <w:rPr>
          <w:rFonts w:ascii="Gotham" w:hAnsi="Gotham" w:cs="Arial"/>
          <w:sz w:val="19"/>
          <w:szCs w:val="19"/>
        </w:rPr>
        <w:t xml:space="preserve"> Los locales ambulantes donde se presenten espectáculos de manera eventual, como son circos, carpas, ferias u otras diversiones similares, deben reunir los requisitos de seguridad indispensable en sus instalaciones, y las relativas a sanidad, su ubicación no debe ser mayor de 100 metros. Para vigilar lo anterior, el departamento de inspección comisionará a los peritos e inspectores que considere pertinente, mismos que deben ser pagados por el empresario. </w:t>
      </w:r>
    </w:p>
    <w:p w14:paraId="3A474CAF" w14:textId="77777777" w:rsidR="009B5E39" w:rsidRPr="00F94C5C" w:rsidRDefault="009B5E39" w:rsidP="009B5E39">
      <w:pPr>
        <w:jc w:val="both"/>
        <w:rPr>
          <w:rFonts w:ascii="Gotham" w:hAnsi="Gotham"/>
          <w:b/>
          <w:sz w:val="20"/>
          <w:szCs w:val="20"/>
        </w:rPr>
      </w:pPr>
    </w:p>
    <w:p w14:paraId="3A474CB0" w14:textId="77777777" w:rsidR="009B5E39" w:rsidRPr="00F94C5C" w:rsidRDefault="009B5E39" w:rsidP="009B5E39">
      <w:pPr>
        <w:jc w:val="both"/>
        <w:rPr>
          <w:rFonts w:ascii="Gotham" w:hAnsi="Gotham"/>
          <w:b/>
          <w:sz w:val="20"/>
          <w:szCs w:val="20"/>
        </w:rPr>
      </w:pPr>
      <w:r w:rsidRPr="00F94C5C">
        <w:rPr>
          <w:rFonts w:ascii="Gotham" w:hAnsi="Gotham"/>
          <w:b/>
          <w:sz w:val="20"/>
          <w:szCs w:val="20"/>
        </w:rPr>
        <w:t xml:space="preserve">Debe decir: </w:t>
      </w:r>
    </w:p>
    <w:p w14:paraId="3A474CB1" w14:textId="77777777" w:rsidR="009B5E39" w:rsidRPr="00F94C5C" w:rsidRDefault="009B5E39" w:rsidP="009B5E39">
      <w:pPr>
        <w:jc w:val="both"/>
        <w:rPr>
          <w:rFonts w:ascii="Gotham" w:hAnsi="Gotham"/>
          <w:b/>
          <w:sz w:val="20"/>
          <w:szCs w:val="20"/>
        </w:rPr>
      </w:pPr>
    </w:p>
    <w:p w14:paraId="3A474CB2" w14:textId="77777777" w:rsidR="009B5E39" w:rsidRPr="009F4E0B" w:rsidRDefault="009B5E39" w:rsidP="009B5E39">
      <w:pPr>
        <w:widowControl w:val="0"/>
        <w:tabs>
          <w:tab w:val="left" w:pos="942"/>
        </w:tabs>
        <w:autoSpaceDE w:val="0"/>
        <w:autoSpaceDN w:val="0"/>
        <w:ind w:left="284" w:right="283"/>
        <w:jc w:val="both"/>
        <w:rPr>
          <w:rFonts w:ascii="Gotham" w:hAnsi="Gotham" w:cs="Arial"/>
          <w:sz w:val="19"/>
          <w:szCs w:val="19"/>
        </w:rPr>
      </w:pPr>
      <w:r w:rsidRPr="0054333B">
        <w:rPr>
          <w:rFonts w:ascii="Gotham" w:hAnsi="Gotham" w:cs="Arial"/>
          <w:b/>
          <w:sz w:val="19"/>
          <w:szCs w:val="19"/>
        </w:rPr>
        <w:t>Artículo 17.</w:t>
      </w:r>
      <w:r w:rsidRPr="009F4E0B">
        <w:rPr>
          <w:rFonts w:ascii="Gotham" w:hAnsi="Gotham" w:cs="Arial"/>
          <w:sz w:val="19"/>
          <w:szCs w:val="19"/>
        </w:rPr>
        <w:t xml:space="preserve"> Los locales ambulantes donde se presenten espectáculos de manera eventual, como son circos, carpas, ferias u otras diversiones similares, deben reunir los requisitos de seguridad indispensable en sus instalaciones, y las relativas a sanidad, su ubicación no debe ser mayor de 100 metros. Para vigilar lo anterior, la dirección de inspección y vigilancia comisionará a los peritos e inspectores que considere pertinente, mismos que deben ser pagados por el empresario.</w:t>
      </w:r>
    </w:p>
    <w:p w14:paraId="3A474CB3" w14:textId="77777777" w:rsidR="009B5E39" w:rsidRPr="009F4E0B" w:rsidRDefault="009B5E39" w:rsidP="009B5E39">
      <w:pPr>
        <w:jc w:val="both"/>
        <w:rPr>
          <w:rFonts w:ascii="Gotham" w:hAnsi="Gotham"/>
          <w:b/>
          <w:sz w:val="20"/>
          <w:szCs w:val="20"/>
        </w:rPr>
      </w:pPr>
    </w:p>
    <w:p w14:paraId="3A474CB4" w14:textId="77777777" w:rsidR="009B5E39" w:rsidRPr="009F4E0B" w:rsidRDefault="009B5E39" w:rsidP="009B5E39">
      <w:pPr>
        <w:jc w:val="both"/>
        <w:rPr>
          <w:rFonts w:ascii="Gotham" w:hAnsi="Gotham"/>
          <w:b/>
          <w:sz w:val="20"/>
          <w:szCs w:val="20"/>
        </w:rPr>
      </w:pPr>
      <w:r w:rsidRPr="009F4E0B">
        <w:rPr>
          <w:rFonts w:ascii="Gotham" w:hAnsi="Gotham"/>
          <w:b/>
          <w:sz w:val="20"/>
          <w:szCs w:val="20"/>
        </w:rPr>
        <w:t>Los artículos 18, 19, 20, 21, 22 queda intocados.</w:t>
      </w:r>
    </w:p>
    <w:p w14:paraId="3A474CB5" w14:textId="77777777" w:rsidR="009B5E39" w:rsidRPr="009F4E0B" w:rsidRDefault="009B5E39" w:rsidP="009B5E39">
      <w:pPr>
        <w:jc w:val="both"/>
        <w:rPr>
          <w:rFonts w:ascii="Gotham" w:hAnsi="Gotham"/>
          <w:b/>
          <w:sz w:val="20"/>
          <w:szCs w:val="20"/>
        </w:rPr>
      </w:pPr>
    </w:p>
    <w:p w14:paraId="3A474CB6"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r w:rsidRPr="003A124F">
        <w:rPr>
          <w:rFonts w:ascii="Gotham" w:hAnsi="Gotham" w:cs="Arial"/>
          <w:b/>
          <w:sz w:val="19"/>
          <w:szCs w:val="19"/>
        </w:rPr>
        <w:t>Artículo 18.</w:t>
      </w:r>
      <w:r w:rsidRPr="0054333B">
        <w:rPr>
          <w:rFonts w:ascii="Gotham" w:hAnsi="Gotham" w:cs="Arial"/>
          <w:sz w:val="19"/>
          <w:szCs w:val="19"/>
        </w:rPr>
        <w:t xml:space="preserve"> Para los efectos de este reglamento, todas las empresas de espectáculos deberán designar un representante ante el H. Ayuntamiento, acreditándolo debidamente.</w:t>
      </w:r>
    </w:p>
    <w:p w14:paraId="3A474CB7"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p>
    <w:p w14:paraId="3A474CB8"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r w:rsidRPr="003A124F">
        <w:rPr>
          <w:rFonts w:ascii="Gotham" w:hAnsi="Gotham" w:cs="Arial"/>
          <w:b/>
          <w:sz w:val="19"/>
          <w:szCs w:val="19"/>
        </w:rPr>
        <w:t>Artículo 19.</w:t>
      </w:r>
      <w:r w:rsidRPr="0054333B">
        <w:rPr>
          <w:rFonts w:ascii="Gotham" w:hAnsi="Gotham" w:cs="Arial"/>
          <w:sz w:val="19"/>
          <w:szCs w:val="19"/>
        </w:rPr>
        <w:t xml:space="preserve"> Es obligación de los empresarios facilitar gratuitamente sus instalaciones al H. Ayuntamiento de Tonalá. Jalisco, para la celebración de festivales o eventos de otro tipo, y auxiliarlo en las campañas de beneficio social que emprenda. Por su parte, el H Ayuntamiento procurará que esta obligación no se imponga siempre a la misma empresa.</w:t>
      </w:r>
    </w:p>
    <w:p w14:paraId="3A474CB9"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p>
    <w:p w14:paraId="3A474CBA"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r w:rsidRPr="003A124F">
        <w:rPr>
          <w:rFonts w:ascii="Gotham" w:hAnsi="Gotham" w:cs="Arial"/>
          <w:b/>
          <w:sz w:val="19"/>
          <w:szCs w:val="19"/>
        </w:rPr>
        <w:t>Artículo 20.</w:t>
      </w:r>
      <w:r w:rsidRPr="0054333B">
        <w:rPr>
          <w:rFonts w:ascii="Gotham" w:hAnsi="Gotham" w:cs="Arial"/>
          <w:sz w:val="19"/>
          <w:szCs w:val="19"/>
        </w:rPr>
        <w:t xml:space="preserve"> Las empresas tendrán la obligación de proteger y estimular valores del arte y la cultura nacionales, promoviendo para ello la difusión de otras de producciones mexicanas.</w:t>
      </w:r>
    </w:p>
    <w:p w14:paraId="3A474CBB"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p>
    <w:p w14:paraId="3A474CBC"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r w:rsidRPr="003A124F">
        <w:rPr>
          <w:rFonts w:ascii="Gotham" w:hAnsi="Gotham" w:cs="Arial"/>
          <w:b/>
          <w:sz w:val="19"/>
          <w:szCs w:val="19"/>
        </w:rPr>
        <w:t>Artículo 21.</w:t>
      </w:r>
      <w:r w:rsidRPr="0054333B">
        <w:rPr>
          <w:rFonts w:ascii="Gotham" w:hAnsi="Gotham" w:cs="Arial"/>
          <w:sz w:val="19"/>
          <w:szCs w:val="19"/>
        </w:rPr>
        <w:t xml:space="preserve"> Todas las obras, en cualquier tipo de espectáculo, deberán hacerse precisamente en español; cuando el título original de alguna obra extranjera no sea en español, se tendrá cuidado de hacer la traducción respectiva.</w:t>
      </w:r>
    </w:p>
    <w:p w14:paraId="3A474CBD"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p>
    <w:p w14:paraId="3A474CBE"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r w:rsidRPr="003A124F">
        <w:rPr>
          <w:rFonts w:ascii="Gotham" w:hAnsi="Gotham" w:cs="Arial"/>
          <w:b/>
          <w:sz w:val="19"/>
          <w:szCs w:val="19"/>
        </w:rPr>
        <w:t>Artículo 22.</w:t>
      </w:r>
      <w:r w:rsidRPr="0054333B">
        <w:rPr>
          <w:rFonts w:ascii="Gotham" w:hAnsi="Gotham" w:cs="Arial"/>
          <w:sz w:val="19"/>
          <w:szCs w:val="19"/>
        </w:rPr>
        <w:t xml:space="preserve"> Todas las empresas, mediante la fijación de carteles en lugares visibles y en los propios boletos deben señalar que está prohibida la entrada y la estancia de niños menores de 3 años, en todos los espectáculos que se presenten en locales cerrados.</w:t>
      </w:r>
    </w:p>
    <w:p w14:paraId="3A474CBF" w14:textId="77777777" w:rsidR="009B5E39" w:rsidRPr="009F4E0B" w:rsidRDefault="009B5E39" w:rsidP="009B5E39">
      <w:pPr>
        <w:jc w:val="both"/>
        <w:rPr>
          <w:rFonts w:ascii="Gotham" w:hAnsi="Gotham"/>
          <w:b/>
          <w:sz w:val="20"/>
          <w:szCs w:val="20"/>
        </w:rPr>
      </w:pPr>
    </w:p>
    <w:p w14:paraId="3A474CC0" w14:textId="77777777" w:rsidR="009B5E39" w:rsidRPr="009F4E0B" w:rsidRDefault="009B5E39" w:rsidP="009B5E39">
      <w:pPr>
        <w:jc w:val="both"/>
        <w:rPr>
          <w:rFonts w:ascii="Gotham" w:hAnsi="Gotham"/>
          <w:b/>
          <w:sz w:val="20"/>
          <w:szCs w:val="20"/>
        </w:rPr>
      </w:pPr>
      <w:r w:rsidRPr="009F4E0B">
        <w:rPr>
          <w:rFonts w:ascii="Gotham" w:hAnsi="Gotham"/>
          <w:b/>
          <w:sz w:val="20"/>
          <w:szCs w:val="20"/>
        </w:rPr>
        <w:t>El artículo 23 actualmente dice:</w:t>
      </w:r>
    </w:p>
    <w:p w14:paraId="3A474CC1" w14:textId="77777777" w:rsidR="009B5E39" w:rsidRPr="009F4E0B" w:rsidRDefault="009B5E39" w:rsidP="009B5E39">
      <w:pPr>
        <w:jc w:val="both"/>
        <w:rPr>
          <w:rFonts w:ascii="Gotham" w:hAnsi="Gotham"/>
          <w:b/>
          <w:sz w:val="20"/>
          <w:szCs w:val="20"/>
        </w:rPr>
      </w:pPr>
    </w:p>
    <w:p w14:paraId="3A474CC2"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r w:rsidRPr="003A124F">
        <w:rPr>
          <w:rFonts w:ascii="Gotham" w:hAnsi="Gotham" w:cs="Arial"/>
          <w:b/>
          <w:sz w:val="19"/>
          <w:szCs w:val="19"/>
        </w:rPr>
        <w:t>Artículo 23.</w:t>
      </w:r>
      <w:r w:rsidRPr="0054333B">
        <w:rPr>
          <w:rFonts w:ascii="Gotham" w:hAnsi="Gotham" w:cs="Arial"/>
          <w:sz w:val="19"/>
          <w:szCs w:val="19"/>
        </w:rPr>
        <w:t xml:space="preserve"> Las empresas deben poner especial cuidado en mantener sus locales con el asco posible, especialmente en el área de sanitarios; y más en aquellos donde se presenten varias funciones al día. Además deben colocarse suficientes depósitos de basura convenientemente distribuidos.</w:t>
      </w:r>
    </w:p>
    <w:p w14:paraId="3A474CC3" w14:textId="77777777" w:rsidR="009B5E39" w:rsidRPr="009F4E0B" w:rsidRDefault="009B5E39" w:rsidP="009B5E39">
      <w:pPr>
        <w:jc w:val="both"/>
        <w:rPr>
          <w:rFonts w:ascii="Gotham" w:hAnsi="Gotham"/>
          <w:b/>
          <w:sz w:val="20"/>
          <w:szCs w:val="20"/>
        </w:rPr>
      </w:pPr>
    </w:p>
    <w:p w14:paraId="3A474CC4" w14:textId="77777777" w:rsidR="009B5E39" w:rsidRPr="009F4E0B" w:rsidRDefault="009B5E39" w:rsidP="009B5E39">
      <w:pPr>
        <w:jc w:val="both"/>
        <w:rPr>
          <w:rFonts w:ascii="Gotham" w:hAnsi="Gotham"/>
          <w:b/>
          <w:sz w:val="20"/>
          <w:szCs w:val="20"/>
        </w:rPr>
      </w:pPr>
      <w:r w:rsidRPr="009F4E0B">
        <w:rPr>
          <w:rFonts w:ascii="Gotham" w:hAnsi="Gotham"/>
          <w:b/>
          <w:sz w:val="20"/>
          <w:szCs w:val="20"/>
        </w:rPr>
        <w:t xml:space="preserve">Debe decir: </w:t>
      </w:r>
    </w:p>
    <w:p w14:paraId="3A474CC5" w14:textId="77777777" w:rsidR="009B5E39" w:rsidRPr="009F4E0B" w:rsidRDefault="009B5E39" w:rsidP="009B5E39">
      <w:pPr>
        <w:jc w:val="both"/>
        <w:rPr>
          <w:rFonts w:ascii="Gotham" w:hAnsi="Gotham"/>
          <w:b/>
          <w:sz w:val="20"/>
          <w:szCs w:val="20"/>
        </w:rPr>
      </w:pPr>
    </w:p>
    <w:p w14:paraId="3A474CC6" w14:textId="77777777" w:rsidR="009B5E39" w:rsidRPr="0054333B" w:rsidRDefault="009B5E39" w:rsidP="009B5E39">
      <w:pPr>
        <w:widowControl w:val="0"/>
        <w:tabs>
          <w:tab w:val="left" w:pos="942"/>
        </w:tabs>
        <w:autoSpaceDE w:val="0"/>
        <w:autoSpaceDN w:val="0"/>
        <w:ind w:left="284" w:right="283"/>
        <w:jc w:val="both"/>
        <w:rPr>
          <w:rFonts w:ascii="Gotham" w:hAnsi="Gotham" w:cs="Arial"/>
          <w:sz w:val="19"/>
          <w:szCs w:val="19"/>
        </w:rPr>
      </w:pPr>
      <w:r w:rsidRPr="003A124F">
        <w:rPr>
          <w:rFonts w:ascii="Gotham" w:hAnsi="Gotham" w:cs="Arial"/>
          <w:b/>
          <w:sz w:val="19"/>
          <w:szCs w:val="19"/>
        </w:rPr>
        <w:t>Artículo 23.</w:t>
      </w:r>
      <w:r w:rsidRPr="0054333B">
        <w:rPr>
          <w:rFonts w:ascii="Gotham" w:hAnsi="Gotham" w:cs="Arial"/>
          <w:sz w:val="19"/>
          <w:szCs w:val="19"/>
        </w:rPr>
        <w:t xml:space="preserve"> Las empresas deben poner especial cuidado en mantener sus locales con el óptimo aseo posible, especialmente en el área de sanitarios; y más en aquellos donde se presenten varias funciones al día. Además deben colocarse suficientes depósitos de basura convenientemente distribuidos, debiendo cumplir con las disposiciones legales aplicables en cuanto a la separación de basura, establecidas en el artículo 18 de la Ley General para la Prevención y Gestión Integral de Residuos.</w:t>
      </w:r>
    </w:p>
    <w:p w14:paraId="3A474CC7" w14:textId="77777777" w:rsidR="009B5E39" w:rsidRPr="009F4E0B" w:rsidRDefault="009B5E39" w:rsidP="009B5E39">
      <w:pPr>
        <w:jc w:val="both"/>
        <w:rPr>
          <w:rFonts w:ascii="Gotham" w:hAnsi="Gotham"/>
          <w:b/>
          <w:sz w:val="20"/>
          <w:szCs w:val="20"/>
        </w:rPr>
      </w:pPr>
    </w:p>
    <w:p w14:paraId="3A474CC8" w14:textId="77777777" w:rsidR="009B5E39" w:rsidRPr="009F4E0B" w:rsidRDefault="009B5E39" w:rsidP="009B5E39">
      <w:pPr>
        <w:jc w:val="both"/>
        <w:rPr>
          <w:rFonts w:ascii="Gotham" w:hAnsi="Gotham"/>
          <w:b/>
          <w:sz w:val="20"/>
          <w:szCs w:val="20"/>
        </w:rPr>
      </w:pPr>
      <w:r w:rsidRPr="009F4E0B">
        <w:rPr>
          <w:rFonts w:ascii="Gotham" w:hAnsi="Gotham"/>
          <w:b/>
          <w:sz w:val="20"/>
          <w:szCs w:val="20"/>
        </w:rPr>
        <w:t>Los artículos 24, 25, 26, 27 queda intocados.</w:t>
      </w:r>
    </w:p>
    <w:p w14:paraId="3A474CC9" w14:textId="77777777" w:rsidR="009B5E39" w:rsidRPr="009F4E0B" w:rsidRDefault="009B5E39" w:rsidP="009B5E39">
      <w:pPr>
        <w:jc w:val="both"/>
        <w:rPr>
          <w:rFonts w:ascii="Gotham" w:hAnsi="Gotham"/>
          <w:b/>
          <w:sz w:val="20"/>
          <w:szCs w:val="20"/>
        </w:rPr>
      </w:pPr>
    </w:p>
    <w:p w14:paraId="3A474CCA"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24.</w:t>
      </w:r>
      <w:r w:rsidRPr="0054333B">
        <w:rPr>
          <w:rFonts w:ascii="Gotham" w:hAnsi="Gotham" w:cs="Arial"/>
          <w:sz w:val="19"/>
          <w:szCs w:val="19"/>
        </w:rPr>
        <w:t xml:space="preserve"> Los locales destinados a la presentación de espectáculos públicos, cuando menos una vez al mes, los controladores de plagas deben fumigarlos, especialmente los locales cerrados</w:t>
      </w:r>
    </w:p>
    <w:p w14:paraId="3A474CCB" w14:textId="77777777" w:rsidR="009B5E39" w:rsidRPr="0054333B" w:rsidRDefault="009B5E39" w:rsidP="009B5E39">
      <w:pPr>
        <w:widowControl w:val="0"/>
        <w:autoSpaceDE w:val="0"/>
        <w:autoSpaceDN w:val="0"/>
        <w:ind w:left="284" w:right="283"/>
        <w:jc w:val="both"/>
        <w:rPr>
          <w:rFonts w:ascii="Gotham" w:hAnsi="Gotham" w:cs="Arial"/>
          <w:sz w:val="19"/>
          <w:szCs w:val="19"/>
        </w:rPr>
      </w:pPr>
    </w:p>
    <w:p w14:paraId="3A474CCC"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25.</w:t>
      </w:r>
      <w:r w:rsidRPr="0054333B">
        <w:rPr>
          <w:rFonts w:ascii="Gotham" w:hAnsi="Gotham" w:cs="Arial"/>
          <w:sz w:val="19"/>
          <w:szCs w:val="19"/>
        </w:rPr>
        <w:t xml:space="preserve"> En los espectáculos en que por su naturaleza se simulen incendios o cualquier situación que pueda implicar riesgos o provocar alarma entre los espectadores, deben adoptarse medidas que garanticen la plena seguridad del público.</w:t>
      </w:r>
    </w:p>
    <w:p w14:paraId="3A474CCD" w14:textId="77777777" w:rsidR="009B5E39" w:rsidRPr="0054333B" w:rsidRDefault="009B5E39" w:rsidP="009B5E39">
      <w:pPr>
        <w:widowControl w:val="0"/>
        <w:autoSpaceDE w:val="0"/>
        <w:autoSpaceDN w:val="0"/>
        <w:ind w:left="284" w:right="283"/>
        <w:jc w:val="both"/>
        <w:rPr>
          <w:rFonts w:ascii="Gotham" w:hAnsi="Gotham" w:cs="Arial"/>
          <w:sz w:val="19"/>
          <w:szCs w:val="19"/>
        </w:rPr>
      </w:pPr>
    </w:p>
    <w:p w14:paraId="3A474CCE"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26.</w:t>
      </w:r>
      <w:r w:rsidRPr="0054333B">
        <w:rPr>
          <w:rFonts w:ascii="Gotham" w:hAnsi="Gotham" w:cs="Arial"/>
          <w:sz w:val="19"/>
          <w:szCs w:val="19"/>
        </w:rPr>
        <w:t xml:space="preserve"> En locales cerrados se prohíbe el tránsito de vendedores entre el público, durante la presentación del espectáculo.</w:t>
      </w:r>
    </w:p>
    <w:p w14:paraId="3A474CCF" w14:textId="77777777" w:rsidR="009B5E39" w:rsidRPr="0054333B" w:rsidRDefault="009B5E39" w:rsidP="009B5E39">
      <w:pPr>
        <w:widowControl w:val="0"/>
        <w:autoSpaceDE w:val="0"/>
        <w:autoSpaceDN w:val="0"/>
        <w:ind w:left="284" w:right="283"/>
        <w:jc w:val="both"/>
        <w:rPr>
          <w:rFonts w:ascii="Gotham" w:hAnsi="Gotham" w:cs="Arial"/>
          <w:sz w:val="19"/>
          <w:szCs w:val="19"/>
        </w:rPr>
      </w:pPr>
    </w:p>
    <w:p w14:paraId="3A474CD0"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27.</w:t>
      </w:r>
      <w:r w:rsidRPr="0054333B">
        <w:rPr>
          <w:rFonts w:ascii="Gotham" w:hAnsi="Gotham" w:cs="Arial"/>
          <w:sz w:val="19"/>
          <w:szCs w:val="19"/>
        </w:rPr>
        <w:t xml:space="preserve"> Queda estrictamente prohibida la venta de bebidas alcohólicas en todos los centros de espectáculos, salvo en los casos en que el H. Ayuntamiento conceda autorización, tampoco se permitirá que dichas bebidas sean introducidas directamente por el público.</w:t>
      </w:r>
    </w:p>
    <w:p w14:paraId="3A474CD1" w14:textId="77777777" w:rsidR="009B5E39" w:rsidRPr="009F4E0B" w:rsidRDefault="009B5E39" w:rsidP="009B5E39">
      <w:pPr>
        <w:jc w:val="both"/>
        <w:rPr>
          <w:rFonts w:ascii="Gotham" w:hAnsi="Gotham"/>
          <w:b/>
          <w:sz w:val="20"/>
          <w:szCs w:val="20"/>
        </w:rPr>
      </w:pPr>
    </w:p>
    <w:p w14:paraId="3A474CD2" w14:textId="77777777" w:rsidR="009B5E39" w:rsidRPr="009F4E0B" w:rsidRDefault="009B5E39" w:rsidP="009B5E39">
      <w:pPr>
        <w:jc w:val="both"/>
        <w:rPr>
          <w:rFonts w:ascii="Gotham" w:hAnsi="Gotham"/>
          <w:b/>
          <w:sz w:val="20"/>
          <w:szCs w:val="20"/>
        </w:rPr>
      </w:pPr>
      <w:r w:rsidRPr="009F4E0B">
        <w:rPr>
          <w:rFonts w:ascii="Gotham" w:hAnsi="Gotham"/>
          <w:b/>
          <w:sz w:val="20"/>
          <w:szCs w:val="20"/>
        </w:rPr>
        <w:t xml:space="preserve">El artículo 28 actualmente dice: </w:t>
      </w:r>
    </w:p>
    <w:p w14:paraId="3A474CD3" w14:textId="77777777" w:rsidR="009B5E39" w:rsidRPr="009F4E0B" w:rsidRDefault="009B5E39" w:rsidP="009B5E39">
      <w:pPr>
        <w:jc w:val="both"/>
        <w:rPr>
          <w:rFonts w:ascii="Gotham" w:hAnsi="Gotham"/>
          <w:b/>
          <w:sz w:val="20"/>
          <w:szCs w:val="20"/>
        </w:rPr>
      </w:pPr>
    </w:p>
    <w:p w14:paraId="3A474CD4"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28.</w:t>
      </w:r>
      <w:r w:rsidRPr="0054333B">
        <w:rPr>
          <w:rFonts w:ascii="Gotham" w:hAnsi="Gotham" w:cs="Arial"/>
          <w:sz w:val="19"/>
          <w:szCs w:val="19"/>
        </w:rPr>
        <w:t xml:space="preserve"> Antes de ocho días a la presentación de la primera función, los empresarios deben enviar al departamento de Inspección, una copia del programa que pretendan presentar: y cada vez que haya algún cambio en el mismo, con el objeto de recabar la autorización correspondiente sin la cual no podrá anunciarse ninguna función. </w:t>
      </w:r>
    </w:p>
    <w:p w14:paraId="3A474CD5" w14:textId="77777777" w:rsidR="009B5E39" w:rsidRPr="009F4E0B" w:rsidRDefault="009B5E39" w:rsidP="009B5E39">
      <w:pPr>
        <w:jc w:val="both"/>
        <w:rPr>
          <w:rFonts w:ascii="Gotham" w:hAnsi="Gotham"/>
          <w:b/>
          <w:sz w:val="20"/>
          <w:szCs w:val="20"/>
        </w:rPr>
      </w:pPr>
    </w:p>
    <w:p w14:paraId="3A474CD6" w14:textId="77777777" w:rsidR="009B5E39" w:rsidRPr="009F4E0B" w:rsidRDefault="009B5E39" w:rsidP="009B5E39">
      <w:pPr>
        <w:jc w:val="both"/>
        <w:rPr>
          <w:rFonts w:ascii="Gotham" w:hAnsi="Gotham"/>
          <w:b/>
          <w:sz w:val="20"/>
          <w:szCs w:val="20"/>
        </w:rPr>
      </w:pPr>
      <w:r w:rsidRPr="009F4E0B">
        <w:rPr>
          <w:rFonts w:ascii="Gotham" w:hAnsi="Gotham"/>
          <w:b/>
          <w:sz w:val="20"/>
          <w:szCs w:val="20"/>
        </w:rPr>
        <w:t xml:space="preserve">Se propone, que diga: </w:t>
      </w:r>
    </w:p>
    <w:p w14:paraId="3A474CD7" w14:textId="77777777" w:rsidR="009B5E39" w:rsidRPr="009F4E0B" w:rsidRDefault="009B5E39" w:rsidP="009B5E39">
      <w:pPr>
        <w:jc w:val="both"/>
        <w:rPr>
          <w:rFonts w:ascii="Gotham" w:hAnsi="Gotham"/>
          <w:b/>
          <w:sz w:val="20"/>
          <w:szCs w:val="20"/>
        </w:rPr>
      </w:pPr>
    </w:p>
    <w:p w14:paraId="3A474CD8"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28.</w:t>
      </w:r>
      <w:r w:rsidRPr="0054333B">
        <w:rPr>
          <w:rFonts w:ascii="Gotham" w:hAnsi="Gotham" w:cs="Arial"/>
          <w:sz w:val="19"/>
          <w:szCs w:val="19"/>
        </w:rPr>
        <w:t xml:space="preserve"> Antes de ocho días a la presentación de la primera función, los empresarios deben enviar a la Dirección de Inspección y vigilancia una copia del programa que pretendan presentar: y cada vez que haya algún cambio en el mismo, con el objeto de recabar la autorización correspondiente sin la cual no podrá anunciarse ninguna función. </w:t>
      </w:r>
    </w:p>
    <w:p w14:paraId="3A474CD9" w14:textId="77777777" w:rsidR="009B5E39" w:rsidRPr="009F4E0B" w:rsidRDefault="009B5E39" w:rsidP="009B5E39">
      <w:pPr>
        <w:jc w:val="both"/>
        <w:rPr>
          <w:rFonts w:ascii="Gotham" w:hAnsi="Gotham"/>
          <w:b/>
          <w:sz w:val="20"/>
          <w:szCs w:val="20"/>
        </w:rPr>
      </w:pPr>
    </w:p>
    <w:p w14:paraId="3A474CDA" w14:textId="77777777" w:rsidR="009B5E39" w:rsidRPr="009F4E0B" w:rsidRDefault="009B5E39" w:rsidP="009B5E39">
      <w:pPr>
        <w:jc w:val="both"/>
        <w:rPr>
          <w:rFonts w:ascii="Gotham" w:hAnsi="Gotham"/>
          <w:b/>
          <w:sz w:val="20"/>
          <w:szCs w:val="20"/>
        </w:rPr>
      </w:pPr>
      <w:r w:rsidRPr="009F4E0B">
        <w:rPr>
          <w:rFonts w:ascii="Gotham" w:hAnsi="Gotham"/>
          <w:b/>
          <w:sz w:val="20"/>
          <w:szCs w:val="20"/>
        </w:rPr>
        <w:t>Los artículos 29, 30, 31, 32, 33, 34, 35, 36 y 37 quedan intocados.</w:t>
      </w:r>
      <w:r w:rsidR="00883EC2">
        <w:rPr>
          <w:rFonts w:ascii="Gotham" w:hAnsi="Gotham"/>
          <w:b/>
          <w:sz w:val="20"/>
          <w:szCs w:val="20"/>
        </w:rPr>
        <w:t xml:space="preserve"> </w:t>
      </w:r>
    </w:p>
    <w:p w14:paraId="3A474CDB" w14:textId="77777777" w:rsidR="009B5E39" w:rsidRPr="009F4E0B" w:rsidRDefault="009B5E39" w:rsidP="009B5E39">
      <w:pPr>
        <w:jc w:val="both"/>
        <w:rPr>
          <w:rFonts w:ascii="Gotham" w:hAnsi="Gotham"/>
          <w:b/>
          <w:sz w:val="20"/>
          <w:szCs w:val="20"/>
        </w:rPr>
      </w:pPr>
    </w:p>
    <w:p w14:paraId="3A474CDC"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29.</w:t>
      </w:r>
      <w:r w:rsidRPr="0054333B">
        <w:rPr>
          <w:rFonts w:ascii="Gotham" w:hAnsi="Gotham" w:cs="Arial"/>
          <w:sz w:val="19"/>
          <w:szCs w:val="19"/>
        </w:rPr>
        <w:t xml:space="preserve"> EI programa que se remitirá al H. Ayuntamiento para su correspondiente autorización, será el mismo que se dé a conocer al público previo cumplimiento de las disposiciones publicitarias aplicables</w:t>
      </w:r>
    </w:p>
    <w:p w14:paraId="3A474CDD" w14:textId="77777777" w:rsidR="009B5E39" w:rsidRPr="0054333B" w:rsidRDefault="009B5E39" w:rsidP="009B5E39">
      <w:pPr>
        <w:widowControl w:val="0"/>
        <w:autoSpaceDE w:val="0"/>
        <w:autoSpaceDN w:val="0"/>
        <w:ind w:left="284" w:right="283"/>
        <w:jc w:val="both"/>
        <w:rPr>
          <w:rFonts w:ascii="Gotham" w:hAnsi="Gotham" w:cs="Arial"/>
          <w:sz w:val="19"/>
          <w:szCs w:val="19"/>
        </w:rPr>
      </w:pPr>
    </w:p>
    <w:p w14:paraId="3A474CDE"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 xml:space="preserve">Artículo 30. </w:t>
      </w:r>
      <w:r w:rsidRPr="003A124F">
        <w:rPr>
          <w:rFonts w:ascii="Gotham" w:hAnsi="Gotham" w:cs="Arial"/>
          <w:sz w:val="19"/>
          <w:szCs w:val="19"/>
        </w:rPr>
        <w:t>Para</w:t>
      </w:r>
      <w:r w:rsidRPr="0054333B">
        <w:rPr>
          <w:rFonts w:ascii="Gotham" w:hAnsi="Gotham" w:cs="Arial"/>
          <w:sz w:val="19"/>
          <w:szCs w:val="19"/>
        </w:rPr>
        <w:t xml:space="preserve"> toda autorización del programa de espectáculos, el empresario debe adjuntar la aceptación de los autores, sus representantes o de otras autoridades en su caso.</w:t>
      </w:r>
    </w:p>
    <w:p w14:paraId="3A474CDF" w14:textId="77777777" w:rsidR="009B5E39" w:rsidRPr="0054333B" w:rsidRDefault="009B5E39" w:rsidP="009B5E39">
      <w:pPr>
        <w:widowControl w:val="0"/>
        <w:autoSpaceDE w:val="0"/>
        <w:autoSpaceDN w:val="0"/>
        <w:ind w:left="284" w:right="283"/>
        <w:jc w:val="both"/>
        <w:rPr>
          <w:rFonts w:ascii="Gotham" w:hAnsi="Gotham" w:cs="Arial"/>
          <w:sz w:val="19"/>
          <w:szCs w:val="19"/>
        </w:rPr>
      </w:pPr>
    </w:p>
    <w:p w14:paraId="3A474CE0"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31.</w:t>
      </w:r>
      <w:r w:rsidRPr="0054333B">
        <w:rPr>
          <w:rFonts w:ascii="Gotham" w:hAnsi="Gotham" w:cs="Arial"/>
          <w:sz w:val="19"/>
          <w:szCs w:val="19"/>
        </w:rPr>
        <w:t xml:space="preserve"> Una vez que el H. Ayuntamiento autoriza el programa, sólo éste, a su juicio, de acuerdo a las disposiciones del presente reglamento, podrá autorizar variantes para tal caso las empresas informarán de inmediato sobre cualquier modificación que introduzcan en el orden o en la forma de los espectáculos que presentan después de autorizados los respectivos programas expresando las causas a que obedezca el cambio: cuando la variación sea motivada por la ausencia de algún artista o cualquier otro miembro del espectáculo, ésta deberá ser plena y oportunamente justificada.</w:t>
      </w:r>
    </w:p>
    <w:p w14:paraId="3A474CE1" w14:textId="77777777" w:rsidR="009B5E39" w:rsidRPr="0054333B" w:rsidRDefault="009B5E39" w:rsidP="009B5E39">
      <w:pPr>
        <w:widowControl w:val="0"/>
        <w:autoSpaceDE w:val="0"/>
        <w:autoSpaceDN w:val="0"/>
        <w:ind w:left="284" w:right="283"/>
        <w:jc w:val="both"/>
        <w:rPr>
          <w:rFonts w:ascii="Gotham" w:hAnsi="Gotham" w:cs="Arial"/>
          <w:sz w:val="19"/>
          <w:szCs w:val="19"/>
        </w:rPr>
      </w:pPr>
    </w:p>
    <w:p w14:paraId="3A474CE2"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32.</w:t>
      </w:r>
      <w:r w:rsidRPr="0054333B">
        <w:rPr>
          <w:rFonts w:ascii="Gotham" w:hAnsi="Gotham" w:cs="Arial"/>
          <w:sz w:val="19"/>
          <w:szCs w:val="19"/>
        </w:rPr>
        <w:t xml:space="preserve"> Las personas que solicitan la autorización del H. Ayuntamiento y que por lo tanto estén anunciadas para a tomar parte en algún espectáculo y no cumplan con la obligación contraída quedarán consideradas como infractoras y serán sujetas a la sanción correspondiente, salvo que su ausencia sea por causa de fuerza mayor, misma que deberá ser plenamente comprobada. En caso de infracción ésta se hará efectiva con la fianza que se otorgará para garantizar el espectáculo.</w:t>
      </w:r>
    </w:p>
    <w:p w14:paraId="3A474CE3" w14:textId="77777777" w:rsidR="009B5E39" w:rsidRDefault="009B5E39" w:rsidP="009B5E39">
      <w:pPr>
        <w:widowControl w:val="0"/>
        <w:autoSpaceDE w:val="0"/>
        <w:autoSpaceDN w:val="0"/>
        <w:ind w:left="284" w:right="283"/>
        <w:jc w:val="both"/>
        <w:rPr>
          <w:rFonts w:ascii="Gotham" w:hAnsi="Gotham" w:cs="Arial"/>
          <w:sz w:val="19"/>
          <w:szCs w:val="19"/>
        </w:rPr>
      </w:pPr>
    </w:p>
    <w:p w14:paraId="3A474CE4" w14:textId="77777777" w:rsidR="00C9405B" w:rsidRPr="0054333B" w:rsidRDefault="00C9405B" w:rsidP="009B5E39">
      <w:pPr>
        <w:widowControl w:val="0"/>
        <w:autoSpaceDE w:val="0"/>
        <w:autoSpaceDN w:val="0"/>
        <w:ind w:left="284" w:right="283"/>
        <w:jc w:val="both"/>
        <w:rPr>
          <w:rFonts w:ascii="Gotham" w:hAnsi="Gotham" w:cs="Arial"/>
          <w:sz w:val="19"/>
          <w:szCs w:val="19"/>
        </w:rPr>
      </w:pPr>
    </w:p>
    <w:p w14:paraId="3A474CE5"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lastRenderedPageBreak/>
        <w:t>Artículo 33.</w:t>
      </w:r>
      <w:r w:rsidRPr="0054333B">
        <w:rPr>
          <w:rFonts w:ascii="Gotham" w:hAnsi="Gotham" w:cs="Arial"/>
          <w:sz w:val="19"/>
          <w:szCs w:val="19"/>
        </w:rPr>
        <w:t xml:space="preserve"> Cualquier variación en el programa de algún espectáculo será de inmediato puesta en consideración del público antes de iniciada la función explicándose la causa y señalándose que en su caso el H ayuntamiento así lo autorizó.</w:t>
      </w:r>
    </w:p>
    <w:p w14:paraId="3A474CE6" w14:textId="77777777" w:rsidR="009B5E39" w:rsidRPr="0054333B" w:rsidRDefault="009B5E39" w:rsidP="009B5E39">
      <w:pPr>
        <w:widowControl w:val="0"/>
        <w:autoSpaceDE w:val="0"/>
        <w:autoSpaceDN w:val="0"/>
        <w:ind w:left="284" w:right="283"/>
        <w:jc w:val="both"/>
        <w:rPr>
          <w:rFonts w:ascii="Gotham" w:hAnsi="Gotham" w:cs="Arial"/>
          <w:sz w:val="19"/>
          <w:szCs w:val="19"/>
        </w:rPr>
      </w:pPr>
    </w:p>
    <w:p w14:paraId="3A474CE7"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34.</w:t>
      </w:r>
      <w:r w:rsidRPr="0054333B">
        <w:rPr>
          <w:rFonts w:ascii="Gotham" w:hAnsi="Gotham" w:cs="Arial"/>
          <w:sz w:val="19"/>
          <w:szCs w:val="19"/>
        </w:rPr>
        <w:t xml:space="preserve"> A las personas que no estén de acuerdo en la variación del programa, antes de dar comienzo el espectáculo, se les devolverá íntegramente el valor de la entrada al retirarse.</w:t>
      </w:r>
    </w:p>
    <w:p w14:paraId="3A474CE8" w14:textId="77777777" w:rsidR="009B5E39" w:rsidRDefault="009B5E39" w:rsidP="009B5E39">
      <w:pPr>
        <w:widowControl w:val="0"/>
        <w:autoSpaceDE w:val="0"/>
        <w:autoSpaceDN w:val="0"/>
        <w:ind w:left="284" w:right="283"/>
        <w:jc w:val="both"/>
        <w:rPr>
          <w:rFonts w:ascii="Gotham" w:hAnsi="Gotham" w:cs="Arial"/>
          <w:sz w:val="19"/>
          <w:szCs w:val="19"/>
        </w:rPr>
      </w:pPr>
    </w:p>
    <w:p w14:paraId="3A474CE9"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35.</w:t>
      </w:r>
      <w:r w:rsidRPr="0054333B">
        <w:rPr>
          <w:rFonts w:ascii="Gotham" w:hAnsi="Gotham" w:cs="Arial"/>
          <w:sz w:val="19"/>
          <w:szCs w:val="19"/>
        </w:rPr>
        <w:t xml:space="preserve"> Si la supervisión tiene lugar ya iniciado el evento se devolverá la mitad del importe de la entrada; en los espectáculos con duración variable o llevado cierto tiempo de transcurrido se puede llegar a considerar como consumada la presentación.</w:t>
      </w:r>
    </w:p>
    <w:p w14:paraId="3A474CEA" w14:textId="77777777" w:rsidR="009B5E39" w:rsidRDefault="009B5E39" w:rsidP="009B5E39">
      <w:pPr>
        <w:widowControl w:val="0"/>
        <w:autoSpaceDE w:val="0"/>
        <w:autoSpaceDN w:val="0"/>
        <w:ind w:left="284" w:right="283"/>
        <w:jc w:val="both"/>
        <w:rPr>
          <w:rFonts w:ascii="Gotham" w:hAnsi="Gotham" w:cs="Arial"/>
          <w:sz w:val="19"/>
          <w:szCs w:val="19"/>
        </w:rPr>
      </w:pPr>
    </w:p>
    <w:p w14:paraId="3A474CEB"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A124F">
        <w:rPr>
          <w:rFonts w:ascii="Gotham" w:hAnsi="Gotham" w:cs="Arial"/>
          <w:b/>
          <w:sz w:val="19"/>
          <w:szCs w:val="19"/>
        </w:rPr>
        <w:t>Artículo 36.</w:t>
      </w:r>
      <w:r w:rsidRPr="0054333B">
        <w:rPr>
          <w:rFonts w:ascii="Gotham" w:hAnsi="Gotham" w:cs="Arial"/>
          <w:sz w:val="19"/>
          <w:szCs w:val="19"/>
        </w:rPr>
        <w:t xml:space="preserve"> Los empresarios podrán solicitar al Ayuntamiento la cancelación del permiso para la presentación de un espectáculo, siempre y cuando éste no se hubiere anunciado. Si ya se anunció, se estará a lo dispuesto en el artículo treinta cuatro.</w:t>
      </w:r>
    </w:p>
    <w:p w14:paraId="3A474CEC" w14:textId="77777777" w:rsidR="009B5E39" w:rsidRDefault="009B5E39" w:rsidP="009B5E39">
      <w:pPr>
        <w:widowControl w:val="0"/>
        <w:autoSpaceDE w:val="0"/>
        <w:autoSpaceDN w:val="0"/>
        <w:ind w:left="284" w:right="283"/>
        <w:jc w:val="both"/>
        <w:rPr>
          <w:rFonts w:ascii="Gotham" w:hAnsi="Gotham" w:cs="Arial"/>
          <w:sz w:val="19"/>
          <w:szCs w:val="19"/>
        </w:rPr>
      </w:pPr>
    </w:p>
    <w:p w14:paraId="3A474CED" w14:textId="77777777" w:rsidR="009B5E39" w:rsidRPr="0054333B" w:rsidRDefault="009B5E39" w:rsidP="009B5E39">
      <w:pPr>
        <w:widowControl w:val="0"/>
        <w:autoSpaceDE w:val="0"/>
        <w:autoSpaceDN w:val="0"/>
        <w:ind w:left="284" w:right="283"/>
        <w:jc w:val="both"/>
        <w:rPr>
          <w:rFonts w:ascii="Gotham" w:hAnsi="Gotham" w:cs="Arial"/>
          <w:sz w:val="19"/>
          <w:szCs w:val="19"/>
        </w:rPr>
      </w:pPr>
      <w:r w:rsidRPr="003658CD">
        <w:rPr>
          <w:rFonts w:ascii="Gotham" w:hAnsi="Gotham" w:cs="Arial"/>
          <w:b/>
          <w:sz w:val="19"/>
          <w:szCs w:val="19"/>
        </w:rPr>
        <w:t>Artículo 37.</w:t>
      </w:r>
      <w:r w:rsidRPr="0054333B">
        <w:rPr>
          <w:rFonts w:ascii="Gotham" w:hAnsi="Gotham" w:cs="Arial"/>
          <w:sz w:val="19"/>
          <w:szCs w:val="19"/>
        </w:rPr>
        <w:t xml:space="preserve"> Los espectáculos públicos deberán comenzar exactamente a la hora señalada en los programas, mismos que deben ser estrictamente cumplidos; quienes participen en los espectáculos así como el equipo necesario para la presentación del evento, deberán estar con la debida anticipación en el local donde vaya a celebrarse. </w:t>
      </w:r>
    </w:p>
    <w:p w14:paraId="3A474CEE" w14:textId="77777777" w:rsidR="009B5E39" w:rsidRPr="003658CD" w:rsidRDefault="009B5E39" w:rsidP="009B5E39">
      <w:pPr>
        <w:jc w:val="both"/>
        <w:rPr>
          <w:rFonts w:ascii="Gotham" w:hAnsi="Gotham"/>
          <w:b/>
          <w:sz w:val="20"/>
          <w:szCs w:val="20"/>
        </w:rPr>
      </w:pPr>
    </w:p>
    <w:p w14:paraId="3A474CEF" w14:textId="77777777" w:rsidR="009B5E39" w:rsidRPr="003658CD" w:rsidRDefault="009B5E39" w:rsidP="009B5E39">
      <w:pPr>
        <w:jc w:val="both"/>
        <w:rPr>
          <w:rFonts w:ascii="Gotham" w:hAnsi="Gotham"/>
          <w:b/>
          <w:sz w:val="20"/>
          <w:szCs w:val="20"/>
        </w:rPr>
      </w:pPr>
      <w:r w:rsidRPr="003658CD">
        <w:rPr>
          <w:rFonts w:ascii="Gotham" w:hAnsi="Gotham"/>
          <w:b/>
          <w:sz w:val="20"/>
          <w:szCs w:val="20"/>
        </w:rPr>
        <w:t>Se propone modificar el artículo 38, actualmente dice:</w:t>
      </w:r>
    </w:p>
    <w:p w14:paraId="3A474CF0" w14:textId="77777777" w:rsidR="009B5E39" w:rsidRPr="003658CD" w:rsidRDefault="009B5E39" w:rsidP="009B5E39">
      <w:pPr>
        <w:jc w:val="both"/>
        <w:rPr>
          <w:rFonts w:ascii="Gotham" w:hAnsi="Gotham"/>
          <w:b/>
          <w:sz w:val="20"/>
          <w:szCs w:val="20"/>
        </w:rPr>
      </w:pPr>
    </w:p>
    <w:p w14:paraId="3A474CF1"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38.</w:t>
      </w:r>
      <w:r w:rsidRPr="00104607">
        <w:rPr>
          <w:rFonts w:ascii="Gotham" w:hAnsi="Gotham" w:cs="Arial"/>
          <w:sz w:val="19"/>
          <w:szCs w:val="19"/>
        </w:rPr>
        <w:t xml:space="preserve"> En ningún caso y por ningún motivo podrán las empresas fijar arbitrariamente los precios de las localidades para los espectáculos públicos.</w:t>
      </w:r>
    </w:p>
    <w:p w14:paraId="3A474CF2" w14:textId="77777777" w:rsidR="009B5E39" w:rsidRPr="00104607" w:rsidRDefault="009B5E39" w:rsidP="009B5E39">
      <w:pPr>
        <w:widowControl w:val="0"/>
        <w:autoSpaceDE w:val="0"/>
        <w:autoSpaceDN w:val="0"/>
        <w:ind w:left="284" w:right="283"/>
        <w:jc w:val="both"/>
        <w:rPr>
          <w:rFonts w:ascii="Gotham" w:hAnsi="Gotham" w:cs="Arial"/>
          <w:sz w:val="19"/>
          <w:szCs w:val="19"/>
        </w:rPr>
      </w:pPr>
    </w:p>
    <w:p w14:paraId="3A474CF3"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104607">
        <w:rPr>
          <w:rFonts w:ascii="Gotham" w:hAnsi="Gotham" w:cs="Arial"/>
          <w:sz w:val="19"/>
          <w:szCs w:val="19"/>
        </w:rPr>
        <w:t>Dichos precios deberán estar sujetos a la aprobación de la comisión de espectáculos del cabildo y serán fijados previamente, tomando en cuenta la naturaleza del evento, su calidad y las condiciones del lugar donde se verifique. Sin tal requisito no se autorizará su propaganda y presentación.</w:t>
      </w:r>
    </w:p>
    <w:p w14:paraId="3A474CF4" w14:textId="77777777" w:rsidR="009B5E39" w:rsidRPr="003658CD" w:rsidRDefault="009B5E39" w:rsidP="009B5E39">
      <w:pPr>
        <w:jc w:val="both"/>
        <w:rPr>
          <w:rFonts w:ascii="Gotham" w:hAnsi="Gotham"/>
          <w:b/>
          <w:sz w:val="20"/>
          <w:szCs w:val="20"/>
        </w:rPr>
      </w:pPr>
    </w:p>
    <w:p w14:paraId="3A474CF5" w14:textId="77777777" w:rsidR="009B5E39" w:rsidRPr="003658CD" w:rsidRDefault="009B5E39" w:rsidP="009B5E39">
      <w:pPr>
        <w:jc w:val="both"/>
        <w:rPr>
          <w:rFonts w:ascii="Gotham" w:hAnsi="Gotham"/>
          <w:b/>
          <w:sz w:val="20"/>
          <w:szCs w:val="20"/>
        </w:rPr>
      </w:pPr>
      <w:r w:rsidRPr="003658CD">
        <w:rPr>
          <w:rFonts w:ascii="Gotham" w:hAnsi="Gotham"/>
          <w:b/>
          <w:sz w:val="20"/>
          <w:szCs w:val="20"/>
        </w:rPr>
        <w:t xml:space="preserve">Debe decir: </w:t>
      </w:r>
    </w:p>
    <w:p w14:paraId="3A474CF6" w14:textId="77777777" w:rsidR="009B5E39" w:rsidRPr="003658CD" w:rsidRDefault="009B5E39" w:rsidP="009B5E39">
      <w:pPr>
        <w:jc w:val="both"/>
        <w:rPr>
          <w:rFonts w:ascii="Gotham" w:hAnsi="Gotham"/>
          <w:b/>
          <w:sz w:val="20"/>
          <w:szCs w:val="20"/>
        </w:rPr>
      </w:pPr>
    </w:p>
    <w:p w14:paraId="3A474CF7"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38</w:t>
      </w:r>
      <w:r w:rsidRPr="00104607">
        <w:rPr>
          <w:rFonts w:ascii="Gotham" w:hAnsi="Gotham" w:cs="Arial"/>
          <w:sz w:val="19"/>
          <w:szCs w:val="19"/>
        </w:rPr>
        <w:t>. En ningún caso y por ningún motivo podrán las empresas fijar arbitrariamente los precios de las localidades para los espectáculos públicos.</w:t>
      </w:r>
    </w:p>
    <w:p w14:paraId="3A474CF8" w14:textId="77777777" w:rsidR="009B5E39" w:rsidRPr="00104607" w:rsidRDefault="009B5E39" w:rsidP="009B5E39">
      <w:pPr>
        <w:widowControl w:val="0"/>
        <w:autoSpaceDE w:val="0"/>
        <w:autoSpaceDN w:val="0"/>
        <w:ind w:left="284" w:right="283"/>
        <w:jc w:val="both"/>
        <w:rPr>
          <w:rFonts w:ascii="Gotham" w:hAnsi="Gotham" w:cs="Arial"/>
          <w:sz w:val="19"/>
          <w:szCs w:val="19"/>
        </w:rPr>
      </w:pPr>
    </w:p>
    <w:p w14:paraId="3A474CF9"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104607">
        <w:rPr>
          <w:rFonts w:ascii="Gotham" w:hAnsi="Gotham" w:cs="Arial"/>
          <w:sz w:val="19"/>
          <w:szCs w:val="19"/>
        </w:rPr>
        <w:t xml:space="preserve">Los precios se considerarán tomando en cuenta la naturaleza del evento, su calidad y las condiciones del lugar donde se verifique. </w:t>
      </w:r>
    </w:p>
    <w:p w14:paraId="3A474CFA" w14:textId="77777777" w:rsidR="009B5E39" w:rsidRPr="003658CD" w:rsidRDefault="009B5E39" w:rsidP="009B5E39">
      <w:pPr>
        <w:jc w:val="both"/>
        <w:rPr>
          <w:rFonts w:ascii="Gotham" w:hAnsi="Gotham"/>
          <w:b/>
          <w:sz w:val="20"/>
          <w:szCs w:val="20"/>
        </w:rPr>
      </w:pPr>
    </w:p>
    <w:p w14:paraId="3A474CFB" w14:textId="77777777" w:rsidR="009B5E39" w:rsidRPr="003658CD" w:rsidRDefault="009B5E39" w:rsidP="009B5E39">
      <w:pPr>
        <w:jc w:val="both"/>
        <w:rPr>
          <w:rFonts w:ascii="Gotham" w:hAnsi="Gotham"/>
          <w:b/>
          <w:sz w:val="20"/>
          <w:szCs w:val="20"/>
        </w:rPr>
      </w:pPr>
      <w:r w:rsidRPr="003658CD">
        <w:rPr>
          <w:rFonts w:ascii="Gotham" w:hAnsi="Gotham"/>
          <w:b/>
          <w:sz w:val="20"/>
          <w:szCs w:val="20"/>
        </w:rPr>
        <w:t>Se propone modificar el artículo 39, actualmente dice:</w:t>
      </w:r>
    </w:p>
    <w:p w14:paraId="3A474CFC" w14:textId="77777777" w:rsidR="009B5E39" w:rsidRPr="003658CD" w:rsidRDefault="009B5E39" w:rsidP="009B5E39">
      <w:pPr>
        <w:jc w:val="both"/>
        <w:rPr>
          <w:rFonts w:ascii="Gotham" w:hAnsi="Gotham"/>
          <w:b/>
          <w:sz w:val="20"/>
          <w:szCs w:val="20"/>
        </w:rPr>
      </w:pPr>
    </w:p>
    <w:p w14:paraId="3A474CFD"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39.</w:t>
      </w:r>
      <w:r w:rsidRPr="00104607">
        <w:rPr>
          <w:rFonts w:ascii="Gotham" w:hAnsi="Gotham" w:cs="Arial"/>
          <w:sz w:val="19"/>
          <w:szCs w:val="19"/>
        </w:rPr>
        <w:t xml:space="preserve"> Cuando una empresa de espectáculos eleve el precio fijado en las tarifas autorizadas sin llenar el requisito que establece el artículo treinta y ocho, será sancionada según corresponda. </w:t>
      </w:r>
    </w:p>
    <w:p w14:paraId="3A474CFE" w14:textId="77777777" w:rsidR="009B5E39" w:rsidRPr="003658CD" w:rsidRDefault="009B5E39" w:rsidP="009B5E39">
      <w:pPr>
        <w:jc w:val="both"/>
        <w:rPr>
          <w:rFonts w:ascii="Gotham" w:hAnsi="Gotham"/>
          <w:b/>
          <w:sz w:val="20"/>
          <w:szCs w:val="20"/>
        </w:rPr>
      </w:pPr>
    </w:p>
    <w:p w14:paraId="3A474CFF" w14:textId="77777777" w:rsidR="009B5E39" w:rsidRPr="003658CD" w:rsidRDefault="009B5E39" w:rsidP="009B5E39">
      <w:pPr>
        <w:jc w:val="both"/>
        <w:rPr>
          <w:rFonts w:ascii="Gotham" w:hAnsi="Gotham"/>
          <w:b/>
          <w:sz w:val="20"/>
          <w:szCs w:val="20"/>
        </w:rPr>
      </w:pPr>
      <w:r w:rsidRPr="003658CD">
        <w:rPr>
          <w:rFonts w:ascii="Gotham" w:hAnsi="Gotham"/>
          <w:b/>
          <w:sz w:val="20"/>
          <w:szCs w:val="20"/>
        </w:rPr>
        <w:t>Debe decir:</w:t>
      </w:r>
    </w:p>
    <w:p w14:paraId="3A474D00" w14:textId="77777777" w:rsidR="009B5E39" w:rsidRPr="003658CD" w:rsidRDefault="009B5E39" w:rsidP="009B5E39">
      <w:pPr>
        <w:jc w:val="both"/>
        <w:rPr>
          <w:rFonts w:ascii="Gotham" w:hAnsi="Gotham"/>
          <w:b/>
          <w:sz w:val="20"/>
          <w:szCs w:val="20"/>
        </w:rPr>
      </w:pPr>
    </w:p>
    <w:p w14:paraId="3A474D01"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39.</w:t>
      </w:r>
      <w:r w:rsidRPr="00104607">
        <w:rPr>
          <w:rFonts w:ascii="Gotham" w:hAnsi="Gotham" w:cs="Arial"/>
          <w:sz w:val="19"/>
          <w:szCs w:val="19"/>
        </w:rPr>
        <w:t xml:space="preserve"> Cuando una empresa de espectáculos eleve el precio fijado en las tarifas autorizadas será sancionada según corresponda.</w:t>
      </w:r>
    </w:p>
    <w:p w14:paraId="3A474D02" w14:textId="77777777" w:rsidR="009B5E39" w:rsidRPr="003658CD" w:rsidRDefault="009B5E39" w:rsidP="009B5E39">
      <w:pPr>
        <w:jc w:val="both"/>
        <w:rPr>
          <w:rFonts w:ascii="Gotham" w:hAnsi="Gotham"/>
          <w:b/>
          <w:sz w:val="20"/>
          <w:szCs w:val="20"/>
        </w:rPr>
      </w:pPr>
    </w:p>
    <w:p w14:paraId="3A474D03" w14:textId="77777777" w:rsidR="009B5E39" w:rsidRPr="003658CD" w:rsidRDefault="009B5E39" w:rsidP="009B5E39">
      <w:pPr>
        <w:jc w:val="both"/>
        <w:rPr>
          <w:rFonts w:ascii="Gotham" w:hAnsi="Gotham"/>
          <w:b/>
          <w:sz w:val="20"/>
          <w:szCs w:val="20"/>
        </w:rPr>
      </w:pPr>
      <w:r w:rsidRPr="003658CD">
        <w:rPr>
          <w:rFonts w:ascii="Gotham" w:hAnsi="Gotham"/>
          <w:b/>
          <w:sz w:val="20"/>
          <w:szCs w:val="20"/>
        </w:rPr>
        <w:t>El artículo 40 queda intocado:</w:t>
      </w:r>
    </w:p>
    <w:p w14:paraId="3A474D04" w14:textId="77777777" w:rsidR="009B5E39" w:rsidRPr="003658CD" w:rsidRDefault="009B5E39" w:rsidP="009B5E39">
      <w:pPr>
        <w:jc w:val="both"/>
        <w:rPr>
          <w:rFonts w:ascii="Gotham" w:hAnsi="Gotham"/>
          <w:b/>
          <w:sz w:val="20"/>
          <w:szCs w:val="20"/>
        </w:rPr>
      </w:pPr>
    </w:p>
    <w:p w14:paraId="3A474D05"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40.</w:t>
      </w:r>
      <w:r w:rsidRPr="00104607">
        <w:rPr>
          <w:rFonts w:ascii="Gotham" w:hAnsi="Gotham" w:cs="Arial"/>
          <w:sz w:val="19"/>
          <w:szCs w:val="19"/>
        </w:rPr>
        <w:t xml:space="preserve"> Se prohíbe a las impresas fijar cualquier cargo en los precios de los boletos de espectáculos públicos con el pretexto de reservaciones, apartados, preferencias o cualquier otro motivo, salvo lo dispuesto en el artículo siguiente, sancionándose al infractor con la a devolución de lo cobrado indebidamente</w:t>
      </w:r>
      <w:r w:rsidR="00883EC2">
        <w:rPr>
          <w:rFonts w:ascii="Gotham" w:hAnsi="Gotham" w:cs="Arial"/>
          <w:sz w:val="19"/>
          <w:szCs w:val="19"/>
        </w:rPr>
        <w:t xml:space="preserve"> </w:t>
      </w:r>
      <w:r w:rsidRPr="00104607">
        <w:rPr>
          <w:rFonts w:ascii="Gotham" w:hAnsi="Gotham" w:cs="Arial"/>
          <w:sz w:val="19"/>
          <w:szCs w:val="19"/>
        </w:rPr>
        <w:t>y multa que fijará el Ayuntamiento.</w:t>
      </w:r>
    </w:p>
    <w:p w14:paraId="3A474D06" w14:textId="77777777" w:rsidR="009B5E39" w:rsidRPr="00104607" w:rsidRDefault="009B5E39" w:rsidP="009B5E39">
      <w:pPr>
        <w:widowControl w:val="0"/>
        <w:autoSpaceDE w:val="0"/>
        <w:autoSpaceDN w:val="0"/>
        <w:ind w:left="284" w:right="283"/>
        <w:jc w:val="both"/>
        <w:rPr>
          <w:rFonts w:ascii="Gotham" w:hAnsi="Gotham" w:cs="Arial"/>
          <w:sz w:val="19"/>
          <w:szCs w:val="19"/>
        </w:rPr>
      </w:pPr>
    </w:p>
    <w:p w14:paraId="3A474D07" w14:textId="77777777" w:rsidR="009B5E39" w:rsidRPr="002D6DA3" w:rsidRDefault="009B5E39" w:rsidP="009B5E39">
      <w:pPr>
        <w:widowControl w:val="0"/>
        <w:autoSpaceDE w:val="0"/>
        <w:autoSpaceDN w:val="0"/>
        <w:ind w:left="284" w:right="283"/>
        <w:jc w:val="both"/>
        <w:rPr>
          <w:rFonts w:ascii="Gotham" w:hAnsi="Gotham" w:cs="Arial"/>
          <w:b/>
          <w:sz w:val="19"/>
          <w:szCs w:val="19"/>
        </w:rPr>
      </w:pPr>
      <w:r w:rsidRPr="002D6DA3">
        <w:rPr>
          <w:rFonts w:ascii="Gotham" w:hAnsi="Gotham" w:cs="Arial"/>
          <w:b/>
          <w:sz w:val="19"/>
          <w:szCs w:val="19"/>
        </w:rPr>
        <w:lastRenderedPageBreak/>
        <w:t>El artículo 41 se deroga;</w:t>
      </w:r>
    </w:p>
    <w:p w14:paraId="3A474D08" w14:textId="77777777" w:rsidR="009B5E39" w:rsidRPr="003658CD" w:rsidRDefault="009B5E39" w:rsidP="009B5E39">
      <w:pPr>
        <w:jc w:val="both"/>
        <w:rPr>
          <w:rFonts w:ascii="Gotham" w:hAnsi="Gotham"/>
          <w:b/>
          <w:sz w:val="20"/>
          <w:szCs w:val="20"/>
        </w:rPr>
      </w:pPr>
    </w:p>
    <w:p w14:paraId="3A474D09" w14:textId="77777777" w:rsidR="009B5E39" w:rsidRPr="003658CD" w:rsidRDefault="009B5E39" w:rsidP="009B5E39">
      <w:pPr>
        <w:jc w:val="both"/>
        <w:rPr>
          <w:rFonts w:ascii="Gotham" w:hAnsi="Gotham"/>
          <w:b/>
          <w:sz w:val="20"/>
          <w:szCs w:val="20"/>
        </w:rPr>
      </w:pPr>
      <w:r w:rsidRPr="003658CD">
        <w:rPr>
          <w:rFonts w:ascii="Gotham" w:hAnsi="Gotham"/>
          <w:b/>
          <w:sz w:val="20"/>
          <w:szCs w:val="20"/>
        </w:rPr>
        <w:t>Se propone modificar el artículo 42:</w:t>
      </w:r>
    </w:p>
    <w:p w14:paraId="3A474D0A" w14:textId="77777777" w:rsidR="009B5E39" w:rsidRPr="003658CD" w:rsidRDefault="009B5E39" w:rsidP="009B5E39">
      <w:pPr>
        <w:jc w:val="both"/>
        <w:rPr>
          <w:rFonts w:ascii="Gotham" w:hAnsi="Gotham"/>
          <w:b/>
          <w:sz w:val="20"/>
          <w:szCs w:val="20"/>
        </w:rPr>
      </w:pPr>
    </w:p>
    <w:p w14:paraId="3A474D0B" w14:textId="77777777" w:rsidR="009B5E39" w:rsidRPr="003658CD" w:rsidRDefault="009B5E39" w:rsidP="009B5E39">
      <w:pPr>
        <w:jc w:val="both"/>
        <w:rPr>
          <w:rFonts w:ascii="Gotham" w:hAnsi="Gotham"/>
          <w:b/>
          <w:sz w:val="20"/>
          <w:szCs w:val="20"/>
        </w:rPr>
      </w:pPr>
      <w:r w:rsidRPr="003658CD">
        <w:rPr>
          <w:rFonts w:ascii="Gotham" w:hAnsi="Gotham"/>
          <w:b/>
          <w:sz w:val="20"/>
          <w:szCs w:val="20"/>
        </w:rPr>
        <w:t xml:space="preserve">Dice: </w:t>
      </w:r>
    </w:p>
    <w:p w14:paraId="3A474D0C" w14:textId="77777777" w:rsidR="009B5E39" w:rsidRPr="003658CD" w:rsidRDefault="009B5E39" w:rsidP="009B5E39">
      <w:pPr>
        <w:jc w:val="both"/>
        <w:rPr>
          <w:rFonts w:ascii="Gotham" w:hAnsi="Gotham"/>
          <w:b/>
          <w:sz w:val="20"/>
          <w:szCs w:val="20"/>
        </w:rPr>
      </w:pPr>
    </w:p>
    <w:p w14:paraId="3A474D0D"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42.</w:t>
      </w:r>
      <w:r w:rsidRPr="00104607">
        <w:rPr>
          <w:rFonts w:ascii="Gotham" w:hAnsi="Gotham" w:cs="Arial"/>
          <w:sz w:val="19"/>
          <w:szCs w:val="19"/>
        </w:rPr>
        <w:t xml:space="preserve"> A fin de garantizar al público la presentación de un espectáculo determinado, o bien la devolución de su dinero, la comisión de espectáculos del cabildo fijará una fianza que el H. Ayuntamiento exigirá a las empresas; el afianzamiento asegurara también el pago de multas por posibles infracciones que sean levantadas en caso de violaciones al presente reglamento u otras disposiciones aplicables.</w:t>
      </w:r>
    </w:p>
    <w:p w14:paraId="3A474D0E" w14:textId="77777777" w:rsidR="009B5E39" w:rsidRPr="003658CD" w:rsidRDefault="009B5E39" w:rsidP="009B5E39">
      <w:pPr>
        <w:jc w:val="both"/>
        <w:rPr>
          <w:rFonts w:ascii="Gotham" w:hAnsi="Gotham"/>
          <w:b/>
          <w:sz w:val="20"/>
          <w:szCs w:val="20"/>
        </w:rPr>
      </w:pPr>
    </w:p>
    <w:p w14:paraId="3A474D0F" w14:textId="77777777" w:rsidR="009B5E39" w:rsidRPr="003658CD" w:rsidRDefault="009B5E39" w:rsidP="009B5E39">
      <w:pPr>
        <w:jc w:val="both"/>
        <w:rPr>
          <w:rFonts w:ascii="Gotham" w:hAnsi="Gotham"/>
          <w:b/>
          <w:sz w:val="20"/>
          <w:szCs w:val="20"/>
        </w:rPr>
      </w:pPr>
      <w:r w:rsidRPr="003658CD">
        <w:rPr>
          <w:rFonts w:ascii="Gotham" w:hAnsi="Gotham"/>
          <w:b/>
          <w:sz w:val="20"/>
          <w:szCs w:val="20"/>
        </w:rPr>
        <w:t>Debe decir:</w:t>
      </w:r>
    </w:p>
    <w:p w14:paraId="3A474D10" w14:textId="77777777" w:rsidR="009B5E39" w:rsidRPr="003658CD" w:rsidRDefault="009B5E39" w:rsidP="009B5E39">
      <w:pPr>
        <w:jc w:val="both"/>
        <w:rPr>
          <w:rFonts w:ascii="Gotham" w:hAnsi="Gotham"/>
          <w:b/>
          <w:sz w:val="20"/>
          <w:szCs w:val="20"/>
        </w:rPr>
      </w:pPr>
    </w:p>
    <w:p w14:paraId="3A474D11"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42.</w:t>
      </w:r>
      <w:r w:rsidRPr="00104607">
        <w:rPr>
          <w:rFonts w:ascii="Gotham" w:hAnsi="Gotham" w:cs="Arial"/>
          <w:sz w:val="19"/>
          <w:szCs w:val="19"/>
        </w:rPr>
        <w:t xml:space="preserve"> A fin de garantizar al público la presentación de un espectáculo determinado, o bien la devolución de su dinero, se fijará una fianza que el Ayuntamiento exigirá a las empresas; el afianzamiento asegurara también el pago de multas por posibles infracciones que sean levantadas en caso de violaciones al presente reglamento u otras disposiciones aplicables.</w:t>
      </w:r>
    </w:p>
    <w:p w14:paraId="3A474D12" w14:textId="77777777" w:rsidR="009B5E39" w:rsidRPr="003658CD" w:rsidRDefault="009B5E39" w:rsidP="009B5E39">
      <w:pPr>
        <w:jc w:val="both"/>
        <w:rPr>
          <w:rFonts w:ascii="Gotham" w:hAnsi="Gotham"/>
          <w:b/>
          <w:sz w:val="20"/>
          <w:szCs w:val="20"/>
        </w:rPr>
      </w:pPr>
    </w:p>
    <w:p w14:paraId="3A474D13" w14:textId="77777777" w:rsidR="009B5E39" w:rsidRPr="003658CD" w:rsidRDefault="009B5E39" w:rsidP="009B5E39">
      <w:pPr>
        <w:jc w:val="both"/>
        <w:rPr>
          <w:rFonts w:ascii="Gotham" w:hAnsi="Gotham"/>
          <w:b/>
          <w:sz w:val="20"/>
          <w:szCs w:val="20"/>
        </w:rPr>
      </w:pPr>
      <w:r w:rsidRPr="003658CD">
        <w:rPr>
          <w:rFonts w:ascii="Gotham" w:hAnsi="Gotham"/>
          <w:b/>
          <w:sz w:val="20"/>
          <w:szCs w:val="20"/>
        </w:rPr>
        <w:t>Los artículos 43, queda intocado:</w:t>
      </w:r>
    </w:p>
    <w:p w14:paraId="3A474D14" w14:textId="77777777" w:rsidR="009B5E39" w:rsidRPr="003658CD" w:rsidRDefault="009B5E39" w:rsidP="009B5E39">
      <w:pPr>
        <w:jc w:val="both"/>
        <w:rPr>
          <w:rFonts w:ascii="Gotham" w:hAnsi="Gotham"/>
          <w:b/>
          <w:sz w:val="20"/>
          <w:szCs w:val="20"/>
        </w:rPr>
      </w:pPr>
    </w:p>
    <w:p w14:paraId="3A474D15"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43.</w:t>
      </w:r>
      <w:r w:rsidRPr="00104607">
        <w:rPr>
          <w:rFonts w:ascii="Gotham" w:hAnsi="Gotham" w:cs="Arial"/>
          <w:sz w:val="19"/>
          <w:szCs w:val="19"/>
        </w:rPr>
        <w:t xml:space="preserve"> A fin de exigir el exacto cumplimiento de las promesas que los empresarios hagan al público, en el programa se anunciarán en forma clara precisando las condiciones del evento.</w:t>
      </w:r>
    </w:p>
    <w:p w14:paraId="3A474D16" w14:textId="77777777" w:rsidR="009B5E39" w:rsidRPr="003658CD" w:rsidRDefault="009B5E39" w:rsidP="009B5E39">
      <w:pPr>
        <w:jc w:val="both"/>
        <w:rPr>
          <w:rFonts w:ascii="Gotham" w:hAnsi="Gotham"/>
          <w:b/>
          <w:sz w:val="20"/>
          <w:szCs w:val="20"/>
        </w:rPr>
      </w:pPr>
    </w:p>
    <w:p w14:paraId="3A474D17" w14:textId="77777777" w:rsidR="009B5E39" w:rsidRPr="003658CD" w:rsidRDefault="009B5E39" w:rsidP="009B5E39">
      <w:pPr>
        <w:jc w:val="both"/>
        <w:rPr>
          <w:rFonts w:ascii="Gotham" w:hAnsi="Gotham"/>
          <w:b/>
          <w:sz w:val="20"/>
          <w:szCs w:val="20"/>
        </w:rPr>
      </w:pPr>
      <w:r w:rsidRPr="003658CD">
        <w:rPr>
          <w:rFonts w:ascii="Gotham" w:hAnsi="Gotham"/>
          <w:b/>
          <w:sz w:val="20"/>
          <w:szCs w:val="20"/>
        </w:rPr>
        <w:t>El artículo 44 actualmente dice:</w:t>
      </w:r>
    </w:p>
    <w:p w14:paraId="3A474D18" w14:textId="77777777" w:rsidR="009B5E39" w:rsidRPr="003658CD" w:rsidRDefault="009B5E39" w:rsidP="009B5E39">
      <w:pPr>
        <w:jc w:val="both"/>
        <w:rPr>
          <w:rFonts w:ascii="Gotham" w:hAnsi="Gotham"/>
          <w:b/>
          <w:sz w:val="20"/>
          <w:szCs w:val="20"/>
        </w:rPr>
      </w:pPr>
    </w:p>
    <w:p w14:paraId="3A474D19" w14:textId="2BE058C9"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44.</w:t>
      </w:r>
      <w:r w:rsidRPr="00104607">
        <w:rPr>
          <w:rFonts w:ascii="Gotham" w:hAnsi="Gotham" w:cs="Arial"/>
          <w:sz w:val="19"/>
          <w:szCs w:val="19"/>
        </w:rPr>
        <w:t xml:space="preserve"> Los boletos de toda clase de espectáculos serán vendidos en las taquillas de los locales correspondientes o en algún otro lugar debidamente autorizado. En el caso de las primeras, las empresas deberán sujetarse a lo establecido por el Reglamento de construcciones en vigor, y en todo caso brindarán al público la atención suficiente. En los llamados multicinemas, se procurará que exista una taquilla para cada sala, salvo casos excepcionales a juicio de la </w:t>
      </w:r>
      <w:r w:rsidR="0015568D" w:rsidRPr="00104607">
        <w:rPr>
          <w:rFonts w:ascii="Gotham" w:hAnsi="Gotham" w:cs="Arial"/>
          <w:sz w:val="19"/>
          <w:szCs w:val="19"/>
        </w:rPr>
        <w:t>comisión</w:t>
      </w:r>
      <w:r w:rsidRPr="00104607">
        <w:rPr>
          <w:rFonts w:ascii="Gotham" w:hAnsi="Gotham" w:cs="Arial"/>
          <w:sz w:val="19"/>
          <w:szCs w:val="19"/>
        </w:rPr>
        <w:t xml:space="preserve"> de espectáculos del cabildo.</w:t>
      </w:r>
    </w:p>
    <w:p w14:paraId="3A474D1A" w14:textId="77777777" w:rsidR="009B5E39" w:rsidRPr="003658CD" w:rsidRDefault="009B5E39" w:rsidP="009B5E39">
      <w:pPr>
        <w:jc w:val="both"/>
        <w:rPr>
          <w:rFonts w:ascii="Gotham" w:hAnsi="Gotham"/>
          <w:b/>
          <w:sz w:val="20"/>
          <w:szCs w:val="20"/>
        </w:rPr>
      </w:pPr>
    </w:p>
    <w:p w14:paraId="3A474D1B" w14:textId="77777777" w:rsidR="009B5E39" w:rsidRPr="003658CD" w:rsidRDefault="009B5E39" w:rsidP="009B5E39">
      <w:pPr>
        <w:jc w:val="both"/>
        <w:rPr>
          <w:rFonts w:ascii="Gotham" w:hAnsi="Gotham"/>
          <w:b/>
          <w:sz w:val="20"/>
          <w:szCs w:val="20"/>
        </w:rPr>
      </w:pPr>
      <w:r w:rsidRPr="003658CD">
        <w:rPr>
          <w:rFonts w:ascii="Gotham" w:hAnsi="Gotham"/>
          <w:b/>
          <w:sz w:val="20"/>
          <w:szCs w:val="20"/>
        </w:rPr>
        <w:t>Debe decir:</w:t>
      </w:r>
    </w:p>
    <w:p w14:paraId="3A474D1C" w14:textId="77777777" w:rsidR="009B5E39" w:rsidRPr="003658CD" w:rsidRDefault="009B5E39" w:rsidP="009B5E39">
      <w:pPr>
        <w:jc w:val="both"/>
        <w:rPr>
          <w:rFonts w:ascii="Gotham" w:hAnsi="Gotham"/>
          <w:b/>
          <w:sz w:val="20"/>
          <w:szCs w:val="20"/>
        </w:rPr>
      </w:pPr>
    </w:p>
    <w:p w14:paraId="3A474D1D"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44.</w:t>
      </w:r>
      <w:r w:rsidRPr="00104607">
        <w:rPr>
          <w:rFonts w:ascii="Gotham" w:hAnsi="Gotham" w:cs="Arial"/>
          <w:sz w:val="19"/>
          <w:szCs w:val="19"/>
        </w:rPr>
        <w:t xml:space="preserve"> Los boletos de toda clase de espectáculos serán vendidos en las taquillas de los locales correspondientes o en algún otro lugar debidamente autorizado. En el caso de las primeras, las empresas deberán sujetarse a lo establecido por el Reglamento de construcciones en vigor, y en todo caso brindarán al público la atención suficiente. En los llamados multicinemas, se procurará que exista una taquilla para cada sala. </w:t>
      </w:r>
    </w:p>
    <w:p w14:paraId="3A474D1E" w14:textId="77777777" w:rsidR="009B5E39" w:rsidRPr="003658CD" w:rsidRDefault="009B5E39" w:rsidP="009B5E39">
      <w:pPr>
        <w:jc w:val="both"/>
        <w:rPr>
          <w:rFonts w:ascii="Gotham" w:hAnsi="Gotham"/>
          <w:b/>
          <w:sz w:val="20"/>
          <w:szCs w:val="20"/>
        </w:rPr>
      </w:pPr>
    </w:p>
    <w:p w14:paraId="3A474D1F" w14:textId="77777777" w:rsidR="009B5E39" w:rsidRPr="003658CD" w:rsidRDefault="009B5E39" w:rsidP="009B5E39">
      <w:pPr>
        <w:jc w:val="both"/>
        <w:rPr>
          <w:rFonts w:ascii="Gotham" w:hAnsi="Gotham"/>
          <w:b/>
          <w:sz w:val="20"/>
          <w:szCs w:val="20"/>
        </w:rPr>
      </w:pPr>
      <w:r w:rsidRPr="003658CD">
        <w:rPr>
          <w:rFonts w:ascii="Gotham" w:hAnsi="Gotham"/>
          <w:b/>
          <w:sz w:val="20"/>
          <w:szCs w:val="20"/>
        </w:rPr>
        <w:t>El artículo 45 actualmente dice:</w:t>
      </w:r>
    </w:p>
    <w:p w14:paraId="3A474D20" w14:textId="77777777" w:rsidR="009B5E39" w:rsidRPr="003658CD" w:rsidRDefault="009B5E39" w:rsidP="009B5E39">
      <w:pPr>
        <w:jc w:val="both"/>
        <w:rPr>
          <w:rFonts w:ascii="Gotham" w:hAnsi="Gotham"/>
          <w:b/>
          <w:sz w:val="20"/>
          <w:szCs w:val="20"/>
        </w:rPr>
      </w:pPr>
    </w:p>
    <w:p w14:paraId="3A474D21"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45.</w:t>
      </w:r>
      <w:r w:rsidRPr="00104607">
        <w:rPr>
          <w:rFonts w:ascii="Gotham" w:hAnsi="Gotham" w:cs="Arial"/>
          <w:sz w:val="19"/>
          <w:szCs w:val="19"/>
        </w:rPr>
        <w:t xml:space="preserve"> Los boletos para los espectáculos públicos deberán contener los datos suficientes para garantizar los intereses fiscales del municipio, del público y los de la empresa, por lo que deberán estar debidamente foliados. Para tal efecto, las empresas de espectáculos deberán recabar de la comisión de espectáculos del cabildo su opinión favorable previa a la impresión de su boletaje.</w:t>
      </w:r>
    </w:p>
    <w:p w14:paraId="3A474D22" w14:textId="77777777" w:rsidR="009B5E39" w:rsidRDefault="009B5E39" w:rsidP="009B5E39">
      <w:pPr>
        <w:jc w:val="both"/>
        <w:rPr>
          <w:rFonts w:ascii="Gotham" w:hAnsi="Gotham"/>
          <w:b/>
          <w:sz w:val="20"/>
          <w:szCs w:val="20"/>
        </w:rPr>
      </w:pPr>
    </w:p>
    <w:p w14:paraId="3A474D23" w14:textId="77777777" w:rsidR="009B5E39" w:rsidRDefault="009B5E39" w:rsidP="009B5E39">
      <w:pPr>
        <w:jc w:val="both"/>
        <w:rPr>
          <w:rFonts w:ascii="Gotham" w:hAnsi="Gotham"/>
          <w:b/>
          <w:sz w:val="20"/>
          <w:szCs w:val="20"/>
        </w:rPr>
      </w:pPr>
      <w:r w:rsidRPr="003658CD">
        <w:rPr>
          <w:rFonts w:ascii="Gotham" w:hAnsi="Gotham"/>
          <w:b/>
          <w:sz w:val="20"/>
          <w:szCs w:val="20"/>
        </w:rPr>
        <w:t>Debe decir:</w:t>
      </w:r>
    </w:p>
    <w:p w14:paraId="3A474D24" w14:textId="77777777" w:rsidR="009B5E39" w:rsidRPr="003658CD" w:rsidRDefault="009B5E39" w:rsidP="009B5E39">
      <w:pPr>
        <w:jc w:val="both"/>
        <w:rPr>
          <w:rFonts w:ascii="Gotham" w:hAnsi="Gotham"/>
          <w:b/>
          <w:sz w:val="20"/>
          <w:szCs w:val="20"/>
        </w:rPr>
      </w:pPr>
    </w:p>
    <w:p w14:paraId="3A474D25" w14:textId="77777777" w:rsidR="009B5E39"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45.</w:t>
      </w:r>
      <w:r w:rsidRPr="00104607">
        <w:rPr>
          <w:rFonts w:ascii="Gotham" w:hAnsi="Gotham" w:cs="Arial"/>
          <w:sz w:val="19"/>
          <w:szCs w:val="19"/>
        </w:rPr>
        <w:t xml:space="preserve"> Los boletos para los espectáculos públicos deberán contener los datos suficientes para garantizar los intereses fiscales del municipio, del público y los de la empresa, por lo que deberán estar debidamente foliados. </w:t>
      </w:r>
    </w:p>
    <w:p w14:paraId="3A474D26" w14:textId="77777777" w:rsidR="009B5E39" w:rsidRPr="00411CF4" w:rsidRDefault="009B5E39" w:rsidP="009B5E39">
      <w:pPr>
        <w:jc w:val="both"/>
        <w:rPr>
          <w:rFonts w:ascii="Gotham" w:hAnsi="Gotham"/>
          <w:b/>
          <w:sz w:val="20"/>
          <w:szCs w:val="20"/>
        </w:rPr>
      </w:pPr>
    </w:p>
    <w:p w14:paraId="3A474D27" w14:textId="77777777" w:rsidR="009B5E39" w:rsidRPr="00411CF4" w:rsidRDefault="009B5E39" w:rsidP="009B5E39">
      <w:pPr>
        <w:jc w:val="both"/>
        <w:rPr>
          <w:rFonts w:ascii="Gotham" w:hAnsi="Gotham"/>
          <w:b/>
          <w:sz w:val="20"/>
          <w:szCs w:val="20"/>
        </w:rPr>
      </w:pPr>
      <w:r w:rsidRPr="00411CF4">
        <w:rPr>
          <w:rFonts w:ascii="Gotham" w:hAnsi="Gotham"/>
          <w:b/>
          <w:sz w:val="20"/>
          <w:szCs w:val="20"/>
        </w:rPr>
        <w:lastRenderedPageBreak/>
        <w:t>Los artícul</w:t>
      </w:r>
      <w:r>
        <w:rPr>
          <w:rFonts w:ascii="Gotham" w:hAnsi="Gotham"/>
          <w:b/>
          <w:sz w:val="20"/>
          <w:szCs w:val="20"/>
        </w:rPr>
        <w:t>os 46, 47, 48, 49, 50, 51, 52,</w:t>
      </w:r>
      <w:r w:rsidRPr="00411CF4">
        <w:rPr>
          <w:rFonts w:ascii="Gotham" w:hAnsi="Gotham"/>
          <w:b/>
          <w:sz w:val="20"/>
          <w:szCs w:val="20"/>
        </w:rPr>
        <w:t xml:space="preserve"> quedan intocados. </w:t>
      </w:r>
    </w:p>
    <w:p w14:paraId="3A474D28" w14:textId="77777777" w:rsidR="009B5E39" w:rsidRPr="00411CF4" w:rsidRDefault="009B5E39" w:rsidP="009B5E39">
      <w:pPr>
        <w:jc w:val="both"/>
        <w:rPr>
          <w:rFonts w:ascii="Gotham" w:hAnsi="Gotham"/>
          <w:b/>
          <w:sz w:val="20"/>
          <w:szCs w:val="20"/>
        </w:rPr>
      </w:pPr>
    </w:p>
    <w:p w14:paraId="3A474D29"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46.</w:t>
      </w:r>
      <w:r w:rsidRPr="00104607">
        <w:rPr>
          <w:rFonts w:ascii="Gotham" w:hAnsi="Gotham" w:cs="Arial"/>
          <w:sz w:val="19"/>
          <w:szCs w:val="19"/>
        </w:rPr>
        <w:t xml:space="preserve"> Queda prohibido estrictamente vender un mayor número de boletos del aforo del lugar donde se presentará el espectáculo, observándose para este fin lo dispuesto en el artículo 14 del presente reglamento.</w:t>
      </w:r>
    </w:p>
    <w:p w14:paraId="3A474D2A" w14:textId="77777777" w:rsidR="009B5E39" w:rsidRDefault="009B5E39" w:rsidP="009B5E39">
      <w:pPr>
        <w:widowControl w:val="0"/>
        <w:autoSpaceDE w:val="0"/>
        <w:autoSpaceDN w:val="0"/>
        <w:ind w:left="284" w:right="283"/>
        <w:jc w:val="both"/>
        <w:rPr>
          <w:rFonts w:ascii="Gotham" w:hAnsi="Gotham" w:cs="Arial"/>
          <w:sz w:val="19"/>
          <w:szCs w:val="19"/>
        </w:rPr>
      </w:pPr>
    </w:p>
    <w:p w14:paraId="3A474D2B"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47.</w:t>
      </w:r>
      <w:r w:rsidRPr="00104607">
        <w:rPr>
          <w:rFonts w:ascii="Gotham" w:hAnsi="Gotham" w:cs="Arial"/>
          <w:sz w:val="19"/>
          <w:szCs w:val="19"/>
        </w:rPr>
        <w:t xml:space="preserve"> En funciones cuyo boletaje sea expedido con localidades numeradas habrá siempre a la vista del público, un plano conteniendo la ubicación de ellas.</w:t>
      </w:r>
    </w:p>
    <w:p w14:paraId="3A474D2C" w14:textId="77777777" w:rsidR="009B5E39" w:rsidRDefault="009B5E39" w:rsidP="009B5E39">
      <w:pPr>
        <w:widowControl w:val="0"/>
        <w:autoSpaceDE w:val="0"/>
        <w:autoSpaceDN w:val="0"/>
        <w:ind w:left="284" w:right="283"/>
        <w:jc w:val="both"/>
        <w:rPr>
          <w:rFonts w:ascii="Gotham" w:hAnsi="Gotham" w:cs="Arial"/>
          <w:sz w:val="19"/>
          <w:szCs w:val="19"/>
        </w:rPr>
      </w:pPr>
    </w:p>
    <w:p w14:paraId="3A474D2D"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48.</w:t>
      </w:r>
      <w:r w:rsidRPr="00104607">
        <w:rPr>
          <w:rFonts w:ascii="Gotham" w:hAnsi="Gotham" w:cs="Arial"/>
          <w:sz w:val="19"/>
          <w:szCs w:val="19"/>
        </w:rPr>
        <w:t xml:space="preserve"> Los empresarios deberán tener el suficiente personal de acomodadores para instalar a los espectadores en sus respectivas localidades cuando éstas sean numeradas.</w:t>
      </w:r>
    </w:p>
    <w:p w14:paraId="3A474D2E" w14:textId="77777777" w:rsidR="009B5E39" w:rsidRDefault="009B5E39" w:rsidP="009B5E39">
      <w:pPr>
        <w:widowControl w:val="0"/>
        <w:autoSpaceDE w:val="0"/>
        <w:autoSpaceDN w:val="0"/>
        <w:ind w:left="284" w:right="283"/>
        <w:jc w:val="both"/>
        <w:rPr>
          <w:rFonts w:ascii="Gotham" w:hAnsi="Gotham" w:cs="Arial"/>
          <w:sz w:val="19"/>
          <w:szCs w:val="19"/>
        </w:rPr>
      </w:pPr>
    </w:p>
    <w:p w14:paraId="3A474D2F"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49.</w:t>
      </w:r>
      <w:r w:rsidRPr="00104607">
        <w:rPr>
          <w:rFonts w:ascii="Gotham" w:hAnsi="Gotham" w:cs="Arial"/>
          <w:sz w:val="19"/>
          <w:szCs w:val="19"/>
        </w:rPr>
        <w:t xml:space="preserve"> Las empresas deberán evitar que los espectadores permanezcan de pie en el interior de los centros de espectáculos que dispongan de lugares para que el público continúe sentado, extendiéndose la presente disposición a los pasillos o departamentos destinados a la comunicación para evitar que ésta se obstruya.</w:t>
      </w:r>
    </w:p>
    <w:p w14:paraId="3A474D30" w14:textId="77777777" w:rsidR="009B5E39" w:rsidRDefault="009B5E39" w:rsidP="009B5E39">
      <w:pPr>
        <w:widowControl w:val="0"/>
        <w:autoSpaceDE w:val="0"/>
        <w:autoSpaceDN w:val="0"/>
        <w:ind w:left="284" w:right="283"/>
        <w:jc w:val="both"/>
        <w:rPr>
          <w:rFonts w:ascii="Gotham" w:hAnsi="Gotham" w:cs="Arial"/>
          <w:sz w:val="19"/>
          <w:szCs w:val="19"/>
        </w:rPr>
      </w:pPr>
    </w:p>
    <w:p w14:paraId="3A474D31"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50.</w:t>
      </w:r>
      <w:r w:rsidRPr="00104607">
        <w:rPr>
          <w:rFonts w:ascii="Gotham" w:hAnsi="Gotham" w:cs="Arial"/>
          <w:sz w:val="19"/>
          <w:szCs w:val="19"/>
        </w:rPr>
        <w:t xml:space="preserve"> La numeración que se fije en lunetas, bancas, palcos, plateas y gradas será visible; la venta de dos o más boletos con un mismo número y una misma localidad será sancionada por el Ayuntamiento; cuando esto ocurra, tendrá derecho a ocupar el lugar indicado la persona que haya llegado primero, estando la empresa obligada a buscar acomodo a las otras personas en un lugar de categoría similar, o bien, devolver las entradas si así lo solicitan.</w:t>
      </w:r>
    </w:p>
    <w:p w14:paraId="3A474D32" w14:textId="77777777" w:rsidR="009B5E39" w:rsidRDefault="009B5E39" w:rsidP="009B5E39">
      <w:pPr>
        <w:widowControl w:val="0"/>
        <w:autoSpaceDE w:val="0"/>
        <w:autoSpaceDN w:val="0"/>
        <w:ind w:left="284" w:right="283"/>
        <w:jc w:val="both"/>
        <w:rPr>
          <w:rFonts w:ascii="Gotham" w:hAnsi="Gotham" w:cs="Arial"/>
          <w:sz w:val="19"/>
          <w:szCs w:val="19"/>
        </w:rPr>
      </w:pPr>
    </w:p>
    <w:p w14:paraId="3A474D33" w14:textId="77777777" w:rsidR="009B5E39" w:rsidRPr="00104607" w:rsidRDefault="009B5E39" w:rsidP="009B5E39">
      <w:pPr>
        <w:widowControl w:val="0"/>
        <w:autoSpaceDE w:val="0"/>
        <w:autoSpaceDN w:val="0"/>
        <w:ind w:left="284" w:right="283"/>
        <w:jc w:val="both"/>
        <w:rPr>
          <w:rFonts w:ascii="Gotham" w:hAnsi="Gotham" w:cs="Arial"/>
          <w:sz w:val="19"/>
          <w:szCs w:val="19"/>
        </w:rPr>
      </w:pPr>
      <w:r w:rsidRPr="008C46D6">
        <w:rPr>
          <w:rFonts w:ascii="Gotham" w:hAnsi="Gotham" w:cs="Arial"/>
          <w:b/>
          <w:sz w:val="19"/>
          <w:szCs w:val="19"/>
        </w:rPr>
        <w:t>Artículo 51.</w:t>
      </w:r>
      <w:r w:rsidRPr="00104607">
        <w:rPr>
          <w:rFonts w:ascii="Gotham" w:hAnsi="Gotham" w:cs="Arial"/>
          <w:sz w:val="19"/>
          <w:szCs w:val="19"/>
        </w:rPr>
        <w:t xml:space="preserve"> Las empresas destinadas a la presentación de espectáculos están obligadas con el Ayuntamiento, para que se establezca vigilancia policiaca en los locales que operan, con el fin de evitar anomalías.</w:t>
      </w:r>
    </w:p>
    <w:p w14:paraId="3A474D34"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35"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52.</w:t>
      </w:r>
      <w:r w:rsidRPr="00444A7A">
        <w:rPr>
          <w:rFonts w:ascii="Gotham" w:hAnsi="Gotham" w:cs="Arial"/>
          <w:sz w:val="19"/>
          <w:szCs w:val="19"/>
        </w:rPr>
        <w:t xml:space="preserve"> La venta de boletos, podrá efectuarse con varios días de anticipación.</w:t>
      </w:r>
    </w:p>
    <w:p w14:paraId="3A474D36"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37"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38" w14:textId="77777777" w:rsidR="009B5E39" w:rsidRPr="00080AB7" w:rsidRDefault="009B5E39" w:rsidP="009B5E39">
      <w:pPr>
        <w:widowControl w:val="0"/>
        <w:autoSpaceDE w:val="0"/>
        <w:autoSpaceDN w:val="0"/>
        <w:ind w:left="284" w:right="283"/>
        <w:jc w:val="center"/>
        <w:rPr>
          <w:rFonts w:ascii="Gotham" w:hAnsi="Gotham" w:cs="Arial"/>
          <w:b/>
          <w:sz w:val="19"/>
          <w:szCs w:val="19"/>
        </w:rPr>
      </w:pPr>
      <w:r w:rsidRPr="00080AB7">
        <w:rPr>
          <w:rFonts w:ascii="Gotham" w:hAnsi="Gotham" w:cs="Arial"/>
          <w:b/>
          <w:sz w:val="19"/>
          <w:szCs w:val="19"/>
        </w:rPr>
        <w:t>CAPITULO II</w:t>
      </w:r>
    </w:p>
    <w:p w14:paraId="3A474D39" w14:textId="77777777" w:rsidR="009B5E39" w:rsidRPr="00080AB7" w:rsidRDefault="009B5E39" w:rsidP="009B5E39">
      <w:pPr>
        <w:widowControl w:val="0"/>
        <w:autoSpaceDE w:val="0"/>
        <w:autoSpaceDN w:val="0"/>
        <w:ind w:left="284" w:right="283"/>
        <w:jc w:val="center"/>
        <w:rPr>
          <w:rFonts w:ascii="Gotham" w:hAnsi="Gotham" w:cs="Arial"/>
          <w:b/>
          <w:sz w:val="19"/>
          <w:szCs w:val="19"/>
        </w:rPr>
      </w:pPr>
      <w:r w:rsidRPr="00080AB7">
        <w:rPr>
          <w:rFonts w:ascii="Gotham" w:hAnsi="Gotham" w:cs="Arial"/>
          <w:b/>
          <w:sz w:val="19"/>
          <w:szCs w:val="19"/>
        </w:rPr>
        <w:t>De los Espectáculos Cinematográficos</w:t>
      </w:r>
    </w:p>
    <w:p w14:paraId="3A474D3A"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3B"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53.</w:t>
      </w:r>
      <w:r w:rsidRPr="00444A7A">
        <w:rPr>
          <w:rFonts w:ascii="Gotham" w:hAnsi="Gotham" w:cs="Arial"/>
          <w:sz w:val="19"/>
          <w:szCs w:val="19"/>
        </w:rPr>
        <w:t xml:space="preserve"> Las empresas cinematográficas, además de cumplir con la prevención contenida en el artículo 30 del presente reglamento, están obligadas a presentar la autorización correspondiente otorgada por la Secretaria de Gobernación para la exhibición de sus películas.</w:t>
      </w:r>
    </w:p>
    <w:p w14:paraId="3A474D3C"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3D"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54.</w:t>
      </w:r>
      <w:r w:rsidRPr="00444A7A">
        <w:rPr>
          <w:rFonts w:ascii="Gotham" w:hAnsi="Gotham" w:cs="Arial"/>
          <w:sz w:val="19"/>
          <w:szCs w:val="19"/>
        </w:rPr>
        <w:t xml:space="preserve"> Los locales destinados a la exhibición cinematográfica, además las empresas deberán sujetarse a:</w:t>
      </w:r>
    </w:p>
    <w:p w14:paraId="3A474D3E"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3F" w14:textId="77777777" w:rsidR="009B5E39" w:rsidRPr="00444A7A" w:rsidRDefault="009B5E39" w:rsidP="009B5E39">
      <w:pPr>
        <w:widowControl w:val="0"/>
        <w:autoSpaceDE w:val="0"/>
        <w:autoSpaceDN w:val="0"/>
        <w:spacing w:after="120"/>
        <w:ind w:left="1134" w:right="283" w:hanging="850"/>
        <w:jc w:val="both"/>
        <w:rPr>
          <w:rFonts w:ascii="Gotham" w:hAnsi="Gotham" w:cs="Arial"/>
          <w:sz w:val="19"/>
          <w:szCs w:val="19"/>
        </w:rPr>
      </w:pPr>
      <w:r w:rsidRPr="00444A7A">
        <w:rPr>
          <w:rFonts w:ascii="Gotham" w:hAnsi="Gotham" w:cs="Arial"/>
          <w:sz w:val="19"/>
          <w:szCs w:val="19"/>
        </w:rPr>
        <w:t xml:space="preserve">I.- </w:t>
      </w:r>
      <w:r>
        <w:rPr>
          <w:rFonts w:ascii="Gotham" w:hAnsi="Gotham" w:cs="Arial"/>
          <w:sz w:val="19"/>
          <w:szCs w:val="19"/>
        </w:rPr>
        <w:tab/>
      </w:r>
      <w:r w:rsidRPr="00444A7A">
        <w:rPr>
          <w:rFonts w:ascii="Gotham" w:hAnsi="Gotham" w:cs="Arial"/>
          <w:sz w:val="19"/>
          <w:szCs w:val="19"/>
        </w:rPr>
        <w:t>En las castas de proyección y durante la función, sólo se permitirá el acceso a los operadores y auxiliares de las máquinas</w:t>
      </w:r>
    </w:p>
    <w:p w14:paraId="3A474D40" w14:textId="77777777" w:rsidR="009B5E39" w:rsidRPr="00444A7A" w:rsidRDefault="009B5E39" w:rsidP="009B5E39">
      <w:pPr>
        <w:widowControl w:val="0"/>
        <w:autoSpaceDE w:val="0"/>
        <w:autoSpaceDN w:val="0"/>
        <w:spacing w:after="120"/>
        <w:ind w:left="1134" w:right="283" w:hanging="850"/>
        <w:jc w:val="both"/>
        <w:rPr>
          <w:rFonts w:ascii="Gotham" w:hAnsi="Gotham" w:cs="Arial"/>
          <w:sz w:val="19"/>
          <w:szCs w:val="19"/>
        </w:rPr>
      </w:pPr>
      <w:r w:rsidRPr="00444A7A">
        <w:rPr>
          <w:rFonts w:ascii="Gotham" w:hAnsi="Gotham" w:cs="Arial"/>
          <w:sz w:val="19"/>
          <w:szCs w:val="19"/>
        </w:rPr>
        <w:t xml:space="preserve">II.- </w:t>
      </w:r>
      <w:r>
        <w:rPr>
          <w:rFonts w:ascii="Gotham" w:hAnsi="Gotham" w:cs="Arial"/>
          <w:sz w:val="19"/>
          <w:szCs w:val="19"/>
        </w:rPr>
        <w:tab/>
      </w:r>
      <w:r w:rsidRPr="00444A7A">
        <w:rPr>
          <w:rFonts w:ascii="Gotham" w:hAnsi="Gotham" w:cs="Arial"/>
          <w:sz w:val="19"/>
          <w:szCs w:val="19"/>
        </w:rPr>
        <w:t>Siempre debe permanecer una persona encargada de vigilar los aparatos que hacen posible la exhibición, a fin de evitar en lo posible que se interrumpa la proyección.</w:t>
      </w:r>
    </w:p>
    <w:p w14:paraId="3A474D41" w14:textId="77777777" w:rsidR="009B5E39" w:rsidRPr="00444A7A" w:rsidRDefault="009B5E39" w:rsidP="009B5E39">
      <w:pPr>
        <w:widowControl w:val="0"/>
        <w:autoSpaceDE w:val="0"/>
        <w:autoSpaceDN w:val="0"/>
        <w:spacing w:after="120"/>
        <w:ind w:left="1134" w:right="283" w:hanging="850"/>
        <w:jc w:val="both"/>
        <w:rPr>
          <w:rFonts w:ascii="Gotham" w:hAnsi="Gotham" w:cs="Arial"/>
          <w:sz w:val="19"/>
          <w:szCs w:val="19"/>
        </w:rPr>
      </w:pPr>
      <w:r w:rsidRPr="00444A7A">
        <w:rPr>
          <w:rFonts w:ascii="Gotham" w:hAnsi="Gotham" w:cs="Arial"/>
          <w:sz w:val="19"/>
          <w:szCs w:val="19"/>
        </w:rPr>
        <w:t xml:space="preserve">III. - </w:t>
      </w:r>
      <w:r>
        <w:rPr>
          <w:rFonts w:ascii="Gotham" w:hAnsi="Gotham" w:cs="Arial"/>
          <w:sz w:val="19"/>
          <w:szCs w:val="19"/>
        </w:rPr>
        <w:tab/>
      </w:r>
      <w:r w:rsidRPr="00444A7A">
        <w:rPr>
          <w:rFonts w:ascii="Gotham" w:hAnsi="Gotham" w:cs="Arial"/>
          <w:sz w:val="19"/>
          <w:szCs w:val="19"/>
        </w:rPr>
        <w:t>Estará prohibido terminantemente fumar o ingerir bebidas alcohólicas en el interior de las casetas.</w:t>
      </w:r>
    </w:p>
    <w:p w14:paraId="3A474D42" w14:textId="77777777" w:rsidR="009B5E39" w:rsidRPr="00444A7A" w:rsidRDefault="009B5E39" w:rsidP="009B5E39">
      <w:pPr>
        <w:widowControl w:val="0"/>
        <w:autoSpaceDE w:val="0"/>
        <w:autoSpaceDN w:val="0"/>
        <w:spacing w:after="120"/>
        <w:ind w:left="1134" w:right="283" w:hanging="850"/>
        <w:jc w:val="both"/>
        <w:rPr>
          <w:rFonts w:ascii="Gotham" w:hAnsi="Gotham" w:cs="Arial"/>
          <w:sz w:val="19"/>
          <w:szCs w:val="19"/>
        </w:rPr>
      </w:pPr>
      <w:r w:rsidRPr="00444A7A">
        <w:rPr>
          <w:rFonts w:ascii="Gotham" w:hAnsi="Gotham" w:cs="Arial"/>
          <w:sz w:val="19"/>
          <w:szCs w:val="19"/>
        </w:rPr>
        <w:t xml:space="preserve">IV. - </w:t>
      </w:r>
      <w:r>
        <w:rPr>
          <w:rFonts w:ascii="Gotham" w:hAnsi="Gotham" w:cs="Arial"/>
          <w:sz w:val="19"/>
          <w:szCs w:val="19"/>
        </w:rPr>
        <w:tab/>
      </w:r>
      <w:r w:rsidRPr="00444A7A">
        <w:rPr>
          <w:rFonts w:ascii="Gotham" w:hAnsi="Gotham" w:cs="Arial"/>
          <w:sz w:val="19"/>
          <w:szCs w:val="19"/>
        </w:rPr>
        <w:t>Las empresas se responsabilizan del buen funcionamiento de los aparatos que hacen posible la proyección, con el fin de evitar molestias al público.</w:t>
      </w:r>
    </w:p>
    <w:p w14:paraId="3A474D43" w14:textId="77777777" w:rsidR="009B5E39" w:rsidRPr="00444A7A" w:rsidRDefault="009B5E39" w:rsidP="009B5E39">
      <w:pPr>
        <w:widowControl w:val="0"/>
        <w:autoSpaceDE w:val="0"/>
        <w:autoSpaceDN w:val="0"/>
        <w:spacing w:after="120"/>
        <w:ind w:left="1134" w:right="283" w:hanging="850"/>
        <w:jc w:val="both"/>
        <w:rPr>
          <w:rFonts w:ascii="Gotham" w:hAnsi="Gotham" w:cs="Arial"/>
          <w:sz w:val="19"/>
          <w:szCs w:val="19"/>
        </w:rPr>
      </w:pPr>
      <w:r w:rsidRPr="00444A7A">
        <w:rPr>
          <w:rFonts w:ascii="Gotham" w:hAnsi="Gotham" w:cs="Arial"/>
          <w:sz w:val="19"/>
          <w:szCs w:val="19"/>
        </w:rPr>
        <w:t xml:space="preserve">V.- </w:t>
      </w:r>
      <w:r>
        <w:rPr>
          <w:rFonts w:ascii="Gotham" w:hAnsi="Gotham" w:cs="Arial"/>
          <w:sz w:val="19"/>
          <w:szCs w:val="19"/>
        </w:rPr>
        <w:tab/>
      </w:r>
      <w:r w:rsidRPr="00444A7A">
        <w:rPr>
          <w:rFonts w:ascii="Gotham" w:hAnsi="Gotham" w:cs="Arial"/>
          <w:sz w:val="19"/>
          <w:szCs w:val="19"/>
        </w:rPr>
        <w:t>Queda estrictamente prohibido introducir a las casetas cualquier objeto que por su naturaleza pueda representar peligro de incendio.</w:t>
      </w:r>
    </w:p>
    <w:p w14:paraId="3A474D44" w14:textId="77777777" w:rsidR="009B5E39" w:rsidRPr="00444A7A" w:rsidRDefault="009B5E39" w:rsidP="009B5E39">
      <w:pPr>
        <w:widowControl w:val="0"/>
        <w:autoSpaceDE w:val="0"/>
        <w:autoSpaceDN w:val="0"/>
        <w:ind w:left="1134" w:right="283" w:hanging="850"/>
        <w:jc w:val="both"/>
        <w:rPr>
          <w:rFonts w:ascii="Gotham" w:hAnsi="Gotham" w:cs="Arial"/>
          <w:sz w:val="19"/>
          <w:szCs w:val="19"/>
        </w:rPr>
      </w:pPr>
      <w:r w:rsidRPr="00444A7A">
        <w:rPr>
          <w:rFonts w:ascii="Gotham" w:hAnsi="Gotham" w:cs="Arial"/>
          <w:sz w:val="19"/>
          <w:szCs w:val="19"/>
        </w:rPr>
        <w:t xml:space="preserve">VI. - </w:t>
      </w:r>
      <w:r>
        <w:rPr>
          <w:rFonts w:ascii="Gotham" w:hAnsi="Gotham" w:cs="Arial"/>
          <w:sz w:val="19"/>
          <w:szCs w:val="19"/>
        </w:rPr>
        <w:tab/>
      </w:r>
      <w:r w:rsidRPr="00444A7A">
        <w:rPr>
          <w:rFonts w:ascii="Gotham" w:hAnsi="Gotham" w:cs="Arial"/>
          <w:sz w:val="19"/>
          <w:szCs w:val="19"/>
        </w:rPr>
        <w:t>Las casetas deberán estar provistas de los extinguidores necesarios.</w:t>
      </w:r>
    </w:p>
    <w:p w14:paraId="3A474D45"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46"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lastRenderedPageBreak/>
        <w:t>Artículo 55.</w:t>
      </w:r>
      <w:r w:rsidRPr="00444A7A">
        <w:rPr>
          <w:rFonts w:ascii="Gotham" w:hAnsi="Gotham" w:cs="Arial"/>
          <w:sz w:val="19"/>
          <w:szCs w:val="19"/>
        </w:rPr>
        <w:t xml:space="preserve"> En los multicinemas que tengan áreas comunes deberá existir una división que sin perjuicios de la amplitud, impida el paso de las personas de una sala a otra, particularmente cuando se presenten funciones con distinta clasificación.</w:t>
      </w:r>
    </w:p>
    <w:p w14:paraId="3A474D47"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48" w14:textId="135E6023"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56.</w:t>
      </w:r>
      <w:r w:rsidRPr="00444A7A">
        <w:rPr>
          <w:rFonts w:ascii="Gotham" w:hAnsi="Gotham" w:cs="Arial"/>
          <w:sz w:val="19"/>
          <w:szCs w:val="19"/>
        </w:rPr>
        <w:t xml:space="preserve"> Las empresas están obligadas a traducir al correcto español todas las expresiones o </w:t>
      </w:r>
      <w:r w:rsidR="0015568D">
        <w:rPr>
          <w:rFonts w:ascii="Gotham" w:hAnsi="Gotham" w:cs="Arial"/>
          <w:sz w:val="19"/>
          <w:szCs w:val="19"/>
        </w:rPr>
        <w:t>l</w:t>
      </w:r>
      <w:r w:rsidRPr="00444A7A">
        <w:rPr>
          <w:rFonts w:ascii="Gotham" w:hAnsi="Gotham" w:cs="Arial"/>
          <w:sz w:val="19"/>
          <w:szCs w:val="19"/>
        </w:rPr>
        <w:t>etreros que se difundan o aparezcan en idiomas que no sean el español, en las funciones, o los pronunciados por los protagonistas.</w:t>
      </w:r>
    </w:p>
    <w:p w14:paraId="3A474D49"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4A"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57.</w:t>
      </w:r>
      <w:r w:rsidRPr="00444A7A">
        <w:rPr>
          <w:rFonts w:ascii="Gotham" w:hAnsi="Gotham" w:cs="Arial"/>
          <w:sz w:val="19"/>
          <w:szCs w:val="19"/>
        </w:rPr>
        <w:t xml:space="preserve"> Los intermedios podrán eliminarse cuando en una función la duración de una película no exceda de 90 minutos. Cuando la proyección dure más de este tiempo deberá haber un intermedio que tendrá un mínimo de 5 y un máximo de 10 minutos de duración.</w:t>
      </w:r>
    </w:p>
    <w:p w14:paraId="3A474D4B"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4C"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444A7A">
        <w:rPr>
          <w:rFonts w:ascii="Gotham" w:hAnsi="Gotham" w:cs="Arial"/>
          <w:sz w:val="19"/>
          <w:szCs w:val="19"/>
        </w:rPr>
        <w:t>Las empresas están obligadas a señalar a los espectadores la duración exacta del intermedio debiendo reanudarse la proyección precisamente en el momento indicado.</w:t>
      </w:r>
    </w:p>
    <w:p w14:paraId="3A474D4D"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4E"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58.</w:t>
      </w:r>
      <w:r w:rsidRPr="00444A7A">
        <w:rPr>
          <w:rFonts w:ascii="Gotham" w:hAnsi="Gotham" w:cs="Arial"/>
          <w:sz w:val="19"/>
          <w:szCs w:val="19"/>
        </w:rPr>
        <w:t xml:space="preserve"> Las empresas cinematográficas no exhibirán más de 3 comerciales antes del inicio de la película y durante la proyección ninguno. Tampoco podrán tener anuncios luminosos en el interior de la sala que causen molestias al espectador.</w:t>
      </w:r>
    </w:p>
    <w:p w14:paraId="3A474D4F"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50"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59.</w:t>
      </w:r>
      <w:r w:rsidRPr="00444A7A">
        <w:rPr>
          <w:rFonts w:ascii="Gotham" w:hAnsi="Gotham" w:cs="Arial"/>
          <w:sz w:val="19"/>
          <w:szCs w:val="19"/>
        </w:rPr>
        <w:t xml:space="preserve"> Sc prohíbe el acceso de menores a las películas que se exhiben con la clasificación que así se exige.</w:t>
      </w:r>
    </w:p>
    <w:p w14:paraId="3A474D51"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52"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444A7A">
        <w:rPr>
          <w:rFonts w:ascii="Gotham" w:hAnsi="Gotham" w:cs="Arial"/>
          <w:sz w:val="19"/>
          <w:szCs w:val="19"/>
        </w:rPr>
        <w:t>Asimismo, que en las clasificaciones para todo el público, se exhiban avances de distinta clasificación: tampoco se exhibirán en el interior o exterior de las salas. Carteles de películas con clasificación exclusiva para adulto, sin la debida censura.</w:t>
      </w:r>
    </w:p>
    <w:p w14:paraId="3A474D53" w14:textId="77777777" w:rsidR="009B5E39" w:rsidRPr="00112317" w:rsidRDefault="009B5E39" w:rsidP="009B5E39">
      <w:pPr>
        <w:jc w:val="both"/>
        <w:rPr>
          <w:rFonts w:ascii="Gotham" w:hAnsi="Gotham"/>
          <w:b/>
          <w:sz w:val="20"/>
          <w:szCs w:val="20"/>
        </w:rPr>
      </w:pPr>
    </w:p>
    <w:p w14:paraId="3A474D54" w14:textId="77777777" w:rsidR="009B5E39" w:rsidRPr="00112317" w:rsidRDefault="009B5E39" w:rsidP="009B5E39">
      <w:pPr>
        <w:jc w:val="both"/>
        <w:rPr>
          <w:rFonts w:ascii="Gotham" w:hAnsi="Gotham"/>
          <w:b/>
          <w:sz w:val="20"/>
          <w:szCs w:val="20"/>
        </w:rPr>
      </w:pPr>
      <w:r w:rsidRPr="00112317">
        <w:rPr>
          <w:rFonts w:ascii="Gotham" w:hAnsi="Gotham"/>
          <w:b/>
          <w:sz w:val="20"/>
          <w:szCs w:val="20"/>
        </w:rPr>
        <w:t>El artículo 60 actualmente señala:</w:t>
      </w:r>
    </w:p>
    <w:p w14:paraId="3A474D55" w14:textId="77777777" w:rsidR="009B5E39" w:rsidRPr="00112317" w:rsidRDefault="009B5E39" w:rsidP="009B5E39">
      <w:pPr>
        <w:jc w:val="both"/>
        <w:rPr>
          <w:rFonts w:ascii="Gotham" w:hAnsi="Gotham"/>
          <w:b/>
          <w:sz w:val="20"/>
          <w:szCs w:val="20"/>
        </w:rPr>
      </w:pPr>
    </w:p>
    <w:p w14:paraId="3A474D56"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60.</w:t>
      </w:r>
      <w:r w:rsidRPr="00444A7A">
        <w:rPr>
          <w:rFonts w:ascii="Gotham" w:hAnsi="Gotham" w:cs="Arial"/>
          <w:sz w:val="19"/>
          <w:szCs w:val="19"/>
        </w:rPr>
        <w:t xml:space="preserve"> El cabildo, a propuesta de su comisión de espectáculos determinará la cuota por ingreso así como la clasificación de las salas cinematográficas.</w:t>
      </w:r>
    </w:p>
    <w:p w14:paraId="3A474D57" w14:textId="77777777" w:rsidR="009B5E39" w:rsidRPr="00112317" w:rsidRDefault="009B5E39" w:rsidP="009B5E39">
      <w:pPr>
        <w:jc w:val="both"/>
        <w:rPr>
          <w:rFonts w:ascii="Gotham" w:hAnsi="Gotham"/>
          <w:b/>
          <w:sz w:val="20"/>
          <w:szCs w:val="20"/>
        </w:rPr>
      </w:pPr>
    </w:p>
    <w:p w14:paraId="3A474D58" w14:textId="77777777" w:rsidR="009B5E39" w:rsidRPr="00112317" w:rsidRDefault="009B5E39" w:rsidP="009B5E39">
      <w:pPr>
        <w:jc w:val="both"/>
        <w:rPr>
          <w:rFonts w:ascii="Gotham" w:hAnsi="Gotham"/>
          <w:b/>
          <w:sz w:val="20"/>
          <w:szCs w:val="20"/>
        </w:rPr>
      </w:pPr>
      <w:r w:rsidRPr="00112317">
        <w:rPr>
          <w:rFonts w:ascii="Gotham" w:hAnsi="Gotham"/>
          <w:b/>
          <w:sz w:val="20"/>
          <w:szCs w:val="20"/>
        </w:rPr>
        <w:t>Debe decir:</w:t>
      </w:r>
    </w:p>
    <w:p w14:paraId="3A474D59" w14:textId="77777777" w:rsidR="009B5E39" w:rsidRPr="00112317" w:rsidRDefault="009B5E39" w:rsidP="009B5E39">
      <w:pPr>
        <w:jc w:val="both"/>
        <w:rPr>
          <w:rFonts w:ascii="Gotham" w:hAnsi="Gotham"/>
          <w:b/>
          <w:sz w:val="20"/>
          <w:szCs w:val="20"/>
        </w:rPr>
      </w:pPr>
    </w:p>
    <w:p w14:paraId="3A474D5A"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60.</w:t>
      </w:r>
      <w:r w:rsidRPr="00444A7A">
        <w:rPr>
          <w:rFonts w:ascii="Gotham" w:hAnsi="Gotham" w:cs="Arial"/>
          <w:sz w:val="19"/>
          <w:szCs w:val="19"/>
        </w:rPr>
        <w:t xml:space="preserve"> El Ayuntamiento determinará la cuota por ingreso así como la clasificación de las salas cinematográficas.</w:t>
      </w:r>
    </w:p>
    <w:p w14:paraId="3A474D5B" w14:textId="77777777" w:rsidR="009B5E39" w:rsidRPr="00112317" w:rsidRDefault="009B5E39" w:rsidP="009B5E39">
      <w:pPr>
        <w:jc w:val="both"/>
        <w:rPr>
          <w:rFonts w:ascii="Gotham" w:hAnsi="Gotham"/>
          <w:b/>
          <w:sz w:val="20"/>
          <w:szCs w:val="20"/>
        </w:rPr>
      </w:pPr>
    </w:p>
    <w:p w14:paraId="3A474D5C" w14:textId="77777777" w:rsidR="009B5E39" w:rsidRPr="00112317" w:rsidRDefault="009B5E39" w:rsidP="009B5E39">
      <w:pPr>
        <w:jc w:val="both"/>
        <w:rPr>
          <w:rFonts w:ascii="Gotham" w:hAnsi="Gotham"/>
          <w:b/>
          <w:sz w:val="20"/>
          <w:szCs w:val="20"/>
        </w:rPr>
      </w:pPr>
      <w:r w:rsidRPr="00112317">
        <w:rPr>
          <w:rFonts w:ascii="Gotham" w:hAnsi="Gotham"/>
          <w:b/>
          <w:sz w:val="20"/>
          <w:szCs w:val="20"/>
        </w:rPr>
        <w:t>El artículo 61 actualmente señala:</w:t>
      </w:r>
    </w:p>
    <w:p w14:paraId="3A474D5D" w14:textId="77777777" w:rsidR="009B5E39" w:rsidRPr="00112317" w:rsidRDefault="009B5E39" w:rsidP="009B5E39">
      <w:pPr>
        <w:jc w:val="both"/>
        <w:rPr>
          <w:rFonts w:ascii="Gotham" w:hAnsi="Gotham"/>
          <w:b/>
          <w:sz w:val="20"/>
          <w:szCs w:val="20"/>
        </w:rPr>
      </w:pPr>
    </w:p>
    <w:p w14:paraId="3A474D5E"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444A7A">
        <w:rPr>
          <w:rFonts w:ascii="Gotham" w:hAnsi="Gotham" w:cs="Arial"/>
          <w:sz w:val="19"/>
          <w:szCs w:val="19"/>
        </w:rPr>
        <w:t>La clasificación de una sala pude cambiarse en cualquier tiempo, cuando la empresa solicitante lo justifique ante el cuerpo edilicio.</w:t>
      </w:r>
    </w:p>
    <w:p w14:paraId="3A474D5F" w14:textId="77777777" w:rsidR="009B5E39" w:rsidRPr="00112317" w:rsidRDefault="009B5E39" w:rsidP="009B5E39">
      <w:pPr>
        <w:jc w:val="both"/>
        <w:rPr>
          <w:rFonts w:ascii="Gotham" w:hAnsi="Gotham"/>
          <w:b/>
          <w:sz w:val="20"/>
          <w:szCs w:val="20"/>
        </w:rPr>
      </w:pPr>
    </w:p>
    <w:p w14:paraId="3A474D60" w14:textId="77777777" w:rsidR="009B5E39" w:rsidRPr="00112317" w:rsidRDefault="009B5E39" w:rsidP="009B5E39">
      <w:pPr>
        <w:jc w:val="both"/>
        <w:rPr>
          <w:rFonts w:ascii="Gotham" w:hAnsi="Gotham"/>
          <w:b/>
          <w:sz w:val="20"/>
          <w:szCs w:val="20"/>
        </w:rPr>
      </w:pPr>
      <w:r w:rsidRPr="00112317">
        <w:rPr>
          <w:rFonts w:ascii="Gotham" w:hAnsi="Gotham"/>
          <w:b/>
          <w:sz w:val="20"/>
          <w:szCs w:val="20"/>
        </w:rPr>
        <w:t>Debe decir:</w:t>
      </w:r>
    </w:p>
    <w:p w14:paraId="3A474D61" w14:textId="77777777" w:rsidR="009B5E39" w:rsidRPr="00112317" w:rsidRDefault="009B5E39" w:rsidP="009B5E39">
      <w:pPr>
        <w:jc w:val="both"/>
        <w:rPr>
          <w:rFonts w:ascii="Gotham" w:hAnsi="Gotham"/>
          <w:b/>
          <w:sz w:val="20"/>
          <w:szCs w:val="20"/>
        </w:rPr>
      </w:pPr>
    </w:p>
    <w:p w14:paraId="3A474D62"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444A7A">
        <w:rPr>
          <w:rFonts w:ascii="Gotham" w:hAnsi="Gotham" w:cs="Arial"/>
          <w:sz w:val="19"/>
          <w:szCs w:val="19"/>
        </w:rPr>
        <w:t xml:space="preserve">La clasificación de una sala pude cambiarse en cualquier tiempo, cuando la empresa solicitante así lo justifique. </w:t>
      </w:r>
    </w:p>
    <w:p w14:paraId="3A474D63" w14:textId="77777777" w:rsidR="009B5E39" w:rsidRPr="00112317" w:rsidRDefault="009B5E39" w:rsidP="009B5E39">
      <w:pPr>
        <w:jc w:val="both"/>
        <w:rPr>
          <w:rFonts w:ascii="Gotham" w:hAnsi="Gotham"/>
          <w:b/>
          <w:sz w:val="20"/>
          <w:szCs w:val="20"/>
        </w:rPr>
      </w:pPr>
    </w:p>
    <w:p w14:paraId="3A474D64" w14:textId="77777777" w:rsidR="009B5E39" w:rsidRPr="00112317" w:rsidRDefault="009B5E39" w:rsidP="009B5E39">
      <w:pPr>
        <w:jc w:val="both"/>
        <w:rPr>
          <w:rFonts w:ascii="Gotham" w:hAnsi="Gotham"/>
          <w:b/>
          <w:sz w:val="20"/>
          <w:szCs w:val="20"/>
        </w:rPr>
      </w:pPr>
      <w:r w:rsidRPr="00112317">
        <w:rPr>
          <w:rFonts w:ascii="Gotham" w:hAnsi="Gotham"/>
          <w:b/>
          <w:sz w:val="20"/>
          <w:szCs w:val="20"/>
        </w:rPr>
        <w:t xml:space="preserve">Los artículos 62, 63, 64, 65, 66, 667, 68, 69, 70, 71, 72, 73, 74, 75, 76, 77, 78, 79, 80, 81, 82, 83, 84, 85, 86 quedan intocados. </w:t>
      </w:r>
    </w:p>
    <w:p w14:paraId="3A474D65" w14:textId="77777777" w:rsidR="009B5E39" w:rsidRPr="00112317" w:rsidRDefault="009B5E39" w:rsidP="009B5E39">
      <w:pPr>
        <w:jc w:val="both"/>
        <w:rPr>
          <w:rFonts w:ascii="Gotham" w:hAnsi="Gotham"/>
          <w:b/>
          <w:sz w:val="20"/>
          <w:szCs w:val="20"/>
        </w:rPr>
      </w:pPr>
    </w:p>
    <w:p w14:paraId="3A474D66"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62.</w:t>
      </w:r>
      <w:r w:rsidRPr="00444A7A">
        <w:rPr>
          <w:rFonts w:ascii="Gotham" w:hAnsi="Gotham" w:cs="Arial"/>
          <w:sz w:val="19"/>
          <w:szCs w:val="19"/>
        </w:rPr>
        <w:t xml:space="preserve"> Para determinar la categoría de sala, se tomará en cuenta su aforo, crédito, comodidad, seguridad, tipo y edad de su construcción, ubicación, tipo y antigüedad de las películas que exhibe, horario, sistema de proyección, sonido y otras cuestiones accesorias que mejoren el espectáculo.</w:t>
      </w:r>
    </w:p>
    <w:p w14:paraId="3A474D67"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68" w14:textId="77777777" w:rsidR="009B5E39" w:rsidRPr="00444A7A" w:rsidRDefault="009B5E39" w:rsidP="009B5E39">
      <w:pPr>
        <w:widowControl w:val="0"/>
        <w:autoSpaceDE w:val="0"/>
        <w:autoSpaceDN w:val="0"/>
        <w:ind w:left="284" w:right="283"/>
        <w:jc w:val="both"/>
        <w:rPr>
          <w:rFonts w:ascii="Gotham" w:hAnsi="Gotham" w:cs="Arial"/>
          <w:sz w:val="19"/>
          <w:szCs w:val="19"/>
        </w:rPr>
      </w:pPr>
    </w:p>
    <w:p w14:paraId="3A474D69" w14:textId="77777777" w:rsidR="009B5E39" w:rsidRPr="00080AB7" w:rsidRDefault="009B5E39" w:rsidP="009B5E39">
      <w:pPr>
        <w:widowControl w:val="0"/>
        <w:autoSpaceDE w:val="0"/>
        <w:autoSpaceDN w:val="0"/>
        <w:ind w:left="284" w:right="283"/>
        <w:jc w:val="center"/>
        <w:rPr>
          <w:rFonts w:ascii="Gotham" w:hAnsi="Gotham" w:cs="Arial"/>
          <w:b/>
          <w:sz w:val="19"/>
          <w:szCs w:val="19"/>
        </w:rPr>
      </w:pPr>
      <w:r w:rsidRPr="00080AB7">
        <w:rPr>
          <w:rFonts w:ascii="Gotham" w:hAnsi="Gotham" w:cs="Arial"/>
          <w:b/>
          <w:sz w:val="19"/>
          <w:szCs w:val="19"/>
        </w:rPr>
        <w:lastRenderedPageBreak/>
        <w:t>CAPITULO III</w:t>
      </w:r>
    </w:p>
    <w:p w14:paraId="3A474D6A" w14:textId="77777777" w:rsidR="009B5E39" w:rsidRPr="00080AB7" w:rsidRDefault="009B5E39" w:rsidP="009B5E39">
      <w:pPr>
        <w:widowControl w:val="0"/>
        <w:autoSpaceDE w:val="0"/>
        <w:autoSpaceDN w:val="0"/>
        <w:ind w:left="284" w:right="283"/>
        <w:jc w:val="center"/>
        <w:rPr>
          <w:rFonts w:ascii="Gotham" w:hAnsi="Gotham" w:cs="Arial"/>
          <w:b/>
          <w:sz w:val="19"/>
          <w:szCs w:val="19"/>
        </w:rPr>
      </w:pPr>
      <w:r w:rsidRPr="00080AB7">
        <w:rPr>
          <w:rFonts w:ascii="Gotham" w:hAnsi="Gotham" w:cs="Arial"/>
          <w:b/>
          <w:sz w:val="19"/>
          <w:szCs w:val="19"/>
        </w:rPr>
        <w:t>De los Espectáculos de Teatro</w:t>
      </w:r>
    </w:p>
    <w:p w14:paraId="3A474D6B" w14:textId="77777777" w:rsidR="009B5E39" w:rsidRDefault="009B5E39" w:rsidP="009B5E39">
      <w:pPr>
        <w:widowControl w:val="0"/>
        <w:autoSpaceDE w:val="0"/>
        <w:autoSpaceDN w:val="0"/>
        <w:ind w:left="284" w:right="283"/>
        <w:jc w:val="both"/>
        <w:rPr>
          <w:rFonts w:ascii="Gotham" w:hAnsi="Gotham" w:cs="Arial"/>
          <w:sz w:val="19"/>
          <w:szCs w:val="19"/>
        </w:rPr>
      </w:pPr>
    </w:p>
    <w:p w14:paraId="3A474D6C"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63.</w:t>
      </w:r>
      <w:r w:rsidRPr="00444A7A">
        <w:rPr>
          <w:rFonts w:ascii="Gotham" w:hAnsi="Gotham" w:cs="Arial"/>
          <w:sz w:val="19"/>
          <w:szCs w:val="19"/>
        </w:rPr>
        <w:t xml:space="preserve"> El representante de la empresa teatral es el responsable ante el</w:t>
      </w:r>
      <w:r w:rsidR="00883EC2">
        <w:rPr>
          <w:rFonts w:ascii="Gotham" w:hAnsi="Gotham" w:cs="Arial"/>
          <w:sz w:val="19"/>
          <w:szCs w:val="19"/>
        </w:rPr>
        <w:t xml:space="preserve"> </w:t>
      </w:r>
      <w:r w:rsidRPr="00444A7A">
        <w:rPr>
          <w:rFonts w:ascii="Gotham" w:hAnsi="Gotham" w:cs="Arial"/>
          <w:sz w:val="19"/>
          <w:szCs w:val="19"/>
        </w:rPr>
        <w:t>Ayuntamiento, del orden general durante la celebración del espectáculo y de la estricta observancia del presente reglamento, no se permite la presencia de personas ajenas a la compañía en el foro de los teatros.</w:t>
      </w:r>
    </w:p>
    <w:p w14:paraId="3A474D6D" w14:textId="77777777" w:rsidR="009B5E39" w:rsidRDefault="009B5E39" w:rsidP="009B5E39">
      <w:pPr>
        <w:widowControl w:val="0"/>
        <w:autoSpaceDE w:val="0"/>
        <w:autoSpaceDN w:val="0"/>
        <w:ind w:left="284" w:right="283"/>
        <w:jc w:val="both"/>
        <w:rPr>
          <w:rFonts w:ascii="Gotham" w:hAnsi="Gotham" w:cs="Arial"/>
          <w:sz w:val="19"/>
          <w:szCs w:val="19"/>
        </w:rPr>
      </w:pPr>
    </w:p>
    <w:p w14:paraId="3A474D6E"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64.</w:t>
      </w:r>
      <w:r w:rsidRPr="00444A7A">
        <w:rPr>
          <w:rFonts w:ascii="Gotham" w:hAnsi="Gotham" w:cs="Arial"/>
          <w:sz w:val="19"/>
          <w:szCs w:val="19"/>
        </w:rPr>
        <w:t xml:space="preserve"> Para los efectos de este reglamento se entiende por actor o artista todo aquél que figura en un programa de espectáculos públicos y tome parte en los mismos.</w:t>
      </w:r>
    </w:p>
    <w:p w14:paraId="3A474D6F" w14:textId="77777777" w:rsidR="009B5E39" w:rsidRDefault="009B5E39" w:rsidP="009B5E39">
      <w:pPr>
        <w:widowControl w:val="0"/>
        <w:autoSpaceDE w:val="0"/>
        <w:autoSpaceDN w:val="0"/>
        <w:ind w:left="284" w:right="283"/>
        <w:jc w:val="both"/>
        <w:rPr>
          <w:rFonts w:ascii="Gotham" w:hAnsi="Gotham" w:cs="Arial"/>
          <w:sz w:val="19"/>
          <w:szCs w:val="19"/>
        </w:rPr>
      </w:pPr>
    </w:p>
    <w:p w14:paraId="3A474D70"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65.</w:t>
      </w:r>
      <w:r w:rsidRPr="00444A7A">
        <w:rPr>
          <w:rFonts w:ascii="Gotham" w:hAnsi="Gotham" w:cs="Arial"/>
          <w:sz w:val="19"/>
          <w:szCs w:val="19"/>
        </w:rPr>
        <w:t xml:space="preserve"> Los artistas que tomen parte en una función anunciada deberán ajustar su intervención a los papeles que señale el guion autorizado la obra, además de presentarse puntualmente con los elementos requeridos para el espectáculo.</w:t>
      </w:r>
    </w:p>
    <w:p w14:paraId="3A474D71" w14:textId="77777777" w:rsidR="009B5E39" w:rsidRDefault="009B5E39" w:rsidP="009B5E39">
      <w:pPr>
        <w:widowControl w:val="0"/>
        <w:autoSpaceDE w:val="0"/>
        <w:autoSpaceDN w:val="0"/>
        <w:ind w:left="284" w:right="283"/>
        <w:jc w:val="both"/>
        <w:rPr>
          <w:rFonts w:ascii="Gotham" w:hAnsi="Gotham" w:cs="Arial"/>
          <w:sz w:val="19"/>
          <w:szCs w:val="19"/>
        </w:rPr>
      </w:pPr>
    </w:p>
    <w:p w14:paraId="3A474D72"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66.</w:t>
      </w:r>
      <w:r w:rsidRPr="00444A7A">
        <w:rPr>
          <w:rFonts w:ascii="Gotham" w:hAnsi="Gotham" w:cs="Arial"/>
          <w:sz w:val="19"/>
          <w:szCs w:val="19"/>
        </w:rPr>
        <w:t xml:space="preserve"> La Constitución General de la República, leyes y reglamentos aplicables para el caso, son </w:t>
      </w:r>
      <w:r w:rsidRPr="003D1DA7">
        <w:rPr>
          <w:rFonts w:ascii="Gotham" w:hAnsi="Gotham" w:cs="Arial"/>
          <w:sz w:val="19"/>
          <w:szCs w:val="19"/>
        </w:rPr>
        <w:t>las limitaciones</w:t>
      </w:r>
      <w:r w:rsidRPr="00444A7A">
        <w:rPr>
          <w:rFonts w:ascii="Gotham" w:hAnsi="Gotham" w:cs="Arial"/>
          <w:sz w:val="19"/>
          <w:szCs w:val="19"/>
        </w:rPr>
        <w:t xml:space="preserve"> que los escritores y productores teatrales tendrán para el contenido de sus obras. En caso de no ajustarse tales ordenamientos, será de su exclusiva responsabilidad; no se concederá o cancelará en su caso, el permiso correspondiente para la presentación de sus obras, sin perjuicio de que se apliquen las sanciones que originen.</w:t>
      </w:r>
    </w:p>
    <w:p w14:paraId="3A474D73" w14:textId="77777777" w:rsidR="009B5E39" w:rsidRDefault="009B5E39" w:rsidP="009B5E39">
      <w:pPr>
        <w:widowControl w:val="0"/>
        <w:autoSpaceDE w:val="0"/>
        <w:autoSpaceDN w:val="0"/>
        <w:ind w:left="284" w:right="283"/>
        <w:jc w:val="both"/>
        <w:rPr>
          <w:rFonts w:ascii="Gotham" w:hAnsi="Gotham" w:cs="Arial"/>
          <w:sz w:val="19"/>
          <w:szCs w:val="19"/>
        </w:rPr>
      </w:pPr>
    </w:p>
    <w:p w14:paraId="3A474D74"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67.</w:t>
      </w:r>
      <w:r w:rsidRPr="00444A7A">
        <w:rPr>
          <w:rFonts w:ascii="Gotham" w:hAnsi="Gotham" w:cs="Arial"/>
          <w:sz w:val="19"/>
          <w:szCs w:val="19"/>
        </w:rPr>
        <w:t xml:space="preserve"> Escritores, productores y artistas están obligados a guarda respeto al público, a terceros, a la moral a las buenas costumbres.</w:t>
      </w:r>
    </w:p>
    <w:p w14:paraId="3A474D75" w14:textId="77777777" w:rsidR="009B5E39" w:rsidRDefault="009B5E39" w:rsidP="009B5E39">
      <w:pPr>
        <w:widowControl w:val="0"/>
        <w:autoSpaceDE w:val="0"/>
        <w:autoSpaceDN w:val="0"/>
        <w:ind w:left="284" w:right="283"/>
        <w:jc w:val="both"/>
        <w:rPr>
          <w:rFonts w:ascii="Gotham" w:hAnsi="Gotham" w:cs="Arial"/>
          <w:sz w:val="19"/>
          <w:szCs w:val="19"/>
        </w:rPr>
      </w:pPr>
    </w:p>
    <w:p w14:paraId="3A474D76" w14:textId="77777777" w:rsidR="009B5E39" w:rsidRPr="00444A7A" w:rsidRDefault="009B5E39" w:rsidP="009B5E39">
      <w:pPr>
        <w:widowControl w:val="0"/>
        <w:autoSpaceDE w:val="0"/>
        <w:autoSpaceDN w:val="0"/>
        <w:ind w:left="284" w:right="283"/>
        <w:jc w:val="both"/>
        <w:rPr>
          <w:rFonts w:ascii="Gotham" w:hAnsi="Gotham" w:cs="Arial"/>
          <w:sz w:val="19"/>
          <w:szCs w:val="19"/>
        </w:rPr>
      </w:pPr>
      <w:r w:rsidRPr="00080AB7">
        <w:rPr>
          <w:rFonts w:ascii="Gotham" w:hAnsi="Gotham" w:cs="Arial"/>
          <w:b/>
          <w:sz w:val="19"/>
          <w:szCs w:val="19"/>
        </w:rPr>
        <w:t>Artículo 68.</w:t>
      </w:r>
      <w:r w:rsidRPr="00444A7A">
        <w:rPr>
          <w:rFonts w:ascii="Gotham" w:hAnsi="Gotham" w:cs="Arial"/>
          <w:sz w:val="19"/>
          <w:szCs w:val="19"/>
        </w:rPr>
        <w:t xml:space="preserve"> Cuando el personal de la compañía teatral motive la suspensión del espectáculo ya iniciado, se devolverán las entradas integras de inmediato. Si con ello se incurre en otra violación a este reglamento o a cualquier otra disposición aplicable, y la falta no sea motivo de la suspensión definitiva, el Ayuntamiento permitirá que se termine la función y hará la consignación correspondiente o bien aplicará la sanción a que haya lugar.</w:t>
      </w:r>
    </w:p>
    <w:p w14:paraId="3A474D77" w14:textId="77777777" w:rsidR="009B5E39" w:rsidRDefault="009B5E39" w:rsidP="009B5E39">
      <w:pPr>
        <w:widowControl w:val="0"/>
        <w:autoSpaceDE w:val="0"/>
        <w:autoSpaceDN w:val="0"/>
        <w:ind w:left="284" w:right="283"/>
        <w:jc w:val="both"/>
        <w:rPr>
          <w:rFonts w:ascii="Gotham" w:hAnsi="Gotham" w:cs="Arial"/>
          <w:sz w:val="19"/>
          <w:szCs w:val="19"/>
        </w:rPr>
      </w:pPr>
    </w:p>
    <w:p w14:paraId="3A474D78" w14:textId="1C7E737A"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69.</w:t>
      </w:r>
      <w:r w:rsidRPr="00444A7A">
        <w:rPr>
          <w:rFonts w:ascii="Gotham" w:hAnsi="Gotham" w:cs="Arial"/>
          <w:sz w:val="19"/>
          <w:szCs w:val="19"/>
        </w:rPr>
        <w:t xml:space="preserve"> Queda estrictamente prohibido emplear, durante las funciones teatrales, cualquier aparato que pueda representar algún peligro de siniestro. Cuando en alguna escena se simule un incendio u otro efecto que implique o de sensación de peligro, </w:t>
      </w:r>
      <w:r w:rsidR="0015568D">
        <w:rPr>
          <w:rFonts w:ascii="Gotham" w:hAnsi="Gotham" w:cs="Arial"/>
          <w:sz w:val="19"/>
          <w:szCs w:val="19"/>
        </w:rPr>
        <w:t>l</w:t>
      </w:r>
      <w:r w:rsidRPr="00444A7A">
        <w:rPr>
          <w:rFonts w:ascii="Gotham" w:hAnsi="Gotham" w:cs="Arial"/>
          <w:sz w:val="19"/>
          <w:szCs w:val="19"/>
        </w:rPr>
        <w:t>a empresa lo hará del conocimiento del Ayuntamiento con la debida anticipación para que éste se cerciore de que los medios empleados no son riesgosos para el público Se deberá advertir a los asistentes sobre este tipo de escenas para</w:t>
      </w:r>
      <w:r w:rsidRPr="00D339FD">
        <w:rPr>
          <w:rFonts w:ascii="Gotham" w:hAnsi="Gotham" w:cs="Arial"/>
          <w:sz w:val="19"/>
          <w:szCs w:val="19"/>
        </w:rPr>
        <w:t xml:space="preserve"> evitar que alguna falsa al arma se convierta en tragedia.</w:t>
      </w:r>
    </w:p>
    <w:p w14:paraId="3A474D79" w14:textId="77777777" w:rsidR="009B5E39" w:rsidRDefault="009B5E39" w:rsidP="009B5E39">
      <w:pPr>
        <w:widowControl w:val="0"/>
        <w:autoSpaceDE w:val="0"/>
        <w:autoSpaceDN w:val="0"/>
        <w:ind w:left="284" w:right="283"/>
        <w:jc w:val="both"/>
        <w:rPr>
          <w:rFonts w:ascii="Gotham" w:hAnsi="Gotham" w:cs="Arial"/>
          <w:sz w:val="19"/>
          <w:szCs w:val="19"/>
        </w:rPr>
      </w:pPr>
    </w:p>
    <w:p w14:paraId="3A474D7A"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70.</w:t>
      </w:r>
      <w:r w:rsidRPr="00D339FD">
        <w:rPr>
          <w:rFonts w:ascii="Gotham" w:hAnsi="Gotham" w:cs="Arial"/>
          <w:sz w:val="19"/>
          <w:szCs w:val="19"/>
        </w:rPr>
        <w:t xml:space="preserve"> Los entreactos en las obras de teatro durarán un mínimo de minutos y un máximo de 15, debiéndose señalar al público su duración exacta y reanudar la función en el momento señalado.</w:t>
      </w:r>
    </w:p>
    <w:p w14:paraId="3A474D7B" w14:textId="77777777" w:rsidR="009B5E39" w:rsidRDefault="009B5E39" w:rsidP="009B5E39">
      <w:pPr>
        <w:widowControl w:val="0"/>
        <w:autoSpaceDE w:val="0"/>
        <w:autoSpaceDN w:val="0"/>
        <w:ind w:left="284" w:right="283"/>
        <w:jc w:val="both"/>
        <w:rPr>
          <w:rFonts w:ascii="Gotham" w:hAnsi="Gotham" w:cs="Arial"/>
          <w:sz w:val="19"/>
          <w:szCs w:val="19"/>
        </w:rPr>
      </w:pPr>
    </w:p>
    <w:p w14:paraId="3A474D7C"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71.</w:t>
      </w:r>
      <w:r w:rsidRPr="00D339FD">
        <w:rPr>
          <w:rFonts w:ascii="Gotham" w:hAnsi="Gotham" w:cs="Arial"/>
          <w:sz w:val="19"/>
          <w:szCs w:val="19"/>
        </w:rPr>
        <w:t xml:space="preserve"> En los locales destinados a la presentación de espectáculos reglamentados en este título, podrán instalarse cafeterías, dulcerías, paqueterías y otros servicios anexos, previa autorización del Ayuntamiento.</w:t>
      </w:r>
    </w:p>
    <w:p w14:paraId="3A474D7D" w14:textId="77777777" w:rsidR="009B5E39" w:rsidRDefault="009B5E39" w:rsidP="009B5E39">
      <w:pPr>
        <w:widowControl w:val="0"/>
        <w:autoSpaceDE w:val="0"/>
        <w:autoSpaceDN w:val="0"/>
        <w:ind w:left="284" w:right="283"/>
        <w:jc w:val="both"/>
        <w:rPr>
          <w:rFonts w:ascii="Gotham" w:hAnsi="Gotham" w:cs="Arial"/>
          <w:sz w:val="19"/>
          <w:szCs w:val="19"/>
        </w:rPr>
      </w:pPr>
    </w:p>
    <w:p w14:paraId="3A474D7E" w14:textId="77777777" w:rsidR="009B5E39" w:rsidRPr="00D339FD" w:rsidRDefault="009B5E39" w:rsidP="009B5E39">
      <w:pPr>
        <w:widowControl w:val="0"/>
        <w:autoSpaceDE w:val="0"/>
        <w:autoSpaceDN w:val="0"/>
        <w:ind w:left="284" w:right="283"/>
        <w:jc w:val="center"/>
        <w:rPr>
          <w:rFonts w:ascii="Gotham" w:hAnsi="Gotham" w:cs="Arial"/>
          <w:b/>
          <w:sz w:val="19"/>
          <w:szCs w:val="19"/>
        </w:rPr>
      </w:pPr>
      <w:r w:rsidRPr="00D339FD">
        <w:rPr>
          <w:rFonts w:ascii="Gotham" w:hAnsi="Gotham" w:cs="Arial"/>
          <w:b/>
          <w:sz w:val="19"/>
          <w:szCs w:val="19"/>
        </w:rPr>
        <w:t>CAPITULO IV</w:t>
      </w:r>
    </w:p>
    <w:p w14:paraId="3A474D7F" w14:textId="77777777" w:rsidR="009B5E39" w:rsidRPr="00D339FD" w:rsidRDefault="009B5E39" w:rsidP="009B5E39">
      <w:pPr>
        <w:widowControl w:val="0"/>
        <w:autoSpaceDE w:val="0"/>
        <w:autoSpaceDN w:val="0"/>
        <w:ind w:left="284" w:right="283"/>
        <w:jc w:val="center"/>
        <w:rPr>
          <w:rFonts w:ascii="Gotham" w:hAnsi="Gotham" w:cs="Arial"/>
          <w:b/>
          <w:sz w:val="19"/>
          <w:szCs w:val="19"/>
        </w:rPr>
      </w:pPr>
      <w:r w:rsidRPr="00D339FD">
        <w:rPr>
          <w:rFonts w:ascii="Gotham" w:hAnsi="Gotham" w:cs="Arial"/>
          <w:b/>
          <w:sz w:val="19"/>
          <w:szCs w:val="19"/>
        </w:rPr>
        <w:t>De las Variedades Artísticas y Eventos deportivos.</w:t>
      </w:r>
    </w:p>
    <w:p w14:paraId="3A474D80" w14:textId="77777777" w:rsidR="009B5E39" w:rsidRPr="00D339FD" w:rsidRDefault="009B5E39" w:rsidP="009B5E39">
      <w:pPr>
        <w:widowControl w:val="0"/>
        <w:autoSpaceDE w:val="0"/>
        <w:autoSpaceDN w:val="0"/>
        <w:ind w:left="284" w:right="283"/>
        <w:jc w:val="both"/>
        <w:rPr>
          <w:rFonts w:ascii="Gotham" w:hAnsi="Gotham" w:cs="Arial"/>
          <w:sz w:val="19"/>
          <w:szCs w:val="19"/>
        </w:rPr>
      </w:pPr>
    </w:p>
    <w:p w14:paraId="3A474D81"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72.</w:t>
      </w:r>
      <w:r w:rsidRPr="00D339FD">
        <w:rPr>
          <w:rFonts w:ascii="Gotham" w:hAnsi="Gotham" w:cs="Arial"/>
          <w:sz w:val="19"/>
          <w:szCs w:val="19"/>
        </w:rPr>
        <w:t xml:space="preserve"> Todas las personas que presenten variedades artísticas deberán sujetarse a lo establecido en el capítulo que procede y a las normas que de éste se precisan.</w:t>
      </w:r>
    </w:p>
    <w:p w14:paraId="3A474D82" w14:textId="77777777" w:rsidR="009B5E39" w:rsidRDefault="009B5E39" w:rsidP="009B5E39">
      <w:pPr>
        <w:widowControl w:val="0"/>
        <w:autoSpaceDE w:val="0"/>
        <w:autoSpaceDN w:val="0"/>
        <w:ind w:left="284" w:right="283"/>
        <w:jc w:val="both"/>
        <w:rPr>
          <w:rFonts w:ascii="Gotham" w:hAnsi="Gotham" w:cs="Arial"/>
          <w:sz w:val="19"/>
          <w:szCs w:val="19"/>
        </w:rPr>
      </w:pPr>
    </w:p>
    <w:p w14:paraId="3A474D83" w14:textId="15CC9E8F"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73.</w:t>
      </w:r>
      <w:r w:rsidRPr="00D339FD">
        <w:rPr>
          <w:rFonts w:ascii="Gotham" w:hAnsi="Gotham" w:cs="Arial"/>
          <w:sz w:val="19"/>
          <w:szCs w:val="19"/>
        </w:rPr>
        <w:t xml:space="preserve"> Las leyes y los reglamentos aplicables son las limitaciones que las variedades pueden tener y las deberán contribuir al esparcimiento </w:t>
      </w:r>
      <w:r w:rsidR="0015568D" w:rsidRPr="00D339FD">
        <w:rPr>
          <w:rFonts w:ascii="Gotham" w:hAnsi="Gotham" w:cs="Arial"/>
          <w:sz w:val="19"/>
          <w:szCs w:val="19"/>
        </w:rPr>
        <w:t>del</w:t>
      </w:r>
      <w:r w:rsidRPr="00D339FD">
        <w:rPr>
          <w:rFonts w:ascii="Gotham" w:hAnsi="Gotham" w:cs="Arial"/>
          <w:sz w:val="19"/>
          <w:szCs w:val="19"/>
        </w:rPr>
        <w:t xml:space="preserve"> público y buen gusto artístico.</w:t>
      </w:r>
    </w:p>
    <w:p w14:paraId="3A474D84" w14:textId="77777777" w:rsidR="009B5E39" w:rsidRDefault="009B5E39" w:rsidP="009B5E39">
      <w:pPr>
        <w:widowControl w:val="0"/>
        <w:autoSpaceDE w:val="0"/>
        <w:autoSpaceDN w:val="0"/>
        <w:ind w:left="284" w:right="283"/>
        <w:jc w:val="both"/>
        <w:rPr>
          <w:rFonts w:ascii="Gotham" w:hAnsi="Gotham" w:cs="Arial"/>
          <w:sz w:val="19"/>
          <w:szCs w:val="19"/>
        </w:rPr>
      </w:pPr>
    </w:p>
    <w:p w14:paraId="3A474D85"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74.</w:t>
      </w:r>
      <w:r w:rsidRPr="00D339FD">
        <w:rPr>
          <w:rFonts w:ascii="Gotham" w:hAnsi="Gotham" w:cs="Arial"/>
          <w:sz w:val="19"/>
          <w:szCs w:val="19"/>
        </w:rPr>
        <w:t xml:space="preserve"> Las variedades artísticas podrán llevarse a cabo en el lugar que a juicio del Ayuntamiento reúna las condiciones necesarias para la realización de evento.</w:t>
      </w:r>
    </w:p>
    <w:p w14:paraId="3A474D86" w14:textId="77777777" w:rsidR="009B5E39" w:rsidRDefault="009B5E39" w:rsidP="009B5E39">
      <w:pPr>
        <w:widowControl w:val="0"/>
        <w:autoSpaceDE w:val="0"/>
        <w:autoSpaceDN w:val="0"/>
        <w:ind w:left="284" w:right="283"/>
        <w:jc w:val="both"/>
        <w:rPr>
          <w:rFonts w:ascii="Gotham" w:hAnsi="Gotham" w:cs="Arial"/>
          <w:sz w:val="19"/>
          <w:szCs w:val="19"/>
        </w:rPr>
      </w:pPr>
    </w:p>
    <w:p w14:paraId="3A474D87"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lastRenderedPageBreak/>
        <w:t>Artículo 75.</w:t>
      </w:r>
      <w:r w:rsidRPr="00D339FD">
        <w:rPr>
          <w:rFonts w:ascii="Gotham" w:hAnsi="Gotham" w:cs="Arial"/>
          <w:sz w:val="19"/>
          <w:szCs w:val="19"/>
        </w:rPr>
        <w:t xml:space="preserve"> En todos los casos les fijará una fianza suficiente para garantizar la presentación y calidad del evento, así como el cumplimiento de las normas aplicable con ello las empresas que presentan variedades estarán obligadas ante el ayuntamiento, dicha fianza será fijada por el Ayuntamiento. </w:t>
      </w:r>
    </w:p>
    <w:p w14:paraId="3A474D88" w14:textId="77777777" w:rsidR="009B5E39" w:rsidRDefault="009B5E39" w:rsidP="009B5E39">
      <w:pPr>
        <w:widowControl w:val="0"/>
        <w:autoSpaceDE w:val="0"/>
        <w:autoSpaceDN w:val="0"/>
        <w:ind w:left="284" w:right="283"/>
        <w:jc w:val="both"/>
        <w:rPr>
          <w:rFonts w:ascii="Gotham" w:hAnsi="Gotham" w:cs="Arial"/>
          <w:sz w:val="19"/>
          <w:szCs w:val="19"/>
        </w:rPr>
      </w:pPr>
    </w:p>
    <w:p w14:paraId="3A474D89"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76.</w:t>
      </w:r>
      <w:r w:rsidRPr="00D339FD">
        <w:rPr>
          <w:rFonts w:ascii="Gotham" w:hAnsi="Gotham" w:cs="Arial"/>
          <w:sz w:val="19"/>
          <w:szCs w:val="19"/>
        </w:rPr>
        <w:t xml:space="preserve"> Las empresas destinadas a la presentación de eventos deportivos de cualquier índole se sujetarán a lo establecido en este ordenamiento y demás aplicables así como a sus respectivos reglamentos.</w:t>
      </w:r>
    </w:p>
    <w:p w14:paraId="3A474D8A" w14:textId="77777777" w:rsidR="009B5E39" w:rsidRDefault="009B5E39" w:rsidP="009B5E39">
      <w:pPr>
        <w:widowControl w:val="0"/>
        <w:autoSpaceDE w:val="0"/>
        <w:autoSpaceDN w:val="0"/>
        <w:ind w:left="284" w:right="283"/>
        <w:jc w:val="both"/>
        <w:rPr>
          <w:rFonts w:ascii="Gotham" w:hAnsi="Gotham" w:cs="Arial"/>
          <w:sz w:val="19"/>
          <w:szCs w:val="19"/>
        </w:rPr>
      </w:pPr>
    </w:p>
    <w:p w14:paraId="3A474D8B"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77.</w:t>
      </w:r>
      <w:r w:rsidRPr="00D339FD">
        <w:rPr>
          <w:rFonts w:ascii="Gotham" w:hAnsi="Gotham" w:cs="Arial"/>
          <w:sz w:val="19"/>
          <w:szCs w:val="19"/>
        </w:rPr>
        <w:t xml:space="preserve"> Las empresas deportivas deberán sujetarse además a las disposiciones municipales que en cada caso concreto señalé el Ayuntamiento para normar lo conducente al desarrollo de algún deporte en particular quien en todo caso les prestará el auxilio requerido para el cumplimiento de los reglamentos deportivos. </w:t>
      </w:r>
    </w:p>
    <w:p w14:paraId="3A474D8C" w14:textId="77777777" w:rsidR="009B5E39" w:rsidRDefault="009B5E39" w:rsidP="009B5E39">
      <w:pPr>
        <w:widowControl w:val="0"/>
        <w:autoSpaceDE w:val="0"/>
        <w:autoSpaceDN w:val="0"/>
        <w:ind w:left="284" w:right="283"/>
        <w:jc w:val="both"/>
        <w:rPr>
          <w:rFonts w:ascii="Gotham" w:hAnsi="Gotham" w:cs="Arial"/>
          <w:sz w:val="19"/>
          <w:szCs w:val="19"/>
        </w:rPr>
      </w:pPr>
    </w:p>
    <w:p w14:paraId="3A474D8D"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78.</w:t>
      </w:r>
      <w:r w:rsidRPr="00D339FD">
        <w:rPr>
          <w:rFonts w:ascii="Gotham" w:hAnsi="Gotham" w:cs="Arial"/>
          <w:sz w:val="19"/>
          <w:szCs w:val="19"/>
        </w:rPr>
        <w:t xml:space="preserve"> Las empresas deportivas deberán cumplir con los requisitos que imponga el Ayuntamiento para garantizar la seguridad de los espectadores.</w:t>
      </w:r>
    </w:p>
    <w:p w14:paraId="3A474D8E" w14:textId="77777777" w:rsidR="009B5E39" w:rsidRDefault="009B5E39" w:rsidP="009B5E39">
      <w:pPr>
        <w:widowControl w:val="0"/>
        <w:autoSpaceDE w:val="0"/>
        <w:autoSpaceDN w:val="0"/>
        <w:ind w:left="284" w:right="283"/>
        <w:jc w:val="both"/>
        <w:rPr>
          <w:rFonts w:ascii="Gotham" w:hAnsi="Gotham" w:cs="Arial"/>
          <w:sz w:val="19"/>
          <w:szCs w:val="19"/>
        </w:rPr>
      </w:pPr>
    </w:p>
    <w:p w14:paraId="3A474D8F"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79.</w:t>
      </w:r>
      <w:r w:rsidRPr="00D339FD">
        <w:rPr>
          <w:rFonts w:ascii="Gotham" w:hAnsi="Gotham" w:cs="Arial"/>
          <w:sz w:val="19"/>
          <w:szCs w:val="19"/>
        </w:rPr>
        <w:t xml:space="preserve"> Las construcciones fijas, destinadas a la realización de eventos deportivos deberán reunir las condiciones establecidas en el reglamento de construcciones para el municipio de Tonalá. Jalisco</w:t>
      </w:r>
    </w:p>
    <w:p w14:paraId="3A474D90" w14:textId="77777777" w:rsidR="009B5E39" w:rsidRDefault="009B5E39" w:rsidP="009B5E39">
      <w:pPr>
        <w:widowControl w:val="0"/>
        <w:autoSpaceDE w:val="0"/>
        <w:autoSpaceDN w:val="0"/>
        <w:ind w:left="284" w:right="283"/>
        <w:jc w:val="both"/>
        <w:rPr>
          <w:rFonts w:ascii="Gotham" w:hAnsi="Gotham" w:cs="Arial"/>
          <w:sz w:val="19"/>
          <w:szCs w:val="19"/>
        </w:rPr>
      </w:pPr>
    </w:p>
    <w:p w14:paraId="3A474D91"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80.</w:t>
      </w:r>
      <w:r w:rsidRPr="00D339FD">
        <w:rPr>
          <w:rFonts w:ascii="Gotham" w:hAnsi="Gotham" w:cs="Arial"/>
          <w:sz w:val="19"/>
          <w:szCs w:val="19"/>
        </w:rPr>
        <w:t xml:space="preserve"> EI Ayuntamiento determinara cuáles de las empresas que presentan eventos deportivos están obligados a contar durante el desarrollo de los mismos, con servicios médicos además de acondicionar un lugar como enfermería.</w:t>
      </w:r>
    </w:p>
    <w:p w14:paraId="3A474D92" w14:textId="77777777" w:rsidR="009B5E39" w:rsidRDefault="009B5E39" w:rsidP="009B5E39">
      <w:pPr>
        <w:widowControl w:val="0"/>
        <w:autoSpaceDE w:val="0"/>
        <w:autoSpaceDN w:val="0"/>
        <w:ind w:left="284" w:right="283"/>
        <w:jc w:val="both"/>
        <w:rPr>
          <w:rFonts w:ascii="Gotham" w:hAnsi="Gotham" w:cs="Arial"/>
          <w:sz w:val="19"/>
          <w:szCs w:val="19"/>
        </w:rPr>
      </w:pPr>
    </w:p>
    <w:p w14:paraId="3A474D93"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81.</w:t>
      </w:r>
      <w:r w:rsidRPr="00D339FD">
        <w:rPr>
          <w:rFonts w:ascii="Gotham" w:hAnsi="Gotham" w:cs="Arial"/>
          <w:sz w:val="19"/>
          <w:szCs w:val="19"/>
        </w:rPr>
        <w:t xml:space="preserve"> Las empresas están obligadas con el Ayuntamiento a cubrir el importe de los gastos que se originen con motivo de los apoyos que esté le brinde.</w:t>
      </w:r>
    </w:p>
    <w:p w14:paraId="3A474D94" w14:textId="77777777" w:rsidR="009B5E39" w:rsidRDefault="009B5E39" w:rsidP="009B5E39">
      <w:pPr>
        <w:widowControl w:val="0"/>
        <w:autoSpaceDE w:val="0"/>
        <w:autoSpaceDN w:val="0"/>
        <w:ind w:left="284" w:right="283"/>
        <w:jc w:val="both"/>
        <w:rPr>
          <w:rFonts w:ascii="Gotham" w:hAnsi="Gotham" w:cs="Arial"/>
          <w:sz w:val="19"/>
          <w:szCs w:val="19"/>
        </w:rPr>
      </w:pPr>
    </w:p>
    <w:p w14:paraId="3A474D95"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82.</w:t>
      </w:r>
      <w:r w:rsidRPr="00D339FD">
        <w:rPr>
          <w:rFonts w:ascii="Gotham" w:hAnsi="Gotham" w:cs="Arial"/>
          <w:sz w:val="19"/>
          <w:szCs w:val="19"/>
        </w:rPr>
        <w:t xml:space="preserve"> Los jueces de los eventos deportivos están obligados a evitar tener una relación con el público que pudiera motivar una alteración del orden.</w:t>
      </w:r>
    </w:p>
    <w:p w14:paraId="3A474D96" w14:textId="77777777" w:rsidR="009B5E39" w:rsidRDefault="009B5E39" w:rsidP="009B5E39">
      <w:pPr>
        <w:widowControl w:val="0"/>
        <w:autoSpaceDE w:val="0"/>
        <w:autoSpaceDN w:val="0"/>
        <w:ind w:left="284" w:right="283"/>
        <w:jc w:val="both"/>
        <w:rPr>
          <w:rFonts w:ascii="Gotham" w:hAnsi="Gotham" w:cs="Arial"/>
          <w:sz w:val="19"/>
          <w:szCs w:val="19"/>
        </w:rPr>
      </w:pPr>
    </w:p>
    <w:p w14:paraId="3A474D97"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83.</w:t>
      </w:r>
      <w:r w:rsidRPr="00D339FD">
        <w:rPr>
          <w:rFonts w:ascii="Gotham" w:hAnsi="Gotham" w:cs="Arial"/>
          <w:sz w:val="19"/>
          <w:szCs w:val="19"/>
        </w:rPr>
        <w:t xml:space="preserve"> Durante la realización de los espectáculos que se indiquen en este capítulo habrá un representante del Ayuntamiento que se denominara inspector autoridad el que deberá informar a la presidencia y a la comisión de espectáculos los incidentes ocurridos.</w:t>
      </w:r>
    </w:p>
    <w:p w14:paraId="3A474D98" w14:textId="77777777" w:rsidR="009B5E39" w:rsidRDefault="009B5E39" w:rsidP="009B5E39">
      <w:pPr>
        <w:widowControl w:val="0"/>
        <w:autoSpaceDE w:val="0"/>
        <w:autoSpaceDN w:val="0"/>
        <w:ind w:left="284" w:right="283"/>
        <w:jc w:val="both"/>
        <w:rPr>
          <w:rFonts w:ascii="Gotham" w:hAnsi="Gotham" w:cs="Arial"/>
          <w:sz w:val="19"/>
          <w:szCs w:val="19"/>
        </w:rPr>
      </w:pPr>
    </w:p>
    <w:p w14:paraId="3A474D99"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84.</w:t>
      </w:r>
      <w:r w:rsidRPr="00D339FD">
        <w:rPr>
          <w:rFonts w:ascii="Gotham" w:hAnsi="Gotham" w:cs="Arial"/>
          <w:sz w:val="19"/>
          <w:szCs w:val="19"/>
        </w:rPr>
        <w:t xml:space="preserve"> Para la celebración de espectáculos taurinos en el municipio de Tonalá, Jalisco, se requerirá de autorización expedida por el Ayuntamiento.</w:t>
      </w:r>
    </w:p>
    <w:p w14:paraId="3A474D9A" w14:textId="77777777" w:rsidR="009B5E39" w:rsidRDefault="009B5E39" w:rsidP="009B5E39">
      <w:pPr>
        <w:widowControl w:val="0"/>
        <w:autoSpaceDE w:val="0"/>
        <w:autoSpaceDN w:val="0"/>
        <w:ind w:left="284" w:right="283"/>
        <w:jc w:val="both"/>
        <w:rPr>
          <w:rFonts w:ascii="Gotham" w:hAnsi="Gotham" w:cs="Arial"/>
          <w:sz w:val="19"/>
          <w:szCs w:val="19"/>
        </w:rPr>
      </w:pPr>
    </w:p>
    <w:p w14:paraId="3A474D9B"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85.</w:t>
      </w:r>
      <w:r w:rsidRPr="00D339FD">
        <w:rPr>
          <w:rFonts w:ascii="Gotham" w:hAnsi="Gotham" w:cs="Arial"/>
          <w:sz w:val="19"/>
          <w:szCs w:val="19"/>
        </w:rPr>
        <w:t xml:space="preserve"> Los horarios para la realización de los espectáculos taurinos serán fijados de común acuerdo entre la empresa y el Ayuntamiento.</w:t>
      </w:r>
    </w:p>
    <w:p w14:paraId="3A474D9C" w14:textId="77777777" w:rsidR="009B5E39" w:rsidRDefault="009B5E39" w:rsidP="009B5E39">
      <w:pPr>
        <w:widowControl w:val="0"/>
        <w:autoSpaceDE w:val="0"/>
        <w:autoSpaceDN w:val="0"/>
        <w:ind w:left="284" w:right="283"/>
        <w:jc w:val="both"/>
        <w:rPr>
          <w:rFonts w:ascii="Gotham" w:hAnsi="Gotham" w:cs="Arial"/>
          <w:sz w:val="19"/>
          <w:szCs w:val="19"/>
        </w:rPr>
      </w:pPr>
    </w:p>
    <w:p w14:paraId="3A474D9D"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86.</w:t>
      </w:r>
      <w:r w:rsidRPr="00D339FD">
        <w:rPr>
          <w:rFonts w:ascii="Gotham" w:hAnsi="Gotham" w:cs="Arial"/>
          <w:sz w:val="19"/>
          <w:szCs w:val="19"/>
        </w:rPr>
        <w:t xml:space="preserve"> Se requiere de la opinión favorable del Ayuntamiento para usar un local que se destine a la celebración de un espectáculo taurino, el cual, en todos los casos deberá contar con un área de enfermería y servicios médicos, en comunicación independiente y exclusiva con el callejón y lo más inmediato al lugar donde se desarrolla el espectáculo, dotado con el material médico, quirúrgico-farmacéutico necesario que indique la dirección de los servicios médicos municipales.</w:t>
      </w:r>
    </w:p>
    <w:p w14:paraId="3A474D9E" w14:textId="77777777" w:rsidR="009B5E39" w:rsidRPr="00D339FD" w:rsidRDefault="009B5E39" w:rsidP="009B5E39">
      <w:pPr>
        <w:jc w:val="both"/>
        <w:rPr>
          <w:rFonts w:ascii="Gotham" w:hAnsi="Gotham"/>
          <w:b/>
          <w:sz w:val="20"/>
          <w:szCs w:val="20"/>
        </w:rPr>
      </w:pPr>
    </w:p>
    <w:p w14:paraId="3A474D9F" w14:textId="77777777" w:rsidR="009B5E39" w:rsidRPr="00D339FD" w:rsidRDefault="009B5E39" w:rsidP="009B5E39">
      <w:pPr>
        <w:jc w:val="both"/>
        <w:rPr>
          <w:rFonts w:ascii="Gotham" w:hAnsi="Gotham"/>
          <w:b/>
          <w:sz w:val="20"/>
          <w:szCs w:val="20"/>
        </w:rPr>
      </w:pPr>
      <w:r w:rsidRPr="00D339FD">
        <w:rPr>
          <w:rFonts w:ascii="Gotham" w:hAnsi="Gotham"/>
          <w:b/>
          <w:sz w:val="20"/>
          <w:szCs w:val="20"/>
        </w:rPr>
        <w:t>Se propone modificar el artículo 87, actualmente dice:</w:t>
      </w:r>
    </w:p>
    <w:p w14:paraId="3A474DA0" w14:textId="77777777" w:rsidR="009B5E39" w:rsidRPr="00D339FD" w:rsidRDefault="009B5E39" w:rsidP="009B5E39">
      <w:pPr>
        <w:jc w:val="both"/>
        <w:rPr>
          <w:rFonts w:ascii="Gotham" w:hAnsi="Gotham"/>
          <w:b/>
          <w:sz w:val="20"/>
          <w:szCs w:val="20"/>
        </w:rPr>
      </w:pPr>
    </w:p>
    <w:p w14:paraId="3A474DA1"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87.</w:t>
      </w:r>
      <w:r w:rsidRPr="00D339FD">
        <w:rPr>
          <w:rFonts w:ascii="Gotham" w:hAnsi="Gotham" w:cs="Arial"/>
          <w:sz w:val="19"/>
          <w:szCs w:val="19"/>
        </w:rPr>
        <w:t xml:space="preserve"> Los espectáculos taurinos se regirán por lo previsto en este ordenamiento por las disposiciones del reglamento taurino para este municipio.</w:t>
      </w:r>
    </w:p>
    <w:p w14:paraId="3A474DA2" w14:textId="77777777" w:rsidR="009B5E39" w:rsidRPr="00D339FD" w:rsidRDefault="009B5E39" w:rsidP="009B5E39">
      <w:pPr>
        <w:jc w:val="both"/>
        <w:rPr>
          <w:rFonts w:ascii="Gotham" w:hAnsi="Gotham"/>
          <w:b/>
          <w:sz w:val="20"/>
          <w:szCs w:val="20"/>
        </w:rPr>
      </w:pPr>
    </w:p>
    <w:p w14:paraId="3A474DA3" w14:textId="77777777" w:rsidR="009B5E39" w:rsidRPr="00D339FD" w:rsidRDefault="009B5E39" w:rsidP="009B5E39">
      <w:pPr>
        <w:jc w:val="both"/>
        <w:rPr>
          <w:rFonts w:ascii="Gotham" w:hAnsi="Gotham"/>
          <w:b/>
          <w:sz w:val="20"/>
          <w:szCs w:val="20"/>
        </w:rPr>
      </w:pPr>
      <w:r w:rsidRPr="00D339FD">
        <w:rPr>
          <w:rFonts w:ascii="Gotham" w:hAnsi="Gotham"/>
          <w:b/>
          <w:sz w:val="20"/>
          <w:szCs w:val="20"/>
        </w:rPr>
        <w:t xml:space="preserve">Debe decir: </w:t>
      </w:r>
    </w:p>
    <w:p w14:paraId="3A474DA4" w14:textId="77777777" w:rsidR="009B5E39" w:rsidRPr="00D339FD" w:rsidRDefault="009B5E39" w:rsidP="009B5E39">
      <w:pPr>
        <w:jc w:val="both"/>
        <w:rPr>
          <w:rFonts w:ascii="Gotham" w:hAnsi="Gotham"/>
          <w:b/>
          <w:sz w:val="20"/>
          <w:szCs w:val="20"/>
        </w:rPr>
      </w:pPr>
    </w:p>
    <w:p w14:paraId="3A474DA5"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87.</w:t>
      </w:r>
      <w:r w:rsidRPr="00D339FD">
        <w:rPr>
          <w:rFonts w:ascii="Gotham" w:hAnsi="Gotham" w:cs="Arial"/>
          <w:sz w:val="19"/>
          <w:szCs w:val="19"/>
        </w:rPr>
        <w:t xml:space="preserve"> Los espectáculos taurinos se regirán por lo previsto en este ordenamiento por las disposiciones del reglamento taurino para este municipio.</w:t>
      </w:r>
    </w:p>
    <w:p w14:paraId="3A474DA6" w14:textId="77777777" w:rsidR="009B5E39" w:rsidRDefault="009B5E39" w:rsidP="009B5E39">
      <w:pPr>
        <w:widowControl w:val="0"/>
        <w:autoSpaceDE w:val="0"/>
        <w:autoSpaceDN w:val="0"/>
        <w:ind w:left="284" w:right="283"/>
        <w:jc w:val="both"/>
        <w:rPr>
          <w:rFonts w:ascii="Gotham" w:hAnsi="Gotham" w:cs="Arial"/>
          <w:sz w:val="19"/>
          <w:szCs w:val="19"/>
        </w:rPr>
      </w:pPr>
    </w:p>
    <w:p w14:paraId="3A474DA7"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D339FD">
        <w:rPr>
          <w:rFonts w:ascii="Gotham" w:hAnsi="Gotham" w:cs="Arial"/>
          <w:sz w:val="19"/>
          <w:szCs w:val="19"/>
        </w:rPr>
        <w:lastRenderedPageBreak/>
        <w:t>Queda estrictamente prohibido que cualquier persona menor de 18 años participe o labore en cualquier actividad relacionada con la celebración de espectáculos públicos.</w:t>
      </w:r>
    </w:p>
    <w:p w14:paraId="3A474DA8" w14:textId="77777777" w:rsidR="009B5E39" w:rsidRPr="00D339FD" w:rsidRDefault="009B5E39" w:rsidP="009B5E39">
      <w:pPr>
        <w:jc w:val="both"/>
        <w:rPr>
          <w:rFonts w:ascii="Gotham" w:hAnsi="Gotham"/>
          <w:b/>
          <w:sz w:val="20"/>
          <w:szCs w:val="20"/>
        </w:rPr>
      </w:pPr>
    </w:p>
    <w:p w14:paraId="3A474DA9" w14:textId="77777777" w:rsidR="009B5E39" w:rsidRPr="00D339FD" w:rsidRDefault="009B5E39" w:rsidP="009B5E39">
      <w:pPr>
        <w:jc w:val="both"/>
        <w:rPr>
          <w:rFonts w:ascii="Gotham" w:hAnsi="Gotham"/>
          <w:b/>
          <w:sz w:val="20"/>
          <w:szCs w:val="20"/>
        </w:rPr>
      </w:pPr>
      <w:r w:rsidRPr="00D339FD">
        <w:rPr>
          <w:rFonts w:ascii="Gotham" w:hAnsi="Gotham"/>
          <w:b/>
          <w:sz w:val="20"/>
          <w:szCs w:val="20"/>
        </w:rPr>
        <w:t>Los artículos 88, 89, 90, 91, 92, 93, 94, 95, 96, 97, 98, 99, 100, 101, 102, 103, 104, 105, 106, 107, 108, 109 y hasta el 144 quedan intocados.</w:t>
      </w:r>
    </w:p>
    <w:p w14:paraId="3A474DAA" w14:textId="77777777" w:rsidR="009B5E39" w:rsidRPr="00D339FD" w:rsidRDefault="009B5E39" w:rsidP="009B5E39">
      <w:pPr>
        <w:jc w:val="both"/>
        <w:rPr>
          <w:rFonts w:ascii="Gotham" w:hAnsi="Gotham"/>
          <w:b/>
          <w:sz w:val="20"/>
          <w:szCs w:val="20"/>
        </w:rPr>
      </w:pPr>
    </w:p>
    <w:p w14:paraId="3A474DAB" w14:textId="77777777" w:rsidR="009B5E39" w:rsidRPr="00D339FD" w:rsidRDefault="009B5E39" w:rsidP="009B5E39">
      <w:pPr>
        <w:widowControl w:val="0"/>
        <w:autoSpaceDE w:val="0"/>
        <w:autoSpaceDN w:val="0"/>
        <w:ind w:left="284" w:right="283"/>
        <w:jc w:val="center"/>
        <w:rPr>
          <w:rFonts w:ascii="Gotham" w:hAnsi="Gotham" w:cs="Arial"/>
          <w:b/>
          <w:sz w:val="19"/>
          <w:szCs w:val="19"/>
        </w:rPr>
      </w:pPr>
      <w:r w:rsidRPr="00D339FD">
        <w:rPr>
          <w:rFonts w:ascii="Gotham" w:hAnsi="Gotham" w:cs="Arial"/>
          <w:b/>
          <w:sz w:val="19"/>
          <w:szCs w:val="19"/>
        </w:rPr>
        <w:t>CAPÍTULO V</w:t>
      </w:r>
    </w:p>
    <w:p w14:paraId="3A474DAC" w14:textId="77777777" w:rsidR="009B5E39" w:rsidRPr="00D339FD" w:rsidRDefault="009B5E39" w:rsidP="009B5E39">
      <w:pPr>
        <w:widowControl w:val="0"/>
        <w:autoSpaceDE w:val="0"/>
        <w:autoSpaceDN w:val="0"/>
        <w:ind w:left="284" w:right="283"/>
        <w:jc w:val="center"/>
        <w:rPr>
          <w:rFonts w:ascii="Gotham" w:hAnsi="Gotham" w:cs="Arial"/>
          <w:b/>
          <w:sz w:val="19"/>
          <w:szCs w:val="19"/>
        </w:rPr>
      </w:pPr>
      <w:r w:rsidRPr="00D339FD">
        <w:rPr>
          <w:rFonts w:ascii="Gotham" w:hAnsi="Gotham" w:cs="Arial"/>
          <w:b/>
          <w:sz w:val="19"/>
          <w:szCs w:val="19"/>
        </w:rPr>
        <w:t>De los palenques</w:t>
      </w:r>
    </w:p>
    <w:p w14:paraId="3A474DAD" w14:textId="77777777" w:rsidR="009B5E39" w:rsidRDefault="009B5E39" w:rsidP="009B5E39">
      <w:pPr>
        <w:widowControl w:val="0"/>
        <w:autoSpaceDE w:val="0"/>
        <w:autoSpaceDN w:val="0"/>
        <w:ind w:left="284" w:right="283"/>
        <w:jc w:val="both"/>
        <w:rPr>
          <w:rFonts w:ascii="Gotham" w:hAnsi="Gotham" w:cs="Arial"/>
          <w:sz w:val="19"/>
          <w:szCs w:val="19"/>
        </w:rPr>
      </w:pPr>
    </w:p>
    <w:p w14:paraId="3A474DAE"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88.</w:t>
      </w:r>
      <w:r w:rsidRPr="00D339FD">
        <w:rPr>
          <w:rFonts w:ascii="Gotham" w:hAnsi="Gotham" w:cs="Arial"/>
          <w:sz w:val="19"/>
          <w:szCs w:val="19"/>
        </w:rPr>
        <w:t xml:space="preserve"> Para que el Ayuntamiento pueda permitir la instalación de palenques y su funcionamiento eventual o permanente la empresa debe recabar previamente el permiso correspondiente de la Secretaria de Gobernación.</w:t>
      </w:r>
    </w:p>
    <w:p w14:paraId="3A474DAF" w14:textId="77777777" w:rsidR="009B5E39" w:rsidRDefault="009B5E39" w:rsidP="009B5E39">
      <w:pPr>
        <w:widowControl w:val="0"/>
        <w:autoSpaceDE w:val="0"/>
        <w:autoSpaceDN w:val="0"/>
        <w:ind w:left="284" w:right="283"/>
        <w:jc w:val="both"/>
        <w:rPr>
          <w:rFonts w:ascii="Gotham" w:hAnsi="Gotham" w:cs="Arial"/>
          <w:sz w:val="19"/>
          <w:szCs w:val="19"/>
        </w:rPr>
      </w:pPr>
    </w:p>
    <w:p w14:paraId="3A474DB0"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89.</w:t>
      </w:r>
      <w:r w:rsidRPr="00D339FD">
        <w:rPr>
          <w:rFonts w:ascii="Gotham" w:hAnsi="Gotham" w:cs="Arial"/>
          <w:sz w:val="19"/>
          <w:szCs w:val="19"/>
        </w:rPr>
        <w:t xml:space="preserve"> Además, se podrá permitir el servicio de restaurant bar, presentación de variedades cuando éstas sean convenientes.</w:t>
      </w:r>
    </w:p>
    <w:p w14:paraId="3A474DB1" w14:textId="77777777" w:rsidR="009B5E39" w:rsidRDefault="009B5E39" w:rsidP="009B5E39">
      <w:pPr>
        <w:widowControl w:val="0"/>
        <w:autoSpaceDE w:val="0"/>
        <w:autoSpaceDN w:val="0"/>
        <w:ind w:left="284" w:right="283"/>
        <w:jc w:val="both"/>
        <w:rPr>
          <w:rFonts w:ascii="Gotham" w:hAnsi="Gotham" w:cs="Arial"/>
          <w:sz w:val="19"/>
          <w:szCs w:val="19"/>
        </w:rPr>
      </w:pPr>
    </w:p>
    <w:p w14:paraId="3A474DB2"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90.</w:t>
      </w:r>
      <w:r w:rsidRPr="00D339FD">
        <w:rPr>
          <w:rFonts w:ascii="Gotham" w:hAnsi="Gotham" w:cs="Arial"/>
          <w:sz w:val="19"/>
          <w:szCs w:val="19"/>
        </w:rPr>
        <w:t xml:space="preserve"> En lo general el funcionamiento de los palenques se regirá por lo establecido en la ley de la materia en el presente reglamento y demás disposiciones aplicables.</w:t>
      </w:r>
    </w:p>
    <w:p w14:paraId="3A474DB3" w14:textId="77777777" w:rsidR="009B5E39" w:rsidRDefault="009B5E39" w:rsidP="009B5E39">
      <w:pPr>
        <w:widowControl w:val="0"/>
        <w:autoSpaceDE w:val="0"/>
        <w:autoSpaceDN w:val="0"/>
        <w:ind w:left="284" w:right="283"/>
        <w:jc w:val="both"/>
        <w:rPr>
          <w:rFonts w:ascii="Gotham" w:hAnsi="Gotham" w:cs="Arial"/>
          <w:sz w:val="19"/>
          <w:szCs w:val="19"/>
        </w:rPr>
      </w:pPr>
    </w:p>
    <w:p w14:paraId="3A474DB4" w14:textId="77777777" w:rsidR="009B5E39" w:rsidRDefault="009B5E39" w:rsidP="009B5E39">
      <w:pPr>
        <w:widowControl w:val="0"/>
        <w:autoSpaceDE w:val="0"/>
        <w:autoSpaceDN w:val="0"/>
        <w:ind w:left="284" w:right="283"/>
        <w:jc w:val="both"/>
        <w:rPr>
          <w:rFonts w:ascii="Gotham" w:hAnsi="Gotham" w:cs="Arial"/>
          <w:sz w:val="19"/>
          <w:szCs w:val="19"/>
        </w:rPr>
      </w:pPr>
    </w:p>
    <w:p w14:paraId="3A474DB5" w14:textId="77777777" w:rsidR="009B5E39" w:rsidRPr="00D339FD" w:rsidRDefault="009B5E39" w:rsidP="009B5E39">
      <w:pPr>
        <w:widowControl w:val="0"/>
        <w:autoSpaceDE w:val="0"/>
        <w:autoSpaceDN w:val="0"/>
        <w:ind w:left="284" w:right="283"/>
        <w:jc w:val="center"/>
        <w:rPr>
          <w:rFonts w:ascii="Gotham" w:hAnsi="Gotham" w:cs="Arial"/>
          <w:b/>
          <w:sz w:val="19"/>
          <w:szCs w:val="19"/>
        </w:rPr>
      </w:pPr>
      <w:r w:rsidRPr="00D339FD">
        <w:rPr>
          <w:rFonts w:ascii="Gotham" w:hAnsi="Gotham" w:cs="Arial"/>
          <w:b/>
          <w:sz w:val="19"/>
          <w:szCs w:val="19"/>
        </w:rPr>
        <w:t>CAPITULO VI</w:t>
      </w:r>
    </w:p>
    <w:p w14:paraId="3A474DB6" w14:textId="77777777" w:rsidR="009B5E39" w:rsidRPr="00D339FD" w:rsidRDefault="009B5E39" w:rsidP="009B5E39">
      <w:pPr>
        <w:widowControl w:val="0"/>
        <w:autoSpaceDE w:val="0"/>
        <w:autoSpaceDN w:val="0"/>
        <w:ind w:left="284" w:right="283"/>
        <w:jc w:val="center"/>
        <w:rPr>
          <w:rFonts w:ascii="Gotham" w:hAnsi="Gotham" w:cs="Arial"/>
          <w:b/>
          <w:sz w:val="19"/>
          <w:szCs w:val="19"/>
        </w:rPr>
      </w:pPr>
      <w:r w:rsidRPr="00D339FD">
        <w:rPr>
          <w:rFonts w:ascii="Gotham" w:hAnsi="Gotham" w:cs="Arial"/>
          <w:b/>
          <w:sz w:val="19"/>
          <w:szCs w:val="19"/>
        </w:rPr>
        <w:t>De los Espectáculos Públicos en los Salones de Fiestas</w:t>
      </w:r>
    </w:p>
    <w:p w14:paraId="3A474DB7" w14:textId="77777777" w:rsidR="009B5E39" w:rsidRPr="00D339FD" w:rsidRDefault="009B5E39" w:rsidP="009B5E39">
      <w:pPr>
        <w:widowControl w:val="0"/>
        <w:autoSpaceDE w:val="0"/>
        <w:autoSpaceDN w:val="0"/>
        <w:ind w:left="284" w:right="283"/>
        <w:jc w:val="both"/>
        <w:rPr>
          <w:rFonts w:ascii="Gotham" w:hAnsi="Gotham" w:cs="Arial"/>
          <w:sz w:val="19"/>
          <w:szCs w:val="19"/>
        </w:rPr>
      </w:pPr>
    </w:p>
    <w:p w14:paraId="3A474DB8"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6C6575">
        <w:rPr>
          <w:rFonts w:ascii="Gotham" w:hAnsi="Gotham" w:cs="Arial"/>
          <w:b/>
          <w:sz w:val="19"/>
          <w:szCs w:val="19"/>
        </w:rPr>
        <w:t>Artículo 91.</w:t>
      </w:r>
      <w:r w:rsidRPr="00D339FD">
        <w:rPr>
          <w:rFonts w:ascii="Gotham" w:hAnsi="Gotham" w:cs="Arial"/>
          <w:sz w:val="19"/>
          <w:szCs w:val="19"/>
        </w:rPr>
        <w:t xml:space="preserve"> Se entiende por salón de fiestas, el lugar destinado a la celebración de reuniones públicas o privadas, realización de bailes presentación de variedades o cualquier diversión o espectáculo, que requiera obtener licencia municipal, para lo cual podrá contar con pista de baile y música viva. En estos lugares se podrá vender bebidas alcohólicas solamente mediante la autorización del Ayuntamiento, que así lo especifique, y de acuerdo al evento que vaya a celebrarse.</w:t>
      </w:r>
    </w:p>
    <w:p w14:paraId="3A474DB9" w14:textId="77777777" w:rsidR="009B5E39" w:rsidRDefault="009B5E39" w:rsidP="009B5E39">
      <w:pPr>
        <w:widowControl w:val="0"/>
        <w:autoSpaceDE w:val="0"/>
        <w:autoSpaceDN w:val="0"/>
        <w:ind w:left="284" w:right="283"/>
        <w:jc w:val="both"/>
        <w:rPr>
          <w:rFonts w:ascii="Gotham" w:hAnsi="Gotham" w:cs="Arial"/>
          <w:sz w:val="19"/>
          <w:szCs w:val="19"/>
        </w:rPr>
      </w:pPr>
    </w:p>
    <w:p w14:paraId="3A474DBA"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92</w:t>
      </w:r>
      <w:r w:rsidRPr="00D339FD">
        <w:rPr>
          <w:rFonts w:ascii="Gotham" w:hAnsi="Gotham" w:cs="Arial"/>
          <w:sz w:val="19"/>
          <w:szCs w:val="19"/>
        </w:rPr>
        <w:t>. Son responsables del cumplimiento de las disposiciones de este capítulo los directivos, los administradores, encargados o los concesionarios de los centros sociales.</w:t>
      </w:r>
    </w:p>
    <w:p w14:paraId="3A474DBB" w14:textId="77777777" w:rsidR="009B5E39" w:rsidRDefault="009B5E39" w:rsidP="009B5E39">
      <w:pPr>
        <w:widowControl w:val="0"/>
        <w:autoSpaceDE w:val="0"/>
        <w:autoSpaceDN w:val="0"/>
        <w:ind w:left="284" w:right="283"/>
        <w:jc w:val="both"/>
        <w:rPr>
          <w:rFonts w:ascii="Gotham" w:hAnsi="Gotham" w:cs="Arial"/>
          <w:sz w:val="19"/>
          <w:szCs w:val="19"/>
        </w:rPr>
      </w:pPr>
    </w:p>
    <w:p w14:paraId="3A474DBC"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93.</w:t>
      </w:r>
      <w:r w:rsidRPr="00D339FD">
        <w:rPr>
          <w:rFonts w:ascii="Gotham" w:hAnsi="Gotham" w:cs="Arial"/>
          <w:sz w:val="19"/>
          <w:szCs w:val="19"/>
        </w:rPr>
        <w:t xml:space="preserve"> Son aplicables a estos espectáculos las disposiciones relativas a los eventos de que se trate, y las que dicte el Ayuntamiento para evitar alteraciones al orden o molestias a terceros.</w:t>
      </w:r>
    </w:p>
    <w:p w14:paraId="3A474DBD" w14:textId="77777777" w:rsidR="009B5E39" w:rsidRDefault="009B5E39" w:rsidP="009B5E39">
      <w:pPr>
        <w:widowControl w:val="0"/>
        <w:autoSpaceDE w:val="0"/>
        <w:autoSpaceDN w:val="0"/>
        <w:ind w:left="284" w:right="283"/>
        <w:jc w:val="both"/>
        <w:rPr>
          <w:rFonts w:ascii="Gotham" w:hAnsi="Gotham" w:cs="Arial"/>
          <w:sz w:val="19"/>
          <w:szCs w:val="19"/>
        </w:rPr>
      </w:pPr>
    </w:p>
    <w:p w14:paraId="3A474DBE" w14:textId="77777777" w:rsidR="009B5E39" w:rsidRDefault="009B5E39" w:rsidP="009B5E39">
      <w:pPr>
        <w:widowControl w:val="0"/>
        <w:autoSpaceDE w:val="0"/>
        <w:autoSpaceDN w:val="0"/>
        <w:ind w:left="284" w:right="283"/>
        <w:jc w:val="both"/>
        <w:rPr>
          <w:rFonts w:ascii="Gotham" w:hAnsi="Gotham" w:cs="Arial"/>
          <w:sz w:val="19"/>
          <w:szCs w:val="19"/>
        </w:rPr>
      </w:pPr>
    </w:p>
    <w:p w14:paraId="3A474DBF" w14:textId="77777777" w:rsidR="009B5E39" w:rsidRPr="00761F40" w:rsidRDefault="009B5E39" w:rsidP="009B5E39">
      <w:pPr>
        <w:widowControl w:val="0"/>
        <w:autoSpaceDE w:val="0"/>
        <w:autoSpaceDN w:val="0"/>
        <w:ind w:left="284" w:right="283"/>
        <w:jc w:val="center"/>
        <w:rPr>
          <w:rFonts w:ascii="Gotham" w:hAnsi="Gotham" w:cs="Arial"/>
          <w:b/>
          <w:sz w:val="19"/>
          <w:szCs w:val="19"/>
        </w:rPr>
      </w:pPr>
      <w:r w:rsidRPr="00761F40">
        <w:rPr>
          <w:rFonts w:ascii="Gotham" w:hAnsi="Gotham" w:cs="Arial"/>
          <w:b/>
          <w:sz w:val="19"/>
          <w:szCs w:val="19"/>
        </w:rPr>
        <w:t>CAPITULO VII</w:t>
      </w:r>
    </w:p>
    <w:p w14:paraId="3A474DC0" w14:textId="77777777" w:rsidR="009B5E39" w:rsidRPr="00761F40" w:rsidRDefault="009B5E39" w:rsidP="009B5E39">
      <w:pPr>
        <w:widowControl w:val="0"/>
        <w:autoSpaceDE w:val="0"/>
        <w:autoSpaceDN w:val="0"/>
        <w:ind w:left="284" w:right="283"/>
        <w:jc w:val="center"/>
        <w:rPr>
          <w:rFonts w:ascii="Gotham" w:hAnsi="Gotham" w:cs="Arial"/>
          <w:b/>
          <w:sz w:val="19"/>
          <w:szCs w:val="19"/>
        </w:rPr>
      </w:pPr>
      <w:r w:rsidRPr="00761F40">
        <w:rPr>
          <w:rFonts w:ascii="Gotham" w:hAnsi="Gotham" w:cs="Arial"/>
          <w:b/>
          <w:sz w:val="19"/>
          <w:szCs w:val="19"/>
        </w:rPr>
        <w:t>De los Salones de Billar, Boleramas, Juegos de Mesa y otras Diversiones</w:t>
      </w:r>
    </w:p>
    <w:p w14:paraId="3A474DC1" w14:textId="77777777" w:rsidR="009B5E39" w:rsidRPr="00D339FD" w:rsidRDefault="009B5E39" w:rsidP="009B5E39">
      <w:pPr>
        <w:widowControl w:val="0"/>
        <w:autoSpaceDE w:val="0"/>
        <w:autoSpaceDN w:val="0"/>
        <w:ind w:left="284" w:right="283"/>
        <w:jc w:val="both"/>
        <w:rPr>
          <w:rFonts w:ascii="Gotham" w:hAnsi="Gotham" w:cs="Arial"/>
          <w:sz w:val="19"/>
          <w:szCs w:val="19"/>
        </w:rPr>
      </w:pPr>
    </w:p>
    <w:p w14:paraId="3A474DC2"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94</w:t>
      </w:r>
      <w:r w:rsidRPr="00D339FD">
        <w:rPr>
          <w:rFonts w:ascii="Gotham" w:hAnsi="Gotham" w:cs="Arial"/>
          <w:sz w:val="19"/>
          <w:szCs w:val="19"/>
        </w:rPr>
        <w:t>. Para obtener la licencia que permita el funcionamiento de los giros contemplados en ese capítulo los locales deberán reunir las condiciones de seguridad e higiene contenidas en las leyes y reglamentos respectivos y no contar con sitios de juegos ocultos.</w:t>
      </w:r>
    </w:p>
    <w:p w14:paraId="3A474DC3" w14:textId="77777777" w:rsidR="009B5E39" w:rsidRDefault="009B5E39" w:rsidP="009B5E39">
      <w:pPr>
        <w:widowControl w:val="0"/>
        <w:autoSpaceDE w:val="0"/>
        <w:autoSpaceDN w:val="0"/>
        <w:ind w:left="284" w:right="283"/>
        <w:jc w:val="both"/>
        <w:rPr>
          <w:rFonts w:ascii="Gotham" w:hAnsi="Gotham" w:cs="Arial"/>
          <w:sz w:val="19"/>
          <w:szCs w:val="19"/>
        </w:rPr>
      </w:pPr>
    </w:p>
    <w:p w14:paraId="3A474DC4"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95.</w:t>
      </w:r>
      <w:r w:rsidRPr="00D339FD">
        <w:rPr>
          <w:rFonts w:ascii="Gotham" w:hAnsi="Gotham" w:cs="Arial"/>
          <w:sz w:val="19"/>
          <w:szCs w:val="19"/>
        </w:rPr>
        <w:t xml:space="preserve"> Todos los giros contemplados en este capítulo podrán funcionar separada o conjuntamente en un mismo local debiendo obtener previamente las licencias correspondientes.</w:t>
      </w:r>
    </w:p>
    <w:p w14:paraId="3A474DC5" w14:textId="77777777" w:rsidR="009B5E39" w:rsidRDefault="009B5E39" w:rsidP="009B5E39">
      <w:pPr>
        <w:widowControl w:val="0"/>
        <w:autoSpaceDE w:val="0"/>
        <w:autoSpaceDN w:val="0"/>
        <w:ind w:left="284" w:right="283"/>
        <w:jc w:val="both"/>
        <w:rPr>
          <w:rFonts w:ascii="Gotham" w:hAnsi="Gotham" w:cs="Arial"/>
          <w:sz w:val="19"/>
          <w:szCs w:val="19"/>
        </w:rPr>
      </w:pPr>
    </w:p>
    <w:p w14:paraId="3A474DC6"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96.</w:t>
      </w:r>
      <w:r w:rsidRPr="00D339FD">
        <w:rPr>
          <w:rFonts w:ascii="Gotham" w:hAnsi="Gotham" w:cs="Arial"/>
          <w:sz w:val="19"/>
          <w:szCs w:val="19"/>
        </w:rPr>
        <w:t xml:space="preserve"> Queda estrictamente prohibido cruzar apuestas en los juegos y diversiones a que se refiere el presente capítulo, haciéndose saber al público esta disposición.</w:t>
      </w:r>
    </w:p>
    <w:p w14:paraId="3A474DC7" w14:textId="77777777" w:rsidR="009B5E39" w:rsidRDefault="009B5E39" w:rsidP="009B5E39">
      <w:pPr>
        <w:widowControl w:val="0"/>
        <w:autoSpaceDE w:val="0"/>
        <w:autoSpaceDN w:val="0"/>
        <w:ind w:left="284" w:right="283"/>
        <w:jc w:val="both"/>
        <w:rPr>
          <w:rFonts w:ascii="Gotham" w:hAnsi="Gotham" w:cs="Arial"/>
          <w:sz w:val="19"/>
          <w:szCs w:val="19"/>
        </w:rPr>
      </w:pPr>
    </w:p>
    <w:p w14:paraId="3A474DC8"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97.</w:t>
      </w:r>
      <w:r w:rsidRPr="00D339FD">
        <w:rPr>
          <w:rFonts w:ascii="Gotham" w:hAnsi="Gotham" w:cs="Arial"/>
          <w:sz w:val="19"/>
          <w:szCs w:val="19"/>
        </w:rPr>
        <w:t xml:space="preserve"> En este tipo de establecimientos queda estrictamente prohibida la venta de bebidas embriagantes y de moderación así como la comunicación con habitación a ocupar, o el servicio a menores de edad.</w:t>
      </w:r>
    </w:p>
    <w:p w14:paraId="3A474DC9" w14:textId="77777777" w:rsidR="009B5E39" w:rsidRDefault="009B5E39" w:rsidP="009B5E39">
      <w:pPr>
        <w:widowControl w:val="0"/>
        <w:autoSpaceDE w:val="0"/>
        <w:autoSpaceDN w:val="0"/>
        <w:ind w:left="284" w:right="283"/>
        <w:jc w:val="both"/>
        <w:rPr>
          <w:rFonts w:ascii="Gotham" w:hAnsi="Gotham" w:cs="Arial"/>
          <w:sz w:val="19"/>
          <w:szCs w:val="19"/>
        </w:rPr>
      </w:pPr>
    </w:p>
    <w:p w14:paraId="3A474DCA"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98.</w:t>
      </w:r>
      <w:r w:rsidRPr="00D339FD">
        <w:rPr>
          <w:rFonts w:ascii="Gotham" w:hAnsi="Gotham" w:cs="Arial"/>
          <w:sz w:val="19"/>
          <w:szCs w:val="19"/>
        </w:rPr>
        <w:t xml:space="preserve"> Todas las diversiones similares se ajustarán en lo general a lo dispuesto por el presente reglamento y por los demás ordenamientos aplicables.</w:t>
      </w:r>
    </w:p>
    <w:p w14:paraId="3A474DCB" w14:textId="77777777" w:rsidR="009B5E39" w:rsidRDefault="009B5E39" w:rsidP="009B5E39">
      <w:pPr>
        <w:widowControl w:val="0"/>
        <w:autoSpaceDE w:val="0"/>
        <w:autoSpaceDN w:val="0"/>
        <w:ind w:left="284" w:right="283"/>
        <w:jc w:val="both"/>
        <w:rPr>
          <w:rFonts w:ascii="Gotham" w:hAnsi="Gotham" w:cs="Arial"/>
          <w:sz w:val="19"/>
          <w:szCs w:val="19"/>
        </w:rPr>
      </w:pPr>
    </w:p>
    <w:p w14:paraId="3A474DCC" w14:textId="77777777" w:rsidR="009B5E39" w:rsidRPr="00D339FD"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99.</w:t>
      </w:r>
      <w:r w:rsidRPr="00D339FD">
        <w:rPr>
          <w:rFonts w:ascii="Gotham" w:hAnsi="Gotham" w:cs="Arial"/>
          <w:sz w:val="19"/>
          <w:szCs w:val="19"/>
        </w:rPr>
        <w:t xml:space="preserve"> En los salones de boliche y de billar se podrán practicar como actividades complementarias los juegos de ajedrez, de dominó, damas y otros juegos similares, anotando en la licencia municipal estas autorizaciones.</w:t>
      </w:r>
    </w:p>
    <w:p w14:paraId="3A474DCD" w14:textId="77777777" w:rsidR="009B5E39" w:rsidRDefault="009B5E39" w:rsidP="009B5E39">
      <w:pPr>
        <w:widowControl w:val="0"/>
        <w:autoSpaceDE w:val="0"/>
        <w:autoSpaceDN w:val="0"/>
        <w:ind w:left="284" w:right="283"/>
        <w:jc w:val="both"/>
        <w:rPr>
          <w:rFonts w:ascii="Gotham" w:hAnsi="Gotham" w:cs="Arial"/>
          <w:sz w:val="19"/>
          <w:szCs w:val="19"/>
        </w:rPr>
      </w:pPr>
    </w:p>
    <w:p w14:paraId="3A474DCE"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 xml:space="preserve">Artículo 100. </w:t>
      </w:r>
      <w:r w:rsidRPr="00D339FD">
        <w:rPr>
          <w:rFonts w:ascii="Gotham" w:hAnsi="Gotham" w:cs="Arial"/>
          <w:sz w:val="19"/>
          <w:szCs w:val="19"/>
        </w:rPr>
        <w:t>En los giros materia de este capítulo, se podrán instalar como servicios complementarios, restaurantes, loncherías, tabaquerías y venta de artículos relacionados con los juegos a que se refiere el artículo anterior, debiendo anotarse estas actividades en la licencia de funcionamiento del giro</w:t>
      </w:r>
      <w:r w:rsidRPr="00FD0E35">
        <w:rPr>
          <w:rFonts w:ascii="Gotham" w:hAnsi="Gotham" w:cs="Arial"/>
          <w:sz w:val="19"/>
          <w:szCs w:val="19"/>
        </w:rPr>
        <w:t xml:space="preserve"> principal.</w:t>
      </w:r>
    </w:p>
    <w:p w14:paraId="3A474DCF" w14:textId="77777777" w:rsidR="009B5E39" w:rsidRDefault="009B5E39" w:rsidP="009B5E39">
      <w:pPr>
        <w:widowControl w:val="0"/>
        <w:autoSpaceDE w:val="0"/>
        <w:autoSpaceDN w:val="0"/>
        <w:ind w:left="284" w:right="283"/>
        <w:jc w:val="both"/>
        <w:rPr>
          <w:rFonts w:ascii="Gotham" w:hAnsi="Gotham" w:cs="Arial"/>
          <w:sz w:val="19"/>
          <w:szCs w:val="19"/>
        </w:rPr>
      </w:pPr>
    </w:p>
    <w:p w14:paraId="3A474DD0"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101.</w:t>
      </w:r>
      <w:r w:rsidRPr="00FD0E35">
        <w:rPr>
          <w:rFonts w:ascii="Gotham" w:hAnsi="Gotham" w:cs="Arial"/>
          <w:sz w:val="19"/>
          <w:szCs w:val="19"/>
        </w:rPr>
        <w:t xml:space="preserve"> En el billar sólo tendrán acceso los mayores de 16 años: al salón de boliche pueden entrar todas las personas.</w:t>
      </w:r>
    </w:p>
    <w:p w14:paraId="3A474DD1" w14:textId="77777777" w:rsidR="009B5E39" w:rsidRDefault="009B5E39" w:rsidP="009B5E39">
      <w:pPr>
        <w:widowControl w:val="0"/>
        <w:autoSpaceDE w:val="0"/>
        <w:autoSpaceDN w:val="0"/>
        <w:ind w:left="284" w:right="283"/>
        <w:jc w:val="both"/>
        <w:rPr>
          <w:rFonts w:ascii="Gotham" w:hAnsi="Gotham" w:cs="Arial"/>
          <w:sz w:val="19"/>
          <w:szCs w:val="19"/>
        </w:rPr>
      </w:pPr>
    </w:p>
    <w:p w14:paraId="3A474DD2"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102.</w:t>
      </w:r>
      <w:r w:rsidRPr="00FD0E35">
        <w:rPr>
          <w:rFonts w:ascii="Gotham" w:hAnsi="Gotham" w:cs="Arial"/>
          <w:sz w:val="19"/>
          <w:szCs w:val="19"/>
        </w:rPr>
        <w:t xml:space="preserve"> En los salones de boliche se deberá disponer de cinco casilleros como mínimo por mesa.</w:t>
      </w:r>
    </w:p>
    <w:p w14:paraId="3A474DD3" w14:textId="77777777" w:rsidR="009B5E39" w:rsidRDefault="009B5E39" w:rsidP="009B5E39">
      <w:pPr>
        <w:widowControl w:val="0"/>
        <w:autoSpaceDE w:val="0"/>
        <w:autoSpaceDN w:val="0"/>
        <w:ind w:left="284" w:right="283"/>
        <w:jc w:val="both"/>
        <w:rPr>
          <w:rFonts w:ascii="Gotham" w:hAnsi="Gotham" w:cs="Arial"/>
          <w:sz w:val="19"/>
          <w:szCs w:val="19"/>
        </w:rPr>
      </w:pPr>
    </w:p>
    <w:p w14:paraId="3A474DD4" w14:textId="77777777" w:rsidR="009B5E39" w:rsidRDefault="009B5E39" w:rsidP="009B5E39">
      <w:pPr>
        <w:widowControl w:val="0"/>
        <w:autoSpaceDE w:val="0"/>
        <w:autoSpaceDN w:val="0"/>
        <w:ind w:left="284" w:right="283"/>
        <w:jc w:val="both"/>
        <w:rPr>
          <w:rFonts w:ascii="Gotham" w:hAnsi="Gotham" w:cs="Arial"/>
          <w:sz w:val="19"/>
          <w:szCs w:val="19"/>
        </w:rPr>
      </w:pPr>
    </w:p>
    <w:p w14:paraId="3A474DD5" w14:textId="77777777" w:rsidR="009B5E39" w:rsidRPr="00761F40" w:rsidRDefault="009B5E39" w:rsidP="009B5E39">
      <w:pPr>
        <w:widowControl w:val="0"/>
        <w:autoSpaceDE w:val="0"/>
        <w:autoSpaceDN w:val="0"/>
        <w:ind w:left="284" w:right="283"/>
        <w:jc w:val="center"/>
        <w:rPr>
          <w:rFonts w:ascii="Gotham" w:hAnsi="Gotham" w:cs="Arial"/>
          <w:b/>
          <w:sz w:val="19"/>
          <w:szCs w:val="19"/>
        </w:rPr>
      </w:pPr>
      <w:r w:rsidRPr="00761F40">
        <w:rPr>
          <w:rFonts w:ascii="Gotham" w:hAnsi="Gotham" w:cs="Arial"/>
          <w:b/>
          <w:sz w:val="19"/>
          <w:szCs w:val="19"/>
        </w:rPr>
        <w:t>CAPITULO VIII</w:t>
      </w:r>
    </w:p>
    <w:p w14:paraId="3A474DD6" w14:textId="77777777" w:rsidR="009B5E39" w:rsidRPr="00761F40" w:rsidRDefault="009B5E39" w:rsidP="009B5E39">
      <w:pPr>
        <w:widowControl w:val="0"/>
        <w:autoSpaceDE w:val="0"/>
        <w:autoSpaceDN w:val="0"/>
        <w:ind w:left="284" w:right="283"/>
        <w:jc w:val="center"/>
        <w:rPr>
          <w:rFonts w:ascii="Gotham" w:hAnsi="Gotham" w:cs="Arial"/>
          <w:b/>
          <w:sz w:val="19"/>
          <w:szCs w:val="19"/>
        </w:rPr>
      </w:pPr>
      <w:r w:rsidRPr="00761F40">
        <w:rPr>
          <w:rFonts w:ascii="Gotham" w:hAnsi="Gotham" w:cs="Arial"/>
          <w:b/>
          <w:sz w:val="19"/>
          <w:szCs w:val="19"/>
        </w:rPr>
        <w:t>De los Circos, Carpas y Diversiones</w:t>
      </w:r>
    </w:p>
    <w:p w14:paraId="3A474DD7" w14:textId="77777777" w:rsidR="009B5E39" w:rsidRPr="00761F40" w:rsidRDefault="009B5E39" w:rsidP="009B5E39">
      <w:pPr>
        <w:widowControl w:val="0"/>
        <w:autoSpaceDE w:val="0"/>
        <w:autoSpaceDN w:val="0"/>
        <w:ind w:left="284" w:right="283"/>
        <w:jc w:val="center"/>
        <w:rPr>
          <w:rFonts w:ascii="Gotham" w:hAnsi="Gotham" w:cs="Arial"/>
          <w:b/>
          <w:sz w:val="19"/>
          <w:szCs w:val="19"/>
        </w:rPr>
      </w:pPr>
      <w:r w:rsidRPr="00761F40">
        <w:rPr>
          <w:rFonts w:ascii="Gotham" w:hAnsi="Gotham" w:cs="Arial"/>
          <w:b/>
          <w:sz w:val="19"/>
          <w:szCs w:val="19"/>
        </w:rPr>
        <w:t>Similares Ambulantes</w:t>
      </w:r>
    </w:p>
    <w:p w14:paraId="3A474DD8" w14:textId="77777777" w:rsidR="009B5E39" w:rsidRDefault="009B5E39" w:rsidP="009B5E39">
      <w:pPr>
        <w:widowControl w:val="0"/>
        <w:autoSpaceDE w:val="0"/>
        <w:autoSpaceDN w:val="0"/>
        <w:ind w:left="284" w:right="283"/>
        <w:jc w:val="both"/>
        <w:rPr>
          <w:rFonts w:ascii="Gotham" w:hAnsi="Gotham" w:cs="Arial"/>
          <w:sz w:val="19"/>
          <w:szCs w:val="19"/>
        </w:rPr>
      </w:pPr>
    </w:p>
    <w:p w14:paraId="3A474DD9"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103.</w:t>
      </w:r>
      <w:r w:rsidRPr="00FD0E35">
        <w:rPr>
          <w:rFonts w:ascii="Gotham" w:hAnsi="Gotham" w:cs="Arial"/>
          <w:sz w:val="19"/>
          <w:szCs w:val="19"/>
        </w:rPr>
        <w:t xml:space="preserve"> La instalación y el funcionamiento de circos, carpas o cualquier otro espectáculo o diversión ambulante, como concursos, audiciones musicales y demás eventos similares o juegos permitidos por la ley, en plazas, kioscos, vías, sitios públicos en general se regirán por las disposiciones de este capítulo y las relativas en el reglamento de construcciones del municipio.</w:t>
      </w:r>
    </w:p>
    <w:p w14:paraId="3A474DDA" w14:textId="77777777" w:rsidR="009B5E39" w:rsidRDefault="009B5E39" w:rsidP="009B5E39">
      <w:pPr>
        <w:widowControl w:val="0"/>
        <w:autoSpaceDE w:val="0"/>
        <w:autoSpaceDN w:val="0"/>
        <w:ind w:left="284" w:right="283"/>
        <w:jc w:val="both"/>
        <w:rPr>
          <w:rFonts w:ascii="Gotham" w:hAnsi="Gotham" w:cs="Arial"/>
          <w:sz w:val="19"/>
          <w:szCs w:val="19"/>
        </w:rPr>
      </w:pPr>
    </w:p>
    <w:p w14:paraId="3A474DDB"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104.</w:t>
      </w:r>
      <w:r w:rsidRPr="00FD0E35">
        <w:rPr>
          <w:rFonts w:ascii="Gotham" w:hAnsi="Gotham" w:cs="Arial"/>
          <w:sz w:val="19"/>
          <w:szCs w:val="19"/>
        </w:rPr>
        <w:t xml:space="preserve"> La autorización para la instalación de las diversiones y espectáculos a que se refiere el artículo 103, será concedida únicamente en lugares de poco tránsito, o en terrenos de propiedad particular, a juicio de la comisión de espectáculos del cabildo, quedando prohibidas tales actividades dentro de las zonas prohibidas y restringidas como son las plazas, parques y jardines.</w:t>
      </w:r>
    </w:p>
    <w:p w14:paraId="3A474DDC" w14:textId="77777777" w:rsidR="009B5E39" w:rsidRDefault="009B5E39" w:rsidP="009B5E39">
      <w:pPr>
        <w:widowControl w:val="0"/>
        <w:autoSpaceDE w:val="0"/>
        <w:autoSpaceDN w:val="0"/>
        <w:ind w:left="284" w:right="283"/>
        <w:jc w:val="both"/>
        <w:rPr>
          <w:rFonts w:ascii="Gotham" w:hAnsi="Gotham" w:cs="Arial"/>
          <w:sz w:val="19"/>
          <w:szCs w:val="19"/>
        </w:rPr>
      </w:pPr>
    </w:p>
    <w:p w14:paraId="3A474DDD"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105.</w:t>
      </w:r>
      <w:r w:rsidRPr="00FD0E35">
        <w:rPr>
          <w:rFonts w:ascii="Gotham" w:hAnsi="Gotham" w:cs="Arial"/>
          <w:sz w:val="19"/>
          <w:szCs w:val="19"/>
        </w:rPr>
        <w:t xml:space="preserve"> Al otorgarse este tipo de permisos, se fijará a las empresas una fianza suficiente, a juicio de la comisión de espectáculos del cabildo, en previsión de los daños que puedan sufrir los pavimentos o cualquier construcción o terrenos de propiedad municipal.</w:t>
      </w:r>
    </w:p>
    <w:p w14:paraId="3A474DDE" w14:textId="77777777" w:rsidR="009B5E39" w:rsidRDefault="009B5E39" w:rsidP="009B5E39">
      <w:pPr>
        <w:widowControl w:val="0"/>
        <w:autoSpaceDE w:val="0"/>
        <w:autoSpaceDN w:val="0"/>
        <w:ind w:left="284" w:right="283"/>
        <w:jc w:val="both"/>
        <w:rPr>
          <w:rFonts w:ascii="Gotham" w:hAnsi="Gotham" w:cs="Arial"/>
          <w:sz w:val="19"/>
          <w:szCs w:val="19"/>
        </w:rPr>
      </w:pPr>
    </w:p>
    <w:p w14:paraId="3A474DDF"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106.</w:t>
      </w:r>
      <w:r w:rsidRPr="00FD0E35">
        <w:rPr>
          <w:rFonts w:ascii="Gotham" w:hAnsi="Gotham" w:cs="Arial"/>
          <w:sz w:val="19"/>
          <w:szCs w:val="19"/>
        </w:rPr>
        <w:t xml:space="preserve"> EI Ayuntamiento concederá permiso para la presentación de los espectáculos y diversiones que se mencionan en el presente capítulo pero no autoriza su funcionamiento hasta en tanto no se satisfagan las condiciones de seguridad e higiene y demás requisitos establecidos en este reglamento y disposiciones aplicables.</w:t>
      </w:r>
    </w:p>
    <w:p w14:paraId="3A474DE0" w14:textId="77777777" w:rsidR="009B5E39" w:rsidRDefault="009B5E39" w:rsidP="009B5E39">
      <w:pPr>
        <w:widowControl w:val="0"/>
        <w:autoSpaceDE w:val="0"/>
        <w:autoSpaceDN w:val="0"/>
        <w:ind w:left="284" w:right="283"/>
        <w:jc w:val="both"/>
        <w:rPr>
          <w:rFonts w:ascii="Gotham" w:hAnsi="Gotham" w:cs="Arial"/>
          <w:sz w:val="19"/>
          <w:szCs w:val="19"/>
        </w:rPr>
      </w:pPr>
    </w:p>
    <w:p w14:paraId="3A474DE1"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107.</w:t>
      </w:r>
      <w:r w:rsidRPr="00FD0E35">
        <w:rPr>
          <w:rFonts w:ascii="Gotham" w:hAnsi="Gotham" w:cs="Arial"/>
          <w:sz w:val="19"/>
          <w:szCs w:val="19"/>
        </w:rPr>
        <w:t xml:space="preserve"> En cuanto a la permanencia de estos espectáculos y diversiones en los lugares autorizados, no podrá ser mayor de 30 días, comprendido este lapso el periodo de instalación y desarme, el Ayuntamiento podrá ordenar el retiro de esta clase de espectáculos y diversiones cancelando el permiso correspondiente, por quejas de los vecinos o porque así lo estime conveniente para interés público; en estos casos la personas gozarán de un plazo no mayor días a partir de la fecha en que la notificación oficial para la y el retiro de sus enseres de la empresa deberán presentarse ocho días de anticipación a la acción ante el Ayuntamiento.</w:t>
      </w:r>
    </w:p>
    <w:p w14:paraId="3A474DE2" w14:textId="77777777" w:rsidR="009B5E39" w:rsidRDefault="009B5E39" w:rsidP="009B5E39">
      <w:pPr>
        <w:widowControl w:val="0"/>
        <w:autoSpaceDE w:val="0"/>
        <w:autoSpaceDN w:val="0"/>
        <w:ind w:left="284" w:right="283"/>
        <w:jc w:val="both"/>
        <w:rPr>
          <w:rFonts w:ascii="Gotham" w:hAnsi="Gotham" w:cs="Arial"/>
          <w:sz w:val="19"/>
          <w:szCs w:val="19"/>
        </w:rPr>
      </w:pPr>
    </w:p>
    <w:p w14:paraId="3A474DE3"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108.</w:t>
      </w:r>
      <w:r w:rsidRPr="00FD0E35">
        <w:rPr>
          <w:rFonts w:ascii="Gotham" w:hAnsi="Gotham" w:cs="Arial"/>
          <w:sz w:val="19"/>
          <w:szCs w:val="19"/>
        </w:rPr>
        <w:t xml:space="preserve"> El sonido empleara anunciar este tipo de eventos así el necesario para su presentación. Podrá usarse en forma moderada para molestias a los vecinos.</w:t>
      </w:r>
    </w:p>
    <w:p w14:paraId="3A474DE4" w14:textId="77777777" w:rsidR="009B5E39" w:rsidRDefault="009B5E39" w:rsidP="009B5E39">
      <w:pPr>
        <w:widowControl w:val="0"/>
        <w:autoSpaceDE w:val="0"/>
        <w:autoSpaceDN w:val="0"/>
        <w:ind w:left="284" w:right="283"/>
        <w:jc w:val="both"/>
        <w:rPr>
          <w:rFonts w:ascii="Gotham" w:hAnsi="Gotham" w:cs="Arial"/>
          <w:sz w:val="19"/>
          <w:szCs w:val="19"/>
        </w:rPr>
      </w:pPr>
    </w:p>
    <w:p w14:paraId="3A474DE5"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109.</w:t>
      </w:r>
      <w:r w:rsidRPr="00FD0E35">
        <w:rPr>
          <w:rFonts w:ascii="Gotham" w:hAnsi="Gotham" w:cs="Arial"/>
          <w:sz w:val="19"/>
          <w:szCs w:val="19"/>
        </w:rPr>
        <w:t xml:space="preserve"> Quienes se dedican a presentar espectáculos o diversión en la vía pública con el objeto de entretener a la gente deberán tener previamente su licencia municipal correspondiente, que por ningún motivo se concederá cuando los interesados intenten trabajar en pórticos de edificios o en los lugares donde puedan interrumpir el tránsito de los vehículos.</w:t>
      </w:r>
    </w:p>
    <w:p w14:paraId="3A474DE6" w14:textId="77777777" w:rsidR="009B5E39" w:rsidRDefault="009B5E39" w:rsidP="009B5E39">
      <w:pPr>
        <w:widowControl w:val="0"/>
        <w:autoSpaceDE w:val="0"/>
        <w:autoSpaceDN w:val="0"/>
        <w:ind w:left="284" w:right="283"/>
        <w:jc w:val="both"/>
        <w:rPr>
          <w:rFonts w:ascii="Gotham" w:hAnsi="Gotham" w:cs="Arial"/>
          <w:sz w:val="19"/>
          <w:szCs w:val="19"/>
        </w:rPr>
      </w:pPr>
    </w:p>
    <w:p w14:paraId="3A474DE7"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lastRenderedPageBreak/>
        <w:t>Artículo 110.</w:t>
      </w:r>
      <w:r w:rsidRPr="00FD0E35">
        <w:rPr>
          <w:rFonts w:ascii="Gotham" w:hAnsi="Gotham" w:cs="Arial"/>
          <w:sz w:val="19"/>
          <w:szCs w:val="19"/>
        </w:rPr>
        <w:t xml:space="preserve"> Los estacionamientos en donde se instalen para el uso del público. juegos mecánicos, electromecánicos y electrónicos operados mediante aparatos accionados con fichas monedas con la simple finalidad de entretenimiento deberán observar las disposiciones de este capítulo.</w:t>
      </w:r>
    </w:p>
    <w:p w14:paraId="3A474DE8" w14:textId="77777777" w:rsidR="009B5E39" w:rsidRDefault="009B5E39" w:rsidP="009B5E39">
      <w:pPr>
        <w:widowControl w:val="0"/>
        <w:autoSpaceDE w:val="0"/>
        <w:autoSpaceDN w:val="0"/>
        <w:ind w:left="284" w:right="283"/>
        <w:jc w:val="both"/>
        <w:rPr>
          <w:rFonts w:ascii="Gotham" w:hAnsi="Gotham" w:cs="Arial"/>
          <w:sz w:val="19"/>
          <w:szCs w:val="19"/>
        </w:rPr>
      </w:pPr>
    </w:p>
    <w:p w14:paraId="3A474DE9" w14:textId="1B5A885F"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111.</w:t>
      </w:r>
      <w:r w:rsidRPr="00FD0E35">
        <w:rPr>
          <w:rFonts w:ascii="Gotham" w:hAnsi="Gotham" w:cs="Arial"/>
          <w:sz w:val="19"/>
          <w:szCs w:val="19"/>
        </w:rPr>
        <w:t xml:space="preserve"> Los aparatos destinados a los juegos a que se refiere al artículo 110, podrán funcionar en lugares específicamente ordenados a este fin, </w:t>
      </w:r>
      <w:r w:rsidR="0015568D" w:rsidRPr="00FD0E35">
        <w:rPr>
          <w:rFonts w:ascii="Gotham" w:hAnsi="Gotham" w:cs="Arial"/>
          <w:sz w:val="19"/>
          <w:szCs w:val="19"/>
        </w:rPr>
        <w:t>vía</w:t>
      </w:r>
      <w:r w:rsidRPr="00FD0E35">
        <w:rPr>
          <w:rFonts w:ascii="Gotham" w:hAnsi="Gotham" w:cs="Arial"/>
          <w:sz w:val="19"/>
          <w:szCs w:val="19"/>
        </w:rPr>
        <w:t xml:space="preserve"> la autorización correspondiente y dictamen de la Dirección General de Obras Públicas Municipales.</w:t>
      </w:r>
    </w:p>
    <w:p w14:paraId="3A474DEA" w14:textId="77777777" w:rsidR="009B5E39" w:rsidRDefault="009B5E39" w:rsidP="009B5E39">
      <w:pPr>
        <w:widowControl w:val="0"/>
        <w:autoSpaceDE w:val="0"/>
        <w:autoSpaceDN w:val="0"/>
        <w:ind w:left="284" w:right="283"/>
        <w:jc w:val="both"/>
        <w:rPr>
          <w:rFonts w:ascii="Gotham" w:hAnsi="Gotham" w:cs="Arial"/>
          <w:sz w:val="19"/>
          <w:szCs w:val="19"/>
        </w:rPr>
      </w:pPr>
    </w:p>
    <w:p w14:paraId="3A474DEB"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112.</w:t>
      </w:r>
      <w:r w:rsidRPr="00FD0E35">
        <w:rPr>
          <w:rFonts w:ascii="Gotham" w:hAnsi="Gotham" w:cs="Arial"/>
          <w:sz w:val="19"/>
          <w:szCs w:val="19"/>
        </w:rPr>
        <w:t xml:space="preserve"> Los propietarios o encargados tienen la obligación de: </w:t>
      </w:r>
    </w:p>
    <w:p w14:paraId="3A474DEC" w14:textId="77777777" w:rsidR="009B5E39" w:rsidRDefault="009B5E39" w:rsidP="009B5E39">
      <w:pPr>
        <w:widowControl w:val="0"/>
        <w:autoSpaceDE w:val="0"/>
        <w:autoSpaceDN w:val="0"/>
        <w:ind w:left="284" w:right="283"/>
        <w:jc w:val="both"/>
        <w:rPr>
          <w:rFonts w:ascii="Gotham" w:hAnsi="Gotham" w:cs="Arial"/>
          <w:sz w:val="19"/>
          <w:szCs w:val="19"/>
        </w:rPr>
      </w:pPr>
    </w:p>
    <w:p w14:paraId="3A474DED" w14:textId="77777777" w:rsidR="009B5E39" w:rsidRPr="00FD0E35" w:rsidRDefault="009B5E39" w:rsidP="009B5E39">
      <w:pPr>
        <w:widowControl w:val="0"/>
        <w:autoSpaceDE w:val="0"/>
        <w:autoSpaceDN w:val="0"/>
        <w:spacing w:after="120"/>
        <w:ind w:left="1134" w:right="283" w:hanging="850"/>
        <w:jc w:val="both"/>
        <w:rPr>
          <w:rFonts w:ascii="Gotham" w:hAnsi="Gotham" w:cs="Arial"/>
          <w:sz w:val="19"/>
          <w:szCs w:val="19"/>
        </w:rPr>
      </w:pPr>
      <w:r w:rsidRPr="00FD0E35">
        <w:rPr>
          <w:rFonts w:ascii="Gotham" w:hAnsi="Gotham" w:cs="Arial"/>
          <w:sz w:val="19"/>
          <w:szCs w:val="19"/>
        </w:rPr>
        <w:t xml:space="preserve">I.- </w:t>
      </w:r>
      <w:r>
        <w:rPr>
          <w:rFonts w:ascii="Gotham" w:hAnsi="Gotham" w:cs="Arial"/>
          <w:sz w:val="19"/>
          <w:szCs w:val="19"/>
        </w:rPr>
        <w:tab/>
      </w:r>
      <w:r w:rsidRPr="00FD0E35">
        <w:rPr>
          <w:rFonts w:ascii="Gotham" w:hAnsi="Gotham" w:cs="Arial"/>
          <w:sz w:val="19"/>
          <w:szCs w:val="19"/>
        </w:rPr>
        <w:t>Tener a la vista del público la duración del funcionamiento de cada uno de los aparatos.</w:t>
      </w:r>
    </w:p>
    <w:p w14:paraId="3A474DEE" w14:textId="77777777" w:rsidR="009B5E39" w:rsidRPr="00FD0E35" w:rsidRDefault="009B5E39" w:rsidP="009B5E39">
      <w:pPr>
        <w:widowControl w:val="0"/>
        <w:autoSpaceDE w:val="0"/>
        <w:autoSpaceDN w:val="0"/>
        <w:spacing w:after="120"/>
        <w:ind w:left="1134" w:right="283" w:hanging="850"/>
        <w:jc w:val="both"/>
        <w:rPr>
          <w:rFonts w:ascii="Gotham" w:hAnsi="Gotham" w:cs="Arial"/>
          <w:sz w:val="19"/>
          <w:szCs w:val="19"/>
        </w:rPr>
      </w:pPr>
      <w:r w:rsidRPr="00FD0E35">
        <w:rPr>
          <w:rFonts w:ascii="Gotham" w:hAnsi="Gotham" w:cs="Arial"/>
          <w:sz w:val="19"/>
          <w:szCs w:val="19"/>
        </w:rPr>
        <w:t xml:space="preserve">II.- </w:t>
      </w:r>
      <w:r>
        <w:rPr>
          <w:rFonts w:ascii="Gotham" w:hAnsi="Gotham" w:cs="Arial"/>
          <w:sz w:val="19"/>
          <w:szCs w:val="19"/>
        </w:rPr>
        <w:tab/>
      </w:r>
      <w:r w:rsidRPr="00FD0E35">
        <w:rPr>
          <w:rFonts w:ascii="Gotham" w:hAnsi="Gotham" w:cs="Arial"/>
          <w:sz w:val="19"/>
          <w:szCs w:val="19"/>
        </w:rPr>
        <w:t>Evitar que se crucen apuestas.</w:t>
      </w:r>
    </w:p>
    <w:p w14:paraId="3A474DEF" w14:textId="77777777" w:rsidR="009B5E39" w:rsidRPr="00FD0E35" w:rsidRDefault="009B5E39" w:rsidP="009B5E39">
      <w:pPr>
        <w:widowControl w:val="0"/>
        <w:autoSpaceDE w:val="0"/>
        <w:autoSpaceDN w:val="0"/>
        <w:ind w:left="1134" w:right="283" w:hanging="850"/>
        <w:jc w:val="both"/>
        <w:rPr>
          <w:rFonts w:ascii="Gotham" w:hAnsi="Gotham" w:cs="Arial"/>
          <w:sz w:val="19"/>
          <w:szCs w:val="19"/>
        </w:rPr>
      </w:pPr>
      <w:r>
        <w:rPr>
          <w:rFonts w:ascii="Gotham" w:hAnsi="Gotham" w:cs="Arial"/>
          <w:sz w:val="19"/>
          <w:szCs w:val="19"/>
        </w:rPr>
        <w:t>III.</w:t>
      </w:r>
      <w:r w:rsidRPr="00FD0E35">
        <w:rPr>
          <w:rFonts w:ascii="Gotham" w:hAnsi="Gotham" w:cs="Arial"/>
          <w:sz w:val="19"/>
          <w:szCs w:val="19"/>
        </w:rPr>
        <w:t xml:space="preserve">- </w:t>
      </w:r>
      <w:r>
        <w:rPr>
          <w:rFonts w:ascii="Gotham" w:hAnsi="Gotham" w:cs="Arial"/>
          <w:sz w:val="19"/>
          <w:szCs w:val="19"/>
        </w:rPr>
        <w:tab/>
      </w:r>
      <w:r w:rsidRPr="00FD0E35">
        <w:rPr>
          <w:rFonts w:ascii="Gotham" w:hAnsi="Gotham" w:cs="Arial"/>
          <w:sz w:val="19"/>
          <w:szCs w:val="19"/>
        </w:rPr>
        <w:t>Cada aparato debe estar a una distancia como mínimo, de un metro.</w:t>
      </w:r>
    </w:p>
    <w:p w14:paraId="3A474DF0" w14:textId="77777777" w:rsidR="009B5E39" w:rsidRPr="00FD0E35" w:rsidRDefault="009B5E39" w:rsidP="009B5E39">
      <w:pPr>
        <w:widowControl w:val="0"/>
        <w:autoSpaceDE w:val="0"/>
        <w:autoSpaceDN w:val="0"/>
        <w:ind w:left="284" w:right="283"/>
        <w:jc w:val="both"/>
        <w:rPr>
          <w:rFonts w:ascii="Gotham" w:hAnsi="Gotham" w:cs="Arial"/>
          <w:sz w:val="19"/>
          <w:szCs w:val="19"/>
        </w:rPr>
      </w:pPr>
    </w:p>
    <w:p w14:paraId="3A474DF1"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113.</w:t>
      </w:r>
      <w:r w:rsidRPr="00FD0E35">
        <w:rPr>
          <w:rFonts w:ascii="Gotham" w:hAnsi="Gotham" w:cs="Arial"/>
          <w:sz w:val="19"/>
          <w:szCs w:val="19"/>
        </w:rPr>
        <w:t xml:space="preserve"> No podrá autorizarse este tipo de giros, a una distancia, cuando menos, de 200 metros de los centros escolares o de los jardines públicos.</w:t>
      </w:r>
    </w:p>
    <w:p w14:paraId="3A474DF2" w14:textId="77777777" w:rsidR="009B5E39" w:rsidRDefault="009B5E39" w:rsidP="009B5E39">
      <w:pPr>
        <w:widowControl w:val="0"/>
        <w:autoSpaceDE w:val="0"/>
        <w:autoSpaceDN w:val="0"/>
        <w:ind w:left="284" w:right="283"/>
        <w:jc w:val="both"/>
        <w:rPr>
          <w:rFonts w:ascii="Gotham" w:hAnsi="Gotham" w:cs="Arial"/>
          <w:sz w:val="19"/>
          <w:szCs w:val="19"/>
        </w:rPr>
      </w:pPr>
    </w:p>
    <w:p w14:paraId="3A474DF3" w14:textId="77777777" w:rsidR="009B5E39" w:rsidRDefault="009B5E39" w:rsidP="009B5E39">
      <w:pPr>
        <w:widowControl w:val="0"/>
        <w:autoSpaceDE w:val="0"/>
        <w:autoSpaceDN w:val="0"/>
        <w:ind w:left="284" w:right="283"/>
        <w:jc w:val="both"/>
        <w:rPr>
          <w:rFonts w:ascii="Gotham" w:hAnsi="Gotham" w:cs="Arial"/>
          <w:sz w:val="19"/>
          <w:szCs w:val="19"/>
        </w:rPr>
      </w:pPr>
    </w:p>
    <w:p w14:paraId="3A474DF4" w14:textId="77777777" w:rsidR="009B5E39" w:rsidRPr="00761F40" w:rsidRDefault="009B5E39" w:rsidP="009B5E39">
      <w:pPr>
        <w:widowControl w:val="0"/>
        <w:autoSpaceDE w:val="0"/>
        <w:autoSpaceDN w:val="0"/>
        <w:ind w:left="284" w:right="283"/>
        <w:jc w:val="center"/>
        <w:rPr>
          <w:rFonts w:ascii="Gotham" w:hAnsi="Gotham" w:cs="Arial"/>
          <w:b/>
          <w:sz w:val="19"/>
          <w:szCs w:val="19"/>
        </w:rPr>
      </w:pPr>
      <w:r w:rsidRPr="00761F40">
        <w:rPr>
          <w:rFonts w:ascii="Gotham" w:hAnsi="Gotham" w:cs="Arial"/>
          <w:b/>
          <w:sz w:val="19"/>
          <w:szCs w:val="19"/>
        </w:rPr>
        <w:t>CAPITULO X</w:t>
      </w:r>
    </w:p>
    <w:p w14:paraId="3A474DF5" w14:textId="77777777" w:rsidR="009B5E39" w:rsidRPr="00761F40" w:rsidRDefault="009B5E39" w:rsidP="009B5E39">
      <w:pPr>
        <w:widowControl w:val="0"/>
        <w:autoSpaceDE w:val="0"/>
        <w:autoSpaceDN w:val="0"/>
        <w:ind w:left="284" w:right="283"/>
        <w:jc w:val="center"/>
        <w:rPr>
          <w:rFonts w:ascii="Gotham" w:hAnsi="Gotham" w:cs="Arial"/>
          <w:b/>
          <w:sz w:val="19"/>
          <w:szCs w:val="19"/>
        </w:rPr>
      </w:pPr>
      <w:r w:rsidRPr="00761F40">
        <w:rPr>
          <w:rFonts w:ascii="Gotham" w:hAnsi="Gotham" w:cs="Arial"/>
          <w:b/>
          <w:sz w:val="19"/>
          <w:szCs w:val="19"/>
        </w:rPr>
        <w:t>De las Carreras de Automóviles Bicicletas y Motocicletas</w:t>
      </w:r>
    </w:p>
    <w:p w14:paraId="3A474DF6" w14:textId="77777777" w:rsidR="009B5E39" w:rsidRPr="00FD0E35" w:rsidRDefault="009B5E39" w:rsidP="009B5E39">
      <w:pPr>
        <w:widowControl w:val="0"/>
        <w:autoSpaceDE w:val="0"/>
        <w:autoSpaceDN w:val="0"/>
        <w:ind w:left="284" w:right="283"/>
        <w:jc w:val="both"/>
        <w:rPr>
          <w:rFonts w:ascii="Gotham" w:hAnsi="Gotham" w:cs="Arial"/>
          <w:sz w:val="19"/>
          <w:szCs w:val="19"/>
        </w:rPr>
      </w:pPr>
    </w:p>
    <w:p w14:paraId="3A474DF7"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801349">
        <w:rPr>
          <w:rFonts w:ascii="Gotham" w:hAnsi="Gotham" w:cs="Arial"/>
          <w:b/>
          <w:sz w:val="19"/>
          <w:szCs w:val="19"/>
        </w:rPr>
        <w:t>Artículo 114.</w:t>
      </w:r>
      <w:r w:rsidRPr="00FD0E35">
        <w:rPr>
          <w:rFonts w:ascii="Gotham" w:hAnsi="Gotham" w:cs="Arial"/>
          <w:sz w:val="19"/>
          <w:szCs w:val="19"/>
        </w:rPr>
        <w:t xml:space="preserve"> Cualquier organizador de carreras de automóviles motocicletas y bicicletas, requiere adjuntar a la solicitud que haga al Ayuntamiento la constancia de que la Secretaria de Vialidad y Tránsito del Estado le otorguen, en el sentido de que ha tomado las medidas de seguridad necesarias para evitar en lo posible los siniestros y el congestionamiento de las vías públicas, asimismo, un documento que otorgue la Dirección de los Servicios Médicos Municipales.</w:t>
      </w:r>
    </w:p>
    <w:p w14:paraId="3A474DF8" w14:textId="77777777" w:rsidR="009B5E39" w:rsidRDefault="009B5E39" w:rsidP="009B5E39">
      <w:pPr>
        <w:widowControl w:val="0"/>
        <w:autoSpaceDE w:val="0"/>
        <w:autoSpaceDN w:val="0"/>
        <w:ind w:left="284" w:right="283"/>
        <w:jc w:val="both"/>
        <w:rPr>
          <w:rFonts w:ascii="Gotham" w:hAnsi="Gotham" w:cs="Arial"/>
          <w:sz w:val="19"/>
          <w:szCs w:val="19"/>
        </w:rPr>
      </w:pPr>
    </w:p>
    <w:p w14:paraId="3A474DF9" w14:textId="77777777" w:rsidR="009B5E39" w:rsidRPr="00FD0E35" w:rsidRDefault="009B5E39" w:rsidP="009B5E39">
      <w:pPr>
        <w:widowControl w:val="0"/>
        <w:autoSpaceDE w:val="0"/>
        <w:autoSpaceDN w:val="0"/>
        <w:ind w:left="284" w:right="283"/>
        <w:jc w:val="both"/>
        <w:rPr>
          <w:rFonts w:ascii="Gotham" w:hAnsi="Gotham" w:cs="Arial"/>
          <w:sz w:val="19"/>
          <w:szCs w:val="19"/>
        </w:rPr>
      </w:pPr>
    </w:p>
    <w:p w14:paraId="3A474DFA" w14:textId="77777777" w:rsidR="009B5E39" w:rsidRPr="001A09B5" w:rsidRDefault="009B5E39" w:rsidP="009B5E39">
      <w:pPr>
        <w:widowControl w:val="0"/>
        <w:autoSpaceDE w:val="0"/>
        <w:autoSpaceDN w:val="0"/>
        <w:ind w:left="284" w:right="283"/>
        <w:jc w:val="center"/>
        <w:rPr>
          <w:rFonts w:ascii="Gotham" w:hAnsi="Gotham" w:cs="Arial"/>
          <w:b/>
          <w:sz w:val="19"/>
          <w:szCs w:val="19"/>
        </w:rPr>
      </w:pPr>
      <w:r w:rsidRPr="001A09B5">
        <w:rPr>
          <w:rFonts w:ascii="Gotham" w:hAnsi="Gotham" w:cs="Arial"/>
          <w:b/>
          <w:sz w:val="19"/>
          <w:szCs w:val="19"/>
        </w:rPr>
        <w:t>CAPITULO XI</w:t>
      </w:r>
    </w:p>
    <w:p w14:paraId="3A474DFB" w14:textId="77777777" w:rsidR="009B5E39" w:rsidRPr="001A09B5" w:rsidRDefault="009B5E39" w:rsidP="009B5E39">
      <w:pPr>
        <w:widowControl w:val="0"/>
        <w:autoSpaceDE w:val="0"/>
        <w:autoSpaceDN w:val="0"/>
        <w:ind w:left="284" w:right="283"/>
        <w:jc w:val="center"/>
        <w:rPr>
          <w:rFonts w:ascii="Gotham" w:hAnsi="Gotham" w:cs="Arial"/>
          <w:b/>
          <w:sz w:val="19"/>
          <w:szCs w:val="19"/>
        </w:rPr>
      </w:pPr>
      <w:r w:rsidRPr="001A09B5">
        <w:rPr>
          <w:rFonts w:ascii="Gotham" w:hAnsi="Gotham" w:cs="Arial"/>
          <w:b/>
          <w:sz w:val="19"/>
          <w:szCs w:val="19"/>
        </w:rPr>
        <w:t>De los Derechos y Obligaciones de los</w:t>
      </w:r>
    </w:p>
    <w:p w14:paraId="3A474DFC" w14:textId="77777777" w:rsidR="009B5E39" w:rsidRPr="001A09B5" w:rsidRDefault="009B5E39" w:rsidP="009B5E39">
      <w:pPr>
        <w:widowControl w:val="0"/>
        <w:autoSpaceDE w:val="0"/>
        <w:autoSpaceDN w:val="0"/>
        <w:ind w:left="284" w:right="283"/>
        <w:jc w:val="center"/>
        <w:rPr>
          <w:rFonts w:ascii="Gotham" w:hAnsi="Gotham" w:cs="Arial"/>
          <w:b/>
          <w:sz w:val="19"/>
          <w:szCs w:val="19"/>
        </w:rPr>
      </w:pPr>
      <w:r w:rsidRPr="001A09B5">
        <w:rPr>
          <w:rFonts w:ascii="Gotham" w:hAnsi="Gotham" w:cs="Arial"/>
          <w:b/>
          <w:sz w:val="19"/>
          <w:szCs w:val="19"/>
        </w:rPr>
        <w:t>Asistentes a los Espectáculos Públicos y otras Diversiones Similares</w:t>
      </w:r>
    </w:p>
    <w:p w14:paraId="3A474DFD" w14:textId="77777777" w:rsidR="009B5E39" w:rsidRPr="00FD0E35" w:rsidRDefault="009B5E39" w:rsidP="009B5E39">
      <w:pPr>
        <w:widowControl w:val="0"/>
        <w:autoSpaceDE w:val="0"/>
        <w:autoSpaceDN w:val="0"/>
        <w:ind w:left="284" w:right="283"/>
        <w:jc w:val="both"/>
        <w:rPr>
          <w:rFonts w:ascii="Gotham" w:hAnsi="Gotham" w:cs="Arial"/>
          <w:sz w:val="19"/>
          <w:szCs w:val="19"/>
        </w:rPr>
      </w:pPr>
    </w:p>
    <w:p w14:paraId="3A474DFE"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115.</w:t>
      </w:r>
      <w:r w:rsidRPr="00FD0E35">
        <w:rPr>
          <w:rFonts w:ascii="Gotham" w:hAnsi="Gotham" w:cs="Arial"/>
          <w:sz w:val="19"/>
          <w:szCs w:val="19"/>
        </w:rPr>
        <w:t xml:space="preserve"> En los distintos espectáculos y diversiones previstos en el presente reglamento los espectadores o asistentes, deberán abstenerse de cualquier provocación o incidente que pueda alterar el normal desarrollo del evento y del orden.</w:t>
      </w:r>
    </w:p>
    <w:p w14:paraId="3A474DFF" w14:textId="77777777" w:rsidR="009B5E39" w:rsidRDefault="009B5E39" w:rsidP="009B5E39">
      <w:pPr>
        <w:widowControl w:val="0"/>
        <w:autoSpaceDE w:val="0"/>
        <w:autoSpaceDN w:val="0"/>
        <w:ind w:left="284" w:right="283"/>
        <w:jc w:val="both"/>
        <w:rPr>
          <w:rFonts w:ascii="Gotham" w:hAnsi="Gotham" w:cs="Arial"/>
          <w:sz w:val="19"/>
          <w:szCs w:val="19"/>
        </w:rPr>
      </w:pPr>
    </w:p>
    <w:p w14:paraId="3A474E00"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116</w:t>
      </w:r>
      <w:r w:rsidRPr="00FD0E35">
        <w:rPr>
          <w:rFonts w:ascii="Gotham" w:hAnsi="Gotham" w:cs="Arial"/>
          <w:sz w:val="19"/>
          <w:szCs w:val="19"/>
        </w:rPr>
        <w:t>. El que infrinja las disposiciones contempladas en este reglamento será invitado a salir del lugar en que cometa la contravención sin perjuicio de que le sean aplicadas otra Sanciones</w:t>
      </w:r>
    </w:p>
    <w:p w14:paraId="3A474E01" w14:textId="77777777" w:rsidR="009B5E39" w:rsidRDefault="009B5E39" w:rsidP="009B5E39">
      <w:pPr>
        <w:widowControl w:val="0"/>
        <w:autoSpaceDE w:val="0"/>
        <w:autoSpaceDN w:val="0"/>
        <w:ind w:left="284" w:right="283"/>
        <w:jc w:val="both"/>
        <w:rPr>
          <w:rFonts w:ascii="Gotham" w:hAnsi="Gotham" w:cs="Arial"/>
          <w:sz w:val="19"/>
          <w:szCs w:val="19"/>
        </w:rPr>
      </w:pPr>
    </w:p>
    <w:p w14:paraId="3A474E02"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117.</w:t>
      </w:r>
      <w:r w:rsidRPr="00FD0E35">
        <w:rPr>
          <w:rFonts w:ascii="Gotham" w:hAnsi="Gotham" w:cs="Arial"/>
          <w:sz w:val="19"/>
          <w:szCs w:val="19"/>
        </w:rPr>
        <w:t xml:space="preserve"> En los centros de espectáculos o diversiones no se permitirá, durante el desarrollo de las funciones, la estancia de personas en áreas de puertas y pasillos, a efecto de que siempre haya fluidez en cualquier movimiento de los espectadores</w:t>
      </w:r>
      <w:r w:rsidR="00C9405B">
        <w:rPr>
          <w:rFonts w:ascii="Gotham" w:hAnsi="Gotham" w:cs="Arial"/>
          <w:sz w:val="19"/>
          <w:szCs w:val="19"/>
        </w:rPr>
        <w:t>,</w:t>
      </w:r>
      <w:r w:rsidRPr="00FD0E35">
        <w:rPr>
          <w:rFonts w:ascii="Gotham" w:hAnsi="Gotham" w:cs="Arial"/>
          <w:sz w:val="19"/>
          <w:szCs w:val="19"/>
        </w:rPr>
        <w:t xml:space="preserve"> por lo que el público deberá ocupar con toda oportunidad sus lugares.</w:t>
      </w:r>
    </w:p>
    <w:p w14:paraId="3A474E03" w14:textId="77777777" w:rsidR="009B5E39" w:rsidRDefault="009B5E39" w:rsidP="009B5E39">
      <w:pPr>
        <w:widowControl w:val="0"/>
        <w:autoSpaceDE w:val="0"/>
        <w:autoSpaceDN w:val="0"/>
        <w:ind w:left="284" w:right="283"/>
        <w:jc w:val="both"/>
        <w:rPr>
          <w:rFonts w:ascii="Gotham" w:hAnsi="Gotham" w:cs="Arial"/>
          <w:sz w:val="19"/>
          <w:szCs w:val="19"/>
        </w:rPr>
      </w:pPr>
    </w:p>
    <w:p w14:paraId="3A474E04"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118.</w:t>
      </w:r>
      <w:r w:rsidRPr="00FD0E35">
        <w:rPr>
          <w:rFonts w:ascii="Gotham" w:hAnsi="Gotham" w:cs="Arial"/>
          <w:sz w:val="19"/>
          <w:szCs w:val="19"/>
        </w:rPr>
        <w:t xml:space="preserve"> En las salas cinematográficas, teatros u otros centros de diversiones que no estén al aire libre, queda estrictamente prohibido fumar en su interior; el</w:t>
      </w:r>
      <w:r w:rsidR="00883EC2">
        <w:rPr>
          <w:rFonts w:ascii="Gotham" w:hAnsi="Gotham" w:cs="Arial"/>
          <w:sz w:val="19"/>
          <w:szCs w:val="19"/>
        </w:rPr>
        <w:t xml:space="preserve"> </w:t>
      </w:r>
      <w:r w:rsidRPr="00FD0E35">
        <w:rPr>
          <w:rFonts w:ascii="Gotham" w:hAnsi="Gotham" w:cs="Arial"/>
          <w:sz w:val="19"/>
          <w:szCs w:val="19"/>
        </w:rPr>
        <w:t xml:space="preserve">Ayuntamiento, de acuerdo a las condiciones de cada local, señalará qué áreas podrán destinarse para tal efecto, y a qué otros giros se </w:t>
      </w:r>
      <w:proofErr w:type="gramStart"/>
      <w:r w:rsidRPr="00FD0E35">
        <w:rPr>
          <w:rFonts w:ascii="Gotham" w:hAnsi="Gotham" w:cs="Arial"/>
          <w:sz w:val="19"/>
          <w:szCs w:val="19"/>
        </w:rPr>
        <w:t>hará</w:t>
      </w:r>
      <w:proofErr w:type="gramEnd"/>
      <w:r w:rsidRPr="00FD0E35">
        <w:rPr>
          <w:rFonts w:ascii="Gotham" w:hAnsi="Gotham" w:cs="Arial"/>
          <w:sz w:val="19"/>
          <w:szCs w:val="19"/>
        </w:rPr>
        <w:t xml:space="preserve"> extensiva la prohibición.</w:t>
      </w:r>
    </w:p>
    <w:p w14:paraId="3A474E05" w14:textId="77777777" w:rsidR="009B5E39" w:rsidRDefault="009B5E39" w:rsidP="009B5E39">
      <w:pPr>
        <w:widowControl w:val="0"/>
        <w:autoSpaceDE w:val="0"/>
        <w:autoSpaceDN w:val="0"/>
        <w:ind w:left="284" w:right="283"/>
        <w:jc w:val="both"/>
        <w:rPr>
          <w:rFonts w:ascii="Gotham" w:hAnsi="Gotham" w:cs="Arial"/>
          <w:sz w:val="19"/>
          <w:szCs w:val="19"/>
        </w:rPr>
      </w:pPr>
    </w:p>
    <w:p w14:paraId="3A474E06"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119.</w:t>
      </w:r>
      <w:r w:rsidRPr="00FD0E35">
        <w:rPr>
          <w:rFonts w:ascii="Gotham" w:hAnsi="Gotham" w:cs="Arial"/>
          <w:sz w:val="19"/>
          <w:szCs w:val="19"/>
        </w:rPr>
        <w:t xml:space="preserve"> Cuando algún espectador, con ánimo de originar una falsa alarma entre el público, lance alguna voz que por su naturaleza infunda pánico, será sancionado con multa de veinte veces el salario mínimo, excepto en los casos previstos por leyes especiales, sin perjuicio de proceder conforme a la legislación penal</w:t>
      </w:r>
    </w:p>
    <w:p w14:paraId="3A474E07" w14:textId="77777777" w:rsidR="009B5E39" w:rsidRDefault="009B5E39" w:rsidP="009B5E39">
      <w:pPr>
        <w:widowControl w:val="0"/>
        <w:autoSpaceDE w:val="0"/>
        <w:autoSpaceDN w:val="0"/>
        <w:ind w:left="284" w:right="283"/>
        <w:jc w:val="both"/>
        <w:rPr>
          <w:rFonts w:ascii="Gotham" w:hAnsi="Gotham" w:cs="Arial"/>
          <w:sz w:val="19"/>
          <w:szCs w:val="19"/>
        </w:rPr>
      </w:pPr>
    </w:p>
    <w:p w14:paraId="3A474E08" w14:textId="77777777" w:rsidR="009B5E39" w:rsidRPr="00FD0E35"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lastRenderedPageBreak/>
        <w:t xml:space="preserve">Artículo 120. </w:t>
      </w:r>
      <w:r w:rsidRPr="00FD0E35">
        <w:rPr>
          <w:rFonts w:ascii="Gotham" w:hAnsi="Gotham" w:cs="Arial"/>
          <w:sz w:val="19"/>
          <w:szCs w:val="19"/>
        </w:rPr>
        <w:t xml:space="preserve">El público que asista a eventos deportivos no deberá de arrojar objetos a las canchas, pistas u otros lugares, asimismo, el espectador deberá abstenerse de invadirlos, guardará la debida compostura. </w:t>
      </w:r>
    </w:p>
    <w:p w14:paraId="3A474E09" w14:textId="77777777" w:rsidR="009B5E39" w:rsidRDefault="009B5E39" w:rsidP="009B5E39">
      <w:pPr>
        <w:widowControl w:val="0"/>
        <w:autoSpaceDE w:val="0"/>
        <w:autoSpaceDN w:val="0"/>
        <w:ind w:left="284" w:right="283"/>
        <w:jc w:val="both"/>
        <w:rPr>
          <w:rFonts w:ascii="Gotham" w:hAnsi="Gotham" w:cs="Arial"/>
          <w:sz w:val="19"/>
          <w:szCs w:val="19"/>
        </w:rPr>
      </w:pPr>
    </w:p>
    <w:p w14:paraId="3A474E0A"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121.</w:t>
      </w:r>
      <w:r w:rsidRPr="0035657F">
        <w:rPr>
          <w:rFonts w:ascii="Gotham" w:hAnsi="Gotham" w:cs="Arial"/>
          <w:sz w:val="19"/>
          <w:szCs w:val="19"/>
        </w:rPr>
        <w:t xml:space="preserve"> EI Ayuntamiento dictará las disposiciones que considere pertinentes sobre el particular para los locales cerrados, abiertos y vías públicas de acuerdo a las condiciones del evento de que se trate para que pueda desarrollarse con toda normalidad.</w:t>
      </w:r>
    </w:p>
    <w:p w14:paraId="3A474E0B" w14:textId="77777777" w:rsidR="009B5E39" w:rsidRDefault="009B5E39" w:rsidP="009B5E39">
      <w:pPr>
        <w:widowControl w:val="0"/>
        <w:autoSpaceDE w:val="0"/>
        <w:autoSpaceDN w:val="0"/>
        <w:ind w:left="284" w:right="283"/>
        <w:jc w:val="both"/>
        <w:rPr>
          <w:rFonts w:ascii="Gotham" w:hAnsi="Gotham" w:cs="Arial"/>
          <w:sz w:val="19"/>
          <w:szCs w:val="19"/>
        </w:rPr>
      </w:pPr>
    </w:p>
    <w:p w14:paraId="3A474E0C"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122.</w:t>
      </w:r>
      <w:r w:rsidRPr="0035657F">
        <w:rPr>
          <w:rFonts w:ascii="Gotham" w:hAnsi="Gotham" w:cs="Arial"/>
          <w:sz w:val="19"/>
          <w:szCs w:val="19"/>
        </w:rPr>
        <w:t xml:space="preserve"> Los asistentes a espectáculos públicos o diversiones, tienen el derecho de presentar al Ayuntamiento, cualquier queja, a que haya lugar por deficiencias en las instalaciones o en servicios ofrecidos por la empresa que resolverá lo conducente.</w:t>
      </w:r>
    </w:p>
    <w:p w14:paraId="3A474E0D" w14:textId="77777777" w:rsidR="009B5E39" w:rsidRDefault="009B5E39" w:rsidP="009B5E39">
      <w:pPr>
        <w:widowControl w:val="0"/>
        <w:autoSpaceDE w:val="0"/>
        <w:autoSpaceDN w:val="0"/>
        <w:ind w:left="284" w:right="283"/>
        <w:jc w:val="both"/>
        <w:rPr>
          <w:rFonts w:ascii="Gotham" w:hAnsi="Gotham" w:cs="Arial"/>
          <w:sz w:val="19"/>
          <w:szCs w:val="19"/>
        </w:rPr>
      </w:pPr>
    </w:p>
    <w:p w14:paraId="3A474E0E" w14:textId="77777777" w:rsidR="009B5E39" w:rsidRDefault="009B5E39" w:rsidP="009B5E39">
      <w:pPr>
        <w:widowControl w:val="0"/>
        <w:autoSpaceDE w:val="0"/>
        <w:autoSpaceDN w:val="0"/>
        <w:ind w:left="284" w:right="283"/>
        <w:jc w:val="both"/>
        <w:rPr>
          <w:rFonts w:ascii="Gotham" w:hAnsi="Gotham" w:cs="Arial"/>
          <w:sz w:val="19"/>
          <w:szCs w:val="19"/>
        </w:rPr>
      </w:pPr>
    </w:p>
    <w:p w14:paraId="3A474E0F" w14:textId="77777777" w:rsidR="009B5E39" w:rsidRPr="00C004D5" w:rsidRDefault="009B5E39" w:rsidP="009B5E39">
      <w:pPr>
        <w:widowControl w:val="0"/>
        <w:autoSpaceDE w:val="0"/>
        <w:autoSpaceDN w:val="0"/>
        <w:ind w:left="284" w:right="283"/>
        <w:jc w:val="center"/>
        <w:rPr>
          <w:rFonts w:ascii="Gotham" w:hAnsi="Gotham" w:cs="Arial"/>
          <w:b/>
          <w:sz w:val="19"/>
          <w:szCs w:val="19"/>
        </w:rPr>
      </w:pPr>
      <w:r w:rsidRPr="00C004D5">
        <w:rPr>
          <w:rFonts w:ascii="Gotham" w:hAnsi="Gotham" w:cs="Arial"/>
          <w:b/>
          <w:sz w:val="19"/>
          <w:szCs w:val="19"/>
        </w:rPr>
        <w:t>CAPITULO XII</w:t>
      </w:r>
    </w:p>
    <w:p w14:paraId="3A474E10" w14:textId="77777777" w:rsidR="009B5E39" w:rsidRPr="00C004D5" w:rsidRDefault="009B5E39" w:rsidP="009B5E39">
      <w:pPr>
        <w:widowControl w:val="0"/>
        <w:autoSpaceDE w:val="0"/>
        <w:autoSpaceDN w:val="0"/>
        <w:ind w:left="284" w:right="283"/>
        <w:jc w:val="center"/>
        <w:rPr>
          <w:rFonts w:ascii="Gotham" w:hAnsi="Gotham" w:cs="Arial"/>
          <w:b/>
          <w:sz w:val="19"/>
          <w:szCs w:val="19"/>
        </w:rPr>
      </w:pPr>
      <w:r w:rsidRPr="00C004D5">
        <w:rPr>
          <w:rFonts w:ascii="Gotham" w:hAnsi="Gotham" w:cs="Arial"/>
          <w:b/>
          <w:sz w:val="19"/>
          <w:szCs w:val="19"/>
        </w:rPr>
        <w:t>DE la intervención del Ayuntamiento en los Centros de Espectáculos y diversiones.</w:t>
      </w:r>
    </w:p>
    <w:p w14:paraId="3A474E11" w14:textId="77777777" w:rsidR="009B5E39" w:rsidRPr="0035657F" w:rsidRDefault="009B5E39" w:rsidP="009B5E39">
      <w:pPr>
        <w:widowControl w:val="0"/>
        <w:autoSpaceDE w:val="0"/>
        <w:autoSpaceDN w:val="0"/>
        <w:ind w:left="284" w:right="283"/>
        <w:jc w:val="both"/>
        <w:rPr>
          <w:rFonts w:ascii="Gotham" w:hAnsi="Gotham" w:cs="Arial"/>
          <w:sz w:val="19"/>
          <w:szCs w:val="19"/>
        </w:rPr>
      </w:pPr>
    </w:p>
    <w:p w14:paraId="3A474E12"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123.</w:t>
      </w:r>
      <w:r w:rsidRPr="0035657F">
        <w:rPr>
          <w:rFonts w:ascii="Gotham" w:hAnsi="Gotham" w:cs="Arial"/>
          <w:sz w:val="19"/>
          <w:szCs w:val="19"/>
        </w:rPr>
        <w:t xml:space="preserve"> Tendrán libre acceso a cualquier espectáculo o centro diversiones, en el municipio de Tonalá. Jalisco, los Presidente Municipal, Regidores, Secretario General, Sindico, Tesorero, Oficiales Mayores, Director de Inspección y Vigilancia, Jefe de Reglamentos, así como los agentes de policía, inspectores e interventores municipales. Quienes se acreditaran debidamente ante la empresa el cargo que se ostenta.</w:t>
      </w:r>
    </w:p>
    <w:p w14:paraId="3A474E13" w14:textId="77777777" w:rsidR="009B5E39" w:rsidRDefault="009B5E39" w:rsidP="009B5E39">
      <w:pPr>
        <w:widowControl w:val="0"/>
        <w:autoSpaceDE w:val="0"/>
        <w:autoSpaceDN w:val="0"/>
        <w:ind w:left="284" w:right="283"/>
        <w:jc w:val="both"/>
        <w:rPr>
          <w:rFonts w:ascii="Gotham" w:hAnsi="Gotham" w:cs="Arial"/>
          <w:sz w:val="19"/>
          <w:szCs w:val="19"/>
        </w:rPr>
      </w:pPr>
    </w:p>
    <w:p w14:paraId="3A474E14"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124.</w:t>
      </w:r>
      <w:r w:rsidRPr="0035657F">
        <w:rPr>
          <w:rFonts w:ascii="Gotham" w:hAnsi="Gotham" w:cs="Arial"/>
          <w:sz w:val="19"/>
          <w:szCs w:val="19"/>
        </w:rPr>
        <w:t xml:space="preserve"> EI Ayuntamiento intervendrá en los centros de espectáculos y diversiones, para cuidar el debido cumplimiento del presente reglamento y las demás disposiciones relativas. Así</w:t>
      </w:r>
      <w:r w:rsidR="00883EC2">
        <w:rPr>
          <w:rFonts w:ascii="Gotham" w:hAnsi="Gotham" w:cs="Arial"/>
          <w:sz w:val="19"/>
          <w:szCs w:val="19"/>
        </w:rPr>
        <w:t xml:space="preserve"> </w:t>
      </w:r>
      <w:r w:rsidRPr="0035657F">
        <w:rPr>
          <w:rFonts w:ascii="Gotham" w:hAnsi="Gotham" w:cs="Arial"/>
          <w:sz w:val="19"/>
          <w:szCs w:val="19"/>
        </w:rPr>
        <w:t>como la seguridad, la comodidad y en general los intereses del público.</w:t>
      </w:r>
    </w:p>
    <w:p w14:paraId="3A474E15" w14:textId="77777777" w:rsidR="009B5E39" w:rsidRDefault="009B5E39" w:rsidP="009B5E39">
      <w:pPr>
        <w:widowControl w:val="0"/>
        <w:autoSpaceDE w:val="0"/>
        <w:autoSpaceDN w:val="0"/>
        <w:ind w:left="284" w:right="283"/>
        <w:jc w:val="both"/>
        <w:rPr>
          <w:rFonts w:ascii="Gotham" w:hAnsi="Gotham" w:cs="Arial"/>
          <w:sz w:val="19"/>
          <w:szCs w:val="19"/>
        </w:rPr>
      </w:pPr>
    </w:p>
    <w:p w14:paraId="3A474E16"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125.</w:t>
      </w:r>
      <w:r w:rsidRPr="0035657F">
        <w:rPr>
          <w:rFonts w:ascii="Gotham" w:hAnsi="Gotham" w:cs="Arial"/>
          <w:sz w:val="19"/>
          <w:szCs w:val="19"/>
        </w:rPr>
        <w:t xml:space="preserve"> Para los efectos del cumplimiento del artículo 124, el Ayuntamiento dispondrá de Inspección y Vigilancia en todos los centros de espectáculos y diversiones. El mismo señalará</w:t>
      </w:r>
      <w:r w:rsidR="00883EC2">
        <w:rPr>
          <w:rFonts w:ascii="Gotham" w:hAnsi="Gotham" w:cs="Arial"/>
          <w:sz w:val="19"/>
          <w:szCs w:val="19"/>
        </w:rPr>
        <w:t xml:space="preserve"> </w:t>
      </w:r>
      <w:r w:rsidRPr="0035657F">
        <w:rPr>
          <w:rFonts w:ascii="Gotham" w:hAnsi="Gotham" w:cs="Arial"/>
          <w:sz w:val="19"/>
          <w:szCs w:val="19"/>
        </w:rPr>
        <w:t>los casos en que deba nombrarse un inspector autoridad para un espectáculo determinado, quien decidirá sobre las cuestiones que puedan surgir, debiendo acatarse sus determinaciones mínimas que serán de su exclusiva responsabilidad, si llega a mandarse varios inspectores, se señalará cuál es el facultado para tomar decisiones.</w:t>
      </w:r>
    </w:p>
    <w:p w14:paraId="3A474E17" w14:textId="77777777" w:rsidR="009B5E39" w:rsidRDefault="009B5E39" w:rsidP="009B5E39">
      <w:pPr>
        <w:widowControl w:val="0"/>
        <w:autoSpaceDE w:val="0"/>
        <w:autoSpaceDN w:val="0"/>
        <w:ind w:left="284" w:right="283"/>
        <w:jc w:val="both"/>
        <w:rPr>
          <w:rFonts w:ascii="Gotham" w:hAnsi="Gotham" w:cs="Arial"/>
          <w:sz w:val="19"/>
          <w:szCs w:val="19"/>
        </w:rPr>
      </w:pPr>
    </w:p>
    <w:p w14:paraId="3A474E18"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35657F">
        <w:rPr>
          <w:rFonts w:ascii="Gotham" w:hAnsi="Gotham" w:cs="Arial"/>
          <w:sz w:val="19"/>
          <w:szCs w:val="19"/>
        </w:rPr>
        <w:t>Asimismo, se determinará a que empresas deberá enviarse un interventor de la tesorería municipal, para efectos de la recaudación de los tributos municipales</w:t>
      </w:r>
    </w:p>
    <w:p w14:paraId="3A474E19" w14:textId="77777777" w:rsidR="009B5E39" w:rsidRDefault="009B5E39" w:rsidP="009B5E39">
      <w:pPr>
        <w:widowControl w:val="0"/>
        <w:autoSpaceDE w:val="0"/>
        <w:autoSpaceDN w:val="0"/>
        <w:ind w:left="284" w:right="283"/>
        <w:jc w:val="both"/>
        <w:rPr>
          <w:rFonts w:ascii="Gotham" w:hAnsi="Gotham" w:cs="Arial"/>
          <w:sz w:val="19"/>
          <w:szCs w:val="19"/>
        </w:rPr>
      </w:pPr>
    </w:p>
    <w:p w14:paraId="3A474E1A"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126.</w:t>
      </w:r>
      <w:r w:rsidRPr="0035657F">
        <w:rPr>
          <w:rFonts w:ascii="Gotham" w:hAnsi="Gotham" w:cs="Arial"/>
          <w:sz w:val="19"/>
          <w:szCs w:val="19"/>
        </w:rPr>
        <w:t xml:space="preserve"> Las fuerzas de seguridad del Ayuntamiento que concurran a los espectáculos públicos estarán bajo las órdenes directas de sus superiores coordinando sus acciones a efecto de garantizar la seguridad de los espectadores. </w:t>
      </w:r>
    </w:p>
    <w:p w14:paraId="3A474E1B" w14:textId="77777777" w:rsidR="009B5E39" w:rsidRDefault="009B5E39" w:rsidP="009B5E39">
      <w:pPr>
        <w:widowControl w:val="0"/>
        <w:autoSpaceDE w:val="0"/>
        <w:autoSpaceDN w:val="0"/>
        <w:ind w:left="284" w:right="283"/>
        <w:jc w:val="both"/>
        <w:rPr>
          <w:rFonts w:ascii="Gotham" w:hAnsi="Gotham" w:cs="Arial"/>
          <w:sz w:val="19"/>
          <w:szCs w:val="19"/>
        </w:rPr>
      </w:pPr>
    </w:p>
    <w:p w14:paraId="3A474E1C"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35657F">
        <w:rPr>
          <w:rFonts w:ascii="Gotham" w:hAnsi="Gotham" w:cs="Arial"/>
          <w:sz w:val="19"/>
          <w:szCs w:val="19"/>
        </w:rPr>
        <w:t>El inspector que presida el espectáculo podrá disponer de las fuerzas de seguridad para exigir la estricta observancia de los reglamentos, y el cumplimiento de las resoluciones que dicte durante el desempeño de sus funciones.</w:t>
      </w:r>
    </w:p>
    <w:p w14:paraId="3A474E1D" w14:textId="77777777" w:rsidR="009B5E39" w:rsidRDefault="009B5E39" w:rsidP="009B5E39">
      <w:pPr>
        <w:widowControl w:val="0"/>
        <w:autoSpaceDE w:val="0"/>
        <w:autoSpaceDN w:val="0"/>
        <w:ind w:left="284" w:right="283"/>
        <w:jc w:val="both"/>
        <w:rPr>
          <w:rFonts w:ascii="Gotham" w:hAnsi="Gotham" w:cs="Arial"/>
          <w:sz w:val="19"/>
          <w:szCs w:val="19"/>
        </w:rPr>
      </w:pPr>
    </w:p>
    <w:p w14:paraId="3A474E1E"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127.</w:t>
      </w:r>
      <w:r w:rsidRPr="0035657F">
        <w:rPr>
          <w:rFonts w:ascii="Gotham" w:hAnsi="Gotham" w:cs="Arial"/>
          <w:sz w:val="19"/>
          <w:szCs w:val="19"/>
        </w:rPr>
        <w:t xml:space="preserve"> Si durante el espectáculo se comete alguna falta, escándalo, desorden o delito, el inspector que preside dictará en su caso las medidas correspondientes de acuerdo a la gravedad del incidente, expulsando o consignando, cuando el caso lo amerite a la persona o personas que lo provocaron.</w:t>
      </w:r>
    </w:p>
    <w:p w14:paraId="3A474E1F" w14:textId="77777777" w:rsidR="009B5E39" w:rsidRDefault="009B5E39" w:rsidP="009B5E39">
      <w:pPr>
        <w:widowControl w:val="0"/>
        <w:autoSpaceDE w:val="0"/>
        <w:autoSpaceDN w:val="0"/>
        <w:ind w:left="284" w:right="283"/>
        <w:jc w:val="both"/>
        <w:rPr>
          <w:rFonts w:ascii="Gotham" w:hAnsi="Gotham" w:cs="Arial"/>
          <w:sz w:val="19"/>
          <w:szCs w:val="19"/>
        </w:rPr>
      </w:pPr>
    </w:p>
    <w:p w14:paraId="3A474E20"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128.</w:t>
      </w:r>
      <w:r w:rsidRPr="0035657F">
        <w:rPr>
          <w:rFonts w:ascii="Gotham" w:hAnsi="Gotham" w:cs="Arial"/>
          <w:sz w:val="19"/>
          <w:szCs w:val="19"/>
        </w:rPr>
        <w:t xml:space="preserve"> Tanto el Ayuntamiento como las empresas, deben negar el ingreso a los centros de espectáculos y diversiones a las personas que se presenten en notorio estado de ebriedad o drogadicción.</w:t>
      </w:r>
    </w:p>
    <w:p w14:paraId="3A474E21" w14:textId="77777777" w:rsidR="009B5E39" w:rsidRDefault="009B5E39" w:rsidP="009B5E39">
      <w:pPr>
        <w:widowControl w:val="0"/>
        <w:autoSpaceDE w:val="0"/>
        <w:autoSpaceDN w:val="0"/>
        <w:ind w:left="284" w:right="283"/>
        <w:jc w:val="both"/>
        <w:rPr>
          <w:rFonts w:ascii="Gotham" w:hAnsi="Gotham" w:cs="Arial"/>
          <w:sz w:val="19"/>
          <w:szCs w:val="19"/>
        </w:rPr>
      </w:pPr>
    </w:p>
    <w:p w14:paraId="3A474E22"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129.</w:t>
      </w:r>
      <w:r w:rsidRPr="0035657F">
        <w:rPr>
          <w:rFonts w:ascii="Gotham" w:hAnsi="Gotham" w:cs="Arial"/>
          <w:sz w:val="19"/>
          <w:szCs w:val="19"/>
        </w:rPr>
        <w:t xml:space="preserve"> Queda al prudente arbitrio del inspector que presida el espectáculo, resolver los conflictos que se susciten en cualquiera de los siguientes casos:</w:t>
      </w:r>
    </w:p>
    <w:p w14:paraId="3A474E23" w14:textId="77777777" w:rsidR="009B5E39" w:rsidRDefault="009B5E39" w:rsidP="009B5E39">
      <w:pPr>
        <w:widowControl w:val="0"/>
        <w:autoSpaceDE w:val="0"/>
        <w:autoSpaceDN w:val="0"/>
        <w:ind w:left="1134" w:right="283" w:hanging="850"/>
        <w:jc w:val="both"/>
        <w:rPr>
          <w:rFonts w:ascii="Gotham" w:hAnsi="Gotham" w:cs="Arial"/>
          <w:sz w:val="19"/>
          <w:szCs w:val="19"/>
        </w:rPr>
      </w:pPr>
    </w:p>
    <w:p w14:paraId="3A474E24"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 </w:t>
      </w:r>
      <w:r>
        <w:rPr>
          <w:rFonts w:ascii="Gotham" w:hAnsi="Gotham" w:cs="Arial"/>
          <w:sz w:val="19"/>
          <w:szCs w:val="19"/>
        </w:rPr>
        <w:tab/>
      </w:r>
      <w:r w:rsidRPr="0035657F">
        <w:rPr>
          <w:rFonts w:ascii="Gotham" w:hAnsi="Gotham" w:cs="Arial"/>
          <w:sz w:val="19"/>
          <w:szCs w:val="19"/>
        </w:rPr>
        <w:t>Cuando un autor se oponga a que una obra suya anunciada se presente</w:t>
      </w:r>
    </w:p>
    <w:p w14:paraId="3A474E25"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II. </w:t>
      </w:r>
      <w:r>
        <w:rPr>
          <w:rFonts w:ascii="Gotham" w:hAnsi="Gotham" w:cs="Arial"/>
          <w:sz w:val="19"/>
          <w:szCs w:val="19"/>
        </w:rPr>
        <w:tab/>
      </w:r>
      <w:r w:rsidRPr="0035657F">
        <w:rPr>
          <w:rFonts w:ascii="Gotham" w:hAnsi="Gotham" w:cs="Arial"/>
          <w:sz w:val="19"/>
          <w:szCs w:val="19"/>
        </w:rPr>
        <w:t>Cuando una empresa pretenda alterar o suspender el espectáculo autorizado.</w:t>
      </w:r>
    </w:p>
    <w:p w14:paraId="3A474E26"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III. </w:t>
      </w:r>
      <w:r>
        <w:rPr>
          <w:rFonts w:ascii="Gotham" w:hAnsi="Gotham" w:cs="Arial"/>
          <w:sz w:val="19"/>
          <w:szCs w:val="19"/>
        </w:rPr>
        <w:tab/>
      </w:r>
      <w:r w:rsidRPr="0035657F">
        <w:rPr>
          <w:rFonts w:ascii="Gotham" w:hAnsi="Gotham" w:cs="Arial"/>
          <w:sz w:val="19"/>
          <w:szCs w:val="19"/>
        </w:rPr>
        <w:t>Cuando un artista anunciado se niegue a tomar parte en el espectáculo.</w:t>
      </w:r>
    </w:p>
    <w:p w14:paraId="3A474E27"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IV. </w:t>
      </w:r>
      <w:r>
        <w:rPr>
          <w:rFonts w:ascii="Gotham" w:hAnsi="Gotham" w:cs="Arial"/>
          <w:sz w:val="19"/>
          <w:szCs w:val="19"/>
        </w:rPr>
        <w:tab/>
      </w:r>
      <w:r w:rsidRPr="0035657F">
        <w:rPr>
          <w:rFonts w:ascii="Gotham" w:hAnsi="Gotham" w:cs="Arial"/>
          <w:sz w:val="19"/>
          <w:szCs w:val="19"/>
        </w:rPr>
        <w:t>Cuando un espectador reclame la devolución del importe de su ingreso de acuerdo a lo señalado en el presente reglamento; y</w:t>
      </w:r>
    </w:p>
    <w:p w14:paraId="3A474E28" w14:textId="77777777" w:rsidR="009B5E39" w:rsidRPr="0035657F" w:rsidRDefault="009B5E39" w:rsidP="009B5E39">
      <w:pPr>
        <w:widowControl w:val="0"/>
        <w:autoSpaceDE w:val="0"/>
        <w:autoSpaceDN w:val="0"/>
        <w:ind w:left="1134" w:right="283" w:hanging="850"/>
        <w:jc w:val="both"/>
        <w:rPr>
          <w:rFonts w:ascii="Gotham" w:hAnsi="Gotham" w:cs="Arial"/>
          <w:sz w:val="19"/>
          <w:szCs w:val="19"/>
        </w:rPr>
      </w:pPr>
      <w:r w:rsidRPr="0035657F">
        <w:rPr>
          <w:rFonts w:ascii="Gotham" w:hAnsi="Gotham" w:cs="Arial"/>
          <w:sz w:val="19"/>
          <w:szCs w:val="19"/>
        </w:rPr>
        <w:t xml:space="preserve">V. </w:t>
      </w:r>
      <w:r>
        <w:rPr>
          <w:rFonts w:ascii="Gotham" w:hAnsi="Gotham" w:cs="Arial"/>
          <w:sz w:val="19"/>
          <w:szCs w:val="19"/>
        </w:rPr>
        <w:tab/>
      </w:r>
      <w:r w:rsidRPr="0035657F">
        <w:rPr>
          <w:rFonts w:ascii="Gotham" w:hAnsi="Gotham" w:cs="Arial"/>
          <w:sz w:val="19"/>
          <w:szCs w:val="19"/>
        </w:rPr>
        <w:t>En general, en cualquier otro caso inclusive los no contemplados en el presente reglamento</w:t>
      </w:r>
    </w:p>
    <w:p w14:paraId="3A474E29" w14:textId="77777777" w:rsidR="009B5E39" w:rsidRDefault="009B5E39" w:rsidP="009B5E39">
      <w:pPr>
        <w:widowControl w:val="0"/>
        <w:autoSpaceDE w:val="0"/>
        <w:autoSpaceDN w:val="0"/>
        <w:ind w:left="284" w:right="283"/>
        <w:jc w:val="both"/>
        <w:rPr>
          <w:rFonts w:ascii="Gotham" w:hAnsi="Gotham" w:cs="Arial"/>
          <w:sz w:val="19"/>
          <w:szCs w:val="19"/>
        </w:rPr>
      </w:pPr>
    </w:p>
    <w:p w14:paraId="3A474E2A"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130.</w:t>
      </w:r>
      <w:r w:rsidRPr="0035657F">
        <w:rPr>
          <w:rFonts w:ascii="Gotham" w:hAnsi="Gotham" w:cs="Arial"/>
          <w:sz w:val="19"/>
          <w:szCs w:val="19"/>
        </w:rPr>
        <w:t xml:space="preserve"> El inspector que se comisiona a un espectáculo tiene facultades para permitir la suspensión del mismo, por causa de fuerza mayor</w:t>
      </w:r>
    </w:p>
    <w:p w14:paraId="3A474E2B" w14:textId="77777777" w:rsidR="009B5E39" w:rsidRDefault="009B5E39" w:rsidP="009B5E39">
      <w:pPr>
        <w:widowControl w:val="0"/>
        <w:autoSpaceDE w:val="0"/>
        <w:autoSpaceDN w:val="0"/>
        <w:ind w:left="284" w:right="283"/>
        <w:jc w:val="both"/>
        <w:rPr>
          <w:rFonts w:ascii="Gotham" w:hAnsi="Gotham" w:cs="Arial"/>
          <w:sz w:val="19"/>
          <w:szCs w:val="19"/>
        </w:rPr>
      </w:pPr>
    </w:p>
    <w:p w14:paraId="3A474E2C" w14:textId="3D008A6D"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 xml:space="preserve">Artículo 131. </w:t>
      </w:r>
      <w:r w:rsidRPr="00C004D5">
        <w:rPr>
          <w:rFonts w:ascii="Gotham" w:hAnsi="Gotham" w:cs="Arial"/>
          <w:sz w:val="19"/>
          <w:szCs w:val="19"/>
        </w:rPr>
        <w:t>T</w:t>
      </w:r>
      <w:r w:rsidRPr="0035657F">
        <w:rPr>
          <w:rFonts w:ascii="Gotham" w:hAnsi="Gotham" w:cs="Arial"/>
          <w:sz w:val="19"/>
          <w:szCs w:val="19"/>
        </w:rPr>
        <w:t xml:space="preserve">odos los inspectores comisionados en los términos de este ordenamiento deberán rendir a la </w:t>
      </w:r>
      <w:r w:rsidR="0015568D" w:rsidRPr="0035657F">
        <w:rPr>
          <w:rFonts w:ascii="Gotham" w:hAnsi="Gotham" w:cs="Arial"/>
          <w:sz w:val="19"/>
          <w:szCs w:val="19"/>
        </w:rPr>
        <w:t>Dirección</w:t>
      </w:r>
      <w:r w:rsidRPr="0035657F">
        <w:rPr>
          <w:rFonts w:ascii="Gotham" w:hAnsi="Gotham" w:cs="Arial"/>
          <w:sz w:val="19"/>
          <w:szCs w:val="19"/>
        </w:rPr>
        <w:t xml:space="preserve"> y/o jefatura de inspección y vigilancia, un informe de actividades de cada evento al que asistan, dando cuenta de todas las novedades.</w:t>
      </w:r>
    </w:p>
    <w:p w14:paraId="3A474E2D" w14:textId="77777777" w:rsidR="009B5E39" w:rsidRDefault="009B5E39" w:rsidP="009B5E39">
      <w:pPr>
        <w:widowControl w:val="0"/>
        <w:autoSpaceDE w:val="0"/>
        <w:autoSpaceDN w:val="0"/>
        <w:ind w:left="284" w:right="283"/>
        <w:jc w:val="both"/>
        <w:rPr>
          <w:rFonts w:ascii="Gotham" w:hAnsi="Gotham" w:cs="Arial"/>
          <w:sz w:val="19"/>
          <w:szCs w:val="19"/>
        </w:rPr>
      </w:pPr>
    </w:p>
    <w:p w14:paraId="3A474E2E"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132.</w:t>
      </w:r>
      <w:r w:rsidRPr="0035657F">
        <w:rPr>
          <w:rFonts w:ascii="Gotham" w:hAnsi="Gotham" w:cs="Arial"/>
          <w:sz w:val="19"/>
          <w:szCs w:val="19"/>
        </w:rPr>
        <w:t xml:space="preserve"> A juicio del Ayuntamiento, podrá negarse o suspenderse la presentación de espectáculos o diversiones, conforme a los fines de este reglamento y por causa de interés público.</w:t>
      </w:r>
    </w:p>
    <w:p w14:paraId="3A474E2F" w14:textId="77777777" w:rsidR="009B5E39" w:rsidRDefault="009B5E39" w:rsidP="009B5E39">
      <w:pPr>
        <w:widowControl w:val="0"/>
        <w:autoSpaceDE w:val="0"/>
        <w:autoSpaceDN w:val="0"/>
        <w:ind w:left="284" w:right="283"/>
        <w:jc w:val="both"/>
        <w:rPr>
          <w:rFonts w:ascii="Gotham" w:hAnsi="Gotham" w:cs="Arial"/>
          <w:sz w:val="19"/>
          <w:szCs w:val="19"/>
        </w:rPr>
      </w:pPr>
    </w:p>
    <w:p w14:paraId="3A474E30"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133.</w:t>
      </w:r>
      <w:r w:rsidRPr="0035657F">
        <w:rPr>
          <w:rFonts w:ascii="Gotham" w:hAnsi="Gotham" w:cs="Arial"/>
          <w:sz w:val="19"/>
          <w:szCs w:val="19"/>
        </w:rPr>
        <w:t xml:space="preserve"> El ayuntamiento, señalará las diversiones o espectáculos a los que se designará un médico para que certifique el estado de salud de los participantes, suspendiendo la presentación si no reúnen las condiciones físicas aceptables según el espectáculo de que se trate, si se encuentran en estado de ebriedad, o bajo el influjo de alguna droga o enervante.</w:t>
      </w:r>
    </w:p>
    <w:p w14:paraId="3A474E31" w14:textId="77777777" w:rsidR="009B5E39" w:rsidRDefault="009B5E39" w:rsidP="009B5E39">
      <w:pPr>
        <w:widowControl w:val="0"/>
        <w:autoSpaceDE w:val="0"/>
        <w:autoSpaceDN w:val="0"/>
        <w:ind w:left="284" w:right="283"/>
        <w:jc w:val="both"/>
        <w:rPr>
          <w:rFonts w:ascii="Gotham" w:hAnsi="Gotham" w:cs="Arial"/>
          <w:sz w:val="19"/>
          <w:szCs w:val="19"/>
        </w:rPr>
      </w:pPr>
    </w:p>
    <w:p w14:paraId="3A474E32"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35657F">
        <w:rPr>
          <w:rFonts w:ascii="Gotham" w:hAnsi="Gotham" w:cs="Arial"/>
          <w:sz w:val="19"/>
          <w:szCs w:val="19"/>
        </w:rPr>
        <w:t>En estos casos el médico actuará en coordinación con el inspector que presida.</w:t>
      </w:r>
    </w:p>
    <w:p w14:paraId="3A474E33" w14:textId="77777777" w:rsidR="009B5E39" w:rsidRDefault="009B5E39" w:rsidP="009B5E39">
      <w:pPr>
        <w:widowControl w:val="0"/>
        <w:autoSpaceDE w:val="0"/>
        <w:autoSpaceDN w:val="0"/>
        <w:ind w:left="284" w:right="283"/>
        <w:jc w:val="both"/>
        <w:rPr>
          <w:rFonts w:ascii="Gotham" w:hAnsi="Gotham" w:cs="Arial"/>
          <w:sz w:val="19"/>
          <w:szCs w:val="19"/>
        </w:rPr>
      </w:pPr>
    </w:p>
    <w:p w14:paraId="3A474E34"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730362">
        <w:rPr>
          <w:rFonts w:ascii="Gotham" w:hAnsi="Gotham" w:cs="Arial"/>
          <w:b/>
          <w:sz w:val="19"/>
          <w:szCs w:val="19"/>
        </w:rPr>
        <w:t>Artículo 134.</w:t>
      </w:r>
      <w:r w:rsidRPr="0035657F">
        <w:rPr>
          <w:rFonts w:ascii="Gotham" w:hAnsi="Gotham" w:cs="Arial"/>
          <w:sz w:val="19"/>
          <w:szCs w:val="19"/>
        </w:rPr>
        <w:t xml:space="preserve"> De igual forma, el Ayuntamiento señalará en qué eventos se requiere que un perito revise el estado de las canchas, pistas, locales e instalaciones, a fin de garantizar la seguridad del público y de los participantes. El inspector suspenderá el evento si no reúnen los requisitos necesarios para su celebración.</w:t>
      </w:r>
    </w:p>
    <w:p w14:paraId="3A474E35" w14:textId="77777777" w:rsidR="009B5E39" w:rsidRDefault="009B5E39" w:rsidP="009B5E39">
      <w:pPr>
        <w:widowControl w:val="0"/>
        <w:autoSpaceDE w:val="0"/>
        <w:autoSpaceDN w:val="0"/>
        <w:ind w:left="284" w:right="283"/>
        <w:jc w:val="both"/>
        <w:rPr>
          <w:rFonts w:ascii="Gotham" w:hAnsi="Gotham" w:cs="Arial"/>
          <w:sz w:val="19"/>
          <w:szCs w:val="19"/>
        </w:rPr>
      </w:pPr>
    </w:p>
    <w:p w14:paraId="3A474E36"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135.</w:t>
      </w:r>
      <w:r w:rsidRPr="0035657F">
        <w:rPr>
          <w:rFonts w:ascii="Gotham" w:hAnsi="Gotham" w:cs="Arial"/>
          <w:sz w:val="19"/>
          <w:szCs w:val="19"/>
        </w:rPr>
        <w:t xml:space="preserve"> El Ayuntamiento determinará los horarios a que se sujetarán quienes presenten espectáculos y diversiones, señalando para el efecto horarios fijos o extraordinarios pagándose por estos últimos lo que determine la ley de ingresos municipales.</w:t>
      </w:r>
    </w:p>
    <w:p w14:paraId="3A474E37" w14:textId="77777777" w:rsidR="009B5E39" w:rsidRDefault="009B5E39" w:rsidP="009B5E39">
      <w:pPr>
        <w:widowControl w:val="0"/>
        <w:autoSpaceDE w:val="0"/>
        <w:autoSpaceDN w:val="0"/>
        <w:ind w:left="284" w:right="283"/>
        <w:jc w:val="both"/>
        <w:rPr>
          <w:rFonts w:ascii="Gotham" w:hAnsi="Gotham" w:cs="Arial"/>
          <w:sz w:val="19"/>
          <w:szCs w:val="19"/>
        </w:rPr>
      </w:pPr>
    </w:p>
    <w:p w14:paraId="3A474E38"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136.</w:t>
      </w:r>
      <w:r w:rsidR="00883EC2">
        <w:rPr>
          <w:rFonts w:ascii="Gotham" w:hAnsi="Gotham" w:cs="Arial"/>
          <w:sz w:val="19"/>
          <w:szCs w:val="19"/>
        </w:rPr>
        <w:t xml:space="preserve"> </w:t>
      </w:r>
      <w:r w:rsidRPr="0035657F">
        <w:rPr>
          <w:rFonts w:ascii="Gotham" w:hAnsi="Gotham" w:cs="Arial"/>
          <w:sz w:val="19"/>
          <w:szCs w:val="19"/>
        </w:rPr>
        <w:t xml:space="preserve">En los boletos de ingreso y en los locales, deberá estar anunciado, por espectáculo o diversión, el </w:t>
      </w:r>
      <w:r w:rsidR="00C9405B" w:rsidRPr="0035657F">
        <w:rPr>
          <w:rFonts w:ascii="Gotham" w:hAnsi="Gotham" w:cs="Arial"/>
          <w:sz w:val="19"/>
          <w:szCs w:val="19"/>
        </w:rPr>
        <w:t>límite</w:t>
      </w:r>
      <w:r w:rsidRPr="0035657F">
        <w:rPr>
          <w:rFonts w:ascii="Gotham" w:hAnsi="Gotham" w:cs="Arial"/>
          <w:sz w:val="19"/>
          <w:szCs w:val="19"/>
        </w:rPr>
        <w:t xml:space="preserve"> mínimo de edad para el acceso</w:t>
      </w:r>
    </w:p>
    <w:p w14:paraId="3A474E39" w14:textId="77777777" w:rsidR="009B5E39" w:rsidRDefault="009B5E39" w:rsidP="009B5E39">
      <w:pPr>
        <w:widowControl w:val="0"/>
        <w:autoSpaceDE w:val="0"/>
        <w:autoSpaceDN w:val="0"/>
        <w:ind w:left="284" w:right="283"/>
        <w:jc w:val="both"/>
        <w:rPr>
          <w:rFonts w:ascii="Gotham" w:hAnsi="Gotham" w:cs="Arial"/>
          <w:sz w:val="19"/>
          <w:szCs w:val="19"/>
        </w:rPr>
      </w:pPr>
    </w:p>
    <w:p w14:paraId="3A474E3A"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137.</w:t>
      </w:r>
      <w:r w:rsidRPr="0035657F">
        <w:rPr>
          <w:rFonts w:ascii="Gotham" w:hAnsi="Gotham" w:cs="Arial"/>
          <w:sz w:val="19"/>
          <w:szCs w:val="19"/>
        </w:rPr>
        <w:t xml:space="preserve"> El Ayuntamiento coadyuvará al cumplimiento de los reglamentos internos de espectáculos o diversiones cuando así proceda, principalmente en lo referente a eventos deportivos o torneos de otra índole.</w:t>
      </w:r>
    </w:p>
    <w:p w14:paraId="3A474E3B" w14:textId="77777777" w:rsidR="009B5E39" w:rsidRDefault="009B5E39" w:rsidP="009B5E39">
      <w:pPr>
        <w:widowControl w:val="0"/>
        <w:autoSpaceDE w:val="0"/>
        <w:autoSpaceDN w:val="0"/>
        <w:ind w:left="284" w:right="283"/>
        <w:jc w:val="both"/>
        <w:rPr>
          <w:rFonts w:ascii="Gotham" w:hAnsi="Gotham" w:cs="Arial"/>
          <w:sz w:val="19"/>
          <w:szCs w:val="19"/>
        </w:rPr>
      </w:pPr>
    </w:p>
    <w:p w14:paraId="3A474E3C"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138.</w:t>
      </w:r>
      <w:r w:rsidRPr="0035657F">
        <w:rPr>
          <w:rFonts w:ascii="Gotham" w:hAnsi="Gotham" w:cs="Arial"/>
          <w:sz w:val="19"/>
          <w:szCs w:val="19"/>
        </w:rPr>
        <w:t xml:space="preserve"> Cualquier aspecto no contemplado en el presente reglamento y que se relacione con lo establecido en el mismo, será turnado y resuelto por el Ayuntamiento. </w:t>
      </w:r>
    </w:p>
    <w:p w14:paraId="3A474E3D" w14:textId="77777777" w:rsidR="009B5E39" w:rsidRDefault="009B5E39" w:rsidP="009B5E39">
      <w:pPr>
        <w:widowControl w:val="0"/>
        <w:autoSpaceDE w:val="0"/>
        <w:autoSpaceDN w:val="0"/>
        <w:ind w:left="284" w:right="283"/>
        <w:jc w:val="both"/>
        <w:rPr>
          <w:rFonts w:ascii="Gotham" w:hAnsi="Gotham" w:cs="Arial"/>
          <w:sz w:val="19"/>
          <w:szCs w:val="19"/>
        </w:rPr>
      </w:pPr>
    </w:p>
    <w:p w14:paraId="3A474E3E"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139.</w:t>
      </w:r>
      <w:r w:rsidRPr="0035657F">
        <w:rPr>
          <w:rFonts w:ascii="Gotham" w:hAnsi="Gotham" w:cs="Arial"/>
          <w:sz w:val="19"/>
          <w:szCs w:val="19"/>
        </w:rPr>
        <w:t xml:space="preserve"> Salvo las sanciones especiales previstas en este ordenamiento u otras leyes, las violaciones a las disposiciones de este reglamento se sancionarán con:</w:t>
      </w:r>
    </w:p>
    <w:p w14:paraId="3A474E3F" w14:textId="77777777" w:rsidR="009B5E39" w:rsidRDefault="009B5E39" w:rsidP="009B5E39">
      <w:pPr>
        <w:widowControl w:val="0"/>
        <w:autoSpaceDE w:val="0"/>
        <w:autoSpaceDN w:val="0"/>
        <w:ind w:left="284" w:right="283"/>
        <w:jc w:val="both"/>
        <w:rPr>
          <w:rFonts w:ascii="Gotham" w:hAnsi="Gotham" w:cs="Arial"/>
          <w:sz w:val="19"/>
          <w:szCs w:val="19"/>
        </w:rPr>
      </w:pPr>
    </w:p>
    <w:p w14:paraId="3A474E40"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 </w:t>
      </w:r>
      <w:r>
        <w:rPr>
          <w:rFonts w:ascii="Gotham" w:hAnsi="Gotham" w:cs="Arial"/>
          <w:sz w:val="19"/>
          <w:szCs w:val="19"/>
        </w:rPr>
        <w:tab/>
      </w:r>
      <w:r w:rsidRPr="0035657F">
        <w:rPr>
          <w:rFonts w:ascii="Gotham" w:hAnsi="Gotham" w:cs="Arial"/>
          <w:sz w:val="19"/>
          <w:szCs w:val="19"/>
        </w:rPr>
        <w:t>Multa de 1 a 20 veces el importe del salario mínimo para este municipio.</w:t>
      </w:r>
    </w:p>
    <w:p w14:paraId="3A474E41"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II. </w:t>
      </w:r>
      <w:r>
        <w:rPr>
          <w:rFonts w:ascii="Gotham" w:hAnsi="Gotham" w:cs="Arial"/>
          <w:sz w:val="19"/>
          <w:szCs w:val="19"/>
        </w:rPr>
        <w:tab/>
      </w:r>
      <w:r w:rsidRPr="0035657F">
        <w:rPr>
          <w:rFonts w:ascii="Gotham" w:hAnsi="Gotham" w:cs="Arial"/>
          <w:sz w:val="19"/>
          <w:szCs w:val="19"/>
        </w:rPr>
        <w:t>Suspensión temporal de las actividades del giro hasta por 15 días.</w:t>
      </w:r>
    </w:p>
    <w:p w14:paraId="3A474E42"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III. </w:t>
      </w:r>
      <w:r>
        <w:rPr>
          <w:rFonts w:ascii="Gotham" w:hAnsi="Gotham" w:cs="Arial"/>
          <w:sz w:val="19"/>
          <w:szCs w:val="19"/>
        </w:rPr>
        <w:tab/>
      </w:r>
      <w:r w:rsidRPr="0035657F">
        <w:rPr>
          <w:rFonts w:ascii="Gotham" w:hAnsi="Gotham" w:cs="Arial"/>
          <w:sz w:val="19"/>
          <w:szCs w:val="19"/>
        </w:rPr>
        <w:t>Revocación de concesión para la explotación del servicio público por parte del infractor.</w:t>
      </w:r>
    </w:p>
    <w:p w14:paraId="3A474E43"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IV. </w:t>
      </w:r>
      <w:r>
        <w:rPr>
          <w:rFonts w:ascii="Gotham" w:hAnsi="Gotham" w:cs="Arial"/>
          <w:sz w:val="19"/>
          <w:szCs w:val="19"/>
        </w:rPr>
        <w:tab/>
      </w:r>
      <w:r w:rsidRPr="0035657F">
        <w:rPr>
          <w:rFonts w:ascii="Gotham" w:hAnsi="Gotham" w:cs="Arial"/>
          <w:sz w:val="19"/>
          <w:szCs w:val="19"/>
        </w:rPr>
        <w:t>Clausura definitiva del giro</w:t>
      </w:r>
    </w:p>
    <w:p w14:paraId="3A474E44" w14:textId="77777777" w:rsidR="009B5E39" w:rsidRPr="0035657F" w:rsidRDefault="009B5E39" w:rsidP="009B5E39">
      <w:pPr>
        <w:widowControl w:val="0"/>
        <w:autoSpaceDE w:val="0"/>
        <w:autoSpaceDN w:val="0"/>
        <w:ind w:left="1134" w:right="283" w:hanging="850"/>
        <w:jc w:val="both"/>
        <w:rPr>
          <w:rFonts w:ascii="Gotham" w:hAnsi="Gotham" w:cs="Arial"/>
          <w:sz w:val="19"/>
          <w:szCs w:val="19"/>
        </w:rPr>
      </w:pPr>
      <w:r w:rsidRPr="0035657F">
        <w:rPr>
          <w:rFonts w:ascii="Gotham" w:hAnsi="Gotham" w:cs="Arial"/>
          <w:sz w:val="19"/>
          <w:szCs w:val="19"/>
        </w:rPr>
        <w:lastRenderedPageBreak/>
        <w:t xml:space="preserve">V. </w:t>
      </w:r>
      <w:r>
        <w:rPr>
          <w:rFonts w:ascii="Gotham" w:hAnsi="Gotham" w:cs="Arial"/>
          <w:sz w:val="19"/>
          <w:szCs w:val="19"/>
        </w:rPr>
        <w:tab/>
      </w:r>
      <w:r w:rsidRPr="0035657F">
        <w:rPr>
          <w:rFonts w:ascii="Gotham" w:hAnsi="Gotham" w:cs="Arial"/>
          <w:sz w:val="19"/>
          <w:szCs w:val="19"/>
        </w:rPr>
        <w:t>Cancelación de la licencia municipal.</w:t>
      </w:r>
    </w:p>
    <w:p w14:paraId="3A474E45" w14:textId="77777777" w:rsidR="009B5E39" w:rsidRDefault="009B5E39" w:rsidP="009B5E39">
      <w:pPr>
        <w:widowControl w:val="0"/>
        <w:autoSpaceDE w:val="0"/>
        <w:autoSpaceDN w:val="0"/>
        <w:ind w:left="284" w:right="283"/>
        <w:jc w:val="both"/>
        <w:rPr>
          <w:rFonts w:ascii="Gotham" w:hAnsi="Gotham" w:cs="Arial"/>
          <w:sz w:val="19"/>
          <w:szCs w:val="19"/>
        </w:rPr>
      </w:pPr>
    </w:p>
    <w:p w14:paraId="3A474E46"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140.</w:t>
      </w:r>
      <w:r w:rsidRPr="0035657F">
        <w:rPr>
          <w:rFonts w:ascii="Gotham" w:hAnsi="Gotham" w:cs="Arial"/>
          <w:sz w:val="19"/>
          <w:szCs w:val="19"/>
        </w:rPr>
        <w:t xml:space="preserve"> El orden enunciado de las sanciones no es obligatorio y una no excluye las demás, por lo tanto, pueden imponerse simultáneamente.</w:t>
      </w:r>
    </w:p>
    <w:p w14:paraId="3A474E47" w14:textId="77777777" w:rsidR="009B5E39" w:rsidRDefault="009B5E39" w:rsidP="009B5E39">
      <w:pPr>
        <w:widowControl w:val="0"/>
        <w:autoSpaceDE w:val="0"/>
        <w:autoSpaceDN w:val="0"/>
        <w:ind w:left="284" w:right="283"/>
        <w:jc w:val="both"/>
        <w:rPr>
          <w:rFonts w:ascii="Gotham" w:hAnsi="Gotham" w:cs="Arial"/>
          <w:sz w:val="19"/>
          <w:szCs w:val="19"/>
        </w:rPr>
      </w:pPr>
    </w:p>
    <w:p w14:paraId="3A474E48"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141.</w:t>
      </w:r>
      <w:r w:rsidRPr="0035657F">
        <w:rPr>
          <w:rFonts w:ascii="Gotham" w:hAnsi="Gotham" w:cs="Arial"/>
          <w:sz w:val="19"/>
          <w:szCs w:val="19"/>
        </w:rPr>
        <w:t xml:space="preserve"> EI Ayuntamiento para determinar la sanción tomará en cuenta la naturaleza de la infracción, si hay o no reincidencia del infractor su posibilidad económica y los perjuicios que se causen a la sociedad con el ilícito causado.</w:t>
      </w:r>
    </w:p>
    <w:p w14:paraId="3A474E49" w14:textId="77777777" w:rsidR="009B5E39" w:rsidRDefault="009B5E39" w:rsidP="009B5E39">
      <w:pPr>
        <w:widowControl w:val="0"/>
        <w:autoSpaceDE w:val="0"/>
        <w:autoSpaceDN w:val="0"/>
        <w:ind w:left="284" w:right="283"/>
        <w:jc w:val="both"/>
        <w:rPr>
          <w:rFonts w:ascii="Gotham" w:hAnsi="Gotham" w:cs="Arial"/>
          <w:sz w:val="19"/>
          <w:szCs w:val="19"/>
        </w:rPr>
      </w:pPr>
    </w:p>
    <w:p w14:paraId="3A474E4A"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142.</w:t>
      </w:r>
      <w:r w:rsidRPr="0035657F">
        <w:rPr>
          <w:rFonts w:ascii="Gotham" w:hAnsi="Gotham" w:cs="Arial"/>
          <w:sz w:val="19"/>
          <w:szCs w:val="19"/>
        </w:rPr>
        <w:t xml:space="preserve"> Si al patrimonio Municipal con motivo de alguna violación, se le causaran daños o perjuicios luego de precisar su importe mediante resolución fundada se requerirá al infractor por su</w:t>
      </w:r>
      <w:r w:rsidRPr="00002A90">
        <w:rPr>
          <w:rFonts w:ascii="Arial" w:hAnsi="Arial" w:cs="Arial"/>
        </w:rPr>
        <w:t xml:space="preserve"> </w:t>
      </w:r>
      <w:r w:rsidRPr="0035657F">
        <w:rPr>
          <w:rFonts w:ascii="Gotham" w:hAnsi="Gotham" w:cs="Arial"/>
          <w:sz w:val="19"/>
          <w:szCs w:val="19"/>
        </w:rPr>
        <w:t>pago. El que deberá efectuar dentro del término de cinco días hábiles en caso de no hacerlo, se iniciará el procedimiento económico-coactivo para ello.</w:t>
      </w:r>
    </w:p>
    <w:p w14:paraId="3A474E4B" w14:textId="77777777" w:rsidR="009B5E39" w:rsidRDefault="009B5E39" w:rsidP="009B5E39">
      <w:pPr>
        <w:widowControl w:val="0"/>
        <w:autoSpaceDE w:val="0"/>
        <w:autoSpaceDN w:val="0"/>
        <w:ind w:left="284" w:right="283"/>
        <w:jc w:val="both"/>
        <w:rPr>
          <w:rFonts w:ascii="Gotham" w:hAnsi="Gotham" w:cs="Arial"/>
          <w:sz w:val="19"/>
          <w:szCs w:val="19"/>
        </w:rPr>
      </w:pPr>
    </w:p>
    <w:p w14:paraId="3A474E4C"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143.</w:t>
      </w:r>
      <w:r w:rsidRPr="0035657F">
        <w:rPr>
          <w:rFonts w:ascii="Gotham" w:hAnsi="Gotham" w:cs="Arial"/>
          <w:sz w:val="19"/>
          <w:szCs w:val="19"/>
        </w:rPr>
        <w:t xml:space="preserve"> La revocación o cancelación de las licencias municipales se ajustarán al procedimiento previsto en la ley de ingresos municipal.</w:t>
      </w:r>
    </w:p>
    <w:p w14:paraId="3A474E4D" w14:textId="77777777" w:rsidR="009B5E39" w:rsidRDefault="009B5E39" w:rsidP="009B5E39">
      <w:pPr>
        <w:widowControl w:val="0"/>
        <w:autoSpaceDE w:val="0"/>
        <w:autoSpaceDN w:val="0"/>
        <w:ind w:left="284" w:right="283"/>
        <w:jc w:val="both"/>
        <w:rPr>
          <w:rFonts w:ascii="Gotham" w:hAnsi="Gotham" w:cs="Arial"/>
          <w:sz w:val="19"/>
          <w:szCs w:val="19"/>
        </w:rPr>
      </w:pPr>
    </w:p>
    <w:p w14:paraId="3A474E4E"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FC5565">
        <w:rPr>
          <w:rFonts w:ascii="Gotham" w:hAnsi="Gotham" w:cs="Arial"/>
          <w:b/>
          <w:sz w:val="19"/>
          <w:szCs w:val="19"/>
        </w:rPr>
        <w:t>Artículo 144.</w:t>
      </w:r>
      <w:r w:rsidRPr="0035657F">
        <w:rPr>
          <w:rFonts w:ascii="Gotham" w:hAnsi="Gotham" w:cs="Arial"/>
          <w:sz w:val="19"/>
          <w:szCs w:val="19"/>
        </w:rPr>
        <w:t xml:space="preserve"> Son motivos de clausura:</w:t>
      </w:r>
    </w:p>
    <w:p w14:paraId="3A474E4F" w14:textId="77777777" w:rsidR="009B5E39" w:rsidRDefault="009B5E39" w:rsidP="009B5E39">
      <w:pPr>
        <w:widowControl w:val="0"/>
        <w:autoSpaceDE w:val="0"/>
        <w:autoSpaceDN w:val="0"/>
        <w:ind w:left="284" w:right="283"/>
        <w:jc w:val="both"/>
        <w:rPr>
          <w:rFonts w:ascii="Gotham" w:hAnsi="Gotham" w:cs="Arial"/>
          <w:sz w:val="19"/>
          <w:szCs w:val="19"/>
        </w:rPr>
      </w:pPr>
    </w:p>
    <w:p w14:paraId="3A474E50"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 </w:t>
      </w:r>
      <w:r>
        <w:rPr>
          <w:rFonts w:ascii="Gotham" w:hAnsi="Gotham" w:cs="Arial"/>
          <w:sz w:val="19"/>
          <w:szCs w:val="19"/>
        </w:rPr>
        <w:tab/>
      </w:r>
      <w:r w:rsidRPr="0035657F">
        <w:rPr>
          <w:rFonts w:ascii="Gotham" w:hAnsi="Gotham" w:cs="Arial"/>
          <w:sz w:val="19"/>
          <w:szCs w:val="19"/>
        </w:rPr>
        <w:t>Carecer de giro, licencia o permiso.</w:t>
      </w:r>
    </w:p>
    <w:p w14:paraId="3A474E51"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II. </w:t>
      </w:r>
      <w:r>
        <w:rPr>
          <w:rFonts w:ascii="Gotham" w:hAnsi="Gotham" w:cs="Arial"/>
          <w:sz w:val="19"/>
          <w:szCs w:val="19"/>
        </w:rPr>
        <w:tab/>
      </w:r>
      <w:r w:rsidRPr="0035657F">
        <w:rPr>
          <w:rFonts w:ascii="Gotham" w:hAnsi="Gotham" w:cs="Arial"/>
          <w:sz w:val="19"/>
          <w:szCs w:val="19"/>
        </w:rPr>
        <w:t>El no refrendo de la licencia o permiso dentro del término que prevé la ley de ingresos.</w:t>
      </w:r>
    </w:p>
    <w:p w14:paraId="3A474E52"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III. </w:t>
      </w:r>
      <w:r>
        <w:rPr>
          <w:rFonts w:ascii="Gotham" w:hAnsi="Gotham" w:cs="Arial"/>
          <w:sz w:val="19"/>
          <w:szCs w:val="19"/>
        </w:rPr>
        <w:tab/>
      </w:r>
      <w:r w:rsidRPr="0035657F">
        <w:rPr>
          <w:rFonts w:ascii="Gotham" w:hAnsi="Gotham" w:cs="Arial"/>
          <w:sz w:val="19"/>
          <w:szCs w:val="19"/>
        </w:rPr>
        <w:t>Explotar el giro en actividad distinta a la que ampara la licencia o permiso.</w:t>
      </w:r>
    </w:p>
    <w:p w14:paraId="3A474E53"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IV. </w:t>
      </w:r>
      <w:r>
        <w:rPr>
          <w:rFonts w:ascii="Gotham" w:hAnsi="Gotham" w:cs="Arial"/>
          <w:sz w:val="19"/>
          <w:szCs w:val="19"/>
        </w:rPr>
        <w:tab/>
      </w:r>
      <w:r w:rsidRPr="0035657F">
        <w:rPr>
          <w:rFonts w:ascii="Gotham" w:hAnsi="Gotham" w:cs="Arial"/>
          <w:sz w:val="19"/>
          <w:szCs w:val="19"/>
        </w:rPr>
        <w:t>Proporcionar datos falsos en la solicitud de licencia o permiso.</w:t>
      </w:r>
    </w:p>
    <w:p w14:paraId="3A474E54"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V. </w:t>
      </w:r>
      <w:r>
        <w:rPr>
          <w:rFonts w:ascii="Gotham" w:hAnsi="Gotham" w:cs="Arial"/>
          <w:sz w:val="19"/>
          <w:szCs w:val="19"/>
        </w:rPr>
        <w:tab/>
      </w:r>
      <w:r w:rsidRPr="0035657F">
        <w:rPr>
          <w:rFonts w:ascii="Gotham" w:hAnsi="Gotham" w:cs="Arial"/>
          <w:sz w:val="19"/>
          <w:szCs w:val="19"/>
        </w:rPr>
        <w:t>Realizar actividades sin autorización sanitaria urgente, cuando se requiera.</w:t>
      </w:r>
    </w:p>
    <w:p w14:paraId="3A474E55"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VI. </w:t>
      </w:r>
      <w:r>
        <w:rPr>
          <w:rFonts w:ascii="Gotham" w:hAnsi="Gotham" w:cs="Arial"/>
          <w:sz w:val="19"/>
          <w:szCs w:val="19"/>
        </w:rPr>
        <w:tab/>
      </w:r>
      <w:r w:rsidRPr="0035657F">
        <w:rPr>
          <w:rFonts w:ascii="Gotham" w:hAnsi="Gotham" w:cs="Arial"/>
          <w:sz w:val="19"/>
          <w:szCs w:val="19"/>
        </w:rPr>
        <w:t>Violar reiteradamente las normas acuerdos y circulares municipales.</w:t>
      </w:r>
    </w:p>
    <w:p w14:paraId="3A474E56"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VII. </w:t>
      </w:r>
      <w:r>
        <w:rPr>
          <w:rFonts w:ascii="Gotham" w:hAnsi="Gotham" w:cs="Arial"/>
          <w:sz w:val="19"/>
          <w:szCs w:val="19"/>
        </w:rPr>
        <w:tab/>
      </w:r>
      <w:r w:rsidRPr="0035657F">
        <w:rPr>
          <w:rFonts w:ascii="Gotham" w:hAnsi="Gotham" w:cs="Arial"/>
          <w:sz w:val="19"/>
          <w:szCs w:val="19"/>
        </w:rPr>
        <w:t>Vender o permitir el consumo de Bebidas embriagantes, con violación a lo establecido en la ley estatal de la materia;</w:t>
      </w:r>
    </w:p>
    <w:p w14:paraId="3A474E57"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VIII. </w:t>
      </w:r>
      <w:r>
        <w:rPr>
          <w:rFonts w:ascii="Gotham" w:hAnsi="Gotham" w:cs="Arial"/>
          <w:sz w:val="19"/>
          <w:szCs w:val="19"/>
        </w:rPr>
        <w:tab/>
      </w:r>
      <w:r w:rsidRPr="0035657F">
        <w:rPr>
          <w:rFonts w:ascii="Gotham" w:hAnsi="Gotham" w:cs="Arial"/>
          <w:sz w:val="19"/>
          <w:szCs w:val="19"/>
        </w:rPr>
        <w:t>Vender o permitir la ingestión de inhalantes, similares o análogos dentro de los locales;</w:t>
      </w:r>
    </w:p>
    <w:p w14:paraId="3A474E58"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IX. </w:t>
      </w:r>
      <w:r>
        <w:rPr>
          <w:rFonts w:ascii="Gotham" w:hAnsi="Gotham" w:cs="Arial"/>
          <w:sz w:val="19"/>
          <w:szCs w:val="19"/>
        </w:rPr>
        <w:tab/>
      </w:r>
      <w:r w:rsidRPr="0035657F">
        <w:rPr>
          <w:rFonts w:ascii="Gotham" w:hAnsi="Gotham" w:cs="Arial"/>
          <w:sz w:val="19"/>
          <w:szCs w:val="19"/>
        </w:rPr>
        <w:t>Trabajar fuera del horario autorizado;</w:t>
      </w:r>
    </w:p>
    <w:p w14:paraId="3A474E59"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X. </w:t>
      </w:r>
      <w:r>
        <w:rPr>
          <w:rFonts w:ascii="Gotham" w:hAnsi="Gotham" w:cs="Arial"/>
          <w:sz w:val="19"/>
          <w:szCs w:val="19"/>
        </w:rPr>
        <w:tab/>
      </w:r>
      <w:r w:rsidRPr="0035657F">
        <w:rPr>
          <w:rFonts w:ascii="Gotham" w:hAnsi="Gotham" w:cs="Arial"/>
          <w:sz w:val="19"/>
          <w:szCs w:val="19"/>
        </w:rPr>
        <w:t>Utilizar aparatos de sonido musicales;</w:t>
      </w:r>
    </w:p>
    <w:p w14:paraId="3A474E5A"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XI. </w:t>
      </w:r>
      <w:r>
        <w:rPr>
          <w:rFonts w:ascii="Gotham" w:hAnsi="Gotham" w:cs="Arial"/>
          <w:sz w:val="19"/>
          <w:szCs w:val="19"/>
        </w:rPr>
        <w:tab/>
      </w:r>
      <w:r w:rsidRPr="0035657F">
        <w:rPr>
          <w:rFonts w:ascii="Gotham" w:hAnsi="Gotham" w:cs="Arial"/>
          <w:sz w:val="19"/>
          <w:szCs w:val="19"/>
        </w:rPr>
        <w:t>Permitir graves faltas contra la moral las buenas costumbres;</w:t>
      </w:r>
    </w:p>
    <w:p w14:paraId="3A474E5B"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XII. </w:t>
      </w:r>
      <w:r>
        <w:rPr>
          <w:rFonts w:ascii="Gotham" w:hAnsi="Gotham" w:cs="Arial"/>
          <w:sz w:val="19"/>
          <w:szCs w:val="19"/>
        </w:rPr>
        <w:tab/>
      </w:r>
      <w:r w:rsidRPr="0035657F">
        <w:rPr>
          <w:rFonts w:ascii="Gotham" w:hAnsi="Gotham" w:cs="Arial"/>
          <w:sz w:val="19"/>
          <w:szCs w:val="19"/>
        </w:rPr>
        <w:t xml:space="preserve">Cambiar de domicilio o el giro o traspasar los derechos sobre el mismo sin autorización del Ayuntamiento; </w:t>
      </w:r>
    </w:p>
    <w:p w14:paraId="3A474E5C" w14:textId="77777777" w:rsidR="009B5E39" w:rsidRPr="0035657F" w:rsidRDefault="009B5E39" w:rsidP="009B5E39">
      <w:pPr>
        <w:widowControl w:val="0"/>
        <w:autoSpaceDE w:val="0"/>
        <w:autoSpaceDN w:val="0"/>
        <w:spacing w:after="120"/>
        <w:ind w:left="1134" w:right="283" w:hanging="850"/>
        <w:jc w:val="both"/>
        <w:rPr>
          <w:rFonts w:ascii="Gotham" w:hAnsi="Gotham" w:cs="Arial"/>
          <w:sz w:val="19"/>
          <w:szCs w:val="19"/>
        </w:rPr>
      </w:pPr>
      <w:r w:rsidRPr="0035657F">
        <w:rPr>
          <w:rFonts w:ascii="Gotham" w:hAnsi="Gotham" w:cs="Arial"/>
          <w:sz w:val="19"/>
          <w:szCs w:val="19"/>
        </w:rPr>
        <w:t xml:space="preserve">XIII. </w:t>
      </w:r>
      <w:r>
        <w:rPr>
          <w:rFonts w:ascii="Gotham" w:hAnsi="Gotham" w:cs="Arial"/>
          <w:sz w:val="19"/>
          <w:szCs w:val="19"/>
        </w:rPr>
        <w:tab/>
        <w:t>L</w:t>
      </w:r>
      <w:r w:rsidRPr="0035657F">
        <w:rPr>
          <w:rFonts w:ascii="Gotham" w:hAnsi="Gotham" w:cs="Arial"/>
          <w:sz w:val="19"/>
          <w:szCs w:val="19"/>
        </w:rPr>
        <w:t>a reiterada negativa a enterar al erario municipal, los atributos que la ley señale;</w:t>
      </w:r>
    </w:p>
    <w:p w14:paraId="3A474E5D" w14:textId="77777777" w:rsidR="009B5E39" w:rsidRPr="0035657F" w:rsidRDefault="009B5E39" w:rsidP="009B5E39">
      <w:pPr>
        <w:widowControl w:val="0"/>
        <w:autoSpaceDE w:val="0"/>
        <w:autoSpaceDN w:val="0"/>
        <w:ind w:left="1134" w:right="283" w:hanging="850"/>
        <w:jc w:val="both"/>
        <w:rPr>
          <w:rFonts w:ascii="Gotham" w:hAnsi="Gotham" w:cs="Arial"/>
          <w:sz w:val="19"/>
          <w:szCs w:val="19"/>
        </w:rPr>
      </w:pPr>
      <w:r w:rsidRPr="0035657F">
        <w:rPr>
          <w:rFonts w:ascii="Gotham" w:hAnsi="Gotham" w:cs="Arial"/>
          <w:sz w:val="19"/>
          <w:szCs w:val="19"/>
        </w:rPr>
        <w:t xml:space="preserve">XIV. </w:t>
      </w:r>
      <w:r>
        <w:rPr>
          <w:rFonts w:ascii="Gotham" w:hAnsi="Gotham" w:cs="Arial"/>
          <w:sz w:val="19"/>
          <w:szCs w:val="19"/>
        </w:rPr>
        <w:tab/>
      </w:r>
      <w:r w:rsidRPr="0035657F">
        <w:rPr>
          <w:rFonts w:ascii="Gotham" w:hAnsi="Gotham" w:cs="Arial"/>
          <w:sz w:val="19"/>
          <w:szCs w:val="19"/>
        </w:rPr>
        <w:t xml:space="preserve">Los demás que establezcan otras leyes y reglamentos. </w:t>
      </w:r>
    </w:p>
    <w:p w14:paraId="3A474E5E" w14:textId="77777777" w:rsidR="009B5E39" w:rsidRDefault="009B5E39" w:rsidP="009B5E39">
      <w:pPr>
        <w:widowControl w:val="0"/>
        <w:autoSpaceDE w:val="0"/>
        <w:autoSpaceDN w:val="0"/>
        <w:ind w:left="284" w:right="283"/>
        <w:jc w:val="both"/>
        <w:rPr>
          <w:rFonts w:ascii="Gotham" w:hAnsi="Gotham" w:cs="Arial"/>
          <w:sz w:val="19"/>
          <w:szCs w:val="19"/>
        </w:rPr>
      </w:pPr>
    </w:p>
    <w:p w14:paraId="3A474E5F" w14:textId="77777777" w:rsidR="009B5E39" w:rsidRDefault="009B5E39" w:rsidP="009B5E39">
      <w:pPr>
        <w:widowControl w:val="0"/>
        <w:autoSpaceDE w:val="0"/>
        <w:autoSpaceDN w:val="0"/>
        <w:ind w:left="284" w:right="283"/>
        <w:jc w:val="both"/>
        <w:rPr>
          <w:rFonts w:ascii="Gotham" w:hAnsi="Gotham" w:cs="Arial"/>
          <w:sz w:val="19"/>
          <w:szCs w:val="19"/>
        </w:rPr>
      </w:pPr>
    </w:p>
    <w:p w14:paraId="3A474E60" w14:textId="77777777" w:rsidR="009B5E39" w:rsidRPr="0035657F" w:rsidRDefault="009B5E39" w:rsidP="009B5E39">
      <w:pPr>
        <w:widowControl w:val="0"/>
        <w:autoSpaceDE w:val="0"/>
        <w:autoSpaceDN w:val="0"/>
        <w:ind w:left="284" w:right="283"/>
        <w:jc w:val="center"/>
        <w:rPr>
          <w:rFonts w:ascii="Gotham" w:hAnsi="Gotham" w:cs="Arial"/>
          <w:sz w:val="19"/>
          <w:szCs w:val="19"/>
        </w:rPr>
      </w:pPr>
      <w:r w:rsidRPr="0035657F">
        <w:rPr>
          <w:rFonts w:ascii="Gotham" w:hAnsi="Gotham" w:cs="Arial"/>
          <w:sz w:val="19"/>
          <w:szCs w:val="19"/>
        </w:rPr>
        <w:t>TRANSITORIOS</w:t>
      </w:r>
    </w:p>
    <w:p w14:paraId="3A474E61" w14:textId="77777777" w:rsidR="009B5E39" w:rsidRDefault="009B5E39" w:rsidP="009B5E39">
      <w:pPr>
        <w:widowControl w:val="0"/>
        <w:autoSpaceDE w:val="0"/>
        <w:autoSpaceDN w:val="0"/>
        <w:ind w:left="284" w:right="283"/>
        <w:jc w:val="both"/>
        <w:rPr>
          <w:rFonts w:ascii="Gotham" w:hAnsi="Gotham" w:cs="Arial"/>
          <w:sz w:val="19"/>
          <w:szCs w:val="19"/>
        </w:rPr>
      </w:pPr>
    </w:p>
    <w:p w14:paraId="3A474E62"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35657F">
        <w:rPr>
          <w:rFonts w:ascii="Gotham" w:hAnsi="Gotham" w:cs="Arial"/>
          <w:sz w:val="19"/>
          <w:szCs w:val="19"/>
        </w:rPr>
        <w:t xml:space="preserve">PRIMERO. </w:t>
      </w:r>
      <w:r w:rsidRPr="003D1DA7">
        <w:rPr>
          <w:rFonts w:ascii="Gotham" w:hAnsi="Gotham" w:cs="Arial"/>
          <w:sz w:val="19"/>
          <w:szCs w:val="19"/>
        </w:rPr>
        <w:t>Las presentes reformas</w:t>
      </w:r>
      <w:r w:rsidRPr="0035657F">
        <w:rPr>
          <w:rFonts w:ascii="Gotham" w:hAnsi="Gotham" w:cs="Arial"/>
          <w:sz w:val="19"/>
          <w:szCs w:val="19"/>
        </w:rPr>
        <w:t xml:space="preserve"> entrará</w:t>
      </w:r>
      <w:r>
        <w:rPr>
          <w:rFonts w:ascii="Gotham" w:hAnsi="Gotham" w:cs="Arial"/>
          <w:sz w:val="19"/>
          <w:szCs w:val="19"/>
        </w:rPr>
        <w:t>n</w:t>
      </w:r>
      <w:r w:rsidRPr="0035657F">
        <w:rPr>
          <w:rFonts w:ascii="Gotham" w:hAnsi="Gotham" w:cs="Arial"/>
          <w:sz w:val="19"/>
          <w:szCs w:val="19"/>
        </w:rPr>
        <w:t>, en vigor una al día siguiente de su publicación en la gaceta Municipal Tlahtolli.</w:t>
      </w:r>
    </w:p>
    <w:p w14:paraId="3A474E63" w14:textId="77777777" w:rsidR="009B5E39" w:rsidRDefault="009B5E39" w:rsidP="009B5E39">
      <w:pPr>
        <w:widowControl w:val="0"/>
        <w:autoSpaceDE w:val="0"/>
        <w:autoSpaceDN w:val="0"/>
        <w:ind w:left="284" w:right="283"/>
        <w:jc w:val="both"/>
        <w:rPr>
          <w:rFonts w:ascii="Gotham" w:hAnsi="Gotham" w:cs="Arial"/>
          <w:sz w:val="19"/>
          <w:szCs w:val="19"/>
        </w:rPr>
      </w:pPr>
    </w:p>
    <w:p w14:paraId="3A474E64" w14:textId="77777777" w:rsidR="009B5E39" w:rsidRPr="0035657F" w:rsidRDefault="009B5E39" w:rsidP="009B5E39">
      <w:pPr>
        <w:widowControl w:val="0"/>
        <w:autoSpaceDE w:val="0"/>
        <w:autoSpaceDN w:val="0"/>
        <w:ind w:left="284" w:right="283"/>
        <w:jc w:val="both"/>
        <w:rPr>
          <w:rFonts w:ascii="Gotham" w:hAnsi="Gotham" w:cs="Arial"/>
          <w:sz w:val="19"/>
          <w:szCs w:val="19"/>
        </w:rPr>
      </w:pPr>
      <w:r w:rsidRPr="0035657F">
        <w:rPr>
          <w:rFonts w:ascii="Gotham" w:hAnsi="Gotham" w:cs="Arial"/>
          <w:sz w:val="19"/>
          <w:szCs w:val="19"/>
        </w:rPr>
        <w:t>SEGUNDO. Remítase el presente Reglamento al C. Presidente Municipal, para los efectos de su obligatoria promulgación y publicación, de conformidad con el artículo 42 fracción IV de la Ley del Gobierno y la Administración Pública Municipal del Estado de Jalisco.</w:t>
      </w:r>
    </w:p>
    <w:p w14:paraId="3A474E65" w14:textId="77777777" w:rsidR="009B5E39" w:rsidRPr="000C2E78" w:rsidRDefault="009B5E39" w:rsidP="009B5E39">
      <w:pPr>
        <w:jc w:val="both"/>
        <w:rPr>
          <w:rFonts w:ascii="Gotham" w:hAnsi="Gotham"/>
          <w:b/>
          <w:sz w:val="20"/>
          <w:szCs w:val="20"/>
        </w:rPr>
      </w:pPr>
    </w:p>
    <w:p w14:paraId="3A474E66" w14:textId="77777777" w:rsidR="009B5E39" w:rsidRPr="000C2E78" w:rsidRDefault="009B5E39" w:rsidP="009B5E39">
      <w:pPr>
        <w:jc w:val="both"/>
        <w:rPr>
          <w:rFonts w:ascii="Gotham" w:hAnsi="Gotham"/>
          <w:b/>
          <w:sz w:val="20"/>
          <w:szCs w:val="20"/>
        </w:rPr>
      </w:pPr>
      <w:r w:rsidRPr="000C2E78">
        <w:rPr>
          <w:rFonts w:ascii="Gotham" w:hAnsi="Gotham"/>
          <w:sz w:val="20"/>
          <w:szCs w:val="20"/>
        </w:rPr>
        <w:lastRenderedPageBreak/>
        <w:t>Se propone</w:t>
      </w:r>
      <w:r w:rsidRPr="000C2E78">
        <w:rPr>
          <w:rFonts w:ascii="Gotham" w:hAnsi="Gotham"/>
          <w:b/>
          <w:sz w:val="20"/>
          <w:szCs w:val="20"/>
        </w:rPr>
        <w:t xml:space="preserve"> ABROGAR el Reglamento de Anuncios para el Municipio de Tonalá, Jalisco; y se crea el nuevo REGLAMENTO DE ANUNCIOS Y PUBLICIDAD EXTERIOR PARA EL MUNICIPIO DE TONALÁ, JALISCO; el cual queda en los en los términos siguientes:</w:t>
      </w:r>
    </w:p>
    <w:p w14:paraId="3A474E67" w14:textId="77777777" w:rsidR="009B5E39" w:rsidRPr="000C2E78" w:rsidRDefault="009B5E39" w:rsidP="009B5E39">
      <w:pPr>
        <w:jc w:val="both"/>
        <w:rPr>
          <w:rFonts w:ascii="Gotham" w:hAnsi="Gotham"/>
          <w:b/>
          <w:sz w:val="20"/>
          <w:szCs w:val="20"/>
        </w:rPr>
      </w:pPr>
    </w:p>
    <w:p w14:paraId="3A474E68" w14:textId="77777777" w:rsidR="009B5E39" w:rsidRPr="00AB293A" w:rsidRDefault="009B5E39" w:rsidP="009B5E39">
      <w:pPr>
        <w:autoSpaceDE w:val="0"/>
        <w:autoSpaceDN w:val="0"/>
        <w:adjustRightInd w:val="0"/>
        <w:ind w:left="284" w:right="283"/>
        <w:jc w:val="center"/>
        <w:rPr>
          <w:rFonts w:ascii="Gotham" w:hAnsi="Gotham" w:cs="Arial"/>
          <w:b/>
          <w:sz w:val="19"/>
          <w:szCs w:val="19"/>
        </w:rPr>
      </w:pPr>
      <w:r w:rsidRPr="00AB293A">
        <w:rPr>
          <w:rFonts w:ascii="Gotham" w:hAnsi="Gotham" w:cs="Arial"/>
          <w:b/>
          <w:sz w:val="19"/>
          <w:szCs w:val="19"/>
        </w:rPr>
        <w:t>REGLAMENTO DE ANUNCIOS Y PUBLICIDAD EXTERIOR PARA EL MUNICIPIO DE TONALÁ, JALISCO</w:t>
      </w:r>
    </w:p>
    <w:p w14:paraId="3A474E69" w14:textId="77777777" w:rsidR="009B5E39" w:rsidRPr="00AB293A" w:rsidRDefault="009B5E39" w:rsidP="009B5E39">
      <w:pPr>
        <w:autoSpaceDE w:val="0"/>
        <w:autoSpaceDN w:val="0"/>
        <w:adjustRightInd w:val="0"/>
        <w:ind w:left="284" w:right="283"/>
        <w:jc w:val="center"/>
        <w:rPr>
          <w:rFonts w:ascii="Gotham" w:hAnsi="Gotham" w:cs="Arial"/>
          <w:sz w:val="19"/>
          <w:szCs w:val="19"/>
        </w:rPr>
      </w:pPr>
    </w:p>
    <w:p w14:paraId="3A474E6A" w14:textId="77777777" w:rsidR="009B5E39" w:rsidRPr="00AB293A" w:rsidRDefault="009B5E39" w:rsidP="009B5E39">
      <w:pPr>
        <w:autoSpaceDE w:val="0"/>
        <w:autoSpaceDN w:val="0"/>
        <w:adjustRightInd w:val="0"/>
        <w:ind w:left="284" w:right="283"/>
        <w:jc w:val="center"/>
        <w:rPr>
          <w:rFonts w:ascii="Gotham" w:hAnsi="Gotham" w:cs="Arial"/>
          <w:b/>
          <w:bCs/>
          <w:sz w:val="19"/>
          <w:szCs w:val="19"/>
        </w:rPr>
      </w:pPr>
      <w:r w:rsidRPr="00AB293A">
        <w:rPr>
          <w:rFonts w:ascii="Gotham" w:hAnsi="Gotham" w:cs="Arial"/>
          <w:b/>
          <w:bCs/>
          <w:sz w:val="19"/>
          <w:szCs w:val="19"/>
        </w:rPr>
        <w:t>TITULO PRIMERO</w:t>
      </w:r>
    </w:p>
    <w:p w14:paraId="3A474E6B" w14:textId="77777777" w:rsidR="009B5E39" w:rsidRPr="00AB293A" w:rsidRDefault="009B5E39" w:rsidP="009B5E39">
      <w:pPr>
        <w:autoSpaceDE w:val="0"/>
        <w:autoSpaceDN w:val="0"/>
        <w:adjustRightInd w:val="0"/>
        <w:ind w:left="284" w:right="283"/>
        <w:jc w:val="center"/>
        <w:rPr>
          <w:rFonts w:ascii="Gotham" w:hAnsi="Gotham" w:cs="Arial"/>
          <w:sz w:val="19"/>
          <w:szCs w:val="19"/>
        </w:rPr>
      </w:pPr>
      <w:r w:rsidRPr="00AB293A">
        <w:rPr>
          <w:rFonts w:ascii="Gotham" w:hAnsi="Gotham" w:cs="Arial"/>
          <w:sz w:val="19"/>
          <w:szCs w:val="19"/>
        </w:rPr>
        <w:t>Disposiciones Generales</w:t>
      </w:r>
    </w:p>
    <w:p w14:paraId="3A474E6C" w14:textId="77777777" w:rsidR="009B5E39" w:rsidRPr="00AB293A" w:rsidRDefault="009B5E39" w:rsidP="009B5E39">
      <w:pPr>
        <w:autoSpaceDE w:val="0"/>
        <w:autoSpaceDN w:val="0"/>
        <w:adjustRightInd w:val="0"/>
        <w:ind w:left="284" w:right="283"/>
        <w:jc w:val="center"/>
        <w:rPr>
          <w:rFonts w:ascii="Gotham" w:hAnsi="Gotham" w:cs="Arial"/>
          <w:sz w:val="19"/>
          <w:szCs w:val="19"/>
        </w:rPr>
      </w:pPr>
    </w:p>
    <w:p w14:paraId="3A474E6D" w14:textId="77777777" w:rsidR="009B5E39" w:rsidRPr="00AB293A" w:rsidRDefault="009B5E39" w:rsidP="009B5E39">
      <w:pPr>
        <w:autoSpaceDE w:val="0"/>
        <w:autoSpaceDN w:val="0"/>
        <w:adjustRightInd w:val="0"/>
        <w:ind w:left="284" w:right="283"/>
        <w:jc w:val="center"/>
        <w:rPr>
          <w:rFonts w:ascii="Gotham" w:hAnsi="Gotham" w:cs="Arial"/>
          <w:b/>
          <w:bCs/>
          <w:sz w:val="19"/>
          <w:szCs w:val="19"/>
        </w:rPr>
      </w:pPr>
      <w:r w:rsidRPr="00AB293A">
        <w:rPr>
          <w:rFonts w:ascii="Gotham" w:hAnsi="Gotham" w:cs="Arial"/>
          <w:b/>
          <w:bCs/>
          <w:sz w:val="19"/>
          <w:szCs w:val="19"/>
        </w:rPr>
        <w:t>CAPITULO UNICO</w:t>
      </w:r>
    </w:p>
    <w:p w14:paraId="3A474E6E" w14:textId="77777777" w:rsidR="009B5E39" w:rsidRPr="00AB293A" w:rsidRDefault="009B5E39" w:rsidP="009B5E39">
      <w:pPr>
        <w:autoSpaceDE w:val="0"/>
        <w:autoSpaceDN w:val="0"/>
        <w:adjustRightInd w:val="0"/>
        <w:ind w:left="284" w:right="283"/>
        <w:jc w:val="center"/>
        <w:rPr>
          <w:rFonts w:ascii="Gotham" w:hAnsi="Gotham" w:cs="Arial"/>
          <w:sz w:val="19"/>
          <w:szCs w:val="19"/>
        </w:rPr>
      </w:pPr>
      <w:r w:rsidRPr="00AB293A">
        <w:rPr>
          <w:rFonts w:ascii="Gotham" w:hAnsi="Gotham" w:cs="Arial"/>
          <w:sz w:val="19"/>
          <w:szCs w:val="19"/>
        </w:rPr>
        <w:t>Disposiciones Generales</w:t>
      </w:r>
      <w:r w:rsidR="00883EC2">
        <w:rPr>
          <w:rFonts w:ascii="Gotham" w:hAnsi="Gotham" w:cs="Arial"/>
          <w:sz w:val="19"/>
          <w:szCs w:val="19"/>
        </w:rPr>
        <w:t xml:space="preserve"> </w:t>
      </w:r>
    </w:p>
    <w:p w14:paraId="3A474E6F"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70"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1°. </w:t>
      </w:r>
      <w:r w:rsidRPr="00AB293A">
        <w:rPr>
          <w:rFonts w:ascii="Gotham" w:hAnsi="Gotham" w:cs="Arial"/>
          <w:sz w:val="19"/>
          <w:szCs w:val="19"/>
        </w:rPr>
        <w:t>El presente Reglamento se expide con fundamento en lo dispuesto por el artículo 115, fracción II de la Constitución Política de los Estados Unidos Mexicanos; el artículo 73 de la Constitución Política del Estado de Jalisco, los artículos 38 fracción I, 40 fracción II, 41 fracción I, 42 en sus siete fracciones, 44 en sus ocho fracciones y 47 fracción V y demás relativos de la Ley del Gobierno y la Administración Pública Municipal del Estado de Jalisco, el artículo 82 del Reglamento de Gobierno y la Administración Pública Municipal del Ayuntamiento de Tonalá, así como las disposiciones relativas de la Ley Federal Sobre Monumentos y Zonas Arqueológicos, Artísticos e Históricos y su Reglamento, la Ley de Caminos, Puentes y Autotransporte Federal, así como las demás leyes y reglamentos que le sean aplicables.</w:t>
      </w:r>
    </w:p>
    <w:p w14:paraId="3A474E71"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72"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2°. </w:t>
      </w:r>
      <w:r w:rsidRPr="00AB293A">
        <w:rPr>
          <w:rFonts w:ascii="Gotham" w:hAnsi="Gotham" w:cs="Arial"/>
          <w:sz w:val="19"/>
          <w:szCs w:val="19"/>
        </w:rPr>
        <w:t>Las Disposiciones de este reglamento son de interés público y de observancia general en todo el municipio y tienen por objeto regular la fijación, conservación, ubicación, características, requisitos, colocación y distribución de anuncios en los sitios o lugares a los que tenga acceso el público o que sean visibles desde la vía pública, con los siguientes propósitos:</w:t>
      </w:r>
    </w:p>
    <w:p w14:paraId="3A474E73" w14:textId="77777777" w:rsidR="009B5E39" w:rsidRPr="00AB293A" w:rsidRDefault="009B5E39" w:rsidP="009B5E39">
      <w:pPr>
        <w:pStyle w:val="Default"/>
        <w:ind w:left="284" w:right="283"/>
        <w:rPr>
          <w:rFonts w:ascii="Gotham" w:hAnsi="Gotham"/>
          <w:sz w:val="19"/>
          <w:szCs w:val="19"/>
        </w:rPr>
      </w:pPr>
    </w:p>
    <w:p w14:paraId="3A474E74"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Garantizar a toda persona el derecho humano a un medio ambiente adecuado para su desarrollo y bienestar libre de contaminación visual y auditiva; </w:t>
      </w:r>
    </w:p>
    <w:p w14:paraId="3A474E75"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Salvaguardar la imagen urbana del municipio en su expresión arquitectónica, protegiendo la calidad del paisaje urbano y rural con relación a la publicidad;</w:t>
      </w:r>
    </w:p>
    <w:p w14:paraId="3A474E76"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Preservar la integridad física de los gobernados a fin de regular la comunicación visual colocada en las vías públicas que incida de manera directa o indirecta en accidentes viales. </w:t>
      </w:r>
    </w:p>
    <w:p w14:paraId="3A474E77"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Proteger el Legado Histórico y Artístico, tales como la Zona de Monumentos Históricos, los Sitios y Zonas de Patrimonio Cultural Edificado;</w:t>
      </w:r>
    </w:p>
    <w:p w14:paraId="3A474E78"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Regular la fijación, instalación, conservación, ubicación, distribución, exhibición, emisión, características y requisitos de anuncios en los sitios o lugares a los que tenga acceso el público o que sean visibles o audibles desde la vía pública, para lo cual se establecen los siguientes lineamientos: </w:t>
      </w:r>
    </w:p>
    <w:p w14:paraId="3A474E79"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Asegurar que los anuncios producidos para la publicidad de negocios, locales comerciales, productos y demás actividades económicas y sociales, sean planeados, dosificados, diseñados y ubicados en la forma, </w:t>
      </w:r>
      <w:r w:rsidRPr="00AB293A">
        <w:rPr>
          <w:rFonts w:ascii="Gotham" w:hAnsi="Gotham"/>
          <w:bCs/>
          <w:color w:val="auto"/>
          <w:sz w:val="19"/>
          <w:szCs w:val="19"/>
        </w:rPr>
        <w:t>dimensiones</w:t>
      </w:r>
      <w:r w:rsidRPr="00AB293A">
        <w:rPr>
          <w:rFonts w:ascii="Gotham" w:hAnsi="Gotham"/>
          <w:b/>
          <w:bCs/>
          <w:color w:val="auto"/>
          <w:sz w:val="19"/>
          <w:szCs w:val="19"/>
        </w:rPr>
        <w:t xml:space="preserve"> </w:t>
      </w:r>
      <w:r w:rsidRPr="00AB293A">
        <w:rPr>
          <w:rFonts w:ascii="Gotham" w:hAnsi="Gotham"/>
          <w:color w:val="auto"/>
          <w:sz w:val="19"/>
          <w:szCs w:val="19"/>
        </w:rPr>
        <w:t xml:space="preserve">y en los sitios dispuestos y que no representen daño alguno a la población, ni atenten contra la identidad y los elementos esenciales de la composición, como son el equilibrio, la claridad, el orden y la estética que guarda cada espacio territorial del Municipio; </w:t>
      </w:r>
    </w:p>
    <w:p w14:paraId="3A474E7A"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Coadyuvar a que el municipio ofrezca una imagen urbana ordenada, clara, limpia, libre de elementos que la deterioren visualmente y libre de contaminantes de tipo visuales y auditivos; </w:t>
      </w:r>
    </w:p>
    <w:p w14:paraId="3A474E7B"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color w:val="auto"/>
          <w:sz w:val="19"/>
          <w:szCs w:val="19"/>
        </w:rPr>
        <w:lastRenderedPageBreak/>
        <w:t xml:space="preserve">Salvaguardar la imagen visual del Municipio, protegiendo la calidad del paisaje urbano con relación a la publicidad, buscando en todo momento el derecho a un medio ambiente digno y saludable; </w:t>
      </w:r>
    </w:p>
    <w:p w14:paraId="3A474E7C"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Proteger el legado Histórico y Artístico, así como los sitios patrimoniales y emblemáticos del Municipio; </w:t>
      </w:r>
    </w:p>
    <w:p w14:paraId="3A474E7D"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Proporcionar a la población del Municipio, la certeza de que los anuncios que se utilizan en la publicidad, cualquiera que ésta sea, se fabriquen, con los cálculos estructurales y normas de seguridad vigentes, para que cubran cualquier riesgo que puedan representar, y que en su caso los que se reproduzcan o emitan, cumplan con las normas correspondientes a efecto de que no se genere un daño ecológico o se vulnere la paz y el orden público; </w:t>
      </w:r>
    </w:p>
    <w:p w14:paraId="3A474E7E"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sz w:val="19"/>
          <w:szCs w:val="19"/>
        </w:rPr>
        <w:t>La publicidad es una actividad que fomenta el desarrollo económico de la ciudad, cuyo impacto debe ser armónico con el paisaje urbano, por lo cual debe ser regulada en beneficio del interés general;</w:t>
      </w:r>
    </w:p>
    <w:p w14:paraId="3A474E7F"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Regular, registrar, inspeccionar, verificar, apercibir, sancionar y otorgar la licencia correspondiente previo pago de derechos, para la colocación de los anuncios, de acuerdo a las disposiciones del presente reglamento y demás disposiciones legales y reglamentarias aplicables; </w:t>
      </w:r>
    </w:p>
    <w:p w14:paraId="3A474E80"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Crear un medio urbano coherente y homogéneo, en el que prevalezca un sentido de unidad dentro de la diversidad, por zonas claramente definidas en el municipio; y </w:t>
      </w:r>
    </w:p>
    <w:p w14:paraId="3A474E81" w14:textId="77777777" w:rsidR="009B5E39" w:rsidRPr="00AB293A" w:rsidRDefault="009B5E39" w:rsidP="009B5E39">
      <w:pPr>
        <w:pStyle w:val="Default"/>
        <w:numPr>
          <w:ilvl w:val="0"/>
          <w:numId w:val="177"/>
        </w:numPr>
        <w:spacing w:after="120"/>
        <w:ind w:left="1560" w:right="283" w:hanging="426"/>
        <w:jc w:val="both"/>
        <w:rPr>
          <w:rFonts w:ascii="Gotham" w:hAnsi="Gotham"/>
          <w:color w:val="auto"/>
          <w:sz w:val="19"/>
          <w:szCs w:val="19"/>
        </w:rPr>
      </w:pPr>
      <w:r w:rsidRPr="00AB293A">
        <w:rPr>
          <w:rFonts w:ascii="Gotham" w:hAnsi="Gotham"/>
          <w:color w:val="auto"/>
          <w:sz w:val="19"/>
          <w:szCs w:val="19"/>
        </w:rPr>
        <w:t>Respetar las características de la fisonomía urbana existente, evitando rupturas y contrastes que atenten a los valores históricos, fisonómicos y de identidad del municipio.</w:t>
      </w:r>
    </w:p>
    <w:p w14:paraId="3A474E82"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bookmarkStart w:id="19" w:name="_Hlk150862444"/>
      <w:r w:rsidRPr="00AB293A">
        <w:rPr>
          <w:rFonts w:ascii="Gotham" w:hAnsi="Gotham" w:cs="Arial"/>
          <w:sz w:val="19"/>
          <w:szCs w:val="19"/>
        </w:rPr>
        <w:t>Fijar las normas básicas para la preservación, protección, recuperación, mejoramiento y consolidación de la imagen urbana del Municipio, tanto de los elementos que lo componen como de las instalaciones y de la actividad publicitaria exterior y anuncios</w:t>
      </w:r>
      <w:bookmarkEnd w:id="19"/>
      <w:r w:rsidRPr="00AB293A">
        <w:rPr>
          <w:rFonts w:ascii="Gotham" w:hAnsi="Gotham" w:cs="Arial"/>
          <w:sz w:val="19"/>
          <w:szCs w:val="19"/>
        </w:rPr>
        <w:t xml:space="preserve">, cualquiera que sea el sistema utilizado para la transmisión del mensaje en terrenos públicos o privados que sean visibles o audibles desde la vía pública; </w:t>
      </w:r>
    </w:p>
    <w:p w14:paraId="3A474E83"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Propiciar el desarrollo sustentable y armónico del ambiente urbano del Municipio y establecer las bases para garantizar el derecho de toda persona a vivir en un medio ambiente adecuado para su desarrollo, salud y bienestar; </w:t>
      </w:r>
    </w:p>
    <w:p w14:paraId="3A474E84"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Proteger, promover y mejorar la imagen de las vías públicas, preservar el paisaje de la contaminación visual y la protección del medio ambiente, promover la seguridad de los conductores y usuarios en general, la defensa de la vida y bienes de los ciudadanos; </w:t>
      </w:r>
    </w:p>
    <w:p w14:paraId="3A474E85" w14:textId="77777777" w:rsidR="009B5E39" w:rsidRPr="00AB293A" w:rsidRDefault="009B5E39" w:rsidP="009B5E39">
      <w:pPr>
        <w:pStyle w:val="Prrafodelista"/>
        <w:numPr>
          <w:ilvl w:val="0"/>
          <w:numId w:val="173"/>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Prevenir daños a las personas y sus bienes, afectaciones a terceros, vía pública, mobiliario urbano, servicios públicos, espacios y edificios públicos en relación con anuncios, rótulos y publicidad. </w:t>
      </w:r>
    </w:p>
    <w:p w14:paraId="3A474E86" w14:textId="77777777" w:rsidR="009B5E39" w:rsidRPr="00AB293A" w:rsidRDefault="009B5E39" w:rsidP="009B5E39">
      <w:pPr>
        <w:pStyle w:val="Prrafodelista"/>
        <w:numPr>
          <w:ilvl w:val="0"/>
          <w:numId w:val="173"/>
        </w:numPr>
        <w:autoSpaceDE w:val="0"/>
        <w:autoSpaceDN w:val="0"/>
        <w:adjustRightInd w:val="0"/>
        <w:ind w:left="1134" w:right="283" w:hanging="850"/>
        <w:contextualSpacing w:val="0"/>
        <w:jc w:val="both"/>
        <w:rPr>
          <w:rFonts w:ascii="Gotham" w:hAnsi="Gotham" w:cs="Arial"/>
          <w:sz w:val="19"/>
          <w:szCs w:val="19"/>
        </w:rPr>
      </w:pPr>
      <w:r w:rsidRPr="00AB293A">
        <w:rPr>
          <w:rFonts w:ascii="Gotham" w:hAnsi="Gotham" w:cs="Arial"/>
          <w:sz w:val="19"/>
          <w:szCs w:val="19"/>
        </w:rPr>
        <w:t xml:space="preserve">Establecer medidas de control y de seguridad para garantizar el cumplimiento y la aplicación de este reglamento y de las disposiciones que de él se deriven, así como para la imposición de las sanciones administrativas y penales que correspondan. </w:t>
      </w:r>
    </w:p>
    <w:p w14:paraId="3A474E87"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88"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b/>
          <w:bCs/>
          <w:sz w:val="19"/>
          <w:szCs w:val="19"/>
        </w:rPr>
        <w:t xml:space="preserve">Artículo 3°. </w:t>
      </w:r>
      <w:r w:rsidRPr="00AB293A">
        <w:rPr>
          <w:rFonts w:ascii="Gotham" w:hAnsi="Gotham"/>
          <w:sz w:val="19"/>
          <w:szCs w:val="19"/>
        </w:rPr>
        <w:t xml:space="preserve">Serán competentes para la aplicación del presente reglamento en términos de lo dispuesto por los artículos 3, 4, Capitulo III artículos 132, 136, Capítulo VIII artículo 142 y Capítulo XIII artículo 153 del Reglamento del Gobierno y la Administración Pública del Ayuntamiento Constitucional de Tonalá, Jalisco. el Presidente Municipal a través de la Secretaria General, de la Dirección de Padrón y Licencias, y de la Dirección General de Planeación y Desarrollo Urbano Sustentable, así como de la </w:t>
      </w:r>
      <w:r w:rsidRPr="00AB293A">
        <w:rPr>
          <w:rFonts w:ascii="Gotham" w:hAnsi="Gotham"/>
          <w:bCs/>
          <w:sz w:val="19"/>
          <w:szCs w:val="19"/>
        </w:rPr>
        <w:t xml:space="preserve">Dirección </w:t>
      </w:r>
      <w:r w:rsidRPr="00AB293A">
        <w:rPr>
          <w:rFonts w:ascii="Gotham" w:hAnsi="Gotham"/>
          <w:sz w:val="19"/>
          <w:szCs w:val="19"/>
        </w:rPr>
        <w:t>de Protección Civil y Bomberos.</w:t>
      </w:r>
    </w:p>
    <w:p w14:paraId="3A474E89" w14:textId="77777777" w:rsidR="009B5E39" w:rsidRPr="00AB293A" w:rsidRDefault="009B5E39" w:rsidP="009B5E39">
      <w:pPr>
        <w:pStyle w:val="Default"/>
        <w:ind w:left="284" w:right="283"/>
        <w:jc w:val="both"/>
        <w:rPr>
          <w:rFonts w:ascii="Gotham" w:hAnsi="Gotham"/>
          <w:sz w:val="19"/>
          <w:szCs w:val="19"/>
        </w:rPr>
      </w:pPr>
    </w:p>
    <w:p w14:paraId="3A474E8A"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lastRenderedPageBreak/>
        <w:t>De igual forma son sujetos de aplicación del presente reglamento los publicistas, anunciantes, propietarios, titulares o poseedores del espacio de instalación o distribución sean bienes muebles e inmuebles, así como cualquier persona física o jurídica que realice estas actividades de publicidad reguladas dentro del Municipio de Tonalá, sea habitual o esporádica.</w:t>
      </w:r>
    </w:p>
    <w:p w14:paraId="3A474E8B" w14:textId="77777777" w:rsidR="009B5E39" w:rsidRPr="00AB293A" w:rsidRDefault="009B5E39" w:rsidP="009B5E39">
      <w:pPr>
        <w:pStyle w:val="Default"/>
        <w:ind w:left="284" w:right="283"/>
        <w:jc w:val="both"/>
        <w:rPr>
          <w:rFonts w:ascii="Gotham" w:hAnsi="Gotham"/>
          <w:color w:val="4F81BC"/>
          <w:sz w:val="19"/>
          <w:szCs w:val="19"/>
        </w:rPr>
      </w:pPr>
    </w:p>
    <w:p w14:paraId="3A474E8C" w14:textId="77777777" w:rsidR="009B5E39" w:rsidRPr="00AB293A" w:rsidRDefault="009B5E39" w:rsidP="009B5E39">
      <w:pPr>
        <w:pStyle w:val="Default"/>
        <w:ind w:left="284" w:right="283"/>
        <w:jc w:val="both"/>
        <w:rPr>
          <w:rFonts w:ascii="Gotham" w:hAnsi="Gotham"/>
          <w:color w:val="auto"/>
          <w:sz w:val="19"/>
          <w:szCs w:val="19"/>
        </w:rPr>
      </w:pPr>
      <w:r w:rsidRPr="00AB293A">
        <w:rPr>
          <w:rFonts w:ascii="Gotham" w:hAnsi="Gotham"/>
          <w:b/>
          <w:bCs/>
          <w:sz w:val="19"/>
          <w:szCs w:val="19"/>
        </w:rPr>
        <w:t xml:space="preserve">Artículo 4°. </w:t>
      </w:r>
      <w:r w:rsidRPr="00AB293A">
        <w:rPr>
          <w:rFonts w:ascii="Gotham" w:hAnsi="Gotham"/>
          <w:sz w:val="19"/>
          <w:szCs w:val="19"/>
        </w:rPr>
        <w:t xml:space="preserve">Son objeto del reglamento todas las instalaciones, medios, dispositivos y equipos utilizados para la transmisión grafica o audible de anuncios o publicidad, la </w:t>
      </w:r>
      <w:r w:rsidRPr="00AB293A">
        <w:rPr>
          <w:rFonts w:ascii="Gotham" w:hAnsi="Gotham"/>
          <w:color w:val="auto"/>
          <w:sz w:val="19"/>
          <w:szCs w:val="19"/>
        </w:rPr>
        <w:t xml:space="preserve">distribución de impresos y la fijación y explotación de mensajes que utilicen como soporte cualquier medio material, susceptibles de atraer la atención de cuantas personas se encuentren en espacios abiertos o ámbitos de utilización común. </w:t>
      </w:r>
    </w:p>
    <w:p w14:paraId="3A474E8D" w14:textId="77777777" w:rsidR="009B5E39" w:rsidRPr="00AB293A" w:rsidRDefault="009B5E39" w:rsidP="009B5E39">
      <w:pPr>
        <w:pStyle w:val="Default"/>
        <w:ind w:left="284" w:right="283"/>
        <w:jc w:val="both"/>
        <w:rPr>
          <w:rFonts w:ascii="Gotham" w:hAnsi="Gotham"/>
          <w:color w:val="auto"/>
          <w:sz w:val="19"/>
          <w:szCs w:val="19"/>
        </w:rPr>
      </w:pPr>
    </w:p>
    <w:p w14:paraId="3A474E8E"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Cs/>
          <w:sz w:val="19"/>
          <w:szCs w:val="19"/>
        </w:rPr>
        <w:t>A</w:t>
      </w:r>
      <w:r w:rsidRPr="00AB293A">
        <w:rPr>
          <w:rFonts w:ascii="Gotham" w:hAnsi="Gotham" w:cs="Arial"/>
          <w:b/>
          <w:bCs/>
          <w:sz w:val="19"/>
          <w:szCs w:val="19"/>
        </w:rPr>
        <w:t xml:space="preserve"> </w:t>
      </w:r>
      <w:r w:rsidRPr="00AB293A">
        <w:rPr>
          <w:rFonts w:ascii="Gotham" w:hAnsi="Gotham" w:cs="Arial"/>
          <w:sz w:val="19"/>
          <w:szCs w:val="19"/>
        </w:rPr>
        <w:t xml:space="preserve">falta de disposición expresa, se aplicarán supletoriamente la Ley del Procedimiento Administrativo del Estado de Jalisco. Además, los titulares, encargados y dependientes de los establecimientos comerciales, industriales y de servicios, así como los servidores públicos de la Administración Pública Municipal deberán observar las disposiciones jurídicas que, en materia ambiental, protección civil, salud, desarrollo urbano, protección a la salud y demás relativos que resulten aplicables en el ámbito municipal. </w:t>
      </w:r>
    </w:p>
    <w:p w14:paraId="3A474E8F" w14:textId="77777777" w:rsidR="009B5E39" w:rsidRPr="00AB293A" w:rsidRDefault="009B5E39" w:rsidP="009B5E39">
      <w:pPr>
        <w:autoSpaceDE w:val="0"/>
        <w:autoSpaceDN w:val="0"/>
        <w:adjustRightInd w:val="0"/>
        <w:ind w:left="284" w:right="283"/>
        <w:jc w:val="both"/>
        <w:rPr>
          <w:rFonts w:ascii="Gotham" w:hAnsi="Gotham" w:cs="Arial"/>
          <w:b/>
          <w:bCs/>
          <w:sz w:val="19"/>
          <w:szCs w:val="19"/>
        </w:rPr>
      </w:pPr>
    </w:p>
    <w:p w14:paraId="3A474E90" w14:textId="77777777" w:rsidR="009B5E39" w:rsidRDefault="009B5E39" w:rsidP="009B5E39">
      <w:pPr>
        <w:pStyle w:val="Default"/>
        <w:ind w:left="284" w:right="283"/>
        <w:jc w:val="both"/>
        <w:rPr>
          <w:rFonts w:ascii="Gotham" w:hAnsi="Gotham"/>
          <w:sz w:val="19"/>
          <w:szCs w:val="19"/>
        </w:rPr>
      </w:pPr>
      <w:r w:rsidRPr="00AB293A">
        <w:rPr>
          <w:rFonts w:ascii="Gotham" w:hAnsi="Gotham"/>
          <w:b/>
          <w:bCs/>
          <w:sz w:val="19"/>
          <w:szCs w:val="19"/>
        </w:rPr>
        <w:t xml:space="preserve">Artículo 5°. </w:t>
      </w:r>
      <w:r w:rsidRPr="00AB293A">
        <w:rPr>
          <w:rFonts w:ascii="Gotham" w:hAnsi="Gotham"/>
          <w:sz w:val="19"/>
          <w:szCs w:val="19"/>
        </w:rPr>
        <w:t xml:space="preserve">Quedan excluidos del reglamento: </w:t>
      </w:r>
    </w:p>
    <w:p w14:paraId="3A474E91" w14:textId="77777777" w:rsidR="009B5E39" w:rsidRPr="00AB293A" w:rsidRDefault="009B5E39" w:rsidP="009B5E39">
      <w:pPr>
        <w:pStyle w:val="Default"/>
        <w:ind w:left="284" w:right="283"/>
        <w:jc w:val="both"/>
        <w:rPr>
          <w:rFonts w:ascii="Gotham" w:hAnsi="Gotham"/>
          <w:sz w:val="19"/>
          <w:szCs w:val="19"/>
        </w:rPr>
      </w:pPr>
    </w:p>
    <w:p w14:paraId="3A474E92" w14:textId="77777777" w:rsidR="009B5E39" w:rsidRPr="00AB293A" w:rsidRDefault="009B5E39" w:rsidP="009B5E39">
      <w:pPr>
        <w:pStyle w:val="Prrafodelista"/>
        <w:numPr>
          <w:ilvl w:val="0"/>
          <w:numId w:val="178"/>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Los anuncios que se difundan por radio, televisión, periódicos, o Internet, ni colocados en el transporte público, los cuales harán su trámite ante la Secretaría de Transporte del Gobierno del Estado de Jalisco o la Secretaría de Infraestructura, Comunicaciones y Transportes del Gobierno Federal; </w:t>
      </w:r>
    </w:p>
    <w:p w14:paraId="3A474E93" w14:textId="77777777" w:rsidR="009B5E39" w:rsidRPr="00AB293A" w:rsidRDefault="009B5E39" w:rsidP="009B5E39">
      <w:pPr>
        <w:pStyle w:val="Prrafodelista"/>
        <w:numPr>
          <w:ilvl w:val="0"/>
          <w:numId w:val="178"/>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Los anuncios gráficos o luminosos colocados en el interior de los lugares y que no sean visibles a la vía pública, en donde se realice alguna actividad comercial, profesional o de servicios, emplazados a más de un metro después del ingreso al interior del establecimiento donde se realice la actividad comercial o de servicios, con excepción de los anuncios colocados en andadores o pasillos peatonales de nuevos proyectos de centros comerciales, y a la que el público tenga libre acceso, se rigen por las normas técnicas internas del propio centro comercial que hayan sido autorizadas por el Ayuntamiento, o en su defecto por este reglamento, sin perjuicio de la intervención de la autoridad municipal para su autorización y del pago de los derechos correspondientes;</w:t>
      </w:r>
    </w:p>
    <w:p w14:paraId="3A474E94" w14:textId="77777777" w:rsidR="009B5E39" w:rsidRPr="00AB293A" w:rsidRDefault="009B5E39" w:rsidP="009B5E39">
      <w:pPr>
        <w:pStyle w:val="Prrafodelista"/>
        <w:numPr>
          <w:ilvl w:val="0"/>
          <w:numId w:val="178"/>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La manifestación de difusión oral, escrita o gráfica que realicen las personas en el ejercicio de las garantías consignadas en los artículos 6, 7 y 8 de la Constitución Política de los Estados Unidos Mexicanos, que no sean de carácter comercial, previsto en el reglamento; y </w:t>
      </w:r>
    </w:p>
    <w:p w14:paraId="3A474E95" w14:textId="77777777" w:rsidR="009B5E39" w:rsidRPr="00AB293A" w:rsidRDefault="009B5E39" w:rsidP="009B5E39">
      <w:pPr>
        <w:pStyle w:val="Prrafodelista"/>
        <w:numPr>
          <w:ilvl w:val="0"/>
          <w:numId w:val="178"/>
        </w:numPr>
        <w:autoSpaceDE w:val="0"/>
        <w:autoSpaceDN w:val="0"/>
        <w:adjustRightInd w:val="0"/>
        <w:ind w:left="1134" w:right="283" w:hanging="850"/>
        <w:contextualSpacing w:val="0"/>
        <w:jc w:val="both"/>
        <w:rPr>
          <w:rFonts w:ascii="Gotham" w:hAnsi="Gotham" w:cs="Arial"/>
          <w:sz w:val="19"/>
          <w:szCs w:val="19"/>
        </w:rPr>
      </w:pPr>
      <w:r w:rsidRPr="00AB293A">
        <w:rPr>
          <w:rFonts w:ascii="Gotham" w:hAnsi="Gotham" w:cs="Arial"/>
          <w:sz w:val="19"/>
          <w:szCs w:val="19"/>
        </w:rPr>
        <w:t xml:space="preserve">Banderas, escudos o insignias de gobierno, consulados, o similares. </w:t>
      </w:r>
    </w:p>
    <w:p w14:paraId="3A474E96" w14:textId="77777777" w:rsidR="009B5E39" w:rsidRPr="00AB293A" w:rsidRDefault="009B5E39" w:rsidP="009B5E39">
      <w:pPr>
        <w:pStyle w:val="Default"/>
        <w:ind w:left="284" w:right="283"/>
        <w:rPr>
          <w:rFonts w:ascii="Gotham" w:hAnsi="Gotham"/>
          <w:sz w:val="19"/>
          <w:szCs w:val="19"/>
        </w:rPr>
      </w:pPr>
    </w:p>
    <w:p w14:paraId="3A474E97" w14:textId="77777777" w:rsidR="009B5E39"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6°. </w:t>
      </w:r>
      <w:r w:rsidRPr="00AB293A">
        <w:rPr>
          <w:rFonts w:ascii="Gotham" w:hAnsi="Gotham" w:cs="Arial"/>
          <w:sz w:val="19"/>
          <w:szCs w:val="19"/>
        </w:rPr>
        <w:t>Para los efectos de este Reglamento, se considera como:</w:t>
      </w:r>
    </w:p>
    <w:p w14:paraId="3A474E98"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99"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Anuncio: Todo medio de información, comunicación, publicidad o propaganda que indique, señale, exprese, exhiba o muestre al público cualquier mensaje de manera gráfica, escrita o fonética relacionado con la producción y venta de bienes, con la prestación de servicios y en general con el ejercicio lícito de cualquier actividad y que se perciba desde la vía pública; </w:t>
      </w:r>
    </w:p>
    <w:p w14:paraId="3A474E9A" w14:textId="77777777" w:rsidR="009B5E39" w:rsidRPr="00AB293A" w:rsidRDefault="009B5E39" w:rsidP="009B5E39">
      <w:pPr>
        <w:pStyle w:val="Default"/>
        <w:spacing w:after="120"/>
        <w:ind w:left="1134" w:right="283"/>
        <w:jc w:val="both"/>
        <w:rPr>
          <w:rFonts w:ascii="Gotham" w:hAnsi="Gotham"/>
          <w:color w:val="auto"/>
          <w:sz w:val="19"/>
          <w:szCs w:val="19"/>
        </w:rPr>
      </w:pPr>
      <w:r w:rsidRPr="00AB293A">
        <w:rPr>
          <w:rFonts w:ascii="Gotham" w:hAnsi="Gotham"/>
          <w:color w:val="auto"/>
          <w:sz w:val="19"/>
          <w:szCs w:val="19"/>
        </w:rPr>
        <w:t xml:space="preserve">La superficie, volumen, estructura o cartel que contenga gráficos, símbolos y escritura. La superficie de un anuncio es la considerada como la integradora de los elementos, símbolos, figuras o palabras que lo componen. El total de la superficie de un anuncio la componen todas las caras que tenga el anuncio para hacer cualquier tipo de publicidad. </w:t>
      </w:r>
    </w:p>
    <w:p w14:paraId="3A474E9B" w14:textId="77777777" w:rsidR="009B5E39" w:rsidRPr="00AB293A" w:rsidRDefault="009B5E39" w:rsidP="009B5E39">
      <w:pPr>
        <w:pStyle w:val="Default"/>
        <w:spacing w:after="120"/>
        <w:ind w:left="1134" w:right="283"/>
        <w:jc w:val="both"/>
        <w:rPr>
          <w:rFonts w:ascii="Gotham" w:hAnsi="Gotham"/>
          <w:color w:val="auto"/>
          <w:sz w:val="19"/>
          <w:szCs w:val="19"/>
        </w:rPr>
      </w:pPr>
      <w:r w:rsidRPr="00AB293A">
        <w:rPr>
          <w:rFonts w:ascii="Gotham" w:hAnsi="Gotham"/>
          <w:color w:val="auto"/>
          <w:sz w:val="19"/>
          <w:szCs w:val="19"/>
        </w:rPr>
        <w:t xml:space="preserve">Se consideran parte de un anuncio desde el inicio de su instalación todos los elementos que lo integran, tales como: </w:t>
      </w:r>
    </w:p>
    <w:p w14:paraId="3A474E9C" w14:textId="77777777" w:rsidR="009B5E39" w:rsidRPr="00AB293A" w:rsidRDefault="009B5E39" w:rsidP="009B5E39">
      <w:pPr>
        <w:pStyle w:val="Default"/>
        <w:numPr>
          <w:ilvl w:val="0"/>
          <w:numId w:val="183"/>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Bien inmueble, base, elementos de sustentación o cimentación; </w:t>
      </w:r>
    </w:p>
    <w:p w14:paraId="3A474E9D" w14:textId="77777777" w:rsidR="009B5E39" w:rsidRPr="00AB293A" w:rsidRDefault="009B5E39" w:rsidP="009B5E39">
      <w:pPr>
        <w:pStyle w:val="Default"/>
        <w:numPr>
          <w:ilvl w:val="0"/>
          <w:numId w:val="183"/>
        </w:numPr>
        <w:spacing w:after="120"/>
        <w:ind w:left="1560" w:right="283" w:hanging="426"/>
        <w:jc w:val="both"/>
        <w:rPr>
          <w:rFonts w:ascii="Gotham" w:hAnsi="Gotham"/>
          <w:color w:val="auto"/>
          <w:sz w:val="19"/>
          <w:szCs w:val="19"/>
        </w:rPr>
      </w:pPr>
      <w:r w:rsidRPr="00AB293A">
        <w:rPr>
          <w:rFonts w:ascii="Gotham" w:hAnsi="Gotham"/>
          <w:color w:val="auto"/>
          <w:sz w:val="19"/>
          <w:szCs w:val="19"/>
        </w:rPr>
        <w:lastRenderedPageBreak/>
        <w:t xml:space="preserve">Estructura de soporte; postes, mobiliario urbano; </w:t>
      </w:r>
    </w:p>
    <w:p w14:paraId="3A474E9E" w14:textId="77777777" w:rsidR="009B5E39" w:rsidRPr="00AB293A" w:rsidRDefault="009B5E39" w:rsidP="009B5E39">
      <w:pPr>
        <w:pStyle w:val="Default"/>
        <w:numPr>
          <w:ilvl w:val="0"/>
          <w:numId w:val="183"/>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Elementos de fijación o sujeción; </w:t>
      </w:r>
    </w:p>
    <w:p w14:paraId="3A474E9F" w14:textId="77777777" w:rsidR="009B5E39" w:rsidRPr="00AB293A" w:rsidRDefault="009B5E39" w:rsidP="009B5E39">
      <w:pPr>
        <w:pStyle w:val="Prrafodelista"/>
        <w:numPr>
          <w:ilvl w:val="0"/>
          <w:numId w:val="183"/>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Caja o gabinete del anuncio; </w:t>
      </w:r>
    </w:p>
    <w:p w14:paraId="3A474EA0" w14:textId="77777777" w:rsidR="009B5E39" w:rsidRPr="00AB293A" w:rsidRDefault="009B5E39" w:rsidP="009B5E39">
      <w:pPr>
        <w:pStyle w:val="Default"/>
        <w:numPr>
          <w:ilvl w:val="0"/>
          <w:numId w:val="183"/>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Carátula, vista o pantalla luminosa; </w:t>
      </w:r>
    </w:p>
    <w:p w14:paraId="3A474EA1" w14:textId="77777777" w:rsidR="009B5E39" w:rsidRPr="00AB293A" w:rsidRDefault="009B5E39" w:rsidP="009B5E39">
      <w:pPr>
        <w:pStyle w:val="Default"/>
        <w:numPr>
          <w:ilvl w:val="0"/>
          <w:numId w:val="183"/>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Elementos de iluminación y proyección de imágenes; </w:t>
      </w:r>
    </w:p>
    <w:p w14:paraId="3A474EA2" w14:textId="77777777" w:rsidR="009B5E39" w:rsidRPr="00AB293A" w:rsidRDefault="009B5E39" w:rsidP="009B5E39">
      <w:pPr>
        <w:pStyle w:val="Default"/>
        <w:numPr>
          <w:ilvl w:val="0"/>
          <w:numId w:val="183"/>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Elementos mecánicos, eléctricos, auditivos, plásticos o hidráulicos; </w:t>
      </w:r>
    </w:p>
    <w:p w14:paraId="3A474EA3" w14:textId="77777777" w:rsidR="009B5E39" w:rsidRPr="00AB293A" w:rsidRDefault="009B5E39" w:rsidP="009B5E39">
      <w:pPr>
        <w:pStyle w:val="Default"/>
        <w:numPr>
          <w:ilvl w:val="0"/>
          <w:numId w:val="183"/>
        </w:numPr>
        <w:spacing w:after="120"/>
        <w:ind w:left="1560" w:right="283" w:hanging="426"/>
        <w:jc w:val="both"/>
        <w:rPr>
          <w:rFonts w:ascii="Gotham" w:hAnsi="Gotham"/>
          <w:color w:val="auto"/>
          <w:sz w:val="19"/>
          <w:szCs w:val="19"/>
        </w:rPr>
      </w:pPr>
      <w:r w:rsidRPr="00AB293A">
        <w:rPr>
          <w:rFonts w:ascii="Gotham" w:hAnsi="Gotham"/>
          <w:color w:val="auto"/>
          <w:sz w:val="19"/>
          <w:szCs w:val="19"/>
        </w:rPr>
        <w:t xml:space="preserve">Elementos e instalaciones accesorias; y </w:t>
      </w:r>
    </w:p>
    <w:p w14:paraId="3A474EA4" w14:textId="77777777" w:rsidR="009B5E39" w:rsidRPr="00AB293A" w:rsidRDefault="009B5E39" w:rsidP="009B5E39">
      <w:pPr>
        <w:pStyle w:val="Default"/>
        <w:numPr>
          <w:ilvl w:val="0"/>
          <w:numId w:val="183"/>
        </w:numPr>
        <w:spacing w:after="120"/>
        <w:ind w:left="1560" w:right="283" w:hanging="426"/>
        <w:jc w:val="both"/>
        <w:rPr>
          <w:rFonts w:ascii="Gotham" w:hAnsi="Gotham"/>
          <w:sz w:val="19"/>
          <w:szCs w:val="19"/>
        </w:rPr>
      </w:pPr>
      <w:r w:rsidRPr="00AB293A">
        <w:rPr>
          <w:rFonts w:ascii="Gotham" w:hAnsi="Gotham"/>
          <w:sz w:val="19"/>
          <w:szCs w:val="19"/>
        </w:rPr>
        <w:t xml:space="preserve">Bocinas al exterior que transmitan anuncios sonoros que sobrepasen los límites permisibles de ruido indicados en la </w:t>
      </w:r>
      <w:r w:rsidRPr="00AB293A">
        <w:rPr>
          <w:rFonts w:ascii="Gotham" w:hAnsi="Gotham"/>
          <w:b/>
          <w:bCs/>
          <w:sz w:val="19"/>
          <w:szCs w:val="19"/>
        </w:rPr>
        <w:t xml:space="preserve">Norma Oficial Mexicana correspondiente. </w:t>
      </w:r>
      <w:r w:rsidRPr="00AB293A">
        <w:rPr>
          <w:rFonts w:ascii="Gotham" w:hAnsi="Gotham"/>
          <w:sz w:val="19"/>
          <w:szCs w:val="19"/>
        </w:rPr>
        <w:t>Licencia: la autorización expedida por la autoridad Municipal competente, para la fijación, instalación, colocación, ampliación o modificación de anuncios permanentes;</w:t>
      </w:r>
    </w:p>
    <w:p w14:paraId="3A474EA5"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Ayuntamiento: Las autoridades del Municipio de Tonalá, Jalisco.</w:t>
      </w:r>
    </w:p>
    <w:p w14:paraId="3A474EA6"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Ampliación o modificación de un anuncio: Se entiende que existe ampliación de un anuncio cuando se aumenta, por una </w:t>
      </w:r>
      <w:r w:rsidRPr="00AB293A">
        <w:rPr>
          <w:rFonts w:ascii="Gotham" w:hAnsi="Gotham" w:cs="Arial"/>
          <w:bCs/>
          <w:sz w:val="19"/>
          <w:szCs w:val="19"/>
        </w:rPr>
        <w:t xml:space="preserve">sola </w:t>
      </w:r>
      <w:r w:rsidRPr="00AB293A">
        <w:rPr>
          <w:rFonts w:ascii="Gotham" w:hAnsi="Gotham" w:cs="Arial"/>
          <w:sz w:val="19"/>
          <w:szCs w:val="19"/>
        </w:rPr>
        <w:t xml:space="preserve">vez, la superficie publicitaria hasta un cinco por ciento de la superficie autorizada </w:t>
      </w:r>
      <w:r w:rsidRPr="00AB293A">
        <w:rPr>
          <w:rFonts w:ascii="Gotham" w:hAnsi="Gotham" w:cs="Arial"/>
          <w:bCs/>
          <w:sz w:val="19"/>
          <w:szCs w:val="19"/>
        </w:rPr>
        <w:t>y/o permitida</w:t>
      </w:r>
      <w:r w:rsidRPr="00AB293A">
        <w:rPr>
          <w:rFonts w:ascii="Gotham" w:hAnsi="Gotham" w:cs="Arial"/>
          <w:sz w:val="19"/>
          <w:szCs w:val="19"/>
        </w:rPr>
        <w:t xml:space="preserve">; y se entiende que hay modificación de un anuncio, cuando ésta cambia el tipo del anuncio, siempre y cuando </w:t>
      </w:r>
      <w:r w:rsidR="0007387E" w:rsidRPr="00AB293A">
        <w:rPr>
          <w:rFonts w:ascii="Gotham" w:hAnsi="Gotham" w:cs="Arial"/>
          <w:sz w:val="19"/>
          <w:szCs w:val="19"/>
        </w:rPr>
        <w:t>esté</w:t>
      </w:r>
      <w:r w:rsidRPr="00AB293A">
        <w:rPr>
          <w:rFonts w:ascii="Gotham" w:hAnsi="Gotham" w:cs="Arial"/>
          <w:sz w:val="19"/>
          <w:szCs w:val="19"/>
        </w:rPr>
        <w:t xml:space="preserve"> permitido y cuando llevarla a cabo requiera la elaboración de un nuevo cálculo estructural.</w:t>
      </w:r>
    </w:p>
    <w:p w14:paraId="3A474EA7"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bCs/>
          <w:sz w:val="19"/>
          <w:szCs w:val="19"/>
        </w:rPr>
        <w:t xml:space="preserve">Anunciante: </w:t>
      </w:r>
      <w:r w:rsidRPr="00AB293A">
        <w:rPr>
          <w:rFonts w:ascii="Gotham" w:hAnsi="Gotham" w:cs="Arial"/>
          <w:sz w:val="19"/>
          <w:szCs w:val="19"/>
        </w:rPr>
        <w:t>la persona física o moral que indique, señale, exprese, muestre o difunda al público cualquier mensaje relacionado con la producción y venta de bienes, con la prestación de servicios o el ejercicio lícito de actividades comerciales, profesionales, políticas, cívicas, culturales, industriales, mercantiles o técnicas</w:t>
      </w:r>
      <w:r w:rsidRPr="00AB293A">
        <w:rPr>
          <w:rFonts w:ascii="Gotham" w:hAnsi="Gotham" w:cs="Arial"/>
          <w:bCs/>
          <w:sz w:val="19"/>
          <w:szCs w:val="19"/>
        </w:rPr>
        <w:t xml:space="preserve">; </w:t>
      </w:r>
    </w:p>
    <w:p w14:paraId="3A474EA8"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Anuncios no publicitarios: Se consideran como tales aquellos que se refieren únicamente a la identificación domiciliar, horario de labores y denominación del negocio o nombre del profesionista.</w:t>
      </w:r>
    </w:p>
    <w:p w14:paraId="3A474EA9"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Anuncio Tipo Pendón: Elemento publicitario o propagandístico de material flexible destinado a colocarse colgando de postes o estructuras existentes en la vía pública;</w:t>
      </w:r>
    </w:p>
    <w:p w14:paraId="3A474EAA"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Automóvil Utilitario: Son aquellos que portan la publicidad de una empresa, institución o comercio con los cuales se distribuyan sus productos o sean necesarios para la prestación de sus servicios, siempre y cuando no se trate de publicidad envolvente, estridente, que por sus dimensiones o estructura represente un riesgo para el vehículo que lo Autorización: Término genérico con el que se designan las licencias, los permisos o convenios; porta o para otros sujetos de la movilidad, de acuerdo a lo establecido en la norma oficial mexicana correspondiente. Los vehículos utilitarios se considerarán aquellos que porten publicidad gráfica o auditiva y que corresponda a la empresa o persona jurídica señalada en la tarjeta de circulación; </w:t>
      </w:r>
    </w:p>
    <w:p w14:paraId="3A474EAB"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Autorización: Término genérico con el que se designan las licencias, los permisos o convenios; </w:t>
      </w:r>
    </w:p>
    <w:p w14:paraId="3A474EAC"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Coordenadas UTM: Sistema de coordenadas basado en la proyección geográfica transversa de Mercator, que se hace tangente a un meridiano. Sus magnitudes se expresan en metros enunciándose en valores X y Y; </w:t>
      </w:r>
    </w:p>
    <w:p w14:paraId="3A474EAD"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Configuración Urbana e Imagen Visual: Es el conjunto de características </w:t>
      </w:r>
      <w:r w:rsidRPr="00AB293A">
        <w:rPr>
          <w:rFonts w:ascii="Gotham" w:hAnsi="Gotham" w:cs="Arial"/>
          <w:b/>
          <w:bCs/>
          <w:sz w:val="19"/>
          <w:szCs w:val="19"/>
        </w:rPr>
        <w:t xml:space="preserve">o </w:t>
      </w:r>
      <w:r w:rsidRPr="00AB293A">
        <w:rPr>
          <w:rFonts w:ascii="Gotham" w:hAnsi="Gotham" w:cs="Arial"/>
          <w:bCs/>
          <w:sz w:val="19"/>
          <w:szCs w:val="19"/>
        </w:rPr>
        <w:t xml:space="preserve">elementos como el entorno natural, cultural, los valores históricos del patrimonio edificado y arquitectónico del Municipio de Tonalá que definen la fisonomía urbana de la ciudad, con el objeto de evitar rupturas y contrastes que atenten contra el ambiente urbano, </w:t>
      </w:r>
      <w:r w:rsidRPr="00AB293A">
        <w:rPr>
          <w:rFonts w:ascii="Gotham" w:hAnsi="Gotham" w:cs="Arial"/>
          <w:sz w:val="19"/>
          <w:szCs w:val="19"/>
        </w:rPr>
        <w:t xml:space="preserve">evitando el desorden y caos visual en el contexto urbano, que propicia la falta de identidad, el desarraigo de la población y el deterioro de la calidad de vida de la ciudad; </w:t>
      </w:r>
    </w:p>
    <w:p w14:paraId="3A474EAE"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lastRenderedPageBreak/>
        <w:t xml:space="preserve">Contaminación Auditiva: Alteración del ruido que daña o perturba la claridad de los sonidos haciendo difícil la percepción auditiva y que sobrepasan los niveles permisibles de ruido, indicadas en la norma oficial mexicana aplicable a la materia, que ocasiona problemas en la salud; </w:t>
      </w:r>
    </w:p>
    <w:p w14:paraId="3A474EAF"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Contaminación Visual: La publicidad desordenada y la saturación publicitaria, provocan contaminación visual y es la alteración del paisaje urbano provocada por factores de impacto negativo que distorsionan la percepción visual del entorno e impiden su contemplación y disfrute armónico en detrimento de la calidad de vida de las personas, fenómeno mediante el cual se ocasionan impactos negativos importantes en la percepción visual, por la distorsión o cualquier forma de alteración del entorno natural, cultural, histórico del ambiente urbano y arquitectónico del Municipio de Tonalá, Jalisco; </w:t>
      </w:r>
    </w:p>
    <w:p w14:paraId="3A474EB0"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Dictamen Técnico de Anuncio: Acto administrativo emitido por la autoridad municipal competente que determina la viabilidad técnica y jurídica para expedir la licencia o permiso del anuncio solicitado por el particular gobernado; </w:t>
      </w:r>
    </w:p>
    <w:p w14:paraId="3A474EB1"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Discriminación: Toda distinción, exclusión, restricción o preferencia que, por acción u omisión, con intención o sin ella, no sea objetiva, racional ni proporcional y tenga por objeto o resultado, obstaculizar o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el lenguaje, las opiniones, las preferencias sexuales, la identidad o filiación política, el estado civil, la situación familiar, las responsabilidades familiares, el idioma, los antecedentes penales o cualquier otro motivo. También se entenderá como discriminación la homofobia, misoginia, cualquier manifestación de xenofobia, segregación racial, antisemitismo, así como la discriminación racial y otras formas conexas de intolerancia; </w:t>
      </w:r>
    </w:p>
    <w:p w14:paraId="3A474EB2"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Espacio de Instalación: Lugar mueble o inmueble que sirve de base a la instalación publicitaria o de propaganda; </w:t>
      </w:r>
    </w:p>
    <w:p w14:paraId="3A474EB3"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Entorno Urbano: Conjunto de elementos naturales y construidos que conforman el territorio urbano, y que constituyen el marco de referencia y convivencia de los habitantes y visitantes, determinado por las características físicas, costumbres y usos, que se relacionan entre sí; </w:t>
      </w:r>
    </w:p>
    <w:p w14:paraId="3A474EB4"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Fachadas: Todas las paredes exteriores de una edificación, incluyendo cualquier añadido a las mismas.</w:t>
      </w:r>
    </w:p>
    <w:p w14:paraId="3A474EB5"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color w:val="FF0000"/>
          <w:sz w:val="19"/>
          <w:szCs w:val="19"/>
        </w:rPr>
      </w:pPr>
      <w:r w:rsidRPr="00AB293A">
        <w:rPr>
          <w:rFonts w:ascii="Gotham" w:hAnsi="Gotham" w:cs="Arial"/>
          <w:sz w:val="19"/>
          <w:szCs w:val="19"/>
        </w:rPr>
        <w:t>Hitos Urbanos: Se refiere a los elementos arquitectónicos y urbanos, así como las edificaciones que conforman un paisaje urbano que genera una imagen emblemática y particular de la ciudad, desde su calidad arquitectónica, histórica, cultural y artística. Estos hitos son emblemáticos por transmitir un mensaje estético y un sentido de identidad por lo que su percepción no debe de verse impedida u obstaculizada. Son piezas que están en el imaginario social que en su conjunto conforman la identidad del Municipio;</w:t>
      </w:r>
    </w:p>
    <w:p w14:paraId="3A474EB6"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Impresos: Papeles publicitarios o de propaganda que difundan un mensaje comercial y que no requieren de instalación; </w:t>
      </w:r>
    </w:p>
    <w:p w14:paraId="3A474EB7"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Inspección y vigilancia: La Dirección de Inspección y Vigilancia del Municipio, encargada de vigilar la correcta aplicación de las leyes y dispositivos reglamentarios;</w:t>
      </w:r>
    </w:p>
    <w:p w14:paraId="3A474EB8"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Instalación Publicitaria o de Propaganda: Objeto de colocación de los mensajes y que está constituido por el inmueble, base, elementos de sustentación o cimentación (zapata), estructura de soporte, elementos de fijación o sujeción, caja o gabinete, carátula, vista o pantalla, elementos de iluminación, elementos mecánicos, eléctricos, plásticos o hidráulicos y otros elementos e instalaciones accesorias; </w:t>
      </w:r>
    </w:p>
    <w:p w14:paraId="3A474EB9"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lastRenderedPageBreak/>
        <w:t xml:space="preserve">Licencia: La autorización expedida por la autoridad municipal competente, para la fijación, instalación, colocación, ampliación o modificación de anuncios permanentes; </w:t>
      </w:r>
    </w:p>
    <w:p w14:paraId="3A474EBA"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Marcadores Digitales: Panel electrónico que se encuentra adherido a un anuncio de tipo semiestructural, tótem o de estela o navaja, cuyo propósito es indicar precios o mensajes, propios del giro que respalda la licencia del anuncio, el cual no es sujeto de comercialización; </w:t>
      </w:r>
    </w:p>
    <w:p w14:paraId="3A474EBB"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Marquesina: Cobertizo o techumbre construido de materiales sólidos, con marco de soporte sobre una pared exterior de una edificación.</w:t>
      </w:r>
    </w:p>
    <w:p w14:paraId="3A474EBC"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bCs/>
          <w:sz w:val="19"/>
          <w:szCs w:val="19"/>
        </w:rPr>
        <w:t xml:space="preserve">Memoria de Cálculo Estructural: Documento que describe los criterios con los cuales se calculan todos los elementos estructurales, como las cargas vivas, cargas muertas, factores de seguridad, factores sísmicos, factores de seguridad por viento, y en general todos los cálculos para determinar la estructura. El cual deberá tener como mínimo los siguientes elementos: </w:t>
      </w:r>
    </w:p>
    <w:p w14:paraId="3A474EBD" w14:textId="77777777" w:rsidR="009B5E39" w:rsidRPr="00AB293A" w:rsidRDefault="009B5E39" w:rsidP="009B5E39">
      <w:pPr>
        <w:pStyle w:val="Default"/>
        <w:numPr>
          <w:ilvl w:val="0"/>
          <w:numId w:val="209"/>
        </w:numPr>
        <w:spacing w:after="120"/>
        <w:ind w:left="1560" w:right="283" w:hanging="426"/>
        <w:rPr>
          <w:rFonts w:ascii="Gotham" w:hAnsi="Gotham"/>
          <w:sz w:val="19"/>
          <w:szCs w:val="19"/>
        </w:rPr>
      </w:pPr>
      <w:r w:rsidRPr="00AB293A">
        <w:rPr>
          <w:rFonts w:ascii="Gotham" w:hAnsi="Gotham"/>
          <w:bCs/>
          <w:sz w:val="19"/>
          <w:szCs w:val="19"/>
        </w:rPr>
        <w:t xml:space="preserve">Estudio de mecánica de suelos (solo para el caso de anuncios semiestructúrales tipo 2 y estructurales); </w:t>
      </w:r>
    </w:p>
    <w:p w14:paraId="3A474EBE" w14:textId="77777777" w:rsidR="009B5E39" w:rsidRPr="00AB293A" w:rsidRDefault="009B5E39" w:rsidP="009B5E39">
      <w:pPr>
        <w:pStyle w:val="Default"/>
        <w:numPr>
          <w:ilvl w:val="0"/>
          <w:numId w:val="209"/>
        </w:numPr>
        <w:spacing w:after="120"/>
        <w:ind w:left="1560" w:right="283" w:hanging="426"/>
        <w:rPr>
          <w:rFonts w:ascii="Gotham" w:hAnsi="Gotham"/>
          <w:sz w:val="19"/>
          <w:szCs w:val="19"/>
        </w:rPr>
      </w:pPr>
      <w:r w:rsidRPr="00AB293A">
        <w:rPr>
          <w:rFonts w:ascii="Gotham" w:hAnsi="Gotham"/>
          <w:bCs/>
          <w:sz w:val="19"/>
          <w:szCs w:val="19"/>
        </w:rPr>
        <w:t xml:space="preserve">Memoria de cálculo (cálculo físico matemático de todas las secciones del anuncio); y </w:t>
      </w:r>
    </w:p>
    <w:p w14:paraId="3A474EBF" w14:textId="77777777" w:rsidR="009B5E39" w:rsidRPr="00AB293A" w:rsidRDefault="009B5E39" w:rsidP="009B5E39">
      <w:pPr>
        <w:pStyle w:val="Default"/>
        <w:numPr>
          <w:ilvl w:val="0"/>
          <w:numId w:val="209"/>
        </w:numPr>
        <w:spacing w:after="120"/>
        <w:ind w:left="1560" w:right="283" w:hanging="426"/>
        <w:rPr>
          <w:rFonts w:ascii="Gotham" w:hAnsi="Gotham"/>
          <w:b/>
          <w:bCs/>
          <w:sz w:val="19"/>
          <w:szCs w:val="19"/>
        </w:rPr>
      </w:pPr>
      <w:r w:rsidRPr="00AB293A">
        <w:rPr>
          <w:rFonts w:ascii="Gotham" w:hAnsi="Gotham"/>
          <w:bCs/>
          <w:sz w:val="19"/>
          <w:szCs w:val="19"/>
        </w:rPr>
        <w:t>Planos estructurales</w:t>
      </w:r>
      <w:r w:rsidRPr="00AB293A">
        <w:rPr>
          <w:rFonts w:ascii="Gotham" w:hAnsi="Gotham"/>
          <w:b/>
          <w:bCs/>
          <w:sz w:val="19"/>
          <w:szCs w:val="19"/>
        </w:rPr>
        <w:t>;</w:t>
      </w:r>
    </w:p>
    <w:p w14:paraId="3A474EC0"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Mensaje: El texto, representación gráfica o auditiva que se utiliza en una actividad legalmente reconocida con la finalidad de divulgar, promocionar o identificar marcas, denominaciones, actividades profesionales, servicios comerciales, mercantiles o industriales, bienes, productos, derechos, obligaciones, expresiones religiosas, organizaciones sociales y políticas, instituciones privadas, públicas, gubernamentales e internacionales; así como aquella que tiene por objeto influir en las creencias y opiniones de la ciudadanía; </w:t>
      </w:r>
    </w:p>
    <w:p w14:paraId="3A474EC1"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Mensaje No Publicitario: Aquél que se refiere únicamente a la identificación domiciliar, horario de labores y denominación del negocio o nombre del profesionista;</w:t>
      </w:r>
    </w:p>
    <w:p w14:paraId="3A474EC2"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Mobiliario Urbano: Elementos complementarios de la infraestructura y el equipamiento, de las áreas públicas, que refuerzan la imagen de la ciudad como fuentes, bancas, postes, botes de basura, cobertizos de paradas de camiones, macetas, casetas telefónicas, señalamientos, nomenclatura, banquetas, arroyos de las calles, camellones, glorietas, plazas y jardines públicos, así como sus áreas verdes y todas aquellas estructuras, objetos y elementos de creación humana, instalados en el espacio público para su uso, delimitación, servicio u ornamentación, tales como: casetas, kioscos para información o atención ciudadana, turística, ventas y promociones; </w:t>
      </w:r>
    </w:p>
    <w:p w14:paraId="3A474EC3"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Municipio: El Municipio de Tonalá, Jalisco.</w:t>
      </w:r>
    </w:p>
    <w:p w14:paraId="3A474EC4"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Obras Públicas: La Dirección General de Obras Públicas del Municipio.</w:t>
      </w:r>
    </w:p>
    <w:p w14:paraId="3A474EC5"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Padrón y Licencias: La Dirección de Padrón y Licencias del Municipio; </w:t>
      </w:r>
    </w:p>
    <w:p w14:paraId="3A474EC6"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Paisaje Urbano: El paisaje urbano es el aspecto que ofrecen las edificaciones y los demás elementos culturales que hacen posible la vida en común de los ciudadanos, así como el entorno natural en el que se insertan, los cuales conforman los rasgos característicos de la ciudad y crean un sentido de identidad colectiva, representa un factor de bienestar individual y social y un recurso económico para la ciudad, por lo cual su protección implica derechos y obligaciones para todos los habitantes; </w:t>
      </w:r>
    </w:p>
    <w:p w14:paraId="3A474EC7"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Pantalla Electrónica: Elemento por el cual se permite la transmisión de imágenes directas o proyección de imágenes indirectas, siendo estas pantallas de cualquier clase de dispositivo lumínico o material electrónico; </w:t>
      </w:r>
    </w:p>
    <w:p w14:paraId="3A474EC8"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Patrimonio cultural urbano es el conjunto de elementos urbanoarquitectónicos de la ciudad heredados por las generaciones precedentes, cuyo valor exige su preservación física y es </w:t>
      </w:r>
      <w:r w:rsidRPr="00AB293A">
        <w:rPr>
          <w:rFonts w:ascii="Gotham" w:hAnsi="Gotham" w:cs="Arial"/>
          <w:sz w:val="19"/>
          <w:szCs w:val="19"/>
        </w:rPr>
        <w:lastRenderedPageBreak/>
        <w:t>obligación de los ciudadanos y de las autoridades preservar la identidad cultural del municipio de Tonalá e inducir en las generaciones presentes el conocimiento y aprecio del paisaje urbano;</w:t>
      </w:r>
    </w:p>
    <w:p w14:paraId="3A474EC9"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Pendón o Gallardete: pieza de plástico, tela o cualquier otro material no rígido, desplegado para propósito de anuncios, avisos o señalamientos diversos;</w:t>
      </w:r>
    </w:p>
    <w:p w14:paraId="3A474ECA"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Perifoneo: Transmisión sonora de mensajes publicitarios para la promoción de productos, bienes y servicios, los cuales pueden realizarse a través de aeronaves, vehículos y personas; </w:t>
      </w:r>
    </w:p>
    <w:p w14:paraId="3A474ECB"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Permiso: La autorización expedida por la autoridad municipal competente, para la fijación, instalación, transmisión, difusión, proyección o colocación de anuncios eventuales; </w:t>
      </w:r>
    </w:p>
    <w:p w14:paraId="3A474ECC"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Planeación: la Dirección General de Planeación y Desarrollo Urbano Sustentable del municipio.</w:t>
      </w:r>
    </w:p>
    <w:p w14:paraId="3A474ECD"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Protección Civil: Dirección de Protección Civil y Bomberos del municipio;</w:t>
      </w:r>
    </w:p>
    <w:p w14:paraId="3A474ECE"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Publicista: </w:t>
      </w:r>
      <w:r w:rsidRPr="00AB293A">
        <w:rPr>
          <w:rFonts w:ascii="Gotham" w:hAnsi="Gotham" w:cs="Arial"/>
          <w:bCs/>
          <w:sz w:val="19"/>
          <w:szCs w:val="19"/>
        </w:rPr>
        <w:t xml:space="preserve">La persona física o jurídica que comercializa espacios y/o servicios publicitarios para exhibir, promover, difundir o publicitar, bienes o servicios; </w:t>
      </w:r>
    </w:p>
    <w:p w14:paraId="3A474ECF"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Refrendo: La renovación que se realice respecto de la licencia, previa verificación de la continuidad de los requerimientos cumplidos al momento del pago de los derechos establecidos en la Ley de Ingresos del Municipio de Tonalá, Jalisco correspondiente, y dentro del plazo que señala el artículo 141 de la Ley de Hacienda Municipal del Estado de Jalisco; </w:t>
      </w:r>
    </w:p>
    <w:p w14:paraId="3A474ED0"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Reglamento: El Reglamento de Anuncios para el Municipio de Tonalá, Jalisco; </w:t>
      </w:r>
    </w:p>
    <w:p w14:paraId="3A474ED1"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Remate Visual: Se considera como tal el punto focal de una perspectiva, constituido por los elementos de valor artístico, histórico patrimonial, paisajístico o urbano, cuya principal característica es que puede ser visible desde varios puntos o bien contrasta con su entorno inmediato y están determinados por este reglamento; </w:t>
      </w:r>
    </w:p>
    <w:p w14:paraId="3A474ED2"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Responsable de Anuncio: Toda persona moral o física que tenga participación de cualquier tipo en los anuncios, incluidos en este Reglamento</w:t>
      </w:r>
    </w:p>
    <w:p w14:paraId="3A474ED3"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Rotulados: Anuncios pintados directamente en la fachada; </w:t>
      </w:r>
    </w:p>
    <w:p w14:paraId="3A474ED4"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Tapial: Son los dispositivos que hacen la división perimetral de los terrenos que tienen un evento de construcción en curso; </w:t>
      </w:r>
    </w:p>
    <w:p w14:paraId="3A474ED5"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Valla: Panel, lámina o barda con o sin estructura de soporte, ubicado a nivel de piso que delimita un predio de la vía pública, con el fin de publicitar un anuncio o mensaje; </w:t>
      </w:r>
    </w:p>
    <w:p w14:paraId="3A474ED6" w14:textId="77777777" w:rsidR="009B5E39" w:rsidRPr="00AB293A" w:rsidRDefault="009B5E39" w:rsidP="009B5E39">
      <w:pPr>
        <w:pStyle w:val="Prrafodelista"/>
        <w:numPr>
          <w:ilvl w:val="0"/>
          <w:numId w:val="22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Ventanilla Única: La Oficina de atención al público, dependiente de Padrón y Licencias, en la que participarán otras áreas del Ayuntamiento, como Planeación y Obras Públicas de acuerdo a las necesidades para prestar un servicio integral y agilizar los trámites de los particulares en materia de anuncios. Padrón y Licencias solicitaran a las Cámaras a través de sus secciones especializadas, su participación en la Ventanilla única, para obtener su opinión en los casos que se tramiten, cuando así se le requiera.</w:t>
      </w:r>
    </w:p>
    <w:p w14:paraId="3A474ED7" w14:textId="77777777" w:rsidR="009B5E39" w:rsidRPr="00AB293A" w:rsidRDefault="009B5E39" w:rsidP="009B5E39">
      <w:pPr>
        <w:pStyle w:val="Prrafodelista"/>
        <w:numPr>
          <w:ilvl w:val="0"/>
          <w:numId w:val="224"/>
        </w:numPr>
        <w:autoSpaceDE w:val="0"/>
        <w:autoSpaceDN w:val="0"/>
        <w:adjustRightInd w:val="0"/>
        <w:ind w:left="1134" w:right="283" w:hanging="850"/>
        <w:contextualSpacing w:val="0"/>
        <w:jc w:val="both"/>
        <w:rPr>
          <w:rFonts w:ascii="Gotham" w:hAnsi="Gotham" w:cs="Arial"/>
          <w:sz w:val="19"/>
          <w:szCs w:val="19"/>
        </w:rPr>
      </w:pPr>
      <w:r w:rsidRPr="00AB293A">
        <w:rPr>
          <w:rFonts w:ascii="Gotham" w:hAnsi="Gotham" w:cs="Arial"/>
          <w:sz w:val="19"/>
          <w:szCs w:val="19"/>
        </w:rPr>
        <w:t>Volanteo: Distribución de impresiones con fines publicitarios.</w:t>
      </w:r>
    </w:p>
    <w:p w14:paraId="3A474ED8"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D9"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7°. </w:t>
      </w:r>
      <w:r w:rsidRPr="00AB293A">
        <w:rPr>
          <w:rFonts w:ascii="Gotham" w:hAnsi="Gotham" w:cs="Arial"/>
          <w:sz w:val="19"/>
          <w:szCs w:val="19"/>
        </w:rPr>
        <w:t>Dentro de este Reglamento quedan comprendidos los anuncios fijos, semifijos, luminosos, opacos y espectaculares.</w:t>
      </w:r>
    </w:p>
    <w:p w14:paraId="3A474EDA"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DB" w14:textId="77777777" w:rsidR="009B5E39"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Este Reglamento no será aplicable cuando se trate de:</w:t>
      </w:r>
    </w:p>
    <w:p w14:paraId="3A474EDC"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DD" w14:textId="77777777" w:rsidR="009B5E39" w:rsidRPr="00AB293A" w:rsidRDefault="009B5E39" w:rsidP="009B5E39">
      <w:pPr>
        <w:pStyle w:val="Prrafodelista"/>
        <w:numPr>
          <w:ilvl w:val="1"/>
          <w:numId w:val="209"/>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La manifestación o difusión oral, escrita o gráfica de ideas que realicen los habitantes del Municipio de Tonalá, en ejercicio de las garantías individuales consagradas a su favor por los artículos 6º, 7º y 8º de la Constitución Política de los Estados Unidos Mexicanos.</w:t>
      </w:r>
    </w:p>
    <w:p w14:paraId="3A474EDE" w14:textId="77777777" w:rsidR="009B5E39" w:rsidRPr="00AB293A" w:rsidRDefault="009B5E39" w:rsidP="009B5E39">
      <w:pPr>
        <w:pStyle w:val="Prrafodelista"/>
        <w:numPr>
          <w:ilvl w:val="1"/>
          <w:numId w:val="209"/>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lastRenderedPageBreak/>
        <w:t>Los anuncios gráficos o luminosos colocados en el interior de los lugares en dónde se realice alguna actividad comercial, profesional o de servicios, no visibles desde la vía pública, con excepción de los anuncios colocados en andadores o pasillos peatonales de nuevos proyectos de centros comerciales, y a la que el público tenga libre acceso, se regirán por las normas técnicas internas del propio Centro comercial que hayan sido autorizadas por el Ayuntamiento, o en su defecto por este Reglamento, sin perjuicio de la intervención de la autoridad Municipal para su autorización y del pago de los derechos correspondientes.</w:t>
      </w:r>
    </w:p>
    <w:p w14:paraId="3A474EDF" w14:textId="77777777" w:rsidR="009B5E39" w:rsidRPr="00AB293A" w:rsidRDefault="009B5E39" w:rsidP="009B5E39">
      <w:pPr>
        <w:pStyle w:val="Prrafodelista"/>
        <w:numPr>
          <w:ilvl w:val="1"/>
          <w:numId w:val="209"/>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Los anuncios que se difundan por radio, televisión o periódicos, Internet, ni colocados en el transporte público, los cuáles harán su trámite ante la Secretaría de Transporte o la Secretaría de Infraestructura, Comunicaciones y Transportes. </w:t>
      </w:r>
    </w:p>
    <w:p w14:paraId="3A474EE0" w14:textId="77777777" w:rsidR="009B5E39" w:rsidRPr="00AB293A" w:rsidRDefault="009B5E39" w:rsidP="009B5E39">
      <w:pPr>
        <w:pStyle w:val="Prrafodelista"/>
        <w:numPr>
          <w:ilvl w:val="1"/>
          <w:numId w:val="209"/>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Festividades culturales, deportivas o civiles del Municipio, del Estado o de la Federación, siempre y cuando no se patrocinen productos o servicios de naturaleza comercial; y</w:t>
      </w:r>
    </w:p>
    <w:p w14:paraId="3A474EE1" w14:textId="77777777" w:rsidR="009B5E39" w:rsidRPr="00AB293A" w:rsidRDefault="009B5E39" w:rsidP="009B5E39">
      <w:pPr>
        <w:pStyle w:val="Prrafodelista"/>
        <w:numPr>
          <w:ilvl w:val="1"/>
          <w:numId w:val="209"/>
        </w:numPr>
        <w:autoSpaceDE w:val="0"/>
        <w:autoSpaceDN w:val="0"/>
        <w:adjustRightInd w:val="0"/>
        <w:ind w:left="1134" w:right="283" w:hanging="850"/>
        <w:contextualSpacing w:val="0"/>
        <w:jc w:val="both"/>
        <w:rPr>
          <w:rFonts w:ascii="Gotham" w:hAnsi="Gotham" w:cs="Arial"/>
          <w:sz w:val="19"/>
          <w:szCs w:val="19"/>
        </w:rPr>
      </w:pPr>
      <w:r w:rsidRPr="00AB293A">
        <w:rPr>
          <w:rFonts w:ascii="Gotham" w:hAnsi="Gotham" w:cs="Arial"/>
          <w:sz w:val="19"/>
          <w:szCs w:val="19"/>
        </w:rPr>
        <w:t>Eventos oficiales del Municipio, del Estado o de la Federación siempre y cuando no se patrocinen productos o servicios de naturaleza comercial.</w:t>
      </w:r>
    </w:p>
    <w:p w14:paraId="3A474EE2"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E3"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8°. </w:t>
      </w:r>
      <w:r w:rsidRPr="00AB293A">
        <w:rPr>
          <w:rFonts w:ascii="Gotham" w:hAnsi="Gotham" w:cs="Arial"/>
          <w:sz w:val="19"/>
          <w:szCs w:val="19"/>
        </w:rPr>
        <w:t>Los anuncios de carácter político se regularán de conformidad con la normatividad electoral federal y estatal. La autoridad municipal vigilará el cumplimiento de la normatividad aplicable en la materia.</w:t>
      </w:r>
    </w:p>
    <w:p w14:paraId="3A474EE4"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E5"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9°. </w:t>
      </w:r>
      <w:r w:rsidRPr="00AB293A">
        <w:rPr>
          <w:rFonts w:ascii="Gotham" w:hAnsi="Gotham" w:cs="Arial"/>
          <w:sz w:val="19"/>
          <w:szCs w:val="19"/>
        </w:rPr>
        <w:t>Durante las campañas electorales, los anuncios de propaganda política se sujetarán a las disposiciones aplicables de las leyes electorales, así como a los términos y condiciones que se establezcan en los acuerdos y convenios que este Ayuntamiento celebre con las autoridades electorales.</w:t>
      </w:r>
    </w:p>
    <w:p w14:paraId="3A474EE6"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E7"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En todo caso, se establece un término máximo de treinta días naturales a partir de la fecha en que efectúen las elecciones para que se proceda, por parte de los partidos Políticos, el retiro de la publicidad instalada y de los elementos complementarios utilizados en dicha publicidad.</w:t>
      </w:r>
    </w:p>
    <w:p w14:paraId="3A474EE8"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E9" w14:textId="77777777" w:rsidR="009B5E39" w:rsidRPr="00AB293A" w:rsidRDefault="009B5E39" w:rsidP="009B5E39">
      <w:pPr>
        <w:autoSpaceDE w:val="0"/>
        <w:autoSpaceDN w:val="0"/>
        <w:adjustRightInd w:val="0"/>
        <w:ind w:left="284" w:right="283"/>
        <w:jc w:val="both"/>
        <w:rPr>
          <w:rFonts w:ascii="Gotham" w:hAnsi="Gotham" w:cs="Arial"/>
          <w:b/>
          <w:bCs/>
          <w:sz w:val="19"/>
          <w:szCs w:val="19"/>
        </w:rPr>
      </w:pPr>
      <w:r w:rsidRPr="00AB293A">
        <w:rPr>
          <w:rFonts w:ascii="Gotham" w:hAnsi="Gotham" w:cs="Arial"/>
          <w:sz w:val="19"/>
          <w:szCs w:val="19"/>
        </w:rPr>
        <w:t>En el tiempo en que no se desarrollen las campañas políticas, los anuncios de carácter político se sujetarán a las disposiciones del presente Reglamento, y se evitará su colocación en zonas especiales y edificios públicos.</w:t>
      </w:r>
      <w:r w:rsidRPr="00AB293A">
        <w:rPr>
          <w:rFonts w:ascii="Gotham" w:hAnsi="Gotham" w:cs="Arial"/>
          <w:b/>
          <w:bCs/>
          <w:sz w:val="19"/>
          <w:szCs w:val="19"/>
        </w:rPr>
        <w:t xml:space="preserve"> </w:t>
      </w:r>
    </w:p>
    <w:p w14:paraId="3A474EEA" w14:textId="77777777" w:rsidR="009B5E39" w:rsidRPr="00AB293A" w:rsidRDefault="009B5E39" w:rsidP="009B5E39">
      <w:pPr>
        <w:autoSpaceDE w:val="0"/>
        <w:autoSpaceDN w:val="0"/>
        <w:adjustRightInd w:val="0"/>
        <w:ind w:left="284" w:right="283"/>
        <w:jc w:val="both"/>
        <w:rPr>
          <w:rFonts w:ascii="Gotham" w:hAnsi="Gotham" w:cs="Arial"/>
          <w:b/>
          <w:bCs/>
          <w:sz w:val="19"/>
          <w:szCs w:val="19"/>
        </w:rPr>
      </w:pPr>
    </w:p>
    <w:p w14:paraId="3A474EEB"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Se prohíbe la colocación de propaganda política dentro de las zonas y polígonos de protección del Patrimonio edificado. Esta delimitación incluye los predios que tengan frente a las calles señaladas como límite, con excepción de los sitios dispuestos por el Ayuntamiento.</w:t>
      </w:r>
    </w:p>
    <w:p w14:paraId="3A474EEC"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ED" w14:textId="77777777" w:rsidR="009B5E39"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Los anuncios de propaganda política tienen las siguientes limitaciones: </w:t>
      </w:r>
    </w:p>
    <w:p w14:paraId="3A474EEE"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EF" w14:textId="77777777" w:rsidR="009B5E39" w:rsidRPr="00AB293A" w:rsidRDefault="009B5E39" w:rsidP="009B5E39">
      <w:pPr>
        <w:pStyle w:val="Prrafodelista"/>
        <w:numPr>
          <w:ilvl w:val="1"/>
          <w:numId w:val="177"/>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Queda prohibida su colocación en los monumentos, plazas públicas y espacios verdes, los jardines públicos, puentes peatonales o vehiculares, pasos a desnivel, así como en sujetos forestales, semáforos y en un sitio tal que interfieran o reduzcan la visibilidad de los señalamientos de tránsito; </w:t>
      </w:r>
    </w:p>
    <w:p w14:paraId="3A474EF0" w14:textId="77777777" w:rsidR="009B5E39" w:rsidRPr="00AB293A" w:rsidRDefault="009B5E39" w:rsidP="009B5E39">
      <w:pPr>
        <w:pStyle w:val="Prrafodelista"/>
        <w:numPr>
          <w:ilvl w:val="1"/>
          <w:numId w:val="177"/>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Quedan prohibidos los engomados en postes, árboles y demás mobiliario urbano de la vía pública propiedad del municipio; </w:t>
      </w:r>
    </w:p>
    <w:p w14:paraId="3A474EF1" w14:textId="77777777" w:rsidR="009B5E39" w:rsidRPr="00AB293A" w:rsidRDefault="009B5E39" w:rsidP="009B5E39">
      <w:pPr>
        <w:pStyle w:val="Prrafodelista"/>
        <w:numPr>
          <w:ilvl w:val="1"/>
          <w:numId w:val="177"/>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Queda prohibida la colocación de propaganda política de un extremo a otro de la vía pública; y </w:t>
      </w:r>
    </w:p>
    <w:p w14:paraId="3A474EF2" w14:textId="77777777" w:rsidR="009B5E39" w:rsidRPr="00AB293A" w:rsidRDefault="009B5E39" w:rsidP="009B5E39">
      <w:pPr>
        <w:pStyle w:val="Prrafodelista"/>
        <w:numPr>
          <w:ilvl w:val="1"/>
          <w:numId w:val="177"/>
        </w:numPr>
        <w:autoSpaceDE w:val="0"/>
        <w:autoSpaceDN w:val="0"/>
        <w:adjustRightInd w:val="0"/>
        <w:ind w:left="1134" w:right="283" w:hanging="850"/>
        <w:contextualSpacing w:val="0"/>
        <w:jc w:val="both"/>
        <w:rPr>
          <w:rFonts w:ascii="Gotham" w:hAnsi="Gotham" w:cs="Arial"/>
          <w:sz w:val="19"/>
          <w:szCs w:val="19"/>
        </w:rPr>
      </w:pPr>
      <w:r w:rsidRPr="00AB293A">
        <w:rPr>
          <w:rFonts w:ascii="Gotham" w:hAnsi="Gotham" w:cs="Arial"/>
          <w:sz w:val="19"/>
          <w:szCs w:val="19"/>
        </w:rPr>
        <w:t xml:space="preserve">La rotulación de bardas para propaganda política se regula en lo que a su distribución corresponde por el órgano electoral. </w:t>
      </w:r>
    </w:p>
    <w:p w14:paraId="3A474EF3"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F4"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b/>
          <w:bCs/>
          <w:sz w:val="19"/>
          <w:szCs w:val="19"/>
        </w:rPr>
        <w:t xml:space="preserve">Artículo 10°. </w:t>
      </w:r>
      <w:r w:rsidRPr="00AB293A">
        <w:rPr>
          <w:rFonts w:ascii="Gotham" w:hAnsi="Gotham"/>
          <w:sz w:val="19"/>
          <w:szCs w:val="19"/>
        </w:rPr>
        <w:t xml:space="preserve">La persona física o jurídica, pública o privada, que pretenda fijar, transmitir, proyectar, difundir, instalar o colocar anuncios regulados por este ordenamiento, debe obtener previamente la licencia o permiso, en los términos dispuestos por este reglamento y demás disposiciones aplicables, </w:t>
      </w:r>
      <w:r w:rsidRPr="00AB293A">
        <w:rPr>
          <w:rFonts w:ascii="Gotham" w:hAnsi="Gotham"/>
          <w:sz w:val="19"/>
          <w:szCs w:val="19"/>
        </w:rPr>
        <w:lastRenderedPageBreak/>
        <w:t xml:space="preserve">y cubrir los derechos que especifique la Ley de Ingresos del Municipio de Tonalá vigente, a excepción de los anuncios rotulados u opacos instalados en el interior de los mercados municipales. </w:t>
      </w:r>
    </w:p>
    <w:p w14:paraId="3A474EF5" w14:textId="77777777" w:rsidR="009B5E39" w:rsidRPr="00AB293A" w:rsidRDefault="009B5E39" w:rsidP="009B5E39">
      <w:pPr>
        <w:pStyle w:val="Default"/>
        <w:ind w:left="284" w:right="283"/>
        <w:jc w:val="both"/>
        <w:rPr>
          <w:rFonts w:ascii="Gotham" w:hAnsi="Gotham"/>
          <w:sz w:val="19"/>
          <w:szCs w:val="19"/>
        </w:rPr>
      </w:pPr>
    </w:p>
    <w:p w14:paraId="3A474EF6" w14:textId="77777777" w:rsidR="009B5E39" w:rsidRPr="00AB293A" w:rsidRDefault="009B5E39" w:rsidP="009B5E39">
      <w:pPr>
        <w:autoSpaceDE w:val="0"/>
        <w:autoSpaceDN w:val="0"/>
        <w:adjustRightInd w:val="0"/>
        <w:ind w:left="284" w:right="283"/>
        <w:jc w:val="both"/>
        <w:rPr>
          <w:rFonts w:ascii="Gotham" w:hAnsi="Gotham" w:cs="Arial"/>
          <w:bCs/>
          <w:sz w:val="19"/>
          <w:szCs w:val="19"/>
        </w:rPr>
      </w:pPr>
      <w:r w:rsidRPr="00AB293A">
        <w:rPr>
          <w:rFonts w:ascii="Gotham" w:hAnsi="Gotham" w:cs="Arial"/>
          <w:bCs/>
          <w:sz w:val="19"/>
          <w:szCs w:val="19"/>
        </w:rPr>
        <w:t xml:space="preserve">Las personas físicas o jurídicas que usen, arrenden o contraten directa o indirectamente anuncios o instalaciones publicitarias para difundir sus mensajes publicitarios, propagandísticos o de cualquier tipo, deberán de asegurarse de que el dueño del anuncio o instalación publicitaria cuenta con licencia o permiso municipal vigente, de lo contrario, en el momento que se exponga el anuncio o publicidad se hará acreedor a una sanción adicional a la responsabilidad solidaria que adquiere con el publicista. </w:t>
      </w:r>
    </w:p>
    <w:p w14:paraId="3A474EF7"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F8"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Las licencias se expiden anualmente sin perjuicio de las facultades de inspección y revocación permanentes del municipio, previo al cumplimiento de los requisitos exigidos en el presente reglamento y del pago de derechos, conforme a la Ley de Ingresos del Municipio de Tonalá vigente, pudiendo ser refrendadas sujetándose a lo que establece la Ley estatal en materia de Hacienda Municipal y el presente reglamento.</w:t>
      </w:r>
    </w:p>
    <w:p w14:paraId="3A474EF9"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 xml:space="preserve"> </w:t>
      </w:r>
    </w:p>
    <w:p w14:paraId="3A474EFA"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 xml:space="preserve">Para anuncios de vallas en tapiales, su permiso es temporal por treinta días, pudiendo prorrogarse por periodos similares por el tiempo que dure la obra con su licencia de construcción vigente y si hubiera una suspensión de la obra por más de tres meses, se deben dejar las estructuras que sirven como tapiales sin los anuncios. </w:t>
      </w:r>
    </w:p>
    <w:p w14:paraId="3A474EFB" w14:textId="77777777" w:rsidR="009B5E39" w:rsidRPr="00AB293A" w:rsidRDefault="009B5E39" w:rsidP="009B5E39">
      <w:pPr>
        <w:pStyle w:val="Default"/>
        <w:ind w:left="284" w:right="283"/>
        <w:jc w:val="both"/>
        <w:rPr>
          <w:rFonts w:ascii="Gotham" w:hAnsi="Gotham"/>
          <w:sz w:val="19"/>
          <w:szCs w:val="19"/>
        </w:rPr>
      </w:pPr>
    </w:p>
    <w:p w14:paraId="3A474EFC"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Todo anuncio que se pretenda colocar en predios de propiedad estatal o federal que se encuentren dentro del territorio municipal, deberá sujetarse invariablemente a los requisitos que para su instalación o colocación y demás disposiciones aplicables que establezca este reglamento. </w:t>
      </w:r>
    </w:p>
    <w:p w14:paraId="3A474EFD"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EFE"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b/>
          <w:bCs/>
          <w:sz w:val="19"/>
          <w:szCs w:val="19"/>
        </w:rPr>
        <w:t xml:space="preserve">Artículo 11°. </w:t>
      </w:r>
      <w:r w:rsidRPr="00AB293A">
        <w:rPr>
          <w:rFonts w:ascii="Gotham" w:hAnsi="Gotham"/>
          <w:sz w:val="19"/>
          <w:szCs w:val="19"/>
        </w:rPr>
        <w:t xml:space="preserve">No se otorgarán permisos ni licencias para la fijación, transmisión, proyección, difusión o instalación de anuncios, ni se autorizará la colocación de placas o rótulos, aun cuando sean simplemente denominativos, para anunciar las actividades de un establecimiento mercantil o espectáculo público cuando su contenido incite al consumo de tabaco, bebidas alcohólicas de alta graduación, enervantes o hagan referencia a las marcas de las mismas provocando una exposición constante a menores de edad, así como en los siguientes casos: </w:t>
      </w:r>
    </w:p>
    <w:p w14:paraId="3A474EFF" w14:textId="77777777" w:rsidR="009B5E39" w:rsidRPr="00AB293A" w:rsidRDefault="009B5E39" w:rsidP="009B5E39">
      <w:pPr>
        <w:pStyle w:val="Default"/>
        <w:ind w:left="284" w:right="283"/>
        <w:jc w:val="both"/>
        <w:rPr>
          <w:rFonts w:ascii="Gotham" w:hAnsi="Gotham"/>
          <w:sz w:val="19"/>
          <w:szCs w:val="19"/>
        </w:rPr>
      </w:pPr>
    </w:p>
    <w:p w14:paraId="3A474F00"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su contenido haga referencia a ideas o imágenes con textos o figuras que inciten a la violencia, promuevan conductas ilícitas, tengan contenido pornográfico, contrarios a la moral pública y a la convivencia social, resulten ofensivos, difamatorios, proporcionen información falsa o atenten contra la dignidad del individuo o de la comunidad en general; </w:t>
      </w:r>
    </w:p>
    <w:p w14:paraId="3A474F01"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Cuando su contenido fomente la discriminación, se atente contra la dignidad de las personas o se vulneren los derechos humanos reconocidos en la Constitución Federal y en la Convención Americana de Derechos Humanos, y en los tratados, convenciones o acuerdos internacionales que el Gobierno federal haya firmado o los que celebre o de que forme parte;</w:t>
      </w:r>
    </w:p>
    <w:p w14:paraId="3A474F02"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los anuncios alteren el entorno urbano y arquitectónico ocasionando un desorden y caos visual propiciando la falta de identidad, el desarraigo de la población y el deterioro de la calidad medio ambiental (auditivo, visual, táctil y olfativo) en la ciudad, de conformidad a lo establecido en las garantías constitucionales; </w:t>
      </w:r>
    </w:p>
    <w:p w14:paraId="3A474F03"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Cuando se trate de la venta de terrenos, lotes fraccionados, casas o locales comerciales como resultado de obras de urbanización que no cuentan con alguna de las licencias, autorizaciones o permisos por parte del municipio en materia de control de la edificación, protección civil, medio ambiente y demás aplicables en otras disposiciones reglamentarias por lo que se deberá sujetar a los requisitos establecidos en el artículo 298 del Código Urbano para el Estado de Jalisco;</w:t>
      </w:r>
    </w:p>
    <w:p w14:paraId="3A474F04"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el bien o servicio de que se trate, pueda poner en riesgo los intereses generales de la comunidad; </w:t>
      </w:r>
    </w:p>
    <w:p w14:paraId="3A474F05"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lastRenderedPageBreak/>
        <w:t xml:space="preserve">Aquellos que, por su ubicación, dimensiones o materiales empleados en su construcción, instalación o distribución, puedan poner en peligro la vida o la integridad física de las personas, el patrimonio o la seguridad de sus bienes, lo cual será determinado por el dictamen que emita </w:t>
      </w:r>
      <w:r w:rsidRPr="00AB293A">
        <w:rPr>
          <w:rFonts w:ascii="Gotham" w:hAnsi="Gotham"/>
          <w:bCs/>
          <w:sz w:val="19"/>
          <w:szCs w:val="19"/>
        </w:rPr>
        <w:t xml:space="preserve">Protección Civil y Bomberos del Municipio; </w:t>
      </w:r>
    </w:p>
    <w:p w14:paraId="3A474F06"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por su ubicación, dimensiones o materiales empleados en su construcción o instalación impidan u obstaculicen la visibilidad del libre tránsito de vehículos y personas; tengan semejanza con los signos o indicaciones que regulen el tránsito, informativos, restrictivos o preventivos; </w:t>
      </w:r>
    </w:p>
    <w:p w14:paraId="3A474F07"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estén colocados en: </w:t>
      </w:r>
    </w:p>
    <w:p w14:paraId="3A474F08" w14:textId="77777777" w:rsidR="009B5E39" w:rsidRPr="00AB293A" w:rsidRDefault="009B5E39" w:rsidP="009B5E39">
      <w:pPr>
        <w:pStyle w:val="Default"/>
        <w:numPr>
          <w:ilvl w:val="0"/>
          <w:numId w:val="180"/>
        </w:numPr>
        <w:spacing w:after="120"/>
        <w:ind w:left="1560" w:right="283" w:hanging="426"/>
        <w:jc w:val="both"/>
        <w:rPr>
          <w:rFonts w:ascii="Gotham" w:hAnsi="Gotham"/>
          <w:sz w:val="19"/>
          <w:szCs w:val="19"/>
        </w:rPr>
      </w:pPr>
      <w:r w:rsidRPr="00AB293A">
        <w:rPr>
          <w:rFonts w:ascii="Gotham" w:hAnsi="Gotham"/>
          <w:sz w:val="19"/>
          <w:szCs w:val="19"/>
        </w:rPr>
        <w:t xml:space="preserve">Ventanas, puertas, muros de vidrio, acrílicos u otros elementos, cuando obstruyan totalmente la iluminación o cuando impidan la ventilación al interior de las edificaciones; </w:t>
      </w:r>
    </w:p>
    <w:p w14:paraId="3A474F09" w14:textId="77777777" w:rsidR="009B5E39" w:rsidRPr="00AB293A" w:rsidRDefault="009B5E39" w:rsidP="009B5E39">
      <w:pPr>
        <w:pStyle w:val="Default"/>
        <w:numPr>
          <w:ilvl w:val="0"/>
          <w:numId w:val="180"/>
        </w:numPr>
        <w:spacing w:after="120"/>
        <w:ind w:left="1560" w:right="283" w:hanging="426"/>
        <w:jc w:val="both"/>
        <w:rPr>
          <w:rFonts w:ascii="Gotham" w:hAnsi="Gotham"/>
          <w:sz w:val="19"/>
          <w:szCs w:val="19"/>
        </w:rPr>
      </w:pPr>
      <w:r w:rsidRPr="00AB293A">
        <w:rPr>
          <w:rFonts w:ascii="Gotham" w:hAnsi="Gotham"/>
          <w:sz w:val="19"/>
          <w:szCs w:val="19"/>
        </w:rPr>
        <w:t xml:space="preserve">Entradas o áreas de circulación de pórticos, pasajes y portales, así como en las fincas de valor artístico y patrimonial; </w:t>
      </w:r>
    </w:p>
    <w:p w14:paraId="3A474F0A" w14:textId="77777777" w:rsidR="009B5E39" w:rsidRPr="00AB293A" w:rsidRDefault="009B5E39" w:rsidP="009B5E39">
      <w:pPr>
        <w:pStyle w:val="Default"/>
        <w:numPr>
          <w:ilvl w:val="0"/>
          <w:numId w:val="180"/>
        </w:numPr>
        <w:spacing w:after="120"/>
        <w:ind w:left="1560" w:right="283" w:hanging="426"/>
        <w:jc w:val="both"/>
        <w:rPr>
          <w:rFonts w:ascii="Gotham" w:hAnsi="Gotham"/>
          <w:sz w:val="19"/>
          <w:szCs w:val="19"/>
        </w:rPr>
      </w:pPr>
      <w:r w:rsidRPr="00AB293A">
        <w:rPr>
          <w:rFonts w:ascii="Gotham" w:hAnsi="Gotham"/>
          <w:sz w:val="19"/>
          <w:szCs w:val="19"/>
        </w:rPr>
        <w:t xml:space="preserve">Columnas de cualquier estilo arquitectónico. </w:t>
      </w:r>
    </w:p>
    <w:p w14:paraId="3A474F0B"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la publicidad sea sostenida o usada por personas, así como la colocada sobre éstas en la vía y espacios públicos dentro del Municipio de Tonalá; </w:t>
      </w:r>
    </w:p>
    <w:p w14:paraId="3A474F0C"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se haga a través de la instalación, fijación o proyección de cualquier tipo de publicidad en la vía pública, áreas verdes y reservas naturales en el Municipio; </w:t>
      </w:r>
    </w:p>
    <w:p w14:paraId="3A474F0D"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se realice de forma aérea, ya sea mediante impresos o Aero parlantes o, de cualquier forma; </w:t>
      </w:r>
    </w:p>
    <w:p w14:paraId="3A474F0E"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Cuando se trate de anuncios construidos de metal, madera, vidrio o de otros materiales que requieran estar sujetos a normas técnicas y de seguridad específica, y no cuenten con los dictámenes técnicos correspondientes, en el que se señale que no representa riesgo para la comunidad; </w:t>
      </w:r>
    </w:p>
    <w:p w14:paraId="3A474F0F" w14:textId="77777777" w:rsidR="009B5E39" w:rsidRPr="00AB293A" w:rsidRDefault="009B5E39" w:rsidP="009B5E39">
      <w:pPr>
        <w:pStyle w:val="Default"/>
        <w:numPr>
          <w:ilvl w:val="1"/>
          <w:numId w:val="179"/>
        </w:numPr>
        <w:spacing w:after="120"/>
        <w:ind w:left="1134" w:right="283" w:hanging="850"/>
        <w:jc w:val="both"/>
        <w:rPr>
          <w:rFonts w:ascii="Gotham" w:hAnsi="Gotham"/>
          <w:sz w:val="19"/>
          <w:szCs w:val="19"/>
        </w:rPr>
      </w:pPr>
      <w:r w:rsidRPr="00AB293A">
        <w:rPr>
          <w:rFonts w:ascii="Gotham" w:hAnsi="Gotham"/>
          <w:sz w:val="19"/>
          <w:szCs w:val="19"/>
        </w:rPr>
        <w:t xml:space="preserve">Donde obstaculice el campo visual del paisaje histórico urbano, como en los remates visuales de calles y avenidas consideradas de valor histórico, artístico patrimonial o ambiental en el Municipio de conformidad con los Planes de Desarrollo Urbano de Centro de Población; </w:t>
      </w:r>
    </w:p>
    <w:p w14:paraId="3A474F10" w14:textId="77777777" w:rsidR="009B5E39" w:rsidRPr="00AB293A" w:rsidRDefault="009B5E39" w:rsidP="009B5E39">
      <w:pPr>
        <w:pStyle w:val="Default"/>
        <w:numPr>
          <w:ilvl w:val="1"/>
          <w:numId w:val="179"/>
        </w:numPr>
        <w:spacing w:after="120"/>
        <w:ind w:left="1134" w:right="283" w:hanging="850"/>
        <w:jc w:val="both"/>
        <w:rPr>
          <w:rFonts w:ascii="Gotham" w:hAnsi="Gotham"/>
          <w:b/>
          <w:color w:val="auto"/>
          <w:sz w:val="19"/>
          <w:szCs w:val="19"/>
        </w:rPr>
      </w:pPr>
      <w:r w:rsidRPr="00AB293A">
        <w:rPr>
          <w:rFonts w:ascii="Gotham" w:hAnsi="Gotham"/>
          <w:sz w:val="19"/>
          <w:szCs w:val="19"/>
        </w:rPr>
        <w:t xml:space="preserve">En las edificaciones de uso habitacional, así como en las áreas comunes de las mismas, aun cuando se cuente con el consentimiento del titular o poseedor del inmueble o de la mayoría de los </w:t>
      </w:r>
      <w:r w:rsidRPr="00AB293A">
        <w:rPr>
          <w:rFonts w:ascii="Gotham" w:hAnsi="Gotham"/>
          <w:color w:val="auto"/>
          <w:sz w:val="19"/>
          <w:szCs w:val="19"/>
        </w:rPr>
        <w:t xml:space="preserve">titulares tratándose de régimen condominal, </w:t>
      </w:r>
      <w:r w:rsidRPr="00AB293A">
        <w:rPr>
          <w:rFonts w:ascii="Gotham" w:hAnsi="Gotham"/>
          <w:bCs/>
          <w:color w:val="auto"/>
          <w:sz w:val="19"/>
          <w:szCs w:val="19"/>
        </w:rPr>
        <w:t>con excepción de lo dispuesto en el artículo 42° se refiere a zonas habitacionales del presente reglamento; y</w:t>
      </w:r>
      <w:r w:rsidRPr="00AB293A">
        <w:rPr>
          <w:rFonts w:ascii="Gotham" w:hAnsi="Gotham"/>
          <w:b/>
          <w:bCs/>
          <w:color w:val="auto"/>
          <w:sz w:val="19"/>
          <w:szCs w:val="19"/>
        </w:rPr>
        <w:t xml:space="preserve"> </w:t>
      </w:r>
    </w:p>
    <w:p w14:paraId="3A474F11" w14:textId="77777777" w:rsidR="009B5E39" w:rsidRPr="00AB293A" w:rsidRDefault="009B5E39" w:rsidP="009B5E39">
      <w:pPr>
        <w:pStyle w:val="Default"/>
        <w:numPr>
          <w:ilvl w:val="1"/>
          <w:numId w:val="179"/>
        </w:numPr>
        <w:ind w:left="1134" w:right="283" w:hanging="850"/>
        <w:jc w:val="both"/>
        <w:rPr>
          <w:rFonts w:ascii="Gotham" w:hAnsi="Gotham"/>
          <w:color w:val="auto"/>
          <w:sz w:val="19"/>
          <w:szCs w:val="19"/>
        </w:rPr>
      </w:pPr>
      <w:r w:rsidRPr="00AB293A">
        <w:rPr>
          <w:rFonts w:ascii="Gotham" w:hAnsi="Gotham"/>
          <w:color w:val="auto"/>
          <w:sz w:val="19"/>
          <w:szCs w:val="19"/>
        </w:rPr>
        <w:t>Cuando el anuncio se pretenda instalar en los sitios de hitos urbanos y emblemáticos del Municipio de Tonalá, en un radio menor a 250 metros a partir del punto central del sitio en mención.</w:t>
      </w:r>
    </w:p>
    <w:p w14:paraId="3A474F12" w14:textId="77777777" w:rsidR="009B5E39" w:rsidRPr="00AB293A" w:rsidRDefault="009B5E39" w:rsidP="009B5E39">
      <w:pPr>
        <w:pStyle w:val="Default"/>
        <w:ind w:left="284" w:right="283"/>
        <w:jc w:val="both"/>
        <w:rPr>
          <w:rFonts w:ascii="Gotham" w:hAnsi="Gotham"/>
          <w:sz w:val="19"/>
          <w:szCs w:val="19"/>
        </w:rPr>
      </w:pPr>
    </w:p>
    <w:p w14:paraId="3A474F13"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12°. </w:t>
      </w:r>
      <w:r w:rsidRPr="00AB293A">
        <w:rPr>
          <w:rFonts w:ascii="Gotham" w:hAnsi="Gotham" w:cs="Arial"/>
          <w:sz w:val="19"/>
          <w:szCs w:val="19"/>
        </w:rPr>
        <w:t>El Ayuntamiento requerirá, en los casos que a continuación se indican, que el solicitante presente el registro o autorización previos de la autoridad Federal, Estatal, o Municipal competente, que permitan la difusión al público del bien o servicio del que se trate, para efecto de otorgar la licencia o permiso respectivo en los siguientes casos:</w:t>
      </w:r>
    </w:p>
    <w:p w14:paraId="3A474F14"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15" w14:textId="77777777" w:rsidR="009B5E39" w:rsidRPr="00AB293A" w:rsidRDefault="009B5E39" w:rsidP="009B5E39">
      <w:pPr>
        <w:pStyle w:val="Prrafodelista"/>
        <w:numPr>
          <w:ilvl w:val="0"/>
          <w:numId w:val="17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Cuando se trate de bienes o servicios nuevos que vayan a introducir al mercado y que puedan poner en riesgo la integridad física o salud de los consumidores;</w:t>
      </w:r>
    </w:p>
    <w:p w14:paraId="3A474F16" w14:textId="77777777" w:rsidR="009B5E39" w:rsidRPr="00AB293A" w:rsidRDefault="009B5E39" w:rsidP="009B5E39">
      <w:pPr>
        <w:pStyle w:val="Prrafodelista"/>
        <w:numPr>
          <w:ilvl w:val="0"/>
          <w:numId w:val="174"/>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Cuando se trate de la venta de terrenos, lotes fraccionados, casas o locales comerciales como resultado de obras de urbanización por lo que se deberá sujetar a los requisitos establecidos en el artículo 298 del Código Urbano para el Estado de Jalisco;</w:t>
      </w:r>
    </w:p>
    <w:p w14:paraId="3A474F17" w14:textId="77777777" w:rsidR="009B5E39" w:rsidRPr="00AB293A" w:rsidRDefault="009B5E39" w:rsidP="009B5E39">
      <w:pPr>
        <w:pStyle w:val="Prrafodelista"/>
        <w:numPr>
          <w:ilvl w:val="0"/>
          <w:numId w:val="174"/>
        </w:numPr>
        <w:autoSpaceDE w:val="0"/>
        <w:autoSpaceDN w:val="0"/>
        <w:adjustRightInd w:val="0"/>
        <w:ind w:left="1134" w:right="283" w:hanging="850"/>
        <w:contextualSpacing w:val="0"/>
        <w:jc w:val="both"/>
        <w:rPr>
          <w:rFonts w:ascii="Gotham" w:hAnsi="Gotham" w:cs="Arial"/>
          <w:sz w:val="19"/>
          <w:szCs w:val="19"/>
        </w:rPr>
      </w:pPr>
      <w:r w:rsidRPr="00AB293A">
        <w:rPr>
          <w:rFonts w:ascii="Gotham" w:hAnsi="Gotham" w:cs="Arial"/>
          <w:sz w:val="19"/>
          <w:szCs w:val="19"/>
        </w:rPr>
        <w:t xml:space="preserve">Cuando la autoridad Municipal tenga una duda razonable en términos de que el bien o servicio del que se trate, pueda tener en riesgo los intereses generales de la comunidad. </w:t>
      </w:r>
    </w:p>
    <w:p w14:paraId="3A474F18"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19"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No se otorgarán permisos ni licencias para la fijación, o instalación de anuncios ni se autorizará la colocación de placas o rótulos, aun cuando sean simplemente denominativos, para anunciar las actividades de un establecimiento mercantil o espectáculo público, sin que se acredite previamente haber obtenido la licencia o permiso de funcionamiento respectivo, tratándose de giros regulados por el Reglamento de comercio para el Municipio de Tonalá, Jalisco.</w:t>
      </w:r>
    </w:p>
    <w:p w14:paraId="3A474F1A"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1B"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Padrón y Licencias dispondrán de formatos únicos a efecto de que al solicitarse la expedición de la licencia o permiso de funcionamiento de un establecimiento mercantil o de un espectáculo público, en su caso, se otorgue concomitantemente la licencia o permiso para la fijación, instalación o colocación de los anuncios respectivos.</w:t>
      </w:r>
    </w:p>
    <w:p w14:paraId="3A474F1C"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1D"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13°. </w:t>
      </w:r>
      <w:r w:rsidRPr="00AB293A">
        <w:rPr>
          <w:rFonts w:ascii="Gotham" w:hAnsi="Gotham" w:cs="Arial"/>
          <w:sz w:val="19"/>
          <w:szCs w:val="19"/>
        </w:rPr>
        <w:t>En ningún caso se otorgará la licencia para la colocación de anuncios que por su ubicación y características, puedan poner en peligro la salud, la vida o la integridad física de las personas o de las cosas, así como ocasionar molestias a los transeúntes, a los vecinos del lugar, que pueda afectar la normal prestación de los servicios públicos, la limpieza e higiene, o alterar la compatibilidad de uso o destino del inmueble, no emplear signos, indicaciones, formas, colores, palabras, franjas o superficies reflejantes parecidos a los utilizados en los señalamientos para regular el tránsito.</w:t>
      </w:r>
    </w:p>
    <w:p w14:paraId="3A474F1E"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1F"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En particular cuando se trate de anuncios estructurales, espectaculares o construidos de metal, madera, vidrio o de otros materiales que requieran estar sujetos a normas técnicas y de seguridad específicas, se emitirá un dictamen técnico para que se otorgue después de haber cumplido con los requerimientos marcados por este reglamento, la licencia o permiso correspondiente. Al efecto, el solicitante deberá presentar junto con su petición el cálculo estructural firmado por el perito responsable, quien se hará cargo de la supervisión y seguridad de la construcción del mismo. </w:t>
      </w:r>
    </w:p>
    <w:p w14:paraId="3A474F20"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21"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La publicidad relativa a productos nocivos a la salud deberá ajustarse además de lo previsto en este Reglamento, a lo dispuesto en el Reglamento de la Ley General de Salud en Materia de Control Sanitario de la Publicidad.</w:t>
      </w:r>
    </w:p>
    <w:p w14:paraId="3A474F22"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23"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14°. </w:t>
      </w:r>
      <w:r w:rsidRPr="00AB293A">
        <w:rPr>
          <w:rFonts w:ascii="Gotham" w:hAnsi="Gotham" w:cs="Arial"/>
          <w:sz w:val="19"/>
          <w:szCs w:val="19"/>
        </w:rPr>
        <w:t>No requieren de licencia para su colocación, los anuncios fijos que tengan carácter de no publicitarios, que no rebasen de 0.60 centímetros de superficie, elaborados con cualquier material, que se refieran exclusivamente a la identificación domiciliar, que sean avisos eventuales, anuncios de emergencia, servicios sociales o profesionales, siempre y cuando se instale uno solo por finca o negocio, según el caso. Cuando se pretenda instalar este tipo de anuncios dentro de las zonas consideradas por este reglamento como zonas especiales el interesado deberá presentar ante la autoridad Municipal, un croquis acotado o fotografía con dimensiones de dicho anuncio y el lugar en que se pretenda instalar y sujetarse a las restricciones que se establecen en este reglamento para la instalación de anuncios en dichas zonas.</w:t>
      </w:r>
    </w:p>
    <w:p w14:paraId="3A474F24"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25"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15°. </w:t>
      </w:r>
      <w:r w:rsidRPr="00AB293A">
        <w:rPr>
          <w:rFonts w:ascii="Gotham" w:hAnsi="Gotham" w:cs="Arial"/>
          <w:sz w:val="19"/>
          <w:szCs w:val="19"/>
        </w:rPr>
        <w:t>Corresponde al Ayuntamiento por conducto de la Dirección de Padrón y Licencias, la cual solicitará la intervención de Inspección y Vigilancia, de Obras Públicas, de Planeación y de las demás dependencias municipales en los aspectos técnicos de sus respectivas competencias; Padrón y Licencias, tiene las siguientes atribuciones:</w:t>
      </w:r>
    </w:p>
    <w:p w14:paraId="3A474F26"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27"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Expedir licencias o permisos para la instalación, fijación o colocación de los anuncios a que se refiere el presente reglamento y en su caso, negar, revocar o cancelar las licencias o permisos.</w:t>
      </w:r>
    </w:p>
    <w:p w14:paraId="3A474F28"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Promover las acciones de coordinación con todas las Dependencias Municipales y con otros niveles de Gobierno que tengan injerencia en cualquier trámite relativo a los anuncios y prestar servicio al público a través de la ventanilla para realizar trámites. </w:t>
      </w:r>
    </w:p>
    <w:p w14:paraId="3A474F29"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Negar, revocar o cancelar, con la debida fundamentación y motivación, las Licencias o Permisos, para la fijación, colocación o instalación de anuncios;</w:t>
      </w:r>
    </w:p>
    <w:p w14:paraId="3A474F2A"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lastRenderedPageBreak/>
        <w:t>Solicitar a la Hacienda Municipal que determine el costo de cada licencia sobre la base de las tarifas autorizadas por la Ley de Ingresos Municipales vigente.</w:t>
      </w:r>
    </w:p>
    <w:p w14:paraId="3A474F2B"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Ordenar y realizar visitas de inspección en los lugares donde hubieren autorizado la fijación, colocación o instalación de anuncios y ordenar los trabajos de conservación, mantenimiento y reparación que fueren necesarios para garantizar su estabilidad, seguridad y conservación; </w:t>
      </w:r>
    </w:p>
    <w:p w14:paraId="3A474F2C"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Solicitar a Inspección y Vigilancia, previo dictamen de Obras Públicas o Protección Civil, el retiro o modificación de los anuncios que constituyan un peligro para la estabilidad de la construcción en que se encuentran instalados, o para la vida y seguridad de las personas y de los bienes, como los que se instalen sin antes obtener su licencia o permiso provisional, y en su caso, a través de Planeación, Obras Públicas, Inspección y Vigilancia, Sindicatura, y demás Dependencias involucradas y si fuera necesario empresas privadas, para ejecutar los trabajos necesarios para el retiro o modificación a costa y riesgo del propietario del anuncio y/o del propietario del predio donde se encuentre ubicado el mismo, en los términos de lo dispuesto por este Reglamento.</w:t>
      </w:r>
    </w:p>
    <w:p w14:paraId="3A474F2D"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Expedir licencias o permisos a través de la Dirección General de Planeación y Desarrollo Urbano Sustentable para ejecutar obras de ampliación o modificación de anuncios del tipo semiestructural o estructural. </w:t>
      </w:r>
    </w:p>
    <w:p w14:paraId="3A474F2E"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Expedir autorizaciones para ejecutar obras de modificación o ampliación de los anuncios.</w:t>
      </w:r>
    </w:p>
    <w:p w14:paraId="3A474F2F"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Llevar un control y registro de las Licencias y Permisos otorgados.</w:t>
      </w:r>
    </w:p>
    <w:p w14:paraId="3A474F30"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Resolver el recurso de reconsideración previsto en este ordenamiento, con la opinión de Planeación.</w:t>
      </w:r>
    </w:p>
    <w:p w14:paraId="3A474F31" w14:textId="77777777" w:rsidR="009B5E39" w:rsidRPr="00AB293A" w:rsidRDefault="009B5E39" w:rsidP="009B5E39">
      <w:pPr>
        <w:pStyle w:val="Default"/>
        <w:numPr>
          <w:ilvl w:val="0"/>
          <w:numId w:val="175"/>
        </w:numPr>
        <w:spacing w:after="120"/>
        <w:ind w:left="1134" w:right="283" w:hanging="850"/>
        <w:jc w:val="both"/>
        <w:rPr>
          <w:rFonts w:ascii="Gotham" w:hAnsi="Gotham"/>
          <w:sz w:val="19"/>
          <w:szCs w:val="19"/>
        </w:rPr>
      </w:pPr>
      <w:r w:rsidRPr="00AB293A">
        <w:rPr>
          <w:rFonts w:ascii="Gotham" w:hAnsi="Gotham"/>
          <w:sz w:val="19"/>
          <w:szCs w:val="19"/>
        </w:rPr>
        <w:t>Establecer y actualizar permanentemente los siguientes registros:</w:t>
      </w:r>
    </w:p>
    <w:p w14:paraId="3A474F32" w14:textId="77777777" w:rsidR="009B5E39" w:rsidRPr="00AB293A" w:rsidRDefault="009B5E39" w:rsidP="009B5E39">
      <w:pPr>
        <w:pStyle w:val="Prrafodelista"/>
        <w:numPr>
          <w:ilvl w:val="1"/>
          <w:numId w:val="176"/>
        </w:numPr>
        <w:autoSpaceDE w:val="0"/>
        <w:autoSpaceDN w:val="0"/>
        <w:adjustRightInd w:val="0"/>
        <w:spacing w:after="120"/>
        <w:ind w:left="1560" w:right="283" w:hanging="426"/>
        <w:contextualSpacing w:val="0"/>
        <w:rPr>
          <w:rFonts w:ascii="Gotham" w:hAnsi="Gotham" w:cs="Arial"/>
          <w:sz w:val="19"/>
          <w:szCs w:val="19"/>
        </w:rPr>
      </w:pPr>
      <w:r w:rsidRPr="00AB293A">
        <w:rPr>
          <w:rFonts w:ascii="Gotham" w:hAnsi="Gotham" w:cs="Arial"/>
          <w:sz w:val="19"/>
          <w:szCs w:val="19"/>
        </w:rPr>
        <w:t>De fabricantes de anuncios;</w:t>
      </w:r>
    </w:p>
    <w:p w14:paraId="3A474F33" w14:textId="77777777" w:rsidR="009B5E39" w:rsidRPr="00AB293A" w:rsidRDefault="009B5E39" w:rsidP="009B5E39">
      <w:pPr>
        <w:pStyle w:val="Prrafodelista"/>
        <w:numPr>
          <w:ilvl w:val="1"/>
          <w:numId w:val="176"/>
        </w:numPr>
        <w:autoSpaceDE w:val="0"/>
        <w:autoSpaceDN w:val="0"/>
        <w:adjustRightInd w:val="0"/>
        <w:spacing w:after="120"/>
        <w:ind w:left="1560" w:right="283" w:hanging="426"/>
        <w:contextualSpacing w:val="0"/>
        <w:rPr>
          <w:rFonts w:ascii="Gotham" w:hAnsi="Gotham" w:cs="Arial"/>
          <w:sz w:val="19"/>
          <w:szCs w:val="19"/>
        </w:rPr>
      </w:pPr>
      <w:r w:rsidRPr="00AB293A">
        <w:rPr>
          <w:rFonts w:ascii="Gotham" w:hAnsi="Gotham" w:cs="Arial"/>
          <w:sz w:val="19"/>
          <w:szCs w:val="19"/>
        </w:rPr>
        <w:t>De arrendadoras de publicidad exterior;</w:t>
      </w:r>
    </w:p>
    <w:p w14:paraId="3A474F34" w14:textId="77777777" w:rsidR="009B5E39" w:rsidRPr="00AB293A" w:rsidRDefault="009B5E39" w:rsidP="009B5E39">
      <w:pPr>
        <w:pStyle w:val="Prrafodelista"/>
        <w:numPr>
          <w:ilvl w:val="1"/>
          <w:numId w:val="176"/>
        </w:numPr>
        <w:autoSpaceDE w:val="0"/>
        <w:autoSpaceDN w:val="0"/>
        <w:adjustRightInd w:val="0"/>
        <w:spacing w:after="120"/>
        <w:ind w:left="1560" w:right="283" w:hanging="426"/>
        <w:contextualSpacing w:val="0"/>
        <w:rPr>
          <w:rFonts w:ascii="Gotham" w:hAnsi="Gotham" w:cs="Arial"/>
          <w:sz w:val="19"/>
          <w:szCs w:val="19"/>
        </w:rPr>
      </w:pPr>
      <w:r w:rsidRPr="00AB293A">
        <w:rPr>
          <w:rFonts w:ascii="Gotham" w:hAnsi="Gotham" w:cs="Arial"/>
          <w:sz w:val="19"/>
          <w:szCs w:val="19"/>
        </w:rPr>
        <w:t>De rotulistas;</w:t>
      </w:r>
    </w:p>
    <w:p w14:paraId="3A474F35" w14:textId="77777777" w:rsidR="009B5E39" w:rsidRPr="00AB293A" w:rsidRDefault="009B5E39" w:rsidP="009B5E39">
      <w:pPr>
        <w:pStyle w:val="Prrafodelista"/>
        <w:numPr>
          <w:ilvl w:val="1"/>
          <w:numId w:val="176"/>
        </w:numPr>
        <w:autoSpaceDE w:val="0"/>
        <w:autoSpaceDN w:val="0"/>
        <w:adjustRightInd w:val="0"/>
        <w:spacing w:after="120"/>
        <w:ind w:left="1560" w:right="283" w:hanging="426"/>
        <w:contextualSpacing w:val="0"/>
        <w:rPr>
          <w:rFonts w:ascii="Gotham" w:hAnsi="Gotham" w:cs="Arial"/>
          <w:sz w:val="19"/>
          <w:szCs w:val="19"/>
        </w:rPr>
      </w:pPr>
      <w:r w:rsidRPr="00AB293A">
        <w:rPr>
          <w:rFonts w:ascii="Gotham" w:hAnsi="Gotham" w:cs="Arial"/>
          <w:sz w:val="19"/>
          <w:szCs w:val="19"/>
        </w:rPr>
        <w:t>De peritos registrados en la Dirección de Planeación y Desarrollo;</w:t>
      </w:r>
    </w:p>
    <w:p w14:paraId="3A474F36" w14:textId="77777777" w:rsidR="009B5E39" w:rsidRPr="00AB293A" w:rsidRDefault="009B5E39" w:rsidP="009B5E39">
      <w:pPr>
        <w:pStyle w:val="Prrafodelista"/>
        <w:numPr>
          <w:ilvl w:val="1"/>
          <w:numId w:val="176"/>
        </w:numPr>
        <w:autoSpaceDE w:val="0"/>
        <w:autoSpaceDN w:val="0"/>
        <w:adjustRightInd w:val="0"/>
        <w:spacing w:after="120"/>
        <w:ind w:left="1560" w:right="283" w:hanging="426"/>
        <w:contextualSpacing w:val="0"/>
        <w:rPr>
          <w:rFonts w:ascii="Gotham" w:hAnsi="Gotham" w:cs="Arial"/>
          <w:sz w:val="19"/>
          <w:szCs w:val="19"/>
        </w:rPr>
      </w:pPr>
      <w:r w:rsidRPr="00AB293A">
        <w:rPr>
          <w:rFonts w:ascii="Gotham" w:hAnsi="Gotham" w:cs="Arial"/>
          <w:sz w:val="19"/>
          <w:szCs w:val="19"/>
        </w:rPr>
        <w:t>De licencias y permisos otorgados.</w:t>
      </w:r>
    </w:p>
    <w:p w14:paraId="3A474F37"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Coordinar a los organismos oficiales, descentralizados o privados que, como prestadores de servicios públicos o sociales, requieran de señalamientos o anuncios en vías públicas para el desempeño de sus funciones o para la instrumentación de programas o campañas de carácter social, cultural o deportivo, estableciendo las condiciones especiales a que habrán de sujetarse.</w:t>
      </w:r>
    </w:p>
    <w:p w14:paraId="3A474F38"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Solicitar a Planeación que realice inspecciones a las obras de instalación de anuncios, en proceso de ejecución.</w:t>
      </w:r>
    </w:p>
    <w:p w14:paraId="3A474F39"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Solicitar a Inspección y Vigilancia y a Planeación que apliquen las medidas de seguridad y levantar las actas de inspección para la aplicación de las sanciones que correspondan por infracciones al presente reglamento.</w:t>
      </w:r>
    </w:p>
    <w:p w14:paraId="3A474F3A"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Solicitar a la Dirección de Protección Civil y Bomberos realice la inspección de la seguridad del anuncio, y en caso de ser necesario, requerir la intervención de la Dirección de Inspección y Vigilancia, para que levante las actas de inspección o el retiro del anuncio como aplicación de medidas de seguridad o por infracciones al presente reglamento; </w:t>
      </w:r>
    </w:p>
    <w:p w14:paraId="3A474F3B" w14:textId="77777777" w:rsidR="009B5E39" w:rsidRPr="00AB293A" w:rsidRDefault="009B5E39" w:rsidP="009B5E39">
      <w:pPr>
        <w:pStyle w:val="Prrafodelista"/>
        <w:numPr>
          <w:ilvl w:val="0"/>
          <w:numId w:val="175"/>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Solicitar a Inspección y Vigilancia el auxilio de la fuerza pública cuando fuera necesario.</w:t>
      </w:r>
    </w:p>
    <w:p w14:paraId="3A474F3C" w14:textId="77777777" w:rsidR="009B5E39" w:rsidRPr="00AB293A" w:rsidRDefault="009B5E39" w:rsidP="009B5E39">
      <w:pPr>
        <w:pStyle w:val="Prrafodelista"/>
        <w:numPr>
          <w:ilvl w:val="0"/>
          <w:numId w:val="175"/>
        </w:numPr>
        <w:autoSpaceDE w:val="0"/>
        <w:autoSpaceDN w:val="0"/>
        <w:adjustRightInd w:val="0"/>
        <w:ind w:left="1134" w:right="283" w:hanging="850"/>
        <w:contextualSpacing w:val="0"/>
        <w:jc w:val="both"/>
        <w:rPr>
          <w:rFonts w:ascii="Gotham" w:hAnsi="Gotham" w:cs="Arial"/>
          <w:sz w:val="19"/>
          <w:szCs w:val="19"/>
        </w:rPr>
      </w:pPr>
      <w:r w:rsidRPr="00AB293A">
        <w:rPr>
          <w:rFonts w:ascii="Gotham" w:hAnsi="Gotham" w:cs="Arial"/>
          <w:sz w:val="19"/>
          <w:szCs w:val="19"/>
        </w:rPr>
        <w:t xml:space="preserve">Las demás que le confiere este Reglamento y otras disposiciones jurídicas y administrativas aplicables. </w:t>
      </w:r>
    </w:p>
    <w:p w14:paraId="3A474F3D"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3E"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lastRenderedPageBreak/>
        <w:t>Para la atención al público en materia de anuncios, el Ayuntamiento instalará una ventanilla única a cargo de Padrón y Licencias en los términos de la fracción XL del artículo 6º de este reglamento.</w:t>
      </w:r>
    </w:p>
    <w:p w14:paraId="3A474F3F" w14:textId="77777777" w:rsidR="009B5E39" w:rsidRDefault="009B5E39" w:rsidP="009B5E39">
      <w:pPr>
        <w:autoSpaceDE w:val="0"/>
        <w:autoSpaceDN w:val="0"/>
        <w:adjustRightInd w:val="0"/>
        <w:ind w:left="284" w:right="283"/>
        <w:jc w:val="both"/>
        <w:rPr>
          <w:rFonts w:ascii="Gotham" w:hAnsi="Gotham" w:cs="Arial"/>
          <w:sz w:val="19"/>
          <w:szCs w:val="19"/>
        </w:rPr>
      </w:pPr>
    </w:p>
    <w:p w14:paraId="3A474F40"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41" w14:textId="77777777" w:rsidR="009B5E39" w:rsidRPr="00AB293A" w:rsidRDefault="009B5E39" w:rsidP="009B5E39">
      <w:pPr>
        <w:autoSpaceDE w:val="0"/>
        <w:autoSpaceDN w:val="0"/>
        <w:adjustRightInd w:val="0"/>
        <w:ind w:left="284" w:right="283"/>
        <w:jc w:val="center"/>
        <w:rPr>
          <w:rFonts w:ascii="Gotham" w:hAnsi="Gotham" w:cs="Arial"/>
          <w:b/>
          <w:bCs/>
          <w:sz w:val="19"/>
          <w:szCs w:val="19"/>
        </w:rPr>
      </w:pPr>
      <w:r w:rsidRPr="00AB293A">
        <w:rPr>
          <w:rFonts w:ascii="Gotham" w:hAnsi="Gotham" w:cs="Arial"/>
          <w:b/>
          <w:bCs/>
          <w:sz w:val="19"/>
          <w:szCs w:val="19"/>
        </w:rPr>
        <w:t>TITULO SEGUNDO</w:t>
      </w:r>
    </w:p>
    <w:p w14:paraId="3A474F42" w14:textId="77777777" w:rsidR="009B5E39" w:rsidRPr="00AB293A" w:rsidRDefault="009B5E39" w:rsidP="009B5E39">
      <w:pPr>
        <w:autoSpaceDE w:val="0"/>
        <w:autoSpaceDN w:val="0"/>
        <w:adjustRightInd w:val="0"/>
        <w:ind w:left="284" w:right="283"/>
        <w:jc w:val="center"/>
        <w:rPr>
          <w:rFonts w:ascii="Gotham" w:hAnsi="Gotham" w:cs="Arial"/>
          <w:sz w:val="19"/>
          <w:szCs w:val="19"/>
        </w:rPr>
      </w:pPr>
      <w:r w:rsidRPr="00AB293A">
        <w:rPr>
          <w:rFonts w:ascii="Gotham" w:hAnsi="Gotham" w:cs="Arial"/>
          <w:sz w:val="19"/>
          <w:szCs w:val="19"/>
        </w:rPr>
        <w:t>De los tramites y clasificación de los anuncios</w:t>
      </w:r>
    </w:p>
    <w:p w14:paraId="3A474F43" w14:textId="77777777" w:rsidR="009B5E39" w:rsidRPr="00AB293A" w:rsidRDefault="009B5E39" w:rsidP="009B5E39">
      <w:pPr>
        <w:autoSpaceDE w:val="0"/>
        <w:autoSpaceDN w:val="0"/>
        <w:adjustRightInd w:val="0"/>
        <w:ind w:left="284" w:right="283"/>
        <w:jc w:val="center"/>
        <w:rPr>
          <w:rFonts w:ascii="Gotham" w:hAnsi="Gotham" w:cs="Arial"/>
          <w:sz w:val="19"/>
          <w:szCs w:val="19"/>
        </w:rPr>
      </w:pPr>
    </w:p>
    <w:p w14:paraId="3A474F44" w14:textId="77777777" w:rsidR="009B5E39" w:rsidRPr="00AB293A" w:rsidRDefault="009B5E39" w:rsidP="009B5E39">
      <w:pPr>
        <w:autoSpaceDE w:val="0"/>
        <w:autoSpaceDN w:val="0"/>
        <w:adjustRightInd w:val="0"/>
        <w:ind w:left="284" w:right="283"/>
        <w:jc w:val="center"/>
        <w:rPr>
          <w:rFonts w:ascii="Gotham" w:hAnsi="Gotham" w:cs="Arial"/>
          <w:b/>
          <w:bCs/>
          <w:sz w:val="19"/>
          <w:szCs w:val="19"/>
        </w:rPr>
      </w:pPr>
      <w:r w:rsidRPr="00AB293A">
        <w:rPr>
          <w:rFonts w:ascii="Gotham" w:hAnsi="Gotham" w:cs="Arial"/>
          <w:b/>
          <w:bCs/>
          <w:sz w:val="19"/>
          <w:szCs w:val="19"/>
        </w:rPr>
        <w:t>CAPITULO I</w:t>
      </w:r>
    </w:p>
    <w:p w14:paraId="3A474F45" w14:textId="77777777" w:rsidR="009B5E39" w:rsidRPr="00AB293A" w:rsidRDefault="009B5E39" w:rsidP="009B5E39">
      <w:pPr>
        <w:autoSpaceDE w:val="0"/>
        <w:autoSpaceDN w:val="0"/>
        <w:adjustRightInd w:val="0"/>
        <w:ind w:left="284" w:right="283"/>
        <w:jc w:val="center"/>
        <w:rPr>
          <w:rFonts w:ascii="Gotham" w:hAnsi="Gotham" w:cs="Arial"/>
          <w:sz w:val="19"/>
          <w:szCs w:val="19"/>
        </w:rPr>
      </w:pPr>
      <w:r w:rsidRPr="00AB293A">
        <w:rPr>
          <w:rFonts w:ascii="Gotham" w:hAnsi="Gotham" w:cs="Arial"/>
          <w:sz w:val="19"/>
          <w:szCs w:val="19"/>
        </w:rPr>
        <w:t>De los trámites administrativos y registros</w:t>
      </w:r>
    </w:p>
    <w:p w14:paraId="3A474F46" w14:textId="77777777" w:rsidR="009B5E39" w:rsidRPr="00AB293A" w:rsidRDefault="009B5E39" w:rsidP="009B5E39">
      <w:pPr>
        <w:autoSpaceDE w:val="0"/>
        <w:autoSpaceDN w:val="0"/>
        <w:adjustRightInd w:val="0"/>
        <w:ind w:left="284" w:right="283"/>
        <w:jc w:val="center"/>
        <w:rPr>
          <w:rFonts w:ascii="Gotham" w:hAnsi="Gotham" w:cs="Arial"/>
          <w:sz w:val="19"/>
          <w:szCs w:val="19"/>
        </w:rPr>
      </w:pPr>
    </w:p>
    <w:p w14:paraId="3A474F47" w14:textId="77777777" w:rsidR="009B5E39"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16°. </w:t>
      </w:r>
      <w:r w:rsidRPr="00AB293A">
        <w:rPr>
          <w:rFonts w:ascii="Gotham" w:hAnsi="Gotham" w:cs="Arial"/>
          <w:sz w:val="19"/>
          <w:szCs w:val="19"/>
        </w:rPr>
        <w:t xml:space="preserve">Para realizar los trámites administrativos relativos a los anuncios, se establece la ventanilla única a cargo de Padrón y Licencias, en la que se recibirán las solicitudes para los siguientes </w:t>
      </w:r>
      <w:r w:rsidR="0007387E" w:rsidRPr="00AB293A">
        <w:rPr>
          <w:rFonts w:ascii="Gotham" w:hAnsi="Gotham" w:cs="Arial"/>
          <w:sz w:val="19"/>
          <w:szCs w:val="19"/>
        </w:rPr>
        <w:t>trámites</w:t>
      </w:r>
      <w:r w:rsidRPr="00AB293A">
        <w:rPr>
          <w:rFonts w:ascii="Gotham" w:hAnsi="Gotham" w:cs="Arial"/>
          <w:sz w:val="19"/>
          <w:szCs w:val="19"/>
        </w:rPr>
        <w:t>:</w:t>
      </w:r>
    </w:p>
    <w:p w14:paraId="3A474F48"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49" w14:textId="77777777" w:rsidR="009B5E39" w:rsidRPr="00AB293A" w:rsidRDefault="009B5E39" w:rsidP="009B5E39">
      <w:pPr>
        <w:pStyle w:val="Prrafodelista"/>
        <w:numPr>
          <w:ilvl w:val="2"/>
          <w:numId w:val="176"/>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bCs/>
          <w:sz w:val="19"/>
          <w:szCs w:val="19"/>
        </w:rPr>
        <w:t xml:space="preserve">Solicitud de licencia o permiso para anuncio; </w:t>
      </w:r>
    </w:p>
    <w:p w14:paraId="3A474F4A" w14:textId="77777777" w:rsidR="009B5E39" w:rsidRPr="00AB293A" w:rsidRDefault="009B5E39" w:rsidP="009B5E39">
      <w:pPr>
        <w:pStyle w:val="Prrafodelista"/>
        <w:numPr>
          <w:ilvl w:val="2"/>
          <w:numId w:val="176"/>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bCs/>
          <w:sz w:val="19"/>
          <w:szCs w:val="19"/>
        </w:rPr>
        <w:t>Solicitud de refrendo de licencia;</w:t>
      </w:r>
      <w:r w:rsidRPr="00AB293A">
        <w:rPr>
          <w:rFonts w:ascii="Gotham" w:hAnsi="Gotham" w:cs="Arial"/>
          <w:sz w:val="19"/>
          <w:szCs w:val="19"/>
        </w:rPr>
        <w:t xml:space="preserve"> </w:t>
      </w:r>
    </w:p>
    <w:p w14:paraId="3A474F4B" w14:textId="77777777" w:rsidR="009B5E39" w:rsidRPr="00AB293A" w:rsidRDefault="009B5E39" w:rsidP="009B5E39">
      <w:pPr>
        <w:pStyle w:val="Prrafodelista"/>
        <w:numPr>
          <w:ilvl w:val="2"/>
          <w:numId w:val="176"/>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Registros de fabricantes de anuncios;</w:t>
      </w:r>
    </w:p>
    <w:p w14:paraId="3A474F4C" w14:textId="77777777" w:rsidR="009B5E39" w:rsidRPr="00AB293A" w:rsidRDefault="009B5E39" w:rsidP="009B5E39">
      <w:pPr>
        <w:pStyle w:val="Prrafodelista"/>
        <w:numPr>
          <w:ilvl w:val="2"/>
          <w:numId w:val="176"/>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Registros de arrendadoras de publicidad exterior;</w:t>
      </w:r>
    </w:p>
    <w:p w14:paraId="3A474F4D" w14:textId="77777777" w:rsidR="009B5E39" w:rsidRPr="00AB293A" w:rsidRDefault="009B5E39" w:rsidP="009B5E39">
      <w:pPr>
        <w:pStyle w:val="Prrafodelista"/>
        <w:numPr>
          <w:ilvl w:val="2"/>
          <w:numId w:val="176"/>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Registros de rotulistas; y</w:t>
      </w:r>
    </w:p>
    <w:p w14:paraId="3A474F4E" w14:textId="77777777" w:rsidR="009B5E39" w:rsidRPr="00AB293A" w:rsidRDefault="009B5E39" w:rsidP="009B5E39">
      <w:pPr>
        <w:pStyle w:val="Prrafodelista"/>
        <w:numPr>
          <w:ilvl w:val="2"/>
          <w:numId w:val="176"/>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Modificaciones a los registros mencionados;</w:t>
      </w:r>
      <w:r w:rsidR="00883EC2">
        <w:rPr>
          <w:rFonts w:ascii="Gotham" w:hAnsi="Gotham" w:cs="Arial"/>
          <w:sz w:val="19"/>
          <w:szCs w:val="19"/>
        </w:rPr>
        <w:t xml:space="preserve"> </w:t>
      </w:r>
    </w:p>
    <w:p w14:paraId="3A474F4F" w14:textId="77777777" w:rsidR="009B5E39" w:rsidRPr="00AB293A" w:rsidRDefault="009B5E39" w:rsidP="009B5E39">
      <w:pPr>
        <w:pStyle w:val="Prrafodelista"/>
        <w:numPr>
          <w:ilvl w:val="2"/>
          <w:numId w:val="176"/>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Padrón de Anunciantes Eventuales;</w:t>
      </w:r>
    </w:p>
    <w:p w14:paraId="3A474F50" w14:textId="77777777" w:rsidR="009B5E39" w:rsidRPr="00AB293A" w:rsidRDefault="009B5E39" w:rsidP="009B5E39">
      <w:pPr>
        <w:pStyle w:val="Prrafodelista"/>
        <w:numPr>
          <w:ilvl w:val="2"/>
          <w:numId w:val="176"/>
        </w:numPr>
        <w:autoSpaceDE w:val="0"/>
        <w:autoSpaceDN w:val="0"/>
        <w:adjustRightInd w:val="0"/>
        <w:spacing w:after="120"/>
        <w:ind w:left="1134" w:right="283" w:hanging="850"/>
        <w:contextualSpacing w:val="0"/>
        <w:jc w:val="both"/>
        <w:rPr>
          <w:rFonts w:ascii="Gotham" w:hAnsi="Gotham" w:cs="Arial"/>
          <w:sz w:val="19"/>
          <w:szCs w:val="19"/>
        </w:rPr>
      </w:pPr>
      <w:r w:rsidRPr="00AB293A">
        <w:rPr>
          <w:rFonts w:ascii="Gotham" w:hAnsi="Gotham" w:cs="Arial"/>
          <w:sz w:val="19"/>
          <w:szCs w:val="19"/>
        </w:rPr>
        <w:t xml:space="preserve">Dictamen técnico de la Dirección de General de Planeación y Desarrollo Urbano Sustentable; Dictamen técnico de la Dirección de Movilidad y Transporte tratándose del supuesto establecido en el artículo 19°; Dictamen Técnico de la Dirección de Verificación de la Construcción, tratándose de licencias nuevas; </w:t>
      </w:r>
    </w:p>
    <w:p w14:paraId="3A474F51" w14:textId="77777777" w:rsidR="009B5E39" w:rsidRPr="00AB293A" w:rsidRDefault="009B5E39" w:rsidP="009B5E39">
      <w:pPr>
        <w:pStyle w:val="Prrafodelista"/>
        <w:numPr>
          <w:ilvl w:val="2"/>
          <w:numId w:val="176"/>
        </w:numPr>
        <w:autoSpaceDE w:val="0"/>
        <w:autoSpaceDN w:val="0"/>
        <w:adjustRightInd w:val="0"/>
        <w:ind w:left="1134" w:right="283" w:hanging="850"/>
        <w:contextualSpacing w:val="0"/>
        <w:jc w:val="both"/>
        <w:rPr>
          <w:rFonts w:ascii="Gotham" w:hAnsi="Gotham" w:cs="Arial"/>
          <w:sz w:val="19"/>
          <w:szCs w:val="19"/>
        </w:rPr>
      </w:pPr>
      <w:r w:rsidRPr="00AB293A">
        <w:rPr>
          <w:rFonts w:ascii="Gotham" w:hAnsi="Gotham" w:cs="Arial"/>
          <w:sz w:val="19"/>
          <w:szCs w:val="19"/>
        </w:rPr>
        <w:t xml:space="preserve">Registro de alta vigente ante el Sistema de Administración Tributaria, SAT; </w:t>
      </w:r>
    </w:p>
    <w:p w14:paraId="3A474F52"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53" w14:textId="77777777" w:rsidR="009B5E39" w:rsidRPr="00AB293A" w:rsidRDefault="009B5E39" w:rsidP="009B5E39">
      <w:pPr>
        <w:pStyle w:val="Default"/>
        <w:ind w:left="284" w:right="283"/>
        <w:rPr>
          <w:rFonts w:ascii="Gotham" w:hAnsi="Gotham"/>
          <w:sz w:val="19"/>
          <w:szCs w:val="19"/>
        </w:rPr>
      </w:pPr>
      <w:r w:rsidRPr="00AB293A">
        <w:rPr>
          <w:rFonts w:ascii="Gotham" w:hAnsi="Gotham"/>
          <w:sz w:val="19"/>
          <w:szCs w:val="19"/>
        </w:rPr>
        <w:t xml:space="preserve">El plazo máximo para emitir dictámenes técnicos es de </w:t>
      </w:r>
      <w:r w:rsidRPr="00AB293A">
        <w:rPr>
          <w:rFonts w:ascii="Gotham" w:hAnsi="Gotham"/>
          <w:bCs/>
          <w:sz w:val="19"/>
          <w:szCs w:val="19"/>
        </w:rPr>
        <w:t>20 treinta días naturales</w:t>
      </w:r>
      <w:r w:rsidRPr="00AB293A">
        <w:rPr>
          <w:rFonts w:ascii="Gotham" w:hAnsi="Gotham"/>
          <w:sz w:val="19"/>
          <w:szCs w:val="19"/>
        </w:rPr>
        <w:t xml:space="preserve">, que corren a partir del día siguiente en que se presente la solicitud respectiva. </w:t>
      </w:r>
    </w:p>
    <w:p w14:paraId="3A474F54" w14:textId="77777777" w:rsidR="009B5E39" w:rsidRPr="00AB293A" w:rsidRDefault="009B5E39" w:rsidP="009B5E39">
      <w:pPr>
        <w:pStyle w:val="Default"/>
        <w:ind w:left="284" w:right="283"/>
        <w:rPr>
          <w:rFonts w:ascii="Gotham" w:hAnsi="Gotham"/>
          <w:sz w:val="19"/>
          <w:szCs w:val="19"/>
        </w:rPr>
      </w:pPr>
    </w:p>
    <w:p w14:paraId="3A474F55"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Los dictámenes técnicos son emitidos por la Dirección de General de Planeación y Desarrollo Urbano Sustentable, Dirección de Movilidad y Transporte, Dirección de Verificación de la Construcción, </w:t>
      </w:r>
      <w:r w:rsidRPr="00AB293A">
        <w:rPr>
          <w:rFonts w:ascii="Gotham" w:hAnsi="Gotham" w:cs="Arial"/>
          <w:bCs/>
          <w:sz w:val="19"/>
          <w:szCs w:val="19"/>
        </w:rPr>
        <w:t>La Dirección</w:t>
      </w:r>
      <w:r w:rsidRPr="00AB293A">
        <w:rPr>
          <w:rFonts w:ascii="Gotham" w:hAnsi="Gotham" w:cs="Arial"/>
          <w:b/>
          <w:bCs/>
          <w:sz w:val="19"/>
          <w:szCs w:val="19"/>
        </w:rPr>
        <w:t xml:space="preserve"> </w:t>
      </w:r>
      <w:r w:rsidRPr="00AB293A">
        <w:rPr>
          <w:rFonts w:ascii="Gotham" w:hAnsi="Gotham" w:cs="Arial"/>
          <w:sz w:val="19"/>
          <w:szCs w:val="19"/>
        </w:rPr>
        <w:t>de Protección Civil y Bomberos, y comprenden los aspectos de usos y destinos del suelo, movilidad, planeación e imagen urbana, medidas de seguridad, así como los cálculos estructurales cuya instalación lo requiera suscritos por el perito responsable. Para la emisión de su dictamen, las dependencias anteriormente señaladas se allegarán de la información pertinente y realizarán, en los casos que fuera necesario, las inspecciones necesarias al lugar en que se pretenda instalar el anuncio.</w:t>
      </w:r>
    </w:p>
    <w:p w14:paraId="3A474F56" w14:textId="77777777" w:rsidR="009B5E39" w:rsidRPr="00AB293A" w:rsidRDefault="009B5E39" w:rsidP="009B5E39">
      <w:pPr>
        <w:autoSpaceDE w:val="0"/>
        <w:autoSpaceDN w:val="0"/>
        <w:adjustRightInd w:val="0"/>
        <w:ind w:left="284" w:right="283"/>
        <w:jc w:val="both"/>
        <w:rPr>
          <w:rFonts w:ascii="Gotham" w:hAnsi="Gotham" w:cs="Arial"/>
          <w:b/>
          <w:bCs/>
          <w:sz w:val="19"/>
          <w:szCs w:val="19"/>
        </w:rPr>
      </w:pPr>
    </w:p>
    <w:p w14:paraId="3A474F57"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17°. </w:t>
      </w:r>
      <w:r w:rsidRPr="00AB293A">
        <w:rPr>
          <w:rFonts w:ascii="Gotham" w:hAnsi="Gotham" w:cs="Arial"/>
          <w:sz w:val="19"/>
          <w:szCs w:val="19"/>
        </w:rPr>
        <w:t>para realizar cualquier trámite de los señalados en el artículo inmediato anterior, se deberán cubrir los requisitos indicados en el manual de trámites, acordes a este reglamento, que se podrá obtener en la ventanilla única dependiente de Padrón y Licencias.</w:t>
      </w:r>
    </w:p>
    <w:p w14:paraId="3A474F58"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59" w14:textId="77777777" w:rsidR="009B5E39" w:rsidRPr="00AB293A" w:rsidRDefault="009B5E39" w:rsidP="009B5E39">
      <w:pPr>
        <w:autoSpaceDE w:val="0"/>
        <w:autoSpaceDN w:val="0"/>
        <w:adjustRightInd w:val="0"/>
        <w:ind w:left="284" w:right="283"/>
        <w:jc w:val="both"/>
        <w:rPr>
          <w:rFonts w:ascii="Gotham" w:hAnsi="Gotham" w:cs="Arial"/>
          <w:b/>
          <w:bCs/>
          <w:sz w:val="19"/>
          <w:szCs w:val="19"/>
        </w:rPr>
      </w:pPr>
      <w:r w:rsidRPr="00AB293A">
        <w:rPr>
          <w:rFonts w:ascii="Gotham" w:hAnsi="Gotham" w:cs="Arial"/>
          <w:b/>
          <w:bCs/>
          <w:sz w:val="19"/>
          <w:szCs w:val="19"/>
        </w:rPr>
        <w:t xml:space="preserve">Artículo 18°. </w:t>
      </w:r>
      <w:r w:rsidRPr="00AB293A">
        <w:rPr>
          <w:rFonts w:ascii="Gotham" w:hAnsi="Gotham" w:cs="Arial"/>
          <w:sz w:val="19"/>
          <w:szCs w:val="19"/>
        </w:rPr>
        <w:t xml:space="preserve">La Dirección de Padrón y Licencias es la </w:t>
      </w:r>
      <w:r w:rsidRPr="00AB293A">
        <w:rPr>
          <w:rFonts w:ascii="Gotham" w:hAnsi="Gotham" w:cs="Arial"/>
          <w:bCs/>
          <w:sz w:val="19"/>
          <w:szCs w:val="19"/>
        </w:rPr>
        <w:t xml:space="preserve">dependencia </w:t>
      </w:r>
      <w:r w:rsidRPr="00AB293A">
        <w:rPr>
          <w:rFonts w:ascii="Gotham" w:hAnsi="Gotham" w:cs="Arial"/>
          <w:sz w:val="19"/>
          <w:szCs w:val="19"/>
        </w:rPr>
        <w:t xml:space="preserve">facultada para </w:t>
      </w:r>
      <w:r w:rsidRPr="00AB293A">
        <w:rPr>
          <w:rFonts w:ascii="Gotham" w:hAnsi="Gotham" w:cs="Arial"/>
          <w:bCs/>
          <w:sz w:val="19"/>
          <w:szCs w:val="19"/>
        </w:rPr>
        <w:t>otorgar o negar licencias o permisos para la colocación de los anuncios previstos en el presente ordenamiento y demás normatividad aplicable, previo el cumplimiento de los requisitos, las restricciones y las prohibiciones que conforme a su clasificación se establecen en este reglamento.</w:t>
      </w:r>
    </w:p>
    <w:p w14:paraId="3A474F5A"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5B"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Contra estas resoluciones procede el recurso de reconsideración, que se interpondrá de acuerdo a lo establecido por este Reglamento.</w:t>
      </w:r>
    </w:p>
    <w:p w14:paraId="3A474F5C" w14:textId="77777777" w:rsidR="009B5E39" w:rsidRPr="00AB293A" w:rsidRDefault="009B5E39" w:rsidP="009B5E39">
      <w:pPr>
        <w:pStyle w:val="Default"/>
        <w:ind w:left="284" w:right="283"/>
        <w:jc w:val="both"/>
        <w:rPr>
          <w:rFonts w:ascii="Gotham" w:hAnsi="Gotham"/>
          <w:sz w:val="19"/>
          <w:szCs w:val="19"/>
        </w:rPr>
      </w:pPr>
    </w:p>
    <w:p w14:paraId="3A474F5D" w14:textId="77777777" w:rsidR="009B5E39" w:rsidRDefault="009B5E39" w:rsidP="009B5E39">
      <w:pPr>
        <w:pStyle w:val="Default"/>
        <w:ind w:left="284" w:right="283"/>
        <w:jc w:val="both"/>
        <w:rPr>
          <w:rFonts w:ascii="Gotham" w:hAnsi="Gotham"/>
          <w:bCs/>
          <w:sz w:val="19"/>
          <w:szCs w:val="19"/>
        </w:rPr>
      </w:pPr>
      <w:r w:rsidRPr="00AB293A">
        <w:rPr>
          <w:rFonts w:ascii="Gotham" w:hAnsi="Gotham"/>
          <w:b/>
          <w:bCs/>
          <w:sz w:val="19"/>
          <w:szCs w:val="19"/>
        </w:rPr>
        <w:lastRenderedPageBreak/>
        <w:t xml:space="preserve">Artículo 19°. </w:t>
      </w:r>
      <w:r w:rsidRPr="00AB293A">
        <w:rPr>
          <w:rFonts w:ascii="Gotham" w:hAnsi="Gotham"/>
          <w:bCs/>
          <w:sz w:val="19"/>
          <w:szCs w:val="19"/>
        </w:rPr>
        <w:t xml:space="preserve">Para la realización de los trámites señalados en el artículo 16 fracciones I y II de este reglamento, se debe presentar una solicitud acompañada de los siguientes requisitos: </w:t>
      </w:r>
    </w:p>
    <w:p w14:paraId="3A474F5E" w14:textId="77777777" w:rsidR="009B5E39" w:rsidRPr="00AB293A" w:rsidRDefault="009B5E39" w:rsidP="009B5E39">
      <w:pPr>
        <w:pStyle w:val="Default"/>
        <w:ind w:left="284" w:right="283"/>
        <w:jc w:val="both"/>
        <w:rPr>
          <w:rFonts w:ascii="Gotham" w:hAnsi="Gotham"/>
          <w:sz w:val="19"/>
          <w:szCs w:val="19"/>
        </w:rPr>
      </w:pPr>
    </w:p>
    <w:p w14:paraId="3A474F5F" w14:textId="77777777" w:rsidR="009B5E39" w:rsidRPr="00AB293A" w:rsidRDefault="009B5E39" w:rsidP="009B5E39">
      <w:pPr>
        <w:pStyle w:val="Default"/>
        <w:numPr>
          <w:ilvl w:val="1"/>
          <w:numId w:val="181"/>
        </w:numPr>
        <w:spacing w:after="120"/>
        <w:ind w:left="1134" w:right="283" w:hanging="850"/>
        <w:jc w:val="both"/>
        <w:rPr>
          <w:rFonts w:ascii="Gotham" w:hAnsi="Gotham"/>
          <w:sz w:val="19"/>
          <w:szCs w:val="19"/>
        </w:rPr>
      </w:pPr>
      <w:r w:rsidRPr="00AB293A">
        <w:rPr>
          <w:rFonts w:ascii="Gotham" w:hAnsi="Gotham"/>
          <w:bCs/>
          <w:sz w:val="19"/>
          <w:szCs w:val="19"/>
        </w:rPr>
        <w:t xml:space="preserve">Para licencias o permisos de anuncios nuevos, excepto semiestructurales y estructurales: </w:t>
      </w:r>
    </w:p>
    <w:p w14:paraId="3A474F60" w14:textId="77777777" w:rsidR="009B5E39" w:rsidRPr="00AB293A" w:rsidRDefault="009B5E39" w:rsidP="009B5E39">
      <w:pPr>
        <w:pStyle w:val="Default"/>
        <w:numPr>
          <w:ilvl w:val="2"/>
          <w:numId w:val="182"/>
        </w:numPr>
        <w:spacing w:after="120"/>
        <w:ind w:left="1560" w:right="283" w:hanging="426"/>
        <w:jc w:val="both"/>
        <w:rPr>
          <w:rFonts w:ascii="Gotham" w:hAnsi="Gotham"/>
          <w:sz w:val="19"/>
          <w:szCs w:val="19"/>
        </w:rPr>
      </w:pPr>
      <w:r w:rsidRPr="00AB293A">
        <w:rPr>
          <w:rFonts w:ascii="Gotham" w:hAnsi="Gotham"/>
          <w:bCs/>
          <w:sz w:val="19"/>
          <w:szCs w:val="19"/>
        </w:rPr>
        <w:t xml:space="preserve">Copia de identificación oficial para el caso de personas físicas; y de acta constitutiva y documento que acredite la personalidad del representante legal, en el caso de personas jurídicas; </w:t>
      </w:r>
    </w:p>
    <w:p w14:paraId="3A474F61" w14:textId="77777777" w:rsidR="009B5E39" w:rsidRPr="00AB293A" w:rsidRDefault="009B5E39" w:rsidP="009B5E39">
      <w:pPr>
        <w:pStyle w:val="Default"/>
        <w:numPr>
          <w:ilvl w:val="2"/>
          <w:numId w:val="182"/>
        </w:numPr>
        <w:spacing w:after="120"/>
        <w:ind w:left="1560" w:right="283" w:hanging="426"/>
        <w:jc w:val="both"/>
        <w:rPr>
          <w:rFonts w:ascii="Gotham" w:hAnsi="Gotham"/>
          <w:sz w:val="19"/>
          <w:szCs w:val="19"/>
        </w:rPr>
      </w:pPr>
      <w:r w:rsidRPr="00AB293A">
        <w:rPr>
          <w:rFonts w:ascii="Gotham" w:hAnsi="Gotham"/>
          <w:bCs/>
          <w:sz w:val="19"/>
          <w:szCs w:val="19"/>
        </w:rPr>
        <w:t xml:space="preserve">Dibujo o diseño del anuncio que se pretende instalar, que muestre su forma, colores y dimensiones; </w:t>
      </w:r>
    </w:p>
    <w:p w14:paraId="3A474F62" w14:textId="77777777" w:rsidR="009B5E39" w:rsidRPr="00AB293A" w:rsidRDefault="009B5E39" w:rsidP="009B5E39">
      <w:pPr>
        <w:pStyle w:val="Default"/>
        <w:numPr>
          <w:ilvl w:val="2"/>
          <w:numId w:val="182"/>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Fotografía de la fachada o lugar donde se pretende instalar el anuncio; </w:t>
      </w:r>
    </w:p>
    <w:p w14:paraId="3A474F63" w14:textId="77777777" w:rsidR="009B5E39" w:rsidRPr="00AB293A" w:rsidRDefault="009B5E39" w:rsidP="009B5E39">
      <w:pPr>
        <w:pStyle w:val="Default"/>
        <w:numPr>
          <w:ilvl w:val="2"/>
          <w:numId w:val="182"/>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Dictamen favorable de la </w:t>
      </w:r>
      <w:r w:rsidRPr="00AB293A">
        <w:rPr>
          <w:rFonts w:ascii="Gotham" w:hAnsi="Gotham"/>
          <w:sz w:val="19"/>
          <w:szCs w:val="19"/>
        </w:rPr>
        <w:t>Dirección de General de Planeación y Desarrollo Urbano Sustentable en materia de uso de suelo, jerarquía vial y Perímetros de Protección al Patrimonio Histórico;</w:t>
      </w:r>
      <w:r w:rsidRPr="00AB293A">
        <w:rPr>
          <w:rFonts w:ascii="Gotham" w:hAnsi="Gotham"/>
          <w:bCs/>
          <w:color w:val="auto"/>
          <w:sz w:val="19"/>
          <w:szCs w:val="19"/>
        </w:rPr>
        <w:t xml:space="preserve"> y </w:t>
      </w:r>
    </w:p>
    <w:p w14:paraId="3A474F64" w14:textId="77777777" w:rsidR="009B5E39" w:rsidRPr="00AB293A" w:rsidRDefault="009B5E39" w:rsidP="009B5E39">
      <w:pPr>
        <w:pStyle w:val="Default"/>
        <w:numPr>
          <w:ilvl w:val="2"/>
          <w:numId w:val="182"/>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licencia municipal de giro vigente. </w:t>
      </w:r>
    </w:p>
    <w:p w14:paraId="3A474F65" w14:textId="77777777" w:rsidR="009B5E39" w:rsidRPr="00AB293A" w:rsidRDefault="009B5E39" w:rsidP="009B5E39">
      <w:pPr>
        <w:pStyle w:val="Default"/>
        <w:numPr>
          <w:ilvl w:val="1"/>
          <w:numId w:val="181"/>
        </w:numPr>
        <w:spacing w:after="120"/>
        <w:ind w:left="1134" w:right="283" w:hanging="850"/>
        <w:jc w:val="both"/>
        <w:rPr>
          <w:rFonts w:ascii="Gotham" w:hAnsi="Gotham"/>
          <w:color w:val="auto"/>
          <w:sz w:val="19"/>
          <w:szCs w:val="19"/>
        </w:rPr>
      </w:pPr>
      <w:r w:rsidRPr="00AB293A">
        <w:rPr>
          <w:rFonts w:ascii="Gotham" w:hAnsi="Gotham"/>
          <w:bCs/>
          <w:color w:val="auto"/>
          <w:sz w:val="19"/>
          <w:szCs w:val="19"/>
        </w:rPr>
        <w:t>Para refrendos de todo tipo de licencias, excepto semiestructurales y estructurales bastará que la licencia se encuentre vigente.</w:t>
      </w:r>
    </w:p>
    <w:p w14:paraId="3A474F66" w14:textId="77777777" w:rsidR="009B5E39" w:rsidRPr="00AB293A" w:rsidRDefault="009B5E39" w:rsidP="009B5E39">
      <w:pPr>
        <w:pStyle w:val="Default"/>
        <w:numPr>
          <w:ilvl w:val="1"/>
          <w:numId w:val="181"/>
        </w:numPr>
        <w:spacing w:after="120"/>
        <w:ind w:left="1134" w:right="283" w:hanging="850"/>
        <w:jc w:val="both"/>
        <w:rPr>
          <w:rFonts w:ascii="Gotham" w:hAnsi="Gotham"/>
          <w:color w:val="auto"/>
          <w:sz w:val="19"/>
          <w:szCs w:val="19"/>
        </w:rPr>
      </w:pPr>
      <w:r w:rsidRPr="00AB293A">
        <w:rPr>
          <w:rFonts w:ascii="Gotham" w:hAnsi="Gotham"/>
          <w:bCs/>
          <w:color w:val="auto"/>
          <w:sz w:val="19"/>
          <w:szCs w:val="19"/>
        </w:rPr>
        <w:t xml:space="preserve">Para licencias nuevas de anuncios semiestructurales Tipo 1 y Tipo 3: </w:t>
      </w:r>
    </w:p>
    <w:p w14:paraId="3A474F67"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identificación oficial para el caso de personas físicas; y de acta constitutiva y documento que acredite la personalidad del representante legal, en el caso de personas jurídicas; </w:t>
      </w:r>
    </w:p>
    <w:p w14:paraId="3A474F68"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Croquis de ubicación del lugar donde se pretende ubicar el anuncio; </w:t>
      </w:r>
    </w:p>
    <w:p w14:paraId="3A474F69"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Fotografía de la fachada o lugar donde se pretende instalar el anuncio; </w:t>
      </w:r>
    </w:p>
    <w:p w14:paraId="3A474F6A"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Dictamen favorable de la </w:t>
      </w:r>
      <w:r w:rsidRPr="00AB293A">
        <w:rPr>
          <w:rFonts w:ascii="Gotham" w:hAnsi="Gotham"/>
          <w:sz w:val="19"/>
          <w:szCs w:val="19"/>
        </w:rPr>
        <w:t>Dirección de General de Planeación y Desarrollo Urbano Sustentable en materia de uso de suelo, jerarquía vial y Perímetros de Protección al Patrimonio Histórico;</w:t>
      </w:r>
      <w:r w:rsidRPr="00AB293A">
        <w:rPr>
          <w:rFonts w:ascii="Gotham" w:hAnsi="Gotham"/>
          <w:bCs/>
          <w:color w:val="auto"/>
          <w:sz w:val="19"/>
          <w:szCs w:val="19"/>
        </w:rPr>
        <w:t xml:space="preserve"> </w:t>
      </w:r>
    </w:p>
    <w:p w14:paraId="3A474F6B"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Licencia de construcción expedida por </w:t>
      </w:r>
      <w:r w:rsidRPr="00AB293A">
        <w:rPr>
          <w:rFonts w:ascii="Gotham" w:hAnsi="Gotham"/>
          <w:sz w:val="19"/>
          <w:szCs w:val="19"/>
        </w:rPr>
        <w:t>Dirección de Verificación de la Construcción</w:t>
      </w:r>
      <w:r w:rsidRPr="00AB293A">
        <w:rPr>
          <w:rFonts w:ascii="Gotham" w:hAnsi="Gotham"/>
          <w:bCs/>
          <w:color w:val="auto"/>
          <w:sz w:val="19"/>
          <w:szCs w:val="19"/>
        </w:rPr>
        <w:t xml:space="preserve">; </w:t>
      </w:r>
    </w:p>
    <w:p w14:paraId="3A474F6C"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Dictamen favorable de Protección Civil y Bomberos; </w:t>
      </w:r>
    </w:p>
    <w:p w14:paraId="3A474F6D"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póliza de seguro; y </w:t>
      </w:r>
    </w:p>
    <w:p w14:paraId="3A474F6E"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la licencia municipal de giro vigente o su refrendo. </w:t>
      </w:r>
    </w:p>
    <w:p w14:paraId="3A474F6F" w14:textId="77777777" w:rsidR="009B5E39" w:rsidRPr="00AB293A" w:rsidRDefault="009B5E39" w:rsidP="009B5E39">
      <w:pPr>
        <w:pStyle w:val="Default"/>
        <w:numPr>
          <w:ilvl w:val="1"/>
          <w:numId w:val="181"/>
        </w:numPr>
        <w:spacing w:after="120"/>
        <w:ind w:left="1134" w:right="283" w:hanging="850"/>
        <w:jc w:val="both"/>
        <w:rPr>
          <w:rFonts w:ascii="Gotham" w:hAnsi="Gotham"/>
          <w:color w:val="auto"/>
          <w:sz w:val="19"/>
          <w:szCs w:val="19"/>
        </w:rPr>
      </w:pPr>
      <w:r w:rsidRPr="00AB293A">
        <w:rPr>
          <w:rFonts w:ascii="Gotham" w:hAnsi="Gotham"/>
          <w:bCs/>
          <w:color w:val="auto"/>
          <w:sz w:val="19"/>
          <w:szCs w:val="19"/>
        </w:rPr>
        <w:t xml:space="preserve">Para refrendo de licencias de anuncios semiestructurales Tipo 1 y Tipo 3: </w:t>
      </w:r>
    </w:p>
    <w:p w14:paraId="3A474F70"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identificación oficial para el caso de personas físicas; y de acta constitutiva y documento que acredite la personalidad del representante legal, en el caso de personas jurídicas; </w:t>
      </w:r>
    </w:p>
    <w:p w14:paraId="3A474F71"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Dictamen favorable de Protección Civil y Bomberos; </w:t>
      </w:r>
    </w:p>
    <w:p w14:paraId="3A474F72"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Bitácora de mantenimiento a la estructura del anuncio, con una antigüedad no mayor a dos meses, expedida por director responsable ante la </w:t>
      </w:r>
      <w:r w:rsidRPr="00AB293A">
        <w:rPr>
          <w:rFonts w:ascii="Gotham" w:hAnsi="Gotham"/>
          <w:sz w:val="19"/>
          <w:szCs w:val="19"/>
        </w:rPr>
        <w:t>Dirección de General de Planeación y Desarrollo Urbano Sustentable</w:t>
      </w:r>
      <w:r w:rsidRPr="00AB293A">
        <w:rPr>
          <w:rFonts w:ascii="Gotham" w:hAnsi="Gotham"/>
          <w:bCs/>
          <w:color w:val="auto"/>
          <w:sz w:val="19"/>
          <w:szCs w:val="19"/>
        </w:rPr>
        <w:t xml:space="preserve">; </w:t>
      </w:r>
    </w:p>
    <w:p w14:paraId="3A474F73"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póliza de seguros del anuncio vigente; </w:t>
      </w:r>
    </w:p>
    <w:p w14:paraId="3A474F74"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la licencia municipal de giro vigente o su refrendo; y </w:t>
      </w:r>
    </w:p>
    <w:p w14:paraId="3A474F75"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la licencia municipal de anuncio o su refrendo, del año fiscal inmediato anterior a la fecha de solicitud. </w:t>
      </w:r>
    </w:p>
    <w:p w14:paraId="3A474F76" w14:textId="77777777" w:rsidR="009B5E39" w:rsidRPr="00AB293A" w:rsidRDefault="009B5E39" w:rsidP="009B5E39">
      <w:pPr>
        <w:pStyle w:val="Default"/>
        <w:numPr>
          <w:ilvl w:val="1"/>
          <w:numId w:val="181"/>
        </w:numPr>
        <w:spacing w:after="120"/>
        <w:ind w:left="1134" w:right="283" w:hanging="850"/>
        <w:jc w:val="both"/>
        <w:rPr>
          <w:rFonts w:ascii="Gotham" w:hAnsi="Gotham"/>
          <w:color w:val="auto"/>
          <w:sz w:val="19"/>
          <w:szCs w:val="19"/>
        </w:rPr>
      </w:pPr>
      <w:r w:rsidRPr="00AB293A">
        <w:rPr>
          <w:rFonts w:ascii="Gotham" w:hAnsi="Gotham"/>
          <w:bCs/>
          <w:color w:val="auto"/>
          <w:sz w:val="19"/>
          <w:szCs w:val="19"/>
        </w:rPr>
        <w:lastRenderedPageBreak/>
        <w:t xml:space="preserve">Para licencias de anuncios semiestructurales Tipo 2, además de los requisitos que se exigen a las licencias anuncios nuevos semiestructurales Tipo 1 y Tipo 3, deberá presentar: </w:t>
      </w:r>
    </w:p>
    <w:p w14:paraId="3A474F77"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Fianza a favor del Municipio de Tonalá, Jalisco. </w:t>
      </w:r>
    </w:p>
    <w:p w14:paraId="3A474F78" w14:textId="77777777" w:rsidR="009B5E39" w:rsidRPr="00AB293A" w:rsidRDefault="009B5E39" w:rsidP="009B5E39">
      <w:pPr>
        <w:pStyle w:val="Default"/>
        <w:numPr>
          <w:ilvl w:val="1"/>
          <w:numId w:val="181"/>
        </w:numPr>
        <w:spacing w:after="120"/>
        <w:ind w:left="1134" w:right="283" w:hanging="850"/>
        <w:jc w:val="both"/>
        <w:rPr>
          <w:rFonts w:ascii="Gotham" w:hAnsi="Gotham"/>
          <w:color w:val="auto"/>
          <w:sz w:val="19"/>
          <w:szCs w:val="19"/>
        </w:rPr>
      </w:pPr>
      <w:r w:rsidRPr="00AB293A">
        <w:rPr>
          <w:rFonts w:ascii="Gotham" w:hAnsi="Gotham"/>
          <w:bCs/>
          <w:color w:val="auto"/>
          <w:sz w:val="19"/>
          <w:szCs w:val="19"/>
        </w:rPr>
        <w:t xml:space="preserve">Para refrendo de licencias de anuncios semiestructurales Tipo 2, además de los requisitos que se exigen para el refrendo de licencias de semiestructurales tipo 1, deberá presentar: </w:t>
      </w:r>
    </w:p>
    <w:p w14:paraId="3A474F79"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Carta responsiva de verificación con una antigüedad no mayor a dos meses, de la que se desprenda el buen estado estructural del anuncio, suscrita por director responsable registrado ante la </w:t>
      </w:r>
      <w:r w:rsidRPr="00AB293A">
        <w:rPr>
          <w:rFonts w:ascii="Gotham" w:hAnsi="Gotham"/>
          <w:sz w:val="19"/>
          <w:szCs w:val="19"/>
        </w:rPr>
        <w:t>Dirección de General de Planeación y Desarrollo Urbano Sustentable</w:t>
      </w:r>
      <w:r w:rsidRPr="00AB293A">
        <w:rPr>
          <w:rFonts w:ascii="Gotham" w:hAnsi="Gotham"/>
          <w:bCs/>
          <w:color w:val="auto"/>
          <w:sz w:val="19"/>
          <w:szCs w:val="19"/>
        </w:rPr>
        <w:t xml:space="preserve">; y </w:t>
      </w:r>
    </w:p>
    <w:p w14:paraId="3A474F7A" w14:textId="77777777" w:rsidR="009B5E39" w:rsidRPr="00AB293A" w:rsidRDefault="009B5E39" w:rsidP="009B5E39">
      <w:pPr>
        <w:pStyle w:val="Default"/>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b) </w:t>
      </w:r>
      <w:r>
        <w:rPr>
          <w:rFonts w:ascii="Gotham" w:hAnsi="Gotham"/>
          <w:bCs/>
          <w:color w:val="auto"/>
          <w:sz w:val="19"/>
          <w:szCs w:val="19"/>
        </w:rPr>
        <w:tab/>
      </w:r>
      <w:r w:rsidRPr="00AB293A">
        <w:rPr>
          <w:rFonts w:ascii="Gotham" w:hAnsi="Gotham"/>
          <w:bCs/>
          <w:color w:val="auto"/>
          <w:sz w:val="19"/>
          <w:szCs w:val="19"/>
        </w:rPr>
        <w:t xml:space="preserve">Fianza a favor del Municipio de Tonalá, Jalisco. </w:t>
      </w:r>
    </w:p>
    <w:p w14:paraId="3A474F7B" w14:textId="77777777" w:rsidR="009B5E39" w:rsidRPr="00AB293A" w:rsidRDefault="009B5E39" w:rsidP="009B5E39">
      <w:pPr>
        <w:pStyle w:val="Default"/>
        <w:numPr>
          <w:ilvl w:val="1"/>
          <w:numId w:val="181"/>
        </w:numPr>
        <w:spacing w:after="120"/>
        <w:ind w:left="1134" w:right="283" w:hanging="850"/>
        <w:jc w:val="both"/>
        <w:rPr>
          <w:rFonts w:ascii="Gotham" w:hAnsi="Gotham"/>
          <w:color w:val="auto"/>
          <w:sz w:val="19"/>
          <w:szCs w:val="19"/>
        </w:rPr>
      </w:pPr>
      <w:r w:rsidRPr="00AB293A">
        <w:rPr>
          <w:rFonts w:ascii="Gotham" w:hAnsi="Gotham"/>
          <w:bCs/>
          <w:color w:val="auto"/>
          <w:sz w:val="19"/>
          <w:szCs w:val="19"/>
        </w:rPr>
        <w:t xml:space="preserve">Para el refrendo de licencias de anuncios estructurales unipolares y de cartelera: </w:t>
      </w:r>
    </w:p>
    <w:p w14:paraId="3A474F7C"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identificación oficial para el caso de personas físicas; y de acta constitutiva y documento que acredite la personalidad del representante legal, en el caso de personas jurídicas; </w:t>
      </w:r>
    </w:p>
    <w:p w14:paraId="3A474F7D"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comprobante de domicilio con no más de dos meses de antigüedad, para efectos de oír y recibir notificaciones; </w:t>
      </w:r>
    </w:p>
    <w:p w14:paraId="3A474F7E"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del pago del impuesto predial del año o bimestre que corra al momento de la solicitud, del predio donde está instalado el anuncio; </w:t>
      </w:r>
    </w:p>
    <w:p w14:paraId="3A474F7F"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del documento que acredite el legal uso del inmueble, cuando se encuentre instalado en un predio propiedad de un tercero diferente al solicitante; </w:t>
      </w:r>
    </w:p>
    <w:p w14:paraId="3A474F80"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Fotografía de la estructura completa del anuncio; </w:t>
      </w:r>
    </w:p>
    <w:p w14:paraId="3A474F81"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Dictamen favorable de Protección Civil y Bomberos; </w:t>
      </w:r>
    </w:p>
    <w:p w14:paraId="3A474F82"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Plano de censo forestal y jardines de un área circular que tenga 50 metros lineales de radio a partir de la estructura. Para cada individuo forestal se consignará la siguiente información: especie, altura, diámetro a la altura de pecho, ancho de fronda, estado de salud; y por cada área de jardín, el tamaño y una descripción de la vegetación presente; en ambos casos se presentará memoria fotográfica; </w:t>
      </w:r>
    </w:p>
    <w:p w14:paraId="3A474F83"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Carta responsiva de verificación con una antigüedad no mayor a dos meses, suscrita por director responsable registrado ante la Dirección de Obras Públicas e Infraestructura, de la que se desprenda el buen estado estructural del anuncio, tomando como base la memoria de cálculo estructural; </w:t>
      </w:r>
    </w:p>
    <w:p w14:paraId="3A474F84"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Bitácora de mantenimiento a la estructura del anuncio, con una antigüedad no mayor a dos meses, expedida por director responsable registrado ante la </w:t>
      </w:r>
      <w:r w:rsidRPr="00AB293A">
        <w:rPr>
          <w:rFonts w:ascii="Gotham" w:hAnsi="Gotham"/>
          <w:sz w:val="19"/>
          <w:szCs w:val="19"/>
        </w:rPr>
        <w:t>Dirección de General de Planeación y Desarrollo Urbano Sustentable</w:t>
      </w:r>
      <w:r w:rsidRPr="00AB293A">
        <w:rPr>
          <w:rFonts w:ascii="Gotham" w:hAnsi="Gotham"/>
          <w:bCs/>
          <w:color w:val="auto"/>
          <w:sz w:val="19"/>
          <w:szCs w:val="19"/>
        </w:rPr>
        <w:t xml:space="preserve">; </w:t>
      </w:r>
    </w:p>
    <w:p w14:paraId="3A474F85"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Fotografía que acredite que el anuncio tiene su placa de identificación, con una medida de 60 x 60 centímetros en formato legible desde la vía pública; </w:t>
      </w:r>
    </w:p>
    <w:p w14:paraId="3A474F86" w14:textId="77777777" w:rsidR="009B5E39" w:rsidRPr="00AB293A" w:rsidRDefault="009B5E39" w:rsidP="009B5E39">
      <w:pPr>
        <w:pStyle w:val="Default"/>
        <w:numPr>
          <w:ilvl w:val="2"/>
          <w:numId w:val="181"/>
        </w:numPr>
        <w:spacing w:after="120"/>
        <w:ind w:left="1560" w:right="283" w:hanging="426"/>
        <w:jc w:val="both"/>
        <w:rPr>
          <w:rFonts w:ascii="Gotham" w:hAnsi="Gotham"/>
          <w:color w:val="auto"/>
          <w:sz w:val="19"/>
          <w:szCs w:val="19"/>
        </w:rPr>
      </w:pPr>
      <w:r w:rsidRPr="00AB293A">
        <w:rPr>
          <w:rFonts w:ascii="Gotham" w:hAnsi="Gotham"/>
          <w:bCs/>
          <w:color w:val="auto"/>
          <w:sz w:val="19"/>
          <w:szCs w:val="19"/>
        </w:rPr>
        <w:t xml:space="preserve">Copia de póliza de seguro; </w:t>
      </w:r>
    </w:p>
    <w:p w14:paraId="3A474F87" w14:textId="77777777" w:rsidR="009B5E39" w:rsidRPr="00AB293A" w:rsidRDefault="009B5E39" w:rsidP="009B5E39">
      <w:pPr>
        <w:pStyle w:val="Default"/>
        <w:numPr>
          <w:ilvl w:val="2"/>
          <w:numId w:val="181"/>
        </w:numPr>
        <w:ind w:left="1560" w:right="283" w:hanging="426"/>
        <w:jc w:val="both"/>
        <w:rPr>
          <w:rFonts w:ascii="Gotham" w:hAnsi="Gotham"/>
          <w:color w:val="auto"/>
          <w:sz w:val="19"/>
          <w:szCs w:val="19"/>
        </w:rPr>
      </w:pPr>
      <w:r w:rsidRPr="00AB293A">
        <w:rPr>
          <w:rFonts w:ascii="Gotham" w:hAnsi="Gotham"/>
          <w:bCs/>
          <w:color w:val="auto"/>
          <w:sz w:val="19"/>
          <w:szCs w:val="19"/>
        </w:rPr>
        <w:t xml:space="preserve">Fianza a favor del Municipio de Tonalá, Jalisco; </w:t>
      </w:r>
    </w:p>
    <w:p w14:paraId="3A474F88" w14:textId="77777777" w:rsidR="009B5E39" w:rsidRPr="00AB293A" w:rsidRDefault="009B5E39" w:rsidP="009B5E39">
      <w:pPr>
        <w:pStyle w:val="Default"/>
        <w:ind w:left="284" w:right="283"/>
        <w:jc w:val="both"/>
        <w:rPr>
          <w:rFonts w:ascii="Gotham" w:hAnsi="Gotham"/>
          <w:color w:val="auto"/>
          <w:sz w:val="19"/>
          <w:szCs w:val="19"/>
        </w:rPr>
      </w:pPr>
    </w:p>
    <w:p w14:paraId="3A474F89" w14:textId="77777777" w:rsidR="009B5E39" w:rsidRPr="00AB293A" w:rsidRDefault="009B5E39" w:rsidP="009B5E39">
      <w:pPr>
        <w:pStyle w:val="Default"/>
        <w:ind w:left="284" w:right="283"/>
        <w:jc w:val="both"/>
        <w:rPr>
          <w:rFonts w:ascii="Gotham" w:hAnsi="Gotham"/>
          <w:color w:val="auto"/>
          <w:sz w:val="19"/>
          <w:szCs w:val="19"/>
        </w:rPr>
      </w:pPr>
      <w:r w:rsidRPr="00AB293A">
        <w:rPr>
          <w:rFonts w:ascii="Gotham" w:hAnsi="Gotham"/>
          <w:bCs/>
          <w:color w:val="auto"/>
          <w:sz w:val="19"/>
          <w:szCs w:val="19"/>
        </w:rPr>
        <w:t>Cumplidos cada uno de los requisitos anteriormente expresados, el titular de la licencia realizará el pago de los derechos establecidos en la Ley de Ingresos del Municipio de Tonalá, Jalisco vigente, y posteriormente la Dirección de Padrón y Licencias procederá a la emisión de la respectiva licencia o refrendo.</w:t>
      </w:r>
      <w:r w:rsidR="00883EC2">
        <w:rPr>
          <w:rFonts w:ascii="Gotham" w:hAnsi="Gotham"/>
          <w:bCs/>
          <w:color w:val="auto"/>
          <w:sz w:val="19"/>
          <w:szCs w:val="19"/>
        </w:rPr>
        <w:t xml:space="preserve"> </w:t>
      </w:r>
    </w:p>
    <w:p w14:paraId="3A474F8A" w14:textId="77777777" w:rsidR="009B5E39" w:rsidRPr="00AB293A" w:rsidRDefault="009B5E39" w:rsidP="009B5E39">
      <w:pPr>
        <w:pStyle w:val="Default"/>
        <w:ind w:left="284" w:right="283"/>
        <w:jc w:val="both"/>
        <w:rPr>
          <w:rFonts w:ascii="Gotham" w:hAnsi="Gotham"/>
          <w:color w:val="auto"/>
          <w:sz w:val="19"/>
          <w:szCs w:val="19"/>
        </w:rPr>
      </w:pPr>
    </w:p>
    <w:p w14:paraId="3A474F8B" w14:textId="77777777" w:rsidR="009B5E39" w:rsidRPr="00AB293A" w:rsidRDefault="009B5E39" w:rsidP="009B5E39">
      <w:pPr>
        <w:autoSpaceDE w:val="0"/>
        <w:autoSpaceDN w:val="0"/>
        <w:adjustRightInd w:val="0"/>
        <w:ind w:left="284" w:right="283"/>
        <w:jc w:val="both"/>
        <w:rPr>
          <w:rFonts w:ascii="Gotham" w:hAnsi="Gotham" w:cs="Arial"/>
          <w:b/>
          <w:bCs/>
          <w:sz w:val="19"/>
          <w:szCs w:val="19"/>
        </w:rPr>
      </w:pPr>
      <w:r w:rsidRPr="00AB293A">
        <w:rPr>
          <w:rFonts w:ascii="Gotham" w:hAnsi="Gotham" w:cs="Arial"/>
          <w:bCs/>
          <w:sz w:val="19"/>
          <w:szCs w:val="19"/>
        </w:rPr>
        <w:lastRenderedPageBreak/>
        <w:t>De no cumplirse los requisitos especificados en este artículo para la obtención de refrendos, se iniciarán los procedimientos administrativos correspondientes para llevar a cabo la baja administrativa o la revocación de la licencia, según corresponda, así como el consecuente</w:t>
      </w:r>
      <w:r w:rsidRPr="00AB293A">
        <w:rPr>
          <w:rFonts w:ascii="Gotham" w:hAnsi="Gotham" w:cs="Arial"/>
          <w:b/>
          <w:bCs/>
          <w:sz w:val="19"/>
          <w:szCs w:val="19"/>
        </w:rPr>
        <w:t xml:space="preserve"> </w:t>
      </w:r>
      <w:r w:rsidRPr="00AB293A">
        <w:rPr>
          <w:rFonts w:ascii="Gotham" w:hAnsi="Gotham" w:cs="Arial"/>
          <w:bCs/>
          <w:sz w:val="19"/>
          <w:szCs w:val="19"/>
        </w:rPr>
        <w:t>retiro del anuncio</w:t>
      </w:r>
      <w:r w:rsidRPr="00AB293A">
        <w:rPr>
          <w:rFonts w:ascii="Gotham" w:hAnsi="Gotham" w:cs="Arial"/>
          <w:b/>
          <w:bCs/>
          <w:sz w:val="19"/>
          <w:szCs w:val="19"/>
        </w:rPr>
        <w:t xml:space="preserve">. </w:t>
      </w:r>
    </w:p>
    <w:p w14:paraId="3A474F8C" w14:textId="77777777" w:rsidR="009B5E39" w:rsidRPr="00AB293A" w:rsidRDefault="009B5E39" w:rsidP="009B5E39">
      <w:pPr>
        <w:autoSpaceDE w:val="0"/>
        <w:autoSpaceDN w:val="0"/>
        <w:adjustRightInd w:val="0"/>
        <w:ind w:left="284" w:right="283"/>
        <w:jc w:val="both"/>
        <w:rPr>
          <w:rFonts w:ascii="Gotham" w:hAnsi="Gotham" w:cs="Arial"/>
          <w:b/>
          <w:bCs/>
          <w:sz w:val="19"/>
          <w:szCs w:val="19"/>
        </w:rPr>
      </w:pPr>
    </w:p>
    <w:p w14:paraId="3A474F8D"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20°. </w:t>
      </w:r>
      <w:r w:rsidRPr="00AB293A">
        <w:rPr>
          <w:rFonts w:ascii="Gotham" w:hAnsi="Gotham" w:cs="Arial"/>
          <w:sz w:val="19"/>
          <w:szCs w:val="19"/>
        </w:rPr>
        <w:t>La Hacienda Municipal es la autoridad Municipal facultada para calificar el costo de las licencias y permisos sobre la base de las tarifas autorizadas por la Ley de Ingresos del Municipio; los pagos de licencias, permisos, registros, sanciones, reembolsos y certificaciones se realizarán en las oficinas de la Hacienda Municipal.</w:t>
      </w:r>
    </w:p>
    <w:p w14:paraId="3A474F8E" w14:textId="77777777" w:rsidR="009B5E39" w:rsidRDefault="009B5E39" w:rsidP="009B5E39">
      <w:pPr>
        <w:autoSpaceDE w:val="0"/>
        <w:autoSpaceDN w:val="0"/>
        <w:adjustRightInd w:val="0"/>
        <w:ind w:left="284" w:right="283"/>
        <w:jc w:val="both"/>
        <w:rPr>
          <w:rFonts w:ascii="Gotham" w:hAnsi="Gotham" w:cs="Arial"/>
          <w:sz w:val="19"/>
          <w:szCs w:val="19"/>
        </w:rPr>
      </w:pPr>
    </w:p>
    <w:p w14:paraId="3A474F8F"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90" w14:textId="77777777" w:rsidR="009B5E39" w:rsidRPr="00AB293A" w:rsidRDefault="009B5E39" w:rsidP="009B5E39">
      <w:pPr>
        <w:autoSpaceDE w:val="0"/>
        <w:autoSpaceDN w:val="0"/>
        <w:adjustRightInd w:val="0"/>
        <w:ind w:left="284" w:right="283"/>
        <w:jc w:val="center"/>
        <w:rPr>
          <w:rFonts w:ascii="Gotham" w:hAnsi="Gotham" w:cs="Arial"/>
          <w:b/>
          <w:bCs/>
          <w:sz w:val="19"/>
          <w:szCs w:val="19"/>
        </w:rPr>
      </w:pPr>
      <w:r w:rsidRPr="00AB293A">
        <w:rPr>
          <w:rFonts w:ascii="Gotham" w:hAnsi="Gotham" w:cs="Arial"/>
          <w:b/>
          <w:bCs/>
          <w:sz w:val="19"/>
          <w:szCs w:val="19"/>
        </w:rPr>
        <w:t>CAPITULO II</w:t>
      </w:r>
    </w:p>
    <w:p w14:paraId="3A474F91" w14:textId="77777777" w:rsidR="009B5E39" w:rsidRPr="00AB293A" w:rsidRDefault="009B5E39" w:rsidP="009B5E39">
      <w:pPr>
        <w:autoSpaceDE w:val="0"/>
        <w:autoSpaceDN w:val="0"/>
        <w:adjustRightInd w:val="0"/>
        <w:ind w:left="284" w:right="283"/>
        <w:jc w:val="center"/>
        <w:rPr>
          <w:rFonts w:ascii="Gotham" w:hAnsi="Gotham" w:cs="Arial"/>
          <w:sz w:val="19"/>
          <w:szCs w:val="19"/>
        </w:rPr>
      </w:pPr>
      <w:r w:rsidRPr="00AB293A">
        <w:rPr>
          <w:rFonts w:ascii="Gotham" w:hAnsi="Gotham" w:cs="Arial"/>
          <w:sz w:val="19"/>
          <w:szCs w:val="19"/>
        </w:rPr>
        <w:t>Clasificación de los anuncios.</w:t>
      </w:r>
    </w:p>
    <w:p w14:paraId="3A474F92" w14:textId="77777777" w:rsidR="009B5E39" w:rsidRPr="00AB293A" w:rsidRDefault="009B5E39" w:rsidP="009B5E39">
      <w:pPr>
        <w:autoSpaceDE w:val="0"/>
        <w:autoSpaceDN w:val="0"/>
        <w:adjustRightInd w:val="0"/>
        <w:ind w:left="284" w:right="283"/>
        <w:jc w:val="center"/>
        <w:rPr>
          <w:rFonts w:ascii="Gotham" w:hAnsi="Gotham" w:cs="Arial"/>
          <w:sz w:val="19"/>
          <w:szCs w:val="19"/>
        </w:rPr>
      </w:pPr>
    </w:p>
    <w:p w14:paraId="3A474F93" w14:textId="77777777" w:rsidR="009B5E39"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21°. </w:t>
      </w:r>
      <w:r w:rsidRPr="00AB293A">
        <w:rPr>
          <w:rFonts w:ascii="Gotham" w:hAnsi="Gotham" w:cs="Arial"/>
          <w:sz w:val="19"/>
          <w:szCs w:val="19"/>
        </w:rPr>
        <w:t>Para la aplicación de este Reglamento, los anuncios se han clasificado de la siguiente forma:</w:t>
      </w:r>
    </w:p>
    <w:p w14:paraId="3A474F94"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95" w14:textId="77777777" w:rsidR="009B5E39" w:rsidRPr="00AB293A" w:rsidRDefault="009B5E39" w:rsidP="009B5E39">
      <w:pPr>
        <w:pStyle w:val="Default"/>
        <w:numPr>
          <w:ilvl w:val="1"/>
          <w:numId w:val="180"/>
        </w:numPr>
        <w:spacing w:after="120"/>
        <w:ind w:left="1134" w:right="283" w:hanging="850"/>
        <w:jc w:val="both"/>
        <w:rPr>
          <w:rFonts w:ascii="Gotham" w:hAnsi="Gotham"/>
          <w:b/>
          <w:sz w:val="19"/>
          <w:szCs w:val="19"/>
        </w:rPr>
      </w:pPr>
      <w:r w:rsidRPr="00AB293A">
        <w:rPr>
          <w:rFonts w:ascii="Gotham" w:hAnsi="Gotham"/>
          <w:b/>
          <w:sz w:val="19"/>
          <w:szCs w:val="19"/>
        </w:rPr>
        <w:t>Por su duración:</w:t>
      </w:r>
    </w:p>
    <w:p w14:paraId="3A474F96" w14:textId="77777777" w:rsidR="009B5E39" w:rsidRPr="00AB293A" w:rsidRDefault="009B5E39" w:rsidP="009B5E39">
      <w:pPr>
        <w:pStyle w:val="Prrafodelista"/>
        <w:numPr>
          <w:ilvl w:val="6"/>
          <w:numId w:val="182"/>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bCs/>
          <w:sz w:val="19"/>
          <w:szCs w:val="19"/>
        </w:rPr>
        <w:t>Permanentes:</w:t>
      </w:r>
      <w:r w:rsidRPr="00AB293A">
        <w:rPr>
          <w:rFonts w:ascii="Gotham" w:hAnsi="Gotham" w:cs="Arial"/>
          <w:b/>
          <w:bCs/>
          <w:sz w:val="19"/>
          <w:szCs w:val="19"/>
        </w:rPr>
        <w:t xml:space="preserve"> </w:t>
      </w:r>
      <w:r w:rsidRPr="00AB293A">
        <w:rPr>
          <w:rFonts w:ascii="Gotham" w:hAnsi="Gotham" w:cs="Arial"/>
          <w:sz w:val="19"/>
          <w:szCs w:val="19"/>
        </w:rPr>
        <w:t>Son aquellos que por las características de sus elementos y su utilización se consideran de duración indefinida en el tiempo:</w:t>
      </w:r>
    </w:p>
    <w:p w14:paraId="3A474F97" w14:textId="77777777" w:rsidR="009B5E39" w:rsidRPr="00AB293A" w:rsidRDefault="009B5E39" w:rsidP="009B5E39">
      <w:pPr>
        <w:pStyle w:val="Prrafodelista"/>
        <w:numPr>
          <w:ilvl w:val="0"/>
          <w:numId w:val="184"/>
        </w:numPr>
        <w:autoSpaceDE w:val="0"/>
        <w:autoSpaceDN w:val="0"/>
        <w:adjustRightInd w:val="0"/>
        <w:spacing w:after="120"/>
        <w:ind w:left="1985" w:right="283" w:hanging="425"/>
        <w:contextualSpacing w:val="0"/>
        <w:jc w:val="both"/>
        <w:rPr>
          <w:rFonts w:ascii="Gotham" w:hAnsi="Gotham" w:cs="Arial"/>
          <w:sz w:val="19"/>
          <w:szCs w:val="19"/>
        </w:rPr>
      </w:pPr>
      <w:r w:rsidRPr="00AB293A">
        <w:rPr>
          <w:rFonts w:ascii="Gotham" w:hAnsi="Gotham" w:cs="Arial"/>
          <w:sz w:val="19"/>
          <w:szCs w:val="19"/>
        </w:rPr>
        <w:t>Estructurales: Aquellos que por su tamaño, peso y cimentación requieren de un cálculo estructural explícito y de un equipo especializado para su transportación y colocación; con poste de diámetro o lado de entre 12” y 18” (30.5 centímetros y 45.7centímetros). o mayores 18” (45.7centímetros) (unipolares, carteleras de piso, carteleras de azotea y pantallas electrónicas);</w:t>
      </w:r>
    </w:p>
    <w:p w14:paraId="3A474F98" w14:textId="42B59DB0" w:rsidR="009B5E39" w:rsidRPr="00AB293A" w:rsidRDefault="00093554" w:rsidP="009B5E39">
      <w:pPr>
        <w:pStyle w:val="Prrafodelista"/>
        <w:numPr>
          <w:ilvl w:val="0"/>
          <w:numId w:val="184"/>
        </w:numPr>
        <w:autoSpaceDE w:val="0"/>
        <w:autoSpaceDN w:val="0"/>
        <w:adjustRightInd w:val="0"/>
        <w:spacing w:after="120"/>
        <w:ind w:left="1985" w:right="283" w:hanging="425"/>
        <w:contextualSpacing w:val="0"/>
        <w:jc w:val="both"/>
        <w:rPr>
          <w:rFonts w:ascii="Gotham" w:hAnsi="Gotham" w:cs="Arial"/>
          <w:bCs/>
          <w:sz w:val="19"/>
          <w:szCs w:val="19"/>
        </w:rPr>
      </w:pPr>
      <w:r w:rsidRPr="00AB293A">
        <w:rPr>
          <w:rFonts w:ascii="Gotham" w:hAnsi="Gotham" w:cs="Arial"/>
          <w:bCs/>
          <w:sz w:val="19"/>
          <w:szCs w:val="19"/>
        </w:rPr>
        <w:t>Semiestructúrales</w:t>
      </w:r>
      <w:r w:rsidR="009B5E39" w:rsidRPr="00AB293A">
        <w:rPr>
          <w:rFonts w:ascii="Gotham" w:hAnsi="Gotham" w:cs="Arial"/>
          <w:bCs/>
          <w:sz w:val="19"/>
          <w:szCs w:val="19"/>
        </w:rPr>
        <w:t xml:space="preserve">: Los que se fijan al piso con postes menores a 12” (30.5 centímetros) de diámetro o lado, o se construyen a base de mampostería; se encuentran separados de las construcciones, requieren de un cálculo estructural y de un equipo especializado para su transportación y colocación (uno o dos postes, directorios, tótem entre otros); </w:t>
      </w:r>
    </w:p>
    <w:p w14:paraId="3A474F99" w14:textId="77777777" w:rsidR="009B5E39" w:rsidRPr="00AB293A" w:rsidRDefault="009B5E39" w:rsidP="009B5E39">
      <w:pPr>
        <w:pStyle w:val="Prrafodelista"/>
        <w:numPr>
          <w:ilvl w:val="0"/>
          <w:numId w:val="184"/>
        </w:numPr>
        <w:autoSpaceDE w:val="0"/>
        <w:autoSpaceDN w:val="0"/>
        <w:adjustRightInd w:val="0"/>
        <w:spacing w:after="120"/>
        <w:ind w:left="1985" w:right="283" w:hanging="425"/>
        <w:contextualSpacing w:val="0"/>
        <w:jc w:val="both"/>
        <w:rPr>
          <w:rFonts w:ascii="Gotham" w:hAnsi="Gotham" w:cs="Arial"/>
          <w:bCs/>
          <w:sz w:val="19"/>
          <w:szCs w:val="19"/>
        </w:rPr>
      </w:pPr>
      <w:r w:rsidRPr="00AB293A">
        <w:rPr>
          <w:rFonts w:ascii="Gotham" w:hAnsi="Gotham" w:cs="Arial"/>
          <w:bCs/>
          <w:sz w:val="19"/>
          <w:szCs w:val="19"/>
        </w:rPr>
        <w:t xml:space="preserve">Soporte Simple: </w:t>
      </w:r>
      <w:r w:rsidRPr="00AB293A">
        <w:rPr>
          <w:rFonts w:ascii="Gotham" w:hAnsi="Gotham" w:cs="Arial"/>
          <w:sz w:val="19"/>
          <w:szCs w:val="19"/>
        </w:rPr>
        <w:t xml:space="preserve">Todo anuncio que use como base de sustentación las fachadas o cualquier otra parte exterior de una construcción de cualquier tipo, </w:t>
      </w:r>
      <w:r w:rsidRPr="00AB293A">
        <w:rPr>
          <w:rFonts w:ascii="Gotham" w:hAnsi="Gotham" w:cs="Arial"/>
          <w:bCs/>
          <w:sz w:val="19"/>
          <w:szCs w:val="19"/>
        </w:rPr>
        <w:t>no requieren de cálculo estructural o equipo especializado de transportación y colocación (gabinetes opacos o luminosos, letras individuales o elementos de figura, toldos, bastidores); y</w:t>
      </w:r>
    </w:p>
    <w:p w14:paraId="3A474F9A" w14:textId="77777777" w:rsidR="009B5E39" w:rsidRPr="00AB293A" w:rsidRDefault="009B5E39" w:rsidP="009B5E39">
      <w:pPr>
        <w:pStyle w:val="Prrafodelista"/>
        <w:numPr>
          <w:ilvl w:val="0"/>
          <w:numId w:val="184"/>
        </w:numPr>
        <w:autoSpaceDE w:val="0"/>
        <w:autoSpaceDN w:val="0"/>
        <w:adjustRightInd w:val="0"/>
        <w:spacing w:after="120"/>
        <w:ind w:left="1985" w:right="283" w:hanging="425"/>
        <w:contextualSpacing w:val="0"/>
        <w:jc w:val="both"/>
        <w:rPr>
          <w:rFonts w:ascii="Gotham" w:hAnsi="Gotham" w:cs="Arial"/>
          <w:bCs/>
          <w:sz w:val="19"/>
          <w:szCs w:val="19"/>
        </w:rPr>
      </w:pPr>
      <w:r w:rsidRPr="00AB293A">
        <w:rPr>
          <w:rFonts w:ascii="Gotham" w:hAnsi="Gotham" w:cs="Arial"/>
          <w:bCs/>
          <w:sz w:val="19"/>
          <w:szCs w:val="19"/>
        </w:rPr>
        <w:t xml:space="preserve">Rotulado de conformidad a lo estipulado en el numeral 34° del presente ordenamiento. </w:t>
      </w:r>
    </w:p>
    <w:p w14:paraId="3A474F9B" w14:textId="77777777" w:rsidR="009B5E39" w:rsidRPr="00AB293A" w:rsidRDefault="009B5E39" w:rsidP="009B5E39">
      <w:pPr>
        <w:pStyle w:val="Prrafodelista"/>
        <w:numPr>
          <w:ilvl w:val="6"/>
          <w:numId w:val="182"/>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bCs/>
          <w:sz w:val="19"/>
          <w:szCs w:val="19"/>
        </w:rPr>
        <w:t xml:space="preserve">Eventuales: </w:t>
      </w:r>
      <w:r w:rsidRPr="00AB293A">
        <w:rPr>
          <w:rFonts w:ascii="Gotham" w:hAnsi="Gotham" w:cs="Arial"/>
          <w:sz w:val="19"/>
          <w:szCs w:val="19"/>
        </w:rPr>
        <w:t>Son aquellos que por las características de sus elementos y utilización se consideran de duración limitada en el tiempo:</w:t>
      </w:r>
    </w:p>
    <w:p w14:paraId="3A474F9C" w14:textId="77777777" w:rsidR="009B5E39" w:rsidRPr="00AB293A" w:rsidRDefault="009B5E39" w:rsidP="009B5E39">
      <w:pPr>
        <w:pStyle w:val="Prrafodelista"/>
        <w:numPr>
          <w:ilvl w:val="0"/>
          <w:numId w:val="185"/>
        </w:numPr>
        <w:autoSpaceDE w:val="0"/>
        <w:autoSpaceDN w:val="0"/>
        <w:adjustRightInd w:val="0"/>
        <w:spacing w:after="120"/>
        <w:ind w:left="1985" w:right="283" w:hanging="425"/>
        <w:contextualSpacing w:val="0"/>
        <w:jc w:val="both"/>
        <w:rPr>
          <w:rFonts w:ascii="Gotham" w:hAnsi="Gotham" w:cs="Arial"/>
          <w:sz w:val="19"/>
          <w:szCs w:val="19"/>
        </w:rPr>
      </w:pPr>
      <w:r w:rsidRPr="00AB293A">
        <w:rPr>
          <w:rFonts w:ascii="Gotham" w:hAnsi="Gotham" w:cs="Arial"/>
          <w:sz w:val="19"/>
          <w:szCs w:val="19"/>
        </w:rPr>
        <w:t>Impresos o volantes;</w:t>
      </w:r>
    </w:p>
    <w:p w14:paraId="3A474F9D" w14:textId="77777777" w:rsidR="009B5E39" w:rsidRPr="00AB293A" w:rsidRDefault="009B5E39" w:rsidP="009B5E39">
      <w:pPr>
        <w:pStyle w:val="Prrafodelista"/>
        <w:numPr>
          <w:ilvl w:val="0"/>
          <w:numId w:val="185"/>
        </w:numPr>
        <w:autoSpaceDE w:val="0"/>
        <w:autoSpaceDN w:val="0"/>
        <w:adjustRightInd w:val="0"/>
        <w:spacing w:after="120"/>
        <w:ind w:left="1985" w:right="283" w:hanging="425"/>
        <w:contextualSpacing w:val="0"/>
        <w:jc w:val="both"/>
        <w:rPr>
          <w:rFonts w:ascii="Gotham" w:hAnsi="Gotham" w:cs="Arial"/>
          <w:sz w:val="19"/>
          <w:szCs w:val="19"/>
        </w:rPr>
      </w:pPr>
      <w:r w:rsidRPr="00AB293A">
        <w:rPr>
          <w:rFonts w:ascii="Gotham" w:hAnsi="Gotham" w:cs="Arial"/>
          <w:sz w:val="19"/>
          <w:szCs w:val="19"/>
        </w:rPr>
        <w:t>Escaparates y vitrinas; ventana u hornacina con cierre transparente, ubicada en los paramentos de los locales comerciales, que sirve para exponer mercancías y exhibir anuncios o avisos publicitarios;</w:t>
      </w:r>
    </w:p>
    <w:p w14:paraId="3A474F9E" w14:textId="77777777" w:rsidR="009B5E39" w:rsidRPr="00AB293A" w:rsidRDefault="009B5E39" w:rsidP="009B5E39">
      <w:pPr>
        <w:pStyle w:val="Prrafodelista"/>
        <w:numPr>
          <w:ilvl w:val="0"/>
          <w:numId w:val="185"/>
        </w:numPr>
        <w:autoSpaceDE w:val="0"/>
        <w:autoSpaceDN w:val="0"/>
        <w:adjustRightInd w:val="0"/>
        <w:spacing w:after="120"/>
        <w:ind w:left="1985" w:right="283" w:hanging="425"/>
        <w:contextualSpacing w:val="0"/>
        <w:jc w:val="both"/>
        <w:rPr>
          <w:rFonts w:ascii="Gotham" w:hAnsi="Gotham" w:cs="Arial"/>
          <w:sz w:val="19"/>
          <w:szCs w:val="19"/>
        </w:rPr>
      </w:pPr>
      <w:r w:rsidRPr="00AB293A">
        <w:rPr>
          <w:rFonts w:ascii="Gotham" w:hAnsi="Gotham" w:cs="Arial"/>
          <w:sz w:val="19"/>
          <w:szCs w:val="19"/>
        </w:rPr>
        <w:t xml:space="preserve">Mantas y lonas; elementos flexibles de material sintético a los que puede fijarse un mensaje para ser difundido; </w:t>
      </w:r>
    </w:p>
    <w:p w14:paraId="3A474F9F" w14:textId="77777777" w:rsidR="009B5E39" w:rsidRPr="00AB293A" w:rsidRDefault="009B5E39" w:rsidP="009B5E39">
      <w:pPr>
        <w:pStyle w:val="Prrafodelista"/>
        <w:numPr>
          <w:ilvl w:val="0"/>
          <w:numId w:val="185"/>
        </w:numPr>
        <w:autoSpaceDE w:val="0"/>
        <w:autoSpaceDN w:val="0"/>
        <w:adjustRightInd w:val="0"/>
        <w:spacing w:after="120"/>
        <w:ind w:left="1985" w:right="283" w:hanging="425"/>
        <w:contextualSpacing w:val="0"/>
        <w:jc w:val="both"/>
        <w:rPr>
          <w:rFonts w:ascii="Gotham" w:hAnsi="Gotham" w:cs="Arial"/>
          <w:sz w:val="19"/>
          <w:szCs w:val="19"/>
        </w:rPr>
      </w:pPr>
      <w:r w:rsidRPr="00AB293A">
        <w:rPr>
          <w:rFonts w:ascii="Gotham" w:hAnsi="Gotham" w:cs="Arial"/>
          <w:bCs/>
          <w:sz w:val="19"/>
          <w:szCs w:val="19"/>
        </w:rPr>
        <w:t>Rotulado; cuando el mensaje es pintado sobre un mueble o inmueble. El área está determinada por lo alto y ancho de la superficie sin considerar los elementos propios de la edificación unidos a ésta</w:t>
      </w:r>
      <w:r>
        <w:rPr>
          <w:rFonts w:ascii="Gotham" w:hAnsi="Gotham" w:cs="Arial"/>
          <w:bCs/>
          <w:sz w:val="19"/>
          <w:szCs w:val="19"/>
        </w:rPr>
        <w:t>,</w:t>
      </w:r>
      <w:r w:rsidRPr="00AB293A">
        <w:rPr>
          <w:rFonts w:ascii="Gotham" w:hAnsi="Gotham" w:cs="Arial"/>
          <w:bCs/>
          <w:sz w:val="19"/>
          <w:szCs w:val="19"/>
        </w:rPr>
        <w:t xml:space="preserve"> además de los establecidos en el numeral 43° de este reglamento.</w:t>
      </w:r>
      <w:r w:rsidR="00883EC2">
        <w:rPr>
          <w:rFonts w:ascii="Gotham" w:hAnsi="Gotham" w:cs="Arial"/>
          <w:bCs/>
          <w:sz w:val="19"/>
          <w:szCs w:val="19"/>
        </w:rPr>
        <w:t xml:space="preserve"> </w:t>
      </w:r>
    </w:p>
    <w:p w14:paraId="3A474FA0" w14:textId="77777777" w:rsidR="009B5E39" w:rsidRPr="00AB293A" w:rsidRDefault="009B5E39" w:rsidP="009B5E39">
      <w:pPr>
        <w:pStyle w:val="Prrafodelista"/>
        <w:numPr>
          <w:ilvl w:val="0"/>
          <w:numId w:val="185"/>
        </w:numPr>
        <w:autoSpaceDE w:val="0"/>
        <w:autoSpaceDN w:val="0"/>
        <w:adjustRightInd w:val="0"/>
        <w:spacing w:after="120"/>
        <w:ind w:left="1985" w:right="283" w:hanging="425"/>
        <w:contextualSpacing w:val="0"/>
        <w:jc w:val="both"/>
        <w:rPr>
          <w:rFonts w:ascii="Gotham" w:hAnsi="Gotham" w:cs="Arial"/>
          <w:sz w:val="19"/>
          <w:szCs w:val="19"/>
        </w:rPr>
      </w:pPr>
      <w:r w:rsidRPr="00AB293A">
        <w:rPr>
          <w:rFonts w:ascii="Gotham" w:hAnsi="Gotham" w:cs="Arial"/>
          <w:sz w:val="19"/>
          <w:szCs w:val="19"/>
        </w:rPr>
        <w:lastRenderedPageBreak/>
        <w:t>Tridimensionales o volumétricos; aquellos que tienen largo, ancho y alto, que presentan cuerpos de tres o más caras en forma de objeto;</w:t>
      </w:r>
    </w:p>
    <w:p w14:paraId="3A474FA1" w14:textId="77777777" w:rsidR="009B5E39" w:rsidRPr="00AB293A" w:rsidRDefault="009B5E39" w:rsidP="009B5E39">
      <w:pPr>
        <w:pStyle w:val="Prrafodelista"/>
        <w:numPr>
          <w:ilvl w:val="0"/>
          <w:numId w:val="185"/>
        </w:numPr>
        <w:autoSpaceDE w:val="0"/>
        <w:autoSpaceDN w:val="0"/>
        <w:adjustRightInd w:val="0"/>
        <w:spacing w:after="120"/>
        <w:ind w:left="1985" w:right="283" w:hanging="425"/>
        <w:contextualSpacing w:val="0"/>
        <w:jc w:val="both"/>
        <w:rPr>
          <w:rFonts w:ascii="Gotham" w:hAnsi="Gotham" w:cs="Arial"/>
          <w:sz w:val="19"/>
          <w:szCs w:val="19"/>
        </w:rPr>
      </w:pPr>
      <w:r w:rsidRPr="00AB293A">
        <w:rPr>
          <w:rFonts w:ascii="Gotham" w:hAnsi="Gotham" w:cs="Arial"/>
          <w:sz w:val="19"/>
          <w:szCs w:val="19"/>
        </w:rPr>
        <w:t xml:space="preserve">Inflables; aquellos cuyo mensaje publicitario se presenta en un material flexible con volumen, lleno de gas y sujeto a una superficie fija; y </w:t>
      </w:r>
    </w:p>
    <w:p w14:paraId="3A474FA2" w14:textId="77777777" w:rsidR="009B5E39" w:rsidRPr="00AB293A" w:rsidRDefault="009B5E39" w:rsidP="009B5E39">
      <w:pPr>
        <w:pStyle w:val="Prrafodelista"/>
        <w:numPr>
          <w:ilvl w:val="0"/>
          <w:numId w:val="185"/>
        </w:numPr>
        <w:autoSpaceDE w:val="0"/>
        <w:autoSpaceDN w:val="0"/>
        <w:adjustRightInd w:val="0"/>
        <w:ind w:left="1985" w:right="283" w:hanging="425"/>
        <w:contextualSpacing w:val="0"/>
        <w:jc w:val="both"/>
        <w:rPr>
          <w:rFonts w:ascii="Gotham" w:hAnsi="Gotham" w:cs="Arial"/>
          <w:sz w:val="19"/>
          <w:szCs w:val="19"/>
        </w:rPr>
      </w:pPr>
      <w:r w:rsidRPr="00AB293A">
        <w:rPr>
          <w:rFonts w:ascii="Gotham" w:hAnsi="Gotham" w:cs="Arial"/>
          <w:sz w:val="19"/>
          <w:szCs w:val="19"/>
        </w:rPr>
        <w:t>Carteles; elementos publicitarios de carácter gráfico y bidimensional sin estructura propia.</w:t>
      </w:r>
    </w:p>
    <w:p w14:paraId="3A474FA3"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A4" w14:textId="77777777" w:rsidR="009B5E39" w:rsidRPr="00AB293A" w:rsidRDefault="009B5E39" w:rsidP="009B5E39">
      <w:pPr>
        <w:pStyle w:val="Default"/>
        <w:numPr>
          <w:ilvl w:val="1"/>
          <w:numId w:val="180"/>
        </w:numPr>
        <w:spacing w:after="120"/>
        <w:ind w:left="1134" w:right="283" w:hanging="850"/>
        <w:jc w:val="both"/>
        <w:rPr>
          <w:rFonts w:ascii="Gotham" w:hAnsi="Gotham"/>
          <w:b/>
          <w:sz w:val="19"/>
          <w:szCs w:val="19"/>
        </w:rPr>
      </w:pPr>
      <w:r w:rsidRPr="00AB293A">
        <w:rPr>
          <w:rFonts w:ascii="Gotham" w:hAnsi="Gotham"/>
          <w:b/>
          <w:sz w:val="19"/>
          <w:szCs w:val="19"/>
        </w:rPr>
        <w:t>Por su estructura:</w:t>
      </w:r>
    </w:p>
    <w:p w14:paraId="3A474FA5"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De poste mayor a 18” (45.7 centímetros) de diámetro o lado; aquellos en los cuales la estructura soportante del mensaje es fijada a una base vertical (unipolar) mayor a 18” (45.7 centímetros) de diámetro o lado;</w:t>
      </w:r>
    </w:p>
    <w:p w14:paraId="3A474FA6"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Cartelera de azotea o de piso; estructura soportante de un cartel que puede ser colocada en la azotea de edificaciones o a nivel de piso;</w:t>
      </w:r>
    </w:p>
    <w:p w14:paraId="3A474FA7"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Pantalla electrónica o digital; superficie lateral vertical de un anuncio, por medio de la cual se transmiten imágenes, figuras o mensajes de temas de interés diverso, cuya frecuencia, duración, tiempo y condiciones de difusión pueden ser programadas con antelación, pero sin disponer de sonido;</w:t>
      </w:r>
    </w:p>
    <w:p w14:paraId="3A474FA8"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De poste entre 12” y 18” (30.5 centímetros y 45.7 centímetros) de diámetro o lado; aquellos en los cuales la estructura soportante del mensaje es fijada a una base vertical entre 12” y 18” (30.5 centímetros y 45.7 centímetros) de diámetro o lado;</w:t>
      </w:r>
    </w:p>
    <w:p w14:paraId="3A474FA9"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De poste menor a 12” (30.5 centímetros) de diámetro o lado; aquellos en los cuales la estructura que soporta la publicidad es fijada a una base vertical no mayor a 12” (30.5 centímetros) de diámetro o lado;</w:t>
      </w:r>
      <w:r w:rsidRPr="00AB293A">
        <w:rPr>
          <w:rFonts w:ascii="Gotham" w:hAnsi="Gotham" w:cs="Arial"/>
          <w:b/>
          <w:bCs/>
          <w:sz w:val="19"/>
          <w:szCs w:val="19"/>
        </w:rPr>
        <w:t xml:space="preserve"> </w:t>
      </w:r>
    </w:p>
    <w:p w14:paraId="3A474FAA"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De estela o navaja; estructura que se erige sobre el suelo en forma de lápida, pedestal o poste;</w:t>
      </w:r>
    </w:p>
    <w:p w14:paraId="3A474FAB"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Tótem: Anuncio soportado sobre dos postes de acero elevados, que deberán estar sujetos a gabinetes, pudiendo ser de dos vistas e iluminados. </w:t>
      </w:r>
    </w:p>
    <w:p w14:paraId="3A474FAC"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De mampostería; estructura realizada con argamasa como elemento de sujeción entre sus elementos;</w:t>
      </w:r>
    </w:p>
    <w:p w14:paraId="3A474FAD"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Tipo toldo; estructura o armazón recubierto de tela u otro material similar que se sostienen en los paramentos de los inmuebles, puestos de venta o de servicios en la vía pública y que tienen un mensaje publicitario;</w:t>
      </w:r>
    </w:p>
    <w:p w14:paraId="3A474FAE"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Gabinete corrido o letras individuales bastidores; cuerpo de forma regular, limitado por dos caras frontales planas, paralelas, simétricas y verticales, sobre las cuales se fijan mensajes bidimensionales impresos en materiales diversos, todos como un elemento o cada uno de los componentes del mensaje de forma individual.</w:t>
      </w:r>
    </w:p>
    <w:p w14:paraId="3A474FAF"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Voladizo o de bandera; aquél que es colocado de forma perpendicular a su base;</w:t>
      </w:r>
    </w:p>
    <w:p w14:paraId="3A474FB0"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Rótulo. Pinta publicitaria alusiva a la actividad y denominación del establecimiento allí ubicado, razón social, así como delegación o servicio oficial que represente, aunque de forma discreta e integrada en el conjunto podrá insertarse publicidad de los productos relacionados directamente con la actividad. </w:t>
      </w:r>
    </w:p>
    <w:p w14:paraId="3A474FB1"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Tijera o caballete. Armazón compuesto de dos piezas o más sujetadas en un eje, que son colocados en el piso. </w:t>
      </w:r>
    </w:p>
    <w:p w14:paraId="3A474FB2"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Tapial </w:t>
      </w:r>
      <w:r w:rsidRPr="00AB293A">
        <w:rPr>
          <w:rFonts w:ascii="Gotham" w:hAnsi="Gotham" w:cs="Arial"/>
          <w:bCs/>
          <w:sz w:val="19"/>
          <w:szCs w:val="19"/>
        </w:rPr>
        <w:t>o valla</w:t>
      </w:r>
      <w:r w:rsidRPr="00AB293A">
        <w:rPr>
          <w:rFonts w:ascii="Gotham" w:hAnsi="Gotham" w:cs="Arial"/>
          <w:sz w:val="19"/>
          <w:szCs w:val="19"/>
        </w:rPr>
        <w:t>. Instalación adosada al perímetro de obras en proceso de demolición o construcción, de superficie plana de chapa o pantalla y de marco.</w:t>
      </w:r>
    </w:p>
    <w:p w14:paraId="3A474FB3" w14:textId="77777777" w:rsidR="009B5E39" w:rsidRPr="00AB293A" w:rsidRDefault="009B5E39" w:rsidP="009B5E39">
      <w:pPr>
        <w:pStyle w:val="Prrafodelista"/>
        <w:numPr>
          <w:ilvl w:val="2"/>
          <w:numId w:val="180"/>
        </w:numPr>
        <w:autoSpaceDE w:val="0"/>
        <w:autoSpaceDN w:val="0"/>
        <w:adjustRightInd w:val="0"/>
        <w:ind w:left="1560" w:right="283" w:hanging="426"/>
        <w:contextualSpacing w:val="0"/>
        <w:jc w:val="both"/>
        <w:rPr>
          <w:rFonts w:ascii="Gotham" w:hAnsi="Gotham" w:cs="Arial"/>
          <w:sz w:val="19"/>
          <w:szCs w:val="19"/>
        </w:rPr>
      </w:pPr>
      <w:r w:rsidRPr="00AB293A">
        <w:rPr>
          <w:rFonts w:ascii="Gotham" w:hAnsi="Gotham" w:cs="Arial"/>
          <w:sz w:val="19"/>
          <w:szCs w:val="19"/>
        </w:rPr>
        <w:lastRenderedPageBreak/>
        <w:t>Inflable. inflados con materiales no inflamables pueden ser colocados en el piso o aerostáticos.</w:t>
      </w:r>
    </w:p>
    <w:p w14:paraId="3A474FB4"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B5" w14:textId="77777777" w:rsidR="009B5E39" w:rsidRPr="00AB293A" w:rsidRDefault="009B5E39" w:rsidP="009B5E39">
      <w:pPr>
        <w:pStyle w:val="Default"/>
        <w:numPr>
          <w:ilvl w:val="1"/>
          <w:numId w:val="180"/>
        </w:numPr>
        <w:spacing w:after="120"/>
        <w:ind w:left="1134" w:right="283" w:hanging="850"/>
        <w:jc w:val="both"/>
        <w:rPr>
          <w:rFonts w:ascii="Gotham" w:hAnsi="Gotham"/>
          <w:b/>
          <w:sz w:val="19"/>
          <w:szCs w:val="19"/>
        </w:rPr>
      </w:pPr>
      <w:r w:rsidRPr="00AB293A">
        <w:rPr>
          <w:rFonts w:ascii="Gotham" w:hAnsi="Gotham"/>
          <w:b/>
          <w:sz w:val="19"/>
          <w:szCs w:val="19"/>
        </w:rPr>
        <w:t xml:space="preserve">Por su variante, características adicionales que tienen los anuncios: </w:t>
      </w:r>
    </w:p>
    <w:p w14:paraId="3A474FB6"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Luminosos. Cuando el anuncio o aviso publicitario en sí tiene iluminación propia o sus elementos de iluminación se encuentran en el interior de su estructura. </w:t>
      </w:r>
    </w:p>
    <w:p w14:paraId="3A474FB7"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Iluminados. Cuando uno o más elementos de iluminación se encuentran en el exterior de su estructura. </w:t>
      </w:r>
    </w:p>
    <w:p w14:paraId="3A474FB8"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Giratorios. Aquellos que utilizando elementos mecánicos o eléctricos permiten el movimiento circular de la estructura soportante sobre su eje. </w:t>
      </w:r>
    </w:p>
    <w:p w14:paraId="3A474FB9"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Móviles. Son aquellos anuncios que se transportan mediante elementos mecánicos o de cualquier tipo, colocados mediante estructuras o similares. </w:t>
      </w:r>
    </w:p>
    <w:p w14:paraId="3A474FBA"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Altorrelieve. Aquellos en los que uno o más elementos del mensaje resaltan sobre el plano. </w:t>
      </w:r>
    </w:p>
    <w:p w14:paraId="3A474FBB"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Animados. Aquellos que utilizan elementos electrónicos en el mensaje simulando la realidad de los movimientos. </w:t>
      </w:r>
    </w:p>
    <w:p w14:paraId="3A474FBC"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Opacos. Aquellos que no son iluminados, giratorios o animados. </w:t>
      </w:r>
    </w:p>
    <w:p w14:paraId="3A474FBD" w14:textId="77777777" w:rsidR="009B5E39" w:rsidRPr="00AB293A" w:rsidRDefault="009B5E39" w:rsidP="009B5E39">
      <w:pPr>
        <w:pStyle w:val="Prrafodelista"/>
        <w:numPr>
          <w:ilvl w:val="2"/>
          <w:numId w:val="180"/>
        </w:numPr>
        <w:autoSpaceDE w:val="0"/>
        <w:autoSpaceDN w:val="0"/>
        <w:adjustRightInd w:val="0"/>
        <w:spacing w:after="120"/>
        <w:ind w:left="1560" w:right="283" w:hanging="426"/>
        <w:contextualSpacing w:val="0"/>
        <w:jc w:val="both"/>
        <w:rPr>
          <w:rFonts w:ascii="Gotham" w:hAnsi="Gotham" w:cs="Arial"/>
          <w:sz w:val="19"/>
          <w:szCs w:val="19"/>
        </w:rPr>
      </w:pPr>
      <w:r w:rsidRPr="00AB293A">
        <w:rPr>
          <w:rFonts w:ascii="Gotham" w:hAnsi="Gotham" w:cs="Arial"/>
          <w:sz w:val="19"/>
          <w:szCs w:val="19"/>
        </w:rPr>
        <w:t xml:space="preserve">Proyectados. Aquellos que son reflejados en una superficie de manera fija o transitoria mediante instrumentos técnicos luminosos. </w:t>
      </w:r>
    </w:p>
    <w:p w14:paraId="3A474FBE" w14:textId="77777777" w:rsidR="009B5E39" w:rsidRPr="00AB293A" w:rsidRDefault="009B5E39" w:rsidP="009B5E39">
      <w:pPr>
        <w:pStyle w:val="Prrafodelista"/>
        <w:numPr>
          <w:ilvl w:val="2"/>
          <w:numId w:val="180"/>
        </w:numPr>
        <w:autoSpaceDE w:val="0"/>
        <w:autoSpaceDN w:val="0"/>
        <w:adjustRightInd w:val="0"/>
        <w:ind w:left="1560" w:right="283" w:hanging="426"/>
        <w:contextualSpacing w:val="0"/>
        <w:jc w:val="both"/>
        <w:rPr>
          <w:rFonts w:ascii="Gotham" w:hAnsi="Gotham" w:cs="Arial"/>
          <w:sz w:val="19"/>
          <w:szCs w:val="19"/>
        </w:rPr>
      </w:pPr>
      <w:r w:rsidRPr="00AB293A">
        <w:rPr>
          <w:rFonts w:ascii="Gotham" w:hAnsi="Gotham" w:cs="Arial"/>
          <w:bCs/>
          <w:sz w:val="19"/>
          <w:szCs w:val="19"/>
        </w:rPr>
        <w:t>Sonoros o por perifoneo. Aquellos que, por medio de altavoces o bocinas, emiten las reproducciones de grabaciones, música y perifoneo, que son utilizados con fines comerciales y publicitarios.</w:t>
      </w:r>
    </w:p>
    <w:p w14:paraId="3A474FBF" w14:textId="77777777" w:rsidR="009B5E39" w:rsidRDefault="009B5E39" w:rsidP="009B5E39">
      <w:pPr>
        <w:autoSpaceDE w:val="0"/>
        <w:autoSpaceDN w:val="0"/>
        <w:adjustRightInd w:val="0"/>
        <w:ind w:left="284" w:right="283"/>
        <w:jc w:val="both"/>
        <w:rPr>
          <w:rFonts w:ascii="Gotham" w:hAnsi="Gotham" w:cs="Arial"/>
          <w:sz w:val="19"/>
          <w:szCs w:val="19"/>
        </w:rPr>
      </w:pPr>
    </w:p>
    <w:p w14:paraId="3A474FC0"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C1" w14:textId="77777777" w:rsidR="009B5E39" w:rsidRDefault="009B5E39" w:rsidP="009B5E39">
      <w:pPr>
        <w:autoSpaceDE w:val="0"/>
        <w:autoSpaceDN w:val="0"/>
        <w:adjustRightInd w:val="0"/>
        <w:ind w:left="284" w:right="283"/>
        <w:jc w:val="center"/>
        <w:rPr>
          <w:rFonts w:ascii="Gotham" w:hAnsi="Gotham" w:cs="Arial"/>
          <w:b/>
          <w:sz w:val="19"/>
          <w:szCs w:val="19"/>
        </w:rPr>
      </w:pPr>
      <w:r w:rsidRPr="00AB293A">
        <w:rPr>
          <w:rFonts w:ascii="Gotham" w:hAnsi="Gotham" w:cs="Arial"/>
          <w:b/>
          <w:sz w:val="19"/>
          <w:szCs w:val="19"/>
        </w:rPr>
        <w:t>Título Tercero</w:t>
      </w:r>
    </w:p>
    <w:p w14:paraId="3A474FC2" w14:textId="77777777" w:rsidR="00190E4A" w:rsidRPr="00AB293A" w:rsidRDefault="00190E4A" w:rsidP="009B5E39">
      <w:pPr>
        <w:autoSpaceDE w:val="0"/>
        <w:autoSpaceDN w:val="0"/>
        <w:adjustRightInd w:val="0"/>
        <w:ind w:left="284" w:right="283"/>
        <w:jc w:val="center"/>
        <w:rPr>
          <w:rFonts w:ascii="Gotham" w:hAnsi="Gotham" w:cs="Arial"/>
          <w:b/>
          <w:sz w:val="19"/>
          <w:szCs w:val="19"/>
        </w:rPr>
      </w:pPr>
    </w:p>
    <w:p w14:paraId="3A474FC3" w14:textId="77777777" w:rsidR="009B5E39" w:rsidRPr="00AB293A" w:rsidRDefault="009B5E39" w:rsidP="009B5E39">
      <w:pPr>
        <w:autoSpaceDE w:val="0"/>
        <w:autoSpaceDN w:val="0"/>
        <w:adjustRightInd w:val="0"/>
        <w:ind w:left="284" w:right="283"/>
        <w:jc w:val="center"/>
        <w:rPr>
          <w:rFonts w:ascii="Gotham" w:hAnsi="Gotham" w:cs="Arial"/>
          <w:b/>
          <w:sz w:val="19"/>
          <w:szCs w:val="19"/>
        </w:rPr>
      </w:pPr>
      <w:r w:rsidRPr="00AB293A">
        <w:rPr>
          <w:rFonts w:ascii="Gotham" w:hAnsi="Gotham" w:cs="Arial"/>
          <w:b/>
          <w:sz w:val="19"/>
          <w:szCs w:val="19"/>
        </w:rPr>
        <w:t xml:space="preserve">Capítulo I </w:t>
      </w:r>
    </w:p>
    <w:p w14:paraId="3A474FC4" w14:textId="77777777" w:rsidR="009B5E39" w:rsidRPr="00AB293A" w:rsidRDefault="009B5E39" w:rsidP="009B5E39">
      <w:pPr>
        <w:autoSpaceDE w:val="0"/>
        <w:autoSpaceDN w:val="0"/>
        <w:adjustRightInd w:val="0"/>
        <w:ind w:left="284" w:right="283"/>
        <w:jc w:val="center"/>
        <w:rPr>
          <w:rFonts w:ascii="Gotham" w:hAnsi="Gotham" w:cs="Arial"/>
          <w:b/>
          <w:sz w:val="19"/>
          <w:szCs w:val="19"/>
        </w:rPr>
      </w:pPr>
      <w:r w:rsidRPr="00AB293A">
        <w:rPr>
          <w:rFonts w:ascii="Gotham" w:hAnsi="Gotham" w:cs="Arial"/>
          <w:b/>
          <w:sz w:val="19"/>
          <w:szCs w:val="19"/>
        </w:rPr>
        <w:t>Requerimientos Técnicos Generales</w:t>
      </w:r>
    </w:p>
    <w:p w14:paraId="3A474FC5" w14:textId="77777777" w:rsidR="009B5E39" w:rsidRPr="00AB293A" w:rsidRDefault="009B5E39" w:rsidP="009B5E39">
      <w:pPr>
        <w:autoSpaceDE w:val="0"/>
        <w:autoSpaceDN w:val="0"/>
        <w:adjustRightInd w:val="0"/>
        <w:ind w:left="284" w:right="283"/>
        <w:jc w:val="center"/>
        <w:rPr>
          <w:rFonts w:ascii="Gotham" w:hAnsi="Gotham" w:cs="Arial"/>
          <w:b/>
          <w:sz w:val="19"/>
          <w:szCs w:val="19"/>
        </w:rPr>
      </w:pPr>
    </w:p>
    <w:p w14:paraId="3A474FC6"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b/>
          <w:bCs/>
          <w:sz w:val="19"/>
          <w:szCs w:val="19"/>
        </w:rPr>
        <w:t xml:space="preserve">Artículo 22°. </w:t>
      </w:r>
      <w:r w:rsidRPr="00AB293A">
        <w:rPr>
          <w:rFonts w:ascii="Gotham" w:hAnsi="Gotham"/>
          <w:sz w:val="19"/>
          <w:szCs w:val="19"/>
        </w:rPr>
        <w:t xml:space="preserve">El propietario del bien inmueble donde </w:t>
      </w:r>
      <w:r w:rsidRPr="00AB293A">
        <w:rPr>
          <w:rFonts w:ascii="Gotham" w:hAnsi="Gotham"/>
          <w:bCs/>
          <w:sz w:val="19"/>
          <w:szCs w:val="19"/>
        </w:rPr>
        <w:t xml:space="preserve">se encuentre </w:t>
      </w:r>
      <w:r w:rsidRPr="00AB293A">
        <w:rPr>
          <w:rFonts w:ascii="Gotham" w:hAnsi="Gotham"/>
          <w:sz w:val="19"/>
          <w:szCs w:val="19"/>
        </w:rPr>
        <w:t xml:space="preserve">ubicado el anuncio, </w:t>
      </w:r>
      <w:r w:rsidRPr="00AB293A">
        <w:rPr>
          <w:rFonts w:ascii="Gotham" w:hAnsi="Gotham"/>
          <w:bCs/>
          <w:sz w:val="19"/>
          <w:szCs w:val="19"/>
        </w:rPr>
        <w:t xml:space="preserve">el titular de la licencia o permiso, </w:t>
      </w:r>
      <w:r w:rsidRPr="00AB293A">
        <w:rPr>
          <w:rFonts w:ascii="Gotham" w:hAnsi="Gotham"/>
          <w:sz w:val="19"/>
          <w:szCs w:val="19"/>
        </w:rPr>
        <w:t>los anunciantes, quienes al contratar el espacio, deberán verificar que la empresa publicitaria cumpla con lo dispuesto en el presente Reglamento y que cuenta con licencia, autorización o permiso, según lo prevea el presente ordenamiento y los demás que le sean aplicables</w:t>
      </w:r>
      <w:r w:rsidRPr="00AB293A">
        <w:rPr>
          <w:rFonts w:ascii="Gotham" w:hAnsi="Gotham"/>
          <w:bCs/>
          <w:sz w:val="19"/>
          <w:szCs w:val="19"/>
        </w:rPr>
        <w:t xml:space="preserve"> y son responsables </w:t>
      </w:r>
      <w:r w:rsidRPr="00AB293A">
        <w:rPr>
          <w:rFonts w:ascii="Gotham" w:hAnsi="Gotham"/>
          <w:sz w:val="19"/>
          <w:szCs w:val="19"/>
        </w:rPr>
        <w:t xml:space="preserve">de cualquier daño o perjuicio que el </w:t>
      </w:r>
      <w:r w:rsidRPr="00AB293A">
        <w:rPr>
          <w:rFonts w:ascii="Gotham" w:hAnsi="Gotham"/>
          <w:bCs/>
          <w:sz w:val="19"/>
          <w:szCs w:val="19"/>
        </w:rPr>
        <w:t xml:space="preserve">anuncio o estructura publicitaria </w:t>
      </w:r>
      <w:r w:rsidRPr="00AB293A">
        <w:rPr>
          <w:rFonts w:ascii="Gotham" w:hAnsi="Gotham"/>
          <w:sz w:val="19"/>
          <w:szCs w:val="19"/>
        </w:rPr>
        <w:t xml:space="preserve">pudiera causar a la infraestructura municipal instalada en la vía pública o a terceros en sus bienes o en sus personas, aplicándose el régimen de responsabilidades señaladas en </w:t>
      </w:r>
      <w:r w:rsidRPr="00AB293A">
        <w:rPr>
          <w:rFonts w:ascii="Gotham" w:hAnsi="Gotham"/>
          <w:color w:val="auto"/>
          <w:sz w:val="19"/>
          <w:szCs w:val="19"/>
        </w:rPr>
        <w:t xml:space="preserve">el artículo 71° </w:t>
      </w:r>
      <w:r w:rsidRPr="00AB293A">
        <w:rPr>
          <w:rFonts w:ascii="Gotham" w:hAnsi="Gotham"/>
          <w:sz w:val="19"/>
          <w:szCs w:val="19"/>
        </w:rPr>
        <w:t xml:space="preserve">del presente reglamento, </w:t>
      </w:r>
      <w:r w:rsidRPr="00AB293A">
        <w:rPr>
          <w:rFonts w:ascii="Gotham" w:hAnsi="Gotham"/>
          <w:bCs/>
          <w:sz w:val="19"/>
          <w:szCs w:val="19"/>
        </w:rPr>
        <w:t>además de las que la legislación civil contemple. Para los casos de anuncios estructurales y semiestructurales, el solicitante o el titular de la licencia o permiso</w:t>
      </w:r>
      <w:r w:rsidRPr="00AB293A">
        <w:rPr>
          <w:rFonts w:ascii="Gotham" w:hAnsi="Gotham"/>
          <w:sz w:val="19"/>
          <w:szCs w:val="19"/>
        </w:rPr>
        <w:t xml:space="preserve">, debe contratar un seguro ante una compañía legalmente autorizada para garantizar el cumplimiento de la responsabilidad civil por los daños que se pudieran causar por cualquier eventualidad, liberando al municipio de cualquier reclamación que terceros pudieran hacer en su contra por este motivo. </w:t>
      </w:r>
    </w:p>
    <w:p w14:paraId="3A474FC7" w14:textId="77777777" w:rsidR="009B5E39" w:rsidRPr="00AB293A" w:rsidRDefault="009B5E39" w:rsidP="009B5E39">
      <w:pPr>
        <w:pStyle w:val="Default"/>
        <w:ind w:left="284" w:right="283"/>
        <w:jc w:val="both"/>
        <w:rPr>
          <w:rFonts w:ascii="Gotham" w:hAnsi="Gotham"/>
          <w:sz w:val="19"/>
          <w:szCs w:val="19"/>
        </w:rPr>
      </w:pPr>
    </w:p>
    <w:p w14:paraId="3A474FC8" w14:textId="77777777" w:rsidR="009B5E39" w:rsidRPr="00AB293A" w:rsidRDefault="009B5E39" w:rsidP="009B5E39">
      <w:pPr>
        <w:pStyle w:val="Default"/>
        <w:ind w:left="284" w:right="283"/>
        <w:jc w:val="both"/>
        <w:rPr>
          <w:rFonts w:ascii="Gotham" w:hAnsi="Gotham"/>
          <w:bCs/>
          <w:sz w:val="19"/>
          <w:szCs w:val="19"/>
        </w:rPr>
      </w:pPr>
      <w:r w:rsidRPr="00AB293A">
        <w:rPr>
          <w:rFonts w:ascii="Gotham" w:hAnsi="Gotham"/>
          <w:bCs/>
          <w:sz w:val="19"/>
          <w:szCs w:val="19"/>
        </w:rPr>
        <w:t xml:space="preserve">El titular o solicitante de la licencia o permiso, </w:t>
      </w:r>
      <w:r w:rsidRPr="00AB293A">
        <w:rPr>
          <w:rFonts w:ascii="Gotham" w:hAnsi="Gotham"/>
          <w:sz w:val="19"/>
          <w:szCs w:val="19"/>
        </w:rPr>
        <w:t xml:space="preserve">debe acreditar ante la </w:t>
      </w:r>
      <w:r w:rsidRPr="00AB293A">
        <w:rPr>
          <w:rFonts w:ascii="Gotham" w:hAnsi="Gotham"/>
          <w:bCs/>
          <w:sz w:val="19"/>
          <w:szCs w:val="19"/>
        </w:rPr>
        <w:t>Dirección de Padrón y Licencias</w:t>
      </w:r>
      <w:r w:rsidRPr="00AB293A">
        <w:rPr>
          <w:rFonts w:ascii="Gotham" w:hAnsi="Gotham"/>
          <w:sz w:val="19"/>
          <w:szCs w:val="19"/>
        </w:rPr>
        <w:t xml:space="preserve">, haber adquirido previamente el seguro a que se refiere el párrafo anterior; </w:t>
      </w:r>
      <w:r w:rsidRPr="00AB293A">
        <w:rPr>
          <w:rFonts w:ascii="Gotham" w:hAnsi="Gotham"/>
          <w:bCs/>
          <w:sz w:val="19"/>
          <w:szCs w:val="19"/>
        </w:rPr>
        <w:t xml:space="preserve">si no lo hiciere así, dicha autoridad no autorizará el refrendo, ni otorgará la licencia o permiso correspondiente. </w:t>
      </w:r>
    </w:p>
    <w:p w14:paraId="3A474FC9" w14:textId="77777777" w:rsidR="009B5E39" w:rsidRPr="00AB293A" w:rsidRDefault="009B5E39" w:rsidP="009B5E39">
      <w:pPr>
        <w:pStyle w:val="Default"/>
        <w:ind w:left="284" w:right="283"/>
        <w:jc w:val="both"/>
        <w:rPr>
          <w:rFonts w:ascii="Gotham" w:hAnsi="Gotham"/>
          <w:sz w:val="19"/>
          <w:szCs w:val="19"/>
        </w:rPr>
      </w:pPr>
    </w:p>
    <w:p w14:paraId="3A474FCA" w14:textId="77777777" w:rsidR="009B5E39" w:rsidRPr="00AB293A" w:rsidRDefault="009B5E39" w:rsidP="009B5E39">
      <w:pPr>
        <w:pStyle w:val="Default"/>
        <w:ind w:left="284" w:right="283"/>
        <w:jc w:val="both"/>
        <w:rPr>
          <w:rFonts w:ascii="Gotham" w:hAnsi="Gotham"/>
          <w:bCs/>
          <w:sz w:val="19"/>
          <w:szCs w:val="19"/>
        </w:rPr>
      </w:pPr>
      <w:r w:rsidRPr="00AB293A">
        <w:rPr>
          <w:rFonts w:ascii="Gotham" w:hAnsi="Gotham"/>
          <w:sz w:val="19"/>
          <w:szCs w:val="19"/>
        </w:rPr>
        <w:t xml:space="preserve">Para el caso de los refrendos o licencias nuevas de anuncios </w:t>
      </w:r>
      <w:r w:rsidRPr="00AB293A">
        <w:rPr>
          <w:rFonts w:ascii="Gotham" w:hAnsi="Gotham"/>
          <w:bCs/>
          <w:sz w:val="19"/>
          <w:szCs w:val="19"/>
        </w:rPr>
        <w:t xml:space="preserve">semiestructurales tipo 1 y tipo 3 la póliza de seguro deberá cubrir una suma asegurada de $250,000.00; y para los tipos 2 una suma asegurada de $500,000.00, en todos los casos la suma asegurada es por cada anuncio. Para el caso refrendo </w:t>
      </w:r>
      <w:r w:rsidRPr="00AB293A">
        <w:rPr>
          <w:rFonts w:ascii="Gotham" w:hAnsi="Gotham"/>
          <w:bCs/>
          <w:sz w:val="19"/>
          <w:szCs w:val="19"/>
        </w:rPr>
        <w:lastRenderedPageBreak/>
        <w:t xml:space="preserve">de licencias de los anuncios estructurales, la suma asegurada será de $1,000,000.00 por cada uno. Cuando los daños ocasionados excedan las coberturas determinadas, el titular de la licencia del anuncio o los obligados solidarios, continuarán con la responsabilidad de lo que resulte en los términos de la legislación aplicable, por lo que en ningún momento se considerará al municipio como obligado solidario. </w:t>
      </w:r>
    </w:p>
    <w:p w14:paraId="3A474FCB" w14:textId="77777777" w:rsidR="009B5E39" w:rsidRPr="00AB293A" w:rsidRDefault="009B5E39" w:rsidP="009B5E39">
      <w:pPr>
        <w:pStyle w:val="Default"/>
        <w:ind w:left="284" w:right="283"/>
        <w:jc w:val="both"/>
        <w:rPr>
          <w:rFonts w:ascii="Gotham" w:hAnsi="Gotham"/>
          <w:sz w:val="19"/>
          <w:szCs w:val="19"/>
        </w:rPr>
      </w:pPr>
    </w:p>
    <w:p w14:paraId="3A474FCC" w14:textId="77777777" w:rsidR="009B5E39" w:rsidRPr="00AB293A" w:rsidRDefault="009B5E39" w:rsidP="009B5E39">
      <w:pPr>
        <w:pStyle w:val="Default"/>
        <w:ind w:left="284" w:right="283"/>
        <w:jc w:val="both"/>
        <w:rPr>
          <w:rFonts w:ascii="Gotham" w:hAnsi="Gotham"/>
          <w:bCs/>
          <w:color w:val="auto"/>
          <w:sz w:val="19"/>
          <w:szCs w:val="19"/>
        </w:rPr>
      </w:pPr>
      <w:r w:rsidRPr="00AB293A">
        <w:rPr>
          <w:rFonts w:ascii="Gotham" w:hAnsi="Gotham"/>
          <w:bCs/>
          <w:sz w:val="19"/>
          <w:szCs w:val="19"/>
        </w:rPr>
        <w:t xml:space="preserve">Además de la póliza de seguro referida en el párrafo anterior, </w:t>
      </w:r>
      <w:r w:rsidRPr="00AB293A">
        <w:rPr>
          <w:rFonts w:ascii="Gotham" w:hAnsi="Gotham"/>
          <w:sz w:val="19"/>
          <w:szCs w:val="19"/>
        </w:rPr>
        <w:t xml:space="preserve">En todos los anuncios auto soportados, de autorizarse la Licencia o el Permiso, se deberá depositar en la Dirección una fianza a favor del Municipio de Tonalá, que servirá para garantizar su retiro que será sobre </w:t>
      </w:r>
      <w:r w:rsidRPr="00AB293A">
        <w:rPr>
          <w:rFonts w:ascii="Gotham" w:hAnsi="Gotham"/>
          <w:bCs/>
          <w:color w:val="auto"/>
          <w:sz w:val="19"/>
          <w:szCs w:val="19"/>
        </w:rPr>
        <w:t>$50,000.00 (cincuenta mil pesos 00/100 moneda nacional)</w:t>
      </w:r>
      <w:r w:rsidRPr="00AB293A">
        <w:rPr>
          <w:rFonts w:ascii="Gotham" w:hAnsi="Gotham"/>
          <w:sz w:val="19"/>
          <w:szCs w:val="19"/>
        </w:rPr>
        <w:t xml:space="preserve">, y anualmente esa garantía deberá actualizarse, la cual será suficiente para cubrir los gastos del retiro de dichos anuncios. Los propietarios de los anuncios deberán gestionar el billete de fianza en afianzadoras que tengan domicilio, para oír y recibir notificaciones, en la zona metropolitana de Guadalajara. </w:t>
      </w:r>
      <w:r w:rsidRPr="00AB293A">
        <w:rPr>
          <w:rFonts w:ascii="Gotham" w:hAnsi="Gotham"/>
          <w:bCs/>
          <w:sz w:val="19"/>
          <w:szCs w:val="19"/>
        </w:rPr>
        <w:t>simultáneamente el solicitante de licencia o refrendo de licencia para anuncios semiestructurales tipo 2 y estructurales, deberá presentar una fianza a favor del municipio de Tonalá, la cual podrá amparar de manera global o individual cada uno de los anuncios con que cuente</w:t>
      </w:r>
      <w:r w:rsidR="00883EC2">
        <w:rPr>
          <w:rFonts w:ascii="Gotham" w:hAnsi="Gotham"/>
          <w:bCs/>
          <w:sz w:val="19"/>
          <w:szCs w:val="19"/>
        </w:rPr>
        <w:t xml:space="preserve"> </w:t>
      </w:r>
      <w:r w:rsidRPr="00AB293A">
        <w:rPr>
          <w:rFonts w:ascii="Gotham" w:hAnsi="Gotham"/>
          <w:bCs/>
          <w:color w:val="auto"/>
          <w:sz w:val="19"/>
          <w:szCs w:val="19"/>
        </w:rPr>
        <w:t xml:space="preserve">la persona física o jurídica, y garantizará el pago de conceptos tales como clausurar el anuncio, maniobras de retiro, desmontaje, traslado, depósito y disposición final de elementos constitutivos del anuncio, que realice el municipio en los casos que señala el presente reglamento. Para el caso de los anuncios semiestructurales tipo 2 dicha fianza será por $25,000.00 (veinticinco mil pesos 00/100 moneda nacional) y para los estructurales será de $100,000.00 (cien mil pesos 00/100 moneda nacional). </w:t>
      </w:r>
    </w:p>
    <w:p w14:paraId="3A474FCD" w14:textId="77777777" w:rsidR="009B5E39" w:rsidRPr="00AB293A" w:rsidRDefault="009B5E39" w:rsidP="009B5E39">
      <w:pPr>
        <w:pStyle w:val="Default"/>
        <w:ind w:left="284" w:right="283"/>
        <w:jc w:val="both"/>
        <w:rPr>
          <w:rFonts w:ascii="Gotham" w:hAnsi="Gotham"/>
          <w:color w:val="auto"/>
          <w:sz w:val="19"/>
          <w:szCs w:val="19"/>
        </w:rPr>
      </w:pPr>
    </w:p>
    <w:p w14:paraId="3A474FCE" w14:textId="77777777" w:rsidR="009B5E39" w:rsidRPr="00AB293A" w:rsidRDefault="009B5E39" w:rsidP="009B5E39">
      <w:pPr>
        <w:autoSpaceDE w:val="0"/>
        <w:autoSpaceDN w:val="0"/>
        <w:adjustRightInd w:val="0"/>
        <w:ind w:left="284" w:right="283"/>
        <w:jc w:val="both"/>
        <w:rPr>
          <w:rFonts w:ascii="Gotham" w:hAnsi="Gotham" w:cs="Arial"/>
          <w:bCs/>
          <w:sz w:val="19"/>
          <w:szCs w:val="19"/>
        </w:rPr>
      </w:pPr>
      <w:r w:rsidRPr="00AB293A">
        <w:rPr>
          <w:rFonts w:ascii="Gotham" w:hAnsi="Gotham" w:cs="Arial"/>
          <w:bCs/>
          <w:sz w:val="19"/>
          <w:szCs w:val="19"/>
        </w:rPr>
        <w:t>No contar con el seguro y el depósito en garantía, en cualquier tiempo de verificación, es causal de revocación o inicio de proceso administrativo que corresponda para realizar la baja de la licencia o permiso, y ordenar el consecuente retiro del anuncio.</w:t>
      </w:r>
      <w:r w:rsidRPr="00AB293A">
        <w:rPr>
          <w:rFonts w:ascii="Gotham" w:hAnsi="Gotham" w:cs="Arial"/>
          <w:sz w:val="19"/>
          <w:szCs w:val="19"/>
        </w:rPr>
        <w:t xml:space="preserve"> Los anunciantes quienes, al contratar el espacio, deberán verificar que la empresa publicitaria cumpla con lo dispuesto en el presente Reglamento y que cuenta con licencia, autorización temporal o permiso publicitario, según lo prevea el presente ordenamiento y los demás que le sean aplicables.</w:t>
      </w:r>
      <w:r w:rsidRPr="00AB293A">
        <w:rPr>
          <w:rFonts w:ascii="Gotham" w:hAnsi="Gotham" w:cs="Arial"/>
          <w:bCs/>
          <w:sz w:val="19"/>
          <w:szCs w:val="19"/>
        </w:rPr>
        <w:t xml:space="preserve"> </w:t>
      </w:r>
    </w:p>
    <w:p w14:paraId="3A474FCF" w14:textId="77777777" w:rsidR="009B5E39" w:rsidRPr="00AB293A" w:rsidRDefault="009B5E39" w:rsidP="009B5E39">
      <w:pPr>
        <w:autoSpaceDE w:val="0"/>
        <w:autoSpaceDN w:val="0"/>
        <w:adjustRightInd w:val="0"/>
        <w:ind w:left="284" w:right="283"/>
        <w:jc w:val="both"/>
        <w:rPr>
          <w:rFonts w:ascii="Gotham" w:hAnsi="Gotham" w:cs="Arial"/>
          <w:bCs/>
          <w:sz w:val="19"/>
          <w:szCs w:val="19"/>
        </w:rPr>
      </w:pPr>
    </w:p>
    <w:p w14:paraId="3A474FD0"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23°. </w:t>
      </w:r>
      <w:r w:rsidRPr="00AB293A">
        <w:rPr>
          <w:rFonts w:ascii="Gotham" w:hAnsi="Gotham" w:cs="Arial"/>
          <w:sz w:val="19"/>
          <w:szCs w:val="19"/>
        </w:rPr>
        <w:t xml:space="preserve">Todos los anuncios y elementos estructurales, eléctricos o mecánicos de los mismos, deben estar diseñados e integrados en un solo elemento formal, sin desarmonizar con la arquitectura del edificio y la imagen urbana del contexto. La </w:t>
      </w:r>
      <w:bookmarkStart w:id="20" w:name="_Hlk129091629"/>
      <w:r w:rsidRPr="00AB293A">
        <w:rPr>
          <w:rFonts w:ascii="Gotham" w:hAnsi="Gotham" w:cs="Arial"/>
          <w:sz w:val="19"/>
          <w:szCs w:val="19"/>
        </w:rPr>
        <w:t>Dirección de General de Planeación y Desarrollo Urbano Sustentable</w:t>
      </w:r>
      <w:bookmarkEnd w:id="20"/>
      <w:r w:rsidRPr="00AB293A">
        <w:rPr>
          <w:rFonts w:ascii="Gotham" w:hAnsi="Gotham" w:cs="Arial"/>
          <w:sz w:val="19"/>
          <w:szCs w:val="19"/>
        </w:rPr>
        <w:t xml:space="preserve">, resuelve las discrepancias que pudieran presentarse con la aplicación de este artículo. </w:t>
      </w:r>
    </w:p>
    <w:p w14:paraId="3A474FD1"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D2"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24°. </w:t>
      </w:r>
      <w:r w:rsidRPr="00AB293A">
        <w:rPr>
          <w:rFonts w:ascii="Gotham" w:hAnsi="Gotham" w:cs="Arial"/>
          <w:sz w:val="19"/>
          <w:szCs w:val="19"/>
        </w:rPr>
        <w:t>Utilizar exclusivamente la construcción gramatical y la ortografía de la lengua castellana, no emplear palabras extranjeras, salvo que se trate de nombres propios de productos, nombres propios, marcas o nombres comerciales debidamente registrados ante la dependencia federal competente, de conformidad con las leyes en materia de propiedad, no usar los signos nacionales, la bandera nacional y el escudo del Estado o del Municipio, sin autorización expresa. Es responsabilidad del anunciante y empresa publicitaria el texto y contenido de los anuncios, los cuales deberán cumplir con los ordenamientos jurídicos aplicables. Si el mensaje no está regulado por ninguna disposición jurídica, se realizará la consulta respectiva a la autoridad competente.</w:t>
      </w:r>
    </w:p>
    <w:p w14:paraId="3A474FD3"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D4"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25°. </w:t>
      </w:r>
      <w:r w:rsidRPr="00AB293A">
        <w:rPr>
          <w:rFonts w:ascii="Gotham" w:hAnsi="Gotham" w:cs="Arial"/>
          <w:sz w:val="19"/>
          <w:szCs w:val="19"/>
        </w:rPr>
        <w:t xml:space="preserve">Los anuncios y estructuras portantes deben mantenerse en buen estado físico y operativo de tal manera que no comprometa la seguridad de las personas ni de los bienes, así como cumplir con las normas del ordenamiento territorial y de imagen urbana, por ser disposiciones de orden público e interés social. Es responsabilidad del propietario del anuncio cumplir con esta obligación, en caso contrario no se refrendará la licencia del anuncio o, en su caso, es motivo suficiente para que la autoridad revoque la licencia y obligue a su retiro, o bien aplique las medidas de seguridad correspondientes, en los términos de lo dispuesto por el Título Quinto, Capítulo I de este reglamento. </w:t>
      </w:r>
    </w:p>
    <w:p w14:paraId="3A474FD5"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D6"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Es un valor ciudadano que el medio ambiente y los recursos naturales sean respetados en todo momento, particularmente los árboles con follaje consolidado en lo individual, así como los bosques, </w:t>
      </w:r>
      <w:r w:rsidRPr="00AB293A">
        <w:rPr>
          <w:rFonts w:ascii="Gotham" w:hAnsi="Gotham" w:cs="Arial"/>
          <w:sz w:val="19"/>
          <w:szCs w:val="19"/>
        </w:rPr>
        <w:lastRenderedPageBreak/>
        <w:t>camellones arbolados, los parques, jardines, áreas verdes, áreas de valor ambiental y áreas naturales protegidas.</w:t>
      </w:r>
    </w:p>
    <w:p w14:paraId="3A474FD7"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D8" w14:textId="65C022AD"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Es responsabilidad del propietario de los anuncios </w:t>
      </w:r>
      <w:r w:rsidR="00093554" w:rsidRPr="00AB293A">
        <w:rPr>
          <w:rFonts w:ascii="Gotham" w:hAnsi="Gotham" w:cs="Arial"/>
          <w:sz w:val="19"/>
          <w:szCs w:val="19"/>
        </w:rPr>
        <w:t>semiestructúrales</w:t>
      </w:r>
      <w:r w:rsidRPr="00AB293A">
        <w:rPr>
          <w:rFonts w:ascii="Gotham" w:hAnsi="Gotham" w:cs="Arial"/>
          <w:sz w:val="19"/>
          <w:szCs w:val="19"/>
        </w:rPr>
        <w:t>, estructurales y pantallas electrónicas, el cuidado, conservación, limpieza y mantenimiento del espacio en especial las áreas verdes, en el cual se instale la estructura del anuncio, en un radio no menor a 70 metros a partir del centro de la estructura.</w:t>
      </w:r>
    </w:p>
    <w:p w14:paraId="3A474FD9"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 </w:t>
      </w:r>
    </w:p>
    <w:p w14:paraId="3A474FDA"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b/>
          <w:bCs/>
          <w:sz w:val="19"/>
          <w:szCs w:val="19"/>
        </w:rPr>
        <w:t xml:space="preserve">Artículo 26°. </w:t>
      </w:r>
      <w:r w:rsidRPr="00AB293A">
        <w:rPr>
          <w:rFonts w:ascii="Gotham" w:hAnsi="Gotham" w:cs="Arial"/>
          <w:sz w:val="19"/>
          <w:szCs w:val="19"/>
        </w:rPr>
        <w:t xml:space="preserve">Los anuncios no deben tener semejanza con los signos o indicaciones que regulen el tránsito, ni presentar superficies reflectoras parecidas a las que usan en sus señalamientos las autoridades competentes en materia de vialidad, ya sean federales o estatales. </w:t>
      </w:r>
    </w:p>
    <w:p w14:paraId="3A474FDB" w14:textId="77777777" w:rsidR="009B5E39" w:rsidRPr="00AB293A" w:rsidRDefault="009B5E39" w:rsidP="009B5E39">
      <w:pPr>
        <w:autoSpaceDE w:val="0"/>
        <w:autoSpaceDN w:val="0"/>
        <w:adjustRightInd w:val="0"/>
        <w:ind w:left="284" w:right="283"/>
        <w:jc w:val="both"/>
        <w:rPr>
          <w:rFonts w:ascii="Gotham" w:hAnsi="Gotham" w:cs="Arial"/>
          <w:sz w:val="19"/>
          <w:szCs w:val="19"/>
        </w:rPr>
      </w:pPr>
    </w:p>
    <w:p w14:paraId="3A474FDC" w14:textId="56701C45" w:rsidR="009B5E39" w:rsidRPr="00AB293A" w:rsidRDefault="009B5E39" w:rsidP="009B5E39">
      <w:pPr>
        <w:autoSpaceDE w:val="0"/>
        <w:autoSpaceDN w:val="0"/>
        <w:adjustRightInd w:val="0"/>
        <w:ind w:left="284" w:right="283"/>
        <w:jc w:val="both"/>
        <w:rPr>
          <w:rFonts w:ascii="Gotham" w:hAnsi="Gotham" w:cs="Arial"/>
          <w:b/>
          <w:bCs/>
          <w:sz w:val="19"/>
          <w:szCs w:val="19"/>
        </w:rPr>
      </w:pPr>
      <w:r w:rsidRPr="00AB293A">
        <w:rPr>
          <w:rFonts w:ascii="Gotham" w:hAnsi="Gotham" w:cs="Arial"/>
          <w:b/>
          <w:bCs/>
          <w:sz w:val="19"/>
          <w:szCs w:val="19"/>
        </w:rPr>
        <w:t xml:space="preserve">Artículo 27°. </w:t>
      </w:r>
      <w:r w:rsidRPr="00AB293A">
        <w:rPr>
          <w:rFonts w:ascii="Gotham" w:hAnsi="Gotham" w:cs="Arial"/>
          <w:sz w:val="19"/>
          <w:szCs w:val="19"/>
        </w:rPr>
        <w:t xml:space="preserve">A fin de acreditar el cumplimiento de la implementación de las medidas de seguridad y mantenimiento de los anuncios estructurales, </w:t>
      </w:r>
      <w:r w:rsidR="00093554" w:rsidRPr="00AB293A">
        <w:rPr>
          <w:rFonts w:ascii="Gotham" w:hAnsi="Gotham" w:cs="Arial"/>
          <w:sz w:val="19"/>
          <w:szCs w:val="19"/>
        </w:rPr>
        <w:t>semiestructúrales</w:t>
      </w:r>
      <w:r w:rsidRPr="00AB293A">
        <w:rPr>
          <w:rFonts w:ascii="Gotham" w:hAnsi="Gotham" w:cs="Arial"/>
          <w:sz w:val="19"/>
          <w:szCs w:val="19"/>
        </w:rPr>
        <w:t xml:space="preserve"> y pantallas electrónicas instalados en el municipio de Tonalá, Jalisco, así como para cumplir con lo dispuesto por el artículo 25 de este reglamento, </w:t>
      </w:r>
      <w:r w:rsidRPr="00AB293A">
        <w:rPr>
          <w:rFonts w:ascii="Gotham" w:hAnsi="Gotham" w:cs="Arial"/>
          <w:bCs/>
          <w:sz w:val="19"/>
          <w:szCs w:val="19"/>
        </w:rPr>
        <w:t>el titular de la licencia debe, previo a la obtención del refrendo correspondiente, exhibir ante la Dirección de Padrón y Licencias lo siguiente:</w:t>
      </w:r>
    </w:p>
    <w:p w14:paraId="3A474FDD" w14:textId="77777777" w:rsidR="009B5E39" w:rsidRPr="00AB293A" w:rsidRDefault="009B5E39" w:rsidP="009B5E39">
      <w:pPr>
        <w:pStyle w:val="Default"/>
        <w:ind w:left="284" w:right="283"/>
        <w:jc w:val="both"/>
        <w:rPr>
          <w:rFonts w:ascii="Gotham" w:hAnsi="Gotham"/>
          <w:sz w:val="19"/>
          <w:szCs w:val="19"/>
        </w:rPr>
      </w:pPr>
    </w:p>
    <w:p w14:paraId="3A474FDE" w14:textId="77777777" w:rsidR="009B5E39" w:rsidRPr="00AB293A" w:rsidRDefault="009B5E39" w:rsidP="009B5E39">
      <w:pPr>
        <w:pStyle w:val="Default"/>
        <w:numPr>
          <w:ilvl w:val="0"/>
          <w:numId w:val="186"/>
        </w:numPr>
        <w:spacing w:after="120"/>
        <w:ind w:left="1134" w:right="283" w:hanging="850"/>
        <w:jc w:val="both"/>
        <w:rPr>
          <w:rFonts w:ascii="Gotham" w:hAnsi="Gotham"/>
          <w:color w:val="auto"/>
          <w:sz w:val="19"/>
          <w:szCs w:val="19"/>
        </w:rPr>
      </w:pPr>
      <w:r w:rsidRPr="00AB293A">
        <w:rPr>
          <w:rFonts w:ascii="Gotham" w:hAnsi="Gotham"/>
          <w:color w:val="auto"/>
          <w:sz w:val="19"/>
          <w:szCs w:val="19"/>
        </w:rPr>
        <w:t xml:space="preserve">Carta responsiva de verificación con una antigüedad no mayor a dos meses, de la que se desprenda el buen estado estructural del anuncio, suscrita por perito registrado ante la </w:t>
      </w:r>
      <w:r w:rsidRPr="00AB293A">
        <w:rPr>
          <w:rFonts w:ascii="Gotham" w:hAnsi="Gotham"/>
          <w:sz w:val="19"/>
          <w:szCs w:val="19"/>
        </w:rPr>
        <w:t>Dirección de General de Planeación y Desarrollo Urbano Sustentable</w:t>
      </w:r>
      <w:r w:rsidRPr="00AB293A">
        <w:rPr>
          <w:rFonts w:ascii="Gotham" w:hAnsi="Gotham"/>
          <w:color w:val="auto"/>
          <w:sz w:val="19"/>
          <w:szCs w:val="19"/>
        </w:rPr>
        <w:t>,</w:t>
      </w:r>
      <w:r w:rsidRPr="00AB293A">
        <w:rPr>
          <w:rFonts w:ascii="Gotham" w:hAnsi="Gotham"/>
          <w:sz w:val="19"/>
          <w:szCs w:val="19"/>
        </w:rPr>
        <w:t xml:space="preserve"> los mismos, serán responsables por los daños y perjuicios que se causen a terceros en sus personas y bienes, por haber otorgado una responsiva para la instalación de anuncios.</w:t>
      </w:r>
      <w:r w:rsidRPr="00AB293A">
        <w:rPr>
          <w:rFonts w:ascii="Gotham" w:hAnsi="Gotham"/>
          <w:color w:val="auto"/>
          <w:sz w:val="19"/>
          <w:szCs w:val="19"/>
        </w:rPr>
        <w:t xml:space="preserve"> la cual deberá contener las características del anuncio, tal y como se establece en la licencia municipal; para el caso de las estructuras que se desplantan a nivel de piso, se debe presentar memoria fotográfica del detalle de cimentación avalada por el perito; </w:t>
      </w:r>
    </w:p>
    <w:p w14:paraId="3A474FDF" w14:textId="77777777" w:rsidR="009B5E39" w:rsidRPr="00AB293A" w:rsidRDefault="009B5E39" w:rsidP="009B5E39">
      <w:pPr>
        <w:pStyle w:val="Default"/>
        <w:numPr>
          <w:ilvl w:val="0"/>
          <w:numId w:val="186"/>
        </w:numPr>
        <w:spacing w:after="120"/>
        <w:ind w:left="1134" w:right="283" w:hanging="850"/>
        <w:jc w:val="both"/>
        <w:rPr>
          <w:rFonts w:ascii="Gotham" w:hAnsi="Gotham"/>
          <w:color w:val="auto"/>
          <w:sz w:val="19"/>
          <w:szCs w:val="19"/>
        </w:rPr>
      </w:pPr>
      <w:r w:rsidRPr="00AB293A">
        <w:rPr>
          <w:rFonts w:ascii="Gotham" w:hAnsi="Gotham"/>
          <w:color w:val="auto"/>
          <w:sz w:val="19"/>
          <w:szCs w:val="19"/>
        </w:rPr>
        <w:t xml:space="preserve">Reporte de mantenimiento a la estructura del anuncio, así como, los trabajos de mantenimiento realizados al mismo, con una antigüedad no mayor a dos meses, expedida por perito registrado ante la </w:t>
      </w:r>
      <w:r w:rsidRPr="00AB293A">
        <w:rPr>
          <w:rFonts w:ascii="Gotham" w:hAnsi="Gotham"/>
          <w:sz w:val="19"/>
          <w:szCs w:val="19"/>
        </w:rPr>
        <w:t>Dirección de General de Planeación y Desarrollo Urbano Sustentable</w:t>
      </w:r>
      <w:r w:rsidRPr="00AB293A">
        <w:rPr>
          <w:rFonts w:ascii="Gotham" w:hAnsi="Gotham"/>
          <w:color w:val="auto"/>
          <w:sz w:val="19"/>
          <w:szCs w:val="19"/>
        </w:rPr>
        <w:t xml:space="preserve">; </w:t>
      </w:r>
    </w:p>
    <w:p w14:paraId="3A474FE0" w14:textId="77777777" w:rsidR="009B5E39" w:rsidRPr="00AB293A" w:rsidRDefault="009B5E39" w:rsidP="009B5E39">
      <w:pPr>
        <w:pStyle w:val="Default"/>
        <w:numPr>
          <w:ilvl w:val="0"/>
          <w:numId w:val="186"/>
        </w:numPr>
        <w:spacing w:after="120"/>
        <w:ind w:left="1134" w:right="283" w:hanging="850"/>
        <w:jc w:val="both"/>
        <w:rPr>
          <w:rFonts w:ascii="Gotham" w:hAnsi="Gotham"/>
          <w:sz w:val="19"/>
          <w:szCs w:val="19"/>
        </w:rPr>
      </w:pPr>
      <w:r w:rsidRPr="00AB293A">
        <w:rPr>
          <w:rFonts w:ascii="Gotham" w:hAnsi="Gotham"/>
          <w:color w:val="auto"/>
          <w:sz w:val="19"/>
          <w:szCs w:val="19"/>
        </w:rPr>
        <w:t>Memoria de cálculo estructural para los anuncios estructurales, pantallas electrónicas y semiestructurales actualizada cada tres años;</w:t>
      </w:r>
      <w:r w:rsidRPr="00AB293A">
        <w:rPr>
          <w:rFonts w:ascii="Gotham" w:hAnsi="Gotham"/>
          <w:bCs/>
          <w:sz w:val="19"/>
          <w:szCs w:val="19"/>
        </w:rPr>
        <w:t xml:space="preserve"> </w:t>
      </w:r>
    </w:p>
    <w:p w14:paraId="3A474FE1" w14:textId="77777777" w:rsidR="009B5E39" w:rsidRPr="00AB293A" w:rsidRDefault="009B5E39" w:rsidP="009B5E39">
      <w:pPr>
        <w:pStyle w:val="Default"/>
        <w:numPr>
          <w:ilvl w:val="0"/>
          <w:numId w:val="186"/>
        </w:numPr>
        <w:spacing w:after="120"/>
        <w:ind w:left="1134" w:right="283" w:hanging="850"/>
        <w:jc w:val="both"/>
        <w:rPr>
          <w:rFonts w:ascii="Gotham" w:hAnsi="Gotham"/>
          <w:sz w:val="19"/>
          <w:szCs w:val="19"/>
        </w:rPr>
      </w:pPr>
      <w:r w:rsidRPr="00AB293A">
        <w:rPr>
          <w:rFonts w:ascii="Gotham" w:hAnsi="Gotham"/>
          <w:bCs/>
          <w:sz w:val="19"/>
          <w:szCs w:val="19"/>
        </w:rPr>
        <w:t xml:space="preserve">Placa de identificación con una medida de superficie de 60 x 60 centímetros </w:t>
      </w:r>
      <w:r w:rsidRPr="00AB293A">
        <w:rPr>
          <w:rFonts w:ascii="Gotham" w:hAnsi="Gotham"/>
          <w:sz w:val="19"/>
          <w:szCs w:val="19"/>
        </w:rPr>
        <w:t xml:space="preserve">en formato visible desde la vía pública, adosada al anuncio y contener los siguientes datos: </w:t>
      </w:r>
    </w:p>
    <w:p w14:paraId="3A474FE2" w14:textId="77777777" w:rsidR="009B5E39" w:rsidRPr="00AB293A" w:rsidRDefault="009B5E39" w:rsidP="009B5E39">
      <w:pPr>
        <w:pStyle w:val="Default"/>
        <w:numPr>
          <w:ilvl w:val="1"/>
          <w:numId w:val="187"/>
        </w:numPr>
        <w:spacing w:after="80"/>
        <w:ind w:left="1560" w:right="283" w:hanging="426"/>
        <w:jc w:val="both"/>
        <w:rPr>
          <w:rFonts w:ascii="Gotham" w:hAnsi="Gotham"/>
          <w:color w:val="auto"/>
          <w:sz w:val="19"/>
          <w:szCs w:val="19"/>
        </w:rPr>
      </w:pPr>
      <w:r w:rsidRPr="00AB293A">
        <w:rPr>
          <w:rFonts w:ascii="Gotham" w:hAnsi="Gotham"/>
          <w:color w:val="auto"/>
          <w:sz w:val="19"/>
          <w:szCs w:val="19"/>
        </w:rPr>
        <w:t xml:space="preserve">Nombre, denominación o razón social del fabricante; </w:t>
      </w:r>
    </w:p>
    <w:p w14:paraId="3A474FE3" w14:textId="77777777" w:rsidR="009B5E39" w:rsidRPr="00AB293A" w:rsidRDefault="009B5E39" w:rsidP="009B5E39">
      <w:pPr>
        <w:pStyle w:val="Default"/>
        <w:numPr>
          <w:ilvl w:val="1"/>
          <w:numId w:val="187"/>
        </w:numPr>
        <w:spacing w:after="80"/>
        <w:ind w:left="1560" w:right="283" w:hanging="426"/>
        <w:jc w:val="both"/>
        <w:rPr>
          <w:rFonts w:ascii="Gotham" w:hAnsi="Gotham"/>
          <w:color w:val="auto"/>
          <w:sz w:val="19"/>
          <w:szCs w:val="19"/>
        </w:rPr>
      </w:pPr>
      <w:r w:rsidRPr="00AB293A">
        <w:rPr>
          <w:rFonts w:ascii="Gotham" w:hAnsi="Gotham"/>
          <w:color w:val="auto"/>
          <w:sz w:val="19"/>
          <w:szCs w:val="19"/>
        </w:rPr>
        <w:t xml:space="preserve">Número de licencia municipal; </w:t>
      </w:r>
    </w:p>
    <w:p w14:paraId="3A474FE4" w14:textId="77777777" w:rsidR="009B5E39" w:rsidRPr="00AB293A" w:rsidRDefault="009B5E39" w:rsidP="009B5E39">
      <w:pPr>
        <w:pStyle w:val="Default"/>
        <w:numPr>
          <w:ilvl w:val="1"/>
          <w:numId w:val="187"/>
        </w:numPr>
        <w:spacing w:after="80"/>
        <w:ind w:left="1560" w:right="283" w:hanging="426"/>
        <w:jc w:val="both"/>
        <w:rPr>
          <w:rFonts w:ascii="Gotham" w:hAnsi="Gotham"/>
          <w:color w:val="auto"/>
          <w:sz w:val="19"/>
          <w:szCs w:val="19"/>
        </w:rPr>
      </w:pPr>
      <w:r w:rsidRPr="00AB293A">
        <w:rPr>
          <w:rFonts w:ascii="Gotham" w:hAnsi="Gotham"/>
          <w:color w:val="auto"/>
          <w:sz w:val="19"/>
          <w:szCs w:val="19"/>
        </w:rPr>
        <w:t xml:space="preserve">Domicilio del titular de la licencia para recibir notificaciones; </w:t>
      </w:r>
    </w:p>
    <w:p w14:paraId="3A474FE5" w14:textId="77777777" w:rsidR="009B5E39" w:rsidRPr="00AB293A" w:rsidRDefault="009B5E39" w:rsidP="009B5E39">
      <w:pPr>
        <w:pStyle w:val="Default"/>
        <w:numPr>
          <w:ilvl w:val="1"/>
          <w:numId w:val="187"/>
        </w:numPr>
        <w:spacing w:after="80"/>
        <w:ind w:left="1560" w:right="283" w:hanging="426"/>
        <w:jc w:val="both"/>
        <w:rPr>
          <w:rFonts w:ascii="Gotham" w:hAnsi="Gotham"/>
          <w:sz w:val="19"/>
          <w:szCs w:val="19"/>
        </w:rPr>
      </w:pPr>
      <w:r w:rsidRPr="00AB293A">
        <w:rPr>
          <w:rFonts w:ascii="Gotham" w:hAnsi="Gotham"/>
          <w:sz w:val="19"/>
          <w:szCs w:val="19"/>
        </w:rPr>
        <w:t xml:space="preserve">Teléfono de emergencia; </w:t>
      </w:r>
    </w:p>
    <w:p w14:paraId="3A474FE6" w14:textId="77777777" w:rsidR="009B5E39" w:rsidRPr="00AB293A" w:rsidRDefault="009B5E39" w:rsidP="009B5E39">
      <w:pPr>
        <w:pStyle w:val="Default"/>
        <w:numPr>
          <w:ilvl w:val="1"/>
          <w:numId w:val="187"/>
        </w:numPr>
        <w:spacing w:after="80"/>
        <w:ind w:left="1560" w:right="283" w:hanging="426"/>
        <w:jc w:val="both"/>
        <w:rPr>
          <w:rFonts w:ascii="Gotham" w:hAnsi="Gotham"/>
          <w:sz w:val="19"/>
          <w:szCs w:val="19"/>
        </w:rPr>
      </w:pPr>
      <w:r w:rsidRPr="00AB293A">
        <w:rPr>
          <w:rFonts w:ascii="Gotham" w:hAnsi="Gotham"/>
          <w:sz w:val="19"/>
          <w:szCs w:val="19"/>
        </w:rPr>
        <w:t xml:space="preserve">Voltaje y amperaje, en su caso, del anuncio; </w:t>
      </w:r>
    </w:p>
    <w:p w14:paraId="3A474FE7" w14:textId="77777777" w:rsidR="009B5E39" w:rsidRPr="00AB293A" w:rsidRDefault="009B5E39" w:rsidP="009B5E39">
      <w:pPr>
        <w:pStyle w:val="Default"/>
        <w:numPr>
          <w:ilvl w:val="1"/>
          <w:numId w:val="187"/>
        </w:numPr>
        <w:spacing w:after="80"/>
        <w:ind w:left="1560" w:right="283" w:hanging="426"/>
        <w:jc w:val="both"/>
        <w:rPr>
          <w:rFonts w:ascii="Gotham" w:hAnsi="Gotham"/>
          <w:sz w:val="19"/>
          <w:szCs w:val="19"/>
        </w:rPr>
      </w:pPr>
      <w:r w:rsidRPr="00AB293A">
        <w:rPr>
          <w:rFonts w:ascii="Gotham" w:hAnsi="Gotham"/>
          <w:sz w:val="19"/>
          <w:szCs w:val="19"/>
        </w:rPr>
        <w:t xml:space="preserve">Número de registro del fabricante; y </w:t>
      </w:r>
    </w:p>
    <w:p w14:paraId="3A474FE8" w14:textId="77777777" w:rsidR="009B5E39" w:rsidRPr="00AB293A" w:rsidRDefault="009B5E39" w:rsidP="009B5E39">
      <w:pPr>
        <w:pStyle w:val="Default"/>
        <w:numPr>
          <w:ilvl w:val="1"/>
          <w:numId w:val="187"/>
        </w:numPr>
        <w:spacing w:after="120"/>
        <w:ind w:left="1560" w:right="283" w:hanging="426"/>
        <w:jc w:val="both"/>
        <w:rPr>
          <w:rFonts w:ascii="Gotham" w:hAnsi="Gotham"/>
          <w:sz w:val="19"/>
          <w:szCs w:val="19"/>
        </w:rPr>
      </w:pPr>
      <w:r w:rsidRPr="00AB293A">
        <w:rPr>
          <w:rFonts w:ascii="Gotham" w:hAnsi="Gotham"/>
          <w:sz w:val="19"/>
          <w:szCs w:val="19"/>
        </w:rPr>
        <w:t xml:space="preserve">Nombre de la empresa con la que está asegurado el anuncio. </w:t>
      </w:r>
      <w:r w:rsidRPr="00AB293A">
        <w:rPr>
          <w:rFonts w:ascii="Gotham" w:hAnsi="Gotham"/>
          <w:color w:val="auto"/>
          <w:sz w:val="19"/>
          <w:szCs w:val="19"/>
        </w:rPr>
        <w:t xml:space="preserve">y, </w:t>
      </w:r>
    </w:p>
    <w:p w14:paraId="3A474FE9" w14:textId="77777777" w:rsidR="009B5E39" w:rsidRPr="00AB293A" w:rsidRDefault="009B5E39" w:rsidP="009B5E39">
      <w:pPr>
        <w:pStyle w:val="Default"/>
        <w:numPr>
          <w:ilvl w:val="0"/>
          <w:numId w:val="186"/>
        </w:numPr>
        <w:spacing w:after="120"/>
        <w:ind w:left="1134" w:right="283" w:hanging="850"/>
        <w:jc w:val="both"/>
        <w:rPr>
          <w:rFonts w:ascii="Gotham" w:hAnsi="Gotham"/>
          <w:color w:val="auto"/>
          <w:sz w:val="19"/>
          <w:szCs w:val="19"/>
        </w:rPr>
      </w:pPr>
      <w:r w:rsidRPr="00AB293A">
        <w:rPr>
          <w:rFonts w:ascii="Gotham" w:hAnsi="Gotham"/>
          <w:color w:val="auto"/>
          <w:sz w:val="19"/>
          <w:szCs w:val="19"/>
        </w:rPr>
        <w:t xml:space="preserve">Dictamen técnico favorable para los anuncios semiestructurales, estructurales, y pantallas electrónicas </w:t>
      </w:r>
      <w:r w:rsidRPr="00AB293A">
        <w:rPr>
          <w:rFonts w:ascii="Gotham" w:hAnsi="Gotham"/>
          <w:bCs/>
          <w:color w:val="auto"/>
          <w:sz w:val="19"/>
          <w:szCs w:val="19"/>
        </w:rPr>
        <w:t>de</w:t>
      </w:r>
      <w:r w:rsidRPr="00AB293A">
        <w:rPr>
          <w:rFonts w:ascii="Gotham" w:hAnsi="Gotham"/>
          <w:color w:val="auto"/>
          <w:sz w:val="19"/>
          <w:szCs w:val="19"/>
        </w:rPr>
        <w:t xml:space="preserve">: </w:t>
      </w:r>
    </w:p>
    <w:p w14:paraId="3A474FEA" w14:textId="77777777" w:rsidR="009B5E39" w:rsidRPr="00AB293A" w:rsidRDefault="009B5E39" w:rsidP="009B5E39">
      <w:pPr>
        <w:pStyle w:val="Default"/>
        <w:numPr>
          <w:ilvl w:val="0"/>
          <w:numId w:val="221"/>
        </w:numPr>
        <w:ind w:left="1560" w:right="283" w:hanging="426"/>
        <w:jc w:val="both"/>
        <w:rPr>
          <w:rFonts w:ascii="Gotham" w:hAnsi="Gotham"/>
          <w:color w:val="auto"/>
          <w:sz w:val="19"/>
          <w:szCs w:val="19"/>
        </w:rPr>
      </w:pPr>
      <w:r w:rsidRPr="00AB293A">
        <w:rPr>
          <w:rFonts w:ascii="Gotham" w:hAnsi="Gotham"/>
          <w:color w:val="auto"/>
          <w:sz w:val="19"/>
          <w:szCs w:val="19"/>
        </w:rPr>
        <w:t xml:space="preserve">La </w:t>
      </w:r>
      <w:r w:rsidRPr="00AB293A">
        <w:rPr>
          <w:rFonts w:ascii="Gotham" w:hAnsi="Gotham"/>
          <w:sz w:val="19"/>
          <w:szCs w:val="19"/>
        </w:rPr>
        <w:t>Dirección de General de Planeación y Desarrollo Urbano Sustentable</w:t>
      </w:r>
      <w:r w:rsidRPr="00AB293A">
        <w:rPr>
          <w:rFonts w:ascii="Gotham" w:hAnsi="Gotham"/>
          <w:color w:val="auto"/>
          <w:sz w:val="19"/>
          <w:szCs w:val="19"/>
        </w:rPr>
        <w:t xml:space="preserve">. </w:t>
      </w:r>
    </w:p>
    <w:p w14:paraId="3A474FEB" w14:textId="77777777" w:rsidR="009B5E39" w:rsidRPr="00AB293A" w:rsidRDefault="009B5E39" w:rsidP="009B5E39">
      <w:pPr>
        <w:pStyle w:val="Default"/>
        <w:ind w:left="284" w:right="283"/>
        <w:jc w:val="both"/>
        <w:rPr>
          <w:rFonts w:ascii="Gotham" w:hAnsi="Gotham"/>
          <w:color w:val="auto"/>
          <w:sz w:val="19"/>
          <w:szCs w:val="19"/>
        </w:rPr>
      </w:pPr>
      <w:r w:rsidRPr="00AB293A">
        <w:rPr>
          <w:rFonts w:ascii="Gotham" w:hAnsi="Gotham"/>
          <w:color w:val="auto"/>
          <w:sz w:val="19"/>
          <w:szCs w:val="19"/>
        </w:rPr>
        <w:t xml:space="preserve"> </w:t>
      </w:r>
    </w:p>
    <w:p w14:paraId="3A474FEC" w14:textId="77777777"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El plazo para la emisión de las opiniones señaladas anteriormente, no deberá exceder de diez días hábiles. Transcurrido el plazo sin que la autoridad emita el dictamen correspondiente, se entenderá la resolución en sentido negativo al solicitante. </w:t>
      </w:r>
    </w:p>
    <w:p w14:paraId="3A474FED" w14:textId="77777777" w:rsidR="009B5E39" w:rsidRPr="00AB293A" w:rsidRDefault="009B5E39" w:rsidP="009B5E39">
      <w:pPr>
        <w:autoSpaceDE w:val="0"/>
        <w:autoSpaceDN w:val="0"/>
        <w:adjustRightInd w:val="0"/>
        <w:ind w:left="284" w:right="283"/>
        <w:rPr>
          <w:rFonts w:ascii="Gotham" w:hAnsi="Gotham" w:cs="Arial"/>
          <w:sz w:val="19"/>
          <w:szCs w:val="19"/>
        </w:rPr>
      </w:pPr>
    </w:p>
    <w:p w14:paraId="3A474FEE" w14:textId="77777777" w:rsidR="009B5E39" w:rsidRPr="00AB293A" w:rsidRDefault="009B5E39" w:rsidP="009B5E39">
      <w:pPr>
        <w:autoSpaceDE w:val="0"/>
        <w:autoSpaceDN w:val="0"/>
        <w:adjustRightInd w:val="0"/>
        <w:ind w:left="284" w:right="283"/>
        <w:rPr>
          <w:rFonts w:ascii="Gotham" w:hAnsi="Gotham" w:cs="Arial"/>
          <w:sz w:val="19"/>
          <w:szCs w:val="19"/>
        </w:rPr>
      </w:pPr>
      <w:r w:rsidRPr="00AB293A">
        <w:rPr>
          <w:rFonts w:ascii="Gotham" w:hAnsi="Gotham" w:cs="Arial"/>
          <w:sz w:val="19"/>
          <w:szCs w:val="19"/>
        </w:rPr>
        <w:lastRenderedPageBreak/>
        <w:t>Los anuncios sujetos al cumplimiento de la implementación de las Medidas de</w:t>
      </w:r>
    </w:p>
    <w:p w14:paraId="3A474FEF" w14:textId="77777777" w:rsidR="009B5E39" w:rsidRDefault="009B5E39" w:rsidP="009B5E39">
      <w:pPr>
        <w:autoSpaceDE w:val="0"/>
        <w:autoSpaceDN w:val="0"/>
        <w:adjustRightInd w:val="0"/>
        <w:ind w:left="284" w:right="283"/>
        <w:rPr>
          <w:rFonts w:ascii="Gotham" w:hAnsi="Gotham" w:cs="Arial"/>
          <w:sz w:val="19"/>
          <w:szCs w:val="19"/>
        </w:rPr>
      </w:pPr>
      <w:r w:rsidRPr="00AB293A">
        <w:rPr>
          <w:rFonts w:ascii="Gotham" w:hAnsi="Gotham" w:cs="Arial"/>
          <w:sz w:val="19"/>
          <w:szCs w:val="19"/>
        </w:rPr>
        <w:t>Seguridad y Mantenimiento, son los siguientes:</w:t>
      </w:r>
    </w:p>
    <w:p w14:paraId="3A474FF0" w14:textId="77777777" w:rsidR="009B5E39" w:rsidRPr="00AB293A" w:rsidRDefault="009B5E39" w:rsidP="009B5E39">
      <w:pPr>
        <w:autoSpaceDE w:val="0"/>
        <w:autoSpaceDN w:val="0"/>
        <w:adjustRightInd w:val="0"/>
        <w:ind w:left="284" w:right="283"/>
        <w:rPr>
          <w:rFonts w:ascii="Gotham" w:hAnsi="Gotham" w:cs="Arial"/>
          <w:sz w:val="19"/>
          <w:szCs w:val="19"/>
        </w:rPr>
      </w:pPr>
    </w:p>
    <w:p w14:paraId="3A474FF1"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De poste mayor a 18” (45.7 centímetros) de diámetro o lado;</w:t>
      </w:r>
    </w:p>
    <w:p w14:paraId="3A474FF2"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De poste entre 12” y 18” (30.5 y 45.7 centímetros) de diámetro o lado;</w:t>
      </w:r>
    </w:p>
    <w:p w14:paraId="3A474FF3"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Cartelera de azotea;</w:t>
      </w:r>
    </w:p>
    <w:p w14:paraId="3A474FF4"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Cartelera de piso;</w:t>
      </w:r>
    </w:p>
    <w:p w14:paraId="3A474FF5"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Pantalla electrónica;</w:t>
      </w:r>
    </w:p>
    <w:p w14:paraId="3A474FF6"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De poste de 12” (30.5 centímetros) de diámetro o lado;</w:t>
      </w:r>
    </w:p>
    <w:p w14:paraId="3A474FF7"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De poste menor a 12” (30.5 centímetros) de diámetro o lado;</w:t>
      </w:r>
    </w:p>
    <w:p w14:paraId="3A474FF8"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De estela o navaja;</w:t>
      </w:r>
    </w:p>
    <w:p w14:paraId="3A474FF9" w14:textId="77777777" w:rsidR="009B5E39" w:rsidRPr="00AB293A"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AB293A">
        <w:rPr>
          <w:rFonts w:ascii="Gotham" w:hAnsi="Gotham" w:cs="Arial"/>
          <w:sz w:val="19"/>
          <w:szCs w:val="19"/>
        </w:rPr>
        <w:t>De mampostería;</w:t>
      </w:r>
    </w:p>
    <w:p w14:paraId="3A474FFA" w14:textId="77777777" w:rsidR="009B5E39" w:rsidRPr="004618AB" w:rsidRDefault="009B5E39" w:rsidP="009B5E39">
      <w:pPr>
        <w:pStyle w:val="Prrafodelista"/>
        <w:numPr>
          <w:ilvl w:val="1"/>
          <w:numId w:val="222"/>
        </w:numPr>
        <w:autoSpaceDE w:val="0"/>
        <w:autoSpaceDN w:val="0"/>
        <w:adjustRightInd w:val="0"/>
        <w:spacing w:after="80"/>
        <w:ind w:left="709" w:right="283" w:hanging="425"/>
        <w:contextualSpacing w:val="0"/>
        <w:jc w:val="both"/>
        <w:rPr>
          <w:rFonts w:ascii="Gotham" w:hAnsi="Gotham" w:cs="Arial"/>
          <w:sz w:val="19"/>
          <w:szCs w:val="19"/>
        </w:rPr>
      </w:pPr>
      <w:r w:rsidRPr="004618AB">
        <w:rPr>
          <w:rFonts w:ascii="Gotham" w:hAnsi="Gotham" w:cs="Arial"/>
          <w:sz w:val="19"/>
          <w:szCs w:val="19"/>
        </w:rPr>
        <w:t>Carteleras a nivel de piso en predio baldío; carteleras a nivel de piso en tapiales; y</w:t>
      </w:r>
    </w:p>
    <w:p w14:paraId="3A474FFB" w14:textId="77777777" w:rsidR="009B5E39" w:rsidRPr="004618AB" w:rsidRDefault="009B5E39" w:rsidP="009B5E39">
      <w:pPr>
        <w:pStyle w:val="Prrafodelista"/>
        <w:numPr>
          <w:ilvl w:val="1"/>
          <w:numId w:val="222"/>
        </w:numPr>
        <w:autoSpaceDE w:val="0"/>
        <w:autoSpaceDN w:val="0"/>
        <w:adjustRightInd w:val="0"/>
        <w:ind w:left="709" w:right="283" w:hanging="425"/>
        <w:contextualSpacing w:val="0"/>
        <w:jc w:val="both"/>
        <w:rPr>
          <w:rFonts w:ascii="Gotham" w:hAnsi="Gotham" w:cs="Arial"/>
          <w:sz w:val="19"/>
          <w:szCs w:val="19"/>
        </w:rPr>
      </w:pPr>
      <w:r w:rsidRPr="004618AB">
        <w:rPr>
          <w:rFonts w:ascii="Gotham" w:hAnsi="Gotham" w:cs="Arial"/>
          <w:sz w:val="19"/>
          <w:szCs w:val="19"/>
        </w:rPr>
        <w:t>Especiales: aquellos cuyas características no corresponden a alguno de los tipos clasificados por este reglamento.</w:t>
      </w:r>
    </w:p>
    <w:p w14:paraId="3A474FFC" w14:textId="77777777" w:rsidR="009B5E39" w:rsidRPr="00AB293A" w:rsidRDefault="009B5E39" w:rsidP="009B5E39">
      <w:pPr>
        <w:autoSpaceDE w:val="0"/>
        <w:autoSpaceDN w:val="0"/>
        <w:adjustRightInd w:val="0"/>
        <w:ind w:left="284" w:right="283"/>
        <w:rPr>
          <w:rFonts w:ascii="Gotham" w:hAnsi="Gotham" w:cs="Arial"/>
          <w:sz w:val="19"/>
          <w:szCs w:val="19"/>
        </w:rPr>
      </w:pPr>
    </w:p>
    <w:p w14:paraId="3A474FFD" w14:textId="77777777" w:rsidR="009B5E39" w:rsidRPr="00AB293A" w:rsidRDefault="009B5E39" w:rsidP="009B5E39">
      <w:pPr>
        <w:autoSpaceDE w:val="0"/>
        <w:autoSpaceDN w:val="0"/>
        <w:adjustRightInd w:val="0"/>
        <w:ind w:left="284" w:right="283"/>
        <w:jc w:val="both"/>
        <w:rPr>
          <w:rFonts w:ascii="Gotham" w:hAnsi="Gotham" w:cs="Arial"/>
          <w:b/>
          <w:bCs/>
          <w:sz w:val="19"/>
          <w:szCs w:val="19"/>
        </w:rPr>
      </w:pPr>
      <w:r w:rsidRPr="00AB293A">
        <w:rPr>
          <w:rFonts w:ascii="Gotham" w:hAnsi="Gotham" w:cs="Arial"/>
          <w:sz w:val="19"/>
          <w:szCs w:val="19"/>
        </w:rPr>
        <w:t xml:space="preserve">De no cumplirse los requisitos especificados en este artículo para la obtención del refrendo, </w:t>
      </w:r>
      <w:r w:rsidRPr="00AB293A">
        <w:rPr>
          <w:rFonts w:ascii="Gotham" w:hAnsi="Gotham" w:cs="Arial"/>
          <w:bCs/>
          <w:sz w:val="19"/>
          <w:szCs w:val="19"/>
        </w:rPr>
        <w:t>se iniciará el proceso de revocación de la licencia correspondiente.</w:t>
      </w:r>
      <w:r w:rsidRPr="00AB293A">
        <w:rPr>
          <w:rFonts w:ascii="Gotham" w:hAnsi="Gotham" w:cs="Arial"/>
          <w:b/>
          <w:bCs/>
          <w:sz w:val="19"/>
          <w:szCs w:val="19"/>
        </w:rPr>
        <w:t xml:space="preserve"> </w:t>
      </w:r>
    </w:p>
    <w:p w14:paraId="3A474FFE" w14:textId="77777777" w:rsidR="009B5E39" w:rsidRPr="00AB293A" w:rsidRDefault="009B5E39" w:rsidP="009B5E39">
      <w:pPr>
        <w:autoSpaceDE w:val="0"/>
        <w:autoSpaceDN w:val="0"/>
        <w:adjustRightInd w:val="0"/>
        <w:ind w:left="284" w:right="283"/>
        <w:jc w:val="both"/>
        <w:rPr>
          <w:rFonts w:ascii="Gotham" w:hAnsi="Gotham" w:cs="Arial"/>
          <w:bCs/>
          <w:sz w:val="19"/>
          <w:szCs w:val="19"/>
        </w:rPr>
      </w:pPr>
    </w:p>
    <w:p w14:paraId="3A474FFF" w14:textId="77777777" w:rsidR="009B5E39" w:rsidRPr="00AB293A" w:rsidRDefault="009B5E39" w:rsidP="009B5E39">
      <w:pPr>
        <w:autoSpaceDE w:val="0"/>
        <w:autoSpaceDN w:val="0"/>
        <w:adjustRightInd w:val="0"/>
        <w:ind w:left="284" w:right="283"/>
        <w:jc w:val="both"/>
        <w:rPr>
          <w:rFonts w:ascii="Gotham" w:hAnsi="Gotham" w:cs="Arial"/>
          <w:bCs/>
          <w:sz w:val="19"/>
          <w:szCs w:val="19"/>
        </w:rPr>
      </w:pPr>
      <w:r w:rsidRPr="00AB293A">
        <w:rPr>
          <w:rFonts w:ascii="Gotham" w:hAnsi="Gotham" w:cs="Arial"/>
          <w:bCs/>
          <w:sz w:val="19"/>
          <w:szCs w:val="19"/>
        </w:rPr>
        <w:t>Para el caso exclusivo del refrendo de los anuncios de tipo semiestructural, tótem y de estela o navaja, cuyo contenido publicitario sea únicamente institucional del giro para el cual fue otorgada la licencia de anuncio, no será necesario llevar a cabo la dictaminación mencionada en la fracción V del presente artículo, siempre y cuando se acredite que, durante el periodo constitucional municipal en curso al momento de su solicitud, obtuvo una dictaminación favorable para su refrendo.</w:t>
      </w:r>
    </w:p>
    <w:p w14:paraId="3A475000"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bCs/>
          <w:sz w:val="19"/>
          <w:szCs w:val="19"/>
        </w:rPr>
        <w:t xml:space="preserve"> </w:t>
      </w:r>
    </w:p>
    <w:p w14:paraId="3A475001"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b/>
          <w:bCs/>
          <w:sz w:val="19"/>
          <w:szCs w:val="19"/>
        </w:rPr>
        <w:t xml:space="preserve">Artículo 28°. </w:t>
      </w:r>
      <w:r w:rsidRPr="00AB293A">
        <w:rPr>
          <w:rFonts w:ascii="Gotham" w:hAnsi="Gotham"/>
          <w:sz w:val="19"/>
          <w:szCs w:val="19"/>
        </w:rPr>
        <w:t xml:space="preserve">Queda prohibido el uso de la vía pública para la instalación, exhibición o emisión de cualquier tipo de anuncios permanentes, eventuales o elementos portantes de los mismos; siendo espacio y vía pública las banquetas, los arroyos de las calles, los camellones, los postes, las glorietas, las plazas públicas y sus áreas verdes, los jardines públicos y todos los accesos públicos peatonales o vehiculares, exceptuando los anuncios contenidos en las placas de nomenclatura, los correspondientes al mobiliario urbano y los autorizados mediante convenio de colaboración para el mantenimiento de espacios públicos, aprobados por el Ayuntamiento. </w:t>
      </w:r>
    </w:p>
    <w:p w14:paraId="3A475002" w14:textId="77777777" w:rsidR="009B5E39" w:rsidRPr="00AB293A" w:rsidRDefault="009B5E39" w:rsidP="009B5E39">
      <w:pPr>
        <w:pStyle w:val="Default"/>
        <w:ind w:left="284" w:right="283"/>
        <w:jc w:val="both"/>
        <w:rPr>
          <w:rFonts w:ascii="Gotham" w:hAnsi="Gotham"/>
          <w:sz w:val="19"/>
          <w:szCs w:val="19"/>
        </w:rPr>
      </w:pPr>
    </w:p>
    <w:p w14:paraId="3A475003"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 xml:space="preserve">Los anuncios a que hace referencia el párrafo anterior deberán acatar los criterios de diseño, ubicación y dimensiones de los espacios publicitarios autorizados por la dependencia municipal competente. </w:t>
      </w:r>
    </w:p>
    <w:p w14:paraId="3A475004" w14:textId="77777777" w:rsidR="009B5E39" w:rsidRPr="00AB293A" w:rsidRDefault="009B5E39" w:rsidP="009B5E39">
      <w:pPr>
        <w:pStyle w:val="Default"/>
        <w:ind w:left="284" w:right="283"/>
        <w:jc w:val="both"/>
        <w:rPr>
          <w:rFonts w:ascii="Gotham" w:hAnsi="Gotham"/>
          <w:sz w:val="19"/>
          <w:szCs w:val="19"/>
        </w:rPr>
      </w:pPr>
    </w:p>
    <w:p w14:paraId="3A475005"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 xml:space="preserve">En los casos en que mediante convenio suscrito con el Ayuntamiento, una persona física, jurídica o asociación vecinal, se comprometa a hacerse cargo del cuidado, conservación, limpieza y mantenimiento de un espacio público, se podrá autorizar la colocación en dicho espacio, de una placa alusiva que permita identificar el nombre de aquél, debiendo ostentar invariablemente el Escudo del </w:t>
      </w:r>
      <w:r w:rsidRPr="00AB293A">
        <w:rPr>
          <w:rFonts w:ascii="Gotham" w:hAnsi="Gotham"/>
          <w:bCs/>
          <w:sz w:val="19"/>
          <w:szCs w:val="19"/>
        </w:rPr>
        <w:t xml:space="preserve">municipio </w:t>
      </w:r>
      <w:r w:rsidRPr="00AB293A">
        <w:rPr>
          <w:rFonts w:ascii="Gotham" w:hAnsi="Gotham"/>
          <w:sz w:val="19"/>
          <w:szCs w:val="19"/>
        </w:rPr>
        <w:t xml:space="preserve">de Tonalá y cumplir con los lineamientos de dimensiones e imagen emitidos por las dependencias correspondientes. </w:t>
      </w:r>
    </w:p>
    <w:p w14:paraId="3A475006" w14:textId="77777777" w:rsidR="009B5E39" w:rsidRPr="00AB293A" w:rsidRDefault="009B5E39" w:rsidP="009B5E39">
      <w:pPr>
        <w:pStyle w:val="Default"/>
        <w:ind w:left="284" w:right="283"/>
        <w:jc w:val="both"/>
        <w:rPr>
          <w:rFonts w:ascii="Gotham" w:hAnsi="Gotham"/>
          <w:sz w:val="19"/>
          <w:szCs w:val="19"/>
        </w:rPr>
      </w:pPr>
    </w:p>
    <w:p w14:paraId="3A475007"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Para la instalación de mobiliario urbano que incluya dentro del proyecto anuncios publicitarios; se deberá presentar ante la Secretaría del Ayuntamiento, quien solicitará su opinión técnica a la Dirección de General de Planeación y Desarrollo Urbano Sustentable, para la evaluación, el diseño, ubicación y dimensiones de los espacios publicitarios, previo para el análisis y, en su caso, la autorización del Ayuntamiento.</w:t>
      </w:r>
    </w:p>
    <w:p w14:paraId="3A475008" w14:textId="77777777" w:rsidR="009B5E39" w:rsidRPr="00AB293A" w:rsidRDefault="009B5E39" w:rsidP="009B5E39">
      <w:pPr>
        <w:pStyle w:val="Default"/>
        <w:ind w:left="284" w:right="283"/>
        <w:jc w:val="both"/>
        <w:rPr>
          <w:rFonts w:ascii="Gotham" w:hAnsi="Gotham"/>
          <w:color w:val="auto"/>
          <w:sz w:val="19"/>
          <w:szCs w:val="19"/>
        </w:rPr>
      </w:pPr>
    </w:p>
    <w:p w14:paraId="3A475009"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 xml:space="preserve">Para la instalación de mobiliario urbano que incluya dentro del proyecto anuncios publicitarios; se deberá presentar ante la Secretaría del Ayuntamiento, quien solicitará su opinión técnica a la </w:t>
      </w:r>
      <w:r w:rsidRPr="00AB293A">
        <w:rPr>
          <w:rFonts w:ascii="Gotham" w:hAnsi="Gotham"/>
          <w:sz w:val="19"/>
          <w:szCs w:val="19"/>
        </w:rPr>
        <w:lastRenderedPageBreak/>
        <w:t>Dirección de General de Planeación y Desarrollo Urbano Sustentable y a la Secretaria de Transporte del Gobierno del Estado de Jalisco, para la evaluación, el diseño, ubicación y dimensiones de los espacios publicitarios, previo para el análisis y, en su caso, la autorización del Ayuntamiento.</w:t>
      </w:r>
    </w:p>
    <w:p w14:paraId="3A47500A" w14:textId="77777777" w:rsidR="009B5E39" w:rsidRDefault="009B5E39" w:rsidP="009B5E39">
      <w:pPr>
        <w:pStyle w:val="Default"/>
        <w:ind w:left="284" w:right="283"/>
        <w:jc w:val="both"/>
        <w:rPr>
          <w:rFonts w:ascii="Gotham" w:hAnsi="Gotham"/>
          <w:color w:val="auto"/>
          <w:sz w:val="19"/>
          <w:szCs w:val="19"/>
        </w:rPr>
      </w:pPr>
    </w:p>
    <w:p w14:paraId="3A47500B" w14:textId="77777777" w:rsidR="009B5E39" w:rsidRPr="00AB293A" w:rsidRDefault="009B5E39" w:rsidP="009B5E39">
      <w:pPr>
        <w:pStyle w:val="Default"/>
        <w:ind w:left="284" w:right="283"/>
        <w:jc w:val="both"/>
        <w:rPr>
          <w:rFonts w:ascii="Gotham" w:hAnsi="Gotham"/>
          <w:color w:val="auto"/>
          <w:sz w:val="19"/>
          <w:szCs w:val="19"/>
        </w:rPr>
      </w:pPr>
    </w:p>
    <w:p w14:paraId="3A47500C" w14:textId="77777777" w:rsidR="009B5E39" w:rsidRPr="00AB293A" w:rsidRDefault="009B5E39" w:rsidP="009B5E39">
      <w:pPr>
        <w:pStyle w:val="Default"/>
        <w:ind w:left="284" w:right="283"/>
        <w:jc w:val="center"/>
        <w:rPr>
          <w:rFonts w:ascii="Gotham" w:hAnsi="Gotham"/>
          <w:sz w:val="19"/>
          <w:szCs w:val="19"/>
        </w:rPr>
      </w:pPr>
      <w:r w:rsidRPr="00AB293A">
        <w:rPr>
          <w:rFonts w:ascii="Gotham" w:hAnsi="Gotham"/>
          <w:b/>
          <w:bCs/>
          <w:sz w:val="19"/>
          <w:szCs w:val="19"/>
        </w:rPr>
        <w:t>Capítulo II</w:t>
      </w:r>
    </w:p>
    <w:p w14:paraId="3A47500D" w14:textId="77777777" w:rsidR="009B5E39" w:rsidRPr="00AB293A" w:rsidRDefault="009B5E39" w:rsidP="009B5E39">
      <w:pPr>
        <w:pStyle w:val="Default"/>
        <w:ind w:left="284" w:right="283"/>
        <w:jc w:val="center"/>
        <w:rPr>
          <w:rFonts w:ascii="Gotham" w:hAnsi="Gotham"/>
          <w:b/>
          <w:bCs/>
          <w:sz w:val="19"/>
          <w:szCs w:val="19"/>
        </w:rPr>
      </w:pPr>
      <w:r w:rsidRPr="00AB293A">
        <w:rPr>
          <w:rFonts w:ascii="Gotham" w:hAnsi="Gotham"/>
          <w:b/>
          <w:bCs/>
          <w:sz w:val="19"/>
          <w:szCs w:val="19"/>
        </w:rPr>
        <w:t>Disposiciones Técnicas Generales</w:t>
      </w:r>
    </w:p>
    <w:p w14:paraId="3A47500E" w14:textId="77777777" w:rsidR="009B5E39" w:rsidRPr="00AB293A" w:rsidRDefault="009B5E39" w:rsidP="009B5E39">
      <w:pPr>
        <w:pStyle w:val="Default"/>
        <w:ind w:left="284" w:right="283"/>
        <w:jc w:val="center"/>
        <w:rPr>
          <w:rFonts w:ascii="Gotham" w:hAnsi="Gotham"/>
          <w:sz w:val="19"/>
          <w:szCs w:val="19"/>
        </w:rPr>
      </w:pPr>
    </w:p>
    <w:p w14:paraId="3A47500F"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b/>
          <w:bCs/>
          <w:sz w:val="19"/>
          <w:szCs w:val="19"/>
        </w:rPr>
        <w:t xml:space="preserve">Artículo 29°. </w:t>
      </w:r>
      <w:r w:rsidRPr="00AB293A">
        <w:rPr>
          <w:rFonts w:ascii="Gotham" w:hAnsi="Gotham"/>
          <w:sz w:val="19"/>
          <w:szCs w:val="19"/>
        </w:rPr>
        <w:t>En el Municipio de Tonalá, Jalisco queda prohibida la instalación de nuevos anuncios clasificados como estructurales (</w:t>
      </w:r>
      <w:r w:rsidRPr="00AB293A">
        <w:rPr>
          <w:rFonts w:ascii="Gotham" w:hAnsi="Gotham"/>
          <w:bCs/>
          <w:sz w:val="19"/>
          <w:szCs w:val="19"/>
        </w:rPr>
        <w:t xml:space="preserve">unipolares </w:t>
      </w:r>
      <w:r w:rsidRPr="00AB293A">
        <w:rPr>
          <w:rFonts w:ascii="Gotham" w:hAnsi="Gotham"/>
          <w:sz w:val="19"/>
          <w:szCs w:val="19"/>
        </w:rPr>
        <w:t>y de cartelera de piso o azotea y pantallas electrónicas).</w:t>
      </w:r>
    </w:p>
    <w:p w14:paraId="3A475010"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 xml:space="preserve"> </w:t>
      </w:r>
    </w:p>
    <w:p w14:paraId="3A475011" w14:textId="77777777" w:rsidR="009B5E39" w:rsidRPr="00AB293A" w:rsidRDefault="009B5E39" w:rsidP="009B5E39">
      <w:pPr>
        <w:pStyle w:val="Default"/>
        <w:ind w:left="284" w:right="283"/>
        <w:jc w:val="both"/>
        <w:rPr>
          <w:rFonts w:ascii="Gotham" w:hAnsi="Gotham"/>
          <w:bCs/>
          <w:sz w:val="19"/>
          <w:szCs w:val="19"/>
        </w:rPr>
      </w:pPr>
      <w:r w:rsidRPr="00AB293A">
        <w:rPr>
          <w:rFonts w:ascii="Gotham" w:hAnsi="Gotham"/>
          <w:bCs/>
          <w:sz w:val="19"/>
          <w:szCs w:val="19"/>
        </w:rPr>
        <w:t xml:space="preserve">Los anuncios estructurales y semiestructurales que cuenten con licencia vigente y que anuncien mediante lonas, deberán utilizar lona tipo rompe vientos, de tal manera que puedan oponer menor resistencia a los vientos y disminuir su peligrosidad. Así mismo, queda estrictamente prohibido traspasar el uso o goce de licencias de anuncios estructurales. </w:t>
      </w:r>
    </w:p>
    <w:p w14:paraId="3A475012" w14:textId="77777777" w:rsidR="009B5E39" w:rsidRPr="00AB293A" w:rsidRDefault="009B5E39" w:rsidP="009B5E39">
      <w:pPr>
        <w:pStyle w:val="Default"/>
        <w:ind w:left="284" w:right="283"/>
        <w:jc w:val="both"/>
        <w:rPr>
          <w:rFonts w:ascii="Gotham" w:hAnsi="Gotham"/>
          <w:sz w:val="19"/>
          <w:szCs w:val="19"/>
        </w:rPr>
      </w:pPr>
    </w:p>
    <w:p w14:paraId="3A475013" w14:textId="77777777" w:rsidR="009B5E39" w:rsidRPr="00AB293A" w:rsidRDefault="009B5E39" w:rsidP="009B5E39">
      <w:pPr>
        <w:pStyle w:val="Default"/>
        <w:ind w:left="284" w:right="283"/>
        <w:jc w:val="both"/>
        <w:rPr>
          <w:rFonts w:ascii="Gotham" w:hAnsi="Gotham"/>
          <w:bCs/>
          <w:sz w:val="19"/>
          <w:szCs w:val="19"/>
        </w:rPr>
      </w:pPr>
      <w:r w:rsidRPr="00AB293A">
        <w:rPr>
          <w:rFonts w:ascii="Gotham" w:hAnsi="Gotham"/>
          <w:bCs/>
          <w:sz w:val="19"/>
          <w:szCs w:val="19"/>
        </w:rPr>
        <w:t xml:space="preserve">Igualmente, los anuncios estructurales y semiestructurales, no deberán de estar instalados en vías o espacios públicos, de igual forma ninguno de los anuncios o elementos portantes de los mismos deberá rebasar el límite de propiedad privada del inmueble donde estén instalados (banqueta, arroyo vehicular, machuelos o cualquier espacio público). </w:t>
      </w:r>
    </w:p>
    <w:p w14:paraId="3A475014" w14:textId="77777777" w:rsidR="009B5E39" w:rsidRPr="00AB293A" w:rsidRDefault="009B5E39" w:rsidP="009B5E39">
      <w:pPr>
        <w:pStyle w:val="Default"/>
        <w:ind w:left="284" w:right="283"/>
        <w:jc w:val="both"/>
        <w:rPr>
          <w:rFonts w:ascii="Gotham" w:hAnsi="Gotham"/>
          <w:sz w:val="19"/>
          <w:szCs w:val="19"/>
        </w:rPr>
      </w:pPr>
    </w:p>
    <w:p w14:paraId="3A475015" w14:textId="77777777" w:rsidR="009B5E39" w:rsidRPr="00AB293A" w:rsidRDefault="009B5E39" w:rsidP="009B5E39">
      <w:pPr>
        <w:pStyle w:val="Default"/>
        <w:ind w:left="284" w:right="283"/>
        <w:jc w:val="both"/>
        <w:rPr>
          <w:rFonts w:ascii="Gotham" w:hAnsi="Gotham"/>
          <w:bCs/>
          <w:sz w:val="19"/>
          <w:szCs w:val="19"/>
        </w:rPr>
      </w:pPr>
      <w:r w:rsidRPr="00AB293A">
        <w:rPr>
          <w:rFonts w:ascii="Gotham" w:hAnsi="Gotham"/>
          <w:bCs/>
          <w:sz w:val="19"/>
          <w:szCs w:val="19"/>
        </w:rPr>
        <w:t xml:space="preserve">Las personas físicas o jurídicas propietarias de anuncios tipo estructurales unipolares, y de cartelera de piso o azotea y pantallas electrónicas que cuenten con licencia municipal vigente, deberán otorgar de manera gratuita al gobierno municipal el uso de cada anuncio por 15 días continuos al año. Estos espacios publicitarios el gobierno municipal deberá utilizarlos para campañas de comunicación que tengan como fin el beneficio social y comunitario. </w:t>
      </w:r>
    </w:p>
    <w:p w14:paraId="3A475016" w14:textId="77777777" w:rsidR="009B5E39" w:rsidRPr="00AB293A" w:rsidRDefault="009B5E39" w:rsidP="009B5E39">
      <w:pPr>
        <w:pStyle w:val="Default"/>
        <w:ind w:left="284" w:right="283"/>
        <w:jc w:val="both"/>
        <w:rPr>
          <w:rFonts w:ascii="Gotham" w:hAnsi="Gotham"/>
          <w:sz w:val="19"/>
          <w:szCs w:val="19"/>
        </w:rPr>
      </w:pPr>
    </w:p>
    <w:p w14:paraId="3A475017" w14:textId="77777777" w:rsidR="009B5E39" w:rsidRPr="00AB293A" w:rsidRDefault="009B5E39" w:rsidP="009B5E39">
      <w:pPr>
        <w:pStyle w:val="Default"/>
        <w:ind w:left="284" w:right="283"/>
        <w:jc w:val="both"/>
        <w:rPr>
          <w:rFonts w:ascii="Gotham" w:hAnsi="Gotham"/>
          <w:bCs/>
          <w:sz w:val="19"/>
          <w:szCs w:val="19"/>
        </w:rPr>
      </w:pPr>
      <w:r w:rsidRPr="00AB293A">
        <w:rPr>
          <w:rFonts w:ascii="Gotham" w:hAnsi="Gotham"/>
          <w:bCs/>
          <w:sz w:val="19"/>
          <w:szCs w:val="19"/>
        </w:rPr>
        <w:t xml:space="preserve">El incumplimiento de las disposiciones de este artículo será motivo para que la Dirección de Inspección y Vigilancia determine medidas de seguridad, inicie el procedimiento administrativo para la revocación de la licencia y el consecuente retiro total del anuncio. </w:t>
      </w:r>
    </w:p>
    <w:p w14:paraId="3A475018" w14:textId="77777777" w:rsidR="009B5E39" w:rsidRPr="00AB293A" w:rsidRDefault="009B5E39" w:rsidP="009B5E39">
      <w:pPr>
        <w:pStyle w:val="Default"/>
        <w:ind w:left="284" w:right="283"/>
        <w:jc w:val="both"/>
        <w:rPr>
          <w:rFonts w:ascii="Gotham" w:hAnsi="Gotham"/>
          <w:bCs/>
          <w:sz w:val="19"/>
          <w:szCs w:val="19"/>
        </w:rPr>
      </w:pPr>
    </w:p>
    <w:p w14:paraId="3A475019"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b/>
          <w:sz w:val="19"/>
          <w:szCs w:val="19"/>
        </w:rPr>
        <w:t>Artículo 30°.</w:t>
      </w:r>
      <w:r w:rsidRPr="00AB293A">
        <w:rPr>
          <w:rFonts w:ascii="Gotham" w:hAnsi="Gotham"/>
          <w:sz w:val="19"/>
          <w:szCs w:val="19"/>
        </w:rPr>
        <w:t xml:space="preserve"> Los anuncios semiestructurales son los que se fijan al piso con postes menores a 12” (30.5 centímetros) de diámetro o lado, o en forma de navaja o estela, o se construyen a base de mampostería; se encuentran separados de las construcciones, requieren de un cálculo estructural y de un equipo especializado para su transportación y colocación (en forma de paletas, directorios, tótem, entre otros). Los anuncios semiestructurales se subdividen en 3 tipos: </w:t>
      </w:r>
    </w:p>
    <w:p w14:paraId="3A47501A" w14:textId="77777777" w:rsidR="009B5E39" w:rsidRPr="00AB293A" w:rsidRDefault="009B5E39" w:rsidP="009B5E39">
      <w:pPr>
        <w:pStyle w:val="Default"/>
        <w:ind w:left="284" w:right="283"/>
        <w:jc w:val="both"/>
        <w:rPr>
          <w:rFonts w:ascii="Gotham" w:hAnsi="Gotham"/>
          <w:sz w:val="19"/>
          <w:szCs w:val="19"/>
        </w:rPr>
      </w:pPr>
    </w:p>
    <w:p w14:paraId="3A47501B"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Tipo 1: Postes menores a 12” (30.5 centímetros) de diámetro o lado, con una altura máxima de 7 metros incluyendo todos los elementos del mismo y con un área de anuncio máxima a 6.00 metros cuadrados por cada cara, con un máximo de dos caras.</w:t>
      </w:r>
    </w:p>
    <w:p w14:paraId="3A47501C" w14:textId="77777777" w:rsidR="009B5E39" w:rsidRPr="00AB293A" w:rsidRDefault="009B5E39" w:rsidP="009B5E39">
      <w:pPr>
        <w:pStyle w:val="Default"/>
        <w:ind w:left="284" w:right="283"/>
        <w:jc w:val="both"/>
        <w:rPr>
          <w:rFonts w:ascii="Gotham" w:hAnsi="Gotham"/>
          <w:sz w:val="19"/>
          <w:szCs w:val="19"/>
        </w:rPr>
      </w:pPr>
    </w:p>
    <w:p w14:paraId="3A47501D" w14:textId="77777777" w:rsidR="009B5E39" w:rsidRPr="00AB293A" w:rsidRDefault="009B5E39" w:rsidP="009B5E39">
      <w:pPr>
        <w:pStyle w:val="Default"/>
        <w:ind w:left="284" w:right="283"/>
        <w:jc w:val="both"/>
        <w:rPr>
          <w:rFonts w:ascii="Gotham" w:hAnsi="Gotham"/>
          <w:sz w:val="19"/>
          <w:szCs w:val="19"/>
        </w:rPr>
      </w:pPr>
      <w:r w:rsidRPr="00AB293A">
        <w:rPr>
          <w:rFonts w:ascii="Gotham" w:hAnsi="Gotham"/>
          <w:sz w:val="19"/>
          <w:szCs w:val="19"/>
        </w:rPr>
        <w:t>Tipo 2: Anuncios de estela o navaja y tótem, tipo directorio, con una altura máxima de 12.00 metros incluyendo todos los elementos del mismo y con un área de anuncio máxima a 18.00 metros cuadrados por cada cara, con un máximo de dos caras.</w:t>
      </w:r>
    </w:p>
    <w:p w14:paraId="3A47501E" w14:textId="77777777" w:rsidR="009B5E39" w:rsidRPr="00AB293A" w:rsidRDefault="009B5E39" w:rsidP="009B5E39">
      <w:pPr>
        <w:pStyle w:val="Default"/>
        <w:ind w:left="284" w:right="283"/>
        <w:jc w:val="both"/>
        <w:rPr>
          <w:rFonts w:ascii="Gotham" w:hAnsi="Gotham"/>
          <w:sz w:val="19"/>
          <w:szCs w:val="19"/>
        </w:rPr>
      </w:pPr>
    </w:p>
    <w:p w14:paraId="3A47501F" w14:textId="7B7D2ACE" w:rsidR="009B5E39" w:rsidRPr="00AB293A" w:rsidRDefault="009B5E39" w:rsidP="009B5E39">
      <w:pPr>
        <w:autoSpaceDE w:val="0"/>
        <w:autoSpaceDN w:val="0"/>
        <w:adjustRightInd w:val="0"/>
        <w:ind w:left="284" w:right="283"/>
        <w:jc w:val="both"/>
        <w:rPr>
          <w:rFonts w:ascii="Gotham" w:hAnsi="Gotham" w:cs="Arial"/>
          <w:sz w:val="19"/>
          <w:szCs w:val="19"/>
        </w:rPr>
      </w:pPr>
      <w:r w:rsidRPr="00AB293A">
        <w:rPr>
          <w:rFonts w:ascii="Gotham" w:hAnsi="Gotham" w:cs="Arial"/>
          <w:sz w:val="19"/>
          <w:szCs w:val="19"/>
        </w:rPr>
        <w:t xml:space="preserve">Los anuncios en áreas comunes de plazas o centros comerciales, además de sujetarse a lo dispuesto por los anuncios </w:t>
      </w:r>
      <w:r w:rsidR="00F06BE5" w:rsidRPr="00AB293A">
        <w:rPr>
          <w:rFonts w:ascii="Gotham" w:hAnsi="Gotham" w:cs="Arial"/>
          <w:sz w:val="19"/>
          <w:szCs w:val="19"/>
        </w:rPr>
        <w:t>semiestructúrales</w:t>
      </w:r>
      <w:r w:rsidRPr="00AB293A">
        <w:rPr>
          <w:rFonts w:ascii="Gotham" w:hAnsi="Gotham" w:cs="Arial"/>
          <w:sz w:val="19"/>
          <w:szCs w:val="19"/>
        </w:rPr>
        <w:t xml:space="preserve"> tendrán una superficie máxima permitida de mensaje como se indica en el siguiente cuadro:</w:t>
      </w:r>
    </w:p>
    <w:p w14:paraId="3A475020" w14:textId="77777777" w:rsidR="009B5E39" w:rsidRPr="00AB293A" w:rsidRDefault="009B5E39" w:rsidP="009B5E39">
      <w:pPr>
        <w:autoSpaceDE w:val="0"/>
        <w:autoSpaceDN w:val="0"/>
        <w:adjustRightInd w:val="0"/>
        <w:ind w:left="284" w:right="283"/>
        <w:rPr>
          <w:rFonts w:ascii="Gotham" w:hAnsi="Gotham" w:cs="Arial"/>
          <w:sz w:val="19"/>
          <w:szCs w:val="19"/>
        </w:rPr>
      </w:pPr>
    </w:p>
    <w:tbl>
      <w:tblPr>
        <w:tblW w:w="0" w:type="auto"/>
        <w:jc w:val="center"/>
        <w:tblLook w:val="04A0" w:firstRow="1" w:lastRow="0" w:firstColumn="1" w:lastColumn="0" w:noHBand="0" w:noVBand="1"/>
      </w:tblPr>
      <w:tblGrid>
        <w:gridCol w:w="3119"/>
        <w:gridCol w:w="2977"/>
        <w:gridCol w:w="2835"/>
      </w:tblGrid>
      <w:tr w:rsidR="009B5E39" w:rsidRPr="00B47FD6" w14:paraId="3A475022" w14:textId="77777777" w:rsidTr="00190E4A">
        <w:trPr>
          <w:jc w:val="center"/>
        </w:trPr>
        <w:tc>
          <w:tcPr>
            <w:tcW w:w="8931" w:type="dxa"/>
            <w:gridSpan w:val="3"/>
          </w:tcPr>
          <w:p w14:paraId="3A475021" w14:textId="77777777" w:rsidR="009B5E39" w:rsidRPr="00B47FD6" w:rsidRDefault="009B5E39" w:rsidP="00190E4A">
            <w:pPr>
              <w:autoSpaceDE w:val="0"/>
              <w:autoSpaceDN w:val="0"/>
              <w:adjustRightInd w:val="0"/>
              <w:spacing w:before="120" w:after="120"/>
              <w:jc w:val="center"/>
              <w:rPr>
                <w:rFonts w:ascii="Gotham" w:hAnsi="Gotham" w:cs="Arial"/>
                <w:sz w:val="19"/>
                <w:szCs w:val="19"/>
              </w:rPr>
            </w:pPr>
            <w:r w:rsidRPr="00B47FD6">
              <w:rPr>
                <w:rFonts w:ascii="Gotham" w:hAnsi="Gotham" w:cs="Arial"/>
                <w:sz w:val="19"/>
                <w:szCs w:val="19"/>
              </w:rPr>
              <w:t>Anuncios en Plazas o Centros Comerciales</w:t>
            </w:r>
          </w:p>
        </w:tc>
      </w:tr>
      <w:tr w:rsidR="009B5E39" w:rsidRPr="00B47FD6" w14:paraId="3A475026" w14:textId="77777777" w:rsidTr="00190E4A">
        <w:trPr>
          <w:jc w:val="center"/>
        </w:trPr>
        <w:tc>
          <w:tcPr>
            <w:tcW w:w="3119" w:type="dxa"/>
            <w:vAlign w:val="center"/>
          </w:tcPr>
          <w:p w14:paraId="3A475023"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t>Centro comercial registrado de tres a seis locales.</w:t>
            </w:r>
          </w:p>
        </w:tc>
        <w:tc>
          <w:tcPr>
            <w:tcW w:w="2977" w:type="dxa"/>
            <w:vAlign w:val="center"/>
          </w:tcPr>
          <w:p w14:paraId="3A475024"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t>18 metros cuadrados por cara con</w:t>
            </w:r>
            <w:r>
              <w:rPr>
                <w:rFonts w:ascii="Gotham" w:hAnsi="Gotham" w:cs="Arial"/>
                <w:sz w:val="19"/>
                <w:szCs w:val="19"/>
              </w:rPr>
              <w:t xml:space="preserve"> máximo de dos caras</w:t>
            </w:r>
          </w:p>
        </w:tc>
        <w:tc>
          <w:tcPr>
            <w:tcW w:w="2835" w:type="dxa"/>
            <w:vAlign w:val="center"/>
          </w:tcPr>
          <w:p w14:paraId="3A475025"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t xml:space="preserve">Altura máxima incluyendo todos los elementos del anuncio 10 metros. Y una </w:t>
            </w:r>
            <w:r w:rsidRPr="00B47FD6">
              <w:rPr>
                <w:rFonts w:ascii="Gotham" w:hAnsi="Gotham" w:cs="Arial"/>
                <w:sz w:val="19"/>
                <w:szCs w:val="19"/>
              </w:rPr>
              <w:lastRenderedPageBreak/>
              <w:t>longitud de 2.50 metros (forma horizontal).</w:t>
            </w:r>
          </w:p>
        </w:tc>
      </w:tr>
      <w:tr w:rsidR="009B5E39" w:rsidRPr="00B47FD6" w14:paraId="3A47502A" w14:textId="77777777" w:rsidTr="00190E4A">
        <w:trPr>
          <w:jc w:val="center"/>
        </w:trPr>
        <w:tc>
          <w:tcPr>
            <w:tcW w:w="3119" w:type="dxa"/>
            <w:vAlign w:val="center"/>
          </w:tcPr>
          <w:p w14:paraId="3A475027"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lastRenderedPageBreak/>
              <w:t>Centro comercial registrado de siete a nueve locales.</w:t>
            </w:r>
          </w:p>
        </w:tc>
        <w:tc>
          <w:tcPr>
            <w:tcW w:w="2977" w:type="dxa"/>
            <w:vAlign w:val="center"/>
          </w:tcPr>
          <w:p w14:paraId="3A475028"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t>24.00 metros</w:t>
            </w:r>
            <w:r>
              <w:rPr>
                <w:rFonts w:ascii="Gotham" w:hAnsi="Gotham" w:cs="Arial"/>
                <w:sz w:val="19"/>
                <w:szCs w:val="19"/>
              </w:rPr>
              <w:t xml:space="preserve"> </w:t>
            </w:r>
            <w:r w:rsidRPr="00B47FD6">
              <w:rPr>
                <w:rFonts w:ascii="Gotham" w:hAnsi="Gotham" w:cs="Arial"/>
                <w:sz w:val="19"/>
                <w:szCs w:val="19"/>
              </w:rPr>
              <w:t>cuadrados por cara con</w:t>
            </w:r>
            <w:r>
              <w:rPr>
                <w:rFonts w:ascii="Gotham" w:hAnsi="Gotham" w:cs="Arial"/>
                <w:sz w:val="19"/>
                <w:szCs w:val="19"/>
              </w:rPr>
              <w:t xml:space="preserve"> máximo de dos caras</w:t>
            </w:r>
          </w:p>
        </w:tc>
        <w:tc>
          <w:tcPr>
            <w:tcW w:w="2835" w:type="dxa"/>
            <w:vAlign w:val="center"/>
          </w:tcPr>
          <w:p w14:paraId="3A475029"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t>Altura máxima incluyendo todos los elementos del anuncio 12 metros. Y una longitud de 2.50 metros (forma horizontal).</w:t>
            </w:r>
          </w:p>
        </w:tc>
      </w:tr>
      <w:tr w:rsidR="009B5E39" w:rsidRPr="00B47FD6" w14:paraId="3A47502E" w14:textId="77777777" w:rsidTr="00190E4A">
        <w:trPr>
          <w:jc w:val="center"/>
        </w:trPr>
        <w:tc>
          <w:tcPr>
            <w:tcW w:w="3119" w:type="dxa"/>
            <w:vAlign w:val="center"/>
          </w:tcPr>
          <w:p w14:paraId="3A47502B"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t>Centro comercial registrado de diez o más locales.</w:t>
            </w:r>
          </w:p>
        </w:tc>
        <w:tc>
          <w:tcPr>
            <w:tcW w:w="2977" w:type="dxa"/>
            <w:vAlign w:val="center"/>
          </w:tcPr>
          <w:p w14:paraId="3A47502C"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t>35.00 metros cuadrados por cara con</w:t>
            </w:r>
            <w:r>
              <w:rPr>
                <w:rFonts w:ascii="Gotham" w:hAnsi="Gotham" w:cs="Arial"/>
                <w:sz w:val="19"/>
                <w:szCs w:val="19"/>
              </w:rPr>
              <w:t xml:space="preserve"> máximo de dos caras</w:t>
            </w:r>
          </w:p>
        </w:tc>
        <w:tc>
          <w:tcPr>
            <w:tcW w:w="2835" w:type="dxa"/>
            <w:vAlign w:val="center"/>
          </w:tcPr>
          <w:p w14:paraId="3A47502D" w14:textId="77777777" w:rsidR="009B5E39" w:rsidRPr="00B47FD6" w:rsidRDefault="009B5E39" w:rsidP="00190E4A">
            <w:pPr>
              <w:autoSpaceDE w:val="0"/>
              <w:autoSpaceDN w:val="0"/>
              <w:adjustRightInd w:val="0"/>
              <w:spacing w:before="120" w:after="120"/>
              <w:rPr>
                <w:rFonts w:ascii="Gotham" w:hAnsi="Gotham" w:cs="Arial"/>
                <w:sz w:val="19"/>
                <w:szCs w:val="19"/>
              </w:rPr>
            </w:pPr>
            <w:r w:rsidRPr="00B47FD6">
              <w:rPr>
                <w:rFonts w:ascii="Gotham" w:hAnsi="Gotham" w:cs="Arial"/>
                <w:sz w:val="19"/>
                <w:szCs w:val="19"/>
              </w:rPr>
              <w:t>Altura máxima incluyendo todos los elementos del anuncio 12 metros. Y una longitud de 3.00 metros (forma horizontal).</w:t>
            </w:r>
          </w:p>
        </w:tc>
      </w:tr>
    </w:tbl>
    <w:p w14:paraId="3A47502F" w14:textId="77777777" w:rsidR="009B5E39" w:rsidRPr="00FA2E21" w:rsidRDefault="009B5E39" w:rsidP="009B5E39">
      <w:pPr>
        <w:pStyle w:val="Default"/>
        <w:ind w:left="284" w:right="283"/>
        <w:jc w:val="both"/>
        <w:rPr>
          <w:rFonts w:ascii="Gotham" w:hAnsi="Gotham"/>
          <w:bCs/>
          <w:sz w:val="19"/>
          <w:szCs w:val="19"/>
        </w:rPr>
      </w:pPr>
    </w:p>
    <w:p w14:paraId="3A475030" w14:textId="77777777" w:rsidR="009B5E39" w:rsidRPr="00FA2E21" w:rsidRDefault="009B5E39" w:rsidP="009B5E39">
      <w:pPr>
        <w:pStyle w:val="Default"/>
        <w:ind w:left="284" w:right="283"/>
        <w:jc w:val="both"/>
        <w:rPr>
          <w:rFonts w:ascii="Gotham" w:hAnsi="Gotham"/>
          <w:bCs/>
          <w:sz w:val="19"/>
          <w:szCs w:val="19"/>
        </w:rPr>
      </w:pPr>
      <w:r w:rsidRPr="00FA2E21">
        <w:rPr>
          <w:rFonts w:ascii="Gotham" w:hAnsi="Gotham"/>
          <w:bCs/>
          <w:sz w:val="19"/>
          <w:szCs w:val="19"/>
        </w:rPr>
        <w:t>Para la aplicación de esta disposición es necesario que el centro comercial este sujeto al régimen de condominio legalmente constituido y reconocido como centro comercial por el Municipio de Tonalá, Jalisco. La publicidad instalada dentro de este tipo de anuncio deberá ser para publicitar los locales que se ubican al interior de la plaza y no puede ser sujeto de comercialización; y</w:t>
      </w:r>
    </w:p>
    <w:p w14:paraId="3A475031" w14:textId="77777777" w:rsidR="009B5E39" w:rsidRPr="00FA2E21" w:rsidRDefault="009B5E39" w:rsidP="009B5E39">
      <w:pPr>
        <w:pStyle w:val="Default"/>
        <w:ind w:left="284" w:right="283"/>
        <w:jc w:val="both"/>
        <w:rPr>
          <w:rFonts w:ascii="Gotham" w:hAnsi="Gotham"/>
          <w:bCs/>
          <w:sz w:val="19"/>
          <w:szCs w:val="19"/>
        </w:rPr>
      </w:pPr>
    </w:p>
    <w:p w14:paraId="3A475032" w14:textId="77777777" w:rsidR="009B5E39" w:rsidRPr="00FA2E21" w:rsidRDefault="009B5E39" w:rsidP="009B5E39">
      <w:pPr>
        <w:pStyle w:val="Default"/>
        <w:ind w:left="284" w:right="283"/>
        <w:jc w:val="both"/>
        <w:rPr>
          <w:rFonts w:ascii="Gotham" w:hAnsi="Gotham"/>
          <w:bCs/>
          <w:sz w:val="19"/>
          <w:szCs w:val="19"/>
        </w:rPr>
      </w:pPr>
      <w:r w:rsidRPr="00FA2E21">
        <w:rPr>
          <w:rFonts w:ascii="Gotham" w:hAnsi="Gotham"/>
          <w:bCs/>
          <w:sz w:val="19"/>
          <w:szCs w:val="19"/>
        </w:rPr>
        <w:t xml:space="preserve">Tipo 3: Mampostería estructura realizada con argamasa como elemento de sujeción entre sus elementos, con dimensiones máximas de 2 metros de alto y 4 metros de ancho. </w:t>
      </w:r>
    </w:p>
    <w:p w14:paraId="3A475033" w14:textId="77777777" w:rsidR="009B5E39" w:rsidRPr="00FA2E21" w:rsidRDefault="009B5E39" w:rsidP="009B5E39">
      <w:pPr>
        <w:pStyle w:val="Default"/>
        <w:ind w:left="284" w:right="283"/>
        <w:jc w:val="both"/>
        <w:rPr>
          <w:rFonts w:ascii="Gotham" w:hAnsi="Gotham"/>
          <w:bCs/>
          <w:sz w:val="19"/>
          <w:szCs w:val="19"/>
        </w:rPr>
      </w:pPr>
    </w:p>
    <w:p w14:paraId="3A475034" w14:textId="77777777" w:rsidR="009B5E39" w:rsidRPr="00FA2E21" w:rsidRDefault="009B5E39" w:rsidP="009B5E39">
      <w:pPr>
        <w:pStyle w:val="Default"/>
        <w:ind w:left="284" w:right="283"/>
        <w:jc w:val="both"/>
        <w:rPr>
          <w:rFonts w:ascii="Gotham" w:hAnsi="Gotham"/>
          <w:bCs/>
          <w:sz w:val="19"/>
          <w:szCs w:val="19"/>
        </w:rPr>
      </w:pPr>
      <w:r w:rsidRPr="00FA2E21">
        <w:rPr>
          <w:rFonts w:ascii="Gotham" w:hAnsi="Gotham"/>
          <w:bCs/>
          <w:sz w:val="19"/>
          <w:szCs w:val="19"/>
        </w:rPr>
        <w:t>Los anuncios semiestructurales de cualquier tipo deberán cumplir los siguientes lineamientos:</w:t>
      </w:r>
    </w:p>
    <w:p w14:paraId="3A475035" w14:textId="77777777" w:rsidR="009B5E39" w:rsidRPr="00FA2E21" w:rsidRDefault="009B5E39" w:rsidP="009B5E39">
      <w:pPr>
        <w:pStyle w:val="Default"/>
        <w:ind w:left="284" w:right="283"/>
        <w:jc w:val="both"/>
        <w:rPr>
          <w:rFonts w:ascii="Gotham" w:hAnsi="Gotham"/>
          <w:bCs/>
          <w:sz w:val="19"/>
          <w:szCs w:val="19"/>
        </w:rPr>
      </w:pPr>
    </w:p>
    <w:p w14:paraId="3A475036" w14:textId="77777777" w:rsidR="009B5E39" w:rsidRPr="006D6A0D" w:rsidRDefault="009B5E39" w:rsidP="009B5E39">
      <w:pPr>
        <w:pStyle w:val="Prrafodelista"/>
        <w:numPr>
          <w:ilvl w:val="0"/>
          <w:numId w:val="223"/>
        </w:numPr>
        <w:tabs>
          <w:tab w:val="left" w:pos="9639"/>
        </w:tabs>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La proyección vertical del saliente máximo del anuncio no debe rebasar el límite de propiedad privada;</w:t>
      </w:r>
    </w:p>
    <w:p w14:paraId="3A475037" w14:textId="77777777" w:rsidR="009B5E39" w:rsidRPr="006D6A0D" w:rsidRDefault="009B5E39" w:rsidP="009B5E39">
      <w:pPr>
        <w:pStyle w:val="Prrafodelista"/>
        <w:numPr>
          <w:ilvl w:val="0"/>
          <w:numId w:val="223"/>
        </w:numPr>
        <w:tabs>
          <w:tab w:val="left" w:pos="9639"/>
        </w:tabs>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La distancia mínima entre uno y otro anuncio del mismo tipo debe ser de 30.00 metros, tomando en cuenta los existentes y los que se pretendan instalar, siempre y cuando cuenten con la autorización correspondiente;</w:t>
      </w:r>
    </w:p>
    <w:p w14:paraId="3A475038" w14:textId="77777777" w:rsidR="009B5E39" w:rsidRPr="006D6A0D" w:rsidRDefault="009B5E39" w:rsidP="009B5E39">
      <w:pPr>
        <w:pStyle w:val="Prrafodelista"/>
        <w:numPr>
          <w:ilvl w:val="0"/>
          <w:numId w:val="223"/>
        </w:numPr>
        <w:tabs>
          <w:tab w:val="left" w:pos="9639"/>
        </w:tabs>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La distancia del punto más próximo del anuncio a la construcción del bien inmueble en el que se ubique deberá ser de 0.50 metros, y en relación a la colindancia con predios vecinos deberá ser de 2.50 metros lineales;</w:t>
      </w:r>
    </w:p>
    <w:p w14:paraId="3A475039" w14:textId="77777777" w:rsidR="009B5E39" w:rsidRPr="006D6A0D" w:rsidRDefault="009B5E39" w:rsidP="009B5E39">
      <w:pPr>
        <w:pStyle w:val="Prrafodelista"/>
        <w:numPr>
          <w:ilvl w:val="0"/>
          <w:numId w:val="223"/>
        </w:numPr>
        <w:tabs>
          <w:tab w:val="left" w:pos="9639"/>
        </w:tabs>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En los edificios con locales comerciales o de régimen condominal sólo se puede colocar un anuncio de tipo semiestructural de estela o navaja por predio, donde se puedan anunciar todos los locatarios;</w:t>
      </w:r>
    </w:p>
    <w:p w14:paraId="3A47503A" w14:textId="77777777" w:rsidR="009B5E39" w:rsidRPr="006D6A0D" w:rsidRDefault="009B5E39" w:rsidP="009B5E39">
      <w:pPr>
        <w:pStyle w:val="Prrafodelista"/>
        <w:numPr>
          <w:ilvl w:val="0"/>
          <w:numId w:val="223"/>
        </w:numPr>
        <w:tabs>
          <w:tab w:val="left" w:pos="9639"/>
        </w:tabs>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altura mínima del área publicitaria con relación al nivel de piso es de 2.50 metros; </w:t>
      </w:r>
    </w:p>
    <w:p w14:paraId="3A47503B" w14:textId="77777777" w:rsidR="009B5E39" w:rsidRPr="006D6A0D" w:rsidRDefault="009B5E39" w:rsidP="009B5E39">
      <w:pPr>
        <w:pStyle w:val="Prrafodelista"/>
        <w:numPr>
          <w:ilvl w:val="0"/>
          <w:numId w:val="223"/>
        </w:numPr>
        <w:tabs>
          <w:tab w:val="left" w:pos="9639"/>
        </w:tabs>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el caso de colocarse en área de servidumbre deberá obtener previamente de la dependencia correspondiente, el visto bueno a la invasión de servidumbre municipal; </w:t>
      </w:r>
    </w:p>
    <w:p w14:paraId="3A47503C" w14:textId="2D161459" w:rsidR="009B5E39" w:rsidRPr="006D6A0D" w:rsidRDefault="009B5E39" w:rsidP="009B5E39">
      <w:pPr>
        <w:pStyle w:val="Prrafodelista"/>
        <w:numPr>
          <w:ilvl w:val="0"/>
          <w:numId w:val="223"/>
        </w:numPr>
        <w:tabs>
          <w:tab w:val="left" w:pos="9639"/>
        </w:tabs>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los anuncios </w:t>
      </w:r>
      <w:r w:rsidR="00F06BE5" w:rsidRPr="006D6A0D">
        <w:rPr>
          <w:rFonts w:ascii="Gotham" w:hAnsi="Gotham" w:cs="Arial"/>
          <w:sz w:val="19"/>
          <w:szCs w:val="19"/>
        </w:rPr>
        <w:t>semiestructúrales</w:t>
      </w:r>
      <w:r w:rsidRPr="006D6A0D">
        <w:rPr>
          <w:rFonts w:ascii="Gotham" w:hAnsi="Gotham" w:cs="Arial"/>
          <w:sz w:val="19"/>
          <w:szCs w:val="19"/>
        </w:rPr>
        <w:t xml:space="preserve"> tipo directorio en estaciones de servicio de combustibles, se podrá autorizar la colocación de un anuncio a base de luz led, a un costado del tipo de combustible que se comercializa para proyectar precios de los combustibles que ofrece, y no se autorizará su colocación en lugares que afecten la visibilidad o funcionamiento de señales viales de cualquier tipo; </w:t>
      </w:r>
    </w:p>
    <w:p w14:paraId="3A47503D" w14:textId="74D0B92A" w:rsidR="009B5E39" w:rsidRPr="006D6A0D" w:rsidRDefault="009B5E39" w:rsidP="009B5E39">
      <w:pPr>
        <w:pStyle w:val="Prrafodelista"/>
        <w:numPr>
          <w:ilvl w:val="0"/>
          <w:numId w:val="223"/>
        </w:numPr>
        <w:tabs>
          <w:tab w:val="left" w:pos="9639"/>
        </w:tabs>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Los anuncios </w:t>
      </w:r>
      <w:r w:rsidR="00F06BE5" w:rsidRPr="006D6A0D">
        <w:rPr>
          <w:rFonts w:ascii="Gotham" w:hAnsi="Gotham" w:cs="Arial"/>
          <w:sz w:val="19"/>
          <w:szCs w:val="19"/>
        </w:rPr>
        <w:t>semiestructúrales</w:t>
      </w:r>
      <w:r w:rsidRPr="006D6A0D">
        <w:rPr>
          <w:rFonts w:ascii="Gotham" w:hAnsi="Gotham" w:cs="Arial"/>
          <w:sz w:val="19"/>
          <w:szCs w:val="19"/>
        </w:rPr>
        <w:t xml:space="preserve"> podrán colocarse única y exclusivamente sobre vialidades de jerarquía subcolectora o de jerarquía mayor las cuales están establecidas en el Programa Municipal de Desarrollo Urbano y los Planes de Desarrollo Urbano de Centro de Población;</w:t>
      </w:r>
    </w:p>
    <w:p w14:paraId="3A47503E" w14:textId="77777777" w:rsidR="009B5E39" w:rsidRPr="006D6A0D" w:rsidRDefault="009B5E39" w:rsidP="009B5E39">
      <w:pPr>
        <w:pStyle w:val="Prrafodelista"/>
        <w:numPr>
          <w:ilvl w:val="0"/>
          <w:numId w:val="223"/>
        </w:numPr>
        <w:tabs>
          <w:tab w:val="left" w:pos="9639"/>
        </w:tabs>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Los demás establecidos por este reglamento u otros ordenamientos legales y reglamentarios aplicables a la materia. </w:t>
      </w:r>
    </w:p>
    <w:p w14:paraId="3A47503F" w14:textId="77777777" w:rsidR="009B5E39" w:rsidRPr="006D6A0D" w:rsidRDefault="009B5E39" w:rsidP="009B5E39">
      <w:pPr>
        <w:tabs>
          <w:tab w:val="left" w:pos="3976"/>
          <w:tab w:val="left" w:pos="9639"/>
        </w:tabs>
        <w:autoSpaceDE w:val="0"/>
        <w:autoSpaceDN w:val="0"/>
        <w:adjustRightInd w:val="0"/>
        <w:ind w:left="283" w:right="283"/>
        <w:jc w:val="both"/>
        <w:rPr>
          <w:rFonts w:ascii="Gotham" w:hAnsi="Gotham" w:cs="Arial"/>
          <w:sz w:val="19"/>
          <w:szCs w:val="19"/>
        </w:rPr>
      </w:pPr>
    </w:p>
    <w:p w14:paraId="3A475040" w14:textId="77777777" w:rsidR="009B5E39" w:rsidRPr="006D6A0D" w:rsidRDefault="009B5E39" w:rsidP="009B5E39">
      <w:pPr>
        <w:pStyle w:val="Default"/>
        <w:ind w:left="283" w:right="283"/>
        <w:jc w:val="both"/>
        <w:rPr>
          <w:rFonts w:ascii="Gotham" w:hAnsi="Gotham"/>
          <w:sz w:val="19"/>
          <w:szCs w:val="19"/>
        </w:rPr>
      </w:pPr>
      <w:r w:rsidRPr="006D6A0D">
        <w:rPr>
          <w:rFonts w:ascii="Gotham" w:hAnsi="Gotham"/>
          <w:sz w:val="19"/>
          <w:szCs w:val="19"/>
        </w:rPr>
        <w:lastRenderedPageBreak/>
        <w:t>Los anuncios semiestructurales solo podrán ser utilizados con fines denominativos o de directorio en espacios comerciales, y asociados a giros comerciales con licencia vigente. Por ningún motivo este tipo de anuncios podrá ser utilizado para comercializar publicidad.</w:t>
      </w:r>
    </w:p>
    <w:p w14:paraId="3A475041" w14:textId="77777777" w:rsidR="009B5E39" w:rsidRPr="006D6A0D" w:rsidRDefault="009B5E39" w:rsidP="009B5E39">
      <w:pPr>
        <w:pStyle w:val="Default"/>
        <w:ind w:left="283" w:right="283"/>
        <w:jc w:val="both"/>
        <w:rPr>
          <w:rFonts w:ascii="Gotham" w:hAnsi="Gotham"/>
          <w:sz w:val="19"/>
          <w:szCs w:val="19"/>
        </w:rPr>
      </w:pPr>
    </w:p>
    <w:p w14:paraId="3A475042" w14:textId="77777777" w:rsidR="009B5E39" w:rsidRDefault="009B5E39" w:rsidP="009B5E39">
      <w:pPr>
        <w:pStyle w:val="Default"/>
        <w:ind w:left="283" w:right="283"/>
        <w:jc w:val="both"/>
        <w:rPr>
          <w:rFonts w:ascii="Gotham" w:hAnsi="Gotham"/>
          <w:sz w:val="19"/>
          <w:szCs w:val="19"/>
        </w:rPr>
      </w:pPr>
      <w:r w:rsidRPr="006D6A0D">
        <w:rPr>
          <w:rFonts w:ascii="Gotham" w:hAnsi="Gotham"/>
          <w:b/>
          <w:bCs/>
          <w:sz w:val="19"/>
          <w:szCs w:val="19"/>
        </w:rPr>
        <w:t xml:space="preserve">Artículo 31°. </w:t>
      </w:r>
      <w:r w:rsidRPr="006D6A0D">
        <w:rPr>
          <w:rFonts w:ascii="Gotham" w:hAnsi="Gotham"/>
          <w:sz w:val="19"/>
          <w:szCs w:val="19"/>
        </w:rPr>
        <w:t xml:space="preserve">Los anuncios de toldo opaco o luminoso deben cubrir los siguientes requisitos: </w:t>
      </w:r>
    </w:p>
    <w:p w14:paraId="3A475043" w14:textId="77777777" w:rsidR="009B5E39" w:rsidRPr="006D6A0D" w:rsidRDefault="009B5E39" w:rsidP="009B5E39">
      <w:pPr>
        <w:pStyle w:val="Default"/>
        <w:ind w:left="283" w:right="283"/>
        <w:jc w:val="both"/>
        <w:rPr>
          <w:rFonts w:ascii="Gotham" w:hAnsi="Gotham"/>
          <w:sz w:val="19"/>
          <w:szCs w:val="19"/>
        </w:rPr>
      </w:pPr>
    </w:p>
    <w:p w14:paraId="3A475044" w14:textId="77777777" w:rsidR="009B5E39" w:rsidRPr="006D6A0D" w:rsidRDefault="009B5E39" w:rsidP="009B5E39">
      <w:pPr>
        <w:pStyle w:val="Default"/>
        <w:numPr>
          <w:ilvl w:val="1"/>
          <w:numId w:val="188"/>
        </w:numPr>
        <w:spacing w:after="120"/>
        <w:ind w:left="1134" w:right="283" w:hanging="851"/>
        <w:jc w:val="both"/>
        <w:rPr>
          <w:rFonts w:ascii="Gotham" w:hAnsi="Gotham"/>
          <w:sz w:val="19"/>
          <w:szCs w:val="19"/>
        </w:rPr>
      </w:pPr>
      <w:r w:rsidRPr="006D6A0D">
        <w:rPr>
          <w:rFonts w:ascii="Gotham" w:hAnsi="Gotham"/>
          <w:sz w:val="19"/>
          <w:szCs w:val="19"/>
        </w:rPr>
        <w:t xml:space="preserve">La proyección vertical del saliente máximo del anuncio en tipo toldo debe ser menor de 0.70 metros del límite de la propiedad o del paño del bien inmueble y menor a 0.50 metros del límite de la banqueta; </w:t>
      </w:r>
    </w:p>
    <w:p w14:paraId="3A475045" w14:textId="77777777" w:rsidR="009B5E39" w:rsidRPr="006D6A0D" w:rsidRDefault="009B5E39" w:rsidP="009B5E39">
      <w:pPr>
        <w:pStyle w:val="Default"/>
        <w:numPr>
          <w:ilvl w:val="1"/>
          <w:numId w:val="188"/>
        </w:numPr>
        <w:spacing w:after="120"/>
        <w:ind w:left="1134" w:right="283" w:hanging="851"/>
        <w:jc w:val="both"/>
        <w:rPr>
          <w:rFonts w:ascii="Gotham" w:hAnsi="Gotham"/>
          <w:sz w:val="19"/>
          <w:szCs w:val="19"/>
        </w:rPr>
      </w:pPr>
      <w:r w:rsidRPr="006D6A0D">
        <w:rPr>
          <w:rFonts w:ascii="Gotham" w:hAnsi="Gotham"/>
          <w:sz w:val="19"/>
          <w:szCs w:val="19"/>
        </w:rPr>
        <w:t xml:space="preserve">La altura mínima desde el nivel de banqueta debe de ser de 2.30 metros; </w:t>
      </w:r>
    </w:p>
    <w:p w14:paraId="3A475046" w14:textId="77777777" w:rsidR="009B5E39" w:rsidRPr="006D6A0D" w:rsidRDefault="009B5E39" w:rsidP="009B5E39">
      <w:pPr>
        <w:pStyle w:val="Default"/>
        <w:numPr>
          <w:ilvl w:val="1"/>
          <w:numId w:val="188"/>
        </w:numPr>
        <w:spacing w:after="120"/>
        <w:ind w:left="1134" w:right="283" w:hanging="851"/>
        <w:jc w:val="both"/>
        <w:rPr>
          <w:rFonts w:ascii="Gotham" w:hAnsi="Gotham"/>
          <w:sz w:val="19"/>
          <w:szCs w:val="19"/>
        </w:rPr>
      </w:pPr>
      <w:r w:rsidRPr="006D6A0D">
        <w:rPr>
          <w:rFonts w:ascii="Gotham" w:hAnsi="Gotham"/>
          <w:sz w:val="19"/>
          <w:szCs w:val="19"/>
        </w:rPr>
        <w:t xml:space="preserve">La altura de la letra será máxima de 0.20 metros y sólo se permite un renglón en la parte inferior del toldo; </w:t>
      </w:r>
    </w:p>
    <w:p w14:paraId="3A475047" w14:textId="77777777" w:rsidR="009B5E39" w:rsidRPr="006D6A0D" w:rsidRDefault="009B5E39" w:rsidP="009B5E39">
      <w:pPr>
        <w:pStyle w:val="Default"/>
        <w:numPr>
          <w:ilvl w:val="1"/>
          <w:numId w:val="188"/>
        </w:numPr>
        <w:spacing w:after="120"/>
        <w:ind w:left="1134" w:right="283" w:hanging="851"/>
        <w:jc w:val="both"/>
        <w:rPr>
          <w:rFonts w:ascii="Gotham" w:hAnsi="Gotham"/>
          <w:sz w:val="19"/>
          <w:szCs w:val="19"/>
        </w:rPr>
      </w:pPr>
      <w:r w:rsidRPr="006D6A0D">
        <w:rPr>
          <w:rFonts w:ascii="Gotham" w:hAnsi="Gotham"/>
          <w:sz w:val="19"/>
          <w:szCs w:val="19"/>
        </w:rPr>
        <w:t xml:space="preserve">La altura máxima del toldo será de 1.00 metro; </w:t>
      </w:r>
    </w:p>
    <w:p w14:paraId="3A475048" w14:textId="77777777" w:rsidR="009B5E39" w:rsidRPr="006D6A0D" w:rsidRDefault="009B5E39" w:rsidP="009B5E39">
      <w:pPr>
        <w:pStyle w:val="Default"/>
        <w:numPr>
          <w:ilvl w:val="1"/>
          <w:numId w:val="188"/>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No se permite la colocación de anuncios en los costados de los toldos; </w:t>
      </w:r>
    </w:p>
    <w:p w14:paraId="3A475049" w14:textId="77777777" w:rsidR="009B5E39" w:rsidRPr="006D6A0D" w:rsidRDefault="009B5E39" w:rsidP="009B5E39">
      <w:pPr>
        <w:pStyle w:val="Default"/>
        <w:numPr>
          <w:ilvl w:val="1"/>
          <w:numId w:val="188"/>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La superficie total del anuncio no excederá del 50% de la superficie total del toldo; </w:t>
      </w:r>
    </w:p>
    <w:p w14:paraId="3A47504A" w14:textId="77777777" w:rsidR="009B5E39" w:rsidRPr="006D6A0D" w:rsidRDefault="009B5E39" w:rsidP="009B5E39">
      <w:pPr>
        <w:pStyle w:val="Default"/>
        <w:numPr>
          <w:ilvl w:val="1"/>
          <w:numId w:val="188"/>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Este tipo de anuncio no podrá ser sujeto de comercialización; </w:t>
      </w:r>
    </w:p>
    <w:p w14:paraId="3A47504B" w14:textId="77777777" w:rsidR="009B5E39" w:rsidRPr="006D6A0D" w:rsidRDefault="009B5E39" w:rsidP="009B5E39">
      <w:pPr>
        <w:pStyle w:val="Default"/>
        <w:numPr>
          <w:ilvl w:val="1"/>
          <w:numId w:val="188"/>
        </w:numPr>
        <w:ind w:left="1134" w:right="283" w:hanging="851"/>
        <w:jc w:val="both"/>
        <w:rPr>
          <w:rFonts w:ascii="Gotham" w:hAnsi="Gotham"/>
          <w:color w:val="auto"/>
          <w:sz w:val="19"/>
          <w:szCs w:val="19"/>
        </w:rPr>
      </w:pPr>
      <w:r w:rsidRPr="006D6A0D">
        <w:rPr>
          <w:rFonts w:ascii="Gotham" w:hAnsi="Gotham"/>
          <w:color w:val="auto"/>
          <w:sz w:val="19"/>
          <w:szCs w:val="19"/>
        </w:rPr>
        <w:t xml:space="preserve">Los demás establecidos por este reglamento u otros ordenamientos legales y reglamentarios aplicables en la materia. </w:t>
      </w:r>
    </w:p>
    <w:p w14:paraId="3A47504C" w14:textId="77777777" w:rsidR="009B5E39" w:rsidRPr="006D6A0D" w:rsidRDefault="009B5E39" w:rsidP="009B5E39">
      <w:pPr>
        <w:pStyle w:val="Default"/>
        <w:ind w:left="283" w:right="283"/>
        <w:jc w:val="both"/>
        <w:rPr>
          <w:rFonts w:ascii="Gotham" w:hAnsi="Gotham"/>
          <w:color w:val="auto"/>
          <w:sz w:val="19"/>
          <w:szCs w:val="19"/>
        </w:rPr>
      </w:pPr>
    </w:p>
    <w:p w14:paraId="3A47504D" w14:textId="77777777" w:rsidR="009B5E39" w:rsidRDefault="009B5E39" w:rsidP="009B5E39">
      <w:pPr>
        <w:pStyle w:val="Default"/>
        <w:ind w:left="283" w:right="283"/>
        <w:jc w:val="both"/>
        <w:rPr>
          <w:rFonts w:ascii="Gotham" w:hAnsi="Gotham"/>
          <w:color w:val="auto"/>
          <w:sz w:val="19"/>
          <w:szCs w:val="19"/>
        </w:rPr>
      </w:pPr>
      <w:r w:rsidRPr="006D6A0D">
        <w:rPr>
          <w:rFonts w:ascii="Gotham" w:hAnsi="Gotham"/>
          <w:b/>
          <w:bCs/>
          <w:sz w:val="19"/>
          <w:szCs w:val="19"/>
        </w:rPr>
        <w:t xml:space="preserve">Artículo 32°. </w:t>
      </w:r>
      <w:r w:rsidRPr="006D6A0D">
        <w:rPr>
          <w:rFonts w:ascii="Gotham" w:hAnsi="Gotham"/>
          <w:color w:val="auto"/>
          <w:sz w:val="19"/>
          <w:szCs w:val="19"/>
        </w:rPr>
        <w:t xml:space="preserve">Los anuncios de gabinete corrido, los de letras individuales y bastidores, opacos o luminosos, deben llenar los siguientes requisitos: </w:t>
      </w:r>
    </w:p>
    <w:p w14:paraId="3A47504E" w14:textId="77777777" w:rsidR="009B5E39" w:rsidRPr="006D6A0D" w:rsidRDefault="009B5E39" w:rsidP="009B5E39">
      <w:pPr>
        <w:pStyle w:val="Default"/>
        <w:ind w:left="283" w:right="283"/>
        <w:jc w:val="both"/>
        <w:rPr>
          <w:rFonts w:ascii="Gotham" w:hAnsi="Gotham"/>
          <w:color w:val="auto"/>
          <w:sz w:val="19"/>
          <w:szCs w:val="19"/>
        </w:rPr>
      </w:pPr>
    </w:p>
    <w:p w14:paraId="3A47504F" w14:textId="77777777" w:rsidR="009B5E39" w:rsidRPr="006D6A0D" w:rsidRDefault="009B5E39" w:rsidP="009B5E39">
      <w:pPr>
        <w:pStyle w:val="Default"/>
        <w:numPr>
          <w:ilvl w:val="1"/>
          <w:numId w:val="184"/>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La proyección vertical del saliente máximo del anuncio debe ser menor de 0.20 metros del límite de la propiedad o del paño del bien inmueble y menor de 0.50 metros del límite de banqueta; </w:t>
      </w:r>
    </w:p>
    <w:p w14:paraId="3A475050" w14:textId="77777777" w:rsidR="009B5E39" w:rsidRPr="006D6A0D" w:rsidRDefault="009B5E39" w:rsidP="009B5E39">
      <w:pPr>
        <w:pStyle w:val="Default"/>
        <w:numPr>
          <w:ilvl w:val="1"/>
          <w:numId w:val="184"/>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Se debe ubicar en forma paralela al límite de la propiedad o paño del bien inmueble; </w:t>
      </w:r>
    </w:p>
    <w:p w14:paraId="3A475051" w14:textId="77777777" w:rsidR="009B5E39" w:rsidRPr="006D6A0D" w:rsidRDefault="009B5E39" w:rsidP="009B5E39">
      <w:pPr>
        <w:pStyle w:val="Default"/>
        <w:numPr>
          <w:ilvl w:val="1"/>
          <w:numId w:val="184"/>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La altura mínima, desde el nivel de la banqueta al lecho bajo el anuncio, debe ser de 2.30 metros; </w:t>
      </w:r>
    </w:p>
    <w:p w14:paraId="3A475052" w14:textId="77777777" w:rsidR="009B5E39" w:rsidRPr="006D6A0D" w:rsidRDefault="009B5E39" w:rsidP="009B5E39">
      <w:pPr>
        <w:pStyle w:val="Default"/>
        <w:numPr>
          <w:ilvl w:val="1"/>
          <w:numId w:val="184"/>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La superficie del anuncio no debe exceder del veinte por ciento de la superficie total de la fachada donde se ubique. No se aplica en los casos de régimen condominal vertical en los cuales sólo se toma en cuenta la superficie de la fachada de su local; </w:t>
      </w:r>
    </w:p>
    <w:p w14:paraId="3A475053" w14:textId="77777777" w:rsidR="009B5E39" w:rsidRPr="006D6A0D" w:rsidRDefault="009B5E39" w:rsidP="009B5E39">
      <w:pPr>
        <w:pStyle w:val="Default"/>
        <w:numPr>
          <w:ilvl w:val="1"/>
          <w:numId w:val="184"/>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En el caso de anuncios de letras individuales, la superficie del anuncio no debe exceder del veinte por ciento de la superficie total de la fachada donde se ubique, calculándose esta área por medio del perímetro del anuncio; </w:t>
      </w:r>
    </w:p>
    <w:p w14:paraId="3A475054" w14:textId="77777777" w:rsidR="009B5E39" w:rsidRPr="006D6A0D" w:rsidRDefault="009B5E39" w:rsidP="009B5E39">
      <w:pPr>
        <w:pStyle w:val="Default"/>
        <w:numPr>
          <w:ilvl w:val="1"/>
          <w:numId w:val="184"/>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Se prohíbe la colocación en las fachadas laterales de los bienes inmuebles sin frente a la vía pública colindantes a predios vecinos; </w:t>
      </w:r>
    </w:p>
    <w:p w14:paraId="3A475055" w14:textId="77777777" w:rsidR="009B5E39" w:rsidRPr="006D6A0D" w:rsidRDefault="009B5E39" w:rsidP="009B5E39">
      <w:pPr>
        <w:pStyle w:val="Default"/>
        <w:numPr>
          <w:ilvl w:val="1"/>
          <w:numId w:val="184"/>
        </w:numPr>
        <w:spacing w:after="120"/>
        <w:ind w:left="1134" w:right="283" w:hanging="851"/>
        <w:jc w:val="both"/>
        <w:rPr>
          <w:rFonts w:ascii="Gotham" w:hAnsi="Gotham"/>
          <w:color w:val="auto"/>
          <w:sz w:val="19"/>
          <w:szCs w:val="19"/>
        </w:rPr>
      </w:pPr>
      <w:r w:rsidRPr="006D6A0D">
        <w:rPr>
          <w:rFonts w:ascii="Gotham" w:hAnsi="Gotham"/>
          <w:color w:val="auto"/>
          <w:sz w:val="19"/>
          <w:szCs w:val="19"/>
        </w:rPr>
        <w:t xml:space="preserve">Este tipo de anuncio no podrá ser sujeto de comercialización; y </w:t>
      </w:r>
    </w:p>
    <w:p w14:paraId="3A475056" w14:textId="77777777" w:rsidR="009B5E39" w:rsidRPr="006D6A0D" w:rsidRDefault="009B5E39" w:rsidP="009B5E39">
      <w:pPr>
        <w:pStyle w:val="Default"/>
        <w:numPr>
          <w:ilvl w:val="1"/>
          <w:numId w:val="184"/>
        </w:numPr>
        <w:ind w:left="1134" w:right="283" w:hanging="851"/>
        <w:jc w:val="both"/>
        <w:rPr>
          <w:rFonts w:ascii="Gotham" w:hAnsi="Gotham"/>
          <w:color w:val="auto"/>
          <w:sz w:val="19"/>
          <w:szCs w:val="19"/>
        </w:rPr>
      </w:pPr>
      <w:r w:rsidRPr="006D6A0D">
        <w:rPr>
          <w:rFonts w:ascii="Gotham" w:hAnsi="Gotham"/>
          <w:color w:val="auto"/>
          <w:sz w:val="19"/>
          <w:szCs w:val="19"/>
        </w:rPr>
        <w:t>Los demás establecidos por este reglamento u otros ordenamientos aplicables en la materia.</w:t>
      </w:r>
    </w:p>
    <w:p w14:paraId="3A475057" w14:textId="77777777" w:rsidR="009B5E39" w:rsidRPr="006D6A0D" w:rsidRDefault="009B5E39" w:rsidP="009B5E39">
      <w:pPr>
        <w:pStyle w:val="Default"/>
        <w:ind w:left="283" w:right="283"/>
        <w:jc w:val="both"/>
        <w:rPr>
          <w:rFonts w:ascii="Gotham" w:hAnsi="Gotham"/>
          <w:color w:val="auto"/>
          <w:sz w:val="19"/>
          <w:szCs w:val="19"/>
        </w:rPr>
      </w:pPr>
    </w:p>
    <w:p w14:paraId="3A475058"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33°. </w:t>
      </w:r>
      <w:r w:rsidRPr="006D6A0D">
        <w:rPr>
          <w:rFonts w:ascii="Gotham" w:hAnsi="Gotham" w:cs="Arial"/>
          <w:color w:val="000000"/>
          <w:sz w:val="19"/>
          <w:szCs w:val="19"/>
        </w:rPr>
        <w:t xml:space="preserve">Los anuncios de voladizo perpendiculares al muro, opacos o luminosos, sólo se permite su instalación en inmuebles con servidumbre y deben cubrir los siguientes requisitos: </w:t>
      </w:r>
    </w:p>
    <w:p w14:paraId="3A475059"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5A" w14:textId="77777777" w:rsidR="009B5E39" w:rsidRPr="006D6A0D" w:rsidRDefault="009B5E39" w:rsidP="009B5E39">
      <w:pPr>
        <w:pStyle w:val="Prrafodelista"/>
        <w:numPr>
          <w:ilvl w:val="1"/>
          <w:numId w:val="19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proyección vertical del saliente máximo de este tipo de anuncio sobre la vía pública o servidumbre debe ser como máximo de 1.00 metros del límite de la propiedad o paño principal del edificio y siempre menor a 0.50 metros del límite de la banqueta y debe instalarse con una distancia de por lo menos 3 metros de separación de cualquier línea eléctrica o de infraestructura; </w:t>
      </w:r>
    </w:p>
    <w:p w14:paraId="3A47505B" w14:textId="77777777" w:rsidR="009B5E39" w:rsidRPr="006D6A0D" w:rsidRDefault="009B5E39" w:rsidP="009B5E39">
      <w:pPr>
        <w:pStyle w:val="Prrafodelista"/>
        <w:numPr>
          <w:ilvl w:val="1"/>
          <w:numId w:val="19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lastRenderedPageBreak/>
        <w:t xml:space="preserve">Se coloca en forma perpendicular al límite de la propiedad o paño del bien inmueble donde se ubiquen; </w:t>
      </w:r>
    </w:p>
    <w:p w14:paraId="3A47505C" w14:textId="77777777" w:rsidR="009B5E39" w:rsidRPr="006D6A0D" w:rsidRDefault="009B5E39" w:rsidP="009B5E39">
      <w:pPr>
        <w:pStyle w:val="Prrafodelista"/>
        <w:numPr>
          <w:ilvl w:val="1"/>
          <w:numId w:val="19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altura mínima desde el nivel de la banqueta a la parte baja del anuncio deberá ser de 2.50 metros; </w:t>
      </w:r>
    </w:p>
    <w:p w14:paraId="3A47505D" w14:textId="77777777" w:rsidR="009B5E39" w:rsidRPr="006D6A0D" w:rsidRDefault="009B5E39" w:rsidP="009B5E39">
      <w:pPr>
        <w:pStyle w:val="Prrafodelista"/>
        <w:numPr>
          <w:ilvl w:val="1"/>
          <w:numId w:val="19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El perfil del anuncio no debe separarse más de 0.15 metros del paño vertical del bien inmueble; </w:t>
      </w:r>
    </w:p>
    <w:p w14:paraId="3A47505E" w14:textId="77777777" w:rsidR="009B5E39" w:rsidRPr="006D6A0D" w:rsidRDefault="009B5E39" w:rsidP="009B5E39">
      <w:pPr>
        <w:pStyle w:val="Prrafodelista"/>
        <w:numPr>
          <w:ilvl w:val="1"/>
          <w:numId w:val="19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Sólo se permite un anuncio de este tipo por bien inmueble; </w:t>
      </w:r>
    </w:p>
    <w:p w14:paraId="3A47505F" w14:textId="77777777" w:rsidR="009B5E39" w:rsidRPr="006D6A0D" w:rsidRDefault="009B5E39" w:rsidP="009B5E39">
      <w:pPr>
        <w:pStyle w:val="Prrafodelista"/>
        <w:numPr>
          <w:ilvl w:val="1"/>
          <w:numId w:val="19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superficie total del anuncio no debe ser mayor de 1.20 metros cuadrados con un máximo de dos caras; </w:t>
      </w:r>
    </w:p>
    <w:p w14:paraId="3A475060" w14:textId="77777777" w:rsidR="009B5E39" w:rsidRPr="006D6A0D" w:rsidRDefault="009B5E39" w:rsidP="009B5E39">
      <w:pPr>
        <w:pStyle w:val="Prrafodelista"/>
        <w:numPr>
          <w:ilvl w:val="1"/>
          <w:numId w:val="19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El espesor máximo del gabinete será de 0.30 metros; </w:t>
      </w:r>
    </w:p>
    <w:p w14:paraId="3A475061" w14:textId="77777777" w:rsidR="009B5E39" w:rsidRPr="006D6A0D" w:rsidRDefault="009B5E39" w:rsidP="009B5E39">
      <w:pPr>
        <w:pStyle w:val="Prrafodelista"/>
        <w:numPr>
          <w:ilvl w:val="1"/>
          <w:numId w:val="19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Este tipo de anuncio no podrá ser sujeto de comercialización; y </w:t>
      </w:r>
    </w:p>
    <w:p w14:paraId="3A475062" w14:textId="77777777" w:rsidR="009B5E39" w:rsidRPr="006D6A0D" w:rsidRDefault="009B5E39" w:rsidP="009B5E39">
      <w:pPr>
        <w:pStyle w:val="Prrafodelista"/>
        <w:numPr>
          <w:ilvl w:val="1"/>
          <w:numId w:val="190"/>
        </w:numPr>
        <w:autoSpaceDE w:val="0"/>
        <w:autoSpaceDN w:val="0"/>
        <w:adjustRightInd w:val="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Los demás establecidos por este reglamento u otros ordenamientos legales y reglamentarios aplicables en la materia. </w:t>
      </w:r>
    </w:p>
    <w:p w14:paraId="3A475063"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64"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34°. </w:t>
      </w:r>
      <w:r w:rsidRPr="006D6A0D">
        <w:rPr>
          <w:rFonts w:ascii="Gotham" w:hAnsi="Gotham" w:cs="Arial"/>
          <w:color w:val="000000"/>
          <w:sz w:val="19"/>
          <w:szCs w:val="19"/>
        </w:rPr>
        <w:t xml:space="preserve">Los anuncios rotulados deben cubrir los siguientes requisitos: </w:t>
      </w:r>
    </w:p>
    <w:p w14:paraId="3A475065"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66" w14:textId="77777777" w:rsidR="009B5E39" w:rsidRPr="006D6A0D" w:rsidRDefault="009B5E39" w:rsidP="009B5E39">
      <w:pPr>
        <w:pStyle w:val="Prrafodelista"/>
        <w:numPr>
          <w:ilvl w:val="1"/>
          <w:numId w:val="18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color w:val="000000"/>
          <w:sz w:val="19"/>
          <w:szCs w:val="19"/>
        </w:rPr>
        <w:t xml:space="preserve">La superficie total del anuncio no debe exceder del veinte por ciento de la superficie de la fachada donde se ubique, incluyendo los vanos del bien inmueble, en el caso de régimen condominal vertical sólo se puede rotular el veinte por ciento de la superficie de la fachada de su local. Tratándose de inmuebles con más de un nivel, se entiende que el veinte por ciento de la superficie donde se coloque el anuncio, debe ser únicamente sobre la fachada de la planta baja del mismo, sin que se permitan en los niveles superiores; </w:t>
      </w:r>
    </w:p>
    <w:p w14:paraId="3A475067" w14:textId="77777777" w:rsidR="009B5E39" w:rsidRPr="006D6A0D" w:rsidRDefault="009B5E39" w:rsidP="009B5E39">
      <w:pPr>
        <w:pStyle w:val="Prrafodelista"/>
        <w:numPr>
          <w:ilvl w:val="1"/>
          <w:numId w:val="18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Sólo se permitirá rotular la razón o denominación social del establecimiento comercial o de servicio y su actividad principal como consta en el registro de giro correspondiente y debe estar contenido en un solo elemento rotulado; </w:t>
      </w:r>
    </w:p>
    <w:p w14:paraId="3A475068" w14:textId="77777777" w:rsidR="009B5E39" w:rsidRPr="006D6A0D" w:rsidRDefault="009B5E39" w:rsidP="009B5E39">
      <w:pPr>
        <w:pStyle w:val="Prrafodelista"/>
        <w:numPr>
          <w:ilvl w:val="1"/>
          <w:numId w:val="18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altura mínima desde el nivel de la banqueta debe ser de 2.30 metros; </w:t>
      </w:r>
    </w:p>
    <w:p w14:paraId="3A475069" w14:textId="77777777" w:rsidR="009B5E39" w:rsidRPr="006D6A0D" w:rsidRDefault="009B5E39" w:rsidP="009B5E39">
      <w:pPr>
        <w:pStyle w:val="Prrafodelista"/>
        <w:numPr>
          <w:ilvl w:val="1"/>
          <w:numId w:val="18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cortinas metálicas sólo se permite rotular la razón social del establecimiento con una superficie máxima de 0.60 metros cuadrados, rotulado a partir del centro de la cortina y en caso de dimensiones mayores, se deberán sujetar a los lineamientos establecidos para anuncios rotulados; </w:t>
      </w:r>
    </w:p>
    <w:p w14:paraId="3A47506A" w14:textId="77777777" w:rsidR="009B5E39" w:rsidRPr="006D6A0D" w:rsidRDefault="009B5E39" w:rsidP="009B5E39">
      <w:pPr>
        <w:pStyle w:val="Prrafodelista"/>
        <w:numPr>
          <w:ilvl w:val="1"/>
          <w:numId w:val="18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No se permiten en muros laterales o muros que no colinden con la vía pública; </w:t>
      </w:r>
    </w:p>
    <w:p w14:paraId="3A47506B" w14:textId="77777777" w:rsidR="009B5E39" w:rsidRPr="006D6A0D" w:rsidRDefault="009B5E39" w:rsidP="009B5E39">
      <w:pPr>
        <w:pStyle w:val="Prrafodelista"/>
        <w:numPr>
          <w:ilvl w:val="1"/>
          <w:numId w:val="18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No se autorizarán anuncios rotulados en bardas perimetrales de predios baldíos; </w:t>
      </w:r>
    </w:p>
    <w:p w14:paraId="3A47506C" w14:textId="77777777" w:rsidR="009B5E39" w:rsidRPr="006D6A0D" w:rsidRDefault="009B5E39" w:rsidP="009B5E39">
      <w:pPr>
        <w:pStyle w:val="Prrafodelista"/>
        <w:numPr>
          <w:ilvl w:val="1"/>
          <w:numId w:val="189"/>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Los demás establecidos por este reglamento u otros ordenamientos legales y reglamentarios aplicables en la materia. </w:t>
      </w:r>
    </w:p>
    <w:p w14:paraId="3A47506D"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6E" w14:textId="77777777" w:rsidR="009B5E39" w:rsidRDefault="009B5E39" w:rsidP="009B5E39">
      <w:pPr>
        <w:autoSpaceDE w:val="0"/>
        <w:autoSpaceDN w:val="0"/>
        <w:adjustRightInd w:val="0"/>
        <w:ind w:left="283" w:right="283"/>
        <w:jc w:val="both"/>
        <w:rPr>
          <w:rFonts w:ascii="Gotham" w:hAnsi="Gotham" w:cs="Arial"/>
          <w:color w:val="000000"/>
          <w:sz w:val="19"/>
          <w:szCs w:val="19"/>
        </w:rPr>
      </w:pPr>
      <w:bookmarkStart w:id="21" w:name="_Hlk129166115"/>
      <w:r w:rsidRPr="006D6A0D">
        <w:rPr>
          <w:rFonts w:ascii="Gotham" w:hAnsi="Gotham" w:cs="Arial"/>
          <w:b/>
          <w:bCs/>
          <w:sz w:val="19"/>
          <w:szCs w:val="19"/>
        </w:rPr>
        <w:t xml:space="preserve">Artículo 35°. </w:t>
      </w:r>
      <w:bookmarkEnd w:id="21"/>
      <w:r w:rsidRPr="006D6A0D">
        <w:rPr>
          <w:rFonts w:ascii="Gotham" w:hAnsi="Gotham" w:cs="Arial"/>
          <w:color w:val="000000"/>
          <w:sz w:val="19"/>
          <w:szCs w:val="19"/>
        </w:rPr>
        <w:t xml:space="preserve">Los anuncios de tijera deben llenar los siguientes requisitos, además de los aplicables en forma general por este reglamento: </w:t>
      </w:r>
    </w:p>
    <w:p w14:paraId="3A47506F"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70" w14:textId="77777777" w:rsidR="009B5E39" w:rsidRPr="006D6A0D" w:rsidRDefault="009B5E39" w:rsidP="009B5E39">
      <w:pPr>
        <w:pStyle w:val="Prrafodelista"/>
        <w:numPr>
          <w:ilvl w:val="1"/>
          <w:numId w:val="192"/>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superficie total del anuncio no debe exceder de 0.50 metros cuadrados por cara; </w:t>
      </w:r>
    </w:p>
    <w:p w14:paraId="3A475071" w14:textId="77777777" w:rsidR="009B5E39" w:rsidRPr="006D6A0D" w:rsidRDefault="009B5E39" w:rsidP="009B5E39">
      <w:pPr>
        <w:pStyle w:val="Prrafodelista"/>
        <w:numPr>
          <w:ilvl w:val="1"/>
          <w:numId w:val="192"/>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No pueden colocarse en la vía pública y espacios públicos; solo en propiedad privada; </w:t>
      </w:r>
    </w:p>
    <w:p w14:paraId="3A475072" w14:textId="77777777" w:rsidR="009B5E39" w:rsidRPr="006D6A0D" w:rsidRDefault="009B5E39" w:rsidP="009B5E39">
      <w:pPr>
        <w:pStyle w:val="Prrafodelista"/>
        <w:numPr>
          <w:ilvl w:val="1"/>
          <w:numId w:val="192"/>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altura máxima desde el nivel de piso debe ser de 1.00 metros; </w:t>
      </w:r>
    </w:p>
    <w:p w14:paraId="3A475073" w14:textId="77777777" w:rsidR="009B5E39" w:rsidRPr="006D6A0D" w:rsidRDefault="009B5E39" w:rsidP="009B5E39">
      <w:pPr>
        <w:pStyle w:val="Prrafodelista"/>
        <w:numPr>
          <w:ilvl w:val="1"/>
          <w:numId w:val="192"/>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Este tipo de anuncio no podrá ser sujeto de comercialización; y </w:t>
      </w:r>
    </w:p>
    <w:p w14:paraId="3A475074" w14:textId="77777777" w:rsidR="009B5E39" w:rsidRPr="006D6A0D" w:rsidRDefault="009B5E39" w:rsidP="009B5E39">
      <w:pPr>
        <w:pStyle w:val="Prrafodelista"/>
        <w:numPr>
          <w:ilvl w:val="1"/>
          <w:numId w:val="192"/>
        </w:numPr>
        <w:autoSpaceDE w:val="0"/>
        <w:autoSpaceDN w:val="0"/>
        <w:adjustRightInd w:val="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En las zonas</w:t>
      </w:r>
      <w:r w:rsidRPr="006D6A0D">
        <w:rPr>
          <w:rFonts w:ascii="Gotham" w:hAnsi="Gotham" w:cs="Arial"/>
          <w:color w:val="000000" w:themeColor="text1"/>
          <w:sz w:val="19"/>
          <w:szCs w:val="19"/>
        </w:rPr>
        <w:t xml:space="preserve"> de Conservación, Protección y Preservación del Patrimonio Cultural Urbano</w:t>
      </w:r>
      <w:r w:rsidRPr="006D6A0D">
        <w:rPr>
          <w:rFonts w:ascii="Gotham" w:hAnsi="Gotham" w:cs="Arial"/>
          <w:b/>
          <w:bCs/>
          <w:color w:val="000000"/>
          <w:sz w:val="19"/>
          <w:szCs w:val="19"/>
        </w:rPr>
        <w:t xml:space="preserve">, </w:t>
      </w:r>
      <w:r w:rsidRPr="006D6A0D">
        <w:rPr>
          <w:rFonts w:ascii="Gotham" w:hAnsi="Gotham" w:cs="Arial"/>
          <w:color w:val="000000"/>
          <w:sz w:val="19"/>
          <w:szCs w:val="19"/>
        </w:rPr>
        <w:t>se permite su colocación, siempre y cuando se instalen 0.60 metros hacia el interior del establecimiento.</w:t>
      </w:r>
    </w:p>
    <w:p w14:paraId="3A47507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76" w14:textId="77777777" w:rsidR="009B5E39" w:rsidRDefault="009B5E39" w:rsidP="009B5E39">
      <w:pPr>
        <w:autoSpaceDE w:val="0"/>
        <w:autoSpaceDN w:val="0"/>
        <w:adjustRightInd w:val="0"/>
        <w:ind w:left="283" w:right="283"/>
        <w:jc w:val="both"/>
        <w:rPr>
          <w:rFonts w:ascii="Gotham" w:hAnsi="Gotham" w:cs="Arial"/>
          <w:color w:val="000000"/>
          <w:sz w:val="19"/>
          <w:szCs w:val="19"/>
        </w:rPr>
      </w:pPr>
      <w:bookmarkStart w:id="22" w:name="_Hlk129166464"/>
      <w:r w:rsidRPr="006D6A0D">
        <w:rPr>
          <w:rFonts w:ascii="Gotham" w:hAnsi="Gotham" w:cs="Arial"/>
          <w:b/>
          <w:bCs/>
          <w:sz w:val="19"/>
          <w:szCs w:val="19"/>
        </w:rPr>
        <w:t xml:space="preserve">Artículo 36°. </w:t>
      </w:r>
      <w:bookmarkEnd w:id="22"/>
      <w:r w:rsidRPr="006D6A0D">
        <w:rPr>
          <w:rFonts w:ascii="Gotham" w:hAnsi="Gotham" w:cs="Arial"/>
          <w:color w:val="000000"/>
          <w:sz w:val="19"/>
          <w:szCs w:val="19"/>
        </w:rPr>
        <w:t xml:space="preserve">Los anuncios colgantes como mantas, mallas, lonas y otros materiales ligeros, se consideran eventuales y deben llenar los siguientes requisitos, además de los aplicables en forma general por este reglamento: </w:t>
      </w:r>
    </w:p>
    <w:p w14:paraId="3A475077"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78"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Sólo pueden permanecer treinta días como máximo; </w:t>
      </w:r>
    </w:p>
    <w:p w14:paraId="3A475079"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El máximo permisible para este tipo de anuncios será de una superficie máxima de 5.00 metros cuadrados, sin que pueda exceder del veinte por ciento del tamaño de la fachada correspondiente a la planta baja del predio que se trate; </w:t>
      </w:r>
    </w:p>
    <w:p w14:paraId="3A47507A"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Su colocación podrá ser en forma horizontal o vertical; </w:t>
      </w:r>
    </w:p>
    <w:p w14:paraId="3A47507B"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ningún caso se permite su colocación en forma perpendicular sobre la vía pública o servidumbre y espacios públicos; </w:t>
      </w:r>
    </w:p>
    <w:p w14:paraId="3A47507C"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No se otorgan permisos para instalar anuncios en cualquier elemento que forme parte del mobiliario urbano, como son arbotantes, postes, bancas, árboles, basureros, botes de basura y similares, excepto los casos en que expresamente autoriza este reglamento; </w:t>
      </w:r>
    </w:p>
    <w:p w14:paraId="3A47507D"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todo caso es responsabilidad del propietario del anuncio el mantenimiento del mismo y retirarlo llegado el plazo por el que se autorizó su colocación; </w:t>
      </w:r>
    </w:p>
    <w:p w14:paraId="3A47507E"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Para su colocación dentro de las zonas y polígonos de protección del patrimonio edificado especificados dentro del Anexo 1 del presente Reglamento, deberá obtener el dictamen emitido por Dirección General de Planeación y Desarrollo Urbano Sustentable y la superficie máxima permitida será de 5.00 metros cuadrados; </w:t>
      </w:r>
    </w:p>
    <w:p w14:paraId="3A47507F"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Sólo se puede colocar un anuncio de este tipo por predio; </w:t>
      </w:r>
    </w:p>
    <w:p w14:paraId="3A475080" w14:textId="77777777" w:rsidR="009B5E39" w:rsidRPr="006D6A0D" w:rsidRDefault="009B5E39" w:rsidP="009B5E39">
      <w:pPr>
        <w:pStyle w:val="Prrafodelista"/>
        <w:numPr>
          <w:ilvl w:val="1"/>
          <w:numId w:val="19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Este tipo de anuncio no podrá ser sujeto de comercialización; y </w:t>
      </w:r>
    </w:p>
    <w:p w14:paraId="3A475081" w14:textId="77777777" w:rsidR="009B5E39" w:rsidRPr="006D6A0D" w:rsidRDefault="009B5E39" w:rsidP="009B5E39">
      <w:pPr>
        <w:pStyle w:val="Prrafodelista"/>
        <w:numPr>
          <w:ilvl w:val="1"/>
          <w:numId w:val="193"/>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No se permitirán en las edificaciones de uso habitacional, así como en las áreas comunes de las mismas, aun cuando se cuente con el consentimiento del titular o poseedor del inmueble o de la mayoría de los titulares tratándose de régimen condominal.</w:t>
      </w:r>
    </w:p>
    <w:p w14:paraId="3A475082"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 </w:t>
      </w:r>
    </w:p>
    <w:p w14:paraId="3A475083"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37°. </w:t>
      </w:r>
      <w:r w:rsidRPr="006D6A0D">
        <w:rPr>
          <w:rFonts w:ascii="Gotham" w:hAnsi="Gotham" w:cs="Arial"/>
          <w:sz w:val="19"/>
          <w:szCs w:val="19"/>
        </w:rPr>
        <w:t xml:space="preserve">Los anuncios engomados de cartel deben cubrir los siguientes requisitos: </w:t>
      </w:r>
    </w:p>
    <w:p w14:paraId="3A475084"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85" w14:textId="77777777" w:rsidR="009B5E39" w:rsidRPr="006D6A0D" w:rsidRDefault="009B5E39" w:rsidP="00190E4A">
      <w:pPr>
        <w:pStyle w:val="Prrafodelista"/>
        <w:numPr>
          <w:ilvl w:val="1"/>
          <w:numId w:val="19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Los engomados que se coloquen no deben exceder del veinticinco por ciento de la superficie de la fachada donde se ubiquen, incluyendo los vanos del bien inmueble; en el caso de régimen condominal vertical sólo se puede rotular el veinticinco por ciento de la superficie de la fachada de su local; </w:t>
      </w:r>
    </w:p>
    <w:p w14:paraId="3A475086" w14:textId="77777777" w:rsidR="009B5E39" w:rsidRPr="006D6A0D" w:rsidRDefault="009B5E39" w:rsidP="00190E4A">
      <w:pPr>
        <w:pStyle w:val="Prrafodelista"/>
        <w:numPr>
          <w:ilvl w:val="1"/>
          <w:numId w:val="194"/>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Tratándose de inmuebles con más de un nivel, se entiende que el veinticinco por ciento de la superficie donde se coloquen los anuncios, debe ser únicamente sobre la fachada de la planta baja del mismo, sin que se permitan en los niveles superiores. </w:t>
      </w:r>
    </w:p>
    <w:p w14:paraId="3A475087"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88"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38°. </w:t>
      </w:r>
      <w:r w:rsidRPr="006D6A0D">
        <w:rPr>
          <w:rFonts w:ascii="Gotham" w:hAnsi="Gotham" w:cs="Arial"/>
          <w:bCs/>
          <w:sz w:val="19"/>
          <w:szCs w:val="19"/>
        </w:rPr>
        <w:t xml:space="preserve">Los anuncios tipo pendón están prohibidos en todo el municipio de </w:t>
      </w:r>
      <w:r w:rsidRPr="006D6A0D">
        <w:rPr>
          <w:rFonts w:ascii="Gotham" w:hAnsi="Gotham" w:cs="Arial"/>
          <w:sz w:val="19"/>
          <w:szCs w:val="19"/>
        </w:rPr>
        <w:t>Tonalá, Jalisco.</w:t>
      </w:r>
    </w:p>
    <w:p w14:paraId="3A475089"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8A"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39°. </w:t>
      </w:r>
      <w:r w:rsidRPr="006D6A0D">
        <w:rPr>
          <w:rFonts w:ascii="Gotham" w:hAnsi="Gotham" w:cs="Arial"/>
          <w:color w:val="000000"/>
          <w:sz w:val="19"/>
          <w:szCs w:val="19"/>
        </w:rPr>
        <w:t xml:space="preserve">Los anuncios temporales del tipo </w:t>
      </w:r>
      <w:r w:rsidRPr="006D6A0D">
        <w:rPr>
          <w:rFonts w:ascii="Gotham" w:hAnsi="Gotham" w:cs="Arial"/>
          <w:bCs/>
          <w:color w:val="000000"/>
          <w:sz w:val="19"/>
          <w:szCs w:val="19"/>
        </w:rPr>
        <w:t>valla o tapiales</w:t>
      </w:r>
      <w:r w:rsidRPr="006D6A0D">
        <w:rPr>
          <w:rFonts w:ascii="Gotham" w:hAnsi="Gotham" w:cs="Arial"/>
          <w:color w:val="000000"/>
          <w:sz w:val="19"/>
          <w:szCs w:val="19"/>
        </w:rPr>
        <w:t xml:space="preserve">, todos ellos en construcciones en proceso, deben cubrir los siguientes requisitos: </w:t>
      </w:r>
    </w:p>
    <w:p w14:paraId="3A47508B"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8C" w14:textId="77777777" w:rsidR="009B5E39" w:rsidRPr="006D6A0D" w:rsidRDefault="009B5E39" w:rsidP="009B5E39">
      <w:pPr>
        <w:pStyle w:val="Prrafodelista"/>
        <w:numPr>
          <w:ilvl w:val="1"/>
          <w:numId w:val="19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color w:val="000000"/>
          <w:sz w:val="19"/>
          <w:szCs w:val="19"/>
        </w:rPr>
        <w:t xml:space="preserve">La proyección vertical del saliente máximo del anuncio no debe ser mayor a 0.05 metros del límite de propiedad incluyendo todos los elementos de la estructura y en la parte superior </w:t>
      </w:r>
      <w:r w:rsidRPr="006D6A0D">
        <w:rPr>
          <w:rFonts w:ascii="Gotham" w:hAnsi="Gotham" w:cs="Arial"/>
          <w:sz w:val="19"/>
          <w:szCs w:val="19"/>
        </w:rPr>
        <w:t xml:space="preserve">de la misma se permite hasta 0.30 metros para instalar en forma oculta las luminarias del anuncio; </w:t>
      </w:r>
    </w:p>
    <w:p w14:paraId="3A47508D" w14:textId="77777777" w:rsidR="009B5E39" w:rsidRPr="006D6A0D" w:rsidRDefault="009B5E39" w:rsidP="009B5E39">
      <w:pPr>
        <w:pStyle w:val="Prrafodelista"/>
        <w:numPr>
          <w:ilvl w:val="1"/>
          <w:numId w:val="19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Se ubican en forma adosada o paralela al límite de la propiedad; </w:t>
      </w:r>
    </w:p>
    <w:p w14:paraId="3A47508E" w14:textId="77777777" w:rsidR="009B5E39" w:rsidRPr="006D6A0D" w:rsidRDefault="009B5E39" w:rsidP="009B5E39">
      <w:pPr>
        <w:pStyle w:val="Prrafodelista"/>
        <w:numPr>
          <w:ilvl w:val="1"/>
          <w:numId w:val="19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lastRenderedPageBreak/>
        <w:t xml:space="preserve">La altura total de las vallas o tapiales es de 2.50 metros, medida a partir del nivel de banqueta al lecho superior de la cartelera, incluyendo todos los elementos del anuncio; en el caso de estar adosada a una barda, la estructura no debe rebasar el límite superior de la barda donde se coloquen; </w:t>
      </w:r>
    </w:p>
    <w:p w14:paraId="3A47508F" w14:textId="77777777" w:rsidR="009B5E39" w:rsidRPr="006D6A0D" w:rsidRDefault="009B5E39" w:rsidP="009B5E39">
      <w:pPr>
        <w:pStyle w:val="Prrafodelista"/>
        <w:numPr>
          <w:ilvl w:val="1"/>
          <w:numId w:val="19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El propietario de la estructura debe cercar la totalidad del predio con frente a la vía pública, para poder colocar los anuncios en vallas o tapiales; </w:t>
      </w:r>
    </w:p>
    <w:p w14:paraId="3A475090" w14:textId="77777777" w:rsidR="009B5E39" w:rsidRPr="006D6A0D" w:rsidRDefault="009B5E39" w:rsidP="009B5E39">
      <w:pPr>
        <w:pStyle w:val="Prrafodelista"/>
        <w:numPr>
          <w:ilvl w:val="1"/>
          <w:numId w:val="19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modulación para la colocación de vallas o tapiales es la siguiente: </w:t>
      </w:r>
    </w:p>
    <w:p w14:paraId="3A475091" w14:textId="77777777" w:rsidR="009B5E39" w:rsidRPr="006D6A0D" w:rsidRDefault="009B5E39" w:rsidP="009B5E39">
      <w:pPr>
        <w:pStyle w:val="Prrafodelista"/>
        <w:numPr>
          <w:ilvl w:val="2"/>
          <w:numId w:val="195"/>
        </w:numPr>
        <w:autoSpaceDE w:val="0"/>
        <w:autoSpaceDN w:val="0"/>
        <w:adjustRightInd w:val="0"/>
        <w:spacing w:after="120"/>
        <w:ind w:left="1560" w:right="283" w:hanging="426"/>
        <w:contextualSpacing w:val="0"/>
        <w:jc w:val="both"/>
        <w:rPr>
          <w:rFonts w:ascii="Gotham" w:hAnsi="Gotham" w:cs="Arial"/>
          <w:sz w:val="19"/>
          <w:szCs w:val="19"/>
        </w:rPr>
      </w:pPr>
      <w:r w:rsidRPr="006D6A0D">
        <w:rPr>
          <w:rFonts w:ascii="Gotham" w:hAnsi="Gotham" w:cs="Arial"/>
          <w:sz w:val="19"/>
          <w:szCs w:val="19"/>
        </w:rPr>
        <w:t xml:space="preserve">En predios de hasta 50.00 metros lineales de frente, la separación mínima entre uno y otro anuncio de este tipo debe ser de 2.50 metros; la misma separación se observa con relación a la colindancia con predios vecinos y los vértices en las esquinas; </w:t>
      </w:r>
    </w:p>
    <w:p w14:paraId="3A475092" w14:textId="77777777" w:rsidR="009B5E39" w:rsidRPr="006D6A0D" w:rsidRDefault="009B5E39" w:rsidP="009B5E39">
      <w:pPr>
        <w:pStyle w:val="Prrafodelista"/>
        <w:numPr>
          <w:ilvl w:val="2"/>
          <w:numId w:val="195"/>
        </w:numPr>
        <w:autoSpaceDE w:val="0"/>
        <w:autoSpaceDN w:val="0"/>
        <w:adjustRightInd w:val="0"/>
        <w:spacing w:after="120"/>
        <w:ind w:left="1560" w:right="283" w:hanging="426"/>
        <w:contextualSpacing w:val="0"/>
        <w:jc w:val="both"/>
        <w:rPr>
          <w:rFonts w:ascii="Gotham" w:hAnsi="Gotham" w:cs="Arial"/>
          <w:sz w:val="19"/>
          <w:szCs w:val="19"/>
        </w:rPr>
      </w:pPr>
      <w:r w:rsidRPr="006D6A0D">
        <w:rPr>
          <w:rFonts w:ascii="Gotham" w:hAnsi="Gotham" w:cs="Arial"/>
          <w:sz w:val="19"/>
          <w:szCs w:val="19"/>
        </w:rPr>
        <w:t xml:space="preserve">En predios mayores a 50.00 metros lineales de frente, la separación mínima entre uno y otro anuncio de este tipo debe ser de 5.00 metros y con relación a la colindancia con predios vecinos y los vértices en las esquinas se observa una separación de 2.50 metros lineales; y, </w:t>
      </w:r>
    </w:p>
    <w:p w14:paraId="3A475093" w14:textId="77777777" w:rsidR="009B5E39" w:rsidRPr="006D6A0D" w:rsidRDefault="009B5E39" w:rsidP="009B5E39">
      <w:pPr>
        <w:pStyle w:val="Prrafodelista"/>
        <w:numPr>
          <w:ilvl w:val="2"/>
          <w:numId w:val="195"/>
        </w:numPr>
        <w:autoSpaceDE w:val="0"/>
        <w:autoSpaceDN w:val="0"/>
        <w:adjustRightInd w:val="0"/>
        <w:spacing w:after="120"/>
        <w:ind w:left="1560" w:right="283" w:hanging="426"/>
        <w:contextualSpacing w:val="0"/>
        <w:jc w:val="both"/>
        <w:rPr>
          <w:rFonts w:ascii="Gotham" w:hAnsi="Gotham" w:cs="Arial"/>
          <w:sz w:val="19"/>
          <w:szCs w:val="19"/>
        </w:rPr>
      </w:pPr>
      <w:r w:rsidRPr="006D6A0D">
        <w:rPr>
          <w:rFonts w:ascii="Gotham" w:hAnsi="Gotham" w:cs="Arial"/>
          <w:sz w:val="19"/>
          <w:szCs w:val="19"/>
        </w:rPr>
        <w:t xml:space="preserve">Queda prohibida la colocación de anuncios del tipo vallas o tapiales en vialidades locales, en zonas de uso habitacional, así como en </w:t>
      </w:r>
      <w:r w:rsidRPr="006D6A0D">
        <w:rPr>
          <w:rFonts w:ascii="Gotham" w:hAnsi="Gotham" w:cs="Arial"/>
          <w:color w:val="000000" w:themeColor="text1"/>
          <w:sz w:val="19"/>
          <w:szCs w:val="19"/>
        </w:rPr>
        <w:t>zonas de Conservación, Protección y Preservación del Patrimonio Cultural Urbano</w:t>
      </w:r>
      <w:r w:rsidRPr="006D6A0D">
        <w:rPr>
          <w:rFonts w:ascii="Gotham" w:hAnsi="Gotham" w:cs="Arial"/>
          <w:sz w:val="19"/>
          <w:szCs w:val="19"/>
        </w:rPr>
        <w:t xml:space="preserve">; esta delimitación incluye todos los predios que tengan frente a la vía pública señaladas como límite. </w:t>
      </w:r>
    </w:p>
    <w:p w14:paraId="3A475094" w14:textId="77777777" w:rsidR="009B5E39" w:rsidRPr="006D6A0D" w:rsidRDefault="009B5E39" w:rsidP="009B5E39">
      <w:pPr>
        <w:pStyle w:val="Prrafodelista"/>
        <w:numPr>
          <w:ilvl w:val="1"/>
          <w:numId w:val="191"/>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Los anuncios de vallas o tapiales, previa obtención de su </w:t>
      </w:r>
      <w:r w:rsidRPr="006D6A0D">
        <w:rPr>
          <w:rFonts w:ascii="Gotham" w:hAnsi="Gotham" w:cs="Arial"/>
          <w:bCs/>
          <w:sz w:val="19"/>
          <w:szCs w:val="19"/>
        </w:rPr>
        <w:t xml:space="preserve">permiso </w:t>
      </w:r>
      <w:r w:rsidRPr="006D6A0D">
        <w:rPr>
          <w:rFonts w:ascii="Gotham" w:hAnsi="Gotham" w:cs="Arial"/>
          <w:sz w:val="19"/>
          <w:szCs w:val="19"/>
        </w:rPr>
        <w:t xml:space="preserve">en la Dirección de Padrón y Licencias, se sujetan a los lineamientos establecidos en la fracción primera de este artículo y su permiso es temporal, sujetándose a lo dispuesto en el artículo 10 de este reglamento. </w:t>
      </w:r>
    </w:p>
    <w:p w14:paraId="3A47509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96"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En los anuncios </w:t>
      </w:r>
      <w:r w:rsidRPr="006D6A0D">
        <w:rPr>
          <w:rFonts w:ascii="Gotham" w:hAnsi="Gotham" w:cs="Arial"/>
          <w:bCs/>
          <w:sz w:val="19"/>
          <w:szCs w:val="19"/>
        </w:rPr>
        <w:t>comerciales en fachadas</w:t>
      </w:r>
      <w:r w:rsidRPr="006D6A0D">
        <w:rPr>
          <w:rFonts w:ascii="Gotham" w:hAnsi="Gotham" w:cs="Arial"/>
          <w:b/>
          <w:bCs/>
          <w:sz w:val="19"/>
          <w:szCs w:val="19"/>
        </w:rPr>
        <w:t xml:space="preserve"> </w:t>
      </w:r>
      <w:r w:rsidRPr="006D6A0D">
        <w:rPr>
          <w:rFonts w:ascii="Gotham" w:hAnsi="Gotham" w:cs="Arial"/>
          <w:sz w:val="19"/>
          <w:szCs w:val="19"/>
        </w:rPr>
        <w:t xml:space="preserve">de los bienes inmuebles en construcción, deberán contener los datos del perito responsable de la obra y de las empresas que proporcionen trabajo o material para la misma. Los anuncios de este género deben estar a no menos de 1.50 metros de altura y con una superficie que no rebase los 20.00 metros cuadrados. </w:t>
      </w:r>
    </w:p>
    <w:p w14:paraId="3A475097"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98"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El propietario de los diversos tipos de anuncios enunciados en el presente artículo, debe mantener en buen estado físico y libre de elementos que la deterioren visualmente, toda la estructura, así como mantener limpio el predio y su frente a la vía pública de cualquier tipo de desecho. En caso contrario se hace acreedor a las sanciones correspondientes. </w:t>
      </w:r>
    </w:p>
    <w:p w14:paraId="3A475099"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9A"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Deberá acreditar para su refrendo mediante fotografía el buen estado físico del predio donde se aprecie que está limpio y libre de elementos que lo deterioren visualmente.</w:t>
      </w:r>
    </w:p>
    <w:p w14:paraId="3A47509B"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 </w:t>
      </w:r>
    </w:p>
    <w:p w14:paraId="3A47509C"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40°. </w:t>
      </w:r>
      <w:r w:rsidRPr="006D6A0D">
        <w:rPr>
          <w:rFonts w:ascii="Gotham" w:hAnsi="Gotham" w:cs="Arial"/>
          <w:sz w:val="19"/>
          <w:szCs w:val="19"/>
        </w:rPr>
        <w:t xml:space="preserve">Los anuncios inflables de piso utilizados para promocionar en forma eventual deben cumplir con los siguientes aspectos, además de los aplicables por este reglamento: </w:t>
      </w:r>
    </w:p>
    <w:p w14:paraId="3A47509D"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9E" w14:textId="77777777" w:rsidR="009B5E39" w:rsidRPr="006D6A0D" w:rsidRDefault="009B5E39" w:rsidP="009B5E39">
      <w:pPr>
        <w:pStyle w:val="Prrafodelista"/>
        <w:numPr>
          <w:ilvl w:val="1"/>
          <w:numId w:val="18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altura máxima permisible es para este tipo de anuncios de 6.00 metros de alto; </w:t>
      </w:r>
    </w:p>
    <w:p w14:paraId="3A47509F" w14:textId="77777777" w:rsidR="009B5E39" w:rsidRPr="006D6A0D" w:rsidRDefault="009B5E39" w:rsidP="009B5E39">
      <w:pPr>
        <w:pStyle w:val="Prrafodelista"/>
        <w:numPr>
          <w:ilvl w:val="1"/>
          <w:numId w:val="18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No deben colocarse en vía pública o sobre azoteas, pero pueden colocarse en servidumbre; </w:t>
      </w:r>
    </w:p>
    <w:p w14:paraId="3A4750A0" w14:textId="77777777" w:rsidR="009B5E39" w:rsidRPr="006D6A0D" w:rsidRDefault="009B5E39" w:rsidP="009B5E39">
      <w:pPr>
        <w:pStyle w:val="Prrafodelista"/>
        <w:numPr>
          <w:ilvl w:val="1"/>
          <w:numId w:val="18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El plazo por el que se otorga el permiso para su colocación es de quince días como máximo; y</w:t>
      </w:r>
    </w:p>
    <w:p w14:paraId="3A4750A1" w14:textId="77777777" w:rsidR="009B5E39" w:rsidRPr="006D6A0D" w:rsidRDefault="009B5E39" w:rsidP="009B5E39">
      <w:pPr>
        <w:pStyle w:val="Prrafodelista"/>
        <w:numPr>
          <w:ilvl w:val="1"/>
          <w:numId w:val="183"/>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Deben ser inflados con materiales no inflamables; </w:t>
      </w:r>
    </w:p>
    <w:p w14:paraId="3A4750A2"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A3"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Tratándose de globos aerostáticos: </w:t>
      </w:r>
    </w:p>
    <w:p w14:paraId="3A4750A4"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A5" w14:textId="77777777" w:rsidR="009B5E39" w:rsidRPr="006D6A0D" w:rsidRDefault="009B5E39" w:rsidP="009B5E39">
      <w:pPr>
        <w:pStyle w:val="Prrafodelista"/>
        <w:numPr>
          <w:ilvl w:val="1"/>
          <w:numId w:val="18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La altura permitida para los globos aerostáticos será de 20.00 metros como máximo, medidos desde el nivel del piso;</w:t>
      </w:r>
      <w:r w:rsidR="007C2F8D">
        <w:rPr>
          <w:rFonts w:ascii="Gotham" w:hAnsi="Gotham" w:cs="Arial"/>
          <w:sz w:val="19"/>
          <w:szCs w:val="19"/>
        </w:rPr>
        <w:t xml:space="preserve"> </w:t>
      </w:r>
    </w:p>
    <w:p w14:paraId="3A4750A6" w14:textId="77777777" w:rsidR="009B5E39" w:rsidRPr="006D6A0D" w:rsidRDefault="009B5E39" w:rsidP="009B5E39">
      <w:pPr>
        <w:pStyle w:val="Prrafodelista"/>
        <w:numPr>
          <w:ilvl w:val="1"/>
          <w:numId w:val="18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No podrán estar sujetados de mobiliario urbano o con zapatas a la vía pública; </w:t>
      </w:r>
    </w:p>
    <w:p w14:paraId="3A4750A7" w14:textId="77777777" w:rsidR="009B5E39" w:rsidRPr="006D6A0D" w:rsidRDefault="009B5E39" w:rsidP="009B5E39">
      <w:pPr>
        <w:pStyle w:val="Prrafodelista"/>
        <w:numPr>
          <w:ilvl w:val="1"/>
          <w:numId w:val="185"/>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lastRenderedPageBreak/>
        <w:t xml:space="preserve">Este tipo de publicidad no es sujeto de comercialización y no deberá existir más de uno por local o establecimiento comercial, con vigencia de período de hasta 30 días. </w:t>
      </w:r>
    </w:p>
    <w:p w14:paraId="3A4750A8"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A9"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41°. </w:t>
      </w:r>
      <w:r w:rsidRPr="006D6A0D">
        <w:rPr>
          <w:rFonts w:ascii="Gotham" w:hAnsi="Gotham" w:cs="Arial"/>
          <w:sz w:val="19"/>
          <w:szCs w:val="19"/>
        </w:rPr>
        <w:t xml:space="preserve">Se consideran anuncios móviles aquellos que haciendo uso de cualquier medio de transporte de propiedad privada destinado específicamente para difundir publicidad con fines comerciales y llevan a cabo esta labor en las vialidades municipales; quedando exceptuados los automóviles utilitarios. </w:t>
      </w:r>
    </w:p>
    <w:p w14:paraId="3A4750AA"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AB"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Este tipo de publicidad está prohibida en el Municipio de Tonalá, por lo cual no se dará licencia o permiso alguno ni se permitirá la circulación de este tipo de transporte en las vialidades del municipio. </w:t>
      </w:r>
    </w:p>
    <w:p w14:paraId="3A4750AC"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p>
    <w:p w14:paraId="3A4750AD" w14:textId="77777777" w:rsidR="009B5E39"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42°. </w:t>
      </w:r>
      <w:r w:rsidRPr="006D6A0D">
        <w:rPr>
          <w:rFonts w:ascii="Gotham" w:hAnsi="Gotham" w:cs="Arial"/>
          <w:sz w:val="19"/>
          <w:szCs w:val="19"/>
        </w:rPr>
        <w:t>Se consideran anuncios sonoros aquellos que con fines comerciales y publicitarios emite como servicio, una persona física o jurídica, por medio de altavoces o bocinas, mediante perifoneo o la reproducción de grabaciones o música, en las vialidades o espacios públicos municipales, los cuales están prohibidos en todo el territorio municipal, a excepción de los casos siguientes, los cuales se encuentran exentos de autorización municipal:</w:t>
      </w:r>
    </w:p>
    <w:p w14:paraId="3A4750AE"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p>
    <w:p w14:paraId="3A4750AF" w14:textId="77777777" w:rsidR="009B5E39" w:rsidRPr="006D6A0D" w:rsidRDefault="009B5E39" w:rsidP="009B5E39">
      <w:pPr>
        <w:pStyle w:val="Prrafodelista"/>
        <w:numPr>
          <w:ilvl w:val="0"/>
          <w:numId w:val="220"/>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Cuando se trate de la promoción de productos de primera necesidad, tales como: agua, gas y alimentos, ofrecidos de puerta en puerta. La circulación de vehículos destinados al perifoneo para los efectos de esta fracción;</w:t>
      </w:r>
    </w:p>
    <w:p w14:paraId="3A4750B0" w14:textId="77777777" w:rsidR="009B5E39" w:rsidRPr="006D6A0D" w:rsidRDefault="009B5E39" w:rsidP="009B5E39">
      <w:pPr>
        <w:pStyle w:val="Prrafodelista"/>
        <w:numPr>
          <w:ilvl w:val="0"/>
          <w:numId w:val="220"/>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Cuando este tipo de anuncios se realicen dentro de tianguis y mercados; y</w:t>
      </w:r>
    </w:p>
    <w:p w14:paraId="3A4750B1" w14:textId="77777777" w:rsidR="009B5E39" w:rsidRPr="006D6A0D" w:rsidRDefault="009B5E39" w:rsidP="009B5E39">
      <w:pPr>
        <w:pStyle w:val="Prrafodelista"/>
        <w:numPr>
          <w:ilvl w:val="0"/>
          <w:numId w:val="220"/>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Cuando la promoción verse en el servicio o productos que realice por sí mismo una persona física como medio de subsistencia de puerta en puerta. Los anuncios señalados en las fracciones anteriores, deben cumplir con los límites máximos permisibles de ruido emitidos por fuentes fijas, de conformidad a la Norma Oficial Mexicana aplicable.</w:t>
      </w:r>
    </w:p>
    <w:p w14:paraId="3A4750B2" w14:textId="77777777" w:rsidR="009B5E39" w:rsidRPr="006D6A0D" w:rsidRDefault="009B5E39" w:rsidP="009B5E39">
      <w:pPr>
        <w:pStyle w:val="Prrafodelista"/>
        <w:numPr>
          <w:ilvl w:val="0"/>
          <w:numId w:val="220"/>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Queda prohibido el perifoneo en domingo o días festivos oficiales en zonas habitacionales</w:t>
      </w:r>
      <w:r w:rsidRPr="006D6A0D">
        <w:rPr>
          <w:rFonts w:ascii="Gotham" w:hAnsi="Gotham" w:cs="Arial"/>
          <w:color w:val="000000"/>
          <w:sz w:val="19"/>
          <w:szCs w:val="19"/>
        </w:rPr>
        <w:t xml:space="preserve"> clasificadas conforme a los Planes</w:t>
      </w:r>
      <w:r w:rsidRPr="006D6A0D">
        <w:rPr>
          <w:rFonts w:ascii="Gotham" w:hAnsi="Gotham" w:cs="Arial"/>
          <w:sz w:val="19"/>
          <w:szCs w:val="19"/>
        </w:rPr>
        <w:t xml:space="preserve"> de Desarrollo Urbano de Centro de Población</w:t>
      </w:r>
    </w:p>
    <w:p w14:paraId="3A4750B3"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B4" w14:textId="77777777" w:rsidR="009B5E39" w:rsidRDefault="009B5E39" w:rsidP="009B5E39">
      <w:pPr>
        <w:autoSpaceDE w:val="0"/>
        <w:autoSpaceDN w:val="0"/>
        <w:adjustRightInd w:val="0"/>
        <w:ind w:left="283" w:right="283"/>
        <w:jc w:val="both"/>
        <w:rPr>
          <w:rFonts w:ascii="Gotham" w:hAnsi="Gotham" w:cs="Arial"/>
          <w:sz w:val="19"/>
          <w:szCs w:val="19"/>
        </w:rPr>
      </w:pPr>
      <w:bookmarkStart w:id="23" w:name="_Hlk132635941"/>
      <w:r w:rsidRPr="006D6A0D">
        <w:rPr>
          <w:rFonts w:ascii="Gotham" w:hAnsi="Gotham" w:cs="Arial"/>
          <w:b/>
          <w:bCs/>
          <w:sz w:val="19"/>
          <w:szCs w:val="19"/>
        </w:rPr>
        <w:t xml:space="preserve">Artículo 43°. </w:t>
      </w:r>
      <w:bookmarkEnd w:id="23"/>
      <w:r w:rsidRPr="006D6A0D">
        <w:rPr>
          <w:rFonts w:ascii="Gotham" w:hAnsi="Gotham" w:cs="Arial"/>
          <w:sz w:val="19"/>
          <w:szCs w:val="19"/>
        </w:rPr>
        <w:t xml:space="preserve">Se consideran anuncios en bardas aquellos que se difunden en muros ciegos de predios con el fin de difundir publicidad y deberán cumplir los siguientes lineamientos: </w:t>
      </w:r>
    </w:p>
    <w:p w14:paraId="3A4750B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B6" w14:textId="77777777" w:rsidR="009B5E39" w:rsidRPr="006D6A0D" w:rsidRDefault="009B5E39" w:rsidP="009B5E39">
      <w:pPr>
        <w:pStyle w:val="Prrafodelista"/>
        <w:numPr>
          <w:ilvl w:val="0"/>
          <w:numId w:val="21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Su permiso es provisional por evento o con un plazo máximo de treinta días; </w:t>
      </w:r>
    </w:p>
    <w:p w14:paraId="3A4750B7" w14:textId="77777777" w:rsidR="009B5E39" w:rsidRPr="006D6A0D" w:rsidRDefault="009B5E39" w:rsidP="009B5E39">
      <w:pPr>
        <w:pStyle w:val="Prrafodelista"/>
        <w:numPr>
          <w:ilvl w:val="0"/>
          <w:numId w:val="21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superficie del anuncio no deberá exceder del treinta por ciento de la superficie total del muro donde se pretenda rotular; </w:t>
      </w:r>
    </w:p>
    <w:p w14:paraId="3A4750B8" w14:textId="77777777" w:rsidR="009B5E39" w:rsidRPr="006D6A0D" w:rsidRDefault="009B5E39" w:rsidP="009B5E39">
      <w:pPr>
        <w:pStyle w:val="Prrafodelista"/>
        <w:numPr>
          <w:ilvl w:val="0"/>
          <w:numId w:val="21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Queda prohibida su rotulación en las zonas y polígonos de protección del patrimonio edificado;</w:t>
      </w:r>
    </w:p>
    <w:p w14:paraId="3A4750B9" w14:textId="77777777" w:rsidR="009B5E39" w:rsidRPr="006D6A0D" w:rsidRDefault="009B5E39" w:rsidP="009B5E39">
      <w:pPr>
        <w:pStyle w:val="Prrafodelista"/>
        <w:numPr>
          <w:ilvl w:val="0"/>
          <w:numId w:val="21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Al término del evento se deberán borrar los anuncios con fondo en color blanco; y </w:t>
      </w:r>
    </w:p>
    <w:p w14:paraId="3A4750BA" w14:textId="77777777" w:rsidR="009B5E39" w:rsidRPr="006D6A0D" w:rsidRDefault="009B5E39" w:rsidP="009B5E39">
      <w:pPr>
        <w:pStyle w:val="Prrafodelista"/>
        <w:numPr>
          <w:ilvl w:val="0"/>
          <w:numId w:val="216"/>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Debe indicar en cada barda la autorización otorgada por parte del Municipio. </w:t>
      </w:r>
    </w:p>
    <w:p w14:paraId="3A4750BB"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BC"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44°. </w:t>
      </w:r>
      <w:r w:rsidRPr="006D6A0D">
        <w:rPr>
          <w:rFonts w:ascii="Gotham" w:hAnsi="Gotham" w:cs="Arial"/>
          <w:sz w:val="19"/>
          <w:szCs w:val="19"/>
        </w:rPr>
        <w:t xml:space="preserve">La publicidad impresa o volante solo se permitirá cumpliendo con los siguientes requisitos: </w:t>
      </w:r>
    </w:p>
    <w:p w14:paraId="3A4750BD"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BE" w14:textId="77777777" w:rsidR="009B5E39" w:rsidRPr="006D6A0D" w:rsidRDefault="009B5E39" w:rsidP="009B5E39">
      <w:pPr>
        <w:pStyle w:val="Prrafodelista"/>
        <w:numPr>
          <w:ilvl w:val="0"/>
          <w:numId w:val="217"/>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Toda publicidad impresa o volantes deberá ser en papel reciclado y llevará los logotipos que indiquen que es papel reciclado y también de evitar que se arroje en la vía pública; </w:t>
      </w:r>
    </w:p>
    <w:p w14:paraId="3A4750BF" w14:textId="77777777" w:rsidR="009B5E39" w:rsidRPr="006D6A0D" w:rsidRDefault="009B5E39" w:rsidP="009B5E39">
      <w:pPr>
        <w:pStyle w:val="Prrafodelista"/>
        <w:numPr>
          <w:ilvl w:val="0"/>
          <w:numId w:val="217"/>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Contener la leyenda con los datos de identificación del impresor; </w:t>
      </w:r>
    </w:p>
    <w:p w14:paraId="3A4750C0" w14:textId="77777777" w:rsidR="009B5E39" w:rsidRPr="006D6A0D" w:rsidRDefault="009B5E39" w:rsidP="009B5E39">
      <w:pPr>
        <w:pStyle w:val="Prrafodelista"/>
        <w:numPr>
          <w:ilvl w:val="0"/>
          <w:numId w:val="217"/>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Solo podrá ser entregado en buzones o bajo la puerta, sin que se adhiera en los domicilios, ni se coloque en los vehículos. </w:t>
      </w:r>
    </w:p>
    <w:p w14:paraId="3A4750C1" w14:textId="77777777" w:rsidR="009B5E39" w:rsidRDefault="009B5E39" w:rsidP="009B5E39">
      <w:pPr>
        <w:pStyle w:val="Default"/>
        <w:ind w:left="283" w:right="283"/>
        <w:jc w:val="both"/>
        <w:rPr>
          <w:rFonts w:ascii="Gotham" w:hAnsi="Gotham"/>
          <w:sz w:val="19"/>
          <w:szCs w:val="19"/>
        </w:rPr>
      </w:pPr>
    </w:p>
    <w:p w14:paraId="3A4750C2" w14:textId="77777777" w:rsidR="009B5E39" w:rsidRPr="006D6A0D" w:rsidRDefault="009B5E39" w:rsidP="009B5E39">
      <w:pPr>
        <w:pStyle w:val="Default"/>
        <w:ind w:left="283" w:right="283"/>
        <w:jc w:val="both"/>
        <w:rPr>
          <w:rFonts w:ascii="Gotham" w:hAnsi="Gotham"/>
          <w:sz w:val="19"/>
          <w:szCs w:val="19"/>
        </w:rPr>
      </w:pPr>
    </w:p>
    <w:p w14:paraId="3A4750C3"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r w:rsidRPr="006D6A0D">
        <w:rPr>
          <w:rFonts w:ascii="Gotham" w:hAnsi="Gotham" w:cs="Arial"/>
          <w:b/>
          <w:bCs/>
          <w:color w:val="000000"/>
          <w:sz w:val="19"/>
          <w:szCs w:val="19"/>
        </w:rPr>
        <w:t>Título Cuarto</w:t>
      </w:r>
    </w:p>
    <w:p w14:paraId="3A4750C4" w14:textId="77777777" w:rsidR="009B5E39" w:rsidRDefault="009B5E39" w:rsidP="009B5E39">
      <w:pPr>
        <w:autoSpaceDE w:val="0"/>
        <w:autoSpaceDN w:val="0"/>
        <w:adjustRightInd w:val="0"/>
        <w:ind w:left="283" w:right="283"/>
        <w:jc w:val="center"/>
        <w:rPr>
          <w:rFonts w:ascii="Gotham" w:hAnsi="Gotham" w:cs="Arial"/>
          <w:b/>
          <w:bCs/>
          <w:color w:val="000000"/>
          <w:sz w:val="19"/>
          <w:szCs w:val="19"/>
        </w:rPr>
      </w:pPr>
    </w:p>
    <w:p w14:paraId="3A4750C5"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r w:rsidRPr="006D6A0D">
        <w:rPr>
          <w:rFonts w:ascii="Gotham" w:hAnsi="Gotham" w:cs="Arial"/>
          <w:b/>
          <w:bCs/>
          <w:color w:val="000000"/>
          <w:sz w:val="19"/>
          <w:szCs w:val="19"/>
        </w:rPr>
        <w:t>Capítulo I</w:t>
      </w:r>
    </w:p>
    <w:p w14:paraId="3A4750C6" w14:textId="77777777" w:rsidR="009B5E39" w:rsidRPr="006D6A0D" w:rsidRDefault="009B5E39" w:rsidP="009B5E39">
      <w:pPr>
        <w:autoSpaceDE w:val="0"/>
        <w:autoSpaceDN w:val="0"/>
        <w:adjustRightInd w:val="0"/>
        <w:ind w:left="283" w:right="283"/>
        <w:jc w:val="center"/>
        <w:rPr>
          <w:rFonts w:ascii="Gotham" w:hAnsi="Gotham" w:cs="Arial"/>
          <w:b/>
          <w:bCs/>
          <w:color w:val="000000"/>
          <w:sz w:val="19"/>
          <w:szCs w:val="19"/>
        </w:rPr>
      </w:pPr>
      <w:r w:rsidRPr="006D6A0D">
        <w:rPr>
          <w:rFonts w:ascii="Gotham" w:hAnsi="Gotham" w:cs="Arial"/>
          <w:b/>
          <w:bCs/>
          <w:color w:val="000000"/>
          <w:sz w:val="19"/>
          <w:szCs w:val="19"/>
        </w:rPr>
        <w:t>Disposiciones por Zona</w:t>
      </w:r>
    </w:p>
    <w:p w14:paraId="3A4750C7"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p>
    <w:p w14:paraId="3A4750C8" w14:textId="77777777" w:rsidR="009B5E39" w:rsidRDefault="009B5E39" w:rsidP="009B5E39">
      <w:pPr>
        <w:autoSpaceDE w:val="0"/>
        <w:autoSpaceDN w:val="0"/>
        <w:adjustRightInd w:val="0"/>
        <w:ind w:left="283" w:right="283"/>
        <w:jc w:val="both"/>
        <w:rPr>
          <w:rFonts w:ascii="Gotham" w:hAnsi="Gotham" w:cs="Arial"/>
          <w:color w:val="000000"/>
          <w:sz w:val="19"/>
          <w:szCs w:val="19"/>
        </w:rPr>
      </w:pPr>
      <w:bookmarkStart w:id="24" w:name="_Hlk129602019"/>
      <w:r w:rsidRPr="006D6A0D">
        <w:rPr>
          <w:rFonts w:ascii="Gotham" w:hAnsi="Gotham" w:cs="Arial"/>
          <w:b/>
          <w:bCs/>
          <w:sz w:val="19"/>
          <w:szCs w:val="19"/>
        </w:rPr>
        <w:t xml:space="preserve">Artículo 45°. </w:t>
      </w:r>
      <w:bookmarkEnd w:id="24"/>
      <w:r w:rsidRPr="006D6A0D">
        <w:rPr>
          <w:rFonts w:ascii="Gotham" w:hAnsi="Gotham" w:cs="Arial"/>
          <w:color w:val="000000"/>
          <w:sz w:val="19"/>
          <w:szCs w:val="19"/>
        </w:rPr>
        <w:t>Para la aplicación de este reglamento, el territorio del Municipio de Tonalá se clasifica en las siguientes zonas conforme a los Planes</w:t>
      </w:r>
      <w:r w:rsidRPr="006D6A0D">
        <w:rPr>
          <w:rFonts w:ascii="Gotham" w:hAnsi="Gotham" w:cs="Arial"/>
          <w:sz w:val="19"/>
          <w:szCs w:val="19"/>
        </w:rPr>
        <w:t xml:space="preserve"> de Desarrollo Urbano de Centro de Población y Reglamento Estatal de Zonificación</w:t>
      </w:r>
      <w:r w:rsidRPr="006D6A0D">
        <w:rPr>
          <w:rFonts w:ascii="Gotham" w:hAnsi="Gotham" w:cs="Arial"/>
          <w:color w:val="000000"/>
          <w:sz w:val="19"/>
          <w:szCs w:val="19"/>
        </w:rPr>
        <w:t xml:space="preserve">: </w:t>
      </w:r>
    </w:p>
    <w:p w14:paraId="3A4750C9"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CA" w14:textId="77777777" w:rsidR="009B5E39" w:rsidRPr="006D6A0D" w:rsidRDefault="009B5E39" w:rsidP="009B5E39">
      <w:pPr>
        <w:pStyle w:val="Prrafodelista"/>
        <w:numPr>
          <w:ilvl w:val="0"/>
          <w:numId w:val="219"/>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Zonas habitacionales; </w:t>
      </w:r>
    </w:p>
    <w:p w14:paraId="3A4750CB" w14:textId="77777777" w:rsidR="009B5E39" w:rsidRPr="006D6A0D" w:rsidRDefault="009B5E39" w:rsidP="009B5E39">
      <w:pPr>
        <w:pStyle w:val="Prrafodelista"/>
        <w:numPr>
          <w:ilvl w:val="0"/>
          <w:numId w:val="219"/>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Zonas de usos Mixto, Comercio y Servicios, de Servicios a la Industria y el Comercio, Industriales e instalación de infraestructura; </w:t>
      </w:r>
    </w:p>
    <w:p w14:paraId="3A4750CC" w14:textId="77777777" w:rsidR="009B5E39" w:rsidRPr="006D6A0D" w:rsidRDefault="009B5E39" w:rsidP="009B5E39">
      <w:pPr>
        <w:pStyle w:val="Prrafodelista"/>
        <w:numPr>
          <w:ilvl w:val="0"/>
          <w:numId w:val="219"/>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Zonas de Preservación Ecológica y en Espacios Verdes, Abiertos y Recreativos; </w:t>
      </w:r>
    </w:p>
    <w:p w14:paraId="3A4750CD" w14:textId="77777777" w:rsidR="009B5E39" w:rsidRPr="006D6A0D" w:rsidRDefault="009B5E39" w:rsidP="009B5E39">
      <w:pPr>
        <w:pStyle w:val="Prrafodelista"/>
        <w:numPr>
          <w:ilvl w:val="0"/>
          <w:numId w:val="219"/>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bCs/>
          <w:color w:val="000000"/>
          <w:sz w:val="19"/>
          <w:szCs w:val="19"/>
        </w:rPr>
        <w:t>Zonas de Equipamiento Institucional; y</w:t>
      </w:r>
    </w:p>
    <w:p w14:paraId="3A4750CE" w14:textId="77777777" w:rsidR="009B5E39" w:rsidRPr="006D6A0D" w:rsidRDefault="009B5E39" w:rsidP="009B5E39">
      <w:pPr>
        <w:pStyle w:val="Prrafodelista"/>
        <w:numPr>
          <w:ilvl w:val="0"/>
          <w:numId w:val="219"/>
        </w:numPr>
        <w:autoSpaceDE w:val="0"/>
        <w:autoSpaceDN w:val="0"/>
        <w:adjustRightInd w:val="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Zona de Protección al Patrimonio Cultural Urbano.</w:t>
      </w:r>
    </w:p>
    <w:p w14:paraId="3A4750CF"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D0"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46°. </w:t>
      </w:r>
      <w:r w:rsidRPr="006D6A0D">
        <w:rPr>
          <w:rFonts w:ascii="Gotham" w:hAnsi="Gotham" w:cs="Arial"/>
          <w:color w:val="000000"/>
          <w:sz w:val="19"/>
          <w:szCs w:val="19"/>
        </w:rPr>
        <w:t xml:space="preserve">La zonificación, según los usos de suelo establecidos, sigue la normatividad y las definiciones del Programa Municipal de Desarrollo Urbano, Plan de Desarrollo Urbano de Centro de Población vigentes y demás disposiciones de normatividad urbana. </w:t>
      </w:r>
    </w:p>
    <w:p w14:paraId="3A4750D1"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D2"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w:t>
      </w:r>
      <w:bookmarkStart w:id="25" w:name="_Hlk132886904"/>
      <w:r w:rsidRPr="006D6A0D">
        <w:rPr>
          <w:rFonts w:ascii="Gotham" w:hAnsi="Gotham" w:cs="Arial"/>
          <w:b/>
          <w:bCs/>
          <w:sz w:val="19"/>
          <w:szCs w:val="19"/>
        </w:rPr>
        <w:t xml:space="preserve">47°. </w:t>
      </w:r>
      <w:bookmarkEnd w:id="25"/>
      <w:r w:rsidRPr="006D6A0D">
        <w:rPr>
          <w:rFonts w:ascii="Gotham" w:hAnsi="Gotham" w:cs="Arial"/>
          <w:color w:val="000000"/>
          <w:sz w:val="19"/>
          <w:szCs w:val="19"/>
        </w:rPr>
        <w:t xml:space="preserve">Los anuncios permitidos en zonas habitacionales del municipio son los siguientes: </w:t>
      </w:r>
    </w:p>
    <w:p w14:paraId="3A4750D3"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0D4" w14:textId="77777777" w:rsidR="009B5E39" w:rsidRPr="006D6A0D" w:rsidRDefault="009B5E39" w:rsidP="009B5E39">
      <w:pPr>
        <w:pStyle w:val="Prrafodelista"/>
        <w:numPr>
          <w:ilvl w:val="0"/>
          <w:numId w:val="207"/>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Un anuncio domiciliar por bien inmueble, iluminado u opaco, cuya superficie no exceda de 0.60 metros cuadrados; </w:t>
      </w:r>
    </w:p>
    <w:p w14:paraId="3A4750D5" w14:textId="77777777" w:rsidR="009B5E39" w:rsidRPr="006D6A0D" w:rsidRDefault="009B5E39" w:rsidP="009B5E39">
      <w:pPr>
        <w:pStyle w:val="Prrafodelista"/>
        <w:numPr>
          <w:ilvl w:val="0"/>
          <w:numId w:val="207"/>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Un anuncio de identificación iluminado u opaco, por cada frente de predio, fraccionamiento o desarrollo habitacional, que no exceda de 1.20 metros cuadrados; </w:t>
      </w:r>
    </w:p>
    <w:p w14:paraId="3A4750D6" w14:textId="77777777" w:rsidR="009B5E39" w:rsidRPr="006D6A0D" w:rsidRDefault="009B5E39" w:rsidP="009B5E39">
      <w:pPr>
        <w:pStyle w:val="Prrafodelista"/>
        <w:numPr>
          <w:ilvl w:val="0"/>
          <w:numId w:val="207"/>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Un anuncio eventual en el plano vertical, sin iluminar, por cada frente de predios en construcción; </w:t>
      </w:r>
    </w:p>
    <w:p w14:paraId="3A4750D7" w14:textId="77777777" w:rsidR="009B5E39" w:rsidRPr="006D6A0D" w:rsidRDefault="009B5E39" w:rsidP="009B5E39">
      <w:pPr>
        <w:pStyle w:val="Prrafodelista"/>
        <w:numPr>
          <w:ilvl w:val="0"/>
          <w:numId w:val="207"/>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Un anuncio domiciliar por bien inmueble institucional, iluminado u opaco, ubicado en zona habitacional como escuelas, iglesias, servicios de salud pública, cuya superficie no exceda de 0.60 metros cuadrados; y </w:t>
      </w:r>
    </w:p>
    <w:p w14:paraId="3A4750D8" w14:textId="77777777" w:rsidR="009B5E39" w:rsidRPr="006D6A0D" w:rsidRDefault="009B5E39" w:rsidP="009B5E39">
      <w:pPr>
        <w:pStyle w:val="Prrafodelista"/>
        <w:numPr>
          <w:ilvl w:val="0"/>
          <w:numId w:val="207"/>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El horario de encendido para los anuncios con la variante: luminosos o iluminados, deberá ser de las 08:00 horas a las 22:00 horas en zonas habitacionales, con las excepciones que para los horarios de establecimientos establezca la reglamentación de la materia. </w:t>
      </w:r>
    </w:p>
    <w:p w14:paraId="3A4750D9" w14:textId="77777777" w:rsidR="009B5E39" w:rsidRPr="006D6A0D" w:rsidRDefault="009B5E39" w:rsidP="009B5E39">
      <w:pPr>
        <w:autoSpaceDE w:val="0"/>
        <w:autoSpaceDN w:val="0"/>
        <w:adjustRightInd w:val="0"/>
        <w:ind w:left="283" w:right="283"/>
        <w:rPr>
          <w:rFonts w:ascii="Gotham" w:hAnsi="Gotham" w:cs="Arial"/>
          <w:sz w:val="19"/>
          <w:szCs w:val="19"/>
        </w:rPr>
      </w:pPr>
    </w:p>
    <w:p w14:paraId="3A4750DA"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48°. </w:t>
      </w:r>
      <w:r w:rsidRPr="006D6A0D">
        <w:rPr>
          <w:rFonts w:ascii="Gotham" w:hAnsi="Gotham" w:cs="Arial"/>
          <w:sz w:val="19"/>
          <w:szCs w:val="19"/>
        </w:rPr>
        <w:t xml:space="preserve">En las zonas habitacionales descritas en el Programa Municipal de Desarrollo Urbano, el Plan de Desarrollo Urbano de Centro de Población, se prohíbe la instalación de pantallas electrónicas, así como los clasificados como sin estructura soportante del tipo voladizo, aun cuando se cuente con el consentimiento del titular o poseedor del predio. </w:t>
      </w:r>
    </w:p>
    <w:p w14:paraId="3A4750DB"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p>
    <w:p w14:paraId="3A4750DC"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49°. </w:t>
      </w:r>
      <w:r w:rsidRPr="006D6A0D">
        <w:rPr>
          <w:rFonts w:ascii="Gotham" w:hAnsi="Gotham" w:cs="Arial"/>
          <w:sz w:val="19"/>
          <w:szCs w:val="19"/>
        </w:rPr>
        <w:t>En las zonas de usos mixto</w:t>
      </w:r>
      <w:r w:rsidRPr="006D6A0D">
        <w:rPr>
          <w:rFonts w:ascii="Gotham" w:hAnsi="Gotham" w:cs="Arial"/>
          <w:color w:val="000000"/>
          <w:sz w:val="19"/>
          <w:szCs w:val="19"/>
        </w:rPr>
        <w:t xml:space="preserve"> Comercio y Servicios, de Servicios a la Industria y el Comercio</w:t>
      </w:r>
      <w:r w:rsidRPr="006D6A0D">
        <w:rPr>
          <w:rFonts w:ascii="Gotham" w:hAnsi="Gotham" w:cs="Arial"/>
          <w:sz w:val="19"/>
          <w:szCs w:val="19"/>
        </w:rPr>
        <w:t xml:space="preserve"> e instalación de infraestructura, se permiten los anuncios citados en el artículo 46 y cualquiera de los tipos mencionados en el Título II, Capítulo II del presente reglamento, siempre y cuando cumplan con la normatividad de anuncios establecida en este reglamento. En zonas de uso Mixto Barrial, Mixto Distrital y Mixto Central, el horario de encendido de los anuncios debe ser de las 08:00 horas a las 23:00 horas para anuncios que colinden con viviendas, con las excepciones que para los horarios de establecimientos establezca la reglamentación de la materia. </w:t>
      </w:r>
    </w:p>
    <w:p w14:paraId="3A4750DD"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p>
    <w:p w14:paraId="3A4750DE"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50°. </w:t>
      </w:r>
      <w:r w:rsidRPr="006D6A0D">
        <w:rPr>
          <w:rFonts w:ascii="Gotham" w:hAnsi="Gotham" w:cs="Arial"/>
          <w:sz w:val="19"/>
          <w:szCs w:val="19"/>
        </w:rPr>
        <w:t xml:space="preserve">Los anuncios permitidos en zonas de </w:t>
      </w:r>
      <w:r w:rsidRPr="006D6A0D">
        <w:rPr>
          <w:rFonts w:ascii="Gotham" w:hAnsi="Gotham" w:cs="Arial"/>
          <w:color w:val="000000"/>
          <w:sz w:val="19"/>
          <w:szCs w:val="19"/>
        </w:rPr>
        <w:t>Preservación Ecológica y en Espacios Verdes, Abiertos y Recreativos</w:t>
      </w:r>
      <w:r w:rsidRPr="006D6A0D">
        <w:rPr>
          <w:rFonts w:ascii="Gotham" w:hAnsi="Gotham" w:cs="Arial"/>
          <w:sz w:val="19"/>
          <w:szCs w:val="19"/>
        </w:rPr>
        <w:t xml:space="preserve"> son los mencionados en el </w:t>
      </w:r>
      <w:bookmarkStart w:id="26" w:name="_Hlk132887312"/>
      <w:r w:rsidRPr="006D6A0D">
        <w:rPr>
          <w:rFonts w:ascii="Gotham" w:hAnsi="Gotham" w:cs="Arial"/>
          <w:sz w:val="19"/>
          <w:szCs w:val="19"/>
        </w:rPr>
        <w:t xml:space="preserve">artículo </w:t>
      </w:r>
      <w:r w:rsidRPr="006D6A0D">
        <w:rPr>
          <w:rFonts w:ascii="Gotham" w:hAnsi="Gotham" w:cs="Arial"/>
          <w:bCs/>
          <w:sz w:val="19"/>
          <w:szCs w:val="19"/>
        </w:rPr>
        <w:t xml:space="preserve">47° </w:t>
      </w:r>
      <w:bookmarkEnd w:id="26"/>
      <w:r w:rsidRPr="006D6A0D">
        <w:rPr>
          <w:rFonts w:ascii="Gotham" w:hAnsi="Gotham" w:cs="Arial"/>
          <w:sz w:val="19"/>
          <w:szCs w:val="19"/>
        </w:rPr>
        <w:t xml:space="preserve">con excepción de la fracción III, además de los anuncios clasificados como sin estructura soportante o eventuales. </w:t>
      </w:r>
    </w:p>
    <w:p w14:paraId="3A4750DF"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p>
    <w:p w14:paraId="3A4750E0" w14:textId="77777777" w:rsidR="009B5E39"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51°. </w:t>
      </w:r>
      <w:r w:rsidRPr="006D6A0D">
        <w:rPr>
          <w:rFonts w:ascii="Gotham" w:hAnsi="Gotham" w:cs="Arial"/>
          <w:sz w:val="19"/>
          <w:szCs w:val="19"/>
        </w:rPr>
        <w:t xml:space="preserve">Los anuncios permitidos en zonas de Equipamiento Institucional y especial son los siguientes: </w:t>
      </w:r>
    </w:p>
    <w:p w14:paraId="3A4750E1"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p>
    <w:p w14:paraId="3A4750E2" w14:textId="77777777" w:rsidR="009B5E39" w:rsidRPr="006D6A0D" w:rsidRDefault="009B5E39" w:rsidP="009B5E39">
      <w:pPr>
        <w:pStyle w:val="Prrafodelista"/>
        <w:numPr>
          <w:ilvl w:val="0"/>
          <w:numId w:val="208"/>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Los mencionados en el artículo </w:t>
      </w:r>
      <w:r w:rsidRPr="006D6A0D">
        <w:rPr>
          <w:rFonts w:ascii="Gotham" w:hAnsi="Gotham" w:cs="Arial"/>
          <w:bCs/>
          <w:sz w:val="19"/>
          <w:szCs w:val="19"/>
        </w:rPr>
        <w:t>47°</w:t>
      </w:r>
      <w:r w:rsidRPr="006D6A0D">
        <w:rPr>
          <w:rFonts w:ascii="Gotham" w:hAnsi="Gotham" w:cs="Arial"/>
          <w:sz w:val="19"/>
          <w:szCs w:val="19"/>
        </w:rPr>
        <w:t xml:space="preserve">; </w:t>
      </w:r>
    </w:p>
    <w:p w14:paraId="3A4750E3" w14:textId="77777777" w:rsidR="009B5E39" w:rsidRPr="006D6A0D" w:rsidRDefault="009B5E39" w:rsidP="009B5E39">
      <w:pPr>
        <w:pStyle w:val="Prrafodelista"/>
        <w:numPr>
          <w:ilvl w:val="0"/>
          <w:numId w:val="208"/>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Los anuncios clasificados como sin estructura soportante; </w:t>
      </w:r>
    </w:p>
    <w:p w14:paraId="3A4750E4" w14:textId="77777777" w:rsidR="009B5E39" w:rsidRPr="006D6A0D" w:rsidRDefault="009B5E39" w:rsidP="009B5E39">
      <w:pPr>
        <w:pStyle w:val="Prrafodelista"/>
        <w:numPr>
          <w:ilvl w:val="0"/>
          <w:numId w:val="208"/>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Los anuncios clasificados como eventuales; y </w:t>
      </w:r>
    </w:p>
    <w:p w14:paraId="3A4750E5" w14:textId="77777777" w:rsidR="009B5E39" w:rsidRPr="006D6A0D" w:rsidRDefault="009B5E39" w:rsidP="009B5E39">
      <w:pPr>
        <w:pStyle w:val="Prrafodelista"/>
        <w:numPr>
          <w:ilvl w:val="0"/>
          <w:numId w:val="208"/>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Cualquiera de los tipos mencionados en el Título IV, siempre y cuando cumplan con la normatividad de anuncios establecida en este reglamento. </w:t>
      </w:r>
    </w:p>
    <w:p w14:paraId="3A4750E6"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E7"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themeColor="text1"/>
          <w:sz w:val="19"/>
          <w:szCs w:val="19"/>
        </w:rPr>
      </w:pPr>
      <w:bookmarkStart w:id="27" w:name="_Hlk129614684"/>
      <w:r w:rsidRPr="006D6A0D">
        <w:rPr>
          <w:rFonts w:ascii="Gotham" w:hAnsi="Gotham" w:cs="Arial"/>
          <w:b/>
          <w:bCs/>
          <w:sz w:val="19"/>
          <w:szCs w:val="19"/>
        </w:rPr>
        <w:t xml:space="preserve">Artículo 52°. </w:t>
      </w:r>
      <w:r w:rsidRPr="006D6A0D">
        <w:rPr>
          <w:rFonts w:ascii="Gotham" w:hAnsi="Gotham" w:cs="Arial"/>
          <w:color w:val="000000" w:themeColor="text1"/>
          <w:sz w:val="19"/>
          <w:szCs w:val="19"/>
        </w:rPr>
        <w:t xml:space="preserve">Las zonas de Conservación, Protección y Preservación del Patrimonio Cultural Urbano comprenden las zonas y polígonos de protección del patrimonio edificado especificados dentro cualquier otra zona de conservación definida en el Plan de Centro de Población del Municipio. </w:t>
      </w:r>
      <w:bookmarkEnd w:id="27"/>
      <w:r w:rsidRPr="006D6A0D">
        <w:rPr>
          <w:rFonts w:ascii="Gotham" w:hAnsi="Gotham" w:cs="Arial"/>
          <w:color w:val="000000" w:themeColor="text1"/>
          <w:sz w:val="19"/>
          <w:szCs w:val="19"/>
        </w:rPr>
        <w:t xml:space="preserve">Esta delimitación incluye todos los predios que tengan frente a la vía pública señalada como límite. </w:t>
      </w:r>
    </w:p>
    <w:p w14:paraId="3A4750E8"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themeColor="text1"/>
          <w:sz w:val="19"/>
          <w:szCs w:val="19"/>
        </w:rPr>
      </w:pPr>
    </w:p>
    <w:p w14:paraId="3A4750E9"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themeColor="text1"/>
          <w:sz w:val="19"/>
          <w:szCs w:val="19"/>
        </w:rPr>
      </w:pPr>
      <w:r w:rsidRPr="006D6A0D">
        <w:rPr>
          <w:rFonts w:ascii="Gotham" w:hAnsi="Gotham" w:cs="Arial"/>
          <w:color w:val="000000" w:themeColor="text1"/>
          <w:sz w:val="19"/>
          <w:szCs w:val="19"/>
        </w:rPr>
        <w:t xml:space="preserve">Los anuncios permitidos en zonas de protección histórico-patrimonial son los mencionados en el </w:t>
      </w:r>
      <w:r w:rsidRPr="006D6A0D">
        <w:rPr>
          <w:rFonts w:ascii="Gotham" w:hAnsi="Gotham" w:cs="Arial"/>
          <w:sz w:val="19"/>
          <w:szCs w:val="19"/>
        </w:rPr>
        <w:t xml:space="preserve">artículo </w:t>
      </w:r>
      <w:r w:rsidRPr="006D6A0D">
        <w:rPr>
          <w:rFonts w:ascii="Gotham" w:hAnsi="Gotham" w:cs="Arial"/>
          <w:bCs/>
          <w:sz w:val="19"/>
          <w:szCs w:val="19"/>
        </w:rPr>
        <w:t>47°</w:t>
      </w:r>
      <w:r w:rsidRPr="006D6A0D">
        <w:rPr>
          <w:rFonts w:ascii="Gotham" w:hAnsi="Gotham" w:cs="Arial"/>
          <w:color w:val="000000" w:themeColor="text1"/>
          <w:sz w:val="19"/>
          <w:szCs w:val="19"/>
        </w:rPr>
        <w:t xml:space="preserve">, con excepción de lo dispuesto en el presente Reglamento. </w:t>
      </w:r>
    </w:p>
    <w:p w14:paraId="3A4750EA"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themeColor="text1"/>
          <w:sz w:val="19"/>
          <w:szCs w:val="19"/>
        </w:rPr>
      </w:pPr>
    </w:p>
    <w:p w14:paraId="3A4750EB"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themeColor="text1"/>
          <w:sz w:val="19"/>
          <w:szCs w:val="19"/>
        </w:rPr>
      </w:pPr>
      <w:r w:rsidRPr="006D6A0D">
        <w:rPr>
          <w:rFonts w:ascii="Gotham" w:hAnsi="Gotham" w:cs="Arial"/>
          <w:color w:val="000000" w:themeColor="text1"/>
          <w:sz w:val="19"/>
          <w:szCs w:val="19"/>
        </w:rPr>
        <w:t xml:space="preserve">Todo anuncio permitido por este y otros ordenamientos que pretenda colocarse dentro de las áreas de protección al patrimonio histórico, deberá de contar con el visto bueno de la Dirección General de Servicios Públicos Municipales a través de su área de Centro Histórico </w:t>
      </w:r>
    </w:p>
    <w:p w14:paraId="3A4750EC"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themeColor="text1"/>
          <w:sz w:val="19"/>
          <w:szCs w:val="19"/>
        </w:rPr>
      </w:pPr>
    </w:p>
    <w:p w14:paraId="3A4750ED" w14:textId="77777777" w:rsidR="009B5E39"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53°. </w:t>
      </w:r>
      <w:r w:rsidRPr="006D6A0D">
        <w:rPr>
          <w:rFonts w:ascii="Gotham" w:hAnsi="Gotham" w:cs="Arial"/>
          <w:sz w:val="19"/>
          <w:szCs w:val="19"/>
        </w:rPr>
        <w:t xml:space="preserve">Se permite únicamente la instalación de anuncios en las zonas de Protección al Patrimonio Cultural Urbano referidos a la razón o denominación social del establecimiento comercial o de servicios como consta en el registro del giro correspondiente y de acuerdo a las siguientes características: </w:t>
      </w:r>
    </w:p>
    <w:p w14:paraId="3A4750EE"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p>
    <w:p w14:paraId="3A4750EF"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superficie total de los anuncios debe cubrir un máximo del diez por ciento de la fachada frontal de la planta baja del edificio, y estar contenidos en un solo elemento. Su colocación deberá ser en forma horizontal; </w:t>
      </w:r>
    </w:p>
    <w:p w14:paraId="3A4750F0"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altura máxima de letras y cifras es de 0.40 metros en bienes inmuebles de una sola planta y 0.60 metros en bienes inmuebles con más de un nivel; </w:t>
      </w:r>
    </w:p>
    <w:p w14:paraId="3A4750F1"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Se permiten anuncios rotulados en fachada y de letras individuales y paralelos al frente de los bienes inmuebles; </w:t>
      </w:r>
    </w:p>
    <w:p w14:paraId="3A4750F2"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altura del elemento del anuncio no puede ser mayor a 5.00 metros; </w:t>
      </w:r>
    </w:p>
    <w:p w14:paraId="3A4750F3"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Los anuncios de letras individuales no pueden sobresalir más de 0.20 metros del alineamiento oficial o paño de construcción; </w:t>
      </w:r>
    </w:p>
    <w:p w14:paraId="3A4750F4"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Para los anuncios rotulados sólo se permiten dos renglones como máximo; no se puede subdividir la fachada del bien inmueble con color en el área del anuncio. Los colores permitidos para el anuncio serán negro, blanco, gris, plata, ocre, tinto y marrón; quedan prohibidos los colores fluorescentes; </w:t>
      </w:r>
    </w:p>
    <w:p w14:paraId="3A4750F5"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Dentro de las zonas y polígonos de protección del patrimonio edificado</w:t>
      </w:r>
      <w:r w:rsidRPr="006D6A0D">
        <w:rPr>
          <w:rFonts w:ascii="Gotham" w:hAnsi="Gotham" w:cs="Arial"/>
          <w:sz w:val="19"/>
          <w:szCs w:val="19"/>
        </w:rPr>
        <w:t xml:space="preserve"> especificados en el Plan de Desarrollo Urbano de Centro de Población sólo serán permitidos los anuncios en letras individuales con materiales metálicos en color oro, plata o negro y los anuncios rotulados conforme a la fracción VI de este artículo; </w:t>
      </w:r>
    </w:p>
    <w:p w14:paraId="3A4750F6"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altura mínima del inicio de los anuncios será de </w:t>
      </w:r>
      <w:r w:rsidRPr="006D6A0D">
        <w:rPr>
          <w:rFonts w:ascii="Gotham" w:hAnsi="Gotham" w:cs="Arial"/>
          <w:bCs/>
          <w:sz w:val="19"/>
          <w:szCs w:val="19"/>
        </w:rPr>
        <w:t xml:space="preserve">2.30 </w:t>
      </w:r>
      <w:r w:rsidRPr="006D6A0D">
        <w:rPr>
          <w:rFonts w:ascii="Gotham" w:hAnsi="Gotham" w:cs="Arial"/>
          <w:sz w:val="19"/>
          <w:szCs w:val="19"/>
        </w:rPr>
        <w:t xml:space="preserve">metros; </w:t>
      </w:r>
    </w:p>
    <w:p w14:paraId="3A4750F7" w14:textId="77777777" w:rsidR="009B5E39" w:rsidRPr="006D6A0D" w:rsidRDefault="009B5E39" w:rsidP="009B5E39">
      <w:pPr>
        <w:pStyle w:val="Prrafodelista"/>
        <w:numPr>
          <w:ilvl w:val="1"/>
          <w:numId w:val="21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iluminación de anuncios debe ser indirecta; </w:t>
      </w:r>
    </w:p>
    <w:p w14:paraId="3A4750F8" w14:textId="77777777" w:rsidR="009B5E39" w:rsidRPr="006D6A0D" w:rsidRDefault="009B5E39" w:rsidP="009B5E39">
      <w:pPr>
        <w:pStyle w:val="Prrafodelista"/>
        <w:numPr>
          <w:ilvl w:val="1"/>
          <w:numId w:val="215"/>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No se permite la colocación de anuncios tipo bandera, perpendiculares a la fachada. </w:t>
      </w:r>
    </w:p>
    <w:p w14:paraId="3A4750F9"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FA"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54°. </w:t>
      </w:r>
      <w:r w:rsidRPr="006D6A0D">
        <w:rPr>
          <w:rFonts w:ascii="Gotham" w:hAnsi="Gotham" w:cs="Arial"/>
          <w:sz w:val="19"/>
          <w:szCs w:val="19"/>
        </w:rPr>
        <w:t xml:space="preserve">En las zonas y polígonos </w:t>
      </w:r>
      <w:r w:rsidRPr="006D6A0D">
        <w:rPr>
          <w:rFonts w:ascii="Gotham" w:hAnsi="Gotham" w:cs="Arial"/>
          <w:color w:val="000000" w:themeColor="text1"/>
          <w:sz w:val="19"/>
          <w:szCs w:val="19"/>
        </w:rPr>
        <w:t>Conservación, Protección y Preservación del Patrimonio Cultural Urbano comprenden las zonas y polígonos de protección del patrimonio edificado especificados dentro cualquier otra zona de conservación definida en el Plan de Centro de Población del Municipio</w:t>
      </w:r>
      <w:r w:rsidRPr="006D6A0D">
        <w:rPr>
          <w:rFonts w:ascii="Gotham" w:hAnsi="Gotham" w:cs="Arial"/>
          <w:sz w:val="19"/>
          <w:szCs w:val="19"/>
        </w:rPr>
        <w:t xml:space="preserve"> quedan prohibidos los anuncios clasificados como de tipo gabinete corrido, de neón, pantallas electrónicas, fluorescentes y voladizo, así como los anuncios eventuales de tipo cartelera en cualquiera de sus variantes. </w:t>
      </w:r>
    </w:p>
    <w:p w14:paraId="3A4750FB"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FC" w14:textId="77777777" w:rsidR="009B5E39" w:rsidRDefault="009B5E39" w:rsidP="009B5E39">
      <w:pPr>
        <w:autoSpaceDE w:val="0"/>
        <w:autoSpaceDN w:val="0"/>
        <w:adjustRightInd w:val="0"/>
        <w:ind w:left="283" w:right="283"/>
        <w:jc w:val="both"/>
        <w:rPr>
          <w:rFonts w:ascii="Gotham" w:hAnsi="Gotham" w:cs="Arial"/>
          <w:sz w:val="19"/>
          <w:szCs w:val="19"/>
        </w:rPr>
      </w:pPr>
      <w:bookmarkStart w:id="28" w:name="_Hlk129691986"/>
      <w:r w:rsidRPr="006D6A0D">
        <w:rPr>
          <w:rFonts w:ascii="Gotham" w:hAnsi="Gotham" w:cs="Arial"/>
          <w:b/>
          <w:bCs/>
          <w:sz w:val="19"/>
          <w:szCs w:val="19"/>
        </w:rPr>
        <w:t xml:space="preserve">Artículo 55°. </w:t>
      </w:r>
      <w:bookmarkEnd w:id="28"/>
      <w:r w:rsidRPr="006D6A0D">
        <w:rPr>
          <w:rFonts w:ascii="Gotham" w:hAnsi="Gotham" w:cs="Arial"/>
          <w:sz w:val="19"/>
          <w:szCs w:val="19"/>
        </w:rPr>
        <w:t xml:space="preserve">Queda prohibida la instalación o pintura de cualquier tipo de anuncio en los siguientes sitios: </w:t>
      </w:r>
    </w:p>
    <w:p w14:paraId="3A4750FD"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0FE" w14:textId="77777777" w:rsidR="009B5E39" w:rsidRPr="006D6A0D" w:rsidRDefault="009B5E39" w:rsidP="009B5E39">
      <w:pPr>
        <w:pStyle w:val="Prrafodelista"/>
        <w:numPr>
          <w:ilvl w:val="1"/>
          <w:numId w:val="21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edificios y espacios urbanos públicos de valor patrimonial como monumentos, escuelas, templos o cualquier otro que a juicio de la Jefatura de Centro Histórico del municipio así lo considere; </w:t>
      </w:r>
    </w:p>
    <w:p w14:paraId="3A4750FF" w14:textId="77777777" w:rsidR="009B5E39" w:rsidRPr="006D6A0D" w:rsidRDefault="009B5E39" w:rsidP="009B5E39">
      <w:pPr>
        <w:pStyle w:val="Prrafodelista"/>
        <w:numPr>
          <w:ilvl w:val="1"/>
          <w:numId w:val="21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los remates visuales de las calles, en las azoteas, en las fachadas laterales de los bienes inmuebles sin frente a la vía pública colindantes con predios vecinos y en muros de lotes baldíos; </w:t>
      </w:r>
    </w:p>
    <w:p w14:paraId="3A475100" w14:textId="77777777" w:rsidR="009B5E39" w:rsidRPr="006D6A0D" w:rsidRDefault="009B5E39" w:rsidP="009B5E39">
      <w:pPr>
        <w:pStyle w:val="Prrafodelista"/>
        <w:numPr>
          <w:ilvl w:val="1"/>
          <w:numId w:val="21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postes, interior y exterior de los portales públicos y en el mobiliario urbano que no contenga un lugar ex profeso para tal uso autorizado por el Ayuntamiento; </w:t>
      </w:r>
    </w:p>
    <w:p w14:paraId="3A475101" w14:textId="77777777" w:rsidR="009B5E39" w:rsidRPr="006D6A0D" w:rsidRDefault="009B5E39" w:rsidP="009B5E39">
      <w:pPr>
        <w:pStyle w:val="Prrafodelista"/>
        <w:numPr>
          <w:ilvl w:val="1"/>
          <w:numId w:val="21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Sobre los vanos, cornisas, cortinas metálicas de los locales o elementos arquitectónicos decorativos en las fachadas, así como banderines colocados en las fachadas; </w:t>
      </w:r>
    </w:p>
    <w:p w14:paraId="3A475102" w14:textId="77777777" w:rsidR="009B5E39" w:rsidRPr="006D6A0D" w:rsidRDefault="009B5E39" w:rsidP="009B5E39">
      <w:pPr>
        <w:pStyle w:val="Prrafodelista"/>
        <w:numPr>
          <w:ilvl w:val="1"/>
          <w:numId w:val="21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Sobre o colgando de las marquesinas; </w:t>
      </w:r>
    </w:p>
    <w:p w14:paraId="3A475103" w14:textId="77777777" w:rsidR="009B5E39" w:rsidRPr="006D6A0D" w:rsidRDefault="009B5E39" w:rsidP="009B5E39">
      <w:pPr>
        <w:pStyle w:val="Prrafodelista"/>
        <w:numPr>
          <w:ilvl w:val="1"/>
          <w:numId w:val="21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parte interior de los marcos de los vanos de acceso a los establecimientos que den a la calle; </w:t>
      </w:r>
    </w:p>
    <w:p w14:paraId="3A475104" w14:textId="77777777" w:rsidR="009B5E39" w:rsidRPr="006D6A0D" w:rsidRDefault="009B5E39" w:rsidP="009B5E39">
      <w:pPr>
        <w:pStyle w:val="Prrafodelista"/>
        <w:numPr>
          <w:ilvl w:val="1"/>
          <w:numId w:val="21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Los costados de los toldos;</w:t>
      </w:r>
    </w:p>
    <w:p w14:paraId="3A475105" w14:textId="77777777" w:rsidR="009B5E39" w:rsidRPr="006D6A0D" w:rsidRDefault="009B5E39" w:rsidP="009B5E39">
      <w:pPr>
        <w:pStyle w:val="Prrafodelista"/>
        <w:numPr>
          <w:ilvl w:val="1"/>
          <w:numId w:val="21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Adheridos en ventanales o aparadores de los bienes inmuebles que tengan vista a la vía pública; y </w:t>
      </w:r>
    </w:p>
    <w:p w14:paraId="3A475106" w14:textId="77777777" w:rsidR="009B5E39" w:rsidRPr="006D6A0D" w:rsidRDefault="009B5E39" w:rsidP="009B5E39">
      <w:pPr>
        <w:pStyle w:val="Prrafodelista"/>
        <w:numPr>
          <w:ilvl w:val="1"/>
          <w:numId w:val="214"/>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Los demás establecidos por este reglamento u otros ordenamientos legales y reglamentarios aplicables en la materia.</w:t>
      </w:r>
    </w:p>
    <w:p w14:paraId="3A475107"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 </w:t>
      </w:r>
    </w:p>
    <w:p w14:paraId="3A475108"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09"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r w:rsidRPr="006D6A0D">
        <w:rPr>
          <w:rFonts w:ascii="Gotham" w:hAnsi="Gotham" w:cs="Arial"/>
          <w:b/>
          <w:bCs/>
          <w:color w:val="000000"/>
          <w:sz w:val="19"/>
          <w:szCs w:val="19"/>
        </w:rPr>
        <w:t>Capítulo II</w:t>
      </w:r>
    </w:p>
    <w:p w14:paraId="3A47510A" w14:textId="77777777" w:rsidR="009B5E39" w:rsidRPr="006D6A0D" w:rsidRDefault="009B5E39" w:rsidP="009B5E39">
      <w:pPr>
        <w:autoSpaceDE w:val="0"/>
        <w:autoSpaceDN w:val="0"/>
        <w:adjustRightInd w:val="0"/>
        <w:ind w:left="283" w:right="283"/>
        <w:jc w:val="center"/>
        <w:rPr>
          <w:rFonts w:ascii="Gotham" w:hAnsi="Gotham" w:cs="Arial"/>
          <w:b/>
          <w:bCs/>
          <w:color w:val="000000"/>
          <w:sz w:val="19"/>
          <w:szCs w:val="19"/>
        </w:rPr>
      </w:pPr>
      <w:r w:rsidRPr="006D6A0D">
        <w:rPr>
          <w:rFonts w:ascii="Gotham" w:hAnsi="Gotham" w:cs="Arial"/>
          <w:b/>
          <w:bCs/>
          <w:color w:val="000000"/>
          <w:sz w:val="19"/>
          <w:szCs w:val="19"/>
        </w:rPr>
        <w:t>Hitos Urbanos</w:t>
      </w:r>
    </w:p>
    <w:p w14:paraId="3A47510B" w14:textId="77777777" w:rsidR="009B5E39" w:rsidRPr="006D6A0D" w:rsidRDefault="009B5E39" w:rsidP="009B5E39">
      <w:pPr>
        <w:autoSpaceDE w:val="0"/>
        <w:autoSpaceDN w:val="0"/>
        <w:adjustRightInd w:val="0"/>
        <w:ind w:left="283" w:right="283"/>
        <w:rPr>
          <w:rFonts w:ascii="Gotham" w:hAnsi="Gotham" w:cs="Arial"/>
          <w:color w:val="000000"/>
          <w:sz w:val="19"/>
          <w:szCs w:val="19"/>
        </w:rPr>
      </w:pPr>
      <w:r w:rsidRPr="006D6A0D">
        <w:rPr>
          <w:rFonts w:ascii="Gotham" w:hAnsi="Gotham" w:cs="Arial"/>
          <w:b/>
          <w:bCs/>
          <w:color w:val="000000"/>
          <w:sz w:val="19"/>
          <w:szCs w:val="19"/>
        </w:rPr>
        <w:t xml:space="preserve"> </w:t>
      </w:r>
    </w:p>
    <w:p w14:paraId="3A47510C"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56°. </w:t>
      </w:r>
      <w:r w:rsidRPr="006D6A0D">
        <w:rPr>
          <w:rFonts w:ascii="Gotham" w:hAnsi="Gotham" w:cs="Arial"/>
          <w:color w:val="000000"/>
          <w:sz w:val="19"/>
          <w:szCs w:val="19"/>
        </w:rPr>
        <w:t xml:space="preserve">Se entienden como hitos urbanos en el espacio público, todas aquellas calles, avenidas, nodos viales, plazas, parques, edificios, esculturas, monumentos, así como su entorno inmediato, que son representativos para el municipio, y sirven como elementos de orientación y referencia dentro del espacio urbano delimitado; los cuales se clasifican en: </w:t>
      </w:r>
    </w:p>
    <w:p w14:paraId="3A47510D"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0E" w14:textId="77777777" w:rsidR="009B5E39" w:rsidRPr="006D6A0D" w:rsidRDefault="009B5E39" w:rsidP="009B5E39">
      <w:pPr>
        <w:pStyle w:val="Prrafodelista"/>
        <w:numPr>
          <w:ilvl w:val="1"/>
          <w:numId w:val="21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Populares: aquellos de los cuales la gente se ha apropiado porque tienen la capacidad de generar un valor de identidad y sirven como referencia dentro del espacio público, pueden ser desde una escala de barrio hasta una escala de ciudad; </w:t>
      </w:r>
    </w:p>
    <w:p w14:paraId="3A47510F" w14:textId="77777777" w:rsidR="009B5E39" w:rsidRPr="006D6A0D" w:rsidRDefault="009B5E39" w:rsidP="009B5E39">
      <w:pPr>
        <w:pStyle w:val="Prrafodelista"/>
        <w:numPr>
          <w:ilvl w:val="1"/>
          <w:numId w:val="21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Históricos: todos aquellos edificios y monumentos que, por su valor patrimonial, histórico, ambiental o artístico, están protegidos de conformidad a la Ley Federal de Monumentos y Zonas Arqueológicas, Artísticos e Históricos, la Ley del Patrimonio Cultural del Estado de Jalisco, y a las disposiciones municipales en materia de patrimonio cultural urbano; </w:t>
      </w:r>
    </w:p>
    <w:p w14:paraId="3A475110" w14:textId="77777777" w:rsidR="009B5E39" w:rsidRPr="006D6A0D" w:rsidRDefault="009B5E39" w:rsidP="009B5E39">
      <w:pPr>
        <w:pStyle w:val="Prrafodelista"/>
        <w:numPr>
          <w:ilvl w:val="1"/>
          <w:numId w:val="210"/>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Naturales: se refiere a paisajes emblemáticos entre los cuales se encuentran los árboles o conjunto de éstos que, por su tamaño, edad, historia o ubicación, son representativos para </w:t>
      </w:r>
      <w:r w:rsidRPr="006D6A0D">
        <w:rPr>
          <w:rFonts w:ascii="Gotham" w:hAnsi="Gotham" w:cs="Arial"/>
          <w:color w:val="000000"/>
          <w:sz w:val="19"/>
          <w:szCs w:val="19"/>
        </w:rPr>
        <w:lastRenderedPageBreak/>
        <w:t xml:space="preserve">la ciudad y sirven como elementos de orientación y referencia dentro del espacio urbano delimitado, así como las áreas naturales protegidas; y, </w:t>
      </w:r>
    </w:p>
    <w:p w14:paraId="3A475111" w14:textId="77777777" w:rsidR="009B5E39" w:rsidRPr="006D6A0D" w:rsidRDefault="009B5E39" w:rsidP="009B5E39">
      <w:pPr>
        <w:pStyle w:val="Prrafodelista"/>
        <w:numPr>
          <w:ilvl w:val="1"/>
          <w:numId w:val="210"/>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Turísticos: son aquellos que fungen como centro de atracción de turistas locales, foráneos y extranjeros. </w:t>
      </w:r>
    </w:p>
    <w:p w14:paraId="3A475112" w14:textId="77777777" w:rsidR="009B5E39" w:rsidRDefault="009B5E39" w:rsidP="009B5E39">
      <w:pPr>
        <w:autoSpaceDE w:val="0"/>
        <w:autoSpaceDN w:val="0"/>
        <w:adjustRightInd w:val="0"/>
        <w:ind w:left="1134" w:right="283" w:hanging="851"/>
        <w:jc w:val="both"/>
        <w:rPr>
          <w:rFonts w:ascii="Gotham" w:hAnsi="Gotham" w:cs="Arial"/>
          <w:sz w:val="19"/>
          <w:szCs w:val="19"/>
        </w:rPr>
      </w:pPr>
    </w:p>
    <w:p w14:paraId="3A475113" w14:textId="77777777" w:rsidR="009B5E39" w:rsidRPr="006D6A0D" w:rsidRDefault="009B5E39" w:rsidP="009B5E39">
      <w:pPr>
        <w:autoSpaceDE w:val="0"/>
        <w:autoSpaceDN w:val="0"/>
        <w:adjustRightInd w:val="0"/>
        <w:ind w:left="284" w:right="283" w:hanging="1"/>
        <w:jc w:val="both"/>
        <w:rPr>
          <w:rFonts w:ascii="Gotham" w:hAnsi="Gotham" w:cs="Arial"/>
          <w:sz w:val="19"/>
          <w:szCs w:val="19"/>
        </w:rPr>
      </w:pPr>
      <w:r w:rsidRPr="006D6A0D">
        <w:rPr>
          <w:rFonts w:ascii="Gotham" w:hAnsi="Gotham" w:cs="Arial"/>
          <w:sz w:val="19"/>
          <w:szCs w:val="19"/>
        </w:rPr>
        <w:t xml:space="preserve">Para efectos de la aplicación de este reglamento se consideran hitos urbanos aquellos que sean definidos por la Dirección General de Planeación y Desarrollo Urbano Sustentable y la Jefatura de Centro Histórico del municipio, y cuya declaratoria como tales sea publicada en la Gaceta Municipal de Tonalá, Jalisco. </w:t>
      </w:r>
    </w:p>
    <w:p w14:paraId="3A475114" w14:textId="77777777" w:rsidR="009B5E39" w:rsidRDefault="009B5E39" w:rsidP="009B5E39">
      <w:pPr>
        <w:autoSpaceDE w:val="0"/>
        <w:autoSpaceDN w:val="0"/>
        <w:adjustRightInd w:val="0"/>
        <w:ind w:left="283" w:right="283"/>
        <w:rPr>
          <w:rFonts w:ascii="Gotham" w:hAnsi="Gotham" w:cs="Arial"/>
          <w:sz w:val="19"/>
          <w:szCs w:val="19"/>
        </w:rPr>
      </w:pPr>
    </w:p>
    <w:p w14:paraId="3A475115" w14:textId="77777777" w:rsidR="009B5E39" w:rsidRPr="006D6A0D" w:rsidRDefault="009B5E39" w:rsidP="009B5E39">
      <w:pPr>
        <w:autoSpaceDE w:val="0"/>
        <w:autoSpaceDN w:val="0"/>
        <w:adjustRightInd w:val="0"/>
        <w:ind w:left="283" w:right="283"/>
        <w:rPr>
          <w:rFonts w:ascii="Gotham" w:hAnsi="Gotham" w:cs="Arial"/>
          <w:sz w:val="19"/>
          <w:szCs w:val="19"/>
        </w:rPr>
      </w:pPr>
    </w:p>
    <w:p w14:paraId="3A475116" w14:textId="77777777" w:rsidR="009B5E39" w:rsidRPr="006D6A0D" w:rsidRDefault="009B5E39" w:rsidP="009B5E39">
      <w:pPr>
        <w:tabs>
          <w:tab w:val="left" w:pos="9639"/>
        </w:tabs>
        <w:autoSpaceDE w:val="0"/>
        <w:autoSpaceDN w:val="0"/>
        <w:adjustRightInd w:val="0"/>
        <w:ind w:left="283" w:right="283"/>
        <w:jc w:val="center"/>
        <w:rPr>
          <w:rFonts w:ascii="Gotham" w:hAnsi="Gotham" w:cs="Arial"/>
          <w:sz w:val="19"/>
          <w:szCs w:val="19"/>
        </w:rPr>
      </w:pPr>
      <w:r w:rsidRPr="006D6A0D">
        <w:rPr>
          <w:rFonts w:ascii="Gotham" w:hAnsi="Gotham" w:cs="Arial"/>
          <w:b/>
          <w:bCs/>
          <w:sz w:val="19"/>
          <w:szCs w:val="19"/>
        </w:rPr>
        <w:t>Capítulo III</w:t>
      </w:r>
    </w:p>
    <w:p w14:paraId="3A475117" w14:textId="77777777" w:rsidR="009B5E39" w:rsidRPr="006D6A0D" w:rsidRDefault="009B5E39" w:rsidP="009B5E39">
      <w:pPr>
        <w:tabs>
          <w:tab w:val="left" w:pos="9639"/>
        </w:tabs>
        <w:autoSpaceDE w:val="0"/>
        <w:autoSpaceDN w:val="0"/>
        <w:adjustRightInd w:val="0"/>
        <w:ind w:left="283" w:right="283"/>
        <w:jc w:val="center"/>
        <w:rPr>
          <w:rFonts w:ascii="Gotham" w:hAnsi="Gotham" w:cs="Arial"/>
          <w:b/>
          <w:bCs/>
          <w:sz w:val="19"/>
          <w:szCs w:val="19"/>
        </w:rPr>
      </w:pPr>
      <w:r w:rsidRPr="006D6A0D">
        <w:rPr>
          <w:rFonts w:ascii="Gotham" w:hAnsi="Gotham" w:cs="Arial"/>
          <w:b/>
          <w:bCs/>
          <w:sz w:val="19"/>
          <w:szCs w:val="19"/>
        </w:rPr>
        <w:t>Prohibiciones Generales</w:t>
      </w:r>
    </w:p>
    <w:p w14:paraId="3A475118" w14:textId="77777777" w:rsidR="009B5E39" w:rsidRPr="006D6A0D" w:rsidRDefault="009B5E39" w:rsidP="009B5E39">
      <w:pPr>
        <w:tabs>
          <w:tab w:val="left" w:pos="9639"/>
        </w:tabs>
        <w:autoSpaceDE w:val="0"/>
        <w:autoSpaceDN w:val="0"/>
        <w:adjustRightInd w:val="0"/>
        <w:ind w:left="283" w:right="283"/>
        <w:jc w:val="center"/>
        <w:rPr>
          <w:rFonts w:ascii="Gotham" w:hAnsi="Gotham" w:cs="Arial"/>
          <w:sz w:val="19"/>
          <w:szCs w:val="19"/>
        </w:rPr>
      </w:pPr>
    </w:p>
    <w:p w14:paraId="3A475119" w14:textId="77777777" w:rsidR="009B5E39" w:rsidRDefault="009B5E39" w:rsidP="009B5E39">
      <w:pPr>
        <w:autoSpaceDE w:val="0"/>
        <w:autoSpaceDN w:val="0"/>
        <w:adjustRightInd w:val="0"/>
        <w:ind w:left="283" w:right="283"/>
        <w:rPr>
          <w:rFonts w:ascii="Gotham" w:hAnsi="Gotham" w:cs="Arial"/>
          <w:bCs/>
          <w:sz w:val="19"/>
          <w:szCs w:val="19"/>
        </w:rPr>
      </w:pPr>
      <w:r w:rsidRPr="006D6A0D">
        <w:rPr>
          <w:rFonts w:ascii="Gotham" w:hAnsi="Gotham" w:cs="Arial"/>
          <w:b/>
          <w:bCs/>
          <w:sz w:val="19"/>
          <w:szCs w:val="19"/>
        </w:rPr>
        <w:t>Artículo 57°.</w:t>
      </w:r>
      <w:r w:rsidRPr="006D6A0D">
        <w:rPr>
          <w:rFonts w:ascii="Gotham" w:hAnsi="Gotham" w:cs="Arial"/>
          <w:bCs/>
          <w:sz w:val="19"/>
          <w:szCs w:val="19"/>
        </w:rPr>
        <w:t xml:space="preserve"> Queda prohibida en todas las zonas que conforman este municipio, la instalación de nuevos anuncios estructurales unipolares, de cartelera de piso o azotea y de pantallas electrónicas, o anuncios de tipo: </w:t>
      </w:r>
    </w:p>
    <w:p w14:paraId="3A47511A" w14:textId="77777777" w:rsidR="009B5E39" w:rsidRPr="006D6A0D" w:rsidRDefault="009B5E39" w:rsidP="009B5E39">
      <w:pPr>
        <w:autoSpaceDE w:val="0"/>
        <w:autoSpaceDN w:val="0"/>
        <w:adjustRightInd w:val="0"/>
        <w:ind w:left="283" w:right="283"/>
        <w:rPr>
          <w:rFonts w:ascii="Gotham" w:hAnsi="Gotham" w:cs="Arial"/>
          <w:sz w:val="19"/>
          <w:szCs w:val="19"/>
        </w:rPr>
      </w:pPr>
    </w:p>
    <w:p w14:paraId="3A47511B" w14:textId="77777777" w:rsidR="009B5E39" w:rsidRPr="006D6A0D" w:rsidRDefault="009B5E39" w:rsidP="009B5E39">
      <w:pPr>
        <w:pStyle w:val="Prrafodelista"/>
        <w:numPr>
          <w:ilvl w:val="1"/>
          <w:numId w:val="211"/>
        </w:numPr>
        <w:autoSpaceDE w:val="0"/>
        <w:autoSpaceDN w:val="0"/>
        <w:adjustRightInd w:val="0"/>
        <w:spacing w:after="120"/>
        <w:ind w:left="1134" w:right="283" w:hanging="851"/>
        <w:contextualSpacing w:val="0"/>
        <w:rPr>
          <w:rFonts w:ascii="Gotham" w:hAnsi="Gotham" w:cs="Arial"/>
          <w:sz w:val="19"/>
          <w:szCs w:val="19"/>
        </w:rPr>
      </w:pPr>
      <w:r w:rsidRPr="006D6A0D">
        <w:rPr>
          <w:rFonts w:ascii="Gotham" w:hAnsi="Gotham" w:cs="Arial"/>
          <w:sz w:val="19"/>
          <w:szCs w:val="19"/>
        </w:rPr>
        <w:t xml:space="preserve">Carteleras en cualquiera de sus categorías, a excepción de los tapiales; </w:t>
      </w:r>
    </w:p>
    <w:p w14:paraId="3A47511C" w14:textId="77777777" w:rsidR="009B5E39" w:rsidRPr="006D6A0D" w:rsidRDefault="009B5E39" w:rsidP="009B5E39">
      <w:pPr>
        <w:pStyle w:val="Prrafodelista"/>
        <w:numPr>
          <w:ilvl w:val="1"/>
          <w:numId w:val="211"/>
        </w:numPr>
        <w:autoSpaceDE w:val="0"/>
        <w:autoSpaceDN w:val="0"/>
        <w:adjustRightInd w:val="0"/>
        <w:spacing w:after="120"/>
        <w:ind w:left="1134" w:right="283" w:hanging="851"/>
        <w:contextualSpacing w:val="0"/>
        <w:rPr>
          <w:rFonts w:ascii="Gotham" w:hAnsi="Gotham" w:cs="Arial"/>
          <w:sz w:val="19"/>
          <w:szCs w:val="19"/>
        </w:rPr>
      </w:pPr>
      <w:r w:rsidRPr="006D6A0D">
        <w:rPr>
          <w:rFonts w:ascii="Gotham" w:hAnsi="Gotham" w:cs="Arial"/>
          <w:sz w:val="19"/>
          <w:szCs w:val="19"/>
        </w:rPr>
        <w:t xml:space="preserve">Los elaborados con piedras o materiales similares en bordos de ríos o presas y en cualquier otro lugar, respecto de cualquier inscripción publicitaria, por la afectación de la perspectiva panorámica o la armonía del paisaje; </w:t>
      </w:r>
    </w:p>
    <w:p w14:paraId="3A47511D" w14:textId="77777777" w:rsidR="009B5E39" w:rsidRPr="006D6A0D" w:rsidRDefault="009B5E39" w:rsidP="009B5E39">
      <w:pPr>
        <w:pStyle w:val="Prrafodelista"/>
        <w:numPr>
          <w:ilvl w:val="1"/>
          <w:numId w:val="211"/>
        </w:numPr>
        <w:autoSpaceDE w:val="0"/>
        <w:autoSpaceDN w:val="0"/>
        <w:adjustRightInd w:val="0"/>
        <w:spacing w:after="120"/>
        <w:ind w:left="1134" w:right="283" w:hanging="851"/>
        <w:contextualSpacing w:val="0"/>
        <w:rPr>
          <w:rFonts w:ascii="Gotham" w:hAnsi="Gotham" w:cs="Arial"/>
          <w:sz w:val="19"/>
          <w:szCs w:val="19"/>
        </w:rPr>
      </w:pPr>
      <w:r w:rsidRPr="006D6A0D">
        <w:rPr>
          <w:rFonts w:ascii="Gotham" w:hAnsi="Gotham" w:cs="Arial"/>
          <w:sz w:val="19"/>
          <w:szCs w:val="19"/>
        </w:rPr>
        <w:t xml:space="preserve">Los anuncios móviles en cualquier tipo de transporte; </w:t>
      </w:r>
    </w:p>
    <w:p w14:paraId="3A47511E" w14:textId="77777777" w:rsidR="009B5E39" w:rsidRPr="006D6A0D" w:rsidRDefault="009B5E39" w:rsidP="009B5E39">
      <w:pPr>
        <w:pStyle w:val="Prrafodelista"/>
        <w:numPr>
          <w:ilvl w:val="1"/>
          <w:numId w:val="211"/>
        </w:numPr>
        <w:autoSpaceDE w:val="0"/>
        <w:autoSpaceDN w:val="0"/>
        <w:adjustRightInd w:val="0"/>
        <w:spacing w:after="120"/>
        <w:ind w:left="1134" w:right="283" w:hanging="851"/>
        <w:contextualSpacing w:val="0"/>
        <w:rPr>
          <w:rFonts w:ascii="Gotham" w:hAnsi="Gotham" w:cs="Arial"/>
          <w:sz w:val="19"/>
          <w:szCs w:val="19"/>
        </w:rPr>
      </w:pPr>
      <w:r w:rsidRPr="006D6A0D">
        <w:rPr>
          <w:rFonts w:ascii="Gotham" w:hAnsi="Gotham" w:cs="Arial"/>
          <w:sz w:val="19"/>
          <w:szCs w:val="19"/>
        </w:rPr>
        <w:t xml:space="preserve">Los anuncios instalados en vallas, a excepción de las colocadas en predios en construcción o tapiales; </w:t>
      </w:r>
    </w:p>
    <w:p w14:paraId="3A47511F" w14:textId="77777777" w:rsidR="009B5E39" w:rsidRPr="006D6A0D" w:rsidRDefault="009B5E39" w:rsidP="009B5E39">
      <w:pPr>
        <w:pStyle w:val="Prrafodelista"/>
        <w:numPr>
          <w:ilvl w:val="1"/>
          <w:numId w:val="211"/>
        </w:numPr>
        <w:autoSpaceDE w:val="0"/>
        <w:autoSpaceDN w:val="0"/>
        <w:adjustRightInd w:val="0"/>
        <w:spacing w:after="120"/>
        <w:ind w:left="1134" w:right="283" w:hanging="851"/>
        <w:contextualSpacing w:val="0"/>
        <w:rPr>
          <w:rFonts w:ascii="Gotham" w:hAnsi="Gotham" w:cs="Arial"/>
          <w:sz w:val="19"/>
          <w:szCs w:val="19"/>
        </w:rPr>
      </w:pPr>
      <w:r w:rsidRPr="006D6A0D">
        <w:rPr>
          <w:rFonts w:ascii="Gotham" w:hAnsi="Gotham" w:cs="Arial"/>
          <w:sz w:val="19"/>
          <w:szCs w:val="19"/>
        </w:rPr>
        <w:t xml:space="preserve">Los anuncios publicitarios que cubran la totalidad de las fachadas de un negocio, establecimiento mercantil o lugar de prestación de servicios, cualquiera que sea el material que se utilice para su colocación o impresión; </w:t>
      </w:r>
    </w:p>
    <w:p w14:paraId="3A475120" w14:textId="77777777" w:rsidR="009B5E39" w:rsidRPr="006D6A0D" w:rsidRDefault="009B5E39" w:rsidP="009B5E39">
      <w:pPr>
        <w:pStyle w:val="Prrafodelista"/>
        <w:numPr>
          <w:ilvl w:val="1"/>
          <w:numId w:val="211"/>
        </w:numPr>
        <w:autoSpaceDE w:val="0"/>
        <w:autoSpaceDN w:val="0"/>
        <w:adjustRightInd w:val="0"/>
        <w:ind w:left="1134" w:right="283" w:hanging="851"/>
        <w:contextualSpacing w:val="0"/>
        <w:rPr>
          <w:rFonts w:ascii="Gotham" w:hAnsi="Gotham" w:cs="Arial"/>
          <w:sz w:val="19"/>
          <w:szCs w:val="19"/>
        </w:rPr>
      </w:pPr>
      <w:r w:rsidRPr="006D6A0D">
        <w:rPr>
          <w:rFonts w:ascii="Gotham" w:hAnsi="Gotham" w:cs="Arial"/>
          <w:sz w:val="19"/>
          <w:szCs w:val="19"/>
        </w:rPr>
        <w:t xml:space="preserve">Los anuncios sonoros, excepto los marcados en el artículo </w:t>
      </w:r>
      <w:r w:rsidRPr="006D6A0D">
        <w:rPr>
          <w:rFonts w:ascii="Gotham" w:hAnsi="Gotham" w:cs="Arial"/>
          <w:bCs/>
          <w:sz w:val="19"/>
          <w:szCs w:val="19"/>
        </w:rPr>
        <w:t xml:space="preserve">42° </w:t>
      </w:r>
      <w:r w:rsidRPr="006D6A0D">
        <w:rPr>
          <w:rFonts w:ascii="Gotham" w:hAnsi="Gotham" w:cs="Arial"/>
          <w:sz w:val="19"/>
          <w:szCs w:val="19"/>
        </w:rPr>
        <w:t>del presente Reglamento.</w:t>
      </w:r>
    </w:p>
    <w:p w14:paraId="3A475121" w14:textId="77777777" w:rsidR="009B5E39" w:rsidRPr="006D6A0D" w:rsidRDefault="009B5E39" w:rsidP="009B5E39">
      <w:pPr>
        <w:autoSpaceDE w:val="0"/>
        <w:autoSpaceDN w:val="0"/>
        <w:adjustRightInd w:val="0"/>
        <w:ind w:left="283" w:right="283"/>
        <w:rPr>
          <w:rFonts w:ascii="Gotham" w:hAnsi="Gotham" w:cs="Arial"/>
          <w:sz w:val="19"/>
          <w:szCs w:val="19"/>
        </w:rPr>
      </w:pPr>
      <w:r w:rsidRPr="006D6A0D">
        <w:rPr>
          <w:rFonts w:ascii="Gotham" w:hAnsi="Gotham" w:cs="Arial"/>
          <w:sz w:val="19"/>
          <w:szCs w:val="19"/>
        </w:rPr>
        <w:t xml:space="preserve"> </w:t>
      </w:r>
    </w:p>
    <w:p w14:paraId="3A475122" w14:textId="77777777" w:rsidR="009B5E39" w:rsidRDefault="009B5E39" w:rsidP="009B5E39">
      <w:pPr>
        <w:autoSpaceDE w:val="0"/>
        <w:autoSpaceDN w:val="0"/>
        <w:adjustRightInd w:val="0"/>
        <w:ind w:left="283" w:right="283"/>
        <w:jc w:val="both"/>
        <w:rPr>
          <w:rFonts w:ascii="Gotham" w:hAnsi="Gotham" w:cs="Arial"/>
          <w:bCs/>
          <w:color w:val="000000"/>
          <w:sz w:val="19"/>
          <w:szCs w:val="19"/>
        </w:rPr>
      </w:pPr>
      <w:r w:rsidRPr="006D6A0D">
        <w:rPr>
          <w:rFonts w:ascii="Gotham" w:hAnsi="Gotham" w:cs="Arial"/>
          <w:b/>
          <w:bCs/>
          <w:sz w:val="19"/>
          <w:szCs w:val="19"/>
        </w:rPr>
        <w:t>Artículo 58°.</w:t>
      </w:r>
      <w:r w:rsidRPr="006D6A0D">
        <w:rPr>
          <w:rFonts w:ascii="Gotham" w:hAnsi="Gotham" w:cs="Arial"/>
          <w:bCs/>
          <w:sz w:val="19"/>
          <w:szCs w:val="19"/>
        </w:rPr>
        <w:t xml:space="preserve"> </w:t>
      </w:r>
      <w:r w:rsidRPr="006D6A0D">
        <w:rPr>
          <w:rFonts w:ascii="Gotham" w:hAnsi="Gotham" w:cs="Arial"/>
          <w:bCs/>
          <w:color w:val="000000"/>
          <w:sz w:val="19"/>
          <w:szCs w:val="19"/>
        </w:rPr>
        <w:t xml:space="preserve">Queda prohibida la instalación de anuncios de cualquier tipo en las siguientes condiciones: </w:t>
      </w:r>
    </w:p>
    <w:p w14:paraId="3A475123"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24"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color w:val="000000"/>
          <w:sz w:val="19"/>
          <w:szCs w:val="19"/>
        </w:rPr>
        <w:t xml:space="preserve">A una distancia de 250.00 metros o menos, </w:t>
      </w:r>
      <w:r w:rsidRPr="006D6A0D">
        <w:rPr>
          <w:rFonts w:ascii="Gotham" w:hAnsi="Gotham" w:cs="Arial"/>
          <w:sz w:val="19"/>
          <w:szCs w:val="19"/>
        </w:rPr>
        <w:t xml:space="preserve">medida en proyección horizontal </w:t>
      </w:r>
      <w:r w:rsidRPr="006D6A0D">
        <w:rPr>
          <w:rFonts w:ascii="Gotham" w:hAnsi="Gotham" w:cs="Arial"/>
          <w:bCs/>
          <w:color w:val="000000"/>
          <w:sz w:val="19"/>
          <w:szCs w:val="19"/>
        </w:rPr>
        <w:t xml:space="preserve">a partir del centro del monumento o sitio de valor histórico, artístico o de un hito urbano; los que demeriten la imagen del Municipio y en los Polígonos de Protección al Patrimonio Edificado establecidos por este reglamento. En estos </w:t>
      </w:r>
      <w:r w:rsidRPr="006D6A0D">
        <w:rPr>
          <w:rFonts w:ascii="Gotham" w:hAnsi="Gotham" w:cs="Arial"/>
          <w:bCs/>
          <w:sz w:val="19"/>
          <w:szCs w:val="19"/>
        </w:rPr>
        <w:t xml:space="preserve">casos </w:t>
      </w:r>
      <w:r w:rsidRPr="006D6A0D">
        <w:rPr>
          <w:rFonts w:ascii="Gotham" w:hAnsi="Gotham" w:cs="Arial"/>
          <w:sz w:val="19"/>
          <w:szCs w:val="19"/>
        </w:rPr>
        <w:t xml:space="preserve">La Dirección General de Planeación y Desarrollo Urbano Sustentable y la Jefatura de Centro Histórico del municipio </w:t>
      </w:r>
      <w:r w:rsidRPr="006D6A0D">
        <w:rPr>
          <w:rFonts w:ascii="Gotham" w:hAnsi="Gotham" w:cs="Arial"/>
          <w:bCs/>
          <w:sz w:val="19"/>
          <w:szCs w:val="19"/>
        </w:rPr>
        <w:t>tienen la responsabilidad de emitir dictamen definitivo,</w:t>
      </w:r>
      <w:r w:rsidRPr="006D6A0D">
        <w:rPr>
          <w:rFonts w:ascii="Gotham" w:hAnsi="Gotham" w:cs="Arial"/>
          <w:sz w:val="19"/>
          <w:szCs w:val="19"/>
        </w:rPr>
        <w:t xml:space="preserve"> exceptuándose los anuncios instalados en forma adosada y que tengan autorización expresa</w:t>
      </w:r>
      <w:r w:rsidRPr="006D6A0D">
        <w:rPr>
          <w:rFonts w:ascii="Gotham" w:hAnsi="Gotham" w:cs="Arial"/>
          <w:bCs/>
          <w:sz w:val="19"/>
          <w:szCs w:val="19"/>
        </w:rPr>
        <w:t xml:space="preserve">; </w:t>
      </w:r>
    </w:p>
    <w:p w14:paraId="3A475125"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 postes, pedestales, caballetes, arriates, bancas, árboles y demás mobiliario urbano de la vía pública que no contenga un lugar ex profeso para tal uso; </w:t>
      </w:r>
    </w:p>
    <w:p w14:paraId="3A475126"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 los Polígonos de Protección y Transición al Patrimonio Edificado; </w:t>
      </w:r>
    </w:p>
    <w:p w14:paraId="3A475127"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En los remates visuales de las calles, en las azoteas y en los muros de lotes baldíos. Son considerados nodos o áreas de remate visual, aquellos en los que no se permiten carteleras;</w:t>
      </w:r>
      <w:r w:rsidRPr="006D6A0D">
        <w:rPr>
          <w:rFonts w:ascii="Gotham" w:hAnsi="Gotham" w:cs="Arial"/>
          <w:sz w:val="19"/>
          <w:szCs w:val="19"/>
        </w:rPr>
        <w:t xml:space="preserve"> </w:t>
      </w:r>
    </w:p>
    <w:p w14:paraId="3A475128"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A la entrada o salida de paso a desnivel, cruceros de vías rápidas, complejos viales, pasos de ferrocarril o entradas de túneles en donde la distancia mínima a estos elementos, será un radio de 30 metros, tomado al eje de los puntos de inicio de los carriles del elemento en cuestión;</w:t>
      </w:r>
      <w:r w:rsidRPr="006D6A0D">
        <w:rPr>
          <w:rFonts w:ascii="Gotham" w:hAnsi="Gotham" w:cs="Arial"/>
          <w:bCs/>
          <w:sz w:val="19"/>
          <w:szCs w:val="19"/>
        </w:rPr>
        <w:t xml:space="preserve"> </w:t>
      </w:r>
    </w:p>
    <w:p w14:paraId="3A475129"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lastRenderedPageBreak/>
        <w:t xml:space="preserve">A una distancia menor de 1.50 metros en cualquier dirección de las placas de nomenclatura de las calles y de las señales de tránsito, pudiendo dichas placas tener insertos con propaganda comercial que no sobrepase el veinte por ciento de la superficie total de la misma, previa autorización del Ayuntamiento; </w:t>
      </w:r>
    </w:p>
    <w:p w14:paraId="3A47512A"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 los lugares que interfieran la visibilidad para el tránsito vehicular; </w:t>
      </w:r>
    </w:p>
    <w:p w14:paraId="3A47512B"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 fachadas laterales de los bienes inmuebles que no dan a la vía pública que colindan con predios vecinos; </w:t>
      </w:r>
    </w:p>
    <w:p w14:paraId="3A47512C"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 las estructuras de las antenas de telecomunicaciones; </w:t>
      </w:r>
    </w:p>
    <w:p w14:paraId="3A47512D"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 los bienes inmuebles que por sus características arquitectónicas se encuentren o puedan encontrarse inventariados como monumentos históricos o patrimonio cultural urbano, según la legislación de la materia; </w:t>
      </w:r>
    </w:p>
    <w:p w14:paraId="3A47512E"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 nodos viales; </w:t>
      </w:r>
    </w:p>
    <w:p w14:paraId="3A47512F"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 el exterior de los bienes inmuebles con carteles o láminas referentes a anuncios de productos comerciales que ahí se expendan; </w:t>
      </w:r>
    </w:p>
    <w:p w14:paraId="3A475130"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No se permitirá publicidad que produzcan distorsiones negativas al paisaje urbano o natural, excepción hecha de los que utilicen lonas o cualquier otro elemento que hayan de ser colocados con motivo de las operaciones de restauración de fachadas; </w:t>
      </w:r>
    </w:p>
    <w:p w14:paraId="3A475131"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No se expedirá autorización cuando con la instalación propuesta se perjudique o comprometa la visibilidad de conductores o peatones, interfieran la visibilidad o el funcionamiento de señalizaciones oficiales de cualquier tipo, o provoquen deslumbramiento; </w:t>
      </w:r>
    </w:p>
    <w:p w14:paraId="3A475132"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No se permitirá la distribución de impresos comerciales a una distancia menor de 250 metros de los hitos urbanos y Polígonos de Protección al Patrimonio Edificado; </w:t>
      </w:r>
    </w:p>
    <w:p w14:paraId="3A475133"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Está prohibida la exhibición de mensajes o instalación de anuncios, cualquiera que sea su soporte, en puentes peatonales o pasos a desnivel, salvo contrato de concesión con el Ayuntamiento en la cual se obtenga una contraprestación que beneficie a la ciudadanía; </w:t>
      </w:r>
    </w:p>
    <w:p w14:paraId="3A475134"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No se otorgarán autorizaciones para anuncios que pretendan obstruir la vía pública, salvo convenio expreso en el Ayuntamiento; </w:t>
      </w:r>
    </w:p>
    <w:p w14:paraId="3A475135" w14:textId="2320FE6A"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Queda totalmente prohibido podar, cortar, derribar, maltratar o en cualquier forma lesionar árboles para mejorar la visualización, así como para reparar un anuncio, salvo autorización expresa otorgada por la Dirección de Medio Ambiente y cambio </w:t>
      </w:r>
      <w:r w:rsidR="00F06BE5" w:rsidRPr="006D6A0D">
        <w:rPr>
          <w:rFonts w:ascii="Gotham" w:hAnsi="Gotham" w:cs="Arial"/>
          <w:sz w:val="19"/>
          <w:szCs w:val="19"/>
        </w:rPr>
        <w:t>climático</w:t>
      </w:r>
      <w:r w:rsidRPr="006D6A0D">
        <w:rPr>
          <w:rFonts w:ascii="Gotham" w:hAnsi="Gotham" w:cs="Arial"/>
          <w:sz w:val="19"/>
          <w:szCs w:val="19"/>
        </w:rPr>
        <w:t>.</w:t>
      </w:r>
    </w:p>
    <w:p w14:paraId="3A475136"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No se otorgarán refrendos de licencias de anuncios cuando, para asegurar la visibilidad del anuncio, se requiera podar, cortar, derribar, maltratar o en cualquier forma lesionar árboles o vegetación en el lugar que se pretenda instalar, salvo que exista permiso de la Dirección de Parques y Jardines; </w:t>
      </w:r>
    </w:p>
    <w:p w14:paraId="3A475137"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No se permitirán anuncios luminosos con destellos, es decir, que se encienda y se apague la luz en el anuncio; </w:t>
      </w:r>
    </w:p>
    <w:p w14:paraId="3A475138"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Están prohibidos los anuncios en: </w:t>
      </w:r>
    </w:p>
    <w:p w14:paraId="3A475139" w14:textId="77777777" w:rsidR="009B5E39" w:rsidRPr="006D6A0D" w:rsidRDefault="009B5E39" w:rsidP="009B5E39">
      <w:pPr>
        <w:pStyle w:val="Prrafodelista"/>
        <w:numPr>
          <w:ilvl w:val="0"/>
          <w:numId w:val="21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Parques, plazas y jardines públicos; </w:t>
      </w:r>
    </w:p>
    <w:p w14:paraId="3A47513A" w14:textId="77777777" w:rsidR="009B5E39" w:rsidRPr="006D6A0D" w:rsidRDefault="009B5E39" w:rsidP="009B5E39">
      <w:pPr>
        <w:pStyle w:val="Prrafodelista"/>
        <w:numPr>
          <w:ilvl w:val="0"/>
          <w:numId w:val="21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Ventanas, puertas, divisiones de vidrio, acrílicos u otros elementos, cuando obstruyan totalmente la iluminación o cuando impidan la aireación natural al interior de las edificaciones; </w:t>
      </w:r>
    </w:p>
    <w:p w14:paraId="3A47513B" w14:textId="77777777" w:rsidR="009B5E39" w:rsidRPr="006D6A0D" w:rsidRDefault="009B5E39" w:rsidP="009B5E39">
      <w:pPr>
        <w:pStyle w:val="Prrafodelista"/>
        <w:numPr>
          <w:ilvl w:val="0"/>
          <w:numId w:val="21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Entradas o áreas de circulación de pórticos, pasajes y portales; y </w:t>
      </w:r>
    </w:p>
    <w:p w14:paraId="3A47513C" w14:textId="77777777" w:rsidR="009B5E39" w:rsidRPr="006D6A0D" w:rsidRDefault="009B5E39" w:rsidP="009B5E39">
      <w:pPr>
        <w:pStyle w:val="Prrafodelista"/>
        <w:numPr>
          <w:ilvl w:val="0"/>
          <w:numId w:val="21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Columnas de cualquier estilo arquitectónico. </w:t>
      </w:r>
    </w:p>
    <w:p w14:paraId="3A47513D"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lastRenderedPageBreak/>
        <w:t xml:space="preserve">Se prohíbe la colocación de </w:t>
      </w:r>
      <w:r w:rsidRPr="006D6A0D">
        <w:rPr>
          <w:rFonts w:ascii="Gotham" w:hAnsi="Gotham" w:cs="Arial"/>
          <w:sz w:val="19"/>
          <w:szCs w:val="19"/>
        </w:rPr>
        <w:t>pendones o gallardetes</w:t>
      </w:r>
      <w:r w:rsidRPr="006D6A0D">
        <w:rPr>
          <w:rFonts w:ascii="Gotham" w:hAnsi="Gotham" w:cs="Arial"/>
          <w:bCs/>
          <w:sz w:val="19"/>
          <w:szCs w:val="19"/>
        </w:rPr>
        <w:t>, carteles, láminas, hojas o madera con publicidad comercial en la vía pública;</w:t>
      </w:r>
      <w:r w:rsidRPr="006D6A0D">
        <w:rPr>
          <w:rFonts w:ascii="Gotham" w:hAnsi="Gotham" w:cs="Arial"/>
          <w:sz w:val="19"/>
          <w:szCs w:val="19"/>
        </w:rPr>
        <w:t xml:space="preserve"> </w:t>
      </w:r>
    </w:p>
    <w:p w14:paraId="3A47513E"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En los cerros, rocas, árboles, bordes de ríos, bardas y en cualquier otro lugar en el que puedan afectar la imagen urbana y el valor paisajístico, independientemente de que se trate de predios de propiedad privada;</w:t>
      </w:r>
      <w:r w:rsidRPr="006D6A0D">
        <w:rPr>
          <w:rFonts w:ascii="Gotham" w:hAnsi="Gotham" w:cs="Arial"/>
          <w:bCs/>
          <w:sz w:val="19"/>
          <w:szCs w:val="19"/>
        </w:rPr>
        <w:t xml:space="preserve"> </w:t>
      </w:r>
    </w:p>
    <w:p w14:paraId="3A47513F"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Queda prohibido ocultar, cubrir o impedir la visibilidad, por cualquier medio, de los sellos de clausura que sean colocados por la autoridad municipal de conformidad con lo establecido el artículo 68 del presente reglamento; </w:t>
      </w:r>
    </w:p>
    <w:p w14:paraId="3A475140" w14:textId="77777777" w:rsidR="009B5E39" w:rsidRPr="006D6A0D" w:rsidRDefault="009B5E39" w:rsidP="009B5E39">
      <w:pPr>
        <w:pStyle w:val="Prrafodelista"/>
        <w:numPr>
          <w:ilvl w:val="1"/>
          <w:numId w:val="212"/>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Queda prohibido el funcionamiento de los anuncios luminosos cuando hayan sido objeto de clausura; y </w:t>
      </w:r>
    </w:p>
    <w:p w14:paraId="3A475141" w14:textId="77777777" w:rsidR="009B5E39" w:rsidRPr="006D6A0D" w:rsidRDefault="009B5E39" w:rsidP="009B5E39">
      <w:pPr>
        <w:pStyle w:val="Prrafodelista"/>
        <w:numPr>
          <w:ilvl w:val="1"/>
          <w:numId w:val="212"/>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Las demás prohibidas expresamente por otras disposiciones legales y este reglamento. </w:t>
      </w:r>
    </w:p>
    <w:p w14:paraId="3A475142" w14:textId="77777777" w:rsidR="009B5E39" w:rsidRDefault="009B5E39" w:rsidP="009B5E39">
      <w:pPr>
        <w:pStyle w:val="Default"/>
        <w:ind w:left="283" w:right="283"/>
        <w:jc w:val="both"/>
        <w:rPr>
          <w:rFonts w:ascii="Gotham" w:hAnsi="Gotham"/>
          <w:sz w:val="19"/>
          <w:szCs w:val="19"/>
        </w:rPr>
      </w:pPr>
    </w:p>
    <w:p w14:paraId="3A475143" w14:textId="77777777" w:rsidR="009B5E39" w:rsidRPr="006D6A0D" w:rsidRDefault="009B5E39" w:rsidP="009B5E39">
      <w:pPr>
        <w:pStyle w:val="Default"/>
        <w:ind w:left="283" w:right="283"/>
        <w:jc w:val="both"/>
        <w:rPr>
          <w:rFonts w:ascii="Gotham" w:hAnsi="Gotham"/>
          <w:sz w:val="19"/>
          <w:szCs w:val="19"/>
        </w:rPr>
      </w:pPr>
    </w:p>
    <w:p w14:paraId="3A475144"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r w:rsidRPr="006D6A0D">
        <w:rPr>
          <w:rFonts w:ascii="Gotham" w:hAnsi="Gotham" w:cs="Arial"/>
          <w:b/>
          <w:bCs/>
          <w:color w:val="000000"/>
          <w:sz w:val="19"/>
          <w:szCs w:val="19"/>
        </w:rPr>
        <w:t>Título Quinto</w:t>
      </w:r>
    </w:p>
    <w:p w14:paraId="3A475145" w14:textId="77777777" w:rsidR="009B5E39" w:rsidRDefault="009B5E39" w:rsidP="009B5E39">
      <w:pPr>
        <w:autoSpaceDE w:val="0"/>
        <w:autoSpaceDN w:val="0"/>
        <w:adjustRightInd w:val="0"/>
        <w:ind w:left="283" w:right="283"/>
        <w:jc w:val="center"/>
        <w:rPr>
          <w:rFonts w:ascii="Gotham" w:hAnsi="Gotham" w:cs="Arial"/>
          <w:b/>
          <w:bCs/>
          <w:color w:val="000000"/>
          <w:sz w:val="19"/>
          <w:szCs w:val="19"/>
        </w:rPr>
      </w:pPr>
    </w:p>
    <w:p w14:paraId="3A475146"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r w:rsidRPr="006D6A0D">
        <w:rPr>
          <w:rFonts w:ascii="Gotham" w:hAnsi="Gotham" w:cs="Arial"/>
          <w:b/>
          <w:bCs/>
          <w:color w:val="000000"/>
          <w:sz w:val="19"/>
          <w:szCs w:val="19"/>
        </w:rPr>
        <w:t>Capítulo I</w:t>
      </w:r>
    </w:p>
    <w:p w14:paraId="3A475147" w14:textId="77777777" w:rsidR="009B5E39" w:rsidRPr="006D6A0D" w:rsidRDefault="009B5E39" w:rsidP="009B5E39">
      <w:pPr>
        <w:tabs>
          <w:tab w:val="left" w:pos="9639"/>
        </w:tabs>
        <w:autoSpaceDE w:val="0"/>
        <w:autoSpaceDN w:val="0"/>
        <w:adjustRightInd w:val="0"/>
        <w:ind w:left="283" w:right="283"/>
        <w:jc w:val="center"/>
        <w:rPr>
          <w:rFonts w:ascii="Gotham" w:hAnsi="Gotham" w:cs="Arial"/>
          <w:b/>
          <w:bCs/>
          <w:color w:val="000000"/>
          <w:sz w:val="19"/>
          <w:szCs w:val="19"/>
        </w:rPr>
      </w:pPr>
      <w:r w:rsidRPr="006D6A0D">
        <w:rPr>
          <w:rFonts w:ascii="Gotham" w:hAnsi="Gotham" w:cs="Arial"/>
          <w:b/>
          <w:bCs/>
          <w:color w:val="000000"/>
          <w:sz w:val="19"/>
          <w:szCs w:val="19"/>
        </w:rPr>
        <w:t>Medidas de Seguridad</w:t>
      </w:r>
    </w:p>
    <w:p w14:paraId="3A475148" w14:textId="77777777" w:rsidR="009B5E39" w:rsidRPr="006D6A0D" w:rsidRDefault="009B5E39" w:rsidP="009B5E39">
      <w:pPr>
        <w:tabs>
          <w:tab w:val="left" w:pos="9639"/>
        </w:tabs>
        <w:autoSpaceDE w:val="0"/>
        <w:autoSpaceDN w:val="0"/>
        <w:adjustRightInd w:val="0"/>
        <w:ind w:left="283" w:right="283"/>
        <w:jc w:val="center"/>
        <w:rPr>
          <w:rFonts w:ascii="Gotham" w:hAnsi="Gotham" w:cs="Arial"/>
          <w:color w:val="000000"/>
          <w:sz w:val="19"/>
          <w:szCs w:val="19"/>
        </w:rPr>
      </w:pPr>
    </w:p>
    <w:p w14:paraId="3A475149"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59°. </w:t>
      </w:r>
      <w:r w:rsidRPr="006D6A0D">
        <w:rPr>
          <w:rFonts w:ascii="Gotham" w:hAnsi="Gotham" w:cs="Arial"/>
          <w:color w:val="000000"/>
          <w:sz w:val="19"/>
          <w:szCs w:val="19"/>
        </w:rPr>
        <w:t xml:space="preserve">Las medidas de seguridad son acciones preventivas de ejecución inmediata, de carácter temporal, cuyo objetivo es evitar el daño a personas o bienes. </w:t>
      </w:r>
    </w:p>
    <w:p w14:paraId="3A47514A"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sz w:val="19"/>
          <w:szCs w:val="19"/>
        </w:rPr>
      </w:pPr>
    </w:p>
    <w:p w14:paraId="3A47514B"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sz w:val="19"/>
          <w:szCs w:val="19"/>
        </w:rPr>
      </w:pPr>
      <w:r w:rsidRPr="006D6A0D">
        <w:rPr>
          <w:rFonts w:ascii="Gotham" w:hAnsi="Gotham" w:cs="Arial"/>
          <w:color w:val="000000"/>
          <w:sz w:val="19"/>
          <w:szCs w:val="19"/>
        </w:rPr>
        <w:t xml:space="preserve">En los casos en que así lo determine la Dirección de Inspección y Vigilancia, se aplicarán las sanciones previstas con cargo a los titulares de las licencias o permisos del espacio de instalación, y serán aplicables las responsabilidades señaladas en el </w:t>
      </w:r>
      <w:r w:rsidRPr="006D6A0D">
        <w:rPr>
          <w:rFonts w:ascii="Gotham" w:hAnsi="Gotham" w:cs="Arial"/>
          <w:sz w:val="19"/>
          <w:szCs w:val="19"/>
        </w:rPr>
        <w:t xml:space="preserve">artículo </w:t>
      </w:r>
      <w:r w:rsidRPr="006D6A0D">
        <w:rPr>
          <w:rFonts w:ascii="Gotham" w:hAnsi="Gotham" w:cs="Arial"/>
          <w:bCs/>
          <w:sz w:val="19"/>
          <w:szCs w:val="19"/>
        </w:rPr>
        <w:t xml:space="preserve">71° </w:t>
      </w:r>
      <w:r w:rsidRPr="006D6A0D">
        <w:rPr>
          <w:rFonts w:ascii="Gotham" w:hAnsi="Gotham" w:cs="Arial"/>
          <w:color w:val="000000"/>
          <w:sz w:val="19"/>
          <w:szCs w:val="19"/>
        </w:rPr>
        <w:t>de este reglamento. Su monto será considerado como crédito fiscal.</w:t>
      </w:r>
    </w:p>
    <w:p w14:paraId="3A47514C"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sz w:val="19"/>
          <w:szCs w:val="19"/>
        </w:rPr>
      </w:pPr>
      <w:r w:rsidRPr="006D6A0D">
        <w:rPr>
          <w:rFonts w:ascii="Gotham" w:hAnsi="Gotham" w:cs="Arial"/>
          <w:color w:val="000000"/>
          <w:sz w:val="19"/>
          <w:szCs w:val="19"/>
        </w:rPr>
        <w:t xml:space="preserve"> </w:t>
      </w:r>
    </w:p>
    <w:p w14:paraId="3A47514D" w14:textId="77777777" w:rsidR="009B5E39" w:rsidRDefault="009B5E39" w:rsidP="009B5E39">
      <w:pPr>
        <w:tabs>
          <w:tab w:val="left" w:pos="9639"/>
        </w:tabs>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60°. </w:t>
      </w:r>
      <w:r w:rsidRPr="006D6A0D">
        <w:rPr>
          <w:rFonts w:ascii="Gotham" w:hAnsi="Gotham" w:cs="Arial"/>
          <w:color w:val="000000"/>
          <w:sz w:val="19"/>
          <w:szCs w:val="19"/>
        </w:rPr>
        <w:t xml:space="preserve">La Dirección de Inspección y Vigilancia o la </w:t>
      </w:r>
      <w:r w:rsidRPr="006D6A0D">
        <w:rPr>
          <w:rFonts w:ascii="Gotham" w:hAnsi="Gotham" w:cs="Arial"/>
          <w:bCs/>
          <w:color w:val="000000"/>
          <w:sz w:val="19"/>
          <w:szCs w:val="19"/>
        </w:rPr>
        <w:t xml:space="preserve">Dirección </w:t>
      </w:r>
      <w:r w:rsidRPr="006D6A0D">
        <w:rPr>
          <w:rFonts w:ascii="Gotham" w:hAnsi="Gotham" w:cs="Arial"/>
          <w:color w:val="000000"/>
          <w:sz w:val="19"/>
          <w:szCs w:val="19"/>
        </w:rPr>
        <w:t xml:space="preserve">de Protección Civil y Bomberos, en el ámbito de sus respectivas competencias, en cualquier etapa de la visita, podrán ordenar las medidas de seguridad preventivas para evitar riesgos y daños que pudieran causar las instalaciones o anuncios, a las personas o sus bienes, y consistirán en: </w:t>
      </w:r>
    </w:p>
    <w:p w14:paraId="3A47514E" w14:textId="77777777" w:rsidR="009B5E39" w:rsidRPr="006D6A0D" w:rsidRDefault="009B5E39" w:rsidP="009B5E39">
      <w:pPr>
        <w:tabs>
          <w:tab w:val="left" w:pos="9639"/>
        </w:tabs>
        <w:autoSpaceDE w:val="0"/>
        <w:autoSpaceDN w:val="0"/>
        <w:adjustRightInd w:val="0"/>
        <w:ind w:left="283" w:right="283"/>
        <w:jc w:val="both"/>
        <w:rPr>
          <w:rFonts w:ascii="Gotham" w:hAnsi="Gotham" w:cs="Arial"/>
          <w:color w:val="000000"/>
          <w:sz w:val="19"/>
          <w:szCs w:val="19"/>
        </w:rPr>
      </w:pPr>
    </w:p>
    <w:p w14:paraId="3A47514F" w14:textId="77777777" w:rsidR="009B5E39" w:rsidRPr="006D6A0D" w:rsidRDefault="009B5E39" w:rsidP="009B5E39">
      <w:pPr>
        <w:pStyle w:val="Prrafodelista"/>
        <w:numPr>
          <w:ilvl w:val="1"/>
          <w:numId w:val="197"/>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Ordenar el mantenimiento necesario para la instalación; </w:t>
      </w:r>
    </w:p>
    <w:p w14:paraId="3A475150" w14:textId="77777777" w:rsidR="009B5E39" w:rsidRPr="006D6A0D" w:rsidRDefault="009B5E39" w:rsidP="009B5E39">
      <w:pPr>
        <w:pStyle w:val="Prrafodelista"/>
        <w:numPr>
          <w:ilvl w:val="1"/>
          <w:numId w:val="197"/>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suspensión temporal, parcial o total de la colocación de la instalación o cualquiera de sus elementos; </w:t>
      </w:r>
    </w:p>
    <w:p w14:paraId="3A475151" w14:textId="77777777" w:rsidR="009B5E39" w:rsidRPr="006D6A0D" w:rsidRDefault="009B5E39" w:rsidP="009B5E39">
      <w:pPr>
        <w:pStyle w:val="Prrafodelista"/>
        <w:numPr>
          <w:ilvl w:val="1"/>
          <w:numId w:val="197"/>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suspensión de la fijación de mensajes o la distribución de impresos; </w:t>
      </w:r>
    </w:p>
    <w:p w14:paraId="3A475152" w14:textId="77777777" w:rsidR="009B5E39" w:rsidRPr="006D6A0D" w:rsidRDefault="009B5E39" w:rsidP="009B5E39">
      <w:pPr>
        <w:pStyle w:val="Prrafodelista"/>
        <w:numPr>
          <w:ilvl w:val="1"/>
          <w:numId w:val="197"/>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bCs/>
          <w:color w:val="000000"/>
          <w:sz w:val="19"/>
          <w:szCs w:val="19"/>
        </w:rPr>
        <w:t xml:space="preserve">Ordenar la clausura del anuncio y tomar las medidas de seguridad necesarias para salvaguardar el área de afectación. </w:t>
      </w:r>
    </w:p>
    <w:p w14:paraId="3A475153" w14:textId="77777777" w:rsidR="009B5E39" w:rsidRPr="006D6A0D" w:rsidRDefault="009B5E39" w:rsidP="009B5E39">
      <w:pPr>
        <w:pStyle w:val="Prrafodelista"/>
        <w:numPr>
          <w:ilvl w:val="1"/>
          <w:numId w:val="197"/>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Retiro parcial o total de la instalación del anuncio; y, </w:t>
      </w:r>
    </w:p>
    <w:p w14:paraId="3A475154" w14:textId="77777777" w:rsidR="009B5E39" w:rsidRPr="006D6A0D" w:rsidRDefault="009B5E39" w:rsidP="009B5E39">
      <w:pPr>
        <w:pStyle w:val="Prrafodelista"/>
        <w:numPr>
          <w:ilvl w:val="1"/>
          <w:numId w:val="197"/>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color w:val="000000"/>
          <w:sz w:val="19"/>
          <w:szCs w:val="19"/>
        </w:rPr>
        <w:t xml:space="preserve">Cualquier otra acción o medida que tienda a evitar daños a personas o bienes, lo que deberá ser debidamente fundado y motivado por la autoridad. </w:t>
      </w:r>
    </w:p>
    <w:p w14:paraId="3A47515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56"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Para el caso de la fracción V, esta medida procederá cuando, de la verificación se incurra en alguna de las infracciones señaladas en el artículo </w:t>
      </w:r>
      <w:r w:rsidRPr="006D6A0D">
        <w:rPr>
          <w:rFonts w:ascii="Gotham" w:hAnsi="Gotham" w:cs="Arial"/>
          <w:bCs/>
          <w:sz w:val="19"/>
          <w:szCs w:val="19"/>
        </w:rPr>
        <w:t xml:space="preserve">69° </w:t>
      </w:r>
      <w:r w:rsidRPr="006D6A0D">
        <w:rPr>
          <w:rFonts w:ascii="Gotham" w:hAnsi="Gotham" w:cs="Arial"/>
          <w:sz w:val="19"/>
          <w:szCs w:val="19"/>
        </w:rPr>
        <w:t xml:space="preserve">de este reglamento. </w:t>
      </w:r>
    </w:p>
    <w:p w14:paraId="3A475157"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58" w14:textId="77777777" w:rsidR="009B5E39" w:rsidRPr="006D6A0D" w:rsidRDefault="009B5E39" w:rsidP="009B5E39">
      <w:pPr>
        <w:autoSpaceDE w:val="0"/>
        <w:autoSpaceDN w:val="0"/>
        <w:adjustRightInd w:val="0"/>
        <w:ind w:left="283" w:right="283"/>
        <w:jc w:val="both"/>
        <w:rPr>
          <w:rFonts w:ascii="Gotham" w:hAnsi="Gotham" w:cs="Arial"/>
          <w:bCs/>
          <w:sz w:val="19"/>
          <w:szCs w:val="19"/>
        </w:rPr>
      </w:pPr>
      <w:r w:rsidRPr="006D6A0D">
        <w:rPr>
          <w:rFonts w:ascii="Gotham" w:hAnsi="Gotham" w:cs="Arial"/>
          <w:bCs/>
          <w:sz w:val="19"/>
          <w:szCs w:val="19"/>
        </w:rPr>
        <w:t xml:space="preserve">La medida de seguridad, una vez notificada conforme al </w:t>
      </w:r>
      <w:r w:rsidRPr="006D6A0D">
        <w:rPr>
          <w:rFonts w:ascii="Gotham" w:hAnsi="Gotham" w:cs="Arial"/>
          <w:sz w:val="19"/>
          <w:szCs w:val="19"/>
        </w:rPr>
        <w:t xml:space="preserve">artículo </w:t>
      </w:r>
      <w:r w:rsidRPr="006D6A0D">
        <w:rPr>
          <w:rFonts w:ascii="Gotham" w:hAnsi="Gotham" w:cs="Arial"/>
          <w:bCs/>
          <w:sz w:val="19"/>
          <w:szCs w:val="19"/>
        </w:rPr>
        <w:t>70° de este reglamento, debe ser ejecutada de inmediato por el titular de la autorización, licencia o permiso, el titular de la instalación o el titular del espacio de instalación. En caso de no hacerlo o ante la apremiante urgencia y necesidad de ejecutar la medida, la autoridad procederá a su ejecución con cargo al particular.</w:t>
      </w:r>
    </w:p>
    <w:p w14:paraId="3A475159"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5A"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lastRenderedPageBreak/>
        <w:t>Para la aplicación y ejecución de las medidas de seguridad se consideran hábiles todos los días del año y las veinticuatro horas del día.</w:t>
      </w:r>
    </w:p>
    <w:p w14:paraId="3A47515B"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5C"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61°. </w:t>
      </w:r>
      <w:r w:rsidRPr="006D6A0D">
        <w:rPr>
          <w:rFonts w:ascii="Gotham" w:hAnsi="Gotham" w:cs="Arial"/>
          <w:color w:val="000000"/>
          <w:sz w:val="19"/>
          <w:szCs w:val="19"/>
        </w:rPr>
        <w:t xml:space="preserve">Las medidas de seguridad se sujetarán a las normas comunes siguientes: </w:t>
      </w:r>
    </w:p>
    <w:p w14:paraId="3A47515D"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5E" w14:textId="77777777" w:rsidR="009B5E39" w:rsidRPr="006D6A0D" w:rsidRDefault="009B5E39" w:rsidP="009B5E39">
      <w:pPr>
        <w:pStyle w:val="Prrafodelista"/>
        <w:numPr>
          <w:ilvl w:val="0"/>
          <w:numId w:val="218"/>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Podrán imponerse varias medidas de seguridad de manera simultánea, cuando las circunstancias lo exijan; </w:t>
      </w:r>
    </w:p>
    <w:p w14:paraId="3A47515F" w14:textId="77777777" w:rsidR="009B5E39" w:rsidRPr="006D6A0D" w:rsidRDefault="009B5E39" w:rsidP="009B5E39">
      <w:pPr>
        <w:pStyle w:val="Prrafodelista"/>
        <w:numPr>
          <w:ilvl w:val="0"/>
          <w:numId w:val="218"/>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Para su cumplimiento, las autoridades correspondientes podrán hacer uso de la fuerza pública; y, </w:t>
      </w:r>
    </w:p>
    <w:p w14:paraId="3A475160" w14:textId="77777777" w:rsidR="009B5E39" w:rsidRPr="006D6A0D" w:rsidRDefault="009B5E39" w:rsidP="009B5E39">
      <w:pPr>
        <w:pStyle w:val="Prrafodelista"/>
        <w:numPr>
          <w:ilvl w:val="0"/>
          <w:numId w:val="218"/>
        </w:numPr>
        <w:autoSpaceDE w:val="0"/>
        <w:autoSpaceDN w:val="0"/>
        <w:adjustRightInd w:val="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Se aplicarán sin perjuicio de la responsabilidad civil o penal que pudiera derivarse de los mismos actos o hechos que las originaron. </w:t>
      </w:r>
    </w:p>
    <w:p w14:paraId="3A475161"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62"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62°. </w:t>
      </w:r>
      <w:r w:rsidRPr="006D6A0D">
        <w:rPr>
          <w:rFonts w:ascii="Gotham" w:hAnsi="Gotham" w:cs="Arial"/>
          <w:color w:val="000000"/>
          <w:sz w:val="19"/>
          <w:szCs w:val="19"/>
        </w:rPr>
        <w:t xml:space="preserve">La inspección o verificación procede cuando la autoridad deba constatar que un particular cumple debidamente con la normatividad aplicable, siempre que existan indicios y presunciones legales o humanas respecto de una irregularidad, derivada de un dictamen de verificación o por cualquier otra circunstancia, lo cual se asentará en la orden </w:t>
      </w:r>
      <w:r w:rsidRPr="006D6A0D">
        <w:rPr>
          <w:rFonts w:ascii="Gotham" w:hAnsi="Gotham" w:cs="Arial"/>
          <w:bCs/>
          <w:color w:val="000000"/>
          <w:sz w:val="19"/>
          <w:szCs w:val="19"/>
        </w:rPr>
        <w:t xml:space="preserve">de visita de </w:t>
      </w:r>
      <w:r w:rsidRPr="006D6A0D">
        <w:rPr>
          <w:rFonts w:ascii="Gotham" w:hAnsi="Gotham" w:cs="Arial"/>
          <w:color w:val="000000"/>
          <w:sz w:val="19"/>
          <w:szCs w:val="19"/>
        </w:rPr>
        <w:t xml:space="preserve">inspección. </w:t>
      </w:r>
    </w:p>
    <w:p w14:paraId="3A475163"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64"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63°. </w:t>
      </w:r>
      <w:r w:rsidRPr="006D6A0D">
        <w:rPr>
          <w:rFonts w:ascii="Gotham" w:hAnsi="Gotham" w:cs="Arial"/>
          <w:color w:val="000000"/>
          <w:sz w:val="19"/>
          <w:szCs w:val="19"/>
        </w:rPr>
        <w:t xml:space="preserve">Los inspectores antes de practicar la visita de inspección, deben identificarse con documento idóneo, con fotografía que los acredite como tal y que debe estar vigente, así como acompañar la orden de inspección de la que dejará copia, la cual debe cuando menos: </w:t>
      </w:r>
    </w:p>
    <w:p w14:paraId="3A475165"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66" w14:textId="77777777" w:rsidR="009B5E39" w:rsidRPr="006D6A0D" w:rsidRDefault="009B5E39" w:rsidP="009B5E39">
      <w:pPr>
        <w:pStyle w:val="Prrafodelista"/>
        <w:numPr>
          <w:ilvl w:val="0"/>
          <w:numId w:val="198"/>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Constar por escrito y estar expedida por autoridad competente; </w:t>
      </w:r>
    </w:p>
    <w:p w14:paraId="3A475167" w14:textId="77777777" w:rsidR="009B5E39" w:rsidRPr="006D6A0D" w:rsidRDefault="009B5E39" w:rsidP="009B5E39">
      <w:pPr>
        <w:pStyle w:val="Prrafodelista"/>
        <w:numPr>
          <w:ilvl w:val="0"/>
          <w:numId w:val="198"/>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color w:val="000000"/>
          <w:sz w:val="19"/>
          <w:szCs w:val="19"/>
        </w:rPr>
        <w:t xml:space="preserve">Contener la firma autógrafa de quien la expide; </w:t>
      </w:r>
    </w:p>
    <w:p w14:paraId="3A475168" w14:textId="77777777" w:rsidR="009B5E39" w:rsidRPr="006D6A0D" w:rsidRDefault="009B5E39" w:rsidP="009B5E39">
      <w:pPr>
        <w:pStyle w:val="Prrafodelista"/>
        <w:numPr>
          <w:ilvl w:val="0"/>
          <w:numId w:val="198"/>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Precisar los alcances y objetivos de la visita, así como señalar los documentos o bienes; lugar o establecimiento que ha de inspeccionarse; y, </w:t>
      </w:r>
    </w:p>
    <w:p w14:paraId="3A475169" w14:textId="77777777" w:rsidR="009B5E39" w:rsidRPr="006D6A0D" w:rsidRDefault="009B5E39" w:rsidP="009B5E39">
      <w:pPr>
        <w:pStyle w:val="Prrafodelista"/>
        <w:numPr>
          <w:ilvl w:val="0"/>
          <w:numId w:val="198"/>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Estar debidamente fundada y motivada de tal manera que dé seguridad al particular que los artículos señalados sean congruentes al caso concreto. </w:t>
      </w:r>
    </w:p>
    <w:p w14:paraId="3A47516A"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6B"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64°. </w:t>
      </w:r>
      <w:r w:rsidRPr="006D6A0D">
        <w:rPr>
          <w:rFonts w:ascii="Gotham" w:hAnsi="Gotham" w:cs="Arial"/>
          <w:sz w:val="19"/>
          <w:szCs w:val="19"/>
        </w:rPr>
        <w:t xml:space="preserve">Toda visita de inspección debe ajustarse a los procedimientos y formalidades que establece la Ley del Procedimiento Administrativo del Estado de Jalisco y sus Municipios, este ordenamiento y las demás disposiciones aplicables; cumpliendo cuando· menos con los siguientes requisitos: </w:t>
      </w:r>
    </w:p>
    <w:p w14:paraId="3A47516C"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6D" w14:textId="77777777" w:rsidR="009B5E39" w:rsidRPr="006D6A0D" w:rsidRDefault="009B5E39" w:rsidP="009B5E39">
      <w:pPr>
        <w:pStyle w:val="Prrafodelista"/>
        <w:numPr>
          <w:ilvl w:val="0"/>
          <w:numId w:val="19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Ser notificada en forma personal de conformidad con lo establecido en este ordenamiento y las leyes en la materia; </w:t>
      </w:r>
    </w:p>
    <w:p w14:paraId="3A47516E" w14:textId="77777777" w:rsidR="009B5E39" w:rsidRPr="006D6A0D" w:rsidRDefault="009B5E39" w:rsidP="009B5E39">
      <w:pPr>
        <w:pStyle w:val="Prrafodelista"/>
        <w:numPr>
          <w:ilvl w:val="0"/>
          <w:numId w:val="19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Cumplido el requisito de la fracción primera, el inspector debe realizar la visita en los términos establecidos en la orden que para ese efecto se expida. </w:t>
      </w:r>
    </w:p>
    <w:p w14:paraId="3A47516F" w14:textId="77777777" w:rsidR="009B5E39" w:rsidRPr="006D6A0D" w:rsidRDefault="009B5E39" w:rsidP="009B5E39">
      <w:pPr>
        <w:pStyle w:val="Prrafodelista"/>
        <w:numPr>
          <w:ilvl w:val="0"/>
          <w:numId w:val="199"/>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Durante el desarrollo de la visita de inspección el visitado tiene en todo momento el derecho de manifestar lo que a su derecho convenga y aportar las pruebas que considere pertinentes; y, </w:t>
      </w:r>
    </w:p>
    <w:p w14:paraId="3A475170" w14:textId="77777777" w:rsidR="009B5E39" w:rsidRPr="006D6A0D" w:rsidRDefault="009B5E39" w:rsidP="009B5E39">
      <w:pPr>
        <w:pStyle w:val="Prrafodelista"/>
        <w:numPr>
          <w:ilvl w:val="0"/>
          <w:numId w:val="199"/>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Al final de la inspección debe levantarse acta circunstanciada dejando copia al particular con quien se entendió la visita. </w:t>
      </w:r>
    </w:p>
    <w:p w14:paraId="3A475171"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72"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Las notificaciones personales se entenderán con la persona que deba ser notificada, con su representante legal o con la persona autorizada; a falta de éstos, el notificador dejará citatorio con cualquier persona que se encuentre en el domicilio, para que el interesado le espere a una hora fija del día hábil siguiente. Si el domicilio se encuentra cerrado y nadie responde al llamado del notificador para atender la diligencia, el citatorio se dejará en un lugar seguro y visible del mismo domicilio. Si la persona a quien haya de notificarse no atiende el citatorio, la notificación se entenderá con cualquier persona con capacidad de ejercicio, que se encuentre en el domicilio en donde se realice la diligencia; </w:t>
      </w:r>
      <w:r w:rsidRPr="006D6A0D">
        <w:rPr>
          <w:rFonts w:ascii="Gotham" w:hAnsi="Gotham" w:cs="Arial"/>
          <w:sz w:val="19"/>
          <w:szCs w:val="19"/>
        </w:rPr>
        <w:lastRenderedPageBreak/>
        <w:t xml:space="preserve">y de negarse ésta a recibirla o en caso de encontrarse cerrado el domicilio, se realizará por cédula que se fijará en un lugar seguro y visible del domicilio. De estas diligencias, el notificador asentará lo correspondiente en un acta circunstanciada en presencia de dos testigos. </w:t>
      </w:r>
    </w:p>
    <w:p w14:paraId="3A475173"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74"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65°. </w:t>
      </w:r>
      <w:r w:rsidRPr="006D6A0D">
        <w:rPr>
          <w:rFonts w:ascii="Gotham" w:hAnsi="Gotham" w:cs="Arial"/>
          <w:sz w:val="19"/>
          <w:szCs w:val="19"/>
        </w:rPr>
        <w:t xml:space="preserve">En toda visita de verificación o inspección, se debe levantar acta circunstanciada en presencia de dos testigos propuestos por la persona con quien se hubiera entendido el acto administrativo procesal o por quien no la practique en el caso de que aquélla se niegue a designarlos. </w:t>
      </w:r>
    </w:p>
    <w:p w14:paraId="3A47517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76"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66°. </w:t>
      </w:r>
      <w:r w:rsidRPr="006D6A0D">
        <w:rPr>
          <w:rFonts w:ascii="Gotham" w:hAnsi="Gotham" w:cs="Arial"/>
          <w:sz w:val="19"/>
          <w:szCs w:val="19"/>
        </w:rPr>
        <w:t xml:space="preserve">En las actas de verificación o inspección debe constar: </w:t>
      </w:r>
    </w:p>
    <w:p w14:paraId="3A475177"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78"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Nombre, denominación o razón social del visitado; </w:t>
      </w:r>
    </w:p>
    <w:p w14:paraId="3A475179"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Hora, día, mes y año en que se inicia y concluye la diligencia; </w:t>
      </w:r>
    </w:p>
    <w:p w14:paraId="3A47517A"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Calle, número, población o colonia, y código postal en donde se encuentre ubicado el lugar en que se practica la visita y número telefónico u otra forma de comunicación disponibles; </w:t>
      </w:r>
    </w:p>
    <w:p w14:paraId="3A47517B"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su caso, el número y fecha del oficio de comisión que motivó la diligencia; </w:t>
      </w:r>
    </w:p>
    <w:p w14:paraId="3A47517C"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Datos generales de la persona con quien se entiende la diligencia, así como la mención del documento con el que se identifique; de igual forma el cargo de dicha persona; </w:t>
      </w:r>
    </w:p>
    <w:p w14:paraId="3A47517D"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Nombre y firma de las personas que fungieron como testigos, así como los datos del documento con el que se identifiquen; </w:t>
      </w:r>
    </w:p>
    <w:p w14:paraId="3A47517E"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Datos relativos a la actuación, incluyendo el fundamento legal en que se basó la verificación o inspección; </w:t>
      </w:r>
    </w:p>
    <w:p w14:paraId="3A47517F"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Declaración del visitado, si así desea hacerlo; </w:t>
      </w:r>
    </w:p>
    <w:p w14:paraId="3A475180"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el caso de inspecciones, asentar en, forma clara y precisa que se le dio debido cumplimiento a lo señalado en el artículo </w:t>
      </w:r>
      <w:r w:rsidRPr="006D6A0D">
        <w:rPr>
          <w:rFonts w:ascii="Gotham" w:hAnsi="Gotham" w:cs="Arial"/>
          <w:bCs/>
          <w:sz w:val="19"/>
          <w:szCs w:val="19"/>
        </w:rPr>
        <w:t xml:space="preserve">63° </w:t>
      </w:r>
      <w:r w:rsidRPr="006D6A0D">
        <w:rPr>
          <w:rFonts w:ascii="Gotham" w:hAnsi="Gotham" w:cs="Arial"/>
          <w:sz w:val="19"/>
          <w:szCs w:val="19"/>
        </w:rPr>
        <w:t xml:space="preserve">y </w:t>
      </w:r>
      <w:r w:rsidRPr="006D6A0D">
        <w:rPr>
          <w:rFonts w:ascii="Gotham" w:hAnsi="Gotham" w:cs="Arial"/>
          <w:bCs/>
          <w:sz w:val="19"/>
          <w:szCs w:val="19"/>
        </w:rPr>
        <w:t>64°</w:t>
      </w:r>
      <w:r w:rsidRPr="006D6A0D">
        <w:rPr>
          <w:rFonts w:ascii="Gotham" w:hAnsi="Gotham" w:cs="Arial"/>
          <w:sz w:val="19"/>
          <w:szCs w:val="19"/>
        </w:rPr>
        <w:t xml:space="preserve">de este ordenamiento legal; </w:t>
      </w:r>
    </w:p>
    <w:p w14:paraId="3A475181" w14:textId="77777777" w:rsidR="009B5E39" w:rsidRPr="006D6A0D" w:rsidRDefault="009B5E39" w:rsidP="009B5E39">
      <w:pPr>
        <w:pStyle w:val="Prrafodelista"/>
        <w:numPr>
          <w:ilvl w:val="0"/>
          <w:numId w:val="205"/>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Nombre y firma de quienes intervinieron en la diligencia, incluyendo las de los verificadores o inspectores, testigos de asistencia y otras autoridades que hayan concurrido; y </w:t>
      </w:r>
    </w:p>
    <w:p w14:paraId="3A475182" w14:textId="77777777" w:rsidR="009B5E39" w:rsidRPr="006D6A0D" w:rsidRDefault="009B5E39" w:rsidP="009B5E39">
      <w:pPr>
        <w:pStyle w:val="Prrafodelista"/>
        <w:numPr>
          <w:ilvl w:val="0"/>
          <w:numId w:val="205"/>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Si se niega a firmar el visitado, su representante legal o la persona con quien se entendió la inspección o verificación, tal situación no afecta la validez del acta, debiendo el inspector asentar la razón relativa. La falta de alguno de los requisitos mínimos, señalados en las fracciones anteriores, será motivo de nulidad o anulabilidad, según sea el caso, exceptuando el supuesto establecido en la fracción XI de este artículo. </w:t>
      </w:r>
    </w:p>
    <w:p w14:paraId="3A475183"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84"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67°. </w:t>
      </w:r>
      <w:r w:rsidRPr="006D6A0D">
        <w:rPr>
          <w:rFonts w:ascii="Gotham" w:hAnsi="Gotham" w:cs="Arial"/>
          <w:sz w:val="19"/>
          <w:szCs w:val="19"/>
        </w:rPr>
        <w:t xml:space="preserve">Los visitados a quienes se levante el acta de verificación o inspección, además de formular observaciones en el acto de la diligencia y ofrecer pruebas con relación a los hechos contenidos en ella de forma verbal o por escrito; pueden ejercer tal derecho dentro del plazo de cinco días hábiles siguientes a la fecha en que se levantó el acta. </w:t>
      </w:r>
    </w:p>
    <w:p w14:paraId="3A47518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86"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68°. </w:t>
      </w:r>
      <w:r w:rsidRPr="006D6A0D">
        <w:rPr>
          <w:rFonts w:ascii="Gotham" w:hAnsi="Gotham" w:cs="Arial"/>
          <w:sz w:val="19"/>
          <w:szCs w:val="19"/>
        </w:rPr>
        <w:t xml:space="preserve">Si del resultado de la inspección se determina la comisión de alguna infracción a las disposiciones administrativas, la autoridad podrá iniciar el procedimiento correspondiente para la imposición de las sanciones a que haya lugar, conforme los procedimientos administrativos aplicables, respetando en todo caso el derecho de audiencia y defensa. </w:t>
      </w:r>
    </w:p>
    <w:p w14:paraId="3A475187" w14:textId="77777777" w:rsidR="009B5E39" w:rsidRDefault="009B5E39" w:rsidP="009B5E39">
      <w:pPr>
        <w:autoSpaceDE w:val="0"/>
        <w:autoSpaceDN w:val="0"/>
        <w:adjustRightInd w:val="0"/>
        <w:ind w:left="283" w:right="283"/>
        <w:jc w:val="both"/>
        <w:rPr>
          <w:rFonts w:ascii="Gotham" w:hAnsi="Gotham" w:cs="Arial"/>
          <w:sz w:val="19"/>
          <w:szCs w:val="19"/>
        </w:rPr>
      </w:pPr>
    </w:p>
    <w:p w14:paraId="3A475188"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89" w14:textId="77777777" w:rsidR="009B5E39" w:rsidRPr="006D6A0D" w:rsidRDefault="009B5E39" w:rsidP="009B5E39">
      <w:pPr>
        <w:autoSpaceDE w:val="0"/>
        <w:autoSpaceDN w:val="0"/>
        <w:adjustRightInd w:val="0"/>
        <w:ind w:left="283" w:right="283"/>
        <w:jc w:val="center"/>
        <w:rPr>
          <w:rFonts w:ascii="Gotham" w:hAnsi="Gotham" w:cs="Arial"/>
          <w:sz w:val="19"/>
          <w:szCs w:val="19"/>
        </w:rPr>
      </w:pPr>
      <w:r w:rsidRPr="006D6A0D">
        <w:rPr>
          <w:rFonts w:ascii="Gotham" w:hAnsi="Gotham" w:cs="Arial"/>
          <w:b/>
          <w:bCs/>
          <w:sz w:val="19"/>
          <w:szCs w:val="19"/>
        </w:rPr>
        <w:t>Capítulo II</w:t>
      </w:r>
    </w:p>
    <w:p w14:paraId="3A47518A" w14:textId="77777777" w:rsidR="009B5E39" w:rsidRPr="006D6A0D" w:rsidRDefault="009B5E39" w:rsidP="009B5E39">
      <w:pPr>
        <w:autoSpaceDE w:val="0"/>
        <w:autoSpaceDN w:val="0"/>
        <w:adjustRightInd w:val="0"/>
        <w:ind w:left="283" w:right="283"/>
        <w:jc w:val="center"/>
        <w:rPr>
          <w:rFonts w:ascii="Gotham" w:hAnsi="Gotham" w:cs="Arial"/>
          <w:b/>
          <w:bCs/>
          <w:sz w:val="19"/>
          <w:szCs w:val="19"/>
        </w:rPr>
      </w:pPr>
      <w:r w:rsidRPr="006D6A0D">
        <w:rPr>
          <w:rFonts w:ascii="Gotham" w:hAnsi="Gotham" w:cs="Arial"/>
          <w:b/>
          <w:bCs/>
          <w:sz w:val="19"/>
          <w:szCs w:val="19"/>
        </w:rPr>
        <w:t>Infracciones y Sanciones</w:t>
      </w:r>
    </w:p>
    <w:p w14:paraId="3A47518B" w14:textId="77777777" w:rsidR="009B5E39" w:rsidRPr="006D6A0D" w:rsidRDefault="009B5E39" w:rsidP="009B5E39">
      <w:pPr>
        <w:autoSpaceDE w:val="0"/>
        <w:autoSpaceDN w:val="0"/>
        <w:adjustRightInd w:val="0"/>
        <w:ind w:left="283" w:right="283"/>
        <w:jc w:val="center"/>
        <w:rPr>
          <w:rFonts w:ascii="Gotham" w:hAnsi="Gotham" w:cs="Arial"/>
          <w:sz w:val="19"/>
          <w:szCs w:val="19"/>
        </w:rPr>
      </w:pPr>
    </w:p>
    <w:p w14:paraId="3A47518C"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69°. </w:t>
      </w:r>
      <w:r w:rsidRPr="006D6A0D">
        <w:rPr>
          <w:rFonts w:ascii="Gotham" w:hAnsi="Gotham" w:cs="Arial"/>
          <w:sz w:val="19"/>
          <w:szCs w:val="19"/>
        </w:rPr>
        <w:t xml:space="preserve">El titular de cualquier tipo de anuncio debe: </w:t>
      </w:r>
    </w:p>
    <w:p w14:paraId="3A47518D"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8E" w14:textId="77777777" w:rsidR="009B5E39" w:rsidRPr="006D6A0D" w:rsidRDefault="009B5E39" w:rsidP="009B5E39">
      <w:pPr>
        <w:pStyle w:val="Prrafodelista"/>
        <w:numPr>
          <w:ilvl w:val="1"/>
          <w:numId w:val="200"/>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lastRenderedPageBreak/>
        <w:t xml:space="preserve">Acreditar que el anuncio cuenta con autorización dispuesta en la </w:t>
      </w:r>
      <w:r w:rsidRPr="006D6A0D">
        <w:rPr>
          <w:rFonts w:ascii="Gotham" w:hAnsi="Gotham" w:cs="Arial"/>
          <w:bCs/>
          <w:sz w:val="19"/>
          <w:szCs w:val="19"/>
        </w:rPr>
        <w:t>cédula</w:t>
      </w:r>
      <w:r w:rsidRPr="006D6A0D">
        <w:rPr>
          <w:rFonts w:ascii="Gotham" w:hAnsi="Gotham" w:cs="Arial"/>
          <w:b/>
          <w:bCs/>
          <w:sz w:val="19"/>
          <w:szCs w:val="19"/>
        </w:rPr>
        <w:t xml:space="preserve"> </w:t>
      </w:r>
      <w:r w:rsidRPr="006D6A0D">
        <w:rPr>
          <w:rFonts w:ascii="Gotham" w:hAnsi="Gotham" w:cs="Arial"/>
          <w:sz w:val="19"/>
          <w:szCs w:val="19"/>
        </w:rPr>
        <w:t xml:space="preserve">que certifique el permiso o la licencia según sea el caso, y que se encuentra vigente, según lo prevea el presente ordenamiento y los demás que le sean aplicables; </w:t>
      </w:r>
    </w:p>
    <w:p w14:paraId="3A47518F" w14:textId="77777777" w:rsidR="009B5E39" w:rsidRPr="006D6A0D" w:rsidRDefault="009B5E39" w:rsidP="009B5E39">
      <w:pPr>
        <w:pStyle w:val="Prrafodelista"/>
        <w:numPr>
          <w:ilvl w:val="1"/>
          <w:numId w:val="200"/>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Mantener en el inmueble el original o copia certificada de la licencia o permiso; </w:t>
      </w:r>
    </w:p>
    <w:p w14:paraId="3A475190" w14:textId="77777777" w:rsidR="009B5E39" w:rsidRPr="006D6A0D" w:rsidRDefault="009B5E39" w:rsidP="009B5E39">
      <w:pPr>
        <w:pStyle w:val="Prrafodelista"/>
        <w:numPr>
          <w:ilvl w:val="1"/>
          <w:numId w:val="200"/>
        </w:numPr>
        <w:autoSpaceDE w:val="0"/>
        <w:autoSpaceDN w:val="0"/>
        <w:adjustRightInd w:val="0"/>
        <w:spacing w:after="120"/>
        <w:ind w:left="1134" w:right="283" w:hanging="851"/>
        <w:contextualSpacing w:val="0"/>
        <w:jc w:val="both"/>
        <w:rPr>
          <w:rFonts w:ascii="Gotham" w:hAnsi="Gotham" w:cs="Arial"/>
          <w:bCs/>
          <w:sz w:val="19"/>
          <w:szCs w:val="19"/>
        </w:rPr>
      </w:pPr>
      <w:r w:rsidRPr="006D6A0D">
        <w:rPr>
          <w:rFonts w:ascii="Gotham" w:hAnsi="Gotham" w:cs="Arial"/>
          <w:bCs/>
          <w:sz w:val="19"/>
          <w:szCs w:val="19"/>
        </w:rPr>
        <w:t xml:space="preserve">Mantener en el inmueble el original o copia certificada de la póliza de seguro vigente y póliza de fianza en su caso, en los términos que establece el artículo 22°del presente reglamento; </w:t>
      </w:r>
    </w:p>
    <w:p w14:paraId="3A475191" w14:textId="77777777" w:rsidR="009B5E39" w:rsidRPr="006D6A0D" w:rsidRDefault="009B5E39" w:rsidP="009B5E39">
      <w:pPr>
        <w:pStyle w:val="Prrafodelista"/>
        <w:numPr>
          <w:ilvl w:val="1"/>
          <w:numId w:val="200"/>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Requerir por escrito al propietario del anuncio que se le dé mantenimiento por lo menos cada seis meses o cuando sea necesario; y </w:t>
      </w:r>
    </w:p>
    <w:p w14:paraId="3A475192" w14:textId="77777777" w:rsidR="009B5E39" w:rsidRPr="006D6A0D" w:rsidRDefault="009B5E39" w:rsidP="009B5E39">
      <w:pPr>
        <w:pStyle w:val="Prrafodelista"/>
        <w:numPr>
          <w:ilvl w:val="1"/>
          <w:numId w:val="200"/>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Otorgar a la autoridad competente todas las facilidades para ejecutar las diligencias decretadas en relación al anuncio. </w:t>
      </w:r>
    </w:p>
    <w:p w14:paraId="3A475193"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94" w14:textId="77777777" w:rsidR="009B5E39" w:rsidRDefault="009B5E39" w:rsidP="009B5E39">
      <w:pPr>
        <w:autoSpaceDE w:val="0"/>
        <w:autoSpaceDN w:val="0"/>
        <w:adjustRightInd w:val="0"/>
        <w:ind w:left="283" w:right="283"/>
        <w:jc w:val="both"/>
        <w:rPr>
          <w:rFonts w:ascii="Gotham" w:hAnsi="Gotham" w:cs="Arial"/>
          <w:bCs/>
          <w:color w:val="000000"/>
          <w:sz w:val="19"/>
          <w:szCs w:val="19"/>
        </w:rPr>
      </w:pPr>
      <w:r w:rsidRPr="006D6A0D">
        <w:rPr>
          <w:rFonts w:ascii="Gotham" w:hAnsi="Gotham" w:cs="Arial"/>
          <w:b/>
          <w:bCs/>
          <w:sz w:val="19"/>
          <w:szCs w:val="19"/>
        </w:rPr>
        <w:t xml:space="preserve">Artículo 70°. </w:t>
      </w:r>
      <w:r w:rsidRPr="006D6A0D">
        <w:rPr>
          <w:rFonts w:ascii="Gotham" w:hAnsi="Gotham" w:cs="Arial"/>
          <w:color w:val="000000"/>
          <w:sz w:val="19"/>
          <w:szCs w:val="19"/>
        </w:rPr>
        <w:t>Se entiende por infracción la violación a cualquiera de las disposiciones establecidas en el presente reglamento o cualquier otra norma o disposición que sea aplicable</w:t>
      </w:r>
      <w:r w:rsidRPr="006D6A0D">
        <w:rPr>
          <w:rFonts w:ascii="Gotham" w:hAnsi="Gotham" w:cs="Arial"/>
          <w:bCs/>
          <w:color w:val="000000"/>
          <w:sz w:val="19"/>
          <w:szCs w:val="19"/>
        </w:rPr>
        <w:t xml:space="preserve">. Se enlistan las siguientes infracciones de manera enunciativa más no limitativa: </w:t>
      </w:r>
    </w:p>
    <w:p w14:paraId="3A47519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96"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instalación de cualquier tipo de anuncio sin contar previamente con licencia o permiso municipal; </w:t>
      </w:r>
    </w:p>
    <w:p w14:paraId="3A475197"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colocación de anuncios en zonas prohibidas; </w:t>
      </w:r>
    </w:p>
    <w:p w14:paraId="3A475198"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El proporcionar datos falsos en la realización de los trámites administrativos referentes a los anuncios; </w:t>
      </w:r>
    </w:p>
    <w:p w14:paraId="3A475199"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El no mantener en buen estado físico y en condiciones de seguridad, tanto las estructuras portantes como los propios anuncios; así como, si éste fuera el caso, el no conservar limpio el predio baldío sobre el que se encuentre instalada la estructura; </w:t>
      </w:r>
    </w:p>
    <w:p w14:paraId="3A47519A"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Carecer el anuncio de la placa de identificación de la persona física o jurídica que lo instale o rente; </w:t>
      </w:r>
    </w:p>
    <w:p w14:paraId="3A47519B"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Carecer del seguro </w:t>
      </w:r>
      <w:r w:rsidRPr="006D6A0D">
        <w:rPr>
          <w:rFonts w:ascii="Gotham" w:hAnsi="Gotham" w:cs="Arial"/>
          <w:bCs/>
          <w:sz w:val="19"/>
          <w:szCs w:val="19"/>
        </w:rPr>
        <w:t xml:space="preserve">o fianza a </w:t>
      </w:r>
      <w:r w:rsidRPr="006D6A0D">
        <w:rPr>
          <w:rFonts w:ascii="Gotham" w:hAnsi="Gotham" w:cs="Arial"/>
          <w:sz w:val="19"/>
          <w:szCs w:val="19"/>
        </w:rPr>
        <w:t xml:space="preserve">que hace referencia </w:t>
      </w:r>
      <w:r w:rsidRPr="006D6A0D">
        <w:rPr>
          <w:rFonts w:ascii="Gotham" w:hAnsi="Gotham" w:cs="Arial"/>
          <w:color w:val="000000" w:themeColor="text1"/>
          <w:sz w:val="19"/>
          <w:szCs w:val="19"/>
        </w:rPr>
        <w:t xml:space="preserve">el artículo 22 </w:t>
      </w:r>
      <w:r w:rsidRPr="006D6A0D">
        <w:rPr>
          <w:rFonts w:ascii="Gotham" w:hAnsi="Gotham" w:cs="Arial"/>
          <w:sz w:val="19"/>
          <w:szCs w:val="19"/>
        </w:rPr>
        <w:t xml:space="preserve">del presente ordenamiento; </w:t>
      </w:r>
    </w:p>
    <w:p w14:paraId="3A47519C"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Instalar el anuncio sin cumplir con los lineamientos autorizados en la licencia o permiso municipal; </w:t>
      </w:r>
    </w:p>
    <w:p w14:paraId="3A47519D"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No remover el anuncio, cuando su licencia o permiso hayan expirado. </w:t>
      </w:r>
    </w:p>
    <w:p w14:paraId="3A47519E"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Obstaculizar o impedir al personal autorizado, ejecutar las labores de inspección y vigilancia. </w:t>
      </w:r>
    </w:p>
    <w:p w14:paraId="3A47519F"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alteración o modificación de la licencia o permiso municipal correspondiente. </w:t>
      </w:r>
    </w:p>
    <w:p w14:paraId="3A4751A0"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Podar, cortar, derribar, maltratar o en cualquier forma lesionar árboles o vegetación sin la autorización de la Dirección de Parques y Jardines, con motivo de la instalación, colocación o modificación de las condiciones de visibilidad de un anuncio; </w:t>
      </w:r>
    </w:p>
    <w:p w14:paraId="3A4751A1"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Incumplir con cualquier disposición establecida en el numeral 68 del presente ordenamiento; y </w:t>
      </w:r>
    </w:p>
    <w:p w14:paraId="3A4751A2"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Incurrir en cualquier prohibición establecida en el presente reglamento. </w:t>
      </w:r>
    </w:p>
    <w:p w14:paraId="3A4751A3"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Se sancionará a todo aquel que flagrantemente oculte, cubra o impida la visibilidad de los sellos de clausura que sean colocados por la autoridad municipal. </w:t>
      </w:r>
    </w:p>
    <w:p w14:paraId="3A4751A4" w14:textId="77777777" w:rsidR="009B5E39" w:rsidRPr="006D6A0D" w:rsidRDefault="009B5E39" w:rsidP="009B5E39">
      <w:pPr>
        <w:pStyle w:val="Prrafodelista"/>
        <w:numPr>
          <w:ilvl w:val="0"/>
          <w:numId w:val="201"/>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Contratar y/o exponer publicidad en anuncios o instalaciones publicitarias que no cuenten con licencia o permiso municipal. </w:t>
      </w:r>
    </w:p>
    <w:p w14:paraId="3A4751A5" w14:textId="77777777" w:rsidR="009B5E39" w:rsidRPr="006D6A0D" w:rsidRDefault="009B5E39" w:rsidP="009B5E39">
      <w:pPr>
        <w:pStyle w:val="Prrafodelista"/>
        <w:numPr>
          <w:ilvl w:val="0"/>
          <w:numId w:val="201"/>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bCs/>
          <w:sz w:val="19"/>
          <w:szCs w:val="19"/>
        </w:rPr>
        <w:t xml:space="preserve">Permitir la instalación de anuncios o instalaciones publicitarias en predios de su propiedad, sin que éstos cuenten con licencia o permiso municipal para tal fin. </w:t>
      </w:r>
    </w:p>
    <w:p w14:paraId="3A4751A6"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A7"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lastRenderedPageBreak/>
        <w:t xml:space="preserve">La multa que se imponga por las infracciones, será independiente de la clausura del anuncio, revocación del permiso municipal o licencia correspondiente y el retiro del anuncio con cargo al infractor. </w:t>
      </w:r>
    </w:p>
    <w:p w14:paraId="3A4751A8"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A9"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Las infracciones al presente reglamento serán sancionadas de conformidad con lo dispuesto por la Ley de Ingresos del Municipio de Tonalá vigente. En los casos en que la infracción amerite clausura y retiro del anuncio con cargo al infractor, la multa aplicará independientemente. </w:t>
      </w:r>
    </w:p>
    <w:p w14:paraId="3A4751AA" w14:textId="77777777" w:rsidR="009B5E39" w:rsidRPr="006D6A0D" w:rsidRDefault="009B5E39" w:rsidP="009B5E39">
      <w:pPr>
        <w:autoSpaceDE w:val="0"/>
        <w:autoSpaceDN w:val="0"/>
        <w:adjustRightInd w:val="0"/>
        <w:ind w:left="283" w:right="283"/>
        <w:jc w:val="both"/>
        <w:rPr>
          <w:rFonts w:ascii="Gotham" w:hAnsi="Gotham" w:cs="Arial"/>
          <w:color w:val="4F81BC"/>
          <w:sz w:val="19"/>
          <w:szCs w:val="19"/>
        </w:rPr>
      </w:pPr>
    </w:p>
    <w:p w14:paraId="3A4751AB"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71°. </w:t>
      </w:r>
      <w:r w:rsidRPr="006D6A0D">
        <w:rPr>
          <w:rFonts w:ascii="Gotham" w:hAnsi="Gotham" w:cs="Arial"/>
          <w:color w:val="000000"/>
          <w:sz w:val="19"/>
          <w:szCs w:val="19"/>
        </w:rPr>
        <w:t xml:space="preserve">En la materia de este reglamento y respecto de las obligaciones de los titulares de las autorizaciones, del pago de daños y perjuicios que se lleguen a causar a bienes públicos, bienes privados y personas, la ejecución de sanciones y medidas de seguridad, así como del pago de multas por las infracciones a las disposiciones del presente ordenamiento, son responsables solidariamente: </w:t>
      </w:r>
    </w:p>
    <w:p w14:paraId="3A4751AC"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AD" w14:textId="77777777" w:rsidR="009B5E39" w:rsidRPr="006D6A0D" w:rsidRDefault="009B5E39" w:rsidP="009B5E39">
      <w:pPr>
        <w:pStyle w:val="Prrafodelista"/>
        <w:numPr>
          <w:ilvl w:val="0"/>
          <w:numId w:val="202"/>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persona física o jurídica que contrate o realice por sus propios medios, la fabricación o instalación de la publicidad; </w:t>
      </w:r>
    </w:p>
    <w:p w14:paraId="3A4751AE" w14:textId="77777777" w:rsidR="009B5E39" w:rsidRPr="006D6A0D" w:rsidRDefault="009B5E39" w:rsidP="009B5E39">
      <w:pPr>
        <w:pStyle w:val="Prrafodelista"/>
        <w:numPr>
          <w:ilvl w:val="0"/>
          <w:numId w:val="202"/>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persona física o jurídica que se encargue de la instalación </w:t>
      </w:r>
      <w:r w:rsidRPr="006D6A0D">
        <w:rPr>
          <w:rFonts w:ascii="Gotham" w:hAnsi="Gotham" w:cs="Arial"/>
          <w:bCs/>
          <w:color w:val="000000"/>
          <w:sz w:val="19"/>
          <w:szCs w:val="19"/>
        </w:rPr>
        <w:t xml:space="preserve">del anuncio y/o </w:t>
      </w:r>
      <w:r w:rsidRPr="006D6A0D">
        <w:rPr>
          <w:rFonts w:ascii="Gotham" w:hAnsi="Gotham" w:cs="Arial"/>
          <w:color w:val="000000"/>
          <w:sz w:val="19"/>
          <w:szCs w:val="19"/>
        </w:rPr>
        <w:t xml:space="preserve">publicidad; </w:t>
      </w:r>
    </w:p>
    <w:p w14:paraId="3A4751AF" w14:textId="77777777" w:rsidR="009B5E39" w:rsidRPr="006D6A0D" w:rsidRDefault="009B5E39" w:rsidP="009B5E39">
      <w:pPr>
        <w:pStyle w:val="Prrafodelista"/>
        <w:numPr>
          <w:ilvl w:val="0"/>
          <w:numId w:val="202"/>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La persona física o jurídica que </w:t>
      </w:r>
      <w:r w:rsidRPr="006D6A0D">
        <w:rPr>
          <w:rFonts w:ascii="Gotham" w:hAnsi="Gotham" w:cs="Arial"/>
          <w:bCs/>
          <w:color w:val="000000"/>
          <w:sz w:val="19"/>
          <w:szCs w:val="19"/>
        </w:rPr>
        <w:t xml:space="preserve">consienta </w:t>
      </w:r>
      <w:r w:rsidRPr="006D6A0D">
        <w:rPr>
          <w:rFonts w:ascii="Gotham" w:hAnsi="Gotham" w:cs="Arial"/>
          <w:color w:val="000000"/>
          <w:sz w:val="19"/>
          <w:szCs w:val="19"/>
        </w:rPr>
        <w:t xml:space="preserve">la colocación de un </w:t>
      </w:r>
      <w:r w:rsidRPr="006D6A0D">
        <w:rPr>
          <w:rFonts w:ascii="Gotham" w:hAnsi="Gotham" w:cs="Arial"/>
          <w:bCs/>
          <w:color w:val="000000"/>
          <w:sz w:val="19"/>
          <w:szCs w:val="19"/>
        </w:rPr>
        <w:t xml:space="preserve">anuncio o anuncios </w:t>
      </w:r>
      <w:r w:rsidRPr="006D6A0D">
        <w:rPr>
          <w:rFonts w:ascii="Gotham" w:hAnsi="Gotham" w:cs="Arial"/>
          <w:color w:val="000000"/>
          <w:sz w:val="19"/>
          <w:szCs w:val="19"/>
        </w:rPr>
        <w:t xml:space="preserve">en un bien inmueble de su propiedad, posesión o bajo su administración; </w:t>
      </w:r>
    </w:p>
    <w:p w14:paraId="3A4751B0" w14:textId="77777777" w:rsidR="009B5E39" w:rsidRPr="006D6A0D" w:rsidRDefault="009B5E39" w:rsidP="009B5E39">
      <w:pPr>
        <w:pStyle w:val="Prrafodelista"/>
        <w:numPr>
          <w:ilvl w:val="0"/>
          <w:numId w:val="202"/>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bCs/>
          <w:color w:val="000000"/>
          <w:sz w:val="19"/>
          <w:szCs w:val="19"/>
        </w:rPr>
        <w:t xml:space="preserve">Los anunciantes que directamente o a través de un tercero contrate espacios para anunciar sus productos, servicios o cualquier mensaje relacionado con su actividad; y </w:t>
      </w:r>
    </w:p>
    <w:p w14:paraId="3A4751B1" w14:textId="77777777" w:rsidR="009B5E39" w:rsidRPr="006D6A0D" w:rsidRDefault="009B5E39" w:rsidP="009B5E39">
      <w:pPr>
        <w:pStyle w:val="Prrafodelista"/>
        <w:numPr>
          <w:ilvl w:val="0"/>
          <w:numId w:val="202"/>
        </w:numPr>
        <w:autoSpaceDE w:val="0"/>
        <w:autoSpaceDN w:val="0"/>
        <w:adjustRightInd w:val="0"/>
        <w:ind w:left="1134" w:right="283" w:hanging="851"/>
        <w:contextualSpacing w:val="0"/>
        <w:jc w:val="both"/>
        <w:rPr>
          <w:rFonts w:ascii="Gotham" w:hAnsi="Gotham" w:cs="Arial"/>
          <w:color w:val="000000"/>
          <w:sz w:val="19"/>
          <w:szCs w:val="19"/>
        </w:rPr>
      </w:pPr>
      <w:r w:rsidRPr="006D6A0D">
        <w:rPr>
          <w:rFonts w:ascii="Gotham" w:hAnsi="Gotham" w:cs="Arial"/>
          <w:bCs/>
          <w:color w:val="000000"/>
          <w:sz w:val="19"/>
          <w:szCs w:val="19"/>
        </w:rPr>
        <w:t xml:space="preserve">Los publicitas e intermediarios en la contratación, fabricación o instalación del anuncio o instalación publicitaria. </w:t>
      </w:r>
    </w:p>
    <w:p w14:paraId="3A4751B2"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B3"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Artículo 72°.</w:t>
      </w:r>
      <w:r w:rsidRPr="006D6A0D">
        <w:rPr>
          <w:rFonts w:ascii="Gotham" w:hAnsi="Gotham" w:cs="Arial"/>
          <w:bCs/>
          <w:sz w:val="19"/>
          <w:szCs w:val="19"/>
        </w:rPr>
        <w:t xml:space="preserve"> </w:t>
      </w:r>
      <w:r w:rsidRPr="006D6A0D">
        <w:rPr>
          <w:rFonts w:ascii="Gotham" w:hAnsi="Gotham" w:cs="Arial"/>
          <w:color w:val="000000"/>
          <w:sz w:val="19"/>
          <w:szCs w:val="19"/>
        </w:rPr>
        <w:t xml:space="preserve">Las sanciones administrativas podrán consistir en: </w:t>
      </w:r>
    </w:p>
    <w:p w14:paraId="3A4751B4"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B5" w14:textId="77777777" w:rsidR="009B5E39" w:rsidRPr="006D6A0D" w:rsidRDefault="009B5E39" w:rsidP="009B5E39">
      <w:pPr>
        <w:pStyle w:val="Prrafodelista"/>
        <w:numPr>
          <w:ilvl w:val="0"/>
          <w:numId w:val="20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color w:val="000000"/>
          <w:sz w:val="19"/>
          <w:szCs w:val="19"/>
        </w:rPr>
        <w:t xml:space="preserve">Apercibimiento; </w:t>
      </w:r>
    </w:p>
    <w:p w14:paraId="3A4751B6" w14:textId="77777777" w:rsidR="009B5E39" w:rsidRPr="006D6A0D" w:rsidRDefault="009B5E39" w:rsidP="009B5E39">
      <w:pPr>
        <w:pStyle w:val="Prrafodelista"/>
        <w:numPr>
          <w:ilvl w:val="0"/>
          <w:numId w:val="20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Multa, de acuerdo a la Ley de Ingresos del Municipio de Tonalá vigente en el momento de la infracción; </w:t>
      </w:r>
    </w:p>
    <w:p w14:paraId="3A4751B7" w14:textId="77777777" w:rsidR="009B5E39" w:rsidRPr="006D6A0D" w:rsidRDefault="009B5E39" w:rsidP="009B5E39">
      <w:pPr>
        <w:pStyle w:val="Prrafodelista"/>
        <w:numPr>
          <w:ilvl w:val="0"/>
          <w:numId w:val="20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Retiro del anuncio, a costa del publicista, anunciante o el titular del lugar de instalación, los cuales serán responsables solidarios; </w:t>
      </w:r>
    </w:p>
    <w:p w14:paraId="3A4751B8" w14:textId="77777777" w:rsidR="009B5E39" w:rsidRPr="006D6A0D" w:rsidRDefault="009B5E39" w:rsidP="009B5E39">
      <w:pPr>
        <w:pStyle w:val="Prrafodelista"/>
        <w:numPr>
          <w:ilvl w:val="0"/>
          <w:numId w:val="20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Clausura temporal o permanente, parcial o total a establecimientos, negocios, obras o instalaciones en los cuales se encuentra instalado el anuncio; </w:t>
      </w:r>
    </w:p>
    <w:p w14:paraId="3A4751B9" w14:textId="77777777" w:rsidR="009B5E39" w:rsidRPr="006D6A0D" w:rsidRDefault="009B5E39" w:rsidP="009B5E39">
      <w:pPr>
        <w:pStyle w:val="Prrafodelista"/>
        <w:numPr>
          <w:ilvl w:val="0"/>
          <w:numId w:val="203"/>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Revocación de la licencia o permiso; y </w:t>
      </w:r>
    </w:p>
    <w:p w14:paraId="3A4751BA" w14:textId="77777777" w:rsidR="009B5E39" w:rsidRPr="006D6A0D" w:rsidRDefault="009B5E39" w:rsidP="009B5E39">
      <w:pPr>
        <w:pStyle w:val="Prrafodelista"/>
        <w:numPr>
          <w:ilvl w:val="0"/>
          <w:numId w:val="203"/>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Las demás que señalen las disposiciones legales. </w:t>
      </w:r>
    </w:p>
    <w:p w14:paraId="3A4751BB"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BC"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73°. </w:t>
      </w:r>
      <w:r w:rsidRPr="006D6A0D">
        <w:rPr>
          <w:rFonts w:ascii="Gotham" w:hAnsi="Gotham" w:cs="Arial"/>
          <w:sz w:val="19"/>
          <w:szCs w:val="19"/>
        </w:rPr>
        <w:t xml:space="preserve">El apercibimiento procede en los casos en que, por la infracción, de acuerdo a la Ley de Ingresos del Municipio de Tonalá, Jalisco o a este reglamento, no proceda otra sanción específica. </w:t>
      </w:r>
    </w:p>
    <w:p w14:paraId="3A4751BD"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BE" w14:textId="77777777" w:rsidR="009B5E39"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74°. </w:t>
      </w:r>
      <w:r w:rsidRPr="006D6A0D">
        <w:rPr>
          <w:rFonts w:ascii="Gotham" w:hAnsi="Gotham" w:cs="Arial"/>
          <w:sz w:val="19"/>
          <w:szCs w:val="19"/>
        </w:rPr>
        <w:t xml:space="preserve">Para la imposición de las multas deberá tomarse en cuenta: </w:t>
      </w:r>
    </w:p>
    <w:p w14:paraId="3A4751BF"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C0" w14:textId="77777777" w:rsidR="009B5E39" w:rsidRPr="006D6A0D" w:rsidRDefault="009B5E39" w:rsidP="009B5E39">
      <w:pPr>
        <w:pStyle w:val="Prrafodelista"/>
        <w:numPr>
          <w:ilvl w:val="0"/>
          <w:numId w:val="20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gravedad de la infracción y en general el daño o riesgo causado a las personas o sus bienes, al medio ambiente y a la imagen urbana; </w:t>
      </w:r>
    </w:p>
    <w:p w14:paraId="3A4751C1" w14:textId="77777777" w:rsidR="009B5E39" w:rsidRPr="006D6A0D" w:rsidRDefault="009B5E39" w:rsidP="009B5E39">
      <w:pPr>
        <w:pStyle w:val="Prrafodelista"/>
        <w:numPr>
          <w:ilvl w:val="0"/>
          <w:numId w:val="204"/>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La capacidad y condición económica del infractor; </w:t>
      </w:r>
    </w:p>
    <w:p w14:paraId="3A4751C2" w14:textId="77777777" w:rsidR="009B5E39" w:rsidRPr="006D6A0D" w:rsidRDefault="009B5E39" w:rsidP="009B5E39">
      <w:pPr>
        <w:pStyle w:val="Prrafodelista"/>
        <w:numPr>
          <w:ilvl w:val="0"/>
          <w:numId w:val="204"/>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La reincidencia. </w:t>
      </w:r>
    </w:p>
    <w:p w14:paraId="3A4751C3"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C4" w14:textId="77777777" w:rsidR="009B5E39" w:rsidRPr="006D6A0D" w:rsidRDefault="009B5E39" w:rsidP="009B5E39">
      <w:pPr>
        <w:autoSpaceDE w:val="0"/>
        <w:autoSpaceDN w:val="0"/>
        <w:adjustRightInd w:val="0"/>
        <w:ind w:left="283" w:right="283"/>
        <w:jc w:val="both"/>
        <w:rPr>
          <w:rFonts w:ascii="Gotham" w:hAnsi="Gotham" w:cs="Arial"/>
          <w:bCs/>
          <w:sz w:val="19"/>
          <w:szCs w:val="19"/>
        </w:rPr>
      </w:pPr>
      <w:r w:rsidRPr="006D6A0D">
        <w:rPr>
          <w:rFonts w:ascii="Gotham" w:hAnsi="Gotham" w:cs="Arial"/>
          <w:bCs/>
          <w:sz w:val="19"/>
          <w:szCs w:val="19"/>
        </w:rPr>
        <w:t xml:space="preserve">En los casos previstos por los artículos 8°, 9°, 10°, 23°, 25°, 28°, 59° y 70° de este reglamento, además de la sanción pecuniaria, se procederá al retiro del anuncio junto con su estructura o soporte, o se cubrirá el mismo mediante los medios adecuados para su supresión. En estos casos, el Ayuntamiento podrá efectuar las obras inherentes al retiro o a cubrir el anuncio, que serán con cargo al publicista, </w:t>
      </w:r>
      <w:r w:rsidRPr="006D6A0D">
        <w:rPr>
          <w:rFonts w:ascii="Gotham" w:hAnsi="Gotham" w:cs="Arial"/>
          <w:bCs/>
          <w:sz w:val="19"/>
          <w:szCs w:val="19"/>
        </w:rPr>
        <w:lastRenderedPageBreak/>
        <w:t>anunciante o el titular del lugar de instalación, los cuales serán responsables solidarios; cuyo cobro se realizará a través del procedimiento económico coactivo de ejecución que establece la Ley de Hacienda Municipal del Estado de Jalisco, notificando al infractor sobre el retiro del anuncio, lo cual deberá efectuar de inmediato. En los casos de anuncios que carezcan de la licencia o permiso correspondiente, o pongan en peligro la integridad física de las personas o sus bienes, se procederá a su retiro una vez que se notifique tal resolución al responsable, con las demás sanciones y pagos que por el retiro y violaciones a la normatividad de este reglamento resulten procedentes.</w:t>
      </w:r>
    </w:p>
    <w:p w14:paraId="3A4751C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C6"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De conformidad al artículo 364 del Código Urbano para el Estado de Jalisco, el procedimiento de imposición de las sanciones administrativas, se estará a lo dispuesto por la Ley del Procedimiento Administrativo del Estado de Jalisco y sus Municipios. </w:t>
      </w:r>
    </w:p>
    <w:p w14:paraId="3A4751C7"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C8" w14:textId="77777777" w:rsidR="009B5E39" w:rsidRDefault="009B5E39" w:rsidP="009B5E39">
      <w:pPr>
        <w:autoSpaceDE w:val="0"/>
        <w:autoSpaceDN w:val="0"/>
        <w:adjustRightInd w:val="0"/>
        <w:ind w:left="283" w:right="283"/>
        <w:jc w:val="both"/>
        <w:rPr>
          <w:rFonts w:ascii="Gotham" w:hAnsi="Gotham" w:cs="Arial"/>
          <w:bCs/>
          <w:sz w:val="19"/>
          <w:szCs w:val="19"/>
        </w:rPr>
      </w:pPr>
      <w:r w:rsidRPr="006D6A0D">
        <w:rPr>
          <w:rFonts w:ascii="Gotham" w:hAnsi="Gotham" w:cs="Arial"/>
          <w:sz w:val="19"/>
          <w:szCs w:val="19"/>
        </w:rPr>
        <w:t xml:space="preserve">Cuando el retiro del anuncio sea efectuado por la autoridad, el material </w:t>
      </w:r>
      <w:r w:rsidRPr="006D6A0D">
        <w:rPr>
          <w:rFonts w:ascii="Gotham" w:hAnsi="Gotham" w:cs="Arial"/>
          <w:bCs/>
          <w:sz w:val="19"/>
          <w:szCs w:val="19"/>
        </w:rPr>
        <w:t xml:space="preserve">en las condiciones en </w:t>
      </w:r>
      <w:r w:rsidRPr="006D6A0D">
        <w:rPr>
          <w:rFonts w:ascii="Gotham" w:hAnsi="Gotham" w:cs="Arial"/>
          <w:sz w:val="19"/>
          <w:szCs w:val="19"/>
        </w:rPr>
        <w:t xml:space="preserve">que resulte, quedará bajo resguardo de quien ésta determine, en el lugar que para el efecto se destine. </w:t>
      </w:r>
      <w:r w:rsidRPr="006D6A0D">
        <w:rPr>
          <w:rFonts w:ascii="Gotham" w:hAnsi="Gotham" w:cs="Arial"/>
          <w:bCs/>
          <w:sz w:val="19"/>
          <w:szCs w:val="19"/>
        </w:rPr>
        <w:t xml:space="preserve">Dicho material podrá ser devuelto a quien, dentro de los 30 días naturales contados a partir de la fecha en que se realice el retiro, acredite: </w:t>
      </w:r>
    </w:p>
    <w:p w14:paraId="3A4751C9"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CA" w14:textId="77777777" w:rsidR="009B5E39" w:rsidRPr="006D6A0D" w:rsidRDefault="009B5E39" w:rsidP="009B5E39">
      <w:pPr>
        <w:pStyle w:val="Prrafodelista"/>
        <w:numPr>
          <w:ilvl w:val="2"/>
          <w:numId w:val="196"/>
        </w:numPr>
        <w:autoSpaceDE w:val="0"/>
        <w:autoSpaceDN w:val="0"/>
        <w:adjustRightInd w:val="0"/>
        <w:spacing w:after="120"/>
        <w:ind w:left="851" w:right="283" w:hanging="568"/>
        <w:contextualSpacing w:val="0"/>
        <w:jc w:val="both"/>
        <w:rPr>
          <w:rFonts w:ascii="Gotham" w:hAnsi="Gotham" w:cs="Arial"/>
          <w:sz w:val="19"/>
          <w:szCs w:val="19"/>
        </w:rPr>
      </w:pPr>
      <w:r w:rsidRPr="006D6A0D">
        <w:rPr>
          <w:rFonts w:ascii="Gotham" w:hAnsi="Gotham" w:cs="Arial"/>
          <w:sz w:val="19"/>
          <w:szCs w:val="19"/>
        </w:rPr>
        <w:t xml:space="preserve">Ser su legítimo propietario; </w:t>
      </w:r>
    </w:p>
    <w:p w14:paraId="3A4751CB" w14:textId="77777777" w:rsidR="009B5E39" w:rsidRPr="006D6A0D" w:rsidRDefault="009B5E39" w:rsidP="009B5E39">
      <w:pPr>
        <w:pStyle w:val="Prrafodelista"/>
        <w:numPr>
          <w:ilvl w:val="2"/>
          <w:numId w:val="196"/>
        </w:numPr>
        <w:autoSpaceDE w:val="0"/>
        <w:autoSpaceDN w:val="0"/>
        <w:adjustRightInd w:val="0"/>
        <w:spacing w:after="120"/>
        <w:ind w:left="851" w:right="283" w:hanging="568"/>
        <w:contextualSpacing w:val="0"/>
        <w:jc w:val="both"/>
        <w:rPr>
          <w:rFonts w:ascii="Gotham" w:hAnsi="Gotham" w:cs="Arial"/>
          <w:sz w:val="19"/>
          <w:szCs w:val="19"/>
        </w:rPr>
      </w:pPr>
      <w:r w:rsidRPr="006D6A0D">
        <w:rPr>
          <w:rFonts w:ascii="Gotham" w:hAnsi="Gotham" w:cs="Arial"/>
          <w:sz w:val="19"/>
          <w:szCs w:val="19"/>
        </w:rPr>
        <w:t xml:space="preserve">Efectuar el pago de la(s) multa(s) impuesta(s), exhibiendo el recibo correspondiente; y, </w:t>
      </w:r>
    </w:p>
    <w:p w14:paraId="3A4751CC" w14:textId="77777777" w:rsidR="009B5E39" w:rsidRPr="006D6A0D" w:rsidRDefault="009B5E39" w:rsidP="009B5E39">
      <w:pPr>
        <w:pStyle w:val="Prrafodelista"/>
        <w:numPr>
          <w:ilvl w:val="2"/>
          <w:numId w:val="196"/>
        </w:numPr>
        <w:autoSpaceDE w:val="0"/>
        <w:autoSpaceDN w:val="0"/>
        <w:adjustRightInd w:val="0"/>
        <w:ind w:left="851" w:right="283" w:hanging="568"/>
        <w:contextualSpacing w:val="0"/>
        <w:jc w:val="both"/>
        <w:rPr>
          <w:rFonts w:ascii="Gotham" w:hAnsi="Gotham" w:cs="Arial"/>
          <w:sz w:val="19"/>
          <w:szCs w:val="19"/>
        </w:rPr>
      </w:pPr>
      <w:r w:rsidRPr="006D6A0D">
        <w:rPr>
          <w:rFonts w:ascii="Gotham" w:hAnsi="Gotham" w:cs="Arial"/>
          <w:sz w:val="19"/>
          <w:szCs w:val="19"/>
        </w:rPr>
        <w:t xml:space="preserve">Realizar el pago de los gastos de ejecución originados por el retiro realizado por la autoridad competente en los términos establecidos en la Ley de Ingresos del Municipio de Tonalá. </w:t>
      </w:r>
    </w:p>
    <w:p w14:paraId="3A4751CD"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CE" w14:textId="77777777" w:rsidR="009B5E39" w:rsidRPr="006D6A0D" w:rsidRDefault="009B5E39" w:rsidP="009B5E39">
      <w:pPr>
        <w:autoSpaceDE w:val="0"/>
        <w:autoSpaceDN w:val="0"/>
        <w:adjustRightInd w:val="0"/>
        <w:ind w:left="283" w:right="283"/>
        <w:jc w:val="both"/>
        <w:rPr>
          <w:rFonts w:ascii="Gotham" w:hAnsi="Gotham" w:cs="Arial"/>
          <w:bCs/>
          <w:sz w:val="19"/>
          <w:szCs w:val="19"/>
        </w:rPr>
      </w:pPr>
      <w:r w:rsidRPr="006D6A0D">
        <w:rPr>
          <w:rFonts w:ascii="Gotham" w:hAnsi="Gotham" w:cs="Arial"/>
          <w:bCs/>
          <w:sz w:val="19"/>
          <w:szCs w:val="19"/>
        </w:rPr>
        <w:t xml:space="preserve">Si concluido el plazo señalado, el material no fuere reclamado por su legítimo dueño, la Tesorería Municipal procederá a enajenarlo en subasta pública. De lo resultante de la subasta se procederá primeramente a cubrir todas las multas, recargos y demás aprovechamientos derivados del anuncio, y el resto se entregará al DIF municipal. </w:t>
      </w:r>
    </w:p>
    <w:p w14:paraId="3A4751CF"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D0" w14:textId="77777777" w:rsidR="009B5E39"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75°. </w:t>
      </w:r>
      <w:r w:rsidRPr="006D6A0D">
        <w:rPr>
          <w:rFonts w:ascii="Gotham" w:hAnsi="Gotham" w:cs="Arial"/>
          <w:color w:val="000000"/>
          <w:sz w:val="19"/>
          <w:szCs w:val="19"/>
        </w:rPr>
        <w:t xml:space="preserve">La revocación de las licencias o permisos otorgados procederá en los siguientes casos: </w:t>
      </w:r>
    </w:p>
    <w:p w14:paraId="3A4751D1"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D2"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color w:val="000000"/>
          <w:sz w:val="19"/>
          <w:szCs w:val="19"/>
        </w:rPr>
      </w:pPr>
      <w:r w:rsidRPr="006D6A0D">
        <w:rPr>
          <w:rFonts w:ascii="Gotham" w:hAnsi="Gotham" w:cs="Arial"/>
          <w:color w:val="000000"/>
          <w:sz w:val="19"/>
          <w:szCs w:val="19"/>
        </w:rPr>
        <w:t xml:space="preserve">Cuando los datos proporcionados por el solicitante resultaren falsos y con base en ellos se hubiere expedido el permiso o licencia; </w:t>
      </w:r>
    </w:p>
    <w:p w14:paraId="3A4751D3"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color w:val="000000"/>
          <w:sz w:val="19"/>
          <w:szCs w:val="19"/>
        </w:rPr>
        <w:t xml:space="preserve">Cuando el servidor público que los hubiere otorgado carezca de competencia para ello o se hubieran otorgado con violación manifiesta de un precepto de este reglamento; si se probare que el solicitante obró de buena fe, y en la expedición del anuncio se cumplieron los requisitos del manual de trámites, el cual tiene el carácter de público, se acuerda con el particular para que ajuste su anuncio a la normatividad aplicable, sin perjuicio de las responsabilidades que procedan; </w:t>
      </w:r>
    </w:p>
    <w:p w14:paraId="3A4751D4"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Cuando se requiera al propietario para efectuar trabajos de conservación del anuncio, y no los efectúe dentro del plazo que se la haya señalado; </w:t>
      </w:r>
    </w:p>
    <w:p w14:paraId="3A4751D5"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En el caso de que después de otorgada la licencia o permiso se compruebe que el anuncio está colocado en zona en que no se autorice la fijación o colocación de anuncios, o el anuncio no fuere de los permitidos en ella; </w:t>
      </w:r>
    </w:p>
    <w:p w14:paraId="3A4751D6"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Si el anuncio se fija o coloca en sitio distinto del autorizado por la licencia.</w:t>
      </w:r>
    </w:p>
    <w:p w14:paraId="3A4751D7"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Cuando se modifique el uso del suelo en los planes parciales de desarrollo urbano del bien inmueble en el que está asentado el anuncio, haciéndolo incompatible, así como cuando con motivo de proyectos aprobados de obra pública, remodelación urbana, cambios de regulación en la zona en que está colocado el anuncio y otras razones de interés público o de beneficio colectivo, el anuncio resulte prohibido o deba retirarse; </w:t>
      </w:r>
    </w:p>
    <w:p w14:paraId="3A4751D8"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Si el anuncio se fija o coloca en sitio distinto del autorizado por la licencia o permiso fuera de los lineamientos establecidos en éstos; </w:t>
      </w:r>
    </w:p>
    <w:p w14:paraId="3A4751D9"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lastRenderedPageBreak/>
        <w:t xml:space="preserve">En el caso de que la autoridad competente lo determine, por razones de interés público o de buen gobierno; </w:t>
      </w:r>
    </w:p>
    <w:p w14:paraId="3A4751DA"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Cuando así se determine por resolución de cualquier autoridad judicial; </w:t>
      </w:r>
    </w:p>
    <w:p w14:paraId="3A4751DB"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Cuando el titular del anuncio no realice el refrendo dentro del plazo establecido en el artículo </w:t>
      </w:r>
      <w:r w:rsidRPr="006D6A0D">
        <w:rPr>
          <w:rFonts w:ascii="Gotham" w:hAnsi="Gotham" w:cs="Arial"/>
          <w:color w:val="000000" w:themeColor="text1"/>
          <w:sz w:val="19"/>
          <w:szCs w:val="19"/>
        </w:rPr>
        <w:t xml:space="preserve">141 </w:t>
      </w:r>
      <w:r w:rsidRPr="006D6A0D">
        <w:rPr>
          <w:rFonts w:ascii="Gotham" w:hAnsi="Gotham" w:cs="Arial"/>
          <w:sz w:val="19"/>
          <w:szCs w:val="19"/>
        </w:rPr>
        <w:t xml:space="preserve">de la Ley de Hacienda Municipal del Estado de Jalisco; o, </w:t>
      </w:r>
    </w:p>
    <w:p w14:paraId="3A4751DC" w14:textId="77777777" w:rsidR="009B5E39" w:rsidRPr="006D6A0D" w:rsidRDefault="009B5E39" w:rsidP="009B5E39">
      <w:pPr>
        <w:pStyle w:val="Prrafodelista"/>
        <w:numPr>
          <w:ilvl w:val="0"/>
          <w:numId w:val="206"/>
        </w:numPr>
        <w:autoSpaceDE w:val="0"/>
        <w:autoSpaceDN w:val="0"/>
        <w:adjustRightInd w:val="0"/>
        <w:spacing w:after="120"/>
        <w:ind w:left="1134" w:right="283" w:hanging="851"/>
        <w:contextualSpacing w:val="0"/>
        <w:jc w:val="both"/>
        <w:rPr>
          <w:rFonts w:ascii="Gotham" w:hAnsi="Gotham" w:cs="Arial"/>
          <w:sz w:val="19"/>
          <w:szCs w:val="19"/>
        </w:rPr>
      </w:pPr>
      <w:r w:rsidRPr="006D6A0D">
        <w:rPr>
          <w:rFonts w:ascii="Gotham" w:hAnsi="Gotham" w:cs="Arial"/>
          <w:sz w:val="19"/>
          <w:szCs w:val="19"/>
        </w:rPr>
        <w:t xml:space="preserve">Cuando se provoque daño al arbolado urbano y a áreas jardineadas que se produzca en beneficio de la visibilidad del anuncio, así determinado por la Dirección de Medio Ambiente. </w:t>
      </w:r>
    </w:p>
    <w:p w14:paraId="3A4751DD" w14:textId="77777777" w:rsidR="009B5E39" w:rsidRPr="006D6A0D" w:rsidRDefault="009B5E39" w:rsidP="009B5E39">
      <w:pPr>
        <w:pStyle w:val="Prrafodelista"/>
        <w:numPr>
          <w:ilvl w:val="0"/>
          <w:numId w:val="206"/>
        </w:numPr>
        <w:autoSpaceDE w:val="0"/>
        <w:autoSpaceDN w:val="0"/>
        <w:adjustRightInd w:val="0"/>
        <w:ind w:left="1134" w:right="283" w:hanging="851"/>
        <w:contextualSpacing w:val="0"/>
        <w:jc w:val="both"/>
        <w:rPr>
          <w:rFonts w:ascii="Gotham" w:hAnsi="Gotham" w:cs="Arial"/>
          <w:sz w:val="19"/>
          <w:szCs w:val="19"/>
        </w:rPr>
      </w:pPr>
      <w:r w:rsidRPr="006D6A0D">
        <w:rPr>
          <w:rFonts w:ascii="Gotham" w:hAnsi="Gotham" w:cs="Arial"/>
          <w:sz w:val="19"/>
          <w:szCs w:val="19"/>
        </w:rPr>
        <w:t xml:space="preserve">La revocación es dictada por el Titular de la Dirección de Padrón y Licencias. </w:t>
      </w:r>
    </w:p>
    <w:p w14:paraId="3A4751DE"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DF"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En la resolución que declare la revocación de una licencia o permiso, se ordenará el retiro del anuncio a que se refiere, concediendo un plazo de hasta treinta días naturales, en razón de las maniobras que se requieran para su remoción, dentro del cual debe hacerlo el titular de la licencia o permiso; en caso de omisión o incumplimiento, la remoción será realizada por la autoridad municipal con cargo al publicista, anunciante o el titular del lugar de instalación, los cuales serán responsables solidarios. </w:t>
      </w:r>
    </w:p>
    <w:p w14:paraId="3A4751E0" w14:textId="77777777" w:rsidR="009B5E39" w:rsidRPr="006D6A0D" w:rsidRDefault="009B5E39" w:rsidP="009B5E39">
      <w:pPr>
        <w:autoSpaceDE w:val="0"/>
        <w:autoSpaceDN w:val="0"/>
        <w:adjustRightInd w:val="0"/>
        <w:ind w:left="283" w:right="283"/>
        <w:jc w:val="both"/>
        <w:rPr>
          <w:rFonts w:ascii="Gotham" w:hAnsi="Gotham" w:cs="Arial"/>
          <w:b/>
          <w:bCs/>
          <w:sz w:val="19"/>
          <w:szCs w:val="19"/>
        </w:rPr>
      </w:pPr>
    </w:p>
    <w:p w14:paraId="3A4751E1" w14:textId="77777777" w:rsidR="009B5E39" w:rsidRPr="006D6A0D" w:rsidRDefault="009B5E39" w:rsidP="009B5E39">
      <w:pPr>
        <w:autoSpaceDE w:val="0"/>
        <w:autoSpaceDN w:val="0"/>
        <w:adjustRightInd w:val="0"/>
        <w:ind w:left="283" w:right="283"/>
        <w:jc w:val="both"/>
        <w:rPr>
          <w:rFonts w:ascii="Gotham" w:hAnsi="Gotham" w:cs="Arial"/>
          <w:b/>
          <w:bCs/>
          <w:sz w:val="19"/>
          <w:szCs w:val="19"/>
        </w:rPr>
      </w:pPr>
      <w:r w:rsidRPr="006D6A0D">
        <w:rPr>
          <w:rFonts w:ascii="Gotham" w:hAnsi="Gotham" w:cs="Arial"/>
          <w:b/>
          <w:bCs/>
          <w:sz w:val="19"/>
          <w:szCs w:val="19"/>
        </w:rPr>
        <w:t xml:space="preserve">Artículo 76°. </w:t>
      </w:r>
      <w:r w:rsidRPr="006D6A0D">
        <w:rPr>
          <w:rFonts w:ascii="Gotham" w:hAnsi="Gotham" w:cs="Arial"/>
          <w:sz w:val="19"/>
          <w:szCs w:val="19"/>
        </w:rPr>
        <w:t xml:space="preserve">En caso de reincidencia en la infracción a este reglamento, se aplicará el máximo de la multa correspondiente, </w:t>
      </w:r>
      <w:r w:rsidRPr="006D6A0D">
        <w:rPr>
          <w:rFonts w:ascii="Gotham" w:hAnsi="Gotham" w:cs="Arial"/>
          <w:bCs/>
          <w:sz w:val="19"/>
          <w:szCs w:val="19"/>
        </w:rPr>
        <w:t>se procederá a la clausura del anuncio y en su caso se solicitará a la instancia correspondiente que inicie los procedimientos administrativos de baja o revocación de licencia o permiso, que resulten aplicables.</w:t>
      </w:r>
      <w:r w:rsidRPr="006D6A0D">
        <w:rPr>
          <w:rFonts w:ascii="Gotham" w:hAnsi="Gotham" w:cs="Arial"/>
          <w:b/>
          <w:bCs/>
          <w:sz w:val="19"/>
          <w:szCs w:val="19"/>
        </w:rPr>
        <w:t xml:space="preserve"> </w:t>
      </w:r>
    </w:p>
    <w:p w14:paraId="3A4751E2"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E3"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77°. </w:t>
      </w:r>
      <w:r w:rsidRPr="006D6A0D">
        <w:rPr>
          <w:rFonts w:ascii="Gotham" w:hAnsi="Gotham" w:cs="Arial"/>
          <w:color w:val="000000"/>
          <w:sz w:val="19"/>
          <w:szCs w:val="19"/>
        </w:rPr>
        <w:t xml:space="preserve">Las dependencias competentes ejercerán las facultades de inspección y vigilancia que le corresponden, observando las disposiciones legales y reglamentarias aplicables en materia de procedimiento administrativo. </w:t>
      </w:r>
    </w:p>
    <w:p w14:paraId="3A4751E4" w14:textId="77777777" w:rsidR="009B5E39" w:rsidRDefault="009B5E39" w:rsidP="009B5E39">
      <w:pPr>
        <w:autoSpaceDE w:val="0"/>
        <w:autoSpaceDN w:val="0"/>
        <w:adjustRightInd w:val="0"/>
        <w:ind w:left="283" w:right="283"/>
        <w:jc w:val="both"/>
        <w:rPr>
          <w:rFonts w:ascii="Gotham" w:hAnsi="Gotham" w:cs="Arial"/>
          <w:color w:val="000000"/>
          <w:sz w:val="19"/>
          <w:szCs w:val="19"/>
        </w:rPr>
      </w:pPr>
    </w:p>
    <w:p w14:paraId="3A4751E5"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E6"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r w:rsidRPr="006D6A0D">
        <w:rPr>
          <w:rFonts w:ascii="Gotham" w:hAnsi="Gotham" w:cs="Arial"/>
          <w:b/>
          <w:bCs/>
          <w:color w:val="000000"/>
          <w:sz w:val="19"/>
          <w:szCs w:val="19"/>
        </w:rPr>
        <w:t>Capítulo III</w:t>
      </w:r>
    </w:p>
    <w:p w14:paraId="3A4751E7" w14:textId="77777777" w:rsidR="009B5E39" w:rsidRPr="006D6A0D" w:rsidRDefault="009B5E39" w:rsidP="009B5E39">
      <w:pPr>
        <w:autoSpaceDE w:val="0"/>
        <w:autoSpaceDN w:val="0"/>
        <w:adjustRightInd w:val="0"/>
        <w:ind w:left="283" w:right="283"/>
        <w:jc w:val="center"/>
        <w:rPr>
          <w:rFonts w:ascii="Gotham" w:hAnsi="Gotham" w:cs="Arial"/>
          <w:b/>
          <w:bCs/>
          <w:color w:val="000000"/>
          <w:sz w:val="19"/>
          <w:szCs w:val="19"/>
        </w:rPr>
      </w:pPr>
      <w:r w:rsidRPr="006D6A0D">
        <w:rPr>
          <w:rFonts w:ascii="Gotham" w:hAnsi="Gotham" w:cs="Arial"/>
          <w:b/>
          <w:bCs/>
          <w:color w:val="000000"/>
          <w:sz w:val="19"/>
          <w:szCs w:val="19"/>
        </w:rPr>
        <w:t>Denuncia Popular</w:t>
      </w:r>
    </w:p>
    <w:p w14:paraId="3A4751E8"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p>
    <w:p w14:paraId="3A4751E9"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78°. </w:t>
      </w:r>
      <w:r w:rsidRPr="006D6A0D">
        <w:rPr>
          <w:rFonts w:ascii="Gotham" w:hAnsi="Gotham" w:cs="Arial"/>
          <w:sz w:val="19"/>
          <w:szCs w:val="19"/>
        </w:rPr>
        <w:t xml:space="preserve">Cualquier persona física o moral podrá denunciar ante el municipio infracciones a las disposiciones del presente Reglamento, evidencia de peligro en algún anuncio, así como hechos, actividades, omisiones o infracciones relacionados con </w:t>
      </w:r>
      <w:r w:rsidRPr="006D6A0D">
        <w:rPr>
          <w:rFonts w:ascii="Gotham" w:hAnsi="Gotham" w:cs="Arial"/>
          <w:color w:val="000000"/>
          <w:sz w:val="19"/>
          <w:szCs w:val="19"/>
        </w:rPr>
        <w:t xml:space="preserve">los anuncios, que puedan poner en peligro la salud, la vida o la integridad física de las personas y la seguridad de los bienes. </w:t>
      </w:r>
    </w:p>
    <w:p w14:paraId="3A4751EA"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EB"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79°. </w:t>
      </w:r>
      <w:r w:rsidRPr="006D6A0D">
        <w:rPr>
          <w:rFonts w:ascii="Gotham" w:hAnsi="Gotham" w:cs="Arial"/>
          <w:sz w:val="19"/>
          <w:szCs w:val="19"/>
        </w:rPr>
        <w:t xml:space="preserve">Al presentar una denuncia popular, </w:t>
      </w:r>
      <w:r w:rsidRPr="006D6A0D">
        <w:rPr>
          <w:rFonts w:ascii="Gotham" w:hAnsi="Gotham" w:cs="Arial"/>
          <w:color w:val="000000"/>
          <w:sz w:val="19"/>
          <w:szCs w:val="19"/>
        </w:rPr>
        <w:t>por cualquier medio ante la dependencia competente en materia de inspección</w:t>
      </w:r>
      <w:r w:rsidRPr="006D6A0D">
        <w:rPr>
          <w:rFonts w:ascii="Gotham" w:hAnsi="Gotham" w:cs="Arial"/>
          <w:sz w:val="19"/>
          <w:szCs w:val="19"/>
        </w:rPr>
        <w:t xml:space="preserve"> y se señalará por escrito generales y domicilio del denunciante, así como los datos necesarios para la identificación de la violación, incluyendo fotografías, indicando la ubicación del anuncio</w:t>
      </w:r>
      <w:r w:rsidRPr="006D6A0D">
        <w:rPr>
          <w:rFonts w:ascii="Gotham" w:hAnsi="Gotham" w:cs="Arial"/>
          <w:color w:val="000000"/>
          <w:sz w:val="19"/>
          <w:szCs w:val="19"/>
        </w:rPr>
        <w:t xml:space="preserve"> y los datos de la persona o personas a las que se impute la infracción</w:t>
      </w:r>
      <w:r w:rsidRPr="006D6A0D">
        <w:rPr>
          <w:rFonts w:ascii="Gotham" w:hAnsi="Gotham" w:cs="Arial"/>
          <w:sz w:val="19"/>
          <w:szCs w:val="19"/>
        </w:rPr>
        <w:t>. No se admiten denuncias anónimas.</w:t>
      </w:r>
    </w:p>
    <w:p w14:paraId="3A4751EC"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color w:val="000000"/>
          <w:sz w:val="19"/>
          <w:szCs w:val="19"/>
        </w:rPr>
        <w:t xml:space="preserve"> </w:t>
      </w:r>
    </w:p>
    <w:p w14:paraId="3A4751ED" w14:textId="77777777" w:rsidR="009B5E39" w:rsidRPr="006D6A0D" w:rsidRDefault="009B5E39" w:rsidP="009B5E39">
      <w:pPr>
        <w:pStyle w:val="Default"/>
        <w:ind w:left="283" w:right="283"/>
        <w:jc w:val="both"/>
        <w:rPr>
          <w:rFonts w:ascii="Gotham" w:hAnsi="Gotham"/>
          <w:sz w:val="19"/>
          <w:szCs w:val="19"/>
        </w:rPr>
      </w:pPr>
      <w:r w:rsidRPr="006D6A0D">
        <w:rPr>
          <w:rFonts w:ascii="Gotham" w:hAnsi="Gotham"/>
          <w:b/>
          <w:bCs/>
          <w:sz w:val="19"/>
          <w:szCs w:val="19"/>
        </w:rPr>
        <w:t xml:space="preserve">Artículo 80°. </w:t>
      </w:r>
      <w:r w:rsidRPr="006D6A0D">
        <w:rPr>
          <w:rFonts w:ascii="Gotham" w:hAnsi="Gotham"/>
          <w:sz w:val="19"/>
          <w:szCs w:val="19"/>
        </w:rPr>
        <w:t xml:space="preserve">La dependencia competente en materia de inspección con conocimiento de la persona o personas a las que se impute la infracción y de quienes puedan resultar afectados con el resultado de la acción emprendida, integra el expediente respectivo, procederá conforme a sus atribuciones contenidas en el </w:t>
      </w:r>
      <w:r w:rsidRPr="006D6A0D">
        <w:rPr>
          <w:rFonts w:ascii="Gotham" w:hAnsi="Gotham"/>
          <w:bCs/>
          <w:sz w:val="19"/>
          <w:szCs w:val="19"/>
        </w:rPr>
        <w:t xml:space="preserve">Reglamento del Gobierno y la Administración Pública del Ayuntamiento Constitucional de Tonalá, Jalisco </w:t>
      </w:r>
      <w:r w:rsidRPr="006D6A0D">
        <w:rPr>
          <w:rFonts w:ascii="Gotham" w:hAnsi="Gotham"/>
          <w:sz w:val="19"/>
          <w:szCs w:val="19"/>
        </w:rPr>
        <w:t xml:space="preserve">practicando las inspecciones y diligencias necesarias. </w:t>
      </w:r>
    </w:p>
    <w:p w14:paraId="3A4751EE" w14:textId="77777777" w:rsidR="009B5E39" w:rsidRDefault="009B5E39" w:rsidP="009B5E39">
      <w:pPr>
        <w:autoSpaceDE w:val="0"/>
        <w:autoSpaceDN w:val="0"/>
        <w:adjustRightInd w:val="0"/>
        <w:ind w:left="283" w:right="283"/>
        <w:jc w:val="both"/>
        <w:rPr>
          <w:rFonts w:ascii="Gotham" w:hAnsi="Gotham" w:cs="Arial"/>
          <w:color w:val="000000"/>
          <w:sz w:val="19"/>
          <w:szCs w:val="19"/>
        </w:rPr>
      </w:pPr>
    </w:p>
    <w:p w14:paraId="3A4751EF"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p>
    <w:p w14:paraId="3A4751F0"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r w:rsidRPr="006D6A0D">
        <w:rPr>
          <w:rFonts w:ascii="Gotham" w:hAnsi="Gotham" w:cs="Arial"/>
          <w:b/>
          <w:bCs/>
          <w:color w:val="000000"/>
          <w:sz w:val="19"/>
          <w:szCs w:val="19"/>
        </w:rPr>
        <w:t>Capítulo IV</w:t>
      </w:r>
    </w:p>
    <w:p w14:paraId="3A4751F1" w14:textId="77777777" w:rsidR="009B5E39" w:rsidRPr="006D6A0D" w:rsidRDefault="009B5E39" w:rsidP="009B5E39">
      <w:pPr>
        <w:autoSpaceDE w:val="0"/>
        <w:autoSpaceDN w:val="0"/>
        <w:adjustRightInd w:val="0"/>
        <w:ind w:left="283" w:right="283"/>
        <w:jc w:val="center"/>
        <w:rPr>
          <w:rFonts w:ascii="Gotham" w:hAnsi="Gotham" w:cs="Arial"/>
          <w:b/>
          <w:bCs/>
          <w:color w:val="000000"/>
          <w:sz w:val="19"/>
          <w:szCs w:val="19"/>
        </w:rPr>
      </w:pPr>
      <w:r w:rsidRPr="006D6A0D">
        <w:rPr>
          <w:rFonts w:ascii="Gotham" w:hAnsi="Gotham" w:cs="Arial"/>
          <w:b/>
          <w:bCs/>
          <w:color w:val="000000"/>
          <w:sz w:val="19"/>
          <w:szCs w:val="19"/>
        </w:rPr>
        <w:t>Recurso de Revisión</w:t>
      </w:r>
    </w:p>
    <w:p w14:paraId="3A4751F2" w14:textId="77777777" w:rsidR="009B5E39" w:rsidRPr="006D6A0D" w:rsidRDefault="009B5E39" w:rsidP="009B5E39">
      <w:pPr>
        <w:autoSpaceDE w:val="0"/>
        <w:autoSpaceDN w:val="0"/>
        <w:adjustRightInd w:val="0"/>
        <w:ind w:left="283" w:right="283"/>
        <w:jc w:val="center"/>
        <w:rPr>
          <w:rFonts w:ascii="Gotham" w:hAnsi="Gotham" w:cs="Arial"/>
          <w:color w:val="000000"/>
          <w:sz w:val="19"/>
          <w:szCs w:val="19"/>
        </w:rPr>
      </w:pPr>
    </w:p>
    <w:p w14:paraId="3A4751F3" w14:textId="77777777" w:rsidR="009B5E39" w:rsidRPr="006D6A0D" w:rsidRDefault="009B5E39" w:rsidP="009B5E39">
      <w:pPr>
        <w:autoSpaceDE w:val="0"/>
        <w:autoSpaceDN w:val="0"/>
        <w:adjustRightInd w:val="0"/>
        <w:ind w:left="283" w:right="283"/>
        <w:jc w:val="both"/>
        <w:rPr>
          <w:rFonts w:ascii="Gotham" w:hAnsi="Gotham" w:cs="Arial"/>
          <w:color w:val="000000"/>
          <w:sz w:val="19"/>
          <w:szCs w:val="19"/>
        </w:rPr>
      </w:pPr>
      <w:r w:rsidRPr="006D6A0D">
        <w:rPr>
          <w:rFonts w:ascii="Gotham" w:hAnsi="Gotham" w:cs="Arial"/>
          <w:b/>
          <w:bCs/>
          <w:sz w:val="19"/>
          <w:szCs w:val="19"/>
        </w:rPr>
        <w:t xml:space="preserve">Artículo 81°. </w:t>
      </w:r>
      <w:r w:rsidRPr="006D6A0D">
        <w:rPr>
          <w:rFonts w:ascii="Gotham" w:hAnsi="Gotham" w:cs="Arial"/>
          <w:color w:val="000000"/>
          <w:sz w:val="19"/>
          <w:szCs w:val="19"/>
        </w:rPr>
        <w:t xml:space="preserve">El recurso de revisión se rige por lo dispuesto en la Ley del Procedimiento Administrativo del Estado de Jalisco. </w:t>
      </w:r>
    </w:p>
    <w:p w14:paraId="3A4751F4" w14:textId="77777777" w:rsidR="009B5E39" w:rsidRDefault="009B5E39" w:rsidP="009B5E39">
      <w:pPr>
        <w:autoSpaceDE w:val="0"/>
        <w:autoSpaceDN w:val="0"/>
        <w:adjustRightInd w:val="0"/>
        <w:ind w:left="283" w:right="283"/>
        <w:jc w:val="both"/>
        <w:rPr>
          <w:rFonts w:ascii="Gotham" w:hAnsi="Gotham" w:cs="Arial"/>
          <w:b/>
          <w:bCs/>
          <w:sz w:val="19"/>
          <w:szCs w:val="19"/>
        </w:rPr>
      </w:pPr>
    </w:p>
    <w:p w14:paraId="3A4751F5" w14:textId="77777777" w:rsidR="009B5E39" w:rsidRPr="006D6A0D" w:rsidRDefault="009B5E39" w:rsidP="009B5E39">
      <w:pPr>
        <w:autoSpaceDE w:val="0"/>
        <w:autoSpaceDN w:val="0"/>
        <w:adjustRightInd w:val="0"/>
        <w:ind w:left="283" w:right="283"/>
        <w:jc w:val="both"/>
        <w:rPr>
          <w:rFonts w:ascii="Gotham" w:hAnsi="Gotham" w:cs="Arial"/>
          <w:b/>
          <w:bCs/>
          <w:sz w:val="19"/>
          <w:szCs w:val="19"/>
        </w:rPr>
      </w:pPr>
    </w:p>
    <w:p w14:paraId="3A4751F6" w14:textId="77777777" w:rsidR="009B5E39" w:rsidRPr="006D6A0D" w:rsidRDefault="009B5E39" w:rsidP="009B5E39">
      <w:pPr>
        <w:autoSpaceDE w:val="0"/>
        <w:autoSpaceDN w:val="0"/>
        <w:adjustRightInd w:val="0"/>
        <w:ind w:left="283" w:right="283"/>
        <w:jc w:val="center"/>
        <w:rPr>
          <w:rFonts w:ascii="Gotham" w:hAnsi="Gotham" w:cs="Arial"/>
          <w:sz w:val="19"/>
          <w:szCs w:val="19"/>
        </w:rPr>
      </w:pPr>
      <w:r w:rsidRPr="006D6A0D">
        <w:rPr>
          <w:rFonts w:ascii="Gotham" w:hAnsi="Gotham" w:cs="Arial"/>
          <w:b/>
          <w:bCs/>
          <w:sz w:val="19"/>
          <w:szCs w:val="19"/>
        </w:rPr>
        <w:lastRenderedPageBreak/>
        <w:t>Capítulo V</w:t>
      </w:r>
    </w:p>
    <w:p w14:paraId="3A4751F7" w14:textId="77777777" w:rsidR="009B5E39" w:rsidRPr="006D6A0D" w:rsidRDefault="009B5E39" w:rsidP="009B5E39">
      <w:pPr>
        <w:autoSpaceDE w:val="0"/>
        <w:autoSpaceDN w:val="0"/>
        <w:adjustRightInd w:val="0"/>
        <w:ind w:left="283" w:right="283"/>
        <w:jc w:val="center"/>
        <w:rPr>
          <w:rFonts w:ascii="Gotham" w:hAnsi="Gotham" w:cs="Arial"/>
          <w:b/>
          <w:bCs/>
          <w:sz w:val="19"/>
          <w:szCs w:val="19"/>
        </w:rPr>
      </w:pPr>
      <w:r w:rsidRPr="006D6A0D">
        <w:rPr>
          <w:rFonts w:ascii="Gotham" w:hAnsi="Gotham" w:cs="Arial"/>
          <w:b/>
          <w:bCs/>
          <w:sz w:val="19"/>
          <w:szCs w:val="19"/>
        </w:rPr>
        <w:t>Suspensión del Acto Reclamado</w:t>
      </w:r>
    </w:p>
    <w:p w14:paraId="3A4751F8" w14:textId="77777777" w:rsidR="009B5E39" w:rsidRPr="006D6A0D" w:rsidRDefault="009B5E39" w:rsidP="009B5E39">
      <w:pPr>
        <w:autoSpaceDE w:val="0"/>
        <w:autoSpaceDN w:val="0"/>
        <w:adjustRightInd w:val="0"/>
        <w:ind w:left="283" w:right="283"/>
        <w:jc w:val="center"/>
        <w:rPr>
          <w:rFonts w:ascii="Gotham" w:hAnsi="Gotham" w:cs="Arial"/>
          <w:sz w:val="19"/>
          <w:szCs w:val="19"/>
        </w:rPr>
      </w:pPr>
    </w:p>
    <w:p w14:paraId="3A4751F9"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82°. </w:t>
      </w:r>
      <w:r w:rsidRPr="006D6A0D">
        <w:rPr>
          <w:rFonts w:ascii="Gotham" w:hAnsi="Gotham" w:cs="Arial"/>
          <w:sz w:val="19"/>
          <w:szCs w:val="19"/>
        </w:rPr>
        <w:t xml:space="preserve">Procede la suspensión del acto reclamado, si así es solicitado al promoverse el recurso y existe, a juicio de la autoridad que resuelve sobre su admisión, apariencia de buen derecho y peligro en la demora a favor del promovente, siempre que, al concederse, no se siga un perjuicio al interés social ni se contravengan disposiciones de orden público. </w:t>
      </w:r>
    </w:p>
    <w:p w14:paraId="3A4751FA"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FB"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En el acuerdo de admisión del recurso, la autoridad puede decretar la suspensión del acto reclamado, que tiene como consecuencia el mantener las cosas en el estado en que se encuentren y, en el caso de las clausuras, siempre que se acredite el interés jurídico, mediante la exhibición de la licencia municipal vigente, restituirlas temporalmente a la situación que guardaban antes de ejecutarse el acto reclamado hasta en tanto se resuelva el recurso. </w:t>
      </w:r>
    </w:p>
    <w:p w14:paraId="3A4751FC"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1FD"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sz w:val="19"/>
          <w:szCs w:val="19"/>
        </w:rPr>
        <w:t xml:space="preserve">Si la resolución reclamada impuso una multa, determinó un crédito fiscal o puede ocasionar daños y perjuicios a terceros, debe garantizarse debidamente su importe y demás consecuencias legales como requisito previo para conceder la suspensión, en la forma y términos indicados en la Ley de Hacienda Municipal del Estado de Jalisco. </w:t>
      </w:r>
    </w:p>
    <w:p w14:paraId="3A4751FE" w14:textId="77777777" w:rsidR="009B5E39" w:rsidRDefault="009B5E39" w:rsidP="009B5E39">
      <w:pPr>
        <w:autoSpaceDE w:val="0"/>
        <w:autoSpaceDN w:val="0"/>
        <w:adjustRightInd w:val="0"/>
        <w:ind w:left="283" w:right="283"/>
        <w:jc w:val="both"/>
        <w:rPr>
          <w:rFonts w:ascii="Gotham" w:hAnsi="Gotham" w:cs="Arial"/>
          <w:sz w:val="19"/>
          <w:szCs w:val="19"/>
        </w:rPr>
      </w:pPr>
    </w:p>
    <w:p w14:paraId="3A4751FF"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200" w14:textId="77777777" w:rsidR="009B5E39" w:rsidRPr="006D6A0D" w:rsidRDefault="009B5E39" w:rsidP="009B5E39">
      <w:pPr>
        <w:autoSpaceDE w:val="0"/>
        <w:autoSpaceDN w:val="0"/>
        <w:adjustRightInd w:val="0"/>
        <w:ind w:left="283" w:right="283"/>
        <w:jc w:val="center"/>
        <w:rPr>
          <w:rFonts w:ascii="Gotham" w:hAnsi="Gotham" w:cs="Arial"/>
          <w:sz w:val="19"/>
          <w:szCs w:val="19"/>
        </w:rPr>
      </w:pPr>
      <w:r w:rsidRPr="006D6A0D">
        <w:rPr>
          <w:rFonts w:ascii="Gotham" w:hAnsi="Gotham" w:cs="Arial"/>
          <w:b/>
          <w:bCs/>
          <w:sz w:val="19"/>
          <w:szCs w:val="19"/>
        </w:rPr>
        <w:t>Capítulo VI</w:t>
      </w:r>
    </w:p>
    <w:p w14:paraId="3A475201" w14:textId="77777777" w:rsidR="009B5E39" w:rsidRPr="006D6A0D" w:rsidRDefault="009B5E39" w:rsidP="009B5E39">
      <w:pPr>
        <w:autoSpaceDE w:val="0"/>
        <w:autoSpaceDN w:val="0"/>
        <w:adjustRightInd w:val="0"/>
        <w:ind w:left="283" w:right="283"/>
        <w:jc w:val="center"/>
        <w:rPr>
          <w:rFonts w:ascii="Gotham" w:hAnsi="Gotham" w:cs="Arial"/>
          <w:b/>
          <w:bCs/>
          <w:sz w:val="19"/>
          <w:szCs w:val="19"/>
        </w:rPr>
      </w:pPr>
      <w:r w:rsidRPr="006D6A0D">
        <w:rPr>
          <w:rFonts w:ascii="Gotham" w:hAnsi="Gotham" w:cs="Arial"/>
          <w:b/>
          <w:bCs/>
          <w:sz w:val="19"/>
          <w:szCs w:val="19"/>
        </w:rPr>
        <w:t>Juicio de Nulidad</w:t>
      </w:r>
    </w:p>
    <w:p w14:paraId="3A475202" w14:textId="77777777" w:rsidR="009B5E39" w:rsidRPr="006D6A0D" w:rsidRDefault="009B5E39" w:rsidP="009B5E39">
      <w:pPr>
        <w:autoSpaceDE w:val="0"/>
        <w:autoSpaceDN w:val="0"/>
        <w:adjustRightInd w:val="0"/>
        <w:ind w:left="283" w:right="283"/>
        <w:jc w:val="center"/>
        <w:rPr>
          <w:rFonts w:ascii="Gotham" w:hAnsi="Gotham" w:cs="Arial"/>
          <w:sz w:val="19"/>
          <w:szCs w:val="19"/>
        </w:rPr>
      </w:pPr>
    </w:p>
    <w:p w14:paraId="3A475203"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Artículo 83°. </w:t>
      </w:r>
      <w:r w:rsidRPr="006D6A0D">
        <w:rPr>
          <w:rFonts w:ascii="Gotham" w:hAnsi="Gotham" w:cs="Arial"/>
          <w:sz w:val="19"/>
          <w:szCs w:val="19"/>
        </w:rPr>
        <w:t xml:space="preserve">En contra de la resolución dictada por la autoridad municipal al resolver el recurso, podrá interponerse el juicio de nulidad ante el Tribunal de lo Administrativo del Poder Judicial del Estado de Jalisco. </w:t>
      </w:r>
    </w:p>
    <w:p w14:paraId="3A475204" w14:textId="77777777" w:rsidR="009B5E39" w:rsidRDefault="009B5E39" w:rsidP="009B5E39">
      <w:pPr>
        <w:autoSpaceDE w:val="0"/>
        <w:autoSpaceDN w:val="0"/>
        <w:adjustRightInd w:val="0"/>
        <w:ind w:left="283" w:right="283"/>
        <w:jc w:val="both"/>
        <w:rPr>
          <w:rFonts w:ascii="Gotham" w:hAnsi="Gotham" w:cs="Arial"/>
          <w:sz w:val="19"/>
          <w:szCs w:val="19"/>
        </w:rPr>
      </w:pPr>
    </w:p>
    <w:p w14:paraId="3A475205" w14:textId="77777777" w:rsidR="009B5E39" w:rsidRPr="006D6A0D" w:rsidRDefault="009B5E39" w:rsidP="009B5E39">
      <w:pPr>
        <w:autoSpaceDE w:val="0"/>
        <w:autoSpaceDN w:val="0"/>
        <w:adjustRightInd w:val="0"/>
        <w:ind w:left="283" w:right="283"/>
        <w:jc w:val="both"/>
        <w:rPr>
          <w:rFonts w:ascii="Gotham" w:hAnsi="Gotham" w:cs="Arial"/>
          <w:sz w:val="19"/>
          <w:szCs w:val="19"/>
        </w:rPr>
      </w:pPr>
    </w:p>
    <w:p w14:paraId="3A475206" w14:textId="77777777" w:rsidR="009B5E39" w:rsidRPr="006D6A0D" w:rsidRDefault="009B5E39" w:rsidP="009B5E39">
      <w:pPr>
        <w:autoSpaceDE w:val="0"/>
        <w:autoSpaceDN w:val="0"/>
        <w:adjustRightInd w:val="0"/>
        <w:ind w:left="283" w:right="283"/>
        <w:jc w:val="center"/>
        <w:rPr>
          <w:rFonts w:ascii="Gotham" w:hAnsi="Gotham" w:cs="Arial"/>
          <w:b/>
          <w:bCs/>
          <w:sz w:val="19"/>
          <w:szCs w:val="19"/>
        </w:rPr>
      </w:pPr>
      <w:r w:rsidRPr="006D6A0D">
        <w:rPr>
          <w:rFonts w:ascii="Gotham" w:hAnsi="Gotham" w:cs="Arial"/>
          <w:b/>
          <w:bCs/>
          <w:sz w:val="19"/>
          <w:szCs w:val="19"/>
        </w:rPr>
        <w:t>ARTÍCULOS TRANSITORIOS</w:t>
      </w:r>
    </w:p>
    <w:p w14:paraId="3A475207" w14:textId="77777777" w:rsidR="009B5E39" w:rsidRPr="006D6A0D" w:rsidRDefault="009B5E39" w:rsidP="009B5E39">
      <w:pPr>
        <w:autoSpaceDE w:val="0"/>
        <w:autoSpaceDN w:val="0"/>
        <w:adjustRightInd w:val="0"/>
        <w:ind w:left="283" w:right="283"/>
        <w:jc w:val="center"/>
        <w:rPr>
          <w:rFonts w:ascii="Gotham" w:hAnsi="Gotham" w:cs="Arial"/>
          <w:sz w:val="19"/>
          <w:szCs w:val="19"/>
        </w:rPr>
      </w:pPr>
    </w:p>
    <w:p w14:paraId="3A475208"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Primero. </w:t>
      </w:r>
      <w:r w:rsidRPr="006D6A0D">
        <w:rPr>
          <w:rFonts w:ascii="Gotham" w:hAnsi="Gotham" w:cs="Arial"/>
          <w:sz w:val="19"/>
          <w:szCs w:val="19"/>
        </w:rPr>
        <w:t xml:space="preserve">Se abrogan el Reglamento de Anuncios para el Municipio de Tonalá, Jalisco, así como las demás disposiciones legales y reglamentarias que se opongan al presente ordenamiento. </w:t>
      </w:r>
    </w:p>
    <w:p w14:paraId="3A475209" w14:textId="77777777" w:rsidR="009B5E39" w:rsidRPr="006D6A0D" w:rsidRDefault="009B5E39" w:rsidP="009B5E39">
      <w:pPr>
        <w:autoSpaceDE w:val="0"/>
        <w:autoSpaceDN w:val="0"/>
        <w:adjustRightInd w:val="0"/>
        <w:ind w:left="283" w:right="283"/>
        <w:jc w:val="both"/>
        <w:rPr>
          <w:rFonts w:ascii="Gotham" w:hAnsi="Gotham" w:cs="Arial"/>
          <w:b/>
          <w:bCs/>
          <w:sz w:val="19"/>
          <w:szCs w:val="19"/>
        </w:rPr>
      </w:pPr>
    </w:p>
    <w:p w14:paraId="3A47520A" w14:textId="77777777" w:rsidR="009B5E39" w:rsidRPr="006D6A0D" w:rsidRDefault="009B5E39" w:rsidP="009B5E39">
      <w:pPr>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Segundo. </w:t>
      </w:r>
      <w:r w:rsidRPr="006D6A0D">
        <w:rPr>
          <w:rFonts w:ascii="Gotham" w:hAnsi="Gotham" w:cs="Arial"/>
          <w:sz w:val="19"/>
          <w:szCs w:val="19"/>
        </w:rPr>
        <w:t xml:space="preserve">Las presentes disposiciones entrarán en vigor al día siguiente de su publicación en la Gaceta Municipal. </w:t>
      </w:r>
    </w:p>
    <w:p w14:paraId="3A47520B" w14:textId="77777777" w:rsidR="009B5E39" w:rsidRPr="006D6A0D" w:rsidRDefault="009B5E39" w:rsidP="009B5E39">
      <w:pPr>
        <w:autoSpaceDE w:val="0"/>
        <w:autoSpaceDN w:val="0"/>
        <w:adjustRightInd w:val="0"/>
        <w:ind w:left="283" w:right="283"/>
        <w:jc w:val="both"/>
        <w:rPr>
          <w:rFonts w:ascii="Gotham" w:hAnsi="Gotham" w:cs="Arial"/>
          <w:b/>
          <w:bCs/>
          <w:sz w:val="19"/>
          <w:szCs w:val="19"/>
        </w:rPr>
      </w:pPr>
    </w:p>
    <w:p w14:paraId="3A47520C"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Tercero. </w:t>
      </w:r>
      <w:r w:rsidRPr="006D6A0D">
        <w:rPr>
          <w:rFonts w:ascii="Gotham" w:hAnsi="Gotham" w:cs="Arial"/>
          <w:sz w:val="19"/>
          <w:szCs w:val="19"/>
        </w:rPr>
        <w:t xml:space="preserve">Todos los anuncios que tengan autorización administrativa y las medidas de seguridad y requerimientos técnicos que no se ajusten a las nuevas disposiciones, deberán adecuarse a la normatividad establecida en el presente reglamento en un lapso no mayor a 120 días hábiles, contabilizados a partir de su entrada en vigor. </w:t>
      </w:r>
    </w:p>
    <w:p w14:paraId="3A47520D" w14:textId="77777777" w:rsidR="009B5E39" w:rsidRPr="006D6A0D" w:rsidRDefault="009B5E39" w:rsidP="009B5E39">
      <w:pPr>
        <w:tabs>
          <w:tab w:val="left" w:pos="9639"/>
        </w:tabs>
        <w:autoSpaceDE w:val="0"/>
        <w:autoSpaceDN w:val="0"/>
        <w:adjustRightInd w:val="0"/>
        <w:ind w:left="283" w:right="283"/>
        <w:jc w:val="both"/>
        <w:rPr>
          <w:rFonts w:ascii="Gotham" w:hAnsi="Gotham" w:cs="Arial"/>
          <w:b/>
          <w:bCs/>
          <w:sz w:val="19"/>
          <w:szCs w:val="19"/>
        </w:rPr>
      </w:pPr>
    </w:p>
    <w:p w14:paraId="3A47520E" w14:textId="77777777" w:rsidR="009B5E39"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Cuarto. </w:t>
      </w:r>
      <w:r w:rsidRPr="006D6A0D">
        <w:rPr>
          <w:rFonts w:ascii="Gotham" w:hAnsi="Gotham" w:cs="Arial"/>
          <w:sz w:val="19"/>
          <w:szCs w:val="19"/>
        </w:rPr>
        <w:t xml:space="preserve">Todas aquellas autorizaciones expedidas con anterioridad al presente reglamento, respecto de las cuales no se haya ejercitado el derecho en ellas contenido al momento de la entrada en vigor de este reglamento, serán motivo de revisión por parte de la Dirección de Padrón y Licencias, para resolver lo conducente. </w:t>
      </w:r>
    </w:p>
    <w:p w14:paraId="3A47520F"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p>
    <w:p w14:paraId="3A475210"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Quinto. </w:t>
      </w:r>
      <w:r w:rsidRPr="006D6A0D">
        <w:rPr>
          <w:rFonts w:ascii="Gotham" w:hAnsi="Gotham" w:cs="Arial"/>
          <w:bCs/>
          <w:sz w:val="19"/>
          <w:szCs w:val="19"/>
        </w:rPr>
        <w:t xml:space="preserve">En el caso de anuncios estructurales unipolares y de cartelera de piso o azotea que no cumplan con los requerimientos o restricciones de distancia establecidos por el presente reglamento en materia de hitos urbanos y Polígonos de Protección y Transición al Patrimonio Edificado, la Dirección de Padrón y Licencias con apoyo de la Sindicatura, valorará y determinará en cada caso la procedencia de su permanencia, retiro o reubicación, mediante acuerdo que celebre con los titulares de las licencias. </w:t>
      </w:r>
    </w:p>
    <w:p w14:paraId="3A475211" w14:textId="77777777" w:rsidR="009B5E39" w:rsidRPr="006D6A0D" w:rsidRDefault="009B5E39" w:rsidP="009B5E39">
      <w:pPr>
        <w:tabs>
          <w:tab w:val="left" w:pos="9639"/>
        </w:tabs>
        <w:autoSpaceDE w:val="0"/>
        <w:autoSpaceDN w:val="0"/>
        <w:adjustRightInd w:val="0"/>
        <w:ind w:left="283" w:right="283"/>
        <w:jc w:val="both"/>
        <w:rPr>
          <w:rFonts w:ascii="Gotham" w:hAnsi="Gotham" w:cs="Arial"/>
          <w:b/>
          <w:bCs/>
          <w:sz w:val="19"/>
          <w:szCs w:val="19"/>
        </w:rPr>
      </w:pPr>
    </w:p>
    <w:p w14:paraId="3A475212"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lastRenderedPageBreak/>
        <w:t xml:space="preserve">Sexto. </w:t>
      </w:r>
      <w:r w:rsidRPr="006D6A0D">
        <w:rPr>
          <w:rFonts w:ascii="Gotham" w:hAnsi="Gotham" w:cs="Arial"/>
          <w:sz w:val="19"/>
          <w:szCs w:val="19"/>
        </w:rPr>
        <w:t xml:space="preserve">Todas las personas físicas o jurídicas que sean titulares de una licencia o permiso vigente y al corriente de todos sus pagos al momento de la entrada en vigor del presente reglamento, conservarán los derechos adquiridos hasta la conclusión de la vigencia de dichas autorizaciones. </w:t>
      </w:r>
    </w:p>
    <w:p w14:paraId="3A475213" w14:textId="77777777" w:rsidR="009B5E39" w:rsidRPr="006D6A0D" w:rsidRDefault="009B5E39" w:rsidP="009B5E39">
      <w:pPr>
        <w:tabs>
          <w:tab w:val="left" w:pos="9639"/>
        </w:tabs>
        <w:autoSpaceDE w:val="0"/>
        <w:autoSpaceDN w:val="0"/>
        <w:adjustRightInd w:val="0"/>
        <w:ind w:left="283" w:right="283"/>
        <w:jc w:val="both"/>
        <w:rPr>
          <w:rFonts w:ascii="Gotham" w:hAnsi="Gotham" w:cs="Arial"/>
          <w:b/>
          <w:bCs/>
          <w:sz w:val="19"/>
          <w:szCs w:val="19"/>
        </w:rPr>
      </w:pPr>
    </w:p>
    <w:p w14:paraId="3A475214"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bCs/>
          <w:sz w:val="19"/>
          <w:szCs w:val="19"/>
        </w:rPr>
        <w:t xml:space="preserve">Séptimo. </w:t>
      </w:r>
      <w:r w:rsidRPr="006D6A0D">
        <w:rPr>
          <w:rFonts w:ascii="Gotham" w:hAnsi="Gotham" w:cs="Arial"/>
          <w:sz w:val="19"/>
          <w:szCs w:val="19"/>
        </w:rPr>
        <w:t xml:space="preserve">La Dirección General de Planeación y Desarrollo Urbano Sustentable y la Jefatura de Centro Histórico del municipio en coordinación con la Dirección de Padrón y Licencias, deberán llevar a cabo la declaratoria de hitos urbanos en un plazo que no excederá de 60 días hábiles, contados a partir de que sea publicado el presente ordenamiento en la Gaceta Municipal. </w:t>
      </w:r>
    </w:p>
    <w:p w14:paraId="3A475215" w14:textId="77777777" w:rsidR="009B5E39" w:rsidRPr="006D6A0D" w:rsidRDefault="009B5E39" w:rsidP="009B5E39">
      <w:pPr>
        <w:tabs>
          <w:tab w:val="left" w:pos="9639"/>
        </w:tabs>
        <w:autoSpaceDE w:val="0"/>
        <w:autoSpaceDN w:val="0"/>
        <w:adjustRightInd w:val="0"/>
        <w:ind w:left="283" w:right="283"/>
        <w:jc w:val="both"/>
        <w:rPr>
          <w:rFonts w:ascii="Gotham" w:hAnsi="Gotham" w:cs="Arial"/>
          <w:b/>
          <w:sz w:val="19"/>
          <w:szCs w:val="19"/>
        </w:rPr>
      </w:pPr>
    </w:p>
    <w:p w14:paraId="3A475216" w14:textId="77777777" w:rsidR="009B5E39" w:rsidRPr="006D6A0D" w:rsidRDefault="009B5E39" w:rsidP="009B5E39">
      <w:pPr>
        <w:tabs>
          <w:tab w:val="left" w:pos="9639"/>
        </w:tabs>
        <w:autoSpaceDE w:val="0"/>
        <w:autoSpaceDN w:val="0"/>
        <w:adjustRightInd w:val="0"/>
        <w:ind w:left="283" w:right="283"/>
        <w:jc w:val="both"/>
        <w:rPr>
          <w:rFonts w:ascii="Gotham" w:hAnsi="Gotham" w:cs="Arial"/>
          <w:sz w:val="19"/>
          <w:szCs w:val="19"/>
        </w:rPr>
      </w:pPr>
      <w:r w:rsidRPr="006D6A0D">
        <w:rPr>
          <w:rFonts w:ascii="Gotham" w:hAnsi="Gotham" w:cs="Arial"/>
          <w:b/>
          <w:sz w:val="19"/>
          <w:szCs w:val="19"/>
        </w:rPr>
        <w:t>Octavo.</w:t>
      </w:r>
      <w:r w:rsidRPr="006D6A0D">
        <w:rPr>
          <w:rFonts w:ascii="Gotham" w:hAnsi="Gotham" w:cs="Arial"/>
          <w:sz w:val="19"/>
          <w:szCs w:val="19"/>
        </w:rPr>
        <w:t xml:space="preserve"> Una vez publicado el presente ordenamiento, remítase mediante oficio un tanto del mismo al Congreso del Estado de Jalisco, para los efectos contemplados en el artículo 42, fracción VII de la Ley del Gobierno y la Administración Pública Municipal del Estado de Jalisco.</w:t>
      </w:r>
    </w:p>
    <w:p w14:paraId="3A475217" w14:textId="77777777" w:rsidR="009B5E39" w:rsidRPr="001E5957" w:rsidRDefault="009B5E39" w:rsidP="009B5E39">
      <w:pPr>
        <w:jc w:val="both"/>
        <w:rPr>
          <w:rFonts w:ascii="Gotham" w:hAnsi="Gotham" w:cs="Arial"/>
          <w:sz w:val="20"/>
          <w:szCs w:val="20"/>
        </w:rPr>
      </w:pPr>
      <w:r w:rsidRPr="001E5957">
        <w:rPr>
          <w:rFonts w:ascii="Gotham" w:hAnsi="Gotham" w:cs="Arial"/>
          <w:sz w:val="20"/>
          <w:szCs w:val="20"/>
        </w:rPr>
        <w:t xml:space="preserve"> </w:t>
      </w:r>
    </w:p>
    <w:p w14:paraId="3A475218" w14:textId="77777777" w:rsidR="009B5E39" w:rsidRPr="001E5957" w:rsidRDefault="009B5E39" w:rsidP="009B5E39">
      <w:pPr>
        <w:jc w:val="both"/>
        <w:rPr>
          <w:rFonts w:ascii="Gotham" w:hAnsi="Gotham" w:cs="Arial"/>
          <w:bCs/>
          <w:sz w:val="20"/>
          <w:szCs w:val="20"/>
          <w:lang w:val="es-ES_tradnl"/>
        </w:rPr>
      </w:pPr>
      <w:r w:rsidRPr="001E5957">
        <w:rPr>
          <w:rFonts w:ascii="Gotham" w:hAnsi="Gotham" w:cs="Arial"/>
          <w:sz w:val="20"/>
          <w:szCs w:val="20"/>
        </w:rPr>
        <w:t xml:space="preserve">Se propone la </w:t>
      </w:r>
      <w:r w:rsidRPr="001E5957">
        <w:rPr>
          <w:rFonts w:ascii="Gotham" w:hAnsi="Gotham" w:cs="Arial"/>
          <w:b/>
          <w:sz w:val="20"/>
          <w:szCs w:val="20"/>
        </w:rPr>
        <w:t>CREACIÓN</w:t>
      </w:r>
      <w:r w:rsidRPr="001E5957">
        <w:rPr>
          <w:rFonts w:ascii="Gotham" w:hAnsi="Gotham" w:cs="Arial"/>
          <w:sz w:val="20"/>
          <w:szCs w:val="20"/>
        </w:rPr>
        <w:t xml:space="preserve"> del </w:t>
      </w:r>
      <w:r w:rsidRPr="001E5957">
        <w:rPr>
          <w:rFonts w:ascii="Gotham" w:hAnsi="Gotham" w:cs="Arial"/>
          <w:b/>
          <w:bCs/>
          <w:sz w:val="20"/>
          <w:szCs w:val="20"/>
          <w:lang w:val="es-ES_tradnl"/>
        </w:rPr>
        <w:t>REGLAMENTO DE PARQUES, JARDINES Y RECURSOS FORESTALES PARA EL MUNICIPIO DE TONALÁ, JALISCO;</w:t>
      </w:r>
      <w:r w:rsidR="007C2F8D">
        <w:rPr>
          <w:rFonts w:ascii="Gotham" w:hAnsi="Gotham" w:cs="Arial"/>
          <w:b/>
          <w:bCs/>
          <w:sz w:val="20"/>
          <w:szCs w:val="20"/>
          <w:lang w:val="es-ES_tradnl"/>
        </w:rPr>
        <w:t xml:space="preserve"> </w:t>
      </w:r>
      <w:r w:rsidRPr="001E5957">
        <w:rPr>
          <w:rFonts w:ascii="Gotham" w:hAnsi="Gotham" w:cs="Arial"/>
          <w:bCs/>
          <w:sz w:val="20"/>
          <w:szCs w:val="20"/>
          <w:lang w:val="es-ES_tradnl"/>
        </w:rPr>
        <w:t>mismo que quedaría de la siguiente manera:</w:t>
      </w:r>
    </w:p>
    <w:p w14:paraId="3A475219" w14:textId="77777777" w:rsidR="009B5E39" w:rsidRPr="001E5957" w:rsidRDefault="009B5E39" w:rsidP="009B5E39">
      <w:pPr>
        <w:jc w:val="both"/>
        <w:rPr>
          <w:rFonts w:ascii="Gotham" w:hAnsi="Gotham" w:cs="Arial"/>
          <w:sz w:val="20"/>
          <w:szCs w:val="20"/>
        </w:rPr>
      </w:pPr>
    </w:p>
    <w:p w14:paraId="3A47521A" w14:textId="77777777" w:rsidR="009B5E39" w:rsidRPr="001E5957" w:rsidRDefault="009B5E39" w:rsidP="009B5E39">
      <w:pPr>
        <w:ind w:left="284" w:right="283"/>
        <w:jc w:val="center"/>
        <w:rPr>
          <w:rFonts w:ascii="Gotham" w:hAnsi="Gotham" w:cs="Arial"/>
          <w:b/>
          <w:bCs/>
          <w:sz w:val="19"/>
          <w:szCs w:val="19"/>
          <w:lang w:val="es-ES_tradnl"/>
        </w:rPr>
      </w:pPr>
      <w:r w:rsidRPr="001E5957">
        <w:rPr>
          <w:rFonts w:ascii="Gotham" w:hAnsi="Gotham" w:cs="Arial"/>
          <w:b/>
          <w:bCs/>
          <w:sz w:val="19"/>
          <w:szCs w:val="19"/>
          <w:lang w:val="es-ES_tradnl"/>
        </w:rPr>
        <w:t>REGLAMENTO DE PARQUES, JARDINES Y RECURSOS FORESTALES PARA EL MUNICIPIO DE TONALÁ, JALISCO</w:t>
      </w:r>
    </w:p>
    <w:p w14:paraId="3A47521B" w14:textId="77777777" w:rsidR="009B5E39" w:rsidRPr="001E5957" w:rsidRDefault="009B5E39" w:rsidP="009B5E39">
      <w:pPr>
        <w:ind w:left="284" w:right="283"/>
        <w:jc w:val="center"/>
        <w:rPr>
          <w:rFonts w:ascii="Gotham" w:hAnsi="Gotham" w:cs="Arial"/>
          <w:b/>
          <w:bCs/>
          <w:sz w:val="19"/>
          <w:szCs w:val="19"/>
          <w:lang w:val="es-ES_tradnl"/>
        </w:rPr>
      </w:pPr>
    </w:p>
    <w:p w14:paraId="3A47521C" w14:textId="77777777" w:rsidR="009B5E39" w:rsidRPr="001E5957" w:rsidRDefault="009B5E39" w:rsidP="009B5E39">
      <w:pPr>
        <w:ind w:left="284" w:right="283"/>
        <w:jc w:val="center"/>
        <w:rPr>
          <w:rFonts w:ascii="Gotham" w:hAnsi="Gotham" w:cs="Arial"/>
          <w:b/>
          <w:bCs/>
          <w:sz w:val="19"/>
          <w:szCs w:val="19"/>
          <w:lang w:val="es-ES_tradnl"/>
        </w:rPr>
      </w:pPr>
      <w:r w:rsidRPr="001E5957">
        <w:rPr>
          <w:rFonts w:ascii="Gotham" w:hAnsi="Gotham" w:cs="Arial"/>
          <w:b/>
          <w:bCs/>
          <w:sz w:val="19"/>
          <w:szCs w:val="19"/>
          <w:lang w:val="es-ES_tradnl"/>
        </w:rPr>
        <w:t>Capítulo I</w:t>
      </w:r>
    </w:p>
    <w:p w14:paraId="3A47521D" w14:textId="77777777" w:rsidR="009B5E39" w:rsidRPr="001E5957" w:rsidRDefault="009B5E39" w:rsidP="009B5E39">
      <w:pPr>
        <w:ind w:left="284" w:right="283"/>
        <w:jc w:val="center"/>
        <w:rPr>
          <w:rFonts w:ascii="Gotham" w:hAnsi="Gotham" w:cs="Arial"/>
          <w:b/>
          <w:bCs/>
          <w:sz w:val="19"/>
          <w:szCs w:val="19"/>
          <w:lang w:val="es-ES_tradnl"/>
        </w:rPr>
      </w:pPr>
      <w:r w:rsidRPr="001E5957">
        <w:rPr>
          <w:rFonts w:ascii="Gotham" w:hAnsi="Gotham" w:cs="Arial"/>
          <w:b/>
          <w:bCs/>
          <w:sz w:val="19"/>
          <w:szCs w:val="19"/>
          <w:lang w:val="es-ES_tradnl"/>
        </w:rPr>
        <w:t>Disposiciones generales.</w:t>
      </w:r>
    </w:p>
    <w:p w14:paraId="3A47521E" w14:textId="77777777" w:rsidR="009B5E39" w:rsidRDefault="009B5E39" w:rsidP="009B5E39">
      <w:pPr>
        <w:ind w:left="284" w:right="283"/>
        <w:jc w:val="both"/>
        <w:rPr>
          <w:rFonts w:ascii="Gotham" w:hAnsi="Gotham" w:cs="Arial"/>
          <w:b/>
          <w:bCs/>
          <w:sz w:val="19"/>
          <w:szCs w:val="19"/>
          <w:lang w:val="es-ES_tradnl"/>
        </w:rPr>
      </w:pPr>
    </w:p>
    <w:p w14:paraId="3A47521F"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b/>
          <w:bCs/>
          <w:sz w:val="19"/>
          <w:szCs w:val="19"/>
          <w:lang w:val="es-ES_tradnl"/>
        </w:rPr>
        <w:t>Artículo 1.-</w:t>
      </w:r>
      <w:r w:rsidRPr="001E5957">
        <w:rPr>
          <w:rFonts w:ascii="Gotham" w:hAnsi="Gotham" w:cs="Arial"/>
          <w:sz w:val="19"/>
          <w:szCs w:val="19"/>
          <w:lang w:val="es-ES_tradnl"/>
        </w:rPr>
        <w:t xml:space="preserve"> El presente reglamento es de orden público y se emite con fundamento en los artículos 115 fracciones II Y III inciso g) de la Constitución Política de Los Estados Unidos Mexicanos; artículo 73, 77, 79 fracción VIII de la Constitución Política del Estado de Jalisco; artículo 37 fracción II, 40 fracción II de la Ley de Gobierno y Administración Pública Municipal del Estado de Jalisco. </w:t>
      </w:r>
    </w:p>
    <w:p w14:paraId="3A475220" w14:textId="77777777" w:rsidR="009B5E39" w:rsidRDefault="009B5E39" w:rsidP="009B5E39">
      <w:pPr>
        <w:ind w:left="284" w:right="283"/>
        <w:jc w:val="both"/>
        <w:rPr>
          <w:rFonts w:ascii="Gotham" w:hAnsi="Gotham" w:cs="Arial"/>
          <w:b/>
          <w:bCs/>
          <w:sz w:val="19"/>
          <w:szCs w:val="19"/>
          <w:lang w:val="es-ES_tradnl"/>
        </w:rPr>
      </w:pPr>
    </w:p>
    <w:p w14:paraId="3A475221"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b/>
          <w:bCs/>
          <w:sz w:val="19"/>
          <w:szCs w:val="19"/>
          <w:lang w:val="es-ES_tradnl"/>
        </w:rPr>
        <w:t>Artículo 2.-</w:t>
      </w:r>
      <w:r w:rsidRPr="001E5957">
        <w:rPr>
          <w:rFonts w:ascii="Gotham" w:hAnsi="Gotham" w:cs="Arial"/>
          <w:sz w:val="19"/>
          <w:szCs w:val="19"/>
          <w:lang w:val="es-ES_tradnl"/>
        </w:rPr>
        <w:t xml:space="preserve"> Las disposiciones de este reglamento es de orden público e interés social, y tiene por objeto regular y asegurar la conservación, restauración, fomento, aprovechamiento, creación y cuidado de las áreas verdes del municipio, en beneficio y seguridad de la ciudadanía, a fin de garantizar el derecho humano de toda persona a un medio ambiente sano para su desarrollo y bienestar.</w:t>
      </w:r>
    </w:p>
    <w:p w14:paraId="3A475222" w14:textId="77777777" w:rsidR="009B5E39" w:rsidRDefault="009B5E39" w:rsidP="009B5E39">
      <w:pPr>
        <w:ind w:left="284" w:right="283"/>
        <w:jc w:val="both"/>
        <w:rPr>
          <w:rFonts w:ascii="Gotham" w:hAnsi="Gotham" w:cs="Arial"/>
          <w:b/>
          <w:bCs/>
          <w:sz w:val="19"/>
          <w:szCs w:val="19"/>
          <w:lang w:val="es-ES_tradnl"/>
        </w:rPr>
      </w:pPr>
    </w:p>
    <w:p w14:paraId="3A475223"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b/>
          <w:bCs/>
          <w:sz w:val="19"/>
          <w:szCs w:val="19"/>
          <w:lang w:val="es-ES_tradnl"/>
        </w:rPr>
        <w:t>Artículo 3.-</w:t>
      </w:r>
      <w:r w:rsidRPr="001E5957">
        <w:rPr>
          <w:rFonts w:ascii="Gotham" w:hAnsi="Gotham" w:cs="Arial"/>
          <w:sz w:val="19"/>
          <w:szCs w:val="19"/>
          <w:lang w:val="es-ES_tradnl"/>
        </w:rPr>
        <w:t xml:space="preserve"> La aplicación del presente reglamento le corresponde a las siguientes dependencias y autoridades:</w:t>
      </w:r>
    </w:p>
    <w:p w14:paraId="3A475224" w14:textId="77777777" w:rsidR="009B5E39" w:rsidRDefault="009B5E39" w:rsidP="009B5E39">
      <w:pPr>
        <w:ind w:left="284" w:right="283"/>
        <w:jc w:val="both"/>
        <w:rPr>
          <w:rFonts w:ascii="Gotham" w:hAnsi="Gotham" w:cs="Arial"/>
          <w:sz w:val="19"/>
          <w:szCs w:val="19"/>
          <w:lang w:val="es-ES_tradnl"/>
        </w:rPr>
      </w:pPr>
    </w:p>
    <w:p w14:paraId="3A475225" w14:textId="77777777" w:rsidR="009B5E39" w:rsidRPr="001E5957" w:rsidRDefault="009B5E39" w:rsidP="009B5E39">
      <w:pPr>
        <w:spacing w:after="120"/>
        <w:ind w:left="1134" w:right="283" w:hanging="850"/>
        <w:jc w:val="both"/>
        <w:rPr>
          <w:rFonts w:ascii="Gotham" w:hAnsi="Gotham" w:cs="Arial"/>
          <w:sz w:val="19"/>
          <w:szCs w:val="19"/>
          <w:lang w:val="es-ES_tradnl"/>
        </w:rPr>
      </w:pPr>
      <w:r w:rsidRPr="001E5957">
        <w:rPr>
          <w:rFonts w:ascii="Gotham" w:hAnsi="Gotham" w:cs="Arial"/>
          <w:sz w:val="19"/>
          <w:szCs w:val="19"/>
          <w:lang w:val="es-ES_tradnl"/>
        </w:rPr>
        <w:t xml:space="preserve">I. </w:t>
      </w:r>
      <w:r>
        <w:rPr>
          <w:rFonts w:ascii="Gotham" w:hAnsi="Gotham" w:cs="Arial"/>
          <w:sz w:val="19"/>
          <w:szCs w:val="19"/>
          <w:lang w:val="es-ES_tradnl"/>
        </w:rPr>
        <w:tab/>
      </w:r>
      <w:r w:rsidRPr="001E5957">
        <w:rPr>
          <w:rFonts w:ascii="Gotham" w:hAnsi="Gotham" w:cs="Arial"/>
          <w:sz w:val="19"/>
          <w:szCs w:val="19"/>
          <w:lang w:val="es-ES_tradnl"/>
        </w:rPr>
        <w:t>Al Presidente Municipal de Tonalá, Jalisco.</w:t>
      </w:r>
    </w:p>
    <w:p w14:paraId="3A475226" w14:textId="77777777" w:rsidR="009B5E39" w:rsidRPr="001E5957" w:rsidRDefault="009B5E39" w:rsidP="009B5E39">
      <w:pPr>
        <w:spacing w:after="120"/>
        <w:ind w:left="1134" w:right="283" w:hanging="850"/>
        <w:jc w:val="both"/>
        <w:rPr>
          <w:rFonts w:ascii="Gotham" w:hAnsi="Gotham" w:cs="Arial"/>
          <w:sz w:val="19"/>
          <w:szCs w:val="19"/>
          <w:lang w:val="es-ES_tradnl"/>
        </w:rPr>
      </w:pPr>
      <w:r w:rsidRPr="001E5957">
        <w:rPr>
          <w:rFonts w:ascii="Gotham" w:hAnsi="Gotham" w:cs="Arial"/>
          <w:sz w:val="19"/>
          <w:szCs w:val="19"/>
          <w:lang w:val="es-ES_tradnl"/>
        </w:rPr>
        <w:t xml:space="preserve">II. </w:t>
      </w:r>
      <w:r>
        <w:rPr>
          <w:rFonts w:ascii="Gotham" w:hAnsi="Gotham" w:cs="Arial"/>
          <w:sz w:val="19"/>
          <w:szCs w:val="19"/>
          <w:lang w:val="es-ES_tradnl"/>
        </w:rPr>
        <w:tab/>
      </w:r>
      <w:r w:rsidRPr="001E5957">
        <w:rPr>
          <w:rFonts w:ascii="Gotham" w:hAnsi="Gotham" w:cs="Arial"/>
          <w:sz w:val="19"/>
          <w:szCs w:val="19"/>
          <w:lang w:val="es-ES_tradnl"/>
        </w:rPr>
        <w:t>Al Secretario General del Ayuntamiento.</w:t>
      </w:r>
    </w:p>
    <w:p w14:paraId="3A475227" w14:textId="77777777" w:rsidR="009B5E39" w:rsidRPr="001E5957" w:rsidRDefault="009B5E39" w:rsidP="009B5E39">
      <w:pPr>
        <w:spacing w:after="120"/>
        <w:ind w:left="1134" w:right="283" w:hanging="850"/>
        <w:jc w:val="both"/>
        <w:rPr>
          <w:rFonts w:ascii="Gotham" w:hAnsi="Gotham" w:cs="Arial"/>
          <w:sz w:val="19"/>
          <w:szCs w:val="19"/>
          <w:lang w:val="es-ES_tradnl"/>
        </w:rPr>
      </w:pPr>
      <w:r w:rsidRPr="001E5957">
        <w:rPr>
          <w:rFonts w:ascii="Gotham" w:hAnsi="Gotham" w:cs="Arial"/>
          <w:sz w:val="19"/>
          <w:szCs w:val="19"/>
          <w:lang w:val="es-ES_tradnl"/>
        </w:rPr>
        <w:t xml:space="preserve">III. </w:t>
      </w:r>
      <w:r>
        <w:rPr>
          <w:rFonts w:ascii="Gotham" w:hAnsi="Gotham" w:cs="Arial"/>
          <w:sz w:val="19"/>
          <w:szCs w:val="19"/>
          <w:lang w:val="es-ES_tradnl"/>
        </w:rPr>
        <w:tab/>
      </w:r>
      <w:r w:rsidRPr="001E5957">
        <w:rPr>
          <w:rFonts w:ascii="Gotham" w:hAnsi="Gotham" w:cs="Arial"/>
          <w:sz w:val="19"/>
          <w:szCs w:val="19"/>
          <w:lang w:val="es-ES_tradnl"/>
        </w:rPr>
        <w:t>Al Síndico del Ayuntamiento.</w:t>
      </w:r>
    </w:p>
    <w:p w14:paraId="3A475228" w14:textId="77777777" w:rsidR="009B5E39" w:rsidRPr="001E5957" w:rsidRDefault="009B5E39" w:rsidP="009B5E39">
      <w:pPr>
        <w:spacing w:after="120"/>
        <w:ind w:left="1134" w:right="283" w:hanging="850"/>
        <w:jc w:val="both"/>
        <w:rPr>
          <w:rFonts w:ascii="Gotham" w:hAnsi="Gotham" w:cs="Arial"/>
          <w:sz w:val="19"/>
          <w:szCs w:val="19"/>
          <w:lang w:val="es-ES_tradnl"/>
        </w:rPr>
      </w:pPr>
      <w:r w:rsidRPr="001E5957">
        <w:rPr>
          <w:rFonts w:ascii="Gotham" w:hAnsi="Gotham" w:cs="Arial"/>
          <w:sz w:val="19"/>
          <w:szCs w:val="19"/>
          <w:lang w:val="es-ES_tradnl"/>
        </w:rPr>
        <w:t xml:space="preserve">IV. </w:t>
      </w:r>
      <w:r>
        <w:rPr>
          <w:rFonts w:ascii="Gotham" w:hAnsi="Gotham" w:cs="Arial"/>
          <w:sz w:val="19"/>
          <w:szCs w:val="19"/>
          <w:lang w:val="es-ES_tradnl"/>
        </w:rPr>
        <w:tab/>
      </w:r>
      <w:r w:rsidRPr="001E5957">
        <w:rPr>
          <w:rFonts w:ascii="Gotham" w:hAnsi="Gotham" w:cs="Arial"/>
          <w:sz w:val="19"/>
          <w:szCs w:val="19"/>
          <w:lang w:val="es-ES_tradnl"/>
        </w:rPr>
        <w:t>Al Director de Ecología y Cambio Climático.</w:t>
      </w:r>
    </w:p>
    <w:p w14:paraId="3A475229" w14:textId="77777777" w:rsidR="009B5E39" w:rsidRPr="001E5957" w:rsidRDefault="009B5E39" w:rsidP="009B5E39">
      <w:pPr>
        <w:spacing w:after="120"/>
        <w:ind w:left="1134" w:right="283" w:hanging="850"/>
        <w:jc w:val="both"/>
        <w:rPr>
          <w:rFonts w:ascii="Gotham" w:hAnsi="Gotham" w:cs="Arial"/>
          <w:sz w:val="19"/>
          <w:szCs w:val="19"/>
          <w:lang w:val="es-ES_tradnl"/>
        </w:rPr>
      </w:pPr>
      <w:r w:rsidRPr="001E5957">
        <w:rPr>
          <w:rFonts w:ascii="Gotham" w:hAnsi="Gotham" w:cs="Arial"/>
          <w:sz w:val="19"/>
          <w:szCs w:val="19"/>
          <w:lang w:val="es-ES_tradnl"/>
        </w:rPr>
        <w:t xml:space="preserve">V. </w:t>
      </w:r>
      <w:r>
        <w:rPr>
          <w:rFonts w:ascii="Gotham" w:hAnsi="Gotham" w:cs="Arial"/>
          <w:sz w:val="19"/>
          <w:szCs w:val="19"/>
          <w:lang w:val="es-ES_tradnl"/>
        </w:rPr>
        <w:tab/>
      </w:r>
      <w:r w:rsidRPr="001E5957">
        <w:rPr>
          <w:rFonts w:ascii="Gotham" w:hAnsi="Gotham" w:cs="Arial"/>
          <w:sz w:val="19"/>
          <w:szCs w:val="19"/>
          <w:lang w:val="es-ES_tradnl"/>
        </w:rPr>
        <w:t>Al Jefe de Parques y Jardines.</w:t>
      </w:r>
    </w:p>
    <w:p w14:paraId="3A47522A" w14:textId="77777777" w:rsidR="009B5E39" w:rsidRPr="001E5957" w:rsidRDefault="009B5E39" w:rsidP="009B5E39">
      <w:pPr>
        <w:ind w:left="1134" w:right="283" w:hanging="850"/>
        <w:jc w:val="both"/>
        <w:rPr>
          <w:rFonts w:ascii="Gotham" w:hAnsi="Gotham" w:cs="Arial"/>
          <w:sz w:val="19"/>
          <w:szCs w:val="19"/>
          <w:lang w:val="es-ES_tradnl"/>
        </w:rPr>
      </w:pPr>
      <w:r w:rsidRPr="001E5957">
        <w:rPr>
          <w:rFonts w:ascii="Gotham" w:hAnsi="Gotham" w:cs="Arial"/>
          <w:sz w:val="19"/>
          <w:szCs w:val="19"/>
          <w:lang w:val="es-ES_tradnl"/>
        </w:rPr>
        <w:t xml:space="preserve">VI. </w:t>
      </w:r>
      <w:r>
        <w:rPr>
          <w:rFonts w:ascii="Gotham" w:hAnsi="Gotham" w:cs="Arial"/>
          <w:sz w:val="19"/>
          <w:szCs w:val="19"/>
          <w:lang w:val="es-ES_tradnl"/>
        </w:rPr>
        <w:tab/>
      </w:r>
      <w:r w:rsidRPr="001E5957">
        <w:rPr>
          <w:rFonts w:ascii="Gotham" w:hAnsi="Gotham" w:cs="Arial"/>
          <w:sz w:val="19"/>
          <w:szCs w:val="19"/>
          <w:lang w:val="es-ES_tradnl"/>
        </w:rPr>
        <w:t>A los demás servidores públicos en quienes las autoridades municipales referidas en las fracciones anteriores deleguen sus competencias, con el fin de asegurar el cumplimiento eficaz de los objetivos establecidos en este reglamento.</w:t>
      </w:r>
    </w:p>
    <w:p w14:paraId="3A47522B" w14:textId="77777777" w:rsidR="009B5E39" w:rsidRDefault="009B5E39" w:rsidP="009B5E39">
      <w:pPr>
        <w:pStyle w:val="NormalWeb"/>
        <w:spacing w:before="0" w:beforeAutospacing="0" w:after="0"/>
        <w:ind w:left="284" w:right="283"/>
        <w:jc w:val="both"/>
        <w:rPr>
          <w:rFonts w:ascii="Gotham" w:hAnsi="Gotham" w:cs="Arial"/>
          <w:b/>
          <w:bCs/>
          <w:sz w:val="19"/>
          <w:szCs w:val="19"/>
        </w:rPr>
      </w:pPr>
    </w:p>
    <w:p w14:paraId="3A47522C" w14:textId="77777777" w:rsidR="009B5E39" w:rsidRPr="001E5957" w:rsidRDefault="009B5E39" w:rsidP="009B5E39">
      <w:pPr>
        <w:pStyle w:val="NormalWeb"/>
        <w:spacing w:before="0" w:beforeAutospacing="0" w:after="0"/>
        <w:ind w:left="284" w:right="283"/>
        <w:jc w:val="both"/>
        <w:rPr>
          <w:rFonts w:ascii="Gotham" w:hAnsi="Gotham" w:cs="Arial"/>
          <w:sz w:val="19"/>
          <w:szCs w:val="19"/>
        </w:rPr>
      </w:pPr>
      <w:r w:rsidRPr="001E5957">
        <w:rPr>
          <w:rFonts w:ascii="Gotham" w:hAnsi="Gotham" w:cs="Arial"/>
          <w:b/>
          <w:bCs/>
          <w:sz w:val="19"/>
          <w:szCs w:val="19"/>
        </w:rPr>
        <w:t>Artículo 4.-</w:t>
      </w:r>
      <w:r w:rsidRPr="001E5957">
        <w:rPr>
          <w:rFonts w:ascii="Gotham" w:hAnsi="Gotham" w:cs="Arial"/>
          <w:sz w:val="19"/>
          <w:szCs w:val="19"/>
        </w:rPr>
        <w:t xml:space="preserve"> Serán normas supletorias del presente reglamento en lo que resulte aplicable, la Ley General Del Equilibrio Ecológico y la Protección al Ambiente, la Ley Estatal del Equilibrio Ecológico y la Protección al Ambiente, la Ley para la Acción ante el Cambio Climático del Estado De Jalisco, la Ley General de Desarrollo Forestal Sustentable, la Ley de Protección, Conservación y Fomento de Arbolado y Áreas Verdes Urbanas del Estado de Jalisco y sus Municipios, el Código Urbano para el Estado de Jalisco, la Ley del Procedimiento Administrativo del Estado de Jalisco, las Normas Oficiales Mexicanas, las Normas Ambientales Estatales, el Código para la Protección Ambiental, Cambio </w:t>
      </w:r>
      <w:r w:rsidRPr="001E5957">
        <w:rPr>
          <w:rFonts w:ascii="Gotham" w:hAnsi="Gotham" w:cs="Arial"/>
          <w:sz w:val="19"/>
          <w:szCs w:val="19"/>
        </w:rPr>
        <w:lastRenderedPageBreak/>
        <w:t>Climático y Sustentabilidad del Municipio de Tonalá, Jalisco, los tratados internacionales ratificados por el Senado de la República, así como las demás disposiciones legales vigentes en la materia.</w:t>
      </w:r>
    </w:p>
    <w:p w14:paraId="3A47522D" w14:textId="77777777" w:rsidR="009B5E39" w:rsidRDefault="009B5E39" w:rsidP="009B5E39">
      <w:pPr>
        <w:pStyle w:val="NormalWeb"/>
        <w:spacing w:before="0" w:beforeAutospacing="0" w:after="0"/>
        <w:ind w:left="284" w:right="283"/>
        <w:jc w:val="both"/>
        <w:rPr>
          <w:rFonts w:ascii="Gotham" w:hAnsi="Gotham" w:cs="Arial"/>
          <w:b/>
          <w:sz w:val="19"/>
          <w:szCs w:val="19"/>
        </w:rPr>
      </w:pPr>
    </w:p>
    <w:p w14:paraId="3A47522E" w14:textId="77777777" w:rsidR="009B5E39" w:rsidRPr="001E5957" w:rsidRDefault="009B5E39" w:rsidP="009B5E39">
      <w:pPr>
        <w:pStyle w:val="NormalWeb"/>
        <w:spacing w:before="0" w:beforeAutospacing="0" w:after="0"/>
        <w:ind w:left="284" w:right="283"/>
        <w:jc w:val="both"/>
        <w:rPr>
          <w:rFonts w:ascii="Gotham" w:hAnsi="Gotham" w:cs="Arial"/>
          <w:sz w:val="19"/>
          <w:szCs w:val="19"/>
        </w:rPr>
      </w:pPr>
      <w:r w:rsidRPr="001E5957">
        <w:rPr>
          <w:rFonts w:ascii="Gotham" w:hAnsi="Gotham" w:cs="Arial"/>
          <w:b/>
          <w:sz w:val="19"/>
          <w:szCs w:val="19"/>
        </w:rPr>
        <w:t>Artículo 5.</w:t>
      </w:r>
      <w:r w:rsidRPr="001E5957">
        <w:rPr>
          <w:rFonts w:ascii="Gotham" w:hAnsi="Gotham" w:cs="Arial"/>
          <w:sz w:val="19"/>
          <w:szCs w:val="19"/>
        </w:rPr>
        <w:t xml:space="preserve"> Es obligación de los propietarios o poseedores de los inmuebles dentro del Municipio mantener podados de manera regular sus árboles, ya sea que estos se encuentren en el interior o exterior de su finca, para evitar problemas y daños con las fincas aledañas, así como incrementar el arbolado y vegetación comprendida al frente del inmueble, y en el caso de no tener ningún árbol, plantar frente a la finca que ocupe como mínimo un árbol por cada seis (6)</w:t>
      </w:r>
      <w:r w:rsidR="007C2F8D">
        <w:rPr>
          <w:rFonts w:ascii="Gotham" w:hAnsi="Gotham" w:cs="Arial"/>
          <w:sz w:val="19"/>
          <w:szCs w:val="19"/>
        </w:rPr>
        <w:t xml:space="preserve"> </w:t>
      </w:r>
      <w:r w:rsidRPr="001E5957">
        <w:rPr>
          <w:rFonts w:ascii="Gotham" w:hAnsi="Gotham" w:cs="Arial"/>
          <w:sz w:val="19"/>
          <w:szCs w:val="19"/>
        </w:rPr>
        <w:t>metros de banqueta o servidumbre, y deberán barrer y recoger las hojas caídas de los árboles existentes en su servidumbre jardinada y en la banqueta.</w:t>
      </w:r>
    </w:p>
    <w:p w14:paraId="3A47522F" w14:textId="77777777" w:rsidR="009B5E39" w:rsidRDefault="009B5E39" w:rsidP="009B5E39">
      <w:pPr>
        <w:pStyle w:val="NormalWeb"/>
        <w:spacing w:before="0" w:beforeAutospacing="0" w:after="0"/>
        <w:ind w:left="284" w:right="283"/>
        <w:jc w:val="center"/>
        <w:rPr>
          <w:rFonts w:ascii="Gotham" w:hAnsi="Gotham" w:cs="Arial"/>
          <w:b/>
          <w:bCs/>
          <w:sz w:val="19"/>
          <w:szCs w:val="19"/>
        </w:rPr>
      </w:pPr>
    </w:p>
    <w:p w14:paraId="3A475230" w14:textId="77777777" w:rsidR="009B5E39" w:rsidRDefault="009B5E39" w:rsidP="009B5E39">
      <w:pPr>
        <w:pStyle w:val="NormalWeb"/>
        <w:spacing w:before="0" w:beforeAutospacing="0" w:after="0"/>
        <w:ind w:left="284" w:right="283"/>
        <w:jc w:val="center"/>
        <w:rPr>
          <w:rFonts w:ascii="Gotham" w:hAnsi="Gotham" w:cs="Arial"/>
          <w:b/>
          <w:bCs/>
          <w:sz w:val="19"/>
          <w:szCs w:val="19"/>
        </w:rPr>
      </w:pPr>
    </w:p>
    <w:p w14:paraId="3A475231" w14:textId="77777777" w:rsidR="009B5E39" w:rsidRPr="001E5957" w:rsidRDefault="009B5E39" w:rsidP="009B5E39">
      <w:pPr>
        <w:pStyle w:val="NormalWeb"/>
        <w:spacing w:before="0" w:beforeAutospacing="0" w:after="0"/>
        <w:ind w:left="284" w:right="283"/>
        <w:jc w:val="center"/>
        <w:rPr>
          <w:rFonts w:ascii="Gotham" w:hAnsi="Gotham" w:cs="Arial"/>
          <w:b/>
          <w:bCs/>
          <w:sz w:val="19"/>
          <w:szCs w:val="19"/>
        </w:rPr>
      </w:pPr>
      <w:r w:rsidRPr="001E5957">
        <w:rPr>
          <w:rFonts w:ascii="Gotham" w:hAnsi="Gotham" w:cs="Arial"/>
          <w:b/>
          <w:bCs/>
          <w:sz w:val="19"/>
          <w:szCs w:val="19"/>
        </w:rPr>
        <w:t>Capítulo II:</w:t>
      </w:r>
    </w:p>
    <w:p w14:paraId="3A475232" w14:textId="77777777" w:rsidR="009B5E39" w:rsidRPr="001E5957" w:rsidRDefault="009B5E39" w:rsidP="009B5E39">
      <w:pPr>
        <w:pStyle w:val="NormalWeb"/>
        <w:spacing w:before="0" w:beforeAutospacing="0" w:after="0"/>
        <w:ind w:left="284" w:right="283"/>
        <w:jc w:val="center"/>
        <w:rPr>
          <w:rFonts w:ascii="Gotham" w:hAnsi="Gotham" w:cs="Arial"/>
          <w:b/>
          <w:bCs/>
          <w:sz w:val="19"/>
          <w:szCs w:val="19"/>
        </w:rPr>
      </w:pPr>
      <w:r w:rsidRPr="001E5957">
        <w:rPr>
          <w:rFonts w:ascii="Gotham" w:hAnsi="Gotham" w:cs="Arial"/>
          <w:b/>
          <w:bCs/>
          <w:sz w:val="19"/>
          <w:szCs w:val="19"/>
        </w:rPr>
        <w:t>Del glosario de definiciones y definiciones de bienes de uso común.</w:t>
      </w:r>
    </w:p>
    <w:p w14:paraId="3A475233" w14:textId="77777777" w:rsidR="009B5E39" w:rsidRDefault="009B5E39" w:rsidP="009B5E39">
      <w:pPr>
        <w:pStyle w:val="NormalWeb"/>
        <w:spacing w:before="0" w:beforeAutospacing="0" w:after="0"/>
        <w:ind w:left="284" w:right="283"/>
        <w:jc w:val="both"/>
        <w:rPr>
          <w:rFonts w:ascii="Gotham" w:hAnsi="Gotham" w:cs="Arial"/>
          <w:b/>
          <w:bCs/>
          <w:sz w:val="19"/>
          <w:szCs w:val="19"/>
        </w:rPr>
      </w:pPr>
    </w:p>
    <w:p w14:paraId="3A475234" w14:textId="77777777" w:rsidR="009B5E39" w:rsidRDefault="009B5E39" w:rsidP="009B5E39">
      <w:pPr>
        <w:pStyle w:val="NormalWeb"/>
        <w:spacing w:before="0" w:beforeAutospacing="0" w:after="0"/>
        <w:ind w:left="284" w:right="283"/>
        <w:jc w:val="both"/>
        <w:rPr>
          <w:rFonts w:ascii="Gotham" w:hAnsi="Gotham" w:cs="Arial"/>
          <w:sz w:val="19"/>
          <w:szCs w:val="19"/>
        </w:rPr>
      </w:pPr>
      <w:r w:rsidRPr="001E5957">
        <w:rPr>
          <w:rFonts w:ascii="Gotham" w:hAnsi="Gotham" w:cs="Arial"/>
          <w:b/>
          <w:bCs/>
          <w:sz w:val="19"/>
          <w:szCs w:val="19"/>
        </w:rPr>
        <w:t>Artículo 6.-</w:t>
      </w:r>
      <w:r w:rsidRPr="001E5957">
        <w:rPr>
          <w:rFonts w:ascii="Gotham" w:hAnsi="Gotham" w:cs="Arial"/>
          <w:sz w:val="19"/>
          <w:szCs w:val="19"/>
        </w:rPr>
        <w:t xml:space="preserve"> Para los efectos de este código, se entiende por:</w:t>
      </w:r>
    </w:p>
    <w:p w14:paraId="3A475235" w14:textId="77777777" w:rsidR="009B5E39" w:rsidRPr="001E5957" w:rsidRDefault="009B5E39" w:rsidP="009B5E39">
      <w:pPr>
        <w:pStyle w:val="NormalWeb"/>
        <w:spacing w:before="0" w:beforeAutospacing="0" w:after="0"/>
        <w:ind w:left="284" w:right="283"/>
        <w:jc w:val="both"/>
        <w:rPr>
          <w:rFonts w:ascii="Gotham" w:hAnsi="Gotham" w:cs="Arial"/>
          <w:sz w:val="19"/>
          <w:szCs w:val="19"/>
        </w:rPr>
      </w:pPr>
    </w:p>
    <w:p w14:paraId="3A475236" w14:textId="77777777" w:rsidR="009B5E39" w:rsidRPr="001E5957" w:rsidRDefault="009B5E39" w:rsidP="009B5E39">
      <w:pPr>
        <w:pStyle w:val="Prrafodelista"/>
        <w:numPr>
          <w:ilvl w:val="0"/>
          <w:numId w:val="225"/>
        </w:numPr>
        <w:spacing w:after="120"/>
        <w:ind w:left="1134" w:right="283" w:hanging="850"/>
        <w:contextualSpacing w:val="0"/>
        <w:jc w:val="both"/>
        <w:rPr>
          <w:rFonts w:ascii="Gotham" w:hAnsi="Gotham" w:cs="Arial"/>
          <w:sz w:val="19"/>
          <w:szCs w:val="19"/>
        </w:rPr>
      </w:pPr>
      <w:r w:rsidRPr="001E5957">
        <w:rPr>
          <w:rFonts w:ascii="Gotham" w:hAnsi="Gotham" w:cs="Arial"/>
          <w:sz w:val="19"/>
          <w:szCs w:val="19"/>
        </w:rPr>
        <w:t>Árbol: Ser vivo, también denominado sujeto forestal cuyos beneficios al entorno urbano son la producción de oxígeno, el mejoramiento al clima, su aportación a la imagen urbana y al paisaje, el ser hábitat de fauna complementaria y el ser parte del ciclo ecológico del entorno urbano.</w:t>
      </w:r>
    </w:p>
    <w:p w14:paraId="3A475237" w14:textId="77777777" w:rsidR="009B5E39" w:rsidRPr="001E5957" w:rsidRDefault="009B5E39" w:rsidP="009B5E39">
      <w:pPr>
        <w:pStyle w:val="Prrafodelista"/>
        <w:numPr>
          <w:ilvl w:val="0"/>
          <w:numId w:val="225"/>
        </w:numPr>
        <w:spacing w:after="120"/>
        <w:ind w:left="1134" w:right="283" w:hanging="850"/>
        <w:contextualSpacing w:val="0"/>
        <w:jc w:val="both"/>
        <w:rPr>
          <w:rFonts w:ascii="Gotham" w:hAnsi="Gotham" w:cs="Arial"/>
          <w:sz w:val="19"/>
          <w:szCs w:val="19"/>
        </w:rPr>
      </w:pPr>
      <w:r w:rsidRPr="001E5957">
        <w:rPr>
          <w:rFonts w:ascii="Gotham" w:hAnsi="Gotham" w:cs="Arial"/>
          <w:sz w:val="19"/>
          <w:szCs w:val="19"/>
        </w:rPr>
        <w:t>Arbolado urbano público, que es el que se ubica en parques, jardines, áreas verdes, infraestructura urbana, áreas naturales protegidas de competencia municipal y terrenos propiedad del Municipio, este tipo del arbolado es de dominio público perteneciente al Municipio, por lo cual deberá ser inventariado;</w:t>
      </w:r>
    </w:p>
    <w:p w14:paraId="3A475238" w14:textId="77777777" w:rsidR="009B5E39" w:rsidRPr="001E5957" w:rsidRDefault="009B5E39" w:rsidP="009B5E39">
      <w:pPr>
        <w:pStyle w:val="Prrafodelista"/>
        <w:numPr>
          <w:ilvl w:val="0"/>
          <w:numId w:val="225"/>
        </w:numPr>
        <w:spacing w:after="120"/>
        <w:ind w:left="1134" w:right="283" w:hanging="850"/>
        <w:contextualSpacing w:val="0"/>
        <w:jc w:val="both"/>
        <w:rPr>
          <w:rFonts w:ascii="Gotham" w:hAnsi="Gotham" w:cs="Arial"/>
          <w:sz w:val="19"/>
          <w:szCs w:val="19"/>
        </w:rPr>
      </w:pPr>
      <w:r w:rsidRPr="001E5957">
        <w:rPr>
          <w:rFonts w:ascii="Gotham" w:hAnsi="Gotham" w:cs="Arial"/>
          <w:sz w:val="19"/>
          <w:szCs w:val="19"/>
        </w:rPr>
        <w:t>Arbolado urbano privado, que es el que se ubica en terrenos dentro de los planes de desarrollo urbano, que sean de propiedad privada o en posesión de particulares.</w:t>
      </w:r>
    </w:p>
    <w:p w14:paraId="3A475239"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Arborización: Conjunto de actividades requeridas para la adecuada plantación y manejo del arbolado urbano;</w:t>
      </w:r>
    </w:p>
    <w:p w14:paraId="3A47523A"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Árbol en estado riesgoso: Sujeto forestal que presenta condiciones desfavorables para mantenerse equilibrado y por razones inherentes a su desarrollo natural o provocado, tiene riesgo de caída.</w:t>
      </w:r>
    </w:p>
    <w:p w14:paraId="3A47523B"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Árbol patrimonial: Sujeto forestal que por sus características, longevidad y valor paisajístico, requiere cuidado especial para su salvedad y conservación, requiere determinación específica por el Comité́ de Vigilancia.</w:t>
      </w:r>
    </w:p>
    <w:p w14:paraId="3A47523C"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Arbusto: Arbolillo con una altura máxima de 4 metros en su mayor punto de desarrollo.</w:t>
      </w:r>
      <w:r w:rsidRPr="001E5957">
        <w:rPr>
          <w:rFonts w:ascii="Gotham" w:hAnsi="Gotham" w:cs="Arial"/>
          <w:sz w:val="19"/>
          <w:szCs w:val="19"/>
        </w:rPr>
        <w:br/>
        <w:t xml:space="preserve">Área de conservación ecológica: Áreas del territorio municipal que por su carácter ambiental constituye un valor específico. </w:t>
      </w:r>
    </w:p>
    <w:p w14:paraId="3A47523D"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Área verde: Toda superficie que presenta en su composición árboles, pasto, arbustos o plantas ornamentales.</w:t>
      </w:r>
    </w:p>
    <w:p w14:paraId="3A47523E"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 xml:space="preserve">Daño ambiental: Se refiere a la alteración negativa que sufre cualquier área, que en su estado normal y de forma activa o potencial, genera un beneficio ambiental para los seres vivos de su entorno. </w:t>
      </w:r>
    </w:p>
    <w:p w14:paraId="3A47523F"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Espacio: Vías Públicas, Parques, Jardines, Plazas, Camellones, Glorietas, Predios municipales, Fuentes ubicadas en espacios públicos, Monumentos, Nodos viales.</w:t>
      </w:r>
    </w:p>
    <w:p w14:paraId="3A475240"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Estado fitosanitario: Estado de salud que guarda cualquier planta en lo que a afectación de plagas, enfermedades o daños provocados por el hombre se refiere.</w:t>
      </w:r>
    </w:p>
    <w:p w14:paraId="3A475241"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Flora en estado silvestre: Plantas que habitan en estado silvestre en cualquier área natural.</w:t>
      </w:r>
    </w:p>
    <w:p w14:paraId="3A475242"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lastRenderedPageBreak/>
        <w:t>Flora urbana: Conjunto de plantas que habitan en zonas urbanas, anualizando desde el punto de vista de la diversidad. Su característica principal es que cuenta con una gran cantidad de elementos introducidos.</w:t>
      </w:r>
    </w:p>
    <w:p w14:paraId="3A475243"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Impacto ambiental: Cualquier efecto causante, producto de acciones de diversos tipos provocadas por el hombre en el ambiente y que producen un impacto a los recursos naturales.</w:t>
      </w:r>
    </w:p>
    <w:p w14:paraId="3A475244"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 xml:space="preserve">Impacto urbano: Conjunto de fenómenos físicos e intangibles resultado de acciones de edificación y operación de giros comerciales industriales y de servicios que actúan en el territorio municipal y que suelen ser dañinos al medio ambiente. </w:t>
      </w:r>
    </w:p>
    <w:p w14:paraId="3A475245"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Jefatura: Jefatura de Parques y Jardines.</w:t>
      </w:r>
    </w:p>
    <w:p w14:paraId="3A475246"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Poda: Acción de retiro de ramas o follaje de las plantas.</w:t>
      </w:r>
    </w:p>
    <w:p w14:paraId="3A475247"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 xml:space="preserve">Poda de balanceo: Retiro de ramas o partes del árbol que desarrollaron fuera del contexto típico de su forma y que están en riesgo de desgajar o de provocar la caída del árbol. </w:t>
      </w:r>
    </w:p>
    <w:p w14:paraId="3A475248"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Podas de despunte: Generalmente son preventivas y se aplican cuando la planta es joven para controlar su crecimiento.</w:t>
      </w:r>
    </w:p>
    <w:p w14:paraId="3A475249"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 xml:space="preserve">Poda de formación o jardinera: Son recortes que normalmente se realizan de la manera frecuente en espacios de hoja perenne para configurar o mantener la altura deseada. </w:t>
      </w:r>
    </w:p>
    <w:p w14:paraId="3A47524A"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Poda de rejuvenecimiento o severa: Es una poda drástica que se aplica a árboles sobremaduros para retirar gran parte de su follaje, con la finalidad de propiciar follaje nuevo. Debe realizarse con profundo conocimiento de la época y la especie.</w:t>
      </w:r>
    </w:p>
    <w:p w14:paraId="3A47524B"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 xml:space="preserve">Poda sanitaria: Remoción de ramas y partes afectadas por secamiento, enfermedades, plagas o daños mecánicos. </w:t>
      </w:r>
    </w:p>
    <w:p w14:paraId="3A47524C"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Reforestación: Repoblación de árboles, arbustos y ornamentales en áreas donde ya existían o se presupone su existencia.</w:t>
      </w:r>
    </w:p>
    <w:p w14:paraId="3A47524D" w14:textId="77777777" w:rsidR="009B5E39" w:rsidRPr="001E5957" w:rsidRDefault="009B5E39" w:rsidP="009B5E39">
      <w:pPr>
        <w:pStyle w:val="NormalWeb"/>
        <w:numPr>
          <w:ilvl w:val="0"/>
          <w:numId w:val="225"/>
        </w:numPr>
        <w:spacing w:before="0" w:beforeAutospacing="0" w:after="120"/>
        <w:ind w:left="1134" w:right="283" w:hanging="850"/>
        <w:jc w:val="both"/>
        <w:rPr>
          <w:rFonts w:ascii="Gotham" w:hAnsi="Gotham" w:cs="Arial"/>
          <w:sz w:val="19"/>
          <w:szCs w:val="19"/>
        </w:rPr>
      </w:pPr>
      <w:r w:rsidRPr="001E5957">
        <w:rPr>
          <w:rFonts w:ascii="Gotham" w:hAnsi="Gotham" w:cs="Arial"/>
          <w:sz w:val="19"/>
          <w:szCs w:val="19"/>
        </w:rPr>
        <w:t xml:space="preserve">Sitio de valor paisajístico o ambiental: Porción del territorio municipal que cuenta con una agrupación de elementos con características fisonómicas o naturales de valor paisajístico, cultural o histórico. </w:t>
      </w:r>
    </w:p>
    <w:p w14:paraId="3A47524E" w14:textId="77777777" w:rsidR="009B5E39" w:rsidRPr="001E5957" w:rsidRDefault="009B5E39" w:rsidP="009B5E39">
      <w:pPr>
        <w:pStyle w:val="NormalWeb"/>
        <w:numPr>
          <w:ilvl w:val="0"/>
          <w:numId w:val="225"/>
        </w:numPr>
        <w:spacing w:before="0" w:beforeAutospacing="0" w:after="0"/>
        <w:ind w:left="1134" w:right="283" w:hanging="850"/>
        <w:jc w:val="both"/>
        <w:rPr>
          <w:rFonts w:ascii="Gotham" w:hAnsi="Gotham" w:cs="Arial"/>
          <w:sz w:val="19"/>
          <w:szCs w:val="19"/>
        </w:rPr>
      </w:pPr>
      <w:r w:rsidRPr="001E5957">
        <w:rPr>
          <w:rFonts w:ascii="Gotham" w:hAnsi="Gotham" w:cs="Arial"/>
          <w:sz w:val="19"/>
          <w:szCs w:val="19"/>
        </w:rPr>
        <w:t xml:space="preserve">SETO.- Toda especie herbácea, arbustiva o arbórea, utilizada para delimitar alguna área principalmente jardinada. </w:t>
      </w:r>
    </w:p>
    <w:p w14:paraId="3A47524F" w14:textId="77777777" w:rsidR="009B5E39" w:rsidRDefault="009B5E39" w:rsidP="009B5E39">
      <w:pPr>
        <w:pStyle w:val="NormalWeb"/>
        <w:spacing w:before="0" w:beforeAutospacing="0" w:after="0"/>
        <w:ind w:left="284" w:right="283"/>
        <w:rPr>
          <w:rFonts w:ascii="Gotham" w:hAnsi="Gotham" w:cs="Arial"/>
          <w:b/>
          <w:sz w:val="19"/>
          <w:szCs w:val="19"/>
        </w:rPr>
      </w:pPr>
    </w:p>
    <w:p w14:paraId="3A475250" w14:textId="77777777" w:rsidR="009B5E39" w:rsidRDefault="009B5E39" w:rsidP="009B5E39">
      <w:pPr>
        <w:pStyle w:val="NormalWeb"/>
        <w:spacing w:before="0" w:beforeAutospacing="0" w:after="0"/>
        <w:ind w:left="284" w:right="283"/>
        <w:rPr>
          <w:rFonts w:ascii="Gotham" w:hAnsi="Gotham" w:cs="Arial"/>
          <w:sz w:val="19"/>
          <w:szCs w:val="19"/>
        </w:rPr>
      </w:pPr>
      <w:r w:rsidRPr="001E5957">
        <w:rPr>
          <w:rFonts w:ascii="Gotham" w:hAnsi="Gotham" w:cs="Arial"/>
          <w:b/>
          <w:sz w:val="19"/>
          <w:szCs w:val="19"/>
        </w:rPr>
        <w:t xml:space="preserve">Artículo 7. </w:t>
      </w:r>
      <w:r w:rsidRPr="001E5957">
        <w:rPr>
          <w:rFonts w:ascii="Gotham" w:hAnsi="Gotham" w:cs="Arial"/>
          <w:sz w:val="19"/>
          <w:szCs w:val="19"/>
        </w:rPr>
        <w:t>Para los efectos del presente Reglamento se interpreta como bienes de uso común, las:</w:t>
      </w:r>
    </w:p>
    <w:p w14:paraId="3A475251" w14:textId="77777777" w:rsidR="009B5E39" w:rsidRPr="001E5957" w:rsidRDefault="009B5E39" w:rsidP="009B5E39">
      <w:pPr>
        <w:pStyle w:val="NormalWeb"/>
        <w:spacing w:before="0" w:beforeAutospacing="0" w:after="0"/>
        <w:ind w:left="284" w:right="283"/>
        <w:rPr>
          <w:rFonts w:ascii="Gotham" w:hAnsi="Gotham" w:cs="Arial"/>
          <w:sz w:val="19"/>
          <w:szCs w:val="19"/>
        </w:rPr>
      </w:pPr>
    </w:p>
    <w:p w14:paraId="3A475252"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Vías Públicas;</w:t>
      </w:r>
    </w:p>
    <w:p w14:paraId="3A475253"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Parques;</w:t>
      </w:r>
    </w:p>
    <w:p w14:paraId="3A475254"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Jardines;</w:t>
      </w:r>
    </w:p>
    <w:p w14:paraId="3A475255"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Plazas;</w:t>
      </w:r>
    </w:p>
    <w:p w14:paraId="3A475256"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Camellones;</w:t>
      </w:r>
    </w:p>
    <w:p w14:paraId="3A475257"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Glorietas;</w:t>
      </w:r>
    </w:p>
    <w:p w14:paraId="3A475258"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Predios municipales;</w:t>
      </w:r>
    </w:p>
    <w:p w14:paraId="3A475259"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Fuentes ubicadas en espacios públicos;</w:t>
      </w:r>
    </w:p>
    <w:p w14:paraId="3A47525A"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Monumentos;</w:t>
      </w:r>
    </w:p>
    <w:p w14:paraId="3A47525B" w14:textId="77777777" w:rsidR="009B5E39" w:rsidRPr="001E5957" w:rsidRDefault="009B5E39" w:rsidP="009B5E39">
      <w:pPr>
        <w:pStyle w:val="NormalWeb"/>
        <w:numPr>
          <w:ilvl w:val="0"/>
          <w:numId w:val="226"/>
        </w:numPr>
        <w:spacing w:before="0" w:beforeAutospacing="0" w:after="80"/>
        <w:ind w:left="1134" w:right="283" w:hanging="850"/>
        <w:rPr>
          <w:rFonts w:ascii="Gotham" w:hAnsi="Gotham" w:cs="Arial"/>
          <w:sz w:val="19"/>
          <w:szCs w:val="19"/>
        </w:rPr>
      </w:pPr>
      <w:r w:rsidRPr="001E5957">
        <w:rPr>
          <w:rFonts w:ascii="Gotham" w:hAnsi="Gotham" w:cs="Arial"/>
          <w:sz w:val="19"/>
          <w:szCs w:val="19"/>
        </w:rPr>
        <w:t>Banquetas y áreas de servidumbre; y</w:t>
      </w:r>
    </w:p>
    <w:p w14:paraId="3A47525C" w14:textId="77777777" w:rsidR="009B5E39" w:rsidRPr="001E5957" w:rsidRDefault="009B5E39" w:rsidP="009B5E39">
      <w:pPr>
        <w:pStyle w:val="NormalWeb"/>
        <w:numPr>
          <w:ilvl w:val="0"/>
          <w:numId w:val="226"/>
        </w:numPr>
        <w:spacing w:before="0" w:beforeAutospacing="0" w:after="0"/>
        <w:ind w:left="1134" w:right="283" w:hanging="850"/>
        <w:rPr>
          <w:rFonts w:ascii="Gotham" w:hAnsi="Gotham" w:cs="Arial"/>
          <w:sz w:val="19"/>
          <w:szCs w:val="19"/>
        </w:rPr>
      </w:pPr>
      <w:r w:rsidRPr="001E5957">
        <w:rPr>
          <w:rFonts w:ascii="Gotham" w:hAnsi="Gotham" w:cs="Arial"/>
          <w:sz w:val="19"/>
          <w:szCs w:val="19"/>
        </w:rPr>
        <w:t>Nodos viales</w:t>
      </w:r>
    </w:p>
    <w:p w14:paraId="3A47525D" w14:textId="77777777" w:rsidR="009B5E39" w:rsidRDefault="009B5E39" w:rsidP="009B5E39">
      <w:pPr>
        <w:pStyle w:val="NormalWeb"/>
        <w:spacing w:before="0" w:beforeAutospacing="0" w:after="0"/>
        <w:ind w:left="284" w:right="283"/>
        <w:jc w:val="center"/>
        <w:rPr>
          <w:rFonts w:ascii="Gotham" w:hAnsi="Gotham" w:cs="Arial"/>
          <w:b/>
          <w:bCs/>
          <w:sz w:val="19"/>
          <w:szCs w:val="19"/>
        </w:rPr>
      </w:pPr>
    </w:p>
    <w:p w14:paraId="3A47525E" w14:textId="77777777" w:rsidR="009B5E39" w:rsidRDefault="009B5E39" w:rsidP="009B5E39">
      <w:pPr>
        <w:pStyle w:val="NormalWeb"/>
        <w:spacing w:before="0" w:beforeAutospacing="0" w:after="0"/>
        <w:ind w:left="284" w:right="283"/>
        <w:jc w:val="center"/>
        <w:rPr>
          <w:rFonts w:ascii="Gotham" w:hAnsi="Gotham" w:cs="Arial"/>
          <w:b/>
          <w:bCs/>
          <w:sz w:val="19"/>
          <w:szCs w:val="19"/>
        </w:rPr>
      </w:pPr>
    </w:p>
    <w:p w14:paraId="3A47525F" w14:textId="77777777" w:rsidR="009B5E39" w:rsidRPr="001E5957" w:rsidRDefault="009B5E39" w:rsidP="009B5E39">
      <w:pPr>
        <w:pStyle w:val="NormalWeb"/>
        <w:spacing w:before="0" w:beforeAutospacing="0" w:after="0"/>
        <w:ind w:left="284" w:right="283"/>
        <w:jc w:val="center"/>
        <w:rPr>
          <w:rFonts w:ascii="Gotham" w:hAnsi="Gotham" w:cs="Arial"/>
          <w:b/>
          <w:bCs/>
          <w:sz w:val="19"/>
          <w:szCs w:val="19"/>
        </w:rPr>
      </w:pPr>
      <w:r w:rsidRPr="001E5957">
        <w:rPr>
          <w:rFonts w:ascii="Gotham" w:hAnsi="Gotham" w:cs="Arial"/>
          <w:b/>
          <w:bCs/>
          <w:sz w:val="19"/>
          <w:szCs w:val="19"/>
        </w:rPr>
        <w:t>Capítulo III</w:t>
      </w:r>
    </w:p>
    <w:p w14:paraId="3A475260" w14:textId="77777777" w:rsidR="009B5E39" w:rsidRPr="001E5957" w:rsidRDefault="009B5E39" w:rsidP="009B5E39">
      <w:pPr>
        <w:pStyle w:val="NormalWeb"/>
        <w:spacing w:before="0" w:beforeAutospacing="0" w:after="0"/>
        <w:ind w:left="284" w:right="283"/>
        <w:jc w:val="center"/>
        <w:rPr>
          <w:rFonts w:ascii="Gotham" w:hAnsi="Gotham" w:cs="Arial"/>
          <w:b/>
          <w:bCs/>
          <w:sz w:val="19"/>
          <w:szCs w:val="19"/>
        </w:rPr>
      </w:pPr>
      <w:r w:rsidRPr="001E5957">
        <w:rPr>
          <w:rFonts w:ascii="Gotham" w:hAnsi="Gotham" w:cs="Arial"/>
          <w:b/>
          <w:bCs/>
          <w:sz w:val="19"/>
          <w:szCs w:val="19"/>
        </w:rPr>
        <w:t>Facultades y obligaciones de la Jefatura de Parques y Jardines.</w:t>
      </w:r>
    </w:p>
    <w:p w14:paraId="3A475261" w14:textId="77777777" w:rsidR="009B5E39" w:rsidRDefault="009B5E39" w:rsidP="009B5E39">
      <w:pPr>
        <w:ind w:left="284" w:right="283"/>
        <w:jc w:val="both"/>
        <w:rPr>
          <w:rFonts w:ascii="Gotham" w:hAnsi="Gotham" w:cs="Arial"/>
          <w:b/>
          <w:sz w:val="19"/>
          <w:szCs w:val="19"/>
          <w:lang w:val="es-ES_tradnl"/>
        </w:rPr>
      </w:pPr>
    </w:p>
    <w:p w14:paraId="3A475262" w14:textId="77777777" w:rsidR="009B5E39" w:rsidRDefault="009B5E39" w:rsidP="009B5E39">
      <w:pPr>
        <w:ind w:left="284" w:right="283"/>
        <w:jc w:val="both"/>
        <w:rPr>
          <w:rFonts w:ascii="Gotham" w:hAnsi="Gotham" w:cs="Arial"/>
          <w:sz w:val="19"/>
          <w:szCs w:val="19"/>
          <w:lang w:val="es-ES_tradnl"/>
        </w:rPr>
      </w:pPr>
      <w:r w:rsidRPr="001E5957">
        <w:rPr>
          <w:rFonts w:ascii="Gotham" w:hAnsi="Gotham" w:cs="Arial"/>
          <w:b/>
          <w:sz w:val="19"/>
          <w:szCs w:val="19"/>
          <w:lang w:val="es-ES_tradnl"/>
        </w:rPr>
        <w:t xml:space="preserve">Artículo 8. </w:t>
      </w:r>
      <w:r w:rsidRPr="001E5957">
        <w:rPr>
          <w:rFonts w:ascii="Gotham" w:hAnsi="Gotham" w:cs="Arial"/>
          <w:sz w:val="19"/>
          <w:szCs w:val="19"/>
          <w:lang w:val="es-ES_tradnl"/>
        </w:rPr>
        <w:t>Es obligación del Jefe de Parques y Jardines promover la realización de acciones para forestar, reforestar y conservar las áreas verdes y espacios del Municipio, impulsando para ello la participación de la ciudadanía y definiendo, en coordinación con la Jefatura de Arbolado Urbano, el número y las especies adecuadas para dichas acciones según el caso.</w:t>
      </w:r>
    </w:p>
    <w:p w14:paraId="3A475263" w14:textId="77777777" w:rsidR="009B5E39" w:rsidRPr="001E5957" w:rsidRDefault="009B5E39" w:rsidP="009B5E39">
      <w:pPr>
        <w:ind w:left="284" w:right="283"/>
        <w:jc w:val="both"/>
        <w:rPr>
          <w:rFonts w:ascii="Gotham" w:hAnsi="Gotham" w:cs="Arial"/>
          <w:sz w:val="19"/>
          <w:szCs w:val="19"/>
          <w:lang w:val="es-ES_tradnl"/>
        </w:rPr>
      </w:pPr>
    </w:p>
    <w:p w14:paraId="3A475264" w14:textId="77777777" w:rsidR="009B5E39" w:rsidRDefault="009B5E39" w:rsidP="009B5E39">
      <w:pPr>
        <w:ind w:left="284" w:right="283"/>
        <w:jc w:val="both"/>
        <w:rPr>
          <w:rFonts w:ascii="Gotham" w:hAnsi="Gotham" w:cs="Arial"/>
          <w:sz w:val="19"/>
          <w:szCs w:val="19"/>
          <w:lang w:val="es-ES_tradnl"/>
        </w:rPr>
      </w:pPr>
      <w:r w:rsidRPr="001E5957">
        <w:rPr>
          <w:rFonts w:ascii="Gotham" w:hAnsi="Gotham" w:cs="Arial"/>
          <w:b/>
          <w:sz w:val="19"/>
          <w:szCs w:val="19"/>
          <w:lang w:val="es-ES_tradnl"/>
        </w:rPr>
        <w:t xml:space="preserve">Artículo 9. </w:t>
      </w:r>
      <w:r w:rsidRPr="001E5957">
        <w:rPr>
          <w:rFonts w:ascii="Gotham" w:hAnsi="Gotham" w:cs="Arial"/>
          <w:sz w:val="19"/>
          <w:szCs w:val="19"/>
          <w:lang w:val="es-ES_tradnl"/>
        </w:rPr>
        <w:t>La Jefatura de Parques y Jardines elaborará un Padrón de Predios, Parques, Áreas Verdes y Superficies existentes, y que pueden ser destinadas a áreas verdes, de propiedad municipal. El Padrón se debe actualizar cada año y estará compuesto de: plazas, parques, unidades deportivas, jardines, camellones y glorietas. A dicho padrón podrá tener acceso y solicitar información cualquier ciudadano. Mismo que deberá contener, cuando menos, la siguiente información:</w:t>
      </w:r>
    </w:p>
    <w:p w14:paraId="3A475265" w14:textId="77777777" w:rsidR="009B5E39" w:rsidRPr="001E5957" w:rsidRDefault="009B5E39" w:rsidP="009B5E39">
      <w:pPr>
        <w:ind w:left="284" w:right="283"/>
        <w:jc w:val="both"/>
        <w:rPr>
          <w:rFonts w:ascii="Gotham" w:hAnsi="Gotham" w:cs="Arial"/>
          <w:sz w:val="19"/>
          <w:szCs w:val="19"/>
          <w:lang w:val="es-ES_tradnl"/>
        </w:rPr>
      </w:pPr>
    </w:p>
    <w:p w14:paraId="3A475266" w14:textId="77777777" w:rsidR="009B5E39" w:rsidRPr="001E5957" w:rsidRDefault="009B5E39" w:rsidP="009B5E39">
      <w:pPr>
        <w:pStyle w:val="Prrafodelista"/>
        <w:numPr>
          <w:ilvl w:val="0"/>
          <w:numId w:val="227"/>
        </w:numPr>
        <w:spacing w:after="80"/>
        <w:ind w:left="1134" w:right="283" w:hanging="850"/>
        <w:contextualSpacing w:val="0"/>
        <w:jc w:val="both"/>
        <w:rPr>
          <w:rFonts w:ascii="Gotham" w:hAnsi="Gotham" w:cs="Arial"/>
          <w:sz w:val="19"/>
          <w:szCs w:val="19"/>
          <w:lang w:val="es-ES_tradnl"/>
        </w:rPr>
      </w:pPr>
      <w:r w:rsidRPr="001E5957">
        <w:rPr>
          <w:rFonts w:ascii="Gotham" w:hAnsi="Gotham" w:cs="Arial"/>
          <w:sz w:val="19"/>
          <w:szCs w:val="19"/>
          <w:lang w:val="es-ES_tradnl"/>
        </w:rPr>
        <w:t>Ubicación y superficie;</w:t>
      </w:r>
    </w:p>
    <w:p w14:paraId="3A475267" w14:textId="77777777" w:rsidR="009B5E39" w:rsidRPr="001E5957" w:rsidRDefault="009B5E39" w:rsidP="009B5E39">
      <w:pPr>
        <w:pStyle w:val="Prrafodelista"/>
        <w:numPr>
          <w:ilvl w:val="0"/>
          <w:numId w:val="227"/>
        </w:numPr>
        <w:spacing w:after="80"/>
        <w:ind w:left="1134" w:right="283" w:hanging="850"/>
        <w:contextualSpacing w:val="0"/>
        <w:jc w:val="both"/>
        <w:rPr>
          <w:rFonts w:ascii="Gotham" w:hAnsi="Gotham" w:cs="Arial"/>
          <w:sz w:val="19"/>
          <w:szCs w:val="19"/>
          <w:lang w:val="es-ES_tradnl"/>
        </w:rPr>
      </w:pPr>
      <w:r w:rsidRPr="001E5957">
        <w:rPr>
          <w:rFonts w:ascii="Gotham" w:hAnsi="Gotham" w:cs="Arial"/>
          <w:sz w:val="19"/>
          <w:szCs w:val="19"/>
          <w:lang w:val="es-ES_tradnl"/>
        </w:rPr>
        <w:t>Tipo de área verde; y</w:t>
      </w:r>
    </w:p>
    <w:p w14:paraId="3A475268" w14:textId="77777777" w:rsidR="009B5E39" w:rsidRPr="001E5957" w:rsidRDefault="009B5E39" w:rsidP="009B5E39">
      <w:pPr>
        <w:pStyle w:val="Prrafodelista"/>
        <w:numPr>
          <w:ilvl w:val="0"/>
          <w:numId w:val="227"/>
        </w:numPr>
        <w:spacing w:after="80"/>
        <w:ind w:left="1134" w:right="283" w:hanging="850"/>
        <w:contextualSpacing w:val="0"/>
        <w:jc w:val="both"/>
        <w:rPr>
          <w:rFonts w:ascii="Gotham" w:hAnsi="Gotham" w:cs="Arial"/>
          <w:sz w:val="19"/>
          <w:szCs w:val="19"/>
          <w:lang w:val="es-ES_tradnl"/>
        </w:rPr>
      </w:pPr>
      <w:r w:rsidRPr="001E5957">
        <w:rPr>
          <w:rFonts w:ascii="Gotham" w:hAnsi="Gotham" w:cs="Arial"/>
          <w:sz w:val="19"/>
          <w:szCs w:val="19"/>
          <w:lang w:val="es-ES_tradnl"/>
        </w:rPr>
        <w:t>Especies y características del arbolado que la conforman;</w:t>
      </w:r>
    </w:p>
    <w:p w14:paraId="3A475269" w14:textId="77777777" w:rsidR="009B5E39" w:rsidRPr="001E5957" w:rsidRDefault="009B5E39" w:rsidP="009B5E39">
      <w:pPr>
        <w:pStyle w:val="Prrafodelista"/>
        <w:numPr>
          <w:ilvl w:val="0"/>
          <w:numId w:val="227"/>
        </w:numPr>
        <w:spacing w:after="80"/>
        <w:ind w:left="1134" w:right="283" w:hanging="850"/>
        <w:contextualSpacing w:val="0"/>
        <w:jc w:val="both"/>
        <w:rPr>
          <w:rFonts w:ascii="Gotham" w:hAnsi="Gotham" w:cs="Arial"/>
          <w:sz w:val="19"/>
          <w:szCs w:val="19"/>
          <w:lang w:val="es-ES_tradnl"/>
        </w:rPr>
      </w:pPr>
      <w:r w:rsidRPr="001E5957">
        <w:rPr>
          <w:rFonts w:ascii="Gotham" w:hAnsi="Gotham" w:cs="Arial"/>
          <w:sz w:val="19"/>
          <w:szCs w:val="19"/>
          <w:lang w:val="es-ES_tradnl"/>
        </w:rPr>
        <w:t>Diagnóstico del estado actual del espacio;</w:t>
      </w:r>
    </w:p>
    <w:p w14:paraId="3A47526A" w14:textId="77777777" w:rsidR="009B5E39" w:rsidRPr="001E5957" w:rsidRDefault="009B5E39" w:rsidP="009B5E39">
      <w:pPr>
        <w:pStyle w:val="Prrafodelista"/>
        <w:numPr>
          <w:ilvl w:val="0"/>
          <w:numId w:val="227"/>
        </w:numPr>
        <w:ind w:left="1134" w:right="283" w:hanging="850"/>
        <w:contextualSpacing w:val="0"/>
        <w:jc w:val="both"/>
        <w:rPr>
          <w:rFonts w:ascii="Gotham" w:hAnsi="Gotham" w:cs="Arial"/>
          <w:sz w:val="19"/>
          <w:szCs w:val="19"/>
          <w:lang w:val="es-ES_tradnl"/>
        </w:rPr>
      </w:pPr>
      <w:r w:rsidRPr="001E5957">
        <w:rPr>
          <w:rFonts w:ascii="Gotham" w:hAnsi="Gotham" w:cs="Arial"/>
          <w:sz w:val="19"/>
          <w:szCs w:val="19"/>
          <w:lang w:val="es-ES_tradnl"/>
        </w:rPr>
        <w:t>Accesibilidad al riego.</w:t>
      </w:r>
    </w:p>
    <w:p w14:paraId="3A47526B" w14:textId="77777777" w:rsidR="009B5E39" w:rsidRDefault="009B5E39" w:rsidP="009B5E39">
      <w:pPr>
        <w:ind w:left="284" w:right="283"/>
        <w:jc w:val="both"/>
        <w:rPr>
          <w:rFonts w:ascii="Gotham" w:hAnsi="Gotham" w:cs="Arial"/>
          <w:sz w:val="19"/>
          <w:szCs w:val="19"/>
          <w:lang w:val="es-ES_tradnl"/>
        </w:rPr>
      </w:pPr>
    </w:p>
    <w:p w14:paraId="3A47526C"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sz w:val="19"/>
          <w:szCs w:val="19"/>
          <w:lang w:val="es-ES_tradnl"/>
        </w:rPr>
        <w:t>Una vez realizado el Padrón de Predios, Parques, Áreas Verdes y Superficies existentes del Municipio, este deberá ser remitido a la Dirección de Patrimonio Municipal para su conocimiento, así como a la Jefatura de Arbolado Urbano para que esta sea la que determine la paleta vegetal adecuada para cada espacio.</w:t>
      </w:r>
    </w:p>
    <w:p w14:paraId="3A47526D" w14:textId="77777777" w:rsidR="009B5E39" w:rsidRDefault="009B5E39" w:rsidP="009B5E39">
      <w:pPr>
        <w:ind w:left="284" w:right="283"/>
        <w:jc w:val="both"/>
        <w:rPr>
          <w:rFonts w:ascii="Gotham" w:hAnsi="Gotham" w:cs="Arial"/>
          <w:b/>
          <w:sz w:val="19"/>
          <w:szCs w:val="19"/>
          <w:lang w:val="es-ES_tradnl"/>
        </w:rPr>
      </w:pPr>
    </w:p>
    <w:p w14:paraId="3A47526E" w14:textId="77777777" w:rsidR="009B5E39" w:rsidRDefault="009B5E39" w:rsidP="009B5E39">
      <w:pPr>
        <w:ind w:left="284" w:right="283"/>
        <w:jc w:val="both"/>
        <w:rPr>
          <w:rFonts w:ascii="Gotham" w:hAnsi="Gotham" w:cs="Arial"/>
          <w:sz w:val="19"/>
          <w:szCs w:val="19"/>
          <w:lang w:val="es-ES_tradnl"/>
        </w:rPr>
      </w:pPr>
      <w:r w:rsidRPr="001E5957">
        <w:rPr>
          <w:rFonts w:ascii="Gotham" w:hAnsi="Gotham" w:cs="Arial"/>
          <w:b/>
          <w:sz w:val="19"/>
          <w:szCs w:val="19"/>
          <w:lang w:val="es-ES_tradnl"/>
        </w:rPr>
        <w:t xml:space="preserve">Artículo 10. </w:t>
      </w:r>
      <w:r w:rsidRPr="001E5957">
        <w:rPr>
          <w:rFonts w:ascii="Gotham" w:hAnsi="Gotham" w:cs="Arial"/>
          <w:sz w:val="19"/>
          <w:szCs w:val="19"/>
          <w:lang w:val="es-ES_tradnl"/>
        </w:rPr>
        <w:t>La Jefatura de Parques y Jardines podrá realizar intervenciones en arbolado urbano privado, previo dictamen técnico forestal emitido por la Jefatura de Arbolado Urbano, así como el pago de contribuciones cubierto por el interesado.</w:t>
      </w:r>
    </w:p>
    <w:p w14:paraId="3A47526F" w14:textId="77777777" w:rsidR="009B5E39" w:rsidRDefault="009B5E39" w:rsidP="009B5E39">
      <w:pPr>
        <w:ind w:left="284" w:right="283"/>
        <w:jc w:val="both"/>
        <w:rPr>
          <w:rFonts w:ascii="Gotham" w:hAnsi="Gotham" w:cs="Arial"/>
          <w:sz w:val="19"/>
          <w:szCs w:val="19"/>
          <w:lang w:val="es-ES_tradnl"/>
        </w:rPr>
      </w:pPr>
    </w:p>
    <w:p w14:paraId="3A475270" w14:textId="77777777" w:rsidR="009B5E39" w:rsidRPr="001E5957" w:rsidRDefault="009B5E39" w:rsidP="009B5E39">
      <w:pPr>
        <w:ind w:left="284" w:right="283"/>
        <w:jc w:val="both"/>
        <w:rPr>
          <w:rFonts w:ascii="Gotham" w:hAnsi="Gotham" w:cs="Arial"/>
          <w:sz w:val="19"/>
          <w:szCs w:val="19"/>
          <w:lang w:val="es-ES_tradnl"/>
        </w:rPr>
      </w:pPr>
    </w:p>
    <w:p w14:paraId="3A475271" w14:textId="77777777" w:rsidR="009B5E39" w:rsidRPr="001E5957" w:rsidRDefault="009B5E39" w:rsidP="009B5E39">
      <w:pPr>
        <w:ind w:left="284" w:right="283"/>
        <w:jc w:val="center"/>
        <w:rPr>
          <w:rFonts w:ascii="Gotham" w:hAnsi="Gotham" w:cs="Arial"/>
          <w:b/>
          <w:bCs/>
          <w:sz w:val="19"/>
          <w:szCs w:val="19"/>
          <w:lang w:val="es-ES_tradnl"/>
        </w:rPr>
      </w:pPr>
      <w:r w:rsidRPr="001E5957">
        <w:rPr>
          <w:rFonts w:ascii="Gotham" w:hAnsi="Gotham" w:cs="Arial"/>
          <w:b/>
          <w:bCs/>
          <w:sz w:val="19"/>
          <w:szCs w:val="19"/>
          <w:lang w:val="es-ES_tradnl"/>
        </w:rPr>
        <w:t>Capítulo IV</w:t>
      </w:r>
    </w:p>
    <w:p w14:paraId="3A475272" w14:textId="77777777" w:rsidR="009B5E39" w:rsidRPr="001E5957" w:rsidRDefault="009B5E39" w:rsidP="009B5E39">
      <w:pPr>
        <w:ind w:left="284" w:right="283"/>
        <w:jc w:val="center"/>
        <w:rPr>
          <w:rFonts w:ascii="Gotham" w:hAnsi="Gotham" w:cs="Arial"/>
          <w:b/>
          <w:bCs/>
          <w:sz w:val="19"/>
          <w:szCs w:val="19"/>
          <w:lang w:val="es-ES_tradnl"/>
        </w:rPr>
      </w:pPr>
      <w:r w:rsidRPr="001E5957">
        <w:rPr>
          <w:rFonts w:ascii="Gotham" w:hAnsi="Gotham" w:cs="Arial"/>
          <w:b/>
          <w:bCs/>
          <w:sz w:val="19"/>
          <w:szCs w:val="19"/>
          <w:lang w:val="es-ES_tradnl"/>
        </w:rPr>
        <w:t>De los Predios y Superficies Destinadas a Áreas Verdes.</w:t>
      </w:r>
    </w:p>
    <w:p w14:paraId="3A475273" w14:textId="77777777" w:rsidR="009B5E39" w:rsidRDefault="009B5E39" w:rsidP="009B5E39">
      <w:pPr>
        <w:ind w:left="284" w:right="283"/>
        <w:jc w:val="both"/>
        <w:rPr>
          <w:rFonts w:ascii="Gotham" w:hAnsi="Gotham" w:cs="Arial"/>
          <w:b/>
          <w:sz w:val="19"/>
          <w:szCs w:val="19"/>
          <w:lang w:val="es-ES_tradnl"/>
        </w:rPr>
      </w:pPr>
    </w:p>
    <w:p w14:paraId="3A475274"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b/>
          <w:sz w:val="19"/>
          <w:szCs w:val="19"/>
          <w:lang w:val="es-ES_tradnl"/>
        </w:rPr>
        <w:t xml:space="preserve">Artículo 11. </w:t>
      </w:r>
      <w:r w:rsidRPr="001E5957">
        <w:rPr>
          <w:rFonts w:ascii="Gotham" w:hAnsi="Gotham" w:cs="Arial"/>
          <w:sz w:val="19"/>
          <w:szCs w:val="19"/>
          <w:lang w:val="es-ES_tradnl"/>
        </w:rPr>
        <w:t>Los fraccionamientos de nueva creación y asentamientos a regularizar, deberán contar con las superficies destinadas para áreas verdes, en las que se plantará la cantidad y especies de árboles adecuadas, previamente autorizadas con el visto bueno al proyecto paisajístico emitido por la Jefatura de Arbolado Urbano. Estas áreas verdes deberán estar debidamente terminadas y preservadas hasta la entrega del fraccionamiento al municipio.</w:t>
      </w:r>
    </w:p>
    <w:p w14:paraId="3A475275" w14:textId="77777777" w:rsidR="009B5E39" w:rsidRDefault="009B5E39" w:rsidP="009B5E39">
      <w:pPr>
        <w:ind w:left="284" w:right="283"/>
        <w:jc w:val="both"/>
        <w:rPr>
          <w:rFonts w:ascii="Gotham" w:hAnsi="Gotham" w:cs="Arial"/>
          <w:b/>
          <w:sz w:val="19"/>
          <w:szCs w:val="19"/>
          <w:lang w:val="es-ES_tradnl"/>
        </w:rPr>
      </w:pPr>
    </w:p>
    <w:p w14:paraId="3A475276"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b/>
          <w:sz w:val="19"/>
          <w:szCs w:val="19"/>
          <w:lang w:val="es-ES_tradnl"/>
        </w:rPr>
        <w:t xml:space="preserve">Artículo 12. </w:t>
      </w:r>
      <w:r w:rsidRPr="001E5957">
        <w:rPr>
          <w:rFonts w:ascii="Gotham" w:hAnsi="Gotham" w:cs="Arial"/>
          <w:sz w:val="19"/>
          <w:szCs w:val="19"/>
          <w:lang w:val="es-ES_tradnl"/>
        </w:rPr>
        <w:t>Para el debido mantenimiento de las áreas verdes los fraccionamientos, terrenos a regularizar y predios de suelo no urbanizado deberán contar con las tomas de agua necesarias para tal fin, realizando previo convenio con el Ayuntamiento.</w:t>
      </w:r>
    </w:p>
    <w:p w14:paraId="3A475277" w14:textId="77777777" w:rsidR="009B5E39" w:rsidRDefault="009B5E39" w:rsidP="009B5E39">
      <w:pPr>
        <w:ind w:left="284" w:right="283"/>
        <w:jc w:val="both"/>
        <w:rPr>
          <w:rFonts w:ascii="Gotham" w:hAnsi="Gotham" w:cs="Arial"/>
          <w:b/>
          <w:sz w:val="19"/>
          <w:szCs w:val="19"/>
          <w:lang w:val="es-ES_tradnl"/>
        </w:rPr>
      </w:pPr>
    </w:p>
    <w:p w14:paraId="3A475278"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b/>
          <w:sz w:val="19"/>
          <w:szCs w:val="19"/>
          <w:lang w:val="es-ES_tradnl"/>
        </w:rPr>
        <w:t>Artículo 13.</w:t>
      </w:r>
      <w:r w:rsidRPr="001E5957">
        <w:rPr>
          <w:rFonts w:ascii="Gotham" w:hAnsi="Gotham" w:cs="Arial"/>
          <w:sz w:val="19"/>
          <w:szCs w:val="19"/>
          <w:lang w:val="es-ES_tradnl"/>
        </w:rPr>
        <w:t xml:space="preserve"> Queda estrictamente prohibido utilizar alambres de púas para cubrir zonas ajardinadas en las banquetas, parques, jardines, glorietas y, en general, áreas verdes ubicadas dentro del municipio.</w:t>
      </w:r>
    </w:p>
    <w:p w14:paraId="3A475279" w14:textId="77777777" w:rsidR="009B5E39" w:rsidRDefault="009B5E39" w:rsidP="009B5E39">
      <w:pPr>
        <w:ind w:left="284" w:right="283"/>
        <w:jc w:val="both"/>
        <w:rPr>
          <w:rFonts w:ascii="Gotham" w:hAnsi="Gotham" w:cs="Arial"/>
          <w:b/>
          <w:sz w:val="19"/>
          <w:szCs w:val="19"/>
          <w:lang w:val="es-ES_tradnl"/>
        </w:rPr>
      </w:pPr>
    </w:p>
    <w:p w14:paraId="3A47527A" w14:textId="77777777" w:rsidR="009B5E39" w:rsidRPr="001E5957" w:rsidRDefault="009B5E39" w:rsidP="009B5E39">
      <w:pPr>
        <w:ind w:left="284" w:right="283"/>
        <w:jc w:val="both"/>
        <w:rPr>
          <w:rFonts w:ascii="Gotham" w:hAnsi="Gotham" w:cs="Arial"/>
          <w:b/>
          <w:sz w:val="19"/>
          <w:szCs w:val="19"/>
          <w:lang w:val="es-ES_tradnl"/>
        </w:rPr>
      </w:pPr>
      <w:r w:rsidRPr="001E5957">
        <w:rPr>
          <w:rFonts w:ascii="Gotham" w:hAnsi="Gotham" w:cs="Arial"/>
          <w:b/>
          <w:sz w:val="19"/>
          <w:szCs w:val="19"/>
          <w:lang w:val="es-ES_tradnl"/>
        </w:rPr>
        <w:t xml:space="preserve">Artículo 14. </w:t>
      </w:r>
      <w:r w:rsidRPr="001E5957">
        <w:rPr>
          <w:rFonts w:ascii="Gotham" w:hAnsi="Gotham" w:cs="Arial"/>
          <w:sz w:val="19"/>
          <w:szCs w:val="19"/>
          <w:lang w:val="es-ES_tradnl"/>
        </w:rPr>
        <w:t>Queda prohibido plantar cactus, magueyes, abrojos y en general plantas punzocortantes y venenosas o tóxicas en las banquetas ubicadas dentro del municipio.</w:t>
      </w:r>
    </w:p>
    <w:p w14:paraId="3A47527B" w14:textId="77777777" w:rsidR="009B5E39" w:rsidRDefault="009B5E39" w:rsidP="009B5E39">
      <w:pPr>
        <w:ind w:left="284" w:right="283"/>
        <w:jc w:val="both"/>
        <w:rPr>
          <w:rFonts w:ascii="Gotham" w:hAnsi="Gotham" w:cs="Arial"/>
          <w:b/>
          <w:sz w:val="19"/>
          <w:szCs w:val="19"/>
          <w:lang w:val="es-ES_tradnl"/>
        </w:rPr>
      </w:pPr>
    </w:p>
    <w:p w14:paraId="3A47527C"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b/>
          <w:sz w:val="19"/>
          <w:szCs w:val="19"/>
          <w:lang w:val="es-ES_tradnl"/>
        </w:rPr>
        <w:t xml:space="preserve">Artículo 15. </w:t>
      </w:r>
      <w:r w:rsidRPr="001E5957">
        <w:rPr>
          <w:rFonts w:ascii="Gotham" w:hAnsi="Gotham" w:cs="Arial"/>
          <w:sz w:val="19"/>
          <w:szCs w:val="19"/>
          <w:lang w:val="es-ES_tradnl"/>
        </w:rPr>
        <w:t xml:space="preserve">No se permitirá depositar desechos de jardinería y forestales en la vía pública y bienes de uso común, los que deberán depositarse en los sitios que indique la Dirección de Ecología y Cambio Climático, la Jefatura de Fomento Agropecuario o la Jefatura de Parques y Jardines, la violación de </w:t>
      </w:r>
      <w:r w:rsidRPr="001E5957">
        <w:rPr>
          <w:rFonts w:ascii="Gotham" w:hAnsi="Gotham" w:cs="Arial"/>
          <w:sz w:val="19"/>
          <w:szCs w:val="19"/>
          <w:lang w:val="es-ES_tradnl"/>
        </w:rPr>
        <w:lastRenderedPageBreak/>
        <w:t xml:space="preserve">este precepto será sancionada en los términos del </w:t>
      </w:r>
      <w:r w:rsidRPr="001E5957">
        <w:rPr>
          <w:rFonts w:ascii="Gotham" w:hAnsi="Gotham" w:cs="Arial"/>
          <w:sz w:val="19"/>
          <w:szCs w:val="19"/>
        </w:rPr>
        <w:t>Código para la Protección Ambiental, Cambio Climático y Sustentabilidad del Municipio de Tonalá, Jalisco</w:t>
      </w:r>
      <w:r w:rsidRPr="001E5957">
        <w:rPr>
          <w:rFonts w:ascii="Gotham" w:hAnsi="Gotham" w:cs="Arial"/>
          <w:sz w:val="19"/>
          <w:szCs w:val="19"/>
          <w:lang w:val="es-ES_tradnl"/>
        </w:rPr>
        <w:t>.</w:t>
      </w:r>
    </w:p>
    <w:p w14:paraId="3A47527D" w14:textId="77777777" w:rsidR="009B5E39" w:rsidRDefault="009B5E39" w:rsidP="009B5E39">
      <w:pPr>
        <w:ind w:left="284" w:right="283"/>
        <w:jc w:val="both"/>
        <w:rPr>
          <w:rFonts w:ascii="Gotham" w:hAnsi="Gotham" w:cs="Arial"/>
          <w:b/>
          <w:sz w:val="19"/>
          <w:szCs w:val="19"/>
          <w:lang w:val="es-ES_tradnl"/>
        </w:rPr>
      </w:pPr>
    </w:p>
    <w:p w14:paraId="3A47527E"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b/>
          <w:sz w:val="19"/>
          <w:szCs w:val="19"/>
          <w:lang w:val="es-ES_tradnl"/>
        </w:rPr>
        <w:t xml:space="preserve">Artículo 16. </w:t>
      </w:r>
      <w:r w:rsidRPr="001E5957">
        <w:rPr>
          <w:rFonts w:ascii="Gotham" w:hAnsi="Gotham" w:cs="Arial"/>
          <w:sz w:val="19"/>
          <w:szCs w:val="19"/>
          <w:lang w:val="es-ES_tradnl"/>
        </w:rPr>
        <w:t>Se prohíbe la instalación de anuncios y todo tipo de negocios particulares en camellones y glorietas, así como en las superficies de jardines destinados a las plantas con excepción de los que cuenten con convenio previo aprobado por el ayuntamiento; queda igualmente prohibido fijar anuncios o cualquier tipo de propaganda en árboles y arbustos.</w:t>
      </w:r>
    </w:p>
    <w:p w14:paraId="3A47527F" w14:textId="77777777" w:rsidR="009B5E39" w:rsidRDefault="009B5E39" w:rsidP="009B5E39">
      <w:pPr>
        <w:ind w:left="284" w:right="283"/>
        <w:jc w:val="both"/>
        <w:rPr>
          <w:rFonts w:ascii="Gotham" w:hAnsi="Gotham" w:cs="Arial"/>
          <w:sz w:val="19"/>
          <w:szCs w:val="19"/>
          <w:lang w:val="es-ES_tradnl"/>
        </w:rPr>
      </w:pPr>
    </w:p>
    <w:p w14:paraId="3A475280"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sz w:val="19"/>
          <w:szCs w:val="19"/>
          <w:lang w:val="es-ES_tradnl"/>
        </w:rPr>
        <w:t>Artículo 17.- Previo convenio con el Ayuntamiento, las personas físicas o morales podrán instalar en los camellones, glorietas y demás áreas verdes, anuncios que señalen que la persona física o moral que corresponda se hace cargo del mantenimiento del área verde; estos anuncios tendrán una dimensión máxima de 0.60 metros cuadrados y la distancia entre uno y otro será de 500 quinientos metros como mínimo. Las personas físicas o morales tendrán como obligación conservar dichas áreas en buenas condiciones, de no cumplir con la anterior obligación, la autoridad municipal procederá a retirar el anuncio colocado.</w:t>
      </w:r>
    </w:p>
    <w:p w14:paraId="3A475281" w14:textId="77777777" w:rsidR="009B5E39" w:rsidRDefault="009B5E39" w:rsidP="009B5E39">
      <w:pPr>
        <w:ind w:left="284" w:right="283"/>
        <w:jc w:val="both"/>
        <w:rPr>
          <w:rFonts w:ascii="Gotham" w:hAnsi="Gotham" w:cs="Arial"/>
          <w:sz w:val="19"/>
          <w:szCs w:val="19"/>
          <w:lang w:val="es-ES_tradnl"/>
        </w:rPr>
      </w:pPr>
    </w:p>
    <w:p w14:paraId="3A475282" w14:textId="77777777" w:rsidR="009B5E39" w:rsidRPr="001E5957" w:rsidRDefault="009B5E39" w:rsidP="009B5E39">
      <w:pPr>
        <w:ind w:left="284" w:right="283"/>
        <w:jc w:val="both"/>
        <w:rPr>
          <w:rFonts w:ascii="Gotham" w:hAnsi="Gotham" w:cs="Arial"/>
          <w:color w:val="2E74B5" w:themeColor="accent1" w:themeShade="BF"/>
          <w:sz w:val="19"/>
          <w:szCs w:val="19"/>
          <w:lang w:val="es-ES_tradnl"/>
        </w:rPr>
      </w:pPr>
      <w:r w:rsidRPr="001E5957">
        <w:rPr>
          <w:rFonts w:ascii="Gotham" w:hAnsi="Gotham" w:cs="Arial"/>
          <w:sz w:val="19"/>
          <w:szCs w:val="19"/>
          <w:lang w:val="es-ES_tradnl"/>
        </w:rPr>
        <w:t xml:space="preserve">Artículo 18.- Los inmuebles de propiedad municipal que sean destinados a la construcción de plazas, parques, jardines, camellones, glorietas con el mismo fin, no podrán cambiarse de uso de suelo sino mediante acuerdo de Cabildo, en el que invariablemente se deberá definir la forma en que se reemplazará el área suprimida por una superficie igual o mayor para destinarla a áreas verdes. </w:t>
      </w:r>
    </w:p>
    <w:p w14:paraId="3A475283" w14:textId="77777777" w:rsidR="009B5E39" w:rsidRDefault="009B5E39" w:rsidP="009B5E39">
      <w:pPr>
        <w:ind w:left="284" w:right="283"/>
        <w:jc w:val="both"/>
        <w:rPr>
          <w:rFonts w:ascii="Gotham" w:hAnsi="Gotham" w:cs="Arial"/>
          <w:sz w:val="19"/>
          <w:szCs w:val="19"/>
          <w:lang w:val="es-ES_tradnl"/>
        </w:rPr>
      </w:pPr>
    </w:p>
    <w:p w14:paraId="3A475284"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sz w:val="19"/>
          <w:szCs w:val="19"/>
          <w:lang w:val="es-ES_tradnl"/>
        </w:rPr>
        <w:t>Artículo 19.- En la creación de parques, jardines, camellones y áreas verdes en general, de propiedad municipal, estos deberán ser diseñados por la Jefatura de Arbolado Urbano o por particulares mediante licitación, de acuerdo con la información proporcionada por la Jefatura de Parques y Jardines, así como de la Dirección General de Obras Públicas.</w:t>
      </w:r>
    </w:p>
    <w:p w14:paraId="3A475285" w14:textId="77777777" w:rsidR="009B5E39" w:rsidRDefault="009B5E39" w:rsidP="009B5E39">
      <w:pPr>
        <w:ind w:left="284" w:right="283"/>
        <w:jc w:val="both"/>
        <w:rPr>
          <w:rFonts w:ascii="Gotham" w:hAnsi="Gotham" w:cs="Arial"/>
          <w:sz w:val="19"/>
          <w:szCs w:val="19"/>
          <w:lang w:val="es-ES_tradnl"/>
        </w:rPr>
      </w:pPr>
    </w:p>
    <w:p w14:paraId="3A475286" w14:textId="77777777" w:rsidR="009B5E39" w:rsidRPr="001E5957" w:rsidRDefault="009B5E39" w:rsidP="009B5E39">
      <w:pPr>
        <w:ind w:left="284" w:right="283"/>
        <w:jc w:val="both"/>
        <w:rPr>
          <w:rFonts w:ascii="Gotham" w:hAnsi="Gotham" w:cs="Arial"/>
          <w:color w:val="2E74B5" w:themeColor="accent1" w:themeShade="BF"/>
          <w:sz w:val="19"/>
          <w:szCs w:val="19"/>
          <w:lang w:val="es-ES_tradnl"/>
        </w:rPr>
      </w:pPr>
      <w:r w:rsidRPr="001E5957">
        <w:rPr>
          <w:rFonts w:ascii="Gotham" w:hAnsi="Gotham" w:cs="Arial"/>
          <w:sz w:val="19"/>
          <w:szCs w:val="19"/>
          <w:lang w:val="es-ES_tradnl"/>
        </w:rPr>
        <w:t xml:space="preserve">Artículo 20.- Los parques y jardines ubicados en propiedad municipal, no podrán otorgarse en concesión o arrendamiento a particulares, únicamente los servicios o áreas que establezca el Cabildo. </w:t>
      </w:r>
    </w:p>
    <w:p w14:paraId="3A475287" w14:textId="77777777" w:rsidR="009B5E39" w:rsidRDefault="009B5E39" w:rsidP="009B5E39">
      <w:pPr>
        <w:ind w:left="284" w:right="283"/>
        <w:jc w:val="both"/>
        <w:rPr>
          <w:rFonts w:ascii="Gotham" w:hAnsi="Gotham" w:cs="Arial"/>
          <w:sz w:val="19"/>
          <w:szCs w:val="19"/>
          <w:lang w:val="es-ES_tradnl"/>
        </w:rPr>
      </w:pPr>
    </w:p>
    <w:p w14:paraId="3A475288" w14:textId="77777777" w:rsidR="009B5E39" w:rsidRPr="001E5957" w:rsidRDefault="009B5E39" w:rsidP="009B5E39">
      <w:pPr>
        <w:ind w:left="284" w:right="283"/>
        <w:jc w:val="both"/>
        <w:rPr>
          <w:rFonts w:ascii="Gotham" w:hAnsi="Gotham" w:cs="Arial"/>
          <w:color w:val="2E74B5" w:themeColor="accent1" w:themeShade="BF"/>
          <w:sz w:val="19"/>
          <w:szCs w:val="19"/>
          <w:lang w:val="es-ES_tradnl"/>
        </w:rPr>
      </w:pPr>
      <w:r w:rsidRPr="001E5957">
        <w:rPr>
          <w:rFonts w:ascii="Gotham" w:hAnsi="Gotham" w:cs="Arial"/>
          <w:sz w:val="19"/>
          <w:szCs w:val="19"/>
          <w:lang w:val="es-ES_tradnl"/>
        </w:rPr>
        <w:t xml:space="preserve">Artículo 21.- El Programa Municipal de Desarrollo Urbano y los Planes Parciales que de ellos se derivan señalarán en las normas de administración de uso de suelo las consideraciones relativas a los coeficientes de utilización de suelo derivados de los coeficientes de ocupación de suelo que indican los porcentajes de áreas libres de edificación y de áreas verdes mínimas que deben ser respetadas en los proyectos de construcción y que deberán ser reflejadas en las licencias que la dependencia municipal otorga. </w:t>
      </w:r>
    </w:p>
    <w:p w14:paraId="3A475289" w14:textId="77777777" w:rsidR="009B5E39" w:rsidRDefault="009B5E39" w:rsidP="009B5E39">
      <w:pPr>
        <w:ind w:left="284" w:right="283"/>
        <w:jc w:val="both"/>
        <w:rPr>
          <w:rFonts w:ascii="Gotham" w:hAnsi="Gotham" w:cs="Arial"/>
          <w:sz w:val="19"/>
          <w:szCs w:val="19"/>
          <w:lang w:val="es-ES_tradnl"/>
        </w:rPr>
      </w:pPr>
    </w:p>
    <w:p w14:paraId="3A47528A" w14:textId="77777777" w:rsidR="009B5E39" w:rsidRPr="001E5957" w:rsidRDefault="009B5E39" w:rsidP="009B5E39">
      <w:pPr>
        <w:ind w:left="284" w:right="283"/>
        <w:jc w:val="both"/>
        <w:rPr>
          <w:rFonts w:ascii="Gotham" w:hAnsi="Gotham" w:cs="Arial"/>
          <w:sz w:val="19"/>
          <w:szCs w:val="19"/>
          <w:lang w:val="es-ES_tradnl"/>
        </w:rPr>
      </w:pPr>
      <w:r w:rsidRPr="001E5957">
        <w:rPr>
          <w:rFonts w:ascii="Gotham" w:hAnsi="Gotham" w:cs="Arial"/>
          <w:sz w:val="19"/>
          <w:szCs w:val="19"/>
          <w:lang w:val="es-ES_tradnl"/>
        </w:rPr>
        <w:t>Artículo 22.- Cuando los árboles existentes en las banquetas estén presionados en el pavimento y el árbol todavía este vivo, la Dirección recomendará al vecino del inmueble que se encuentre enfrente del árbol, para que en un tiempo determinado proporcione la ampliación del espacio vital para el adecuado desarrollo del árbol a través de un cajete o un sistema que le permita la infiltración del agua.</w:t>
      </w:r>
    </w:p>
    <w:p w14:paraId="3A47528B" w14:textId="77777777" w:rsidR="009B5E39" w:rsidRDefault="009B5E39" w:rsidP="009B5E39">
      <w:pPr>
        <w:ind w:left="284" w:right="283"/>
        <w:jc w:val="both"/>
        <w:rPr>
          <w:rFonts w:ascii="Gotham" w:hAnsi="Gotham" w:cs="Arial"/>
          <w:color w:val="000000" w:themeColor="text1"/>
          <w:sz w:val="19"/>
          <w:szCs w:val="19"/>
          <w:lang w:val="es-ES_tradnl"/>
        </w:rPr>
      </w:pPr>
    </w:p>
    <w:p w14:paraId="3A47528C"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23.- No se permitirá a los particulares sin la autorización de la Jefatura de Arbolado Urbano y las demás Direcciones y Jefaturas competentes, modificar las áreas verdes de las calles, avenidas o pares viales en donde las autoridades municipales hayan planeado su existencia. En esta autorización deberán considerarse lo señalado en el Plan Municipal de Desarrollo Urbano y los Planes Parciales que de este se deriven.</w:t>
      </w:r>
    </w:p>
    <w:p w14:paraId="3A47528D"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28E" w14:textId="77777777" w:rsidR="009B5E39" w:rsidRPr="001E5957" w:rsidRDefault="009B5E39" w:rsidP="009B5E39">
      <w:pPr>
        <w:ind w:left="284" w:right="283"/>
        <w:jc w:val="center"/>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Capítulo V</w:t>
      </w:r>
    </w:p>
    <w:p w14:paraId="3A47528F" w14:textId="77777777" w:rsidR="009B5E39" w:rsidRPr="001E5957" w:rsidRDefault="009B5E39" w:rsidP="009B5E39">
      <w:pPr>
        <w:ind w:left="284" w:right="283"/>
        <w:jc w:val="center"/>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De la forestación y reforestación.</w:t>
      </w:r>
    </w:p>
    <w:p w14:paraId="3A475290" w14:textId="77777777" w:rsidR="009B5E39" w:rsidRDefault="009B5E39" w:rsidP="009B5E39">
      <w:pPr>
        <w:ind w:left="284" w:right="283"/>
        <w:jc w:val="both"/>
        <w:rPr>
          <w:rFonts w:ascii="Gotham" w:hAnsi="Gotham" w:cs="Arial"/>
          <w:color w:val="000000" w:themeColor="text1"/>
          <w:sz w:val="19"/>
          <w:szCs w:val="19"/>
          <w:lang w:val="es-ES_tradnl"/>
        </w:rPr>
      </w:pPr>
    </w:p>
    <w:p w14:paraId="3A475291" w14:textId="77777777" w:rsidR="009B5E39" w:rsidRPr="001E5957" w:rsidRDefault="009B5E39" w:rsidP="009B5E39">
      <w:pPr>
        <w:ind w:left="284" w:right="283"/>
        <w:jc w:val="both"/>
        <w:rPr>
          <w:rFonts w:ascii="Gotham" w:hAnsi="Gotham" w:cs="Arial"/>
          <w:color w:val="2E74B5" w:themeColor="accent1" w:themeShade="BF"/>
          <w:sz w:val="19"/>
          <w:szCs w:val="19"/>
          <w:lang w:val="es-ES_tradnl"/>
        </w:rPr>
      </w:pPr>
      <w:r w:rsidRPr="001E5957">
        <w:rPr>
          <w:rFonts w:ascii="Gotham" w:hAnsi="Gotham" w:cs="Arial"/>
          <w:color w:val="000000" w:themeColor="text1"/>
          <w:sz w:val="19"/>
          <w:szCs w:val="19"/>
          <w:lang w:val="es-ES_tradnl"/>
        </w:rPr>
        <w:t xml:space="preserve">Artículo 24.- La Jefatura de Arbolado Urbano establecerá los viveros necesarios para realizar las funciones de arborización y reforestación en el municipio, en conjunto con la Jefatura de Parques y Jardines se realizarán las plantaciones, teniendo facultades el Ayuntamiento para celebrar convenios con instituciones públicas o privadas, para intercambiar especies o mejorar las que cultiva en sus </w:t>
      </w:r>
      <w:r w:rsidRPr="001E5957">
        <w:rPr>
          <w:rFonts w:ascii="Gotham" w:hAnsi="Gotham" w:cs="Arial"/>
          <w:color w:val="000000" w:themeColor="text1"/>
          <w:sz w:val="19"/>
          <w:szCs w:val="19"/>
          <w:lang w:val="es-ES_tradnl"/>
        </w:rPr>
        <w:lastRenderedPageBreak/>
        <w:t xml:space="preserve">viveros, de conformidad con lo establecido en el artículo 39 fracción II, numeral 5 de la Ley Orgánica Municipal del Estado de Jalisco. </w:t>
      </w:r>
    </w:p>
    <w:p w14:paraId="3A475292" w14:textId="77777777" w:rsidR="009B5E39" w:rsidRDefault="009B5E39" w:rsidP="009B5E39">
      <w:pPr>
        <w:ind w:left="284" w:right="283"/>
        <w:jc w:val="both"/>
        <w:rPr>
          <w:rFonts w:ascii="Gotham" w:hAnsi="Gotham" w:cs="Arial"/>
          <w:color w:val="000000" w:themeColor="text1"/>
          <w:sz w:val="19"/>
          <w:szCs w:val="19"/>
          <w:lang w:val="es-ES_tradnl"/>
        </w:rPr>
      </w:pPr>
    </w:p>
    <w:p w14:paraId="3A475293"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25.- Los árboles que por causa justificada y previo dictamen técnico forestal autorizado por la Jefatura de Arbolado Urbano, así como contar con el comprobante de pago de contribuciones por el trámite de la autorización, sean removidos de las banquetas o servidumbres se trasplantarán en los espacios que determine la propia Jefatura de Parques y Jardines.</w:t>
      </w:r>
    </w:p>
    <w:p w14:paraId="3A475294" w14:textId="77777777" w:rsidR="009B5E39" w:rsidRDefault="009B5E39" w:rsidP="009B5E39">
      <w:pPr>
        <w:ind w:left="284" w:right="283"/>
        <w:jc w:val="both"/>
        <w:rPr>
          <w:rFonts w:ascii="Gotham" w:hAnsi="Gotham" w:cs="Arial"/>
          <w:color w:val="000000" w:themeColor="text1"/>
          <w:sz w:val="19"/>
          <w:szCs w:val="19"/>
          <w:lang w:val="es-ES_tradnl"/>
        </w:rPr>
      </w:pPr>
    </w:p>
    <w:p w14:paraId="3A475295"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26.- La Dirección promoverá y dará asesoría a las asociaciones vecinales sobre la forma de cómo forestar y reforestar las áreas verdes de su Colonia.</w:t>
      </w:r>
    </w:p>
    <w:p w14:paraId="3A475296" w14:textId="77777777" w:rsidR="009B5E39" w:rsidRDefault="009B5E39" w:rsidP="009B5E39">
      <w:pPr>
        <w:ind w:left="284" w:right="283"/>
        <w:jc w:val="both"/>
        <w:rPr>
          <w:rFonts w:ascii="Gotham" w:hAnsi="Gotham" w:cs="Arial"/>
          <w:color w:val="000000" w:themeColor="text1"/>
          <w:sz w:val="19"/>
          <w:szCs w:val="19"/>
          <w:lang w:val="es-ES_tradnl"/>
        </w:rPr>
      </w:pPr>
    </w:p>
    <w:p w14:paraId="3A475297"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27.- La Dirección promoverá la utilización de lotes baldíos de propiedad particular, previo convenio celebrado con los propietarios y con la participación de la Dirección de Participación Ciudadana y las asociaciones vecinales, para la creación de áreas verdes, viveros o huertos.</w:t>
      </w:r>
    </w:p>
    <w:p w14:paraId="3A475298" w14:textId="77777777" w:rsidR="009B5E39" w:rsidRDefault="009B5E39" w:rsidP="009B5E39">
      <w:pPr>
        <w:ind w:left="284" w:right="283"/>
        <w:jc w:val="both"/>
        <w:rPr>
          <w:rFonts w:ascii="Gotham" w:hAnsi="Gotham" w:cs="Arial"/>
          <w:color w:val="000000" w:themeColor="text1"/>
          <w:sz w:val="19"/>
          <w:szCs w:val="19"/>
          <w:lang w:val="es-ES_tradnl"/>
        </w:rPr>
      </w:pPr>
    </w:p>
    <w:p w14:paraId="3A475299"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28.- Las arborizaciones y reforestaciones deberán procurar adecuar las especies que puedan adaptarse a los espacios físicos existentes y armonizar con el entorno visual del lugar. Si se realizan por particulares, estos deberán contar previamente con la autorización de la Jefatura de Arbolado Urbano la cual determinará la paleta vegetal y el espacio óptimo para la plantación.</w:t>
      </w:r>
    </w:p>
    <w:p w14:paraId="3A47529A" w14:textId="77777777" w:rsidR="009B5E39" w:rsidRDefault="009B5E39" w:rsidP="009B5E39">
      <w:pPr>
        <w:ind w:left="284" w:right="283"/>
        <w:jc w:val="both"/>
        <w:rPr>
          <w:rFonts w:ascii="Gotham" w:hAnsi="Gotham" w:cs="Arial"/>
          <w:color w:val="000000" w:themeColor="text1"/>
          <w:sz w:val="19"/>
          <w:szCs w:val="19"/>
          <w:lang w:val="es-ES_tradnl"/>
        </w:rPr>
      </w:pPr>
    </w:p>
    <w:p w14:paraId="3A47529B"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Artículo 29.- Queda estrictamente prohibido introducir flora y fauna invasora a los </w:t>
      </w:r>
      <w:r w:rsidRPr="001E5957">
        <w:rPr>
          <w:rFonts w:ascii="Gotham" w:hAnsi="Gotham" w:cs="Arial"/>
          <w:sz w:val="19"/>
          <w:szCs w:val="19"/>
        </w:rPr>
        <w:t>bienes de uso común</w:t>
      </w:r>
      <w:r w:rsidRPr="001E5957">
        <w:rPr>
          <w:rFonts w:ascii="Gotham" w:hAnsi="Gotham" w:cs="Arial"/>
          <w:color w:val="000000" w:themeColor="text1"/>
          <w:sz w:val="19"/>
          <w:szCs w:val="19"/>
          <w:lang w:val="es-ES_tradnl"/>
        </w:rPr>
        <w:t>, así como a las Áreas Naturales Protegidas y cuerpos de agua.</w:t>
      </w:r>
    </w:p>
    <w:p w14:paraId="3A47529C" w14:textId="77777777" w:rsidR="009B5E39" w:rsidRDefault="009B5E39" w:rsidP="009B5E39">
      <w:pPr>
        <w:ind w:left="284" w:right="283"/>
        <w:jc w:val="both"/>
        <w:rPr>
          <w:rFonts w:ascii="Gotham" w:hAnsi="Gotham" w:cs="Arial"/>
          <w:color w:val="000000" w:themeColor="text1"/>
          <w:sz w:val="19"/>
          <w:szCs w:val="19"/>
          <w:lang w:val="es-ES_tradnl"/>
        </w:rPr>
      </w:pPr>
    </w:p>
    <w:p w14:paraId="3A47529D"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Artículo 30.- Las cepas o cajetes para plantar árboles en banquetas, flautas y plazas, se determinarán por la Jefatura de Arbolado Urbano en consulta con la Dirección General de Obras Públicas. </w:t>
      </w:r>
    </w:p>
    <w:p w14:paraId="3A47529E" w14:textId="77777777" w:rsidR="009B5E39" w:rsidRDefault="009B5E39" w:rsidP="009B5E39">
      <w:pPr>
        <w:ind w:left="284" w:right="283"/>
        <w:jc w:val="both"/>
        <w:rPr>
          <w:rFonts w:ascii="Gotham" w:hAnsi="Gotham" w:cs="Arial"/>
          <w:color w:val="000000" w:themeColor="text1"/>
          <w:sz w:val="19"/>
          <w:szCs w:val="19"/>
          <w:lang w:val="es-ES_tradnl"/>
        </w:rPr>
      </w:pPr>
    </w:p>
    <w:p w14:paraId="3A47529F"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31. Cuando sea imposible plantar árboles por razones o limitaciones de espacio, se buscará la producción de follaje equivalente con arbustos o plantas que puedan desarrollarse adecuadamente en el sitio.</w:t>
      </w:r>
    </w:p>
    <w:p w14:paraId="3A4752A0" w14:textId="77777777" w:rsidR="009B5E39" w:rsidRDefault="009B5E39" w:rsidP="009B5E39">
      <w:pPr>
        <w:ind w:left="284" w:right="283"/>
        <w:jc w:val="both"/>
        <w:rPr>
          <w:rFonts w:ascii="Gotham" w:hAnsi="Gotham" w:cs="Arial"/>
          <w:color w:val="000000" w:themeColor="text1"/>
          <w:sz w:val="19"/>
          <w:szCs w:val="19"/>
          <w:lang w:val="es-ES_tradnl"/>
        </w:rPr>
      </w:pPr>
    </w:p>
    <w:p w14:paraId="3A4752A1"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2A2" w14:textId="77777777" w:rsidR="009B5E39" w:rsidRPr="001E5957" w:rsidRDefault="009B5E39" w:rsidP="009B5E39">
      <w:pPr>
        <w:ind w:left="284" w:right="283"/>
        <w:jc w:val="center"/>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Capítulo VI</w:t>
      </w:r>
    </w:p>
    <w:p w14:paraId="3A4752A3" w14:textId="77777777" w:rsidR="009B5E39" w:rsidRPr="001E5957" w:rsidRDefault="009B5E39" w:rsidP="009B5E39">
      <w:pPr>
        <w:ind w:left="284" w:right="283"/>
        <w:jc w:val="center"/>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Derribo y Poda de Árboles</w:t>
      </w:r>
    </w:p>
    <w:p w14:paraId="3A4752A4" w14:textId="77777777" w:rsidR="009B5E39" w:rsidRDefault="009B5E39" w:rsidP="009B5E39">
      <w:pPr>
        <w:ind w:left="284" w:right="283"/>
        <w:jc w:val="both"/>
        <w:rPr>
          <w:rFonts w:ascii="Gotham" w:hAnsi="Gotham" w:cs="Arial"/>
          <w:color w:val="000000" w:themeColor="text1"/>
          <w:sz w:val="19"/>
          <w:szCs w:val="19"/>
          <w:lang w:val="es-ES_tradnl"/>
        </w:rPr>
      </w:pPr>
    </w:p>
    <w:p w14:paraId="3A4752A5"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32.- No se le permitirá a la Jefatura realizar derribos de sujetos forestales que no estén secos o se consideren de riesgo en los bienes de uso común, sin la aprobación de la Jefatura de Arbolado Urbano.</w:t>
      </w:r>
    </w:p>
    <w:p w14:paraId="3A4752A6" w14:textId="77777777" w:rsidR="009B5E39" w:rsidRDefault="009B5E39" w:rsidP="009B5E39">
      <w:pPr>
        <w:ind w:left="284" w:right="283"/>
        <w:jc w:val="both"/>
        <w:rPr>
          <w:rFonts w:ascii="Gotham" w:hAnsi="Gotham" w:cs="Arial"/>
          <w:color w:val="000000" w:themeColor="text1"/>
          <w:sz w:val="19"/>
          <w:szCs w:val="19"/>
          <w:lang w:val="es-ES_tradnl"/>
        </w:rPr>
      </w:pPr>
    </w:p>
    <w:p w14:paraId="3A4752A7"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33.- El derribo de árboles en áreas de propiedad municipal solo procederá en los casos siguientes:</w:t>
      </w:r>
    </w:p>
    <w:p w14:paraId="3A4752A8"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2A9" w14:textId="77777777" w:rsidR="009B5E39" w:rsidRPr="001E5957" w:rsidRDefault="009B5E39" w:rsidP="009B5E39">
      <w:pPr>
        <w:pStyle w:val="Prrafodelista"/>
        <w:numPr>
          <w:ilvl w:val="0"/>
          <w:numId w:val="235"/>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Cuando se considere peligroso para la integridad física de personas y bienes;</w:t>
      </w:r>
    </w:p>
    <w:p w14:paraId="3A4752AA" w14:textId="77777777" w:rsidR="009B5E39" w:rsidRPr="001E5957" w:rsidRDefault="009B5E39" w:rsidP="009B5E39">
      <w:pPr>
        <w:pStyle w:val="Prrafodelista"/>
        <w:numPr>
          <w:ilvl w:val="0"/>
          <w:numId w:val="235"/>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Cuando concluya su vida útil;</w:t>
      </w:r>
    </w:p>
    <w:p w14:paraId="3A4752AB" w14:textId="77777777" w:rsidR="009B5E39" w:rsidRPr="001E5957" w:rsidRDefault="009B5E39" w:rsidP="009B5E39">
      <w:pPr>
        <w:pStyle w:val="Prrafodelista"/>
        <w:numPr>
          <w:ilvl w:val="0"/>
          <w:numId w:val="235"/>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Cuando sus raíces o ramas amenacen con destruir las construcciones o deterioren las mismas;</w:t>
      </w:r>
    </w:p>
    <w:p w14:paraId="3A4752AC" w14:textId="77777777" w:rsidR="009B5E39" w:rsidRPr="001E5957" w:rsidRDefault="009B5E39" w:rsidP="009B5E39">
      <w:pPr>
        <w:pStyle w:val="Prrafodelista"/>
        <w:numPr>
          <w:ilvl w:val="0"/>
          <w:numId w:val="235"/>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Por ejecución de obras de utilidad pública; y</w:t>
      </w:r>
    </w:p>
    <w:p w14:paraId="3A4752AD" w14:textId="77777777" w:rsidR="009B5E39" w:rsidRPr="001E5957" w:rsidRDefault="009B5E39" w:rsidP="009B5E39">
      <w:pPr>
        <w:pStyle w:val="Prrafodelista"/>
        <w:numPr>
          <w:ilvl w:val="0"/>
          <w:numId w:val="227"/>
        </w:numPr>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Por otras circunstancias graves a juicio de la Jefatura de Arbolado Urbano.</w:t>
      </w:r>
    </w:p>
    <w:p w14:paraId="3A4752AE" w14:textId="77777777" w:rsidR="009B5E39" w:rsidRDefault="009B5E39" w:rsidP="009B5E39">
      <w:pPr>
        <w:ind w:left="284" w:right="283"/>
        <w:jc w:val="both"/>
        <w:rPr>
          <w:rFonts w:ascii="Gotham" w:hAnsi="Gotham" w:cs="Arial"/>
          <w:color w:val="000000" w:themeColor="text1"/>
          <w:sz w:val="19"/>
          <w:szCs w:val="19"/>
          <w:lang w:val="es-ES_tradnl"/>
        </w:rPr>
      </w:pPr>
    </w:p>
    <w:p w14:paraId="3A4752AF"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Artículo 34.- Cuando se derribe un sujeto forestal sin autorización, que por su clasificación se considera de riesgo en bienes de uso común, se deberá informar a la Jefatura de Arbolado Urbano dentro de las 48 horas, incluyendo evidencia fotográfica y motivos del derribo. </w:t>
      </w:r>
    </w:p>
    <w:p w14:paraId="3A4752B0" w14:textId="77777777" w:rsidR="009B5E39" w:rsidRDefault="009B5E39" w:rsidP="009B5E39">
      <w:pPr>
        <w:ind w:left="284" w:right="283"/>
        <w:jc w:val="both"/>
        <w:rPr>
          <w:rFonts w:ascii="Gotham" w:hAnsi="Gotham" w:cs="Arial"/>
          <w:color w:val="000000" w:themeColor="text1"/>
          <w:sz w:val="19"/>
          <w:szCs w:val="19"/>
          <w:lang w:val="es-ES_tradnl"/>
        </w:rPr>
      </w:pPr>
    </w:p>
    <w:p w14:paraId="3A4752B1"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lastRenderedPageBreak/>
        <w:t>Artículo 35.- Para el derribo o la poda de árboles ubicados en propiedad particular, los interesados deberán presentar una solicitud por escrito según lo establecido en el artículo 201 del Código para la Protección Ambiental, Cambio Climático y Sustentabilidad del Municipio de Tonalá, Jalisco; posteriormente el interesado cubrirá el costo del servicio mediante el pago en la Tesorería Municipal, según el monto contemplado en la Ley de Ingresos Municipales vigente, dependiendo de la altura del árbol y el tipo de servicio que se realiza. Una vez efectuado el pago, la Jefatura de Parques y Jardines programará la realización del servicio.</w:t>
      </w:r>
    </w:p>
    <w:p w14:paraId="3A4752B2" w14:textId="77777777" w:rsidR="009B5E39" w:rsidRDefault="009B5E39" w:rsidP="009B5E39">
      <w:pPr>
        <w:ind w:left="284" w:right="283"/>
        <w:jc w:val="both"/>
        <w:rPr>
          <w:rFonts w:ascii="Gotham" w:hAnsi="Gotham" w:cs="Arial"/>
          <w:color w:val="000000" w:themeColor="text1"/>
          <w:sz w:val="19"/>
          <w:szCs w:val="19"/>
          <w:lang w:val="es-ES_tradnl"/>
        </w:rPr>
      </w:pPr>
    </w:p>
    <w:p w14:paraId="3A4752B3"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36.- Si el derribo o poda se hace en un árbol en propiedad particular, el propietario o poseedor del inmueble proporcionará a la autoridad las facilidades necesarias para la realización del servicio.</w:t>
      </w:r>
    </w:p>
    <w:p w14:paraId="3A4752B4" w14:textId="77777777" w:rsidR="009B5E39" w:rsidRDefault="009B5E39" w:rsidP="009B5E39">
      <w:pPr>
        <w:ind w:left="284" w:right="283"/>
        <w:jc w:val="both"/>
        <w:rPr>
          <w:rFonts w:ascii="Gotham" w:hAnsi="Gotham" w:cs="Arial"/>
          <w:color w:val="000000" w:themeColor="text1"/>
          <w:sz w:val="19"/>
          <w:szCs w:val="19"/>
          <w:lang w:val="es-ES_tradnl"/>
        </w:rPr>
      </w:pPr>
    </w:p>
    <w:p w14:paraId="3A4752B5"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37.- Cuando las circunstancias económicas del solicitante lo justifiquen o se trate de una situación de emergencia, a juicio del Jefe de Parques y Jardines el monto del pago podrá ser considerado.</w:t>
      </w:r>
    </w:p>
    <w:p w14:paraId="3A4752B6" w14:textId="77777777" w:rsidR="009B5E39" w:rsidRDefault="009B5E39" w:rsidP="009B5E39">
      <w:pPr>
        <w:ind w:left="284" w:right="283"/>
        <w:jc w:val="both"/>
        <w:rPr>
          <w:rFonts w:ascii="Gotham" w:hAnsi="Gotham" w:cs="Arial"/>
          <w:color w:val="000000" w:themeColor="text1"/>
          <w:sz w:val="19"/>
          <w:szCs w:val="19"/>
          <w:lang w:val="es-ES_tradnl"/>
        </w:rPr>
      </w:pPr>
    </w:p>
    <w:p w14:paraId="3A4752B7"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38.- El particular también podrá solicitar un permiso para realizar por su cuenta el servicio de poda o derribo, siempre y cuando sea procedente el dictamen técnico forestal de la Jefatura de Arbolado Urbano. En caso de daños y perjuicios causados a terceros en sus bienes o en sus personas, el particular se hace responsable de los mismos.</w:t>
      </w:r>
    </w:p>
    <w:p w14:paraId="3A4752B8" w14:textId="77777777" w:rsidR="009B5E39" w:rsidRDefault="009B5E39" w:rsidP="009B5E39">
      <w:pPr>
        <w:ind w:left="284" w:right="283"/>
        <w:jc w:val="both"/>
        <w:rPr>
          <w:rFonts w:ascii="Gotham" w:hAnsi="Gotham" w:cs="Arial"/>
          <w:color w:val="000000" w:themeColor="text1"/>
          <w:sz w:val="19"/>
          <w:szCs w:val="19"/>
          <w:lang w:val="es-ES_tradnl"/>
        </w:rPr>
      </w:pPr>
    </w:p>
    <w:p w14:paraId="3A4752B9"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39.- Las podas necesarias en árboles cuyas ramas sean menores a 7.50 siete y medio centímetros de diámetro, podrán ser realizadas por los particulares sin requerir el permiso de la Jefatura de Arbolado Urbano, ya que se consideran podas menores o de jardinería.</w:t>
      </w:r>
    </w:p>
    <w:p w14:paraId="3A4752BA" w14:textId="77777777" w:rsidR="009B5E39" w:rsidRDefault="009B5E39" w:rsidP="009B5E39">
      <w:pPr>
        <w:ind w:left="284" w:right="283"/>
        <w:jc w:val="both"/>
        <w:rPr>
          <w:rFonts w:ascii="Gotham" w:hAnsi="Gotham" w:cs="Arial"/>
          <w:color w:val="000000" w:themeColor="text1"/>
          <w:sz w:val="19"/>
          <w:szCs w:val="19"/>
          <w:lang w:val="es-ES_tradnl"/>
        </w:rPr>
      </w:pPr>
    </w:p>
    <w:p w14:paraId="3A4752BB"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40.- Cuando las ramas sean mayores al diámetro de 7.50 siete y medio centímetros de diámetro, el procedimiento a seguir para la poda será el establecido en el artículo 201 del Código para la Protección Ambiental, Cambio Climático y Sustentabilidad del Municipio de Tonalá, Jalisco.</w:t>
      </w:r>
    </w:p>
    <w:p w14:paraId="3A4752BC" w14:textId="77777777" w:rsidR="009B5E39" w:rsidRDefault="009B5E39" w:rsidP="009B5E39">
      <w:pPr>
        <w:ind w:left="284" w:right="283"/>
        <w:jc w:val="both"/>
        <w:rPr>
          <w:rFonts w:ascii="Gotham" w:hAnsi="Gotham" w:cs="Arial"/>
          <w:color w:val="000000" w:themeColor="text1"/>
          <w:sz w:val="19"/>
          <w:szCs w:val="19"/>
          <w:lang w:val="es-ES_tradnl"/>
        </w:rPr>
      </w:pPr>
    </w:p>
    <w:p w14:paraId="3A4752BD"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41.- Cuando sea derribado un árbol, el particular deberá quitar el tocón o cepellón; asimismo deberá plantar otro en su lugar, contemplando el porte máximo de la especie a plantar, así como el tamaño de cepa o cajete.</w:t>
      </w:r>
    </w:p>
    <w:p w14:paraId="3A4752BE" w14:textId="77777777" w:rsidR="009B5E39" w:rsidRDefault="009B5E39" w:rsidP="009B5E39">
      <w:pPr>
        <w:ind w:left="284" w:right="283"/>
        <w:jc w:val="both"/>
        <w:rPr>
          <w:rFonts w:ascii="Gotham" w:hAnsi="Gotham" w:cs="Arial"/>
          <w:color w:val="000000" w:themeColor="text1"/>
          <w:sz w:val="19"/>
          <w:szCs w:val="19"/>
          <w:lang w:val="es-ES_tradnl"/>
        </w:rPr>
      </w:pPr>
    </w:p>
    <w:p w14:paraId="3A4752BF"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42.- Cualquier ciudadano podrá contratar los servicios de poda y de derribo a las personas físicas o morales que se den de alta en el registro del Ayuntamiento y cuenten con el personal necesario, equipo, así como con capacidad económica para garantizar mediante una fianza cualquier daño ocasionado por la realización del servicio.</w:t>
      </w:r>
      <w:r w:rsidRPr="001E5957">
        <w:rPr>
          <w:rFonts w:ascii="Gotham" w:hAnsi="Gotham" w:cs="Arial"/>
          <w:color w:val="2E74B5" w:themeColor="accent1" w:themeShade="BF"/>
          <w:sz w:val="19"/>
          <w:szCs w:val="19"/>
          <w:lang w:val="es-ES_tradnl"/>
        </w:rPr>
        <w:t xml:space="preserve"> </w:t>
      </w:r>
    </w:p>
    <w:p w14:paraId="3A4752C0" w14:textId="77777777" w:rsidR="009B5E39" w:rsidRDefault="009B5E39" w:rsidP="009B5E39">
      <w:pPr>
        <w:ind w:left="284" w:right="283"/>
        <w:jc w:val="both"/>
        <w:rPr>
          <w:rFonts w:ascii="Gotham" w:hAnsi="Gotham" w:cs="Arial"/>
          <w:color w:val="000000" w:themeColor="text1"/>
          <w:sz w:val="19"/>
          <w:szCs w:val="19"/>
          <w:lang w:val="es-ES_tradnl"/>
        </w:rPr>
      </w:pPr>
    </w:p>
    <w:p w14:paraId="3A4752C1"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43.- Los terceros contratados en los términos del artículo que antecede deberán efectuar la poda o derribo ajustándose a las disposiciones, lineamientos y supervisión técnica de la Jefatura, siendo además responsables ante el Ayuntamiento y los particulares de los daños y perjuicios que ocasionen en el desarrollo de su servicio, tanto en los espacios públicos y en los privados.</w:t>
      </w:r>
    </w:p>
    <w:p w14:paraId="3A4752C2" w14:textId="77777777" w:rsidR="009B5E39" w:rsidRDefault="009B5E39" w:rsidP="009B5E39">
      <w:pPr>
        <w:ind w:left="284" w:right="283"/>
        <w:jc w:val="both"/>
        <w:rPr>
          <w:rFonts w:ascii="Gotham" w:hAnsi="Gotham" w:cs="Arial"/>
          <w:color w:val="000000" w:themeColor="text1"/>
          <w:sz w:val="19"/>
          <w:szCs w:val="19"/>
          <w:lang w:val="es-ES_tradnl"/>
        </w:rPr>
      </w:pPr>
    </w:p>
    <w:p w14:paraId="3A4752C3"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44.- Las entidades de carácter público o privado deberán solicitar a la Jefatura de Arbolado Urbano que otorgue permiso cuando se haga necesario efectuar poda o derribo de árboles, en los términos que establece el Código para la Protección Ambiental, Cambio Climático y Sustentabilidad del Municipio de Tonalá, Jalisco, para la introducción y/o mantenimiento del servicio que presten, siendo responsables estas entidades ante el Ayuntamiento de los daños y perjuicios que se ocasionen en el desarrollo del servicio. Asimismo, tienen la obligación de informar y solicitar autorización a la misma Jefatura de Arbolado Urbano cuando por el carácter del servicio prestado, se ven afectadas las raíces de determinados árboles y por lo mismo los pongan en peligro de caer. Estas entidades deberán demostrar su capacidad técnica en la realización de los trabajos a ejecutar, debiendo ajustarse a las disposiciones y lineamientos que indique la Jefatura de Arbolado Urbano, así como la supervisión técnica de la Jefatura respecto al dictamen técnico forestal que se emita.</w:t>
      </w:r>
    </w:p>
    <w:p w14:paraId="3A4752C4" w14:textId="77777777" w:rsidR="009B5E39" w:rsidRDefault="009B5E39" w:rsidP="009B5E39">
      <w:pPr>
        <w:ind w:left="284" w:right="283"/>
        <w:jc w:val="both"/>
        <w:rPr>
          <w:rFonts w:ascii="Gotham" w:hAnsi="Gotham" w:cs="Arial"/>
          <w:color w:val="000000" w:themeColor="text1"/>
          <w:sz w:val="19"/>
          <w:szCs w:val="19"/>
          <w:lang w:val="es-ES_tradnl"/>
        </w:rPr>
      </w:pPr>
    </w:p>
    <w:p w14:paraId="3A4752C5"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lastRenderedPageBreak/>
        <w:t>Artículo 45. La madera resultante del derribo o poda de los árboles independientemente de quien realice los servicios, será propiedad municipal y se canalizará por conducto de la Jefatura, quien determinará su utilización procurando canalizarlo para obras de utilidad pública en el Municipio; en caso de que se comercialicen, su producto ingresará a las arcas municipales.</w:t>
      </w:r>
    </w:p>
    <w:p w14:paraId="3A4752C6" w14:textId="77777777" w:rsidR="009B5E39" w:rsidRDefault="009B5E39" w:rsidP="009B5E39">
      <w:pPr>
        <w:ind w:left="284" w:right="283"/>
        <w:jc w:val="both"/>
        <w:rPr>
          <w:rFonts w:ascii="Gotham" w:hAnsi="Gotham" w:cs="Arial"/>
          <w:color w:val="000000" w:themeColor="text1"/>
          <w:sz w:val="19"/>
          <w:szCs w:val="19"/>
          <w:lang w:val="es-ES_tradnl"/>
        </w:rPr>
      </w:pPr>
    </w:p>
    <w:p w14:paraId="3A4752C7"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2C8" w14:textId="77777777" w:rsidR="009B5E39" w:rsidRPr="001E5957" w:rsidRDefault="009B5E39" w:rsidP="009B5E39">
      <w:pPr>
        <w:ind w:left="284" w:right="283"/>
        <w:jc w:val="center"/>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Capítulo VII</w:t>
      </w:r>
    </w:p>
    <w:p w14:paraId="3A4752C9" w14:textId="77777777" w:rsidR="009B5E39" w:rsidRPr="001E5957" w:rsidRDefault="009B5E39" w:rsidP="009B5E39">
      <w:pPr>
        <w:ind w:left="284" w:right="283"/>
        <w:jc w:val="center"/>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De las Infracciones y Sanciones</w:t>
      </w:r>
    </w:p>
    <w:p w14:paraId="3A4752CA" w14:textId="77777777" w:rsidR="009B5E39" w:rsidRDefault="009B5E39" w:rsidP="009B5E39">
      <w:pPr>
        <w:ind w:left="284" w:right="283"/>
        <w:jc w:val="both"/>
        <w:rPr>
          <w:rFonts w:ascii="Gotham" w:hAnsi="Gotham" w:cs="Arial"/>
          <w:color w:val="000000" w:themeColor="text1"/>
          <w:sz w:val="19"/>
          <w:szCs w:val="19"/>
          <w:lang w:val="es-ES_tradnl"/>
        </w:rPr>
      </w:pPr>
    </w:p>
    <w:p w14:paraId="3A4752CB"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Artículo 46. Toda persona física o moral, grupos sociales, instituciones públicas o privadas, podrán denunciar ante la Dirección General de Inspección de Reglamentos, Jefatura de Inspección de Ecología, Jefatura de Arbolado Urbano o ante la Jefatura de Parques y Jardines, todo tipo de irregularidades que afecten y se cometan en contra de las áreas verdes y la vegetación en general, dentro del Municipio. </w:t>
      </w:r>
    </w:p>
    <w:p w14:paraId="3A4752CC" w14:textId="77777777" w:rsidR="009B5E39" w:rsidRDefault="009B5E39" w:rsidP="009B5E39">
      <w:pPr>
        <w:ind w:left="284" w:right="283"/>
        <w:jc w:val="both"/>
        <w:rPr>
          <w:rFonts w:ascii="Gotham" w:hAnsi="Gotham" w:cs="Arial"/>
          <w:color w:val="000000" w:themeColor="text1"/>
          <w:sz w:val="19"/>
          <w:szCs w:val="19"/>
          <w:lang w:val="es-ES_tradnl"/>
        </w:rPr>
      </w:pPr>
    </w:p>
    <w:p w14:paraId="3A4752CD"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47.- Constituyen infracciones al presente Reglamento:</w:t>
      </w:r>
    </w:p>
    <w:p w14:paraId="3A4752CE"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2CF" w14:textId="77777777" w:rsidR="009B5E39" w:rsidRPr="001E5957" w:rsidRDefault="009B5E39" w:rsidP="009B5E39">
      <w:pPr>
        <w:pStyle w:val="Prrafodelista"/>
        <w:numPr>
          <w:ilvl w:val="0"/>
          <w:numId w:val="228"/>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Dañar o cortar plantas o flores de los lugares de uso público;</w:t>
      </w:r>
    </w:p>
    <w:p w14:paraId="3A4752D0" w14:textId="77777777" w:rsidR="009B5E39" w:rsidRPr="001E5957" w:rsidRDefault="009B5E39" w:rsidP="009B5E39">
      <w:pPr>
        <w:pStyle w:val="Prrafodelista"/>
        <w:numPr>
          <w:ilvl w:val="0"/>
          <w:numId w:val="228"/>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Pintar, rayar y pegar publicidad comercial o de otra índole en árboles, equipamiento, monumentos o cualquier otro elemento arquitectónico de los parques y jardines;</w:t>
      </w:r>
    </w:p>
    <w:p w14:paraId="3A4752D1" w14:textId="77777777" w:rsidR="009B5E39" w:rsidRPr="001E5957" w:rsidRDefault="009B5E39" w:rsidP="009B5E39">
      <w:pPr>
        <w:pStyle w:val="Prrafodelista"/>
        <w:numPr>
          <w:ilvl w:val="0"/>
          <w:numId w:val="228"/>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Talar o podar cualquier árbol, en propiedad municipal o particular, sin la autorización correspondiente, cuando sea esta necesaria en los términos de este Reglamento;</w:t>
      </w:r>
    </w:p>
    <w:p w14:paraId="3A4752D2" w14:textId="77777777" w:rsidR="009B5E39" w:rsidRPr="001E5957" w:rsidRDefault="009B5E39" w:rsidP="009B5E39">
      <w:pPr>
        <w:pStyle w:val="Prrafodelista"/>
        <w:numPr>
          <w:ilvl w:val="0"/>
          <w:numId w:val="228"/>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Quemar y cortar los árboles;</w:t>
      </w:r>
    </w:p>
    <w:p w14:paraId="3A4752D3" w14:textId="77777777" w:rsidR="009B5E39" w:rsidRPr="001E5957" w:rsidRDefault="009B5E39" w:rsidP="009B5E39">
      <w:pPr>
        <w:pStyle w:val="Prrafodelista"/>
        <w:numPr>
          <w:ilvl w:val="0"/>
          <w:numId w:val="228"/>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Agregar cualquier producto tóxico o sustancia química que dañe, lesione o destruya las áreas verdes;</w:t>
      </w:r>
    </w:p>
    <w:p w14:paraId="3A4752D4" w14:textId="77777777" w:rsidR="009B5E39" w:rsidRPr="001E5957" w:rsidRDefault="009B5E39" w:rsidP="009B5E39">
      <w:pPr>
        <w:pStyle w:val="Prrafodelista"/>
        <w:numPr>
          <w:ilvl w:val="0"/>
          <w:numId w:val="228"/>
        </w:numPr>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Cualquier otra violación a lo dispuesto por el presente Reglamento y el Código para la Protección Ambiental, Cambio Climático y Sustentabilidad del Municipio de Tonalá, Jalisco. </w:t>
      </w:r>
    </w:p>
    <w:p w14:paraId="3A4752D5" w14:textId="77777777" w:rsidR="009B5E39" w:rsidRDefault="009B5E39" w:rsidP="009B5E39">
      <w:pPr>
        <w:ind w:left="284" w:right="283"/>
        <w:jc w:val="both"/>
        <w:rPr>
          <w:rFonts w:ascii="Gotham" w:hAnsi="Gotham" w:cs="Arial"/>
          <w:color w:val="000000" w:themeColor="text1"/>
          <w:sz w:val="19"/>
          <w:szCs w:val="19"/>
          <w:lang w:val="es-ES_tradnl"/>
        </w:rPr>
      </w:pPr>
    </w:p>
    <w:p w14:paraId="3A4752D6"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48.- Queda estrictamente prohibido dañar las áreas verdes, juegos infantiles, obra civil y arquitectónica, fuentes, monumentos y demás accesorios de las Plazas, Parques y Jardines Públicos.</w:t>
      </w:r>
    </w:p>
    <w:p w14:paraId="3A4752D7" w14:textId="77777777" w:rsidR="009B5E39" w:rsidRDefault="009B5E39" w:rsidP="009B5E39">
      <w:pPr>
        <w:ind w:left="284" w:right="283"/>
        <w:jc w:val="both"/>
        <w:rPr>
          <w:rFonts w:ascii="Gotham" w:hAnsi="Gotham" w:cs="Arial"/>
          <w:color w:val="000000" w:themeColor="text1"/>
          <w:sz w:val="19"/>
          <w:szCs w:val="19"/>
          <w:lang w:val="es-ES_tradnl"/>
        </w:rPr>
      </w:pPr>
    </w:p>
    <w:p w14:paraId="3A4752D8"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49.- A los infractores del presente Reglamento se les impondrán las siguientes sanciones:</w:t>
      </w:r>
    </w:p>
    <w:p w14:paraId="3A4752D9"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2DA" w14:textId="77777777" w:rsidR="009B5E39" w:rsidRPr="001E5957" w:rsidRDefault="009B5E39" w:rsidP="009B5E39">
      <w:pPr>
        <w:pStyle w:val="Prrafodelista"/>
        <w:numPr>
          <w:ilvl w:val="0"/>
          <w:numId w:val="229"/>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Si se trata de un servidor público será aplicable la Ley de Responsabilidades de los Servidores Públicos del Estado de Jalisco;</w:t>
      </w:r>
    </w:p>
    <w:p w14:paraId="3A4752DB" w14:textId="77777777" w:rsidR="009B5E39" w:rsidRPr="001E5957" w:rsidRDefault="009B5E39" w:rsidP="009B5E39">
      <w:pPr>
        <w:pStyle w:val="Prrafodelista"/>
        <w:numPr>
          <w:ilvl w:val="0"/>
          <w:numId w:val="229"/>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Si el infractor es un particular le serán aplicables, las siguientes sanciones:</w:t>
      </w:r>
    </w:p>
    <w:p w14:paraId="3A4752DC" w14:textId="77777777" w:rsidR="009B5E39" w:rsidRPr="001E5957" w:rsidRDefault="009B5E39" w:rsidP="009B5E39">
      <w:pPr>
        <w:pStyle w:val="Prrafodelista"/>
        <w:numPr>
          <w:ilvl w:val="0"/>
          <w:numId w:val="232"/>
        </w:numPr>
        <w:spacing w:after="12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Amonestación privada o pública en su caso;</w:t>
      </w:r>
    </w:p>
    <w:p w14:paraId="3A4752DD" w14:textId="77777777" w:rsidR="009B5E39" w:rsidRPr="001E5957" w:rsidRDefault="009B5E39" w:rsidP="009B5E39">
      <w:pPr>
        <w:pStyle w:val="Prrafodelista"/>
        <w:numPr>
          <w:ilvl w:val="0"/>
          <w:numId w:val="232"/>
        </w:numPr>
        <w:spacing w:after="12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Multa que prevea la Ley de Ingresos vigente del ejercicio fiscal del que se trate y lo que establezca el Código para la Protección Ambiental, Cambio Climático y Sustentabilidad del Municipio de Tonalá, Jalisco; </w:t>
      </w:r>
    </w:p>
    <w:p w14:paraId="3A4752DE" w14:textId="77777777" w:rsidR="009B5E39" w:rsidRPr="001E5957" w:rsidRDefault="009B5E39" w:rsidP="009B5E39">
      <w:pPr>
        <w:pStyle w:val="Prrafodelista"/>
        <w:numPr>
          <w:ilvl w:val="0"/>
          <w:numId w:val="232"/>
        </w:numPr>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Arresto administrativo hasta por 36 horas.</w:t>
      </w:r>
    </w:p>
    <w:p w14:paraId="3A4752DF" w14:textId="77777777" w:rsidR="009B5E39" w:rsidRDefault="009B5E39" w:rsidP="009B5E39">
      <w:pPr>
        <w:ind w:left="284" w:right="283"/>
        <w:jc w:val="both"/>
        <w:rPr>
          <w:rFonts w:ascii="Gotham" w:hAnsi="Gotham" w:cs="Arial"/>
          <w:color w:val="000000" w:themeColor="text1"/>
          <w:sz w:val="19"/>
          <w:szCs w:val="19"/>
          <w:lang w:val="es-ES_tradnl"/>
        </w:rPr>
      </w:pPr>
    </w:p>
    <w:p w14:paraId="3A4752E0"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50. Para imponer las sanciones a que se refiere el artículo anterior, se tomará en consideración lo siguiente:</w:t>
      </w:r>
    </w:p>
    <w:p w14:paraId="3A4752E1"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2E2" w14:textId="77777777" w:rsidR="009B5E39" w:rsidRPr="001E5957" w:rsidRDefault="009B5E39" w:rsidP="009B5E39">
      <w:pPr>
        <w:pStyle w:val="Prrafodelista"/>
        <w:numPr>
          <w:ilvl w:val="0"/>
          <w:numId w:val="230"/>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La gravedad de la infracción;</w:t>
      </w:r>
    </w:p>
    <w:p w14:paraId="3A4752E3" w14:textId="77777777" w:rsidR="009B5E39" w:rsidRPr="001E5957" w:rsidRDefault="009B5E39" w:rsidP="009B5E39">
      <w:pPr>
        <w:pStyle w:val="Prrafodelista"/>
        <w:numPr>
          <w:ilvl w:val="0"/>
          <w:numId w:val="230"/>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Si la infracción se cometió respecto de un árbol:</w:t>
      </w:r>
    </w:p>
    <w:p w14:paraId="3A4752E4" w14:textId="77777777" w:rsidR="009B5E39" w:rsidRPr="001E5957" w:rsidRDefault="009B5E39" w:rsidP="009B5E39">
      <w:pPr>
        <w:pStyle w:val="Prrafodelista"/>
        <w:numPr>
          <w:ilvl w:val="1"/>
          <w:numId w:val="231"/>
        </w:numPr>
        <w:spacing w:after="8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Su edad, tamaño y calidad estética; </w:t>
      </w:r>
    </w:p>
    <w:p w14:paraId="3A4752E5" w14:textId="77777777" w:rsidR="009B5E39" w:rsidRPr="001E5957" w:rsidRDefault="009B5E39" w:rsidP="009B5E39">
      <w:pPr>
        <w:pStyle w:val="Prrafodelista"/>
        <w:numPr>
          <w:ilvl w:val="1"/>
          <w:numId w:val="231"/>
        </w:numPr>
        <w:spacing w:after="8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lastRenderedPageBreak/>
        <w:t>La calidad histórica que pueda tener;</w:t>
      </w:r>
    </w:p>
    <w:p w14:paraId="3A4752E6" w14:textId="77777777" w:rsidR="009B5E39" w:rsidRPr="001E5957" w:rsidRDefault="009B5E39" w:rsidP="009B5E39">
      <w:pPr>
        <w:pStyle w:val="Prrafodelista"/>
        <w:numPr>
          <w:ilvl w:val="1"/>
          <w:numId w:val="231"/>
        </w:numPr>
        <w:spacing w:after="8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La importancia que tenga como mejorador del ambiente;</w:t>
      </w:r>
    </w:p>
    <w:p w14:paraId="3A4752E7" w14:textId="77777777" w:rsidR="009B5E39" w:rsidRPr="001E5957" w:rsidRDefault="009B5E39" w:rsidP="009B5E39">
      <w:pPr>
        <w:pStyle w:val="Prrafodelista"/>
        <w:numPr>
          <w:ilvl w:val="1"/>
          <w:numId w:val="231"/>
        </w:numPr>
        <w:spacing w:after="8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Las labores realizadas en la plantación y conservación del mismo; </w:t>
      </w:r>
    </w:p>
    <w:p w14:paraId="3A4752E8" w14:textId="77777777" w:rsidR="009B5E39" w:rsidRPr="001E5957" w:rsidRDefault="009B5E39" w:rsidP="009B5E39">
      <w:pPr>
        <w:pStyle w:val="Prrafodelista"/>
        <w:numPr>
          <w:ilvl w:val="1"/>
          <w:numId w:val="231"/>
        </w:numPr>
        <w:spacing w:after="12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La influencia que el daño tenga en la longevidad del árbol;</w:t>
      </w:r>
    </w:p>
    <w:p w14:paraId="3A4752E9" w14:textId="77777777" w:rsidR="009B5E39" w:rsidRPr="001E5957" w:rsidRDefault="009B5E39" w:rsidP="009B5E39">
      <w:pPr>
        <w:pStyle w:val="Prrafodelista"/>
        <w:numPr>
          <w:ilvl w:val="0"/>
          <w:numId w:val="230"/>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Si la infracción se cometió en áreas verdes:</w:t>
      </w:r>
    </w:p>
    <w:p w14:paraId="3A4752EA" w14:textId="77777777" w:rsidR="009B5E39" w:rsidRPr="001E5957" w:rsidRDefault="009B5E39" w:rsidP="009B5E39">
      <w:pPr>
        <w:pStyle w:val="Prrafodelista"/>
        <w:numPr>
          <w:ilvl w:val="1"/>
          <w:numId w:val="233"/>
        </w:numPr>
        <w:spacing w:after="8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La superficie afectada;</w:t>
      </w:r>
    </w:p>
    <w:p w14:paraId="3A4752EB" w14:textId="77777777" w:rsidR="009B5E39" w:rsidRPr="001E5957" w:rsidRDefault="009B5E39" w:rsidP="009B5E39">
      <w:pPr>
        <w:pStyle w:val="Prrafodelista"/>
        <w:numPr>
          <w:ilvl w:val="1"/>
          <w:numId w:val="233"/>
        </w:numPr>
        <w:spacing w:after="8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Si se trata de plantas de difícil reproducción o exóticas;</w:t>
      </w:r>
    </w:p>
    <w:p w14:paraId="3A4752EC" w14:textId="77777777" w:rsidR="009B5E39" w:rsidRPr="001E5957" w:rsidRDefault="009B5E39" w:rsidP="009B5E39">
      <w:pPr>
        <w:pStyle w:val="Prrafodelista"/>
        <w:numPr>
          <w:ilvl w:val="1"/>
          <w:numId w:val="233"/>
        </w:numPr>
        <w:spacing w:after="12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Que sean plantas o material vegetativo, que no se cultiven en los viveros municipales;</w:t>
      </w:r>
    </w:p>
    <w:p w14:paraId="3A4752ED" w14:textId="77777777" w:rsidR="009B5E39" w:rsidRPr="001E5957" w:rsidRDefault="009B5E39" w:rsidP="009B5E39">
      <w:pPr>
        <w:pStyle w:val="Prrafodelista"/>
        <w:numPr>
          <w:ilvl w:val="0"/>
          <w:numId w:val="230"/>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El dolo o la mala fe con que hubiera realizado la infracción;</w:t>
      </w:r>
    </w:p>
    <w:p w14:paraId="3A4752EE" w14:textId="77777777" w:rsidR="009B5E39" w:rsidRPr="001E5957" w:rsidRDefault="009B5E39" w:rsidP="009B5E39">
      <w:pPr>
        <w:pStyle w:val="Prrafodelista"/>
        <w:numPr>
          <w:ilvl w:val="0"/>
          <w:numId w:val="230"/>
        </w:numPr>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La situación socioeconómica y nivel cultural del infractor.</w:t>
      </w:r>
    </w:p>
    <w:p w14:paraId="3A4752EF" w14:textId="77777777" w:rsidR="009B5E39" w:rsidRDefault="009B5E39" w:rsidP="009B5E39">
      <w:pPr>
        <w:ind w:left="284" w:right="283"/>
        <w:jc w:val="both"/>
        <w:rPr>
          <w:rFonts w:ascii="Gotham" w:hAnsi="Gotham" w:cs="Arial"/>
          <w:color w:val="000000" w:themeColor="text1"/>
          <w:sz w:val="19"/>
          <w:szCs w:val="19"/>
          <w:lang w:val="es-ES_tradnl"/>
        </w:rPr>
      </w:pPr>
    </w:p>
    <w:p w14:paraId="3A4752F0"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51. Tratándose de la gravedad de la infracción a que se refiere la fracción I del artículo anterior, se determinará valorando las siguientes consecuencias:</w:t>
      </w:r>
    </w:p>
    <w:p w14:paraId="3A4752F1"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2F2" w14:textId="77777777" w:rsidR="009B5E39" w:rsidRPr="001E5957" w:rsidRDefault="009B5E39" w:rsidP="009B5E39">
      <w:pPr>
        <w:pStyle w:val="Prrafodelista"/>
        <w:numPr>
          <w:ilvl w:val="0"/>
          <w:numId w:val="234"/>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Cuando el daño definitivamente cause la muerte del árbol, arbusto, o vegetación teniendo que ser retirado;</w:t>
      </w:r>
    </w:p>
    <w:p w14:paraId="3A4752F3" w14:textId="77777777" w:rsidR="009B5E39" w:rsidRPr="001E5957" w:rsidRDefault="009B5E39" w:rsidP="009B5E39">
      <w:pPr>
        <w:pStyle w:val="Prrafodelista"/>
        <w:numPr>
          <w:ilvl w:val="0"/>
          <w:numId w:val="234"/>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Cuando el daño ponga en peligro la vida del árbol, arbusto o vegetación y eventualmente ocasione su eliminación;</w:t>
      </w:r>
    </w:p>
    <w:p w14:paraId="3A4752F4" w14:textId="77777777" w:rsidR="009B5E39" w:rsidRPr="001E5957" w:rsidRDefault="009B5E39" w:rsidP="009B5E39">
      <w:pPr>
        <w:pStyle w:val="Prrafodelista"/>
        <w:numPr>
          <w:ilvl w:val="0"/>
          <w:numId w:val="234"/>
        </w:numPr>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Cuando el daño no ponga en peligro la vida del árbol, arbusto o vegetación, pero retarda su crecimiento o desarrollo normal.</w:t>
      </w:r>
    </w:p>
    <w:p w14:paraId="3A4752F5" w14:textId="77777777" w:rsidR="009B5E39" w:rsidRDefault="009B5E39" w:rsidP="009B5E39">
      <w:pPr>
        <w:ind w:left="284" w:right="283"/>
        <w:jc w:val="both"/>
        <w:rPr>
          <w:rFonts w:ascii="Gotham" w:hAnsi="Gotham" w:cs="Arial"/>
          <w:color w:val="000000" w:themeColor="text1"/>
          <w:sz w:val="19"/>
          <w:szCs w:val="19"/>
          <w:lang w:val="es-ES_tradnl"/>
        </w:rPr>
      </w:pPr>
    </w:p>
    <w:p w14:paraId="3A4752F6"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52.- Las sanciones a que se refieren en el presente ordenamiento se aplicarán sin perjuicio de la obligación que tiene el infractor de reparar el daño que se haya ocasionado o de cualquier otra responsabilidad.</w:t>
      </w:r>
    </w:p>
    <w:p w14:paraId="3A4752F7" w14:textId="77777777" w:rsidR="009B5E39" w:rsidRDefault="009B5E39" w:rsidP="009B5E39">
      <w:pPr>
        <w:ind w:left="284" w:right="283"/>
        <w:jc w:val="both"/>
        <w:rPr>
          <w:rFonts w:ascii="Gotham" w:hAnsi="Gotham" w:cs="Arial"/>
          <w:color w:val="000000" w:themeColor="text1"/>
          <w:sz w:val="19"/>
          <w:szCs w:val="19"/>
          <w:lang w:val="es-ES_tradnl"/>
        </w:rPr>
      </w:pPr>
    </w:p>
    <w:p w14:paraId="3A4752F8"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53.- En los casos que el infractor no cubriera la multa que se le hubiere impuesto, se permutará ésta por el arresto correspondiente, que no excederá en ningún caso de treinta y seis horas. Si el infractor fuese jornalero, obrero o trabajador, no podrá ser sancionado con multa mayor del importe de su jornal o salario de un día y tratándose de trabajadores no asalariados, la multa no excederá del equivalente a un día de su ingreso.</w:t>
      </w:r>
    </w:p>
    <w:p w14:paraId="3A4752F9" w14:textId="77777777" w:rsidR="009B5E39" w:rsidRPr="001E5957" w:rsidRDefault="009B5E39" w:rsidP="009B5E39">
      <w:pPr>
        <w:ind w:left="284" w:right="283"/>
        <w:jc w:val="both"/>
        <w:rPr>
          <w:rFonts w:ascii="Gotham" w:hAnsi="Gotham" w:cs="Arial"/>
          <w:b/>
          <w:bCs/>
          <w:color w:val="000000" w:themeColor="text1"/>
          <w:sz w:val="19"/>
          <w:szCs w:val="19"/>
          <w:lang w:val="es-ES_tradnl"/>
        </w:rPr>
      </w:pPr>
    </w:p>
    <w:p w14:paraId="3A4752FA" w14:textId="77777777" w:rsidR="009B5E39" w:rsidRPr="001E5957" w:rsidRDefault="009B5E39" w:rsidP="009B5E39">
      <w:pPr>
        <w:ind w:left="284" w:right="283"/>
        <w:jc w:val="both"/>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ANEXO TÉCNICO</w:t>
      </w:r>
    </w:p>
    <w:p w14:paraId="3A4752FB" w14:textId="77777777" w:rsidR="009B5E39" w:rsidRDefault="009B5E39" w:rsidP="009B5E39">
      <w:pPr>
        <w:ind w:left="284" w:right="283"/>
        <w:jc w:val="both"/>
        <w:rPr>
          <w:rFonts w:ascii="Gotham" w:hAnsi="Gotham" w:cs="Arial"/>
          <w:b/>
          <w:bCs/>
          <w:color w:val="000000" w:themeColor="text1"/>
          <w:sz w:val="19"/>
          <w:szCs w:val="19"/>
          <w:lang w:val="es-ES_tradnl"/>
        </w:rPr>
      </w:pPr>
    </w:p>
    <w:p w14:paraId="3A4752FC" w14:textId="77777777" w:rsidR="009B5E39" w:rsidRPr="001E5957" w:rsidRDefault="009B5E39" w:rsidP="009B5E39">
      <w:pPr>
        <w:ind w:left="284" w:right="283"/>
        <w:jc w:val="both"/>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Recomendaciones para Cajetes</w:t>
      </w:r>
    </w:p>
    <w:p w14:paraId="3A4752FD" w14:textId="77777777" w:rsidR="009B5E39" w:rsidRDefault="009B5E39" w:rsidP="009B5E39">
      <w:pPr>
        <w:ind w:left="284" w:right="283"/>
        <w:jc w:val="both"/>
        <w:rPr>
          <w:rFonts w:ascii="Gotham" w:hAnsi="Gotham" w:cs="Arial"/>
          <w:color w:val="000000" w:themeColor="text1"/>
          <w:sz w:val="19"/>
          <w:szCs w:val="19"/>
          <w:lang w:val="es-ES_tradnl"/>
        </w:rPr>
      </w:pPr>
    </w:p>
    <w:p w14:paraId="3A4752FE"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1.- En caso de que se haga necesario resguardar un árbol con un cajete, este deberá tener como mínimo 30 treinta centímetros de profundidad, y estar hecho de concreto para evitar daños a la banqueta y pavimento de la calle. Si la variedad del árbol lo requiere deberá tener mayor profundidad y acompañarse de tubo vertical de PVC, fierro o cemento, mismo que se colocará entre 30 treinta y 40 cuarenta centímetros paralelos al árbol, según la especie de que se trate, debiendo tener un mínimo de 2" de diámetro y un metro de profundidad, agregándose grava u otro material semejante para lograr un riego más profundo y así inducir a las raíces a desarrollarse hacia abajo y no hacia la superficie.</w:t>
      </w:r>
    </w:p>
    <w:p w14:paraId="3A4752FF" w14:textId="77777777" w:rsidR="009B5E39" w:rsidRDefault="009B5E39" w:rsidP="009B5E39">
      <w:pPr>
        <w:ind w:left="284" w:right="283"/>
        <w:jc w:val="both"/>
        <w:rPr>
          <w:rFonts w:ascii="Gotham" w:hAnsi="Gotham" w:cs="Arial"/>
          <w:b/>
          <w:bCs/>
          <w:color w:val="000000" w:themeColor="text1"/>
          <w:sz w:val="19"/>
          <w:szCs w:val="19"/>
          <w:lang w:val="es-ES_tradnl"/>
        </w:rPr>
      </w:pPr>
    </w:p>
    <w:p w14:paraId="3A475300" w14:textId="77777777" w:rsidR="009B5E39" w:rsidRPr="001E5957" w:rsidRDefault="009B5E39" w:rsidP="009B5E39">
      <w:pPr>
        <w:ind w:left="284" w:right="283"/>
        <w:jc w:val="both"/>
        <w:rPr>
          <w:rFonts w:ascii="Gotham" w:hAnsi="Gotham" w:cs="Arial"/>
          <w:b/>
          <w:bCs/>
          <w:color w:val="000000" w:themeColor="text1"/>
          <w:sz w:val="19"/>
          <w:szCs w:val="19"/>
          <w:lang w:val="es-ES_tradnl"/>
        </w:rPr>
      </w:pPr>
      <w:r w:rsidRPr="001E5957">
        <w:rPr>
          <w:rFonts w:ascii="Gotham" w:hAnsi="Gotham" w:cs="Arial"/>
          <w:b/>
          <w:bCs/>
          <w:color w:val="000000" w:themeColor="text1"/>
          <w:sz w:val="19"/>
          <w:szCs w:val="19"/>
          <w:lang w:val="es-ES_tradnl"/>
        </w:rPr>
        <w:t>De las plantaciones</w:t>
      </w:r>
    </w:p>
    <w:p w14:paraId="3A475301" w14:textId="77777777" w:rsidR="009B5E39" w:rsidRDefault="009B5E39" w:rsidP="009B5E39">
      <w:pPr>
        <w:ind w:left="284" w:right="283"/>
        <w:jc w:val="both"/>
        <w:rPr>
          <w:rFonts w:ascii="Gotham" w:hAnsi="Gotham" w:cs="Arial"/>
          <w:color w:val="000000" w:themeColor="text1"/>
          <w:sz w:val="19"/>
          <w:szCs w:val="19"/>
          <w:lang w:val="es-ES_tradnl"/>
        </w:rPr>
      </w:pPr>
    </w:p>
    <w:p w14:paraId="3A475302" w14:textId="77777777" w:rsidR="009B5E39"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2.- Las plantaciones de árboles deberán procurar y adecuar las especies que puedan adaptarse a los espacios físicos existentes y armonizar con el entorno visual del lugar y deberán ser los adecuados para cada espacio y ajustarse a lo siguiente:</w:t>
      </w:r>
    </w:p>
    <w:p w14:paraId="3A475303" w14:textId="77777777" w:rsidR="009B5E39" w:rsidRPr="001E5957" w:rsidRDefault="009B5E39" w:rsidP="009B5E39">
      <w:pPr>
        <w:ind w:left="284" w:right="283"/>
        <w:jc w:val="both"/>
        <w:rPr>
          <w:rFonts w:ascii="Gotham" w:hAnsi="Gotham" w:cs="Arial"/>
          <w:color w:val="000000" w:themeColor="text1"/>
          <w:sz w:val="19"/>
          <w:szCs w:val="19"/>
          <w:lang w:val="es-ES_tradnl"/>
        </w:rPr>
      </w:pPr>
    </w:p>
    <w:p w14:paraId="3A475304" w14:textId="77777777" w:rsidR="009B5E39" w:rsidRPr="001E5957" w:rsidRDefault="009B5E39" w:rsidP="009B5E39">
      <w:pPr>
        <w:pStyle w:val="Prrafodelista"/>
        <w:numPr>
          <w:ilvl w:val="0"/>
          <w:numId w:val="236"/>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lastRenderedPageBreak/>
        <w:t>Si se realizan por particulares estos deberán utilizar las especies señaladas en este anexo.</w:t>
      </w:r>
    </w:p>
    <w:p w14:paraId="3A475305" w14:textId="77777777" w:rsidR="009B5E39" w:rsidRPr="001E5957" w:rsidRDefault="009B5E39" w:rsidP="009B5E39">
      <w:pPr>
        <w:pStyle w:val="Prrafodelista"/>
        <w:numPr>
          <w:ilvl w:val="0"/>
          <w:numId w:val="236"/>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Queda prohibido plantar especies diferentes a las que autoriza este ordenamiento. </w:t>
      </w:r>
    </w:p>
    <w:p w14:paraId="3A475306" w14:textId="77777777" w:rsidR="009B5E39" w:rsidRPr="001E5957" w:rsidRDefault="009B5E39" w:rsidP="009B5E39">
      <w:pPr>
        <w:pStyle w:val="Prrafodelista"/>
        <w:numPr>
          <w:ilvl w:val="0"/>
          <w:numId w:val="236"/>
        </w:numPr>
        <w:spacing w:after="120"/>
        <w:ind w:left="1134" w:right="283" w:hanging="850"/>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Queda prohibida la forestación y reforestación:</w:t>
      </w:r>
    </w:p>
    <w:p w14:paraId="3A475307" w14:textId="77777777" w:rsidR="009B5E39" w:rsidRPr="001E5957" w:rsidRDefault="009B5E39" w:rsidP="009B5E39">
      <w:pPr>
        <w:pStyle w:val="Prrafodelista"/>
        <w:numPr>
          <w:ilvl w:val="1"/>
          <w:numId w:val="237"/>
        </w:numPr>
        <w:spacing w:after="12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Bajo líneas de conducción eléctrica, telefónica o telecable, excepto cuando se planten árboles de porte bajo.</w:t>
      </w:r>
    </w:p>
    <w:p w14:paraId="3A475308" w14:textId="77777777" w:rsidR="009B5E39" w:rsidRPr="001E5957" w:rsidRDefault="009B5E39" w:rsidP="009B5E39">
      <w:pPr>
        <w:pStyle w:val="Prrafodelista"/>
        <w:numPr>
          <w:ilvl w:val="0"/>
          <w:numId w:val="237"/>
        </w:numPr>
        <w:spacing w:after="120"/>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Sobre tuberías de conducción de gas de alta presión.</w:t>
      </w:r>
    </w:p>
    <w:p w14:paraId="3A475309" w14:textId="77777777" w:rsidR="009B5E39" w:rsidRPr="001E5957" w:rsidRDefault="009B5E39" w:rsidP="009B5E39">
      <w:pPr>
        <w:pStyle w:val="Prrafodelista"/>
        <w:numPr>
          <w:ilvl w:val="0"/>
          <w:numId w:val="237"/>
        </w:numPr>
        <w:ind w:left="1560" w:right="283" w:hanging="426"/>
        <w:contextualSpacing w:val="0"/>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En áreas en donde no se tenga amplitud suficiente para el desarrollo de los árboles.</w:t>
      </w:r>
    </w:p>
    <w:p w14:paraId="3A47530A" w14:textId="77777777" w:rsidR="009B5E39" w:rsidRDefault="009B5E39" w:rsidP="009B5E39">
      <w:pPr>
        <w:ind w:left="284" w:right="283"/>
        <w:jc w:val="both"/>
        <w:rPr>
          <w:rFonts w:ascii="Gotham" w:hAnsi="Gotham" w:cs="Arial"/>
          <w:color w:val="000000" w:themeColor="text1"/>
          <w:sz w:val="19"/>
          <w:szCs w:val="19"/>
          <w:lang w:val="es-ES_tradnl"/>
        </w:rPr>
      </w:pPr>
    </w:p>
    <w:p w14:paraId="3A47530B"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 xml:space="preserve">Las especies adecuadas para los diferentes anchos de cepas o cajetes en banquetas y camellones se enlistan a continuación y estarán sujetas a las modalidades, variaciones y aplicaciones que considere la Jefatura de Arbolado Urbano de acuerdo con la arquitectura del paisaje adecuado a los </w:t>
      </w:r>
      <w:r w:rsidRPr="001E5957">
        <w:rPr>
          <w:rFonts w:ascii="Gotham" w:hAnsi="Gotham" w:cs="Arial"/>
          <w:sz w:val="19"/>
          <w:szCs w:val="19"/>
        </w:rPr>
        <w:t>bienes de uso común</w:t>
      </w:r>
      <w:r w:rsidRPr="001E5957">
        <w:rPr>
          <w:rFonts w:ascii="Gotham" w:hAnsi="Gotham" w:cs="Arial"/>
          <w:color w:val="000000" w:themeColor="text1"/>
          <w:sz w:val="19"/>
          <w:szCs w:val="19"/>
          <w:lang w:val="es-ES_tradnl"/>
        </w:rPr>
        <w:t>.</w:t>
      </w:r>
    </w:p>
    <w:p w14:paraId="3A47530C" w14:textId="77777777" w:rsidR="009B5E39" w:rsidRDefault="009B5E39" w:rsidP="009B5E39">
      <w:pPr>
        <w:ind w:left="284" w:right="283"/>
        <w:jc w:val="both"/>
        <w:rPr>
          <w:rFonts w:ascii="Gotham" w:hAnsi="Gotham" w:cs="Arial"/>
          <w:color w:val="000000" w:themeColor="text1"/>
          <w:sz w:val="19"/>
          <w:szCs w:val="19"/>
          <w:lang w:val="es-ES_tradnl"/>
        </w:rPr>
      </w:pPr>
    </w:p>
    <w:p w14:paraId="3A47530D" w14:textId="77777777" w:rsidR="009B5E39" w:rsidRPr="001E5957" w:rsidRDefault="009B5E39" w:rsidP="009B5E39">
      <w:pPr>
        <w:ind w:left="284" w:right="283"/>
        <w:jc w:val="both"/>
        <w:rPr>
          <w:rFonts w:ascii="Gotham" w:hAnsi="Gotham" w:cs="Arial"/>
          <w:color w:val="000000" w:themeColor="text1"/>
          <w:sz w:val="19"/>
          <w:szCs w:val="19"/>
          <w:lang w:val="es-ES_tradnl"/>
        </w:rPr>
      </w:pPr>
      <w:r w:rsidRPr="001E5957">
        <w:rPr>
          <w:rFonts w:ascii="Gotham" w:hAnsi="Gotham" w:cs="Arial"/>
          <w:color w:val="000000" w:themeColor="text1"/>
          <w:sz w:val="19"/>
          <w:szCs w:val="19"/>
          <w:lang w:val="es-ES_tradnl"/>
        </w:rPr>
        <w:t>Artículo 3.- Para franjas de pasto o tierra de 30 treinta a 40 cuarenta centímetros de ancho por 60 sesenta centímetros de largo como mínimo, son adecuadas las siguientes especies:</w:t>
      </w:r>
    </w:p>
    <w:p w14:paraId="3A47530E" w14:textId="77777777" w:rsidR="009B5E39" w:rsidRPr="001E5957" w:rsidRDefault="009B5E39" w:rsidP="009B5E39">
      <w:pPr>
        <w:ind w:left="284" w:right="283"/>
        <w:jc w:val="both"/>
        <w:rPr>
          <w:rFonts w:ascii="Gotham" w:hAnsi="Gotham" w:cs="Arial"/>
          <w:color w:val="000000" w:themeColor="text1"/>
          <w:sz w:val="19"/>
          <w:szCs w:val="19"/>
          <w:lang w:val="es-ES_tradnl"/>
        </w:rPr>
      </w:pPr>
    </w:p>
    <w:tbl>
      <w:tblPr>
        <w:tblW w:w="7340" w:type="dxa"/>
        <w:jc w:val="center"/>
        <w:tblLook w:val="04A0" w:firstRow="1" w:lastRow="0" w:firstColumn="1" w:lastColumn="0" w:noHBand="0" w:noVBand="1"/>
      </w:tblPr>
      <w:tblGrid>
        <w:gridCol w:w="3120"/>
        <w:gridCol w:w="2720"/>
        <w:gridCol w:w="1500"/>
      </w:tblGrid>
      <w:tr w:rsidR="009B5E39" w:rsidRPr="00374BCC" w14:paraId="3A475312" w14:textId="77777777" w:rsidTr="00190E4A">
        <w:trPr>
          <w:trHeight w:val="340"/>
          <w:jc w:val="center"/>
        </w:trPr>
        <w:tc>
          <w:tcPr>
            <w:tcW w:w="3120" w:type="dxa"/>
            <w:tcBorders>
              <w:top w:val="single" w:sz="4" w:space="0" w:color="000000"/>
              <w:left w:val="nil"/>
              <w:bottom w:val="single" w:sz="4" w:space="0" w:color="000000"/>
              <w:right w:val="nil"/>
            </w:tcBorders>
            <w:shd w:val="clear" w:color="auto" w:fill="auto"/>
            <w:noWrap/>
            <w:vAlign w:val="center"/>
            <w:hideMark/>
          </w:tcPr>
          <w:p w14:paraId="3A47530F" w14:textId="77777777" w:rsidR="009B5E39" w:rsidRPr="00374BCC" w:rsidRDefault="009B5E39" w:rsidP="00190E4A">
            <w:pPr>
              <w:jc w:val="center"/>
              <w:rPr>
                <w:rFonts w:ascii="Gotham" w:hAnsi="Gotham" w:cs="Arial"/>
                <w:b/>
                <w:bCs/>
                <w:color w:val="000000"/>
                <w:sz w:val="19"/>
                <w:szCs w:val="19"/>
              </w:rPr>
            </w:pPr>
            <w:r w:rsidRPr="00374BCC">
              <w:rPr>
                <w:rFonts w:ascii="Gotham" w:hAnsi="Gotham" w:cs="Arial"/>
                <w:b/>
                <w:bCs/>
                <w:color w:val="000000"/>
                <w:sz w:val="19"/>
                <w:szCs w:val="19"/>
              </w:rPr>
              <w:t>Nombre común</w:t>
            </w:r>
          </w:p>
        </w:tc>
        <w:tc>
          <w:tcPr>
            <w:tcW w:w="2720" w:type="dxa"/>
            <w:tcBorders>
              <w:top w:val="single" w:sz="4" w:space="0" w:color="000000"/>
              <w:left w:val="nil"/>
              <w:bottom w:val="single" w:sz="4" w:space="0" w:color="000000"/>
              <w:right w:val="nil"/>
            </w:tcBorders>
            <w:shd w:val="clear" w:color="auto" w:fill="auto"/>
            <w:noWrap/>
            <w:vAlign w:val="center"/>
            <w:hideMark/>
          </w:tcPr>
          <w:p w14:paraId="3A475310" w14:textId="77777777" w:rsidR="009B5E39" w:rsidRPr="00374BCC" w:rsidRDefault="009B5E39" w:rsidP="00190E4A">
            <w:pPr>
              <w:jc w:val="center"/>
              <w:rPr>
                <w:rFonts w:ascii="Gotham" w:hAnsi="Gotham" w:cs="Arial"/>
                <w:b/>
                <w:bCs/>
                <w:color w:val="000000"/>
                <w:sz w:val="19"/>
                <w:szCs w:val="19"/>
              </w:rPr>
            </w:pPr>
            <w:r w:rsidRPr="00374BCC">
              <w:rPr>
                <w:rFonts w:ascii="Gotham" w:hAnsi="Gotham" w:cs="Arial"/>
                <w:b/>
                <w:bCs/>
                <w:color w:val="000000"/>
                <w:sz w:val="19"/>
                <w:szCs w:val="19"/>
              </w:rPr>
              <w:t>Nombre científico</w:t>
            </w:r>
          </w:p>
        </w:tc>
        <w:tc>
          <w:tcPr>
            <w:tcW w:w="1500" w:type="dxa"/>
            <w:tcBorders>
              <w:top w:val="single" w:sz="4" w:space="0" w:color="000000"/>
              <w:left w:val="nil"/>
              <w:bottom w:val="single" w:sz="4" w:space="0" w:color="000000"/>
              <w:right w:val="nil"/>
            </w:tcBorders>
            <w:shd w:val="clear" w:color="auto" w:fill="auto"/>
            <w:noWrap/>
            <w:vAlign w:val="center"/>
            <w:hideMark/>
          </w:tcPr>
          <w:p w14:paraId="3A475311" w14:textId="77777777" w:rsidR="009B5E39" w:rsidRPr="00374BCC" w:rsidRDefault="009B5E39" w:rsidP="00190E4A">
            <w:pPr>
              <w:jc w:val="center"/>
              <w:rPr>
                <w:rFonts w:ascii="Gotham" w:hAnsi="Gotham" w:cs="Arial"/>
                <w:b/>
                <w:bCs/>
                <w:color w:val="000000"/>
                <w:sz w:val="19"/>
                <w:szCs w:val="19"/>
              </w:rPr>
            </w:pPr>
            <w:r w:rsidRPr="00374BCC">
              <w:rPr>
                <w:rFonts w:ascii="Gotham" w:hAnsi="Gotham" w:cs="Arial"/>
                <w:b/>
                <w:bCs/>
                <w:color w:val="000000"/>
                <w:sz w:val="19"/>
                <w:szCs w:val="19"/>
              </w:rPr>
              <w:t>Riego</w:t>
            </w:r>
          </w:p>
        </w:tc>
      </w:tr>
      <w:tr w:rsidR="009B5E39" w:rsidRPr="00374BCC" w14:paraId="3A475316"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13"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Guayabo Fresa</w:t>
            </w:r>
          </w:p>
        </w:tc>
        <w:tc>
          <w:tcPr>
            <w:tcW w:w="2720" w:type="dxa"/>
            <w:tcBorders>
              <w:top w:val="nil"/>
              <w:left w:val="nil"/>
              <w:bottom w:val="nil"/>
              <w:right w:val="nil"/>
            </w:tcBorders>
            <w:shd w:val="clear" w:color="D9D9D9" w:fill="D9D9D9"/>
            <w:noWrap/>
            <w:vAlign w:val="center"/>
            <w:hideMark/>
          </w:tcPr>
          <w:p w14:paraId="3A475314"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Psidium sellowiana</w:t>
            </w:r>
          </w:p>
        </w:tc>
        <w:tc>
          <w:tcPr>
            <w:tcW w:w="1500" w:type="dxa"/>
            <w:tcBorders>
              <w:top w:val="nil"/>
              <w:left w:val="nil"/>
              <w:bottom w:val="nil"/>
              <w:right w:val="nil"/>
            </w:tcBorders>
            <w:shd w:val="clear" w:color="D9D9D9" w:fill="D9D9D9"/>
            <w:noWrap/>
            <w:vAlign w:val="center"/>
            <w:hideMark/>
          </w:tcPr>
          <w:p w14:paraId="3A475315"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Alto</w:t>
            </w:r>
          </w:p>
        </w:tc>
      </w:tr>
      <w:tr w:rsidR="009B5E39" w:rsidRPr="00374BCC" w14:paraId="3A47531A" w14:textId="77777777" w:rsidTr="00190E4A">
        <w:trPr>
          <w:trHeight w:val="283"/>
          <w:jc w:val="center"/>
        </w:trPr>
        <w:tc>
          <w:tcPr>
            <w:tcW w:w="3120" w:type="dxa"/>
            <w:tcBorders>
              <w:top w:val="nil"/>
              <w:left w:val="nil"/>
              <w:bottom w:val="nil"/>
              <w:right w:val="nil"/>
            </w:tcBorders>
            <w:shd w:val="clear" w:color="000000" w:fill="D9D9D9"/>
            <w:noWrap/>
            <w:vAlign w:val="center"/>
            <w:hideMark/>
          </w:tcPr>
          <w:p w14:paraId="3A475317"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Kumguat o Naranjo Chino</w:t>
            </w:r>
          </w:p>
        </w:tc>
        <w:tc>
          <w:tcPr>
            <w:tcW w:w="2720" w:type="dxa"/>
            <w:tcBorders>
              <w:top w:val="nil"/>
              <w:left w:val="nil"/>
              <w:bottom w:val="nil"/>
              <w:right w:val="nil"/>
            </w:tcBorders>
            <w:shd w:val="clear" w:color="000000" w:fill="D9D9D9"/>
            <w:noWrap/>
            <w:vAlign w:val="center"/>
            <w:hideMark/>
          </w:tcPr>
          <w:p w14:paraId="3A475318"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Fortunella margarita</w:t>
            </w:r>
          </w:p>
        </w:tc>
        <w:tc>
          <w:tcPr>
            <w:tcW w:w="1500" w:type="dxa"/>
            <w:tcBorders>
              <w:top w:val="nil"/>
              <w:left w:val="nil"/>
              <w:bottom w:val="nil"/>
              <w:right w:val="nil"/>
            </w:tcBorders>
            <w:shd w:val="clear" w:color="000000" w:fill="D9D9D9"/>
            <w:noWrap/>
            <w:vAlign w:val="center"/>
            <w:hideMark/>
          </w:tcPr>
          <w:p w14:paraId="3A475319"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Alto</w:t>
            </w:r>
          </w:p>
        </w:tc>
      </w:tr>
      <w:tr w:rsidR="009B5E39" w:rsidRPr="00374BCC" w14:paraId="3A47531E" w14:textId="77777777" w:rsidTr="00190E4A">
        <w:trPr>
          <w:trHeight w:val="283"/>
          <w:jc w:val="center"/>
        </w:trPr>
        <w:tc>
          <w:tcPr>
            <w:tcW w:w="3120" w:type="dxa"/>
            <w:tcBorders>
              <w:top w:val="nil"/>
              <w:left w:val="nil"/>
              <w:bottom w:val="nil"/>
              <w:right w:val="nil"/>
            </w:tcBorders>
            <w:shd w:val="clear" w:color="000000" w:fill="D9D9D9"/>
            <w:noWrap/>
            <w:vAlign w:val="center"/>
            <w:hideMark/>
          </w:tcPr>
          <w:p w14:paraId="3A47531B"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Sauco</w:t>
            </w:r>
          </w:p>
        </w:tc>
        <w:tc>
          <w:tcPr>
            <w:tcW w:w="2720" w:type="dxa"/>
            <w:tcBorders>
              <w:top w:val="nil"/>
              <w:left w:val="nil"/>
              <w:bottom w:val="nil"/>
              <w:right w:val="nil"/>
            </w:tcBorders>
            <w:shd w:val="clear" w:color="000000" w:fill="D9D9D9"/>
            <w:noWrap/>
            <w:vAlign w:val="center"/>
            <w:hideMark/>
          </w:tcPr>
          <w:p w14:paraId="3A47531C"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Sambucus Nigra</w:t>
            </w:r>
          </w:p>
        </w:tc>
        <w:tc>
          <w:tcPr>
            <w:tcW w:w="1500" w:type="dxa"/>
            <w:tcBorders>
              <w:top w:val="nil"/>
              <w:left w:val="nil"/>
              <w:bottom w:val="nil"/>
              <w:right w:val="nil"/>
            </w:tcBorders>
            <w:shd w:val="clear" w:color="000000" w:fill="D9D9D9"/>
            <w:noWrap/>
            <w:vAlign w:val="center"/>
            <w:hideMark/>
          </w:tcPr>
          <w:p w14:paraId="3A47531D"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Alto</w:t>
            </w:r>
          </w:p>
        </w:tc>
      </w:tr>
      <w:tr w:rsidR="009B5E39" w:rsidRPr="00374BCC" w14:paraId="3A475322" w14:textId="77777777" w:rsidTr="00190E4A">
        <w:trPr>
          <w:trHeight w:val="283"/>
          <w:jc w:val="center"/>
        </w:trPr>
        <w:tc>
          <w:tcPr>
            <w:tcW w:w="3120" w:type="dxa"/>
            <w:tcBorders>
              <w:top w:val="nil"/>
              <w:left w:val="nil"/>
              <w:bottom w:val="nil"/>
              <w:right w:val="nil"/>
            </w:tcBorders>
            <w:shd w:val="clear" w:color="000000" w:fill="D9D9D9"/>
            <w:noWrap/>
            <w:vAlign w:val="center"/>
            <w:hideMark/>
          </w:tcPr>
          <w:p w14:paraId="3A47531F"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Obelisco</w:t>
            </w:r>
          </w:p>
        </w:tc>
        <w:tc>
          <w:tcPr>
            <w:tcW w:w="2720" w:type="dxa"/>
            <w:tcBorders>
              <w:top w:val="nil"/>
              <w:left w:val="nil"/>
              <w:bottom w:val="nil"/>
              <w:right w:val="nil"/>
            </w:tcBorders>
            <w:shd w:val="clear" w:color="000000" w:fill="D9D9D9"/>
            <w:noWrap/>
            <w:vAlign w:val="center"/>
            <w:hideMark/>
          </w:tcPr>
          <w:p w14:paraId="3A475320"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Hibiscus syriacus</w:t>
            </w:r>
          </w:p>
        </w:tc>
        <w:tc>
          <w:tcPr>
            <w:tcW w:w="1500" w:type="dxa"/>
            <w:tcBorders>
              <w:top w:val="nil"/>
              <w:left w:val="nil"/>
              <w:bottom w:val="nil"/>
              <w:right w:val="nil"/>
            </w:tcBorders>
            <w:shd w:val="clear" w:color="000000" w:fill="D9D9D9"/>
            <w:noWrap/>
            <w:vAlign w:val="center"/>
            <w:hideMark/>
          </w:tcPr>
          <w:p w14:paraId="3A475321"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Alto</w:t>
            </w:r>
          </w:p>
        </w:tc>
      </w:tr>
      <w:tr w:rsidR="009B5E39" w:rsidRPr="00374BCC" w14:paraId="3A475326"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23"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Rosal</w:t>
            </w:r>
          </w:p>
        </w:tc>
        <w:tc>
          <w:tcPr>
            <w:tcW w:w="2720" w:type="dxa"/>
            <w:tcBorders>
              <w:top w:val="nil"/>
              <w:left w:val="nil"/>
              <w:bottom w:val="nil"/>
              <w:right w:val="nil"/>
            </w:tcBorders>
            <w:shd w:val="clear" w:color="D9D9D9" w:fill="D9D9D9"/>
            <w:noWrap/>
            <w:vAlign w:val="center"/>
            <w:hideMark/>
          </w:tcPr>
          <w:p w14:paraId="3A475324"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Hibuscus sinensis</w:t>
            </w:r>
          </w:p>
        </w:tc>
        <w:tc>
          <w:tcPr>
            <w:tcW w:w="1500" w:type="dxa"/>
            <w:tcBorders>
              <w:top w:val="nil"/>
              <w:left w:val="nil"/>
              <w:bottom w:val="nil"/>
              <w:right w:val="nil"/>
            </w:tcBorders>
            <w:shd w:val="clear" w:color="D9D9D9" w:fill="D9D9D9"/>
            <w:noWrap/>
            <w:vAlign w:val="center"/>
            <w:hideMark/>
          </w:tcPr>
          <w:p w14:paraId="3A475325"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Alto</w:t>
            </w:r>
          </w:p>
        </w:tc>
      </w:tr>
      <w:tr w:rsidR="009B5E39" w:rsidRPr="00374BCC" w14:paraId="3A47532A" w14:textId="77777777" w:rsidTr="00190E4A">
        <w:trPr>
          <w:trHeight w:val="283"/>
          <w:jc w:val="center"/>
        </w:trPr>
        <w:tc>
          <w:tcPr>
            <w:tcW w:w="3120" w:type="dxa"/>
            <w:tcBorders>
              <w:top w:val="nil"/>
              <w:left w:val="nil"/>
              <w:bottom w:val="nil"/>
              <w:right w:val="nil"/>
            </w:tcBorders>
            <w:shd w:val="clear" w:color="000000" w:fill="D9D9D9"/>
            <w:vAlign w:val="center"/>
            <w:hideMark/>
          </w:tcPr>
          <w:p w14:paraId="3A475327"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Calistemón o Escobellón Rojo</w:t>
            </w:r>
          </w:p>
        </w:tc>
        <w:tc>
          <w:tcPr>
            <w:tcW w:w="2720" w:type="dxa"/>
            <w:tcBorders>
              <w:top w:val="nil"/>
              <w:left w:val="nil"/>
              <w:bottom w:val="nil"/>
              <w:right w:val="nil"/>
            </w:tcBorders>
            <w:shd w:val="clear" w:color="000000" w:fill="D9D9D9"/>
            <w:noWrap/>
            <w:vAlign w:val="center"/>
            <w:hideMark/>
          </w:tcPr>
          <w:p w14:paraId="3A475328"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Calistemon lanceolatus</w:t>
            </w:r>
          </w:p>
        </w:tc>
        <w:tc>
          <w:tcPr>
            <w:tcW w:w="1500" w:type="dxa"/>
            <w:tcBorders>
              <w:top w:val="nil"/>
              <w:left w:val="nil"/>
              <w:bottom w:val="nil"/>
              <w:right w:val="nil"/>
            </w:tcBorders>
            <w:shd w:val="clear" w:color="000000" w:fill="D9D9D9"/>
            <w:noWrap/>
            <w:vAlign w:val="center"/>
            <w:hideMark/>
          </w:tcPr>
          <w:p w14:paraId="3A475329"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Bajo</w:t>
            </w:r>
          </w:p>
        </w:tc>
      </w:tr>
      <w:tr w:rsidR="009B5E39" w:rsidRPr="00374BCC" w14:paraId="3A47532E" w14:textId="77777777" w:rsidTr="00190E4A">
        <w:trPr>
          <w:trHeight w:val="283"/>
          <w:jc w:val="center"/>
        </w:trPr>
        <w:tc>
          <w:tcPr>
            <w:tcW w:w="3120" w:type="dxa"/>
            <w:tcBorders>
              <w:top w:val="nil"/>
              <w:left w:val="nil"/>
              <w:bottom w:val="nil"/>
              <w:right w:val="nil"/>
            </w:tcBorders>
            <w:shd w:val="clear" w:color="000000" w:fill="D9D9D9"/>
            <w:noWrap/>
            <w:vAlign w:val="center"/>
            <w:hideMark/>
          </w:tcPr>
          <w:p w14:paraId="3A47532B"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Piracanto</w:t>
            </w:r>
          </w:p>
        </w:tc>
        <w:tc>
          <w:tcPr>
            <w:tcW w:w="2720" w:type="dxa"/>
            <w:tcBorders>
              <w:top w:val="nil"/>
              <w:left w:val="nil"/>
              <w:bottom w:val="nil"/>
              <w:right w:val="nil"/>
            </w:tcBorders>
            <w:shd w:val="clear" w:color="000000" w:fill="D9D9D9"/>
            <w:noWrap/>
            <w:vAlign w:val="center"/>
            <w:hideMark/>
          </w:tcPr>
          <w:p w14:paraId="3A47532C"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Pyracantla coccinea</w:t>
            </w:r>
          </w:p>
        </w:tc>
        <w:tc>
          <w:tcPr>
            <w:tcW w:w="1500" w:type="dxa"/>
            <w:tcBorders>
              <w:top w:val="nil"/>
              <w:left w:val="nil"/>
              <w:bottom w:val="nil"/>
              <w:right w:val="nil"/>
            </w:tcBorders>
            <w:shd w:val="clear" w:color="000000" w:fill="D9D9D9"/>
            <w:noWrap/>
            <w:vAlign w:val="center"/>
            <w:hideMark/>
          </w:tcPr>
          <w:p w14:paraId="3A47532D"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Bajo</w:t>
            </w:r>
          </w:p>
        </w:tc>
      </w:tr>
      <w:tr w:rsidR="009B5E39" w:rsidRPr="00374BCC" w14:paraId="3A475332"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2F"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Jara</w:t>
            </w:r>
          </w:p>
        </w:tc>
        <w:tc>
          <w:tcPr>
            <w:tcW w:w="2720" w:type="dxa"/>
            <w:tcBorders>
              <w:top w:val="nil"/>
              <w:left w:val="nil"/>
              <w:bottom w:val="nil"/>
              <w:right w:val="nil"/>
            </w:tcBorders>
            <w:shd w:val="clear" w:color="auto" w:fill="auto"/>
            <w:noWrap/>
            <w:vAlign w:val="center"/>
            <w:hideMark/>
          </w:tcPr>
          <w:p w14:paraId="3A475330"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Senecio Salignus</w:t>
            </w:r>
          </w:p>
        </w:tc>
        <w:tc>
          <w:tcPr>
            <w:tcW w:w="1500" w:type="dxa"/>
            <w:tcBorders>
              <w:top w:val="nil"/>
              <w:left w:val="nil"/>
              <w:bottom w:val="nil"/>
              <w:right w:val="nil"/>
            </w:tcBorders>
            <w:shd w:val="clear" w:color="auto" w:fill="auto"/>
            <w:noWrap/>
            <w:vAlign w:val="center"/>
            <w:hideMark/>
          </w:tcPr>
          <w:p w14:paraId="3A475331"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Bajo</w:t>
            </w:r>
          </w:p>
        </w:tc>
      </w:tr>
      <w:tr w:rsidR="009B5E39" w:rsidRPr="00374BCC" w14:paraId="3A475336" w14:textId="77777777" w:rsidTr="00190E4A">
        <w:trPr>
          <w:trHeight w:val="283"/>
          <w:jc w:val="center"/>
        </w:trPr>
        <w:tc>
          <w:tcPr>
            <w:tcW w:w="3120" w:type="dxa"/>
            <w:tcBorders>
              <w:top w:val="nil"/>
              <w:left w:val="nil"/>
              <w:bottom w:val="nil"/>
              <w:right w:val="nil"/>
            </w:tcBorders>
            <w:shd w:val="clear" w:color="000000" w:fill="D9D9D9"/>
            <w:noWrap/>
            <w:vAlign w:val="center"/>
            <w:hideMark/>
          </w:tcPr>
          <w:p w14:paraId="3A475333"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Nance</w:t>
            </w:r>
          </w:p>
        </w:tc>
        <w:tc>
          <w:tcPr>
            <w:tcW w:w="2720" w:type="dxa"/>
            <w:tcBorders>
              <w:top w:val="nil"/>
              <w:left w:val="nil"/>
              <w:bottom w:val="nil"/>
              <w:right w:val="nil"/>
            </w:tcBorders>
            <w:shd w:val="clear" w:color="000000" w:fill="D9D9D9"/>
            <w:noWrap/>
            <w:vAlign w:val="center"/>
            <w:hideMark/>
          </w:tcPr>
          <w:p w14:paraId="3A475334"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Byronima crassifolia</w:t>
            </w:r>
          </w:p>
        </w:tc>
        <w:tc>
          <w:tcPr>
            <w:tcW w:w="1500" w:type="dxa"/>
            <w:tcBorders>
              <w:top w:val="nil"/>
              <w:left w:val="nil"/>
              <w:bottom w:val="nil"/>
              <w:right w:val="nil"/>
            </w:tcBorders>
            <w:shd w:val="clear" w:color="000000" w:fill="D9D9D9"/>
            <w:noWrap/>
            <w:vAlign w:val="center"/>
            <w:hideMark/>
          </w:tcPr>
          <w:p w14:paraId="3A475335"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Bajo</w:t>
            </w:r>
          </w:p>
        </w:tc>
      </w:tr>
      <w:tr w:rsidR="009B5E39" w:rsidRPr="00374BCC" w14:paraId="3A47533A"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37"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Níspero o Míspero</w:t>
            </w:r>
          </w:p>
        </w:tc>
        <w:tc>
          <w:tcPr>
            <w:tcW w:w="2720" w:type="dxa"/>
            <w:tcBorders>
              <w:top w:val="nil"/>
              <w:left w:val="nil"/>
              <w:bottom w:val="nil"/>
              <w:right w:val="nil"/>
            </w:tcBorders>
            <w:shd w:val="clear" w:color="auto" w:fill="auto"/>
            <w:noWrap/>
            <w:vAlign w:val="center"/>
            <w:hideMark/>
          </w:tcPr>
          <w:p w14:paraId="3A475338"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Eriobotrya Japónica</w:t>
            </w:r>
          </w:p>
        </w:tc>
        <w:tc>
          <w:tcPr>
            <w:tcW w:w="1500" w:type="dxa"/>
            <w:tcBorders>
              <w:top w:val="nil"/>
              <w:left w:val="nil"/>
              <w:bottom w:val="nil"/>
              <w:right w:val="nil"/>
            </w:tcBorders>
            <w:shd w:val="clear" w:color="auto" w:fill="auto"/>
            <w:noWrap/>
            <w:vAlign w:val="center"/>
            <w:hideMark/>
          </w:tcPr>
          <w:p w14:paraId="3A475339"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r w:rsidR="009B5E39" w:rsidRPr="00374BCC" w14:paraId="3A47533E"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3B"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Trueno</w:t>
            </w:r>
          </w:p>
        </w:tc>
        <w:tc>
          <w:tcPr>
            <w:tcW w:w="2720" w:type="dxa"/>
            <w:tcBorders>
              <w:top w:val="nil"/>
              <w:left w:val="nil"/>
              <w:bottom w:val="nil"/>
              <w:right w:val="nil"/>
            </w:tcBorders>
            <w:shd w:val="clear" w:color="D9D9D9" w:fill="D9D9D9"/>
            <w:noWrap/>
            <w:vAlign w:val="center"/>
            <w:hideMark/>
          </w:tcPr>
          <w:p w14:paraId="3A47533C"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Ligustrum japonicum</w:t>
            </w:r>
          </w:p>
        </w:tc>
        <w:tc>
          <w:tcPr>
            <w:tcW w:w="1500" w:type="dxa"/>
            <w:tcBorders>
              <w:top w:val="nil"/>
              <w:left w:val="nil"/>
              <w:bottom w:val="nil"/>
              <w:right w:val="nil"/>
            </w:tcBorders>
            <w:shd w:val="clear" w:color="D9D9D9" w:fill="D9D9D9"/>
            <w:noWrap/>
            <w:vAlign w:val="center"/>
            <w:hideMark/>
          </w:tcPr>
          <w:p w14:paraId="3A47533D"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r w:rsidR="009B5E39" w:rsidRPr="00374BCC" w14:paraId="3A475342" w14:textId="77777777" w:rsidTr="00190E4A">
        <w:trPr>
          <w:trHeight w:val="283"/>
          <w:jc w:val="center"/>
        </w:trPr>
        <w:tc>
          <w:tcPr>
            <w:tcW w:w="3120" w:type="dxa"/>
            <w:tcBorders>
              <w:top w:val="nil"/>
              <w:left w:val="nil"/>
              <w:bottom w:val="nil"/>
              <w:right w:val="nil"/>
            </w:tcBorders>
            <w:shd w:val="clear" w:color="000000" w:fill="D9D9D9"/>
            <w:noWrap/>
            <w:vAlign w:val="center"/>
            <w:hideMark/>
          </w:tcPr>
          <w:p w14:paraId="3A47533F"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Aralea Aralea</w:t>
            </w:r>
          </w:p>
        </w:tc>
        <w:tc>
          <w:tcPr>
            <w:tcW w:w="2720" w:type="dxa"/>
            <w:tcBorders>
              <w:top w:val="nil"/>
              <w:left w:val="nil"/>
              <w:bottom w:val="nil"/>
              <w:right w:val="nil"/>
            </w:tcBorders>
            <w:shd w:val="clear" w:color="000000" w:fill="D9D9D9"/>
            <w:noWrap/>
            <w:vAlign w:val="center"/>
            <w:hideMark/>
          </w:tcPr>
          <w:p w14:paraId="3A475340"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Schefflera</w:t>
            </w:r>
          </w:p>
        </w:tc>
        <w:tc>
          <w:tcPr>
            <w:tcW w:w="1500" w:type="dxa"/>
            <w:tcBorders>
              <w:top w:val="nil"/>
              <w:left w:val="nil"/>
              <w:bottom w:val="nil"/>
              <w:right w:val="nil"/>
            </w:tcBorders>
            <w:shd w:val="clear" w:color="000000" w:fill="D9D9D9"/>
            <w:noWrap/>
            <w:vAlign w:val="center"/>
            <w:hideMark/>
          </w:tcPr>
          <w:p w14:paraId="3A475341"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r w:rsidR="009B5E39" w:rsidRPr="00374BCC" w14:paraId="3A475346"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43"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Huele de Noche</w:t>
            </w:r>
          </w:p>
        </w:tc>
        <w:tc>
          <w:tcPr>
            <w:tcW w:w="2720" w:type="dxa"/>
            <w:tcBorders>
              <w:top w:val="nil"/>
              <w:left w:val="nil"/>
              <w:bottom w:val="nil"/>
              <w:right w:val="nil"/>
            </w:tcBorders>
            <w:shd w:val="clear" w:color="D9D9D9" w:fill="D9D9D9"/>
            <w:noWrap/>
            <w:vAlign w:val="center"/>
            <w:hideMark/>
          </w:tcPr>
          <w:p w14:paraId="3A475344"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Cestrum nocturnum</w:t>
            </w:r>
          </w:p>
        </w:tc>
        <w:tc>
          <w:tcPr>
            <w:tcW w:w="1500" w:type="dxa"/>
            <w:tcBorders>
              <w:top w:val="nil"/>
              <w:left w:val="nil"/>
              <w:bottom w:val="nil"/>
              <w:right w:val="nil"/>
            </w:tcBorders>
            <w:shd w:val="clear" w:color="D9D9D9" w:fill="D9D9D9"/>
            <w:noWrap/>
            <w:vAlign w:val="center"/>
            <w:hideMark/>
          </w:tcPr>
          <w:p w14:paraId="3A475345"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r w:rsidR="009B5E39" w:rsidRPr="00374BCC" w14:paraId="3A47534A" w14:textId="77777777" w:rsidTr="00190E4A">
        <w:trPr>
          <w:trHeight w:val="283"/>
          <w:jc w:val="center"/>
        </w:trPr>
        <w:tc>
          <w:tcPr>
            <w:tcW w:w="3120" w:type="dxa"/>
            <w:tcBorders>
              <w:top w:val="nil"/>
              <w:left w:val="nil"/>
              <w:bottom w:val="nil"/>
              <w:right w:val="nil"/>
            </w:tcBorders>
            <w:shd w:val="clear" w:color="000000" w:fill="D9D9D9"/>
            <w:noWrap/>
            <w:vAlign w:val="center"/>
            <w:hideMark/>
          </w:tcPr>
          <w:p w14:paraId="3A475347"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Lantana</w:t>
            </w:r>
          </w:p>
        </w:tc>
        <w:tc>
          <w:tcPr>
            <w:tcW w:w="2720" w:type="dxa"/>
            <w:tcBorders>
              <w:top w:val="nil"/>
              <w:left w:val="nil"/>
              <w:bottom w:val="nil"/>
              <w:right w:val="nil"/>
            </w:tcBorders>
            <w:shd w:val="clear" w:color="000000" w:fill="D9D9D9"/>
            <w:noWrap/>
            <w:vAlign w:val="center"/>
            <w:hideMark/>
          </w:tcPr>
          <w:p w14:paraId="3A475348"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Lantana camara</w:t>
            </w:r>
          </w:p>
        </w:tc>
        <w:tc>
          <w:tcPr>
            <w:tcW w:w="1500" w:type="dxa"/>
            <w:tcBorders>
              <w:top w:val="nil"/>
              <w:left w:val="nil"/>
              <w:bottom w:val="nil"/>
              <w:right w:val="nil"/>
            </w:tcBorders>
            <w:shd w:val="clear" w:color="000000" w:fill="D9D9D9"/>
            <w:noWrap/>
            <w:vAlign w:val="center"/>
            <w:hideMark/>
          </w:tcPr>
          <w:p w14:paraId="3A475349"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r w:rsidR="009B5E39" w:rsidRPr="00374BCC" w14:paraId="3A47534E"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4B"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Mirlo</w:t>
            </w:r>
          </w:p>
        </w:tc>
        <w:tc>
          <w:tcPr>
            <w:tcW w:w="2720" w:type="dxa"/>
            <w:tcBorders>
              <w:top w:val="nil"/>
              <w:left w:val="nil"/>
              <w:bottom w:val="nil"/>
              <w:right w:val="nil"/>
            </w:tcBorders>
            <w:shd w:val="clear" w:color="D9D9D9" w:fill="D9D9D9"/>
            <w:noWrap/>
            <w:vAlign w:val="center"/>
            <w:hideMark/>
          </w:tcPr>
          <w:p w14:paraId="3A47534C"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Myrtus communis</w:t>
            </w:r>
          </w:p>
        </w:tc>
        <w:tc>
          <w:tcPr>
            <w:tcW w:w="1500" w:type="dxa"/>
            <w:tcBorders>
              <w:top w:val="nil"/>
              <w:left w:val="nil"/>
              <w:bottom w:val="nil"/>
              <w:right w:val="nil"/>
            </w:tcBorders>
            <w:shd w:val="clear" w:color="D9D9D9" w:fill="D9D9D9"/>
            <w:noWrap/>
            <w:vAlign w:val="center"/>
            <w:hideMark/>
          </w:tcPr>
          <w:p w14:paraId="3A47534D"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r w:rsidR="009B5E39" w:rsidRPr="00374BCC" w14:paraId="3A475352"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4F"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Campanilla</w:t>
            </w:r>
          </w:p>
        </w:tc>
        <w:tc>
          <w:tcPr>
            <w:tcW w:w="2720" w:type="dxa"/>
            <w:tcBorders>
              <w:top w:val="nil"/>
              <w:left w:val="nil"/>
              <w:bottom w:val="nil"/>
              <w:right w:val="nil"/>
            </w:tcBorders>
            <w:shd w:val="clear" w:color="auto" w:fill="auto"/>
            <w:noWrap/>
            <w:vAlign w:val="center"/>
            <w:hideMark/>
          </w:tcPr>
          <w:p w14:paraId="3A475350"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Hintonia lartiflora</w:t>
            </w:r>
          </w:p>
        </w:tc>
        <w:tc>
          <w:tcPr>
            <w:tcW w:w="1500" w:type="dxa"/>
            <w:tcBorders>
              <w:top w:val="nil"/>
              <w:left w:val="nil"/>
              <w:bottom w:val="nil"/>
              <w:right w:val="nil"/>
            </w:tcBorders>
            <w:shd w:val="clear" w:color="auto" w:fill="auto"/>
            <w:noWrap/>
            <w:vAlign w:val="center"/>
            <w:hideMark/>
          </w:tcPr>
          <w:p w14:paraId="3A475351"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r w:rsidR="009B5E39" w:rsidRPr="00374BCC" w14:paraId="3A475356" w14:textId="77777777" w:rsidTr="00190E4A">
        <w:trPr>
          <w:trHeight w:val="283"/>
          <w:jc w:val="center"/>
        </w:trPr>
        <w:tc>
          <w:tcPr>
            <w:tcW w:w="3120" w:type="dxa"/>
            <w:tcBorders>
              <w:top w:val="nil"/>
              <w:left w:val="nil"/>
              <w:bottom w:val="nil"/>
              <w:right w:val="nil"/>
            </w:tcBorders>
            <w:shd w:val="clear" w:color="000000" w:fill="D9D9D9"/>
            <w:noWrap/>
            <w:vAlign w:val="center"/>
            <w:hideMark/>
          </w:tcPr>
          <w:p w14:paraId="3A475353"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Cola de Perico</w:t>
            </w:r>
          </w:p>
        </w:tc>
        <w:tc>
          <w:tcPr>
            <w:tcW w:w="2720" w:type="dxa"/>
            <w:tcBorders>
              <w:top w:val="nil"/>
              <w:left w:val="nil"/>
              <w:bottom w:val="nil"/>
              <w:right w:val="nil"/>
            </w:tcBorders>
            <w:shd w:val="clear" w:color="000000" w:fill="D9D9D9"/>
            <w:noWrap/>
            <w:vAlign w:val="center"/>
            <w:hideMark/>
          </w:tcPr>
          <w:p w14:paraId="3A475354"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Cassia alta</w:t>
            </w:r>
          </w:p>
        </w:tc>
        <w:tc>
          <w:tcPr>
            <w:tcW w:w="1500" w:type="dxa"/>
            <w:tcBorders>
              <w:top w:val="nil"/>
              <w:left w:val="nil"/>
              <w:bottom w:val="nil"/>
              <w:right w:val="nil"/>
            </w:tcBorders>
            <w:shd w:val="clear" w:color="000000" w:fill="D9D9D9"/>
            <w:noWrap/>
            <w:vAlign w:val="center"/>
            <w:hideMark/>
          </w:tcPr>
          <w:p w14:paraId="3A475355"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r w:rsidR="009B5E39" w:rsidRPr="00374BCC" w14:paraId="3A47535A" w14:textId="77777777" w:rsidTr="00190E4A">
        <w:trPr>
          <w:trHeight w:val="283"/>
          <w:jc w:val="center"/>
        </w:trPr>
        <w:tc>
          <w:tcPr>
            <w:tcW w:w="3120" w:type="dxa"/>
            <w:tcBorders>
              <w:top w:val="nil"/>
              <w:left w:val="nil"/>
              <w:bottom w:val="single" w:sz="8" w:space="0" w:color="000000"/>
              <w:right w:val="nil"/>
            </w:tcBorders>
            <w:shd w:val="clear" w:color="auto" w:fill="auto"/>
            <w:noWrap/>
            <w:vAlign w:val="center"/>
            <w:hideMark/>
          </w:tcPr>
          <w:p w14:paraId="3A475357" w14:textId="77777777" w:rsidR="009B5E39" w:rsidRPr="00374BCC" w:rsidRDefault="009B5E39" w:rsidP="00190E4A">
            <w:pPr>
              <w:rPr>
                <w:rFonts w:ascii="Gotham" w:hAnsi="Gotham" w:cs="Arial"/>
                <w:color w:val="000000"/>
                <w:sz w:val="19"/>
                <w:szCs w:val="19"/>
              </w:rPr>
            </w:pPr>
            <w:r w:rsidRPr="00374BCC">
              <w:rPr>
                <w:rFonts w:ascii="Tahoma" w:hAnsi="Tahoma" w:cs="Tahoma"/>
                <w:color w:val="000000"/>
                <w:sz w:val="19"/>
                <w:szCs w:val="19"/>
              </w:rPr>
              <w:t>﻿﻿﻿﻿</w:t>
            </w:r>
            <w:r w:rsidRPr="00374BCC">
              <w:rPr>
                <w:rFonts w:ascii="Gotham" w:hAnsi="Gotham" w:cs="Arial"/>
                <w:color w:val="000000"/>
                <w:sz w:val="19"/>
                <w:szCs w:val="19"/>
              </w:rPr>
              <w:t>Retama</w:t>
            </w:r>
          </w:p>
        </w:tc>
        <w:tc>
          <w:tcPr>
            <w:tcW w:w="2720" w:type="dxa"/>
            <w:tcBorders>
              <w:top w:val="nil"/>
              <w:left w:val="nil"/>
              <w:bottom w:val="single" w:sz="8" w:space="0" w:color="000000"/>
              <w:right w:val="nil"/>
            </w:tcBorders>
            <w:shd w:val="clear" w:color="auto" w:fill="auto"/>
            <w:noWrap/>
            <w:vAlign w:val="center"/>
            <w:hideMark/>
          </w:tcPr>
          <w:p w14:paraId="3A475358" w14:textId="77777777" w:rsidR="009B5E39" w:rsidRPr="00374BCC" w:rsidRDefault="009B5E39" w:rsidP="00190E4A">
            <w:pPr>
              <w:rPr>
                <w:rFonts w:ascii="Gotham" w:hAnsi="Gotham" w:cs="Arial"/>
                <w:color w:val="000000"/>
                <w:sz w:val="19"/>
                <w:szCs w:val="19"/>
              </w:rPr>
            </w:pPr>
            <w:r w:rsidRPr="00374BCC">
              <w:rPr>
                <w:rFonts w:ascii="Gotham" w:hAnsi="Gotham" w:cs="Arial"/>
                <w:color w:val="000000"/>
                <w:sz w:val="19"/>
                <w:szCs w:val="19"/>
              </w:rPr>
              <w:t>Cassia tomentosa</w:t>
            </w:r>
          </w:p>
        </w:tc>
        <w:tc>
          <w:tcPr>
            <w:tcW w:w="1500" w:type="dxa"/>
            <w:tcBorders>
              <w:top w:val="nil"/>
              <w:left w:val="nil"/>
              <w:bottom w:val="single" w:sz="8" w:space="0" w:color="000000"/>
              <w:right w:val="nil"/>
            </w:tcBorders>
            <w:shd w:val="clear" w:color="auto" w:fill="auto"/>
            <w:noWrap/>
            <w:vAlign w:val="center"/>
            <w:hideMark/>
          </w:tcPr>
          <w:p w14:paraId="3A475359" w14:textId="77777777" w:rsidR="009B5E39" w:rsidRPr="00374BCC" w:rsidRDefault="009B5E39" w:rsidP="00190E4A">
            <w:pPr>
              <w:jc w:val="center"/>
              <w:rPr>
                <w:rFonts w:ascii="Gotham" w:hAnsi="Gotham" w:cs="Arial"/>
                <w:color w:val="000000"/>
                <w:sz w:val="19"/>
                <w:szCs w:val="19"/>
              </w:rPr>
            </w:pPr>
            <w:r w:rsidRPr="00374BCC">
              <w:rPr>
                <w:rFonts w:ascii="Gotham" w:hAnsi="Gotham" w:cs="Arial"/>
                <w:color w:val="000000"/>
                <w:sz w:val="19"/>
                <w:szCs w:val="19"/>
              </w:rPr>
              <w:t>Medio</w:t>
            </w:r>
          </w:p>
        </w:tc>
      </w:tr>
    </w:tbl>
    <w:p w14:paraId="3A47535B" w14:textId="77777777" w:rsidR="009B5E39" w:rsidRPr="00F81370" w:rsidRDefault="009B5E39" w:rsidP="009B5E39">
      <w:pPr>
        <w:ind w:left="284" w:right="283"/>
        <w:jc w:val="both"/>
        <w:rPr>
          <w:rFonts w:ascii="Gotham" w:hAnsi="Gotham" w:cs="Arial"/>
          <w:color w:val="000000" w:themeColor="text1"/>
          <w:sz w:val="19"/>
          <w:szCs w:val="19"/>
          <w:lang w:val="es-ES_tradnl"/>
        </w:rPr>
      </w:pPr>
    </w:p>
    <w:p w14:paraId="3A47535C" w14:textId="77777777" w:rsidR="009B5E39" w:rsidRPr="00F81370" w:rsidRDefault="009B5E39" w:rsidP="009B5E39">
      <w:pPr>
        <w:ind w:left="284" w:right="283"/>
        <w:jc w:val="both"/>
        <w:rPr>
          <w:rFonts w:ascii="Gotham" w:hAnsi="Gotham" w:cs="Arial"/>
          <w:color w:val="000000" w:themeColor="text1"/>
          <w:sz w:val="19"/>
          <w:szCs w:val="19"/>
          <w:lang w:val="es-ES_tradnl"/>
        </w:rPr>
      </w:pPr>
      <w:r w:rsidRPr="00F81370">
        <w:rPr>
          <w:rFonts w:ascii="Gotham" w:hAnsi="Gotham" w:cs="Arial"/>
          <w:color w:val="000000" w:themeColor="text1"/>
          <w:sz w:val="19"/>
          <w:szCs w:val="19"/>
          <w:lang w:val="es-ES_tradnl"/>
        </w:rPr>
        <w:t>Artículo 4.- Para franjas de pasto o tierra de 40 cuarenta a 75 setenta y cinco centímetros de ancho, por 90 noventa centímetros de largo como mínimo son adecuadas las siguientes especies:</w:t>
      </w:r>
    </w:p>
    <w:p w14:paraId="3A47535D" w14:textId="77777777" w:rsidR="009B5E39" w:rsidRPr="00F81370" w:rsidRDefault="009B5E39" w:rsidP="009B5E39">
      <w:pPr>
        <w:ind w:left="284" w:right="283"/>
        <w:jc w:val="both"/>
        <w:rPr>
          <w:rFonts w:ascii="Gotham" w:hAnsi="Gotham" w:cs="Arial"/>
          <w:color w:val="000000" w:themeColor="text1"/>
          <w:sz w:val="19"/>
          <w:szCs w:val="19"/>
          <w:lang w:val="es-ES_tradnl"/>
        </w:rPr>
      </w:pPr>
    </w:p>
    <w:tbl>
      <w:tblPr>
        <w:tblW w:w="7340" w:type="dxa"/>
        <w:jc w:val="center"/>
        <w:tblLook w:val="04A0" w:firstRow="1" w:lastRow="0" w:firstColumn="1" w:lastColumn="0" w:noHBand="0" w:noVBand="1"/>
      </w:tblPr>
      <w:tblGrid>
        <w:gridCol w:w="3120"/>
        <w:gridCol w:w="2720"/>
        <w:gridCol w:w="1500"/>
      </w:tblGrid>
      <w:tr w:rsidR="009B5E39" w:rsidRPr="000519E6" w14:paraId="3A475361" w14:textId="77777777" w:rsidTr="00190E4A">
        <w:trPr>
          <w:trHeight w:val="320"/>
          <w:jc w:val="center"/>
        </w:trPr>
        <w:tc>
          <w:tcPr>
            <w:tcW w:w="3120" w:type="dxa"/>
            <w:tcBorders>
              <w:top w:val="nil"/>
              <w:left w:val="nil"/>
              <w:bottom w:val="nil"/>
              <w:right w:val="nil"/>
            </w:tcBorders>
            <w:shd w:val="clear" w:color="D9D9D9" w:fill="D9D9D9"/>
            <w:noWrap/>
            <w:vAlign w:val="center"/>
            <w:hideMark/>
          </w:tcPr>
          <w:p w14:paraId="3A47535E" w14:textId="77777777" w:rsidR="009B5E39" w:rsidRPr="000519E6" w:rsidRDefault="009B5E39" w:rsidP="00190E4A">
            <w:pPr>
              <w:jc w:val="center"/>
              <w:rPr>
                <w:rFonts w:ascii="Gotham" w:hAnsi="Gotham" w:cs="Arial"/>
                <w:color w:val="000000"/>
                <w:sz w:val="19"/>
                <w:szCs w:val="19"/>
              </w:rPr>
            </w:pPr>
            <w:r w:rsidRPr="000519E6">
              <w:rPr>
                <w:rFonts w:ascii="Gotham" w:hAnsi="Gotham" w:cs="Arial"/>
                <w:b/>
                <w:bCs/>
                <w:color w:val="000000"/>
                <w:sz w:val="19"/>
                <w:szCs w:val="19"/>
              </w:rPr>
              <w:t>Nombre común</w:t>
            </w:r>
          </w:p>
        </w:tc>
        <w:tc>
          <w:tcPr>
            <w:tcW w:w="2720" w:type="dxa"/>
            <w:tcBorders>
              <w:top w:val="nil"/>
              <w:left w:val="nil"/>
              <w:bottom w:val="nil"/>
              <w:right w:val="nil"/>
            </w:tcBorders>
            <w:shd w:val="clear" w:color="D9D9D9" w:fill="D9D9D9"/>
            <w:noWrap/>
            <w:vAlign w:val="center"/>
            <w:hideMark/>
          </w:tcPr>
          <w:p w14:paraId="3A47535F" w14:textId="77777777" w:rsidR="009B5E39" w:rsidRPr="000519E6" w:rsidRDefault="009B5E39" w:rsidP="00190E4A">
            <w:pPr>
              <w:jc w:val="center"/>
              <w:rPr>
                <w:rFonts w:ascii="Gotham" w:hAnsi="Gotham" w:cs="Arial"/>
                <w:color w:val="000000"/>
                <w:sz w:val="19"/>
                <w:szCs w:val="19"/>
              </w:rPr>
            </w:pPr>
            <w:r w:rsidRPr="000519E6">
              <w:rPr>
                <w:rFonts w:ascii="Gotham" w:hAnsi="Gotham" w:cs="Arial"/>
                <w:b/>
                <w:bCs/>
                <w:color w:val="000000"/>
                <w:sz w:val="19"/>
                <w:szCs w:val="19"/>
              </w:rPr>
              <w:t>Nombre científico</w:t>
            </w:r>
          </w:p>
        </w:tc>
        <w:tc>
          <w:tcPr>
            <w:tcW w:w="1500" w:type="dxa"/>
            <w:tcBorders>
              <w:top w:val="nil"/>
              <w:left w:val="nil"/>
              <w:bottom w:val="nil"/>
              <w:right w:val="nil"/>
            </w:tcBorders>
            <w:shd w:val="clear" w:color="D9D9D9" w:fill="D9D9D9"/>
            <w:noWrap/>
            <w:vAlign w:val="center"/>
            <w:hideMark/>
          </w:tcPr>
          <w:p w14:paraId="3A475360" w14:textId="77777777" w:rsidR="009B5E39" w:rsidRPr="000519E6" w:rsidRDefault="009B5E39" w:rsidP="00190E4A">
            <w:pPr>
              <w:jc w:val="center"/>
              <w:rPr>
                <w:rFonts w:ascii="Gotham" w:hAnsi="Gotham" w:cs="Arial"/>
                <w:color w:val="000000"/>
                <w:sz w:val="19"/>
                <w:szCs w:val="19"/>
              </w:rPr>
            </w:pPr>
            <w:r w:rsidRPr="000519E6">
              <w:rPr>
                <w:rFonts w:ascii="Gotham" w:hAnsi="Gotham" w:cs="Arial"/>
                <w:b/>
                <w:bCs/>
                <w:color w:val="000000"/>
                <w:sz w:val="19"/>
                <w:szCs w:val="19"/>
              </w:rPr>
              <w:t>Riego</w:t>
            </w:r>
          </w:p>
        </w:tc>
      </w:tr>
      <w:tr w:rsidR="009B5E39" w:rsidRPr="000519E6" w14:paraId="3A475365"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62"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Duranta o Floripondio</w:t>
            </w:r>
          </w:p>
        </w:tc>
        <w:tc>
          <w:tcPr>
            <w:tcW w:w="2720" w:type="dxa"/>
            <w:tcBorders>
              <w:top w:val="nil"/>
              <w:left w:val="nil"/>
              <w:bottom w:val="nil"/>
              <w:right w:val="nil"/>
            </w:tcBorders>
            <w:shd w:val="clear" w:color="auto" w:fill="auto"/>
            <w:noWrap/>
            <w:vAlign w:val="center"/>
            <w:hideMark/>
          </w:tcPr>
          <w:p w14:paraId="3A475363"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Duranta arbórea</w:t>
            </w:r>
          </w:p>
        </w:tc>
        <w:tc>
          <w:tcPr>
            <w:tcW w:w="1500" w:type="dxa"/>
            <w:tcBorders>
              <w:top w:val="nil"/>
              <w:left w:val="nil"/>
              <w:bottom w:val="nil"/>
              <w:right w:val="nil"/>
            </w:tcBorders>
            <w:shd w:val="clear" w:color="auto" w:fill="auto"/>
            <w:noWrap/>
            <w:vAlign w:val="center"/>
            <w:hideMark/>
          </w:tcPr>
          <w:p w14:paraId="3A475364"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Alto</w:t>
            </w:r>
          </w:p>
        </w:tc>
      </w:tr>
      <w:tr w:rsidR="009B5E39" w:rsidRPr="000519E6" w14:paraId="3A475369" w14:textId="77777777" w:rsidTr="00190E4A">
        <w:trPr>
          <w:trHeight w:val="283"/>
          <w:jc w:val="center"/>
        </w:trPr>
        <w:tc>
          <w:tcPr>
            <w:tcW w:w="3120" w:type="dxa"/>
            <w:tcBorders>
              <w:top w:val="nil"/>
              <w:left w:val="nil"/>
              <w:bottom w:val="nil"/>
              <w:right w:val="nil"/>
            </w:tcBorders>
            <w:shd w:val="clear" w:color="D9D9D9" w:fill="D9D9D9"/>
            <w:vAlign w:val="center"/>
            <w:hideMark/>
          </w:tcPr>
          <w:p w14:paraId="3A475366"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Magnolia</w:t>
            </w:r>
          </w:p>
        </w:tc>
        <w:tc>
          <w:tcPr>
            <w:tcW w:w="2720" w:type="dxa"/>
            <w:tcBorders>
              <w:top w:val="nil"/>
              <w:left w:val="nil"/>
              <w:bottom w:val="nil"/>
              <w:right w:val="nil"/>
            </w:tcBorders>
            <w:shd w:val="clear" w:color="D9D9D9" w:fill="D9D9D9"/>
            <w:noWrap/>
            <w:vAlign w:val="center"/>
            <w:hideMark/>
          </w:tcPr>
          <w:p w14:paraId="3A475367"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Magnolia grandiflora</w:t>
            </w:r>
          </w:p>
        </w:tc>
        <w:tc>
          <w:tcPr>
            <w:tcW w:w="1500" w:type="dxa"/>
            <w:tcBorders>
              <w:top w:val="nil"/>
              <w:left w:val="nil"/>
              <w:bottom w:val="nil"/>
              <w:right w:val="nil"/>
            </w:tcBorders>
            <w:shd w:val="clear" w:color="D9D9D9" w:fill="D9D9D9"/>
            <w:noWrap/>
            <w:vAlign w:val="center"/>
            <w:hideMark/>
          </w:tcPr>
          <w:p w14:paraId="3A475368"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Alto</w:t>
            </w:r>
          </w:p>
        </w:tc>
      </w:tr>
      <w:tr w:rsidR="009B5E39" w:rsidRPr="000519E6" w14:paraId="3A47536D"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6A"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lastRenderedPageBreak/>
              <w:t>﻿﻿﻿﻿</w:t>
            </w:r>
            <w:r w:rsidRPr="000519E6">
              <w:rPr>
                <w:rFonts w:ascii="Gotham" w:hAnsi="Gotham" w:cs="Arial"/>
                <w:color w:val="000000"/>
                <w:sz w:val="19"/>
                <w:szCs w:val="19"/>
              </w:rPr>
              <w:t>Plátano</w:t>
            </w:r>
          </w:p>
        </w:tc>
        <w:tc>
          <w:tcPr>
            <w:tcW w:w="2720" w:type="dxa"/>
            <w:tcBorders>
              <w:top w:val="nil"/>
              <w:left w:val="nil"/>
              <w:bottom w:val="nil"/>
              <w:right w:val="nil"/>
            </w:tcBorders>
            <w:shd w:val="clear" w:color="auto" w:fill="auto"/>
            <w:noWrap/>
            <w:vAlign w:val="center"/>
            <w:hideMark/>
          </w:tcPr>
          <w:p w14:paraId="3A47536B"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Musa paradisiaca</w:t>
            </w:r>
          </w:p>
        </w:tc>
        <w:tc>
          <w:tcPr>
            <w:tcW w:w="1500" w:type="dxa"/>
            <w:tcBorders>
              <w:top w:val="nil"/>
              <w:left w:val="nil"/>
              <w:bottom w:val="nil"/>
              <w:right w:val="nil"/>
            </w:tcBorders>
            <w:shd w:val="clear" w:color="auto" w:fill="auto"/>
            <w:noWrap/>
            <w:vAlign w:val="center"/>
            <w:hideMark/>
          </w:tcPr>
          <w:p w14:paraId="3A47536C"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Alto</w:t>
            </w:r>
          </w:p>
        </w:tc>
      </w:tr>
      <w:tr w:rsidR="009B5E39" w:rsidRPr="000519E6" w14:paraId="3A475371"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6E"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Plúmbago</w:t>
            </w:r>
          </w:p>
        </w:tc>
        <w:tc>
          <w:tcPr>
            <w:tcW w:w="2720" w:type="dxa"/>
            <w:tcBorders>
              <w:top w:val="nil"/>
              <w:left w:val="nil"/>
              <w:bottom w:val="nil"/>
              <w:right w:val="nil"/>
            </w:tcBorders>
            <w:shd w:val="clear" w:color="D9D9D9" w:fill="D9D9D9"/>
            <w:noWrap/>
            <w:vAlign w:val="center"/>
            <w:hideMark/>
          </w:tcPr>
          <w:p w14:paraId="3A47536F"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Plumbago capensis</w:t>
            </w:r>
          </w:p>
        </w:tc>
        <w:tc>
          <w:tcPr>
            <w:tcW w:w="1500" w:type="dxa"/>
            <w:tcBorders>
              <w:top w:val="nil"/>
              <w:left w:val="nil"/>
              <w:bottom w:val="nil"/>
              <w:right w:val="nil"/>
            </w:tcBorders>
            <w:shd w:val="clear" w:color="D9D9D9" w:fill="D9D9D9"/>
            <w:noWrap/>
            <w:vAlign w:val="center"/>
            <w:hideMark/>
          </w:tcPr>
          <w:p w14:paraId="3A475370"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Alto</w:t>
            </w:r>
          </w:p>
        </w:tc>
      </w:tr>
      <w:tr w:rsidR="009B5E39" w:rsidRPr="000519E6" w14:paraId="3A475375"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72"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Tuia o Thuva</w:t>
            </w:r>
          </w:p>
        </w:tc>
        <w:tc>
          <w:tcPr>
            <w:tcW w:w="2720" w:type="dxa"/>
            <w:tcBorders>
              <w:top w:val="nil"/>
              <w:left w:val="nil"/>
              <w:bottom w:val="nil"/>
              <w:right w:val="nil"/>
            </w:tcBorders>
            <w:shd w:val="clear" w:color="auto" w:fill="auto"/>
            <w:noWrap/>
            <w:vAlign w:val="center"/>
            <w:hideMark/>
          </w:tcPr>
          <w:p w14:paraId="3A475373"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Thuya occidentalis</w:t>
            </w:r>
          </w:p>
        </w:tc>
        <w:tc>
          <w:tcPr>
            <w:tcW w:w="1500" w:type="dxa"/>
            <w:tcBorders>
              <w:top w:val="nil"/>
              <w:left w:val="nil"/>
              <w:bottom w:val="nil"/>
              <w:right w:val="nil"/>
            </w:tcBorders>
            <w:shd w:val="clear" w:color="auto" w:fill="auto"/>
            <w:noWrap/>
            <w:vAlign w:val="center"/>
            <w:hideMark/>
          </w:tcPr>
          <w:p w14:paraId="3A475374"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Bajo</w:t>
            </w:r>
          </w:p>
        </w:tc>
      </w:tr>
      <w:tr w:rsidR="009B5E39" w:rsidRPr="000519E6" w14:paraId="3A475379" w14:textId="77777777" w:rsidTr="00190E4A">
        <w:trPr>
          <w:trHeight w:val="283"/>
          <w:jc w:val="center"/>
        </w:trPr>
        <w:tc>
          <w:tcPr>
            <w:tcW w:w="3120" w:type="dxa"/>
            <w:tcBorders>
              <w:top w:val="nil"/>
              <w:left w:val="nil"/>
              <w:bottom w:val="nil"/>
              <w:right w:val="nil"/>
            </w:tcBorders>
            <w:shd w:val="clear" w:color="D9D9D9" w:fill="D9D9D9"/>
            <w:vAlign w:val="center"/>
            <w:hideMark/>
          </w:tcPr>
          <w:p w14:paraId="3A475376"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Amole</w:t>
            </w:r>
          </w:p>
        </w:tc>
        <w:tc>
          <w:tcPr>
            <w:tcW w:w="2720" w:type="dxa"/>
            <w:tcBorders>
              <w:top w:val="nil"/>
              <w:left w:val="nil"/>
              <w:bottom w:val="nil"/>
              <w:right w:val="nil"/>
            </w:tcBorders>
            <w:shd w:val="clear" w:color="D9D9D9" w:fill="D9D9D9"/>
            <w:noWrap/>
            <w:vAlign w:val="center"/>
            <w:hideMark/>
          </w:tcPr>
          <w:p w14:paraId="3A475377"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Polianthes tuberosa</w:t>
            </w:r>
          </w:p>
        </w:tc>
        <w:tc>
          <w:tcPr>
            <w:tcW w:w="1500" w:type="dxa"/>
            <w:tcBorders>
              <w:top w:val="nil"/>
              <w:left w:val="nil"/>
              <w:bottom w:val="nil"/>
              <w:right w:val="nil"/>
            </w:tcBorders>
            <w:shd w:val="clear" w:color="D9D9D9" w:fill="D9D9D9"/>
            <w:noWrap/>
            <w:vAlign w:val="center"/>
            <w:hideMark/>
          </w:tcPr>
          <w:p w14:paraId="3A475378"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Bajo</w:t>
            </w:r>
          </w:p>
        </w:tc>
      </w:tr>
      <w:tr w:rsidR="009B5E39" w:rsidRPr="000519E6" w14:paraId="3A47537D"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7A"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Ayoyote</w:t>
            </w:r>
          </w:p>
        </w:tc>
        <w:tc>
          <w:tcPr>
            <w:tcW w:w="2720" w:type="dxa"/>
            <w:tcBorders>
              <w:top w:val="nil"/>
              <w:left w:val="nil"/>
              <w:bottom w:val="nil"/>
              <w:right w:val="nil"/>
            </w:tcBorders>
            <w:shd w:val="clear" w:color="auto" w:fill="auto"/>
            <w:noWrap/>
            <w:vAlign w:val="center"/>
            <w:hideMark/>
          </w:tcPr>
          <w:p w14:paraId="3A47537B"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Thevetia ovata</w:t>
            </w:r>
          </w:p>
        </w:tc>
        <w:tc>
          <w:tcPr>
            <w:tcW w:w="1500" w:type="dxa"/>
            <w:tcBorders>
              <w:top w:val="nil"/>
              <w:left w:val="nil"/>
              <w:bottom w:val="nil"/>
              <w:right w:val="nil"/>
            </w:tcBorders>
            <w:shd w:val="clear" w:color="auto" w:fill="auto"/>
            <w:noWrap/>
            <w:vAlign w:val="center"/>
            <w:hideMark/>
          </w:tcPr>
          <w:p w14:paraId="3A47537C"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Bajo</w:t>
            </w:r>
          </w:p>
        </w:tc>
      </w:tr>
      <w:tr w:rsidR="009B5E39" w:rsidRPr="000519E6" w14:paraId="3A475381"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7E"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 xml:space="preserve">Parotilla </w:t>
            </w:r>
          </w:p>
        </w:tc>
        <w:tc>
          <w:tcPr>
            <w:tcW w:w="2720" w:type="dxa"/>
            <w:tcBorders>
              <w:top w:val="nil"/>
              <w:left w:val="nil"/>
              <w:bottom w:val="nil"/>
              <w:right w:val="nil"/>
            </w:tcBorders>
            <w:shd w:val="clear" w:color="D9D9D9" w:fill="D9D9D9"/>
            <w:noWrap/>
            <w:vAlign w:val="center"/>
            <w:hideMark/>
          </w:tcPr>
          <w:p w14:paraId="3A47537F"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 xml:space="preserve">Lysiloma spp </w:t>
            </w:r>
          </w:p>
        </w:tc>
        <w:tc>
          <w:tcPr>
            <w:tcW w:w="1500" w:type="dxa"/>
            <w:tcBorders>
              <w:top w:val="nil"/>
              <w:left w:val="nil"/>
              <w:bottom w:val="nil"/>
              <w:right w:val="nil"/>
            </w:tcBorders>
            <w:shd w:val="clear" w:color="D9D9D9" w:fill="D9D9D9"/>
            <w:noWrap/>
            <w:vAlign w:val="center"/>
            <w:hideMark/>
          </w:tcPr>
          <w:p w14:paraId="3A475380"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Bajo</w:t>
            </w:r>
          </w:p>
        </w:tc>
      </w:tr>
      <w:tr w:rsidR="009B5E39" w:rsidRPr="000519E6" w14:paraId="3A475385"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82"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 xml:space="preserve">Vara Dulce </w:t>
            </w:r>
          </w:p>
        </w:tc>
        <w:tc>
          <w:tcPr>
            <w:tcW w:w="2720" w:type="dxa"/>
            <w:tcBorders>
              <w:top w:val="nil"/>
              <w:left w:val="nil"/>
              <w:bottom w:val="nil"/>
              <w:right w:val="nil"/>
            </w:tcBorders>
            <w:shd w:val="clear" w:color="auto" w:fill="auto"/>
            <w:noWrap/>
            <w:vAlign w:val="center"/>
            <w:hideMark/>
          </w:tcPr>
          <w:p w14:paraId="3A475383"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Eysenhardia polystachia</w:t>
            </w:r>
          </w:p>
        </w:tc>
        <w:tc>
          <w:tcPr>
            <w:tcW w:w="1500" w:type="dxa"/>
            <w:tcBorders>
              <w:top w:val="nil"/>
              <w:left w:val="nil"/>
              <w:bottom w:val="nil"/>
              <w:right w:val="nil"/>
            </w:tcBorders>
            <w:shd w:val="clear" w:color="auto" w:fill="auto"/>
            <w:noWrap/>
            <w:vAlign w:val="center"/>
            <w:hideMark/>
          </w:tcPr>
          <w:p w14:paraId="3A475384"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Bajo</w:t>
            </w:r>
          </w:p>
        </w:tc>
      </w:tr>
      <w:tr w:rsidR="009B5E39" w:rsidRPr="000519E6" w14:paraId="3A475389"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86"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Orquídea Árbol</w:t>
            </w:r>
          </w:p>
        </w:tc>
        <w:tc>
          <w:tcPr>
            <w:tcW w:w="2720" w:type="dxa"/>
            <w:tcBorders>
              <w:top w:val="nil"/>
              <w:left w:val="nil"/>
              <w:bottom w:val="nil"/>
              <w:right w:val="nil"/>
            </w:tcBorders>
            <w:shd w:val="clear" w:color="D9D9D9" w:fill="D9D9D9"/>
            <w:noWrap/>
            <w:vAlign w:val="center"/>
            <w:hideMark/>
          </w:tcPr>
          <w:p w14:paraId="3A475387"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Orquídea riegata</w:t>
            </w:r>
          </w:p>
        </w:tc>
        <w:tc>
          <w:tcPr>
            <w:tcW w:w="1500" w:type="dxa"/>
            <w:tcBorders>
              <w:top w:val="nil"/>
              <w:left w:val="nil"/>
              <w:bottom w:val="nil"/>
              <w:right w:val="nil"/>
            </w:tcBorders>
            <w:shd w:val="clear" w:color="D9D9D9" w:fill="D9D9D9"/>
            <w:noWrap/>
            <w:vAlign w:val="center"/>
            <w:hideMark/>
          </w:tcPr>
          <w:p w14:paraId="3A475388"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8D"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8A"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Bauginea o Pata de Vaca</w:t>
            </w:r>
          </w:p>
        </w:tc>
        <w:tc>
          <w:tcPr>
            <w:tcW w:w="2720" w:type="dxa"/>
            <w:tcBorders>
              <w:top w:val="nil"/>
              <w:left w:val="nil"/>
              <w:bottom w:val="nil"/>
              <w:right w:val="nil"/>
            </w:tcBorders>
            <w:shd w:val="clear" w:color="auto" w:fill="auto"/>
            <w:noWrap/>
            <w:vAlign w:val="center"/>
            <w:hideMark/>
          </w:tcPr>
          <w:p w14:paraId="3A47538B"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Bahuinia variegata</w:t>
            </w:r>
          </w:p>
        </w:tc>
        <w:tc>
          <w:tcPr>
            <w:tcW w:w="1500" w:type="dxa"/>
            <w:tcBorders>
              <w:top w:val="nil"/>
              <w:left w:val="nil"/>
              <w:bottom w:val="nil"/>
              <w:right w:val="nil"/>
            </w:tcBorders>
            <w:shd w:val="clear" w:color="auto" w:fill="auto"/>
            <w:noWrap/>
            <w:vAlign w:val="center"/>
            <w:hideMark/>
          </w:tcPr>
          <w:p w14:paraId="3A47538C"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91"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8E"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Eugenia o Cerezo de Cayena</w:t>
            </w:r>
          </w:p>
        </w:tc>
        <w:tc>
          <w:tcPr>
            <w:tcW w:w="2720" w:type="dxa"/>
            <w:tcBorders>
              <w:top w:val="nil"/>
              <w:left w:val="nil"/>
              <w:bottom w:val="nil"/>
              <w:right w:val="nil"/>
            </w:tcBorders>
            <w:shd w:val="clear" w:color="D9D9D9" w:fill="D9D9D9"/>
            <w:noWrap/>
            <w:vAlign w:val="center"/>
            <w:hideMark/>
          </w:tcPr>
          <w:p w14:paraId="3A47538F"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Eugenia unifloro</w:t>
            </w:r>
          </w:p>
        </w:tc>
        <w:tc>
          <w:tcPr>
            <w:tcW w:w="1500" w:type="dxa"/>
            <w:tcBorders>
              <w:top w:val="nil"/>
              <w:left w:val="nil"/>
              <w:bottom w:val="nil"/>
              <w:right w:val="nil"/>
            </w:tcBorders>
            <w:shd w:val="clear" w:color="D9D9D9" w:fill="D9D9D9"/>
            <w:noWrap/>
            <w:vAlign w:val="center"/>
            <w:hideMark/>
          </w:tcPr>
          <w:p w14:paraId="3A475390"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95"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92"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Guavabo</w:t>
            </w:r>
          </w:p>
        </w:tc>
        <w:tc>
          <w:tcPr>
            <w:tcW w:w="2720" w:type="dxa"/>
            <w:tcBorders>
              <w:top w:val="nil"/>
              <w:left w:val="nil"/>
              <w:bottom w:val="nil"/>
              <w:right w:val="nil"/>
            </w:tcBorders>
            <w:shd w:val="clear" w:color="auto" w:fill="auto"/>
            <w:noWrap/>
            <w:vAlign w:val="center"/>
            <w:hideMark/>
          </w:tcPr>
          <w:p w14:paraId="3A475393"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Psidium guajaba</w:t>
            </w:r>
          </w:p>
        </w:tc>
        <w:tc>
          <w:tcPr>
            <w:tcW w:w="1500" w:type="dxa"/>
            <w:tcBorders>
              <w:top w:val="nil"/>
              <w:left w:val="nil"/>
              <w:bottom w:val="nil"/>
              <w:right w:val="nil"/>
            </w:tcBorders>
            <w:shd w:val="clear" w:color="auto" w:fill="auto"/>
            <w:noWrap/>
            <w:vAlign w:val="center"/>
            <w:hideMark/>
          </w:tcPr>
          <w:p w14:paraId="3A475394"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99"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96"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Rosa Laurel</w:t>
            </w:r>
          </w:p>
        </w:tc>
        <w:tc>
          <w:tcPr>
            <w:tcW w:w="2720" w:type="dxa"/>
            <w:tcBorders>
              <w:top w:val="nil"/>
              <w:left w:val="nil"/>
              <w:bottom w:val="nil"/>
              <w:right w:val="nil"/>
            </w:tcBorders>
            <w:shd w:val="clear" w:color="D9D9D9" w:fill="D9D9D9"/>
            <w:noWrap/>
            <w:vAlign w:val="center"/>
            <w:hideMark/>
          </w:tcPr>
          <w:p w14:paraId="3A475397"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Nerium oleander</w:t>
            </w:r>
          </w:p>
        </w:tc>
        <w:tc>
          <w:tcPr>
            <w:tcW w:w="1500" w:type="dxa"/>
            <w:tcBorders>
              <w:top w:val="nil"/>
              <w:left w:val="nil"/>
              <w:bottom w:val="nil"/>
              <w:right w:val="nil"/>
            </w:tcBorders>
            <w:shd w:val="clear" w:color="D9D9D9" w:fill="D9D9D9"/>
            <w:noWrap/>
            <w:vAlign w:val="center"/>
            <w:hideMark/>
          </w:tcPr>
          <w:p w14:paraId="3A475398"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9D"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9A"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Cítricos Lima, Limón, Naranjo Agrio</w:t>
            </w:r>
          </w:p>
        </w:tc>
        <w:tc>
          <w:tcPr>
            <w:tcW w:w="2720" w:type="dxa"/>
            <w:tcBorders>
              <w:top w:val="nil"/>
              <w:left w:val="nil"/>
              <w:bottom w:val="nil"/>
              <w:right w:val="nil"/>
            </w:tcBorders>
            <w:shd w:val="clear" w:color="auto" w:fill="auto"/>
            <w:noWrap/>
            <w:vAlign w:val="center"/>
            <w:hideMark/>
          </w:tcPr>
          <w:p w14:paraId="3A47539B"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Citruss ssp</w:t>
            </w:r>
          </w:p>
        </w:tc>
        <w:tc>
          <w:tcPr>
            <w:tcW w:w="1500" w:type="dxa"/>
            <w:tcBorders>
              <w:top w:val="nil"/>
              <w:left w:val="nil"/>
              <w:bottom w:val="nil"/>
              <w:right w:val="nil"/>
            </w:tcBorders>
            <w:shd w:val="clear" w:color="auto" w:fill="auto"/>
            <w:noWrap/>
            <w:vAlign w:val="center"/>
            <w:hideMark/>
          </w:tcPr>
          <w:p w14:paraId="3A47539C"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A1"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9E"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Arraván</w:t>
            </w:r>
          </w:p>
        </w:tc>
        <w:tc>
          <w:tcPr>
            <w:tcW w:w="2720" w:type="dxa"/>
            <w:tcBorders>
              <w:top w:val="nil"/>
              <w:left w:val="nil"/>
              <w:bottom w:val="nil"/>
              <w:right w:val="nil"/>
            </w:tcBorders>
            <w:shd w:val="clear" w:color="D9D9D9" w:fill="D9D9D9"/>
            <w:noWrap/>
            <w:vAlign w:val="center"/>
            <w:hideMark/>
          </w:tcPr>
          <w:p w14:paraId="3A47539F"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Psidium sartorianum</w:t>
            </w:r>
          </w:p>
        </w:tc>
        <w:tc>
          <w:tcPr>
            <w:tcW w:w="1500" w:type="dxa"/>
            <w:tcBorders>
              <w:top w:val="nil"/>
              <w:left w:val="nil"/>
              <w:bottom w:val="nil"/>
              <w:right w:val="nil"/>
            </w:tcBorders>
            <w:shd w:val="clear" w:color="D9D9D9" w:fill="D9D9D9"/>
            <w:noWrap/>
            <w:vAlign w:val="center"/>
            <w:hideMark/>
          </w:tcPr>
          <w:p w14:paraId="3A4753A0"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A5"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A2"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Atmosférica</w:t>
            </w:r>
          </w:p>
        </w:tc>
        <w:tc>
          <w:tcPr>
            <w:tcW w:w="2720" w:type="dxa"/>
            <w:tcBorders>
              <w:top w:val="nil"/>
              <w:left w:val="nil"/>
              <w:bottom w:val="nil"/>
              <w:right w:val="nil"/>
            </w:tcBorders>
            <w:shd w:val="clear" w:color="auto" w:fill="auto"/>
            <w:noWrap/>
            <w:vAlign w:val="center"/>
            <w:hideMark/>
          </w:tcPr>
          <w:p w14:paraId="3A4753A3"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Langerstroemia inidica</w:t>
            </w:r>
          </w:p>
        </w:tc>
        <w:tc>
          <w:tcPr>
            <w:tcW w:w="1500" w:type="dxa"/>
            <w:tcBorders>
              <w:top w:val="nil"/>
              <w:left w:val="nil"/>
              <w:bottom w:val="nil"/>
              <w:right w:val="nil"/>
            </w:tcBorders>
            <w:shd w:val="clear" w:color="auto" w:fill="auto"/>
            <w:noWrap/>
            <w:vAlign w:val="center"/>
            <w:hideMark/>
          </w:tcPr>
          <w:p w14:paraId="3A4753A4"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A9"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A6"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Bugambilia</w:t>
            </w:r>
          </w:p>
        </w:tc>
        <w:tc>
          <w:tcPr>
            <w:tcW w:w="2720" w:type="dxa"/>
            <w:tcBorders>
              <w:top w:val="nil"/>
              <w:left w:val="nil"/>
              <w:bottom w:val="nil"/>
              <w:right w:val="nil"/>
            </w:tcBorders>
            <w:shd w:val="clear" w:color="D9D9D9" w:fill="D9D9D9"/>
            <w:noWrap/>
            <w:vAlign w:val="center"/>
            <w:hideMark/>
          </w:tcPr>
          <w:p w14:paraId="3A4753A7"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Bougainvillea spectabilis</w:t>
            </w:r>
          </w:p>
        </w:tc>
        <w:tc>
          <w:tcPr>
            <w:tcW w:w="1500" w:type="dxa"/>
            <w:tcBorders>
              <w:top w:val="nil"/>
              <w:left w:val="nil"/>
              <w:bottom w:val="nil"/>
              <w:right w:val="nil"/>
            </w:tcBorders>
            <w:shd w:val="clear" w:color="D9D9D9" w:fill="D9D9D9"/>
            <w:noWrap/>
            <w:vAlign w:val="center"/>
            <w:hideMark/>
          </w:tcPr>
          <w:p w14:paraId="3A4753A8"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AD"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AA"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Granado</w:t>
            </w:r>
          </w:p>
        </w:tc>
        <w:tc>
          <w:tcPr>
            <w:tcW w:w="2720" w:type="dxa"/>
            <w:tcBorders>
              <w:top w:val="nil"/>
              <w:left w:val="nil"/>
              <w:bottom w:val="nil"/>
              <w:right w:val="nil"/>
            </w:tcBorders>
            <w:shd w:val="clear" w:color="auto" w:fill="auto"/>
            <w:noWrap/>
            <w:vAlign w:val="center"/>
            <w:hideMark/>
          </w:tcPr>
          <w:p w14:paraId="3A4753AB"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Punica granatum</w:t>
            </w:r>
          </w:p>
        </w:tc>
        <w:tc>
          <w:tcPr>
            <w:tcW w:w="1500" w:type="dxa"/>
            <w:tcBorders>
              <w:top w:val="nil"/>
              <w:left w:val="nil"/>
              <w:bottom w:val="nil"/>
              <w:right w:val="nil"/>
            </w:tcBorders>
            <w:shd w:val="clear" w:color="auto" w:fill="auto"/>
            <w:noWrap/>
            <w:vAlign w:val="center"/>
            <w:hideMark/>
          </w:tcPr>
          <w:p w14:paraId="3A4753AC"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r w:rsidR="009B5E39" w:rsidRPr="000519E6" w14:paraId="3A4753B1" w14:textId="77777777" w:rsidTr="00190E4A">
        <w:trPr>
          <w:trHeight w:val="283"/>
          <w:jc w:val="center"/>
        </w:trPr>
        <w:tc>
          <w:tcPr>
            <w:tcW w:w="3120" w:type="dxa"/>
            <w:tcBorders>
              <w:top w:val="nil"/>
              <w:left w:val="nil"/>
              <w:bottom w:val="single" w:sz="4" w:space="0" w:color="000000"/>
              <w:right w:val="nil"/>
            </w:tcBorders>
            <w:shd w:val="clear" w:color="D9D9D9" w:fill="D9D9D9"/>
            <w:noWrap/>
            <w:vAlign w:val="center"/>
            <w:hideMark/>
          </w:tcPr>
          <w:p w14:paraId="3A4753AE" w14:textId="77777777" w:rsidR="009B5E39" w:rsidRPr="000519E6" w:rsidRDefault="009B5E39" w:rsidP="00190E4A">
            <w:pPr>
              <w:rPr>
                <w:rFonts w:ascii="Gotham" w:hAnsi="Gotham" w:cs="Arial"/>
                <w:color w:val="000000"/>
                <w:sz w:val="19"/>
                <w:szCs w:val="19"/>
              </w:rPr>
            </w:pPr>
            <w:r w:rsidRPr="000519E6">
              <w:rPr>
                <w:rFonts w:ascii="Tahoma" w:hAnsi="Tahoma" w:cs="Tahoma"/>
                <w:color w:val="000000"/>
                <w:sz w:val="19"/>
                <w:szCs w:val="19"/>
              </w:rPr>
              <w:t>﻿﻿﻿﻿</w:t>
            </w:r>
            <w:r w:rsidRPr="000519E6">
              <w:rPr>
                <w:rFonts w:ascii="Gotham" w:hAnsi="Gotham" w:cs="Arial"/>
                <w:color w:val="000000"/>
                <w:sz w:val="19"/>
                <w:szCs w:val="19"/>
              </w:rPr>
              <w:t>Codo de Fraile</w:t>
            </w:r>
          </w:p>
        </w:tc>
        <w:tc>
          <w:tcPr>
            <w:tcW w:w="2720" w:type="dxa"/>
            <w:tcBorders>
              <w:top w:val="nil"/>
              <w:left w:val="nil"/>
              <w:bottom w:val="single" w:sz="4" w:space="0" w:color="000000"/>
              <w:right w:val="nil"/>
            </w:tcBorders>
            <w:shd w:val="clear" w:color="D9D9D9" w:fill="D9D9D9"/>
            <w:noWrap/>
            <w:vAlign w:val="center"/>
            <w:hideMark/>
          </w:tcPr>
          <w:p w14:paraId="3A4753AF" w14:textId="77777777" w:rsidR="009B5E39" w:rsidRPr="000519E6" w:rsidRDefault="009B5E39" w:rsidP="00190E4A">
            <w:pPr>
              <w:rPr>
                <w:rFonts w:ascii="Gotham" w:hAnsi="Gotham" w:cs="Arial"/>
                <w:color w:val="000000"/>
                <w:sz w:val="19"/>
                <w:szCs w:val="19"/>
              </w:rPr>
            </w:pPr>
            <w:r w:rsidRPr="000519E6">
              <w:rPr>
                <w:rFonts w:ascii="Gotham" w:hAnsi="Gotham" w:cs="Arial"/>
                <w:color w:val="000000"/>
                <w:sz w:val="19"/>
                <w:szCs w:val="19"/>
              </w:rPr>
              <w:t>Thevetia ferubiana</w:t>
            </w:r>
          </w:p>
        </w:tc>
        <w:tc>
          <w:tcPr>
            <w:tcW w:w="1500" w:type="dxa"/>
            <w:tcBorders>
              <w:top w:val="nil"/>
              <w:left w:val="nil"/>
              <w:bottom w:val="single" w:sz="4" w:space="0" w:color="000000"/>
              <w:right w:val="nil"/>
            </w:tcBorders>
            <w:shd w:val="clear" w:color="D9D9D9" w:fill="D9D9D9"/>
            <w:noWrap/>
            <w:vAlign w:val="center"/>
            <w:hideMark/>
          </w:tcPr>
          <w:p w14:paraId="3A4753B0" w14:textId="77777777" w:rsidR="009B5E39" w:rsidRPr="000519E6" w:rsidRDefault="009B5E39" w:rsidP="00190E4A">
            <w:pPr>
              <w:jc w:val="center"/>
              <w:rPr>
                <w:rFonts w:ascii="Gotham" w:hAnsi="Gotham" w:cs="Arial"/>
                <w:color w:val="000000"/>
                <w:sz w:val="19"/>
                <w:szCs w:val="19"/>
              </w:rPr>
            </w:pPr>
            <w:r w:rsidRPr="000519E6">
              <w:rPr>
                <w:rFonts w:ascii="Gotham" w:hAnsi="Gotham" w:cs="Arial"/>
                <w:color w:val="000000"/>
                <w:sz w:val="19"/>
                <w:szCs w:val="19"/>
              </w:rPr>
              <w:t>Medio</w:t>
            </w:r>
          </w:p>
        </w:tc>
      </w:tr>
    </w:tbl>
    <w:p w14:paraId="3A4753B2" w14:textId="77777777" w:rsidR="009B5E39" w:rsidRPr="000519E6" w:rsidRDefault="009B5E39" w:rsidP="009B5E39">
      <w:pPr>
        <w:ind w:left="284" w:right="283"/>
        <w:jc w:val="both"/>
        <w:rPr>
          <w:rFonts w:ascii="Gotham" w:hAnsi="Gotham" w:cs="Arial"/>
          <w:color w:val="000000" w:themeColor="text1"/>
          <w:sz w:val="19"/>
          <w:szCs w:val="19"/>
          <w:lang w:val="es-ES_tradnl"/>
        </w:rPr>
      </w:pPr>
    </w:p>
    <w:p w14:paraId="3A4753B3" w14:textId="77777777" w:rsidR="009B5E39" w:rsidRPr="000519E6" w:rsidRDefault="009B5E39" w:rsidP="009B5E39">
      <w:pPr>
        <w:ind w:left="284" w:right="283"/>
        <w:jc w:val="both"/>
        <w:rPr>
          <w:rFonts w:ascii="Gotham" w:hAnsi="Gotham" w:cs="Arial"/>
          <w:color w:val="000000" w:themeColor="text1"/>
          <w:sz w:val="19"/>
          <w:szCs w:val="19"/>
          <w:lang w:val="es-ES_tradnl"/>
        </w:rPr>
      </w:pPr>
      <w:r w:rsidRPr="000519E6">
        <w:rPr>
          <w:rFonts w:ascii="Gotham" w:hAnsi="Gotham" w:cs="Arial"/>
          <w:color w:val="000000" w:themeColor="text1"/>
          <w:sz w:val="19"/>
          <w:szCs w:val="19"/>
          <w:lang w:val="es-ES_tradnl"/>
        </w:rPr>
        <w:t>Artículo 5.- Para franjas de pasto o tierra de 75 setenta y cinco centímetros a 1.20 uno punto veinte metros de ancho, por 1.40 uno punto cuarenta metros de largo como mínimo, son adecuadas las siguientes especies:</w:t>
      </w:r>
    </w:p>
    <w:p w14:paraId="3A4753B4" w14:textId="77777777" w:rsidR="009B5E39" w:rsidRPr="000519E6" w:rsidRDefault="009B5E39" w:rsidP="009B5E39">
      <w:pPr>
        <w:ind w:left="284" w:right="283"/>
        <w:jc w:val="both"/>
        <w:rPr>
          <w:rFonts w:ascii="Gotham" w:hAnsi="Gotham" w:cs="Arial"/>
          <w:color w:val="000000" w:themeColor="text1"/>
          <w:sz w:val="19"/>
          <w:szCs w:val="19"/>
          <w:lang w:val="es-ES_tradnl"/>
        </w:rPr>
      </w:pPr>
    </w:p>
    <w:tbl>
      <w:tblPr>
        <w:tblW w:w="7465" w:type="dxa"/>
        <w:jc w:val="center"/>
        <w:tblLook w:val="04A0" w:firstRow="1" w:lastRow="0" w:firstColumn="1" w:lastColumn="0" w:noHBand="0" w:noVBand="1"/>
      </w:tblPr>
      <w:tblGrid>
        <w:gridCol w:w="3120"/>
        <w:gridCol w:w="2845"/>
        <w:gridCol w:w="1500"/>
      </w:tblGrid>
      <w:tr w:rsidR="009B5E39" w:rsidRPr="003A71BD" w14:paraId="3A4753B8" w14:textId="77777777" w:rsidTr="00190E4A">
        <w:trPr>
          <w:trHeight w:val="340"/>
          <w:jc w:val="center"/>
        </w:trPr>
        <w:tc>
          <w:tcPr>
            <w:tcW w:w="3120" w:type="dxa"/>
            <w:tcBorders>
              <w:top w:val="single" w:sz="4" w:space="0" w:color="000000"/>
              <w:left w:val="nil"/>
              <w:bottom w:val="single" w:sz="4" w:space="0" w:color="000000"/>
              <w:right w:val="nil"/>
            </w:tcBorders>
            <w:shd w:val="clear" w:color="auto" w:fill="auto"/>
            <w:noWrap/>
            <w:vAlign w:val="center"/>
            <w:hideMark/>
          </w:tcPr>
          <w:p w14:paraId="3A4753B5" w14:textId="77777777" w:rsidR="009B5E39" w:rsidRPr="003A71BD" w:rsidRDefault="009B5E39" w:rsidP="00190E4A">
            <w:pPr>
              <w:jc w:val="center"/>
              <w:rPr>
                <w:rFonts w:ascii="Gotham" w:hAnsi="Gotham" w:cs="Arial"/>
                <w:b/>
                <w:bCs/>
                <w:color w:val="000000"/>
                <w:sz w:val="19"/>
                <w:szCs w:val="19"/>
              </w:rPr>
            </w:pPr>
            <w:r w:rsidRPr="003A71BD">
              <w:rPr>
                <w:rFonts w:ascii="Gotham" w:hAnsi="Gotham" w:cs="Arial"/>
                <w:b/>
                <w:bCs/>
                <w:color w:val="000000"/>
                <w:sz w:val="19"/>
                <w:szCs w:val="19"/>
              </w:rPr>
              <w:t>Nombre común</w:t>
            </w:r>
          </w:p>
        </w:tc>
        <w:tc>
          <w:tcPr>
            <w:tcW w:w="2845" w:type="dxa"/>
            <w:tcBorders>
              <w:top w:val="single" w:sz="4" w:space="0" w:color="000000"/>
              <w:left w:val="nil"/>
              <w:bottom w:val="single" w:sz="4" w:space="0" w:color="000000"/>
              <w:right w:val="nil"/>
            </w:tcBorders>
            <w:shd w:val="clear" w:color="auto" w:fill="auto"/>
            <w:noWrap/>
            <w:vAlign w:val="center"/>
            <w:hideMark/>
          </w:tcPr>
          <w:p w14:paraId="3A4753B6" w14:textId="77777777" w:rsidR="009B5E39" w:rsidRPr="003A71BD" w:rsidRDefault="009B5E39" w:rsidP="00190E4A">
            <w:pPr>
              <w:jc w:val="center"/>
              <w:rPr>
                <w:rFonts w:ascii="Gotham" w:hAnsi="Gotham" w:cs="Arial"/>
                <w:b/>
                <w:bCs/>
                <w:color w:val="000000"/>
                <w:sz w:val="19"/>
                <w:szCs w:val="19"/>
              </w:rPr>
            </w:pPr>
            <w:r w:rsidRPr="003A71BD">
              <w:rPr>
                <w:rFonts w:ascii="Gotham" w:hAnsi="Gotham" w:cs="Arial"/>
                <w:b/>
                <w:bCs/>
                <w:color w:val="000000"/>
                <w:sz w:val="19"/>
                <w:szCs w:val="19"/>
              </w:rPr>
              <w:t>Nombre científico</w:t>
            </w:r>
          </w:p>
        </w:tc>
        <w:tc>
          <w:tcPr>
            <w:tcW w:w="1500" w:type="dxa"/>
            <w:tcBorders>
              <w:top w:val="single" w:sz="4" w:space="0" w:color="000000"/>
              <w:left w:val="nil"/>
              <w:bottom w:val="single" w:sz="4" w:space="0" w:color="000000"/>
              <w:right w:val="nil"/>
            </w:tcBorders>
            <w:shd w:val="clear" w:color="auto" w:fill="auto"/>
            <w:noWrap/>
            <w:vAlign w:val="center"/>
            <w:hideMark/>
          </w:tcPr>
          <w:p w14:paraId="3A4753B7" w14:textId="77777777" w:rsidR="009B5E39" w:rsidRPr="003A71BD" w:rsidRDefault="009B5E39" w:rsidP="00190E4A">
            <w:pPr>
              <w:jc w:val="center"/>
              <w:rPr>
                <w:rFonts w:ascii="Gotham" w:hAnsi="Gotham" w:cs="Arial"/>
                <w:b/>
                <w:bCs/>
                <w:color w:val="000000"/>
                <w:sz w:val="19"/>
                <w:szCs w:val="19"/>
              </w:rPr>
            </w:pPr>
            <w:r w:rsidRPr="003A71BD">
              <w:rPr>
                <w:rFonts w:ascii="Gotham" w:hAnsi="Gotham" w:cs="Arial"/>
                <w:b/>
                <w:bCs/>
                <w:color w:val="000000"/>
                <w:sz w:val="19"/>
                <w:szCs w:val="19"/>
              </w:rPr>
              <w:t>Riego</w:t>
            </w:r>
          </w:p>
        </w:tc>
      </w:tr>
      <w:tr w:rsidR="009B5E39" w:rsidRPr="003A71BD" w14:paraId="3A4753BC"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B9"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Liquidambar</w:t>
            </w:r>
          </w:p>
        </w:tc>
        <w:tc>
          <w:tcPr>
            <w:tcW w:w="2845" w:type="dxa"/>
            <w:tcBorders>
              <w:top w:val="nil"/>
              <w:left w:val="nil"/>
              <w:bottom w:val="nil"/>
              <w:right w:val="nil"/>
            </w:tcBorders>
            <w:shd w:val="clear" w:color="D9D9D9" w:fill="D9D9D9"/>
            <w:noWrap/>
            <w:vAlign w:val="center"/>
            <w:hideMark/>
          </w:tcPr>
          <w:p w14:paraId="3A4753BA"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Liquidambar styraciflus</w:t>
            </w:r>
          </w:p>
        </w:tc>
        <w:tc>
          <w:tcPr>
            <w:tcW w:w="1500" w:type="dxa"/>
            <w:tcBorders>
              <w:top w:val="nil"/>
              <w:left w:val="nil"/>
              <w:bottom w:val="nil"/>
              <w:right w:val="nil"/>
            </w:tcBorders>
            <w:shd w:val="clear" w:color="D9D9D9" w:fill="D9D9D9"/>
            <w:noWrap/>
            <w:vAlign w:val="center"/>
            <w:hideMark/>
          </w:tcPr>
          <w:p w14:paraId="3A4753BB"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Alto</w:t>
            </w:r>
          </w:p>
        </w:tc>
      </w:tr>
      <w:tr w:rsidR="009B5E39" w:rsidRPr="003A71BD" w14:paraId="3A4753C0"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BD"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Durazno</w:t>
            </w:r>
          </w:p>
        </w:tc>
        <w:tc>
          <w:tcPr>
            <w:tcW w:w="2845" w:type="dxa"/>
            <w:tcBorders>
              <w:top w:val="nil"/>
              <w:left w:val="nil"/>
              <w:bottom w:val="nil"/>
              <w:right w:val="nil"/>
            </w:tcBorders>
            <w:shd w:val="clear" w:color="auto" w:fill="auto"/>
            <w:noWrap/>
            <w:vAlign w:val="center"/>
            <w:hideMark/>
          </w:tcPr>
          <w:p w14:paraId="3A4753BE"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Prumus pérsica</w:t>
            </w:r>
          </w:p>
        </w:tc>
        <w:tc>
          <w:tcPr>
            <w:tcW w:w="1500" w:type="dxa"/>
            <w:tcBorders>
              <w:top w:val="nil"/>
              <w:left w:val="nil"/>
              <w:bottom w:val="nil"/>
              <w:right w:val="nil"/>
            </w:tcBorders>
            <w:shd w:val="clear" w:color="auto" w:fill="auto"/>
            <w:noWrap/>
            <w:vAlign w:val="center"/>
            <w:hideMark/>
          </w:tcPr>
          <w:p w14:paraId="3A4753BF"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Alto</w:t>
            </w:r>
          </w:p>
        </w:tc>
      </w:tr>
      <w:tr w:rsidR="009B5E39" w:rsidRPr="003A71BD" w14:paraId="3A4753C4"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C1"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Ebano</w:t>
            </w:r>
          </w:p>
        </w:tc>
        <w:tc>
          <w:tcPr>
            <w:tcW w:w="2845" w:type="dxa"/>
            <w:tcBorders>
              <w:top w:val="nil"/>
              <w:left w:val="nil"/>
              <w:bottom w:val="nil"/>
              <w:right w:val="nil"/>
            </w:tcBorders>
            <w:shd w:val="clear" w:color="D9D9D9" w:fill="D9D9D9"/>
            <w:noWrap/>
            <w:vAlign w:val="center"/>
            <w:hideMark/>
          </w:tcPr>
          <w:p w14:paraId="3A4753C2"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Caesalpinea sclerocarpus</w:t>
            </w:r>
          </w:p>
        </w:tc>
        <w:tc>
          <w:tcPr>
            <w:tcW w:w="1500" w:type="dxa"/>
            <w:tcBorders>
              <w:top w:val="nil"/>
              <w:left w:val="nil"/>
              <w:bottom w:val="nil"/>
              <w:right w:val="nil"/>
            </w:tcBorders>
            <w:shd w:val="clear" w:color="D9D9D9" w:fill="D9D9D9"/>
            <w:noWrap/>
            <w:vAlign w:val="center"/>
            <w:hideMark/>
          </w:tcPr>
          <w:p w14:paraId="3A4753C3"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Bajo</w:t>
            </w:r>
          </w:p>
        </w:tc>
      </w:tr>
      <w:tr w:rsidR="009B5E39" w:rsidRPr="003A71BD" w14:paraId="3A4753C8"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C5"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Cedro Blanco</w:t>
            </w:r>
          </w:p>
        </w:tc>
        <w:tc>
          <w:tcPr>
            <w:tcW w:w="2845" w:type="dxa"/>
            <w:tcBorders>
              <w:top w:val="nil"/>
              <w:left w:val="nil"/>
              <w:bottom w:val="nil"/>
              <w:right w:val="nil"/>
            </w:tcBorders>
            <w:shd w:val="clear" w:color="auto" w:fill="auto"/>
            <w:noWrap/>
            <w:vAlign w:val="center"/>
            <w:hideMark/>
          </w:tcPr>
          <w:p w14:paraId="3A4753C6"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Cupresus spp</w:t>
            </w:r>
          </w:p>
        </w:tc>
        <w:tc>
          <w:tcPr>
            <w:tcW w:w="1500" w:type="dxa"/>
            <w:tcBorders>
              <w:top w:val="nil"/>
              <w:left w:val="nil"/>
              <w:bottom w:val="nil"/>
              <w:right w:val="nil"/>
            </w:tcBorders>
            <w:shd w:val="clear" w:color="auto" w:fill="auto"/>
            <w:noWrap/>
            <w:vAlign w:val="center"/>
            <w:hideMark/>
          </w:tcPr>
          <w:p w14:paraId="3A4753C7"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Bajo</w:t>
            </w:r>
          </w:p>
        </w:tc>
      </w:tr>
      <w:tr w:rsidR="009B5E39" w:rsidRPr="003A71BD" w14:paraId="3A4753CC"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C9"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Lluvia de Oro</w:t>
            </w:r>
          </w:p>
        </w:tc>
        <w:tc>
          <w:tcPr>
            <w:tcW w:w="2845" w:type="dxa"/>
            <w:tcBorders>
              <w:top w:val="nil"/>
              <w:left w:val="nil"/>
              <w:bottom w:val="nil"/>
              <w:right w:val="nil"/>
            </w:tcBorders>
            <w:shd w:val="clear" w:color="D9D9D9" w:fill="D9D9D9"/>
            <w:noWrap/>
            <w:vAlign w:val="center"/>
            <w:hideMark/>
          </w:tcPr>
          <w:p w14:paraId="3A4753CA"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Laburnum anagyroides</w:t>
            </w:r>
          </w:p>
        </w:tc>
        <w:tc>
          <w:tcPr>
            <w:tcW w:w="1500" w:type="dxa"/>
            <w:tcBorders>
              <w:top w:val="nil"/>
              <w:left w:val="nil"/>
              <w:bottom w:val="nil"/>
              <w:right w:val="nil"/>
            </w:tcBorders>
            <w:shd w:val="clear" w:color="D9D9D9" w:fill="D9D9D9"/>
            <w:noWrap/>
            <w:vAlign w:val="center"/>
            <w:hideMark/>
          </w:tcPr>
          <w:p w14:paraId="3A4753CB"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Bajo</w:t>
            </w:r>
          </w:p>
        </w:tc>
      </w:tr>
      <w:tr w:rsidR="009B5E39" w:rsidRPr="003A71BD" w14:paraId="3A4753D0"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CD"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Paraíso o Bolitaria</w:t>
            </w:r>
          </w:p>
        </w:tc>
        <w:tc>
          <w:tcPr>
            <w:tcW w:w="2845" w:type="dxa"/>
            <w:tcBorders>
              <w:top w:val="nil"/>
              <w:left w:val="nil"/>
              <w:bottom w:val="nil"/>
              <w:right w:val="nil"/>
            </w:tcBorders>
            <w:shd w:val="clear" w:color="auto" w:fill="auto"/>
            <w:noWrap/>
            <w:vAlign w:val="center"/>
            <w:hideMark/>
          </w:tcPr>
          <w:p w14:paraId="3A4753CE"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Melia azedarach</w:t>
            </w:r>
          </w:p>
        </w:tc>
        <w:tc>
          <w:tcPr>
            <w:tcW w:w="1500" w:type="dxa"/>
            <w:tcBorders>
              <w:top w:val="nil"/>
              <w:left w:val="nil"/>
              <w:bottom w:val="nil"/>
              <w:right w:val="nil"/>
            </w:tcBorders>
            <w:shd w:val="clear" w:color="auto" w:fill="auto"/>
            <w:noWrap/>
            <w:vAlign w:val="center"/>
            <w:hideMark/>
          </w:tcPr>
          <w:p w14:paraId="3A4753CF"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Bajo</w:t>
            </w:r>
          </w:p>
        </w:tc>
      </w:tr>
      <w:tr w:rsidR="009B5E39" w:rsidRPr="003A71BD" w14:paraId="3A4753D4"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D1"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Mezquite</w:t>
            </w:r>
          </w:p>
        </w:tc>
        <w:tc>
          <w:tcPr>
            <w:tcW w:w="2845" w:type="dxa"/>
            <w:tcBorders>
              <w:top w:val="nil"/>
              <w:left w:val="nil"/>
              <w:bottom w:val="nil"/>
              <w:right w:val="nil"/>
            </w:tcBorders>
            <w:shd w:val="clear" w:color="D9D9D9" w:fill="D9D9D9"/>
            <w:noWrap/>
            <w:vAlign w:val="center"/>
            <w:hideMark/>
          </w:tcPr>
          <w:p w14:paraId="3A4753D2"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Prosopis juliflora</w:t>
            </w:r>
          </w:p>
        </w:tc>
        <w:tc>
          <w:tcPr>
            <w:tcW w:w="1500" w:type="dxa"/>
            <w:tcBorders>
              <w:top w:val="nil"/>
              <w:left w:val="nil"/>
              <w:bottom w:val="nil"/>
              <w:right w:val="nil"/>
            </w:tcBorders>
            <w:shd w:val="clear" w:color="D9D9D9" w:fill="D9D9D9"/>
            <w:noWrap/>
            <w:vAlign w:val="center"/>
            <w:hideMark/>
          </w:tcPr>
          <w:p w14:paraId="3A4753D3"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Bajo</w:t>
            </w:r>
          </w:p>
        </w:tc>
      </w:tr>
      <w:tr w:rsidR="009B5E39" w:rsidRPr="003A71BD" w14:paraId="3A4753D8"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D5"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Mimosa Acacia</w:t>
            </w:r>
          </w:p>
        </w:tc>
        <w:tc>
          <w:tcPr>
            <w:tcW w:w="2845" w:type="dxa"/>
            <w:tcBorders>
              <w:top w:val="nil"/>
              <w:left w:val="nil"/>
              <w:bottom w:val="nil"/>
              <w:right w:val="nil"/>
            </w:tcBorders>
            <w:shd w:val="clear" w:color="auto" w:fill="auto"/>
            <w:noWrap/>
            <w:vAlign w:val="center"/>
            <w:hideMark/>
          </w:tcPr>
          <w:p w14:paraId="3A4753D6"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Acacia dealbata</w:t>
            </w:r>
          </w:p>
        </w:tc>
        <w:tc>
          <w:tcPr>
            <w:tcW w:w="1500" w:type="dxa"/>
            <w:tcBorders>
              <w:top w:val="nil"/>
              <w:left w:val="nil"/>
              <w:bottom w:val="nil"/>
              <w:right w:val="nil"/>
            </w:tcBorders>
            <w:shd w:val="clear" w:color="auto" w:fill="auto"/>
            <w:noWrap/>
            <w:vAlign w:val="center"/>
            <w:hideMark/>
          </w:tcPr>
          <w:p w14:paraId="3A4753D7"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Medio</w:t>
            </w:r>
          </w:p>
        </w:tc>
      </w:tr>
      <w:tr w:rsidR="009B5E39" w:rsidRPr="003A71BD" w14:paraId="3A4753DC"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D9"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Rosamarilla</w:t>
            </w:r>
          </w:p>
        </w:tc>
        <w:tc>
          <w:tcPr>
            <w:tcW w:w="2845" w:type="dxa"/>
            <w:tcBorders>
              <w:top w:val="nil"/>
              <w:left w:val="nil"/>
              <w:bottom w:val="nil"/>
              <w:right w:val="nil"/>
            </w:tcBorders>
            <w:shd w:val="clear" w:color="D9D9D9" w:fill="D9D9D9"/>
            <w:noWrap/>
            <w:vAlign w:val="center"/>
            <w:hideMark/>
          </w:tcPr>
          <w:p w14:paraId="3A4753DA"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Cochospermum Vitofolium</w:t>
            </w:r>
          </w:p>
        </w:tc>
        <w:tc>
          <w:tcPr>
            <w:tcW w:w="1500" w:type="dxa"/>
            <w:tcBorders>
              <w:top w:val="nil"/>
              <w:left w:val="nil"/>
              <w:bottom w:val="nil"/>
              <w:right w:val="nil"/>
            </w:tcBorders>
            <w:shd w:val="clear" w:color="D9D9D9" w:fill="D9D9D9"/>
            <w:noWrap/>
            <w:vAlign w:val="center"/>
            <w:hideMark/>
          </w:tcPr>
          <w:p w14:paraId="3A4753DB"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Medio</w:t>
            </w:r>
          </w:p>
        </w:tc>
      </w:tr>
      <w:tr w:rsidR="009B5E39" w:rsidRPr="003A71BD" w14:paraId="3A4753E0"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DD"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Enebro</w:t>
            </w:r>
          </w:p>
        </w:tc>
        <w:tc>
          <w:tcPr>
            <w:tcW w:w="2845" w:type="dxa"/>
            <w:tcBorders>
              <w:top w:val="nil"/>
              <w:left w:val="nil"/>
              <w:bottom w:val="nil"/>
              <w:right w:val="nil"/>
            </w:tcBorders>
            <w:shd w:val="clear" w:color="auto" w:fill="auto"/>
            <w:noWrap/>
            <w:vAlign w:val="center"/>
            <w:hideMark/>
          </w:tcPr>
          <w:p w14:paraId="3A4753DE"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Juniperus quatemalensis</w:t>
            </w:r>
          </w:p>
        </w:tc>
        <w:tc>
          <w:tcPr>
            <w:tcW w:w="1500" w:type="dxa"/>
            <w:tcBorders>
              <w:top w:val="nil"/>
              <w:left w:val="nil"/>
              <w:bottom w:val="nil"/>
              <w:right w:val="nil"/>
            </w:tcBorders>
            <w:shd w:val="clear" w:color="auto" w:fill="auto"/>
            <w:noWrap/>
            <w:vAlign w:val="center"/>
            <w:hideMark/>
          </w:tcPr>
          <w:p w14:paraId="3A4753DF"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Medio</w:t>
            </w:r>
          </w:p>
        </w:tc>
      </w:tr>
      <w:tr w:rsidR="009B5E39" w:rsidRPr="003A71BD" w14:paraId="3A4753E4"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E1"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Flama China</w:t>
            </w:r>
          </w:p>
        </w:tc>
        <w:tc>
          <w:tcPr>
            <w:tcW w:w="2845" w:type="dxa"/>
            <w:tcBorders>
              <w:top w:val="nil"/>
              <w:left w:val="nil"/>
              <w:bottom w:val="nil"/>
              <w:right w:val="nil"/>
            </w:tcBorders>
            <w:shd w:val="clear" w:color="D9D9D9" w:fill="D9D9D9"/>
            <w:noWrap/>
            <w:vAlign w:val="center"/>
            <w:hideMark/>
          </w:tcPr>
          <w:p w14:paraId="3A4753E2"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Koel reuteria paniculata</w:t>
            </w:r>
          </w:p>
        </w:tc>
        <w:tc>
          <w:tcPr>
            <w:tcW w:w="1500" w:type="dxa"/>
            <w:tcBorders>
              <w:top w:val="nil"/>
              <w:left w:val="nil"/>
              <w:bottom w:val="nil"/>
              <w:right w:val="nil"/>
            </w:tcBorders>
            <w:shd w:val="clear" w:color="D9D9D9" w:fill="D9D9D9"/>
            <w:noWrap/>
            <w:vAlign w:val="center"/>
            <w:hideMark/>
          </w:tcPr>
          <w:p w14:paraId="3A4753E3"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Medio</w:t>
            </w:r>
          </w:p>
        </w:tc>
      </w:tr>
      <w:tr w:rsidR="009B5E39" w:rsidRPr="003A71BD" w14:paraId="3A4753E8"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E5"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Morera</w:t>
            </w:r>
          </w:p>
        </w:tc>
        <w:tc>
          <w:tcPr>
            <w:tcW w:w="2845" w:type="dxa"/>
            <w:tcBorders>
              <w:top w:val="nil"/>
              <w:left w:val="nil"/>
              <w:bottom w:val="nil"/>
              <w:right w:val="nil"/>
            </w:tcBorders>
            <w:shd w:val="clear" w:color="auto" w:fill="auto"/>
            <w:noWrap/>
            <w:vAlign w:val="center"/>
            <w:hideMark/>
          </w:tcPr>
          <w:p w14:paraId="3A4753E6"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Morus alba</w:t>
            </w:r>
          </w:p>
        </w:tc>
        <w:tc>
          <w:tcPr>
            <w:tcW w:w="1500" w:type="dxa"/>
            <w:tcBorders>
              <w:top w:val="nil"/>
              <w:left w:val="nil"/>
              <w:bottom w:val="nil"/>
              <w:right w:val="nil"/>
            </w:tcBorders>
            <w:shd w:val="clear" w:color="auto" w:fill="auto"/>
            <w:noWrap/>
            <w:vAlign w:val="center"/>
            <w:hideMark/>
          </w:tcPr>
          <w:p w14:paraId="3A4753E7"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Medio</w:t>
            </w:r>
          </w:p>
        </w:tc>
      </w:tr>
      <w:tr w:rsidR="009B5E39" w:rsidRPr="003A71BD" w14:paraId="3A4753EC"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E9"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Capulín</w:t>
            </w:r>
          </w:p>
        </w:tc>
        <w:tc>
          <w:tcPr>
            <w:tcW w:w="2845" w:type="dxa"/>
            <w:tcBorders>
              <w:top w:val="nil"/>
              <w:left w:val="nil"/>
              <w:bottom w:val="nil"/>
              <w:right w:val="nil"/>
            </w:tcBorders>
            <w:shd w:val="clear" w:color="D9D9D9" w:fill="D9D9D9"/>
            <w:noWrap/>
            <w:vAlign w:val="center"/>
            <w:hideMark/>
          </w:tcPr>
          <w:p w14:paraId="3A4753EA"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Prumus Capúli</w:t>
            </w:r>
          </w:p>
        </w:tc>
        <w:tc>
          <w:tcPr>
            <w:tcW w:w="1500" w:type="dxa"/>
            <w:tcBorders>
              <w:top w:val="nil"/>
              <w:left w:val="nil"/>
              <w:bottom w:val="nil"/>
              <w:right w:val="nil"/>
            </w:tcBorders>
            <w:shd w:val="clear" w:color="D9D9D9" w:fill="D9D9D9"/>
            <w:noWrap/>
            <w:vAlign w:val="center"/>
            <w:hideMark/>
          </w:tcPr>
          <w:p w14:paraId="3A4753EB"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Medio</w:t>
            </w:r>
          </w:p>
        </w:tc>
      </w:tr>
      <w:tr w:rsidR="009B5E39" w:rsidRPr="003A71BD" w14:paraId="3A4753F0"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3ED"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Guayabillo blanco</w:t>
            </w:r>
          </w:p>
        </w:tc>
        <w:tc>
          <w:tcPr>
            <w:tcW w:w="2845" w:type="dxa"/>
            <w:tcBorders>
              <w:top w:val="nil"/>
              <w:left w:val="nil"/>
              <w:bottom w:val="nil"/>
              <w:right w:val="nil"/>
            </w:tcBorders>
            <w:shd w:val="clear" w:color="auto" w:fill="auto"/>
            <w:noWrap/>
            <w:vAlign w:val="center"/>
            <w:hideMark/>
          </w:tcPr>
          <w:p w14:paraId="3A4753EE"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Thuvina Acuminata</w:t>
            </w:r>
          </w:p>
        </w:tc>
        <w:tc>
          <w:tcPr>
            <w:tcW w:w="1500" w:type="dxa"/>
            <w:tcBorders>
              <w:top w:val="nil"/>
              <w:left w:val="nil"/>
              <w:bottom w:val="nil"/>
              <w:right w:val="nil"/>
            </w:tcBorders>
            <w:shd w:val="clear" w:color="auto" w:fill="auto"/>
            <w:noWrap/>
            <w:vAlign w:val="center"/>
            <w:hideMark/>
          </w:tcPr>
          <w:p w14:paraId="3A4753EF"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Medio</w:t>
            </w:r>
          </w:p>
        </w:tc>
      </w:tr>
      <w:tr w:rsidR="009B5E39" w:rsidRPr="003A71BD" w14:paraId="3A4753F4"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3F1"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Yuca</w:t>
            </w:r>
          </w:p>
        </w:tc>
        <w:tc>
          <w:tcPr>
            <w:tcW w:w="2845" w:type="dxa"/>
            <w:tcBorders>
              <w:top w:val="nil"/>
              <w:left w:val="nil"/>
              <w:bottom w:val="nil"/>
              <w:right w:val="nil"/>
            </w:tcBorders>
            <w:shd w:val="clear" w:color="D9D9D9" w:fill="D9D9D9"/>
            <w:noWrap/>
            <w:vAlign w:val="center"/>
            <w:hideMark/>
          </w:tcPr>
          <w:p w14:paraId="3A4753F2" w14:textId="77777777" w:rsidR="009B5E39" w:rsidRPr="003A71BD" w:rsidRDefault="009B5E39" w:rsidP="00190E4A">
            <w:pPr>
              <w:rPr>
                <w:rFonts w:ascii="Gotham" w:hAnsi="Gotham" w:cs="Arial"/>
                <w:color w:val="000000"/>
                <w:sz w:val="19"/>
                <w:szCs w:val="19"/>
              </w:rPr>
            </w:pPr>
            <w:r w:rsidRPr="003A71BD">
              <w:rPr>
                <w:rFonts w:ascii="Gotham" w:hAnsi="Gotham" w:cs="Arial"/>
                <w:color w:val="000000"/>
                <w:sz w:val="19"/>
                <w:szCs w:val="19"/>
              </w:rPr>
              <w:t>Yuca spp</w:t>
            </w:r>
          </w:p>
        </w:tc>
        <w:tc>
          <w:tcPr>
            <w:tcW w:w="1500" w:type="dxa"/>
            <w:tcBorders>
              <w:top w:val="nil"/>
              <w:left w:val="nil"/>
              <w:bottom w:val="nil"/>
              <w:right w:val="nil"/>
            </w:tcBorders>
            <w:shd w:val="clear" w:color="D9D9D9" w:fill="D9D9D9"/>
            <w:noWrap/>
            <w:vAlign w:val="center"/>
            <w:hideMark/>
          </w:tcPr>
          <w:p w14:paraId="3A4753F3" w14:textId="77777777" w:rsidR="009B5E39" w:rsidRPr="003A71BD" w:rsidRDefault="009B5E39" w:rsidP="00190E4A">
            <w:pPr>
              <w:jc w:val="center"/>
              <w:rPr>
                <w:rFonts w:ascii="Gotham" w:hAnsi="Gotham" w:cs="Arial"/>
                <w:color w:val="000000"/>
                <w:sz w:val="19"/>
                <w:szCs w:val="19"/>
              </w:rPr>
            </w:pPr>
            <w:r w:rsidRPr="003A71BD">
              <w:rPr>
                <w:rFonts w:ascii="Gotham" w:hAnsi="Gotham" w:cs="Arial"/>
                <w:color w:val="000000"/>
                <w:sz w:val="19"/>
                <w:szCs w:val="19"/>
              </w:rPr>
              <w:t>Medio</w:t>
            </w:r>
          </w:p>
        </w:tc>
      </w:tr>
    </w:tbl>
    <w:p w14:paraId="3A4753F5" w14:textId="77777777" w:rsidR="009B5E39" w:rsidRPr="000519E6" w:rsidRDefault="009B5E39" w:rsidP="009B5E39">
      <w:pPr>
        <w:ind w:left="284" w:right="283"/>
        <w:jc w:val="both"/>
        <w:rPr>
          <w:rFonts w:ascii="Gotham" w:hAnsi="Gotham" w:cs="Arial"/>
          <w:color w:val="000000" w:themeColor="text1"/>
          <w:sz w:val="19"/>
          <w:szCs w:val="19"/>
          <w:lang w:val="es-ES_tradnl"/>
        </w:rPr>
      </w:pPr>
    </w:p>
    <w:p w14:paraId="3A4753F6" w14:textId="77777777" w:rsidR="009B5E39" w:rsidRPr="000519E6" w:rsidRDefault="009B5E39" w:rsidP="009B5E39">
      <w:pPr>
        <w:ind w:left="284" w:right="283"/>
        <w:jc w:val="both"/>
        <w:rPr>
          <w:rFonts w:ascii="Gotham" w:hAnsi="Gotham" w:cs="Arial"/>
          <w:color w:val="000000" w:themeColor="text1"/>
          <w:sz w:val="19"/>
          <w:szCs w:val="19"/>
          <w:lang w:val="es-ES_tradnl"/>
        </w:rPr>
      </w:pPr>
      <w:r w:rsidRPr="000519E6">
        <w:rPr>
          <w:rFonts w:ascii="Gotham" w:hAnsi="Gotham" w:cs="Arial"/>
          <w:color w:val="000000" w:themeColor="text1"/>
          <w:sz w:val="19"/>
          <w:szCs w:val="19"/>
          <w:lang w:val="es-ES_tradnl"/>
        </w:rPr>
        <w:lastRenderedPageBreak/>
        <w:t>Artículo 6.- Para franjas de pasto o tierra de 1.20 uno punto veinte metros a 2.00 dos metros de ancho, por 2.40 dos puntos cuarenta metros de largo como mínimo, son adecuadas las siguientes especies:</w:t>
      </w:r>
    </w:p>
    <w:p w14:paraId="3A4753F7" w14:textId="77777777" w:rsidR="009B5E39" w:rsidRPr="000519E6" w:rsidRDefault="009B5E39" w:rsidP="009B5E39">
      <w:pPr>
        <w:ind w:left="284" w:right="283"/>
        <w:jc w:val="both"/>
        <w:rPr>
          <w:rFonts w:ascii="Gotham" w:hAnsi="Gotham" w:cs="Arial"/>
          <w:color w:val="000000" w:themeColor="text1"/>
          <w:sz w:val="19"/>
          <w:szCs w:val="19"/>
          <w:lang w:val="es-ES_tradnl"/>
        </w:rPr>
      </w:pPr>
    </w:p>
    <w:tbl>
      <w:tblPr>
        <w:tblW w:w="8054" w:type="dxa"/>
        <w:jc w:val="center"/>
        <w:tblLook w:val="04A0" w:firstRow="1" w:lastRow="0" w:firstColumn="1" w:lastColumn="0" w:noHBand="0" w:noVBand="1"/>
      </w:tblPr>
      <w:tblGrid>
        <w:gridCol w:w="3577"/>
        <w:gridCol w:w="2977"/>
        <w:gridCol w:w="1500"/>
      </w:tblGrid>
      <w:tr w:rsidR="009B5E39" w:rsidRPr="005630A6" w14:paraId="3A4753FB" w14:textId="77777777" w:rsidTr="00190E4A">
        <w:trPr>
          <w:trHeight w:val="340"/>
          <w:jc w:val="center"/>
        </w:trPr>
        <w:tc>
          <w:tcPr>
            <w:tcW w:w="3577" w:type="dxa"/>
            <w:tcBorders>
              <w:top w:val="single" w:sz="4" w:space="0" w:color="000000"/>
              <w:left w:val="nil"/>
              <w:bottom w:val="single" w:sz="4" w:space="0" w:color="000000"/>
              <w:right w:val="nil"/>
            </w:tcBorders>
            <w:shd w:val="clear" w:color="auto" w:fill="auto"/>
            <w:noWrap/>
            <w:vAlign w:val="center"/>
            <w:hideMark/>
          </w:tcPr>
          <w:p w14:paraId="3A4753F8" w14:textId="77777777" w:rsidR="009B5E39" w:rsidRPr="005630A6" w:rsidRDefault="009B5E39" w:rsidP="00190E4A">
            <w:pPr>
              <w:jc w:val="center"/>
              <w:rPr>
                <w:rFonts w:ascii="Gotham" w:hAnsi="Gotham" w:cs="Arial"/>
                <w:b/>
                <w:bCs/>
                <w:color w:val="000000"/>
                <w:sz w:val="19"/>
                <w:szCs w:val="19"/>
              </w:rPr>
            </w:pPr>
            <w:r w:rsidRPr="005630A6">
              <w:rPr>
                <w:rFonts w:ascii="Gotham" w:hAnsi="Gotham" w:cs="Arial"/>
                <w:b/>
                <w:bCs/>
                <w:color w:val="000000"/>
                <w:sz w:val="19"/>
                <w:szCs w:val="19"/>
              </w:rPr>
              <w:t>Nombre común</w:t>
            </w:r>
          </w:p>
        </w:tc>
        <w:tc>
          <w:tcPr>
            <w:tcW w:w="2977" w:type="dxa"/>
            <w:tcBorders>
              <w:top w:val="single" w:sz="4" w:space="0" w:color="000000"/>
              <w:left w:val="nil"/>
              <w:bottom w:val="single" w:sz="4" w:space="0" w:color="000000"/>
              <w:right w:val="nil"/>
            </w:tcBorders>
            <w:shd w:val="clear" w:color="auto" w:fill="auto"/>
            <w:noWrap/>
            <w:vAlign w:val="center"/>
            <w:hideMark/>
          </w:tcPr>
          <w:p w14:paraId="3A4753F9" w14:textId="77777777" w:rsidR="009B5E39" w:rsidRPr="005630A6" w:rsidRDefault="009B5E39" w:rsidP="00190E4A">
            <w:pPr>
              <w:jc w:val="center"/>
              <w:rPr>
                <w:rFonts w:ascii="Gotham" w:hAnsi="Gotham" w:cs="Arial"/>
                <w:b/>
                <w:bCs/>
                <w:color w:val="000000"/>
                <w:sz w:val="19"/>
                <w:szCs w:val="19"/>
              </w:rPr>
            </w:pPr>
            <w:r w:rsidRPr="005630A6">
              <w:rPr>
                <w:rFonts w:ascii="Gotham" w:hAnsi="Gotham" w:cs="Arial"/>
                <w:b/>
                <w:bCs/>
                <w:color w:val="000000"/>
                <w:sz w:val="19"/>
                <w:szCs w:val="19"/>
              </w:rPr>
              <w:t>Nombre científico</w:t>
            </w:r>
          </w:p>
        </w:tc>
        <w:tc>
          <w:tcPr>
            <w:tcW w:w="1500" w:type="dxa"/>
            <w:tcBorders>
              <w:top w:val="single" w:sz="4" w:space="0" w:color="000000"/>
              <w:left w:val="nil"/>
              <w:bottom w:val="single" w:sz="4" w:space="0" w:color="000000"/>
              <w:right w:val="nil"/>
            </w:tcBorders>
            <w:shd w:val="clear" w:color="auto" w:fill="auto"/>
            <w:noWrap/>
            <w:vAlign w:val="center"/>
            <w:hideMark/>
          </w:tcPr>
          <w:p w14:paraId="3A4753FA" w14:textId="77777777" w:rsidR="009B5E39" w:rsidRPr="005630A6" w:rsidRDefault="009B5E39" w:rsidP="00190E4A">
            <w:pPr>
              <w:jc w:val="center"/>
              <w:rPr>
                <w:rFonts w:ascii="Gotham" w:hAnsi="Gotham" w:cs="Arial"/>
                <w:b/>
                <w:bCs/>
                <w:color w:val="000000"/>
                <w:sz w:val="19"/>
                <w:szCs w:val="19"/>
              </w:rPr>
            </w:pPr>
            <w:r w:rsidRPr="005630A6">
              <w:rPr>
                <w:rFonts w:ascii="Gotham" w:hAnsi="Gotham" w:cs="Arial"/>
                <w:b/>
                <w:bCs/>
                <w:color w:val="000000"/>
                <w:sz w:val="19"/>
                <w:szCs w:val="19"/>
              </w:rPr>
              <w:t>Riego</w:t>
            </w:r>
          </w:p>
        </w:tc>
      </w:tr>
      <w:tr w:rsidR="009B5E39" w:rsidRPr="005630A6" w14:paraId="3A4753FF"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3F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Mango</w:t>
            </w:r>
          </w:p>
        </w:tc>
        <w:tc>
          <w:tcPr>
            <w:tcW w:w="2977" w:type="dxa"/>
            <w:tcBorders>
              <w:top w:val="nil"/>
              <w:left w:val="nil"/>
              <w:bottom w:val="nil"/>
              <w:right w:val="nil"/>
            </w:tcBorders>
            <w:shd w:val="clear" w:color="D9D9D9" w:fill="D9D9D9"/>
            <w:noWrap/>
            <w:vAlign w:val="center"/>
            <w:hideMark/>
          </w:tcPr>
          <w:p w14:paraId="3A4753FD"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Manguífera indica</w:t>
            </w:r>
          </w:p>
        </w:tc>
        <w:tc>
          <w:tcPr>
            <w:tcW w:w="1500" w:type="dxa"/>
            <w:tcBorders>
              <w:top w:val="nil"/>
              <w:left w:val="nil"/>
              <w:bottom w:val="nil"/>
              <w:right w:val="nil"/>
            </w:tcBorders>
            <w:shd w:val="clear" w:color="D9D9D9" w:fill="D9D9D9"/>
            <w:noWrap/>
            <w:vAlign w:val="center"/>
            <w:hideMark/>
          </w:tcPr>
          <w:p w14:paraId="3A4753FE"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03"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0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Aguacate</w:t>
            </w:r>
          </w:p>
        </w:tc>
        <w:tc>
          <w:tcPr>
            <w:tcW w:w="2977" w:type="dxa"/>
            <w:tcBorders>
              <w:top w:val="nil"/>
              <w:left w:val="nil"/>
              <w:bottom w:val="nil"/>
              <w:right w:val="nil"/>
            </w:tcBorders>
            <w:shd w:val="clear" w:color="auto" w:fill="auto"/>
            <w:noWrap/>
            <w:vAlign w:val="center"/>
            <w:hideMark/>
          </w:tcPr>
          <w:p w14:paraId="3A475401"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Persea americana mill</w:t>
            </w:r>
          </w:p>
        </w:tc>
        <w:tc>
          <w:tcPr>
            <w:tcW w:w="1500" w:type="dxa"/>
            <w:tcBorders>
              <w:top w:val="nil"/>
              <w:left w:val="nil"/>
              <w:bottom w:val="nil"/>
              <w:right w:val="nil"/>
            </w:tcBorders>
            <w:shd w:val="clear" w:color="auto" w:fill="auto"/>
            <w:noWrap/>
            <w:vAlign w:val="center"/>
            <w:hideMark/>
          </w:tcPr>
          <w:p w14:paraId="3A475402"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07"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0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Copal o Papelillo</w:t>
            </w:r>
          </w:p>
        </w:tc>
        <w:tc>
          <w:tcPr>
            <w:tcW w:w="2977" w:type="dxa"/>
            <w:tcBorders>
              <w:top w:val="nil"/>
              <w:left w:val="nil"/>
              <w:bottom w:val="nil"/>
              <w:right w:val="nil"/>
            </w:tcBorders>
            <w:shd w:val="clear" w:color="D9D9D9" w:fill="D9D9D9"/>
            <w:noWrap/>
            <w:vAlign w:val="center"/>
            <w:hideMark/>
          </w:tcPr>
          <w:p w14:paraId="3A475405"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Bursera spp</w:t>
            </w:r>
          </w:p>
        </w:tc>
        <w:tc>
          <w:tcPr>
            <w:tcW w:w="1500" w:type="dxa"/>
            <w:tcBorders>
              <w:top w:val="nil"/>
              <w:left w:val="nil"/>
              <w:bottom w:val="nil"/>
              <w:right w:val="nil"/>
            </w:tcBorders>
            <w:shd w:val="clear" w:color="D9D9D9" w:fill="D9D9D9"/>
            <w:noWrap/>
            <w:vAlign w:val="center"/>
            <w:hideMark/>
          </w:tcPr>
          <w:p w14:paraId="3A475406"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Bajo</w:t>
            </w:r>
          </w:p>
        </w:tc>
      </w:tr>
      <w:tr w:rsidR="009B5E39" w:rsidRPr="005630A6" w14:paraId="3A47540B"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0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Colorín</w:t>
            </w:r>
          </w:p>
        </w:tc>
        <w:tc>
          <w:tcPr>
            <w:tcW w:w="2977" w:type="dxa"/>
            <w:tcBorders>
              <w:top w:val="nil"/>
              <w:left w:val="nil"/>
              <w:bottom w:val="nil"/>
              <w:right w:val="nil"/>
            </w:tcBorders>
            <w:shd w:val="clear" w:color="auto" w:fill="auto"/>
            <w:noWrap/>
            <w:vAlign w:val="center"/>
            <w:hideMark/>
          </w:tcPr>
          <w:p w14:paraId="3A475409"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Erythrina caffra</w:t>
            </w:r>
          </w:p>
        </w:tc>
        <w:tc>
          <w:tcPr>
            <w:tcW w:w="1500" w:type="dxa"/>
            <w:tcBorders>
              <w:top w:val="nil"/>
              <w:left w:val="nil"/>
              <w:bottom w:val="nil"/>
              <w:right w:val="nil"/>
            </w:tcBorders>
            <w:shd w:val="clear" w:color="auto" w:fill="auto"/>
            <w:noWrap/>
            <w:vAlign w:val="center"/>
            <w:hideMark/>
          </w:tcPr>
          <w:p w14:paraId="3A47540A"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Bajo</w:t>
            </w:r>
          </w:p>
        </w:tc>
      </w:tr>
      <w:tr w:rsidR="009B5E39" w:rsidRPr="005630A6" w14:paraId="3A47540F"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0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Olivo</w:t>
            </w:r>
          </w:p>
        </w:tc>
        <w:tc>
          <w:tcPr>
            <w:tcW w:w="2977" w:type="dxa"/>
            <w:tcBorders>
              <w:top w:val="nil"/>
              <w:left w:val="nil"/>
              <w:bottom w:val="nil"/>
              <w:right w:val="nil"/>
            </w:tcBorders>
            <w:shd w:val="clear" w:color="D9D9D9" w:fill="D9D9D9"/>
            <w:noWrap/>
            <w:vAlign w:val="center"/>
            <w:hideMark/>
          </w:tcPr>
          <w:p w14:paraId="3A47540D"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Oléa europea</w:t>
            </w:r>
          </w:p>
        </w:tc>
        <w:tc>
          <w:tcPr>
            <w:tcW w:w="1500" w:type="dxa"/>
            <w:tcBorders>
              <w:top w:val="nil"/>
              <w:left w:val="nil"/>
              <w:bottom w:val="nil"/>
              <w:right w:val="nil"/>
            </w:tcBorders>
            <w:shd w:val="clear" w:color="D9D9D9" w:fill="D9D9D9"/>
            <w:noWrap/>
            <w:vAlign w:val="center"/>
            <w:hideMark/>
          </w:tcPr>
          <w:p w14:paraId="3A47540E"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Bajo</w:t>
            </w:r>
          </w:p>
        </w:tc>
      </w:tr>
      <w:tr w:rsidR="009B5E39" w:rsidRPr="005630A6" w14:paraId="3A475413"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1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Guamúchil</w:t>
            </w:r>
          </w:p>
        </w:tc>
        <w:tc>
          <w:tcPr>
            <w:tcW w:w="2977" w:type="dxa"/>
            <w:tcBorders>
              <w:top w:val="nil"/>
              <w:left w:val="nil"/>
              <w:bottom w:val="nil"/>
              <w:right w:val="nil"/>
            </w:tcBorders>
            <w:shd w:val="clear" w:color="auto" w:fill="auto"/>
            <w:noWrap/>
            <w:vAlign w:val="center"/>
            <w:hideMark/>
          </w:tcPr>
          <w:p w14:paraId="3A475411"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Phithecellobium dulce</w:t>
            </w:r>
          </w:p>
        </w:tc>
        <w:tc>
          <w:tcPr>
            <w:tcW w:w="1500" w:type="dxa"/>
            <w:tcBorders>
              <w:top w:val="nil"/>
              <w:left w:val="nil"/>
              <w:bottom w:val="nil"/>
              <w:right w:val="nil"/>
            </w:tcBorders>
            <w:shd w:val="clear" w:color="auto" w:fill="auto"/>
            <w:noWrap/>
            <w:vAlign w:val="center"/>
            <w:hideMark/>
          </w:tcPr>
          <w:p w14:paraId="3A475412"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Bajo</w:t>
            </w:r>
          </w:p>
        </w:tc>
      </w:tr>
      <w:tr w:rsidR="009B5E39" w:rsidRPr="005630A6" w14:paraId="3A475417"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1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Ciruelo</w:t>
            </w:r>
          </w:p>
        </w:tc>
        <w:tc>
          <w:tcPr>
            <w:tcW w:w="2977" w:type="dxa"/>
            <w:tcBorders>
              <w:top w:val="nil"/>
              <w:left w:val="nil"/>
              <w:bottom w:val="nil"/>
              <w:right w:val="nil"/>
            </w:tcBorders>
            <w:shd w:val="clear" w:color="D9D9D9" w:fill="D9D9D9"/>
            <w:noWrap/>
            <w:vAlign w:val="center"/>
            <w:hideMark/>
          </w:tcPr>
          <w:p w14:paraId="3A475415"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Prumus ceracifera</w:t>
            </w:r>
          </w:p>
        </w:tc>
        <w:tc>
          <w:tcPr>
            <w:tcW w:w="1500" w:type="dxa"/>
            <w:tcBorders>
              <w:top w:val="nil"/>
              <w:left w:val="nil"/>
              <w:bottom w:val="nil"/>
              <w:right w:val="nil"/>
            </w:tcBorders>
            <w:shd w:val="clear" w:color="D9D9D9" w:fill="D9D9D9"/>
            <w:noWrap/>
            <w:vAlign w:val="center"/>
            <w:hideMark/>
          </w:tcPr>
          <w:p w14:paraId="3A475416"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Bajo</w:t>
            </w:r>
          </w:p>
        </w:tc>
      </w:tr>
      <w:tr w:rsidR="009B5E39" w:rsidRPr="005630A6" w14:paraId="3A47541B"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1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Roble</w:t>
            </w:r>
          </w:p>
        </w:tc>
        <w:tc>
          <w:tcPr>
            <w:tcW w:w="2977" w:type="dxa"/>
            <w:tcBorders>
              <w:top w:val="nil"/>
              <w:left w:val="nil"/>
              <w:bottom w:val="nil"/>
              <w:right w:val="nil"/>
            </w:tcBorders>
            <w:shd w:val="clear" w:color="auto" w:fill="auto"/>
            <w:noWrap/>
            <w:vAlign w:val="center"/>
            <w:hideMark/>
          </w:tcPr>
          <w:p w14:paraId="3A475419"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Quercus spp</w:t>
            </w:r>
          </w:p>
        </w:tc>
        <w:tc>
          <w:tcPr>
            <w:tcW w:w="1500" w:type="dxa"/>
            <w:tcBorders>
              <w:top w:val="nil"/>
              <w:left w:val="nil"/>
              <w:bottom w:val="nil"/>
              <w:right w:val="nil"/>
            </w:tcBorders>
            <w:shd w:val="clear" w:color="auto" w:fill="auto"/>
            <w:noWrap/>
            <w:vAlign w:val="center"/>
            <w:hideMark/>
          </w:tcPr>
          <w:p w14:paraId="3A47541A"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Bajo</w:t>
            </w:r>
          </w:p>
        </w:tc>
      </w:tr>
      <w:tr w:rsidR="009B5E39" w:rsidRPr="005630A6" w14:paraId="3A47541F"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1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Pino Helecho</w:t>
            </w:r>
          </w:p>
        </w:tc>
        <w:tc>
          <w:tcPr>
            <w:tcW w:w="2977" w:type="dxa"/>
            <w:tcBorders>
              <w:top w:val="nil"/>
              <w:left w:val="nil"/>
              <w:bottom w:val="nil"/>
              <w:right w:val="nil"/>
            </w:tcBorders>
            <w:shd w:val="clear" w:color="D9D9D9" w:fill="D9D9D9"/>
            <w:noWrap/>
            <w:vAlign w:val="center"/>
            <w:hideMark/>
          </w:tcPr>
          <w:p w14:paraId="3A47541D"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Podacupus brasilio</w:t>
            </w:r>
          </w:p>
        </w:tc>
        <w:tc>
          <w:tcPr>
            <w:tcW w:w="1500" w:type="dxa"/>
            <w:tcBorders>
              <w:top w:val="nil"/>
              <w:left w:val="nil"/>
              <w:bottom w:val="nil"/>
              <w:right w:val="nil"/>
            </w:tcBorders>
            <w:shd w:val="clear" w:color="D9D9D9" w:fill="D9D9D9"/>
            <w:noWrap/>
            <w:vAlign w:val="center"/>
            <w:hideMark/>
          </w:tcPr>
          <w:p w14:paraId="3A47541E"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23"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2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Tempisque</w:t>
            </w:r>
          </w:p>
        </w:tc>
        <w:tc>
          <w:tcPr>
            <w:tcW w:w="2977" w:type="dxa"/>
            <w:tcBorders>
              <w:top w:val="nil"/>
              <w:left w:val="nil"/>
              <w:bottom w:val="nil"/>
              <w:right w:val="nil"/>
            </w:tcBorders>
            <w:shd w:val="clear" w:color="auto" w:fill="auto"/>
            <w:noWrap/>
            <w:vAlign w:val="center"/>
            <w:hideMark/>
          </w:tcPr>
          <w:p w14:paraId="3A475421"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Syderoxilum tempisque</w:t>
            </w:r>
          </w:p>
        </w:tc>
        <w:tc>
          <w:tcPr>
            <w:tcW w:w="1500" w:type="dxa"/>
            <w:tcBorders>
              <w:top w:val="nil"/>
              <w:left w:val="nil"/>
              <w:bottom w:val="nil"/>
              <w:right w:val="nil"/>
            </w:tcBorders>
            <w:shd w:val="clear" w:color="auto" w:fill="auto"/>
            <w:noWrap/>
            <w:vAlign w:val="center"/>
            <w:hideMark/>
          </w:tcPr>
          <w:p w14:paraId="3A475422"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27"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2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Acacia Persa</w:t>
            </w:r>
          </w:p>
        </w:tc>
        <w:tc>
          <w:tcPr>
            <w:tcW w:w="2977" w:type="dxa"/>
            <w:tcBorders>
              <w:top w:val="nil"/>
              <w:left w:val="nil"/>
              <w:bottom w:val="nil"/>
              <w:right w:val="nil"/>
            </w:tcBorders>
            <w:shd w:val="clear" w:color="D9D9D9" w:fill="D9D9D9"/>
            <w:noWrap/>
            <w:vAlign w:val="center"/>
            <w:hideMark/>
          </w:tcPr>
          <w:p w14:paraId="3A475425"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Albizea culibrissin</w:t>
            </w:r>
          </w:p>
        </w:tc>
        <w:tc>
          <w:tcPr>
            <w:tcW w:w="1500" w:type="dxa"/>
            <w:tcBorders>
              <w:top w:val="nil"/>
              <w:left w:val="nil"/>
              <w:bottom w:val="nil"/>
              <w:right w:val="nil"/>
            </w:tcBorders>
            <w:shd w:val="clear" w:color="000000" w:fill="D9D9D9"/>
            <w:noWrap/>
            <w:vAlign w:val="center"/>
            <w:hideMark/>
          </w:tcPr>
          <w:p w14:paraId="3A475426"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2B"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2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Araucaria</w:t>
            </w:r>
          </w:p>
        </w:tc>
        <w:tc>
          <w:tcPr>
            <w:tcW w:w="2977" w:type="dxa"/>
            <w:tcBorders>
              <w:top w:val="nil"/>
              <w:left w:val="nil"/>
              <w:bottom w:val="nil"/>
              <w:right w:val="nil"/>
            </w:tcBorders>
            <w:shd w:val="clear" w:color="auto" w:fill="auto"/>
            <w:noWrap/>
            <w:vAlign w:val="center"/>
            <w:hideMark/>
          </w:tcPr>
          <w:p w14:paraId="3A475429"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Araucaria excelsa</w:t>
            </w:r>
          </w:p>
        </w:tc>
        <w:tc>
          <w:tcPr>
            <w:tcW w:w="1500" w:type="dxa"/>
            <w:tcBorders>
              <w:top w:val="nil"/>
              <w:left w:val="nil"/>
              <w:bottom w:val="nil"/>
              <w:right w:val="nil"/>
            </w:tcBorders>
            <w:shd w:val="clear" w:color="auto" w:fill="auto"/>
            <w:noWrap/>
            <w:vAlign w:val="center"/>
            <w:hideMark/>
          </w:tcPr>
          <w:p w14:paraId="3A47542A"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2F"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2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Cedro Rojo</w:t>
            </w:r>
          </w:p>
        </w:tc>
        <w:tc>
          <w:tcPr>
            <w:tcW w:w="2977" w:type="dxa"/>
            <w:tcBorders>
              <w:top w:val="nil"/>
              <w:left w:val="nil"/>
              <w:bottom w:val="nil"/>
              <w:right w:val="nil"/>
            </w:tcBorders>
            <w:shd w:val="clear" w:color="D9D9D9" w:fill="D9D9D9"/>
            <w:noWrap/>
            <w:vAlign w:val="center"/>
            <w:hideMark/>
          </w:tcPr>
          <w:p w14:paraId="3A47542D"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Cedrela odorata</w:t>
            </w:r>
          </w:p>
        </w:tc>
        <w:tc>
          <w:tcPr>
            <w:tcW w:w="1500" w:type="dxa"/>
            <w:tcBorders>
              <w:top w:val="nil"/>
              <w:left w:val="nil"/>
              <w:bottom w:val="nil"/>
              <w:right w:val="nil"/>
            </w:tcBorders>
            <w:shd w:val="clear" w:color="000000" w:fill="D9D9D9"/>
            <w:noWrap/>
            <w:vAlign w:val="center"/>
            <w:hideMark/>
          </w:tcPr>
          <w:p w14:paraId="3A47542E"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33"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3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Clavellina</w:t>
            </w:r>
          </w:p>
        </w:tc>
        <w:tc>
          <w:tcPr>
            <w:tcW w:w="2977" w:type="dxa"/>
            <w:tcBorders>
              <w:top w:val="nil"/>
              <w:left w:val="nil"/>
              <w:bottom w:val="nil"/>
              <w:right w:val="nil"/>
            </w:tcBorders>
            <w:shd w:val="clear" w:color="auto" w:fill="auto"/>
            <w:noWrap/>
            <w:vAlign w:val="center"/>
            <w:hideMark/>
          </w:tcPr>
          <w:p w14:paraId="3A475431"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Ceiba aescutifolia</w:t>
            </w:r>
          </w:p>
        </w:tc>
        <w:tc>
          <w:tcPr>
            <w:tcW w:w="1500" w:type="dxa"/>
            <w:tcBorders>
              <w:top w:val="nil"/>
              <w:left w:val="nil"/>
              <w:bottom w:val="nil"/>
              <w:right w:val="nil"/>
            </w:tcBorders>
            <w:shd w:val="clear" w:color="auto" w:fill="auto"/>
            <w:noWrap/>
            <w:vAlign w:val="center"/>
            <w:hideMark/>
          </w:tcPr>
          <w:p w14:paraId="3A475432"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37"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3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Ceida Orquídea</w:t>
            </w:r>
          </w:p>
        </w:tc>
        <w:tc>
          <w:tcPr>
            <w:tcW w:w="2977" w:type="dxa"/>
            <w:tcBorders>
              <w:top w:val="nil"/>
              <w:left w:val="nil"/>
              <w:bottom w:val="nil"/>
              <w:right w:val="nil"/>
            </w:tcBorders>
            <w:shd w:val="clear" w:color="D9D9D9" w:fill="D9D9D9"/>
            <w:noWrap/>
            <w:vAlign w:val="center"/>
            <w:hideMark/>
          </w:tcPr>
          <w:p w14:paraId="3A475435"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Chorisia speciosa</w:t>
            </w:r>
          </w:p>
        </w:tc>
        <w:tc>
          <w:tcPr>
            <w:tcW w:w="1500" w:type="dxa"/>
            <w:tcBorders>
              <w:top w:val="nil"/>
              <w:left w:val="nil"/>
              <w:bottom w:val="nil"/>
              <w:right w:val="nil"/>
            </w:tcBorders>
            <w:shd w:val="clear" w:color="D9D9D9" w:fill="D9D9D9"/>
            <w:noWrap/>
            <w:vAlign w:val="center"/>
            <w:hideMark/>
          </w:tcPr>
          <w:p w14:paraId="3A475436"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3B"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38" w14:textId="77777777" w:rsidR="009B5E39" w:rsidRPr="005630A6" w:rsidRDefault="009B5E39" w:rsidP="00190E4A">
            <w:pPr>
              <w:rPr>
                <w:rFonts w:ascii="Gotham" w:hAnsi="Gotham" w:cs="Arial"/>
                <w:color w:val="000000"/>
                <w:sz w:val="19"/>
                <w:szCs w:val="19"/>
              </w:rPr>
            </w:pPr>
            <w:r>
              <w:rPr>
                <w:rFonts w:ascii="Gotham" w:hAnsi="Gotham" w:cs="Arial"/>
                <w:color w:val="000000"/>
                <w:sz w:val="19"/>
                <w:szCs w:val="19"/>
              </w:rPr>
              <w:t>Tabachií</w:t>
            </w:r>
            <w:r w:rsidRPr="005630A6">
              <w:rPr>
                <w:rFonts w:ascii="Gotham" w:hAnsi="Gotham" w:cs="Arial"/>
                <w:color w:val="000000"/>
                <w:sz w:val="19"/>
                <w:szCs w:val="19"/>
              </w:rPr>
              <w:t>n</w:t>
            </w:r>
          </w:p>
        </w:tc>
        <w:tc>
          <w:tcPr>
            <w:tcW w:w="2977" w:type="dxa"/>
            <w:tcBorders>
              <w:top w:val="nil"/>
              <w:left w:val="nil"/>
              <w:bottom w:val="nil"/>
              <w:right w:val="nil"/>
            </w:tcBorders>
            <w:shd w:val="clear" w:color="auto" w:fill="auto"/>
            <w:noWrap/>
            <w:vAlign w:val="center"/>
            <w:hideMark/>
          </w:tcPr>
          <w:p w14:paraId="3A475439"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Delonix regia</w:t>
            </w:r>
          </w:p>
        </w:tc>
        <w:tc>
          <w:tcPr>
            <w:tcW w:w="1500" w:type="dxa"/>
            <w:tcBorders>
              <w:top w:val="nil"/>
              <w:left w:val="nil"/>
              <w:bottom w:val="nil"/>
              <w:right w:val="nil"/>
            </w:tcBorders>
            <w:shd w:val="clear" w:color="auto" w:fill="auto"/>
            <w:noWrap/>
            <w:vAlign w:val="center"/>
            <w:hideMark/>
          </w:tcPr>
          <w:p w14:paraId="3A47543A"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3F"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3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Ficus</w:t>
            </w:r>
          </w:p>
        </w:tc>
        <w:tc>
          <w:tcPr>
            <w:tcW w:w="2977" w:type="dxa"/>
            <w:tcBorders>
              <w:top w:val="nil"/>
              <w:left w:val="nil"/>
              <w:bottom w:val="nil"/>
              <w:right w:val="nil"/>
            </w:tcBorders>
            <w:shd w:val="clear" w:color="D9D9D9" w:fill="D9D9D9"/>
            <w:noWrap/>
            <w:vAlign w:val="center"/>
            <w:hideMark/>
          </w:tcPr>
          <w:p w14:paraId="3A47543D"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Ficus benjamina</w:t>
            </w:r>
          </w:p>
        </w:tc>
        <w:tc>
          <w:tcPr>
            <w:tcW w:w="1500" w:type="dxa"/>
            <w:tcBorders>
              <w:top w:val="nil"/>
              <w:left w:val="nil"/>
              <w:bottom w:val="nil"/>
              <w:right w:val="nil"/>
            </w:tcBorders>
            <w:shd w:val="clear" w:color="D9D9D9" w:fill="D9D9D9"/>
            <w:noWrap/>
            <w:vAlign w:val="center"/>
            <w:hideMark/>
          </w:tcPr>
          <w:p w14:paraId="3A47543E"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43"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4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Fresno</w:t>
            </w:r>
          </w:p>
        </w:tc>
        <w:tc>
          <w:tcPr>
            <w:tcW w:w="2977" w:type="dxa"/>
            <w:tcBorders>
              <w:top w:val="nil"/>
              <w:left w:val="nil"/>
              <w:bottom w:val="nil"/>
              <w:right w:val="nil"/>
            </w:tcBorders>
            <w:shd w:val="clear" w:color="auto" w:fill="auto"/>
            <w:noWrap/>
            <w:vAlign w:val="center"/>
            <w:hideMark/>
          </w:tcPr>
          <w:p w14:paraId="3A475441"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Franximus uhdei</w:t>
            </w:r>
          </w:p>
        </w:tc>
        <w:tc>
          <w:tcPr>
            <w:tcW w:w="1500" w:type="dxa"/>
            <w:tcBorders>
              <w:top w:val="nil"/>
              <w:left w:val="nil"/>
              <w:bottom w:val="single" w:sz="8" w:space="0" w:color="000000"/>
              <w:right w:val="nil"/>
            </w:tcBorders>
            <w:shd w:val="clear" w:color="auto" w:fill="auto"/>
            <w:noWrap/>
            <w:vAlign w:val="center"/>
            <w:hideMark/>
          </w:tcPr>
          <w:p w14:paraId="3A475442"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47"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4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Jacaranda</w:t>
            </w:r>
          </w:p>
        </w:tc>
        <w:tc>
          <w:tcPr>
            <w:tcW w:w="2977" w:type="dxa"/>
            <w:tcBorders>
              <w:top w:val="nil"/>
              <w:left w:val="nil"/>
              <w:bottom w:val="nil"/>
              <w:right w:val="nil"/>
            </w:tcBorders>
            <w:shd w:val="clear" w:color="D9D9D9" w:fill="D9D9D9"/>
            <w:noWrap/>
            <w:vAlign w:val="center"/>
            <w:hideMark/>
          </w:tcPr>
          <w:p w14:paraId="3A475445"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Jacaranda mimosaefolia</w:t>
            </w:r>
          </w:p>
        </w:tc>
        <w:tc>
          <w:tcPr>
            <w:tcW w:w="1500" w:type="dxa"/>
            <w:tcBorders>
              <w:top w:val="nil"/>
              <w:left w:val="nil"/>
              <w:bottom w:val="nil"/>
              <w:right w:val="nil"/>
            </w:tcBorders>
            <w:shd w:val="clear" w:color="D9D9D9" w:fill="D9D9D9"/>
            <w:noWrap/>
            <w:vAlign w:val="center"/>
            <w:hideMark/>
          </w:tcPr>
          <w:p w14:paraId="3A475446"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4B"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4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Palmera Datilera Real Washingtonia</w:t>
            </w:r>
          </w:p>
        </w:tc>
        <w:tc>
          <w:tcPr>
            <w:tcW w:w="2977" w:type="dxa"/>
            <w:tcBorders>
              <w:top w:val="nil"/>
              <w:left w:val="nil"/>
              <w:bottom w:val="nil"/>
              <w:right w:val="nil"/>
            </w:tcBorders>
            <w:shd w:val="clear" w:color="auto" w:fill="auto"/>
            <w:noWrap/>
            <w:vAlign w:val="center"/>
            <w:hideMark/>
          </w:tcPr>
          <w:p w14:paraId="3A475449"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Phoenix Canariensis</w:t>
            </w:r>
          </w:p>
        </w:tc>
        <w:tc>
          <w:tcPr>
            <w:tcW w:w="1500" w:type="dxa"/>
            <w:tcBorders>
              <w:top w:val="nil"/>
              <w:left w:val="nil"/>
              <w:bottom w:val="nil"/>
              <w:right w:val="nil"/>
            </w:tcBorders>
            <w:shd w:val="clear" w:color="auto" w:fill="auto"/>
            <w:noWrap/>
            <w:vAlign w:val="center"/>
            <w:hideMark/>
          </w:tcPr>
          <w:p w14:paraId="3A47544A"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4F"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4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Pino</w:t>
            </w:r>
          </w:p>
        </w:tc>
        <w:tc>
          <w:tcPr>
            <w:tcW w:w="2977" w:type="dxa"/>
            <w:tcBorders>
              <w:top w:val="nil"/>
              <w:left w:val="nil"/>
              <w:bottom w:val="nil"/>
              <w:right w:val="nil"/>
            </w:tcBorders>
            <w:shd w:val="clear" w:color="D9D9D9" w:fill="D9D9D9"/>
            <w:noWrap/>
            <w:vAlign w:val="center"/>
            <w:hideMark/>
          </w:tcPr>
          <w:p w14:paraId="3A47544D"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Pinus spp</w:t>
            </w:r>
          </w:p>
        </w:tc>
        <w:tc>
          <w:tcPr>
            <w:tcW w:w="1500" w:type="dxa"/>
            <w:tcBorders>
              <w:top w:val="nil"/>
              <w:left w:val="nil"/>
              <w:bottom w:val="nil"/>
              <w:right w:val="nil"/>
            </w:tcBorders>
            <w:shd w:val="clear" w:color="D9D9D9" w:fill="D9D9D9"/>
            <w:noWrap/>
            <w:vAlign w:val="center"/>
            <w:hideMark/>
          </w:tcPr>
          <w:p w14:paraId="3A47544E"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53"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5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Sicomoro</w:t>
            </w:r>
          </w:p>
        </w:tc>
        <w:tc>
          <w:tcPr>
            <w:tcW w:w="2977" w:type="dxa"/>
            <w:tcBorders>
              <w:top w:val="nil"/>
              <w:left w:val="nil"/>
              <w:bottom w:val="nil"/>
              <w:right w:val="nil"/>
            </w:tcBorders>
            <w:shd w:val="clear" w:color="auto" w:fill="auto"/>
            <w:noWrap/>
            <w:vAlign w:val="center"/>
            <w:hideMark/>
          </w:tcPr>
          <w:p w14:paraId="3A475451"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Platanus occidentalis*</w:t>
            </w:r>
          </w:p>
        </w:tc>
        <w:tc>
          <w:tcPr>
            <w:tcW w:w="1500" w:type="dxa"/>
            <w:tcBorders>
              <w:top w:val="nil"/>
              <w:left w:val="nil"/>
              <w:bottom w:val="nil"/>
              <w:right w:val="nil"/>
            </w:tcBorders>
            <w:shd w:val="clear" w:color="auto" w:fill="auto"/>
            <w:noWrap/>
            <w:vAlign w:val="center"/>
            <w:hideMark/>
          </w:tcPr>
          <w:p w14:paraId="3A475452"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57"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5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Tepezapote</w:t>
            </w:r>
          </w:p>
        </w:tc>
        <w:tc>
          <w:tcPr>
            <w:tcW w:w="2977" w:type="dxa"/>
            <w:tcBorders>
              <w:top w:val="nil"/>
              <w:left w:val="nil"/>
              <w:bottom w:val="nil"/>
              <w:right w:val="nil"/>
            </w:tcBorders>
            <w:shd w:val="clear" w:color="D9D9D9" w:fill="D9D9D9"/>
            <w:noWrap/>
            <w:vAlign w:val="center"/>
            <w:hideMark/>
          </w:tcPr>
          <w:p w14:paraId="3A475455"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Platymicium trfoliolatum</w:t>
            </w:r>
          </w:p>
        </w:tc>
        <w:tc>
          <w:tcPr>
            <w:tcW w:w="1500" w:type="dxa"/>
            <w:tcBorders>
              <w:top w:val="nil"/>
              <w:left w:val="nil"/>
              <w:bottom w:val="nil"/>
              <w:right w:val="nil"/>
            </w:tcBorders>
            <w:shd w:val="clear" w:color="D9D9D9" w:fill="D9D9D9"/>
            <w:noWrap/>
            <w:vAlign w:val="center"/>
            <w:hideMark/>
          </w:tcPr>
          <w:p w14:paraId="3A475456"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5B"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5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Primavera</w:t>
            </w:r>
          </w:p>
        </w:tc>
        <w:tc>
          <w:tcPr>
            <w:tcW w:w="2977" w:type="dxa"/>
            <w:tcBorders>
              <w:top w:val="nil"/>
              <w:left w:val="nil"/>
              <w:bottom w:val="nil"/>
              <w:right w:val="nil"/>
            </w:tcBorders>
            <w:shd w:val="clear" w:color="auto" w:fill="auto"/>
            <w:noWrap/>
            <w:vAlign w:val="center"/>
            <w:hideMark/>
          </w:tcPr>
          <w:p w14:paraId="3A475459"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Roseodrendron Domell smithil</w:t>
            </w:r>
          </w:p>
        </w:tc>
        <w:tc>
          <w:tcPr>
            <w:tcW w:w="1500" w:type="dxa"/>
            <w:tcBorders>
              <w:top w:val="nil"/>
              <w:left w:val="nil"/>
              <w:bottom w:val="nil"/>
              <w:right w:val="nil"/>
            </w:tcBorders>
            <w:shd w:val="clear" w:color="auto" w:fill="auto"/>
            <w:noWrap/>
            <w:vAlign w:val="center"/>
            <w:hideMark/>
          </w:tcPr>
          <w:p w14:paraId="3A47545A"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5F" w14:textId="77777777" w:rsidTr="00190E4A">
        <w:trPr>
          <w:trHeight w:val="283"/>
          <w:jc w:val="center"/>
        </w:trPr>
        <w:tc>
          <w:tcPr>
            <w:tcW w:w="3577" w:type="dxa"/>
            <w:tcBorders>
              <w:top w:val="nil"/>
              <w:left w:val="nil"/>
              <w:bottom w:val="nil"/>
              <w:right w:val="nil"/>
            </w:tcBorders>
            <w:shd w:val="clear" w:color="D9D9D9" w:fill="D9D9D9"/>
            <w:noWrap/>
            <w:vAlign w:val="center"/>
            <w:hideMark/>
          </w:tcPr>
          <w:p w14:paraId="3A47545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Galeana</w:t>
            </w:r>
          </w:p>
        </w:tc>
        <w:tc>
          <w:tcPr>
            <w:tcW w:w="2977" w:type="dxa"/>
            <w:tcBorders>
              <w:top w:val="nil"/>
              <w:left w:val="nil"/>
              <w:bottom w:val="nil"/>
              <w:right w:val="nil"/>
            </w:tcBorders>
            <w:shd w:val="clear" w:color="D9D9D9" w:fill="D9D9D9"/>
            <w:noWrap/>
            <w:vAlign w:val="center"/>
            <w:hideMark/>
          </w:tcPr>
          <w:p w14:paraId="3A47545D"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Spathodea campanulata</w:t>
            </w:r>
          </w:p>
        </w:tc>
        <w:tc>
          <w:tcPr>
            <w:tcW w:w="1500" w:type="dxa"/>
            <w:tcBorders>
              <w:top w:val="nil"/>
              <w:left w:val="nil"/>
              <w:bottom w:val="nil"/>
              <w:right w:val="nil"/>
            </w:tcBorders>
            <w:shd w:val="clear" w:color="D9D9D9" w:fill="D9D9D9"/>
            <w:noWrap/>
            <w:vAlign w:val="center"/>
            <w:hideMark/>
          </w:tcPr>
          <w:p w14:paraId="3A47545E"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63" w14:textId="77777777" w:rsidTr="00190E4A">
        <w:trPr>
          <w:trHeight w:val="283"/>
          <w:jc w:val="center"/>
        </w:trPr>
        <w:tc>
          <w:tcPr>
            <w:tcW w:w="3577" w:type="dxa"/>
            <w:tcBorders>
              <w:top w:val="nil"/>
              <w:left w:val="nil"/>
              <w:bottom w:val="nil"/>
              <w:right w:val="nil"/>
            </w:tcBorders>
            <w:shd w:val="clear" w:color="auto" w:fill="auto"/>
            <w:noWrap/>
            <w:vAlign w:val="center"/>
            <w:hideMark/>
          </w:tcPr>
          <w:p w14:paraId="3A47546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Rosa Morada</w:t>
            </w:r>
          </w:p>
        </w:tc>
        <w:tc>
          <w:tcPr>
            <w:tcW w:w="2977" w:type="dxa"/>
            <w:tcBorders>
              <w:top w:val="nil"/>
              <w:left w:val="nil"/>
              <w:bottom w:val="nil"/>
              <w:right w:val="nil"/>
            </w:tcBorders>
            <w:shd w:val="clear" w:color="auto" w:fill="auto"/>
            <w:noWrap/>
            <w:vAlign w:val="center"/>
            <w:hideMark/>
          </w:tcPr>
          <w:p w14:paraId="3A475461"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Tabebuia rosea</w:t>
            </w:r>
          </w:p>
        </w:tc>
        <w:tc>
          <w:tcPr>
            <w:tcW w:w="1500" w:type="dxa"/>
            <w:tcBorders>
              <w:top w:val="nil"/>
              <w:left w:val="nil"/>
              <w:bottom w:val="nil"/>
              <w:right w:val="nil"/>
            </w:tcBorders>
            <w:shd w:val="clear" w:color="000000" w:fill="D9D9D9"/>
            <w:noWrap/>
            <w:vAlign w:val="center"/>
            <w:hideMark/>
          </w:tcPr>
          <w:p w14:paraId="3A475462"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bl>
    <w:p w14:paraId="3A475464" w14:textId="77777777" w:rsidR="009B5E39" w:rsidRPr="003A71BD" w:rsidRDefault="009B5E39" w:rsidP="009B5E39">
      <w:pPr>
        <w:ind w:left="284" w:right="283"/>
        <w:jc w:val="both"/>
        <w:rPr>
          <w:rFonts w:ascii="Gotham" w:hAnsi="Gotham" w:cs="Arial"/>
          <w:color w:val="000000" w:themeColor="text1"/>
          <w:sz w:val="19"/>
          <w:szCs w:val="19"/>
          <w:lang w:val="es-ES_tradnl"/>
        </w:rPr>
      </w:pPr>
    </w:p>
    <w:p w14:paraId="3A475465" w14:textId="77777777" w:rsidR="009B5E39" w:rsidRPr="003A71BD" w:rsidRDefault="009B5E39" w:rsidP="009B5E39">
      <w:pPr>
        <w:ind w:left="284" w:right="283"/>
        <w:jc w:val="both"/>
        <w:rPr>
          <w:rFonts w:ascii="Gotham" w:hAnsi="Gotham" w:cs="Arial"/>
          <w:color w:val="000000" w:themeColor="text1"/>
          <w:sz w:val="19"/>
          <w:szCs w:val="19"/>
          <w:lang w:val="es-ES_tradnl"/>
        </w:rPr>
      </w:pPr>
      <w:r>
        <w:rPr>
          <w:rFonts w:ascii="Gotham" w:hAnsi="Gotham" w:cs="Arial"/>
          <w:color w:val="000000" w:themeColor="text1"/>
          <w:sz w:val="19"/>
          <w:szCs w:val="19"/>
          <w:lang w:val="es-ES_tradnl"/>
        </w:rPr>
        <w:t>Artí</w:t>
      </w:r>
      <w:r w:rsidRPr="003A71BD">
        <w:rPr>
          <w:rFonts w:ascii="Gotham" w:hAnsi="Gotham" w:cs="Arial"/>
          <w:color w:val="000000" w:themeColor="text1"/>
          <w:sz w:val="19"/>
          <w:szCs w:val="19"/>
          <w:lang w:val="es-ES_tradnl"/>
        </w:rPr>
        <w:t>culo 7.- Las siguientes especies son adecuadas básicamente para espacios abiertos, amplios sin construcciones, pavimentos ni instalaciones cercanas.</w:t>
      </w:r>
    </w:p>
    <w:p w14:paraId="3A475466" w14:textId="77777777" w:rsidR="009B5E39" w:rsidRPr="003A71BD" w:rsidRDefault="009B5E39" w:rsidP="009B5E39">
      <w:pPr>
        <w:ind w:left="284" w:right="283"/>
        <w:jc w:val="both"/>
        <w:rPr>
          <w:rFonts w:ascii="Gotham" w:hAnsi="Gotham" w:cs="Arial"/>
          <w:color w:val="000000" w:themeColor="text1"/>
          <w:sz w:val="19"/>
          <w:szCs w:val="19"/>
          <w:lang w:val="es-ES_tradnl"/>
        </w:rPr>
      </w:pPr>
    </w:p>
    <w:tbl>
      <w:tblPr>
        <w:tblW w:w="7340" w:type="dxa"/>
        <w:jc w:val="center"/>
        <w:tblLook w:val="04A0" w:firstRow="1" w:lastRow="0" w:firstColumn="1" w:lastColumn="0" w:noHBand="0" w:noVBand="1"/>
      </w:tblPr>
      <w:tblGrid>
        <w:gridCol w:w="2977"/>
        <w:gridCol w:w="2863"/>
        <w:gridCol w:w="1500"/>
      </w:tblGrid>
      <w:tr w:rsidR="009B5E39" w:rsidRPr="005630A6" w14:paraId="3A47546A" w14:textId="77777777" w:rsidTr="00190E4A">
        <w:trPr>
          <w:trHeight w:val="283"/>
          <w:jc w:val="center"/>
        </w:trPr>
        <w:tc>
          <w:tcPr>
            <w:tcW w:w="2977" w:type="dxa"/>
            <w:tcBorders>
              <w:top w:val="nil"/>
              <w:left w:val="nil"/>
              <w:bottom w:val="nil"/>
              <w:right w:val="nil"/>
            </w:tcBorders>
            <w:shd w:val="clear" w:color="D9D9D9" w:fill="D9D9D9"/>
            <w:noWrap/>
            <w:vAlign w:val="center"/>
            <w:hideMark/>
          </w:tcPr>
          <w:p w14:paraId="3A475467"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Zalate</w:t>
            </w:r>
          </w:p>
        </w:tc>
        <w:tc>
          <w:tcPr>
            <w:tcW w:w="2863" w:type="dxa"/>
            <w:tcBorders>
              <w:top w:val="nil"/>
              <w:left w:val="nil"/>
              <w:bottom w:val="nil"/>
              <w:right w:val="nil"/>
            </w:tcBorders>
            <w:shd w:val="clear" w:color="D9D9D9" w:fill="D9D9D9"/>
            <w:noWrap/>
            <w:vAlign w:val="center"/>
            <w:hideMark/>
          </w:tcPr>
          <w:p w14:paraId="3A47546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Ficus continifolia</w:t>
            </w:r>
          </w:p>
        </w:tc>
        <w:tc>
          <w:tcPr>
            <w:tcW w:w="1500" w:type="dxa"/>
            <w:tcBorders>
              <w:top w:val="nil"/>
              <w:left w:val="nil"/>
              <w:bottom w:val="nil"/>
              <w:right w:val="nil"/>
            </w:tcBorders>
            <w:shd w:val="clear" w:color="000000" w:fill="D9D9D9"/>
            <w:noWrap/>
            <w:vAlign w:val="center"/>
            <w:hideMark/>
          </w:tcPr>
          <w:p w14:paraId="3A475469"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6E" w14:textId="77777777" w:rsidTr="00190E4A">
        <w:trPr>
          <w:trHeight w:val="283"/>
          <w:jc w:val="center"/>
        </w:trPr>
        <w:tc>
          <w:tcPr>
            <w:tcW w:w="2977" w:type="dxa"/>
            <w:tcBorders>
              <w:top w:val="nil"/>
              <w:left w:val="nil"/>
              <w:bottom w:val="nil"/>
              <w:right w:val="nil"/>
            </w:tcBorders>
            <w:shd w:val="clear" w:color="auto" w:fill="auto"/>
            <w:noWrap/>
            <w:vAlign w:val="center"/>
            <w:hideMark/>
          </w:tcPr>
          <w:p w14:paraId="3A47546B"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Hule</w:t>
            </w:r>
          </w:p>
        </w:tc>
        <w:tc>
          <w:tcPr>
            <w:tcW w:w="2863" w:type="dxa"/>
            <w:tcBorders>
              <w:top w:val="nil"/>
              <w:left w:val="nil"/>
              <w:bottom w:val="nil"/>
              <w:right w:val="nil"/>
            </w:tcBorders>
            <w:shd w:val="clear" w:color="auto" w:fill="auto"/>
            <w:noWrap/>
            <w:vAlign w:val="center"/>
            <w:hideMark/>
          </w:tcPr>
          <w:p w14:paraId="3A47546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Ficus elástica</w:t>
            </w:r>
          </w:p>
        </w:tc>
        <w:tc>
          <w:tcPr>
            <w:tcW w:w="1500" w:type="dxa"/>
            <w:tcBorders>
              <w:top w:val="nil"/>
              <w:left w:val="nil"/>
              <w:bottom w:val="nil"/>
              <w:right w:val="nil"/>
            </w:tcBorders>
            <w:shd w:val="clear" w:color="auto" w:fill="auto"/>
            <w:noWrap/>
            <w:vAlign w:val="center"/>
            <w:hideMark/>
          </w:tcPr>
          <w:p w14:paraId="3A47546D"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72" w14:textId="77777777" w:rsidTr="00190E4A">
        <w:trPr>
          <w:trHeight w:val="283"/>
          <w:jc w:val="center"/>
        </w:trPr>
        <w:tc>
          <w:tcPr>
            <w:tcW w:w="2977" w:type="dxa"/>
            <w:tcBorders>
              <w:top w:val="nil"/>
              <w:left w:val="nil"/>
              <w:bottom w:val="nil"/>
              <w:right w:val="nil"/>
            </w:tcBorders>
            <w:shd w:val="clear" w:color="D9D9D9" w:fill="D9D9D9"/>
            <w:noWrap/>
            <w:vAlign w:val="center"/>
            <w:hideMark/>
          </w:tcPr>
          <w:p w14:paraId="3A47546F"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Arce Real</w:t>
            </w:r>
          </w:p>
        </w:tc>
        <w:tc>
          <w:tcPr>
            <w:tcW w:w="2863" w:type="dxa"/>
            <w:tcBorders>
              <w:top w:val="nil"/>
              <w:left w:val="nil"/>
              <w:bottom w:val="nil"/>
              <w:right w:val="nil"/>
            </w:tcBorders>
            <w:shd w:val="clear" w:color="D9D9D9" w:fill="D9D9D9"/>
            <w:noWrap/>
            <w:vAlign w:val="center"/>
            <w:hideMark/>
          </w:tcPr>
          <w:p w14:paraId="3A47547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Hacer plantanoides</w:t>
            </w:r>
          </w:p>
        </w:tc>
        <w:tc>
          <w:tcPr>
            <w:tcW w:w="1500" w:type="dxa"/>
            <w:tcBorders>
              <w:top w:val="nil"/>
              <w:left w:val="nil"/>
              <w:bottom w:val="nil"/>
              <w:right w:val="nil"/>
            </w:tcBorders>
            <w:shd w:val="clear" w:color="D9D9D9" w:fill="D9D9D9"/>
            <w:noWrap/>
            <w:vAlign w:val="center"/>
            <w:hideMark/>
          </w:tcPr>
          <w:p w14:paraId="3A475471"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76" w14:textId="77777777" w:rsidTr="00190E4A">
        <w:trPr>
          <w:trHeight w:val="283"/>
          <w:jc w:val="center"/>
        </w:trPr>
        <w:tc>
          <w:tcPr>
            <w:tcW w:w="2977" w:type="dxa"/>
            <w:tcBorders>
              <w:top w:val="nil"/>
              <w:left w:val="nil"/>
              <w:bottom w:val="nil"/>
              <w:right w:val="nil"/>
            </w:tcBorders>
            <w:shd w:val="clear" w:color="auto" w:fill="auto"/>
            <w:noWrap/>
            <w:vAlign w:val="center"/>
            <w:hideMark/>
          </w:tcPr>
          <w:p w14:paraId="3A475473"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Álamo blanco</w:t>
            </w:r>
          </w:p>
        </w:tc>
        <w:tc>
          <w:tcPr>
            <w:tcW w:w="2863" w:type="dxa"/>
            <w:tcBorders>
              <w:top w:val="nil"/>
              <w:left w:val="nil"/>
              <w:bottom w:val="nil"/>
              <w:right w:val="nil"/>
            </w:tcBorders>
            <w:shd w:val="clear" w:color="auto" w:fill="auto"/>
            <w:noWrap/>
            <w:vAlign w:val="center"/>
            <w:hideMark/>
          </w:tcPr>
          <w:p w14:paraId="3A47547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Populus alba</w:t>
            </w:r>
          </w:p>
        </w:tc>
        <w:tc>
          <w:tcPr>
            <w:tcW w:w="1500" w:type="dxa"/>
            <w:tcBorders>
              <w:top w:val="nil"/>
              <w:left w:val="nil"/>
              <w:bottom w:val="nil"/>
              <w:right w:val="nil"/>
            </w:tcBorders>
            <w:shd w:val="clear" w:color="auto" w:fill="auto"/>
            <w:noWrap/>
            <w:vAlign w:val="center"/>
            <w:hideMark/>
          </w:tcPr>
          <w:p w14:paraId="3A475475"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7A" w14:textId="77777777" w:rsidTr="00190E4A">
        <w:trPr>
          <w:trHeight w:val="283"/>
          <w:jc w:val="center"/>
        </w:trPr>
        <w:tc>
          <w:tcPr>
            <w:tcW w:w="2977" w:type="dxa"/>
            <w:tcBorders>
              <w:top w:val="nil"/>
              <w:left w:val="nil"/>
              <w:bottom w:val="nil"/>
              <w:right w:val="nil"/>
            </w:tcBorders>
            <w:shd w:val="clear" w:color="D9D9D9" w:fill="D9D9D9"/>
            <w:noWrap/>
            <w:vAlign w:val="center"/>
            <w:hideMark/>
          </w:tcPr>
          <w:p w14:paraId="3A475477"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Sauce Llorón</w:t>
            </w:r>
          </w:p>
        </w:tc>
        <w:tc>
          <w:tcPr>
            <w:tcW w:w="2863" w:type="dxa"/>
            <w:tcBorders>
              <w:top w:val="nil"/>
              <w:left w:val="nil"/>
              <w:bottom w:val="nil"/>
              <w:right w:val="nil"/>
            </w:tcBorders>
            <w:shd w:val="clear" w:color="D9D9D9" w:fill="D9D9D9"/>
            <w:noWrap/>
            <w:vAlign w:val="center"/>
            <w:hideMark/>
          </w:tcPr>
          <w:p w14:paraId="3A47547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Salix babylónica</w:t>
            </w:r>
          </w:p>
        </w:tc>
        <w:tc>
          <w:tcPr>
            <w:tcW w:w="1500" w:type="dxa"/>
            <w:tcBorders>
              <w:top w:val="nil"/>
              <w:left w:val="nil"/>
              <w:bottom w:val="nil"/>
              <w:right w:val="nil"/>
            </w:tcBorders>
            <w:shd w:val="clear" w:color="D9D9D9" w:fill="D9D9D9"/>
            <w:noWrap/>
            <w:vAlign w:val="center"/>
            <w:hideMark/>
          </w:tcPr>
          <w:p w14:paraId="3A475479"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7E" w14:textId="77777777" w:rsidTr="00190E4A">
        <w:trPr>
          <w:trHeight w:val="283"/>
          <w:jc w:val="center"/>
        </w:trPr>
        <w:tc>
          <w:tcPr>
            <w:tcW w:w="2977" w:type="dxa"/>
            <w:tcBorders>
              <w:top w:val="nil"/>
              <w:left w:val="nil"/>
              <w:bottom w:val="nil"/>
              <w:right w:val="nil"/>
            </w:tcBorders>
            <w:shd w:val="clear" w:color="auto" w:fill="auto"/>
            <w:noWrap/>
            <w:vAlign w:val="center"/>
            <w:hideMark/>
          </w:tcPr>
          <w:p w14:paraId="3A47547B"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Sabino de los Ríos</w:t>
            </w:r>
          </w:p>
        </w:tc>
        <w:tc>
          <w:tcPr>
            <w:tcW w:w="2863" w:type="dxa"/>
            <w:tcBorders>
              <w:top w:val="nil"/>
              <w:left w:val="nil"/>
              <w:bottom w:val="nil"/>
              <w:right w:val="nil"/>
            </w:tcBorders>
            <w:shd w:val="clear" w:color="auto" w:fill="auto"/>
            <w:noWrap/>
            <w:vAlign w:val="center"/>
            <w:hideMark/>
          </w:tcPr>
          <w:p w14:paraId="3A47547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Salix bomplandiana</w:t>
            </w:r>
          </w:p>
        </w:tc>
        <w:tc>
          <w:tcPr>
            <w:tcW w:w="1500" w:type="dxa"/>
            <w:tcBorders>
              <w:top w:val="nil"/>
              <w:left w:val="nil"/>
              <w:bottom w:val="nil"/>
              <w:right w:val="nil"/>
            </w:tcBorders>
            <w:shd w:val="clear" w:color="auto" w:fill="auto"/>
            <w:noWrap/>
            <w:vAlign w:val="center"/>
            <w:hideMark/>
          </w:tcPr>
          <w:p w14:paraId="3A47547D"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82" w14:textId="77777777" w:rsidTr="00190E4A">
        <w:trPr>
          <w:trHeight w:val="283"/>
          <w:jc w:val="center"/>
        </w:trPr>
        <w:tc>
          <w:tcPr>
            <w:tcW w:w="2977" w:type="dxa"/>
            <w:tcBorders>
              <w:top w:val="nil"/>
              <w:left w:val="nil"/>
              <w:bottom w:val="nil"/>
              <w:right w:val="nil"/>
            </w:tcBorders>
            <w:shd w:val="clear" w:color="D9D9D9" w:fill="D9D9D9"/>
            <w:noWrap/>
            <w:vAlign w:val="center"/>
            <w:hideMark/>
          </w:tcPr>
          <w:p w14:paraId="3A47547F"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lastRenderedPageBreak/>
              <w:t>Ahuehuete</w:t>
            </w:r>
          </w:p>
        </w:tc>
        <w:tc>
          <w:tcPr>
            <w:tcW w:w="2863" w:type="dxa"/>
            <w:tcBorders>
              <w:top w:val="nil"/>
              <w:left w:val="nil"/>
              <w:bottom w:val="nil"/>
              <w:right w:val="nil"/>
            </w:tcBorders>
            <w:shd w:val="clear" w:color="D9D9D9" w:fill="D9D9D9"/>
            <w:noWrap/>
            <w:vAlign w:val="center"/>
            <w:hideMark/>
          </w:tcPr>
          <w:p w14:paraId="3A47548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Taxodium mucronatum</w:t>
            </w:r>
          </w:p>
        </w:tc>
        <w:tc>
          <w:tcPr>
            <w:tcW w:w="1500" w:type="dxa"/>
            <w:tcBorders>
              <w:top w:val="nil"/>
              <w:left w:val="nil"/>
              <w:bottom w:val="nil"/>
              <w:right w:val="nil"/>
            </w:tcBorders>
            <w:shd w:val="clear" w:color="D9D9D9" w:fill="D9D9D9"/>
            <w:noWrap/>
            <w:vAlign w:val="center"/>
            <w:hideMark/>
          </w:tcPr>
          <w:p w14:paraId="3A475481"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Alto</w:t>
            </w:r>
          </w:p>
        </w:tc>
      </w:tr>
      <w:tr w:rsidR="009B5E39" w:rsidRPr="005630A6" w14:paraId="3A475486" w14:textId="77777777" w:rsidTr="00190E4A">
        <w:trPr>
          <w:trHeight w:val="283"/>
          <w:jc w:val="center"/>
        </w:trPr>
        <w:tc>
          <w:tcPr>
            <w:tcW w:w="2977" w:type="dxa"/>
            <w:tcBorders>
              <w:top w:val="nil"/>
              <w:left w:val="nil"/>
              <w:bottom w:val="nil"/>
              <w:right w:val="nil"/>
            </w:tcBorders>
            <w:shd w:val="clear" w:color="auto" w:fill="auto"/>
            <w:noWrap/>
            <w:vAlign w:val="center"/>
            <w:hideMark/>
          </w:tcPr>
          <w:p w14:paraId="3A475483"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Pirul</w:t>
            </w:r>
          </w:p>
        </w:tc>
        <w:tc>
          <w:tcPr>
            <w:tcW w:w="2863" w:type="dxa"/>
            <w:tcBorders>
              <w:top w:val="nil"/>
              <w:left w:val="nil"/>
              <w:bottom w:val="nil"/>
              <w:right w:val="nil"/>
            </w:tcBorders>
            <w:shd w:val="clear" w:color="auto" w:fill="auto"/>
            <w:noWrap/>
            <w:vAlign w:val="center"/>
            <w:hideMark/>
          </w:tcPr>
          <w:p w14:paraId="3A47548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Schimus molle</w:t>
            </w:r>
          </w:p>
        </w:tc>
        <w:tc>
          <w:tcPr>
            <w:tcW w:w="1500" w:type="dxa"/>
            <w:tcBorders>
              <w:top w:val="nil"/>
              <w:left w:val="nil"/>
              <w:bottom w:val="nil"/>
              <w:right w:val="nil"/>
            </w:tcBorders>
            <w:shd w:val="clear" w:color="auto" w:fill="auto"/>
            <w:noWrap/>
            <w:vAlign w:val="center"/>
            <w:hideMark/>
          </w:tcPr>
          <w:p w14:paraId="3A475485"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Bajo</w:t>
            </w:r>
          </w:p>
        </w:tc>
      </w:tr>
      <w:tr w:rsidR="009B5E39" w:rsidRPr="005630A6" w14:paraId="3A47548A" w14:textId="77777777" w:rsidTr="00190E4A">
        <w:trPr>
          <w:trHeight w:val="283"/>
          <w:jc w:val="center"/>
        </w:trPr>
        <w:tc>
          <w:tcPr>
            <w:tcW w:w="2977" w:type="dxa"/>
            <w:tcBorders>
              <w:top w:val="nil"/>
              <w:left w:val="nil"/>
              <w:bottom w:val="nil"/>
              <w:right w:val="nil"/>
            </w:tcBorders>
            <w:shd w:val="clear" w:color="D9D9D9" w:fill="D9D9D9"/>
            <w:noWrap/>
            <w:vAlign w:val="center"/>
            <w:hideMark/>
          </w:tcPr>
          <w:p w14:paraId="3A475487"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Chicozapote</w:t>
            </w:r>
          </w:p>
        </w:tc>
        <w:tc>
          <w:tcPr>
            <w:tcW w:w="2863" w:type="dxa"/>
            <w:tcBorders>
              <w:top w:val="nil"/>
              <w:left w:val="nil"/>
              <w:bottom w:val="nil"/>
              <w:right w:val="nil"/>
            </w:tcBorders>
            <w:shd w:val="clear" w:color="D9D9D9" w:fill="D9D9D9"/>
            <w:noWrap/>
            <w:vAlign w:val="center"/>
            <w:hideMark/>
          </w:tcPr>
          <w:p w14:paraId="3A47548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Achras sapota</w:t>
            </w:r>
          </w:p>
        </w:tc>
        <w:tc>
          <w:tcPr>
            <w:tcW w:w="1500" w:type="dxa"/>
            <w:tcBorders>
              <w:top w:val="nil"/>
              <w:left w:val="nil"/>
              <w:bottom w:val="nil"/>
              <w:right w:val="nil"/>
            </w:tcBorders>
            <w:shd w:val="clear" w:color="D9D9D9" w:fill="D9D9D9"/>
            <w:noWrap/>
            <w:vAlign w:val="center"/>
            <w:hideMark/>
          </w:tcPr>
          <w:p w14:paraId="3A475489"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8E" w14:textId="77777777" w:rsidTr="00190E4A">
        <w:trPr>
          <w:trHeight w:val="283"/>
          <w:jc w:val="center"/>
        </w:trPr>
        <w:tc>
          <w:tcPr>
            <w:tcW w:w="2977" w:type="dxa"/>
            <w:tcBorders>
              <w:top w:val="nil"/>
              <w:left w:val="nil"/>
              <w:bottom w:val="nil"/>
              <w:right w:val="nil"/>
            </w:tcBorders>
            <w:shd w:val="clear" w:color="auto" w:fill="auto"/>
            <w:noWrap/>
            <w:vAlign w:val="center"/>
            <w:hideMark/>
          </w:tcPr>
          <w:p w14:paraId="3A47548B"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Zapote Blanco</w:t>
            </w:r>
          </w:p>
        </w:tc>
        <w:tc>
          <w:tcPr>
            <w:tcW w:w="2863" w:type="dxa"/>
            <w:tcBorders>
              <w:top w:val="nil"/>
              <w:left w:val="nil"/>
              <w:bottom w:val="nil"/>
              <w:right w:val="nil"/>
            </w:tcBorders>
            <w:shd w:val="clear" w:color="auto" w:fill="auto"/>
            <w:noWrap/>
            <w:vAlign w:val="center"/>
            <w:hideMark/>
          </w:tcPr>
          <w:p w14:paraId="3A47548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Casimiroa edulis</w:t>
            </w:r>
          </w:p>
        </w:tc>
        <w:tc>
          <w:tcPr>
            <w:tcW w:w="1500" w:type="dxa"/>
            <w:tcBorders>
              <w:top w:val="nil"/>
              <w:left w:val="nil"/>
              <w:bottom w:val="nil"/>
              <w:right w:val="nil"/>
            </w:tcBorders>
            <w:shd w:val="clear" w:color="auto" w:fill="auto"/>
            <w:noWrap/>
            <w:vAlign w:val="center"/>
            <w:hideMark/>
          </w:tcPr>
          <w:p w14:paraId="3A47548D"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92" w14:textId="77777777" w:rsidTr="00190E4A">
        <w:trPr>
          <w:trHeight w:val="283"/>
          <w:jc w:val="center"/>
        </w:trPr>
        <w:tc>
          <w:tcPr>
            <w:tcW w:w="2977" w:type="dxa"/>
            <w:tcBorders>
              <w:top w:val="nil"/>
              <w:left w:val="nil"/>
              <w:bottom w:val="nil"/>
              <w:right w:val="nil"/>
            </w:tcBorders>
            <w:shd w:val="clear" w:color="D9D9D9" w:fill="D9D9D9"/>
            <w:noWrap/>
            <w:vAlign w:val="center"/>
            <w:hideMark/>
          </w:tcPr>
          <w:p w14:paraId="3A47548F"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Ceiba</w:t>
            </w:r>
          </w:p>
        </w:tc>
        <w:tc>
          <w:tcPr>
            <w:tcW w:w="2863" w:type="dxa"/>
            <w:tcBorders>
              <w:top w:val="nil"/>
              <w:left w:val="nil"/>
              <w:bottom w:val="nil"/>
              <w:right w:val="nil"/>
            </w:tcBorders>
            <w:shd w:val="clear" w:color="D9D9D9" w:fill="D9D9D9"/>
            <w:noWrap/>
            <w:vAlign w:val="center"/>
            <w:hideMark/>
          </w:tcPr>
          <w:p w14:paraId="3A47549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Ceiba pentandra</w:t>
            </w:r>
          </w:p>
        </w:tc>
        <w:tc>
          <w:tcPr>
            <w:tcW w:w="1500" w:type="dxa"/>
            <w:tcBorders>
              <w:top w:val="nil"/>
              <w:left w:val="nil"/>
              <w:bottom w:val="nil"/>
              <w:right w:val="nil"/>
            </w:tcBorders>
            <w:shd w:val="clear" w:color="D9D9D9" w:fill="D9D9D9"/>
            <w:noWrap/>
            <w:vAlign w:val="center"/>
            <w:hideMark/>
          </w:tcPr>
          <w:p w14:paraId="3A475491"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96" w14:textId="77777777" w:rsidTr="00190E4A">
        <w:trPr>
          <w:trHeight w:val="283"/>
          <w:jc w:val="center"/>
        </w:trPr>
        <w:tc>
          <w:tcPr>
            <w:tcW w:w="2977" w:type="dxa"/>
            <w:tcBorders>
              <w:top w:val="nil"/>
              <w:left w:val="nil"/>
              <w:bottom w:val="nil"/>
              <w:right w:val="nil"/>
            </w:tcBorders>
            <w:shd w:val="clear" w:color="auto" w:fill="auto"/>
            <w:noWrap/>
            <w:vAlign w:val="center"/>
            <w:hideMark/>
          </w:tcPr>
          <w:p w14:paraId="3A475493"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Parota</w:t>
            </w:r>
          </w:p>
        </w:tc>
        <w:tc>
          <w:tcPr>
            <w:tcW w:w="2863" w:type="dxa"/>
            <w:tcBorders>
              <w:top w:val="nil"/>
              <w:left w:val="nil"/>
              <w:bottom w:val="nil"/>
              <w:right w:val="nil"/>
            </w:tcBorders>
            <w:shd w:val="clear" w:color="auto" w:fill="auto"/>
            <w:noWrap/>
            <w:vAlign w:val="center"/>
            <w:hideMark/>
          </w:tcPr>
          <w:p w14:paraId="3A475494"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Enterolobium Ciclocarpum</w:t>
            </w:r>
          </w:p>
        </w:tc>
        <w:tc>
          <w:tcPr>
            <w:tcW w:w="1500" w:type="dxa"/>
            <w:tcBorders>
              <w:top w:val="nil"/>
              <w:left w:val="nil"/>
              <w:bottom w:val="nil"/>
              <w:right w:val="nil"/>
            </w:tcBorders>
            <w:shd w:val="clear" w:color="auto" w:fill="auto"/>
            <w:noWrap/>
            <w:vAlign w:val="center"/>
            <w:hideMark/>
          </w:tcPr>
          <w:p w14:paraId="3A475495"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9A" w14:textId="77777777" w:rsidTr="00190E4A">
        <w:trPr>
          <w:trHeight w:val="283"/>
          <w:jc w:val="center"/>
        </w:trPr>
        <w:tc>
          <w:tcPr>
            <w:tcW w:w="2977" w:type="dxa"/>
            <w:tcBorders>
              <w:top w:val="nil"/>
              <w:left w:val="nil"/>
              <w:bottom w:val="nil"/>
              <w:right w:val="nil"/>
            </w:tcBorders>
            <w:shd w:val="clear" w:color="D9D9D9" w:fill="D9D9D9"/>
            <w:noWrap/>
            <w:vAlign w:val="center"/>
            <w:hideMark/>
          </w:tcPr>
          <w:p w14:paraId="3A475497"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Laurel de la India</w:t>
            </w:r>
          </w:p>
        </w:tc>
        <w:tc>
          <w:tcPr>
            <w:tcW w:w="2863" w:type="dxa"/>
            <w:tcBorders>
              <w:top w:val="nil"/>
              <w:left w:val="nil"/>
              <w:bottom w:val="nil"/>
              <w:right w:val="nil"/>
            </w:tcBorders>
            <w:shd w:val="clear" w:color="D9D9D9" w:fill="D9D9D9"/>
            <w:noWrap/>
            <w:vAlign w:val="center"/>
            <w:hideMark/>
          </w:tcPr>
          <w:p w14:paraId="3A475498"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Ficus nitida</w:t>
            </w:r>
          </w:p>
        </w:tc>
        <w:tc>
          <w:tcPr>
            <w:tcW w:w="1500" w:type="dxa"/>
            <w:tcBorders>
              <w:top w:val="nil"/>
              <w:left w:val="nil"/>
              <w:bottom w:val="nil"/>
              <w:right w:val="nil"/>
            </w:tcBorders>
            <w:shd w:val="clear" w:color="D9D9D9" w:fill="D9D9D9"/>
            <w:noWrap/>
            <w:vAlign w:val="center"/>
            <w:hideMark/>
          </w:tcPr>
          <w:p w14:paraId="3A475499"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9E" w14:textId="77777777" w:rsidTr="00190E4A">
        <w:trPr>
          <w:trHeight w:val="283"/>
          <w:jc w:val="center"/>
        </w:trPr>
        <w:tc>
          <w:tcPr>
            <w:tcW w:w="2977" w:type="dxa"/>
            <w:tcBorders>
              <w:top w:val="nil"/>
              <w:left w:val="nil"/>
              <w:bottom w:val="nil"/>
              <w:right w:val="nil"/>
            </w:tcBorders>
            <w:shd w:val="clear" w:color="auto" w:fill="auto"/>
            <w:noWrap/>
            <w:vAlign w:val="center"/>
            <w:hideMark/>
          </w:tcPr>
          <w:p w14:paraId="3A47549B"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Camichín</w:t>
            </w:r>
          </w:p>
        </w:tc>
        <w:tc>
          <w:tcPr>
            <w:tcW w:w="2863" w:type="dxa"/>
            <w:tcBorders>
              <w:top w:val="nil"/>
              <w:left w:val="nil"/>
              <w:bottom w:val="nil"/>
              <w:right w:val="nil"/>
            </w:tcBorders>
            <w:shd w:val="clear" w:color="auto" w:fill="auto"/>
            <w:noWrap/>
            <w:vAlign w:val="center"/>
            <w:hideMark/>
          </w:tcPr>
          <w:p w14:paraId="3A47549C"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Ficus padifolia</w:t>
            </w:r>
          </w:p>
        </w:tc>
        <w:tc>
          <w:tcPr>
            <w:tcW w:w="1500" w:type="dxa"/>
            <w:tcBorders>
              <w:top w:val="nil"/>
              <w:left w:val="nil"/>
              <w:bottom w:val="nil"/>
              <w:right w:val="nil"/>
            </w:tcBorders>
            <w:shd w:val="clear" w:color="auto" w:fill="auto"/>
            <w:noWrap/>
            <w:vAlign w:val="center"/>
            <w:hideMark/>
          </w:tcPr>
          <w:p w14:paraId="3A47549D"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r w:rsidR="009B5E39" w:rsidRPr="005630A6" w14:paraId="3A4754A2" w14:textId="77777777" w:rsidTr="00190E4A">
        <w:trPr>
          <w:trHeight w:val="283"/>
          <w:jc w:val="center"/>
        </w:trPr>
        <w:tc>
          <w:tcPr>
            <w:tcW w:w="2977" w:type="dxa"/>
            <w:tcBorders>
              <w:top w:val="nil"/>
              <w:left w:val="nil"/>
              <w:bottom w:val="nil"/>
              <w:right w:val="nil"/>
            </w:tcBorders>
            <w:shd w:val="clear" w:color="D9D9D9" w:fill="D9D9D9"/>
            <w:noWrap/>
            <w:vAlign w:val="center"/>
            <w:hideMark/>
          </w:tcPr>
          <w:p w14:paraId="3A47549F"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Bolitaria</w:t>
            </w:r>
          </w:p>
        </w:tc>
        <w:tc>
          <w:tcPr>
            <w:tcW w:w="2863" w:type="dxa"/>
            <w:tcBorders>
              <w:top w:val="nil"/>
              <w:left w:val="nil"/>
              <w:bottom w:val="nil"/>
              <w:right w:val="nil"/>
            </w:tcBorders>
            <w:shd w:val="clear" w:color="D9D9D9" w:fill="D9D9D9"/>
            <w:noWrap/>
            <w:vAlign w:val="center"/>
            <w:hideMark/>
          </w:tcPr>
          <w:p w14:paraId="3A4754A0" w14:textId="77777777" w:rsidR="009B5E39" w:rsidRPr="005630A6" w:rsidRDefault="009B5E39" w:rsidP="00190E4A">
            <w:pPr>
              <w:rPr>
                <w:rFonts w:ascii="Gotham" w:hAnsi="Gotham" w:cs="Arial"/>
                <w:color w:val="000000"/>
                <w:sz w:val="19"/>
                <w:szCs w:val="19"/>
              </w:rPr>
            </w:pPr>
            <w:r w:rsidRPr="005630A6">
              <w:rPr>
                <w:rFonts w:ascii="Gotham" w:hAnsi="Gotham" w:cs="Arial"/>
                <w:color w:val="000000"/>
                <w:sz w:val="19"/>
                <w:szCs w:val="19"/>
              </w:rPr>
              <w:t>Melia azederach</w:t>
            </w:r>
          </w:p>
        </w:tc>
        <w:tc>
          <w:tcPr>
            <w:tcW w:w="1500" w:type="dxa"/>
            <w:tcBorders>
              <w:top w:val="nil"/>
              <w:left w:val="nil"/>
              <w:bottom w:val="nil"/>
              <w:right w:val="nil"/>
            </w:tcBorders>
            <w:shd w:val="clear" w:color="000000" w:fill="D9D9D9"/>
            <w:noWrap/>
            <w:vAlign w:val="center"/>
            <w:hideMark/>
          </w:tcPr>
          <w:p w14:paraId="3A4754A1" w14:textId="77777777" w:rsidR="009B5E39" w:rsidRPr="005630A6" w:rsidRDefault="009B5E39" w:rsidP="00190E4A">
            <w:pPr>
              <w:jc w:val="center"/>
              <w:rPr>
                <w:rFonts w:ascii="Gotham" w:hAnsi="Gotham" w:cs="Arial"/>
                <w:color w:val="000000"/>
                <w:sz w:val="19"/>
                <w:szCs w:val="19"/>
              </w:rPr>
            </w:pPr>
            <w:r w:rsidRPr="005630A6">
              <w:rPr>
                <w:rFonts w:ascii="Gotham" w:hAnsi="Gotham" w:cs="Arial"/>
                <w:color w:val="000000"/>
                <w:sz w:val="19"/>
                <w:szCs w:val="19"/>
              </w:rPr>
              <w:t>Medio</w:t>
            </w:r>
          </w:p>
        </w:tc>
      </w:tr>
    </w:tbl>
    <w:p w14:paraId="3A4754A3" w14:textId="77777777" w:rsidR="009B5E39" w:rsidRDefault="009B5E39" w:rsidP="009B5E39">
      <w:pPr>
        <w:ind w:left="284" w:right="283"/>
        <w:jc w:val="both"/>
        <w:rPr>
          <w:rFonts w:ascii="Gotham" w:hAnsi="Gotham" w:cs="Arial"/>
          <w:color w:val="000000" w:themeColor="text1"/>
          <w:sz w:val="19"/>
          <w:szCs w:val="19"/>
          <w:lang w:val="es-ES_tradnl"/>
        </w:rPr>
      </w:pPr>
    </w:p>
    <w:p w14:paraId="3A4754A4" w14:textId="77777777" w:rsidR="009B5E39" w:rsidRPr="00BF24CE" w:rsidRDefault="009B5E39" w:rsidP="009B5E39">
      <w:pPr>
        <w:ind w:left="284" w:right="283"/>
        <w:jc w:val="both"/>
        <w:rPr>
          <w:rFonts w:ascii="Gotham" w:hAnsi="Gotham" w:cs="Arial"/>
          <w:color w:val="000000" w:themeColor="text1"/>
          <w:sz w:val="19"/>
          <w:szCs w:val="19"/>
          <w:lang w:val="es-ES_tradnl"/>
        </w:rPr>
      </w:pPr>
      <w:r w:rsidRPr="00BF24CE">
        <w:rPr>
          <w:rFonts w:ascii="Gotham" w:hAnsi="Gotham" w:cs="Arial"/>
          <w:color w:val="000000" w:themeColor="text1"/>
          <w:sz w:val="19"/>
          <w:szCs w:val="19"/>
          <w:lang w:val="es-ES_tradnl"/>
        </w:rPr>
        <w:t>Artículo 8.- Para la plantación de árboles en camellones, preferentemente se utilizarán especies resistentes a vientos fuertes, de preferencia que permitan la visibilidad de los conductores; el tipo de especies también estará sujeto a si se cuenta o no con líneas eléctricas y se escogerán árboles de porte pequeño o fáciles de trasplantar.</w:t>
      </w:r>
    </w:p>
    <w:p w14:paraId="3A4754A5" w14:textId="77777777" w:rsidR="009B5E39" w:rsidRDefault="009B5E39" w:rsidP="009B5E39">
      <w:pPr>
        <w:ind w:left="284" w:right="283"/>
        <w:jc w:val="both"/>
        <w:rPr>
          <w:rFonts w:ascii="Gotham" w:hAnsi="Gotham" w:cs="Arial"/>
          <w:color w:val="000000" w:themeColor="text1"/>
          <w:sz w:val="19"/>
          <w:szCs w:val="19"/>
          <w:lang w:val="es-ES_tradnl"/>
        </w:rPr>
      </w:pPr>
    </w:p>
    <w:p w14:paraId="3A4754A6" w14:textId="77777777" w:rsidR="009B5E39" w:rsidRDefault="009B5E39" w:rsidP="009B5E39">
      <w:pPr>
        <w:ind w:left="284" w:right="283"/>
        <w:jc w:val="both"/>
        <w:rPr>
          <w:rFonts w:ascii="Gotham" w:hAnsi="Gotham" w:cs="Arial"/>
          <w:color w:val="000000" w:themeColor="text1"/>
          <w:sz w:val="19"/>
          <w:szCs w:val="19"/>
          <w:lang w:val="es-ES_tradnl"/>
        </w:rPr>
      </w:pPr>
      <w:r w:rsidRPr="00BF24CE">
        <w:rPr>
          <w:rFonts w:ascii="Gotham" w:hAnsi="Gotham" w:cs="Arial"/>
          <w:color w:val="000000" w:themeColor="text1"/>
          <w:sz w:val="19"/>
          <w:szCs w:val="19"/>
          <w:lang w:val="es-ES_tradnl"/>
        </w:rPr>
        <w:t xml:space="preserve">Las especies adecuadas son: </w:t>
      </w:r>
    </w:p>
    <w:p w14:paraId="3A4754A7" w14:textId="77777777" w:rsidR="009B5E39" w:rsidRPr="00BF24CE" w:rsidRDefault="009B5E39" w:rsidP="009B5E39">
      <w:pPr>
        <w:ind w:left="284" w:right="283"/>
        <w:jc w:val="both"/>
        <w:rPr>
          <w:rFonts w:ascii="Gotham" w:hAnsi="Gotham" w:cs="Arial"/>
          <w:color w:val="000000" w:themeColor="text1"/>
          <w:sz w:val="19"/>
          <w:szCs w:val="19"/>
          <w:lang w:val="es-ES_tradnl"/>
        </w:rPr>
      </w:pPr>
    </w:p>
    <w:tbl>
      <w:tblPr>
        <w:tblW w:w="7353" w:type="dxa"/>
        <w:jc w:val="center"/>
        <w:tblLook w:val="04A0" w:firstRow="1" w:lastRow="0" w:firstColumn="1" w:lastColumn="0" w:noHBand="0" w:noVBand="1"/>
      </w:tblPr>
      <w:tblGrid>
        <w:gridCol w:w="3120"/>
        <w:gridCol w:w="2733"/>
        <w:gridCol w:w="1500"/>
      </w:tblGrid>
      <w:tr w:rsidR="009B5E39" w:rsidRPr="003225B4" w14:paraId="3A4754AB" w14:textId="77777777" w:rsidTr="00190E4A">
        <w:trPr>
          <w:trHeight w:val="340"/>
          <w:jc w:val="center"/>
        </w:trPr>
        <w:tc>
          <w:tcPr>
            <w:tcW w:w="3120" w:type="dxa"/>
            <w:tcBorders>
              <w:top w:val="single" w:sz="4" w:space="0" w:color="000000"/>
              <w:left w:val="nil"/>
              <w:bottom w:val="single" w:sz="4" w:space="0" w:color="000000"/>
              <w:right w:val="nil"/>
            </w:tcBorders>
            <w:shd w:val="clear" w:color="auto" w:fill="auto"/>
            <w:noWrap/>
            <w:vAlign w:val="center"/>
            <w:hideMark/>
          </w:tcPr>
          <w:p w14:paraId="3A4754A8" w14:textId="77777777" w:rsidR="009B5E39" w:rsidRPr="003225B4" w:rsidRDefault="009B5E39" w:rsidP="00190E4A">
            <w:pPr>
              <w:jc w:val="center"/>
              <w:rPr>
                <w:rFonts w:ascii="Gotham" w:hAnsi="Gotham" w:cs="Arial"/>
                <w:b/>
                <w:bCs/>
                <w:color w:val="000000"/>
                <w:sz w:val="19"/>
                <w:szCs w:val="19"/>
              </w:rPr>
            </w:pPr>
            <w:r w:rsidRPr="003225B4">
              <w:rPr>
                <w:rFonts w:ascii="Gotham" w:hAnsi="Gotham" w:cs="Arial"/>
                <w:b/>
                <w:bCs/>
                <w:color w:val="000000"/>
                <w:sz w:val="19"/>
                <w:szCs w:val="19"/>
              </w:rPr>
              <w:t>Nombre común</w:t>
            </w:r>
          </w:p>
        </w:tc>
        <w:tc>
          <w:tcPr>
            <w:tcW w:w="2733" w:type="dxa"/>
            <w:tcBorders>
              <w:top w:val="single" w:sz="4" w:space="0" w:color="000000"/>
              <w:left w:val="nil"/>
              <w:bottom w:val="single" w:sz="4" w:space="0" w:color="000000"/>
              <w:right w:val="nil"/>
            </w:tcBorders>
            <w:shd w:val="clear" w:color="auto" w:fill="auto"/>
            <w:noWrap/>
            <w:vAlign w:val="center"/>
            <w:hideMark/>
          </w:tcPr>
          <w:p w14:paraId="3A4754A9" w14:textId="77777777" w:rsidR="009B5E39" w:rsidRPr="003225B4" w:rsidRDefault="009B5E39" w:rsidP="00190E4A">
            <w:pPr>
              <w:jc w:val="center"/>
              <w:rPr>
                <w:rFonts w:ascii="Gotham" w:hAnsi="Gotham" w:cs="Arial"/>
                <w:b/>
                <w:bCs/>
                <w:color w:val="000000"/>
                <w:sz w:val="19"/>
                <w:szCs w:val="19"/>
              </w:rPr>
            </w:pPr>
            <w:r w:rsidRPr="003225B4">
              <w:rPr>
                <w:rFonts w:ascii="Gotham" w:hAnsi="Gotham" w:cs="Arial"/>
                <w:b/>
                <w:bCs/>
                <w:color w:val="000000"/>
                <w:sz w:val="19"/>
                <w:szCs w:val="19"/>
              </w:rPr>
              <w:t>Nombre científico</w:t>
            </w:r>
          </w:p>
        </w:tc>
        <w:tc>
          <w:tcPr>
            <w:tcW w:w="1500" w:type="dxa"/>
            <w:tcBorders>
              <w:top w:val="single" w:sz="4" w:space="0" w:color="000000"/>
              <w:left w:val="nil"/>
              <w:bottom w:val="single" w:sz="4" w:space="0" w:color="000000"/>
              <w:right w:val="nil"/>
            </w:tcBorders>
            <w:shd w:val="clear" w:color="auto" w:fill="auto"/>
            <w:noWrap/>
            <w:vAlign w:val="center"/>
            <w:hideMark/>
          </w:tcPr>
          <w:p w14:paraId="3A4754AA" w14:textId="77777777" w:rsidR="009B5E39" w:rsidRPr="003225B4" w:rsidRDefault="009B5E39" w:rsidP="00190E4A">
            <w:pPr>
              <w:jc w:val="center"/>
              <w:rPr>
                <w:rFonts w:ascii="Gotham" w:hAnsi="Gotham" w:cs="Arial"/>
                <w:b/>
                <w:bCs/>
                <w:color w:val="000000"/>
                <w:sz w:val="19"/>
                <w:szCs w:val="19"/>
              </w:rPr>
            </w:pPr>
            <w:r w:rsidRPr="003225B4">
              <w:rPr>
                <w:rFonts w:ascii="Gotham" w:hAnsi="Gotham" w:cs="Arial"/>
                <w:b/>
                <w:bCs/>
                <w:color w:val="000000"/>
                <w:sz w:val="19"/>
                <w:szCs w:val="19"/>
              </w:rPr>
              <w:t>Riego</w:t>
            </w:r>
          </w:p>
        </w:tc>
      </w:tr>
      <w:tr w:rsidR="009B5E39" w:rsidRPr="003225B4" w14:paraId="3A4754AF"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AC"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Araucaria</w:t>
            </w:r>
          </w:p>
        </w:tc>
        <w:tc>
          <w:tcPr>
            <w:tcW w:w="2733" w:type="dxa"/>
            <w:tcBorders>
              <w:top w:val="nil"/>
              <w:left w:val="nil"/>
              <w:bottom w:val="nil"/>
              <w:right w:val="nil"/>
            </w:tcBorders>
            <w:shd w:val="clear" w:color="D9D9D9" w:fill="D9D9D9"/>
            <w:noWrap/>
            <w:vAlign w:val="center"/>
            <w:hideMark/>
          </w:tcPr>
          <w:p w14:paraId="3A4754AD"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Araucaria heterophylla</w:t>
            </w:r>
          </w:p>
        </w:tc>
        <w:tc>
          <w:tcPr>
            <w:tcW w:w="1500" w:type="dxa"/>
            <w:tcBorders>
              <w:top w:val="nil"/>
              <w:left w:val="nil"/>
              <w:bottom w:val="nil"/>
              <w:right w:val="nil"/>
            </w:tcBorders>
            <w:shd w:val="clear" w:color="D9D9D9" w:fill="D9D9D9"/>
            <w:noWrap/>
            <w:vAlign w:val="center"/>
            <w:hideMark/>
          </w:tcPr>
          <w:p w14:paraId="3A4754AE"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Baja</w:t>
            </w:r>
          </w:p>
        </w:tc>
      </w:tr>
      <w:tr w:rsidR="009B5E39" w:rsidRPr="003225B4" w14:paraId="3A4754B3"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B0"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Pinos</w:t>
            </w:r>
          </w:p>
        </w:tc>
        <w:tc>
          <w:tcPr>
            <w:tcW w:w="2733" w:type="dxa"/>
            <w:tcBorders>
              <w:top w:val="nil"/>
              <w:left w:val="nil"/>
              <w:bottom w:val="nil"/>
              <w:right w:val="nil"/>
            </w:tcBorders>
            <w:shd w:val="clear" w:color="auto" w:fill="auto"/>
            <w:noWrap/>
            <w:vAlign w:val="center"/>
            <w:hideMark/>
          </w:tcPr>
          <w:p w14:paraId="3A4754B1"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 Ocarpa</w:t>
            </w:r>
          </w:p>
        </w:tc>
        <w:tc>
          <w:tcPr>
            <w:tcW w:w="1500" w:type="dxa"/>
            <w:tcBorders>
              <w:top w:val="nil"/>
              <w:left w:val="nil"/>
              <w:bottom w:val="nil"/>
              <w:right w:val="nil"/>
            </w:tcBorders>
            <w:shd w:val="clear" w:color="auto" w:fill="auto"/>
            <w:noWrap/>
            <w:vAlign w:val="center"/>
            <w:hideMark/>
          </w:tcPr>
          <w:p w14:paraId="3A4754B2"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B7"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B4"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Araucaria</w:t>
            </w:r>
          </w:p>
        </w:tc>
        <w:tc>
          <w:tcPr>
            <w:tcW w:w="2733" w:type="dxa"/>
            <w:tcBorders>
              <w:top w:val="nil"/>
              <w:left w:val="nil"/>
              <w:bottom w:val="nil"/>
              <w:right w:val="nil"/>
            </w:tcBorders>
            <w:shd w:val="clear" w:color="D9D9D9" w:fill="D9D9D9"/>
            <w:noWrap/>
            <w:vAlign w:val="center"/>
            <w:hideMark/>
          </w:tcPr>
          <w:p w14:paraId="3A4754B5"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Araucaria araucaria</w:t>
            </w:r>
          </w:p>
        </w:tc>
        <w:tc>
          <w:tcPr>
            <w:tcW w:w="1500" w:type="dxa"/>
            <w:tcBorders>
              <w:top w:val="nil"/>
              <w:left w:val="nil"/>
              <w:bottom w:val="nil"/>
              <w:right w:val="nil"/>
            </w:tcBorders>
            <w:shd w:val="clear" w:color="D9D9D9" w:fill="D9D9D9"/>
            <w:noWrap/>
            <w:vAlign w:val="center"/>
            <w:hideMark/>
          </w:tcPr>
          <w:p w14:paraId="3A4754B6"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BB"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B8"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Nuez de macadomica</w:t>
            </w:r>
          </w:p>
        </w:tc>
        <w:tc>
          <w:tcPr>
            <w:tcW w:w="2733" w:type="dxa"/>
            <w:tcBorders>
              <w:top w:val="nil"/>
              <w:left w:val="nil"/>
              <w:bottom w:val="nil"/>
              <w:right w:val="nil"/>
            </w:tcBorders>
            <w:shd w:val="clear" w:color="auto" w:fill="auto"/>
            <w:noWrap/>
            <w:vAlign w:val="center"/>
            <w:hideMark/>
          </w:tcPr>
          <w:p w14:paraId="3A4754B9"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Macadomic Tetraphylla</w:t>
            </w:r>
          </w:p>
        </w:tc>
        <w:tc>
          <w:tcPr>
            <w:tcW w:w="1500" w:type="dxa"/>
            <w:tcBorders>
              <w:top w:val="nil"/>
              <w:left w:val="nil"/>
              <w:bottom w:val="nil"/>
              <w:right w:val="nil"/>
            </w:tcBorders>
            <w:shd w:val="clear" w:color="auto" w:fill="auto"/>
            <w:noWrap/>
            <w:vAlign w:val="center"/>
            <w:hideMark/>
          </w:tcPr>
          <w:p w14:paraId="3A4754BA"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BF"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BC"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Rosa laurel</w:t>
            </w:r>
          </w:p>
        </w:tc>
        <w:tc>
          <w:tcPr>
            <w:tcW w:w="2733" w:type="dxa"/>
            <w:tcBorders>
              <w:top w:val="nil"/>
              <w:left w:val="nil"/>
              <w:bottom w:val="nil"/>
              <w:right w:val="nil"/>
            </w:tcBorders>
            <w:shd w:val="clear" w:color="D9D9D9" w:fill="D9D9D9"/>
            <w:noWrap/>
            <w:vAlign w:val="center"/>
            <w:hideMark/>
          </w:tcPr>
          <w:p w14:paraId="3A4754BD"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Nerium oleander</w:t>
            </w:r>
          </w:p>
        </w:tc>
        <w:tc>
          <w:tcPr>
            <w:tcW w:w="1500" w:type="dxa"/>
            <w:tcBorders>
              <w:top w:val="nil"/>
              <w:left w:val="nil"/>
              <w:bottom w:val="nil"/>
              <w:right w:val="nil"/>
            </w:tcBorders>
            <w:shd w:val="clear" w:color="D9D9D9" w:fill="D9D9D9"/>
            <w:noWrap/>
            <w:vAlign w:val="center"/>
            <w:hideMark/>
          </w:tcPr>
          <w:p w14:paraId="3A4754BE"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C3"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C0"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Pinos</w:t>
            </w:r>
          </w:p>
        </w:tc>
        <w:tc>
          <w:tcPr>
            <w:tcW w:w="2733" w:type="dxa"/>
            <w:tcBorders>
              <w:top w:val="nil"/>
              <w:left w:val="nil"/>
              <w:bottom w:val="nil"/>
              <w:right w:val="nil"/>
            </w:tcBorders>
            <w:shd w:val="clear" w:color="auto" w:fill="auto"/>
            <w:noWrap/>
            <w:vAlign w:val="center"/>
            <w:hideMark/>
          </w:tcPr>
          <w:p w14:paraId="3A4754C1"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 Michoacano</w:t>
            </w:r>
          </w:p>
        </w:tc>
        <w:tc>
          <w:tcPr>
            <w:tcW w:w="1500" w:type="dxa"/>
            <w:tcBorders>
              <w:top w:val="nil"/>
              <w:left w:val="nil"/>
              <w:bottom w:val="nil"/>
              <w:right w:val="nil"/>
            </w:tcBorders>
            <w:shd w:val="clear" w:color="auto" w:fill="auto"/>
            <w:noWrap/>
            <w:vAlign w:val="center"/>
            <w:hideMark/>
          </w:tcPr>
          <w:p w14:paraId="3A4754C2"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C7"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C4"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Clavo</w:t>
            </w:r>
          </w:p>
        </w:tc>
        <w:tc>
          <w:tcPr>
            <w:tcW w:w="2733" w:type="dxa"/>
            <w:tcBorders>
              <w:top w:val="nil"/>
              <w:left w:val="nil"/>
              <w:bottom w:val="nil"/>
              <w:right w:val="nil"/>
            </w:tcBorders>
            <w:shd w:val="clear" w:color="D9D9D9" w:fill="D9D9D9"/>
            <w:noWrap/>
            <w:vAlign w:val="center"/>
            <w:hideMark/>
          </w:tcPr>
          <w:p w14:paraId="3A4754C5"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Pittosporum spp</w:t>
            </w:r>
          </w:p>
        </w:tc>
        <w:tc>
          <w:tcPr>
            <w:tcW w:w="1500" w:type="dxa"/>
            <w:tcBorders>
              <w:top w:val="nil"/>
              <w:left w:val="nil"/>
              <w:bottom w:val="nil"/>
              <w:right w:val="nil"/>
            </w:tcBorders>
            <w:shd w:val="clear" w:color="D9D9D9" w:fill="D9D9D9"/>
            <w:noWrap/>
            <w:vAlign w:val="center"/>
            <w:hideMark/>
          </w:tcPr>
          <w:p w14:paraId="3A4754C6"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CB"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C8"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Xacalaxochitl</w:t>
            </w:r>
          </w:p>
        </w:tc>
        <w:tc>
          <w:tcPr>
            <w:tcW w:w="2733" w:type="dxa"/>
            <w:tcBorders>
              <w:top w:val="nil"/>
              <w:left w:val="nil"/>
              <w:bottom w:val="nil"/>
              <w:right w:val="nil"/>
            </w:tcBorders>
            <w:shd w:val="clear" w:color="auto" w:fill="auto"/>
            <w:noWrap/>
            <w:vAlign w:val="center"/>
            <w:hideMark/>
          </w:tcPr>
          <w:p w14:paraId="3A4754C9"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Plumería rubra</w:t>
            </w:r>
          </w:p>
        </w:tc>
        <w:tc>
          <w:tcPr>
            <w:tcW w:w="1500" w:type="dxa"/>
            <w:tcBorders>
              <w:top w:val="nil"/>
              <w:left w:val="nil"/>
              <w:bottom w:val="nil"/>
              <w:right w:val="nil"/>
            </w:tcBorders>
            <w:shd w:val="clear" w:color="auto" w:fill="auto"/>
            <w:noWrap/>
            <w:vAlign w:val="center"/>
            <w:hideMark/>
          </w:tcPr>
          <w:p w14:paraId="3A4754CA"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CF"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CC"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Guayabo</w:t>
            </w:r>
          </w:p>
        </w:tc>
        <w:tc>
          <w:tcPr>
            <w:tcW w:w="2733" w:type="dxa"/>
            <w:tcBorders>
              <w:top w:val="nil"/>
              <w:left w:val="nil"/>
              <w:bottom w:val="nil"/>
              <w:right w:val="nil"/>
            </w:tcBorders>
            <w:shd w:val="clear" w:color="D9D9D9" w:fill="D9D9D9"/>
            <w:noWrap/>
            <w:vAlign w:val="center"/>
            <w:hideMark/>
          </w:tcPr>
          <w:p w14:paraId="3A4754CD"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Psidum guajava</w:t>
            </w:r>
          </w:p>
        </w:tc>
        <w:tc>
          <w:tcPr>
            <w:tcW w:w="1500" w:type="dxa"/>
            <w:tcBorders>
              <w:top w:val="nil"/>
              <w:left w:val="nil"/>
              <w:bottom w:val="nil"/>
              <w:right w:val="nil"/>
            </w:tcBorders>
            <w:shd w:val="clear" w:color="D9D9D9" w:fill="D9D9D9"/>
            <w:noWrap/>
            <w:vAlign w:val="center"/>
            <w:hideMark/>
          </w:tcPr>
          <w:p w14:paraId="3A4754CE"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D3"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D0"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Retama</w:t>
            </w:r>
          </w:p>
        </w:tc>
        <w:tc>
          <w:tcPr>
            <w:tcW w:w="2733" w:type="dxa"/>
            <w:tcBorders>
              <w:top w:val="nil"/>
              <w:left w:val="nil"/>
              <w:bottom w:val="nil"/>
              <w:right w:val="nil"/>
            </w:tcBorders>
            <w:shd w:val="clear" w:color="auto" w:fill="auto"/>
            <w:noWrap/>
            <w:vAlign w:val="center"/>
            <w:hideMark/>
          </w:tcPr>
          <w:p w14:paraId="3A4754D1"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Thevetia peruviarias</w:t>
            </w:r>
          </w:p>
        </w:tc>
        <w:tc>
          <w:tcPr>
            <w:tcW w:w="1500" w:type="dxa"/>
            <w:tcBorders>
              <w:top w:val="nil"/>
              <w:left w:val="nil"/>
              <w:bottom w:val="nil"/>
              <w:right w:val="nil"/>
            </w:tcBorders>
            <w:shd w:val="clear" w:color="auto" w:fill="auto"/>
            <w:noWrap/>
            <w:vAlign w:val="center"/>
            <w:hideMark/>
          </w:tcPr>
          <w:p w14:paraId="3A4754D2"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w:t>
            </w:r>
          </w:p>
        </w:tc>
      </w:tr>
      <w:tr w:rsidR="009B5E39" w:rsidRPr="003225B4" w14:paraId="3A4754D7"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D4"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Trueno</w:t>
            </w:r>
          </w:p>
        </w:tc>
        <w:tc>
          <w:tcPr>
            <w:tcW w:w="2733" w:type="dxa"/>
            <w:tcBorders>
              <w:top w:val="nil"/>
              <w:left w:val="nil"/>
              <w:bottom w:val="nil"/>
              <w:right w:val="nil"/>
            </w:tcBorders>
            <w:shd w:val="clear" w:color="D9D9D9" w:fill="D9D9D9"/>
            <w:noWrap/>
            <w:vAlign w:val="center"/>
            <w:hideMark/>
          </w:tcPr>
          <w:p w14:paraId="3A4754D5"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Liguistrum lucidum</w:t>
            </w:r>
          </w:p>
        </w:tc>
        <w:tc>
          <w:tcPr>
            <w:tcW w:w="1500" w:type="dxa"/>
            <w:tcBorders>
              <w:top w:val="nil"/>
              <w:left w:val="nil"/>
              <w:bottom w:val="nil"/>
              <w:right w:val="nil"/>
            </w:tcBorders>
            <w:shd w:val="clear" w:color="D9D9D9" w:fill="D9D9D9"/>
            <w:noWrap/>
            <w:vAlign w:val="center"/>
            <w:hideMark/>
          </w:tcPr>
          <w:p w14:paraId="3A4754D6"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 y medio</w:t>
            </w:r>
          </w:p>
        </w:tc>
      </w:tr>
      <w:tr w:rsidR="009B5E39" w:rsidRPr="003225B4" w14:paraId="3A4754DB"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D8"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Níspero</w:t>
            </w:r>
          </w:p>
        </w:tc>
        <w:tc>
          <w:tcPr>
            <w:tcW w:w="2733" w:type="dxa"/>
            <w:tcBorders>
              <w:top w:val="nil"/>
              <w:left w:val="nil"/>
              <w:bottom w:val="nil"/>
              <w:right w:val="nil"/>
            </w:tcBorders>
            <w:shd w:val="clear" w:color="auto" w:fill="auto"/>
            <w:noWrap/>
            <w:vAlign w:val="center"/>
            <w:hideMark/>
          </w:tcPr>
          <w:p w14:paraId="3A4754D9"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Eriobotrya japónica</w:t>
            </w:r>
          </w:p>
        </w:tc>
        <w:tc>
          <w:tcPr>
            <w:tcW w:w="1500" w:type="dxa"/>
            <w:tcBorders>
              <w:top w:val="nil"/>
              <w:left w:val="nil"/>
              <w:bottom w:val="nil"/>
              <w:right w:val="nil"/>
            </w:tcBorders>
            <w:shd w:val="clear" w:color="auto" w:fill="auto"/>
            <w:noWrap/>
            <w:vAlign w:val="center"/>
            <w:hideMark/>
          </w:tcPr>
          <w:p w14:paraId="3A4754DA"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Bajo y medio</w:t>
            </w:r>
          </w:p>
        </w:tc>
      </w:tr>
      <w:tr w:rsidR="009B5E39" w:rsidRPr="003225B4" w14:paraId="3A4754DF"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DC"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Araucaria</w:t>
            </w:r>
          </w:p>
        </w:tc>
        <w:tc>
          <w:tcPr>
            <w:tcW w:w="2733" w:type="dxa"/>
            <w:tcBorders>
              <w:top w:val="nil"/>
              <w:left w:val="nil"/>
              <w:bottom w:val="nil"/>
              <w:right w:val="nil"/>
            </w:tcBorders>
            <w:shd w:val="clear" w:color="D9D9D9" w:fill="D9D9D9"/>
            <w:noWrap/>
            <w:vAlign w:val="center"/>
            <w:hideMark/>
          </w:tcPr>
          <w:p w14:paraId="3A4754DD"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Araucaria spp</w:t>
            </w:r>
          </w:p>
        </w:tc>
        <w:tc>
          <w:tcPr>
            <w:tcW w:w="1500" w:type="dxa"/>
            <w:tcBorders>
              <w:top w:val="nil"/>
              <w:left w:val="nil"/>
              <w:bottom w:val="nil"/>
              <w:right w:val="nil"/>
            </w:tcBorders>
            <w:shd w:val="clear" w:color="D9D9D9" w:fill="D9D9D9"/>
            <w:noWrap/>
            <w:vAlign w:val="center"/>
            <w:hideMark/>
          </w:tcPr>
          <w:p w14:paraId="3A4754DE"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Media</w:t>
            </w:r>
          </w:p>
        </w:tc>
      </w:tr>
      <w:tr w:rsidR="009B5E39" w:rsidRPr="003225B4" w14:paraId="3A4754E3"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E0"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Araucaria</w:t>
            </w:r>
          </w:p>
        </w:tc>
        <w:tc>
          <w:tcPr>
            <w:tcW w:w="2733" w:type="dxa"/>
            <w:tcBorders>
              <w:top w:val="nil"/>
              <w:left w:val="nil"/>
              <w:bottom w:val="nil"/>
              <w:right w:val="nil"/>
            </w:tcBorders>
            <w:shd w:val="clear" w:color="auto" w:fill="auto"/>
            <w:noWrap/>
            <w:vAlign w:val="center"/>
            <w:hideMark/>
          </w:tcPr>
          <w:p w14:paraId="3A4754E1"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Arcaria excelsa</w:t>
            </w:r>
          </w:p>
        </w:tc>
        <w:tc>
          <w:tcPr>
            <w:tcW w:w="1500" w:type="dxa"/>
            <w:tcBorders>
              <w:top w:val="nil"/>
              <w:left w:val="nil"/>
              <w:bottom w:val="nil"/>
              <w:right w:val="nil"/>
            </w:tcBorders>
            <w:shd w:val="clear" w:color="auto" w:fill="auto"/>
            <w:noWrap/>
            <w:vAlign w:val="center"/>
            <w:hideMark/>
          </w:tcPr>
          <w:p w14:paraId="3A4754E2"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Media</w:t>
            </w:r>
          </w:p>
        </w:tc>
      </w:tr>
      <w:tr w:rsidR="009B5E39" w:rsidRPr="003225B4" w14:paraId="3A4754E7"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E4"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Limón</w:t>
            </w:r>
          </w:p>
        </w:tc>
        <w:tc>
          <w:tcPr>
            <w:tcW w:w="2733" w:type="dxa"/>
            <w:tcBorders>
              <w:top w:val="nil"/>
              <w:left w:val="nil"/>
              <w:bottom w:val="nil"/>
              <w:right w:val="nil"/>
            </w:tcBorders>
            <w:shd w:val="clear" w:color="D9D9D9" w:fill="D9D9D9"/>
            <w:noWrap/>
            <w:vAlign w:val="center"/>
            <w:hideMark/>
          </w:tcPr>
          <w:p w14:paraId="3A4754E5"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Citruis limón</w:t>
            </w:r>
          </w:p>
        </w:tc>
        <w:tc>
          <w:tcPr>
            <w:tcW w:w="1500" w:type="dxa"/>
            <w:tcBorders>
              <w:top w:val="nil"/>
              <w:left w:val="nil"/>
              <w:bottom w:val="nil"/>
              <w:right w:val="nil"/>
            </w:tcBorders>
            <w:shd w:val="clear" w:color="D9D9D9" w:fill="D9D9D9"/>
            <w:noWrap/>
            <w:vAlign w:val="center"/>
            <w:hideMark/>
          </w:tcPr>
          <w:p w14:paraId="3A4754E6"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Media</w:t>
            </w:r>
          </w:p>
        </w:tc>
      </w:tr>
      <w:tr w:rsidR="009B5E39" w:rsidRPr="003225B4" w14:paraId="3A4754EB"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E8"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Mandarino</w:t>
            </w:r>
          </w:p>
        </w:tc>
        <w:tc>
          <w:tcPr>
            <w:tcW w:w="2733" w:type="dxa"/>
            <w:tcBorders>
              <w:top w:val="nil"/>
              <w:left w:val="nil"/>
              <w:bottom w:val="nil"/>
              <w:right w:val="nil"/>
            </w:tcBorders>
            <w:shd w:val="clear" w:color="auto" w:fill="auto"/>
            <w:noWrap/>
            <w:vAlign w:val="center"/>
            <w:hideMark/>
          </w:tcPr>
          <w:p w14:paraId="3A4754E9"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Citruis reticulata</w:t>
            </w:r>
          </w:p>
        </w:tc>
        <w:tc>
          <w:tcPr>
            <w:tcW w:w="1500" w:type="dxa"/>
            <w:tcBorders>
              <w:top w:val="nil"/>
              <w:left w:val="nil"/>
              <w:bottom w:val="nil"/>
              <w:right w:val="nil"/>
            </w:tcBorders>
            <w:shd w:val="clear" w:color="auto" w:fill="auto"/>
            <w:noWrap/>
            <w:vAlign w:val="center"/>
            <w:hideMark/>
          </w:tcPr>
          <w:p w14:paraId="3A4754EA"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Media</w:t>
            </w:r>
          </w:p>
        </w:tc>
      </w:tr>
      <w:tr w:rsidR="009B5E39" w:rsidRPr="003225B4" w14:paraId="3A4754EF"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EC"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Naranjo</w:t>
            </w:r>
          </w:p>
        </w:tc>
        <w:tc>
          <w:tcPr>
            <w:tcW w:w="2733" w:type="dxa"/>
            <w:tcBorders>
              <w:top w:val="nil"/>
              <w:left w:val="nil"/>
              <w:bottom w:val="nil"/>
              <w:right w:val="nil"/>
            </w:tcBorders>
            <w:shd w:val="clear" w:color="D9D9D9" w:fill="D9D9D9"/>
            <w:noWrap/>
            <w:vAlign w:val="center"/>
            <w:hideMark/>
          </w:tcPr>
          <w:p w14:paraId="3A4754ED"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Citruis sinensis</w:t>
            </w:r>
          </w:p>
        </w:tc>
        <w:tc>
          <w:tcPr>
            <w:tcW w:w="1500" w:type="dxa"/>
            <w:tcBorders>
              <w:top w:val="nil"/>
              <w:left w:val="nil"/>
              <w:bottom w:val="nil"/>
              <w:right w:val="nil"/>
            </w:tcBorders>
            <w:shd w:val="clear" w:color="D9D9D9" w:fill="D9D9D9"/>
            <w:noWrap/>
            <w:vAlign w:val="center"/>
            <w:hideMark/>
          </w:tcPr>
          <w:p w14:paraId="3A4754EE"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Media</w:t>
            </w:r>
          </w:p>
        </w:tc>
      </w:tr>
      <w:tr w:rsidR="009B5E39" w:rsidRPr="003225B4" w14:paraId="3A4754F3"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F0"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Palma cola de Pez</w:t>
            </w:r>
          </w:p>
        </w:tc>
        <w:tc>
          <w:tcPr>
            <w:tcW w:w="2733" w:type="dxa"/>
            <w:tcBorders>
              <w:top w:val="nil"/>
              <w:left w:val="nil"/>
              <w:bottom w:val="nil"/>
              <w:right w:val="nil"/>
            </w:tcBorders>
            <w:shd w:val="clear" w:color="auto" w:fill="auto"/>
            <w:noWrap/>
            <w:vAlign w:val="center"/>
            <w:hideMark/>
          </w:tcPr>
          <w:p w14:paraId="3A4754F1"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Carvota urens</w:t>
            </w:r>
          </w:p>
        </w:tc>
        <w:tc>
          <w:tcPr>
            <w:tcW w:w="1500" w:type="dxa"/>
            <w:tcBorders>
              <w:top w:val="nil"/>
              <w:left w:val="nil"/>
              <w:bottom w:val="nil"/>
              <w:right w:val="nil"/>
            </w:tcBorders>
            <w:shd w:val="clear" w:color="auto" w:fill="auto"/>
            <w:noWrap/>
            <w:vAlign w:val="center"/>
            <w:hideMark/>
          </w:tcPr>
          <w:p w14:paraId="3A4754F2"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4F7"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F4"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Arce</w:t>
            </w:r>
          </w:p>
        </w:tc>
        <w:tc>
          <w:tcPr>
            <w:tcW w:w="2733" w:type="dxa"/>
            <w:tcBorders>
              <w:top w:val="nil"/>
              <w:left w:val="nil"/>
              <w:bottom w:val="nil"/>
              <w:right w:val="nil"/>
            </w:tcBorders>
            <w:shd w:val="clear" w:color="D9D9D9" w:fill="D9D9D9"/>
            <w:noWrap/>
            <w:vAlign w:val="center"/>
            <w:hideMark/>
          </w:tcPr>
          <w:p w14:paraId="3A4754F5"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Hacer negundo</w:t>
            </w:r>
          </w:p>
        </w:tc>
        <w:tc>
          <w:tcPr>
            <w:tcW w:w="1500" w:type="dxa"/>
            <w:tcBorders>
              <w:top w:val="nil"/>
              <w:left w:val="nil"/>
              <w:bottom w:val="nil"/>
              <w:right w:val="nil"/>
            </w:tcBorders>
            <w:shd w:val="clear" w:color="D9D9D9" w:fill="D9D9D9"/>
            <w:noWrap/>
            <w:vAlign w:val="center"/>
            <w:hideMark/>
          </w:tcPr>
          <w:p w14:paraId="3A4754F6"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4FB"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4F8"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Linguidambar</w:t>
            </w:r>
          </w:p>
        </w:tc>
        <w:tc>
          <w:tcPr>
            <w:tcW w:w="2733" w:type="dxa"/>
            <w:tcBorders>
              <w:top w:val="nil"/>
              <w:left w:val="nil"/>
              <w:bottom w:val="nil"/>
              <w:right w:val="nil"/>
            </w:tcBorders>
            <w:shd w:val="clear" w:color="auto" w:fill="auto"/>
            <w:noWrap/>
            <w:vAlign w:val="center"/>
            <w:hideMark/>
          </w:tcPr>
          <w:p w14:paraId="3A4754F9"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Linguidambar Macrophylla</w:t>
            </w:r>
          </w:p>
        </w:tc>
        <w:tc>
          <w:tcPr>
            <w:tcW w:w="1500" w:type="dxa"/>
            <w:tcBorders>
              <w:top w:val="nil"/>
              <w:left w:val="nil"/>
              <w:bottom w:val="nil"/>
              <w:right w:val="nil"/>
            </w:tcBorders>
            <w:shd w:val="clear" w:color="auto" w:fill="auto"/>
            <w:noWrap/>
            <w:vAlign w:val="center"/>
            <w:hideMark/>
          </w:tcPr>
          <w:p w14:paraId="3A4754FA"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4FF"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4FC"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Palma abanico</w:t>
            </w:r>
          </w:p>
        </w:tc>
        <w:tc>
          <w:tcPr>
            <w:tcW w:w="2733" w:type="dxa"/>
            <w:tcBorders>
              <w:top w:val="nil"/>
              <w:left w:val="nil"/>
              <w:bottom w:val="nil"/>
              <w:right w:val="nil"/>
            </w:tcBorders>
            <w:shd w:val="clear" w:color="D9D9D9" w:fill="D9D9D9"/>
            <w:noWrap/>
            <w:vAlign w:val="center"/>
            <w:hideMark/>
          </w:tcPr>
          <w:p w14:paraId="3A4754FD"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Livistona chinensis</w:t>
            </w:r>
          </w:p>
        </w:tc>
        <w:tc>
          <w:tcPr>
            <w:tcW w:w="1500" w:type="dxa"/>
            <w:tcBorders>
              <w:top w:val="nil"/>
              <w:left w:val="nil"/>
              <w:bottom w:val="nil"/>
              <w:right w:val="nil"/>
            </w:tcBorders>
            <w:shd w:val="clear" w:color="D9D9D9" w:fill="D9D9D9"/>
            <w:noWrap/>
            <w:vAlign w:val="center"/>
            <w:hideMark/>
          </w:tcPr>
          <w:p w14:paraId="3A4754FE"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03"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500"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Limonaria</w:t>
            </w:r>
          </w:p>
        </w:tc>
        <w:tc>
          <w:tcPr>
            <w:tcW w:w="2733" w:type="dxa"/>
            <w:tcBorders>
              <w:top w:val="nil"/>
              <w:left w:val="nil"/>
              <w:bottom w:val="nil"/>
              <w:right w:val="nil"/>
            </w:tcBorders>
            <w:shd w:val="clear" w:color="auto" w:fill="auto"/>
            <w:noWrap/>
            <w:vAlign w:val="center"/>
            <w:hideMark/>
          </w:tcPr>
          <w:p w14:paraId="3A475501"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Muraya paniculata</w:t>
            </w:r>
          </w:p>
        </w:tc>
        <w:tc>
          <w:tcPr>
            <w:tcW w:w="1500" w:type="dxa"/>
            <w:tcBorders>
              <w:top w:val="nil"/>
              <w:left w:val="nil"/>
              <w:bottom w:val="nil"/>
              <w:right w:val="nil"/>
            </w:tcBorders>
            <w:shd w:val="clear" w:color="auto" w:fill="auto"/>
            <w:noWrap/>
            <w:vAlign w:val="center"/>
            <w:hideMark/>
          </w:tcPr>
          <w:p w14:paraId="3A475502"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07"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504"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Aralia</w:t>
            </w:r>
          </w:p>
        </w:tc>
        <w:tc>
          <w:tcPr>
            <w:tcW w:w="2733" w:type="dxa"/>
            <w:tcBorders>
              <w:top w:val="nil"/>
              <w:left w:val="nil"/>
              <w:bottom w:val="nil"/>
              <w:right w:val="nil"/>
            </w:tcBorders>
            <w:shd w:val="clear" w:color="D9D9D9" w:fill="D9D9D9"/>
            <w:noWrap/>
            <w:vAlign w:val="center"/>
            <w:hideMark/>
          </w:tcPr>
          <w:p w14:paraId="3A475505"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Oreopanax xalapensis</w:t>
            </w:r>
          </w:p>
        </w:tc>
        <w:tc>
          <w:tcPr>
            <w:tcW w:w="1500" w:type="dxa"/>
            <w:tcBorders>
              <w:top w:val="nil"/>
              <w:left w:val="nil"/>
              <w:bottom w:val="nil"/>
              <w:right w:val="nil"/>
            </w:tcBorders>
            <w:shd w:val="clear" w:color="D9D9D9" w:fill="D9D9D9"/>
            <w:noWrap/>
            <w:vAlign w:val="center"/>
            <w:hideMark/>
          </w:tcPr>
          <w:p w14:paraId="3A475506"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0B"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508"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lastRenderedPageBreak/>
              <w:t>. Palma datilera</w:t>
            </w:r>
          </w:p>
        </w:tc>
        <w:tc>
          <w:tcPr>
            <w:tcW w:w="2733" w:type="dxa"/>
            <w:tcBorders>
              <w:top w:val="nil"/>
              <w:left w:val="nil"/>
              <w:bottom w:val="nil"/>
              <w:right w:val="nil"/>
            </w:tcBorders>
            <w:shd w:val="clear" w:color="auto" w:fill="auto"/>
            <w:noWrap/>
            <w:vAlign w:val="center"/>
            <w:hideMark/>
          </w:tcPr>
          <w:p w14:paraId="3A475509"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Phoenix canarensis</w:t>
            </w:r>
          </w:p>
        </w:tc>
        <w:tc>
          <w:tcPr>
            <w:tcW w:w="1500" w:type="dxa"/>
            <w:tcBorders>
              <w:top w:val="nil"/>
              <w:left w:val="nil"/>
              <w:bottom w:val="nil"/>
              <w:right w:val="nil"/>
            </w:tcBorders>
            <w:shd w:val="clear" w:color="auto" w:fill="auto"/>
            <w:noWrap/>
            <w:vAlign w:val="center"/>
            <w:hideMark/>
          </w:tcPr>
          <w:p w14:paraId="3A47550A"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0F"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50C"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Palma Fénix</w:t>
            </w:r>
          </w:p>
        </w:tc>
        <w:tc>
          <w:tcPr>
            <w:tcW w:w="2733" w:type="dxa"/>
            <w:tcBorders>
              <w:top w:val="nil"/>
              <w:left w:val="nil"/>
              <w:bottom w:val="nil"/>
              <w:right w:val="nil"/>
            </w:tcBorders>
            <w:shd w:val="clear" w:color="D9D9D9" w:fill="D9D9D9"/>
            <w:noWrap/>
            <w:vAlign w:val="center"/>
            <w:hideMark/>
          </w:tcPr>
          <w:p w14:paraId="3A47550D"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Phoenix reclinota</w:t>
            </w:r>
          </w:p>
        </w:tc>
        <w:tc>
          <w:tcPr>
            <w:tcW w:w="1500" w:type="dxa"/>
            <w:tcBorders>
              <w:top w:val="nil"/>
              <w:left w:val="nil"/>
              <w:bottom w:val="nil"/>
              <w:right w:val="nil"/>
            </w:tcBorders>
            <w:shd w:val="clear" w:color="D9D9D9" w:fill="D9D9D9"/>
            <w:noWrap/>
            <w:vAlign w:val="center"/>
            <w:hideMark/>
          </w:tcPr>
          <w:p w14:paraId="3A47550E"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13"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510"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Porcarpus</w:t>
            </w:r>
          </w:p>
        </w:tc>
        <w:tc>
          <w:tcPr>
            <w:tcW w:w="2733" w:type="dxa"/>
            <w:tcBorders>
              <w:top w:val="nil"/>
              <w:left w:val="nil"/>
              <w:bottom w:val="nil"/>
              <w:right w:val="nil"/>
            </w:tcBorders>
            <w:shd w:val="clear" w:color="auto" w:fill="auto"/>
            <w:noWrap/>
            <w:vAlign w:val="center"/>
            <w:hideMark/>
          </w:tcPr>
          <w:p w14:paraId="3A475511"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Podocarpus Guatemalensis</w:t>
            </w:r>
          </w:p>
        </w:tc>
        <w:tc>
          <w:tcPr>
            <w:tcW w:w="1500" w:type="dxa"/>
            <w:tcBorders>
              <w:top w:val="nil"/>
              <w:left w:val="nil"/>
              <w:bottom w:val="nil"/>
              <w:right w:val="nil"/>
            </w:tcBorders>
            <w:shd w:val="clear" w:color="auto" w:fill="auto"/>
            <w:noWrap/>
            <w:vAlign w:val="center"/>
            <w:hideMark/>
          </w:tcPr>
          <w:p w14:paraId="3A475512"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17"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514"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Palma Sabal</w:t>
            </w:r>
          </w:p>
        </w:tc>
        <w:tc>
          <w:tcPr>
            <w:tcW w:w="2733" w:type="dxa"/>
            <w:tcBorders>
              <w:top w:val="nil"/>
              <w:left w:val="nil"/>
              <w:bottom w:val="nil"/>
              <w:right w:val="nil"/>
            </w:tcBorders>
            <w:shd w:val="clear" w:color="D9D9D9" w:fill="D9D9D9"/>
            <w:noWrap/>
            <w:vAlign w:val="center"/>
            <w:hideMark/>
          </w:tcPr>
          <w:p w14:paraId="3A475515"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Sabal mexicana</w:t>
            </w:r>
          </w:p>
        </w:tc>
        <w:tc>
          <w:tcPr>
            <w:tcW w:w="1500" w:type="dxa"/>
            <w:tcBorders>
              <w:top w:val="nil"/>
              <w:left w:val="nil"/>
              <w:bottom w:val="nil"/>
              <w:right w:val="nil"/>
            </w:tcBorders>
            <w:shd w:val="clear" w:color="D9D9D9" w:fill="D9D9D9"/>
            <w:noWrap/>
            <w:vAlign w:val="center"/>
            <w:hideMark/>
          </w:tcPr>
          <w:p w14:paraId="3A475516"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1B"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518"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Palma coco plumoso</w:t>
            </w:r>
          </w:p>
        </w:tc>
        <w:tc>
          <w:tcPr>
            <w:tcW w:w="2733" w:type="dxa"/>
            <w:tcBorders>
              <w:top w:val="nil"/>
              <w:left w:val="nil"/>
              <w:bottom w:val="nil"/>
              <w:right w:val="nil"/>
            </w:tcBorders>
            <w:shd w:val="clear" w:color="auto" w:fill="auto"/>
            <w:noWrap/>
            <w:vAlign w:val="center"/>
            <w:hideMark/>
          </w:tcPr>
          <w:p w14:paraId="3A475519"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Syagrus coronata</w:t>
            </w:r>
          </w:p>
        </w:tc>
        <w:tc>
          <w:tcPr>
            <w:tcW w:w="1500" w:type="dxa"/>
            <w:tcBorders>
              <w:top w:val="nil"/>
              <w:left w:val="nil"/>
              <w:bottom w:val="nil"/>
              <w:right w:val="nil"/>
            </w:tcBorders>
            <w:shd w:val="clear" w:color="auto" w:fill="auto"/>
            <w:noWrap/>
            <w:vAlign w:val="center"/>
            <w:hideMark/>
          </w:tcPr>
          <w:p w14:paraId="3A47551A"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1F"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51C"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Codo de fraile</w:t>
            </w:r>
          </w:p>
        </w:tc>
        <w:tc>
          <w:tcPr>
            <w:tcW w:w="2733" w:type="dxa"/>
            <w:tcBorders>
              <w:top w:val="nil"/>
              <w:left w:val="nil"/>
              <w:bottom w:val="nil"/>
              <w:right w:val="nil"/>
            </w:tcBorders>
            <w:shd w:val="clear" w:color="D9D9D9" w:fill="D9D9D9"/>
            <w:noWrap/>
            <w:vAlign w:val="center"/>
            <w:hideMark/>
          </w:tcPr>
          <w:p w14:paraId="3A47551D"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Thevetia thevetioides</w:t>
            </w:r>
          </w:p>
        </w:tc>
        <w:tc>
          <w:tcPr>
            <w:tcW w:w="1500" w:type="dxa"/>
            <w:tcBorders>
              <w:top w:val="nil"/>
              <w:left w:val="nil"/>
              <w:bottom w:val="nil"/>
              <w:right w:val="nil"/>
            </w:tcBorders>
            <w:shd w:val="clear" w:color="D9D9D9" w:fill="D9D9D9"/>
            <w:noWrap/>
            <w:vAlign w:val="center"/>
            <w:hideMark/>
          </w:tcPr>
          <w:p w14:paraId="3A47551E"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23" w14:textId="77777777" w:rsidTr="00190E4A">
        <w:trPr>
          <w:trHeight w:val="283"/>
          <w:jc w:val="center"/>
        </w:trPr>
        <w:tc>
          <w:tcPr>
            <w:tcW w:w="3120" w:type="dxa"/>
            <w:tcBorders>
              <w:top w:val="nil"/>
              <w:left w:val="nil"/>
              <w:bottom w:val="nil"/>
              <w:right w:val="nil"/>
            </w:tcBorders>
            <w:shd w:val="clear" w:color="auto" w:fill="auto"/>
            <w:noWrap/>
            <w:vAlign w:val="center"/>
            <w:hideMark/>
          </w:tcPr>
          <w:p w14:paraId="3A475520"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Palma de abanico</w:t>
            </w:r>
          </w:p>
        </w:tc>
        <w:tc>
          <w:tcPr>
            <w:tcW w:w="2733" w:type="dxa"/>
            <w:tcBorders>
              <w:top w:val="nil"/>
              <w:left w:val="nil"/>
              <w:bottom w:val="nil"/>
              <w:right w:val="nil"/>
            </w:tcBorders>
            <w:shd w:val="clear" w:color="auto" w:fill="auto"/>
            <w:noWrap/>
            <w:vAlign w:val="center"/>
            <w:hideMark/>
          </w:tcPr>
          <w:p w14:paraId="3A475521"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Washingtonia filifera</w:t>
            </w:r>
          </w:p>
        </w:tc>
        <w:tc>
          <w:tcPr>
            <w:tcW w:w="1500" w:type="dxa"/>
            <w:tcBorders>
              <w:top w:val="nil"/>
              <w:left w:val="nil"/>
              <w:bottom w:val="nil"/>
              <w:right w:val="nil"/>
            </w:tcBorders>
            <w:shd w:val="clear" w:color="auto" w:fill="auto"/>
            <w:noWrap/>
            <w:vAlign w:val="center"/>
            <w:hideMark/>
          </w:tcPr>
          <w:p w14:paraId="3A475522"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w:t>
            </w:r>
          </w:p>
        </w:tc>
      </w:tr>
      <w:tr w:rsidR="009B5E39" w:rsidRPr="003225B4" w14:paraId="3A475527" w14:textId="77777777" w:rsidTr="00190E4A">
        <w:trPr>
          <w:trHeight w:val="283"/>
          <w:jc w:val="center"/>
        </w:trPr>
        <w:tc>
          <w:tcPr>
            <w:tcW w:w="3120" w:type="dxa"/>
            <w:tcBorders>
              <w:top w:val="nil"/>
              <w:left w:val="nil"/>
              <w:bottom w:val="nil"/>
              <w:right w:val="nil"/>
            </w:tcBorders>
            <w:shd w:val="clear" w:color="D9D9D9" w:fill="D9D9D9"/>
            <w:noWrap/>
            <w:vAlign w:val="center"/>
            <w:hideMark/>
          </w:tcPr>
          <w:p w14:paraId="3A475524" w14:textId="77777777" w:rsidR="009B5E39" w:rsidRPr="003225B4" w:rsidRDefault="009B5E39" w:rsidP="00190E4A">
            <w:pPr>
              <w:rPr>
                <w:rFonts w:ascii="Gotham" w:hAnsi="Gotham" w:cs="Arial"/>
                <w:color w:val="000000"/>
                <w:sz w:val="19"/>
                <w:szCs w:val="19"/>
              </w:rPr>
            </w:pPr>
            <w:r w:rsidRPr="003225B4">
              <w:rPr>
                <w:rFonts w:ascii="Tahoma" w:hAnsi="Tahoma" w:cs="Tahoma"/>
                <w:color w:val="000000"/>
                <w:sz w:val="19"/>
                <w:szCs w:val="19"/>
              </w:rPr>
              <w:t>﻿﻿﻿﻿</w:t>
            </w:r>
            <w:r w:rsidRPr="003225B4">
              <w:rPr>
                <w:rFonts w:ascii="Gotham" w:hAnsi="Gotham" w:cs="Arial"/>
                <w:color w:val="000000"/>
                <w:sz w:val="19"/>
                <w:szCs w:val="19"/>
              </w:rPr>
              <w:t>Encinos y Robles</w:t>
            </w:r>
          </w:p>
        </w:tc>
        <w:tc>
          <w:tcPr>
            <w:tcW w:w="2733" w:type="dxa"/>
            <w:tcBorders>
              <w:top w:val="nil"/>
              <w:left w:val="nil"/>
              <w:bottom w:val="nil"/>
              <w:right w:val="nil"/>
            </w:tcBorders>
            <w:shd w:val="clear" w:color="D9D9D9" w:fill="D9D9D9"/>
            <w:noWrap/>
            <w:vAlign w:val="center"/>
            <w:hideMark/>
          </w:tcPr>
          <w:p w14:paraId="3A475525" w14:textId="77777777" w:rsidR="009B5E39" w:rsidRPr="003225B4" w:rsidRDefault="009B5E39" w:rsidP="00190E4A">
            <w:pPr>
              <w:rPr>
                <w:rFonts w:ascii="Gotham" w:hAnsi="Gotham" w:cs="Arial"/>
                <w:color w:val="000000"/>
                <w:sz w:val="19"/>
                <w:szCs w:val="19"/>
              </w:rPr>
            </w:pPr>
            <w:r w:rsidRPr="003225B4">
              <w:rPr>
                <w:rFonts w:ascii="Gotham" w:hAnsi="Gotham" w:cs="Arial"/>
                <w:color w:val="000000"/>
                <w:sz w:val="19"/>
                <w:szCs w:val="19"/>
              </w:rPr>
              <w:t>Quercus spp</w:t>
            </w:r>
          </w:p>
        </w:tc>
        <w:tc>
          <w:tcPr>
            <w:tcW w:w="1500" w:type="dxa"/>
            <w:tcBorders>
              <w:top w:val="nil"/>
              <w:left w:val="nil"/>
              <w:bottom w:val="nil"/>
              <w:right w:val="nil"/>
            </w:tcBorders>
            <w:shd w:val="clear" w:color="D9D9D9" w:fill="D9D9D9"/>
            <w:noWrap/>
            <w:vAlign w:val="center"/>
            <w:hideMark/>
          </w:tcPr>
          <w:p w14:paraId="3A475526" w14:textId="77777777" w:rsidR="009B5E39" w:rsidRPr="003225B4" w:rsidRDefault="009B5E39" w:rsidP="00190E4A">
            <w:pPr>
              <w:jc w:val="center"/>
              <w:rPr>
                <w:rFonts w:ascii="Gotham" w:hAnsi="Gotham" w:cs="Arial"/>
                <w:color w:val="000000"/>
                <w:sz w:val="19"/>
                <w:szCs w:val="19"/>
              </w:rPr>
            </w:pPr>
            <w:r w:rsidRPr="003225B4">
              <w:rPr>
                <w:rFonts w:ascii="Gotham" w:hAnsi="Gotham" w:cs="Arial"/>
                <w:color w:val="000000"/>
                <w:sz w:val="19"/>
                <w:szCs w:val="19"/>
              </w:rPr>
              <w:t>Medio y Bajo</w:t>
            </w:r>
          </w:p>
        </w:tc>
      </w:tr>
    </w:tbl>
    <w:p w14:paraId="3A475528" w14:textId="77777777" w:rsidR="009B5E39" w:rsidRDefault="009B5E39" w:rsidP="009B5E39">
      <w:pPr>
        <w:ind w:left="284" w:right="283"/>
        <w:jc w:val="both"/>
        <w:rPr>
          <w:rFonts w:ascii="Gotham" w:hAnsi="Gotham" w:cs="Arial"/>
          <w:color w:val="000000" w:themeColor="text1"/>
          <w:sz w:val="19"/>
          <w:szCs w:val="19"/>
          <w:lang w:val="es-ES_tradnl"/>
        </w:rPr>
      </w:pPr>
    </w:p>
    <w:p w14:paraId="3A475529" w14:textId="77777777" w:rsidR="009B5E39" w:rsidRPr="00BF24CE" w:rsidRDefault="009B5E39" w:rsidP="009B5E39">
      <w:pPr>
        <w:ind w:left="284" w:right="283"/>
        <w:jc w:val="both"/>
        <w:rPr>
          <w:rFonts w:ascii="Gotham" w:hAnsi="Gotham" w:cs="Arial"/>
          <w:color w:val="000000" w:themeColor="text1"/>
          <w:sz w:val="19"/>
          <w:szCs w:val="19"/>
          <w:lang w:val="es-ES_tradnl"/>
        </w:rPr>
      </w:pPr>
      <w:r>
        <w:rPr>
          <w:rFonts w:ascii="Gotham" w:hAnsi="Gotham" w:cs="Arial"/>
          <w:color w:val="000000" w:themeColor="text1"/>
          <w:sz w:val="19"/>
          <w:szCs w:val="19"/>
          <w:lang w:val="es-ES_tradnl"/>
        </w:rPr>
        <w:t>Artí</w:t>
      </w:r>
      <w:r w:rsidRPr="00BF24CE">
        <w:rPr>
          <w:rFonts w:ascii="Gotham" w:hAnsi="Gotham" w:cs="Arial"/>
          <w:color w:val="000000" w:themeColor="text1"/>
          <w:sz w:val="19"/>
          <w:szCs w:val="19"/>
          <w:lang w:val="es-ES_tradnl"/>
        </w:rPr>
        <w:t xml:space="preserve">culo 9.- En caso de que se planten especies diferentes a las que se señalan en los artículos anteriores, la Jefatura de Arbolado Urbano podrá́ retirarlos para el efecto de plantarlos en los lugares que a juicio de la misma sea conveniente para su mejor desarrollo. </w:t>
      </w:r>
    </w:p>
    <w:p w14:paraId="3A47552A" w14:textId="77777777" w:rsidR="009B5E39" w:rsidRDefault="009B5E39" w:rsidP="009B5E39">
      <w:pPr>
        <w:ind w:left="284" w:right="283"/>
        <w:jc w:val="both"/>
        <w:rPr>
          <w:rFonts w:ascii="Gotham" w:hAnsi="Gotham" w:cs="Arial"/>
          <w:color w:val="000000" w:themeColor="text1"/>
          <w:sz w:val="19"/>
          <w:szCs w:val="19"/>
          <w:lang w:val="es-ES_tradnl"/>
        </w:rPr>
      </w:pPr>
    </w:p>
    <w:p w14:paraId="3A47552B" w14:textId="77777777" w:rsidR="009B5E39" w:rsidRDefault="009B5E39" w:rsidP="009B5E39">
      <w:pPr>
        <w:ind w:left="284" w:right="283"/>
        <w:jc w:val="both"/>
        <w:rPr>
          <w:rFonts w:ascii="Gotham" w:hAnsi="Gotham" w:cs="Arial"/>
          <w:color w:val="000000" w:themeColor="text1"/>
          <w:sz w:val="19"/>
          <w:szCs w:val="19"/>
          <w:lang w:val="es-ES_tradnl"/>
        </w:rPr>
      </w:pPr>
    </w:p>
    <w:p w14:paraId="3A47552C" w14:textId="77777777" w:rsidR="009B5E39" w:rsidRPr="00BF24CE" w:rsidRDefault="009B5E39" w:rsidP="009B5E39">
      <w:pPr>
        <w:ind w:left="284" w:right="283"/>
        <w:jc w:val="center"/>
        <w:rPr>
          <w:rFonts w:ascii="Gotham" w:hAnsi="Gotham" w:cs="Arial"/>
          <w:color w:val="000000" w:themeColor="text1"/>
          <w:sz w:val="19"/>
          <w:szCs w:val="19"/>
          <w:lang w:val="es-ES_tradnl"/>
        </w:rPr>
      </w:pPr>
      <w:r w:rsidRPr="00BF24CE">
        <w:rPr>
          <w:rFonts w:ascii="Gotham" w:hAnsi="Gotham" w:cs="Arial"/>
          <w:color w:val="000000" w:themeColor="text1"/>
          <w:sz w:val="19"/>
          <w:szCs w:val="19"/>
          <w:lang w:val="es-ES_tradnl"/>
        </w:rPr>
        <w:t>TRANSITORIOS</w:t>
      </w:r>
    </w:p>
    <w:p w14:paraId="3A47552D" w14:textId="77777777" w:rsidR="009B5E39" w:rsidRDefault="009B5E39" w:rsidP="009B5E39">
      <w:pPr>
        <w:ind w:left="284" w:right="283"/>
        <w:jc w:val="both"/>
        <w:rPr>
          <w:rFonts w:ascii="Gotham" w:hAnsi="Gotham" w:cs="Arial"/>
          <w:color w:val="000000" w:themeColor="text1"/>
          <w:sz w:val="19"/>
          <w:szCs w:val="19"/>
          <w:lang w:val="es-ES_tradnl"/>
        </w:rPr>
      </w:pPr>
    </w:p>
    <w:p w14:paraId="3A47552E" w14:textId="77777777" w:rsidR="009B5E39" w:rsidRPr="00BF24CE" w:rsidRDefault="009B5E39" w:rsidP="009B5E39">
      <w:pPr>
        <w:ind w:left="284" w:right="283"/>
        <w:jc w:val="both"/>
        <w:rPr>
          <w:rFonts w:ascii="Gotham" w:hAnsi="Gotham" w:cs="Arial"/>
          <w:color w:val="000000" w:themeColor="text1"/>
          <w:sz w:val="19"/>
          <w:szCs w:val="19"/>
          <w:lang w:val="es-ES_tradnl"/>
        </w:rPr>
      </w:pPr>
      <w:r w:rsidRPr="00BF24CE">
        <w:rPr>
          <w:rFonts w:ascii="Gotham" w:hAnsi="Gotham" w:cs="Arial"/>
          <w:color w:val="000000" w:themeColor="text1"/>
          <w:sz w:val="19"/>
          <w:szCs w:val="19"/>
          <w:lang w:val="es-ES_tradnl"/>
        </w:rPr>
        <w:t>PRIMERO. El presente Reglamento entrará en vigor una al día siguiente de su publicación en la gaceta Municipal Tlahtolli.</w:t>
      </w:r>
    </w:p>
    <w:p w14:paraId="3A47552F" w14:textId="77777777" w:rsidR="009B5E39" w:rsidRDefault="009B5E39" w:rsidP="009B5E39">
      <w:pPr>
        <w:ind w:left="284" w:right="283"/>
        <w:jc w:val="both"/>
        <w:rPr>
          <w:rFonts w:ascii="Gotham" w:hAnsi="Gotham" w:cs="Arial"/>
          <w:color w:val="000000" w:themeColor="text1"/>
          <w:sz w:val="19"/>
          <w:szCs w:val="19"/>
          <w:lang w:val="es-ES_tradnl"/>
        </w:rPr>
      </w:pPr>
    </w:p>
    <w:p w14:paraId="3A475530" w14:textId="77777777" w:rsidR="009B5E39" w:rsidRDefault="009B5E39" w:rsidP="009B5E39">
      <w:pPr>
        <w:ind w:left="284" w:right="283"/>
        <w:jc w:val="both"/>
        <w:rPr>
          <w:rFonts w:ascii="Gotham" w:hAnsi="Gotham" w:cs="Arial"/>
          <w:color w:val="000000" w:themeColor="text1"/>
          <w:sz w:val="19"/>
          <w:szCs w:val="19"/>
          <w:lang w:val="es-ES_tradnl"/>
        </w:rPr>
      </w:pPr>
      <w:r w:rsidRPr="00BF24CE">
        <w:rPr>
          <w:rFonts w:ascii="Gotham" w:hAnsi="Gotham" w:cs="Arial"/>
          <w:color w:val="000000" w:themeColor="text1"/>
          <w:sz w:val="19"/>
          <w:szCs w:val="19"/>
          <w:lang w:val="es-ES_tradnl"/>
        </w:rPr>
        <w:t>SEGUNDO. Remítase el presente Reglamento al C. Presidente Municipal, para los efectos de su obligatoria promulgación y publicación, de conformidad con el artículo 42 fracción IV de la Ley del Gobierno y la Administración Pública Municipal del Estado de Jalisco.</w:t>
      </w:r>
    </w:p>
    <w:p w14:paraId="3A475531" w14:textId="77777777" w:rsidR="009B5E39" w:rsidRPr="00D01951" w:rsidRDefault="009B5E39" w:rsidP="009B5E39">
      <w:pPr>
        <w:ind w:left="284" w:right="283"/>
        <w:jc w:val="both"/>
        <w:rPr>
          <w:rFonts w:ascii="Gotham" w:hAnsi="Gotham" w:cs="Arial"/>
          <w:color w:val="000000" w:themeColor="text1"/>
          <w:sz w:val="20"/>
          <w:szCs w:val="20"/>
          <w:lang w:val="es-ES_tradnl"/>
        </w:rPr>
      </w:pPr>
    </w:p>
    <w:p w14:paraId="3A475532" w14:textId="77777777" w:rsidR="009B5E39" w:rsidRPr="00D01951" w:rsidRDefault="009B5E39" w:rsidP="009B5E39">
      <w:pPr>
        <w:jc w:val="both"/>
        <w:rPr>
          <w:rFonts w:ascii="Gotham" w:hAnsi="Gotham" w:cs="Arial"/>
          <w:b/>
          <w:sz w:val="20"/>
          <w:szCs w:val="20"/>
        </w:rPr>
      </w:pPr>
      <w:r w:rsidRPr="00D01951">
        <w:rPr>
          <w:rFonts w:ascii="Gotham" w:hAnsi="Gotham" w:cs="Arial"/>
          <w:sz w:val="20"/>
          <w:szCs w:val="20"/>
        </w:rPr>
        <w:t>Por lo que respecta al Reglamento de Movilidad y Transporte Del Municipio De Tonalá, Jalisco</w:t>
      </w:r>
      <w:r w:rsidRPr="00D01951">
        <w:rPr>
          <w:rFonts w:ascii="Gotham" w:hAnsi="Gotham" w:cs="Arial"/>
          <w:b/>
          <w:sz w:val="20"/>
          <w:szCs w:val="20"/>
        </w:rPr>
        <w:t>; se CREA EL REGLAMENTO DE MOVILIDAD, SEGURIDAD VIAL Y TRANSPORTE DEL MUNICIPIO DE TONALÁ, JALISCO, el queda de la siguiente manera:</w:t>
      </w:r>
    </w:p>
    <w:p w14:paraId="3A475533" w14:textId="77777777" w:rsidR="009B5E39" w:rsidRPr="00D01951" w:rsidRDefault="009B5E39" w:rsidP="009B5E39">
      <w:pPr>
        <w:rPr>
          <w:rFonts w:ascii="Gotham" w:hAnsi="Gotham" w:cs="Arial"/>
          <w:b/>
          <w:sz w:val="20"/>
          <w:szCs w:val="20"/>
        </w:rPr>
      </w:pPr>
    </w:p>
    <w:p w14:paraId="3A475534"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REGLAMENTO DE MOVILIDAD, SEGURIDAD VIAL Y TRANSPORTE DEL MUNICIPIO DE TONALÁ, JALISCO.</w:t>
      </w:r>
    </w:p>
    <w:p w14:paraId="3A475535" w14:textId="77777777" w:rsidR="009B5E39" w:rsidRPr="00CB0307" w:rsidRDefault="009B5E39" w:rsidP="009B5E39">
      <w:pPr>
        <w:ind w:left="284" w:right="283"/>
        <w:jc w:val="center"/>
        <w:rPr>
          <w:rFonts w:ascii="Gotham" w:hAnsi="Gotham" w:cs="Arial"/>
          <w:b/>
          <w:sz w:val="19"/>
          <w:szCs w:val="19"/>
        </w:rPr>
      </w:pPr>
    </w:p>
    <w:p w14:paraId="3A475536"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TÍTULO I</w:t>
      </w:r>
    </w:p>
    <w:p w14:paraId="3A475537"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DISPOSICIONES GENERALES</w:t>
      </w:r>
    </w:p>
    <w:p w14:paraId="3A475538" w14:textId="77777777" w:rsidR="009B5E39" w:rsidRPr="00CB0307" w:rsidRDefault="009B5E39" w:rsidP="009B5E39">
      <w:pPr>
        <w:ind w:left="284" w:right="283"/>
        <w:jc w:val="center"/>
        <w:rPr>
          <w:rFonts w:ascii="Gotham" w:hAnsi="Gotham" w:cs="Arial"/>
          <w:b/>
          <w:sz w:val="19"/>
          <w:szCs w:val="19"/>
        </w:rPr>
      </w:pPr>
    </w:p>
    <w:p w14:paraId="3A475539"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CAPÍTULO I</w:t>
      </w:r>
    </w:p>
    <w:p w14:paraId="3A47553A"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OBJETO Y ÁMBITO DE APLICACIÓN</w:t>
      </w:r>
    </w:p>
    <w:p w14:paraId="3A47553B" w14:textId="77777777" w:rsidR="009B5E39" w:rsidRDefault="009B5E39" w:rsidP="009B5E39">
      <w:pPr>
        <w:ind w:left="284" w:right="283"/>
        <w:jc w:val="both"/>
        <w:rPr>
          <w:rFonts w:ascii="Gotham" w:hAnsi="Gotham" w:cs="Arial"/>
          <w:b/>
          <w:bCs/>
          <w:sz w:val="19"/>
          <w:szCs w:val="19"/>
        </w:rPr>
      </w:pPr>
    </w:p>
    <w:p w14:paraId="3A47553C"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1.</w:t>
      </w:r>
      <w:r w:rsidRPr="00CB0307">
        <w:rPr>
          <w:rFonts w:ascii="Gotham" w:hAnsi="Gotham" w:cs="Arial"/>
          <w:sz w:val="19"/>
          <w:szCs w:val="19"/>
        </w:rPr>
        <w:t xml:space="preserve"> Las disposiciones del presente ordenamiento son de orden público, interés social, de observancia obligatoria y tienen como objetivo fundamental regular las atribuciones del Municipio de Tonalá, Jalisco, en materia de movilidad, Seguridad Vial Y Transporte.</w:t>
      </w:r>
    </w:p>
    <w:p w14:paraId="3A47553D" w14:textId="77777777" w:rsidR="009B5E39" w:rsidRDefault="009B5E39" w:rsidP="009B5E39">
      <w:pPr>
        <w:ind w:left="284" w:right="283"/>
        <w:jc w:val="both"/>
        <w:rPr>
          <w:rFonts w:ascii="Gotham" w:hAnsi="Gotham" w:cs="Arial"/>
          <w:b/>
          <w:sz w:val="19"/>
          <w:szCs w:val="19"/>
        </w:rPr>
      </w:pPr>
    </w:p>
    <w:p w14:paraId="3A47553E"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2.</w:t>
      </w:r>
      <w:r w:rsidRPr="00CB0307">
        <w:rPr>
          <w:rFonts w:ascii="Gotham" w:hAnsi="Gotham" w:cs="Arial"/>
          <w:sz w:val="19"/>
          <w:szCs w:val="19"/>
        </w:rPr>
        <w:t xml:space="preserve"> Para los casos no previstos en el presente Reglamento, se aplicarán de forma supletoria:</w:t>
      </w:r>
    </w:p>
    <w:p w14:paraId="3A47553F" w14:textId="77777777" w:rsidR="009B5E39" w:rsidRDefault="009B5E39" w:rsidP="009B5E39">
      <w:pPr>
        <w:ind w:left="284" w:right="283"/>
        <w:jc w:val="both"/>
        <w:rPr>
          <w:rFonts w:ascii="Gotham" w:hAnsi="Gotham" w:cs="Arial"/>
          <w:sz w:val="19"/>
          <w:szCs w:val="19"/>
        </w:rPr>
      </w:pPr>
    </w:p>
    <w:p w14:paraId="3A47554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La Ley General de Movilidad y Seguridad Vial;</w:t>
      </w:r>
    </w:p>
    <w:p w14:paraId="3A47554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La Ley del Gobierno y la Administración Pública Municipal del Estado de Jalisco;</w:t>
      </w:r>
    </w:p>
    <w:p w14:paraId="3A47554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Ley de Movilidad, Seguridad Vial y Transporte del Estado de Jalisco;</w:t>
      </w:r>
    </w:p>
    <w:p w14:paraId="3A47554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La Ley del Procedimiento Administrativo del Estado de Jalisco;</w:t>
      </w:r>
    </w:p>
    <w:p w14:paraId="3A47554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Ley de Justicia Alternativa del Estado de Jalisco;</w:t>
      </w:r>
    </w:p>
    <w:p w14:paraId="3A47554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El Reglamento de la Ley de Movilidad y Transporte del Estado de Jalisco;</w:t>
      </w:r>
    </w:p>
    <w:p w14:paraId="3A47554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VII. </w:t>
      </w:r>
      <w:r>
        <w:rPr>
          <w:rFonts w:ascii="Gotham" w:hAnsi="Gotham" w:cs="Arial"/>
          <w:sz w:val="19"/>
          <w:szCs w:val="19"/>
        </w:rPr>
        <w:tab/>
      </w:r>
      <w:r w:rsidRPr="00CB0307">
        <w:rPr>
          <w:rFonts w:ascii="Gotham" w:hAnsi="Gotham" w:cs="Arial"/>
          <w:sz w:val="19"/>
          <w:szCs w:val="19"/>
        </w:rPr>
        <w:t>El Reglamento del Gobierno y la Administración Pública del Ayuntamiento Constitucional de Tonalá, Jalisco; y</w:t>
      </w:r>
    </w:p>
    <w:p w14:paraId="3A475547"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Las demás leyes y reglamentos aplicables en la materia.</w:t>
      </w:r>
    </w:p>
    <w:p w14:paraId="3A475548" w14:textId="77777777" w:rsidR="009B5E39" w:rsidRDefault="009B5E39" w:rsidP="009B5E39">
      <w:pPr>
        <w:ind w:left="284" w:right="283"/>
        <w:jc w:val="both"/>
        <w:rPr>
          <w:rFonts w:ascii="Gotham" w:hAnsi="Gotham" w:cs="Arial"/>
          <w:sz w:val="19"/>
          <w:szCs w:val="19"/>
        </w:rPr>
      </w:pPr>
    </w:p>
    <w:p w14:paraId="3A475549"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 xml:space="preserve">Artículo 3. El presente ordenamiento tiene por objeto: </w:t>
      </w:r>
    </w:p>
    <w:p w14:paraId="3A47554A" w14:textId="77777777" w:rsidR="009B5E39" w:rsidRDefault="009B5E39" w:rsidP="009B5E39">
      <w:pPr>
        <w:ind w:left="284" w:right="283"/>
        <w:jc w:val="both"/>
        <w:rPr>
          <w:rFonts w:ascii="Gotham" w:hAnsi="Gotham" w:cs="Arial"/>
          <w:sz w:val="19"/>
          <w:szCs w:val="19"/>
        </w:rPr>
      </w:pPr>
    </w:p>
    <w:p w14:paraId="3A47554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El reconoce el derecho humano a la movilidad en condiciones de seguridad vial, accesibilidad, eficiencia, sostenibilidad, calidad, inclusión e igualdad.</w:t>
      </w:r>
    </w:p>
    <w:p w14:paraId="3A47554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Establecer las normas que la autoridad municipal con el objeto de regulan, ordena y controlan en materia de movilidad que en su competencia tenga.</w:t>
      </w:r>
    </w:p>
    <w:p w14:paraId="3A47554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sz w:val="19"/>
          <w:szCs w:val="19"/>
        </w:rPr>
        <w:t>Las cuales diseñarán, implementarán, ejecutarán, evaluarán y darán seguimiento a la regulación de la vialidad y el tránsito, para que la circulación de los peatones, vehícul</w:t>
      </w:r>
      <w:r>
        <w:rPr>
          <w:rFonts w:ascii="Gotham" w:hAnsi="Gotham" w:cs="Arial"/>
          <w:sz w:val="19"/>
          <w:szCs w:val="19"/>
        </w:rPr>
        <w:t>os motorizados y no motorizados,</w:t>
      </w:r>
      <w:r w:rsidRPr="00CB0307">
        <w:rPr>
          <w:rFonts w:ascii="Gotham" w:hAnsi="Gotham" w:cs="Arial"/>
          <w:sz w:val="19"/>
          <w:szCs w:val="19"/>
        </w:rPr>
        <w:t xml:space="preserve"> sea segura y fluida, procurando en todo momento la protección de la vida y la integridad física, el uso o disfrute en las vías públicas por medio de un enfoque de prevención que disminuya los factores de riesgo y la incidencia de lesiones graves, a través de la generación de sistemas de movilidad seguros, aplicando las normas expedidas conforme a las bases establecidas en este Reglamento;</w:t>
      </w:r>
    </w:p>
    <w:p w14:paraId="3A47554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Establecer facultades y obligaciones en materia de movilidad y Seguridad Vial a las autoridades municipales;</w:t>
      </w:r>
    </w:p>
    <w:p w14:paraId="3A47554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Delimitar los derechos y obligaciones de los ciclistas, peatones y conductores de vehículos;</w:t>
      </w:r>
    </w:p>
    <w:p w14:paraId="3A47555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Establecer la normatividad y la regulación del tránsito de vehículos en las vías públicas, con el objeto de mejorar la vialidad, preservar el medio ambiente, salvaguardar la seguridad de las personas y el orden público;</w:t>
      </w:r>
    </w:p>
    <w:p w14:paraId="3A47555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 xml:space="preserve">Proponer, implementar y promover condiciones de seguridad y accesibilidad universal en materia de movilidad preferente para los usuarios de las vías y espacios públicos; </w:t>
      </w:r>
    </w:p>
    <w:p w14:paraId="3A47555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Promover el respeto entre las personas que concurren en el aprovechamiento de las vías públicas</w:t>
      </w:r>
      <w:proofErr w:type="gramStart"/>
      <w:r w:rsidRPr="00CB0307">
        <w:rPr>
          <w:rFonts w:ascii="Gotham" w:hAnsi="Gotham" w:cs="Arial"/>
          <w:sz w:val="19"/>
          <w:szCs w:val="19"/>
        </w:rPr>
        <w:t>;;</w:t>
      </w:r>
      <w:proofErr w:type="gramEnd"/>
    </w:p>
    <w:p w14:paraId="3A47555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 xml:space="preserve">Determinar las bases, lineamientos y procedimientos para la autorización del estacionamiento en la vía pública, la instalación, uso y funcionamiento de estacionómetros o cualquier otra plataforma de cobro, así como los requisitos para la utilización del espacio público y privado susceptible de emplearse para el estacionamiento de automotores; </w:t>
      </w:r>
    </w:p>
    <w:p w14:paraId="3A47555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 xml:space="preserve">Regular las actividades relacionadas con el servicio público de estacionamientos y de los estacionamientos que prestan servicio al público, incluyendo el funcionamiento de la custodia y resguardo de vehículos en lugares públicos o privados en el territorio del Municipio de Tonalá, Jalisco, mediante el sistema de acomodadores; </w:t>
      </w:r>
    </w:p>
    <w:p w14:paraId="3A47555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 </w:t>
      </w:r>
      <w:r>
        <w:rPr>
          <w:rFonts w:ascii="Gotham" w:hAnsi="Gotham" w:cs="Arial"/>
          <w:sz w:val="19"/>
          <w:szCs w:val="19"/>
        </w:rPr>
        <w:tab/>
      </w:r>
      <w:r w:rsidRPr="00CB0307">
        <w:rPr>
          <w:rFonts w:ascii="Gotham" w:hAnsi="Gotham" w:cs="Arial"/>
          <w:sz w:val="19"/>
          <w:szCs w:val="19"/>
        </w:rPr>
        <w:t xml:space="preserve">Diseñar y aplicar programas y acciones para fomentar y estimular el uso de medios no motorizados de transporte, regulados en el presente Reglamento; </w:t>
      </w:r>
    </w:p>
    <w:p w14:paraId="3A47555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 </w:t>
      </w:r>
      <w:r>
        <w:rPr>
          <w:rFonts w:ascii="Gotham" w:hAnsi="Gotham" w:cs="Arial"/>
          <w:sz w:val="19"/>
          <w:szCs w:val="19"/>
        </w:rPr>
        <w:tab/>
      </w:r>
      <w:r w:rsidRPr="00CB0307">
        <w:rPr>
          <w:rFonts w:ascii="Gotham" w:hAnsi="Gotham" w:cs="Arial"/>
          <w:sz w:val="19"/>
          <w:szCs w:val="19"/>
        </w:rPr>
        <w:t>Proponer la suscripción de acuerdos de coordinación que celebre el Municipio con las dependencias y entidades de la Administración Pública Federal o Estatal competente, en las funciones de movilidad y tránsito en los tramos de caminos de jurisdicción federal, estatal o municipal comprendidos en el territorio del Municipio en materia de tránsito, vialidad y transporte y control de emisiones contaminantes;</w:t>
      </w:r>
    </w:p>
    <w:p w14:paraId="3A47555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 </w:t>
      </w:r>
      <w:r>
        <w:rPr>
          <w:rFonts w:ascii="Gotham" w:hAnsi="Gotham" w:cs="Arial"/>
          <w:sz w:val="19"/>
          <w:szCs w:val="19"/>
        </w:rPr>
        <w:tab/>
      </w:r>
      <w:r w:rsidRPr="00CB0307">
        <w:rPr>
          <w:rFonts w:ascii="Gotham" w:hAnsi="Gotham" w:cs="Arial"/>
          <w:sz w:val="19"/>
          <w:szCs w:val="19"/>
        </w:rPr>
        <w:t>Establecer las bases para la suscripción de acuerdos de coordinación que la administración municipal celebre con las autoridades de los municipios colindantes en materia de tránsito, vialidad, transporte y contaminación ambiental provocada por vehículos automotores;</w:t>
      </w:r>
    </w:p>
    <w:p w14:paraId="3A47555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XIII. </w:t>
      </w:r>
      <w:r>
        <w:rPr>
          <w:rFonts w:ascii="Gotham" w:hAnsi="Gotham" w:cs="Arial"/>
          <w:sz w:val="19"/>
          <w:szCs w:val="19"/>
        </w:rPr>
        <w:tab/>
      </w:r>
      <w:r w:rsidRPr="00CB0307">
        <w:rPr>
          <w:rFonts w:ascii="Gotham" w:hAnsi="Gotham" w:cs="Arial"/>
          <w:sz w:val="19"/>
          <w:szCs w:val="19"/>
        </w:rPr>
        <w:t>Vigilar, Supervisar y controlar la circulación de vehículos automotores, con el objeto de mejorar la vialidad, preservar el medio ambiente, salvaguardar la seguridad de las personas y el orden público;</w:t>
      </w:r>
    </w:p>
    <w:p w14:paraId="3A47555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XIV. </w:t>
      </w:r>
      <w:r>
        <w:rPr>
          <w:rFonts w:ascii="Gotham" w:hAnsi="Gotham" w:cs="Arial"/>
          <w:sz w:val="19"/>
          <w:szCs w:val="19"/>
        </w:rPr>
        <w:tab/>
      </w:r>
      <w:r w:rsidRPr="00CB0307">
        <w:rPr>
          <w:rFonts w:ascii="Gotham" w:hAnsi="Gotham" w:cs="Arial"/>
          <w:sz w:val="19"/>
          <w:szCs w:val="19"/>
        </w:rPr>
        <w:t>Definir el procedimiento para aplicar la medidas de seguridad, la inmovilización de vehículos infractores, el retiro de la vía pública de los vehículos u objetos que indebidamente obstaculicen o pongan en peligro el tránsito de personas o vehículos, y su traslado a los depósitos correspondientes;</w:t>
      </w:r>
    </w:p>
    <w:p w14:paraId="3A47555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 </w:t>
      </w:r>
      <w:r>
        <w:rPr>
          <w:rFonts w:ascii="Gotham" w:hAnsi="Gotham" w:cs="Arial"/>
          <w:sz w:val="19"/>
          <w:szCs w:val="19"/>
        </w:rPr>
        <w:tab/>
      </w:r>
      <w:r w:rsidRPr="00CB0307">
        <w:rPr>
          <w:rFonts w:ascii="Gotham" w:hAnsi="Gotham" w:cs="Arial"/>
          <w:sz w:val="19"/>
          <w:szCs w:val="19"/>
        </w:rPr>
        <w:t>Diseñar y establecer las políticas públicas y disposiciones que en materia de educación vial apliquen las autoridades municipales</w:t>
      </w:r>
      <w:proofErr w:type="gramStart"/>
      <w:r w:rsidRPr="00CB0307">
        <w:rPr>
          <w:rFonts w:ascii="Gotham" w:hAnsi="Gotham" w:cs="Arial"/>
          <w:sz w:val="19"/>
          <w:szCs w:val="19"/>
        </w:rPr>
        <w:t>;;</w:t>
      </w:r>
      <w:proofErr w:type="gramEnd"/>
    </w:p>
    <w:p w14:paraId="3A47555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 </w:t>
      </w:r>
      <w:r>
        <w:rPr>
          <w:rFonts w:ascii="Gotham" w:hAnsi="Gotham" w:cs="Arial"/>
          <w:sz w:val="19"/>
          <w:szCs w:val="19"/>
        </w:rPr>
        <w:tab/>
      </w:r>
      <w:r w:rsidRPr="00CB0307">
        <w:rPr>
          <w:rFonts w:ascii="Gotham" w:hAnsi="Gotham" w:cs="Arial"/>
          <w:sz w:val="19"/>
          <w:szCs w:val="19"/>
        </w:rPr>
        <w:t>Regular la realización de otros usos y actividades en las vías urbanas comprendidas dentro del territorio Municipal, y en las interurbanas cuya competencia hubiera sido cedida al Municipio para preservar y fomentar la seguridad vial y la prevención de accidentes;</w:t>
      </w:r>
    </w:p>
    <w:p w14:paraId="3A47555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 </w:t>
      </w:r>
      <w:r>
        <w:rPr>
          <w:rFonts w:ascii="Gotham" w:hAnsi="Gotham" w:cs="Arial"/>
          <w:sz w:val="19"/>
          <w:szCs w:val="19"/>
        </w:rPr>
        <w:tab/>
      </w:r>
      <w:r w:rsidRPr="00CB0307">
        <w:rPr>
          <w:rFonts w:ascii="Gotham" w:hAnsi="Gotham" w:cs="Arial"/>
          <w:sz w:val="19"/>
          <w:szCs w:val="19"/>
        </w:rPr>
        <w:t>Diseñar los medios para la protección de la vida y la integridad física de las personas en sus desplazamientos, el uso o disfrute en las vías públicas por medio de un enfoque de prevención que disminuya los factores de riesgo y la incidencia de lesiones graves, a través de la generación de sistemas de movilidad seguros.</w:t>
      </w:r>
    </w:p>
    <w:p w14:paraId="3A47555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XVIII. </w:t>
      </w:r>
      <w:r>
        <w:rPr>
          <w:rFonts w:ascii="Gotham" w:hAnsi="Gotham" w:cs="Arial"/>
          <w:sz w:val="19"/>
          <w:szCs w:val="19"/>
        </w:rPr>
        <w:tab/>
      </w:r>
      <w:r w:rsidRPr="00CB0307">
        <w:rPr>
          <w:rFonts w:ascii="Gotham" w:hAnsi="Gotham" w:cs="Arial"/>
          <w:sz w:val="19"/>
          <w:szCs w:val="19"/>
        </w:rPr>
        <w:t>Establecer las sanciones que corresponda aplicar por infracciones a las disposiciones de presente Reglamento además de aquellas contenidas en la Ley de Movilidad y Transporte del Estado y de su Reglamento y sean competencia del Ayuntamiento; y</w:t>
      </w:r>
    </w:p>
    <w:p w14:paraId="3A47555E"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XIX. </w:t>
      </w:r>
      <w:r>
        <w:rPr>
          <w:rFonts w:ascii="Gotham" w:hAnsi="Gotham" w:cs="Arial"/>
          <w:sz w:val="19"/>
          <w:szCs w:val="19"/>
        </w:rPr>
        <w:tab/>
      </w:r>
      <w:r w:rsidRPr="00CB0307">
        <w:rPr>
          <w:rFonts w:ascii="Gotham" w:hAnsi="Gotham" w:cs="Arial"/>
          <w:sz w:val="19"/>
          <w:szCs w:val="19"/>
        </w:rPr>
        <w:t>Las demás disposiciones en la materia.</w:t>
      </w:r>
    </w:p>
    <w:p w14:paraId="3A47555F" w14:textId="77777777" w:rsidR="009B5E39" w:rsidRDefault="009B5E39" w:rsidP="009B5E39">
      <w:pPr>
        <w:ind w:left="284" w:right="283"/>
        <w:jc w:val="both"/>
        <w:rPr>
          <w:rFonts w:ascii="Gotham" w:hAnsi="Gotham" w:cs="Arial"/>
          <w:b/>
          <w:sz w:val="19"/>
          <w:szCs w:val="19"/>
        </w:rPr>
      </w:pPr>
    </w:p>
    <w:p w14:paraId="3A475560"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4</w:t>
      </w:r>
      <w:r w:rsidRPr="00CB0307">
        <w:rPr>
          <w:rFonts w:ascii="Gotham" w:hAnsi="Gotham" w:cs="Arial"/>
          <w:sz w:val="19"/>
          <w:szCs w:val="19"/>
        </w:rPr>
        <w:t>. Para efecto del presente Reglamento se entiende por:</w:t>
      </w:r>
    </w:p>
    <w:p w14:paraId="3A475561" w14:textId="77777777" w:rsidR="009B5E39" w:rsidRDefault="009B5E39" w:rsidP="009B5E39">
      <w:pPr>
        <w:ind w:left="284" w:right="283"/>
        <w:jc w:val="both"/>
        <w:rPr>
          <w:rFonts w:ascii="Gotham" w:hAnsi="Gotham" w:cs="Arial"/>
          <w:b/>
          <w:sz w:val="19"/>
          <w:szCs w:val="19"/>
        </w:rPr>
      </w:pPr>
    </w:p>
    <w:p w14:paraId="3A475562" w14:textId="77777777" w:rsidR="009B5E39" w:rsidRPr="00CB0307" w:rsidRDefault="009B5E39" w:rsidP="009B5E39">
      <w:pPr>
        <w:spacing w:after="120"/>
        <w:ind w:left="1134" w:right="283" w:hanging="1134"/>
        <w:jc w:val="both"/>
        <w:rPr>
          <w:rFonts w:ascii="Gotham" w:hAnsi="Gotham" w:cs="Arial"/>
          <w:sz w:val="19"/>
          <w:szCs w:val="19"/>
        </w:rPr>
      </w:pPr>
      <w:r w:rsidRPr="00CB0307">
        <w:rPr>
          <w:rFonts w:ascii="Gotham" w:hAnsi="Gotham" w:cs="Arial"/>
          <w:b/>
          <w:sz w:val="19"/>
          <w:szCs w:val="19"/>
        </w:rPr>
        <w:t xml:space="preserve">I. </w:t>
      </w:r>
      <w:r>
        <w:rPr>
          <w:rFonts w:ascii="Gotham" w:hAnsi="Gotham" w:cs="Arial"/>
          <w:b/>
          <w:sz w:val="19"/>
          <w:szCs w:val="19"/>
        </w:rPr>
        <w:tab/>
      </w:r>
      <w:r w:rsidRPr="00CB0307">
        <w:rPr>
          <w:rFonts w:ascii="Gotham" w:hAnsi="Gotham" w:cs="Arial"/>
          <w:b/>
          <w:sz w:val="19"/>
          <w:szCs w:val="19"/>
        </w:rPr>
        <w:t>Accesibilidad universal</w:t>
      </w:r>
      <w:r w:rsidRPr="00CB0307">
        <w:rPr>
          <w:rFonts w:ascii="Gotham" w:hAnsi="Gotham" w:cs="Arial"/>
          <w:sz w:val="19"/>
          <w:szCs w:val="19"/>
        </w:rPr>
        <w:t>: Es el derecho que tienen todos los sujetos de la movilidad, especialmente personas en mayores condiciones de riesgo y vulnerabilidad tales como personas con discapacidad, adultos mayores, mujeres embarazadas, peatones en general, ciclistas y usuarios del transporte público, de llegar en condiciones adecuadas a los lugares de residencia, trabajo, formación, servicios de salud, interés social, prestación de servicios u ocio, desde el punto de vista de la calidad y disponibilidad de las infraestructuras, redes de movilidad y servicios de transporte;</w:t>
      </w:r>
    </w:p>
    <w:p w14:paraId="3A475563" w14:textId="77777777" w:rsidR="009B5E39" w:rsidRPr="00CB0307" w:rsidRDefault="009B5E39" w:rsidP="009B5E39">
      <w:pPr>
        <w:spacing w:after="120"/>
        <w:ind w:left="1134" w:right="283" w:hanging="1134"/>
        <w:jc w:val="both"/>
        <w:rPr>
          <w:rFonts w:ascii="Gotham" w:hAnsi="Gotham" w:cs="Arial"/>
          <w:sz w:val="19"/>
          <w:szCs w:val="19"/>
        </w:rPr>
      </w:pPr>
      <w:r w:rsidRPr="00CB0307">
        <w:rPr>
          <w:rFonts w:ascii="Gotham" w:hAnsi="Gotham" w:cs="Arial"/>
          <w:b/>
          <w:sz w:val="19"/>
          <w:szCs w:val="19"/>
        </w:rPr>
        <w:t xml:space="preserve">II. </w:t>
      </w:r>
      <w:r>
        <w:rPr>
          <w:rFonts w:ascii="Gotham" w:hAnsi="Gotham" w:cs="Arial"/>
          <w:b/>
          <w:sz w:val="19"/>
          <w:szCs w:val="19"/>
        </w:rPr>
        <w:tab/>
      </w:r>
      <w:r w:rsidRPr="00CB0307">
        <w:rPr>
          <w:rFonts w:ascii="Gotham" w:hAnsi="Gotham" w:cs="Arial"/>
          <w:b/>
          <w:sz w:val="19"/>
          <w:szCs w:val="19"/>
        </w:rPr>
        <w:t>Acción urbanística:</w:t>
      </w:r>
      <w:r w:rsidRPr="00CB0307">
        <w:rPr>
          <w:rFonts w:ascii="Gotham" w:hAnsi="Gotham" w:cs="Arial"/>
          <w:sz w:val="19"/>
          <w:szCs w:val="19"/>
        </w:rPr>
        <w:t xml:space="preserve"> Urbanización del suelo, los cambios de uso, las fusiones, subdivisiones y fraccionamientos de áreas y predios para el asentamiento humano; el desarrollo de condominios o conjuntos habitacionales; la rehabilitación de fincas y zonas urbanas; así como la introducción, conservación o mejoramiento de las redes públicas de infraestructura y la edificación del equipamiento urbano;</w:t>
      </w:r>
    </w:p>
    <w:p w14:paraId="3A475564" w14:textId="77777777" w:rsidR="009B5E39" w:rsidRPr="00CB0307" w:rsidRDefault="009B5E39" w:rsidP="009B5E39">
      <w:pPr>
        <w:spacing w:after="120"/>
        <w:ind w:left="1134" w:right="283" w:hanging="1134"/>
        <w:jc w:val="both"/>
        <w:rPr>
          <w:rFonts w:ascii="Gotham" w:hAnsi="Gotham" w:cs="Arial"/>
          <w:sz w:val="19"/>
          <w:szCs w:val="19"/>
        </w:rPr>
      </w:pPr>
      <w:r w:rsidRPr="00CB0307">
        <w:rPr>
          <w:rFonts w:ascii="Gotham" w:hAnsi="Gotham" w:cs="Arial"/>
          <w:b/>
          <w:sz w:val="19"/>
          <w:szCs w:val="19"/>
        </w:rPr>
        <w:t xml:space="preserve">III. </w:t>
      </w:r>
      <w:r>
        <w:rPr>
          <w:rFonts w:ascii="Gotham" w:hAnsi="Gotham" w:cs="Arial"/>
          <w:b/>
          <w:sz w:val="19"/>
          <w:szCs w:val="19"/>
        </w:rPr>
        <w:tab/>
      </w:r>
      <w:r w:rsidRPr="00CB0307">
        <w:rPr>
          <w:rFonts w:ascii="Gotham" w:hAnsi="Gotham" w:cs="Arial"/>
          <w:b/>
          <w:sz w:val="19"/>
          <w:szCs w:val="19"/>
        </w:rPr>
        <w:t xml:space="preserve">Agente de Movilidad Municipal: </w:t>
      </w:r>
      <w:r w:rsidRPr="00CB0307">
        <w:rPr>
          <w:rFonts w:ascii="Gotham" w:hAnsi="Gotham" w:cs="Arial"/>
          <w:sz w:val="19"/>
          <w:szCs w:val="19"/>
        </w:rPr>
        <w:t>Servidor público adscrito a la Jefatura de Agentes de Movilidad, Seguridad Vial y Transporte, dependiente de la Coordinación del Gabinete de Seguridad, Prevención, Servicios de Emergencia y Movilidad de Tonalá, Jalisco, con facultades de control, supervisión, regulación del tránsito de personas y vehículos en la vía pública, así como para hacer cumplir las disposiciones del presente Reglamento y aplicar las infracciones correspondientes en caso de incumplimiento;</w:t>
      </w:r>
    </w:p>
    <w:p w14:paraId="3A475565"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Arroyo vehicular</w:t>
      </w:r>
      <w:r w:rsidRPr="00CB0307">
        <w:rPr>
          <w:rFonts w:ascii="Gotham" w:hAnsi="Gotham" w:cs="Arial"/>
          <w:bCs/>
          <w:sz w:val="19"/>
          <w:szCs w:val="19"/>
        </w:rPr>
        <w:t xml:space="preserve">: </w:t>
      </w:r>
      <w:r w:rsidRPr="00CB0307">
        <w:rPr>
          <w:rFonts w:ascii="Gotham" w:hAnsi="Gotham" w:cs="Arial"/>
          <w:sz w:val="19"/>
          <w:szCs w:val="19"/>
        </w:rPr>
        <w:t>Área de la vialidad destinada a la circulación vehicular y ciclista que en algunos casos es delimitada por alguno o varios de los siguientes elementos: banqueta, camellón, guarnición, estacionamiento, acotamientos, entre otros; (solo se repite en el art 94)</w:t>
      </w:r>
    </w:p>
    <w:p w14:paraId="3A475566"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Arterias</w:t>
      </w:r>
      <w:r w:rsidRPr="00CB0307">
        <w:rPr>
          <w:rFonts w:ascii="Gotham" w:hAnsi="Gotham" w:cs="Arial"/>
          <w:bCs/>
          <w:sz w:val="19"/>
          <w:szCs w:val="19"/>
        </w:rPr>
        <w:t xml:space="preserve">: </w:t>
      </w:r>
      <w:r w:rsidRPr="00CB0307">
        <w:rPr>
          <w:rFonts w:ascii="Gotham" w:hAnsi="Gotham" w:cs="Arial"/>
          <w:sz w:val="19"/>
          <w:szCs w:val="19"/>
        </w:rPr>
        <w:t>Vías públicas de circulación, destinadas al tránsito de vehículos y peatones</w:t>
      </w:r>
    </w:p>
    <w:p w14:paraId="3A475567"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Autoridad municipal</w:t>
      </w:r>
      <w:r w:rsidRPr="00CB0307">
        <w:rPr>
          <w:rFonts w:ascii="Gotham" w:hAnsi="Gotham" w:cs="Arial"/>
          <w:bCs/>
          <w:sz w:val="19"/>
          <w:szCs w:val="19"/>
        </w:rPr>
        <w:t xml:space="preserve">: </w:t>
      </w:r>
      <w:r w:rsidRPr="00CB0307">
        <w:rPr>
          <w:rFonts w:ascii="Gotham" w:hAnsi="Gotham" w:cs="Arial"/>
          <w:sz w:val="19"/>
          <w:szCs w:val="19"/>
        </w:rPr>
        <w:t>Los titulares y subordinados de las diferentes dependencias públicas, que actúan bajo la dirección del Presidente Municipal;</w:t>
      </w:r>
    </w:p>
    <w:p w14:paraId="3A475568"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lastRenderedPageBreak/>
        <w:t>Autoridades:</w:t>
      </w:r>
      <w:r w:rsidRPr="00CB0307">
        <w:rPr>
          <w:rFonts w:ascii="Gotham" w:hAnsi="Gotham" w:cs="Arial"/>
          <w:sz w:val="19"/>
          <w:szCs w:val="19"/>
        </w:rPr>
        <w:t xml:space="preserve"> Autoridades de los tres órdenes de gobierno en materia de movilidad, seguridad vial y transporte terrestre.</w:t>
      </w:r>
    </w:p>
    <w:p w14:paraId="3A475569"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Autorización:</w:t>
      </w:r>
      <w:r w:rsidRPr="00CB0307">
        <w:rPr>
          <w:rFonts w:ascii="Gotham" w:hAnsi="Gotham" w:cs="Arial"/>
          <w:sz w:val="19"/>
          <w:szCs w:val="19"/>
        </w:rPr>
        <w:t xml:space="preserve"> Acto administrativo de la Secretaría que concede la prestación del servicio público de transporte, en sus distintos modos, conforme a lo establecido en la presente Ley por el tiempo que ésta establezca.</w:t>
      </w:r>
    </w:p>
    <w:p w14:paraId="3A47556A"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Avenidas:</w:t>
      </w:r>
      <w:r w:rsidRPr="00CB0307">
        <w:rPr>
          <w:rFonts w:ascii="Gotham" w:hAnsi="Gotham" w:cs="Arial"/>
          <w:bCs/>
          <w:sz w:val="19"/>
          <w:szCs w:val="19"/>
        </w:rPr>
        <w:t xml:space="preserve"> </w:t>
      </w:r>
      <w:r w:rsidRPr="00CB0307">
        <w:rPr>
          <w:rFonts w:ascii="Gotham" w:hAnsi="Gotham" w:cs="Arial"/>
          <w:sz w:val="19"/>
          <w:szCs w:val="19"/>
        </w:rPr>
        <w:t>Las calles con amplitud de veinte metros de ancho o más o las así definidas por la autoridad Municipal;</w:t>
      </w:r>
    </w:p>
    <w:p w14:paraId="3A47556B"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Ayuntamiento:</w:t>
      </w:r>
      <w:r w:rsidRPr="00CB0307">
        <w:rPr>
          <w:rFonts w:ascii="Gotham" w:hAnsi="Gotham" w:cs="Arial"/>
          <w:bCs/>
          <w:sz w:val="19"/>
          <w:szCs w:val="19"/>
        </w:rPr>
        <w:t xml:space="preserve"> </w:t>
      </w:r>
      <w:r w:rsidRPr="00CB0307">
        <w:rPr>
          <w:rFonts w:ascii="Gotham" w:hAnsi="Gotham" w:cs="Arial"/>
          <w:sz w:val="19"/>
          <w:szCs w:val="19"/>
        </w:rPr>
        <w:t>El Ayuntamiento de Tonalá, Jalisco;</w:t>
      </w:r>
    </w:p>
    <w:p w14:paraId="3A47556C"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Balizamiento o señalamiento horizontal:</w:t>
      </w:r>
      <w:r w:rsidRPr="00CB0307">
        <w:rPr>
          <w:rFonts w:ascii="Gotham" w:hAnsi="Gotham" w:cs="Arial"/>
          <w:sz w:val="19"/>
          <w:szCs w:val="19"/>
        </w:rPr>
        <w:t xml:space="preserve"> Conjunto de dispositivos, marcas y señales que indican la geometría de las vías, sus acotamientos, las velocidades máximas, la dirección del tránsito, bifurcaciones, cruces, pasos a nivel para regular y canalizar el tránsito, así como proporcionar información a las personas usuarias.</w:t>
      </w:r>
    </w:p>
    <w:p w14:paraId="3A47556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Bahía</w:t>
      </w:r>
      <w:r w:rsidRPr="00CB0307">
        <w:rPr>
          <w:rFonts w:ascii="Gotham" w:hAnsi="Gotham" w:cs="Arial"/>
          <w:bCs/>
          <w:sz w:val="19"/>
          <w:szCs w:val="19"/>
        </w:rPr>
        <w:t xml:space="preserve">: </w:t>
      </w:r>
      <w:r w:rsidRPr="00CB0307">
        <w:rPr>
          <w:rFonts w:ascii="Gotham" w:hAnsi="Gotham" w:cs="Arial"/>
          <w:sz w:val="19"/>
          <w:szCs w:val="19"/>
        </w:rPr>
        <w:t>Espacio exclusivo dentro de la vialidad fuera del carril de circulación, para realizar sólo labores de ascenso y descenso de pasajeros;</w:t>
      </w:r>
    </w:p>
    <w:p w14:paraId="3A47556E"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bCs/>
          <w:sz w:val="19"/>
          <w:szCs w:val="19"/>
        </w:rPr>
        <w:t>Bahía de servicio</w:t>
      </w:r>
      <w:r w:rsidRPr="00CB0307">
        <w:rPr>
          <w:rFonts w:ascii="Gotham" w:hAnsi="Gotham" w:cs="Arial"/>
          <w:bCs/>
          <w:sz w:val="19"/>
          <w:szCs w:val="19"/>
        </w:rPr>
        <w:t xml:space="preserve">: </w:t>
      </w:r>
      <w:r w:rsidRPr="00CB0307">
        <w:rPr>
          <w:rFonts w:ascii="Gotham" w:hAnsi="Gotham" w:cs="Arial"/>
          <w:sz w:val="19"/>
          <w:szCs w:val="19"/>
        </w:rPr>
        <w:t>Es la modalidad que se otorga mediante permiso, a los prestadores del servicio público de transporte colectivo de pasajeros o de carga, para el ascenso, descenso, transferencia de los usuarios, carga y descarga de mercancía y en su caso contratación del servicio; o para vehículos que cubren situaciones de emergencia; (</w:t>
      </w:r>
      <w:r w:rsidRPr="00CB0307">
        <w:rPr>
          <w:rFonts w:ascii="Gotham" w:hAnsi="Gotham" w:cs="Arial"/>
          <w:b/>
          <w:sz w:val="19"/>
          <w:szCs w:val="19"/>
        </w:rPr>
        <w:t>no se utiliza en el reglamento)</w:t>
      </w:r>
    </w:p>
    <w:p w14:paraId="3A47556F" w14:textId="77777777" w:rsidR="009B5E39" w:rsidRPr="00CB0307" w:rsidRDefault="009B5E39" w:rsidP="009B5E39">
      <w:pPr>
        <w:spacing w:after="120"/>
        <w:ind w:left="1134" w:right="283"/>
        <w:jc w:val="both"/>
        <w:rPr>
          <w:rFonts w:ascii="Gotham" w:hAnsi="Gotham" w:cs="Arial"/>
          <w:strike/>
          <w:sz w:val="19"/>
          <w:szCs w:val="19"/>
        </w:rPr>
      </w:pPr>
      <w:r w:rsidRPr="00CB0307">
        <w:rPr>
          <w:rFonts w:ascii="Gotham" w:hAnsi="Gotham" w:cs="Arial"/>
          <w:b/>
          <w:bCs/>
          <w:sz w:val="19"/>
          <w:szCs w:val="19"/>
        </w:rPr>
        <w:t>Banqueta:</w:t>
      </w:r>
      <w:r w:rsidRPr="00CB0307">
        <w:rPr>
          <w:rFonts w:ascii="Gotham" w:hAnsi="Gotham" w:cs="Arial"/>
          <w:sz w:val="19"/>
          <w:szCs w:val="19"/>
        </w:rPr>
        <w:t xml:space="preserve"> Espacio público que comprende del inicio del arroyo vial al límite de propiedad reservado para la circulación de personas. con discapacidad y personas peatonas, la cual se compone por tres franjas: franja de servicio, franja de circulación y franja de vegetación o mobiliario.</w:t>
      </w:r>
    </w:p>
    <w:p w14:paraId="3A475570"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Bicicleta:</w:t>
      </w:r>
      <w:r w:rsidRPr="00CB0307">
        <w:rPr>
          <w:rFonts w:ascii="Gotham" w:hAnsi="Gotham" w:cs="Arial"/>
          <w:sz w:val="19"/>
          <w:szCs w:val="19"/>
        </w:rPr>
        <w:t xml:space="preserve"> Vehículo no motorizado principalmente de propulsión humana a través de pedales o de pedaleo asistido por motor eléctrico.</w:t>
      </w:r>
    </w:p>
    <w:p w14:paraId="3A475571"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Cajón:</w:t>
      </w:r>
      <w:r w:rsidRPr="00CB0307">
        <w:rPr>
          <w:rFonts w:ascii="Gotham" w:hAnsi="Gotham" w:cs="Arial"/>
          <w:bCs/>
          <w:sz w:val="19"/>
          <w:szCs w:val="19"/>
        </w:rPr>
        <w:t xml:space="preserve"> </w:t>
      </w:r>
      <w:r w:rsidRPr="00CB0307">
        <w:rPr>
          <w:rFonts w:ascii="Gotham" w:hAnsi="Gotham" w:cs="Arial"/>
          <w:sz w:val="19"/>
          <w:szCs w:val="19"/>
        </w:rPr>
        <w:t>Espacio delimitado por rayas o trazas, para el estacionamiento de vehículos automotores;</w:t>
      </w:r>
    </w:p>
    <w:p w14:paraId="3A475572"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Calle</w:t>
      </w:r>
      <w:r w:rsidRPr="00CB0307">
        <w:rPr>
          <w:rFonts w:ascii="Gotham" w:hAnsi="Gotham" w:cs="Arial"/>
          <w:bCs/>
          <w:sz w:val="19"/>
          <w:szCs w:val="19"/>
        </w:rPr>
        <w:t xml:space="preserve">: </w:t>
      </w:r>
      <w:r w:rsidRPr="00CB0307">
        <w:rPr>
          <w:rFonts w:ascii="Gotham" w:hAnsi="Gotham" w:cs="Arial"/>
          <w:sz w:val="19"/>
          <w:szCs w:val="19"/>
        </w:rPr>
        <w:t>Las superficies de terreno que en forma lineal son destinadas dentro de una población para la circulación de peatones, bicicletas y vehículos; incluye áreas de espacio público no sólo destinadas al tránsito sino a la estancia y disfrute, como banquetas y camellones;</w:t>
      </w:r>
    </w:p>
    <w:p w14:paraId="3A475573"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Calzada</w:t>
      </w:r>
      <w:r w:rsidRPr="00CB0307">
        <w:rPr>
          <w:rFonts w:ascii="Gotham" w:hAnsi="Gotham" w:cs="Arial"/>
          <w:bCs/>
          <w:sz w:val="19"/>
          <w:szCs w:val="19"/>
        </w:rPr>
        <w:t xml:space="preserve">: Espacio Físico dentro de la </w:t>
      </w:r>
      <w:r w:rsidRPr="00CB0307">
        <w:rPr>
          <w:rFonts w:ascii="Gotham" w:hAnsi="Gotham" w:cs="Arial"/>
          <w:sz w:val="19"/>
          <w:szCs w:val="19"/>
        </w:rPr>
        <w:t>calle con amplitud de avenidas, en la que existe camellón o jardín separador de los sentidos de la circulación o las así definidas por la autoridad municipal;</w:t>
      </w:r>
    </w:p>
    <w:p w14:paraId="3A475574"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Camellón:</w:t>
      </w:r>
      <w:r w:rsidRPr="00CB0307">
        <w:rPr>
          <w:rFonts w:ascii="Gotham" w:hAnsi="Gotham" w:cs="Arial"/>
          <w:sz w:val="19"/>
          <w:szCs w:val="19"/>
        </w:rPr>
        <w:t xml:space="preserve"> </w:t>
      </w:r>
      <w:r w:rsidRPr="00CB0307">
        <w:rPr>
          <w:rFonts w:ascii="Gotham" w:hAnsi="Gotham" w:cs="Arial"/>
          <w:bCs/>
          <w:sz w:val="19"/>
          <w:szCs w:val="19"/>
        </w:rPr>
        <w:t xml:space="preserve">Espacio Físico dentro de la </w:t>
      </w:r>
      <w:r w:rsidRPr="00CB0307">
        <w:rPr>
          <w:rFonts w:ascii="Gotham" w:hAnsi="Gotham" w:cs="Arial"/>
          <w:sz w:val="19"/>
          <w:szCs w:val="19"/>
        </w:rPr>
        <w:t>calle que lleva una guarnición ubicada al centro de la vialidad que funge como divisor, ya sea de sentido o de jerarquía vial.</w:t>
      </w:r>
    </w:p>
    <w:p w14:paraId="3A475575"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Carril</w:t>
      </w:r>
      <w:r w:rsidRPr="00CB0307">
        <w:rPr>
          <w:rFonts w:ascii="Gotham" w:hAnsi="Gotham" w:cs="Arial"/>
          <w:bCs/>
          <w:sz w:val="19"/>
          <w:szCs w:val="19"/>
        </w:rPr>
        <w:t xml:space="preserve">: Espacio Físico dentro de la </w:t>
      </w:r>
      <w:r w:rsidRPr="00CB0307">
        <w:rPr>
          <w:rFonts w:ascii="Gotham" w:hAnsi="Gotham" w:cs="Arial"/>
          <w:sz w:val="19"/>
          <w:szCs w:val="19"/>
        </w:rPr>
        <w:t>calle asignado para la circulación de vehículos, ubicado sobre la superficie de rodamiento y delimitado por líneas continuas o discontinuas, el cual debe contar con el ancho suficiente para la circulación de vehículos en una fila.</w:t>
      </w:r>
    </w:p>
    <w:p w14:paraId="3A475576"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Carril compartido ciclista:</w:t>
      </w:r>
      <w:r w:rsidRPr="00CB0307">
        <w:rPr>
          <w:rFonts w:ascii="Gotham" w:hAnsi="Gotham" w:cs="Arial"/>
          <w:bCs/>
          <w:sz w:val="19"/>
          <w:szCs w:val="19"/>
        </w:rPr>
        <w:t xml:space="preserve"> Espacio Físico dentro de la </w:t>
      </w:r>
      <w:r w:rsidRPr="00CB0307">
        <w:rPr>
          <w:rFonts w:ascii="Gotham" w:hAnsi="Gotham" w:cs="Arial"/>
          <w:sz w:val="19"/>
          <w:szCs w:val="19"/>
        </w:rPr>
        <w:t>calle que se da preferencia al uso de la bicicleta que comparten el espacio con los vehículos motorizados;</w:t>
      </w:r>
    </w:p>
    <w:p w14:paraId="3A475577"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Carril Compartido:</w:t>
      </w:r>
      <w:r w:rsidRPr="00CB0307">
        <w:rPr>
          <w:rFonts w:ascii="Gotham" w:hAnsi="Gotham" w:cs="Arial"/>
          <w:sz w:val="19"/>
          <w:szCs w:val="19"/>
        </w:rPr>
        <w:t xml:space="preserve"> </w:t>
      </w:r>
      <w:r w:rsidRPr="00CB0307">
        <w:rPr>
          <w:rFonts w:ascii="Gotham" w:hAnsi="Gotham" w:cs="Arial"/>
          <w:bCs/>
          <w:sz w:val="19"/>
          <w:szCs w:val="19"/>
        </w:rPr>
        <w:t xml:space="preserve">Espacio Físico dentro de la </w:t>
      </w:r>
      <w:r w:rsidRPr="00CB0307">
        <w:rPr>
          <w:rFonts w:ascii="Gotham" w:hAnsi="Gotham" w:cs="Arial"/>
          <w:sz w:val="19"/>
          <w:szCs w:val="19"/>
        </w:rPr>
        <w:t xml:space="preserve">calle por su simetría se usado como un Carril de circulación vehicular en una vialidad pública en donde el señalamiento, dispositivos viales y de control de velocidad y características geométricas, delimitan la circulación exclusiva de dos o más tipos de vehículos de manera segura y eficiente, en los términos de la legislación en la materia. El municipio y el Estado, en función de sus competencias y de manera </w:t>
      </w:r>
      <w:r w:rsidRPr="00CB0307">
        <w:rPr>
          <w:rFonts w:ascii="Gotham" w:hAnsi="Gotham" w:cs="Arial"/>
          <w:sz w:val="19"/>
          <w:szCs w:val="19"/>
        </w:rPr>
        <w:lastRenderedPageBreak/>
        <w:t>coordinada, deberán prever las especificaciones técnicas y estándares en sus normas, manuales y reglamentos.</w:t>
      </w:r>
    </w:p>
    <w:p w14:paraId="3A475578"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Carril exclusivo</w:t>
      </w:r>
      <w:r w:rsidRPr="00CB0307">
        <w:rPr>
          <w:rFonts w:ascii="Gotham" w:hAnsi="Gotham" w:cs="Arial"/>
          <w:bCs/>
          <w:sz w:val="19"/>
          <w:szCs w:val="19"/>
        </w:rPr>
        <w:t xml:space="preserve">: Espacio Físico dentro de la </w:t>
      </w:r>
      <w:r w:rsidRPr="00CB0307">
        <w:rPr>
          <w:rFonts w:ascii="Gotham" w:hAnsi="Gotham" w:cs="Arial"/>
          <w:sz w:val="19"/>
          <w:szCs w:val="19"/>
        </w:rPr>
        <w:t>calle que será utilizado para que circulen los vehículos de transporte público colectivo o masivo de pasajeros, sobre un sentido de la vía, con delimitación en el perímetro del carril que no permiten el tránsito de otro tipo de vehículos, con excepción de los vehículos de seguridad en caso de emergencias y de bicicletas en los casos expresamente permitidos;</w:t>
      </w:r>
    </w:p>
    <w:p w14:paraId="3A475579"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Carril preferencial:</w:t>
      </w:r>
      <w:r w:rsidRPr="00CB0307">
        <w:rPr>
          <w:rFonts w:ascii="Gotham" w:hAnsi="Gotham" w:cs="Arial"/>
          <w:bCs/>
          <w:sz w:val="19"/>
          <w:szCs w:val="19"/>
        </w:rPr>
        <w:t xml:space="preserve"> Espacio Físico circulación dentro de la </w:t>
      </w:r>
      <w:r w:rsidRPr="00CB0307">
        <w:rPr>
          <w:rFonts w:ascii="Gotham" w:hAnsi="Gotham" w:cs="Arial"/>
          <w:sz w:val="19"/>
          <w:szCs w:val="19"/>
        </w:rPr>
        <w:t>calle, debidamente señalizado donde la preferencia la tiene el sistema de transporte colectivo y eventualmente el transporte de seguridad y emergencia o protección civil, en servicio y con códigos sonoros y luminosos encendidos;</w:t>
      </w:r>
    </w:p>
    <w:p w14:paraId="3A47557A"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Ciclovía:</w:t>
      </w:r>
      <w:r w:rsidRPr="00CB0307">
        <w:rPr>
          <w:rFonts w:ascii="Gotham" w:hAnsi="Gotham" w:cs="Arial"/>
          <w:bCs/>
          <w:sz w:val="19"/>
          <w:szCs w:val="19"/>
        </w:rPr>
        <w:t xml:space="preserve"> Espacio Físico dentro de la </w:t>
      </w:r>
      <w:r w:rsidRPr="00CB0307">
        <w:rPr>
          <w:rFonts w:ascii="Gotham" w:hAnsi="Gotham" w:cs="Arial"/>
          <w:sz w:val="19"/>
          <w:szCs w:val="19"/>
        </w:rPr>
        <w:t>calle que contara con un tipo de infraestructura ciclista, caracterizada por su segregación física del tránsito de vehículos motorizados y de personas peatonas, destinadas para la circulación de vehículos no motorizados. Puede ser: unidireccional o bidireccional;</w:t>
      </w:r>
    </w:p>
    <w:p w14:paraId="3A47557B" w14:textId="77777777" w:rsidR="009B5E39" w:rsidRPr="00CB0307" w:rsidRDefault="009B5E39" w:rsidP="009B5E39">
      <w:pPr>
        <w:spacing w:after="120"/>
        <w:ind w:left="1134" w:right="283"/>
        <w:jc w:val="both"/>
        <w:rPr>
          <w:rFonts w:ascii="Gotham" w:hAnsi="Gotham" w:cs="Arial"/>
          <w:bCs/>
          <w:sz w:val="19"/>
          <w:szCs w:val="19"/>
        </w:rPr>
      </w:pPr>
      <w:r w:rsidRPr="00CB0307">
        <w:rPr>
          <w:rFonts w:ascii="Gotham" w:hAnsi="Gotham" w:cs="Arial"/>
          <w:b/>
          <w:bCs/>
          <w:sz w:val="19"/>
          <w:szCs w:val="19"/>
        </w:rPr>
        <w:t>Ciclista:</w:t>
      </w:r>
      <w:r w:rsidRPr="00CB0307">
        <w:rPr>
          <w:rFonts w:ascii="Gotham" w:hAnsi="Gotham" w:cs="Arial"/>
          <w:bCs/>
          <w:sz w:val="19"/>
          <w:szCs w:val="19"/>
        </w:rPr>
        <w:t xml:space="preserve"> </w:t>
      </w:r>
      <w:r w:rsidRPr="00CB0307">
        <w:rPr>
          <w:rFonts w:ascii="Gotham" w:hAnsi="Gotham" w:cs="Arial"/>
          <w:sz w:val="19"/>
          <w:szCs w:val="19"/>
        </w:rPr>
        <w:t>Persona usuaria de un vehículo no motorizado o de tracción humana través de pedales; se considera también persona ciclista a aquellas que conducen bicicletas asistidas por motores eléctricos, siempre y cuando ésta desarrolle velocidades de hasta veinticinco kilómetros por hora; los menores de doce años a bordo de un vehículo no motorizado serán considerados peatones.</w:t>
      </w:r>
      <w:r w:rsidRPr="00CB0307">
        <w:rPr>
          <w:rFonts w:ascii="Gotham" w:hAnsi="Gotham" w:cs="Arial"/>
          <w:bCs/>
          <w:sz w:val="19"/>
          <w:szCs w:val="19"/>
        </w:rPr>
        <w:t>;</w:t>
      </w:r>
    </w:p>
    <w:p w14:paraId="3A47557C"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Ciclo-puerto:</w:t>
      </w:r>
      <w:r w:rsidRPr="00CB0307">
        <w:rPr>
          <w:rFonts w:ascii="Gotham" w:hAnsi="Gotham" w:cs="Arial"/>
          <w:bCs/>
          <w:sz w:val="19"/>
          <w:szCs w:val="19"/>
        </w:rPr>
        <w:t xml:space="preserve"> </w:t>
      </w:r>
      <w:r w:rsidRPr="00CB0307">
        <w:rPr>
          <w:rFonts w:ascii="Gotham" w:hAnsi="Gotham" w:cs="Arial"/>
          <w:sz w:val="19"/>
          <w:szCs w:val="19"/>
        </w:rPr>
        <w:t>Es un espacio de uso público para el resguardo exclusivo de bicicletas, que forma parte de la infraestructura de transporte no motorizado;</w:t>
      </w:r>
    </w:p>
    <w:p w14:paraId="3A47557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Circulación:</w:t>
      </w:r>
      <w:r w:rsidRPr="00CB0307">
        <w:rPr>
          <w:rFonts w:ascii="Gotham" w:hAnsi="Gotham" w:cs="Arial"/>
          <w:sz w:val="19"/>
          <w:szCs w:val="19"/>
        </w:rPr>
        <w:t xml:space="preserve"> Desplazamiento por la vía pública de peatones, conductores y ocupantes de vehículos.</w:t>
      </w:r>
    </w:p>
    <w:p w14:paraId="3A47557E"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Cochera</w:t>
      </w:r>
      <w:r w:rsidRPr="00CB0307">
        <w:rPr>
          <w:rFonts w:ascii="Gotham" w:hAnsi="Gotham" w:cs="Arial"/>
          <w:bCs/>
          <w:sz w:val="19"/>
          <w:szCs w:val="19"/>
        </w:rPr>
        <w:t xml:space="preserve">: Espacio Físico dentro de la </w:t>
      </w:r>
      <w:r w:rsidRPr="00CB0307">
        <w:rPr>
          <w:rFonts w:ascii="Gotham" w:hAnsi="Gotham" w:cs="Arial"/>
          <w:sz w:val="19"/>
          <w:szCs w:val="19"/>
        </w:rPr>
        <w:t>calle, frontal a la vivienda que tiene como objeto el dar ingreso el interior de un inmueble destinado a casa habitación con capacidad para uno o más vehículos;</w:t>
      </w:r>
    </w:p>
    <w:p w14:paraId="3A47557F"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Concesión</w:t>
      </w:r>
      <w:r w:rsidRPr="00CB0307">
        <w:rPr>
          <w:rFonts w:ascii="Gotham" w:hAnsi="Gotham" w:cs="Arial"/>
          <w:bCs/>
          <w:sz w:val="19"/>
          <w:szCs w:val="19"/>
        </w:rPr>
        <w:t>:</w:t>
      </w:r>
      <w:r w:rsidRPr="00CB0307">
        <w:rPr>
          <w:rFonts w:ascii="Gotham" w:hAnsi="Gotham" w:cs="Arial"/>
          <w:sz w:val="19"/>
          <w:szCs w:val="19"/>
        </w:rPr>
        <w:t xml:space="preserve"> Es la autorización concedida por el Ayuntamiento para que un particular, pueda usufructuar un bien municipal en la explotación de un giro comercial;</w:t>
      </w:r>
    </w:p>
    <w:p w14:paraId="3A475580"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Concesionario</w:t>
      </w:r>
      <w:r w:rsidRPr="00CB0307">
        <w:rPr>
          <w:rFonts w:ascii="Gotham" w:hAnsi="Gotham" w:cs="Arial"/>
          <w:bCs/>
          <w:sz w:val="19"/>
          <w:szCs w:val="19"/>
        </w:rPr>
        <w:t xml:space="preserve">: </w:t>
      </w:r>
      <w:r w:rsidRPr="00CB0307">
        <w:rPr>
          <w:rFonts w:ascii="Gotham" w:hAnsi="Gotham" w:cs="Arial"/>
          <w:sz w:val="19"/>
          <w:szCs w:val="19"/>
        </w:rPr>
        <w:t>El titular de la concesión otorgada por el Ayuntamiento;</w:t>
      </w:r>
    </w:p>
    <w:p w14:paraId="3A475581"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Conductor</w:t>
      </w:r>
      <w:r w:rsidRPr="00CB0307">
        <w:rPr>
          <w:rFonts w:ascii="Gotham" w:hAnsi="Gotham" w:cs="Arial"/>
          <w:bCs/>
          <w:sz w:val="19"/>
          <w:szCs w:val="19"/>
        </w:rPr>
        <w:t xml:space="preserve">: </w:t>
      </w:r>
      <w:r w:rsidRPr="00CB0307">
        <w:rPr>
          <w:rFonts w:ascii="Gotham" w:hAnsi="Gotham" w:cs="Arial"/>
          <w:sz w:val="19"/>
          <w:szCs w:val="19"/>
        </w:rPr>
        <w:t>Toda persona que requiere de una capacitación y de una licencia específica, para operar o conducir un vehículo, cuando así lo señale la ley de la materia;</w:t>
      </w:r>
    </w:p>
    <w:p w14:paraId="3A475582"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Coordinación</w:t>
      </w:r>
      <w:r w:rsidRPr="00CB0307">
        <w:rPr>
          <w:rFonts w:ascii="Gotham" w:hAnsi="Gotham" w:cs="Arial"/>
          <w:bCs/>
          <w:sz w:val="19"/>
          <w:szCs w:val="19"/>
        </w:rPr>
        <w:t xml:space="preserve">: </w:t>
      </w:r>
      <w:r w:rsidRPr="00CB0307">
        <w:rPr>
          <w:rFonts w:ascii="Gotham" w:hAnsi="Gotham" w:cs="Arial"/>
          <w:sz w:val="19"/>
          <w:szCs w:val="19"/>
        </w:rPr>
        <w:t>Coordinación del Gabinete de Seguridad, Prevención, Servicios de Emergencia y Movilidad de Tonalá, Jalisco;</w:t>
      </w:r>
    </w:p>
    <w:p w14:paraId="3A475583"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Derecho de vía</w:t>
      </w:r>
      <w:r w:rsidRPr="00CB0307">
        <w:rPr>
          <w:rFonts w:ascii="Gotham" w:hAnsi="Gotham" w:cs="Arial"/>
          <w:bCs/>
          <w:sz w:val="19"/>
          <w:szCs w:val="19"/>
        </w:rPr>
        <w:t xml:space="preserve">: </w:t>
      </w:r>
      <w:r w:rsidRPr="00CB0307">
        <w:rPr>
          <w:rFonts w:ascii="Gotham" w:hAnsi="Gotham" w:cs="Arial"/>
          <w:sz w:val="19"/>
          <w:szCs w:val="19"/>
        </w:rPr>
        <w:t>Es una zona de restricción que afecta a una vía pública en ambos lados, en zonas urbanas y suburbanas, el derecho de vía lo establecerá el Ayuntamiento de Tonalá, Jalisco; conforme a los planes parciales si los hubiere, de común acuerdo con las Secretarías concurrentes en materia de movilidad y obra pública, atendiendo a las disposiciones que señale el Código Urbano para el Estado de Jalisco;</w:t>
      </w:r>
    </w:p>
    <w:p w14:paraId="3A475584" w14:textId="77777777" w:rsidR="009B5E39" w:rsidRPr="00CB0307" w:rsidRDefault="009B5E39" w:rsidP="009B5E39">
      <w:pPr>
        <w:spacing w:after="120"/>
        <w:ind w:left="1134" w:right="283"/>
        <w:jc w:val="both"/>
        <w:rPr>
          <w:rFonts w:ascii="Gotham" w:hAnsi="Gotham" w:cs="Arial"/>
          <w:sz w:val="19"/>
          <w:szCs w:val="19"/>
          <w:u w:val="single"/>
        </w:rPr>
      </w:pPr>
      <w:r w:rsidRPr="00CB0307">
        <w:rPr>
          <w:rFonts w:ascii="Gotham" w:hAnsi="Gotham" w:cs="Arial"/>
          <w:b/>
          <w:bCs/>
          <w:sz w:val="19"/>
          <w:szCs w:val="19"/>
        </w:rPr>
        <w:t>Derivación o Ala</w:t>
      </w:r>
      <w:r w:rsidRPr="00CB0307">
        <w:rPr>
          <w:rFonts w:ascii="Gotham" w:hAnsi="Gotham" w:cs="Arial"/>
          <w:bCs/>
          <w:sz w:val="19"/>
          <w:szCs w:val="19"/>
        </w:rPr>
        <w:t xml:space="preserve">: </w:t>
      </w:r>
      <w:r w:rsidRPr="00CB0307">
        <w:rPr>
          <w:rFonts w:ascii="Gotham" w:hAnsi="Gotham" w:cs="Arial"/>
          <w:sz w:val="19"/>
          <w:szCs w:val="19"/>
        </w:rPr>
        <w:t xml:space="preserve">Lugar en que está permitido que los vehículos de transporte público en su modalidad de taxis, radiotaxi y carga se detengan y es autorizado como una ramificación de sitio; </w:t>
      </w:r>
    </w:p>
    <w:p w14:paraId="3A475585"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Diseño universal:</w:t>
      </w:r>
      <w:r w:rsidRPr="00CB0307">
        <w:rPr>
          <w:rFonts w:ascii="Gotham" w:hAnsi="Gotham" w:cs="Arial"/>
          <w:sz w:val="19"/>
          <w:szCs w:val="19"/>
        </w:rPr>
        <w:t xml:space="preserve"> Se entenderá el diseño de productos, entornos, programas y servicios en materia de movilidad y seguridad vial, que puedan utilizar todas las personas, en mayor medida posible sin necesidad de adaptación, ni diseño especializado. El diseño universal no excluirá las ayudas técnicas para grupos particulares de personas con discapacidad cuando se necesiten. </w:t>
      </w:r>
    </w:p>
    <w:p w14:paraId="3A475586"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lastRenderedPageBreak/>
        <w:t>Dictamen</w:t>
      </w:r>
      <w:r w:rsidRPr="00CB0307">
        <w:rPr>
          <w:rFonts w:ascii="Gotham" w:hAnsi="Gotham" w:cs="Arial"/>
          <w:bCs/>
          <w:sz w:val="19"/>
          <w:szCs w:val="19"/>
        </w:rPr>
        <w:t xml:space="preserve">: </w:t>
      </w:r>
      <w:r w:rsidRPr="00CB0307">
        <w:rPr>
          <w:rFonts w:ascii="Gotham" w:hAnsi="Gotham" w:cs="Arial"/>
          <w:sz w:val="19"/>
          <w:szCs w:val="19"/>
        </w:rPr>
        <w:t>Es una resolución, emitida por la autoridad competente en el ejercicio de sus atribuciones respecto de una cuestión que se someta a su consideración;</w:t>
      </w:r>
    </w:p>
    <w:p w14:paraId="3A475587"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Dictamen técnico</w:t>
      </w:r>
      <w:r w:rsidRPr="00CB0307">
        <w:rPr>
          <w:rFonts w:ascii="Gotham" w:hAnsi="Gotham" w:cs="Arial"/>
          <w:bCs/>
          <w:sz w:val="19"/>
          <w:szCs w:val="19"/>
        </w:rPr>
        <w:t xml:space="preserve">: </w:t>
      </w:r>
      <w:r w:rsidRPr="00CB0307">
        <w:rPr>
          <w:rFonts w:ascii="Gotham" w:hAnsi="Gotham" w:cs="Arial"/>
          <w:sz w:val="19"/>
          <w:szCs w:val="19"/>
        </w:rPr>
        <w:t>Es un acto administrativo, definitivo y declarativo que solo reconoce, sin modificar, una situación jurídica del administrado, que resulta necesario para la realización de algún trámite o acto administrativo ante diversas autoridades</w:t>
      </w:r>
    </w:p>
    <w:p w14:paraId="3A475588"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Dispositivo de movilidad asistida</w:t>
      </w:r>
      <w:r w:rsidRPr="00CB0307">
        <w:rPr>
          <w:rFonts w:ascii="Gotham" w:hAnsi="Gotham" w:cs="Arial"/>
          <w:sz w:val="19"/>
          <w:szCs w:val="19"/>
        </w:rPr>
        <w:t xml:space="preserve"> Elemento que permite el desplazamiento de personas con discapacidad o con movilidad limitada, tales como sillas de ruedas, sillas de ruedas motorizadas con velocidades máximas de diez kilómetros por hora, andaderas, bastones y perros guía;</w:t>
      </w:r>
    </w:p>
    <w:p w14:paraId="3A475589"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Dispositivo para el control de tránsito</w:t>
      </w:r>
      <w:r w:rsidRPr="00CB0307">
        <w:rPr>
          <w:rFonts w:ascii="Gotham" w:hAnsi="Gotham" w:cs="Arial"/>
          <w:bCs/>
          <w:sz w:val="19"/>
          <w:szCs w:val="19"/>
        </w:rPr>
        <w:t xml:space="preserve">: </w:t>
      </w:r>
      <w:r w:rsidRPr="00CB0307">
        <w:rPr>
          <w:rFonts w:ascii="Gotham" w:hAnsi="Gotham" w:cs="Arial"/>
          <w:sz w:val="19"/>
          <w:szCs w:val="19"/>
        </w:rPr>
        <w:t>Conjunto de elementos que procuran el ordenamiento de los movimientos del tránsito, previenen y proporcionan información a los usuarios de la vía para garantizar seguridad y orden en la vía;</w:t>
      </w:r>
    </w:p>
    <w:p w14:paraId="3A47558A"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Dirección:</w:t>
      </w:r>
      <w:r w:rsidRPr="00CB0307">
        <w:rPr>
          <w:rFonts w:ascii="Gotham" w:hAnsi="Gotham" w:cs="Arial"/>
          <w:bCs/>
          <w:sz w:val="19"/>
          <w:szCs w:val="19"/>
        </w:rPr>
        <w:t xml:space="preserve"> </w:t>
      </w:r>
      <w:r w:rsidRPr="00CB0307">
        <w:rPr>
          <w:rFonts w:ascii="Gotham" w:hAnsi="Gotham" w:cs="Arial"/>
          <w:sz w:val="19"/>
          <w:szCs w:val="19"/>
        </w:rPr>
        <w:t>la Dirección de Planeación, Movilidad y Transporte;</w:t>
      </w:r>
    </w:p>
    <w:p w14:paraId="3A47558B"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bCs/>
          <w:sz w:val="19"/>
          <w:szCs w:val="19"/>
        </w:rPr>
        <w:t xml:space="preserve">Dirección General: </w:t>
      </w:r>
      <w:r w:rsidRPr="00CB0307">
        <w:rPr>
          <w:rFonts w:ascii="Gotham" w:hAnsi="Gotham" w:cs="Arial"/>
          <w:bCs/>
          <w:sz w:val="19"/>
          <w:szCs w:val="19"/>
        </w:rPr>
        <w:t>Dirección General de Planeación y Desarrollo Urbano Sustentable de Municipio de Tonalá, Jalisco</w:t>
      </w:r>
    </w:p>
    <w:p w14:paraId="3A47558C"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Director:</w:t>
      </w:r>
      <w:r w:rsidRPr="00CB0307">
        <w:rPr>
          <w:rFonts w:ascii="Gotham" w:hAnsi="Gotham" w:cs="Arial"/>
          <w:sz w:val="19"/>
          <w:szCs w:val="19"/>
        </w:rPr>
        <w:t xml:space="preserve"> El titular de la Dirección de Planeación, Movilidad y Transporte;</w:t>
      </w:r>
    </w:p>
    <w:p w14:paraId="3A47558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Espacio público:</w:t>
      </w:r>
      <w:r w:rsidRPr="00CB0307">
        <w:rPr>
          <w:rFonts w:ascii="Gotham" w:hAnsi="Gotham" w:cs="Arial"/>
          <w:sz w:val="19"/>
          <w:szCs w:val="19"/>
        </w:rPr>
        <w:t xml:space="preserve"> Las áreas para la recreación pública y las vías públicas, tales como: plazas, calles, avenidas, viaductos, paseos, jardines, bosques urbanos, parques públicos y demás de naturaleza análoga</w:t>
      </w:r>
      <w:proofErr w:type="gramStart"/>
      <w:r w:rsidRPr="00CB0307">
        <w:rPr>
          <w:rFonts w:ascii="Gotham" w:hAnsi="Gotham" w:cs="Arial"/>
          <w:sz w:val="19"/>
          <w:szCs w:val="19"/>
        </w:rPr>
        <w:t>;;</w:t>
      </w:r>
      <w:proofErr w:type="gramEnd"/>
    </w:p>
    <w:p w14:paraId="3A47558E"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Estación de sistema de bicicleta en red</w:t>
      </w:r>
      <w:r w:rsidRPr="00CB0307">
        <w:rPr>
          <w:rFonts w:ascii="Gotham" w:hAnsi="Gotham" w:cs="Arial"/>
          <w:sz w:val="19"/>
          <w:szCs w:val="19"/>
        </w:rPr>
        <w:t>: Infraestructura colocada en la vía pública que cuenta con puertos con o sin anclaje, para la operación de las modalidades del sistema de bicicleta en red;</w:t>
      </w:r>
    </w:p>
    <w:p w14:paraId="3A47558F"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Estacionamiento:</w:t>
      </w:r>
      <w:r w:rsidRPr="00CB0307">
        <w:rPr>
          <w:rFonts w:ascii="Gotham" w:hAnsi="Gotham" w:cs="Arial"/>
          <w:sz w:val="19"/>
          <w:szCs w:val="19"/>
        </w:rPr>
        <w:t xml:space="preserve"> Espacio, lugar o recinto utilizado para ocupar, dejar o guardar un vehículo por un tiempo determinado, ya sea en la vía pública, propiedad privada o pública;</w:t>
      </w:r>
    </w:p>
    <w:p w14:paraId="3A475590"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Estacionamiento privado:</w:t>
      </w:r>
      <w:r w:rsidRPr="00CB0307">
        <w:rPr>
          <w:rFonts w:ascii="Gotham" w:hAnsi="Gotham" w:cs="Arial"/>
          <w:sz w:val="19"/>
          <w:szCs w:val="19"/>
        </w:rPr>
        <w:t xml:space="preserve"> Los espacios en áreas de propiedad privada, que se dediquen a la recepción y estancia transitoria de automóviles y bicicletas para satisfacer las necesidades que generan las actividades de la industria, comercio y servicios, e incluso por las propias zonas habitacionales que son gratuitos y no requieren concesión, permiso o licencia para su funcionamiento;</w:t>
      </w:r>
    </w:p>
    <w:p w14:paraId="3A475591"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Estacionamiento privado de uso público</w:t>
      </w:r>
      <w:r w:rsidRPr="00CB0307">
        <w:rPr>
          <w:rFonts w:ascii="Gotham" w:hAnsi="Gotham" w:cs="Arial"/>
          <w:sz w:val="19"/>
          <w:szCs w:val="19"/>
        </w:rPr>
        <w:t>: Lugar de propiedad privada construido o acondicionado expresamente para ofrecer al público en general el servicio de estacionamiento de vehículos automotores y bicicletas, mediante el pago de una tarifa autorizada por el Ayuntamiento y cuya operación requiere licencia o permiso;</w:t>
      </w:r>
    </w:p>
    <w:p w14:paraId="3A475592"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Estacionamiento público municipal</w:t>
      </w:r>
      <w:r w:rsidRPr="00CB0307">
        <w:rPr>
          <w:rFonts w:ascii="Gotham" w:hAnsi="Gotham" w:cs="Arial"/>
          <w:sz w:val="19"/>
          <w:szCs w:val="19"/>
        </w:rPr>
        <w:t xml:space="preserve"> (Lugar de propiedad Municipal en el cual la propia autoridad municipal o un concesionario prestan el servicio público de estacionamiento de vehículos automotores y bicicletas a la ciudadanía en general, pudiendo realizar el cobro de este servicio en base a la tarifa establecida por el Ayuntamiento;</w:t>
      </w:r>
    </w:p>
    <w:p w14:paraId="3A475593"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Estacionamiento exclusivo:</w:t>
      </w:r>
      <w:r w:rsidRPr="00CB0307">
        <w:rPr>
          <w:rFonts w:ascii="Gotham" w:hAnsi="Gotham" w:cs="Arial"/>
          <w:sz w:val="19"/>
          <w:szCs w:val="19"/>
        </w:rPr>
        <w:t xml:space="preserve"> Todo aquel estacionamiento ubicado en la vía pública, utilizado de manera exclusiva y justificada por los particulares, previo permiso debidamente expedido por la autoridad municipal;</w:t>
      </w:r>
    </w:p>
    <w:p w14:paraId="3A475594"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Estacionamiento vinculado:</w:t>
      </w:r>
      <w:r w:rsidRPr="00CB0307">
        <w:rPr>
          <w:rFonts w:ascii="Gotham" w:hAnsi="Gotham" w:cs="Arial"/>
          <w:sz w:val="19"/>
          <w:szCs w:val="19"/>
        </w:rPr>
        <w:t xml:space="preserve"> Todo aquel estacionamiento fuera de la vía pública vinculado a usos comerciales de servicios y dotacionales de escala urbana con ingreso permitido al público en general;</w:t>
      </w:r>
    </w:p>
    <w:p w14:paraId="3A475595"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Estudio de impacto vial:</w:t>
      </w:r>
      <w:r w:rsidRPr="00CB0307">
        <w:rPr>
          <w:rFonts w:ascii="Gotham" w:hAnsi="Gotham" w:cs="Arial"/>
          <w:sz w:val="19"/>
          <w:szCs w:val="19"/>
        </w:rPr>
        <w:t xml:space="preserve"> Es el conjunto de estudios para determinar cómo la utilización del suelo puede afectar el sistema vial y de transporte, así como los requerimientos que deban </w:t>
      </w:r>
      <w:r w:rsidRPr="00CB0307">
        <w:rPr>
          <w:rFonts w:ascii="Gotham" w:hAnsi="Gotham" w:cs="Arial"/>
          <w:sz w:val="19"/>
          <w:szCs w:val="19"/>
        </w:rPr>
        <w:lastRenderedPageBreak/>
        <w:t>aplicarse para mantener o mejorar el nivel de servicio de estos sistemas y garantizar la seguridad vial;</w:t>
      </w:r>
    </w:p>
    <w:p w14:paraId="3A475596"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Estudio vial</w:t>
      </w:r>
      <w:r w:rsidRPr="00CB0307">
        <w:rPr>
          <w:rFonts w:ascii="Gotham" w:hAnsi="Gotham" w:cs="Arial"/>
          <w:sz w:val="19"/>
          <w:szCs w:val="19"/>
        </w:rPr>
        <w:t>: Es un estudio de ingeniería vial en general que se integra con datos físicos operacionales y estadísticos, tomando en cuenta las condicionantes del desarrollo urbano, y demás elementos técnicos y legales necesarios para su desarrollo, con la finalidad de elaborar alternativas de solución y la evaluación de estas, para seleccionar la más favorable para su aplicación ya sea en un proyecto o en un conflicto existente en materia de movilidad sin violentar los derechos de los peatones y modos no motorizados, así como de los espacios públicos;</w:t>
      </w:r>
    </w:p>
    <w:p w14:paraId="3A475597"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Estudio de impacto al tránsito:</w:t>
      </w:r>
      <w:r w:rsidRPr="00CB0307">
        <w:rPr>
          <w:rFonts w:ascii="Gotham" w:hAnsi="Gotham" w:cs="Arial"/>
          <w:sz w:val="19"/>
          <w:szCs w:val="19"/>
        </w:rPr>
        <w:t xml:space="preserve"> Es un estudio de ingeniería que determina el impacto potencial de tránsito de algún proyecto de desarrollo por obra de edificación u obra de urbanización, determinando las necesidades de cualquier mejora al sistema, a los sistemas de transporte adyacentes o cercanos, con el fin de mantener un nivel de servicio satisfactorio y la previsión de accesos apropiados para los desarrollos propuestos;</w:t>
      </w:r>
    </w:p>
    <w:p w14:paraId="3A475598"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Estudio de integración a la vialidad:</w:t>
      </w:r>
      <w:r w:rsidRPr="00CB0307">
        <w:rPr>
          <w:rFonts w:ascii="Gotham" w:hAnsi="Gotham" w:cs="Arial"/>
          <w:sz w:val="19"/>
          <w:szCs w:val="19"/>
        </w:rPr>
        <w:t xml:space="preserve"> Es un estudio cuyo objeto será el regular y establecer el diseño y ubicación de las entradas y salidas de todos aquellos predios de carácter público o privado que por las necesidades de su giro requieran un análisis de factibilidad, así como la relación de estos con el espacio público con el fin de minimizar los problemas que se causan al tránsito de paso sobre la vía pública afectada, así como la regulación de infraestructura de estacionamientos y/o elementos de movilidad utilizada dentro de la propiedad privada;</w:t>
      </w:r>
    </w:p>
    <w:p w14:paraId="3A475599"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Estudio de impacto de Movilidad:</w:t>
      </w:r>
      <w:r w:rsidRPr="00CB0307">
        <w:rPr>
          <w:rFonts w:ascii="Gotham" w:hAnsi="Gotham" w:cs="Arial"/>
          <w:sz w:val="19"/>
          <w:szCs w:val="19"/>
        </w:rPr>
        <w:t xml:space="preserve"> Mecanismo de evaluación que realizan las autoridades de los tres órdenes de gobierno en el ámbito de sus funciones, con el fin de analizar las vías públicas, su funcionamiento y las dinámicas de movilidad que se dan en ellas, determinando el impacto potencial de algún proyecto, infraestructura, obra pública o privada de edificación o urbanización, determinando las necesidades de cualquier mejora a la seguridad vial y accesibilidad universal del sistema de movilidad que permitan solucionar, evitar o reducir los efectos negativos de los desplazamientos de las personas y sus bienes, favoreciendo la calidad de vida de la ciudadanía y el cuidado al medio ambiente.</w:t>
      </w:r>
    </w:p>
    <w:p w14:paraId="3A47559A"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Espacio público:</w:t>
      </w:r>
      <w:r w:rsidRPr="00CB0307">
        <w:rPr>
          <w:rFonts w:ascii="Gotham" w:hAnsi="Gotham" w:cs="Arial"/>
          <w:sz w:val="19"/>
          <w:szCs w:val="19"/>
        </w:rPr>
        <w:t xml:space="preserve"> Área delimitada por construcciones o elementos naturales, que permite la circulación peatonal y vehicular, así como la recreación y reunión de los habitantes, tales como calles, plazas, avenidas, viaductos, paseos, jardines, bosques, parques públicos y demás de naturaleza análoga.</w:t>
      </w:r>
    </w:p>
    <w:p w14:paraId="3A47559B"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Educación vial:</w:t>
      </w:r>
      <w:r w:rsidRPr="00CB0307">
        <w:rPr>
          <w:rFonts w:ascii="Gotham" w:hAnsi="Gotham" w:cs="Arial"/>
          <w:sz w:val="19"/>
          <w:szCs w:val="19"/>
        </w:rPr>
        <w:t xml:space="preserve"> Actividad cuya finalidad es promover una cultura vial en la población, dirigida a todas las personas usuarias de la vía, con el objeto de generar cambios en los patrones de comportamiento social.</w:t>
      </w:r>
    </w:p>
    <w:p w14:paraId="3A47559C"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Factores de riesgo</w:t>
      </w:r>
      <w:r w:rsidRPr="00CB0307">
        <w:rPr>
          <w:rFonts w:ascii="Gotham" w:hAnsi="Gotham" w:cs="Arial"/>
          <w:sz w:val="19"/>
          <w:szCs w:val="19"/>
        </w:rPr>
        <w:t xml:space="preserve"> Todo hecho o acción que dificulte la prevención de un siniestro de tránsito, así como la implementación de medidas comprobadas para mitigar dichos riesgos.</w:t>
      </w:r>
    </w:p>
    <w:p w14:paraId="3A47559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Grúa</w:t>
      </w:r>
      <w:r w:rsidRPr="00CB0307">
        <w:rPr>
          <w:rFonts w:ascii="Gotham" w:hAnsi="Gotham" w:cs="Arial"/>
          <w:sz w:val="19"/>
          <w:szCs w:val="19"/>
        </w:rPr>
        <w:t>: Vehículo diseñado para el arrastre o la movilización de vehículos.</w:t>
      </w:r>
    </w:p>
    <w:p w14:paraId="3A47559E"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Infracción</w:t>
      </w:r>
      <w:r w:rsidRPr="00CB0307">
        <w:rPr>
          <w:rFonts w:ascii="Gotham" w:hAnsi="Gotham" w:cs="Arial"/>
          <w:sz w:val="19"/>
          <w:szCs w:val="19"/>
        </w:rPr>
        <w:t>: Sanción que recibe una conducta que transgrede alguna disposición del presente Reglamento o demás disposiciones de tránsito aplicables y que tiene como consecuencia una sanción.</w:t>
      </w:r>
    </w:p>
    <w:p w14:paraId="3A47559F"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Infraestructura urbana:</w:t>
      </w:r>
      <w:r w:rsidRPr="00CB0307">
        <w:rPr>
          <w:rFonts w:ascii="Gotham" w:hAnsi="Gotham" w:cs="Arial"/>
          <w:sz w:val="19"/>
          <w:szCs w:val="19"/>
        </w:rPr>
        <w:t xml:space="preserve"> Conjunto de elementos con que cuentan las vialidades, que tienen una finalidad de beneficio general, y permiten su mejor funcionamiento o imagen visual;</w:t>
      </w:r>
    </w:p>
    <w:p w14:paraId="3A4755A0"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Infraestructura vial:</w:t>
      </w:r>
      <w:r w:rsidRPr="00CB0307">
        <w:rPr>
          <w:rFonts w:ascii="Gotham" w:hAnsi="Gotham" w:cs="Arial"/>
          <w:sz w:val="19"/>
          <w:szCs w:val="19"/>
        </w:rPr>
        <w:t xml:space="preserve"> Es el conjunto de elementos que permiten y ordenan el desplazamiento de personas, vehículos no motorizados y motorizados en forma confortable y segura de un punto a otro;</w:t>
      </w:r>
    </w:p>
    <w:p w14:paraId="3A4755A1"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lastRenderedPageBreak/>
        <w:t>Inmovilizador:</w:t>
      </w:r>
      <w:r w:rsidRPr="00CB0307">
        <w:rPr>
          <w:rFonts w:ascii="Gotham" w:hAnsi="Gotham" w:cs="Arial"/>
          <w:sz w:val="19"/>
          <w:szCs w:val="19"/>
        </w:rPr>
        <w:t xml:space="preserve"> Medida de seguridad que aplica la autoridad municipal, consistente en un dispositivo que se instala provisionalmente en los vehículos que se encuentren en alguno de los supuestos de violación a la Ley o Reglamento, mismo que se retira inmediatamente, una vez pagada la infracción y si fuera el caso, cubiertos los daños si hubiera al patrimonio municipal, estatal o de particulares;</w:t>
      </w:r>
    </w:p>
    <w:p w14:paraId="3A4755A2"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Intersección:</w:t>
      </w:r>
      <w:r w:rsidRPr="00CB0307">
        <w:rPr>
          <w:rFonts w:ascii="Gotham" w:hAnsi="Gotham" w:cs="Arial"/>
          <w:sz w:val="19"/>
          <w:szCs w:val="19"/>
        </w:rPr>
        <w:t xml:space="preserve"> Superficie común donde convergen dos o más arterias en donde se realizan los movimientos direccionales del tránsito en forma directa o canalizada por isletas;</w:t>
      </w:r>
    </w:p>
    <w:p w14:paraId="3A4755A3"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Jefatura:</w:t>
      </w:r>
      <w:r w:rsidRPr="00CB0307">
        <w:rPr>
          <w:rFonts w:ascii="Gotham" w:hAnsi="Gotham" w:cs="Arial"/>
          <w:sz w:val="19"/>
          <w:szCs w:val="19"/>
        </w:rPr>
        <w:t xml:space="preserve"> La Jefatura de Agentes de Movilidad, Seguridad Vial y Transporte;</w:t>
      </w:r>
    </w:p>
    <w:p w14:paraId="3A4755A4"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Lugar prohibido:</w:t>
      </w:r>
      <w:r w:rsidRPr="00CB0307">
        <w:rPr>
          <w:rFonts w:ascii="Gotham" w:hAnsi="Gotham" w:cs="Arial"/>
          <w:sz w:val="19"/>
          <w:szCs w:val="19"/>
        </w:rPr>
        <w:t xml:space="preserve"> Los espacios en donde se encuentren señalamientos restrictivos de circulación y/o estacionamiento, así como obstrucción de una vía;</w:t>
      </w:r>
    </w:p>
    <w:p w14:paraId="3A4755A5"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Licencia de Conducir:</w:t>
      </w:r>
      <w:r w:rsidRPr="00CB0307">
        <w:rPr>
          <w:rFonts w:ascii="Gotham" w:hAnsi="Gotham" w:cs="Arial"/>
          <w:sz w:val="19"/>
          <w:szCs w:val="19"/>
        </w:rPr>
        <w:t xml:space="preserve"> La autorización que concede el Estado a una persona física, por tiempo determinado, para conducir u operar vehículos, puede ser de diferentes tipos, incluso digital;</w:t>
      </w:r>
    </w:p>
    <w:p w14:paraId="3A4755A6"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Licencia Comercial:</w:t>
      </w:r>
      <w:r w:rsidRPr="00CB0307">
        <w:rPr>
          <w:rFonts w:ascii="Gotham" w:hAnsi="Gotham" w:cs="Arial"/>
          <w:sz w:val="19"/>
          <w:szCs w:val="19"/>
        </w:rPr>
        <w:t xml:space="preserve"> Autorización expedida por la autoridad municipal para que determinado establecimiento realice habitualmente y por tiempo definido determinados actos o actividades correspondientes a un giro por haberse cumplido los requisitos aplicables;</w:t>
      </w:r>
    </w:p>
    <w:p w14:paraId="3A4755A7"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Licenciatario</w:t>
      </w:r>
      <w:r w:rsidRPr="00CB0307">
        <w:rPr>
          <w:rFonts w:ascii="Gotham" w:hAnsi="Gotham" w:cs="Arial"/>
          <w:sz w:val="19"/>
          <w:szCs w:val="19"/>
        </w:rPr>
        <w:t>: El titular de la licencia concedida por el Municipio de Tonalá;</w:t>
      </w:r>
    </w:p>
    <w:p w14:paraId="3A4755A8"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Lugar preferencial:</w:t>
      </w:r>
      <w:r w:rsidRPr="00CB0307">
        <w:rPr>
          <w:rFonts w:ascii="Gotham" w:hAnsi="Gotham" w:cs="Arial"/>
          <w:sz w:val="19"/>
          <w:szCs w:val="19"/>
        </w:rPr>
        <w:t xml:space="preserve"> Cajón o cajones de estacionamiento destinados para personas con discapacidad o que necesiten por sus condiciones físicas, mentales o de salud, hacer uso de dichos lugares;</w:t>
      </w:r>
    </w:p>
    <w:p w14:paraId="3A4755A9"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Ley</w:t>
      </w:r>
      <w:r w:rsidRPr="00CB0307">
        <w:rPr>
          <w:rFonts w:ascii="Gotham" w:hAnsi="Gotham" w:cs="Arial"/>
          <w:sz w:val="19"/>
          <w:szCs w:val="19"/>
        </w:rPr>
        <w:t>: Ley de Movilidad, Seguridad Vial y Transporte del Estado de Jalisco;</w:t>
      </w:r>
    </w:p>
    <w:p w14:paraId="3A4755AA"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Sitio</w:t>
      </w:r>
      <w:r w:rsidRPr="00CB0307">
        <w:rPr>
          <w:rFonts w:ascii="Gotham" w:hAnsi="Gotham" w:cs="Arial"/>
          <w:sz w:val="19"/>
          <w:szCs w:val="19"/>
        </w:rPr>
        <w:t>: Lugar en que está permitido que los vehículos de transporte público en modalidad de taxi, radiotaxi se detengan;</w:t>
      </w:r>
    </w:p>
    <w:p w14:paraId="3A4755AB"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Medio de transporte:</w:t>
      </w:r>
      <w:r w:rsidRPr="00CB0307">
        <w:rPr>
          <w:rFonts w:ascii="Gotham" w:hAnsi="Gotham" w:cs="Arial"/>
          <w:sz w:val="19"/>
          <w:szCs w:val="19"/>
        </w:rPr>
        <w:t xml:space="preserve"> Conjunto de técnicas, instrumentos y dispositivos de características homogéneas en cuanto a la tecnología que se utilizan para el transporte de personas o mercancías;</w:t>
      </w:r>
    </w:p>
    <w:p w14:paraId="3A4755AC"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Modificación de ruta</w:t>
      </w:r>
      <w:r w:rsidRPr="00CB0307">
        <w:rPr>
          <w:rFonts w:ascii="Gotham" w:hAnsi="Gotham" w:cs="Arial"/>
          <w:sz w:val="19"/>
          <w:szCs w:val="19"/>
        </w:rPr>
        <w:t>: Es el cambio de la parte en un itinerario de una ruta que se autoriza a partir de la sustitución de tramos definidos por puntos intermedios del recorrido, sin alterar su derrotero original;</w:t>
      </w:r>
    </w:p>
    <w:p w14:paraId="3A4755A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Motociclista:</w:t>
      </w:r>
      <w:r w:rsidRPr="00CB0307">
        <w:rPr>
          <w:rFonts w:ascii="Gotham" w:hAnsi="Gotham" w:cs="Arial"/>
          <w:sz w:val="19"/>
          <w:szCs w:val="19"/>
        </w:rPr>
        <w:t xml:space="preserve"> Es el conductor de vehículo automóvil con uno o dos sillones con motor eléctrico, de combustión interna u otros modos de propulsión independiente del pedaleo;</w:t>
      </w:r>
    </w:p>
    <w:p w14:paraId="3A4755AE"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Motopuerto:</w:t>
      </w:r>
      <w:r w:rsidRPr="00CB0307">
        <w:rPr>
          <w:rFonts w:ascii="Gotham" w:hAnsi="Gotham" w:cs="Arial"/>
          <w:sz w:val="19"/>
          <w:szCs w:val="19"/>
        </w:rPr>
        <w:t xml:space="preserve"> Espacio de estacionamiento destinado para el uso exclusivo de motocicletas;</w:t>
      </w:r>
    </w:p>
    <w:p w14:paraId="3A4755AF"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Movilidad:</w:t>
      </w:r>
      <w:r w:rsidRPr="00CB0307">
        <w:rPr>
          <w:rFonts w:ascii="Gotham" w:hAnsi="Gotham" w:cs="Arial"/>
          <w:sz w:val="19"/>
          <w:szCs w:val="19"/>
        </w:rPr>
        <w:t xml:space="preserve"> El conjunto de desplazamientos de personas, bienes y mercancías a través de diversos modos, orientado a satisfacer las necesidades de las personas.</w:t>
      </w:r>
    </w:p>
    <w:p w14:paraId="3A4755B0"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Movilidad activa o no motorizada: </w:t>
      </w:r>
      <w:r w:rsidRPr="00CB0307">
        <w:rPr>
          <w:rFonts w:ascii="Gotham" w:hAnsi="Gotham" w:cs="Arial"/>
          <w:sz w:val="19"/>
          <w:szCs w:val="19"/>
        </w:rPr>
        <w:t>Desplazamiento de personas y bienes que requiere un esfuerzo físico, utilizando ayudas técnicas o mediante el uso de vehículos no motorizados.</w:t>
      </w:r>
    </w:p>
    <w:p w14:paraId="3A4755B1"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Multa</w:t>
      </w:r>
      <w:r w:rsidRPr="00CB0307">
        <w:rPr>
          <w:rFonts w:ascii="Gotham" w:hAnsi="Gotham" w:cs="Arial"/>
          <w:sz w:val="19"/>
          <w:szCs w:val="19"/>
        </w:rPr>
        <w:t>: Es la sanción pecuniaria que se impondrá a quien cometa alguna de las infracciones contenidas en el presente y demás disposiciones legales aplicables en la materia.</w:t>
      </w:r>
    </w:p>
    <w:p w14:paraId="3A4755B2"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Municipio</w:t>
      </w:r>
      <w:r w:rsidRPr="00CB0307">
        <w:rPr>
          <w:rFonts w:ascii="Gotham" w:hAnsi="Gotham" w:cs="Arial"/>
          <w:sz w:val="19"/>
          <w:szCs w:val="19"/>
        </w:rPr>
        <w:t>: El Municipio de Tonalá, Jalisco;</w:t>
      </w:r>
    </w:p>
    <w:p w14:paraId="3A4755B3"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Norma general de carácter técnico:</w:t>
      </w:r>
      <w:r w:rsidRPr="00CB0307">
        <w:rPr>
          <w:rFonts w:ascii="Gotham" w:hAnsi="Gotham" w:cs="Arial"/>
          <w:sz w:val="19"/>
          <w:szCs w:val="19"/>
        </w:rPr>
        <w:t xml:space="preserve"> La norma técnica es un documento expedido por el Ejecutivo del Estado, que contiene definiciones, requisitos, especificaciones de calidad, terminología, especificaciones y demás determinaciones que tengan como objeto normar una actividad vinculada con la movilidad o la prestación de un servicio de transporte público;</w:t>
      </w:r>
    </w:p>
    <w:p w14:paraId="3A4755B4"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lastRenderedPageBreak/>
        <w:t>Obra de urbanización:</w:t>
      </w:r>
      <w:r w:rsidRPr="00CB0307">
        <w:rPr>
          <w:rFonts w:ascii="Gotham" w:hAnsi="Gotham" w:cs="Arial"/>
          <w:sz w:val="19"/>
          <w:szCs w:val="19"/>
        </w:rPr>
        <w:t xml:space="preserve"> Todas aquellas acciones técnicas realizadas con la finalidad de transformar el suelo rústico en Urbano; o bien, adecuar, conservar o mejorar los predios de dominio público o privado, redes de infraestructura y equipamiento destinado a la prestación de servicios Urbanos;</w:t>
      </w:r>
    </w:p>
    <w:p w14:paraId="3A4755B5"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Operador del servicio de bicicleta en red</w:t>
      </w:r>
      <w:r w:rsidRPr="00CB0307">
        <w:rPr>
          <w:rFonts w:ascii="Gotham" w:hAnsi="Gotham" w:cs="Arial"/>
          <w:sz w:val="19"/>
          <w:szCs w:val="19"/>
        </w:rPr>
        <w:t>: Entidad pública o privada encargada de brindarlos servicios del sistema de bicicletas red, con un esquema de renta;</w:t>
      </w:r>
    </w:p>
    <w:p w14:paraId="3A4755B6"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Padrón</w:t>
      </w:r>
      <w:r w:rsidRPr="00CB0307">
        <w:rPr>
          <w:rFonts w:ascii="Gotham" w:hAnsi="Gotham" w:cs="Arial"/>
          <w:sz w:val="19"/>
          <w:szCs w:val="19"/>
        </w:rPr>
        <w:t>: Registro administrativo de estacionamientos públicos, estacionamientos privados de uso público, estacionamientos exclusivos y estacionamientos con servicio de acomodadores de vehículos;</w:t>
      </w:r>
    </w:p>
    <w:p w14:paraId="3A4755B7"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Peatón</w:t>
      </w:r>
      <w:r w:rsidRPr="00CB0307">
        <w:rPr>
          <w:rFonts w:ascii="Gotham" w:hAnsi="Gotham" w:cs="Arial"/>
          <w:sz w:val="19"/>
          <w:szCs w:val="19"/>
        </w:rPr>
        <w:t>: Persona que transita a pie, por la vía pública, en zonas privadas con acceso al público, y/o auxiliándose de dispositivos de movilidad asistida en el caso de las personas con discapacidad;</w:t>
      </w:r>
    </w:p>
    <w:p w14:paraId="3A4755B8"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Paso Peatonal:</w:t>
      </w:r>
      <w:r w:rsidRPr="00CB0307">
        <w:rPr>
          <w:rFonts w:ascii="Gotham" w:hAnsi="Gotham" w:cs="Arial"/>
          <w:sz w:val="19"/>
          <w:szCs w:val="19"/>
        </w:rPr>
        <w:t xml:space="preserve"> Son áreas seguras, claramente delimitadas y reservadas exclusivamente para el tránsito de personas peatonas;</w:t>
      </w:r>
    </w:p>
    <w:p w14:paraId="3A4755B9"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Patrulla Escolar:</w:t>
      </w:r>
      <w:r w:rsidRPr="00CB0307">
        <w:rPr>
          <w:rFonts w:ascii="Gotham" w:hAnsi="Gotham" w:cs="Arial"/>
          <w:sz w:val="19"/>
          <w:szCs w:val="19"/>
        </w:rPr>
        <w:t xml:space="preserve"> Grupos de voluntarios en las escuelas, coordinados por las propias autoridades escolares y/o la Dirección y/o Jefatura, con la finalidad de promover y vigilar el respeto a las normas previstas en la Ley y los reglamentos.</w:t>
      </w:r>
    </w:p>
    <w:p w14:paraId="3A4755BA"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Periférico</w:t>
      </w:r>
      <w:r w:rsidRPr="00CB0307">
        <w:rPr>
          <w:rFonts w:ascii="Gotham" w:hAnsi="Gotham" w:cs="Arial"/>
          <w:sz w:val="19"/>
          <w:szCs w:val="19"/>
        </w:rPr>
        <w:t>: Vialidad primaria con separación central, física o pintada, o con camellón que circunda la periferia de una zona urbana;</w:t>
      </w:r>
    </w:p>
    <w:p w14:paraId="3A4755BB"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Permiso</w:t>
      </w:r>
      <w:r w:rsidRPr="00CB0307">
        <w:rPr>
          <w:rFonts w:ascii="Gotham" w:hAnsi="Gotham" w:cs="Arial"/>
          <w:sz w:val="19"/>
          <w:szCs w:val="19"/>
        </w:rPr>
        <w:t>: Autorización expedida por la autoridad municipal para que una persona física o moral, realice por tiempo determinado o por un evento determinado actos o actividades por haberse cumplido los requisitos aplicables;</w:t>
      </w:r>
    </w:p>
    <w:p w14:paraId="3A4755BC"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Permisionario</w:t>
      </w:r>
      <w:r w:rsidRPr="00CB0307">
        <w:rPr>
          <w:rFonts w:ascii="Gotham" w:hAnsi="Gotham" w:cs="Arial"/>
          <w:sz w:val="19"/>
          <w:szCs w:val="19"/>
        </w:rPr>
        <w:t>: El titular del permiso concedido por la autoridad municipal correspondiente;</w:t>
      </w:r>
    </w:p>
    <w:p w14:paraId="3A4755B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Personas con discapacidad:</w:t>
      </w:r>
      <w:r w:rsidRPr="00CB0307">
        <w:rPr>
          <w:rFonts w:ascii="Gotham" w:hAnsi="Gotham" w:cs="Arial"/>
          <w:sz w:val="19"/>
          <w:szCs w:val="19"/>
        </w:rPr>
        <w:t xml:space="preserve"> Personas a las que hace referencia la Ley Para la Inclusión y el Desarrollo Integral de las Personas con Discapacidad del Estado de Jalisco;</w:t>
      </w:r>
    </w:p>
    <w:p w14:paraId="3A4755BE"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Personas con movilidad limitada:</w:t>
      </w:r>
      <w:r w:rsidRPr="00CB0307">
        <w:rPr>
          <w:rFonts w:ascii="Gotham" w:hAnsi="Gotham" w:cs="Arial"/>
          <w:sz w:val="19"/>
          <w:szCs w:val="19"/>
        </w:rPr>
        <w:t xml:space="preserve"> Toda persona cuya movilidad se ha reducido por motivos de edad, embarazo y alguna otra situación que, sin ser una discapacidad, requiere una atención adecuada y la adaptación a sus necesidades particulares en el servicio;</w:t>
      </w:r>
    </w:p>
    <w:p w14:paraId="3A4755BF"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Personas usuarias vulnerables:</w:t>
      </w:r>
      <w:r w:rsidRPr="00CB0307">
        <w:rPr>
          <w:rFonts w:ascii="Gotham" w:hAnsi="Gotham" w:cs="Arial"/>
          <w:sz w:val="19"/>
          <w:szCs w:val="19"/>
        </w:rPr>
        <w:t xml:space="preserve"> Niñas y niños menores de doce años, personas adultas mayores, personas con movilidad limitada usuarias de vehículos de dos o tres ruedas;</w:t>
      </w:r>
    </w:p>
    <w:p w14:paraId="3A4755C0"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Placa</w:t>
      </w:r>
      <w:r w:rsidRPr="00CB0307">
        <w:rPr>
          <w:rFonts w:ascii="Gotham" w:hAnsi="Gotham" w:cs="Arial"/>
          <w:sz w:val="19"/>
          <w:szCs w:val="19"/>
        </w:rPr>
        <w:t>: Insignia o distintivo generalmente de metal expedido por el Ejecutivo del Estado para registro e identificación de un vehículo motorizado;</w:t>
      </w:r>
    </w:p>
    <w:p w14:paraId="3A4755C1"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Presidente</w:t>
      </w:r>
      <w:r w:rsidRPr="00CB0307">
        <w:rPr>
          <w:rFonts w:ascii="Gotham" w:hAnsi="Gotham" w:cs="Arial"/>
          <w:sz w:val="19"/>
          <w:szCs w:val="19"/>
        </w:rPr>
        <w:t>: Presidente Municipal de Tonalá, Jalisco;</w:t>
      </w:r>
    </w:p>
    <w:p w14:paraId="3A4755C2"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Reincidencia:</w:t>
      </w:r>
      <w:r w:rsidRPr="00CB0307">
        <w:rPr>
          <w:rFonts w:ascii="Gotham" w:hAnsi="Gotham" w:cs="Arial"/>
          <w:sz w:val="19"/>
          <w:szCs w:val="19"/>
        </w:rPr>
        <w:t xml:space="preserve"> La comisión de dos o más infracciones de carácter administrativo iguales, que son motivo de una conducta de riesgo y contravienen las disposiciones de la ley y su reglamento, en los periodos que se establezcan; </w:t>
      </w:r>
    </w:p>
    <w:p w14:paraId="3A4755C3"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Reglamento</w:t>
      </w:r>
      <w:r w:rsidRPr="00CB0307">
        <w:rPr>
          <w:rFonts w:ascii="Gotham" w:hAnsi="Gotham" w:cs="Arial"/>
          <w:sz w:val="19"/>
          <w:szCs w:val="19"/>
        </w:rPr>
        <w:t>: Reglamento de Movilidad, Seguridad Vial y Transporte del Municipio de Tonalá;</w:t>
      </w:r>
    </w:p>
    <w:p w14:paraId="3A4755C4"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Señal</w:t>
      </w:r>
      <w:r w:rsidRPr="00CB0307">
        <w:rPr>
          <w:rFonts w:ascii="Gotham" w:hAnsi="Gotham" w:cs="Arial"/>
          <w:sz w:val="19"/>
          <w:szCs w:val="19"/>
        </w:rPr>
        <w:t>: Son los dispositivos o elementos visuales o auditivos oficiales que mediante sonidos, símbolos o leyendas tienen por objeto prevenir a los usuarios sobre la existencia de peligros y su naturaleza, determinar las restricciones o prohibiciones que limiten sus movimientos sobre la vialidad, regulaciones sobre la superficie de rodamiento así como proporcionarles la información necesaria para facilitar sus desplazamientos</w:t>
      </w:r>
    </w:p>
    <w:p w14:paraId="3A4755C5"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Señalización Vial: </w:t>
      </w:r>
      <w:r w:rsidRPr="00CB0307">
        <w:rPr>
          <w:rFonts w:ascii="Gotham" w:hAnsi="Gotham" w:cs="Arial"/>
          <w:sz w:val="19"/>
          <w:szCs w:val="19"/>
        </w:rPr>
        <w:t xml:space="preserve">Conjunto de elementos y objetos visuales de contenido informativo, indicativo, restrictivo, preventivo, prohibitivo o de cualquier otro carácter que se colocan en la vialidad, con el objeto de brindar mayor seguridad a todos los sujetos de la movilidad; </w:t>
      </w:r>
    </w:p>
    <w:p w14:paraId="3A4755C6"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lastRenderedPageBreak/>
        <w:t>Sistema de bicicleta en red:</w:t>
      </w:r>
      <w:r w:rsidRPr="00CB0307">
        <w:rPr>
          <w:rFonts w:ascii="Gotham" w:hAnsi="Gotham" w:cs="Arial"/>
          <w:sz w:val="19"/>
          <w:szCs w:val="19"/>
        </w:rPr>
        <w:t xml:space="preserve"> Sistema de movilidad público o privado, que consiste en la oferta de renta de bicicletas por corta duración, en autoservicio, que ofrece la posibilidad de trayectos unidireccionales en la vía pública y con características de red, en cualquiera de sus modalidades de prestación;</w:t>
      </w:r>
    </w:p>
    <w:p w14:paraId="3A4755C7"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Sistema de transporte individual en red:</w:t>
      </w:r>
      <w:r w:rsidRPr="00CB0307">
        <w:rPr>
          <w:rFonts w:ascii="Gotham" w:hAnsi="Gotham" w:cs="Arial"/>
          <w:sz w:val="19"/>
          <w:szCs w:val="19"/>
        </w:rPr>
        <w:t xml:space="preserve"> Sistema de movilidad público o privado, a través de renta vehículos, diseñados para que el conductor viaje de pie o sentado, sin carrocería, con o sin anclaje, vinculados o no a una ampliación móvil, de propulsión humana y/o con motor de cualquier tipo, diferentes a la bicicleta. De manera enunciativa, pero no limitativa se deben tomar como tales los siguientes vehículos: patines del diablo, scooters y segways;</w:t>
      </w:r>
    </w:p>
    <w:p w14:paraId="3A4755C8"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Supervisión:</w:t>
      </w:r>
      <w:r w:rsidRPr="00CB0307">
        <w:rPr>
          <w:rFonts w:ascii="Gotham" w:hAnsi="Gotham" w:cs="Arial"/>
          <w:sz w:val="19"/>
          <w:szCs w:val="19"/>
        </w:rPr>
        <w:t xml:space="preserve"> Es la acción de vigilancia y verificación que realizan los agentes de movilidad en apego a las facultades y atribuciones establecidas en el presente ordenamiento;</w:t>
      </w:r>
    </w:p>
    <w:p w14:paraId="3A4755C9"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Seguridad vial: </w:t>
      </w:r>
      <w:r w:rsidRPr="00CB0307">
        <w:rPr>
          <w:rFonts w:ascii="Gotham" w:hAnsi="Gotham" w:cs="Arial"/>
          <w:sz w:val="19"/>
          <w:szCs w:val="19"/>
        </w:rPr>
        <w:t>Conjunto de políticas y sistemas orientados a controlar los factores de riesgo, con el fin de prevenir y reducir las muertes y lesiones graves ocasionadas por siniestros de tránsito.</w:t>
      </w:r>
    </w:p>
    <w:p w14:paraId="3A4755CA"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Transporte escolar</w:t>
      </w:r>
      <w:r w:rsidRPr="00CB0307">
        <w:rPr>
          <w:rFonts w:ascii="Gotham" w:hAnsi="Gotham" w:cs="Arial"/>
          <w:sz w:val="19"/>
          <w:szCs w:val="19"/>
        </w:rPr>
        <w:t>: El destinado al transporte de estudiantes de instituciones educativas, que operaran con el itinerario y horario que satisfaga las necesidades particulares de la institución educativa, el costo del servicio será el acordado entre éstas y el prestador del servicio, este servicio se presta en vehículos de acuerdo a la norma general de carácter técnico para transporte especializado;</w:t>
      </w:r>
    </w:p>
    <w:p w14:paraId="3A4755CB"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Transporte de personal: </w:t>
      </w:r>
      <w:r w:rsidRPr="00CB0307">
        <w:rPr>
          <w:rFonts w:ascii="Gotham" w:hAnsi="Gotham" w:cs="Arial"/>
          <w:sz w:val="19"/>
          <w:szCs w:val="19"/>
        </w:rPr>
        <w:t>Los destinados al transporte de trabajadores a las empresas o industrias en que laboran, así como de instituciones públicas o privadas; que se presta como un servicio por parte de las empresas. Siendo materia del contrato entre la empresa y el prestador las condiciones del mismo y este servicio se prestan en vehículos de acuerdo a la norma general de carácter técnico para transporte especializado;</w:t>
      </w:r>
    </w:p>
    <w:p w14:paraId="3A4755CC"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Transporte turístico</w:t>
      </w:r>
      <w:r w:rsidRPr="00CB0307">
        <w:rPr>
          <w:rFonts w:ascii="Gotham" w:hAnsi="Gotham" w:cs="Arial"/>
          <w:sz w:val="19"/>
          <w:szCs w:val="19"/>
        </w:rPr>
        <w:t>: Los destinados al transporte de pasajeros solamente a lugares de interés turístico, arqueológico, arquitectónico, panorámico o artístico, mediante la renta por horas o días del vehículo y conductor, no estando sujeto a horario y tarifa fija. Este servicio se presta en autobuses de distintas capacidades, acondicionados especialmente para brindar comodidad a los pasajeros;</w:t>
      </w:r>
    </w:p>
    <w:p w14:paraId="3A4755C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Transporte comunitario</w:t>
      </w:r>
      <w:r w:rsidRPr="00CB0307">
        <w:rPr>
          <w:rFonts w:ascii="Gotham" w:hAnsi="Gotham" w:cs="Arial"/>
          <w:sz w:val="19"/>
          <w:szCs w:val="19"/>
        </w:rPr>
        <w:t>: Servicio de transporte especializado que utiliza un vehículo de pequeña escala, que preferentemente utilicen tecnología sustentable, para desplazamientos cortos que se desarrollan dentro de las áreas de un polígono delimitado, cuyos límites coinciden con rutas troncales, complementarias y alimentadoras y fija puntos estratégicos para conectar a las personas usuarias con el servicio público de transporte de personas pasajeras, el cual debe atender las características y requisitos que para su operación establece la presente Ley y las disposiciones legales y normativas aplicables;</w:t>
      </w:r>
    </w:p>
    <w:p w14:paraId="3A4755CE"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Tránsito: </w:t>
      </w:r>
      <w:r w:rsidRPr="00CB0307">
        <w:rPr>
          <w:rFonts w:ascii="Gotham" w:hAnsi="Gotham" w:cs="Arial"/>
          <w:sz w:val="19"/>
          <w:szCs w:val="19"/>
        </w:rPr>
        <w:t>Acción o efecto de trasladarse de un lugar a otro por la vía pública;</w:t>
      </w:r>
    </w:p>
    <w:p w14:paraId="3A4755CF"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UMA: </w:t>
      </w:r>
      <w:r w:rsidRPr="00CB0307">
        <w:rPr>
          <w:rFonts w:ascii="Gotham" w:hAnsi="Gotham" w:cs="Arial"/>
          <w:sz w:val="19"/>
          <w:szCs w:val="19"/>
        </w:rPr>
        <w:t>Unidad de Medida y Actualización;</w:t>
      </w:r>
    </w:p>
    <w:p w14:paraId="3A4755D0"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Vehículo: </w:t>
      </w:r>
      <w:r w:rsidRPr="00CB0307">
        <w:rPr>
          <w:rFonts w:ascii="Gotham" w:hAnsi="Gotham" w:cs="Arial"/>
          <w:sz w:val="19"/>
          <w:szCs w:val="19"/>
        </w:rPr>
        <w:t>Modo de transporte diseñado para facilitar la movilidad y tránsito de personas o bienes por la vía pública, propulsado por una fuerza humana directa o asistido para ello por un motor de combustión interna, eléctrico o cualquier fuerza motriz;</w:t>
      </w:r>
    </w:p>
    <w:p w14:paraId="3A4755D1"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Vehículo pesado o de carga: </w:t>
      </w:r>
      <w:r w:rsidRPr="00CB0307">
        <w:rPr>
          <w:rFonts w:ascii="Gotham" w:hAnsi="Gotham" w:cs="Arial"/>
          <w:sz w:val="19"/>
          <w:szCs w:val="19"/>
        </w:rPr>
        <w:t>Vehículo automotor de operación libre, destinado al transporte de carga, mayor a dos ejes;</w:t>
      </w:r>
    </w:p>
    <w:p w14:paraId="3A4755D2"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Vía peatonal: </w:t>
      </w:r>
      <w:r w:rsidRPr="00CB0307">
        <w:rPr>
          <w:rFonts w:ascii="Gotham" w:hAnsi="Gotham" w:cs="Arial"/>
          <w:sz w:val="19"/>
          <w:szCs w:val="19"/>
        </w:rPr>
        <w:t>Aquella destinada a la circulación exclusiva o prioritaria de personas con discapacidad y peatones, en la que el acceso a automóviles, motocicletas y bicicletas está restringido según las reglas específicas. Estas incluyen:</w:t>
      </w:r>
    </w:p>
    <w:p w14:paraId="3A4755D3"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a) </w:t>
      </w:r>
      <w:r w:rsidRPr="00CB0307">
        <w:rPr>
          <w:rFonts w:ascii="Gotham" w:hAnsi="Gotham" w:cs="Arial"/>
          <w:sz w:val="19"/>
          <w:szCs w:val="19"/>
        </w:rPr>
        <w:tab/>
        <w:t>Cruces peatonales,</w:t>
      </w:r>
    </w:p>
    <w:p w14:paraId="3A4755D4"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lastRenderedPageBreak/>
        <w:t xml:space="preserve">b) </w:t>
      </w:r>
      <w:r w:rsidRPr="00CB0307">
        <w:rPr>
          <w:rFonts w:ascii="Gotham" w:hAnsi="Gotham" w:cs="Arial"/>
          <w:sz w:val="19"/>
          <w:szCs w:val="19"/>
        </w:rPr>
        <w:tab/>
        <w:t>Banquetas y rampas,</w:t>
      </w:r>
    </w:p>
    <w:p w14:paraId="3A4755D5"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c) </w:t>
      </w:r>
      <w:r w:rsidRPr="00CB0307">
        <w:rPr>
          <w:rFonts w:ascii="Gotham" w:hAnsi="Gotham" w:cs="Arial"/>
          <w:sz w:val="19"/>
          <w:szCs w:val="19"/>
        </w:rPr>
        <w:tab/>
        <w:t>Camellones e isletas,</w:t>
      </w:r>
    </w:p>
    <w:p w14:paraId="3A4755D6"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d) </w:t>
      </w:r>
      <w:r w:rsidRPr="00CB0307">
        <w:rPr>
          <w:rFonts w:ascii="Gotham" w:hAnsi="Gotham" w:cs="Arial"/>
          <w:sz w:val="19"/>
          <w:szCs w:val="19"/>
        </w:rPr>
        <w:tab/>
        <w:t>Plazas y parques,</w:t>
      </w:r>
    </w:p>
    <w:p w14:paraId="3A4755D7"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e) </w:t>
      </w:r>
      <w:r w:rsidRPr="00CB0307">
        <w:rPr>
          <w:rFonts w:ascii="Gotham" w:hAnsi="Gotham" w:cs="Arial"/>
          <w:sz w:val="19"/>
          <w:szCs w:val="19"/>
        </w:rPr>
        <w:tab/>
        <w:t>Puentes peatonales,</w:t>
      </w:r>
    </w:p>
    <w:p w14:paraId="3A4755D8"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f) </w:t>
      </w:r>
      <w:r w:rsidRPr="00CB0307">
        <w:rPr>
          <w:rFonts w:ascii="Gotham" w:hAnsi="Gotham" w:cs="Arial"/>
          <w:sz w:val="19"/>
          <w:szCs w:val="19"/>
        </w:rPr>
        <w:tab/>
        <w:t>Calles peatonales y andadores, y</w:t>
      </w:r>
    </w:p>
    <w:p w14:paraId="3A4755D9"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g) </w:t>
      </w:r>
      <w:r w:rsidRPr="00CB0307">
        <w:rPr>
          <w:rFonts w:ascii="Gotham" w:hAnsi="Gotham" w:cs="Arial"/>
          <w:sz w:val="19"/>
          <w:szCs w:val="19"/>
        </w:rPr>
        <w:tab/>
        <w:t>Calles de prioridad peatonal.</w:t>
      </w:r>
    </w:p>
    <w:p w14:paraId="3A4755DA"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Viaducto: </w:t>
      </w:r>
      <w:r w:rsidRPr="00CB0307">
        <w:rPr>
          <w:rFonts w:ascii="Gotham" w:hAnsi="Gotham" w:cs="Arial"/>
          <w:sz w:val="19"/>
          <w:szCs w:val="19"/>
        </w:rPr>
        <w:t>Las calles con amplitud de avenidas, con o sin camellón o faja separadora y sin intersección a nivel;</w:t>
      </w:r>
    </w:p>
    <w:p w14:paraId="3A4755DB"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Vialidad: </w:t>
      </w:r>
      <w:r w:rsidRPr="00CB0307">
        <w:rPr>
          <w:rFonts w:ascii="Gotham" w:hAnsi="Gotham" w:cs="Arial"/>
          <w:sz w:val="19"/>
          <w:szCs w:val="19"/>
        </w:rPr>
        <w:t>Conjunto de servicios relacionados con las vías públicas, así como las infraestructuras que las componen, que son utilizados por personas, bicicletas o vehículos automotores para trasladar de un lugar a otro;</w:t>
      </w:r>
    </w:p>
    <w:p w14:paraId="3A4755DC"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Vialidad primaria: </w:t>
      </w:r>
      <w:r w:rsidRPr="00CB0307">
        <w:rPr>
          <w:rFonts w:ascii="Gotham" w:hAnsi="Gotham" w:cs="Arial"/>
          <w:sz w:val="19"/>
          <w:szCs w:val="19"/>
        </w:rPr>
        <w:t>Aquella vía principal para el movimiento de grandes volúmenes de tránsito, entre las áreas que forman parte del sistema de red vial en un centro de población;</w:t>
      </w:r>
    </w:p>
    <w:p w14:paraId="3A4755DD"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Vialidad secundaria: </w:t>
      </w:r>
      <w:r w:rsidRPr="00CB0307">
        <w:rPr>
          <w:rFonts w:ascii="Gotham" w:hAnsi="Gotham" w:cs="Arial"/>
          <w:sz w:val="19"/>
          <w:szCs w:val="19"/>
        </w:rPr>
        <w:t>Son las que permiten el movimiento del tránsito entre áreas o partes de la ciudad y que dan servicio directo a las vías primarias;</w:t>
      </w:r>
    </w:p>
    <w:p w14:paraId="3A4755DE"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Vía rápida: </w:t>
      </w:r>
      <w:r w:rsidRPr="00CB0307">
        <w:rPr>
          <w:rFonts w:ascii="Gotham" w:hAnsi="Gotham" w:cs="Arial"/>
          <w:sz w:val="19"/>
          <w:szCs w:val="19"/>
        </w:rPr>
        <w:t>Vialidad que permite la libre circulación de vehículos con intersecciones a desnivel con otras vías de circulación;</w:t>
      </w:r>
    </w:p>
    <w:p w14:paraId="3A4755DF"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Vías públicas: </w:t>
      </w:r>
      <w:r w:rsidRPr="00CB0307">
        <w:rPr>
          <w:rFonts w:ascii="Gotham" w:hAnsi="Gotham" w:cs="Arial"/>
          <w:sz w:val="19"/>
          <w:szCs w:val="19"/>
        </w:rPr>
        <w:t xml:space="preserve">Superficies del dominio público que se utilizan para el tránsito de los sujetos de la movilidad; </w:t>
      </w:r>
    </w:p>
    <w:p w14:paraId="3A4755E0"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Vía de acceso controlado: </w:t>
      </w:r>
      <w:r w:rsidRPr="00CB0307">
        <w:rPr>
          <w:rFonts w:ascii="Gotham" w:hAnsi="Gotham" w:cs="Arial"/>
          <w:sz w:val="19"/>
          <w:szCs w:val="19"/>
        </w:rPr>
        <w:t>Son vialidades para el tránsito directo en las cuales se tienen accesos limitados, definidos desde que se diseña la vía;</w:t>
      </w:r>
    </w:p>
    <w:p w14:paraId="3A4755E1"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Usuario del transporte público: </w:t>
      </w:r>
      <w:r w:rsidRPr="00CB0307">
        <w:rPr>
          <w:rFonts w:ascii="Gotham" w:hAnsi="Gotham" w:cs="Arial"/>
          <w:sz w:val="19"/>
          <w:szCs w:val="19"/>
        </w:rPr>
        <w:t>Persona que hace uso del servicio público de transporte de pasajeros en cualquiera de sus modalidades del equipamiento auxiliar de éstos y de las vialidades;</w:t>
      </w:r>
    </w:p>
    <w:p w14:paraId="3A4755E2"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Zonas especiales: </w:t>
      </w:r>
      <w:r w:rsidRPr="00CB0307">
        <w:rPr>
          <w:rFonts w:ascii="Gotham" w:hAnsi="Gotham" w:cs="Arial"/>
          <w:sz w:val="19"/>
          <w:szCs w:val="19"/>
        </w:rPr>
        <w:t>Aquellas zonas cuyas normas de control de urbanización son distintas al contexto ordinario, en algunos casos son señaladas en los planes parciales como áreas de actuación como áreas con potencial de desarrollo, áreas de protección patrimonial o áreas de restricción. También se define como un polígono o área donde se encuentran equipamientos o infraestructuras públicas que por sus características generan necesidades extraordinarias a contexto inmediato, por ejemplo, polígonos con servicio de bicicleta en red, andadores peatonales, corredores gastronómicos, entre otros.</w:t>
      </w:r>
    </w:p>
    <w:p w14:paraId="3A4755E3"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b/>
          <w:sz w:val="19"/>
          <w:szCs w:val="19"/>
        </w:rPr>
        <w:t xml:space="preserve">Zona 30: </w:t>
      </w:r>
      <w:r w:rsidRPr="00CB0307">
        <w:rPr>
          <w:rFonts w:ascii="Gotham" w:hAnsi="Gotham" w:cs="Arial"/>
          <w:sz w:val="19"/>
          <w:szCs w:val="19"/>
        </w:rPr>
        <w:t xml:space="preserve">Es el área de accesibilidad determinada con señalamientos y dispositivos viales para reducir la velocidad a un máximo de treinta kilómetros por hora, otorgando a peatones, ciclistas y usuarios del transporte público, preferencia permanente sobre automóviles, motocicletas y cualquier otro tipo de vehículo motorizado; </w:t>
      </w:r>
    </w:p>
    <w:p w14:paraId="3A4755E4" w14:textId="77777777" w:rsidR="009B5E39" w:rsidRPr="00CB0307" w:rsidRDefault="009B5E39" w:rsidP="009B5E39">
      <w:pPr>
        <w:spacing w:after="120"/>
        <w:ind w:left="1134" w:right="283"/>
        <w:jc w:val="both"/>
        <w:rPr>
          <w:rFonts w:ascii="Gotham" w:hAnsi="Gotham" w:cs="Arial"/>
          <w:b/>
          <w:sz w:val="19"/>
          <w:szCs w:val="19"/>
        </w:rPr>
      </w:pPr>
      <w:r w:rsidRPr="00CB0307">
        <w:rPr>
          <w:rFonts w:ascii="Gotham" w:hAnsi="Gotham" w:cs="Arial"/>
          <w:b/>
          <w:sz w:val="19"/>
          <w:szCs w:val="19"/>
        </w:rPr>
        <w:t xml:space="preserve">Zona prohibida: </w:t>
      </w:r>
      <w:r w:rsidRPr="00CB0307">
        <w:rPr>
          <w:rFonts w:ascii="Gotham" w:hAnsi="Gotham" w:cs="Arial"/>
          <w:sz w:val="19"/>
          <w:szCs w:val="19"/>
        </w:rPr>
        <w:t xml:space="preserve">Los lugares en donde se encuentren debidamente con los señalamientos prohibitivos de circulación y/o estacionamiento; y </w:t>
      </w:r>
    </w:p>
    <w:p w14:paraId="3A4755E5" w14:textId="77777777" w:rsidR="009B5E39" w:rsidRDefault="009B5E39" w:rsidP="009B5E39">
      <w:pPr>
        <w:ind w:left="1134" w:right="283"/>
        <w:jc w:val="both"/>
        <w:rPr>
          <w:rFonts w:ascii="Gotham" w:hAnsi="Gotham" w:cs="Arial"/>
          <w:sz w:val="19"/>
          <w:szCs w:val="19"/>
        </w:rPr>
      </w:pPr>
      <w:r w:rsidRPr="00CB0307">
        <w:rPr>
          <w:rFonts w:ascii="Gotham" w:hAnsi="Gotham" w:cs="Arial"/>
          <w:b/>
          <w:sz w:val="19"/>
          <w:szCs w:val="19"/>
        </w:rPr>
        <w:t xml:space="preserve">Zona prohibida para vehículos pesados o de carga: </w:t>
      </w:r>
      <w:r w:rsidRPr="00CB0307">
        <w:rPr>
          <w:rFonts w:ascii="Gotham" w:hAnsi="Gotham" w:cs="Arial"/>
          <w:sz w:val="19"/>
          <w:szCs w:val="19"/>
        </w:rPr>
        <w:t>Es el área en las vías públicas por donde se restringe el paso de vehículos pesados o de ciertas dimensiones y que esencialmente lo constituyen los carriles centrales de las avenidas, el tercer carril del lado izquierdo, el segundo carril cuando no sea usado exclusivamente para rebasar y los lugares en donde se encuentren señalamientos prohibitivos de circulación a vehículos pesados.</w:t>
      </w:r>
    </w:p>
    <w:p w14:paraId="3A4755E6" w14:textId="77777777" w:rsidR="009B5E39" w:rsidRDefault="009B5E39" w:rsidP="009B5E39">
      <w:pPr>
        <w:ind w:left="1134" w:right="283"/>
        <w:jc w:val="both"/>
        <w:rPr>
          <w:rFonts w:ascii="Gotham" w:hAnsi="Gotham" w:cs="Arial"/>
          <w:b/>
          <w:sz w:val="19"/>
          <w:szCs w:val="19"/>
        </w:rPr>
      </w:pPr>
    </w:p>
    <w:p w14:paraId="3A4755E7" w14:textId="77777777" w:rsidR="009B5E39" w:rsidRPr="00CB0307" w:rsidRDefault="009B5E39" w:rsidP="009B5E39">
      <w:pPr>
        <w:ind w:left="1134" w:right="283"/>
        <w:jc w:val="both"/>
        <w:rPr>
          <w:rFonts w:ascii="Gotham" w:hAnsi="Gotham" w:cs="Arial"/>
          <w:b/>
          <w:sz w:val="19"/>
          <w:szCs w:val="19"/>
        </w:rPr>
      </w:pPr>
    </w:p>
    <w:p w14:paraId="3A4755E8"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II</w:t>
      </w:r>
    </w:p>
    <w:p w14:paraId="3A4755E9"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LAS AUTORIDADES Y SUS ATRIBUCIONES</w:t>
      </w:r>
    </w:p>
    <w:p w14:paraId="3A4755EA" w14:textId="77777777" w:rsidR="009B5E39" w:rsidRPr="00CB0307" w:rsidRDefault="009B5E39" w:rsidP="009B5E39">
      <w:pPr>
        <w:ind w:left="284" w:right="283"/>
        <w:rPr>
          <w:rFonts w:ascii="Gotham" w:hAnsi="Gotham" w:cs="Arial"/>
          <w:sz w:val="19"/>
          <w:szCs w:val="19"/>
        </w:rPr>
      </w:pPr>
    </w:p>
    <w:p w14:paraId="3A4755EB"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w:t>
      </w:r>
      <w:r w:rsidRPr="00CB0307">
        <w:rPr>
          <w:rFonts w:ascii="Gotham" w:hAnsi="Gotham" w:cs="Arial"/>
          <w:sz w:val="19"/>
          <w:szCs w:val="19"/>
        </w:rPr>
        <w:t xml:space="preserve">. Son autoridades responsables de la aplicación del presente Reglamento, en el ámbito de sus respectivas competencias: </w:t>
      </w:r>
    </w:p>
    <w:p w14:paraId="3A4755EC" w14:textId="77777777" w:rsidR="009B5E39" w:rsidRPr="00CB0307" w:rsidRDefault="009B5E39" w:rsidP="009B5E39">
      <w:pPr>
        <w:ind w:left="284" w:right="283"/>
        <w:jc w:val="both"/>
        <w:rPr>
          <w:rFonts w:ascii="Gotham" w:hAnsi="Gotham" w:cs="Arial"/>
          <w:sz w:val="19"/>
          <w:szCs w:val="19"/>
        </w:rPr>
      </w:pPr>
    </w:p>
    <w:p w14:paraId="3A4755E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I</w:t>
      </w:r>
      <w:r>
        <w:rPr>
          <w:rFonts w:ascii="Gotham" w:hAnsi="Gotham" w:cs="Arial"/>
          <w:sz w:val="19"/>
          <w:szCs w:val="19"/>
        </w:rPr>
        <w:t>.</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 xml:space="preserve">El Ayuntamiento; </w:t>
      </w:r>
    </w:p>
    <w:p w14:paraId="3A4755E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II</w:t>
      </w:r>
      <w:r>
        <w:rPr>
          <w:rFonts w:ascii="Gotham" w:hAnsi="Gotham" w:cs="Arial"/>
          <w:sz w:val="19"/>
          <w:szCs w:val="19"/>
        </w:rPr>
        <w:t>.</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 xml:space="preserve">El Presidente Municipal; </w:t>
      </w:r>
    </w:p>
    <w:p w14:paraId="3A4755E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III</w:t>
      </w:r>
      <w:r>
        <w:rPr>
          <w:rFonts w:ascii="Gotham" w:hAnsi="Gotham" w:cs="Arial"/>
          <w:sz w:val="19"/>
          <w:szCs w:val="19"/>
        </w:rPr>
        <w:t>.</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El Coordinador del Gabinete de Seguridad, Prevención, Servicios de Emergencia y Movilidad;</w:t>
      </w:r>
    </w:p>
    <w:p w14:paraId="3A4755F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La Dirección de Planeación, Movilidad y Transporte;</w:t>
      </w:r>
    </w:p>
    <w:p w14:paraId="3A4755F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Dirección de Ecología y Cambio Climático;</w:t>
      </w:r>
    </w:p>
    <w:p w14:paraId="3A4755F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 xml:space="preserve">La Jefatura de Agentes de Movilidad, aunado con su personal operativo de Agentes de Movilidad; </w:t>
      </w:r>
    </w:p>
    <w:p w14:paraId="3A4755F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La Dirección de Padrón y Licencias;</w:t>
      </w:r>
    </w:p>
    <w:p w14:paraId="3A4755F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 xml:space="preserve">La Tesorería Municipal; </w:t>
      </w:r>
    </w:p>
    <w:p w14:paraId="3A4755F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 xml:space="preserve">El Juez Cívico; y </w:t>
      </w:r>
    </w:p>
    <w:p w14:paraId="3A4755F6"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X. </w:t>
      </w:r>
      <w:r>
        <w:rPr>
          <w:rFonts w:ascii="Gotham" w:hAnsi="Gotham" w:cs="Arial"/>
          <w:sz w:val="19"/>
          <w:szCs w:val="19"/>
        </w:rPr>
        <w:tab/>
      </w:r>
      <w:r w:rsidRPr="00CB0307">
        <w:rPr>
          <w:rFonts w:ascii="Gotham" w:hAnsi="Gotham" w:cs="Arial"/>
          <w:sz w:val="19"/>
          <w:szCs w:val="19"/>
        </w:rPr>
        <w:t>Las demás que por motivo de sus funciones deban aplicar este Reglamento.</w:t>
      </w:r>
    </w:p>
    <w:p w14:paraId="3A4755F7" w14:textId="77777777" w:rsidR="009B5E39" w:rsidRDefault="009B5E39" w:rsidP="009B5E39">
      <w:pPr>
        <w:ind w:left="284" w:right="283"/>
        <w:jc w:val="both"/>
        <w:rPr>
          <w:rFonts w:ascii="Gotham" w:hAnsi="Gotham" w:cs="Arial"/>
          <w:b/>
          <w:sz w:val="19"/>
          <w:szCs w:val="19"/>
        </w:rPr>
      </w:pPr>
    </w:p>
    <w:p w14:paraId="3A4755F8"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6</w:t>
      </w:r>
      <w:r w:rsidRPr="00CB0307">
        <w:rPr>
          <w:rFonts w:ascii="Gotham" w:hAnsi="Gotham" w:cs="Arial"/>
          <w:sz w:val="19"/>
          <w:szCs w:val="19"/>
        </w:rPr>
        <w:t>. Las entidades públicas o privadas a las que mediante contrato otorgados por el Ayuntamiento le sean otorgadas funciones o facultades en materia de movilidad previstas en el presente Reglamento, podrán fungir como organismos de apoyo a las autoridades municipales, sin que dicha delegación excluya la posibilidad de su ejercicio directo por el Municipio.</w:t>
      </w:r>
    </w:p>
    <w:p w14:paraId="3A4755F9" w14:textId="77777777" w:rsidR="009B5E39" w:rsidRPr="00CB0307" w:rsidRDefault="009B5E39" w:rsidP="009B5E39">
      <w:pPr>
        <w:ind w:left="284" w:right="283"/>
        <w:jc w:val="both"/>
        <w:rPr>
          <w:rFonts w:ascii="Gotham" w:hAnsi="Gotham" w:cs="Arial"/>
          <w:b/>
          <w:sz w:val="19"/>
          <w:szCs w:val="19"/>
        </w:rPr>
      </w:pPr>
    </w:p>
    <w:p w14:paraId="3A4755FA" w14:textId="77777777" w:rsidR="009B5E39" w:rsidRPr="00CB0307" w:rsidRDefault="009B5E39" w:rsidP="009B5E39">
      <w:pPr>
        <w:ind w:left="284" w:right="283"/>
        <w:jc w:val="both"/>
        <w:rPr>
          <w:rFonts w:ascii="Gotham" w:hAnsi="Gotham" w:cs="Arial"/>
          <w:bCs/>
          <w:sz w:val="19"/>
          <w:szCs w:val="19"/>
        </w:rPr>
      </w:pPr>
      <w:r w:rsidRPr="00CB0307">
        <w:rPr>
          <w:rFonts w:ascii="Gotham" w:hAnsi="Gotham" w:cs="Arial"/>
          <w:b/>
          <w:sz w:val="19"/>
          <w:szCs w:val="19"/>
        </w:rPr>
        <w:t>Artículo 7.</w:t>
      </w:r>
      <w:r w:rsidRPr="00CB0307">
        <w:rPr>
          <w:rFonts w:ascii="Gotham" w:hAnsi="Gotham" w:cs="Arial"/>
          <w:bCs/>
          <w:sz w:val="19"/>
          <w:szCs w:val="19"/>
        </w:rPr>
        <w:t xml:space="preserve"> Conforme a la Ley General de Movilidad y Seguridad Vial, en armonía con la Ley de Movilidad, Seguridad Vial y Transporte del Estado de Jalisco; corresponde a los municipios las siguientes atribuciones:</w:t>
      </w:r>
    </w:p>
    <w:p w14:paraId="3A4755FB" w14:textId="77777777" w:rsidR="009B5E39" w:rsidRPr="00CB0307" w:rsidRDefault="009B5E39" w:rsidP="009B5E39">
      <w:pPr>
        <w:ind w:left="284" w:right="283"/>
        <w:jc w:val="both"/>
        <w:rPr>
          <w:rFonts w:ascii="Gotham" w:hAnsi="Gotham" w:cs="Arial"/>
          <w:bCs/>
          <w:sz w:val="19"/>
          <w:szCs w:val="19"/>
        </w:rPr>
      </w:pPr>
    </w:p>
    <w:p w14:paraId="3A4755FC"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 </w:t>
      </w:r>
      <w:r>
        <w:rPr>
          <w:rFonts w:ascii="Gotham" w:hAnsi="Gotham" w:cs="Arial"/>
          <w:bCs/>
          <w:sz w:val="19"/>
          <w:szCs w:val="19"/>
        </w:rPr>
        <w:tab/>
      </w:r>
      <w:r w:rsidRPr="00CB0307">
        <w:rPr>
          <w:rFonts w:ascii="Gotham" w:hAnsi="Gotham" w:cs="Arial"/>
          <w:bCs/>
          <w:sz w:val="19"/>
          <w:szCs w:val="19"/>
        </w:rPr>
        <w:t>Participar en el Sistema Nacional de Movilidad y Seguridad Vial, de conformidad con lo establecido en el presente ordenamiento y los lineamientos que establezca el Sistema Nacional;</w:t>
      </w:r>
    </w:p>
    <w:p w14:paraId="3A4755FD"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II. </w:t>
      </w:r>
      <w:r>
        <w:rPr>
          <w:rFonts w:ascii="Gotham" w:hAnsi="Gotham" w:cs="Arial"/>
          <w:bCs/>
          <w:sz w:val="19"/>
          <w:szCs w:val="19"/>
        </w:rPr>
        <w:tab/>
      </w:r>
      <w:r w:rsidRPr="00CB0307">
        <w:rPr>
          <w:rFonts w:ascii="Gotham" w:hAnsi="Gotham" w:cs="Arial"/>
          <w:bCs/>
          <w:sz w:val="19"/>
          <w:szCs w:val="19"/>
        </w:rPr>
        <w:t>Formular, aprobar, administrar y ejecutar los programas municipales en materia de movilidad y seguridad vial, conforme a lo establecido en el Plan Nacional de Desarrollo, la Estrategia Nacional, los programas de la entidad federativa correspondiente y los Convenios de Coordinación Metropolitanos; así como conducir, evaluar y vigilar la política conforme a lo establecido por esta Ley, sus principios y jerarquía de la movilidad;</w:t>
      </w:r>
    </w:p>
    <w:p w14:paraId="3A4755FE"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III. </w:t>
      </w:r>
      <w:r>
        <w:rPr>
          <w:rFonts w:ascii="Gotham" w:hAnsi="Gotham" w:cs="Arial"/>
          <w:bCs/>
          <w:sz w:val="19"/>
          <w:szCs w:val="19"/>
        </w:rPr>
        <w:tab/>
      </w:r>
      <w:r w:rsidRPr="00CB0307">
        <w:rPr>
          <w:rFonts w:ascii="Gotham" w:hAnsi="Gotham" w:cs="Arial"/>
          <w:bCs/>
          <w:sz w:val="19"/>
          <w:szCs w:val="19"/>
        </w:rPr>
        <w:t>Vigilar el cumplimiento de las Normas Oficiales Mexicanas expedidas por la Federación, en materia de movilidad y seguridad vial;</w:t>
      </w:r>
    </w:p>
    <w:p w14:paraId="3A4755FF"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IV. </w:t>
      </w:r>
      <w:r>
        <w:rPr>
          <w:rFonts w:ascii="Gotham" w:hAnsi="Gotham" w:cs="Arial"/>
          <w:bCs/>
          <w:sz w:val="19"/>
          <w:szCs w:val="19"/>
        </w:rPr>
        <w:tab/>
      </w:r>
      <w:r w:rsidRPr="00CB0307">
        <w:rPr>
          <w:rFonts w:ascii="Gotham" w:hAnsi="Gotham" w:cs="Arial"/>
          <w:bCs/>
          <w:sz w:val="19"/>
          <w:szCs w:val="19"/>
        </w:rPr>
        <w:t>Participar con las autoridades federales, de las entidades federativas y de otros municipios en la planeación, regulación, instrumentación e implementación de los Convenios de Coordinación Metropolitanos;</w:t>
      </w:r>
    </w:p>
    <w:p w14:paraId="3A475600"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 </w:t>
      </w:r>
      <w:r>
        <w:rPr>
          <w:rFonts w:ascii="Gotham" w:hAnsi="Gotham" w:cs="Arial"/>
          <w:bCs/>
          <w:sz w:val="19"/>
          <w:szCs w:val="19"/>
        </w:rPr>
        <w:tab/>
      </w:r>
      <w:r w:rsidRPr="00CB0307">
        <w:rPr>
          <w:rFonts w:ascii="Gotham" w:hAnsi="Gotham" w:cs="Arial"/>
          <w:bCs/>
          <w:sz w:val="19"/>
          <w:szCs w:val="19"/>
        </w:rPr>
        <w:t>Constituir las instancias locales y de coordinación metropolitana para la implementación de acciones integrales, acciones afirmativas transversales en materia de movilidad, en apego a esta Ley y demás disposiciones legales;</w:t>
      </w:r>
    </w:p>
    <w:p w14:paraId="3A475601"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VI. </w:t>
      </w:r>
      <w:r>
        <w:rPr>
          <w:rFonts w:ascii="Gotham" w:hAnsi="Gotham" w:cs="Arial"/>
          <w:bCs/>
          <w:sz w:val="19"/>
          <w:szCs w:val="19"/>
        </w:rPr>
        <w:tab/>
      </w:r>
      <w:r w:rsidRPr="00CB0307">
        <w:rPr>
          <w:rFonts w:ascii="Gotham" w:hAnsi="Gotham" w:cs="Arial"/>
          <w:bCs/>
          <w:sz w:val="19"/>
          <w:szCs w:val="19"/>
        </w:rPr>
        <w:t>Celebrar convenios de coordinación con la Federación, otras entidades federativas, municipios y demarcaciones territoriales de la Ciudad de México para la implementación de acciones específicas, obras e inversiones en la materia, así como aquellas que prioricen la movilidad de los grupos en situación de vulnerabilidad;</w:t>
      </w:r>
    </w:p>
    <w:p w14:paraId="3A475602"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lastRenderedPageBreak/>
        <w:t xml:space="preserve">VII. </w:t>
      </w:r>
      <w:r>
        <w:rPr>
          <w:rFonts w:ascii="Gotham" w:hAnsi="Gotham" w:cs="Arial"/>
          <w:bCs/>
          <w:sz w:val="19"/>
          <w:szCs w:val="19"/>
        </w:rPr>
        <w:tab/>
      </w:r>
      <w:r w:rsidRPr="00CB0307">
        <w:rPr>
          <w:rFonts w:ascii="Gotham" w:hAnsi="Gotham" w:cs="Arial"/>
          <w:bCs/>
          <w:sz w:val="19"/>
          <w:szCs w:val="19"/>
        </w:rPr>
        <w:t>Facilitar y participar en los sistemas de movilidad de las entidades federativas, en los términos que establece esta Ley, garantizando que las vías proporcionen un nivel de servicio adecuado para todas las personas, considerando su interseccionalidad, sin importar el modo de transporte que utilicen;</w:t>
      </w:r>
    </w:p>
    <w:p w14:paraId="3A475603"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VIII. </w:t>
      </w:r>
      <w:r>
        <w:rPr>
          <w:rFonts w:ascii="Gotham" w:hAnsi="Gotham" w:cs="Arial"/>
          <w:bCs/>
          <w:sz w:val="19"/>
          <w:szCs w:val="19"/>
        </w:rPr>
        <w:tab/>
      </w:r>
      <w:r w:rsidRPr="00CB0307">
        <w:rPr>
          <w:rFonts w:ascii="Gotham" w:hAnsi="Gotham" w:cs="Arial"/>
          <w:bCs/>
          <w:sz w:val="19"/>
          <w:szCs w:val="19"/>
        </w:rPr>
        <w:t>Desarrollar estrategias, programas y proyectos para la movilidad, fomentando y priorizando el uso del transporte público y los modos no motorizados;</w:t>
      </w:r>
    </w:p>
    <w:p w14:paraId="3A475604"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IX. </w:t>
      </w:r>
      <w:r>
        <w:rPr>
          <w:rFonts w:ascii="Gotham" w:hAnsi="Gotham" w:cs="Arial"/>
          <w:bCs/>
          <w:sz w:val="19"/>
          <w:szCs w:val="19"/>
        </w:rPr>
        <w:tab/>
      </w:r>
      <w:r w:rsidRPr="00CB0307">
        <w:rPr>
          <w:rFonts w:ascii="Gotham" w:hAnsi="Gotham" w:cs="Arial"/>
          <w:bCs/>
          <w:sz w:val="19"/>
          <w:szCs w:val="19"/>
        </w:rPr>
        <w:t>Asignar, gestionar y administrar recursos para apoyar e implementar acciones y proyectos en materia de movilidad, su infraestructura, servicios auxiliares, operación y capacitación de las personas operadoras, transporte y seguridad vial, promoviendo una mejor utilización de las vías conforme a la jerarquía de la movilidad;</w:t>
      </w:r>
    </w:p>
    <w:p w14:paraId="3A475605"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 </w:t>
      </w:r>
      <w:r>
        <w:rPr>
          <w:rFonts w:ascii="Gotham" w:hAnsi="Gotham" w:cs="Arial"/>
          <w:bCs/>
          <w:sz w:val="19"/>
          <w:szCs w:val="19"/>
        </w:rPr>
        <w:tab/>
      </w:r>
      <w:r w:rsidRPr="00CB0307">
        <w:rPr>
          <w:rFonts w:ascii="Gotham" w:hAnsi="Gotham" w:cs="Arial"/>
          <w:bCs/>
          <w:sz w:val="19"/>
          <w:szCs w:val="19"/>
        </w:rPr>
        <w:t>Establecer los mecanismos necesarios para mejorar la seguridad vial, de conformidad con la jerarquía de la movilidad y sus necesidades;</w:t>
      </w:r>
    </w:p>
    <w:p w14:paraId="3A475606"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XI. </w:t>
      </w:r>
      <w:r>
        <w:rPr>
          <w:rFonts w:ascii="Gotham" w:hAnsi="Gotham" w:cs="Arial"/>
          <w:bCs/>
          <w:sz w:val="19"/>
          <w:szCs w:val="19"/>
        </w:rPr>
        <w:tab/>
      </w:r>
      <w:r w:rsidRPr="00CB0307">
        <w:rPr>
          <w:rFonts w:ascii="Gotham" w:hAnsi="Gotham" w:cs="Arial"/>
          <w:bCs/>
          <w:sz w:val="19"/>
          <w:szCs w:val="19"/>
        </w:rPr>
        <w:t>Realizar estudios para el diseño, modificación y adecuación de las vías en los centros de población, de conformidad con lo establecido en esta Ley y las necesidades territoriales;</w:t>
      </w:r>
    </w:p>
    <w:p w14:paraId="3A475607"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XII. </w:t>
      </w:r>
      <w:r>
        <w:rPr>
          <w:rFonts w:ascii="Gotham" w:hAnsi="Gotham" w:cs="Arial"/>
          <w:bCs/>
          <w:sz w:val="19"/>
          <w:szCs w:val="19"/>
        </w:rPr>
        <w:tab/>
      </w:r>
      <w:r w:rsidRPr="00CB0307">
        <w:rPr>
          <w:rFonts w:ascii="Gotham" w:hAnsi="Gotham" w:cs="Arial"/>
          <w:bCs/>
          <w:sz w:val="19"/>
          <w:szCs w:val="19"/>
        </w:rPr>
        <w:t>Implementar dispositivos para el control del tránsito que deban ser utilizados en los centros de población de su competencia;</w:t>
      </w:r>
    </w:p>
    <w:p w14:paraId="3A475608"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XIII. </w:t>
      </w:r>
      <w:r>
        <w:rPr>
          <w:rFonts w:ascii="Gotham" w:hAnsi="Gotham" w:cs="Arial"/>
          <w:bCs/>
          <w:sz w:val="19"/>
          <w:szCs w:val="19"/>
        </w:rPr>
        <w:tab/>
      </w:r>
      <w:r w:rsidRPr="00CB0307">
        <w:rPr>
          <w:rFonts w:ascii="Gotham" w:hAnsi="Gotham" w:cs="Arial"/>
          <w:bCs/>
          <w:sz w:val="19"/>
          <w:szCs w:val="19"/>
        </w:rPr>
        <w:t>Establecer la categoría, sentidos de circulación, señalética y demás características de las vías en su territorio;</w:t>
      </w:r>
    </w:p>
    <w:p w14:paraId="3A475609"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XIV. </w:t>
      </w:r>
      <w:r>
        <w:rPr>
          <w:rFonts w:ascii="Gotham" w:hAnsi="Gotham" w:cs="Arial"/>
          <w:bCs/>
          <w:sz w:val="19"/>
          <w:szCs w:val="19"/>
        </w:rPr>
        <w:tab/>
      </w:r>
      <w:r w:rsidRPr="00CB0307">
        <w:rPr>
          <w:rFonts w:ascii="Gotham" w:hAnsi="Gotham" w:cs="Arial"/>
          <w:bCs/>
          <w:sz w:val="19"/>
          <w:szCs w:val="19"/>
        </w:rPr>
        <w:t>Expedir las autorizaciones, licencias o permisos para la realización de obras de infraestructura para la movilidad, con estricto apego a las normas jurídicas locales, planes o programas;</w:t>
      </w:r>
    </w:p>
    <w:p w14:paraId="3A47560A"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XV. </w:t>
      </w:r>
      <w:r>
        <w:rPr>
          <w:rFonts w:ascii="Gotham" w:hAnsi="Gotham" w:cs="Arial"/>
          <w:bCs/>
          <w:sz w:val="19"/>
          <w:szCs w:val="19"/>
        </w:rPr>
        <w:tab/>
      </w:r>
      <w:r w:rsidRPr="00CB0307">
        <w:rPr>
          <w:rFonts w:ascii="Gotham" w:hAnsi="Gotham" w:cs="Arial"/>
          <w:bCs/>
          <w:sz w:val="19"/>
          <w:szCs w:val="19"/>
        </w:rPr>
        <w:t>Realizar estudios de impacto de movilidad en el ámbito de su competencia, incluyendo criterios de sustentabilidad, perspectiva de género, entre otros que se consideren relevantes;</w:t>
      </w:r>
    </w:p>
    <w:p w14:paraId="3A47560B"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XVI. </w:t>
      </w:r>
      <w:r>
        <w:rPr>
          <w:rFonts w:ascii="Gotham" w:hAnsi="Gotham" w:cs="Arial"/>
          <w:bCs/>
          <w:sz w:val="19"/>
          <w:szCs w:val="19"/>
        </w:rPr>
        <w:tab/>
      </w:r>
      <w:r w:rsidRPr="00CB0307">
        <w:rPr>
          <w:rFonts w:ascii="Gotham" w:hAnsi="Gotham" w:cs="Arial"/>
          <w:bCs/>
          <w:sz w:val="19"/>
          <w:szCs w:val="19"/>
        </w:rPr>
        <w:t>Autorizar las áreas de transferencia para el transporte en su territorio;</w:t>
      </w:r>
    </w:p>
    <w:p w14:paraId="3A47560C"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XVII. </w:t>
      </w:r>
      <w:r>
        <w:rPr>
          <w:rFonts w:ascii="Gotham" w:hAnsi="Gotham" w:cs="Arial"/>
          <w:bCs/>
          <w:sz w:val="19"/>
          <w:szCs w:val="19"/>
        </w:rPr>
        <w:tab/>
      </w:r>
      <w:r w:rsidRPr="00CB0307">
        <w:rPr>
          <w:rFonts w:ascii="Gotham" w:hAnsi="Gotham" w:cs="Arial"/>
          <w:bCs/>
          <w:sz w:val="19"/>
          <w:szCs w:val="19"/>
        </w:rPr>
        <w:t>Regular el servicio del estacionamiento en vía pública;</w:t>
      </w:r>
    </w:p>
    <w:p w14:paraId="3A47560D"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XVIII. </w:t>
      </w:r>
      <w:r>
        <w:rPr>
          <w:rFonts w:ascii="Gotham" w:hAnsi="Gotham" w:cs="Arial"/>
          <w:bCs/>
          <w:sz w:val="19"/>
          <w:szCs w:val="19"/>
        </w:rPr>
        <w:tab/>
      </w:r>
      <w:r w:rsidRPr="00CB0307">
        <w:rPr>
          <w:rFonts w:ascii="Gotham" w:hAnsi="Gotham" w:cs="Arial"/>
          <w:bCs/>
          <w:sz w:val="19"/>
          <w:szCs w:val="19"/>
        </w:rPr>
        <w:t>Impulsar la accesibilidad e inclusión de personas con discapacidad y personas con movilidad limitada a los servicios públicos de transporte de pasajeros, así como su desplazamiento seguro y efectivo en las vías a través de infraestructura adecuada;</w:t>
      </w:r>
    </w:p>
    <w:p w14:paraId="3A47560E"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XIX. </w:t>
      </w:r>
      <w:r>
        <w:rPr>
          <w:rFonts w:ascii="Gotham" w:hAnsi="Gotham" w:cs="Arial"/>
          <w:bCs/>
          <w:sz w:val="19"/>
          <w:szCs w:val="19"/>
        </w:rPr>
        <w:tab/>
      </w:r>
      <w:r w:rsidRPr="00CB0307">
        <w:rPr>
          <w:rFonts w:ascii="Gotham" w:hAnsi="Gotham" w:cs="Arial"/>
          <w:bCs/>
          <w:sz w:val="19"/>
          <w:szCs w:val="19"/>
        </w:rPr>
        <w:t>Mantener, en el ámbito de sus atribuciones, las vías libres de obstáculos y elementos que impidan, dificulten, generen un riesgo u obstaculicen el tránsito peatonal y vehicular, excepto en aquellos casos debidamente autorizados y respetando la jerarquía de la movilidad;</w:t>
      </w:r>
    </w:p>
    <w:p w14:paraId="3A47560F"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XX. </w:t>
      </w:r>
      <w:r>
        <w:rPr>
          <w:rFonts w:ascii="Gotham" w:hAnsi="Gotham" w:cs="Arial"/>
          <w:bCs/>
          <w:sz w:val="19"/>
          <w:szCs w:val="19"/>
        </w:rPr>
        <w:tab/>
      </w:r>
      <w:r w:rsidRPr="00CB0307">
        <w:rPr>
          <w:rFonts w:ascii="Gotham" w:hAnsi="Gotham" w:cs="Arial"/>
          <w:bCs/>
          <w:sz w:val="19"/>
          <w:szCs w:val="19"/>
        </w:rPr>
        <w:t>Instrumentar programas y campañas de cultura de la movilidad, que fomenten la prevención de los siniestros de tránsito;</w:t>
      </w:r>
    </w:p>
    <w:p w14:paraId="3A475610"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XXI. </w:t>
      </w:r>
      <w:r>
        <w:rPr>
          <w:rFonts w:ascii="Gotham" w:hAnsi="Gotham" w:cs="Arial"/>
          <w:bCs/>
          <w:sz w:val="19"/>
          <w:szCs w:val="19"/>
        </w:rPr>
        <w:tab/>
      </w:r>
      <w:r w:rsidRPr="00CB0307">
        <w:rPr>
          <w:rFonts w:ascii="Gotham" w:hAnsi="Gotham" w:cs="Arial"/>
          <w:bCs/>
          <w:sz w:val="19"/>
          <w:szCs w:val="19"/>
        </w:rPr>
        <w:t>Implementar programas especiales de seguridad vial en los entornos escolares y puntos de alta afluencia de personas;</w:t>
      </w:r>
    </w:p>
    <w:p w14:paraId="3A475611"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XXII. </w:t>
      </w:r>
      <w:r>
        <w:rPr>
          <w:rFonts w:ascii="Gotham" w:hAnsi="Gotham" w:cs="Arial"/>
          <w:bCs/>
          <w:sz w:val="19"/>
          <w:szCs w:val="19"/>
        </w:rPr>
        <w:tab/>
      </w:r>
      <w:r w:rsidRPr="00CB0307">
        <w:rPr>
          <w:rFonts w:ascii="Gotham" w:hAnsi="Gotham" w:cs="Arial"/>
          <w:bCs/>
          <w:sz w:val="19"/>
          <w:szCs w:val="19"/>
        </w:rPr>
        <w:t>Prever en su legislación aplicable, que los desarrollos inmobiliarios cuenten con el criterio de calle completa;</w:t>
      </w:r>
    </w:p>
    <w:p w14:paraId="3A475612"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XXIII. </w:t>
      </w:r>
      <w:r>
        <w:rPr>
          <w:rFonts w:ascii="Gotham" w:hAnsi="Gotham" w:cs="Arial"/>
          <w:bCs/>
          <w:sz w:val="19"/>
          <w:szCs w:val="19"/>
        </w:rPr>
        <w:tab/>
      </w:r>
      <w:r w:rsidRPr="00CB0307">
        <w:rPr>
          <w:rFonts w:ascii="Gotham" w:hAnsi="Gotham" w:cs="Arial"/>
          <w:bCs/>
          <w:sz w:val="19"/>
          <w:szCs w:val="19"/>
        </w:rPr>
        <w:t>En los municipios insulares, coordinar con las autoridades acciones de movilidad asequible, incluyente, segura y sustentable entre sus municipios y el territorio continental, y</w:t>
      </w:r>
    </w:p>
    <w:p w14:paraId="3A475613" w14:textId="77777777" w:rsidR="009B5E39" w:rsidRPr="00CB0307" w:rsidRDefault="009B5E39" w:rsidP="009B5E39">
      <w:pPr>
        <w:ind w:left="1134" w:right="283" w:hanging="850"/>
        <w:jc w:val="both"/>
        <w:rPr>
          <w:rFonts w:ascii="Gotham" w:hAnsi="Gotham" w:cs="Arial"/>
          <w:bCs/>
          <w:sz w:val="19"/>
          <w:szCs w:val="19"/>
        </w:rPr>
      </w:pPr>
      <w:r w:rsidRPr="00CB0307">
        <w:rPr>
          <w:rFonts w:ascii="Gotham" w:hAnsi="Gotham" w:cs="Arial"/>
          <w:bCs/>
          <w:sz w:val="19"/>
          <w:szCs w:val="19"/>
        </w:rPr>
        <w:t xml:space="preserve">XXIV. </w:t>
      </w:r>
      <w:r>
        <w:rPr>
          <w:rFonts w:ascii="Gotham" w:hAnsi="Gotham" w:cs="Arial"/>
          <w:bCs/>
          <w:sz w:val="19"/>
          <w:szCs w:val="19"/>
        </w:rPr>
        <w:tab/>
      </w:r>
      <w:r w:rsidRPr="00CB0307">
        <w:rPr>
          <w:rFonts w:ascii="Gotham" w:hAnsi="Gotham" w:cs="Arial"/>
          <w:bCs/>
          <w:sz w:val="19"/>
          <w:szCs w:val="19"/>
        </w:rPr>
        <w:t>Las demás previstas para el cumplimiento de la presente Ley.</w:t>
      </w:r>
    </w:p>
    <w:p w14:paraId="3A475614" w14:textId="77777777" w:rsidR="009B5E39" w:rsidRPr="00CB0307" w:rsidRDefault="009B5E39" w:rsidP="009B5E39">
      <w:pPr>
        <w:ind w:left="284" w:right="283"/>
        <w:jc w:val="both"/>
        <w:rPr>
          <w:rFonts w:ascii="Gotham" w:hAnsi="Gotham" w:cs="Arial"/>
          <w:sz w:val="19"/>
          <w:szCs w:val="19"/>
        </w:rPr>
      </w:pPr>
    </w:p>
    <w:p w14:paraId="3A475615"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8.</w:t>
      </w:r>
      <w:r w:rsidRPr="00CB0307">
        <w:rPr>
          <w:rFonts w:ascii="Gotham" w:hAnsi="Gotham" w:cs="Arial"/>
          <w:sz w:val="19"/>
          <w:szCs w:val="19"/>
        </w:rPr>
        <w:t xml:space="preserve"> Son facultades del Presidente Municipal</w:t>
      </w:r>
    </w:p>
    <w:p w14:paraId="3A475616" w14:textId="77777777" w:rsidR="009B5E39" w:rsidRPr="00CB0307" w:rsidRDefault="009B5E39" w:rsidP="009B5E39">
      <w:pPr>
        <w:ind w:left="284" w:right="283"/>
        <w:jc w:val="both"/>
        <w:rPr>
          <w:rFonts w:ascii="Gotham" w:hAnsi="Gotham" w:cs="Arial"/>
          <w:sz w:val="19"/>
          <w:szCs w:val="19"/>
        </w:rPr>
      </w:pPr>
    </w:p>
    <w:p w14:paraId="3A47561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Dictar medidas tendientes al mejoramiento de los servicios de movilidad y tránsito;</w:t>
      </w:r>
    </w:p>
    <w:p w14:paraId="3A47561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II. </w:t>
      </w:r>
      <w:r>
        <w:rPr>
          <w:rFonts w:ascii="Gotham" w:hAnsi="Gotham" w:cs="Arial"/>
          <w:sz w:val="19"/>
          <w:szCs w:val="19"/>
        </w:rPr>
        <w:tab/>
      </w:r>
      <w:r w:rsidRPr="00CB0307">
        <w:rPr>
          <w:rFonts w:ascii="Gotham" w:hAnsi="Gotham" w:cs="Arial"/>
          <w:sz w:val="19"/>
          <w:szCs w:val="19"/>
        </w:rPr>
        <w:t>Solicitar a la Federación, Estado y organismos no gubernamentales, o al área correspondiente, la asesoría y apoyo necesario para realizar los estudios técnicos y acciones en materia de movilidad y tránsito;</w:t>
      </w:r>
    </w:p>
    <w:p w14:paraId="3A47561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Promover en el ámbito de su competencia las acciones para el uso racional del espacio vial, teniendo como prioridad a los sujetos activos del reglamento; y</w:t>
      </w:r>
    </w:p>
    <w:p w14:paraId="3A47561A"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Intervenir y coadyuvar en la formulación y aplicación de los programas de transporte de pasajeros, a través de la dependencia que se determine en la normatividad municipal y en lo dispuesto en el presente reglamento.</w:t>
      </w:r>
    </w:p>
    <w:p w14:paraId="3A47561B" w14:textId="77777777" w:rsidR="009B5E39" w:rsidRPr="00CB0307" w:rsidRDefault="009B5E39" w:rsidP="009B5E39">
      <w:pPr>
        <w:ind w:left="284" w:right="283"/>
        <w:jc w:val="both"/>
        <w:rPr>
          <w:rFonts w:ascii="Gotham" w:hAnsi="Gotham" w:cs="Arial"/>
          <w:sz w:val="19"/>
          <w:szCs w:val="19"/>
        </w:rPr>
      </w:pPr>
    </w:p>
    <w:p w14:paraId="3A47561C"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9</w:t>
      </w:r>
      <w:r w:rsidRPr="00CB0307">
        <w:rPr>
          <w:rFonts w:ascii="Gotham" w:hAnsi="Gotham" w:cs="Arial"/>
          <w:sz w:val="19"/>
          <w:szCs w:val="19"/>
        </w:rPr>
        <w:t xml:space="preserve">. Son facultades de la Dirección de Planeación, Movilidad las siguientes: </w:t>
      </w:r>
    </w:p>
    <w:p w14:paraId="3A47561D" w14:textId="77777777" w:rsidR="009B5E39" w:rsidRPr="00CB0307" w:rsidRDefault="009B5E39" w:rsidP="009B5E39">
      <w:pPr>
        <w:ind w:left="284" w:right="283"/>
        <w:jc w:val="both"/>
        <w:rPr>
          <w:rFonts w:ascii="Gotham" w:hAnsi="Gotham" w:cs="Arial"/>
          <w:sz w:val="19"/>
          <w:szCs w:val="19"/>
        </w:rPr>
      </w:pPr>
    </w:p>
    <w:p w14:paraId="3A47561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Ejercer las atribuciones sustantivas, técnicas y administrativas en esta materia de movilidad;</w:t>
      </w:r>
    </w:p>
    <w:p w14:paraId="3A47561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Hacer cumplir y observar las disposiciones contenidas en las disposiciones estatales aplicables en la materia;</w:t>
      </w:r>
    </w:p>
    <w:p w14:paraId="3A47562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 xml:space="preserve">Intervenir en términos de la Ley y su Reglamento, en la formulación y aplicación de programas de transporte público; </w:t>
      </w:r>
    </w:p>
    <w:p w14:paraId="3A475621" w14:textId="77777777" w:rsidR="009B5E39" w:rsidRPr="00CB0307" w:rsidRDefault="009B5E39" w:rsidP="009B5E39">
      <w:pPr>
        <w:pStyle w:val="Prrafodelista"/>
        <w:spacing w:after="120"/>
        <w:ind w:left="1134" w:right="283" w:hanging="850"/>
        <w:contextualSpacing w:val="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Autorizar los proyectos de infraestructura vial, equipamiento vial y servicios conexos; en coordinación con las dependencias municipales y estales correspondientes;</w:t>
      </w:r>
    </w:p>
    <w:p w14:paraId="3A47562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Administrar la infraestructura vial;</w:t>
      </w:r>
    </w:p>
    <w:p w14:paraId="3A47562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Procurar el mejoramiento de los servicios de vialidad y tránsito;</w:t>
      </w:r>
    </w:p>
    <w:p w14:paraId="3A47562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Realizar las tareas relativas a la ingeniería de tránsito y al equipamiento vial;</w:t>
      </w:r>
    </w:p>
    <w:p w14:paraId="3A47562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Dirigir y aplicar programas de fomento a la seguridad vial;</w:t>
      </w:r>
    </w:p>
    <w:p w14:paraId="3A47562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Determinar las rutas de acceso de vehículos de carga, así como los itinerarios a los que se sujetarán estos en las zonas especiales;</w:t>
      </w:r>
    </w:p>
    <w:p w14:paraId="3A47562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 </w:t>
      </w:r>
      <w:r>
        <w:rPr>
          <w:rFonts w:ascii="Gotham" w:hAnsi="Gotham" w:cs="Arial"/>
          <w:sz w:val="19"/>
          <w:szCs w:val="19"/>
        </w:rPr>
        <w:tab/>
      </w:r>
      <w:r w:rsidRPr="00CB0307">
        <w:rPr>
          <w:rFonts w:ascii="Gotham" w:hAnsi="Gotham" w:cs="Arial"/>
          <w:sz w:val="19"/>
          <w:szCs w:val="19"/>
        </w:rPr>
        <w:t>Autorizar la ubicación de los lugares para el establecimiento de los sitios y sus matrices;</w:t>
      </w:r>
    </w:p>
    <w:p w14:paraId="3A47562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 </w:t>
      </w:r>
      <w:r>
        <w:rPr>
          <w:rFonts w:ascii="Gotham" w:hAnsi="Gotham" w:cs="Arial"/>
          <w:sz w:val="19"/>
          <w:szCs w:val="19"/>
        </w:rPr>
        <w:tab/>
      </w:r>
      <w:r w:rsidRPr="00CB0307">
        <w:rPr>
          <w:rFonts w:ascii="Gotham" w:hAnsi="Gotham" w:cs="Arial"/>
          <w:sz w:val="19"/>
          <w:szCs w:val="19"/>
        </w:rPr>
        <w:t>Autorizar, en coordinación con el titular del Poder Ejecutivo del Estado, la localización de las obras de infraestructura vial y su equipamiento; de los derechos de vía; de las zonas de restricción, así como las normas que regulen su uso;</w:t>
      </w:r>
    </w:p>
    <w:p w14:paraId="3A47562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 </w:t>
      </w:r>
      <w:r>
        <w:rPr>
          <w:rFonts w:ascii="Gotham" w:hAnsi="Gotham" w:cs="Arial"/>
          <w:sz w:val="19"/>
          <w:szCs w:val="19"/>
        </w:rPr>
        <w:tab/>
      </w:r>
      <w:r w:rsidRPr="00CB0307">
        <w:rPr>
          <w:rFonts w:ascii="Gotham" w:hAnsi="Gotham" w:cs="Arial"/>
          <w:sz w:val="19"/>
          <w:szCs w:val="19"/>
        </w:rPr>
        <w:t>Determinar, autorizar y exigir, en su jurisdicción territorial, la instalación de los espacios destinados para la ubicación de estacionamiento, ascenso y descenso exclusivo de personas con alguna discapacidad, en lugares preferentes y de fácil acceso a los edificios o espacios públicos, particulares o de gobierno, cuyo uso esté destinado o implique la concurrencia del público en general;</w:t>
      </w:r>
    </w:p>
    <w:p w14:paraId="3A47562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XIII. </w:t>
      </w:r>
      <w:r>
        <w:rPr>
          <w:rFonts w:ascii="Gotham" w:hAnsi="Gotham" w:cs="Arial"/>
          <w:sz w:val="19"/>
          <w:szCs w:val="19"/>
        </w:rPr>
        <w:tab/>
      </w:r>
      <w:r w:rsidRPr="00CB0307">
        <w:rPr>
          <w:rFonts w:ascii="Gotham" w:hAnsi="Gotham" w:cs="Arial"/>
          <w:sz w:val="19"/>
          <w:szCs w:val="19"/>
        </w:rPr>
        <w:t>Promover en el ámbito de su competencia las acciones para el uso racional del espacio vial, teniendo como prioridad la pirámide o jerarquía de movilidad;</w:t>
      </w:r>
    </w:p>
    <w:p w14:paraId="3A47562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XIV. </w:t>
      </w:r>
      <w:r>
        <w:rPr>
          <w:rFonts w:ascii="Gotham" w:hAnsi="Gotham" w:cs="Arial"/>
          <w:sz w:val="19"/>
          <w:szCs w:val="19"/>
        </w:rPr>
        <w:tab/>
      </w:r>
      <w:r w:rsidRPr="00CB0307">
        <w:rPr>
          <w:rFonts w:ascii="Gotham" w:hAnsi="Gotham" w:cs="Arial"/>
          <w:sz w:val="19"/>
          <w:szCs w:val="19"/>
        </w:rPr>
        <w:t xml:space="preserve">Verificar los inmuebles que pretendan destinarse al servicio de estacionamiento de automóviles y transporte no motorizado, para que se ajusten a las disposiciones legales y reglamentarias, pudiendo solicitar opinión técnica a especialistas, instituciones o dependencias del sector público; </w:t>
      </w:r>
    </w:p>
    <w:p w14:paraId="3A47562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 </w:t>
      </w:r>
      <w:r>
        <w:rPr>
          <w:rFonts w:ascii="Gotham" w:hAnsi="Gotham" w:cs="Arial"/>
          <w:sz w:val="19"/>
          <w:szCs w:val="19"/>
        </w:rPr>
        <w:tab/>
      </w:r>
      <w:r w:rsidRPr="00CB0307">
        <w:rPr>
          <w:rFonts w:ascii="Gotham" w:hAnsi="Gotham" w:cs="Arial"/>
          <w:sz w:val="19"/>
          <w:szCs w:val="19"/>
        </w:rPr>
        <w:t xml:space="preserve">Planear, diseñar y gestionar la ejecución de infraestructura para movilidad no motorizada y accesibilidad universal; </w:t>
      </w:r>
    </w:p>
    <w:p w14:paraId="3A47562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 </w:t>
      </w:r>
      <w:r>
        <w:rPr>
          <w:rFonts w:ascii="Gotham" w:hAnsi="Gotham" w:cs="Arial"/>
          <w:sz w:val="19"/>
          <w:szCs w:val="19"/>
        </w:rPr>
        <w:tab/>
      </w:r>
      <w:r w:rsidRPr="00CB0307">
        <w:rPr>
          <w:rFonts w:ascii="Gotham" w:hAnsi="Gotham" w:cs="Arial"/>
          <w:sz w:val="19"/>
          <w:szCs w:val="19"/>
        </w:rPr>
        <w:t xml:space="preserve">Gestionar, establecer, y promover las dinámicas de estacionamiento en la vía pública, así como determinar los sistemas, aplicaciones y nuevas tecnologías para la regulación del estacionamiento; </w:t>
      </w:r>
    </w:p>
    <w:p w14:paraId="3A47562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XVII. </w:t>
      </w:r>
      <w:r>
        <w:rPr>
          <w:rFonts w:ascii="Gotham" w:hAnsi="Gotham" w:cs="Arial"/>
          <w:sz w:val="19"/>
          <w:szCs w:val="19"/>
        </w:rPr>
        <w:tab/>
      </w:r>
      <w:r w:rsidRPr="00CB0307">
        <w:rPr>
          <w:rFonts w:ascii="Gotham" w:hAnsi="Gotham" w:cs="Arial"/>
          <w:sz w:val="19"/>
          <w:szCs w:val="19"/>
        </w:rPr>
        <w:t>Vigilar la operatividad y uso de los aparatos de estacionómetros o cualquier otra plataforma de cobro instalados en el territorio del Municipio, en coordinación con la Jefatura de Estacionamientos.</w:t>
      </w:r>
    </w:p>
    <w:p w14:paraId="3A47562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XVIII. </w:t>
      </w:r>
      <w:r>
        <w:rPr>
          <w:rFonts w:ascii="Gotham" w:hAnsi="Gotham" w:cs="Arial"/>
          <w:sz w:val="19"/>
          <w:szCs w:val="19"/>
        </w:rPr>
        <w:tab/>
      </w:r>
      <w:r w:rsidRPr="00CB0307">
        <w:rPr>
          <w:rFonts w:ascii="Gotham" w:hAnsi="Gotham" w:cs="Arial"/>
          <w:sz w:val="19"/>
          <w:szCs w:val="19"/>
        </w:rPr>
        <w:t>Emitir las observaciones técnicas a cualquier intervención de carácter público o privada que impacte o pueda impactar en la movilidad dentro del territorio del Municipio;</w:t>
      </w:r>
    </w:p>
    <w:p w14:paraId="3A47563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XIX. </w:t>
      </w:r>
      <w:r>
        <w:rPr>
          <w:rFonts w:ascii="Gotham" w:hAnsi="Gotham" w:cs="Arial"/>
          <w:sz w:val="19"/>
          <w:szCs w:val="19"/>
        </w:rPr>
        <w:tab/>
      </w:r>
      <w:r w:rsidRPr="00CB0307">
        <w:rPr>
          <w:rFonts w:ascii="Gotham" w:hAnsi="Gotham" w:cs="Arial"/>
          <w:sz w:val="19"/>
          <w:szCs w:val="19"/>
        </w:rPr>
        <w:t xml:space="preserve">Determinar, calificar, aplicar y ejecutar las medidas de seguridad, retiros de la circulación de vehículos y objetos que obstruyan la movilidad, así como inmovilizar vehículos además de la aplicación de las sanciones correspondientes a quienes incurran en conductas prohibidas en el presente reglamento, así como en la normatividad aplicable en materia de movilidad; </w:t>
      </w:r>
    </w:p>
    <w:p w14:paraId="3A47563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 </w:t>
      </w:r>
      <w:r>
        <w:rPr>
          <w:rFonts w:ascii="Gotham" w:hAnsi="Gotham" w:cs="Arial"/>
          <w:sz w:val="19"/>
          <w:szCs w:val="19"/>
        </w:rPr>
        <w:tab/>
      </w:r>
      <w:r w:rsidRPr="00CB0307">
        <w:rPr>
          <w:rFonts w:ascii="Gotham" w:hAnsi="Gotham" w:cs="Arial"/>
          <w:sz w:val="19"/>
          <w:szCs w:val="19"/>
        </w:rPr>
        <w:t xml:space="preserve">Gestionar los proyectos de movilidad que se desarrollen en el Municipio; </w:t>
      </w:r>
    </w:p>
    <w:p w14:paraId="3A47563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 </w:t>
      </w:r>
      <w:r>
        <w:rPr>
          <w:rFonts w:ascii="Gotham" w:hAnsi="Gotham" w:cs="Arial"/>
          <w:sz w:val="19"/>
          <w:szCs w:val="19"/>
        </w:rPr>
        <w:tab/>
      </w:r>
      <w:r w:rsidRPr="00CB0307">
        <w:rPr>
          <w:rFonts w:ascii="Gotham" w:hAnsi="Gotham" w:cs="Arial"/>
          <w:sz w:val="19"/>
          <w:szCs w:val="19"/>
        </w:rPr>
        <w:t xml:space="preserve">Impulsar de manera coordinada con las autoridades competentes, proyectos de movilidad y movilidad no motorizada; </w:t>
      </w:r>
    </w:p>
    <w:p w14:paraId="3A47563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XXII. </w:t>
      </w:r>
      <w:r>
        <w:rPr>
          <w:rFonts w:ascii="Gotham" w:hAnsi="Gotham" w:cs="Arial"/>
          <w:sz w:val="19"/>
          <w:szCs w:val="19"/>
        </w:rPr>
        <w:tab/>
      </w:r>
      <w:r w:rsidRPr="00CB0307">
        <w:rPr>
          <w:rFonts w:ascii="Gotham" w:hAnsi="Gotham" w:cs="Arial"/>
          <w:sz w:val="19"/>
          <w:szCs w:val="19"/>
        </w:rPr>
        <w:t>Dictaminar y autorizar proyectos de movilidad e impacto al tránsito;</w:t>
      </w:r>
    </w:p>
    <w:p w14:paraId="3A47563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XXIII. </w:t>
      </w:r>
      <w:r>
        <w:rPr>
          <w:rFonts w:ascii="Gotham" w:hAnsi="Gotham" w:cs="Arial"/>
          <w:sz w:val="19"/>
          <w:szCs w:val="19"/>
        </w:rPr>
        <w:tab/>
      </w:r>
      <w:r w:rsidRPr="00CB0307">
        <w:rPr>
          <w:rFonts w:ascii="Gotham" w:hAnsi="Gotham" w:cs="Arial"/>
          <w:sz w:val="19"/>
          <w:szCs w:val="19"/>
        </w:rPr>
        <w:t xml:space="preserve">Auxiliarse de las diversas áreas del municipio, para el buen desempeño de sus actividades; </w:t>
      </w:r>
    </w:p>
    <w:p w14:paraId="3A47563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XXIV. </w:t>
      </w:r>
      <w:r>
        <w:rPr>
          <w:rFonts w:ascii="Gotham" w:hAnsi="Gotham" w:cs="Arial"/>
          <w:sz w:val="19"/>
          <w:szCs w:val="19"/>
        </w:rPr>
        <w:tab/>
      </w:r>
      <w:r w:rsidRPr="00CB0307">
        <w:rPr>
          <w:rFonts w:ascii="Gotham" w:hAnsi="Gotham" w:cs="Arial"/>
          <w:sz w:val="19"/>
          <w:szCs w:val="19"/>
        </w:rPr>
        <w:t>Solicitar, evaluar y coadyuvar en la elaboración de los planes y programas de movilidad y transporte de personal en los planteles y equipamientos que así lo requieran, y en los planes y programas del transporte escolar en los planteles y equipamientos con más de trescientas personas;</w:t>
      </w:r>
    </w:p>
    <w:p w14:paraId="3A47563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XXV. </w:t>
      </w:r>
      <w:r>
        <w:rPr>
          <w:rFonts w:ascii="Gotham" w:hAnsi="Gotham" w:cs="Arial"/>
          <w:sz w:val="19"/>
          <w:szCs w:val="19"/>
        </w:rPr>
        <w:tab/>
      </w:r>
      <w:r w:rsidRPr="00CB0307">
        <w:rPr>
          <w:rFonts w:ascii="Gotham" w:hAnsi="Gotham" w:cs="Arial"/>
          <w:sz w:val="19"/>
          <w:szCs w:val="19"/>
        </w:rPr>
        <w:t>La Dirección podrá generar mesas de trabajo con las autoridades y la sociedad en general para la implementación de los programas de bici pública y podrá gestionar el mantenimiento y/o la reubicación de las estaciones; y</w:t>
      </w:r>
    </w:p>
    <w:p w14:paraId="3A475637"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XXVI. </w:t>
      </w:r>
      <w:r>
        <w:rPr>
          <w:rFonts w:ascii="Gotham" w:hAnsi="Gotham" w:cs="Arial"/>
          <w:sz w:val="19"/>
          <w:szCs w:val="19"/>
        </w:rPr>
        <w:tab/>
      </w:r>
      <w:r w:rsidRPr="00CB0307">
        <w:rPr>
          <w:rFonts w:ascii="Gotham" w:hAnsi="Gotham" w:cs="Arial"/>
          <w:sz w:val="19"/>
          <w:szCs w:val="19"/>
        </w:rPr>
        <w:t>Las demás establecidas en el presente Reglamento y en otras disposiciones legales aplicables.</w:t>
      </w:r>
    </w:p>
    <w:p w14:paraId="3A475638" w14:textId="77777777" w:rsidR="009B5E39" w:rsidRDefault="009B5E39" w:rsidP="009B5E39">
      <w:pPr>
        <w:ind w:left="284" w:right="283"/>
        <w:jc w:val="both"/>
        <w:rPr>
          <w:rFonts w:ascii="Gotham" w:hAnsi="Gotham" w:cs="Arial"/>
          <w:b/>
          <w:bCs/>
          <w:sz w:val="19"/>
          <w:szCs w:val="19"/>
        </w:rPr>
      </w:pPr>
    </w:p>
    <w:p w14:paraId="3A475639" w14:textId="77777777" w:rsidR="009B5E39" w:rsidRDefault="009B5E39" w:rsidP="009B5E39">
      <w:pPr>
        <w:ind w:left="284" w:right="283"/>
        <w:jc w:val="both"/>
        <w:rPr>
          <w:rFonts w:ascii="Gotham" w:hAnsi="Gotham" w:cs="Arial"/>
          <w:sz w:val="19"/>
          <w:szCs w:val="19"/>
        </w:rPr>
      </w:pPr>
      <w:r w:rsidRPr="00CB0307">
        <w:rPr>
          <w:rFonts w:ascii="Gotham" w:hAnsi="Gotham" w:cs="Arial"/>
          <w:b/>
          <w:bCs/>
          <w:sz w:val="19"/>
          <w:szCs w:val="19"/>
        </w:rPr>
        <w:t>Artículo 10</w:t>
      </w:r>
      <w:r w:rsidRPr="00CB0307">
        <w:rPr>
          <w:rFonts w:ascii="Gotham" w:hAnsi="Gotham" w:cs="Arial"/>
          <w:sz w:val="19"/>
          <w:szCs w:val="19"/>
        </w:rPr>
        <w:t>. Son facultades de la Jefatura de Estacionamientos las siguientes:</w:t>
      </w:r>
    </w:p>
    <w:p w14:paraId="3A47563A" w14:textId="77777777" w:rsidR="009B5E39" w:rsidRPr="00CB0307" w:rsidRDefault="009B5E39" w:rsidP="009B5E39">
      <w:pPr>
        <w:ind w:left="284" w:right="283"/>
        <w:jc w:val="both"/>
        <w:rPr>
          <w:rFonts w:ascii="Gotham" w:hAnsi="Gotham" w:cs="Arial"/>
          <w:sz w:val="19"/>
          <w:szCs w:val="19"/>
        </w:rPr>
      </w:pPr>
    </w:p>
    <w:p w14:paraId="3A47563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 xml:space="preserve">Crear, operar y mantener actualizados los registros de estacionamientos; </w:t>
      </w:r>
    </w:p>
    <w:p w14:paraId="3A47563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 xml:space="preserve">Integrar los expedientes y llevar a cabo los procedimientos para cancelación de licencias o permisos de estacionamientos, cuando compruebe fehacientemente la existencia de violaciones sistemáticas a este Reglamento o a otras disposiciones legalmente aplicables, turnarlos a la Sindicatura para que proceda a ponerlos en estado de resolución y someterlos al Ayuntamiento o a la autoridad Municipal competente, para los efectos legales correspondientes; </w:t>
      </w:r>
    </w:p>
    <w:p w14:paraId="3A47563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 xml:space="preserve">Gestionar, establecer, y promover las dinámicas de estacionamiento en la vía pública, así como determinar los sistemas, aplicaciones y nuevas tecnologías para la regulación del estacionamiento; </w:t>
      </w:r>
    </w:p>
    <w:p w14:paraId="3A47563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Vigilar la operatividad y uso de los aparatos de estacionómetros o cualquier otra plataforma de cobro instalados en el territorio del Municipio;</w:t>
      </w:r>
    </w:p>
    <w:p w14:paraId="3A47563F"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 xml:space="preserve">Autorizar y vigilar los estacionamientos exclusivos en vía pública; </w:t>
      </w:r>
    </w:p>
    <w:p w14:paraId="3A475640" w14:textId="77777777" w:rsidR="009B5E39" w:rsidRPr="00CB0307" w:rsidRDefault="009B5E39" w:rsidP="009B5E39">
      <w:pPr>
        <w:ind w:left="284" w:right="283"/>
        <w:jc w:val="both"/>
        <w:rPr>
          <w:rFonts w:ascii="Gotham" w:hAnsi="Gotham" w:cs="Arial"/>
          <w:sz w:val="19"/>
          <w:szCs w:val="19"/>
        </w:rPr>
      </w:pPr>
    </w:p>
    <w:p w14:paraId="3A475641"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11</w:t>
      </w:r>
      <w:r w:rsidRPr="00CB0307">
        <w:rPr>
          <w:rFonts w:ascii="Gotham" w:hAnsi="Gotham" w:cs="Arial"/>
          <w:sz w:val="19"/>
          <w:szCs w:val="19"/>
        </w:rPr>
        <w:t>. Son facultades de la Jefatura de Agentes de Movilidad y Transporte las siguientes:</w:t>
      </w:r>
    </w:p>
    <w:p w14:paraId="3A475642" w14:textId="77777777" w:rsidR="009B5E39" w:rsidRPr="00CB0307" w:rsidRDefault="009B5E39" w:rsidP="009B5E39">
      <w:pPr>
        <w:ind w:left="284" w:right="283"/>
        <w:jc w:val="both"/>
        <w:rPr>
          <w:rFonts w:ascii="Gotham" w:hAnsi="Gotham" w:cs="Arial"/>
          <w:sz w:val="19"/>
          <w:szCs w:val="19"/>
        </w:rPr>
      </w:pPr>
    </w:p>
    <w:p w14:paraId="3A47564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Controlar, supervisar y regular el tránsito de personas y vehículos en la vía pública.</w:t>
      </w:r>
    </w:p>
    <w:p w14:paraId="3A47564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Hacer cumplir las disposiciones del Reglamento de Movilidad, Seguridad Vial y Transporte del Municipio de Tonalá, Jalisco.</w:t>
      </w:r>
    </w:p>
    <w:p w14:paraId="3A47564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 xml:space="preserve">Desarrollar todas las funciones inherentes al área de su competencia. </w:t>
      </w:r>
    </w:p>
    <w:p w14:paraId="3A47564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IV. </w:t>
      </w:r>
      <w:r>
        <w:rPr>
          <w:rFonts w:ascii="Gotham" w:hAnsi="Gotham" w:cs="Arial"/>
          <w:sz w:val="19"/>
          <w:szCs w:val="19"/>
        </w:rPr>
        <w:tab/>
      </w:r>
      <w:r w:rsidRPr="00CB0307">
        <w:rPr>
          <w:rFonts w:ascii="Gotham" w:hAnsi="Gotham" w:cs="Arial"/>
          <w:sz w:val="19"/>
          <w:szCs w:val="19"/>
        </w:rPr>
        <w:t>Coadyuvar a la implementación de las acciones necesarias para dar cumplimiento a los objetivos y programas que en materia de Movilidad.</w:t>
      </w:r>
    </w:p>
    <w:p w14:paraId="3A47564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Realizar funciones apegados a los principios de legalidad, objetividad, eficiencia, profesionalismo, honradez y respeto a los derechos humanos, de acuerdo a lo establecido por las leyes y reglamentos en materia de movilidad.</w:t>
      </w:r>
    </w:p>
    <w:p w14:paraId="3A47564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Cumplir y hacer cumplir con diligencia las órdenes que reciba del Presidente Municipal y/o Coordinador del Gabinete del Seguridad, Prevención, Servicios de Emergencia y Movilidad, con motivo del desempeño de sus funciones, evitando todo acto u omisión que produzca deficiencia en su cumplimiento.</w:t>
      </w:r>
    </w:p>
    <w:p w14:paraId="3A47564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Dirigir el tránsito de vehículos y peatones.</w:t>
      </w:r>
    </w:p>
    <w:p w14:paraId="3A47564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Los Agentes de Movilidad tendrán las facultades establecidas en el Reglamento de Movilidad, Seguridad Vial y Transporte del Municipio de Tonalá, Jalisco</w:t>
      </w:r>
    </w:p>
    <w:p w14:paraId="3A47564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La Jefatura de Agentes de Movilidad, Municipal, será competente para instrumentar procedimientos relativos al control, la verificación, la vigilancia, o inspección en materia de movilidad, para lo cual deben conducirse con respeto a los particulares, observar los principios éticos del servicio público, abstenerse de incurrir en responsabilidades u otras faltas.</w:t>
      </w:r>
    </w:p>
    <w:p w14:paraId="3A47564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 </w:t>
      </w:r>
      <w:r>
        <w:rPr>
          <w:rFonts w:ascii="Gotham" w:hAnsi="Gotham" w:cs="Arial"/>
          <w:sz w:val="19"/>
          <w:szCs w:val="19"/>
        </w:rPr>
        <w:tab/>
      </w:r>
      <w:r w:rsidRPr="00CB0307">
        <w:rPr>
          <w:rFonts w:ascii="Gotham" w:hAnsi="Gotham" w:cs="Arial"/>
          <w:sz w:val="19"/>
          <w:szCs w:val="19"/>
        </w:rPr>
        <w:t>Imponer infracciones a las personas que infrinjan el Reglamento de Movilidad, Seguridad Vial y Transporte del Municipio de Tonalá, Jalisco y demás disposiciones aplicables en la materia.</w:t>
      </w:r>
    </w:p>
    <w:p w14:paraId="3A47564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 </w:t>
      </w:r>
      <w:r>
        <w:rPr>
          <w:rFonts w:ascii="Gotham" w:hAnsi="Gotham" w:cs="Arial"/>
          <w:sz w:val="19"/>
          <w:szCs w:val="19"/>
        </w:rPr>
        <w:tab/>
      </w:r>
      <w:r w:rsidRPr="00CB0307">
        <w:rPr>
          <w:rFonts w:ascii="Gotham" w:hAnsi="Gotham" w:cs="Arial"/>
          <w:sz w:val="19"/>
          <w:szCs w:val="19"/>
        </w:rPr>
        <w:t>Procurar el mejoramiento de los servicios de vialidad y tránsito;</w:t>
      </w:r>
    </w:p>
    <w:p w14:paraId="3A47564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 </w:t>
      </w:r>
      <w:r>
        <w:rPr>
          <w:rFonts w:ascii="Gotham" w:hAnsi="Gotham" w:cs="Arial"/>
          <w:sz w:val="19"/>
          <w:szCs w:val="19"/>
        </w:rPr>
        <w:tab/>
      </w:r>
      <w:r w:rsidRPr="00CB0307">
        <w:rPr>
          <w:rFonts w:ascii="Gotham" w:hAnsi="Gotham" w:cs="Arial"/>
          <w:sz w:val="19"/>
          <w:szCs w:val="19"/>
        </w:rPr>
        <w:t>Dirigir y aplicar programas de fomento a la seguridad vial;</w:t>
      </w:r>
    </w:p>
    <w:p w14:paraId="3A47564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XIII. </w:t>
      </w:r>
      <w:r>
        <w:rPr>
          <w:rFonts w:ascii="Gotham" w:hAnsi="Gotham" w:cs="Arial"/>
          <w:sz w:val="19"/>
          <w:szCs w:val="19"/>
        </w:rPr>
        <w:tab/>
      </w:r>
      <w:r w:rsidRPr="00CB0307">
        <w:rPr>
          <w:rFonts w:ascii="Gotham" w:hAnsi="Gotham" w:cs="Arial"/>
          <w:sz w:val="19"/>
          <w:szCs w:val="19"/>
        </w:rPr>
        <w:t>Determinar las rutas de acceso de vehículos de carga, así como los itinerarios a los que se sujetarán estos en las zonas especiales;</w:t>
      </w:r>
    </w:p>
    <w:p w14:paraId="3A47565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XIV. </w:t>
      </w:r>
      <w:r>
        <w:rPr>
          <w:rFonts w:ascii="Gotham" w:hAnsi="Gotham" w:cs="Arial"/>
          <w:sz w:val="19"/>
          <w:szCs w:val="19"/>
        </w:rPr>
        <w:tab/>
      </w:r>
      <w:r w:rsidRPr="00CB0307">
        <w:rPr>
          <w:rFonts w:ascii="Gotham" w:hAnsi="Gotham" w:cs="Arial"/>
          <w:sz w:val="19"/>
          <w:szCs w:val="19"/>
        </w:rPr>
        <w:t>Mantener la vialidad libre de obstáculos u objetos que impidan, dificulten u obstruyan el tránsito peatonal, movilidad motorizada y no motorizada, así como estacionamiento de vehículos excepto en aquellos casos debidamente autorizados;</w:t>
      </w:r>
    </w:p>
    <w:p w14:paraId="3A47565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 </w:t>
      </w:r>
      <w:r>
        <w:rPr>
          <w:rFonts w:ascii="Gotham" w:hAnsi="Gotham" w:cs="Arial"/>
          <w:sz w:val="19"/>
          <w:szCs w:val="19"/>
        </w:rPr>
        <w:tab/>
      </w:r>
      <w:r w:rsidRPr="00CB0307">
        <w:rPr>
          <w:rFonts w:ascii="Gotham" w:hAnsi="Gotham" w:cs="Arial"/>
          <w:sz w:val="19"/>
          <w:szCs w:val="19"/>
        </w:rPr>
        <w:t>Remitir a los depósitos vehiculares, los automotores que se encuentren abandonados en vialidades públicas o privadas y en estacionamientos públicos o privados, observando en todo momento el marco jurídico estatal y municipal en la materia;</w:t>
      </w:r>
    </w:p>
    <w:p w14:paraId="3A47565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 </w:t>
      </w:r>
      <w:r>
        <w:rPr>
          <w:rFonts w:ascii="Gotham" w:hAnsi="Gotham" w:cs="Arial"/>
          <w:sz w:val="19"/>
          <w:szCs w:val="19"/>
        </w:rPr>
        <w:tab/>
      </w:r>
      <w:r w:rsidRPr="00CB0307">
        <w:rPr>
          <w:rFonts w:ascii="Gotham" w:hAnsi="Gotham" w:cs="Arial"/>
          <w:sz w:val="19"/>
          <w:szCs w:val="19"/>
        </w:rPr>
        <w:t>Trasladar a los depósitos correspondientes las cajas, remolques, vehículos de carga y todo aquel objeto que obstaculicen, limiten o impidan el uso adecuado de las vías, en términos de la normatividad aplicable;</w:t>
      </w:r>
    </w:p>
    <w:p w14:paraId="3A47565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 </w:t>
      </w:r>
      <w:r>
        <w:rPr>
          <w:rFonts w:ascii="Gotham" w:hAnsi="Gotham" w:cs="Arial"/>
          <w:sz w:val="19"/>
          <w:szCs w:val="19"/>
        </w:rPr>
        <w:tab/>
      </w:r>
      <w:r w:rsidRPr="00CB0307">
        <w:rPr>
          <w:rFonts w:ascii="Gotham" w:hAnsi="Gotham" w:cs="Arial"/>
          <w:sz w:val="19"/>
          <w:szCs w:val="19"/>
        </w:rPr>
        <w:t>Regular las actividades relacionadas con la prestación del servicio público de estacionamiento de automóviles, motocicletas, transporte comunitario y transporte no motorizado, con apego a lo dispuesto en la normatividad aplicable;</w:t>
      </w:r>
    </w:p>
    <w:p w14:paraId="3A47565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XVIII. </w:t>
      </w:r>
      <w:r>
        <w:rPr>
          <w:rFonts w:ascii="Gotham" w:hAnsi="Gotham" w:cs="Arial"/>
          <w:sz w:val="19"/>
          <w:szCs w:val="19"/>
        </w:rPr>
        <w:tab/>
      </w:r>
      <w:r w:rsidRPr="00CB0307">
        <w:rPr>
          <w:rFonts w:ascii="Gotham" w:hAnsi="Gotham" w:cs="Arial"/>
          <w:sz w:val="19"/>
          <w:szCs w:val="19"/>
        </w:rPr>
        <w:t>Integrar los expedientes y llevar a cabo los procedimientos para cancelación de licencias o permisos de estacionamientos, cuando compruebe fehacientemente la existencia de violaciones sistemáticas a este Reglamento o a otras disposiciones legalmente aplicables, turnarlos a la Sindicatura para que proceda a ponerlos en estado de resolución y someterlos al Ayuntamiento o a la autoridad Municipal competente, para los efectos legales correspondientes;</w:t>
      </w:r>
    </w:p>
    <w:p w14:paraId="3A47565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XIX. </w:t>
      </w:r>
      <w:r>
        <w:rPr>
          <w:rFonts w:ascii="Gotham" w:hAnsi="Gotham" w:cs="Arial"/>
          <w:sz w:val="19"/>
          <w:szCs w:val="19"/>
        </w:rPr>
        <w:tab/>
      </w:r>
      <w:r w:rsidRPr="00CB0307">
        <w:rPr>
          <w:rFonts w:ascii="Gotham" w:hAnsi="Gotham" w:cs="Arial"/>
          <w:sz w:val="19"/>
          <w:szCs w:val="19"/>
        </w:rPr>
        <w:t>Gestionar, establecer, y promover las dinámicas de estacionamiento en la vía pública, así como determinar los sistemas, aplicaciones y nuevas tecnologías para la regulación del estacionamiento;</w:t>
      </w:r>
    </w:p>
    <w:p w14:paraId="3A47565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 </w:t>
      </w:r>
      <w:r>
        <w:rPr>
          <w:rFonts w:ascii="Gotham" w:hAnsi="Gotham" w:cs="Arial"/>
          <w:sz w:val="19"/>
          <w:szCs w:val="19"/>
        </w:rPr>
        <w:tab/>
      </w:r>
      <w:r w:rsidRPr="00CB0307">
        <w:rPr>
          <w:rFonts w:ascii="Gotham" w:hAnsi="Gotham" w:cs="Arial"/>
          <w:sz w:val="19"/>
          <w:szCs w:val="19"/>
        </w:rPr>
        <w:t xml:space="preserve">Determinar, calificar, aplicar y ejecutar las medidas de seguridad, retiros de la circulación de vehículos y objetos que obstruyan la movilidad, así como inmovilizar vehículos además de la </w:t>
      </w:r>
      <w:r w:rsidRPr="00CB0307">
        <w:rPr>
          <w:rFonts w:ascii="Gotham" w:hAnsi="Gotham" w:cs="Arial"/>
          <w:sz w:val="19"/>
          <w:szCs w:val="19"/>
        </w:rPr>
        <w:lastRenderedPageBreak/>
        <w:t>aplicación de las sanciones correspondientes a quienes incurran en conductas prohibidas en el presente reglamento, así como en la normatividad aplicable en materia de movilidad;</w:t>
      </w:r>
    </w:p>
    <w:p w14:paraId="3A47565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 </w:t>
      </w:r>
      <w:r>
        <w:rPr>
          <w:rFonts w:ascii="Gotham" w:hAnsi="Gotham" w:cs="Arial"/>
          <w:sz w:val="19"/>
          <w:szCs w:val="19"/>
        </w:rPr>
        <w:tab/>
      </w:r>
      <w:r w:rsidRPr="00CB0307">
        <w:rPr>
          <w:rFonts w:ascii="Gotham" w:hAnsi="Gotham" w:cs="Arial"/>
          <w:sz w:val="19"/>
          <w:szCs w:val="19"/>
        </w:rPr>
        <w:t>La aplicación de las medidas de seguridad, retiros de la circulación de vehículos y objetos que obstruyan la movilidad, así como inmovilizar vehículos para garantizar el pago de las sanciones que correspondan por infracciones de movilidad, en términos de este Reglamento y demás ordenamientos aplicables en la materia.</w:t>
      </w:r>
    </w:p>
    <w:p w14:paraId="3A47565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XXII. </w:t>
      </w:r>
      <w:r>
        <w:rPr>
          <w:rFonts w:ascii="Gotham" w:hAnsi="Gotham" w:cs="Arial"/>
          <w:sz w:val="19"/>
          <w:szCs w:val="19"/>
        </w:rPr>
        <w:tab/>
      </w:r>
      <w:r w:rsidRPr="00CB0307">
        <w:rPr>
          <w:rFonts w:ascii="Gotham" w:hAnsi="Gotham" w:cs="Arial"/>
          <w:sz w:val="19"/>
          <w:szCs w:val="19"/>
        </w:rPr>
        <w:t>Para el cumplimiento de sus atribuciones la Jefatura contará con el personal necesario para su buen funcionamiento, de acuerdo a lo establecido en el Reglamento del Gobierno y la Administración Pública del Ayuntamiento Constitucional de Tonalá, Jalisco.</w:t>
      </w:r>
    </w:p>
    <w:p w14:paraId="3A475659"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XXIII. </w:t>
      </w:r>
      <w:r>
        <w:rPr>
          <w:rFonts w:ascii="Gotham" w:hAnsi="Gotham" w:cs="Arial"/>
          <w:sz w:val="19"/>
          <w:szCs w:val="19"/>
        </w:rPr>
        <w:tab/>
      </w:r>
      <w:r w:rsidRPr="00CB0307">
        <w:rPr>
          <w:rFonts w:ascii="Gotham" w:hAnsi="Gotham" w:cs="Arial"/>
          <w:sz w:val="19"/>
          <w:szCs w:val="19"/>
        </w:rPr>
        <w:t>Las demás que regule el presente ordenamiento, así como otras disposiciones aplicables en materia de movilidad y seguridad vial</w:t>
      </w:r>
    </w:p>
    <w:p w14:paraId="3A47565A" w14:textId="77777777" w:rsidR="009B5E39" w:rsidRPr="00CB0307" w:rsidRDefault="009B5E39" w:rsidP="009B5E39">
      <w:pPr>
        <w:ind w:left="284" w:right="283"/>
        <w:jc w:val="both"/>
        <w:rPr>
          <w:rFonts w:ascii="Gotham" w:hAnsi="Gotham" w:cs="Arial"/>
          <w:b/>
          <w:sz w:val="19"/>
          <w:szCs w:val="19"/>
        </w:rPr>
      </w:pPr>
    </w:p>
    <w:p w14:paraId="3A47565B"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12. Son Obligaciones de los Agentes de Movilidad, Seguridad Vial y Transporte:</w:t>
      </w:r>
    </w:p>
    <w:p w14:paraId="3A47565C" w14:textId="77777777" w:rsidR="009B5E39" w:rsidRPr="00CB0307" w:rsidRDefault="009B5E39" w:rsidP="009B5E39">
      <w:pPr>
        <w:ind w:left="284" w:right="283"/>
        <w:jc w:val="both"/>
        <w:rPr>
          <w:rFonts w:ascii="Gotham" w:hAnsi="Gotham" w:cs="Arial"/>
          <w:sz w:val="19"/>
          <w:szCs w:val="19"/>
        </w:rPr>
      </w:pPr>
    </w:p>
    <w:p w14:paraId="3A47565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Conocer y aplicar el Reglamento Movilidad y Seguridad Vial del Municipio de Tonalá, Jalisco.</w:t>
      </w:r>
    </w:p>
    <w:p w14:paraId="3A47565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Guardar el debido respeto a sus superiores jerárquicos y a sus compañeros;</w:t>
      </w:r>
    </w:p>
    <w:p w14:paraId="3A47565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Cumplir con eficiencia los servicios, comisiones y órdenes que reciban, siempre que sean apegadas a derecho y no constituyan un delito;</w:t>
      </w:r>
    </w:p>
    <w:p w14:paraId="3A47566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Permanecer a la escucha, con el objeto de prestar rápido y oportuno apoyo en donde se solicite, previa autorización del superior jerárquico;</w:t>
      </w:r>
    </w:p>
    <w:p w14:paraId="3A47566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Cuidar la seguridad del peatón en las vías públicas, dando preferencia a éste sobre los vehículos;</w:t>
      </w:r>
    </w:p>
    <w:p w14:paraId="3A47566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Realizar su recorrido cubriendo el área de servicio que se le asigne, informando por los medios de comunicación a su alcance de novedades y anomalías en la vialidad, para su corrección o pronta solución;</w:t>
      </w:r>
    </w:p>
    <w:p w14:paraId="3A47566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Mantener limpias las unidades que se les asignen y en buen estado mecánico, presentándolas en forma periódica para el mantenimiento preventivo y correctivo.</w:t>
      </w:r>
    </w:p>
    <w:p w14:paraId="3A47566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Presentarse a su servicio puntual y luciendo el uniforme pulcramente, debiendo utilizar el tocado durante el servicio, salvo cuando ingrese a un recinto cerrado;</w:t>
      </w:r>
    </w:p>
    <w:p w14:paraId="3A47566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Portar su gafete de identificación en forma visible en el desempeño de sus funciones;</w:t>
      </w:r>
    </w:p>
    <w:p w14:paraId="3A47566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 </w:t>
      </w:r>
      <w:r>
        <w:rPr>
          <w:rFonts w:ascii="Gotham" w:hAnsi="Gotham" w:cs="Arial"/>
          <w:sz w:val="19"/>
          <w:szCs w:val="19"/>
        </w:rPr>
        <w:tab/>
      </w:r>
      <w:r w:rsidRPr="00CB0307">
        <w:rPr>
          <w:rFonts w:ascii="Gotham" w:hAnsi="Gotham" w:cs="Arial"/>
          <w:sz w:val="19"/>
          <w:szCs w:val="19"/>
        </w:rPr>
        <w:t>Desempeñarse en el servicio de acuerdo a los roles y órdenes que dicte el superior jerárquico;</w:t>
      </w:r>
    </w:p>
    <w:p w14:paraId="3A47566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 </w:t>
      </w:r>
      <w:r>
        <w:rPr>
          <w:rFonts w:ascii="Gotham" w:hAnsi="Gotham" w:cs="Arial"/>
          <w:sz w:val="19"/>
          <w:szCs w:val="19"/>
        </w:rPr>
        <w:tab/>
      </w:r>
      <w:r w:rsidRPr="00CB0307">
        <w:rPr>
          <w:rFonts w:ascii="Gotham" w:hAnsi="Gotham" w:cs="Arial"/>
          <w:sz w:val="19"/>
          <w:szCs w:val="19"/>
        </w:rPr>
        <w:t>Agilizar la vialidad cuando haya tráfico intenso y, en casos de emergencia, solicitar instrucciones al superior jerárquico;</w:t>
      </w:r>
    </w:p>
    <w:p w14:paraId="3A47566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 </w:t>
      </w:r>
      <w:r>
        <w:rPr>
          <w:rFonts w:ascii="Gotham" w:hAnsi="Gotham" w:cs="Arial"/>
          <w:sz w:val="19"/>
          <w:szCs w:val="19"/>
        </w:rPr>
        <w:tab/>
      </w:r>
      <w:r w:rsidRPr="00CB0307">
        <w:rPr>
          <w:rFonts w:ascii="Gotham" w:hAnsi="Gotham" w:cs="Arial"/>
          <w:sz w:val="19"/>
          <w:szCs w:val="19"/>
        </w:rPr>
        <w:t>Elaborar las Cédulas de Notificación de Infracción de manera cuidadosa y detallada, narrando las circunstancias de tiempo, modo, lugar y cómo sucedieron los hechos, firmando los citados documentos y anotando con claridad los datos personales de los implicados;</w:t>
      </w:r>
    </w:p>
    <w:p w14:paraId="3A47566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XIII. </w:t>
      </w:r>
      <w:r>
        <w:rPr>
          <w:rFonts w:ascii="Gotham" w:hAnsi="Gotham" w:cs="Arial"/>
          <w:sz w:val="19"/>
          <w:szCs w:val="19"/>
        </w:rPr>
        <w:tab/>
      </w:r>
      <w:r w:rsidRPr="00CB0307">
        <w:rPr>
          <w:rFonts w:ascii="Gotham" w:hAnsi="Gotham" w:cs="Arial"/>
          <w:sz w:val="19"/>
          <w:szCs w:val="19"/>
        </w:rPr>
        <w:t>Elaborar las Actas de Infracción de manera cuidadosa y detallada, narrando las circunstancias de tiempo, modo, lugar y cómo sucedieron los hechos, firmando los citados documentos y anotando con claridad los datos personales de los implicados;</w:t>
      </w:r>
    </w:p>
    <w:p w14:paraId="3A47566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XIV. </w:t>
      </w:r>
      <w:r>
        <w:rPr>
          <w:rFonts w:ascii="Gotham" w:hAnsi="Gotham" w:cs="Arial"/>
          <w:sz w:val="19"/>
          <w:szCs w:val="19"/>
        </w:rPr>
        <w:tab/>
      </w:r>
      <w:r w:rsidRPr="00CB0307">
        <w:rPr>
          <w:rFonts w:ascii="Gotham" w:hAnsi="Gotham" w:cs="Arial"/>
          <w:sz w:val="19"/>
          <w:szCs w:val="19"/>
        </w:rPr>
        <w:t>Elaborar las Actas de Apercibimiento de manera cuidadosa y detallada, narrando las circunstancias de tiempo, modo, lugar y cómo sucedieron los hechos, firmando los citados documentos y anotando con claridad los datos personales de los implicados;</w:t>
      </w:r>
    </w:p>
    <w:p w14:paraId="3A47566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XV. </w:t>
      </w:r>
      <w:r>
        <w:rPr>
          <w:rFonts w:ascii="Gotham" w:hAnsi="Gotham" w:cs="Arial"/>
          <w:sz w:val="19"/>
          <w:szCs w:val="19"/>
        </w:rPr>
        <w:tab/>
      </w:r>
      <w:r w:rsidRPr="00CB0307">
        <w:rPr>
          <w:rFonts w:ascii="Gotham" w:hAnsi="Gotham" w:cs="Arial"/>
          <w:sz w:val="19"/>
          <w:szCs w:val="19"/>
        </w:rPr>
        <w:t>Elaborar las Actas Circunstanciadas de manera cuidadosa y detallada, narrando las circunstancias de tiempo, modo, lugar y cómo sucedieron los hechos, firmando los citados documentos y anotando con claridad los datos personales de los implicados;</w:t>
      </w:r>
    </w:p>
    <w:p w14:paraId="3A47566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 </w:t>
      </w:r>
      <w:r>
        <w:rPr>
          <w:rFonts w:ascii="Gotham" w:hAnsi="Gotham" w:cs="Arial"/>
          <w:sz w:val="19"/>
          <w:szCs w:val="19"/>
        </w:rPr>
        <w:tab/>
      </w:r>
      <w:r w:rsidRPr="00CB0307">
        <w:rPr>
          <w:rFonts w:ascii="Gotham" w:hAnsi="Gotham" w:cs="Arial"/>
          <w:sz w:val="19"/>
          <w:szCs w:val="19"/>
        </w:rPr>
        <w:t>Elaborar los partes informativos de manera cuidadosa y detallada, narrando las circunstancias de tiempo, modo, lugar y cómo sucedieron los hechos, firmando los citados documentos y anotando con claridad los datos personales de los implicados;</w:t>
      </w:r>
    </w:p>
    <w:p w14:paraId="3A47566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 </w:t>
      </w:r>
      <w:r>
        <w:rPr>
          <w:rFonts w:ascii="Gotham" w:hAnsi="Gotham" w:cs="Arial"/>
          <w:sz w:val="19"/>
          <w:szCs w:val="19"/>
        </w:rPr>
        <w:tab/>
      </w:r>
      <w:r w:rsidRPr="00CB0307">
        <w:rPr>
          <w:rFonts w:ascii="Gotham" w:hAnsi="Gotham" w:cs="Arial"/>
          <w:sz w:val="19"/>
          <w:szCs w:val="19"/>
        </w:rPr>
        <w:t>Asistir con puntualidad a los cursos que el Jefe de Agentes de Movilidad y Seguridad Vial comisione y encomiende con fin de capacitación académica;</w:t>
      </w:r>
    </w:p>
    <w:p w14:paraId="3A47566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XVIII. </w:t>
      </w:r>
      <w:r>
        <w:rPr>
          <w:rFonts w:ascii="Gotham" w:hAnsi="Gotham" w:cs="Arial"/>
          <w:sz w:val="19"/>
          <w:szCs w:val="19"/>
        </w:rPr>
        <w:tab/>
      </w:r>
      <w:r w:rsidRPr="00CB0307">
        <w:rPr>
          <w:rFonts w:ascii="Gotham" w:hAnsi="Gotham" w:cs="Arial"/>
          <w:sz w:val="19"/>
          <w:szCs w:val="19"/>
        </w:rPr>
        <w:t>Comparecer ante el Órgano Interno de Control y/o su Equivalente cuando se requiera su presencia para el desahogo de alguna diligencia administrativa que tenga relación con sus funciones operativas;</w:t>
      </w:r>
    </w:p>
    <w:p w14:paraId="3A47566F"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XIX. </w:t>
      </w:r>
      <w:r>
        <w:rPr>
          <w:rFonts w:ascii="Gotham" w:hAnsi="Gotham" w:cs="Arial"/>
          <w:sz w:val="19"/>
          <w:szCs w:val="19"/>
        </w:rPr>
        <w:tab/>
      </w:r>
      <w:r w:rsidRPr="00CB0307">
        <w:rPr>
          <w:rFonts w:ascii="Gotham" w:hAnsi="Gotham" w:cs="Arial"/>
          <w:sz w:val="19"/>
          <w:szCs w:val="19"/>
        </w:rPr>
        <w:t>Las demás que les señalen las disposiciones legales aplicables en la materia.</w:t>
      </w:r>
    </w:p>
    <w:p w14:paraId="3A475670" w14:textId="77777777" w:rsidR="009B5E39" w:rsidRPr="00CB0307" w:rsidRDefault="009B5E39" w:rsidP="009B5E39">
      <w:pPr>
        <w:ind w:left="284" w:right="283"/>
        <w:jc w:val="both"/>
        <w:rPr>
          <w:rFonts w:ascii="Gotham" w:hAnsi="Gotham" w:cs="Arial"/>
          <w:b/>
          <w:sz w:val="19"/>
          <w:szCs w:val="19"/>
        </w:rPr>
      </w:pPr>
    </w:p>
    <w:p w14:paraId="3A475671" w14:textId="77777777" w:rsidR="009B5E39" w:rsidRPr="00CB0307" w:rsidRDefault="009B5E39" w:rsidP="009B5E39">
      <w:pPr>
        <w:ind w:left="284" w:right="283"/>
        <w:jc w:val="both"/>
        <w:rPr>
          <w:rFonts w:ascii="Gotham" w:hAnsi="Gotham" w:cs="Arial"/>
          <w:bCs/>
          <w:sz w:val="19"/>
          <w:szCs w:val="19"/>
        </w:rPr>
      </w:pPr>
      <w:r w:rsidRPr="00CB0307">
        <w:rPr>
          <w:rFonts w:ascii="Gotham" w:hAnsi="Gotham" w:cs="Arial"/>
          <w:b/>
          <w:sz w:val="19"/>
          <w:szCs w:val="19"/>
        </w:rPr>
        <w:t xml:space="preserve">Artículo 13. </w:t>
      </w:r>
      <w:r w:rsidRPr="00CB0307">
        <w:rPr>
          <w:rFonts w:ascii="Gotham" w:hAnsi="Gotham" w:cs="Arial"/>
          <w:bCs/>
          <w:sz w:val="19"/>
          <w:szCs w:val="19"/>
        </w:rPr>
        <w:t>Serán sancionados los Agentes de Movilidad y Seguridad Vial que incurran en las faltas siguientes:</w:t>
      </w:r>
    </w:p>
    <w:p w14:paraId="3A475672" w14:textId="77777777" w:rsidR="009B5E39" w:rsidRPr="00CB0307" w:rsidRDefault="009B5E39" w:rsidP="009B5E39">
      <w:pPr>
        <w:ind w:left="284" w:right="283"/>
        <w:jc w:val="both"/>
        <w:rPr>
          <w:rFonts w:ascii="Gotham" w:hAnsi="Gotham" w:cs="Arial"/>
          <w:sz w:val="19"/>
          <w:szCs w:val="19"/>
        </w:rPr>
      </w:pPr>
    </w:p>
    <w:p w14:paraId="3A47567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Negarse a efectuar las demostraciones de respeto hacia un superior jerárquico;</w:t>
      </w:r>
    </w:p>
    <w:p w14:paraId="3A47567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Quitarse y/o negarse a utilizar el tocado durante el servicio, excepto al momento de ingresar a un espacio cubierto;</w:t>
      </w:r>
    </w:p>
    <w:p w14:paraId="3A47567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En personal masculino, negarse a usar el cabello corto, barba rasurada, bigote y patillas recortados y, en general, se presente a cubrir su servicio desaseado;</w:t>
      </w:r>
    </w:p>
    <w:p w14:paraId="3A47567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 xml:space="preserve">En Personal femenino, negarse a tener el pelo recogido y, en general, se presente a cubrir su servicio </w:t>
      </w:r>
      <w:proofErr w:type="gramStart"/>
      <w:r w:rsidRPr="00CB0307">
        <w:rPr>
          <w:rFonts w:ascii="Gotham" w:hAnsi="Gotham" w:cs="Arial"/>
          <w:sz w:val="19"/>
          <w:szCs w:val="19"/>
        </w:rPr>
        <w:t>desaseada</w:t>
      </w:r>
      <w:proofErr w:type="gramEnd"/>
      <w:r w:rsidRPr="00CB0307">
        <w:rPr>
          <w:rFonts w:ascii="Gotham" w:hAnsi="Gotham" w:cs="Arial"/>
          <w:sz w:val="19"/>
          <w:szCs w:val="19"/>
        </w:rPr>
        <w:t xml:space="preserve">; </w:t>
      </w:r>
    </w:p>
    <w:p w14:paraId="3A47567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Fumar y/o masticar chicle y/o escupir estando en filas;</w:t>
      </w:r>
    </w:p>
    <w:p w14:paraId="3A47567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Llegar tarde a la lista y/o a la asignación de servicios;</w:t>
      </w:r>
    </w:p>
    <w:p w14:paraId="3A47567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Negarse y/o olvidar rendir novedades durante y al término del servicio;</w:t>
      </w:r>
    </w:p>
    <w:p w14:paraId="3A47567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Negarse y/o ocultar su gafete de identificación como Agente de Movilidad;</w:t>
      </w:r>
    </w:p>
    <w:p w14:paraId="3A47567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Negarse a usar el chaleco reflejante, distintivo de la Jefatura de Agentes de Movilidad y Seguridad Vial;</w:t>
      </w:r>
    </w:p>
    <w:p w14:paraId="3A47567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Hacer mal uso del radio o no contestar cuando se le requiera;</w:t>
      </w:r>
    </w:p>
    <w:p w14:paraId="3A47567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 </w:t>
      </w:r>
      <w:r>
        <w:rPr>
          <w:rFonts w:ascii="Gotham" w:hAnsi="Gotham" w:cs="Arial"/>
          <w:sz w:val="19"/>
          <w:szCs w:val="19"/>
        </w:rPr>
        <w:tab/>
      </w:r>
      <w:r w:rsidRPr="00CB0307">
        <w:rPr>
          <w:rFonts w:ascii="Gotham" w:hAnsi="Gotham" w:cs="Arial"/>
          <w:sz w:val="19"/>
          <w:szCs w:val="19"/>
        </w:rPr>
        <w:t>Negarse a firmar el formato de resguardo;</w:t>
      </w:r>
    </w:p>
    <w:p w14:paraId="3A47567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 </w:t>
      </w:r>
      <w:r>
        <w:rPr>
          <w:rFonts w:ascii="Gotham" w:hAnsi="Gotham" w:cs="Arial"/>
          <w:sz w:val="19"/>
          <w:szCs w:val="19"/>
        </w:rPr>
        <w:tab/>
      </w:r>
      <w:r w:rsidRPr="00CB0307">
        <w:rPr>
          <w:rFonts w:ascii="Gotham" w:hAnsi="Gotham" w:cs="Arial"/>
          <w:sz w:val="19"/>
          <w:szCs w:val="19"/>
        </w:rPr>
        <w:t>Hacer mal uso o no entregar al término de su servicio, el equipo que le fue asignado;</w:t>
      </w:r>
    </w:p>
    <w:p w14:paraId="3A47567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  </w:t>
      </w:r>
      <w:r>
        <w:rPr>
          <w:rFonts w:ascii="Gotham" w:hAnsi="Gotham" w:cs="Arial"/>
          <w:sz w:val="19"/>
          <w:szCs w:val="19"/>
        </w:rPr>
        <w:tab/>
      </w:r>
      <w:r w:rsidRPr="00CB0307">
        <w:rPr>
          <w:rFonts w:ascii="Gotham" w:hAnsi="Gotham" w:cs="Arial"/>
          <w:sz w:val="19"/>
          <w:szCs w:val="19"/>
        </w:rPr>
        <w:t>Promover la indisciplina en sus compañeros y/o separarse sin autorización estando en filas;</w:t>
      </w:r>
    </w:p>
    <w:p w14:paraId="3A47568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XIII. </w:t>
      </w:r>
      <w:r>
        <w:rPr>
          <w:rFonts w:ascii="Gotham" w:hAnsi="Gotham" w:cs="Arial"/>
          <w:sz w:val="19"/>
          <w:szCs w:val="19"/>
        </w:rPr>
        <w:tab/>
      </w:r>
      <w:r w:rsidRPr="00CB0307">
        <w:rPr>
          <w:rFonts w:ascii="Gotham" w:hAnsi="Gotham" w:cs="Arial"/>
          <w:sz w:val="19"/>
          <w:szCs w:val="19"/>
        </w:rPr>
        <w:t>Permanecer fuera del área asignada sin causa justificada u orden del superior jerárquico;</w:t>
      </w:r>
    </w:p>
    <w:p w14:paraId="3A47568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XIV. </w:t>
      </w:r>
      <w:r>
        <w:rPr>
          <w:rFonts w:ascii="Gotham" w:hAnsi="Gotham" w:cs="Arial"/>
          <w:sz w:val="19"/>
          <w:szCs w:val="19"/>
        </w:rPr>
        <w:tab/>
      </w:r>
      <w:r w:rsidRPr="00CB0307">
        <w:rPr>
          <w:rFonts w:ascii="Gotham" w:hAnsi="Gotham" w:cs="Arial"/>
          <w:sz w:val="19"/>
          <w:szCs w:val="19"/>
        </w:rPr>
        <w:t>Saltar y/o omitir conductos al superior jerárquico al tratar asuntos oficiales y de servicio;</w:t>
      </w:r>
    </w:p>
    <w:p w14:paraId="3A47568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 </w:t>
      </w:r>
      <w:r>
        <w:rPr>
          <w:rFonts w:ascii="Gotham" w:hAnsi="Gotham" w:cs="Arial"/>
          <w:sz w:val="19"/>
          <w:szCs w:val="19"/>
        </w:rPr>
        <w:tab/>
      </w:r>
      <w:r w:rsidRPr="00CB0307">
        <w:rPr>
          <w:rFonts w:ascii="Gotham" w:hAnsi="Gotham" w:cs="Arial"/>
          <w:sz w:val="19"/>
          <w:szCs w:val="19"/>
        </w:rPr>
        <w:t>Negarse a asistir a los citatorios o hacer caso omiso a los mismos, siempre que se realicen en su horario de trabajo;</w:t>
      </w:r>
    </w:p>
    <w:p w14:paraId="3A47568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 </w:t>
      </w:r>
      <w:r>
        <w:rPr>
          <w:rFonts w:ascii="Gotham" w:hAnsi="Gotham" w:cs="Arial"/>
          <w:sz w:val="19"/>
          <w:szCs w:val="19"/>
        </w:rPr>
        <w:tab/>
      </w:r>
      <w:r w:rsidRPr="00CB0307">
        <w:rPr>
          <w:rFonts w:ascii="Gotham" w:hAnsi="Gotham" w:cs="Arial"/>
          <w:sz w:val="19"/>
          <w:szCs w:val="19"/>
        </w:rPr>
        <w:t>Vestir prendas de civil que no correspondan a las autorizadas por el superior jerárquico;</w:t>
      </w:r>
    </w:p>
    <w:p w14:paraId="3A47568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 </w:t>
      </w:r>
      <w:r>
        <w:rPr>
          <w:rFonts w:ascii="Gotham" w:hAnsi="Gotham" w:cs="Arial"/>
          <w:sz w:val="19"/>
          <w:szCs w:val="19"/>
        </w:rPr>
        <w:tab/>
      </w:r>
      <w:r w:rsidRPr="00CB0307">
        <w:rPr>
          <w:rFonts w:ascii="Gotham" w:hAnsi="Gotham" w:cs="Arial"/>
          <w:sz w:val="19"/>
          <w:szCs w:val="19"/>
        </w:rPr>
        <w:t>Abandonar o separarse temporalmente del servicio sin autorización o causa justificada.</w:t>
      </w:r>
    </w:p>
    <w:p w14:paraId="3A47568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XVIII. </w:t>
      </w:r>
      <w:r>
        <w:rPr>
          <w:rFonts w:ascii="Gotham" w:hAnsi="Gotham" w:cs="Arial"/>
          <w:sz w:val="19"/>
          <w:szCs w:val="19"/>
        </w:rPr>
        <w:tab/>
      </w:r>
      <w:r w:rsidRPr="00CB0307">
        <w:rPr>
          <w:rFonts w:ascii="Gotham" w:hAnsi="Gotham" w:cs="Arial"/>
          <w:sz w:val="19"/>
          <w:szCs w:val="19"/>
        </w:rPr>
        <w:t>Incumplir órdenes o instrucciones impartidas por un superior jerárquico;</w:t>
      </w:r>
    </w:p>
    <w:p w14:paraId="3A47568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XIX. </w:t>
      </w:r>
      <w:r>
        <w:rPr>
          <w:rFonts w:ascii="Gotham" w:hAnsi="Gotham" w:cs="Arial"/>
          <w:sz w:val="19"/>
          <w:szCs w:val="19"/>
        </w:rPr>
        <w:tab/>
      </w:r>
      <w:r w:rsidRPr="00CB0307">
        <w:rPr>
          <w:rFonts w:ascii="Gotham" w:hAnsi="Gotham" w:cs="Arial"/>
          <w:sz w:val="19"/>
          <w:szCs w:val="19"/>
        </w:rPr>
        <w:t>Actuar con negligencia en el desempeño de un servicio o comisión;</w:t>
      </w:r>
    </w:p>
    <w:p w14:paraId="3A47568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XX. </w:t>
      </w:r>
      <w:r>
        <w:rPr>
          <w:rFonts w:ascii="Gotham" w:hAnsi="Gotham" w:cs="Arial"/>
          <w:sz w:val="19"/>
          <w:szCs w:val="19"/>
        </w:rPr>
        <w:tab/>
      </w:r>
      <w:r w:rsidRPr="00CB0307">
        <w:rPr>
          <w:rFonts w:ascii="Gotham" w:hAnsi="Gotham" w:cs="Arial"/>
          <w:sz w:val="19"/>
          <w:szCs w:val="19"/>
        </w:rPr>
        <w:t>Alterar o asentar datos incorrectos en los documentos que elabore con motivo de su servicio y declarar con falsedad ante las autoridades administrativas correspondiente a las obligaciones de las fracciones XII, XIII, XIV, XV y XVI del Artículo 12.;</w:t>
      </w:r>
    </w:p>
    <w:p w14:paraId="3A47568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 </w:t>
      </w:r>
      <w:r>
        <w:rPr>
          <w:rFonts w:ascii="Gotham" w:hAnsi="Gotham" w:cs="Arial"/>
          <w:sz w:val="19"/>
          <w:szCs w:val="19"/>
        </w:rPr>
        <w:tab/>
      </w:r>
      <w:r w:rsidRPr="00CB0307">
        <w:rPr>
          <w:rFonts w:ascii="Gotham" w:hAnsi="Gotham" w:cs="Arial"/>
          <w:sz w:val="19"/>
          <w:szCs w:val="19"/>
        </w:rPr>
        <w:t>Dirigirse a cualquier persona con apodos, insultos, improperios o realizar señas obscenas;</w:t>
      </w:r>
    </w:p>
    <w:p w14:paraId="3A47568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XXII. </w:t>
      </w:r>
      <w:r>
        <w:rPr>
          <w:rFonts w:ascii="Gotham" w:hAnsi="Gotham" w:cs="Arial"/>
          <w:sz w:val="19"/>
          <w:szCs w:val="19"/>
        </w:rPr>
        <w:tab/>
      </w:r>
      <w:r w:rsidRPr="00CB0307">
        <w:rPr>
          <w:rFonts w:ascii="Gotham" w:hAnsi="Gotham" w:cs="Arial"/>
          <w:sz w:val="19"/>
          <w:szCs w:val="19"/>
        </w:rPr>
        <w:t>Permitir que el equipo, material y unidad oficial la utilice otro compañero o elemento extraño, sin autorización;</w:t>
      </w:r>
    </w:p>
    <w:p w14:paraId="3A47568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XXIII. </w:t>
      </w:r>
      <w:r>
        <w:rPr>
          <w:rFonts w:ascii="Gotham" w:hAnsi="Gotham" w:cs="Arial"/>
          <w:sz w:val="19"/>
          <w:szCs w:val="19"/>
        </w:rPr>
        <w:tab/>
      </w:r>
      <w:r w:rsidRPr="00CB0307">
        <w:rPr>
          <w:rFonts w:ascii="Gotham" w:hAnsi="Gotham" w:cs="Arial"/>
          <w:sz w:val="19"/>
          <w:szCs w:val="19"/>
        </w:rPr>
        <w:t>Actuar con negligencia en el empleo del equipo, material y unidad oficial que se asigne para el servicio;</w:t>
      </w:r>
    </w:p>
    <w:p w14:paraId="3A47568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XXIV. </w:t>
      </w:r>
      <w:r>
        <w:rPr>
          <w:rFonts w:ascii="Gotham" w:hAnsi="Gotham" w:cs="Arial"/>
          <w:sz w:val="19"/>
          <w:szCs w:val="19"/>
        </w:rPr>
        <w:tab/>
      </w:r>
      <w:r w:rsidRPr="00CB0307">
        <w:rPr>
          <w:rFonts w:ascii="Gotham" w:hAnsi="Gotham" w:cs="Arial"/>
          <w:sz w:val="19"/>
          <w:szCs w:val="19"/>
        </w:rPr>
        <w:t>Utilizar indebidamente el equipo, material y unidad oficial destinados para el servicio;</w:t>
      </w:r>
    </w:p>
    <w:p w14:paraId="3A47568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XXV. </w:t>
      </w:r>
      <w:r>
        <w:rPr>
          <w:rFonts w:ascii="Gotham" w:hAnsi="Gotham" w:cs="Arial"/>
          <w:sz w:val="19"/>
          <w:szCs w:val="19"/>
        </w:rPr>
        <w:tab/>
      </w:r>
      <w:r w:rsidRPr="00CB0307">
        <w:rPr>
          <w:rFonts w:ascii="Gotham" w:hAnsi="Gotham" w:cs="Arial"/>
          <w:sz w:val="19"/>
          <w:szCs w:val="19"/>
        </w:rPr>
        <w:t>Extraviar el vestuario, equipo y material que se le encomienden para su guardia o custodia, independientemente de su obligación a restituirlo;</w:t>
      </w:r>
    </w:p>
    <w:p w14:paraId="3A47568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XXVI. </w:t>
      </w:r>
      <w:r>
        <w:rPr>
          <w:rFonts w:ascii="Gotham" w:hAnsi="Gotham" w:cs="Arial"/>
          <w:sz w:val="19"/>
          <w:szCs w:val="19"/>
        </w:rPr>
        <w:tab/>
      </w:r>
      <w:r w:rsidRPr="00CB0307">
        <w:rPr>
          <w:rFonts w:ascii="Gotham" w:hAnsi="Gotham" w:cs="Arial"/>
          <w:sz w:val="19"/>
          <w:szCs w:val="19"/>
        </w:rPr>
        <w:t>Retener vehículos, personas y documentos en contravención a las Leyes y Reglamentos de la materia de Movilidad y demás Legislaciones;</w:t>
      </w:r>
    </w:p>
    <w:p w14:paraId="3A47568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XXVII. </w:t>
      </w:r>
      <w:r>
        <w:rPr>
          <w:rFonts w:ascii="Gotham" w:hAnsi="Gotham" w:cs="Arial"/>
          <w:sz w:val="19"/>
          <w:szCs w:val="19"/>
        </w:rPr>
        <w:tab/>
      </w:r>
      <w:r w:rsidRPr="00CB0307">
        <w:rPr>
          <w:rFonts w:ascii="Gotham" w:hAnsi="Gotham" w:cs="Arial"/>
          <w:sz w:val="19"/>
          <w:szCs w:val="19"/>
        </w:rPr>
        <w:t>Dictar órdenes que lesionen la integridad física o moral de los subalternos;</w:t>
      </w:r>
    </w:p>
    <w:p w14:paraId="3A47568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XXVIII. </w:t>
      </w:r>
      <w:r>
        <w:rPr>
          <w:rFonts w:ascii="Gotham" w:hAnsi="Gotham" w:cs="Arial"/>
          <w:sz w:val="19"/>
          <w:szCs w:val="19"/>
        </w:rPr>
        <w:tab/>
      </w:r>
      <w:r w:rsidRPr="00CB0307">
        <w:rPr>
          <w:rFonts w:ascii="Gotham" w:hAnsi="Gotham" w:cs="Arial"/>
          <w:sz w:val="19"/>
          <w:szCs w:val="19"/>
        </w:rPr>
        <w:t>Reñir verbal o físicamente con otro compañero de labores o con persona ajena a la Jefatura de Agentes de Movilidad y Seguridad.</w:t>
      </w:r>
    </w:p>
    <w:p w14:paraId="3A47569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XXIX. </w:t>
      </w:r>
      <w:r>
        <w:rPr>
          <w:rFonts w:ascii="Gotham" w:hAnsi="Gotham" w:cs="Arial"/>
          <w:sz w:val="19"/>
          <w:szCs w:val="19"/>
        </w:rPr>
        <w:tab/>
      </w:r>
      <w:r w:rsidRPr="00CB0307">
        <w:rPr>
          <w:rFonts w:ascii="Gotham" w:hAnsi="Gotham" w:cs="Arial"/>
          <w:sz w:val="19"/>
          <w:szCs w:val="19"/>
        </w:rPr>
        <w:t>Manifestar disgusto, desprecio o indiferencia hacia las funciones encomendadas y hacia las personas con las que tenga trato en la ejecución del servicio;</w:t>
      </w:r>
    </w:p>
    <w:p w14:paraId="3A47569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XXX. </w:t>
      </w:r>
      <w:r>
        <w:rPr>
          <w:rFonts w:ascii="Gotham" w:hAnsi="Gotham" w:cs="Arial"/>
          <w:sz w:val="19"/>
          <w:szCs w:val="19"/>
        </w:rPr>
        <w:tab/>
      </w:r>
      <w:r w:rsidRPr="00CB0307">
        <w:rPr>
          <w:rFonts w:ascii="Gotham" w:hAnsi="Gotham" w:cs="Arial"/>
          <w:sz w:val="19"/>
          <w:szCs w:val="19"/>
        </w:rPr>
        <w:t>Faltar injustificadamente a sus labores por más de 3 días o acumulables en el periodo de 30 días;</w:t>
      </w:r>
    </w:p>
    <w:p w14:paraId="3A47569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XXXI. </w:t>
      </w:r>
      <w:r>
        <w:rPr>
          <w:rFonts w:ascii="Gotham" w:hAnsi="Gotham" w:cs="Arial"/>
          <w:sz w:val="19"/>
          <w:szCs w:val="19"/>
        </w:rPr>
        <w:tab/>
      </w:r>
      <w:r w:rsidRPr="00CB0307">
        <w:rPr>
          <w:rFonts w:ascii="Gotham" w:hAnsi="Gotham" w:cs="Arial"/>
          <w:sz w:val="19"/>
          <w:szCs w:val="19"/>
        </w:rPr>
        <w:t>Portar el vestuario, equipo, material y documentos oficiales asignados, fuera de los horarios de servicio.</w:t>
      </w:r>
    </w:p>
    <w:p w14:paraId="3A47569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XXXII. </w:t>
      </w:r>
      <w:r>
        <w:rPr>
          <w:rFonts w:ascii="Gotham" w:hAnsi="Gotham" w:cs="Arial"/>
          <w:sz w:val="19"/>
          <w:szCs w:val="19"/>
        </w:rPr>
        <w:tab/>
      </w:r>
      <w:r w:rsidRPr="00CB0307">
        <w:rPr>
          <w:rFonts w:ascii="Gotham" w:hAnsi="Gotham" w:cs="Arial"/>
          <w:sz w:val="19"/>
          <w:szCs w:val="19"/>
        </w:rPr>
        <w:t>Hacer uso de vehículos oficiales en forma indebida;</w:t>
      </w:r>
    </w:p>
    <w:p w14:paraId="3A47569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XXXIII. </w:t>
      </w:r>
      <w:r>
        <w:rPr>
          <w:rFonts w:ascii="Gotham" w:hAnsi="Gotham" w:cs="Arial"/>
          <w:sz w:val="19"/>
          <w:szCs w:val="19"/>
        </w:rPr>
        <w:tab/>
      </w:r>
      <w:r w:rsidRPr="00CB0307">
        <w:rPr>
          <w:rFonts w:ascii="Gotham" w:hAnsi="Gotham" w:cs="Arial"/>
          <w:sz w:val="19"/>
          <w:szCs w:val="19"/>
        </w:rPr>
        <w:t>Ostentar una jerarquía que no le corresponde;</w:t>
      </w:r>
    </w:p>
    <w:p w14:paraId="3A47569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XXXIV. </w:t>
      </w:r>
      <w:r>
        <w:rPr>
          <w:rFonts w:ascii="Gotham" w:hAnsi="Gotham" w:cs="Arial"/>
          <w:sz w:val="19"/>
          <w:szCs w:val="19"/>
        </w:rPr>
        <w:tab/>
      </w:r>
      <w:r w:rsidRPr="00CB0307">
        <w:rPr>
          <w:rFonts w:ascii="Gotham" w:hAnsi="Gotham" w:cs="Arial"/>
          <w:sz w:val="19"/>
          <w:szCs w:val="19"/>
        </w:rPr>
        <w:t>Efectuar actos indignos que desprestigien a la Coordinación del Gabinete de Seguridad, Prevención, Servicios de Emergencia y Movilidad y la Jefatura de Agentes de Movilidad y Seguridad Vial dentro o fuera de su servicio portando el uniforme o sin este;</w:t>
      </w:r>
    </w:p>
    <w:p w14:paraId="3A47569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XXXV. </w:t>
      </w:r>
      <w:r>
        <w:rPr>
          <w:rFonts w:ascii="Gotham" w:hAnsi="Gotham" w:cs="Arial"/>
          <w:sz w:val="19"/>
          <w:szCs w:val="19"/>
        </w:rPr>
        <w:tab/>
      </w:r>
      <w:r w:rsidRPr="00CB0307">
        <w:rPr>
          <w:rFonts w:ascii="Gotham" w:hAnsi="Gotham" w:cs="Arial"/>
          <w:sz w:val="19"/>
          <w:szCs w:val="19"/>
        </w:rPr>
        <w:t>Concurrir como clientes a bares, cantinas, cabarets o cualquier establecimiento en donde se expendan bebidas alcohólicas, uniformados total o parcialmente;</w:t>
      </w:r>
    </w:p>
    <w:p w14:paraId="3A475697"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XXXVI. </w:t>
      </w:r>
      <w:r>
        <w:rPr>
          <w:rFonts w:ascii="Gotham" w:hAnsi="Gotham" w:cs="Arial"/>
          <w:sz w:val="19"/>
          <w:szCs w:val="19"/>
        </w:rPr>
        <w:tab/>
      </w:r>
      <w:r w:rsidRPr="00CB0307">
        <w:rPr>
          <w:rFonts w:ascii="Gotham" w:hAnsi="Gotham" w:cs="Arial"/>
          <w:sz w:val="19"/>
          <w:szCs w:val="19"/>
        </w:rPr>
        <w:t>Dirigirse hacia el ciudadano con motivo de su servicio con vocabulario inapropiado, palabras altisonantes, disgusto, desprecio, en forma descortés o amenazante, previa comprobación de la falta;</w:t>
      </w:r>
    </w:p>
    <w:p w14:paraId="3A475698" w14:textId="77777777" w:rsidR="009B5E39" w:rsidRDefault="009B5E39" w:rsidP="009B5E39">
      <w:pPr>
        <w:ind w:left="284" w:right="283"/>
        <w:jc w:val="center"/>
        <w:rPr>
          <w:rFonts w:ascii="Gotham" w:hAnsi="Gotham" w:cs="Arial"/>
          <w:b/>
          <w:bCs/>
          <w:sz w:val="19"/>
          <w:szCs w:val="19"/>
        </w:rPr>
      </w:pPr>
    </w:p>
    <w:p w14:paraId="3A475699" w14:textId="77777777" w:rsidR="009B5E39" w:rsidRDefault="009B5E39" w:rsidP="009B5E39">
      <w:pPr>
        <w:ind w:left="284" w:right="283"/>
        <w:jc w:val="center"/>
        <w:rPr>
          <w:rFonts w:ascii="Gotham" w:hAnsi="Gotham" w:cs="Arial"/>
          <w:b/>
          <w:bCs/>
          <w:sz w:val="19"/>
          <w:szCs w:val="19"/>
        </w:rPr>
      </w:pPr>
    </w:p>
    <w:p w14:paraId="3A47569A"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TÍTULO</w:t>
      </w:r>
      <w:r w:rsidRPr="00CB0307">
        <w:rPr>
          <w:rFonts w:ascii="Gotham" w:hAnsi="Gotham" w:cs="Arial"/>
          <w:b/>
          <w:bCs/>
          <w:spacing w:val="-8"/>
          <w:sz w:val="19"/>
          <w:szCs w:val="19"/>
        </w:rPr>
        <w:t xml:space="preserve"> </w:t>
      </w:r>
      <w:r w:rsidRPr="00CB0307">
        <w:rPr>
          <w:rFonts w:ascii="Gotham" w:hAnsi="Gotham" w:cs="Arial"/>
          <w:b/>
          <w:bCs/>
          <w:sz w:val="19"/>
          <w:szCs w:val="19"/>
        </w:rPr>
        <w:t>II</w:t>
      </w:r>
    </w:p>
    <w:p w14:paraId="3A47569B"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bCs/>
          <w:sz w:val="19"/>
          <w:szCs w:val="19"/>
        </w:rPr>
        <w:t>DEL</w:t>
      </w:r>
      <w:r w:rsidRPr="00CB0307">
        <w:rPr>
          <w:rFonts w:ascii="Gotham" w:hAnsi="Gotham" w:cs="Arial"/>
          <w:b/>
          <w:bCs/>
          <w:spacing w:val="-2"/>
          <w:sz w:val="19"/>
          <w:szCs w:val="19"/>
        </w:rPr>
        <w:t xml:space="preserve"> </w:t>
      </w:r>
      <w:r w:rsidRPr="00CB0307">
        <w:rPr>
          <w:rFonts w:ascii="Gotham" w:hAnsi="Gotham" w:cs="Arial"/>
          <w:b/>
          <w:bCs/>
          <w:sz w:val="19"/>
          <w:szCs w:val="19"/>
        </w:rPr>
        <w:t>CONSEJO</w:t>
      </w:r>
      <w:r w:rsidRPr="00CB0307">
        <w:rPr>
          <w:rFonts w:ascii="Gotham" w:hAnsi="Gotham" w:cs="Arial"/>
          <w:b/>
          <w:bCs/>
          <w:spacing w:val="-2"/>
          <w:sz w:val="19"/>
          <w:szCs w:val="19"/>
        </w:rPr>
        <w:t xml:space="preserve"> </w:t>
      </w:r>
      <w:r w:rsidRPr="00CB0307">
        <w:rPr>
          <w:rFonts w:ascii="Gotham" w:hAnsi="Gotham" w:cs="Arial"/>
          <w:b/>
          <w:bCs/>
          <w:sz w:val="19"/>
          <w:szCs w:val="19"/>
        </w:rPr>
        <w:t>CONSULTIVO</w:t>
      </w:r>
      <w:r w:rsidRPr="00CB0307">
        <w:rPr>
          <w:rFonts w:ascii="Gotham" w:hAnsi="Gotham" w:cs="Arial"/>
          <w:b/>
          <w:bCs/>
          <w:spacing w:val="-2"/>
          <w:sz w:val="19"/>
          <w:szCs w:val="19"/>
        </w:rPr>
        <w:t xml:space="preserve"> </w:t>
      </w:r>
      <w:r w:rsidRPr="00CB0307">
        <w:rPr>
          <w:rFonts w:ascii="Gotham" w:hAnsi="Gotham" w:cs="Arial"/>
          <w:b/>
          <w:bCs/>
          <w:sz w:val="19"/>
          <w:szCs w:val="19"/>
        </w:rPr>
        <w:t>DE</w:t>
      </w:r>
      <w:r w:rsidRPr="00CB0307">
        <w:rPr>
          <w:rFonts w:ascii="Gotham" w:hAnsi="Gotham" w:cs="Arial"/>
          <w:b/>
          <w:bCs/>
          <w:spacing w:val="-5"/>
          <w:sz w:val="19"/>
          <w:szCs w:val="19"/>
        </w:rPr>
        <w:t xml:space="preserve"> </w:t>
      </w:r>
      <w:r w:rsidRPr="00CB0307">
        <w:rPr>
          <w:rFonts w:ascii="Gotham" w:hAnsi="Gotham" w:cs="Arial"/>
          <w:b/>
          <w:bCs/>
          <w:sz w:val="19"/>
          <w:szCs w:val="19"/>
        </w:rPr>
        <w:t>MOVILIDAD</w:t>
      </w:r>
      <w:r w:rsidRPr="00CB0307">
        <w:rPr>
          <w:rFonts w:ascii="Gotham" w:hAnsi="Gotham" w:cs="Arial"/>
          <w:b/>
          <w:bCs/>
          <w:spacing w:val="-2"/>
          <w:sz w:val="19"/>
          <w:szCs w:val="19"/>
        </w:rPr>
        <w:t xml:space="preserve"> </w:t>
      </w:r>
      <w:r w:rsidRPr="00CB0307">
        <w:rPr>
          <w:rFonts w:ascii="Gotham" w:hAnsi="Gotham" w:cs="Arial"/>
          <w:b/>
          <w:bCs/>
          <w:sz w:val="19"/>
          <w:szCs w:val="19"/>
        </w:rPr>
        <w:t>Y</w:t>
      </w:r>
      <w:r w:rsidRPr="00CB0307">
        <w:rPr>
          <w:rFonts w:ascii="Gotham" w:hAnsi="Gotham" w:cs="Arial"/>
          <w:b/>
          <w:bCs/>
          <w:spacing w:val="-4"/>
          <w:sz w:val="19"/>
          <w:szCs w:val="19"/>
        </w:rPr>
        <w:t xml:space="preserve"> </w:t>
      </w:r>
      <w:r w:rsidRPr="00CB0307">
        <w:rPr>
          <w:rFonts w:ascii="Gotham" w:hAnsi="Gotham" w:cs="Arial"/>
          <w:b/>
          <w:bCs/>
          <w:sz w:val="19"/>
          <w:szCs w:val="19"/>
        </w:rPr>
        <w:t>LA</w:t>
      </w:r>
      <w:r w:rsidRPr="00CB0307">
        <w:rPr>
          <w:rFonts w:ascii="Gotham" w:hAnsi="Gotham" w:cs="Arial"/>
          <w:b/>
          <w:bCs/>
          <w:spacing w:val="-8"/>
          <w:sz w:val="19"/>
          <w:szCs w:val="19"/>
        </w:rPr>
        <w:t xml:space="preserve"> </w:t>
      </w:r>
      <w:r w:rsidRPr="00CB0307">
        <w:rPr>
          <w:rFonts w:ascii="Gotham" w:hAnsi="Gotham" w:cs="Arial"/>
          <w:b/>
          <w:bCs/>
          <w:sz w:val="19"/>
          <w:szCs w:val="19"/>
        </w:rPr>
        <w:t>COMISIÓN</w:t>
      </w:r>
      <w:r w:rsidRPr="00CB0307">
        <w:rPr>
          <w:rFonts w:ascii="Gotham" w:hAnsi="Gotham" w:cs="Arial"/>
          <w:b/>
          <w:spacing w:val="-2"/>
          <w:sz w:val="19"/>
          <w:szCs w:val="19"/>
        </w:rPr>
        <w:t xml:space="preserve"> </w:t>
      </w:r>
      <w:r w:rsidRPr="00CB0307">
        <w:rPr>
          <w:rFonts w:ascii="Gotham" w:hAnsi="Gotham" w:cs="Arial"/>
          <w:b/>
          <w:sz w:val="19"/>
          <w:szCs w:val="19"/>
        </w:rPr>
        <w:t>DE</w:t>
      </w:r>
      <w:r w:rsidRPr="00CB0307">
        <w:rPr>
          <w:rFonts w:ascii="Gotham" w:hAnsi="Gotham" w:cs="Arial"/>
          <w:b/>
          <w:spacing w:val="-4"/>
          <w:sz w:val="19"/>
          <w:szCs w:val="19"/>
        </w:rPr>
        <w:t xml:space="preserve"> </w:t>
      </w:r>
      <w:r w:rsidRPr="00CB0307">
        <w:rPr>
          <w:rFonts w:ascii="Gotham" w:hAnsi="Gotham" w:cs="Arial"/>
          <w:b/>
          <w:sz w:val="19"/>
          <w:szCs w:val="19"/>
        </w:rPr>
        <w:t>TARIFAS</w:t>
      </w:r>
      <w:r w:rsidRPr="00CB0307">
        <w:rPr>
          <w:rFonts w:ascii="Gotham" w:hAnsi="Gotham" w:cs="Arial"/>
          <w:b/>
          <w:spacing w:val="-64"/>
          <w:sz w:val="19"/>
          <w:szCs w:val="19"/>
        </w:rPr>
        <w:t xml:space="preserve"> </w:t>
      </w:r>
      <w:r w:rsidRPr="00CB0307">
        <w:rPr>
          <w:rFonts w:ascii="Gotham" w:hAnsi="Gotham" w:cs="Arial"/>
          <w:b/>
          <w:sz w:val="19"/>
          <w:szCs w:val="19"/>
        </w:rPr>
        <w:t>DE</w:t>
      </w:r>
      <w:r w:rsidRPr="00CB0307">
        <w:rPr>
          <w:rFonts w:ascii="Gotham" w:hAnsi="Gotham" w:cs="Arial"/>
          <w:b/>
          <w:spacing w:val="-4"/>
          <w:sz w:val="19"/>
          <w:szCs w:val="19"/>
        </w:rPr>
        <w:t xml:space="preserve"> </w:t>
      </w:r>
      <w:r w:rsidRPr="00CB0307">
        <w:rPr>
          <w:rFonts w:ascii="Gotham" w:hAnsi="Gotham" w:cs="Arial"/>
          <w:b/>
          <w:sz w:val="19"/>
          <w:szCs w:val="19"/>
        </w:rPr>
        <w:t>ESTACIONAMIENTOS</w:t>
      </w:r>
    </w:p>
    <w:p w14:paraId="3A47569C" w14:textId="77777777" w:rsidR="009B5E39" w:rsidRDefault="009B5E39" w:rsidP="009B5E39">
      <w:pPr>
        <w:ind w:left="284" w:right="283"/>
        <w:jc w:val="center"/>
        <w:rPr>
          <w:rFonts w:ascii="Gotham" w:hAnsi="Gotham" w:cs="Arial"/>
          <w:b/>
          <w:bCs/>
          <w:sz w:val="19"/>
          <w:szCs w:val="19"/>
        </w:rPr>
      </w:pPr>
    </w:p>
    <w:p w14:paraId="3A47569D"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w:t>
      </w:r>
      <w:r w:rsidRPr="00CB0307">
        <w:rPr>
          <w:rFonts w:ascii="Gotham" w:hAnsi="Gotham" w:cs="Arial"/>
          <w:b/>
          <w:bCs/>
          <w:spacing w:val="-5"/>
          <w:sz w:val="19"/>
          <w:szCs w:val="19"/>
        </w:rPr>
        <w:t xml:space="preserve"> </w:t>
      </w:r>
      <w:r w:rsidRPr="00CB0307">
        <w:rPr>
          <w:rFonts w:ascii="Gotham" w:hAnsi="Gotham" w:cs="Arial"/>
          <w:b/>
          <w:bCs/>
          <w:sz w:val="19"/>
          <w:szCs w:val="19"/>
        </w:rPr>
        <w:t>I</w:t>
      </w:r>
    </w:p>
    <w:p w14:paraId="3A47569E"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DISPOSICIONES</w:t>
      </w:r>
      <w:r w:rsidRPr="00CB0307">
        <w:rPr>
          <w:rFonts w:ascii="Gotham" w:hAnsi="Gotham" w:cs="Arial"/>
          <w:b/>
          <w:bCs/>
          <w:spacing w:val="-7"/>
          <w:sz w:val="19"/>
          <w:szCs w:val="19"/>
        </w:rPr>
        <w:t xml:space="preserve"> </w:t>
      </w:r>
      <w:r w:rsidRPr="00CB0307">
        <w:rPr>
          <w:rFonts w:ascii="Gotham" w:hAnsi="Gotham" w:cs="Arial"/>
          <w:b/>
          <w:bCs/>
          <w:sz w:val="19"/>
          <w:szCs w:val="19"/>
        </w:rPr>
        <w:t>GENERALES</w:t>
      </w:r>
    </w:p>
    <w:p w14:paraId="3A47569F" w14:textId="77777777" w:rsidR="009B5E39" w:rsidRPr="00CB0307" w:rsidRDefault="009B5E39" w:rsidP="009B5E39">
      <w:pPr>
        <w:ind w:left="284" w:right="283"/>
        <w:rPr>
          <w:rFonts w:ascii="Gotham" w:hAnsi="Gotham" w:cs="Arial"/>
          <w:sz w:val="19"/>
          <w:szCs w:val="19"/>
        </w:rPr>
      </w:pPr>
    </w:p>
    <w:p w14:paraId="3A4756A0" w14:textId="77777777" w:rsidR="009B5E39" w:rsidRPr="00CB0307" w:rsidRDefault="009B5E39" w:rsidP="009B5E39">
      <w:pPr>
        <w:ind w:left="284" w:right="283"/>
        <w:jc w:val="both"/>
        <w:rPr>
          <w:rFonts w:ascii="Gotham" w:hAnsi="Gotham" w:cs="Arial"/>
          <w:bCs/>
          <w:sz w:val="19"/>
          <w:szCs w:val="19"/>
        </w:rPr>
      </w:pPr>
      <w:r w:rsidRPr="00CB0307">
        <w:rPr>
          <w:rFonts w:ascii="Gotham" w:hAnsi="Gotham" w:cs="Arial"/>
          <w:b/>
          <w:sz w:val="19"/>
          <w:szCs w:val="19"/>
        </w:rPr>
        <w:t xml:space="preserve">Artículo 14. </w:t>
      </w:r>
      <w:r w:rsidRPr="00CB0307">
        <w:rPr>
          <w:rFonts w:ascii="Gotham" w:hAnsi="Gotham" w:cs="Arial"/>
          <w:bCs/>
          <w:sz w:val="19"/>
          <w:szCs w:val="19"/>
        </w:rPr>
        <w:t>El Consejo Consultivo de Movilidad, es un organismo auxiliar, que tiene como finalidad el generar información que, en materia de movilidad, apoyar a las autoridades municipales en la toma de decisiones, en el diseño y aplicación de políticas públicas que se sujetará a lo dispuesto en el presente Reglamento.</w:t>
      </w:r>
    </w:p>
    <w:p w14:paraId="3A4756A1" w14:textId="77777777" w:rsidR="009B5E39" w:rsidRPr="00CB0307" w:rsidRDefault="009B5E39" w:rsidP="009B5E39">
      <w:pPr>
        <w:ind w:left="284" w:right="283"/>
        <w:jc w:val="both"/>
        <w:rPr>
          <w:rFonts w:ascii="Gotham" w:hAnsi="Gotham" w:cs="Arial"/>
          <w:bCs/>
          <w:sz w:val="19"/>
          <w:szCs w:val="19"/>
        </w:rPr>
      </w:pPr>
    </w:p>
    <w:p w14:paraId="3A4756A2" w14:textId="77777777" w:rsidR="009B5E39" w:rsidRPr="00CB0307" w:rsidRDefault="009B5E39" w:rsidP="009B5E39">
      <w:pPr>
        <w:ind w:left="284" w:right="283"/>
        <w:jc w:val="both"/>
        <w:rPr>
          <w:rFonts w:ascii="Gotham" w:hAnsi="Gotham" w:cs="Arial"/>
          <w:bCs/>
          <w:sz w:val="19"/>
          <w:szCs w:val="19"/>
          <w:highlight w:val="cyan"/>
        </w:rPr>
      </w:pPr>
      <w:r w:rsidRPr="00CB0307">
        <w:rPr>
          <w:rFonts w:ascii="Gotham" w:hAnsi="Gotham" w:cs="Arial"/>
          <w:bCs/>
          <w:sz w:val="19"/>
          <w:szCs w:val="19"/>
        </w:rPr>
        <w:lastRenderedPageBreak/>
        <w:t>Los cargos y nombramientos de dicho Consejo serán de carácter honorario y no se percibirá retribución alguna por su desempeño. En el caso del representante social, no se le reconoce como servidor público del municipio, por lo que no se otorgara retribución, salario o pago por ser integrante del consejo.</w:t>
      </w:r>
    </w:p>
    <w:p w14:paraId="3A4756A3" w14:textId="77777777" w:rsidR="009B5E39" w:rsidRDefault="009B5E39" w:rsidP="009B5E39">
      <w:pPr>
        <w:ind w:left="284" w:right="283"/>
        <w:rPr>
          <w:rFonts w:ascii="Gotham" w:hAnsi="Gotham" w:cs="Arial"/>
          <w:b/>
          <w:sz w:val="19"/>
          <w:szCs w:val="19"/>
          <w:highlight w:val="cyan"/>
        </w:rPr>
      </w:pPr>
    </w:p>
    <w:p w14:paraId="3A4756A4" w14:textId="77777777" w:rsidR="009B5E39" w:rsidRPr="00CB0307" w:rsidRDefault="009B5E39" w:rsidP="009B5E39">
      <w:pPr>
        <w:ind w:left="284" w:right="283"/>
        <w:rPr>
          <w:rFonts w:ascii="Gotham" w:hAnsi="Gotham" w:cs="Arial"/>
          <w:b/>
          <w:sz w:val="19"/>
          <w:szCs w:val="19"/>
          <w:highlight w:val="cyan"/>
        </w:rPr>
      </w:pPr>
    </w:p>
    <w:p w14:paraId="3A4756A5"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CAPÍTULO II</w:t>
      </w:r>
    </w:p>
    <w:p w14:paraId="3A4756A6"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EL CONSEJO CONSULTIVO DE MOVILIDAD Y SEGURIDAD VIAL</w:t>
      </w:r>
    </w:p>
    <w:p w14:paraId="3A4756A7" w14:textId="77777777" w:rsidR="009B5E39" w:rsidRPr="00CB0307" w:rsidRDefault="009B5E39" w:rsidP="009B5E39">
      <w:pPr>
        <w:ind w:left="284" w:right="283"/>
        <w:rPr>
          <w:rFonts w:ascii="Gotham" w:hAnsi="Gotham" w:cs="Arial"/>
          <w:b/>
          <w:sz w:val="19"/>
          <w:szCs w:val="19"/>
        </w:rPr>
      </w:pPr>
    </w:p>
    <w:p w14:paraId="3A4756A8" w14:textId="77777777" w:rsidR="009B5E39" w:rsidRPr="00CB0307" w:rsidRDefault="009B5E39" w:rsidP="009B5E39">
      <w:pPr>
        <w:ind w:left="284" w:right="283"/>
        <w:jc w:val="both"/>
        <w:rPr>
          <w:rFonts w:ascii="Gotham" w:hAnsi="Gotham" w:cs="Arial"/>
          <w:bCs/>
          <w:sz w:val="19"/>
          <w:szCs w:val="19"/>
        </w:rPr>
      </w:pPr>
      <w:r w:rsidRPr="00CB0307">
        <w:rPr>
          <w:rFonts w:ascii="Gotham" w:hAnsi="Gotham" w:cs="Arial"/>
          <w:b/>
          <w:sz w:val="19"/>
          <w:szCs w:val="19"/>
        </w:rPr>
        <w:t xml:space="preserve">Artículo 15. </w:t>
      </w:r>
      <w:r w:rsidRPr="00CB0307">
        <w:rPr>
          <w:rFonts w:ascii="Gotham" w:hAnsi="Gotham" w:cs="Arial"/>
          <w:bCs/>
          <w:sz w:val="19"/>
          <w:szCs w:val="19"/>
        </w:rPr>
        <w:t>El Consejo Consultivo de Movilidad tiene las siguientes atribuciones:</w:t>
      </w:r>
    </w:p>
    <w:p w14:paraId="3A4756A9" w14:textId="77777777" w:rsidR="009B5E39" w:rsidRPr="00CB0307" w:rsidRDefault="009B5E39" w:rsidP="009B5E39">
      <w:pPr>
        <w:ind w:left="284" w:right="283"/>
        <w:jc w:val="both"/>
        <w:rPr>
          <w:rFonts w:ascii="Gotham" w:hAnsi="Gotham" w:cs="Arial"/>
          <w:bCs/>
          <w:sz w:val="19"/>
          <w:szCs w:val="19"/>
        </w:rPr>
      </w:pPr>
    </w:p>
    <w:p w14:paraId="3A4756AA"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 </w:t>
      </w:r>
      <w:r>
        <w:rPr>
          <w:rFonts w:ascii="Gotham" w:hAnsi="Gotham" w:cs="Arial"/>
          <w:bCs/>
          <w:sz w:val="19"/>
          <w:szCs w:val="19"/>
        </w:rPr>
        <w:tab/>
      </w:r>
      <w:r w:rsidRPr="00CB0307">
        <w:rPr>
          <w:rFonts w:ascii="Gotham" w:hAnsi="Gotham" w:cs="Arial"/>
          <w:bCs/>
          <w:sz w:val="19"/>
          <w:szCs w:val="19"/>
        </w:rPr>
        <w:t>Fungir como Órgano auxiliar que dé seguimiento a las iniciativas materia municipal y acciones que se emprendan relacionadas con la movilidad, en el ámbito municipal;</w:t>
      </w:r>
    </w:p>
    <w:p w14:paraId="3A4756AB"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II. </w:t>
      </w:r>
      <w:r>
        <w:rPr>
          <w:rFonts w:ascii="Gotham" w:hAnsi="Gotham" w:cs="Arial"/>
          <w:bCs/>
          <w:sz w:val="19"/>
          <w:szCs w:val="19"/>
        </w:rPr>
        <w:tab/>
      </w:r>
      <w:r w:rsidRPr="00CB0307">
        <w:rPr>
          <w:rFonts w:ascii="Gotham" w:hAnsi="Gotham" w:cs="Arial"/>
          <w:bCs/>
          <w:sz w:val="19"/>
          <w:szCs w:val="19"/>
        </w:rPr>
        <w:t>Analizar y discutir los problemas relacionados con la movilidad;</w:t>
      </w:r>
    </w:p>
    <w:p w14:paraId="3A4756AC"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III. </w:t>
      </w:r>
      <w:r>
        <w:rPr>
          <w:rFonts w:ascii="Gotham" w:hAnsi="Gotham" w:cs="Arial"/>
          <w:bCs/>
          <w:sz w:val="19"/>
          <w:szCs w:val="19"/>
        </w:rPr>
        <w:tab/>
      </w:r>
      <w:r w:rsidRPr="00CB0307">
        <w:rPr>
          <w:rFonts w:ascii="Gotham" w:hAnsi="Gotham" w:cs="Arial"/>
          <w:bCs/>
          <w:sz w:val="19"/>
          <w:szCs w:val="19"/>
        </w:rPr>
        <w:t>Sugerir y proponer proyectos, obras y acciones a las dependencias competentes, respecto de los planes y programas municipales en materia de conservación, mantenimiento, rescate, promoción y</w:t>
      </w:r>
      <w:r w:rsidRPr="00CB0307">
        <w:rPr>
          <w:rFonts w:ascii="Gotham" w:hAnsi="Gotham" w:cs="Arial"/>
          <w:b/>
          <w:sz w:val="19"/>
          <w:szCs w:val="19"/>
        </w:rPr>
        <w:t xml:space="preserve"> desarrollo de la </w:t>
      </w:r>
      <w:r w:rsidRPr="00CB0307">
        <w:rPr>
          <w:rFonts w:ascii="Gotham" w:hAnsi="Gotham" w:cs="Arial"/>
          <w:bCs/>
          <w:sz w:val="19"/>
          <w:szCs w:val="19"/>
        </w:rPr>
        <w:t>movilidad no motorizada;</w:t>
      </w:r>
    </w:p>
    <w:p w14:paraId="3A4756AD"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IV. </w:t>
      </w:r>
      <w:r>
        <w:rPr>
          <w:rFonts w:ascii="Gotham" w:hAnsi="Gotham" w:cs="Arial"/>
          <w:bCs/>
          <w:sz w:val="19"/>
          <w:szCs w:val="19"/>
        </w:rPr>
        <w:tab/>
        <w:t>R</w:t>
      </w:r>
      <w:r w:rsidRPr="00CB0307">
        <w:rPr>
          <w:rFonts w:ascii="Gotham" w:hAnsi="Gotham" w:cs="Arial"/>
          <w:bCs/>
          <w:sz w:val="19"/>
          <w:szCs w:val="19"/>
        </w:rPr>
        <w:t>ecibir propuestas e inquietudes de los organismos de la sociedad civil;</w:t>
      </w:r>
    </w:p>
    <w:p w14:paraId="3A4756AE"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 </w:t>
      </w:r>
      <w:r>
        <w:rPr>
          <w:rFonts w:ascii="Gotham" w:hAnsi="Gotham" w:cs="Arial"/>
          <w:bCs/>
          <w:sz w:val="19"/>
          <w:szCs w:val="19"/>
        </w:rPr>
        <w:tab/>
      </w:r>
      <w:r w:rsidRPr="00CB0307">
        <w:rPr>
          <w:rFonts w:ascii="Gotham" w:hAnsi="Gotham" w:cs="Arial"/>
          <w:bCs/>
          <w:sz w:val="19"/>
          <w:szCs w:val="19"/>
        </w:rPr>
        <w:t>Promover planes y proyectos ya sea de forma independiente o complementaria a las que se generen dentro de la administración municipal, así como proponer acciones y políticas dentro de los proyectos de la administración en turno;</w:t>
      </w:r>
    </w:p>
    <w:p w14:paraId="3A4756AF"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VI. </w:t>
      </w:r>
      <w:r>
        <w:rPr>
          <w:rFonts w:ascii="Gotham" w:hAnsi="Gotham" w:cs="Arial"/>
          <w:bCs/>
          <w:sz w:val="19"/>
          <w:szCs w:val="19"/>
        </w:rPr>
        <w:tab/>
      </w:r>
      <w:r w:rsidRPr="00CB0307">
        <w:rPr>
          <w:rFonts w:ascii="Gotham" w:hAnsi="Gotham" w:cs="Arial"/>
          <w:bCs/>
          <w:sz w:val="19"/>
          <w:szCs w:val="19"/>
        </w:rPr>
        <w:t>Proponer al Presidente Municipal y autoridades competentes, dentro del marco del Plan Municipal de Desarrollo, la celebración de acuerdos para la aplicación de acciones relativas a la movilidad a través de la firma de convenios;</w:t>
      </w:r>
    </w:p>
    <w:p w14:paraId="3A4756B0"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VII. </w:t>
      </w:r>
      <w:r>
        <w:rPr>
          <w:rFonts w:ascii="Gotham" w:hAnsi="Gotham" w:cs="Arial"/>
          <w:bCs/>
          <w:sz w:val="19"/>
          <w:szCs w:val="19"/>
        </w:rPr>
        <w:tab/>
      </w:r>
      <w:r w:rsidRPr="00CB0307">
        <w:rPr>
          <w:rFonts w:ascii="Gotham" w:hAnsi="Gotham" w:cs="Arial"/>
          <w:bCs/>
          <w:sz w:val="19"/>
          <w:szCs w:val="19"/>
        </w:rPr>
        <w:t xml:space="preserve">Dar seguimiento y facilitar la aplicación de los acuerdos adquiridos por la administración municipal sobre los planes, avances y logros que se vayan alcanzando en el transcurso de las diferentes administraciones municipales; </w:t>
      </w:r>
    </w:p>
    <w:p w14:paraId="3A4756B1"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VIII. </w:t>
      </w:r>
      <w:r>
        <w:rPr>
          <w:rFonts w:ascii="Gotham" w:hAnsi="Gotham" w:cs="Arial"/>
          <w:bCs/>
          <w:sz w:val="19"/>
          <w:szCs w:val="19"/>
        </w:rPr>
        <w:tab/>
      </w:r>
      <w:r w:rsidRPr="00CB0307">
        <w:rPr>
          <w:rFonts w:ascii="Gotham" w:hAnsi="Gotham" w:cs="Arial"/>
          <w:bCs/>
          <w:sz w:val="19"/>
          <w:szCs w:val="19"/>
        </w:rPr>
        <w:t>Emitir recomendaciones, así como enviar estudios o documentos propiedad intelectual de los integrantes estos respecto a las políticas públicas de movilidad del Ayuntamiento de Tonalá; Jalisco;</w:t>
      </w:r>
    </w:p>
    <w:p w14:paraId="3A4756B2"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IX. </w:t>
      </w:r>
      <w:r>
        <w:rPr>
          <w:rFonts w:ascii="Gotham" w:hAnsi="Gotham" w:cs="Arial"/>
          <w:bCs/>
          <w:sz w:val="19"/>
          <w:szCs w:val="19"/>
        </w:rPr>
        <w:tab/>
      </w:r>
      <w:r w:rsidRPr="00CB0307">
        <w:rPr>
          <w:rFonts w:ascii="Gotham" w:hAnsi="Gotham" w:cs="Arial"/>
          <w:bCs/>
          <w:sz w:val="19"/>
          <w:szCs w:val="19"/>
        </w:rPr>
        <w:t>Proponer a las autoridades competentes la participación en eventos, foros de discusión, encuentros de intercambio y congresos relativos a la temática de la movilidad, impulsando la participación ciudadana en la misma;</w:t>
      </w:r>
    </w:p>
    <w:p w14:paraId="3A4756B3"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 </w:t>
      </w:r>
      <w:r>
        <w:rPr>
          <w:rFonts w:ascii="Gotham" w:hAnsi="Gotham" w:cs="Arial"/>
          <w:bCs/>
          <w:sz w:val="19"/>
          <w:szCs w:val="19"/>
        </w:rPr>
        <w:tab/>
      </w:r>
      <w:r w:rsidRPr="00CB0307">
        <w:rPr>
          <w:rFonts w:ascii="Gotham" w:hAnsi="Gotham" w:cs="Arial"/>
          <w:bCs/>
          <w:sz w:val="19"/>
          <w:szCs w:val="19"/>
        </w:rPr>
        <w:t xml:space="preserve">Designar y organizar las comisiones de trabajo que funcionan al interior del Consejo; </w:t>
      </w:r>
    </w:p>
    <w:p w14:paraId="3A4756B4"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XI. </w:t>
      </w:r>
      <w:r>
        <w:rPr>
          <w:rFonts w:ascii="Gotham" w:hAnsi="Gotham" w:cs="Arial"/>
          <w:bCs/>
          <w:sz w:val="19"/>
          <w:szCs w:val="19"/>
        </w:rPr>
        <w:tab/>
      </w:r>
      <w:r w:rsidRPr="00CB0307">
        <w:rPr>
          <w:rFonts w:ascii="Gotham" w:hAnsi="Gotham" w:cs="Arial"/>
          <w:bCs/>
          <w:sz w:val="19"/>
          <w:szCs w:val="19"/>
        </w:rPr>
        <w:t>Las demás que se desprendan de las disposiciones reglamentarias que le sean aplicables; y</w:t>
      </w:r>
    </w:p>
    <w:p w14:paraId="3A4756B5" w14:textId="77777777" w:rsidR="009B5E39" w:rsidRPr="00CB0307" w:rsidRDefault="009B5E39" w:rsidP="009B5E39">
      <w:pPr>
        <w:ind w:left="1134" w:right="283" w:hanging="850"/>
        <w:jc w:val="both"/>
        <w:rPr>
          <w:rFonts w:ascii="Gotham" w:hAnsi="Gotham" w:cs="Arial"/>
          <w:bCs/>
          <w:sz w:val="19"/>
          <w:szCs w:val="19"/>
        </w:rPr>
      </w:pPr>
      <w:r w:rsidRPr="00CB0307">
        <w:rPr>
          <w:rFonts w:ascii="Gotham" w:hAnsi="Gotham" w:cs="Arial"/>
          <w:bCs/>
          <w:sz w:val="19"/>
          <w:szCs w:val="19"/>
        </w:rPr>
        <w:t xml:space="preserve">XII. </w:t>
      </w:r>
      <w:r>
        <w:rPr>
          <w:rFonts w:ascii="Gotham" w:hAnsi="Gotham" w:cs="Arial"/>
          <w:bCs/>
          <w:sz w:val="19"/>
          <w:szCs w:val="19"/>
        </w:rPr>
        <w:tab/>
      </w:r>
      <w:r w:rsidRPr="00CB0307">
        <w:rPr>
          <w:rFonts w:ascii="Gotham" w:hAnsi="Gotham" w:cs="Arial"/>
          <w:bCs/>
          <w:sz w:val="19"/>
          <w:szCs w:val="19"/>
        </w:rPr>
        <w:t>Proponer al Municipio realizar, convenio con organizaciones de la sociedad Civil, Organismos no gubernamental nacionales e internacionales.</w:t>
      </w:r>
    </w:p>
    <w:p w14:paraId="3A4756B6" w14:textId="77777777" w:rsidR="009B5E39" w:rsidRPr="00CB0307" w:rsidRDefault="009B5E39" w:rsidP="009B5E39">
      <w:pPr>
        <w:ind w:left="284" w:right="283"/>
        <w:jc w:val="both"/>
        <w:rPr>
          <w:rFonts w:ascii="Gotham" w:hAnsi="Gotham" w:cs="Arial"/>
          <w:b/>
          <w:sz w:val="19"/>
          <w:szCs w:val="19"/>
          <w:highlight w:val="cyan"/>
        </w:rPr>
      </w:pPr>
    </w:p>
    <w:p w14:paraId="3A4756B7"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16.</w:t>
      </w:r>
      <w:r w:rsidRPr="00CB0307">
        <w:rPr>
          <w:rFonts w:ascii="Gotham" w:hAnsi="Gotham" w:cs="Arial"/>
          <w:sz w:val="19"/>
          <w:szCs w:val="19"/>
        </w:rPr>
        <w:t xml:space="preserve"> El Consejo ejercerá sus funciones al sesionar en pleno y se constituirá como único órgano de decisión del organismo; el cual se integra de la siguiente manera:</w:t>
      </w:r>
    </w:p>
    <w:p w14:paraId="3A4756B8" w14:textId="77777777" w:rsidR="009B5E39" w:rsidRPr="00CB0307" w:rsidRDefault="009B5E39" w:rsidP="009B5E39">
      <w:pPr>
        <w:ind w:left="284" w:right="283"/>
        <w:jc w:val="both"/>
        <w:rPr>
          <w:rFonts w:ascii="Gotham" w:hAnsi="Gotham" w:cs="Arial"/>
          <w:sz w:val="19"/>
          <w:szCs w:val="19"/>
        </w:rPr>
      </w:pPr>
    </w:p>
    <w:p w14:paraId="3A4756B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El Coordinador, quien será el Presidente Municipal o quien designe, contará con derecho a voz y voto</w:t>
      </w:r>
    </w:p>
    <w:p w14:paraId="3A4756B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El Secretario Técnico, quien será la persona titular de la Dirección Director de Planeación y Movilidad, quien tendrá derecho a voz, pero no tendrá derecho al voto;</w:t>
      </w:r>
    </w:p>
    <w:p w14:paraId="3A4756B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Titular de la Jefatura de Agentes de Movilidad, quien contará con derecho a voz y voto;</w:t>
      </w:r>
    </w:p>
    <w:p w14:paraId="3A4756B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IV. </w:t>
      </w:r>
      <w:r>
        <w:rPr>
          <w:rFonts w:ascii="Gotham" w:hAnsi="Gotham" w:cs="Arial"/>
          <w:sz w:val="19"/>
          <w:szCs w:val="19"/>
        </w:rPr>
        <w:tab/>
      </w:r>
      <w:r w:rsidRPr="00CB0307">
        <w:rPr>
          <w:rFonts w:ascii="Gotham" w:hAnsi="Gotham" w:cs="Arial"/>
          <w:sz w:val="19"/>
          <w:szCs w:val="19"/>
        </w:rPr>
        <w:t xml:space="preserve">La Persona Regidora que presida la Comisión Edilicia en materia de Desarrollo Urbano, quien contará con derecho a voz y voto; </w:t>
      </w:r>
    </w:p>
    <w:p w14:paraId="3A4756B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 xml:space="preserve">La Persona Regidora que presida la Comisión Edilicia en materia de Movilidad Municipal, quien contará con derecho a voz y voto; </w:t>
      </w:r>
    </w:p>
    <w:p w14:paraId="3A4756B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La Persona Regidora que presida la Comisión Edilicia en materia de Cultura, Educación, Tecnología y Deporte, quien contará con derecho a voz y voto;</w:t>
      </w:r>
    </w:p>
    <w:p w14:paraId="3A4756B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 xml:space="preserve">Mediante convocatoria expresa del Coordinador del Consejo de Movilidad, podrán participar hasta tres representantes de los colectivos y universidades, quienes contaran con derecho a voz y voto; </w:t>
      </w:r>
    </w:p>
    <w:p w14:paraId="3A4756C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 xml:space="preserve">Un representante de las siguientes dependencias del Gobierno Municipal, quienes contarán con derecho a voz y voto: </w:t>
      </w:r>
    </w:p>
    <w:p w14:paraId="3A4756C1"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a) </w:t>
      </w:r>
      <w:r>
        <w:rPr>
          <w:rFonts w:ascii="Gotham" w:hAnsi="Gotham" w:cs="Arial"/>
          <w:sz w:val="19"/>
          <w:szCs w:val="19"/>
        </w:rPr>
        <w:tab/>
      </w:r>
      <w:r w:rsidRPr="00CB0307">
        <w:rPr>
          <w:rFonts w:ascii="Gotham" w:hAnsi="Gotham" w:cs="Arial"/>
          <w:sz w:val="19"/>
          <w:szCs w:val="19"/>
        </w:rPr>
        <w:t>Dirección de Educación;</w:t>
      </w:r>
    </w:p>
    <w:p w14:paraId="3A4756C2"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b) </w:t>
      </w:r>
      <w:r>
        <w:rPr>
          <w:rFonts w:ascii="Gotham" w:hAnsi="Gotham" w:cs="Arial"/>
          <w:sz w:val="19"/>
          <w:szCs w:val="19"/>
        </w:rPr>
        <w:tab/>
      </w:r>
      <w:r w:rsidRPr="00CB0307">
        <w:rPr>
          <w:rFonts w:ascii="Gotham" w:hAnsi="Gotham" w:cs="Arial"/>
          <w:sz w:val="19"/>
          <w:szCs w:val="19"/>
        </w:rPr>
        <w:t>Dirección de Planeación; y</w:t>
      </w:r>
    </w:p>
    <w:p w14:paraId="3A4756C3"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c) </w:t>
      </w:r>
      <w:r>
        <w:rPr>
          <w:rFonts w:ascii="Gotham" w:hAnsi="Gotham" w:cs="Arial"/>
          <w:sz w:val="19"/>
          <w:szCs w:val="19"/>
        </w:rPr>
        <w:tab/>
      </w:r>
      <w:r w:rsidRPr="00CB0307">
        <w:rPr>
          <w:rFonts w:ascii="Gotham" w:hAnsi="Gotham" w:cs="Arial"/>
          <w:sz w:val="19"/>
          <w:szCs w:val="19"/>
        </w:rPr>
        <w:t>Dirección General de Ordenamiento Territorial.</w:t>
      </w:r>
    </w:p>
    <w:p w14:paraId="3A4756C4"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sz w:val="19"/>
          <w:szCs w:val="19"/>
        </w:rPr>
        <w:t>En caso de que el Presidente Municipal presida una de la Comisiones Edilicias representadas en el Consejo éste podrá designar a uno de los integrantes de dicha Comisión como representante quien tendrá el mismo derecho que el titular.</w:t>
      </w:r>
    </w:p>
    <w:p w14:paraId="3A4756C5" w14:textId="77777777" w:rsidR="009B5E39" w:rsidRPr="00CB0307" w:rsidRDefault="009B5E39" w:rsidP="009B5E39">
      <w:pPr>
        <w:spacing w:after="120"/>
        <w:ind w:left="1134" w:right="283"/>
        <w:jc w:val="both"/>
        <w:rPr>
          <w:rFonts w:ascii="Gotham" w:hAnsi="Gotham" w:cs="Arial"/>
          <w:sz w:val="19"/>
          <w:szCs w:val="19"/>
        </w:rPr>
      </w:pPr>
      <w:r w:rsidRPr="00CB0307">
        <w:rPr>
          <w:rFonts w:ascii="Gotham" w:hAnsi="Gotham" w:cs="Arial"/>
          <w:sz w:val="19"/>
          <w:szCs w:val="19"/>
        </w:rPr>
        <w:t>Los regidores integrantes del consejo pueden nombrar a un representante cuando así lo decidan, el cual contará con los mismos derechos que el titular.</w:t>
      </w:r>
    </w:p>
    <w:p w14:paraId="3A4756C6"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El Presidente del Consejo podrá invitar a organismos o ciudadanos a participar en los trabajos del Consejo, cuando así lo considere necesario, los cuales sólo contarán con derecho a voz, pero no a voto.</w:t>
      </w:r>
    </w:p>
    <w:p w14:paraId="3A4756C7" w14:textId="77777777" w:rsidR="009B5E39" w:rsidRPr="00CB0307" w:rsidRDefault="009B5E39" w:rsidP="009B5E39">
      <w:pPr>
        <w:ind w:left="284" w:right="283"/>
        <w:jc w:val="both"/>
        <w:rPr>
          <w:rFonts w:ascii="Gotham" w:hAnsi="Gotham" w:cs="Arial"/>
          <w:b/>
          <w:sz w:val="19"/>
          <w:szCs w:val="19"/>
          <w:highlight w:val="cyan"/>
        </w:rPr>
      </w:pPr>
    </w:p>
    <w:p w14:paraId="3A4756C8"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17</w:t>
      </w:r>
      <w:r w:rsidRPr="00CB0307">
        <w:rPr>
          <w:rFonts w:ascii="Gotham" w:hAnsi="Gotham" w:cs="Arial"/>
          <w:sz w:val="19"/>
          <w:szCs w:val="19"/>
        </w:rPr>
        <w:t>. El Coordinador del Consejo cuenta con las siguientes facultades y obligaciones;</w:t>
      </w:r>
    </w:p>
    <w:p w14:paraId="3A4756C9" w14:textId="77777777" w:rsidR="009B5E39" w:rsidRPr="00CB0307" w:rsidRDefault="009B5E39" w:rsidP="009B5E39">
      <w:pPr>
        <w:ind w:left="284" w:right="283"/>
        <w:jc w:val="both"/>
        <w:rPr>
          <w:rFonts w:ascii="Gotham" w:hAnsi="Gotham" w:cs="Arial"/>
          <w:sz w:val="19"/>
          <w:szCs w:val="19"/>
        </w:rPr>
      </w:pPr>
    </w:p>
    <w:p w14:paraId="3A4756C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 xml:space="preserve">Convocar a las sesiones del Consejo, pudiéndose auxiliar para tal efecto del Secretario Técnico; </w:t>
      </w:r>
    </w:p>
    <w:p w14:paraId="3A4756C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 xml:space="preserve">Presidir las sesiones del Consejo; </w:t>
      </w:r>
    </w:p>
    <w:p w14:paraId="3A4756C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 xml:space="preserve">Proponer las acciones que debe llevar a cabo el Consejo dentro del marco de sus facultades y obligaciones; </w:t>
      </w:r>
    </w:p>
    <w:p w14:paraId="3A4756C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 xml:space="preserve">Presentar al Consejo cualquier iniciativa encaminada al cumplimiento de sus objetivos; </w:t>
      </w:r>
    </w:p>
    <w:p w14:paraId="3A4756C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 xml:space="preserve">Ser el representante oficial del Consejo tanto ante las autoridades del Ayuntamiento, como ante la sociedad; </w:t>
      </w:r>
    </w:p>
    <w:p w14:paraId="3A4756C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 xml:space="preserve">Presentar un plan y el informe anual; </w:t>
      </w:r>
    </w:p>
    <w:p w14:paraId="3A4756D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Tendrá el voto de calidad en caso de empate; y</w:t>
      </w:r>
    </w:p>
    <w:p w14:paraId="3A4756D1"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Las demás que señale el presente reglamento.</w:t>
      </w:r>
    </w:p>
    <w:p w14:paraId="3A4756D2" w14:textId="77777777" w:rsidR="009B5E39" w:rsidRPr="00CB0307" w:rsidRDefault="009B5E39" w:rsidP="009B5E39">
      <w:pPr>
        <w:ind w:left="284" w:right="283"/>
        <w:jc w:val="both"/>
        <w:rPr>
          <w:rFonts w:ascii="Gotham" w:hAnsi="Gotham" w:cs="Arial"/>
          <w:b/>
          <w:sz w:val="19"/>
          <w:szCs w:val="19"/>
          <w:highlight w:val="cyan"/>
        </w:rPr>
      </w:pPr>
    </w:p>
    <w:p w14:paraId="3A4756D3"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18.</w:t>
      </w:r>
      <w:r w:rsidRPr="00CB0307">
        <w:rPr>
          <w:rFonts w:ascii="Gotham" w:hAnsi="Gotham" w:cs="Arial"/>
          <w:sz w:val="19"/>
          <w:szCs w:val="19"/>
        </w:rPr>
        <w:t xml:space="preserve"> Son obligaciones del Secretario Técnico del Consejo las siguientes:</w:t>
      </w:r>
    </w:p>
    <w:p w14:paraId="3A4756D4" w14:textId="77777777" w:rsidR="009B5E39" w:rsidRPr="00CB0307" w:rsidRDefault="009B5E39" w:rsidP="009B5E39">
      <w:pPr>
        <w:ind w:left="284" w:right="283"/>
        <w:jc w:val="both"/>
        <w:rPr>
          <w:rFonts w:ascii="Gotham" w:hAnsi="Gotham" w:cs="Arial"/>
          <w:sz w:val="19"/>
          <w:szCs w:val="19"/>
        </w:rPr>
      </w:pPr>
    </w:p>
    <w:p w14:paraId="3A4756D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Auxiliar al Coordinador para la convocatoria a las sesiones ordinarias y extraordinarias;</w:t>
      </w:r>
    </w:p>
    <w:p w14:paraId="3A4756D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Proponer el orden del día en acuerdo con el Coordinador y participar con voz en las sesiones;</w:t>
      </w:r>
    </w:p>
    <w:p w14:paraId="3A4756D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 xml:space="preserve">Levantar el acta de cada una de las sesiones, ordinarias y extraordinarias del Consejo, y registrarlas en el libro de actas del Consejo, una vez aprobadas con las aclaraciones y </w:t>
      </w:r>
      <w:r w:rsidRPr="00CB0307">
        <w:rPr>
          <w:rFonts w:ascii="Gotham" w:hAnsi="Gotham" w:cs="Arial"/>
          <w:sz w:val="19"/>
          <w:szCs w:val="19"/>
        </w:rPr>
        <w:lastRenderedPageBreak/>
        <w:t>modificaciones que procedan, además de requerir, recibir y archivar las correspondientes a las comisiones;</w:t>
      </w:r>
    </w:p>
    <w:p w14:paraId="3A4756D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Recibir y comunicar al Pleno del Consejo las propuestas de los diversos consejeros;</w:t>
      </w:r>
    </w:p>
    <w:p w14:paraId="3A4756D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Mantener actualizada toda la información que el Consejo requiera; y</w:t>
      </w:r>
    </w:p>
    <w:p w14:paraId="3A4756DA"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Apoyar al Consejo y al Coordinador en el cumplimiento.</w:t>
      </w:r>
    </w:p>
    <w:p w14:paraId="3A4756DB" w14:textId="77777777" w:rsidR="009B5E39" w:rsidRDefault="009B5E39" w:rsidP="009B5E39">
      <w:pPr>
        <w:ind w:left="284" w:right="283"/>
        <w:rPr>
          <w:rFonts w:ascii="Gotham" w:hAnsi="Gotham" w:cs="Arial"/>
          <w:b/>
          <w:sz w:val="19"/>
          <w:szCs w:val="19"/>
          <w:highlight w:val="cyan"/>
        </w:rPr>
      </w:pPr>
    </w:p>
    <w:p w14:paraId="3A4756DC" w14:textId="77777777" w:rsidR="009B5E39" w:rsidRPr="00CB0307" w:rsidRDefault="009B5E39" w:rsidP="009B5E39">
      <w:pPr>
        <w:ind w:left="284" w:right="283"/>
        <w:rPr>
          <w:rFonts w:ascii="Gotham" w:hAnsi="Gotham" w:cs="Arial"/>
          <w:b/>
          <w:sz w:val="19"/>
          <w:szCs w:val="19"/>
          <w:highlight w:val="cyan"/>
        </w:rPr>
      </w:pPr>
    </w:p>
    <w:p w14:paraId="3A4756DD"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III</w:t>
      </w:r>
    </w:p>
    <w:p w14:paraId="3A4756DE"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LAS SESIONES DEL CONSEJO CONSULTIVO DE MOVILIDAD Y SEGURIDAD VIAL</w:t>
      </w:r>
    </w:p>
    <w:p w14:paraId="3A4756DF" w14:textId="77777777" w:rsidR="009B5E39" w:rsidRPr="00CB0307" w:rsidRDefault="009B5E39" w:rsidP="009B5E39">
      <w:pPr>
        <w:ind w:left="284" w:right="283"/>
        <w:jc w:val="both"/>
        <w:rPr>
          <w:rFonts w:ascii="Gotham" w:hAnsi="Gotham" w:cs="Arial"/>
          <w:sz w:val="19"/>
          <w:szCs w:val="19"/>
        </w:rPr>
      </w:pPr>
    </w:p>
    <w:p w14:paraId="3A4756E0"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19. </w:t>
      </w:r>
      <w:r w:rsidRPr="00CB0307">
        <w:rPr>
          <w:rFonts w:ascii="Gotham" w:hAnsi="Gotham" w:cs="Arial"/>
          <w:sz w:val="19"/>
          <w:szCs w:val="19"/>
        </w:rPr>
        <w:t>Las sesiones del Consejo se celebraran en las instalaciones del ayuntamiento previa convocatoria expresa del Coordinador, las cuales podrán ser de carácter ordinarias o extraordinarias.</w:t>
      </w:r>
    </w:p>
    <w:p w14:paraId="3A4756E1" w14:textId="77777777" w:rsidR="009B5E39" w:rsidRPr="00CB0307" w:rsidRDefault="009B5E39" w:rsidP="009B5E39">
      <w:pPr>
        <w:ind w:left="284" w:right="283"/>
        <w:jc w:val="both"/>
        <w:rPr>
          <w:rFonts w:ascii="Gotham" w:hAnsi="Gotham" w:cs="Arial"/>
          <w:sz w:val="19"/>
          <w:szCs w:val="19"/>
        </w:rPr>
      </w:pPr>
    </w:p>
    <w:p w14:paraId="3A4756E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Ordinarias. Se celebrarán por lo menos dos veces al año y deberán ser convocadas al menos con 72 horas de anticipación; y</w:t>
      </w:r>
    </w:p>
    <w:p w14:paraId="3A4756E3"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Extraordinarias. Serán cuando las convoque el Coordinador, cuantas veces sean necesarias, citándose por lo menos con 24 horas de anticipación.</w:t>
      </w:r>
    </w:p>
    <w:p w14:paraId="3A4756E4" w14:textId="77777777" w:rsidR="009B5E39" w:rsidRPr="00CB0307" w:rsidRDefault="009B5E39" w:rsidP="009B5E39">
      <w:pPr>
        <w:ind w:left="284" w:right="283"/>
        <w:jc w:val="both"/>
        <w:rPr>
          <w:rFonts w:ascii="Gotham" w:hAnsi="Gotham" w:cs="Arial"/>
          <w:sz w:val="19"/>
          <w:szCs w:val="19"/>
        </w:rPr>
      </w:pPr>
    </w:p>
    <w:p w14:paraId="3A4756E5"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Tendrá validez con la mayoría simple de los integrantes del Consejo, podrá el Presidente convocar a Sesiones dentro del mismo plazo.</w:t>
      </w:r>
    </w:p>
    <w:p w14:paraId="3A4756E6" w14:textId="77777777" w:rsidR="009B5E39" w:rsidRPr="00CB0307" w:rsidRDefault="009B5E39" w:rsidP="009B5E39">
      <w:pPr>
        <w:ind w:left="284" w:right="283"/>
        <w:jc w:val="both"/>
        <w:rPr>
          <w:rFonts w:ascii="Gotham" w:hAnsi="Gotham" w:cs="Arial"/>
          <w:sz w:val="19"/>
          <w:szCs w:val="19"/>
        </w:rPr>
      </w:pPr>
    </w:p>
    <w:p w14:paraId="3A4756E7"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Para efectos del cómputo de los plazos de la convocatoria, este se hará tomando en cuenta los días hábiles.</w:t>
      </w:r>
    </w:p>
    <w:p w14:paraId="3A4756E8" w14:textId="77777777" w:rsidR="009B5E39" w:rsidRPr="00CB0307" w:rsidRDefault="009B5E39" w:rsidP="009B5E39">
      <w:pPr>
        <w:ind w:left="284" w:right="283"/>
        <w:jc w:val="both"/>
        <w:rPr>
          <w:rFonts w:ascii="Gotham" w:hAnsi="Gotham" w:cs="Arial"/>
          <w:sz w:val="19"/>
          <w:szCs w:val="19"/>
        </w:rPr>
      </w:pPr>
    </w:p>
    <w:p w14:paraId="3A4756E9"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Las sesiones del Consejo, deberán desarrollarse conforme lo establecido en el Reglamento para el Funcionamiento Interno de las Sesiones del Ayuntamiento Constitucional de Tonalá Jalisco.</w:t>
      </w:r>
    </w:p>
    <w:p w14:paraId="3A4756EA" w14:textId="77777777" w:rsidR="009B5E39" w:rsidRDefault="009B5E39" w:rsidP="009B5E39">
      <w:pPr>
        <w:ind w:left="284" w:right="283"/>
        <w:rPr>
          <w:rFonts w:ascii="Gotham" w:hAnsi="Gotham" w:cs="Arial"/>
          <w:b/>
          <w:sz w:val="19"/>
          <w:szCs w:val="19"/>
          <w:highlight w:val="cyan"/>
        </w:rPr>
      </w:pPr>
    </w:p>
    <w:p w14:paraId="3A4756EB" w14:textId="77777777" w:rsidR="009B5E39" w:rsidRPr="00CB0307" w:rsidRDefault="009B5E39" w:rsidP="009B5E39">
      <w:pPr>
        <w:ind w:left="284" w:right="283"/>
        <w:rPr>
          <w:rFonts w:ascii="Gotham" w:hAnsi="Gotham" w:cs="Arial"/>
          <w:b/>
          <w:sz w:val="19"/>
          <w:szCs w:val="19"/>
          <w:highlight w:val="cyan"/>
        </w:rPr>
      </w:pPr>
    </w:p>
    <w:p w14:paraId="3A4756EC"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IV</w:t>
      </w:r>
    </w:p>
    <w:p w14:paraId="3A4756ED"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LA COMISIÓN DE TARIFAS DE ESTACIONAMIENTOS.</w:t>
      </w:r>
    </w:p>
    <w:p w14:paraId="3A4756EE" w14:textId="77777777" w:rsidR="009B5E39" w:rsidRPr="00CB0307" w:rsidRDefault="009B5E39" w:rsidP="009B5E39">
      <w:pPr>
        <w:ind w:left="284" w:right="283"/>
        <w:rPr>
          <w:rFonts w:ascii="Gotham" w:hAnsi="Gotham" w:cs="Arial"/>
          <w:sz w:val="19"/>
          <w:szCs w:val="19"/>
        </w:rPr>
      </w:pPr>
    </w:p>
    <w:p w14:paraId="3A4756EF"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20. </w:t>
      </w:r>
      <w:r w:rsidRPr="00CB0307">
        <w:rPr>
          <w:rFonts w:ascii="Gotham" w:hAnsi="Gotham" w:cs="Arial"/>
          <w:sz w:val="19"/>
          <w:szCs w:val="19"/>
        </w:rPr>
        <w:t>El Ayuntamiento integrará la Comisión de Tarifas de Estacionamientos, la cual fungirá como un organismo colegiado municipal para la determinación de tarifas y horarios en materia de estacionamientos públicos, para el servicio de estacionamiento con acomodadores de vehículos y todo lo concerniente en la materia.</w:t>
      </w:r>
    </w:p>
    <w:p w14:paraId="3A4756F0" w14:textId="77777777" w:rsidR="009B5E39" w:rsidRPr="00CB0307" w:rsidRDefault="009B5E39" w:rsidP="009B5E39">
      <w:pPr>
        <w:ind w:left="284" w:right="283"/>
        <w:jc w:val="both"/>
        <w:rPr>
          <w:rFonts w:ascii="Gotham" w:hAnsi="Gotham" w:cs="Arial"/>
          <w:b/>
          <w:sz w:val="19"/>
          <w:szCs w:val="19"/>
          <w:highlight w:val="cyan"/>
        </w:rPr>
      </w:pPr>
    </w:p>
    <w:p w14:paraId="3A4756F1"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21. </w:t>
      </w:r>
      <w:r w:rsidRPr="00CB0307">
        <w:rPr>
          <w:rFonts w:ascii="Gotham" w:hAnsi="Gotham" w:cs="Arial"/>
          <w:sz w:val="19"/>
          <w:szCs w:val="19"/>
        </w:rPr>
        <w:t>La Comisión de Tarifas de Estacionamientos será integrada por:</w:t>
      </w:r>
    </w:p>
    <w:p w14:paraId="3A4756F2" w14:textId="77777777" w:rsidR="009B5E39" w:rsidRPr="00CB0307" w:rsidRDefault="009B5E39" w:rsidP="009B5E39">
      <w:pPr>
        <w:ind w:left="284" w:right="283"/>
        <w:jc w:val="both"/>
        <w:rPr>
          <w:rFonts w:ascii="Gotham" w:hAnsi="Gotham" w:cs="Arial"/>
          <w:sz w:val="19"/>
          <w:szCs w:val="19"/>
        </w:rPr>
      </w:pPr>
    </w:p>
    <w:p w14:paraId="3A4756F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El presidente de la Comisión Edilicia de Desarrollo Urbano y Movilidad Municipal, el cual coordinará los trabajos y sesiones de la Comisión;</w:t>
      </w:r>
    </w:p>
    <w:p w14:paraId="3A4756F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Un munícipe de cada fracción Edilicia, regiduría independiente o en caso de coalición un representante de la misma;</w:t>
      </w:r>
    </w:p>
    <w:p w14:paraId="3A4756F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El Tesorero Municipal;</w:t>
      </w:r>
    </w:p>
    <w:p w14:paraId="3A4756F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El Titular de la Dirección de Planeación y Movilidad quien fungirá como Secretario Técnico de la Comisión;</w:t>
      </w:r>
    </w:p>
    <w:p w14:paraId="3A4756F7"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 </w:t>
      </w:r>
      <w:r>
        <w:rPr>
          <w:rFonts w:ascii="Gotham" w:hAnsi="Gotham" w:cs="Arial"/>
          <w:bCs/>
          <w:sz w:val="19"/>
          <w:szCs w:val="19"/>
        </w:rPr>
        <w:tab/>
      </w:r>
      <w:r w:rsidRPr="00CB0307">
        <w:rPr>
          <w:rFonts w:ascii="Gotham" w:hAnsi="Gotham" w:cs="Arial"/>
          <w:bCs/>
          <w:sz w:val="19"/>
          <w:szCs w:val="19"/>
        </w:rPr>
        <w:t xml:space="preserve">El Titular de la Jefatura de Agentes de Movilidad </w:t>
      </w:r>
    </w:p>
    <w:p w14:paraId="3A4756F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Titular de la Dirección de Padrón y Licencias</w:t>
      </w:r>
    </w:p>
    <w:p w14:paraId="3A4756F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A invitación del coordinador de ésta comisión. Cuatro representantes de los organismos legalmente constituidos que representen al ramo de estacionamientos; y</w:t>
      </w:r>
    </w:p>
    <w:p w14:paraId="3A4756FA"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lastRenderedPageBreak/>
        <w:t xml:space="preserve">VIII. </w:t>
      </w:r>
      <w:r>
        <w:rPr>
          <w:rFonts w:ascii="Gotham" w:hAnsi="Gotham" w:cs="Arial"/>
          <w:sz w:val="19"/>
          <w:szCs w:val="19"/>
        </w:rPr>
        <w:tab/>
      </w:r>
      <w:r w:rsidRPr="00CB0307">
        <w:rPr>
          <w:rFonts w:ascii="Gotham" w:hAnsi="Gotham" w:cs="Arial"/>
          <w:sz w:val="19"/>
          <w:szCs w:val="19"/>
        </w:rPr>
        <w:t>Tres representantes de los Comités Sociales de Participación Ciudadana de distintos centros de población, legalmente constituidos e invitados por el coordinador.</w:t>
      </w:r>
    </w:p>
    <w:p w14:paraId="3A4756FB" w14:textId="77777777" w:rsidR="009B5E39" w:rsidRPr="00CB0307" w:rsidRDefault="009B5E39" w:rsidP="009B5E39">
      <w:pPr>
        <w:ind w:left="284" w:right="283"/>
        <w:jc w:val="both"/>
        <w:rPr>
          <w:rFonts w:ascii="Gotham" w:hAnsi="Gotham" w:cs="Arial"/>
          <w:sz w:val="19"/>
          <w:szCs w:val="19"/>
        </w:rPr>
      </w:pPr>
    </w:p>
    <w:p w14:paraId="3A4756FC"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Todos los integrantes de la comisión de tarifas tienen derecho a voz y voto, a excepción del Secretario Técnico, el cual contará sólo con derecho a voz pero no a voto.</w:t>
      </w:r>
    </w:p>
    <w:p w14:paraId="3A4756FD" w14:textId="77777777" w:rsidR="009B5E39" w:rsidRPr="00CB0307" w:rsidRDefault="009B5E39" w:rsidP="009B5E39">
      <w:pPr>
        <w:ind w:left="284" w:right="283"/>
        <w:jc w:val="both"/>
        <w:rPr>
          <w:rFonts w:ascii="Gotham" w:hAnsi="Gotham" w:cs="Arial"/>
          <w:sz w:val="19"/>
          <w:szCs w:val="19"/>
        </w:rPr>
      </w:pPr>
    </w:p>
    <w:p w14:paraId="3A4756FE"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22. </w:t>
      </w:r>
      <w:r w:rsidRPr="00CB0307">
        <w:rPr>
          <w:rFonts w:ascii="Gotham" w:hAnsi="Gotham" w:cs="Arial"/>
          <w:sz w:val="19"/>
          <w:szCs w:val="19"/>
        </w:rPr>
        <w:t>La duración del encargo no podrá trascender el tiempo que dure la administración municipal.</w:t>
      </w:r>
    </w:p>
    <w:p w14:paraId="3A4756FF" w14:textId="77777777" w:rsidR="009B5E39" w:rsidRPr="00CB0307" w:rsidRDefault="009B5E39" w:rsidP="009B5E39">
      <w:pPr>
        <w:ind w:left="284" w:right="283"/>
        <w:jc w:val="both"/>
        <w:rPr>
          <w:rFonts w:ascii="Gotham" w:eastAsia="SimSun" w:hAnsi="Gotham" w:cs="Arial"/>
          <w:kern w:val="3"/>
          <w:sz w:val="19"/>
          <w:szCs w:val="19"/>
          <w:lang w:eastAsia="zh-CN" w:bidi="hi-IN"/>
        </w:rPr>
      </w:pPr>
    </w:p>
    <w:p w14:paraId="3A475700"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23. </w:t>
      </w:r>
      <w:r w:rsidRPr="00CB0307">
        <w:rPr>
          <w:rFonts w:ascii="Gotham" w:hAnsi="Gotham" w:cs="Arial"/>
          <w:sz w:val="19"/>
          <w:szCs w:val="19"/>
        </w:rPr>
        <w:t>Las sesiones de la Comisión de Tarifas de Estacionamientos, serán públicas-abiertas, pudiendo asistir cualquier persona, y su desarrollo deberá sujetarse a lo siguiente:</w:t>
      </w:r>
    </w:p>
    <w:p w14:paraId="3A475701" w14:textId="77777777" w:rsidR="009B5E39" w:rsidRPr="00CB0307" w:rsidRDefault="009B5E39" w:rsidP="009B5E39">
      <w:pPr>
        <w:ind w:left="284" w:right="283"/>
        <w:jc w:val="both"/>
        <w:rPr>
          <w:rFonts w:ascii="Gotham" w:eastAsia="SimSun" w:hAnsi="Gotham" w:cs="Arial"/>
          <w:kern w:val="3"/>
          <w:sz w:val="19"/>
          <w:szCs w:val="19"/>
          <w:lang w:eastAsia="zh-CN" w:bidi="hi-IN"/>
        </w:rPr>
      </w:pPr>
    </w:p>
    <w:p w14:paraId="3A475702" w14:textId="77777777" w:rsidR="009B5E39" w:rsidRPr="00CB0307" w:rsidRDefault="009B5E39" w:rsidP="009B5E39">
      <w:pPr>
        <w:spacing w:after="120"/>
        <w:ind w:left="1134" w:right="283" w:hanging="850"/>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I.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Sesionará de manera ordinaria por lo menos una vez al año y en forma extraordinaria cuando sea necesario;</w:t>
      </w:r>
    </w:p>
    <w:p w14:paraId="3A475703" w14:textId="77777777" w:rsidR="009B5E39" w:rsidRPr="00CB0307" w:rsidRDefault="009B5E39" w:rsidP="009B5E39">
      <w:pPr>
        <w:spacing w:after="120"/>
        <w:ind w:left="1134" w:right="283" w:hanging="850"/>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II.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La convocatoria para Sesión Ordinaria, se realizará por escrito y vía electrónica anexando el Orden del Día, por lo menos con 72 horas de anticipación a su celebración; y para la convocatoria a sesión extraordinaria, deberá realizarse por lo menos con 24 horas de anticipación;</w:t>
      </w:r>
    </w:p>
    <w:p w14:paraId="3A475704" w14:textId="77777777" w:rsidR="009B5E39" w:rsidRPr="00CB0307" w:rsidRDefault="009B5E39" w:rsidP="009B5E39">
      <w:pPr>
        <w:spacing w:after="120"/>
        <w:ind w:left="1134" w:right="283" w:hanging="850"/>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III.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 xml:space="preserve">Las sesiones se desarrollarán con el siguiente orden del día: </w:t>
      </w:r>
    </w:p>
    <w:p w14:paraId="3A475705" w14:textId="77777777" w:rsidR="009B5E39" w:rsidRPr="00CB0307" w:rsidRDefault="009B5E39" w:rsidP="009B5E39">
      <w:pPr>
        <w:spacing w:after="80"/>
        <w:ind w:left="1560" w:right="283" w:hanging="426"/>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a)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Registro de asistencia;</w:t>
      </w:r>
    </w:p>
    <w:p w14:paraId="3A475706" w14:textId="77777777" w:rsidR="009B5E39" w:rsidRPr="00CB0307" w:rsidRDefault="009B5E39" w:rsidP="009B5E39">
      <w:pPr>
        <w:spacing w:after="80"/>
        <w:ind w:left="1560" w:right="283" w:hanging="426"/>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b)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 xml:space="preserve">Declaratoria de quórum, </w:t>
      </w:r>
    </w:p>
    <w:p w14:paraId="3A475707" w14:textId="77777777" w:rsidR="009B5E39" w:rsidRPr="00CB0307" w:rsidRDefault="009B5E39" w:rsidP="009B5E39">
      <w:pPr>
        <w:spacing w:after="80"/>
        <w:ind w:left="1560" w:right="283" w:hanging="426"/>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c) </w:t>
      </w:r>
      <w:r>
        <w:rPr>
          <w:rFonts w:ascii="Gotham" w:eastAsia="SimSun" w:hAnsi="Gotham" w:cs="Arial"/>
          <w:kern w:val="3"/>
          <w:sz w:val="19"/>
          <w:szCs w:val="19"/>
          <w:lang w:eastAsia="zh-CN" w:bidi="hi-IN"/>
        </w:rPr>
        <w:tab/>
      </w:r>
      <w:r w:rsidRPr="003D1DA7">
        <w:rPr>
          <w:rFonts w:ascii="Gotham" w:eastAsia="SimSun" w:hAnsi="Gotham" w:cs="Arial"/>
          <w:kern w:val="3"/>
          <w:sz w:val="19"/>
          <w:szCs w:val="19"/>
          <w:lang w:eastAsia="zh-CN" w:bidi="hi-IN"/>
        </w:rPr>
        <w:t>Aprobación</w:t>
      </w:r>
      <w:r w:rsidRPr="00CB0307">
        <w:rPr>
          <w:rFonts w:ascii="Gotham" w:eastAsia="SimSun" w:hAnsi="Gotham" w:cs="Arial"/>
          <w:kern w:val="3"/>
          <w:sz w:val="19"/>
          <w:szCs w:val="19"/>
          <w:lang w:eastAsia="zh-CN" w:bidi="hi-IN"/>
        </w:rPr>
        <w:t xml:space="preserve"> del orden del día, </w:t>
      </w:r>
    </w:p>
    <w:p w14:paraId="3A475708" w14:textId="77777777" w:rsidR="009B5E39" w:rsidRPr="00CB0307" w:rsidRDefault="009B5E39" w:rsidP="009B5E39">
      <w:pPr>
        <w:spacing w:after="80"/>
        <w:ind w:left="1560" w:right="283" w:hanging="426"/>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d)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 xml:space="preserve">Lectura y aprobación del acta de la sesión anterior, </w:t>
      </w:r>
    </w:p>
    <w:p w14:paraId="3A475709" w14:textId="77777777" w:rsidR="009B5E39" w:rsidRPr="00CB0307" w:rsidRDefault="009B5E39" w:rsidP="009B5E39">
      <w:pPr>
        <w:spacing w:after="80"/>
        <w:ind w:left="1560" w:right="283" w:hanging="426"/>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e)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 xml:space="preserve">Asuntos a tratar; y </w:t>
      </w:r>
    </w:p>
    <w:p w14:paraId="3A47570A" w14:textId="77777777" w:rsidR="009B5E39" w:rsidRPr="00CB0307" w:rsidRDefault="009B5E39" w:rsidP="009B5E39">
      <w:pPr>
        <w:spacing w:after="120"/>
        <w:ind w:left="1560" w:right="283" w:hanging="426"/>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f)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Asuntos varios.</w:t>
      </w:r>
    </w:p>
    <w:p w14:paraId="3A47570B" w14:textId="77777777" w:rsidR="009B5E39" w:rsidRPr="00CB0307" w:rsidRDefault="009B5E39" w:rsidP="009B5E39">
      <w:pPr>
        <w:spacing w:after="120"/>
        <w:ind w:left="1134" w:right="283"/>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En caso de las sesiones extraordinarias, no se tratarán asuntos varios y se limitará a agotar los temas establecidos en el-orden del día propuesto.</w:t>
      </w:r>
    </w:p>
    <w:p w14:paraId="3A47570C" w14:textId="77777777" w:rsidR="009B5E39" w:rsidRPr="00CB0307" w:rsidRDefault="009B5E39" w:rsidP="009B5E39">
      <w:pPr>
        <w:spacing w:after="120"/>
        <w:ind w:left="1134" w:right="283" w:hanging="850"/>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IV.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Para sesionar válidamente deberán estar presentes la mayoría de los integrantes con derecho a voto. En caso de que en la sesión no exista quórum requerido para sesionar, el Presidente declarará quórum insuficiente y propondrá nueva fecha para sesionar, la cual deberá celebrarse integrando el quorum legal con los asistentes a la segunda convocatoria;</w:t>
      </w:r>
    </w:p>
    <w:p w14:paraId="3A47570D" w14:textId="77777777" w:rsidR="009B5E39" w:rsidRPr="00CB0307" w:rsidRDefault="009B5E39" w:rsidP="009B5E39">
      <w:pPr>
        <w:spacing w:after="120"/>
        <w:ind w:left="1134" w:right="283" w:hanging="850"/>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V.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Los acuerdos se aprobarán por mayoría de votos de sus integrantes, en caso de empate en la votación, el Presidente contará con voto de calidad;</w:t>
      </w:r>
    </w:p>
    <w:p w14:paraId="3A47570E" w14:textId="77777777" w:rsidR="009B5E39" w:rsidRPr="00CB0307" w:rsidRDefault="009B5E39" w:rsidP="009B5E39">
      <w:pPr>
        <w:spacing w:after="120"/>
        <w:ind w:left="1134" w:right="283" w:hanging="850"/>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VI.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Cada integrante de la Comisión de Tarifas de Estacionamientos podrá, si lo considera necesario, nombrar por escrito a un suplente quien asumirá transitoriamente las facultades del titular para que acuda a las sesiones de la Comisión, la persona que este designe deberá de ser servidor público del Municipio de Tonalá; en caso de los integrantes mencionados, sus suplentes serán determinados acorde a la naturaleza de la representación que ostentan; y</w:t>
      </w:r>
    </w:p>
    <w:p w14:paraId="3A47570F" w14:textId="77777777" w:rsidR="009B5E39" w:rsidRPr="00CB0307" w:rsidRDefault="009B5E39" w:rsidP="009B5E39">
      <w:pPr>
        <w:ind w:left="1134" w:right="283" w:hanging="850"/>
        <w:jc w:val="both"/>
        <w:rPr>
          <w:rFonts w:ascii="Gotham" w:eastAsia="SimSun" w:hAnsi="Gotham" w:cs="Arial"/>
          <w:kern w:val="3"/>
          <w:sz w:val="19"/>
          <w:szCs w:val="19"/>
          <w:lang w:eastAsia="zh-CN" w:bidi="hi-IN"/>
        </w:rPr>
      </w:pPr>
      <w:r w:rsidRPr="00CB0307">
        <w:rPr>
          <w:rFonts w:ascii="Gotham" w:eastAsia="SimSun" w:hAnsi="Gotham" w:cs="Arial"/>
          <w:kern w:val="3"/>
          <w:sz w:val="19"/>
          <w:szCs w:val="19"/>
          <w:lang w:eastAsia="zh-CN" w:bidi="hi-IN"/>
        </w:rPr>
        <w:t xml:space="preserve">VII. </w:t>
      </w:r>
      <w:r>
        <w:rPr>
          <w:rFonts w:ascii="Gotham" w:eastAsia="SimSun" w:hAnsi="Gotham" w:cs="Arial"/>
          <w:kern w:val="3"/>
          <w:sz w:val="19"/>
          <w:szCs w:val="19"/>
          <w:lang w:eastAsia="zh-CN" w:bidi="hi-IN"/>
        </w:rPr>
        <w:tab/>
      </w:r>
      <w:r w:rsidRPr="00CB0307">
        <w:rPr>
          <w:rFonts w:ascii="Gotham" w:eastAsia="SimSun" w:hAnsi="Gotham" w:cs="Arial"/>
          <w:kern w:val="3"/>
          <w:sz w:val="19"/>
          <w:szCs w:val="19"/>
          <w:lang w:eastAsia="zh-CN" w:bidi="hi-IN"/>
        </w:rPr>
        <w:t>Para los casos no previstos en materia de sesiones de la presente Comisión, se aplicará supletoriamente lo establecido en el Reglamento para el Funcionamiento Interno de las Sesiones del Ayuntamiento Constitucional de Tonalá, Jalisco.</w:t>
      </w:r>
    </w:p>
    <w:p w14:paraId="3A475710" w14:textId="77777777" w:rsidR="009B5E39" w:rsidRDefault="009B5E39" w:rsidP="009B5E39">
      <w:pPr>
        <w:ind w:left="284" w:right="283"/>
        <w:jc w:val="both"/>
        <w:rPr>
          <w:rFonts w:ascii="Gotham" w:hAnsi="Gotham" w:cs="Arial"/>
          <w:b/>
          <w:sz w:val="19"/>
          <w:szCs w:val="19"/>
        </w:rPr>
      </w:pPr>
    </w:p>
    <w:p w14:paraId="3A475711"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24. </w:t>
      </w:r>
      <w:r w:rsidRPr="00CB0307">
        <w:rPr>
          <w:rFonts w:ascii="Gotham" w:hAnsi="Gotham" w:cs="Arial"/>
          <w:sz w:val="19"/>
          <w:szCs w:val="19"/>
        </w:rPr>
        <w:t>Son atribuciones y obligaciones del Presidente de la Comisión de Tarifas de Estacionamientos las siguientes:</w:t>
      </w:r>
    </w:p>
    <w:p w14:paraId="3A475712" w14:textId="77777777" w:rsidR="009B5E39" w:rsidRPr="00CB0307" w:rsidRDefault="009B5E39" w:rsidP="009B5E39">
      <w:pPr>
        <w:ind w:left="284" w:right="283"/>
        <w:jc w:val="both"/>
        <w:rPr>
          <w:rFonts w:ascii="Gotham" w:hAnsi="Gotham" w:cs="Arial"/>
          <w:sz w:val="19"/>
          <w:szCs w:val="19"/>
        </w:rPr>
      </w:pPr>
    </w:p>
    <w:p w14:paraId="3A47571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Convocar con apoyo del Secretario Técnico a las sesiones ordinarias y extraordinarias de la Comisión de Tarifas de Estacionamientos por lo menos una vez al año;</w:t>
      </w:r>
    </w:p>
    <w:p w14:paraId="3A47571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Turnar al Pleno del Ayuntamiento los asuntos y dictámenes tratados en las Sesiones;</w:t>
      </w:r>
    </w:p>
    <w:p w14:paraId="3A47571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III. </w:t>
      </w:r>
      <w:r>
        <w:rPr>
          <w:rFonts w:ascii="Gotham" w:hAnsi="Gotham" w:cs="Arial"/>
          <w:sz w:val="19"/>
          <w:szCs w:val="19"/>
        </w:rPr>
        <w:tab/>
      </w:r>
      <w:r w:rsidRPr="00CB0307">
        <w:rPr>
          <w:rFonts w:ascii="Gotham" w:hAnsi="Gotham" w:cs="Arial"/>
          <w:sz w:val="19"/>
          <w:szCs w:val="19"/>
        </w:rPr>
        <w:t>Declarar la existencia de quórum legal para sesionar;</w:t>
      </w:r>
    </w:p>
    <w:p w14:paraId="3A47571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Emitir su voto de calidad en caso de empate; y</w:t>
      </w:r>
    </w:p>
    <w:p w14:paraId="3A475717"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t>L</w:t>
      </w:r>
      <w:r w:rsidRPr="00CB0307">
        <w:rPr>
          <w:rFonts w:ascii="Gotham" w:hAnsi="Gotham" w:cs="Arial"/>
          <w:sz w:val="19"/>
          <w:szCs w:val="19"/>
        </w:rPr>
        <w:t>as demás establecidas en el presente Reglamento y en otras disposiciones legales aplicables.</w:t>
      </w:r>
    </w:p>
    <w:p w14:paraId="3A475718" w14:textId="77777777" w:rsidR="009B5E39" w:rsidRPr="00CB0307" w:rsidRDefault="009B5E39" w:rsidP="009B5E39">
      <w:pPr>
        <w:ind w:left="284" w:right="283"/>
        <w:jc w:val="both"/>
        <w:rPr>
          <w:rFonts w:ascii="Gotham" w:hAnsi="Gotham" w:cs="Arial"/>
          <w:b/>
          <w:sz w:val="19"/>
          <w:szCs w:val="19"/>
          <w:highlight w:val="yellow"/>
        </w:rPr>
      </w:pPr>
    </w:p>
    <w:p w14:paraId="3A475719"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25. </w:t>
      </w:r>
      <w:r w:rsidRPr="00CB0307">
        <w:rPr>
          <w:rFonts w:ascii="Gotham" w:hAnsi="Gotham" w:cs="Arial"/>
          <w:sz w:val="19"/>
          <w:szCs w:val="19"/>
        </w:rPr>
        <w:t>Son atribuciones y obligaciones del Secretario Técnico de la Comisión de Tarifas de Estacionamientos las siguientes:</w:t>
      </w:r>
    </w:p>
    <w:p w14:paraId="3A47571A" w14:textId="77777777" w:rsidR="009B5E39" w:rsidRPr="00CB0307" w:rsidRDefault="009B5E39" w:rsidP="009B5E39">
      <w:pPr>
        <w:ind w:left="284" w:right="283"/>
        <w:jc w:val="both"/>
        <w:rPr>
          <w:rFonts w:ascii="Gotham" w:hAnsi="Gotham" w:cs="Arial"/>
          <w:sz w:val="19"/>
          <w:szCs w:val="19"/>
        </w:rPr>
      </w:pPr>
    </w:p>
    <w:p w14:paraId="3A47571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Realizar el análisis técnico de las tarifas a presentar por parte de la Comisión de Tarifas de Estacionamientos al pleno del Ayuntamiento;</w:t>
      </w:r>
    </w:p>
    <w:p w14:paraId="3A47571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Elaborar las actas de las sesiones y recabar las firmas de las mismas;</w:t>
      </w:r>
    </w:p>
    <w:p w14:paraId="3A47571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Tener bajo su custodia y resguardo el archivo de la Comisión; y</w:t>
      </w:r>
    </w:p>
    <w:p w14:paraId="3A47571E"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Las demás establecidas en el presente Reglamento y en otras disposiciones legales aplicables.</w:t>
      </w:r>
    </w:p>
    <w:p w14:paraId="3A47571F" w14:textId="77777777" w:rsidR="009B5E39" w:rsidRDefault="009B5E39" w:rsidP="009B5E39">
      <w:pPr>
        <w:ind w:left="284" w:right="283"/>
        <w:jc w:val="both"/>
        <w:rPr>
          <w:rFonts w:ascii="Gotham" w:hAnsi="Gotham" w:cs="Arial"/>
          <w:b/>
          <w:sz w:val="19"/>
          <w:szCs w:val="19"/>
        </w:rPr>
      </w:pPr>
    </w:p>
    <w:p w14:paraId="3A475720" w14:textId="77777777" w:rsidR="009B5E39" w:rsidRPr="00CB0307" w:rsidRDefault="009B5E39" w:rsidP="009B5E39">
      <w:pPr>
        <w:ind w:left="284" w:right="283"/>
        <w:jc w:val="both"/>
        <w:rPr>
          <w:rFonts w:ascii="Gotham" w:hAnsi="Gotham" w:cs="Arial"/>
          <w:bCs/>
          <w:sz w:val="19"/>
          <w:szCs w:val="19"/>
        </w:rPr>
      </w:pPr>
      <w:r w:rsidRPr="00CB0307">
        <w:rPr>
          <w:rFonts w:ascii="Gotham" w:hAnsi="Gotham" w:cs="Arial"/>
          <w:b/>
          <w:sz w:val="19"/>
          <w:szCs w:val="19"/>
        </w:rPr>
        <w:t xml:space="preserve">Artículo 26. </w:t>
      </w:r>
      <w:r w:rsidRPr="00CB0307">
        <w:rPr>
          <w:rFonts w:ascii="Gotham" w:hAnsi="Gotham" w:cs="Arial"/>
          <w:bCs/>
          <w:sz w:val="19"/>
          <w:szCs w:val="19"/>
        </w:rPr>
        <w:t>Son atribuciones y obligaciones de la Comisión de Tarifas de Estacionamientos las siguientes</w:t>
      </w:r>
    </w:p>
    <w:p w14:paraId="3A475721" w14:textId="77777777" w:rsidR="009B5E39" w:rsidRPr="00CB0307" w:rsidRDefault="009B5E39" w:rsidP="009B5E39">
      <w:pPr>
        <w:ind w:left="284" w:right="283"/>
        <w:jc w:val="both"/>
        <w:rPr>
          <w:rFonts w:ascii="Gotham" w:hAnsi="Gotham" w:cs="Arial"/>
          <w:sz w:val="19"/>
          <w:szCs w:val="19"/>
        </w:rPr>
      </w:pPr>
    </w:p>
    <w:p w14:paraId="3A47572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Proponer al Ayuntamiento en Pleno las tarifas y sus incrementos que han de cobrarse por la prestación del servicio de estacionamiento en todas sus categorías y modalidades;</w:t>
      </w:r>
    </w:p>
    <w:p w14:paraId="3A47572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Proponer al Pleno del Ayuntamiento las tarifas de cobro por la prestación del servicio de estacionamiento con acomodadores de vehículos; y</w:t>
      </w:r>
    </w:p>
    <w:p w14:paraId="3A475724"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Las demás establecidas en el presente Reglamento y disposiciones legales aplicables.</w:t>
      </w:r>
    </w:p>
    <w:p w14:paraId="3A475725" w14:textId="77777777" w:rsidR="009B5E39" w:rsidRDefault="009B5E39" w:rsidP="009B5E39">
      <w:pPr>
        <w:ind w:left="284" w:right="283"/>
        <w:rPr>
          <w:rFonts w:ascii="Gotham" w:hAnsi="Gotham" w:cs="Arial"/>
          <w:sz w:val="19"/>
          <w:szCs w:val="19"/>
        </w:rPr>
      </w:pPr>
    </w:p>
    <w:p w14:paraId="3A475726" w14:textId="77777777" w:rsidR="009B5E39" w:rsidRPr="00CB0307" w:rsidRDefault="009B5E39" w:rsidP="009B5E39">
      <w:pPr>
        <w:ind w:left="284" w:right="283"/>
        <w:rPr>
          <w:rFonts w:ascii="Gotham" w:hAnsi="Gotham" w:cs="Arial"/>
          <w:sz w:val="19"/>
          <w:szCs w:val="19"/>
        </w:rPr>
      </w:pPr>
    </w:p>
    <w:p w14:paraId="3A475727"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TITULO III</w:t>
      </w:r>
    </w:p>
    <w:p w14:paraId="3A475728"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DE LA INFRAESTRUCTURA VIAL</w:t>
      </w:r>
    </w:p>
    <w:p w14:paraId="3A475729" w14:textId="77777777" w:rsidR="009B5E39" w:rsidRPr="00CB0307" w:rsidRDefault="009B5E39" w:rsidP="009B5E39">
      <w:pPr>
        <w:ind w:left="284" w:right="283"/>
        <w:jc w:val="center"/>
        <w:rPr>
          <w:rFonts w:ascii="Gotham" w:hAnsi="Gotham" w:cs="Arial"/>
          <w:sz w:val="19"/>
          <w:szCs w:val="19"/>
        </w:rPr>
      </w:pPr>
    </w:p>
    <w:p w14:paraId="3A47572A"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w:t>
      </w:r>
    </w:p>
    <w:p w14:paraId="3A47572B"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LA INFRAESTRUCTURA VIAL, LOS DISPOSITIVOS Y REGULACIÓN DE TRÁNSITO</w:t>
      </w:r>
    </w:p>
    <w:p w14:paraId="3A47572C" w14:textId="77777777" w:rsidR="009B5E39" w:rsidRPr="00CB0307" w:rsidRDefault="009B5E39" w:rsidP="009B5E39">
      <w:pPr>
        <w:ind w:left="284" w:right="283"/>
        <w:rPr>
          <w:rFonts w:ascii="Gotham" w:hAnsi="Gotham" w:cs="Arial"/>
          <w:b/>
          <w:sz w:val="19"/>
          <w:szCs w:val="19"/>
        </w:rPr>
      </w:pPr>
    </w:p>
    <w:p w14:paraId="3A47572D"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27. </w:t>
      </w:r>
      <w:r w:rsidRPr="00CB0307">
        <w:rPr>
          <w:rFonts w:ascii="Gotham" w:hAnsi="Gotham" w:cs="Arial"/>
          <w:sz w:val="19"/>
          <w:szCs w:val="19"/>
        </w:rPr>
        <w:t>Cualquier modificación a la infraestructura que pueda tener un impacto en la movilidad, deberá contar con la opinión técnica o en su caso Dictamen de la Dirección.</w:t>
      </w:r>
    </w:p>
    <w:p w14:paraId="3A47572E" w14:textId="77777777" w:rsidR="009B5E39" w:rsidRPr="00CB0307" w:rsidRDefault="009B5E39" w:rsidP="009B5E39">
      <w:pPr>
        <w:ind w:left="284" w:right="283"/>
        <w:jc w:val="both"/>
        <w:rPr>
          <w:rFonts w:ascii="Gotham" w:hAnsi="Gotham" w:cs="Arial"/>
          <w:b/>
          <w:sz w:val="19"/>
          <w:szCs w:val="19"/>
          <w:highlight w:val="cyan"/>
        </w:rPr>
      </w:pPr>
    </w:p>
    <w:p w14:paraId="3A47572F"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28. </w:t>
      </w:r>
      <w:r w:rsidRPr="00CB0307">
        <w:rPr>
          <w:rFonts w:ascii="Gotham" w:hAnsi="Gotham" w:cs="Arial"/>
          <w:sz w:val="19"/>
          <w:szCs w:val="19"/>
        </w:rPr>
        <w:t>La Dirección deberá participar, impulsar, diseñar, gestionar, revisar, supervisar, evaluar, autorizar y dar opiniones técnicas respecto a proyectos en materia de:</w:t>
      </w:r>
    </w:p>
    <w:p w14:paraId="3A475730" w14:textId="77777777" w:rsidR="009B5E39" w:rsidRPr="00CB0307" w:rsidRDefault="009B5E39" w:rsidP="009B5E39">
      <w:pPr>
        <w:ind w:left="284" w:right="283"/>
        <w:jc w:val="both"/>
        <w:rPr>
          <w:rFonts w:ascii="Gotham" w:hAnsi="Gotham" w:cs="Arial"/>
          <w:sz w:val="19"/>
          <w:szCs w:val="19"/>
        </w:rPr>
      </w:pPr>
    </w:p>
    <w:p w14:paraId="3A47573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Movilidad No Motorizada.</w:t>
      </w:r>
    </w:p>
    <w:p w14:paraId="3A475732"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a) Peatones; </w:t>
      </w:r>
    </w:p>
    <w:p w14:paraId="3A475733"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b) Ciclistas;</w:t>
      </w:r>
    </w:p>
    <w:p w14:paraId="3A475734"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c) Sistemas integrales de banquetas con accesibilidad universal; </w:t>
      </w:r>
    </w:p>
    <w:p w14:paraId="3A475735"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d) Calles con prioridad peatonal y Zona 30 treinta km; </w:t>
      </w:r>
    </w:p>
    <w:p w14:paraId="3A475736"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e) Ciclovías y ciclocarriles; y </w:t>
      </w:r>
    </w:p>
    <w:p w14:paraId="3A475737"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f) Programas de bicicleta pública; y</w:t>
      </w:r>
    </w:p>
    <w:p w14:paraId="3A47573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Movilidad Motorizada.</w:t>
      </w:r>
    </w:p>
    <w:p w14:paraId="3A475739"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a) Infraestructura para el transporte; y </w:t>
      </w:r>
    </w:p>
    <w:p w14:paraId="3A47573A" w14:textId="77777777" w:rsidR="009B5E39" w:rsidRPr="00CB0307" w:rsidRDefault="009B5E39" w:rsidP="009B5E39">
      <w:pPr>
        <w:ind w:left="1560" w:right="283" w:hanging="426"/>
        <w:jc w:val="both"/>
        <w:rPr>
          <w:rFonts w:ascii="Gotham" w:hAnsi="Gotham" w:cs="Arial"/>
          <w:sz w:val="19"/>
          <w:szCs w:val="19"/>
        </w:rPr>
      </w:pPr>
      <w:r w:rsidRPr="00CB0307">
        <w:rPr>
          <w:rFonts w:ascii="Gotham" w:hAnsi="Gotham" w:cs="Arial"/>
          <w:sz w:val="19"/>
          <w:szCs w:val="19"/>
        </w:rPr>
        <w:t>b) Infraestructura vehicular</w:t>
      </w:r>
    </w:p>
    <w:p w14:paraId="3A47573B" w14:textId="77777777" w:rsidR="009B5E39" w:rsidRPr="00CB0307" w:rsidRDefault="009B5E39" w:rsidP="009B5E39">
      <w:pPr>
        <w:ind w:left="284" w:right="283"/>
        <w:jc w:val="both"/>
        <w:rPr>
          <w:rFonts w:ascii="Gotham" w:hAnsi="Gotham" w:cs="Arial"/>
          <w:b/>
          <w:sz w:val="19"/>
          <w:szCs w:val="19"/>
          <w:highlight w:val="green"/>
        </w:rPr>
      </w:pPr>
    </w:p>
    <w:p w14:paraId="3A47573C"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29. </w:t>
      </w:r>
      <w:r w:rsidRPr="00CB0307">
        <w:rPr>
          <w:rFonts w:ascii="Gotham" w:hAnsi="Gotham" w:cs="Arial"/>
          <w:sz w:val="19"/>
          <w:szCs w:val="19"/>
        </w:rPr>
        <w:t>En cruces viales, la Dirección resolverá la ubicación de señalamientos electromecánicos y cualquier otro señalamiento de dispositivo de control de tránsito que por las características de las vialidades considere necesarios.</w:t>
      </w:r>
    </w:p>
    <w:p w14:paraId="3A47573D" w14:textId="77777777" w:rsidR="009B5E39" w:rsidRDefault="009B5E39" w:rsidP="009B5E39">
      <w:pPr>
        <w:ind w:left="284" w:right="283"/>
        <w:rPr>
          <w:rFonts w:ascii="Gotham" w:hAnsi="Gotham" w:cs="Arial"/>
          <w:b/>
          <w:sz w:val="19"/>
          <w:szCs w:val="19"/>
        </w:rPr>
      </w:pPr>
    </w:p>
    <w:p w14:paraId="3A47573E" w14:textId="77777777" w:rsidR="009B5E39" w:rsidRPr="00CB0307" w:rsidRDefault="009B5E39" w:rsidP="009B5E39">
      <w:pPr>
        <w:ind w:left="284" w:right="283"/>
        <w:rPr>
          <w:rFonts w:ascii="Gotham" w:hAnsi="Gotham" w:cs="Arial"/>
          <w:b/>
          <w:sz w:val="19"/>
          <w:szCs w:val="19"/>
        </w:rPr>
      </w:pPr>
    </w:p>
    <w:p w14:paraId="3A47573F"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CAPÍTULO II</w:t>
      </w:r>
    </w:p>
    <w:p w14:paraId="3A475740" w14:textId="77777777" w:rsidR="009B5E39" w:rsidRPr="00CB0307" w:rsidRDefault="009B5E39" w:rsidP="009B5E39">
      <w:pPr>
        <w:ind w:left="284" w:right="283"/>
        <w:jc w:val="center"/>
        <w:rPr>
          <w:rFonts w:ascii="Gotham" w:hAnsi="Gotham" w:cs="Arial"/>
          <w:b/>
          <w:sz w:val="19"/>
          <w:szCs w:val="19"/>
        </w:rPr>
      </w:pPr>
      <w:r w:rsidRPr="00CB0307">
        <w:rPr>
          <w:rFonts w:ascii="Gotham" w:hAnsi="Gotham" w:cs="Arial"/>
          <w:b/>
          <w:sz w:val="19"/>
          <w:szCs w:val="19"/>
        </w:rPr>
        <w:t>DE LA SEGURIDAD VIAL EN ENTORNOS ESCOLARES</w:t>
      </w:r>
    </w:p>
    <w:p w14:paraId="3A475741" w14:textId="77777777" w:rsidR="009B5E39" w:rsidRPr="00CB0307" w:rsidRDefault="009B5E39" w:rsidP="009B5E39">
      <w:pPr>
        <w:ind w:left="284" w:right="283"/>
        <w:rPr>
          <w:rFonts w:ascii="Gotham" w:hAnsi="Gotham" w:cs="Arial"/>
          <w:b/>
          <w:sz w:val="19"/>
          <w:szCs w:val="19"/>
        </w:rPr>
      </w:pPr>
    </w:p>
    <w:p w14:paraId="3A475742" w14:textId="77777777" w:rsidR="009B5E39" w:rsidRDefault="009B5E39" w:rsidP="009B5E39">
      <w:pPr>
        <w:ind w:left="284" w:right="283"/>
        <w:jc w:val="both"/>
        <w:rPr>
          <w:rFonts w:ascii="Gotham" w:hAnsi="Gotham" w:cs="Arial"/>
          <w:bCs/>
          <w:sz w:val="19"/>
          <w:szCs w:val="19"/>
        </w:rPr>
      </w:pPr>
      <w:r w:rsidRPr="00CB0307">
        <w:rPr>
          <w:rFonts w:ascii="Gotham" w:hAnsi="Gotham" w:cs="Arial"/>
          <w:b/>
          <w:sz w:val="19"/>
          <w:szCs w:val="19"/>
        </w:rPr>
        <w:t xml:space="preserve">Artículo 30. </w:t>
      </w:r>
      <w:r w:rsidRPr="00CB0307">
        <w:rPr>
          <w:rFonts w:ascii="Gotham" w:hAnsi="Gotham" w:cs="Arial"/>
          <w:bCs/>
          <w:sz w:val="19"/>
          <w:szCs w:val="19"/>
        </w:rPr>
        <w:t>La Dirección debe diseñar, gestionar e implementar los lineamientos para desarrollar entornos escolares seguros, de movilidad preferente para niños y adolescentes en los trayectos hacia y desde las escuelas, a fin de procurar su seguridad vial, los cuales deben integrar los siguientes criterios:</w:t>
      </w:r>
    </w:p>
    <w:p w14:paraId="3A475743" w14:textId="77777777" w:rsidR="009B5E39" w:rsidRPr="00CB0307" w:rsidRDefault="009B5E39" w:rsidP="009B5E39">
      <w:pPr>
        <w:ind w:left="284" w:right="283"/>
        <w:jc w:val="both"/>
        <w:rPr>
          <w:rFonts w:ascii="Gotham" w:hAnsi="Gotham" w:cs="Arial"/>
          <w:bCs/>
          <w:sz w:val="19"/>
          <w:szCs w:val="19"/>
        </w:rPr>
      </w:pPr>
    </w:p>
    <w:p w14:paraId="3A475744"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 </w:t>
      </w:r>
      <w:r>
        <w:rPr>
          <w:rFonts w:ascii="Gotham" w:hAnsi="Gotham" w:cs="Arial"/>
          <w:bCs/>
          <w:sz w:val="19"/>
          <w:szCs w:val="19"/>
        </w:rPr>
        <w:tab/>
      </w:r>
      <w:r w:rsidRPr="00CB0307">
        <w:rPr>
          <w:rFonts w:ascii="Gotham" w:hAnsi="Gotham" w:cs="Arial"/>
          <w:bCs/>
          <w:sz w:val="19"/>
          <w:szCs w:val="19"/>
        </w:rPr>
        <w:t>Incorporar señalamiento horizontal, vertical y dispositivos de gestión de tránsito, con una velocidad menor a veinticinco kilómetros por hora en vialidad dentro de la zona escolar;</w:t>
      </w:r>
    </w:p>
    <w:p w14:paraId="3A475745"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II. </w:t>
      </w:r>
      <w:r>
        <w:rPr>
          <w:rFonts w:ascii="Gotham" w:hAnsi="Gotham" w:cs="Arial"/>
          <w:bCs/>
          <w:sz w:val="19"/>
          <w:szCs w:val="19"/>
        </w:rPr>
        <w:tab/>
      </w:r>
      <w:r w:rsidRPr="00CB0307">
        <w:rPr>
          <w:rFonts w:ascii="Gotham" w:hAnsi="Gotham" w:cs="Arial"/>
          <w:bCs/>
          <w:sz w:val="19"/>
          <w:szCs w:val="19"/>
        </w:rPr>
        <w:t>Promover la implementación de alternativas al transporte privado, como pedibus, bicibus y transporte escolar.</w:t>
      </w:r>
    </w:p>
    <w:p w14:paraId="3A475746"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III. </w:t>
      </w:r>
      <w:r>
        <w:rPr>
          <w:rFonts w:ascii="Gotham" w:hAnsi="Gotham" w:cs="Arial"/>
          <w:bCs/>
          <w:sz w:val="19"/>
          <w:szCs w:val="19"/>
        </w:rPr>
        <w:tab/>
      </w:r>
      <w:r w:rsidRPr="00CB0307">
        <w:rPr>
          <w:rFonts w:ascii="Gotham" w:hAnsi="Gotham" w:cs="Arial"/>
          <w:bCs/>
          <w:sz w:val="19"/>
          <w:szCs w:val="19"/>
        </w:rPr>
        <w:t>Contemplar que, en las vialidades colindantes a las zonas escolares, según las características del medio se tenga acceso a:</w:t>
      </w:r>
    </w:p>
    <w:p w14:paraId="3A475747" w14:textId="77777777" w:rsidR="009B5E39" w:rsidRPr="00CB0307" w:rsidRDefault="009B5E39" w:rsidP="009B5E39">
      <w:pPr>
        <w:spacing w:after="80"/>
        <w:ind w:left="1560" w:right="283" w:hanging="426"/>
        <w:jc w:val="both"/>
        <w:rPr>
          <w:rFonts w:ascii="Gotham" w:hAnsi="Gotham" w:cs="Arial"/>
          <w:bCs/>
          <w:sz w:val="19"/>
          <w:szCs w:val="19"/>
        </w:rPr>
      </w:pPr>
      <w:r w:rsidRPr="00CB0307">
        <w:rPr>
          <w:rFonts w:ascii="Gotham" w:hAnsi="Gotham" w:cs="Arial"/>
          <w:bCs/>
          <w:sz w:val="19"/>
          <w:szCs w:val="19"/>
        </w:rPr>
        <w:t xml:space="preserve">a. </w:t>
      </w:r>
      <w:r>
        <w:rPr>
          <w:rFonts w:ascii="Gotham" w:hAnsi="Gotham" w:cs="Arial"/>
          <w:bCs/>
          <w:sz w:val="19"/>
          <w:szCs w:val="19"/>
        </w:rPr>
        <w:tab/>
      </w:r>
      <w:r w:rsidRPr="00CB0307">
        <w:rPr>
          <w:rFonts w:ascii="Gotham" w:hAnsi="Gotham" w:cs="Arial"/>
          <w:bCs/>
          <w:sz w:val="19"/>
          <w:szCs w:val="19"/>
        </w:rPr>
        <w:t>Ciclopuertos;</w:t>
      </w:r>
    </w:p>
    <w:p w14:paraId="3A475748" w14:textId="77777777" w:rsidR="009B5E39" w:rsidRPr="00CB0307" w:rsidRDefault="009B5E39" w:rsidP="009B5E39">
      <w:pPr>
        <w:spacing w:after="80"/>
        <w:ind w:left="1560" w:right="283" w:hanging="426"/>
        <w:jc w:val="both"/>
        <w:rPr>
          <w:rFonts w:ascii="Gotham" w:hAnsi="Gotham" w:cs="Arial"/>
          <w:bCs/>
          <w:sz w:val="19"/>
          <w:szCs w:val="19"/>
        </w:rPr>
      </w:pPr>
      <w:r w:rsidRPr="00CB0307">
        <w:rPr>
          <w:rFonts w:ascii="Gotham" w:hAnsi="Gotham" w:cs="Arial"/>
          <w:bCs/>
          <w:sz w:val="19"/>
          <w:szCs w:val="19"/>
        </w:rPr>
        <w:t xml:space="preserve">b. </w:t>
      </w:r>
      <w:r>
        <w:rPr>
          <w:rFonts w:ascii="Gotham" w:hAnsi="Gotham" w:cs="Arial"/>
          <w:bCs/>
          <w:sz w:val="19"/>
          <w:szCs w:val="19"/>
        </w:rPr>
        <w:tab/>
      </w:r>
      <w:r w:rsidRPr="00CB0307">
        <w:rPr>
          <w:rFonts w:ascii="Gotham" w:hAnsi="Gotham" w:cs="Arial"/>
          <w:bCs/>
          <w:sz w:val="19"/>
          <w:szCs w:val="19"/>
        </w:rPr>
        <w:t>Estacionamientos para personas con discapacidad o movilidad limitada;</w:t>
      </w:r>
    </w:p>
    <w:p w14:paraId="3A475749" w14:textId="77777777" w:rsidR="009B5E39" w:rsidRPr="00CB0307" w:rsidRDefault="009B5E39" w:rsidP="009B5E39">
      <w:pPr>
        <w:spacing w:after="80"/>
        <w:ind w:left="1560" w:right="283" w:hanging="426"/>
        <w:jc w:val="both"/>
        <w:rPr>
          <w:rFonts w:ascii="Gotham" w:hAnsi="Gotham" w:cs="Arial"/>
          <w:bCs/>
          <w:sz w:val="19"/>
          <w:szCs w:val="19"/>
        </w:rPr>
      </w:pPr>
      <w:r w:rsidRPr="00CB0307">
        <w:rPr>
          <w:rFonts w:ascii="Gotham" w:hAnsi="Gotham" w:cs="Arial"/>
          <w:bCs/>
          <w:sz w:val="19"/>
          <w:szCs w:val="19"/>
        </w:rPr>
        <w:t xml:space="preserve">c. </w:t>
      </w:r>
      <w:r>
        <w:rPr>
          <w:rFonts w:ascii="Gotham" w:hAnsi="Gotham" w:cs="Arial"/>
          <w:bCs/>
          <w:sz w:val="19"/>
          <w:szCs w:val="19"/>
        </w:rPr>
        <w:tab/>
      </w:r>
      <w:r w:rsidRPr="00CB0307">
        <w:rPr>
          <w:rFonts w:ascii="Gotham" w:hAnsi="Gotham" w:cs="Arial"/>
          <w:bCs/>
          <w:sz w:val="19"/>
          <w:szCs w:val="19"/>
        </w:rPr>
        <w:t>Estacionamiento exclusivo de carga y descarga;</w:t>
      </w:r>
    </w:p>
    <w:p w14:paraId="3A47574A" w14:textId="77777777" w:rsidR="009B5E39" w:rsidRPr="00CB0307" w:rsidRDefault="009B5E39" w:rsidP="009B5E39">
      <w:pPr>
        <w:spacing w:after="120"/>
        <w:ind w:left="1560" w:right="283" w:hanging="426"/>
        <w:jc w:val="both"/>
        <w:rPr>
          <w:rFonts w:ascii="Gotham" w:hAnsi="Gotham" w:cs="Arial"/>
          <w:bCs/>
          <w:sz w:val="19"/>
          <w:szCs w:val="19"/>
        </w:rPr>
      </w:pPr>
      <w:r w:rsidRPr="00CB0307">
        <w:rPr>
          <w:rFonts w:ascii="Gotham" w:hAnsi="Gotham" w:cs="Arial"/>
          <w:bCs/>
          <w:sz w:val="19"/>
          <w:szCs w:val="19"/>
        </w:rPr>
        <w:t xml:space="preserve">d. </w:t>
      </w:r>
      <w:r>
        <w:rPr>
          <w:rFonts w:ascii="Gotham" w:hAnsi="Gotham" w:cs="Arial"/>
          <w:bCs/>
          <w:sz w:val="19"/>
          <w:szCs w:val="19"/>
        </w:rPr>
        <w:tab/>
      </w:r>
      <w:r w:rsidRPr="00CB0307">
        <w:rPr>
          <w:rFonts w:ascii="Gotham" w:hAnsi="Gotham" w:cs="Arial"/>
          <w:bCs/>
          <w:sz w:val="19"/>
          <w:szCs w:val="19"/>
        </w:rPr>
        <w:t>Estacionamiento exclusivo de ascenso y descenso.</w:t>
      </w:r>
    </w:p>
    <w:p w14:paraId="3A47574B"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IV. </w:t>
      </w:r>
      <w:r>
        <w:rPr>
          <w:rFonts w:ascii="Gotham" w:hAnsi="Gotham" w:cs="Arial"/>
          <w:bCs/>
          <w:sz w:val="19"/>
          <w:szCs w:val="19"/>
        </w:rPr>
        <w:tab/>
      </w:r>
      <w:r w:rsidRPr="00CB0307">
        <w:rPr>
          <w:rFonts w:ascii="Gotham" w:hAnsi="Gotham" w:cs="Arial"/>
          <w:bCs/>
          <w:sz w:val="19"/>
          <w:szCs w:val="19"/>
        </w:rPr>
        <w:t>Gestionar una estrategia de guardia vial escolar, conformada por padres, madres o tutores, que incida en los hábitos de entrada y salida del alumnado al centro escolar, estableciendo orden y control en la circulación tanto para peatones como para vehículos, con el fin de proveer seguridad para los usuarios de los planteles públicos y privados, así como para los vecinos de la zona;</w:t>
      </w:r>
    </w:p>
    <w:p w14:paraId="3A47574C" w14:textId="77777777" w:rsidR="009B5E39" w:rsidRPr="00CB0307" w:rsidRDefault="009B5E39" w:rsidP="009B5E39">
      <w:pPr>
        <w:spacing w:after="120"/>
        <w:ind w:left="1134" w:right="283" w:hanging="850"/>
        <w:jc w:val="both"/>
        <w:rPr>
          <w:rFonts w:ascii="Gotham" w:hAnsi="Gotham" w:cs="Arial"/>
          <w:bCs/>
          <w:sz w:val="19"/>
          <w:szCs w:val="19"/>
        </w:rPr>
      </w:pPr>
      <w:r w:rsidRPr="00CB0307">
        <w:rPr>
          <w:rFonts w:ascii="Gotham" w:hAnsi="Gotham" w:cs="Arial"/>
          <w:bCs/>
          <w:sz w:val="19"/>
          <w:szCs w:val="19"/>
        </w:rPr>
        <w:t xml:space="preserve">V. </w:t>
      </w:r>
      <w:r>
        <w:rPr>
          <w:rFonts w:ascii="Gotham" w:hAnsi="Gotham" w:cs="Arial"/>
          <w:bCs/>
          <w:sz w:val="19"/>
          <w:szCs w:val="19"/>
        </w:rPr>
        <w:tab/>
      </w:r>
      <w:r w:rsidRPr="00CB0307">
        <w:rPr>
          <w:rFonts w:ascii="Gotham" w:hAnsi="Gotham" w:cs="Arial"/>
          <w:bCs/>
          <w:sz w:val="19"/>
          <w:szCs w:val="19"/>
        </w:rPr>
        <w:t>Integrar criterios de proyecto a parques, zonas infantiles, hospitales, centros médicos y zonas de alta actividad comercial y peatonal que se encuentren dentro de la zona escolar;</w:t>
      </w:r>
    </w:p>
    <w:p w14:paraId="3A47574D" w14:textId="77777777" w:rsidR="009B5E39" w:rsidRPr="00CB0307" w:rsidRDefault="009B5E39" w:rsidP="009B5E39">
      <w:pPr>
        <w:ind w:left="1134" w:right="283" w:hanging="850"/>
        <w:jc w:val="both"/>
        <w:rPr>
          <w:rFonts w:ascii="Gotham" w:hAnsi="Gotham" w:cs="Arial"/>
          <w:bCs/>
          <w:sz w:val="19"/>
          <w:szCs w:val="19"/>
        </w:rPr>
      </w:pPr>
      <w:r w:rsidRPr="00CB0307">
        <w:rPr>
          <w:rFonts w:ascii="Gotham" w:hAnsi="Gotham" w:cs="Arial"/>
          <w:bCs/>
          <w:sz w:val="19"/>
          <w:szCs w:val="19"/>
        </w:rPr>
        <w:t xml:space="preserve">VI. </w:t>
      </w:r>
      <w:r>
        <w:rPr>
          <w:rFonts w:ascii="Gotham" w:hAnsi="Gotham" w:cs="Arial"/>
          <w:bCs/>
          <w:sz w:val="19"/>
          <w:szCs w:val="19"/>
        </w:rPr>
        <w:tab/>
      </w:r>
      <w:r w:rsidRPr="00CB0307">
        <w:rPr>
          <w:rFonts w:ascii="Gotham" w:hAnsi="Gotham" w:cs="Arial"/>
          <w:bCs/>
          <w:sz w:val="19"/>
          <w:szCs w:val="19"/>
        </w:rPr>
        <w:t>Todas las intervenciones a la infraestructura vial dentro de entornos escolares debe realizarse partiendo de una auditoria vial y de la aplicación de censos y encuestas que permitan un diagnóstico correcto de entornos escolares.</w:t>
      </w:r>
    </w:p>
    <w:p w14:paraId="3A47574E" w14:textId="77777777" w:rsidR="009B5E39" w:rsidRDefault="009B5E39" w:rsidP="009B5E39">
      <w:pPr>
        <w:ind w:left="284" w:right="283"/>
        <w:rPr>
          <w:rFonts w:ascii="Gotham" w:hAnsi="Gotham" w:cs="Arial"/>
          <w:sz w:val="19"/>
          <w:szCs w:val="19"/>
        </w:rPr>
      </w:pPr>
    </w:p>
    <w:p w14:paraId="3A47574F" w14:textId="77777777" w:rsidR="009B5E39" w:rsidRPr="00CB0307" w:rsidRDefault="009B5E39" w:rsidP="009B5E39">
      <w:pPr>
        <w:ind w:left="284" w:right="283"/>
        <w:rPr>
          <w:rFonts w:ascii="Gotham" w:hAnsi="Gotham" w:cs="Arial"/>
          <w:sz w:val="19"/>
          <w:szCs w:val="19"/>
        </w:rPr>
      </w:pPr>
    </w:p>
    <w:p w14:paraId="3A475750"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III</w:t>
      </w:r>
    </w:p>
    <w:p w14:paraId="3A475751"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LAS AUTORIZACIONES, OPINIONES TÉCNICAS Y DICTÁMENES DE MOVILIDAD</w:t>
      </w:r>
    </w:p>
    <w:p w14:paraId="3A475752" w14:textId="77777777" w:rsidR="009B5E39" w:rsidRPr="00CB0307" w:rsidRDefault="009B5E39" w:rsidP="009B5E39">
      <w:pPr>
        <w:ind w:left="284" w:right="283"/>
        <w:rPr>
          <w:rFonts w:ascii="Gotham" w:hAnsi="Gotham" w:cs="Arial"/>
          <w:sz w:val="19"/>
          <w:szCs w:val="19"/>
        </w:rPr>
      </w:pPr>
    </w:p>
    <w:p w14:paraId="3A475753"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31. </w:t>
      </w:r>
      <w:r w:rsidRPr="00CB0307">
        <w:rPr>
          <w:rFonts w:ascii="Gotham" w:hAnsi="Gotham" w:cs="Arial"/>
          <w:sz w:val="19"/>
          <w:szCs w:val="19"/>
        </w:rPr>
        <w:t>La Dirección, a petición de parte, podrá emitir, estudios técnicos, asesorías, opinión técnica, dictámenes y autorizaciones en materia de:</w:t>
      </w:r>
      <w:r w:rsidRPr="00CB0307">
        <w:rPr>
          <w:rFonts w:ascii="Gotham" w:hAnsi="Gotham" w:cs="Arial"/>
          <w:b/>
          <w:sz w:val="19"/>
          <w:szCs w:val="19"/>
        </w:rPr>
        <w:t xml:space="preserve"> </w:t>
      </w:r>
    </w:p>
    <w:p w14:paraId="3A475754" w14:textId="77777777" w:rsidR="009B5E39" w:rsidRPr="00CB0307" w:rsidRDefault="009B5E39" w:rsidP="009B5E39">
      <w:pPr>
        <w:ind w:left="284" w:right="283"/>
        <w:jc w:val="both"/>
        <w:rPr>
          <w:rFonts w:ascii="Gotham" w:hAnsi="Gotham" w:cs="Arial"/>
          <w:sz w:val="19"/>
          <w:szCs w:val="19"/>
        </w:rPr>
      </w:pPr>
    </w:p>
    <w:p w14:paraId="3A47575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Infraestructura vial:</w:t>
      </w:r>
    </w:p>
    <w:p w14:paraId="3A475756"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a). </w:t>
      </w:r>
      <w:r>
        <w:rPr>
          <w:rFonts w:ascii="Gotham" w:hAnsi="Gotham" w:cs="Arial"/>
          <w:sz w:val="19"/>
          <w:szCs w:val="19"/>
        </w:rPr>
        <w:tab/>
      </w:r>
      <w:r w:rsidRPr="00CB0307">
        <w:rPr>
          <w:rFonts w:ascii="Gotham" w:hAnsi="Gotham" w:cs="Arial"/>
          <w:sz w:val="19"/>
          <w:szCs w:val="19"/>
        </w:rPr>
        <w:t>La Autorización de la Instalación de dispositivos de reducción de velocidad, Zonas de baja velocidad zona 30, plumas de acceso restringido, cierres de circuito o de calles en el territorio Municipal;</w:t>
      </w:r>
    </w:p>
    <w:p w14:paraId="3A47575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 xml:space="preserve">De dictaminar el cierre parcial de calles por: </w:t>
      </w:r>
    </w:p>
    <w:p w14:paraId="3A475758"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a). </w:t>
      </w:r>
      <w:r>
        <w:rPr>
          <w:rFonts w:ascii="Gotham" w:hAnsi="Gotham" w:cs="Arial"/>
          <w:sz w:val="19"/>
          <w:szCs w:val="19"/>
        </w:rPr>
        <w:tab/>
      </w:r>
      <w:r w:rsidRPr="00CB0307">
        <w:rPr>
          <w:rFonts w:ascii="Gotham" w:hAnsi="Gotham" w:cs="Arial"/>
          <w:sz w:val="19"/>
          <w:szCs w:val="19"/>
        </w:rPr>
        <w:t xml:space="preserve">Obras nuevas, reparación o mantenimiento; </w:t>
      </w:r>
    </w:p>
    <w:p w14:paraId="3A475759"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lastRenderedPageBreak/>
        <w:t xml:space="preserve">b). </w:t>
      </w:r>
      <w:r>
        <w:rPr>
          <w:rFonts w:ascii="Gotham" w:hAnsi="Gotham" w:cs="Arial"/>
          <w:sz w:val="19"/>
          <w:szCs w:val="19"/>
        </w:rPr>
        <w:tab/>
      </w:r>
      <w:r w:rsidRPr="00CB0307">
        <w:rPr>
          <w:rFonts w:ascii="Gotham" w:hAnsi="Gotham" w:cs="Arial"/>
          <w:sz w:val="19"/>
          <w:szCs w:val="19"/>
        </w:rPr>
        <w:t xml:space="preserve">Eventos públicos de carácter deportivo, cultural o religioso; </w:t>
      </w:r>
    </w:p>
    <w:p w14:paraId="3A47575A"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c). </w:t>
      </w:r>
      <w:r>
        <w:rPr>
          <w:rFonts w:ascii="Gotham" w:hAnsi="Gotham" w:cs="Arial"/>
          <w:sz w:val="19"/>
          <w:szCs w:val="19"/>
        </w:rPr>
        <w:tab/>
      </w:r>
      <w:r w:rsidRPr="00CB0307">
        <w:rPr>
          <w:rFonts w:ascii="Gotham" w:hAnsi="Gotham" w:cs="Arial"/>
          <w:sz w:val="19"/>
          <w:szCs w:val="19"/>
        </w:rPr>
        <w:t xml:space="preserve">Instalación de juegos mecánicos; </w:t>
      </w:r>
    </w:p>
    <w:p w14:paraId="3A47575B"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d). </w:t>
      </w:r>
      <w:r>
        <w:rPr>
          <w:rFonts w:ascii="Gotham" w:hAnsi="Gotham" w:cs="Arial"/>
          <w:sz w:val="19"/>
          <w:szCs w:val="19"/>
        </w:rPr>
        <w:tab/>
      </w:r>
      <w:r w:rsidRPr="00CB0307">
        <w:rPr>
          <w:rFonts w:ascii="Gotham" w:hAnsi="Gotham" w:cs="Arial"/>
          <w:sz w:val="19"/>
          <w:szCs w:val="19"/>
        </w:rPr>
        <w:t xml:space="preserve">Para aperturas o cierres de camellones; </w:t>
      </w:r>
    </w:p>
    <w:p w14:paraId="3A47575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 xml:space="preserve">Autorizar los programas o estudios de impacto al tránsito para nuevos desarrollos y edificaciones, dentro del territorio Municipal; </w:t>
      </w:r>
    </w:p>
    <w:p w14:paraId="3A47575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 xml:space="preserve">Autorizar la integración a la vialidad o de ingresos y salidas que afecten vías públicas, para modificaciones o construcciones existentes; </w:t>
      </w:r>
    </w:p>
    <w:p w14:paraId="3A47575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 xml:space="preserve">Autorizar la señalización, dispositivos de seguridad, obras y dispositivos diversos para la protección en las obras viales; </w:t>
      </w:r>
    </w:p>
    <w:p w14:paraId="3A47575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Autorizar la Movilidad no motorizada, ciclovías y ciclopuertos así como el programa de bici pública;</w:t>
      </w:r>
    </w:p>
    <w:p w14:paraId="3A47576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 xml:space="preserve">Autorizar la colocación de Dispositivos de seguridad para las construcciones que por su naturaleza afecten la movilidad; </w:t>
      </w:r>
    </w:p>
    <w:p w14:paraId="3A47576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Autorizar la construcción, reubicación o retiro de puentes peatonales;</w:t>
      </w:r>
    </w:p>
    <w:p w14:paraId="3A47576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 xml:space="preserve">Dictaminar la instalación de puestos en las vías públicas, para venta de mercancías y productos ubicados o estacionados, sean fijos o semifijos, en vehículos, plataformas, unidades móviles o remolques que ocupen las vías públicas, mismos que serán necesarios para otorgar la licencias municipales correspondientes; </w:t>
      </w:r>
    </w:p>
    <w:p w14:paraId="3A47576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 </w:t>
      </w:r>
      <w:r>
        <w:rPr>
          <w:rFonts w:ascii="Gotham" w:hAnsi="Gotham" w:cs="Arial"/>
          <w:sz w:val="19"/>
          <w:szCs w:val="19"/>
        </w:rPr>
        <w:tab/>
      </w:r>
      <w:r w:rsidRPr="00CB0307">
        <w:rPr>
          <w:rFonts w:ascii="Gotham" w:hAnsi="Gotham" w:cs="Arial"/>
          <w:sz w:val="19"/>
          <w:szCs w:val="19"/>
        </w:rPr>
        <w:t xml:space="preserve">Estudios de movilidad para evaluaciones, opiniones y recomendaciones técnicas; </w:t>
      </w:r>
    </w:p>
    <w:p w14:paraId="3A47576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 </w:t>
      </w:r>
      <w:r>
        <w:rPr>
          <w:rFonts w:ascii="Gotham" w:hAnsi="Gotham" w:cs="Arial"/>
          <w:sz w:val="19"/>
          <w:szCs w:val="19"/>
        </w:rPr>
        <w:tab/>
      </w:r>
      <w:r w:rsidRPr="00CB0307">
        <w:rPr>
          <w:rFonts w:ascii="Gotham" w:hAnsi="Gotham" w:cs="Arial"/>
          <w:sz w:val="19"/>
          <w:szCs w:val="19"/>
        </w:rPr>
        <w:t>Anuncios vía pública conforme a lo que establece el Reglamento de Anuncios;</w:t>
      </w:r>
    </w:p>
    <w:p w14:paraId="3A47576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 </w:t>
      </w:r>
      <w:r>
        <w:rPr>
          <w:rFonts w:ascii="Gotham" w:hAnsi="Gotham" w:cs="Arial"/>
          <w:sz w:val="19"/>
          <w:szCs w:val="19"/>
        </w:rPr>
        <w:tab/>
      </w:r>
      <w:r w:rsidRPr="00CB0307">
        <w:rPr>
          <w:rFonts w:ascii="Gotham" w:hAnsi="Gotham" w:cs="Arial"/>
          <w:sz w:val="19"/>
          <w:szCs w:val="19"/>
        </w:rPr>
        <w:t xml:space="preserve">Estacionamientos públicos en cualquier modalidad; </w:t>
      </w:r>
    </w:p>
    <w:p w14:paraId="3A47576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XIII. </w:t>
      </w:r>
      <w:r>
        <w:rPr>
          <w:rFonts w:ascii="Gotham" w:hAnsi="Gotham" w:cs="Arial"/>
          <w:sz w:val="19"/>
          <w:szCs w:val="19"/>
        </w:rPr>
        <w:tab/>
      </w:r>
      <w:r w:rsidRPr="00CB0307">
        <w:rPr>
          <w:rFonts w:ascii="Gotham" w:hAnsi="Gotham" w:cs="Arial"/>
          <w:sz w:val="19"/>
          <w:szCs w:val="19"/>
        </w:rPr>
        <w:t xml:space="preserve">Estacionamientos privados de uso público; </w:t>
      </w:r>
    </w:p>
    <w:p w14:paraId="3A47576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XIV. </w:t>
      </w:r>
      <w:r>
        <w:rPr>
          <w:rFonts w:ascii="Gotham" w:hAnsi="Gotham" w:cs="Arial"/>
          <w:sz w:val="19"/>
          <w:szCs w:val="19"/>
        </w:rPr>
        <w:tab/>
      </w:r>
      <w:r w:rsidRPr="00CB0307">
        <w:rPr>
          <w:rFonts w:ascii="Gotham" w:hAnsi="Gotham" w:cs="Arial"/>
          <w:sz w:val="19"/>
          <w:szCs w:val="19"/>
        </w:rPr>
        <w:t xml:space="preserve">Estacionamiento exclusivo en vía pública; </w:t>
      </w:r>
    </w:p>
    <w:p w14:paraId="3A47576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 </w:t>
      </w:r>
      <w:r>
        <w:rPr>
          <w:rFonts w:ascii="Gotham" w:hAnsi="Gotham" w:cs="Arial"/>
          <w:sz w:val="19"/>
          <w:szCs w:val="19"/>
        </w:rPr>
        <w:tab/>
      </w:r>
      <w:r w:rsidRPr="00CB0307">
        <w:rPr>
          <w:rFonts w:ascii="Gotham" w:hAnsi="Gotham" w:cs="Arial"/>
          <w:sz w:val="19"/>
          <w:szCs w:val="19"/>
        </w:rPr>
        <w:t xml:space="preserve">Ubicación de estaciones, paradas, y terminales de transporte público; </w:t>
      </w:r>
    </w:p>
    <w:p w14:paraId="3A47576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XVI. </w:t>
      </w:r>
      <w:r>
        <w:rPr>
          <w:rFonts w:ascii="Gotham" w:hAnsi="Gotham" w:cs="Arial"/>
          <w:sz w:val="19"/>
          <w:szCs w:val="19"/>
        </w:rPr>
        <w:tab/>
      </w:r>
      <w:r w:rsidRPr="00CB0307">
        <w:rPr>
          <w:rFonts w:ascii="Gotham" w:hAnsi="Gotham" w:cs="Arial"/>
          <w:sz w:val="19"/>
          <w:szCs w:val="19"/>
        </w:rPr>
        <w:t xml:space="preserve">Matrices y derivación de sitios; </w:t>
      </w:r>
    </w:p>
    <w:p w14:paraId="3A47576A"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XVII. </w:t>
      </w:r>
      <w:r>
        <w:rPr>
          <w:rFonts w:ascii="Gotham" w:hAnsi="Gotham" w:cs="Arial"/>
          <w:sz w:val="19"/>
          <w:szCs w:val="19"/>
        </w:rPr>
        <w:tab/>
      </w:r>
      <w:r w:rsidRPr="00CB0307">
        <w:rPr>
          <w:rFonts w:ascii="Gotham" w:hAnsi="Gotham" w:cs="Arial"/>
          <w:sz w:val="19"/>
          <w:szCs w:val="19"/>
        </w:rPr>
        <w:t>Dictaminar, evaluar y autorizar la permuta de cajones de estacionamiento</w:t>
      </w:r>
    </w:p>
    <w:p w14:paraId="3A47576B" w14:textId="77777777" w:rsidR="009B5E39" w:rsidRPr="00CB0307" w:rsidRDefault="009B5E39" w:rsidP="009B5E39">
      <w:pPr>
        <w:ind w:left="284" w:right="283"/>
        <w:jc w:val="both"/>
        <w:rPr>
          <w:rFonts w:ascii="Gotham" w:hAnsi="Gotham" w:cs="Arial"/>
          <w:sz w:val="19"/>
          <w:szCs w:val="19"/>
        </w:rPr>
      </w:pPr>
    </w:p>
    <w:p w14:paraId="3A47576C"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32. </w:t>
      </w:r>
      <w:r w:rsidRPr="00CB0307">
        <w:rPr>
          <w:rFonts w:ascii="Gotham" w:hAnsi="Gotham" w:cs="Arial"/>
          <w:sz w:val="19"/>
          <w:szCs w:val="19"/>
        </w:rPr>
        <w:t>El suministro, instalación y permanencia de los elementos de protección de obra o cierres viales, son obligación de quien lo solicita, así como el diseño de las propuestas de rutas de desvió y su socialización, mismas que deben atender lo siguiente:</w:t>
      </w:r>
    </w:p>
    <w:p w14:paraId="3A47576D" w14:textId="77777777" w:rsidR="009B5E39" w:rsidRPr="00CB0307" w:rsidRDefault="009B5E39" w:rsidP="009B5E39">
      <w:pPr>
        <w:ind w:left="284" w:right="283"/>
        <w:jc w:val="both"/>
        <w:rPr>
          <w:rFonts w:ascii="Gotham" w:hAnsi="Gotham" w:cs="Arial"/>
          <w:sz w:val="19"/>
          <w:szCs w:val="19"/>
        </w:rPr>
      </w:pPr>
    </w:p>
    <w:p w14:paraId="3A47576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Las rutas de desvió propuestas por la persona solicitante se someterán a la dictaminación de la Dirección para su aprobación, de conformidad con los lineamientos que esta emita;</w:t>
      </w:r>
    </w:p>
    <w:p w14:paraId="3A47576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Para obtener la aprobación de los cierres señalados el solicitante debe presentar la documentación correspondiente.</w:t>
      </w:r>
    </w:p>
    <w:p w14:paraId="3A47577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Para el caso de cierre por evento deportivo la Dirección determinara las rutas que se podrán ejecutar para dichas actividades, acorde a un análisis técnico y comprobación de lo siguiente:</w:t>
      </w:r>
    </w:p>
    <w:p w14:paraId="3A475771"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a). </w:t>
      </w:r>
      <w:r>
        <w:rPr>
          <w:rFonts w:ascii="Gotham" w:hAnsi="Gotham" w:cs="Arial"/>
          <w:sz w:val="19"/>
          <w:szCs w:val="19"/>
        </w:rPr>
        <w:tab/>
      </w:r>
      <w:r w:rsidRPr="00CB0307">
        <w:rPr>
          <w:rFonts w:ascii="Gotham" w:hAnsi="Gotham" w:cs="Arial"/>
          <w:sz w:val="19"/>
          <w:szCs w:val="19"/>
        </w:rPr>
        <w:t>Que la zona de afectación no tenga un cierre por evento deportivo en los quince días naturales anteriores a la fecha solicitada;</w:t>
      </w:r>
    </w:p>
    <w:p w14:paraId="3A475772"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b). </w:t>
      </w:r>
      <w:r>
        <w:rPr>
          <w:rFonts w:ascii="Gotham" w:hAnsi="Gotham" w:cs="Arial"/>
          <w:sz w:val="19"/>
          <w:szCs w:val="19"/>
        </w:rPr>
        <w:tab/>
      </w:r>
      <w:r w:rsidRPr="00CB0307">
        <w:rPr>
          <w:rFonts w:ascii="Gotham" w:hAnsi="Gotham" w:cs="Arial"/>
          <w:sz w:val="19"/>
          <w:szCs w:val="19"/>
        </w:rPr>
        <w:t>Aprobación de aquellas dependencias requeridas por la Dirección para la aprobación del evento.</w:t>
      </w:r>
    </w:p>
    <w:p w14:paraId="3A47577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IV. </w:t>
      </w:r>
      <w:r>
        <w:rPr>
          <w:rFonts w:ascii="Gotham" w:hAnsi="Gotham" w:cs="Arial"/>
          <w:sz w:val="19"/>
          <w:szCs w:val="19"/>
        </w:rPr>
        <w:tab/>
      </w:r>
      <w:r w:rsidRPr="00CB0307">
        <w:rPr>
          <w:rFonts w:ascii="Gotham" w:hAnsi="Gotham" w:cs="Arial"/>
          <w:sz w:val="19"/>
          <w:szCs w:val="19"/>
        </w:rPr>
        <w:t>Cuando la solicitud no contenga los datos o no cumplan con los requisitos aplicables, la Dirección debe informar por una sola vez, notificando al correo electrónico que hubiera facilitado la persona para su contacto;</w:t>
      </w:r>
    </w:p>
    <w:p w14:paraId="3A475774"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Se puede solicitar una prórroga para cierres viales totales o parciales, previa evaluación correspondiente y pago de derechos señalado en la Ley de Ingresos Municipal vigente.</w:t>
      </w:r>
    </w:p>
    <w:p w14:paraId="3A475775" w14:textId="77777777" w:rsidR="009B5E39" w:rsidRPr="00CB0307" w:rsidRDefault="009B5E39" w:rsidP="009B5E39">
      <w:pPr>
        <w:ind w:left="284" w:right="283"/>
        <w:jc w:val="both"/>
        <w:rPr>
          <w:rFonts w:ascii="Gotham" w:hAnsi="Gotham" w:cs="Arial"/>
          <w:sz w:val="19"/>
          <w:szCs w:val="19"/>
        </w:rPr>
      </w:pPr>
    </w:p>
    <w:p w14:paraId="3A475776"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Con el fin de salvaguardar la integridad física de las personas la Dirección puede brindar trámite de oficio a la ejecución de cierres viales en los casos donde la misma considere comprometida su seguridad vial.</w:t>
      </w:r>
    </w:p>
    <w:p w14:paraId="3A475777" w14:textId="77777777" w:rsidR="009B5E39" w:rsidRPr="00CB0307" w:rsidRDefault="009B5E39" w:rsidP="009B5E39">
      <w:pPr>
        <w:ind w:left="284" w:right="283"/>
        <w:jc w:val="both"/>
        <w:rPr>
          <w:rFonts w:ascii="Gotham" w:hAnsi="Gotham" w:cs="Arial"/>
          <w:sz w:val="19"/>
          <w:szCs w:val="19"/>
        </w:rPr>
      </w:pPr>
    </w:p>
    <w:p w14:paraId="3A475778"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33. </w:t>
      </w:r>
      <w:r w:rsidRPr="00CB0307">
        <w:rPr>
          <w:rFonts w:ascii="Gotham" w:hAnsi="Gotham" w:cs="Arial"/>
          <w:sz w:val="19"/>
          <w:szCs w:val="19"/>
        </w:rPr>
        <w:t>Las estaciones de servicio, gaseras y gasolineras deben presentar estudio de impacto al tránsito conforme a los lineamientos establecidos en el presente Reglamento y la norma técnica aplicable, así mismo deben cumplir con lo siguiente:</w:t>
      </w:r>
    </w:p>
    <w:p w14:paraId="3A475779" w14:textId="77777777" w:rsidR="009B5E39" w:rsidRPr="00CB0307" w:rsidRDefault="009B5E39" w:rsidP="009B5E39">
      <w:pPr>
        <w:ind w:left="284" w:right="283"/>
        <w:jc w:val="both"/>
        <w:rPr>
          <w:rFonts w:ascii="Gotham" w:hAnsi="Gotham" w:cs="Arial"/>
          <w:sz w:val="19"/>
          <w:szCs w:val="19"/>
        </w:rPr>
      </w:pPr>
    </w:p>
    <w:p w14:paraId="3A47577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Los ingresos y salidas vehiculares deben estar claramente diferenciados, respetando en las filas de abastecimiento las banquetas peatonales perimetrales de la estación de servicio. No podrán tener ingresos o salidas vehiculares por la esquina y a menos de nueve metros al interior de la calle;</w:t>
      </w:r>
    </w:p>
    <w:p w14:paraId="3A47577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Las dimensiones de las rampas de acceso y salida no podrán ser mayores al radio de giro de los vehículos que ingresen;</w:t>
      </w:r>
    </w:p>
    <w:p w14:paraId="3A47577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No deben generarse rampas continuas en los frentes de los predios y asegurar áreas de resguardo peatonal delimitadas cada cinco metros como mínimo;</w:t>
      </w:r>
    </w:p>
    <w:p w14:paraId="3A47577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Se deben implementar elementos de protección en banqueta como bolardos, machuelos y arriates;</w:t>
      </w:r>
    </w:p>
    <w:p w14:paraId="3A47577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 xml:space="preserve">Se debe implementar señalamiento horizontal y vertical dentro y fuera del desarrollo conforme lo determine la Dirección y la norma aplicable en la materia; y </w:t>
      </w:r>
    </w:p>
    <w:p w14:paraId="3A47577F"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Cuando la estación de servicio contemple la implementación de giros comerciales como tiendas de conveniencia dentro del mismo predio, la Dirección debe realizar la evaluación de la propuesta de integración vial y accesibilidad apegándose a los lineamientos de seguridad establecidos en el presente Reglamento y puede solicitar elementos o acciones adicionales para salvaguardar a las personas peatonas, ciclistas y en situación de vulnerabilidad.</w:t>
      </w:r>
    </w:p>
    <w:p w14:paraId="3A475780" w14:textId="77777777" w:rsidR="009B5E39" w:rsidRPr="00CB0307" w:rsidRDefault="009B5E39" w:rsidP="009B5E39">
      <w:pPr>
        <w:ind w:left="284" w:right="283"/>
        <w:jc w:val="both"/>
        <w:rPr>
          <w:rFonts w:ascii="Gotham" w:hAnsi="Gotham" w:cs="Arial"/>
          <w:b/>
          <w:sz w:val="19"/>
          <w:szCs w:val="19"/>
        </w:rPr>
      </w:pPr>
    </w:p>
    <w:p w14:paraId="3A475781"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34. </w:t>
      </w:r>
      <w:r w:rsidRPr="00CB0307">
        <w:rPr>
          <w:rFonts w:ascii="Gotham" w:hAnsi="Gotham" w:cs="Arial"/>
          <w:sz w:val="19"/>
          <w:szCs w:val="19"/>
        </w:rPr>
        <w:t>Cualquier acción urbanística u obra de urbanización de carácter público o privado, que por su naturaleza o su magnitud implique una alteración, modificación o afectación al sistema vial; así como usos comerciales, de servicios, industriales y equipamientos que pretendan ejecutarse deberán contar con un dictamen de integración vial o de impacto al tránsito que contenga las jerarquización y tipos de usos de suelo que por su naturaleza sea procedente.</w:t>
      </w:r>
    </w:p>
    <w:p w14:paraId="3A475782" w14:textId="77777777" w:rsidR="009B5E39" w:rsidRPr="00CB0307" w:rsidRDefault="009B5E39" w:rsidP="009B5E39">
      <w:pPr>
        <w:ind w:left="284" w:right="283"/>
        <w:jc w:val="both"/>
        <w:rPr>
          <w:rFonts w:ascii="Gotham" w:hAnsi="Gotham" w:cs="Arial"/>
          <w:b/>
          <w:sz w:val="19"/>
          <w:szCs w:val="19"/>
        </w:rPr>
      </w:pPr>
    </w:p>
    <w:p w14:paraId="3A475783"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Para lo anterior, el solicitante deberá presentar la documentación y los estudios de movilidad de tal forma que la Dirección pueda emitir la opinión técnica correspondiente previo al pago de derechos de conformidad a la Ley de Ingresos vigente para el Municipio de Tonalá, Jalisco.</w:t>
      </w:r>
    </w:p>
    <w:p w14:paraId="3A475784" w14:textId="77777777" w:rsidR="009B5E39" w:rsidRPr="00CB0307" w:rsidRDefault="009B5E39" w:rsidP="009B5E39">
      <w:pPr>
        <w:ind w:left="284" w:right="283"/>
        <w:jc w:val="both"/>
        <w:rPr>
          <w:rFonts w:ascii="Gotham" w:hAnsi="Gotham" w:cs="Arial"/>
          <w:b/>
          <w:sz w:val="19"/>
          <w:szCs w:val="19"/>
        </w:rPr>
      </w:pPr>
    </w:p>
    <w:p w14:paraId="3A475785"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35. </w:t>
      </w:r>
      <w:r w:rsidRPr="00CB0307">
        <w:rPr>
          <w:rFonts w:ascii="Gotham" w:hAnsi="Gotham" w:cs="Arial"/>
          <w:sz w:val="19"/>
          <w:szCs w:val="19"/>
        </w:rPr>
        <w:t>Conforme al artículo anterior se deben presentar los siguientes documentos:</w:t>
      </w:r>
    </w:p>
    <w:p w14:paraId="3A475786" w14:textId="77777777" w:rsidR="009B5E39" w:rsidRPr="00CB0307" w:rsidRDefault="009B5E39" w:rsidP="009B5E39">
      <w:pPr>
        <w:ind w:left="284" w:right="283"/>
        <w:jc w:val="both"/>
        <w:rPr>
          <w:rFonts w:ascii="Gotham" w:hAnsi="Gotham" w:cs="Arial"/>
          <w:sz w:val="19"/>
          <w:szCs w:val="19"/>
        </w:rPr>
      </w:pPr>
    </w:p>
    <w:p w14:paraId="3A47578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Solicitud por escrito firmada por el titular o representante legal;</w:t>
      </w:r>
    </w:p>
    <w:p w14:paraId="3A47578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 xml:space="preserve">Copia de identificación oficial vigente; </w:t>
      </w:r>
    </w:p>
    <w:p w14:paraId="3A475789"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a) </w:t>
      </w:r>
      <w:r>
        <w:rPr>
          <w:rFonts w:ascii="Gotham" w:hAnsi="Gotham" w:cs="Arial"/>
          <w:sz w:val="19"/>
          <w:szCs w:val="19"/>
        </w:rPr>
        <w:tab/>
      </w:r>
      <w:r w:rsidRPr="00CB0307">
        <w:rPr>
          <w:rFonts w:ascii="Gotham" w:hAnsi="Gotham" w:cs="Arial"/>
          <w:sz w:val="19"/>
          <w:szCs w:val="19"/>
        </w:rPr>
        <w:t xml:space="preserve">Tratándose de extranjeros el documento migratorio vigente que acredite su legal estancia en el país; </w:t>
      </w:r>
    </w:p>
    <w:p w14:paraId="3A47578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 xml:space="preserve">Copia de comprobante de domicilio, no mayor a 3 meses; </w:t>
      </w:r>
    </w:p>
    <w:p w14:paraId="3A47578B"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lastRenderedPageBreak/>
        <w:t xml:space="preserve">a) </w:t>
      </w:r>
      <w:r>
        <w:rPr>
          <w:rFonts w:ascii="Gotham" w:hAnsi="Gotham" w:cs="Arial"/>
          <w:sz w:val="19"/>
          <w:szCs w:val="19"/>
        </w:rPr>
        <w:tab/>
      </w:r>
      <w:r w:rsidRPr="00CB0307">
        <w:rPr>
          <w:rFonts w:ascii="Gotham" w:hAnsi="Gotham" w:cs="Arial"/>
          <w:sz w:val="19"/>
          <w:szCs w:val="19"/>
        </w:rPr>
        <w:t xml:space="preserve">Persona física o moral que coincida con la dirección de la hoja de trámite del solicitante; </w:t>
      </w:r>
    </w:p>
    <w:p w14:paraId="3A47578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Dictamen de Trazos, Usos y Destinos Específicos;</w:t>
      </w:r>
    </w:p>
    <w:p w14:paraId="3A47578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Copia de escrituras o documento que acredite la propiedad del predio;</w:t>
      </w:r>
    </w:p>
    <w:p w14:paraId="3A47578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Copia del Certificado de Alineamiento y número oficial (si contempla reconsideración de restricciones, presentar autorización emitida por la Dirección General Planeación y Desarrollo Sustentable del Municipio de Tonalá, Jalisco);</w:t>
      </w:r>
    </w:p>
    <w:p w14:paraId="3A47578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Comprobante de pago con base en la ley de ingresos del Municipio de Tonalá, Jalisco para el ejercicio fiscal vigente.</w:t>
      </w:r>
    </w:p>
    <w:p w14:paraId="3A47579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Carta Poder de la persona que será la responsable del estudio, siempre y cuando sea agenda al mismo para su gestión;</w:t>
      </w:r>
    </w:p>
    <w:p w14:paraId="3A47579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Para las personas Morales acompañar copia de Acta Constitutiva legible con su registro correspondiente</w:t>
      </w:r>
    </w:p>
    <w:p w14:paraId="3A47579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 </w:t>
      </w:r>
      <w:r>
        <w:rPr>
          <w:rFonts w:ascii="Gotham" w:hAnsi="Gotham" w:cs="Arial"/>
          <w:sz w:val="19"/>
          <w:szCs w:val="19"/>
        </w:rPr>
        <w:tab/>
      </w:r>
      <w:r w:rsidRPr="00CB0307">
        <w:rPr>
          <w:rFonts w:ascii="Gotham" w:hAnsi="Gotham" w:cs="Arial"/>
          <w:sz w:val="19"/>
          <w:szCs w:val="19"/>
        </w:rPr>
        <w:t>Copia de identificación oficial vigente de Las Personas Involucradas (Testigos Y Responsables)</w:t>
      </w:r>
    </w:p>
    <w:p w14:paraId="3A47579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 </w:t>
      </w:r>
      <w:r>
        <w:rPr>
          <w:rFonts w:ascii="Gotham" w:hAnsi="Gotham" w:cs="Arial"/>
          <w:sz w:val="19"/>
          <w:szCs w:val="19"/>
        </w:rPr>
        <w:tab/>
      </w:r>
      <w:r w:rsidRPr="00CB0307">
        <w:rPr>
          <w:rFonts w:ascii="Gotham" w:hAnsi="Gotham" w:cs="Arial"/>
          <w:sz w:val="19"/>
          <w:szCs w:val="19"/>
        </w:rPr>
        <w:t>Proyecto Arquitectónico Del Desarrollo A Construir.</w:t>
      </w:r>
    </w:p>
    <w:p w14:paraId="3A47579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XII. </w:t>
      </w:r>
      <w:r>
        <w:rPr>
          <w:rFonts w:ascii="Gotham" w:hAnsi="Gotham" w:cs="Arial"/>
          <w:sz w:val="19"/>
          <w:szCs w:val="19"/>
        </w:rPr>
        <w:tab/>
      </w:r>
      <w:r w:rsidRPr="00CB0307">
        <w:rPr>
          <w:rFonts w:ascii="Gotham" w:hAnsi="Gotham" w:cs="Arial"/>
          <w:sz w:val="19"/>
          <w:szCs w:val="19"/>
        </w:rPr>
        <w:t>Estudio en materia de movilidad, el cual deberá contener:</w:t>
      </w:r>
    </w:p>
    <w:p w14:paraId="3A475795"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a).</w:t>
      </w:r>
      <w:r>
        <w:rPr>
          <w:rFonts w:ascii="Gotham" w:hAnsi="Gotham" w:cs="Arial"/>
          <w:sz w:val="19"/>
          <w:szCs w:val="19"/>
        </w:rPr>
        <w:tab/>
      </w:r>
      <w:r w:rsidRPr="00CB0307">
        <w:rPr>
          <w:rFonts w:ascii="Gotham" w:hAnsi="Gotham" w:cs="Arial"/>
          <w:sz w:val="19"/>
          <w:szCs w:val="19"/>
        </w:rPr>
        <w:t>Descripción clara de la ubicación del predio en estudio;</w:t>
      </w:r>
    </w:p>
    <w:p w14:paraId="3A475796"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b) </w:t>
      </w:r>
      <w:r>
        <w:rPr>
          <w:rFonts w:ascii="Gotham" w:hAnsi="Gotham" w:cs="Arial"/>
          <w:sz w:val="19"/>
          <w:szCs w:val="19"/>
        </w:rPr>
        <w:tab/>
      </w:r>
      <w:r w:rsidRPr="00CB0307">
        <w:rPr>
          <w:rFonts w:ascii="Gotham" w:hAnsi="Gotham" w:cs="Arial"/>
          <w:sz w:val="19"/>
          <w:szCs w:val="19"/>
        </w:rPr>
        <w:t>Ubicación de la zona de estudio señalando el área de influencia directa e indirecta;</w:t>
      </w:r>
    </w:p>
    <w:p w14:paraId="3A475797"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c). </w:t>
      </w:r>
      <w:r>
        <w:rPr>
          <w:rFonts w:ascii="Gotham" w:hAnsi="Gotham" w:cs="Arial"/>
          <w:sz w:val="19"/>
          <w:szCs w:val="19"/>
        </w:rPr>
        <w:tab/>
      </w:r>
      <w:r w:rsidRPr="00CB0307">
        <w:rPr>
          <w:rFonts w:ascii="Gotham" w:hAnsi="Gotham" w:cs="Arial"/>
          <w:sz w:val="19"/>
          <w:szCs w:val="19"/>
        </w:rPr>
        <w:t>Gráfico descriptivo del sistema Vial existente que señale con precisión los dispositivos y señalamientos viales y preventivos de accidentes en las vías públicas;</w:t>
      </w:r>
    </w:p>
    <w:p w14:paraId="3A475798"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d) </w:t>
      </w:r>
      <w:r>
        <w:rPr>
          <w:rFonts w:ascii="Gotham" w:hAnsi="Gotham" w:cs="Arial"/>
          <w:sz w:val="19"/>
          <w:szCs w:val="19"/>
        </w:rPr>
        <w:tab/>
      </w:r>
      <w:r w:rsidRPr="00CB0307">
        <w:rPr>
          <w:rFonts w:ascii="Gotham" w:hAnsi="Gotham" w:cs="Arial"/>
          <w:sz w:val="19"/>
          <w:szCs w:val="19"/>
        </w:rPr>
        <w:t>Descripción del estado actual de la situación física de la vialidad en el momento del estudio que contenga el estado físico de la superficie de rodamiento;</w:t>
      </w:r>
    </w:p>
    <w:p w14:paraId="3A475799"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c) </w:t>
      </w:r>
      <w:r>
        <w:rPr>
          <w:rFonts w:ascii="Gotham" w:hAnsi="Gotham" w:cs="Arial"/>
          <w:sz w:val="19"/>
          <w:szCs w:val="19"/>
        </w:rPr>
        <w:tab/>
      </w:r>
      <w:r w:rsidRPr="00CB0307">
        <w:rPr>
          <w:rFonts w:ascii="Gotham" w:hAnsi="Gotham" w:cs="Arial"/>
          <w:sz w:val="19"/>
          <w:szCs w:val="19"/>
        </w:rPr>
        <w:t>Establecimiento de los horizontes del estudio;</w:t>
      </w:r>
    </w:p>
    <w:p w14:paraId="3A47579A"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e) </w:t>
      </w:r>
      <w:r>
        <w:rPr>
          <w:rFonts w:ascii="Gotham" w:hAnsi="Gotham" w:cs="Arial"/>
          <w:sz w:val="19"/>
          <w:szCs w:val="19"/>
        </w:rPr>
        <w:tab/>
      </w:r>
      <w:r w:rsidRPr="00CB0307">
        <w:rPr>
          <w:rFonts w:ascii="Gotham" w:hAnsi="Gotham" w:cs="Arial"/>
          <w:sz w:val="19"/>
          <w:szCs w:val="19"/>
        </w:rPr>
        <w:t>Describir los usos del suelo actuales y las infraestructuras existentes en la zona de influencia, así como acompañar</w:t>
      </w:r>
      <w:r w:rsidR="007C2F8D">
        <w:rPr>
          <w:rFonts w:ascii="Gotham" w:hAnsi="Gotham" w:cs="Arial"/>
          <w:sz w:val="19"/>
          <w:szCs w:val="19"/>
        </w:rPr>
        <w:t xml:space="preserve"> </w:t>
      </w:r>
      <w:r w:rsidRPr="00CB0307">
        <w:rPr>
          <w:rFonts w:ascii="Gotham" w:hAnsi="Gotham" w:cs="Arial"/>
          <w:sz w:val="19"/>
          <w:szCs w:val="19"/>
        </w:rPr>
        <w:t>evidencia fotografía de la zona de influencia;</w:t>
      </w:r>
    </w:p>
    <w:p w14:paraId="3A47579B"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f) </w:t>
      </w:r>
      <w:r>
        <w:rPr>
          <w:rFonts w:ascii="Gotham" w:hAnsi="Gotham" w:cs="Arial"/>
          <w:sz w:val="19"/>
          <w:szCs w:val="19"/>
        </w:rPr>
        <w:tab/>
      </w:r>
      <w:r w:rsidRPr="00CB0307">
        <w:rPr>
          <w:rFonts w:ascii="Gotham" w:hAnsi="Gotham" w:cs="Arial"/>
          <w:sz w:val="19"/>
          <w:szCs w:val="19"/>
        </w:rPr>
        <w:t>Determinación de la operación del transporte colectivo en el área y de sus perspectivas de desarrollo;</w:t>
      </w:r>
    </w:p>
    <w:p w14:paraId="3A47579C"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g) </w:t>
      </w:r>
      <w:r>
        <w:rPr>
          <w:rFonts w:ascii="Gotham" w:hAnsi="Gotham" w:cs="Arial"/>
          <w:sz w:val="19"/>
          <w:szCs w:val="19"/>
        </w:rPr>
        <w:tab/>
      </w:r>
      <w:r w:rsidRPr="00CB0307">
        <w:rPr>
          <w:rFonts w:ascii="Gotham" w:hAnsi="Gotham" w:cs="Arial"/>
          <w:sz w:val="19"/>
          <w:szCs w:val="19"/>
        </w:rPr>
        <w:t>Levantamiento de la información sobre volúmenes de tránsito en días y horas representativas;</w:t>
      </w:r>
    </w:p>
    <w:p w14:paraId="3A47579D"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h) </w:t>
      </w:r>
      <w:r>
        <w:rPr>
          <w:rFonts w:ascii="Gotham" w:hAnsi="Gotham" w:cs="Arial"/>
          <w:sz w:val="19"/>
          <w:szCs w:val="19"/>
        </w:rPr>
        <w:tab/>
      </w:r>
      <w:r w:rsidRPr="00CB0307">
        <w:rPr>
          <w:rFonts w:ascii="Gotham" w:hAnsi="Gotham" w:cs="Arial"/>
          <w:sz w:val="19"/>
          <w:szCs w:val="19"/>
        </w:rPr>
        <w:t>Las expectativas de crecimiento de los flujos viales a los horizontes establecidos;</w:t>
      </w:r>
    </w:p>
    <w:p w14:paraId="3A47579E"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Evaluación de las condiciones de la vialidad mediante análisis de capacidad y nivel de servicio;</w:t>
      </w:r>
    </w:p>
    <w:p w14:paraId="3A47579F"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j) </w:t>
      </w:r>
      <w:r>
        <w:rPr>
          <w:rFonts w:ascii="Gotham" w:hAnsi="Gotham" w:cs="Arial"/>
          <w:sz w:val="19"/>
          <w:szCs w:val="19"/>
        </w:rPr>
        <w:tab/>
      </w:r>
      <w:r w:rsidRPr="00CB0307">
        <w:rPr>
          <w:rFonts w:ascii="Gotham" w:hAnsi="Gotham" w:cs="Arial"/>
          <w:sz w:val="19"/>
          <w:szCs w:val="19"/>
        </w:rPr>
        <w:t>Estimación del tráfico generado en función de los usos del suelo;</w:t>
      </w:r>
    </w:p>
    <w:p w14:paraId="3A4757A0"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k) </w:t>
      </w:r>
      <w:r>
        <w:rPr>
          <w:rFonts w:ascii="Gotham" w:hAnsi="Gotham" w:cs="Arial"/>
          <w:sz w:val="19"/>
          <w:szCs w:val="19"/>
        </w:rPr>
        <w:tab/>
      </w:r>
      <w:r w:rsidRPr="00CB0307">
        <w:rPr>
          <w:rFonts w:ascii="Gotham" w:hAnsi="Gotham" w:cs="Arial"/>
          <w:sz w:val="19"/>
          <w:szCs w:val="19"/>
        </w:rPr>
        <w:t>Estimación del tráfico total, incluyendo el tránsito inducido, el tránsito generado y de desarrollo para los horizontes previstos;</w:t>
      </w:r>
    </w:p>
    <w:p w14:paraId="3A4757A1"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l).</w:t>
      </w:r>
      <w:r>
        <w:rPr>
          <w:rFonts w:ascii="Gotham" w:hAnsi="Gotham" w:cs="Arial"/>
          <w:sz w:val="19"/>
          <w:szCs w:val="19"/>
        </w:rPr>
        <w:tab/>
      </w:r>
      <w:r w:rsidRPr="00CB0307">
        <w:rPr>
          <w:rFonts w:ascii="Gotham" w:hAnsi="Gotham" w:cs="Arial"/>
          <w:sz w:val="19"/>
          <w:szCs w:val="19"/>
        </w:rPr>
        <w:t xml:space="preserve">Levantamiento de información sobre volúmenes de flujos peatonales y ciclistas en días y horas representativas; </w:t>
      </w:r>
    </w:p>
    <w:p w14:paraId="3A4757A2"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m). </w:t>
      </w:r>
      <w:r>
        <w:rPr>
          <w:rFonts w:ascii="Gotham" w:hAnsi="Gotham" w:cs="Arial"/>
          <w:sz w:val="19"/>
          <w:szCs w:val="19"/>
        </w:rPr>
        <w:tab/>
      </w:r>
      <w:r w:rsidRPr="00CB0307">
        <w:rPr>
          <w:rFonts w:ascii="Gotham" w:hAnsi="Gotham" w:cs="Arial"/>
          <w:sz w:val="19"/>
          <w:szCs w:val="19"/>
        </w:rPr>
        <w:t>Estimación de flujos peatonales y ciclistas generados en función de los usos de suelo;</w:t>
      </w:r>
    </w:p>
    <w:p w14:paraId="3A4757A3"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n). </w:t>
      </w:r>
      <w:r>
        <w:rPr>
          <w:rFonts w:ascii="Gotham" w:hAnsi="Gotham" w:cs="Arial"/>
          <w:sz w:val="19"/>
          <w:szCs w:val="19"/>
        </w:rPr>
        <w:tab/>
      </w:r>
      <w:r w:rsidRPr="00CB0307">
        <w:rPr>
          <w:rFonts w:ascii="Gotham" w:hAnsi="Gotham" w:cs="Arial"/>
          <w:sz w:val="19"/>
          <w:szCs w:val="19"/>
        </w:rPr>
        <w:t>Estimación del flujo peatonal y ciclista total;</w:t>
      </w:r>
    </w:p>
    <w:p w14:paraId="3A4757A4"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lastRenderedPageBreak/>
        <w:t xml:space="preserve">ñ). </w:t>
      </w:r>
      <w:r>
        <w:rPr>
          <w:rFonts w:ascii="Gotham" w:hAnsi="Gotham" w:cs="Arial"/>
          <w:sz w:val="19"/>
          <w:szCs w:val="19"/>
        </w:rPr>
        <w:tab/>
      </w:r>
      <w:r w:rsidRPr="00CB0307">
        <w:rPr>
          <w:rFonts w:ascii="Gotham" w:hAnsi="Gotham" w:cs="Arial"/>
          <w:sz w:val="19"/>
          <w:szCs w:val="19"/>
        </w:rPr>
        <w:t xml:space="preserve">Análisis de la compatibilidad de las acciones propuestas con el contenido del Plan Parcial de Desarrollo Urbano; y </w:t>
      </w:r>
    </w:p>
    <w:p w14:paraId="3A4757A5" w14:textId="77777777" w:rsidR="009B5E39" w:rsidRPr="00CB0307" w:rsidRDefault="009B5E39" w:rsidP="009B5E39">
      <w:pPr>
        <w:ind w:left="1560" w:right="283" w:hanging="426"/>
        <w:jc w:val="both"/>
        <w:rPr>
          <w:rFonts w:ascii="Gotham" w:hAnsi="Gotham" w:cs="Arial"/>
          <w:sz w:val="19"/>
          <w:szCs w:val="19"/>
        </w:rPr>
      </w:pPr>
      <w:r w:rsidRPr="00CB0307">
        <w:rPr>
          <w:rFonts w:ascii="Gotham" w:hAnsi="Gotham" w:cs="Arial"/>
          <w:sz w:val="19"/>
          <w:szCs w:val="19"/>
        </w:rPr>
        <w:t xml:space="preserve">o). </w:t>
      </w:r>
      <w:r>
        <w:rPr>
          <w:rFonts w:ascii="Gotham" w:hAnsi="Gotham" w:cs="Arial"/>
          <w:sz w:val="19"/>
          <w:szCs w:val="19"/>
        </w:rPr>
        <w:tab/>
      </w:r>
      <w:r w:rsidRPr="00CB0307">
        <w:rPr>
          <w:rFonts w:ascii="Gotham" w:hAnsi="Gotham" w:cs="Arial"/>
          <w:sz w:val="19"/>
          <w:szCs w:val="19"/>
        </w:rPr>
        <w:t>Cualquier otro que por las características de la acción urbanística a desarrollar, requiera el proceso de dictaminación.</w:t>
      </w:r>
    </w:p>
    <w:p w14:paraId="3A4757A6" w14:textId="77777777" w:rsidR="009B5E39" w:rsidRDefault="009B5E39" w:rsidP="009B5E39">
      <w:pPr>
        <w:ind w:left="284" w:right="283"/>
        <w:jc w:val="both"/>
        <w:rPr>
          <w:rFonts w:ascii="Gotham" w:hAnsi="Gotham" w:cs="Arial"/>
          <w:b/>
          <w:sz w:val="19"/>
          <w:szCs w:val="19"/>
        </w:rPr>
      </w:pPr>
    </w:p>
    <w:p w14:paraId="3A4757A7"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36. </w:t>
      </w:r>
      <w:r w:rsidRPr="00CB0307">
        <w:rPr>
          <w:rFonts w:ascii="Gotham" w:hAnsi="Gotham" w:cs="Arial"/>
          <w:sz w:val="19"/>
          <w:szCs w:val="19"/>
        </w:rPr>
        <w:t>En todos los estudios de movilidad donde se solicite el levantamiento de información sobre volúmenes de tránsito, el particular o las autoridades deberán solicitar visto bueno, opinión técnica o en su caso dictamen por parte de la Dirección donde se especifique la ubicación de los puntos de aforo, duración y características generales de los mismos, por lo que la Dirección podrá supervisar dichos levantamientos cuando así lo determine</w:t>
      </w:r>
    </w:p>
    <w:p w14:paraId="3A4757A8" w14:textId="77777777" w:rsidR="009B5E39" w:rsidRPr="00CB0307" w:rsidRDefault="009B5E39" w:rsidP="009B5E39">
      <w:pPr>
        <w:ind w:left="284" w:right="283"/>
        <w:jc w:val="both"/>
        <w:rPr>
          <w:rFonts w:ascii="Gotham" w:hAnsi="Gotham" w:cs="Arial"/>
          <w:b/>
          <w:sz w:val="19"/>
          <w:szCs w:val="19"/>
          <w:highlight w:val="green"/>
        </w:rPr>
      </w:pPr>
    </w:p>
    <w:p w14:paraId="3A4757A9"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37. </w:t>
      </w:r>
      <w:r w:rsidRPr="00CB0307">
        <w:rPr>
          <w:rFonts w:ascii="Gotham" w:hAnsi="Gotham" w:cs="Arial"/>
          <w:sz w:val="19"/>
          <w:szCs w:val="19"/>
        </w:rPr>
        <w:t>A partir de la solicitud de dictaminación por parte del particular o dependencia, la Dirección contará con 10 días hábiles para prevenir al particular por una sola vez y por escrito para presentar la información faltante, en caso de que el solicitante no cumpla con el término de prevención otorgada se le tendrá por desechado su trámite, dejando a salvo sus derechos para solicitarlo de nueva cuenta.</w:t>
      </w:r>
    </w:p>
    <w:p w14:paraId="3A4757AA" w14:textId="77777777" w:rsidR="009B5E39" w:rsidRPr="00CB0307" w:rsidRDefault="009B5E39" w:rsidP="009B5E39">
      <w:pPr>
        <w:ind w:left="284" w:right="283"/>
        <w:jc w:val="both"/>
        <w:rPr>
          <w:rFonts w:ascii="Gotham" w:hAnsi="Gotham" w:cs="Arial"/>
          <w:b/>
          <w:sz w:val="19"/>
          <w:szCs w:val="19"/>
          <w:highlight w:val="yellow"/>
        </w:rPr>
      </w:pPr>
    </w:p>
    <w:p w14:paraId="3A4757AB"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38. </w:t>
      </w:r>
      <w:r w:rsidRPr="00CB0307">
        <w:rPr>
          <w:rFonts w:ascii="Gotham" w:hAnsi="Gotham" w:cs="Arial"/>
          <w:sz w:val="19"/>
          <w:szCs w:val="19"/>
        </w:rPr>
        <w:t>Una vez aceptado los documentos para el estudio de la dictaminación, la Dirección contará con 15 días hábiles como máximo para dar una resolución a la petición.</w:t>
      </w:r>
    </w:p>
    <w:p w14:paraId="3A4757AC" w14:textId="77777777" w:rsidR="009B5E39" w:rsidRPr="00CB0307" w:rsidRDefault="009B5E39" w:rsidP="009B5E39">
      <w:pPr>
        <w:ind w:left="284" w:right="283"/>
        <w:jc w:val="both"/>
        <w:rPr>
          <w:rFonts w:ascii="Gotham" w:hAnsi="Gotham" w:cs="Arial"/>
          <w:b/>
          <w:sz w:val="19"/>
          <w:szCs w:val="19"/>
          <w:highlight w:val="yellow"/>
        </w:rPr>
      </w:pPr>
    </w:p>
    <w:p w14:paraId="3A4757AD"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39. </w:t>
      </w:r>
      <w:r w:rsidRPr="00CB0307">
        <w:rPr>
          <w:rFonts w:ascii="Gotham" w:hAnsi="Gotham" w:cs="Arial"/>
          <w:sz w:val="19"/>
          <w:szCs w:val="19"/>
        </w:rPr>
        <w:t>Los dictámenes expedidos por la Dirección podrán ser procedentes, procedentes parcialmente con indicaciones de obras o equipamiento urbano necesario condicionados o bien no procedentes.</w:t>
      </w:r>
    </w:p>
    <w:p w14:paraId="3A4757AE" w14:textId="77777777" w:rsidR="009B5E39" w:rsidRPr="00CB0307" w:rsidRDefault="009B5E39" w:rsidP="009B5E39">
      <w:pPr>
        <w:ind w:left="284" w:right="283"/>
        <w:jc w:val="both"/>
        <w:rPr>
          <w:rFonts w:ascii="Gotham" w:hAnsi="Gotham" w:cs="Arial"/>
          <w:sz w:val="19"/>
          <w:szCs w:val="19"/>
        </w:rPr>
      </w:pPr>
    </w:p>
    <w:p w14:paraId="3A4757AF"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sz w:val="19"/>
          <w:szCs w:val="19"/>
        </w:rPr>
        <w:t>El particular deberá de cumplir en un término de plazo de 15 días de los requisitos señalados en los dictámenes proceden condicionados una vez notificado.</w:t>
      </w:r>
    </w:p>
    <w:p w14:paraId="3A4757B0" w14:textId="77777777" w:rsidR="009B5E39" w:rsidRPr="00CB0307" w:rsidRDefault="009B5E39" w:rsidP="009B5E39">
      <w:pPr>
        <w:ind w:left="284" w:right="283"/>
        <w:jc w:val="both"/>
        <w:rPr>
          <w:rFonts w:ascii="Gotham" w:hAnsi="Gotham" w:cs="Arial"/>
          <w:b/>
          <w:sz w:val="19"/>
          <w:szCs w:val="19"/>
        </w:rPr>
      </w:pPr>
    </w:p>
    <w:p w14:paraId="3A4757B1"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40.</w:t>
      </w:r>
      <w:r w:rsidR="007C2F8D">
        <w:rPr>
          <w:rFonts w:ascii="Gotham" w:hAnsi="Gotham" w:cs="Arial"/>
          <w:b/>
          <w:sz w:val="19"/>
          <w:szCs w:val="19"/>
        </w:rPr>
        <w:t xml:space="preserve"> </w:t>
      </w:r>
      <w:r w:rsidRPr="00CB0307">
        <w:rPr>
          <w:rFonts w:ascii="Gotham" w:hAnsi="Gotham" w:cs="Arial"/>
          <w:sz w:val="19"/>
          <w:szCs w:val="19"/>
        </w:rPr>
        <w:t>Para el caso de que el dictamen resulte no procedente, se dejarán a salvo los derechos del particular y podrá presentar el trámite nuevamente cuando así lo considere prudente. La emisión de un dictamen no procedente no acarrea la devolución de los derechos pagados por dicha expedición</w:t>
      </w:r>
    </w:p>
    <w:p w14:paraId="3A4757B2" w14:textId="77777777" w:rsidR="009B5E39" w:rsidRPr="00CB0307" w:rsidRDefault="009B5E39" w:rsidP="009B5E39">
      <w:pPr>
        <w:ind w:left="284" w:right="283"/>
        <w:jc w:val="both"/>
        <w:rPr>
          <w:rFonts w:ascii="Gotham" w:hAnsi="Gotham" w:cs="Arial"/>
          <w:b/>
          <w:sz w:val="19"/>
          <w:szCs w:val="19"/>
          <w:highlight w:val="yellow"/>
        </w:rPr>
      </w:pPr>
    </w:p>
    <w:p w14:paraId="3A4757B3"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41. </w:t>
      </w:r>
      <w:r w:rsidRPr="00CB0307">
        <w:rPr>
          <w:rFonts w:ascii="Gotham" w:hAnsi="Gotham" w:cs="Arial"/>
          <w:sz w:val="19"/>
          <w:szCs w:val="19"/>
        </w:rPr>
        <w:t>Para el caso de que el dictamen resulte procedente parcialmente, será necesario que el particular cumpla con las con indicaciones de obras o equipamiento urbano necesario condicionantes mencionadas y acredite su cumplimiento ante la Dirección, en caso de no hacerlo se tendrá por revocado sin mediar procedimiento alguno</w:t>
      </w:r>
    </w:p>
    <w:p w14:paraId="3A4757B4" w14:textId="77777777" w:rsidR="009B5E39" w:rsidRPr="00CB0307" w:rsidRDefault="009B5E39" w:rsidP="009B5E39">
      <w:pPr>
        <w:ind w:left="284" w:right="283"/>
        <w:jc w:val="both"/>
        <w:rPr>
          <w:rFonts w:ascii="Gotham" w:hAnsi="Gotham" w:cs="Arial"/>
          <w:b/>
          <w:sz w:val="19"/>
          <w:szCs w:val="19"/>
          <w:highlight w:val="yellow"/>
        </w:rPr>
      </w:pPr>
    </w:p>
    <w:p w14:paraId="3A4757B5"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42. </w:t>
      </w:r>
      <w:r w:rsidRPr="00CB0307">
        <w:rPr>
          <w:rFonts w:ascii="Gotham" w:hAnsi="Gotham" w:cs="Arial"/>
          <w:sz w:val="19"/>
          <w:szCs w:val="19"/>
        </w:rPr>
        <w:t>Las resoluciones serán recurribles por la parte afectada, mediante los recursos de inconformidad o revisión que contempla la Ley del Procedimiento Administrativo del Estado de Jalisco.</w:t>
      </w:r>
    </w:p>
    <w:p w14:paraId="3A4757B6" w14:textId="77777777" w:rsidR="009B5E39" w:rsidRDefault="009B5E39" w:rsidP="009B5E39">
      <w:pPr>
        <w:ind w:left="284" w:right="283"/>
        <w:rPr>
          <w:rFonts w:ascii="Gotham" w:hAnsi="Gotham" w:cs="Arial"/>
          <w:sz w:val="19"/>
          <w:szCs w:val="19"/>
        </w:rPr>
      </w:pPr>
    </w:p>
    <w:p w14:paraId="3A4757B7" w14:textId="77777777" w:rsidR="009B5E39" w:rsidRPr="00CB0307" w:rsidRDefault="009B5E39" w:rsidP="009B5E39">
      <w:pPr>
        <w:ind w:left="284" w:right="283"/>
        <w:rPr>
          <w:rFonts w:ascii="Gotham" w:hAnsi="Gotham" w:cs="Arial"/>
          <w:sz w:val="19"/>
          <w:szCs w:val="19"/>
        </w:rPr>
      </w:pPr>
    </w:p>
    <w:p w14:paraId="3A4757B8"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TÍTULO IV</w:t>
      </w:r>
    </w:p>
    <w:p w14:paraId="3A4757B9"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LOS PROGRAMAS Y PROYECTOS EN MATERIA DE MOVILIDAD; MOVILIDAD NO MOTORIZADA; SEGURIDAD VIAL Y ACCESIBILIDAD UNIVERSAL</w:t>
      </w:r>
    </w:p>
    <w:p w14:paraId="3A4757BA" w14:textId="77777777" w:rsidR="009B5E39" w:rsidRPr="00CB0307" w:rsidRDefault="009B5E39" w:rsidP="009B5E39">
      <w:pPr>
        <w:ind w:left="284" w:right="283"/>
        <w:jc w:val="center"/>
        <w:rPr>
          <w:rFonts w:ascii="Gotham" w:hAnsi="Gotham" w:cs="Arial"/>
          <w:b/>
          <w:bCs/>
          <w:sz w:val="19"/>
          <w:szCs w:val="19"/>
        </w:rPr>
      </w:pPr>
    </w:p>
    <w:p w14:paraId="3A4757BB"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w:t>
      </w:r>
    </w:p>
    <w:p w14:paraId="3A4757BC"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LOS PROGRAMAS DE MOVILIDAD NO MOTORIZADA</w:t>
      </w:r>
    </w:p>
    <w:p w14:paraId="3A4757BD" w14:textId="77777777" w:rsidR="009B5E39" w:rsidRPr="00CB0307" w:rsidRDefault="009B5E39" w:rsidP="009B5E39">
      <w:pPr>
        <w:ind w:left="284" w:right="283"/>
        <w:jc w:val="both"/>
        <w:rPr>
          <w:rFonts w:ascii="Gotham" w:hAnsi="Gotham" w:cs="Arial"/>
          <w:sz w:val="19"/>
          <w:szCs w:val="19"/>
        </w:rPr>
      </w:pPr>
    </w:p>
    <w:p w14:paraId="3A4757BE" w14:textId="15E8BB05"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43 </w:t>
      </w:r>
      <w:r w:rsidRPr="00CB0307">
        <w:rPr>
          <w:rFonts w:ascii="Gotham" w:hAnsi="Gotham" w:cs="Arial"/>
          <w:sz w:val="19"/>
          <w:szCs w:val="19"/>
        </w:rPr>
        <w:t xml:space="preserve">Las </w:t>
      </w:r>
      <w:r w:rsidR="002D6ABF" w:rsidRPr="00CB0307">
        <w:rPr>
          <w:rFonts w:ascii="Gotham" w:hAnsi="Gotham" w:cs="Arial"/>
          <w:sz w:val="19"/>
          <w:szCs w:val="19"/>
        </w:rPr>
        <w:t>ciclovías</w:t>
      </w:r>
      <w:r w:rsidRPr="00CB0307">
        <w:rPr>
          <w:rFonts w:ascii="Gotham" w:hAnsi="Gotham" w:cs="Arial"/>
          <w:sz w:val="19"/>
          <w:szCs w:val="19"/>
        </w:rPr>
        <w:t xml:space="preserve"> son vías exclusivas para vehículos no motorizados, en conjunto con dispositivos de control de tránsito o de segregación entre los vehículos motorizados y los peatones, los cuales se pueden instalar en cualquier vialidad </w:t>
      </w:r>
      <w:r w:rsidR="008D22E5" w:rsidRPr="00CB0307">
        <w:rPr>
          <w:rFonts w:ascii="Gotham" w:hAnsi="Gotham" w:cs="Arial"/>
          <w:sz w:val="19"/>
          <w:szCs w:val="19"/>
        </w:rPr>
        <w:t>cumpliendo</w:t>
      </w:r>
      <w:r w:rsidRPr="00CB0307">
        <w:rPr>
          <w:rFonts w:ascii="Gotham" w:hAnsi="Gotham" w:cs="Arial"/>
          <w:sz w:val="19"/>
          <w:szCs w:val="19"/>
        </w:rPr>
        <w:t xml:space="preserve"> los lineamientos de la norma técnica aplicable.</w:t>
      </w:r>
    </w:p>
    <w:p w14:paraId="3A4757BF" w14:textId="77777777" w:rsidR="009B5E39" w:rsidRPr="00CB0307" w:rsidRDefault="009B5E39" w:rsidP="009B5E39">
      <w:pPr>
        <w:ind w:left="284" w:right="283"/>
        <w:jc w:val="both"/>
        <w:rPr>
          <w:rFonts w:ascii="Gotham" w:hAnsi="Gotham" w:cs="Arial"/>
          <w:sz w:val="19"/>
          <w:szCs w:val="19"/>
        </w:rPr>
      </w:pPr>
    </w:p>
    <w:p w14:paraId="3A4757C0"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lastRenderedPageBreak/>
        <w:t xml:space="preserve">Artículo 44 </w:t>
      </w:r>
      <w:r w:rsidRPr="00CB0307">
        <w:rPr>
          <w:rFonts w:ascii="Gotham" w:hAnsi="Gotham" w:cs="Arial"/>
          <w:sz w:val="19"/>
          <w:szCs w:val="19"/>
        </w:rPr>
        <w:t>Los cruces semaforizados deben incorporar un área de espera ciclista o caja bici, de cuatro metros de largo y del ancho del arroyo vial.</w:t>
      </w:r>
    </w:p>
    <w:p w14:paraId="3A4757C1" w14:textId="77777777" w:rsidR="009B5E39" w:rsidRPr="00CB0307" w:rsidRDefault="009B5E39" w:rsidP="009B5E39">
      <w:pPr>
        <w:ind w:left="284" w:right="283"/>
        <w:jc w:val="both"/>
        <w:rPr>
          <w:rFonts w:ascii="Gotham" w:hAnsi="Gotham" w:cs="Arial"/>
          <w:sz w:val="19"/>
          <w:szCs w:val="19"/>
        </w:rPr>
      </w:pPr>
    </w:p>
    <w:p w14:paraId="3A4757C2"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45.</w:t>
      </w:r>
      <w:r w:rsidRPr="00CB0307">
        <w:rPr>
          <w:rFonts w:ascii="Gotham" w:hAnsi="Gotham" w:cs="Arial"/>
          <w:sz w:val="19"/>
          <w:szCs w:val="19"/>
        </w:rPr>
        <w:t xml:space="preserve"> Los carriles de prioridad ciclista pueden establecerse en cualquier vialidad debiendo cumplir los lineamientos de la norma técnica aplicable.</w:t>
      </w:r>
    </w:p>
    <w:p w14:paraId="3A4757C3" w14:textId="77777777" w:rsidR="009B5E39" w:rsidRPr="00CB0307" w:rsidRDefault="009B5E39" w:rsidP="009B5E39">
      <w:pPr>
        <w:ind w:left="284" w:right="283"/>
        <w:jc w:val="both"/>
        <w:rPr>
          <w:rFonts w:ascii="Gotham" w:hAnsi="Gotham" w:cs="Arial"/>
          <w:sz w:val="19"/>
          <w:szCs w:val="19"/>
        </w:rPr>
      </w:pPr>
    </w:p>
    <w:p w14:paraId="3A4757C4"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46.</w:t>
      </w:r>
      <w:r w:rsidRPr="00CB0307">
        <w:rPr>
          <w:rFonts w:ascii="Gotham" w:hAnsi="Gotham" w:cs="Arial"/>
          <w:sz w:val="19"/>
          <w:szCs w:val="19"/>
        </w:rPr>
        <w:t xml:space="preserve"> Todas las vialidades del municipio son susceptibles a la incorporación de infraestructura para vehículos no motorizados.</w:t>
      </w:r>
    </w:p>
    <w:p w14:paraId="3A4757C5" w14:textId="77777777" w:rsidR="009B5E39" w:rsidRDefault="009B5E39" w:rsidP="009B5E39">
      <w:pPr>
        <w:ind w:left="284" w:right="283"/>
        <w:rPr>
          <w:rFonts w:ascii="Gotham" w:hAnsi="Gotham" w:cs="Arial"/>
          <w:sz w:val="19"/>
          <w:szCs w:val="19"/>
        </w:rPr>
      </w:pPr>
    </w:p>
    <w:p w14:paraId="3A4757C6" w14:textId="77777777" w:rsidR="009B5E39" w:rsidRPr="00CB0307" w:rsidRDefault="009B5E39" w:rsidP="009B5E39">
      <w:pPr>
        <w:ind w:left="284" w:right="283"/>
        <w:rPr>
          <w:rFonts w:ascii="Gotham" w:hAnsi="Gotham" w:cs="Arial"/>
          <w:sz w:val="19"/>
          <w:szCs w:val="19"/>
        </w:rPr>
      </w:pPr>
    </w:p>
    <w:p w14:paraId="3A4757C7"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II</w:t>
      </w:r>
    </w:p>
    <w:p w14:paraId="3A4757C8"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LAS ZONAS ESPECIALES</w:t>
      </w:r>
    </w:p>
    <w:p w14:paraId="3A4757C9" w14:textId="77777777" w:rsidR="009B5E39" w:rsidRPr="00CB0307" w:rsidRDefault="009B5E39" w:rsidP="009B5E39">
      <w:pPr>
        <w:ind w:left="284" w:right="283"/>
        <w:rPr>
          <w:rFonts w:ascii="Gotham" w:hAnsi="Gotham" w:cs="Arial"/>
          <w:sz w:val="19"/>
          <w:szCs w:val="19"/>
        </w:rPr>
      </w:pPr>
    </w:p>
    <w:p w14:paraId="3A4757CA"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47. </w:t>
      </w:r>
      <w:r w:rsidRPr="00CB0307">
        <w:rPr>
          <w:rFonts w:ascii="Gotham" w:hAnsi="Gotham" w:cs="Arial"/>
          <w:sz w:val="19"/>
          <w:szCs w:val="19"/>
        </w:rPr>
        <w:t>Cualquier zona que pretenda modificar sus características en materia de movilidad deberá contar con la autorización y opinión técnica o en su caso dictamen de la Dirección.</w:t>
      </w:r>
    </w:p>
    <w:p w14:paraId="3A4757CB" w14:textId="77777777" w:rsidR="009B5E39" w:rsidRPr="00CB0307" w:rsidRDefault="009B5E39" w:rsidP="009B5E39">
      <w:pPr>
        <w:ind w:left="284" w:right="283"/>
        <w:jc w:val="both"/>
        <w:rPr>
          <w:rFonts w:ascii="Gotham" w:hAnsi="Gotham" w:cs="Arial"/>
          <w:b/>
          <w:sz w:val="19"/>
          <w:szCs w:val="19"/>
        </w:rPr>
      </w:pPr>
    </w:p>
    <w:p w14:paraId="3A4757CC"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48.</w:t>
      </w:r>
      <w:r w:rsidRPr="00CB0307">
        <w:rPr>
          <w:rFonts w:ascii="Gotham" w:hAnsi="Gotham" w:cs="Arial"/>
          <w:sz w:val="19"/>
          <w:szCs w:val="19"/>
        </w:rPr>
        <w:t xml:space="preserve"> Sin previa autorización de la autoridad competente, queda prohibido la circulación en el polígono del centro histórico del Municipio de Tonalá a todo vehículo pesado y/o de carga, ya sean públicos y/o privados y/o empresarial y/o de distribución, exceptuando a todos los vehículos de emergencias; que por su dimensión con una capacidad de carga pesada puedan ocasionar daños a la infraestructura vial.</w:t>
      </w:r>
    </w:p>
    <w:p w14:paraId="3A4757CD" w14:textId="77777777" w:rsidR="009B5E39" w:rsidRPr="00CB0307" w:rsidRDefault="009B5E39" w:rsidP="009B5E39">
      <w:pPr>
        <w:ind w:left="284" w:right="283"/>
        <w:jc w:val="both"/>
        <w:rPr>
          <w:rFonts w:ascii="Gotham" w:hAnsi="Gotham" w:cs="Arial"/>
          <w:sz w:val="19"/>
          <w:szCs w:val="19"/>
        </w:rPr>
      </w:pPr>
    </w:p>
    <w:p w14:paraId="3A4757CE"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Independientemente de la sanción impuesta, deberá cubrir con los daños ocasionados a la infraestructura vial, acorde al Artículo 71.</w:t>
      </w:r>
    </w:p>
    <w:p w14:paraId="3A4757CF" w14:textId="77777777" w:rsidR="009B5E39" w:rsidRPr="00CB0307" w:rsidRDefault="009B5E39" w:rsidP="009B5E39">
      <w:pPr>
        <w:ind w:left="284" w:right="283"/>
        <w:jc w:val="both"/>
        <w:rPr>
          <w:rFonts w:ascii="Gotham" w:hAnsi="Gotham" w:cs="Arial"/>
          <w:b/>
          <w:sz w:val="19"/>
          <w:szCs w:val="19"/>
        </w:rPr>
      </w:pPr>
    </w:p>
    <w:p w14:paraId="3A4757D0" w14:textId="77777777" w:rsidR="009B5E39" w:rsidRPr="00CB0307" w:rsidRDefault="009B5E39" w:rsidP="009B5E39">
      <w:pPr>
        <w:ind w:left="284" w:right="283"/>
        <w:jc w:val="both"/>
        <w:rPr>
          <w:rFonts w:ascii="Gotham" w:hAnsi="Gotham" w:cs="Arial"/>
          <w:b/>
          <w:sz w:val="19"/>
          <w:szCs w:val="19"/>
          <w:highlight w:val="cyan"/>
        </w:rPr>
      </w:pPr>
      <w:r w:rsidRPr="00CB0307">
        <w:rPr>
          <w:rFonts w:ascii="Gotham" w:hAnsi="Gotham" w:cs="Arial"/>
          <w:b/>
          <w:sz w:val="19"/>
          <w:szCs w:val="19"/>
        </w:rPr>
        <w:t>Artículo 49.</w:t>
      </w:r>
      <w:r w:rsidRPr="00CB0307">
        <w:rPr>
          <w:rFonts w:ascii="Gotham" w:hAnsi="Gotham" w:cs="Arial"/>
          <w:sz w:val="19"/>
          <w:szCs w:val="19"/>
        </w:rPr>
        <w:t xml:space="preserve"> La Dirección podrá impulsar, analizar y proponer proyectos para determinar, autorizar y emitir opinión técnica de las zonas de tráfico limitado o regulado.</w:t>
      </w:r>
    </w:p>
    <w:p w14:paraId="3A4757D1" w14:textId="77777777" w:rsidR="009B5E39" w:rsidRPr="00CB0307" w:rsidRDefault="009B5E39" w:rsidP="009B5E39">
      <w:pPr>
        <w:ind w:left="284" w:right="283"/>
        <w:jc w:val="both"/>
        <w:rPr>
          <w:rFonts w:ascii="Gotham" w:hAnsi="Gotham" w:cs="Arial"/>
          <w:b/>
          <w:sz w:val="19"/>
          <w:szCs w:val="19"/>
          <w:highlight w:val="green"/>
        </w:rPr>
      </w:pPr>
    </w:p>
    <w:p w14:paraId="3A4757D2" w14:textId="77777777" w:rsidR="009B5E39" w:rsidRPr="00CB0307" w:rsidRDefault="009B5E39" w:rsidP="009B5E39">
      <w:pPr>
        <w:ind w:left="284" w:right="283"/>
        <w:jc w:val="both"/>
        <w:rPr>
          <w:rFonts w:ascii="Gotham" w:hAnsi="Gotham" w:cs="Arial"/>
          <w:b/>
          <w:sz w:val="19"/>
          <w:szCs w:val="19"/>
          <w:highlight w:val="cyan"/>
        </w:rPr>
      </w:pPr>
      <w:r w:rsidRPr="00CB0307">
        <w:rPr>
          <w:rFonts w:ascii="Gotham" w:hAnsi="Gotham" w:cs="Arial"/>
          <w:b/>
          <w:sz w:val="19"/>
          <w:szCs w:val="19"/>
        </w:rPr>
        <w:t>Artículo 50.</w:t>
      </w:r>
      <w:r w:rsidRPr="00CB0307">
        <w:rPr>
          <w:rFonts w:ascii="Gotham" w:hAnsi="Gotham" w:cs="Arial"/>
          <w:sz w:val="19"/>
          <w:szCs w:val="19"/>
        </w:rPr>
        <w:t xml:space="preserve"> La Dirección podrá impulsar, analizar y proponer proyectos para determinar autorizar y dar opinión técnica en andadores peatonales</w:t>
      </w:r>
    </w:p>
    <w:p w14:paraId="3A4757D3" w14:textId="77777777" w:rsidR="009B5E39" w:rsidRPr="00CB0307" w:rsidRDefault="009B5E39" w:rsidP="009B5E39">
      <w:pPr>
        <w:ind w:left="284" w:right="283"/>
        <w:jc w:val="both"/>
        <w:rPr>
          <w:rFonts w:ascii="Gotham" w:hAnsi="Gotham" w:cs="Arial"/>
          <w:b/>
          <w:sz w:val="19"/>
          <w:szCs w:val="19"/>
        </w:rPr>
      </w:pPr>
    </w:p>
    <w:p w14:paraId="3A4757D4"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51.</w:t>
      </w:r>
      <w:r w:rsidRPr="00CB0307">
        <w:rPr>
          <w:rFonts w:ascii="Gotham" w:hAnsi="Gotham" w:cs="Arial"/>
          <w:sz w:val="19"/>
          <w:szCs w:val="19"/>
        </w:rPr>
        <w:t xml:space="preserve"> La Dirección podrá proponer, promover, impulsar, gestionar autorizar y opinión técnica en zonas con potencial de desarrollo orientado al transporte sustentable.</w:t>
      </w:r>
    </w:p>
    <w:p w14:paraId="3A4757D5" w14:textId="77777777" w:rsidR="009B5E39" w:rsidRPr="00CB0307" w:rsidRDefault="009B5E39" w:rsidP="009B5E39">
      <w:pPr>
        <w:ind w:left="284" w:right="283"/>
        <w:jc w:val="both"/>
        <w:rPr>
          <w:rFonts w:ascii="Gotham" w:hAnsi="Gotham" w:cs="Arial"/>
          <w:sz w:val="19"/>
          <w:szCs w:val="19"/>
        </w:rPr>
      </w:pPr>
    </w:p>
    <w:p w14:paraId="3A4757D6"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52.</w:t>
      </w:r>
      <w:r w:rsidRPr="00CB0307">
        <w:rPr>
          <w:rFonts w:ascii="Gotham" w:hAnsi="Gotham" w:cs="Arial"/>
          <w:sz w:val="19"/>
          <w:szCs w:val="19"/>
        </w:rPr>
        <w:t xml:space="preserve"> La Dirección podrá intervenir en los proyectos de zonas con potencial de desarrollo señaladas en los Planes de Desarrollo Urbano de Centro de Población y Planes Parciales de Desarrollo Urbano para lo cual estará facultado, para: </w:t>
      </w:r>
    </w:p>
    <w:p w14:paraId="3A4757D7" w14:textId="77777777" w:rsidR="009B5E39" w:rsidRPr="00CB0307" w:rsidRDefault="009B5E39" w:rsidP="009B5E39">
      <w:pPr>
        <w:ind w:left="284" w:right="283"/>
        <w:jc w:val="both"/>
        <w:rPr>
          <w:rFonts w:ascii="Gotham" w:hAnsi="Gotham" w:cs="Arial"/>
          <w:sz w:val="19"/>
          <w:szCs w:val="19"/>
        </w:rPr>
      </w:pPr>
    </w:p>
    <w:p w14:paraId="3A4757D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 xml:space="preserve">Impulsar proyectos para mitigar el impacto vial en las zonas; </w:t>
      </w:r>
    </w:p>
    <w:p w14:paraId="3A4757D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Gestionar con las autoridades competentes los elementos que puedan consolidar la seguridad dentro de las zonas con potencial de desarrollo;</w:t>
      </w:r>
    </w:p>
    <w:p w14:paraId="3A4757D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Analizar los proyectos de impacto vial presentado por el solicitante y generar propuestas en conjunto con este;</w:t>
      </w:r>
    </w:p>
    <w:p w14:paraId="3A4757D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 xml:space="preserve">Emitir las recomendaciones en materia de movilidad que se deberán cumplir para que puedan desarrollarse; y </w:t>
      </w:r>
    </w:p>
    <w:p w14:paraId="3A4757D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Dictaminar y regular los horarios, en las zonas y las vías por las cuales transitará el transporte de carga en estas zonas.</w:t>
      </w:r>
    </w:p>
    <w:p w14:paraId="3A4757DD" w14:textId="77777777" w:rsidR="009B5E39" w:rsidRDefault="009B5E39" w:rsidP="009B5E39">
      <w:pPr>
        <w:ind w:left="284" w:right="283"/>
        <w:jc w:val="both"/>
        <w:rPr>
          <w:rFonts w:ascii="Gotham" w:hAnsi="Gotham" w:cs="Arial"/>
          <w:sz w:val="19"/>
          <w:szCs w:val="19"/>
        </w:rPr>
      </w:pPr>
    </w:p>
    <w:p w14:paraId="3A4757DE" w14:textId="77777777" w:rsidR="009B5E39" w:rsidRPr="00CB0307" w:rsidRDefault="009B5E39" w:rsidP="009B5E39">
      <w:pPr>
        <w:ind w:left="284" w:right="283"/>
        <w:jc w:val="both"/>
        <w:rPr>
          <w:rFonts w:ascii="Gotham" w:hAnsi="Gotham" w:cs="Arial"/>
          <w:sz w:val="19"/>
          <w:szCs w:val="19"/>
        </w:rPr>
      </w:pPr>
    </w:p>
    <w:p w14:paraId="3A4757DF"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III</w:t>
      </w:r>
    </w:p>
    <w:p w14:paraId="3A4757E0"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LA EDUCACIÓN, CULTURA Y SEGURIDAD VIAL</w:t>
      </w:r>
    </w:p>
    <w:p w14:paraId="3A4757E1" w14:textId="77777777" w:rsidR="009B5E39" w:rsidRPr="00CB0307" w:rsidRDefault="009B5E39" w:rsidP="009B5E39">
      <w:pPr>
        <w:ind w:left="284" w:right="283"/>
        <w:jc w:val="both"/>
        <w:rPr>
          <w:rFonts w:ascii="Gotham" w:hAnsi="Gotham" w:cs="Arial"/>
          <w:sz w:val="19"/>
          <w:szCs w:val="19"/>
        </w:rPr>
      </w:pPr>
    </w:p>
    <w:p w14:paraId="3A4757E2"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lastRenderedPageBreak/>
        <w:t>Artículo 53</w:t>
      </w:r>
      <w:r w:rsidRPr="00CB0307">
        <w:rPr>
          <w:rFonts w:ascii="Gotham" w:hAnsi="Gotham" w:cs="Arial"/>
          <w:sz w:val="19"/>
          <w:szCs w:val="19"/>
        </w:rPr>
        <w:t>. La cultura vial es el conjunto de hábitos, conductas y acciones que de forma individual o colectiva definen a la sociedad respecto a la manera en que se moviliza, tomando como base los derechos y obligaciones particulares de cada sujeto.</w:t>
      </w:r>
    </w:p>
    <w:p w14:paraId="3A4757E3" w14:textId="77777777" w:rsidR="009B5E39" w:rsidRPr="00CB0307" w:rsidRDefault="009B5E39" w:rsidP="009B5E39">
      <w:pPr>
        <w:ind w:left="284" w:right="283"/>
        <w:jc w:val="both"/>
        <w:rPr>
          <w:rFonts w:ascii="Gotham" w:hAnsi="Gotham" w:cs="Arial"/>
          <w:sz w:val="19"/>
          <w:szCs w:val="19"/>
        </w:rPr>
      </w:pPr>
    </w:p>
    <w:p w14:paraId="3A4757E4"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La seguridad vial, tiene el fin de proteger la vida, la integridad física y el patrimonio de los sujetos de la movilidad mediante acciones tendientes a prevenir, educar, divulgar, concientizar a la población en la forma de prevenir los accidentes en las vías públicas, el impacto ambiental y mejorar la calidad de vida.</w:t>
      </w:r>
    </w:p>
    <w:p w14:paraId="3A4757E5" w14:textId="77777777" w:rsidR="009B5E39" w:rsidRPr="00CB0307" w:rsidRDefault="009B5E39" w:rsidP="009B5E39">
      <w:pPr>
        <w:ind w:left="284" w:right="283"/>
        <w:jc w:val="both"/>
        <w:rPr>
          <w:rFonts w:ascii="Gotham" w:hAnsi="Gotham" w:cs="Arial"/>
          <w:sz w:val="19"/>
          <w:szCs w:val="19"/>
        </w:rPr>
      </w:pPr>
    </w:p>
    <w:p w14:paraId="3A4757E6"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 xml:space="preserve">Se deberá de buscar incentivar la disminución del uso de los vehículos motorizados, favoreciendo formas de movilidad de menores impactos ecológicos y sociales. </w:t>
      </w:r>
    </w:p>
    <w:p w14:paraId="3A4757E7" w14:textId="77777777" w:rsidR="009B5E39" w:rsidRPr="00CB0307" w:rsidRDefault="009B5E39" w:rsidP="009B5E39">
      <w:pPr>
        <w:ind w:left="284" w:right="283"/>
        <w:jc w:val="both"/>
        <w:rPr>
          <w:rFonts w:ascii="Gotham" w:hAnsi="Gotham" w:cs="Arial"/>
          <w:b/>
          <w:sz w:val="19"/>
          <w:szCs w:val="19"/>
        </w:rPr>
      </w:pPr>
    </w:p>
    <w:p w14:paraId="3A4757E8"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54.</w:t>
      </w:r>
      <w:r w:rsidRPr="00CB0307">
        <w:rPr>
          <w:rFonts w:ascii="Gotham" w:hAnsi="Gotham" w:cs="Arial"/>
          <w:sz w:val="19"/>
          <w:szCs w:val="19"/>
        </w:rPr>
        <w:t xml:space="preserve"> La Dirección propondrá acciones institucionales que beneficien en la optimización de los valores viales a través de las siguientes directrices:</w:t>
      </w:r>
    </w:p>
    <w:p w14:paraId="3A4757E9" w14:textId="77777777" w:rsidR="009B5E39" w:rsidRPr="00CB0307" w:rsidRDefault="009B5E39" w:rsidP="009B5E39">
      <w:pPr>
        <w:ind w:left="284" w:right="283"/>
        <w:jc w:val="both"/>
        <w:rPr>
          <w:rFonts w:ascii="Gotham" w:hAnsi="Gotham" w:cs="Arial"/>
          <w:sz w:val="19"/>
          <w:szCs w:val="19"/>
        </w:rPr>
      </w:pPr>
    </w:p>
    <w:p w14:paraId="3A4757E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Realización de estudios y análisis en materia de cultura y seguridad vial, que detecten la interacción entre los sujetos de la movilidad, las vías y los vehículos;</w:t>
      </w:r>
    </w:p>
    <w:p w14:paraId="3A4757E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 xml:space="preserve">Diseñar las campañas de difusión y educativas para la convivencia de los distintos medios de traslado donde se fomente el uso del transporte público y los sistemas de desplazamiento no motorizados; </w:t>
      </w:r>
    </w:p>
    <w:p w14:paraId="3A4757E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Dar a conocer entre los sujetos de la movilidad, sus derechos y obligaciones, así como la importancia y significado de las señales viales en las vías públicas;</w:t>
      </w:r>
    </w:p>
    <w:p w14:paraId="3A4757E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 xml:space="preserve">Realizar la socializar los marcos jurídicos y políticas públicas, que beneficien la protección y la infraestructura de los sujetos de la movilidad </w:t>
      </w:r>
    </w:p>
    <w:p w14:paraId="3A4757E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Proponer las mejores prácticas en la vía pública, orientadas a la prevención.</w:t>
      </w:r>
    </w:p>
    <w:p w14:paraId="3A4757E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Actuar en el ámbito de la formación de la cultura vial a todos los niveles educativos, así como proporcionar capacitación especializada a los ciudadanos, para introducir los valores de la seguridad vial en los diferentes grupos de la sociedad;</w:t>
      </w:r>
    </w:p>
    <w:p w14:paraId="3A4757F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Impulsar la coordinación y la colaboración entre los actores interesados en la seguridad vial, a nivel local, nacional e internacional;</w:t>
      </w:r>
    </w:p>
    <w:p w14:paraId="3A4757F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VIII. </w:t>
      </w:r>
      <w:r>
        <w:rPr>
          <w:rFonts w:ascii="Gotham" w:hAnsi="Gotham" w:cs="Arial"/>
          <w:sz w:val="19"/>
          <w:szCs w:val="19"/>
        </w:rPr>
        <w:tab/>
      </w:r>
      <w:r w:rsidRPr="00CB0307">
        <w:rPr>
          <w:rFonts w:ascii="Gotham" w:hAnsi="Gotham" w:cs="Arial"/>
          <w:sz w:val="19"/>
          <w:szCs w:val="19"/>
        </w:rPr>
        <w:t>Fomentar la certificación de las instituciones y organismos interesados en la seguridad vial; y</w:t>
      </w:r>
    </w:p>
    <w:p w14:paraId="3A4757F2" w14:textId="77777777" w:rsidR="009B5E39" w:rsidRPr="00CB0307" w:rsidRDefault="009B5E39" w:rsidP="009B5E39">
      <w:pPr>
        <w:ind w:left="1134" w:right="283" w:hanging="850"/>
        <w:jc w:val="both"/>
        <w:rPr>
          <w:rFonts w:ascii="Gotham" w:hAnsi="Gotham" w:cs="Arial"/>
          <w:b/>
          <w:sz w:val="19"/>
          <w:szCs w:val="19"/>
        </w:rPr>
      </w:pPr>
      <w:r w:rsidRPr="00CB0307">
        <w:rPr>
          <w:rFonts w:ascii="Gotham" w:hAnsi="Gotham" w:cs="Arial"/>
          <w:sz w:val="19"/>
          <w:szCs w:val="19"/>
        </w:rPr>
        <w:t xml:space="preserve">IX. </w:t>
      </w:r>
      <w:r>
        <w:rPr>
          <w:rFonts w:ascii="Gotham" w:hAnsi="Gotham" w:cs="Arial"/>
          <w:sz w:val="19"/>
          <w:szCs w:val="19"/>
        </w:rPr>
        <w:tab/>
      </w:r>
      <w:r w:rsidRPr="00CB0307">
        <w:rPr>
          <w:rFonts w:ascii="Gotham" w:hAnsi="Gotham" w:cs="Arial"/>
          <w:sz w:val="19"/>
          <w:szCs w:val="19"/>
        </w:rPr>
        <w:t>Generar campañas que fomenten los valores de seguridad vial e incidan en la reducción de los siniestros viales.</w:t>
      </w:r>
    </w:p>
    <w:p w14:paraId="3A4757F3" w14:textId="77777777" w:rsidR="009B5E39" w:rsidRDefault="009B5E39" w:rsidP="009B5E39">
      <w:pPr>
        <w:ind w:left="284" w:right="283"/>
        <w:rPr>
          <w:rFonts w:ascii="Gotham" w:hAnsi="Gotham" w:cs="Arial"/>
          <w:b/>
          <w:sz w:val="19"/>
          <w:szCs w:val="19"/>
        </w:rPr>
      </w:pPr>
    </w:p>
    <w:p w14:paraId="3A4757F4" w14:textId="77777777" w:rsidR="009B5E39" w:rsidRPr="00CB0307" w:rsidRDefault="009B5E39" w:rsidP="009B5E39">
      <w:pPr>
        <w:ind w:left="284" w:right="283"/>
        <w:rPr>
          <w:rFonts w:ascii="Gotham" w:hAnsi="Gotham" w:cs="Arial"/>
          <w:b/>
          <w:sz w:val="19"/>
          <w:szCs w:val="19"/>
        </w:rPr>
      </w:pPr>
    </w:p>
    <w:p w14:paraId="3A4757F5"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IV</w:t>
      </w:r>
    </w:p>
    <w:p w14:paraId="3A4757F6"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LA INFRAESTRUCTURA PEATONAL</w:t>
      </w:r>
    </w:p>
    <w:p w14:paraId="3A4757F7" w14:textId="77777777" w:rsidR="009B5E39" w:rsidRPr="00CB0307" w:rsidRDefault="009B5E39" w:rsidP="009B5E39">
      <w:pPr>
        <w:ind w:left="284" w:right="283"/>
        <w:rPr>
          <w:rFonts w:ascii="Gotham" w:hAnsi="Gotham" w:cs="Arial"/>
          <w:sz w:val="19"/>
          <w:szCs w:val="19"/>
        </w:rPr>
      </w:pPr>
    </w:p>
    <w:p w14:paraId="3A4757F8"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55</w:t>
      </w:r>
      <w:r w:rsidRPr="00CB0307">
        <w:rPr>
          <w:rFonts w:ascii="Gotham" w:hAnsi="Gotham" w:cs="Arial"/>
          <w:sz w:val="19"/>
          <w:szCs w:val="19"/>
        </w:rPr>
        <w:t>. La banqueta deberá ser accesible para el transito libre por lo que debe cumplir con las siguientes condiciones:</w:t>
      </w:r>
    </w:p>
    <w:p w14:paraId="3A4757F9" w14:textId="77777777" w:rsidR="009B5E39" w:rsidRPr="00CB0307" w:rsidRDefault="009B5E39" w:rsidP="009B5E39">
      <w:pPr>
        <w:ind w:left="284" w:right="283"/>
        <w:jc w:val="both"/>
        <w:rPr>
          <w:rFonts w:ascii="Gotham" w:hAnsi="Gotham" w:cs="Arial"/>
          <w:sz w:val="19"/>
          <w:szCs w:val="19"/>
        </w:rPr>
      </w:pPr>
    </w:p>
    <w:p w14:paraId="3A4757F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Estar en condiciones de accesibilidad y no discriminación, independientemente de sus características o modo de desplazamiento;</w:t>
      </w:r>
    </w:p>
    <w:p w14:paraId="3A4757F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Debe permanecer libre de obstáculos o barreras que impidan o dificulten la circulación sobre las mismas;</w:t>
      </w:r>
    </w:p>
    <w:p w14:paraId="3A4757F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Deben cumplir con el ancho mínimo acorde a la jerarquía vial a la que pertenezcan;</w:t>
      </w:r>
    </w:p>
    <w:p w14:paraId="3A4757F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lastRenderedPageBreak/>
        <w:t xml:space="preserve">IV. </w:t>
      </w:r>
      <w:r>
        <w:rPr>
          <w:rFonts w:ascii="Gotham" w:hAnsi="Gotham" w:cs="Arial"/>
          <w:sz w:val="19"/>
          <w:szCs w:val="19"/>
        </w:rPr>
        <w:tab/>
      </w:r>
      <w:r w:rsidRPr="00CB0307">
        <w:rPr>
          <w:rFonts w:ascii="Gotham" w:hAnsi="Gotham" w:cs="Arial"/>
          <w:sz w:val="19"/>
          <w:szCs w:val="19"/>
        </w:rPr>
        <w:t>La franja de circulación peatonal debe ser de al menos 1.50 metros. En áreas urbanizadas cuando se pruebe que es imposible cumplir con el ancho mínimo se requiere del visto bueno de la dirección para considerar un ajuste en el ancho de la misma;</w:t>
      </w:r>
    </w:p>
    <w:p w14:paraId="3A4757F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Los árboles, jardineras o elementos vegetales no deben formar parte del ancho de circulación ni invadir el mismo;</w:t>
      </w:r>
    </w:p>
    <w:p w14:paraId="3A4757F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VI. </w:t>
      </w:r>
      <w:r>
        <w:rPr>
          <w:rFonts w:ascii="Gotham" w:hAnsi="Gotham" w:cs="Arial"/>
          <w:sz w:val="19"/>
          <w:szCs w:val="19"/>
        </w:rPr>
        <w:tab/>
      </w:r>
      <w:r w:rsidRPr="00CB0307">
        <w:rPr>
          <w:rFonts w:ascii="Gotham" w:hAnsi="Gotham" w:cs="Arial"/>
          <w:sz w:val="19"/>
          <w:szCs w:val="19"/>
        </w:rPr>
        <w:t>Los espacios de carga y descarga no deben estar sobre la banqueta para evitar encuentros entre peatones y vehículos sobre la misma; y</w:t>
      </w:r>
    </w:p>
    <w:p w14:paraId="3A475800"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VII. </w:t>
      </w:r>
      <w:r>
        <w:rPr>
          <w:rFonts w:ascii="Gotham" w:hAnsi="Gotham" w:cs="Arial"/>
          <w:sz w:val="19"/>
          <w:szCs w:val="19"/>
        </w:rPr>
        <w:tab/>
      </w:r>
      <w:r w:rsidRPr="00CB0307">
        <w:rPr>
          <w:rFonts w:ascii="Gotham" w:hAnsi="Gotham" w:cs="Arial"/>
          <w:sz w:val="19"/>
          <w:szCs w:val="19"/>
        </w:rPr>
        <w:t>Se deben cumplir con los lineamientos de la norma técnica aplicable.</w:t>
      </w:r>
    </w:p>
    <w:p w14:paraId="3A475801" w14:textId="77777777" w:rsidR="009B5E39" w:rsidRPr="00CB0307" w:rsidRDefault="009B5E39" w:rsidP="009B5E39">
      <w:pPr>
        <w:ind w:left="284" w:right="283"/>
        <w:jc w:val="both"/>
        <w:rPr>
          <w:rFonts w:ascii="Gotham" w:hAnsi="Gotham" w:cs="Arial"/>
          <w:sz w:val="19"/>
          <w:szCs w:val="19"/>
        </w:rPr>
      </w:pPr>
    </w:p>
    <w:p w14:paraId="3A475802"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La instalación de mobiliario urbano como son postes, equipo y registros de energía eléctrica, así como de telecomunicaciones, sean superficial como subterráneo en banquetas debe contar con el visto bueno de la Dirección.</w:t>
      </w:r>
    </w:p>
    <w:p w14:paraId="3A475803" w14:textId="77777777" w:rsidR="009B5E39" w:rsidRPr="00CB0307" w:rsidRDefault="009B5E39" w:rsidP="009B5E39">
      <w:pPr>
        <w:ind w:left="284" w:right="283"/>
        <w:jc w:val="both"/>
        <w:rPr>
          <w:rFonts w:ascii="Gotham" w:hAnsi="Gotham" w:cs="Arial"/>
          <w:sz w:val="19"/>
          <w:szCs w:val="19"/>
        </w:rPr>
      </w:pPr>
    </w:p>
    <w:p w14:paraId="3A475804"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56</w:t>
      </w:r>
      <w:r w:rsidRPr="00CB0307">
        <w:rPr>
          <w:rFonts w:ascii="Gotham" w:hAnsi="Gotham" w:cs="Arial"/>
          <w:sz w:val="19"/>
          <w:szCs w:val="19"/>
        </w:rPr>
        <w:t>. El diseño, colocación y mantenimiento del mobiliario urbano, debe ubicarse sobre la franja destinada a estos elementos y por ningún motivo invadir la franja de circulación peatonal con ninguno de sus elementos que pongan en riesgo de accidentes a los usuarios.</w:t>
      </w:r>
    </w:p>
    <w:p w14:paraId="3A475805" w14:textId="77777777" w:rsidR="009B5E39" w:rsidRPr="00CB0307" w:rsidRDefault="009B5E39" w:rsidP="009B5E39">
      <w:pPr>
        <w:ind w:left="284" w:right="283"/>
        <w:jc w:val="both"/>
        <w:rPr>
          <w:rFonts w:ascii="Gotham" w:hAnsi="Gotham" w:cs="Arial"/>
          <w:sz w:val="19"/>
          <w:szCs w:val="19"/>
        </w:rPr>
      </w:pPr>
    </w:p>
    <w:p w14:paraId="3A475806"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57</w:t>
      </w:r>
      <w:r w:rsidRPr="00CB0307">
        <w:rPr>
          <w:rFonts w:ascii="Gotham" w:hAnsi="Gotham" w:cs="Arial"/>
          <w:sz w:val="19"/>
          <w:szCs w:val="19"/>
        </w:rPr>
        <w:t>. Los puntos de cruce deben asegurar el transito continuo de peatones de forma segura y autónoma en su desarrollo a lo largo de la línea de deseo peatonal.</w:t>
      </w:r>
    </w:p>
    <w:p w14:paraId="3A475807" w14:textId="77777777" w:rsidR="009B5E39" w:rsidRPr="00CB0307" w:rsidRDefault="009B5E39" w:rsidP="009B5E39">
      <w:pPr>
        <w:ind w:left="284" w:right="283"/>
        <w:jc w:val="both"/>
        <w:rPr>
          <w:rFonts w:ascii="Gotham" w:hAnsi="Gotham" w:cs="Arial"/>
          <w:sz w:val="19"/>
          <w:szCs w:val="19"/>
        </w:rPr>
      </w:pPr>
    </w:p>
    <w:p w14:paraId="3A475808"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58.</w:t>
      </w:r>
      <w:r w:rsidRPr="00CB0307">
        <w:rPr>
          <w:rFonts w:ascii="Gotham" w:hAnsi="Gotham" w:cs="Arial"/>
          <w:sz w:val="19"/>
          <w:szCs w:val="19"/>
        </w:rPr>
        <w:t xml:space="preserve"> Se prohíbe la colocación de elementos de vegetación, mobiliario urbano o cualquier otro elemento que obstaculice la línea de visión superior a los ochenta centímetros en los perímetros, y primeros nueve metros de las esquinas.</w:t>
      </w:r>
    </w:p>
    <w:p w14:paraId="3A475809" w14:textId="77777777" w:rsidR="009B5E39" w:rsidRPr="00CB0307" w:rsidRDefault="009B5E39" w:rsidP="009B5E39">
      <w:pPr>
        <w:ind w:left="284" w:right="283"/>
        <w:jc w:val="both"/>
        <w:rPr>
          <w:rFonts w:ascii="Gotham" w:hAnsi="Gotham" w:cs="Arial"/>
          <w:sz w:val="19"/>
          <w:szCs w:val="19"/>
        </w:rPr>
      </w:pPr>
    </w:p>
    <w:p w14:paraId="3A47580A"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59</w:t>
      </w:r>
      <w:r w:rsidRPr="00CB0307">
        <w:rPr>
          <w:rFonts w:ascii="Gotham" w:hAnsi="Gotham" w:cs="Arial"/>
          <w:sz w:val="19"/>
          <w:szCs w:val="19"/>
        </w:rPr>
        <w:t>. Las rampas vehiculares no deben invadir la franja de circulación vehicular ni alterar las pendientes longitudinales y transversales de las banquetas, se deberán de ubicar sobre la franja destina al mobiliario o arbolado y estas deberán ser menores al treinta por ciento de la sección de la baqueta.</w:t>
      </w:r>
    </w:p>
    <w:p w14:paraId="3A47580B" w14:textId="77777777" w:rsidR="009B5E39" w:rsidRPr="00CB0307" w:rsidRDefault="009B5E39" w:rsidP="009B5E39">
      <w:pPr>
        <w:ind w:left="284" w:right="283"/>
        <w:jc w:val="both"/>
        <w:rPr>
          <w:rFonts w:ascii="Gotham" w:hAnsi="Gotham" w:cs="Arial"/>
          <w:sz w:val="19"/>
          <w:szCs w:val="19"/>
        </w:rPr>
      </w:pPr>
    </w:p>
    <w:p w14:paraId="3A47580C"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60</w:t>
      </w:r>
      <w:r w:rsidRPr="00CB0307">
        <w:rPr>
          <w:rFonts w:ascii="Gotham" w:hAnsi="Gotham" w:cs="Arial"/>
          <w:sz w:val="19"/>
          <w:szCs w:val="19"/>
        </w:rPr>
        <w:t>. Los pasos peatonales se definen como los espacios ubicados sobre la vialidad compartidos por peatones y vehículos en los puntos de cruce entre la banqueta y los carriles de circulación vehicular, deben cumplir con las siguientes características:</w:t>
      </w:r>
    </w:p>
    <w:p w14:paraId="3A47580D" w14:textId="77777777" w:rsidR="009B5E39" w:rsidRPr="00CB0307" w:rsidRDefault="009B5E39" w:rsidP="009B5E39">
      <w:pPr>
        <w:ind w:left="284" w:right="283"/>
        <w:jc w:val="both"/>
        <w:rPr>
          <w:rFonts w:ascii="Gotham" w:hAnsi="Gotham" w:cs="Arial"/>
          <w:sz w:val="19"/>
          <w:szCs w:val="19"/>
        </w:rPr>
      </w:pPr>
    </w:p>
    <w:p w14:paraId="3A47580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Deben ubicarse en lugares que permitan hacer la distancia más corta para cruzar de un punto a otro, priorizando el tránsito peatonal y su seguridad;</w:t>
      </w:r>
    </w:p>
    <w:p w14:paraId="3A47580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Sus componentes deben asegurar la visibilidad tanto para que los peatones puedan ver los vehículos y viceversa;</w:t>
      </w:r>
    </w:p>
    <w:p w14:paraId="3A47581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Deben tener un ancho de paso no inferior al de los planos inclinados de la rampa peatonal que los limitan y su trazado debe ser perpendicular a la banqueta respetando la línea de deseo peatonal;</w:t>
      </w:r>
    </w:p>
    <w:p w14:paraId="3A47581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IV. </w:t>
      </w:r>
      <w:r>
        <w:rPr>
          <w:rFonts w:ascii="Gotham" w:hAnsi="Gotham" w:cs="Arial"/>
          <w:sz w:val="19"/>
          <w:szCs w:val="19"/>
        </w:rPr>
        <w:tab/>
      </w:r>
      <w:r w:rsidRPr="00CB0307">
        <w:rPr>
          <w:rFonts w:ascii="Gotham" w:hAnsi="Gotham" w:cs="Arial"/>
          <w:sz w:val="19"/>
          <w:szCs w:val="19"/>
        </w:rPr>
        <w:t>Disponer de señalización horizontal con pintura, elementos reflejantes y señalización vertical; y</w:t>
      </w:r>
    </w:p>
    <w:p w14:paraId="3A475812"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V. </w:t>
      </w:r>
      <w:r>
        <w:rPr>
          <w:rFonts w:ascii="Gotham" w:hAnsi="Gotham" w:cs="Arial"/>
          <w:sz w:val="19"/>
          <w:szCs w:val="19"/>
        </w:rPr>
        <w:tab/>
      </w:r>
      <w:r w:rsidRPr="00CB0307">
        <w:rPr>
          <w:rFonts w:ascii="Gotham" w:hAnsi="Gotham" w:cs="Arial"/>
          <w:sz w:val="19"/>
          <w:szCs w:val="19"/>
        </w:rPr>
        <w:t>En caso de no ser posible salvar el desnivel entre banqueta y arroyo vial mediante una rampa peatonal con los criterios establecidos en el presente, se debe elevar el paso peatonal al nivel de las banquetas.</w:t>
      </w:r>
    </w:p>
    <w:p w14:paraId="3A475813" w14:textId="77777777" w:rsidR="009B5E39" w:rsidRPr="00CB0307" w:rsidRDefault="009B5E39" w:rsidP="009B5E39">
      <w:pPr>
        <w:ind w:left="284" w:right="283"/>
        <w:jc w:val="both"/>
        <w:rPr>
          <w:rFonts w:ascii="Gotham" w:hAnsi="Gotham" w:cs="Arial"/>
          <w:sz w:val="19"/>
          <w:szCs w:val="19"/>
        </w:rPr>
      </w:pPr>
    </w:p>
    <w:p w14:paraId="3A475814"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61.</w:t>
      </w:r>
      <w:r w:rsidRPr="00CB0307">
        <w:rPr>
          <w:rFonts w:ascii="Gotham" w:hAnsi="Gotham" w:cs="Arial"/>
          <w:sz w:val="19"/>
          <w:szCs w:val="19"/>
        </w:rPr>
        <w:t xml:space="preserve"> En caso de que se produzca una diferencia de nivel entre la banqueta y un predio, dicho desnivel debe ser resuelto dentro de los límites del predio y nunca alterando la pendiente longitudinal y transversal de la banqueta, así como su ancho para adaptarse a la edificación.</w:t>
      </w:r>
    </w:p>
    <w:p w14:paraId="3A475815" w14:textId="77777777" w:rsidR="009B5E39" w:rsidRPr="00CB0307" w:rsidRDefault="009B5E39" w:rsidP="009B5E39">
      <w:pPr>
        <w:ind w:left="284" w:right="283"/>
        <w:jc w:val="both"/>
        <w:rPr>
          <w:rFonts w:ascii="Gotham" w:hAnsi="Gotham" w:cs="Arial"/>
          <w:sz w:val="19"/>
          <w:szCs w:val="19"/>
        </w:rPr>
      </w:pPr>
    </w:p>
    <w:p w14:paraId="3A475816"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lastRenderedPageBreak/>
        <w:t>Artículo 62</w:t>
      </w:r>
      <w:r w:rsidRPr="00CB0307">
        <w:rPr>
          <w:rFonts w:ascii="Gotham" w:hAnsi="Gotham" w:cs="Arial"/>
          <w:sz w:val="19"/>
          <w:szCs w:val="19"/>
        </w:rPr>
        <w:t>. Las paradas de espera del transporte público deben cumplir con los lineamientos señalados en la norma técnica aplicable.</w:t>
      </w:r>
    </w:p>
    <w:p w14:paraId="3A475817" w14:textId="77777777" w:rsidR="009B5E39" w:rsidRDefault="009B5E39" w:rsidP="009B5E39">
      <w:pPr>
        <w:ind w:left="284" w:right="283"/>
        <w:rPr>
          <w:rFonts w:ascii="Gotham" w:hAnsi="Gotham" w:cs="Arial"/>
          <w:sz w:val="19"/>
          <w:szCs w:val="19"/>
        </w:rPr>
      </w:pPr>
    </w:p>
    <w:p w14:paraId="3A475818" w14:textId="77777777" w:rsidR="009B5E39" w:rsidRPr="00CB0307" w:rsidRDefault="009B5E39" w:rsidP="009B5E39">
      <w:pPr>
        <w:ind w:left="284" w:right="283"/>
        <w:rPr>
          <w:rFonts w:ascii="Gotham" w:hAnsi="Gotham" w:cs="Arial"/>
          <w:sz w:val="19"/>
          <w:szCs w:val="19"/>
        </w:rPr>
      </w:pPr>
    </w:p>
    <w:p w14:paraId="3A475819"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TITULO V</w:t>
      </w:r>
    </w:p>
    <w:p w14:paraId="3A47581A"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DE LOS ESTACIONAMIENTOS, APLICACIÓN DE</w:t>
      </w:r>
    </w:p>
    <w:p w14:paraId="3A47581B"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SANCIONES Y MEDIDAS DE SEGURIDAD VIAL.</w:t>
      </w:r>
    </w:p>
    <w:p w14:paraId="3A47581C" w14:textId="77777777" w:rsidR="009B5E39" w:rsidRPr="00CB0307" w:rsidRDefault="009B5E39" w:rsidP="009B5E39">
      <w:pPr>
        <w:ind w:left="284" w:right="283"/>
        <w:jc w:val="center"/>
        <w:rPr>
          <w:rFonts w:ascii="Gotham" w:hAnsi="Gotham" w:cs="Arial"/>
          <w:b/>
          <w:bCs/>
          <w:sz w:val="19"/>
          <w:szCs w:val="19"/>
        </w:rPr>
      </w:pPr>
    </w:p>
    <w:p w14:paraId="3A47581D"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CAPÍTULO I</w:t>
      </w:r>
    </w:p>
    <w:p w14:paraId="3A47581E" w14:textId="77777777" w:rsidR="009B5E39" w:rsidRPr="00CB0307" w:rsidRDefault="009B5E39" w:rsidP="009B5E39">
      <w:pPr>
        <w:ind w:left="284" w:right="283"/>
        <w:jc w:val="center"/>
        <w:rPr>
          <w:rFonts w:ascii="Gotham" w:hAnsi="Gotham" w:cs="Arial"/>
          <w:b/>
          <w:bCs/>
          <w:sz w:val="19"/>
          <w:szCs w:val="19"/>
        </w:rPr>
      </w:pPr>
      <w:r w:rsidRPr="00CB0307">
        <w:rPr>
          <w:rFonts w:ascii="Gotham" w:hAnsi="Gotham" w:cs="Arial"/>
          <w:b/>
          <w:bCs/>
          <w:sz w:val="19"/>
          <w:szCs w:val="19"/>
        </w:rPr>
        <w:t>DISPOSICIONES GENERALES</w:t>
      </w:r>
    </w:p>
    <w:p w14:paraId="3A47581F" w14:textId="77777777" w:rsidR="009B5E39" w:rsidRPr="00CB0307" w:rsidRDefault="009B5E39" w:rsidP="009B5E39">
      <w:pPr>
        <w:ind w:left="284" w:right="283"/>
        <w:rPr>
          <w:rFonts w:ascii="Gotham" w:hAnsi="Gotham" w:cs="Arial"/>
          <w:sz w:val="19"/>
          <w:szCs w:val="19"/>
        </w:rPr>
      </w:pPr>
    </w:p>
    <w:p w14:paraId="3A475820"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63.</w:t>
      </w:r>
      <w:r w:rsidRPr="00CB0307">
        <w:rPr>
          <w:rFonts w:ascii="Gotham" w:hAnsi="Gotham" w:cs="Arial"/>
          <w:sz w:val="19"/>
          <w:szCs w:val="19"/>
        </w:rPr>
        <w:t xml:space="preserve"> Son autoridades competentes para ordenar y practicar visitas de inspección, ordenar la elaboración de actas administrativas, cédulas de notificación de infracción y medidas de seguridad por el incumplimiento a lo determinado en el presente Reglamento y leyes de aplicación municipal las siguientes:</w:t>
      </w:r>
    </w:p>
    <w:p w14:paraId="3A475821" w14:textId="77777777" w:rsidR="009B5E39" w:rsidRPr="00CB0307" w:rsidRDefault="009B5E39" w:rsidP="009B5E39">
      <w:pPr>
        <w:ind w:left="284" w:right="283"/>
        <w:jc w:val="both"/>
        <w:rPr>
          <w:rFonts w:ascii="Gotham" w:hAnsi="Gotham" w:cs="Arial"/>
          <w:sz w:val="19"/>
          <w:szCs w:val="19"/>
        </w:rPr>
      </w:pPr>
    </w:p>
    <w:p w14:paraId="3A475822" w14:textId="77777777" w:rsidR="009B5E39" w:rsidRPr="00CB0307" w:rsidRDefault="009B5E39" w:rsidP="009B5E39">
      <w:pPr>
        <w:spacing w:after="120"/>
        <w:ind w:left="1134" w:right="283" w:hanging="850"/>
        <w:jc w:val="both"/>
        <w:rPr>
          <w:rFonts w:ascii="Gotham" w:hAnsi="Gotham" w:cs="Arial"/>
          <w:b/>
          <w:bCs/>
          <w:sz w:val="19"/>
          <w:szCs w:val="19"/>
        </w:rPr>
      </w:pPr>
      <w:r w:rsidRPr="00CB0307">
        <w:rPr>
          <w:rFonts w:ascii="Gotham" w:hAnsi="Gotham" w:cs="Arial"/>
          <w:b/>
          <w:bCs/>
          <w:sz w:val="19"/>
          <w:szCs w:val="19"/>
        </w:rPr>
        <w:t xml:space="preserve">I. </w:t>
      </w:r>
      <w:r>
        <w:rPr>
          <w:rFonts w:ascii="Gotham" w:hAnsi="Gotham" w:cs="Arial"/>
          <w:b/>
          <w:bCs/>
          <w:sz w:val="19"/>
          <w:szCs w:val="19"/>
        </w:rPr>
        <w:tab/>
      </w:r>
      <w:r w:rsidRPr="00CB0307">
        <w:rPr>
          <w:rFonts w:ascii="Gotham" w:hAnsi="Gotham" w:cs="Arial"/>
          <w:b/>
          <w:bCs/>
          <w:sz w:val="19"/>
          <w:szCs w:val="19"/>
        </w:rPr>
        <w:t>Carácter de Ordenadoras</w:t>
      </w:r>
    </w:p>
    <w:p w14:paraId="3A475823"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a) </w:t>
      </w:r>
      <w:r>
        <w:rPr>
          <w:rFonts w:ascii="Gotham" w:hAnsi="Gotham" w:cs="Arial"/>
          <w:sz w:val="19"/>
          <w:szCs w:val="19"/>
        </w:rPr>
        <w:tab/>
      </w:r>
      <w:r w:rsidRPr="00CB0307">
        <w:rPr>
          <w:rFonts w:ascii="Gotham" w:hAnsi="Gotham" w:cs="Arial"/>
          <w:sz w:val="19"/>
          <w:szCs w:val="19"/>
        </w:rPr>
        <w:t>El Pleno del Ayuntamiento;</w:t>
      </w:r>
    </w:p>
    <w:p w14:paraId="3A475824"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b) </w:t>
      </w:r>
      <w:r>
        <w:rPr>
          <w:rFonts w:ascii="Gotham" w:hAnsi="Gotham" w:cs="Arial"/>
          <w:sz w:val="19"/>
          <w:szCs w:val="19"/>
        </w:rPr>
        <w:tab/>
      </w:r>
      <w:r w:rsidRPr="00CB0307">
        <w:rPr>
          <w:rFonts w:ascii="Gotham" w:hAnsi="Gotham" w:cs="Arial"/>
          <w:sz w:val="19"/>
          <w:szCs w:val="19"/>
        </w:rPr>
        <w:t>El Presidente Municipal;</w:t>
      </w:r>
    </w:p>
    <w:p w14:paraId="3A475825"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c) </w:t>
      </w:r>
      <w:r>
        <w:rPr>
          <w:rFonts w:ascii="Gotham" w:hAnsi="Gotham" w:cs="Arial"/>
          <w:sz w:val="19"/>
          <w:szCs w:val="19"/>
        </w:rPr>
        <w:tab/>
      </w:r>
      <w:r w:rsidRPr="00CB0307">
        <w:rPr>
          <w:rFonts w:ascii="Gotham" w:hAnsi="Gotham" w:cs="Arial"/>
          <w:sz w:val="19"/>
          <w:szCs w:val="19"/>
        </w:rPr>
        <w:t>El Secretario General;</w:t>
      </w:r>
    </w:p>
    <w:p w14:paraId="3A475826"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d) </w:t>
      </w:r>
      <w:r>
        <w:rPr>
          <w:rFonts w:ascii="Gotham" w:hAnsi="Gotham" w:cs="Arial"/>
          <w:sz w:val="19"/>
          <w:szCs w:val="19"/>
        </w:rPr>
        <w:tab/>
      </w:r>
      <w:r w:rsidRPr="00CB0307">
        <w:rPr>
          <w:rFonts w:ascii="Gotham" w:hAnsi="Gotham" w:cs="Arial"/>
          <w:sz w:val="19"/>
          <w:szCs w:val="19"/>
        </w:rPr>
        <w:t>Tesorero Municipal;</w:t>
      </w:r>
    </w:p>
    <w:p w14:paraId="3A475827"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e) </w:t>
      </w:r>
      <w:r>
        <w:rPr>
          <w:rFonts w:ascii="Gotham" w:hAnsi="Gotham" w:cs="Arial"/>
          <w:sz w:val="19"/>
          <w:szCs w:val="19"/>
        </w:rPr>
        <w:tab/>
      </w:r>
      <w:r w:rsidRPr="00CB0307">
        <w:rPr>
          <w:rFonts w:ascii="Gotham" w:hAnsi="Gotham" w:cs="Arial"/>
          <w:sz w:val="19"/>
          <w:szCs w:val="19"/>
        </w:rPr>
        <w:t>Director General de Servicios Públicos Municipales;</w:t>
      </w:r>
    </w:p>
    <w:p w14:paraId="3A475828"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f) </w:t>
      </w:r>
      <w:r>
        <w:rPr>
          <w:rFonts w:ascii="Gotham" w:hAnsi="Gotham" w:cs="Arial"/>
          <w:sz w:val="19"/>
          <w:szCs w:val="19"/>
        </w:rPr>
        <w:tab/>
      </w:r>
      <w:r w:rsidRPr="00CB0307">
        <w:rPr>
          <w:rFonts w:ascii="Gotham" w:hAnsi="Gotham" w:cs="Arial"/>
          <w:sz w:val="19"/>
          <w:szCs w:val="19"/>
        </w:rPr>
        <w:t xml:space="preserve">El titular de la Dirección de Planeación, Movilidad y Seguridad Vial; </w:t>
      </w:r>
    </w:p>
    <w:p w14:paraId="3A475829"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g) </w:t>
      </w:r>
      <w:r>
        <w:rPr>
          <w:rFonts w:ascii="Gotham" w:hAnsi="Gotham" w:cs="Arial"/>
          <w:sz w:val="19"/>
          <w:szCs w:val="19"/>
        </w:rPr>
        <w:tab/>
      </w:r>
      <w:r w:rsidRPr="00CB0307">
        <w:rPr>
          <w:rFonts w:ascii="Gotham" w:hAnsi="Gotham" w:cs="Arial"/>
          <w:sz w:val="19"/>
          <w:szCs w:val="19"/>
        </w:rPr>
        <w:t>Dirección de Ecología y Cambio Climático y</w:t>
      </w:r>
    </w:p>
    <w:p w14:paraId="3A47582A"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 xml:space="preserve">h) </w:t>
      </w:r>
      <w:r>
        <w:rPr>
          <w:rFonts w:ascii="Gotham" w:hAnsi="Gotham" w:cs="Arial"/>
          <w:sz w:val="19"/>
          <w:szCs w:val="19"/>
        </w:rPr>
        <w:tab/>
      </w:r>
      <w:r w:rsidRPr="00CB0307">
        <w:rPr>
          <w:rFonts w:ascii="Gotham" w:hAnsi="Gotham" w:cs="Arial"/>
          <w:sz w:val="19"/>
          <w:szCs w:val="19"/>
        </w:rPr>
        <w:t>El titular de la Coordinación del Gabinete de Seguridad, Prevención, Servicios de emergencia y Movilidad.</w:t>
      </w:r>
    </w:p>
    <w:p w14:paraId="3A47582B" w14:textId="77777777" w:rsidR="009B5E39" w:rsidRPr="00CB0307" w:rsidRDefault="009B5E39" w:rsidP="009B5E39">
      <w:pPr>
        <w:spacing w:after="120"/>
        <w:ind w:left="1134" w:right="283" w:hanging="850"/>
        <w:jc w:val="both"/>
        <w:rPr>
          <w:rFonts w:ascii="Gotham" w:hAnsi="Gotham" w:cs="Arial"/>
          <w:b/>
          <w:bCs/>
          <w:sz w:val="19"/>
          <w:szCs w:val="19"/>
        </w:rPr>
      </w:pPr>
      <w:r w:rsidRPr="00CB0307">
        <w:rPr>
          <w:rFonts w:ascii="Gotham" w:hAnsi="Gotham" w:cs="Arial"/>
          <w:b/>
          <w:bCs/>
          <w:sz w:val="19"/>
          <w:szCs w:val="19"/>
        </w:rPr>
        <w:t xml:space="preserve">II. </w:t>
      </w:r>
      <w:r>
        <w:rPr>
          <w:rFonts w:ascii="Gotham" w:hAnsi="Gotham" w:cs="Arial"/>
          <w:b/>
          <w:bCs/>
          <w:sz w:val="19"/>
          <w:szCs w:val="19"/>
        </w:rPr>
        <w:tab/>
      </w:r>
      <w:r w:rsidRPr="00CB0307">
        <w:rPr>
          <w:rFonts w:ascii="Gotham" w:hAnsi="Gotham" w:cs="Arial"/>
          <w:b/>
          <w:bCs/>
          <w:sz w:val="19"/>
          <w:szCs w:val="19"/>
        </w:rPr>
        <w:t>Carácter de Ejecutora</w:t>
      </w:r>
    </w:p>
    <w:p w14:paraId="3A47582C"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a). </w:t>
      </w:r>
      <w:r>
        <w:rPr>
          <w:rFonts w:ascii="Gotham" w:hAnsi="Gotham" w:cs="Arial"/>
          <w:sz w:val="19"/>
          <w:szCs w:val="19"/>
        </w:rPr>
        <w:tab/>
      </w:r>
      <w:r w:rsidRPr="00CB0307">
        <w:rPr>
          <w:rFonts w:ascii="Gotham" w:hAnsi="Gotham" w:cs="Arial"/>
          <w:sz w:val="19"/>
          <w:szCs w:val="19"/>
        </w:rPr>
        <w:t xml:space="preserve">Agente de movilidad Municipal; </w:t>
      </w:r>
    </w:p>
    <w:p w14:paraId="3A47582D"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b). </w:t>
      </w:r>
      <w:r>
        <w:rPr>
          <w:rFonts w:ascii="Gotham" w:hAnsi="Gotham" w:cs="Arial"/>
          <w:sz w:val="19"/>
          <w:szCs w:val="19"/>
        </w:rPr>
        <w:tab/>
      </w:r>
      <w:r w:rsidRPr="00CB0307">
        <w:rPr>
          <w:rFonts w:ascii="Gotham" w:hAnsi="Gotham" w:cs="Arial"/>
          <w:sz w:val="19"/>
          <w:szCs w:val="19"/>
        </w:rPr>
        <w:t>Jefatura de Estacionamientos;</w:t>
      </w:r>
    </w:p>
    <w:p w14:paraId="3A47582E" w14:textId="77777777" w:rsidR="009B5E39" w:rsidRPr="00CB0307" w:rsidRDefault="009B5E39" w:rsidP="009B5E39">
      <w:pPr>
        <w:spacing w:after="120"/>
        <w:ind w:left="1560" w:right="283" w:hanging="426"/>
        <w:jc w:val="both"/>
        <w:rPr>
          <w:rFonts w:ascii="Gotham" w:hAnsi="Gotham" w:cs="Arial"/>
          <w:sz w:val="19"/>
          <w:szCs w:val="19"/>
        </w:rPr>
      </w:pPr>
      <w:r w:rsidRPr="00CB0307">
        <w:rPr>
          <w:rFonts w:ascii="Gotham" w:hAnsi="Gotham" w:cs="Arial"/>
          <w:sz w:val="19"/>
          <w:szCs w:val="19"/>
        </w:rPr>
        <w:t>c).</w:t>
      </w:r>
      <w:r>
        <w:rPr>
          <w:rFonts w:ascii="Gotham" w:hAnsi="Gotham" w:cs="Arial"/>
          <w:sz w:val="19"/>
          <w:szCs w:val="19"/>
        </w:rPr>
        <w:tab/>
      </w:r>
      <w:r w:rsidRPr="00CB0307">
        <w:rPr>
          <w:rFonts w:ascii="Gotham" w:hAnsi="Gotham" w:cs="Arial"/>
          <w:sz w:val="19"/>
          <w:szCs w:val="19"/>
        </w:rPr>
        <w:t xml:space="preserve">Así como la secretaría de Seguridad por conducto de la Policía vial o la dependencia estatal que corresponda cuando exista convenio de colaboración entre el Ayuntamiento y el Ejecutivo del Estado. </w:t>
      </w:r>
    </w:p>
    <w:p w14:paraId="3A47582F" w14:textId="77777777" w:rsidR="009B5E39" w:rsidRPr="00CB0307" w:rsidRDefault="009B5E39" w:rsidP="009B5E39">
      <w:pPr>
        <w:spacing w:after="120"/>
        <w:ind w:left="1134" w:right="283" w:hanging="850"/>
        <w:jc w:val="both"/>
        <w:rPr>
          <w:rFonts w:ascii="Gotham" w:hAnsi="Gotham" w:cs="Arial"/>
          <w:b/>
          <w:bCs/>
          <w:sz w:val="19"/>
          <w:szCs w:val="19"/>
        </w:rPr>
      </w:pPr>
      <w:r w:rsidRPr="00CB0307">
        <w:rPr>
          <w:rFonts w:ascii="Gotham" w:hAnsi="Gotham" w:cs="Arial"/>
          <w:b/>
          <w:bCs/>
          <w:sz w:val="19"/>
          <w:szCs w:val="19"/>
        </w:rPr>
        <w:t xml:space="preserve">III. </w:t>
      </w:r>
      <w:r>
        <w:rPr>
          <w:rFonts w:ascii="Gotham" w:hAnsi="Gotham" w:cs="Arial"/>
          <w:b/>
          <w:bCs/>
          <w:sz w:val="19"/>
          <w:szCs w:val="19"/>
        </w:rPr>
        <w:tab/>
      </w:r>
      <w:r w:rsidRPr="00CB0307">
        <w:rPr>
          <w:rFonts w:ascii="Gotham" w:hAnsi="Gotham" w:cs="Arial"/>
          <w:b/>
          <w:bCs/>
          <w:sz w:val="19"/>
          <w:szCs w:val="19"/>
        </w:rPr>
        <w:t>Carácter de Sancionadora.</w:t>
      </w:r>
    </w:p>
    <w:p w14:paraId="3A475830"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 xml:space="preserve">a). La Dirección de Planeación, Movilidad y Transporte </w:t>
      </w:r>
    </w:p>
    <w:p w14:paraId="3A475831" w14:textId="77777777" w:rsidR="009B5E39" w:rsidRPr="00CB0307" w:rsidRDefault="009B5E39" w:rsidP="009B5E39">
      <w:pPr>
        <w:spacing w:after="80"/>
        <w:ind w:left="1560" w:right="283" w:hanging="426"/>
        <w:jc w:val="both"/>
        <w:rPr>
          <w:rFonts w:ascii="Gotham" w:hAnsi="Gotham" w:cs="Arial"/>
          <w:sz w:val="19"/>
          <w:szCs w:val="19"/>
        </w:rPr>
      </w:pPr>
      <w:r w:rsidRPr="00CB0307">
        <w:rPr>
          <w:rFonts w:ascii="Gotham" w:hAnsi="Gotham" w:cs="Arial"/>
          <w:sz w:val="19"/>
          <w:szCs w:val="19"/>
        </w:rPr>
        <w:t>b) la Jefatura de Agentes de Movilidad; y</w:t>
      </w:r>
    </w:p>
    <w:p w14:paraId="3A475832" w14:textId="77777777" w:rsidR="009B5E39" w:rsidRPr="00CB0307" w:rsidRDefault="009B5E39" w:rsidP="009B5E39">
      <w:pPr>
        <w:ind w:left="1560" w:right="283" w:hanging="426"/>
        <w:jc w:val="both"/>
        <w:rPr>
          <w:rFonts w:ascii="Gotham" w:hAnsi="Gotham" w:cs="Arial"/>
          <w:sz w:val="19"/>
          <w:szCs w:val="19"/>
        </w:rPr>
      </w:pPr>
      <w:r w:rsidRPr="00CB0307">
        <w:rPr>
          <w:rFonts w:ascii="Gotham" w:hAnsi="Gotham" w:cs="Arial"/>
          <w:sz w:val="19"/>
          <w:szCs w:val="19"/>
        </w:rPr>
        <w:t>c). Jefatura de Estacionamientos</w:t>
      </w:r>
    </w:p>
    <w:p w14:paraId="3A475833" w14:textId="77777777" w:rsidR="009B5E39" w:rsidRPr="00CB0307" w:rsidRDefault="009B5E39" w:rsidP="009B5E39">
      <w:pPr>
        <w:ind w:left="284" w:right="283"/>
        <w:jc w:val="both"/>
        <w:rPr>
          <w:rFonts w:ascii="Gotham" w:hAnsi="Gotham" w:cs="Arial"/>
          <w:sz w:val="19"/>
          <w:szCs w:val="19"/>
        </w:rPr>
      </w:pPr>
    </w:p>
    <w:p w14:paraId="3A475834"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64.</w:t>
      </w:r>
      <w:r w:rsidRPr="00CB0307">
        <w:rPr>
          <w:rFonts w:ascii="Gotham" w:hAnsi="Gotham" w:cs="Arial"/>
          <w:sz w:val="19"/>
          <w:szCs w:val="19"/>
        </w:rPr>
        <w:t xml:space="preserve"> Para la visita de inspección, las autoridades estatales y municipales en materia de movilidad y transporte, en sus respectivas esferas de competencia, se realizarán de conformidad a lo que dispone la Ley del Procedimiento Administrativo del Estado de Jalisco.</w:t>
      </w:r>
    </w:p>
    <w:p w14:paraId="3A475835" w14:textId="77777777" w:rsidR="009B5E39" w:rsidRPr="00CB0307" w:rsidRDefault="009B5E39" w:rsidP="009B5E39">
      <w:pPr>
        <w:ind w:left="284" w:right="283"/>
        <w:jc w:val="both"/>
        <w:rPr>
          <w:rFonts w:ascii="Gotham" w:hAnsi="Gotham" w:cs="Arial"/>
          <w:sz w:val="19"/>
          <w:szCs w:val="19"/>
        </w:rPr>
      </w:pPr>
    </w:p>
    <w:p w14:paraId="3A475836"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65</w:t>
      </w:r>
      <w:r w:rsidRPr="00CB0307">
        <w:rPr>
          <w:rFonts w:ascii="Gotham" w:hAnsi="Gotham" w:cs="Arial"/>
          <w:sz w:val="19"/>
          <w:szCs w:val="19"/>
        </w:rPr>
        <w:t xml:space="preserve"> Todo acto y resoluciones que dicten las autoridades estatales y municipales competentes en materia de movilidad y transporte, deberán notificarse de conformidad a lo que dispone la Ley del Procedimiento Administrativo del Estado de Jalisco.</w:t>
      </w:r>
    </w:p>
    <w:p w14:paraId="3A475837" w14:textId="77777777" w:rsidR="009B5E39" w:rsidRPr="00CB0307" w:rsidRDefault="009B5E39" w:rsidP="009B5E39">
      <w:pPr>
        <w:ind w:left="284" w:right="283"/>
        <w:jc w:val="both"/>
        <w:rPr>
          <w:rFonts w:ascii="Gotham" w:hAnsi="Gotham" w:cs="Arial"/>
          <w:sz w:val="19"/>
          <w:szCs w:val="19"/>
        </w:rPr>
      </w:pPr>
    </w:p>
    <w:p w14:paraId="3A475838"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66</w:t>
      </w:r>
      <w:r w:rsidRPr="00CB0307">
        <w:rPr>
          <w:rFonts w:ascii="Gotham" w:hAnsi="Gotham" w:cs="Arial"/>
          <w:sz w:val="19"/>
          <w:szCs w:val="19"/>
        </w:rPr>
        <w:t>. Los Agentes de Movilidad Municipal y/o la Jefatura de Estacionamientos, para practicar visitas de inspección, se apegarán a lo que dispone la Ley del Procedimiento Administrativo del Estado de Jalisco.</w:t>
      </w:r>
    </w:p>
    <w:p w14:paraId="3A475839" w14:textId="77777777" w:rsidR="009B5E39" w:rsidRPr="00CB0307" w:rsidRDefault="009B5E39" w:rsidP="009B5E39">
      <w:pPr>
        <w:ind w:left="284" w:right="283"/>
        <w:jc w:val="both"/>
        <w:rPr>
          <w:rFonts w:ascii="Gotham" w:hAnsi="Gotham" w:cs="Arial"/>
          <w:b/>
          <w:sz w:val="19"/>
          <w:szCs w:val="19"/>
        </w:rPr>
      </w:pPr>
    </w:p>
    <w:p w14:paraId="3A47583A"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67.</w:t>
      </w:r>
      <w:r w:rsidRPr="00CB0307">
        <w:rPr>
          <w:rFonts w:ascii="Gotham" w:hAnsi="Gotham" w:cs="Arial"/>
          <w:sz w:val="19"/>
          <w:szCs w:val="19"/>
        </w:rPr>
        <w:t xml:space="preserve"> Son autoridades competentes en materia de movilidad y seguridad vial para efecto de realizar inspecciones en vía pública o visitas a lugares privados con acceso al público, imponer medidas de seguridad que procedan, de igual manera, aplicar sanciones correspondientes mediante Cédulas de Notificación de Infracción, así como calificar para determinar el monto de la sanción, según lo previsto en este reglamento, los siguientes funcionarios municipales:</w:t>
      </w:r>
    </w:p>
    <w:p w14:paraId="3A47583B" w14:textId="77777777" w:rsidR="009B5E39" w:rsidRPr="00CB0307" w:rsidRDefault="009B5E39" w:rsidP="009B5E39">
      <w:pPr>
        <w:ind w:left="284" w:right="283"/>
        <w:jc w:val="both"/>
        <w:rPr>
          <w:rFonts w:ascii="Gotham" w:hAnsi="Gotham" w:cs="Arial"/>
          <w:sz w:val="19"/>
          <w:szCs w:val="19"/>
        </w:rPr>
      </w:pPr>
    </w:p>
    <w:p w14:paraId="3A47583C" w14:textId="77777777" w:rsidR="009B5E39" w:rsidRPr="00CB0307" w:rsidRDefault="009B5E39" w:rsidP="009B5E39">
      <w:pPr>
        <w:spacing w:after="80"/>
        <w:ind w:left="709" w:right="283" w:hanging="425"/>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El Presidente Municipal;</w:t>
      </w:r>
    </w:p>
    <w:p w14:paraId="3A47583D" w14:textId="77777777" w:rsidR="009B5E39" w:rsidRPr="00CB0307" w:rsidRDefault="009B5E39" w:rsidP="009B5E39">
      <w:pPr>
        <w:spacing w:after="80"/>
        <w:ind w:left="709" w:right="283" w:hanging="425"/>
        <w:jc w:val="both"/>
        <w:rPr>
          <w:rFonts w:ascii="Gotham" w:hAnsi="Gotham" w:cs="Arial"/>
          <w:sz w:val="19"/>
          <w:szCs w:val="19"/>
        </w:rPr>
      </w:pPr>
      <w:r w:rsidRPr="00CB0307">
        <w:rPr>
          <w:rFonts w:ascii="Gotham" w:hAnsi="Gotham" w:cs="Arial"/>
          <w:sz w:val="19"/>
          <w:szCs w:val="19"/>
        </w:rPr>
        <w:t xml:space="preserve">2). </w:t>
      </w:r>
      <w:r>
        <w:rPr>
          <w:rFonts w:ascii="Gotham" w:hAnsi="Gotham" w:cs="Arial"/>
          <w:sz w:val="19"/>
          <w:szCs w:val="19"/>
        </w:rPr>
        <w:tab/>
      </w:r>
      <w:r w:rsidRPr="00CB0307">
        <w:rPr>
          <w:rFonts w:ascii="Gotham" w:hAnsi="Gotham" w:cs="Arial"/>
          <w:sz w:val="19"/>
          <w:szCs w:val="19"/>
        </w:rPr>
        <w:t>Síndico del Ayuntamiento</w:t>
      </w:r>
    </w:p>
    <w:p w14:paraId="3A47583E" w14:textId="77777777" w:rsidR="009B5E39" w:rsidRPr="00CB0307" w:rsidRDefault="009B5E39" w:rsidP="009B5E39">
      <w:pPr>
        <w:spacing w:after="80"/>
        <w:ind w:left="709" w:right="283" w:hanging="425"/>
        <w:jc w:val="both"/>
        <w:rPr>
          <w:rFonts w:ascii="Gotham" w:hAnsi="Gotham" w:cs="Arial"/>
          <w:sz w:val="19"/>
          <w:szCs w:val="19"/>
        </w:rPr>
      </w:pPr>
      <w:r w:rsidRPr="00CB0307">
        <w:rPr>
          <w:rFonts w:ascii="Gotham" w:hAnsi="Gotham" w:cs="Arial"/>
          <w:sz w:val="19"/>
          <w:szCs w:val="19"/>
        </w:rPr>
        <w:t xml:space="preserve">3) </w:t>
      </w:r>
      <w:r>
        <w:rPr>
          <w:rFonts w:ascii="Gotham" w:hAnsi="Gotham" w:cs="Arial"/>
          <w:sz w:val="19"/>
          <w:szCs w:val="19"/>
        </w:rPr>
        <w:tab/>
      </w:r>
      <w:r w:rsidRPr="00CB0307">
        <w:rPr>
          <w:rFonts w:ascii="Gotham" w:hAnsi="Gotham" w:cs="Arial"/>
          <w:sz w:val="19"/>
          <w:szCs w:val="19"/>
        </w:rPr>
        <w:t>El Coordinador del Gabinete de Seguridad, Prevención, Servicios de Emergencia y Movilidad;</w:t>
      </w:r>
    </w:p>
    <w:p w14:paraId="3A47583F" w14:textId="77777777" w:rsidR="009B5E39" w:rsidRPr="00CB0307" w:rsidRDefault="009B5E39" w:rsidP="009B5E39">
      <w:pPr>
        <w:spacing w:after="80"/>
        <w:ind w:left="709" w:right="283" w:hanging="425"/>
        <w:jc w:val="both"/>
        <w:rPr>
          <w:rFonts w:ascii="Gotham" w:hAnsi="Gotham" w:cs="Arial"/>
          <w:sz w:val="19"/>
          <w:szCs w:val="19"/>
        </w:rPr>
      </w:pPr>
      <w:r w:rsidRPr="00CB0307">
        <w:rPr>
          <w:rFonts w:ascii="Gotham" w:hAnsi="Gotham" w:cs="Arial"/>
          <w:sz w:val="19"/>
          <w:szCs w:val="19"/>
        </w:rPr>
        <w:t xml:space="preserve">4) </w:t>
      </w:r>
      <w:r>
        <w:rPr>
          <w:rFonts w:ascii="Gotham" w:hAnsi="Gotham" w:cs="Arial"/>
          <w:sz w:val="19"/>
          <w:szCs w:val="19"/>
        </w:rPr>
        <w:tab/>
      </w:r>
      <w:r w:rsidRPr="00CB0307">
        <w:rPr>
          <w:rFonts w:ascii="Gotham" w:hAnsi="Gotham" w:cs="Arial"/>
          <w:sz w:val="19"/>
          <w:szCs w:val="19"/>
        </w:rPr>
        <w:t>El Titular de la Dirección de Planeación y Movilidad;</w:t>
      </w:r>
    </w:p>
    <w:p w14:paraId="3A475840" w14:textId="77777777" w:rsidR="009B5E39" w:rsidRPr="00CB0307" w:rsidRDefault="009B5E39" w:rsidP="009B5E39">
      <w:pPr>
        <w:spacing w:after="80"/>
        <w:ind w:left="709" w:right="283" w:hanging="425"/>
        <w:jc w:val="both"/>
        <w:rPr>
          <w:rFonts w:ascii="Gotham" w:hAnsi="Gotham" w:cs="Arial"/>
          <w:sz w:val="19"/>
          <w:szCs w:val="19"/>
        </w:rPr>
      </w:pPr>
      <w:r w:rsidRPr="00CB0307">
        <w:rPr>
          <w:rFonts w:ascii="Gotham" w:hAnsi="Gotham" w:cs="Arial"/>
          <w:sz w:val="19"/>
          <w:szCs w:val="19"/>
        </w:rPr>
        <w:t xml:space="preserve">5) </w:t>
      </w:r>
      <w:r>
        <w:rPr>
          <w:rFonts w:ascii="Gotham" w:hAnsi="Gotham" w:cs="Arial"/>
          <w:sz w:val="19"/>
          <w:szCs w:val="19"/>
        </w:rPr>
        <w:tab/>
      </w:r>
      <w:r w:rsidRPr="00CB0307">
        <w:rPr>
          <w:rFonts w:ascii="Gotham" w:hAnsi="Gotham" w:cs="Arial"/>
          <w:sz w:val="19"/>
          <w:szCs w:val="19"/>
        </w:rPr>
        <w:t>El Titular de la Jefatura de Agentes de Movilidad y Seguridad Vial; y</w:t>
      </w:r>
    </w:p>
    <w:p w14:paraId="3A475841" w14:textId="77777777" w:rsidR="009B5E39" w:rsidRPr="00CB0307" w:rsidRDefault="009B5E39" w:rsidP="009B5E39">
      <w:pPr>
        <w:ind w:left="709" w:right="283" w:hanging="425"/>
        <w:jc w:val="both"/>
        <w:rPr>
          <w:rFonts w:ascii="Gotham" w:hAnsi="Gotham" w:cs="Arial"/>
          <w:sz w:val="19"/>
          <w:szCs w:val="19"/>
        </w:rPr>
      </w:pPr>
      <w:r w:rsidRPr="00CB0307">
        <w:rPr>
          <w:rFonts w:ascii="Gotham" w:hAnsi="Gotham" w:cs="Arial"/>
          <w:sz w:val="19"/>
          <w:szCs w:val="19"/>
        </w:rPr>
        <w:t xml:space="preserve">6) </w:t>
      </w:r>
      <w:r>
        <w:rPr>
          <w:rFonts w:ascii="Gotham" w:hAnsi="Gotham" w:cs="Arial"/>
          <w:sz w:val="19"/>
          <w:szCs w:val="19"/>
        </w:rPr>
        <w:tab/>
      </w:r>
      <w:r w:rsidRPr="00CB0307">
        <w:rPr>
          <w:rFonts w:ascii="Gotham" w:hAnsi="Gotham" w:cs="Arial"/>
          <w:sz w:val="19"/>
          <w:szCs w:val="19"/>
        </w:rPr>
        <w:t>Los Jueces Cívicos y Agentes de Movilidad Municipal.</w:t>
      </w:r>
    </w:p>
    <w:p w14:paraId="3A475842" w14:textId="77777777" w:rsidR="009B5E39" w:rsidRPr="00CB0307" w:rsidRDefault="009B5E39" w:rsidP="009B5E39">
      <w:pPr>
        <w:ind w:left="284" w:right="283"/>
        <w:jc w:val="both"/>
        <w:rPr>
          <w:rFonts w:ascii="Gotham" w:hAnsi="Gotham" w:cs="Arial"/>
          <w:sz w:val="19"/>
          <w:szCs w:val="19"/>
        </w:rPr>
      </w:pPr>
    </w:p>
    <w:p w14:paraId="3A475843"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bCs/>
          <w:sz w:val="19"/>
          <w:szCs w:val="19"/>
        </w:rPr>
        <w:t>Artículo 68.</w:t>
      </w:r>
      <w:r w:rsidRPr="00CB0307">
        <w:rPr>
          <w:rFonts w:ascii="Gotham" w:hAnsi="Gotham" w:cs="Arial"/>
          <w:sz w:val="19"/>
          <w:szCs w:val="19"/>
        </w:rPr>
        <w:t xml:space="preserve"> El actuar de las autoridades en vías públicas o lugares privados con acceso al público como estacionamientos o cotos cuando exista el convenio de intervención, la visita de inspección, las autoridades estatales y municipales en materia de movilidad y seguridad vial, en sus respectivas esferas de competencia, se realizarán de conformidad a lo que dispone la Ley del Procedimiento Administrativo del Estado de Jalisco.</w:t>
      </w:r>
    </w:p>
    <w:p w14:paraId="3A475844" w14:textId="77777777" w:rsidR="009B5E39" w:rsidRPr="00CB0307" w:rsidRDefault="009B5E39" w:rsidP="009B5E39">
      <w:pPr>
        <w:ind w:left="284" w:right="283"/>
        <w:jc w:val="both"/>
        <w:rPr>
          <w:rFonts w:ascii="Gotham" w:hAnsi="Gotham" w:cs="Arial"/>
          <w:sz w:val="19"/>
          <w:szCs w:val="19"/>
        </w:rPr>
      </w:pPr>
    </w:p>
    <w:p w14:paraId="3A475845"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Todo acto y resoluciones que dicten las autoridades municipales competentes en materia de movilidad y seguridad vial, deberán notificarse de conformidad a lo que dispone la Ley del Procedimiento Administrativo del Estado de Jalisco. Para los casos de las cédulas de notificación de infracción y/o actas de visita de inspección, deberán estar acompañadas de evidencia fotográfica.</w:t>
      </w:r>
    </w:p>
    <w:p w14:paraId="3A475846" w14:textId="77777777" w:rsidR="009B5E39" w:rsidRPr="00CB0307" w:rsidRDefault="009B5E39" w:rsidP="009B5E39">
      <w:pPr>
        <w:ind w:left="284" w:right="283"/>
        <w:jc w:val="both"/>
        <w:rPr>
          <w:rFonts w:ascii="Gotham" w:hAnsi="Gotham" w:cs="Arial"/>
          <w:b/>
          <w:sz w:val="19"/>
          <w:szCs w:val="19"/>
        </w:rPr>
      </w:pPr>
    </w:p>
    <w:p w14:paraId="3A475847"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 xml:space="preserve">Artículo 69 </w:t>
      </w:r>
      <w:r w:rsidRPr="00CB0307">
        <w:rPr>
          <w:rFonts w:ascii="Gotham" w:hAnsi="Gotham" w:cs="Arial"/>
          <w:sz w:val="19"/>
          <w:szCs w:val="19"/>
        </w:rPr>
        <w:t xml:space="preserve">Los Agentes de Movilidad Municipal, para actuar en la vía pública o </w:t>
      </w:r>
      <w:r w:rsidRPr="00CB0307">
        <w:rPr>
          <w:rFonts w:ascii="Gotham" w:hAnsi="Gotham" w:cs="Arial"/>
          <w:b/>
          <w:sz w:val="19"/>
          <w:szCs w:val="19"/>
        </w:rPr>
        <w:t>practicar</w:t>
      </w:r>
      <w:r w:rsidRPr="00CB0307">
        <w:rPr>
          <w:rFonts w:ascii="Gotham" w:hAnsi="Gotham" w:cs="Arial"/>
          <w:sz w:val="19"/>
          <w:szCs w:val="19"/>
        </w:rPr>
        <w:t xml:space="preserve"> visitas de inspección en lugares privados, se apegarán a lo que dispone la Ley del Procedimiento Administrativo del Estado de Jalisco.</w:t>
      </w:r>
    </w:p>
    <w:p w14:paraId="3A475848" w14:textId="77777777" w:rsidR="009B5E39" w:rsidRPr="00CB0307" w:rsidRDefault="009B5E39" w:rsidP="009B5E39">
      <w:pPr>
        <w:ind w:left="284" w:right="283"/>
        <w:jc w:val="both"/>
        <w:rPr>
          <w:rFonts w:ascii="Gotham" w:hAnsi="Gotham" w:cs="Arial"/>
          <w:sz w:val="19"/>
          <w:szCs w:val="19"/>
        </w:rPr>
      </w:pPr>
    </w:p>
    <w:p w14:paraId="3A475849"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No obstante, lo anterior están facultados para llevar a cabo acciones de seguridad vial y sanciones, en todo momento, las 24 horas del día y cualquier día del año, habilitado su actuar en horas inhábiles, días festivos, días feriados, dentro del territorio municipal.</w:t>
      </w:r>
    </w:p>
    <w:p w14:paraId="3A47584A" w14:textId="77777777" w:rsidR="009B5E39" w:rsidRPr="00CB0307" w:rsidRDefault="009B5E39" w:rsidP="009B5E39">
      <w:pPr>
        <w:ind w:left="284" w:right="283"/>
        <w:jc w:val="both"/>
        <w:rPr>
          <w:rFonts w:ascii="Gotham" w:hAnsi="Gotham" w:cs="Arial"/>
          <w:sz w:val="19"/>
          <w:szCs w:val="19"/>
        </w:rPr>
      </w:pPr>
    </w:p>
    <w:p w14:paraId="3A47584B"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 xml:space="preserve">Así también podrán aplicar las medidas de seguridad como inmovilizar los vehículos, </w:t>
      </w:r>
      <w:r>
        <w:rPr>
          <w:rFonts w:ascii="Gotham" w:hAnsi="Gotham" w:cs="Arial"/>
          <w:sz w:val="19"/>
          <w:szCs w:val="19"/>
        </w:rPr>
        <w:t>re</w:t>
      </w:r>
      <w:r w:rsidRPr="003D1DA7">
        <w:rPr>
          <w:rFonts w:ascii="Gotham" w:hAnsi="Gotham" w:cs="Arial"/>
          <w:sz w:val="19"/>
          <w:szCs w:val="19"/>
        </w:rPr>
        <w:t>tirarlos</w:t>
      </w:r>
      <w:r w:rsidRPr="00CB0307">
        <w:rPr>
          <w:rFonts w:ascii="Gotham" w:hAnsi="Gotham" w:cs="Arial"/>
          <w:sz w:val="19"/>
          <w:szCs w:val="19"/>
        </w:rPr>
        <w:t xml:space="preserve"> de la circulación, o tratándose de objetos, llevarlos a un depósito. Y previo el trámite correspondiente, acreditada la propiedad, se entregará, previo pago de la sanción correspondiente y daños si los hubiera.</w:t>
      </w:r>
    </w:p>
    <w:p w14:paraId="3A47584C" w14:textId="77777777" w:rsidR="009B5E39" w:rsidRPr="00CB0307" w:rsidRDefault="009B5E39" w:rsidP="009B5E39">
      <w:pPr>
        <w:ind w:left="284" w:right="283"/>
        <w:jc w:val="both"/>
        <w:rPr>
          <w:rFonts w:ascii="Gotham" w:hAnsi="Gotham" w:cs="Arial"/>
          <w:b/>
          <w:sz w:val="19"/>
          <w:szCs w:val="19"/>
          <w:highlight w:val="green"/>
        </w:rPr>
      </w:pPr>
    </w:p>
    <w:p w14:paraId="3A47584D"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70.</w:t>
      </w:r>
      <w:r w:rsidRPr="00CB0307">
        <w:rPr>
          <w:rFonts w:ascii="Gotham" w:hAnsi="Gotham" w:cs="Arial"/>
          <w:sz w:val="19"/>
          <w:szCs w:val="19"/>
        </w:rPr>
        <w:t xml:space="preserve"> Una vez hecho el pago correspondiente, se procederá a retirar inmediatamente el inmovilizador o entrega del vehículo si fue retirado de la vía pública con motivo de alguna infracción de las aquí contenidas.</w:t>
      </w:r>
    </w:p>
    <w:p w14:paraId="3A47584E" w14:textId="77777777" w:rsidR="009B5E39" w:rsidRPr="00CB0307" w:rsidRDefault="009B5E39" w:rsidP="009B5E39">
      <w:pPr>
        <w:ind w:left="284" w:right="283"/>
        <w:jc w:val="both"/>
        <w:rPr>
          <w:rFonts w:ascii="Gotham" w:hAnsi="Gotham" w:cs="Arial"/>
          <w:sz w:val="19"/>
          <w:szCs w:val="19"/>
        </w:rPr>
      </w:pPr>
    </w:p>
    <w:p w14:paraId="3A47584F"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71</w:t>
      </w:r>
      <w:proofErr w:type="gramStart"/>
      <w:r w:rsidRPr="00CB0307">
        <w:rPr>
          <w:rFonts w:ascii="Gotham" w:hAnsi="Gotham" w:cs="Arial"/>
          <w:b/>
          <w:sz w:val="19"/>
          <w:szCs w:val="19"/>
        </w:rPr>
        <w:t>.</w:t>
      </w:r>
      <w:r w:rsidRPr="00CB0307">
        <w:rPr>
          <w:rFonts w:ascii="Gotham" w:hAnsi="Gotham" w:cs="Arial"/>
          <w:sz w:val="19"/>
          <w:szCs w:val="19"/>
        </w:rPr>
        <w:t>.</w:t>
      </w:r>
      <w:proofErr w:type="gramEnd"/>
      <w:r w:rsidRPr="00CB0307">
        <w:rPr>
          <w:rFonts w:ascii="Gotham" w:hAnsi="Gotham" w:cs="Arial"/>
          <w:sz w:val="19"/>
          <w:szCs w:val="19"/>
        </w:rPr>
        <w:t xml:space="preserve"> En los casos donde además del pago de las infracciones proceda el pago de daños, este se realizará de forma conjunta, independientemente si es motivo de poner a disposición de la autoridad correspondiente en el caso de que existan delitos que perseguir. </w:t>
      </w:r>
    </w:p>
    <w:p w14:paraId="3A475850" w14:textId="77777777" w:rsidR="009B5E39" w:rsidRPr="00CB0307" w:rsidRDefault="009B5E39" w:rsidP="009B5E39">
      <w:pPr>
        <w:ind w:left="284" w:right="283"/>
        <w:jc w:val="both"/>
        <w:rPr>
          <w:rFonts w:ascii="Gotham" w:hAnsi="Gotham" w:cs="Arial"/>
          <w:sz w:val="19"/>
          <w:szCs w:val="19"/>
        </w:rPr>
      </w:pPr>
    </w:p>
    <w:p w14:paraId="3A475851"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72.</w:t>
      </w:r>
      <w:r w:rsidRPr="00CB0307">
        <w:rPr>
          <w:rFonts w:ascii="Gotham" w:hAnsi="Gotham" w:cs="Arial"/>
          <w:sz w:val="19"/>
          <w:szCs w:val="19"/>
        </w:rPr>
        <w:t xml:space="preserve"> Para dar cumplimiento con las disposiciones del presente reglamento, las autoridades municipales podrán aplicar las medidas de seguridad correspondientes y las sanciones de acuerdo a las atribuciones y facultades en los reglamentos de la materia. Los Agentes de Movilidad podrán coordinar su labor con la Policía Municipal y otras corporaciones concurrentes a dicha actividad</w:t>
      </w:r>
    </w:p>
    <w:p w14:paraId="3A475852" w14:textId="77777777" w:rsidR="009B5E39" w:rsidRDefault="009B5E39" w:rsidP="009B5E39">
      <w:pPr>
        <w:ind w:left="284" w:right="283"/>
        <w:rPr>
          <w:rFonts w:ascii="Gotham" w:hAnsi="Gotham" w:cs="Arial"/>
          <w:b/>
          <w:sz w:val="19"/>
          <w:szCs w:val="19"/>
          <w:highlight w:val="cyan"/>
        </w:rPr>
      </w:pPr>
    </w:p>
    <w:p w14:paraId="3A475853" w14:textId="77777777" w:rsidR="00190E4A" w:rsidRDefault="00190E4A" w:rsidP="009B5E39">
      <w:pPr>
        <w:ind w:left="284" w:right="283"/>
        <w:rPr>
          <w:rFonts w:ascii="Gotham" w:hAnsi="Gotham" w:cs="Arial"/>
          <w:b/>
          <w:sz w:val="19"/>
          <w:szCs w:val="19"/>
          <w:highlight w:val="cyan"/>
        </w:rPr>
      </w:pPr>
    </w:p>
    <w:p w14:paraId="3A475854" w14:textId="77777777" w:rsidR="009B5E39" w:rsidRPr="00CB0307" w:rsidRDefault="009B5E39" w:rsidP="009B5E39">
      <w:pPr>
        <w:ind w:left="284" w:right="283"/>
        <w:rPr>
          <w:rFonts w:ascii="Gotham" w:hAnsi="Gotham" w:cs="Arial"/>
          <w:b/>
          <w:sz w:val="19"/>
          <w:szCs w:val="19"/>
          <w:highlight w:val="cyan"/>
        </w:rPr>
      </w:pPr>
    </w:p>
    <w:p w14:paraId="3A475855" w14:textId="77777777" w:rsidR="009B5E39" w:rsidRPr="00CB0307" w:rsidRDefault="009B5E39" w:rsidP="009B5E39">
      <w:pPr>
        <w:ind w:left="284" w:right="283"/>
        <w:jc w:val="center"/>
        <w:rPr>
          <w:rFonts w:ascii="Gotham" w:hAnsi="Gotham" w:cs="Arial"/>
          <w:sz w:val="19"/>
          <w:szCs w:val="19"/>
        </w:rPr>
      </w:pPr>
      <w:r w:rsidRPr="00CB0307">
        <w:rPr>
          <w:rFonts w:ascii="Gotham" w:hAnsi="Gotham" w:cs="Arial"/>
          <w:b/>
          <w:sz w:val="19"/>
          <w:szCs w:val="19"/>
        </w:rPr>
        <w:lastRenderedPageBreak/>
        <w:t>CAPÍTULO</w:t>
      </w:r>
      <w:r w:rsidRPr="00873BD0">
        <w:rPr>
          <w:rFonts w:ascii="Gotham" w:hAnsi="Gotham" w:cs="Arial"/>
          <w:b/>
          <w:sz w:val="19"/>
          <w:szCs w:val="19"/>
        </w:rPr>
        <w:t xml:space="preserve"> II</w:t>
      </w:r>
    </w:p>
    <w:p w14:paraId="3A475856" w14:textId="77777777" w:rsidR="009B5E39" w:rsidRPr="00CB0307" w:rsidRDefault="009B5E39" w:rsidP="009B5E39">
      <w:pPr>
        <w:ind w:left="284" w:right="283"/>
        <w:jc w:val="center"/>
        <w:rPr>
          <w:rFonts w:ascii="Gotham" w:hAnsi="Gotham" w:cs="Arial"/>
          <w:sz w:val="19"/>
          <w:szCs w:val="19"/>
        </w:rPr>
      </w:pPr>
      <w:r w:rsidRPr="00CB0307">
        <w:rPr>
          <w:rFonts w:ascii="Gotham" w:hAnsi="Gotham" w:cs="Arial"/>
          <w:b/>
          <w:sz w:val="19"/>
          <w:szCs w:val="19"/>
        </w:rPr>
        <w:t>DE LAS SANCIONES Y MEDIDAS DE SEGURIDAD</w:t>
      </w:r>
    </w:p>
    <w:p w14:paraId="3A475857" w14:textId="77777777" w:rsidR="009B5E39" w:rsidRPr="00CB0307" w:rsidRDefault="009B5E39" w:rsidP="009B5E39">
      <w:pPr>
        <w:ind w:left="284" w:right="283"/>
        <w:rPr>
          <w:rFonts w:ascii="Gotham" w:hAnsi="Gotham" w:cs="Arial"/>
          <w:sz w:val="19"/>
          <w:szCs w:val="19"/>
        </w:rPr>
      </w:pPr>
    </w:p>
    <w:p w14:paraId="3A475858"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73</w:t>
      </w:r>
      <w:r w:rsidRPr="00CB0307">
        <w:rPr>
          <w:rFonts w:ascii="Gotham" w:hAnsi="Gotham" w:cs="Arial"/>
          <w:sz w:val="19"/>
          <w:szCs w:val="19"/>
        </w:rPr>
        <w:t>. De una a cinco UMA.</w:t>
      </w:r>
    </w:p>
    <w:p w14:paraId="3A475859" w14:textId="77777777" w:rsidR="009B5E39" w:rsidRPr="00CB0307" w:rsidRDefault="009B5E39" w:rsidP="009B5E39">
      <w:pPr>
        <w:ind w:left="284" w:right="283"/>
        <w:jc w:val="both"/>
        <w:rPr>
          <w:rFonts w:ascii="Gotham" w:hAnsi="Gotham" w:cs="Arial"/>
          <w:sz w:val="19"/>
          <w:szCs w:val="19"/>
        </w:rPr>
      </w:pPr>
    </w:p>
    <w:p w14:paraId="3A47585A"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Se sancionará de una a cinco veces el valor de la UMA a las personas conductoras o personas propietarias de los vehículos, o en su caso, personas operadoras de vehículos del servicio público de transporte que cometan alguna de las siguientes infracciones:</w:t>
      </w:r>
    </w:p>
    <w:p w14:paraId="3A47585B" w14:textId="77777777" w:rsidR="009B5E39" w:rsidRPr="00CB0307" w:rsidRDefault="009B5E39" w:rsidP="009B5E39">
      <w:pPr>
        <w:ind w:left="284" w:right="283"/>
        <w:jc w:val="both"/>
        <w:rPr>
          <w:rFonts w:ascii="Gotham" w:hAnsi="Gotham" w:cs="Arial"/>
          <w:sz w:val="19"/>
          <w:szCs w:val="19"/>
        </w:rPr>
      </w:pPr>
    </w:p>
    <w:p w14:paraId="3A47585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Falta de defensa;</w:t>
      </w:r>
    </w:p>
    <w:p w14:paraId="3A47585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Falta de limpiaparabrisas;</w:t>
      </w:r>
    </w:p>
    <w:p w14:paraId="3A47585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Falta de espejo lateral;</w:t>
      </w:r>
    </w:p>
    <w:p w14:paraId="3A47585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presentar la tarjeta de circulación vigente o pago de refrendo vehicular vigente;</w:t>
      </w:r>
    </w:p>
    <w:p w14:paraId="3A47586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Tener el vehículo su parabrisas estrellado, de tal manera que dificulte la visibilidad;</w:t>
      </w:r>
    </w:p>
    <w:p w14:paraId="3A47586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Carecer el vehículo de holograma que contenga el número de las placas;</w:t>
      </w:r>
    </w:p>
    <w:p w14:paraId="3A47586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Estacionarse en zona prohibida en calle local;</w:t>
      </w:r>
    </w:p>
    <w:p w14:paraId="3A47586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Falta parcial de luces;</w:t>
      </w:r>
    </w:p>
    <w:p w14:paraId="3A47586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Usar cristales polarizados u otros elementos que impidan totalmente la visibilidad hacia el interior del vehículo, o polarizado de cualquier intensidad en el parabrisas del vehículo;</w:t>
      </w:r>
    </w:p>
    <w:p w14:paraId="3A47586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Estacionarse en sentido contrario a la circulación;</w:t>
      </w:r>
    </w:p>
    <w:p w14:paraId="3A47586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Circular en reversa más de diez metros;</w:t>
      </w:r>
    </w:p>
    <w:p w14:paraId="3A47586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Dar vuelta prohibida;</w:t>
      </w:r>
    </w:p>
    <w:p w14:paraId="3A47586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Prestar servicio de reparación en la vía pública cuando obstaculice o entorpezca la vialidad, salvo casos de emergencia;</w:t>
      </w:r>
    </w:p>
    <w:p w14:paraId="3A47586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Abandonar el vehículo en la vía pública, en los términos que establezca el reglamento;</w:t>
      </w:r>
    </w:p>
    <w:p w14:paraId="3A47586A"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Colocar las placas en lugar diferente al dispuesto por el fabricante del vehículo;</w:t>
      </w:r>
    </w:p>
    <w:p w14:paraId="3A47586B"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Modificar, sin autorización oficial, las características del vehículo previstas en el reglamento de la Ley;</w:t>
      </w:r>
    </w:p>
    <w:p w14:paraId="3A47586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Transportar carga en forma distinta a la señalada por el reglamento;</w:t>
      </w:r>
    </w:p>
    <w:p w14:paraId="3A47586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hacer alto en vías férreas y zonas peatonales;</w:t>
      </w:r>
    </w:p>
    <w:p w14:paraId="3A47586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XIX.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Mover o trasladar maquinaria pesada con rodamiento neumático y equipo móvil especial, sin el permiso correspondiente;</w:t>
      </w:r>
    </w:p>
    <w:p w14:paraId="3A47586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Estacionarse en zona prohibida sobre calzadas, avenidas, par vial, carreteras o vías rápidas o en más de una fila; asimismo, en las zonas restringidas en los horarios y días que la autoridad determine con el señalamiento correspondiente o con una raya amarilla pintada a lo largo del machuelo o cordón;</w:t>
      </w:r>
    </w:p>
    <w:p w14:paraId="3A47587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Llevar exceso de pasaje en vehículo de servicio público colectivo y masivo, conforme a las especificaciones del mismo, y a lo establecido en las normas reglamentarias;</w:t>
      </w:r>
    </w:p>
    <w:p w14:paraId="3A47587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Rebasar por la derecha;</w:t>
      </w:r>
    </w:p>
    <w:p w14:paraId="3A47587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Cambiar de carril sin precaución;</w:t>
      </w:r>
    </w:p>
    <w:p w14:paraId="3A47587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Falta total de luces;</w:t>
      </w:r>
    </w:p>
    <w:p w14:paraId="3A47587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lastRenderedPageBreak/>
        <w:t>XXV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Arrojar desde el interior del vehículo cualquier clase de objeto o basura a la vía pública, o depositar materiales y objetos que modifiquen o entorpezcan las condiciones apropiadas para circular, detener y estacionar vehículos automotores;</w:t>
      </w:r>
    </w:p>
    <w:p w14:paraId="3A47587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Cargar y descargar fuera del horario autorizado, de acuerdo a lo establecido en el reglamento correspondiente;</w:t>
      </w:r>
    </w:p>
    <w:p w14:paraId="3A47587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Manejar vehículos de motor con personas, mascotas u objetos que obstaculicen la conducción;</w:t>
      </w:r>
    </w:p>
    <w:p w14:paraId="3A47587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manifestar la baja del vehículo o el cambio de domicilio del propietario;</w:t>
      </w:r>
    </w:p>
    <w:p w14:paraId="3A47587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XXIX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Transportar personas en vehículos de carga liviana o pesada, sin protección debida; o</w:t>
      </w:r>
    </w:p>
    <w:p w14:paraId="3A475879"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XXX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Conducir vehículos del servicio de transporte público en todos sus modos, con cualquier producto encendido de tabaco o sustancias nocivas para la salud en el interior del vehículo.</w:t>
      </w:r>
    </w:p>
    <w:p w14:paraId="3A47587A" w14:textId="77777777" w:rsidR="009B5E39" w:rsidRPr="00CB0307" w:rsidRDefault="009B5E39" w:rsidP="009B5E39">
      <w:pPr>
        <w:ind w:left="284" w:right="283"/>
        <w:jc w:val="both"/>
        <w:rPr>
          <w:rFonts w:ascii="Gotham" w:hAnsi="Gotham" w:cs="Arial"/>
          <w:sz w:val="19"/>
          <w:szCs w:val="19"/>
        </w:rPr>
      </w:pPr>
    </w:p>
    <w:p w14:paraId="3A47587B"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74.</w:t>
      </w:r>
      <w:r w:rsidRPr="00CB0307">
        <w:rPr>
          <w:rFonts w:ascii="Gotham" w:hAnsi="Gotham" w:cs="Arial"/>
          <w:sz w:val="19"/>
          <w:szCs w:val="19"/>
        </w:rPr>
        <w:t xml:space="preserve"> </w:t>
      </w:r>
      <w:r w:rsidRPr="00CB0307">
        <w:rPr>
          <w:rFonts w:ascii="Gotham" w:hAnsi="Gotham" w:cs="Arial"/>
          <w:b/>
          <w:sz w:val="19"/>
          <w:szCs w:val="19"/>
        </w:rPr>
        <w:t>De cinco a diez UMA</w:t>
      </w:r>
      <w:r w:rsidRPr="00CB0307">
        <w:rPr>
          <w:rFonts w:ascii="Gotham" w:hAnsi="Gotham" w:cs="Arial"/>
          <w:sz w:val="19"/>
          <w:szCs w:val="19"/>
        </w:rPr>
        <w:t>.</w:t>
      </w:r>
    </w:p>
    <w:p w14:paraId="3A47587C" w14:textId="77777777" w:rsidR="009B5E39" w:rsidRPr="00CB0307" w:rsidRDefault="009B5E39" w:rsidP="009B5E39">
      <w:pPr>
        <w:ind w:left="284" w:right="283"/>
        <w:jc w:val="both"/>
        <w:rPr>
          <w:rFonts w:ascii="Gotham" w:hAnsi="Gotham" w:cs="Arial"/>
          <w:sz w:val="19"/>
          <w:szCs w:val="19"/>
        </w:rPr>
      </w:pPr>
    </w:p>
    <w:p w14:paraId="3A47587D"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Se sancionará de cinco a diez veces el valor de la UMA a las personas conductoras o personas propietarias de los vehículos, o en su caso, personas operadoras de vehículos del servicio público de transporte que cometan alguna de las siguientes infracciones:</w:t>
      </w:r>
    </w:p>
    <w:p w14:paraId="3A47587E" w14:textId="77777777" w:rsidR="009B5E39" w:rsidRPr="00CB0307" w:rsidRDefault="009B5E39" w:rsidP="009B5E39">
      <w:pPr>
        <w:ind w:left="284" w:right="283"/>
        <w:jc w:val="both"/>
        <w:rPr>
          <w:rFonts w:ascii="Gotham" w:hAnsi="Gotham" w:cs="Arial"/>
          <w:sz w:val="19"/>
          <w:szCs w:val="19"/>
        </w:rPr>
      </w:pPr>
    </w:p>
    <w:p w14:paraId="3A47587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Aprovecharse del paso de vehículos de seguridad o emergencia que circulen con códigos y sirenas encendidos para avanzar inmediatamente detrás de éstos;</w:t>
      </w:r>
    </w:p>
    <w:p w14:paraId="3A47588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Producir ruido excesivo con claxon, mofleo o equipos de audio;</w:t>
      </w:r>
    </w:p>
    <w:p w14:paraId="3A47588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respetar las indicaciones de los policías viales;</w:t>
      </w:r>
    </w:p>
    <w:p w14:paraId="3A475882"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Subir y bajar pasaje en lugar distinto del autorizado, en el caso de transporte de personas pasajeras, cuando no se trate de transporte de personas pasajeras bajo demanda mediante aplicaciones móviles;</w:t>
      </w:r>
    </w:p>
    <w:p w14:paraId="3A475883"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Circular con alguna de las puertas abiertas;</w:t>
      </w:r>
    </w:p>
    <w:p w14:paraId="3A47588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Proferir ofensas al policía vial, mismas que deberán ser comprobadas;</w:t>
      </w:r>
    </w:p>
    <w:p w14:paraId="3A475885"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los vehículos que cuenten con luces no permitidas que impidan la visibilidad de terceros, ya sean fijas o parpadeantes, que no cumplan con las especificaciones señaladas en el reglamento de la presente Ley y accesibilidad preferente;</w:t>
      </w:r>
    </w:p>
    <w:p w14:paraId="3A475886"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portar en forma visible el gafete de identificación como persona operadora o conductora;</w:t>
      </w:r>
    </w:p>
    <w:p w14:paraId="3A475887"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IX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que no respeten su carril de circulación, así como a los que circulen por pasos a desnivel o puentes donde se encuentre expresamente prohibida su circulación, en contravención con las disposiciones de esta Ley y su reglamento y accesibilidad preferente; o</w:t>
      </w:r>
    </w:p>
    <w:p w14:paraId="3A475888"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los vehículos que transporten carga sin contar con las medidas de seguridad, equipo de protección e higiene, ya sea por exceso de dimensiones o derrama de la carga o pongan en riesgo la integridad o patrimonio de terceros.</w:t>
      </w:r>
    </w:p>
    <w:p w14:paraId="3A475889" w14:textId="77777777" w:rsidR="009B5E39" w:rsidRPr="00CB0307" w:rsidRDefault="009B5E39" w:rsidP="009B5E39">
      <w:pPr>
        <w:ind w:left="284" w:right="283"/>
        <w:jc w:val="both"/>
        <w:rPr>
          <w:rFonts w:ascii="Gotham" w:hAnsi="Gotham" w:cs="Arial"/>
          <w:b/>
          <w:sz w:val="19"/>
          <w:szCs w:val="19"/>
        </w:rPr>
      </w:pPr>
    </w:p>
    <w:p w14:paraId="3A47588A"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75. De diez a quince UMA.</w:t>
      </w:r>
    </w:p>
    <w:p w14:paraId="3A47588B" w14:textId="77777777" w:rsidR="009B5E39" w:rsidRPr="00CB0307" w:rsidRDefault="009B5E39" w:rsidP="009B5E39">
      <w:pPr>
        <w:ind w:left="284" w:right="283"/>
        <w:jc w:val="both"/>
        <w:rPr>
          <w:rFonts w:ascii="Gotham" w:hAnsi="Gotham" w:cs="Arial"/>
          <w:sz w:val="19"/>
          <w:szCs w:val="19"/>
        </w:rPr>
      </w:pPr>
    </w:p>
    <w:p w14:paraId="3A47588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 xml:space="preserve">1. </w:t>
      </w:r>
      <w:r>
        <w:rPr>
          <w:rFonts w:ascii="Gotham" w:hAnsi="Gotham" w:cs="Arial"/>
          <w:b/>
          <w:bCs/>
          <w:sz w:val="19"/>
          <w:szCs w:val="19"/>
        </w:rPr>
        <w:tab/>
      </w:r>
      <w:r w:rsidRPr="00CB0307">
        <w:rPr>
          <w:rFonts w:ascii="Gotham" w:hAnsi="Gotham" w:cs="Arial"/>
          <w:sz w:val="19"/>
          <w:szCs w:val="19"/>
        </w:rPr>
        <w:t>Se sancionará de diez a quince veces el valor de la UMA a las personas conductoras o personas propietarias de los vehículos, o en su caso, personas operadoras de vehículos del servicio público de transporte que cometan alguna de las siguientes infracciones:</w:t>
      </w:r>
    </w:p>
    <w:p w14:paraId="3A47588D"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respeten la vuelta con flecha del semáforo, o por no respetar la luz roja del semáforo (alto), o el señalamiento de alto que realice un policía vial;</w:t>
      </w:r>
    </w:p>
    <w:p w14:paraId="3A47588E"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lastRenderedPageBreak/>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Al propietario de un vehículo, por permitir su conducción por persona que no exhiba licencia o permiso vigente;</w:t>
      </w:r>
    </w:p>
    <w:p w14:paraId="3A47588F"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Conducir un vehículo para el que se requiera haber obtenido previamente licencia o permiso específico y no lo exhiba, cuando no se trate de servicio de transporte bajo demanda mediante aplicaciones móviles;</w:t>
      </w:r>
    </w:p>
    <w:p w14:paraId="3A475890"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Conducir vehículo de motor, siendo menor de edad, sin exhibir el permiso correspondiente señalado en el artículo 186 de esta Ley;</w:t>
      </w:r>
    </w:p>
    <w:p w14:paraId="3A475891"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Negarse a acatar la medida que ordene retirar a un vehículo de circulación;</w:t>
      </w:r>
    </w:p>
    <w:p w14:paraId="3A475892"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respetar el derecho establecido para el paso de peatones en la vía de circulación o invadan los accesos o zonas peatonales;</w:t>
      </w:r>
    </w:p>
    <w:p w14:paraId="3A475893"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Estacionarse obstruyendo cochera o estacionamiento exclusivo; o</w:t>
      </w:r>
    </w:p>
    <w:p w14:paraId="3A475894"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Circular sobre la banqueta o estacionarse en la misma, en forma tal, o en horas en que se impida o se entorpezca la libre y segura circulación peatonal.</w:t>
      </w:r>
    </w:p>
    <w:p w14:paraId="3A475895"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2.</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la reincidencia en la infracción prevista en el numeral 1 fracción I del presente artículo cometida dentro de los treinta días siguientes, por personas conductoras operadoras del servicio público de transporte de personas pasajeras, de taxi en sus diversos modos, así como de transporte de personas pasajeras bajo demanda mediante aplicaciones móviles, se duplicará el importe de la multa correspondiente.</w:t>
      </w:r>
    </w:p>
    <w:p w14:paraId="3A475896" w14:textId="77777777" w:rsidR="009B5E39" w:rsidRPr="00CB0307" w:rsidRDefault="009B5E39" w:rsidP="009B5E39">
      <w:pPr>
        <w:ind w:left="284" w:right="283"/>
        <w:jc w:val="both"/>
        <w:rPr>
          <w:rFonts w:ascii="Gotham" w:hAnsi="Gotham" w:cs="Arial"/>
          <w:sz w:val="19"/>
          <w:szCs w:val="19"/>
        </w:rPr>
      </w:pPr>
    </w:p>
    <w:p w14:paraId="3A475897"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76. De diez a treinta UMA.</w:t>
      </w:r>
    </w:p>
    <w:p w14:paraId="3A475898" w14:textId="77777777" w:rsidR="009B5E39" w:rsidRPr="00CB0307" w:rsidRDefault="009B5E39" w:rsidP="009B5E39">
      <w:pPr>
        <w:ind w:left="284" w:right="283"/>
        <w:jc w:val="both"/>
        <w:rPr>
          <w:rFonts w:ascii="Gotham" w:hAnsi="Gotham" w:cs="Arial"/>
          <w:sz w:val="19"/>
          <w:szCs w:val="19"/>
        </w:rPr>
      </w:pPr>
    </w:p>
    <w:p w14:paraId="3A47589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Se sancionará de diez a treinta veces el valor de la UMA a las personas conductoras o personas propietarias de los vehículos, o en su caso, personas operadoras de vehículos del servicio público de transporte o personas administradoras de ruta, que cometan alguna de las siguientes infracciones:</w:t>
      </w:r>
    </w:p>
    <w:p w14:paraId="3A47589A"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coincidir la tarjeta de circulación o calcomanía con el número de placas;</w:t>
      </w:r>
    </w:p>
    <w:p w14:paraId="3A47589B"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Hacer mal uso de las placas de demostración;</w:t>
      </w:r>
    </w:p>
    <w:p w14:paraId="3A47589C"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Impedir o no ceder el paso a vehículos de seguridad cuando lleven encendidos códigos y sirenas;</w:t>
      </w:r>
    </w:p>
    <w:p w14:paraId="3A47589D"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que maneje en sentido contrario o, al que injustificadamente invada el sentido contrario para rebasar en arterias de doble o múltiple circulación, en zona urbana;</w:t>
      </w:r>
    </w:p>
    <w:p w14:paraId="3A47589E"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que rebase en línea continua en carreteras;</w:t>
      </w:r>
    </w:p>
    <w:p w14:paraId="3A47589F"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que circulé en doble y tercer fila para dar vuelta con flecha de semáforo;</w:t>
      </w:r>
    </w:p>
    <w:p w14:paraId="3A4758A0"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utilizar el cinturón de seguridad o hacerlo inadecuadamente, tanto la persona conductora como todas las personas acompañantes;</w:t>
      </w:r>
    </w:p>
    <w:p w14:paraId="3A4758A1"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de un vehículo que exceda en más de diez kilómetros por hora el límite de velocidad máximo permitido, siempre que existan señalamientos en donde se anuncie el citado límite de velocidad. En aquellas zonas en que expresamente se restrinja el límite máximo de velocidad, como son las próximas a centros escolares y hospitales, el reglamento señalará tanto la velocidad máxima permitida en ellas como qué otras zonas se considerarán con velocidad restringida. En estos casos no habrá tolerancia alguna y, en consecuencia, no se deberá, por ningún motivo, rebasar la velocidad permitida;</w:t>
      </w:r>
    </w:p>
    <w:p w14:paraId="3A4758A2"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lastRenderedPageBreak/>
        <w:t>IX.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que conduzca un vehículo de motor en ciclovías, zonas peatonales, jardines, plazas y pistas para uso exclusivo de peatones, a no ser que cuente con la autorización respectiva de la autoridad competente para circular por dichas zonas;</w:t>
      </w:r>
    </w:p>
    <w:p w14:paraId="3A4758A3"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Las personas conductoras que circulen o se estacionen sin causa justificada por el carril de acotamiento;</w:t>
      </w:r>
    </w:p>
    <w:p w14:paraId="3A4758A4"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que no porte, debidamente colocado y ajustado con las correas de seguridad, casco protector para motociclista y, en su caso, también su acompañante;</w:t>
      </w:r>
    </w:p>
    <w:p w14:paraId="3A4758A5"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que no circule conforme lo establece el reglamento de la presente Ley;</w:t>
      </w:r>
    </w:p>
    <w:p w14:paraId="3A4758A6"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que circule en forma paralela o entre carriles que correspondan a otros vehículos;</w:t>
      </w:r>
    </w:p>
    <w:p w14:paraId="3A4758A7"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que no circule con las luces encendidas todo el tiempo;</w:t>
      </w:r>
    </w:p>
    <w:p w14:paraId="3A4758A8"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que no porte debidamente los elementos de seguridad que establece el reglamento de esta Ley;</w:t>
      </w:r>
    </w:p>
    <w:p w14:paraId="3A4758A9"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que transporte carga peligrosa para sí mismo o para terceros;</w:t>
      </w:r>
    </w:p>
    <w:p w14:paraId="3A4758AA"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del servicio de transporte público colectivo de personas pasajeras, por no contar o no presentar licencia de conductor de servicio de transporte público vigente, expedida por la Secretaría;</w:t>
      </w:r>
    </w:p>
    <w:p w14:paraId="3A4758AB"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Tratándose de vehículos de transporte público, realizar viajes especiales fuera de ruta, sin la autorización de excursión;</w:t>
      </w:r>
    </w:p>
    <w:p w14:paraId="3A4758AC"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Omitir los despachadores, los controles, o no proporcionar la información que determine el reglamento de esta Ley;</w:t>
      </w:r>
    </w:p>
    <w:p w14:paraId="3A4758AD"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Los vehículos de itinerario fijo, circular fuera de la ruta autorizada;</w:t>
      </w:r>
    </w:p>
    <w:p w14:paraId="3A4758AE"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Negarse injustificadamente a recibir o bajar carga o a subir o bajar pasaje en los lugares autorizados;</w:t>
      </w:r>
    </w:p>
    <w:p w14:paraId="3A4758AF"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usar taxímetro o cobrar una cuota mayor a la que resulte de aplicar la tarifa correspondiente;</w:t>
      </w:r>
    </w:p>
    <w:p w14:paraId="3A4758B0"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Aplicar condiciones diferentes de las autorizadas en la prestación del servicio, previamente establecidas en el reglamento de la presente Ley, y la norma de carácter técnica correspondiente;</w:t>
      </w:r>
    </w:p>
    <w:p w14:paraId="3A4758B1"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Incumplir lo establecido en el artículo 242 numeral 1 fracción II, de esta Ley;</w:t>
      </w:r>
    </w:p>
    <w:p w14:paraId="3A4758B2"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Brinde servicio deficiente, maltrate o falte al respeto a cualquier ciudadano. Para efectos de la presente fracción existe maltrato cuando a la persona usuaria se le niega el servicio sin causa justificada o sea víctima de actos violentos, discriminatorios o humillantes;</w:t>
      </w:r>
    </w:p>
    <w:p w14:paraId="3A4758B3"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Nieguen, impidan u obstaculicen el uso del servicio público a las personas con discapacidad;</w:t>
      </w:r>
    </w:p>
    <w:p w14:paraId="3A4758B4"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Llevar exceso de pasaje en vehículo de servicio público, conforme a las especificaciones del mismo y a lo establecido en la norma de carácter técnico respectiva;</w:t>
      </w:r>
    </w:p>
    <w:p w14:paraId="3A4758B5"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Estacionarse en rampas o en lugares reservados para vehículos de personas con discapacidad;</w:t>
      </w:r>
    </w:p>
    <w:p w14:paraId="3A4758B6"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lastRenderedPageBreak/>
        <w:t>XXIX.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Preste el servicio mediante el uso de vehículos que contravengan las disposiciones de esta Ley, en su reglamento o cualquier otra disposición técnico-administrativa;</w:t>
      </w:r>
    </w:p>
    <w:p w14:paraId="3A4758B7"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los vehículos de transporte público de personas pasajeras que no circulen con las luces principales e interiores encendidas en los términos del reglamento;</w:t>
      </w:r>
    </w:p>
    <w:p w14:paraId="3A4758B8"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XXXI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los vehículos de transporte público colectivo de personas pasajeras que no circulen con cristales que sean transparentes en su totalidad, en los términos de la norma técnica correspondiente;</w:t>
      </w:r>
    </w:p>
    <w:p w14:paraId="3A4758B9"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XXXII.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Conduzca durante la prestación del servicio, utilizando equipos de sonido, radios, telefonía, equipos de comunicación diversa o luces que distraigan y provoquen molestias a las personas conductoras, usuarias o terceras, salvo los autorizados expresamente en virtud a sus características;</w:t>
      </w:r>
    </w:p>
    <w:p w14:paraId="3A4758BA"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XXXIII.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los vehículos o rutas de transporte público masivo y colectivo de personas pasajeras, que presten el servicio sin el equipamiento previsto en el artículo 267;</w:t>
      </w:r>
    </w:p>
    <w:p w14:paraId="3A4758BB"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XXXIV.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Prestar un servicio público en vehículos distintos a los autorizados;</w:t>
      </w:r>
    </w:p>
    <w:p w14:paraId="3A4758BC"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XXXV.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disponer de un seguro que cubra daños a terceros. Dicha sanción quedará condonada, si el infractor presenta dentro de los veinte días hábiles siguientes la constancia o póliza de seguro contra daños a terceros a la Secretaría o dependencia del Ejecutivo que señale el reglamento de esta Ley;</w:t>
      </w:r>
    </w:p>
    <w:p w14:paraId="3A4758BD" w14:textId="77777777" w:rsidR="009B5E39" w:rsidRPr="00CB0307" w:rsidRDefault="009B5E39" w:rsidP="009B5E39">
      <w:pPr>
        <w:spacing w:after="120"/>
        <w:ind w:left="1985" w:right="283"/>
        <w:jc w:val="both"/>
        <w:rPr>
          <w:rFonts w:ascii="Gotham" w:hAnsi="Gotham" w:cs="Arial"/>
          <w:sz w:val="19"/>
          <w:szCs w:val="19"/>
        </w:rPr>
      </w:pPr>
      <w:r w:rsidRPr="00CB0307">
        <w:rPr>
          <w:rFonts w:ascii="Gotham" w:hAnsi="Gotham" w:cs="Arial"/>
          <w:sz w:val="19"/>
          <w:szCs w:val="19"/>
        </w:rPr>
        <w:t>Los vehículos de transporte público colectivo y masivo, y los de transporte especializado en los modos contemplados en esta Ley, para que puedan prestar dicho servicio, además del seguro de daños a terceros, deben contar con un seguro de vida para las personas pasajeras y que además garantice las posibles lesiones que puedan sufrir las personas usuarias en los casos de los que transporten personas pasajeras, considerando las reglas y consideraciones de calidad en el servicio; o</w:t>
      </w:r>
    </w:p>
    <w:p w14:paraId="3A4758BE"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XXXVI.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Abastecer combustible con pasaje a bordo o con motor encendido, en caso de vehículos del servicio público de transporte.</w:t>
      </w:r>
    </w:p>
    <w:p w14:paraId="3A4758B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2.</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En caso de reincidencia en las infracciones previstas en el numeral 1 fracciones IV y VI del presente artículo, cometidas dentro de los treinta días siguientes, se sancionará a elección del infractor, con arresto de doce horas, o dos jornadas de trabajo en favor de la comunidad en materia de movilidad y transporte.</w:t>
      </w:r>
    </w:p>
    <w:p w14:paraId="3A4758C0"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3.</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la reincidencia en la infracción prevista en el numeral 1 fracción XXXIV del presente artículo cometida dentro de los treinta días siguientes, por personas conductoras operadoras del servicio de transporte público colectivo de personas pasajeras, de taxi en sus diversos modos, así como de transporte de personas pasajeras bajo demanda mediante aplicaciones móviles, se duplicará el importe de la multa correspondiente.</w:t>
      </w:r>
    </w:p>
    <w:p w14:paraId="3A4758C1" w14:textId="77777777" w:rsidR="009B5E39" w:rsidRPr="00CB0307" w:rsidRDefault="009B5E39" w:rsidP="009B5E39">
      <w:pPr>
        <w:ind w:left="284" w:right="283"/>
        <w:jc w:val="both"/>
        <w:rPr>
          <w:rFonts w:ascii="Gotham" w:hAnsi="Gotham" w:cs="Arial"/>
          <w:sz w:val="19"/>
          <w:szCs w:val="19"/>
        </w:rPr>
      </w:pPr>
    </w:p>
    <w:p w14:paraId="3A4758C2"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77. De quince a veinticinco UMA.</w:t>
      </w:r>
    </w:p>
    <w:p w14:paraId="3A4758C3" w14:textId="77777777" w:rsidR="009B5E39" w:rsidRPr="00CB0307" w:rsidRDefault="009B5E39" w:rsidP="009B5E39">
      <w:pPr>
        <w:ind w:left="284" w:right="283"/>
        <w:jc w:val="both"/>
        <w:rPr>
          <w:rFonts w:ascii="Gotham" w:hAnsi="Gotham" w:cs="Arial"/>
          <w:sz w:val="19"/>
          <w:szCs w:val="19"/>
        </w:rPr>
      </w:pPr>
    </w:p>
    <w:p w14:paraId="3A4758C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Se sancionará de quince a veinticinco veces el valor de la UMA a las personas conductoras o personas propietarias de los vehículos, o en su caso, personas operadoras de vehículos del servicio público de transporte que cometan alguna de las siguientes infracciones:</w:t>
      </w:r>
    </w:p>
    <w:p w14:paraId="3A4758C5"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Que no estando autorizadas por la autoridad competente, se estacionen o circulen en carril compartido, en contradicción a lo previsto en la presente Ley y sus reglamentos;</w:t>
      </w:r>
    </w:p>
    <w:p w14:paraId="3A4758C6"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Cuando al circular exceda la capacidad de personas pasajeras que señale la tarjeta de circulación;</w:t>
      </w:r>
    </w:p>
    <w:p w14:paraId="3A4758C7"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lastRenderedPageBreak/>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Falta de una placa de circulación;</w:t>
      </w:r>
    </w:p>
    <w:p w14:paraId="3A4758C8"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cuando se exceda la capacidad de personas pasajeras que señale la tarjeta de circulación;</w:t>
      </w:r>
    </w:p>
    <w:p w14:paraId="3A4758C9"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moverse del lugar en un siniestro de tránsito de colisión, salvo en caso de llegar a un convenio las partes que participaron en dicho evento, o por instrucciones del policía vial o de tránsito municipal, quien está autorizado a utilizar cualquier medio, incluso los electrónicos, a efectos de establecer lo más pronto posible la circulación;</w:t>
      </w:r>
    </w:p>
    <w:p w14:paraId="3A4758CA"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presentar licencia o permiso vigente para conducir;</w:t>
      </w:r>
    </w:p>
    <w:p w14:paraId="3A4758CB"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Transportar una persona menor de doce años de edad en los asientos delanteros, salvo en los vehículos que no cuenten con asientos traseros. En ambos casos, en todo momento deberán transportar a la persona menor en asientos de seguridad o asientos elevadores o sistema de sujeción adecuados a su edad y constitución física, debidamente asegurados; o</w:t>
      </w:r>
    </w:p>
    <w:p w14:paraId="3A4758CC" w14:textId="77777777" w:rsidR="009B5E39" w:rsidRPr="00CB0307" w:rsidRDefault="009B5E39" w:rsidP="009B5E39">
      <w:pPr>
        <w:ind w:left="1985" w:right="283" w:hanging="851"/>
        <w:jc w:val="both"/>
        <w:rPr>
          <w:rFonts w:ascii="Gotham" w:hAnsi="Gotham" w:cs="Arial"/>
          <w:sz w:val="19"/>
          <w:szCs w:val="19"/>
        </w:rPr>
      </w:pPr>
      <w:r w:rsidRPr="00CB0307">
        <w:rPr>
          <w:rFonts w:ascii="Gotham" w:hAnsi="Gotham" w:cs="Arial"/>
          <w:b/>
          <w:bCs/>
          <w:sz w:val="19"/>
          <w:szCs w:val="19"/>
        </w:rPr>
        <w:t>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Conducir vehículo de motor, haciendo uso de aparatos de telefonía.</w:t>
      </w:r>
    </w:p>
    <w:p w14:paraId="3A4758CD" w14:textId="77777777" w:rsidR="009B5E39" w:rsidRPr="00CB0307" w:rsidRDefault="009B5E39" w:rsidP="009B5E39">
      <w:pPr>
        <w:ind w:left="284" w:right="283"/>
        <w:jc w:val="both"/>
        <w:rPr>
          <w:rFonts w:ascii="Gotham" w:hAnsi="Gotham" w:cs="Arial"/>
          <w:sz w:val="19"/>
          <w:szCs w:val="19"/>
        </w:rPr>
      </w:pPr>
    </w:p>
    <w:p w14:paraId="3A4758CE"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78. De veinte a veinticinco UMA.</w:t>
      </w:r>
    </w:p>
    <w:p w14:paraId="3A4758CF" w14:textId="77777777" w:rsidR="009B5E39" w:rsidRPr="00CB0307" w:rsidRDefault="009B5E39" w:rsidP="009B5E39">
      <w:pPr>
        <w:ind w:left="284" w:right="283"/>
        <w:jc w:val="both"/>
        <w:rPr>
          <w:rFonts w:ascii="Gotham" w:hAnsi="Gotham" w:cs="Arial"/>
          <w:sz w:val="19"/>
          <w:szCs w:val="19"/>
        </w:rPr>
      </w:pPr>
    </w:p>
    <w:p w14:paraId="3A4758D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Se sancionará de veinte a veinticinco veces el valor de la UMA a las personas conductoras o personas propietarias de los vehículos o en su caso, personas operadoras de vehículos del servicio público de transporte, que cometan alguna de las siguientes infracciones:</w:t>
      </w:r>
    </w:p>
    <w:p w14:paraId="3A4758D1"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Circular sin el comprobante de verificación vehicular vigente;</w:t>
      </w:r>
    </w:p>
    <w:p w14:paraId="3A4758D2"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Al propietario del vehículo que no haya sido verificado dentro del plazo establecido en el programa de verificación vehicular; o</w:t>
      </w:r>
    </w:p>
    <w:p w14:paraId="3A4758D3"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del vehículo que porte algún comprobante del programa de verificación vehicular apócrifo o que no corresponda al vehículo que lo porte.</w:t>
      </w:r>
    </w:p>
    <w:p w14:paraId="3A4758D4"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2.</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En los supuestos establecidos por el numeral 1 fracciones I y II, la sanción que se imponga podrá ser condonada si el vehículo que la motivó es verificado con resultado aprobatorio, dentro de los treinta días naturales siguientes al de la notificación de la sanción.</w:t>
      </w:r>
    </w:p>
    <w:p w14:paraId="3A4758D5" w14:textId="77777777" w:rsidR="009B5E39" w:rsidRPr="00CB0307" w:rsidRDefault="009B5E39" w:rsidP="009B5E39">
      <w:pPr>
        <w:ind w:left="284" w:right="283"/>
        <w:jc w:val="both"/>
        <w:rPr>
          <w:rFonts w:ascii="Gotham" w:hAnsi="Gotham" w:cs="Arial"/>
          <w:sz w:val="19"/>
          <w:szCs w:val="19"/>
        </w:rPr>
      </w:pPr>
    </w:p>
    <w:p w14:paraId="3A4758D6"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79. De veinte a treinta UMA.</w:t>
      </w:r>
    </w:p>
    <w:p w14:paraId="3A4758D7" w14:textId="77777777" w:rsidR="009B5E39" w:rsidRPr="00CB0307" w:rsidRDefault="009B5E39" w:rsidP="009B5E39">
      <w:pPr>
        <w:ind w:left="284" w:right="283"/>
        <w:jc w:val="both"/>
        <w:rPr>
          <w:rFonts w:ascii="Gotham" w:hAnsi="Gotham" w:cs="Arial"/>
          <w:sz w:val="19"/>
          <w:szCs w:val="19"/>
        </w:rPr>
      </w:pPr>
    </w:p>
    <w:p w14:paraId="3A4758D8"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1.</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Se sancionará de veinte a treinta veces el valor de la UMA a las personas conductoras o personas propietarias de los vehículos o en su caso, personas operadoras de vehículos del servicio público de transporte, que cometan alguna de las siguientes infracciones:</w:t>
      </w:r>
    </w:p>
    <w:p w14:paraId="3A4758D9"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que circule en el Estado de Jalisco, en un vehículo que con independencia de que cuente con su comprobante vigente, de acuerdo al programa de verificación vehicular de la Secretaría de Medio Ambiente y Desarrollo Territorial, que al circular sea inspeccionado por la autoridad que determine técnicamente que emite gases contaminantes a la atmósfera que exceden los límites permisibles establecidos por las Normas Oficiales Mexicanas;</w:t>
      </w:r>
    </w:p>
    <w:p w14:paraId="3A4758DA"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Las personas conductoras de vehículos de carga pesada que circulen, por carriles centrales o de alta velocidad o por no circular en zona prohibida; o</w:t>
      </w:r>
    </w:p>
    <w:p w14:paraId="3A4758DB"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Proporcionar servicio de transporte público en cualquiera de sus modos en localidad distinta de la autorizada.</w:t>
      </w:r>
    </w:p>
    <w:p w14:paraId="3A4758DC"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2</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La multa correspondiente al numeral 1 fracción I de este artículo, será reducida al mínimo si es que el problema de contaminación es corregido y lo acredita con el comprobante vigente fechado dentro de los treinta días naturales siguientes a la liberación del vehículo.</w:t>
      </w:r>
    </w:p>
    <w:p w14:paraId="3A4758DD"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lastRenderedPageBreak/>
        <w:t>3.</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la reincidencia en la infracción prevista en el numeral 1 fracción III del presente artículo cometida dentro de los treinta días siguientes, por personas conductoras operadoras del servicio de transporte público colectivo de personas pasajeras, de taxi en sus diversos modos, así como de transporte de personas pasajeras bajo demanda mediante aplicaciones móviles, se duplicará el importe de la multa correspondiente.</w:t>
      </w:r>
    </w:p>
    <w:p w14:paraId="3A4758DE" w14:textId="77777777" w:rsidR="009B5E39" w:rsidRPr="00CB0307" w:rsidRDefault="009B5E39" w:rsidP="009B5E39">
      <w:pPr>
        <w:ind w:left="284" w:right="283"/>
        <w:jc w:val="both"/>
        <w:rPr>
          <w:rFonts w:ascii="Gotham" w:hAnsi="Gotham" w:cs="Arial"/>
          <w:sz w:val="19"/>
          <w:szCs w:val="19"/>
        </w:rPr>
      </w:pPr>
    </w:p>
    <w:p w14:paraId="3A4758DF"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80</w:t>
      </w:r>
      <w:r w:rsidRPr="00CB0307">
        <w:rPr>
          <w:rFonts w:ascii="Gotham" w:hAnsi="Gotham" w:cs="Arial"/>
          <w:sz w:val="19"/>
          <w:szCs w:val="19"/>
        </w:rPr>
        <w:t xml:space="preserve">. </w:t>
      </w:r>
      <w:r w:rsidRPr="00CB0307">
        <w:rPr>
          <w:rFonts w:ascii="Gotham" w:hAnsi="Gotham" w:cs="Arial"/>
          <w:b/>
          <w:sz w:val="19"/>
          <w:szCs w:val="19"/>
        </w:rPr>
        <w:t>De veinte a sesenta UMA.</w:t>
      </w:r>
    </w:p>
    <w:p w14:paraId="3A4758E0" w14:textId="77777777" w:rsidR="009B5E39" w:rsidRPr="00CB0307" w:rsidRDefault="009B5E39" w:rsidP="009B5E39">
      <w:pPr>
        <w:ind w:left="284" w:right="283"/>
        <w:jc w:val="both"/>
        <w:rPr>
          <w:rFonts w:ascii="Gotham" w:hAnsi="Gotham" w:cs="Arial"/>
          <w:b/>
          <w:bCs/>
          <w:sz w:val="19"/>
          <w:szCs w:val="19"/>
        </w:rPr>
      </w:pPr>
    </w:p>
    <w:p w14:paraId="3A4758E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1.</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Se sancionará de veinte a sesenta veces el valor de la UMA a las personas conductoras o personas propietarias de los vehículos, o en su caso, personas operadoras de vehículos del servicio público de transporte que cometan alguna de las siguientes infracciones:</w:t>
      </w:r>
    </w:p>
    <w:p w14:paraId="3A4758E2"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 xml:space="preserve">Circular o estacionarse en ciclovías o en los lugares específicamente destinados al estacionamiento de bicicletas, </w:t>
      </w:r>
      <w:r w:rsidR="00190E4A" w:rsidRPr="00CB0307">
        <w:rPr>
          <w:rFonts w:ascii="Gotham" w:hAnsi="Gotham" w:cs="Arial"/>
          <w:sz w:val="19"/>
          <w:szCs w:val="19"/>
        </w:rPr>
        <w:t>aun</w:t>
      </w:r>
      <w:r w:rsidRPr="00CB0307">
        <w:rPr>
          <w:rFonts w:ascii="Gotham" w:hAnsi="Gotham" w:cs="Arial"/>
          <w:sz w:val="19"/>
          <w:szCs w:val="19"/>
        </w:rPr>
        <w:t xml:space="preserve"> cuando se trate de personas conductoras de motocicletas;</w:t>
      </w:r>
    </w:p>
    <w:p w14:paraId="3A4758E3"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Alcanzar o rebasar a una persona ciclista sin respetar las distancias a que se refiere el artículo 119 numeral 6 de esta Ley;</w:t>
      </w:r>
    </w:p>
    <w:p w14:paraId="3A4758E4"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respetar los derechos de preferencia de las personas ciclistas a que se refiere el artículo 31 de esta Ley;</w:t>
      </w:r>
    </w:p>
    <w:p w14:paraId="3A4758E5"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Impedir o interferir de forma premeditada en la circulación de un grupo ciclista, así como intentar dividir o ingresar a un contingente o grupo de personas ciclistas;</w:t>
      </w:r>
    </w:p>
    <w:p w14:paraId="3A4758E6"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Invadir la zona de espera en los semáforos;</w:t>
      </w:r>
    </w:p>
    <w:p w14:paraId="3A4758E7"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Circular sin placas o con placas vencidas, sin la concesión, permiso o autorización correspondiente o se encuentre vencida;</w:t>
      </w:r>
    </w:p>
    <w:p w14:paraId="3A4758E8"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motociclista que lleve como acompañante a una persona menor de edad que no pueda sujetarse por sus propios medios y alcanzar el posapiés que tenga el vehículo para ese efecto; o</w:t>
      </w:r>
    </w:p>
    <w:p w14:paraId="3A4758E9"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No coincidir la rotulación con el número de placas, vehículos del servicio público de transporte.</w:t>
      </w:r>
    </w:p>
    <w:p w14:paraId="3A4758EA"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2.</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Las sanciones pecuniarias previstas en el numeral 1 fracciones I, II, III, IV y V del presente artículo, se conmutarán al sesenta por ciento, siempre y cuando se acredite la asistencia al curso de sensibilización sobre los derechos de las personas ciclistas que al efecto imparta la Secretaría o las autoridades competentes en materia de movilidad, seguridad vial y transporte.</w:t>
      </w:r>
    </w:p>
    <w:p w14:paraId="3A4758EB" w14:textId="77777777" w:rsidR="009B5E39" w:rsidRPr="00CB0307" w:rsidRDefault="009B5E39" w:rsidP="009B5E39">
      <w:pPr>
        <w:ind w:left="284" w:right="283"/>
        <w:jc w:val="both"/>
        <w:rPr>
          <w:rFonts w:ascii="Gotham" w:hAnsi="Gotham" w:cs="Arial"/>
          <w:sz w:val="19"/>
          <w:szCs w:val="19"/>
        </w:rPr>
      </w:pPr>
    </w:p>
    <w:p w14:paraId="3A4758EC" w14:textId="77777777" w:rsidR="009B5E39" w:rsidRPr="00CB0307" w:rsidRDefault="009B5E39" w:rsidP="009B5E39">
      <w:pPr>
        <w:ind w:left="284" w:right="283"/>
        <w:jc w:val="both"/>
        <w:rPr>
          <w:rFonts w:ascii="Gotham" w:hAnsi="Gotham" w:cs="Arial"/>
          <w:bCs/>
          <w:sz w:val="19"/>
          <w:szCs w:val="19"/>
        </w:rPr>
      </w:pPr>
      <w:r w:rsidRPr="00CB0307">
        <w:rPr>
          <w:rFonts w:ascii="Gotham" w:hAnsi="Gotham" w:cs="Arial"/>
          <w:b/>
          <w:sz w:val="19"/>
          <w:szCs w:val="19"/>
        </w:rPr>
        <w:t xml:space="preserve">Artículo 81. </w:t>
      </w:r>
      <w:r w:rsidRPr="00CB0307">
        <w:rPr>
          <w:rFonts w:ascii="Gotham" w:hAnsi="Gotham" w:cs="Arial"/>
          <w:bCs/>
          <w:sz w:val="19"/>
          <w:szCs w:val="19"/>
        </w:rPr>
        <w:t>De treinta a cincuenta UMA.</w:t>
      </w:r>
    </w:p>
    <w:p w14:paraId="3A4758ED" w14:textId="77777777" w:rsidR="009B5E39" w:rsidRPr="00CB0307" w:rsidRDefault="009B5E39" w:rsidP="009B5E39">
      <w:pPr>
        <w:ind w:left="284" w:right="283"/>
        <w:jc w:val="both"/>
        <w:rPr>
          <w:rFonts w:ascii="Gotham" w:hAnsi="Gotham" w:cs="Arial"/>
          <w:sz w:val="19"/>
          <w:szCs w:val="19"/>
        </w:rPr>
      </w:pPr>
    </w:p>
    <w:p w14:paraId="3A4758E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1.</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Se sancionará de treinta a cincuenta veces el valor de la UMA a las personas conductoras o personas propietarias de los vehículos o en su caso, personas operadoras de vehículos del servicio público de transporte, que cometan la siguiente infracción:</w:t>
      </w:r>
    </w:p>
    <w:p w14:paraId="3A4758EF"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que circule en el Estado de Jalisco, en un vehículo de transporte público o de carga pesada que con independencia de que cuente con su comprobante vigente, de acuerdo al programa de verificación vehicular de la Secretaría de Medio Ambiente y Desarrollo Territorial, que al circular sea inspeccionado por la autoridad que determine técnicamente que emite gases contaminantes a la atmósfera que rebasen uno punto cinco veces los límites permisibles establecidos por las Normas Oficiales Mexicanas.</w:t>
      </w:r>
    </w:p>
    <w:p w14:paraId="3A4758F0"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2.</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La multa correspondiente al numeral 1 fracción I de este artículo, será reducida al mínimo si es que el problema de contaminación es corregido y lo acredita con el comprobante vigente fechado dentro de los treinta días naturales siguientes a la liberación del vehículo.</w:t>
      </w:r>
    </w:p>
    <w:p w14:paraId="3A4758F1" w14:textId="77777777" w:rsidR="009B5E39" w:rsidRPr="00CB0307" w:rsidRDefault="009B5E39" w:rsidP="009B5E39">
      <w:pPr>
        <w:ind w:left="284" w:right="283"/>
        <w:jc w:val="both"/>
        <w:rPr>
          <w:rFonts w:ascii="Gotham" w:hAnsi="Gotham" w:cs="Arial"/>
          <w:sz w:val="19"/>
          <w:szCs w:val="19"/>
        </w:rPr>
      </w:pPr>
    </w:p>
    <w:p w14:paraId="3A4758F2"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82. De cuarenta a sesenta UMA.</w:t>
      </w:r>
    </w:p>
    <w:p w14:paraId="3A4758F3" w14:textId="77777777" w:rsidR="009B5E39" w:rsidRPr="00CB0307" w:rsidRDefault="009B5E39" w:rsidP="009B5E39">
      <w:pPr>
        <w:ind w:left="284" w:right="283"/>
        <w:jc w:val="both"/>
        <w:rPr>
          <w:rFonts w:ascii="Gotham" w:hAnsi="Gotham" w:cs="Arial"/>
          <w:sz w:val="19"/>
          <w:szCs w:val="19"/>
        </w:rPr>
      </w:pPr>
    </w:p>
    <w:p w14:paraId="3A4758F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1.</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Se sancionará de cuarenta a sesenta veces el valor de la UMA a las personas conductoras o personas propietarias de los vehículos pesados definidos conforme al reglamento que cometan la siguiente infracción:</w:t>
      </w:r>
    </w:p>
    <w:p w14:paraId="3A4758F5" w14:textId="77777777" w:rsidR="009B5E39" w:rsidRPr="00CB0307" w:rsidRDefault="009B5E39" w:rsidP="009B5E39">
      <w:pPr>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que circule en el Estado de Jalisco, en un vehículo pesado que con independencia de que cuente con su comprobante vigente, de acuerdo al programa de verificación vehicular de la Secretaría de Medio Ambiente y Desarrollo Territorial, que al circular sea inspeccionado por la autoridad que determine técnicamente que emite gases contaminantes a la atmósfera que rebasen los límites permisibles establecidos por las Normas Oficiales Mexicanas.</w:t>
      </w:r>
    </w:p>
    <w:p w14:paraId="3A4758F6" w14:textId="77777777" w:rsidR="009B5E39" w:rsidRPr="00CB0307" w:rsidRDefault="009B5E39" w:rsidP="009B5E39">
      <w:pPr>
        <w:ind w:left="284" w:right="283"/>
        <w:jc w:val="both"/>
        <w:rPr>
          <w:rFonts w:ascii="Gotham" w:hAnsi="Gotham" w:cs="Arial"/>
          <w:sz w:val="19"/>
          <w:szCs w:val="19"/>
        </w:rPr>
      </w:pPr>
    </w:p>
    <w:p w14:paraId="3A4758F7"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83. De cincuenta a setenta UMA.</w:t>
      </w:r>
    </w:p>
    <w:p w14:paraId="3A4758F8" w14:textId="77777777" w:rsidR="009B5E39" w:rsidRPr="00CB0307" w:rsidRDefault="009B5E39" w:rsidP="009B5E39">
      <w:pPr>
        <w:ind w:left="284" w:right="283"/>
        <w:jc w:val="both"/>
        <w:rPr>
          <w:rFonts w:ascii="Gotham" w:hAnsi="Gotham" w:cs="Arial"/>
          <w:sz w:val="19"/>
          <w:szCs w:val="19"/>
        </w:rPr>
      </w:pPr>
    </w:p>
    <w:p w14:paraId="3A4758F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Se sancionará de cincuenta a setenta veces el valor de la UMA a las personas conductoras o personas propietarias de los vehículos o en su caso, personas operadoras de vehículos del servicio público de transporte que cometan la siguiente infracción:</w:t>
      </w:r>
    </w:p>
    <w:p w14:paraId="3A4758FA"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A la persona conductora que circule en el Estado de Jalisco, en un vehículo que con independencia de que cuente con su comprobante vigente, de acuerdo al programa de verificación vehicular de la Secretaría de Medio Ambiente y Desarrollo Territorial, que al circular sea inspeccionado por la autoridad que determine técnicamente que emite gases contaminantes a la atmósfera que rebasen dos veces los límites permisibles establecidos por las Normas Oficiales Mexicanas.</w:t>
      </w:r>
    </w:p>
    <w:p w14:paraId="3A4758FB"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sz w:val="19"/>
          <w:szCs w:val="19"/>
        </w:rPr>
        <w:t xml:space="preserve">2. </w:t>
      </w:r>
      <w:r>
        <w:rPr>
          <w:rFonts w:ascii="Gotham" w:hAnsi="Gotham" w:cs="Arial"/>
          <w:sz w:val="19"/>
          <w:szCs w:val="19"/>
        </w:rPr>
        <w:tab/>
      </w:r>
      <w:r w:rsidRPr="00CB0307">
        <w:rPr>
          <w:rFonts w:ascii="Gotham" w:hAnsi="Gotham" w:cs="Arial"/>
          <w:sz w:val="19"/>
          <w:szCs w:val="19"/>
        </w:rPr>
        <w:t>La multa correspondiente al numeral 1 fracción I de este artículo, será reducida al mínimo si es que el problema de contaminación es corregido y lo acredita con el comprobante vigente fechado dentro de los treinta días naturales siguientes a la liberación del vehículo.</w:t>
      </w:r>
    </w:p>
    <w:p w14:paraId="3A4758FC" w14:textId="77777777" w:rsidR="009B5E39" w:rsidRPr="00CB0307" w:rsidRDefault="009B5E39" w:rsidP="009B5E39">
      <w:pPr>
        <w:ind w:left="284" w:right="283"/>
        <w:jc w:val="both"/>
        <w:rPr>
          <w:rFonts w:ascii="Gotham" w:hAnsi="Gotham" w:cs="Arial"/>
          <w:sz w:val="19"/>
          <w:szCs w:val="19"/>
        </w:rPr>
      </w:pPr>
    </w:p>
    <w:p w14:paraId="3A4758FD"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84. De sesenta a ochenta UMA.</w:t>
      </w:r>
    </w:p>
    <w:p w14:paraId="3A4758FE" w14:textId="77777777" w:rsidR="009B5E39" w:rsidRPr="00CB0307" w:rsidRDefault="009B5E39" w:rsidP="009B5E39">
      <w:pPr>
        <w:ind w:left="284" w:right="283"/>
        <w:jc w:val="both"/>
        <w:rPr>
          <w:rFonts w:ascii="Gotham" w:hAnsi="Gotham" w:cs="Arial"/>
          <w:sz w:val="19"/>
          <w:szCs w:val="19"/>
        </w:rPr>
      </w:pPr>
    </w:p>
    <w:p w14:paraId="3A4758F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Se sancionará de sesenta a ochenta veces el valor de la UMA a las personas conductoras o personas propietarias de los vehículos pesados definidos conforme al reglamento que cometan la siguiente infracción:</w:t>
      </w:r>
    </w:p>
    <w:p w14:paraId="3A475900" w14:textId="77777777" w:rsidR="009B5E39" w:rsidRPr="00CB0307" w:rsidRDefault="009B5E39" w:rsidP="009B5E39">
      <w:pPr>
        <w:ind w:left="1985" w:right="283" w:hanging="851"/>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A la persona conductora que circule en el Estado de Jalisco, en un vehículo pesado que con independencia de que cuente con su comprobante vigente, de acuerdo al programa de verificación vehicular de la Secretaría de Medio Ambiente y Desarrollo Territorial, que al circular sea inspeccionado por la autoridad que determine técnicamente que emite gases contaminantes a la atmósfera que rebasen uno punto cinco veces los límites permisibles establecidos por las Normas Oficiales Mexicanas.</w:t>
      </w:r>
    </w:p>
    <w:p w14:paraId="3A475901" w14:textId="77777777" w:rsidR="009B5E39" w:rsidRPr="00CB0307" w:rsidRDefault="009B5E39" w:rsidP="009B5E39">
      <w:pPr>
        <w:ind w:left="284" w:right="283"/>
        <w:jc w:val="both"/>
        <w:rPr>
          <w:rFonts w:ascii="Gotham" w:hAnsi="Gotham" w:cs="Arial"/>
          <w:sz w:val="19"/>
          <w:szCs w:val="19"/>
        </w:rPr>
      </w:pPr>
    </w:p>
    <w:p w14:paraId="3A475902"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85. De ochenta a cien UMA.</w:t>
      </w:r>
    </w:p>
    <w:p w14:paraId="3A475903" w14:textId="77777777" w:rsidR="009B5E39" w:rsidRPr="00CB0307" w:rsidRDefault="009B5E39" w:rsidP="009B5E39">
      <w:pPr>
        <w:ind w:left="284" w:right="283"/>
        <w:jc w:val="both"/>
        <w:rPr>
          <w:rFonts w:ascii="Gotham" w:hAnsi="Gotham" w:cs="Arial"/>
          <w:sz w:val="19"/>
          <w:szCs w:val="19"/>
        </w:rPr>
      </w:pPr>
    </w:p>
    <w:p w14:paraId="3A475904"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Se sancionará de ochenta a cien veces el valor de la UMA a las personas conductoras o personas propietarias de los vehículos pesados definidos conforme al reglamento que cometan la siguiente infracción:</w:t>
      </w:r>
    </w:p>
    <w:p w14:paraId="3A475905" w14:textId="77777777" w:rsidR="009B5E39" w:rsidRPr="00CB0307" w:rsidRDefault="009B5E39" w:rsidP="009B5E39">
      <w:pPr>
        <w:ind w:left="1985" w:right="283" w:hanging="851"/>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A la persona conductora que circule en el Estado de Jalisco, en un vehículo pesado que con independencia de que cuente con su comprobante vigente, de acuerdo al programa de verificación vehicular de la Secretaría de Medio Ambiente y Desarrollo Territorial, que al circular sea inspeccionado por la autoridad que determine técnicamente que emite gases contaminantes a la atmósfera que rebasen dos veces los límites permisibles establecidos por las Normas Oficiales Mexicanas.</w:t>
      </w:r>
    </w:p>
    <w:p w14:paraId="3A475906" w14:textId="77777777" w:rsidR="009B5E39" w:rsidRPr="00CB0307" w:rsidRDefault="009B5E39" w:rsidP="009B5E39">
      <w:pPr>
        <w:ind w:left="284" w:right="283"/>
        <w:jc w:val="both"/>
        <w:rPr>
          <w:rFonts w:ascii="Gotham" w:hAnsi="Gotham" w:cs="Arial"/>
          <w:sz w:val="19"/>
          <w:szCs w:val="19"/>
        </w:rPr>
      </w:pPr>
    </w:p>
    <w:p w14:paraId="3A475907"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86. De cien a ciento cincuenta UMA.</w:t>
      </w:r>
    </w:p>
    <w:p w14:paraId="3A475908" w14:textId="77777777" w:rsidR="009B5E39" w:rsidRPr="00CB0307" w:rsidRDefault="009B5E39" w:rsidP="009B5E39">
      <w:pPr>
        <w:ind w:left="284" w:right="283"/>
        <w:jc w:val="both"/>
        <w:rPr>
          <w:rFonts w:ascii="Gotham" w:hAnsi="Gotham" w:cs="Arial"/>
          <w:sz w:val="19"/>
          <w:szCs w:val="19"/>
        </w:rPr>
      </w:pPr>
    </w:p>
    <w:p w14:paraId="3A475909"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Se sancionará de cien a ciento cincuenta veces el valor de la UMA a las personas conductoras o personas propietarias de los vehículos que cometan la siguiente infracción:</w:t>
      </w:r>
    </w:p>
    <w:p w14:paraId="3A47590A" w14:textId="77777777" w:rsidR="009B5E39" w:rsidRPr="00CB0307" w:rsidRDefault="009B5E39" w:rsidP="009B5E39">
      <w:pPr>
        <w:ind w:left="1985" w:right="283" w:hanging="851"/>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Circular un vehículo destinado exclusivamente de uso publicitario para difundir o promover publicidad, productos, marcas, servicios o personas, con excepción de los carros alegóricos con publicidad en desfiles.</w:t>
      </w:r>
    </w:p>
    <w:p w14:paraId="3A47590B" w14:textId="77777777" w:rsidR="009B5E39" w:rsidRPr="00CB0307" w:rsidRDefault="009B5E39" w:rsidP="009B5E39">
      <w:pPr>
        <w:ind w:left="284" w:right="283"/>
        <w:jc w:val="both"/>
        <w:rPr>
          <w:rFonts w:ascii="Gotham" w:hAnsi="Gotham" w:cs="Arial"/>
          <w:sz w:val="19"/>
          <w:szCs w:val="19"/>
        </w:rPr>
      </w:pPr>
    </w:p>
    <w:p w14:paraId="3A47590C"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87. De ciento cincuenta a doscientos UMA.</w:t>
      </w:r>
    </w:p>
    <w:p w14:paraId="3A47590D" w14:textId="77777777" w:rsidR="009B5E39" w:rsidRPr="00CB0307" w:rsidRDefault="009B5E39" w:rsidP="009B5E39">
      <w:pPr>
        <w:ind w:left="284" w:right="283"/>
        <w:jc w:val="both"/>
        <w:rPr>
          <w:rFonts w:ascii="Gotham" w:hAnsi="Gotham" w:cs="Arial"/>
          <w:sz w:val="19"/>
          <w:szCs w:val="19"/>
        </w:rPr>
      </w:pPr>
    </w:p>
    <w:p w14:paraId="3A47590E"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1. </w:t>
      </w:r>
      <w:r>
        <w:rPr>
          <w:rFonts w:ascii="Gotham" w:hAnsi="Gotham" w:cs="Arial"/>
          <w:sz w:val="19"/>
          <w:szCs w:val="19"/>
        </w:rPr>
        <w:tab/>
      </w:r>
      <w:r w:rsidRPr="00CB0307">
        <w:rPr>
          <w:rFonts w:ascii="Gotham" w:hAnsi="Gotham" w:cs="Arial"/>
          <w:sz w:val="19"/>
          <w:szCs w:val="19"/>
        </w:rPr>
        <w:t>Se sancionará de ciento cincuenta a doscientos veces el valor de la UMA a las personas conductoras o personas propietarias de los vehículos, o en su caso, personas operadoras de vehículos del servicio público de transporte que cometan alguna de las siguientes infracciones:</w:t>
      </w:r>
    </w:p>
    <w:p w14:paraId="3A47590F"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Circular con placas ocultas totalmente o parcialmente con cualquier objeto o material que impida la plena identificación de los números de placas o que alguna de éstas se encuentre alterada o llevar en la parte exterior del vehículo, además de las placas autorizadas, otras diferentes que contengan numeración o que impidan la visibilidad de aquéllas;</w:t>
      </w:r>
    </w:p>
    <w:p w14:paraId="3A475910"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Circular o estacionarse por corredores exclusivos y confinados para el transporte público colectivo y masivo y carriles de contraflujo, así como a quienes crucen dichos corredores sin respetar los señalamientos viales;</w:t>
      </w:r>
    </w:p>
    <w:p w14:paraId="3A475911"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o propietaria que estando presente y teniendo el vehículo en su radio de inmediata disposición, se reúna o participe en arrancones, carreras clandestinas, acrobacias, maniobras riesgosas o temerarias que pongan en riesgo la vida, de quien lo realice y de todos los sujetos activos de la movilidad;</w:t>
      </w:r>
    </w:p>
    <w:p w14:paraId="3A475912"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 xml:space="preserve">Cuando estando presentes en los lugares donde se llevan a cabo maniobras riesgosas o temerarias, que pongan en peligro la vida de las personas presentes en el sitio donde se lleven a cabo las mismas </w:t>
      </w:r>
      <w:proofErr w:type="spellStart"/>
      <w:r w:rsidRPr="00CB0307">
        <w:rPr>
          <w:rFonts w:ascii="Gotham" w:hAnsi="Gotham" w:cs="Arial"/>
          <w:sz w:val="19"/>
          <w:szCs w:val="19"/>
        </w:rPr>
        <w:t>ó</w:t>
      </w:r>
      <w:proofErr w:type="spellEnd"/>
      <w:r w:rsidRPr="00CB0307">
        <w:rPr>
          <w:rFonts w:ascii="Gotham" w:hAnsi="Gotham" w:cs="Arial"/>
          <w:sz w:val="19"/>
          <w:szCs w:val="19"/>
        </w:rPr>
        <w:t xml:space="preserve"> se encuentren en un radio de alcance que los rodean, </w:t>
      </w:r>
      <w:proofErr w:type="spellStart"/>
      <w:r w:rsidRPr="00CB0307">
        <w:rPr>
          <w:rFonts w:ascii="Gotham" w:hAnsi="Gotham" w:cs="Arial"/>
          <w:sz w:val="19"/>
          <w:szCs w:val="19"/>
        </w:rPr>
        <w:t>aún</w:t>
      </w:r>
      <w:proofErr w:type="spellEnd"/>
      <w:r w:rsidRPr="00CB0307">
        <w:rPr>
          <w:rFonts w:ascii="Gotham" w:hAnsi="Gotham" w:cs="Arial"/>
          <w:sz w:val="19"/>
          <w:szCs w:val="19"/>
        </w:rPr>
        <w:t xml:space="preserve"> cuando sus vehículos no estén realizando dichas maniobras pero sí estén en el lugar donde se llevan a cabo las mismas, en el entendido de que su presencia fomenta dichas actividades y contribuye al riesgo que se menciona, se procederá de igual manera con el retiro de circulación de la unidad, teniendo la calidad de partícipe pasivo;</w:t>
      </w:r>
    </w:p>
    <w:p w14:paraId="3A475913"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Que se reúna o participe en arrancones, carreras clandestinas, acrobacias, maniobras riesgosas temerarias que pongan en riesgo la vida, de quien lo realice y de todos los sujetos activos de la movilidad;</w:t>
      </w:r>
    </w:p>
    <w:p w14:paraId="3A475914"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que conduzca un vehículo automotor y se le detecte una cantidad superior de cincuenta a ochenta miligramos de alcohol por cien mililitros de sangre o cero punto veinticinco a cero punto cuarenta miligramos de alcohol por litro de aire espirado;</w:t>
      </w:r>
    </w:p>
    <w:p w14:paraId="3A475915"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operadora de una unidad del transporte público que se le detecte la mínima cantidad de alcohol;</w:t>
      </w:r>
    </w:p>
    <w:p w14:paraId="3A475916"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Prestar servicios de transporte público en cualquiera de sus modos sin contar con la concesión, permiso o autorización correspondiente;</w:t>
      </w:r>
    </w:p>
    <w:p w14:paraId="3A475917"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Portar en un vehículo de uso particular los colores asignados por la Secretaría para las unidades de transporte público;</w:t>
      </w:r>
    </w:p>
    <w:p w14:paraId="3A475918"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lastRenderedPageBreak/>
        <w:t>X.</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que preste sus servicios de transporte de personas pasajeras bajo demanda mediante aplicaciones móviles que no cuente o presente licencia de chofer vigente expedida por la Secretaría;</w:t>
      </w:r>
    </w:p>
    <w:p w14:paraId="3A475919"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conductora de servicio de transporte público que realice servicio distinto al autorizado, en vehículos destinados al servicio público;</w:t>
      </w:r>
    </w:p>
    <w:p w14:paraId="3A47591A"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Preste el servicio de transporte de personas pasajeras bajo demanda mediante aplicaciones móviles sin estar debidamente registrado y autorizado por la Secretaría;</w:t>
      </w:r>
    </w:p>
    <w:p w14:paraId="3A47591B"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Cuando el vehículo no porte, o se altere, destruya, imposibilite o inhabilite de cualquier manera, los sistemas de control vehicular, o cualquier otro dispositivo que permita su identificación por radiofrecuencia; o</w:t>
      </w:r>
    </w:p>
    <w:p w14:paraId="3A47591C"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XIV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empresa de redes de transporte que permita deliberadamente que los personas (sic) propietarios o personas conductoras de vehículos destinados a la prestación de transporte público cuyos servicios gestionen a través de una aplicación móvil, cometan infracciones a lo dispuesto en la presente Ley y su reglamento; o bien, cuando estando obligado a ello, omita vigilar y garantizar que tanto las personas propietarias, personas conductoras y unidades vehiculares que tenga afiliadas o registradas, contravengan lo dispuesto en la presente Ley o no reúnan los requisitos que establecen los ordenamientos jurídicos y técnicos para la prestación del servicio de transporte público de acuerdo al modo correspondiente.</w:t>
      </w:r>
    </w:p>
    <w:p w14:paraId="3A47591D"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2.</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la reincidencia en las infracciones previstas en el numeral 1 fracciones VIII, IX, X, XI, XII, XIII y XIV del presente artículo cometidas dentro de los treinta días siguientes, por personas conductoras operadoras del servicio público de transporte colectivo de personas pasajeras, de taxi en sus diversos modos, así como de transporte de personas pasajeras bajo demanda mediante aplicaciones móviles, se duplicará el importe de la multa correspondiente.</w:t>
      </w:r>
    </w:p>
    <w:p w14:paraId="3A47591E" w14:textId="77777777" w:rsidR="009B5E39" w:rsidRPr="00CB0307" w:rsidRDefault="009B5E39" w:rsidP="009B5E39">
      <w:pPr>
        <w:ind w:left="284" w:right="283"/>
        <w:jc w:val="both"/>
        <w:rPr>
          <w:rFonts w:ascii="Gotham" w:hAnsi="Gotham" w:cs="Arial"/>
          <w:sz w:val="19"/>
          <w:szCs w:val="19"/>
        </w:rPr>
      </w:pPr>
    </w:p>
    <w:p w14:paraId="3A47591F"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88. </w:t>
      </w:r>
      <w:r w:rsidRPr="00CB0307">
        <w:rPr>
          <w:rFonts w:ascii="Gotham" w:hAnsi="Gotham" w:cs="Arial"/>
          <w:bCs/>
          <w:sz w:val="19"/>
          <w:szCs w:val="19"/>
        </w:rPr>
        <w:t>Sanciones por exceso de peso y dimensiones.</w:t>
      </w:r>
    </w:p>
    <w:p w14:paraId="3A475920" w14:textId="77777777" w:rsidR="009B5E39" w:rsidRPr="00CB0307" w:rsidRDefault="009B5E39" w:rsidP="009B5E39">
      <w:pPr>
        <w:ind w:left="284" w:right="283"/>
        <w:jc w:val="both"/>
        <w:rPr>
          <w:rFonts w:ascii="Gotham" w:hAnsi="Gotham" w:cs="Arial"/>
          <w:sz w:val="19"/>
          <w:szCs w:val="19"/>
        </w:rPr>
      </w:pPr>
    </w:p>
    <w:p w14:paraId="3A475921"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1.</w:t>
      </w:r>
      <w:r w:rsidRPr="00CB0307">
        <w:rPr>
          <w:rFonts w:ascii="Gotham" w:hAnsi="Gotham" w:cs="Arial"/>
          <w:sz w:val="19"/>
          <w:szCs w:val="19"/>
        </w:rPr>
        <w:t xml:space="preserve"> Se sancionará a las personas conductoras o personas propietarias de vehículos de carga a que se refiere el artículo 132 numeral 2, de esta Ley, que excedan los máximos de peso, dimensiones o ambas, establecidos conforme a la Norma Oficial Federal correspondiente, en los siguientes términos:</w:t>
      </w:r>
    </w:p>
    <w:p w14:paraId="3A475922"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exceder de alto hasta veinte centímetros, se aplicará una sanción de veinticinco a setenta veces el valor de la UMA;</w:t>
      </w:r>
    </w:p>
    <w:p w14:paraId="3A475923"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exceder de alto más de veinte centímetros, se aplicará una sanción de setenta y cinco a cien veces el valor de la UMA;</w:t>
      </w:r>
    </w:p>
    <w:p w14:paraId="3A475924"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exceder de ancho hasta veinticinco centímetros, se aplicará una sanción de veinticinco a cien veces el valor de la UMA;</w:t>
      </w:r>
    </w:p>
    <w:p w14:paraId="3A475925"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exceder de ancho más de veinticinco centímetros, se aplicará una sanción de ciento cincuenta a doscientos cincuenta veces el valor de la UMA;</w:t>
      </w:r>
    </w:p>
    <w:p w14:paraId="3A475926"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exceder las dimensiones de largo hasta en cien centímetros, se aplicará una sanción de veinticinco a cincuenta veces el valor de la UMA;</w:t>
      </w:r>
    </w:p>
    <w:p w14:paraId="3A475927"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exceder las dimensiones de largo más de cien centímetros, se aplicará una sanción de ciento cincuenta a doscientos (sic) veces el valor de la UMA;</w:t>
      </w:r>
    </w:p>
    <w:p w14:paraId="3A475928"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exceder de peso hasta dos mil kilogramo-fuerza, se aplicará una sanción de veinticinco a cien veces el valor de la UMA; o</w:t>
      </w:r>
    </w:p>
    <w:p w14:paraId="3A475929" w14:textId="77777777" w:rsidR="009B5E39" w:rsidRPr="00CB0307" w:rsidRDefault="009B5E39" w:rsidP="009B5E39">
      <w:pPr>
        <w:ind w:left="1985" w:right="283" w:hanging="851"/>
        <w:jc w:val="both"/>
        <w:rPr>
          <w:rFonts w:ascii="Gotham" w:hAnsi="Gotham" w:cs="Arial"/>
          <w:sz w:val="19"/>
          <w:szCs w:val="19"/>
        </w:rPr>
      </w:pPr>
      <w:r w:rsidRPr="00CB0307">
        <w:rPr>
          <w:rFonts w:ascii="Gotham" w:hAnsi="Gotham" w:cs="Arial"/>
          <w:b/>
          <w:bCs/>
          <w:sz w:val="19"/>
          <w:szCs w:val="19"/>
        </w:rPr>
        <w:lastRenderedPageBreak/>
        <w:t>VIII.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Por exceder de peso de dos mil uno hasta tres mil kilogramo-fuerza, se aplicará una sanción de cien a ciento cincuenta veces el valor de la Unidad de Medida y Actualización. Por cada mil kilogramo-fuerza o fracción que exceda de peso el límite anterior, aumentará la sanción de setenta y cinco a ochenta veces el valor de la UMA.</w:t>
      </w:r>
    </w:p>
    <w:p w14:paraId="3A47592A" w14:textId="77777777" w:rsidR="009B5E39" w:rsidRPr="00CB0307" w:rsidRDefault="009B5E39" w:rsidP="009B5E39">
      <w:pPr>
        <w:ind w:left="284" w:right="283"/>
        <w:jc w:val="both"/>
        <w:rPr>
          <w:rFonts w:ascii="Gotham" w:hAnsi="Gotham" w:cs="Arial"/>
          <w:sz w:val="19"/>
          <w:szCs w:val="19"/>
        </w:rPr>
      </w:pPr>
    </w:p>
    <w:p w14:paraId="3A47592B" w14:textId="77777777" w:rsidR="009B5E39" w:rsidRPr="00CB0307" w:rsidRDefault="009B5E39" w:rsidP="009B5E39">
      <w:pPr>
        <w:ind w:left="284" w:right="283"/>
        <w:jc w:val="both"/>
        <w:rPr>
          <w:rFonts w:ascii="Gotham" w:hAnsi="Gotham" w:cs="Arial"/>
          <w:bCs/>
          <w:sz w:val="19"/>
          <w:szCs w:val="19"/>
        </w:rPr>
      </w:pPr>
      <w:r w:rsidRPr="00CB0307">
        <w:rPr>
          <w:rFonts w:ascii="Gotham" w:hAnsi="Gotham" w:cs="Arial"/>
          <w:b/>
          <w:sz w:val="19"/>
          <w:szCs w:val="19"/>
        </w:rPr>
        <w:t xml:space="preserve">Artículo 89. </w:t>
      </w:r>
      <w:r w:rsidRPr="00CB0307">
        <w:rPr>
          <w:rFonts w:ascii="Gotham" w:hAnsi="Gotham" w:cs="Arial"/>
          <w:bCs/>
          <w:sz w:val="19"/>
          <w:szCs w:val="19"/>
        </w:rPr>
        <w:t>Arresto administrativo por alcoholemia.</w:t>
      </w:r>
    </w:p>
    <w:p w14:paraId="3A47592C" w14:textId="77777777" w:rsidR="009B5E39" w:rsidRPr="00CB0307" w:rsidRDefault="009B5E39" w:rsidP="009B5E39">
      <w:pPr>
        <w:ind w:left="284" w:right="283"/>
        <w:jc w:val="both"/>
        <w:rPr>
          <w:rFonts w:ascii="Gotham" w:hAnsi="Gotham" w:cs="Arial"/>
          <w:bCs/>
          <w:sz w:val="19"/>
          <w:szCs w:val="19"/>
        </w:rPr>
      </w:pPr>
    </w:p>
    <w:p w14:paraId="3A47592D"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b/>
          <w:bCs/>
          <w:sz w:val="19"/>
          <w:szCs w:val="19"/>
        </w:rPr>
        <w:t>1</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las personas que conduzcan vehículos de automotor bajo el influjo de alcohol, adicionalmente a la sanción pecuniaria, se les sancionará de la siguiente forma:</w:t>
      </w:r>
    </w:p>
    <w:p w14:paraId="3A47592E"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Con arresto administrativo inconmutable de doce a veinticuatro horas a la persona que conduzca un vehículo y se le detecte una cantidad de ochenta y uno a ciento treinta miligramos de alcohol por cien mililitros de sangre o de cero punto cuarenta y uno a cero punto sesenta y cinco miligramos de alcohol por litro de aire espirado. La calificación de la sanción estará sujeta a las reglas establecidas en el reglamento de la presente Ley;</w:t>
      </w:r>
    </w:p>
    <w:p w14:paraId="3A47592F"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A la persona que conduzca un vehículo y se le detecte una cantidad mayor a ciento treinta miligramos de alcohol por cien mililitros de sangre o más de cero punto sesenta y cinco miligramos de alcohol por litro de aire espirado, se sancionará con arresto administrativo inconmutable de veinticuatro a treinta y seis horas;</w:t>
      </w:r>
    </w:p>
    <w:p w14:paraId="3A475930"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III.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Se cancelará definitivamente la licencia de conducir de la persona que, habiendo incurrido en una de las conductas sancionadas conforme a las dos fracciones inmediatamente precedentes, incurra nuevamente en una de dichas conductas, dentro de un período de dos años contados a partir de la fecha en que haya incurrido en una de dichas conductas por primera vez. Además, dicha persona será sometida a una investigación de trabajo social y a exámenes de toxicomanía y alcoholismo. La persona que haya sido sancionada conforme al presente párrafo, sólo podrá obtener una nueva licencia satisfaciendo los mismos requisitos necesarios para una licencia nueva, hasta que hayan transcurrido dos años de la fecha de la cancelación correspondiente;</w:t>
      </w:r>
    </w:p>
    <w:p w14:paraId="3A475931"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IV.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Si se trata de la conducción de una unidad del transporte público, la sanción será aplicable aun cuando a la persona conductora se le detecte una cantidad mínima de alcohol;</w:t>
      </w:r>
    </w:p>
    <w:p w14:paraId="3A475932"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En caso de que a una persona conductora se le detecten de ochenta y uno a ciento treinta miligramos de alcohol por cien mililitros de sangre o de cero punto cuarenta y uno a cero punto sesenta y cinco miligramos de alcohol por litro de aire espirado, se procederá conforme lo establece la fracción VI del artículo 387 de esta Ley, independientemente de la sanción a la que se refiere el primer párrafo del presente artículo.</w:t>
      </w:r>
    </w:p>
    <w:p w14:paraId="3A475933" w14:textId="77777777" w:rsidR="009B5E39" w:rsidRPr="00CB0307" w:rsidRDefault="009B5E39" w:rsidP="009B5E39">
      <w:pPr>
        <w:spacing w:after="120"/>
        <w:ind w:left="1985" w:right="283"/>
        <w:jc w:val="both"/>
        <w:rPr>
          <w:rFonts w:ascii="Gotham" w:hAnsi="Gotham" w:cs="Arial"/>
          <w:sz w:val="19"/>
          <w:szCs w:val="19"/>
        </w:rPr>
      </w:pPr>
      <w:r w:rsidRPr="00CB0307">
        <w:rPr>
          <w:rFonts w:ascii="Gotham" w:hAnsi="Gotham" w:cs="Arial"/>
          <w:sz w:val="19"/>
          <w:szCs w:val="19"/>
        </w:rPr>
        <w:t>En estos casos, inmediatamente se practicará a la persona conductora la prueba de alcoholemia o de aire espirado en alcoholímetro, en términos de lo dispuesto por el artículo 59 de esta Ley. Cuando éste se niegue a otorgar muestra de aire espirado se aplicará arresto administrativo inconmutable de doce a treinta y seis horas, en los términos de la presente Ley; o</w:t>
      </w:r>
    </w:p>
    <w:p w14:paraId="3A475934" w14:textId="77777777" w:rsidR="009B5E39" w:rsidRPr="00CB0307" w:rsidRDefault="009B5E39" w:rsidP="009B5E39">
      <w:pPr>
        <w:spacing w:after="120"/>
        <w:ind w:left="1985" w:right="283" w:hanging="851"/>
        <w:jc w:val="both"/>
        <w:rPr>
          <w:rFonts w:ascii="Gotham" w:hAnsi="Gotham" w:cs="Arial"/>
          <w:sz w:val="19"/>
          <w:szCs w:val="19"/>
        </w:rPr>
      </w:pPr>
      <w:r w:rsidRPr="00CB0307">
        <w:rPr>
          <w:rFonts w:ascii="Gotham" w:hAnsi="Gotham" w:cs="Arial"/>
          <w:b/>
          <w:bCs/>
          <w:sz w:val="19"/>
          <w:szCs w:val="19"/>
        </w:rPr>
        <w:t>VI.</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 xml:space="preserve">La licencia o permiso de la persona conductora podrá ser suspendido a la persona que reincidiere dentro del año siguiente a haber cometido la infracción, además de la sanción económica o del arresto administrativo inconmutable, se suspenderá la licencia de conducir por un periodo de seis meses y, de volver a reincidir dentro del año siguiente, independientemente de la sanción económica y el arresto administrativo inconmutable, se le cancelará definitivamente su licencia, y solamente podrá proporcionársele con los mismos requisitos que deberá cumplir </w:t>
      </w:r>
      <w:r w:rsidRPr="00CB0307">
        <w:rPr>
          <w:rFonts w:ascii="Gotham" w:hAnsi="Gotham" w:cs="Arial"/>
          <w:sz w:val="19"/>
          <w:szCs w:val="19"/>
        </w:rPr>
        <w:lastRenderedPageBreak/>
        <w:t>para la licencia nueva, hasta haber transcurrido dos años de la cancelación, además de una investigación de trabajo social y exámenes de toxicomanía y alcoholismo, que demuestran que el interesado no es dependiente de bebidas embriagantes, ni estupefacientes o psicotrópicos.</w:t>
      </w:r>
    </w:p>
    <w:p w14:paraId="3A475935" w14:textId="77777777" w:rsidR="009B5E39" w:rsidRPr="00CB0307" w:rsidRDefault="009B5E39" w:rsidP="009B5E39">
      <w:pPr>
        <w:ind w:left="1134" w:right="283" w:hanging="850"/>
        <w:jc w:val="both"/>
        <w:rPr>
          <w:rFonts w:ascii="Gotham" w:hAnsi="Gotham" w:cs="Arial"/>
          <w:sz w:val="19"/>
          <w:szCs w:val="19"/>
        </w:rPr>
      </w:pPr>
      <w:r w:rsidRPr="00CB0307">
        <w:rPr>
          <w:rFonts w:ascii="Gotham" w:hAnsi="Gotham" w:cs="Arial"/>
          <w:b/>
          <w:bCs/>
          <w:sz w:val="19"/>
          <w:szCs w:val="19"/>
        </w:rPr>
        <w:t>2.</w:t>
      </w:r>
      <w:r w:rsidRPr="00CB0307">
        <w:rPr>
          <w:rFonts w:ascii="Gotham" w:hAnsi="Gotham" w:cs="Arial"/>
          <w:sz w:val="19"/>
          <w:szCs w:val="19"/>
        </w:rPr>
        <w:t xml:space="preserve"> </w:t>
      </w:r>
      <w:r>
        <w:rPr>
          <w:rFonts w:ascii="Gotham" w:hAnsi="Gotham" w:cs="Arial"/>
          <w:sz w:val="19"/>
          <w:szCs w:val="19"/>
        </w:rPr>
        <w:tab/>
      </w:r>
      <w:r w:rsidRPr="00CB0307">
        <w:rPr>
          <w:rFonts w:ascii="Gotham" w:hAnsi="Gotham" w:cs="Arial"/>
          <w:sz w:val="19"/>
          <w:szCs w:val="19"/>
        </w:rPr>
        <w:t>La Secretaría de Seguridad en coordinación con la Secretaría, en el ámbito de sus respectivas competencias, integrarán un registro de personas sancionadas por la conducción de vehículos en los términos previstos en el presente artículo y del numeral 1 fracción III del artículo 386 de esta Ley.</w:t>
      </w:r>
    </w:p>
    <w:p w14:paraId="3A475936" w14:textId="77777777" w:rsidR="009B5E39" w:rsidRPr="00CB0307" w:rsidRDefault="009B5E39" w:rsidP="009B5E39">
      <w:pPr>
        <w:ind w:left="284" w:right="283"/>
        <w:jc w:val="both"/>
        <w:rPr>
          <w:rFonts w:ascii="Gotham" w:hAnsi="Gotham" w:cs="Arial"/>
          <w:sz w:val="19"/>
          <w:szCs w:val="19"/>
        </w:rPr>
      </w:pPr>
    </w:p>
    <w:p w14:paraId="3A475937" w14:textId="77777777" w:rsidR="009B5E39" w:rsidRPr="003D1DA7" w:rsidRDefault="009B5E39" w:rsidP="009B5E39">
      <w:pPr>
        <w:ind w:left="284" w:right="283"/>
        <w:jc w:val="both"/>
        <w:rPr>
          <w:rFonts w:ascii="Gotham" w:hAnsi="Gotham" w:cs="Arial"/>
          <w:sz w:val="19"/>
          <w:szCs w:val="19"/>
        </w:rPr>
      </w:pPr>
      <w:r w:rsidRPr="003D1DA7">
        <w:rPr>
          <w:rFonts w:ascii="Gotham" w:hAnsi="Gotham" w:cs="Arial"/>
          <w:b/>
          <w:sz w:val="19"/>
          <w:szCs w:val="19"/>
        </w:rPr>
        <w:t>Artículo 90.</w:t>
      </w:r>
      <w:r w:rsidRPr="003D1DA7">
        <w:rPr>
          <w:rFonts w:ascii="Gotham" w:hAnsi="Gotham" w:cs="Arial"/>
          <w:sz w:val="19"/>
          <w:szCs w:val="19"/>
        </w:rPr>
        <w:t xml:space="preserve"> Si el pago de las infracciones a que se refieren en el artículo (_43__), inciso A), puntos 1), 2), 3), 4), 5), 14), 15), 26), 28), 29), 35), 38), 41), 42), 44) y 48) del Reglamento de Movilidad y Seguridad Vial del Municipio de Tonalá, si el infractor efectúa su pago dentro de los cinco días hábiles siguientes a la fecha del Folio de Cedula de Notificación de Infracción correspondiente, tendrá derecho a una reducción del cincuenta por ciento en el monto de dicho Folio de Cedula de Notificación de Infracción; en el caso de que el pago lo haga del sexto al décimo día, la reducción será únicamente del veinticinco por ciento, lo anterior siempre y cuando el infractor no haya cometido la misma falta previamente dos años antes, de lo contrario no podrá gozar de dicho beneficio fiscal.</w:t>
      </w:r>
    </w:p>
    <w:p w14:paraId="3A475938" w14:textId="77777777" w:rsidR="009B5E39" w:rsidRPr="003D1DA7" w:rsidRDefault="009B5E39" w:rsidP="009B5E39">
      <w:pPr>
        <w:ind w:left="284" w:right="283"/>
        <w:jc w:val="both"/>
        <w:rPr>
          <w:rFonts w:ascii="Gotham" w:hAnsi="Gotham" w:cs="Arial"/>
          <w:b/>
          <w:sz w:val="19"/>
          <w:szCs w:val="19"/>
        </w:rPr>
      </w:pPr>
    </w:p>
    <w:p w14:paraId="3A475939" w14:textId="77777777" w:rsidR="009B5E39" w:rsidRPr="003F11EF" w:rsidRDefault="009B5E39" w:rsidP="009B5E39">
      <w:pPr>
        <w:pStyle w:val="Sinespaciado"/>
        <w:ind w:left="284" w:right="283"/>
        <w:jc w:val="both"/>
        <w:rPr>
          <w:rFonts w:ascii="Gotham" w:eastAsia="Times New Roman" w:hAnsi="Gotham" w:cs="Arial"/>
          <w:color w:val="0D0D0D" w:themeColor="text1" w:themeTint="F2"/>
          <w:sz w:val="19"/>
          <w:szCs w:val="19"/>
          <w:lang w:eastAsia="es-MX"/>
        </w:rPr>
      </w:pPr>
      <w:r w:rsidRPr="003D1DA7">
        <w:rPr>
          <w:rFonts w:ascii="Gotham" w:hAnsi="Gotham" w:cs="Arial"/>
          <w:b/>
          <w:bCs/>
          <w:sz w:val="19"/>
          <w:szCs w:val="19"/>
        </w:rPr>
        <w:t>Articulo 91.</w:t>
      </w:r>
      <w:r w:rsidRPr="003D1DA7">
        <w:rPr>
          <w:rFonts w:ascii="Gotham" w:eastAsia="Times New Roman" w:hAnsi="Gotham" w:cs="Arial"/>
          <w:color w:val="0D0D0D" w:themeColor="text1" w:themeTint="F2"/>
          <w:sz w:val="19"/>
          <w:szCs w:val="19"/>
          <w:lang w:eastAsia="es-MX"/>
        </w:rPr>
        <w:t xml:space="preserve"> En el caso del articulo 43, inciso A), punto 28), si el propietario del vehículo es un adulto mayor, padece una discapacidad motriz o es mujer en estado de gravidez, de presentarse dentro de los diez días hábiles siguientes a la fecha del Folio de Cedula de Notificación de Infracción, podrán gozar del cincuenta por ciento </w:t>
      </w:r>
      <w:r w:rsidRPr="003D1DA7">
        <w:rPr>
          <w:rFonts w:ascii="Gotham" w:hAnsi="Gotham" w:cs="Arial"/>
          <w:color w:val="0D0D0D" w:themeColor="text1" w:themeTint="F2"/>
          <w:sz w:val="19"/>
          <w:szCs w:val="19"/>
        </w:rPr>
        <w:t>en el monto</w:t>
      </w:r>
      <w:r w:rsidRPr="003D1DA7">
        <w:rPr>
          <w:rFonts w:ascii="Gotham" w:eastAsia="Times New Roman" w:hAnsi="Gotham" w:cs="Arial"/>
          <w:color w:val="0D0D0D" w:themeColor="text1" w:themeTint="F2"/>
          <w:sz w:val="19"/>
          <w:szCs w:val="19"/>
          <w:lang w:eastAsia="es-MX"/>
        </w:rPr>
        <w:t xml:space="preserve"> de dicho Folio de Cedula de Notificación de Infracción, siempre y cuando tramiten el candado de estacionamiento correspondiente en el momento, presentando documento que compruebe la posesión del vehículo, identificación oficial vigente y estudio o documento expedido por autoridad competente que avale discapacidad motriz, el estado de gravidez o ser adulto mayor, lo anterior siempre y cuando el infractor no haya cometido la misma falta previamente dos años antes, de lo contrario no podrá gozar de dicho beneficio fiscal.</w:t>
      </w:r>
      <w:r w:rsidRPr="003F11EF">
        <w:rPr>
          <w:rFonts w:ascii="Gotham" w:eastAsia="Times New Roman" w:hAnsi="Gotham" w:cs="Arial"/>
          <w:color w:val="0D0D0D" w:themeColor="text1" w:themeTint="F2"/>
          <w:sz w:val="19"/>
          <w:szCs w:val="19"/>
          <w:lang w:eastAsia="es-MX"/>
        </w:rPr>
        <w:t xml:space="preserve"> </w:t>
      </w:r>
    </w:p>
    <w:p w14:paraId="3A47593A" w14:textId="77777777" w:rsidR="009B5E39" w:rsidRPr="00CB0307" w:rsidRDefault="009B5E39" w:rsidP="009B5E39">
      <w:pPr>
        <w:ind w:left="284" w:right="283"/>
        <w:rPr>
          <w:rFonts w:ascii="Gotham" w:hAnsi="Gotham" w:cs="Arial"/>
          <w:b/>
          <w:sz w:val="19"/>
          <w:szCs w:val="19"/>
          <w:highlight w:val="cyan"/>
        </w:rPr>
      </w:pPr>
    </w:p>
    <w:p w14:paraId="3A47593B"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 xml:space="preserve">Artículo 92. </w:t>
      </w:r>
      <w:r w:rsidRPr="00CB0307">
        <w:rPr>
          <w:rFonts w:ascii="Gotham" w:hAnsi="Gotham" w:cs="Arial"/>
          <w:sz w:val="19"/>
          <w:szCs w:val="19"/>
        </w:rPr>
        <w:t>Si el pago de las infracciones a que se refiere la Ley del Ingresos del Municipio de Tonalá Jalisco vigente, artículo 94 fracción X en el apartado A. incisos 1), 2), 3), 4), 12), 21) y 22) se efectúa dentro de los cinco días hábiles siguientes a</w:t>
      </w:r>
      <w:r w:rsidR="007C2F8D">
        <w:rPr>
          <w:rFonts w:ascii="Gotham" w:hAnsi="Gotham" w:cs="Arial"/>
          <w:sz w:val="19"/>
          <w:szCs w:val="19"/>
        </w:rPr>
        <w:t xml:space="preserve"> </w:t>
      </w:r>
      <w:r w:rsidRPr="00CB0307">
        <w:rPr>
          <w:rFonts w:ascii="Gotham" w:hAnsi="Gotham" w:cs="Arial"/>
          <w:sz w:val="19"/>
          <w:szCs w:val="19"/>
        </w:rPr>
        <w:t>la fecha del folio de la infracción correspondiente, tendrá una reducción del 50% en el pago de dicho folio; en caso del apartado A. inciso 12), para tener acceso a dicha deducción, el propietario del vehículo infraccionado, deberá acreditar su asistencia</w:t>
      </w:r>
      <w:r w:rsidR="007C2F8D">
        <w:rPr>
          <w:rFonts w:ascii="Gotham" w:hAnsi="Gotham" w:cs="Arial"/>
          <w:sz w:val="19"/>
          <w:szCs w:val="19"/>
        </w:rPr>
        <w:t xml:space="preserve"> </w:t>
      </w:r>
      <w:r w:rsidRPr="00CB0307">
        <w:rPr>
          <w:rFonts w:ascii="Gotham" w:hAnsi="Gotham" w:cs="Arial"/>
          <w:sz w:val="19"/>
          <w:szCs w:val="19"/>
        </w:rPr>
        <w:t>al “Curso de Educación y Sensibilización Vial” que imparte la Dirección, dentro del plazo establecido, lo anterior siempre y cuando el infractor no haya cometido la misma falta previamente tres años antes, de lo contrario no podrá gozar de dicho beneficio. en caso del apartado A inciso 19), si el propietario del vehículo es un adulto mayor, padece una discapacidad motriz o es mujer en estado de gravidez, de presentarse dentro de los 5 cinco días hábiles siguientes a la fecha del folio de la infracción, podrán gozar del descuento referido siempre y cuando tramiten el candado de estacionamiento correspondiente en el momento, presentando documento que compruebe la posesión del vehículo, identificación oficial vigente y</w:t>
      </w:r>
      <w:r w:rsidR="007C2F8D">
        <w:rPr>
          <w:rFonts w:ascii="Gotham" w:hAnsi="Gotham" w:cs="Arial"/>
          <w:sz w:val="19"/>
          <w:szCs w:val="19"/>
        </w:rPr>
        <w:t xml:space="preserve"> </w:t>
      </w:r>
      <w:r w:rsidRPr="00CB0307">
        <w:rPr>
          <w:rFonts w:ascii="Gotham" w:hAnsi="Gotham" w:cs="Arial"/>
          <w:sz w:val="19"/>
          <w:szCs w:val="19"/>
        </w:rPr>
        <w:t>estudio</w:t>
      </w:r>
      <w:r w:rsidR="007C2F8D">
        <w:rPr>
          <w:rFonts w:ascii="Gotham" w:hAnsi="Gotham" w:cs="Arial"/>
          <w:sz w:val="19"/>
          <w:szCs w:val="19"/>
        </w:rPr>
        <w:t xml:space="preserve"> </w:t>
      </w:r>
      <w:r w:rsidRPr="00CB0307">
        <w:rPr>
          <w:rFonts w:ascii="Gotham" w:hAnsi="Gotham" w:cs="Arial"/>
          <w:sz w:val="19"/>
          <w:szCs w:val="19"/>
        </w:rPr>
        <w:t>o documento expedido por autoridad competente que avale discapacidad motriz, el estado de gravidez o ser adulto mayor. La multa por estacionarse obstruyendo en zonas autorizadas de carga y descarga mencionada en el apartado A.</w:t>
      </w:r>
      <w:r w:rsidR="007C2F8D">
        <w:rPr>
          <w:rFonts w:ascii="Gotham" w:hAnsi="Gotham" w:cs="Arial"/>
          <w:sz w:val="19"/>
          <w:szCs w:val="19"/>
        </w:rPr>
        <w:t xml:space="preserve"> </w:t>
      </w:r>
      <w:r w:rsidRPr="00CB0307">
        <w:rPr>
          <w:rFonts w:ascii="Gotham" w:hAnsi="Gotham" w:cs="Arial"/>
          <w:sz w:val="19"/>
          <w:szCs w:val="19"/>
        </w:rPr>
        <w:t>Inciso 19) podrá tener una reducción del 20%, en caso de pagar dentro de los 5 cinco días hábiles siguientes a la fecha del folio de la infracción correspondiente.</w:t>
      </w:r>
    </w:p>
    <w:p w14:paraId="3A47593C" w14:textId="77777777" w:rsidR="009B5E39" w:rsidRPr="00CB0307" w:rsidRDefault="009B5E39" w:rsidP="009B5E39">
      <w:pPr>
        <w:ind w:left="284" w:right="283"/>
        <w:rPr>
          <w:rFonts w:ascii="Gotham" w:hAnsi="Gotham" w:cs="Arial"/>
          <w:b/>
          <w:sz w:val="19"/>
          <w:szCs w:val="19"/>
        </w:rPr>
      </w:pPr>
    </w:p>
    <w:p w14:paraId="3A47593D"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93.</w:t>
      </w:r>
      <w:r w:rsidRPr="00CB0307">
        <w:rPr>
          <w:rFonts w:ascii="Gotham" w:hAnsi="Gotham" w:cs="Arial"/>
          <w:sz w:val="19"/>
          <w:szCs w:val="19"/>
        </w:rPr>
        <w:t xml:space="preserve"> La ejecución de sanciones económicas se realizará conforme a las atribuciones y procedimientos que establezcan las leyes hacendarias y de ingresos aplicables, a través de:</w:t>
      </w:r>
    </w:p>
    <w:p w14:paraId="3A47593E" w14:textId="77777777" w:rsidR="009B5E39" w:rsidRPr="00CB0307" w:rsidRDefault="009B5E39" w:rsidP="009B5E39">
      <w:pPr>
        <w:ind w:left="284" w:right="283"/>
        <w:jc w:val="both"/>
        <w:rPr>
          <w:rFonts w:ascii="Gotham" w:hAnsi="Gotham" w:cs="Arial"/>
          <w:sz w:val="19"/>
          <w:szCs w:val="19"/>
        </w:rPr>
      </w:pPr>
    </w:p>
    <w:p w14:paraId="3A47593F"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 </w:t>
      </w:r>
      <w:r>
        <w:rPr>
          <w:rFonts w:ascii="Gotham" w:hAnsi="Gotham" w:cs="Arial"/>
          <w:sz w:val="19"/>
          <w:szCs w:val="19"/>
        </w:rPr>
        <w:tab/>
      </w:r>
      <w:r w:rsidRPr="00CB0307">
        <w:rPr>
          <w:rFonts w:ascii="Gotham" w:hAnsi="Gotham" w:cs="Arial"/>
          <w:sz w:val="19"/>
          <w:szCs w:val="19"/>
        </w:rPr>
        <w:t>La Secretaría de Planeación, Administración y Finanzas del Estado de Jalisco y sus dependencias recaudadoras; y</w:t>
      </w:r>
    </w:p>
    <w:p w14:paraId="3A475940" w14:textId="77777777" w:rsidR="009B5E39" w:rsidRPr="00CB0307" w:rsidRDefault="009B5E39" w:rsidP="009B5E39">
      <w:pPr>
        <w:spacing w:after="120"/>
        <w:ind w:left="1134" w:right="283" w:hanging="850"/>
        <w:jc w:val="both"/>
        <w:rPr>
          <w:rFonts w:ascii="Gotham" w:hAnsi="Gotham" w:cs="Arial"/>
          <w:sz w:val="19"/>
          <w:szCs w:val="19"/>
        </w:rPr>
      </w:pPr>
      <w:r w:rsidRPr="00CB0307">
        <w:rPr>
          <w:rFonts w:ascii="Gotham" w:hAnsi="Gotham" w:cs="Arial"/>
          <w:sz w:val="19"/>
          <w:szCs w:val="19"/>
        </w:rPr>
        <w:t xml:space="preserve">II. </w:t>
      </w:r>
      <w:r>
        <w:rPr>
          <w:rFonts w:ascii="Gotham" w:hAnsi="Gotham" w:cs="Arial"/>
          <w:sz w:val="19"/>
          <w:szCs w:val="19"/>
        </w:rPr>
        <w:tab/>
      </w:r>
      <w:r w:rsidRPr="00CB0307">
        <w:rPr>
          <w:rFonts w:ascii="Gotham" w:hAnsi="Gotham" w:cs="Arial"/>
          <w:sz w:val="19"/>
          <w:szCs w:val="19"/>
        </w:rPr>
        <w:t>Las tesorerías municipales y sus dependencias recaudadoras.</w:t>
      </w:r>
    </w:p>
    <w:p w14:paraId="3A475941" w14:textId="77777777" w:rsidR="009B5E39" w:rsidRPr="00CB0307" w:rsidRDefault="009B5E39" w:rsidP="009B5E39">
      <w:pPr>
        <w:ind w:left="1134" w:right="283" w:hanging="850"/>
        <w:jc w:val="both"/>
        <w:rPr>
          <w:rFonts w:ascii="Gotham" w:hAnsi="Gotham" w:cs="Arial"/>
          <w:b/>
          <w:sz w:val="19"/>
          <w:szCs w:val="19"/>
        </w:rPr>
      </w:pPr>
      <w:r w:rsidRPr="00CB0307">
        <w:rPr>
          <w:rFonts w:ascii="Gotham" w:hAnsi="Gotham" w:cs="Arial"/>
          <w:sz w:val="19"/>
          <w:szCs w:val="19"/>
        </w:rPr>
        <w:t xml:space="preserve">III. </w:t>
      </w:r>
      <w:r>
        <w:rPr>
          <w:rFonts w:ascii="Gotham" w:hAnsi="Gotham" w:cs="Arial"/>
          <w:sz w:val="19"/>
          <w:szCs w:val="19"/>
        </w:rPr>
        <w:tab/>
      </w:r>
      <w:r w:rsidRPr="00CB0307">
        <w:rPr>
          <w:rFonts w:ascii="Gotham" w:hAnsi="Gotham" w:cs="Arial"/>
          <w:sz w:val="19"/>
          <w:szCs w:val="19"/>
        </w:rPr>
        <w:t>Jueces Cívicos Municipales.</w:t>
      </w:r>
    </w:p>
    <w:p w14:paraId="3A475942" w14:textId="77777777" w:rsidR="009B5E39" w:rsidRPr="00CB0307" w:rsidRDefault="009B5E39" w:rsidP="009B5E39">
      <w:pPr>
        <w:ind w:left="284" w:right="283"/>
        <w:jc w:val="both"/>
        <w:rPr>
          <w:rFonts w:ascii="Gotham" w:hAnsi="Gotham" w:cs="Arial"/>
          <w:b/>
          <w:sz w:val="19"/>
          <w:szCs w:val="19"/>
        </w:rPr>
      </w:pPr>
    </w:p>
    <w:p w14:paraId="3A475943"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b/>
          <w:sz w:val="19"/>
          <w:szCs w:val="19"/>
        </w:rPr>
        <w:t>Artículo 94.</w:t>
      </w:r>
      <w:r w:rsidRPr="00CB0307">
        <w:rPr>
          <w:rFonts w:ascii="Gotham" w:hAnsi="Gotham" w:cs="Arial"/>
          <w:sz w:val="19"/>
          <w:szCs w:val="19"/>
        </w:rPr>
        <w:t xml:space="preserve"> Las obligaciones ante el fisco municipal y los créditos a favor de éste por infracciones, se extinguen por prescripción, en el término de cinco años. En el mismo plazo, se extingue también por prescripción, la obligación del fisco municipal de devolver las cantidades pagadas indebidamente.</w:t>
      </w:r>
    </w:p>
    <w:p w14:paraId="3A475944" w14:textId="77777777" w:rsidR="009B5E39" w:rsidRDefault="009B5E39" w:rsidP="009B5E39">
      <w:pPr>
        <w:ind w:left="284" w:right="283"/>
        <w:jc w:val="both"/>
        <w:rPr>
          <w:rFonts w:ascii="Gotham" w:hAnsi="Gotham" w:cs="Arial"/>
          <w:sz w:val="19"/>
          <w:szCs w:val="19"/>
        </w:rPr>
      </w:pPr>
    </w:p>
    <w:p w14:paraId="3A475945"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La prescripción del crédito principal extingue simultáneamente los recargos y gastos de ejecución.</w:t>
      </w:r>
    </w:p>
    <w:p w14:paraId="3A475946" w14:textId="77777777" w:rsidR="009B5E39" w:rsidRPr="00CB0307" w:rsidRDefault="009B5E39" w:rsidP="009B5E39">
      <w:pPr>
        <w:ind w:left="284" w:right="283"/>
        <w:jc w:val="both"/>
        <w:rPr>
          <w:rFonts w:ascii="Gotham" w:hAnsi="Gotham" w:cs="Arial"/>
          <w:sz w:val="19"/>
          <w:szCs w:val="19"/>
        </w:rPr>
      </w:pPr>
    </w:p>
    <w:p w14:paraId="3A475947" w14:textId="77777777" w:rsidR="009B5E39" w:rsidRPr="00CB0307" w:rsidRDefault="009B5E39" w:rsidP="009B5E39">
      <w:pPr>
        <w:ind w:left="284" w:right="283"/>
        <w:jc w:val="both"/>
        <w:rPr>
          <w:rFonts w:ascii="Gotham" w:hAnsi="Gotham" w:cs="Arial"/>
          <w:sz w:val="19"/>
          <w:szCs w:val="19"/>
        </w:rPr>
      </w:pPr>
      <w:r w:rsidRPr="00CB0307">
        <w:rPr>
          <w:rFonts w:ascii="Gotham" w:hAnsi="Gotham" w:cs="Arial"/>
          <w:sz w:val="19"/>
          <w:szCs w:val="19"/>
        </w:rPr>
        <w:t>La prescripción se inicia, a partir de la fecha en que el crédito o el cumplimiento de la obligación pudieron ser legalmente exigidos, y será reconocida o declarada por la Tesorería o Hacienda Municipal de oficio o a petición de cualquier interesado.</w:t>
      </w:r>
    </w:p>
    <w:p w14:paraId="3A475948" w14:textId="77777777" w:rsidR="009B5E39" w:rsidRPr="00CB0307" w:rsidRDefault="009B5E39" w:rsidP="009B5E39">
      <w:pPr>
        <w:ind w:left="284" w:right="283"/>
        <w:jc w:val="both"/>
        <w:rPr>
          <w:rFonts w:ascii="Gotham" w:hAnsi="Gotham" w:cs="Arial"/>
          <w:b/>
          <w:sz w:val="19"/>
          <w:szCs w:val="19"/>
          <w:highlight w:val="green"/>
        </w:rPr>
      </w:pPr>
    </w:p>
    <w:p w14:paraId="3A475949" w14:textId="77777777" w:rsidR="009B5E39" w:rsidRPr="00CB0307" w:rsidRDefault="009B5E39" w:rsidP="009B5E39">
      <w:pPr>
        <w:ind w:left="284" w:right="283"/>
        <w:jc w:val="both"/>
        <w:rPr>
          <w:rFonts w:ascii="Gotham" w:hAnsi="Gotham" w:cs="Arial"/>
          <w:b/>
          <w:sz w:val="19"/>
          <w:szCs w:val="19"/>
        </w:rPr>
      </w:pPr>
      <w:r w:rsidRPr="00CB0307">
        <w:rPr>
          <w:rFonts w:ascii="Gotham" w:hAnsi="Gotham" w:cs="Arial"/>
          <w:b/>
          <w:sz w:val="19"/>
          <w:szCs w:val="19"/>
        </w:rPr>
        <w:t>Artículo 95.</w:t>
      </w:r>
      <w:r w:rsidRPr="00CB0307">
        <w:rPr>
          <w:rFonts w:ascii="Gotham" w:hAnsi="Gotham" w:cs="Arial"/>
          <w:sz w:val="19"/>
          <w:szCs w:val="19"/>
        </w:rPr>
        <w:t xml:space="preserve"> La Dirección y Jefatura podrá determinar la autorización o prohibición de estacionamiento permanente en determinadas horas u horarios o por tiempo indefinido de vehículos de propiedad particular en las calles y zonas donde esta medida resulte necesaria para mejorar la movilidad.</w:t>
      </w:r>
    </w:p>
    <w:p w14:paraId="3A47594A" w14:textId="77777777" w:rsidR="009B5E39" w:rsidRPr="00CB0307" w:rsidRDefault="009B5E39" w:rsidP="009B5E39">
      <w:pPr>
        <w:ind w:left="284" w:right="283"/>
        <w:jc w:val="both"/>
        <w:rPr>
          <w:rFonts w:ascii="Gotham" w:hAnsi="Gotham" w:cs="Arial"/>
          <w:b/>
          <w:sz w:val="19"/>
          <w:szCs w:val="19"/>
        </w:rPr>
      </w:pPr>
    </w:p>
    <w:p w14:paraId="3A47594B" w14:textId="77777777" w:rsidR="009B5E39" w:rsidRPr="00CB0307" w:rsidRDefault="009B5E39" w:rsidP="009B5E39">
      <w:pPr>
        <w:ind w:left="284" w:right="283"/>
        <w:jc w:val="both"/>
        <w:rPr>
          <w:rFonts w:ascii="Gotham" w:hAnsi="Gotham" w:cs="Arial"/>
          <w:bCs/>
          <w:sz w:val="19"/>
          <w:szCs w:val="19"/>
        </w:rPr>
      </w:pPr>
      <w:r w:rsidRPr="00CB0307">
        <w:rPr>
          <w:rFonts w:ascii="Gotham" w:hAnsi="Gotham" w:cs="Arial"/>
          <w:b/>
          <w:sz w:val="19"/>
          <w:szCs w:val="19"/>
        </w:rPr>
        <w:t xml:space="preserve">Artículo 96 </w:t>
      </w:r>
      <w:r w:rsidRPr="00CB0307">
        <w:rPr>
          <w:rFonts w:ascii="Gotham" w:hAnsi="Gotham" w:cs="Arial"/>
          <w:bCs/>
          <w:sz w:val="19"/>
          <w:szCs w:val="19"/>
        </w:rPr>
        <w:t>Para los estacionamientos de Vehículos en toda acción urbanística a realizarse en el Municipio de Tonalá, deberá considerar un número mínimo de cajones de estacionamiento dependiendo de la zona en la que se encuentre y el giro de actividad que ahí se desarrolle, consideran al siguiente cuadro</w:t>
      </w:r>
    </w:p>
    <w:p w14:paraId="3A47594C" w14:textId="77777777" w:rsidR="009B5E39" w:rsidRPr="00CB0307" w:rsidRDefault="009B5E39" w:rsidP="009B5E39">
      <w:pPr>
        <w:ind w:left="284" w:right="283"/>
        <w:jc w:val="both"/>
        <w:rPr>
          <w:rFonts w:ascii="Gotham" w:hAnsi="Gotham" w:cs="Arial"/>
          <w:bCs/>
          <w:sz w:val="19"/>
          <w:szCs w:val="19"/>
        </w:rPr>
      </w:pPr>
    </w:p>
    <w:tbl>
      <w:tblPr>
        <w:tblW w:w="9356" w:type="dxa"/>
        <w:jc w:val="center"/>
        <w:tblLayout w:type="fixed"/>
        <w:tblLook w:val="04A0" w:firstRow="1" w:lastRow="0" w:firstColumn="1" w:lastColumn="0" w:noHBand="0" w:noVBand="1"/>
      </w:tblPr>
      <w:tblGrid>
        <w:gridCol w:w="1271"/>
        <w:gridCol w:w="1574"/>
        <w:gridCol w:w="1828"/>
        <w:gridCol w:w="1701"/>
        <w:gridCol w:w="2982"/>
      </w:tblGrid>
      <w:tr w:rsidR="009B5E39" w:rsidRPr="004F42F2" w14:paraId="3A47594E" w14:textId="77777777" w:rsidTr="00190E4A">
        <w:trPr>
          <w:trHeight w:val="284"/>
          <w:tblHeader/>
          <w:jc w:val="center"/>
        </w:trPr>
        <w:tc>
          <w:tcPr>
            <w:tcW w:w="9356" w:type="dxa"/>
            <w:gridSpan w:val="5"/>
            <w:shd w:val="clear" w:color="auto" w:fill="000000" w:themeFill="text1"/>
            <w:vAlign w:val="center"/>
          </w:tcPr>
          <w:p w14:paraId="3A47594D" w14:textId="77777777" w:rsidR="009B5E39" w:rsidRPr="004F42F2" w:rsidRDefault="009B5E39" w:rsidP="00190E4A">
            <w:pPr>
              <w:spacing w:before="80" w:after="80"/>
              <w:jc w:val="center"/>
              <w:rPr>
                <w:rFonts w:ascii="Gotham" w:hAnsi="Gotham" w:cs="Arial"/>
                <w:b/>
                <w:bCs/>
                <w:color w:val="FFFFFF" w:themeColor="background1"/>
                <w:sz w:val="16"/>
                <w:szCs w:val="16"/>
              </w:rPr>
            </w:pPr>
            <w:r w:rsidRPr="004F42F2">
              <w:rPr>
                <w:rFonts w:ascii="Gotham" w:hAnsi="Gotham" w:cs="Arial"/>
                <w:b/>
                <w:bCs/>
                <w:color w:val="FFFFFF" w:themeColor="background1"/>
                <w:sz w:val="16"/>
                <w:szCs w:val="16"/>
              </w:rPr>
              <w:t>Estacionamiento Vehicular</w:t>
            </w:r>
          </w:p>
        </w:tc>
      </w:tr>
      <w:tr w:rsidR="009B5E39" w:rsidRPr="004F42F2" w14:paraId="3A475954" w14:textId="77777777" w:rsidTr="00190E4A">
        <w:trPr>
          <w:jc w:val="center"/>
        </w:trPr>
        <w:tc>
          <w:tcPr>
            <w:tcW w:w="1271" w:type="dxa"/>
            <w:vAlign w:val="center"/>
          </w:tcPr>
          <w:p w14:paraId="3A47594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Uso de Suelo</w:t>
            </w:r>
          </w:p>
        </w:tc>
        <w:tc>
          <w:tcPr>
            <w:tcW w:w="3402" w:type="dxa"/>
            <w:gridSpan w:val="2"/>
            <w:vAlign w:val="center"/>
          </w:tcPr>
          <w:p w14:paraId="3A47595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Actividades o Giros</w:t>
            </w:r>
          </w:p>
        </w:tc>
        <w:tc>
          <w:tcPr>
            <w:tcW w:w="1701" w:type="dxa"/>
            <w:vAlign w:val="center"/>
          </w:tcPr>
          <w:p w14:paraId="3A47595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Mínimo</w:t>
            </w:r>
          </w:p>
          <w:p w14:paraId="3A47595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 Cajón por cada</w:t>
            </w:r>
          </w:p>
        </w:tc>
        <w:tc>
          <w:tcPr>
            <w:tcW w:w="2982" w:type="dxa"/>
            <w:vAlign w:val="center"/>
          </w:tcPr>
          <w:p w14:paraId="3A47595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Cajones Máximos</w:t>
            </w:r>
          </w:p>
        </w:tc>
      </w:tr>
      <w:tr w:rsidR="009B5E39" w:rsidRPr="004F42F2" w14:paraId="3A475959" w14:textId="77777777" w:rsidTr="00190E4A">
        <w:trPr>
          <w:trHeight w:val="494"/>
          <w:jc w:val="center"/>
        </w:trPr>
        <w:tc>
          <w:tcPr>
            <w:tcW w:w="1271" w:type="dxa"/>
            <w:vMerge w:val="restart"/>
            <w:textDirection w:val="btLr"/>
            <w:vAlign w:val="center"/>
          </w:tcPr>
          <w:p w14:paraId="3A475955"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Alojamiento Temporal</w:t>
            </w:r>
          </w:p>
        </w:tc>
        <w:tc>
          <w:tcPr>
            <w:tcW w:w="3402" w:type="dxa"/>
            <w:gridSpan w:val="2"/>
            <w:vAlign w:val="center"/>
          </w:tcPr>
          <w:p w14:paraId="3A47595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Granjas y Huertos, Turístico Ecológico y Turístico Campestre.</w:t>
            </w:r>
          </w:p>
        </w:tc>
        <w:tc>
          <w:tcPr>
            <w:tcW w:w="1701" w:type="dxa"/>
            <w:vAlign w:val="center"/>
          </w:tcPr>
          <w:p w14:paraId="3A47595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Unidad de Vivienda</w:t>
            </w:r>
          </w:p>
        </w:tc>
        <w:tc>
          <w:tcPr>
            <w:tcW w:w="2982" w:type="dxa"/>
            <w:vAlign w:val="center"/>
          </w:tcPr>
          <w:p w14:paraId="3A47595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Sin máximos</w:t>
            </w:r>
          </w:p>
        </w:tc>
      </w:tr>
      <w:tr w:rsidR="009B5E39" w:rsidRPr="004F42F2" w14:paraId="3A47595E" w14:textId="77777777" w:rsidTr="00190E4A">
        <w:trPr>
          <w:trHeight w:val="413"/>
          <w:jc w:val="center"/>
        </w:trPr>
        <w:tc>
          <w:tcPr>
            <w:tcW w:w="1271" w:type="dxa"/>
            <w:vMerge/>
            <w:textDirection w:val="btLr"/>
            <w:vAlign w:val="center"/>
          </w:tcPr>
          <w:p w14:paraId="3A47595A" w14:textId="77777777" w:rsidR="009B5E39" w:rsidRPr="004F42F2" w:rsidRDefault="009B5E39" w:rsidP="00190E4A">
            <w:pPr>
              <w:spacing w:before="80" w:after="80"/>
              <w:ind w:left="113" w:right="113"/>
              <w:jc w:val="center"/>
              <w:rPr>
                <w:rFonts w:ascii="Gotham" w:hAnsi="Gotham" w:cs="Arial"/>
                <w:sz w:val="16"/>
                <w:szCs w:val="16"/>
              </w:rPr>
            </w:pPr>
          </w:p>
        </w:tc>
        <w:tc>
          <w:tcPr>
            <w:tcW w:w="3402" w:type="dxa"/>
            <w:gridSpan w:val="2"/>
            <w:vAlign w:val="center"/>
          </w:tcPr>
          <w:p w14:paraId="3A47595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Turístico Hotelero.</w:t>
            </w:r>
          </w:p>
        </w:tc>
        <w:tc>
          <w:tcPr>
            <w:tcW w:w="1701" w:type="dxa"/>
            <w:vAlign w:val="center"/>
          </w:tcPr>
          <w:p w14:paraId="3A47595C"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4 habitaciones</w:t>
            </w:r>
          </w:p>
        </w:tc>
        <w:tc>
          <w:tcPr>
            <w:tcW w:w="2982" w:type="dxa"/>
            <w:vAlign w:val="center"/>
          </w:tcPr>
          <w:p w14:paraId="3A47595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por cada 2 habitaciones</w:t>
            </w:r>
          </w:p>
        </w:tc>
      </w:tr>
      <w:tr w:rsidR="009B5E39" w:rsidRPr="004F42F2" w14:paraId="3A475963" w14:textId="77777777" w:rsidTr="00190E4A">
        <w:trPr>
          <w:trHeight w:val="162"/>
          <w:jc w:val="center"/>
        </w:trPr>
        <w:tc>
          <w:tcPr>
            <w:tcW w:w="1271" w:type="dxa"/>
            <w:vMerge w:val="restart"/>
            <w:textDirection w:val="btLr"/>
            <w:vAlign w:val="center"/>
          </w:tcPr>
          <w:p w14:paraId="3A47595F"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Habitacional</w:t>
            </w:r>
          </w:p>
        </w:tc>
        <w:tc>
          <w:tcPr>
            <w:tcW w:w="3402" w:type="dxa"/>
            <w:gridSpan w:val="2"/>
            <w:vAlign w:val="center"/>
          </w:tcPr>
          <w:p w14:paraId="3A47596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Densidad Alta.</w:t>
            </w:r>
          </w:p>
        </w:tc>
        <w:tc>
          <w:tcPr>
            <w:tcW w:w="1701" w:type="dxa"/>
            <w:vMerge w:val="restart"/>
            <w:vAlign w:val="center"/>
          </w:tcPr>
          <w:p w14:paraId="3A47596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Unidad de Vivienda</w:t>
            </w:r>
          </w:p>
        </w:tc>
        <w:tc>
          <w:tcPr>
            <w:tcW w:w="2982" w:type="dxa"/>
            <w:vMerge w:val="restart"/>
            <w:vAlign w:val="center"/>
          </w:tcPr>
          <w:p w14:paraId="3A47596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 cajones por vivienda</w:t>
            </w:r>
          </w:p>
        </w:tc>
      </w:tr>
      <w:tr w:rsidR="009B5E39" w:rsidRPr="004F42F2" w14:paraId="3A475968" w14:textId="77777777" w:rsidTr="00190E4A">
        <w:trPr>
          <w:trHeight w:val="166"/>
          <w:jc w:val="center"/>
        </w:trPr>
        <w:tc>
          <w:tcPr>
            <w:tcW w:w="1271" w:type="dxa"/>
            <w:vMerge/>
            <w:vAlign w:val="center"/>
          </w:tcPr>
          <w:p w14:paraId="3A475964"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6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Densidad Media.</w:t>
            </w:r>
          </w:p>
        </w:tc>
        <w:tc>
          <w:tcPr>
            <w:tcW w:w="1701" w:type="dxa"/>
            <w:vMerge/>
            <w:vAlign w:val="center"/>
          </w:tcPr>
          <w:p w14:paraId="3A475966" w14:textId="77777777" w:rsidR="009B5E39" w:rsidRPr="004F42F2" w:rsidRDefault="009B5E39" w:rsidP="00190E4A">
            <w:pPr>
              <w:spacing w:before="80" w:after="80"/>
              <w:jc w:val="center"/>
              <w:rPr>
                <w:rFonts w:ascii="Gotham" w:hAnsi="Gotham" w:cs="Arial"/>
                <w:sz w:val="16"/>
                <w:szCs w:val="16"/>
              </w:rPr>
            </w:pPr>
          </w:p>
        </w:tc>
        <w:tc>
          <w:tcPr>
            <w:tcW w:w="2982" w:type="dxa"/>
            <w:vMerge/>
            <w:vAlign w:val="center"/>
          </w:tcPr>
          <w:p w14:paraId="3A475967" w14:textId="77777777" w:rsidR="009B5E39" w:rsidRPr="004F42F2" w:rsidRDefault="009B5E39" w:rsidP="00190E4A">
            <w:pPr>
              <w:spacing w:before="80" w:after="80"/>
              <w:jc w:val="center"/>
              <w:rPr>
                <w:rFonts w:ascii="Gotham" w:hAnsi="Gotham" w:cs="Arial"/>
                <w:sz w:val="16"/>
                <w:szCs w:val="16"/>
              </w:rPr>
            </w:pPr>
          </w:p>
        </w:tc>
      </w:tr>
      <w:tr w:rsidR="009B5E39" w:rsidRPr="004F42F2" w14:paraId="3A47596D" w14:textId="77777777" w:rsidTr="00190E4A">
        <w:trPr>
          <w:trHeight w:val="253"/>
          <w:jc w:val="center"/>
        </w:trPr>
        <w:tc>
          <w:tcPr>
            <w:tcW w:w="1271" w:type="dxa"/>
            <w:vMerge/>
            <w:vAlign w:val="center"/>
          </w:tcPr>
          <w:p w14:paraId="3A475969"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6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Densidad Baja.</w:t>
            </w:r>
          </w:p>
        </w:tc>
        <w:tc>
          <w:tcPr>
            <w:tcW w:w="1701" w:type="dxa"/>
            <w:vMerge/>
            <w:vAlign w:val="center"/>
          </w:tcPr>
          <w:p w14:paraId="3A47596B" w14:textId="77777777" w:rsidR="009B5E39" w:rsidRPr="004F42F2" w:rsidRDefault="009B5E39" w:rsidP="00190E4A">
            <w:pPr>
              <w:spacing w:before="80" w:after="80"/>
              <w:jc w:val="center"/>
              <w:rPr>
                <w:rFonts w:ascii="Gotham" w:hAnsi="Gotham" w:cs="Arial"/>
                <w:sz w:val="16"/>
                <w:szCs w:val="16"/>
              </w:rPr>
            </w:pPr>
          </w:p>
        </w:tc>
        <w:tc>
          <w:tcPr>
            <w:tcW w:w="2982" w:type="dxa"/>
            <w:vAlign w:val="center"/>
          </w:tcPr>
          <w:p w14:paraId="3A47596C"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3 cajones por vivienda</w:t>
            </w:r>
          </w:p>
        </w:tc>
      </w:tr>
      <w:tr w:rsidR="009B5E39" w:rsidRPr="004F42F2" w14:paraId="3A475972" w14:textId="77777777" w:rsidTr="00190E4A">
        <w:trPr>
          <w:trHeight w:val="274"/>
          <w:jc w:val="center"/>
        </w:trPr>
        <w:tc>
          <w:tcPr>
            <w:tcW w:w="1271" w:type="dxa"/>
            <w:vMerge/>
            <w:vAlign w:val="center"/>
          </w:tcPr>
          <w:p w14:paraId="3A47596E"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6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Densidad Mínima.</w:t>
            </w:r>
          </w:p>
        </w:tc>
        <w:tc>
          <w:tcPr>
            <w:tcW w:w="1701" w:type="dxa"/>
            <w:vMerge/>
            <w:vAlign w:val="center"/>
          </w:tcPr>
          <w:p w14:paraId="3A475970" w14:textId="77777777" w:rsidR="009B5E39" w:rsidRPr="004F42F2" w:rsidRDefault="009B5E39" w:rsidP="00190E4A">
            <w:pPr>
              <w:spacing w:before="80" w:after="80"/>
              <w:jc w:val="center"/>
              <w:rPr>
                <w:rFonts w:ascii="Gotham" w:hAnsi="Gotham" w:cs="Arial"/>
                <w:sz w:val="16"/>
                <w:szCs w:val="16"/>
              </w:rPr>
            </w:pPr>
          </w:p>
        </w:tc>
        <w:tc>
          <w:tcPr>
            <w:tcW w:w="2982" w:type="dxa"/>
            <w:vAlign w:val="center"/>
          </w:tcPr>
          <w:p w14:paraId="3A47597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Sin máximos</w:t>
            </w:r>
          </w:p>
        </w:tc>
      </w:tr>
      <w:tr w:rsidR="009B5E39" w:rsidRPr="004F42F2" w14:paraId="3A475975" w14:textId="77777777" w:rsidTr="00190E4A">
        <w:trPr>
          <w:jc w:val="center"/>
        </w:trPr>
        <w:tc>
          <w:tcPr>
            <w:tcW w:w="4673" w:type="dxa"/>
            <w:gridSpan w:val="3"/>
            <w:vAlign w:val="center"/>
          </w:tcPr>
          <w:p w14:paraId="3A47597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Mixtos.</w:t>
            </w:r>
          </w:p>
        </w:tc>
        <w:tc>
          <w:tcPr>
            <w:tcW w:w="4683" w:type="dxa"/>
            <w:gridSpan w:val="2"/>
            <w:vAlign w:val="center"/>
          </w:tcPr>
          <w:p w14:paraId="3A475974"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Unidad de vivienda más m</w:t>
            </w:r>
            <w:r w:rsidRPr="004F42F2">
              <w:rPr>
                <w:rFonts w:ascii="Gotham" w:hAnsi="Gotham" w:cs="Arial"/>
                <w:sz w:val="16"/>
                <w:szCs w:val="16"/>
                <w:vertAlign w:val="superscript"/>
              </w:rPr>
              <w:t>2</w:t>
            </w:r>
            <w:r w:rsidRPr="004F42F2">
              <w:rPr>
                <w:rFonts w:ascii="Gotham" w:hAnsi="Gotham" w:cs="Arial"/>
                <w:sz w:val="16"/>
                <w:szCs w:val="16"/>
              </w:rPr>
              <w:t xml:space="preserve"> construidos correspondientes al uso</w:t>
            </w:r>
          </w:p>
        </w:tc>
      </w:tr>
      <w:tr w:rsidR="009B5E39" w:rsidRPr="004F42F2" w14:paraId="3A475979" w14:textId="77777777" w:rsidTr="00190E4A">
        <w:trPr>
          <w:jc w:val="center"/>
        </w:trPr>
        <w:tc>
          <w:tcPr>
            <w:tcW w:w="1271" w:type="dxa"/>
            <w:vMerge w:val="restart"/>
            <w:textDirection w:val="btLr"/>
            <w:vAlign w:val="center"/>
          </w:tcPr>
          <w:p w14:paraId="3A475976"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Comercios y Servicios</w:t>
            </w:r>
          </w:p>
        </w:tc>
        <w:tc>
          <w:tcPr>
            <w:tcW w:w="3402" w:type="dxa"/>
            <w:gridSpan w:val="2"/>
            <w:vAlign w:val="center"/>
          </w:tcPr>
          <w:p w14:paraId="3A47597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Vecinal.</w:t>
            </w:r>
          </w:p>
        </w:tc>
        <w:tc>
          <w:tcPr>
            <w:tcW w:w="4683" w:type="dxa"/>
            <w:gridSpan w:val="2"/>
            <w:vAlign w:val="center"/>
          </w:tcPr>
          <w:p w14:paraId="3A47597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No requiere</w:t>
            </w:r>
          </w:p>
        </w:tc>
      </w:tr>
      <w:tr w:rsidR="009B5E39" w:rsidRPr="004F42F2" w14:paraId="3A47597E" w14:textId="77777777" w:rsidTr="00190E4A">
        <w:trPr>
          <w:jc w:val="center"/>
        </w:trPr>
        <w:tc>
          <w:tcPr>
            <w:tcW w:w="1271" w:type="dxa"/>
            <w:vMerge/>
            <w:vAlign w:val="center"/>
          </w:tcPr>
          <w:p w14:paraId="3A47597A"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7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Barrial.</w:t>
            </w:r>
          </w:p>
        </w:tc>
        <w:tc>
          <w:tcPr>
            <w:tcW w:w="1701" w:type="dxa"/>
            <w:vAlign w:val="center"/>
          </w:tcPr>
          <w:p w14:paraId="3A47597C"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50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c>
          <w:tcPr>
            <w:tcW w:w="2982" w:type="dxa"/>
            <w:vAlign w:val="center"/>
          </w:tcPr>
          <w:p w14:paraId="3A47597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por cada 35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983" w14:textId="77777777" w:rsidTr="00190E4A">
        <w:trPr>
          <w:jc w:val="center"/>
        </w:trPr>
        <w:tc>
          <w:tcPr>
            <w:tcW w:w="1271" w:type="dxa"/>
            <w:vMerge/>
            <w:vAlign w:val="center"/>
          </w:tcPr>
          <w:p w14:paraId="3A47597F"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8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Distrital.</w:t>
            </w:r>
          </w:p>
        </w:tc>
        <w:tc>
          <w:tcPr>
            <w:tcW w:w="1701" w:type="dxa"/>
            <w:vAlign w:val="center"/>
          </w:tcPr>
          <w:p w14:paraId="3A47598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70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c>
          <w:tcPr>
            <w:tcW w:w="2982" w:type="dxa"/>
            <w:vAlign w:val="center"/>
          </w:tcPr>
          <w:p w14:paraId="3A47598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por cada 50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988" w14:textId="77777777" w:rsidTr="00190E4A">
        <w:trPr>
          <w:jc w:val="center"/>
        </w:trPr>
        <w:tc>
          <w:tcPr>
            <w:tcW w:w="1271" w:type="dxa"/>
            <w:vMerge/>
            <w:vAlign w:val="center"/>
          </w:tcPr>
          <w:p w14:paraId="3A475984"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8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Central.</w:t>
            </w:r>
          </w:p>
        </w:tc>
        <w:tc>
          <w:tcPr>
            <w:tcW w:w="1701" w:type="dxa"/>
            <w:vAlign w:val="center"/>
          </w:tcPr>
          <w:p w14:paraId="3A47598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75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c>
          <w:tcPr>
            <w:tcW w:w="2982" w:type="dxa"/>
            <w:vAlign w:val="center"/>
          </w:tcPr>
          <w:p w14:paraId="3A47598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por cada 75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98D" w14:textId="77777777" w:rsidTr="00190E4A">
        <w:trPr>
          <w:jc w:val="center"/>
        </w:trPr>
        <w:tc>
          <w:tcPr>
            <w:tcW w:w="1271" w:type="dxa"/>
            <w:vMerge/>
            <w:vAlign w:val="center"/>
          </w:tcPr>
          <w:p w14:paraId="3A475989"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8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Regional.</w:t>
            </w:r>
          </w:p>
        </w:tc>
        <w:tc>
          <w:tcPr>
            <w:tcW w:w="1701" w:type="dxa"/>
            <w:vAlign w:val="center"/>
          </w:tcPr>
          <w:p w14:paraId="3A47598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80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c>
          <w:tcPr>
            <w:tcW w:w="2982" w:type="dxa"/>
            <w:vAlign w:val="center"/>
          </w:tcPr>
          <w:p w14:paraId="3A47598C"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por cada 100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991" w14:textId="77777777" w:rsidTr="00190E4A">
        <w:trPr>
          <w:jc w:val="center"/>
        </w:trPr>
        <w:tc>
          <w:tcPr>
            <w:tcW w:w="4673" w:type="dxa"/>
            <w:gridSpan w:val="3"/>
            <w:vAlign w:val="center"/>
          </w:tcPr>
          <w:p w14:paraId="3A47598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Servicios a la Industria.</w:t>
            </w:r>
          </w:p>
        </w:tc>
        <w:tc>
          <w:tcPr>
            <w:tcW w:w="4683" w:type="dxa"/>
            <w:gridSpan w:val="2"/>
            <w:vAlign w:val="center"/>
          </w:tcPr>
          <w:p w14:paraId="3A47598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 cajón por cada 160 m</w:t>
            </w:r>
            <w:r w:rsidRPr="004F42F2">
              <w:rPr>
                <w:rFonts w:ascii="Gotham" w:hAnsi="Gotham" w:cs="Arial"/>
                <w:sz w:val="16"/>
                <w:szCs w:val="16"/>
                <w:vertAlign w:val="superscript"/>
              </w:rPr>
              <w:t>2</w:t>
            </w:r>
          </w:p>
          <w:p w14:paraId="3A47599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lastRenderedPageBreak/>
              <w:t>Pasando 3,000 m</w:t>
            </w:r>
            <w:r w:rsidRPr="004F42F2">
              <w:rPr>
                <w:rFonts w:ascii="Gotham" w:hAnsi="Gotham" w:cs="Arial"/>
                <w:sz w:val="16"/>
                <w:szCs w:val="16"/>
                <w:vertAlign w:val="superscript"/>
              </w:rPr>
              <w:t>2</w:t>
            </w:r>
            <w:r w:rsidRPr="004F42F2">
              <w:rPr>
                <w:rFonts w:ascii="Gotham" w:hAnsi="Gotham" w:cs="Arial"/>
                <w:sz w:val="16"/>
                <w:szCs w:val="16"/>
              </w:rPr>
              <w:t xml:space="preserve"> de construcción se agregara 1 cajón por cada 3,000 m</w:t>
            </w:r>
            <w:r w:rsidRPr="004F42F2">
              <w:rPr>
                <w:rFonts w:ascii="Gotham" w:hAnsi="Gotham" w:cs="Arial"/>
                <w:sz w:val="16"/>
                <w:szCs w:val="16"/>
                <w:vertAlign w:val="superscript"/>
              </w:rPr>
              <w:t>2</w:t>
            </w:r>
            <w:r w:rsidRPr="004F42F2">
              <w:rPr>
                <w:rFonts w:ascii="Gotham" w:hAnsi="Gotham" w:cs="Arial"/>
                <w:sz w:val="16"/>
                <w:szCs w:val="16"/>
              </w:rPr>
              <w:t xml:space="preserve"> de construcción.</w:t>
            </w:r>
          </w:p>
        </w:tc>
      </w:tr>
      <w:tr w:rsidR="009B5E39" w:rsidRPr="004F42F2" w14:paraId="3A475996" w14:textId="77777777" w:rsidTr="00190E4A">
        <w:trPr>
          <w:jc w:val="center"/>
        </w:trPr>
        <w:tc>
          <w:tcPr>
            <w:tcW w:w="1271" w:type="dxa"/>
            <w:vMerge w:val="restart"/>
            <w:textDirection w:val="btLr"/>
            <w:vAlign w:val="center"/>
          </w:tcPr>
          <w:p w14:paraId="3A475992"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lastRenderedPageBreak/>
              <w:t>Industria</w:t>
            </w:r>
          </w:p>
        </w:tc>
        <w:tc>
          <w:tcPr>
            <w:tcW w:w="3402" w:type="dxa"/>
            <w:gridSpan w:val="2"/>
            <w:vAlign w:val="center"/>
          </w:tcPr>
          <w:p w14:paraId="3A47599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Manufacturas Domiciliarias</w:t>
            </w:r>
          </w:p>
        </w:tc>
        <w:tc>
          <w:tcPr>
            <w:tcW w:w="1701" w:type="dxa"/>
            <w:vAlign w:val="center"/>
          </w:tcPr>
          <w:p w14:paraId="3A475994"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No Requiere</w:t>
            </w:r>
          </w:p>
        </w:tc>
        <w:tc>
          <w:tcPr>
            <w:tcW w:w="2982" w:type="dxa"/>
            <w:vAlign w:val="center"/>
          </w:tcPr>
          <w:p w14:paraId="3A47599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cajón por cada 150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99C" w14:textId="77777777" w:rsidTr="00190E4A">
        <w:trPr>
          <w:jc w:val="center"/>
        </w:trPr>
        <w:tc>
          <w:tcPr>
            <w:tcW w:w="1271" w:type="dxa"/>
            <w:vMerge/>
            <w:vAlign w:val="center"/>
          </w:tcPr>
          <w:p w14:paraId="3A475997"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9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Manufacturas Menores Industria Ligera, Industria Mediana e Industria Pesada</w:t>
            </w:r>
          </w:p>
        </w:tc>
        <w:tc>
          <w:tcPr>
            <w:tcW w:w="1701" w:type="dxa"/>
            <w:vAlign w:val="center"/>
          </w:tcPr>
          <w:p w14:paraId="3A47599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150 m</w:t>
            </w:r>
            <w:r w:rsidRPr="004F42F2">
              <w:rPr>
                <w:rFonts w:ascii="Gotham" w:hAnsi="Gotham" w:cs="Arial"/>
                <w:sz w:val="16"/>
                <w:szCs w:val="16"/>
                <w:vertAlign w:val="superscript"/>
              </w:rPr>
              <w:t>2</w:t>
            </w:r>
            <w:r w:rsidRPr="004F42F2">
              <w:rPr>
                <w:rFonts w:ascii="Gotham" w:hAnsi="Gotham" w:cs="Arial"/>
                <w:sz w:val="16"/>
                <w:szCs w:val="16"/>
              </w:rPr>
              <w:t xml:space="preserve"> pasando 3,000 m</w:t>
            </w:r>
            <w:r w:rsidRPr="004F42F2">
              <w:rPr>
                <w:rFonts w:ascii="Gotham" w:hAnsi="Gotham" w:cs="Arial"/>
                <w:sz w:val="16"/>
                <w:szCs w:val="16"/>
                <w:vertAlign w:val="superscript"/>
              </w:rPr>
              <w:t>2</w:t>
            </w:r>
            <w:r w:rsidRPr="004F42F2">
              <w:rPr>
                <w:rFonts w:ascii="Gotham" w:hAnsi="Gotham" w:cs="Arial"/>
                <w:sz w:val="16"/>
                <w:szCs w:val="16"/>
              </w:rPr>
              <w:t xml:space="preserve"> de construcción se agregara 1 cajón por cada 3,000 m</w:t>
            </w:r>
            <w:r w:rsidRPr="004F42F2">
              <w:rPr>
                <w:rFonts w:ascii="Gotham" w:hAnsi="Gotham" w:cs="Arial"/>
                <w:sz w:val="16"/>
                <w:szCs w:val="16"/>
                <w:vertAlign w:val="superscript"/>
              </w:rPr>
              <w:t>2</w:t>
            </w:r>
            <w:r w:rsidRPr="004F42F2">
              <w:rPr>
                <w:rFonts w:ascii="Gotham" w:hAnsi="Gotham" w:cs="Arial"/>
                <w:sz w:val="16"/>
                <w:szCs w:val="16"/>
              </w:rPr>
              <w:t xml:space="preserve"> de construcción.</w:t>
            </w:r>
          </w:p>
        </w:tc>
        <w:tc>
          <w:tcPr>
            <w:tcW w:w="2982" w:type="dxa"/>
            <w:vAlign w:val="center"/>
          </w:tcPr>
          <w:p w14:paraId="3A47599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 cajón por cada 150 m</w:t>
            </w:r>
            <w:r w:rsidRPr="004F42F2">
              <w:rPr>
                <w:rFonts w:ascii="Gotham" w:hAnsi="Gotham" w:cs="Arial"/>
                <w:sz w:val="16"/>
                <w:szCs w:val="16"/>
                <w:vertAlign w:val="superscript"/>
              </w:rPr>
              <w:t>2</w:t>
            </w:r>
          </w:p>
          <w:p w14:paraId="3A47599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Pasando 3,000 m</w:t>
            </w:r>
            <w:r w:rsidRPr="004F42F2">
              <w:rPr>
                <w:rFonts w:ascii="Gotham" w:hAnsi="Gotham" w:cs="Arial"/>
                <w:sz w:val="16"/>
                <w:szCs w:val="16"/>
                <w:vertAlign w:val="superscript"/>
              </w:rPr>
              <w:t>2</w:t>
            </w:r>
            <w:r w:rsidRPr="004F42F2">
              <w:rPr>
                <w:rFonts w:ascii="Gotham" w:hAnsi="Gotham" w:cs="Arial"/>
                <w:sz w:val="16"/>
                <w:szCs w:val="16"/>
              </w:rPr>
              <w:t xml:space="preserve"> de construcción se agregara 1 cajón por cada 3,000 m</w:t>
            </w:r>
            <w:r w:rsidRPr="004F42F2">
              <w:rPr>
                <w:rFonts w:ascii="Gotham" w:hAnsi="Gotham" w:cs="Arial"/>
                <w:sz w:val="16"/>
                <w:szCs w:val="16"/>
                <w:vertAlign w:val="superscript"/>
              </w:rPr>
              <w:t>2</w:t>
            </w:r>
            <w:r w:rsidRPr="004F42F2">
              <w:rPr>
                <w:rFonts w:ascii="Gotham" w:hAnsi="Gotham" w:cs="Arial"/>
                <w:sz w:val="16"/>
                <w:szCs w:val="16"/>
              </w:rPr>
              <w:t xml:space="preserve"> de construcción.</w:t>
            </w:r>
          </w:p>
        </w:tc>
      </w:tr>
      <w:tr w:rsidR="009B5E39" w:rsidRPr="004F42F2" w14:paraId="3A4759A2" w14:textId="77777777" w:rsidTr="00190E4A">
        <w:trPr>
          <w:jc w:val="center"/>
        </w:trPr>
        <w:tc>
          <w:tcPr>
            <w:tcW w:w="1271" w:type="dxa"/>
            <w:vMerge w:val="restart"/>
            <w:textDirection w:val="btLr"/>
            <w:vAlign w:val="center"/>
          </w:tcPr>
          <w:p w14:paraId="3A47599D"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Equipamiento</w:t>
            </w:r>
          </w:p>
        </w:tc>
        <w:tc>
          <w:tcPr>
            <w:tcW w:w="3402" w:type="dxa"/>
            <w:gridSpan w:val="2"/>
            <w:vAlign w:val="center"/>
          </w:tcPr>
          <w:p w14:paraId="3A47599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Educativos o Institucional</w:t>
            </w:r>
          </w:p>
          <w:p w14:paraId="3A47599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Independiente su nivel</w:t>
            </w:r>
          </w:p>
        </w:tc>
        <w:tc>
          <w:tcPr>
            <w:tcW w:w="1701" w:type="dxa"/>
            <w:vAlign w:val="center"/>
          </w:tcPr>
          <w:p w14:paraId="3A4759A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80 m</w:t>
            </w:r>
            <w:r w:rsidRPr="004F42F2">
              <w:rPr>
                <w:rFonts w:ascii="Gotham" w:hAnsi="Gotham" w:cs="Arial"/>
                <w:sz w:val="16"/>
                <w:szCs w:val="16"/>
                <w:vertAlign w:val="superscript"/>
              </w:rPr>
              <w:t>2</w:t>
            </w:r>
            <w:r w:rsidRPr="004F42F2">
              <w:rPr>
                <w:rFonts w:ascii="Gotham" w:hAnsi="Gotham" w:cs="Arial"/>
                <w:sz w:val="16"/>
                <w:szCs w:val="16"/>
              </w:rPr>
              <w:t xml:space="preserve"> construidos de operación del giro</w:t>
            </w:r>
          </w:p>
        </w:tc>
        <w:tc>
          <w:tcPr>
            <w:tcW w:w="2982" w:type="dxa"/>
            <w:vAlign w:val="center"/>
          </w:tcPr>
          <w:p w14:paraId="3A4759A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 cajones por cada 80 m</w:t>
            </w:r>
            <w:r w:rsidRPr="004F42F2">
              <w:rPr>
                <w:rFonts w:ascii="Gotham" w:hAnsi="Gotham" w:cs="Arial"/>
                <w:sz w:val="16"/>
                <w:szCs w:val="16"/>
                <w:vertAlign w:val="superscript"/>
              </w:rPr>
              <w:t>2</w:t>
            </w:r>
            <w:r w:rsidRPr="004F42F2">
              <w:rPr>
                <w:rFonts w:ascii="Gotham" w:hAnsi="Gotham" w:cs="Arial"/>
                <w:sz w:val="16"/>
                <w:szCs w:val="16"/>
              </w:rPr>
              <w:t xml:space="preserve"> construidos de operación del giro.</w:t>
            </w:r>
          </w:p>
        </w:tc>
      </w:tr>
      <w:tr w:rsidR="009B5E39" w:rsidRPr="004F42F2" w14:paraId="3A4759A7" w14:textId="77777777" w:rsidTr="00190E4A">
        <w:trPr>
          <w:jc w:val="center"/>
        </w:trPr>
        <w:tc>
          <w:tcPr>
            <w:tcW w:w="1271" w:type="dxa"/>
            <w:vMerge/>
            <w:vAlign w:val="center"/>
          </w:tcPr>
          <w:p w14:paraId="3A4759A3"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A4"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Equipamiento Salud</w:t>
            </w:r>
          </w:p>
        </w:tc>
        <w:tc>
          <w:tcPr>
            <w:tcW w:w="1701" w:type="dxa"/>
            <w:vAlign w:val="center"/>
          </w:tcPr>
          <w:p w14:paraId="3A4759A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75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c>
          <w:tcPr>
            <w:tcW w:w="2982" w:type="dxa"/>
            <w:vAlign w:val="center"/>
          </w:tcPr>
          <w:p w14:paraId="3A4759A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por cada 50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9AB" w14:textId="77777777" w:rsidTr="00190E4A">
        <w:trPr>
          <w:trHeight w:val="106"/>
          <w:jc w:val="center"/>
        </w:trPr>
        <w:tc>
          <w:tcPr>
            <w:tcW w:w="1271" w:type="dxa"/>
            <w:vMerge/>
            <w:vAlign w:val="center"/>
          </w:tcPr>
          <w:p w14:paraId="3A4759A8"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A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Equipamiento Cultural</w:t>
            </w:r>
          </w:p>
        </w:tc>
        <w:tc>
          <w:tcPr>
            <w:tcW w:w="4683" w:type="dxa"/>
            <w:gridSpan w:val="2"/>
            <w:vAlign w:val="center"/>
          </w:tcPr>
          <w:p w14:paraId="3A4759A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6 personas (conforme a capacidad Máxima)</w:t>
            </w:r>
          </w:p>
        </w:tc>
      </w:tr>
      <w:tr w:rsidR="009B5E39" w:rsidRPr="004F42F2" w14:paraId="3A4759AF" w14:textId="77777777" w:rsidTr="00190E4A">
        <w:trPr>
          <w:jc w:val="center"/>
        </w:trPr>
        <w:tc>
          <w:tcPr>
            <w:tcW w:w="1271" w:type="dxa"/>
            <w:vMerge w:val="restart"/>
            <w:textDirection w:val="btLr"/>
            <w:vAlign w:val="center"/>
          </w:tcPr>
          <w:p w14:paraId="3A4759AC"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Espacios Verdes, Abiertos</w:t>
            </w:r>
            <w:r w:rsidR="007C2F8D">
              <w:rPr>
                <w:rFonts w:ascii="Gotham" w:hAnsi="Gotham" w:cs="Arial"/>
                <w:sz w:val="16"/>
                <w:szCs w:val="16"/>
              </w:rPr>
              <w:t xml:space="preserve"> </w:t>
            </w:r>
            <w:r w:rsidRPr="004F42F2">
              <w:rPr>
                <w:rFonts w:ascii="Gotham" w:hAnsi="Gotham" w:cs="Arial"/>
                <w:sz w:val="16"/>
                <w:szCs w:val="16"/>
              </w:rPr>
              <w:t>y Recreativos</w:t>
            </w:r>
          </w:p>
        </w:tc>
        <w:tc>
          <w:tcPr>
            <w:tcW w:w="3402" w:type="dxa"/>
            <w:gridSpan w:val="2"/>
            <w:vAlign w:val="center"/>
          </w:tcPr>
          <w:p w14:paraId="3A4759A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Vecinales</w:t>
            </w:r>
          </w:p>
        </w:tc>
        <w:tc>
          <w:tcPr>
            <w:tcW w:w="4683" w:type="dxa"/>
            <w:gridSpan w:val="2"/>
            <w:vAlign w:val="center"/>
          </w:tcPr>
          <w:p w14:paraId="3A4759A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No Requiere</w:t>
            </w:r>
          </w:p>
        </w:tc>
      </w:tr>
      <w:tr w:rsidR="009B5E39" w:rsidRPr="004F42F2" w14:paraId="3A4759B3" w14:textId="77777777" w:rsidTr="00190E4A">
        <w:trPr>
          <w:jc w:val="center"/>
        </w:trPr>
        <w:tc>
          <w:tcPr>
            <w:tcW w:w="1271" w:type="dxa"/>
            <w:vMerge/>
            <w:vAlign w:val="center"/>
          </w:tcPr>
          <w:p w14:paraId="3A4759B0"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B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Barriales</w:t>
            </w:r>
          </w:p>
        </w:tc>
        <w:tc>
          <w:tcPr>
            <w:tcW w:w="4683" w:type="dxa"/>
            <w:gridSpan w:val="2"/>
            <w:vAlign w:val="center"/>
          </w:tcPr>
          <w:p w14:paraId="3A4759B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 cajón cada 50 m</w:t>
            </w:r>
            <w:r w:rsidRPr="004F42F2">
              <w:rPr>
                <w:rFonts w:ascii="Gotham" w:hAnsi="Gotham" w:cs="Arial"/>
                <w:sz w:val="16"/>
                <w:szCs w:val="16"/>
                <w:vertAlign w:val="superscript"/>
              </w:rPr>
              <w:t xml:space="preserve">2 </w:t>
            </w:r>
            <w:r w:rsidRPr="004F42F2">
              <w:rPr>
                <w:rFonts w:ascii="Gotham" w:hAnsi="Gotham" w:cs="Arial"/>
                <w:sz w:val="16"/>
                <w:szCs w:val="16"/>
              </w:rPr>
              <w:t xml:space="preserve"> por cada 1,000 m</w:t>
            </w:r>
            <w:r w:rsidRPr="004F42F2">
              <w:rPr>
                <w:rFonts w:ascii="Gotham" w:hAnsi="Gotham" w:cs="Arial"/>
                <w:sz w:val="16"/>
                <w:szCs w:val="16"/>
                <w:vertAlign w:val="superscript"/>
              </w:rPr>
              <w:t>2</w:t>
            </w:r>
            <w:r w:rsidRPr="004F42F2">
              <w:rPr>
                <w:rFonts w:ascii="Gotham" w:hAnsi="Gotham" w:cs="Arial"/>
                <w:sz w:val="16"/>
                <w:szCs w:val="16"/>
              </w:rPr>
              <w:t xml:space="preserve"> de aire libre</w:t>
            </w:r>
          </w:p>
        </w:tc>
      </w:tr>
      <w:tr w:rsidR="009B5E39" w:rsidRPr="004F42F2" w14:paraId="3A4759B8" w14:textId="77777777" w:rsidTr="00190E4A">
        <w:trPr>
          <w:jc w:val="center"/>
        </w:trPr>
        <w:tc>
          <w:tcPr>
            <w:tcW w:w="1271" w:type="dxa"/>
            <w:vMerge/>
            <w:vAlign w:val="center"/>
          </w:tcPr>
          <w:p w14:paraId="3A4759B4" w14:textId="77777777" w:rsidR="009B5E39" w:rsidRPr="004F42F2" w:rsidRDefault="009B5E39" w:rsidP="00190E4A">
            <w:pPr>
              <w:spacing w:before="80" w:after="80"/>
              <w:jc w:val="center"/>
              <w:rPr>
                <w:rFonts w:ascii="Gotham" w:hAnsi="Gotham" w:cs="Arial"/>
                <w:sz w:val="16"/>
                <w:szCs w:val="16"/>
              </w:rPr>
            </w:pPr>
          </w:p>
        </w:tc>
        <w:tc>
          <w:tcPr>
            <w:tcW w:w="1574" w:type="dxa"/>
            <w:vMerge w:val="restart"/>
            <w:vAlign w:val="center"/>
          </w:tcPr>
          <w:p w14:paraId="3A4759B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Distrital</w:t>
            </w:r>
          </w:p>
        </w:tc>
        <w:tc>
          <w:tcPr>
            <w:tcW w:w="1828" w:type="dxa"/>
            <w:vAlign w:val="center"/>
          </w:tcPr>
          <w:p w14:paraId="3A4759B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Verdes y Abiertos</w:t>
            </w:r>
          </w:p>
        </w:tc>
        <w:tc>
          <w:tcPr>
            <w:tcW w:w="4683" w:type="dxa"/>
            <w:gridSpan w:val="2"/>
            <w:vAlign w:val="center"/>
          </w:tcPr>
          <w:p w14:paraId="3A4759B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 cajón cada 75 m</w:t>
            </w:r>
            <w:r w:rsidRPr="004F42F2">
              <w:rPr>
                <w:rFonts w:ascii="Gotham" w:hAnsi="Gotham" w:cs="Arial"/>
                <w:sz w:val="16"/>
                <w:szCs w:val="16"/>
                <w:vertAlign w:val="superscript"/>
              </w:rPr>
              <w:t xml:space="preserve">2 </w:t>
            </w:r>
            <w:r w:rsidRPr="004F42F2">
              <w:rPr>
                <w:rFonts w:ascii="Gotham" w:hAnsi="Gotham" w:cs="Arial"/>
                <w:sz w:val="16"/>
                <w:szCs w:val="16"/>
              </w:rPr>
              <w:t xml:space="preserve"> por cada 1,000 m</w:t>
            </w:r>
            <w:r w:rsidRPr="004F42F2">
              <w:rPr>
                <w:rFonts w:ascii="Gotham" w:hAnsi="Gotham" w:cs="Arial"/>
                <w:sz w:val="16"/>
                <w:szCs w:val="16"/>
                <w:vertAlign w:val="superscript"/>
              </w:rPr>
              <w:t>2</w:t>
            </w:r>
            <w:r w:rsidRPr="004F42F2">
              <w:rPr>
                <w:rFonts w:ascii="Gotham" w:hAnsi="Gotham" w:cs="Arial"/>
                <w:sz w:val="16"/>
                <w:szCs w:val="16"/>
              </w:rPr>
              <w:t xml:space="preserve"> de aire libre</w:t>
            </w:r>
          </w:p>
        </w:tc>
      </w:tr>
      <w:tr w:rsidR="009B5E39" w:rsidRPr="004F42F2" w14:paraId="3A4759BE" w14:textId="77777777" w:rsidTr="00190E4A">
        <w:trPr>
          <w:jc w:val="center"/>
        </w:trPr>
        <w:tc>
          <w:tcPr>
            <w:tcW w:w="1271" w:type="dxa"/>
            <w:vMerge/>
            <w:vAlign w:val="center"/>
          </w:tcPr>
          <w:p w14:paraId="3A4759B9" w14:textId="77777777" w:rsidR="009B5E39" w:rsidRPr="004F42F2" w:rsidRDefault="009B5E39" w:rsidP="00190E4A">
            <w:pPr>
              <w:spacing w:before="80" w:after="80"/>
              <w:jc w:val="center"/>
              <w:rPr>
                <w:rFonts w:ascii="Gotham" w:hAnsi="Gotham" w:cs="Arial"/>
                <w:sz w:val="16"/>
                <w:szCs w:val="16"/>
              </w:rPr>
            </w:pPr>
          </w:p>
        </w:tc>
        <w:tc>
          <w:tcPr>
            <w:tcW w:w="1574" w:type="dxa"/>
            <w:vMerge/>
            <w:vAlign w:val="center"/>
          </w:tcPr>
          <w:p w14:paraId="3A4759BA" w14:textId="77777777" w:rsidR="009B5E39" w:rsidRPr="004F42F2" w:rsidRDefault="009B5E39" w:rsidP="00190E4A">
            <w:pPr>
              <w:spacing w:before="80" w:after="80"/>
              <w:jc w:val="center"/>
              <w:rPr>
                <w:rFonts w:ascii="Gotham" w:hAnsi="Gotham" w:cs="Arial"/>
                <w:sz w:val="16"/>
                <w:szCs w:val="16"/>
              </w:rPr>
            </w:pPr>
          </w:p>
        </w:tc>
        <w:tc>
          <w:tcPr>
            <w:tcW w:w="1828" w:type="dxa"/>
            <w:vAlign w:val="center"/>
          </w:tcPr>
          <w:p w14:paraId="3A4759B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Recreativos</w:t>
            </w:r>
          </w:p>
        </w:tc>
        <w:tc>
          <w:tcPr>
            <w:tcW w:w="1701" w:type="dxa"/>
            <w:vAlign w:val="center"/>
          </w:tcPr>
          <w:p w14:paraId="3A4759BC"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cajón por cada 10 personas conforme a la capacidad máxima</w:t>
            </w:r>
          </w:p>
        </w:tc>
        <w:tc>
          <w:tcPr>
            <w:tcW w:w="2982" w:type="dxa"/>
            <w:vAlign w:val="center"/>
          </w:tcPr>
          <w:p w14:paraId="3A4759B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cajón por cada 6 personas conforme a la capacidad máxima</w:t>
            </w:r>
          </w:p>
        </w:tc>
      </w:tr>
      <w:tr w:rsidR="009B5E39" w:rsidRPr="004F42F2" w14:paraId="3A4759C4" w14:textId="77777777" w:rsidTr="00190E4A">
        <w:trPr>
          <w:jc w:val="center"/>
        </w:trPr>
        <w:tc>
          <w:tcPr>
            <w:tcW w:w="1271" w:type="dxa"/>
            <w:vMerge/>
            <w:vAlign w:val="center"/>
          </w:tcPr>
          <w:p w14:paraId="3A4759BF" w14:textId="77777777" w:rsidR="009B5E39" w:rsidRPr="004F42F2" w:rsidRDefault="009B5E39" w:rsidP="00190E4A">
            <w:pPr>
              <w:spacing w:before="80" w:after="80"/>
              <w:jc w:val="center"/>
              <w:rPr>
                <w:rFonts w:ascii="Gotham" w:hAnsi="Gotham" w:cs="Arial"/>
                <w:sz w:val="16"/>
                <w:szCs w:val="16"/>
              </w:rPr>
            </w:pPr>
          </w:p>
        </w:tc>
        <w:tc>
          <w:tcPr>
            <w:tcW w:w="1574" w:type="dxa"/>
            <w:vMerge w:val="restart"/>
            <w:vAlign w:val="center"/>
          </w:tcPr>
          <w:p w14:paraId="3A4759C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Central</w:t>
            </w:r>
          </w:p>
        </w:tc>
        <w:tc>
          <w:tcPr>
            <w:tcW w:w="1828" w:type="dxa"/>
            <w:vAlign w:val="center"/>
          </w:tcPr>
          <w:p w14:paraId="3A4759C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Verdes y Abiertos</w:t>
            </w:r>
          </w:p>
        </w:tc>
        <w:tc>
          <w:tcPr>
            <w:tcW w:w="1701" w:type="dxa"/>
            <w:vAlign w:val="center"/>
          </w:tcPr>
          <w:p w14:paraId="3A4759C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 cajón cada 75 m</w:t>
            </w:r>
            <w:r w:rsidRPr="004F42F2">
              <w:rPr>
                <w:rFonts w:ascii="Gotham" w:hAnsi="Gotham" w:cs="Arial"/>
                <w:sz w:val="16"/>
                <w:szCs w:val="16"/>
                <w:vertAlign w:val="superscript"/>
              </w:rPr>
              <w:t xml:space="preserve">2 </w:t>
            </w:r>
            <w:r w:rsidRPr="004F42F2">
              <w:rPr>
                <w:rFonts w:ascii="Gotham" w:hAnsi="Gotham" w:cs="Arial"/>
                <w:sz w:val="16"/>
                <w:szCs w:val="16"/>
              </w:rPr>
              <w:t xml:space="preserve"> por cada 1,000 m</w:t>
            </w:r>
            <w:r w:rsidRPr="004F42F2">
              <w:rPr>
                <w:rFonts w:ascii="Gotham" w:hAnsi="Gotham" w:cs="Arial"/>
                <w:sz w:val="16"/>
                <w:szCs w:val="16"/>
                <w:vertAlign w:val="superscript"/>
              </w:rPr>
              <w:t>2</w:t>
            </w:r>
            <w:r w:rsidRPr="004F42F2">
              <w:rPr>
                <w:rFonts w:ascii="Gotham" w:hAnsi="Gotham" w:cs="Arial"/>
                <w:sz w:val="16"/>
                <w:szCs w:val="16"/>
              </w:rPr>
              <w:t xml:space="preserve"> de aire libre</w:t>
            </w:r>
          </w:p>
        </w:tc>
        <w:tc>
          <w:tcPr>
            <w:tcW w:w="2982" w:type="dxa"/>
            <w:vAlign w:val="center"/>
          </w:tcPr>
          <w:p w14:paraId="3A4759C3" w14:textId="77777777" w:rsidR="009B5E39" w:rsidRPr="004F42F2" w:rsidRDefault="009B5E39" w:rsidP="00190E4A">
            <w:pPr>
              <w:spacing w:before="80" w:after="80"/>
              <w:jc w:val="center"/>
              <w:rPr>
                <w:rFonts w:ascii="Gotham" w:hAnsi="Gotham" w:cs="Arial"/>
                <w:sz w:val="16"/>
                <w:szCs w:val="16"/>
              </w:rPr>
            </w:pPr>
          </w:p>
        </w:tc>
      </w:tr>
      <w:tr w:rsidR="009B5E39" w:rsidRPr="004F42F2" w14:paraId="3A4759CA" w14:textId="77777777" w:rsidTr="00190E4A">
        <w:trPr>
          <w:jc w:val="center"/>
        </w:trPr>
        <w:tc>
          <w:tcPr>
            <w:tcW w:w="1271" w:type="dxa"/>
            <w:vMerge/>
            <w:vAlign w:val="center"/>
          </w:tcPr>
          <w:p w14:paraId="3A4759C5" w14:textId="77777777" w:rsidR="009B5E39" w:rsidRPr="004F42F2" w:rsidRDefault="009B5E39" w:rsidP="00190E4A">
            <w:pPr>
              <w:spacing w:before="80" w:after="80"/>
              <w:jc w:val="center"/>
              <w:rPr>
                <w:rFonts w:ascii="Gotham" w:hAnsi="Gotham" w:cs="Arial"/>
                <w:sz w:val="16"/>
                <w:szCs w:val="16"/>
              </w:rPr>
            </w:pPr>
          </w:p>
        </w:tc>
        <w:tc>
          <w:tcPr>
            <w:tcW w:w="1574" w:type="dxa"/>
            <w:vMerge/>
            <w:vAlign w:val="center"/>
          </w:tcPr>
          <w:p w14:paraId="3A4759C6" w14:textId="77777777" w:rsidR="009B5E39" w:rsidRPr="004F42F2" w:rsidRDefault="009B5E39" w:rsidP="00190E4A">
            <w:pPr>
              <w:spacing w:before="80" w:after="80"/>
              <w:jc w:val="center"/>
              <w:rPr>
                <w:rFonts w:ascii="Gotham" w:hAnsi="Gotham" w:cs="Arial"/>
                <w:sz w:val="16"/>
                <w:szCs w:val="16"/>
              </w:rPr>
            </w:pPr>
          </w:p>
        </w:tc>
        <w:tc>
          <w:tcPr>
            <w:tcW w:w="1828" w:type="dxa"/>
            <w:vAlign w:val="center"/>
          </w:tcPr>
          <w:p w14:paraId="3A4759C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Recreativos</w:t>
            </w:r>
          </w:p>
        </w:tc>
        <w:tc>
          <w:tcPr>
            <w:tcW w:w="1701" w:type="dxa"/>
            <w:vAlign w:val="center"/>
          </w:tcPr>
          <w:p w14:paraId="3A4759C8" w14:textId="77777777" w:rsidR="009B5E39" w:rsidRPr="004F42F2" w:rsidRDefault="009B5E39" w:rsidP="00190E4A">
            <w:pPr>
              <w:spacing w:before="80" w:after="80"/>
              <w:jc w:val="center"/>
              <w:rPr>
                <w:rFonts w:ascii="Gotham" w:hAnsi="Gotham" w:cs="Arial"/>
                <w:sz w:val="16"/>
                <w:szCs w:val="16"/>
              </w:rPr>
            </w:pPr>
          </w:p>
        </w:tc>
        <w:tc>
          <w:tcPr>
            <w:tcW w:w="2982" w:type="dxa"/>
            <w:vAlign w:val="center"/>
          </w:tcPr>
          <w:p w14:paraId="3A4759C9" w14:textId="77777777" w:rsidR="009B5E39" w:rsidRPr="004F42F2" w:rsidRDefault="009B5E39" w:rsidP="00190E4A">
            <w:pPr>
              <w:spacing w:before="80" w:after="80"/>
              <w:jc w:val="center"/>
              <w:rPr>
                <w:rFonts w:ascii="Gotham" w:hAnsi="Gotham" w:cs="Arial"/>
                <w:sz w:val="16"/>
                <w:szCs w:val="16"/>
              </w:rPr>
            </w:pPr>
          </w:p>
        </w:tc>
      </w:tr>
      <w:tr w:rsidR="009B5E39" w:rsidRPr="004F42F2" w14:paraId="3A4759CE" w14:textId="77777777" w:rsidTr="00190E4A">
        <w:trPr>
          <w:jc w:val="center"/>
        </w:trPr>
        <w:tc>
          <w:tcPr>
            <w:tcW w:w="1271" w:type="dxa"/>
            <w:vMerge w:val="restart"/>
            <w:textDirection w:val="btLr"/>
            <w:vAlign w:val="center"/>
          </w:tcPr>
          <w:p w14:paraId="3A4759CB"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Instalaciones Especiales e Infraestructura</w:t>
            </w:r>
          </w:p>
        </w:tc>
        <w:tc>
          <w:tcPr>
            <w:tcW w:w="3402" w:type="dxa"/>
            <w:gridSpan w:val="2"/>
            <w:tcBorders>
              <w:bottom w:val="nil"/>
            </w:tcBorders>
            <w:vAlign w:val="center"/>
          </w:tcPr>
          <w:p w14:paraId="3A4759CC"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Infraestructura Urbana</w:t>
            </w:r>
          </w:p>
        </w:tc>
        <w:tc>
          <w:tcPr>
            <w:tcW w:w="4683" w:type="dxa"/>
            <w:gridSpan w:val="2"/>
            <w:vAlign w:val="center"/>
          </w:tcPr>
          <w:p w14:paraId="3A4759C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100 m</w:t>
            </w:r>
            <w:r w:rsidRPr="004F42F2">
              <w:rPr>
                <w:rFonts w:ascii="Gotham" w:hAnsi="Gotham" w:cs="Arial"/>
                <w:sz w:val="16"/>
                <w:szCs w:val="16"/>
                <w:vertAlign w:val="superscript"/>
              </w:rPr>
              <w:t>2</w:t>
            </w:r>
            <w:r w:rsidRPr="004F42F2">
              <w:rPr>
                <w:rFonts w:ascii="Gotham" w:hAnsi="Gotham" w:cs="Arial"/>
                <w:sz w:val="16"/>
                <w:szCs w:val="16"/>
              </w:rPr>
              <w:t xml:space="preserve"> construidos</w:t>
            </w:r>
          </w:p>
        </w:tc>
      </w:tr>
      <w:tr w:rsidR="009B5E39" w:rsidRPr="004F42F2" w14:paraId="3A4759D3" w14:textId="77777777" w:rsidTr="00190E4A">
        <w:trPr>
          <w:jc w:val="center"/>
        </w:trPr>
        <w:tc>
          <w:tcPr>
            <w:tcW w:w="1271" w:type="dxa"/>
            <w:vMerge/>
            <w:vAlign w:val="center"/>
          </w:tcPr>
          <w:p w14:paraId="3A4759CF" w14:textId="77777777" w:rsidR="009B5E39" w:rsidRPr="004F42F2" w:rsidRDefault="009B5E39" w:rsidP="00190E4A">
            <w:pPr>
              <w:spacing w:before="80" w:after="80"/>
              <w:jc w:val="center"/>
              <w:rPr>
                <w:rFonts w:ascii="Gotham" w:hAnsi="Gotham" w:cs="Arial"/>
                <w:sz w:val="16"/>
                <w:szCs w:val="16"/>
              </w:rPr>
            </w:pPr>
          </w:p>
        </w:tc>
        <w:tc>
          <w:tcPr>
            <w:tcW w:w="1574" w:type="dxa"/>
            <w:tcBorders>
              <w:top w:val="nil"/>
            </w:tcBorders>
            <w:vAlign w:val="center"/>
          </w:tcPr>
          <w:p w14:paraId="3A4759D0" w14:textId="77777777" w:rsidR="009B5E39" w:rsidRPr="004F42F2" w:rsidRDefault="009B5E39" w:rsidP="00190E4A">
            <w:pPr>
              <w:spacing w:before="80" w:after="80"/>
              <w:jc w:val="center"/>
              <w:rPr>
                <w:rFonts w:ascii="Gotham" w:hAnsi="Gotham" w:cs="Arial"/>
                <w:sz w:val="16"/>
                <w:szCs w:val="16"/>
              </w:rPr>
            </w:pPr>
          </w:p>
        </w:tc>
        <w:tc>
          <w:tcPr>
            <w:tcW w:w="1828" w:type="dxa"/>
            <w:vAlign w:val="center"/>
          </w:tcPr>
          <w:p w14:paraId="3A4759D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Subestación Eléctrica</w:t>
            </w:r>
          </w:p>
        </w:tc>
        <w:tc>
          <w:tcPr>
            <w:tcW w:w="4683" w:type="dxa"/>
            <w:gridSpan w:val="2"/>
            <w:vAlign w:val="center"/>
          </w:tcPr>
          <w:p w14:paraId="3A4759D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50 m</w:t>
            </w:r>
            <w:r w:rsidRPr="004F42F2">
              <w:rPr>
                <w:rFonts w:ascii="Gotham" w:hAnsi="Gotham" w:cs="Arial"/>
                <w:sz w:val="16"/>
                <w:szCs w:val="16"/>
                <w:vertAlign w:val="superscript"/>
              </w:rPr>
              <w:t>2</w:t>
            </w:r>
            <w:r w:rsidRPr="004F42F2">
              <w:rPr>
                <w:rFonts w:ascii="Gotham" w:hAnsi="Gotham" w:cs="Arial"/>
                <w:sz w:val="16"/>
                <w:szCs w:val="16"/>
              </w:rPr>
              <w:t xml:space="preserve"> construidos</w:t>
            </w:r>
          </w:p>
        </w:tc>
      </w:tr>
      <w:tr w:rsidR="009B5E39" w:rsidRPr="004F42F2" w14:paraId="3A4759D7" w14:textId="77777777" w:rsidTr="00190E4A">
        <w:trPr>
          <w:jc w:val="center"/>
        </w:trPr>
        <w:tc>
          <w:tcPr>
            <w:tcW w:w="1271" w:type="dxa"/>
            <w:vMerge/>
            <w:vAlign w:val="center"/>
          </w:tcPr>
          <w:p w14:paraId="3A4759D4"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D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Infraestructura Regional</w:t>
            </w:r>
          </w:p>
        </w:tc>
        <w:tc>
          <w:tcPr>
            <w:tcW w:w="4683" w:type="dxa"/>
            <w:gridSpan w:val="2"/>
            <w:vAlign w:val="center"/>
          </w:tcPr>
          <w:p w14:paraId="3A4759D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100 m</w:t>
            </w:r>
            <w:r w:rsidRPr="004F42F2">
              <w:rPr>
                <w:rFonts w:ascii="Gotham" w:hAnsi="Gotham" w:cs="Arial"/>
                <w:sz w:val="16"/>
                <w:szCs w:val="16"/>
                <w:vertAlign w:val="superscript"/>
              </w:rPr>
              <w:t>2</w:t>
            </w:r>
            <w:r w:rsidRPr="004F42F2">
              <w:rPr>
                <w:rFonts w:ascii="Gotham" w:hAnsi="Gotham" w:cs="Arial"/>
                <w:sz w:val="16"/>
                <w:szCs w:val="16"/>
              </w:rPr>
              <w:t xml:space="preserve"> construidos</w:t>
            </w:r>
          </w:p>
        </w:tc>
      </w:tr>
      <w:tr w:rsidR="009B5E39" w:rsidRPr="004F42F2" w14:paraId="3A4759DC" w14:textId="77777777" w:rsidTr="00190E4A">
        <w:trPr>
          <w:jc w:val="center"/>
        </w:trPr>
        <w:tc>
          <w:tcPr>
            <w:tcW w:w="1271" w:type="dxa"/>
            <w:vMerge/>
            <w:vAlign w:val="center"/>
          </w:tcPr>
          <w:p w14:paraId="3A4759D8" w14:textId="77777777" w:rsidR="009B5E39" w:rsidRPr="004F42F2" w:rsidRDefault="009B5E39" w:rsidP="00190E4A">
            <w:pPr>
              <w:spacing w:before="80" w:after="80"/>
              <w:jc w:val="center"/>
              <w:rPr>
                <w:rFonts w:ascii="Gotham" w:hAnsi="Gotham" w:cs="Arial"/>
                <w:sz w:val="16"/>
                <w:szCs w:val="16"/>
              </w:rPr>
            </w:pPr>
          </w:p>
        </w:tc>
        <w:tc>
          <w:tcPr>
            <w:tcW w:w="1574" w:type="dxa"/>
            <w:vMerge w:val="restart"/>
            <w:vAlign w:val="center"/>
          </w:tcPr>
          <w:p w14:paraId="3A4759D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Instalaciones Especiales Urbanas</w:t>
            </w:r>
          </w:p>
        </w:tc>
        <w:tc>
          <w:tcPr>
            <w:tcW w:w="1828" w:type="dxa"/>
            <w:vAlign w:val="center"/>
          </w:tcPr>
          <w:p w14:paraId="3A4759D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Crematorios</w:t>
            </w:r>
          </w:p>
        </w:tc>
        <w:tc>
          <w:tcPr>
            <w:tcW w:w="4683" w:type="dxa"/>
            <w:gridSpan w:val="2"/>
            <w:vAlign w:val="center"/>
          </w:tcPr>
          <w:p w14:paraId="3A4759D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 m</w:t>
            </w:r>
            <w:r w:rsidRPr="004F42F2">
              <w:rPr>
                <w:rFonts w:ascii="Gotham" w:hAnsi="Gotham" w:cs="Arial"/>
                <w:sz w:val="16"/>
                <w:szCs w:val="16"/>
                <w:vertAlign w:val="superscript"/>
              </w:rPr>
              <w:t>2</w:t>
            </w:r>
            <w:r w:rsidRPr="004F42F2">
              <w:rPr>
                <w:rFonts w:ascii="Gotham" w:hAnsi="Gotham" w:cs="Arial"/>
                <w:sz w:val="16"/>
                <w:szCs w:val="16"/>
              </w:rPr>
              <w:t xml:space="preserve"> construidos</w:t>
            </w:r>
          </w:p>
        </w:tc>
      </w:tr>
      <w:tr w:rsidR="009B5E39" w:rsidRPr="004F42F2" w14:paraId="3A4759E1" w14:textId="77777777" w:rsidTr="00190E4A">
        <w:trPr>
          <w:jc w:val="center"/>
        </w:trPr>
        <w:tc>
          <w:tcPr>
            <w:tcW w:w="1271" w:type="dxa"/>
            <w:vMerge/>
            <w:vAlign w:val="center"/>
          </w:tcPr>
          <w:p w14:paraId="3A4759DD" w14:textId="77777777" w:rsidR="009B5E39" w:rsidRPr="004F42F2" w:rsidRDefault="009B5E39" w:rsidP="00190E4A">
            <w:pPr>
              <w:spacing w:before="80" w:after="80"/>
              <w:jc w:val="center"/>
              <w:rPr>
                <w:rFonts w:ascii="Gotham" w:hAnsi="Gotham" w:cs="Arial"/>
                <w:sz w:val="16"/>
                <w:szCs w:val="16"/>
              </w:rPr>
            </w:pPr>
          </w:p>
        </w:tc>
        <w:tc>
          <w:tcPr>
            <w:tcW w:w="1574" w:type="dxa"/>
            <w:vMerge/>
            <w:vAlign w:val="center"/>
          </w:tcPr>
          <w:p w14:paraId="3A4759DE" w14:textId="77777777" w:rsidR="009B5E39" w:rsidRPr="004F42F2" w:rsidRDefault="009B5E39" w:rsidP="00190E4A">
            <w:pPr>
              <w:spacing w:before="80" w:after="80"/>
              <w:jc w:val="center"/>
              <w:rPr>
                <w:rFonts w:ascii="Gotham" w:hAnsi="Gotham" w:cs="Arial"/>
                <w:sz w:val="16"/>
                <w:szCs w:val="16"/>
              </w:rPr>
            </w:pPr>
          </w:p>
        </w:tc>
        <w:tc>
          <w:tcPr>
            <w:tcW w:w="1828" w:type="dxa"/>
            <w:vAlign w:val="center"/>
          </w:tcPr>
          <w:p w14:paraId="3A4759D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Panteones y Cementerios hasta 1,000 fosas</w:t>
            </w:r>
          </w:p>
        </w:tc>
        <w:tc>
          <w:tcPr>
            <w:tcW w:w="4683" w:type="dxa"/>
            <w:gridSpan w:val="2"/>
            <w:vAlign w:val="center"/>
          </w:tcPr>
          <w:p w14:paraId="3A4759E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200 m</w:t>
            </w:r>
            <w:r w:rsidRPr="004F42F2">
              <w:rPr>
                <w:rFonts w:ascii="Gotham" w:hAnsi="Gotham" w:cs="Arial"/>
                <w:sz w:val="16"/>
                <w:szCs w:val="16"/>
                <w:vertAlign w:val="superscript"/>
              </w:rPr>
              <w:t>2</w:t>
            </w:r>
            <w:r w:rsidRPr="004F42F2">
              <w:rPr>
                <w:rFonts w:ascii="Gotham" w:hAnsi="Gotham" w:cs="Arial"/>
                <w:sz w:val="16"/>
                <w:szCs w:val="16"/>
              </w:rPr>
              <w:t xml:space="preserve"> construidos</w:t>
            </w:r>
          </w:p>
        </w:tc>
      </w:tr>
      <w:tr w:rsidR="009B5E39" w:rsidRPr="004F42F2" w14:paraId="3A4759E6" w14:textId="77777777" w:rsidTr="00190E4A">
        <w:trPr>
          <w:jc w:val="center"/>
        </w:trPr>
        <w:tc>
          <w:tcPr>
            <w:tcW w:w="1271" w:type="dxa"/>
            <w:vMerge/>
            <w:vAlign w:val="center"/>
          </w:tcPr>
          <w:p w14:paraId="3A4759E2" w14:textId="77777777" w:rsidR="009B5E39" w:rsidRPr="004F42F2" w:rsidRDefault="009B5E39" w:rsidP="00190E4A">
            <w:pPr>
              <w:spacing w:before="80" w:after="80"/>
              <w:jc w:val="center"/>
              <w:rPr>
                <w:rFonts w:ascii="Gotham" w:hAnsi="Gotham" w:cs="Arial"/>
                <w:sz w:val="16"/>
                <w:szCs w:val="16"/>
              </w:rPr>
            </w:pPr>
          </w:p>
        </w:tc>
        <w:tc>
          <w:tcPr>
            <w:tcW w:w="1574" w:type="dxa"/>
            <w:vMerge/>
            <w:vAlign w:val="center"/>
          </w:tcPr>
          <w:p w14:paraId="3A4759E3" w14:textId="77777777" w:rsidR="009B5E39" w:rsidRPr="004F42F2" w:rsidRDefault="009B5E39" w:rsidP="00190E4A">
            <w:pPr>
              <w:spacing w:before="80" w:after="80"/>
              <w:jc w:val="center"/>
              <w:rPr>
                <w:rFonts w:ascii="Gotham" w:hAnsi="Gotham" w:cs="Arial"/>
                <w:sz w:val="16"/>
                <w:szCs w:val="16"/>
              </w:rPr>
            </w:pPr>
          </w:p>
        </w:tc>
        <w:tc>
          <w:tcPr>
            <w:tcW w:w="1828" w:type="dxa"/>
            <w:vAlign w:val="center"/>
          </w:tcPr>
          <w:p w14:paraId="3A4759E4"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Panteones y Cementerios más de 1,000 fosas</w:t>
            </w:r>
          </w:p>
        </w:tc>
        <w:tc>
          <w:tcPr>
            <w:tcW w:w="4683" w:type="dxa"/>
            <w:gridSpan w:val="2"/>
            <w:vAlign w:val="center"/>
          </w:tcPr>
          <w:p w14:paraId="3A4759E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100 m</w:t>
            </w:r>
            <w:r w:rsidRPr="004F42F2">
              <w:rPr>
                <w:rFonts w:ascii="Gotham" w:hAnsi="Gotham" w:cs="Arial"/>
                <w:sz w:val="16"/>
                <w:szCs w:val="16"/>
                <w:vertAlign w:val="superscript"/>
              </w:rPr>
              <w:t>2</w:t>
            </w:r>
            <w:r w:rsidRPr="004F42F2">
              <w:rPr>
                <w:rFonts w:ascii="Gotham" w:hAnsi="Gotham" w:cs="Arial"/>
                <w:sz w:val="16"/>
                <w:szCs w:val="16"/>
              </w:rPr>
              <w:t xml:space="preserve"> construidos</w:t>
            </w:r>
          </w:p>
        </w:tc>
      </w:tr>
      <w:tr w:rsidR="009B5E39" w:rsidRPr="004F42F2" w14:paraId="3A4759EA" w14:textId="77777777" w:rsidTr="00190E4A">
        <w:trPr>
          <w:jc w:val="center"/>
        </w:trPr>
        <w:tc>
          <w:tcPr>
            <w:tcW w:w="1271" w:type="dxa"/>
            <w:vMerge/>
            <w:vAlign w:val="center"/>
          </w:tcPr>
          <w:p w14:paraId="3A4759E7" w14:textId="77777777" w:rsidR="009B5E39" w:rsidRPr="004F42F2" w:rsidRDefault="009B5E39" w:rsidP="00190E4A">
            <w:pPr>
              <w:spacing w:before="80" w:after="80"/>
              <w:jc w:val="center"/>
              <w:rPr>
                <w:rFonts w:ascii="Gotham" w:hAnsi="Gotham" w:cs="Arial"/>
                <w:sz w:val="16"/>
                <w:szCs w:val="16"/>
              </w:rPr>
            </w:pPr>
          </w:p>
        </w:tc>
        <w:tc>
          <w:tcPr>
            <w:tcW w:w="3402" w:type="dxa"/>
            <w:gridSpan w:val="2"/>
            <w:vAlign w:val="center"/>
          </w:tcPr>
          <w:p w14:paraId="3A4759E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Instalaciones Especiales Regionales</w:t>
            </w:r>
          </w:p>
        </w:tc>
        <w:tc>
          <w:tcPr>
            <w:tcW w:w="4683" w:type="dxa"/>
            <w:gridSpan w:val="2"/>
            <w:vAlign w:val="center"/>
          </w:tcPr>
          <w:p w14:paraId="3A4759E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100 m</w:t>
            </w:r>
            <w:r w:rsidRPr="004F42F2">
              <w:rPr>
                <w:rFonts w:ascii="Gotham" w:hAnsi="Gotham" w:cs="Arial"/>
                <w:sz w:val="16"/>
                <w:szCs w:val="16"/>
                <w:vertAlign w:val="superscript"/>
              </w:rPr>
              <w:t>2</w:t>
            </w:r>
            <w:r w:rsidRPr="004F42F2">
              <w:rPr>
                <w:rFonts w:ascii="Gotham" w:hAnsi="Gotham" w:cs="Arial"/>
                <w:sz w:val="16"/>
                <w:szCs w:val="16"/>
              </w:rPr>
              <w:t xml:space="preserve"> construidos</w:t>
            </w:r>
          </w:p>
        </w:tc>
      </w:tr>
    </w:tbl>
    <w:p w14:paraId="3A4759EB" w14:textId="77777777" w:rsidR="009B5E39" w:rsidRPr="004F42F2" w:rsidRDefault="009B5E39" w:rsidP="009B5E39">
      <w:pPr>
        <w:ind w:left="284" w:right="283"/>
        <w:jc w:val="both"/>
        <w:rPr>
          <w:rFonts w:ascii="Gotham" w:hAnsi="Gotham" w:cs="Arial"/>
          <w:bCs/>
          <w:sz w:val="19"/>
          <w:szCs w:val="19"/>
        </w:rPr>
      </w:pPr>
    </w:p>
    <w:p w14:paraId="3A4759EC" w14:textId="77777777" w:rsidR="009B5E39" w:rsidRPr="004F42F2" w:rsidRDefault="009B5E39" w:rsidP="009B5E39">
      <w:pPr>
        <w:ind w:left="284" w:right="283"/>
        <w:jc w:val="both"/>
        <w:rPr>
          <w:rFonts w:ascii="Gotham" w:hAnsi="Gotham" w:cs="Arial"/>
          <w:bCs/>
          <w:sz w:val="19"/>
          <w:szCs w:val="19"/>
        </w:rPr>
      </w:pPr>
      <w:r w:rsidRPr="004F42F2">
        <w:rPr>
          <w:rFonts w:ascii="Gotham" w:hAnsi="Gotham" w:cs="Arial"/>
          <w:bCs/>
          <w:sz w:val="19"/>
          <w:szCs w:val="19"/>
        </w:rPr>
        <w:t>Para los diferentes tipos de usos no enunciados se deberá considerar 1 cajón por cada 80 m2 de operación del giro como máximo y mínimo .5 cajón por cada 80m2. Los cajones de estacionamiento deberán de unificarse a las medidas de 2.50 metros de ancho y 5 metros de longitud</w:t>
      </w:r>
    </w:p>
    <w:p w14:paraId="3A4759ED" w14:textId="77777777" w:rsidR="009B5E39" w:rsidRPr="004F42F2" w:rsidRDefault="009B5E39" w:rsidP="009B5E39">
      <w:pPr>
        <w:ind w:left="284" w:right="283"/>
        <w:jc w:val="both"/>
        <w:rPr>
          <w:rFonts w:ascii="Gotham" w:hAnsi="Gotham" w:cs="Arial"/>
          <w:bCs/>
          <w:sz w:val="19"/>
          <w:szCs w:val="19"/>
        </w:rPr>
      </w:pPr>
    </w:p>
    <w:p w14:paraId="3A4759EE" w14:textId="77777777" w:rsidR="009B5E39" w:rsidRPr="004F42F2" w:rsidRDefault="009B5E39" w:rsidP="009B5E39">
      <w:pPr>
        <w:ind w:left="284" w:right="283"/>
        <w:jc w:val="both"/>
        <w:rPr>
          <w:rFonts w:ascii="Gotham" w:hAnsi="Gotham" w:cs="Arial"/>
          <w:bCs/>
          <w:sz w:val="19"/>
          <w:szCs w:val="19"/>
        </w:rPr>
      </w:pPr>
      <w:r w:rsidRPr="004F42F2">
        <w:rPr>
          <w:rFonts w:ascii="Gotham" w:hAnsi="Gotham" w:cs="Arial"/>
          <w:b/>
          <w:bCs/>
          <w:sz w:val="19"/>
          <w:szCs w:val="19"/>
        </w:rPr>
        <w:t>Artículo 97.</w:t>
      </w:r>
      <w:r w:rsidRPr="004F42F2">
        <w:rPr>
          <w:rFonts w:ascii="Gotham" w:hAnsi="Gotham" w:cs="Arial"/>
          <w:bCs/>
          <w:sz w:val="19"/>
          <w:szCs w:val="19"/>
        </w:rPr>
        <w:t xml:space="preserve"> Para los estacionamientos de Bicicletas en toda acción urbanística a realizarse en el Municipio de Tonalá, deberá considerar un número mínimo de cajones de espacios dependiendo de la zona en la que se encuentre y el giro de actividad que ahí se desarrolle, consideran el siguiente cuadro, anexo 2.</w:t>
      </w:r>
      <w:r w:rsidR="007C2F8D">
        <w:rPr>
          <w:rFonts w:ascii="Gotham" w:hAnsi="Gotham" w:cs="Arial"/>
          <w:bCs/>
          <w:sz w:val="19"/>
          <w:szCs w:val="19"/>
        </w:rPr>
        <w:t xml:space="preserve"> </w:t>
      </w:r>
    </w:p>
    <w:p w14:paraId="3A4759EF" w14:textId="77777777" w:rsidR="009B5E39" w:rsidRPr="004F42F2" w:rsidRDefault="009B5E39" w:rsidP="009B5E39">
      <w:pPr>
        <w:ind w:left="284" w:right="283"/>
        <w:jc w:val="both"/>
        <w:rPr>
          <w:rFonts w:ascii="Gotham" w:hAnsi="Gotham" w:cs="Arial"/>
          <w:bCs/>
          <w:sz w:val="19"/>
          <w:szCs w:val="19"/>
        </w:rPr>
      </w:pPr>
    </w:p>
    <w:tbl>
      <w:tblPr>
        <w:tblW w:w="9356" w:type="dxa"/>
        <w:jc w:val="center"/>
        <w:tblLayout w:type="fixed"/>
        <w:tblLook w:val="04A0" w:firstRow="1" w:lastRow="0" w:firstColumn="1" w:lastColumn="0" w:noHBand="0" w:noVBand="1"/>
      </w:tblPr>
      <w:tblGrid>
        <w:gridCol w:w="1129"/>
        <w:gridCol w:w="1335"/>
        <w:gridCol w:w="1075"/>
        <w:gridCol w:w="2410"/>
        <w:gridCol w:w="3407"/>
      </w:tblGrid>
      <w:tr w:rsidR="009B5E39" w:rsidRPr="004F42F2" w14:paraId="3A4759F1" w14:textId="77777777" w:rsidTr="00190E4A">
        <w:trPr>
          <w:trHeight w:val="320"/>
          <w:jc w:val="center"/>
        </w:trPr>
        <w:tc>
          <w:tcPr>
            <w:tcW w:w="9356" w:type="dxa"/>
            <w:gridSpan w:val="5"/>
            <w:shd w:val="clear" w:color="auto" w:fill="000000" w:themeFill="text1"/>
            <w:vAlign w:val="center"/>
          </w:tcPr>
          <w:p w14:paraId="3A4759F0" w14:textId="77777777" w:rsidR="009B5E39" w:rsidRPr="004F42F2" w:rsidRDefault="009B5E39" w:rsidP="00190E4A">
            <w:pPr>
              <w:spacing w:before="80" w:after="80"/>
              <w:jc w:val="center"/>
              <w:rPr>
                <w:rFonts w:ascii="Gotham" w:hAnsi="Gotham" w:cs="Arial"/>
                <w:b/>
                <w:bCs/>
                <w:sz w:val="16"/>
                <w:szCs w:val="16"/>
              </w:rPr>
            </w:pPr>
            <w:r w:rsidRPr="004F42F2">
              <w:rPr>
                <w:rFonts w:ascii="Gotham" w:hAnsi="Gotham" w:cs="Arial"/>
                <w:b/>
                <w:bCs/>
                <w:sz w:val="16"/>
                <w:szCs w:val="16"/>
              </w:rPr>
              <w:t>Espacios para Bicicleta</w:t>
            </w:r>
          </w:p>
        </w:tc>
      </w:tr>
      <w:tr w:rsidR="009B5E39" w:rsidRPr="004F42F2" w14:paraId="3A4759F5" w14:textId="77777777" w:rsidTr="00190E4A">
        <w:trPr>
          <w:jc w:val="center"/>
        </w:trPr>
        <w:tc>
          <w:tcPr>
            <w:tcW w:w="1129" w:type="dxa"/>
            <w:vAlign w:val="center"/>
          </w:tcPr>
          <w:p w14:paraId="3A4759F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Uso de Suelo</w:t>
            </w:r>
          </w:p>
        </w:tc>
        <w:tc>
          <w:tcPr>
            <w:tcW w:w="4820" w:type="dxa"/>
            <w:gridSpan w:val="3"/>
            <w:vAlign w:val="center"/>
          </w:tcPr>
          <w:p w14:paraId="3A4759F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Actividades o Giros</w:t>
            </w:r>
          </w:p>
        </w:tc>
        <w:tc>
          <w:tcPr>
            <w:tcW w:w="3407" w:type="dxa"/>
            <w:vAlign w:val="center"/>
          </w:tcPr>
          <w:p w14:paraId="3A4759F4"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 espacio por cada</w:t>
            </w:r>
          </w:p>
        </w:tc>
      </w:tr>
      <w:tr w:rsidR="009B5E39" w:rsidRPr="004F42F2" w14:paraId="3A4759F9" w14:textId="77777777" w:rsidTr="00190E4A">
        <w:trPr>
          <w:trHeight w:val="672"/>
          <w:jc w:val="center"/>
        </w:trPr>
        <w:tc>
          <w:tcPr>
            <w:tcW w:w="1129" w:type="dxa"/>
            <w:vMerge w:val="restart"/>
            <w:textDirection w:val="btLr"/>
            <w:vAlign w:val="center"/>
          </w:tcPr>
          <w:p w14:paraId="3A4759F6"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Alojamiento Temporal</w:t>
            </w:r>
          </w:p>
        </w:tc>
        <w:tc>
          <w:tcPr>
            <w:tcW w:w="4820" w:type="dxa"/>
            <w:gridSpan w:val="3"/>
            <w:vAlign w:val="center"/>
          </w:tcPr>
          <w:p w14:paraId="3A4759F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Granjas y Huertos, Turístico Ecológico y Turístico Campestre.</w:t>
            </w:r>
          </w:p>
        </w:tc>
        <w:tc>
          <w:tcPr>
            <w:tcW w:w="3407" w:type="dxa"/>
            <w:vAlign w:val="center"/>
          </w:tcPr>
          <w:p w14:paraId="3A4759F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Unidad de Vivienda</w:t>
            </w:r>
          </w:p>
        </w:tc>
      </w:tr>
      <w:tr w:rsidR="009B5E39" w:rsidRPr="004F42F2" w14:paraId="3A4759FD" w14:textId="77777777" w:rsidTr="00190E4A">
        <w:trPr>
          <w:trHeight w:val="413"/>
          <w:jc w:val="center"/>
        </w:trPr>
        <w:tc>
          <w:tcPr>
            <w:tcW w:w="1129" w:type="dxa"/>
            <w:vMerge/>
            <w:textDirection w:val="btLr"/>
            <w:vAlign w:val="center"/>
          </w:tcPr>
          <w:p w14:paraId="3A4759FA" w14:textId="77777777" w:rsidR="009B5E39" w:rsidRPr="004F42F2" w:rsidRDefault="009B5E39" w:rsidP="00190E4A">
            <w:pPr>
              <w:spacing w:before="80" w:after="80"/>
              <w:ind w:left="113" w:right="113"/>
              <w:jc w:val="center"/>
              <w:rPr>
                <w:rFonts w:ascii="Gotham" w:hAnsi="Gotham" w:cs="Arial"/>
                <w:sz w:val="16"/>
                <w:szCs w:val="16"/>
              </w:rPr>
            </w:pPr>
          </w:p>
        </w:tc>
        <w:tc>
          <w:tcPr>
            <w:tcW w:w="4820" w:type="dxa"/>
            <w:gridSpan w:val="3"/>
            <w:vAlign w:val="center"/>
          </w:tcPr>
          <w:p w14:paraId="3A4759F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Turístico Hotelero.</w:t>
            </w:r>
          </w:p>
        </w:tc>
        <w:tc>
          <w:tcPr>
            <w:tcW w:w="3407" w:type="dxa"/>
            <w:vAlign w:val="center"/>
          </w:tcPr>
          <w:p w14:paraId="3A4759FC"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No se requiere</w:t>
            </w:r>
          </w:p>
        </w:tc>
      </w:tr>
      <w:tr w:rsidR="009B5E39" w:rsidRPr="004F42F2" w14:paraId="3A475A01" w14:textId="77777777" w:rsidTr="00190E4A">
        <w:trPr>
          <w:trHeight w:val="276"/>
          <w:jc w:val="center"/>
        </w:trPr>
        <w:tc>
          <w:tcPr>
            <w:tcW w:w="1129" w:type="dxa"/>
            <w:vAlign w:val="center"/>
          </w:tcPr>
          <w:p w14:paraId="3A4759F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Habitacional</w:t>
            </w:r>
          </w:p>
        </w:tc>
        <w:tc>
          <w:tcPr>
            <w:tcW w:w="4820" w:type="dxa"/>
            <w:gridSpan w:val="3"/>
            <w:vAlign w:val="center"/>
          </w:tcPr>
          <w:p w14:paraId="3A4759F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Solo aplica para vivienda vertical</w:t>
            </w:r>
          </w:p>
        </w:tc>
        <w:tc>
          <w:tcPr>
            <w:tcW w:w="3407" w:type="dxa"/>
            <w:vAlign w:val="center"/>
          </w:tcPr>
          <w:p w14:paraId="3A475A0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Unidad de Vivienda</w:t>
            </w:r>
          </w:p>
        </w:tc>
      </w:tr>
      <w:tr w:rsidR="009B5E39" w:rsidRPr="004F42F2" w14:paraId="3A475A04" w14:textId="77777777" w:rsidTr="00190E4A">
        <w:trPr>
          <w:jc w:val="center"/>
        </w:trPr>
        <w:tc>
          <w:tcPr>
            <w:tcW w:w="5949" w:type="dxa"/>
            <w:gridSpan w:val="4"/>
            <w:vAlign w:val="center"/>
          </w:tcPr>
          <w:p w14:paraId="3A475A0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Mixtos.</w:t>
            </w:r>
          </w:p>
        </w:tc>
        <w:tc>
          <w:tcPr>
            <w:tcW w:w="3407" w:type="dxa"/>
            <w:vAlign w:val="center"/>
          </w:tcPr>
          <w:p w14:paraId="3A475A0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Unidad de vivienda más espacio correspondientes al uso</w:t>
            </w:r>
          </w:p>
        </w:tc>
      </w:tr>
      <w:tr w:rsidR="009B5E39" w:rsidRPr="004F42F2" w14:paraId="3A475A08" w14:textId="77777777" w:rsidTr="00190E4A">
        <w:trPr>
          <w:jc w:val="center"/>
        </w:trPr>
        <w:tc>
          <w:tcPr>
            <w:tcW w:w="1129" w:type="dxa"/>
            <w:vMerge w:val="restart"/>
            <w:textDirection w:val="btLr"/>
            <w:vAlign w:val="center"/>
          </w:tcPr>
          <w:p w14:paraId="3A475A05"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Comercios y Servicios</w:t>
            </w:r>
          </w:p>
        </w:tc>
        <w:tc>
          <w:tcPr>
            <w:tcW w:w="4820" w:type="dxa"/>
            <w:gridSpan w:val="3"/>
            <w:vAlign w:val="center"/>
          </w:tcPr>
          <w:p w14:paraId="3A475A0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Vecinal.</w:t>
            </w:r>
          </w:p>
        </w:tc>
        <w:tc>
          <w:tcPr>
            <w:tcW w:w="3407" w:type="dxa"/>
            <w:vAlign w:val="center"/>
          </w:tcPr>
          <w:p w14:paraId="3A475A0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No se requiere</w:t>
            </w:r>
          </w:p>
        </w:tc>
      </w:tr>
      <w:tr w:rsidR="009B5E39" w:rsidRPr="004F42F2" w14:paraId="3A475A0C" w14:textId="77777777" w:rsidTr="00190E4A">
        <w:trPr>
          <w:jc w:val="center"/>
        </w:trPr>
        <w:tc>
          <w:tcPr>
            <w:tcW w:w="1129" w:type="dxa"/>
            <w:vMerge/>
            <w:vAlign w:val="center"/>
          </w:tcPr>
          <w:p w14:paraId="3A475A09"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0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Barrial.</w:t>
            </w:r>
          </w:p>
        </w:tc>
        <w:tc>
          <w:tcPr>
            <w:tcW w:w="3407" w:type="dxa"/>
            <w:vAlign w:val="center"/>
          </w:tcPr>
          <w:p w14:paraId="3A475A0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25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11" w14:textId="77777777" w:rsidTr="00190E4A">
        <w:trPr>
          <w:jc w:val="center"/>
        </w:trPr>
        <w:tc>
          <w:tcPr>
            <w:tcW w:w="1129" w:type="dxa"/>
            <w:vMerge/>
            <w:vAlign w:val="center"/>
          </w:tcPr>
          <w:p w14:paraId="3A475A0D" w14:textId="77777777" w:rsidR="009B5E39" w:rsidRPr="004F42F2" w:rsidRDefault="009B5E39" w:rsidP="00190E4A">
            <w:pPr>
              <w:spacing w:before="80" w:after="80"/>
              <w:jc w:val="center"/>
              <w:rPr>
                <w:rFonts w:ascii="Gotham" w:hAnsi="Gotham" w:cs="Arial"/>
                <w:sz w:val="16"/>
                <w:szCs w:val="16"/>
              </w:rPr>
            </w:pPr>
          </w:p>
        </w:tc>
        <w:tc>
          <w:tcPr>
            <w:tcW w:w="2410" w:type="dxa"/>
            <w:gridSpan w:val="2"/>
            <w:vMerge w:val="restart"/>
            <w:vAlign w:val="center"/>
          </w:tcPr>
          <w:p w14:paraId="3A475A0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Distrital.</w:t>
            </w:r>
          </w:p>
        </w:tc>
        <w:tc>
          <w:tcPr>
            <w:tcW w:w="2410" w:type="dxa"/>
            <w:vAlign w:val="center"/>
          </w:tcPr>
          <w:p w14:paraId="3A475A0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Todos los grupos</w:t>
            </w:r>
          </w:p>
        </w:tc>
        <w:tc>
          <w:tcPr>
            <w:tcW w:w="3407" w:type="dxa"/>
            <w:vAlign w:val="center"/>
          </w:tcPr>
          <w:p w14:paraId="3A475A1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35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16" w14:textId="77777777" w:rsidTr="00190E4A">
        <w:trPr>
          <w:jc w:val="center"/>
        </w:trPr>
        <w:tc>
          <w:tcPr>
            <w:tcW w:w="1129" w:type="dxa"/>
            <w:vMerge/>
            <w:vAlign w:val="center"/>
          </w:tcPr>
          <w:p w14:paraId="3A475A12" w14:textId="77777777" w:rsidR="009B5E39" w:rsidRPr="004F42F2" w:rsidRDefault="009B5E39" w:rsidP="00190E4A">
            <w:pPr>
              <w:spacing w:before="80" w:after="80"/>
              <w:jc w:val="center"/>
              <w:rPr>
                <w:rFonts w:ascii="Gotham" w:hAnsi="Gotham" w:cs="Arial"/>
                <w:sz w:val="16"/>
                <w:szCs w:val="16"/>
              </w:rPr>
            </w:pPr>
          </w:p>
        </w:tc>
        <w:tc>
          <w:tcPr>
            <w:tcW w:w="2410" w:type="dxa"/>
            <w:gridSpan w:val="2"/>
            <w:vMerge/>
            <w:vAlign w:val="center"/>
          </w:tcPr>
          <w:p w14:paraId="3A475A13" w14:textId="77777777" w:rsidR="009B5E39" w:rsidRPr="004F42F2" w:rsidRDefault="009B5E39" w:rsidP="00190E4A">
            <w:pPr>
              <w:spacing w:before="80" w:after="80"/>
              <w:jc w:val="center"/>
              <w:rPr>
                <w:rFonts w:ascii="Gotham" w:hAnsi="Gotham" w:cs="Arial"/>
                <w:sz w:val="16"/>
                <w:szCs w:val="16"/>
              </w:rPr>
            </w:pPr>
          </w:p>
        </w:tc>
        <w:tc>
          <w:tcPr>
            <w:tcW w:w="2410" w:type="dxa"/>
            <w:vAlign w:val="center"/>
          </w:tcPr>
          <w:p w14:paraId="3A475A14"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Excepción de Centros botaneros y similares, discotecas, restaurantes, bares y similares, salón de bailes eventos y similares</w:t>
            </w:r>
          </w:p>
        </w:tc>
        <w:tc>
          <w:tcPr>
            <w:tcW w:w="3407" w:type="dxa"/>
            <w:vAlign w:val="center"/>
          </w:tcPr>
          <w:p w14:paraId="3A475A1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40 personas (conforme a Capacidad Máxima)</w:t>
            </w:r>
          </w:p>
        </w:tc>
      </w:tr>
      <w:tr w:rsidR="009B5E39" w:rsidRPr="004F42F2" w14:paraId="3A475A1B" w14:textId="77777777" w:rsidTr="00190E4A">
        <w:trPr>
          <w:jc w:val="center"/>
        </w:trPr>
        <w:tc>
          <w:tcPr>
            <w:tcW w:w="1129" w:type="dxa"/>
            <w:vMerge/>
            <w:vAlign w:val="center"/>
          </w:tcPr>
          <w:p w14:paraId="3A475A17" w14:textId="77777777" w:rsidR="009B5E39" w:rsidRPr="004F42F2" w:rsidRDefault="009B5E39" w:rsidP="00190E4A">
            <w:pPr>
              <w:spacing w:before="80" w:after="80"/>
              <w:jc w:val="center"/>
              <w:rPr>
                <w:rFonts w:ascii="Gotham" w:hAnsi="Gotham" w:cs="Arial"/>
                <w:sz w:val="16"/>
                <w:szCs w:val="16"/>
              </w:rPr>
            </w:pPr>
          </w:p>
        </w:tc>
        <w:tc>
          <w:tcPr>
            <w:tcW w:w="2410" w:type="dxa"/>
            <w:gridSpan w:val="2"/>
            <w:vMerge w:val="restart"/>
            <w:vAlign w:val="center"/>
          </w:tcPr>
          <w:p w14:paraId="3A475A1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Central.</w:t>
            </w:r>
          </w:p>
        </w:tc>
        <w:tc>
          <w:tcPr>
            <w:tcW w:w="2410" w:type="dxa"/>
            <w:vAlign w:val="center"/>
          </w:tcPr>
          <w:p w14:paraId="3A475A1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Todos los grupos</w:t>
            </w:r>
          </w:p>
        </w:tc>
        <w:tc>
          <w:tcPr>
            <w:tcW w:w="3407" w:type="dxa"/>
            <w:vAlign w:val="center"/>
          </w:tcPr>
          <w:p w14:paraId="3A475A1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1500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20" w14:textId="77777777" w:rsidTr="00190E4A">
        <w:trPr>
          <w:jc w:val="center"/>
        </w:trPr>
        <w:tc>
          <w:tcPr>
            <w:tcW w:w="1129" w:type="dxa"/>
            <w:vMerge/>
            <w:vAlign w:val="center"/>
          </w:tcPr>
          <w:p w14:paraId="3A475A1C" w14:textId="77777777" w:rsidR="009B5E39" w:rsidRPr="004F42F2" w:rsidRDefault="009B5E39" w:rsidP="00190E4A">
            <w:pPr>
              <w:spacing w:before="80" w:after="80"/>
              <w:jc w:val="center"/>
              <w:rPr>
                <w:rFonts w:ascii="Gotham" w:hAnsi="Gotham" w:cs="Arial"/>
                <w:sz w:val="16"/>
                <w:szCs w:val="16"/>
              </w:rPr>
            </w:pPr>
          </w:p>
        </w:tc>
        <w:tc>
          <w:tcPr>
            <w:tcW w:w="2410" w:type="dxa"/>
            <w:gridSpan w:val="2"/>
            <w:vMerge/>
            <w:vAlign w:val="center"/>
          </w:tcPr>
          <w:p w14:paraId="3A475A1D" w14:textId="77777777" w:rsidR="009B5E39" w:rsidRPr="004F42F2" w:rsidRDefault="009B5E39" w:rsidP="00190E4A">
            <w:pPr>
              <w:spacing w:before="80" w:after="80"/>
              <w:jc w:val="center"/>
              <w:rPr>
                <w:rFonts w:ascii="Gotham" w:hAnsi="Gotham" w:cs="Arial"/>
                <w:sz w:val="16"/>
                <w:szCs w:val="16"/>
              </w:rPr>
            </w:pPr>
          </w:p>
        </w:tc>
        <w:tc>
          <w:tcPr>
            <w:tcW w:w="2410" w:type="dxa"/>
            <w:vAlign w:val="center"/>
          </w:tcPr>
          <w:p w14:paraId="3A475A1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Excepción de Centros Nocturnos y Cines</w:t>
            </w:r>
          </w:p>
        </w:tc>
        <w:tc>
          <w:tcPr>
            <w:tcW w:w="3407" w:type="dxa"/>
            <w:vAlign w:val="center"/>
          </w:tcPr>
          <w:p w14:paraId="3A475A1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40 personas (conforme a Capacidad Máxima)</w:t>
            </w:r>
          </w:p>
        </w:tc>
      </w:tr>
      <w:tr w:rsidR="009B5E39" w:rsidRPr="004F42F2" w14:paraId="3A475A24" w14:textId="77777777" w:rsidTr="00190E4A">
        <w:trPr>
          <w:jc w:val="center"/>
        </w:trPr>
        <w:tc>
          <w:tcPr>
            <w:tcW w:w="1129" w:type="dxa"/>
            <w:vMerge/>
            <w:vAlign w:val="center"/>
          </w:tcPr>
          <w:p w14:paraId="3A475A21"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2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Regional.</w:t>
            </w:r>
          </w:p>
        </w:tc>
        <w:tc>
          <w:tcPr>
            <w:tcW w:w="3407" w:type="dxa"/>
            <w:vAlign w:val="center"/>
          </w:tcPr>
          <w:p w14:paraId="3A475A2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2000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27" w14:textId="77777777" w:rsidTr="00190E4A">
        <w:trPr>
          <w:jc w:val="center"/>
        </w:trPr>
        <w:tc>
          <w:tcPr>
            <w:tcW w:w="5949" w:type="dxa"/>
            <w:gridSpan w:val="4"/>
            <w:vAlign w:val="center"/>
          </w:tcPr>
          <w:p w14:paraId="3A475A2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Servicios a la Industria.</w:t>
            </w:r>
          </w:p>
        </w:tc>
        <w:tc>
          <w:tcPr>
            <w:tcW w:w="3407" w:type="dxa"/>
            <w:vAlign w:val="center"/>
          </w:tcPr>
          <w:p w14:paraId="3A475A2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1500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2B" w14:textId="77777777" w:rsidTr="00190E4A">
        <w:trPr>
          <w:trHeight w:val="241"/>
          <w:jc w:val="center"/>
        </w:trPr>
        <w:tc>
          <w:tcPr>
            <w:tcW w:w="1129" w:type="dxa"/>
            <w:vMerge w:val="restart"/>
            <w:textDirection w:val="btLr"/>
            <w:vAlign w:val="center"/>
          </w:tcPr>
          <w:p w14:paraId="3A475A28"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Industria</w:t>
            </w:r>
          </w:p>
        </w:tc>
        <w:tc>
          <w:tcPr>
            <w:tcW w:w="4820" w:type="dxa"/>
            <w:gridSpan w:val="3"/>
            <w:vAlign w:val="center"/>
          </w:tcPr>
          <w:p w14:paraId="3A475A2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Manufacturas Domiciliarias</w:t>
            </w:r>
          </w:p>
        </w:tc>
        <w:tc>
          <w:tcPr>
            <w:tcW w:w="3407" w:type="dxa"/>
            <w:vAlign w:val="center"/>
          </w:tcPr>
          <w:p w14:paraId="3A475A2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No Requiere</w:t>
            </w:r>
          </w:p>
        </w:tc>
      </w:tr>
      <w:tr w:rsidR="009B5E39" w:rsidRPr="004F42F2" w14:paraId="3A475A2F" w14:textId="77777777" w:rsidTr="00190E4A">
        <w:trPr>
          <w:jc w:val="center"/>
        </w:trPr>
        <w:tc>
          <w:tcPr>
            <w:tcW w:w="1129" w:type="dxa"/>
            <w:vMerge/>
            <w:vAlign w:val="center"/>
          </w:tcPr>
          <w:p w14:paraId="3A475A2C"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2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Manufacturas Menores Industria Ligera, Industria Mediana e Industria Pesada</w:t>
            </w:r>
          </w:p>
        </w:tc>
        <w:tc>
          <w:tcPr>
            <w:tcW w:w="3407" w:type="dxa"/>
            <w:vAlign w:val="center"/>
          </w:tcPr>
          <w:p w14:paraId="3A475A2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 trabajadores</w:t>
            </w:r>
          </w:p>
        </w:tc>
      </w:tr>
      <w:tr w:rsidR="009B5E39" w:rsidRPr="004F42F2" w14:paraId="3A475A33" w14:textId="77777777" w:rsidTr="00190E4A">
        <w:trPr>
          <w:jc w:val="center"/>
        </w:trPr>
        <w:tc>
          <w:tcPr>
            <w:tcW w:w="1129" w:type="dxa"/>
            <w:vMerge w:val="restart"/>
            <w:textDirection w:val="btLr"/>
            <w:vAlign w:val="center"/>
          </w:tcPr>
          <w:p w14:paraId="3A475A30"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Equipamiento</w:t>
            </w:r>
          </w:p>
        </w:tc>
        <w:tc>
          <w:tcPr>
            <w:tcW w:w="4820" w:type="dxa"/>
            <w:gridSpan w:val="3"/>
            <w:vAlign w:val="center"/>
          </w:tcPr>
          <w:p w14:paraId="3A475A3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Educativo nivel básico, medio y Medio Superior</w:t>
            </w:r>
          </w:p>
        </w:tc>
        <w:tc>
          <w:tcPr>
            <w:tcW w:w="3407" w:type="dxa"/>
            <w:vAlign w:val="center"/>
          </w:tcPr>
          <w:p w14:paraId="3A475A3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 por salón</w:t>
            </w:r>
          </w:p>
        </w:tc>
      </w:tr>
      <w:tr w:rsidR="009B5E39" w:rsidRPr="004F42F2" w14:paraId="3A475A37" w14:textId="77777777" w:rsidTr="00190E4A">
        <w:trPr>
          <w:jc w:val="center"/>
        </w:trPr>
        <w:tc>
          <w:tcPr>
            <w:tcW w:w="1129" w:type="dxa"/>
            <w:vMerge/>
            <w:vAlign w:val="center"/>
          </w:tcPr>
          <w:p w14:paraId="3A475A34"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3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Educativo Superior</w:t>
            </w:r>
          </w:p>
        </w:tc>
        <w:tc>
          <w:tcPr>
            <w:tcW w:w="3407" w:type="dxa"/>
            <w:vAlign w:val="center"/>
          </w:tcPr>
          <w:p w14:paraId="3A475A3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50 personas (conforme a Capacidad Máxima)</w:t>
            </w:r>
          </w:p>
        </w:tc>
      </w:tr>
      <w:tr w:rsidR="009B5E39" w:rsidRPr="004F42F2" w14:paraId="3A475A3B" w14:textId="77777777" w:rsidTr="00190E4A">
        <w:trPr>
          <w:jc w:val="center"/>
        </w:trPr>
        <w:tc>
          <w:tcPr>
            <w:tcW w:w="1129" w:type="dxa"/>
            <w:vMerge/>
            <w:vAlign w:val="center"/>
          </w:tcPr>
          <w:p w14:paraId="3A475A38"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3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Equipamiento Salud</w:t>
            </w:r>
          </w:p>
        </w:tc>
        <w:tc>
          <w:tcPr>
            <w:tcW w:w="3407" w:type="dxa"/>
            <w:vAlign w:val="center"/>
          </w:tcPr>
          <w:p w14:paraId="3A475A3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500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3F" w14:textId="77777777" w:rsidTr="00190E4A">
        <w:trPr>
          <w:jc w:val="center"/>
        </w:trPr>
        <w:tc>
          <w:tcPr>
            <w:tcW w:w="1129" w:type="dxa"/>
            <w:vMerge/>
            <w:vAlign w:val="center"/>
          </w:tcPr>
          <w:p w14:paraId="3A475A3C"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3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Equipamiento Cultural</w:t>
            </w:r>
          </w:p>
        </w:tc>
        <w:tc>
          <w:tcPr>
            <w:tcW w:w="3407" w:type="dxa"/>
            <w:vAlign w:val="center"/>
          </w:tcPr>
          <w:p w14:paraId="3A475A3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50 personas (conforme a Capacidad Máxima)</w:t>
            </w:r>
          </w:p>
        </w:tc>
      </w:tr>
      <w:tr w:rsidR="009B5E39" w:rsidRPr="004F42F2" w14:paraId="3A475A43" w14:textId="77777777" w:rsidTr="00190E4A">
        <w:trPr>
          <w:jc w:val="center"/>
        </w:trPr>
        <w:tc>
          <w:tcPr>
            <w:tcW w:w="1129" w:type="dxa"/>
            <w:vMerge/>
            <w:vAlign w:val="center"/>
          </w:tcPr>
          <w:p w14:paraId="3A475A40"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4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Equipamiento Institucional</w:t>
            </w:r>
          </w:p>
        </w:tc>
        <w:tc>
          <w:tcPr>
            <w:tcW w:w="3407" w:type="dxa"/>
            <w:vAlign w:val="center"/>
          </w:tcPr>
          <w:p w14:paraId="3A475A4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47" w14:textId="77777777" w:rsidTr="00190E4A">
        <w:trPr>
          <w:jc w:val="center"/>
        </w:trPr>
        <w:tc>
          <w:tcPr>
            <w:tcW w:w="1129" w:type="dxa"/>
            <w:vMerge w:val="restart"/>
            <w:textDirection w:val="btLr"/>
            <w:vAlign w:val="center"/>
          </w:tcPr>
          <w:p w14:paraId="3A475A44"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Espacios Verdes, Abiertos y Recreativos</w:t>
            </w:r>
          </w:p>
        </w:tc>
        <w:tc>
          <w:tcPr>
            <w:tcW w:w="4820" w:type="dxa"/>
            <w:gridSpan w:val="3"/>
            <w:vAlign w:val="center"/>
          </w:tcPr>
          <w:p w14:paraId="3A475A4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Vecinales</w:t>
            </w:r>
          </w:p>
        </w:tc>
        <w:tc>
          <w:tcPr>
            <w:tcW w:w="3407" w:type="dxa"/>
            <w:vAlign w:val="center"/>
          </w:tcPr>
          <w:p w14:paraId="3A475A46"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25 m</w:t>
            </w:r>
            <w:r w:rsidRPr="004F42F2">
              <w:rPr>
                <w:rFonts w:ascii="Gotham" w:hAnsi="Gotham" w:cs="Arial"/>
                <w:sz w:val="16"/>
                <w:szCs w:val="16"/>
                <w:vertAlign w:val="superscript"/>
              </w:rPr>
              <w:t xml:space="preserve">2 </w:t>
            </w:r>
            <w:r w:rsidRPr="004F42F2">
              <w:rPr>
                <w:rFonts w:ascii="Gotham" w:hAnsi="Gotham" w:cs="Arial"/>
                <w:sz w:val="16"/>
                <w:szCs w:val="16"/>
              </w:rPr>
              <w:t xml:space="preserve"> por cada 500 m</w:t>
            </w:r>
            <w:r w:rsidRPr="004F42F2">
              <w:rPr>
                <w:rFonts w:ascii="Gotham" w:hAnsi="Gotham" w:cs="Arial"/>
                <w:sz w:val="16"/>
                <w:szCs w:val="16"/>
                <w:vertAlign w:val="superscript"/>
              </w:rPr>
              <w:t>2</w:t>
            </w:r>
            <w:r w:rsidRPr="004F42F2">
              <w:rPr>
                <w:rFonts w:ascii="Gotham" w:hAnsi="Gotham" w:cs="Arial"/>
                <w:sz w:val="16"/>
                <w:szCs w:val="16"/>
              </w:rPr>
              <w:t xml:space="preserve"> de área libre</w:t>
            </w:r>
          </w:p>
        </w:tc>
      </w:tr>
      <w:tr w:rsidR="009B5E39" w:rsidRPr="004F42F2" w14:paraId="3A475A4B" w14:textId="77777777" w:rsidTr="00190E4A">
        <w:trPr>
          <w:jc w:val="center"/>
        </w:trPr>
        <w:tc>
          <w:tcPr>
            <w:tcW w:w="1129" w:type="dxa"/>
            <w:vMerge/>
            <w:vAlign w:val="center"/>
          </w:tcPr>
          <w:p w14:paraId="3A475A48"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4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Barriales</w:t>
            </w:r>
          </w:p>
        </w:tc>
        <w:tc>
          <w:tcPr>
            <w:tcW w:w="3407" w:type="dxa"/>
            <w:vAlign w:val="center"/>
          </w:tcPr>
          <w:p w14:paraId="3A475A4A"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25 m</w:t>
            </w:r>
            <w:r w:rsidRPr="004F42F2">
              <w:rPr>
                <w:rFonts w:ascii="Gotham" w:hAnsi="Gotham" w:cs="Arial"/>
                <w:sz w:val="16"/>
                <w:szCs w:val="16"/>
                <w:vertAlign w:val="superscript"/>
              </w:rPr>
              <w:t xml:space="preserve">2 </w:t>
            </w:r>
            <w:r w:rsidRPr="004F42F2">
              <w:rPr>
                <w:rFonts w:ascii="Gotham" w:hAnsi="Gotham" w:cs="Arial"/>
                <w:sz w:val="16"/>
                <w:szCs w:val="16"/>
              </w:rPr>
              <w:t xml:space="preserve"> por cada 500 m</w:t>
            </w:r>
            <w:r w:rsidRPr="004F42F2">
              <w:rPr>
                <w:rFonts w:ascii="Gotham" w:hAnsi="Gotham" w:cs="Arial"/>
                <w:sz w:val="16"/>
                <w:szCs w:val="16"/>
                <w:vertAlign w:val="superscript"/>
              </w:rPr>
              <w:t>2</w:t>
            </w:r>
            <w:r w:rsidRPr="004F42F2">
              <w:rPr>
                <w:rFonts w:ascii="Gotham" w:hAnsi="Gotham" w:cs="Arial"/>
                <w:sz w:val="16"/>
                <w:szCs w:val="16"/>
              </w:rPr>
              <w:t xml:space="preserve"> de área libre</w:t>
            </w:r>
          </w:p>
        </w:tc>
      </w:tr>
      <w:tr w:rsidR="009B5E39" w:rsidRPr="004F42F2" w14:paraId="3A475A50" w14:textId="77777777" w:rsidTr="00190E4A">
        <w:trPr>
          <w:jc w:val="center"/>
        </w:trPr>
        <w:tc>
          <w:tcPr>
            <w:tcW w:w="1129" w:type="dxa"/>
            <w:vMerge/>
            <w:vAlign w:val="center"/>
          </w:tcPr>
          <w:p w14:paraId="3A475A4C" w14:textId="77777777" w:rsidR="009B5E39" w:rsidRPr="004F42F2" w:rsidRDefault="009B5E39" w:rsidP="00190E4A">
            <w:pPr>
              <w:spacing w:before="80" w:after="80"/>
              <w:jc w:val="center"/>
              <w:rPr>
                <w:rFonts w:ascii="Gotham" w:hAnsi="Gotham" w:cs="Arial"/>
                <w:sz w:val="16"/>
                <w:szCs w:val="16"/>
              </w:rPr>
            </w:pPr>
          </w:p>
        </w:tc>
        <w:tc>
          <w:tcPr>
            <w:tcW w:w="1335" w:type="dxa"/>
            <w:vMerge w:val="restart"/>
            <w:vAlign w:val="center"/>
          </w:tcPr>
          <w:p w14:paraId="3A475A4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Distrital</w:t>
            </w:r>
          </w:p>
        </w:tc>
        <w:tc>
          <w:tcPr>
            <w:tcW w:w="3485" w:type="dxa"/>
            <w:gridSpan w:val="2"/>
            <w:vAlign w:val="center"/>
          </w:tcPr>
          <w:p w14:paraId="3A475A4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Verdes y Abiertos</w:t>
            </w:r>
          </w:p>
        </w:tc>
        <w:tc>
          <w:tcPr>
            <w:tcW w:w="3407" w:type="dxa"/>
            <w:vAlign w:val="center"/>
          </w:tcPr>
          <w:p w14:paraId="3A475A4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35 m</w:t>
            </w:r>
            <w:r w:rsidRPr="004F42F2">
              <w:rPr>
                <w:rFonts w:ascii="Gotham" w:hAnsi="Gotham" w:cs="Arial"/>
                <w:sz w:val="16"/>
                <w:szCs w:val="16"/>
                <w:vertAlign w:val="superscript"/>
              </w:rPr>
              <w:t xml:space="preserve">2 </w:t>
            </w:r>
            <w:r w:rsidRPr="004F42F2">
              <w:rPr>
                <w:rFonts w:ascii="Gotham" w:hAnsi="Gotham" w:cs="Arial"/>
                <w:sz w:val="16"/>
                <w:szCs w:val="16"/>
              </w:rPr>
              <w:t xml:space="preserve"> por cada 500 m</w:t>
            </w:r>
            <w:r w:rsidRPr="004F42F2">
              <w:rPr>
                <w:rFonts w:ascii="Gotham" w:hAnsi="Gotham" w:cs="Arial"/>
                <w:sz w:val="16"/>
                <w:szCs w:val="16"/>
                <w:vertAlign w:val="superscript"/>
              </w:rPr>
              <w:t>2</w:t>
            </w:r>
            <w:r w:rsidRPr="004F42F2">
              <w:rPr>
                <w:rFonts w:ascii="Gotham" w:hAnsi="Gotham" w:cs="Arial"/>
                <w:sz w:val="16"/>
                <w:szCs w:val="16"/>
              </w:rPr>
              <w:t xml:space="preserve"> de área libre</w:t>
            </w:r>
          </w:p>
        </w:tc>
      </w:tr>
      <w:tr w:rsidR="009B5E39" w:rsidRPr="004F42F2" w14:paraId="3A475A55" w14:textId="77777777" w:rsidTr="00190E4A">
        <w:trPr>
          <w:jc w:val="center"/>
        </w:trPr>
        <w:tc>
          <w:tcPr>
            <w:tcW w:w="1129" w:type="dxa"/>
            <w:vMerge/>
            <w:vAlign w:val="center"/>
          </w:tcPr>
          <w:p w14:paraId="3A475A51" w14:textId="77777777" w:rsidR="009B5E39" w:rsidRPr="004F42F2" w:rsidRDefault="009B5E39" w:rsidP="00190E4A">
            <w:pPr>
              <w:spacing w:before="80" w:after="80"/>
              <w:jc w:val="center"/>
              <w:rPr>
                <w:rFonts w:ascii="Gotham" w:hAnsi="Gotham" w:cs="Arial"/>
                <w:sz w:val="16"/>
                <w:szCs w:val="16"/>
              </w:rPr>
            </w:pPr>
          </w:p>
        </w:tc>
        <w:tc>
          <w:tcPr>
            <w:tcW w:w="1335" w:type="dxa"/>
            <w:vMerge/>
            <w:vAlign w:val="center"/>
          </w:tcPr>
          <w:p w14:paraId="3A475A52" w14:textId="77777777" w:rsidR="009B5E39" w:rsidRPr="004F42F2" w:rsidRDefault="009B5E39" w:rsidP="00190E4A">
            <w:pPr>
              <w:spacing w:before="80" w:after="80"/>
              <w:jc w:val="center"/>
              <w:rPr>
                <w:rFonts w:ascii="Gotham" w:hAnsi="Gotham" w:cs="Arial"/>
                <w:sz w:val="16"/>
                <w:szCs w:val="16"/>
              </w:rPr>
            </w:pPr>
          </w:p>
        </w:tc>
        <w:tc>
          <w:tcPr>
            <w:tcW w:w="3485" w:type="dxa"/>
            <w:gridSpan w:val="2"/>
            <w:vAlign w:val="center"/>
          </w:tcPr>
          <w:p w14:paraId="3A475A5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Recreativos</w:t>
            </w:r>
          </w:p>
        </w:tc>
        <w:tc>
          <w:tcPr>
            <w:tcW w:w="3407" w:type="dxa"/>
            <w:vAlign w:val="center"/>
          </w:tcPr>
          <w:p w14:paraId="3A475A54"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50 personas conforme a la capacidad máxima</w:t>
            </w:r>
          </w:p>
        </w:tc>
      </w:tr>
      <w:tr w:rsidR="009B5E39" w:rsidRPr="004F42F2" w14:paraId="3A475A5A" w14:textId="77777777" w:rsidTr="00190E4A">
        <w:trPr>
          <w:jc w:val="center"/>
        </w:trPr>
        <w:tc>
          <w:tcPr>
            <w:tcW w:w="1129" w:type="dxa"/>
            <w:vMerge/>
            <w:vAlign w:val="center"/>
          </w:tcPr>
          <w:p w14:paraId="3A475A56" w14:textId="77777777" w:rsidR="009B5E39" w:rsidRPr="004F42F2" w:rsidRDefault="009B5E39" w:rsidP="00190E4A">
            <w:pPr>
              <w:spacing w:before="80" w:after="80"/>
              <w:jc w:val="center"/>
              <w:rPr>
                <w:rFonts w:ascii="Gotham" w:hAnsi="Gotham" w:cs="Arial"/>
                <w:sz w:val="16"/>
                <w:szCs w:val="16"/>
              </w:rPr>
            </w:pPr>
          </w:p>
        </w:tc>
        <w:tc>
          <w:tcPr>
            <w:tcW w:w="1335" w:type="dxa"/>
            <w:vMerge w:val="restart"/>
            <w:vAlign w:val="center"/>
          </w:tcPr>
          <w:p w14:paraId="3A475A5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Central</w:t>
            </w:r>
          </w:p>
        </w:tc>
        <w:tc>
          <w:tcPr>
            <w:tcW w:w="3485" w:type="dxa"/>
            <w:gridSpan w:val="2"/>
            <w:vAlign w:val="center"/>
          </w:tcPr>
          <w:p w14:paraId="3A475A5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Verdes y Abiertos</w:t>
            </w:r>
          </w:p>
        </w:tc>
        <w:tc>
          <w:tcPr>
            <w:tcW w:w="3407" w:type="dxa"/>
            <w:vAlign w:val="center"/>
          </w:tcPr>
          <w:p w14:paraId="3A475A5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1,000 m</w:t>
            </w:r>
            <w:r w:rsidRPr="004F42F2">
              <w:rPr>
                <w:rFonts w:ascii="Gotham" w:hAnsi="Gotham" w:cs="Arial"/>
                <w:sz w:val="16"/>
                <w:szCs w:val="16"/>
                <w:vertAlign w:val="superscript"/>
              </w:rPr>
              <w:t xml:space="preserve">2 </w:t>
            </w:r>
            <w:r w:rsidRPr="004F42F2">
              <w:rPr>
                <w:rFonts w:ascii="Gotham" w:hAnsi="Gotham" w:cs="Arial"/>
                <w:sz w:val="16"/>
                <w:szCs w:val="16"/>
              </w:rPr>
              <w:t xml:space="preserve"> de área libre</w:t>
            </w:r>
          </w:p>
        </w:tc>
      </w:tr>
      <w:tr w:rsidR="009B5E39" w:rsidRPr="004F42F2" w14:paraId="3A475A5F" w14:textId="77777777" w:rsidTr="00190E4A">
        <w:trPr>
          <w:jc w:val="center"/>
        </w:trPr>
        <w:tc>
          <w:tcPr>
            <w:tcW w:w="1129" w:type="dxa"/>
            <w:vMerge/>
            <w:vAlign w:val="center"/>
          </w:tcPr>
          <w:p w14:paraId="3A475A5B" w14:textId="77777777" w:rsidR="009B5E39" w:rsidRPr="004F42F2" w:rsidRDefault="009B5E39" w:rsidP="00190E4A">
            <w:pPr>
              <w:spacing w:before="80" w:after="80"/>
              <w:jc w:val="center"/>
              <w:rPr>
                <w:rFonts w:ascii="Gotham" w:hAnsi="Gotham" w:cs="Arial"/>
                <w:sz w:val="16"/>
                <w:szCs w:val="16"/>
              </w:rPr>
            </w:pPr>
          </w:p>
        </w:tc>
        <w:tc>
          <w:tcPr>
            <w:tcW w:w="1335" w:type="dxa"/>
            <w:vMerge/>
            <w:tcBorders>
              <w:bottom w:val="single" w:sz="4" w:space="0" w:color="000000" w:themeColor="text1"/>
            </w:tcBorders>
            <w:vAlign w:val="center"/>
          </w:tcPr>
          <w:p w14:paraId="3A475A5C" w14:textId="77777777" w:rsidR="009B5E39" w:rsidRPr="004F42F2" w:rsidRDefault="009B5E39" w:rsidP="00190E4A">
            <w:pPr>
              <w:spacing w:before="80" w:after="80"/>
              <w:jc w:val="center"/>
              <w:rPr>
                <w:rFonts w:ascii="Gotham" w:hAnsi="Gotham" w:cs="Arial"/>
                <w:sz w:val="16"/>
                <w:szCs w:val="16"/>
              </w:rPr>
            </w:pPr>
          </w:p>
        </w:tc>
        <w:tc>
          <w:tcPr>
            <w:tcW w:w="3485" w:type="dxa"/>
            <w:gridSpan w:val="2"/>
            <w:tcBorders>
              <w:bottom w:val="single" w:sz="4" w:space="0" w:color="000000" w:themeColor="text1"/>
            </w:tcBorders>
            <w:vAlign w:val="center"/>
          </w:tcPr>
          <w:p w14:paraId="3A475A5D"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Recreativos</w:t>
            </w:r>
          </w:p>
        </w:tc>
        <w:tc>
          <w:tcPr>
            <w:tcW w:w="3407" w:type="dxa"/>
            <w:vAlign w:val="center"/>
          </w:tcPr>
          <w:p w14:paraId="3A475A5E"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5,000 m</w:t>
            </w:r>
            <w:r w:rsidRPr="004F42F2">
              <w:rPr>
                <w:rFonts w:ascii="Gotham" w:hAnsi="Gotham" w:cs="Arial"/>
                <w:sz w:val="16"/>
                <w:szCs w:val="16"/>
                <w:vertAlign w:val="superscript"/>
              </w:rPr>
              <w:t xml:space="preserve">2 </w:t>
            </w:r>
            <w:r w:rsidRPr="004F42F2">
              <w:rPr>
                <w:rFonts w:ascii="Gotham" w:hAnsi="Gotham" w:cs="Arial"/>
                <w:sz w:val="16"/>
                <w:szCs w:val="16"/>
              </w:rPr>
              <w:t xml:space="preserve"> de área libre</w:t>
            </w:r>
          </w:p>
        </w:tc>
      </w:tr>
      <w:tr w:rsidR="009B5E39" w:rsidRPr="004F42F2" w14:paraId="3A475A64" w14:textId="77777777" w:rsidTr="00190E4A">
        <w:trPr>
          <w:jc w:val="center"/>
        </w:trPr>
        <w:tc>
          <w:tcPr>
            <w:tcW w:w="1129" w:type="dxa"/>
            <w:vMerge/>
            <w:textDirection w:val="btLr"/>
            <w:vAlign w:val="center"/>
          </w:tcPr>
          <w:p w14:paraId="3A475A60" w14:textId="77777777" w:rsidR="009B5E39" w:rsidRPr="004F42F2" w:rsidRDefault="009B5E39" w:rsidP="00190E4A">
            <w:pPr>
              <w:spacing w:before="80" w:after="80"/>
              <w:ind w:left="113" w:right="113"/>
              <w:jc w:val="center"/>
              <w:rPr>
                <w:rFonts w:ascii="Gotham" w:hAnsi="Gotham" w:cs="Arial"/>
                <w:sz w:val="16"/>
                <w:szCs w:val="16"/>
              </w:rPr>
            </w:pPr>
          </w:p>
        </w:tc>
        <w:tc>
          <w:tcPr>
            <w:tcW w:w="2410" w:type="dxa"/>
            <w:gridSpan w:val="2"/>
            <w:vMerge w:val="restart"/>
            <w:tcBorders>
              <w:bottom w:val="single" w:sz="4" w:space="0" w:color="000000" w:themeColor="text1"/>
            </w:tcBorders>
            <w:vAlign w:val="center"/>
          </w:tcPr>
          <w:p w14:paraId="3A475A61"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Regionales</w:t>
            </w:r>
          </w:p>
        </w:tc>
        <w:tc>
          <w:tcPr>
            <w:tcW w:w="2410" w:type="dxa"/>
            <w:tcBorders>
              <w:bottom w:val="single" w:sz="4" w:space="0" w:color="000000" w:themeColor="text1"/>
            </w:tcBorders>
            <w:vAlign w:val="center"/>
          </w:tcPr>
          <w:p w14:paraId="3A475A62"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Verdes y Abiertos</w:t>
            </w:r>
          </w:p>
        </w:tc>
        <w:tc>
          <w:tcPr>
            <w:tcW w:w="3407" w:type="dxa"/>
            <w:vAlign w:val="center"/>
          </w:tcPr>
          <w:p w14:paraId="3A475A6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5,000 m</w:t>
            </w:r>
            <w:r w:rsidRPr="004F42F2">
              <w:rPr>
                <w:rFonts w:ascii="Gotham" w:hAnsi="Gotham" w:cs="Arial"/>
                <w:sz w:val="16"/>
                <w:szCs w:val="16"/>
                <w:vertAlign w:val="superscript"/>
              </w:rPr>
              <w:t xml:space="preserve">2 </w:t>
            </w:r>
            <w:r w:rsidRPr="004F42F2">
              <w:rPr>
                <w:rFonts w:ascii="Gotham" w:hAnsi="Gotham" w:cs="Arial"/>
                <w:sz w:val="16"/>
                <w:szCs w:val="16"/>
              </w:rPr>
              <w:t xml:space="preserve"> de área libre</w:t>
            </w:r>
          </w:p>
        </w:tc>
      </w:tr>
      <w:tr w:rsidR="009B5E39" w:rsidRPr="004F42F2" w14:paraId="3A475A69" w14:textId="77777777" w:rsidTr="00190E4A">
        <w:trPr>
          <w:jc w:val="center"/>
        </w:trPr>
        <w:tc>
          <w:tcPr>
            <w:tcW w:w="1129" w:type="dxa"/>
            <w:vMerge/>
            <w:textDirection w:val="btLr"/>
            <w:vAlign w:val="center"/>
          </w:tcPr>
          <w:p w14:paraId="3A475A65" w14:textId="77777777" w:rsidR="009B5E39" w:rsidRPr="004F42F2" w:rsidRDefault="009B5E39" w:rsidP="00190E4A">
            <w:pPr>
              <w:spacing w:before="80" w:after="80"/>
              <w:ind w:left="113" w:right="113"/>
              <w:jc w:val="center"/>
              <w:rPr>
                <w:rFonts w:ascii="Gotham" w:hAnsi="Gotham" w:cs="Arial"/>
                <w:sz w:val="16"/>
                <w:szCs w:val="16"/>
              </w:rPr>
            </w:pPr>
          </w:p>
        </w:tc>
        <w:tc>
          <w:tcPr>
            <w:tcW w:w="2410" w:type="dxa"/>
            <w:gridSpan w:val="2"/>
            <w:vMerge/>
            <w:tcBorders>
              <w:bottom w:val="single" w:sz="4" w:space="0" w:color="auto"/>
            </w:tcBorders>
            <w:vAlign w:val="center"/>
          </w:tcPr>
          <w:p w14:paraId="3A475A66" w14:textId="77777777" w:rsidR="009B5E39" w:rsidRPr="004F42F2" w:rsidRDefault="009B5E39" w:rsidP="00190E4A">
            <w:pPr>
              <w:spacing w:before="80" w:after="80"/>
              <w:jc w:val="center"/>
              <w:rPr>
                <w:rFonts w:ascii="Gotham" w:hAnsi="Gotham" w:cs="Arial"/>
                <w:sz w:val="16"/>
                <w:szCs w:val="16"/>
              </w:rPr>
            </w:pPr>
          </w:p>
        </w:tc>
        <w:tc>
          <w:tcPr>
            <w:tcW w:w="2410" w:type="dxa"/>
            <w:tcBorders>
              <w:bottom w:val="single" w:sz="4" w:space="0" w:color="auto"/>
            </w:tcBorders>
            <w:vAlign w:val="center"/>
          </w:tcPr>
          <w:p w14:paraId="3A475A67"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Espacios Recreativos</w:t>
            </w:r>
          </w:p>
        </w:tc>
        <w:tc>
          <w:tcPr>
            <w:tcW w:w="3407" w:type="dxa"/>
            <w:vAlign w:val="center"/>
          </w:tcPr>
          <w:p w14:paraId="3A475A6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200 personas conforme a la capacidad máxima</w:t>
            </w:r>
          </w:p>
        </w:tc>
      </w:tr>
      <w:tr w:rsidR="009B5E39" w:rsidRPr="004F42F2" w14:paraId="3A475A6D" w14:textId="77777777" w:rsidTr="00190E4A">
        <w:trPr>
          <w:jc w:val="center"/>
        </w:trPr>
        <w:tc>
          <w:tcPr>
            <w:tcW w:w="1129" w:type="dxa"/>
            <w:vMerge w:val="restart"/>
            <w:textDirection w:val="btLr"/>
            <w:vAlign w:val="center"/>
          </w:tcPr>
          <w:p w14:paraId="3A475A6A" w14:textId="77777777" w:rsidR="009B5E39" w:rsidRPr="004F42F2" w:rsidRDefault="009B5E39" w:rsidP="00190E4A">
            <w:pPr>
              <w:spacing w:before="80" w:after="80"/>
              <w:ind w:left="113" w:right="113"/>
              <w:jc w:val="center"/>
              <w:rPr>
                <w:rFonts w:ascii="Gotham" w:hAnsi="Gotham" w:cs="Arial"/>
                <w:sz w:val="16"/>
                <w:szCs w:val="16"/>
              </w:rPr>
            </w:pPr>
            <w:r w:rsidRPr="004F42F2">
              <w:rPr>
                <w:rFonts w:ascii="Gotham" w:hAnsi="Gotham" w:cs="Arial"/>
                <w:sz w:val="16"/>
                <w:szCs w:val="16"/>
              </w:rPr>
              <w:t>Instalaciones Especiales e Infraestructura</w:t>
            </w:r>
          </w:p>
        </w:tc>
        <w:tc>
          <w:tcPr>
            <w:tcW w:w="4820" w:type="dxa"/>
            <w:gridSpan w:val="3"/>
            <w:tcBorders>
              <w:top w:val="single" w:sz="4" w:space="0" w:color="auto"/>
              <w:bottom w:val="nil"/>
            </w:tcBorders>
            <w:vAlign w:val="center"/>
          </w:tcPr>
          <w:p w14:paraId="3A475A6B"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Infraestructura Urbana</w:t>
            </w:r>
          </w:p>
        </w:tc>
        <w:tc>
          <w:tcPr>
            <w:tcW w:w="3407" w:type="dxa"/>
            <w:vAlign w:val="center"/>
          </w:tcPr>
          <w:p w14:paraId="3A475A6C"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100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71" w14:textId="77777777" w:rsidTr="00190E4A">
        <w:trPr>
          <w:jc w:val="center"/>
        </w:trPr>
        <w:tc>
          <w:tcPr>
            <w:tcW w:w="1129" w:type="dxa"/>
            <w:vMerge/>
            <w:vAlign w:val="center"/>
          </w:tcPr>
          <w:p w14:paraId="3A475A6E"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6F"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Infraestructura Regional</w:t>
            </w:r>
          </w:p>
        </w:tc>
        <w:tc>
          <w:tcPr>
            <w:tcW w:w="3407" w:type="dxa"/>
            <w:vAlign w:val="center"/>
          </w:tcPr>
          <w:p w14:paraId="3A475A70"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76" w14:textId="77777777" w:rsidTr="00190E4A">
        <w:trPr>
          <w:jc w:val="center"/>
        </w:trPr>
        <w:tc>
          <w:tcPr>
            <w:tcW w:w="1129" w:type="dxa"/>
            <w:vMerge/>
            <w:vAlign w:val="center"/>
          </w:tcPr>
          <w:p w14:paraId="3A475A72" w14:textId="77777777" w:rsidR="009B5E39" w:rsidRPr="004F42F2" w:rsidRDefault="009B5E39" w:rsidP="00190E4A">
            <w:pPr>
              <w:spacing w:before="80" w:after="80"/>
              <w:jc w:val="center"/>
              <w:rPr>
                <w:rFonts w:ascii="Gotham" w:hAnsi="Gotham" w:cs="Arial"/>
                <w:sz w:val="16"/>
                <w:szCs w:val="16"/>
              </w:rPr>
            </w:pPr>
          </w:p>
        </w:tc>
        <w:tc>
          <w:tcPr>
            <w:tcW w:w="1335" w:type="dxa"/>
            <w:vAlign w:val="center"/>
          </w:tcPr>
          <w:p w14:paraId="3A475A73"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Instalaciones Especiales Urbanas</w:t>
            </w:r>
          </w:p>
        </w:tc>
        <w:tc>
          <w:tcPr>
            <w:tcW w:w="3485" w:type="dxa"/>
            <w:gridSpan w:val="2"/>
            <w:vAlign w:val="center"/>
          </w:tcPr>
          <w:p w14:paraId="3A475A74"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Crematorios</w:t>
            </w:r>
          </w:p>
        </w:tc>
        <w:tc>
          <w:tcPr>
            <w:tcW w:w="3407" w:type="dxa"/>
            <w:vAlign w:val="center"/>
          </w:tcPr>
          <w:p w14:paraId="3A475A75"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r w:rsidR="009B5E39" w:rsidRPr="004F42F2" w14:paraId="3A475A7A" w14:textId="77777777" w:rsidTr="00190E4A">
        <w:trPr>
          <w:trHeight w:val="322"/>
          <w:jc w:val="center"/>
        </w:trPr>
        <w:tc>
          <w:tcPr>
            <w:tcW w:w="1129" w:type="dxa"/>
            <w:vMerge/>
            <w:vAlign w:val="center"/>
          </w:tcPr>
          <w:p w14:paraId="3A475A77" w14:textId="77777777" w:rsidR="009B5E39" w:rsidRPr="004F42F2" w:rsidRDefault="009B5E39" w:rsidP="00190E4A">
            <w:pPr>
              <w:spacing w:before="80" w:after="80"/>
              <w:jc w:val="center"/>
              <w:rPr>
                <w:rFonts w:ascii="Gotham" w:hAnsi="Gotham" w:cs="Arial"/>
                <w:sz w:val="16"/>
                <w:szCs w:val="16"/>
              </w:rPr>
            </w:pPr>
          </w:p>
        </w:tc>
        <w:tc>
          <w:tcPr>
            <w:tcW w:w="4820" w:type="dxa"/>
            <w:gridSpan w:val="3"/>
            <w:vAlign w:val="center"/>
          </w:tcPr>
          <w:p w14:paraId="3A475A78"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Instalaciones Especiales Regionales</w:t>
            </w:r>
          </w:p>
        </w:tc>
        <w:tc>
          <w:tcPr>
            <w:tcW w:w="3407" w:type="dxa"/>
            <w:vAlign w:val="center"/>
          </w:tcPr>
          <w:p w14:paraId="3A475A79" w14:textId="77777777" w:rsidR="009B5E39" w:rsidRPr="004F42F2" w:rsidRDefault="009B5E39" w:rsidP="00190E4A">
            <w:pPr>
              <w:spacing w:before="80" w:after="80"/>
              <w:jc w:val="center"/>
              <w:rPr>
                <w:rFonts w:ascii="Gotham" w:hAnsi="Gotham" w:cs="Arial"/>
                <w:sz w:val="16"/>
                <w:szCs w:val="16"/>
              </w:rPr>
            </w:pPr>
            <w:r w:rsidRPr="004F42F2">
              <w:rPr>
                <w:rFonts w:ascii="Gotham" w:hAnsi="Gotham" w:cs="Arial"/>
                <w:sz w:val="16"/>
                <w:szCs w:val="16"/>
              </w:rPr>
              <w:t>200 m</w:t>
            </w:r>
            <w:r w:rsidRPr="004F42F2">
              <w:rPr>
                <w:rFonts w:ascii="Gotham" w:hAnsi="Gotham" w:cs="Arial"/>
                <w:sz w:val="16"/>
                <w:szCs w:val="16"/>
                <w:vertAlign w:val="superscript"/>
              </w:rPr>
              <w:t xml:space="preserve">2 </w:t>
            </w:r>
            <w:r w:rsidRPr="004F42F2">
              <w:rPr>
                <w:rFonts w:ascii="Gotham" w:hAnsi="Gotham" w:cs="Arial"/>
                <w:sz w:val="16"/>
                <w:szCs w:val="16"/>
              </w:rPr>
              <w:t xml:space="preserve"> Construidos de operación del giro</w:t>
            </w:r>
          </w:p>
        </w:tc>
      </w:tr>
    </w:tbl>
    <w:p w14:paraId="3A475A7B" w14:textId="77777777" w:rsidR="009B5E39" w:rsidRPr="00940515" w:rsidRDefault="009B5E39" w:rsidP="009B5E39">
      <w:pPr>
        <w:ind w:left="284" w:right="283"/>
        <w:rPr>
          <w:rFonts w:ascii="Gotham" w:hAnsi="Gotham" w:cs="Arial"/>
          <w:b/>
          <w:sz w:val="19"/>
          <w:szCs w:val="19"/>
          <w:highlight w:val="cyan"/>
        </w:rPr>
      </w:pPr>
    </w:p>
    <w:p w14:paraId="3A475A7C"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CAPÍTULO III</w:t>
      </w:r>
    </w:p>
    <w:p w14:paraId="3A475A7D"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ACREDITACIONES GANCHOS DE ESTACIONAMIENTO PREFERENCIAL</w:t>
      </w:r>
    </w:p>
    <w:p w14:paraId="3A475A7E" w14:textId="77777777" w:rsidR="009B5E39" w:rsidRPr="00940515" w:rsidRDefault="009B5E39" w:rsidP="009B5E39">
      <w:pPr>
        <w:ind w:left="284" w:right="283"/>
        <w:rPr>
          <w:rFonts w:ascii="Gotham" w:hAnsi="Gotham" w:cs="Arial"/>
          <w:b/>
          <w:sz w:val="19"/>
          <w:szCs w:val="19"/>
        </w:rPr>
      </w:pPr>
    </w:p>
    <w:p w14:paraId="3A475A7F"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bCs/>
          <w:sz w:val="19"/>
          <w:szCs w:val="19"/>
        </w:rPr>
        <w:t xml:space="preserve">Artículo 98. </w:t>
      </w:r>
      <w:r w:rsidRPr="00940515">
        <w:rPr>
          <w:rFonts w:ascii="Gotham" w:hAnsi="Gotham" w:cs="Arial"/>
          <w:sz w:val="19"/>
          <w:szCs w:val="19"/>
        </w:rPr>
        <w:t>Las personas con discapacidad conforme a lo que establece este reglamento y la legislación aplicable, tienen el derecho de preferencia para el estacionamiento en vías públicas, estacionamientos privados y públicos, y en propiedad privada, por lo que, para acreditar la necesidad de uso de los espacios clasificados como preferenciales, deberán solicitar ante la Jefatura de Estacionamientos la acreditación oficial correspondiente, así como cumplir con lo establecido en este reglamento.</w:t>
      </w:r>
    </w:p>
    <w:p w14:paraId="3A475A80" w14:textId="77777777" w:rsidR="009B5E39" w:rsidRPr="00940515" w:rsidRDefault="009B5E39" w:rsidP="009B5E39">
      <w:pPr>
        <w:ind w:left="284" w:right="283"/>
        <w:jc w:val="both"/>
        <w:rPr>
          <w:rFonts w:ascii="Gotham" w:hAnsi="Gotham" w:cs="Arial"/>
          <w:sz w:val="19"/>
          <w:szCs w:val="19"/>
        </w:rPr>
      </w:pPr>
    </w:p>
    <w:p w14:paraId="3A475A81"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99.</w:t>
      </w:r>
      <w:r w:rsidRPr="00940515">
        <w:rPr>
          <w:rFonts w:ascii="Gotham" w:hAnsi="Gotham" w:cs="Arial"/>
          <w:sz w:val="19"/>
          <w:szCs w:val="19"/>
        </w:rPr>
        <w:t xml:space="preserve"> Los requisitos y documentación general para solicitar el gancho para estacionamiento preferencial, en original y copia, son los siguientes: </w:t>
      </w:r>
    </w:p>
    <w:p w14:paraId="3A475A82" w14:textId="77777777" w:rsidR="009B5E39" w:rsidRPr="00940515" w:rsidRDefault="009B5E39" w:rsidP="009B5E39">
      <w:pPr>
        <w:ind w:left="284" w:right="283"/>
        <w:jc w:val="both"/>
        <w:rPr>
          <w:rFonts w:ascii="Gotham" w:hAnsi="Gotham" w:cs="Arial"/>
          <w:sz w:val="19"/>
          <w:szCs w:val="19"/>
        </w:rPr>
      </w:pPr>
    </w:p>
    <w:p w14:paraId="3A475A8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Identificación oficial vigente expedida por autoridad correspondiente;</w:t>
      </w:r>
    </w:p>
    <w:p w14:paraId="3A475A8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Documento que avale la propiedad del vehículo como lo es la tarjeta de circulación;</w:t>
      </w:r>
    </w:p>
    <w:p w14:paraId="3A475A85"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Dictamen médico de institución pública o privada que especifique la discapacidad motriz del solicitante y si ésta es permanente o temporal;</w:t>
      </w:r>
    </w:p>
    <w:p w14:paraId="3A475A86"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Para el caso de mujeres embarazadas, además de los requisitos establecidos en las fracciones inmediatas anteriores I y II, deberá presentar dictamen médico expedido por una institución pública o privada que señale el tiempo aproximado de embarazo anexando el último ecosonograma; y</w:t>
      </w:r>
    </w:p>
    <w:p w14:paraId="3A475A87"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Para el caso de que el solicitante sea adulto mayor, además de los requisitos señalados en las fracciones I y II, además deberán presentar credencial vigente expedida por el Instituto Nacional de Personas Adultas Mayores.</w:t>
      </w:r>
    </w:p>
    <w:p w14:paraId="3A475A88" w14:textId="77777777" w:rsidR="009B5E39" w:rsidRPr="00940515" w:rsidRDefault="009B5E39" w:rsidP="009B5E39">
      <w:pPr>
        <w:ind w:left="284" w:right="283"/>
        <w:jc w:val="both"/>
        <w:rPr>
          <w:rFonts w:ascii="Gotham" w:hAnsi="Gotham" w:cs="Arial"/>
          <w:sz w:val="19"/>
          <w:szCs w:val="19"/>
        </w:rPr>
      </w:pPr>
    </w:p>
    <w:p w14:paraId="3A475A89"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Solo se otorgará un gancho para uso preferencial de estacionamiento por beneficiario y éste deberá contener las placas del vehículo, el tipo de gancho que corresponde, así como su vigencia, en el caso de las personas que acrediten tener una discapacidad permanente, el gancho se otorgará por una vigencia de 3 años; el trámite como y gancho se otorga si costo al beneficiario.</w:t>
      </w:r>
    </w:p>
    <w:p w14:paraId="3A475A8A" w14:textId="77777777" w:rsidR="009B5E39" w:rsidRPr="00940515" w:rsidRDefault="009B5E39" w:rsidP="009B5E39">
      <w:pPr>
        <w:ind w:left="284" w:right="283"/>
        <w:jc w:val="both"/>
        <w:rPr>
          <w:rFonts w:ascii="Gotham" w:hAnsi="Gotham" w:cs="Arial"/>
          <w:b/>
          <w:sz w:val="19"/>
          <w:szCs w:val="19"/>
          <w:highlight w:val="green"/>
        </w:rPr>
      </w:pPr>
    </w:p>
    <w:p w14:paraId="3A475A8B"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100</w:t>
      </w:r>
      <w:r w:rsidRPr="00940515">
        <w:rPr>
          <w:rFonts w:ascii="Gotham" w:hAnsi="Gotham" w:cs="Arial"/>
          <w:sz w:val="19"/>
          <w:szCs w:val="19"/>
        </w:rPr>
        <w:t>. En el caso de que un ciudadano por su condición física, de salud o mental necesite ser trasladado por un tercero y hacer uso de los lugares para personas con discapacidad, deberá entregar además de la documentación e información mencionada en el artículo anterior, lo siguiente:</w:t>
      </w:r>
    </w:p>
    <w:p w14:paraId="3A475A8C" w14:textId="77777777" w:rsidR="009B5E39" w:rsidRPr="00940515" w:rsidRDefault="009B5E39" w:rsidP="009B5E39">
      <w:pPr>
        <w:ind w:left="284" w:right="283"/>
        <w:jc w:val="both"/>
        <w:rPr>
          <w:rFonts w:ascii="Gotham" w:hAnsi="Gotham" w:cs="Arial"/>
          <w:sz w:val="19"/>
          <w:szCs w:val="19"/>
        </w:rPr>
      </w:pPr>
    </w:p>
    <w:p w14:paraId="3A475A8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Identificación oficial vigente de la persona que lo traslada. </w:t>
      </w:r>
    </w:p>
    <w:p w14:paraId="3A475A8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Licencia de conducir vigente de la persona que lo traslada.</w:t>
      </w:r>
    </w:p>
    <w:p w14:paraId="3A475A8F"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Certificado médico que especifique la condición por la cual requiere ser trasladado.</w:t>
      </w:r>
    </w:p>
    <w:p w14:paraId="3A475A90" w14:textId="77777777" w:rsidR="009B5E39" w:rsidRDefault="009B5E39" w:rsidP="009B5E39">
      <w:pPr>
        <w:ind w:left="284" w:right="283"/>
        <w:jc w:val="both"/>
        <w:rPr>
          <w:rFonts w:ascii="Gotham" w:hAnsi="Gotham" w:cs="Arial"/>
          <w:sz w:val="19"/>
          <w:szCs w:val="19"/>
        </w:rPr>
      </w:pPr>
    </w:p>
    <w:p w14:paraId="3A475A91" w14:textId="77777777" w:rsidR="009B5E39" w:rsidRPr="00940515" w:rsidRDefault="009B5E39" w:rsidP="009B5E39">
      <w:pPr>
        <w:ind w:left="284" w:right="283"/>
        <w:jc w:val="both"/>
        <w:rPr>
          <w:rFonts w:ascii="Gotham" w:hAnsi="Gotham" w:cs="Arial"/>
          <w:sz w:val="19"/>
          <w:szCs w:val="19"/>
        </w:rPr>
      </w:pPr>
    </w:p>
    <w:p w14:paraId="3A475A92" w14:textId="77777777" w:rsidR="009B5E39" w:rsidRPr="00940515" w:rsidRDefault="009B5E39" w:rsidP="009B5E39">
      <w:pPr>
        <w:ind w:left="284" w:right="283"/>
        <w:jc w:val="center"/>
        <w:rPr>
          <w:rFonts w:ascii="Gotham" w:hAnsi="Gotham" w:cs="Arial"/>
          <w:b/>
          <w:bCs/>
          <w:sz w:val="19"/>
          <w:szCs w:val="19"/>
        </w:rPr>
      </w:pPr>
      <w:r w:rsidRPr="00940515">
        <w:rPr>
          <w:rFonts w:ascii="Gotham" w:hAnsi="Gotham" w:cs="Arial"/>
          <w:b/>
          <w:bCs/>
          <w:sz w:val="19"/>
          <w:szCs w:val="19"/>
        </w:rPr>
        <w:t>CAPÍTULO IV</w:t>
      </w:r>
    </w:p>
    <w:p w14:paraId="3A475A93" w14:textId="77777777" w:rsidR="009B5E39" w:rsidRPr="00940515" w:rsidRDefault="009B5E39" w:rsidP="009B5E39">
      <w:pPr>
        <w:ind w:left="284" w:right="283"/>
        <w:jc w:val="center"/>
        <w:rPr>
          <w:rFonts w:ascii="Gotham" w:hAnsi="Gotham" w:cs="Arial"/>
          <w:b/>
          <w:bCs/>
          <w:sz w:val="19"/>
          <w:szCs w:val="19"/>
        </w:rPr>
      </w:pPr>
      <w:r w:rsidRPr="00940515">
        <w:rPr>
          <w:rFonts w:ascii="Gotham" w:hAnsi="Gotham" w:cs="Arial"/>
          <w:b/>
          <w:bCs/>
          <w:sz w:val="19"/>
          <w:szCs w:val="19"/>
        </w:rPr>
        <w:t>DE LOS ESTACIONAMIENTOS EXCLUSIVOS EN VÍA PÚBLICA</w:t>
      </w:r>
    </w:p>
    <w:p w14:paraId="3A475A94" w14:textId="77777777" w:rsidR="009B5E39" w:rsidRPr="00940515" w:rsidRDefault="009B5E39" w:rsidP="009B5E39">
      <w:pPr>
        <w:ind w:left="284" w:right="283"/>
        <w:jc w:val="center"/>
        <w:rPr>
          <w:rFonts w:ascii="Gotham" w:hAnsi="Gotham" w:cs="Arial"/>
          <w:b/>
          <w:bCs/>
          <w:sz w:val="19"/>
          <w:szCs w:val="19"/>
        </w:rPr>
      </w:pPr>
    </w:p>
    <w:p w14:paraId="3A475A95" w14:textId="77777777" w:rsidR="009B5E39" w:rsidRPr="00940515" w:rsidRDefault="009B5E39" w:rsidP="009B5E39">
      <w:pPr>
        <w:ind w:left="284" w:right="283"/>
        <w:jc w:val="both"/>
        <w:rPr>
          <w:rFonts w:ascii="Gotham" w:hAnsi="Gotham" w:cs="Arial"/>
          <w:b/>
          <w:sz w:val="19"/>
          <w:szCs w:val="19"/>
          <w:highlight w:val="cyan"/>
        </w:rPr>
      </w:pPr>
      <w:r w:rsidRPr="00940515">
        <w:rPr>
          <w:rFonts w:ascii="Gotham" w:hAnsi="Gotham" w:cs="Arial"/>
          <w:b/>
          <w:sz w:val="19"/>
          <w:szCs w:val="19"/>
        </w:rPr>
        <w:t>Artículo 101</w:t>
      </w:r>
      <w:r w:rsidRPr="00940515">
        <w:rPr>
          <w:rFonts w:ascii="Gotham" w:hAnsi="Gotham" w:cs="Arial"/>
          <w:sz w:val="19"/>
          <w:szCs w:val="19"/>
        </w:rPr>
        <w:t>. Corresponde a la Dirección hacer la declaración de que una sección de la calle tiene uso restringido para el estacionamiento libre de vehículos, mediante balizamiento del piso de la calle y/o la colocación de placas que identifiquen la restricción de uso del estacionamiento. Del mismo modo, a esta Dirección le corresponderá la declaración para la creación o utilización de bahías o bahías de servicio y bahías de uso específico siguiendo el mismo criterio que para los espacios exclusivos.</w:t>
      </w:r>
    </w:p>
    <w:p w14:paraId="3A475A96" w14:textId="77777777" w:rsidR="009B5E39" w:rsidRPr="00940515" w:rsidRDefault="009B5E39" w:rsidP="009B5E39">
      <w:pPr>
        <w:ind w:left="284" w:right="283"/>
        <w:jc w:val="both"/>
        <w:rPr>
          <w:rFonts w:ascii="Gotham" w:hAnsi="Gotham" w:cs="Arial"/>
          <w:b/>
          <w:sz w:val="19"/>
          <w:szCs w:val="19"/>
        </w:rPr>
      </w:pPr>
    </w:p>
    <w:p w14:paraId="3A475A97"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102.</w:t>
      </w:r>
      <w:r w:rsidRPr="00940515">
        <w:rPr>
          <w:rFonts w:ascii="Gotham" w:hAnsi="Gotham" w:cs="Arial"/>
          <w:sz w:val="19"/>
          <w:szCs w:val="19"/>
        </w:rPr>
        <w:t xml:space="preserve"> La autorización para designar un espacio para estacionamiento exclusivo en vía pública estará sujeta a lo establecido por el presente reglamento.</w:t>
      </w:r>
    </w:p>
    <w:p w14:paraId="3A475A98" w14:textId="77777777" w:rsidR="009B5E39" w:rsidRPr="00940515" w:rsidRDefault="009B5E39" w:rsidP="009B5E39">
      <w:pPr>
        <w:ind w:left="284" w:right="283"/>
        <w:rPr>
          <w:rFonts w:ascii="Gotham" w:hAnsi="Gotham" w:cs="Arial"/>
          <w:b/>
          <w:sz w:val="19"/>
          <w:szCs w:val="19"/>
        </w:rPr>
      </w:pPr>
    </w:p>
    <w:p w14:paraId="3A475A99"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103 </w:t>
      </w:r>
      <w:r w:rsidRPr="00940515">
        <w:rPr>
          <w:rFonts w:ascii="Gotham" w:hAnsi="Gotham" w:cs="Arial"/>
          <w:sz w:val="19"/>
          <w:szCs w:val="19"/>
        </w:rPr>
        <w:t xml:space="preserve">Los lugares exclusivos en vía pública se clasifican de la siguiente manera: </w:t>
      </w:r>
    </w:p>
    <w:p w14:paraId="3A475A9A" w14:textId="77777777" w:rsidR="009B5E39" w:rsidRPr="00940515" w:rsidRDefault="009B5E39" w:rsidP="009B5E39">
      <w:pPr>
        <w:ind w:left="284" w:right="283"/>
        <w:jc w:val="both"/>
        <w:rPr>
          <w:rFonts w:ascii="Gotham" w:hAnsi="Gotham" w:cs="Arial"/>
          <w:sz w:val="19"/>
          <w:szCs w:val="19"/>
        </w:rPr>
      </w:pPr>
    </w:p>
    <w:p w14:paraId="3A475A9B"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Incluyentes, para personas con alguna discapacidad; </w:t>
      </w:r>
    </w:p>
    <w:p w14:paraId="3A475A9C"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Para carga y descarga; </w:t>
      </w:r>
    </w:p>
    <w:p w14:paraId="3A475A9D"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 xml:space="preserve">Para ciclopuertos; </w:t>
      </w:r>
    </w:p>
    <w:p w14:paraId="3A475A9E"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 xml:space="preserve">Para vehículos de emergencia; </w:t>
      </w:r>
    </w:p>
    <w:p w14:paraId="3A475A9F"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 xml:space="preserve">Para ascenso y descenso de pasaje: </w:t>
      </w:r>
    </w:p>
    <w:p w14:paraId="3A475AA0"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 xml:space="preserve">Eventuales; </w:t>
      </w:r>
    </w:p>
    <w:p w14:paraId="3A475AA1"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 xml:space="preserve">Habitacionales; </w:t>
      </w:r>
    </w:p>
    <w:p w14:paraId="3A475AA2"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 xml:space="preserve">Comerciales; </w:t>
      </w:r>
    </w:p>
    <w:p w14:paraId="3A475AA3" w14:textId="77777777" w:rsidR="009B5E39" w:rsidRPr="00940515" w:rsidRDefault="009B5E39" w:rsidP="009B5E39">
      <w:pPr>
        <w:spacing w:after="80"/>
        <w:ind w:left="1134" w:right="283" w:hanging="850"/>
        <w:jc w:val="both"/>
        <w:rPr>
          <w:rFonts w:ascii="Gotham" w:hAnsi="Gotham" w:cs="Arial"/>
          <w:sz w:val="19"/>
          <w:szCs w:val="19"/>
        </w:rPr>
      </w:pPr>
      <w:r w:rsidRPr="00940515">
        <w:rPr>
          <w:rFonts w:ascii="Gotham" w:hAnsi="Gotham" w:cs="Arial"/>
          <w:sz w:val="19"/>
          <w:szCs w:val="19"/>
        </w:rPr>
        <w:t xml:space="preserve">IX. </w:t>
      </w:r>
      <w:r>
        <w:rPr>
          <w:rFonts w:ascii="Gotham" w:hAnsi="Gotham" w:cs="Arial"/>
          <w:sz w:val="19"/>
          <w:szCs w:val="19"/>
        </w:rPr>
        <w:tab/>
      </w:r>
      <w:r w:rsidRPr="00940515">
        <w:rPr>
          <w:rFonts w:ascii="Gotham" w:hAnsi="Gotham" w:cs="Arial"/>
          <w:sz w:val="19"/>
          <w:szCs w:val="19"/>
        </w:rPr>
        <w:t xml:space="preserve">Para sitios de taxi; y </w:t>
      </w:r>
    </w:p>
    <w:p w14:paraId="3A475AA4"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X. </w:t>
      </w:r>
      <w:r>
        <w:rPr>
          <w:rFonts w:ascii="Gotham" w:hAnsi="Gotham" w:cs="Arial"/>
          <w:sz w:val="19"/>
          <w:szCs w:val="19"/>
        </w:rPr>
        <w:tab/>
      </w:r>
      <w:r w:rsidRPr="00940515">
        <w:rPr>
          <w:rFonts w:ascii="Gotham" w:hAnsi="Gotham" w:cs="Arial"/>
          <w:sz w:val="19"/>
          <w:szCs w:val="19"/>
        </w:rPr>
        <w:t>Para motopuertos</w:t>
      </w:r>
    </w:p>
    <w:p w14:paraId="3A475AA5" w14:textId="77777777" w:rsidR="009B5E39" w:rsidRPr="00940515" w:rsidRDefault="009B5E39" w:rsidP="009B5E39">
      <w:pPr>
        <w:ind w:left="284" w:right="283"/>
        <w:jc w:val="both"/>
        <w:rPr>
          <w:rFonts w:ascii="Gotham" w:hAnsi="Gotham" w:cs="Arial"/>
          <w:sz w:val="19"/>
          <w:szCs w:val="19"/>
        </w:rPr>
      </w:pPr>
    </w:p>
    <w:p w14:paraId="3A475AA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Para el caso de los lugares exclusivos en la vía pública para vehículos de emergencia y para ascenso y descenso de pasaje, solamente podrán ser determinados por la Dirección, de acuerdo a proyectos o instrumentos técnicos aplicables.</w:t>
      </w:r>
    </w:p>
    <w:p w14:paraId="3A475AA7" w14:textId="77777777" w:rsidR="009B5E39" w:rsidRPr="00940515" w:rsidRDefault="009B5E39" w:rsidP="009B5E39">
      <w:pPr>
        <w:ind w:left="284" w:right="283"/>
        <w:jc w:val="both"/>
        <w:rPr>
          <w:rFonts w:ascii="Gotham" w:hAnsi="Gotham" w:cs="Arial"/>
          <w:b/>
          <w:sz w:val="19"/>
          <w:szCs w:val="19"/>
          <w:highlight w:val="cyan"/>
        </w:rPr>
      </w:pPr>
    </w:p>
    <w:p w14:paraId="3A475AA8"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Artículo 104. Las autorizaciones para lugares de estacionamiento exclusivo en vía pública son:</w:t>
      </w:r>
    </w:p>
    <w:p w14:paraId="3A475AA9" w14:textId="77777777" w:rsidR="009B5E39" w:rsidRPr="00940515" w:rsidRDefault="009B5E39" w:rsidP="009B5E39">
      <w:pPr>
        <w:ind w:left="284" w:right="283"/>
        <w:jc w:val="both"/>
        <w:rPr>
          <w:rFonts w:ascii="Gotham" w:hAnsi="Gotham" w:cs="Arial"/>
          <w:b/>
          <w:sz w:val="19"/>
          <w:szCs w:val="19"/>
        </w:rPr>
      </w:pPr>
    </w:p>
    <w:p w14:paraId="3A475AAA"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Lugares para las instituciones de emergencia; tales como hospitales, bomberos, policía, sub estaciones de luz eléctrica y equipamiento urbano especial;</w:t>
      </w:r>
    </w:p>
    <w:p w14:paraId="3A475AA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Cuando las dimensiones de la calle no lo permitan, o se afecte la vialidad; y </w:t>
      </w:r>
    </w:p>
    <w:p w14:paraId="3A475AAC" w14:textId="77777777" w:rsidR="009B5E39" w:rsidRPr="00940515" w:rsidRDefault="009B5E39" w:rsidP="009B5E39">
      <w:pPr>
        <w:ind w:left="1134" w:right="283" w:hanging="850"/>
        <w:jc w:val="both"/>
        <w:rPr>
          <w:rFonts w:ascii="Gotham" w:hAnsi="Gotham" w:cs="Arial"/>
          <w:b/>
          <w:sz w:val="19"/>
          <w:szCs w:val="19"/>
          <w:highlight w:val="cyan"/>
        </w:rPr>
      </w:pPr>
      <w:r w:rsidRPr="00940515">
        <w:rPr>
          <w:rFonts w:ascii="Gotham" w:hAnsi="Gotham" w:cs="Arial"/>
          <w:sz w:val="19"/>
          <w:szCs w:val="19"/>
        </w:rPr>
        <w:lastRenderedPageBreak/>
        <w:t>III.</w:t>
      </w:r>
      <w:r w:rsidRPr="00940515">
        <w:rPr>
          <w:rFonts w:ascii="Gotham" w:hAnsi="Gotham" w:cs="Arial"/>
          <w:sz w:val="19"/>
          <w:szCs w:val="19"/>
        </w:rPr>
        <w:tab/>
        <w:t>Cuando el lugar de estacionamiento exclusivo pretenda instalarse frente a un parque, jardín o plaza pública a menos que sea determinado por la Dirección, de acuerdo a proyectos o instrumentos técnicos aplicables para vehículos de emergencia, ascenso y descenso de pasaje y para personas con discapacidad.</w:t>
      </w:r>
    </w:p>
    <w:p w14:paraId="3A475AAD" w14:textId="77777777" w:rsidR="009B5E39" w:rsidRPr="00940515" w:rsidRDefault="009B5E39" w:rsidP="009B5E39">
      <w:pPr>
        <w:ind w:left="284" w:right="283"/>
        <w:jc w:val="both"/>
        <w:rPr>
          <w:rFonts w:ascii="Gotham" w:hAnsi="Gotham" w:cs="Arial"/>
          <w:b/>
          <w:sz w:val="19"/>
          <w:szCs w:val="19"/>
          <w:highlight w:val="cyan"/>
        </w:rPr>
      </w:pPr>
    </w:p>
    <w:p w14:paraId="3A475AAE"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105. </w:t>
      </w:r>
      <w:r w:rsidRPr="00940515">
        <w:rPr>
          <w:rFonts w:ascii="Gotham" w:hAnsi="Gotham" w:cs="Arial"/>
          <w:sz w:val="19"/>
          <w:szCs w:val="19"/>
        </w:rPr>
        <w:t xml:space="preserve">Previo a la emisión de una autorización de exclusividad, la Dirección, evaluará conforme al tipo de exclusivo solicitado, la afectación que pueda sufrir el tránsito vehicular, así como el impacto social que pueda ocurrir en la zona. En caso de determinar que por su localización no puede autorizarse el espacio exclusivo, deberá informar fundada y motivadamente al promovente. </w:t>
      </w:r>
    </w:p>
    <w:p w14:paraId="3A475AAF" w14:textId="77777777" w:rsidR="009B5E39" w:rsidRPr="00940515" w:rsidRDefault="009B5E39" w:rsidP="009B5E39">
      <w:pPr>
        <w:ind w:left="284" w:right="283"/>
        <w:jc w:val="both"/>
        <w:rPr>
          <w:rFonts w:ascii="Gotham" w:hAnsi="Gotham" w:cs="Arial"/>
          <w:sz w:val="19"/>
          <w:szCs w:val="19"/>
        </w:rPr>
      </w:pPr>
    </w:p>
    <w:p w14:paraId="3A475AB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106.</w:t>
      </w:r>
      <w:r w:rsidRPr="00940515">
        <w:rPr>
          <w:rFonts w:ascii="Gotham" w:hAnsi="Gotham" w:cs="Arial"/>
          <w:sz w:val="19"/>
          <w:szCs w:val="19"/>
        </w:rPr>
        <w:t xml:space="preserve"> Los lugares exclusivos en vía pública podrán ser determinados de oficio o a solicitud de parte. Se podrá autorizar de oficio cajones exclusivos para personas con discapacidad en los lugares que para ello determine y solicitar a la instancia correspondiente que queden exentos del pago correspondiente, previo dictamen emitido.</w:t>
      </w:r>
    </w:p>
    <w:p w14:paraId="3A475AB1" w14:textId="77777777" w:rsidR="009B5E39" w:rsidRPr="00940515" w:rsidRDefault="009B5E39" w:rsidP="009B5E39">
      <w:pPr>
        <w:ind w:left="284" w:right="283"/>
        <w:jc w:val="both"/>
        <w:rPr>
          <w:rFonts w:ascii="Gotham" w:hAnsi="Gotham" w:cs="Arial"/>
          <w:sz w:val="19"/>
          <w:szCs w:val="19"/>
        </w:rPr>
      </w:pPr>
    </w:p>
    <w:p w14:paraId="3A475AB2"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107. </w:t>
      </w:r>
      <w:r w:rsidRPr="00940515">
        <w:rPr>
          <w:rFonts w:ascii="Gotham" w:hAnsi="Gotham" w:cs="Arial"/>
          <w:sz w:val="19"/>
          <w:szCs w:val="19"/>
        </w:rPr>
        <w:t>La autorización del estacionamiento deberá ser renovada al vencimiento estipulado en el oficio de autorización, a fin de que la autoridad constate que las condiciones de la vía no hayan cambiado y de que el promovente ha cumplido con los pagos correspondientes dispuestos por la Ley de Ingresos del Municipio de Tonalá, Jalisco. Es obligación del solicitante acudir previo a la fecha de vencimiento para la renovación o la cancelación del espacio exclusivo.</w:t>
      </w:r>
    </w:p>
    <w:p w14:paraId="3A475AB3" w14:textId="77777777" w:rsidR="009B5E39" w:rsidRPr="00940515" w:rsidRDefault="009B5E39" w:rsidP="009B5E39">
      <w:pPr>
        <w:ind w:left="284" w:right="283"/>
        <w:jc w:val="both"/>
        <w:rPr>
          <w:rFonts w:ascii="Gotham" w:hAnsi="Gotham" w:cs="Arial"/>
          <w:b/>
          <w:sz w:val="19"/>
          <w:szCs w:val="19"/>
        </w:rPr>
      </w:pPr>
    </w:p>
    <w:p w14:paraId="3A475AB4"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 xml:space="preserve">Artículo 108. </w:t>
      </w:r>
      <w:r w:rsidRPr="00940515">
        <w:rPr>
          <w:rFonts w:ascii="Gotham" w:hAnsi="Gotham" w:cs="Arial"/>
          <w:sz w:val="19"/>
          <w:szCs w:val="19"/>
        </w:rPr>
        <w:t>En caso de que el solicitante no cumpla con el pago de los derechos del estacionamiento exclusivo, será acreedor desde el día siguiente a que incurrió en la falta de pago, a la sanción correspondiente. Deberá solicitar ante la instancia correspondiente o jefatura de estacionamiento la cancelación en caso que no pretenda continuar utilizando el espacio.</w:t>
      </w:r>
    </w:p>
    <w:p w14:paraId="3A475AB5" w14:textId="77777777" w:rsidR="009B5E39" w:rsidRPr="00940515" w:rsidRDefault="009B5E39" w:rsidP="009B5E39">
      <w:pPr>
        <w:ind w:left="284" w:right="283"/>
        <w:jc w:val="both"/>
        <w:rPr>
          <w:rFonts w:ascii="Gotham" w:hAnsi="Gotham" w:cs="Arial"/>
          <w:b/>
          <w:sz w:val="19"/>
          <w:szCs w:val="19"/>
        </w:rPr>
      </w:pPr>
    </w:p>
    <w:p w14:paraId="3A475AB6"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 xml:space="preserve">Artículo 109. </w:t>
      </w:r>
      <w:r w:rsidRPr="00940515">
        <w:rPr>
          <w:rFonts w:ascii="Gotham" w:hAnsi="Gotham" w:cs="Arial"/>
          <w:sz w:val="19"/>
          <w:szCs w:val="19"/>
        </w:rPr>
        <w:t>En caso de que la fecha de vencimiento haya llegado a su fin y el espacio siga señalizado como exclusivo, el solicitante será acreedor a las sanciones correspondientes y se le fincará el costo del desbalizamiento por parte de la autoridad</w:t>
      </w:r>
      <w:r w:rsidRPr="00940515">
        <w:rPr>
          <w:rFonts w:ascii="Gotham" w:hAnsi="Gotham" w:cs="Arial"/>
          <w:b/>
          <w:sz w:val="19"/>
          <w:szCs w:val="19"/>
        </w:rPr>
        <w:t>.</w:t>
      </w:r>
    </w:p>
    <w:p w14:paraId="3A475AB7" w14:textId="77777777" w:rsidR="009B5E39" w:rsidRPr="00940515" w:rsidRDefault="009B5E39" w:rsidP="009B5E39">
      <w:pPr>
        <w:ind w:left="284" w:right="283"/>
        <w:jc w:val="both"/>
        <w:rPr>
          <w:rFonts w:ascii="Gotham" w:hAnsi="Gotham" w:cs="Arial"/>
          <w:b/>
          <w:sz w:val="19"/>
          <w:szCs w:val="19"/>
        </w:rPr>
      </w:pPr>
    </w:p>
    <w:p w14:paraId="3A475AB8"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 xml:space="preserve">Artículo 110. </w:t>
      </w:r>
      <w:r w:rsidRPr="00940515">
        <w:rPr>
          <w:rFonts w:ascii="Gotham" w:hAnsi="Gotham" w:cs="Arial"/>
          <w:sz w:val="19"/>
          <w:szCs w:val="19"/>
        </w:rPr>
        <w:t>La cancelación surtirá efectos a partir de la presentación del escrito correspondiente</w:t>
      </w:r>
    </w:p>
    <w:p w14:paraId="3A475AB9" w14:textId="77777777" w:rsidR="009B5E39" w:rsidRPr="00940515" w:rsidRDefault="009B5E39" w:rsidP="009B5E39">
      <w:pPr>
        <w:ind w:left="284" w:right="283"/>
        <w:jc w:val="both"/>
        <w:rPr>
          <w:rFonts w:ascii="Gotham" w:hAnsi="Gotham" w:cs="Arial"/>
          <w:b/>
          <w:sz w:val="19"/>
          <w:szCs w:val="19"/>
        </w:rPr>
      </w:pPr>
    </w:p>
    <w:p w14:paraId="3A475ABA"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 xml:space="preserve">Artículo 111. </w:t>
      </w:r>
      <w:r w:rsidRPr="00940515">
        <w:rPr>
          <w:rFonts w:ascii="Gotham" w:hAnsi="Gotham" w:cs="Arial"/>
          <w:sz w:val="19"/>
          <w:szCs w:val="19"/>
        </w:rPr>
        <w:t>La señalización o el balizamiento respectivo, podrá ser realizado por personal de la autoridad competente mediante el pago correspondiente, o bien la podrá llevar a cabo el particular por su cuenta, siempre y cuando lo realice bajo los lineamientos que se le determine.</w:t>
      </w:r>
    </w:p>
    <w:p w14:paraId="3A475ABB" w14:textId="77777777" w:rsidR="009B5E39" w:rsidRPr="00940515" w:rsidRDefault="009B5E39" w:rsidP="009B5E39">
      <w:pPr>
        <w:ind w:left="284" w:right="283"/>
        <w:jc w:val="both"/>
        <w:rPr>
          <w:rFonts w:ascii="Gotham" w:hAnsi="Gotham" w:cs="Arial"/>
          <w:b/>
          <w:sz w:val="19"/>
          <w:szCs w:val="19"/>
        </w:rPr>
      </w:pPr>
    </w:p>
    <w:p w14:paraId="3A475ABC"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Artículo 112</w:t>
      </w:r>
      <w:r w:rsidRPr="00940515">
        <w:rPr>
          <w:rFonts w:ascii="Gotham" w:hAnsi="Gotham" w:cs="Arial"/>
          <w:sz w:val="19"/>
          <w:szCs w:val="19"/>
        </w:rPr>
        <w:t>. La autorización de estacionamiento exclusivo podrá en cualquier momento ser cancelada por la autoridad municipal, ya sea por reordenamiento en la circulación vehicular, por obras de interés público o por falta de pago de los derechos de exclusividad o las que la Autoridad Municipal estime procedentes, en cuyo caso lo deberá hacer del conocimiento del autorizado cuando menos con 48 horas de anticipación y reembolsando las cantidades que hayan sido cubiertas y no ejercidas.</w:t>
      </w:r>
    </w:p>
    <w:p w14:paraId="3A475ABD" w14:textId="77777777" w:rsidR="009B5E39" w:rsidRPr="00940515" w:rsidRDefault="009B5E39" w:rsidP="009B5E39">
      <w:pPr>
        <w:ind w:left="284" w:right="283"/>
        <w:jc w:val="both"/>
        <w:rPr>
          <w:rFonts w:ascii="Gotham" w:hAnsi="Gotham" w:cs="Arial"/>
          <w:b/>
          <w:sz w:val="19"/>
          <w:szCs w:val="19"/>
        </w:rPr>
      </w:pPr>
    </w:p>
    <w:p w14:paraId="3A475ABE"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 xml:space="preserve">Artículo 113. </w:t>
      </w:r>
      <w:r w:rsidRPr="00940515">
        <w:rPr>
          <w:rFonts w:ascii="Gotham" w:hAnsi="Gotham" w:cs="Arial"/>
          <w:sz w:val="19"/>
          <w:szCs w:val="19"/>
        </w:rPr>
        <w:t>Solo se podrá autorizar un espacio como estacionamiento exclusivo en vía pública por los metros que establecen las normas relativas a los cajones de estacionamiento, siempre y cuando no superen los metros lineales de frente que tenga la propiedad frente a la cual se solicite el exclusivo.</w:t>
      </w:r>
    </w:p>
    <w:p w14:paraId="3A475ABF" w14:textId="77777777" w:rsidR="009B5E39" w:rsidRPr="00940515" w:rsidRDefault="009B5E39" w:rsidP="009B5E39">
      <w:pPr>
        <w:ind w:left="284" w:right="283"/>
        <w:jc w:val="both"/>
        <w:rPr>
          <w:rFonts w:ascii="Gotham" w:hAnsi="Gotham" w:cs="Arial"/>
          <w:b/>
          <w:sz w:val="19"/>
          <w:szCs w:val="19"/>
        </w:rPr>
      </w:pPr>
    </w:p>
    <w:p w14:paraId="3A475AC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114. </w:t>
      </w:r>
      <w:r w:rsidRPr="00940515">
        <w:rPr>
          <w:rFonts w:ascii="Gotham" w:hAnsi="Gotham" w:cs="Arial"/>
          <w:sz w:val="19"/>
          <w:szCs w:val="19"/>
        </w:rPr>
        <w:t xml:space="preserve">La Dirección, es la encargada de recibir, analizar y, en su caso, autorizar las solicitudes de estacionamientos exclusivos en vía pública, previa solicitud del propietario del inmueble o de su representante legal cumpliendo con los siguientes requisitos: </w:t>
      </w:r>
    </w:p>
    <w:p w14:paraId="3A475AC1" w14:textId="77777777" w:rsidR="009B5E39" w:rsidRPr="00940515" w:rsidRDefault="009B5E39" w:rsidP="009B5E39">
      <w:pPr>
        <w:ind w:left="284" w:right="283"/>
        <w:rPr>
          <w:rFonts w:ascii="Gotham" w:hAnsi="Gotham" w:cs="Arial"/>
          <w:sz w:val="19"/>
          <w:szCs w:val="19"/>
        </w:rPr>
      </w:pPr>
    </w:p>
    <w:p w14:paraId="3A475AC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Llenar la solicitud en formato oficial; </w:t>
      </w:r>
    </w:p>
    <w:p w14:paraId="3A475AC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Identificación oficial vigente del solicitante; </w:t>
      </w:r>
    </w:p>
    <w:p w14:paraId="3A475AC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 xml:space="preserve">Identificación oficial vigente del propietario del inmueble, en caso de ser persona distinta al solicitante; </w:t>
      </w:r>
    </w:p>
    <w:p w14:paraId="3A475AC5"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lastRenderedPageBreak/>
        <w:t xml:space="preserve">IV. </w:t>
      </w:r>
      <w:r>
        <w:rPr>
          <w:rFonts w:ascii="Gotham" w:hAnsi="Gotham" w:cs="Arial"/>
          <w:sz w:val="19"/>
          <w:szCs w:val="19"/>
        </w:rPr>
        <w:tab/>
      </w:r>
      <w:r w:rsidRPr="00940515">
        <w:rPr>
          <w:rFonts w:ascii="Gotham" w:hAnsi="Gotham" w:cs="Arial"/>
          <w:sz w:val="19"/>
          <w:szCs w:val="19"/>
        </w:rPr>
        <w:t xml:space="preserve">Comprobante de domicilio del inmueble donde se solicita el exclusivo; </w:t>
      </w:r>
    </w:p>
    <w:p w14:paraId="3A475AC6"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 xml:space="preserve">Copia del contrato que otorga la posesión o el título de propiedad; </w:t>
      </w:r>
    </w:p>
    <w:p w14:paraId="3A475AC7"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 xml:space="preserve">Carta responsiva en la que el propietario del inmueble autoriza al promovente a solicitar la autorización; </w:t>
      </w:r>
    </w:p>
    <w:p w14:paraId="3A475AC8"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 xml:space="preserve">Croquis de ubicación y fotografías del predio y del lugar donde se solicita el exclusivo con las medidas correspondientes; y </w:t>
      </w:r>
    </w:p>
    <w:p w14:paraId="3A475AC9"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Autorización de la autoridad a fin de determinar la viabilidad y factibilidad de la autorización.</w:t>
      </w:r>
    </w:p>
    <w:p w14:paraId="3A475ACA" w14:textId="77777777" w:rsidR="009B5E39" w:rsidRPr="00940515" w:rsidRDefault="009B5E39" w:rsidP="009B5E39">
      <w:pPr>
        <w:ind w:left="284" w:right="283"/>
        <w:rPr>
          <w:rFonts w:ascii="Gotham" w:hAnsi="Gotham" w:cs="Arial"/>
          <w:b/>
          <w:sz w:val="19"/>
          <w:szCs w:val="19"/>
        </w:rPr>
      </w:pPr>
    </w:p>
    <w:p w14:paraId="3A475ACB"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 xml:space="preserve">Artículo 115. </w:t>
      </w:r>
      <w:r w:rsidRPr="00940515">
        <w:rPr>
          <w:rFonts w:ascii="Gotham" w:hAnsi="Gotham" w:cs="Arial"/>
          <w:sz w:val="19"/>
          <w:szCs w:val="19"/>
        </w:rPr>
        <w:t>En el caso de la autorización a solicitud de un particular para lugar exclusivo para personas con discapacidad, el solicitante deberá entregar copia de la credencial para personas con discapacidad expedida por una institución pública.</w:t>
      </w:r>
    </w:p>
    <w:p w14:paraId="3A475ACC" w14:textId="77777777" w:rsidR="009B5E39" w:rsidRPr="00940515" w:rsidRDefault="009B5E39" w:rsidP="009B5E39">
      <w:pPr>
        <w:ind w:left="284" w:right="283"/>
        <w:jc w:val="both"/>
        <w:rPr>
          <w:rFonts w:ascii="Gotham" w:hAnsi="Gotham" w:cs="Arial"/>
          <w:b/>
          <w:sz w:val="19"/>
          <w:szCs w:val="19"/>
        </w:rPr>
      </w:pPr>
    </w:p>
    <w:p w14:paraId="3A475ACD"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 xml:space="preserve">Artículo 116. </w:t>
      </w:r>
      <w:r w:rsidRPr="00940515">
        <w:rPr>
          <w:rFonts w:ascii="Gotham" w:hAnsi="Gotham" w:cs="Arial"/>
          <w:sz w:val="19"/>
          <w:szCs w:val="19"/>
        </w:rPr>
        <w:t>Para el caso de los lugares exclusivos eventuales deberá presentar, además de los requisitos antes mencionados, la temporalidad, los horarios a utilizarse y justificar su necesidad de uso.</w:t>
      </w:r>
    </w:p>
    <w:p w14:paraId="3A475ACE" w14:textId="77777777" w:rsidR="009B5E39" w:rsidRPr="00940515" w:rsidRDefault="009B5E39" w:rsidP="009B5E39">
      <w:pPr>
        <w:ind w:left="284" w:right="283"/>
        <w:jc w:val="both"/>
        <w:rPr>
          <w:rFonts w:ascii="Gotham" w:hAnsi="Gotham" w:cs="Arial"/>
          <w:b/>
          <w:sz w:val="19"/>
          <w:szCs w:val="19"/>
        </w:rPr>
      </w:pPr>
    </w:p>
    <w:p w14:paraId="3A475ACF"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117</w:t>
      </w:r>
      <w:r w:rsidRPr="00940515">
        <w:rPr>
          <w:rFonts w:ascii="Gotham" w:hAnsi="Gotham" w:cs="Arial"/>
          <w:sz w:val="19"/>
          <w:szCs w:val="19"/>
        </w:rPr>
        <w:t xml:space="preserve">. Para el caso de la autorización de cajones de estacionamiento exclusivos para la instalación de bases de taxis, se deberá presentar los siguientes requisitos: </w:t>
      </w:r>
    </w:p>
    <w:p w14:paraId="3A475AD0" w14:textId="77777777" w:rsidR="009B5E39" w:rsidRPr="00940515" w:rsidRDefault="009B5E39" w:rsidP="009B5E39">
      <w:pPr>
        <w:ind w:left="284" w:right="283"/>
        <w:jc w:val="both"/>
        <w:rPr>
          <w:rFonts w:ascii="Gotham" w:hAnsi="Gotham" w:cs="Arial"/>
          <w:sz w:val="19"/>
          <w:szCs w:val="19"/>
        </w:rPr>
      </w:pPr>
    </w:p>
    <w:p w14:paraId="3A475AD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Llenar la solicitud en el formato oficial; </w:t>
      </w:r>
    </w:p>
    <w:p w14:paraId="3A475AD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Croquis de localización del lugar donde pretenden obtener autorización;</w:t>
      </w:r>
    </w:p>
    <w:p w14:paraId="3A475AD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Concesiones vigentes de los vehículos solicitantes liberadas por la Autoridad de Movilidad competente;</w:t>
      </w:r>
    </w:p>
    <w:p w14:paraId="3A475AD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Tarjeta de circulación vigente de cada vehículo;</w:t>
      </w:r>
    </w:p>
    <w:p w14:paraId="3A475AD5"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Póliza de seguro vigente de cada vehículo;</w:t>
      </w:r>
    </w:p>
    <w:p w14:paraId="3A475AD6"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Licencia de conductor de servicio público C3;</w:t>
      </w:r>
    </w:p>
    <w:p w14:paraId="3A475AD7"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Carta de conformidad de los vecinos, con no más de dos meses de antigüedad;</w:t>
      </w:r>
    </w:p>
    <w:p w14:paraId="3A475AD8"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Carta de autorización de propietarios del lugar donde se pretende ubicar el exclusivo;</w:t>
      </w:r>
    </w:p>
    <w:p w14:paraId="3A475AD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Aprobar la verificación de factibilidad; y</w:t>
      </w:r>
    </w:p>
    <w:p w14:paraId="3A475ADA"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IX </w:t>
      </w:r>
      <w:r>
        <w:rPr>
          <w:rFonts w:ascii="Gotham" w:hAnsi="Gotham" w:cs="Arial"/>
          <w:sz w:val="19"/>
          <w:szCs w:val="19"/>
        </w:rPr>
        <w:tab/>
      </w:r>
      <w:r w:rsidRPr="00940515">
        <w:rPr>
          <w:rFonts w:ascii="Gotham" w:hAnsi="Gotham" w:cs="Arial"/>
          <w:sz w:val="19"/>
          <w:szCs w:val="19"/>
        </w:rPr>
        <w:t>Realizar el pago de los derechos correspondientes.</w:t>
      </w:r>
    </w:p>
    <w:p w14:paraId="3A475ADB" w14:textId="77777777" w:rsidR="009B5E39" w:rsidRPr="00940515" w:rsidRDefault="009B5E39" w:rsidP="009B5E39">
      <w:pPr>
        <w:ind w:left="284" w:right="283"/>
        <w:rPr>
          <w:rFonts w:ascii="Gotham" w:hAnsi="Gotham" w:cs="Arial"/>
          <w:sz w:val="19"/>
          <w:szCs w:val="19"/>
        </w:rPr>
      </w:pPr>
    </w:p>
    <w:p w14:paraId="3A475ADC"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118.</w:t>
      </w:r>
      <w:r w:rsidR="007C2F8D">
        <w:rPr>
          <w:rFonts w:ascii="Gotham" w:hAnsi="Gotham" w:cs="Arial"/>
          <w:b/>
          <w:sz w:val="19"/>
          <w:szCs w:val="19"/>
        </w:rPr>
        <w:t xml:space="preserve"> </w:t>
      </w:r>
      <w:r w:rsidRPr="00940515">
        <w:rPr>
          <w:rFonts w:ascii="Gotham" w:hAnsi="Gotham" w:cs="Arial"/>
          <w:sz w:val="19"/>
          <w:szCs w:val="19"/>
        </w:rPr>
        <w:t>Las entidades públicas o privadas para poder prestar el servicio de sistema de bicicleta y/o transporte individual en red en el Municipio, en cualquiera de sus modalidades.</w:t>
      </w:r>
    </w:p>
    <w:p w14:paraId="3A475ADD" w14:textId="77777777" w:rsidR="009B5E39" w:rsidRPr="00940515" w:rsidRDefault="009B5E39" w:rsidP="009B5E39">
      <w:pPr>
        <w:ind w:left="284" w:right="283"/>
        <w:jc w:val="both"/>
        <w:rPr>
          <w:rFonts w:ascii="Gotham" w:hAnsi="Gotham" w:cs="Arial"/>
          <w:sz w:val="19"/>
          <w:szCs w:val="19"/>
        </w:rPr>
      </w:pPr>
    </w:p>
    <w:p w14:paraId="3A475AD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1. </w:t>
      </w:r>
      <w:r>
        <w:rPr>
          <w:rFonts w:ascii="Gotham" w:hAnsi="Gotham" w:cs="Arial"/>
          <w:sz w:val="19"/>
          <w:szCs w:val="19"/>
        </w:rPr>
        <w:tab/>
      </w:r>
      <w:r w:rsidRPr="00940515">
        <w:rPr>
          <w:rFonts w:ascii="Gotham" w:hAnsi="Gotham" w:cs="Arial"/>
          <w:sz w:val="19"/>
          <w:szCs w:val="19"/>
        </w:rPr>
        <w:t>El promoverte deberán cumplir con lo establecido en el presente reglamento, normas técnicas y demás legislación aplicable, así como los siguientes requisitos:</w:t>
      </w:r>
    </w:p>
    <w:p w14:paraId="3A475ADF"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Solicitud del permiso para operar el servicio en el Municipio;</w:t>
      </w:r>
    </w:p>
    <w:p w14:paraId="3A475AE0"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Recibo del pago de los derechos correspondientes al Dictamen de Movilidad no Motorizada; y</w:t>
      </w:r>
    </w:p>
    <w:p w14:paraId="3A475AE1"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Proyecto que incluya por lo menos:</w:t>
      </w:r>
    </w:p>
    <w:p w14:paraId="3A475AE2" w14:textId="77777777" w:rsidR="009B5E39" w:rsidRPr="00940515" w:rsidRDefault="009B5E39" w:rsidP="009B5E39">
      <w:pPr>
        <w:spacing w:after="120"/>
        <w:ind w:left="2268"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Descripción de cómo el proyecto de inclusión de su sistema de bicicleta y/o transporte individual en red, contribuye a la integralidad del sistema de transporte del Área Metropolitana de Guadalajara y en particular del Municipio de Tonalá, Jalisco;</w:t>
      </w:r>
    </w:p>
    <w:p w14:paraId="3A475AE3" w14:textId="77777777" w:rsidR="009B5E39" w:rsidRPr="00940515" w:rsidRDefault="009B5E39" w:rsidP="009B5E39">
      <w:pPr>
        <w:spacing w:after="120"/>
        <w:ind w:left="1701" w:right="283" w:hanging="567"/>
        <w:jc w:val="both"/>
        <w:rPr>
          <w:rFonts w:ascii="Gotham" w:hAnsi="Gotham" w:cs="Arial"/>
          <w:sz w:val="19"/>
          <w:szCs w:val="19"/>
        </w:rPr>
      </w:pPr>
      <w:r w:rsidRPr="003D1DA7">
        <w:rPr>
          <w:rFonts w:ascii="Gotham" w:hAnsi="Gotham" w:cs="Arial"/>
          <w:sz w:val="19"/>
          <w:szCs w:val="19"/>
        </w:rPr>
        <w:lastRenderedPageBreak/>
        <w:t xml:space="preserve">IV. </w:t>
      </w:r>
      <w:r w:rsidRPr="003D1DA7">
        <w:rPr>
          <w:rFonts w:ascii="Gotham" w:hAnsi="Gotham" w:cs="Arial"/>
          <w:sz w:val="19"/>
          <w:szCs w:val="19"/>
        </w:rPr>
        <w:tab/>
        <w:t>Informe</w:t>
      </w:r>
      <w:r w:rsidRPr="00940515">
        <w:rPr>
          <w:rFonts w:ascii="Gotham" w:hAnsi="Gotham" w:cs="Arial"/>
          <w:sz w:val="19"/>
          <w:szCs w:val="19"/>
        </w:rPr>
        <w:t xml:space="preserve"> respecto de las características físicas y técnicas de las bicicletas o vehículos de transporte individual en red que utilizará para prestar sus servicios, así como un ejemplar físico de los mismos para cotejar lo manifestado;</w:t>
      </w:r>
    </w:p>
    <w:p w14:paraId="3A475AE4" w14:textId="77777777" w:rsidR="009B5E39" w:rsidRPr="00940515" w:rsidRDefault="009B5E39" w:rsidP="009B5E39">
      <w:pPr>
        <w:spacing w:after="120"/>
        <w:ind w:left="2268"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Propuesta de polígonos en los que desea prestar los servicios de bicicleta y/o transporte individual en red, así como el tamaño de la flota a operar en la misma;</w:t>
      </w:r>
    </w:p>
    <w:p w14:paraId="3A475AE5" w14:textId="77777777" w:rsidR="009B5E39" w:rsidRPr="00940515" w:rsidRDefault="009B5E39" w:rsidP="009B5E39">
      <w:pPr>
        <w:spacing w:after="120"/>
        <w:ind w:left="2268"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Descripción de infraestructura, estaciones de bicicleta y/o transporte individual en red, y señalética que ofrecerá la empresa o entidad pública;</w:t>
      </w:r>
    </w:p>
    <w:p w14:paraId="3A475AE6" w14:textId="77777777" w:rsidR="009B5E39" w:rsidRPr="00940515" w:rsidRDefault="009B5E39" w:rsidP="009B5E39">
      <w:pPr>
        <w:spacing w:after="120"/>
        <w:ind w:left="2268"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Descripción en su caso, de la aplicación móvil o plataforma tecnológica mediante el cual interaccionará la empresa con el usuario. Además de la descripción, deberá realizar una demostración de su funcionamiento a la Dirección;</w:t>
      </w:r>
    </w:p>
    <w:p w14:paraId="3A475AE7" w14:textId="77777777" w:rsidR="009B5E39" w:rsidRPr="00940515" w:rsidRDefault="009B5E39" w:rsidP="009B5E39">
      <w:pPr>
        <w:spacing w:after="120"/>
        <w:ind w:left="2268" w:right="283" w:hanging="567"/>
        <w:jc w:val="both"/>
        <w:rPr>
          <w:rFonts w:ascii="Gotham" w:hAnsi="Gotham" w:cs="Arial"/>
          <w:sz w:val="19"/>
          <w:szCs w:val="19"/>
        </w:rPr>
      </w:pPr>
      <w:r w:rsidRPr="00940515">
        <w:rPr>
          <w:rFonts w:ascii="Gotham" w:hAnsi="Gotham" w:cs="Arial"/>
          <w:sz w:val="19"/>
          <w:szCs w:val="19"/>
        </w:rPr>
        <w:t xml:space="preserve">d). </w:t>
      </w:r>
      <w:r>
        <w:rPr>
          <w:rFonts w:ascii="Gotham" w:hAnsi="Gotham" w:cs="Arial"/>
          <w:sz w:val="19"/>
          <w:szCs w:val="19"/>
        </w:rPr>
        <w:tab/>
      </w:r>
      <w:r w:rsidRPr="00940515">
        <w:rPr>
          <w:rFonts w:ascii="Gotham" w:hAnsi="Gotham" w:cs="Arial"/>
          <w:sz w:val="19"/>
          <w:szCs w:val="19"/>
        </w:rPr>
        <w:t>Sistema de identificación y localización que permita la ubicación en tiempo real de cada una de las bicicletas y/o vehículos de transporte individual;</w:t>
      </w:r>
    </w:p>
    <w:p w14:paraId="3A475AE8" w14:textId="77777777" w:rsidR="009B5E39" w:rsidRPr="00940515" w:rsidRDefault="009B5E39" w:rsidP="009B5E39">
      <w:pPr>
        <w:spacing w:after="120"/>
        <w:ind w:left="2268" w:right="283" w:hanging="567"/>
        <w:jc w:val="both"/>
        <w:rPr>
          <w:rFonts w:ascii="Gotham" w:hAnsi="Gotham" w:cs="Arial"/>
          <w:sz w:val="19"/>
          <w:szCs w:val="19"/>
        </w:rPr>
      </w:pPr>
      <w:r w:rsidRPr="00940515">
        <w:rPr>
          <w:rFonts w:ascii="Gotham" w:hAnsi="Gotham" w:cs="Arial"/>
          <w:sz w:val="19"/>
          <w:szCs w:val="19"/>
        </w:rPr>
        <w:t xml:space="preserve">e). </w:t>
      </w:r>
      <w:r>
        <w:rPr>
          <w:rFonts w:ascii="Gotham" w:hAnsi="Gotham" w:cs="Arial"/>
          <w:sz w:val="19"/>
          <w:szCs w:val="19"/>
        </w:rPr>
        <w:tab/>
      </w:r>
      <w:r w:rsidRPr="00940515">
        <w:rPr>
          <w:rFonts w:ascii="Gotham" w:hAnsi="Gotham" w:cs="Arial"/>
          <w:sz w:val="19"/>
          <w:szCs w:val="19"/>
        </w:rPr>
        <w:t>Tipo y coberturas de los seguros de responsabilidad civil, de gastos médicos y asesoría legal para usuarios en caso de accidente;</w:t>
      </w:r>
    </w:p>
    <w:p w14:paraId="3A475AE9" w14:textId="77777777" w:rsidR="009B5E39" w:rsidRPr="00940515" w:rsidRDefault="009B5E39" w:rsidP="009B5E39">
      <w:pPr>
        <w:spacing w:after="120"/>
        <w:ind w:left="2268" w:right="283" w:hanging="567"/>
        <w:jc w:val="both"/>
        <w:rPr>
          <w:rFonts w:ascii="Gotham" w:hAnsi="Gotham" w:cs="Arial"/>
          <w:sz w:val="19"/>
          <w:szCs w:val="19"/>
        </w:rPr>
      </w:pPr>
      <w:r w:rsidRPr="00940515">
        <w:rPr>
          <w:rFonts w:ascii="Gotham" w:hAnsi="Gotham" w:cs="Arial"/>
          <w:sz w:val="19"/>
          <w:szCs w:val="19"/>
        </w:rPr>
        <w:t xml:space="preserve">f). </w:t>
      </w:r>
      <w:r>
        <w:rPr>
          <w:rFonts w:ascii="Gotham" w:hAnsi="Gotham" w:cs="Arial"/>
          <w:sz w:val="19"/>
          <w:szCs w:val="19"/>
        </w:rPr>
        <w:tab/>
      </w:r>
      <w:r w:rsidRPr="00940515">
        <w:rPr>
          <w:rFonts w:ascii="Gotham" w:hAnsi="Gotham" w:cs="Arial"/>
          <w:sz w:val="19"/>
          <w:szCs w:val="19"/>
        </w:rPr>
        <w:t>Contrato tipo mediante el cual la entidad pública o privada prestará el servicio de bicicleta y/o transporte individual en red a los particulares, mismo que deberá estar validado por la autoridad competente y contenga cuando menos derechos, responsabilidades y sanciones a las que se sujetan los usuarios y prestadores del servicio; y</w:t>
      </w:r>
    </w:p>
    <w:p w14:paraId="3A475AEA" w14:textId="77777777" w:rsidR="009B5E39" w:rsidRPr="00940515" w:rsidRDefault="009B5E39" w:rsidP="009B5E39">
      <w:pPr>
        <w:spacing w:after="120"/>
        <w:ind w:left="2268" w:right="283" w:hanging="567"/>
        <w:jc w:val="both"/>
        <w:rPr>
          <w:rFonts w:ascii="Gotham" w:hAnsi="Gotham" w:cs="Arial"/>
          <w:sz w:val="19"/>
          <w:szCs w:val="19"/>
        </w:rPr>
      </w:pPr>
      <w:r w:rsidRPr="00940515">
        <w:rPr>
          <w:rFonts w:ascii="Gotham" w:hAnsi="Gotham" w:cs="Arial"/>
          <w:sz w:val="19"/>
          <w:szCs w:val="19"/>
        </w:rPr>
        <w:t xml:space="preserve">g). </w:t>
      </w:r>
      <w:r>
        <w:rPr>
          <w:rFonts w:ascii="Gotham" w:hAnsi="Gotham" w:cs="Arial"/>
          <w:sz w:val="19"/>
          <w:szCs w:val="19"/>
        </w:rPr>
        <w:tab/>
      </w:r>
      <w:r w:rsidRPr="00940515">
        <w:rPr>
          <w:rFonts w:ascii="Gotham" w:hAnsi="Gotham" w:cs="Arial"/>
          <w:sz w:val="19"/>
          <w:szCs w:val="19"/>
        </w:rPr>
        <w:t>En su caso, presentar documentación que demuestre su operación y resultados en otras ciudades.</w:t>
      </w:r>
    </w:p>
    <w:p w14:paraId="3A475AE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2. </w:t>
      </w:r>
      <w:r>
        <w:rPr>
          <w:rFonts w:ascii="Gotham" w:hAnsi="Gotham" w:cs="Arial"/>
          <w:sz w:val="19"/>
          <w:szCs w:val="19"/>
        </w:rPr>
        <w:tab/>
      </w:r>
      <w:r w:rsidRPr="00940515">
        <w:rPr>
          <w:rFonts w:ascii="Gotham" w:hAnsi="Gotham" w:cs="Arial"/>
          <w:sz w:val="19"/>
          <w:szCs w:val="19"/>
        </w:rPr>
        <w:t>Una vez recibida la solicitud, el proyecto y el recibo de pago, la Dirección tendrá un plazo de 30 treinta días naturales para emitir una resolución, la cual podrá ser:</w:t>
      </w:r>
    </w:p>
    <w:p w14:paraId="3A475AEC"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Procedente, en los términos en que se presentó el proyecto y la solicitud; o</w:t>
      </w:r>
    </w:p>
    <w:p w14:paraId="3A475AED" w14:textId="77777777" w:rsidR="009B5E39" w:rsidRPr="00940515" w:rsidRDefault="009B5E39" w:rsidP="009B5E39">
      <w:pPr>
        <w:spacing w:after="120"/>
        <w:ind w:left="1701" w:right="283" w:hanging="567"/>
        <w:jc w:val="both"/>
        <w:rPr>
          <w:rFonts w:ascii="Gotham" w:hAnsi="Gotham" w:cs="Arial"/>
          <w:sz w:val="19"/>
          <w:szCs w:val="19"/>
        </w:rPr>
      </w:pPr>
      <w:r>
        <w:rPr>
          <w:rFonts w:ascii="Gotham" w:hAnsi="Gotham" w:cs="Arial"/>
          <w:sz w:val="19"/>
          <w:szCs w:val="19"/>
        </w:rPr>
        <w:t>b)</w:t>
      </w:r>
      <w:r w:rsidRPr="00940515">
        <w:rPr>
          <w:rFonts w:ascii="Gotham" w:hAnsi="Gotham" w:cs="Arial"/>
          <w:sz w:val="19"/>
          <w:szCs w:val="19"/>
        </w:rPr>
        <w:t>.</w:t>
      </w:r>
      <w:r>
        <w:rPr>
          <w:rFonts w:ascii="Gotham" w:hAnsi="Gotham" w:cs="Arial"/>
          <w:sz w:val="19"/>
          <w:szCs w:val="19"/>
        </w:rPr>
        <w:tab/>
      </w:r>
      <w:r w:rsidRPr="00940515">
        <w:rPr>
          <w:rFonts w:ascii="Gotham" w:hAnsi="Gotham" w:cs="Arial"/>
          <w:sz w:val="19"/>
          <w:szCs w:val="19"/>
        </w:rPr>
        <w:t>Procedente condicionado, sujeta a que la empresa o entidad pública realice modificaciones al proyecto presentado, en los plazos que defina la Dirección; o</w:t>
      </w:r>
    </w:p>
    <w:p w14:paraId="3A475AEE"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No procedente, la cual deberá estar debidamente justificada.</w:t>
      </w:r>
    </w:p>
    <w:p w14:paraId="3A475AE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3. </w:t>
      </w:r>
      <w:r>
        <w:rPr>
          <w:rFonts w:ascii="Gotham" w:hAnsi="Gotham" w:cs="Arial"/>
          <w:sz w:val="19"/>
          <w:szCs w:val="19"/>
        </w:rPr>
        <w:tab/>
      </w:r>
      <w:r w:rsidRPr="00940515">
        <w:rPr>
          <w:rFonts w:ascii="Gotham" w:hAnsi="Gotham" w:cs="Arial"/>
          <w:sz w:val="19"/>
          <w:szCs w:val="19"/>
        </w:rPr>
        <w:t>Una vez que sea emitida la resolución procedente, o que se hayan realizado las modificaciones al proyecto en el caso de la resolución procedente condicionada, la empresa o entidad pública, deberá gestionar y presentar a la Dirección:</w:t>
      </w:r>
    </w:p>
    <w:p w14:paraId="3A475AF0"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Copia del recibo de pago realizado ante la Tesorería Municipal, respecto de los derechos establecidos en la Ley de Ingresos del Municipio para el ejercicio Fiscal vigente;</w:t>
      </w:r>
    </w:p>
    <w:p w14:paraId="3A475AF1"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Copia de la licencia de giro que acredite la existencia de oficinas de atención al cliente; y</w:t>
      </w:r>
    </w:p>
    <w:p w14:paraId="3A475AF2"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Copias de las pólizas de seguro de responsabilidad civil, gastos médicos y asesoría legal para usuarios en caso de accidentes, acreditando que se formalizó su contratación con el pago correspondiente y que se encuentra vigente durante el período de duración del permiso para prestar el servicio.</w:t>
      </w:r>
    </w:p>
    <w:p w14:paraId="3A475AF3" w14:textId="77777777" w:rsidR="009B5E39" w:rsidRPr="00940515" w:rsidRDefault="009B5E39" w:rsidP="009B5E39">
      <w:pPr>
        <w:spacing w:after="120"/>
        <w:ind w:left="1701" w:right="283" w:hanging="285"/>
        <w:jc w:val="both"/>
        <w:rPr>
          <w:rFonts w:ascii="Gotham" w:hAnsi="Gotham" w:cs="Arial"/>
          <w:sz w:val="19"/>
          <w:szCs w:val="19"/>
        </w:rPr>
      </w:pPr>
      <w:r w:rsidRPr="00940515">
        <w:rPr>
          <w:rFonts w:ascii="Gotham" w:hAnsi="Gotham" w:cs="Arial"/>
          <w:sz w:val="19"/>
          <w:szCs w:val="19"/>
        </w:rPr>
        <w:t>Se exhibirán ante la Dirección los originales o copias para su debido cotejo de los documentos señalados en los incisos a), b) y c) precedentes, para cotejo, y una vez verificados se reintegrarán al solicitante, dejando copia simple de los mismos en los expedientes.</w:t>
      </w:r>
    </w:p>
    <w:p w14:paraId="3A475AF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lastRenderedPageBreak/>
        <w:t xml:space="preserve">4. </w:t>
      </w:r>
      <w:r>
        <w:rPr>
          <w:rFonts w:ascii="Gotham" w:hAnsi="Gotham" w:cs="Arial"/>
          <w:sz w:val="19"/>
          <w:szCs w:val="19"/>
        </w:rPr>
        <w:tab/>
      </w:r>
      <w:r w:rsidRPr="00940515">
        <w:rPr>
          <w:rFonts w:ascii="Gotham" w:hAnsi="Gotham" w:cs="Arial"/>
          <w:sz w:val="19"/>
          <w:szCs w:val="19"/>
        </w:rPr>
        <w:t>Si las entidades públicas o privadas cumplen con lo anteriormente planteado, la Dirección emitirá un permiso para la operación del sistema de bicicleta y/o transporte individual en red, misma que por lo menos deberá contener:</w:t>
      </w:r>
    </w:p>
    <w:p w14:paraId="3A475AF5"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La temporalidad del permiso para operar en los términos del proyecto autorizado, que podrá ser de hasta por 03 tres años, y renovable con base en las evaluaciones del servicio que realice la Dirección;</w:t>
      </w:r>
    </w:p>
    <w:p w14:paraId="3A475AF6"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b).</w:t>
      </w:r>
      <w:r>
        <w:rPr>
          <w:rFonts w:ascii="Gotham" w:hAnsi="Gotham" w:cs="Arial"/>
          <w:sz w:val="19"/>
          <w:szCs w:val="19"/>
        </w:rPr>
        <w:tab/>
      </w:r>
      <w:r w:rsidRPr="00940515">
        <w:rPr>
          <w:rFonts w:ascii="Gotham" w:hAnsi="Gotham" w:cs="Arial"/>
          <w:sz w:val="19"/>
          <w:szCs w:val="19"/>
        </w:rPr>
        <w:t>Las infracciones a que puede hacerse acreedor;</w:t>
      </w:r>
    </w:p>
    <w:p w14:paraId="3A475AF7"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Los motivos por los cuales la Dirección puede modificar las condiciones de prestación del servicio, en virtud del interés público y la competencia económica, de conformidad con la normatividad aplicable de la materia; y</w:t>
      </w:r>
    </w:p>
    <w:p w14:paraId="3A475AF8" w14:textId="77777777" w:rsidR="009B5E39" w:rsidRPr="00940515" w:rsidRDefault="009B5E39" w:rsidP="009B5E39">
      <w:pPr>
        <w:ind w:left="1701" w:right="283" w:hanging="567"/>
        <w:jc w:val="both"/>
        <w:rPr>
          <w:rFonts w:ascii="Gotham" w:hAnsi="Gotham" w:cs="Arial"/>
          <w:sz w:val="19"/>
          <w:szCs w:val="19"/>
        </w:rPr>
      </w:pPr>
      <w:r w:rsidRPr="00940515">
        <w:rPr>
          <w:rFonts w:ascii="Gotham" w:hAnsi="Gotham" w:cs="Arial"/>
          <w:sz w:val="19"/>
          <w:szCs w:val="19"/>
        </w:rPr>
        <w:t xml:space="preserve">d). </w:t>
      </w:r>
      <w:r>
        <w:rPr>
          <w:rFonts w:ascii="Gotham" w:hAnsi="Gotham" w:cs="Arial"/>
          <w:sz w:val="19"/>
          <w:szCs w:val="19"/>
        </w:rPr>
        <w:tab/>
      </w:r>
      <w:r w:rsidRPr="00940515">
        <w:rPr>
          <w:rFonts w:ascii="Gotham" w:hAnsi="Gotham" w:cs="Arial"/>
          <w:sz w:val="19"/>
          <w:szCs w:val="19"/>
        </w:rPr>
        <w:t>Las causales de cancelación del permiso.</w:t>
      </w:r>
    </w:p>
    <w:p w14:paraId="3A475AF9" w14:textId="77777777" w:rsidR="009B5E39" w:rsidRPr="00940515" w:rsidRDefault="009B5E39" w:rsidP="009B5E39">
      <w:pPr>
        <w:ind w:left="284" w:right="283"/>
        <w:rPr>
          <w:rFonts w:ascii="Gotham" w:hAnsi="Gotham" w:cs="Arial"/>
          <w:b/>
          <w:sz w:val="19"/>
          <w:szCs w:val="19"/>
          <w:highlight w:val="cyan"/>
        </w:rPr>
      </w:pPr>
    </w:p>
    <w:p w14:paraId="3A475AFA"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119. </w:t>
      </w:r>
      <w:r w:rsidRPr="00940515">
        <w:rPr>
          <w:rFonts w:ascii="Gotham" w:hAnsi="Gotham" w:cs="Arial"/>
          <w:sz w:val="19"/>
          <w:szCs w:val="19"/>
        </w:rPr>
        <w:t xml:space="preserve">Una vez reunidos los requisitos señalados se procederá a realizar la verificación de factibilidad, la cual consistirá en la revisión de los siguientes aspectos: </w:t>
      </w:r>
    </w:p>
    <w:p w14:paraId="3A475AFB" w14:textId="77777777" w:rsidR="009B5E39" w:rsidRPr="00940515" w:rsidRDefault="009B5E39" w:rsidP="009B5E39">
      <w:pPr>
        <w:ind w:left="284" w:right="283"/>
        <w:jc w:val="both"/>
        <w:rPr>
          <w:rFonts w:ascii="Gotham" w:hAnsi="Gotham" w:cs="Arial"/>
          <w:sz w:val="19"/>
          <w:szCs w:val="19"/>
        </w:rPr>
      </w:pPr>
    </w:p>
    <w:p w14:paraId="3A475AFC"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Que el ancho de la calle sea el suficiente y adecuado y que la ubicación del exclusivo no se pretenda en lugar o forma prohibida por la Ley de Movilidad; </w:t>
      </w:r>
    </w:p>
    <w:p w14:paraId="3A475AF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Que la ubicación del exclusivo no bloquee, obstruya o estrangule la circulación;</w:t>
      </w:r>
    </w:p>
    <w:p w14:paraId="3A475AF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 xml:space="preserve">Que la ubicación del exclusivo no signifique dificultad para dar vuelta en esquina; </w:t>
      </w:r>
    </w:p>
    <w:p w14:paraId="3A475AF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Que en el espacio solicitado puedan ubicarse los cajones requeridos con las medidas establecidas por los instrumentos técnicos correspondientes y la norma oficial;</w:t>
      </w:r>
    </w:p>
    <w:p w14:paraId="3A475B0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Deberán descartarse posibles efectos negativos con la instalación del exclusivo en virtud de diferentes eventos como la instalación de mercados, peregrinaciones, iglesias, así como proyectos públicos o adecuaciones viales que se tengan contemplados en la vialidad donde se pretende el exclusivo;</w:t>
      </w:r>
    </w:p>
    <w:p w14:paraId="3A475B0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Que el nombre, firma y teléfono de los vecinos colindantes que hubieren dado su autorización efectivamente correspondan a los vecinos del lugar donde se pretende el exclusivo;</w:t>
      </w:r>
    </w:p>
    <w:p w14:paraId="3A475B0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 xml:space="preserve">Que cuando el lugar donde se pretenda ubicar el exclusivo esté frente a propiedad privada, deberá obtener la autorización por escrito del propietario y allegar copia de la identificación de este. En caso de que el exclusivo se pretenda instalar frente a una institución pública, privada o persona moral de cualquier tipo, la autorización deberá constar en hoja membretada y estar firmada por quien tenga facultades para otorgar dicha autorización; </w:t>
      </w:r>
    </w:p>
    <w:p w14:paraId="3A475B03"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La revisión física del lugar donde se pretenda ubicar el exclusivo y la verificación de los nombres, firmas, teléfonos de los vecinos colindantes y de las autorizaciones de los propietarios colindantes se llevará a cabo por personal de la Dirección.</w:t>
      </w:r>
    </w:p>
    <w:p w14:paraId="3A475B04" w14:textId="77777777" w:rsidR="009B5E39" w:rsidRPr="00940515" w:rsidRDefault="009B5E39" w:rsidP="009B5E39">
      <w:pPr>
        <w:ind w:left="284" w:right="283"/>
        <w:jc w:val="both"/>
        <w:rPr>
          <w:rFonts w:ascii="Gotham" w:hAnsi="Gotham" w:cs="Arial"/>
          <w:b/>
          <w:sz w:val="19"/>
          <w:szCs w:val="19"/>
        </w:rPr>
      </w:pPr>
    </w:p>
    <w:p w14:paraId="3A475B05"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120. </w:t>
      </w:r>
      <w:r w:rsidRPr="00940515">
        <w:rPr>
          <w:rFonts w:ascii="Gotham" w:hAnsi="Gotham" w:cs="Arial"/>
          <w:sz w:val="19"/>
          <w:szCs w:val="19"/>
        </w:rPr>
        <w:t xml:space="preserve">Una vez autorizado el permiso de estacionamiento exclusivo en la vía pública el solicitante deberá: </w:t>
      </w:r>
    </w:p>
    <w:p w14:paraId="3A475B06" w14:textId="77777777" w:rsidR="009B5E39" w:rsidRPr="00940515" w:rsidRDefault="009B5E39" w:rsidP="009B5E39">
      <w:pPr>
        <w:ind w:left="284" w:right="283"/>
        <w:jc w:val="both"/>
        <w:rPr>
          <w:rFonts w:ascii="Gotham" w:hAnsi="Gotham" w:cs="Arial"/>
          <w:sz w:val="19"/>
          <w:szCs w:val="19"/>
        </w:rPr>
      </w:pPr>
    </w:p>
    <w:p w14:paraId="3A475B07"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Cubrir el pago mensual dispuesto en la Ley de Ingresos vigente; </w:t>
      </w:r>
    </w:p>
    <w:p w14:paraId="3A475B08"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Instalar una placa vertical autorizada por la Dirección, en la que establecerá el número de expediente del lugar exclusivo autorizado de tal forma que pueda ser visible a la ciudadanía. Se encuentra prohibido el llevar a cabo el balizamiento, si no existe previa autorización por parte de la Dirección, y se impondrán las sanciones correspondientes al que realice esta actividad.</w:t>
      </w:r>
    </w:p>
    <w:p w14:paraId="3A475B09" w14:textId="77777777" w:rsidR="009B5E39" w:rsidRPr="00940515" w:rsidRDefault="009B5E39" w:rsidP="009B5E39">
      <w:pPr>
        <w:ind w:left="284" w:right="283"/>
        <w:jc w:val="both"/>
        <w:rPr>
          <w:rFonts w:ascii="Gotham" w:hAnsi="Gotham" w:cs="Arial"/>
          <w:sz w:val="19"/>
          <w:szCs w:val="19"/>
        </w:rPr>
      </w:pPr>
    </w:p>
    <w:p w14:paraId="3A475B0A"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lastRenderedPageBreak/>
        <w:t xml:space="preserve">Artículo 121. </w:t>
      </w:r>
      <w:r w:rsidRPr="00940515">
        <w:rPr>
          <w:rFonts w:ascii="Gotham" w:hAnsi="Gotham" w:cs="Arial"/>
          <w:sz w:val="19"/>
          <w:szCs w:val="19"/>
        </w:rPr>
        <w:t xml:space="preserve">Son causas de revocación de la autorización para cajones de estacionamiento exclusivo cualquiera de las siguientes: </w:t>
      </w:r>
    </w:p>
    <w:p w14:paraId="3A475B0B" w14:textId="77777777" w:rsidR="009B5E39" w:rsidRPr="00940515" w:rsidRDefault="009B5E39" w:rsidP="009B5E39">
      <w:pPr>
        <w:ind w:left="284" w:right="283"/>
        <w:jc w:val="both"/>
        <w:rPr>
          <w:rFonts w:ascii="Gotham" w:hAnsi="Gotham" w:cs="Arial"/>
          <w:sz w:val="19"/>
          <w:szCs w:val="19"/>
        </w:rPr>
      </w:pPr>
    </w:p>
    <w:p w14:paraId="3A475B0C"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La falta del pago de los derechos correspondientes; </w:t>
      </w:r>
    </w:p>
    <w:p w14:paraId="3A475B0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La utilización de un número mayor de cajones que los autorizados o de medidas diferentes a las autorizadas; y </w:t>
      </w:r>
    </w:p>
    <w:p w14:paraId="3A475B0E"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 xml:space="preserve">La explotación del exclusivo por persona o personas distintas al titular de la autorización. </w:t>
      </w:r>
    </w:p>
    <w:p w14:paraId="3A475B0F" w14:textId="77777777" w:rsidR="009B5E39" w:rsidRPr="00940515" w:rsidRDefault="009B5E39" w:rsidP="009B5E39">
      <w:pPr>
        <w:ind w:left="284" w:right="283"/>
        <w:jc w:val="both"/>
        <w:rPr>
          <w:rFonts w:ascii="Gotham" w:hAnsi="Gotham" w:cs="Arial"/>
          <w:b/>
          <w:sz w:val="19"/>
          <w:szCs w:val="19"/>
          <w:highlight w:val="cyan"/>
        </w:rPr>
      </w:pPr>
    </w:p>
    <w:p w14:paraId="3A475B1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122. </w:t>
      </w:r>
      <w:r w:rsidRPr="00940515">
        <w:rPr>
          <w:rFonts w:ascii="Gotham" w:hAnsi="Gotham" w:cs="Arial"/>
          <w:sz w:val="19"/>
          <w:szCs w:val="19"/>
        </w:rPr>
        <w:t>Las personas con un espacio exclusivo podrán solicitar la autorización para instalar un objeto que permita la identificación de su espacio siguiendo las especificaciones y medidas que para tal efecto se le indiquen al momento de su solicitud. Bajo ninguna circunstancia podrán ser instaladas sobre banquetas o entorpeciendo el flujo vehicular. Del mismo modo la instalación, así como el costo del objeto a utilizar será a cargo del particular y nunca a cargo de la administración municipal. Cualquier objeto no autorizado por la jefatura de estacionamiento será retirado y podrá aplicarse la sanción económica prevista para ese caso.</w:t>
      </w:r>
    </w:p>
    <w:p w14:paraId="3A475B11" w14:textId="77777777" w:rsidR="009B5E39" w:rsidRDefault="009B5E39" w:rsidP="009B5E39">
      <w:pPr>
        <w:ind w:left="284" w:right="283"/>
        <w:jc w:val="both"/>
        <w:rPr>
          <w:rFonts w:ascii="Gotham" w:hAnsi="Gotham" w:cs="Arial"/>
          <w:sz w:val="19"/>
          <w:szCs w:val="19"/>
        </w:rPr>
      </w:pPr>
    </w:p>
    <w:p w14:paraId="3A475B12" w14:textId="77777777" w:rsidR="009B5E39" w:rsidRPr="00940515" w:rsidRDefault="009B5E39" w:rsidP="009B5E39">
      <w:pPr>
        <w:ind w:left="284" w:right="283"/>
        <w:jc w:val="both"/>
        <w:rPr>
          <w:rFonts w:ascii="Gotham" w:hAnsi="Gotham" w:cs="Arial"/>
          <w:sz w:val="19"/>
          <w:szCs w:val="19"/>
        </w:rPr>
      </w:pPr>
    </w:p>
    <w:p w14:paraId="3A475B13"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CAPÍTULO IV</w:t>
      </w:r>
    </w:p>
    <w:p w14:paraId="3A475B14"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DEL SERVICIO DE ESTACIONAMIENTO</w:t>
      </w:r>
    </w:p>
    <w:p w14:paraId="3A475B15" w14:textId="77777777" w:rsidR="009B5E39" w:rsidRPr="00940515" w:rsidRDefault="009B5E39" w:rsidP="009B5E39">
      <w:pPr>
        <w:ind w:left="284" w:right="283"/>
        <w:jc w:val="both"/>
        <w:rPr>
          <w:rFonts w:ascii="Gotham" w:hAnsi="Gotham" w:cs="Arial"/>
          <w:b/>
          <w:sz w:val="19"/>
          <w:szCs w:val="19"/>
        </w:rPr>
      </w:pPr>
    </w:p>
    <w:p w14:paraId="3A475B1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123. </w:t>
      </w:r>
      <w:r w:rsidRPr="00940515">
        <w:rPr>
          <w:rFonts w:ascii="Gotham" w:hAnsi="Gotham" w:cs="Arial"/>
          <w:sz w:val="19"/>
          <w:szCs w:val="19"/>
        </w:rPr>
        <w:t>Corresponde a la Dirección de Padrón y Licencias, otorgar las licencias para los estacionamientos que funcionan en predios de propiedad privada, atendiendo a la opinión de la Dirección. Previo al otorgamiento de las concesiones, licencias o permisos para la prestación del servicio público de estacionamiento de vehículos, deberán evaluar con base en los estudios presentados por los interesados, los siguientes aspectos:</w:t>
      </w:r>
    </w:p>
    <w:p w14:paraId="3A475B17" w14:textId="77777777" w:rsidR="009B5E39" w:rsidRPr="00940515" w:rsidRDefault="009B5E39" w:rsidP="009B5E39">
      <w:pPr>
        <w:ind w:left="284" w:right="283"/>
        <w:jc w:val="both"/>
        <w:rPr>
          <w:rFonts w:ascii="Gotham" w:hAnsi="Gotham" w:cs="Arial"/>
          <w:b/>
          <w:sz w:val="19"/>
          <w:szCs w:val="19"/>
        </w:rPr>
      </w:pPr>
    </w:p>
    <w:p w14:paraId="3A475B18"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Verificar la ubicación y superficie del predio donde se prestará el servicio de estacionamiento de automóviles; y </w:t>
      </w:r>
    </w:p>
    <w:p w14:paraId="3A475B19"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Las demás que señalen el presente reglamento y las leyes aplicables en la materia.</w:t>
      </w:r>
    </w:p>
    <w:p w14:paraId="3A475B1A" w14:textId="77777777" w:rsidR="009B5E39" w:rsidRPr="00940515" w:rsidRDefault="009B5E39" w:rsidP="009B5E39">
      <w:pPr>
        <w:ind w:left="284" w:right="283"/>
        <w:jc w:val="both"/>
        <w:rPr>
          <w:rFonts w:ascii="Gotham" w:hAnsi="Gotham" w:cs="Arial"/>
          <w:b/>
          <w:sz w:val="19"/>
          <w:szCs w:val="19"/>
          <w:highlight w:val="cyan"/>
        </w:rPr>
      </w:pPr>
    </w:p>
    <w:p w14:paraId="3A475B1B"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Artículo 124.</w:t>
      </w:r>
      <w:r w:rsidRPr="00940515">
        <w:rPr>
          <w:rFonts w:ascii="Gotham" w:hAnsi="Gotham" w:cs="Arial"/>
          <w:sz w:val="19"/>
          <w:szCs w:val="19"/>
        </w:rPr>
        <w:t xml:space="preserve"> Los estacionamientos que requieran licencia o permiso municipal para funcionar, se clasificarán de la siguiente manera:</w:t>
      </w:r>
    </w:p>
    <w:p w14:paraId="3A475B1C" w14:textId="77777777" w:rsidR="009B5E39" w:rsidRPr="00940515" w:rsidRDefault="009B5E39" w:rsidP="009B5E39">
      <w:pPr>
        <w:ind w:left="284" w:right="283"/>
        <w:jc w:val="both"/>
        <w:rPr>
          <w:rFonts w:ascii="Gotham" w:hAnsi="Gotham" w:cs="Arial"/>
          <w:b/>
          <w:sz w:val="19"/>
          <w:szCs w:val="19"/>
        </w:rPr>
      </w:pPr>
    </w:p>
    <w:p w14:paraId="3A475B1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Atendiendo al Público que presta el servicio, en: </w:t>
      </w:r>
    </w:p>
    <w:p w14:paraId="3A475B1E"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Estacionamiento Público Municipal: Todo estacionamiento que sea propiedad o sea administrado por la propia administración municipal.</w:t>
      </w:r>
    </w:p>
    <w:p w14:paraId="3A475B1F"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Estacionamiento privado de uso público en el Municipio: Todo estacionamiento que no sea propiedad del Municipio de Tonalá y que se encuentre dentro de éste, para cuya operación requiere de una licencia de giro o permiso provisional.</w:t>
      </w:r>
    </w:p>
    <w:p w14:paraId="3A475B2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Atendiendo a su categoría, en:</w:t>
      </w:r>
    </w:p>
    <w:p w14:paraId="3A475B21"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Toda edificación, diseñada y construida ex profeso para destinarla al estacionamiento de vehículos, que cuente con pisos de concreto, empedrado o asfalto, servicio de elevador cuando su altura resulte mayor a cuatro niveles, con barda perimetral cubierta o techo.</w:t>
      </w:r>
    </w:p>
    <w:p w14:paraId="3A475B22"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Todo predio o edificio acondicionado para tal fin, con o sin techo, con barda perimetral, y con piso de concreto, grava, asfalto o empedrado en áreas de circulación.</w:t>
      </w:r>
    </w:p>
    <w:p w14:paraId="3A475B23"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Todo predio, lote o inmueble susceptible de ser usado como estacionamiento y circundado al menos por malla metálica de 2.10 metros de altura, con piso de concreto, asfalto, grava o empedrado no ex profeso para dicho fin.</w:t>
      </w:r>
    </w:p>
    <w:p w14:paraId="3A475B2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lastRenderedPageBreak/>
        <w:t xml:space="preserve">III. </w:t>
      </w:r>
      <w:r>
        <w:rPr>
          <w:rFonts w:ascii="Gotham" w:hAnsi="Gotham" w:cs="Arial"/>
          <w:sz w:val="19"/>
          <w:szCs w:val="19"/>
        </w:rPr>
        <w:tab/>
      </w:r>
      <w:r w:rsidRPr="00940515">
        <w:rPr>
          <w:rFonts w:ascii="Gotham" w:hAnsi="Gotham" w:cs="Arial"/>
          <w:sz w:val="19"/>
          <w:szCs w:val="19"/>
        </w:rPr>
        <w:t xml:space="preserve">Estacionamiento vinculado: Estacionamiento público en plazas, centros comerciales o vinculados a establecimientos mercantiles o de servicios, en el cual se ha decidido cobrar por su utilización o con gratuidad condicionada. </w:t>
      </w:r>
    </w:p>
    <w:p w14:paraId="3A475B25"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 xml:space="preserve">Estacionamientos eventuales: Los servicios de estacionamiento que prestan los particulares en predios acondicionados de manera definitiva o temporal para ofrecer este servicio a los asistentes a eventos, ferias, conciertos, exposiciones, entre otros, cuando estas no sean de carácter permanente. </w:t>
      </w:r>
    </w:p>
    <w:p w14:paraId="3A475B26"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Estacionamiento en la vía pública: Todo aquel espacio habilitado para tal efecto, situado en las calles, avenidas y demás arroyos viales.</w:t>
      </w:r>
    </w:p>
    <w:p w14:paraId="3A475B27" w14:textId="77777777" w:rsidR="009B5E39" w:rsidRPr="00940515" w:rsidRDefault="009B5E39" w:rsidP="009B5E39">
      <w:pPr>
        <w:ind w:left="284" w:right="283"/>
        <w:jc w:val="both"/>
        <w:rPr>
          <w:rFonts w:ascii="Gotham" w:hAnsi="Gotham" w:cs="Arial"/>
          <w:sz w:val="19"/>
          <w:szCs w:val="19"/>
        </w:rPr>
      </w:pPr>
    </w:p>
    <w:p w14:paraId="3A475B28"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 xml:space="preserve">Pudiendo las anteriores modalidades de estacionamientos contar con acomodadores de vehículos, dando debido cumplimiento lo establecido en el presente Reglamento. </w:t>
      </w:r>
    </w:p>
    <w:p w14:paraId="3A475B29" w14:textId="77777777" w:rsidR="009B5E39" w:rsidRPr="00940515" w:rsidRDefault="009B5E39" w:rsidP="009B5E39">
      <w:pPr>
        <w:ind w:left="284" w:right="283"/>
        <w:jc w:val="both"/>
        <w:rPr>
          <w:rFonts w:ascii="Gotham" w:hAnsi="Gotham" w:cs="Arial"/>
          <w:sz w:val="19"/>
          <w:szCs w:val="19"/>
        </w:rPr>
      </w:pPr>
    </w:p>
    <w:p w14:paraId="3A475B2A"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 xml:space="preserve">Del mismo modo, podrán ser considerados como estacionamientos bajo la figura de contrato de pensión siempre y cuando cuenten con vigilancia las 24 horas del día. </w:t>
      </w:r>
    </w:p>
    <w:p w14:paraId="3A475B2B" w14:textId="77777777" w:rsidR="009B5E39" w:rsidRPr="00940515" w:rsidRDefault="009B5E39" w:rsidP="009B5E39">
      <w:pPr>
        <w:ind w:left="284" w:right="283"/>
        <w:jc w:val="both"/>
        <w:rPr>
          <w:rFonts w:ascii="Gotham" w:hAnsi="Gotham" w:cs="Arial"/>
          <w:sz w:val="19"/>
          <w:szCs w:val="19"/>
        </w:rPr>
      </w:pPr>
    </w:p>
    <w:p w14:paraId="3A475B2C"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En áreas declaradas como de protección histórica, los estacionamientos deberán contar con bardas frontales de acuerdo a la arquitectura predominante en el entorno de la zona a instalarse y en los centros comerciales se deberán instalar perimetralmente barreras o elementos que impidan la circulación en banquetas peatonales, debiendo el usuario utilizar exclusivamente el paso por las áreas de control.</w:t>
      </w:r>
    </w:p>
    <w:p w14:paraId="3A475B2D" w14:textId="77777777" w:rsidR="009B5E39" w:rsidRPr="00940515" w:rsidRDefault="009B5E39" w:rsidP="009B5E39">
      <w:pPr>
        <w:ind w:left="284" w:right="283"/>
        <w:jc w:val="both"/>
        <w:rPr>
          <w:rFonts w:ascii="Gotham" w:hAnsi="Gotham" w:cs="Arial"/>
          <w:b/>
          <w:sz w:val="19"/>
          <w:szCs w:val="19"/>
          <w:highlight w:val="cyan"/>
        </w:rPr>
      </w:pPr>
    </w:p>
    <w:p w14:paraId="3A475B2E"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125.</w:t>
      </w:r>
      <w:r w:rsidRPr="00940515">
        <w:rPr>
          <w:rFonts w:ascii="Gotham" w:hAnsi="Gotham" w:cs="Arial"/>
          <w:sz w:val="19"/>
          <w:szCs w:val="19"/>
        </w:rPr>
        <w:t xml:space="preserve"> A efecto de obtener la opinión técnica o en su caso dictamen para la prestación del servicio de estacionamiento en cualquiera de sus modalidades por parte de la Dirección, a petición de la Dirección de Padrón y Licencias, acompañando la siguiente documentación:</w:t>
      </w:r>
    </w:p>
    <w:p w14:paraId="3A475B2F" w14:textId="77777777" w:rsidR="009B5E39" w:rsidRPr="00940515" w:rsidRDefault="009B5E39" w:rsidP="009B5E39">
      <w:pPr>
        <w:ind w:left="284" w:right="283"/>
        <w:jc w:val="both"/>
        <w:rPr>
          <w:rFonts w:ascii="Gotham" w:hAnsi="Gotham" w:cs="Arial"/>
          <w:sz w:val="19"/>
          <w:szCs w:val="19"/>
        </w:rPr>
      </w:pPr>
    </w:p>
    <w:p w14:paraId="3A475B3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Dictamen de la Dirección de Protección Civil y Bomberos; </w:t>
      </w:r>
    </w:p>
    <w:p w14:paraId="3A475B3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En caso de ser persona moral, deberá acompañar copias certificadas de la escritura pública, en donde conste la legal constitución de la empresa solicitante con boleta de registro ante el Registro Público de La Propiedad y Comercio, así como el nombre y las facultades del representante legal; </w:t>
      </w:r>
    </w:p>
    <w:p w14:paraId="3A475B3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Dictamen Trazos, Usos y Destinos Específicos procedente para el uso de estacionamiento expedido por la Dirección General.</w:t>
      </w:r>
    </w:p>
    <w:p w14:paraId="3A475B3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El proyecto ejecutivo del estacionamiento que contendrá los planos arquitectónicos autorizados por la Dirección General; con medidas y linderos del predio en donde se prestará el servicio, señalando la circulación interna y número de cajones de estacionamiento, así como la ubicación de las entradas, salidas y las respectivas casetas o unidades de cobro;</w:t>
      </w:r>
    </w:p>
    <w:p w14:paraId="3A475B3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Copia de la póliza vigente de seguro de daños a terceros y responsabilidad civil y daños ocasionados por el personal del propio estacionamiento sus instalaciones o su infraestructura al vehículo; en caso de no contar con este requisito, se acogerá a la tarifa más baja estipulada en la Ley de Ingresos para el ejercicio fiscal vigente.</w:t>
      </w:r>
    </w:p>
    <w:p w14:paraId="3A475B35"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 xml:space="preserve">Manifestación de la categoría del estacionamiento y el horario a que se sujetará; y </w:t>
      </w:r>
    </w:p>
    <w:p w14:paraId="3A475B36"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Dictamen de funcionamiento del estacionamiento expedido por la Dirección de Planeación, Movilidad y Transporte a través del área correspondiente a su cargo que determine.</w:t>
      </w:r>
    </w:p>
    <w:p w14:paraId="3A475B37" w14:textId="77777777" w:rsidR="009B5E39" w:rsidRPr="00940515" w:rsidRDefault="009B5E39" w:rsidP="009B5E39">
      <w:pPr>
        <w:ind w:left="284" w:right="283"/>
        <w:jc w:val="both"/>
        <w:rPr>
          <w:rFonts w:ascii="Gotham" w:hAnsi="Gotham" w:cs="Arial"/>
          <w:sz w:val="19"/>
          <w:szCs w:val="19"/>
        </w:rPr>
      </w:pPr>
    </w:p>
    <w:p w14:paraId="3A475B38"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Artículo 126.</w:t>
      </w:r>
      <w:r w:rsidRPr="00940515">
        <w:rPr>
          <w:rFonts w:ascii="Gotham" w:hAnsi="Gotham" w:cs="Arial"/>
          <w:sz w:val="19"/>
          <w:szCs w:val="19"/>
        </w:rPr>
        <w:t xml:space="preserve"> No se otorgará opinión técnica o dictamen para operar estacionamientos en predios o inmuebles con valor patrimonial que no cuenten con la autorización correspondiente por parte de las autoridades competentes.</w:t>
      </w:r>
    </w:p>
    <w:p w14:paraId="3A475B39" w14:textId="77777777" w:rsidR="009B5E39" w:rsidRPr="00940515" w:rsidRDefault="009B5E39" w:rsidP="009B5E39">
      <w:pPr>
        <w:ind w:left="284" w:right="283"/>
        <w:jc w:val="both"/>
        <w:rPr>
          <w:rFonts w:ascii="Gotham" w:hAnsi="Gotham" w:cs="Arial"/>
          <w:b/>
          <w:sz w:val="19"/>
          <w:szCs w:val="19"/>
        </w:rPr>
      </w:pPr>
    </w:p>
    <w:p w14:paraId="3A475B3A"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lastRenderedPageBreak/>
        <w:t>Artículo 127.</w:t>
      </w:r>
      <w:r w:rsidRPr="00940515">
        <w:rPr>
          <w:rFonts w:ascii="Gotham" w:hAnsi="Gotham" w:cs="Arial"/>
          <w:sz w:val="19"/>
          <w:szCs w:val="19"/>
        </w:rPr>
        <w:t xml:space="preserve"> Las cuotas que los titulares de los permisos o licencias podrán ser cobradas a los usuarios del servicio de estacionamientos en cualquier modalidad, serán publicadas en la Ley de Ingresos para el ejercicio fiscal vigente a propuestas por la Dirección, las cuales serán aprobadas por el Pleno del Ayuntamiento, de acuerdo a lo estipulado en el presente Reglamento.</w:t>
      </w:r>
    </w:p>
    <w:p w14:paraId="3A475B3B" w14:textId="77777777" w:rsidR="009B5E39" w:rsidRPr="00940515" w:rsidRDefault="009B5E39" w:rsidP="009B5E39">
      <w:pPr>
        <w:ind w:left="284" w:right="283"/>
        <w:jc w:val="both"/>
        <w:rPr>
          <w:rFonts w:ascii="Gotham" w:hAnsi="Gotham" w:cs="Arial"/>
          <w:b/>
          <w:sz w:val="19"/>
          <w:szCs w:val="19"/>
        </w:rPr>
      </w:pPr>
    </w:p>
    <w:p w14:paraId="3A475B3C"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128.</w:t>
      </w:r>
      <w:r w:rsidRPr="00940515">
        <w:rPr>
          <w:rFonts w:ascii="Gotham" w:hAnsi="Gotham" w:cs="Arial"/>
          <w:sz w:val="19"/>
          <w:szCs w:val="19"/>
        </w:rPr>
        <w:t xml:space="preserve"> Son obligaciones de los propietarios y/o administradores de estacionamientos: </w:t>
      </w:r>
    </w:p>
    <w:p w14:paraId="3A475B3D" w14:textId="77777777" w:rsidR="009B5E39" w:rsidRPr="00940515" w:rsidRDefault="009B5E39" w:rsidP="009B5E39">
      <w:pPr>
        <w:ind w:left="284" w:right="283"/>
        <w:jc w:val="both"/>
        <w:rPr>
          <w:rFonts w:ascii="Gotham" w:hAnsi="Gotham" w:cs="Arial"/>
          <w:b/>
          <w:sz w:val="19"/>
          <w:szCs w:val="19"/>
        </w:rPr>
      </w:pPr>
    </w:p>
    <w:p w14:paraId="3A475B3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Contar con rampas y equipamiento para la accesibilidad universal;</w:t>
      </w:r>
    </w:p>
    <w:p w14:paraId="3A475B3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Se deberá reservar un cajón por cada 20 veinte cajones, para vehículos de personas con discapacidad, en el caso de que el estacionamiento tenga una capacidad menor a 300 trescientos cajones en total;</w:t>
      </w:r>
    </w:p>
    <w:p w14:paraId="3A475B4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Deberá de contar con 3 espacios para uso servicio de motocicletas por cada 20 veinte espacios para vehículos;</w:t>
      </w:r>
    </w:p>
    <w:p w14:paraId="3A475B4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 xml:space="preserve">Mantener libres de obstáculos los carriles de entrada y salida; y mantener libres los de circulación a excepción de que sean instrumentos de control de tránsito y circulación debidamente colocada dentro del establecimiento; </w:t>
      </w:r>
    </w:p>
    <w:p w14:paraId="3A475B4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 xml:space="preserve">Contar con instalaciones sanitarias en condiciones de higiene y seguridad; </w:t>
      </w:r>
    </w:p>
    <w:p w14:paraId="3A475B4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 xml:space="preserve">Proporcionar la vigilancia necesaria para la integridad de los vehículos y la seguridad del usuario dentro del horario de servicio debidamente establecido; </w:t>
      </w:r>
    </w:p>
    <w:p w14:paraId="3A475B4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 xml:space="preserve">Mantener en la caseta de cobro o máquina automatizada a la vista del público con la tarifa autorizada; </w:t>
      </w:r>
    </w:p>
    <w:p w14:paraId="3A475B45"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 xml:space="preserve">Tener a la vista los horarios de servicio; </w:t>
      </w:r>
    </w:p>
    <w:p w14:paraId="3A475B46"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IX. </w:t>
      </w:r>
      <w:r>
        <w:rPr>
          <w:rFonts w:ascii="Gotham" w:hAnsi="Gotham" w:cs="Arial"/>
          <w:sz w:val="19"/>
          <w:szCs w:val="19"/>
        </w:rPr>
        <w:tab/>
      </w:r>
      <w:r w:rsidRPr="00940515">
        <w:rPr>
          <w:rFonts w:ascii="Gotham" w:hAnsi="Gotham" w:cs="Arial"/>
          <w:sz w:val="19"/>
          <w:szCs w:val="19"/>
        </w:rPr>
        <w:t>Cumplir el horario autorizado por el Ayuntamiento, el que deberá ser visible al público;</w:t>
      </w:r>
    </w:p>
    <w:p w14:paraId="3A475B47"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 </w:t>
      </w:r>
      <w:r>
        <w:rPr>
          <w:rFonts w:ascii="Gotham" w:hAnsi="Gotham" w:cs="Arial"/>
          <w:sz w:val="19"/>
          <w:szCs w:val="19"/>
        </w:rPr>
        <w:tab/>
      </w:r>
      <w:r w:rsidRPr="00940515">
        <w:rPr>
          <w:rFonts w:ascii="Gotham" w:hAnsi="Gotham" w:cs="Arial"/>
          <w:sz w:val="19"/>
          <w:szCs w:val="19"/>
        </w:rPr>
        <w:t>Proporcionar comprobante de ingreso al usuario, ya sea electrónico o físico mediante un boleto al usuario, a fin de verificar el tiempo transcurrido en el estacionamiento; por ningún motivo podrá obligar al usuario a pagar por cuota fija cuando este requiera de una estancia corta. En el caso de que los propietarios o conductores de los vehículos extravíen el boleto, éstos deberán comprobar la propiedad o posesión del vehículo haciendo entrega de una copia fotostática al encargado del estacionamiento de los siguientes documentos:</w:t>
      </w:r>
    </w:p>
    <w:p w14:paraId="3A475B48"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Identificación oficial vigente;</w:t>
      </w:r>
    </w:p>
    <w:p w14:paraId="3A475B49"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 xml:space="preserve">Tarjeta de circulación a nombre de la persona que vaya a retirar el vehículo o a nombre de alguno de los acompañantes; o </w:t>
      </w:r>
    </w:p>
    <w:p w14:paraId="3A475B4A"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En caso de que no tuviere identificación que lo acredite como propietario o legal poseedor del vehículo tendrá que hacer constar el hecho de manera escrita donde asume la responsabilidad del retiro siempre y cuando cuente con la llave, tarjeta o clave del encendido y apertura del vehículo;</w:t>
      </w:r>
    </w:p>
    <w:p w14:paraId="3A475B4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XI. </w:t>
      </w:r>
      <w:r>
        <w:rPr>
          <w:rFonts w:ascii="Gotham" w:hAnsi="Gotham" w:cs="Arial"/>
          <w:sz w:val="19"/>
          <w:szCs w:val="19"/>
        </w:rPr>
        <w:tab/>
      </w:r>
      <w:r w:rsidRPr="00940515">
        <w:rPr>
          <w:rFonts w:ascii="Gotham" w:hAnsi="Gotham" w:cs="Arial"/>
          <w:sz w:val="19"/>
          <w:szCs w:val="19"/>
        </w:rPr>
        <w:t>El trámite o formato por el extravío del boleto generará el costo que defina la, Ley ingresos para el ejercicio fiscal Vigente, pero esto no lo exime del pago de la tarifa de estacionamiento ya utilizada;</w:t>
      </w:r>
    </w:p>
    <w:p w14:paraId="3A475B4C"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XII. </w:t>
      </w:r>
      <w:r>
        <w:rPr>
          <w:rFonts w:ascii="Gotham" w:hAnsi="Gotham" w:cs="Arial"/>
          <w:sz w:val="19"/>
          <w:szCs w:val="19"/>
        </w:rPr>
        <w:tab/>
      </w:r>
      <w:r w:rsidRPr="00940515">
        <w:rPr>
          <w:rFonts w:ascii="Gotham" w:hAnsi="Gotham" w:cs="Arial"/>
          <w:sz w:val="19"/>
          <w:szCs w:val="19"/>
        </w:rPr>
        <w:t xml:space="preserve">Expedir, cuando el usuario lo solicite, el comprobante de pago por el servicio, mismo que deberá especificar la cantidad de cobro con base en la tarifa autorizada, y en su caso el comprobante fiscal de ser solicitado por el usuario; </w:t>
      </w:r>
    </w:p>
    <w:p w14:paraId="3A475B4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XIII. </w:t>
      </w:r>
      <w:r>
        <w:rPr>
          <w:rFonts w:ascii="Gotham" w:hAnsi="Gotham" w:cs="Arial"/>
          <w:sz w:val="19"/>
          <w:szCs w:val="19"/>
        </w:rPr>
        <w:tab/>
      </w:r>
      <w:r w:rsidRPr="00940515">
        <w:rPr>
          <w:rFonts w:ascii="Gotham" w:hAnsi="Gotham" w:cs="Arial"/>
          <w:sz w:val="19"/>
          <w:szCs w:val="19"/>
        </w:rPr>
        <w:t xml:space="preserve">Procurar que los usuarios del estacionamiento utilicen los lugares preferenciales sólo cuando cuenten con la acreditación oficial expedida por la Dirección, en caso contrario, se podrá dar aviso inmediatamente a la Dirección de Planeación, Movilidad y Transporte para que los agentes acudan a levantar la infracción; </w:t>
      </w:r>
    </w:p>
    <w:p w14:paraId="3A475B4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lastRenderedPageBreak/>
        <w:t xml:space="preserve">XIV. </w:t>
      </w:r>
      <w:r>
        <w:rPr>
          <w:rFonts w:ascii="Gotham" w:hAnsi="Gotham" w:cs="Arial"/>
          <w:sz w:val="19"/>
          <w:szCs w:val="19"/>
        </w:rPr>
        <w:tab/>
      </w:r>
      <w:r w:rsidRPr="00940515">
        <w:rPr>
          <w:rFonts w:ascii="Gotham" w:hAnsi="Gotham" w:cs="Arial"/>
          <w:sz w:val="19"/>
          <w:szCs w:val="19"/>
        </w:rPr>
        <w:t xml:space="preserve">Colocar, cuando se encuentren ocupados todos los lugares autorizados de estacionamiento, un anuncio que así lo indique a la entrada del establecimiento; </w:t>
      </w:r>
    </w:p>
    <w:p w14:paraId="3A475B4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XV. </w:t>
      </w:r>
      <w:r>
        <w:rPr>
          <w:rFonts w:ascii="Gotham" w:hAnsi="Gotham" w:cs="Arial"/>
          <w:sz w:val="19"/>
          <w:szCs w:val="19"/>
        </w:rPr>
        <w:tab/>
      </w:r>
      <w:r w:rsidRPr="00940515">
        <w:rPr>
          <w:rFonts w:ascii="Gotham" w:hAnsi="Gotham" w:cs="Arial"/>
          <w:sz w:val="19"/>
          <w:szCs w:val="19"/>
        </w:rPr>
        <w:t xml:space="preserve">Los vehículos dados en guarda se presumirán abandonados cuando su propietario o poseedor no los reclame dentro de los treinta días naturales siguientes a su ingreso, siempre que el servicio no se haya contratado por un tiempo mayor; </w:t>
      </w:r>
    </w:p>
    <w:p w14:paraId="3A475B5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XVI. </w:t>
      </w:r>
      <w:r>
        <w:rPr>
          <w:rFonts w:ascii="Gotham" w:hAnsi="Gotham" w:cs="Arial"/>
          <w:sz w:val="19"/>
          <w:szCs w:val="19"/>
        </w:rPr>
        <w:tab/>
      </w:r>
      <w:r w:rsidRPr="00940515">
        <w:rPr>
          <w:rFonts w:ascii="Gotham" w:hAnsi="Gotham" w:cs="Arial"/>
          <w:sz w:val="19"/>
          <w:szCs w:val="19"/>
        </w:rPr>
        <w:t xml:space="preserve">Vencido el plazo señalado en el párrafo anterior, el propietario del estacionamiento deberá reportar el automóvil a las autoridades en movilidad competentes, especificando sus características; </w:t>
      </w:r>
    </w:p>
    <w:p w14:paraId="3A475B5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XVII. </w:t>
      </w:r>
      <w:r>
        <w:rPr>
          <w:rFonts w:ascii="Gotham" w:hAnsi="Gotham" w:cs="Arial"/>
          <w:sz w:val="19"/>
          <w:szCs w:val="19"/>
        </w:rPr>
        <w:tab/>
      </w:r>
      <w:r w:rsidRPr="00940515">
        <w:rPr>
          <w:rFonts w:ascii="Gotham" w:hAnsi="Gotham" w:cs="Arial"/>
          <w:sz w:val="19"/>
          <w:szCs w:val="19"/>
        </w:rPr>
        <w:t xml:space="preserve">Llevar el registro del personal que labore en el estacionamiento, incluyendo aquellos que prestan servicios complementarios de lavado, encerado y otros similares; </w:t>
      </w:r>
    </w:p>
    <w:p w14:paraId="3A475B5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XVIII. </w:t>
      </w:r>
      <w:r>
        <w:rPr>
          <w:rFonts w:ascii="Gotham" w:hAnsi="Gotham" w:cs="Arial"/>
          <w:sz w:val="19"/>
          <w:szCs w:val="19"/>
        </w:rPr>
        <w:tab/>
      </w:r>
      <w:r w:rsidRPr="00940515">
        <w:rPr>
          <w:rFonts w:ascii="Gotham" w:hAnsi="Gotham" w:cs="Arial"/>
          <w:sz w:val="19"/>
          <w:szCs w:val="19"/>
        </w:rPr>
        <w:t xml:space="preserve">En su caso, vigilar que los acomodadores del estacionamiento porten gafete de identificación a la vista; </w:t>
      </w:r>
    </w:p>
    <w:p w14:paraId="3A475B5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XIX. </w:t>
      </w:r>
      <w:r>
        <w:rPr>
          <w:rFonts w:ascii="Gotham" w:hAnsi="Gotham" w:cs="Arial"/>
          <w:sz w:val="19"/>
          <w:szCs w:val="19"/>
        </w:rPr>
        <w:tab/>
      </w:r>
      <w:r w:rsidRPr="00940515">
        <w:rPr>
          <w:rFonts w:ascii="Gotham" w:hAnsi="Gotham" w:cs="Arial"/>
          <w:sz w:val="19"/>
          <w:szCs w:val="19"/>
        </w:rPr>
        <w:t>Podrá responsabilizarse por los objetos que se dejen dentro del vehículo, siempre y cuando el usuario haya hecho del conocimiento de tal circunstancia al encargado de Estacionamiento, mediante inventario al ingresar a éste, debiendo ser colocada esta leyenda a la entrada de los estacionamientos y en lugar visible para los usuarios;</w:t>
      </w:r>
    </w:p>
    <w:p w14:paraId="3A475B5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XX. </w:t>
      </w:r>
      <w:r>
        <w:rPr>
          <w:rFonts w:ascii="Gotham" w:hAnsi="Gotham" w:cs="Arial"/>
          <w:sz w:val="19"/>
          <w:szCs w:val="19"/>
        </w:rPr>
        <w:tab/>
      </w:r>
      <w:r w:rsidRPr="00940515">
        <w:rPr>
          <w:rFonts w:ascii="Gotham" w:hAnsi="Gotham" w:cs="Arial"/>
          <w:sz w:val="19"/>
          <w:szCs w:val="19"/>
        </w:rPr>
        <w:t>Tomar las precauciones y medidas necesarias para evitar que se cause daño a los vehículos mientras se encuentren en el estacionamiento, para lo cual se deberá contar con herramientas y aditamentos de protección tales como extinguidores, botes areneros, palas, hidrantes, topes de contención, señalamiento de cajones, de entrada y salida, así como de velocidad máxima permitida;</w:t>
      </w:r>
    </w:p>
    <w:p w14:paraId="3A475B55"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XXI. </w:t>
      </w:r>
      <w:r>
        <w:rPr>
          <w:rFonts w:ascii="Gotham" w:hAnsi="Gotham" w:cs="Arial"/>
          <w:sz w:val="19"/>
          <w:szCs w:val="19"/>
        </w:rPr>
        <w:tab/>
      </w:r>
      <w:r w:rsidRPr="00940515">
        <w:rPr>
          <w:rFonts w:ascii="Gotham" w:hAnsi="Gotham" w:cs="Arial"/>
          <w:sz w:val="19"/>
          <w:szCs w:val="19"/>
        </w:rPr>
        <w:t>Deberán de portar los empleados una identificación visible al público, que contenga:</w:t>
      </w:r>
    </w:p>
    <w:p w14:paraId="3A475B56"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Nombre completo;</w:t>
      </w:r>
    </w:p>
    <w:p w14:paraId="3A475B57"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Fotografía;</w:t>
      </w:r>
    </w:p>
    <w:p w14:paraId="3A475B58"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 xml:space="preserve">Cargo; y </w:t>
      </w:r>
    </w:p>
    <w:p w14:paraId="3A475B59"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d) </w:t>
      </w:r>
      <w:r>
        <w:rPr>
          <w:rFonts w:ascii="Gotham" w:hAnsi="Gotham" w:cs="Arial"/>
          <w:sz w:val="19"/>
          <w:szCs w:val="19"/>
        </w:rPr>
        <w:tab/>
      </w:r>
      <w:r w:rsidRPr="00940515">
        <w:rPr>
          <w:rFonts w:ascii="Gotham" w:hAnsi="Gotham" w:cs="Arial"/>
          <w:sz w:val="19"/>
          <w:szCs w:val="19"/>
        </w:rPr>
        <w:t>Razón social del estacionamiento para el que trabaja;</w:t>
      </w:r>
    </w:p>
    <w:p w14:paraId="3A475B5A"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XXII. </w:t>
      </w:r>
      <w:r>
        <w:rPr>
          <w:rFonts w:ascii="Gotham" w:hAnsi="Gotham" w:cs="Arial"/>
          <w:sz w:val="19"/>
          <w:szCs w:val="19"/>
        </w:rPr>
        <w:tab/>
      </w:r>
      <w:r w:rsidRPr="00940515">
        <w:rPr>
          <w:rFonts w:ascii="Gotham" w:hAnsi="Gotham" w:cs="Arial"/>
          <w:sz w:val="19"/>
          <w:szCs w:val="19"/>
        </w:rPr>
        <w:t>Informar a la ciudadanía de la existencia del estacionamiento público y el nivel del mismo, mediante la instalación de señalamientos en la vía pública, previamente aceptados por la autoridad correspondiente;</w:t>
      </w:r>
    </w:p>
    <w:p w14:paraId="3A475B5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XXIII. </w:t>
      </w:r>
      <w:r>
        <w:rPr>
          <w:rFonts w:ascii="Gotham" w:hAnsi="Gotham" w:cs="Arial"/>
          <w:sz w:val="19"/>
          <w:szCs w:val="19"/>
        </w:rPr>
        <w:tab/>
      </w:r>
      <w:r w:rsidRPr="00940515">
        <w:rPr>
          <w:rFonts w:ascii="Gotham" w:hAnsi="Gotham" w:cs="Arial"/>
          <w:sz w:val="19"/>
          <w:szCs w:val="19"/>
        </w:rPr>
        <w:t>Cumplir con el cupo autorizado por la Dirección, conforme al proyecto autorizado, de manera que el usuario que no encuentre cajón disponible para estacionar su vehículo, puede retirarse del establecimiento sin pagar cuota alguna;</w:t>
      </w:r>
    </w:p>
    <w:p w14:paraId="3A475B5C"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XXIV. </w:t>
      </w:r>
      <w:r>
        <w:rPr>
          <w:rFonts w:ascii="Gotham" w:hAnsi="Gotham" w:cs="Arial"/>
          <w:sz w:val="19"/>
          <w:szCs w:val="19"/>
        </w:rPr>
        <w:tab/>
      </w:r>
      <w:r w:rsidRPr="00940515">
        <w:rPr>
          <w:rFonts w:ascii="Gotham" w:hAnsi="Gotham" w:cs="Arial"/>
          <w:sz w:val="19"/>
          <w:szCs w:val="19"/>
        </w:rPr>
        <w:t>Deberá de exhibir al ingreso del estacionamiento y de manera visible, un rotulo de 1.50 por 2.00 metros, que como mínimo deberá contener:</w:t>
      </w:r>
    </w:p>
    <w:p w14:paraId="3A475B5D"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Nombre del estacionamiento;</w:t>
      </w:r>
    </w:p>
    <w:p w14:paraId="3A475B5E"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Nombre del responsable del estacionamiento;</w:t>
      </w:r>
    </w:p>
    <w:p w14:paraId="3A475B5F"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Horario del servicio;</w:t>
      </w:r>
    </w:p>
    <w:p w14:paraId="3A475B60"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d) </w:t>
      </w:r>
      <w:r>
        <w:rPr>
          <w:rFonts w:ascii="Gotham" w:hAnsi="Gotham" w:cs="Arial"/>
          <w:sz w:val="19"/>
          <w:szCs w:val="19"/>
        </w:rPr>
        <w:tab/>
      </w:r>
      <w:r w:rsidRPr="00940515">
        <w:rPr>
          <w:rFonts w:ascii="Gotham" w:hAnsi="Gotham" w:cs="Arial"/>
          <w:sz w:val="19"/>
          <w:szCs w:val="19"/>
        </w:rPr>
        <w:t>Tabla de tarifas autorizadas;</w:t>
      </w:r>
    </w:p>
    <w:p w14:paraId="3A475B61"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e) </w:t>
      </w:r>
      <w:r>
        <w:rPr>
          <w:rFonts w:ascii="Gotham" w:hAnsi="Gotham" w:cs="Arial"/>
          <w:sz w:val="19"/>
          <w:szCs w:val="19"/>
        </w:rPr>
        <w:tab/>
      </w:r>
      <w:r w:rsidRPr="00940515">
        <w:rPr>
          <w:rFonts w:ascii="Gotham" w:hAnsi="Gotham" w:cs="Arial"/>
          <w:sz w:val="19"/>
          <w:szCs w:val="19"/>
        </w:rPr>
        <w:t>En su caso mención del número de póliza de seguro vigente contra robo total, daños a terceros y responsabilidad civil, de no contar con este deberá de publicarlo de forma visible;</w:t>
      </w:r>
    </w:p>
    <w:p w14:paraId="3A475B62"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f) </w:t>
      </w:r>
      <w:r>
        <w:rPr>
          <w:rFonts w:ascii="Gotham" w:hAnsi="Gotham" w:cs="Arial"/>
          <w:sz w:val="19"/>
          <w:szCs w:val="19"/>
        </w:rPr>
        <w:tab/>
      </w:r>
      <w:r w:rsidRPr="00940515">
        <w:rPr>
          <w:rFonts w:ascii="Gotham" w:hAnsi="Gotham" w:cs="Arial"/>
          <w:sz w:val="19"/>
          <w:szCs w:val="19"/>
        </w:rPr>
        <w:t>Costo de boleto perdido;</w:t>
      </w:r>
    </w:p>
    <w:p w14:paraId="3A475B63"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g) </w:t>
      </w:r>
      <w:r>
        <w:rPr>
          <w:rFonts w:ascii="Gotham" w:hAnsi="Gotham" w:cs="Arial"/>
          <w:sz w:val="19"/>
          <w:szCs w:val="19"/>
        </w:rPr>
        <w:tab/>
      </w:r>
      <w:r w:rsidRPr="00940515">
        <w:rPr>
          <w:rFonts w:ascii="Gotham" w:hAnsi="Gotham" w:cs="Arial"/>
          <w:sz w:val="19"/>
          <w:szCs w:val="19"/>
        </w:rPr>
        <w:t>Costo de la pensión mensual, en su caso;</w:t>
      </w:r>
    </w:p>
    <w:p w14:paraId="3A475B64"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lastRenderedPageBreak/>
        <w:t xml:space="preserve">h) </w:t>
      </w:r>
      <w:r>
        <w:rPr>
          <w:rFonts w:ascii="Gotham" w:hAnsi="Gotham" w:cs="Arial"/>
          <w:sz w:val="19"/>
          <w:szCs w:val="19"/>
        </w:rPr>
        <w:tab/>
      </w:r>
      <w:r w:rsidRPr="00940515">
        <w:rPr>
          <w:rFonts w:ascii="Gotham" w:hAnsi="Gotham" w:cs="Arial"/>
          <w:sz w:val="19"/>
          <w:szCs w:val="19"/>
        </w:rPr>
        <w:t>La mención de que a partir de la segunda hora el costo será fraccionado cada 30 minutos; y</w:t>
      </w:r>
    </w:p>
    <w:p w14:paraId="3A475B65"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Mención que, a motocicletas, motonetas y afines cuanto será el cobro por el servicio.</w:t>
      </w:r>
    </w:p>
    <w:p w14:paraId="3A475B66"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XXV. </w:t>
      </w:r>
      <w:r>
        <w:rPr>
          <w:rFonts w:ascii="Gotham" w:hAnsi="Gotham" w:cs="Arial"/>
          <w:sz w:val="19"/>
          <w:szCs w:val="19"/>
        </w:rPr>
        <w:tab/>
      </w:r>
      <w:r w:rsidRPr="00940515">
        <w:rPr>
          <w:rFonts w:ascii="Gotham" w:hAnsi="Gotham" w:cs="Arial"/>
          <w:sz w:val="19"/>
          <w:szCs w:val="19"/>
        </w:rPr>
        <w:t>Que el personal que labora en el estacionamiento se encuentre debidamente capacitado para el manejo de extintores y en primeros auxilios, debiendo de actualizar las constancias de capacitación al menos cada 5 cinco años; y</w:t>
      </w:r>
    </w:p>
    <w:p w14:paraId="3A475B67"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XXVI. </w:t>
      </w:r>
      <w:r>
        <w:rPr>
          <w:rFonts w:ascii="Gotham" w:hAnsi="Gotham" w:cs="Arial"/>
          <w:sz w:val="19"/>
          <w:szCs w:val="19"/>
        </w:rPr>
        <w:tab/>
      </w:r>
      <w:r w:rsidRPr="00940515">
        <w:rPr>
          <w:rFonts w:ascii="Gotham" w:hAnsi="Gotham" w:cs="Arial"/>
          <w:sz w:val="19"/>
          <w:szCs w:val="19"/>
        </w:rPr>
        <w:t>Así como los requisitos que contemplen las disposiciones reglamentarias y legales en materia de urbanización y edificación aplicables para el estado de Jalisco</w:t>
      </w:r>
    </w:p>
    <w:p w14:paraId="3A475B68" w14:textId="77777777" w:rsidR="009B5E39" w:rsidRPr="00940515" w:rsidRDefault="009B5E39" w:rsidP="009B5E39">
      <w:pPr>
        <w:ind w:left="284" w:right="283"/>
        <w:jc w:val="both"/>
        <w:rPr>
          <w:rFonts w:ascii="Gotham" w:hAnsi="Gotham" w:cs="Arial"/>
          <w:b/>
          <w:sz w:val="19"/>
          <w:szCs w:val="19"/>
          <w:highlight w:val="cyan"/>
        </w:rPr>
      </w:pPr>
    </w:p>
    <w:p w14:paraId="3A475B69"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129.</w:t>
      </w:r>
      <w:r w:rsidRPr="00940515">
        <w:rPr>
          <w:rFonts w:ascii="Gotham" w:hAnsi="Gotham" w:cs="Arial"/>
          <w:sz w:val="19"/>
          <w:szCs w:val="19"/>
        </w:rPr>
        <w:t xml:space="preserve"> Queda prohibido a los propietarios, administradores, encargados y acomodadores de estacionamientos: </w:t>
      </w:r>
    </w:p>
    <w:p w14:paraId="3A475B6A" w14:textId="77777777" w:rsidR="009B5E39" w:rsidRPr="00940515" w:rsidRDefault="009B5E39" w:rsidP="009B5E39">
      <w:pPr>
        <w:ind w:left="284" w:right="283"/>
        <w:jc w:val="both"/>
        <w:rPr>
          <w:rFonts w:ascii="Gotham" w:hAnsi="Gotham" w:cs="Arial"/>
          <w:sz w:val="19"/>
          <w:szCs w:val="19"/>
        </w:rPr>
      </w:pPr>
    </w:p>
    <w:p w14:paraId="3A475B6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Permitir que personas ajenas a los acomodadores manejen los vehículos de los usuarios; </w:t>
      </w:r>
    </w:p>
    <w:p w14:paraId="3A475B6C"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Permitir una entrada mayor de vehículos al número o rango de cajones autorizado, según el tipo de servicio que preste el estacionamiento; </w:t>
      </w:r>
    </w:p>
    <w:p w14:paraId="3A475B6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 xml:space="preserve">Se encuentren en estado de ebriedad o bajo el efecto de sustancias tóxicas, </w:t>
      </w:r>
    </w:p>
    <w:p w14:paraId="3A475B6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 xml:space="preserve">Sacar del estacionamiento los vehículos confiados a su custodia, sin autorización del propietario o poseedor; </w:t>
      </w:r>
    </w:p>
    <w:p w14:paraId="3A475B6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En el inmueble del estacionamiento se podrán prestar servicios complementarios, siempre que el propietario o administrador se responsabilice de los mismos y mantenga a la vista del público la lista de precios correspondiente;</w:t>
      </w:r>
    </w:p>
    <w:p w14:paraId="3A475B7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La prestación del servicio de estacionamiento no podrá condicionarse a la de los servicios complementarios;</w:t>
      </w:r>
    </w:p>
    <w:p w14:paraId="3A475B71"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Prescindirlos espacios preferentes para personas con discapacidad, procurar que en la medida de lo posible que no sean utilizados los espacios reservados, por personas que no cuenten la acreditación respectiva;</w:t>
      </w:r>
    </w:p>
    <w:p w14:paraId="3A475B72" w14:textId="77777777" w:rsidR="009B5E39" w:rsidRPr="00940515" w:rsidRDefault="009B5E39" w:rsidP="009B5E39">
      <w:pPr>
        <w:ind w:left="284" w:right="283"/>
        <w:jc w:val="both"/>
        <w:rPr>
          <w:rFonts w:ascii="Gotham" w:hAnsi="Gotham" w:cs="Arial"/>
          <w:b/>
          <w:sz w:val="19"/>
          <w:szCs w:val="19"/>
          <w:highlight w:val="cyan"/>
        </w:rPr>
      </w:pPr>
    </w:p>
    <w:p w14:paraId="3A475B73"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130.</w:t>
      </w:r>
      <w:r w:rsidRPr="00940515">
        <w:rPr>
          <w:rFonts w:ascii="Gotham" w:hAnsi="Gotham" w:cs="Arial"/>
          <w:sz w:val="19"/>
          <w:szCs w:val="19"/>
        </w:rPr>
        <w:t xml:space="preserve"> Los predios o edificios destinados a estacionamientos, ya sean de uso público o privado, deberán cumplir los lineamientos relativos a la accesibilidad universal;</w:t>
      </w:r>
    </w:p>
    <w:p w14:paraId="3A475B74" w14:textId="77777777" w:rsidR="009B5E39" w:rsidRPr="00940515" w:rsidRDefault="009B5E39" w:rsidP="009B5E39">
      <w:pPr>
        <w:ind w:left="284" w:right="283"/>
        <w:jc w:val="both"/>
        <w:rPr>
          <w:rFonts w:ascii="Gotham" w:hAnsi="Gotham" w:cs="Arial"/>
          <w:b/>
          <w:sz w:val="19"/>
          <w:szCs w:val="19"/>
        </w:rPr>
      </w:pPr>
    </w:p>
    <w:p w14:paraId="3A475B75"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131.</w:t>
      </w:r>
      <w:r w:rsidRPr="00940515">
        <w:rPr>
          <w:rFonts w:ascii="Gotham" w:hAnsi="Gotham" w:cs="Arial"/>
          <w:sz w:val="19"/>
          <w:szCs w:val="19"/>
        </w:rPr>
        <w:t xml:space="preserve"> El servicio al público de estacionamiento de vehículos, podrá ser prestado por personas físicas o morales, instituciones privadas o públicas;</w:t>
      </w:r>
    </w:p>
    <w:p w14:paraId="3A475B76" w14:textId="77777777" w:rsidR="009B5E39" w:rsidRPr="00940515" w:rsidRDefault="009B5E39" w:rsidP="009B5E39">
      <w:pPr>
        <w:ind w:left="284" w:right="283"/>
        <w:jc w:val="both"/>
        <w:rPr>
          <w:rFonts w:ascii="Gotham" w:hAnsi="Gotham" w:cs="Arial"/>
          <w:b/>
          <w:sz w:val="19"/>
          <w:szCs w:val="19"/>
        </w:rPr>
      </w:pPr>
    </w:p>
    <w:p w14:paraId="3A475B77"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132.</w:t>
      </w:r>
      <w:r w:rsidRPr="00940515">
        <w:rPr>
          <w:rFonts w:ascii="Gotham" w:hAnsi="Gotham" w:cs="Arial"/>
          <w:sz w:val="19"/>
          <w:szCs w:val="19"/>
        </w:rPr>
        <w:t xml:space="preserve"> A efecto de que se otorgue permiso o licencia para la operación de un estacionamiento vinculado, se requiere que el representante legal del establecimiento comercial o la plaza, exprese ante la Dirección la intención de cubrir una cuota por ese servicio, requiriéndose que:</w:t>
      </w:r>
    </w:p>
    <w:p w14:paraId="3A475B78" w14:textId="77777777" w:rsidR="009B5E39" w:rsidRPr="00940515" w:rsidRDefault="009B5E39" w:rsidP="009B5E39">
      <w:pPr>
        <w:ind w:left="284" w:right="283"/>
        <w:jc w:val="both"/>
        <w:rPr>
          <w:rFonts w:ascii="Gotham" w:hAnsi="Gotham" w:cs="Arial"/>
          <w:sz w:val="19"/>
          <w:szCs w:val="19"/>
        </w:rPr>
      </w:pPr>
    </w:p>
    <w:p w14:paraId="3A475B7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Presente solicitud, anexando los siguientes datos y documentos: </w:t>
      </w:r>
    </w:p>
    <w:p w14:paraId="3A475B7A"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 xml:space="preserve">Nombre y demás generales del solicitante; </w:t>
      </w:r>
    </w:p>
    <w:p w14:paraId="3A475B7B"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 xml:space="preserve">Croquis que especifique las áreas en que se prestará el servicio; </w:t>
      </w:r>
    </w:p>
    <w:p w14:paraId="3A475B7C"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 xml:space="preserve">Especificar días y horario en que se prestará el servicio; </w:t>
      </w:r>
    </w:p>
    <w:p w14:paraId="3A475B7D"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d) </w:t>
      </w:r>
      <w:r>
        <w:rPr>
          <w:rFonts w:ascii="Gotham" w:hAnsi="Gotham" w:cs="Arial"/>
          <w:sz w:val="19"/>
          <w:szCs w:val="19"/>
        </w:rPr>
        <w:tab/>
      </w:r>
      <w:r w:rsidRPr="00940515">
        <w:rPr>
          <w:rFonts w:ascii="Gotham" w:hAnsi="Gotham" w:cs="Arial"/>
          <w:sz w:val="19"/>
          <w:szCs w:val="19"/>
        </w:rPr>
        <w:t xml:space="preserve">Señalar el número exacto de cajones que se pretenden utilizar; </w:t>
      </w:r>
    </w:p>
    <w:p w14:paraId="3A475B7E"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e) </w:t>
      </w:r>
      <w:r>
        <w:rPr>
          <w:rFonts w:ascii="Gotham" w:hAnsi="Gotham" w:cs="Arial"/>
          <w:sz w:val="19"/>
          <w:szCs w:val="19"/>
        </w:rPr>
        <w:tab/>
      </w:r>
      <w:r w:rsidRPr="00940515">
        <w:rPr>
          <w:rFonts w:ascii="Gotham" w:hAnsi="Gotham" w:cs="Arial"/>
          <w:sz w:val="19"/>
          <w:szCs w:val="19"/>
        </w:rPr>
        <w:t>Opinión técnica vigente emitido por la Dirección; y;</w:t>
      </w:r>
    </w:p>
    <w:p w14:paraId="3A475B7F"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f) </w:t>
      </w:r>
      <w:r>
        <w:rPr>
          <w:rFonts w:ascii="Gotham" w:hAnsi="Gotham" w:cs="Arial"/>
          <w:sz w:val="19"/>
          <w:szCs w:val="19"/>
        </w:rPr>
        <w:tab/>
      </w:r>
      <w:r w:rsidRPr="00940515">
        <w:rPr>
          <w:rFonts w:ascii="Gotham" w:hAnsi="Gotham" w:cs="Arial"/>
          <w:sz w:val="19"/>
          <w:szCs w:val="19"/>
        </w:rPr>
        <w:t xml:space="preserve">Dictamen de la Dirección de Protección Civil y Bomberos. </w:t>
      </w:r>
    </w:p>
    <w:p w14:paraId="3A475B8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En su caso, copia del contrato que celebren la administración de la plaza y la operadora del estacionamiento, especificando las obligaciones y responsabilidades en que deberán incurrir ambas partes para con el usuario del servicio, sin embargo, la administración de la plaza será </w:t>
      </w:r>
      <w:r w:rsidRPr="00940515">
        <w:rPr>
          <w:rFonts w:ascii="Gotham" w:hAnsi="Gotham" w:cs="Arial"/>
          <w:sz w:val="19"/>
          <w:szCs w:val="19"/>
        </w:rPr>
        <w:lastRenderedPageBreak/>
        <w:t>obligado solidario del operador de estacionamiento, en favor de usuarios y de la administración municipal;</w:t>
      </w:r>
    </w:p>
    <w:p w14:paraId="3A475B8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 xml:space="preserve">Copia de la póliza de seguro y del recibió de pago con compañía aseguradora que garantice resarcir la pérdida por robo o destrucción de los vehículos en resguardo; y IV. Muestra física de boleto o comprobante que se vaya a entregar a los usuarios del estacionamiento, para su autorización, debiendo de tener en el interior del estacionamiento módulos lectores que permitan conocer: </w:t>
      </w:r>
    </w:p>
    <w:p w14:paraId="3A475B82"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 xml:space="preserve">Nombre o razón social del prestador del servicio; </w:t>
      </w:r>
    </w:p>
    <w:p w14:paraId="3A475B83" w14:textId="77777777" w:rsidR="009B5E39" w:rsidRPr="00940515" w:rsidRDefault="009B5E39" w:rsidP="009B5E39">
      <w:pPr>
        <w:spacing w:after="8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 xml:space="preserve">Domicilio fiscal; y </w:t>
      </w:r>
    </w:p>
    <w:p w14:paraId="3A475B84" w14:textId="77777777" w:rsidR="009B5E39" w:rsidRPr="00940515" w:rsidRDefault="009B5E39" w:rsidP="009B5E39">
      <w:pPr>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Hora de recepción, tarifa que se aplica, las condiciones en que se presta el servicio.</w:t>
      </w:r>
    </w:p>
    <w:p w14:paraId="3A475B85" w14:textId="77777777" w:rsidR="009B5E39" w:rsidRPr="00940515" w:rsidRDefault="009B5E39" w:rsidP="009B5E39">
      <w:pPr>
        <w:ind w:left="284" w:right="283"/>
        <w:jc w:val="both"/>
        <w:rPr>
          <w:rFonts w:ascii="Gotham" w:hAnsi="Gotham" w:cs="Arial"/>
          <w:b/>
          <w:sz w:val="19"/>
          <w:szCs w:val="19"/>
        </w:rPr>
      </w:pPr>
    </w:p>
    <w:p w14:paraId="3A475B8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133.</w:t>
      </w:r>
      <w:r w:rsidRPr="00940515">
        <w:rPr>
          <w:rFonts w:ascii="Gotham" w:hAnsi="Gotham" w:cs="Arial"/>
          <w:sz w:val="19"/>
          <w:szCs w:val="19"/>
        </w:rPr>
        <w:t xml:space="preserve"> La persona física o moral que preste el servicio de estacionamiento vinculado tendrá las siguientes obligaciones: </w:t>
      </w:r>
    </w:p>
    <w:p w14:paraId="3A475B87" w14:textId="77777777" w:rsidR="009B5E39" w:rsidRPr="00940515" w:rsidRDefault="009B5E39" w:rsidP="009B5E39">
      <w:pPr>
        <w:ind w:left="284" w:right="283"/>
        <w:jc w:val="both"/>
        <w:rPr>
          <w:rFonts w:ascii="Gotham" w:hAnsi="Gotham" w:cs="Arial"/>
          <w:sz w:val="19"/>
          <w:szCs w:val="19"/>
        </w:rPr>
      </w:pPr>
    </w:p>
    <w:p w14:paraId="3A475B88"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Emitir al ingreso comprobante de depósito del vehículo; </w:t>
      </w:r>
    </w:p>
    <w:p w14:paraId="3A475B8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Contar con iluminación, señalización y vigilancia; </w:t>
      </w:r>
    </w:p>
    <w:p w14:paraId="3A475B8A"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Cubrir el pago del deducible de la compañía aseguradora cuando exista un siniestro que sea robo total;</w:t>
      </w:r>
    </w:p>
    <w:p w14:paraId="3A475B8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Mantener el local permanentemente aseado y en condiciones aptas para la prestación del servicio;</w:t>
      </w:r>
    </w:p>
    <w:p w14:paraId="3A475B8C"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Informar al usuario las tarifas autorizadas que se cobrarán por la prestación del servicio; mediante la colocación de letreros en lugares visibles;</w:t>
      </w:r>
    </w:p>
    <w:p w14:paraId="3A475B8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El servicio de seguros o fianzas deberá ser prestado por empresas que se encuentren registradas ante la Comisión Nacional de Seguros y Fianzas;</w:t>
      </w:r>
    </w:p>
    <w:p w14:paraId="3A475B8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En la medida de lo posible auxiliar a los usuarios en caso de desperfectos o descomposturas de sus vehículos;</w:t>
      </w:r>
    </w:p>
    <w:p w14:paraId="3A475B8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Tener a la vista los teléfonos de emergencia y en la medida de lo posible auxiliar a sus usuarios en la comunicación con dichas autoridades; y</w:t>
      </w:r>
    </w:p>
    <w:p w14:paraId="3A475B90"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IX. </w:t>
      </w:r>
      <w:r>
        <w:rPr>
          <w:rFonts w:ascii="Gotham" w:hAnsi="Gotham" w:cs="Arial"/>
          <w:sz w:val="19"/>
          <w:szCs w:val="19"/>
        </w:rPr>
        <w:tab/>
      </w:r>
      <w:r w:rsidRPr="00940515">
        <w:rPr>
          <w:rFonts w:ascii="Gotham" w:hAnsi="Gotham" w:cs="Arial"/>
          <w:sz w:val="19"/>
          <w:szCs w:val="19"/>
        </w:rPr>
        <w:t>Cubrir a la Tesorería el pago de derechos que le imponga la Ley de Ingresos;</w:t>
      </w:r>
    </w:p>
    <w:p w14:paraId="3A475B91" w14:textId="77777777" w:rsidR="009B5E39" w:rsidRPr="00940515" w:rsidRDefault="009B5E39" w:rsidP="009B5E39">
      <w:pPr>
        <w:ind w:left="284" w:right="283"/>
        <w:jc w:val="both"/>
        <w:rPr>
          <w:rFonts w:ascii="Gotham" w:hAnsi="Gotham" w:cs="Arial"/>
          <w:b/>
          <w:sz w:val="19"/>
          <w:szCs w:val="19"/>
          <w:highlight w:val="cyan"/>
        </w:rPr>
      </w:pPr>
    </w:p>
    <w:p w14:paraId="3A475B92"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134.</w:t>
      </w:r>
      <w:r w:rsidRPr="00940515">
        <w:rPr>
          <w:rFonts w:ascii="Gotham" w:hAnsi="Gotham" w:cs="Arial"/>
          <w:sz w:val="19"/>
          <w:szCs w:val="19"/>
        </w:rPr>
        <w:t xml:space="preserve"> En caso de emergencia, siniestro o cualquier otra eventualidad evidente o decretada por autoridad competente, se deberán levantar las plumas de control de accesos, liberándose el operador del servicio de responsabilidad, como consecuencia de la apertura de salidas y entradas.</w:t>
      </w:r>
    </w:p>
    <w:p w14:paraId="3A475B93" w14:textId="77777777" w:rsidR="009B5E39" w:rsidRPr="00940515" w:rsidRDefault="009B5E39" w:rsidP="009B5E39">
      <w:pPr>
        <w:ind w:left="284" w:right="283"/>
        <w:jc w:val="both"/>
        <w:rPr>
          <w:rFonts w:ascii="Gotham" w:hAnsi="Gotham" w:cs="Arial"/>
          <w:b/>
          <w:sz w:val="19"/>
          <w:szCs w:val="19"/>
          <w:highlight w:val="cyan"/>
        </w:rPr>
      </w:pPr>
    </w:p>
    <w:p w14:paraId="3A475B94"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135.</w:t>
      </w:r>
      <w:r w:rsidRPr="00940515">
        <w:rPr>
          <w:rFonts w:ascii="Gotham" w:hAnsi="Gotham" w:cs="Arial"/>
          <w:sz w:val="19"/>
          <w:szCs w:val="19"/>
        </w:rPr>
        <w:t xml:space="preserve"> Aquellas personas que presten el servicio de estacionamientos deberán estar plenamente identificadas con gafetes visibles en los que se distingan claramente los datos de la persona y empresa y el servicio que prestan y preferentemente portarán uniforme distintivo de la empresa. </w:t>
      </w:r>
    </w:p>
    <w:p w14:paraId="3A475B95" w14:textId="77777777" w:rsidR="009B5E39" w:rsidRPr="00940515" w:rsidRDefault="009B5E39" w:rsidP="009B5E39">
      <w:pPr>
        <w:ind w:left="284" w:right="283"/>
        <w:jc w:val="both"/>
        <w:rPr>
          <w:rFonts w:ascii="Gotham" w:hAnsi="Gotham" w:cs="Arial"/>
          <w:b/>
          <w:sz w:val="19"/>
          <w:szCs w:val="19"/>
          <w:highlight w:val="cyan"/>
        </w:rPr>
      </w:pPr>
    </w:p>
    <w:p w14:paraId="3A475B9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136.</w:t>
      </w:r>
      <w:r w:rsidRPr="00940515">
        <w:rPr>
          <w:rFonts w:ascii="Gotham" w:hAnsi="Gotham" w:cs="Arial"/>
          <w:sz w:val="19"/>
          <w:szCs w:val="19"/>
        </w:rPr>
        <w:t xml:space="preserve"> El estacionamiento o espacio para la detención momentánea o temporal de vehículos deberá considerarse como parte de la vialidad, ya sea que este se encuentre en la calle, dentro o fuera del arroyo de circulación, o dentro de los predios o edificaciones. </w:t>
      </w:r>
    </w:p>
    <w:p w14:paraId="3A475B97" w14:textId="77777777" w:rsidR="009B5E39" w:rsidRDefault="009B5E39" w:rsidP="009B5E39">
      <w:pPr>
        <w:ind w:left="284" w:right="283"/>
        <w:jc w:val="both"/>
        <w:rPr>
          <w:rFonts w:ascii="Gotham" w:hAnsi="Gotham" w:cs="Arial"/>
          <w:b/>
          <w:sz w:val="19"/>
          <w:szCs w:val="19"/>
          <w:highlight w:val="cyan"/>
        </w:rPr>
      </w:pPr>
    </w:p>
    <w:p w14:paraId="3A475B98" w14:textId="77777777" w:rsidR="009B5E39" w:rsidRPr="00940515" w:rsidRDefault="009B5E39" w:rsidP="009B5E39">
      <w:pPr>
        <w:ind w:left="284" w:right="283"/>
        <w:jc w:val="both"/>
        <w:rPr>
          <w:rFonts w:ascii="Gotham" w:hAnsi="Gotham" w:cs="Arial"/>
          <w:b/>
          <w:sz w:val="19"/>
          <w:szCs w:val="19"/>
          <w:highlight w:val="cyan"/>
        </w:rPr>
      </w:pPr>
    </w:p>
    <w:p w14:paraId="3A475B99"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CAPÍTULO V</w:t>
      </w:r>
    </w:p>
    <w:p w14:paraId="3A475B9A"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DE LOS ESTACIONAMIENTOS EVENTUALES</w:t>
      </w:r>
    </w:p>
    <w:p w14:paraId="3A475B9B" w14:textId="77777777" w:rsidR="009B5E39" w:rsidRPr="00940515" w:rsidRDefault="009B5E39" w:rsidP="009B5E39">
      <w:pPr>
        <w:ind w:left="284" w:right="283"/>
        <w:jc w:val="both"/>
        <w:rPr>
          <w:rFonts w:ascii="Gotham" w:hAnsi="Gotham" w:cs="Arial"/>
          <w:b/>
          <w:sz w:val="19"/>
          <w:szCs w:val="19"/>
        </w:rPr>
      </w:pPr>
    </w:p>
    <w:p w14:paraId="3A475B9C"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lastRenderedPageBreak/>
        <w:t>Artículo 137</w:t>
      </w:r>
      <w:r w:rsidRPr="00940515">
        <w:rPr>
          <w:rFonts w:ascii="Gotham" w:hAnsi="Gotham" w:cs="Arial"/>
          <w:sz w:val="19"/>
          <w:szCs w:val="19"/>
        </w:rPr>
        <w:t>. La operación de estacionamientos eventuales solo procederá, cuando las calles aledañas al sitio del evento no se vean afectadas en su fluidez vehicular.</w:t>
      </w:r>
    </w:p>
    <w:p w14:paraId="3A475B9D" w14:textId="77777777" w:rsidR="009B5E39" w:rsidRPr="00940515" w:rsidRDefault="009B5E39" w:rsidP="009B5E39">
      <w:pPr>
        <w:ind w:left="284" w:right="283"/>
        <w:jc w:val="both"/>
        <w:rPr>
          <w:rFonts w:ascii="Gotham" w:hAnsi="Gotham" w:cs="Arial"/>
          <w:b/>
          <w:sz w:val="19"/>
          <w:szCs w:val="19"/>
          <w:highlight w:val="cyan"/>
        </w:rPr>
      </w:pPr>
    </w:p>
    <w:p w14:paraId="3A475B9E"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138.</w:t>
      </w:r>
      <w:r w:rsidRPr="00940515">
        <w:rPr>
          <w:rFonts w:ascii="Gotham" w:hAnsi="Gotham" w:cs="Arial"/>
          <w:sz w:val="19"/>
          <w:szCs w:val="19"/>
        </w:rPr>
        <w:t xml:space="preserve"> La Dirección podrá autorizar esta modalidad de estacionamientos, cuando se cumplan únicamente con los siguientes requisitos: </w:t>
      </w:r>
    </w:p>
    <w:p w14:paraId="3A475B9F" w14:textId="77777777" w:rsidR="009B5E39" w:rsidRPr="00940515" w:rsidRDefault="009B5E39" w:rsidP="009B5E39">
      <w:pPr>
        <w:ind w:left="284" w:right="283"/>
        <w:jc w:val="both"/>
        <w:rPr>
          <w:rFonts w:ascii="Gotham" w:hAnsi="Gotham" w:cs="Arial"/>
          <w:sz w:val="19"/>
          <w:szCs w:val="19"/>
        </w:rPr>
      </w:pPr>
    </w:p>
    <w:p w14:paraId="3A475BA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Solicitud por escrito, con por lo menos 10 días naturales anteriores a la fecha de inicio del evento, señalando la ubicación exacta del predio y la cantidad de cajones solicitados;</w:t>
      </w:r>
    </w:p>
    <w:p w14:paraId="3A475BA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Identificación oficial y comprobante de domicilio del solicitante;</w:t>
      </w:r>
    </w:p>
    <w:p w14:paraId="3A475BA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La documentación que acredite la posesión o propiedad del predio que se pretende utilizar para este fin;</w:t>
      </w:r>
    </w:p>
    <w:p w14:paraId="3A475BA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 xml:space="preserve">Que el inmueble cuente con seguro de responsabilidad civil o fianza por robo total o contra incendio del inmueble; o </w:t>
      </w:r>
    </w:p>
    <w:p w14:paraId="3A475BA4"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3D1DA7">
        <w:rPr>
          <w:rFonts w:ascii="Gotham" w:hAnsi="Gotham" w:cs="Arial"/>
          <w:sz w:val="19"/>
          <w:szCs w:val="19"/>
        </w:rPr>
        <w:t>Con el visto</w:t>
      </w:r>
      <w:r>
        <w:rPr>
          <w:rFonts w:ascii="Gotham" w:hAnsi="Gotham" w:cs="Arial"/>
          <w:sz w:val="19"/>
          <w:szCs w:val="19"/>
        </w:rPr>
        <w:t xml:space="preserve"> bueno</w:t>
      </w:r>
      <w:r w:rsidRPr="00940515">
        <w:rPr>
          <w:rFonts w:ascii="Gotham" w:hAnsi="Gotham" w:cs="Arial"/>
          <w:sz w:val="19"/>
          <w:szCs w:val="19"/>
        </w:rPr>
        <w:t xml:space="preserve"> y opiniones técnicas cuando a juicio de la Dirección se requieran.</w:t>
      </w:r>
    </w:p>
    <w:p w14:paraId="3A475BA5" w14:textId="77777777" w:rsidR="009B5E39" w:rsidRPr="00940515" w:rsidRDefault="009B5E39" w:rsidP="009B5E39">
      <w:pPr>
        <w:ind w:left="284" w:right="283"/>
        <w:jc w:val="both"/>
        <w:rPr>
          <w:rFonts w:ascii="Gotham" w:hAnsi="Gotham" w:cs="Arial"/>
          <w:b/>
          <w:sz w:val="19"/>
          <w:szCs w:val="19"/>
          <w:highlight w:val="cyan"/>
        </w:rPr>
      </w:pPr>
    </w:p>
    <w:p w14:paraId="3A475BA6" w14:textId="77777777" w:rsidR="009B5E39" w:rsidRPr="00940515" w:rsidRDefault="009B5E39" w:rsidP="009B5E39">
      <w:pPr>
        <w:ind w:left="284" w:right="283"/>
        <w:jc w:val="both"/>
        <w:rPr>
          <w:rFonts w:ascii="Gotham" w:hAnsi="Gotham" w:cs="Arial"/>
          <w:b/>
          <w:sz w:val="19"/>
          <w:szCs w:val="19"/>
        </w:rPr>
      </w:pPr>
      <w:r w:rsidRPr="00940515">
        <w:rPr>
          <w:rFonts w:ascii="Gotham" w:hAnsi="Gotham" w:cs="Arial"/>
          <w:b/>
          <w:sz w:val="19"/>
          <w:szCs w:val="19"/>
        </w:rPr>
        <w:t>Artículo 139.</w:t>
      </w:r>
      <w:r w:rsidRPr="00940515">
        <w:rPr>
          <w:rFonts w:ascii="Gotham" w:hAnsi="Gotham" w:cs="Arial"/>
          <w:sz w:val="19"/>
          <w:szCs w:val="19"/>
        </w:rPr>
        <w:t xml:space="preserve"> Cuando el servicio de estacionamiento se preste exclusivamente con motivo de un acto o espectáculo público, el operador del estacionamiento debe hacer del conocimiento del usuario que dispone de dos horas a partir de la terminación del evento para retirar su vehículo, transcurrido el plazo, cesa la responsabilidad del prestador del servicio.</w:t>
      </w:r>
    </w:p>
    <w:p w14:paraId="3A475BA7" w14:textId="77777777" w:rsidR="009B5E39" w:rsidRDefault="009B5E39" w:rsidP="009B5E39">
      <w:pPr>
        <w:ind w:left="284" w:right="283"/>
        <w:jc w:val="both"/>
        <w:rPr>
          <w:rFonts w:ascii="Gotham" w:hAnsi="Gotham" w:cs="Arial"/>
          <w:b/>
          <w:sz w:val="19"/>
          <w:szCs w:val="19"/>
        </w:rPr>
      </w:pPr>
    </w:p>
    <w:p w14:paraId="3A475BA8" w14:textId="77777777" w:rsidR="009B5E39" w:rsidRPr="00940515" w:rsidRDefault="009B5E39" w:rsidP="009B5E39">
      <w:pPr>
        <w:ind w:left="284" w:right="283"/>
        <w:jc w:val="both"/>
        <w:rPr>
          <w:rFonts w:ascii="Gotham" w:hAnsi="Gotham" w:cs="Arial"/>
          <w:b/>
          <w:sz w:val="19"/>
          <w:szCs w:val="19"/>
        </w:rPr>
      </w:pPr>
    </w:p>
    <w:p w14:paraId="3A475BA9"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CAPÍTULO VI</w:t>
      </w:r>
    </w:p>
    <w:p w14:paraId="3A475BAA"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DEL SERVICIO DE ESTACIONAMIENTO CON ACOMODADORES DE VEHÍCULOS</w:t>
      </w:r>
    </w:p>
    <w:p w14:paraId="3A475BAB" w14:textId="77777777" w:rsidR="009B5E39" w:rsidRPr="00940515" w:rsidRDefault="009B5E39" w:rsidP="009B5E39">
      <w:pPr>
        <w:ind w:left="284" w:right="283"/>
        <w:jc w:val="center"/>
        <w:rPr>
          <w:rFonts w:ascii="Gotham" w:hAnsi="Gotham" w:cs="Arial"/>
          <w:b/>
          <w:sz w:val="19"/>
          <w:szCs w:val="19"/>
        </w:rPr>
      </w:pPr>
    </w:p>
    <w:p w14:paraId="3A475BAC"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140.</w:t>
      </w:r>
      <w:r w:rsidRPr="00940515">
        <w:rPr>
          <w:rFonts w:ascii="Gotham" w:hAnsi="Gotham" w:cs="Arial"/>
          <w:sz w:val="19"/>
          <w:szCs w:val="19"/>
        </w:rPr>
        <w:t xml:space="preserve"> Corresponde a la Dirección de Padrón y Licencias otorgar las licencias o permisos para la prestación del servicio de estacionamiento con acomodadores de vehículos, atendiendo la opinión de la Dirección.</w:t>
      </w:r>
    </w:p>
    <w:p w14:paraId="3A475BAD" w14:textId="77777777" w:rsidR="009B5E39" w:rsidRPr="00940515" w:rsidRDefault="009B5E39" w:rsidP="009B5E39">
      <w:pPr>
        <w:ind w:left="284" w:right="283"/>
        <w:jc w:val="both"/>
        <w:rPr>
          <w:rFonts w:ascii="Gotham" w:hAnsi="Gotham" w:cs="Arial"/>
          <w:sz w:val="19"/>
          <w:szCs w:val="19"/>
        </w:rPr>
      </w:pPr>
    </w:p>
    <w:p w14:paraId="3A475BAE"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141</w:t>
      </w:r>
      <w:r w:rsidRPr="00940515">
        <w:rPr>
          <w:rFonts w:ascii="Gotham" w:hAnsi="Gotham" w:cs="Arial"/>
          <w:sz w:val="19"/>
          <w:szCs w:val="19"/>
        </w:rPr>
        <w:t>. Para la prestación del servicio con acomodadores de vehículos, el establecimiento deberá disponer de espacios para estacionar los vehículos excedentes a los requeridos por la superficie construida que la legislación y reglamentación prevén. Cuando la demanda para acomodar vehículos rebase la capacidad de espacios de estacionamientos para los clientes, o el establecimiento carezca de ellos, deberá acreditar que dispone de un inmueble denominado lugar de resguardo, para la custodia de los vehículos de sus clientes, en un radio no mayor a 500 metros.</w:t>
      </w:r>
    </w:p>
    <w:p w14:paraId="3A475BAF" w14:textId="77777777" w:rsidR="009B5E39" w:rsidRPr="00940515" w:rsidRDefault="009B5E39" w:rsidP="009B5E39">
      <w:pPr>
        <w:ind w:left="284" w:right="283"/>
        <w:jc w:val="both"/>
        <w:rPr>
          <w:rFonts w:ascii="Gotham" w:hAnsi="Gotham" w:cs="Arial"/>
          <w:sz w:val="19"/>
          <w:szCs w:val="19"/>
        </w:rPr>
      </w:pPr>
    </w:p>
    <w:p w14:paraId="3A475BB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142.</w:t>
      </w:r>
      <w:r w:rsidRPr="00940515">
        <w:rPr>
          <w:rFonts w:ascii="Gotham" w:hAnsi="Gotham" w:cs="Arial"/>
          <w:sz w:val="19"/>
          <w:szCs w:val="19"/>
        </w:rPr>
        <w:t xml:space="preserve"> Cuando el servicio de estacionamiento con acomodadores de vehículos sea operado por personal del establecimiento al que acuda el usuario, el propietario responderá civilmente por los daños ocasionados al vehículo, de la misma forma responderá, como responsable solidario, cuando contrate a una empresa prestadora de servicios de acomodadores de vehículos que esté constituida en los términos de este Reglamento, o cuando ésta no pueda cumplir con sus obligaciones contractuales. Es decir, que el titular de la licencia municipal del giro que contrato al servicio de acomodadores, será solidario corresponsable con respecto a dicho servicio en todas sus obligaciones a favor del Municipio y de los usuarios del mismo.</w:t>
      </w:r>
    </w:p>
    <w:p w14:paraId="3A475BB1" w14:textId="77777777" w:rsidR="009B5E39" w:rsidRPr="00940515" w:rsidRDefault="009B5E39" w:rsidP="009B5E39">
      <w:pPr>
        <w:ind w:left="284" w:right="283"/>
        <w:jc w:val="both"/>
        <w:rPr>
          <w:rFonts w:ascii="Gotham" w:hAnsi="Gotham" w:cs="Arial"/>
          <w:sz w:val="19"/>
          <w:szCs w:val="19"/>
        </w:rPr>
      </w:pPr>
    </w:p>
    <w:p w14:paraId="3A475BB2"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143</w:t>
      </w:r>
      <w:r w:rsidRPr="00940515">
        <w:rPr>
          <w:rFonts w:ascii="Gotham" w:hAnsi="Gotham" w:cs="Arial"/>
          <w:sz w:val="19"/>
          <w:szCs w:val="19"/>
        </w:rPr>
        <w:t>. En el caso de quienes presten el servicio de acomodadores de vehículos, el autorizado deberá responsabilizarse por los objetos que se dejen dentro del vehículo, siempre y cuando el usuario haya hecho del conocimiento de tal circunstancia al encargado del estacionamiento, mediante inventario al ingresar a éste, debiendo ser colocada de forma visible esta leyenda a la entrada de dichos estacionamientos y en lugar visible para los usuarios.</w:t>
      </w:r>
    </w:p>
    <w:p w14:paraId="3A475BB3" w14:textId="77777777" w:rsidR="009B5E39" w:rsidRPr="00940515" w:rsidRDefault="009B5E39" w:rsidP="009B5E39">
      <w:pPr>
        <w:ind w:left="284" w:right="283"/>
        <w:jc w:val="both"/>
        <w:rPr>
          <w:rFonts w:ascii="Gotham" w:hAnsi="Gotham" w:cs="Arial"/>
          <w:sz w:val="19"/>
          <w:szCs w:val="19"/>
          <w:highlight w:val="cyan"/>
        </w:rPr>
      </w:pPr>
    </w:p>
    <w:p w14:paraId="3A475BB4"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144. </w:t>
      </w:r>
      <w:r w:rsidRPr="00940515">
        <w:rPr>
          <w:rFonts w:ascii="Gotham" w:hAnsi="Gotham" w:cs="Arial"/>
          <w:sz w:val="19"/>
          <w:szCs w:val="19"/>
        </w:rPr>
        <w:t>Es obligación de los propietarios de los establecimientos que prestan el servicio de estacionamiento con los acomodadores de vehículos, las siguientes:</w:t>
      </w:r>
    </w:p>
    <w:p w14:paraId="3A475BB5" w14:textId="77777777" w:rsidR="009B5E39" w:rsidRPr="00940515" w:rsidRDefault="009B5E39" w:rsidP="009B5E39">
      <w:pPr>
        <w:ind w:left="284" w:right="283"/>
        <w:jc w:val="both"/>
        <w:rPr>
          <w:rFonts w:ascii="Gotham" w:hAnsi="Gotham" w:cs="Arial"/>
          <w:sz w:val="19"/>
          <w:szCs w:val="19"/>
        </w:rPr>
      </w:pPr>
    </w:p>
    <w:p w14:paraId="3A475BB6"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lastRenderedPageBreak/>
        <w:t xml:space="preserve">I. </w:t>
      </w:r>
      <w:r>
        <w:rPr>
          <w:rFonts w:ascii="Gotham" w:hAnsi="Gotham" w:cs="Arial"/>
          <w:sz w:val="19"/>
          <w:szCs w:val="19"/>
        </w:rPr>
        <w:tab/>
      </w:r>
      <w:r w:rsidRPr="00940515">
        <w:rPr>
          <w:rFonts w:ascii="Gotham" w:hAnsi="Gotham" w:cs="Arial"/>
          <w:sz w:val="19"/>
          <w:szCs w:val="19"/>
        </w:rPr>
        <w:t xml:space="preserve">Que todo su personal cuente con licencia de conducir vigente. </w:t>
      </w:r>
    </w:p>
    <w:p w14:paraId="3A475BB7"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Cubrir a los usuarios los daños que sufran en sus vehículos y equipos automotrices durante el tiempo de su guarda, de conformidad con lo siguiente: </w:t>
      </w:r>
    </w:p>
    <w:p w14:paraId="3A475BB8"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Robo total o parcial, así como daños y destrucción causados en el tiempo del resguardo, ya sea por su personal o por terceros;</w:t>
      </w:r>
    </w:p>
    <w:p w14:paraId="3A475BB9"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Los seguros deberán ser contratados con empresas que se encuentren registradas ante la Comisión Nacional de Seguros y Fianzas, y mantenerlos vigentes; y</w:t>
      </w:r>
    </w:p>
    <w:p w14:paraId="3A475BBA"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 xml:space="preserve">En caso de daño parcial por accidente o negligencia, sea o no sea responsabilidad del personal, se deberá garantizar mediante la entrega de la orden de trabajo expedida por la aseguradora para llevar a cabo la reparación del vehículo; </w:t>
      </w:r>
    </w:p>
    <w:p w14:paraId="3A475BB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Los titulares de la licencia de giro del establecimiento con servicio de acomodadores de vehículos, estarán obligados a garantizar el lugar de resguardo. Del mismo modo, las empresas dedicadas a proporcionar el servicio de estacionamiento con acomodadores de vehículos deberán asegurar un lugar de resguardo para los vehículos a los cuales presten el servicio, pudiendo ser el mismo del establecimiento.</w:t>
      </w:r>
    </w:p>
    <w:p w14:paraId="3A475BBC"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Dicho lugar de resguardo deberá ser diferente a los cajones de estacionamiento que debe garantizar cualquier local comercial de acuerdo con el permiso de construcción emitido por la Dirección correspondiente.</w:t>
      </w:r>
    </w:p>
    <w:p w14:paraId="3A475BB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No se les autorizará lugares de estacionamiento exclusivo en vía pública.</w:t>
      </w:r>
    </w:p>
    <w:p w14:paraId="3A475BB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Deberán emitir los boletos de resguardo del vehículo recibido, con mención del costo del servicio, los datos de la empresa, y las condiciones generales del contrato, así como las excluyentes de responsabilidad;</w:t>
      </w:r>
    </w:p>
    <w:p w14:paraId="3A475BB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 xml:space="preserve">Contar con iluminación y señalización clara y suficiente para el control de entrega y recepción del vehículo; </w:t>
      </w:r>
    </w:p>
    <w:p w14:paraId="3A475BC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 xml:space="preserve">Cubrir la cuota por concepto de registro y operación del servicio dentro del municipio; </w:t>
      </w:r>
    </w:p>
    <w:p w14:paraId="3A475BC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IX. </w:t>
      </w:r>
      <w:r>
        <w:rPr>
          <w:rFonts w:ascii="Gotham" w:hAnsi="Gotham" w:cs="Arial"/>
          <w:sz w:val="19"/>
          <w:szCs w:val="19"/>
        </w:rPr>
        <w:tab/>
      </w:r>
      <w:r w:rsidRPr="00940515">
        <w:rPr>
          <w:rFonts w:ascii="Gotham" w:hAnsi="Gotham" w:cs="Arial"/>
          <w:sz w:val="19"/>
          <w:szCs w:val="19"/>
        </w:rPr>
        <w:t xml:space="preserve">Prestar el servicio a toda persona que lo solicite, dentro del horario autorizado para ello, aplicando las restricciones de ley a aquellas que pretendan utilizarlo para un fin peligroso o ilícito. </w:t>
      </w:r>
    </w:p>
    <w:p w14:paraId="3A475BC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X. </w:t>
      </w:r>
      <w:r>
        <w:rPr>
          <w:rFonts w:ascii="Gotham" w:hAnsi="Gotham" w:cs="Arial"/>
          <w:sz w:val="19"/>
          <w:szCs w:val="19"/>
        </w:rPr>
        <w:tab/>
      </w:r>
      <w:r w:rsidRPr="00940515">
        <w:rPr>
          <w:rFonts w:ascii="Gotham" w:hAnsi="Gotham" w:cs="Arial"/>
          <w:sz w:val="19"/>
          <w:szCs w:val="19"/>
        </w:rPr>
        <w:t>Portar el autorizado o quien lo represente, así como sus empleados, una identificación visible al público, que contenga: nombre completo, fotografía, cargo y razón social del prestador de servicios para el que trabaja.</w:t>
      </w:r>
    </w:p>
    <w:p w14:paraId="3A475BC3"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XI. </w:t>
      </w:r>
      <w:r>
        <w:rPr>
          <w:rFonts w:ascii="Gotham" w:hAnsi="Gotham" w:cs="Arial"/>
          <w:sz w:val="19"/>
          <w:szCs w:val="19"/>
        </w:rPr>
        <w:tab/>
      </w:r>
      <w:r w:rsidRPr="00940515">
        <w:rPr>
          <w:rFonts w:ascii="Gotham" w:hAnsi="Gotham" w:cs="Arial"/>
          <w:sz w:val="19"/>
          <w:szCs w:val="19"/>
        </w:rPr>
        <w:t>Los titulares de la licencia de giro, o bien los operadores de los establecimientos mercantiles y de servicios, que contraten a empresas dedicadas a proporcionar el servicio de acomodadores de vehículos que no cuenten con las autorizaciones municipales correspondientes, será sancionadas conforme a lo que establecen las disposiciones reglamentarias municipales correspondientes.</w:t>
      </w:r>
    </w:p>
    <w:p w14:paraId="3A475BC4" w14:textId="77777777" w:rsidR="009B5E39" w:rsidRPr="00940515" w:rsidRDefault="009B5E39" w:rsidP="009B5E39">
      <w:pPr>
        <w:ind w:left="284" w:right="283"/>
        <w:jc w:val="both"/>
        <w:rPr>
          <w:rFonts w:ascii="Gotham" w:hAnsi="Gotham" w:cs="Arial"/>
          <w:sz w:val="19"/>
          <w:szCs w:val="19"/>
        </w:rPr>
      </w:pPr>
    </w:p>
    <w:p w14:paraId="3A475BC5"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 xml:space="preserve">Artículo 145. </w:t>
      </w:r>
      <w:r w:rsidRPr="00940515">
        <w:rPr>
          <w:rFonts w:ascii="Gotham" w:hAnsi="Gotham" w:cs="Arial"/>
          <w:sz w:val="19"/>
          <w:szCs w:val="19"/>
        </w:rPr>
        <w:t>Queda prohibido a los propietarios, administradores, encargados y acomodadores de estacionamientos:</w:t>
      </w:r>
    </w:p>
    <w:p w14:paraId="3A475BC6" w14:textId="77777777" w:rsidR="009B5E39" w:rsidRPr="00940515" w:rsidRDefault="009B5E39" w:rsidP="009B5E39">
      <w:pPr>
        <w:ind w:left="284" w:right="283"/>
        <w:jc w:val="both"/>
        <w:rPr>
          <w:rFonts w:ascii="Gotham" w:hAnsi="Gotham" w:cs="Arial"/>
          <w:sz w:val="19"/>
          <w:szCs w:val="19"/>
        </w:rPr>
      </w:pPr>
    </w:p>
    <w:p w14:paraId="3A475BC7"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Permitir que personas ajenas a los acomodadores manejen los vehículos de los usuarios; </w:t>
      </w:r>
    </w:p>
    <w:p w14:paraId="3A475BC8"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Permitir una entrada mayor de vehículos al número de cajones garantizados en su lugar de resguardo;</w:t>
      </w:r>
    </w:p>
    <w:p w14:paraId="3A475BC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 xml:space="preserve">Permitir que los empleados se encuentren en estado de ebriedad o bajo el efecto de sustancias tóxicas; y </w:t>
      </w:r>
    </w:p>
    <w:p w14:paraId="3A475BCA"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lastRenderedPageBreak/>
        <w:t xml:space="preserve">IV. </w:t>
      </w:r>
      <w:r>
        <w:rPr>
          <w:rFonts w:ascii="Gotham" w:hAnsi="Gotham" w:cs="Arial"/>
          <w:sz w:val="19"/>
          <w:szCs w:val="19"/>
        </w:rPr>
        <w:tab/>
      </w:r>
      <w:r w:rsidRPr="00940515">
        <w:rPr>
          <w:rFonts w:ascii="Gotham" w:hAnsi="Gotham" w:cs="Arial"/>
          <w:sz w:val="19"/>
          <w:szCs w:val="19"/>
        </w:rPr>
        <w:t xml:space="preserve">Estacionar los vehículos en la vía pública. Deberán en todo momento encontrarse en el lugar de resguardo o bien en el estacionamiento del establecimiento. </w:t>
      </w:r>
    </w:p>
    <w:p w14:paraId="3A475BCB" w14:textId="77777777" w:rsidR="009B5E39" w:rsidRPr="00940515" w:rsidRDefault="009B5E39" w:rsidP="009B5E39">
      <w:pPr>
        <w:ind w:left="284" w:right="283"/>
        <w:jc w:val="both"/>
        <w:rPr>
          <w:rFonts w:ascii="Gotham" w:hAnsi="Gotham" w:cs="Arial"/>
          <w:sz w:val="19"/>
          <w:szCs w:val="19"/>
          <w:highlight w:val="cyan"/>
        </w:rPr>
      </w:pPr>
    </w:p>
    <w:p w14:paraId="3A475BCC"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146.</w:t>
      </w:r>
      <w:r w:rsidRPr="00940515">
        <w:rPr>
          <w:rFonts w:ascii="Gotham" w:hAnsi="Gotham" w:cs="Arial"/>
          <w:sz w:val="19"/>
          <w:szCs w:val="19"/>
        </w:rPr>
        <w:t xml:space="preserve"> Para obtener el registro para la prestación del servicio de estacionamiento con acomodadores, se requiere presentar ante la jefatura de estacionamiento lo siguientes requisitos:</w:t>
      </w:r>
    </w:p>
    <w:p w14:paraId="3A475BCD" w14:textId="77777777" w:rsidR="009B5E39" w:rsidRPr="00940515" w:rsidRDefault="009B5E39" w:rsidP="009B5E39">
      <w:pPr>
        <w:ind w:left="284" w:right="283"/>
        <w:jc w:val="both"/>
        <w:rPr>
          <w:rFonts w:ascii="Gotham" w:hAnsi="Gotham" w:cs="Arial"/>
          <w:sz w:val="19"/>
          <w:szCs w:val="19"/>
        </w:rPr>
      </w:pPr>
    </w:p>
    <w:p w14:paraId="3A475BCE"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Solicitud por escrito; </w:t>
      </w:r>
    </w:p>
    <w:p w14:paraId="3A475BC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Copia de identificación oficial del solicitante; </w:t>
      </w:r>
    </w:p>
    <w:p w14:paraId="3A475BD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 xml:space="preserve">Comprobante de domicilio del solicitante; </w:t>
      </w:r>
    </w:p>
    <w:p w14:paraId="3A475BD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 xml:space="preserve">En su caso, acta de la constitución de la sociedad; </w:t>
      </w:r>
    </w:p>
    <w:p w14:paraId="3A475BD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 xml:space="preserve">Copia del Contrato de Prestación de servicios que celebren la empresa contratante y la operadora especificando claramente las declaraciones, cláusulas y responsabilidades que deberán asumir ambas partes para con el usuario; </w:t>
      </w:r>
    </w:p>
    <w:p w14:paraId="3A475BD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 xml:space="preserve">Copia de la póliza de seguro y del recibo de pago vigente que proteja a los vehículos contra robo total o parcial e incendio, así como daños causados bajo su resguardo; </w:t>
      </w:r>
    </w:p>
    <w:p w14:paraId="3A475BD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 xml:space="preserve">Documentación que acredite el lugar de resguardo; y </w:t>
      </w:r>
    </w:p>
    <w:p w14:paraId="3A475BD5"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La Opinión técnica o en su caso dictamen correspondiente emitido por la misma Dirección.</w:t>
      </w:r>
    </w:p>
    <w:p w14:paraId="3A475BD6" w14:textId="77777777" w:rsidR="009B5E39" w:rsidRPr="00940515" w:rsidRDefault="009B5E39" w:rsidP="009B5E39">
      <w:pPr>
        <w:ind w:left="284" w:right="283"/>
        <w:jc w:val="both"/>
        <w:rPr>
          <w:rFonts w:ascii="Gotham" w:hAnsi="Gotham" w:cs="Arial"/>
          <w:sz w:val="19"/>
          <w:szCs w:val="19"/>
          <w:highlight w:val="cyan"/>
        </w:rPr>
      </w:pPr>
    </w:p>
    <w:p w14:paraId="3A475BD7"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147</w:t>
      </w:r>
      <w:r w:rsidRPr="00940515">
        <w:rPr>
          <w:rFonts w:ascii="Gotham" w:hAnsi="Gotham" w:cs="Arial"/>
          <w:sz w:val="19"/>
          <w:szCs w:val="19"/>
        </w:rPr>
        <w:t xml:space="preserve">. Deberá de anexar los documentos que resulten necesarios para el registro del personal que se encargará de recibir, estacionar y entregar los vehículos con los siguientes datos y requisitos: </w:t>
      </w:r>
    </w:p>
    <w:p w14:paraId="3A475BD8" w14:textId="77777777" w:rsidR="009B5E39" w:rsidRPr="00940515" w:rsidRDefault="009B5E39" w:rsidP="009B5E39">
      <w:pPr>
        <w:ind w:left="284" w:right="283"/>
        <w:jc w:val="both"/>
        <w:rPr>
          <w:rFonts w:ascii="Gotham" w:hAnsi="Gotham" w:cs="Arial"/>
          <w:sz w:val="19"/>
          <w:szCs w:val="19"/>
        </w:rPr>
      </w:pPr>
    </w:p>
    <w:p w14:paraId="3A475BD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Fotografía actualizada tamaño credencial; </w:t>
      </w:r>
    </w:p>
    <w:p w14:paraId="3A475BDA"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Comprobante de domicilio actualizado, antigüedad no mayor de sesenta días; </w:t>
      </w:r>
    </w:p>
    <w:p w14:paraId="3A475BD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Licencia para conducir vigente en el Estado de Jalisco; y</w:t>
      </w:r>
    </w:p>
    <w:p w14:paraId="3A475BDC"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Carta de no antecedentes penales con antigüedad no mayor de 60 días.</w:t>
      </w:r>
    </w:p>
    <w:p w14:paraId="3A475BDD" w14:textId="77777777" w:rsidR="009B5E39" w:rsidRPr="00940515" w:rsidRDefault="009B5E39" w:rsidP="009B5E39">
      <w:pPr>
        <w:ind w:left="284" w:right="283"/>
        <w:jc w:val="both"/>
        <w:rPr>
          <w:rFonts w:ascii="Gotham" w:hAnsi="Gotham" w:cs="Arial"/>
          <w:sz w:val="19"/>
          <w:szCs w:val="19"/>
        </w:rPr>
      </w:pPr>
    </w:p>
    <w:p w14:paraId="3A475BDE"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148</w:t>
      </w:r>
      <w:r w:rsidRPr="00940515">
        <w:rPr>
          <w:rFonts w:ascii="Gotham" w:hAnsi="Gotham" w:cs="Arial"/>
          <w:sz w:val="19"/>
          <w:szCs w:val="19"/>
        </w:rPr>
        <w:t xml:space="preserve">. Para los casos en que la operadora o la administración del establecimiento requiera del arroyo vehicular para la recepción y entrega de los vehículos, deberá tramitar ante la Dirección la autorización para estacionamiento exclusivo para entrega y recepción de vehículos, que procederá cuando hayan pagado los derechos de exclusividad a la Tesorería Municipal y no contravengan las disposiciones del Reglamento de la Ley y de este reglamento. </w:t>
      </w:r>
    </w:p>
    <w:p w14:paraId="3A475BDF" w14:textId="77777777" w:rsidR="009B5E39" w:rsidRPr="00940515" w:rsidRDefault="009B5E39" w:rsidP="009B5E39">
      <w:pPr>
        <w:ind w:left="284" w:right="283"/>
        <w:jc w:val="both"/>
        <w:rPr>
          <w:rFonts w:ascii="Gotham" w:hAnsi="Gotham" w:cs="Arial"/>
          <w:sz w:val="19"/>
          <w:szCs w:val="19"/>
          <w:highlight w:val="cyan"/>
        </w:rPr>
      </w:pPr>
    </w:p>
    <w:p w14:paraId="3A475BE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149.</w:t>
      </w:r>
      <w:r w:rsidRPr="00940515">
        <w:rPr>
          <w:rFonts w:ascii="Gotham" w:hAnsi="Gotham" w:cs="Arial"/>
          <w:sz w:val="19"/>
          <w:szCs w:val="19"/>
        </w:rPr>
        <w:t xml:space="preserve"> Si el titular de algún giro comercial, de prestación de servicio o establecimiento llegara a contratar el servicio de acomodadores de vehículos a una persona física o jurídica que no cuente con la licencia para ejercer dicha actividad dentro del Municipio o el permiso correspondiente, será acreedor a las sanciones que para tal supuesto dispone la Ley de Ingresos del Ejercicio Fiscal que sea vigente y la normatividad municipal.</w:t>
      </w:r>
    </w:p>
    <w:p w14:paraId="3A475BE1" w14:textId="77777777" w:rsidR="009B5E39" w:rsidRPr="00940515" w:rsidRDefault="009B5E39" w:rsidP="009B5E39">
      <w:pPr>
        <w:ind w:left="284" w:right="283"/>
        <w:jc w:val="both"/>
        <w:rPr>
          <w:rFonts w:ascii="Gotham" w:hAnsi="Gotham" w:cs="Arial"/>
          <w:sz w:val="19"/>
          <w:szCs w:val="19"/>
        </w:rPr>
      </w:pPr>
    </w:p>
    <w:p w14:paraId="3A475BE2"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150.</w:t>
      </w:r>
      <w:r w:rsidRPr="00940515">
        <w:rPr>
          <w:rFonts w:ascii="Gotham" w:hAnsi="Gotham" w:cs="Arial"/>
          <w:sz w:val="19"/>
          <w:szCs w:val="19"/>
        </w:rPr>
        <w:t xml:space="preserve"> Se podrá prestar el servicio de acomodadores de vehículos siempre y cuando el servicio sea opcional para el cliente y con la prohibición de que se reserven cajones para uso exclusivo de los acomodadores de vehículos en los cajones que el establecimiento debe garantizar para su giro.</w:t>
      </w:r>
    </w:p>
    <w:p w14:paraId="3A475BE3" w14:textId="77777777" w:rsidR="009B5E39" w:rsidRPr="00940515" w:rsidRDefault="009B5E39" w:rsidP="009B5E39">
      <w:pPr>
        <w:ind w:left="284" w:right="283"/>
        <w:jc w:val="both"/>
        <w:rPr>
          <w:rFonts w:ascii="Gotham" w:hAnsi="Gotham" w:cs="Arial"/>
          <w:sz w:val="19"/>
          <w:szCs w:val="19"/>
        </w:rPr>
      </w:pPr>
    </w:p>
    <w:p w14:paraId="3A475BE4"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151.</w:t>
      </w:r>
      <w:r w:rsidRPr="00940515">
        <w:rPr>
          <w:rFonts w:ascii="Gotham" w:hAnsi="Gotham" w:cs="Arial"/>
          <w:sz w:val="19"/>
          <w:szCs w:val="19"/>
        </w:rPr>
        <w:t xml:space="preserve"> La violación al artículo que antecede generará una multa y en caso de reincidencia la cancelación del permiso, así como la clausura del establecimiento.</w:t>
      </w:r>
    </w:p>
    <w:p w14:paraId="3A475BE5" w14:textId="77777777" w:rsidR="009B5E39" w:rsidRPr="00940515" w:rsidRDefault="009B5E39" w:rsidP="009B5E39">
      <w:pPr>
        <w:ind w:left="284" w:right="283"/>
        <w:jc w:val="both"/>
        <w:rPr>
          <w:rFonts w:ascii="Gotham" w:hAnsi="Gotham" w:cs="Arial"/>
          <w:sz w:val="19"/>
          <w:szCs w:val="19"/>
        </w:rPr>
      </w:pPr>
    </w:p>
    <w:p w14:paraId="3A475BE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152.</w:t>
      </w:r>
      <w:r w:rsidRPr="00940515">
        <w:rPr>
          <w:rFonts w:ascii="Gotham" w:hAnsi="Gotham" w:cs="Arial"/>
          <w:sz w:val="19"/>
          <w:szCs w:val="19"/>
        </w:rPr>
        <w:t xml:space="preserve"> Se podrá utilizar, para la prestación del servicio de acomodadores de vehículos, predios que se encuentren a una distancia del giro no superior a 500 metros.</w:t>
      </w:r>
    </w:p>
    <w:p w14:paraId="3A475BE7" w14:textId="77777777" w:rsidR="009B5E39" w:rsidRPr="00940515" w:rsidRDefault="009B5E39" w:rsidP="009B5E39">
      <w:pPr>
        <w:ind w:left="284" w:right="283"/>
        <w:jc w:val="both"/>
        <w:rPr>
          <w:rFonts w:ascii="Gotham" w:hAnsi="Gotham" w:cs="Arial"/>
          <w:sz w:val="19"/>
          <w:szCs w:val="19"/>
        </w:rPr>
      </w:pPr>
    </w:p>
    <w:p w14:paraId="3A475BE8"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lastRenderedPageBreak/>
        <w:t>Artículo 153</w:t>
      </w:r>
      <w:r w:rsidRPr="00940515">
        <w:rPr>
          <w:rFonts w:ascii="Gotham" w:hAnsi="Gotham" w:cs="Arial"/>
          <w:sz w:val="19"/>
          <w:szCs w:val="19"/>
        </w:rPr>
        <w:t>. Cuando el servicio de acomodadores de vehículos sea operado por personal del giro o establecimiento al que acuda el usuario, el titular de dicho giro o establecimiento será responsable de los daños ocasionados al vehículo o de la indebida prestación del servicio.</w:t>
      </w:r>
    </w:p>
    <w:p w14:paraId="3A475BE9" w14:textId="77777777" w:rsidR="009B5E39" w:rsidRPr="00940515" w:rsidRDefault="009B5E39" w:rsidP="009B5E39">
      <w:pPr>
        <w:ind w:left="284" w:right="283"/>
        <w:jc w:val="both"/>
        <w:rPr>
          <w:rFonts w:ascii="Gotham" w:hAnsi="Gotham" w:cs="Arial"/>
          <w:sz w:val="19"/>
          <w:szCs w:val="19"/>
        </w:rPr>
      </w:pPr>
    </w:p>
    <w:p w14:paraId="3A475BEA"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154.</w:t>
      </w:r>
      <w:r w:rsidRPr="00940515">
        <w:rPr>
          <w:rFonts w:ascii="Gotham" w:hAnsi="Gotham" w:cs="Arial"/>
          <w:sz w:val="19"/>
          <w:szCs w:val="19"/>
        </w:rPr>
        <w:t xml:space="preserve"> Cuando el servicio de acomodadores de vehículos sea prestado por persona distinta al titular del giro o establecimiento al que acuda el usuario, el titular del giro o establecimiento será corresponsable de las obligaciones por el servicio frente a los usuarios.</w:t>
      </w:r>
    </w:p>
    <w:p w14:paraId="3A475BEB" w14:textId="77777777" w:rsidR="009B5E39" w:rsidRDefault="009B5E39" w:rsidP="009B5E39">
      <w:pPr>
        <w:ind w:left="284" w:right="283"/>
        <w:jc w:val="center"/>
        <w:rPr>
          <w:rFonts w:ascii="Gotham" w:hAnsi="Gotham" w:cs="Arial"/>
          <w:b/>
          <w:sz w:val="19"/>
          <w:szCs w:val="19"/>
        </w:rPr>
      </w:pPr>
    </w:p>
    <w:p w14:paraId="3A475BEC" w14:textId="77777777" w:rsidR="009B5E39" w:rsidRPr="00940515" w:rsidRDefault="009B5E39" w:rsidP="009B5E39">
      <w:pPr>
        <w:ind w:left="284" w:right="283"/>
        <w:jc w:val="center"/>
        <w:rPr>
          <w:rFonts w:ascii="Gotham" w:hAnsi="Gotham" w:cs="Arial"/>
          <w:b/>
          <w:sz w:val="19"/>
          <w:szCs w:val="19"/>
        </w:rPr>
      </w:pPr>
    </w:p>
    <w:p w14:paraId="3A475BED"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CAPÍTULO VII</w:t>
      </w:r>
    </w:p>
    <w:p w14:paraId="3A475BEE"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RETIRO DE OBJETOS EN LA VÍA PÚBLICA</w:t>
      </w:r>
    </w:p>
    <w:p w14:paraId="3A475BEF" w14:textId="77777777" w:rsidR="009B5E39" w:rsidRPr="00940515" w:rsidRDefault="009B5E39" w:rsidP="009B5E39">
      <w:pPr>
        <w:ind w:left="284" w:right="283"/>
        <w:jc w:val="both"/>
        <w:rPr>
          <w:rFonts w:ascii="Gotham" w:hAnsi="Gotham" w:cs="Arial"/>
          <w:sz w:val="19"/>
          <w:szCs w:val="19"/>
        </w:rPr>
      </w:pPr>
    </w:p>
    <w:p w14:paraId="3A475BF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155.</w:t>
      </w:r>
      <w:r w:rsidRPr="00940515">
        <w:rPr>
          <w:rFonts w:ascii="Gotham" w:hAnsi="Gotham" w:cs="Arial"/>
          <w:sz w:val="19"/>
          <w:szCs w:val="19"/>
        </w:rPr>
        <w:t xml:space="preserve"> Se faculta a la Jefatura de Agentes de Movilidad para realizar lo siguiente:</w:t>
      </w:r>
    </w:p>
    <w:p w14:paraId="3A475BF1" w14:textId="77777777" w:rsidR="009B5E39" w:rsidRPr="00940515" w:rsidRDefault="009B5E39" w:rsidP="009B5E39">
      <w:pPr>
        <w:ind w:left="284" w:right="283"/>
        <w:jc w:val="both"/>
        <w:rPr>
          <w:rFonts w:ascii="Gotham" w:hAnsi="Gotham" w:cs="Arial"/>
          <w:sz w:val="19"/>
          <w:szCs w:val="19"/>
        </w:rPr>
      </w:pPr>
    </w:p>
    <w:p w14:paraId="3A475BF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Retirar cualquier objeto de las vías que impidan la libre circulación o el estacionamiento;</w:t>
      </w:r>
    </w:p>
    <w:p w14:paraId="3A475BF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Sancionar a las Personas que de forma reiterada usen objetos para bloquear u obstaculizar la vía pública con la finalidad de obtener un beneficio monetario; y</w:t>
      </w:r>
    </w:p>
    <w:p w14:paraId="3A475BF4"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Infraccionar a los negocios que coloquen objetos en la vía pública con el fin de bloquear u obstaculizar la vía pública conforme o establecido en la ley de Ingresos para el ejercicio fiscal correspondiente.</w:t>
      </w:r>
    </w:p>
    <w:p w14:paraId="3A475BF5"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 xml:space="preserve"> </w:t>
      </w:r>
    </w:p>
    <w:p w14:paraId="3A475BF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156</w:t>
      </w:r>
      <w:r w:rsidRPr="00940515">
        <w:rPr>
          <w:rFonts w:ascii="Gotham" w:hAnsi="Gotham" w:cs="Arial"/>
          <w:sz w:val="19"/>
          <w:szCs w:val="19"/>
        </w:rPr>
        <w:t>. Los objetos retirados de la vía pública serán depositados en uno de los inmuebles que estén bajo la administración de la Dirección o en los espacios destinados para ello, en su caso en aquellos espacios que se cuente con algún instrumento de colaboración con alguna autoridad.</w:t>
      </w:r>
    </w:p>
    <w:p w14:paraId="3A475BF7" w14:textId="77777777" w:rsidR="009B5E39" w:rsidRPr="00940515" w:rsidRDefault="009B5E39" w:rsidP="009B5E39">
      <w:pPr>
        <w:ind w:left="284" w:right="283"/>
        <w:jc w:val="both"/>
        <w:rPr>
          <w:rFonts w:ascii="Gotham" w:hAnsi="Gotham" w:cs="Arial"/>
          <w:sz w:val="19"/>
          <w:szCs w:val="19"/>
        </w:rPr>
      </w:pPr>
    </w:p>
    <w:p w14:paraId="3A475BF8"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El interesado dispondrá de un plazo improrrogable de treinta días naturales contados a partir del día siguiente de su retiro para que acuda por ellos del depósito municipal.</w:t>
      </w:r>
    </w:p>
    <w:p w14:paraId="3A475BF9" w14:textId="77777777" w:rsidR="009B5E39" w:rsidRPr="00940515" w:rsidRDefault="009B5E39" w:rsidP="009B5E39">
      <w:pPr>
        <w:ind w:left="284" w:right="283"/>
        <w:jc w:val="both"/>
        <w:rPr>
          <w:rFonts w:ascii="Gotham" w:hAnsi="Gotham" w:cs="Arial"/>
          <w:sz w:val="19"/>
          <w:szCs w:val="19"/>
        </w:rPr>
      </w:pPr>
    </w:p>
    <w:p w14:paraId="3A475BFA"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En caso no ser reclamados dentro de ese plazo serán puestos a disposición del DIF Municipal o destruidos.</w:t>
      </w:r>
    </w:p>
    <w:p w14:paraId="3A475BFB" w14:textId="77777777" w:rsidR="009B5E39" w:rsidRPr="00940515" w:rsidRDefault="009B5E39" w:rsidP="009B5E39">
      <w:pPr>
        <w:ind w:left="284" w:right="283"/>
        <w:jc w:val="both"/>
        <w:rPr>
          <w:rFonts w:ascii="Gotham" w:hAnsi="Gotham" w:cs="Arial"/>
          <w:sz w:val="19"/>
          <w:szCs w:val="19"/>
        </w:rPr>
      </w:pPr>
    </w:p>
    <w:p w14:paraId="3A475BFC"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157.</w:t>
      </w:r>
      <w:r w:rsidRPr="00940515">
        <w:rPr>
          <w:rFonts w:ascii="Gotham" w:hAnsi="Gotham" w:cs="Arial"/>
          <w:sz w:val="19"/>
          <w:szCs w:val="19"/>
        </w:rPr>
        <w:t xml:space="preserve"> Para solicitar la devolución de los objetos retirado en la vía pública, será necesario acudir a la Dirección con la documentación que acredite la propiedad de dichos objetos o la legal posesión de los mismos y cubrir los gastos generados por maniobra y su multa correspondiente. </w:t>
      </w:r>
    </w:p>
    <w:p w14:paraId="3A475BFD" w14:textId="77777777" w:rsidR="009B5E39" w:rsidRPr="00940515" w:rsidRDefault="009B5E39" w:rsidP="009B5E39">
      <w:pPr>
        <w:ind w:left="284" w:right="283"/>
        <w:jc w:val="both"/>
        <w:rPr>
          <w:rFonts w:ascii="Gotham" w:hAnsi="Gotham" w:cs="Arial"/>
          <w:sz w:val="19"/>
          <w:szCs w:val="19"/>
        </w:rPr>
      </w:pPr>
    </w:p>
    <w:p w14:paraId="3A475BFE"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158</w:t>
      </w:r>
      <w:r w:rsidRPr="00940515">
        <w:rPr>
          <w:rFonts w:ascii="Gotham" w:hAnsi="Gotham" w:cs="Arial"/>
          <w:sz w:val="19"/>
          <w:szCs w:val="19"/>
        </w:rPr>
        <w:t>. Las personas sancionadas serán remitidas a los juzgados cívicos municipales para que sea impuesta la sanción a la que sea objeto por su conducta.</w:t>
      </w:r>
    </w:p>
    <w:p w14:paraId="3A475BFF" w14:textId="77777777" w:rsidR="009B5E39" w:rsidRDefault="009B5E39" w:rsidP="009B5E39">
      <w:pPr>
        <w:ind w:left="284" w:right="283"/>
        <w:jc w:val="both"/>
        <w:rPr>
          <w:rFonts w:ascii="Gotham" w:hAnsi="Gotham" w:cs="Arial"/>
          <w:sz w:val="19"/>
          <w:szCs w:val="19"/>
        </w:rPr>
      </w:pPr>
    </w:p>
    <w:p w14:paraId="3A475C00" w14:textId="77777777" w:rsidR="00190E4A" w:rsidRPr="00940515" w:rsidRDefault="00190E4A" w:rsidP="009B5E39">
      <w:pPr>
        <w:ind w:left="284" w:right="283"/>
        <w:jc w:val="both"/>
        <w:rPr>
          <w:rFonts w:ascii="Gotham" w:hAnsi="Gotham" w:cs="Arial"/>
          <w:sz w:val="19"/>
          <w:szCs w:val="19"/>
        </w:rPr>
      </w:pPr>
    </w:p>
    <w:p w14:paraId="3A475C01"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CAPÍTULO VIII</w:t>
      </w:r>
    </w:p>
    <w:p w14:paraId="3A475C02" w14:textId="77777777" w:rsidR="009B5E39" w:rsidRPr="00940515" w:rsidRDefault="009B5E39" w:rsidP="009B5E39">
      <w:pPr>
        <w:ind w:left="284" w:right="283"/>
        <w:jc w:val="center"/>
        <w:rPr>
          <w:rFonts w:ascii="Gotham" w:hAnsi="Gotham" w:cs="Arial"/>
          <w:sz w:val="19"/>
          <w:szCs w:val="19"/>
        </w:rPr>
      </w:pPr>
      <w:r w:rsidRPr="00940515">
        <w:rPr>
          <w:rFonts w:ascii="Gotham" w:hAnsi="Gotham" w:cs="Arial"/>
          <w:b/>
          <w:sz w:val="19"/>
          <w:szCs w:val="19"/>
        </w:rPr>
        <w:t>DE LOS VEHÍCULOS ABANDONADOS EN LA VÍA PÚBLICA O ESTACIONAMIENTOS PÚBLICOS</w:t>
      </w:r>
    </w:p>
    <w:p w14:paraId="3A475C03" w14:textId="77777777" w:rsidR="009B5E39" w:rsidRPr="00940515" w:rsidRDefault="009B5E39" w:rsidP="009B5E39">
      <w:pPr>
        <w:ind w:left="284" w:right="283"/>
        <w:jc w:val="both"/>
        <w:rPr>
          <w:rFonts w:ascii="Gotham" w:hAnsi="Gotham" w:cs="Arial"/>
          <w:sz w:val="19"/>
          <w:szCs w:val="19"/>
        </w:rPr>
      </w:pPr>
    </w:p>
    <w:p w14:paraId="3A475C04"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159.</w:t>
      </w:r>
      <w:r w:rsidRPr="00940515">
        <w:rPr>
          <w:rFonts w:ascii="Gotham" w:hAnsi="Gotham" w:cs="Arial"/>
          <w:sz w:val="19"/>
          <w:szCs w:val="19"/>
        </w:rPr>
        <w:t xml:space="preserve"> Los vehículos, cajas y remolques en estado de abandono en la vía pública o estacionamientos públicos pueden ser remitidos al depósito vehiculas una vez realizado el procedimiento correspondiente contemplado en el Ley y el Reglamento de la Ley.</w:t>
      </w:r>
    </w:p>
    <w:p w14:paraId="3A475C05" w14:textId="77777777" w:rsidR="009B5E39" w:rsidRPr="00940515" w:rsidRDefault="009B5E39" w:rsidP="009B5E39">
      <w:pPr>
        <w:ind w:left="284" w:right="283"/>
        <w:jc w:val="both"/>
        <w:rPr>
          <w:rFonts w:ascii="Gotham" w:hAnsi="Gotham" w:cs="Arial"/>
          <w:sz w:val="19"/>
          <w:szCs w:val="19"/>
        </w:rPr>
      </w:pPr>
    </w:p>
    <w:p w14:paraId="3A475C0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160.</w:t>
      </w:r>
      <w:r w:rsidRPr="00940515">
        <w:rPr>
          <w:rFonts w:ascii="Gotham" w:hAnsi="Gotham" w:cs="Arial"/>
          <w:sz w:val="19"/>
          <w:szCs w:val="19"/>
        </w:rPr>
        <w:t xml:space="preserve"> Está prohibido obstaculizar, limitar o impedir el uso adecuado de las vías, abandonando un vehículo, caja o remolque. Se entiende que un vehículo, caja o remolque se encuentra en estado de abandono cuando presente alguna de las siguientes condiciones:</w:t>
      </w:r>
    </w:p>
    <w:p w14:paraId="3A475C07" w14:textId="77777777" w:rsidR="009B5E39" w:rsidRPr="00940515" w:rsidRDefault="009B5E39" w:rsidP="009B5E39">
      <w:pPr>
        <w:ind w:left="284" w:right="283"/>
        <w:jc w:val="both"/>
        <w:rPr>
          <w:rFonts w:ascii="Gotham" w:hAnsi="Gotham" w:cs="Arial"/>
          <w:sz w:val="19"/>
          <w:szCs w:val="19"/>
        </w:rPr>
      </w:pPr>
    </w:p>
    <w:p w14:paraId="3A475C08"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Presenten acumulación de residuos, malos olores o fauna nociva;</w:t>
      </w:r>
    </w:p>
    <w:p w14:paraId="3A475C0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Se encuentren en estado de abandono, inservible o destruido e inutilizado que no tengan posibilidades de circular;</w:t>
      </w:r>
    </w:p>
    <w:p w14:paraId="3A475C0A"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lastRenderedPageBreak/>
        <w:t xml:space="preserve">III. </w:t>
      </w:r>
      <w:r>
        <w:rPr>
          <w:rFonts w:ascii="Gotham" w:hAnsi="Gotham" w:cs="Arial"/>
          <w:sz w:val="19"/>
          <w:szCs w:val="19"/>
        </w:rPr>
        <w:tab/>
      </w:r>
      <w:r w:rsidRPr="00940515">
        <w:rPr>
          <w:rFonts w:ascii="Gotham" w:hAnsi="Gotham" w:cs="Arial"/>
          <w:sz w:val="19"/>
          <w:szCs w:val="19"/>
        </w:rPr>
        <w:t>Presenten un riesgo para la seguridad e integridad física de los transeúntes y las personas que habitan en dicho centro de población;</w:t>
      </w:r>
    </w:p>
    <w:p w14:paraId="3A475C0B"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No sean movidos en un periodo de más de treinta días naturales.</w:t>
      </w:r>
    </w:p>
    <w:p w14:paraId="3A475C0C" w14:textId="77777777" w:rsidR="009B5E39" w:rsidRPr="00940515" w:rsidRDefault="009B5E39" w:rsidP="009B5E39">
      <w:pPr>
        <w:ind w:left="284" w:right="283"/>
        <w:jc w:val="both"/>
        <w:rPr>
          <w:rFonts w:ascii="Gotham" w:hAnsi="Gotham" w:cs="Arial"/>
          <w:sz w:val="19"/>
          <w:szCs w:val="19"/>
        </w:rPr>
      </w:pPr>
    </w:p>
    <w:p w14:paraId="3A475C0D"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161.</w:t>
      </w:r>
      <w:r w:rsidRPr="00940515">
        <w:rPr>
          <w:rFonts w:ascii="Gotham" w:hAnsi="Gotham" w:cs="Arial"/>
          <w:sz w:val="19"/>
          <w:szCs w:val="19"/>
        </w:rPr>
        <w:t xml:space="preserve"> Los vehículos ingresados a un estacionamiento público se consideran en estado de abandono cuando la persona propietaria o poseedora no lo reclame dentro de los quince días siguientes a la fecha de su ingreso, siempre y cuando el servicio de guarda no se haya contratado por un tiempo mayor; transcurrido el plazo señalado, la persona operadora del estacionamiento debe reportar por escrito a la Dirección, a efecto de que se instaure el procedimiento correspondiente que prevé Ley y el Reglamento de la Ley</w:t>
      </w:r>
    </w:p>
    <w:p w14:paraId="3A475C0E" w14:textId="77777777" w:rsidR="009B5E39" w:rsidRPr="00940515" w:rsidRDefault="009B5E39" w:rsidP="009B5E39">
      <w:pPr>
        <w:ind w:left="284" w:right="283"/>
        <w:jc w:val="both"/>
        <w:rPr>
          <w:rFonts w:ascii="Gotham" w:hAnsi="Gotham" w:cs="Arial"/>
          <w:sz w:val="19"/>
          <w:szCs w:val="19"/>
        </w:rPr>
      </w:pPr>
    </w:p>
    <w:p w14:paraId="3A475C0F"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162</w:t>
      </w:r>
      <w:r w:rsidRPr="00940515">
        <w:rPr>
          <w:rFonts w:ascii="Gotham" w:hAnsi="Gotham" w:cs="Arial"/>
          <w:sz w:val="19"/>
          <w:szCs w:val="19"/>
        </w:rPr>
        <w:t>. Una vez que la Dirección tenga conocimiento formal de un vehículo en estado de abandono bajo las condiciones anteriores, debe instaurar a la persona propietaria o poseedora del bien del que se trate, el siguiente procedimiento:</w:t>
      </w:r>
    </w:p>
    <w:p w14:paraId="3A475C10" w14:textId="77777777" w:rsidR="009B5E39" w:rsidRPr="00940515" w:rsidRDefault="009B5E39" w:rsidP="009B5E39">
      <w:pPr>
        <w:ind w:left="284" w:right="283"/>
        <w:jc w:val="both"/>
        <w:rPr>
          <w:rFonts w:ascii="Gotham" w:hAnsi="Gotham" w:cs="Arial"/>
          <w:sz w:val="19"/>
          <w:szCs w:val="19"/>
        </w:rPr>
      </w:pPr>
    </w:p>
    <w:p w14:paraId="3A475C1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Fijar avis</w:t>
      </w:r>
      <w:r>
        <w:rPr>
          <w:rFonts w:ascii="Gotham" w:hAnsi="Gotham" w:cs="Arial"/>
          <w:sz w:val="19"/>
          <w:szCs w:val="19"/>
        </w:rPr>
        <w:t>o</w:t>
      </w:r>
      <w:r w:rsidRPr="00940515">
        <w:rPr>
          <w:rFonts w:ascii="Gotham" w:hAnsi="Gotham" w:cs="Arial"/>
          <w:sz w:val="19"/>
          <w:szCs w:val="19"/>
        </w:rPr>
        <w:t xml:space="preserve"> sobre el bien en estado de abandono para que sea retirado en un máximo de cinco días;</w:t>
      </w:r>
    </w:p>
    <w:p w14:paraId="3A475C1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Dar aviso del bien en estado de abandono al ministerio público;</w:t>
      </w:r>
    </w:p>
    <w:p w14:paraId="3A475C1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Si después de dicho plazo el bien permanece en estado de abandono, puede ser remitido a los depósitos correspondientes, y puesto a disposición de la autoridad municipal;</w:t>
      </w:r>
    </w:p>
    <w:p w14:paraId="3A475C1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Para los vehículos, cajas o remolques en estado de abandono que pongan en riesgo la integridad física de las personas, la Dirección puede remitir de manera inmediata dichos bien de manera inmediata a los depósitos correspondientes, con la intención de salvaguardar la seguridad de las personas;</w:t>
      </w:r>
    </w:p>
    <w:p w14:paraId="3A475C15"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Una vez el bien fue remitido al depósito correspondiente, se fijarán tres notificaciones de diez en diez días naturales, en las oficinas de la Dirección y en la presidencia municipal. Las notificaciones deben señalar los datos de identificación del vehículo, lugar en que fue encontrado abandonado, el vencimiento del plazo para ser reclamado;</w:t>
      </w:r>
    </w:p>
    <w:p w14:paraId="3A475C16"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Si durante el plazo establecido es reclamado el bien, la Dirección debe:</w:t>
      </w:r>
    </w:p>
    <w:p w14:paraId="3A475C17"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Proceder a entregar el vehículo al reclamante que acredite que es la persona propietaria o poseedora legal del bien, mediante la documentación correspondiente si se acredita la propiedad la Dirección deberá realizar un oficio de libertad a favor del dueño o poseedor, siempre y cuando a la fecha en que se extienda la libertad no se haya recibido comunicado alguno por parte del ministerio público o autoridad competente de que dicho bien debe ser puesto a su disposición.</w:t>
      </w:r>
    </w:p>
    <w:p w14:paraId="3A475C18"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Cuando la Dirección reciba comunicado oficial por parte del ministerio público o autoridad competente de que sobre dicho bien se ha instaurado un procedimiento judicial o administrativo, la Dirección remitirá los datos del caso y copia del expediente respectivo;</w:t>
      </w:r>
    </w:p>
    <w:p w14:paraId="3A475C19" w14:textId="77777777" w:rsidR="009B5E39" w:rsidRPr="00940515" w:rsidRDefault="009B5E39" w:rsidP="009B5E39">
      <w:pPr>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Si la persona solicitante justifica ser la propietaria legal o poseedora, se le debe entregar el vehículo previo pago de los derechos que por búsqueda, guarda y custodia que se hayan generado a la fecha de su retiro del área en que se encuentre depositado, así como de los gastos que se hayan generado por concepto de arrastre o traslado para su depósito.</w:t>
      </w:r>
    </w:p>
    <w:p w14:paraId="3A475C1A" w14:textId="77777777" w:rsidR="009B5E39" w:rsidRPr="00940515" w:rsidRDefault="009B5E39" w:rsidP="009B5E39">
      <w:pPr>
        <w:ind w:left="284" w:right="283"/>
        <w:jc w:val="both"/>
        <w:rPr>
          <w:rFonts w:ascii="Gotham" w:hAnsi="Gotham" w:cs="Arial"/>
          <w:sz w:val="19"/>
          <w:szCs w:val="19"/>
        </w:rPr>
      </w:pPr>
    </w:p>
    <w:p w14:paraId="3A475C1B"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163.</w:t>
      </w:r>
      <w:r w:rsidRPr="00940515">
        <w:rPr>
          <w:rFonts w:ascii="Gotham" w:hAnsi="Gotham" w:cs="Arial"/>
          <w:sz w:val="19"/>
          <w:szCs w:val="19"/>
        </w:rPr>
        <w:t xml:space="preserve"> El Municipio en relación al arrastre, traslado y depósito de vehículos, cajas o remolque puede concesionar, celebrar convenios de colaboración o prestarlo con sus propios medios según su capacidad.</w:t>
      </w:r>
    </w:p>
    <w:p w14:paraId="3A475C1C" w14:textId="77777777" w:rsidR="009B5E39" w:rsidRDefault="009B5E39" w:rsidP="009B5E39">
      <w:pPr>
        <w:ind w:left="284" w:right="283"/>
        <w:jc w:val="both"/>
        <w:rPr>
          <w:rFonts w:ascii="Gotham" w:hAnsi="Gotham" w:cs="Arial"/>
          <w:sz w:val="19"/>
          <w:szCs w:val="19"/>
        </w:rPr>
      </w:pPr>
    </w:p>
    <w:p w14:paraId="3A475C1D" w14:textId="77777777" w:rsidR="009B5E39" w:rsidRPr="00940515" w:rsidRDefault="009B5E39" w:rsidP="009B5E39">
      <w:pPr>
        <w:ind w:left="284" w:right="283"/>
        <w:jc w:val="both"/>
        <w:rPr>
          <w:rFonts w:ascii="Gotham" w:hAnsi="Gotham" w:cs="Arial"/>
          <w:sz w:val="19"/>
          <w:szCs w:val="19"/>
        </w:rPr>
      </w:pPr>
    </w:p>
    <w:p w14:paraId="3A475C1E"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lastRenderedPageBreak/>
        <w:t>CAPÍTULO IX</w:t>
      </w:r>
    </w:p>
    <w:p w14:paraId="3A475C1F"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DE LOS APERCIBIMIENTOS, SANCIONES Y CANCELACIONES</w:t>
      </w:r>
    </w:p>
    <w:p w14:paraId="3A475C20" w14:textId="77777777" w:rsidR="009B5E39" w:rsidRPr="00940515" w:rsidRDefault="009B5E39" w:rsidP="009B5E39">
      <w:pPr>
        <w:ind w:left="284" w:right="283"/>
        <w:jc w:val="both"/>
        <w:rPr>
          <w:rFonts w:ascii="Gotham" w:hAnsi="Gotham" w:cs="Arial"/>
          <w:sz w:val="19"/>
          <w:szCs w:val="19"/>
        </w:rPr>
      </w:pPr>
    </w:p>
    <w:p w14:paraId="3A475C21"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164.</w:t>
      </w:r>
      <w:r w:rsidRPr="00940515">
        <w:rPr>
          <w:rFonts w:ascii="Gotham" w:hAnsi="Gotham" w:cs="Arial"/>
          <w:sz w:val="19"/>
          <w:szCs w:val="19"/>
        </w:rPr>
        <w:t xml:space="preserve"> Jefatura de Agentes de Movilidad podrá expedir apercibimientos e infracciones derivadas de violaciones e infracciones previstas en el presente reglamento.</w:t>
      </w:r>
    </w:p>
    <w:p w14:paraId="3A475C22" w14:textId="77777777" w:rsidR="009B5E39" w:rsidRPr="00940515" w:rsidRDefault="009B5E39" w:rsidP="009B5E39">
      <w:pPr>
        <w:ind w:left="284" w:right="283"/>
        <w:jc w:val="both"/>
        <w:rPr>
          <w:rFonts w:ascii="Gotham" w:hAnsi="Gotham" w:cs="Arial"/>
          <w:sz w:val="19"/>
          <w:szCs w:val="19"/>
        </w:rPr>
      </w:pPr>
    </w:p>
    <w:p w14:paraId="3A475C23"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165.</w:t>
      </w:r>
      <w:r w:rsidRPr="00940515">
        <w:rPr>
          <w:rFonts w:ascii="Gotham" w:hAnsi="Gotham" w:cs="Arial"/>
          <w:sz w:val="19"/>
          <w:szCs w:val="19"/>
        </w:rPr>
        <w:t xml:space="preserve"> La Jefatura de Agentes de Movilidad en conjunto con la Coordinación del Gabinete de Seguridad, Prevención, Servicios de Emergencia y Movilidad, contará con Agentes de Movilidad Municipales, que para efectos de éste Reglamento se entenderá como el personal que se encuentre adscrito o comisionado de manera activa, el cual deberá estar debidamente acreditado y capacitado, además de que se deberá cumplir con los requisitos que para tal efecto señala la Ley para los Servidores Públicos del Estado de Jalisco y sus Municipios</w:t>
      </w:r>
    </w:p>
    <w:p w14:paraId="3A475C24" w14:textId="77777777" w:rsidR="009B5E39" w:rsidRDefault="009B5E39" w:rsidP="009B5E39">
      <w:pPr>
        <w:ind w:left="284" w:right="283"/>
        <w:jc w:val="both"/>
        <w:rPr>
          <w:rFonts w:ascii="Gotham" w:hAnsi="Gotham" w:cs="Arial"/>
          <w:sz w:val="19"/>
          <w:szCs w:val="19"/>
        </w:rPr>
      </w:pPr>
    </w:p>
    <w:p w14:paraId="3A475C25"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Artículo 172. La Coordinación de Gabinete de Seguridad, Prevención, Servicios de Emergencia y Movilidad, podrá llevar a cabo la cancelación de las multas que sean emitidas por el personal adscrito a la Jefatura de Agentes Movilidad con estricto apego a lo dispuesto a la Ley de Procedimientos Administrativos del Estado de Jalisco y bajo su más estricta responsabilidad.</w:t>
      </w:r>
    </w:p>
    <w:p w14:paraId="3A475C26" w14:textId="77777777" w:rsidR="009B5E39" w:rsidRDefault="009B5E39" w:rsidP="009B5E39">
      <w:pPr>
        <w:ind w:left="284" w:right="283"/>
        <w:jc w:val="both"/>
        <w:rPr>
          <w:rFonts w:ascii="Gotham" w:hAnsi="Gotham" w:cs="Arial"/>
          <w:b/>
          <w:sz w:val="19"/>
          <w:szCs w:val="19"/>
        </w:rPr>
      </w:pPr>
    </w:p>
    <w:p w14:paraId="3A475C27"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166.</w:t>
      </w:r>
      <w:r w:rsidRPr="00940515">
        <w:rPr>
          <w:rFonts w:ascii="Gotham" w:hAnsi="Gotham" w:cs="Arial"/>
          <w:sz w:val="19"/>
          <w:szCs w:val="19"/>
        </w:rPr>
        <w:t xml:space="preserve"> Los Agentes de Movilidad Municipal serán competentes para instrumentar procedimientos relativos al control, la verificación, la vigilancia, o inspección en materia de movilidad, para lo cual deben conducirse con respeto a los particulares, observar los principios éticos del servicio público, abstenerse de incurrir en responsabilidades u otras faltas y cumplir con las siguientes formalidades:</w:t>
      </w:r>
    </w:p>
    <w:p w14:paraId="3A475C28" w14:textId="77777777" w:rsidR="009B5E39" w:rsidRPr="00940515" w:rsidRDefault="009B5E39" w:rsidP="009B5E39">
      <w:pPr>
        <w:ind w:left="284" w:right="283"/>
        <w:jc w:val="both"/>
        <w:rPr>
          <w:rFonts w:ascii="Gotham" w:hAnsi="Gotham" w:cs="Arial"/>
          <w:sz w:val="19"/>
          <w:szCs w:val="19"/>
        </w:rPr>
      </w:pPr>
    </w:p>
    <w:p w14:paraId="3A475C2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Los actos de control, vigilancia, verificación o inspección en materia de movilidad podrán practicarse en cualquier día y hora, consistirán en operativos permanentes y ordenados por la autoridad competente; </w:t>
      </w:r>
    </w:p>
    <w:p w14:paraId="3A475C2A"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Para realizar actos de control, vigilancia, verificación o inspección en materia de movilidad, bastará que los Agentes de Movilidad cuenten con la identificación oficial que los acredite como tales; </w:t>
      </w:r>
    </w:p>
    <w:p w14:paraId="3A475C2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El Agente de Movilidad Municipal hará de conocimiento del conductor los hechos u omisiones que, en su caso, constituyan la infracción a las disposiciones de este reglamento; además determinará si, con base en ellas, procede alguna medida de seguridad, y como consecuencia el levantamiento del Acta de Infracción, llenando formas impresas numeradas o ingresando los datos en el dispositivo tecnológico de infracción digital, en las que se harán constar las transgresiones que se hubiesen presentado, la cual deberá contener, cuando menos, los siguientes datos:</w:t>
      </w:r>
    </w:p>
    <w:p w14:paraId="3A475C2C"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 xml:space="preserve">Los datos de identificación del vehículo, haciendo referencia a número de la placa y marca del vehículo; </w:t>
      </w:r>
    </w:p>
    <w:p w14:paraId="3A475C2D"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 xml:space="preserve">Hora, día, mes y año en que se elabora el Acta de Notificación de Infracción; </w:t>
      </w:r>
    </w:p>
    <w:p w14:paraId="3A475C2E"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 xml:space="preserve">Lugar en que se cometió la infracción; </w:t>
      </w:r>
    </w:p>
    <w:p w14:paraId="3A475C2F"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d) </w:t>
      </w:r>
      <w:r>
        <w:rPr>
          <w:rFonts w:ascii="Gotham" w:hAnsi="Gotham" w:cs="Arial"/>
          <w:sz w:val="19"/>
          <w:szCs w:val="19"/>
        </w:rPr>
        <w:tab/>
      </w:r>
      <w:r w:rsidRPr="00940515">
        <w:rPr>
          <w:rFonts w:ascii="Gotham" w:hAnsi="Gotham" w:cs="Arial"/>
          <w:sz w:val="19"/>
          <w:szCs w:val="19"/>
        </w:rPr>
        <w:t>Especificación del o los artículos que hayan sido infringidos y de la o las medidas que, en su caso, haya determinado imponer conforme a este reglamento; y</w:t>
      </w:r>
    </w:p>
    <w:p w14:paraId="3A475C30"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e) </w:t>
      </w:r>
      <w:r>
        <w:rPr>
          <w:rFonts w:ascii="Gotham" w:hAnsi="Gotham" w:cs="Arial"/>
          <w:sz w:val="19"/>
          <w:szCs w:val="19"/>
        </w:rPr>
        <w:tab/>
      </w:r>
      <w:r w:rsidRPr="00940515">
        <w:rPr>
          <w:rFonts w:ascii="Gotham" w:hAnsi="Gotham" w:cs="Arial"/>
          <w:sz w:val="19"/>
          <w:szCs w:val="19"/>
        </w:rPr>
        <w:t>Nombre y firma del Agente de Movilidad Municipal que levante la Cédula de Notificación de Infracción Vehicular.</w:t>
      </w:r>
    </w:p>
    <w:p w14:paraId="3A475C31"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 xml:space="preserve">Cumplido lo anterior, se procederá a la firma de la Cédula de Notificación de Infracción por el Agente que la haya aplicado; </w:t>
      </w:r>
    </w:p>
    <w:p w14:paraId="3A475C3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 xml:space="preserve">Se entregará copia legible de la misma al conductor o en caso de que el conductor del vehículo no se encuentre presente al momento en que el Agente de Movilidad Municipal elabore la Cédula de Notificación de Infracción Vehicular, éste procederá a colocarla sobre </w:t>
      </w:r>
      <w:r w:rsidRPr="00940515">
        <w:rPr>
          <w:rFonts w:ascii="Gotham" w:hAnsi="Gotham" w:cs="Arial"/>
          <w:sz w:val="19"/>
          <w:szCs w:val="19"/>
        </w:rPr>
        <w:lastRenderedPageBreak/>
        <w:t>un área visible del vehículo, y el original se remitirá a la Jefatura de Agentes de Movilidad y Seguridad Vial. Asimismo, en caso de que el conductor se niegue a recibirla, la copia legible de ésta se dejara en el parabrisas;</w:t>
      </w:r>
    </w:p>
    <w:p w14:paraId="3A475C33"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En caso de que el vehículo se encuentre infringiendo alguna de las disposiciones del presente reglamento en el que como parte de la sanción, se establezca la inmovilización.</w:t>
      </w:r>
    </w:p>
    <w:p w14:paraId="3A475C34" w14:textId="77777777" w:rsidR="009B5E39" w:rsidRPr="00940515" w:rsidRDefault="009B5E39" w:rsidP="009B5E39">
      <w:pPr>
        <w:ind w:left="284" w:right="283"/>
        <w:jc w:val="both"/>
        <w:rPr>
          <w:rFonts w:ascii="Gotham" w:hAnsi="Gotham" w:cs="Arial"/>
          <w:sz w:val="19"/>
          <w:szCs w:val="19"/>
        </w:rPr>
      </w:pPr>
    </w:p>
    <w:p w14:paraId="3A475C35"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167.</w:t>
      </w:r>
      <w:r w:rsidRPr="00940515">
        <w:rPr>
          <w:rFonts w:ascii="Gotham" w:hAnsi="Gotham" w:cs="Arial"/>
          <w:sz w:val="19"/>
          <w:szCs w:val="19"/>
        </w:rPr>
        <w:t xml:space="preserve"> En atención al derecho de audiencia y defensa, cualquier multa o sanción impuesta en los términos de este Reglamento, deberá someterse al juez cívico por parte del infractor, a efecto de individualizarla de acuerdo a los hechos particulares y circunstancias, De no estar de acuerdo con la determinación del juez cívico, podrá agotar el recurso de inconformidad que contempla la Ley de Procedimiento Administrativo del Estado de Jalisco, en los términos y plazos que señala. </w:t>
      </w:r>
    </w:p>
    <w:p w14:paraId="3A475C36" w14:textId="77777777" w:rsidR="009B5E39" w:rsidRPr="00940515" w:rsidRDefault="009B5E39" w:rsidP="009B5E39">
      <w:pPr>
        <w:ind w:left="284" w:right="283"/>
        <w:jc w:val="both"/>
        <w:rPr>
          <w:rFonts w:ascii="Gotham" w:hAnsi="Gotham" w:cs="Arial"/>
          <w:sz w:val="19"/>
          <w:szCs w:val="19"/>
        </w:rPr>
      </w:pPr>
    </w:p>
    <w:p w14:paraId="3A475C37"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168.</w:t>
      </w:r>
      <w:r w:rsidRPr="00940515">
        <w:rPr>
          <w:rFonts w:ascii="Gotham" w:hAnsi="Gotham" w:cs="Arial"/>
          <w:sz w:val="19"/>
          <w:szCs w:val="19"/>
        </w:rPr>
        <w:t xml:space="preserve"> La Dirección vigilará el cumplimiento del presente Reglamento y podrá coadyuvar con otras autoridades para dar cumplimiento cabal al mismo. Del mismo modo, la Jefatura de Agentes de Movilidad a efectos de hacer cumplir las sanciones en el capítulo anterior, podrá auxiliarse de cualquier dependencia gubernamental para ejecutar el mandato conferido en este Reglamento. </w:t>
      </w:r>
    </w:p>
    <w:p w14:paraId="3A475C38" w14:textId="77777777" w:rsidR="009B5E39" w:rsidRPr="00940515" w:rsidRDefault="009B5E39" w:rsidP="009B5E39">
      <w:pPr>
        <w:ind w:left="284" w:right="283"/>
        <w:jc w:val="both"/>
        <w:rPr>
          <w:rFonts w:ascii="Gotham" w:hAnsi="Gotham" w:cs="Arial"/>
          <w:sz w:val="19"/>
          <w:szCs w:val="19"/>
        </w:rPr>
      </w:pPr>
    </w:p>
    <w:p w14:paraId="3A475C39"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169</w:t>
      </w:r>
      <w:r w:rsidRPr="00940515">
        <w:rPr>
          <w:rFonts w:ascii="Gotham" w:hAnsi="Gotham" w:cs="Arial"/>
          <w:sz w:val="19"/>
          <w:szCs w:val="19"/>
        </w:rPr>
        <w:t>. La Jefatura de Agentes Movilidad vigilará el cumplimiento de las obligaciones que establece el presente reglamento. Para ello visitarán con prioridad los estacionamientos que hayan sido objeto de queja o denuncia de los usuarios y llevarán a cabo en cada estacionamiento cuando menos una inspección anual. Cuando no se cumplan todos los requisitos correspondientes de acuerdo a este Reglamento, la Jefatura de Agentes Movilidad podrá solicitar a la instancia normativa correspondiente, las sanciones, multas o demás medidas aplicables al caso.</w:t>
      </w:r>
    </w:p>
    <w:p w14:paraId="3A475C3A" w14:textId="77777777" w:rsidR="009B5E39" w:rsidRPr="00940515" w:rsidRDefault="009B5E39" w:rsidP="009B5E39">
      <w:pPr>
        <w:ind w:left="284" w:right="283"/>
        <w:jc w:val="both"/>
        <w:rPr>
          <w:rFonts w:ascii="Gotham" w:hAnsi="Gotham" w:cs="Arial"/>
          <w:sz w:val="19"/>
          <w:szCs w:val="19"/>
        </w:rPr>
      </w:pPr>
    </w:p>
    <w:p w14:paraId="3A475C3B"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170.</w:t>
      </w:r>
      <w:r w:rsidRPr="00940515">
        <w:rPr>
          <w:rFonts w:ascii="Gotham" w:hAnsi="Gotham" w:cs="Arial"/>
          <w:sz w:val="19"/>
          <w:szCs w:val="19"/>
        </w:rPr>
        <w:t xml:space="preserve"> La Dirección vigilará el cumplimiento de las obligaciones que establece el presente reglamento y para ello podrá visitar los Servicios de Estacionamiento con Acomodadores de Vehículos que hayan sido objeto de quejas o irregularidades o por inspección de rutina de la Jefatura de Agentes de Movilidad. Cuando no se cumplan todos los requisitos correspondientes de acuerdo a este Reglamento, la Jefatura de Agentes de Movilidad podrá de acuerdo a sus facultades imponer las sanciones, multas o demás medidas aplicables al caso. Sin perjuicio de lo anterior, se podrá solicitar a otras instancias normativas el apoyo para la ejecución de dichas acciones.</w:t>
      </w:r>
    </w:p>
    <w:p w14:paraId="3A475C3C" w14:textId="77777777" w:rsidR="009B5E39" w:rsidRPr="00940515" w:rsidRDefault="009B5E39" w:rsidP="009B5E39">
      <w:pPr>
        <w:ind w:left="284" w:right="283"/>
        <w:jc w:val="both"/>
        <w:rPr>
          <w:rFonts w:ascii="Gotham" w:hAnsi="Gotham" w:cs="Arial"/>
          <w:sz w:val="19"/>
          <w:szCs w:val="19"/>
        </w:rPr>
      </w:pPr>
    </w:p>
    <w:p w14:paraId="3A475C3D"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171.</w:t>
      </w:r>
      <w:r w:rsidRPr="00940515">
        <w:rPr>
          <w:rFonts w:ascii="Gotham" w:hAnsi="Gotham" w:cs="Arial"/>
          <w:sz w:val="19"/>
          <w:szCs w:val="19"/>
        </w:rPr>
        <w:t xml:space="preserve"> Cuando el particular o titular de un inmueble, de manera arbitraria y sin autorización de la Dirección de Planeación, Movilidad y Seguridad Vial, balice, destruya, modifique, transfiera o realice cualquier acto que implique un cambio en la servidumbre pública, en su señalética, balizamiento o estructura de lo ya establecido, será acreedor a la infracción correspondiente establecida en la Ley de Ingresos del Municipio de Tonalá, Jalisco, vigente</w:t>
      </w:r>
    </w:p>
    <w:p w14:paraId="3A475C3E" w14:textId="77777777" w:rsidR="009B5E39" w:rsidRPr="00940515" w:rsidRDefault="009B5E39" w:rsidP="009B5E39">
      <w:pPr>
        <w:ind w:left="284" w:right="283"/>
        <w:jc w:val="both"/>
        <w:rPr>
          <w:rFonts w:ascii="Gotham" w:hAnsi="Gotham" w:cs="Arial"/>
          <w:sz w:val="19"/>
          <w:szCs w:val="19"/>
        </w:rPr>
      </w:pPr>
    </w:p>
    <w:p w14:paraId="3A475C3F"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Del mismo modo, la Jefatura de Agentes Movilidad podrá revisar medidas y demás características de los cajones de estacionamientos vinculados a los negocios y comercios, a fin de cumplir con lo establecido en el presente Reglamento, así como los demás reglamentos de carácter estatal, municipal y normas relativas al caso.</w:t>
      </w:r>
    </w:p>
    <w:p w14:paraId="3A475C40" w14:textId="77777777" w:rsidR="009B5E39" w:rsidRPr="00940515" w:rsidRDefault="009B5E39" w:rsidP="009B5E39">
      <w:pPr>
        <w:ind w:left="284" w:right="283"/>
        <w:jc w:val="both"/>
        <w:rPr>
          <w:rFonts w:ascii="Gotham" w:hAnsi="Gotham" w:cs="Arial"/>
          <w:sz w:val="19"/>
          <w:szCs w:val="19"/>
        </w:rPr>
      </w:pPr>
    </w:p>
    <w:p w14:paraId="3A475C41"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 xml:space="preserve">Sin perjuicio de lo anterior, la Jefatura de Agentes Movilidad podrá auxiliarse de las dependencias necesarias para realizar el cobro de las mismas, así como para recuperar el daño ocasionado y, en su caso, proceder de manera administrativa o penal en contra del responsable. </w:t>
      </w:r>
    </w:p>
    <w:p w14:paraId="3A475C42" w14:textId="77777777" w:rsidR="009B5E39" w:rsidRPr="00940515" w:rsidRDefault="009B5E39" w:rsidP="009B5E39">
      <w:pPr>
        <w:ind w:left="284" w:right="283"/>
        <w:jc w:val="both"/>
        <w:rPr>
          <w:rFonts w:ascii="Gotham" w:hAnsi="Gotham" w:cs="Arial"/>
          <w:b/>
          <w:sz w:val="19"/>
          <w:szCs w:val="19"/>
        </w:rPr>
      </w:pPr>
    </w:p>
    <w:p w14:paraId="3A475C43"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172.</w:t>
      </w:r>
      <w:r w:rsidRPr="00940515">
        <w:rPr>
          <w:rFonts w:ascii="Gotham" w:hAnsi="Gotham" w:cs="Arial"/>
          <w:sz w:val="19"/>
          <w:szCs w:val="19"/>
        </w:rPr>
        <w:t xml:space="preserve"> La Jefatura de Agentes de Movilidad utilizará la sanción económica tanto a la persona física o moral, así como el apercibimiento y la clausura o inhabilitación para que se cumpla el presente reglamento.</w:t>
      </w:r>
    </w:p>
    <w:p w14:paraId="3A475C44" w14:textId="77777777" w:rsidR="009B5E39" w:rsidRPr="00940515" w:rsidRDefault="009B5E39" w:rsidP="009B5E39">
      <w:pPr>
        <w:ind w:left="284" w:right="283"/>
        <w:jc w:val="both"/>
        <w:rPr>
          <w:rFonts w:ascii="Gotham" w:hAnsi="Gotham" w:cs="Arial"/>
          <w:sz w:val="19"/>
          <w:szCs w:val="19"/>
        </w:rPr>
      </w:pPr>
    </w:p>
    <w:p w14:paraId="3A475C45"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173</w:t>
      </w:r>
      <w:r w:rsidRPr="00940515">
        <w:rPr>
          <w:rFonts w:ascii="Gotham" w:hAnsi="Gotham" w:cs="Arial"/>
          <w:sz w:val="19"/>
          <w:szCs w:val="19"/>
        </w:rPr>
        <w:t>. Los infractores de las disposiciones que contiene este reglamento, serán sancionados de acuerdo a lo que señale este Reglamento, la Ley de Ingresos del Municipio de Tonalá, Jalisco y cualquier otro aplicable.</w:t>
      </w:r>
    </w:p>
    <w:p w14:paraId="3A475C46" w14:textId="77777777" w:rsidR="009B5E39" w:rsidRDefault="009B5E39" w:rsidP="009B5E39">
      <w:pPr>
        <w:ind w:left="284" w:right="283"/>
        <w:jc w:val="both"/>
        <w:rPr>
          <w:rFonts w:ascii="Gotham" w:hAnsi="Gotham" w:cs="Arial"/>
          <w:b/>
          <w:sz w:val="19"/>
          <w:szCs w:val="19"/>
        </w:rPr>
      </w:pPr>
    </w:p>
    <w:p w14:paraId="3A475C47" w14:textId="77777777" w:rsidR="009B5E39" w:rsidRPr="00940515" w:rsidRDefault="009B5E39" w:rsidP="009B5E39">
      <w:pPr>
        <w:ind w:left="284" w:right="283"/>
        <w:jc w:val="both"/>
        <w:rPr>
          <w:rFonts w:ascii="Gotham" w:hAnsi="Gotham" w:cs="Arial"/>
          <w:b/>
          <w:sz w:val="19"/>
          <w:szCs w:val="19"/>
        </w:rPr>
      </w:pPr>
    </w:p>
    <w:p w14:paraId="3A475C48"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CAPÍTULO X</w:t>
      </w:r>
    </w:p>
    <w:p w14:paraId="3A475C49"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DE LOS APERCIBIMIENTOS, SANCIONES Y CANCELACIONES</w:t>
      </w:r>
    </w:p>
    <w:p w14:paraId="3A475C4A" w14:textId="77777777" w:rsidR="009B5E39" w:rsidRPr="00940515" w:rsidRDefault="009B5E39" w:rsidP="009B5E39">
      <w:pPr>
        <w:ind w:left="284" w:right="283"/>
        <w:jc w:val="both"/>
        <w:rPr>
          <w:rFonts w:ascii="Gotham" w:hAnsi="Gotham" w:cs="Arial"/>
          <w:sz w:val="19"/>
          <w:szCs w:val="19"/>
        </w:rPr>
      </w:pPr>
    </w:p>
    <w:p w14:paraId="3A475C4B"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174.</w:t>
      </w:r>
      <w:r w:rsidRPr="00940515">
        <w:rPr>
          <w:rFonts w:ascii="Gotham" w:hAnsi="Gotham" w:cs="Arial"/>
          <w:sz w:val="19"/>
          <w:szCs w:val="19"/>
        </w:rPr>
        <w:t xml:space="preserve"> Las resoluciones y acuerdos administrativos, así como las sanciones por infracciones que contemplan este Reglamento, que los interesados estimen antijurídicos, infundados o faltos de motivación, podrán ser impugnados mediante el recurso de revisión.</w:t>
      </w:r>
    </w:p>
    <w:p w14:paraId="3A475C4C" w14:textId="77777777" w:rsidR="009B5E39" w:rsidRPr="00940515" w:rsidRDefault="009B5E39" w:rsidP="009B5E39">
      <w:pPr>
        <w:ind w:left="284" w:right="283"/>
        <w:jc w:val="both"/>
        <w:rPr>
          <w:rFonts w:ascii="Gotham" w:hAnsi="Gotham" w:cs="Arial"/>
          <w:sz w:val="19"/>
          <w:szCs w:val="19"/>
        </w:rPr>
      </w:pPr>
    </w:p>
    <w:p w14:paraId="3A475C4D"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175.</w:t>
      </w:r>
      <w:r w:rsidRPr="00940515">
        <w:rPr>
          <w:rFonts w:ascii="Gotham" w:hAnsi="Gotham" w:cs="Arial"/>
          <w:sz w:val="19"/>
          <w:szCs w:val="19"/>
        </w:rPr>
        <w:t xml:space="preserve"> Procede el Recurso de Revisión:</w:t>
      </w:r>
    </w:p>
    <w:p w14:paraId="3A475C4E" w14:textId="77777777" w:rsidR="009B5E39" w:rsidRPr="00940515" w:rsidRDefault="009B5E39" w:rsidP="009B5E39">
      <w:pPr>
        <w:ind w:left="284" w:right="283"/>
        <w:jc w:val="both"/>
        <w:rPr>
          <w:rFonts w:ascii="Gotham" w:hAnsi="Gotham" w:cs="Arial"/>
          <w:sz w:val="19"/>
          <w:szCs w:val="19"/>
        </w:rPr>
      </w:pPr>
    </w:p>
    <w:p w14:paraId="3A475C4F"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Contra los actos de autoridades que impongan sanciones a que este Reglamento se refiere y que el interesado estime indebidamente fundadas y motivadas;</w:t>
      </w:r>
    </w:p>
    <w:p w14:paraId="3A475C50"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Contra los actos de las autoridades administrativas que los interesados estimen violatorios de este Reglamento; y</w:t>
      </w:r>
    </w:p>
    <w:p w14:paraId="3A475C51"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Contra las resoluciones de las autoridades administrativas que pongan fin al procedimiento</w:t>
      </w:r>
    </w:p>
    <w:p w14:paraId="3A475C52" w14:textId="77777777" w:rsidR="009B5E39" w:rsidRPr="00940515" w:rsidRDefault="009B5E39" w:rsidP="009B5E39">
      <w:pPr>
        <w:ind w:left="284" w:right="283"/>
        <w:jc w:val="both"/>
        <w:rPr>
          <w:rFonts w:ascii="Gotham" w:hAnsi="Gotham" w:cs="Arial"/>
          <w:sz w:val="19"/>
          <w:szCs w:val="19"/>
        </w:rPr>
      </w:pPr>
    </w:p>
    <w:p w14:paraId="3A475C53"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176.</w:t>
      </w:r>
      <w:r w:rsidRPr="00940515">
        <w:rPr>
          <w:rFonts w:ascii="Gotham" w:hAnsi="Gotham" w:cs="Arial"/>
          <w:sz w:val="19"/>
          <w:szCs w:val="19"/>
        </w:rPr>
        <w:t xml:space="preserve"> El recurso de revisión debe interponerse ante el Coordinador del Gabinete de Seguridad, Prevención, Servicios de Emergencia y Movilidad, dentro del plazo de 20 días hábiles contados a partir del día siguiente en que la resolución se notifique o del que tengan conocimiento los interesados; conforme a las disposiciones establecidas en el presente Reglamento o en la Ley del Procedimiento Administrativo del Estado de Jalisco, de aplicación supletoria.</w:t>
      </w:r>
    </w:p>
    <w:p w14:paraId="3A475C54" w14:textId="77777777" w:rsidR="009B5E39" w:rsidRPr="00940515" w:rsidRDefault="009B5E39" w:rsidP="009B5E39">
      <w:pPr>
        <w:ind w:left="284" w:right="283"/>
        <w:jc w:val="both"/>
        <w:rPr>
          <w:rFonts w:ascii="Gotham" w:hAnsi="Gotham" w:cs="Arial"/>
          <w:sz w:val="19"/>
          <w:szCs w:val="19"/>
        </w:rPr>
      </w:pPr>
    </w:p>
    <w:p w14:paraId="3A475C55"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177</w:t>
      </w:r>
      <w:r w:rsidRPr="00940515">
        <w:rPr>
          <w:rFonts w:ascii="Gotham" w:hAnsi="Gotham" w:cs="Arial"/>
          <w:sz w:val="19"/>
          <w:szCs w:val="19"/>
        </w:rPr>
        <w:t>. El Recurso de Revisión debe presentarse por escrito firmado por el afectado o por su representante debidamente acreditado. El escrito debe indicar:</w:t>
      </w:r>
    </w:p>
    <w:p w14:paraId="3A475C56" w14:textId="77777777" w:rsidR="009B5E39" w:rsidRPr="00940515" w:rsidRDefault="009B5E39" w:rsidP="009B5E39">
      <w:pPr>
        <w:ind w:left="284" w:right="283"/>
        <w:jc w:val="both"/>
        <w:rPr>
          <w:rFonts w:ascii="Gotham" w:hAnsi="Gotham" w:cs="Arial"/>
          <w:sz w:val="19"/>
          <w:szCs w:val="19"/>
        </w:rPr>
      </w:pPr>
    </w:p>
    <w:p w14:paraId="3A475C57"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El nombre y domicilio del inconforme afectado y, en su caso, de quien promueve en su nombre. Si fueren varios los recurrentes, deberán señalar un representante común;</w:t>
      </w:r>
    </w:p>
    <w:p w14:paraId="3A475C58"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El interés jurídico con que comparece;</w:t>
      </w:r>
    </w:p>
    <w:p w14:paraId="3A475C5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La autoridad o autoridades que dictaron el acto impugnado;</w:t>
      </w:r>
    </w:p>
    <w:p w14:paraId="3A475C5A"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La fecha en que, bajo protesta de decir verdad, manifieste el afectado que tuvo conocimiento de la resolución que impugna;</w:t>
      </w:r>
    </w:p>
    <w:p w14:paraId="3A475C5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 </w:t>
      </w:r>
      <w:r>
        <w:rPr>
          <w:rFonts w:ascii="Gotham" w:hAnsi="Gotham" w:cs="Arial"/>
          <w:sz w:val="19"/>
          <w:szCs w:val="19"/>
        </w:rPr>
        <w:tab/>
      </w:r>
      <w:r w:rsidRPr="00940515">
        <w:rPr>
          <w:rFonts w:ascii="Gotham" w:hAnsi="Gotham" w:cs="Arial"/>
          <w:sz w:val="19"/>
          <w:szCs w:val="19"/>
        </w:rPr>
        <w:t>La mención precisa del acto de autoridad que motive la interposición de revisión;</w:t>
      </w:r>
    </w:p>
    <w:p w14:paraId="3A475C5C"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 </w:t>
      </w:r>
      <w:r>
        <w:rPr>
          <w:rFonts w:ascii="Gotham" w:hAnsi="Gotham" w:cs="Arial"/>
          <w:sz w:val="19"/>
          <w:szCs w:val="19"/>
        </w:rPr>
        <w:tab/>
      </w:r>
      <w:r w:rsidRPr="00940515">
        <w:rPr>
          <w:rFonts w:ascii="Gotham" w:hAnsi="Gotham" w:cs="Arial"/>
          <w:sz w:val="19"/>
          <w:szCs w:val="19"/>
        </w:rPr>
        <w:t>Los conceptos de violación o, en su caso, las objeciones a la resolución o acto que se reclama;</w:t>
      </w:r>
    </w:p>
    <w:p w14:paraId="3A475C5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VII. </w:t>
      </w:r>
      <w:r>
        <w:rPr>
          <w:rFonts w:ascii="Gotham" w:hAnsi="Gotham" w:cs="Arial"/>
          <w:sz w:val="19"/>
          <w:szCs w:val="19"/>
        </w:rPr>
        <w:tab/>
      </w:r>
      <w:r w:rsidRPr="00940515">
        <w:rPr>
          <w:rFonts w:ascii="Gotham" w:hAnsi="Gotham" w:cs="Arial"/>
          <w:sz w:val="19"/>
          <w:szCs w:val="19"/>
        </w:rPr>
        <w:t>Las pruebas que ofrezca; señalando aquellas que obren en el expediente administrativo; y</w:t>
      </w:r>
    </w:p>
    <w:p w14:paraId="3A475C5E"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VIII. </w:t>
      </w:r>
      <w:r>
        <w:rPr>
          <w:rFonts w:ascii="Gotham" w:hAnsi="Gotham" w:cs="Arial"/>
          <w:sz w:val="19"/>
          <w:szCs w:val="19"/>
        </w:rPr>
        <w:tab/>
      </w:r>
      <w:r w:rsidRPr="00940515">
        <w:rPr>
          <w:rFonts w:ascii="Gotham" w:hAnsi="Gotham" w:cs="Arial"/>
          <w:sz w:val="19"/>
          <w:szCs w:val="19"/>
        </w:rPr>
        <w:t>El lugar y fecha de la presentación del recurso de revisión</w:t>
      </w:r>
    </w:p>
    <w:p w14:paraId="3A475C5F" w14:textId="77777777" w:rsidR="009B5E39" w:rsidRPr="00940515" w:rsidRDefault="009B5E39" w:rsidP="009B5E39">
      <w:pPr>
        <w:ind w:left="284" w:right="283"/>
        <w:jc w:val="both"/>
        <w:rPr>
          <w:rFonts w:ascii="Gotham" w:hAnsi="Gotham" w:cs="Arial"/>
          <w:sz w:val="19"/>
          <w:szCs w:val="19"/>
        </w:rPr>
      </w:pPr>
    </w:p>
    <w:p w14:paraId="3A475C6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178.</w:t>
      </w:r>
      <w:r w:rsidRPr="00940515">
        <w:rPr>
          <w:rFonts w:ascii="Gotham" w:hAnsi="Gotham" w:cs="Arial"/>
          <w:sz w:val="19"/>
          <w:szCs w:val="19"/>
        </w:rPr>
        <w:t xml:space="preserve"> Al escrito de revisión se deberá acompañar:</w:t>
      </w:r>
    </w:p>
    <w:p w14:paraId="3A475C61" w14:textId="77777777" w:rsidR="009B5E39" w:rsidRPr="00940515" w:rsidRDefault="009B5E39" w:rsidP="009B5E39">
      <w:pPr>
        <w:ind w:left="284" w:right="283"/>
        <w:jc w:val="both"/>
        <w:rPr>
          <w:rFonts w:ascii="Gotham" w:hAnsi="Gotham" w:cs="Arial"/>
          <w:sz w:val="19"/>
          <w:szCs w:val="19"/>
        </w:rPr>
      </w:pPr>
    </w:p>
    <w:p w14:paraId="3A475C62"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Copia de la identificación oficial, así como los documentos que acrediten su personalidad, cuando actúe en nombre de otro o de personas jurídicas;</w:t>
      </w:r>
    </w:p>
    <w:p w14:paraId="3A475C63"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El documento en que conste el acto impugnado. En caso de no contar con tal documento, señalar bajo protesta de decir verdad el acto que se impugna y la autoridad que lo realizó;</w:t>
      </w:r>
    </w:p>
    <w:p w14:paraId="3A475C64"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Constancia de notificación del acto impugnado, excepto cuando el promovente declare bajo protesta decir verdad que no la recibió; y</w:t>
      </w:r>
    </w:p>
    <w:p w14:paraId="3A475C65"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Las pruebas documentales que ofrezca.</w:t>
      </w:r>
    </w:p>
    <w:p w14:paraId="3A475C66" w14:textId="77777777" w:rsidR="009B5E39" w:rsidRPr="00940515" w:rsidRDefault="009B5E39" w:rsidP="009B5E39">
      <w:pPr>
        <w:ind w:left="284" w:right="283"/>
        <w:jc w:val="both"/>
        <w:rPr>
          <w:rFonts w:ascii="Gotham" w:hAnsi="Gotham" w:cs="Arial"/>
          <w:sz w:val="19"/>
          <w:szCs w:val="19"/>
        </w:rPr>
      </w:pPr>
    </w:p>
    <w:p w14:paraId="3A475C67"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179.</w:t>
      </w:r>
      <w:r w:rsidRPr="00940515">
        <w:rPr>
          <w:rFonts w:ascii="Gotham" w:hAnsi="Gotham" w:cs="Arial"/>
          <w:sz w:val="19"/>
          <w:szCs w:val="19"/>
        </w:rPr>
        <w:t xml:space="preserve"> La interposición del recurso suspende la ejecución del acto impugnado cuando:</w:t>
      </w:r>
    </w:p>
    <w:p w14:paraId="3A475C68" w14:textId="77777777" w:rsidR="009B5E39" w:rsidRPr="00940515" w:rsidRDefault="009B5E39" w:rsidP="009B5E39">
      <w:pPr>
        <w:ind w:left="284" w:right="283"/>
        <w:jc w:val="both"/>
        <w:rPr>
          <w:rFonts w:ascii="Gotham" w:hAnsi="Gotham" w:cs="Arial"/>
          <w:sz w:val="19"/>
          <w:szCs w:val="19"/>
        </w:rPr>
      </w:pPr>
    </w:p>
    <w:p w14:paraId="3A475C69"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lastRenderedPageBreak/>
        <w:t xml:space="preserve">I. </w:t>
      </w:r>
      <w:r>
        <w:rPr>
          <w:rFonts w:ascii="Gotham" w:hAnsi="Gotham" w:cs="Arial"/>
          <w:sz w:val="19"/>
          <w:szCs w:val="19"/>
        </w:rPr>
        <w:tab/>
      </w:r>
      <w:r w:rsidRPr="00940515">
        <w:rPr>
          <w:rFonts w:ascii="Gotham" w:hAnsi="Gotham" w:cs="Arial"/>
          <w:sz w:val="19"/>
          <w:szCs w:val="19"/>
        </w:rPr>
        <w:t>Lo solicite expresamente el recurrente;</w:t>
      </w:r>
    </w:p>
    <w:p w14:paraId="3A475C6A"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 xml:space="preserve">No se cause un perjuicio al interés social o se contravenga el orden público; </w:t>
      </w:r>
    </w:p>
    <w:p w14:paraId="3A475C6B"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III. </w:t>
      </w:r>
      <w:r>
        <w:rPr>
          <w:rFonts w:ascii="Gotham" w:hAnsi="Gotham" w:cs="Arial"/>
          <w:sz w:val="19"/>
          <w:szCs w:val="19"/>
        </w:rPr>
        <w:tab/>
      </w:r>
      <w:r w:rsidRPr="00940515">
        <w:rPr>
          <w:rFonts w:ascii="Gotham" w:hAnsi="Gotham" w:cs="Arial"/>
          <w:sz w:val="19"/>
          <w:szCs w:val="19"/>
        </w:rPr>
        <w:t>No se ocasionen daños o perjuicios a terceros, a menos que éstos sean garantizados; y</w:t>
      </w:r>
    </w:p>
    <w:p w14:paraId="3A475C6C" w14:textId="77777777" w:rsidR="009B5E39" w:rsidRPr="00940515" w:rsidRDefault="009B5E39" w:rsidP="009B5E39">
      <w:pPr>
        <w:ind w:left="1134" w:right="283" w:hanging="850"/>
        <w:jc w:val="both"/>
        <w:rPr>
          <w:rFonts w:ascii="Gotham" w:hAnsi="Gotham" w:cs="Arial"/>
          <w:sz w:val="19"/>
          <w:szCs w:val="19"/>
        </w:rPr>
      </w:pPr>
      <w:r w:rsidRPr="00940515">
        <w:rPr>
          <w:rFonts w:ascii="Gotham" w:hAnsi="Gotham" w:cs="Arial"/>
          <w:sz w:val="19"/>
          <w:szCs w:val="19"/>
        </w:rPr>
        <w:t xml:space="preserve">IV. </w:t>
      </w:r>
      <w:r>
        <w:rPr>
          <w:rFonts w:ascii="Gotham" w:hAnsi="Gotham" w:cs="Arial"/>
          <w:sz w:val="19"/>
          <w:szCs w:val="19"/>
        </w:rPr>
        <w:tab/>
      </w:r>
      <w:r w:rsidRPr="00940515">
        <w:rPr>
          <w:rFonts w:ascii="Gotham" w:hAnsi="Gotham" w:cs="Arial"/>
          <w:sz w:val="19"/>
          <w:szCs w:val="19"/>
        </w:rPr>
        <w:t>Se otorgue garantía suficiente en caso de que así lo acuerde la autoridad.</w:t>
      </w:r>
    </w:p>
    <w:p w14:paraId="3A475C6D" w14:textId="77777777" w:rsidR="009B5E39" w:rsidRPr="00940515" w:rsidRDefault="009B5E39" w:rsidP="009B5E39">
      <w:pPr>
        <w:ind w:left="284" w:right="283"/>
        <w:jc w:val="both"/>
        <w:rPr>
          <w:rFonts w:ascii="Gotham" w:hAnsi="Gotham" w:cs="Arial"/>
          <w:sz w:val="19"/>
          <w:szCs w:val="19"/>
        </w:rPr>
      </w:pPr>
    </w:p>
    <w:p w14:paraId="3A475C6E"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180.</w:t>
      </w:r>
      <w:r w:rsidRPr="00940515">
        <w:rPr>
          <w:rFonts w:ascii="Gotham" w:hAnsi="Gotham" w:cs="Arial"/>
          <w:sz w:val="19"/>
          <w:szCs w:val="19"/>
        </w:rPr>
        <w:t xml:space="preserve"> Una vez presentado el recurso, el Coordinador del Gabinete de Seguridad, Prevención, Servicios de Emergencia y Movilidad, deberá acordar por escrito, para que la Dirección Jurídica de la Coordinación substancie el procedimiento administrativo correspondiente y en un plazo no mayor de cinco días hábiles, resuelva sobre la admisión del recurso, debiendo admitir las pruebas presentadas y declarar desahogadas aquéllas que por su naturaleza así lo permitan</w:t>
      </w:r>
    </w:p>
    <w:p w14:paraId="3A475C6F" w14:textId="77777777" w:rsidR="009B5E39" w:rsidRPr="00940515" w:rsidRDefault="009B5E39" w:rsidP="009B5E39">
      <w:pPr>
        <w:ind w:left="284" w:right="283"/>
        <w:jc w:val="both"/>
        <w:rPr>
          <w:rFonts w:ascii="Gotham" w:hAnsi="Gotham" w:cs="Arial"/>
          <w:sz w:val="19"/>
          <w:szCs w:val="19"/>
        </w:rPr>
      </w:pPr>
    </w:p>
    <w:p w14:paraId="3A475C7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En ese mismo acuerdo de admisión se debe requerir al servidor público que autorizó o emitió el acto recurrido, para que en un plazo no mayor de cinco días hábiles entregue un informe del acto recurrido y presente las pruebas que se relacionen con el acto impugnado.</w:t>
      </w:r>
    </w:p>
    <w:p w14:paraId="3A475C71" w14:textId="77777777" w:rsidR="009B5E39" w:rsidRPr="00940515" w:rsidRDefault="009B5E39" w:rsidP="009B5E39">
      <w:pPr>
        <w:ind w:left="284" w:right="283"/>
        <w:jc w:val="both"/>
        <w:rPr>
          <w:rFonts w:ascii="Gotham" w:hAnsi="Gotham" w:cs="Arial"/>
          <w:sz w:val="19"/>
          <w:szCs w:val="19"/>
        </w:rPr>
      </w:pPr>
    </w:p>
    <w:p w14:paraId="3A475C72"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181.</w:t>
      </w:r>
      <w:r w:rsidRPr="00940515">
        <w:rPr>
          <w:rFonts w:ascii="Gotham" w:hAnsi="Gotham" w:cs="Arial"/>
          <w:sz w:val="19"/>
          <w:szCs w:val="19"/>
        </w:rPr>
        <w:t xml:space="preserve"> En un plazo de diez días hábiles, contados a partir de que hayan vencido los cinco días hábiles concedidos para el informe de la autoridad que emitió el acto impugnado y si las pruebas presentadas fueron desahogadas por su propia naturaleza, la autoridad o el servidor que substancia el procedimiento del recurso, debe elaborar el proyecto de resolución y remitirlo al Coordinador del Gabinete de Seguridad, Prevención, Servicios de Emergencia y Movilidad para que lo apruebe y dicte la resolución definitiva.</w:t>
      </w:r>
    </w:p>
    <w:p w14:paraId="3A475C73" w14:textId="77777777" w:rsidR="009B5E39" w:rsidRPr="00940515" w:rsidRDefault="009B5E39" w:rsidP="009B5E39">
      <w:pPr>
        <w:ind w:left="284" w:right="283"/>
        <w:jc w:val="both"/>
        <w:rPr>
          <w:rFonts w:ascii="Gotham" w:hAnsi="Gotham" w:cs="Arial"/>
          <w:sz w:val="19"/>
          <w:szCs w:val="19"/>
        </w:rPr>
      </w:pPr>
    </w:p>
    <w:p w14:paraId="3A475C74"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En caso contrario, se abrirá un periodo probatorio de cinco días hábiles para desahogar aquellas pruebas que así lo requieran. Al término de este periodo, se debe elaborar el proyecto de resolución y remitirlo al Coordinador del Gabinete de Seguridad, Prevención, Servicios de Emergencia y Movilidad para que lo apruebe y dicte la resolución definitiva.</w:t>
      </w:r>
    </w:p>
    <w:p w14:paraId="3A475C75" w14:textId="77777777" w:rsidR="009B5E39" w:rsidRPr="00940515" w:rsidRDefault="009B5E39" w:rsidP="009B5E39">
      <w:pPr>
        <w:ind w:left="284" w:right="283"/>
        <w:jc w:val="both"/>
        <w:rPr>
          <w:rFonts w:ascii="Gotham" w:hAnsi="Gotham" w:cs="Arial"/>
          <w:sz w:val="19"/>
          <w:szCs w:val="19"/>
        </w:rPr>
      </w:pPr>
    </w:p>
    <w:p w14:paraId="3A475C7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182.</w:t>
      </w:r>
      <w:r w:rsidRPr="00940515">
        <w:rPr>
          <w:rFonts w:ascii="Gotham" w:hAnsi="Gotham" w:cs="Arial"/>
          <w:sz w:val="19"/>
          <w:szCs w:val="19"/>
        </w:rPr>
        <w:t xml:space="preserve"> La autoridad encargada de resolver el recurso de revisión podrá desecharlo por improcedente o sobreseerlo en los supuestos siguientes:</w:t>
      </w:r>
    </w:p>
    <w:p w14:paraId="3A475C77" w14:textId="77777777" w:rsidR="009B5E39" w:rsidRPr="00940515" w:rsidRDefault="009B5E39" w:rsidP="009B5E39">
      <w:pPr>
        <w:ind w:left="284" w:right="283"/>
        <w:jc w:val="both"/>
        <w:rPr>
          <w:rFonts w:ascii="Gotham" w:hAnsi="Gotham" w:cs="Arial"/>
          <w:sz w:val="19"/>
          <w:szCs w:val="19"/>
        </w:rPr>
      </w:pPr>
    </w:p>
    <w:p w14:paraId="3A475C78"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 </w:t>
      </w:r>
      <w:r>
        <w:rPr>
          <w:rFonts w:ascii="Gotham" w:hAnsi="Gotham" w:cs="Arial"/>
          <w:sz w:val="19"/>
          <w:szCs w:val="19"/>
        </w:rPr>
        <w:tab/>
      </w:r>
      <w:r w:rsidRPr="00940515">
        <w:rPr>
          <w:rFonts w:ascii="Gotham" w:hAnsi="Gotham" w:cs="Arial"/>
          <w:sz w:val="19"/>
          <w:szCs w:val="19"/>
        </w:rPr>
        <w:t xml:space="preserve">Será desechado el recurso por improcedente en los siguientes supuestos: </w:t>
      </w:r>
    </w:p>
    <w:p w14:paraId="3A475C79"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contra actos que no sean materia del recurso de revisión;</w:t>
      </w:r>
    </w:p>
    <w:p w14:paraId="3A475C7A"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Contra actos que no afecten el interés jurídico del promovente;</w:t>
      </w:r>
    </w:p>
    <w:p w14:paraId="3A475C7B"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Cuando sea presentado fuera del plazo legal para su interposición; y</w:t>
      </w:r>
    </w:p>
    <w:p w14:paraId="3A475C7C"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d) </w:t>
      </w:r>
      <w:r>
        <w:rPr>
          <w:rFonts w:ascii="Gotham" w:hAnsi="Gotham" w:cs="Arial"/>
          <w:sz w:val="19"/>
          <w:szCs w:val="19"/>
        </w:rPr>
        <w:tab/>
      </w:r>
      <w:r w:rsidRPr="00940515">
        <w:rPr>
          <w:rFonts w:ascii="Gotham" w:hAnsi="Gotham" w:cs="Arial"/>
          <w:sz w:val="19"/>
          <w:szCs w:val="19"/>
        </w:rPr>
        <w:t>Cuando no se haya acompañado la documentación que acredite la personalidad del promovente;</w:t>
      </w:r>
    </w:p>
    <w:p w14:paraId="3A475C7D" w14:textId="77777777" w:rsidR="009B5E39" w:rsidRPr="00940515" w:rsidRDefault="009B5E39" w:rsidP="009B5E39">
      <w:pPr>
        <w:spacing w:after="120"/>
        <w:ind w:left="1134" w:right="283" w:hanging="850"/>
        <w:jc w:val="both"/>
        <w:rPr>
          <w:rFonts w:ascii="Gotham" w:hAnsi="Gotham" w:cs="Arial"/>
          <w:sz w:val="19"/>
          <w:szCs w:val="19"/>
        </w:rPr>
      </w:pPr>
      <w:r w:rsidRPr="00940515">
        <w:rPr>
          <w:rFonts w:ascii="Gotham" w:hAnsi="Gotham" w:cs="Arial"/>
          <w:sz w:val="19"/>
          <w:szCs w:val="19"/>
        </w:rPr>
        <w:t xml:space="preserve">II. </w:t>
      </w:r>
      <w:r>
        <w:rPr>
          <w:rFonts w:ascii="Gotham" w:hAnsi="Gotham" w:cs="Arial"/>
          <w:sz w:val="19"/>
          <w:szCs w:val="19"/>
        </w:rPr>
        <w:tab/>
      </w:r>
      <w:r w:rsidRPr="00940515">
        <w:rPr>
          <w:rFonts w:ascii="Gotham" w:hAnsi="Gotham" w:cs="Arial"/>
          <w:sz w:val="19"/>
          <w:szCs w:val="19"/>
        </w:rPr>
        <w:t>Será sobreseído el recurso de revisión en los siguientes supuestos:</w:t>
      </w:r>
    </w:p>
    <w:p w14:paraId="3A475C7E"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a) </w:t>
      </w:r>
      <w:r>
        <w:rPr>
          <w:rFonts w:ascii="Gotham" w:hAnsi="Gotham" w:cs="Arial"/>
          <w:sz w:val="19"/>
          <w:szCs w:val="19"/>
        </w:rPr>
        <w:tab/>
      </w:r>
      <w:r w:rsidRPr="00940515">
        <w:rPr>
          <w:rFonts w:ascii="Gotham" w:hAnsi="Gotham" w:cs="Arial"/>
          <w:sz w:val="19"/>
          <w:szCs w:val="19"/>
        </w:rPr>
        <w:t>Cuando el promovente se desista expresamente;</w:t>
      </w:r>
    </w:p>
    <w:p w14:paraId="3A475C7F" w14:textId="77777777" w:rsidR="009B5E39" w:rsidRPr="00940515" w:rsidRDefault="009B5E39" w:rsidP="009B5E39">
      <w:pPr>
        <w:spacing w:after="120"/>
        <w:ind w:left="1701" w:right="283" w:hanging="567"/>
        <w:jc w:val="both"/>
        <w:rPr>
          <w:rFonts w:ascii="Gotham" w:hAnsi="Gotham" w:cs="Arial"/>
          <w:sz w:val="19"/>
          <w:szCs w:val="19"/>
        </w:rPr>
      </w:pPr>
      <w:r w:rsidRPr="00940515">
        <w:rPr>
          <w:rFonts w:ascii="Gotham" w:hAnsi="Gotham" w:cs="Arial"/>
          <w:sz w:val="19"/>
          <w:szCs w:val="19"/>
        </w:rPr>
        <w:t xml:space="preserve">b) </w:t>
      </w:r>
      <w:r>
        <w:rPr>
          <w:rFonts w:ascii="Gotham" w:hAnsi="Gotham" w:cs="Arial"/>
          <w:sz w:val="19"/>
          <w:szCs w:val="19"/>
        </w:rPr>
        <w:tab/>
      </w:r>
      <w:r w:rsidRPr="00940515">
        <w:rPr>
          <w:rFonts w:ascii="Gotham" w:hAnsi="Gotham" w:cs="Arial"/>
          <w:sz w:val="19"/>
          <w:szCs w:val="19"/>
        </w:rPr>
        <w:t>Por falta de objeto, materia o existencia del acto reclamado; y</w:t>
      </w:r>
    </w:p>
    <w:p w14:paraId="3A475C80" w14:textId="77777777" w:rsidR="009B5E39" w:rsidRPr="00940515" w:rsidRDefault="009B5E39" w:rsidP="009B5E39">
      <w:pPr>
        <w:ind w:left="1701" w:right="283" w:hanging="567"/>
        <w:jc w:val="both"/>
        <w:rPr>
          <w:rFonts w:ascii="Gotham" w:hAnsi="Gotham" w:cs="Arial"/>
          <w:sz w:val="19"/>
          <w:szCs w:val="19"/>
        </w:rPr>
      </w:pPr>
      <w:r w:rsidRPr="00940515">
        <w:rPr>
          <w:rFonts w:ascii="Gotham" w:hAnsi="Gotham" w:cs="Arial"/>
          <w:sz w:val="19"/>
          <w:szCs w:val="19"/>
        </w:rPr>
        <w:t xml:space="preserve">c) </w:t>
      </w:r>
      <w:r>
        <w:rPr>
          <w:rFonts w:ascii="Gotham" w:hAnsi="Gotham" w:cs="Arial"/>
          <w:sz w:val="19"/>
          <w:szCs w:val="19"/>
        </w:rPr>
        <w:tab/>
      </w:r>
      <w:r w:rsidRPr="00940515">
        <w:rPr>
          <w:rFonts w:ascii="Gotham" w:hAnsi="Gotham" w:cs="Arial"/>
          <w:sz w:val="19"/>
          <w:szCs w:val="19"/>
        </w:rPr>
        <w:t>El promovente interponga el medio de defensa legal por el mismo acto ante el Tribunal de Justicia Administrativa.</w:t>
      </w:r>
    </w:p>
    <w:p w14:paraId="3A475C81" w14:textId="77777777" w:rsidR="009B5E39" w:rsidRPr="00940515" w:rsidRDefault="009B5E39" w:rsidP="009B5E39">
      <w:pPr>
        <w:ind w:left="284" w:right="283"/>
        <w:jc w:val="both"/>
        <w:rPr>
          <w:rFonts w:ascii="Gotham" w:hAnsi="Gotham" w:cs="Arial"/>
          <w:sz w:val="19"/>
          <w:szCs w:val="19"/>
        </w:rPr>
      </w:pPr>
    </w:p>
    <w:p w14:paraId="3A475C82"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183.</w:t>
      </w:r>
      <w:r w:rsidRPr="00940515">
        <w:rPr>
          <w:rFonts w:ascii="Gotham" w:hAnsi="Gotham" w:cs="Arial"/>
          <w:sz w:val="19"/>
          <w:szCs w:val="19"/>
        </w:rPr>
        <w:t xml:space="preserve"> En contra de la resolución que resuelve el recurso de revisión, procede el juicio ante el Tribunal de Justicia Administrativa</w:t>
      </w:r>
    </w:p>
    <w:p w14:paraId="3A475C83" w14:textId="77777777" w:rsidR="009B5E39" w:rsidRDefault="009B5E39" w:rsidP="009B5E39">
      <w:pPr>
        <w:ind w:left="284" w:right="283"/>
        <w:jc w:val="both"/>
        <w:rPr>
          <w:rFonts w:ascii="Gotham" w:hAnsi="Gotham" w:cs="Arial"/>
          <w:sz w:val="19"/>
          <w:szCs w:val="19"/>
        </w:rPr>
      </w:pPr>
    </w:p>
    <w:p w14:paraId="3A475C84" w14:textId="77777777" w:rsidR="009B5E39" w:rsidRPr="00940515" w:rsidRDefault="009B5E39" w:rsidP="009B5E39">
      <w:pPr>
        <w:ind w:left="284" w:right="283"/>
        <w:jc w:val="both"/>
        <w:rPr>
          <w:rFonts w:ascii="Gotham" w:hAnsi="Gotham" w:cs="Arial"/>
          <w:sz w:val="19"/>
          <w:szCs w:val="19"/>
        </w:rPr>
      </w:pPr>
    </w:p>
    <w:p w14:paraId="3A475C85"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CAPÍTULO XI</w:t>
      </w:r>
    </w:p>
    <w:p w14:paraId="3A475C86"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Del Recurso de Inconformidad</w:t>
      </w:r>
    </w:p>
    <w:p w14:paraId="3A475C87" w14:textId="77777777" w:rsidR="009B5E39" w:rsidRPr="00940515" w:rsidRDefault="009B5E39" w:rsidP="009B5E39">
      <w:pPr>
        <w:ind w:left="284" w:right="283"/>
        <w:jc w:val="both"/>
        <w:rPr>
          <w:rFonts w:ascii="Gotham" w:hAnsi="Gotham" w:cs="Arial"/>
          <w:b/>
          <w:sz w:val="19"/>
          <w:szCs w:val="19"/>
        </w:rPr>
      </w:pPr>
    </w:p>
    <w:p w14:paraId="3A475C88"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lastRenderedPageBreak/>
        <w:t>Artículo 184.</w:t>
      </w:r>
      <w:r w:rsidRPr="00940515">
        <w:rPr>
          <w:rFonts w:ascii="Gotham" w:hAnsi="Gotham" w:cs="Arial"/>
          <w:sz w:val="19"/>
          <w:szCs w:val="19"/>
        </w:rPr>
        <w:t xml:space="preserve"> El recurso de inconformidad procede en contra de multas impuestas por las autoridades administrativas competentes en este reglamento y tiene como objeto confirmar o modificar el monto de la multa.</w:t>
      </w:r>
    </w:p>
    <w:p w14:paraId="3A475C89" w14:textId="77777777" w:rsidR="009B5E39" w:rsidRPr="00940515" w:rsidRDefault="009B5E39" w:rsidP="009B5E39">
      <w:pPr>
        <w:ind w:left="284" w:right="283"/>
        <w:jc w:val="both"/>
        <w:rPr>
          <w:rFonts w:ascii="Gotham" w:hAnsi="Gotham" w:cs="Arial"/>
          <w:sz w:val="19"/>
          <w:szCs w:val="19"/>
        </w:rPr>
      </w:pPr>
    </w:p>
    <w:p w14:paraId="3A475C8A"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Será optativo para el particular agotar el recurso de inconformidad o promover el juicio ante el Tribunal de Justicia Administrativa.</w:t>
      </w:r>
    </w:p>
    <w:p w14:paraId="3A475C8B" w14:textId="77777777" w:rsidR="009B5E39" w:rsidRPr="00940515" w:rsidRDefault="009B5E39" w:rsidP="009B5E39">
      <w:pPr>
        <w:ind w:left="284" w:right="283"/>
        <w:jc w:val="both"/>
        <w:rPr>
          <w:rFonts w:ascii="Gotham" w:hAnsi="Gotham" w:cs="Arial"/>
          <w:sz w:val="19"/>
          <w:szCs w:val="19"/>
        </w:rPr>
      </w:pPr>
    </w:p>
    <w:p w14:paraId="3A475C8C"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185.</w:t>
      </w:r>
      <w:r w:rsidRPr="00940515">
        <w:rPr>
          <w:rFonts w:ascii="Gotham" w:hAnsi="Gotham" w:cs="Arial"/>
          <w:sz w:val="19"/>
          <w:szCs w:val="19"/>
        </w:rPr>
        <w:t xml:space="preserve"> El recurso de inconformidad debe interponerse ante el titular de la Jefatura de Agentes de Movilidad, dentro de los tres días hábiles siguientes, contados a partir de la fecha en que sea notificada.</w:t>
      </w:r>
    </w:p>
    <w:p w14:paraId="3A475C8D" w14:textId="77777777" w:rsidR="009B5E39" w:rsidRPr="00940515" w:rsidRDefault="009B5E39" w:rsidP="009B5E39">
      <w:pPr>
        <w:ind w:left="284" w:right="283"/>
        <w:jc w:val="both"/>
        <w:rPr>
          <w:rFonts w:ascii="Gotham" w:hAnsi="Gotham" w:cs="Arial"/>
          <w:sz w:val="19"/>
          <w:szCs w:val="19"/>
        </w:rPr>
      </w:pPr>
    </w:p>
    <w:p w14:paraId="3A475C8E"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186.</w:t>
      </w:r>
      <w:r w:rsidRPr="00940515">
        <w:rPr>
          <w:rFonts w:ascii="Gotham" w:hAnsi="Gotham" w:cs="Arial"/>
          <w:sz w:val="19"/>
          <w:szCs w:val="19"/>
        </w:rPr>
        <w:t xml:space="preserve"> El recurso de inconformidad se interpone por escrito y firmado por el afectado o por su representante legal debidamente autorizado y debe contener los mismos requisitos que los señalados en el artículo 182 y 183 del recurso de revisión.</w:t>
      </w:r>
    </w:p>
    <w:p w14:paraId="3A475C8F" w14:textId="77777777" w:rsidR="009B5E39" w:rsidRPr="00940515" w:rsidRDefault="009B5E39" w:rsidP="009B5E39">
      <w:pPr>
        <w:ind w:left="284" w:right="283"/>
        <w:jc w:val="both"/>
        <w:rPr>
          <w:rFonts w:ascii="Gotham" w:hAnsi="Gotham" w:cs="Arial"/>
          <w:sz w:val="19"/>
          <w:szCs w:val="19"/>
        </w:rPr>
      </w:pPr>
    </w:p>
    <w:p w14:paraId="3A475C90"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187.</w:t>
      </w:r>
      <w:r w:rsidRPr="00940515">
        <w:rPr>
          <w:rFonts w:ascii="Gotham" w:hAnsi="Gotham" w:cs="Arial"/>
          <w:sz w:val="19"/>
          <w:szCs w:val="19"/>
        </w:rPr>
        <w:t xml:space="preserve"> La interposición del recurso suspende el cobro de la multa impugnada, a petición expresa del interesado y no cause perjuicio al interés general.</w:t>
      </w:r>
    </w:p>
    <w:p w14:paraId="3A475C91" w14:textId="77777777" w:rsidR="009B5E39" w:rsidRPr="00940515" w:rsidRDefault="009B5E39" w:rsidP="009B5E39">
      <w:pPr>
        <w:ind w:left="284" w:right="283"/>
        <w:jc w:val="both"/>
        <w:rPr>
          <w:rFonts w:ascii="Gotham" w:hAnsi="Gotham" w:cs="Arial"/>
          <w:b/>
          <w:sz w:val="19"/>
          <w:szCs w:val="19"/>
        </w:rPr>
      </w:pPr>
    </w:p>
    <w:p w14:paraId="3A475C92"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188.</w:t>
      </w:r>
      <w:r w:rsidRPr="00940515">
        <w:rPr>
          <w:rFonts w:ascii="Gotham" w:hAnsi="Gotham" w:cs="Arial"/>
          <w:sz w:val="19"/>
          <w:szCs w:val="19"/>
        </w:rPr>
        <w:t xml:space="preserve"> El recurso debe admitirse al momento de su presentación, debiendo la autoridad señalar día y hora para la celebración de la audiencia, misma que debe desahogarse dentro de los cinco días hábiles siguientes a su admisión.</w:t>
      </w:r>
    </w:p>
    <w:p w14:paraId="3A475C93" w14:textId="77777777" w:rsidR="009B5E39" w:rsidRPr="00940515" w:rsidRDefault="009B5E39" w:rsidP="009B5E39">
      <w:pPr>
        <w:ind w:left="284" w:right="283"/>
        <w:jc w:val="both"/>
        <w:rPr>
          <w:rFonts w:ascii="Gotham" w:hAnsi="Gotham" w:cs="Arial"/>
          <w:sz w:val="19"/>
          <w:szCs w:val="19"/>
        </w:rPr>
      </w:pPr>
    </w:p>
    <w:p w14:paraId="3A475C94"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sz w:val="19"/>
          <w:szCs w:val="19"/>
        </w:rPr>
        <w:t>En dicha audiencia se oirá en defensa al interesado y se desahogarán las pruebas ofrecidas. A solicitud del particular la autoridad puede desahogar la audiencia en ese mismo momento.</w:t>
      </w:r>
    </w:p>
    <w:p w14:paraId="3A475C95" w14:textId="77777777" w:rsidR="009B5E39" w:rsidRPr="00940515" w:rsidRDefault="009B5E39" w:rsidP="009B5E39">
      <w:pPr>
        <w:ind w:left="284" w:right="283"/>
        <w:jc w:val="both"/>
        <w:rPr>
          <w:rFonts w:ascii="Gotham" w:hAnsi="Gotham" w:cs="Arial"/>
          <w:sz w:val="19"/>
          <w:szCs w:val="19"/>
        </w:rPr>
      </w:pPr>
    </w:p>
    <w:p w14:paraId="3A475C96"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Artículo 189.</w:t>
      </w:r>
      <w:r w:rsidRPr="00940515">
        <w:rPr>
          <w:rFonts w:ascii="Gotham" w:hAnsi="Gotham" w:cs="Arial"/>
          <w:sz w:val="19"/>
          <w:szCs w:val="19"/>
        </w:rPr>
        <w:t xml:space="preserve"> La autoridad tiene un plazo de cinco días hábiles, a partir de la celebración de la audiencia, para dictar la resolución que corresponda debidamente fundada y motivada, misma que debe ser notificada personalmente al interesado en los términos de la presente ley.</w:t>
      </w:r>
    </w:p>
    <w:p w14:paraId="3A475C97" w14:textId="77777777" w:rsidR="009B5E39" w:rsidRPr="00940515" w:rsidRDefault="009B5E39" w:rsidP="009B5E39">
      <w:pPr>
        <w:ind w:left="284" w:right="283"/>
        <w:jc w:val="both"/>
        <w:rPr>
          <w:rFonts w:ascii="Gotham" w:hAnsi="Gotham" w:cs="Arial"/>
          <w:sz w:val="19"/>
          <w:szCs w:val="19"/>
        </w:rPr>
      </w:pPr>
    </w:p>
    <w:p w14:paraId="3A475C98" w14:textId="77777777" w:rsidR="009B5E39" w:rsidRDefault="009B5E39" w:rsidP="009B5E39">
      <w:pPr>
        <w:ind w:left="284" w:right="283"/>
        <w:jc w:val="center"/>
        <w:rPr>
          <w:rFonts w:ascii="Gotham" w:hAnsi="Gotham" w:cs="Arial"/>
          <w:b/>
          <w:sz w:val="19"/>
          <w:szCs w:val="19"/>
        </w:rPr>
      </w:pPr>
    </w:p>
    <w:p w14:paraId="3A475C99" w14:textId="77777777" w:rsidR="009B5E39" w:rsidRPr="00940515" w:rsidRDefault="009B5E39" w:rsidP="009B5E39">
      <w:pPr>
        <w:ind w:left="284" w:right="283"/>
        <w:jc w:val="center"/>
        <w:rPr>
          <w:rFonts w:ascii="Gotham" w:hAnsi="Gotham" w:cs="Arial"/>
          <w:b/>
          <w:sz w:val="19"/>
          <w:szCs w:val="19"/>
        </w:rPr>
      </w:pPr>
      <w:r w:rsidRPr="00940515">
        <w:rPr>
          <w:rFonts w:ascii="Gotham" w:hAnsi="Gotham" w:cs="Arial"/>
          <w:b/>
          <w:sz w:val="19"/>
          <w:szCs w:val="19"/>
        </w:rPr>
        <w:t>TRANSITORIOS</w:t>
      </w:r>
    </w:p>
    <w:p w14:paraId="3A475C9A" w14:textId="77777777" w:rsidR="009B5E39" w:rsidRPr="00940515" w:rsidRDefault="009B5E39" w:rsidP="009B5E39">
      <w:pPr>
        <w:ind w:left="284" w:right="283"/>
        <w:jc w:val="both"/>
        <w:rPr>
          <w:rFonts w:ascii="Gotham" w:hAnsi="Gotham" w:cs="Arial"/>
          <w:b/>
          <w:sz w:val="19"/>
          <w:szCs w:val="19"/>
        </w:rPr>
      </w:pPr>
    </w:p>
    <w:p w14:paraId="3A475C9B"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PRIMERO</w:t>
      </w:r>
      <w:r w:rsidRPr="00940515">
        <w:rPr>
          <w:rFonts w:ascii="Gotham" w:hAnsi="Gotham" w:cs="Arial"/>
          <w:sz w:val="19"/>
          <w:szCs w:val="19"/>
        </w:rPr>
        <w:t>. Publíquese las presentes reformas en la Gaceta Municipal de Tonalá.</w:t>
      </w:r>
    </w:p>
    <w:p w14:paraId="3A475C9C" w14:textId="77777777" w:rsidR="009B5E39" w:rsidRDefault="009B5E39" w:rsidP="009B5E39">
      <w:pPr>
        <w:ind w:left="284" w:right="283"/>
        <w:jc w:val="both"/>
        <w:rPr>
          <w:rFonts w:ascii="Gotham" w:hAnsi="Gotham" w:cs="Arial"/>
          <w:b/>
          <w:sz w:val="19"/>
          <w:szCs w:val="19"/>
        </w:rPr>
      </w:pPr>
    </w:p>
    <w:p w14:paraId="3A475C9D"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SEGUNDO</w:t>
      </w:r>
      <w:r w:rsidRPr="00940515">
        <w:rPr>
          <w:rFonts w:ascii="Gotham" w:hAnsi="Gotham" w:cs="Arial"/>
          <w:sz w:val="19"/>
          <w:szCs w:val="19"/>
        </w:rPr>
        <w:t>. EL presente ordenamiento entrará en vigor al día siguiente de su publicación en la Gaceta Municipal de Tonalá.</w:t>
      </w:r>
    </w:p>
    <w:p w14:paraId="3A475C9E" w14:textId="77777777" w:rsidR="009B5E39" w:rsidRDefault="009B5E39" w:rsidP="009B5E39">
      <w:pPr>
        <w:ind w:left="284" w:right="283"/>
        <w:jc w:val="both"/>
        <w:rPr>
          <w:rFonts w:ascii="Gotham" w:hAnsi="Gotham" w:cs="Arial"/>
          <w:b/>
          <w:sz w:val="19"/>
          <w:szCs w:val="19"/>
        </w:rPr>
      </w:pPr>
    </w:p>
    <w:p w14:paraId="3A475C9F" w14:textId="77777777" w:rsidR="009B5E39" w:rsidRPr="00940515" w:rsidRDefault="009B5E39" w:rsidP="009B5E39">
      <w:pPr>
        <w:ind w:left="284" w:right="283"/>
        <w:jc w:val="both"/>
        <w:rPr>
          <w:rFonts w:ascii="Gotham" w:hAnsi="Gotham" w:cs="Arial"/>
          <w:sz w:val="19"/>
          <w:szCs w:val="19"/>
        </w:rPr>
      </w:pPr>
      <w:r w:rsidRPr="00940515">
        <w:rPr>
          <w:rFonts w:ascii="Gotham" w:hAnsi="Gotham" w:cs="Arial"/>
          <w:b/>
          <w:sz w:val="19"/>
          <w:szCs w:val="19"/>
        </w:rPr>
        <w:t>TERCERO.</w:t>
      </w:r>
      <w:r w:rsidRPr="00940515">
        <w:rPr>
          <w:rFonts w:ascii="Gotham" w:hAnsi="Gotham" w:cs="Arial"/>
          <w:sz w:val="19"/>
          <w:szCs w:val="19"/>
        </w:rPr>
        <w:t xml:space="preserve"> Una vez publicadas las presentes disposiciones, remítase mediante oficio un tanto de ellas, al Congreso del Estado, para los efectos ordenados en las fracciones VI y VII del artículo 42 de la Ley del Gobierno y la Administración Pública Municipal del Estado de Jalisco.</w:t>
      </w:r>
    </w:p>
    <w:p w14:paraId="3A475CA0" w14:textId="77777777" w:rsidR="009B5E39" w:rsidRPr="006E54DD" w:rsidRDefault="009B5E39" w:rsidP="009B5E39">
      <w:pPr>
        <w:jc w:val="both"/>
        <w:rPr>
          <w:rFonts w:ascii="Gotham" w:hAnsi="Gotham" w:cs="Arial"/>
          <w:sz w:val="20"/>
          <w:szCs w:val="20"/>
        </w:rPr>
      </w:pPr>
    </w:p>
    <w:p w14:paraId="3A475CA1" w14:textId="77777777" w:rsidR="009B5E39" w:rsidRPr="006E54DD" w:rsidRDefault="009B5E39" w:rsidP="009B5E39">
      <w:pPr>
        <w:jc w:val="both"/>
        <w:rPr>
          <w:rFonts w:ascii="Gotham" w:hAnsi="Gotham" w:cs="Arial"/>
          <w:sz w:val="20"/>
          <w:szCs w:val="20"/>
        </w:rPr>
      </w:pPr>
      <w:r w:rsidRPr="006E54DD">
        <w:rPr>
          <w:rFonts w:ascii="Gotham" w:hAnsi="Gotham" w:cs="Arial"/>
          <w:sz w:val="20"/>
          <w:szCs w:val="20"/>
        </w:rPr>
        <w:t xml:space="preserve">Se propone la </w:t>
      </w:r>
      <w:r w:rsidRPr="006E54DD">
        <w:rPr>
          <w:rFonts w:ascii="Gotham" w:hAnsi="Gotham" w:cs="Arial"/>
          <w:b/>
          <w:sz w:val="20"/>
          <w:szCs w:val="20"/>
        </w:rPr>
        <w:t>MODIFICACIÓN DEL ARTÍCULO 3, FRACCIÓN XXIV Y FRACCIÓN XXVIII, INCISO G, DEL REGLAMENTO INTERIOR DE LA SECRETARÍA GENERAL</w:t>
      </w:r>
      <w:r w:rsidRPr="006E54DD">
        <w:rPr>
          <w:rFonts w:ascii="Gotham" w:hAnsi="Gotham" w:cs="Arial"/>
          <w:sz w:val="20"/>
          <w:szCs w:val="20"/>
        </w:rPr>
        <w:t xml:space="preserve"> para quedar como sigue: </w:t>
      </w:r>
    </w:p>
    <w:p w14:paraId="3A475CA2" w14:textId="77777777" w:rsidR="009B5E39" w:rsidRPr="006E54DD" w:rsidRDefault="009B5E39" w:rsidP="009B5E39">
      <w:pPr>
        <w:jc w:val="center"/>
        <w:rPr>
          <w:rFonts w:ascii="Gotham" w:hAnsi="Gotham" w:cs="Arial"/>
          <w:b/>
          <w:bCs/>
          <w:sz w:val="20"/>
          <w:szCs w:val="20"/>
        </w:rPr>
      </w:pPr>
    </w:p>
    <w:p w14:paraId="3A475CA3" w14:textId="77777777" w:rsidR="009B5E39" w:rsidRPr="00A8166D" w:rsidRDefault="009B5E39" w:rsidP="009B5E39">
      <w:pPr>
        <w:ind w:left="284" w:right="283"/>
        <w:jc w:val="center"/>
        <w:rPr>
          <w:rFonts w:ascii="Gotham" w:hAnsi="Gotham" w:cs="Arial"/>
          <w:b/>
          <w:sz w:val="19"/>
          <w:szCs w:val="19"/>
        </w:rPr>
      </w:pPr>
      <w:r w:rsidRPr="00A8166D">
        <w:rPr>
          <w:rFonts w:ascii="Gotham" w:hAnsi="Gotham" w:cs="Arial"/>
          <w:b/>
          <w:sz w:val="19"/>
          <w:szCs w:val="19"/>
        </w:rPr>
        <w:t>REGLAMENTO INTERIOR DE LA SECRETARÍA GENERAL</w:t>
      </w:r>
    </w:p>
    <w:p w14:paraId="3A475CA4" w14:textId="77777777" w:rsidR="009B5E39" w:rsidRPr="00A8166D" w:rsidRDefault="009B5E39" w:rsidP="009B5E39">
      <w:pPr>
        <w:jc w:val="both"/>
        <w:rPr>
          <w:rFonts w:ascii="Gotham" w:hAnsi="Gotham" w:cs="Arial"/>
          <w:b/>
          <w:sz w:val="20"/>
          <w:szCs w:val="20"/>
        </w:rPr>
      </w:pPr>
    </w:p>
    <w:p w14:paraId="3A475CA5" w14:textId="77777777" w:rsidR="009B5E39" w:rsidRPr="00A8166D" w:rsidRDefault="009B5E39" w:rsidP="009B5E39">
      <w:pPr>
        <w:jc w:val="both"/>
        <w:rPr>
          <w:rFonts w:ascii="Gotham" w:hAnsi="Gotham" w:cs="Arial"/>
          <w:b/>
          <w:sz w:val="20"/>
          <w:szCs w:val="20"/>
        </w:rPr>
      </w:pPr>
      <w:r w:rsidRPr="00A8166D">
        <w:rPr>
          <w:rFonts w:ascii="Gotham" w:hAnsi="Gotham" w:cs="Arial"/>
          <w:b/>
          <w:sz w:val="20"/>
          <w:szCs w:val="20"/>
        </w:rPr>
        <w:t xml:space="preserve">Dice: </w:t>
      </w:r>
    </w:p>
    <w:p w14:paraId="3A475CA6" w14:textId="77777777" w:rsidR="009B5E39" w:rsidRPr="00A8166D" w:rsidRDefault="009B5E39" w:rsidP="009B5E39">
      <w:pPr>
        <w:jc w:val="both"/>
        <w:rPr>
          <w:rFonts w:ascii="Gotham" w:hAnsi="Gotham" w:cs="Arial"/>
          <w:b/>
          <w:sz w:val="20"/>
          <w:szCs w:val="20"/>
        </w:rPr>
      </w:pPr>
    </w:p>
    <w:p w14:paraId="3A475CA7" w14:textId="77777777" w:rsidR="009B5E39" w:rsidRPr="00195BC6" w:rsidRDefault="009B5E39" w:rsidP="009B5E39">
      <w:pPr>
        <w:ind w:left="284" w:right="283"/>
        <w:jc w:val="center"/>
        <w:rPr>
          <w:rFonts w:ascii="Gotham" w:hAnsi="Gotham" w:cs="Arial"/>
          <w:sz w:val="19"/>
          <w:szCs w:val="19"/>
        </w:rPr>
      </w:pPr>
      <w:r w:rsidRPr="00195BC6">
        <w:rPr>
          <w:rFonts w:ascii="Gotham" w:hAnsi="Gotham" w:cs="Arial"/>
          <w:sz w:val="19"/>
          <w:szCs w:val="19"/>
        </w:rPr>
        <w:t>“De la Estructura, Organización y Funcionamiento de la Secretaría General</w:t>
      </w:r>
    </w:p>
    <w:p w14:paraId="3A475CA8" w14:textId="77777777" w:rsidR="009B5E39" w:rsidRDefault="009B5E39" w:rsidP="009B5E39">
      <w:pPr>
        <w:ind w:left="284" w:right="283"/>
        <w:jc w:val="both"/>
        <w:rPr>
          <w:rFonts w:ascii="Gotham" w:hAnsi="Gotham" w:cs="Arial"/>
          <w:sz w:val="19"/>
          <w:szCs w:val="19"/>
        </w:rPr>
      </w:pPr>
    </w:p>
    <w:p w14:paraId="3A475CA9" w14:textId="77777777" w:rsidR="009B5E39" w:rsidRPr="00195BC6" w:rsidRDefault="009B5E39" w:rsidP="009B5E39">
      <w:pPr>
        <w:ind w:left="284" w:right="283"/>
        <w:jc w:val="both"/>
        <w:rPr>
          <w:rFonts w:ascii="Gotham" w:hAnsi="Gotham" w:cs="Arial"/>
          <w:sz w:val="19"/>
          <w:szCs w:val="19"/>
        </w:rPr>
      </w:pPr>
      <w:r w:rsidRPr="00195BC6">
        <w:rPr>
          <w:rFonts w:ascii="Gotham" w:hAnsi="Gotham" w:cs="Arial"/>
          <w:b/>
          <w:sz w:val="19"/>
          <w:szCs w:val="19"/>
        </w:rPr>
        <w:t>Artículo 3.</w:t>
      </w:r>
      <w:r w:rsidRPr="00195BC6">
        <w:rPr>
          <w:rFonts w:ascii="Gotham" w:hAnsi="Gotham" w:cs="Arial"/>
          <w:sz w:val="19"/>
          <w:szCs w:val="19"/>
        </w:rPr>
        <w:t xml:space="preserve"> Al frente de la Secretaría habrá un titular, a quien corresponde el desempeño de las funciones establecidas en el artículo 63 y 63 bis de la Ley del Gobierno y la Administración Pública Municipal del Estado de Jalisco, y despacho de los siguientes asuntos:</w:t>
      </w:r>
    </w:p>
    <w:p w14:paraId="3A475CAA" w14:textId="77777777" w:rsidR="009B5E39" w:rsidRDefault="009B5E39" w:rsidP="009B5E39">
      <w:pPr>
        <w:ind w:left="284" w:right="283"/>
        <w:jc w:val="both"/>
        <w:rPr>
          <w:rFonts w:ascii="Gotham" w:hAnsi="Gotham" w:cs="Arial"/>
          <w:sz w:val="19"/>
          <w:szCs w:val="19"/>
        </w:rPr>
      </w:pPr>
    </w:p>
    <w:p w14:paraId="3A475CAB" w14:textId="77777777" w:rsidR="009B5E39" w:rsidRPr="00195BC6" w:rsidRDefault="009B5E39" w:rsidP="009B5E39">
      <w:pPr>
        <w:spacing w:after="120"/>
        <w:ind w:left="1134" w:right="283" w:hanging="850"/>
        <w:jc w:val="both"/>
        <w:rPr>
          <w:rFonts w:ascii="Gotham" w:hAnsi="Gotham" w:cs="Arial"/>
          <w:sz w:val="19"/>
          <w:szCs w:val="19"/>
        </w:rPr>
      </w:pPr>
      <w:r w:rsidRPr="00195BC6">
        <w:rPr>
          <w:rFonts w:ascii="Gotham" w:hAnsi="Gotham" w:cs="Arial"/>
          <w:sz w:val="19"/>
          <w:szCs w:val="19"/>
        </w:rPr>
        <w:t xml:space="preserve">I.  </w:t>
      </w:r>
      <w:r>
        <w:rPr>
          <w:rFonts w:ascii="Gotham" w:hAnsi="Gotham" w:cs="Arial"/>
          <w:sz w:val="19"/>
          <w:szCs w:val="19"/>
        </w:rPr>
        <w:tab/>
      </w:r>
      <w:r w:rsidRPr="00195BC6">
        <w:rPr>
          <w:rFonts w:ascii="Gotham" w:hAnsi="Gotham" w:cs="Arial"/>
          <w:sz w:val="19"/>
          <w:szCs w:val="19"/>
        </w:rPr>
        <w:t>A la XXIII.</w:t>
      </w:r>
      <w:r w:rsidRPr="00195BC6">
        <w:rPr>
          <w:rFonts w:ascii="Gotham" w:hAnsi="Gotham" w:cs="Arial"/>
          <w:sz w:val="19"/>
          <w:szCs w:val="19"/>
        </w:rPr>
        <w:tab/>
        <w:t>…</w:t>
      </w:r>
    </w:p>
    <w:p w14:paraId="3A475CAC" w14:textId="77777777" w:rsidR="009B5E39" w:rsidRPr="00195BC6" w:rsidRDefault="009B5E39" w:rsidP="009B5E39">
      <w:pPr>
        <w:ind w:left="1134" w:right="283" w:hanging="850"/>
        <w:jc w:val="both"/>
        <w:rPr>
          <w:rFonts w:ascii="Gotham" w:hAnsi="Gotham" w:cs="Arial"/>
          <w:sz w:val="19"/>
          <w:szCs w:val="19"/>
        </w:rPr>
      </w:pPr>
      <w:r w:rsidRPr="00195BC6">
        <w:rPr>
          <w:rFonts w:ascii="Gotham" w:hAnsi="Gotham" w:cs="Arial"/>
          <w:sz w:val="19"/>
          <w:szCs w:val="19"/>
        </w:rPr>
        <w:lastRenderedPageBreak/>
        <w:t>XXIV.</w:t>
      </w:r>
      <w:r w:rsidRPr="00195BC6">
        <w:rPr>
          <w:rFonts w:ascii="Gotham" w:hAnsi="Gotham" w:cs="Arial"/>
          <w:sz w:val="19"/>
          <w:szCs w:val="19"/>
        </w:rPr>
        <w:tab/>
        <w:t>Coordinar la edición de la Gaceta Municipal;”</w:t>
      </w:r>
    </w:p>
    <w:p w14:paraId="3A475CAD" w14:textId="77777777" w:rsidR="009B5E39" w:rsidRPr="00A8166D" w:rsidRDefault="009B5E39" w:rsidP="009B5E39">
      <w:pPr>
        <w:jc w:val="both"/>
        <w:rPr>
          <w:rFonts w:ascii="Gotham" w:hAnsi="Gotham" w:cs="Arial"/>
          <w:b/>
          <w:sz w:val="20"/>
          <w:szCs w:val="20"/>
        </w:rPr>
      </w:pPr>
    </w:p>
    <w:p w14:paraId="3A475CAE" w14:textId="77777777" w:rsidR="009B5E39" w:rsidRPr="00A8166D" w:rsidRDefault="009B5E39" w:rsidP="009B5E39">
      <w:pPr>
        <w:jc w:val="both"/>
        <w:rPr>
          <w:rFonts w:ascii="Gotham" w:hAnsi="Gotham" w:cs="Arial"/>
          <w:b/>
          <w:sz w:val="20"/>
          <w:szCs w:val="20"/>
        </w:rPr>
      </w:pPr>
      <w:r w:rsidRPr="00A8166D">
        <w:rPr>
          <w:rFonts w:ascii="Gotham" w:hAnsi="Gotham" w:cs="Arial"/>
          <w:b/>
          <w:sz w:val="20"/>
          <w:szCs w:val="20"/>
        </w:rPr>
        <w:t>Debe decir:</w:t>
      </w:r>
    </w:p>
    <w:p w14:paraId="3A475CAF" w14:textId="77777777" w:rsidR="009B5E39" w:rsidRPr="00A8166D" w:rsidRDefault="009B5E39" w:rsidP="009B5E39">
      <w:pPr>
        <w:jc w:val="both"/>
        <w:rPr>
          <w:rFonts w:ascii="Gotham" w:hAnsi="Gotham" w:cs="Arial"/>
          <w:b/>
          <w:sz w:val="20"/>
          <w:szCs w:val="20"/>
        </w:rPr>
      </w:pPr>
    </w:p>
    <w:p w14:paraId="3A475CB0" w14:textId="77777777" w:rsidR="009B5E39" w:rsidRPr="00195BC6" w:rsidRDefault="009B5E39" w:rsidP="009B5E39">
      <w:pPr>
        <w:ind w:left="284" w:right="283"/>
        <w:jc w:val="center"/>
        <w:rPr>
          <w:rFonts w:ascii="Gotham" w:hAnsi="Gotham" w:cs="Arial"/>
          <w:sz w:val="19"/>
          <w:szCs w:val="19"/>
        </w:rPr>
      </w:pPr>
      <w:r w:rsidRPr="00195BC6">
        <w:rPr>
          <w:rFonts w:ascii="Gotham" w:hAnsi="Gotham" w:cs="Arial"/>
          <w:sz w:val="19"/>
          <w:szCs w:val="19"/>
        </w:rPr>
        <w:t>De la Estructura, Organización y Funcionamiento de la Secretaría General</w:t>
      </w:r>
    </w:p>
    <w:p w14:paraId="3A475CB1" w14:textId="77777777" w:rsidR="009B5E39" w:rsidRPr="00195BC6" w:rsidRDefault="009B5E39" w:rsidP="009B5E39">
      <w:pPr>
        <w:ind w:left="284" w:right="283"/>
        <w:jc w:val="both"/>
        <w:rPr>
          <w:rFonts w:ascii="Gotham" w:hAnsi="Gotham" w:cs="Arial"/>
          <w:sz w:val="19"/>
          <w:szCs w:val="19"/>
        </w:rPr>
      </w:pPr>
    </w:p>
    <w:p w14:paraId="3A475CB2" w14:textId="77777777" w:rsidR="009B5E39" w:rsidRPr="00195BC6" w:rsidRDefault="009B5E39" w:rsidP="009B5E39">
      <w:pPr>
        <w:ind w:left="284" w:right="283"/>
        <w:jc w:val="both"/>
        <w:rPr>
          <w:rFonts w:ascii="Gotham" w:hAnsi="Gotham" w:cs="Arial"/>
          <w:sz w:val="19"/>
          <w:szCs w:val="19"/>
        </w:rPr>
      </w:pPr>
      <w:r w:rsidRPr="00195BC6">
        <w:rPr>
          <w:rFonts w:ascii="Gotham" w:hAnsi="Gotham" w:cs="Arial"/>
          <w:b/>
          <w:sz w:val="19"/>
          <w:szCs w:val="19"/>
        </w:rPr>
        <w:t>Artículo 3.</w:t>
      </w:r>
      <w:r w:rsidRPr="00195BC6">
        <w:rPr>
          <w:rFonts w:ascii="Gotham" w:hAnsi="Gotham" w:cs="Arial"/>
          <w:sz w:val="19"/>
          <w:szCs w:val="19"/>
        </w:rPr>
        <w:t xml:space="preserve"> Al frente de la Secretaría habrá un titular, a quien corresponde el desempeño de las funciones establecidas en el artículo 63 y 63 bis de la Ley del Gobierno y la Administración Pública Municipal del Estado de Jalisco, y despacho de los siguientes asuntos:</w:t>
      </w:r>
    </w:p>
    <w:p w14:paraId="3A475CB3" w14:textId="77777777" w:rsidR="009B5E39" w:rsidRDefault="009B5E39" w:rsidP="009B5E39">
      <w:pPr>
        <w:ind w:left="284" w:right="283"/>
        <w:jc w:val="both"/>
        <w:rPr>
          <w:rFonts w:ascii="Gotham" w:hAnsi="Gotham" w:cs="Arial"/>
          <w:sz w:val="19"/>
          <w:szCs w:val="19"/>
        </w:rPr>
      </w:pPr>
    </w:p>
    <w:p w14:paraId="3A475CB4" w14:textId="77777777" w:rsidR="009B5E39" w:rsidRPr="00195BC6" w:rsidRDefault="009B5E39" w:rsidP="009B5E39">
      <w:pPr>
        <w:spacing w:after="120"/>
        <w:ind w:left="1134" w:right="283" w:hanging="850"/>
        <w:jc w:val="both"/>
        <w:rPr>
          <w:rFonts w:ascii="Gotham" w:hAnsi="Gotham" w:cs="Arial"/>
          <w:sz w:val="19"/>
          <w:szCs w:val="19"/>
        </w:rPr>
      </w:pPr>
      <w:r w:rsidRPr="00195BC6">
        <w:rPr>
          <w:rFonts w:ascii="Gotham" w:hAnsi="Gotham" w:cs="Arial"/>
          <w:sz w:val="19"/>
          <w:szCs w:val="19"/>
        </w:rPr>
        <w:t xml:space="preserve">I.  </w:t>
      </w:r>
      <w:r>
        <w:rPr>
          <w:rFonts w:ascii="Gotham" w:hAnsi="Gotham" w:cs="Arial"/>
          <w:sz w:val="19"/>
          <w:szCs w:val="19"/>
        </w:rPr>
        <w:tab/>
      </w:r>
      <w:r w:rsidRPr="00195BC6">
        <w:rPr>
          <w:rFonts w:ascii="Gotham" w:hAnsi="Gotham" w:cs="Arial"/>
          <w:sz w:val="19"/>
          <w:szCs w:val="19"/>
        </w:rPr>
        <w:t>A la XXIII.</w:t>
      </w:r>
      <w:r w:rsidRPr="00195BC6">
        <w:rPr>
          <w:rFonts w:ascii="Gotham" w:hAnsi="Gotham" w:cs="Arial"/>
          <w:sz w:val="19"/>
          <w:szCs w:val="19"/>
        </w:rPr>
        <w:tab/>
        <w:t>…</w:t>
      </w:r>
    </w:p>
    <w:p w14:paraId="3A475CB5" w14:textId="77777777" w:rsidR="009B5E39" w:rsidRPr="00195BC6" w:rsidRDefault="009B5E39" w:rsidP="009B5E39">
      <w:pPr>
        <w:ind w:left="1134" w:right="283" w:hanging="850"/>
        <w:jc w:val="both"/>
        <w:rPr>
          <w:rFonts w:ascii="Gotham" w:hAnsi="Gotham" w:cs="Arial"/>
          <w:sz w:val="19"/>
          <w:szCs w:val="19"/>
        </w:rPr>
      </w:pPr>
      <w:r w:rsidRPr="00195BC6">
        <w:rPr>
          <w:rFonts w:ascii="Gotham" w:hAnsi="Gotham" w:cs="Arial"/>
          <w:sz w:val="19"/>
          <w:szCs w:val="19"/>
        </w:rPr>
        <w:t>XXIV.</w:t>
      </w:r>
      <w:r w:rsidRPr="00195BC6">
        <w:rPr>
          <w:rFonts w:ascii="Gotham" w:hAnsi="Gotham" w:cs="Arial"/>
          <w:sz w:val="19"/>
          <w:szCs w:val="19"/>
        </w:rPr>
        <w:tab/>
        <w:t xml:space="preserve">Coordinar la edición de la Gaceta Municipal </w:t>
      </w:r>
      <w:r w:rsidRPr="00195BC6">
        <w:rPr>
          <w:rFonts w:ascii="Gotham" w:hAnsi="Gotham" w:cs="Arial"/>
          <w:b/>
          <w:sz w:val="19"/>
          <w:szCs w:val="19"/>
          <w:u w:val="single"/>
        </w:rPr>
        <w:t>en apego al Reglamento de la Gaceta Municipal "Tlahtolli" de Tonalá, Jalisco;</w:t>
      </w:r>
    </w:p>
    <w:p w14:paraId="3A475CB6" w14:textId="77777777" w:rsidR="009B5E39" w:rsidRPr="00A8166D" w:rsidRDefault="009B5E39" w:rsidP="009B5E39">
      <w:pPr>
        <w:jc w:val="both"/>
        <w:rPr>
          <w:rFonts w:ascii="Gotham" w:hAnsi="Gotham" w:cs="Arial"/>
          <w:b/>
          <w:sz w:val="20"/>
          <w:szCs w:val="20"/>
        </w:rPr>
      </w:pPr>
    </w:p>
    <w:p w14:paraId="3A475CB7" w14:textId="77777777" w:rsidR="009B5E39" w:rsidRDefault="009B5E39" w:rsidP="009B5E39">
      <w:pPr>
        <w:jc w:val="both"/>
        <w:rPr>
          <w:rFonts w:ascii="Gotham" w:hAnsi="Gotham" w:cs="Arial"/>
          <w:b/>
          <w:sz w:val="20"/>
          <w:szCs w:val="20"/>
        </w:rPr>
      </w:pPr>
      <w:r w:rsidRPr="00A8166D">
        <w:rPr>
          <w:rFonts w:ascii="Gotham" w:hAnsi="Gotham" w:cs="Arial"/>
          <w:b/>
          <w:sz w:val="20"/>
          <w:szCs w:val="20"/>
        </w:rPr>
        <w:t xml:space="preserve">Dice: </w:t>
      </w:r>
    </w:p>
    <w:p w14:paraId="3A475CB8" w14:textId="77777777" w:rsidR="009B5E39" w:rsidRPr="00A8166D" w:rsidRDefault="009B5E39" w:rsidP="009B5E39">
      <w:pPr>
        <w:jc w:val="both"/>
        <w:rPr>
          <w:rFonts w:ascii="Gotham" w:hAnsi="Gotham" w:cs="Arial"/>
          <w:b/>
          <w:sz w:val="20"/>
          <w:szCs w:val="20"/>
        </w:rPr>
      </w:pPr>
    </w:p>
    <w:p w14:paraId="3A475CB9" w14:textId="77777777" w:rsidR="009B5E39" w:rsidRPr="00195BC6" w:rsidRDefault="009B5E39" w:rsidP="009B5E39">
      <w:pPr>
        <w:ind w:left="284" w:right="283"/>
        <w:jc w:val="center"/>
        <w:rPr>
          <w:rFonts w:ascii="Gotham" w:hAnsi="Gotham" w:cs="Arial"/>
          <w:sz w:val="19"/>
          <w:szCs w:val="19"/>
        </w:rPr>
      </w:pPr>
      <w:r w:rsidRPr="00195BC6">
        <w:rPr>
          <w:rFonts w:ascii="Gotham" w:hAnsi="Gotham" w:cs="Arial"/>
          <w:sz w:val="19"/>
          <w:szCs w:val="19"/>
        </w:rPr>
        <w:t>“De la Estructura, Organización y Funcionamiento de la Secretaría General</w:t>
      </w:r>
    </w:p>
    <w:p w14:paraId="3A475CBA" w14:textId="77777777" w:rsidR="009B5E39" w:rsidRPr="00195BC6" w:rsidRDefault="009B5E39" w:rsidP="009B5E39">
      <w:pPr>
        <w:ind w:left="284" w:right="283"/>
        <w:jc w:val="both"/>
        <w:rPr>
          <w:rFonts w:ascii="Gotham" w:hAnsi="Gotham" w:cs="Arial"/>
          <w:sz w:val="19"/>
          <w:szCs w:val="19"/>
        </w:rPr>
      </w:pPr>
    </w:p>
    <w:p w14:paraId="3A475CBB" w14:textId="77777777" w:rsidR="009B5E39" w:rsidRPr="00195BC6" w:rsidRDefault="009B5E39" w:rsidP="009B5E39">
      <w:pPr>
        <w:ind w:left="284" w:right="283"/>
        <w:jc w:val="both"/>
        <w:rPr>
          <w:rFonts w:ascii="Gotham" w:hAnsi="Gotham" w:cs="Arial"/>
          <w:sz w:val="19"/>
          <w:szCs w:val="19"/>
        </w:rPr>
      </w:pPr>
      <w:r w:rsidRPr="00195BC6">
        <w:rPr>
          <w:rFonts w:ascii="Gotham" w:hAnsi="Gotham" w:cs="Arial"/>
          <w:sz w:val="19"/>
          <w:szCs w:val="19"/>
        </w:rPr>
        <w:t>Artículo 3. Al frente de la Secretaría habrá un titular, a quien corresponde el desempeño de las funciones establecidas en el artículo 63 y 63 bis de la Ley del Gobierno y la Administración Pública Municipal del Estado de Jalisco, y despacho de los siguientes asuntos:</w:t>
      </w:r>
    </w:p>
    <w:p w14:paraId="3A475CBC" w14:textId="77777777" w:rsidR="009B5E39" w:rsidRDefault="009B5E39" w:rsidP="009B5E39">
      <w:pPr>
        <w:ind w:left="284" w:right="283"/>
        <w:jc w:val="both"/>
        <w:rPr>
          <w:rFonts w:ascii="Gotham" w:hAnsi="Gotham" w:cs="Arial"/>
          <w:sz w:val="19"/>
          <w:szCs w:val="19"/>
        </w:rPr>
      </w:pPr>
    </w:p>
    <w:p w14:paraId="3A475CBD" w14:textId="77777777" w:rsidR="009B5E39" w:rsidRPr="00195BC6" w:rsidRDefault="009B5E39" w:rsidP="009B5E39">
      <w:pPr>
        <w:spacing w:after="120"/>
        <w:ind w:left="1134" w:right="283" w:hanging="850"/>
        <w:jc w:val="both"/>
        <w:rPr>
          <w:rFonts w:ascii="Gotham" w:hAnsi="Gotham" w:cs="Arial"/>
          <w:sz w:val="19"/>
          <w:szCs w:val="19"/>
        </w:rPr>
      </w:pPr>
      <w:r w:rsidRPr="00195BC6">
        <w:rPr>
          <w:rFonts w:ascii="Gotham" w:hAnsi="Gotham" w:cs="Arial"/>
          <w:sz w:val="19"/>
          <w:szCs w:val="19"/>
        </w:rPr>
        <w:t xml:space="preserve">I.  </w:t>
      </w:r>
      <w:r>
        <w:rPr>
          <w:rFonts w:ascii="Gotham" w:hAnsi="Gotham" w:cs="Arial"/>
          <w:sz w:val="19"/>
          <w:szCs w:val="19"/>
        </w:rPr>
        <w:tab/>
      </w:r>
      <w:r w:rsidRPr="00195BC6">
        <w:rPr>
          <w:rFonts w:ascii="Gotham" w:hAnsi="Gotham" w:cs="Arial"/>
          <w:sz w:val="19"/>
          <w:szCs w:val="19"/>
        </w:rPr>
        <w:t>A la XXIII.</w:t>
      </w:r>
      <w:r w:rsidRPr="00195BC6">
        <w:rPr>
          <w:rFonts w:ascii="Gotham" w:hAnsi="Gotham" w:cs="Arial"/>
          <w:sz w:val="19"/>
          <w:szCs w:val="19"/>
        </w:rPr>
        <w:tab/>
        <w:t>…</w:t>
      </w:r>
    </w:p>
    <w:p w14:paraId="3A475CBE" w14:textId="77777777" w:rsidR="009B5E39" w:rsidRPr="00195BC6" w:rsidRDefault="009B5E39" w:rsidP="009B5E39">
      <w:pPr>
        <w:spacing w:after="120"/>
        <w:ind w:left="1134" w:right="283" w:hanging="850"/>
        <w:jc w:val="both"/>
        <w:rPr>
          <w:rFonts w:ascii="Gotham" w:hAnsi="Gotham" w:cs="Arial"/>
          <w:sz w:val="19"/>
          <w:szCs w:val="19"/>
        </w:rPr>
      </w:pPr>
      <w:r w:rsidRPr="00195BC6">
        <w:rPr>
          <w:rFonts w:ascii="Gotham" w:hAnsi="Gotham" w:cs="Arial"/>
          <w:sz w:val="19"/>
          <w:szCs w:val="19"/>
        </w:rPr>
        <w:t xml:space="preserve">XXVIII. </w:t>
      </w:r>
      <w:r>
        <w:rPr>
          <w:rFonts w:ascii="Gotham" w:hAnsi="Gotham" w:cs="Arial"/>
          <w:sz w:val="19"/>
          <w:szCs w:val="19"/>
        </w:rPr>
        <w:tab/>
      </w:r>
      <w:r w:rsidRPr="00195BC6">
        <w:rPr>
          <w:rFonts w:ascii="Gotham" w:hAnsi="Gotham" w:cs="Arial"/>
          <w:sz w:val="19"/>
          <w:szCs w:val="19"/>
        </w:rPr>
        <w:t>Expedir la Constancia o Certificado de Residencia, requisitos:</w:t>
      </w:r>
    </w:p>
    <w:p w14:paraId="3A475CBF" w14:textId="77777777" w:rsidR="009B5E39" w:rsidRPr="00195BC6" w:rsidRDefault="009B5E39" w:rsidP="009B5E39">
      <w:pPr>
        <w:spacing w:after="120"/>
        <w:ind w:left="1701" w:right="283" w:hanging="567"/>
        <w:jc w:val="both"/>
        <w:rPr>
          <w:rFonts w:ascii="Gotham" w:hAnsi="Gotham" w:cs="Arial"/>
          <w:sz w:val="19"/>
          <w:szCs w:val="19"/>
        </w:rPr>
      </w:pPr>
      <w:r>
        <w:rPr>
          <w:rFonts w:ascii="Gotham" w:hAnsi="Gotham" w:cs="Arial"/>
          <w:sz w:val="19"/>
          <w:szCs w:val="19"/>
        </w:rPr>
        <w:t xml:space="preserve">a. </w:t>
      </w:r>
      <w:r>
        <w:rPr>
          <w:rFonts w:ascii="Gotham" w:hAnsi="Gotham" w:cs="Arial"/>
          <w:sz w:val="19"/>
          <w:szCs w:val="19"/>
        </w:rPr>
        <w:tab/>
      </w:r>
      <w:r w:rsidRPr="00195BC6">
        <w:rPr>
          <w:rFonts w:ascii="Gotham" w:hAnsi="Gotham" w:cs="Arial"/>
          <w:sz w:val="19"/>
          <w:szCs w:val="19"/>
        </w:rPr>
        <w:t>A la f. …</w:t>
      </w:r>
    </w:p>
    <w:p w14:paraId="3A475CC0" w14:textId="77777777" w:rsidR="009B5E39" w:rsidRPr="00195BC6" w:rsidRDefault="009B5E39" w:rsidP="009B5E39">
      <w:pPr>
        <w:ind w:left="1701" w:right="283" w:hanging="567"/>
        <w:jc w:val="both"/>
        <w:rPr>
          <w:rFonts w:ascii="Gotham" w:hAnsi="Gotham" w:cs="Arial"/>
          <w:sz w:val="19"/>
          <w:szCs w:val="19"/>
        </w:rPr>
      </w:pPr>
      <w:r>
        <w:rPr>
          <w:rFonts w:ascii="Gotham" w:hAnsi="Gotham" w:cs="Arial"/>
          <w:sz w:val="19"/>
          <w:szCs w:val="19"/>
        </w:rPr>
        <w:t xml:space="preserve">g. </w:t>
      </w:r>
      <w:r>
        <w:rPr>
          <w:rFonts w:ascii="Gotham" w:hAnsi="Gotham" w:cs="Arial"/>
          <w:sz w:val="19"/>
          <w:szCs w:val="19"/>
        </w:rPr>
        <w:tab/>
      </w:r>
      <w:r w:rsidRPr="00195BC6">
        <w:rPr>
          <w:rFonts w:ascii="Gotham" w:hAnsi="Gotham" w:cs="Arial"/>
          <w:sz w:val="19"/>
          <w:szCs w:val="19"/>
        </w:rPr>
        <w:t>Pago del derecho correspondiente.”</w:t>
      </w:r>
    </w:p>
    <w:p w14:paraId="3A475CC1" w14:textId="77777777" w:rsidR="009B5E39" w:rsidRPr="00A8166D" w:rsidRDefault="009B5E39" w:rsidP="009B5E39">
      <w:pPr>
        <w:jc w:val="both"/>
        <w:rPr>
          <w:rFonts w:ascii="Gotham" w:hAnsi="Gotham" w:cs="Arial"/>
          <w:b/>
          <w:sz w:val="20"/>
          <w:szCs w:val="20"/>
        </w:rPr>
      </w:pPr>
    </w:p>
    <w:p w14:paraId="3A475CC2" w14:textId="77777777" w:rsidR="009B5E39" w:rsidRPr="00A8166D" w:rsidRDefault="009B5E39" w:rsidP="009B5E39">
      <w:pPr>
        <w:jc w:val="both"/>
        <w:rPr>
          <w:rFonts w:ascii="Gotham" w:hAnsi="Gotham" w:cs="Arial"/>
          <w:b/>
          <w:sz w:val="20"/>
          <w:szCs w:val="20"/>
        </w:rPr>
      </w:pPr>
      <w:r w:rsidRPr="00A8166D">
        <w:rPr>
          <w:rFonts w:ascii="Gotham" w:hAnsi="Gotham" w:cs="Arial"/>
          <w:b/>
          <w:sz w:val="20"/>
          <w:szCs w:val="20"/>
        </w:rPr>
        <w:t>Debe decir:</w:t>
      </w:r>
    </w:p>
    <w:p w14:paraId="3A475CC3" w14:textId="77777777" w:rsidR="009B5E39" w:rsidRPr="00A8166D" w:rsidRDefault="009B5E39" w:rsidP="009B5E39">
      <w:pPr>
        <w:jc w:val="both"/>
        <w:rPr>
          <w:rFonts w:ascii="Gotham" w:hAnsi="Gotham" w:cs="Arial"/>
          <w:b/>
          <w:sz w:val="20"/>
          <w:szCs w:val="20"/>
        </w:rPr>
      </w:pPr>
    </w:p>
    <w:p w14:paraId="3A475CC4" w14:textId="77777777" w:rsidR="009B5E39" w:rsidRPr="00195BC6" w:rsidRDefault="009B5E39" w:rsidP="009B5E39">
      <w:pPr>
        <w:ind w:left="284" w:right="283"/>
        <w:jc w:val="center"/>
        <w:rPr>
          <w:rFonts w:ascii="Gotham" w:hAnsi="Gotham" w:cs="Arial"/>
          <w:sz w:val="19"/>
          <w:szCs w:val="19"/>
        </w:rPr>
      </w:pPr>
      <w:r w:rsidRPr="00195BC6">
        <w:rPr>
          <w:rFonts w:ascii="Gotham" w:hAnsi="Gotham" w:cs="Arial"/>
          <w:sz w:val="19"/>
          <w:szCs w:val="19"/>
        </w:rPr>
        <w:t>“De la Estructura, Organización y Funcionamiento de la Secretaría General</w:t>
      </w:r>
    </w:p>
    <w:p w14:paraId="3A475CC5" w14:textId="77777777" w:rsidR="009B5E39" w:rsidRDefault="009B5E39" w:rsidP="009B5E39">
      <w:pPr>
        <w:jc w:val="both"/>
        <w:rPr>
          <w:rFonts w:ascii="Arial" w:hAnsi="Arial" w:cs="Arial"/>
        </w:rPr>
      </w:pPr>
    </w:p>
    <w:p w14:paraId="3A475CC6" w14:textId="77777777" w:rsidR="009B5E39" w:rsidRPr="00195BC6" w:rsidRDefault="009B5E39" w:rsidP="009B5E39">
      <w:pPr>
        <w:ind w:left="284" w:right="283"/>
        <w:jc w:val="both"/>
        <w:rPr>
          <w:rFonts w:ascii="Gotham" w:hAnsi="Gotham" w:cs="Arial"/>
          <w:sz w:val="19"/>
          <w:szCs w:val="19"/>
        </w:rPr>
      </w:pPr>
      <w:r w:rsidRPr="00195BC6">
        <w:rPr>
          <w:rFonts w:ascii="Gotham" w:hAnsi="Gotham" w:cs="Arial"/>
          <w:sz w:val="19"/>
          <w:szCs w:val="19"/>
        </w:rPr>
        <w:t>Artículo 3. Al frente de la Secretaría habrá un titular, a quien corresponde el desempeño de las funciones establecidas en el artículo 63 y 63 bis de la Ley del Gobierno y la Administración Pública Municipal del Estado de Jalisco, y despacho de los siguientes asuntos:</w:t>
      </w:r>
    </w:p>
    <w:p w14:paraId="3A475CC7" w14:textId="77777777" w:rsidR="009B5E39" w:rsidRDefault="009B5E39" w:rsidP="009B5E39">
      <w:pPr>
        <w:ind w:left="284" w:right="283"/>
        <w:jc w:val="both"/>
        <w:rPr>
          <w:rFonts w:ascii="Gotham" w:hAnsi="Gotham" w:cs="Arial"/>
          <w:sz w:val="19"/>
          <w:szCs w:val="19"/>
        </w:rPr>
      </w:pPr>
    </w:p>
    <w:p w14:paraId="3A475CC8" w14:textId="77777777" w:rsidR="009B5E39" w:rsidRPr="00195BC6" w:rsidRDefault="009B5E39" w:rsidP="009B5E39">
      <w:pPr>
        <w:spacing w:after="120"/>
        <w:ind w:left="1134" w:right="283" w:hanging="850"/>
        <w:jc w:val="both"/>
        <w:rPr>
          <w:rFonts w:ascii="Gotham" w:hAnsi="Gotham" w:cs="Arial"/>
          <w:sz w:val="19"/>
          <w:szCs w:val="19"/>
        </w:rPr>
      </w:pPr>
      <w:r w:rsidRPr="00195BC6">
        <w:rPr>
          <w:rFonts w:ascii="Gotham" w:hAnsi="Gotham" w:cs="Arial"/>
          <w:sz w:val="19"/>
          <w:szCs w:val="19"/>
        </w:rPr>
        <w:t xml:space="preserve">I.  </w:t>
      </w:r>
      <w:r>
        <w:rPr>
          <w:rFonts w:ascii="Gotham" w:hAnsi="Gotham" w:cs="Arial"/>
          <w:sz w:val="19"/>
          <w:szCs w:val="19"/>
        </w:rPr>
        <w:tab/>
      </w:r>
      <w:r w:rsidRPr="00195BC6">
        <w:rPr>
          <w:rFonts w:ascii="Gotham" w:hAnsi="Gotham" w:cs="Arial"/>
          <w:sz w:val="19"/>
          <w:szCs w:val="19"/>
        </w:rPr>
        <w:t>A la XXIII.</w:t>
      </w:r>
      <w:r w:rsidRPr="00195BC6">
        <w:rPr>
          <w:rFonts w:ascii="Gotham" w:hAnsi="Gotham" w:cs="Arial"/>
          <w:sz w:val="19"/>
          <w:szCs w:val="19"/>
        </w:rPr>
        <w:tab/>
        <w:t>…</w:t>
      </w:r>
    </w:p>
    <w:p w14:paraId="3A475CC9" w14:textId="77777777" w:rsidR="009B5E39" w:rsidRPr="00195BC6" w:rsidRDefault="009B5E39" w:rsidP="009B5E39">
      <w:pPr>
        <w:spacing w:after="120"/>
        <w:ind w:left="1134" w:right="283" w:hanging="850"/>
        <w:jc w:val="both"/>
        <w:rPr>
          <w:rFonts w:ascii="Gotham" w:hAnsi="Gotham" w:cs="Arial"/>
          <w:sz w:val="19"/>
          <w:szCs w:val="19"/>
        </w:rPr>
      </w:pPr>
      <w:r w:rsidRPr="00195BC6">
        <w:rPr>
          <w:rFonts w:ascii="Gotham" w:hAnsi="Gotham" w:cs="Arial"/>
          <w:sz w:val="19"/>
          <w:szCs w:val="19"/>
        </w:rPr>
        <w:t xml:space="preserve">XXVIII. </w:t>
      </w:r>
      <w:r>
        <w:rPr>
          <w:rFonts w:ascii="Gotham" w:hAnsi="Gotham" w:cs="Arial"/>
          <w:sz w:val="19"/>
          <w:szCs w:val="19"/>
        </w:rPr>
        <w:tab/>
      </w:r>
      <w:r w:rsidRPr="00195BC6">
        <w:rPr>
          <w:rFonts w:ascii="Gotham" w:hAnsi="Gotham" w:cs="Arial"/>
          <w:sz w:val="19"/>
          <w:szCs w:val="19"/>
        </w:rPr>
        <w:t>Expedir la Constancia o Certificado de Residencia, requisitos:</w:t>
      </w:r>
    </w:p>
    <w:p w14:paraId="3A475CCA" w14:textId="77777777" w:rsidR="009B5E39" w:rsidRPr="00195BC6" w:rsidRDefault="009B5E39" w:rsidP="009B5E39">
      <w:pPr>
        <w:spacing w:after="120"/>
        <w:ind w:left="1701" w:right="283" w:hanging="567"/>
        <w:jc w:val="both"/>
        <w:rPr>
          <w:rFonts w:ascii="Gotham" w:hAnsi="Gotham" w:cs="Arial"/>
          <w:sz w:val="19"/>
          <w:szCs w:val="19"/>
        </w:rPr>
      </w:pPr>
      <w:r>
        <w:rPr>
          <w:rFonts w:ascii="Gotham" w:hAnsi="Gotham" w:cs="Arial"/>
          <w:sz w:val="19"/>
          <w:szCs w:val="19"/>
        </w:rPr>
        <w:t xml:space="preserve">a. </w:t>
      </w:r>
      <w:r>
        <w:rPr>
          <w:rFonts w:ascii="Gotham" w:hAnsi="Gotham" w:cs="Arial"/>
          <w:sz w:val="19"/>
          <w:szCs w:val="19"/>
        </w:rPr>
        <w:tab/>
      </w:r>
      <w:r w:rsidRPr="00195BC6">
        <w:rPr>
          <w:rFonts w:ascii="Gotham" w:hAnsi="Gotham" w:cs="Arial"/>
          <w:sz w:val="19"/>
          <w:szCs w:val="19"/>
        </w:rPr>
        <w:t>A la f. …</w:t>
      </w:r>
    </w:p>
    <w:p w14:paraId="3A475CCB" w14:textId="77777777" w:rsidR="009B5E39" w:rsidRPr="00195BC6" w:rsidRDefault="009B5E39" w:rsidP="009B5E39">
      <w:pPr>
        <w:ind w:left="1701" w:right="283" w:hanging="567"/>
        <w:jc w:val="both"/>
        <w:rPr>
          <w:rFonts w:ascii="Gotham" w:hAnsi="Gotham" w:cs="Arial"/>
          <w:sz w:val="19"/>
          <w:szCs w:val="19"/>
        </w:rPr>
      </w:pPr>
      <w:r w:rsidRPr="00195BC6">
        <w:rPr>
          <w:rFonts w:ascii="Gotham" w:hAnsi="Gotham" w:cs="Arial"/>
          <w:sz w:val="19"/>
          <w:szCs w:val="19"/>
        </w:rPr>
        <w:t xml:space="preserve">g. </w:t>
      </w:r>
      <w:r>
        <w:rPr>
          <w:rFonts w:ascii="Gotham" w:hAnsi="Gotham" w:cs="Arial"/>
          <w:sz w:val="19"/>
          <w:szCs w:val="19"/>
        </w:rPr>
        <w:tab/>
      </w:r>
      <w:r w:rsidRPr="00195BC6">
        <w:rPr>
          <w:rFonts w:ascii="Gotham" w:hAnsi="Gotham" w:cs="Arial"/>
          <w:sz w:val="19"/>
          <w:szCs w:val="19"/>
        </w:rPr>
        <w:t xml:space="preserve">Pago del derecho correspondiente, </w:t>
      </w:r>
      <w:r w:rsidRPr="00195BC6">
        <w:rPr>
          <w:rFonts w:ascii="Gotham" w:hAnsi="Gotham" w:cs="Arial"/>
          <w:b/>
          <w:sz w:val="19"/>
          <w:szCs w:val="19"/>
          <w:u w:val="single"/>
        </w:rPr>
        <w:t>las personas con discapacidad obtendrán el beneficio del 50% de descuento en apego a lo dispuesto por la Ley de Ingresos para el ejercicio fiscal del año que se trate, para lo que el solicitante deberá presentar el certificado que lo acredite, expedido por una institución médica oficial.</w:t>
      </w:r>
    </w:p>
    <w:p w14:paraId="3A475CCC" w14:textId="77777777" w:rsidR="009B5E39" w:rsidRPr="00C64C16" w:rsidRDefault="009B5E39" w:rsidP="009B5E39">
      <w:pPr>
        <w:rPr>
          <w:rFonts w:ascii="Arial" w:hAnsi="Arial" w:cs="Arial"/>
        </w:rPr>
      </w:pPr>
    </w:p>
    <w:p w14:paraId="3A475CCD" w14:textId="77777777" w:rsidR="009B5E39" w:rsidRPr="00195BC6" w:rsidRDefault="009B5E39" w:rsidP="009B5E39">
      <w:pPr>
        <w:ind w:left="284" w:right="283"/>
        <w:jc w:val="both"/>
        <w:rPr>
          <w:rFonts w:ascii="Gotham" w:hAnsi="Gotham" w:cs="Arial"/>
          <w:sz w:val="19"/>
          <w:szCs w:val="19"/>
        </w:rPr>
      </w:pPr>
      <w:r w:rsidRPr="00195BC6">
        <w:rPr>
          <w:rFonts w:ascii="Gotham" w:hAnsi="Gotham" w:cs="Arial"/>
          <w:sz w:val="19"/>
          <w:szCs w:val="19"/>
        </w:rPr>
        <w:t>PRIMERO. Publíquese las presentes reformas en la Gaceta Municipal de Tonalá.</w:t>
      </w:r>
    </w:p>
    <w:p w14:paraId="3A475CCE" w14:textId="77777777" w:rsidR="009B5E39" w:rsidRDefault="009B5E39" w:rsidP="009B5E39">
      <w:pPr>
        <w:ind w:left="284" w:right="283"/>
        <w:jc w:val="both"/>
        <w:rPr>
          <w:rFonts w:ascii="Gotham" w:hAnsi="Gotham" w:cs="Arial"/>
          <w:sz w:val="19"/>
          <w:szCs w:val="19"/>
        </w:rPr>
      </w:pPr>
    </w:p>
    <w:p w14:paraId="3A475CCF" w14:textId="77777777" w:rsidR="009B5E39" w:rsidRPr="00195BC6" w:rsidRDefault="009B5E39" w:rsidP="009B5E39">
      <w:pPr>
        <w:ind w:left="284" w:right="283"/>
        <w:jc w:val="both"/>
        <w:rPr>
          <w:rFonts w:ascii="Gotham" w:hAnsi="Gotham" w:cs="Arial"/>
          <w:sz w:val="19"/>
          <w:szCs w:val="19"/>
        </w:rPr>
      </w:pPr>
      <w:r w:rsidRPr="00195BC6">
        <w:rPr>
          <w:rFonts w:ascii="Gotham" w:hAnsi="Gotham" w:cs="Arial"/>
          <w:sz w:val="19"/>
          <w:szCs w:val="19"/>
        </w:rPr>
        <w:t>SEGUNDO. Una vez publicadas las presentes disposiciones, remítase mediante oficio un tanto de ellas, al Congreso del Estado, para los efectos ordenados en las fracciones VI y VII del artículo 42 de la Ley del Gobierno y la Administración Pública Municipal del Estado de Jalisco.</w:t>
      </w:r>
    </w:p>
    <w:p w14:paraId="3A475CD0" w14:textId="77777777" w:rsidR="009B5E39" w:rsidRPr="00195BC6" w:rsidRDefault="009B5E39" w:rsidP="009B5E39">
      <w:pPr>
        <w:jc w:val="both"/>
        <w:rPr>
          <w:rFonts w:ascii="Gotham" w:hAnsi="Gotham" w:cs="Arial"/>
          <w:sz w:val="20"/>
          <w:szCs w:val="20"/>
        </w:rPr>
      </w:pPr>
    </w:p>
    <w:p w14:paraId="3A475CD1" w14:textId="77777777" w:rsidR="009B5E39" w:rsidRPr="00195BC6" w:rsidRDefault="009B5E39" w:rsidP="009B5E39">
      <w:pPr>
        <w:jc w:val="both"/>
        <w:rPr>
          <w:rFonts w:ascii="Gotham" w:hAnsi="Gotham" w:cs="Arial"/>
          <w:b/>
          <w:bCs/>
          <w:iCs/>
          <w:sz w:val="20"/>
          <w:szCs w:val="20"/>
        </w:rPr>
      </w:pPr>
      <w:r w:rsidRPr="00195BC6">
        <w:rPr>
          <w:rFonts w:ascii="Gotham" w:hAnsi="Gotham" w:cs="Arial"/>
          <w:sz w:val="20"/>
          <w:szCs w:val="20"/>
        </w:rPr>
        <w:lastRenderedPageBreak/>
        <w:t xml:space="preserve">Por lo que respecta al </w:t>
      </w:r>
      <w:r w:rsidRPr="00195BC6">
        <w:rPr>
          <w:rFonts w:ascii="Gotham" w:hAnsi="Gotham" w:cs="Arial"/>
          <w:b/>
          <w:bCs/>
          <w:iCs/>
          <w:sz w:val="20"/>
          <w:szCs w:val="20"/>
        </w:rPr>
        <w:t>REGLAMENTO DE NOMENCLATURA, DE VÍAS PÚBLICAS Y ESPACIOS ABIERTOS PÚBLICOS DEL MUNICIPIO DE TONALÁ, JALISCO, se propone las siguientes modificaciones:</w:t>
      </w:r>
    </w:p>
    <w:p w14:paraId="3A475CD2" w14:textId="77777777" w:rsidR="009B5E39" w:rsidRPr="00195BC6" w:rsidRDefault="009B5E39" w:rsidP="009B5E39">
      <w:pPr>
        <w:pStyle w:val="Default"/>
        <w:rPr>
          <w:rFonts w:ascii="Gotham" w:hAnsi="Gotham"/>
          <w:color w:val="FCFCFC"/>
          <w:sz w:val="20"/>
          <w:szCs w:val="20"/>
        </w:rPr>
      </w:pPr>
      <w:r w:rsidRPr="00195BC6">
        <w:rPr>
          <w:rFonts w:ascii="Gotham" w:hAnsi="Gotham"/>
          <w:b/>
          <w:bCs/>
          <w:i/>
          <w:iCs/>
          <w:color w:val="FCFCFC"/>
          <w:sz w:val="20"/>
          <w:szCs w:val="20"/>
        </w:rPr>
        <w:t>/G</w:t>
      </w:r>
    </w:p>
    <w:p w14:paraId="3A475CD3" w14:textId="77777777" w:rsidR="009B5E39" w:rsidRPr="00195BC6" w:rsidRDefault="009B5E39" w:rsidP="009B5E39">
      <w:pPr>
        <w:pStyle w:val="Default"/>
        <w:ind w:left="284" w:right="283"/>
        <w:jc w:val="center"/>
        <w:rPr>
          <w:rFonts w:ascii="Gotham" w:hAnsi="Gotham"/>
          <w:b/>
          <w:bCs/>
          <w:iCs/>
          <w:sz w:val="19"/>
          <w:szCs w:val="19"/>
        </w:rPr>
      </w:pPr>
      <w:r w:rsidRPr="00195BC6">
        <w:rPr>
          <w:rFonts w:ascii="Gotham" w:hAnsi="Gotham"/>
          <w:b/>
          <w:bCs/>
          <w:iCs/>
          <w:sz w:val="19"/>
          <w:szCs w:val="19"/>
        </w:rPr>
        <w:t>REGLAMENTO DE NOMENCLATURA, DE VÍAS PÚBLICAS Y ESPACIOS ABIERTOS PÚBLICOS DEL MUNICIPIO DE TONALÁ, JALISCO.</w:t>
      </w:r>
    </w:p>
    <w:p w14:paraId="3A475CD4" w14:textId="77777777" w:rsidR="009B5E39" w:rsidRPr="00195BC6" w:rsidRDefault="009B5E39" w:rsidP="009B5E39">
      <w:pPr>
        <w:pStyle w:val="Default"/>
        <w:ind w:left="284" w:right="283"/>
        <w:jc w:val="center"/>
        <w:rPr>
          <w:rFonts w:ascii="Gotham" w:hAnsi="Gotham"/>
          <w:sz w:val="19"/>
          <w:szCs w:val="19"/>
        </w:rPr>
      </w:pPr>
    </w:p>
    <w:p w14:paraId="3A475CD5" w14:textId="77777777" w:rsidR="009B5E39" w:rsidRPr="00195BC6" w:rsidRDefault="009B5E39" w:rsidP="009B5E39">
      <w:pPr>
        <w:pStyle w:val="Default"/>
        <w:ind w:left="284" w:right="283"/>
        <w:jc w:val="center"/>
        <w:rPr>
          <w:rFonts w:ascii="Gotham" w:hAnsi="Gotham"/>
          <w:b/>
          <w:bCs/>
          <w:iCs/>
          <w:sz w:val="19"/>
          <w:szCs w:val="19"/>
        </w:rPr>
      </w:pPr>
      <w:bookmarkStart w:id="29" w:name="_Hlk172489033"/>
      <w:r w:rsidRPr="00195BC6">
        <w:rPr>
          <w:rFonts w:ascii="Gotham" w:hAnsi="Gotham"/>
          <w:b/>
          <w:bCs/>
          <w:iCs/>
          <w:sz w:val="19"/>
          <w:szCs w:val="19"/>
        </w:rPr>
        <w:t xml:space="preserve">Capítulo I. </w:t>
      </w:r>
    </w:p>
    <w:p w14:paraId="3A475CD6" w14:textId="77777777" w:rsidR="009B5E39" w:rsidRPr="00195BC6" w:rsidRDefault="009B5E39" w:rsidP="009B5E39">
      <w:pPr>
        <w:pStyle w:val="Default"/>
        <w:ind w:left="284" w:right="283"/>
        <w:jc w:val="center"/>
        <w:rPr>
          <w:rFonts w:ascii="Gotham" w:hAnsi="Gotham"/>
          <w:b/>
          <w:bCs/>
          <w:iCs/>
          <w:sz w:val="19"/>
          <w:szCs w:val="19"/>
        </w:rPr>
      </w:pPr>
      <w:r w:rsidRPr="00195BC6">
        <w:rPr>
          <w:rFonts w:ascii="Gotham" w:hAnsi="Gotham"/>
          <w:b/>
          <w:bCs/>
          <w:iCs/>
          <w:sz w:val="19"/>
          <w:szCs w:val="19"/>
        </w:rPr>
        <w:t>Disposiciones Generales</w:t>
      </w:r>
    </w:p>
    <w:bookmarkEnd w:id="29"/>
    <w:p w14:paraId="3A475CD7" w14:textId="77777777" w:rsidR="009B5E39" w:rsidRPr="00195BC6" w:rsidRDefault="009B5E39" w:rsidP="009B5E39">
      <w:pPr>
        <w:pStyle w:val="Default"/>
        <w:ind w:left="284" w:right="283"/>
        <w:jc w:val="center"/>
        <w:rPr>
          <w:rFonts w:ascii="Gotham" w:hAnsi="Gotham"/>
          <w:sz w:val="19"/>
          <w:szCs w:val="19"/>
        </w:rPr>
      </w:pPr>
    </w:p>
    <w:p w14:paraId="3A475CD8" w14:textId="77777777" w:rsidR="009B5E39" w:rsidRPr="00195BC6" w:rsidRDefault="009B5E39" w:rsidP="009B5E39">
      <w:pPr>
        <w:pStyle w:val="Default"/>
        <w:ind w:left="284" w:right="283"/>
        <w:jc w:val="both"/>
        <w:rPr>
          <w:rFonts w:ascii="Gotham" w:hAnsi="Gotham"/>
          <w:bCs/>
          <w:iCs/>
          <w:color w:val="auto"/>
          <w:sz w:val="19"/>
          <w:szCs w:val="19"/>
        </w:rPr>
      </w:pPr>
      <w:r w:rsidRPr="00195BC6">
        <w:rPr>
          <w:rFonts w:ascii="Gotham" w:hAnsi="Gotham"/>
          <w:b/>
          <w:bCs/>
          <w:iCs/>
          <w:color w:val="auto"/>
          <w:sz w:val="19"/>
          <w:szCs w:val="19"/>
        </w:rPr>
        <w:t>Artículo 1</w:t>
      </w:r>
      <w:r w:rsidRPr="00195BC6">
        <w:rPr>
          <w:rFonts w:ascii="Gotham" w:hAnsi="Gotham"/>
          <w:color w:val="auto"/>
          <w:sz w:val="19"/>
          <w:szCs w:val="19"/>
        </w:rPr>
        <w:t xml:space="preserve">°. Fundamento legal. El presente reglamento se expide de conformidad con lo dispuesto por la Constitución Política de los Estados Unidos Mexicanos, la Constitución Política del Estado de Jalisco, la Ley del Gobierno y la Administración Pública Municipal del Estado de Jalisco, el Reglamento de Edificación del Municipio de Tonalá, Jalisco, El presente reglamento se expide con fundamento en lo dispuesto por los artículos 115 fracción II de la Constitución Política de los Estados Unidos Mexicanos; 77, fracción II y 86 párrafos primero y segundo de la Constitución Política del Estado de Jalisco; artículos 37 fracción II, 40 fracción II, 41, 44, 50 fracción I, de la Ley de Gobierno y la Administración Pública Municipal; el Código Urbano para el Estado de Jalisco; </w:t>
      </w:r>
      <w:r w:rsidRPr="00195BC6">
        <w:rPr>
          <w:rFonts w:ascii="Gotham" w:hAnsi="Gotham"/>
          <w:bCs/>
          <w:iCs/>
          <w:color w:val="auto"/>
          <w:sz w:val="19"/>
          <w:szCs w:val="19"/>
        </w:rPr>
        <w:t xml:space="preserve">artículos 35 fracción XIV, 49 fracciones XXI y XXX, 51, 78 y 200 del Reglamento de Gobierno y la Administración Pública Municipal del Ayuntamiento Constitucional de Tonalá, Jalisco y </w:t>
      </w:r>
      <w:r w:rsidRPr="00195BC6">
        <w:rPr>
          <w:rFonts w:ascii="Gotham" w:hAnsi="Gotham"/>
          <w:color w:val="auto"/>
          <w:sz w:val="19"/>
          <w:szCs w:val="19"/>
        </w:rPr>
        <w:t>demás ordenamientos aplicables a la materia.</w:t>
      </w:r>
    </w:p>
    <w:p w14:paraId="3A475CD9" w14:textId="77777777" w:rsidR="009B5E39" w:rsidRPr="00195BC6" w:rsidRDefault="009B5E39" w:rsidP="009B5E39">
      <w:pPr>
        <w:pStyle w:val="Default"/>
        <w:ind w:left="284" w:right="283"/>
        <w:jc w:val="both"/>
        <w:rPr>
          <w:rFonts w:ascii="Gotham" w:hAnsi="Gotham"/>
          <w:color w:val="FCFCFC"/>
          <w:sz w:val="19"/>
          <w:szCs w:val="19"/>
        </w:rPr>
      </w:pPr>
    </w:p>
    <w:p w14:paraId="3A475CDA"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b/>
          <w:bCs/>
          <w:iCs/>
          <w:color w:val="auto"/>
          <w:sz w:val="19"/>
          <w:szCs w:val="19"/>
        </w:rPr>
        <w:t>Artículo 2°.</w:t>
      </w:r>
      <w:r w:rsidR="007C2F8D">
        <w:rPr>
          <w:rFonts w:ascii="Gotham" w:hAnsi="Gotham"/>
          <w:b/>
          <w:bCs/>
          <w:iCs/>
          <w:color w:val="auto"/>
          <w:sz w:val="19"/>
          <w:szCs w:val="19"/>
        </w:rPr>
        <w:t xml:space="preserve"> </w:t>
      </w:r>
      <w:r w:rsidRPr="00195BC6">
        <w:rPr>
          <w:rFonts w:ascii="Gotham" w:hAnsi="Gotham"/>
          <w:color w:val="auto"/>
          <w:sz w:val="19"/>
          <w:szCs w:val="19"/>
        </w:rPr>
        <w:t>Objeto y materia que regula las disposiciones del presente Reglamento son de son de interés público y de observancia general en el Municipio de Tonalá, Jalisco y tiene por objeto establecer los principios que deben observarse para la asignación, modificación o revisión en materia de nomenclatura y numeración oficial a las vialidades, colonias, fraccionamientos, los espacios y los monumentos públicos en el ámbito de competencia municipal,</w:t>
      </w:r>
      <w:r w:rsidRPr="00195BC6">
        <w:rPr>
          <w:rFonts w:ascii="Gotham" w:hAnsi="Gotham"/>
          <w:sz w:val="19"/>
          <w:szCs w:val="19"/>
        </w:rPr>
        <w:t xml:space="preserve"> corresponde al Honorable </w:t>
      </w:r>
      <w:r w:rsidRPr="00195BC6">
        <w:rPr>
          <w:rFonts w:ascii="Gotham" w:hAnsi="Gotham"/>
          <w:bCs/>
          <w:iCs/>
          <w:color w:val="auto"/>
          <w:sz w:val="19"/>
          <w:szCs w:val="19"/>
        </w:rPr>
        <w:t>Ayuntamiento Constitucional de Tonalá, Jalisco</w:t>
      </w:r>
      <w:r w:rsidRPr="00195BC6">
        <w:rPr>
          <w:rFonts w:ascii="Gotham" w:hAnsi="Gotham"/>
          <w:sz w:val="19"/>
          <w:szCs w:val="19"/>
        </w:rPr>
        <w:t>, hacer cumplir las disposiciones generales del presente reglamento.</w:t>
      </w:r>
    </w:p>
    <w:p w14:paraId="3A475CDB" w14:textId="77777777" w:rsidR="009B5E39" w:rsidRPr="00195BC6" w:rsidRDefault="009B5E39" w:rsidP="009B5E39">
      <w:pPr>
        <w:pStyle w:val="Default"/>
        <w:ind w:left="284" w:right="283"/>
        <w:jc w:val="both"/>
        <w:rPr>
          <w:rFonts w:ascii="Gotham" w:hAnsi="Gotham"/>
          <w:sz w:val="19"/>
          <w:szCs w:val="19"/>
        </w:rPr>
      </w:pPr>
    </w:p>
    <w:p w14:paraId="3A475CDC"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sz w:val="19"/>
          <w:szCs w:val="19"/>
        </w:rPr>
        <w:t>Regular el procedimiento para erigir o reubicar monumentos y autorizar la colocación de placas conmemorativas en el municipio de Tonalá, Jalisco</w:t>
      </w:r>
    </w:p>
    <w:p w14:paraId="3A475CDD"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CDE"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Que se integre de forma estructurada, estandarizada y consistente en registros administrativos, la nomenclatura de vías públicas y números oficiales; Colaborar a una mejor planificación urbana.</w:t>
      </w:r>
    </w:p>
    <w:p w14:paraId="3A475CDF" w14:textId="77777777" w:rsidR="009B5E39" w:rsidRPr="00195BC6" w:rsidRDefault="009B5E39" w:rsidP="009B5E39">
      <w:pPr>
        <w:pStyle w:val="Default"/>
        <w:ind w:left="284" w:right="283"/>
        <w:jc w:val="both"/>
        <w:rPr>
          <w:rFonts w:ascii="Gotham" w:hAnsi="Gotham"/>
          <w:b/>
          <w:bCs/>
          <w:iCs/>
          <w:sz w:val="19"/>
          <w:szCs w:val="19"/>
        </w:rPr>
      </w:pPr>
    </w:p>
    <w:p w14:paraId="3A475CE0" w14:textId="77777777" w:rsidR="009B5E39" w:rsidRDefault="009B5E39" w:rsidP="009B5E39">
      <w:pPr>
        <w:pStyle w:val="Default"/>
        <w:ind w:left="284" w:right="283"/>
        <w:jc w:val="both"/>
        <w:rPr>
          <w:rFonts w:ascii="Gotham" w:hAnsi="Gotham"/>
          <w:sz w:val="19"/>
          <w:szCs w:val="19"/>
        </w:rPr>
      </w:pPr>
      <w:r w:rsidRPr="00195BC6">
        <w:rPr>
          <w:rFonts w:ascii="Gotham" w:hAnsi="Gotham"/>
          <w:b/>
          <w:bCs/>
          <w:iCs/>
          <w:sz w:val="19"/>
          <w:szCs w:val="19"/>
        </w:rPr>
        <w:t xml:space="preserve">Artículo 3°. </w:t>
      </w:r>
      <w:r w:rsidRPr="00195BC6">
        <w:rPr>
          <w:rFonts w:ascii="Gotham" w:hAnsi="Gotham"/>
          <w:sz w:val="19"/>
          <w:szCs w:val="19"/>
        </w:rPr>
        <w:t xml:space="preserve">Para efectos de este Reglamento, se entenderá por: </w:t>
      </w:r>
    </w:p>
    <w:p w14:paraId="3A475CE1" w14:textId="77777777" w:rsidR="009B5E39" w:rsidRPr="00195BC6" w:rsidRDefault="009B5E39" w:rsidP="009B5E39">
      <w:pPr>
        <w:pStyle w:val="Default"/>
        <w:ind w:left="284" w:right="283"/>
        <w:jc w:val="both"/>
        <w:rPr>
          <w:rFonts w:ascii="Gotham" w:hAnsi="Gotham"/>
          <w:sz w:val="19"/>
          <w:szCs w:val="19"/>
        </w:rPr>
      </w:pPr>
    </w:p>
    <w:p w14:paraId="3A475CE2" w14:textId="77777777" w:rsidR="009B5E39" w:rsidRPr="00195BC6" w:rsidRDefault="009B5E39" w:rsidP="00E5394F">
      <w:pPr>
        <w:pStyle w:val="Default"/>
        <w:numPr>
          <w:ilvl w:val="0"/>
          <w:numId w:val="245"/>
        </w:numPr>
        <w:spacing w:after="120"/>
        <w:ind w:left="1134" w:right="283" w:hanging="850"/>
        <w:jc w:val="both"/>
        <w:rPr>
          <w:rFonts w:ascii="Gotham" w:hAnsi="Gotham"/>
          <w:sz w:val="19"/>
          <w:szCs w:val="19"/>
        </w:rPr>
      </w:pPr>
      <w:r w:rsidRPr="00195BC6">
        <w:rPr>
          <w:rFonts w:ascii="Gotham" w:hAnsi="Gotham"/>
          <w:sz w:val="19"/>
          <w:szCs w:val="19"/>
        </w:rPr>
        <w:t>AYUNTAMIENTO: El órgano de gobierno y administración del municipio de Tonalá, Jalisco y se integra por el Presidente Municipal, los regidores y el síndico, los cuales son electos mediante voto popular;</w:t>
      </w:r>
    </w:p>
    <w:p w14:paraId="3A475CE3" w14:textId="77777777" w:rsidR="009B5E39" w:rsidRPr="00195BC6" w:rsidRDefault="009B5E39" w:rsidP="00E5394F">
      <w:pPr>
        <w:pStyle w:val="Default"/>
        <w:numPr>
          <w:ilvl w:val="0"/>
          <w:numId w:val="245"/>
        </w:numPr>
        <w:spacing w:after="120"/>
        <w:ind w:left="1134" w:right="283" w:hanging="850"/>
        <w:jc w:val="both"/>
        <w:rPr>
          <w:rFonts w:ascii="Gotham" w:hAnsi="Gotham"/>
          <w:sz w:val="19"/>
          <w:szCs w:val="19"/>
        </w:rPr>
      </w:pPr>
      <w:r w:rsidRPr="00195BC6">
        <w:rPr>
          <w:rFonts w:ascii="Gotham" w:hAnsi="Gotham"/>
          <w:sz w:val="19"/>
          <w:szCs w:val="19"/>
        </w:rPr>
        <w:t xml:space="preserve">BIENES DEL MUNICIPIO: Las vías públicas, plazas, jardines o cualquier otro bien inmueble de dominio público o uso común y los destinados a un servicio público del Municipio sujetos a nomenclatura; </w:t>
      </w:r>
    </w:p>
    <w:p w14:paraId="3A475CE4" w14:textId="77777777" w:rsidR="009B5E39" w:rsidRPr="00195BC6" w:rsidRDefault="009B5E39" w:rsidP="00E5394F">
      <w:pPr>
        <w:pStyle w:val="Default"/>
        <w:numPr>
          <w:ilvl w:val="0"/>
          <w:numId w:val="245"/>
        </w:numPr>
        <w:spacing w:after="120"/>
        <w:ind w:left="1134" w:right="283" w:hanging="850"/>
        <w:jc w:val="both"/>
        <w:rPr>
          <w:rFonts w:ascii="Gotham" w:hAnsi="Gotham"/>
          <w:sz w:val="19"/>
          <w:szCs w:val="19"/>
        </w:rPr>
      </w:pPr>
      <w:r w:rsidRPr="00195BC6">
        <w:rPr>
          <w:rFonts w:ascii="Gotham" w:hAnsi="Gotham"/>
          <w:sz w:val="19"/>
          <w:szCs w:val="19"/>
        </w:rPr>
        <w:t>COMISIÓN: La Comisión Edilicia de Nomenclatura del Ayuntamiento de Tonalá, Jalisco</w:t>
      </w:r>
      <w:r w:rsidRPr="00195BC6">
        <w:rPr>
          <w:rFonts w:ascii="Gotham" w:hAnsi="Gotham"/>
          <w:b/>
          <w:bCs/>
          <w:sz w:val="19"/>
          <w:szCs w:val="19"/>
        </w:rPr>
        <w:t>;</w:t>
      </w:r>
    </w:p>
    <w:p w14:paraId="3A475CE5"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EL CONSEJO: </w:t>
      </w:r>
      <w:r w:rsidRPr="00195BC6">
        <w:rPr>
          <w:rStyle w:val="Textoennegrita"/>
          <w:rFonts w:ascii="Gotham" w:hAnsi="Gotham"/>
          <w:color w:val="auto"/>
          <w:sz w:val="19"/>
          <w:szCs w:val="19"/>
          <w:bdr w:val="none" w:sz="0" w:space="0" w:color="auto" w:frame="1"/>
          <w:shd w:val="clear" w:color="auto" w:fill="FFFFFF"/>
        </w:rPr>
        <w:t>Consejo Municipal de nomenclatura</w:t>
      </w:r>
      <w:r w:rsidRPr="00195BC6">
        <w:rPr>
          <w:rFonts w:ascii="Gotham" w:hAnsi="Gotham"/>
          <w:color w:val="auto"/>
          <w:sz w:val="19"/>
          <w:szCs w:val="19"/>
        </w:rPr>
        <w:t xml:space="preserve"> </w:t>
      </w:r>
    </w:p>
    <w:p w14:paraId="3A475CE6"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DENOMINACIÓN: El nombre que específicamente se le asigna a un bien del Municipio; </w:t>
      </w:r>
    </w:p>
    <w:p w14:paraId="3A475CE7"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DIRECCIÓN: La </w:t>
      </w:r>
      <w:r w:rsidRPr="00195BC6">
        <w:rPr>
          <w:rFonts w:ascii="Gotham" w:hAnsi="Gotham"/>
          <w:bCs/>
          <w:iCs/>
          <w:color w:val="auto"/>
          <w:sz w:val="19"/>
          <w:szCs w:val="19"/>
        </w:rPr>
        <w:t>Dirección General de Planeación y Desarrollo Urbano Sustentable</w:t>
      </w:r>
      <w:r w:rsidRPr="00195BC6">
        <w:rPr>
          <w:rFonts w:ascii="Gotham" w:hAnsi="Gotham"/>
          <w:color w:val="auto"/>
          <w:sz w:val="19"/>
          <w:szCs w:val="19"/>
        </w:rPr>
        <w:t xml:space="preserve">; </w:t>
      </w:r>
    </w:p>
    <w:p w14:paraId="3A475CE8"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ESPACIOS ABIERTOS PÚBLICOS: Todo espacio terrestre de uso común delimitado por los perímetros de las propiedades que esté destinado al tránsito de peatones y vehículos; así como a la prestación de servicios públicos y colocación de mobiliario urbano tales como: </w:t>
      </w:r>
      <w:r w:rsidRPr="00195BC6">
        <w:rPr>
          <w:rFonts w:ascii="Gotham" w:hAnsi="Gotham"/>
          <w:color w:val="auto"/>
          <w:sz w:val="19"/>
          <w:szCs w:val="19"/>
        </w:rPr>
        <w:lastRenderedPageBreak/>
        <w:t xml:space="preserve">parques, plazas, unidades deportivas, gimnasios, domos y en general toda edificación análoga; </w:t>
      </w:r>
    </w:p>
    <w:p w14:paraId="3A475CE9"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FRACCIONADORES: Las personas que, a través de la acción material y de manera ordenada, adecuan los espacios que el ser humano y sus comunidades requieren para su asentamiento; </w:t>
      </w:r>
    </w:p>
    <w:p w14:paraId="3A475CEA"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INMUEBLE: Dícese de los bienes que no pueden transportarse, como los terrenos o edificaciones;</w:t>
      </w:r>
    </w:p>
    <w:p w14:paraId="3A475CEB"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LEY: Ley de Gobierno y Administración Pública Municipal del Estado de Jalisco; </w:t>
      </w:r>
    </w:p>
    <w:p w14:paraId="3A475CEC"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LOTE: Terreno producto de un fraccionamiento, subdivisión, parcelación y demás figuras previstas en la Ley;</w:t>
      </w:r>
    </w:p>
    <w:p w14:paraId="3A475CED"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MANZANA: La extensión territorial que está constituida por un grupo de viviendas, edificios, predios, lotes o terrenos de uso habitacional, comercial, industrial o de servicios; generalmente se puede rodear en su totalidad y está delimitada por calles, andadores, brechas, veredas, cercas, arroyos, barrancos o límites prediales;</w:t>
      </w:r>
    </w:p>
    <w:p w14:paraId="3A475CEE"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MONUMENTO: Obra de arquitectura, escultura o grabado hecho para recordar una persona, un acto o una fecha importante;</w:t>
      </w:r>
    </w:p>
    <w:p w14:paraId="3A475CEF"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MUNICIPIO: El Municipio de Tonalá, Jalisco; </w:t>
      </w:r>
    </w:p>
    <w:p w14:paraId="3A475CF0"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NOMBRES GENÉRICOS: Conjunto de nombres que compartan un mismo tema; </w:t>
      </w:r>
    </w:p>
    <w:p w14:paraId="3A475CF1"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NOMENCLATURA. - Sistema que permite identificar sobre el terreno la ubicación de una parcela o de una vivienda por medio del sistema de mapas y de letreros que indican la numeración o la denominación de las calles y las construcciones. Este concepto puede aplicarse a las redes, los servicios y al mobiliario urbano; </w:t>
      </w:r>
    </w:p>
    <w:p w14:paraId="3A475CF2"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NOMENCLATURA OFICIAL: Relación oficial de las denominaciones de vías públicas y desarrollos urbanos, corresponde a Los nombres de las calles, avenidas, colonias, fraccionamientos, parques, plazas y predios en el municipio de Tonalá, Jalisco, que han sido asignados, modificados o reconocidos por el Ayuntamiento;</w:t>
      </w:r>
    </w:p>
    <w:p w14:paraId="3A475CF3" w14:textId="77777777" w:rsidR="009B5E39" w:rsidRPr="00195BC6" w:rsidRDefault="009B5E39" w:rsidP="00E5394F">
      <w:pPr>
        <w:pStyle w:val="Default"/>
        <w:numPr>
          <w:ilvl w:val="0"/>
          <w:numId w:val="245"/>
        </w:numPr>
        <w:spacing w:after="120"/>
        <w:ind w:left="1134" w:right="283" w:hanging="850"/>
        <w:jc w:val="both"/>
        <w:rPr>
          <w:rFonts w:ascii="Gotham" w:hAnsi="Gotham"/>
          <w:sz w:val="19"/>
          <w:szCs w:val="19"/>
        </w:rPr>
      </w:pPr>
      <w:r w:rsidRPr="00195BC6">
        <w:rPr>
          <w:rFonts w:ascii="Gotham" w:hAnsi="Gotham"/>
          <w:sz w:val="19"/>
          <w:szCs w:val="19"/>
        </w:rPr>
        <w:t>NÚMERO EXTERIO: Los caracteres alfanuméricos y símbolos que identifican un inmueble en una vialidad;</w:t>
      </w:r>
    </w:p>
    <w:p w14:paraId="3A475CF4" w14:textId="77777777" w:rsidR="009B5E39" w:rsidRPr="00195BC6" w:rsidRDefault="009B5E39" w:rsidP="00E5394F">
      <w:pPr>
        <w:pStyle w:val="Default"/>
        <w:numPr>
          <w:ilvl w:val="0"/>
          <w:numId w:val="245"/>
        </w:numPr>
        <w:spacing w:after="120"/>
        <w:ind w:left="1134" w:right="283" w:hanging="850"/>
        <w:jc w:val="both"/>
        <w:rPr>
          <w:rFonts w:ascii="Gotham" w:hAnsi="Gotham"/>
          <w:sz w:val="19"/>
          <w:szCs w:val="19"/>
        </w:rPr>
      </w:pPr>
      <w:r w:rsidRPr="00195BC6">
        <w:rPr>
          <w:rFonts w:ascii="Gotham" w:hAnsi="Gotham"/>
          <w:sz w:val="19"/>
          <w:szCs w:val="19"/>
        </w:rPr>
        <w:t>NÚMERO INTERIOR: Los caracteres alfanuméricos y símbolos que identifican una vivienda o establecimiento al interior de un inmueble, con número exterior designado;</w:t>
      </w:r>
    </w:p>
    <w:p w14:paraId="3A475CF5"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OBRAS PUBLICAS: </w:t>
      </w:r>
      <w:bookmarkStart w:id="30" w:name="_Hlk141794449"/>
      <w:r w:rsidRPr="00195BC6">
        <w:rPr>
          <w:rFonts w:ascii="Gotham" w:hAnsi="Gotham"/>
          <w:color w:val="auto"/>
          <w:sz w:val="19"/>
          <w:szCs w:val="19"/>
        </w:rPr>
        <w:t>La Dirección de Obras Publicas del Ayuntamiento</w:t>
      </w:r>
      <w:bookmarkEnd w:id="30"/>
      <w:r w:rsidRPr="00195BC6">
        <w:rPr>
          <w:rFonts w:ascii="Gotham" w:hAnsi="Gotham"/>
          <w:color w:val="auto"/>
          <w:sz w:val="19"/>
          <w:szCs w:val="19"/>
        </w:rPr>
        <w:t xml:space="preserve">, </w:t>
      </w:r>
    </w:p>
    <w:p w14:paraId="3A475CF6"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OBRAS DE URBANIZACIÓN: Todas aquellas acciones técnicas realizadas con la finalidad de transformar el suelo rústico en urbano; o bien, adecuar, conservar o mejorar los predios de dominio público, redes de infraestructura y equipamiento destinados a la prestación de servicios urbanos; </w:t>
      </w:r>
    </w:p>
    <w:p w14:paraId="3A475CF7"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REGLAMENTO: </w:t>
      </w:r>
      <w:r w:rsidRPr="00195BC6">
        <w:rPr>
          <w:rFonts w:ascii="Gotham" w:hAnsi="Gotham"/>
          <w:sz w:val="19"/>
          <w:szCs w:val="19"/>
        </w:rPr>
        <w:t xml:space="preserve">Se entenderá que se trata del </w:t>
      </w:r>
      <w:r w:rsidRPr="00195BC6">
        <w:rPr>
          <w:rFonts w:ascii="Gotham" w:hAnsi="Gotham"/>
          <w:color w:val="auto"/>
          <w:sz w:val="19"/>
          <w:szCs w:val="19"/>
        </w:rPr>
        <w:t xml:space="preserve">Reglamento de Nomenclatura de Vías y Espacios Abiertos Públicos de Tonalá, Jalisco; </w:t>
      </w:r>
    </w:p>
    <w:p w14:paraId="3A475CF8"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SECRETARÍA: La Secretaría General del Ayuntamiento; </w:t>
      </w:r>
    </w:p>
    <w:p w14:paraId="3A475CF9" w14:textId="77777777" w:rsidR="009B5E39" w:rsidRPr="00195BC6" w:rsidRDefault="009B5E39" w:rsidP="00E5394F">
      <w:pPr>
        <w:pStyle w:val="Default"/>
        <w:numPr>
          <w:ilvl w:val="0"/>
          <w:numId w:val="245"/>
        </w:numPr>
        <w:spacing w:after="120"/>
        <w:ind w:left="1134" w:right="283" w:hanging="850"/>
        <w:jc w:val="both"/>
        <w:rPr>
          <w:rFonts w:ascii="Gotham" w:hAnsi="Gotham"/>
          <w:color w:val="auto"/>
          <w:sz w:val="19"/>
          <w:szCs w:val="19"/>
        </w:rPr>
      </w:pPr>
      <w:r w:rsidRPr="00195BC6">
        <w:rPr>
          <w:rFonts w:ascii="Gotham" w:hAnsi="Gotham"/>
          <w:color w:val="auto"/>
          <w:sz w:val="19"/>
          <w:szCs w:val="19"/>
        </w:rPr>
        <w:t xml:space="preserve">SEÑALIZACIÓN: Es aquella información visual, táctil o audible, diseñada para orientar con seguridad a las personas en el desplazamiento y uso de los espacios en el espacio público; y </w:t>
      </w:r>
    </w:p>
    <w:p w14:paraId="3A475CFA" w14:textId="77777777" w:rsidR="009B5E39" w:rsidRPr="00195BC6" w:rsidRDefault="009B5E39" w:rsidP="00E5394F">
      <w:pPr>
        <w:pStyle w:val="Default"/>
        <w:numPr>
          <w:ilvl w:val="0"/>
          <w:numId w:val="245"/>
        </w:numPr>
        <w:ind w:left="1134" w:right="283" w:hanging="850"/>
        <w:jc w:val="both"/>
        <w:rPr>
          <w:rFonts w:ascii="Gotham" w:hAnsi="Gotham"/>
          <w:color w:val="auto"/>
          <w:sz w:val="19"/>
          <w:szCs w:val="19"/>
        </w:rPr>
      </w:pPr>
      <w:r w:rsidRPr="00195BC6">
        <w:rPr>
          <w:rFonts w:ascii="Gotham" w:hAnsi="Gotham"/>
          <w:color w:val="auto"/>
          <w:sz w:val="19"/>
          <w:szCs w:val="19"/>
        </w:rPr>
        <w:t>VÍAS PÚBLICAS: todas las calles, calzadas, avenidas primarias y secundarias, privadas, andadores, y en general toda vialidad susceptible de nomenclatura oficial.</w:t>
      </w:r>
    </w:p>
    <w:p w14:paraId="3A475CFB" w14:textId="77777777" w:rsidR="009B5E39" w:rsidRPr="00195BC6" w:rsidRDefault="009B5E39" w:rsidP="009B5E39">
      <w:pPr>
        <w:pStyle w:val="Default"/>
        <w:ind w:left="284" w:right="283"/>
        <w:jc w:val="both"/>
        <w:rPr>
          <w:rFonts w:ascii="Gotham" w:hAnsi="Gotham"/>
          <w:color w:val="auto"/>
          <w:sz w:val="19"/>
          <w:szCs w:val="19"/>
        </w:rPr>
      </w:pPr>
    </w:p>
    <w:p w14:paraId="3A475CFC" w14:textId="77777777" w:rsidR="009B5E39" w:rsidRPr="00195BC6" w:rsidRDefault="009B5E39" w:rsidP="009B5E39">
      <w:pPr>
        <w:pStyle w:val="Default"/>
        <w:ind w:left="284" w:right="283"/>
        <w:jc w:val="both"/>
        <w:rPr>
          <w:rFonts w:ascii="Gotham" w:hAnsi="Gotham"/>
          <w:color w:val="9CC2E5" w:themeColor="accent1" w:themeTint="99"/>
          <w:sz w:val="19"/>
          <w:szCs w:val="19"/>
        </w:rPr>
      </w:pPr>
      <w:r w:rsidRPr="00195BC6">
        <w:rPr>
          <w:rFonts w:ascii="Gotham" w:hAnsi="Gotham"/>
          <w:sz w:val="19"/>
          <w:szCs w:val="19"/>
        </w:rPr>
        <w:t>El uso de términos técnicos urbanísticos en el presente ordenamiento atiende a las definiciones y términos dispuestos por el Código Urbano para el Estado de Jalisco.</w:t>
      </w:r>
    </w:p>
    <w:p w14:paraId="3A475CFD" w14:textId="77777777" w:rsidR="009B5E39" w:rsidRPr="00195BC6" w:rsidRDefault="009B5E39" w:rsidP="009B5E39">
      <w:pPr>
        <w:pStyle w:val="Default"/>
        <w:ind w:left="284" w:right="283"/>
        <w:jc w:val="both"/>
        <w:rPr>
          <w:rFonts w:ascii="Gotham" w:hAnsi="Gotham"/>
          <w:sz w:val="19"/>
          <w:szCs w:val="19"/>
        </w:rPr>
      </w:pPr>
    </w:p>
    <w:p w14:paraId="3A475CFE"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b/>
          <w:sz w:val="19"/>
          <w:szCs w:val="19"/>
        </w:rPr>
        <w:t>Artículo 4°.</w:t>
      </w:r>
      <w:r w:rsidRPr="00195BC6">
        <w:rPr>
          <w:rFonts w:ascii="Gotham" w:hAnsi="Gotham"/>
          <w:sz w:val="19"/>
          <w:szCs w:val="19"/>
        </w:rPr>
        <w:t xml:space="preserve"> De la concurrencia de disposiciones. Cuando alguna disposición establecida en este reglamento, concurra con cualquier otro precepto de otros ordenamientos municipales que contengan disposiciones sobre la misma materia, se aplicará la estipulada por los ordenamientos en materia urbana y posteriormente este reglamento. </w:t>
      </w:r>
    </w:p>
    <w:p w14:paraId="3A475CFF" w14:textId="77777777" w:rsidR="009B5E39" w:rsidRPr="00195BC6" w:rsidRDefault="009B5E39" w:rsidP="009B5E39">
      <w:pPr>
        <w:pStyle w:val="Default"/>
        <w:ind w:left="284" w:right="283"/>
        <w:jc w:val="both"/>
        <w:rPr>
          <w:rFonts w:ascii="Gotham" w:hAnsi="Gotham"/>
          <w:sz w:val="19"/>
          <w:szCs w:val="19"/>
        </w:rPr>
      </w:pPr>
    </w:p>
    <w:p w14:paraId="3A475D00"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sz w:val="19"/>
          <w:szCs w:val="19"/>
        </w:rPr>
        <w:t>Las disposiciones de las leyes federales y estatales que se relacionen con la materia, prevalecerán por sobre lo dispuesto en este ordenamiento.</w:t>
      </w:r>
    </w:p>
    <w:p w14:paraId="3A475D01" w14:textId="77777777" w:rsidR="009B5E39" w:rsidRPr="00195BC6" w:rsidRDefault="009B5E39" w:rsidP="009B5E39">
      <w:pPr>
        <w:pStyle w:val="Default"/>
        <w:ind w:left="284" w:right="283"/>
        <w:jc w:val="both"/>
        <w:rPr>
          <w:rFonts w:ascii="Gotham" w:hAnsi="Gotham"/>
          <w:sz w:val="19"/>
          <w:szCs w:val="19"/>
        </w:rPr>
      </w:pPr>
    </w:p>
    <w:p w14:paraId="3A475D02"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b/>
          <w:color w:val="auto"/>
          <w:sz w:val="19"/>
          <w:szCs w:val="19"/>
        </w:rPr>
        <w:t>Artículo 5°.</w:t>
      </w:r>
      <w:r w:rsidRPr="00195BC6">
        <w:rPr>
          <w:rFonts w:ascii="Gotham" w:hAnsi="Gotham"/>
          <w:color w:val="auto"/>
          <w:sz w:val="19"/>
          <w:szCs w:val="19"/>
        </w:rPr>
        <w:t xml:space="preserve"> Del interés público. La asignación o modificación de la nomenclatura oficial de las vías públicas, espacios públicos y monumentos en el municipio es de interés público y social, y la interpretación del contenido de este ordenamiento debe hacerse bajo esta consideración, de forma integral y concatenada de sus artículos. </w:t>
      </w:r>
    </w:p>
    <w:p w14:paraId="3A475D03" w14:textId="77777777" w:rsidR="009B5E39" w:rsidRPr="00195BC6" w:rsidRDefault="009B5E39" w:rsidP="009B5E39">
      <w:pPr>
        <w:pStyle w:val="Default"/>
        <w:ind w:left="284" w:right="283"/>
        <w:jc w:val="both"/>
        <w:rPr>
          <w:rFonts w:ascii="Gotham" w:hAnsi="Gotham"/>
          <w:color w:val="auto"/>
          <w:sz w:val="19"/>
          <w:szCs w:val="19"/>
        </w:rPr>
      </w:pPr>
    </w:p>
    <w:p w14:paraId="3A475D04"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color w:val="auto"/>
          <w:sz w:val="19"/>
          <w:szCs w:val="19"/>
        </w:rPr>
        <w:t>Toda asignación o modificación de la nomenclatura oficial debe ser integrada en los Planes de Desarrollo Urbano de Centro de Población Municipal en el momento de la modificación de aquellos, y hecha pública a través de su publicación en la Gaceta Municipal de Tonalá, mensualmente, si hubiese asignación o modificación.</w:t>
      </w:r>
    </w:p>
    <w:p w14:paraId="3A475D05" w14:textId="77777777" w:rsidR="009B5E39" w:rsidRPr="00195BC6" w:rsidRDefault="009B5E39" w:rsidP="009B5E39">
      <w:pPr>
        <w:pStyle w:val="Default"/>
        <w:ind w:left="284" w:right="283"/>
        <w:rPr>
          <w:rFonts w:ascii="Gotham" w:hAnsi="Gotham"/>
          <w:sz w:val="19"/>
          <w:szCs w:val="19"/>
        </w:rPr>
      </w:pPr>
    </w:p>
    <w:p w14:paraId="3A475D06"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b/>
          <w:bCs/>
          <w:iCs/>
          <w:sz w:val="19"/>
          <w:szCs w:val="19"/>
        </w:rPr>
        <w:t xml:space="preserve">Artículo 6°. </w:t>
      </w:r>
      <w:r w:rsidRPr="00195BC6">
        <w:rPr>
          <w:rFonts w:ascii="Gotham" w:hAnsi="Gotham"/>
          <w:sz w:val="19"/>
          <w:szCs w:val="19"/>
        </w:rPr>
        <w:t>Son autoridades responsables de verificar el cumplimiento del presente ordenamiento dentro de la estructura administrativa del Gobierno Municipal, las siguientes:</w:t>
      </w:r>
      <w:r w:rsidRPr="00195BC6">
        <w:rPr>
          <w:rFonts w:ascii="Gotham" w:hAnsi="Gotham"/>
          <w:b/>
          <w:bCs/>
          <w:iCs/>
          <w:color w:val="FCFCFC"/>
          <w:sz w:val="19"/>
          <w:szCs w:val="19"/>
        </w:rPr>
        <w:t xml:space="preserve">/GOBIERNO DE TONALÁ 2018-2021 </w:t>
      </w:r>
    </w:p>
    <w:p w14:paraId="3A475D07" w14:textId="77777777" w:rsidR="009B5E39" w:rsidRPr="00195BC6" w:rsidRDefault="009B5E39" w:rsidP="00E5394F">
      <w:pPr>
        <w:pStyle w:val="Default"/>
        <w:numPr>
          <w:ilvl w:val="0"/>
          <w:numId w:val="247"/>
        </w:numPr>
        <w:spacing w:after="80"/>
        <w:ind w:left="1134" w:right="283" w:hanging="850"/>
        <w:jc w:val="both"/>
        <w:rPr>
          <w:rFonts w:ascii="Gotham" w:hAnsi="Gotham"/>
          <w:sz w:val="19"/>
          <w:szCs w:val="19"/>
        </w:rPr>
      </w:pPr>
      <w:r w:rsidRPr="00195BC6">
        <w:rPr>
          <w:rFonts w:ascii="Gotham" w:hAnsi="Gotham"/>
          <w:sz w:val="19"/>
          <w:szCs w:val="19"/>
        </w:rPr>
        <w:t xml:space="preserve">El Ayuntamiento; </w:t>
      </w:r>
    </w:p>
    <w:p w14:paraId="3A475D08" w14:textId="77777777" w:rsidR="009B5E39" w:rsidRPr="00195BC6" w:rsidRDefault="009B5E39" w:rsidP="00E5394F">
      <w:pPr>
        <w:pStyle w:val="Default"/>
        <w:numPr>
          <w:ilvl w:val="0"/>
          <w:numId w:val="247"/>
        </w:numPr>
        <w:spacing w:after="80"/>
        <w:ind w:left="1134" w:right="283" w:hanging="850"/>
        <w:jc w:val="both"/>
        <w:rPr>
          <w:rFonts w:ascii="Gotham" w:hAnsi="Gotham"/>
          <w:sz w:val="19"/>
          <w:szCs w:val="19"/>
        </w:rPr>
      </w:pPr>
      <w:r w:rsidRPr="00195BC6">
        <w:rPr>
          <w:rFonts w:ascii="Gotham" w:hAnsi="Gotham"/>
          <w:sz w:val="19"/>
          <w:szCs w:val="19"/>
        </w:rPr>
        <w:t xml:space="preserve">El Presidente Municipal; </w:t>
      </w:r>
    </w:p>
    <w:p w14:paraId="3A475D09" w14:textId="77777777" w:rsidR="009B5E39" w:rsidRPr="00195BC6" w:rsidRDefault="009B5E39" w:rsidP="00E5394F">
      <w:pPr>
        <w:pStyle w:val="Default"/>
        <w:numPr>
          <w:ilvl w:val="0"/>
          <w:numId w:val="247"/>
        </w:numPr>
        <w:spacing w:after="80"/>
        <w:ind w:left="1134" w:right="283" w:hanging="850"/>
        <w:jc w:val="both"/>
        <w:rPr>
          <w:rFonts w:ascii="Gotham" w:hAnsi="Gotham"/>
          <w:sz w:val="19"/>
          <w:szCs w:val="19"/>
        </w:rPr>
      </w:pPr>
      <w:r w:rsidRPr="00195BC6">
        <w:rPr>
          <w:rFonts w:ascii="Gotham" w:hAnsi="Gotham"/>
          <w:sz w:val="19"/>
          <w:szCs w:val="19"/>
        </w:rPr>
        <w:t xml:space="preserve">La Secretaría General; </w:t>
      </w:r>
    </w:p>
    <w:p w14:paraId="3A475D0A" w14:textId="77777777" w:rsidR="009B5E39" w:rsidRPr="00195BC6" w:rsidRDefault="009B5E39" w:rsidP="00E5394F">
      <w:pPr>
        <w:pStyle w:val="Default"/>
        <w:numPr>
          <w:ilvl w:val="0"/>
          <w:numId w:val="247"/>
        </w:numPr>
        <w:spacing w:after="80"/>
        <w:ind w:left="1134" w:right="283" w:hanging="850"/>
        <w:jc w:val="both"/>
        <w:rPr>
          <w:rFonts w:ascii="Gotham" w:hAnsi="Gotham"/>
          <w:sz w:val="19"/>
          <w:szCs w:val="19"/>
        </w:rPr>
      </w:pPr>
      <w:r w:rsidRPr="00195BC6">
        <w:rPr>
          <w:rFonts w:ascii="Gotham" w:hAnsi="Gotham"/>
          <w:sz w:val="19"/>
          <w:szCs w:val="19"/>
        </w:rPr>
        <w:t xml:space="preserve">El Síndico; </w:t>
      </w:r>
    </w:p>
    <w:p w14:paraId="3A475D0B" w14:textId="77777777" w:rsidR="009B5E39" w:rsidRPr="00195BC6" w:rsidRDefault="009B5E39" w:rsidP="00E5394F">
      <w:pPr>
        <w:pStyle w:val="Default"/>
        <w:numPr>
          <w:ilvl w:val="0"/>
          <w:numId w:val="247"/>
        </w:numPr>
        <w:spacing w:after="80"/>
        <w:ind w:left="1134" w:right="283" w:hanging="850"/>
        <w:jc w:val="both"/>
        <w:rPr>
          <w:rFonts w:ascii="Gotham" w:hAnsi="Gotham"/>
          <w:b/>
          <w:bCs/>
          <w:color w:val="auto"/>
          <w:sz w:val="19"/>
          <w:szCs w:val="19"/>
        </w:rPr>
      </w:pPr>
      <w:r w:rsidRPr="00195BC6">
        <w:rPr>
          <w:rFonts w:ascii="Gotham" w:hAnsi="Gotham"/>
          <w:color w:val="auto"/>
          <w:sz w:val="19"/>
          <w:szCs w:val="19"/>
        </w:rPr>
        <w:t xml:space="preserve">El Consejo: </w:t>
      </w:r>
      <w:r w:rsidRPr="00195BC6">
        <w:rPr>
          <w:rStyle w:val="Textoennegrita"/>
          <w:rFonts w:ascii="Gotham" w:hAnsi="Gotham"/>
          <w:color w:val="auto"/>
          <w:sz w:val="19"/>
          <w:szCs w:val="19"/>
          <w:bdr w:val="none" w:sz="0" w:space="0" w:color="auto" w:frame="1"/>
          <w:shd w:val="clear" w:color="auto" w:fill="FFFFFF"/>
        </w:rPr>
        <w:t>Consejo Municipal de nomenclatura;</w:t>
      </w:r>
    </w:p>
    <w:p w14:paraId="3A475D0C" w14:textId="77777777" w:rsidR="009B5E39" w:rsidRPr="00195BC6" w:rsidRDefault="009B5E39" w:rsidP="00E5394F">
      <w:pPr>
        <w:pStyle w:val="Default"/>
        <w:numPr>
          <w:ilvl w:val="0"/>
          <w:numId w:val="247"/>
        </w:numPr>
        <w:spacing w:after="80"/>
        <w:ind w:left="1134" w:right="283" w:hanging="850"/>
        <w:jc w:val="both"/>
        <w:rPr>
          <w:rFonts w:ascii="Gotham" w:hAnsi="Gotham"/>
          <w:color w:val="auto"/>
          <w:sz w:val="19"/>
          <w:szCs w:val="19"/>
        </w:rPr>
      </w:pPr>
      <w:r w:rsidRPr="00195BC6">
        <w:rPr>
          <w:rFonts w:ascii="Gotham" w:hAnsi="Gotham"/>
          <w:bCs/>
          <w:iCs/>
          <w:color w:val="auto"/>
          <w:sz w:val="19"/>
          <w:szCs w:val="19"/>
        </w:rPr>
        <w:t xml:space="preserve">La </w:t>
      </w:r>
      <w:bookmarkStart w:id="31" w:name="_Hlk146115227"/>
      <w:bookmarkStart w:id="32" w:name="_Hlk172467474"/>
      <w:r w:rsidRPr="00195BC6">
        <w:rPr>
          <w:rFonts w:ascii="Gotham" w:hAnsi="Gotham"/>
          <w:bCs/>
          <w:iCs/>
          <w:color w:val="auto"/>
          <w:sz w:val="19"/>
          <w:szCs w:val="19"/>
        </w:rPr>
        <w:t>Dirección General de Planeación y Desarrollo Urbano Sustentable</w:t>
      </w:r>
      <w:bookmarkEnd w:id="31"/>
      <w:r w:rsidRPr="00195BC6">
        <w:rPr>
          <w:rFonts w:ascii="Gotham" w:hAnsi="Gotham"/>
          <w:bCs/>
          <w:iCs/>
          <w:color w:val="auto"/>
          <w:sz w:val="19"/>
          <w:szCs w:val="19"/>
        </w:rPr>
        <w:t xml:space="preserve">. </w:t>
      </w:r>
    </w:p>
    <w:bookmarkEnd w:id="32"/>
    <w:p w14:paraId="3A475D0D" w14:textId="77777777" w:rsidR="009B5E39" w:rsidRPr="00195BC6" w:rsidRDefault="009B5E39" w:rsidP="00E5394F">
      <w:pPr>
        <w:pStyle w:val="Default"/>
        <w:numPr>
          <w:ilvl w:val="0"/>
          <w:numId w:val="247"/>
        </w:numPr>
        <w:spacing w:after="80"/>
        <w:ind w:left="1134" w:right="283" w:hanging="850"/>
        <w:jc w:val="both"/>
        <w:rPr>
          <w:rFonts w:ascii="Gotham" w:hAnsi="Gotham"/>
          <w:color w:val="auto"/>
          <w:sz w:val="19"/>
          <w:szCs w:val="19"/>
        </w:rPr>
      </w:pPr>
      <w:r w:rsidRPr="00195BC6">
        <w:rPr>
          <w:rFonts w:ascii="Gotham" w:hAnsi="Gotham"/>
          <w:color w:val="auto"/>
          <w:sz w:val="19"/>
          <w:szCs w:val="19"/>
        </w:rPr>
        <w:t>La Dirección General de Obras Publicas del Ayuntamiento;</w:t>
      </w:r>
    </w:p>
    <w:p w14:paraId="3A475D0E" w14:textId="77777777" w:rsidR="009B5E39" w:rsidRPr="00195BC6" w:rsidRDefault="009B5E39" w:rsidP="00E5394F">
      <w:pPr>
        <w:pStyle w:val="Default"/>
        <w:numPr>
          <w:ilvl w:val="0"/>
          <w:numId w:val="247"/>
        </w:numPr>
        <w:ind w:left="1134" w:right="283" w:hanging="850"/>
        <w:jc w:val="both"/>
        <w:rPr>
          <w:rFonts w:ascii="Gotham" w:hAnsi="Gotham"/>
          <w:color w:val="auto"/>
          <w:sz w:val="19"/>
          <w:szCs w:val="19"/>
        </w:rPr>
      </w:pPr>
      <w:r w:rsidRPr="00195BC6">
        <w:rPr>
          <w:rFonts w:ascii="Gotham" w:hAnsi="Gotham"/>
          <w:color w:val="auto"/>
          <w:sz w:val="19"/>
          <w:szCs w:val="19"/>
        </w:rPr>
        <w:t xml:space="preserve">Las demás que los ordenamientos municipales o el Ayuntamiento señalen. </w:t>
      </w:r>
    </w:p>
    <w:p w14:paraId="3A475D0F" w14:textId="77777777" w:rsidR="009B5E39" w:rsidRPr="00195BC6" w:rsidRDefault="009B5E39" w:rsidP="009B5E39">
      <w:pPr>
        <w:pStyle w:val="Default"/>
        <w:ind w:left="284" w:right="283"/>
        <w:rPr>
          <w:rFonts w:ascii="Gotham" w:hAnsi="Gotham"/>
          <w:sz w:val="19"/>
          <w:szCs w:val="19"/>
        </w:rPr>
      </w:pPr>
    </w:p>
    <w:p w14:paraId="3A475D10"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b/>
          <w:bCs/>
          <w:iCs/>
          <w:sz w:val="19"/>
          <w:szCs w:val="19"/>
        </w:rPr>
        <w:t>Artículo 7°.</w:t>
      </w:r>
      <w:r w:rsidR="007C2F8D">
        <w:rPr>
          <w:rFonts w:ascii="Gotham" w:hAnsi="Gotham"/>
          <w:b/>
          <w:bCs/>
          <w:iCs/>
          <w:sz w:val="19"/>
          <w:szCs w:val="19"/>
        </w:rPr>
        <w:t xml:space="preserve"> </w:t>
      </w:r>
      <w:r w:rsidRPr="00195BC6">
        <w:rPr>
          <w:rFonts w:ascii="Gotham" w:hAnsi="Gotham"/>
          <w:sz w:val="19"/>
          <w:szCs w:val="19"/>
        </w:rPr>
        <w:t xml:space="preserve">La Dirección deberá revisar, evaluar, y proponer la nomenclatura de las vías, los espacios públicos, y la numeración oficial del municipio de Tonalá, Jalisco, e informarlo a la </w:t>
      </w:r>
      <w:r w:rsidRPr="00195BC6">
        <w:rPr>
          <w:rFonts w:ascii="Gotham" w:hAnsi="Gotham"/>
          <w:color w:val="auto"/>
          <w:sz w:val="19"/>
          <w:szCs w:val="19"/>
        </w:rPr>
        <w:t>Comisión</w:t>
      </w:r>
      <w:r w:rsidRPr="00195BC6">
        <w:rPr>
          <w:rFonts w:ascii="Gotham" w:hAnsi="Gotham"/>
          <w:color w:val="C00000"/>
          <w:sz w:val="19"/>
          <w:szCs w:val="19"/>
        </w:rPr>
        <w:t xml:space="preserve"> </w:t>
      </w:r>
      <w:r w:rsidRPr="00195BC6">
        <w:rPr>
          <w:rFonts w:ascii="Gotham" w:hAnsi="Gotham"/>
          <w:sz w:val="19"/>
          <w:szCs w:val="19"/>
        </w:rPr>
        <w:t xml:space="preserve">para su dictamen y presentación ante el Pleno del Ayuntamiento. </w:t>
      </w:r>
    </w:p>
    <w:p w14:paraId="3A475D11" w14:textId="77777777" w:rsidR="009B5E39" w:rsidRPr="00195BC6" w:rsidRDefault="009B5E39" w:rsidP="009B5E39">
      <w:pPr>
        <w:pStyle w:val="Default"/>
        <w:ind w:left="284" w:right="283"/>
        <w:jc w:val="both"/>
        <w:rPr>
          <w:rFonts w:ascii="Gotham" w:hAnsi="Gotham"/>
          <w:sz w:val="19"/>
          <w:szCs w:val="19"/>
        </w:rPr>
      </w:pPr>
    </w:p>
    <w:p w14:paraId="3A475D12"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b/>
          <w:sz w:val="19"/>
          <w:szCs w:val="19"/>
        </w:rPr>
        <w:t>Artículo 8°.</w:t>
      </w:r>
      <w:r w:rsidRPr="00195BC6">
        <w:rPr>
          <w:rFonts w:ascii="Gotham" w:hAnsi="Gotham"/>
          <w:sz w:val="19"/>
          <w:szCs w:val="19"/>
        </w:rPr>
        <w:t xml:space="preserve"> Del interés público. La asignación o modificación de la nomenclatura oficial de las vías públicas, espacios públicos y monumentos en el municipio es de interés público y social, y la interpretación del contenido de este ordenamiento debe hacerse bajo esta consideración, de forma integral y concatenada de sus artículos.</w:t>
      </w:r>
    </w:p>
    <w:p w14:paraId="3A475D13"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sz w:val="19"/>
          <w:szCs w:val="19"/>
        </w:rPr>
        <w:t xml:space="preserve"> </w:t>
      </w:r>
    </w:p>
    <w:p w14:paraId="3A475D14"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sz w:val="19"/>
          <w:szCs w:val="19"/>
        </w:rPr>
        <w:t>Toda asignación o modificación de la nomenclatura oficial debe ser integrada en los Planes de Desarrollo Urbano de Centro de Población en el momento de la modificación de aquellos, y hecha pública a través de su publicación en la Gaceta Municipal de Tonalá, mensualmente, si hubiese asignación o modificación.</w:t>
      </w:r>
    </w:p>
    <w:p w14:paraId="3A475D15" w14:textId="77777777" w:rsidR="009B5E39" w:rsidRPr="00195BC6" w:rsidRDefault="009B5E39" w:rsidP="009B5E39">
      <w:pPr>
        <w:pStyle w:val="Default"/>
        <w:ind w:left="284" w:right="283"/>
        <w:rPr>
          <w:rFonts w:ascii="Gotham" w:hAnsi="Gotham"/>
          <w:sz w:val="19"/>
          <w:szCs w:val="19"/>
        </w:rPr>
      </w:pPr>
    </w:p>
    <w:p w14:paraId="3A475D16" w14:textId="77777777" w:rsidR="009B5E39" w:rsidRPr="00195BC6" w:rsidRDefault="009B5E39" w:rsidP="009B5E39">
      <w:pPr>
        <w:pStyle w:val="Default"/>
        <w:ind w:left="284" w:right="283"/>
        <w:jc w:val="both"/>
        <w:rPr>
          <w:rFonts w:ascii="Gotham" w:hAnsi="Gotham"/>
          <w:color w:val="auto"/>
          <w:sz w:val="19"/>
          <w:szCs w:val="19"/>
        </w:rPr>
      </w:pPr>
      <w:bookmarkStart w:id="33" w:name="_Hlk172489172"/>
      <w:r w:rsidRPr="00195BC6">
        <w:rPr>
          <w:rFonts w:ascii="Gotham" w:hAnsi="Gotham"/>
          <w:b/>
          <w:color w:val="auto"/>
          <w:sz w:val="19"/>
          <w:szCs w:val="19"/>
        </w:rPr>
        <w:t xml:space="preserve">Artículo </w:t>
      </w:r>
      <w:bookmarkStart w:id="34" w:name="_Hlk146112278"/>
      <w:r w:rsidRPr="00195BC6">
        <w:rPr>
          <w:rFonts w:ascii="Gotham" w:hAnsi="Gotham"/>
          <w:b/>
          <w:color w:val="auto"/>
          <w:sz w:val="19"/>
          <w:szCs w:val="19"/>
        </w:rPr>
        <w:t>9°</w:t>
      </w:r>
      <w:bookmarkEnd w:id="34"/>
      <w:r w:rsidRPr="00195BC6">
        <w:rPr>
          <w:rFonts w:ascii="Gotham" w:hAnsi="Gotham"/>
          <w:b/>
          <w:color w:val="auto"/>
          <w:sz w:val="19"/>
          <w:szCs w:val="19"/>
        </w:rPr>
        <w:t>.</w:t>
      </w:r>
      <w:r w:rsidRPr="00195BC6">
        <w:rPr>
          <w:rFonts w:ascii="Gotham" w:hAnsi="Gotham"/>
          <w:color w:val="auto"/>
          <w:sz w:val="19"/>
          <w:szCs w:val="19"/>
        </w:rPr>
        <w:t xml:space="preserve"> </w:t>
      </w:r>
      <w:bookmarkEnd w:id="33"/>
      <w:r w:rsidRPr="00195BC6">
        <w:rPr>
          <w:rFonts w:ascii="Gotham" w:hAnsi="Gotham"/>
          <w:color w:val="auto"/>
          <w:sz w:val="19"/>
          <w:szCs w:val="19"/>
        </w:rPr>
        <w:t>De la nulidad de actos. Los actos que se realicen en contravención a lo dispuesto por las leyes municipales aplicables en la materia, el presente ordenamiento y demás normas aplicables, serán nulos de pleno derecho.</w:t>
      </w:r>
    </w:p>
    <w:p w14:paraId="3A475D17" w14:textId="77777777" w:rsidR="009B5E39" w:rsidRDefault="009B5E39" w:rsidP="009B5E39">
      <w:pPr>
        <w:pStyle w:val="Default"/>
        <w:ind w:left="284" w:right="283"/>
        <w:jc w:val="center"/>
        <w:rPr>
          <w:rFonts w:ascii="Gotham" w:hAnsi="Gotham"/>
          <w:color w:val="auto"/>
          <w:sz w:val="19"/>
          <w:szCs w:val="19"/>
        </w:rPr>
      </w:pPr>
    </w:p>
    <w:p w14:paraId="3A475D18" w14:textId="77777777" w:rsidR="009B5E39" w:rsidRPr="00195BC6" w:rsidRDefault="009B5E39" w:rsidP="009B5E39">
      <w:pPr>
        <w:pStyle w:val="Default"/>
        <w:ind w:left="284" w:right="283"/>
        <w:jc w:val="center"/>
        <w:rPr>
          <w:rFonts w:ascii="Gotham" w:hAnsi="Gotham"/>
          <w:color w:val="auto"/>
          <w:sz w:val="19"/>
          <w:szCs w:val="19"/>
        </w:rPr>
      </w:pPr>
    </w:p>
    <w:p w14:paraId="3A475D19" w14:textId="77777777" w:rsidR="009B5E39" w:rsidRPr="00195BC6" w:rsidRDefault="009B5E39" w:rsidP="009B5E39">
      <w:pPr>
        <w:pStyle w:val="Default"/>
        <w:ind w:left="284" w:right="283"/>
        <w:jc w:val="center"/>
        <w:rPr>
          <w:rFonts w:ascii="Gotham" w:hAnsi="Gotham"/>
          <w:b/>
          <w:bCs/>
          <w:iCs/>
          <w:sz w:val="19"/>
          <w:szCs w:val="19"/>
        </w:rPr>
      </w:pPr>
      <w:r w:rsidRPr="00195BC6">
        <w:rPr>
          <w:rFonts w:ascii="Gotham" w:hAnsi="Gotham"/>
          <w:b/>
          <w:bCs/>
          <w:iCs/>
          <w:sz w:val="19"/>
          <w:szCs w:val="19"/>
        </w:rPr>
        <w:t xml:space="preserve">Capítulo II. </w:t>
      </w:r>
    </w:p>
    <w:p w14:paraId="3A475D1A" w14:textId="77777777" w:rsidR="009B5E39" w:rsidRPr="00195BC6" w:rsidRDefault="009B5E39" w:rsidP="009B5E39">
      <w:pPr>
        <w:pStyle w:val="Default"/>
        <w:ind w:left="284" w:right="283"/>
        <w:jc w:val="center"/>
        <w:rPr>
          <w:rFonts w:ascii="Gotham" w:hAnsi="Gotham"/>
          <w:b/>
          <w:bCs/>
          <w:iCs/>
          <w:color w:val="auto"/>
          <w:sz w:val="19"/>
          <w:szCs w:val="19"/>
        </w:rPr>
      </w:pPr>
      <w:r w:rsidRPr="00195BC6">
        <w:rPr>
          <w:rFonts w:ascii="Gotham" w:hAnsi="Gotham"/>
          <w:b/>
          <w:bCs/>
          <w:iCs/>
          <w:color w:val="auto"/>
          <w:sz w:val="19"/>
          <w:szCs w:val="19"/>
        </w:rPr>
        <w:t>Del Consejo Municipal de Nomenclatura</w:t>
      </w:r>
    </w:p>
    <w:p w14:paraId="3A475D1B" w14:textId="77777777" w:rsidR="009B5E39" w:rsidRPr="00195BC6" w:rsidRDefault="009B5E39" w:rsidP="009B5E39">
      <w:pPr>
        <w:pStyle w:val="Default"/>
        <w:ind w:left="284" w:right="283"/>
        <w:jc w:val="center"/>
        <w:rPr>
          <w:rFonts w:ascii="Gotham" w:hAnsi="Gotham"/>
          <w:b/>
          <w:bCs/>
          <w:iCs/>
          <w:color w:val="auto"/>
          <w:sz w:val="19"/>
          <w:szCs w:val="19"/>
        </w:rPr>
      </w:pPr>
    </w:p>
    <w:p w14:paraId="3A475D1C" w14:textId="77777777" w:rsidR="009B5E39" w:rsidRDefault="009B5E39" w:rsidP="009B5E39">
      <w:pPr>
        <w:pStyle w:val="Default"/>
        <w:ind w:left="284" w:right="283"/>
        <w:jc w:val="both"/>
        <w:rPr>
          <w:rFonts w:ascii="Gotham" w:hAnsi="Gotham"/>
          <w:color w:val="auto"/>
          <w:sz w:val="19"/>
          <w:szCs w:val="19"/>
        </w:rPr>
      </w:pPr>
      <w:bookmarkStart w:id="35" w:name="_Hlk172490169"/>
      <w:r w:rsidRPr="00195BC6">
        <w:rPr>
          <w:rFonts w:ascii="Gotham" w:hAnsi="Gotham"/>
          <w:b/>
          <w:color w:val="auto"/>
          <w:sz w:val="19"/>
          <w:szCs w:val="19"/>
        </w:rPr>
        <w:t>Artículo 10°.</w:t>
      </w:r>
      <w:r w:rsidRPr="00195BC6">
        <w:rPr>
          <w:rFonts w:ascii="Gotham" w:hAnsi="Gotham"/>
          <w:color w:val="auto"/>
          <w:sz w:val="19"/>
          <w:szCs w:val="19"/>
        </w:rPr>
        <w:t xml:space="preserve"> </w:t>
      </w:r>
      <w:bookmarkEnd w:id="35"/>
      <w:r w:rsidRPr="00195BC6">
        <w:rPr>
          <w:rFonts w:ascii="Gotham" w:hAnsi="Gotham"/>
          <w:color w:val="auto"/>
          <w:sz w:val="19"/>
          <w:szCs w:val="19"/>
        </w:rPr>
        <w:t xml:space="preserve">El Consejo municipal de nomenclatura, es un órgano que auxiliará a la </w:t>
      </w:r>
      <w:r w:rsidRPr="00195BC6">
        <w:rPr>
          <w:rFonts w:ascii="Gotham" w:hAnsi="Gotham"/>
          <w:bCs/>
          <w:iCs/>
          <w:color w:val="auto"/>
          <w:sz w:val="19"/>
          <w:szCs w:val="19"/>
        </w:rPr>
        <w:t>Dirección General de Planeación y Desarrollo Urbano Sustentable</w:t>
      </w:r>
      <w:r w:rsidRPr="00195BC6">
        <w:rPr>
          <w:rFonts w:ascii="Gotham" w:hAnsi="Gotham"/>
          <w:color w:val="auto"/>
          <w:sz w:val="19"/>
          <w:szCs w:val="19"/>
        </w:rPr>
        <w:t xml:space="preserve"> en la asignación, revisión, y en su caso, modificación del contenido de las placas de nomenclatura oficial y de vías públicas, cuyos elementos estarán previstos en este reglamento El consejo municipal de nomenclatura estará integrado por:</w:t>
      </w:r>
    </w:p>
    <w:p w14:paraId="3A475D1D" w14:textId="77777777" w:rsidR="009B5E39" w:rsidRPr="00195BC6" w:rsidRDefault="009B5E39" w:rsidP="009B5E39">
      <w:pPr>
        <w:pStyle w:val="Default"/>
        <w:ind w:left="284" w:right="283"/>
        <w:jc w:val="both"/>
        <w:rPr>
          <w:rFonts w:ascii="Gotham" w:hAnsi="Gotham"/>
          <w:color w:val="auto"/>
          <w:sz w:val="19"/>
          <w:szCs w:val="19"/>
        </w:rPr>
      </w:pPr>
    </w:p>
    <w:p w14:paraId="3A475D1E"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 xml:space="preserve">Titular de la </w:t>
      </w:r>
      <w:r w:rsidRPr="00195BC6">
        <w:rPr>
          <w:rFonts w:ascii="Gotham" w:hAnsi="Gotham"/>
          <w:bCs/>
          <w:iCs/>
          <w:color w:val="auto"/>
          <w:sz w:val="19"/>
          <w:szCs w:val="19"/>
        </w:rPr>
        <w:t xml:space="preserve">Dirección General de Planeación y Desarrollo Urbano Sustentable. </w:t>
      </w:r>
    </w:p>
    <w:p w14:paraId="3A475D1F"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Titular de la secretaria general.</w:t>
      </w:r>
    </w:p>
    <w:p w14:paraId="3A475D20"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 xml:space="preserve">Titular de la dirección de desarrollo urbano. </w:t>
      </w:r>
    </w:p>
    <w:p w14:paraId="3A475D21"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Titular de la comisión edilicia de desarrollo urbano y transporte.</w:t>
      </w:r>
    </w:p>
    <w:p w14:paraId="3A475D22"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Titular de la comisión edilicia de obras y servicios públicos.</w:t>
      </w:r>
    </w:p>
    <w:p w14:paraId="3A475D23"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Titular de la tesorería municipal.</w:t>
      </w:r>
    </w:p>
    <w:p w14:paraId="3A475D24"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Titular de la dirección de catastro municipal.</w:t>
      </w:r>
    </w:p>
    <w:p w14:paraId="3A475D25"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Titular de la dirección de Planeación, Movilidad y Transporte.</w:t>
      </w:r>
    </w:p>
    <w:p w14:paraId="3A475D26"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Representante del organismo operador de agua.</w:t>
      </w:r>
    </w:p>
    <w:p w14:paraId="3A475D27"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Representante de comisión federal de electricidad.</w:t>
      </w:r>
    </w:p>
    <w:p w14:paraId="3A475D28"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Representante de servicio postal mexicano.</w:t>
      </w:r>
    </w:p>
    <w:p w14:paraId="3A475D29" w14:textId="77777777" w:rsidR="009B5E39" w:rsidRPr="00195BC6" w:rsidRDefault="009B5E39" w:rsidP="00E5394F">
      <w:pPr>
        <w:pStyle w:val="Default"/>
        <w:numPr>
          <w:ilvl w:val="0"/>
          <w:numId w:val="248"/>
        </w:numPr>
        <w:spacing w:after="80"/>
        <w:ind w:left="1134" w:right="283" w:hanging="850"/>
        <w:jc w:val="both"/>
        <w:rPr>
          <w:rFonts w:ascii="Gotham" w:hAnsi="Gotham"/>
          <w:color w:val="FF0000"/>
          <w:sz w:val="19"/>
          <w:szCs w:val="19"/>
        </w:rPr>
      </w:pPr>
      <w:r w:rsidRPr="00195BC6">
        <w:rPr>
          <w:rFonts w:ascii="Gotham" w:hAnsi="Gotham"/>
          <w:color w:val="FF0000"/>
          <w:sz w:val="19"/>
          <w:szCs w:val="19"/>
        </w:rPr>
        <w:t>Cronistas oficiales del municipio de Tonalá, Jalisco.</w:t>
      </w:r>
    </w:p>
    <w:p w14:paraId="3A475D2A" w14:textId="77777777" w:rsidR="009B5E39" w:rsidRPr="00195BC6" w:rsidRDefault="009B5E39" w:rsidP="00E5394F">
      <w:pPr>
        <w:pStyle w:val="Default"/>
        <w:numPr>
          <w:ilvl w:val="0"/>
          <w:numId w:val="248"/>
        </w:numPr>
        <w:spacing w:after="80"/>
        <w:ind w:left="1134" w:right="283" w:hanging="850"/>
        <w:jc w:val="both"/>
        <w:rPr>
          <w:rFonts w:ascii="Gotham" w:hAnsi="Gotham"/>
          <w:color w:val="auto"/>
          <w:sz w:val="19"/>
          <w:szCs w:val="19"/>
        </w:rPr>
      </w:pPr>
      <w:r w:rsidRPr="00195BC6">
        <w:rPr>
          <w:rFonts w:ascii="Gotham" w:hAnsi="Gotham"/>
          <w:color w:val="auto"/>
          <w:sz w:val="19"/>
          <w:szCs w:val="19"/>
        </w:rPr>
        <w:t>Representante del colegio de arquitectos.</w:t>
      </w:r>
    </w:p>
    <w:p w14:paraId="3A475D2B" w14:textId="77777777" w:rsidR="009B5E39" w:rsidRPr="00195BC6" w:rsidRDefault="009B5E39" w:rsidP="00E5394F">
      <w:pPr>
        <w:pStyle w:val="Default"/>
        <w:numPr>
          <w:ilvl w:val="0"/>
          <w:numId w:val="248"/>
        </w:numPr>
        <w:ind w:left="1134" w:right="283" w:hanging="850"/>
        <w:jc w:val="both"/>
        <w:rPr>
          <w:rFonts w:ascii="Gotham" w:hAnsi="Gotham"/>
          <w:color w:val="auto"/>
          <w:sz w:val="19"/>
          <w:szCs w:val="19"/>
        </w:rPr>
      </w:pPr>
      <w:r w:rsidRPr="00195BC6">
        <w:rPr>
          <w:rFonts w:ascii="Gotham" w:hAnsi="Gotham"/>
          <w:color w:val="auto"/>
          <w:sz w:val="19"/>
          <w:szCs w:val="19"/>
        </w:rPr>
        <w:t>Representante del colegio de ingenieros.</w:t>
      </w:r>
    </w:p>
    <w:p w14:paraId="3A475D2C" w14:textId="77777777" w:rsidR="009B5E39" w:rsidRPr="00195BC6" w:rsidRDefault="009B5E39" w:rsidP="009B5E39">
      <w:pPr>
        <w:pStyle w:val="Default"/>
        <w:ind w:left="284" w:right="283"/>
        <w:jc w:val="both"/>
        <w:rPr>
          <w:rFonts w:ascii="Gotham" w:hAnsi="Gotham"/>
          <w:color w:val="auto"/>
          <w:sz w:val="19"/>
          <w:szCs w:val="19"/>
        </w:rPr>
      </w:pPr>
    </w:p>
    <w:p w14:paraId="3A475D2D" w14:textId="77777777" w:rsidR="009B5E39" w:rsidRPr="00195BC6" w:rsidRDefault="009B5E39" w:rsidP="009B5E39">
      <w:pPr>
        <w:pStyle w:val="Default"/>
        <w:ind w:left="284" w:right="283"/>
        <w:jc w:val="both"/>
        <w:rPr>
          <w:rFonts w:ascii="Gotham" w:hAnsi="Gotham"/>
          <w:bCs/>
          <w:iCs/>
          <w:color w:val="auto"/>
          <w:sz w:val="19"/>
          <w:szCs w:val="19"/>
        </w:rPr>
      </w:pPr>
      <w:r w:rsidRPr="00195BC6">
        <w:rPr>
          <w:rFonts w:ascii="Gotham" w:hAnsi="Gotham"/>
          <w:color w:val="auto"/>
          <w:sz w:val="19"/>
          <w:szCs w:val="19"/>
        </w:rPr>
        <w:t xml:space="preserve">Como presidente fungirá el titular de la </w:t>
      </w:r>
      <w:r w:rsidRPr="00195BC6">
        <w:rPr>
          <w:rFonts w:ascii="Gotham" w:hAnsi="Gotham"/>
          <w:bCs/>
          <w:iCs/>
          <w:color w:val="auto"/>
          <w:sz w:val="19"/>
          <w:szCs w:val="19"/>
        </w:rPr>
        <w:t xml:space="preserve">Dirección General de Planeación y Desarrollo Urbano Sustentable </w:t>
      </w:r>
      <w:r w:rsidRPr="00195BC6">
        <w:rPr>
          <w:rFonts w:ascii="Gotham" w:hAnsi="Gotham"/>
          <w:color w:val="auto"/>
          <w:sz w:val="19"/>
          <w:szCs w:val="19"/>
        </w:rPr>
        <w:t xml:space="preserve">quien tendrá el voto de calidad en caso de igualdad numérica en las votaciones y quién tendrá la responsabilidad municipal de la nomenclatura, de conformidad con las disposiciones que establezca el reglamento correspondiente y como secretario técnico fungirá él titular de la </w:t>
      </w:r>
      <w:r w:rsidRPr="00195BC6">
        <w:rPr>
          <w:rFonts w:ascii="Gotham" w:hAnsi="Gotham"/>
          <w:bCs/>
          <w:iCs/>
          <w:color w:val="auto"/>
          <w:sz w:val="19"/>
          <w:szCs w:val="19"/>
        </w:rPr>
        <w:t xml:space="preserve">Dirección General de Planeación y Desarrollo Urbano Sustentable. </w:t>
      </w:r>
    </w:p>
    <w:p w14:paraId="3A475D2E" w14:textId="77777777" w:rsidR="009B5E39" w:rsidRPr="00195BC6" w:rsidRDefault="009B5E39" w:rsidP="009B5E39">
      <w:pPr>
        <w:pStyle w:val="Default"/>
        <w:ind w:left="284" w:right="283"/>
        <w:jc w:val="both"/>
        <w:rPr>
          <w:rFonts w:ascii="Gotham" w:hAnsi="Gotham"/>
          <w:bCs/>
          <w:iCs/>
          <w:color w:val="auto"/>
          <w:sz w:val="19"/>
          <w:szCs w:val="19"/>
        </w:rPr>
      </w:pPr>
    </w:p>
    <w:p w14:paraId="3A475D2F" w14:textId="77777777" w:rsidR="009B5E39" w:rsidRPr="00195BC6" w:rsidRDefault="009B5E39" w:rsidP="009B5E39">
      <w:pPr>
        <w:pStyle w:val="Default"/>
        <w:ind w:left="284" w:right="283"/>
        <w:jc w:val="both"/>
        <w:rPr>
          <w:rFonts w:ascii="Gotham" w:hAnsi="Gotham"/>
          <w:color w:val="auto"/>
          <w:sz w:val="19"/>
          <w:szCs w:val="19"/>
        </w:rPr>
      </w:pPr>
      <w:bookmarkStart w:id="36" w:name="_Hlk172490307"/>
      <w:r w:rsidRPr="00195BC6">
        <w:rPr>
          <w:rFonts w:ascii="Gotham" w:hAnsi="Gotham"/>
          <w:b/>
          <w:color w:val="auto"/>
          <w:sz w:val="19"/>
          <w:szCs w:val="19"/>
        </w:rPr>
        <w:t>Artículo 11°.</w:t>
      </w:r>
      <w:r w:rsidRPr="00195BC6">
        <w:rPr>
          <w:rFonts w:ascii="Gotham" w:hAnsi="Gotham"/>
          <w:color w:val="auto"/>
          <w:sz w:val="19"/>
          <w:szCs w:val="19"/>
        </w:rPr>
        <w:t xml:space="preserve"> </w:t>
      </w:r>
      <w:bookmarkEnd w:id="36"/>
      <w:r w:rsidRPr="00195BC6">
        <w:rPr>
          <w:rFonts w:ascii="Gotham" w:hAnsi="Gotham"/>
          <w:color w:val="auto"/>
          <w:sz w:val="19"/>
          <w:szCs w:val="19"/>
        </w:rPr>
        <w:t>El consejo no podrá emitir por si sola una decisión final, será el ayuntamiento en sesión de cabildo quienes voten para este fin, tomando en cuenta lo analizado, observado y discutido por los integrantes de la</w:t>
      </w:r>
      <w:r w:rsidRPr="00195BC6">
        <w:rPr>
          <w:rFonts w:ascii="Gotham" w:hAnsi="Gotham"/>
          <w:sz w:val="19"/>
          <w:szCs w:val="19"/>
        </w:rPr>
        <w:t xml:space="preserve"> Comisión Edilicia de Nomenclatura del Ayuntamiento de Tonalá</w:t>
      </w:r>
      <w:r w:rsidRPr="00195BC6">
        <w:rPr>
          <w:rFonts w:ascii="Gotham" w:hAnsi="Gotham"/>
          <w:color w:val="auto"/>
          <w:sz w:val="19"/>
          <w:szCs w:val="19"/>
        </w:rPr>
        <w:t>.</w:t>
      </w:r>
    </w:p>
    <w:p w14:paraId="3A475D30" w14:textId="77777777" w:rsidR="009B5E39" w:rsidRDefault="009B5E39" w:rsidP="009B5E39">
      <w:pPr>
        <w:pStyle w:val="Default"/>
        <w:ind w:left="284" w:right="283"/>
        <w:jc w:val="both"/>
        <w:rPr>
          <w:rFonts w:ascii="Gotham" w:hAnsi="Gotham"/>
          <w:color w:val="auto"/>
          <w:sz w:val="19"/>
          <w:szCs w:val="19"/>
        </w:rPr>
      </w:pPr>
    </w:p>
    <w:p w14:paraId="3A475D31"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color w:val="auto"/>
          <w:sz w:val="19"/>
          <w:szCs w:val="19"/>
        </w:rPr>
        <w:t>Los cargos que ejerzan los integrantes del consejo, tendrán el carácter</w:t>
      </w:r>
      <w:r>
        <w:rPr>
          <w:rFonts w:ascii="Gotham" w:hAnsi="Gotham"/>
          <w:color w:val="auto"/>
          <w:sz w:val="19"/>
          <w:szCs w:val="19"/>
        </w:rPr>
        <w:t xml:space="preserve"> </w:t>
      </w:r>
      <w:r w:rsidRPr="00195BC6">
        <w:rPr>
          <w:rFonts w:ascii="Gotham" w:hAnsi="Gotham"/>
          <w:color w:val="auto"/>
          <w:sz w:val="19"/>
          <w:szCs w:val="19"/>
        </w:rPr>
        <w:t>de honorarios y permanecerán en el cargo el tiempo de duración de la</w:t>
      </w:r>
      <w:r>
        <w:rPr>
          <w:rFonts w:ascii="Gotham" w:hAnsi="Gotham"/>
          <w:color w:val="auto"/>
          <w:sz w:val="19"/>
          <w:szCs w:val="19"/>
        </w:rPr>
        <w:t xml:space="preserve"> </w:t>
      </w:r>
      <w:r w:rsidRPr="00195BC6">
        <w:rPr>
          <w:rFonts w:ascii="Gotham" w:hAnsi="Gotham"/>
          <w:color w:val="auto"/>
          <w:sz w:val="19"/>
          <w:szCs w:val="19"/>
        </w:rPr>
        <w:t>administración en turno.</w:t>
      </w:r>
    </w:p>
    <w:p w14:paraId="3A475D32" w14:textId="77777777" w:rsidR="009B5E39" w:rsidRPr="00195BC6" w:rsidRDefault="009B5E39" w:rsidP="009B5E39">
      <w:pPr>
        <w:pStyle w:val="Default"/>
        <w:ind w:left="284" w:right="283"/>
        <w:jc w:val="both"/>
        <w:rPr>
          <w:rFonts w:ascii="Gotham" w:hAnsi="Gotham"/>
          <w:color w:val="auto"/>
          <w:sz w:val="19"/>
          <w:szCs w:val="19"/>
        </w:rPr>
      </w:pPr>
    </w:p>
    <w:p w14:paraId="3A475D33" w14:textId="77777777" w:rsidR="009B5E39" w:rsidRDefault="009B5E39" w:rsidP="009B5E39">
      <w:pPr>
        <w:pStyle w:val="Default"/>
        <w:ind w:left="284" w:right="283"/>
        <w:jc w:val="both"/>
        <w:rPr>
          <w:rFonts w:ascii="Gotham" w:hAnsi="Gotham"/>
          <w:color w:val="auto"/>
          <w:sz w:val="19"/>
          <w:szCs w:val="19"/>
        </w:rPr>
      </w:pPr>
      <w:r w:rsidRPr="00195BC6">
        <w:rPr>
          <w:rFonts w:ascii="Gotham" w:hAnsi="Gotham"/>
          <w:b/>
          <w:color w:val="auto"/>
          <w:sz w:val="19"/>
          <w:szCs w:val="19"/>
        </w:rPr>
        <w:t>Artículo 12°.</w:t>
      </w:r>
      <w:r w:rsidRPr="00195BC6">
        <w:rPr>
          <w:rFonts w:ascii="Gotham" w:hAnsi="Gotham"/>
          <w:color w:val="auto"/>
          <w:sz w:val="19"/>
          <w:szCs w:val="19"/>
        </w:rPr>
        <w:t xml:space="preserve"> El Consejo Municipal de Nomenclatura tendrá las atribuciones siguientes: Establecer y hacer del conocimiento público los criterios para la asignación o modificación de nomenclatura de barrios, colonias, fraccionamientos, parajes, ranchos, ejidos, vías y espacios públicos del municipio, y;</w:t>
      </w:r>
    </w:p>
    <w:p w14:paraId="3A475D34" w14:textId="77777777" w:rsidR="009B5E39" w:rsidRPr="00195BC6" w:rsidRDefault="009B5E39" w:rsidP="009B5E39">
      <w:pPr>
        <w:pStyle w:val="Default"/>
        <w:ind w:left="284" w:right="283"/>
        <w:jc w:val="both"/>
        <w:rPr>
          <w:rFonts w:ascii="Gotham" w:hAnsi="Gotham"/>
          <w:color w:val="auto"/>
          <w:sz w:val="19"/>
          <w:szCs w:val="19"/>
        </w:rPr>
      </w:pPr>
    </w:p>
    <w:p w14:paraId="3A475D35" w14:textId="77777777" w:rsidR="009B5E39" w:rsidRPr="00195BC6" w:rsidRDefault="009B5E39" w:rsidP="00E5394F">
      <w:pPr>
        <w:pStyle w:val="Default"/>
        <w:numPr>
          <w:ilvl w:val="0"/>
          <w:numId w:val="249"/>
        </w:numPr>
        <w:spacing w:after="120"/>
        <w:ind w:left="1134" w:right="283" w:hanging="850"/>
        <w:jc w:val="both"/>
        <w:rPr>
          <w:rFonts w:ascii="Gotham" w:hAnsi="Gotham"/>
          <w:color w:val="auto"/>
          <w:sz w:val="19"/>
          <w:szCs w:val="19"/>
        </w:rPr>
      </w:pPr>
      <w:r w:rsidRPr="00195BC6">
        <w:rPr>
          <w:rFonts w:ascii="Gotham" w:hAnsi="Gotham"/>
          <w:color w:val="auto"/>
          <w:sz w:val="19"/>
          <w:szCs w:val="19"/>
        </w:rPr>
        <w:t>Realizar las investigaciones, encuestas y estudios que se requieran para fundamentar y cumplir sus funciones;</w:t>
      </w:r>
    </w:p>
    <w:p w14:paraId="3A475D36" w14:textId="77777777" w:rsidR="009B5E39" w:rsidRPr="00195BC6" w:rsidRDefault="009B5E39" w:rsidP="00E5394F">
      <w:pPr>
        <w:pStyle w:val="Default"/>
        <w:numPr>
          <w:ilvl w:val="0"/>
          <w:numId w:val="249"/>
        </w:numPr>
        <w:spacing w:after="120"/>
        <w:ind w:left="1134" w:right="283" w:hanging="850"/>
        <w:jc w:val="both"/>
        <w:rPr>
          <w:rFonts w:ascii="Gotham" w:hAnsi="Gotham"/>
          <w:color w:val="auto"/>
          <w:sz w:val="19"/>
          <w:szCs w:val="19"/>
        </w:rPr>
      </w:pPr>
      <w:r w:rsidRPr="00195BC6">
        <w:rPr>
          <w:rFonts w:ascii="Gotham" w:hAnsi="Gotham"/>
          <w:color w:val="auto"/>
          <w:sz w:val="19"/>
          <w:szCs w:val="19"/>
        </w:rPr>
        <w:t>Enviar al ayuntamiento para su revisión y aprobación en su caso, las propuestas de nomenclatura para los barrios, colonias, fraccionamientos, parajes, ranchos, ejidos, vías y espacios públicos de nueva creación o de nuevas zonas en proceso de regularización, así como de modificar la nomenclatura ya establecida en el municipio;</w:t>
      </w:r>
    </w:p>
    <w:p w14:paraId="3A475D37" w14:textId="77777777" w:rsidR="009B5E39" w:rsidRPr="00195BC6" w:rsidRDefault="009B5E39" w:rsidP="00E5394F">
      <w:pPr>
        <w:pStyle w:val="Default"/>
        <w:numPr>
          <w:ilvl w:val="0"/>
          <w:numId w:val="249"/>
        </w:numPr>
        <w:spacing w:after="120"/>
        <w:ind w:left="1134" w:right="283" w:hanging="850"/>
        <w:jc w:val="both"/>
        <w:rPr>
          <w:rFonts w:ascii="Gotham" w:hAnsi="Gotham"/>
          <w:color w:val="auto"/>
          <w:sz w:val="19"/>
          <w:szCs w:val="19"/>
        </w:rPr>
      </w:pPr>
      <w:r w:rsidRPr="00195BC6">
        <w:rPr>
          <w:rFonts w:ascii="Gotham" w:hAnsi="Gotham"/>
          <w:color w:val="auto"/>
          <w:sz w:val="19"/>
          <w:szCs w:val="19"/>
        </w:rPr>
        <w:t>Proponer al ayuntamiento la corrección de la nomenclatura existente en los casos de duplicidad de nombres o denominaciones con escritura y concepción incorrectas, o bien, cuando no existan los fundamentos y méritos necesarios para obtener tal distinción;</w:t>
      </w:r>
    </w:p>
    <w:p w14:paraId="3A475D38" w14:textId="77777777" w:rsidR="009B5E39" w:rsidRPr="00195BC6" w:rsidRDefault="009B5E39" w:rsidP="00E5394F">
      <w:pPr>
        <w:pStyle w:val="Default"/>
        <w:numPr>
          <w:ilvl w:val="0"/>
          <w:numId w:val="249"/>
        </w:numPr>
        <w:spacing w:after="120"/>
        <w:ind w:left="1134" w:right="283" w:hanging="850"/>
        <w:jc w:val="both"/>
        <w:rPr>
          <w:rFonts w:ascii="Gotham" w:hAnsi="Gotham"/>
          <w:color w:val="auto"/>
          <w:sz w:val="19"/>
          <w:szCs w:val="19"/>
        </w:rPr>
      </w:pPr>
      <w:r w:rsidRPr="00195BC6">
        <w:rPr>
          <w:rFonts w:ascii="Gotham" w:hAnsi="Gotham"/>
          <w:color w:val="auto"/>
          <w:sz w:val="19"/>
          <w:szCs w:val="19"/>
        </w:rPr>
        <w:lastRenderedPageBreak/>
        <w:t>Recibir y dar respuesta a las solicitudes de información, aclaración y propuestas que, sobre nomenclatura de los barrios, colonias, fraccionamientos, parajes, ranchos, ejidos, vías y espacios públicos que le presenten;</w:t>
      </w:r>
    </w:p>
    <w:p w14:paraId="3A475D39" w14:textId="77777777" w:rsidR="009B5E39" w:rsidRPr="00195BC6" w:rsidRDefault="009B5E39" w:rsidP="00E5394F">
      <w:pPr>
        <w:pStyle w:val="Default"/>
        <w:numPr>
          <w:ilvl w:val="0"/>
          <w:numId w:val="249"/>
        </w:numPr>
        <w:spacing w:after="120"/>
        <w:ind w:left="1134" w:right="283" w:hanging="850"/>
        <w:jc w:val="both"/>
        <w:rPr>
          <w:rFonts w:ascii="Gotham" w:hAnsi="Gotham"/>
          <w:color w:val="auto"/>
          <w:sz w:val="19"/>
          <w:szCs w:val="19"/>
        </w:rPr>
      </w:pPr>
      <w:r w:rsidRPr="00195BC6">
        <w:rPr>
          <w:rFonts w:ascii="Gotham" w:hAnsi="Gotham"/>
          <w:color w:val="auto"/>
          <w:sz w:val="19"/>
          <w:szCs w:val="19"/>
        </w:rPr>
        <w:t>Vigilar la exacta aplicación del presente reglamento y demás disposiciones que le confiere el presidente municipal, así como las disposiciones jurídicas aplicables y;</w:t>
      </w:r>
    </w:p>
    <w:p w14:paraId="3A475D3A" w14:textId="77777777" w:rsidR="009B5E39" w:rsidRPr="00195BC6" w:rsidRDefault="009B5E39" w:rsidP="00E5394F">
      <w:pPr>
        <w:pStyle w:val="Default"/>
        <w:numPr>
          <w:ilvl w:val="0"/>
          <w:numId w:val="249"/>
        </w:numPr>
        <w:ind w:left="1134" w:right="283" w:hanging="850"/>
        <w:jc w:val="both"/>
        <w:rPr>
          <w:rFonts w:ascii="Gotham" w:hAnsi="Gotham"/>
          <w:color w:val="auto"/>
          <w:sz w:val="19"/>
          <w:szCs w:val="19"/>
        </w:rPr>
      </w:pPr>
      <w:r w:rsidRPr="00195BC6">
        <w:rPr>
          <w:rFonts w:ascii="Gotham" w:hAnsi="Gotham"/>
          <w:color w:val="auto"/>
          <w:sz w:val="19"/>
          <w:szCs w:val="19"/>
        </w:rPr>
        <w:t xml:space="preserve">Los miembros del consejo de nomenclatura que falten por más de tres sesiones consecutivas o seis en un periodo de doce meses injustificadamente serán removidos y sancionados de conformidad a la </w:t>
      </w:r>
      <w:r w:rsidRPr="00195BC6">
        <w:rPr>
          <w:rFonts w:ascii="Gotham" w:hAnsi="Gotham"/>
          <w:sz w:val="19"/>
          <w:szCs w:val="19"/>
        </w:rPr>
        <w:t>Ley de Responsabilidades de los Servidores Públicos del Estado de Jalisco</w:t>
      </w:r>
      <w:r w:rsidRPr="00195BC6">
        <w:rPr>
          <w:rFonts w:ascii="Gotham" w:hAnsi="Gotham"/>
          <w:color w:val="auto"/>
          <w:sz w:val="19"/>
          <w:szCs w:val="19"/>
        </w:rPr>
        <w:t>, y en su lugar el ayuntamiento nombrará nuevos integrantes y</w:t>
      </w:r>
    </w:p>
    <w:p w14:paraId="3A475D3B" w14:textId="77777777" w:rsidR="009B5E39" w:rsidRPr="00195BC6" w:rsidRDefault="009B5E39" w:rsidP="009B5E39">
      <w:pPr>
        <w:pStyle w:val="Default"/>
        <w:ind w:left="284" w:right="283"/>
        <w:jc w:val="both"/>
        <w:rPr>
          <w:rFonts w:ascii="Gotham" w:hAnsi="Gotham"/>
          <w:b/>
          <w:color w:val="auto"/>
          <w:sz w:val="19"/>
          <w:szCs w:val="19"/>
        </w:rPr>
      </w:pPr>
    </w:p>
    <w:p w14:paraId="3A475D3C"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b/>
          <w:color w:val="auto"/>
          <w:sz w:val="19"/>
          <w:szCs w:val="19"/>
        </w:rPr>
        <w:t xml:space="preserve">Artículo 13°. </w:t>
      </w:r>
      <w:r w:rsidRPr="00195BC6">
        <w:rPr>
          <w:rFonts w:ascii="Gotham" w:hAnsi="Gotham"/>
          <w:color w:val="auto"/>
          <w:sz w:val="19"/>
          <w:szCs w:val="19"/>
        </w:rPr>
        <w:t>El consejo tendrá dos tipos de sesiones: ordinarias y extraordinarias. Las sesiones ordinarias se llevarán a cabo una vez al año, El presidente del consejo podrá convocar a sesiones extraordinarias las veces que sean necesarias cuando la importancia de las acciones de nomenclatura a evaluar así lo requiera.</w:t>
      </w:r>
    </w:p>
    <w:p w14:paraId="3A475D3D" w14:textId="77777777" w:rsidR="009B5E39" w:rsidRPr="00195BC6" w:rsidRDefault="009B5E39" w:rsidP="009B5E39">
      <w:pPr>
        <w:pStyle w:val="Default"/>
        <w:ind w:left="284" w:right="283"/>
        <w:jc w:val="both"/>
        <w:rPr>
          <w:rFonts w:ascii="Gotham" w:hAnsi="Gotham"/>
          <w:color w:val="auto"/>
          <w:sz w:val="19"/>
          <w:szCs w:val="19"/>
        </w:rPr>
      </w:pPr>
    </w:p>
    <w:p w14:paraId="3A475D3E" w14:textId="77777777" w:rsidR="009B5E39" w:rsidRPr="00195BC6" w:rsidRDefault="009B5E39" w:rsidP="009B5E39">
      <w:pPr>
        <w:pStyle w:val="Default"/>
        <w:ind w:left="284" w:right="283"/>
        <w:jc w:val="both"/>
        <w:rPr>
          <w:rFonts w:ascii="Gotham" w:hAnsi="Gotham"/>
          <w:color w:val="auto"/>
          <w:sz w:val="19"/>
          <w:szCs w:val="19"/>
        </w:rPr>
      </w:pPr>
      <w:bookmarkStart w:id="37" w:name="_Hlk172490848"/>
      <w:r w:rsidRPr="00195BC6">
        <w:rPr>
          <w:rFonts w:ascii="Gotham" w:hAnsi="Gotham"/>
          <w:b/>
          <w:color w:val="auto"/>
          <w:sz w:val="19"/>
          <w:szCs w:val="19"/>
        </w:rPr>
        <w:t xml:space="preserve">Artículo 14°. </w:t>
      </w:r>
      <w:bookmarkEnd w:id="37"/>
      <w:r w:rsidRPr="00195BC6">
        <w:rPr>
          <w:rFonts w:ascii="Gotham" w:hAnsi="Gotham"/>
          <w:color w:val="auto"/>
          <w:sz w:val="19"/>
          <w:szCs w:val="19"/>
        </w:rPr>
        <w:t>Las convocatorias a las sesiones ordinarias se realizarán por escrito y/o por correo electrónico y con por lo menos 72 horas naturales de antelación a la fecha programada. Las convocatorias a las sesiones extraordinarias se realizarán por escrito y/o por correo electrónico con por lo menos 24 horas naturales de antelación a la fecha señalada para este fin.</w:t>
      </w:r>
    </w:p>
    <w:p w14:paraId="3A475D3F" w14:textId="77777777" w:rsidR="009B5E39" w:rsidRPr="00195BC6" w:rsidRDefault="009B5E39" w:rsidP="009B5E39">
      <w:pPr>
        <w:pStyle w:val="Default"/>
        <w:ind w:left="284" w:right="283"/>
        <w:jc w:val="both"/>
        <w:rPr>
          <w:rFonts w:ascii="Gotham" w:hAnsi="Gotham"/>
          <w:color w:val="auto"/>
          <w:sz w:val="19"/>
          <w:szCs w:val="19"/>
        </w:rPr>
      </w:pPr>
    </w:p>
    <w:p w14:paraId="3A475D40"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b/>
          <w:color w:val="auto"/>
          <w:sz w:val="19"/>
          <w:szCs w:val="19"/>
        </w:rPr>
        <w:t xml:space="preserve">Artículo 15°. </w:t>
      </w:r>
      <w:r w:rsidRPr="00195BC6">
        <w:rPr>
          <w:rFonts w:ascii="Gotham" w:hAnsi="Gotham"/>
          <w:color w:val="auto"/>
          <w:sz w:val="19"/>
          <w:szCs w:val="19"/>
        </w:rPr>
        <w:t>Los miembros del consejo podrán designar en su lugar a un representante suplente tanto para las reuniones ordinarias como para las extraordinarias. Cuando este acuda a la sesión, deberá presentar el oficio de asignación, signado por el titular, y tendrá el derecho que se confiere al titular del área con voz y voto.</w:t>
      </w:r>
    </w:p>
    <w:p w14:paraId="3A475D41" w14:textId="77777777" w:rsidR="009B5E39" w:rsidRPr="00195BC6" w:rsidRDefault="009B5E39" w:rsidP="009B5E39">
      <w:pPr>
        <w:pStyle w:val="Default"/>
        <w:ind w:left="284" w:right="283"/>
        <w:jc w:val="both"/>
        <w:rPr>
          <w:rFonts w:ascii="Gotham" w:hAnsi="Gotham"/>
          <w:color w:val="auto"/>
          <w:sz w:val="19"/>
          <w:szCs w:val="19"/>
        </w:rPr>
      </w:pPr>
    </w:p>
    <w:p w14:paraId="3A475D42"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color w:val="auto"/>
          <w:sz w:val="19"/>
          <w:szCs w:val="19"/>
        </w:rPr>
        <w:t>Asimismo, para la integración de nuevos miembros se recibirán las solicitudes por escrito y serán sometidas a votación en el pleno de la Comisión y aprobadas por mayoría de votos.</w:t>
      </w:r>
    </w:p>
    <w:p w14:paraId="3A475D43" w14:textId="77777777" w:rsidR="009B5E39" w:rsidRPr="00195BC6" w:rsidRDefault="009B5E39" w:rsidP="009B5E39">
      <w:pPr>
        <w:pStyle w:val="Default"/>
        <w:ind w:left="284" w:right="283"/>
        <w:jc w:val="both"/>
        <w:rPr>
          <w:rFonts w:ascii="Gotham" w:hAnsi="Gotham"/>
          <w:b/>
          <w:color w:val="auto"/>
          <w:sz w:val="19"/>
          <w:szCs w:val="19"/>
        </w:rPr>
      </w:pPr>
    </w:p>
    <w:p w14:paraId="3A475D44"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b/>
          <w:color w:val="auto"/>
          <w:sz w:val="19"/>
          <w:szCs w:val="19"/>
        </w:rPr>
        <w:t xml:space="preserve">Artículo 16°. </w:t>
      </w:r>
      <w:r w:rsidRPr="00195BC6">
        <w:rPr>
          <w:rFonts w:ascii="Gotham" w:hAnsi="Gotham"/>
          <w:color w:val="auto"/>
          <w:sz w:val="19"/>
          <w:szCs w:val="19"/>
        </w:rPr>
        <w:t>En las sesiones ordinarias se requiere de una asistencia de cincuenta por ciento más uno de los miembros del consejo para que exista quórum, en caso contrario, se disuelve la sesión y se convoca para una nueva fecha que se considerará como sesión extraordinaria.</w:t>
      </w:r>
    </w:p>
    <w:p w14:paraId="3A475D45" w14:textId="77777777" w:rsidR="009B5E39" w:rsidRPr="00195BC6" w:rsidRDefault="009B5E39" w:rsidP="009B5E39">
      <w:pPr>
        <w:pStyle w:val="Default"/>
        <w:ind w:left="284" w:right="283"/>
        <w:jc w:val="both"/>
        <w:rPr>
          <w:rFonts w:ascii="Gotham" w:hAnsi="Gotham"/>
          <w:color w:val="auto"/>
          <w:sz w:val="19"/>
          <w:szCs w:val="19"/>
        </w:rPr>
      </w:pPr>
    </w:p>
    <w:p w14:paraId="3A475D46"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color w:val="auto"/>
          <w:sz w:val="19"/>
          <w:szCs w:val="19"/>
        </w:rPr>
        <w:t>Las sesiones extraordinarias serán válidas con la cantidad de miembros del consejo que asistan y las resoluciones se tomarán por mayoría de los presentes.</w:t>
      </w:r>
    </w:p>
    <w:p w14:paraId="3A475D47" w14:textId="77777777" w:rsidR="009B5E39" w:rsidRPr="00195BC6" w:rsidRDefault="009B5E39" w:rsidP="009B5E39">
      <w:pPr>
        <w:pStyle w:val="Default"/>
        <w:ind w:left="284" w:right="283"/>
        <w:jc w:val="both"/>
        <w:rPr>
          <w:rFonts w:ascii="Gotham" w:hAnsi="Gotham"/>
          <w:b/>
          <w:color w:val="auto"/>
          <w:sz w:val="19"/>
          <w:szCs w:val="19"/>
        </w:rPr>
      </w:pPr>
    </w:p>
    <w:p w14:paraId="3A475D48"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b/>
          <w:color w:val="auto"/>
          <w:sz w:val="19"/>
          <w:szCs w:val="19"/>
        </w:rPr>
        <w:t xml:space="preserve">Artículo 17°. </w:t>
      </w:r>
      <w:r w:rsidRPr="00195BC6">
        <w:rPr>
          <w:rFonts w:ascii="Gotham" w:hAnsi="Gotham"/>
          <w:color w:val="auto"/>
          <w:sz w:val="19"/>
          <w:szCs w:val="19"/>
        </w:rPr>
        <w:t>El Consejo Municipal deberá revisar cada año la normatividad en materia de nomenclatura.</w:t>
      </w:r>
    </w:p>
    <w:p w14:paraId="3A475D49" w14:textId="77777777" w:rsidR="009B5E39" w:rsidRPr="00195BC6" w:rsidRDefault="009B5E39" w:rsidP="009B5E39">
      <w:pPr>
        <w:pStyle w:val="Default"/>
        <w:ind w:left="284" w:right="283"/>
        <w:jc w:val="both"/>
        <w:rPr>
          <w:rFonts w:ascii="Gotham" w:hAnsi="Gotham"/>
          <w:b/>
          <w:color w:val="auto"/>
          <w:sz w:val="19"/>
          <w:szCs w:val="19"/>
        </w:rPr>
      </w:pPr>
    </w:p>
    <w:p w14:paraId="3A475D4A" w14:textId="77777777" w:rsidR="009B5E39" w:rsidRPr="00195BC6" w:rsidRDefault="009B5E39" w:rsidP="009B5E39">
      <w:pPr>
        <w:pStyle w:val="Default"/>
        <w:ind w:left="284" w:right="283"/>
        <w:jc w:val="both"/>
        <w:rPr>
          <w:rFonts w:ascii="Gotham" w:hAnsi="Gotham"/>
          <w:color w:val="auto"/>
          <w:sz w:val="19"/>
          <w:szCs w:val="19"/>
        </w:rPr>
      </w:pPr>
      <w:r w:rsidRPr="00195BC6">
        <w:rPr>
          <w:rFonts w:ascii="Gotham" w:hAnsi="Gotham"/>
          <w:b/>
          <w:color w:val="auto"/>
          <w:sz w:val="19"/>
          <w:szCs w:val="19"/>
        </w:rPr>
        <w:t xml:space="preserve">Artículo 18°. </w:t>
      </w:r>
      <w:r w:rsidRPr="00195BC6">
        <w:rPr>
          <w:rFonts w:ascii="Gotham" w:hAnsi="Gotham"/>
          <w:color w:val="auto"/>
          <w:sz w:val="19"/>
          <w:szCs w:val="19"/>
        </w:rPr>
        <w:t>el consejo propondrá al ayuntamiento los cambios que estime</w:t>
      </w:r>
      <w:r>
        <w:rPr>
          <w:rFonts w:ascii="Gotham" w:hAnsi="Gotham"/>
          <w:color w:val="auto"/>
          <w:sz w:val="19"/>
          <w:szCs w:val="19"/>
        </w:rPr>
        <w:t xml:space="preserve"> </w:t>
      </w:r>
      <w:r w:rsidRPr="00195BC6">
        <w:rPr>
          <w:rFonts w:ascii="Gotham" w:hAnsi="Gotham"/>
          <w:color w:val="auto"/>
          <w:sz w:val="19"/>
          <w:szCs w:val="19"/>
        </w:rPr>
        <w:t>convenientes al reglamento para su aprobación y publicación procedente.</w:t>
      </w:r>
    </w:p>
    <w:p w14:paraId="3A475D4B" w14:textId="77777777" w:rsidR="009B5E39" w:rsidRDefault="009B5E39" w:rsidP="009B5E39">
      <w:pPr>
        <w:pStyle w:val="Default"/>
        <w:ind w:left="284" w:right="283"/>
        <w:jc w:val="center"/>
        <w:rPr>
          <w:rFonts w:ascii="Gotham" w:hAnsi="Gotham"/>
          <w:b/>
          <w:bCs/>
          <w:sz w:val="19"/>
          <w:szCs w:val="19"/>
        </w:rPr>
      </w:pPr>
    </w:p>
    <w:p w14:paraId="3A475D4C" w14:textId="77777777" w:rsidR="009B5E39" w:rsidRPr="00195BC6" w:rsidRDefault="009B5E39" w:rsidP="009B5E39">
      <w:pPr>
        <w:pStyle w:val="Default"/>
        <w:ind w:left="284" w:right="283"/>
        <w:jc w:val="center"/>
        <w:rPr>
          <w:rFonts w:ascii="Gotham" w:hAnsi="Gotham"/>
          <w:b/>
          <w:bCs/>
          <w:sz w:val="19"/>
          <w:szCs w:val="19"/>
        </w:rPr>
      </w:pPr>
    </w:p>
    <w:p w14:paraId="3A475D4D" w14:textId="77777777" w:rsidR="009B5E39" w:rsidRPr="00195BC6" w:rsidRDefault="009B5E39" w:rsidP="009B5E39">
      <w:pPr>
        <w:pStyle w:val="Default"/>
        <w:ind w:left="284" w:right="283"/>
        <w:jc w:val="center"/>
        <w:rPr>
          <w:rFonts w:ascii="Gotham" w:hAnsi="Gotham"/>
          <w:b/>
          <w:bCs/>
          <w:sz w:val="19"/>
          <w:szCs w:val="19"/>
        </w:rPr>
      </w:pPr>
      <w:r w:rsidRPr="00195BC6">
        <w:rPr>
          <w:rFonts w:ascii="Gotham" w:hAnsi="Gotham"/>
          <w:b/>
          <w:bCs/>
          <w:sz w:val="19"/>
          <w:szCs w:val="19"/>
        </w:rPr>
        <w:t>Capítulo III.</w:t>
      </w:r>
    </w:p>
    <w:p w14:paraId="3A475D4E" w14:textId="77777777" w:rsidR="009B5E39" w:rsidRPr="00195BC6" w:rsidRDefault="009B5E39" w:rsidP="009B5E39">
      <w:pPr>
        <w:pStyle w:val="Default"/>
        <w:ind w:left="284" w:right="283"/>
        <w:jc w:val="center"/>
        <w:rPr>
          <w:rFonts w:ascii="Gotham" w:hAnsi="Gotham"/>
          <w:b/>
          <w:sz w:val="19"/>
          <w:szCs w:val="19"/>
        </w:rPr>
      </w:pPr>
      <w:r w:rsidRPr="00195BC6">
        <w:rPr>
          <w:rFonts w:ascii="Gotham" w:hAnsi="Gotham"/>
          <w:b/>
          <w:sz w:val="19"/>
          <w:szCs w:val="19"/>
        </w:rPr>
        <w:t>De los Criterios para la Asignación o Modificación de la Nomenclatura</w:t>
      </w:r>
    </w:p>
    <w:p w14:paraId="3A475D4F" w14:textId="77777777" w:rsidR="009B5E39" w:rsidRPr="00195BC6" w:rsidRDefault="009B5E39" w:rsidP="009B5E39">
      <w:pPr>
        <w:pStyle w:val="Default"/>
        <w:ind w:left="284" w:right="283"/>
        <w:jc w:val="both"/>
        <w:rPr>
          <w:rFonts w:ascii="Gotham" w:hAnsi="Gotham"/>
          <w:b/>
          <w:sz w:val="19"/>
          <w:szCs w:val="19"/>
        </w:rPr>
      </w:pPr>
    </w:p>
    <w:p w14:paraId="3A475D50"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19°</w:t>
      </w:r>
      <w:r w:rsidRPr="00195BC6">
        <w:rPr>
          <w:rFonts w:ascii="Gotham" w:hAnsi="Gotham" w:cs="Arial"/>
          <w:b/>
          <w:bCs/>
          <w:iCs/>
          <w:sz w:val="19"/>
          <w:szCs w:val="19"/>
        </w:rPr>
        <w:t>.</w:t>
      </w:r>
      <w:r w:rsidRPr="00195BC6">
        <w:rPr>
          <w:rFonts w:ascii="Gotham" w:hAnsi="Gotham" w:cs="Arial"/>
          <w:sz w:val="19"/>
          <w:szCs w:val="19"/>
        </w:rPr>
        <w:t xml:space="preserve"> Para la asignación de la nomenclatura se debe verificar el cumplimiento de los siguientes criterios:</w:t>
      </w:r>
    </w:p>
    <w:p w14:paraId="3A475D51"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52"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Debe promoverse la asignación de nominaciones originales que no entren en conflicto con el resto de los criterios;</w:t>
      </w:r>
    </w:p>
    <w:p w14:paraId="3A475D53"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Debe evitarse la duplicidad de las denominaciones;</w:t>
      </w:r>
    </w:p>
    <w:p w14:paraId="3A475D54"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Los vocablos a utilizar deben ser claros e inconfundibles;</w:t>
      </w:r>
    </w:p>
    <w:p w14:paraId="3A475D55"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lastRenderedPageBreak/>
        <w:t>Debe atenderse a los usos y costumbres populares para la calificación de una denominación;</w:t>
      </w:r>
    </w:p>
    <w:p w14:paraId="3A475D56"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En las vialidades existentes, que están consideradas prolongarse y que así está señalado en los instrumentos de planeación, deberán conservar el mismo nombre en toda su longitud, incluso después de las barreras o accidentes naturales o artificiales que impidan la continuidad de la misma, el uso de una denominación debe ser idéntica en la extensión íntegra de una vialidad cuando su estructura y continuidad así la identifican;</w:t>
      </w:r>
    </w:p>
    <w:p w14:paraId="3A475D57"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Pueden asignarse denominaciones distintas a las vialidades o espacios públicos cuando su estructura o forma describan ángulos rectos en su integración, se encuentren interrumpidas en extensiones tan distantes o que por sus condiciones no exista ya afinidad de continuidad;</w:t>
      </w:r>
    </w:p>
    <w:p w14:paraId="3A475D58"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Cuando se haga uso de vocablos en un idioma distinto al español, a excepción de los nombres propios y cuando se asignen conceptos y vocablos en un idioma distinto al español, estos deben ser inscritos en el idioma y la ortografía de origen, debiendo inscribirse de igual forma la traducción correspondiente al español;</w:t>
      </w:r>
    </w:p>
    <w:p w14:paraId="3A475D59"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Se debe privilegiar el uso de:</w:t>
      </w:r>
    </w:p>
    <w:p w14:paraId="3A475D5A" w14:textId="77777777" w:rsidR="009B5E39" w:rsidRPr="00195BC6" w:rsidRDefault="009B5E39" w:rsidP="00E5394F">
      <w:pPr>
        <w:pStyle w:val="Prrafodelista"/>
        <w:numPr>
          <w:ilvl w:val="1"/>
          <w:numId w:val="239"/>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Conceptos relacionados con los valores sociales, haber realizado un estudio, descubrimiento o actividad, por la cual haya resultado beneficiado el municipio, el estado o el país;</w:t>
      </w:r>
    </w:p>
    <w:p w14:paraId="3A475D5B" w14:textId="77777777" w:rsidR="009B5E39" w:rsidRPr="00195BC6" w:rsidRDefault="009B5E39" w:rsidP="00E5394F">
      <w:pPr>
        <w:pStyle w:val="Prrafodelista"/>
        <w:numPr>
          <w:ilvl w:val="1"/>
          <w:numId w:val="239"/>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Honrar a nuestros héroes nacionales o locales;</w:t>
      </w:r>
    </w:p>
    <w:p w14:paraId="3A475D5C" w14:textId="77777777" w:rsidR="009B5E39" w:rsidRPr="00195BC6" w:rsidRDefault="009B5E39" w:rsidP="00E5394F">
      <w:pPr>
        <w:pStyle w:val="Prrafodelista"/>
        <w:numPr>
          <w:ilvl w:val="1"/>
          <w:numId w:val="239"/>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El nombre de personas cuyos actos les distingan y fuesen merecedores de reconocimiento público, acreditando que han contribuido con un legado notable en el arte, la ciencia, la cultura, el deporte, la política, o son o fueren protagonistas de un acto heroico o sobresaliente, ejemplar para los habitantes de la ciudad haberse distinguido por una labor social trascendente dentro de la comunidad Tonalteca, en el estado o en el país;</w:t>
      </w:r>
    </w:p>
    <w:p w14:paraId="3A475D5D" w14:textId="77777777" w:rsidR="009B5E39" w:rsidRPr="00195BC6" w:rsidRDefault="009B5E39" w:rsidP="00E5394F">
      <w:pPr>
        <w:pStyle w:val="Prrafodelista"/>
        <w:numPr>
          <w:ilvl w:val="1"/>
          <w:numId w:val="239"/>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Conmemorar sucesos históricos importantes, Fechas significativas a nivel nacional, estatal o municipal; y</w:t>
      </w:r>
    </w:p>
    <w:p w14:paraId="3A475D5E" w14:textId="77777777" w:rsidR="009B5E39" w:rsidRPr="00195BC6" w:rsidRDefault="009B5E39" w:rsidP="00E5394F">
      <w:pPr>
        <w:pStyle w:val="Prrafodelista"/>
        <w:numPr>
          <w:ilvl w:val="1"/>
          <w:numId w:val="239"/>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El nombre de lugares con valor histórico, cultural o social relativos al municipio.</w:t>
      </w:r>
    </w:p>
    <w:p w14:paraId="3A475D5F" w14:textId="77777777" w:rsidR="009B5E39" w:rsidRPr="00195BC6" w:rsidRDefault="009B5E39" w:rsidP="00E5394F">
      <w:pPr>
        <w:pStyle w:val="Prrafodelista"/>
        <w:numPr>
          <w:ilvl w:val="0"/>
          <w:numId w:val="238"/>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No se deben asignar:</w:t>
      </w:r>
    </w:p>
    <w:p w14:paraId="3A475D60" w14:textId="77777777" w:rsidR="009B5E39" w:rsidRPr="00195BC6" w:rsidRDefault="009B5E39" w:rsidP="00E5394F">
      <w:pPr>
        <w:pStyle w:val="Prrafodelista"/>
        <w:numPr>
          <w:ilvl w:val="2"/>
          <w:numId w:val="238"/>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Vocablos ofensivos, injuriosos, discriminatorios o hilarantes;</w:t>
      </w:r>
    </w:p>
    <w:p w14:paraId="3A475D61" w14:textId="77777777" w:rsidR="009B5E39" w:rsidRPr="00195BC6" w:rsidRDefault="009B5E39" w:rsidP="00E5394F">
      <w:pPr>
        <w:pStyle w:val="Prrafodelista"/>
        <w:numPr>
          <w:ilvl w:val="2"/>
          <w:numId w:val="238"/>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Nombres de ningún partido político, asociación u organización religiosa, social, de beneficencia, giros o establecimientos comerciales, o similares;</w:t>
      </w:r>
    </w:p>
    <w:p w14:paraId="3A475D62" w14:textId="77777777" w:rsidR="009B5E39" w:rsidRPr="00195BC6" w:rsidRDefault="009B5E39" w:rsidP="00E5394F">
      <w:pPr>
        <w:pStyle w:val="Prrafodelista"/>
        <w:numPr>
          <w:ilvl w:val="2"/>
          <w:numId w:val="238"/>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Nombres de personas vivas, con las excepciones previstas;</w:t>
      </w:r>
    </w:p>
    <w:p w14:paraId="3A475D63" w14:textId="77777777" w:rsidR="009B5E39" w:rsidRPr="00195BC6" w:rsidRDefault="009B5E39" w:rsidP="00E5394F">
      <w:pPr>
        <w:pStyle w:val="Prrafodelista"/>
        <w:numPr>
          <w:ilvl w:val="2"/>
          <w:numId w:val="238"/>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Nombres de personas cuyos actos se encuentren declarados por las autoridades como en perjuicio de la nación;</w:t>
      </w:r>
    </w:p>
    <w:p w14:paraId="3A475D64" w14:textId="77777777" w:rsidR="009B5E39" w:rsidRPr="00195BC6" w:rsidRDefault="009B5E39" w:rsidP="00E5394F">
      <w:pPr>
        <w:pStyle w:val="Prrafodelista"/>
        <w:numPr>
          <w:ilvl w:val="2"/>
          <w:numId w:val="238"/>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Nombres de personas que desempeñen funciones municipales, estatales o federales, ni de sus cónyuges o parientes hasta el cuarto grado durante el periodo de su gestión;</w:t>
      </w:r>
    </w:p>
    <w:p w14:paraId="3A475D65" w14:textId="77777777" w:rsidR="009B5E39" w:rsidRPr="00195BC6" w:rsidRDefault="009B5E39" w:rsidP="00E5394F">
      <w:pPr>
        <w:pStyle w:val="Prrafodelista"/>
        <w:numPr>
          <w:ilvl w:val="2"/>
          <w:numId w:val="238"/>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Un segundo nombre cuando en el caso de las vialidades una es continuidad de otra ya existente; y</w:t>
      </w:r>
    </w:p>
    <w:p w14:paraId="3A475D66" w14:textId="77777777" w:rsidR="009B5E39" w:rsidRPr="00195BC6" w:rsidRDefault="009B5E39" w:rsidP="00E5394F">
      <w:pPr>
        <w:pStyle w:val="Prrafodelista"/>
        <w:numPr>
          <w:ilvl w:val="2"/>
          <w:numId w:val="238"/>
        </w:numPr>
        <w:autoSpaceDE w:val="0"/>
        <w:autoSpaceDN w:val="0"/>
        <w:adjustRightInd w:val="0"/>
        <w:spacing w:after="120"/>
        <w:ind w:left="1701" w:right="283" w:hanging="567"/>
        <w:contextualSpacing w:val="0"/>
        <w:jc w:val="both"/>
        <w:rPr>
          <w:rFonts w:ascii="Gotham" w:hAnsi="Gotham" w:cs="Arial"/>
          <w:sz w:val="19"/>
          <w:szCs w:val="19"/>
        </w:rPr>
      </w:pPr>
      <w:r w:rsidRPr="00195BC6">
        <w:rPr>
          <w:rFonts w:ascii="Gotham" w:hAnsi="Gotham" w:cs="Arial"/>
          <w:sz w:val="19"/>
          <w:szCs w:val="19"/>
        </w:rPr>
        <w:t>Un nombre protegido por los derechos de autor, sin la autorización del titular de los derechos.</w:t>
      </w:r>
    </w:p>
    <w:p w14:paraId="3A475D67" w14:textId="77777777" w:rsidR="009B5E39" w:rsidRPr="00195BC6" w:rsidRDefault="009B5E39" w:rsidP="009B5E39">
      <w:pPr>
        <w:autoSpaceDE w:val="0"/>
        <w:autoSpaceDN w:val="0"/>
        <w:adjustRightInd w:val="0"/>
        <w:spacing w:after="120"/>
        <w:ind w:left="1134" w:right="283"/>
        <w:jc w:val="both"/>
        <w:rPr>
          <w:rFonts w:ascii="Gotham" w:hAnsi="Gotham" w:cs="Arial"/>
          <w:sz w:val="19"/>
          <w:szCs w:val="19"/>
        </w:rPr>
      </w:pPr>
      <w:r w:rsidRPr="00195BC6">
        <w:rPr>
          <w:rFonts w:ascii="Gotham" w:hAnsi="Gotham" w:cs="Arial"/>
          <w:sz w:val="19"/>
          <w:szCs w:val="19"/>
        </w:rPr>
        <w:t xml:space="preserve">En la verificación del cumplimiento de estos criterios, las dependencias municipales podrán auxiliarse de la opinión que emita el </w:t>
      </w:r>
      <w:r w:rsidRPr="00195BC6">
        <w:rPr>
          <w:rFonts w:ascii="Gotham" w:hAnsi="Gotham" w:cs="Arial"/>
          <w:color w:val="C00000"/>
          <w:sz w:val="19"/>
          <w:szCs w:val="19"/>
        </w:rPr>
        <w:t xml:space="preserve">Consejo de la Crónica </w:t>
      </w:r>
      <w:r w:rsidRPr="00195BC6">
        <w:rPr>
          <w:rFonts w:ascii="Gotham" w:hAnsi="Gotham" w:cs="Arial"/>
          <w:sz w:val="19"/>
          <w:szCs w:val="19"/>
        </w:rPr>
        <w:t>y la Historia del Municipio de Tonalá, Jalisco respecto de las propuestas de nomenclatura que se realicen a fin de justificar o motivar la asignación respectiva.</w:t>
      </w:r>
    </w:p>
    <w:p w14:paraId="3A475D68" w14:textId="77777777" w:rsidR="009B5E39" w:rsidRPr="00195BC6" w:rsidRDefault="009B5E39" w:rsidP="009B5E39">
      <w:pPr>
        <w:autoSpaceDE w:val="0"/>
        <w:autoSpaceDN w:val="0"/>
        <w:adjustRightInd w:val="0"/>
        <w:spacing w:after="120"/>
        <w:ind w:left="1134" w:right="283"/>
        <w:jc w:val="both"/>
        <w:rPr>
          <w:rFonts w:ascii="Gotham" w:hAnsi="Gotham" w:cs="Arial"/>
          <w:sz w:val="19"/>
          <w:szCs w:val="19"/>
        </w:rPr>
      </w:pPr>
      <w:r w:rsidRPr="00195BC6">
        <w:rPr>
          <w:rFonts w:ascii="Gotham" w:hAnsi="Gotham" w:cs="Arial"/>
          <w:sz w:val="19"/>
          <w:szCs w:val="19"/>
        </w:rPr>
        <w:lastRenderedPageBreak/>
        <w:t>La elección de una denominación debe atender al orden de prelación siguiente:</w:t>
      </w:r>
    </w:p>
    <w:p w14:paraId="3A475D69" w14:textId="77777777" w:rsidR="009B5E39" w:rsidRPr="00195BC6" w:rsidRDefault="009B5E39" w:rsidP="00E5394F">
      <w:pPr>
        <w:pStyle w:val="Prrafodelista"/>
        <w:numPr>
          <w:ilvl w:val="2"/>
          <w:numId w:val="239"/>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Denominaciones que tengan por objeto la exhortación o impulso al nacionalismo o patriotismo de los mexicanos;</w:t>
      </w:r>
    </w:p>
    <w:p w14:paraId="3A475D6A" w14:textId="77777777" w:rsidR="009B5E39" w:rsidRPr="00195BC6" w:rsidRDefault="009B5E39" w:rsidP="00E5394F">
      <w:pPr>
        <w:pStyle w:val="Prrafodelista"/>
        <w:numPr>
          <w:ilvl w:val="2"/>
          <w:numId w:val="239"/>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Vocablos genéricos relacionados con valores humanos reconocidos; y</w:t>
      </w:r>
    </w:p>
    <w:p w14:paraId="3A475D6B" w14:textId="77777777" w:rsidR="009B5E39" w:rsidRPr="00195BC6" w:rsidRDefault="009B5E39" w:rsidP="00E5394F">
      <w:pPr>
        <w:pStyle w:val="Prrafodelista"/>
        <w:numPr>
          <w:ilvl w:val="2"/>
          <w:numId w:val="239"/>
        </w:numPr>
        <w:autoSpaceDE w:val="0"/>
        <w:autoSpaceDN w:val="0"/>
        <w:adjustRightInd w:val="0"/>
        <w:ind w:left="1134" w:right="283" w:hanging="850"/>
        <w:contextualSpacing w:val="0"/>
        <w:jc w:val="both"/>
        <w:rPr>
          <w:rFonts w:ascii="Gotham" w:hAnsi="Gotham" w:cs="Arial"/>
          <w:sz w:val="19"/>
          <w:szCs w:val="19"/>
        </w:rPr>
      </w:pPr>
      <w:r w:rsidRPr="00195BC6">
        <w:rPr>
          <w:rFonts w:ascii="Gotham" w:hAnsi="Gotham" w:cs="Arial"/>
          <w:sz w:val="19"/>
          <w:szCs w:val="19"/>
        </w:rPr>
        <w:t>Denominaciones con referencias a personas, fechas, acciones o eventos, locales sobre las regionales, estas sobre las estatales, estas sobre las nacionales y estas sobre las extranjeras.</w:t>
      </w:r>
    </w:p>
    <w:p w14:paraId="3A475D6C"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6D"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Las excepciones previstas a la aplicación de estos criterios son solo las dispuestas en el cuerpo del presente ordenamiento.</w:t>
      </w:r>
    </w:p>
    <w:p w14:paraId="3A475D6E"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6F"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 nomenclatura que no cumpla con las disposiciones de este ordenamiento podrá ser modificada a través del procedimiento correspondiente.</w:t>
      </w:r>
    </w:p>
    <w:p w14:paraId="3A475D70" w14:textId="77777777" w:rsidR="009B5E39" w:rsidRDefault="009B5E39" w:rsidP="009B5E39">
      <w:pPr>
        <w:autoSpaceDE w:val="0"/>
        <w:autoSpaceDN w:val="0"/>
        <w:adjustRightInd w:val="0"/>
        <w:ind w:left="284" w:right="283"/>
        <w:jc w:val="both"/>
        <w:rPr>
          <w:rFonts w:ascii="Gotham" w:hAnsi="Gotham" w:cs="Arial"/>
          <w:sz w:val="19"/>
          <w:szCs w:val="19"/>
        </w:rPr>
      </w:pPr>
    </w:p>
    <w:p w14:paraId="3A475D71"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72" w14:textId="77777777" w:rsidR="009B5E39" w:rsidRPr="00195BC6" w:rsidRDefault="009B5E39" w:rsidP="009B5E39">
      <w:pPr>
        <w:autoSpaceDE w:val="0"/>
        <w:autoSpaceDN w:val="0"/>
        <w:adjustRightInd w:val="0"/>
        <w:ind w:left="284" w:right="283"/>
        <w:jc w:val="center"/>
        <w:rPr>
          <w:rFonts w:ascii="Gotham" w:hAnsi="Gotham" w:cs="Arial"/>
          <w:b/>
          <w:sz w:val="19"/>
          <w:szCs w:val="19"/>
        </w:rPr>
      </w:pPr>
      <w:bookmarkStart w:id="38" w:name="_Hlk172491856"/>
      <w:r w:rsidRPr="00195BC6">
        <w:rPr>
          <w:rFonts w:ascii="Gotham" w:hAnsi="Gotham" w:cs="Arial"/>
          <w:b/>
          <w:sz w:val="19"/>
          <w:szCs w:val="19"/>
        </w:rPr>
        <w:t>Capítulo IV.</w:t>
      </w:r>
    </w:p>
    <w:p w14:paraId="3A475D73" w14:textId="77777777" w:rsidR="009B5E39" w:rsidRPr="00195BC6" w:rsidRDefault="009B5E39" w:rsidP="009B5E39">
      <w:pPr>
        <w:autoSpaceDE w:val="0"/>
        <w:autoSpaceDN w:val="0"/>
        <w:adjustRightInd w:val="0"/>
        <w:ind w:left="284" w:right="283"/>
        <w:jc w:val="center"/>
        <w:rPr>
          <w:rFonts w:ascii="Gotham" w:hAnsi="Gotham" w:cs="Arial"/>
          <w:b/>
          <w:bCs/>
          <w:sz w:val="19"/>
          <w:szCs w:val="19"/>
        </w:rPr>
      </w:pPr>
      <w:r w:rsidRPr="00195BC6">
        <w:rPr>
          <w:rFonts w:ascii="Gotham" w:hAnsi="Gotham" w:cs="Arial"/>
          <w:b/>
          <w:bCs/>
          <w:sz w:val="19"/>
          <w:szCs w:val="19"/>
        </w:rPr>
        <w:t>Para la Asignación de la Nomenclatura</w:t>
      </w:r>
    </w:p>
    <w:bookmarkEnd w:id="38"/>
    <w:p w14:paraId="3A475D74" w14:textId="77777777" w:rsidR="009B5E39" w:rsidRPr="00195BC6" w:rsidRDefault="009B5E39" w:rsidP="009B5E39">
      <w:pPr>
        <w:autoSpaceDE w:val="0"/>
        <w:autoSpaceDN w:val="0"/>
        <w:adjustRightInd w:val="0"/>
        <w:ind w:left="284" w:right="283"/>
        <w:rPr>
          <w:rFonts w:ascii="Gotham" w:hAnsi="Gotham" w:cs="Arial"/>
          <w:b/>
          <w:bCs/>
          <w:iCs/>
          <w:color w:val="FF0000"/>
          <w:sz w:val="19"/>
          <w:szCs w:val="19"/>
        </w:rPr>
      </w:pPr>
    </w:p>
    <w:p w14:paraId="3A475D75" w14:textId="77777777" w:rsidR="009B5E39" w:rsidRPr="00195BC6" w:rsidRDefault="009B5E39" w:rsidP="009B5E39">
      <w:pPr>
        <w:autoSpaceDE w:val="0"/>
        <w:autoSpaceDN w:val="0"/>
        <w:adjustRightInd w:val="0"/>
        <w:ind w:left="284" w:right="283"/>
        <w:jc w:val="both"/>
        <w:rPr>
          <w:rFonts w:ascii="Gotham" w:hAnsi="Gotham" w:cs="Arial"/>
          <w:sz w:val="19"/>
          <w:szCs w:val="19"/>
        </w:rPr>
      </w:pPr>
      <w:bookmarkStart w:id="39" w:name="_Hlk146115047"/>
      <w:r w:rsidRPr="00195BC6">
        <w:rPr>
          <w:rFonts w:ascii="Gotham" w:hAnsi="Gotham" w:cs="Arial"/>
          <w:b/>
          <w:bCs/>
          <w:iCs/>
          <w:sz w:val="19"/>
          <w:szCs w:val="19"/>
        </w:rPr>
        <w:t xml:space="preserve">Artículo </w:t>
      </w:r>
      <w:r w:rsidRPr="00195BC6">
        <w:rPr>
          <w:rFonts w:ascii="Gotham" w:hAnsi="Gotham" w:cs="Arial"/>
          <w:b/>
          <w:sz w:val="19"/>
          <w:szCs w:val="19"/>
        </w:rPr>
        <w:t>20°</w:t>
      </w:r>
      <w:r w:rsidRPr="00195BC6">
        <w:rPr>
          <w:rFonts w:ascii="Gotham" w:hAnsi="Gotham" w:cs="Arial"/>
          <w:b/>
          <w:bCs/>
          <w:iCs/>
          <w:sz w:val="19"/>
          <w:szCs w:val="19"/>
        </w:rPr>
        <w:t xml:space="preserve">. </w:t>
      </w:r>
      <w:bookmarkEnd w:id="39"/>
      <w:r w:rsidRPr="00195BC6">
        <w:rPr>
          <w:rFonts w:ascii="Gotham" w:hAnsi="Gotham" w:cs="Arial"/>
          <w:sz w:val="19"/>
          <w:szCs w:val="19"/>
        </w:rPr>
        <w:t>De los momentos de la nominación.</w:t>
      </w:r>
    </w:p>
    <w:p w14:paraId="3A475D76"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 nomenclatura de las vialidades, espacios y monumentos públicos se asignará de manera primaria o se modifica.</w:t>
      </w:r>
    </w:p>
    <w:p w14:paraId="3A475D77"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78"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 nomenclatura se constituye por la denominación o nombre específico que se asigne a las vías públicas, áreas recreativas, parques plazas, monumentos, edificios, colonias y demás zonas, es decir, cualquier espacio abierto de dominio público municipal. La nomenclatura tiene por objeto su identificación.</w:t>
      </w:r>
    </w:p>
    <w:p w14:paraId="3A475D79"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7A"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El criterio preferencial de nomenclatura para una vía pública será de tipo nominal cuyos nombres podrán ser propios o comunes, de preferencia cortos y de fácil pronunciación y escritura. En el caso de nomenclatura con dos o más palabras y/o muchas letras, se decidirá por una de las palabras para identificarla.</w:t>
      </w:r>
    </w:p>
    <w:p w14:paraId="3A475D7B"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7C"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Se protegerá, rescatará, conservará e instalará la nomenclatura que actualmente existe y que forma parte del patrimonio cultural del municipio, preservando los nombres que histórica y culturalmente recuerden lugares geográficos y hechos históricos, así como el de personas que se hayan distinguido por sus actos o servicios prestados al municipio, o que forman parte del crecimiento y desarrollo propio del mismo</w:t>
      </w:r>
    </w:p>
    <w:p w14:paraId="3A475D7D"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7E" w14:textId="77777777" w:rsidR="009B5E39" w:rsidRPr="00195BC6" w:rsidRDefault="009B5E39" w:rsidP="00E5394F">
      <w:pPr>
        <w:pStyle w:val="Prrafodelista"/>
        <w:numPr>
          <w:ilvl w:val="0"/>
          <w:numId w:val="240"/>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La asignación primaria corresponde a la propuesta original prevista para cada caso.</w:t>
      </w:r>
    </w:p>
    <w:p w14:paraId="3A475D7F" w14:textId="77777777" w:rsidR="009B5E39" w:rsidRPr="00195BC6" w:rsidRDefault="009B5E39" w:rsidP="00E5394F">
      <w:pPr>
        <w:pStyle w:val="Prrafodelista"/>
        <w:numPr>
          <w:ilvl w:val="0"/>
          <w:numId w:val="240"/>
        </w:numPr>
        <w:autoSpaceDE w:val="0"/>
        <w:autoSpaceDN w:val="0"/>
        <w:adjustRightInd w:val="0"/>
        <w:ind w:left="1134" w:right="283" w:hanging="850"/>
        <w:contextualSpacing w:val="0"/>
        <w:jc w:val="both"/>
        <w:rPr>
          <w:rFonts w:ascii="Gotham" w:hAnsi="Gotham" w:cs="Arial"/>
          <w:sz w:val="19"/>
          <w:szCs w:val="19"/>
        </w:rPr>
      </w:pPr>
      <w:r w:rsidRPr="00195BC6">
        <w:rPr>
          <w:rFonts w:ascii="Gotham" w:hAnsi="Gotham" w:cs="Arial"/>
          <w:sz w:val="19"/>
          <w:szCs w:val="19"/>
        </w:rPr>
        <w:t>La modificación es el resultado de una propuesta concreta que resulta aprobada en los términos del procedimiento descrito en el presente ordenamiento.</w:t>
      </w:r>
    </w:p>
    <w:p w14:paraId="3A475D80"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81"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 asignación o la modificación de la nomenclatura de las vialidades, espacios y monumentos públicos puede ser, según se señale: por propuesta de quienes estén facultados en los términos de este reglamento o por asignación oficial.</w:t>
      </w:r>
    </w:p>
    <w:p w14:paraId="3A475D82"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D83"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21°</w:t>
      </w:r>
      <w:r w:rsidRPr="00195BC6">
        <w:rPr>
          <w:rFonts w:ascii="Gotham" w:hAnsi="Gotham" w:cs="Arial"/>
          <w:bCs/>
          <w:iCs/>
          <w:sz w:val="19"/>
          <w:szCs w:val="19"/>
        </w:rPr>
        <w:t xml:space="preserve">. </w:t>
      </w:r>
      <w:r w:rsidRPr="00195BC6">
        <w:rPr>
          <w:rFonts w:ascii="Gotham" w:hAnsi="Gotham" w:cs="Arial"/>
          <w:sz w:val="19"/>
          <w:szCs w:val="19"/>
        </w:rPr>
        <w:t>De la asignación primaria de vialidades.</w:t>
      </w:r>
    </w:p>
    <w:p w14:paraId="3A475D84"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85"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 xml:space="preserve">La asignación primaria de la nomenclatura de las vialidades derivada de la propuesta del proyecto definitivo de urbanización que corresponda a la zona urbana implicada y para su aprobación la </w:t>
      </w:r>
      <w:bookmarkStart w:id="40" w:name="_Hlk146540803"/>
      <w:r w:rsidRPr="00195BC6">
        <w:rPr>
          <w:rFonts w:ascii="Gotham" w:hAnsi="Gotham" w:cs="Arial"/>
          <w:bCs/>
          <w:iCs/>
          <w:sz w:val="19"/>
          <w:szCs w:val="19"/>
        </w:rPr>
        <w:t>Dirección General de Planeación y Desarrollo Urbano Sustentable</w:t>
      </w:r>
      <w:r w:rsidRPr="00195BC6">
        <w:rPr>
          <w:rFonts w:ascii="Gotham" w:hAnsi="Gotham" w:cs="Arial"/>
          <w:bCs/>
          <w:sz w:val="19"/>
          <w:szCs w:val="19"/>
        </w:rPr>
        <w:t xml:space="preserve"> </w:t>
      </w:r>
      <w:bookmarkEnd w:id="40"/>
      <w:r w:rsidRPr="00195BC6">
        <w:rPr>
          <w:rFonts w:ascii="Gotham" w:hAnsi="Gotham" w:cs="Arial"/>
          <w:bCs/>
          <w:sz w:val="19"/>
          <w:szCs w:val="19"/>
        </w:rPr>
        <w:t>debe verificar el cumplimiento de los criterios contenidos en el presente ordenamiento, dando cuenta de ello al Presidente Municipal.</w:t>
      </w:r>
    </w:p>
    <w:p w14:paraId="3A475D86" w14:textId="77777777" w:rsidR="009B5E39" w:rsidRPr="00195BC6" w:rsidRDefault="009B5E39" w:rsidP="009B5E39">
      <w:pPr>
        <w:autoSpaceDE w:val="0"/>
        <w:autoSpaceDN w:val="0"/>
        <w:adjustRightInd w:val="0"/>
        <w:ind w:left="284" w:right="283"/>
        <w:jc w:val="both"/>
        <w:rPr>
          <w:rFonts w:ascii="Gotham" w:hAnsi="Gotham" w:cs="Arial"/>
          <w:bCs/>
          <w:sz w:val="19"/>
          <w:szCs w:val="19"/>
        </w:rPr>
      </w:pPr>
    </w:p>
    <w:p w14:paraId="3A475D87"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lastRenderedPageBreak/>
        <w:t xml:space="preserve">La propuesta para la asignación primaria de la nomenclatura en este caso corresponde al urbanizador responsable, frente a la </w:t>
      </w:r>
      <w:r w:rsidRPr="00195BC6">
        <w:rPr>
          <w:rFonts w:ascii="Gotham" w:hAnsi="Gotham" w:cs="Arial"/>
          <w:bCs/>
          <w:iCs/>
          <w:sz w:val="19"/>
          <w:szCs w:val="19"/>
        </w:rPr>
        <w:t xml:space="preserve">Dirección General de Planeación y Desarrollo Urbano Sustentable. </w:t>
      </w:r>
    </w:p>
    <w:p w14:paraId="3A475D88" w14:textId="77777777" w:rsidR="009B5E39" w:rsidRPr="00195BC6" w:rsidRDefault="009B5E39" w:rsidP="009B5E39">
      <w:pPr>
        <w:autoSpaceDE w:val="0"/>
        <w:autoSpaceDN w:val="0"/>
        <w:adjustRightInd w:val="0"/>
        <w:ind w:left="284" w:right="283"/>
        <w:jc w:val="both"/>
        <w:rPr>
          <w:rFonts w:ascii="Gotham" w:hAnsi="Gotham" w:cs="Arial"/>
          <w:b/>
          <w:bCs/>
          <w:iCs/>
          <w:color w:val="FF0000"/>
          <w:sz w:val="19"/>
          <w:szCs w:val="19"/>
        </w:rPr>
      </w:pPr>
    </w:p>
    <w:p w14:paraId="3A475D89"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22°</w:t>
      </w:r>
      <w:r w:rsidRPr="00195BC6">
        <w:rPr>
          <w:rFonts w:ascii="Gotham" w:hAnsi="Gotham" w:cs="Arial"/>
          <w:b/>
          <w:bCs/>
          <w:iCs/>
          <w:sz w:val="19"/>
          <w:szCs w:val="19"/>
        </w:rPr>
        <w:t xml:space="preserve">. </w:t>
      </w:r>
      <w:r w:rsidRPr="00195BC6">
        <w:rPr>
          <w:rFonts w:ascii="Gotham" w:hAnsi="Gotham" w:cs="Arial"/>
          <w:sz w:val="19"/>
          <w:szCs w:val="19"/>
        </w:rPr>
        <w:t>De la asignación primaria de espacios y monumentos públicos.</w:t>
      </w:r>
    </w:p>
    <w:p w14:paraId="3A475D8A"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8B"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 xml:space="preserve">La asignación primaria de la nomenclatura de los espacios y monumentos se lleva a cabo por la Dirección de </w:t>
      </w:r>
      <w:r w:rsidRPr="00195BC6">
        <w:rPr>
          <w:rFonts w:ascii="Gotham" w:hAnsi="Gotham" w:cs="Arial"/>
          <w:bCs/>
          <w:color w:val="ED7D31" w:themeColor="accent2"/>
          <w:sz w:val="19"/>
          <w:szCs w:val="19"/>
        </w:rPr>
        <w:t xml:space="preserve">Patrimonio </w:t>
      </w:r>
      <w:r w:rsidRPr="00195BC6">
        <w:rPr>
          <w:rFonts w:ascii="Gotham" w:hAnsi="Gotham" w:cs="Arial"/>
          <w:bCs/>
          <w:sz w:val="19"/>
          <w:szCs w:val="19"/>
        </w:rPr>
        <w:t>una vez que los bienes involucrados sean de propiedad municipal.</w:t>
      </w:r>
    </w:p>
    <w:p w14:paraId="3A475D8C" w14:textId="77777777" w:rsidR="009B5E39" w:rsidRPr="00195BC6" w:rsidRDefault="009B5E39" w:rsidP="009B5E39">
      <w:pPr>
        <w:autoSpaceDE w:val="0"/>
        <w:autoSpaceDN w:val="0"/>
        <w:adjustRightInd w:val="0"/>
        <w:ind w:left="284" w:right="283"/>
        <w:jc w:val="both"/>
        <w:rPr>
          <w:rFonts w:ascii="Gotham" w:hAnsi="Gotham" w:cs="Arial"/>
          <w:bCs/>
          <w:sz w:val="19"/>
          <w:szCs w:val="19"/>
        </w:rPr>
      </w:pPr>
    </w:p>
    <w:p w14:paraId="3A475D8D"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Cs/>
          <w:sz w:val="19"/>
          <w:szCs w:val="19"/>
        </w:rPr>
        <w:t xml:space="preserve">Para la asignación de una denominación de dichos espacios, la </w:t>
      </w:r>
      <w:bookmarkStart w:id="41" w:name="_Hlk146540707"/>
      <w:r w:rsidRPr="00195BC6">
        <w:rPr>
          <w:rFonts w:ascii="Gotham" w:hAnsi="Gotham" w:cs="Arial"/>
          <w:bCs/>
          <w:sz w:val="19"/>
          <w:szCs w:val="19"/>
        </w:rPr>
        <w:t xml:space="preserve">Dirección de </w:t>
      </w:r>
      <w:r w:rsidRPr="00195BC6">
        <w:rPr>
          <w:rFonts w:ascii="Gotham" w:hAnsi="Gotham" w:cs="Arial"/>
          <w:bCs/>
          <w:color w:val="ED7D31" w:themeColor="accent2"/>
          <w:sz w:val="19"/>
          <w:szCs w:val="19"/>
        </w:rPr>
        <w:t>Patrimonio</w:t>
      </w:r>
      <w:r w:rsidRPr="00195BC6">
        <w:rPr>
          <w:rFonts w:ascii="Gotham" w:hAnsi="Gotham" w:cs="Arial"/>
          <w:bCs/>
          <w:sz w:val="19"/>
          <w:szCs w:val="19"/>
        </w:rPr>
        <w:t xml:space="preserve"> </w:t>
      </w:r>
      <w:bookmarkEnd w:id="41"/>
      <w:r w:rsidRPr="00195BC6">
        <w:rPr>
          <w:rFonts w:ascii="Gotham" w:hAnsi="Gotham" w:cs="Arial"/>
          <w:bCs/>
          <w:sz w:val="19"/>
          <w:szCs w:val="19"/>
        </w:rPr>
        <w:t xml:space="preserve">debe elaborar un dictamen técnico mediante el cual justifique y motive la propuesta de denominación de los mismos, cumpliendo los criterios contenidos en el presente ordenamiento, la cual debe remitir al Presidente Municipal para su aprobación final, de cuyo acto se debe notificar a la Secretaría General. </w:t>
      </w:r>
      <w:r w:rsidRPr="00195BC6">
        <w:rPr>
          <w:rFonts w:ascii="Gotham" w:hAnsi="Gotham" w:cs="Arial"/>
          <w:sz w:val="19"/>
          <w:szCs w:val="19"/>
        </w:rPr>
        <w:t xml:space="preserve">Una vez aprobado por el Honorable Ayuntamiento, la nominación de vías públicas, colonias, fraccionamientos o parques a través del Secretario del Ayuntamiento, se girará la orden a la </w:t>
      </w:r>
      <w:r w:rsidRPr="00195BC6">
        <w:rPr>
          <w:rFonts w:ascii="Gotham" w:hAnsi="Gotham" w:cs="Arial"/>
          <w:bCs/>
          <w:sz w:val="19"/>
          <w:szCs w:val="19"/>
        </w:rPr>
        <w:t xml:space="preserve">Dirección de </w:t>
      </w:r>
      <w:r w:rsidRPr="00195BC6">
        <w:rPr>
          <w:rFonts w:ascii="Gotham" w:hAnsi="Gotham" w:cs="Arial"/>
          <w:bCs/>
          <w:color w:val="ED7D31" w:themeColor="accent2"/>
          <w:sz w:val="19"/>
          <w:szCs w:val="19"/>
        </w:rPr>
        <w:t>Patrimonio</w:t>
      </w:r>
      <w:r w:rsidRPr="00195BC6">
        <w:rPr>
          <w:rFonts w:ascii="Gotham" w:hAnsi="Gotham" w:cs="Arial"/>
          <w:sz w:val="19"/>
          <w:szCs w:val="19"/>
        </w:rPr>
        <w:t>, para que, en un plazo de 60 días naturales, notifique a los vecinos de las modificaciones o asignaciones realizadas, así como a las siguientes Dependencias y prestadores de servicios:</w:t>
      </w:r>
    </w:p>
    <w:p w14:paraId="3A475D8E"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8F" w14:textId="77777777" w:rsidR="009B5E39" w:rsidRPr="00195BC6" w:rsidRDefault="009B5E39" w:rsidP="00E5394F">
      <w:pPr>
        <w:numPr>
          <w:ilvl w:val="0"/>
          <w:numId w:val="244"/>
        </w:numPr>
        <w:autoSpaceDE w:val="0"/>
        <w:autoSpaceDN w:val="0"/>
        <w:adjustRightInd w:val="0"/>
        <w:spacing w:after="80"/>
        <w:ind w:left="1134" w:right="283" w:hanging="850"/>
        <w:jc w:val="both"/>
        <w:rPr>
          <w:rFonts w:ascii="Gotham" w:hAnsi="Gotham" w:cs="Arial"/>
          <w:sz w:val="19"/>
          <w:szCs w:val="19"/>
        </w:rPr>
      </w:pPr>
      <w:r w:rsidRPr="00195BC6">
        <w:rPr>
          <w:rFonts w:ascii="Gotham" w:hAnsi="Gotham" w:cs="Arial"/>
          <w:sz w:val="19"/>
          <w:szCs w:val="19"/>
        </w:rPr>
        <w:t>Registro Público de la Propiedad;</w:t>
      </w:r>
    </w:p>
    <w:p w14:paraId="3A475D90" w14:textId="77777777" w:rsidR="009B5E39" w:rsidRPr="00195BC6" w:rsidRDefault="009B5E39" w:rsidP="00E5394F">
      <w:pPr>
        <w:numPr>
          <w:ilvl w:val="0"/>
          <w:numId w:val="244"/>
        </w:numPr>
        <w:autoSpaceDE w:val="0"/>
        <w:autoSpaceDN w:val="0"/>
        <w:adjustRightInd w:val="0"/>
        <w:spacing w:after="80"/>
        <w:ind w:left="1134" w:right="283" w:hanging="850"/>
        <w:jc w:val="both"/>
        <w:rPr>
          <w:rFonts w:ascii="Gotham" w:hAnsi="Gotham" w:cs="Arial"/>
          <w:sz w:val="19"/>
          <w:szCs w:val="19"/>
        </w:rPr>
      </w:pPr>
      <w:r w:rsidRPr="00195BC6">
        <w:rPr>
          <w:rFonts w:ascii="Gotham" w:hAnsi="Gotham" w:cs="Arial"/>
          <w:sz w:val="19"/>
          <w:szCs w:val="19"/>
        </w:rPr>
        <w:t>Telecomunicaciones;</w:t>
      </w:r>
    </w:p>
    <w:p w14:paraId="3A475D91" w14:textId="77777777" w:rsidR="009B5E39" w:rsidRPr="00195BC6" w:rsidRDefault="009B5E39" w:rsidP="00E5394F">
      <w:pPr>
        <w:numPr>
          <w:ilvl w:val="0"/>
          <w:numId w:val="244"/>
        </w:numPr>
        <w:autoSpaceDE w:val="0"/>
        <w:autoSpaceDN w:val="0"/>
        <w:adjustRightInd w:val="0"/>
        <w:spacing w:after="80"/>
        <w:ind w:left="1134" w:right="283" w:hanging="850"/>
        <w:jc w:val="both"/>
        <w:rPr>
          <w:rFonts w:ascii="Gotham" w:hAnsi="Gotham" w:cs="Arial"/>
          <w:sz w:val="19"/>
          <w:szCs w:val="19"/>
        </w:rPr>
      </w:pPr>
      <w:r w:rsidRPr="00195BC6">
        <w:rPr>
          <w:rFonts w:ascii="Gotham" w:hAnsi="Gotham" w:cs="Arial"/>
          <w:sz w:val="19"/>
          <w:szCs w:val="19"/>
        </w:rPr>
        <w:t>Servicio Postal Mexicano;</w:t>
      </w:r>
    </w:p>
    <w:p w14:paraId="3A475D92" w14:textId="77777777" w:rsidR="009B5E39" w:rsidRPr="00195BC6" w:rsidRDefault="009B5E39" w:rsidP="00E5394F">
      <w:pPr>
        <w:numPr>
          <w:ilvl w:val="0"/>
          <w:numId w:val="244"/>
        </w:numPr>
        <w:autoSpaceDE w:val="0"/>
        <w:autoSpaceDN w:val="0"/>
        <w:adjustRightInd w:val="0"/>
        <w:spacing w:after="80"/>
        <w:ind w:left="1134" w:right="283" w:hanging="850"/>
        <w:jc w:val="both"/>
        <w:rPr>
          <w:rFonts w:ascii="Gotham" w:hAnsi="Gotham" w:cs="Arial"/>
          <w:sz w:val="19"/>
          <w:szCs w:val="19"/>
        </w:rPr>
      </w:pPr>
      <w:r w:rsidRPr="00195BC6">
        <w:rPr>
          <w:rFonts w:ascii="Gotham" w:hAnsi="Gotham" w:cs="Arial"/>
          <w:sz w:val="19"/>
          <w:szCs w:val="19"/>
        </w:rPr>
        <w:t>Sistema Intermunicipal de Agua Potable y Alcantarillado;</w:t>
      </w:r>
    </w:p>
    <w:p w14:paraId="3A475D93" w14:textId="77777777" w:rsidR="009B5E39" w:rsidRPr="00195BC6" w:rsidRDefault="009B5E39" w:rsidP="00E5394F">
      <w:pPr>
        <w:numPr>
          <w:ilvl w:val="0"/>
          <w:numId w:val="244"/>
        </w:numPr>
        <w:autoSpaceDE w:val="0"/>
        <w:autoSpaceDN w:val="0"/>
        <w:adjustRightInd w:val="0"/>
        <w:spacing w:after="80"/>
        <w:ind w:left="1134" w:right="283" w:hanging="850"/>
        <w:jc w:val="both"/>
        <w:rPr>
          <w:rFonts w:ascii="Gotham" w:hAnsi="Gotham" w:cs="Arial"/>
          <w:sz w:val="19"/>
          <w:szCs w:val="19"/>
        </w:rPr>
      </w:pPr>
      <w:r w:rsidRPr="00195BC6">
        <w:rPr>
          <w:rFonts w:ascii="Gotham" w:hAnsi="Gotham" w:cs="Arial"/>
          <w:sz w:val="19"/>
          <w:szCs w:val="19"/>
        </w:rPr>
        <w:t>Comisión Federal de Electricidad;</w:t>
      </w:r>
    </w:p>
    <w:p w14:paraId="3A475D94" w14:textId="77777777" w:rsidR="009B5E39" w:rsidRPr="00195BC6" w:rsidRDefault="009B5E39" w:rsidP="00E5394F">
      <w:pPr>
        <w:numPr>
          <w:ilvl w:val="0"/>
          <w:numId w:val="244"/>
        </w:numPr>
        <w:autoSpaceDE w:val="0"/>
        <w:autoSpaceDN w:val="0"/>
        <w:adjustRightInd w:val="0"/>
        <w:spacing w:after="80"/>
        <w:ind w:left="1134" w:right="283" w:hanging="850"/>
        <w:jc w:val="both"/>
        <w:rPr>
          <w:rFonts w:ascii="Gotham" w:hAnsi="Gotham" w:cs="Arial"/>
          <w:sz w:val="19"/>
          <w:szCs w:val="19"/>
        </w:rPr>
      </w:pPr>
      <w:r w:rsidRPr="00195BC6">
        <w:rPr>
          <w:rFonts w:ascii="Gotham" w:hAnsi="Gotham" w:cs="Arial"/>
          <w:sz w:val="19"/>
          <w:szCs w:val="19"/>
        </w:rPr>
        <w:t xml:space="preserve">Instituto Federal Electoral; </w:t>
      </w:r>
    </w:p>
    <w:p w14:paraId="3A475D95" w14:textId="77777777" w:rsidR="009B5E39" w:rsidRPr="00195BC6" w:rsidRDefault="009B5E39" w:rsidP="00E5394F">
      <w:pPr>
        <w:numPr>
          <w:ilvl w:val="0"/>
          <w:numId w:val="244"/>
        </w:numPr>
        <w:autoSpaceDE w:val="0"/>
        <w:autoSpaceDN w:val="0"/>
        <w:adjustRightInd w:val="0"/>
        <w:spacing w:after="80"/>
        <w:ind w:left="1134" w:right="283" w:hanging="850"/>
        <w:jc w:val="both"/>
        <w:rPr>
          <w:rFonts w:ascii="Gotham" w:hAnsi="Gotham" w:cs="Arial"/>
          <w:sz w:val="19"/>
          <w:szCs w:val="19"/>
        </w:rPr>
      </w:pPr>
      <w:r w:rsidRPr="00195BC6">
        <w:rPr>
          <w:rFonts w:ascii="Gotham" w:hAnsi="Gotham" w:cs="Arial"/>
          <w:sz w:val="19"/>
          <w:szCs w:val="19"/>
        </w:rPr>
        <w:t>Catastro Municipal;</w:t>
      </w:r>
    </w:p>
    <w:p w14:paraId="3A475D96" w14:textId="77777777" w:rsidR="009B5E39" w:rsidRPr="00195BC6" w:rsidRDefault="009B5E39" w:rsidP="00E5394F">
      <w:pPr>
        <w:numPr>
          <w:ilvl w:val="0"/>
          <w:numId w:val="244"/>
        </w:numPr>
        <w:autoSpaceDE w:val="0"/>
        <w:autoSpaceDN w:val="0"/>
        <w:adjustRightInd w:val="0"/>
        <w:spacing w:after="80"/>
        <w:ind w:left="1134" w:right="283" w:hanging="850"/>
        <w:jc w:val="both"/>
        <w:rPr>
          <w:rFonts w:ascii="Gotham" w:hAnsi="Gotham" w:cs="Arial"/>
          <w:sz w:val="19"/>
          <w:szCs w:val="19"/>
        </w:rPr>
      </w:pPr>
      <w:r w:rsidRPr="00195BC6">
        <w:rPr>
          <w:rFonts w:ascii="Gotham" w:hAnsi="Gotham" w:cs="Arial"/>
          <w:bCs/>
          <w:iCs/>
          <w:sz w:val="19"/>
          <w:szCs w:val="19"/>
        </w:rPr>
        <w:t>Dirección General de Planeación y Desarrollo Urbano Sustentable</w:t>
      </w:r>
      <w:r w:rsidRPr="00195BC6">
        <w:rPr>
          <w:rFonts w:ascii="Gotham" w:hAnsi="Gotham" w:cs="Arial"/>
          <w:sz w:val="19"/>
          <w:szCs w:val="19"/>
        </w:rPr>
        <w:t>; y</w:t>
      </w:r>
    </w:p>
    <w:p w14:paraId="3A475D97" w14:textId="77777777" w:rsidR="009B5E39" w:rsidRPr="00195BC6" w:rsidRDefault="009B5E39" w:rsidP="00E5394F">
      <w:pPr>
        <w:numPr>
          <w:ilvl w:val="0"/>
          <w:numId w:val="244"/>
        </w:numPr>
        <w:autoSpaceDE w:val="0"/>
        <w:autoSpaceDN w:val="0"/>
        <w:adjustRightInd w:val="0"/>
        <w:ind w:left="1134" w:right="283" w:hanging="850"/>
        <w:jc w:val="both"/>
        <w:rPr>
          <w:rFonts w:ascii="Gotham" w:hAnsi="Gotham" w:cs="Arial"/>
          <w:sz w:val="19"/>
          <w:szCs w:val="19"/>
        </w:rPr>
      </w:pPr>
      <w:r w:rsidRPr="00195BC6">
        <w:rPr>
          <w:rFonts w:ascii="Gotham" w:hAnsi="Gotham" w:cs="Arial"/>
          <w:sz w:val="19"/>
          <w:szCs w:val="19"/>
        </w:rPr>
        <w:t>Las demás que la Dirección considere prudente.</w:t>
      </w:r>
    </w:p>
    <w:p w14:paraId="3A475D98" w14:textId="77777777" w:rsidR="009B5E39" w:rsidRPr="00195BC6" w:rsidRDefault="009B5E39" w:rsidP="009B5E39">
      <w:pPr>
        <w:autoSpaceDE w:val="0"/>
        <w:autoSpaceDN w:val="0"/>
        <w:adjustRightInd w:val="0"/>
        <w:ind w:left="284" w:right="283"/>
        <w:jc w:val="both"/>
        <w:rPr>
          <w:rFonts w:ascii="Gotham" w:hAnsi="Gotham" w:cs="Arial"/>
          <w:bCs/>
          <w:sz w:val="19"/>
          <w:szCs w:val="19"/>
        </w:rPr>
      </w:pPr>
    </w:p>
    <w:p w14:paraId="3A475D99"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r w:rsidRPr="00195BC6">
        <w:rPr>
          <w:rFonts w:ascii="Gotham" w:hAnsi="Gotham" w:cs="Arial"/>
          <w:sz w:val="19"/>
          <w:szCs w:val="19"/>
        </w:rPr>
        <w:t>En la asignación de la nomenclatura de los espacios públicos, el dictamen técnico</w:t>
      </w:r>
      <w:r w:rsidRPr="00195BC6">
        <w:rPr>
          <w:rFonts w:ascii="Gotham" w:hAnsi="Gotham" w:cs="Arial"/>
          <w:b/>
          <w:bCs/>
          <w:sz w:val="19"/>
          <w:szCs w:val="19"/>
        </w:rPr>
        <w:t xml:space="preserve"> </w:t>
      </w:r>
      <w:r w:rsidRPr="00195BC6">
        <w:rPr>
          <w:rFonts w:ascii="Gotham" w:hAnsi="Gotham" w:cs="Arial"/>
          <w:sz w:val="19"/>
          <w:szCs w:val="19"/>
        </w:rPr>
        <w:t>debe contar con el resultado de la consulta pública que se realice en los términos</w:t>
      </w:r>
      <w:r w:rsidRPr="00195BC6">
        <w:rPr>
          <w:rFonts w:ascii="Gotham" w:hAnsi="Gotham" w:cs="Arial"/>
          <w:b/>
          <w:bCs/>
          <w:sz w:val="19"/>
          <w:szCs w:val="19"/>
        </w:rPr>
        <w:t xml:space="preserve"> </w:t>
      </w:r>
      <w:r w:rsidRPr="00195BC6">
        <w:rPr>
          <w:rFonts w:ascii="Gotham" w:hAnsi="Gotham" w:cs="Arial"/>
          <w:sz w:val="19"/>
          <w:szCs w:val="19"/>
        </w:rPr>
        <w:t>dispuestos en el presente ordenamiento.</w:t>
      </w:r>
    </w:p>
    <w:p w14:paraId="3A475D9A"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D9B" w14:textId="77777777" w:rsidR="009B5E39" w:rsidRPr="00195BC6" w:rsidRDefault="009B5E39" w:rsidP="009B5E39">
      <w:pPr>
        <w:autoSpaceDE w:val="0"/>
        <w:autoSpaceDN w:val="0"/>
        <w:adjustRightInd w:val="0"/>
        <w:ind w:left="284" w:right="283"/>
        <w:jc w:val="both"/>
        <w:rPr>
          <w:rFonts w:ascii="Gotham" w:hAnsi="Gotham" w:cs="Arial"/>
          <w:iCs/>
          <w:sz w:val="19"/>
          <w:szCs w:val="19"/>
        </w:rPr>
      </w:pPr>
      <w:r w:rsidRPr="00195BC6">
        <w:rPr>
          <w:rFonts w:ascii="Gotham" w:hAnsi="Gotham" w:cs="Arial"/>
          <w:bCs/>
          <w:sz w:val="19"/>
          <w:szCs w:val="19"/>
        </w:rPr>
        <w:t xml:space="preserve">En el caso particular de los monumentos, la Dirección de </w:t>
      </w:r>
      <w:r w:rsidRPr="00195BC6">
        <w:rPr>
          <w:rFonts w:ascii="Gotham" w:hAnsi="Gotham" w:cs="Arial"/>
          <w:bCs/>
          <w:color w:val="ED7D31" w:themeColor="accent2"/>
          <w:sz w:val="19"/>
          <w:szCs w:val="19"/>
        </w:rPr>
        <w:t>Patrimonio</w:t>
      </w:r>
      <w:r w:rsidRPr="00195BC6">
        <w:rPr>
          <w:rFonts w:ascii="Gotham" w:hAnsi="Gotham" w:cs="Arial"/>
          <w:bCs/>
          <w:sz w:val="19"/>
          <w:szCs w:val="19"/>
        </w:rPr>
        <w:t xml:space="preserve"> debe señalar en el dictamen si propone la denominación de autor o una distinta que cumpla con los criterios del presente ordenamiento.</w:t>
      </w:r>
      <w:r w:rsidRPr="00195BC6">
        <w:rPr>
          <w:rFonts w:ascii="Gotham" w:hAnsi="Gotham" w:cs="Arial"/>
          <w:b/>
          <w:bCs/>
          <w:sz w:val="19"/>
          <w:szCs w:val="19"/>
        </w:rPr>
        <w:t xml:space="preserve"> </w:t>
      </w:r>
    </w:p>
    <w:p w14:paraId="3A475D9C"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D9D"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23°</w:t>
      </w:r>
      <w:r w:rsidRPr="00195BC6">
        <w:rPr>
          <w:rFonts w:ascii="Gotham" w:hAnsi="Gotham" w:cs="Arial"/>
          <w:b/>
          <w:bCs/>
          <w:iCs/>
          <w:sz w:val="19"/>
          <w:szCs w:val="19"/>
        </w:rPr>
        <w:t xml:space="preserve">. </w:t>
      </w:r>
      <w:r w:rsidRPr="00195BC6">
        <w:rPr>
          <w:rFonts w:ascii="Gotham" w:hAnsi="Gotham" w:cs="Arial"/>
          <w:sz w:val="19"/>
          <w:szCs w:val="19"/>
        </w:rPr>
        <w:t>De la modificación.</w:t>
      </w:r>
    </w:p>
    <w:p w14:paraId="3A475D9E"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9F"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 modificación de la nomenclatura de vialidades, espacios públicos y monumentos, deriva del resultado de un análisis técnico de una propuesta concreta que concluya en determinar la necesidad de llevar a cabo dicho acto.</w:t>
      </w:r>
    </w:p>
    <w:p w14:paraId="3A475DA0"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A1"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 xml:space="preserve">La propuesta de modificación debe ser analizada y dictaminada por la </w:t>
      </w:r>
      <w:r w:rsidRPr="00195BC6">
        <w:rPr>
          <w:rFonts w:ascii="Gotham" w:hAnsi="Gotham" w:cs="Arial"/>
          <w:bCs/>
          <w:iCs/>
          <w:sz w:val="19"/>
          <w:szCs w:val="19"/>
        </w:rPr>
        <w:t>Dirección General de Planeación y Desarrollo Urbano Sustentable</w:t>
      </w:r>
      <w:r w:rsidRPr="00195BC6">
        <w:rPr>
          <w:rFonts w:ascii="Gotham" w:hAnsi="Gotham" w:cs="Arial"/>
          <w:bCs/>
          <w:sz w:val="19"/>
          <w:szCs w:val="19"/>
        </w:rPr>
        <w:t xml:space="preserve"> a quien debe corresponder su asignación primaria, mediante un dictamen técnico en el cual consulte la opinión del </w:t>
      </w:r>
      <w:r w:rsidRPr="00195BC6">
        <w:rPr>
          <w:rFonts w:ascii="Gotham" w:hAnsi="Gotham" w:cs="Arial"/>
          <w:bCs/>
          <w:color w:val="FF0000"/>
          <w:sz w:val="19"/>
          <w:szCs w:val="19"/>
        </w:rPr>
        <w:t xml:space="preserve">Consejo Ciudadano de la Crónica </w:t>
      </w:r>
      <w:r w:rsidRPr="00195BC6">
        <w:rPr>
          <w:rFonts w:ascii="Gotham" w:hAnsi="Gotham" w:cs="Arial"/>
          <w:bCs/>
          <w:sz w:val="19"/>
          <w:szCs w:val="19"/>
        </w:rPr>
        <w:t>y la Historia del Municipio de Tonalá respecto de la propuesta que se realice para tales fines.</w:t>
      </w:r>
    </w:p>
    <w:p w14:paraId="3A475DA2" w14:textId="77777777" w:rsidR="009B5E39" w:rsidRPr="00195BC6" w:rsidRDefault="009B5E39" w:rsidP="009B5E39">
      <w:pPr>
        <w:autoSpaceDE w:val="0"/>
        <w:autoSpaceDN w:val="0"/>
        <w:adjustRightInd w:val="0"/>
        <w:ind w:left="284" w:right="283"/>
        <w:jc w:val="both"/>
        <w:rPr>
          <w:rFonts w:ascii="Gotham" w:hAnsi="Gotham" w:cs="Arial"/>
          <w:bCs/>
          <w:sz w:val="19"/>
          <w:szCs w:val="19"/>
        </w:rPr>
      </w:pPr>
    </w:p>
    <w:p w14:paraId="3A475DA3"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 xml:space="preserve">El dictamen emitido debe ser remitido a la Comisión Edilicia de </w:t>
      </w:r>
      <w:r w:rsidRPr="00195BC6">
        <w:rPr>
          <w:rFonts w:ascii="Gotham" w:hAnsi="Gotham" w:cs="Arial"/>
          <w:bCs/>
          <w:color w:val="FF0000"/>
          <w:sz w:val="19"/>
          <w:szCs w:val="19"/>
        </w:rPr>
        <w:t>Cultura, Espectáculos, Festividades y Conmemoraciones Cívicas</w:t>
      </w:r>
      <w:r w:rsidRPr="00195BC6">
        <w:rPr>
          <w:rFonts w:ascii="Gotham" w:hAnsi="Gotham" w:cs="Arial"/>
          <w:bCs/>
          <w:sz w:val="19"/>
          <w:szCs w:val="19"/>
        </w:rPr>
        <w:t xml:space="preserve"> para su análisis, estudio y, en su caso, aprobación.</w:t>
      </w:r>
    </w:p>
    <w:p w14:paraId="3A475DA4"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r w:rsidRPr="00195BC6">
        <w:rPr>
          <w:rFonts w:ascii="Gotham" w:hAnsi="Gotham" w:cs="Arial"/>
          <w:b/>
          <w:bCs/>
          <w:sz w:val="19"/>
          <w:szCs w:val="19"/>
        </w:rPr>
        <w:t xml:space="preserve"> </w:t>
      </w:r>
    </w:p>
    <w:p w14:paraId="3A475DA5"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24°</w:t>
      </w:r>
      <w:r w:rsidRPr="00195BC6">
        <w:rPr>
          <w:rFonts w:ascii="Gotham" w:hAnsi="Gotham" w:cs="Arial"/>
          <w:b/>
          <w:bCs/>
          <w:iCs/>
          <w:sz w:val="19"/>
          <w:szCs w:val="19"/>
        </w:rPr>
        <w:t xml:space="preserve">. </w:t>
      </w:r>
      <w:r w:rsidRPr="00195BC6">
        <w:rPr>
          <w:rFonts w:ascii="Gotham" w:hAnsi="Gotham" w:cs="Arial"/>
          <w:sz w:val="19"/>
          <w:szCs w:val="19"/>
        </w:rPr>
        <w:t>De los facultados a proponer modificaciones.</w:t>
      </w:r>
    </w:p>
    <w:p w14:paraId="3A475DA6"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A7"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Pueden proponer modificaciones a la nomenclatura aprobada, en todos los casos, los siguientes:</w:t>
      </w:r>
    </w:p>
    <w:p w14:paraId="3A475DA8"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A9" w14:textId="77777777" w:rsidR="009B5E39" w:rsidRPr="00195BC6" w:rsidRDefault="009B5E39" w:rsidP="00E5394F">
      <w:pPr>
        <w:pStyle w:val="Prrafodelista"/>
        <w:numPr>
          <w:ilvl w:val="0"/>
          <w:numId w:val="242"/>
        </w:numPr>
        <w:autoSpaceDE w:val="0"/>
        <w:autoSpaceDN w:val="0"/>
        <w:adjustRightInd w:val="0"/>
        <w:spacing w:after="80"/>
        <w:ind w:left="1134" w:right="283" w:hanging="850"/>
        <w:contextualSpacing w:val="0"/>
        <w:jc w:val="both"/>
        <w:rPr>
          <w:rFonts w:ascii="Gotham" w:hAnsi="Gotham" w:cs="Arial"/>
          <w:bCs/>
          <w:sz w:val="19"/>
          <w:szCs w:val="19"/>
        </w:rPr>
      </w:pPr>
      <w:r w:rsidRPr="00195BC6">
        <w:rPr>
          <w:rFonts w:ascii="Gotham" w:hAnsi="Gotham" w:cs="Arial"/>
          <w:bCs/>
          <w:sz w:val="19"/>
          <w:szCs w:val="19"/>
        </w:rPr>
        <w:t>Los integrantes del Ayuntamiento;</w:t>
      </w:r>
    </w:p>
    <w:p w14:paraId="3A475DAA" w14:textId="77777777" w:rsidR="009B5E39" w:rsidRPr="00195BC6" w:rsidRDefault="009B5E39" w:rsidP="00E5394F">
      <w:pPr>
        <w:pStyle w:val="Prrafodelista"/>
        <w:numPr>
          <w:ilvl w:val="0"/>
          <w:numId w:val="242"/>
        </w:numPr>
        <w:autoSpaceDE w:val="0"/>
        <w:autoSpaceDN w:val="0"/>
        <w:adjustRightInd w:val="0"/>
        <w:spacing w:after="80"/>
        <w:ind w:left="1134" w:right="283" w:hanging="850"/>
        <w:contextualSpacing w:val="0"/>
        <w:jc w:val="both"/>
        <w:rPr>
          <w:rFonts w:ascii="Gotham" w:hAnsi="Gotham" w:cs="Arial"/>
          <w:bCs/>
          <w:sz w:val="19"/>
          <w:szCs w:val="19"/>
        </w:rPr>
      </w:pPr>
      <w:r w:rsidRPr="00195BC6">
        <w:rPr>
          <w:rFonts w:ascii="Gotham" w:hAnsi="Gotham" w:cs="Arial"/>
          <w:bCs/>
          <w:sz w:val="19"/>
          <w:szCs w:val="19"/>
        </w:rPr>
        <w:t xml:space="preserve">La Dirección de </w:t>
      </w:r>
      <w:r w:rsidRPr="00195BC6">
        <w:rPr>
          <w:rFonts w:ascii="Gotham" w:hAnsi="Gotham" w:cs="Arial"/>
          <w:bCs/>
          <w:color w:val="FF0000"/>
          <w:sz w:val="19"/>
          <w:szCs w:val="19"/>
        </w:rPr>
        <w:t>Patrimonio</w:t>
      </w:r>
      <w:r w:rsidRPr="00195BC6">
        <w:rPr>
          <w:rFonts w:ascii="Gotham" w:hAnsi="Gotham" w:cs="Arial"/>
          <w:bCs/>
          <w:sz w:val="19"/>
          <w:szCs w:val="19"/>
        </w:rPr>
        <w:t>; y</w:t>
      </w:r>
    </w:p>
    <w:p w14:paraId="3A475DAB" w14:textId="77777777" w:rsidR="009B5E39" w:rsidRPr="00195BC6" w:rsidRDefault="009B5E39" w:rsidP="00E5394F">
      <w:pPr>
        <w:pStyle w:val="Prrafodelista"/>
        <w:numPr>
          <w:ilvl w:val="0"/>
          <w:numId w:val="242"/>
        </w:numPr>
        <w:autoSpaceDE w:val="0"/>
        <w:autoSpaceDN w:val="0"/>
        <w:adjustRightInd w:val="0"/>
        <w:ind w:left="1134" w:right="283" w:hanging="850"/>
        <w:contextualSpacing w:val="0"/>
        <w:jc w:val="both"/>
        <w:rPr>
          <w:rFonts w:ascii="Gotham" w:hAnsi="Gotham" w:cs="Arial"/>
          <w:bCs/>
          <w:sz w:val="19"/>
          <w:szCs w:val="19"/>
        </w:rPr>
      </w:pPr>
      <w:r w:rsidRPr="00195BC6">
        <w:rPr>
          <w:rFonts w:ascii="Gotham" w:hAnsi="Gotham" w:cs="Arial"/>
          <w:bCs/>
          <w:sz w:val="19"/>
          <w:szCs w:val="19"/>
        </w:rPr>
        <w:t xml:space="preserve">Las Comisiones Edilicias. </w:t>
      </w:r>
    </w:p>
    <w:p w14:paraId="3A475DAC" w14:textId="77777777" w:rsidR="009B5E39" w:rsidRPr="00195BC6" w:rsidRDefault="009B5E39" w:rsidP="009B5E39">
      <w:pPr>
        <w:pStyle w:val="Prrafodelista"/>
        <w:autoSpaceDE w:val="0"/>
        <w:autoSpaceDN w:val="0"/>
        <w:adjustRightInd w:val="0"/>
        <w:ind w:left="284" w:right="283"/>
        <w:contextualSpacing w:val="0"/>
        <w:jc w:val="both"/>
        <w:rPr>
          <w:rFonts w:ascii="Gotham" w:hAnsi="Gotham" w:cs="Arial"/>
          <w:iCs/>
          <w:sz w:val="19"/>
          <w:szCs w:val="19"/>
        </w:rPr>
      </w:pPr>
    </w:p>
    <w:p w14:paraId="3A475DAD"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Los vecinos pueden proponer modificaciones a la nomenclatura de las vialidades,</w:t>
      </w:r>
      <w:r>
        <w:rPr>
          <w:rFonts w:ascii="Gotham" w:hAnsi="Gotham" w:cs="Arial"/>
          <w:sz w:val="19"/>
          <w:szCs w:val="19"/>
        </w:rPr>
        <w:t xml:space="preserve"> </w:t>
      </w:r>
      <w:r w:rsidRPr="00195BC6">
        <w:rPr>
          <w:rFonts w:ascii="Gotham" w:hAnsi="Gotham" w:cs="Arial"/>
          <w:sz w:val="19"/>
          <w:szCs w:val="19"/>
        </w:rPr>
        <w:t>los espacios y monumentos públicos, siempre y cuando:</w:t>
      </w:r>
    </w:p>
    <w:p w14:paraId="3A475DAE"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AF" w14:textId="77777777" w:rsidR="009B5E39" w:rsidRPr="00710B66" w:rsidRDefault="009B5E39" w:rsidP="00E5394F">
      <w:pPr>
        <w:pStyle w:val="Prrafodelista"/>
        <w:numPr>
          <w:ilvl w:val="0"/>
          <w:numId w:val="241"/>
        </w:numPr>
        <w:autoSpaceDE w:val="0"/>
        <w:autoSpaceDN w:val="0"/>
        <w:adjustRightInd w:val="0"/>
        <w:spacing w:after="120"/>
        <w:ind w:left="1134" w:right="283" w:hanging="850"/>
        <w:contextualSpacing w:val="0"/>
        <w:jc w:val="both"/>
        <w:rPr>
          <w:rFonts w:ascii="Gotham" w:hAnsi="Gotham" w:cs="Arial"/>
          <w:sz w:val="19"/>
          <w:szCs w:val="19"/>
        </w:rPr>
      </w:pPr>
      <w:r w:rsidRPr="00710B66">
        <w:rPr>
          <w:rFonts w:ascii="Gotham" w:hAnsi="Gotham" w:cs="Arial"/>
          <w:sz w:val="19"/>
          <w:szCs w:val="19"/>
        </w:rPr>
        <w:t>Se trate del 60% de los vecinos que se puedan ver afectados en la extensión de la vialidad de que se trate; o</w:t>
      </w:r>
    </w:p>
    <w:p w14:paraId="3A475DB0" w14:textId="77777777" w:rsidR="009B5E39" w:rsidRPr="00710B66" w:rsidRDefault="009B5E39" w:rsidP="00E5394F">
      <w:pPr>
        <w:pStyle w:val="Prrafodelista"/>
        <w:numPr>
          <w:ilvl w:val="0"/>
          <w:numId w:val="241"/>
        </w:numPr>
        <w:autoSpaceDE w:val="0"/>
        <w:autoSpaceDN w:val="0"/>
        <w:adjustRightInd w:val="0"/>
        <w:ind w:left="1134" w:right="283" w:hanging="850"/>
        <w:contextualSpacing w:val="0"/>
        <w:jc w:val="both"/>
        <w:rPr>
          <w:rFonts w:ascii="Gotham" w:hAnsi="Gotham" w:cs="Arial"/>
          <w:sz w:val="19"/>
          <w:szCs w:val="19"/>
        </w:rPr>
      </w:pPr>
      <w:r w:rsidRPr="00710B66">
        <w:rPr>
          <w:rFonts w:ascii="Gotham" w:hAnsi="Gotham" w:cs="Arial"/>
          <w:sz w:val="19"/>
          <w:szCs w:val="19"/>
        </w:rPr>
        <w:t>Se trate del 60% de los vecinos que habiten en la colonia donde se ubica el espacio o monumento público de que se trate.</w:t>
      </w:r>
    </w:p>
    <w:p w14:paraId="3A475DB1"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B2" w14:textId="77777777" w:rsidR="009B5E39" w:rsidRDefault="009B5E39" w:rsidP="009B5E39">
      <w:pPr>
        <w:autoSpaceDE w:val="0"/>
        <w:autoSpaceDN w:val="0"/>
        <w:adjustRightInd w:val="0"/>
        <w:ind w:left="284" w:right="283"/>
        <w:jc w:val="both"/>
        <w:rPr>
          <w:rFonts w:ascii="Gotham" w:hAnsi="Gotham" w:cs="Arial"/>
          <w:sz w:val="19"/>
          <w:szCs w:val="19"/>
        </w:rPr>
      </w:pPr>
      <w:bookmarkStart w:id="42" w:name="_Hlk146191245"/>
      <w:r w:rsidRPr="00195BC6">
        <w:rPr>
          <w:rFonts w:ascii="Gotham" w:hAnsi="Gotham" w:cs="Arial"/>
          <w:b/>
          <w:bCs/>
          <w:iCs/>
          <w:sz w:val="19"/>
          <w:szCs w:val="19"/>
        </w:rPr>
        <w:t xml:space="preserve">Artículo </w:t>
      </w:r>
      <w:r w:rsidRPr="00195BC6">
        <w:rPr>
          <w:rFonts w:ascii="Gotham" w:hAnsi="Gotham" w:cs="Arial"/>
          <w:b/>
          <w:sz w:val="19"/>
          <w:szCs w:val="19"/>
        </w:rPr>
        <w:t>25°</w:t>
      </w:r>
      <w:r w:rsidRPr="00195BC6">
        <w:rPr>
          <w:rFonts w:ascii="Gotham" w:hAnsi="Gotham" w:cs="Arial"/>
          <w:b/>
          <w:bCs/>
          <w:iCs/>
          <w:sz w:val="19"/>
          <w:szCs w:val="19"/>
        </w:rPr>
        <w:t xml:space="preserve">. </w:t>
      </w:r>
      <w:bookmarkEnd w:id="42"/>
      <w:r w:rsidRPr="00195BC6">
        <w:rPr>
          <w:rFonts w:ascii="Gotham" w:hAnsi="Gotham" w:cs="Arial"/>
          <w:sz w:val="19"/>
          <w:szCs w:val="19"/>
        </w:rPr>
        <w:t>De las propuestas de modificación.</w:t>
      </w:r>
    </w:p>
    <w:p w14:paraId="3A475DB3"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B4"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Las propuestas de modificación de la nomenclatura provenientes de los integrantes del Ayuntamiento o de las Comisiones Edilicias deben presentarse como iniciativas de decreto ante el Ayuntamiento,</w:t>
      </w:r>
      <w:r w:rsidRPr="00195BC6">
        <w:rPr>
          <w:rFonts w:ascii="Gotham" w:hAnsi="Gotham" w:cs="Arial"/>
          <w:bCs/>
          <w:color w:val="FF0000"/>
          <w:sz w:val="19"/>
          <w:szCs w:val="19"/>
        </w:rPr>
        <w:t xml:space="preserve"> </w:t>
      </w:r>
      <w:r w:rsidRPr="00195BC6">
        <w:rPr>
          <w:rFonts w:ascii="Gotham" w:hAnsi="Gotham" w:cs="Arial"/>
          <w:bCs/>
          <w:sz w:val="19"/>
          <w:szCs w:val="19"/>
        </w:rPr>
        <w:t xml:space="preserve">en el caso de que la propuesta sea generada por la Dirección de </w:t>
      </w:r>
      <w:r w:rsidRPr="00195BC6">
        <w:rPr>
          <w:rFonts w:ascii="Gotham" w:hAnsi="Gotham" w:cs="Arial"/>
          <w:bCs/>
          <w:color w:val="FF0000"/>
          <w:sz w:val="19"/>
          <w:szCs w:val="19"/>
        </w:rPr>
        <w:t>Patrimonio</w:t>
      </w:r>
      <w:r w:rsidRPr="00195BC6">
        <w:rPr>
          <w:rFonts w:ascii="Gotham" w:hAnsi="Gotham" w:cs="Arial"/>
          <w:bCs/>
          <w:sz w:val="19"/>
          <w:szCs w:val="19"/>
        </w:rPr>
        <w:t xml:space="preserve">, esta debe presentarla al Presidente Municipal para luego seguir el proceso descrito. </w:t>
      </w:r>
    </w:p>
    <w:p w14:paraId="3A475DB5"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B6"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Las propuestas de modificación de la nomenclatura provenientes de los vecinos, en los casos que se describen en el artículo 24°, párrafo 2, del presente ordenamiento, deben presentarse ante el Presidente Municipal para que este la eleve al Pleno del Ayuntamiento en los términos del párrafo anterior; en este caso la propuesta vecinal debe contener los siguientes elementos:</w:t>
      </w:r>
    </w:p>
    <w:p w14:paraId="3A475DB7"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B8" w14:textId="77777777" w:rsidR="009B5E39" w:rsidRPr="00195BC6" w:rsidRDefault="009B5E39" w:rsidP="00E5394F">
      <w:pPr>
        <w:pStyle w:val="Prrafodelista"/>
        <w:numPr>
          <w:ilvl w:val="0"/>
          <w:numId w:val="243"/>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Nombre completo, dirección y firma de los vecinos que presentan la propuesta, acompañada de una copia simple por ambas caras de una identificación oficial de cada vecino;</w:t>
      </w:r>
    </w:p>
    <w:p w14:paraId="3A475DB9" w14:textId="77777777" w:rsidR="009B5E39" w:rsidRPr="00195BC6" w:rsidRDefault="009B5E39" w:rsidP="00E5394F">
      <w:pPr>
        <w:pStyle w:val="Prrafodelista"/>
        <w:numPr>
          <w:ilvl w:val="0"/>
          <w:numId w:val="243"/>
        </w:numPr>
        <w:autoSpaceDE w:val="0"/>
        <w:autoSpaceDN w:val="0"/>
        <w:adjustRightInd w:val="0"/>
        <w:spacing w:after="120"/>
        <w:ind w:left="1134" w:right="283" w:hanging="850"/>
        <w:contextualSpacing w:val="0"/>
        <w:jc w:val="both"/>
        <w:rPr>
          <w:rFonts w:ascii="Gotham" w:hAnsi="Gotham" w:cs="Arial"/>
          <w:sz w:val="19"/>
          <w:szCs w:val="19"/>
        </w:rPr>
      </w:pPr>
      <w:r w:rsidRPr="00195BC6">
        <w:rPr>
          <w:rFonts w:ascii="Gotham" w:hAnsi="Gotham" w:cs="Arial"/>
          <w:sz w:val="19"/>
          <w:szCs w:val="19"/>
        </w:rPr>
        <w:t>La propuesta concreta de modificación; y</w:t>
      </w:r>
    </w:p>
    <w:p w14:paraId="3A475DBA" w14:textId="77777777" w:rsidR="009B5E39" w:rsidRPr="00195BC6" w:rsidRDefault="009B5E39" w:rsidP="00E5394F">
      <w:pPr>
        <w:pStyle w:val="Prrafodelista"/>
        <w:numPr>
          <w:ilvl w:val="0"/>
          <w:numId w:val="243"/>
        </w:numPr>
        <w:autoSpaceDE w:val="0"/>
        <w:autoSpaceDN w:val="0"/>
        <w:adjustRightInd w:val="0"/>
        <w:ind w:left="1134" w:right="283" w:hanging="850"/>
        <w:contextualSpacing w:val="0"/>
        <w:jc w:val="both"/>
        <w:rPr>
          <w:rFonts w:ascii="Gotham" w:hAnsi="Gotham" w:cs="Arial"/>
          <w:sz w:val="19"/>
          <w:szCs w:val="19"/>
        </w:rPr>
      </w:pPr>
      <w:r w:rsidRPr="00195BC6">
        <w:rPr>
          <w:rFonts w:ascii="Gotham" w:hAnsi="Gotham" w:cs="Arial"/>
          <w:sz w:val="19"/>
          <w:szCs w:val="19"/>
        </w:rPr>
        <w:t>Exposición de motivos, explicando los fundamentos de la propuesta presentada; En su caso, currículum vitae de la persona cuyo nombre se pretende sea asignado o resumen cuando se trate de hechos históricos.</w:t>
      </w:r>
    </w:p>
    <w:p w14:paraId="3A475DBB"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DBC" w14:textId="77777777" w:rsidR="009B5E39" w:rsidRPr="00195BC6" w:rsidRDefault="009B5E39" w:rsidP="009B5E39">
      <w:pPr>
        <w:autoSpaceDE w:val="0"/>
        <w:autoSpaceDN w:val="0"/>
        <w:adjustRightInd w:val="0"/>
        <w:ind w:left="284" w:right="283"/>
        <w:jc w:val="both"/>
        <w:rPr>
          <w:rFonts w:ascii="Gotham" w:hAnsi="Gotham" w:cs="Arial"/>
          <w:sz w:val="19"/>
          <w:szCs w:val="19"/>
        </w:rPr>
      </w:pPr>
      <w:bookmarkStart w:id="43" w:name="_Hlk146191320"/>
      <w:r w:rsidRPr="00195BC6">
        <w:rPr>
          <w:rFonts w:ascii="Gotham" w:hAnsi="Gotham" w:cs="Arial"/>
          <w:b/>
          <w:bCs/>
          <w:iCs/>
          <w:sz w:val="19"/>
          <w:szCs w:val="19"/>
        </w:rPr>
        <w:t xml:space="preserve">Artículo </w:t>
      </w:r>
      <w:r w:rsidRPr="00195BC6">
        <w:rPr>
          <w:rFonts w:ascii="Gotham" w:hAnsi="Gotham" w:cs="Arial"/>
          <w:b/>
          <w:sz w:val="19"/>
          <w:szCs w:val="19"/>
        </w:rPr>
        <w:t>26°</w:t>
      </w:r>
      <w:r w:rsidRPr="00195BC6">
        <w:rPr>
          <w:rFonts w:ascii="Gotham" w:hAnsi="Gotham" w:cs="Arial"/>
          <w:b/>
          <w:bCs/>
          <w:iCs/>
          <w:sz w:val="19"/>
          <w:szCs w:val="19"/>
        </w:rPr>
        <w:t>.</w:t>
      </w:r>
      <w:r w:rsidRPr="00195BC6">
        <w:rPr>
          <w:rFonts w:ascii="Gotham" w:hAnsi="Gotham" w:cs="Arial"/>
          <w:bCs/>
          <w:iCs/>
          <w:sz w:val="19"/>
          <w:szCs w:val="19"/>
        </w:rPr>
        <w:t xml:space="preserve"> </w:t>
      </w:r>
      <w:bookmarkEnd w:id="43"/>
      <w:r w:rsidRPr="00195BC6">
        <w:rPr>
          <w:rFonts w:ascii="Gotham" w:hAnsi="Gotham" w:cs="Arial"/>
          <w:sz w:val="19"/>
          <w:szCs w:val="19"/>
        </w:rPr>
        <w:t xml:space="preserve">Del registro. </w:t>
      </w:r>
      <w:r w:rsidRPr="00195BC6">
        <w:rPr>
          <w:rFonts w:ascii="Gotham" w:hAnsi="Gotham" w:cs="Arial"/>
          <w:bCs/>
          <w:sz w:val="19"/>
          <w:szCs w:val="19"/>
        </w:rPr>
        <w:t xml:space="preserve">La Dirección de Patrimonio en coordinación con la </w:t>
      </w:r>
      <w:r w:rsidRPr="00195BC6">
        <w:rPr>
          <w:rFonts w:ascii="Gotham" w:hAnsi="Gotham" w:cs="Arial"/>
          <w:bCs/>
          <w:iCs/>
          <w:sz w:val="19"/>
          <w:szCs w:val="19"/>
        </w:rPr>
        <w:t>Dirección General de Planeación y Desarrollo Urbano Sustentable</w:t>
      </w:r>
      <w:r w:rsidRPr="00195BC6">
        <w:rPr>
          <w:rFonts w:ascii="Gotham" w:hAnsi="Gotham" w:cs="Arial"/>
          <w:bCs/>
          <w:sz w:val="19"/>
          <w:szCs w:val="19"/>
        </w:rPr>
        <w:t xml:space="preserve">, debe llevar un registro de la denominación y georreferencia de las vialidades, espacios y monumentos públicos en el territorio municipal, que debe actualizar de momento en momento según se aprueben asignaciones o modificaciones, y su contenido debe integrarse a los planes y programas de desarrollo urbano para su debida publicidad y divulgación. </w:t>
      </w:r>
    </w:p>
    <w:p w14:paraId="3A475DBD" w14:textId="77777777" w:rsidR="009B5E39" w:rsidRPr="00195BC6" w:rsidRDefault="009B5E39" w:rsidP="009B5E39">
      <w:pPr>
        <w:autoSpaceDE w:val="0"/>
        <w:autoSpaceDN w:val="0"/>
        <w:adjustRightInd w:val="0"/>
        <w:ind w:left="284" w:right="283"/>
        <w:jc w:val="both"/>
        <w:rPr>
          <w:rFonts w:ascii="Gotham" w:hAnsi="Gotham" w:cs="Arial"/>
          <w:bCs/>
          <w:sz w:val="19"/>
          <w:szCs w:val="19"/>
        </w:rPr>
      </w:pPr>
    </w:p>
    <w:p w14:paraId="3A475DBE" w14:textId="77777777" w:rsidR="009B5E39" w:rsidRPr="00195BC6" w:rsidRDefault="009B5E39" w:rsidP="009B5E39">
      <w:pPr>
        <w:autoSpaceDE w:val="0"/>
        <w:autoSpaceDN w:val="0"/>
        <w:adjustRightInd w:val="0"/>
        <w:ind w:left="284" w:right="283"/>
        <w:jc w:val="both"/>
        <w:rPr>
          <w:rFonts w:ascii="Gotham" w:hAnsi="Gotham" w:cs="Arial"/>
          <w:iCs/>
          <w:sz w:val="19"/>
          <w:szCs w:val="19"/>
        </w:rPr>
      </w:pPr>
      <w:r w:rsidRPr="00195BC6">
        <w:rPr>
          <w:rFonts w:ascii="Gotham" w:hAnsi="Gotham" w:cs="Arial"/>
          <w:b/>
          <w:bCs/>
          <w:iCs/>
          <w:sz w:val="19"/>
          <w:szCs w:val="19"/>
        </w:rPr>
        <w:t xml:space="preserve">Artículo </w:t>
      </w:r>
      <w:r w:rsidRPr="00195BC6">
        <w:rPr>
          <w:rFonts w:ascii="Gotham" w:hAnsi="Gotham" w:cs="Arial"/>
          <w:b/>
          <w:bCs/>
          <w:sz w:val="19"/>
          <w:szCs w:val="19"/>
        </w:rPr>
        <w:t>27°</w:t>
      </w:r>
      <w:r w:rsidRPr="00195BC6">
        <w:rPr>
          <w:rFonts w:ascii="Gotham" w:hAnsi="Gotham" w:cs="Arial"/>
          <w:b/>
          <w:bCs/>
          <w:iCs/>
          <w:sz w:val="19"/>
          <w:szCs w:val="19"/>
        </w:rPr>
        <w:t>.</w:t>
      </w:r>
      <w:r w:rsidRPr="00195BC6">
        <w:rPr>
          <w:rFonts w:ascii="Gotham" w:hAnsi="Gotham" w:cs="Arial"/>
          <w:iCs/>
          <w:sz w:val="19"/>
          <w:szCs w:val="19"/>
        </w:rPr>
        <w:t xml:space="preserve"> La autoridad competente para la determinación de la nomenclatura de las vías y espacios públicos será del ayuntamiento a través del Comisión de nomenclatura para dar cumplimiento a lo establecido en el presente ordenamiento y tomando en cuenta las siguientes consideraciones:</w:t>
      </w:r>
    </w:p>
    <w:p w14:paraId="3A475DBF" w14:textId="77777777" w:rsidR="009B5E39" w:rsidRPr="00195BC6" w:rsidRDefault="009B5E39" w:rsidP="009B5E39">
      <w:pPr>
        <w:autoSpaceDE w:val="0"/>
        <w:autoSpaceDN w:val="0"/>
        <w:adjustRightInd w:val="0"/>
        <w:ind w:left="284" w:right="283"/>
        <w:jc w:val="both"/>
        <w:rPr>
          <w:rFonts w:ascii="Gotham" w:hAnsi="Gotham" w:cs="Arial"/>
          <w:iCs/>
          <w:sz w:val="19"/>
          <w:szCs w:val="19"/>
        </w:rPr>
      </w:pPr>
    </w:p>
    <w:p w14:paraId="3A475DC0" w14:textId="77777777" w:rsidR="009B5E39" w:rsidRPr="00195BC6" w:rsidRDefault="009B5E39" w:rsidP="00E5394F">
      <w:pPr>
        <w:pStyle w:val="Prrafodelista"/>
        <w:numPr>
          <w:ilvl w:val="0"/>
          <w:numId w:val="250"/>
        </w:numPr>
        <w:autoSpaceDE w:val="0"/>
        <w:autoSpaceDN w:val="0"/>
        <w:adjustRightInd w:val="0"/>
        <w:spacing w:after="120"/>
        <w:ind w:left="1134" w:right="283" w:hanging="850"/>
        <w:contextualSpacing w:val="0"/>
        <w:jc w:val="both"/>
        <w:rPr>
          <w:rFonts w:ascii="Gotham" w:hAnsi="Gotham" w:cs="Arial"/>
          <w:iCs/>
          <w:sz w:val="19"/>
          <w:szCs w:val="19"/>
        </w:rPr>
      </w:pPr>
      <w:r w:rsidRPr="00195BC6">
        <w:rPr>
          <w:rFonts w:ascii="Gotham" w:hAnsi="Gotham" w:cs="Arial"/>
          <w:iCs/>
          <w:sz w:val="19"/>
          <w:szCs w:val="19"/>
        </w:rPr>
        <w:t>Que el nombre propuesto para una vía no se repita con otro espacio público dentro del mismo territorio municipal;</w:t>
      </w:r>
    </w:p>
    <w:p w14:paraId="3A475DC1" w14:textId="77777777" w:rsidR="009B5E39" w:rsidRPr="00195BC6" w:rsidRDefault="009B5E39" w:rsidP="00E5394F">
      <w:pPr>
        <w:pStyle w:val="Prrafodelista"/>
        <w:numPr>
          <w:ilvl w:val="0"/>
          <w:numId w:val="250"/>
        </w:numPr>
        <w:autoSpaceDE w:val="0"/>
        <w:autoSpaceDN w:val="0"/>
        <w:adjustRightInd w:val="0"/>
        <w:spacing w:after="120"/>
        <w:ind w:left="1134" w:right="283" w:hanging="850"/>
        <w:contextualSpacing w:val="0"/>
        <w:jc w:val="both"/>
        <w:rPr>
          <w:rFonts w:ascii="Gotham" w:hAnsi="Gotham" w:cs="Arial"/>
          <w:iCs/>
          <w:sz w:val="19"/>
          <w:szCs w:val="19"/>
        </w:rPr>
      </w:pPr>
      <w:r w:rsidRPr="00195BC6">
        <w:rPr>
          <w:rFonts w:ascii="Gotham" w:hAnsi="Gotham" w:cs="Arial"/>
          <w:iCs/>
          <w:sz w:val="19"/>
          <w:szCs w:val="19"/>
        </w:rPr>
        <w:t>Las vías, avenidas, calles, y demás no podrán tener otro nombre si son continuidad de uno ya existente, debiendo respetar en toda su longitud la misma denominación;</w:t>
      </w:r>
    </w:p>
    <w:p w14:paraId="3A475DC2" w14:textId="77777777" w:rsidR="009B5E39" w:rsidRPr="00195BC6" w:rsidRDefault="009B5E39" w:rsidP="00E5394F">
      <w:pPr>
        <w:pStyle w:val="Prrafodelista"/>
        <w:numPr>
          <w:ilvl w:val="0"/>
          <w:numId w:val="250"/>
        </w:numPr>
        <w:autoSpaceDE w:val="0"/>
        <w:autoSpaceDN w:val="0"/>
        <w:adjustRightInd w:val="0"/>
        <w:spacing w:after="120"/>
        <w:ind w:left="1134" w:right="283" w:hanging="850"/>
        <w:contextualSpacing w:val="0"/>
        <w:jc w:val="both"/>
        <w:rPr>
          <w:rFonts w:ascii="Gotham" w:hAnsi="Gotham" w:cs="Arial"/>
          <w:iCs/>
          <w:sz w:val="19"/>
          <w:szCs w:val="19"/>
        </w:rPr>
      </w:pPr>
      <w:r w:rsidRPr="00195BC6">
        <w:rPr>
          <w:rFonts w:ascii="Gotham" w:hAnsi="Gotham" w:cs="Arial"/>
          <w:iCs/>
          <w:sz w:val="19"/>
          <w:szCs w:val="19"/>
        </w:rPr>
        <w:t>Que el nombre propuesto no sea basado o se refiera a modismos;</w:t>
      </w:r>
    </w:p>
    <w:p w14:paraId="3A475DC3" w14:textId="77777777" w:rsidR="009B5E39" w:rsidRPr="00195BC6" w:rsidRDefault="009B5E39" w:rsidP="00E5394F">
      <w:pPr>
        <w:pStyle w:val="Prrafodelista"/>
        <w:numPr>
          <w:ilvl w:val="0"/>
          <w:numId w:val="250"/>
        </w:numPr>
        <w:autoSpaceDE w:val="0"/>
        <w:autoSpaceDN w:val="0"/>
        <w:adjustRightInd w:val="0"/>
        <w:spacing w:after="120"/>
        <w:ind w:left="1134" w:right="283" w:hanging="850"/>
        <w:contextualSpacing w:val="0"/>
        <w:jc w:val="both"/>
        <w:rPr>
          <w:rFonts w:ascii="Gotham" w:hAnsi="Gotham" w:cs="Arial"/>
          <w:iCs/>
          <w:sz w:val="19"/>
          <w:szCs w:val="19"/>
        </w:rPr>
      </w:pPr>
      <w:r w:rsidRPr="00195BC6">
        <w:rPr>
          <w:rFonts w:ascii="Gotham" w:hAnsi="Gotham" w:cs="Arial"/>
          <w:iCs/>
          <w:sz w:val="19"/>
          <w:szCs w:val="19"/>
        </w:rPr>
        <w:t>Que no contenga palabras ofensivas o contrarias a la moral y las buenas costumbres;</w:t>
      </w:r>
    </w:p>
    <w:p w14:paraId="3A475DC4" w14:textId="77777777" w:rsidR="009B5E39" w:rsidRPr="00195BC6" w:rsidRDefault="009B5E39" w:rsidP="00E5394F">
      <w:pPr>
        <w:pStyle w:val="Prrafodelista"/>
        <w:numPr>
          <w:ilvl w:val="0"/>
          <w:numId w:val="250"/>
        </w:numPr>
        <w:autoSpaceDE w:val="0"/>
        <w:autoSpaceDN w:val="0"/>
        <w:adjustRightInd w:val="0"/>
        <w:spacing w:after="120"/>
        <w:ind w:left="1134" w:right="283" w:hanging="850"/>
        <w:contextualSpacing w:val="0"/>
        <w:jc w:val="both"/>
        <w:rPr>
          <w:rFonts w:ascii="Gotham" w:hAnsi="Gotham" w:cs="Arial"/>
          <w:iCs/>
          <w:sz w:val="19"/>
          <w:szCs w:val="19"/>
        </w:rPr>
      </w:pPr>
      <w:r w:rsidRPr="00195BC6">
        <w:rPr>
          <w:rFonts w:ascii="Gotham" w:hAnsi="Gotham" w:cs="Arial"/>
          <w:iCs/>
          <w:sz w:val="19"/>
          <w:szCs w:val="19"/>
        </w:rPr>
        <w:lastRenderedPageBreak/>
        <w:t>La nomenclatura debe fomentar el reconocimiento de los hechos históricos y de personalidades post morten relevantes del municipio; y</w:t>
      </w:r>
    </w:p>
    <w:p w14:paraId="3A475DC5" w14:textId="77777777" w:rsidR="009B5E39" w:rsidRPr="00195BC6" w:rsidRDefault="009B5E39" w:rsidP="00E5394F">
      <w:pPr>
        <w:pStyle w:val="Prrafodelista"/>
        <w:numPr>
          <w:ilvl w:val="0"/>
          <w:numId w:val="250"/>
        </w:numPr>
        <w:autoSpaceDE w:val="0"/>
        <w:autoSpaceDN w:val="0"/>
        <w:adjustRightInd w:val="0"/>
        <w:spacing w:after="120"/>
        <w:ind w:left="1134" w:right="283" w:hanging="850"/>
        <w:contextualSpacing w:val="0"/>
        <w:jc w:val="both"/>
        <w:rPr>
          <w:rFonts w:ascii="Gotham" w:hAnsi="Gotham" w:cs="Arial"/>
          <w:iCs/>
          <w:sz w:val="19"/>
          <w:szCs w:val="19"/>
        </w:rPr>
      </w:pPr>
      <w:r w:rsidRPr="00195BC6">
        <w:rPr>
          <w:rFonts w:ascii="Gotham" w:hAnsi="Gotham" w:cs="Arial"/>
          <w:iCs/>
          <w:sz w:val="19"/>
          <w:szCs w:val="19"/>
        </w:rPr>
        <w:t>No podrá emplearse en la nomenclatura de un bien del dominio público municipal el nombre de personas vivas;</w:t>
      </w:r>
    </w:p>
    <w:p w14:paraId="3A475DC6" w14:textId="77777777" w:rsidR="009B5E39" w:rsidRPr="00195BC6" w:rsidRDefault="009B5E39" w:rsidP="00E5394F">
      <w:pPr>
        <w:pStyle w:val="Prrafodelista"/>
        <w:numPr>
          <w:ilvl w:val="0"/>
          <w:numId w:val="250"/>
        </w:numPr>
        <w:autoSpaceDE w:val="0"/>
        <w:autoSpaceDN w:val="0"/>
        <w:adjustRightInd w:val="0"/>
        <w:spacing w:after="120"/>
        <w:ind w:left="1134" w:right="283" w:hanging="850"/>
        <w:contextualSpacing w:val="0"/>
        <w:jc w:val="both"/>
        <w:rPr>
          <w:rFonts w:ascii="Gotham" w:hAnsi="Gotham" w:cs="Arial"/>
          <w:iCs/>
          <w:sz w:val="19"/>
          <w:szCs w:val="19"/>
        </w:rPr>
      </w:pPr>
      <w:r w:rsidRPr="00195BC6">
        <w:rPr>
          <w:rFonts w:ascii="Gotham" w:hAnsi="Gotham" w:cs="Arial"/>
          <w:iCs/>
          <w:sz w:val="19"/>
          <w:szCs w:val="19"/>
        </w:rPr>
        <w:t>Se prohíbe que en las placas inaugurales o de identificación de las obras públicas y los servicios relacionados con las mismas, se incluyan los nombres del gobernador del estado, presidentes municipales u otros funcionarios públicos; y</w:t>
      </w:r>
    </w:p>
    <w:p w14:paraId="3A475DC7" w14:textId="77777777" w:rsidR="009B5E39" w:rsidRPr="00195BC6" w:rsidRDefault="009B5E39" w:rsidP="00E5394F">
      <w:pPr>
        <w:pStyle w:val="Prrafodelista"/>
        <w:numPr>
          <w:ilvl w:val="0"/>
          <w:numId w:val="250"/>
        </w:numPr>
        <w:autoSpaceDE w:val="0"/>
        <w:autoSpaceDN w:val="0"/>
        <w:adjustRightInd w:val="0"/>
        <w:ind w:left="1134" w:right="283" w:hanging="850"/>
        <w:contextualSpacing w:val="0"/>
        <w:jc w:val="both"/>
        <w:rPr>
          <w:rFonts w:ascii="Gotham" w:hAnsi="Gotham" w:cs="Arial"/>
          <w:iCs/>
          <w:sz w:val="19"/>
          <w:szCs w:val="19"/>
        </w:rPr>
      </w:pPr>
      <w:r w:rsidRPr="00195BC6">
        <w:rPr>
          <w:rFonts w:ascii="Gotham" w:hAnsi="Gotham" w:cs="Arial"/>
          <w:iCs/>
          <w:sz w:val="19"/>
          <w:szCs w:val="19"/>
        </w:rPr>
        <w:t xml:space="preserve">En estas placas deberá asentarse únicamente que las obras públicas y los servicios relacionados con las mismas, que fueron realizados por el gobierno en turno, con el esfuerzo del pueblo y que se entregan para beneficio de este en fecha determinada. Solo Deberá incluirse el escudo del municipio y el periodo administrativo de quien la efectúa. </w:t>
      </w:r>
    </w:p>
    <w:p w14:paraId="3A475DC8" w14:textId="77777777" w:rsidR="009B5E39" w:rsidRPr="00195BC6" w:rsidRDefault="009B5E39" w:rsidP="009B5E39">
      <w:pPr>
        <w:autoSpaceDE w:val="0"/>
        <w:autoSpaceDN w:val="0"/>
        <w:adjustRightInd w:val="0"/>
        <w:ind w:left="284" w:right="283"/>
        <w:jc w:val="both"/>
        <w:rPr>
          <w:rFonts w:ascii="Gotham" w:hAnsi="Gotham" w:cs="Arial"/>
          <w:b/>
          <w:bCs/>
          <w:iCs/>
          <w:sz w:val="19"/>
          <w:szCs w:val="19"/>
        </w:rPr>
      </w:pPr>
    </w:p>
    <w:p w14:paraId="3A475DC9"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28°</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De la notificación de autoridades. De toda asignación o modificación, la Secretaría General debe dar cuenta a las dependencias municipales relacionadas o involucradas con tales actos y a las autoridades estatales y federales necesarias.</w:t>
      </w:r>
    </w:p>
    <w:p w14:paraId="3A475DCA"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CB"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29°</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En el caso de vías públicas que por su trayectoria recorran diferentes fraccionamientos o colonias y que en cada tramo tengan un nombre distinto, el Ayuntamiento a propuesta de la</w:t>
      </w:r>
      <w:r w:rsidRPr="00195BC6">
        <w:rPr>
          <w:rFonts w:ascii="Gotham" w:hAnsi="Gotham" w:cs="Arial"/>
          <w:bCs/>
          <w:sz w:val="19"/>
          <w:szCs w:val="19"/>
        </w:rPr>
        <w:t xml:space="preserve"> Dirección de Patrimonio en coordinación con la </w:t>
      </w:r>
      <w:r w:rsidRPr="00195BC6">
        <w:rPr>
          <w:rFonts w:ascii="Gotham" w:hAnsi="Gotham" w:cs="Arial"/>
          <w:bCs/>
          <w:iCs/>
          <w:sz w:val="19"/>
          <w:szCs w:val="19"/>
        </w:rPr>
        <w:t>Dirección General de Planeación y Desarrollo Urbano Sustentable</w:t>
      </w:r>
      <w:r w:rsidRPr="00195BC6">
        <w:rPr>
          <w:rFonts w:ascii="Gotham" w:hAnsi="Gotham" w:cs="Arial"/>
          <w:bCs/>
          <w:sz w:val="19"/>
          <w:szCs w:val="19"/>
        </w:rPr>
        <w:t>,</w:t>
      </w:r>
      <w:r w:rsidRPr="00195BC6">
        <w:rPr>
          <w:rFonts w:ascii="Gotham" w:hAnsi="Gotham" w:cs="Arial"/>
          <w:sz w:val="19"/>
          <w:szCs w:val="19"/>
        </w:rPr>
        <w:t xml:space="preserve"> podrá definir el nombre único que deberá observar. </w:t>
      </w:r>
    </w:p>
    <w:p w14:paraId="3A475DCC" w14:textId="77777777" w:rsidR="009B5E39" w:rsidRDefault="009B5E39" w:rsidP="009B5E39">
      <w:pPr>
        <w:autoSpaceDE w:val="0"/>
        <w:autoSpaceDN w:val="0"/>
        <w:adjustRightInd w:val="0"/>
        <w:ind w:left="284" w:right="283"/>
        <w:jc w:val="both"/>
        <w:rPr>
          <w:rFonts w:ascii="Gotham" w:hAnsi="Gotham" w:cs="Arial"/>
          <w:b/>
          <w:bCs/>
          <w:iCs/>
          <w:sz w:val="19"/>
          <w:szCs w:val="19"/>
        </w:rPr>
      </w:pPr>
    </w:p>
    <w:p w14:paraId="3A475DCD"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bookmarkStart w:id="44" w:name="_Hlk172465795"/>
      <w:r w:rsidRPr="00195BC6">
        <w:rPr>
          <w:rFonts w:ascii="Gotham" w:hAnsi="Gotham" w:cs="Arial"/>
          <w:b/>
          <w:sz w:val="19"/>
          <w:szCs w:val="19"/>
        </w:rPr>
        <w:t>30°</w:t>
      </w:r>
      <w:r w:rsidRPr="00195BC6">
        <w:rPr>
          <w:rFonts w:ascii="Gotham" w:hAnsi="Gotham" w:cs="Arial"/>
          <w:b/>
          <w:bCs/>
          <w:iCs/>
          <w:sz w:val="19"/>
          <w:szCs w:val="19"/>
        </w:rPr>
        <w:t>.</w:t>
      </w:r>
      <w:r w:rsidRPr="00195BC6">
        <w:rPr>
          <w:rFonts w:ascii="Gotham" w:hAnsi="Gotham" w:cs="Arial"/>
          <w:bCs/>
          <w:iCs/>
          <w:sz w:val="19"/>
          <w:szCs w:val="19"/>
        </w:rPr>
        <w:t xml:space="preserve"> </w:t>
      </w:r>
      <w:bookmarkEnd w:id="44"/>
      <w:r w:rsidRPr="00195BC6">
        <w:rPr>
          <w:rFonts w:ascii="Gotham" w:hAnsi="Gotham" w:cs="Arial"/>
          <w:sz w:val="19"/>
          <w:szCs w:val="19"/>
        </w:rPr>
        <w:t xml:space="preserve">Las placas de nomenclatura que sean colocadas deberán llevar el número del Código Postal que corresponda a la zona, previa información recabada en el Servicio Postal Mexicano. </w:t>
      </w:r>
    </w:p>
    <w:p w14:paraId="3A475DCE"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CF" w14:textId="77777777" w:rsidR="009B5E39" w:rsidRPr="00195BC6" w:rsidRDefault="009B5E39" w:rsidP="009B5E39">
      <w:pPr>
        <w:autoSpaceDE w:val="0"/>
        <w:autoSpaceDN w:val="0"/>
        <w:adjustRightInd w:val="0"/>
        <w:ind w:left="284" w:right="283"/>
        <w:jc w:val="both"/>
        <w:rPr>
          <w:rFonts w:ascii="Gotham" w:hAnsi="Gotham" w:cs="Arial"/>
          <w:sz w:val="19"/>
          <w:szCs w:val="19"/>
        </w:rPr>
      </w:pPr>
      <w:bookmarkStart w:id="45" w:name="_Hlk172491609"/>
      <w:r w:rsidRPr="00195BC6">
        <w:rPr>
          <w:rFonts w:ascii="Gotham" w:hAnsi="Gotham" w:cs="Arial"/>
          <w:b/>
          <w:bCs/>
          <w:sz w:val="19"/>
          <w:szCs w:val="19"/>
        </w:rPr>
        <w:t xml:space="preserve">Artículo </w:t>
      </w:r>
      <w:r w:rsidRPr="00195BC6">
        <w:rPr>
          <w:rFonts w:ascii="Gotham" w:hAnsi="Gotham" w:cs="Arial"/>
          <w:b/>
          <w:sz w:val="19"/>
          <w:szCs w:val="19"/>
        </w:rPr>
        <w:t>31°</w:t>
      </w:r>
      <w:r w:rsidRPr="00195BC6">
        <w:rPr>
          <w:rFonts w:ascii="Gotham" w:hAnsi="Gotham" w:cs="Arial"/>
          <w:b/>
          <w:bCs/>
          <w:iCs/>
          <w:sz w:val="19"/>
          <w:szCs w:val="19"/>
        </w:rPr>
        <w:t>.</w:t>
      </w:r>
      <w:r w:rsidRPr="00195BC6">
        <w:rPr>
          <w:rFonts w:ascii="Gotham" w:hAnsi="Gotham" w:cs="Arial"/>
          <w:bCs/>
          <w:iCs/>
          <w:sz w:val="19"/>
          <w:szCs w:val="19"/>
        </w:rPr>
        <w:t xml:space="preserve"> </w:t>
      </w:r>
      <w:bookmarkEnd w:id="45"/>
      <w:r w:rsidRPr="00195BC6">
        <w:rPr>
          <w:rFonts w:ascii="Gotham" w:hAnsi="Gotham" w:cs="Arial"/>
          <w:sz w:val="19"/>
          <w:szCs w:val="19"/>
        </w:rPr>
        <w:t>En la elaboración de las propuestas y en las aprobaciones, será obligatorio considerar los grupos temáticos, es decir, que los nombres se refieran a o compartan un mismo tema.</w:t>
      </w:r>
    </w:p>
    <w:p w14:paraId="3A475DD0"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D1"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 xml:space="preserve">Cuando sea posible, se asignará una familia temática a los nombres de las calles de poblados, barrios, colonias o desarrollos habitacionales que formen una zona homogénea, claramente reconocible como tal, dentro del municipio. </w:t>
      </w:r>
    </w:p>
    <w:p w14:paraId="3A475DD2"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D3"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32°</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Se deberá estandarizar la denominación vial: avenida, calle, circuito, libramiento, periférico, callejón, cerrada, privada o andador, a fin de que estos conceptos correspondan a las diferentes jerarquías viales del municipio.</w:t>
      </w:r>
    </w:p>
    <w:p w14:paraId="3A475DD4"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D5"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33°</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No deberán existir calles sin nombre y cada calle deberá contar con placas de nomenclatura que la identifiquen plenamente.</w:t>
      </w:r>
    </w:p>
    <w:p w14:paraId="3A475DD6"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D7"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34°</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 xml:space="preserve">Se preferirá considerar como primera opción para nombrar oficialmente un barrio, colonia o fraccionamiento el nombre con el que sea conocido, siempre y cuando se ajuste a lo regulado en este reglamento, de no ser así, se seguirá el procedimiento marcado para asignarle un nuevo nombre. </w:t>
      </w:r>
    </w:p>
    <w:p w14:paraId="3A475DD8"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D9" w14:textId="77777777" w:rsidR="009B5E39" w:rsidRPr="00195BC6" w:rsidRDefault="009B5E39" w:rsidP="009B5E39">
      <w:pPr>
        <w:autoSpaceDE w:val="0"/>
        <w:autoSpaceDN w:val="0"/>
        <w:adjustRightInd w:val="0"/>
        <w:ind w:left="284" w:right="283"/>
        <w:jc w:val="both"/>
        <w:rPr>
          <w:rFonts w:ascii="Gotham" w:hAnsi="Gotham" w:cs="Arial"/>
          <w:sz w:val="19"/>
          <w:szCs w:val="19"/>
        </w:rPr>
      </w:pPr>
      <w:bookmarkStart w:id="46" w:name="_Hlk172491675"/>
      <w:r w:rsidRPr="00195BC6">
        <w:rPr>
          <w:rFonts w:ascii="Gotham" w:hAnsi="Gotham" w:cs="Arial"/>
          <w:b/>
          <w:bCs/>
          <w:sz w:val="19"/>
          <w:szCs w:val="19"/>
        </w:rPr>
        <w:t xml:space="preserve">Artículo </w:t>
      </w:r>
      <w:r w:rsidRPr="00195BC6">
        <w:rPr>
          <w:rFonts w:ascii="Gotham" w:hAnsi="Gotham" w:cs="Arial"/>
          <w:b/>
          <w:sz w:val="19"/>
          <w:szCs w:val="19"/>
        </w:rPr>
        <w:t>35°</w:t>
      </w:r>
      <w:r w:rsidRPr="00195BC6">
        <w:rPr>
          <w:rFonts w:ascii="Gotham" w:hAnsi="Gotham" w:cs="Arial"/>
          <w:b/>
          <w:bCs/>
          <w:iCs/>
          <w:sz w:val="19"/>
          <w:szCs w:val="19"/>
        </w:rPr>
        <w:t>.</w:t>
      </w:r>
      <w:r w:rsidRPr="00195BC6">
        <w:rPr>
          <w:rFonts w:ascii="Gotham" w:hAnsi="Gotham" w:cs="Arial"/>
          <w:bCs/>
          <w:iCs/>
          <w:sz w:val="19"/>
          <w:szCs w:val="19"/>
        </w:rPr>
        <w:t xml:space="preserve"> </w:t>
      </w:r>
      <w:bookmarkEnd w:id="46"/>
      <w:r w:rsidRPr="00195BC6">
        <w:rPr>
          <w:rFonts w:ascii="Gotham" w:hAnsi="Gotham" w:cs="Arial"/>
          <w:sz w:val="19"/>
          <w:szCs w:val="19"/>
        </w:rPr>
        <w:t>Se entenderá por familia temática aquel conjunto de nombres que comparten un mismo tema, se asignará una familia temática a los nombres de las calles de las colonias, fraccionamientos o desarrollos que conformen una zona homogénea, claramente reconocible como tal, dentro del área urbana.</w:t>
      </w:r>
    </w:p>
    <w:p w14:paraId="3A475DDA"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DB"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36°</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 xml:space="preserve">Se deberá mantener el patrimonio cultural de los nombres tradicionales del municipio. </w:t>
      </w:r>
    </w:p>
    <w:p w14:paraId="3A475DDC"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DD"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37°</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 xml:space="preserve">Se procurará recordar a los ciudadanos distinguidos fallecidos, adoptando como norma el no aceptar propuesta de nombres de personas que aún vivan o hayan fallecido recientemente. El </w:t>
      </w:r>
      <w:r w:rsidRPr="00195BC6">
        <w:rPr>
          <w:rFonts w:ascii="Gotham" w:hAnsi="Gotham" w:cs="Arial"/>
          <w:sz w:val="19"/>
          <w:szCs w:val="19"/>
        </w:rPr>
        <w:lastRenderedPageBreak/>
        <w:t>consejo, sin embargo, se reservará la facultad de evaluar casos de excepción cuando la importancia del personaje así lo amerite.</w:t>
      </w:r>
    </w:p>
    <w:p w14:paraId="3A475DDE"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DF" w14:textId="77777777" w:rsidR="009B5E39" w:rsidRPr="00195BC6" w:rsidRDefault="009B5E39" w:rsidP="009B5E39">
      <w:pPr>
        <w:autoSpaceDE w:val="0"/>
        <w:autoSpaceDN w:val="0"/>
        <w:adjustRightInd w:val="0"/>
        <w:ind w:left="284" w:right="283"/>
        <w:jc w:val="both"/>
        <w:rPr>
          <w:rFonts w:ascii="Gotham" w:hAnsi="Gotham" w:cs="Arial"/>
          <w:sz w:val="19"/>
          <w:szCs w:val="19"/>
        </w:rPr>
      </w:pPr>
      <w:bookmarkStart w:id="47" w:name="_Hlk172491725"/>
      <w:r w:rsidRPr="00195BC6">
        <w:rPr>
          <w:rFonts w:ascii="Gotham" w:hAnsi="Gotham" w:cs="Arial"/>
          <w:b/>
          <w:bCs/>
          <w:sz w:val="19"/>
          <w:szCs w:val="19"/>
        </w:rPr>
        <w:t xml:space="preserve">Artículo </w:t>
      </w:r>
      <w:r w:rsidRPr="00195BC6">
        <w:rPr>
          <w:rFonts w:ascii="Gotham" w:hAnsi="Gotham" w:cs="Arial"/>
          <w:b/>
          <w:sz w:val="19"/>
          <w:szCs w:val="19"/>
        </w:rPr>
        <w:t>38°</w:t>
      </w:r>
      <w:r w:rsidRPr="00195BC6">
        <w:rPr>
          <w:rFonts w:ascii="Gotham" w:hAnsi="Gotham" w:cs="Arial"/>
          <w:b/>
          <w:bCs/>
          <w:iCs/>
          <w:sz w:val="19"/>
          <w:szCs w:val="19"/>
        </w:rPr>
        <w:t>.</w:t>
      </w:r>
      <w:r w:rsidRPr="00195BC6">
        <w:rPr>
          <w:rFonts w:ascii="Gotham" w:hAnsi="Gotham" w:cs="Arial"/>
          <w:bCs/>
          <w:iCs/>
          <w:sz w:val="19"/>
          <w:szCs w:val="19"/>
        </w:rPr>
        <w:t xml:space="preserve"> </w:t>
      </w:r>
      <w:bookmarkEnd w:id="47"/>
      <w:r w:rsidRPr="00195BC6">
        <w:rPr>
          <w:rFonts w:ascii="Gotham" w:hAnsi="Gotham" w:cs="Arial"/>
          <w:sz w:val="19"/>
          <w:szCs w:val="19"/>
        </w:rPr>
        <w:t xml:space="preserve">No podrán ser usados nombres de programas de gobierno o con referencias a partidos políticos, así como no </w:t>
      </w:r>
      <w:r w:rsidRPr="00E36357">
        <w:rPr>
          <w:rFonts w:ascii="Gotham" w:hAnsi="Gotham" w:cs="Arial"/>
          <w:sz w:val="19"/>
          <w:szCs w:val="19"/>
        </w:rPr>
        <w:t>podrán ser usados los</w:t>
      </w:r>
      <w:r w:rsidRPr="00195BC6">
        <w:rPr>
          <w:rFonts w:ascii="Gotham" w:hAnsi="Gotham" w:cs="Arial"/>
          <w:sz w:val="19"/>
          <w:szCs w:val="19"/>
        </w:rPr>
        <w:t xml:space="preserve"> nombres de alguna religión, ni referencias religiosas ni deidades. </w:t>
      </w:r>
    </w:p>
    <w:p w14:paraId="3A475DE0"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E1" w14:textId="77777777" w:rsidR="009B5E39" w:rsidRPr="00195BC6" w:rsidRDefault="009B5E39" w:rsidP="009B5E39">
      <w:pPr>
        <w:autoSpaceDE w:val="0"/>
        <w:autoSpaceDN w:val="0"/>
        <w:adjustRightInd w:val="0"/>
        <w:ind w:left="284" w:right="283"/>
        <w:jc w:val="both"/>
        <w:rPr>
          <w:rFonts w:ascii="Gotham" w:hAnsi="Gotham" w:cs="Arial"/>
          <w:sz w:val="19"/>
          <w:szCs w:val="19"/>
        </w:rPr>
      </w:pPr>
      <w:bookmarkStart w:id="48" w:name="_Hlk172491910"/>
      <w:r w:rsidRPr="00195BC6">
        <w:rPr>
          <w:rFonts w:ascii="Gotham" w:hAnsi="Gotham" w:cs="Arial"/>
          <w:b/>
          <w:bCs/>
          <w:sz w:val="19"/>
          <w:szCs w:val="19"/>
        </w:rPr>
        <w:t xml:space="preserve">Artículo </w:t>
      </w:r>
      <w:r w:rsidRPr="00195BC6">
        <w:rPr>
          <w:rFonts w:ascii="Gotham" w:hAnsi="Gotham" w:cs="Arial"/>
          <w:b/>
          <w:sz w:val="19"/>
          <w:szCs w:val="19"/>
        </w:rPr>
        <w:t>39°</w:t>
      </w:r>
      <w:r w:rsidRPr="00195BC6">
        <w:rPr>
          <w:rFonts w:ascii="Gotham" w:hAnsi="Gotham" w:cs="Arial"/>
          <w:b/>
          <w:bCs/>
          <w:iCs/>
          <w:sz w:val="19"/>
          <w:szCs w:val="19"/>
        </w:rPr>
        <w:t>.</w:t>
      </w:r>
      <w:r w:rsidRPr="00195BC6">
        <w:rPr>
          <w:rFonts w:ascii="Gotham" w:hAnsi="Gotham" w:cs="Arial"/>
          <w:bCs/>
          <w:iCs/>
          <w:sz w:val="19"/>
          <w:szCs w:val="19"/>
        </w:rPr>
        <w:t xml:space="preserve"> </w:t>
      </w:r>
      <w:bookmarkEnd w:id="48"/>
      <w:r w:rsidRPr="00195BC6">
        <w:rPr>
          <w:rFonts w:ascii="Gotham" w:hAnsi="Gotham" w:cs="Arial"/>
          <w:sz w:val="19"/>
          <w:szCs w:val="19"/>
        </w:rPr>
        <w:t>Todas las vías públicas deberán contar con placas de nomenclatura que las identifiquen permanentemente. Las placas de nomenclatura podrán llevar además un elemento publicitario que no obstaculice ni que por su tamaño afecte la visibilidad y legibilidad de la placa, y estará sujeto a las leyes, reglamentos y demás disposiciones vigentes que resulten aplicables.</w:t>
      </w:r>
    </w:p>
    <w:p w14:paraId="3A475DE2" w14:textId="77777777" w:rsidR="009B5E39" w:rsidRDefault="009B5E39" w:rsidP="009B5E39">
      <w:pPr>
        <w:autoSpaceDE w:val="0"/>
        <w:autoSpaceDN w:val="0"/>
        <w:adjustRightInd w:val="0"/>
        <w:ind w:left="284" w:right="283"/>
        <w:jc w:val="both"/>
        <w:rPr>
          <w:rFonts w:ascii="Gotham" w:hAnsi="Gotham" w:cs="Arial"/>
          <w:sz w:val="19"/>
          <w:szCs w:val="19"/>
        </w:rPr>
      </w:pPr>
    </w:p>
    <w:p w14:paraId="3A475DE3"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E4" w14:textId="77777777" w:rsidR="009B5E39" w:rsidRPr="00195BC6" w:rsidRDefault="009B5E39" w:rsidP="009B5E39">
      <w:pPr>
        <w:autoSpaceDE w:val="0"/>
        <w:autoSpaceDN w:val="0"/>
        <w:adjustRightInd w:val="0"/>
        <w:ind w:left="284" w:right="283"/>
        <w:jc w:val="center"/>
        <w:rPr>
          <w:rFonts w:ascii="Gotham" w:hAnsi="Gotham" w:cs="Arial"/>
          <w:b/>
          <w:sz w:val="19"/>
          <w:szCs w:val="19"/>
        </w:rPr>
      </w:pPr>
      <w:r w:rsidRPr="00195BC6">
        <w:rPr>
          <w:rFonts w:ascii="Gotham" w:hAnsi="Gotham" w:cs="Arial"/>
          <w:b/>
          <w:sz w:val="19"/>
          <w:szCs w:val="19"/>
        </w:rPr>
        <w:t>Capitulo V.</w:t>
      </w:r>
    </w:p>
    <w:p w14:paraId="3A475DE5" w14:textId="77777777" w:rsidR="009B5E39" w:rsidRPr="00195BC6" w:rsidRDefault="009B5E39" w:rsidP="009B5E39">
      <w:pPr>
        <w:autoSpaceDE w:val="0"/>
        <w:autoSpaceDN w:val="0"/>
        <w:adjustRightInd w:val="0"/>
        <w:ind w:left="284" w:right="283"/>
        <w:jc w:val="center"/>
        <w:rPr>
          <w:rFonts w:ascii="Gotham" w:hAnsi="Gotham" w:cs="Arial"/>
          <w:b/>
          <w:bCs/>
          <w:iCs/>
          <w:sz w:val="19"/>
          <w:szCs w:val="19"/>
        </w:rPr>
      </w:pPr>
      <w:r w:rsidRPr="00195BC6">
        <w:rPr>
          <w:rFonts w:ascii="Gotham" w:hAnsi="Gotham" w:cs="Arial"/>
          <w:b/>
          <w:bCs/>
          <w:iCs/>
          <w:sz w:val="19"/>
          <w:szCs w:val="19"/>
        </w:rPr>
        <w:t>De la Asignación del Número Oficial</w:t>
      </w:r>
    </w:p>
    <w:p w14:paraId="3A475DE6" w14:textId="77777777" w:rsidR="009B5E39" w:rsidRPr="00195BC6" w:rsidRDefault="009B5E39" w:rsidP="009B5E39">
      <w:pPr>
        <w:autoSpaceDE w:val="0"/>
        <w:autoSpaceDN w:val="0"/>
        <w:adjustRightInd w:val="0"/>
        <w:ind w:left="284" w:right="283"/>
        <w:jc w:val="center"/>
        <w:rPr>
          <w:rFonts w:ascii="Gotham" w:hAnsi="Gotham" w:cs="Arial"/>
          <w:b/>
          <w:bCs/>
          <w:iCs/>
          <w:sz w:val="19"/>
          <w:szCs w:val="19"/>
        </w:rPr>
      </w:pPr>
    </w:p>
    <w:p w14:paraId="3A475DE7"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40°</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Es facultad exclusiva del Ayuntamiento decidir los nombres honorarios de los parques, plazas, jardines, avenidas, calles y demás espacios de uso común o de los bienes afectos a un servicio público dentro del Municipio de Tonalá, Jalisco.</w:t>
      </w:r>
    </w:p>
    <w:p w14:paraId="3A475DE8"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E9"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41°</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El número oficial asignado a un predio estará en función de la secuencia numérica que exista en la calle hacia la cual tiene el frente.</w:t>
      </w:r>
    </w:p>
    <w:p w14:paraId="3A475DEA"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EB"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42°</w:t>
      </w:r>
      <w:r w:rsidRPr="00195BC6">
        <w:rPr>
          <w:rFonts w:ascii="Gotham" w:hAnsi="Gotham" w:cs="Arial"/>
          <w:b/>
          <w:bCs/>
          <w:iCs/>
          <w:sz w:val="19"/>
          <w:szCs w:val="19"/>
        </w:rPr>
        <w:t>.</w:t>
      </w:r>
      <w:r w:rsidRPr="00195BC6">
        <w:rPr>
          <w:rFonts w:ascii="Gotham" w:hAnsi="Gotham" w:cs="Arial"/>
          <w:sz w:val="19"/>
          <w:szCs w:val="19"/>
        </w:rPr>
        <w:t xml:space="preserve"> La numeración oficial de los predios, será fijada por la Dirección. Las dimensiones mínimas para la nomenclatura de los predios son de: quince centímetros de largo y siete centímetros y medio de alto para ser identificadas fácilmente; la colocación de la nomenclatura será obligación del propietario del predio, y deberá situarse en un lugar visible, desde el exterior y precisamente en el frente del predio</w:t>
      </w:r>
    </w:p>
    <w:p w14:paraId="3A475DEC" w14:textId="77777777" w:rsidR="009B5E39" w:rsidRDefault="009B5E39" w:rsidP="009B5E39">
      <w:pPr>
        <w:autoSpaceDE w:val="0"/>
        <w:autoSpaceDN w:val="0"/>
        <w:adjustRightInd w:val="0"/>
        <w:ind w:left="284" w:right="283"/>
        <w:jc w:val="center"/>
        <w:rPr>
          <w:rFonts w:ascii="Gotham" w:hAnsi="Gotham" w:cs="Arial"/>
          <w:b/>
          <w:bCs/>
          <w:sz w:val="19"/>
          <w:szCs w:val="19"/>
        </w:rPr>
      </w:pPr>
    </w:p>
    <w:p w14:paraId="3A475DED" w14:textId="77777777" w:rsidR="009B5E39" w:rsidRPr="00195BC6" w:rsidRDefault="009B5E39" w:rsidP="009B5E39">
      <w:pPr>
        <w:autoSpaceDE w:val="0"/>
        <w:autoSpaceDN w:val="0"/>
        <w:adjustRightInd w:val="0"/>
        <w:ind w:left="284" w:right="283"/>
        <w:jc w:val="center"/>
        <w:rPr>
          <w:rFonts w:ascii="Gotham" w:hAnsi="Gotham" w:cs="Arial"/>
          <w:b/>
          <w:bCs/>
          <w:sz w:val="19"/>
          <w:szCs w:val="19"/>
        </w:rPr>
      </w:pPr>
    </w:p>
    <w:p w14:paraId="3A475DEE" w14:textId="77777777" w:rsidR="009B5E39" w:rsidRPr="00195BC6" w:rsidRDefault="009B5E39" w:rsidP="009B5E39">
      <w:pPr>
        <w:autoSpaceDE w:val="0"/>
        <w:autoSpaceDN w:val="0"/>
        <w:adjustRightInd w:val="0"/>
        <w:ind w:left="284" w:right="283"/>
        <w:jc w:val="center"/>
        <w:rPr>
          <w:rFonts w:ascii="Gotham" w:hAnsi="Gotham" w:cs="Arial"/>
          <w:b/>
          <w:bCs/>
          <w:sz w:val="19"/>
          <w:szCs w:val="19"/>
        </w:rPr>
      </w:pPr>
      <w:r w:rsidRPr="00195BC6">
        <w:rPr>
          <w:rFonts w:ascii="Gotham" w:hAnsi="Gotham" w:cs="Arial"/>
          <w:b/>
          <w:bCs/>
          <w:sz w:val="19"/>
          <w:szCs w:val="19"/>
        </w:rPr>
        <w:t>Capítulo VI</w:t>
      </w:r>
    </w:p>
    <w:p w14:paraId="3A475DEF" w14:textId="77777777" w:rsidR="009B5E39" w:rsidRPr="00195BC6" w:rsidRDefault="009B5E39" w:rsidP="009B5E39">
      <w:pPr>
        <w:autoSpaceDE w:val="0"/>
        <w:autoSpaceDN w:val="0"/>
        <w:adjustRightInd w:val="0"/>
        <w:ind w:left="284" w:right="283"/>
        <w:jc w:val="center"/>
        <w:rPr>
          <w:rFonts w:ascii="Gotham" w:hAnsi="Gotham" w:cs="Arial"/>
          <w:b/>
          <w:bCs/>
          <w:sz w:val="19"/>
          <w:szCs w:val="19"/>
        </w:rPr>
      </w:pPr>
      <w:r w:rsidRPr="00195BC6">
        <w:rPr>
          <w:rFonts w:ascii="Gotham" w:hAnsi="Gotham" w:cs="Arial"/>
          <w:b/>
          <w:bCs/>
          <w:sz w:val="19"/>
          <w:szCs w:val="19"/>
        </w:rPr>
        <w:t xml:space="preserve">De la Participación Ciudadana </w:t>
      </w:r>
    </w:p>
    <w:p w14:paraId="3A475DF0" w14:textId="77777777" w:rsidR="009B5E39" w:rsidRPr="00195BC6" w:rsidRDefault="009B5E39" w:rsidP="009B5E39">
      <w:pPr>
        <w:autoSpaceDE w:val="0"/>
        <w:autoSpaceDN w:val="0"/>
        <w:adjustRightInd w:val="0"/>
        <w:ind w:left="284" w:right="283"/>
        <w:jc w:val="center"/>
        <w:rPr>
          <w:rFonts w:ascii="Gotham" w:hAnsi="Gotham" w:cs="Arial"/>
          <w:b/>
          <w:bCs/>
          <w:sz w:val="19"/>
          <w:szCs w:val="19"/>
        </w:rPr>
      </w:pPr>
    </w:p>
    <w:p w14:paraId="3A475DF1"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Artículo </w:t>
      </w:r>
      <w:r w:rsidRPr="00195BC6">
        <w:rPr>
          <w:rFonts w:ascii="Gotham" w:hAnsi="Gotham" w:cs="Arial"/>
          <w:b/>
          <w:sz w:val="19"/>
          <w:szCs w:val="19"/>
        </w:rPr>
        <w:t>43°</w:t>
      </w:r>
      <w:r w:rsidRPr="00195BC6">
        <w:rPr>
          <w:rFonts w:ascii="Gotham" w:hAnsi="Gotham" w:cs="Arial"/>
          <w:b/>
          <w:bCs/>
          <w:iCs/>
          <w:sz w:val="19"/>
          <w:szCs w:val="19"/>
        </w:rPr>
        <w:t>.</w:t>
      </w:r>
      <w:r w:rsidR="007C2F8D">
        <w:rPr>
          <w:rFonts w:ascii="Gotham" w:hAnsi="Gotham" w:cs="Arial"/>
          <w:bCs/>
          <w:iCs/>
          <w:sz w:val="19"/>
          <w:szCs w:val="19"/>
        </w:rPr>
        <w:t xml:space="preserve"> </w:t>
      </w:r>
      <w:r w:rsidRPr="00195BC6">
        <w:rPr>
          <w:rFonts w:ascii="Gotham" w:hAnsi="Gotham" w:cs="Arial"/>
          <w:sz w:val="19"/>
          <w:szCs w:val="19"/>
        </w:rPr>
        <w:t>De la participación de vecinos. Los vecinos que, siendo mayores de edad, por la ubicación de su domicilio en una vialidad o en una colonia, podrán participar en el proceso de la asignación o modificación de la nomenclatura de vialidades o espacios públicos, según se señale en el presente ordenamiento.</w:t>
      </w:r>
    </w:p>
    <w:p w14:paraId="3A475DF2"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F3"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 xml:space="preserve">Cuando una propuesta provenga de la participación de los vecinos, las dependencias responsables de dictaminar, en un primer momento se encargarán de verificar con el auxilio de la Dirección de Bienestar, el cumplimiento de los porcentajes de participación requeridos en el presente ordenamiento para validarlo o, en su caso, realizar los actos inherentes a verificar la participación de los vecinos afectados. </w:t>
      </w:r>
    </w:p>
    <w:p w14:paraId="3A475DF4"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DF5"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Todos los interesados en participar deben acreditar su legítimo derecho a opinar con base en la documentación que presenten para manifestar que su domicilio se encuentra dentro de la vialidad o colonia donde se requiere la participación ciudadana.</w:t>
      </w:r>
    </w:p>
    <w:p w14:paraId="3A475DF6"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DF7"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Durante las consultas, los vecinos involucrados tienen derecho a hacer las manifestaciones de manera verbal o por escrito que estimen oportunas ante las autoridades que realizan la consulta y estas deberán dar cuenta de las mismas en sus informes para el dictamen técnico.</w:t>
      </w:r>
    </w:p>
    <w:p w14:paraId="3A475DF8"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DF9"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El resultado de la consulta debe expresarse mediante un informe con la precisión que permita conocer si hay un porcentaje de mayoría o un empate que acepte o rechace la propuesta planteada.</w:t>
      </w:r>
    </w:p>
    <w:p w14:paraId="3A475DFA"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FB"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lastRenderedPageBreak/>
        <w:t xml:space="preserve">Artículo </w:t>
      </w:r>
      <w:r w:rsidRPr="00195BC6">
        <w:rPr>
          <w:rFonts w:ascii="Gotham" w:hAnsi="Gotham" w:cs="Arial"/>
          <w:b/>
          <w:sz w:val="19"/>
          <w:szCs w:val="19"/>
        </w:rPr>
        <w:t>44°</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De la consulta ciudadana por vialidades. Para el caso de la modificación de la nomenclatura de vialidades, se llevará a cabo una consulta ciudadana mediante una encuesta que requerirá de por lo menos la consulta al 60% de los vecinos que se puedan ver afectados en la extensión de la vialidad de que se trate.</w:t>
      </w:r>
    </w:p>
    <w:p w14:paraId="3A475DFC"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DFD"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 xml:space="preserve">La dependencia responsable de elaborar el dictamen técnico respectivo, con el auxilio de Dirección de Bienestar, debe llevar a cabo la consulta referida, por medio de una encuesta a vecinos mayores de edad que permita verificar la población afectada y la opinión que se tenga con relación a la propuesta. </w:t>
      </w:r>
    </w:p>
    <w:p w14:paraId="3A475DFE"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DFF"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 consulta podrá determinarse como efectiva y suficiente en un primer momento si se verifica que se obtuvo la participación del porcentaje citado en el párrafo 1, en caso contrario deberá consultarse por segunda ocasión, considerando como suficiente la participación en la consulta del 41% de los vecinos que se puedan ver afectados en la extensión de la vialidad de que se trate. Si no se logra el porcentaje de participación, deberá levantarse constancia con la participación registrada y el sentido de las opiniones manifestadas.</w:t>
      </w:r>
    </w:p>
    <w:p w14:paraId="3A475E00"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01"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45°</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De la consulta ciudadana por espacios y monumentos públicos.</w:t>
      </w:r>
    </w:p>
    <w:p w14:paraId="3A475E02"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03"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Para el caso de la modificación de la nomenclatura de espacios y monumentos públicos, se llevará a cabo una consulta ciudadana mediante convocatoria que requerirá de por lo menos la consulta al 51% de los vecinos que habiten en la colonia donde se ubica el espacio o monumento público de que se trate.</w:t>
      </w:r>
    </w:p>
    <w:p w14:paraId="3A475E04"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05"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 convocatoria debe ser anunciada con 7 siete días hábiles de anticipación a los vecinos de la colonia respectiva señalando fecha, lugar, hora y metodología de la consulta.</w:t>
      </w:r>
    </w:p>
    <w:p w14:paraId="3A475E06"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07"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 xml:space="preserve">La dependencia responsable de elaborar el dictamen técnico respectivo, con el auxilio de la Dirección de Bienestar, debe llevar a cabo dicha convocatoria por los medios que estime más convenientes con los vecinos mayores de edad, de cuyo resultado se puede verificar la población consultada y la opinión que se tenga con relación a la propuesta. </w:t>
      </w:r>
    </w:p>
    <w:p w14:paraId="3A475E08"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09"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 consulta podrá determinarse como efectiva y suficiente en un primer momento si se verifica que se obtuvo la participación del porcentaje citado en el párrafo 1, en caso contrario deberá consultarse por segunda ocasión, considerando como suficiente la participación en la consulta del 41% de los vecinos que se puedan ver afectados en la colonia de que se trate. Si no se logra el porcentaje de participación, deberá levantarse constancia con la participación registrada y el sentido de las opiniones manifestadas.</w:t>
      </w:r>
    </w:p>
    <w:p w14:paraId="3A475E0A" w14:textId="77777777" w:rsidR="009B5E39" w:rsidRDefault="009B5E39" w:rsidP="009B5E39">
      <w:pPr>
        <w:autoSpaceDE w:val="0"/>
        <w:autoSpaceDN w:val="0"/>
        <w:adjustRightInd w:val="0"/>
        <w:ind w:left="284" w:right="283"/>
        <w:jc w:val="both"/>
        <w:rPr>
          <w:rFonts w:ascii="Gotham" w:hAnsi="Gotham" w:cs="Arial"/>
          <w:sz w:val="19"/>
          <w:szCs w:val="19"/>
        </w:rPr>
      </w:pPr>
    </w:p>
    <w:p w14:paraId="3A475E0B"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0C" w14:textId="77777777" w:rsidR="009B5E39" w:rsidRPr="00195BC6" w:rsidRDefault="009B5E39" w:rsidP="009B5E39">
      <w:pPr>
        <w:autoSpaceDE w:val="0"/>
        <w:autoSpaceDN w:val="0"/>
        <w:adjustRightInd w:val="0"/>
        <w:ind w:left="284" w:right="283"/>
        <w:jc w:val="center"/>
        <w:rPr>
          <w:rFonts w:ascii="Gotham" w:hAnsi="Gotham" w:cs="Arial"/>
          <w:b/>
          <w:bCs/>
          <w:sz w:val="19"/>
          <w:szCs w:val="19"/>
        </w:rPr>
      </w:pPr>
      <w:r w:rsidRPr="00195BC6">
        <w:rPr>
          <w:rFonts w:ascii="Gotham" w:hAnsi="Gotham" w:cs="Arial"/>
          <w:b/>
          <w:bCs/>
          <w:sz w:val="19"/>
          <w:szCs w:val="19"/>
        </w:rPr>
        <w:t>Capítulo VII</w:t>
      </w:r>
    </w:p>
    <w:p w14:paraId="3A475E0D" w14:textId="77777777" w:rsidR="009B5E39" w:rsidRPr="00195BC6" w:rsidRDefault="009B5E39" w:rsidP="009B5E39">
      <w:pPr>
        <w:autoSpaceDE w:val="0"/>
        <w:autoSpaceDN w:val="0"/>
        <w:adjustRightInd w:val="0"/>
        <w:ind w:left="284" w:right="283"/>
        <w:jc w:val="center"/>
        <w:rPr>
          <w:rFonts w:ascii="Gotham" w:hAnsi="Gotham" w:cs="Arial"/>
          <w:b/>
          <w:bCs/>
          <w:sz w:val="19"/>
          <w:szCs w:val="19"/>
        </w:rPr>
      </w:pPr>
      <w:r w:rsidRPr="00195BC6">
        <w:rPr>
          <w:rFonts w:ascii="Gotham" w:hAnsi="Gotham" w:cs="Arial"/>
          <w:b/>
          <w:bCs/>
          <w:sz w:val="19"/>
          <w:szCs w:val="19"/>
        </w:rPr>
        <w:t>De las Infracciones y Sanciones</w:t>
      </w:r>
    </w:p>
    <w:p w14:paraId="3A475E0E" w14:textId="77777777" w:rsidR="009B5E39" w:rsidRPr="00195BC6" w:rsidRDefault="009B5E39" w:rsidP="009B5E39">
      <w:pPr>
        <w:autoSpaceDE w:val="0"/>
        <w:autoSpaceDN w:val="0"/>
        <w:adjustRightInd w:val="0"/>
        <w:ind w:left="284" w:right="283"/>
        <w:rPr>
          <w:rFonts w:ascii="Gotham" w:hAnsi="Gotham" w:cs="Arial"/>
          <w:sz w:val="19"/>
          <w:szCs w:val="19"/>
        </w:rPr>
      </w:pPr>
    </w:p>
    <w:p w14:paraId="3A475E0F"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46°</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 xml:space="preserve">Son infracciones al presente Reglamento: </w:t>
      </w:r>
    </w:p>
    <w:p w14:paraId="3A475E10"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11" w14:textId="77777777" w:rsidR="009B5E39" w:rsidRPr="00195BC6" w:rsidRDefault="009B5E39" w:rsidP="00E5394F">
      <w:pPr>
        <w:numPr>
          <w:ilvl w:val="0"/>
          <w:numId w:val="246"/>
        </w:numPr>
        <w:autoSpaceDE w:val="0"/>
        <w:autoSpaceDN w:val="0"/>
        <w:adjustRightInd w:val="0"/>
        <w:spacing w:after="120"/>
        <w:ind w:left="1134" w:right="283" w:hanging="850"/>
        <w:jc w:val="both"/>
        <w:rPr>
          <w:rFonts w:ascii="Gotham" w:hAnsi="Gotham" w:cs="Arial"/>
          <w:sz w:val="19"/>
          <w:szCs w:val="19"/>
        </w:rPr>
      </w:pPr>
      <w:r w:rsidRPr="00195BC6">
        <w:rPr>
          <w:rFonts w:ascii="Gotham" w:hAnsi="Gotham" w:cs="Arial"/>
          <w:sz w:val="19"/>
          <w:szCs w:val="19"/>
        </w:rPr>
        <w:t xml:space="preserve">Dañar o cometer actos de vandalismo contra monumentos, placas conmemorativas, parques y señalamientos que formen parte de la nomenclatura pública propiedad del Municipio; </w:t>
      </w:r>
    </w:p>
    <w:p w14:paraId="3A475E12" w14:textId="77777777" w:rsidR="009B5E39" w:rsidRPr="00195BC6" w:rsidRDefault="009B5E39" w:rsidP="00E5394F">
      <w:pPr>
        <w:numPr>
          <w:ilvl w:val="0"/>
          <w:numId w:val="246"/>
        </w:numPr>
        <w:autoSpaceDE w:val="0"/>
        <w:autoSpaceDN w:val="0"/>
        <w:adjustRightInd w:val="0"/>
        <w:spacing w:after="120"/>
        <w:ind w:left="1134" w:right="283" w:hanging="850"/>
        <w:jc w:val="both"/>
        <w:rPr>
          <w:rFonts w:ascii="Gotham" w:hAnsi="Gotham" w:cs="Arial"/>
          <w:sz w:val="19"/>
          <w:szCs w:val="19"/>
        </w:rPr>
      </w:pPr>
      <w:r w:rsidRPr="00195BC6">
        <w:rPr>
          <w:rFonts w:ascii="Gotham" w:hAnsi="Gotham" w:cs="Arial"/>
          <w:sz w:val="19"/>
          <w:szCs w:val="19"/>
        </w:rPr>
        <w:t xml:space="preserve">Cambiar intencionalmente y sin autorización de la Autoridad Municipal, las denominaciones de las vías públicas, colonias, fraccionamientos y parques que formen parte del Municipio; </w:t>
      </w:r>
    </w:p>
    <w:p w14:paraId="3A475E13" w14:textId="77777777" w:rsidR="009B5E39" w:rsidRPr="00195BC6" w:rsidRDefault="009B5E39" w:rsidP="00E5394F">
      <w:pPr>
        <w:numPr>
          <w:ilvl w:val="0"/>
          <w:numId w:val="246"/>
        </w:numPr>
        <w:autoSpaceDE w:val="0"/>
        <w:autoSpaceDN w:val="0"/>
        <w:adjustRightInd w:val="0"/>
        <w:spacing w:after="120"/>
        <w:ind w:left="1134" w:right="283" w:hanging="850"/>
        <w:jc w:val="both"/>
        <w:rPr>
          <w:rFonts w:ascii="Gotham" w:hAnsi="Gotham" w:cs="Arial"/>
          <w:sz w:val="19"/>
          <w:szCs w:val="19"/>
        </w:rPr>
      </w:pPr>
      <w:r w:rsidRPr="00195BC6">
        <w:rPr>
          <w:rFonts w:ascii="Gotham" w:hAnsi="Gotham" w:cs="Arial"/>
          <w:sz w:val="19"/>
          <w:szCs w:val="19"/>
        </w:rPr>
        <w:t xml:space="preserve">Poner nombre a vialidades, colonias, conjuntos urbanos, fraccionamientos y parques sin estar autorizados por la Autoridad Municipal correspondiente; </w:t>
      </w:r>
    </w:p>
    <w:p w14:paraId="3A475E14" w14:textId="77777777" w:rsidR="009B5E39" w:rsidRPr="00195BC6" w:rsidRDefault="009B5E39" w:rsidP="00E5394F">
      <w:pPr>
        <w:numPr>
          <w:ilvl w:val="0"/>
          <w:numId w:val="246"/>
        </w:numPr>
        <w:autoSpaceDE w:val="0"/>
        <w:autoSpaceDN w:val="0"/>
        <w:adjustRightInd w:val="0"/>
        <w:spacing w:after="120"/>
        <w:ind w:left="1134" w:right="283" w:hanging="850"/>
        <w:jc w:val="both"/>
        <w:rPr>
          <w:rFonts w:ascii="Gotham" w:hAnsi="Gotham" w:cs="Arial"/>
          <w:sz w:val="19"/>
          <w:szCs w:val="19"/>
        </w:rPr>
      </w:pPr>
      <w:r w:rsidRPr="00195BC6">
        <w:rPr>
          <w:rFonts w:ascii="Gotham" w:hAnsi="Gotham" w:cs="Arial"/>
          <w:sz w:val="19"/>
          <w:szCs w:val="19"/>
        </w:rPr>
        <w:t>Borrar u ocultar a la vista de los transeúntes, la denominación establecida en los señalamientos;</w:t>
      </w:r>
    </w:p>
    <w:p w14:paraId="3A475E15" w14:textId="77777777" w:rsidR="009B5E39" w:rsidRPr="00195BC6" w:rsidRDefault="009B5E39" w:rsidP="00E5394F">
      <w:pPr>
        <w:numPr>
          <w:ilvl w:val="0"/>
          <w:numId w:val="246"/>
        </w:numPr>
        <w:autoSpaceDE w:val="0"/>
        <w:autoSpaceDN w:val="0"/>
        <w:adjustRightInd w:val="0"/>
        <w:ind w:left="1134" w:right="283" w:hanging="850"/>
        <w:jc w:val="both"/>
        <w:rPr>
          <w:rFonts w:ascii="Gotham" w:hAnsi="Gotham" w:cs="Arial"/>
          <w:sz w:val="19"/>
          <w:szCs w:val="19"/>
        </w:rPr>
      </w:pPr>
      <w:r w:rsidRPr="00195BC6">
        <w:rPr>
          <w:rFonts w:ascii="Gotham" w:hAnsi="Gotham" w:cs="Arial"/>
          <w:sz w:val="19"/>
          <w:szCs w:val="19"/>
        </w:rPr>
        <w:lastRenderedPageBreak/>
        <w:t xml:space="preserve">Erigir monumentos o colocar placas conmemorativas sin la autorización respectiva y requisitos establecidos en el presente Reglamento, dentro del Municipio; y </w:t>
      </w:r>
    </w:p>
    <w:p w14:paraId="3A475E16" w14:textId="77777777" w:rsidR="009B5E39" w:rsidRPr="00195BC6" w:rsidRDefault="009B5E39" w:rsidP="009B5E39">
      <w:pPr>
        <w:autoSpaceDE w:val="0"/>
        <w:autoSpaceDN w:val="0"/>
        <w:adjustRightInd w:val="0"/>
        <w:ind w:left="284" w:right="283"/>
        <w:jc w:val="center"/>
        <w:rPr>
          <w:rFonts w:ascii="Gotham" w:hAnsi="Gotham" w:cs="Arial"/>
          <w:b/>
          <w:sz w:val="19"/>
          <w:szCs w:val="19"/>
        </w:rPr>
      </w:pPr>
    </w:p>
    <w:p w14:paraId="3A475E17"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47°</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Las infracciones y sanciones. Quienes incumplan las disposiciones contenidas en este reglamento, cometen una infracción al mismo y, por tanto, debe ser sancionado con multa de 10 diez a mil veces el salario mínimo general vigente en el municipio, en la fecha de la infracción, independientemente de la responsabilidad civil, penal o administrativa en que incurran.</w:t>
      </w:r>
    </w:p>
    <w:p w14:paraId="3A475E18"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19" w14:textId="77777777" w:rsidR="009B5E39" w:rsidRPr="00195BC6" w:rsidRDefault="009B5E39" w:rsidP="009B5E39">
      <w:pPr>
        <w:autoSpaceDE w:val="0"/>
        <w:autoSpaceDN w:val="0"/>
        <w:adjustRightInd w:val="0"/>
        <w:ind w:left="284" w:right="283"/>
        <w:jc w:val="both"/>
        <w:rPr>
          <w:rFonts w:ascii="Gotham" w:hAnsi="Gotham" w:cs="Arial"/>
          <w:bCs/>
          <w:sz w:val="19"/>
          <w:szCs w:val="19"/>
        </w:rPr>
      </w:pPr>
      <w:r w:rsidRPr="00195BC6">
        <w:rPr>
          <w:rFonts w:ascii="Gotham" w:hAnsi="Gotham" w:cs="Arial"/>
          <w:bCs/>
          <w:sz w:val="19"/>
          <w:szCs w:val="19"/>
        </w:rPr>
        <w:t xml:space="preserve">Los servidores públicos que infrinjan las disposiciones de este reglamento serán sancionados en los términos de la Ley de Responsabilidades Políticas y Administrativas del Estado de Jalisco. </w:t>
      </w:r>
    </w:p>
    <w:p w14:paraId="3A475E1A" w14:textId="77777777" w:rsidR="009B5E39" w:rsidRPr="00195BC6" w:rsidRDefault="009B5E39" w:rsidP="009B5E39">
      <w:pPr>
        <w:autoSpaceDE w:val="0"/>
        <w:autoSpaceDN w:val="0"/>
        <w:adjustRightInd w:val="0"/>
        <w:ind w:left="284" w:right="283"/>
        <w:jc w:val="both"/>
        <w:rPr>
          <w:rFonts w:ascii="Gotham" w:hAnsi="Gotham" w:cs="Arial"/>
          <w:iCs/>
          <w:sz w:val="19"/>
          <w:szCs w:val="19"/>
        </w:rPr>
      </w:pPr>
    </w:p>
    <w:p w14:paraId="3A475E1B"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48°</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Las excepciones. No se impondrán sanciones cuando se haya incurrido en la falta por causa de fuerza mayor o de caso fortuito o cuando se cubra en forma espontánea el precepto que se hubiese dejado de cumplir.</w:t>
      </w:r>
    </w:p>
    <w:p w14:paraId="3A475E1C"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1D"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No se considerará que el cumplimiento es espontáneo cuando la omisión sea descubierta por las autoridades o medie requerimiento, visita, excitativa o cualquiera otra gestión efectuada por las mismas.</w:t>
      </w:r>
    </w:p>
    <w:p w14:paraId="3A475E1E"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1F"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49°</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 xml:space="preserve">De la comisión de infracciones. </w:t>
      </w:r>
      <w:r w:rsidRPr="00195BC6">
        <w:rPr>
          <w:rFonts w:ascii="Gotham" w:hAnsi="Gotham" w:cs="Arial"/>
          <w:bCs/>
          <w:sz w:val="19"/>
          <w:szCs w:val="19"/>
        </w:rPr>
        <w:t>Los servidores públicos que en el ejercicio de sus funciones tengan conocimiento de infracciones a este reglamento o de las normas que de él se derivan, deberán comunicarlo a la Sindicatura, al Órgano de Control Interno, en su caso, al órgano de control municipal competente, a efecto de proceder como en derecho corresponda.</w:t>
      </w:r>
    </w:p>
    <w:p w14:paraId="3A475E20"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21"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r w:rsidRPr="00195BC6">
        <w:rPr>
          <w:rFonts w:ascii="Gotham" w:hAnsi="Gotham" w:cs="Arial"/>
          <w:b/>
          <w:bCs/>
          <w:sz w:val="19"/>
          <w:szCs w:val="19"/>
        </w:rPr>
        <w:t xml:space="preserve">La omisión a lo dispuesto en el párrafo anterior será sancionada administrativamente en los términos de la Ley de Responsabilidades de los Servidores Públicos del Estado de Jalisco. </w:t>
      </w:r>
    </w:p>
    <w:p w14:paraId="3A475E22"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23"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Las responsabilidades a que se refiere el presente reglamento son independientes de las de orden civil o penal que puedan derivarse de la comisión de los mismos hechos.</w:t>
      </w:r>
    </w:p>
    <w:p w14:paraId="3A475E24"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25"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50°</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Criterios para multas. Las multas derivadas de las infracciones se impondrán observando los siguientes criterios:</w:t>
      </w:r>
    </w:p>
    <w:p w14:paraId="3A475E26"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27"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 xml:space="preserve">Se tomarán en cuenta la importancia de la infracción, las condiciones económicas del infractor y la conveniencia de abatir prácticas tendientes a infringir, en cualquier forma, las disposiciones de este reglamento o las que se dicten con base en él; </w:t>
      </w:r>
    </w:p>
    <w:p w14:paraId="3A475E28"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29"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Cuando sean varios los responsables, cada uno será sancionado;</w:t>
      </w:r>
    </w:p>
    <w:p w14:paraId="3A475E2A"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2B"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En caso de reincidencia se impondrá otra multa mayor dentro de los límites señalados en el artículo precedente o se duplicará la multa inmediatamente anterior que se hubiese impuesto.</w:t>
      </w:r>
    </w:p>
    <w:p w14:paraId="3A475E2C" w14:textId="77777777" w:rsidR="009B5E39" w:rsidRPr="00195BC6" w:rsidRDefault="009B5E39" w:rsidP="009B5E39">
      <w:pPr>
        <w:autoSpaceDE w:val="0"/>
        <w:autoSpaceDN w:val="0"/>
        <w:adjustRightInd w:val="0"/>
        <w:ind w:left="284" w:right="283"/>
        <w:jc w:val="both"/>
        <w:rPr>
          <w:rFonts w:ascii="Gotham" w:hAnsi="Gotham" w:cs="Arial"/>
          <w:b/>
          <w:bCs/>
          <w:sz w:val="19"/>
          <w:szCs w:val="19"/>
        </w:rPr>
      </w:pPr>
    </w:p>
    <w:p w14:paraId="3A475E2D"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sz w:val="19"/>
          <w:szCs w:val="19"/>
        </w:rPr>
        <w:t>Estas sanciones constituyen créditos fiscales y se harán efectivas mediante el procedimiento administrativo de ejecución.</w:t>
      </w:r>
    </w:p>
    <w:p w14:paraId="3A475E2E"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2F" w14:textId="77777777" w:rsidR="009B5E39"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iCs/>
          <w:sz w:val="19"/>
          <w:szCs w:val="19"/>
        </w:rPr>
        <w:t xml:space="preserve">Artículo </w:t>
      </w:r>
      <w:r w:rsidRPr="00195BC6">
        <w:rPr>
          <w:rFonts w:ascii="Gotham" w:hAnsi="Gotham" w:cs="Arial"/>
          <w:b/>
          <w:sz w:val="19"/>
          <w:szCs w:val="19"/>
        </w:rPr>
        <w:t>51°</w:t>
      </w:r>
      <w:r w:rsidRPr="00195BC6">
        <w:rPr>
          <w:rFonts w:ascii="Gotham" w:hAnsi="Gotham" w:cs="Arial"/>
          <w:b/>
          <w:bCs/>
          <w:iCs/>
          <w:sz w:val="19"/>
          <w:szCs w:val="19"/>
        </w:rPr>
        <w:t>.</w:t>
      </w:r>
      <w:r w:rsidRPr="00195BC6">
        <w:rPr>
          <w:rFonts w:ascii="Gotham" w:hAnsi="Gotham" w:cs="Arial"/>
          <w:bCs/>
          <w:iCs/>
          <w:sz w:val="19"/>
          <w:szCs w:val="19"/>
        </w:rPr>
        <w:t xml:space="preserve"> </w:t>
      </w:r>
      <w:r w:rsidRPr="00195BC6">
        <w:rPr>
          <w:rFonts w:ascii="Gotham" w:hAnsi="Gotham" w:cs="Arial"/>
          <w:sz w:val="19"/>
          <w:szCs w:val="19"/>
        </w:rPr>
        <w:t>En el caso de erección de monumentos sin la debida autorización de acuerdo a lo que señala el presente Reglamento, se procederá a la demolición de la construcción con cargo al infractor, sin perjuicio de lo que determine la Autoridad competente.</w:t>
      </w:r>
    </w:p>
    <w:p w14:paraId="3A475E30" w14:textId="77777777" w:rsidR="009B5E39" w:rsidRDefault="009B5E39" w:rsidP="009B5E39">
      <w:pPr>
        <w:autoSpaceDE w:val="0"/>
        <w:autoSpaceDN w:val="0"/>
        <w:adjustRightInd w:val="0"/>
        <w:ind w:left="284" w:right="283"/>
        <w:jc w:val="both"/>
        <w:rPr>
          <w:rFonts w:ascii="Gotham" w:hAnsi="Gotham" w:cs="Arial"/>
          <w:sz w:val="19"/>
          <w:szCs w:val="19"/>
        </w:rPr>
      </w:pPr>
    </w:p>
    <w:p w14:paraId="3A475E31"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32" w14:textId="77777777" w:rsidR="009B5E39" w:rsidRPr="00195BC6" w:rsidRDefault="009B5E39" w:rsidP="009B5E39">
      <w:pPr>
        <w:autoSpaceDE w:val="0"/>
        <w:autoSpaceDN w:val="0"/>
        <w:adjustRightInd w:val="0"/>
        <w:ind w:left="284" w:right="283"/>
        <w:jc w:val="center"/>
        <w:rPr>
          <w:rFonts w:ascii="Gotham" w:hAnsi="Gotham" w:cs="Arial"/>
          <w:b/>
          <w:bCs/>
          <w:iCs/>
          <w:sz w:val="19"/>
          <w:szCs w:val="19"/>
        </w:rPr>
      </w:pPr>
      <w:r w:rsidRPr="00195BC6">
        <w:rPr>
          <w:rFonts w:ascii="Gotham" w:hAnsi="Gotham" w:cs="Arial"/>
          <w:b/>
          <w:bCs/>
          <w:iCs/>
          <w:sz w:val="19"/>
          <w:szCs w:val="19"/>
        </w:rPr>
        <w:t>Artículos Transitorios</w:t>
      </w:r>
    </w:p>
    <w:p w14:paraId="3A475E33" w14:textId="77777777" w:rsidR="009B5E39" w:rsidRPr="00195BC6" w:rsidRDefault="009B5E39" w:rsidP="009B5E39">
      <w:pPr>
        <w:autoSpaceDE w:val="0"/>
        <w:autoSpaceDN w:val="0"/>
        <w:adjustRightInd w:val="0"/>
        <w:ind w:left="284" w:right="283"/>
        <w:jc w:val="center"/>
        <w:rPr>
          <w:rFonts w:ascii="Gotham" w:hAnsi="Gotham" w:cs="Arial"/>
          <w:b/>
          <w:bCs/>
          <w:sz w:val="19"/>
          <w:szCs w:val="19"/>
        </w:rPr>
      </w:pPr>
    </w:p>
    <w:p w14:paraId="3A475E34" w14:textId="3EE1E3BB"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Primero. </w:t>
      </w:r>
      <w:r w:rsidRPr="00195BC6">
        <w:rPr>
          <w:rFonts w:ascii="Gotham" w:hAnsi="Gotham" w:cs="Arial"/>
          <w:sz w:val="19"/>
          <w:szCs w:val="19"/>
        </w:rPr>
        <w:t>El presente ordenamiento entrará en vigor al día siguiente de su publicación en la Gaceta Municipal de Tonalá “T</w:t>
      </w:r>
      <w:r w:rsidR="008D22E5">
        <w:rPr>
          <w:rFonts w:ascii="Gotham" w:hAnsi="Gotham" w:cs="Arial"/>
          <w:sz w:val="19"/>
          <w:szCs w:val="19"/>
        </w:rPr>
        <w:t>lahtolli</w:t>
      </w:r>
      <w:r w:rsidRPr="00195BC6">
        <w:rPr>
          <w:rFonts w:ascii="Gotham" w:hAnsi="Gotham" w:cs="Arial"/>
          <w:sz w:val="19"/>
          <w:szCs w:val="19"/>
        </w:rPr>
        <w:t>”, Jalisco, para efectos legales correspondientes.</w:t>
      </w:r>
    </w:p>
    <w:p w14:paraId="3A475E35" w14:textId="77777777" w:rsidR="009B5E39" w:rsidRPr="00195BC6" w:rsidRDefault="009B5E39" w:rsidP="009B5E39">
      <w:pPr>
        <w:autoSpaceDE w:val="0"/>
        <w:autoSpaceDN w:val="0"/>
        <w:adjustRightInd w:val="0"/>
        <w:ind w:left="284" w:right="283"/>
        <w:jc w:val="both"/>
        <w:rPr>
          <w:rFonts w:ascii="Gotham" w:hAnsi="Gotham" w:cs="Arial"/>
          <w:sz w:val="19"/>
          <w:szCs w:val="19"/>
        </w:rPr>
      </w:pPr>
    </w:p>
    <w:p w14:paraId="3A475E36" w14:textId="77777777" w:rsidR="009B5E39" w:rsidRPr="00195BC6" w:rsidRDefault="009B5E39" w:rsidP="009B5E39">
      <w:pPr>
        <w:pStyle w:val="Default"/>
        <w:ind w:left="284" w:right="283"/>
        <w:jc w:val="both"/>
        <w:rPr>
          <w:rFonts w:ascii="Gotham" w:hAnsi="Gotham"/>
          <w:sz w:val="19"/>
          <w:szCs w:val="19"/>
        </w:rPr>
      </w:pPr>
      <w:r w:rsidRPr="00195BC6">
        <w:rPr>
          <w:rFonts w:ascii="Gotham" w:hAnsi="Gotham"/>
          <w:b/>
          <w:bCs/>
          <w:iCs/>
          <w:sz w:val="19"/>
          <w:szCs w:val="19"/>
        </w:rPr>
        <w:lastRenderedPageBreak/>
        <w:t xml:space="preserve">Segundo. </w:t>
      </w:r>
      <w:r w:rsidRPr="00195BC6">
        <w:rPr>
          <w:rFonts w:ascii="Gotham" w:hAnsi="Gotham"/>
          <w:sz w:val="19"/>
          <w:szCs w:val="19"/>
        </w:rPr>
        <w:t xml:space="preserve">Se derogan en su caso, todas las disposiciones que se opongan a la aplicación de este Reglamento. </w:t>
      </w:r>
    </w:p>
    <w:p w14:paraId="3A475E37" w14:textId="77777777" w:rsidR="009B5E39" w:rsidRPr="00195BC6" w:rsidRDefault="009B5E39" w:rsidP="009B5E39">
      <w:pPr>
        <w:pStyle w:val="Default"/>
        <w:ind w:left="284" w:right="283"/>
        <w:jc w:val="both"/>
        <w:rPr>
          <w:rFonts w:ascii="Gotham" w:hAnsi="Gotham"/>
          <w:sz w:val="19"/>
          <w:szCs w:val="19"/>
        </w:rPr>
      </w:pPr>
    </w:p>
    <w:p w14:paraId="3A475E38" w14:textId="4B9DFEA7" w:rsidR="009B5E39" w:rsidRPr="00195BC6" w:rsidRDefault="009B5E39" w:rsidP="009B5E39">
      <w:pPr>
        <w:pStyle w:val="Default"/>
        <w:ind w:left="284" w:right="283"/>
        <w:jc w:val="both"/>
        <w:rPr>
          <w:rFonts w:ascii="Gotham" w:hAnsi="Gotham"/>
          <w:sz w:val="19"/>
          <w:szCs w:val="19"/>
        </w:rPr>
      </w:pPr>
      <w:r w:rsidRPr="00195BC6">
        <w:rPr>
          <w:rFonts w:ascii="Gotham" w:hAnsi="Gotham"/>
          <w:b/>
          <w:bCs/>
          <w:iCs/>
          <w:sz w:val="19"/>
          <w:szCs w:val="19"/>
        </w:rPr>
        <w:t xml:space="preserve">Tercero. </w:t>
      </w:r>
      <w:r w:rsidRPr="00195BC6">
        <w:rPr>
          <w:rFonts w:ascii="Gotham" w:hAnsi="Gotham"/>
          <w:sz w:val="19"/>
          <w:szCs w:val="19"/>
        </w:rPr>
        <w:t>Publíquense las presentes reformas del Reglamento de Nomenclatura de Vías y Espacios Abiertos públicos del municipio de Tonalá, Jalisco, en la Gaceta Municipal de Tonalá “</w:t>
      </w:r>
      <w:r w:rsidR="008D22E5">
        <w:rPr>
          <w:rFonts w:ascii="Gotham" w:hAnsi="Gotham"/>
          <w:sz w:val="19"/>
          <w:szCs w:val="19"/>
        </w:rPr>
        <w:t>Tlahtolli</w:t>
      </w:r>
      <w:r w:rsidRPr="00195BC6">
        <w:rPr>
          <w:rFonts w:ascii="Gotham" w:hAnsi="Gotham"/>
          <w:sz w:val="19"/>
          <w:szCs w:val="19"/>
        </w:rPr>
        <w:t xml:space="preserve">”, Jalisco, para efectos legales correspondientes. </w:t>
      </w:r>
    </w:p>
    <w:p w14:paraId="3A475E39" w14:textId="77777777" w:rsidR="009B5E39" w:rsidRPr="00195BC6" w:rsidRDefault="009B5E39" w:rsidP="009B5E39">
      <w:pPr>
        <w:pStyle w:val="Default"/>
        <w:ind w:left="284" w:right="283"/>
        <w:jc w:val="both"/>
        <w:rPr>
          <w:rFonts w:ascii="Gotham" w:hAnsi="Gotham"/>
          <w:sz w:val="19"/>
          <w:szCs w:val="19"/>
        </w:rPr>
      </w:pPr>
    </w:p>
    <w:p w14:paraId="3A475E3A" w14:textId="77777777" w:rsidR="009B5E39" w:rsidRPr="00195BC6" w:rsidRDefault="009B5E39" w:rsidP="009B5E39">
      <w:pPr>
        <w:pStyle w:val="Default"/>
        <w:ind w:left="284" w:right="283"/>
        <w:jc w:val="both"/>
        <w:rPr>
          <w:rFonts w:ascii="Gotham" w:hAnsi="Gotham"/>
          <w:b/>
          <w:bCs/>
          <w:iCs/>
          <w:color w:val="FCFCFC"/>
          <w:sz w:val="19"/>
          <w:szCs w:val="19"/>
        </w:rPr>
      </w:pPr>
      <w:r w:rsidRPr="00195BC6">
        <w:rPr>
          <w:rFonts w:ascii="Gotham" w:hAnsi="Gotham"/>
          <w:b/>
          <w:bCs/>
          <w:sz w:val="19"/>
          <w:szCs w:val="19"/>
        </w:rPr>
        <w:t xml:space="preserve">Cuarto. </w:t>
      </w:r>
      <w:r w:rsidRPr="00195BC6">
        <w:rPr>
          <w:rFonts w:ascii="Gotham" w:hAnsi="Gotham"/>
          <w:sz w:val="19"/>
          <w:szCs w:val="19"/>
        </w:rPr>
        <w:t xml:space="preserve">Notifíquese a la </w:t>
      </w:r>
      <w:r w:rsidRPr="00195BC6">
        <w:rPr>
          <w:rFonts w:ascii="Gotham" w:hAnsi="Gotham"/>
          <w:bCs/>
          <w:iCs/>
          <w:color w:val="auto"/>
          <w:sz w:val="19"/>
          <w:szCs w:val="19"/>
        </w:rPr>
        <w:t>Dirección General de Planeación y Desarrollo Urbano Sustentable</w:t>
      </w:r>
      <w:r w:rsidRPr="00195BC6">
        <w:rPr>
          <w:rFonts w:ascii="Gotham" w:hAnsi="Gotham"/>
          <w:color w:val="auto"/>
          <w:sz w:val="19"/>
          <w:szCs w:val="19"/>
        </w:rPr>
        <w:t xml:space="preserve"> para que dentro del término </w:t>
      </w:r>
      <w:r w:rsidRPr="00195BC6">
        <w:rPr>
          <w:rFonts w:ascii="Gotham" w:hAnsi="Gotham"/>
          <w:sz w:val="19"/>
          <w:szCs w:val="19"/>
        </w:rPr>
        <w:t xml:space="preserve">de 45 días hábiles realicen las adecuaciones técnicas y administrativas que sean necesarias de conformidad con el presente Reglamento. </w:t>
      </w:r>
      <w:r w:rsidRPr="00195BC6">
        <w:rPr>
          <w:rFonts w:ascii="Gotham" w:hAnsi="Gotham"/>
          <w:b/>
          <w:bCs/>
          <w:iCs/>
          <w:color w:val="FCFCFC"/>
          <w:sz w:val="19"/>
          <w:szCs w:val="19"/>
        </w:rPr>
        <w:t>G</w:t>
      </w:r>
    </w:p>
    <w:p w14:paraId="3A475E3B" w14:textId="77777777" w:rsidR="009B5E39" w:rsidRPr="00195BC6" w:rsidRDefault="009B5E39" w:rsidP="009B5E39">
      <w:pPr>
        <w:pStyle w:val="Default"/>
        <w:ind w:left="284" w:right="283"/>
        <w:jc w:val="both"/>
        <w:rPr>
          <w:rFonts w:ascii="Gotham" w:hAnsi="Gotham"/>
          <w:b/>
          <w:bCs/>
          <w:iCs/>
          <w:color w:val="FCFCFC"/>
          <w:sz w:val="19"/>
          <w:szCs w:val="19"/>
        </w:rPr>
      </w:pPr>
    </w:p>
    <w:p w14:paraId="3A475E3C" w14:textId="77777777" w:rsidR="009B5E39" w:rsidRPr="00195BC6" w:rsidRDefault="009B5E39" w:rsidP="009B5E39">
      <w:pPr>
        <w:autoSpaceDE w:val="0"/>
        <w:autoSpaceDN w:val="0"/>
        <w:adjustRightInd w:val="0"/>
        <w:ind w:left="284" w:right="283"/>
        <w:jc w:val="both"/>
        <w:rPr>
          <w:rFonts w:ascii="Gotham" w:hAnsi="Gotham" w:cs="Arial"/>
          <w:sz w:val="19"/>
          <w:szCs w:val="19"/>
        </w:rPr>
      </w:pPr>
      <w:r w:rsidRPr="00195BC6">
        <w:rPr>
          <w:rFonts w:ascii="Gotham" w:hAnsi="Gotham" w:cs="Arial"/>
          <w:b/>
          <w:bCs/>
          <w:sz w:val="19"/>
          <w:szCs w:val="19"/>
        </w:rPr>
        <w:t xml:space="preserve">Quinto. </w:t>
      </w:r>
      <w:r w:rsidRPr="00195BC6">
        <w:rPr>
          <w:rFonts w:ascii="Gotham" w:hAnsi="Gotham" w:cs="Arial"/>
          <w:sz w:val="19"/>
          <w:szCs w:val="19"/>
        </w:rPr>
        <w:t>Una vez publicado el presente ordenamiento, remítase mediante oficio un tanto del mismo al Congreso del Estado de Jalisco, para los efectos contemplados en el artículo 42, fracción VII de la Ley del Gobierno y la Administración Pública Municipal del Estado de Jalisco.</w:t>
      </w:r>
    </w:p>
    <w:p w14:paraId="3A475E3D" w14:textId="77777777" w:rsidR="009B5E39" w:rsidRPr="008E359C" w:rsidRDefault="009B5E39" w:rsidP="009B5E39">
      <w:pPr>
        <w:jc w:val="both"/>
        <w:rPr>
          <w:rFonts w:ascii="Gotham" w:hAnsi="Gotham" w:cs="Arial"/>
          <w:b/>
          <w:sz w:val="20"/>
          <w:szCs w:val="20"/>
        </w:rPr>
      </w:pPr>
    </w:p>
    <w:p w14:paraId="3A475E3E" w14:textId="77777777" w:rsidR="009B5E39" w:rsidRPr="008E359C" w:rsidRDefault="009B5E39" w:rsidP="009B5E39">
      <w:pPr>
        <w:jc w:val="both"/>
        <w:rPr>
          <w:rFonts w:ascii="Gotham" w:hAnsi="Gotham" w:cs="Arial"/>
          <w:b/>
          <w:sz w:val="20"/>
          <w:szCs w:val="20"/>
        </w:rPr>
      </w:pPr>
      <w:r w:rsidRPr="008E359C">
        <w:rPr>
          <w:rFonts w:ascii="Gotham" w:hAnsi="Gotham" w:cs="Arial"/>
          <w:b/>
          <w:sz w:val="20"/>
          <w:szCs w:val="20"/>
        </w:rPr>
        <w:t xml:space="preserve">Por lo que respecta a las NORMAS TÉCNICAS INTEGRALES EN MATERIA DE REDENSIFICACIÓN URBANA PARA EL MUNICIPIO DE TONALÁ, JALISCO, se proponen las siguientes modificaciones: </w:t>
      </w:r>
    </w:p>
    <w:p w14:paraId="3A475E3F" w14:textId="77777777" w:rsidR="009B5E39" w:rsidRPr="008E359C" w:rsidRDefault="009B5E39" w:rsidP="009B5E39">
      <w:pPr>
        <w:jc w:val="both"/>
        <w:rPr>
          <w:rFonts w:ascii="Gotham" w:hAnsi="Gotham" w:cs="Arial"/>
          <w:sz w:val="20"/>
          <w:szCs w:val="20"/>
        </w:rPr>
      </w:pPr>
    </w:p>
    <w:p w14:paraId="3A475E40" w14:textId="77777777" w:rsidR="009B5E39" w:rsidRPr="008230D6" w:rsidRDefault="009B5E39" w:rsidP="009B5E39">
      <w:pPr>
        <w:ind w:left="284" w:right="284"/>
        <w:jc w:val="center"/>
        <w:rPr>
          <w:rFonts w:ascii="Gotham" w:hAnsi="Gotham" w:cs="Arial"/>
          <w:b/>
          <w:sz w:val="19"/>
          <w:szCs w:val="19"/>
        </w:rPr>
      </w:pPr>
      <w:r w:rsidRPr="008230D6">
        <w:rPr>
          <w:rFonts w:ascii="Gotham" w:hAnsi="Gotham" w:cs="Arial"/>
          <w:b/>
          <w:sz w:val="19"/>
          <w:szCs w:val="19"/>
        </w:rPr>
        <w:t>NORMAS TÉCNICAS INTEGRALES EN MATERIA DE REDENSIFICACIÓN URBANA PARA EL MUNICIPIO DE TONALÁ, JALISCO.</w:t>
      </w:r>
    </w:p>
    <w:p w14:paraId="3A475E41" w14:textId="77777777" w:rsidR="009B5E39" w:rsidRPr="008230D6" w:rsidRDefault="009B5E39" w:rsidP="009B5E39">
      <w:pPr>
        <w:pStyle w:val="Prrafodelista"/>
        <w:ind w:left="284" w:right="284"/>
        <w:contextualSpacing w:val="0"/>
        <w:jc w:val="both"/>
        <w:rPr>
          <w:rFonts w:ascii="Gotham" w:hAnsi="Gotham" w:cs="Arial"/>
          <w:b/>
          <w:sz w:val="19"/>
          <w:szCs w:val="19"/>
          <w:lang w:val="es-MX"/>
        </w:rPr>
      </w:pPr>
    </w:p>
    <w:p w14:paraId="3A475E42" w14:textId="77777777" w:rsidR="009B5E39" w:rsidRPr="008230D6" w:rsidRDefault="009B5E39" w:rsidP="009B5E39">
      <w:pPr>
        <w:ind w:left="284" w:right="284"/>
        <w:jc w:val="center"/>
        <w:rPr>
          <w:rFonts w:ascii="Gotham" w:hAnsi="Gotham" w:cs="Arial"/>
          <w:b/>
          <w:sz w:val="19"/>
          <w:szCs w:val="19"/>
        </w:rPr>
      </w:pPr>
      <w:r w:rsidRPr="008230D6">
        <w:rPr>
          <w:rFonts w:ascii="Gotham" w:hAnsi="Gotham" w:cs="Arial"/>
          <w:b/>
          <w:sz w:val="19"/>
          <w:szCs w:val="19"/>
        </w:rPr>
        <w:t>CAPÍTULO I</w:t>
      </w:r>
    </w:p>
    <w:p w14:paraId="3A475E43" w14:textId="77777777" w:rsidR="009B5E39" w:rsidRPr="008230D6" w:rsidRDefault="009B5E39" w:rsidP="009B5E39">
      <w:pPr>
        <w:ind w:left="284" w:right="284"/>
        <w:jc w:val="center"/>
        <w:rPr>
          <w:rFonts w:ascii="Gotham" w:hAnsi="Gotham" w:cs="Arial"/>
          <w:b/>
          <w:sz w:val="19"/>
          <w:szCs w:val="19"/>
        </w:rPr>
      </w:pPr>
      <w:bookmarkStart w:id="49" w:name="_Toc17816570"/>
      <w:r w:rsidRPr="008230D6">
        <w:rPr>
          <w:rFonts w:ascii="Gotham" w:hAnsi="Gotham" w:cs="Arial"/>
          <w:b/>
          <w:sz w:val="19"/>
          <w:szCs w:val="19"/>
        </w:rPr>
        <w:t>GENERALES DE APLICACIÓN</w:t>
      </w:r>
      <w:bookmarkEnd w:id="49"/>
    </w:p>
    <w:p w14:paraId="3A475E44" w14:textId="77777777" w:rsidR="009B5E39" w:rsidRPr="008230D6" w:rsidRDefault="009B5E39" w:rsidP="009B5E39">
      <w:pPr>
        <w:pStyle w:val="Prrafodelista"/>
        <w:ind w:left="284" w:right="284"/>
        <w:contextualSpacing w:val="0"/>
        <w:jc w:val="both"/>
        <w:rPr>
          <w:rFonts w:ascii="Gotham" w:hAnsi="Gotham" w:cs="Arial"/>
          <w:b/>
          <w:sz w:val="19"/>
          <w:szCs w:val="19"/>
          <w:lang w:val="es-MX"/>
        </w:rPr>
      </w:pPr>
    </w:p>
    <w:p w14:paraId="3A475E45" w14:textId="77777777" w:rsidR="009B5E39" w:rsidRPr="008230D6" w:rsidRDefault="009B5E39" w:rsidP="009B5E39">
      <w:pPr>
        <w:pStyle w:val="Prrafodelista"/>
        <w:ind w:left="284" w:right="284"/>
        <w:contextualSpacing w:val="0"/>
        <w:jc w:val="both"/>
        <w:rPr>
          <w:rFonts w:ascii="Gotham" w:hAnsi="Gotham" w:cs="Arial"/>
          <w:sz w:val="19"/>
          <w:szCs w:val="19"/>
          <w:lang w:val="es-MX"/>
        </w:rPr>
      </w:pPr>
      <w:r w:rsidRPr="008230D6">
        <w:rPr>
          <w:rFonts w:ascii="Gotham" w:hAnsi="Gotham" w:cs="Arial"/>
          <w:b/>
          <w:sz w:val="19"/>
          <w:szCs w:val="19"/>
          <w:lang w:val="es-MX"/>
        </w:rPr>
        <w:t>Artículo 1.</w:t>
      </w:r>
      <w:r w:rsidRPr="008230D6">
        <w:rPr>
          <w:rFonts w:ascii="Gotham" w:hAnsi="Gotham" w:cs="Arial"/>
          <w:sz w:val="19"/>
          <w:szCs w:val="19"/>
          <w:lang w:val="es-MX"/>
        </w:rPr>
        <w:t xml:space="preserve"> Las presentes normas integrales son de observancia general y podrán ser adoptadas por quien así lo requiera, siempre y cuando se garantice el cumplimiento de todas y cada una de las disposiciones aquí contenidas.</w:t>
      </w:r>
    </w:p>
    <w:p w14:paraId="3A475E46" w14:textId="77777777" w:rsidR="009B5E39" w:rsidRPr="008230D6" w:rsidRDefault="009B5E39" w:rsidP="009B5E39">
      <w:pPr>
        <w:pStyle w:val="Prrafodelista"/>
        <w:ind w:left="284" w:right="284"/>
        <w:contextualSpacing w:val="0"/>
        <w:jc w:val="both"/>
        <w:rPr>
          <w:rFonts w:ascii="Gotham" w:hAnsi="Gotham" w:cs="Arial"/>
          <w:sz w:val="19"/>
          <w:szCs w:val="19"/>
          <w:lang w:val="es-MX"/>
        </w:rPr>
      </w:pPr>
    </w:p>
    <w:p w14:paraId="3A475E47" w14:textId="77777777" w:rsidR="009B5E39" w:rsidRPr="008230D6" w:rsidRDefault="009B5E39" w:rsidP="009B5E39">
      <w:pPr>
        <w:pStyle w:val="Prrafodelista"/>
        <w:ind w:left="284" w:right="284"/>
        <w:contextualSpacing w:val="0"/>
        <w:jc w:val="both"/>
        <w:rPr>
          <w:rFonts w:ascii="Gotham" w:hAnsi="Gotham" w:cs="Arial"/>
          <w:sz w:val="19"/>
          <w:szCs w:val="19"/>
          <w:lang w:val="es-MX"/>
        </w:rPr>
      </w:pPr>
      <w:r w:rsidRPr="008230D6">
        <w:rPr>
          <w:rFonts w:ascii="Gotham" w:hAnsi="Gotham" w:cs="Arial"/>
          <w:b/>
          <w:sz w:val="19"/>
          <w:szCs w:val="19"/>
          <w:lang w:val="es-MX"/>
        </w:rPr>
        <w:t>Artículo 2.</w:t>
      </w:r>
      <w:r w:rsidRPr="008230D6">
        <w:rPr>
          <w:rFonts w:ascii="Gotham" w:hAnsi="Gotham" w:cs="Arial"/>
          <w:sz w:val="19"/>
          <w:szCs w:val="19"/>
          <w:lang w:val="es-MX"/>
        </w:rPr>
        <w:t xml:space="preserve"> Las Normas Integrales de Redensificación Urbana tienen por objeto establecer los lineamientos y procedimientos para llevar a cabo las modalidades de redensificación de vivienda que este documento plantea, considerando lo contenido en los Planes de Desarrollo Urbano vigentes, </w:t>
      </w:r>
      <w:r w:rsidRPr="008230D6">
        <w:rPr>
          <w:rFonts w:ascii="Gotham" w:hAnsi="Gotham" w:cs="Arial"/>
          <w:color w:val="2E74B5" w:themeColor="accent1" w:themeShade="BF"/>
          <w:sz w:val="19"/>
          <w:szCs w:val="19"/>
          <w:lang w:val="es-MX"/>
        </w:rPr>
        <w:t>además de</w:t>
      </w:r>
      <w:r w:rsidRPr="008230D6">
        <w:rPr>
          <w:rFonts w:ascii="Gotham" w:hAnsi="Gotham" w:cs="Arial"/>
          <w:sz w:val="19"/>
          <w:szCs w:val="19"/>
          <w:lang w:val="es-MX"/>
        </w:rPr>
        <w:t xml:space="preserve"> </w:t>
      </w:r>
      <w:r w:rsidRPr="008230D6">
        <w:rPr>
          <w:rFonts w:ascii="Gotham" w:hAnsi="Gotham" w:cs="Arial"/>
          <w:color w:val="2E74B5" w:themeColor="accent1" w:themeShade="BF"/>
          <w:sz w:val="19"/>
          <w:szCs w:val="19"/>
          <w:lang w:val="es-MX"/>
        </w:rPr>
        <w:t>establecer y garantizar las acciones para evitar o mitigar, los impactos generados a la estructura sanitaria, hidráulica, eléctrica, vial, social y económica así como de integración urbana en beneficio de la calidad de vida de la población.</w:t>
      </w:r>
    </w:p>
    <w:p w14:paraId="3A475E48" w14:textId="77777777" w:rsidR="009B5E39" w:rsidRPr="008230D6" w:rsidRDefault="009B5E39" w:rsidP="009B5E39">
      <w:pPr>
        <w:pStyle w:val="Prrafodelista"/>
        <w:ind w:left="284" w:right="284"/>
        <w:contextualSpacing w:val="0"/>
        <w:jc w:val="both"/>
        <w:rPr>
          <w:rFonts w:ascii="Gotham" w:hAnsi="Gotham" w:cs="Arial"/>
          <w:sz w:val="19"/>
          <w:szCs w:val="19"/>
          <w:lang w:val="es-MX"/>
        </w:rPr>
      </w:pPr>
    </w:p>
    <w:p w14:paraId="3A475E49" w14:textId="77777777" w:rsidR="009B5E39" w:rsidRPr="008230D6" w:rsidRDefault="009B5E39" w:rsidP="009B5E39">
      <w:pPr>
        <w:pStyle w:val="Prrafodelista"/>
        <w:ind w:left="284" w:right="284"/>
        <w:contextualSpacing w:val="0"/>
        <w:jc w:val="both"/>
        <w:rPr>
          <w:rFonts w:ascii="Gotham" w:hAnsi="Gotham" w:cs="Arial"/>
          <w:sz w:val="19"/>
          <w:szCs w:val="19"/>
          <w:lang w:val="es-MX"/>
        </w:rPr>
      </w:pPr>
      <w:r w:rsidRPr="008230D6">
        <w:rPr>
          <w:rFonts w:ascii="Gotham" w:hAnsi="Gotham" w:cs="Arial"/>
          <w:b/>
          <w:sz w:val="19"/>
          <w:szCs w:val="19"/>
          <w:lang w:val="es-MX"/>
        </w:rPr>
        <w:t>Artículo 3.</w:t>
      </w:r>
      <w:r w:rsidRPr="008230D6">
        <w:rPr>
          <w:rFonts w:ascii="Gotham" w:hAnsi="Gotham" w:cs="Arial"/>
          <w:sz w:val="19"/>
          <w:szCs w:val="19"/>
          <w:lang w:val="es-MX"/>
        </w:rPr>
        <w:t xml:space="preserve"> Este ordenamiento establece la opción de redensificación de vivienda vertical para el Municipio de Tonalá, independiente de las ya previstas en el Reglamento Estatal de Zonificación de Jalisco, que son HJ, H1-U, H1-H, H1-V, H2-U, H2-H, H2-V, H3-U, H3-H, H3-V, H4-U, H4-H y H4-V.</w:t>
      </w:r>
    </w:p>
    <w:p w14:paraId="3A475E4A" w14:textId="77777777" w:rsidR="009B5E39" w:rsidRPr="008230D6" w:rsidRDefault="009B5E39" w:rsidP="009B5E39">
      <w:pPr>
        <w:pStyle w:val="Prrafodelista"/>
        <w:ind w:left="284" w:right="284"/>
        <w:contextualSpacing w:val="0"/>
        <w:jc w:val="both"/>
        <w:rPr>
          <w:rFonts w:ascii="Gotham" w:hAnsi="Gotham" w:cs="Arial"/>
          <w:sz w:val="19"/>
          <w:szCs w:val="19"/>
          <w:lang w:val="es-MX"/>
        </w:rPr>
      </w:pPr>
    </w:p>
    <w:p w14:paraId="3A475E4B" w14:textId="77777777" w:rsidR="009B5E39" w:rsidRPr="008230D6" w:rsidRDefault="009B5E39" w:rsidP="009B5E39">
      <w:pPr>
        <w:pStyle w:val="Prrafodelista"/>
        <w:ind w:left="284" w:right="284"/>
        <w:contextualSpacing w:val="0"/>
        <w:jc w:val="both"/>
        <w:rPr>
          <w:rFonts w:ascii="Gotham" w:hAnsi="Gotham" w:cs="Arial"/>
          <w:sz w:val="19"/>
          <w:szCs w:val="19"/>
          <w:lang w:val="es-MX"/>
        </w:rPr>
      </w:pPr>
      <w:r w:rsidRPr="008230D6">
        <w:rPr>
          <w:rFonts w:ascii="Gotham" w:hAnsi="Gotham" w:cs="Arial"/>
          <w:b/>
          <w:sz w:val="19"/>
          <w:szCs w:val="19"/>
          <w:lang w:val="es-MX"/>
        </w:rPr>
        <w:t>Artículo 4.</w:t>
      </w:r>
      <w:r w:rsidRPr="008230D6">
        <w:rPr>
          <w:rFonts w:ascii="Gotham" w:hAnsi="Gotham" w:cs="Arial"/>
          <w:sz w:val="19"/>
          <w:szCs w:val="19"/>
          <w:lang w:val="es-MX"/>
        </w:rPr>
        <w:t xml:space="preserve"> Los términos de los procedimientos administrativos, así como los lineamientos técnicos que no estén establecidos en las presentes normas integrales estarán sujetas a los establecidos por el Código Urbano para el Estado de Jalisco, el Reglamento Estatal de Zonificación de Jalisco y demás leyes aplicables en la materia.</w:t>
      </w:r>
    </w:p>
    <w:p w14:paraId="3A475E4C" w14:textId="77777777" w:rsidR="009B5E39" w:rsidRPr="008230D6" w:rsidRDefault="009B5E39" w:rsidP="009B5E39">
      <w:pPr>
        <w:pStyle w:val="Prrafodelista"/>
        <w:ind w:left="284" w:right="284"/>
        <w:contextualSpacing w:val="0"/>
        <w:jc w:val="both"/>
        <w:rPr>
          <w:rFonts w:ascii="Gotham" w:hAnsi="Gotham" w:cs="Arial"/>
          <w:sz w:val="19"/>
          <w:szCs w:val="19"/>
          <w:lang w:val="es-MX"/>
        </w:rPr>
      </w:pPr>
    </w:p>
    <w:p w14:paraId="3A475E4D" w14:textId="77777777" w:rsidR="009B5E39" w:rsidRPr="008230D6" w:rsidRDefault="009B5E39" w:rsidP="009B5E39">
      <w:pPr>
        <w:pStyle w:val="Prrafodelista"/>
        <w:ind w:left="284" w:right="284"/>
        <w:contextualSpacing w:val="0"/>
        <w:jc w:val="both"/>
        <w:rPr>
          <w:rFonts w:ascii="Gotham" w:hAnsi="Gotham" w:cs="Arial"/>
          <w:sz w:val="19"/>
          <w:szCs w:val="19"/>
          <w:lang w:val="es-MX"/>
        </w:rPr>
      </w:pPr>
      <w:r w:rsidRPr="008230D6">
        <w:rPr>
          <w:rFonts w:ascii="Gotham" w:hAnsi="Gotham" w:cs="Arial"/>
          <w:b/>
          <w:sz w:val="19"/>
          <w:szCs w:val="19"/>
          <w:lang w:val="es-MX"/>
        </w:rPr>
        <w:t>Artículo 5.</w:t>
      </w:r>
      <w:r w:rsidRPr="008230D6">
        <w:rPr>
          <w:rFonts w:ascii="Gotham" w:hAnsi="Gotham" w:cs="Arial"/>
          <w:sz w:val="19"/>
          <w:szCs w:val="19"/>
          <w:lang w:val="es-MX"/>
        </w:rPr>
        <w:t xml:space="preserve"> Para efectos de las presentes normas integrales, se entiende por:</w:t>
      </w:r>
    </w:p>
    <w:p w14:paraId="3A475E4E" w14:textId="77777777" w:rsidR="009B5E39" w:rsidRPr="008230D6" w:rsidRDefault="009B5E39" w:rsidP="009B5E39">
      <w:pPr>
        <w:pStyle w:val="Prrafodelista"/>
        <w:ind w:left="284" w:right="284"/>
        <w:contextualSpacing w:val="0"/>
        <w:jc w:val="both"/>
        <w:rPr>
          <w:rFonts w:ascii="Gotham" w:hAnsi="Gotham" w:cs="Arial"/>
          <w:sz w:val="19"/>
          <w:szCs w:val="19"/>
          <w:lang w:val="es-MX"/>
        </w:rPr>
      </w:pPr>
    </w:p>
    <w:p w14:paraId="3A475E4F"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I. </w:t>
      </w:r>
      <w:r>
        <w:rPr>
          <w:rFonts w:ascii="Gotham" w:hAnsi="Gotham" w:cs="Arial"/>
          <w:sz w:val="19"/>
          <w:szCs w:val="19"/>
        </w:rPr>
        <w:tab/>
      </w:r>
      <w:r w:rsidRPr="008230D6">
        <w:rPr>
          <w:rFonts w:ascii="Gotham" w:hAnsi="Gotham" w:cs="Arial"/>
          <w:sz w:val="19"/>
          <w:szCs w:val="19"/>
        </w:rPr>
        <w:t>ACD: Área de Cesión para Destinos, las que se determinan en los proyectos definitivos de urbanización para proveer los fines públicos que requiera la comunidad y se reflejan en congruencia con los planes y programas de desarrollo urbano del municipio;</w:t>
      </w:r>
    </w:p>
    <w:p w14:paraId="3A475E50"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II. </w:t>
      </w:r>
      <w:r>
        <w:rPr>
          <w:rFonts w:ascii="Gotham" w:hAnsi="Gotham" w:cs="Arial"/>
          <w:sz w:val="19"/>
          <w:szCs w:val="19"/>
        </w:rPr>
        <w:tab/>
      </w:r>
      <w:r w:rsidRPr="008230D6">
        <w:rPr>
          <w:rFonts w:ascii="Gotham" w:hAnsi="Gotham" w:cs="Arial"/>
          <w:sz w:val="19"/>
          <w:szCs w:val="19"/>
        </w:rPr>
        <w:t>CFE: Comisión Federal de Electricidad;</w:t>
      </w:r>
    </w:p>
    <w:p w14:paraId="3A475E51"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III. </w:t>
      </w:r>
      <w:r>
        <w:rPr>
          <w:rFonts w:ascii="Gotham" w:hAnsi="Gotham" w:cs="Arial"/>
          <w:sz w:val="19"/>
          <w:szCs w:val="19"/>
        </w:rPr>
        <w:tab/>
      </w:r>
      <w:r w:rsidRPr="008230D6">
        <w:rPr>
          <w:rFonts w:ascii="Gotham" w:hAnsi="Gotham" w:cs="Arial"/>
          <w:sz w:val="19"/>
          <w:szCs w:val="19"/>
        </w:rPr>
        <w:t xml:space="preserve">CONAGUA: Comisión Nacional del Agua; </w:t>
      </w:r>
    </w:p>
    <w:p w14:paraId="3A475E52"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IV. </w:t>
      </w:r>
      <w:r>
        <w:rPr>
          <w:rFonts w:ascii="Gotham" w:hAnsi="Gotham" w:cs="Arial"/>
          <w:sz w:val="19"/>
          <w:szCs w:val="19"/>
        </w:rPr>
        <w:tab/>
      </w:r>
      <w:r w:rsidRPr="008230D6">
        <w:rPr>
          <w:rFonts w:ascii="Gotham" w:hAnsi="Gotham" w:cs="Arial"/>
          <w:sz w:val="19"/>
          <w:szCs w:val="19"/>
        </w:rPr>
        <w:t>CONAVI: Comisión Nacional de Vivienda;</w:t>
      </w:r>
    </w:p>
    <w:p w14:paraId="3A475E53"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lastRenderedPageBreak/>
        <w:t xml:space="preserve">V. </w:t>
      </w:r>
      <w:r>
        <w:rPr>
          <w:rFonts w:ascii="Gotham" w:hAnsi="Gotham" w:cs="Arial"/>
          <w:sz w:val="19"/>
          <w:szCs w:val="19"/>
        </w:rPr>
        <w:tab/>
      </w:r>
      <w:r w:rsidRPr="008230D6">
        <w:rPr>
          <w:rFonts w:ascii="Gotham" w:hAnsi="Gotham" w:cs="Arial"/>
          <w:sz w:val="19"/>
          <w:szCs w:val="19"/>
        </w:rPr>
        <w:t>COS: Coeficiente de Ocupación del Suelo, es el factor que, multiplicado por el área total de un lote o predio, determina la superficie máxima de desplante edificable del mismo, excluyendo de su cuantificación las áreas ocupadas por sótanos;</w:t>
      </w:r>
    </w:p>
    <w:p w14:paraId="3A475E54"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VI. </w:t>
      </w:r>
      <w:r>
        <w:rPr>
          <w:rFonts w:ascii="Gotham" w:hAnsi="Gotham" w:cs="Arial"/>
          <w:sz w:val="19"/>
          <w:szCs w:val="19"/>
        </w:rPr>
        <w:tab/>
      </w:r>
      <w:r w:rsidRPr="008230D6">
        <w:rPr>
          <w:rFonts w:ascii="Gotham" w:hAnsi="Gotham" w:cs="Arial"/>
          <w:sz w:val="19"/>
          <w:szCs w:val="19"/>
        </w:rPr>
        <w:t>CUS: Coeficiente de Utilización del Suelo, es el factor que, multiplicado por el área total de un lote o predio, determina la superficie máxima construida que puede tener una edificación en un lote determinado, excluyendo de su cuantificación las áreas ocupadas por sótanos;</w:t>
      </w:r>
    </w:p>
    <w:p w14:paraId="3A475E55"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VII. </w:t>
      </w:r>
      <w:r>
        <w:rPr>
          <w:rFonts w:ascii="Gotham" w:hAnsi="Gotham" w:cs="Arial"/>
          <w:sz w:val="19"/>
          <w:szCs w:val="19"/>
        </w:rPr>
        <w:tab/>
      </w:r>
      <w:r w:rsidRPr="008230D6">
        <w:rPr>
          <w:rFonts w:ascii="Gotham" w:hAnsi="Gotham" w:cs="Arial"/>
          <w:sz w:val="19"/>
          <w:szCs w:val="19"/>
        </w:rPr>
        <w:t>Dirección: Dirección General de Planeación y Desarrollo Urbano Sustentable;</w:t>
      </w:r>
    </w:p>
    <w:p w14:paraId="3A475E56"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VIII. </w:t>
      </w:r>
      <w:r>
        <w:rPr>
          <w:rFonts w:ascii="Gotham" w:hAnsi="Gotham" w:cs="Arial"/>
          <w:sz w:val="19"/>
          <w:szCs w:val="19"/>
        </w:rPr>
        <w:tab/>
      </w:r>
      <w:r w:rsidRPr="008230D6">
        <w:rPr>
          <w:rFonts w:ascii="Gotham" w:hAnsi="Gotham" w:cs="Arial"/>
          <w:sz w:val="19"/>
          <w:szCs w:val="19"/>
        </w:rPr>
        <w:t>IDE: Índice de Edificación, es el valor que permite conocer la cantidad de unidades privativas (ya sea vivienda o comercio y servicios) que pueden estar insertas en un lote. Este valor no está relacionado con la superficie mínima edificada de cada unidad</w:t>
      </w:r>
    </w:p>
    <w:p w14:paraId="3A475E57"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IX. </w:t>
      </w:r>
      <w:r>
        <w:rPr>
          <w:rFonts w:ascii="Gotham" w:hAnsi="Gotham" w:cs="Arial"/>
          <w:sz w:val="19"/>
          <w:szCs w:val="19"/>
        </w:rPr>
        <w:tab/>
      </w:r>
      <w:r w:rsidRPr="008230D6">
        <w:rPr>
          <w:rFonts w:ascii="Gotham" w:hAnsi="Gotham" w:cs="Arial"/>
          <w:sz w:val="19"/>
          <w:szCs w:val="19"/>
        </w:rPr>
        <w:t>Lote: fracción de un predio resultado de su división, con frente a vialidad pública, que ha sido declarado urbanizado o;</w:t>
      </w:r>
    </w:p>
    <w:p w14:paraId="3A475E58"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X. </w:t>
      </w:r>
      <w:r>
        <w:rPr>
          <w:rFonts w:ascii="Gotham" w:hAnsi="Gotham" w:cs="Arial"/>
          <w:sz w:val="19"/>
          <w:szCs w:val="19"/>
        </w:rPr>
        <w:tab/>
      </w:r>
      <w:r w:rsidRPr="008230D6">
        <w:rPr>
          <w:rFonts w:ascii="Gotham" w:hAnsi="Gotham" w:cs="Arial"/>
          <w:sz w:val="19"/>
          <w:szCs w:val="19"/>
        </w:rPr>
        <w:t xml:space="preserve">Manzana: espacio urbano delimitado por vialidades públicas en todos sus lados; </w:t>
      </w:r>
    </w:p>
    <w:p w14:paraId="3A475E59"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XI. </w:t>
      </w:r>
      <w:r>
        <w:rPr>
          <w:rFonts w:ascii="Gotham" w:hAnsi="Gotham" w:cs="Arial"/>
          <w:sz w:val="19"/>
          <w:szCs w:val="19"/>
        </w:rPr>
        <w:tab/>
      </w:r>
      <w:r w:rsidRPr="008230D6">
        <w:rPr>
          <w:rFonts w:ascii="Gotham" w:hAnsi="Gotham" w:cs="Arial"/>
          <w:sz w:val="19"/>
          <w:szCs w:val="19"/>
        </w:rPr>
        <w:t>Normas Integrales: Normas Integrales de Redensificación Urbana para el Municipio de Tonalá, Jalisco;</w:t>
      </w:r>
    </w:p>
    <w:p w14:paraId="3A475E5A"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XII. </w:t>
      </w:r>
      <w:r>
        <w:rPr>
          <w:rFonts w:ascii="Gotham" w:hAnsi="Gotham" w:cs="Arial"/>
          <w:sz w:val="19"/>
          <w:szCs w:val="19"/>
        </w:rPr>
        <w:tab/>
      </w:r>
      <w:r w:rsidRPr="008230D6">
        <w:rPr>
          <w:rFonts w:ascii="Gotham" w:hAnsi="Gotham" w:cs="Arial"/>
          <w:sz w:val="19"/>
          <w:szCs w:val="19"/>
        </w:rPr>
        <w:t>Perímetros de Contención Urbana: perímetros o polígonos que publique de manera oficial la Secretaría de Desarrollo Agrario, Territorial y Urbano, así como la Comisión Nacional de la Vivienda;</w:t>
      </w:r>
    </w:p>
    <w:p w14:paraId="3A475E5B"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XIII. </w:t>
      </w:r>
      <w:r>
        <w:rPr>
          <w:rFonts w:ascii="Gotham" w:hAnsi="Gotham" w:cs="Arial"/>
          <w:sz w:val="19"/>
          <w:szCs w:val="19"/>
        </w:rPr>
        <w:tab/>
      </w:r>
      <w:r w:rsidRPr="008230D6">
        <w:rPr>
          <w:rFonts w:ascii="Gotham" w:hAnsi="Gotham" w:cs="Arial"/>
          <w:sz w:val="19"/>
          <w:szCs w:val="19"/>
        </w:rPr>
        <w:t>Predio: propiedad de terreno rústico o urbano;</w:t>
      </w:r>
    </w:p>
    <w:p w14:paraId="3A475E5C"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XIV. </w:t>
      </w:r>
      <w:r>
        <w:rPr>
          <w:rFonts w:ascii="Gotham" w:hAnsi="Gotham" w:cs="Arial"/>
          <w:sz w:val="19"/>
          <w:szCs w:val="19"/>
        </w:rPr>
        <w:tab/>
      </w:r>
      <w:r w:rsidRPr="008230D6">
        <w:rPr>
          <w:rFonts w:ascii="Gotham" w:hAnsi="Gotham" w:cs="Arial"/>
          <w:sz w:val="19"/>
          <w:szCs w:val="19"/>
        </w:rPr>
        <w:t>Unidad:</w:t>
      </w:r>
      <w:r w:rsidR="007C2F8D">
        <w:rPr>
          <w:rFonts w:ascii="Gotham" w:hAnsi="Gotham" w:cs="Arial"/>
          <w:sz w:val="19"/>
          <w:szCs w:val="19"/>
        </w:rPr>
        <w:t xml:space="preserve"> </w:t>
      </w:r>
      <w:r w:rsidRPr="008230D6">
        <w:rPr>
          <w:rFonts w:ascii="Gotham" w:hAnsi="Gotham" w:cs="Arial"/>
          <w:sz w:val="19"/>
          <w:szCs w:val="19"/>
        </w:rPr>
        <w:t xml:space="preserve">relativa a una unidad privativa, independientemente de su uso habitacional, comercial o de servicios; </w:t>
      </w:r>
    </w:p>
    <w:p w14:paraId="3A475E5D"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XV. </w:t>
      </w:r>
      <w:r>
        <w:rPr>
          <w:rFonts w:ascii="Gotham" w:hAnsi="Gotham" w:cs="Arial"/>
          <w:sz w:val="19"/>
          <w:szCs w:val="19"/>
        </w:rPr>
        <w:tab/>
      </w:r>
      <w:r w:rsidRPr="008230D6">
        <w:rPr>
          <w:rFonts w:ascii="Gotham" w:hAnsi="Gotham" w:cs="Arial"/>
          <w:sz w:val="19"/>
          <w:szCs w:val="19"/>
        </w:rPr>
        <w:t>Restricción Frontal: superficie que debe dejarse libre de construcción dentro de un lote, medida desde la línea del límite del Jote en cada colindancia con la vía pública o privada, hasta el alineamiento de la edificación por todo el frente de este;</w:t>
      </w:r>
    </w:p>
    <w:p w14:paraId="3A475E5E"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XVI. </w:t>
      </w:r>
      <w:r>
        <w:rPr>
          <w:rFonts w:ascii="Gotham" w:hAnsi="Gotham" w:cs="Arial"/>
          <w:sz w:val="19"/>
          <w:szCs w:val="19"/>
        </w:rPr>
        <w:tab/>
      </w:r>
      <w:r w:rsidRPr="008230D6">
        <w:rPr>
          <w:rFonts w:ascii="Gotham" w:hAnsi="Gotham" w:cs="Arial"/>
          <w:sz w:val="19"/>
          <w:szCs w:val="19"/>
        </w:rPr>
        <w:t xml:space="preserve">SEDATU: Secretaría de Desarrollo Agrario, Territorial y Urbano; </w:t>
      </w:r>
    </w:p>
    <w:p w14:paraId="3A475E5F" w14:textId="64D4D7B2" w:rsidR="009B5E39" w:rsidRPr="008230D6" w:rsidRDefault="009B5E39" w:rsidP="009B5E39">
      <w:pPr>
        <w:ind w:left="1134" w:right="284" w:hanging="850"/>
        <w:jc w:val="both"/>
        <w:rPr>
          <w:rFonts w:ascii="Gotham" w:hAnsi="Gotham" w:cs="Arial"/>
          <w:sz w:val="19"/>
          <w:szCs w:val="19"/>
        </w:rPr>
      </w:pPr>
      <w:r w:rsidRPr="008230D6">
        <w:rPr>
          <w:rFonts w:ascii="Gotham" w:hAnsi="Gotham" w:cs="Arial"/>
          <w:sz w:val="19"/>
          <w:szCs w:val="19"/>
        </w:rPr>
        <w:t xml:space="preserve">XVII. </w:t>
      </w:r>
      <w:r>
        <w:rPr>
          <w:rFonts w:ascii="Gotham" w:hAnsi="Gotham" w:cs="Arial"/>
          <w:sz w:val="19"/>
          <w:szCs w:val="19"/>
        </w:rPr>
        <w:tab/>
      </w:r>
      <w:r w:rsidRPr="008230D6">
        <w:rPr>
          <w:rFonts w:ascii="Gotham" w:hAnsi="Gotham" w:cs="Arial"/>
          <w:sz w:val="19"/>
          <w:szCs w:val="19"/>
        </w:rPr>
        <w:t xml:space="preserve">SIAPA: Sistema </w:t>
      </w:r>
      <w:r w:rsidR="006C0D36" w:rsidRPr="008230D6">
        <w:rPr>
          <w:rFonts w:ascii="Gotham" w:hAnsi="Gotham" w:cs="Arial"/>
          <w:sz w:val="19"/>
          <w:szCs w:val="19"/>
        </w:rPr>
        <w:t>Intermunicipal</w:t>
      </w:r>
      <w:r w:rsidRPr="008230D6">
        <w:rPr>
          <w:rFonts w:ascii="Gotham" w:hAnsi="Gotham" w:cs="Arial"/>
          <w:sz w:val="19"/>
          <w:szCs w:val="19"/>
        </w:rPr>
        <w:t xml:space="preserve"> de Agua Potable y Alcantarillado;</w:t>
      </w:r>
    </w:p>
    <w:p w14:paraId="3A475E60" w14:textId="77777777" w:rsidR="009B5E39" w:rsidRDefault="009B5E39" w:rsidP="009B5E39">
      <w:pPr>
        <w:ind w:left="284" w:right="284"/>
        <w:jc w:val="both"/>
        <w:rPr>
          <w:rFonts w:ascii="Gotham" w:hAnsi="Gotham" w:cs="Arial"/>
          <w:b/>
          <w:sz w:val="19"/>
          <w:szCs w:val="19"/>
        </w:rPr>
      </w:pPr>
    </w:p>
    <w:p w14:paraId="3A475E61" w14:textId="77777777" w:rsidR="009B5E39" w:rsidRPr="008230D6" w:rsidRDefault="009B5E39" w:rsidP="009B5E39">
      <w:pPr>
        <w:ind w:left="284" w:right="284"/>
        <w:jc w:val="both"/>
        <w:rPr>
          <w:rFonts w:ascii="Gotham" w:hAnsi="Gotham" w:cs="Arial"/>
          <w:b/>
          <w:sz w:val="19"/>
          <w:szCs w:val="19"/>
        </w:rPr>
      </w:pPr>
    </w:p>
    <w:p w14:paraId="3A475E62" w14:textId="77777777" w:rsidR="009B5E39" w:rsidRPr="008230D6" w:rsidRDefault="009B5E39" w:rsidP="009B5E39">
      <w:pPr>
        <w:ind w:left="284" w:right="284"/>
        <w:jc w:val="center"/>
        <w:rPr>
          <w:rFonts w:ascii="Gotham" w:hAnsi="Gotham" w:cs="Arial"/>
          <w:b/>
          <w:sz w:val="19"/>
          <w:szCs w:val="19"/>
        </w:rPr>
      </w:pPr>
      <w:r w:rsidRPr="008230D6">
        <w:rPr>
          <w:rFonts w:ascii="Gotham" w:hAnsi="Gotham" w:cs="Arial"/>
          <w:b/>
          <w:sz w:val="19"/>
          <w:szCs w:val="19"/>
        </w:rPr>
        <w:t>CAPÍTULO II</w:t>
      </w:r>
    </w:p>
    <w:p w14:paraId="3A475E63" w14:textId="77777777" w:rsidR="009B5E39" w:rsidRPr="008230D6" w:rsidRDefault="009B5E39" w:rsidP="009B5E39">
      <w:pPr>
        <w:ind w:left="284" w:right="284"/>
        <w:jc w:val="center"/>
        <w:rPr>
          <w:rFonts w:ascii="Gotham" w:hAnsi="Gotham" w:cs="Arial"/>
          <w:b/>
          <w:sz w:val="19"/>
          <w:szCs w:val="19"/>
        </w:rPr>
      </w:pPr>
      <w:bookmarkStart w:id="50" w:name="_Toc17816571"/>
      <w:r w:rsidRPr="008230D6">
        <w:rPr>
          <w:rFonts w:ascii="Gotham" w:hAnsi="Gotham" w:cs="Arial"/>
          <w:b/>
          <w:sz w:val="19"/>
          <w:szCs w:val="19"/>
        </w:rPr>
        <w:t>CONTROL DE LA EDIFICACIÓN</w:t>
      </w:r>
      <w:bookmarkEnd w:id="50"/>
    </w:p>
    <w:p w14:paraId="3A475E64" w14:textId="77777777" w:rsidR="009B5E39" w:rsidRPr="008230D6" w:rsidRDefault="009B5E39" w:rsidP="009B5E39">
      <w:pPr>
        <w:ind w:left="284" w:right="284"/>
        <w:jc w:val="both"/>
        <w:rPr>
          <w:rFonts w:ascii="Gotham" w:hAnsi="Gotham" w:cs="Arial"/>
          <w:sz w:val="19"/>
          <w:szCs w:val="19"/>
        </w:rPr>
      </w:pPr>
    </w:p>
    <w:p w14:paraId="3A475E65" w14:textId="77777777" w:rsidR="009B5E39" w:rsidRPr="008230D6" w:rsidRDefault="009B5E39" w:rsidP="009B5E39">
      <w:pPr>
        <w:ind w:left="284" w:right="284"/>
        <w:jc w:val="both"/>
        <w:rPr>
          <w:rFonts w:ascii="Gotham" w:hAnsi="Gotham" w:cs="Arial"/>
          <w:sz w:val="19"/>
          <w:szCs w:val="19"/>
        </w:rPr>
      </w:pPr>
      <w:r w:rsidRPr="008230D6">
        <w:rPr>
          <w:rFonts w:ascii="Gotham" w:hAnsi="Gotham" w:cs="Arial"/>
          <w:b/>
          <w:sz w:val="19"/>
          <w:szCs w:val="19"/>
        </w:rPr>
        <w:t>Artículo 6.</w:t>
      </w:r>
      <w:r w:rsidRPr="008230D6">
        <w:rPr>
          <w:rFonts w:ascii="Gotham" w:hAnsi="Gotham" w:cs="Arial"/>
          <w:sz w:val="19"/>
          <w:szCs w:val="19"/>
        </w:rPr>
        <w:t xml:space="preserve"> Se establecen dos modalidades de redensificación:</w:t>
      </w:r>
    </w:p>
    <w:p w14:paraId="3A475E66" w14:textId="77777777" w:rsidR="009B5E39" w:rsidRPr="008230D6" w:rsidRDefault="009B5E39" w:rsidP="009B5E39">
      <w:pPr>
        <w:ind w:left="284" w:right="284"/>
        <w:jc w:val="both"/>
        <w:rPr>
          <w:rFonts w:ascii="Gotham" w:hAnsi="Gotham" w:cs="Arial"/>
          <w:sz w:val="19"/>
          <w:szCs w:val="19"/>
        </w:rPr>
      </w:pPr>
    </w:p>
    <w:p w14:paraId="3A475E67" w14:textId="77777777" w:rsidR="009B5E39" w:rsidRPr="008230D6" w:rsidRDefault="009B5E39" w:rsidP="009B5E39">
      <w:pPr>
        <w:spacing w:after="120"/>
        <w:ind w:left="1134" w:right="284" w:hanging="850"/>
        <w:jc w:val="both"/>
        <w:rPr>
          <w:rFonts w:ascii="Gotham" w:hAnsi="Gotham" w:cs="Arial"/>
          <w:sz w:val="19"/>
          <w:szCs w:val="19"/>
        </w:rPr>
      </w:pPr>
      <w:r w:rsidRPr="008230D6">
        <w:rPr>
          <w:rFonts w:ascii="Gotham" w:hAnsi="Gotham" w:cs="Arial"/>
          <w:sz w:val="19"/>
          <w:szCs w:val="19"/>
        </w:rPr>
        <w:t xml:space="preserve">I. </w:t>
      </w:r>
      <w:r>
        <w:rPr>
          <w:rFonts w:ascii="Gotham" w:hAnsi="Gotham" w:cs="Arial"/>
          <w:sz w:val="19"/>
          <w:szCs w:val="19"/>
        </w:rPr>
        <w:tab/>
      </w:r>
      <w:r w:rsidRPr="008230D6">
        <w:rPr>
          <w:rFonts w:ascii="Gotham" w:hAnsi="Gotham" w:cs="Arial"/>
          <w:sz w:val="19"/>
          <w:szCs w:val="19"/>
        </w:rPr>
        <w:t>Mixta. Consiste en la construcción de edificios habitacionales que contengan un área de comercios y servicios en planta baja de los edificios o agrupada en un lote independiente.</w:t>
      </w:r>
    </w:p>
    <w:p w14:paraId="3A475E68" w14:textId="77777777" w:rsidR="009B5E39" w:rsidRPr="008230D6" w:rsidRDefault="009B5E39" w:rsidP="009B5E39">
      <w:pPr>
        <w:ind w:left="1134" w:right="284" w:hanging="850"/>
        <w:jc w:val="both"/>
        <w:rPr>
          <w:rFonts w:ascii="Gotham" w:hAnsi="Gotham" w:cs="Arial"/>
          <w:sz w:val="19"/>
          <w:szCs w:val="19"/>
        </w:rPr>
      </w:pPr>
      <w:r w:rsidRPr="008230D6">
        <w:rPr>
          <w:rFonts w:ascii="Gotham" w:hAnsi="Gotham" w:cs="Arial"/>
          <w:sz w:val="19"/>
          <w:szCs w:val="19"/>
        </w:rPr>
        <w:t xml:space="preserve">II. </w:t>
      </w:r>
      <w:r>
        <w:rPr>
          <w:rFonts w:ascii="Gotham" w:hAnsi="Gotham" w:cs="Arial"/>
          <w:sz w:val="19"/>
          <w:szCs w:val="19"/>
        </w:rPr>
        <w:tab/>
      </w:r>
      <w:r w:rsidRPr="008230D6">
        <w:rPr>
          <w:rFonts w:ascii="Gotham" w:hAnsi="Gotham" w:cs="Arial"/>
          <w:sz w:val="19"/>
          <w:szCs w:val="19"/>
        </w:rPr>
        <w:t>Simple. Consiste en la construcción de edificios únicamente con uso habitacional.</w:t>
      </w:r>
    </w:p>
    <w:p w14:paraId="3A475E69" w14:textId="77777777" w:rsidR="009B5E39" w:rsidRPr="008230D6" w:rsidRDefault="009B5E39" w:rsidP="009B5E39">
      <w:pPr>
        <w:pStyle w:val="Prrafodelista"/>
        <w:ind w:left="284" w:right="284"/>
        <w:contextualSpacing w:val="0"/>
        <w:jc w:val="both"/>
        <w:rPr>
          <w:rFonts w:ascii="Gotham" w:hAnsi="Gotham" w:cs="Arial"/>
          <w:sz w:val="19"/>
          <w:szCs w:val="19"/>
          <w:lang w:val="es-MX"/>
        </w:rPr>
      </w:pPr>
    </w:p>
    <w:p w14:paraId="3A475E6A" w14:textId="77777777" w:rsidR="009B5E39" w:rsidRPr="008230D6" w:rsidRDefault="009B5E39" w:rsidP="009B5E39">
      <w:pPr>
        <w:ind w:left="284" w:right="284"/>
        <w:jc w:val="both"/>
        <w:rPr>
          <w:rFonts w:ascii="Gotham" w:hAnsi="Gotham" w:cs="Arial"/>
          <w:sz w:val="19"/>
          <w:szCs w:val="19"/>
        </w:rPr>
      </w:pPr>
      <w:r w:rsidRPr="008230D6">
        <w:rPr>
          <w:rFonts w:ascii="Gotham" w:hAnsi="Gotham" w:cs="Arial"/>
          <w:b/>
          <w:sz w:val="19"/>
          <w:szCs w:val="19"/>
        </w:rPr>
        <w:t>Artículo 7.</w:t>
      </w:r>
      <w:r w:rsidRPr="008230D6">
        <w:rPr>
          <w:rFonts w:ascii="Gotham" w:hAnsi="Gotham" w:cs="Arial"/>
          <w:sz w:val="19"/>
          <w:szCs w:val="19"/>
        </w:rPr>
        <w:t xml:space="preserve"> Los predios o lotes que se sujeten a la modalidad de redensificación mixta deberán apegarse a los siguientes lineamientos de control de la edificación:</w:t>
      </w:r>
    </w:p>
    <w:p w14:paraId="3A475E6B" w14:textId="77777777" w:rsidR="009B5E39" w:rsidRPr="008230D6" w:rsidRDefault="009B5E39" w:rsidP="009B5E39">
      <w:pPr>
        <w:ind w:left="284" w:right="284"/>
        <w:jc w:val="both"/>
        <w:rPr>
          <w:rFonts w:ascii="Gotham" w:hAnsi="Gotham" w:cs="Arial"/>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80"/>
        <w:gridCol w:w="3432"/>
      </w:tblGrid>
      <w:tr w:rsidR="009B5E39" w:rsidRPr="008230D6" w14:paraId="3A475E6D" w14:textId="77777777" w:rsidTr="00190E4A">
        <w:trPr>
          <w:trHeight w:hRule="exact" w:val="340"/>
          <w:jc w:val="center"/>
        </w:trPr>
        <w:tc>
          <w:tcPr>
            <w:tcW w:w="8212" w:type="dxa"/>
            <w:gridSpan w:val="2"/>
            <w:shd w:val="clear" w:color="auto" w:fill="000000" w:themeFill="text1"/>
            <w:vAlign w:val="center"/>
          </w:tcPr>
          <w:p w14:paraId="3A475E6C" w14:textId="77777777" w:rsidR="009B5E39" w:rsidRPr="008230D6" w:rsidRDefault="009B5E39" w:rsidP="00190E4A">
            <w:pPr>
              <w:spacing w:before="60" w:after="60"/>
              <w:ind w:left="284" w:right="284"/>
              <w:jc w:val="center"/>
              <w:rPr>
                <w:rFonts w:ascii="Gotham" w:eastAsia="Arial" w:hAnsi="Gotham" w:cs="Arial"/>
                <w:b/>
                <w:color w:val="343436"/>
                <w:sz w:val="19"/>
                <w:szCs w:val="19"/>
              </w:rPr>
            </w:pPr>
            <w:r w:rsidRPr="008230D6">
              <w:rPr>
                <w:rFonts w:ascii="Gotham" w:eastAsia="Arial" w:hAnsi="Gotham" w:cs="Arial"/>
                <w:b/>
                <w:color w:val="FFFFFF" w:themeColor="background1"/>
                <w:sz w:val="19"/>
                <w:szCs w:val="19"/>
              </w:rPr>
              <w:t>Cuadro 1. Modalidad Mixta</w:t>
            </w:r>
          </w:p>
        </w:tc>
      </w:tr>
      <w:tr w:rsidR="009B5E39" w:rsidRPr="008230D6" w14:paraId="3A475E70" w14:textId="77777777" w:rsidTr="00190E4A">
        <w:trPr>
          <w:trHeight w:hRule="exact" w:val="340"/>
          <w:jc w:val="center"/>
        </w:trPr>
        <w:tc>
          <w:tcPr>
            <w:tcW w:w="4780" w:type="dxa"/>
            <w:shd w:val="clear" w:color="auto" w:fill="D9D9D9" w:themeFill="background1" w:themeFillShade="D9"/>
          </w:tcPr>
          <w:p w14:paraId="3A475E6E" w14:textId="77777777" w:rsidR="009B5E39" w:rsidRPr="008230D6" w:rsidRDefault="009B5E39" w:rsidP="00190E4A">
            <w:pPr>
              <w:spacing w:before="60" w:after="60"/>
              <w:ind w:left="2008" w:right="2019"/>
              <w:jc w:val="both"/>
              <w:rPr>
                <w:rFonts w:ascii="Gotham" w:eastAsia="Arial" w:hAnsi="Gotham" w:cs="Arial"/>
                <w:sz w:val="19"/>
                <w:szCs w:val="19"/>
              </w:rPr>
            </w:pPr>
            <w:r w:rsidRPr="008230D6">
              <w:rPr>
                <w:rFonts w:ascii="Gotham" w:eastAsia="Arial" w:hAnsi="Gotham" w:cs="Arial"/>
                <w:color w:val="343436"/>
                <w:sz w:val="19"/>
                <w:szCs w:val="19"/>
              </w:rPr>
              <w:t>Norma</w:t>
            </w:r>
          </w:p>
        </w:tc>
        <w:tc>
          <w:tcPr>
            <w:tcW w:w="3432" w:type="dxa"/>
            <w:shd w:val="clear" w:color="auto" w:fill="D9D9D9" w:themeFill="background1" w:themeFillShade="D9"/>
            <w:vAlign w:val="center"/>
          </w:tcPr>
          <w:p w14:paraId="3A475E6F" w14:textId="77777777" w:rsidR="009B5E39" w:rsidRPr="008230D6" w:rsidRDefault="009B5E39" w:rsidP="00190E4A">
            <w:pPr>
              <w:spacing w:before="60" w:after="60"/>
              <w:ind w:left="1389" w:right="1374"/>
              <w:jc w:val="center"/>
              <w:rPr>
                <w:rFonts w:ascii="Gotham" w:eastAsia="Arial" w:hAnsi="Gotham" w:cs="Arial"/>
                <w:sz w:val="19"/>
                <w:szCs w:val="19"/>
              </w:rPr>
            </w:pPr>
            <w:r w:rsidRPr="008230D6">
              <w:rPr>
                <w:rFonts w:ascii="Gotham" w:eastAsia="Arial" w:hAnsi="Gotham" w:cs="Arial"/>
                <w:color w:val="343436"/>
                <w:sz w:val="19"/>
                <w:szCs w:val="19"/>
              </w:rPr>
              <w:t>Valor</w:t>
            </w:r>
          </w:p>
        </w:tc>
      </w:tr>
      <w:tr w:rsidR="009B5E39" w:rsidRPr="008230D6" w14:paraId="3A475E73" w14:textId="77777777" w:rsidTr="00190E4A">
        <w:trPr>
          <w:trHeight w:val="20"/>
          <w:jc w:val="center"/>
        </w:trPr>
        <w:tc>
          <w:tcPr>
            <w:tcW w:w="4780" w:type="dxa"/>
            <w:vAlign w:val="center"/>
          </w:tcPr>
          <w:p w14:paraId="3A475E71" w14:textId="77777777" w:rsidR="009B5E39" w:rsidRPr="008230D6" w:rsidRDefault="009B5E39" w:rsidP="00190E4A">
            <w:pPr>
              <w:spacing w:before="60" w:after="60"/>
              <w:ind w:left="57"/>
              <w:rPr>
                <w:rFonts w:ascii="Gotham" w:eastAsia="Arial" w:hAnsi="Gotham" w:cs="Arial"/>
                <w:sz w:val="19"/>
                <w:szCs w:val="19"/>
              </w:rPr>
            </w:pPr>
            <w:r w:rsidRPr="008230D6">
              <w:rPr>
                <w:rFonts w:ascii="Gotham" w:eastAsia="Arial" w:hAnsi="Gotham" w:cs="Arial"/>
                <w:color w:val="343436"/>
                <w:w w:val="84"/>
                <w:sz w:val="19"/>
                <w:szCs w:val="19"/>
              </w:rPr>
              <w:t>COS</w:t>
            </w:r>
            <w:r w:rsidRPr="008230D6">
              <w:rPr>
                <w:rFonts w:ascii="Gotham" w:eastAsia="Arial" w:hAnsi="Gotham" w:cs="Arial"/>
                <w:color w:val="343436"/>
                <w:spacing w:val="10"/>
                <w:w w:val="84"/>
                <w:sz w:val="19"/>
                <w:szCs w:val="19"/>
              </w:rPr>
              <w:t xml:space="preserve"> </w:t>
            </w:r>
            <w:r w:rsidRPr="008230D6">
              <w:rPr>
                <w:rFonts w:ascii="Gotham" w:eastAsia="Arial" w:hAnsi="Gotham" w:cs="Arial"/>
                <w:color w:val="343436"/>
                <w:sz w:val="19"/>
                <w:szCs w:val="19"/>
              </w:rPr>
              <w:t>(Coeficiente</w:t>
            </w:r>
            <w:r w:rsidRPr="008230D6">
              <w:rPr>
                <w:rFonts w:ascii="Gotham" w:eastAsia="Arial" w:hAnsi="Gotham" w:cs="Arial"/>
                <w:color w:val="343436"/>
                <w:spacing w:val="-10"/>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18"/>
                <w:sz w:val="19"/>
                <w:szCs w:val="19"/>
              </w:rPr>
              <w:t xml:space="preserve"> </w:t>
            </w:r>
            <w:r w:rsidRPr="008230D6">
              <w:rPr>
                <w:rFonts w:ascii="Gotham" w:eastAsia="Arial" w:hAnsi="Gotham" w:cs="Arial"/>
                <w:color w:val="343436"/>
                <w:sz w:val="19"/>
                <w:szCs w:val="19"/>
              </w:rPr>
              <w:t>ocupación</w:t>
            </w:r>
            <w:r w:rsidRPr="008230D6">
              <w:rPr>
                <w:rFonts w:ascii="Gotham" w:eastAsia="Arial" w:hAnsi="Gotham" w:cs="Arial"/>
                <w:color w:val="343436"/>
                <w:spacing w:val="2"/>
                <w:sz w:val="19"/>
                <w:szCs w:val="19"/>
              </w:rPr>
              <w:t xml:space="preserve"> </w:t>
            </w:r>
            <w:r w:rsidRPr="008230D6">
              <w:rPr>
                <w:rFonts w:ascii="Gotham" w:eastAsia="Arial" w:hAnsi="Gotham" w:cs="Arial"/>
                <w:color w:val="343436"/>
                <w:sz w:val="19"/>
                <w:szCs w:val="19"/>
              </w:rPr>
              <w:t>del</w:t>
            </w:r>
            <w:r w:rsidRPr="008230D6">
              <w:rPr>
                <w:rFonts w:ascii="Gotham" w:eastAsia="Arial" w:hAnsi="Gotham" w:cs="Arial"/>
                <w:color w:val="343436"/>
                <w:spacing w:val="6"/>
                <w:sz w:val="19"/>
                <w:szCs w:val="19"/>
              </w:rPr>
              <w:t xml:space="preserve"> </w:t>
            </w:r>
            <w:r w:rsidRPr="008230D6">
              <w:rPr>
                <w:rFonts w:ascii="Gotham" w:eastAsia="Arial" w:hAnsi="Gotham" w:cs="Arial"/>
                <w:color w:val="343436"/>
                <w:sz w:val="19"/>
                <w:szCs w:val="19"/>
              </w:rPr>
              <w:t>suelo)</w:t>
            </w:r>
          </w:p>
        </w:tc>
        <w:tc>
          <w:tcPr>
            <w:tcW w:w="3432" w:type="dxa"/>
            <w:vAlign w:val="center"/>
          </w:tcPr>
          <w:p w14:paraId="3A475E72" w14:textId="77777777" w:rsidR="009B5E39" w:rsidRPr="008230D6" w:rsidRDefault="009B5E39" w:rsidP="00190E4A">
            <w:pPr>
              <w:spacing w:before="60" w:after="60"/>
              <w:ind w:left="1433" w:right="1355"/>
              <w:jc w:val="center"/>
              <w:rPr>
                <w:rFonts w:ascii="Gotham" w:eastAsia="Arial" w:hAnsi="Gotham" w:cs="Arial"/>
                <w:sz w:val="19"/>
                <w:szCs w:val="19"/>
              </w:rPr>
            </w:pPr>
            <w:r w:rsidRPr="008230D6">
              <w:rPr>
                <w:rFonts w:ascii="Gotham" w:eastAsia="Arial" w:hAnsi="Gotham" w:cs="Arial"/>
                <w:sz w:val="19"/>
                <w:szCs w:val="19"/>
              </w:rPr>
              <w:t>Libre</w:t>
            </w:r>
          </w:p>
        </w:tc>
      </w:tr>
      <w:tr w:rsidR="009B5E39" w:rsidRPr="008230D6" w14:paraId="3A475E76" w14:textId="77777777" w:rsidTr="00190E4A">
        <w:trPr>
          <w:trHeight w:val="20"/>
          <w:jc w:val="center"/>
        </w:trPr>
        <w:tc>
          <w:tcPr>
            <w:tcW w:w="4780" w:type="dxa"/>
            <w:vAlign w:val="center"/>
          </w:tcPr>
          <w:p w14:paraId="3A475E74" w14:textId="77777777" w:rsidR="009B5E39" w:rsidRPr="008230D6" w:rsidRDefault="009B5E39" w:rsidP="00190E4A">
            <w:pPr>
              <w:spacing w:before="60" w:after="60"/>
              <w:ind w:left="64"/>
              <w:rPr>
                <w:rFonts w:ascii="Gotham" w:eastAsia="Arial" w:hAnsi="Gotham" w:cs="Arial"/>
                <w:sz w:val="19"/>
                <w:szCs w:val="19"/>
              </w:rPr>
            </w:pPr>
            <w:r w:rsidRPr="008230D6">
              <w:rPr>
                <w:rFonts w:ascii="Gotham" w:eastAsia="Arial" w:hAnsi="Gotham" w:cs="Arial"/>
                <w:color w:val="343436"/>
                <w:w w:val="85"/>
                <w:sz w:val="19"/>
                <w:szCs w:val="19"/>
              </w:rPr>
              <w:t xml:space="preserve">CUS </w:t>
            </w:r>
            <w:r w:rsidRPr="008230D6">
              <w:rPr>
                <w:rFonts w:ascii="Gotham" w:eastAsia="Arial" w:hAnsi="Gotham" w:cs="Arial"/>
                <w:color w:val="343436"/>
                <w:sz w:val="19"/>
                <w:szCs w:val="19"/>
              </w:rPr>
              <w:t>(Coeficiente</w:t>
            </w:r>
            <w:r w:rsidRPr="008230D6">
              <w:rPr>
                <w:rFonts w:ascii="Gotham" w:eastAsia="Arial" w:hAnsi="Gotham" w:cs="Arial"/>
                <w:color w:val="343436"/>
                <w:spacing w:val="-10"/>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4"/>
                <w:sz w:val="19"/>
                <w:szCs w:val="19"/>
              </w:rPr>
              <w:t xml:space="preserve"> </w:t>
            </w:r>
            <w:r w:rsidRPr="008230D6">
              <w:rPr>
                <w:rFonts w:ascii="Gotham" w:eastAsia="Arial" w:hAnsi="Gotham" w:cs="Arial"/>
                <w:color w:val="343436"/>
                <w:sz w:val="19"/>
                <w:szCs w:val="19"/>
              </w:rPr>
              <w:t>utilización</w:t>
            </w:r>
            <w:r w:rsidRPr="008230D6">
              <w:rPr>
                <w:rFonts w:ascii="Gotham" w:eastAsia="Arial" w:hAnsi="Gotham" w:cs="Arial"/>
                <w:color w:val="343436"/>
                <w:spacing w:val="10"/>
                <w:sz w:val="19"/>
                <w:szCs w:val="19"/>
              </w:rPr>
              <w:t xml:space="preserve"> </w:t>
            </w:r>
            <w:r w:rsidRPr="008230D6">
              <w:rPr>
                <w:rFonts w:ascii="Gotham" w:eastAsia="Arial" w:hAnsi="Gotham" w:cs="Arial"/>
                <w:color w:val="343436"/>
                <w:sz w:val="19"/>
                <w:szCs w:val="19"/>
              </w:rPr>
              <w:t>del</w:t>
            </w:r>
            <w:r w:rsidRPr="008230D6">
              <w:rPr>
                <w:rFonts w:ascii="Gotham" w:eastAsia="Arial" w:hAnsi="Gotham" w:cs="Arial"/>
                <w:color w:val="343436"/>
                <w:spacing w:val="-2"/>
                <w:sz w:val="19"/>
                <w:szCs w:val="19"/>
              </w:rPr>
              <w:t xml:space="preserve"> </w:t>
            </w:r>
            <w:r w:rsidRPr="008230D6">
              <w:rPr>
                <w:rFonts w:ascii="Gotham" w:eastAsia="Arial" w:hAnsi="Gotham" w:cs="Arial"/>
                <w:color w:val="343436"/>
                <w:sz w:val="19"/>
                <w:szCs w:val="19"/>
              </w:rPr>
              <w:t>suelo)</w:t>
            </w:r>
          </w:p>
        </w:tc>
        <w:tc>
          <w:tcPr>
            <w:tcW w:w="3432" w:type="dxa"/>
            <w:vAlign w:val="center"/>
          </w:tcPr>
          <w:p w14:paraId="3A475E75" w14:textId="77777777" w:rsidR="009B5E39" w:rsidRPr="008230D6" w:rsidRDefault="009B5E39" w:rsidP="00190E4A">
            <w:pPr>
              <w:spacing w:before="60" w:after="60"/>
              <w:ind w:left="1462" w:right="1430"/>
              <w:jc w:val="center"/>
              <w:rPr>
                <w:rFonts w:ascii="Gotham" w:eastAsia="Arial" w:hAnsi="Gotham" w:cs="Arial"/>
                <w:sz w:val="19"/>
                <w:szCs w:val="19"/>
              </w:rPr>
            </w:pPr>
            <w:r w:rsidRPr="008230D6">
              <w:rPr>
                <w:rFonts w:ascii="Gotham" w:eastAsia="Arial" w:hAnsi="Gotham" w:cs="Arial"/>
                <w:color w:val="343436"/>
                <w:w w:val="91"/>
                <w:sz w:val="19"/>
                <w:szCs w:val="19"/>
              </w:rPr>
              <w:t>3</w:t>
            </w:r>
            <w:r w:rsidRPr="008230D6">
              <w:rPr>
                <w:rFonts w:ascii="Gotham" w:eastAsia="Arial" w:hAnsi="Gotham" w:cs="Arial"/>
                <w:color w:val="4B4B4D"/>
                <w:w w:val="49"/>
                <w:sz w:val="19"/>
                <w:szCs w:val="19"/>
              </w:rPr>
              <w:t>.</w:t>
            </w:r>
            <w:r w:rsidRPr="008230D6">
              <w:rPr>
                <w:rFonts w:ascii="Gotham" w:eastAsia="Arial" w:hAnsi="Gotham" w:cs="Arial"/>
                <w:color w:val="343436"/>
                <w:sz w:val="19"/>
                <w:szCs w:val="19"/>
              </w:rPr>
              <w:t>00</w:t>
            </w:r>
          </w:p>
        </w:tc>
      </w:tr>
      <w:tr w:rsidR="009B5E39" w:rsidRPr="008230D6" w14:paraId="3A475E79" w14:textId="77777777" w:rsidTr="00190E4A">
        <w:trPr>
          <w:trHeight w:val="20"/>
          <w:jc w:val="center"/>
        </w:trPr>
        <w:tc>
          <w:tcPr>
            <w:tcW w:w="4780" w:type="dxa"/>
            <w:vAlign w:val="center"/>
          </w:tcPr>
          <w:p w14:paraId="3A475E77" w14:textId="77777777" w:rsidR="009B5E39" w:rsidRPr="008230D6" w:rsidRDefault="009B5E39" w:rsidP="00190E4A">
            <w:pPr>
              <w:spacing w:before="60" w:after="60"/>
              <w:ind w:left="72"/>
              <w:rPr>
                <w:rFonts w:ascii="Gotham" w:eastAsia="Arial" w:hAnsi="Gotham" w:cs="Arial"/>
                <w:sz w:val="19"/>
                <w:szCs w:val="19"/>
              </w:rPr>
            </w:pPr>
            <w:r w:rsidRPr="008230D6">
              <w:rPr>
                <w:rFonts w:ascii="Gotham" w:eastAsia="Arial" w:hAnsi="Gotham" w:cs="Arial"/>
                <w:color w:val="343436"/>
                <w:sz w:val="19"/>
                <w:szCs w:val="19"/>
              </w:rPr>
              <w:lastRenderedPageBreak/>
              <w:t>Índice</w:t>
            </w:r>
            <w:r w:rsidRPr="008230D6">
              <w:rPr>
                <w:rFonts w:ascii="Gotham" w:eastAsia="Arial" w:hAnsi="Gotham" w:cs="Arial"/>
                <w:color w:val="343436"/>
                <w:spacing w:val="-14"/>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3"/>
                <w:sz w:val="19"/>
                <w:szCs w:val="19"/>
              </w:rPr>
              <w:t xml:space="preserve"> </w:t>
            </w:r>
            <w:r w:rsidRPr="008230D6">
              <w:rPr>
                <w:rFonts w:ascii="Gotham" w:eastAsia="Arial" w:hAnsi="Gotham" w:cs="Arial"/>
                <w:color w:val="343436"/>
                <w:sz w:val="19"/>
                <w:szCs w:val="19"/>
              </w:rPr>
              <w:t>Edificación</w:t>
            </w:r>
          </w:p>
        </w:tc>
        <w:tc>
          <w:tcPr>
            <w:tcW w:w="3432" w:type="dxa"/>
            <w:vAlign w:val="center"/>
          </w:tcPr>
          <w:p w14:paraId="3A475E78" w14:textId="77777777" w:rsidR="009B5E39" w:rsidRPr="008230D6" w:rsidRDefault="009B5E39" w:rsidP="00190E4A">
            <w:pPr>
              <w:spacing w:before="60" w:after="60"/>
              <w:ind w:left="1390" w:right="1337"/>
              <w:jc w:val="center"/>
              <w:rPr>
                <w:rFonts w:ascii="Gotham" w:eastAsia="Arial" w:hAnsi="Gotham" w:cs="Arial"/>
                <w:sz w:val="19"/>
                <w:szCs w:val="19"/>
              </w:rPr>
            </w:pPr>
            <w:r w:rsidRPr="008230D6">
              <w:rPr>
                <w:rFonts w:ascii="Gotham" w:eastAsia="Arial" w:hAnsi="Gotham" w:cs="Arial"/>
                <w:color w:val="2E74B5" w:themeColor="accent1" w:themeShade="BF"/>
                <w:sz w:val="19"/>
                <w:szCs w:val="19"/>
              </w:rPr>
              <w:t>80.00</w:t>
            </w:r>
          </w:p>
        </w:tc>
      </w:tr>
      <w:tr w:rsidR="009B5E39" w:rsidRPr="008230D6" w14:paraId="3A475E7C" w14:textId="77777777" w:rsidTr="00190E4A">
        <w:trPr>
          <w:trHeight w:val="20"/>
          <w:jc w:val="center"/>
        </w:trPr>
        <w:tc>
          <w:tcPr>
            <w:tcW w:w="4780" w:type="dxa"/>
            <w:vAlign w:val="center"/>
          </w:tcPr>
          <w:p w14:paraId="3A475E7A" w14:textId="77777777" w:rsidR="009B5E39" w:rsidRPr="008230D6" w:rsidRDefault="009B5E39" w:rsidP="00190E4A">
            <w:pPr>
              <w:spacing w:before="60" w:after="60"/>
              <w:ind w:left="67" w:right="100" w:firstLine="14"/>
              <w:rPr>
                <w:rFonts w:ascii="Gotham" w:eastAsia="Arial" w:hAnsi="Gotham" w:cs="Arial"/>
                <w:sz w:val="19"/>
                <w:szCs w:val="19"/>
              </w:rPr>
            </w:pPr>
            <w:r w:rsidRPr="008230D6">
              <w:rPr>
                <w:rFonts w:ascii="Gotham" w:eastAsia="Arial" w:hAnsi="Gotham" w:cs="Arial"/>
                <w:color w:val="343436"/>
                <w:sz w:val="19"/>
                <w:szCs w:val="19"/>
              </w:rPr>
              <w:t>Restricción</w:t>
            </w:r>
            <w:r w:rsidRPr="008230D6">
              <w:rPr>
                <w:rFonts w:ascii="Gotham" w:eastAsia="Arial" w:hAnsi="Gotham" w:cs="Arial"/>
                <w:color w:val="343436"/>
                <w:spacing w:val="-40"/>
                <w:sz w:val="19"/>
                <w:szCs w:val="19"/>
              </w:rPr>
              <w:t xml:space="preserve"> </w:t>
            </w:r>
            <w:r w:rsidRPr="008230D6">
              <w:rPr>
                <w:rFonts w:ascii="Gotham" w:eastAsia="Arial" w:hAnsi="Gotham" w:cs="Arial"/>
                <w:color w:val="343436"/>
                <w:sz w:val="19"/>
                <w:szCs w:val="19"/>
              </w:rPr>
              <w:t>frontal</w:t>
            </w:r>
            <w:r w:rsidRPr="008230D6">
              <w:rPr>
                <w:rFonts w:ascii="Gotham" w:eastAsia="Arial" w:hAnsi="Gotham" w:cs="Arial"/>
                <w:color w:val="343436"/>
                <w:spacing w:val="48"/>
                <w:sz w:val="19"/>
                <w:szCs w:val="19"/>
              </w:rPr>
              <w:t xml:space="preserve"> </w:t>
            </w:r>
            <w:r w:rsidRPr="008230D6">
              <w:rPr>
                <w:rFonts w:ascii="Gotham" w:eastAsia="Arial" w:hAnsi="Gotham" w:cs="Arial"/>
                <w:color w:val="343436"/>
                <w:sz w:val="19"/>
                <w:szCs w:val="19"/>
              </w:rPr>
              <w:t>dentro</w:t>
            </w:r>
            <w:r w:rsidRPr="008230D6">
              <w:rPr>
                <w:rFonts w:ascii="Gotham" w:eastAsia="Arial" w:hAnsi="Gotham" w:cs="Arial"/>
                <w:color w:val="343436"/>
                <w:spacing w:val="43"/>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10"/>
                <w:sz w:val="19"/>
                <w:szCs w:val="19"/>
              </w:rPr>
              <w:t xml:space="preserve"> </w:t>
            </w:r>
            <w:r w:rsidRPr="008230D6">
              <w:rPr>
                <w:rFonts w:ascii="Gotham" w:eastAsia="Arial" w:hAnsi="Gotham" w:cs="Arial"/>
                <w:color w:val="343436"/>
                <w:sz w:val="19"/>
                <w:szCs w:val="19"/>
              </w:rPr>
              <w:t>los</w:t>
            </w:r>
            <w:r w:rsidRPr="008230D6">
              <w:rPr>
                <w:rFonts w:ascii="Gotham" w:eastAsia="Arial" w:hAnsi="Gotham" w:cs="Arial"/>
                <w:color w:val="343436"/>
                <w:spacing w:val="-11"/>
                <w:sz w:val="19"/>
                <w:szCs w:val="19"/>
              </w:rPr>
              <w:t xml:space="preserve"> </w:t>
            </w:r>
            <w:r w:rsidRPr="008230D6">
              <w:rPr>
                <w:rFonts w:ascii="Gotham" w:eastAsia="Arial" w:hAnsi="Gotham" w:cs="Arial"/>
                <w:color w:val="343436"/>
                <w:sz w:val="19"/>
                <w:szCs w:val="19"/>
              </w:rPr>
              <w:t>perímetros</w:t>
            </w:r>
            <w:r w:rsidRPr="008230D6">
              <w:rPr>
                <w:rFonts w:ascii="Gotham" w:eastAsia="Arial" w:hAnsi="Gotham" w:cs="Arial"/>
                <w:color w:val="343436"/>
                <w:spacing w:val="11"/>
                <w:sz w:val="19"/>
                <w:szCs w:val="19"/>
              </w:rPr>
              <w:t xml:space="preserve"> </w:t>
            </w:r>
            <w:r w:rsidRPr="008230D6">
              <w:rPr>
                <w:rFonts w:ascii="Gotham" w:eastAsia="Arial" w:hAnsi="Gotham" w:cs="Arial"/>
                <w:color w:val="343436"/>
                <w:sz w:val="19"/>
                <w:szCs w:val="19"/>
              </w:rPr>
              <w:t>de contención</w:t>
            </w:r>
            <w:r w:rsidRPr="008230D6">
              <w:rPr>
                <w:rFonts w:ascii="Gotham" w:eastAsia="Arial" w:hAnsi="Gotham" w:cs="Arial"/>
                <w:color w:val="343436"/>
                <w:spacing w:val="27"/>
                <w:sz w:val="19"/>
                <w:szCs w:val="19"/>
              </w:rPr>
              <w:t xml:space="preserve"> </w:t>
            </w:r>
            <w:r w:rsidRPr="008230D6">
              <w:rPr>
                <w:rFonts w:ascii="Gotham" w:eastAsia="Arial" w:hAnsi="Gotham" w:cs="Arial"/>
                <w:color w:val="343436"/>
                <w:sz w:val="19"/>
                <w:szCs w:val="19"/>
              </w:rPr>
              <w:t>urbana</w:t>
            </w:r>
          </w:p>
        </w:tc>
        <w:tc>
          <w:tcPr>
            <w:tcW w:w="3432" w:type="dxa"/>
            <w:vAlign w:val="center"/>
          </w:tcPr>
          <w:p w14:paraId="3A475E7B" w14:textId="77777777" w:rsidR="009B5E39" w:rsidRPr="008230D6" w:rsidRDefault="009B5E39" w:rsidP="00190E4A">
            <w:pPr>
              <w:spacing w:before="60" w:after="60"/>
              <w:ind w:left="591"/>
              <w:jc w:val="center"/>
              <w:rPr>
                <w:rFonts w:ascii="Gotham" w:eastAsia="Arial" w:hAnsi="Gotham" w:cs="Arial"/>
                <w:sz w:val="19"/>
                <w:szCs w:val="19"/>
              </w:rPr>
            </w:pPr>
            <w:r w:rsidRPr="008230D6">
              <w:rPr>
                <w:rFonts w:ascii="Gotham" w:eastAsia="Arial" w:hAnsi="Gotham" w:cs="Arial"/>
                <w:color w:val="343436"/>
                <w:w w:val="90"/>
                <w:sz w:val="19"/>
                <w:szCs w:val="19"/>
              </w:rPr>
              <w:t>De</w:t>
            </w:r>
            <w:r w:rsidRPr="008230D6">
              <w:rPr>
                <w:rFonts w:ascii="Gotham" w:eastAsia="Arial" w:hAnsi="Gotham" w:cs="Arial"/>
                <w:color w:val="343436"/>
                <w:spacing w:val="9"/>
                <w:w w:val="90"/>
                <w:sz w:val="19"/>
                <w:szCs w:val="19"/>
              </w:rPr>
              <w:t xml:space="preserve"> </w:t>
            </w:r>
            <w:r w:rsidRPr="008230D6">
              <w:rPr>
                <w:rFonts w:ascii="Gotham" w:eastAsia="Arial" w:hAnsi="Gotham" w:cs="Arial"/>
                <w:color w:val="343436"/>
                <w:sz w:val="19"/>
                <w:szCs w:val="19"/>
              </w:rPr>
              <w:t>acuerdo</w:t>
            </w:r>
            <w:r w:rsidRPr="008230D6">
              <w:rPr>
                <w:rFonts w:ascii="Gotham" w:eastAsia="Arial" w:hAnsi="Gotham" w:cs="Arial"/>
                <w:color w:val="343436"/>
                <w:spacing w:val="-6"/>
                <w:sz w:val="19"/>
                <w:szCs w:val="19"/>
              </w:rPr>
              <w:t xml:space="preserve"> </w:t>
            </w:r>
            <w:r w:rsidRPr="008230D6">
              <w:rPr>
                <w:rFonts w:ascii="Gotham" w:eastAsia="Arial" w:hAnsi="Gotham" w:cs="Arial"/>
                <w:color w:val="343436"/>
                <w:sz w:val="19"/>
                <w:szCs w:val="19"/>
              </w:rPr>
              <w:t>con</w:t>
            </w:r>
            <w:r w:rsidRPr="008230D6">
              <w:rPr>
                <w:rFonts w:ascii="Gotham" w:eastAsia="Arial" w:hAnsi="Gotham" w:cs="Arial"/>
                <w:color w:val="343436"/>
                <w:spacing w:val="-12"/>
                <w:sz w:val="19"/>
                <w:szCs w:val="19"/>
              </w:rPr>
              <w:t xml:space="preserve"> </w:t>
            </w:r>
            <w:r w:rsidRPr="008230D6">
              <w:rPr>
                <w:rFonts w:ascii="Gotham" w:eastAsia="Arial" w:hAnsi="Gotham" w:cs="Arial"/>
                <w:color w:val="343436"/>
                <w:sz w:val="19"/>
                <w:szCs w:val="19"/>
              </w:rPr>
              <w:t>la</w:t>
            </w:r>
            <w:r w:rsidRPr="008230D6">
              <w:rPr>
                <w:rFonts w:ascii="Gotham" w:eastAsia="Arial" w:hAnsi="Gotham" w:cs="Arial"/>
                <w:color w:val="343436"/>
                <w:spacing w:val="-16"/>
                <w:sz w:val="19"/>
                <w:szCs w:val="19"/>
              </w:rPr>
              <w:t xml:space="preserve"> </w:t>
            </w:r>
            <w:r w:rsidRPr="008230D6">
              <w:rPr>
                <w:rFonts w:ascii="Gotham" w:eastAsia="Arial" w:hAnsi="Gotham" w:cs="Arial"/>
                <w:color w:val="343436"/>
                <w:sz w:val="19"/>
                <w:szCs w:val="19"/>
              </w:rPr>
              <w:t>zona</w:t>
            </w:r>
          </w:p>
        </w:tc>
      </w:tr>
      <w:tr w:rsidR="009B5E39" w:rsidRPr="008230D6" w14:paraId="3A475E80" w14:textId="77777777" w:rsidTr="00190E4A">
        <w:trPr>
          <w:trHeight w:val="20"/>
          <w:jc w:val="center"/>
        </w:trPr>
        <w:tc>
          <w:tcPr>
            <w:tcW w:w="4780" w:type="dxa"/>
            <w:vAlign w:val="center"/>
          </w:tcPr>
          <w:p w14:paraId="3A475E7D" w14:textId="77777777" w:rsidR="009B5E39" w:rsidRPr="008230D6" w:rsidRDefault="009B5E39" w:rsidP="00190E4A">
            <w:pPr>
              <w:spacing w:before="60" w:after="60"/>
              <w:ind w:left="82" w:right="117"/>
              <w:rPr>
                <w:rFonts w:ascii="Gotham" w:eastAsia="Arial" w:hAnsi="Gotham" w:cs="Arial"/>
                <w:sz w:val="19"/>
                <w:szCs w:val="19"/>
              </w:rPr>
            </w:pPr>
            <w:r w:rsidRPr="008230D6">
              <w:rPr>
                <w:rFonts w:ascii="Gotham" w:eastAsia="Arial" w:hAnsi="Gotham" w:cs="Arial"/>
                <w:color w:val="343436"/>
                <w:sz w:val="19"/>
                <w:szCs w:val="19"/>
              </w:rPr>
              <w:t>Restricción</w:t>
            </w:r>
            <w:r w:rsidRPr="008230D6">
              <w:rPr>
                <w:rFonts w:ascii="Gotham" w:eastAsia="Arial" w:hAnsi="Gotham" w:cs="Arial"/>
                <w:color w:val="343436"/>
                <w:spacing w:val="-40"/>
                <w:sz w:val="19"/>
                <w:szCs w:val="19"/>
              </w:rPr>
              <w:t xml:space="preserve"> </w:t>
            </w:r>
            <w:r w:rsidRPr="008230D6">
              <w:rPr>
                <w:rFonts w:ascii="Gotham" w:eastAsia="Arial" w:hAnsi="Gotham" w:cs="Arial"/>
                <w:color w:val="343436"/>
                <w:sz w:val="19"/>
                <w:szCs w:val="19"/>
              </w:rPr>
              <w:t>frontal</w:t>
            </w:r>
            <w:r w:rsidRPr="008230D6">
              <w:rPr>
                <w:rFonts w:ascii="Gotham" w:eastAsia="Arial" w:hAnsi="Gotham" w:cs="Arial"/>
                <w:color w:val="343436"/>
                <w:spacing w:val="48"/>
                <w:sz w:val="19"/>
                <w:szCs w:val="19"/>
              </w:rPr>
              <w:t xml:space="preserve"> </w:t>
            </w:r>
            <w:r w:rsidRPr="008230D6">
              <w:rPr>
                <w:rFonts w:ascii="Gotham" w:eastAsia="Arial" w:hAnsi="Gotham" w:cs="Arial"/>
                <w:color w:val="343436"/>
                <w:w w:val="92"/>
                <w:sz w:val="19"/>
                <w:szCs w:val="19"/>
              </w:rPr>
              <w:t>pa</w:t>
            </w:r>
            <w:r w:rsidRPr="008230D6">
              <w:rPr>
                <w:rFonts w:ascii="Gotham" w:eastAsia="Arial" w:hAnsi="Gotham" w:cs="Arial"/>
                <w:color w:val="4B4B4D"/>
                <w:w w:val="92"/>
                <w:sz w:val="19"/>
                <w:szCs w:val="19"/>
              </w:rPr>
              <w:t>r</w:t>
            </w:r>
            <w:r w:rsidRPr="008230D6">
              <w:rPr>
                <w:rFonts w:ascii="Gotham" w:eastAsia="Arial" w:hAnsi="Gotham" w:cs="Arial"/>
                <w:color w:val="343436"/>
                <w:w w:val="92"/>
                <w:sz w:val="19"/>
                <w:szCs w:val="19"/>
              </w:rPr>
              <w:t>a</w:t>
            </w:r>
            <w:r w:rsidRPr="008230D6">
              <w:rPr>
                <w:rFonts w:ascii="Gotham" w:eastAsia="Arial" w:hAnsi="Gotham" w:cs="Arial"/>
                <w:color w:val="343436"/>
                <w:spacing w:val="43"/>
                <w:w w:val="92"/>
                <w:sz w:val="19"/>
                <w:szCs w:val="19"/>
              </w:rPr>
              <w:t xml:space="preserve"> </w:t>
            </w:r>
            <w:r w:rsidRPr="008230D6">
              <w:rPr>
                <w:rFonts w:ascii="Gotham" w:eastAsia="Arial" w:hAnsi="Gotham" w:cs="Arial"/>
                <w:color w:val="343436"/>
                <w:w w:val="92"/>
                <w:sz w:val="19"/>
                <w:szCs w:val="19"/>
              </w:rPr>
              <w:t>reservas</w:t>
            </w:r>
            <w:r w:rsidRPr="008230D6">
              <w:rPr>
                <w:rFonts w:ascii="Gotham" w:eastAsia="Arial" w:hAnsi="Gotham" w:cs="Arial"/>
                <w:color w:val="343436"/>
                <w:spacing w:val="-40"/>
                <w:w w:val="92"/>
                <w:sz w:val="19"/>
                <w:szCs w:val="19"/>
              </w:rPr>
              <w:t xml:space="preserve"> </w:t>
            </w:r>
            <w:r w:rsidRPr="008230D6">
              <w:rPr>
                <w:rFonts w:ascii="Gotham" w:eastAsia="Arial" w:hAnsi="Gotham" w:cs="Arial"/>
                <w:color w:val="343436"/>
                <w:sz w:val="19"/>
                <w:szCs w:val="19"/>
              </w:rPr>
              <w:t>urbanas</w:t>
            </w:r>
            <w:r w:rsidRPr="008230D6">
              <w:rPr>
                <w:rFonts w:ascii="Gotham" w:eastAsia="Arial" w:hAnsi="Gotham" w:cs="Arial"/>
                <w:color w:val="343436"/>
                <w:spacing w:val="-21"/>
                <w:sz w:val="19"/>
                <w:szCs w:val="19"/>
              </w:rPr>
              <w:t xml:space="preserve"> </w:t>
            </w:r>
            <w:r w:rsidRPr="008230D6">
              <w:rPr>
                <w:rFonts w:ascii="Gotham" w:eastAsia="Arial" w:hAnsi="Gotham" w:cs="Arial"/>
                <w:color w:val="343436"/>
                <w:sz w:val="19"/>
                <w:szCs w:val="19"/>
              </w:rPr>
              <w:t>fuera de</w:t>
            </w:r>
            <w:r w:rsidRPr="008230D6">
              <w:rPr>
                <w:rFonts w:ascii="Gotham" w:eastAsia="Arial" w:hAnsi="Gotham" w:cs="Arial"/>
                <w:color w:val="343436"/>
                <w:spacing w:val="-3"/>
                <w:sz w:val="19"/>
                <w:szCs w:val="19"/>
              </w:rPr>
              <w:t xml:space="preserve"> </w:t>
            </w:r>
            <w:r w:rsidRPr="008230D6">
              <w:rPr>
                <w:rFonts w:ascii="Gotham" w:eastAsia="Arial" w:hAnsi="Gotham" w:cs="Arial"/>
                <w:color w:val="343436"/>
                <w:sz w:val="19"/>
                <w:szCs w:val="19"/>
              </w:rPr>
              <w:t>los</w:t>
            </w:r>
            <w:r w:rsidRPr="008230D6">
              <w:rPr>
                <w:rFonts w:ascii="Gotham" w:eastAsia="Arial" w:hAnsi="Gotham" w:cs="Arial"/>
                <w:color w:val="343436"/>
                <w:spacing w:val="-11"/>
                <w:sz w:val="19"/>
                <w:szCs w:val="19"/>
              </w:rPr>
              <w:t xml:space="preserve"> </w:t>
            </w:r>
            <w:r w:rsidRPr="008230D6">
              <w:rPr>
                <w:rFonts w:ascii="Gotham" w:eastAsia="Arial" w:hAnsi="Gotham" w:cs="Arial"/>
                <w:color w:val="343436"/>
                <w:sz w:val="19"/>
                <w:szCs w:val="19"/>
              </w:rPr>
              <w:t>perímetros</w:t>
            </w:r>
            <w:r w:rsidRPr="008230D6">
              <w:rPr>
                <w:rFonts w:ascii="Gotham" w:eastAsia="Arial" w:hAnsi="Gotham" w:cs="Arial"/>
                <w:color w:val="343436"/>
                <w:spacing w:val="11"/>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3"/>
                <w:sz w:val="19"/>
                <w:szCs w:val="19"/>
              </w:rPr>
              <w:t xml:space="preserve"> </w:t>
            </w:r>
            <w:r w:rsidRPr="008230D6">
              <w:rPr>
                <w:rFonts w:ascii="Gotham" w:eastAsia="Arial" w:hAnsi="Gotham" w:cs="Arial"/>
                <w:color w:val="343436"/>
                <w:sz w:val="19"/>
                <w:szCs w:val="19"/>
              </w:rPr>
              <w:t>contención</w:t>
            </w:r>
          </w:p>
        </w:tc>
        <w:tc>
          <w:tcPr>
            <w:tcW w:w="3432" w:type="dxa"/>
            <w:vAlign w:val="center"/>
          </w:tcPr>
          <w:p w14:paraId="3A475E7E" w14:textId="77777777" w:rsidR="009B5E39" w:rsidRPr="008230D6" w:rsidRDefault="009B5E39" w:rsidP="00190E4A">
            <w:pPr>
              <w:spacing w:before="60" w:after="60"/>
              <w:jc w:val="center"/>
              <w:rPr>
                <w:rFonts w:ascii="Gotham" w:hAnsi="Gotham" w:cs="Arial"/>
                <w:sz w:val="19"/>
                <w:szCs w:val="19"/>
              </w:rPr>
            </w:pPr>
          </w:p>
          <w:p w14:paraId="3A475E7F" w14:textId="77777777" w:rsidR="009B5E39" w:rsidRPr="008230D6" w:rsidRDefault="009B5E39" w:rsidP="00190E4A">
            <w:pPr>
              <w:spacing w:before="60" w:after="60"/>
              <w:ind w:left="749"/>
              <w:jc w:val="center"/>
              <w:rPr>
                <w:rFonts w:ascii="Gotham" w:eastAsia="Arial" w:hAnsi="Gotham" w:cs="Arial"/>
                <w:sz w:val="19"/>
                <w:szCs w:val="19"/>
              </w:rPr>
            </w:pPr>
            <w:r w:rsidRPr="008230D6">
              <w:rPr>
                <w:rFonts w:ascii="Gotham" w:eastAsia="Arial" w:hAnsi="Gotham" w:cs="Arial"/>
                <w:color w:val="343436"/>
                <w:sz w:val="19"/>
                <w:szCs w:val="19"/>
              </w:rPr>
              <w:t>Segú</w:t>
            </w:r>
            <w:r w:rsidRPr="008230D6">
              <w:rPr>
                <w:rFonts w:ascii="Gotham" w:eastAsia="Arial" w:hAnsi="Gotham" w:cs="Arial"/>
                <w:color w:val="343436"/>
                <w:spacing w:val="-2"/>
                <w:sz w:val="19"/>
                <w:szCs w:val="19"/>
              </w:rPr>
              <w:t xml:space="preserve">n </w:t>
            </w:r>
            <w:r w:rsidRPr="008230D6">
              <w:rPr>
                <w:rFonts w:ascii="Gotham" w:eastAsia="Arial" w:hAnsi="Gotham" w:cs="Arial"/>
                <w:color w:val="343436"/>
                <w:sz w:val="19"/>
                <w:szCs w:val="19"/>
              </w:rPr>
              <w:t>jerarquía</w:t>
            </w:r>
            <w:r w:rsidRPr="008230D6">
              <w:rPr>
                <w:rFonts w:ascii="Gotham" w:eastAsia="Arial" w:hAnsi="Gotham" w:cs="Arial"/>
                <w:color w:val="343436"/>
                <w:spacing w:val="14"/>
                <w:sz w:val="19"/>
                <w:szCs w:val="19"/>
              </w:rPr>
              <w:t xml:space="preserve"> </w:t>
            </w:r>
            <w:r w:rsidRPr="008230D6">
              <w:rPr>
                <w:rFonts w:ascii="Gotham" w:eastAsia="Arial" w:hAnsi="Gotham" w:cs="Arial"/>
                <w:color w:val="343436"/>
                <w:sz w:val="19"/>
                <w:szCs w:val="19"/>
              </w:rPr>
              <w:t>vial</w:t>
            </w:r>
          </w:p>
        </w:tc>
      </w:tr>
      <w:tr w:rsidR="009B5E39" w:rsidRPr="008230D6" w14:paraId="3A475E83" w14:textId="77777777" w:rsidTr="00190E4A">
        <w:trPr>
          <w:trHeight w:val="20"/>
          <w:jc w:val="center"/>
        </w:trPr>
        <w:tc>
          <w:tcPr>
            <w:tcW w:w="4780" w:type="dxa"/>
            <w:vAlign w:val="center"/>
          </w:tcPr>
          <w:p w14:paraId="3A475E81" w14:textId="77777777" w:rsidR="009B5E39" w:rsidRPr="008230D6" w:rsidRDefault="009B5E39" w:rsidP="00190E4A">
            <w:pPr>
              <w:spacing w:before="60" w:after="60"/>
              <w:ind w:left="72"/>
              <w:rPr>
                <w:rFonts w:ascii="Gotham" w:eastAsia="Arial" w:hAnsi="Gotham" w:cs="Arial"/>
                <w:sz w:val="19"/>
                <w:szCs w:val="19"/>
              </w:rPr>
            </w:pPr>
            <w:r w:rsidRPr="008230D6">
              <w:rPr>
                <w:rFonts w:ascii="Gotham" w:eastAsia="Arial" w:hAnsi="Gotham" w:cs="Arial"/>
                <w:color w:val="343436"/>
                <w:position w:val="-1"/>
                <w:sz w:val="19"/>
                <w:szCs w:val="19"/>
              </w:rPr>
              <w:t>Restricción</w:t>
            </w:r>
            <w:r w:rsidRPr="008230D6">
              <w:rPr>
                <w:rFonts w:ascii="Gotham" w:eastAsia="Arial" w:hAnsi="Gotham" w:cs="Arial"/>
                <w:color w:val="343436"/>
                <w:spacing w:val="-25"/>
                <w:position w:val="-1"/>
                <w:sz w:val="19"/>
                <w:szCs w:val="19"/>
              </w:rPr>
              <w:t xml:space="preserve"> </w:t>
            </w:r>
            <w:r w:rsidRPr="008230D6">
              <w:rPr>
                <w:rFonts w:ascii="Gotham" w:eastAsia="Arial" w:hAnsi="Gotham" w:cs="Arial"/>
                <w:color w:val="343436"/>
                <w:position w:val="-1"/>
                <w:sz w:val="19"/>
                <w:szCs w:val="19"/>
              </w:rPr>
              <w:t>posterior</w:t>
            </w:r>
          </w:p>
        </w:tc>
        <w:tc>
          <w:tcPr>
            <w:tcW w:w="3432" w:type="dxa"/>
            <w:vAlign w:val="center"/>
          </w:tcPr>
          <w:p w14:paraId="3A475E82" w14:textId="77777777" w:rsidR="009B5E39" w:rsidRPr="008230D6" w:rsidRDefault="009B5E39" w:rsidP="00190E4A">
            <w:pPr>
              <w:spacing w:before="60" w:after="60"/>
              <w:ind w:left="1124"/>
              <w:jc w:val="center"/>
              <w:rPr>
                <w:rFonts w:ascii="Gotham" w:eastAsia="Arial" w:hAnsi="Gotham" w:cs="Arial"/>
                <w:sz w:val="19"/>
                <w:szCs w:val="19"/>
              </w:rPr>
            </w:pPr>
            <w:r w:rsidRPr="008230D6">
              <w:rPr>
                <w:rFonts w:ascii="Gotham" w:eastAsia="Arial" w:hAnsi="Gotham" w:cs="Arial"/>
                <w:color w:val="343436"/>
                <w:position w:val="-1"/>
                <w:sz w:val="19"/>
                <w:szCs w:val="19"/>
              </w:rPr>
              <w:t>4.00</w:t>
            </w:r>
            <w:r w:rsidRPr="008230D6">
              <w:rPr>
                <w:rFonts w:ascii="Gotham" w:eastAsia="Arial" w:hAnsi="Gotham" w:cs="Arial"/>
                <w:color w:val="343436"/>
                <w:spacing w:val="1"/>
                <w:position w:val="-1"/>
                <w:sz w:val="19"/>
                <w:szCs w:val="19"/>
              </w:rPr>
              <w:t xml:space="preserve"> </w:t>
            </w:r>
            <w:r w:rsidRPr="008230D6">
              <w:rPr>
                <w:rFonts w:ascii="Gotham" w:eastAsia="Arial" w:hAnsi="Gotham" w:cs="Arial"/>
                <w:color w:val="343436"/>
                <w:position w:val="-1"/>
                <w:sz w:val="19"/>
                <w:szCs w:val="19"/>
              </w:rPr>
              <w:t>metros</w:t>
            </w:r>
          </w:p>
        </w:tc>
      </w:tr>
      <w:tr w:rsidR="009B5E39" w:rsidRPr="008230D6" w14:paraId="3A475E86" w14:textId="77777777" w:rsidTr="00190E4A">
        <w:trPr>
          <w:trHeight w:val="20"/>
          <w:jc w:val="center"/>
        </w:trPr>
        <w:tc>
          <w:tcPr>
            <w:tcW w:w="4780" w:type="dxa"/>
            <w:vAlign w:val="center"/>
          </w:tcPr>
          <w:p w14:paraId="3A475E84" w14:textId="77777777" w:rsidR="009B5E39" w:rsidRPr="008230D6" w:rsidRDefault="009B5E39" w:rsidP="00190E4A">
            <w:pPr>
              <w:spacing w:before="60" w:after="60"/>
              <w:ind w:left="64"/>
              <w:rPr>
                <w:rFonts w:ascii="Gotham" w:eastAsia="Arial" w:hAnsi="Gotham" w:cs="Arial"/>
                <w:sz w:val="19"/>
                <w:szCs w:val="19"/>
              </w:rPr>
            </w:pPr>
            <w:r w:rsidRPr="008230D6">
              <w:rPr>
                <w:rFonts w:ascii="Gotham" w:eastAsia="Arial" w:hAnsi="Gotham" w:cs="Arial"/>
                <w:color w:val="343436"/>
                <w:position w:val="-1"/>
                <w:sz w:val="19"/>
                <w:szCs w:val="19"/>
              </w:rPr>
              <w:t>Altura</w:t>
            </w:r>
            <w:r w:rsidRPr="008230D6">
              <w:rPr>
                <w:rFonts w:ascii="Gotham" w:eastAsia="Arial" w:hAnsi="Gotham" w:cs="Arial"/>
                <w:color w:val="343436"/>
                <w:spacing w:val="27"/>
                <w:position w:val="-1"/>
                <w:sz w:val="19"/>
                <w:szCs w:val="19"/>
              </w:rPr>
              <w:t xml:space="preserve"> </w:t>
            </w:r>
            <w:r w:rsidRPr="008230D6">
              <w:rPr>
                <w:rFonts w:ascii="Gotham" w:eastAsia="Arial" w:hAnsi="Gotham" w:cs="Arial"/>
                <w:color w:val="343436"/>
                <w:position w:val="-1"/>
                <w:sz w:val="19"/>
                <w:szCs w:val="19"/>
              </w:rPr>
              <w:t>máxima</w:t>
            </w:r>
          </w:p>
        </w:tc>
        <w:tc>
          <w:tcPr>
            <w:tcW w:w="3432" w:type="dxa"/>
            <w:vAlign w:val="center"/>
          </w:tcPr>
          <w:p w14:paraId="3A475E85" w14:textId="77777777" w:rsidR="009B5E39" w:rsidRPr="008230D6" w:rsidRDefault="009B5E39" w:rsidP="00190E4A">
            <w:pPr>
              <w:spacing w:before="60" w:after="60"/>
              <w:ind w:left="87" w:right="-50"/>
              <w:jc w:val="center"/>
              <w:rPr>
                <w:rFonts w:ascii="Gotham" w:eastAsia="Arial" w:hAnsi="Gotham" w:cs="Arial"/>
                <w:sz w:val="19"/>
                <w:szCs w:val="19"/>
              </w:rPr>
            </w:pPr>
            <w:r w:rsidRPr="008230D6">
              <w:rPr>
                <w:rFonts w:ascii="Gotham" w:eastAsia="Arial" w:hAnsi="Gotham" w:cs="Arial"/>
                <w:color w:val="343436"/>
                <w:position w:val="-1"/>
                <w:sz w:val="19"/>
                <w:szCs w:val="19"/>
              </w:rPr>
              <w:t>16</w:t>
            </w:r>
            <w:r w:rsidRPr="008230D6">
              <w:rPr>
                <w:rFonts w:ascii="Gotham" w:eastAsia="Arial" w:hAnsi="Gotham" w:cs="Arial"/>
                <w:color w:val="343436"/>
                <w:spacing w:val="-10"/>
                <w:position w:val="-1"/>
                <w:sz w:val="19"/>
                <w:szCs w:val="19"/>
              </w:rPr>
              <w:t xml:space="preserve"> </w:t>
            </w:r>
            <w:r w:rsidRPr="008230D6">
              <w:rPr>
                <w:rFonts w:ascii="Gotham" w:eastAsia="Arial" w:hAnsi="Gotham" w:cs="Arial"/>
                <w:color w:val="343436"/>
                <w:position w:val="-1"/>
                <w:sz w:val="19"/>
                <w:szCs w:val="19"/>
              </w:rPr>
              <w:t>metros</w:t>
            </w:r>
            <w:r w:rsidRPr="008230D6">
              <w:rPr>
                <w:rFonts w:ascii="Gotham" w:eastAsia="Arial" w:hAnsi="Gotham" w:cs="Arial"/>
                <w:color w:val="343436"/>
                <w:spacing w:val="9"/>
                <w:position w:val="-1"/>
                <w:sz w:val="19"/>
                <w:szCs w:val="19"/>
              </w:rPr>
              <w:t xml:space="preserve"> </w:t>
            </w:r>
            <w:r w:rsidRPr="008230D6">
              <w:rPr>
                <w:rFonts w:ascii="Gotham" w:eastAsia="Arial" w:hAnsi="Gotham" w:cs="Arial"/>
                <w:color w:val="343436"/>
                <w:position w:val="-1"/>
                <w:sz w:val="19"/>
                <w:szCs w:val="19"/>
              </w:rPr>
              <w:t>(4</w:t>
            </w:r>
            <w:r w:rsidRPr="008230D6">
              <w:rPr>
                <w:rFonts w:ascii="Gotham" w:eastAsia="Arial" w:hAnsi="Gotham" w:cs="Arial"/>
                <w:color w:val="343436"/>
                <w:spacing w:val="-12"/>
                <w:position w:val="-1"/>
                <w:sz w:val="19"/>
                <w:szCs w:val="19"/>
              </w:rPr>
              <w:t xml:space="preserve"> </w:t>
            </w:r>
            <w:r w:rsidRPr="008230D6">
              <w:rPr>
                <w:rFonts w:ascii="Gotham" w:eastAsia="Arial" w:hAnsi="Gotham" w:cs="Arial"/>
                <w:color w:val="343436"/>
                <w:position w:val="-1"/>
                <w:sz w:val="19"/>
                <w:szCs w:val="19"/>
              </w:rPr>
              <w:t>niveles</w:t>
            </w:r>
            <w:r w:rsidRPr="008230D6">
              <w:rPr>
                <w:rFonts w:ascii="Gotham" w:eastAsia="Arial" w:hAnsi="Gotham" w:cs="Arial"/>
                <w:color w:val="343436"/>
                <w:spacing w:val="-18"/>
                <w:position w:val="-1"/>
                <w:sz w:val="19"/>
                <w:szCs w:val="19"/>
              </w:rPr>
              <w:t xml:space="preserve"> </w:t>
            </w:r>
            <w:r w:rsidRPr="008230D6">
              <w:rPr>
                <w:rFonts w:ascii="Gotham" w:eastAsia="Arial" w:hAnsi="Gotham" w:cs="Arial"/>
                <w:color w:val="343436"/>
                <w:position w:val="-1"/>
                <w:sz w:val="19"/>
                <w:szCs w:val="19"/>
              </w:rPr>
              <w:t>sin</w:t>
            </w:r>
            <w:r w:rsidRPr="008230D6">
              <w:rPr>
                <w:rFonts w:ascii="Gotham" w:eastAsia="Arial" w:hAnsi="Gotham" w:cs="Arial"/>
                <w:color w:val="343436"/>
                <w:spacing w:val="-18"/>
                <w:position w:val="-1"/>
                <w:sz w:val="19"/>
                <w:szCs w:val="19"/>
              </w:rPr>
              <w:t xml:space="preserve"> </w:t>
            </w:r>
            <w:r w:rsidRPr="008230D6">
              <w:rPr>
                <w:rFonts w:ascii="Gotham" w:eastAsia="Arial" w:hAnsi="Gotham" w:cs="Arial"/>
                <w:color w:val="343436"/>
                <w:position w:val="-1"/>
                <w:sz w:val="19"/>
                <w:szCs w:val="19"/>
              </w:rPr>
              <w:t>elevador)</w:t>
            </w:r>
          </w:p>
        </w:tc>
      </w:tr>
      <w:tr w:rsidR="009B5E39" w:rsidRPr="008230D6" w14:paraId="3A475E8A" w14:textId="77777777" w:rsidTr="00190E4A">
        <w:trPr>
          <w:trHeight w:val="20"/>
          <w:jc w:val="center"/>
        </w:trPr>
        <w:tc>
          <w:tcPr>
            <w:tcW w:w="4780" w:type="dxa"/>
            <w:vAlign w:val="center"/>
          </w:tcPr>
          <w:p w14:paraId="3A475E87" w14:textId="77777777" w:rsidR="009B5E39" w:rsidRPr="008230D6" w:rsidRDefault="009B5E39" w:rsidP="00190E4A">
            <w:pPr>
              <w:spacing w:before="60" w:after="60"/>
              <w:ind w:left="82" w:right="179"/>
              <w:rPr>
                <w:rFonts w:ascii="Gotham" w:eastAsia="Arial" w:hAnsi="Gotham" w:cs="Arial"/>
                <w:sz w:val="19"/>
                <w:szCs w:val="19"/>
              </w:rPr>
            </w:pPr>
            <w:r w:rsidRPr="008230D6">
              <w:rPr>
                <w:rFonts w:ascii="Gotham" w:eastAsia="Arial" w:hAnsi="Gotham" w:cs="Arial"/>
                <w:color w:val="343436"/>
                <w:sz w:val="19"/>
                <w:szCs w:val="19"/>
              </w:rPr>
              <w:t>Cajone</w:t>
            </w:r>
            <w:r w:rsidRPr="008230D6">
              <w:rPr>
                <w:rFonts w:ascii="Gotham" w:eastAsia="Arial" w:hAnsi="Gotham" w:cs="Arial"/>
                <w:color w:val="343436"/>
                <w:spacing w:val="14"/>
                <w:sz w:val="19"/>
                <w:szCs w:val="19"/>
              </w:rPr>
              <w:t xml:space="preserve">s </w:t>
            </w:r>
            <w:r w:rsidRPr="008230D6">
              <w:rPr>
                <w:rFonts w:ascii="Gotham" w:eastAsia="Arial" w:hAnsi="Gotham" w:cs="Arial"/>
                <w:color w:val="343436"/>
                <w:sz w:val="19"/>
                <w:szCs w:val="19"/>
              </w:rPr>
              <w:t>de</w:t>
            </w:r>
            <w:r w:rsidRPr="008230D6">
              <w:rPr>
                <w:rFonts w:ascii="Gotham" w:eastAsia="Arial" w:hAnsi="Gotham" w:cs="Arial"/>
                <w:color w:val="343436"/>
                <w:spacing w:val="-18"/>
                <w:sz w:val="19"/>
                <w:szCs w:val="19"/>
              </w:rPr>
              <w:t xml:space="preserve"> </w:t>
            </w:r>
            <w:r w:rsidRPr="008230D6">
              <w:rPr>
                <w:rFonts w:ascii="Gotham" w:eastAsia="Arial" w:hAnsi="Gotham" w:cs="Arial"/>
                <w:color w:val="343436"/>
                <w:sz w:val="19"/>
                <w:szCs w:val="19"/>
              </w:rPr>
              <w:t>estacionamiento</w:t>
            </w:r>
            <w:r w:rsidRPr="008230D6">
              <w:rPr>
                <w:rFonts w:ascii="Gotham" w:eastAsia="Arial" w:hAnsi="Gotham" w:cs="Arial"/>
                <w:color w:val="343436"/>
                <w:spacing w:val="37"/>
                <w:sz w:val="19"/>
                <w:szCs w:val="19"/>
              </w:rPr>
              <w:t xml:space="preserve"> </w:t>
            </w:r>
            <w:r w:rsidRPr="008230D6">
              <w:rPr>
                <w:rFonts w:ascii="Gotham" w:eastAsia="Arial" w:hAnsi="Gotham" w:cs="Arial"/>
                <w:color w:val="343436"/>
                <w:sz w:val="19"/>
                <w:szCs w:val="19"/>
              </w:rPr>
              <w:t>para</w:t>
            </w:r>
            <w:r w:rsidRPr="008230D6">
              <w:rPr>
                <w:rFonts w:ascii="Gotham" w:eastAsia="Arial" w:hAnsi="Gotham" w:cs="Arial"/>
                <w:color w:val="343436"/>
                <w:spacing w:val="-12"/>
                <w:sz w:val="19"/>
                <w:szCs w:val="19"/>
              </w:rPr>
              <w:t xml:space="preserve"> </w:t>
            </w:r>
            <w:r w:rsidRPr="008230D6">
              <w:rPr>
                <w:rFonts w:ascii="Gotham" w:eastAsia="Arial" w:hAnsi="Gotham" w:cs="Arial"/>
                <w:color w:val="343436"/>
                <w:sz w:val="19"/>
                <w:szCs w:val="19"/>
              </w:rPr>
              <w:t>automóviles dentro</w:t>
            </w:r>
            <w:r w:rsidRPr="008230D6">
              <w:rPr>
                <w:rFonts w:ascii="Gotham" w:eastAsia="Arial" w:hAnsi="Gotham" w:cs="Arial"/>
                <w:color w:val="343436"/>
                <w:spacing w:val="28"/>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10"/>
                <w:sz w:val="19"/>
                <w:szCs w:val="19"/>
              </w:rPr>
              <w:t xml:space="preserve"> </w:t>
            </w:r>
            <w:r w:rsidRPr="008230D6">
              <w:rPr>
                <w:rFonts w:ascii="Gotham" w:eastAsia="Arial" w:hAnsi="Gotham" w:cs="Arial"/>
                <w:color w:val="343436"/>
                <w:sz w:val="19"/>
                <w:szCs w:val="19"/>
              </w:rPr>
              <w:t>los</w:t>
            </w:r>
            <w:r w:rsidRPr="008230D6">
              <w:rPr>
                <w:rFonts w:ascii="Gotham" w:eastAsia="Arial" w:hAnsi="Gotham" w:cs="Arial"/>
                <w:color w:val="343436"/>
                <w:spacing w:val="-4"/>
                <w:sz w:val="19"/>
                <w:szCs w:val="19"/>
              </w:rPr>
              <w:t xml:space="preserve"> </w:t>
            </w:r>
            <w:r w:rsidRPr="008230D6">
              <w:rPr>
                <w:rFonts w:ascii="Gotham" w:eastAsia="Arial" w:hAnsi="Gotham" w:cs="Arial"/>
                <w:color w:val="343436"/>
                <w:sz w:val="19"/>
                <w:szCs w:val="19"/>
              </w:rPr>
              <w:t>perímetros</w:t>
            </w:r>
            <w:r w:rsidRPr="008230D6">
              <w:rPr>
                <w:rFonts w:ascii="Gotham" w:eastAsia="Arial" w:hAnsi="Gotham" w:cs="Arial"/>
                <w:color w:val="343436"/>
                <w:spacing w:val="26"/>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10"/>
                <w:sz w:val="19"/>
                <w:szCs w:val="19"/>
              </w:rPr>
              <w:t xml:space="preserve"> </w:t>
            </w:r>
            <w:r w:rsidRPr="008230D6">
              <w:rPr>
                <w:rFonts w:ascii="Gotham" w:eastAsia="Arial" w:hAnsi="Gotham" w:cs="Arial"/>
                <w:color w:val="343436"/>
                <w:sz w:val="19"/>
                <w:szCs w:val="19"/>
              </w:rPr>
              <w:t>contención</w:t>
            </w:r>
            <w:r w:rsidRPr="008230D6">
              <w:rPr>
                <w:rFonts w:ascii="Gotham" w:eastAsia="Arial" w:hAnsi="Gotham" w:cs="Arial"/>
                <w:color w:val="343436"/>
                <w:spacing w:val="20"/>
                <w:sz w:val="19"/>
                <w:szCs w:val="19"/>
              </w:rPr>
              <w:t xml:space="preserve"> </w:t>
            </w:r>
            <w:r w:rsidRPr="008230D6">
              <w:rPr>
                <w:rFonts w:ascii="Gotham" w:eastAsia="Arial" w:hAnsi="Gotham" w:cs="Arial"/>
                <w:color w:val="4B4B4D"/>
                <w:w w:val="110"/>
                <w:sz w:val="19"/>
                <w:szCs w:val="19"/>
              </w:rPr>
              <w:t>•</w:t>
            </w:r>
          </w:p>
        </w:tc>
        <w:tc>
          <w:tcPr>
            <w:tcW w:w="3432" w:type="dxa"/>
            <w:vAlign w:val="center"/>
          </w:tcPr>
          <w:p w14:paraId="3A475E88" w14:textId="77777777" w:rsidR="009B5E39" w:rsidRPr="008230D6" w:rsidRDefault="009B5E39" w:rsidP="00190E4A">
            <w:pPr>
              <w:spacing w:before="60" w:after="60"/>
              <w:jc w:val="center"/>
              <w:rPr>
                <w:rFonts w:ascii="Gotham" w:hAnsi="Gotham" w:cs="Arial"/>
                <w:sz w:val="19"/>
                <w:szCs w:val="19"/>
              </w:rPr>
            </w:pPr>
          </w:p>
          <w:p w14:paraId="3A475E89" w14:textId="77777777" w:rsidR="009B5E39" w:rsidRPr="008230D6" w:rsidRDefault="009B5E39" w:rsidP="00190E4A">
            <w:pPr>
              <w:spacing w:before="60" w:after="60"/>
              <w:ind w:left="82" w:right="179"/>
              <w:jc w:val="center"/>
              <w:rPr>
                <w:rFonts w:ascii="Gotham" w:eastAsia="Arial" w:hAnsi="Gotham" w:cs="Arial"/>
                <w:sz w:val="19"/>
                <w:szCs w:val="19"/>
              </w:rPr>
            </w:pPr>
            <w:r w:rsidRPr="008230D6">
              <w:rPr>
                <w:rFonts w:ascii="Gotham" w:eastAsia="Arial" w:hAnsi="Gotham" w:cs="Arial"/>
                <w:color w:val="343436"/>
                <w:sz w:val="19"/>
                <w:szCs w:val="19"/>
              </w:rPr>
              <w:t>75% de las viviendas</w:t>
            </w:r>
          </w:p>
        </w:tc>
      </w:tr>
      <w:tr w:rsidR="009B5E39" w:rsidRPr="008230D6" w14:paraId="3A475E8E" w14:textId="77777777" w:rsidTr="00190E4A">
        <w:trPr>
          <w:trHeight w:val="20"/>
          <w:jc w:val="center"/>
        </w:trPr>
        <w:tc>
          <w:tcPr>
            <w:tcW w:w="4780" w:type="dxa"/>
            <w:vAlign w:val="center"/>
          </w:tcPr>
          <w:p w14:paraId="3A475E8B" w14:textId="77777777" w:rsidR="009B5E39" w:rsidRPr="008230D6" w:rsidRDefault="009B5E39" w:rsidP="00190E4A">
            <w:pPr>
              <w:spacing w:before="60" w:after="60"/>
              <w:ind w:left="82" w:right="179"/>
              <w:rPr>
                <w:rFonts w:ascii="Gotham" w:eastAsia="Arial" w:hAnsi="Gotham" w:cs="Arial"/>
                <w:color w:val="FF0000"/>
                <w:sz w:val="19"/>
                <w:szCs w:val="19"/>
              </w:rPr>
            </w:pPr>
            <w:r w:rsidRPr="008230D6">
              <w:rPr>
                <w:rFonts w:ascii="Gotham" w:eastAsia="Arial" w:hAnsi="Gotham" w:cs="Arial"/>
                <w:sz w:val="19"/>
                <w:szCs w:val="19"/>
              </w:rPr>
              <w:t>Cajones de estacionamiento para automóviles fuera de los perímetros de contención •</w:t>
            </w:r>
          </w:p>
        </w:tc>
        <w:tc>
          <w:tcPr>
            <w:tcW w:w="3432" w:type="dxa"/>
            <w:vAlign w:val="center"/>
          </w:tcPr>
          <w:p w14:paraId="3A475E8C" w14:textId="77777777" w:rsidR="009B5E39" w:rsidRPr="008230D6" w:rsidRDefault="009B5E39" w:rsidP="00190E4A">
            <w:pPr>
              <w:spacing w:before="60" w:after="60"/>
              <w:jc w:val="center"/>
              <w:rPr>
                <w:rFonts w:ascii="Gotham" w:hAnsi="Gotham" w:cs="Arial"/>
                <w:color w:val="FF0000"/>
                <w:sz w:val="19"/>
                <w:szCs w:val="19"/>
              </w:rPr>
            </w:pPr>
          </w:p>
          <w:p w14:paraId="3A475E8D" w14:textId="11C6AF08" w:rsidR="009B5E39" w:rsidRPr="008230D6" w:rsidRDefault="009B5E39" w:rsidP="00190E4A">
            <w:pPr>
              <w:spacing w:before="60" w:after="60"/>
              <w:ind w:left="749"/>
              <w:jc w:val="center"/>
              <w:rPr>
                <w:rFonts w:ascii="Gotham" w:eastAsia="Arial" w:hAnsi="Gotham" w:cs="Arial"/>
                <w:color w:val="FF0000"/>
                <w:sz w:val="19"/>
                <w:szCs w:val="19"/>
              </w:rPr>
            </w:pPr>
            <w:r w:rsidRPr="008230D6">
              <w:rPr>
                <w:rFonts w:ascii="Gotham" w:eastAsia="Arial" w:hAnsi="Gotham" w:cs="Arial"/>
                <w:w w:val="85"/>
                <w:sz w:val="19"/>
                <w:szCs w:val="19"/>
              </w:rPr>
              <w:t>1</w:t>
            </w:r>
            <w:r w:rsidRPr="008230D6">
              <w:rPr>
                <w:rFonts w:ascii="Gotham" w:eastAsia="Arial" w:hAnsi="Gotham" w:cs="Arial"/>
                <w:spacing w:val="2"/>
                <w:w w:val="85"/>
                <w:sz w:val="19"/>
                <w:szCs w:val="19"/>
              </w:rPr>
              <w:t xml:space="preserve"> </w:t>
            </w:r>
            <w:r w:rsidR="006C0D36" w:rsidRPr="008230D6">
              <w:rPr>
                <w:rFonts w:ascii="Gotham" w:eastAsia="Arial" w:hAnsi="Gotham" w:cs="Arial"/>
                <w:sz w:val="19"/>
                <w:szCs w:val="19"/>
              </w:rPr>
              <w:t>Cajón</w:t>
            </w:r>
            <w:r w:rsidRPr="008230D6">
              <w:rPr>
                <w:rFonts w:ascii="Gotham" w:eastAsia="Arial" w:hAnsi="Gotham" w:cs="Arial"/>
                <w:sz w:val="19"/>
                <w:szCs w:val="19"/>
              </w:rPr>
              <w:t xml:space="preserve"> por vivienda</w:t>
            </w:r>
          </w:p>
        </w:tc>
      </w:tr>
      <w:tr w:rsidR="009B5E39" w:rsidRPr="008230D6" w14:paraId="3A475E91" w14:textId="77777777" w:rsidTr="00190E4A">
        <w:trPr>
          <w:trHeight w:val="20"/>
          <w:jc w:val="center"/>
        </w:trPr>
        <w:tc>
          <w:tcPr>
            <w:tcW w:w="4780" w:type="dxa"/>
            <w:vAlign w:val="center"/>
          </w:tcPr>
          <w:p w14:paraId="3A475E8F" w14:textId="77777777" w:rsidR="009B5E39" w:rsidRPr="008230D6" w:rsidRDefault="009B5E39" w:rsidP="00190E4A">
            <w:pPr>
              <w:spacing w:before="60" w:after="60"/>
              <w:ind w:left="79"/>
              <w:rPr>
                <w:rFonts w:ascii="Gotham" w:eastAsia="Arial" w:hAnsi="Gotham" w:cs="Arial"/>
                <w:color w:val="2E74B5" w:themeColor="accent1" w:themeShade="BF"/>
                <w:sz w:val="19"/>
                <w:szCs w:val="19"/>
              </w:rPr>
            </w:pPr>
            <w:r w:rsidRPr="008230D6">
              <w:rPr>
                <w:rFonts w:ascii="Gotham" w:eastAsia="Arial" w:hAnsi="Gotham" w:cs="Arial"/>
                <w:color w:val="2E74B5" w:themeColor="accent1" w:themeShade="BF"/>
                <w:sz w:val="19"/>
                <w:szCs w:val="19"/>
              </w:rPr>
              <w:t>Estacionamiento</w:t>
            </w:r>
            <w:r w:rsidRPr="008230D6">
              <w:rPr>
                <w:rFonts w:ascii="Gotham" w:eastAsia="Arial" w:hAnsi="Gotham" w:cs="Arial"/>
                <w:color w:val="2E74B5" w:themeColor="accent1" w:themeShade="BF"/>
                <w:spacing w:val="-9"/>
                <w:sz w:val="19"/>
                <w:szCs w:val="19"/>
              </w:rPr>
              <w:t xml:space="preserve"> </w:t>
            </w:r>
            <w:r w:rsidRPr="008230D6">
              <w:rPr>
                <w:rFonts w:ascii="Gotham" w:eastAsia="Arial" w:hAnsi="Gotham" w:cs="Arial"/>
                <w:color w:val="2E74B5" w:themeColor="accent1" w:themeShade="BF"/>
                <w:w w:val="110"/>
                <w:sz w:val="19"/>
                <w:szCs w:val="19"/>
              </w:rPr>
              <w:t>bicicletas</w:t>
            </w:r>
          </w:p>
        </w:tc>
        <w:tc>
          <w:tcPr>
            <w:tcW w:w="3432" w:type="dxa"/>
            <w:vAlign w:val="center"/>
          </w:tcPr>
          <w:p w14:paraId="3A475E90" w14:textId="77777777" w:rsidR="009B5E39" w:rsidRPr="008230D6" w:rsidRDefault="009B5E39" w:rsidP="00190E4A">
            <w:pPr>
              <w:spacing w:before="60" w:after="60"/>
              <w:ind w:left="735"/>
              <w:jc w:val="center"/>
              <w:rPr>
                <w:rFonts w:ascii="Gotham" w:eastAsia="Arial" w:hAnsi="Gotham" w:cs="Arial"/>
                <w:color w:val="2E74B5" w:themeColor="accent1" w:themeShade="BF"/>
                <w:sz w:val="19"/>
                <w:szCs w:val="19"/>
              </w:rPr>
            </w:pPr>
            <w:r w:rsidRPr="008230D6">
              <w:rPr>
                <w:rFonts w:ascii="Gotham" w:eastAsia="Arial" w:hAnsi="Gotham" w:cs="Arial"/>
                <w:color w:val="2E74B5" w:themeColor="accent1" w:themeShade="BF"/>
                <w:w w:val="89"/>
                <w:sz w:val="19"/>
                <w:szCs w:val="19"/>
              </w:rPr>
              <w:t>15%</w:t>
            </w:r>
            <w:r w:rsidRPr="008230D6">
              <w:rPr>
                <w:rFonts w:ascii="Gotham" w:eastAsia="Arial" w:hAnsi="Gotham" w:cs="Arial"/>
                <w:color w:val="2E74B5" w:themeColor="accent1" w:themeShade="BF"/>
                <w:spacing w:val="15"/>
                <w:w w:val="89"/>
                <w:sz w:val="19"/>
                <w:szCs w:val="19"/>
              </w:rPr>
              <w:t xml:space="preserve"> </w:t>
            </w:r>
            <w:r w:rsidRPr="008230D6">
              <w:rPr>
                <w:rFonts w:ascii="Gotham" w:eastAsia="Arial" w:hAnsi="Gotham" w:cs="Arial"/>
                <w:color w:val="2E74B5" w:themeColor="accent1" w:themeShade="BF"/>
                <w:sz w:val="19"/>
                <w:szCs w:val="19"/>
              </w:rPr>
              <w:t>de</w:t>
            </w:r>
            <w:r w:rsidRPr="008230D6">
              <w:rPr>
                <w:rFonts w:ascii="Gotham" w:eastAsia="Arial" w:hAnsi="Gotham" w:cs="Arial"/>
                <w:color w:val="2E74B5" w:themeColor="accent1" w:themeShade="BF"/>
                <w:spacing w:val="-10"/>
                <w:sz w:val="19"/>
                <w:szCs w:val="19"/>
              </w:rPr>
              <w:t xml:space="preserve"> </w:t>
            </w:r>
            <w:r w:rsidRPr="008230D6">
              <w:rPr>
                <w:rFonts w:ascii="Gotham" w:eastAsia="Arial" w:hAnsi="Gotham" w:cs="Arial"/>
                <w:color w:val="2E74B5" w:themeColor="accent1" w:themeShade="BF"/>
                <w:sz w:val="19"/>
                <w:szCs w:val="19"/>
              </w:rPr>
              <w:t>las</w:t>
            </w:r>
            <w:r w:rsidRPr="008230D6">
              <w:rPr>
                <w:rFonts w:ascii="Gotham" w:eastAsia="Arial" w:hAnsi="Gotham" w:cs="Arial"/>
                <w:color w:val="2E74B5" w:themeColor="accent1" w:themeShade="BF"/>
                <w:spacing w:val="-32"/>
                <w:sz w:val="19"/>
                <w:szCs w:val="19"/>
              </w:rPr>
              <w:t xml:space="preserve"> </w:t>
            </w:r>
            <w:r w:rsidRPr="008230D6">
              <w:rPr>
                <w:rFonts w:ascii="Gotham" w:eastAsia="Arial" w:hAnsi="Gotham" w:cs="Arial"/>
                <w:color w:val="2E74B5" w:themeColor="accent1" w:themeShade="BF"/>
                <w:sz w:val="19"/>
                <w:szCs w:val="19"/>
              </w:rPr>
              <w:t>viviendas</w:t>
            </w:r>
          </w:p>
        </w:tc>
      </w:tr>
      <w:tr w:rsidR="009B5E39" w:rsidRPr="008230D6" w14:paraId="3A475E94" w14:textId="77777777" w:rsidTr="00190E4A">
        <w:trPr>
          <w:trHeight w:val="20"/>
          <w:jc w:val="center"/>
        </w:trPr>
        <w:tc>
          <w:tcPr>
            <w:tcW w:w="4780" w:type="dxa"/>
            <w:vAlign w:val="center"/>
          </w:tcPr>
          <w:p w14:paraId="3A475E92" w14:textId="77777777" w:rsidR="009B5E39" w:rsidRPr="008230D6" w:rsidRDefault="009B5E39" w:rsidP="00190E4A">
            <w:pPr>
              <w:spacing w:before="60" w:after="60"/>
              <w:ind w:left="79"/>
              <w:rPr>
                <w:rFonts w:ascii="Gotham" w:eastAsia="Arial" w:hAnsi="Gotham" w:cs="Arial"/>
                <w:color w:val="2E74B5" w:themeColor="accent1" w:themeShade="BF"/>
                <w:sz w:val="19"/>
                <w:szCs w:val="19"/>
              </w:rPr>
            </w:pPr>
            <w:r w:rsidRPr="008230D6">
              <w:rPr>
                <w:rFonts w:ascii="Gotham" w:eastAsia="Arial" w:hAnsi="Gotham" w:cs="Arial"/>
                <w:color w:val="2E74B5" w:themeColor="accent1" w:themeShade="BF"/>
                <w:sz w:val="19"/>
                <w:szCs w:val="19"/>
              </w:rPr>
              <w:t>Estacionamiento</w:t>
            </w:r>
            <w:r w:rsidRPr="008230D6">
              <w:rPr>
                <w:rFonts w:ascii="Gotham" w:eastAsia="Arial" w:hAnsi="Gotham" w:cs="Arial"/>
                <w:color w:val="2E74B5" w:themeColor="accent1" w:themeShade="BF"/>
                <w:spacing w:val="-9"/>
                <w:sz w:val="19"/>
                <w:szCs w:val="19"/>
              </w:rPr>
              <w:t xml:space="preserve"> </w:t>
            </w:r>
            <w:r w:rsidRPr="008230D6">
              <w:rPr>
                <w:rFonts w:ascii="Gotham" w:eastAsia="Arial" w:hAnsi="Gotham" w:cs="Arial"/>
                <w:color w:val="2E74B5" w:themeColor="accent1" w:themeShade="BF"/>
                <w:sz w:val="19"/>
                <w:szCs w:val="19"/>
              </w:rPr>
              <w:t>motocicletas</w:t>
            </w:r>
          </w:p>
        </w:tc>
        <w:tc>
          <w:tcPr>
            <w:tcW w:w="3432" w:type="dxa"/>
            <w:vAlign w:val="center"/>
          </w:tcPr>
          <w:p w14:paraId="3A475E93" w14:textId="77777777" w:rsidR="009B5E39" w:rsidRPr="008230D6" w:rsidRDefault="009B5E39" w:rsidP="00190E4A">
            <w:pPr>
              <w:spacing w:before="60" w:after="60"/>
              <w:ind w:left="735"/>
              <w:jc w:val="center"/>
              <w:rPr>
                <w:rFonts w:ascii="Gotham" w:eastAsia="Arial" w:hAnsi="Gotham" w:cs="Arial"/>
                <w:color w:val="2E74B5" w:themeColor="accent1" w:themeShade="BF"/>
                <w:w w:val="89"/>
                <w:sz w:val="19"/>
                <w:szCs w:val="19"/>
              </w:rPr>
            </w:pPr>
            <w:r w:rsidRPr="008230D6">
              <w:rPr>
                <w:rFonts w:ascii="Gotham" w:eastAsia="Arial" w:hAnsi="Gotham" w:cs="Arial"/>
                <w:color w:val="2E74B5" w:themeColor="accent1" w:themeShade="BF"/>
                <w:w w:val="89"/>
                <w:sz w:val="19"/>
                <w:szCs w:val="19"/>
              </w:rPr>
              <w:t>15%</w:t>
            </w:r>
            <w:r w:rsidRPr="008230D6">
              <w:rPr>
                <w:rFonts w:ascii="Gotham" w:eastAsia="Arial" w:hAnsi="Gotham" w:cs="Arial"/>
                <w:color w:val="2E74B5" w:themeColor="accent1" w:themeShade="BF"/>
                <w:spacing w:val="15"/>
                <w:w w:val="89"/>
                <w:sz w:val="19"/>
                <w:szCs w:val="19"/>
              </w:rPr>
              <w:t xml:space="preserve"> </w:t>
            </w:r>
            <w:r w:rsidRPr="008230D6">
              <w:rPr>
                <w:rFonts w:ascii="Gotham" w:eastAsia="Arial" w:hAnsi="Gotham" w:cs="Arial"/>
                <w:color w:val="2E74B5" w:themeColor="accent1" w:themeShade="BF"/>
                <w:sz w:val="19"/>
                <w:szCs w:val="19"/>
              </w:rPr>
              <w:t>de</w:t>
            </w:r>
            <w:r w:rsidRPr="008230D6">
              <w:rPr>
                <w:rFonts w:ascii="Gotham" w:eastAsia="Arial" w:hAnsi="Gotham" w:cs="Arial"/>
                <w:color w:val="2E74B5" w:themeColor="accent1" w:themeShade="BF"/>
                <w:spacing w:val="-10"/>
                <w:sz w:val="19"/>
                <w:szCs w:val="19"/>
              </w:rPr>
              <w:t xml:space="preserve"> </w:t>
            </w:r>
            <w:r w:rsidRPr="008230D6">
              <w:rPr>
                <w:rFonts w:ascii="Gotham" w:eastAsia="Arial" w:hAnsi="Gotham" w:cs="Arial"/>
                <w:color w:val="2E74B5" w:themeColor="accent1" w:themeShade="BF"/>
                <w:sz w:val="19"/>
                <w:szCs w:val="19"/>
              </w:rPr>
              <w:t>las</w:t>
            </w:r>
            <w:r w:rsidRPr="008230D6">
              <w:rPr>
                <w:rFonts w:ascii="Gotham" w:eastAsia="Arial" w:hAnsi="Gotham" w:cs="Arial"/>
                <w:color w:val="2E74B5" w:themeColor="accent1" w:themeShade="BF"/>
                <w:spacing w:val="-32"/>
                <w:sz w:val="19"/>
                <w:szCs w:val="19"/>
              </w:rPr>
              <w:t xml:space="preserve"> </w:t>
            </w:r>
            <w:r w:rsidRPr="008230D6">
              <w:rPr>
                <w:rFonts w:ascii="Gotham" w:eastAsia="Arial" w:hAnsi="Gotham" w:cs="Arial"/>
                <w:color w:val="2E74B5" w:themeColor="accent1" w:themeShade="BF"/>
                <w:sz w:val="19"/>
                <w:szCs w:val="19"/>
              </w:rPr>
              <w:t>viviendas</w:t>
            </w:r>
          </w:p>
        </w:tc>
      </w:tr>
      <w:tr w:rsidR="009B5E39" w:rsidRPr="008230D6" w14:paraId="3A475E97" w14:textId="77777777" w:rsidTr="00190E4A">
        <w:trPr>
          <w:trHeight w:val="20"/>
          <w:jc w:val="center"/>
        </w:trPr>
        <w:tc>
          <w:tcPr>
            <w:tcW w:w="4780" w:type="dxa"/>
            <w:vAlign w:val="center"/>
          </w:tcPr>
          <w:p w14:paraId="3A475E95" w14:textId="77777777" w:rsidR="009B5E39" w:rsidRPr="008230D6" w:rsidRDefault="009B5E39" w:rsidP="00190E4A">
            <w:pPr>
              <w:spacing w:before="60" w:after="60"/>
              <w:ind w:left="72"/>
              <w:rPr>
                <w:rFonts w:ascii="Gotham" w:eastAsia="Arial" w:hAnsi="Gotham" w:cs="Arial"/>
                <w:sz w:val="19"/>
                <w:szCs w:val="19"/>
              </w:rPr>
            </w:pPr>
            <w:r w:rsidRPr="008230D6">
              <w:rPr>
                <w:rFonts w:ascii="Gotham" w:eastAsia="Arial" w:hAnsi="Gotham" w:cs="Arial"/>
                <w:color w:val="343436"/>
                <w:w w:val="87"/>
                <w:position w:val="-1"/>
                <w:sz w:val="19"/>
                <w:szCs w:val="19"/>
              </w:rPr>
              <w:t>%</w:t>
            </w:r>
            <w:r w:rsidRPr="008230D6">
              <w:rPr>
                <w:rFonts w:ascii="Gotham" w:eastAsia="Arial" w:hAnsi="Gotham" w:cs="Arial"/>
                <w:color w:val="343436"/>
                <w:spacing w:val="7"/>
                <w:w w:val="87"/>
                <w:position w:val="-1"/>
                <w:sz w:val="19"/>
                <w:szCs w:val="19"/>
              </w:rPr>
              <w:t xml:space="preserve"> </w:t>
            </w:r>
            <w:r w:rsidRPr="008230D6">
              <w:rPr>
                <w:rFonts w:ascii="Gotham" w:eastAsia="Arial" w:hAnsi="Gotham" w:cs="Arial"/>
                <w:color w:val="343436"/>
                <w:position w:val="-1"/>
                <w:sz w:val="19"/>
                <w:szCs w:val="19"/>
              </w:rPr>
              <w:t>de</w:t>
            </w:r>
            <w:r w:rsidRPr="008230D6">
              <w:rPr>
                <w:rFonts w:ascii="Gotham" w:eastAsia="Arial" w:hAnsi="Gotham" w:cs="Arial"/>
                <w:color w:val="343436"/>
                <w:spacing w:val="-18"/>
                <w:position w:val="-1"/>
                <w:sz w:val="19"/>
                <w:szCs w:val="19"/>
              </w:rPr>
              <w:t xml:space="preserve"> </w:t>
            </w:r>
            <w:r w:rsidRPr="008230D6">
              <w:rPr>
                <w:rFonts w:ascii="Gotham" w:eastAsia="Arial" w:hAnsi="Gotham" w:cs="Arial"/>
                <w:color w:val="343436"/>
                <w:position w:val="-1"/>
                <w:sz w:val="19"/>
                <w:szCs w:val="19"/>
              </w:rPr>
              <w:t>jardín</w:t>
            </w:r>
            <w:r w:rsidRPr="008230D6">
              <w:rPr>
                <w:rFonts w:ascii="Gotham" w:eastAsia="Arial" w:hAnsi="Gotham" w:cs="Arial"/>
                <w:color w:val="343436"/>
                <w:spacing w:val="8"/>
                <w:position w:val="-1"/>
                <w:sz w:val="19"/>
                <w:szCs w:val="19"/>
              </w:rPr>
              <w:t xml:space="preserve"> </w:t>
            </w:r>
            <w:r w:rsidRPr="008230D6">
              <w:rPr>
                <w:rFonts w:ascii="Gotham" w:eastAsia="Arial" w:hAnsi="Gotham" w:cs="Arial"/>
                <w:color w:val="343436"/>
                <w:position w:val="-1"/>
                <w:sz w:val="19"/>
                <w:szCs w:val="19"/>
              </w:rPr>
              <w:t>en</w:t>
            </w:r>
            <w:r w:rsidRPr="008230D6">
              <w:rPr>
                <w:rFonts w:ascii="Gotham" w:eastAsia="Arial" w:hAnsi="Gotham" w:cs="Arial"/>
                <w:color w:val="343436"/>
                <w:spacing w:val="-3"/>
                <w:position w:val="-1"/>
                <w:sz w:val="19"/>
                <w:szCs w:val="19"/>
              </w:rPr>
              <w:t xml:space="preserve"> </w:t>
            </w:r>
            <w:r w:rsidRPr="008230D6">
              <w:rPr>
                <w:rFonts w:ascii="Gotham" w:eastAsia="Arial" w:hAnsi="Gotham" w:cs="Arial"/>
                <w:color w:val="343436"/>
                <w:position w:val="-1"/>
                <w:sz w:val="19"/>
                <w:szCs w:val="19"/>
              </w:rPr>
              <w:t>la</w:t>
            </w:r>
            <w:r w:rsidRPr="008230D6">
              <w:rPr>
                <w:rFonts w:ascii="Gotham" w:eastAsia="Arial" w:hAnsi="Gotham" w:cs="Arial"/>
                <w:color w:val="343436"/>
                <w:spacing w:val="-2"/>
                <w:position w:val="-1"/>
                <w:sz w:val="19"/>
                <w:szCs w:val="19"/>
              </w:rPr>
              <w:t xml:space="preserve"> </w:t>
            </w:r>
            <w:r w:rsidRPr="008230D6">
              <w:rPr>
                <w:rFonts w:ascii="Gotham" w:eastAsia="Arial" w:hAnsi="Gotham" w:cs="Arial"/>
                <w:color w:val="343436"/>
                <w:position w:val="-1"/>
                <w:sz w:val="19"/>
                <w:szCs w:val="19"/>
              </w:rPr>
              <w:t>restricción</w:t>
            </w:r>
            <w:r w:rsidRPr="008230D6">
              <w:rPr>
                <w:rFonts w:ascii="Gotham" w:eastAsia="Arial" w:hAnsi="Gotham" w:cs="Arial"/>
                <w:color w:val="343436"/>
                <w:spacing w:val="10"/>
                <w:position w:val="-1"/>
                <w:sz w:val="19"/>
                <w:szCs w:val="19"/>
              </w:rPr>
              <w:t xml:space="preserve"> </w:t>
            </w:r>
            <w:r w:rsidRPr="008230D6">
              <w:rPr>
                <w:rFonts w:ascii="Gotham" w:eastAsia="Arial" w:hAnsi="Gotham" w:cs="Arial"/>
                <w:color w:val="343436"/>
                <w:w w:val="110"/>
                <w:position w:val="-1"/>
                <w:sz w:val="19"/>
                <w:szCs w:val="19"/>
              </w:rPr>
              <w:t>frontal</w:t>
            </w:r>
          </w:p>
        </w:tc>
        <w:tc>
          <w:tcPr>
            <w:tcW w:w="3432" w:type="dxa"/>
            <w:vAlign w:val="center"/>
          </w:tcPr>
          <w:p w14:paraId="3A475E96" w14:textId="77777777" w:rsidR="009B5E39" w:rsidRPr="008230D6" w:rsidRDefault="009B5E39" w:rsidP="00190E4A">
            <w:pPr>
              <w:spacing w:before="60" w:after="60"/>
              <w:ind w:left="1476" w:right="1400"/>
              <w:jc w:val="center"/>
              <w:rPr>
                <w:rFonts w:ascii="Gotham" w:eastAsia="Arial" w:hAnsi="Gotham" w:cs="Arial"/>
                <w:sz w:val="19"/>
                <w:szCs w:val="19"/>
              </w:rPr>
            </w:pPr>
            <w:r w:rsidRPr="008230D6">
              <w:rPr>
                <w:rFonts w:ascii="Gotham" w:eastAsia="Arial" w:hAnsi="Gotham" w:cs="Arial"/>
                <w:color w:val="343436"/>
                <w:w w:val="97"/>
                <w:position w:val="-1"/>
                <w:sz w:val="19"/>
                <w:szCs w:val="19"/>
              </w:rPr>
              <w:t>30</w:t>
            </w:r>
            <w:r w:rsidRPr="008230D6">
              <w:rPr>
                <w:rFonts w:ascii="Gotham" w:eastAsia="Arial" w:hAnsi="Gotham" w:cs="Arial"/>
                <w:color w:val="4B4B4D"/>
                <w:w w:val="84"/>
                <w:position w:val="-1"/>
                <w:sz w:val="19"/>
                <w:szCs w:val="19"/>
              </w:rPr>
              <w:t>%</w:t>
            </w:r>
          </w:p>
        </w:tc>
      </w:tr>
      <w:tr w:rsidR="009B5E39" w:rsidRPr="008230D6" w14:paraId="3A475E99" w14:textId="77777777" w:rsidTr="00190E4A">
        <w:trPr>
          <w:trHeight w:hRule="exact" w:val="737"/>
          <w:jc w:val="center"/>
        </w:trPr>
        <w:tc>
          <w:tcPr>
            <w:tcW w:w="8212" w:type="dxa"/>
            <w:gridSpan w:val="2"/>
            <w:shd w:val="clear" w:color="auto" w:fill="D9D9D9" w:themeFill="background1" w:themeFillShade="D9"/>
            <w:vAlign w:val="center"/>
          </w:tcPr>
          <w:p w14:paraId="3A475E98" w14:textId="77777777" w:rsidR="009B5E39" w:rsidRPr="008230D6" w:rsidRDefault="009B5E39" w:rsidP="00190E4A">
            <w:pPr>
              <w:spacing w:before="60" w:after="60"/>
              <w:ind w:left="86"/>
              <w:rPr>
                <w:rFonts w:ascii="Gotham" w:eastAsia="Arial" w:hAnsi="Gotham" w:cs="Arial"/>
                <w:sz w:val="19"/>
                <w:szCs w:val="19"/>
              </w:rPr>
            </w:pPr>
            <w:r w:rsidRPr="008230D6">
              <w:rPr>
                <w:rFonts w:ascii="Gotham" w:eastAsia="Arial" w:hAnsi="Gotham" w:cs="Arial"/>
                <w:color w:val="343436"/>
                <w:sz w:val="19"/>
                <w:szCs w:val="19"/>
              </w:rPr>
              <w:t>*Cuando</w:t>
            </w:r>
            <w:r w:rsidRPr="008230D6">
              <w:rPr>
                <w:rFonts w:ascii="Gotham" w:eastAsia="Arial" w:hAnsi="Gotham" w:cs="Arial"/>
                <w:color w:val="343436"/>
                <w:spacing w:val="-10"/>
                <w:sz w:val="19"/>
                <w:szCs w:val="19"/>
              </w:rPr>
              <w:t xml:space="preserve"> </w:t>
            </w:r>
            <w:r w:rsidRPr="008230D6">
              <w:rPr>
                <w:rFonts w:ascii="Gotham" w:eastAsia="Arial" w:hAnsi="Gotham" w:cs="Arial"/>
                <w:color w:val="343436"/>
                <w:sz w:val="19"/>
                <w:szCs w:val="19"/>
              </w:rPr>
              <w:t>se</w:t>
            </w:r>
            <w:r w:rsidRPr="008230D6">
              <w:rPr>
                <w:rFonts w:ascii="Gotham" w:eastAsia="Arial" w:hAnsi="Gotham" w:cs="Arial"/>
                <w:color w:val="343436"/>
                <w:spacing w:val="-34"/>
                <w:sz w:val="19"/>
                <w:szCs w:val="19"/>
              </w:rPr>
              <w:t xml:space="preserve"> </w:t>
            </w:r>
            <w:r w:rsidRPr="008230D6">
              <w:rPr>
                <w:rFonts w:ascii="Gotham" w:eastAsia="Arial" w:hAnsi="Gotham" w:cs="Arial"/>
                <w:color w:val="343436"/>
                <w:sz w:val="19"/>
                <w:szCs w:val="19"/>
              </w:rPr>
              <w:t>trate</w:t>
            </w:r>
            <w:r w:rsidRPr="008230D6">
              <w:rPr>
                <w:rFonts w:ascii="Gotham" w:eastAsia="Arial" w:hAnsi="Gotham" w:cs="Arial"/>
                <w:color w:val="343436"/>
                <w:spacing w:val="39"/>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4"/>
                <w:sz w:val="19"/>
                <w:szCs w:val="19"/>
              </w:rPr>
              <w:t xml:space="preserve"> </w:t>
            </w:r>
            <w:r w:rsidRPr="008230D6">
              <w:rPr>
                <w:rFonts w:ascii="Gotham" w:eastAsia="Arial" w:hAnsi="Gotham" w:cs="Arial"/>
                <w:color w:val="343436"/>
                <w:sz w:val="19"/>
                <w:szCs w:val="19"/>
              </w:rPr>
              <w:t>playas</w:t>
            </w:r>
            <w:r w:rsidRPr="008230D6">
              <w:rPr>
                <w:rFonts w:ascii="Gotham" w:eastAsia="Arial" w:hAnsi="Gotham" w:cs="Arial"/>
                <w:color w:val="343436"/>
                <w:spacing w:val="-34"/>
                <w:sz w:val="19"/>
                <w:szCs w:val="19"/>
              </w:rPr>
              <w:t xml:space="preserve"> </w:t>
            </w:r>
            <w:r w:rsidRPr="008230D6">
              <w:rPr>
                <w:rFonts w:ascii="Gotham" w:eastAsia="Arial" w:hAnsi="Gotham" w:cs="Arial"/>
                <w:color w:val="343436"/>
                <w:sz w:val="19"/>
                <w:szCs w:val="19"/>
              </w:rPr>
              <w:t>de</w:t>
            </w:r>
            <w:r w:rsidRPr="008230D6">
              <w:rPr>
                <w:rFonts w:ascii="Gotham" w:eastAsia="Arial" w:hAnsi="Gotham" w:cs="Arial"/>
                <w:color w:val="343436"/>
                <w:spacing w:val="-10"/>
                <w:sz w:val="19"/>
                <w:szCs w:val="19"/>
              </w:rPr>
              <w:t xml:space="preserve"> </w:t>
            </w:r>
            <w:r w:rsidRPr="008230D6">
              <w:rPr>
                <w:rFonts w:ascii="Gotham" w:eastAsia="Arial" w:hAnsi="Gotham" w:cs="Arial"/>
                <w:color w:val="343436"/>
                <w:sz w:val="19"/>
                <w:szCs w:val="19"/>
              </w:rPr>
              <w:t>estacionamiento,</w:t>
            </w:r>
            <w:r w:rsidRPr="008230D6">
              <w:rPr>
                <w:rFonts w:ascii="Gotham" w:eastAsia="Arial" w:hAnsi="Gotham" w:cs="Arial"/>
                <w:color w:val="343436"/>
                <w:spacing w:val="12"/>
                <w:sz w:val="19"/>
                <w:szCs w:val="19"/>
              </w:rPr>
              <w:t xml:space="preserve"> </w:t>
            </w:r>
            <w:r w:rsidRPr="008230D6">
              <w:rPr>
                <w:rFonts w:ascii="Gotham" w:eastAsia="Arial" w:hAnsi="Gotham" w:cs="Arial"/>
                <w:color w:val="343436"/>
                <w:sz w:val="19"/>
                <w:szCs w:val="19"/>
              </w:rPr>
              <w:t>éstas</w:t>
            </w:r>
            <w:r w:rsidRPr="008230D6">
              <w:rPr>
                <w:rFonts w:ascii="Gotham" w:eastAsia="Arial" w:hAnsi="Gotham" w:cs="Arial"/>
                <w:color w:val="343436"/>
                <w:spacing w:val="-32"/>
                <w:sz w:val="19"/>
                <w:szCs w:val="19"/>
              </w:rPr>
              <w:t xml:space="preserve"> </w:t>
            </w:r>
            <w:r w:rsidRPr="008230D6">
              <w:rPr>
                <w:rFonts w:ascii="Gotham" w:eastAsia="Arial" w:hAnsi="Gotham" w:cs="Arial"/>
                <w:color w:val="343436"/>
                <w:sz w:val="19"/>
                <w:szCs w:val="19"/>
              </w:rPr>
              <w:t>no</w:t>
            </w:r>
            <w:r w:rsidRPr="008230D6">
              <w:rPr>
                <w:rFonts w:ascii="Gotham" w:eastAsia="Arial" w:hAnsi="Gotham" w:cs="Arial"/>
                <w:color w:val="343436"/>
                <w:spacing w:val="-3"/>
                <w:sz w:val="19"/>
                <w:szCs w:val="19"/>
              </w:rPr>
              <w:t xml:space="preserve"> </w:t>
            </w:r>
            <w:r w:rsidRPr="008230D6">
              <w:rPr>
                <w:rFonts w:ascii="Gotham" w:eastAsia="Arial" w:hAnsi="Gotham" w:cs="Arial"/>
                <w:color w:val="343436"/>
                <w:sz w:val="19"/>
                <w:szCs w:val="19"/>
              </w:rPr>
              <w:t>deberán</w:t>
            </w:r>
            <w:r w:rsidRPr="008230D6">
              <w:rPr>
                <w:rFonts w:ascii="Gotham" w:eastAsia="Arial" w:hAnsi="Gotham" w:cs="Arial"/>
                <w:color w:val="343436"/>
                <w:spacing w:val="-4"/>
                <w:sz w:val="19"/>
                <w:szCs w:val="19"/>
              </w:rPr>
              <w:t xml:space="preserve"> </w:t>
            </w:r>
            <w:r w:rsidRPr="008230D6">
              <w:rPr>
                <w:rFonts w:ascii="Gotham" w:eastAsia="Arial" w:hAnsi="Gotham" w:cs="Arial"/>
                <w:color w:val="343436"/>
                <w:sz w:val="19"/>
                <w:szCs w:val="19"/>
              </w:rPr>
              <w:t>estar</w:t>
            </w:r>
            <w:r w:rsidRPr="008230D6">
              <w:rPr>
                <w:rFonts w:ascii="Gotham" w:eastAsia="Arial" w:hAnsi="Gotham" w:cs="Arial"/>
                <w:color w:val="343436"/>
                <w:spacing w:val="-3"/>
                <w:sz w:val="19"/>
                <w:szCs w:val="19"/>
              </w:rPr>
              <w:t xml:space="preserve"> </w:t>
            </w:r>
            <w:r w:rsidRPr="008230D6">
              <w:rPr>
                <w:rFonts w:ascii="Gotham" w:eastAsia="Arial" w:hAnsi="Gotham" w:cs="Arial"/>
                <w:color w:val="343436"/>
                <w:w w:val="79"/>
                <w:sz w:val="19"/>
                <w:szCs w:val="19"/>
              </w:rPr>
              <w:t>a</w:t>
            </w:r>
            <w:r w:rsidRPr="008230D6">
              <w:rPr>
                <w:rFonts w:ascii="Gotham" w:eastAsia="Arial" w:hAnsi="Gotham" w:cs="Arial"/>
                <w:color w:val="343436"/>
                <w:spacing w:val="21"/>
                <w:w w:val="79"/>
                <w:sz w:val="19"/>
                <w:szCs w:val="19"/>
              </w:rPr>
              <w:t xml:space="preserve"> </w:t>
            </w:r>
            <w:r w:rsidRPr="008230D6">
              <w:rPr>
                <w:rFonts w:ascii="Gotham" w:eastAsia="Arial" w:hAnsi="Gotham" w:cs="Arial"/>
                <w:color w:val="343436"/>
                <w:sz w:val="19"/>
                <w:szCs w:val="19"/>
              </w:rPr>
              <w:t xml:space="preserve">una distancia mayor a </w:t>
            </w:r>
            <w:r w:rsidRPr="008230D6">
              <w:rPr>
                <w:rFonts w:ascii="Gotham" w:eastAsia="Arial" w:hAnsi="Gotham" w:cs="Arial"/>
                <w:color w:val="2E74B5" w:themeColor="accent1" w:themeShade="BF"/>
                <w:sz w:val="19"/>
                <w:szCs w:val="19"/>
              </w:rPr>
              <w:t>50 metros recorridos a pie de la vivienda a la que le corresponde</w:t>
            </w:r>
          </w:p>
        </w:tc>
      </w:tr>
    </w:tbl>
    <w:p w14:paraId="3A475E9A" w14:textId="77777777" w:rsidR="009B5E39" w:rsidRPr="008230D6" w:rsidRDefault="009B5E39" w:rsidP="009B5E39">
      <w:pPr>
        <w:ind w:left="284" w:right="283"/>
        <w:jc w:val="both"/>
        <w:rPr>
          <w:rFonts w:ascii="Gotham" w:hAnsi="Gotham" w:cs="Arial"/>
          <w:sz w:val="20"/>
          <w:szCs w:val="20"/>
        </w:rPr>
      </w:pPr>
    </w:p>
    <w:p w14:paraId="3A475E9B"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I. </w:t>
      </w:r>
      <w:r>
        <w:rPr>
          <w:rFonts w:ascii="Gotham" w:hAnsi="Gotham" w:cs="Arial"/>
          <w:sz w:val="20"/>
          <w:szCs w:val="20"/>
        </w:rPr>
        <w:tab/>
      </w:r>
      <w:r w:rsidRPr="008230D6">
        <w:rPr>
          <w:rFonts w:ascii="Gotham" w:hAnsi="Gotham" w:cs="Arial"/>
          <w:sz w:val="20"/>
          <w:szCs w:val="20"/>
        </w:rPr>
        <w:t>Se establece del valor de 3.0 para el Coeficiente de Utilización del Suelo;</w:t>
      </w:r>
    </w:p>
    <w:p w14:paraId="3A475E9C"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II. </w:t>
      </w:r>
      <w:r>
        <w:rPr>
          <w:rFonts w:ascii="Gotham" w:hAnsi="Gotham" w:cs="Arial"/>
          <w:sz w:val="20"/>
          <w:szCs w:val="20"/>
        </w:rPr>
        <w:tab/>
      </w:r>
      <w:r w:rsidRPr="008230D6">
        <w:rPr>
          <w:rFonts w:ascii="Gotham" w:hAnsi="Gotham" w:cs="Arial"/>
          <w:sz w:val="20"/>
          <w:szCs w:val="20"/>
        </w:rPr>
        <w:t xml:space="preserve">El número máximo de unidades permitidas dentro de un lote se calculará mediante la multiplicación de la superficie del lote por el CUS (3.0) y dividiendo el resultado entre el </w:t>
      </w:r>
      <w:r w:rsidRPr="008230D6">
        <w:rPr>
          <w:rFonts w:ascii="Gotham" w:hAnsi="Gotham" w:cs="Arial"/>
          <w:color w:val="2E74B5" w:themeColor="accent1" w:themeShade="BF"/>
          <w:sz w:val="20"/>
          <w:szCs w:val="20"/>
        </w:rPr>
        <w:t xml:space="preserve">IDE (80). </w:t>
      </w:r>
      <w:r w:rsidRPr="008230D6">
        <w:rPr>
          <w:rFonts w:ascii="Gotham" w:hAnsi="Gotham" w:cs="Arial"/>
          <w:sz w:val="20"/>
          <w:szCs w:val="20"/>
        </w:rPr>
        <w:t xml:space="preserve">La superficie de vialidades </w:t>
      </w:r>
      <w:r w:rsidRPr="008230D6">
        <w:rPr>
          <w:rFonts w:ascii="Gotham" w:hAnsi="Gotham" w:cs="Arial"/>
          <w:color w:val="2E74B5" w:themeColor="accent1" w:themeShade="BF"/>
          <w:sz w:val="20"/>
          <w:szCs w:val="20"/>
        </w:rPr>
        <w:t>públicas o privadas</w:t>
      </w:r>
      <w:r w:rsidRPr="008230D6">
        <w:rPr>
          <w:rFonts w:ascii="Gotham" w:hAnsi="Gotham" w:cs="Arial"/>
          <w:sz w:val="20"/>
          <w:szCs w:val="20"/>
        </w:rPr>
        <w:t>, áreas de restricción y ACD no podrán ser consideradas para la cuantificación del IDE;</w:t>
      </w:r>
    </w:p>
    <w:p w14:paraId="3A475E9D"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III. </w:t>
      </w:r>
      <w:r>
        <w:rPr>
          <w:rFonts w:ascii="Gotham" w:hAnsi="Gotham" w:cs="Arial"/>
          <w:sz w:val="20"/>
          <w:szCs w:val="20"/>
        </w:rPr>
        <w:tab/>
      </w:r>
      <w:r w:rsidRPr="008230D6">
        <w:rPr>
          <w:rFonts w:ascii="Gotham" w:hAnsi="Gotham" w:cs="Arial"/>
          <w:sz w:val="20"/>
          <w:szCs w:val="20"/>
        </w:rPr>
        <w:t xml:space="preserve">La restricción frontal para los predios que se encuentren dentro de los perímetros de contención urbana, </w:t>
      </w:r>
      <w:r w:rsidRPr="008230D6">
        <w:rPr>
          <w:rFonts w:ascii="Gotham" w:hAnsi="Gotham" w:cs="Arial"/>
          <w:color w:val="2E74B5" w:themeColor="accent1" w:themeShade="BF"/>
          <w:sz w:val="20"/>
          <w:szCs w:val="20"/>
        </w:rPr>
        <w:t>se dictaminará por la Dirección de Control de la Edificación;</w:t>
      </w:r>
    </w:p>
    <w:p w14:paraId="3A475E9E"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IV. </w:t>
      </w:r>
      <w:r>
        <w:rPr>
          <w:rFonts w:ascii="Gotham" w:hAnsi="Gotham" w:cs="Arial"/>
          <w:sz w:val="20"/>
          <w:szCs w:val="20"/>
        </w:rPr>
        <w:tab/>
      </w:r>
      <w:r w:rsidRPr="008230D6">
        <w:rPr>
          <w:rFonts w:ascii="Gotham" w:hAnsi="Gotham" w:cs="Arial"/>
          <w:sz w:val="20"/>
          <w:szCs w:val="20"/>
        </w:rPr>
        <w:t>La restricción frontal para los predios ubicados fuera de los perímetros de contención urbana será de acuerdo con el cuadro 3;</w:t>
      </w:r>
    </w:p>
    <w:p w14:paraId="3A475E9F" w14:textId="77777777" w:rsidR="009B5E39" w:rsidRPr="008230D6" w:rsidRDefault="009B5E39" w:rsidP="009B5E39">
      <w:pPr>
        <w:spacing w:after="120"/>
        <w:ind w:left="1134" w:right="283" w:hanging="850"/>
        <w:jc w:val="both"/>
        <w:rPr>
          <w:rFonts w:ascii="Gotham" w:hAnsi="Gotham" w:cs="Arial"/>
          <w:color w:val="7030A0"/>
          <w:sz w:val="20"/>
          <w:szCs w:val="20"/>
        </w:rPr>
      </w:pPr>
      <w:r w:rsidRPr="008230D6">
        <w:rPr>
          <w:rFonts w:ascii="Gotham" w:hAnsi="Gotham" w:cs="Arial"/>
          <w:sz w:val="20"/>
          <w:szCs w:val="20"/>
        </w:rPr>
        <w:t xml:space="preserve">V. </w:t>
      </w:r>
      <w:r>
        <w:rPr>
          <w:rFonts w:ascii="Gotham" w:hAnsi="Gotham" w:cs="Arial"/>
          <w:sz w:val="20"/>
          <w:szCs w:val="20"/>
        </w:rPr>
        <w:tab/>
      </w:r>
      <w:r w:rsidRPr="008230D6">
        <w:rPr>
          <w:rFonts w:ascii="Gotham" w:hAnsi="Gotham" w:cs="Arial"/>
          <w:sz w:val="20"/>
          <w:szCs w:val="20"/>
        </w:rPr>
        <w:t>La restricción posterior será de 4.00 metros lineales, aplicable para cinco niveles. Cuando la edificación exceda el quinto nivel, la restricción posterior un tercio de la altura total del edificio. En caso de que el predio de la colindancia posterior se encuentre a un nivel más bajo, se deberá aumentar dicha restricción 50 centímetros por cada metro de desnivel.</w:t>
      </w:r>
    </w:p>
    <w:p w14:paraId="3A475EA0"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VI. </w:t>
      </w:r>
      <w:r>
        <w:rPr>
          <w:rFonts w:ascii="Gotham" w:hAnsi="Gotham" w:cs="Arial"/>
          <w:sz w:val="20"/>
          <w:szCs w:val="20"/>
        </w:rPr>
        <w:tab/>
      </w:r>
      <w:r w:rsidRPr="008230D6">
        <w:rPr>
          <w:rFonts w:ascii="Gotham" w:hAnsi="Gotham" w:cs="Arial"/>
          <w:sz w:val="20"/>
          <w:szCs w:val="20"/>
        </w:rPr>
        <w:t xml:space="preserve">Para los predios que se encuentren dentro de los perímetros de contención urbana, por lo menos el 75% de las viviendas deberán contar con un cajón de estacionamiento estrictamente asignado. </w:t>
      </w:r>
      <w:r w:rsidRPr="008230D6">
        <w:rPr>
          <w:rFonts w:ascii="Gotham" w:hAnsi="Gotham" w:cs="Arial"/>
          <w:color w:val="2E74B5" w:themeColor="accent1" w:themeShade="BF"/>
          <w:sz w:val="20"/>
          <w:szCs w:val="20"/>
        </w:rPr>
        <w:t xml:space="preserve">En caso de que el costo de la vivienda rebase a 60 salarios mínimos mensuales y/o la sección vial no tenga una jerarquía colectora o mayor y/o ésta tenga una sección menor a 15 metros se deberá garantizar un cajón por vivienda. </w:t>
      </w:r>
      <w:r w:rsidRPr="008230D6">
        <w:rPr>
          <w:rFonts w:ascii="Gotham" w:hAnsi="Gotham" w:cs="Arial"/>
          <w:sz w:val="20"/>
          <w:szCs w:val="20"/>
        </w:rPr>
        <w:t>Cada cajón deberá tener acceso libre y garantizar sus patios de maniobras de acuerdo con el Título Quinto, Capítulo Quinto, "Estacionamientos" del Reglamento Estatal de Zonificación de Jalisco. Los locales comerciales y de servicios no estarán obligados a garantizar cajones de estacionamiento, excepto cuando se apeguen a lo señalado en el Artículo 18 de las presentes Normas Integrales;</w:t>
      </w:r>
    </w:p>
    <w:p w14:paraId="3A475EA1"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lastRenderedPageBreak/>
        <w:t>VII.</w:t>
      </w:r>
      <w:r w:rsidRPr="008230D6">
        <w:rPr>
          <w:rFonts w:ascii="Gotham" w:hAnsi="Gotham" w:cs="Arial"/>
          <w:color w:val="7030A0"/>
          <w:sz w:val="20"/>
          <w:szCs w:val="20"/>
        </w:rPr>
        <w:t xml:space="preserve"> </w:t>
      </w:r>
      <w:r>
        <w:rPr>
          <w:rFonts w:ascii="Gotham" w:hAnsi="Gotham" w:cs="Arial"/>
          <w:color w:val="7030A0"/>
          <w:sz w:val="20"/>
          <w:szCs w:val="20"/>
        </w:rPr>
        <w:tab/>
      </w:r>
      <w:r w:rsidRPr="008230D6">
        <w:rPr>
          <w:rFonts w:ascii="Gotham" w:hAnsi="Gotham" w:cs="Arial"/>
          <w:sz w:val="20"/>
          <w:szCs w:val="20"/>
        </w:rPr>
        <w:t xml:space="preserve">Para los predios que se encuentren fuera del perímetro de contención deberán garantizar 1 cajón de estacionamiento por vivienda, más los requeridos para los comercios y servicios. Cada cajón deberá tener acceso libre y garantizar sus patios de maniobras de acuerdo con el Título Quinto, Capítulo Quinto, "Estacionamientos" del Reglamento Estatal de Zonificación de Jalisco; </w:t>
      </w:r>
    </w:p>
    <w:p w14:paraId="3A475EA2"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VIII. </w:t>
      </w:r>
      <w:r>
        <w:rPr>
          <w:rFonts w:ascii="Gotham" w:hAnsi="Gotham" w:cs="Arial"/>
          <w:sz w:val="20"/>
          <w:szCs w:val="20"/>
        </w:rPr>
        <w:tab/>
      </w:r>
      <w:r w:rsidRPr="008230D6">
        <w:rPr>
          <w:rFonts w:ascii="Gotham" w:hAnsi="Gotham" w:cs="Arial"/>
          <w:sz w:val="20"/>
          <w:szCs w:val="20"/>
        </w:rPr>
        <w:t xml:space="preserve">Para todos los casos, por lo menos, el </w:t>
      </w:r>
      <w:r w:rsidRPr="008230D6">
        <w:rPr>
          <w:rFonts w:ascii="Gotham" w:hAnsi="Gotham" w:cs="Arial"/>
          <w:color w:val="2E74B5" w:themeColor="accent1" w:themeShade="BF"/>
          <w:sz w:val="20"/>
          <w:szCs w:val="20"/>
        </w:rPr>
        <w:t xml:space="preserve">15% </w:t>
      </w:r>
      <w:r w:rsidRPr="008230D6">
        <w:rPr>
          <w:rFonts w:ascii="Gotham" w:hAnsi="Gotham" w:cs="Arial"/>
          <w:sz w:val="20"/>
          <w:szCs w:val="20"/>
        </w:rPr>
        <w:t xml:space="preserve">de las viviendas deberán contar con un cajón de estacionamiento para bicicletas y </w:t>
      </w:r>
      <w:r w:rsidRPr="008230D6">
        <w:rPr>
          <w:rFonts w:ascii="Gotham" w:hAnsi="Gotham" w:cs="Arial"/>
          <w:color w:val="2E74B5" w:themeColor="accent1" w:themeShade="BF"/>
          <w:sz w:val="20"/>
          <w:szCs w:val="20"/>
        </w:rPr>
        <w:t xml:space="preserve">otro 15% de las viviendas deberá contar con un cajón de estacionamiento para </w:t>
      </w:r>
      <w:r w:rsidRPr="008230D6">
        <w:rPr>
          <w:rFonts w:ascii="Gotham" w:hAnsi="Gotham" w:cs="Arial"/>
          <w:sz w:val="20"/>
          <w:szCs w:val="20"/>
        </w:rPr>
        <w:t>motocicletas;</w:t>
      </w:r>
    </w:p>
    <w:p w14:paraId="3A475EA3" w14:textId="77777777" w:rsidR="009B5E39" w:rsidRPr="008230D6" w:rsidRDefault="009B5E39" w:rsidP="009B5E39">
      <w:pPr>
        <w:spacing w:after="120"/>
        <w:ind w:left="1134" w:right="283" w:hanging="850"/>
        <w:jc w:val="both"/>
        <w:rPr>
          <w:rFonts w:ascii="Gotham" w:hAnsi="Gotham" w:cs="Arial"/>
          <w:color w:val="2E74B5" w:themeColor="accent1" w:themeShade="BF"/>
          <w:sz w:val="20"/>
          <w:szCs w:val="20"/>
        </w:rPr>
      </w:pPr>
      <w:r w:rsidRPr="008230D6">
        <w:rPr>
          <w:rFonts w:ascii="Gotham" w:hAnsi="Gotham" w:cs="Arial"/>
          <w:sz w:val="20"/>
          <w:szCs w:val="20"/>
        </w:rPr>
        <w:t>IX</w:t>
      </w:r>
      <w:r w:rsidRPr="008230D6">
        <w:rPr>
          <w:rFonts w:ascii="Gotham" w:hAnsi="Gotham" w:cs="Arial"/>
          <w:color w:val="2E74B5" w:themeColor="accent1" w:themeShade="BF"/>
          <w:sz w:val="20"/>
          <w:szCs w:val="20"/>
        </w:rPr>
        <w:t xml:space="preserve">. </w:t>
      </w:r>
      <w:r>
        <w:rPr>
          <w:rFonts w:ascii="Gotham" w:hAnsi="Gotham" w:cs="Arial"/>
          <w:color w:val="2E74B5" w:themeColor="accent1" w:themeShade="BF"/>
          <w:sz w:val="20"/>
          <w:szCs w:val="20"/>
        </w:rPr>
        <w:tab/>
      </w:r>
      <w:r w:rsidRPr="008230D6">
        <w:rPr>
          <w:rFonts w:ascii="Gotham" w:hAnsi="Gotham" w:cs="Arial"/>
          <w:color w:val="2E74B5" w:themeColor="accent1" w:themeShade="BF"/>
          <w:sz w:val="20"/>
          <w:szCs w:val="20"/>
        </w:rPr>
        <w:t>La modalidad de redensificación mixta deberá garantizar una superficie igual o mayor al 10% correspondiente a la del coeficiente de utilización del suelo (C.U.S.) asignado para el lote, misma que será destinada a comercios y servicios cuya intensidad será la permitida según la jerarquía de la vialidad. El comercio se ubicará</w:t>
      </w:r>
      <w:r w:rsidR="007C2F8D">
        <w:rPr>
          <w:rFonts w:ascii="Gotham" w:hAnsi="Gotham" w:cs="Arial"/>
          <w:color w:val="2E74B5" w:themeColor="accent1" w:themeShade="BF"/>
          <w:sz w:val="20"/>
          <w:szCs w:val="20"/>
        </w:rPr>
        <w:t xml:space="preserve"> </w:t>
      </w:r>
      <w:r w:rsidRPr="008230D6">
        <w:rPr>
          <w:rFonts w:ascii="Gotham" w:hAnsi="Gotham" w:cs="Arial"/>
          <w:color w:val="2E74B5" w:themeColor="accent1" w:themeShade="BF"/>
          <w:sz w:val="20"/>
          <w:szCs w:val="20"/>
        </w:rPr>
        <w:t>exclusivamente en la planta baja, dichas unidades contarán una superficie mínima de 20.00 m</w:t>
      </w:r>
      <w:r w:rsidRPr="008230D6">
        <w:rPr>
          <w:rFonts w:ascii="Cambria" w:hAnsi="Cambria" w:cs="Cambria"/>
          <w:color w:val="2E74B5" w:themeColor="accent1" w:themeShade="BF"/>
          <w:sz w:val="20"/>
          <w:szCs w:val="20"/>
        </w:rPr>
        <w:t>²</w:t>
      </w:r>
      <w:r w:rsidRPr="008230D6">
        <w:rPr>
          <w:rFonts w:ascii="Gotham" w:hAnsi="Gotham" w:cs="Arial"/>
          <w:color w:val="2E74B5" w:themeColor="accent1" w:themeShade="BF"/>
          <w:sz w:val="20"/>
          <w:szCs w:val="20"/>
        </w:rPr>
        <w:t xml:space="preserve"> cada una, incluyendo los servicios sanitarios correspondientes;</w:t>
      </w:r>
    </w:p>
    <w:p w14:paraId="3A475EA4"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X. </w:t>
      </w:r>
      <w:r>
        <w:rPr>
          <w:rFonts w:ascii="Gotham" w:hAnsi="Gotham" w:cs="Arial"/>
          <w:sz w:val="20"/>
          <w:szCs w:val="20"/>
        </w:rPr>
        <w:tab/>
      </w:r>
      <w:r w:rsidRPr="008230D6">
        <w:rPr>
          <w:rFonts w:ascii="Gotham" w:hAnsi="Gotham" w:cs="Arial"/>
          <w:color w:val="2E74B5" w:themeColor="accent1" w:themeShade="BF"/>
          <w:sz w:val="20"/>
          <w:szCs w:val="20"/>
        </w:rPr>
        <w:t xml:space="preserve">Se permitirán hasta cuatro niveles sin elevador. En caso de proponer más de cuatro niveles, la edificación deberá contar con elevador. </w:t>
      </w:r>
      <w:r w:rsidRPr="008230D6">
        <w:rPr>
          <w:rFonts w:ascii="Gotham" w:hAnsi="Gotham" w:cs="Arial"/>
          <w:sz w:val="20"/>
          <w:szCs w:val="20"/>
        </w:rPr>
        <w:t>Se podrá considerar extra un cubo de escaleras en la azotea, excluyendo su superficie de la cuantificación del CUS;</w:t>
      </w:r>
    </w:p>
    <w:p w14:paraId="3A475EA5"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XI. </w:t>
      </w:r>
      <w:r>
        <w:rPr>
          <w:rFonts w:ascii="Gotham" w:hAnsi="Gotham" w:cs="Arial"/>
          <w:sz w:val="20"/>
          <w:szCs w:val="20"/>
        </w:rPr>
        <w:tab/>
      </w:r>
      <w:r w:rsidRPr="008230D6">
        <w:rPr>
          <w:rFonts w:ascii="Gotham" w:hAnsi="Gotham" w:cs="Arial"/>
          <w:sz w:val="20"/>
          <w:szCs w:val="20"/>
        </w:rPr>
        <w:t>Para los predios que se encuentren fuera de los perímetros de contención urbana, será obligatorio que el 60%de sus viviendas se edifiquen con esta modalidad mixta, de manera que pueda ofrecer el abasto necesario a los habitantes;</w:t>
      </w:r>
    </w:p>
    <w:p w14:paraId="3A475EA6" w14:textId="77777777" w:rsidR="009B5E39" w:rsidRPr="008230D6" w:rsidRDefault="009B5E39" w:rsidP="009B5E39">
      <w:pPr>
        <w:spacing w:after="120"/>
        <w:ind w:left="1134" w:right="283" w:hanging="850"/>
        <w:jc w:val="both"/>
        <w:rPr>
          <w:rFonts w:ascii="Gotham" w:hAnsi="Gotham" w:cs="Arial"/>
          <w:sz w:val="20"/>
          <w:szCs w:val="20"/>
        </w:rPr>
      </w:pPr>
      <w:r w:rsidRPr="008230D6">
        <w:rPr>
          <w:rFonts w:ascii="Gotham" w:hAnsi="Gotham" w:cs="Arial"/>
          <w:sz w:val="20"/>
          <w:szCs w:val="20"/>
        </w:rPr>
        <w:t xml:space="preserve">XII. </w:t>
      </w:r>
      <w:r>
        <w:rPr>
          <w:rFonts w:ascii="Gotham" w:hAnsi="Gotham" w:cs="Arial"/>
          <w:sz w:val="20"/>
          <w:szCs w:val="20"/>
        </w:rPr>
        <w:tab/>
      </w:r>
      <w:r w:rsidRPr="008230D6">
        <w:rPr>
          <w:rFonts w:ascii="Gotham" w:hAnsi="Gotham" w:cs="Arial"/>
          <w:sz w:val="20"/>
          <w:szCs w:val="20"/>
        </w:rPr>
        <w:t>Las ACD se cuantificarán de acuerdo con lo señalado en el Código Urbano para el Estado de Jalisco;</w:t>
      </w:r>
    </w:p>
    <w:p w14:paraId="3A475EA7" w14:textId="77777777" w:rsidR="009B5E39" w:rsidRPr="008230D6" w:rsidRDefault="009B5E39" w:rsidP="009B5E39">
      <w:pPr>
        <w:ind w:left="1134" w:right="283" w:hanging="850"/>
        <w:jc w:val="both"/>
        <w:rPr>
          <w:rFonts w:ascii="Gotham" w:hAnsi="Gotham" w:cs="Arial"/>
          <w:sz w:val="20"/>
          <w:szCs w:val="20"/>
        </w:rPr>
      </w:pPr>
      <w:r w:rsidRPr="008230D6">
        <w:rPr>
          <w:rFonts w:ascii="Gotham" w:hAnsi="Gotham" w:cs="Arial"/>
          <w:sz w:val="20"/>
          <w:szCs w:val="20"/>
        </w:rPr>
        <w:t xml:space="preserve">XIII. </w:t>
      </w:r>
      <w:r>
        <w:rPr>
          <w:rFonts w:ascii="Gotham" w:hAnsi="Gotham" w:cs="Arial"/>
          <w:sz w:val="20"/>
          <w:szCs w:val="20"/>
        </w:rPr>
        <w:tab/>
      </w:r>
      <w:r w:rsidRPr="008230D6">
        <w:rPr>
          <w:rFonts w:ascii="Gotham" w:hAnsi="Gotham" w:cs="Arial"/>
          <w:sz w:val="20"/>
          <w:szCs w:val="20"/>
        </w:rPr>
        <w:t>Los cobros por conceptos municipales se cuantificarán de acuerdo con los usos a desarrollar</w:t>
      </w:r>
    </w:p>
    <w:p w14:paraId="3A475EA8" w14:textId="77777777" w:rsidR="009B5E39" w:rsidRPr="008230D6" w:rsidRDefault="009B5E39" w:rsidP="009B5E39">
      <w:pPr>
        <w:ind w:left="284" w:right="283"/>
        <w:jc w:val="both"/>
        <w:rPr>
          <w:rFonts w:ascii="Gotham" w:hAnsi="Gotham" w:cs="Arial"/>
          <w:sz w:val="20"/>
          <w:szCs w:val="20"/>
        </w:rPr>
      </w:pPr>
    </w:p>
    <w:p w14:paraId="3A475EA9" w14:textId="77777777" w:rsidR="009B5E39" w:rsidRPr="008230D6" w:rsidRDefault="009B5E39" w:rsidP="009B5E39">
      <w:pPr>
        <w:ind w:left="284" w:right="283"/>
        <w:jc w:val="both"/>
        <w:rPr>
          <w:rFonts w:ascii="Gotham" w:hAnsi="Gotham" w:cs="Arial"/>
          <w:sz w:val="20"/>
          <w:szCs w:val="20"/>
        </w:rPr>
      </w:pPr>
      <w:r w:rsidRPr="008230D6">
        <w:rPr>
          <w:rFonts w:ascii="Gotham" w:hAnsi="Gotham" w:cs="Arial"/>
          <w:b/>
          <w:sz w:val="20"/>
          <w:szCs w:val="20"/>
        </w:rPr>
        <w:t>Artículo 8.</w:t>
      </w:r>
      <w:r w:rsidRPr="008230D6">
        <w:rPr>
          <w:rFonts w:ascii="Gotham" w:hAnsi="Gotham" w:cs="Arial"/>
          <w:sz w:val="20"/>
          <w:szCs w:val="20"/>
        </w:rPr>
        <w:t xml:space="preserve"> Los predios o lotes que se sujeten a la modalidad de redensificación simple deberán apegarse a los siguientes lineamientos de control de la edificación:</w:t>
      </w:r>
    </w:p>
    <w:p w14:paraId="3A475EAA" w14:textId="77777777" w:rsidR="009B5E39" w:rsidRPr="008230D6" w:rsidRDefault="009B5E39" w:rsidP="009B5E39">
      <w:pPr>
        <w:ind w:left="284" w:right="283"/>
        <w:jc w:val="both"/>
        <w:rPr>
          <w:rFonts w:ascii="Gotham" w:hAnsi="Gotham"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00"/>
        <w:gridCol w:w="3420"/>
      </w:tblGrid>
      <w:tr w:rsidR="009B5E39" w:rsidRPr="0027404B" w14:paraId="3A475EAD" w14:textId="77777777" w:rsidTr="00190E4A">
        <w:trPr>
          <w:trHeight w:hRule="exact" w:val="659"/>
          <w:jc w:val="center"/>
        </w:trPr>
        <w:tc>
          <w:tcPr>
            <w:tcW w:w="8220" w:type="dxa"/>
            <w:gridSpan w:val="2"/>
            <w:shd w:val="clear" w:color="auto" w:fill="000000" w:themeFill="text1"/>
          </w:tcPr>
          <w:p w14:paraId="3A475EAB" w14:textId="77777777" w:rsidR="009B5E39" w:rsidRPr="0027404B" w:rsidRDefault="009B5E39" w:rsidP="00190E4A">
            <w:pPr>
              <w:spacing w:before="60" w:after="60"/>
              <w:jc w:val="both"/>
              <w:rPr>
                <w:rFonts w:ascii="Gotham" w:hAnsi="Gotham" w:cs="Arial"/>
                <w:sz w:val="19"/>
                <w:szCs w:val="19"/>
              </w:rPr>
            </w:pPr>
          </w:p>
          <w:p w14:paraId="3A475EAC" w14:textId="77777777" w:rsidR="009B5E39" w:rsidRPr="0027404B" w:rsidRDefault="009B5E39" w:rsidP="00190E4A">
            <w:pPr>
              <w:spacing w:before="60" w:after="60"/>
              <w:ind w:left="2744"/>
              <w:jc w:val="both"/>
              <w:rPr>
                <w:rFonts w:ascii="Gotham" w:eastAsia="Arial" w:hAnsi="Gotham" w:cs="Arial"/>
                <w:sz w:val="19"/>
                <w:szCs w:val="19"/>
              </w:rPr>
            </w:pPr>
            <w:r w:rsidRPr="0027404B">
              <w:rPr>
                <w:rFonts w:ascii="Gotham" w:eastAsia="Arial" w:hAnsi="Gotham" w:cs="Arial"/>
                <w:color w:val="FDFDFD"/>
                <w:sz w:val="19"/>
                <w:szCs w:val="19"/>
              </w:rPr>
              <w:t>Cuadro</w:t>
            </w:r>
            <w:r w:rsidRPr="0027404B">
              <w:rPr>
                <w:rFonts w:ascii="Gotham" w:eastAsia="Arial" w:hAnsi="Gotham" w:cs="Arial"/>
                <w:color w:val="FDFDFD"/>
                <w:spacing w:val="-12"/>
                <w:sz w:val="19"/>
                <w:szCs w:val="19"/>
              </w:rPr>
              <w:t xml:space="preserve"> </w:t>
            </w:r>
            <w:r w:rsidRPr="0027404B">
              <w:rPr>
                <w:rFonts w:ascii="Gotham" w:eastAsia="Arial" w:hAnsi="Gotham" w:cs="Arial"/>
                <w:color w:val="FDFDFD"/>
                <w:sz w:val="19"/>
                <w:szCs w:val="19"/>
              </w:rPr>
              <w:t>2.</w:t>
            </w:r>
            <w:r w:rsidRPr="0027404B">
              <w:rPr>
                <w:rFonts w:ascii="Gotham" w:eastAsia="Arial" w:hAnsi="Gotham" w:cs="Arial"/>
                <w:color w:val="FDFDFD"/>
                <w:spacing w:val="-1"/>
                <w:sz w:val="19"/>
                <w:szCs w:val="19"/>
              </w:rPr>
              <w:t xml:space="preserve"> </w:t>
            </w:r>
            <w:r w:rsidRPr="0027404B">
              <w:rPr>
                <w:rFonts w:ascii="Gotham" w:eastAsia="Arial" w:hAnsi="Gotham" w:cs="Arial"/>
                <w:color w:val="FDFDFD"/>
                <w:sz w:val="19"/>
                <w:szCs w:val="19"/>
              </w:rPr>
              <w:t>Modalidad</w:t>
            </w:r>
            <w:r w:rsidRPr="0027404B">
              <w:rPr>
                <w:rFonts w:ascii="Gotham" w:eastAsia="Arial" w:hAnsi="Gotham" w:cs="Arial"/>
                <w:color w:val="FDFDFD"/>
                <w:spacing w:val="23"/>
                <w:sz w:val="19"/>
                <w:szCs w:val="19"/>
              </w:rPr>
              <w:t xml:space="preserve"> </w:t>
            </w:r>
            <w:r w:rsidRPr="0027404B">
              <w:rPr>
                <w:rFonts w:ascii="Gotham" w:eastAsia="Arial" w:hAnsi="Gotham" w:cs="Arial"/>
                <w:color w:val="FDFDFD"/>
                <w:sz w:val="19"/>
                <w:szCs w:val="19"/>
              </w:rPr>
              <w:t>Simple</w:t>
            </w:r>
          </w:p>
        </w:tc>
      </w:tr>
      <w:tr w:rsidR="009B5E39" w:rsidRPr="0027404B" w14:paraId="3A475EB0" w14:textId="77777777" w:rsidTr="00190E4A">
        <w:trPr>
          <w:trHeight w:hRule="exact" w:val="397"/>
          <w:jc w:val="center"/>
        </w:trPr>
        <w:tc>
          <w:tcPr>
            <w:tcW w:w="4800" w:type="dxa"/>
            <w:shd w:val="clear" w:color="auto" w:fill="D9D9D9" w:themeFill="background1" w:themeFillShade="D9"/>
            <w:vAlign w:val="center"/>
          </w:tcPr>
          <w:p w14:paraId="3A475EAE" w14:textId="77777777" w:rsidR="009B5E39" w:rsidRPr="0027404B" w:rsidRDefault="009B5E39" w:rsidP="00190E4A">
            <w:pPr>
              <w:spacing w:before="60" w:after="60"/>
              <w:ind w:left="2059" w:right="1988"/>
              <w:jc w:val="center"/>
              <w:rPr>
                <w:rFonts w:ascii="Gotham" w:eastAsia="Arial" w:hAnsi="Gotham" w:cs="Arial"/>
                <w:sz w:val="19"/>
                <w:szCs w:val="19"/>
              </w:rPr>
            </w:pPr>
            <w:r w:rsidRPr="0027404B">
              <w:rPr>
                <w:rFonts w:ascii="Gotham" w:eastAsia="Arial" w:hAnsi="Gotham" w:cs="Arial"/>
                <w:color w:val="2F2F2F"/>
                <w:w w:val="99"/>
                <w:position w:val="-2"/>
                <w:sz w:val="19"/>
                <w:szCs w:val="19"/>
              </w:rPr>
              <w:t>Norma</w:t>
            </w:r>
          </w:p>
        </w:tc>
        <w:tc>
          <w:tcPr>
            <w:tcW w:w="3420" w:type="dxa"/>
            <w:shd w:val="clear" w:color="auto" w:fill="D9D9D9" w:themeFill="background1" w:themeFillShade="D9"/>
            <w:vAlign w:val="center"/>
          </w:tcPr>
          <w:p w14:paraId="3A475EAF"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F2F2F"/>
                <w:w w:val="99"/>
                <w:position w:val="-4"/>
                <w:sz w:val="19"/>
                <w:szCs w:val="19"/>
              </w:rPr>
              <w:t>Valor</w:t>
            </w:r>
          </w:p>
        </w:tc>
      </w:tr>
      <w:tr w:rsidR="009B5E39" w:rsidRPr="0027404B" w14:paraId="3A475EB3" w14:textId="77777777" w:rsidTr="00190E4A">
        <w:trPr>
          <w:trHeight w:val="20"/>
          <w:jc w:val="center"/>
        </w:trPr>
        <w:tc>
          <w:tcPr>
            <w:tcW w:w="4800" w:type="dxa"/>
            <w:vAlign w:val="center"/>
          </w:tcPr>
          <w:p w14:paraId="3A475EB1" w14:textId="77777777" w:rsidR="009B5E39" w:rsidRPr="0027404B" w:rsidRDefault="009B5E39" w:rsidP="00190E4A">
            <w:pPr>
              <w:spacing w:before="60" w:after="60"/>
              <w:ind w:left="108"/>
              <w:rPr>
                <w:rFonts w:ascii="Gotham" w:eastAsia="Arial" w:hAnsi="Gotham" w:cs="Arial"/>
                <w:sz w:val="19"/>
                <w:szCs w:val="19"/>
              </w:rPr>
            </w:pPr>
            <w:r w:rsidRPr="0027404B">
              <w:rPr>
                <w:rFonts w:ascii="Gotham" w:eastAsia="Arial" w:hAnsi="Gotham" w:cs="Arial"/>
                <w:color w:val="2F2F2F"/>
                <w:w w:val="83"/>
                <w:position w:val="-2"/>
                <w:sz w:val="19"/>
                <w:szCs w:val="19"/>
              </w:rPr>
              <w:t>COS (</w:t>
            </w:r>
            <w:r w:rsidRPr="0027404B">
              <w:rPr>
                <w:rFonts w:ascii="Gotham" w:eastAsia="Arial" w:hAnsi="Gotham" w:cs="Arial"/>
                <w:color w:val="2F2F2F"/>
                <w:position w:val="-3"/>
                <w:sz w:val="19"/>
                <w:szCs w:val="19"/>
              </w:rPr>
              <w:t>Coeficiente</w:t>
            </w:r>
            <w:r w:rsidRPr="0027404B">
              <w:rPr>
                <w:rFonts w:ascii="Gotham" w:eastAsia="Arial" w:hAnsi="Gotham" w:cs="Arial"/>
                <w:color w:val="2F2F2F"/>
                <w:spacing w:val="-8"/>
                <w:position w:val="-3"/>
                <w:sz w:val="19"/>
                <w:szCs w:val="19"/>
              </w:rPr>
              <w:t xml:space="preserve"> </w:t>
            </w:r>
            <w:r w:rsidRPr="0027404B">
              <w:rPr>
                <w:rFonts w:ascii="Gotham" w:eastAsia="Arial" w:hAnsi="Gotham" w:cs="Arial"/>
                <w:color w:val="2F2F2F"/>
                <w:position w:val="-3"/>
                <w:sz w:val="19"/>
                <w:szCs w:val="19"/>
              </w:rPr>
              <w:t>de</w:t>
            </w:r>
            <w:r w:rsidRPr="0027404B">
              <w:rPr>
                <w:rFonts w:ascii="Gotham" w:eastAsia="Arial" w:hAnsi="Gotham" w:cs="Arial"/>
                <w:color w:val="2F2F2F"/>
                <w:spacing w:val="-20"/>
                <w:position w:val="-3"/>
                <w:sz w:val="19"/>
                <w:szCs w:val="19"/>
              </w:rPr>
              <w:t xml:space="preserve"> </w:t>
            </w:r>
            <w:r w:rsidRPr="0027404B">
              <w:rPr>
                <w:rFonts w:ascii="Gotham" w:eastAsia="Arial" w:hAnsi="Gotham" w:cs="Arial"/>
                <w:color w:val="2F2F2F"/>
                <w:position w:val="-3"/>
                <w:sz w:val="19"/>
                <w:szCs w:val="19"/>
              </w:rPr>
              <w:t>ocupación</w:t>
            </w:r>
            <w:r w:rsidRPr="0027404B">
              <w:rPr>
                <w:rFonts w:ascii="Gotham" w:eastAsia="Arial" w:hAnsi="Gotham" w:cs="Arial"/>
                <w:color w:val="2F2F2F"/>
                <w:spacing w:val="-8"/>
                <w:position w:val="-3"/>
                <w:sz w:val="19"/>
                <w:szCs w:val="19"/>
              </w:rPr>
              <w:t xml:space="preserve"> </w:t>
            </w:r>
            <w:r w:rsidRPr="0027404B">
              <w:rPr>
                <w:rFonts w:ascii="Gotham" w:eastAsia="Arial" w:hAnsi="Gotham" w:cs="Arial"/>
                <w:color w:val="2F2F2F"/>
                <w:position w:val="-3"/>
                <w:sz w:val="19"/>
                <w:szCs w:val="19"/>
              </w:rPr>
              <w:t>del</w:t>
            </w:r>
            <w:r w:rsidRPr="0027404B">
              <w:rPr>
                <w:rFonts w:ascii="Gotham" w:eastAsia="Arial" w:hAnsi="Gotham" w:cs="Arial"/>
                <w:color w:val="2F2F2F"/>
                <w:spacing w:val="-12"/>
                <w:position w:val="-3"/>
                <w:sz w:val="19"/>
                <w:szCs w:val="19"/>
              </w:rPr>
              <w:t xml:space="preserve"> </w:t>
            </w:r>
            <w:r w:rsidRPr="0027404B">
              <w:rPr>
                <w:rFonts w:ascii="Gotham" w:eastAsia="Arial" w:hAnsi="Gotham" w:cs="Arial"/>
                <w:color w:val="2F2F2F"/>
                <w:position w:val="-3"/>
                <w:sz w:val="19"/>
                <w:szCs w:val="19"/>
              </w:rPr>
              <w:t>suelo)</w:t>
            </w:r>
          </w:p>
        </w:tc>
        <w:tc>
          <w:tcPr>
            <w:tcW w:w="3420" w:type="dxa"/>
            <w:vAlign w:val="center"/>
          </w:tcPr>
          <w:p w14:paraId="3A475EB2"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F2F2F"/>
                <w:w w:val="99"/>
                <w:position w:val="-5"/>
                <w:sz w:val="19"/>
                <w:szCs w:val="19"/>
              </w:rPr>
              <w:t>Libre</w:t>
            </w:r>
          </w:p>
        </w:tc>
      </w:tr>
      <w:tr w:rsidR="009B5E39" w:rsidRPr="0027404B" w14:paraId="3A475EB6" w14:textId="77777777" w:rsidTr="00190E4A">
        <w:trPr>
          <w:trHeight w:val="20"/>
          <w:jc w:val="center"/>
        </w:trPr>
        <w:tc>
          <w:tcPr>
            <w:tcW w:w="4800" w:type="dxa"/>
            <w:vAlign w:val="center"/>
          </w:tcPr>
          <w:p w14:paraId="3A475EB4" w14:textId="77777777" w:rsidR="009B5E39" w:rsidRPr="0027404B" w:rsidRDefault="009B5E39" w:rsidP="00190E4A">
            <w:pPr>
              <w:spacing w:before="60" w:after="60"/>
              <w:ind w:left="108"/>
              <w:rPr>
                <w:rFonts w:ascii="Gotham" w:eastAsia="Arial" w:hAnsi="Gotham" w:cs="Arial"/>
                <w:sz w:val="19"/>
                <w:szCs w:val="19"/>
              </w:rPr>
            </w:pPr>
            <w:r w:rsidRPr="0027404B">
              <w:rPr>
                <w:rFonts w:ascii="Gotham" w:eastAsia="Arial" w:hAnsi="Gotham" w:cs="Arial"/>
                <w:color w:val="2F2F2F"/>
                <w:w w:val="83"/>
                <w:position w:val="-2"/>
                <w:sz w:val="19"/>
                <w:szCs w:val="19"/>
              </w:rPr>
              <w:t>CUS</w:t>
            </w:r>
            <w:r w:rsidRPr="0027404B">
              <w:rPr>
                <w:rFonts w:ascii="Gotham" w:eastAsia="Arial" w:hAnsi="Gotham" w:cs="Arial"/>
                <w:color w:val="2F2F2F"/>
                <w:spacing w:val="6"/>
                <w:w w:val="83"/>
                <w:position w:val="-2"/>
                <w:sz w:val="19"/>
                <w:szCs w:val="19"/>
              </w:rPr>
              <w:t xml:space="preserve"> </w:t>
            </w:r>
            <w:r w:rsidRPr="0027404B">
              <w:rPr>
                <w:rFonts w:ascii="Gotham" w:eastAsia="Arial" w:hAnsi="Gotham" w:cs="Arial"/>
                <w:color w:val="2F2F2F"/>
                <w:position w:val="-2"/>
                <w:sz w:val="19"/>
                <w:szCs w:val="19"/>
              </w:rPr>
              <w:t>(Coeficiente</w:t>
            </w:r>
            <w:r w:rsidRPr="0027404B">
              <w:rPr>
                <w:rFonts w:ascii="Gotham" w:eastAsia="Arial" w:hAnsi="Gotham" w:cs="Arial"/>
                <w:color w:val="2F2F2F"/>
                <w:spacing w:val="-22"/>
                <w:position w:val="-2"/>
                <w:sz w:val="19"/>
                <w:szCs w:val="19"/>
              </w:rPr>
              <w:t xml:space="preserve"> </w:t>
            </w:r>
            <w:r w:rsidRPr="0027404B">
              <w:rPr>
                <w:rFonts w:ascii="Gotham" w:eastAsia="Arial" w:hAnsi="Gotham" w:cs="Arial"/>
                <w:color w:val="2F2F2F"/>
                <w:position w:val="-2"/>
                <w:sz w:val="19"/>
                <w:szCs w:val="19"/>
              </w:rPr>
              <w:t>de</w:t>
            </w:r>
            <w:r w:rsidRPr="0027404B">
              <w:rPr>
                <w:rFonts w:ascii="Gotham" w:eastAsia="Arial" w:hAnsi="Gotham" w:cs="Arial"/>
                <w:color w:val="2F2F2F"/>
                <w:spacing w:val="-5"/>
                <w:position w:val="-2"/>
                <w:sz w:val="19"/>
                <w:szCs w:val="19"/>
              </w:rPr>
              <w:t xml:space="preserve"> </w:t>
            </w:r>
            <w:r w:rsidRPr="0027404B">
              <w:rPr>
                <w:rFonts w:ascii="Gotham" w:eastAsia="Arial" w:hAnsi="Gotham" w:cs="Arial"/>
                <w:color w:val="2F2F2F"/>
                <w:position w:val="-2"/>
                <w:sz w:val="19"/>
                <w:szCs w:val="19"/>
              </w:rPr>
              <w:t>utilización</w:t>
            </w:r>
            <w:r w:rsidRPr="0027404B">
              <w:rPr>
                <w:rFonts w:ascii="Gotham" w:eastAsia="Arial" w:hAnsi="Gotham" w:cs="Arial"/>
                <w:color w:val="2F2F2F"/>
                <w:spacing w:val="15"/>
                <w:position w:val="-2"/>
                <w:sz w:val="19"/>
                <w:szCs w:val="19"/>
              </w:rPr>
              <w:t xml:space="preserve"> </w:t>
            </w:r>
            <w:r w:rsidRPr="0027404B">
              <w:rPr>
                <w:rFonts w:ascii="Gotham" w:eastAsia="Arial" w:hAnsi="Gotham" w:cs="Arial"/>
                <w:color w:val="2F2F2F"/>
                <w:position w:val="-2"/>
                <w:sz w:val="19"/>
                <w:szCs w:val="19"/>
              </w:rPr>
              <w:t>del</w:t>
            </w:r>
            <w:r w:rsidRPr="0027404B">
              <w:rPr>
                <w:rFonts w:ascii="Gotham" w:eastAsia="Arial" w:hAnsi="Gotham" w:cs="Arial"/>
                <w:color w:val="2F2F2F"/>
                <w:spacing w:val="-12"/>
                <w:position w:val="-2"/>
                <w:sz w:val="19"/>
                <w:szCs w:val="19"/>
              </w:rPr>
              <w:t xml:space="preserve"> </w:t>
            </w:r>
            <w:r w:rsidRPr="0027404B">
              <w:rPr>
                <w:rFonts w:ascii="Gotham" w:eastAsia="Arial" w:hAnsi="Gotham" w:cs="Arial"/>
                <w:color w:val="2F2F2F"/>
                <w:position w:val="-2"/>
                <w:sz w:val="19"/>
                <w:szCs w:val="19"/>
              </w:rPr>
              <w:t>suelo)</w:t>
            </w:r>
          </w:p>
        </w:tc>
        <w:tc>
          <w:tcPr>
            <w:tcW w:w="3420" w:type="dxa"/>
            <w:vAlign w:val="center"/>
          </w:tcPr>
          <w:p w14:paraId="3A475EB5"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F2F2F"/>
                <w:w w:val="99"/>
                <w:position w:val="-4"/>
                <w:sz w:val="19"/>
                <w:szCs w:val="19"/>
              </w:rPr>
              <w:t>2.5</w:t>
            </w:r>
          </w:p>
        </w:tc>
      </w:tr>
      <w:tr w:rsidR="009B5E39" w:rsidRPr="0027404B" w14:paraId="3A475EB9" w14:textId="77777777" w:rsidTr="00190E4A">
        <w:trPr>
          <w:trHeight w:val="20"/>
          <w:jc w:val="center"/>
        </w:trPr>
        <w:tc>
          <w:tcPr>
            <w:tcW w:w="4800" w:type="dxa"/>
            <w:vAlign w:val="center"/>
          </w:tcPr>
          <w:p w14:paraId="3A475EB7" w14:textId="77777777" w:rsidR="009B5E39" w:rsidRPr="0027404B" w:rsidRDefault="009B5E39" w:rsidP="00190E4A">
            <w:pPr>
              <w:spacing w:before="60" w:after="60"/>
              <w:ind w:left="108"/>
              <w:rPr>
                <w:rFonts w:ascii="Gotham" w:eastAsia="Arial" w:hAnsi="Gotham" w:cs="Arial"/>
                <w:sz w:val="19"/>
                <w:szCs w:val="19"/>
              </w:rPr>
            </w:pPr>
            <w:r w:rsidRPr="0027404B">
              <w:rPr>
                <w:rFonts w:ascii="Gotham" w:eastAsia="Arial" w:hAnsi="Gotham" w:cs="Arial"/>
                <w:color w:val="2F2F2F"/>
                <w:spacing w:val="-1"/>
                <w:w w:val="74"/>
                <w:position w:val="-2"/>
                <w:sz w:val="19"/>
                <w:szCs w:val="19"/>
              </w:rPr>
              <w:t>I</w:t>
            </w:r>
            <w:r w:rsidRPr="0027404B">
              <w:rPr>
                <w:rFonts w:ascii="Gotham" w:eastAsia="Arial" w:hAnsi="Gotham" w:cs="Arial"/>
                <w:color w:val="2F2F2F"/>
                <w:w w:val="99"/>
                <w:position w:val="-2"/>
                <w:sz w:val="19"/>
                <w:szCs w:val="19"/>
              </w:rPr>
              <w:t>ndice</w:t>
            </w:r>
            <w:r w:rsidRPr="0027404B">
              <w:rPr>
                <w:rFonts w:ascii="Gotham" w:eastAsia="Arial" w:hAnsi="Gotham" w:cs="Arial"/>
                <w:color w:val="2F2F2F"/>
                <w:spacing w:val="-11"/>
                <w:position w:val="-2"/>
                <w:sz w:val="19"/>
                <w:szCs w:val="19"/>
              </w:rPr>
              <w:t xml:space="preserve"> </w:t>
            </w:r>
            <w:r w:rsidRPr="0027404B">
              <w:rPr>
                <w:rFonts w:ascii="Gotham" w:eastAsia="Arial" w:hAnsi="Gotham" w:cs="Arial"/>
                <w:color w:val="2F2F2F"/>
                <w:position w:val="-2"/>
                <w:sz w:val="19"/>
                <w:szCs w:val="19"/>
              </w:rPr>
              <w:t>de</w:t>
            </w:r>
            <w:r w:rsidRPr="0027404B">
              <w:rPr>
                <w:rFonts w:ascii="Gotham" w:eastAsia="Arial" w:hAnsi="Gotham" w:cs="Arial"/>
                <w:color w:val="2F2F2F"/>
                <w:spacing w:val="-5"/>
                <w:position w:val="-2"/>
                <w:sz w:val="19"/>
                <w:szCs w:val="19"/>
              </w:rPr>
              <w:t xml:space="preserve"> </w:t>
            </w:r>
            <w:r w:rsidRPr="0027404B">
              <w:rPr>
                <w:rFonts w:ascii="Gotham" w:eastAsia="Arial" w:hAnsi="Gotham" w:cs="Arial"/>
                <w:color w:val="2F2F2F"/>
                <w:position w:val="-2"/>
                <w:sz w:val="19"/>
                <w:szCs w:val="19"/>
              </w:rPr>
              <w:t>Edificación</w:t>
            </w:r>
          </w:p>
        </w:tc>
        <w:tc>
          <w:tcPr>
            <w:tcW w:w="3420" w:type="dxa"/>
            <w:vAlign w:val="center"/>
          </w:tcPr>
          <w:p w14:paraId="3A475EB8"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E74B5" w:themeColor="accent1" w:themeShade="BF"/>
                <w:w w:val="99"/>
                <w:position w:val="-4"/>
                <w:sz w:val="19"/>
                <w:szCs w:val="19"/>
              </w:rPr>
              <w:t>90.00</w:t>
            </w:r>
          </w:p>
        </w:tc>
      </w:tr>
      <w:tr w:rsidR="009B5E39" w:rsidRPr="0027404B" w14:paraId="3A475EBC" w14:textId="77777777" w:rsidTr="00190E4A">
        <w:trPr>
          <w:trHeight w:val="20"/>
          <w:jc w:val="center"/>
        </w:trPr>
        <w:tc>
          <w:tcPr>
            <w:tcW w:w="4800" w:type="dxa"/>
            <w:vAlign w:val="center"/>
          </w:tcPr>
          <w:p w14:paraId="3A475EBA" w14:textId="77777777" w:rsidR="009B5E39" w:rsidRPr="0027404B" w:rsidRDefault="009B5E39" w:rsidP="00190E4A">
            <w:pPr>
              <w:spacing w:before="60" w:after="60"/>
              <w:ind w:left="104" w:right="69" w:firstLine="14"/>
              <w:rPr>
                <w:rFonts w:ascii="Gotham" w:eastAsia="Arial" w:hAnsi="Gotham" w:cs="Arial"/>
                <w:sz w:val="19"/>
                <w:szCs w:val="19"/>
              </w:rPr>
            </w:pPr>
            <w:r w:rsidRPr="0027404B">
              <w:rPr>
                <w:rFonts w:ascii="Gotham" w:eastAsia="Arial" w:hAnsi="Gotham" w:cs="Arial"/>
                <w:color w:val="2F2F2F"/>
                <w:w w:val="99"/>
                <w:sz w:val="19"/>
                <w:szCs w:val="19"/>
              </w:rPr>
              <w:t>Restricción</w:t>
            </w:r>
            <w:r w:rsidRPr="0027404B">
              <w:rPr>
                <w:rFonts w:ascii="Gotham" w:eastAsia="Arial" w:hAnsi="Gotham" w:cs="Arial"/>
                <w:color w:val="2F2F2F"/>
                <w:spacing w:val="-40"/>
                <w:sz w:val="19"/>
                <w:szCs w:val="19"/>
              </w:rPr>
              <w:t xml:space="preserve"> </w:t>
            </w:r>
            <w:r w:rsidRPr="0027404B">
              <w:rPr>
                <w:rFonts w:ascii="Gotham" w:eastAsia="Arial" w:hAnsi="Gotham" w:cs="Arial"/>
                <w:color w:val="2F2F2F"/>
                <w:sz w:val="19"/>
                <w:szCs w:val="19"/>
              </w:rPr>
              <w:t>frontal</w:t>
            </w:r>
            <w:r w:rsidRPr="0027404B">
              <w:rPr>
                <w:rFonts w:ascii="Gotham" w:eastAsia="Arial" w:hAnsi="Gotham" w:cs="Arial"/>
                <w:color w:val="2F2F2F"/>
                <w:spacing w:val="56"/>
                <w:sz w:val="19"/>
                <w:szCs w:val="19"/>
              </w:rPr>
              <w:t xml:space="preserve"> </w:t>
            </w:r>
            <w:r w:rsidRPr="0027404B">
              <w:rPr>
                <w:rFonts w:ascii="Gotham" w:eastAsia="Arial" w:hAnsi="Gotham" w:cs="Arial"/>
                <w:color w:val="2F2F2F"/>
                <w:sz w:val="19"/>
                <w:szCs w:val="19"/>
              </w:rPr>
              <w:t>dentro</w:t>
            </w:r>
            <w:r w:rsidRPr="0027404B">
              <w:rPr>
                <w:rFonts w:ascii="Gotham" w:eastAsia="Arial" w:hAnsi="Gotham" w:cs="Arial"/>
                <w:color w:val="2F2F2F"/>
                <w:spacing w:val="15"/>
                <w:sz w:val="19"/>
                <w:szCs w:val="19"/>
              </w:rPr>
              <w:t xml:space="preserve"> </w:t>
            </w:r>
            <w:r w:rsidRPr="0027404B">
              <w:rPr>
                <w:rFonts w:ascii="Gotham" w:eastAsia="Arial" w:hAnsi="Gotham" w:cs="Arial"/>
                <w:color w:val="2F2F2F"/>
                <w:sz w:val="19"/>
                <w:szCs w:val="19"/>
              </w:rPr>
              <w:t>de</w:t>
            </w:r>
            <w:r w:rsidRPr="0027404B">
              <w:rPr>
                <w:rFonts w:ascii="Gotham" w:eastAsia="Arial" w:hAnsi="Gotham" w:cs="Arial"/>
                <w:color w:val="2F2F2F"/>
                <w:spacing w:val="9"/>
                <w:sz w:val="19"/>
                <w:szCs w:val="19"/>
              </w:rPr>
              <w:t xml:space="preserve"> </w:t>
            </w:r>
            <w:r w:rsidRPr="0027404B">
              <w:rPr>
                <w:rFonts w:ascii="Gotham" w:eastAsia="Arial" w:hAnsi="Gotham" w:cs="Arial"/>
                <w:color w:val="2F2F2F"/>
                <w:w w:val="99"/>
                <w:sz w:val="19"/>
                <w:szCs w:val="19"/>
              </w:rPr>
              <w:t>los</w:t>
            </w:r>
            <w:r w:rsidRPr="0027404B">
              <w:rPr>
                <w:rFonts w:ascii="Gotham" w:eastAsia="Arial" w:hAnsi="Gotham" w:cs="Arial"/>
                <w:color w:val="2F2F2F"/>
                <w:spacing w:val="-25"/>
                <w:sz w:val="19"/>
                <w:szCs w:val="19"/>
              </w:rPr>
              <w:t xml:space="preserve"> </w:t>
            </w:r>
            <w:r w:rsidRPr="0027404B">
              <w:rPr>
                <w:rFonts w:ascii="Gotham" w:eastAsia="Arial" w:hAnsi="Gotham" w:cs="Arial"/>
                <w:color w:val="2F2F2F"/>
                <w:sz w:val="19"/>
                <w:szCs w:val="19"/>
              </w:rPr>
              <w:t>perímetros</w:t>
            </w:r>
            <w:r w:rsidRPr="0027404B">
              <w:rPr>
                <w:rFonts w:ascii="Gotham" w:eastAsia="Arial" w:hAnsi="Gotham" w:cs="Arial"/>
                <w:color w:val="2F2F2F"/>
                <w:spacing w:val="15"/>
                <w:sz w:val="19"/>
                <w:szCs w:val="19"/>
              </w:rPr>
              <w:t xml:space="preserve"> </w:t>
            </w:r>
            <w:r w:rsidRPr="0027404B">
              <w:rPr>
                <w:rFonts w:ascii="Gotham" w:eastAsia="Arial" w:hAnsi="Gotham" w:cs="Arial"/>
                <w:color w:val="2F2F2F"/>
                <w:sz w:val="19"/>
                <w:szCs w:val="19"/>
              </w:rPr>
              <w:t>de contención</w:t>
            </w:r>
            <w:r w:rsidRPr="0027404B">
              <w:rPr>
                <w:rFonts w:ascii="Gotham" w:eastAsia="Arial" w:hAnsi="Gotham" w:cs="Arial"/>
                <w:color w:val="2F2F2F"/>
                <w:spacing w:val="16"/>
                <w:sz w:val="19"/>
                <w:szCs w:val="19"/>
              </w:rPr>
              <w:t xml:space="preserve"> </w:t>
            </w:r>
            <w:r w:rsidRPr="0027404B">
              <w:rPr>
                <w:rFonts w:ascii="Gotham" w:eastAsia="Arial" w:hAnsi="Gotham" w:cs="Arial"/>
                <w:color w:val="2F2F2F"/>
                <w:sz w:val="19"/>
                <w:szCs w:val="19"/>
              </w:rPr>
              <w:t>urbana</w:t>
            </w:r>
          </w:p>
        </w:tc>
        <w:tc>
          <w:tcPr>
            <w:tcW w:w="3420" w:type="dxa"/>
            <w:vAlign w:val="center"/>
          </w:tcPr>
          <w:p w14:paraId="3A475EBB"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F2F2F"/>
                <w:w w:val="99"/>
                <w:sz w:val="19"/>
                <w:szCs w:val="19"/>
              </w:rPr>
              <w:t>De</w:t>
            </w:r>
            <w:r w:rsidRPr="0027404B">
              <w:rPr>
                <w:rFonts w:ascii="Gotham" w:eastAsia="Arial" w:hAnsi="Gotham" w:cs="Arial"/>
                <w:color w:val="2F2F2F"/>
                <w:spacing w:val="-25"/>
                <w:sz w:val="19"/>
                <w:szCs w:val="19"/>
              </w:rPr>
              <w:t xml:space="preserve"> </w:t>
            </w:r>
            <w:r w:rsidRPr="0027404B">
              <w:rPr>
                <w:rFonts w:ascii="Gotham" w:eastAsia="Arial" w:hAnsi="Gotham" w:cs="Arial"/>
                <w:color w:val="2F2F2F"/>
                <w:sz w:val="19"/>
                <w:szCs w:val="19"/>
              </w:rPr>
              <w:t>acuerdo</w:t>
            </w:r>
            <w:r w:rsidRPr="0027404B">
              <w:rPr>
                <w:rFonts w:ascii="Gotham" w:eastAsia="Arial" w:hAnsi="Gotham" w:cs="Arial"/>
                <w:color w:val="2F2F2F"/>
                <w:spacing w:val="-14"/>
                <w:sz w:val="19"/>
                <w:szCs w:val="19"/>
              </w:rPr>
              <w:t xml:space="preserve"> </w:t>
            </w:r>
            <w:r w:rsidRPr="0027404B">
              <w:rPr>
                <w:rFonts w:ascii="Gotham" w:eastAsia="Arial" w:hAnsi="Gotham" w:cs="Arial"/>
                <w:color w:val="2F2F2F"/>
                <w:sz w:val="19"/>
                <w:szCs w:val="19"/>
              </w:rPr>
              <w:t>con</w:t>
            </w:r>
            <w:r w:rsidRPr="0027404B">
              <w:rPr>
                <w:rFonts w:ascii="Gotham" w:eastAsia="Arial" w:hAnsi="Gotham" w:cs="Arial"/>
                <w:color w:val="2F2F2F"/>
                <w:spacing w:val="-2"/>
                <w:sz w:val="19"/>
                <w:szCs w:val="19"/>
              </w:rPr>
              <w:t xml:space="preserve"> </w:t>
            </w:r>
            <w:r w:rsidRPr="0027404B">
              <w:rPr>
                <w:rFonts w:ascii="Gotham" w:eastAsia="Arial" w:hAnsi="Gotham" w:cs="Arial"/>
                <w:color w:val="2F2F2F"/>
                <w:sz w:val="19"/>
                <w:szCs w:val="19"/>
              </w:rPr>
              <w:t>la</w:t>
            </w:r>
            <w:r w:rsidRPr="0027404B">
              <w:rPr>
                <w:rFonts w:ascii="Gotham" w:eastAsia="Arial" w:hAnsi="Gotham" w:cs="Arial"/>
                <w:color w:val="2F2F2F"/>
                <w:spacing w:val="-18"/>
                <w:sz w:val="19"/>
                <w:szCs w:val="19"/>
              </w:rPr>
              <w:t xml:space="preserve"> </w:t>
            </w:r>
            <w:r w:rsidRPr="0027404B">
              <w:rPr>
                <w:rFonts w:ascii="Gotham" w:eastAsia="Arial" w:hAnsi="Gotham" w:cs="Arial"/>
                <w:color w:val="2F2F2F"/>
                <w:sz w:val="19"/>
                <w:szCs w:val="19"/>
              </w:rPr>
              <w:t>zona</w:t>
            </w:r>
          </w:p>
        </w:tc>
      </w:tr>
      <w:tr w:rsidR="009B5E39" w:rsidRPr="0027404B" w14:paraId="3A475EBF" w14:textId="77777777" w:rsidTr="00190E4A">
        <w:trPr>
          <w:trHeight w:val="20"/>
          <w:jc w:val="center"/>
        </w:trPr>
        <w:tc>
          <w:tcPr>
            <w:tcW w:w="4800" w:type="dxa"/>
            <w:vAlign w:val="center"/>
          </w:tcPr>
          <w:p w14:paraId="3A475EBD" w14:textId="77777777" w:rsidR="009B5E39" w:rsidRPr="0027404B" w:rsidRDefault="009B5E39" w:rsidP="00190E4A">
            <w:pPr>
              <w:spacing w:before="60" w:after="60"/>
              <w:ind w:left="118" w:right="100"/>
              <w:rPr>
                <w:rFonts w:ascii="Gotham" w:eastAsia="Arial" w:hAnsi="Gotham" w:cs="Arial"/>
                <w:sz w:val="19"/>
                <w:szCs w:val="19"/>
              </w:rPr>
            </w:pPr>
            <w:r w:rsidRPr="0027404B">
              <w:rPr>
                <w:rFonts w:ascii="Gotham" w:eastAsia="Arial" w:hAnsi="Gotham" w:cs="Arial"/>
                <w:color w:val="2F2F2F"/>
                <w:w w:val="99"/>
                <w:sz w:val="19"/>
                <w:szCs w:val="19"/>
              </w:rPr>
              <w:t>Restricción</w:t>
            </w:r>
            <w:r w:rsidRPr="0027404B">
              <w:rPr>
                <w:rFonts w:ascii="Gotham" w:eastAsia="Arial" w:hAnsi="Gotham" w:cs="Arial"/>
                <w:color w:val="2F2F2F"/>
                <w:spacing w:val="-40"/>
                <w:sz w:val="19"/>
                <w:szCs w:val="19"/>
              </w:rPr>
              <w:t xml:space="preserve"> </w:t>
            </w:r>
            <w:r w:rsidRPr="0027404B">
              <w:rPr>
                <w:rFonts w:ascii="Gotham" w:eastAsia="Arial" w:hAnsi="Gotham" w:cs="Arial"/>
                <w:color w:val="2F2F2F"/>
                <w:sz w:val="19"/>
                <w:szCs w:val="19"/>
              </w:rPr>
              <w:t>frontal</w:t>
            </w:r>
            <w:r w:rsidRPr="0027404B">
              <w:rPr>
                <w:rFonts w:ascii="Gotham" w:eastAsia="Arial" w:hAnsi="Gotham" w:cs="Arial"/>
                <w:color w:val="2F2F2F"/>
                <w:spacing w:val="56"/>
                <w:sz w:val="19"/>
                <w:szCs w:val="19"/>
              </w:rPr>
              <w:t xml:space="preserve"> </w:t>
            </w:r>
            <w:r w:rsidRPr="0027404B">
              <w:rPr>
                <w:rFonts w:ascii="Gotham" w:eastAsia="Arial" w:hAnsi="Gotham" w:cs="Arial"/>
                <w:color w:val="2F2F2F"/>
                <w:sz w:val="19"/>
                <w:szCs w:val="19"/>
              </w:rPr>
              <w:t>para</w:t>
            </w:r>
            <w:r w:rsidRPr="0027404B">
              <w:rPr>
                <w:rFonts w:ascii="Gotham" w:eastAsia="Arial" w:hAnsi="Gotham" w:cs="Arial"/>
                <w:color w:val="2F2F2F"/>
                <w:spacing w:val="-16"/>
                <w:sz w:val="19"/>
                <w:szCs w:val="19"/>
              </w:rPr>
              <w:t xml:space="preserve"> </w:t>
            </w:r>
            <w:r w:rsidRPr="0027404B">
              <w:rPr>
                <w:rFonts w:ascii="Gotham" w:eastAsia="Arial" w:hAnsi="Gotham" w:cs="Arial"/>
                <w:color w:val="2F2F2F"/>
                <w:w w:val="99"/>
                <w:sz w:val="19"/>
                <w:szCs w:val="19"/>
              </w:rPr>
              <w:t>reservas</w:t>
            </w:r>
            <w:r w:rsidRPr="0027404B">
              <w:rPr>
                <w:rFonts w:ascii="Gotham" w:eastAsia="Arial" w:hAnsi="Gotham" w:cs="Arial"/>
                <w:color w:val="2F2F2F"/>
                <w:spacing w:val="-26"/>
                <w:sz w:val="19"/>
                <w:szCs w:val="19"/>
              </w:rPr>
              <w:t xml:space="preserve"> </w:t>
            </w:r>
            <w:r w:rsidRPr="0027404B">
              <w:rPr>
                <w:rFonts w:ascii="Gotham" w:eastAsia="Arial" w:hAnsi="Gotham" w:cs="Arial"/>
                <w:color w:val="2F2F2F"/>
                <w:w w:val="99"/>
                <w:sz w:val="19"/>
                <w:szCs w:val="19"/>
              </w:rPr>
              <w:t>urbanas</w:t>
            </w:r>
            <w:r w:rsidRPr="0027404B">
              <w:rPr>
                <w:rFonts w:ascii="Gotham" w:eastAsia="Arial" w:hAnsi="Gotham" w:cs="Arial"/>
                <w:color w:val="2F2F2F"/>
                <w:spacing w:val="-35"/>
                <w:sz w:val="19"/>
                <w:szCs w:val="19"/>
              </w:rPr>
              <w:t xml:space="preserve"> </w:t>
            </w:r>
            <w:r w:rsidRPr="0027404B">
              <w:rPr>
                <w:rFonts w:ascii="Gotham" w:eastAsia="Arial" w:hAnsi="Gotham" w:cs="Arial"/>
                <w:color w:val="2F2F2F"/>
                <w:sz w:val="19"/>
                <w:szCs w:val="19"/>
              </w:rPr>
              <w:t>fuera de</w:t>
            </w:r>
            <w:r w:rsidRPr="0027404B">
              <w:rPr>
                <w:rFonts w:ascii="Gotham" w:eastAsia="Arial" w:hAnsi="Gotham" w:cs="Arial"/>
                <w:color w:val="2F2F2F"/>
                <w:spacing w:val="-5"/>
                <w:sz w:val="19"/>
                <w:szCs w:val="19"/>
              </w:rPr>
              <w:t xml:space="preserve"> </w:t>
            </w:r>
            <w:r w:rsidRPr="0027404B">
              <w:rPr>
                <w:rFonts w:ascii="Gotham" w:eastAsia="Arial" w:hAnsi="Gotham" w:cs="Arial"/>
                <w:color w:val="2F2F2F"/>
                <w:sz w:val="19"/>
                <w:szCs w:val="19"/>
              </w:rPr>
              <w:t>los</w:t>
            </w:r>
            <w:r w:rsidRPr="0027404B">
              <w:rPr>
                <w:rFonts w:ascii="Gotham" w:eastAsia="Arial" w:hAnsi="Gotham" w:cs="Arial"/>
                <w:color w:val="2F2F2F"/>
                <w:spacing w:val="-14"/>
                <w:sz w:val="19"/>
                <w:szCs w:val="19"/>
              </w:rPr>
              <w:t xml:space="preserve"> </w:t>
            </w:r>
            <w:r w:rsidRPr="0027404B">
              <w:rPr>
                <w:rFonts w:ascii="Gotham" w:eastAsia="Arial" w:hAnsi="Gotham" w:cs="Arial"/>
                <w:color w:val="2F2F2F"/>
                <w:sz w:val="19"/>
                <w:szCs w:val="19"/>
              </w:rPr>
              <w:t>perímetros de</w:t>
            </w:r>
            <w:r w:rsidRPr="0027404B">
              <w:rPr>
                <w:rFonts w:ascii="Gotham" w:eastAsia="Arial" w:hAnsi="Gotham" w:cs="Arial"/>
                <w:color w:val="2F2F2F"/>
                <w:spacing w:val="-5"/>
                <w:sz w:val="19"/>
                <w:szCs w:val="19"/>
              </w:rPr>
              <w:t xml:space="preserve"> </w:t>
            </w:r>
            <w:r w:rsidRPr="0027404B">
              <w:rPr>
                <w:rFonts w:ascii="Gotham" w:eastAsia="Arial" w:hAnsi="Gotham" w:cs="Arial"/>
                <w:color w:val="2F2F2F"/>
                <w:sz w:val="19"/>
                <w:szCs w:val="19"/>
              </w:rPr>
              <w:t>contención</w:t>
            </w:r>
          </w:p>
        </w:tc>
        <w:tc>
          <w:tcPr>
            <w:tcW w:w="3420" w:type="dxa"/>
            <w:vAlign w:val="center"/>
          </w:tcPr>
          <w:p w14:paraId="3A475EBE"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F2F2F"/>
                <w:sz w:val="19"/>
                <w:szCs w:val="19"/>
              </w:rPr>
              <w:t>Segú</w:t>
            </w:r>
            <w:r w:rsidRPr="0027404B">
              <w:rPr>
                <w:rFonts w:ascii="Gotham" w:eastAsia="Arial" w:hAnsi="Gotham" w:cs="Arial"/>
                <w:color w:val="2F2F2F"/>
                <w:spacing w:val="-2"/>
                <w:sz w:val="19"/>
                <w:szCs w:val="19"/>
              </w:rPr>
              <w:t xml:space="preserve">n </w:t>
            </w:r>
            <w:r w:rsidRPr="0027404B">
              <w:rPr>
                <w:rFonts w:ascii="Gotham" w:eastAsia="Arial" w:hAnsi="Gotham" w:cs="Arial"/>
                <w:color w:val="2F2F2F"/>
                <w:sz w:val="19"/>
                <w:szCs w:val="19"/>
              </w:rPr>
              <w:t>jerarquía</w:t>
            </w:r>
            <w:r w:rsidRPr="0027404B">
              <w:rPr>
                <w:rFonts w:ascii="Gotham" w:eastAsia="Arial" w:hAnsi="Gotham" w:cs="Arial"/>
                <w:color w:val="2F2F2F"/>
                <w:spacing w:val="-8"/>
                <w:sz w:val="19"/>
                <w:szCs w:val="19"/>
              </w:rPr>
              <w:t xml:space="preserve"> </w:t>
            </w:r>
            <w:r w:rsidRPr="0027404B">
              <w:rPr>
                <w:rFonts w:ascii="Gotham" w:eastAsia="Arial" w:hAnsi="Gotham" w:cs="Arial"/>
                <w:color w:val="2F2F2F"/>
                <w:sz w:val="19"/>
                <w:szCs w:val="19"/>
              </w:rPr>
              <w:t>vial</w:t>
            </w:r>
          </w:p>
        </w:tc>
      </w:tr>
      <w:tr w:rsidR="009B5E39" w:rsidRPr="0027404B" w14:paraId="3A475EC2" w14:textId="77777777" w:rsidTr="00190E4A">
        <w:trPr>
          <w:trHeight w:val="20"/>
          <w:jc w:val="center"/>
        </w:trPr>
        <w:tc>
          <w:tcPr>
            <w:tcW w:w="4800" w:type="dxa"/>
            <w:vAlign w:val="center"/>
          </w:tcPr>
          <w:p w14:paraId="3A475EC0" w14:textId="77777777" w:rsidR="009B5E39" w:rsidRPr="0027404B" w:rsidRDefault="009B5E39" w:rsidP="00190E4A">
            <w:pPr>
              <w:spacing w:before="60" w:after="60"/>
              <w:ind w:left="108"/>
              <w:rPr>
                <w:rFonts w:ascii="Gotham" w:eastAsia="Arial" w:hAnsi="Gotham" w:cs="Arial"/>
                <w:sz w:val="19"/>
                <w:szCs w:val="19"/>
              </w:rPr>
            </w:pPr>
            <w:r w:rsidRPr="0027404B">
              <w:rPr>
                <w:rFonts w:ascii="Gotham" w:eastAsia="Arial" w:hAnsi="Gotham" w:cs="Arial"/>
                <w:color w:val="2F2F2F"/>
                <w:w w:val="99"/>
                <w:sz w:val="19"/>
                <w:szCs w:val="19"/>
              </w:rPr>
              <w:t>Restricción</w:t>
            </w:r>
            <w:r w:rsidRPr="0027404B">
              <w:rPr>
                <w:rFonts w:ascii="Gotham" w:eastAsia="Arial" w:hAnsi="Gotham" w:cs="Arial"/>
                <w:color w:val="2F2F2F"/>
                <w:spacing w:val="-25"/>
                <w:sz w:val="19"/>
                <w:szCs w:val="19"/>
              </w:rPr>
              <w:t xml:space="preserve"> </w:t>
            </w:r>
            <w:r w:rsidRPr="0027404B">
              <w:rPr>
                <w:rFonts w:ascii="Gotham" w:eastAsia="Arial" w:hAnsi="Gotham" w:cs="Arial"/>
                <w:color w:val="2F2F2F"/>
                <w:sz w:val="19"/>
                <w:szCs w:val="19"/>
              </w:rPr>
              <w:t>posterior</w:t>
            </w:r>
          </w:p>
        </w:tc>
        <w:tc>
          <w:tcPr>
            <w:tcW w:w="3420" w:type="dxa"/>
            <w:vAlign w:val="center"/>
          </w:tcPr>
          <w:p w14:paraId="3A475EC1"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F2F2F"/>
                <w:sz w:val="19"/>
                <w:szCs w:val="19"/>
              </w:rPr>
              <w:t>4.00</w:t>
            </w:r>
            <w:r w:rsidRPr="0027404B">
              <w:rPr>
                <w:rFonts w:ascii="Gotham" w:eastAsia="Arial" w:hAnsi="Gotham" w:cs="Arial"/>
                <w:color w:val="2F2F2F"/>
                <w:spacing w:val="-3"/>
                <w:sz w:val="19"/>
                <w:szCs w:val="19"/>
              </w:rPr>
              <w:t xml:space="preserve"> </w:t>
            </w:r>
            <w:r w:rsidRPr="0027404B">
              <w:rPr>
                <w:rFonts w:ascii="Gotham" w:eastAsia="Arial" w:hAnsi="Gotham" w:cs="Arial"/>
                <w:color w:val="2F2F2F"/>
                <w:sz w:val="19"/>
                <w:szCs w:val="19"/>
              </w:rPr>
              <w:t>metros</w:t>
            </w:r>
          </w:p>
        </w:tc>
      </w:tr>
      <w:tr w:rsidR="009B5E39" w:rsidRPr="0027404B" w14:paraId="3A475EC5" w14:textId="77777777" w:rsidTr="00190E4A">
        <w:trPr>
          <w:trHeight w:val="20"/>
          <w:jc w:val="center"/>
        </w:trPr>
        <w:tc>
          <w:tcPr>
            <w:tcW w:w="4800" w:type="dxa"/>
            <w:vAlign w:val="center"/>
          </w:tcPr>
          <w:p w14:paraId="3A475EC3" w14:textId="77777777" w:rsidR="009B5E39" w:rsidRPr="0027404B" w:rsidRDefault="009B5E39" w:rsidP="00190E4A">
            <w:pPr>
              <w:spacing w:before="60" w:after="60"/>
              <w:ind w:left="94"/>
              <w:rPr>
                <w:rFonts w:ascii="Gotham" w:eastAsia="Arial" w:hAnsi="Gotham" w:cs="Arial"/>
                <w:sz w:val="19"/>
                <w:szCs w:val="19"/>
              </w:rPr>
            </w:pPr>
            <w:r w:rsidRPr="0027404B">
              <w:rPr>
                <w:rFonts w:ascii="Gotham" w:eastAsia="Arial" w:hAnsi="Gotham" w:cs="Arial"/>
                <w:color w:val="2F2F2F"/>
                <w:sz w:val="19"/>
                <w:szCs w:val="19"/>
              </w:rPr>
              <w:t>Altura</w:t>
            </w:r>
            <w:r w:rsidRPr="0027404B">
              <w:rPr>
                <w:rFonts w:ascii="Gotham" w:eastAsia="Arial" w:hAnsi="Gotham" w:cs="Arial"/>
                <w:color w:val="2F2F2F"/>
                <w:spacing w:val="21"/>
                <w:sz w:val="19"/>
                <w:szCs w:val="19"/>
              </w:rPr>
              <w:t xml:space="preserve"> </w:t>
            </w:r>
            <w:r w:rsidRPr="0027404B">
              <w:rPr>
                <w:rFonts w:ascii="Gotham" w:eastAsia="Arial" w:hAnsi="Gotham" w:cs="Arial"/>
                <w:color w:val="2F2F2F"/>
                <w:sz w:val="19"/>
                <w:szCs w:val="19"/>
              </w:rPr>
              <w:t>máxima</w:t>
            </w:r>
          </w:p>
        </w:tc>
        <w:tc>
          <w:tcPr>
            <w:tcW w:w="3420" w:type="dxa"/>
            <w:vAlign w:val="center"/>
          </w:tcPr>
          <w:p w14:paraId="3A475EC4"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F2F2F"/>
                <w:position w:val="-2"/>
                <w:sz w:val="19"/>
                <w:szCs w:val="19"/>
              </w:rPr>
              <w:t>16</w:t>
            </w:r>
            <w:r w:rsidRPr="0027404B">
              <w:rPr>
                <w:rFonts w:ascii="Gotham" w:eastAsia="Arial" w:hAnsi="Gotham" w:cs="Arial"/>
                <w:color w:val="2F2F2F"/>
                <w:spacing w:val="-20"/>
                <w:position w:val="-2"/>
                <w:sz w:val="19"/>
                <w:szCs w:val="19"/>
              </w:rPr>
              <w:t xml:space="preserve"> </w:t>
            </w:r>
            <w:r w:rsidRPr="0027404B">
              <w:rPr>
                <w:rFonts w:ascii="Gotham" w:eastAsia="Arial" w:hAnsi="Gotham" w:cs="Arial"/>
                <w:color w:val="2F2F2F"/>
                <w:position w:val="-2"/>
                <w:sz w:val="19"/>
                <w:szCs w:val="19"/>
              </w:rPr>
              <w:t>metros</w:t>
            </w:r>
            <w:r w:rsidRPr="0027404B">
              <w:rPr>
                <w:rFonts w:ascii="Gotham" w:eastAsia="Arial" w:hAnsi="Gotham" w:cs="Arial"/>
                <w:color w:val="2F2F2F"/>
                <w:spacing w:val="9"/>
                <w:position w:val="-2"/>
                <w:sz w:val="19"/>
                <w:szCs w:val="19"/>
              </w:rPr>
              <w:t xml:space="preserve"> </w:t>
            </w:r>
            <w:r w:rsidRPr="0027404B">
              <w:rPr>
                <w:rFonts w:ascii="Gotham" w:eastAsia="Arial" w:hAnsi="Gotham" w:cs="Arial"/>
                <w:color w:val="2F2F2F"/>
                <w:position w:val="-2"/>
                <w:sz w:val="19"/>
                <w:szCs w:val="19"/>
              </w:rPr>
              <w:t>(5</w:t>
            </w:r>
            <w:r w:rsidRPr="0027404B">
              <w:rPr>
                <w:rFonts w:ascii="Gotham" w:eastAsia="Arial" w:hAnsi="Gotham" w:cs="Arial"/>
                <w:color w:val="2F2F2F"/>
                <w:spacing w:val="-14"/>
                <w:position w:val="-2"/>
                <w:sz w:val="19"/>
                <w:szCs w:val="19"/>
              </w:rPr>
              <w:t xml:space="preserve"> </w:t>
            </w:r>
            <w:r w:rsidRPr="0027404B">
              <w:rPr>
                <w:rFonts w:ascii="Gotham" w:eastAsia="Arial" w:hAnsi="Gotham" w:cs="Arial"/>
                <w:color w:val="2F2F2F"/>
                <w:w w:val="99"/>
                <w:position w:val="-2"/>
                <w:sz w:val="19"/>
                <w:szCs w:val="19"/>
              </w:rPr>
              <w:t>niveles</w:t>
            </w:r>
            <w:r w:rsidRPr="0027404B">
              <w:rPr>
                <w:rFonts w:ascii="Gotham" w:eastAsia="Arial" w:hAnsi="Gotham" w:cs="Arial"/>
                <w:color w:val="2F2F2F"/>
                <w:spacing w:val="-26"/>
                <w:position w:val="-2"/>
                <w:sz w:val="19"/>
                <w:szCs w:val="19"/>
              </w:rPr>
              <w:t xml:space="preserve"> </w:t>
            </w:r>
            <w:r w:rsidRPr="0027404B">
              <w:rPr>
                <w:rFonts w:ascii="Gotham" w:eastAsia="Arial" w:hAnsi="Gotham" w:cs="Arial"/>
                <w:color w:val="2F2F2F"/>
                <w:position w:val="-2"/>
                <w:sz w:val="19"/>
                <w:szCs w:val="19"/>
              </w:rPr>
              <w:t>sin</w:t>
            </w:r>
            <w:r w:rsidRPr="0027404B">
              <w:rPr>
                <w:rFonts w:ascii="Gotham" w:eastAsia="Arial" w:hAnsi="Gotham" w:cs="Arial"/>
                <w:color w:val="2F2F2F"/>
                <w:spacing w:val="-14"/>
                <w:position w:val="-2"/>
                <w:sz w:val="19"/>
                <w:szCs w:val="19"/>
              </w:rPr>
              <w:t xml:space="preserve"> </w:t>
            </w:r>
            <w:r w:rsidRPr="0027404B">
              <w:rPr>
                <w:rFonts w:ascii="Gotham" w:eastAsia="Arial" w:hAnsi="Gotham" w:cs="Arial"/>
                <w:color w:val="2F2F2F"/>
                <w:position w:val="-2"/>
                <w:sz w:val="19"/>
                <w:szCs w:val="19"/>
              </w:rPr>
              <w:t>elevador)</w:t>
            </w:r>
          </w:p>
        </w:tc>
      </w:tr>
      <w:tr w:rsidR="009B5E39" w:rsidRPr="0027404B" w14:paraId="3A475EC8" w14:textId="77777777" w:rsidTr="00190E4A">
        <w:trPr>
          <w:trHeight w:val="20"/>
          <w:jc w:val="center"/>
        </w:trPr>
        <w:tc>
          <w:tcPr>
            <w:tcW w:w="4800" w:type="dxa"/>
            <w:vAlign w:val="center"/>
          </w:tcPr>
          <w:p w14:paraId="3A475EC6" w14:textId="77777777" w:rsidR="009B5E39" w:rsidRPr="0027404B" w:rsidRDefault="009B5E39" w:rsidP="00190E4A">
            <w:pPr>
              <w:spacing w:before="60" w:after="60"/>
              <w:ind w:left="104" w:right="163"/>
              <w:rPr>
                <w:rFonts w:ascii="Gotham" w:eastAsia="Arial" w:hAnsi="Gotham" w:cs="Arial"/>
                <w:sz w:val="19"/>
                <w:szCs w:val="19"/>
              </w:rPr>
            </w:pPr>
            <w:r w:rsidRPr="0027404B">
              <w:rPr>
                <w:rFonts w:ascii="Gotham" w:eastAsia="Arial" w:hAnsi="Gotham" w:cs="Arial"/>
                <w:sz w:val="19"/>
                <w:szCs w:val="19"/>
              </w:rPr>
              <w:t>Cajone</w:t>
            </w:r>
            <w:r w:rsidRPr="0027404B">
              <w:rPr>
                <w:rFonts w:ascii="Gotham" w:eastAsia="Arial" w:hAnsi="Gotham" w:cs="Arial"/>
                <w:spacing w:val="14"/>
                <w:sz w:val="19"/>
                <w:szCs w:val="19"/>
              </w:rPr>
              <w:t xml:space="preserve">s </w:t>
            </w:r>
            <w:r w:rsidRPr="0027404B">
              <w:rPr>
                <w:rFonts w:ascii="Gotham" w:eastAsia="Arial" w:hAnsi="Gotham" w:cs="Arial"/>
                <w:sz w:val="19"/>
                <w:szCs w:val="19"/>
              </w:rPr>
              <w:t>de</w:t>
            </w:r>
            <w:r w:rsidRPr="0027404B">
              <w:rPr>
                <w:rFonts w:ascii="Gotham" w:eastAsia="Arial" w:hAnsi="Gotham" w:cs="Arial"/>
                <w:spacing w:val="-13"/>
                <w:sz w:val="19"/>
                <w:szCs w:val="19"/>
              </w:rPr>
              <w:t xml:space="preserve"> </w:t>
            </w:r>
            <w:r w:rsidRPr="0027404B">
              <w:rPr>
                <w:rFonts w:ascii="Gotham" w:eastAsia="Arial" w:hAnsi="Gotham" w:cs="Arial"/>
                <w:sz w:val="19"/>
                <w:szCs w:val="19"/>
              </w:rPr>
              <w:t>estacionamiento</w:t>
            </w:r>
            <w:r w:rsidRPr="0027404B">
              <w:rPr>
                <w:rFonts w:ascii="Gotham" w:eastAsia="Arial" w:hAnsi="Gotham" w:cs="Arial"/>
                <w:spacing w:val="21"/>
                <w:sz w:val="19"/>
                <w:szCs w:val="19"/>
              </w:rPr>
              <w:t xml:space="preserve"> </w:t>
            </w:r>
            <w:r w:rsidRPr="0027404B">
              <w:rPr>
                <w:rFonts w:ascii="Gotham" w:eastAsia="Arial" w:hAnsi="Gotham" w:cs="Arial"/>
                <w:sz w:val="19"/>
                <w:szCs w:val="19"/>
              </w:rPr>
              <w:t>para</w:t>
            </w:r>
            <w:r w:rsidRPr="0027404B">
              <w:rPr>
                <w:rFonts w:ascii="Gotham" w:eastAsia="Arial" w:hAnsi="Gotham" w:cs="Arial"/>
                <w:spacing w:val="-16"/>
                <w:sz w:val="19"/>
                <w:szCs w:val="19"/>
              </w:rPr>
              <w:t xml:space="preserve"> </w:t>
            </w:r>
            <w:r w:rsidRPr="0027404B">
              <w:rPr>
                <w:rFonts w:ascii="Gotham" w:eastAsia="Arial" w:hAnsi="Gotham" w:cs="Arial"/>
                <w:sz w:val="19"/>
                <w:szCs w:val="19"/>
              </w:rPr>
              <w:t>automóviles dentro</w:t>
            </w:r>
            <w:r w:rsidRPr="0027404B">
              <w:rPr>
                <w:rFonts w:ascii="Gotham" w:eastAsia="Arial" w:hAnsi="Gotham" w:cs="Arial"/>
                <w:spacing w:val="30"/>
                <w:sz w:val="19"/>
                <w:szCs w:val="19"/>
              </w:rPr>
              <w:t xml:space="preserve"> </w:t>
            </w:r>
            <w:r w:rsidRPr="0027404B">
              <w:rPr>
                <w:rFonts w:ascii="Gotham" w:eastAsia="Arial" w:hAnsi="Gotham" w:cs="Arial"/>
                <w:sz w:val="19"/>
                <w:szCs w:val="19"/>
              </w:rPr>
              <w:t>de</w:t>
            </w:r>
            <w:r w:rsidRPr="0027404B">
              <w:rPr>
                <w:rFonts w:ascii="Gotham" w:eastAsia="Arial" w:hAnsi="Gotham" w:cs="Arial"/>
                <w:spacing w:val="-5"/>
                <w:sz w:val="19"/>
                <w:szCs w:val="19"/>
              </w:rPr>
              <w:t xml:space="preserve"> </w:t>
            </w:r>
            <w:r w:rsidRPr="0027404B">
              <w:rPr>
                <w:rFonts w:ascii="Gotham" w:eastAsia="Arial" w:hAnsi="Gotham" w:cs="Arial"/>
                <w:sz w:val="19"/>
                <w:szCs w:val="19"/>
              </w:rPr>
              <w:t>los</w:t>
            </w:r>
            <w:r w:rsidRPr="0027404B">
              <w:rPr>
                <w:rFonts w:ascii="Gotham" w:eastAsia="Arial" w:hAnsi="Gotham" w:cs="Arial"/>
                <w:spacing w:val="-14"/>
                <w:sz w:val="19"/>
                <w:szCs w:val="19"/>
              </w:rPr>
              <w:t xml:space="preserve"> </w:t>
            </w:r>
            <w:r w:rsidRPr="0027404B">
              <w:rPr>
                <w:rFonts w:ascii="Gotham" w:eastAsia="Arial" w:hAnsi="Gotham" w:cs="Arial"/>
                <w:sz w:val="19"/>
                <w:szCs w:val="19"/>
              </w:rPr>
              <w:t>perímetros</w:t>
            </w:r>
            <w:r w:rsidRPr="0027404B">
              <w:rPr>
                <w:rFonts w:ascii="Gotham" w:eastAsia="Arial" w:hAnsi="Gotham" w:cs="Arial"/>
                <w:spacing w:val="15"/>
                <w:sz w:val="19"/>
                <w:szCs w:val="19"/>
              </w:rPr>
              <w:t xml:space="preserve"> </w:t>
            </w:r>
            <w:r w:rsidRPr="0027404B">
              <w:rPr>
                <w:rFonts w:ascii="Gotham" w:eastAsia="Arial" w:hAnsi="Gotham" w:cs="Arial"/>
                <w:sz w:val="19"/>
                <w:szCs w:val="19"/>
              </w:rPr>
              <w:t>de</w:t>
            </w:r>
            <w:r w:rsidRPr="0027404B">
              <w:rPr>
                <w:rFonts w:ascii="Gotham" w:eastAsia="Arial" w:hAnsi="Gotham" w:cs="Arial"/>
                <w:spacing w:val="-5"/>
                <w:sz w:val="19"/>
                <w:szCs w:val="19"/>
              </w:rPr>
              <w:t xml:space="preserve"> </w:t>
            </w:r>
            <w:r w:rsidRPr="0027404B">
              <w:rPr>
                <w:rFonts w:ascii="Gotham" w:eastAsia="Arial" w:hAnsi="Gotham" w:cs="Arial"/>
                <w:sz w:val="19"/>
                <w:szCs w:val="19"/>
              </w:rPr>
              <w:t>contención</w:t>
            </w:r>
            <w:r w:rsidRPr="0027404B">
              <w:rPr>
                <w:rFonts w:ascii="Gotham" w:eastAsia="Arial" w:hAnsi="Gotham" w:cs="Arial"/>
                <w:spacing w:val="2"/>
                <w:sz w:val="19"/>
                <w:szCs w:val="19"/>
              </w:rPr>
              <w:t xml:space="preserve"> </w:t>
            </w:r>
            <w:r w:rsidRPr="0027404B">
              <w:rPr>
                <w:rFonts w:ascii="Gotham" w:eastAsia="Arial" w:hAnsi="Gotham" w:cs="Arial"/>
                <w:sz w:val="19"/>
                <w:szCs w:val="19"/>
              </w:rPr>
              <w:t>*</w:t>
            </w:r>
          </w:p>
        </w:tc>
        <w:tc>
          <w:tcPr>
            <w:tcW w:w="3420" w:type="dxa"/>
            <w:vAlign w:val="center"/>
          </w:tcPr>
          <w:p w14:paraId="3A475EC7"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sz w:val="19"/>
                <w:szCs w:val="19"/>
              </w:rPr>
              <w:t>75% de las</w:t>
            </w:r>
            <w:r w:rsidRPr="0027404B">
              <w:rPr>
                <w:rFonts w:ascii="Gotham" w:eastAsia="Arial" w:hAnsi="Gotham" w:cs="Arial"/>
                <w:spacing w:val="7"/>
                <w:sz w:val="19"/>
                <w:szCs w:val="19"/>
              </w:rPr>
              <w:t xml:space="preserve"> </w:t>
            </w:r>
            <w:r w:rsidRPr="0027404B">
              <w:rPr>
                <w:rFonts w:ascii="Gotham" w:eastAsia="Arial" w:hAnsi="Gotham" w:cs="Arial"/>
                <w:sz w:val="19"/>
                <w:szCs w:val="19"/>
              </w:rPr>
              <w:t>viviendas</w:t>
            </w:r>
          </w:p>
        </w:tc>
      </w:tr>
      <w:tr w:rsidR="009B5E39" w:rsidRPr="0027404B" w14:paraId="3A475ECB" w14:textId="77777777" w:rsidTr="00190E4A">
        <w:trPr>
          <w:trHeight w:val="20"/>
          <w:jc w:val="center"/>
        </w:trPr>
        <w:tc>
          <w:tcPr>
            <w:tcW w:w="4800" w:type="dxa"/>
            <w:vAlign w:val="center"/>
          </w:tcPr>
          <w:p w14:paraId="3A475EC9" w14:textId="77777777" w:rsidR="009B5E39" w:rsidRPr="0027404B" w:rsidRDefault="009B5E39" w:rsidP="00190E4A">
            <w:pPr>
              <w:spacing w:before="60" w:after="60"/>
              <w:ind w:left="104" w:right="177"/>
              <w:rPr>
                <w:rFonts w:ascii="Gotham" w:eastAsia="Arial" w:hAnsi="Gotham" w:cs="Arial"/>
                <w:sz w:val="19"/>
                <w:szCs w:val="19"/>
              </w:rPr>
            </w:pPr>
            <w:r w:rsidRPr="0027404B">
              <w:rPr>
                <w:rFonts w:ascii="Gotham" w:eastAsia="Arial" w:hAnsi="Gotham" w:cs="Arial"/>
                <w:sz w:val="19"/>
                <w:szCs w:val="19"/>
              </w:rPr>
              <w:lastRenderedPageBreak/>
              <w:t>Cajone</w:t>
            </w:r>
            <w:r w:rsidRPr="0027404B">
              <w:rPr>
                <w:rFonts w:ascii="Gotham" w:eastAsia="Arial" w:hAnsi="Gotham" w:cs="Arial"/>
                <w:spacing w:val="14"/>
                <w:sz w:val="19"/>
                <w:szCs w:val="19"/>
              </w:rPr>
              <w:t xml:space="preserve">s </w:t>
            </w:r>
            <w:r w:rsidRPr="0027404B">
              <w:rPr>
                <w:rFonts w:ascii="Gotham" w:eastAsia="Arial" w:hAnsi="Gotham" w:cs="Arial"/>
                <w:sz w:val="19"/>
                <w:szCs w:val="19"/>
              </w:rPr>
              <w:t>de</w:t>
            </w:r>
            <w:r w:rsidRPr="0027404B">
              <w:rPr>
                <w:rFonts w:ascii="Gotham" w:eastAsia="Arial" w:hAnsi="Gotham" w:cs="Arial"/>
                <w:spacing w:val="-13"/>
                <w:sz w:val="19"/>
                <w:szCs w:val="19"/>
              </w:rPr>
              <w:t xml:space="preserve"> </w:t>
            </w:r>
            <w:r w:rsidRPr="0027404B">
              <w:rPr>
                <w:rFonts w:ascii="Gotham" w:eastAsia="Arial" w:hAnsi="Gotham" w:cs="Arial"/>
                <w:sz w:val="19"/>
                <w:szCs w:val="19"/>
              </w:rPr>
              <w:t>estacionamiento</w:t>
            </w:r>
            <w:r w:rsidRPr="0027404B">
              <w:rPr>
                <w:rFonts w:ascii="Gotham" w:eastAsia="Arial" w:hAnsi="Gotham" w:cs="Arial"/>
                <w:spacing w:val="21"/>
                <w:sz w:val="19"/>
                <w:szCs w:val="19"/>
              </w:rPr>
              <w:t xml:space="preserve"> </w:t>
            </w:r>
            <w:r w:rsidRPr="0027404B">
              <w:rPr>
                <w:rFonts w:ascii="Gotham" w:eastAsia="Arial" w:hAnsi="Gotham" w:cs="Arial"/>
                <w:w w:val="99"/>
                <w:sz w:val="19"/>
                <w:szCs w:val="19"/>
              </w:rPr>
              <w:t>para</w:t>
            </w:r>
            <w:r w:rsidRPr="0027404B">
              <w:rPr>
                <w:rFonts w:ascii="Gotham" w:eastAsia="Arial" w:hAnsi="Gotham" w:cs="Arial"/>
                <w:spacing w:val="-26"/>
                <w:sz w:val="19"/>
                <w:szCs w:val="19"/>
              </w:rPr>
              <w:t xml:space="preserve"> </w:t>
            </w:r>
            <w:r w:rsidRPr="0027404B">
              <w:rPr>
                <w:rFonts w:ascii="Gotham" w:eastAsia="Arial" w:hAnsi="Gotham" w:cs="Arial"/>
                <w:sz w:val="19"/>
                <w:szCs w:val="19"/>
              </w:rPr>
              <w:t>automóviles fuera</w:t>
            </w:r>
            <w:r w:rsidRPr="0027404B">
              <w:rPr>
                <w:rFonts w:ascii="Gotham" w:eastAsia="Arial" w:hAnsi="Gotham" w:cs="Arial"/>
                <w:spacing w:val="9"/>
                <w:sz w:val="19"/>
                <w:szCs w:val="19"/>
              </w:rPr>
              <w:t xml:space="preserve"> </w:t>
            </w:r>
            <w:r w:rsidRPr="0027404B">
              <w:rPr>
                <w:rFonts w:ascii="Gotham" w:eastAsia="Arial" w:hAnsi="Gotham" w:cs="Arial"/>
                <w:sz w:val="19"/>
                <w:szCs w:val="19"/>
              </w:rPr>
              <w:t>de</w:t>
            </w:r>
            <w:r w:rsidRPr="0027404B">
              <w:rPr>
                <w:rFonts w:ascii="Gotham" w:eastAsia="Arial" w:hAnsi="Gotham" w:cs="Arial"/>
                <w:spacing w:val="-5"/>
                <w:sz w:val="19"/>
                <w:szCs w:val="19"/>
              </w:rPr>
              <w:t xml:space="preserve"> </w:t>
            </w:r>
            <w:r w:rsidRPr="0027404B">
              <w:rPr>
                <w:rFonts w:ascii="Gotham" w:eastAsia="Arial" w:hAnsi="Gotham" w:cs="Arial"/>
                <w:sz w:val="19"/>
                <w:szCs w:val="19"/>
              </w:rPr>
              <w:t>los</w:t>
            </w:r>
            <w:r w:rsidRPr="0027404B">
              <w:rPr>
                <w:rFonts w:ascii="Gotham" w:eastAsia="Arial" w:hAnsi="Gotham" w:cs="Arial"/>
                <w:spacing w:val="-14"/>
                <w:sz w:val="19"/>
                <w:szCs w:val="19"/>
              </w:rPr>
              <w:t xml:space="preserve"> </w:t>
            </w:r>
            <w:r w:rsidRPr="0027404B">
              <w:rPr>
                <w:rFonts w:ascii="Gotham" w:eastAsia="Arial" w:hAnsi="Gotham" w:cs="Arial"/>
                <w:sz w:val="19"/>
                <w:szCs w:val="19"/>
              </w:rPr>
              <w:t>perímetros de</w:t>
            </w:r>
            <w:r w:rsidRPr="0027404B">
              <w:rPr>
                <w:rFonts w:ascii="Gotham" w:eastAsia="Arial" w:hAnsi="Gotham" w:cs="Arial"/>
                <w:spacing w:val="-5"/>
                <w:sz w:val="19"/>
                <w:szCs w:val="19"/>
              </w:rPr>
              <w:t xml:space="preserve"> </w:t>
            </w:r>
            <w:r w:rsidRPr="0027404B">
              <w:rPr>
                <w:rFonts w:ascii="Gotham" w:eastAsia="Arial" w:hAnsi="Gotham" w:cs="Arial"/>
                <w:sz w:val="19"/>
                <w:szCs w:val="19"/>
              </w:rPr>
              <w:t>contención</w:t>
            </w:r>
            <w:r w:rsidRPr="0027404B">
              <w:rPr>
                <w:rFonts w:ascii="Gotham" w:eastAsia="Arial" w:hAnsi="Gotham" w:cs="Arial"/>
                <w:spacing w:val="16"/>
                <w:sz w:val="19"/>
                <w:szCs w:val="19"/>
              </w:rPr>
              <w:t xml:space="preserve"> </w:t>
            </w:r>
            <w:r w:rsidRPr="0027404B">
              <w:rPr>
                <w:rFonts w:ascii="Gotham" w:eastAsia="Arial" w:hAnsi="Gotham" w:cs="Arial"/>
                <w:sz w:val="19"/>
                <w:szCs w:val="19"/>
              </w:rPr>
              <w:t>*</w:t>
            </w:r>
          </w:p>
        </w:tc>
        <w:tc>
          <w:tcPr>
            <w:tcW w:w="3420" w:type="dxa"/>
            <w:vAlign w:val="center"/>
          </w:tcPr>
          <w:p w14:paraId="3A475ECA"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sz w:val="19"/>
                <w:szCs w:val="19"/>
              </w:rPr>
              <w:t>1</w:t>
            </w:r>
            <w:r w:rsidRPr="0027404B">
              <w:rPr>
                <w:rFonts w:ascii="Gotham" w:eastAsia="Arial" w:hAnsi="Gotham" w:cs="Arial"/>
                <w:spacing w:val="-11"/>
                <w:sz w:val="19"/>
                <w:szCs w:val="19"/>
              </w:rPr>
              <w:t xml:space="preserve"> </w:t>
            </w:r>
            <w:r w:rsidRPr="0027404B">
              <w:rPr>
                <w:rFonts w:ascii="Gotham" w:eastAsia="Arial" w:hAnsi="Gotham" w:cs="Arial"/>
                <w:sz w:val="19"/>
                <w:szCs w:val="19"/>
              </w:rPr>
              <w:t>cajón</w:t>
            </w:r>
            <w:r w:rsidRPr="0027404B">
              <w:rPr>
                <w:rFonts w:ascii="Gotham" w:eastAsia="Arial" w:hAnsi="Gotham" w:cs="Arial"/>
                <w:spacing w:val="-16"/>
                <w:sz w:val="19"/>
                <w:szCs w:val="19"/>
              </w:rPr>
              <w:t xml:space="preserve"> </w:t>
            </w:r>
            <w:r w:rsidRPr="0027404B">
              <w:rPr>
                <w:rFonts w:ascii="Gotham" w:eastAsia="Arial" w:hAnsi="Gotham" w:cs="Arial"/>
                <w:sz w:val="19"/>
                <w:szCs w:val="19"/>
              </w:rPr>
              <w:t>por</w:t>
            </w:r>
            <w:r w:rsidRPr="0027404B">
              <w:rPr>
                <w:rFonts w:ascii="Gotham" w:eastAsia="Arial" w:hAnsi="Gotham" w:cs="Arial"/>
                <w:spacing w:val="7"/>
                <w:sz w:val="19"/>
                <w:szCs w:val="19"/>
              </w:rPr>
              <w:t xml:space="preserve"> </w:t>
            </w:r>
            <w:r w:rsidRPr="0027404B">
              <w:rPr>
                <w:rFonts w:ascii="Gotham" w:eastAsia="Arial" w:hAnsi="Gotham" w:cs="Arial"/>
                <w:sz w:val="19"/>
                <w:szCs w:val="19"/>
              </w:rPr>
              <w:t>vivienda</w:t>
            </w:r>
          </w:p>
        </w:tc>
      </w:tr>
      <w:tr w:rsidR="009B5E39" w:rsidRPr="0027404B" w14:paraId="3A475ECE" w14:textId="77777777" w:rsidTr="00190E4A">
        <w:trPr>
          <w:trHeight w:val="20"/>
          <w:jc w:val="center"/>
        </w:trPr>
        <w:tc>
          <w:tcPr>
            <w:tcW w:w="4800" w:type="dxa"/>
            <w:vAlign w:val="center"/>
          </w:tcPr>
          <w:p w14:paraId="3A475ECC" w14:textId="77777777" w:rsidR="009B5E39" w:rsidRPr="0027404B" w:rsidRDefault="009B5E39" w:rsidP="00190E4A">
            <w:pPr>
              <w:spacing w:before="60" w:after="60"/>
              <w:ind w:left="118"/>
              <w:rPr>
                <w:rFonts w:ascii="Gotham" w:eastAsia="Arial" w:hAnsi="Gotham" w:cs="Arial"/>
                <w:color w:val="2E74B5" w:themeColor="accent1" w:themeShade="BF"/>
                <w:sz w:val="19"/>
                <w:szCs w:val="19"/>
              </w:rPr>
            </w:pPr>
            <w:r w:rsidRPr="0027404B">
              <w:rPr>
                <w:rFonts w:ascii="Gotham" w:eastAsia="Arial" w:hAnsi="Gotham" w:cs="Arial"/>
                <w:color w:val="2E74B5" w:themeColor="accent1" w:themeShade="BF"/>
                <w:w w:val="99"/>
                <w:sz w:val="19"/>
                <w:szCs w:val="19"/>
              </w:rPr>
              <w:t>Estacionamiento</w:t>
            </w:r>
            <w:r w:rsidRPr="0027404B">
              <w:rPr>
                <w:rFonts w:ascii="Gotham" w:eastAsia="Arial" w:hAnsi="Gotham" w:cs="Arial"/>
                <w:color w:val="2E74B5" w:themeColor="accent1" w:themeShade="BF"/>
                <w:spacing w:val="-15"/>
                <w:w w:val="99"/>
                <w:sz w:val="19"/>
                <w:szCs w:val="19"/>
              </w:rPr>
              <w:t xml:space="preserve"> </w:t>
            </w:r>
            <w:r w:rsidRPr="0027404B">
              <w:rPr>
                <w:rFonts w:ascii="Gotham" w:eastAsia="Arial" w:hAnsi="Gotham" w:cs="Arial"/>
                <w:color w:val="2E74B5" w:themeColor="accent1" w:themeShade="BF"/>
                <w:w w:val="109"/>
                <w:sz w:val="19"/>
                <w:szCs w:val="19"/>
              </w:rPr>
              <w:t>bicicletas</w:t>
            </w:r>
          </w:p>
        </w:tc>
        <w:tc>
          <w:tcPr>
            <w:tcW w:w="3420" w:type="dxa"/>
            <w:vAlign w:val="center"/>
          </w:tcPr>
          <w:p w14:paraId="3A475ECD" w14:textId="77777777" w:rsidR="009B5E39" w:rsidRPr="0027404B" w:rsidRDefault="009B5E39" w:rsidP="00190E4A">
            <w:pPr>
              <w:spacing w:before="60" w:after="60"/>
              <w:ind w:left="15" w:right="145"/>
              <w:jc w:val="center"/>
              <w:rPr>
                <w:rFonts w:ascii="Gotham" w:eastAsia="Arial" w:hAnsi="Gotham" w:cs="Arial"/>
                <w:color w:val="2E74B5" w:themeColor="accent1" w:themeShade="BF"/>
                <w:sz w:val="19"/>
                <w:szCs w:val="19"/>
              </w:rPr>
            </w:pPr>
            <w:r w:rsidRPr="0027404B">
              <w:rPr>
                <w:rFonts w:ascii="Gotham" w:eastAsia="Arial" w:hAnsi="Gotham" w:cs="Arial"/>
                <w:color w:val="2E74B5" w:themeColor="accent1" w:themeShade="BF"/>
                <w:w w:val="89"/>
                <w:position w:val="-2"/>
                <w:sz w:val="19"/>
                <w:szCs w:val="19"/>
              </w:rPr>
              <w:t>15%</w:t>
            </w:r>
            <w:r w:rsidRPr="0027404B">
              <w:rPr>
                <w:rFonts w:ascii="Gotham" w:eastAsia="Arial" w:hAnsi="Gotham" w:cs="Arial"/>
                <w:color w:val="2E74B5" w:themeColor="accent1" w:themeShade="BF"/>
                <w:spacing w:val="11"/>
                <w:w w:val="89"/>
                <w:position w:val="-2"/>
                <w:sz w:val="19"/>
                <w:szCs w:val="19"/>
              </w:rPr>
              <w:t xml:space="preserve"> </w:t>
            </w:r>
            <w:r w:rsidRPr="0027404B">
              <w:rPr>
                <w:rFonts w:ascii="Gotham" w:eastAsia="Arial" w:hAnsi="Gotham" w:cs="Arial"/>
                <w:color w:val="2E74B5" w:themeColor="accent1" w:themeShade="BF"/>
                <w:position w:val="-2"/>
                <w:sz w:val="19"/>
                <w:szCs w:val="19"/>
              </w:rPr>
              <w:t>de</w:t>
            </w:r>
            <w:r w:rsidRPr="0027404B">
              <w:rPr>
                <w:rFonts w:ascii="Gotham" w:eastAsia="Arial" w:hAnsi="Gotham" w:cs="Arial"/>
                <w:color w:val="2E74B5" w:themeColor="accent1" w:themeShade="BF"/>
                <w:spacing w:val="-5"/>
                <w:position w:val="-2"/>
                <w:sz w:val="19"/>
                <w:szCs w:val="19"/>
              </w:rPr>
              <w:t xml:space="preserve"> </w:t>
            </w:r>
            <w:r w:rsidRPr="0027404B">
              <w:rPr>
                <w:rFonts w:ascii="Gotham" w:eastAsia="Arial" w:hAnsi="Gotham" w:cs="Arial"/>
                <w:color w:val="2E74B5" w:themeColor="accent1" w:themeShade="BF"/>
                <w:w w:val="99"/>
                <w:position w:val="-2"/>
                <w:sz w:val="19"/>
                <w:szCs w:val="19"/>
              </w:rPr>
              <w:t>las</w:t>
            </w:r>
            <w:r w:rsidRPr="0027404B">
              <w:rPr>
                <w:rFonts w:ascii="Gotham" w:eastAsia="Arial" w:hAnsi="Gotham" w:cs="Arial"/>
                <w:color w:val="2E74B5" w:themeColor="accent1" w:themeShade="BF"/>
                <w:spacing w:val="-40"/>
                <w:position w:val="-2"/>
                <w:sz w:val="19"/>
                <w:szCs w:val="19"/>
              </w:rPr>
              <w:t xml:space="preserve"> </w:t>
            </w:r>
            <w:r w:rsidRPr="0027404B">
              <w:rPr>
                <w:rFonts w:ascii="Gotham" w:eastAsia="Arial" w:hAnsi="Gotham" w:cs="Arial"/>
                <w:color w:val="2E74B5" w:themeColor="accent1" w:themeShade="BF"/>
                <w:position w:val="-2"/>
                <w:sz w:val="19"/>
                <w:szCs w:val="19"/>
              </w:rPr>
              <w:t>viviendas</w:t>
            </w:r>
          </w:p>
        </w:tc>
      </w:tr>
      <w:tr w:rsidR="009B5E39" w:rsidRPr="0027404B" w14:paraId="3A475ED1" w14:textId="77777777" w:rsidTr="00190E4A">
        <w:trPr>
          <w:trHeight w:val="20"/>
          <w:jc w:val="center"/>
        </w:trPr>
        <w:tc>
          <w:tcPr>
            <w:tcW w:w="4800" w:type="dxa"/>
            <w:vAlign w:val="center"/>
          </w:tcPr>
          <w:p w14:paraId="3A475ECF" w14:textId="77777777" w:rsidR="009B5E39" w:rsidRPr="0027404B" w:rsidRDefault="009B5E39" w:rsidP="00190E4A">
            <w:pPr>
              <w:spacing w:before="60" w:after="60"/>
              <w:ind w:left="118"/>
              <w:rPr>
                <w:rFonts w:ascii="Gotham" w:eastAsia="Arial" w:hAnsi="Gotham" w:cs="Arial"/>
                <w:color w:val="2E74B5" w:themeColor="accent1" w:themeShade="BF"/>
                <w:w w:val="99"/>
                <w:sz w:val="19"/>
                <w:szCs w:val="19"/>
              </w:rPr>
            </w:pPr>
            <w:r w:rsidRPr="0027404B">
              <w:rPr>
                <w:rFonts w:ascii="Gotham" w:eastAsia="Arial" w:hAnsi="Gotham" w:cs="Arial"/>
                <w:color w:val="2E74B5" w:themeColor="accent1" w:themeShade="BF"/>
                <w:w w:val="99"/>
                <w:sz w:val="19"/>
                <w:szCs w:val="19"/>
              </w:rPr>
              <w:t>Estacionamiento</w:t>
            </w:r>
            <w:r w:rsidRPr="0027404B">
              <w:rPr>
                <w:rFonts w:ascii="Gotham" w:eastAsia="Arial" w:hAnsi="Gotham" w:cs="Arial"/>
                <w:color w:val="2E74B5" w:themeColor="accent1" w:themeShade="BF"/>
                <w:spacing w:val="-19"/>
                <w:w w:val="109"/>
                <w:sz w:val="19"/>
                <w:szCs w:val="19"/>
              </w:rPr>
              <w:t xml:space="preserve"> </w:t>
            </w:r>
            <w:r w:rsidRPr="0027404B">
              <w:rPr>
                <w:rFonts w:ascii="Gotham" w:eastAsia="Arial" w:hAnsi="Gotham" w:cs="Arial"/>
                <w:color w:val="2E74B5" w:themeColor="accent1" w:themeShade="BF"/>
                <w:sz w:val="19"/>
                <w:szCs w:val="19"/>
              </w:rPr>
              <w:t>motocicletas</w:t>
            </w:r>
          </w:p>
        </w:tc>
        <w:tc>
          <w:tcPr>
            <w:tcW w:w="3420" w:type="dxa"/>
            <w:vAlign w:val="center"/>
          </w:tcPr>
          <w:p w14:paraId="3A475ED0" w14:textId="77777777" w:rsidR="009B5E39" w:rsidRPr="0027404B" w:rsidRDefault="009B5E39" w:rsidP="00190E4A">
            <w:pPr>
              <w:spacing w:before="60" w:after="60"/>
              <w:ind w:left="15" w:right="145"/>
              <w:jc w:val="center"/>
              <w:rPr>
                <w:rFonts w:ascii="Gotham" w:eastAsia="Arial" w:hAnsi="Gotham" w:cs="Arial"/>
                <w:color w:val="2E74B5" w:themeColor="accent1" w:themeShade="BF"/>
                <w:w w:val="89"/>
                <w:position w:val="-2"/>
                <w:sz w:val="19"/>
                <w:szCs w:val="19"/>
              </w:rPr>
            </w:pPr>
            <w:r w:rsidRPr="0027404B">
              <w:rPr>
                <w:rFonts w:ascii="Gotham" w:eastAsia="Arial" w:hAnsi="Gotham" w:cs="Arial"/>
                <w:color w:val="2E74B5" w:themeColor="accent1" w:themeShade="BF"/>
                <w:w w:val="89"/>
                <w:position w:val="-2"/>
                <w:sz w:val="19"/>
                <w:szCs w:val="19"/>
              </w:rPr>
              <w:t>15%</w:t>
            </w:r>
            <w:r w:rsidRPr="0027404B">
              <w:rPr>
                <w:rFonts w:ascii="Gotham" w:eastAsia="Arial" w:hAnsi="Gotham" w:cs="Arial"/>
                <w:color w:val="2E74B5" w:themeColor="accent1" w:themeShade="BF"/>
                <w:spacing w:val="11"/>
                <w:w w:val="89"/>
                <w:position w:val="-2"/>
                <w:sz w:val="19"/>
                <w:szCs w:val="19"/>
              </w:rPr>
              <w:t xml:space="preserve"> </w:t>
            </w:r>
            <w:r w:rsidRPr="0027404B">
              <w:rPr>
                <w:rFonts w:ascii="Gotham" w:eastAsia="Arial" w:hAnsi="Gotham" w:cs="Arial"/>
                <w:color w:val="2E74B5" w:themeColor="accent1" w:themeShade="BF"/>
                <w:position w:val="-2"/>
                <w:sz w:val="19"/>
                <w:szCs w:val="19"/>
              </w:rPr>
              <w:t>de</w:t>
            </w:r>
            <w:r w:rsidRPr="0027404B">
              <w:rPr>
                <w:rFonts w:ascii="Gotham" w:eastAsia="Arial" w:hAnsi="Gotham" w:cs="Arial"/>
                <w:color w:val="2E74B5" w:themeColor="accent1" w:themeShade="BF"/>
                <w:spacing w:val="-5"/>
                <w:position w:val="-2"/>
                <w:sz w:val="19"/>
                <w:szCs w:val="19"/>
              </w:rPr>
              <w:t xml:space="preserve"> </w:t>
            </w:r>
            <w:r w:rsidRPr="0027404B">
              <w:rPr>
                <w:rFonts w:ascii="Gotham" w:eastAsia="Arial" w:hAnsi="Gotham" w:cs="Arial"/>
                <w:color w:val="2E74B5" w:themeColor="accent1" w:themeShade="BF"/>
                <w:w w:val="99"/>
                <w:position w:val="-2"/>
                <w:sz w:val="19"/>
                <w:szCs w:val="19"/>
              </w:rPr>
              <w:t>las</w:t>
            </w:r>
            <w:r w:rsidRPr="0027404B">
              <w:rPr>
                <w:rFonts w:ascii="Gotham" w:eastAsia="Arial" w:hAnsi="Gotham" w:cs="Arial"/>
                <w:color w:val="2E74B5" w:themeColor="accent1" w:themeShade="BF"/>
                <w:spacing w:val="-40"/>
                <w:position w:val="-2"/>
                <w:sz w:val="19"/>
                <w:szCs w:val="19"/>
              </w:rPr>
              <w:t xml:space="preserve"> </w:t>
            </w:r>
            <w:r w:rsidRPr="0027404B">
              <w:rPr>
                <w:rFonts w:ascii="Gotham" w:eastAsia="Arial" w:hAnsi="Gotham" w:cs="Arial"/>
                <w:color w:val="2E74B5" w:themeColor="accent1" w:themeShade="BF"/>
                <w:position w:val="-2"/>
                <w:sz w:val="19"/>
                <w:szCs w:val="19"/>
              </w:rPr>
              <w:t>viviendas</w:t>
            </w:r>
          </w:p>
        </w:tc>
      </w:tr>
      <w:tr w:rsidR="009B5E39" w:rsidRPr="0027404B" w14:paraId="3A475ED4" w14:textId="77777777" w:rsidTr="00190E4A">
        <w:trPr>
          <w:trHeight w:val="20"/>
          <w:jc w:val="center"/>
        </w:trPr>
        <w:tc>
          <w:tcPr>
            <w:tcW w:w="4800" w:type="dxa"/>
            <w:vAlign w:val="center"/>
          </w:tcPr>
          <w:p w14:paraId="3A475ED2" w14:textId="77777777" w:rsidR="009B5E39" w:rsidRPr="0027404B" w:rsidRDefault="009B5E39" w:rsidP="00190E4A">
            <w:pPr>
              <w:spacing w:before="60" w:after="60"/>
              <w:ind w:left="104"/>
              <w:rPr>
                <w:rFonts w:ascii="Gotham" w:eastAsia="Arial" w:hAnsi="Gotham" w:cs="Arial"/>
                <w:sz w:val="19"/>
                <w:szCs w:val="19"/>
              </w:rPr>
            </w:pPr>
            <w:r w:rsidRPr="0027404B">
              <w:rPr>
                <w:rFonts w:ascii="Gotham" w:eastAsia="Arial" w:hAnsi="Gotham" w:cs="Arial"/>
                <w:color w:val="2F2F2F"/>
                <w:w w:val="87"/>
                <w:sz w:val="19"/>
                <w:szCs w:val="19"/>
              </w:rPr>
              <w:t>%</w:t>
            </w:r>
            <w:r w:rsidRPr="0027404B">
              <w:rPr>
                <w:rFonts w:ascii="Gotham" w:eastAsia="Arial" w:hAnsi="Gotham" w:cs="Arial"/>
                <w:color w:val="2F2F2F"/>
                <w:spacing w:val="5"/>
                <w:w w:val="87"/>
                <w:sz w:val="19"/>
                <w:szCs w:val="19"/>
              </w:rPr>
              <w:t xml:space="preserve"> </w:t>
            </w:r>
            <w:r w:rsidRPr="0027404B">
              <w:rPr>
                <w:rFonts w:ascii="Gotham" w:eastAsia="Arial" w:hAnsi="Gotham" w:cs="Arial"/>
                <w:color w:val="2F2F2F"/>
                <w:w w:val="99"/>
                <w:sz w:val="19"/>
                <w:szCs w:val="19"/>
              </w:rPr>
              <w:t>de</w:t>
            </w:r>
            <w:r w:rsidRPr="0027404B">
              <w:rPr>
                <w:rFonts w:ascii="Gotham" w:eastAsia="Arial" w:hAnsi="Gotham" w:cs="Arial"/>
                <w:color w:val="2F2F2F"/>
                <w:spacing w:val="-32"/>
                <w:sz w:val="19"/>
                <w:szCs w:val="19"/>
              </w:rPr>
              <w:t xml:space="preserve"> </w:t>
            </w:r>
            <w:r w:rsidRPr="0027404B">
              <w:rPr>
                <w:rFonts w:ascii="Gotham" w:eastAsia="Arial" w:hAnsi="Gotham" w:cs="Arial"/>
                <w:color w:val="2F2F2F"/>
                <w:sz w:val="19"/>
                <w:szCs w:val="19"/>
              </w:rPr>
              <w:t>jardín</w:t>
            </w:r>
            <w:r w:rsidRPr="0027404B">
              <w:rPr>
                <w:rFonts w:ascii="Gotham" w:eastAsia="Arial" w:hAnsi="Gotham" w:cs="Arial"/>
                <w:color w:val="2F2F2F"/>
                <w:spacing w:val="17"/>
                <w:sz w:val="19"/>
                <w:szCs w:val="19"/>
              </w:rPr>
              <w:t xml:space="preserve"> </w:t>
            </w:r>
            <w:r w:rsidRPr="0027404B">
              <w:rPr>
                <w:rFonts w:ascii="Gotham" w:eastAsia="Arial" w:hAnsi="Gotham" w:cs="Arial"/>
                <w:color w:val="2F2F2F"/>
                <w:sz w:val="19"/>
                <w:szCs w:val="19"/>
              </w:rPr>
              <w:t>en</w:t>
            </w:r>
            <w:r w:rsidRPr="0027404B">
              <w:rPr>
                <w:rFonts w:ascii="Gotham" w:eastAsia="Arial" w:hAnsi="Gotham" w:cs="Arial"/>
                <w:color w:val="2F2F2F"/>
                <w:spacing w:val="9"/>
                <w:sz w:val="19"/>
                <w:szCs w:val="19"/>
              </w:rPr>
              <w:t xml:space="preserve"> </w:t>
            </w:r>
            <w:r w:rsidRPr="0027404B">
              <w:rPr>
                <w:rFonts w:ascii="Gotham" w:eastAsia="Arial" w:hAnsi="Gotham" w:cs="Arial"/>
                <w:color w:val="2F2F2F"/>
                <w:sz w:val="19"/>
                <w:szCs w:val="19"/>
              </w:rPr>
              <w:t>la</w:t>
            </w:r>
            <w:r w:rsidRPr="0027404B">
              <w:rPr>
                <w:rFonts w:ascii="Gotham" w:eastAsia="Arial" w:hAnsi="Gotham" w:cs="Arial"/>
                <w:color w:val="2F2F2F"/>
                <w:spacing w:val="-18"/>
                <w:sz w:val="19"/>
                <w:szCs w:val="19"/>
              </w:rPr>
              <w:t xml:space="preserve"> </w:t>
            </w:r>
            <w:r w:rsidRPr="0027404B">
              <w:rPr>
                <w:rFonts w:ascii="Gotham" w:eastAsia="Arial" w:hAnsi="Gotham" w:cs="Arial"/>
                <w:color w:val="2F2F2F"/>
                <w:sz w:val="19"/>
                <w:szCs w:val="19"/>
              </w:rPr>
              <w:t>restricción</w:t>
            </w:r>
            <w:r w:rsidRPr="0027404B">
              <w:rPr>
                <w:rFonts w:ascii="Gotham" w:eastAsia="Arial" w:hAnsi="Gotham" w:cs="Arial"/>
                <w:color w:val="2F2F2F"/>
                <w:spacing w:val="7"/>
                <w:sz w:val="19"/>
                <w:szCs w:val="19"/>
              </w:rPr>
              <w:t xml:space="preserve"> </w:t>
            </w:r>
            <w:r w:rsidRPr="0027404B">
              <w:rPr>
                <w:rFonts w:ascii="Gotham" w:eastAsia="Arial" w:hAnsi="Gotham" w:cs="Arial"/>
                <w:color w:val="2F2F2F"/>
                <w:sz w:val="19"/>
                <w:szCs w:val="19"/>
              </w:rPr>
              <w:t>frontal</w:t>
            </w:r>
          </w:p>
        </w:tc>
        <w:tc>
          <w:tcPr>
            <w:tcW w:w="3420" w:type="dxa"/>
            <w:vAlign w:val="center"/>
          </w:tcPr>
          <w:p w14:paraId="3A475ED3" w14:textId="77777777" w:rsidR="009B5E39" w:rsidRPr="0027404B" w:rsidRDefault="009B5E39" w:rsidP="00190E4A">
            <w:pPr>
              <w:spacing w:before="60" w:after="60"/>
              <w:ind w:left="15" w:right="145"/>
              <w:jc w:val="center"/>
              <w:rPr>
                <w:rFonts w:ascii="Gotham" w:eastAsia="Arial" w:hAnsi="Gotham" w:cs="Arial"/>
                <w:sz w:val="19"/>
                <w:szCs w:val="19"/>
              </w:rPr>
            </w:pPr>
            <w:r w:rsidRPr="0027404B">
              <w:rPr>
                <w:rFonts w:ascii="Gotham" w:eastAsia="Arial" w:hAnsi="Gotham" w:cs="Arial"/>
                <w:color w:val="2F2F2F"/>
                <w:w w:val="99"/>
                <w:position w:val="-1"/>
                <w:sz w:val="19"/>
                <w:szCs w:val="19"/>
              </w:rPr>
              <w:t>30%</w:t>
            </w:r>
          </w:p>
        </w:tc>
      </w:tr>
      <w:tr w:rsidR="009B5E39" w:rsidRPr="0027404B" w14:paraId="3A475ED6" w14:textId="77777777" w:rsidTr="00190E4A">
        <w:trPr>
          <w:trHeight w:hRule="exact" w:val="737"/>
          <w:jc w:val="center"/>
        </w:trPr>
        <w:tc>
          <w:tcPr>
            <w:tcW w:w="8220" w:type="dxa"/>
            <w:gridSpan w:val="2"/>
            <w:shd w:val="clear" w:color="auto" w:fill="D9D9D9" w:themeFill="background1" w:themeFillShade="D9"/>
            <w:vAlign w:val="center"/>
          </w:tcPr>
          <w:p w14:paraId="3A475ED5" w14:textId="77777777" w:rsidR="009B5E39" w:rsidRPr="0027404B" w:rsidRDefault="009B5E39" w:rsidP="00190E4A">
            <w:pPr>
              <w:spacing w:before="60" w:after="60"/>
              <w:ind w:left="104" w:right="145" w:firstLine="14"/>
              <w:jc w:val="both"/>
              <w:rPr>
                <w:rFonts w:ascii="Gotham" w:eastAsia="Arial" w:hAnsi="Gotham" w:cs="Arial"/>
                <w:sz w:val="19"/>
                <w:szCs w:val="19"/>
              </w:rPr>
            </w:pPr>
            <w:r w:rsidRPr="0027404B">
              <w:rPr>
                <w:rFonts w:ascii="Gotham" w:eastAsia="Arial" w:hAnsi="Gotham" w:cs="Arial"/>
                <w:color w:val="2F2F2F"/>
                <w:w w:val="99"/>
                <w:sz w:val="19"/>
                <w:szCs w:val="19"/>
              </w:rPr>
              <w:t>*Cuando</w:t>
            </w:r>
            <w:r w:rsidRPr="0027404B">
              <w:rPr>
                <w:rFonts w:ascii="Gotham" w:eastAsia="Arial" w:hAnsi="Gotham" w:cs="Arial"/>
                <w:color w:val="2F2F2F"/>
                <w:spacing w:val="-23"/>
                <w:w w:val="99"/>
                <w:sz w:val="19"/>
                <w:szCs w:val="19"/>
              </w:rPr>
              <w:t xml:space="preserve"> </w:t>
            </w:r>
            <w:r w:rsidRPr="0027404B">
              <w:rPr>
                <w:rFonts w:ascii="Gotham" w:eastAsia="Arial" w:hAnsi="Gotham" w:cs="Arial"/>
                <w:color w:val="2F2F2F"/>
                <w:sz w:val="19"/>
                <w:szCs w:val="19"/>
              </w:rPr>
              <w:t>se</w:t>
            </w:r>
            <w:r w:rsidRPr="0027404B">
              <w:rPr>
                <w:rFonts w:ascii="Gotham" w:eastAsia="Arial" w:hAnsi="Gotham" w:cs="Arial"/>
                <w:color w:val="2F2F2F"/>
                <w:spacing w:val="-22"/>
                <w:sz w:val="19"/>
                <w:szCs w:val="19"/>
              </w:rPr>
              <w:t xml:space="preserve"> </w:t>
            </w:r>
            <w:r w:rsidRPr="0027404B">
              <w:rPr>
                <w:rFonts w:ascii="Gotham" w:eastAsia="Arial" w:hAnsi="Gotham" w:cs="Arial"/>
                <w:color w:val="2F2F2F"/>
                <w:sz w:val="19"/>
                <w:szCs w:val="19"/>
              </w:rPr>
              <w:t>trate</w:t>
            </w:r>
            <w:r w:rsidRPr="0027404B">
              <w:rPr>
                <w:rFonts w:ascii="Gotham" w:eastAsia="Arial" w:hAnsi="Gotham" w:cs="Arial"/>
                <w:color w:val="2F2F2F"/>
                <w:spacing w:val="43"/>
                <w:sz w:val="19"/>
                <w:szCs w:val="19"/>
              </w:rPr>
              <w:t xml:space="preserve"> </w:t>
            </w:r>
            <w:r w:rsidRPr="0027404B">
              <w:rPr>
                <w:rFonts w:ascii="Gotham" w:eastAsia="Arial" w:hAnsi="Gotham" w:cs="Arial"/>
                <w:color w:val="2F2F2F"/>
                <w:sz w:val="19"/>
                <w:szCs w:val="19"/>
              </w:rPr>
              <w:t>de</w:t>
            </w:r>
            <w:r w:rsidRPr="0027404B">
              <w:rPr>
                <w:rFonts w:ascii="Gotham" w:eastAsia="Arial" w:hAnsi="Gotham" w:cs="Arial"/>
                <w:color w:val="2F2F2F"/>
                <w:spacing w:val="-5"/>
                <w:sz w:val="19"/>
                <w:szCs w:val="19"/>
              </w:rPr>
              <w:t xml:space="preserve"> </w:t>
            </w:r>
            <w:r w:rsidRPr="0027404B">
              <w:rPr>
                <w:rFonts w:ascii="Gotham" w:eastAsia="Arial" w:hAnsi="Gotham" w:cs="Arial"/>
                <w:color w:val="2F2F2F"/>
                <w:w w:val="99"/>
                <w:sz w:val="19"/>
                <w:szCs w:val="19"/>
              </w:rPr>
              <w:t>playas</w:t>
            </w:r>
            <w:r w:rsidRPr="0027404B">
              <w:rPr>
                <w:rFonts w:ascii="Gotham" w:eastAsia="Arial" w:hAnsi="Gotham" w:cs="Arial"/>
                <w:color w:val="2F2F2F"/>
                <w:spacing w:val="-34"/>
                <w:sz w:val="19"/>
                <w:szCs w:val="19"/>
              </w:rPr>
              <w:t xml:space="preserve"> </w:t>
            </w:r>
            <w:r w:rsidRPr="0027404B">
              <w:rPr>
                <w:rFonts w:ascii="Gotham" w:eastAsia="Arial" w:hAnsi="Gotham" w:cs="Arial"/>
                <w:color w:val="2F2F2F"/>
                <w:sz w:val="19"/>
                <w:szCs w:val="19"/>
              </w:rPr>
              <w:t>de</w:t>
            </w:r>
            <w:r w:rsidRPr="0027404B">
              <w:rPr>
                <w:rFonts w:ascii="Gotham" w:eastAsia="Arial" w:hAnsi="Gotham" w:cs="Arial"/>
                <w:color w:val="2F2F2F"/>
                <w:spacing w:val="-5"/>
                <w:sz w:val="19"/>
                <w:szCs w:val="19"/>
              </w:rPr>
              <w:t xml:space="preserve"> </w:t>
            </w:r>
            <w:r w:rsidRPr="0027404B">
              <w:rPr>
                <w:rFonts w:ascii="Gotham" w:eastAsia="Arial" w:hAnsi="Gotham" w:cs="Arial"/>
                <w:color w:val="2F2F2F"/>
                <w:sz w:val="19"/>
                <w:szCs w:val="19"/>
              </w:rPr>
              <w:t>estacionamiento,</w:t>
            </w:r>
            <w:r w:rsidRPr="0027404B">
              <w:rPr>
                <w:rFonts w:ascii="Gotham" w:eastAsia="Arial" w:hAnsi="Gotham" w:cs="Arial"/>
                <w:color w:val="2F2F2F"/>
                <w:spacing w:val="-12"/>
                <w:sz w:val="19"/>
                <w:szCs w:val="19"/>
              </w:rPr>
              <w:t xml:space="preserve"> </w:t>
            </w:r>
            <w:r w:rsidRPr="0027404B">
              <w:rPr>
                <w:rFonts w:ascii="Gotham" w:eastAsia="Arial" w:hAnsi="Gotham" w:cs="Arial"/>
                <w:color w:val="2F2F2F"/>
                <w:w w:val="99"/>
                <w:sz w:val="19"/>
                <w:szCs w:val="19"/>
              </w:rPr>
              <w:t>éstas</w:t>
            </w:r>
            <w:r w:rsidRPr="0027404B">
              <w:rPr>
                <w:rFonts w:ascii="Gotham" w:eastAsia="Arial" w:hAnsi="Gotham" w:cs="Arial"/>
                <w:color w:val="2F2F2F"/>
                <w:spacing w:val="-25"/>
                <w:sz w:val="19"/>
                <w:szCs w:val="19"/>
              </w:rPr>
              <w:t xml:space="preserve"> </w:t>
            </w:r>
            <w:r w:rsidRPr="0027404B">
              <w:rPr>
                <w:rFonts w:ascii="Gotham" w:eastAsia="Arial" w:hAnsi="Gotham" w:cs="Arial"/>
                <w:color w:val="2F2F2F"/>
                <w:sz w:val="19"/>
                <w:szCs w:val="19"/>
              </w:rPr>
              <w:t>no</w:t>
            </w:r>
            <w:r w:rsidRPr="0027404B">
              <w:rPr>
                <w:rFonts w:ascii="Gotham" w:eastAsia="Arial" w:hAnsi="Gotham" w:cs="Arial"/>
                <w:color w:val="2F2F2F"/>
                <w:spacing w:val="-5"/>
                <w:sz w:val="19"/>
                <w:szCs w:val="19"/>
              </w:rPr>
              <w:t xml:space="preserve"> </w:t>
            </w:r>
            <w:r w:rsidRPr="0027404B">
              <w:rPr>
                <w:rFonts w:ascii="Gotham" w:eastAsia="Arial" w:hAnsi="Gotham" w:cs="Arial"/>
                <w:color w:val="2F2F2F"/>
                <w:w w:val="99"/>
                <w:sz w:val="19"/>
                <w:szCs w:val="19"/>
              </w:rPr>
              <w:t>deberán</w:t>
            </w:r>
            <w:r w:rsidRPr="0027404B">
              <w:rPr>
                <w:rFonts w:ascii="Gotham" w:eastAsia="Arial" w:hAnsi="Gotham" w:cs="Arial"/>
                <w:color w:val="2F2F2F"/>
                <w:spacing w:val="-18"/>
                <w:w w:val="99"/>
                <w:sz w:val="19"/>
                <w:szCs w:val="19"/>
              </w:rPr>
              <w:t xml:space="preserve"> </w:t>
            </w:r>
            <w:r w:rsidRPr="0027404B">
              <w:rPr>
                <w:rFonts w:ascii="Gotham" w:eastAsia="Arial" w:hAnsi="Gotham" w:cs="Arial"/>
                <w:color w:val="2F2F2F"/>
                <w:sz w:val="19"/>
                <w:szCs w:val="19"/>
              </w:rPr>
              <w:t>estar</w:t>
            </w:r>
            <w:r w:rsidRPr="0027404B">
              <w:rPr>
                <w:rFonts w:ascii="Gotham" w:eastAsia="Arial" w:hAnsi="Gotham" w:cs="Arial"/>
                <w:color w:val="2F2F2F"/>
                <w:spacing w:val="-8"/>
                <w:sz w:val="19"/>
                <w:szCs w:val="19"/>
              </w:rPr>
              <w:t xml:space="preserve"> </w:t>
            </w:r>
            <w:r w:rsidRPr="0027404B">
              <w:rPr>
                <w:rFonts w:ascii="Gotham" w:eastAsia="Arial" w:hAnsi="Gotham" w:cs="Arial"/>
                <w:color w:val="2F2F2F"/>
                <w:sz w:val="19"/>
                <w:szCs w:val="19"/>
              </w:rPr>
              <w:t>a</w:t>
            </w:r>
            <w:r w:rsidRPr="0027404B">
              <w:rPr>
                <w:rFonts w:ascii="Gotham" w:eastAsia="Arial" w:hAnsi="Gotham" w:cs="Arial"/>
                <w:color w:val="2F2F2F"/>
                <w:spacing w:val="-11"/>
                <w:sz w:val="19"/>
                <w:szCs w:val="19"/>
              </w:rPr>
              <w:t xml:space="preserve"> </w:t>
            </w:r>
            <w:r w:rsidRPr="0027404B">
              <w:rPr>
                <w:rFonts w:ascii="Gotham" w:eastAsia="Arial" w:hAnsi="Gotham" w:cs="Arial"/>
                <w:color w:val="2F2F2F"/>
                <w:sz w:val="19"/>
                <w:szCs w:val="19"/>
              </w:rPr>
              <w:t>una distancia</w:t>
            </w:r>
            <w:r w:rsidRPr="0027404B">
              <w:rPr>
                <w:rFonts w:ascii="Gotham" w:eastAsia="Arial" w:hAnsi="Gotham" w:cs="Arial"/>
                <w:color w:val="2F2F2F"/>
                <w:spacing w:val="-16"/>
                <w:sz w:val="19"/>
                <w:szCs w:val="19"/>
              </w:rPr>
              <w:t xml:space="preserve"> </w:t>
            </w:r>
            <w:r w:rsidRPr="0027404B">
              <w:rPr>
                <w:rFonts w:ascii="Gotham" w:eastAsia="Arial" w:hAnsi="Gotham" w:cs="Arial"/>
                <w:color w:val="2F2F2F"/>
                <w:sz w:val="19"/>
                <w:szCs w:val="19"/>
              </w:rPr>
              <w:t>ma</w:t>
            </w:r>
            <w:r w:rsidRPr="0027404B">
              <w:rPr>
                <w:rFonts w:ascii="Gotham" w:eastAsia="Arial" w:hAnsi="Gotham" w:cs="Arial"/>
                <w:color w:val="4F4F4F"/>
                <w:sz w:val="19"/>
                <w:szCs w:val="19"/>
              </w:rPr>
              <w:t>y</w:t>
            </w:r>
            <w:r w:rsidRPr="0027404B">
              <w:rPr>
                <w:rFonts w:ascii="Gotham" w:eastAsia="Arial" w:hAnsi="Gotham" w:cs="Arial"/>
                <w:color w:val="2F2F2F"/>
                <w:sz w:val="19"/>
                <w:szCs w:val="19"/>
              </w:rPr>
              <w:t>or</w:t>
            </w:r>
            <w:r w:rsidRPr="0027404B">
              <w:rPr>
                <w:rFonts w:ascii="Gotham" w:eastAsia="Arial" w:hAnsi="Gotham" w:cs="Arial"/>
                <w:color w:val="2F2F2F"/>
                <w:spacing w:val="-1"/>
                <w:sz w:val="19"/>
                <w:szCs w:val="19"/>
              </w:rPr>
              <w:t xml:space="preserve"> </w:t>
            </w:r>
            <w:r w:rsidRPr="0027404B">
              <w:rPr>
                <w:rFonts w:ascii="Gotham" w:eastAsia="Arial" w:hAnsi="Gotham" w:cs="Arial"/>
                <w:color w:val="2F2F2F"/>
                <w:sz w:val="19"/>
                <w:szCs w:val="19"/>
              </w:rPr>
              <w:t>a</w:t>
            </w:r>
            <w:r w:rsidRPr="0027404B">
              <w:rPr>
                <w:rFonts w:ascii="Gotham" w:eastAsia="Arial" w:hAnsi="Gotham" w:cs="Arial"/>
                <w:color w:val="2F2F2F"/>
                <w:spacing w:val="-11"/>
                <w:sz w:val="19"/>
                <w:szCs w:val="19"/>
              </w:rPr>
              <w:t xml:space="preserve"> </w:t>
            </w:r>
            <w:r w:rsidRPr="0027404B">
              <w:rPr>
                <w:rFonts w:ascii="Gotham" w:eastAsia="Arial" w:hAnsi="Gotham" w:cs="Arial"/>
                <w:color w:val="2E74B5" w:themeColor="accent1" w:themeShade="BF"/>
                <w:sz w:val="19"/>
                <w:szCs w:val="19"/>
              </w:rPr>
              <w:t>50 metros recorridos a pie de la vivienda a la que le corresponde</w:t>
            </w:r>
          </w:p>
        </w:tc>
      </w:tr>
    </w:tbl>
    <w:p w14:paraId="3A475ED7" w14:textId="77777777" w:rsidR="009B5E39" w:rsidRPr="008A4F00" w:rsidRDefault="009B5E39" w:rsidP="009B5E39">
      <w:pPr>
        <w:ind w:left="284" w:right="283"/>
        <w:jc w:val="both"/>
        <w:rPr>
          <w:rFonts w:ascii="Gotham" w:hAnsi="Gotham" w:cs="Arial"/>
          <w:sz w:val="19"/>
          <w:szCs w:val="19"/>
        </w:rPr>
      </w:pPr>
    </w:p>
    <w:p w14:paraId="3A475ED8"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I. </w:t>
      </w:r>
      <w:r>
        <w:rPr>
          <w:rFonts w:ascii="Gotham" w:hAnsi="Gotham" w:cs="Arial"/>
          <w:sz w:val="19"/>
          <w:szCs w:val="19"/>
        </w:rPr>
        <w:tab/>
      </w:r>
      <w:r w:rsidRPr="008A4F00">
        <w:rPr>
          <w:rFonts w:ascii="Gotham" w:hAnsi="Gotham" w:cs="Arial"/>
          <w:sz w:val="19"/>
          <w:szCs w:val="19"/>
        </w:rPr>
        <w:t>Se establece el valor de 2.5 para el Coeficiente de Utilización del Suelo;</w:t>
      </w:r>
    </w:p>
    <w:p w14:paraId="3A475ED9"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II. </w:t>
      </w:r>
      <w:r>
        <w:rPr>
          <w:rFonts w:ascii="Gotham" w:hAnsi="Gotham" w:cs="Arial"/>
          <w:sz w:val="19"/>
          <w:szCs w:val="19"/>
        </w:rPr>
        <w:tab/>
      </w:r>
      <w:r w:rsidRPr="008A4F00">
        <w:rPr>
          <w:rFonts w:ascii="Gotham" w:hAnsi="Gotham" w:cs="Arial"/>
          <w:sz w:val="19"/>
          <w:szCs w:val="19"/>
        </w:rPr>
        <w:t xml:space="preserve">El número máximo de unidades permitidas dentro de un lote se calculará mediante la multiplicación de la superficie del lote por el CUS (2.5) y dividiendo el resultado entre el </w:t>
      </w:r>
      <w:r w:rsidRPr="008A4F00">
        <w:rPr>
          <w:rFonts w:ascii="Gotham" w:hAnsi="Gotham" w:cs="Arial"/>
          <w:color w:val="2E74B5" w:themeColor="accent1" w:themeShade="BF"/>
          <w:sz w:val="19"/>
          <w:szCs w:val="19"/>
        </w:rPr>
        <w:t>IDE (90).</w:t>
      </w:r>
      <w:r w:rsidRPr="008A4F00">
        <w:rPr>
          <w:rFonts w:ascii="Gotham" w:hAnsi="Gotham" w:cs="Arial"/>
          <w:sz w:val="19"/>
          <w:szCs w:val="19"/>
        </w:rPr>
        <w:t xml:space="preserve"> La superficie de vialidades </w:t>
      </w:r>
      <w:r w:rsidRPr="008A4F00">
        <w:rPr>
          <w:rFonts w:ascii="Gotham" w:hAnsi="Gotham" w:cs="Arial"/>
          <w:color w:val="2E74B5" w:themeColor="accent1" w:themeShade="BF"/>
          <w:sz w:val="19"/>
          <w:szCs w:val="19"/>
        </w:rPr>
        <w:t>públicas o privadas</w:t>
      </w:r>
      <w:r w:rsidRPr="008A4F00">
        <w:rPr>
          <w:rFonts w:ascii="Gotham" w:hAnsi="Gotham" w:cs="Arial"/>
          <w:sz w:val="19"/>
          <w:szCs w:val="19"/>
        </w:rPr>
        <w:t>,</w:t>
      </w:r>
      <w:r w:rsidR="007C2F8D">
        <w:rPr>
          <w:rFonts w:ascii="Gotham" w:hAnsi="Gotham" w:cs="Arial"/>
          <w:sz w:val="19"/>
          <w:szCs w:val="19"/>
        </w:rPr>
        <w:t xml:space="preserve"> </w:t>
      </w:r>
      <w:r w:rsidRPr="008A4F00">
        <w:rPr>
          <w:rFonts w:ascii="Gotham" w:hAnsi="Gotham" w:cs="Arial"/>
          <w:sz w:val="19"/>
          <w:szCs w:val="19"/>
        </w:rPr>
        <w:t>áreas de restricción y ACD no podrán ser consideradas para la cuantificación del IDE;</w:t>
      </w:r>
    </w:p>
    <w:p w14:paraId="3A475EDA"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III. </w:t>
      </w:r>
      <w:r>
        <w:rPr>
          <w:rFonts w:ascii="Gotham" w:hAnsi="Gotham" w:cs="Arial"/>
          <w:sz w:val="19"/>
          <w:szCs w:val="19"/>
        </w:rPr>
        <w:tab/>
      </w:r>
      <w:r w:rsidRPr="008A4F00">
        <w:rPr>
          <w:rFonts w:ascii="Gotham" w:hAnsi="Gotham" w:cs="Arial"/>
          <w:sz w:val="19"/>
          <w:szCs w:val="19"/>
        </w:rPr>
        <w:t xml:space="preserve">La restricción frontal para los predios que se encuentren dentro de los perímetros de contención urbana, </w:t>
      </w:r>
      <w:r w:rsidRPr="008A4F00">
        <w:rPr>
          <w:rFonts w:ascii="Gotham" w:hAnsi="Gotham" w:cs="Arial"/>
          <w:color w:val="2E74B5" w:themeColor="accent1" w:themeShade="BF"/>
          <w:sz w:val="19"/>
          <w:szCs w:val="19"/>
        </w:rPr>
        <w:t>se dictaminara por la Dirección de Control de la Edificación;</w:t>
      </w:r>
    </w:p>
    <w:p w14:paraId="3A475EDB"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IV. </w:t>
      </w:r>
      <w:r>
        <w:rPr>
          <w:rFonts w:ascii="Gotham" w:hAnsi="Gotham" w:cs="Arial"/>
          <w:sz w:val="19"/>
          <w:szCs w:val="19"/>
        </w:rPr>
        <w:tab/>
      </w:r>
      <w:r w:rsidRPr="008A4F00">
        <w:rPr>
          <w:rFonts w:ascii="Gotham" w:hAnsi="Gotham" w:cs="Arial"/>
          <w:sz w:val="19"/>
          <w:szCs w:val="19"/>
        </w:rPr>
        <w:t>La restricción frontal para los predios ubicados fuera de los perímetros de contención urbana será de acuerdo al cuadro 3; La restricción posterior será de 4.00 metros lineales, aplicable para cinco niveles.</w:t>
      </w:r>
    </w:p>
    <w:p w14:paraId="3A475EDC"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V. </w:t>
      </w:r>
      <w:r>
        <w:rPr>
          <w:rFonts w:ascii="Gotham" w:hAnsi="Gotham" w:cs="Arial"/>
          <w:sz w:val="19"/>
          <w:szCs w:val="19"/>
        </w:rPr>
        <w:tab/>
      </w:r>
      <w:r w:rsidRPr="008A4F00">
        <w:rPr>
          <w:rFonts w:ascii="Gotham" w:hAnsi="Gotham" w:cs="Arial"/>
          <w:sz w:val="19"/>
          <w:szCs w:val="19"/>
        </w:rPr>
        <w:t>Cuando la edificación exceda el quinto nivel, la restricción posterior será un tercio de la altura total del edificio. En caso de que el predio de la colindancia posterior se encuentre a un nivel más bajo, se deberá aumentar dicha restricción 50 centímetros por cada metro de desnivel.</w:t>
      </w:r>
    </w:p>
    <w:p w14:paraId="3A475EDD"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VI. </w:t>
      </w:r>
      <w:r>
        <w:rPr>
          <w:rFonts w:ascii="Gotham" w:hAnsi="Gotham" w:cs="Arial"/>
          <w:sz w:val="19"/>
          <w:szCs w:val="19"/>
        </w:rPr>
        <w:tab/>
      </w:r>
      <w:r w:rsidRPr="008A4F00">
        <w:rPr>
          <w:rFonts w:ascii="Gotham" w:hAnsi="Gotham" w:cs="Arial"/>
          <w:sz w:val="19"/>
          <w:szCs w:val="19"/>
        </w:rPr>
        <w:t xml:space="preserve">Para los predios que se encuentren dentro de los perímetros de contención urbana, por lo menos el 75% de las viviendas deberán contar con un cajón de estacionamiento estrictamente asignado. </w:t>
      </w:r>
      <w:r w:rsidRPr="008A4F00">
        <w:rPr>
          <w:rFonts w:ascii="Gotham" w:hAnsi="Gotham" w:cs="Arial"/>
          <w:color w:val="2E74B5" w:themeColor="accent1" w:themeShade="BF"/>
          <w:sz w:val="19"/>
          <w:szCs w:val="19"/>
        </w:rPr>
        <w:t xml:space="preserve">En caso de que el costo de la vivienda rebase a 60 salarios mínimos mensuales y/o la sección vial no tenga una jerarquía colectora o mayor y/o ésta tenga una sección menor a 15 metros se deberá garantizar un cajón por vivienda. </w:t>
      </w:r>
      <w:r w:rsidRPr="008A4F00">
        <w:rPr>
          <w:rFonts w:ascii="Gotham" w:hAnsi="Gotham" w:cs="Arial"/>
          <w:sz w:val="19"/>
          <w:szCs w:val="19"/>
        </w:rPr>
        <w:t xml:space="preserve">Cada cajón deberá tener acceso libre y garantizar sus patios de maniobras de acuerdo con el Título Quinto, Capítulo Quinto, "Estacionamientos" del Reglamento Estatal de Zonificación de Jalisco. Los locales comerciales y de servicios no estarán obligados a garantizar cajones de estacionamiento </w:t>
      </w:r>
      <w:r w:rsidRPr="008A4F00">
        <w:rPr>
          <w:rFonts w:ascii="Gotham" w:hAnsi="Gotham" w:cs="Arial"/>
          <w:color w:val="2E74B5" w:themeColor="accent1" w:themeShade="BF"/>
          <w:sz w:val="19"/>
          <w:szCs w:val="19"/>
        </w:rPr>
        <w:t xml:space="preserve">excepto cuando su nivel de servicio sea superior al vecinal y/o </w:t>
      </w:r>
      <w:r w:rsidRPr="008A4F00">
        <w:rPr>
          <w:rFonts w:ascii="Gotham" w:hAnsi="Gotham" w:cs="Arial"/>
          <w:sz w:val="19"/>
          <w:szCs w:val="19"/>
        </w:rPr>
        <w:t>cuando se apeguen a lo señalado en el Artículo 18 de las presentes Normas Integrales;</w:t>
      </w:r>
    </w:p>
    <w:p w14:paraId="3A475EDE"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VII.</w:t>
      </w:r>
      <w:r w:rsidRPr="008A4F00">
        <w:rPr>
          <w:rFonts w:ascii="Gotham" w:hAnsi="Gotham" w:cs="Arial"/>
          <w:color w:val="FF0000"/>
          <w:sz w:val="19"/>
          <w:szCs w:val="19"/>
        </w:rPr>
        <w:t xml:space="preserve"> </w:t>
      </w:r>
      <w:r>
        <w:rPr>
          <w:rFonts w:ascii="Gotham" w:hAnsi="Gotham" w:cs="Arial"/>
          <w:color w:val="FF0000"/>
          <w:sz w:val="19"/>
          <w:szCs w:val="19"/>
        </w:rPr>
        <w:tab/>
      </w:r>
      <w:r w:rsidRPr="008A4F00">
        <w:rPr>
          <w:rFonts w:ascii="Gotham" w:hAnsi="Gotham" w:cs="Arial"/>
          <w:sz w:val="19"/>
          <w:szCs w:val="19"/>
        </w:rPr>
        <w:t>Para los predios que se encuentren fuera del perímetro de contención deberán garantizar 1 cajón de estacionamiento por vivienda</w:t>
      </w:r>
    </w:p>
    <w:p w14:paraId="3A475EDF"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VIII. </w:t>
      </w:r>
      <w:r>
        <w:rPr>
          <w:rFonts w:ascii="Gotham" w:hAnsi="Gotham" w:cs="Arial"/>
          <w:sz w:val="19"/>
          <w:szCs w:val="19"/>
        </w:rPr>
        <w:tab/>
      </w:r>
      <w:r w:rsidRPr="008A4F00">
        <w:rPr>
          <w:rFonts w:ascii="Gotham" w:hAnsi="Gotham" w:cs="Arial"/>
          <w:sz w:val="19"/>
          <w:szCs w:val="19"/>
        </w:rPr>
        <w:t xml:space="preserve">Para todos los casos, por lo menos, el </w:t>
      </w:r>
      <w:r w:rsidRPr="008A4F00">
        <w:rPr>
          <w:rFonts w:ascii="Gotham" w:hAnsi="Gotham" w:cs="Arial"/>
          <w:color w:val="2E74B5" w:themeColor="accent1" w:themeShade="BF"/>
          <w:sz w:val="19"/>
          <w:szCs w:val="19"/>
        </w:rPr>
        <w:t xml:space="preserve">15% </w:t>
      </w:r>
      <w:r w:rsidRPr="008A4F00">
        <w:rPr>
          <w:rFonts w:ascii="Gotham" w:hAnsi="Gotham" w:cs="Arial"/>
          <w:sz w:val="19"/>
          <w:szCs w:val="19"/>
        </w:rPr>
        <w:t xml:space="preserve">de las viviendas deberán contar con un cajón de estacionamiento para bicicletas y </w:t>
      </w:r>
      <w:r w:rsidRPr="008A4F00">
        <w:rPr>
          <w:rFonts w:ascii="Gotham" w:hAnsi="Gotham" w:cs="Arial"/>
          <w:color w:val="2E74B5" w:themeColor="accent1" w:themeShade="BF"/>
          <w:sz w:val="19"/>
          <w:szCs w:val="19"/>
        </w:rPr>
        <w:t xml:space="preserve">otro 15% de las viviendas deberá contar con un cajón de estacionamiento para </w:t>
      </w:r>
      <w:r w:rsidRPr="008A4F00">
        <w:rPr>
          <w:rFonts w:ascii="Gotham" w:hAnsi="Gotham" w:cs="Arial"/>
          <w:sz w:val="19"/>
          <w:szCs w:val="19"/>
        </w:rPr>
        <w:t>motocicletas;</w:t>
      </w:r>
    </w:p>
    <w:p w14:paraId="3A475EE0"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IX. </w:t>
      </w:r>
      <w:r>
        <w:rPr>
          <w:rFonts w:ascii="Gotham" w:hAnsi="Gotham" w:cs="Arial"/>
          <w:sz w:val="19"/>
          <w:szCs w:val="19"/>
        </w:rPr>
        <w:tab/>
      </w:r>
      <w:r w:rsidRPr="008A4F00">
        <w:rPr>
          <w:rFonts w:ascii="Gotham" w:hAnsi="Gotham" w:cs="Arial"/>
          <w:color w:val="2E74B5" w:themeColor="accent1" w:themeShade="BF"/>
          <w:sz w:val="19"/>
          <w:szCs w:val="19"/>
        </w:rPr>
        <w:t xml:space="preserve">Se permitirán hasta cuatro niveles sin elevador. En caso de proponer más de cuatro niveles, la edificación deberá contar con elevador. </w:t>
      </w:r>
      <w:r w:rsidRPr="008A4F00">
        <w:rPr>
          <w:rFonts w:ascii="Gotham" w:hAnsi="Gotham" w:cs="Arial"/>
          <w:sz w:val="19"/>
          <w:szCs w:val="19"/>
        </w:rPr>
        <w:t>Se podrá considerar extra un cubo de escaleras en la azotea, excluyendo su superficie de la cuantificación del CUS;</w:t>
      </w:r>
    </w:p>
    <w:p w14:paraId="3A475EE1" w14:textId="77777777" w:rsidR="009B5E39" w:rsidRPr="008A4F00" w:rsidRDefault="009B5E39" w:rsidP="009B5E39">
      <w:pPr>
        <w:ind w:left="1134" w:right="283" w:hanging="850"/>
        <w:jc w:val="both"/>
        <w:rPr>
          <w:rFonts w:ascii="Gotham" w:hAnsi="Gotham" w:cs="Arial"/>
          <w:sz w:val="19"/>
          <w:szCs w:val="19"/>
        </w:rPr>
      </w:pPr>
      <w:r w:rsidRPr="008A4F00">
        <w:rPr>
          <w:rFonts w:ascii="Gotham" w:hAnsi="Gotham" w:cs="Arial"/>
          <w:sz w:val="19"/>
          <w:szCs w:val="19"/>
        </w:rPr>
        <w:t xml:space="preserve">X. </w:t>
      </w:r>
      <w:r>
        <w:rPr>
          <w:rFonts w:ascii="Gotham" w:hAnsi="Gotham" w:cs="Arial"/>
          <w:sz w:val="19"/>
          <w:szCs w:val="19"/>
        </w:rPr>
        <w:tab/>
      </w:r>
      <w:r w:rsidRPr="008A4F00">
        <w:rPr>
          <w:rFonts w:ascii="Gotham" w:hAnsi="Gotham" w:cs="Arial"/>
          <w:sz w:val="19"/>
          <w:szCs w:val="19"/>
        </w:rPr>
        <w:t>Las ACD se cuantificarán de acuerdo con lo señalado en el Código Urbano para el Estado de Jalisco;</w:t>
      </w:r>
    </w:p>
    <w:p w14:paraId="3A475EE2" w14:textId="77777777" w:rsidR="009B5E39" w:rsidRPr="008A4F00" w:rsidRDefault="009B5E39" w:rsidP="009B5E39">
      <w:pPr>
        <w:ind w:left="284" w:right="283"/>
        <w:jc w:val="both"/>
        <w:rPr>
          <w:rFonts w:ascii="Gotham" w:hAnsi="Gotham" w:cs="Arial"/>
          <w:b/>
          <w:sz w:val="19"/>
          <w:szCs w:val="19"/>
        </w:rPr>
      </w:pPr>
    </w:p>
    <w:p w14:paraId="3A475EE3" w14:textId="77777777" w:rsidR="009B5E39" w:rsidRDefault="009B5E39" w:rsidP="009B5E39">
      <w:pPr>
        <w:ind w:left="284" w:right="283"/>
        <w:jc w:val="both"/>
        <w:rPr>
          <w:rFonts w:ascii="Gotham" w:hAnsi="Gotham" w:cs="Arial"/>
          <w:sz w:val="19"/>
          <w:szCs w:val="19"/>
        </w:rPr>
      </w:pPr>
      <w:r w:rsidRPr="008A4F00">
        <w:rPr>
          <w:rFonts w:ascii="Gotham" w:hAnsi="Gotham" w:cs="Arial"/>
          <w:b/>
          <w:sz w:val="19"/>
          <w:szCs w:val="19"/>
        </w:rPr>
        <w:t>Artículo 9.</w:t>
      </w:r>
      <w:r w:rsidRPr="008A4F00">
        <w:rPr>
          <w:rFonts w:ascii="Gotham" w:hAnsi="Gotham" w:cs="Arial"/>
          <w:sz w:val="19"/>
          <w:szCs w:val="19"/>
        </w:rPr>
        <w:t xml:space="preserve"> Para ambas modalidades de redensificación aplicarán los siguientes lineamientos:</w:t>
      </w:r>
    </w:p>
    <w:p w14:paraId="3A475EE4" w14:textId="77777777" w:rsidR="009B5E39" w:rsidRPr="008A4F00" w:rsidRDefault="009B5E39" w:rsidP="009B5E39">
      <w:pPr>
        <w:ind w:left="284" w:right="283"/>
        <w:jc w:val="both"/>
        <w:rPr>
          <w:rFonts w:ascii="Gotham" w:hAnsi="Gotham" w:cs="Arial"/>
          <w:sz w:val="19"/>
          <w:szCs w:val="19"/>
        </w:rPr>
      </w:pPr>
    </w:p>
    <w:p w14:paraId="3A475EE5"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I. </w:t>
      </w:r>
      <w:r>
        <w:rPr>
          <w:rFonts w:ascii="Gotham" w:hAnsi="Gotham" w:cs="Arial"/>
          <w:sz w:val="19"/>
          <w:szCs w:val="19"/>
        </w:rPr>
        <w:tab/>
      </w:r>
      <w:r w:rsidRPr="008A4F00">
        <w:rPr>
          <w:rFonts w:ascii="Gotham" w:hAnsi="Gotham" w:cs="Arial"/>
          <w:sz w:val="19"/>
          <w:szCs w:val="19"/>
        </w:rPr>
        <w:t>Se contemplará un acceso peatonal mínimo de 1.20 metros de ancho, que permita el ingreso directo a la vivienda, esto independientemente a los cajones de estacionamiento;</w:t>
      </w:r>
    </w:p>
    <w:p w14:paraId="3A475EE6"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lastRenderedPageBreak/>
        <w:t xml:space="preserve">II. </w:t>
      </w:r>
      <w:r>
        <w:rPr>
          <w:rFonts w:ascii="Gotham" w:hAnsi="Gotham" w:cs="Arial"/>
          <w:sz w:val="19"/>
          <w:szCs w:val="19"/>
        </w:rPr>
        <w:tab/>
      </w:r>
      <w:r w:rsidRPr="008A4F00">
        <w:rPr>
          <w:rFonts w:ascii="Gotham" w:hAnsi="Gotham" w:cs="Arial"/>
          <w:sz w:val="19"/>
          <w:szCs w:val="19"/>
        </w:rPr>
        <w:t>Deberán coadyuvar a la imagen urbana, ocultando las instalaciones diversas, tinacos y escaleras;</w:t>
      </w:r>
    </w:p>
    <w:p w14:paraId="3A475EE7" w14:textId="77777777" w:rsidR="009B5E39" w:rsidRPr="008A4F00" w:rsidRDefault="009B5E39" w:rsidP="009B5E39">
      <w:pPr>
        <w:spacing w:after="120"/>
        <w:ind w:left="1134" w:right="283" w:hanging="850"/>
        <w:jc w:val="both"/>
        <w:rPr>
          <w:rFonts w:ascii="Gotham" w:hAnsi="Gotham" w:cs="Arial"/>
          <w:sz w:val="19"/>
          <w:szCs w:val="19"/>
        </w:rPr>
      </w:pPr>
      <w:r w:rsidRPr="008A4F00">
        <w:rPr>
          <w:rFonts w:ascii="Gotham" w:hAnsi="Gotham" w:cs="Arial"/>
          <w:sz w:val="19"/>
          <w:szCs w:val="19"/>
        </w:rPr>
        <w:t xml:space="preserve">III. </w:t>
      </w:r>
      <w:r>
        <w:rPr>
          <w:rFonts w:ascii="Gotham" w:hAnsi="Gotham" w:cs="Arial"/>
          <w:sz w:val="19"/>
          <w:szCs w:val="19"/>
        </w:rPr>
        <w:tab/>
      </w:r>
      <w:r w:rsidRPr="008A4F00">
        <w:rPr>
          <w:rFonts w:ascii="Gotham" w:hAnsi="Gotham" w:cs="Arial"/>
          <w:sz w:val="19"/>
          <w:szCs w:val="19"/>
        </w:rPr>
        <w:t>En los patios de ventilación se permitirá la reducción de uno de sus lados hasta un 15% compensándolo en el otro lado. Se puede considerar dicho beneficio en los conjuntos habitacionales que cuentan con patios adosados que pertenece diversas unidades privativas, pudiendo contar con muros divisorios con una altura máxima de 2.00 metros.</w:t>
      </w:r>
    </w:p>
    <w:p w14:paraId="3A475EE8" w14:textId="77777777" w:rsidR="009B5E39" w:rsidRPr="008A4F00" w:rsidRDefault="009B5E39" w:rsidP="009B5E39">
      <w:pPr>
        <w:spacing w:after="120"/>
        <w:ind w:left="1134" w:right="283" w:hanging="850"/>
        <w:jc w:val="both"/>
        <w:rPr>
          <w:rFonts w:ascii="Gotham" w:hAnsi="Gotham" w:cs="Arial"/>
          <w:color w:val="2E74B5" w:themeColor="accent1" w:themeShade="BF"/>
          <w:sz w:val="19"/>
          <w:szCs w:val="19"/>
        </w:rPr>
      </w:pPr>
      <w:r w:rsidRPr="008A4F00">
        <w:rPr>
          <w:rFonts w:ascii="Gotham" w:hAnsi="Gotham" w:cs="Arial"/>
          <w:color w:val="2E74B5" w:themeColor="accent1" w:themeShade="BF"/>
          <w:sz w:val="19"/>
          <w:szCs w:val="19"/>
        </w:rPr>
        <w:t xml:space="preserve">IV. </w:t>
      </w:r>
      <w:r>
        <w:rPr>
          <w:rFonts w:ascii="Gotham" w:hAnsi="Gotham" w:cs="Arial"/>
          <w:color w:val="2E74B5" w:themeColor="accent1" w:themeShade="BF"/>
          <w:sz w:val="19"/>
          <w:szCs w:val="19"/>
        </w:rPr>
        <w:tab/>
      </w:r>
      <w:r w:rsidRPr="008A4F00">
        <w:rPr>
          <w:rFonts w:ascii="Gotham" w:hAnsi="Gotham" w:cs="Arial"/>
          <w:color w:val="2E74B5" w:themeColor="accent1" w:themeShade="BF"/>
          <w:sz w:val="19"/>
          <w:szCs w:val="19"/>
        </w:rPr>
        <w:t>Para el cálculo del I.D.E. se deberá apegar a lo establecido en el Reglamento de Edificación de Tonalá, Jalisco.</w:t>
      </w:r>
    </w:p>
    <w:p w14:paraId="3A475EE9" w14:textId="77777777" w:rsidR="009B5E39" w:rsidRPr="008A4F00" w:rsidRDefault="009B5E39" w:rsidP="009B5E39">
      <w:pPr>
        <w:ind w:left="1134" w:right="283" w:hanging="850"/>
        <w:jc w:val="both"/>
        <w:rPr>
          <w:rFonts w:ascii="Gotham" w:hAnsi="Gotham" w:cs="Arial"/>
          <w:sz w:val="19"/>
          <w:szCs w:val="19"/>
        </w:rPr>
      </w:pPr>
      <w:r w:rsidRPr="008A4F00">
        <w:rPr>
          <w:rFonts w:ascii="Gotham" w:hAnsi="Gotham" w:cs="Arial"/>
          <w:sz w:val="19"/>
          <w:szCs w:val="19"/>
        </w:rPr>
        <w:t xml:space="preserve">V. </w:t>
      </w:r>
      <w:r>
        <w:rPr>
          <w:rFonts w:ascii="Gotham" w:hAnsi="Gotham" w:cs="Arial"/>
          <w:sz w:val="19"/>
          <w:szCs w:val="19"/>
        </w:rPr>
        <w:tab/>
      </w:r>
      <w:r w:rsidRPr="008A4F00">
        <w:rPr>
          <w:rFonts w:ascii="Gotham" w:hAnsi="Gotham" w:cs="Arial"/>
          <w:sz w:val="19"/>
          <w:szCs w:val="19"/>
        </w:rPr>
        <w:t>Los sótanos no se cuantificarán como parte del CUS. Así mismo, para que pueda ser considerado como sótano, la altura máxima desde el nivel medio de la banqueta hasta el nivel de piso terminado de la planta baja será de 1.20 metros. Los sótanos no podrán ser utilizados como unidades privativas habitacionales.</w:t>
      </w:r>
    </w:p>
    <w:tbl>
      <w:tblPr>
        <w:tblpPr w:leftFromText="141" w:rightFromText="141" w:vertAnchor="text" w:horzAnchor="page" w:tblpXSpec="center" w:tblpY="352"/>
        <w:tblW w:w="0" w:type="auto"/>
        <w:tblLayout w:type="fixed"/>
        <w:tblCellMar>
          <w:left w:w="0" w:type="dxa"/>
          <w:right w:w="0" w:type="dxa"/>
        </w:tblCellMar>
        <w:tblLook w:val="01E0" w:firstRow="1" w:lastRow="1" w:firstColumn="1" w:lastColumn="1" w:noHBand="0" w:noVBand="0"/>
      </w:tblPr>
      <w:tblGrid>
        <w:gridCol w:w="3500"/>
        <w:gridCol w:w="2420"/>
      </w:tblGrid>
      <w:tr w:rsidR="009B5E39" w:rsidRPr="00BA6DCB" w14:paraId="3A475EEB" w14:textId="77777777" w:rsidTr="00190E4A">
        <w:trPr>
          <w:trHeight w:hRule="exact" w:val="380"/>
        </w:trPr>
        <w:tc>
          <w:tcPr>
            <w:tcW w:w="592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A475EEA" w14:textId="3343296F" w:rsidR="009B5E39" w:rsidRPr="00BA6DCB" w:rsidRDefault="009B5E39" w:rsidP="00190E4A">
            <w:pPr>
              <w:spacing w:before="71"/>
              <w:ind w:left="137"/>
              <w:jc w:val="center"/>
              <w:rPr>
                <w:rFonts w:ascii="Gotham" w:eastAsia="Arial" w:hAnsi="Gotham" w:cs="Arial"/>
                <w:sz w:val="19"/>
                <w:szCs w:val="19"/>
              </w:rPr>
            </w:pPr>
            <w:r w:rsidRPr="00BA6DCB">
              <w:rPr>
                <w:rFonts w:ascii="Gotham" w:eastAsia="Arial" w:hAnsi="Gotham" w:cs="Arial"/>
                <w:color w:val="FDFDFD"/>
                <w:sz w:val="19"/>
                <w:szCs w:val="19"/>
              </w:rPr>
              <w:t>Cuadro</w:t>
            </w:r>
            <w:r w:rsidRPr="00BA6DCB">
              <w:rPr>
                <w:rFonts w:ascii="Gotham" w:eastAsia="Arial" w:hAnsi="Gotham" w:cs="Arial"/>
                <w:color w:val="FDFDFD"/>
                <w:spacing w:val="-19"/>
                <w:sz w:val="19"/>
                <w:szCs w:val="19"/>
              </w:rPr>
              <w:t xml:space="preserve"> </w:t>
            </w:r>
            <w:r w:rsidRPr="00BA6DCB">
              <w:rPr>
                <w:rFonts w:ascii="Gotham" w:eastAsia="Arial" w:hAnsi="Gotham" w:cs="Arial"/>
                <w:color w:val="FDFDFD"/>
                <w:sz w:val="19"/>
                <w:szCs w:val="19"/>
              </w:rPr>
              <w:t xml:space="preserve">3. </w:t>
            </w:r>
            <w:r w:rsidR="00281C67" w:rsidRPr="00BA6DCB">
              <w:rPr>
                <w:rFonts w:ascii="Gotham" w:eastAsia="Arial" w:hAnsi="Gotham" w:cs="Arial"/>
                <w:color w:val="FDFDFD"/>
                <w:sz w:val="19"/>
                <w:szCs w:val="19"/>
              </w:rPr>
              <w:t>Restricciones</w:t>
            </w:r>
            <w:r w:rsidRPr="00BA6DCB">
              <w:rPr>
                <w:rFonts w:ascii="Gotham" w:eastAsia="Arial" w:hAnsi="Gotham" w:cs="Arial"/>
                <w:color w:val="FDFDFD"/>
                <w:spacing w:val="-27"/>
                <w:sz w:val="19"/>
                <w:szCs w:val="19"/>
              </w:rPr>
              <w:t xml:space="preserve"> </w:t>
            </w:r>
            <w:r w:rsidRPr="00BA6DCB">
              <w:rPr>
                <w:rFonts w:ascii="Gotham" w:eastAsia="Arial" w:hAnsi="Gotham" w:cs="Arial"/>
                <w:color w:val="FDFDFD"/>
                <w:sz w:val="19"/>
                <w:szCs w:val="19"/>
              </w:rPr>
              <w:t>frontales</w:t>
            </w:r>
          </w:p>
        </w:tc>
      </w:tr>
      <w:tr w:rsidR="009B5E39" w:rsidRPr="00BA6DCB" w14:paraId="3A475EEE" w14:textId="77777777" w:rsidTr="00190E4A">
        <w:trPr>
          <w:trHeight w:hRule="exact" w:val="636"/>
        </w:trPr>
        <w:tc>
          <w:tcPr>
            <w:tcW w:w="3500" w:type="dxa"/>
            <w:tcBorders>
              <w:top w:val="nil"/>
              <w:left w:val="single" w:sz="8" w:space="0" w:color="343434"/>
              <w:bottom w:val="single" w:sz="8" w:space="0" w:color="343434"/>
              <w:right w:val="single" w:sz="4" w:space="0" w:color="auto"/>
            </w:tcBorders>
            <w:shd w:val="clear" w:color="auto" w:fill="D9D9D9" w:themeFill="background1" w:themeFillShade="D9"/>
            <w:vAlign w:val="center"/>
          </w:tcPr>
          <w:p w14:paraId="3A475EEC" w14:textId="77777777" w:rsidR="009B5E39" w:rsidRPr="00BA6DCB" w:rsidRDefault="009B5E39" w:rsidP="00190E4A">
            <w:pPr>
              <w:ind w:left="137"/>
              <w:jc w:val="center"/>
              <w:rPr>
                <w:rFonts w:ascii="Gotham" w:eastAsia="Arial" w:hAnsi="Gotham" w:cs="Arial"/>
                <w:sz w:val="19"/>
                <w:szCs w:val="19"/>
              </w:rPr>
            </w:pPr>
            <w:r w:rsidRPr="00BA6DCB">
              <w:rPr>
                <w:rFonts w:ascii="Gotham" w:eastAsia="Arial" w:hAnsi="Gotham" w:cs="Arial"/>
                <w:color w:val="343434"/>
                <w:sz w:val="19"/>
                <w:szCs w:val="19"/>
              </w:rPr>
              <w:t>TIPO</w:t>
            </w:r>
            <w:r w:rsidRPr="00BA6DCB">
              <w:rPr>
                <w:rFonts w:ascii="Gotham" w:eastAsia="Arial" w:hAnsi="Gotham" w:cs="Arial"/>
                <w:color w:val="343434"/>
                <w:spacing w:val="-26"/>
                <w:sz w:val="19"/>
                <w:szCs w:val="19"/>
              </w:rPr>
              <w:t xml:space="preserve"> </w:t>
            </w:r>
            <w:r w:rsidRPr="00BA6DCB">
              <w:rPr>
                <w:rFonts w:ascii="Gotham" w:eastAsia="Arial" w:hAnsi="Gotham" w:cs="Arial"/>
                <w:color w:val="343434"/>
                <w:w w:val="86"/>
                <w:sz w:val="19"/>
                <w:szCs w:val="19"/>
              </w:rPr>
              <w:t>DE</w:t>
            </w:r>
            <w:r w:rsidRPr="00BA6DCB">
              <w:rPr>
                <w:rFonts w:ascii="Gotham" w:eastAsia="Arial" w:hAnsi="Gotham" w:cs="Arial"/>
                <w:color w:val="343434"/>
                <w:spacing w:val="2"/>
                <w:w w:val="86"/>
                <w:sz w:val="19"/>
                <w:szCs w:val="19"/>
              </w:rPr>
              <w:t xml:space="preserve"> </w:t>
            </w:r>
            <w:r w:rsidRPr="00BA6DCB">
              <w:rPr>
                <w:rFonts w:ascii="Gotham" w:eastAsia="Arial" w:hAnsi="Gotham" w:cs="Arial"/>
                <w:color w:val="343434"/>
                <w:sz w:val="19"/>
                <w:szCs w:val="19"/>
              </w:rPr>
              <w:t>VIALIDAD</w:t>
            </w: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75EED" w14:textId="77777777" w:rsidR="009B5E39" w:rsidRPr="00BA6DCB" w:rsidRDefault="009B5E39" w:rsidP="00190E4A">
            <w:pPr>
              <w:spacing w:before="49"/>
              <w:ind w:left="137" w:right="341"/>
              <w:jc w:val="center"/>
              <w:rPr>
                <w:rFonts w:ascii="Gotham" w:eastAsia="Arial" w:hAnsi="Gotham" w:cs="Arial"/>
                <w:sz w:val="19"/>
                <w:szCs w:val="19"/>
              </w:rPr>
            </w:pPr>
            <w:r w:rsidRPr="00BA6DCB">
              <w:rPr>
                <w:rFonts w:ascii="Gotham" w:eastAsia="Arial" w:hAnsi="Gotham" w:cs="Arial"/>
                <w:color w:val="343434"/>
                <w:w w:val="89"/>
                <w:sz w:val="19"/>
                <w:szCs w:val="19"/>
              </w:rPr>
              <w:t>Restricciones frontales (MTS)</w:t>
            </w:r>
          </w:p>
        </w:tc>
      </w:tr>
      <w:tr w:rsidR="009B5E39" w:rsidRPr="00BA6DCB" w14:paraId="3A475EF1" w14:textId="77777777" w:rsidTr="00190E4A">
        <w:trPr>
          <w:trHeight w:hRule="exact" w:val="300"/>
        </w:trPr>
        <w:tc>
          <w:tcPr>
            <w:tcW w:w="3500" w:type="dxa"/>
            <w:tcBorders>
              <w:top w:val="single" w:sz="8" w:space="0" w:color="343434"/>
              <w:left w:val="single" w:sz="8" w:space="0" w:color="343434"/>
              <w:bottom w:val="single" w:sz="8" w:space="0" w:color="343434"/>
              <w:right w:val="single" w:sz="4" w:space="0" w:color="auto"/>
            </w:tcBorders>
            <w:vAlign w:val="center"/>
          </w:tcPr>
          <w:p w14:paraId="3A475EEF" w14:textId="77777777" w:rsidR="009B5E39" w:rsidRPr="00BA6DCB" w:rsidRDefault="009B5E39" w:rsidP="00190E4A">
            <w:pPr>
              <w:spacing w:before="60" w:after="60"/>
              <w:ind w:left="112"/>
              <w:rPr>
                <w:rFonts w:ascii="Gotham" w:eastAsia="Arial" w:hAnsi="Gotham" w:cs="Arial"/>
                <w:sz w:val="19"/>
                <w:szCs w:val="19"/>
              </w:rPr>
            </w:pPr>
            <w:r w:rsidRPr="00BA6DCB">
              <w:rPr>
                <w:rFonts w:ascii="Gotham" w:eastAsia="Arial" w:hAnsi="Gotham" w:cs="Arial"/>
                <w:color w:val="343434"/>
                <w:w w:val="90"/>
                <w:position w:val="-1"/>
                <w:sz w:val="19"/>
                <w:szCs w:val="19"/>
              </w:rPr>
              <w:t>PRINCIPAL</w:t>
            </w:r>
            <w:r w:rsidRPr="00BA6DCB">
              <w:rPr>
                <w:rFonts w:ascii="Gotham" w:eastAsia="Arial" w:hAnsi="Gotham" w:cs="Arial"/>
                <w:color w:val="343434"/>
                <w:spacing w:val="-40"/>
                <w:position w:val="-1"/>
                <w:sz w:val="19"/>
                <w:szCs w:val="19"/>
              </w:rPr>
              <w:t xml:space="preserve"> </w:t>
            </w:r>
            <w:r w:rsidRPr="00BA6DCB">
              <w:rPr>
                <w:rFonts w:ascii="Gotham" w:eastAsia="Arial" w:hAnsi="Gotham" w:cs="Arial"/>
                <w:color w:val="343434"/>
                <w:position w:val="-1"/>
                <w:sz w:val="19"/>
                <w:szCs w:val="19"/>
              </w:rPr>
              <w:t>(VP)</w:t>
            </w:r>
          </w:p>
        </w:tc>
        <w:tc>
          <w:tcPr>
            <w:tcW w:w="2420" w:type="dxa"/>
            <w:tcBorders>
              <w:top w:val="single" w:sz="4" w:space="0" w:color="auto"/>
              <w:left w:val="single" w:sz="4" w:space="0" w:color="auto"/>
              <w:bottom w:val="single" w:sz="4" w:space="0" w:color="auto"/>
              <w:right w:val="single" w:sz="4" w:space="0" w:color="auto"/>
            </w:tcBorders>
            <w:vAlign w:val="center"/>
          </w:tcPr>
          <w:p w14:paraId="3A475EF0" w14:textId="77777777" w:rsidR="009B5E39" w:rsidRPr="00BA6DCB" w:rsidRDefault="009B5E39" w:rsidP="00190E4A">
            <w:pPr>
              <w:spacing w:before="60" w:after="60"/>
              <w:ind w:left="1125" w:right="1073"/>
              <w:jc w:val="center"/>
              <w:rPr>
                <w:rFonts w:ascii="Gotham" w:hAnsi="Gotham" w:cs="Arial"/>
                <w:sz w:val="19"/>
                <w:szCs w:val="19"/>
              </w:rPr>
            </w:pPr>
            <w:r w:rsidRPr="00BA6DCB">
              <w:rPr>
                <w:rFonts w:ascii="Gotham" w:hAnsi="Gotham" w:cs="Arial"/>
                <w:color w:val="343434"/>
                <w:w w:val="105"/>
                <w:position w:val="-1"/>
                <w:sz w:val="19"/>
                <w:szCs w:val="19"/>
              </w:rPr>
              <w:t>5</w:t>
            </w:r>
          </w:p>
        </w:tc>
      </w:tr>
      <w:tr w:rsidR="009B5E39" w:rsidRPr="00BA6DCB" w14:paraId="3A475EF4" w14:textId="77777777" w:rsidTr="00190E4A">
        <w:trPr>
          <w:trHeight w:hRule="exact" w:val="300"/>
        </w:trPr>
        <w:tc>
          <w:tcPr>
            <w:tcW w:w="3500" w:type="dxa"/>
            <w:tcBorders>
              <w:top w:val="single" w:sz="8" w:space="0" w:color="343434"/>
              <w:left w:val="single" w:sz="8" w:space="0" w:color="343434"/>
              <w:bottom w:val="single" w:sz="8" w:space="0" w:color="343434"/>
              <w:right w:val="single" w:sz="4" w:space="0" w:color="auto"/>
            </w:tcBorders>
            <w:vAlign w:val="center"/>
          </w:tcPr>
          <w:p w14:paraId="3A475EF2" w14:textId="77777777" w:rsidR="009B5E39" w:rsidRPr="00BA6DCB" w:rsidRDefault="009B5E39" w:rsidP="00190E4A">
            <w:pPr>
              <w:spacing w:before="60" w:after="60"/>
              <w:ind w:left="98"/>
              <w:rPr>
                <w:rFonts w:ascii="Gotham" w:eastAsia="Arial" w:hAnsi="Gotham" w:cs="Arial"/>
                <w:sz w:val="19"/>
                <w:szCs w:val="19"/>
              </w:rPr>
            </w:pPr>
            <w:r w:rsidRPr="00BA6DCB">
              <w:rPr>
                <w:rFonts w:ascii="Gotham" w:eastAsia="Arial" w:hAnsi="Gotham" w:cs="Arial"/>
                <w:color w:val="343434"/>
                <w:w w:val="89"/>
                <w:position w:val="-2"/>
                <w:sz w:val="19"/>
                <w:szCs w:val="19"/>
              </w:rPr>
              <w:t>COLECTORA</w:t>
            </w:r>
            <w:r w:rsidRPr="00BA6DCB">
              <w:rPr>
                <w:rFonts w:ascii="Gotham" w:eastAsia="Arial" w:hAnsi="Gotham" w:cs="Arial"/>
                <w:color w:val="343434"/>
                <w:spacing w:val="-40"/>
                <w:position w:val="-2"/>
                <w:sz w:val="19"/>
                <w:szCs w:val="19"/>
              </w:rPr>
              <w:t xml:space="preserve"> </w:t>
            </w:r>
            <w:r w:rsidRPr="00BA6DCB">
              <w:rPr>
                <w:rFonts w:ascii="Gotham" w:eastAsia="Arial" w:hAnsi="Gotham" w:cs="Arial"/>
                <w:color w:val="343434"/>
                <w:position w:val="-2"/>
                <w:sz w:val="19"/>
                <w:szCs w:val="19"/>
              </w:rPr>
              <w:t>(VC)</w:t>
            </w:r>
          </w:p>
        </w:tc>
        <w:tc>
          <w:tcPr>
            <w:tcW w:w="2420" w:type="dxa"/>
            <w:tcBorders>
              <w:top w:val="single" w:sz="4" w:space="0" w:color="auto"/>
              <w:left w:val="single" w:sz="4" w:space="0" w:color="auto"/>
              <w:bottom w:val="single" w:sz="4" w:space="0" w:color="auto"/>
              <w:right w:val="single" w:sz="4" w:space="0" w:color="auto"/>
            </w:tcBorders>
            <w:vAlign w:val="center"/>
          </w:tcPr>
          <w:p w14:paraId="3A475EF3" w14:textId="77777777" w:rsidR="009B5E39" w:rsidRPr="00BA6DCB" w:rsidRDefault="009B5E39" w:rsidP="00190E4A">
            <w:pPr>
              <w:spacing w:before="60" w:after="60"/>
              <w:ind w:left="1125" w:right="1073"/>
              <w:jc w:val="center"/>
              <w:rPr>
                <w:rFonts w:ascii="Gotham" w:hAnsi="Gotham" w:cs="Arial"/>
                <w:sz w:val="19"/>
                <w:szCs w:val="19"/>
              </w:rPr>
            </w:pPr>
            <w:r w:rsidRPr="00BA6DCB">
              <w:rPr>
                <w:rFonts w:ascii="Gotham" w:hAnsi="Gotham" w:cs="Arial"/>
                <w:color w:val="343434"/>
                <w:w w:val="105"/>
                <w:position w:val="-3"/>
                <w:sz w:val="19"/>
                <w:szCs w:val="19"/>
              </w:rPr>
              <w:t>5</w:t>
            </w:r>
          </w:p>
        </w:tc>
      </w:tr>
      <w:tr w:rsidR="009B5E39" w:rsidRPr="00BA6DCB" w14:paraId="3A475EF7" w14:textId="77777777" w:rsidTr="00190E4A">
        <w:trPr>
          <w:trHeight w:hRule="exact" w:val="320"/>
        </w:trPr>
        <w:tc>
          <w:tcPr>
            <w:tcW w:w="3500" w:type="dxa"/>
            <w:tcBorders>
              <w:top w:val="single" w:sz="8" w:space="0" w:color="343434"/>
              <w:left w:val="single" w:sz="8" w:space="0" w:color="343434"/>
              <w:bottom w:val="single" w:sz="8" w:space="0" w:color="343434"/>
              <w:right w:val="single" w:sz="4" w:space="0" w:color="auto"/>
            </w:tcBorders>
            <w:vAlign w:val="center"/>
          </w:tcPr>
          <w:p w14:paraId="3A475EF5" w14:textId="77777777" w:rsidR="009B5E39" w:rsidRPr="00BA6DCB" w:rsidRDefault="009B5E39" w:rsidP="00190E4A">
            <w:pPr>
              <w:spacing w:before="60" w:after="60"/>
              <w:ind w:left="98"/>
              <w:rPr>
                <w:rFonts w:ascii="Gotham" w:eastAsia="Arial" w:hAnsi="Gotham" w:cs="Arial"/>
                <w:sz w:val="19"/>
                <w:szCs w:val="19"/>
              </w:rPr>
            </w:pPr>
            <w:r w:rsidRPr="00BA6DCB">
              <w:rPr>
                <w:rFonts w:ascii="Gotham" w:eastAsia="Arial" w:hAnsi="Gotham" w:cs="Arial"/>
                <w:color w:val="343434"/>
                <w:w w:val="89"/>
                <w:position w:val="-1"/>
                <w:sz w:val="19"/>
                <w:szCs w:val="19"/>
              </w:rPr>
              <w:t>COLECTORA</w:t>
            </w:r>
            <w:r w:rsidRPr="00BA6DCB">
              <w:rPr>
                <w:rFonts w:ascii="Gotham" w:eastAsia="Arial" w:hAnsi="Gotham" w:cs="Arial"/>
                <w:color w:val="343434"/>
                <w:spacing w:val="-40"/>
                <w:position w:val="-1"/>
                <w:sz w:val="19"/>
                <w:szCs w:val="19"/>
              </w:rPr>
              <w:t xml:space="preserve"> </w:t>
            </w:r>
            <w:r w:rsidRPr="00BA6DCB">
              <w:rPr>
                <w:rFonts w:ascii="Gotham" w:eastAsia="Arial" w:hAnsi="Gotham" w:cs="Arial"/>
                <w:color w:val="343434"/>
                <w:position w:val="-1"/>
                <w:sz w:val="19"/>
                <w:szCs w:val="19"/>
              </w:rPr>
              <w:t>MENO</w:t>
            </w:r>
            <w:r w:rsidRPr="00BA6DCB">
              <w:rPr>
                <w:rFonts w:ascii="Gotham" w:eastAsia="Arial" w:hAnsi="Gotham" w:cs="Arial"/>
                <w:color w:val="343434"/>
                <w:spacing w:val="2"/>
                <w:position w:val="-1"/>
                <w:sz w:val="19"/>
                <w:szCs w:val="19"/>
              </w:rPr>
              <w:t>R</w:t>
            </w:r>
            <w:r w:rsidRPr="00BA6DCB">
              <w:rPr>
                <w:rFonts w:ascii="Gotham" w:eastAsia="Arial" w:hAnsi="Gotham" w:cs="Arial"/>
                <w:color w:val="343434"/>
                <w:position w:val="-1"/>
                <w:sz w:val="19"/>
                <w:szCs w:val="19"/>
              </w:rPr>
              <w:t>(VCm)</w:t>
            </w:r>
          </w:p>
        </w:tc>
        <w:tc>
          <w:tcPr>
            <w:tcW w:w="2420" w:type="dxa"/>
            <w:tcBorders>
              <w:top w:val="single" w:sz="4" w:space="0" w:color="auto"/>
              <w:left w:val="single" w:sz="4" w:space="0" w:color="auto"/>
              <w:bottom w:val="single" w:sz="4" w:space="0" w:color="auto"/>
              <w:right w:val="single" w:sz="4" w:space="0" w:color="auto"/>
            </w:tcBorders>
            <w:vAlign w:val="center"/>
          </w:tcPr>
          <w:p w14:paraId="3A475EF6" w14:textId="77777777" w:rsidR="009B5E39" w:rsidRPr="00BA6DCB" w:rsidRDefault="009B5E39" w:rsidP="00190E4A">
            <w:pPr>
              <w:spacing w:before="60" w:after="60"/>
              <w:ind w:left="1125" w:right="1073"/>
              <w:jc w:val="center"/>
              <w:rPr>
                <w:rFonts w:ascii="Gotham" w:hAnsi="Gotham" w:cs="Arial"/>
                <w:sz w:val="19"/>
                <w:szCs w:val="19"/>
              </w:rPr>
            </w:pPr>
            <w:r w:rsidRPr="00BA6DCB">
              <w:rPr>
                <w:rFonts w:ascii="Gotham" w:hAnsi="Gotham" w:cs="Arial"/>
                <w:color w:val="343434"/>
                <w:w w:val="105"/>
                <w:position w:val="-1"/>
                <w:sz w:val="19"/>
                <w:szCs w:val="19"/>
              </w:rPr>
              <w:t>5</w:t>
            </w:r>
          </w:p>
        </w:tc>
      </w:tr>
      <w:tr w:rsidR="009B5E39" w:rsidRPr="00BA6DCB" w14:paraId="3A475EFA" w14:textId="77777777" w:rsidTr="00190E4A">
        <w:trPr>
          <w:trHeight w:hRule="exact" w:val="320"/>
        </w:trPr>
        <w:tc>
          <w:tcPr>
            <w:tcW w:w="3500" w:type="dxa"/>
            <w:tcBorders>
              <w:top w:val="single" w:sz="8" w:space="0" w:color="343434"/>
              <w:left w:val="single" w:sz="8" w:space="0" w:color="343434"/>
              <w:bottom w:val="single" w:sz="8" w:space="0" w:color="343434"/>
              <w:right w:val="single" w:sz="4" w:space="0" w:color="auto"/>
            </w:tcBorders>
            <w:vAlign w:val="center"/>
          </w:tcPr>
          <w:p w14:paraId="3A475EF8" w14:textId="77777777" w:rsidR="009B5E39" w:rsidRPr="00BA6DCB" w:rsidRDefault="009B5E39" w:rsidP="00190E4A">
            <w:pPr>
              <w:spacing w:before="60" w:after="60"/>
              <w:ind w:left="98"/>
              <w:rPr>
                <w:rFonts w:ascii="Gotham" w:eastAsia="Arial" w:hAnsi="Gotham" w:cs="Arial"/>
                <w:sz w:val="19"/>
                <w:szCs w:val="19"/>
              </w:rPr>
            </w:pPr>
            <w:r w:rsidRPr="00BA6DCB">
              <w:rPr>
                <w:rFonts w:ascii="Gotham" w:eastAsia="Arial" w:hAnsi="Gotham" w:cs="Arial"/>
                <w:color w:val="343434"/>
                <w:sz w:val="19"/>
                <w:szCs w:val="19"/>
              </w:rPr>
              <w:t>SUBCOLECTOR</w:t>
            </w:r>
            <w:r w:rsidRPr="00BA6DCB">
              <w:rPr>
                <w:rFonts w:ascii="Gotham" w:eastAsia="Arial" w:hAnsi="Gotham" w:cs="Arial"/>
                <w:color w:val="343434"/>
                <w:spacing w:val="4"/>
                <w:sz w:val="19"/>
                <w:szCs w:val="19"/>
              </w:rPr>
              <w:t>A</w:t>
            </w:r>
            <w:r w:rsidRPr="00BA6DCB">
              <w:rPr>
                <w:rFonts w:ascii="Gotham" w:eastAsia="Arial" w:hAnsi="Gotham" w:cs="Arial"/>
                <w:color w:val="343434"/>
                <w:sz w:val="19"/>
                <w:szCs w:val="19"/>
              </w:rPr>
              <w:t>(VSc)</w:t>
            </w:r>
          </w:p>
        </w:tc>
        <w:tc>
          <w:tcPr>
            <w:tcW w:w="2420" w:type="dxa"/>
            <w:tcBorders>
              <w:top w:val="single" w:sz="4" w:space="0" w:color="auto"/>
              <w:left w:val="single" w:sz="4" w:space="0" w:color="auto"/>
              <w:bottom w:val="single" w:sz="4" w:space="0" w:color="auto"/>
              <w:right w:val="single" w:sz="4" w:space="0" w:color="auto"/>
            </w:tcBorders>
            <w:vAlign w:val="center"/>
          </w:tcPr>
          <w:p w14:paraId="3A475EF9" w14:textId="77777777" w:rsidR="009B5E39" w:rsidRPr="00BA6DCB" w:rsidRDefault="009B5E39" w:rsidP="00190E4A">
            <w:pPr>
              <w:spacing w:before="60" w:after="60"/>
              <w:ind w:left="1135" w:right="1085"/>
              <w:jc w:val="center"/>
              <w:rPr>
                <w:rFonts w:ascii="Gotham" w:eastAsia="Arial" w:hAnsi="Gotham" w:cs="Arial"/>
                <w:sz w:val="19"/>
                <w:szCs w:val="19"/>
              </w:rPr>
            </w:pPr>
            <w:r w:rsidRPr="00BA6DCB">
              <w:rPr>
                <w:rFonts w:ascii="Gotham" w:eastAsia="Arial" w:hAnsi="Gotham" w:cs="Arial"/>
                <w:color w:val="343434"/>
                <w:w w:val="82"/>
                <w:position w:val="-6"/>
                <w:sz w:val="19"/>
                <w:szCs w:val="19"/>
              </w:rPr>
              <w:t>*</w:t>
            </w:r>
          </w:p>
        </w:tc>
      </w:tr>
      <w:tr w:rsidR="009B5E39" w:rsidRPr="00BA6DCB" w14:paraId="3A475EFD" w14:textId="77777777" w:rsidTr="00190E4A">
        <w:trPr>
          <w:trHeight w:hRule="exact" w:val="300"/>
        </w:trPr>
        <w:tc>
          <w:tcPr>
            <w:tcW w:w="3500" w:type="dxa"/>
            <w:tcBorders>
              <w:top w:val="single" w:sz="8" w:space="0" w:color="343434"/>
              <w:left w:val="single" w:sz="8" w:space="0" w:color="343434"/>
              <w:bottom w:val="single" w:sz="8" w:space="0" w:color="343434"/>
              <w:right w:val="single" w:sz="4" w:space="0" w:color="auto"/>
            </w:tcBorders>
            <w:vAlign w:val="center"/>
          </w:tcPr>
          <w:p w14:paraId="3A475EFB" w14:textId="77777777" w:rsidR="009B5E39" w:rsidRPr="00BA6DCB" w:rsidRDefault="009B5E39" w:rsidP="00190E4A">
            <w:pPr>
              <w:spacing w:before="60" w:after="60"/>
              <w:ind w:left="112"/>
              <w:rPr>
                <w:rFonts w:ascii="Gotham" w:eastAsia="Arial" w:hAnsi="Gotham" w:cs="Arial"/>
                <w:sz w:val="19"/>
                <w:szCs w:val="19"/>
              </w:rPr>
            </w:pPr>
            <w:r w:rsidRPr="00BA6DCB">
              <w:rPr>
                <w:rFonts w:ascii="Gotham" w:eastAsia="Arial" w:hAnsi="Gotham" w:cs="Arial"/>
                <w:color w:val="343434"/>
                <w:w w:val="87"/>
                <w:position w:val="-1"/>
                <w:sz w:val="19"/>
                <w:szCs w:val="19"/>
              </w:rPr>
              <w:t>LOCAL</w:t>
            </w:r>
            <w:r w:rsidRPr="00BA6DCB">
              <w:rPr>
                <w:rFonts w:ascii="Gotham" w:eastAsia="Arial" w:hAnsi="Gotham" w:cs="Arial"/>
                <w:color w:val="343434"/>
                <w:spacing w:val="-3"/>
                <w:w w:val="87"/>
                <w:position w:val="-1"/>
                <w:sz w:val="19"/>
                <w:szCs w:val="19"/>
              </w:rPr>
              <w:t xml:space="preserve"> </w:t>
            </w:r>
            <w:r w:rsidRPr="00BA6DCB">
              <w:rPr>
                <w:rFonts w:ascii="Gotham" w:eastAsia="Arial" w:hAnsi="Gotham" w:cs="Arial"/>
                <w:color w:val="343434"/>
                <w:position w:val="-1"/>
                <w:sz w:val="19"/>
                <w:szCs w:val="19"/>
              </w:rPr>
              <w:t>(VL)</w:t>
            </w:r>
          </w:p>
        </w:tc>
        <w:tc>
          <w:tcPr>
            <w:tcW w:w="2420" w:type="dxa"/>
            <w:tcBorders>
              <w:top w:val="single" w:sz="4" w:space="0" w:color="auto"/>
              <w:left w:val="single" w:sz="4" w:space="0" w:color="auto"/>
              <w:bottom w:val="single" w:sz="4" w:space="0" w:color="auto"/>
              <w:right w:val="single" w:sz="4" w:space="0" w:color="auto"/>
            </w:tcBorders>
            <w:vAlign w:val="center"/>
          </w:tcPr>
          <w:p w14:paraId="3A475EFC" w14:textId="77777777" w:rsidR="009B5E39" w:rsidRPr="00BA6DCB" w:rsidRDefault="009B5E39" w:rsidP="00190E4A">
            <w:pPr>
              <w:spacing w:before="60" w:after="60"/>
              <w:ind w:left="1135" w:right="1085"/>
              <w:jc w:val="center"/>
              <w:rPr>
                <w:rFonts w:ascii="Gotham" w:eastAsia="Arial" w:hAnsi="Gotham" w:cs="Arial"/>
                <w:sz w:val="19"/>
                <w:szCs w:val="19"/>
              </w:rPr>
            </w:pPr>
            <w:r w:rsidRPr="00BA6DCB">
              <w:rPr>
                <w:rFonts w:ascii="Gotham" w:eastAsia="Arial" w:hAnsi="Gotham" w:cs="Arial"/>
                <w:color w:val="343434"/>
                <w:w w:val="82"/>
                <w:position w:val="-6"/>
                <w:sz w:val="19"/>
                <w:szCs w:val="19"/>
              </w:rPr>
              <w:t>*</w:t>
            </w:r>
          </w:p>
        </w:tc>
      </w:tr>
      <w:tr w:rsidR="009B5E39" w:rsidRPr="00BA6DCB" w14:paraId="3A475EFF" w14:textId="77777777" w:rsidTr="00190E4A">
        <w:trPr>
          <w:trHeight w:hRule="exact" w:val="600"/>
        </w:trPr>
        <w:tc>
          <w:tcPr>
            <w:tcW w:w="59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75EFE" w14:textId="77777777" w:rsidR="009B5E39" w:rsidRPr="00BA6DCB" w:rsidRDefault="009B5E39" w:rsidP="00190E4A">
            <w:pPr>
              <w:spacing w:before="11"/>
              <w:ind w:left="108" w:right="495" w:firstLine="14"/>
              <w:jc w:val="both"/>
              <w:rPr>
                <w:rFonts w:ascii="Gotham" w:eastAsia="Arial" w:hAnsi="Gotham" w:cs="Arial"/>
                <w:sz w:val="19"/>
                <w:szCs w:val="19"/>
              </w:rPr>
            </w:pPr>
            <w:r w:rsidRPr="00BA6DCB">
              <w:rPr>
                <w:rFonts w:ascii="Gotham" w:eastAsia="Arial" w:hAnsi="Gotham" w:cs="Arial"/>
                <w:color w:val="343434"/>
                <w:w w:val="79"/>
                <w:sz w:val="19"/>
                <w:szCs w:val="19"/>
              </w:rPr>
              <w:t>*</w:t>
            </w:r>
            <w:r w:rsidRPr="00BA6DCB">
              <w:rPr>
                <w:rFonts w:ascii="Gotham" w:eastAsia="Arial" w:hAnsi="Gotham" w:cs="Arial"/>
                <w:color w:val="343434"/>
                <w:spacing w:val="15"/>
                <w:w w:val="79"/>
                <w:sz w:val="19"/>
                <w:szCs w:val="19"/>
              </w:rPr>
              <w:t xml:space="preserve"> </w:t>
            </w:r>
            <w:r w:rsidRPr="00BA6DCB">
              <w:rPr>
                <w:rFonts w:ascii="Gotham" w:eastAsia="Arial" w:hAnsi="Gotham" w:cs="Arial"/>
                <w:color w:val="343434"/>
                <w:w w:val="79"/>
                <w:sz w:val="19"/>
                <w:szCs w:val="19"/>
              </w:rPr>
              <w:t>La</w:t>
            </w:r>
            <w:r w:rsidRPr="00BA6DCB">
              <w:rPr>
                <w:rFonts w:ascii="Gotham" w:eastAsia="Arial" w:hAnsi="Gotham" w:cs="Arial"/>
                <w:color w:val="343434"/>
                <w:spacing w:val="18"/>
                <w:w w:val="79"/>
                <w:sz w:val="19"/>
                <w:szCs w:val="19"/>
              </w:rPr>
              <w:t xml:space="preserve"> </w:t>
            </w:r>
            <w:r w:rsidRPr="00BA6DCB">
              <w:rPr>
                <w:rFonts w:ascii="Gotham" w:eastAsia="Arial" w:hAnsi="Gotham" w:cs="Arial"/>
                <w:color w:val="343434"/>
                <w:sz w:val="19"/>
                <w:szCs w:val="19"/>
              </w:rPr>
              <w:t>que</w:t>
            </w:r>
            <w:r w:rsidRPr="00BA6DCB">
              <w:rPr>
                <w:rFonts w:ascii="Gotham" w:eastAsia="Arial" w:hAnsi="Gotham" w:cs="Arial"/>
                <w:color w:val="343434"/>
                <w:spacing w:val="4"/>
                <w:sz w:val="19"/>
                <w:szCs w:val="19"/>
              </w:rPr>
              <w:t xml:space="preserve"> </w:t>
            </w:r>
            <w:r w:rsidRPr="00BA6DCB">
              <w:rPr>
                <w:rFonts w:ascii="Gotham" w:eastAsia="Arial" w:hAnsi="Gotham" w:cs="Arial"/>
                <w:color w:val="343434"/>
                <w:w w:val="87"/>
                <w:sz w:val="19"/>
                <w:szCs w:val="19"/>
              </w:rPr>
              <w:t>se</w:t>
            </w:r>
            <w:r w:rsidRPr="00BA6DCB">
              <w:rPr>
                <w:rFonts w:ascii="Gotham" w:eastAsia="Arial" w:hAnsi="Gotham" w:cs="Arial"/>
                <w:color w:val="343434"/>
                <w:spacing w:val="4"/>
                <w:w w:val="87"/>
                <w:sz w:val="19"/>
                <w:szCs w:val="19"/>
              </w:rPr>
              <w:t xml:space="preserve"> </w:t>
            </w:r>
            <w:r w:rsidRPr="00BA6DCB">
              <w:rPr>
                <w:rFonts w:ascii="Gotham" w:eastAsia="Arial" w:hAnsi="Gotham" w:cs="Arial"/>
                <w:color w:val="343434"/>
                <w:sz w:val="19"/>
                <w:szCs w:val="19"/>
              </w:rPr>
              <w:t>determine</w:t>
            </w:r>
            <w:r w:rsidRPr="00BA6DCB">
              <w:rPr>
                <w:rFonts w:ascii="Gotham" w:eastAsia="Arial" w:hAnsi="Gotham" w:cs="Arial"/>
                <w:color w:val="343434"/>
                <w:spacing w:val="41"/>
                <w:sz w:val="19"/>
                <w:szCs w:val="19"/>
              </w:rPr>
              <w:t xml:space="preserve"> </w:t>
            </w:r>
            <w:r w:rsidRPr="00BA6DCB">
              <w:rPr>
                <w:rFonts w:ascii="Gotham" w:eastAsia="Arial" w:hAnsi="Gotham" w:cs="Arial"/>
                <w:color w:val="343434"/>
                <w:sz w:val="19"/>
                <w:szCs w:val="19"/>
              </w:rPr>
              <w:t>para</w:t>
            </w:r>
            <w:r w:rsidRPr="00BA6DCB">
              <w:rPr>
                <w:rFonts w:ascii="Gotham" w:eastAsia="Arial" w:hAnsi="Gotham" w:cs="Arial"/>
                <w:color w:val="343434"/>
                <w:spacing w:val="-12"/>
                <w:sz w:val="19"/>
                <w:szCs w:val="19"/>
              </w:rPr>
              <w:t xml:space="preserve"> </w:t>
            </w:r>
            <w:r w:rsidRPr="00BA6DCB">
              <w:rPr>
                <w:rFonts w:ascii="Gotham" w:eastAsia="Arial" w:hAnsi="Gotham" w:cs="Arial"/>
                <w:color w:val="343434"/>
                <w:sz w:val="19"/>
                <w:szCs w:val="19"/>
              </w:rPr>
              <w:t>la</w:t>
            </w:r>
            <w:r w:rsidRPr="00BA6DCB">
              <w:rPr>
                <w:rFonts w:ascii="Gotham" w:eastAsia="Arial" w:hAnsi="Gotham" w:cs="Arial"/>
                <w:color w:val="343434"/>
                <w:spacing w:val="-2"/>
                <w:sz w:val="19"/>
                <w:szCs w:val="19"/>
              </w:rPr>
              <w:t xml:space="preserve"> </w:t>
            </w:r>
            <w:r w:rsidRPr="00BA6DCB">
              <w:rPr>
                <w:rFonts w:ascii="Gotham" w:eastAsia="Arial" w:hAnsi="Gotham" w:cs="Arial"/>
                <w:color w:val="343434"/>
                <w:sz w:val="19"/>
                <w:szCs w:val="19"/>
              </w:rPr>
              <w:t>reglamentación</w:t>
            </w:r>
            <w:r w:rsidRPr="00BA6DCB">
              <w:rPr>
                <w:rFonts w:ascii="Gotham" w:eastAsia="Arial" w:hAnsi="Gotham" w:cs="Arial"/>
                <w:color w:val="343434"/>
                <w:spacing w:val="5"/>
                <w:sz w:val="19"/>
                <w:szCs w:val="19"/>
              </w:rPr>
              <w:t xml:space="preserve"> </w:t>
            </w:r>
            <w:r w:rsidRPr="00BA6DCB">
              <w:rPr>
                <w:rFonts w:ascii="Gotham" w:eastAsia="Arial" w:hAnsi="Gotham" w:cs="Arial"/>
                <w:color w:val="343434"/>
                <w:sz w:val="19"/>
                <w:szCs w:val="19"/>
              </w:rPr>
              <w:t>de</w:t>
            </w:r>
            <w:r w:rsidRPr="00BA6DCB">
              <w:rPr>
                <w:rFonts w:ascii="Gotham" w:eastAsia="Arial" w:hAnsi="Gotham" w:cs="Arial"/>
                <w:color w:val="343434"/>
                <w:spacing w:val="-18"/>
                <w:sz w:val="19"/>
                <w:szCs w:val="19"/>
              </w:rPr>
              <w:t xml:space="preserve"> </w:t>
            </w:r>
            <w:r w:rsidRPr="00BA6DCB">
              <w:rPr>
                <w:rFonts w:ascii="Gotham" w:eastAsia="Arial" w:hAnsi="Gotham" w:cs="Arial"/>
                <w:color w:val="343434"/>
                <w:sz w:val="19"/>
                <w:szCs w:val="19"/>
              </w:rPr>
              <w:t>cada zona.</w:t>
            </w:r>
          </w:p>
        </w:tc>
      </w:tr>
    </w:tbl>
    <w:p w14:paraId="3A475F00" w14:textId="77777777" w:rsidR="009B5E39" w:rsidRPr="00BA6DCB" w:rsidRDefault="009B5E39" w:rsidP="009B5E39">
      <w:pPr>
        <w:jc w:val="both"/>
        <w:rPr>
          <w:rFonts w:ascii="Gotham" w:hAnsi="Gotham" w:cs="Arial"/>
          <w:sz w:val="19"/>
          <w:szCs w:val="19"/>
        </w:rPr>
      </w:pPr>
    </w:p>
    <w:p w14:paraId="3A475F01" w14:textId="77777777" w:rsidR="009B5E39" w:rsidRPr="00193EA1" w:rsidRDefault="009B5E39" w:rsidP="009B5E39">
      <w:pPr>
        <w:jc w:val="both"/>
        <w:rPr>
          <w:rFonts w:ascii="Arial" w:hAnsi="Arial" w:cs="Arial"/>
        </w:rPr>
      </w:pPr>
    </w:p>
    <w:p w14:paraId="3A475F02" w14:textId="77777777" w:rsidR="009B5E39" w:rsidRPr="00193EA1" w:rsidRDefault="009B5E39" w:rsidP="009B5E39">
      <w:pPr>
        <w:jc w:val="both"/>
        <w:rPr>
          <w:rFonts w:ascii="Arial" w:hAnsi="Arial" w:cs="Arial"/>
        </w:rPr>
      </w:pPr>
    </w:p>
    <w:p w14:paraId="3A475F03" w14:textId="77777777" w:rsidR="009B5E39" w:rsidRPr="00193EA1" w:rsidRDefault="009B5E39" w:rsidP="009B5E39">
      <w:pPr>
        <w:jc w:val="both"/>
        <w:rPr>
          <w:rFonts w:ascii="Arial" w:hAnsi="Arial" w:cs="Arial"/>
          <w:b/>
        </w:rPr>
      </w:pPr>
    </w:p>
    <w:p w14:paraId="3A475F04" w14:textId="77777777" w:rsidR="009B5E39" w:rsidRPr="00193EA1" w:rsidRDefault="009B5E39" w:rsidP="009B5E39">
      <w:pPr>
        <w:jc w:val="both"/>
        <w:rPr>
          <w:rFonts w:ascii="Arial" w:hAnsi="Arial" w:cs="Arial"/>
          <w:b/>
        </w:rPr>
      </w:pPr>
    </w:p>
    <w:p w14:paraId="3A475F05" w14:textId="77777777" w:rsidR="009B5E39" w:rsidRPr="00193EA1" w:rsidRDefault="009B5E39" w:rsidP="009B5E39">
      <w:pPr>
        <w:jc w:val="both"/>
        <w:rPr>
          <w:rFonts w:ascii="Arial" w:hAnsi="Arial" w:cs="Arial"/>
          <w:b/>
        </w:rPr>
      </w:pPr>
    </w:p>
    <w:p w14:paraId="3A475F06" w14:textId="77777777" w:rsidR="009B5E39" w:rsidRPr="00193EA1" w:rsidRDefault="009B5E39" w:rsidP="009B5E39">
      <w:pPr>
        <w:jc w:val="both"/>
        <w:rPr>
          <w:rFonts w:ascii="Arial" w:hAnsi="Arial" w:cs="Arial"/>
          <w:b/>
        </w:rPr>
      </w:pPr>
    </w:p>
    <w:p w14:paraId="3A475F07" w14:textId="77777777" w:rsidR="009B5E39" w:rsidRPr="00193EA1" w:rsidRDefault="009B5E39" w:rsidP="009B5E39">
      <w:pPr>
        <w:jc w:val="both"/>
        <w:rPr>
          <w:rFonts w:ascii="Arial" w:hAnsi="Arial" w:cs="Arial"/>
          <w:b/>
        </w:rPr>
      </w:pPr>
    </w:p>
    <w:p w14:paraId="3A475F08" w14:textId="77777777" w:rsidR="009B5E39" w:rsidRPr="00193EA1" w:rsidRDefault="009B5E39" w:rsidP="009B5E39">
      <w:pPr>
        <w:jc w:val="both"/>
        <w:rPr>
          <w:rFonts w:ascii="Arial" w:hAnsi="Arial" w:cs="Arial"/>
          <w:b/>
        </w:rPr>
      </w:pPr>
    </w:p>
    <w:p w14:paraId="3A475F09" w14:textId="77777777" w:rsidR="009B5E39" w:rsidRPr="00193EA1" w:rsidRDefault="009B5E39" w:rsidP="009B5E39">
      <w:pPr>
        <w:jc w:val="both"/>
        <w:rPr>
          <w:rFonts w:ascii="Arial" w:hAnsi="Arial" w:cs="Arial"/>
          <w:b/>
        </w:rPr>
      </w:pPr>
    </w:p>
    <w:p w14:paraId="3A475F0A" w14:textId="77777777" w:rsidR="009B5E39" w:rsidRPr="00193EA1" w:rsidRDefault="009B5E39" w:rsidP="009B5E39">
      <w:pPr>
        <w:jc w:val="both"/>
        <w:rPr>
          <w:rFonts w:ascii="Arial" w:hAnsi="Arial" w:cs="Arial"/>
          <w:b/>
        </w:rPr>
      </w:pPr>
    </w:p>
    <w:p w14:paraId="3A475F0B" w14:textId="77777777" w:rsidR="009B5E39" w:rsidRPr="00193EA1" w:rsidRDefault="009B5E39" w:rsidP="009B5E39">
      <w:pPr>
        <w:jc w:val="both"/>
        <w:rPr>
          <w:rFonts w:ascii="Arial" w:hAnsi="Arial" w:cs="Arial"/>
          <w:b/>
        </w:rPr>
      </w:pPr>
    </w:p>
    <w:p w14:paraId="3A475F0C" w14:textId="77777777" w:rsidR="009B5E39" w:rsidRPr="00193EA1" w:rsidRDefault="009B5E39" w:rsidP="009B5E39">
      <w:pPr>
        <w:jc w:val="both"/>
        <w:rPr>
          <w:rFonts w:ascii="Arial" w:hAnsi="Arial" w:cs="Arial"/>
          <w:b/>
        </w:rPr>
      </w:pPr>
    </w:p>
    <w:p w14:paraId="3A475F0D" w14:textId="77777777" w:rsidR="009B5E39" w:rsidRPr="00BC4F77" w:rsidRDefault="009B5E39" w:rsidP="009B5E39">
      <w:pPr>
        <w:ind w:left="284" w:right="283"/>
        <w:jc w:val="both"/>
        <w:rPr>
          <w:rFonts w:ascii="Gotham" w:hAnsi="Gotham" w:cs="Arial"/>
          <w:b/>
          <w:sz w:val="19"/>
          <w:szCs w:val="19"/>
        </w:rPr>
      </w:pPr>
    </w:p>
    <w:p w14:paraId="3A475F0E" w14:textId="77777777" w:rsidR="009B5E39" w:rsidRPr="00BC4F77" w:rsidRDefault="009B5E39" w:rsidP="009B5E39">
      <w:pPr>
        <w:ind w:left="284" w:right="283"/>
        <w:jc w:val="both"/>
        <w:rPr>
          <w:rFonts w:ascii="Gotham" w:hAnsi="Gotham" w:cs="Arial"/>
          <w:b/>
          <w:sz w:val="19"/>
          <w:szCs w:val="19"/>
        </w:rPr>
      </w:pPr>
      <w:r w:rsidRPr="00BC4F77">
        <w:rPr>
          <w:rFonts w:ascii="Gotham" w:hAnsi="Gotham" w:cs="Arial"/>
          <w:b/>
          <w:sz w:val="19"/>
          <w:szCs w:val="19"/>
        </w:rPr>
        <w:t>CAPÍTULO III</w:t>
      </w:r>
    </w:p>
    <w:p w14:paraId="3A475F0F" w14:textId="77777777" w:rsidR="009B5E39" w:rsidRPr="00BC4F77" w:rsidRDefault="009B5E39" w:rsidP="009B5E39">
      <w:pPr>
        <w:pStyle w:val="Ttulo2"/>
        <w:ind w:left="284" w:right="283"/>
        <w:rPr>
          <w:rFonts w:ascii="Gotham" w:hAnsi="Gotham" w:cs="Arial"/>
          <w:b w:val="0"/>
          <w:sz w:val="19"/>
          <w:szCs w:val="19"/>
          <w:lang w:val="es-MX"/>
        </w:rPr>
      </w:pPr>
      <w:bookmarkStart w:id="51" w:name="_Toc17816572"/>
      <w:r w:rsidRPr="00BC4F77">
        <w:rPr>
          <w:rFonts w:ascii="Gotham" w:hAnsi="Gotham" w:cs="Arial"/>
          <w:sz w:val="19"/>
          <w:szCs w:val="19"/>
          <w:lang w:val="es-MX"/>
        </w:rPr>
        <w:t>ZONIFICACIÓN.</w:t>
      </w:r>
      <w:bookmarkEnd w:id="51"/>
    </w:p>
    <w:p w14:paraId="3A475F10" w14:textId="77777777" w:rsidR="009B5E39" w:rsidRPr="00BC4F77" w:rsidRDefault="009B5E39" w:rsidP="009B5E39">
      <w:pPr>
        <w:ind w:left="284" w:right="283"/>
        <w:jc w:val="both"/>
        <w:rPr>
          <w:rFonts w:ascii="Gotham" w:hAnsi="Gotham" w:cs="Arial"/>
          <w:sz w:val="19"/>
          <w:szCs w:val="19"/>
        </w:rPr>
      </w:pPr>
    </w:p>
    <w:p w14:paraId="3A475F11" w14:textId="77777777" w:rsidR="009B5E39" w:rsidRPr="00BC4F77" w:rsidRDefault="009B5E39" w:rsidP="009B5E39">
      <w:pPr>
        <w:ind w:left="284" w:right="283"/>
        <w:jc w:val="both"/>
        <w:rPr>
          <w:rFonts w:ascii="Gotham" w:hAnsi="Gotham" w:cs="Arial"/>
          <w:sz w:val="19"/>
          <w:szCs w:val="19"/>
        </w:rPr>
      </w:pPr>
      <w:r w:rsidRPr="00BC4F77">
        <w:rPr>
          <w:rFonts w:ascii="Gotham" w:hAnsi="Gotham" w:cs="Arial"/>
          <w:b/>
          <w:sz w:val="19"/>
          <w:szCs w:val="19"/>
        </w:rPr>
        <w:t>Artículo 10.</w:t>
      </w:r>
      <w:r w:rsidRPr="00BC4F77">
        <w:rPr>
          <w:rFonts w:ascii="Gotham" w:hAnsi="Gotham" w:cs="Arial"/>
          <w:sz w:val="19"/>
          <w:szCs w:val="19"/>
        </w:rPr>
        <w:t xml:space="preserve"> Las modalidades de redensificación mixta y simple podrán ser aplicables para todo el territorio de Tonalá, Jalisco, tomando en consideración los lineamientos específicos contemplados en las presentes normas integrales con respecto a los límites de los perímetros de contención urbana que oficialmente publique la SEDATU y la CONAVI.</w:t>
      </w:r>
    </w:p>
    <w:p w14:paraId="3A475F12" w14:textId="77777777" w:rsidR="009B5E39" w:rsidRPr="00BC4F77" w:rsidRDefault="009B5E39" w:rsidP="009B5E39">
      <w:pPr>
        <w:ind w:left="284" w:right="283"/>
        <w:jc w:val="both"/>
        <w:rPr>
          <w:rFonts w:ascii="Gotham" w:hAnsi="Gotham" w:cs="Arial"/>
          <w:b/>
          <w:sz w:val="19"/>
          <w:szCs w:val="19"/>
        </w:rPr>
      </w:pPr>
    </w:p>
    <w:p w14:paraId="3A475F13" w14:textId="77777777" w:rsidR="009B5E39" w:rsidRPr="00BC4F77" w:rsidRDefault="009B5E39" w:rsidP="009B5E39">
      <w:pPr>
        <w:ind w:left="284" w:right="283"/>
        <w:jc w:val="both"/>
        <w:rPr>
          <w:rFonts w:ascii="Gotham" w:hAnsi="Gotham" w:cs="Arial"/>
          <w:sz w:val="19"/>
          <w:szCs w:val="19"/>
        </w:rPr>
      </w:pPr>
      <w:r w:rsidRPr="00BC4F77">
        <w:rPr>
          <w:rFonts w:ascii="Gotham" w:hAnsi="Gotham" w:cs="Arial"/>
          <w:b/>
          <w:sz w:val="19"/>
          <w:szCs w:val="19"/>
        </w:rPr>
        <w:t>Artículo 11.</w:t>
      </w:r>
      <w:r w:rsidRPr="00BC4F77">
        <w:rPr>
          <w:rFonts w:ascii="Gotham" w:hAnsi="Gotham" w:cs="Arial"/>
          <w:sz w:val="19"/>
          <w:szCs w:val="19"/>
        </w:rPr>
        <w:t xml:space="preserve"> </w:t>
      </w:r>
      <w:r w:rsidRPr="00BC4F77">
        <w:rPr>
          <w:rFonts w:ascii="Gotham" w:hAnsi="Gotham" w:cs="Arial"/>
          <w:color w:val="2E74B5" w:themeColor="accent1" w:themeShade="BF"/>
          <w:sz w:val="19"/>
          <w:szCs w:val="19"/>
        </w:rPr>
        <w:t xml:space="preserve">Las presentes normas en sus modalidades mixta y simple únicamente podrán ser aplicables en áreas urbanizadas de renovación urbana </w:t>
      </w:r>
      <w:r w:rsidRPr="00BC4F77">
        <w:rPr>
          <w:rFonts w:ascii="Gotham" w:hAnsi="Gotham" w:cs="Arial"/>
          <w:sz w:val="19"/>
          <w:szCs w:val="19"/>
        </w:rPr>
        <w:t>señaladas en los Planes de Desarrollo Urbano vigentes.</w:t>
      </w:r>
    </w:p>
    <w:p w14:paraId="3A475F14" w14:textId="77777777" w:rsidR="009B5E39" w:rsidRPr="00BC4F77" w:rsidRDefault="009B5E39" w:rsidP="009B5E39">
      <w:pPr>
        <w:ind w:left="284" w:right="283"/>
        <w:jc w:val="both"/>
        <w:rPr>
          <w:rFonts w:ascii="Gotham" w:hAnsi="Gotham" w:cs="Arial"/>
          <w:sz w:val="19"/>
          <w:szCs w:val="19"/>
        </w:rPr>
      </w:pPr>
    </w:p>
    <w:p w14:paraId="3A475F15" w14:textId="77777777" w:rsidR="009B5E39" w:rsidRPr="00BC4F77" w:rsidRDefault="009B5E39" w:rsidP="009B5E39">
      <w:pPr>
        <w:ind w:left="284" w:right="283"/>
        <w:jc w:val="both"/>
        <w:rPr>
          <w:rFonts w:ascii="Gotham" w:hAnsi="Gotham" w:cs="Arial"/>
          <w:sz w:val="19"/>
          <w:szCs w:val="19"/>
        </w:rPr>
      </w:pPr>
      <w:r w:rsidRPr="00BC4F77">
        <w:rPr>
          <w:rFonts w:ascii="Gotham" w:hAnsi="Gotham" w:cs="Arial"/>
          <w:b/>
          <w:sz w:val="19"/>
          <w:szCs w:val="19"/>
        </w:rPr>
        <w:t>Artículo 12.</w:t>
      </w:r>
      <w:r w:rsidRPr="00BC4F77">
        <w:rPr>
          <w:rFonts w:ascii="Gotham" w:hAnsi="Gotham" w:cs="Arial"/>
          <w:sz w:val="19"/>
          <w:szCs w:val="19"/>
        </w:rPr>
        <w:t xml:space="preserve"> Las modalidades mixta y simple podrán desarrollarse únicamente en los predios que cuenten con uso Habitacional Densidad Alta, ya sea Unifamiliar, Plurifamiliar, Horizontal o Plurifamiliar Vertical en los Planes de Desarrollo Urbano vigentes, respetando la estructura urbana y clasificación de áreas señalados para los mismos.</w:t>
      </w:r>
    </w:p>
    <w:p w14:paraId="3A475F16" w14:textId="77777777" w:rsidR="009B5E39" w:rsidRPr="00BC4F77" w:rsidRDefault="009B5E39" w:rsidP="009B5E39">
      <w:pPr>
        <w:ind w:left="284" w:right="283"/>
        <w:jc w:val="both"/>
        <w:rPr>
          <w:rFonts w:ascii="Gotham" w:hAnsi="Gotham" w:cs="Arial"/>
          <w:b/>
          <w:sz w:val="19"/>
          <w:szCs w:val="19"/>
        </w:rPr>
      </w:pPr>
    </w:p>
    <w:p w14:paraId="3A475F17" w14:textId="77777777" w:rsidR="009B5E39" w:rsidRPr="00BC4F77" w:rsidRDefault="009B5E39" w:rsidP="009B5E39">
      <w:pPr>
        <w:ind w:left="284" w:right="283"/>
        <w:jc w:val="both"/>
        <w:rPr>
          <w:rFonts w:ascii="Gotham" w:hAnsi="Gotham" w:cs="Arial"/>
          <w:sz w:val="19"/>
          <w:szCs w:val="19"/>
        </w:rPr>
      </w:pPr>
      <w:r w:rsidRPr="00BC4F77">
        <w:rPr>
          <w:rFonts w:ascii="Gotham" w:hAnsi="Gotham" w:cs="Arial"/>
          <w:b/>
          <w:sz w:val="19"/>
          <w:szCs w:val="19"/>
        </w:rPr>
        <w:t>Artículo 13</w:t>
      </w:r>
      <w:r w:rsidRPr="00BC4F77">
        <w:rPr>
          <w:rFonts w:ascii="Gotham" w:hAnsi="Gotham" w:cs="Arial"/>
          <w:sz w:val="19"/>
          <w:szCs w:val="19"/>
        </w:rPr>
        <w:t>. Para los casos en que existan afectaciones o restricciones en los predios, se deberán recabar las autorizaciones, factibilidades o vistos buenos necesarios por parte de las dependencias y organismos operadores según corresponda.</w:t>
      </w:r>
    </w:p>
    <w:p w14:paraId="3A475F18" w14:textId="77777777" w:rsidR="009B5E39" w:rsidRPr="00BC4F77" w:rsidRDefault="009B5E39" w:rsidP="009B5E39">
      <w:pPr>
        <w:ind w:left="284" w:right="283"/>
        <w:jc w:val="both"/>
        <w:rPr>
          <w:rFonts w:ascii="Gotham" w:hAnsi="Gotham" w:cs="Arial"/>
          <w:sz w:val="19"/>
          <w:szCs w:val="19"/>
        </w:rPr>
      </w:pPr>
    </w:p>
    <w:p w14:paraId="3A475F19" w14:textId="77777777" w:rsidR="009B5E39" w:rsidRPr="00BC4F77" w:rsidRDefault="009B5E39" w:rsidP="009B5E39">
      <w:pPr>
        <w:ind w:left="284" w:right="283"/>
        <w:jc w:val="both"/>
        <w:rPr>
          <w:rFonts w:ascii="Gotham" w:hAnsi="Gotham" w:cs="Arial"/>
          <w:sz w:val="19"/>
          <w:szCs w:val="19"/>
        </w:rPr>
      </w:pPr>
      <w:r w:rsidRPr="00BC4F77">
        <w:rPr>
          <w:rFonts w:ascii="Gotham" w:hAnsi="Gotham" w:cs="Arial"/>
          <w:b/>
          <w:sz w:val="19"/>
          <w:szCs w:val="19"/>
        </w:rPr>
        <w:t>Artículo 14</w:t>
      </w:r>
      <w:r w:rsidRPr="00BC4F77">
        <w:rPr>
          <w:rFonts w:ascii="Gotham" w:hAnsi="Gotham" w:cs="Arial"/>
          <w:sz w:val="19"/>
          <w:szCs w:val="19"/>
        </w:rPr>
        <w:t xml:space="preserve">. La modalidad de redensificación mixta podrá desarrollarse única y exclusivamente sobre vialidades de jerarquía </w:t>
      </w:r>
      <w:r w:rsidRPr="00BC4F77">
        <w:rPr>
          <w:rFonts w:ascii="Gotham" w:hAnsi="Gotham" w:cs="Arial"/>
          <w:color w:val="2E74B5" w:themeColor="accent1" w:themeShade="BF"/>
          <w:sz w:val="19"/>
          <w:szCs w:val="19"/>
        </w:rPr>
        <w:t xml:space="preserve">colectora con sección mínima de 15.00 metros </w:t>
      </w:r>
      <w:r w:rsidRPr="00BC4F77">
        <w:rPr>
          <w:rFonts w:ascii="Gotham" w:hAnsi="Gotham" w:cs="Arial"/>
          <w:sz w:val="19"/>
          <w:szCs w:val="19"/>
        </w:rPr>
        <w:t xml:space="preserve">o de jerarquía mayor, las </w:t>
      </w:r>
      <w:r w:rsidRPr="00BC4F77">
        <w:rPr>
          <w:rFonts w:ascii="Gotham" w:hAnsi="Gotham" w:cs="Arial"/>
          <w:sz w:val="19"/>
          <w:szCs w:val="19"/>
        </w:rPr>
        <w:lastRenderedPageBreak/>
        <w:t>entradas y salidas gravitarán sobre dicha vialidad. Los comercios y servicios que se podrán emplazar serán únicamente del nivel vecinal, pudiendo incluirse los giros indicados en el siguiente cuadro:</w:t>
      </w:r>
    </w:p>
    <w:p w14:paraId="3A475F1A" w14:textId="77777777" w:rsidR="009B5E39" w:rsidRPr="00BC4F77" w:rsidRDefault="009B5E39" w:rsidP="009B5E39">
      <w:pPr>
        <w:ind w:left="284" w:right="283"/>
        <w:jc w:val="both"/>
        <w:rPr>
          <w:rFonts w:ascii="Gotham" w:hAnsi="Gotham" w:cs="Arial"/>
          <w:sz w:val="19"/>
          <w:szCs w:val="19"/>
        </w:rPr>
      </w:pPr>
    </w:p>
    <w:tbl>
      <w:tblPr>
        <w:tblW w:w="0" w:type="auto"/>
        <w:jc w:val="center"/>
        <w:tblLook w:val="04A0" w:firstRow="1" w:lastRow="0" w:firstColumn="1" w:lastColumn="0" w:noHBand="0" w:noVBand="1"/>
      </w:tblPr>
      <w:tblGrid>
        <w:gridCol w:w="4389"/>
        <w:gridCol w:w="4390"/>
      </w:tblGrid>
      <w:tr w:rsidR="009B5E39" w:rsidRPr="00BC4F77" w14:paraId="3A475F1C" w14:textId="77777777" w:rsidTr="00190E4A">
        <w:trPr>
          <w:jc w:val="center"/>
        </w:trPr>
        <w:tc>
          <w:tcPr>
            <w:tcW w:w="8779" w:type="dxa"/>
            <w:gridSpan w:val="2"/>
            <w:shd w:val="clear" w:color="auto" w:fill="000000" w:themeFill="text1"/>
          </w:tcPr>
          <w:p w14:paraId="3A475F1B"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Cuadro 4. Giros permitidos</w:t>
            </w:r>
          </w:p>
        </w:tc>
      </w:tr>
      <w:tr w:rsidR="009B5E39" w:rsidRPr="00BC4F77" w14:paraId="3A475F1F" w14:textId="77777777" w:rsidTr="00190E4A">
        <w:trPr>
          <w:jc w:val="center"/>
        </w:trPr>
        <w:tc>
          <w:tcPr>
            <w:tcW w:w="4389" w:type="dxa"/>
          </w:tcPr>
          <w:p w14:paraId="3A475F1D"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Comercial</w:t>
            </w:r>
          </w:p>
        </w:tc>
        <w:tc>
          <w:tcPr>
            <w:tcW w:w="4390" w:type="dxa"/>
          </w:tcPr>
          <w:p w14:paraId="3A475F1E"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Servicios</w:t>
            </w:r>
          </w:p>
        </w:tc>
      </w:tr>
      <w:tr w:rsidR="009B5E39" w:rsidRPr="00BC4F77" w14:paraId="3A475F41" w14:textId="77777777" w:rsidTr="00190E4A">
        <w:trPr>
          <w:jc w:val="center"/>
        </w:trPr>
        <w:tc>
          <w:tcPr>
            <w:tcW w:w="4389" w:type="dxa"/>
          </w:tcPr>
          <w:p w14:paraId="3A475F20"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*Abarrotes, misceláneas y similares</w:t>
            </w:r>
          </w:p>
          <w:p w14:paraId="3A475F21"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*Carnicería</w:t>
            </w:r>
          </w:p>
          <w:p w14:paraId="3A475F22"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*Cenaduría y/o menudería</w:t>
            </w:r>
          </w:p>
          <w:p w14:paraId="3A475F23"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*Cocina económica</w:t>
            </w:r>
          </w:p>
          <w:p w14:paraId="3A475F24"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*Cremerías</w:t>
            </w:r>
          </w:p>
          <w:p w14:paraId="3A475F25"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*Expendios de libros y revistas</w:t>
            </w:r>
          </w:p>
          <w:p w14:paraId="3A475F26"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*Farmacias</w:t>
            </w:r>
          </w:p>
          <w:p w14:paraId="3A475F27"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*Frutas y legumbres</w:t>
            </w:r>
          </w:p>
          <w:p w14:paraId="3A475F28"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Jugos naturales y licuados</w:t>
            </w:r>
          </w:p>
          <w:p w14:paraId="3A475F29"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*Lonchería</w:t>
            </w:r>
          </w:p>
          <w:p w14:paraId="3A475F2A"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*Mercería</w:t>
            </w:r>
          </w:p>
          <w:p w14:paraId="3A475F2B"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*Panadería (venta)</w:t>
            </w:r>
          </w:p>
          <w:p w14:paraId="3A475F2C"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*Papelería, librería y artículos escolares</w:t>
            </w:r>
          </w:p>
          <w:p w14:paraId="3A475F2D"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*Perfumería</w:t>
            </w:r>
          </w:p>
          <w:p w14:paraId="3A475F2E"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*Pollería</w:t>
            </w:r>
          </w:p>
          <w:p w14:paraId="3A475F2F"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*Productos naturistas</w:t>
            </w:r>
          </w:p>
          <w:p w14:paraId="3A475F30"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*Regalos</w:t>
            </w:r>
          </w:p>
          <w:p w14:paraId="3A475F31"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*Semillas y cereales</w:t>
            </w:r>
          </w:p>
          <w:p w14:paraId="3A475F32"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*Taquería</w:t>
            </w:r>
          </w:p>
          <w:p w14:paraId="3A475F33"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*Tortillería</w:t>
            </w:r>
          </w:p>
          <w:p w14:paraId="3A475F34" w14:textId="77777777" w:rsidR="009B5E39" w:rsidRPr="00BC4F77" w:rsidRDefault="009B5E39" w:rsidP="00190E4A">
            <w:pPr>
              <w:spacing w:before="60" w:after="60"/>
              <w:rPr>
                <w:rFonts w:ascii="Gotham" w:hAnsi="Gotham" w:cs="Arial"/>
                <w:sz w:val="19"/>
                <w:szCs w:val="19"/>
              </w:rPr>
            </w:pPr>
          </w:p>
        </w:tc>
        <w:tc>
          <w:tcPr>
            <w:tcW w:w="4390" w:type="dxa"/>
          </w:tcPr>
          <w:p w14:paraId="3A475F35"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*Bordados y costuras</w:t>
            </w:r>
          </w:p>
          <w:p w14:paraId="3A475F36"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*Calcomanías</w:t>
            </w:r>
          </w:p>
          <w:p w14:paraId="3A475F37"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*Cerrajería</w:t>
            </w:r>
          </w:p>
          <w:p w14:paraId="3A475F38"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*Consultorios médicos y dentales</w:t>
            </w:r>
          </w:p>
          <w:p w14:paraId="3A475F39"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*Elaboración de conservas (mermeladas, embutidos, encurtidos y similares)</w:t>
            </w:r>
          </w:p>
          <w:p w14:paraId="3A475F3A"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*Elaboración de pasteles y similares</w:t>
            </w:r>
          </w:p>
          <w:p w14:paraId="3A475F3B"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*Elaboración de piñatas</w:t>
            </w:r>
          </w:p>
          <w:p w14:paraId="3A475F3C"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*Elaboración de salsas, yogurt y similares</w:t>
            </w:r>
          </w:p>
          <w:p w14:paraId="3A475F3D"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*Oficinas de profesionales</w:t>
            </w:r>
          </w:p>
          <w:p w14:paraId="3A475F3E"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Pedicuristas</w:t>
            </w:r>
          </w:p>
          <w:p w14:paraId="3A475F3F"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*Peluquerías y estéticas</w:t>
            </w:r>
          </w:p>
          <w:p w14:paraId="3A475F40"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*Reparación de calzado y artículos de piel</w:t>
            </w:r>
          </w:p>
        </w:tc>
      </w:tr>
      <w:tr w:rsidR="009B5E39" w:rsidRPr="00BC4F77" w14:paraId="3A475F43" w14:textId="77777777" w:rsidTr="00190E4A">
        <w:trPr>
          <w:jc w:val="center"/>
        </w:trPr>
        <w:tc>
          <w:tcPr>
            <w:tcW w:w="8779" w:type="dxa"/>
            <w:gridSpan w:val="2"/>
            <w:shd w:val="clear" w:color="auto" w:fill="D9D9D9" w:themeFill="background1" w:themeFillShade="D9"/>
          </w:tcPr>
          <w:p w14:paraId="3A475F42"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Además de los giros vecinales se incluyen los siguientes giros:</w:t>
            </w:r>
          </w:p>
        </w:tc>
      </w:tr>
      <w:tr w:rsidR="009B5E39" w:rsidRPr="00BC4F77" w14:paraId="3A475F6C" w14:textId="77777777" w:rsidTr="00190E4A">
        <w:trPr>
          <w:jc w:val="center"/>
        </w:trPr>
        <w:tc>
          <w:tcPr>
            <w:tcW w:w="4389" w:type="dxa"/>
          </w:tcPr>
          <w:p w14:paraId="3A475F44"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xml:space="preserve">*Aguas frescas, paletas y nieves    </w:t>
            </w:r>
          </w:p>
          <w:p w14:paraId="3A475F45"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xml:space="preserve">*Artículos de limpieza      </w:t>
            </w:r>
          </w:p>
          <w:p w14:paraId="3A475F46"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*Artículos deportivos</w:t>
            </w:r>
          </w:p>
          <w:p w14:paraId="3A475F47"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xml:space="preserve">*Artículos domésticos  </w:t>
            </w:r>
          </w:p>
          <w:p w14:paraId="3A475F48"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xml:space="preserve">* Artículos fotográficos  </w:t>
            </w:r>
          </w:p>
          <w:p w14:paraId="3A475F49"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xml:space="preserve">*Autoservicio y/o tienda de conveniencia </w:t>
            </w:r>
          </w:p>
          <w:p w14:paraId="3A475F4A"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*Bicicletas (venta)</w:t>
            </w:r>
          </w:p>
          <w:p w14:paraId="3A475F4B"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*Blancos</w:t>
            </w:r>
          </w:p>
          <w:p w14:paraId="3A475F4C"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*Bonetería</w:t>
            </w:r>
          </w:p>
          <w:p w14:paraId="3A475F4D"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*Botanas y frituras (venta)</w:t>
            </w:r>
          </w:p>
          <w:p w14:paraId="3A475F4E"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*Calzado (venta)</w:t>
            </w:r>
          </w:p>
          <w:p w14:paraId="3A475F4F"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*Dulcería</w:t>
            </w:r>
          </w:p>
          <w:p w14:paraId="3A475F50"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*Expendios de agua, billetes de lotería y sorteos, carbón, cerveza, huevo, leña, lubricantes y pan</w:t>
            </w:r>
          </w:p>
          <w:p w14:paraId="3A475F51"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lastRenderedPageBreak/>
              <w:t xml:space="preserve">*Ferretería y tlapalería  </w:t>
            </w:r>
          </w:p>
          <w:p w14:paraId="3A475F52"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xml:space="preserve">*Florería y artículos de jardinería  </w:t>
            </w:r>
          </w:p>
          <w:p w14:paraId="3A475F53"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*Hielo</w:t>
            </w:r>
          </w:p>
          <w:p w14:paraId="3A475F54"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*Juguetería</w:t>
            </w:r>
          </w:p>
          <w:p w14:paraId="3A475F55"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*Lencería</w:t>
            </w:r>
          </w:p>
          <w:p w14:paraId="3A475F56"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*Licorería (en botella cerrada)</w:t>
            </w:r>
          </w:p>
          <w:p w14:paraId="3A475F57"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*Marcos</w:t>
            </w:r>
          </w:p>
          <w:p w14:paraId="3A475F58"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*Ópticas</w:t>
            </w:r>
          </w:p>
          <w:p w14:paraId="3A475F59"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*Pinturas</w:t>
            </w:r>
          </w:p>
          <w:p w14:paraId="3A475F5A"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*Productos de plástico desechables</w:t>
            </w:r>
          </w:p>
          <w:p w14:paraId="3A475F5B"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*Renta de videojuegos y videos</w:t>
            </w:r>
          </w:p>
          <w:p w14:paraId="3A475F5C"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*Tiendas de ropa y accesorios</w:t>
            </w:r>
          </w:p>
          <w:p w14:paraId="3A475F5D"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xml:space="preserve">                                                                                                                           </w:t>
            </w:r>
          </w:p>
        </w:tc>
        <w:tc>
          <w:tcPr>
            <w:tcW w:w="4390" w:type="dxa"/>
          </w:tcPr>
          <w:p w14:paraId="3A475F5E"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lastRenderedPageBreak/>
              <w:t>* Clases de manualidades</w:t>
            </w:r>
          </w:p>
          <w:p w14:paraId="3A475F5F"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Elaboración de rótulos</w:t>
            </w:r>
          </w:p>
          <w:p w14:paraId="3A475F60"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*Encuadernación de libros</w:t>
            </w:r>
          </w:p>
          <w:p w14:paraId="3A475F61"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*Escudos y distintivos de metal y similares</w:t>
            </w:r>
          </w:p>
          <w:p w14:paraId="3A475F62"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Fontanería</w:t>
            </w:r>
          </w:p>
          <w:p w14:paraId="3A475F63"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 Foto estudio</w:t>
            </w:r>
          </w:p>
          <w:p w14:paraId="3A475F64"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*Impresiones y copiado</w:t>
            </w:r>
          </w:p>
          <w:p w14:paraId="3A475F65"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*Lavandería</w:t>
            </w:r>
          </w:p>
          <w:p w14:paraId="3A475F66"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*Oficinas privadas</w:t>
            </w:r>
          </w:p>
          <w:p w14:paraId="3A475F67"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*Reparación de equipo de cómputo, fotográfico, instrumentos musicales, relojes, básculas, aparatos electrónicos, bicicletas y similares</w:t>
            </w:r>
          </w:p>
          <w:p w14:paraId="3A475F68" w14:textId="77777777" w:rsidR="009B5E39" w:rsidRPr="00BC4F77" w:rsidRDefault="009B5E39" w:rsidP="00190E4A">
            <w:pPr>
              <w:spacing w:before="60" w:after="60"/>
              <w:rPr>
                <w:rFonts w:ascii="Gotham" w:eastAsia="Arial" w:hAnsi="Gotham" w:cs="Arial"/>
                <w:color w:val="2D3131"/>
                <w:sz w:val="19"/>
                <w:szCs w:val="19"/>
              </w:rPr>
            </w:pPr>
            <w:r w:rsidRPr="00BC4F77">
              <w:rPr>
                <w:rFonts w:ascii="Gotham" w:hAnsi="Gotham" w:cs="Arial"/>
                <w:sz w:val="19"/>
                <w:szCs w:val="19"/>
              </w:rPr>
              <w:t xml:space="preserve">*Reparaciones domésticas y artículos del hogar Sastrería y costureras y/o reparación de </w:t>
            </w:r>
            <w:r w:rsidRPr="00BC4F77">
              <w:rPr>
                <w:rFonts w:ascii="Gotham" w:eastAsia="Arial" w:hAnsi="Gotham" w:cs="Arial"/>
                <w:color w:val="2D3131"/>
                <w:sz w:val="19"/>
                <w:szCs w:val="19"/>
              </w:rPr>
              <w:t>ropa</w:t>
            </w:r>
          </w:p>
          <w:p w14:paraId="3A475F69"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lastRenderedPageBreak/>
              <w:t>*Talleres de joyería, orfebrería y similares</w:t>
            </w:r>
          </w:p>
          <w:p w14:paraId="3A475F6A" w14:textId="77777777" w:rsidR="009B5E39" w:rsidRPr="00BC4F77" w:rsidRDefault="009B5E39" w:rsidP="00190E4A">
            <w:pPr>
              <w:spacing w:before="60" w:after="60"/>
              <w:rPr>
                <w:rFonts w:ascii="Gotham" w:hAnsi="Gotham" w:cs="Arial"/>
                <w:sz w:val="19"/>
                <w:szCs w:val="19"/>
              </w:rPr>
            </w:pPr>
            <w:r w:rsidRPr="00BC4F77">
              <w:rPr>
                <w:rFonts w:ascii="Gotham" w:hAnsi="Gotham" w:cs="Arial"/>
                <w:sz w:val="19"/>
                <w:szCs w:val="19"/>
              </w:rPr>
              <w:t>*Tintorería</w:t>
            </w:r>
          </w:p>
          <w:p w14:paraId="3A475F6B" w14:textId="77777777" w:rsidR="009B5E39" w:rsidRPr="00BC4F77" w:rsidRDefault="009B5E39" w:rsidP="00190E4A">
            <w:pPr>
              <w:spacing w:before="60" w:after="60"/>
              <w:rPr>
                <w:rFonts w:ascii="Gotham" w:hAnsi="Gotham" w:cs="Arial"/>
                <w:sz w:val="19"/>
                <w:szCs w:val="19"/>
              </w:rPr>
            </w:pPr>
          </w:p>
        </w:tc>
      </w:tr>
      <w:tr w:rsidR="009B5E39" w:rsidRPr="00BC4F77" w14:paraId="3A475F6E" w14:textId="77777777" w:rsidTr="00190E4A">
        <w:trPr>
          <w:jc w:val="center"/>
        </w:trPr>
        <w:tc>
          <w:tcPr>
            <w:tcW w:w="8779" w:type="dxa"/>
            <w:gridSpan w:val="2"/>
            <w:shd w:val="clear" w:color="auto" w:fill="D9D9D9" w:themeFill="background1" w:themeFillShade="D9"/>
          </w:tcPr>
          <w:p w14:paraId="3A475F6D" w14:textId="77777777" w:rsidR="009B5E39" w:rsidRPr="00BC4F77" w:rsidRDefault="009B5E39" w:rsidP="00190E4A">
            <w:pPr>
              <w:spacing w:before="60" w:after="60"/>
              <w:rPr>
                <w:rFonts w:ascii="Gotham" w:hAnsi="Gotham" w:cs="Arial"/>
                <w:sz w:val="19"/>
                <w:szCs w:val="19"/>
              </w:rPr>
            </w:pPr>
            <w:r w:rsidRPr="00BC4F77">
              <w:rPr>
                <w:rFonts w:ascii="Gotham" w:eastAsia="Arial" w:hAnsi="Gotham" w:cs="Arial"/>
                <w:color w:val="2B2B2D"/>
                <w:sz w:val="19"/>
                <w:szCs w:val="19"/>
              </w:rPr>
              <w:lastRenderedPageBreak/>
              <w:t>La</w:t>
            </w:r>
            <w:r w:rsidRPr="00BC4F77">
              <w:rPr>
                <w:rFonts w:ascii="Gotham" w:eastAsia="Arial" w:hAnsi="Gotham" w:cs="Arial"/>
                <w:color w:val="2B2B2D"/>
                <w:spacing w:val="13"/>
                <w:sz w:val="19"/>
                <w:szCs w:val="19"/>
              </w:rPr>
              <w:t xml:space="preserve"> </w:t>
            </w:r>
            <w:r w:rsidRPr="00BC4F77">
              <w:rPr>
                <w:rFonts w:ascii="Gotham" w:eastAsia="Arial" w:hAnsi="Gotham" w:cs="Arial"/>
                <w:color w:val="2B2B2D"/>
                <w:sz w:val="19"/>
                <w:szCs w:val="19"/>
              </w:rPr>
              <w:t>consideración</w:t>
            </w:r>
            <w:r w:rsidRPr="00BC4F77">
              <w:rPr>
                <w:rFonts w:ascii="Gotham" w:eastAsia="Arial" w:hAnsi="Gotham" w:cs="Arial"/>
                <w:color w:val="2B2B2D"/>
                <w:spacing w:val="-7"/>
                <w:sz w:val="19"/>
                <w:szCs w:val="19"/>
              </w:rPr>
              <w:t xml:space="preserve"> </w:t>
            </w:r>
            <w:r w:rsidRPr="00BC4F77">
              <w:rPr>
                <w:rFonts w:ascii="Gotham" w:eastAsia="Arial" w:hAnsi="Gotham" w:cs="Arial"/>
                <w:color w:val="2B2B2D"/>
                <w:sz w:val="19"/>
                <w:szCs w:val="19"/>
              </w:rPr>
              <w:t>de</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los</w:t>
            </w:r>
            <w:r w:rsidRPr="00BC4F77">
              <w:rPr>
                <w:rFonts w:ascii="Gotham" w:eastAsia="Arial" w:hAnsi="Gotham" w:cs="Arial"/>
                <w:color w:val="2B2B2D"/>
                <w:spacing w:val="-25"/>
                <w:sz w:val="19"/>
                <w:szCs w:val="19"/>
              </w:rPr>
              <w:t xml:space="preserve"> </w:t>
            </w:r>
            <w:r w:rsidRPr="00BC4F77">
              <w:rPr>
                <w:rFonts w:ascii="Gotham" w:eastAsia="Arial" w:hAnsi="Gotham" w:cs="Arial"/>
                <w:color w:val="2B2B2D"/>
                <w:sz w:val="19"/>
                <w:szCs w:val="19"/>
              </w:rPr>
              <w:t>giros</w:t>
            </w:r>
            <w:r w:rsidRPr="00BC4F77">
              <w:rPr>
                <w:rFonts w:ascii="Gotham" w:eastAsia="Arial" w:hAnsi="Gotham" w:cs="Arial"/>
                <w:color w:val="2B2B2D"/>
                <w:spacing w:val="-5"/>
                <w:sz w:val="19"/>
                <w:szCs w:val="19"/>
              </w:rPr>
              <w:t xml:space="preserve"> </w:t>
            </w:r>
            <w:r w:rsidRPr="00BC4F77">
              <w:rPr>
                <w:rFonts w:ascii="Gotham" w:eastAsia="Arial" w:hAnsi="Gotham" w:cs="Arial"/>
                <w:color w:val="2B2B2D"/>
                <w:sz w:val="19"/>
                <w:szCs w:val="19"/>
              </w:rPr>
              <w:t>contenidos</w:t>
            </w:r>
            <w:r w:rsidRPr="00BC4F77">
              <w:rPr>
                <w:rFonts w:ascii="Gotham" w:eastAsia="Arial" w:hAnsi="Gotham" w:cs="Arial"/>
                <w:color w:val="2B2B2D"/>
                <w:spacing w:val="13"/>
                <w:sz w:val="19"/>
                <w:szCs w:val="19"/>
              </w:rPr>
              <w:t xml:space="preserve"> </w:t>
            </w:r>
            <w:r w:rsidRPr="00BC4F77">
              <w:rPr>
                <w:rFonts w:ascii="Gotham" w:eastAsia="Arial" w:hAnsi="Gotham" w:cs="Arial"/>
                <w:color w:val="2B2B2D"/>
                <w:sz w:val="19"/>
                <w:szCs w:val="19"/>
              </w:rPr>
              <w:t>en</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el</w:t>
            </w:r>
            <w:r w:rsidRPr="00BC4F77">
              <w:rPr>
                <w:rFonts w:ascii="Gotham" w:eastAsia="Arial" w:hAnsi="Gotham" w:cs="Arial"/>
                <w:color w:val="2B2B2D"/>
                <w:spacing w:val="-2"/>
                <w:sz w:val="19"/>
                <w:szCs w:val="19"/>
              </w:rPr>
              <w:t xml:space="preserve"> </w:t>
            </w:r>
            <w:r w:rsidRPr="00BC4F77">
              <w:rPr>
                <w:rFonts w:ascii="Gotham" w:eastAsia="Arial" w:hAnsi="Gotham" w:cs="Arial"/>
                <w:color w:val="2B2B2D"/>
                <w:sz w:val="19"/>
                <w:szCs w:val="19"/>
              </w:rPr>
              <w:t>presente</w:t>
            </w:r>
            <w:r w:rsidRPr="00BC4F77">
              <w:rPr>
                <w:rFonts w:ascii="Gotham" w:eastAsia="Arial" w:hAnsi="Gotham" w:cs="Arial"/>
                <w:color w:val="2B2B2D"/>
                <w:spacing w:val="-10"/>
                <w:sz w:val="19"/>
                <w:szCs w:val="19"/>
              </w:rPr>
              <w:t xml:space="preserve"> </w:t>
            </w:r>
            <w:r w:rsidRPr="00BC4F77">
              <w:rPr>
                <w:rFonts w:ascii="Gotham" w:eastAsia="Arial" w:hAnsi="Gotham" w:cs="Arial"/>
                <w:color w:val="2B2B2D"/>
                <w:sz w:val="19"/>
                <w:szCs w:val="19"/>
              </w:rPr>
              <w:t>cuadro</w:t>
            </w:r>
            <w:r w:rsidRPr="00BC4F77">
              <w:rPr>
                <w:rFonts w:ascii="Gotham" w:eastAsia="Arial" w:hAnsi="Gotham" w:cs="Arial"/>
                <w:color w:val="2B2B2D"/>
                <w:spacing w:val="1"/>
                <w:sz w:val="19"/>
                <w:szCs w:val="19"/>
              </w:rPr>
              <w:t xml:space="preserve"> </w:t>
            </w:r>
            <w:r w:rsidRPr="00BC4F77">
              <w:rPr>
                <w:rFonts w:ascii="Gotham" w:eastAsia="Arial" w:hAnsi="Gotham" w:cs="Arial"/>
                <w:color w:val="2B2B2D"/>
                <w:sz w:val="19"/>
                <w:szCs w:val="19"/>
              </w:rPr>
              <w:t>no</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implica</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la autorización</w:t>
            </w:r>
            <w:r w:rsidRPr="00BC4F77">
              <w:rPr>
                <w:rFonts w:ascii="Gotham" w:eastAsia="Arial" w:hAnsi="Gotham" w:cs="Arial"/>
                <w:color w:val="2B2B2D"/>
                <w:spacing w:val="-8"/>
                <w:sz w:val="19"/>
                <w:szCs w:val="19"/>
              </w:rPr>
              <w:t xml:space="preserve"> </w:t>
            </w:r>
            <w:r w:rsidRPr="00BC4F77">
              <w:rPr>
                <w:rFonts w:ascii="Gotham" w:eastAsia="Arial" w:hAnsi="Gotham" w:cs="Arial"/>
                <w:color w:val="2B2B2D"/>
                <w:sz w:val="19"/>
                <w:szCs w:val="19"/>
              </w:rPr>
              <w:t>del</w:t>
            </w:r>
            <w:r w:rsidRPr="00BC4F77">
              <w:rPr>
                <w:rFonts w:ascii="Gotham" w:eastAsia="Arial" w:hAnsi="Gotham" w:cs="Arial"/>
                <w:color w:val="2B2B2D"/>
                <w:spacing w:val="-9"/>
                <w:sz w:val="19"/>
                <w:szCs w:val="19"/>
              </w:rPr>
              <w:t xml:space="preserve"> </w:t>
            </w:r>
            <w:r w:rsidRPr="00BC4F77">
              <w:rPr>
                <w:rFonts w:ascii="Gotham" w:eastAsia="Arial" w:hAnsi="Gotham" w:cs="Arial"/>
                <w:color w:val="2B2B2D"/>
                <w:sz w:val="19"/>
                <w:szCs w:val="19"/>
              </w:rPr>
              <w:t>uso</w:t>
            </w:r>
            <w:r w:rsidRPr="00BC4F77">
              <w:rPr>
                <w:rFonts w:ascii="Gotham" w:eastAsia="Arial" w:hAnsi="Gotham" w:cs="Arial"/>
                <w:color w:val="2B2B2D"/>
                <w:spacing w:val="-12"/>
                <w:sz w:val="19"/>
                <w:szCs w:val="19"/>
              </w:rPr>
              <w:t xml:space="preserve"> </w:t>
            </w:r>
            <w:r w:rsidRPr="00BC4F77">
              <w:rPr>
                <w:rFonts w:ascii="Gotham" w:eastAsia="Arial" w:hAnsi="Gotham" w:cs="Arial"/>
                <w:color w:val="2B2B2D"/>
                <w:sz w:val="19"/>
                <w:szCs w:val="19"/>
              </w:rPr>
              <w:t>barrial,</w:t>
            </w:r>
            <w:r w:rsidRPr="00BC4F77">
              <w:rPr>
                <w:rFonts w:ascii="Gotham" w:eastAsia="Arial" w:hAnsi="Gotham" w:cs="Arial"/>
                <w:color w:val="2B2B2D"/>
                <w:spacing w:val="16"/>
                <w:sz w:val="19"/>
                <w:szCs w:val="19"/>
              </w:rPr>
              <w:t xml:space="preserve"> </w:t>
            </w:r>
            <w:r w:rsidRPr="00BC4F77">
              <w:rPr>
                <w:rFonts w:ascii="Gotham" w:eastAsia="Arial" w:hAnsi="Gotham" w:cs="Arial"/>
                <w:color w:val="2B2B2D"/>
                <w:sz w:val="19"/>
                <w:szCs w:val="19"/>
              </w:rPr>
              <w:t>por</w:t>
            </w:r>
            <w:r w:rsidRPr="00BC4F77">
              <w:rPr>
                <w:rFonts w:ascii="Gotham" w:eastAsia="Arial" w:hAnsi="Gotham" w:cs="Arial"/>
                <w:color w:val="2B2B2D"/>
                <w:spacing w:val="10"/>
                <w:sz w:val="19"/>
                <w:szCs w:val="19"/>
              </w:rPr>
              <w:t xml:space="preserve"> </w:t>
            </w:r>
            <w:r w:rsidRPr="00BC4F77">
              <w:rPr>
                <w:rFonts w:ascii="Gotham" w:eastAsia="Arial" w:hAnsi="Gotham" w:cs="Arial"/>
                <w:color w:val="2B2B2D"/>
                <w:sz w:val="19"/>
                <w:szCs w:val="19"/>
              </w:rPr>
              <w:t>lo</w:t>
            </w:r>
            <w:r w:rsidRPr="00BC4F77">
              <w:rPr>
                <w:rFonts w:ascii="Gotham" w:eastAsia="Arial" w:hAnsi="Gotham" w:cs="Arial"/>
                <w:color w:val="2B2B2D"/>
                <w:spacing w:val="13"/>
                <w:sz w:val="19"/>
                <w:szCs w:val="19"/>
              </w:rPr>
              <w:t xml:space="preserve"> </w:t>
            </w:r>
            <w:r w:rsidRPr="00BC4F77">
              <w:rPr>
                <w:rFonts w:ascii="Gotham" w:eastAsia="Arial" w:hAnsi="Gotham" w:cs="Arial"/>
                <w:color w:val="2B2B2D"/>
                <w:sz w:val="19"/>
                <w:szCs w:val="19"/>
              </w:rPr>
              <w:t>que</w:t>
            </w:r>
            <w:r w:rsidRPr="00BC4F77">
              <w:rPr>
                <w:rFonts w:ascii="Gotham" w:eastAsia="Arial" w:hAnsi="Gotham" w:cs="Arial"/>
                <w:color w:val="2B2B2D"/>
                <w:spacing w:val="-10"/>
                <w:sz w:val="19"/>
                <w:szCs w:val="19"/>
              </w:rPr>
              <w:t xml:space="preserve"> </w:t>
            </w:r>
            <w:r w:rsidRPr="00BC4F77">
              <w:rPr>
                <w:rFonts w:ascii="Gotham" w:eastAsia="Arial" w:hAnsi="Gotham" w:cs="Arial"/>
                <w:color w:val="2B2B2D"/>
                <w:sz w:val="19"/>
                <w:szCs w:val="19"/>
              </w:rPr>
              <w:t>el</w:t>
            </w:r>
            <w:r w:rsidRPr="00BC4F77">
              <w:rPr>
                <w:rFonts w:ascii="Gotham" w:eastAsia="Arial" w:hAnsi="Gotham" w:cs="Arial"/>
                <w:color w:val="2B2B2D"/>
                <w:spacing w:val="-2"/>
                <w:sz w:val="19"/>
                <w:szCs w:val="19"/>
              </w:rPr>
              <w:t xml:space="preserve"> </w:t>
            </w:r>
            <w:r w:rsidRPr="00BC4F77">
              <w:rPr>
                <w:rFonts w:ascii="Gotham" w:eastAsia="Arial" w:hAnsi="Gotham" w:cs="Arial"/>
                <w:color w:val="2B2B2D"/>
                <w:sz w:val="19"/>
                <w:szCs w:val="19"/>
              </w:rPr>
              <w:t>uso</w:t>
            </w:r>
            <w:r w:rsidRPr="00BC4F77">
              <w:rPr>
                <w:rFonts w:ascii="Gotham" w:eastAsia="Arial" w:hAnsi="Gotham" w:cs="Arial"/>
                <w:color w:val="2B2B2D"/>
                <w:spacing w:val="-27"/>
                <w:sz w:val="19"/>
                <w:szCs w:val="19"/>
              </w:rPr>
              <w:t xml:space="preserve"> </w:t>
            </w:r>
            <w:r w:rsidRPr="00BC4F77">
              <w:rPr>
                <w:rFonts w:ascii="Gotham" w:eastAsia="Arial" w:hAnsi="Gotham" w:cs="Arial"/>
                <w:color w:val="2B2B2D"/>
                <w:sz w:val="19"/>
                <w:szCs w:val="19"/>
              </w:rPr>
              <w:t>comercial</w:t>
            </w:r>
            <w:r w:rsidRPr="00BC4F77">
              <w:rPr>
                <w:rFonts w:ascii="Gotham" w:eastAsia="Arial" w:hAnsi="Gotham" w:cs="Arial"/>
                <w:color w:val="2B2B2D"/>
                <w:spacing w:val="-8"/>
                <w:sz w:val="19"/>
                <w:szCs w:val="19"/>
              </w:rPr>
              <w:t xml:space="preserve"> </w:t>
            </w:r>
            <w:r w:rsidRPr="00BC4F77">
              <w:rPr>
                <w:rFonts w:ascii="Gotham" w:eastAsia="Arial" w:hAnsi="Gotham" w:cs="Arial"/>
                <w:color w:val="2B2B2D"/>
                <w:sz w:val="19"/>
                <w:szCs w:val="19"/>
              </w:rPr>
              <w:t>y</w:t>
            </w:r>
            <w:r w:rsidRPr="00BC4F77">
              <w:rPr>
                <w:rFonts w:ascii="Gotham" w:eastAsia="Arial" w:hAnsi="Gotham" w:cs="Arial"/>
                <w:color w:val="2B2B2D"/>
                <w:spacing w:val="2"/>
                <w:sz w:val="19"/>
                <w:szCs w:val="19"/>
              </w:rPr>
              <w:t xml:space="preserve"> </w:t>
            </w:r>
            <w:r w:rsidRPr="00BC4F77">
              <w:rPr>
                <w:rFonts w:ascii="Gotham" w:eastAsia="Arial" w:hAnsi="Gotham" w:cs="Arial"/>
                <w:color w:val="2B2B2D"/>
                <w:sz w:val="19"/>
                <w:szCs w:val="19"/>
              </w:rPr>
              <w:t>de</w:t>
            </w:r>
            <w:r w:rsidRPr="00BC4F77">
              <w:rPr>
                <w:rFonts w:ascii="Gotham" w:eastAsia="Arial" w:hAnsi="Gotham" w:cs="Arial"/>
                <w:color w:val="2B2B2D"/>
                <w:spacing w:val="-18"/>
                <w:sz w:val="19"/>
                <w:szCs w:val="19"/>
              </w:rPr>
              <w:t xml:space="preserve"> </w:t>
            </w:r>
            <w:r w:rsidRPr="00BC4F77">
              <w:rPr>
                <w:rFonts w:ascii="Gotham" w:eastAsia="Arial" w:hAnsi="Gotham" w:cs="Arial"/>
                <w:color w:val="2B2B2D"/>
                <w:sz w:val="19"/>
                <w:szCs w:val="19"/>
              </w:rPr>
              <w:t>servicios</w:t>
            </w:r>
            <w:r w:rsidRPr="00BC4F77">
              <w:rPr>
                <w:rFonts w:ascii="Gotham" w:eastAsia="Arial" w:hAnsi="Gotham" w:cs="Arial"/>
                <w:color w:val="2B2B2D"/>
                <w:spacing w:val="-24"/>
                <w:sz w:val="19"/>
                <w:szCs w:val="19"/>
              </w:rPr>
              <w:t xml:space="preserve"> </w:t>
            </w:r>
            <w:r w:rsidRPr="00BC4F77">
              <w:rPr>
                <w:rFonts w:ascii="Gotham" w:eastAsia="Arial" w:hAnsi="Gotham" w:cs="Arial"/>
                <w:color w:val="2B2B2D"/>
                <w:sz w:val="19"/>
                <w:szCs w:val="19"/>
              </w:rPr>
              <w:t>en</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la</w:t>
            </w:r>
            <w:r w:rsidRPr="00BC4F77">
              <w:rPr>
                <w:rFonts w:ascii="Gotham" w:eastAsia="Arial" w:hAnsi="Gotham" w:cs="Arial"/>
                <w:color w:val="2B2B2D"/>
                <w:spacing w:val="-16"/>
                <w:sz w:val="19"/>
                <w:szCs w:val="19"/>
              </w:rPr>
              <w:t xml:space="preserve"> </w:t>
            </w:r>
            <w:r w:rsidRPr="00BC4F77">
              <w:rPr>
                <w:rFonts w:ascii="Gotham" w:eastAsia="Arial" w:hAnsi="Gotham" w:cs="Arial"/>
                <w:color w:val="2B2B2D"/>
                <w:sz w:val="19"/>
                <w:szCs w:val="19"/>
              </w:rPr>
              <w:t>modalidad mixta</w:t>
            </w:r>
            <w:r w:rsidRPr="00BC4F77">
              <w:rPr>
                <w:rFonts w:ascii="Gotham" w:eastAsia="Arial" w:hAnsi="Gotham" w:cs="Arial"/>
                <w:color w:val="2B2B2D"/>
                <w:spacing w:val="-10"/>
                <w:sz w:val="19"/>
                <w:szCs w:val="19"/>
              </w:rPr>
              <w:t xml:space="preserve"> </w:t>
            </w:r>
            <w:r w:rsidRPr="00BC4F77">
              <w:rPr>
                <w:rFonts w:ascii="Gotham" w:eastAsia="Arial" w:hAnsi="Gotham" w:cs="Arial"/>
                <w:color w:val="2B2B2D"/>
                <w:sz w:val="19"/>
                <w:szCs w:val="19"/>
              </w:rPr>
              <w:t>será</w:t>
            </w:r>
            <w:r w:rsidRPr="00BC4F77">
              <w:rPr>
                <w:rFonts w:ascii="Gotham" w:eastAsia="Arial" w:hAnsi="Gotham" w:cs="Arial"/>
                <w:color w:val="2B2B2D"/>
                <w:spacing w:val="-28"/>
                <w:sz w:val="19"/>
                <w:szCs w:val="19"/>
              </w:rPr>
              <w:t xml:space="preserve"> </w:t>
            </w:r>
            <w:r w:rsidRPr="00BC4F77">
              <w:rPr>
                <w:rFonts w:ascii="Gotham" w:eastAsia="Arial" w:hAnsi="Gotham" w:cs="Arial"/>
                <w:color w:val="2B2B2D"/>
                <w:sz w:val="19"/>
                <w:szCs w:val="19"/>
              </w:rPr>
              <w:t>de</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nivel</w:t>
            </w:r>
            <w:r w:rsidRPr="00BC4F77">
              <w:rPr>
                <w:rFonts w:ascii="Gotham" w:eastAsia="Arial" w:hAnsi="Gotham" w:cs="Arial"/>
                <w:color w:val="2B2B2D"/>
                <w:spacing w:val="5"/>
                <w:sz w:val="19"/>
                <w:szCs w:val="19"/>
              </w:rPr>
              <w:t xml:space="preserve"> </w:t>
            </w:r>
            <w:r w:rsidRPr="00BC4F77">
              <w:rPr>
                <w:rFonts w:ascii="Gotham" w:eastAsia="Arial" w:hAnsi="Gotham" w:cs="Arial"/>
                <w:color w:val="2B2B2D"/>
                <w:sz w:val="19"/>
                <w:szCs w:val="19"/>
              </w:rPr>
              <w:t xml:space="preserve">vecinal. </w:t>
            </w:r>
            <w:r w:rsidRPr="00BC4F77">
              <w:rPr>
                <w:rFonts w:ascii="Gotham" w:eastAsia="Arial" w:hAnsi="Gotham" w:cs="Arial"/>
                <w:color w:val="2B2B2D"/>
                <w:w w:val="79"/>
                <w:sz w:val="19"/>
                <w:szCs w:val="19"/>
              </w:rPr>
              <w:t>La</w:t>
            </w:r>
            <w:r w:rsidRPr="00BC4F77">
              <w:rPr>
                <w:rFonts w:ascii="Gotham" w:eastAsia="Arial" w:hAnsi="Gotham" w:cs="Arial"/>
                <w:color w:val="2B2B2D"/>
                <w:spacing w:val="18"/>
                <w:w w:val="79"/>
                <w:sz w:val="19"/>
                <w:szCs w:val="19"/>
              </w:rPr>
              <w:t xml:space="preserve"> </w:t>
            </w:r>
            <w:r w:rsidRPr="00BC4F77">
              <w:rPr>
                <w:rFonts w:ascii="Gotham" w:eastAsia="Arial" w:hAnsi="Gotham" w:cs="Arial"/>
                <w:color w:val="2B2B2D"/>
                <w:sz w:val="19"/>
                <w:szCs w:val="19"/>
              </w:rPr>
              <w:t>dimensión</w:t>
            </w:r>
            <w:r w:rsidRPr="00BC4F77">
              <w:rPr>
                <w:rFonts w:ascii="Gotham" w:eastAsia="Arial" w:hAnsi="Gotham" w:cs="Arial"/>
                <w:color w:val="2B2B2D"/>
                <w:spacing w:val="2"/>
                <w:sz w:val="19"/>
                <w:szCs w:val="19"/>
              </w:rPr>
              <w:t xml:space="preserve"> </w:t>
            </w:r>
            <w:r w:rsidRPr="00BC4F77">
              <w:rPr>
                <w:rFonts w:ascii="Gotham" w:eastAsia="Arial" w:hAnsi="Gotham" w:cs="Arial"/>
                <w:color w:val="2B2B2D"/>
                <w:sz w:val="19"/>
                <w:szCs w:val="19"/>
              </w:rPr>
              <w:t>de</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cada</w:t>
            </w:r>
            <w:r w:rsidRPr="00BC4F77">
              <w:rPr>
                <w:rFonts w:ascii="Gotham" w:eastAsia="Arial" w:hAnsi="Gotham" w:cs="Arial"/>
                <w:color w:val="2B2B2D"/>
                <w:spacing w:val="-34"/>
                <w:sz w:val="19"/>
                <w:szCs w:val="19"/>
              </w:rPr>
              <w:t xml:space="preserve"> </w:t>
            </w:r>
            <w:r w:rsidRPr="00BC4F77">
              <w:rPr>
                <w:rFonts w:ascii="Gotham" w:eastAsia="Arial" w:hAnsi="Gotham" w:cs="Arial"/>
                <w:color w:val="2B2B2D"/>
                <w:sz w:val="19"/>
                <w:szCs w:val="19"/>
              </w:rPr>
              <w:t>local</w:t>
            </w:r>
            <w:r w:rsidRPr="00BC4F77">
              <w:rPr>
                <w:rFonts w:ascii="Gotham" w:eastAsia="Arial" w:hAnsi="Gotham" w:cs="Arial"/>
                <w:color w:val="2B2B2D"/>
                <w:spacing w:val="5"/>
                <w:sz w:val="19"/>
                <w:szCs w:val="19"/>
              </w:rPr>
              <w:t xml:space="preserve"> </w:t>
            </w:r>
            <w:r w:rsidRPr="00BC4F77">
              <w:rPr>
                <w:rFonts w:ascii="Gotham" w:eastAsia="Arial" w:hAnsi="Gotham" w:cs="Arial"/>
                <w:color w:val="2B2B2D"/>
                <w:sz w:val="19"/>
                <w:szCs w:val="19"/>
              </w:rPr>
              <w:t>no</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podrá</w:t>
            </w:r>
            <w:r w:rsidRPr="00BC4F77">
              <w:rPr>
                <w:rFonts w:ascii="Gotham" w:eastAsia="Arial" w:hAnsi="Gotham" w:cs="Arial"/>
                <w:color w:val="2B2B2D"/>
                <w:spacing w:val="-4"/>
                <w:sz w:val="19"/>
                <w:szCs w:val="19"/>
              </w:rPr>
              <w:t xml:space="preserve"> </w:t>
            </w:r>
            <w:r w:rsidRPr="00BC4F77">
              <w:rPr>
                <w:rFonts w:ascii="Gotham" w:eastAsia="Arial" w:hAnsi="Gotham" w:cs="Arial"/>
                <w:color w:val="2B2B2D"/>
                <w:sz w:val="19"/>
                <w:szCs w:val="19"/>
              </w:rPr>
              <w:t>exceder</w:t>
            </w:r>
            <w:r w:rsidRPr="00BC4F77">
              <w:rPr>
                <w:rFonts w:ascii="Gotham" w:eastAsia="Arial" w:hAnsi="Gotham" w:cs="Arial"/>
                <w:color w:val="2B2B2D"/>
                <w:spacing w:val="-23"/>
                <w:sz w:val="19"/>
                <w:szCs w:val="19"/>
              </w:rPr>
              <w:t xml:space="preserve"> </w:t>
            </w:r>
            <w:r w:rsidRPr="00BC4F77">
              <w:rPr>
                <w:rFonts w:ascii="Gotham" w:eastAsia="Arial" w:hAnsi="Gotham" w:cs="Arial"/>
                <w:color w:val="2B2B2D"/>
                <w:sz w:val="19"/>
                <w:szCs w:val="19"/>
              </w:rPr>
              <w:t>los</w:t>
            </w:r>
            <w:r w:rsidRPr="00BC4F77">
              <w:rPr>
                <w:rFonts w:ascii="Gotham" w:eastAsia="Arial" w:hAnsi="Gotham" w:cs="Arial"/>
                <w:color w:val="2B2B2D"/>
                <w:spacing w:val="-11"/>
                <w:sz w:val="19"/>
                <w:szCs w:val="19"/>
              </w:rPr>
              <w:t xml:space="preserve"> </w:t>
            </w:r>
            <w:r w:rsidRPr="00BC4F77">
              <w:rPr>
                <w:rFonts w:ascii="Gotham" w:eastAsia="Arial" w:hAnsi="Gotham" w:cs="Arial"/>
                <w:color w:val="2B2B2D"/>
                <w:sz w:val="19"/>
                <w:szCs w:val="19"/>
              </w:rPr>
              <w:t>50.00 m</w:t>
            </w:r>
            <w:r w:rsidRPr="00BC4F77">
              <w:rPr>
                <w:rFonts w:ascii="Gotham" w:eastAsia="Arial" w:hAnsi="Gotham" w:cs="Arial"/>
                <w:color w:val="2B2B2D"/>
                <w:sz w:val="19"/>
                <w:szCs w:val="19"/>
                <w:vertAlign w:val="superscript"/>
              </w:rPr>
              <w:t>2</w:t>
            </w:r>
            <w:r w:rsidRPr="00BC4F77">
              <w:rPr>
                <w:rFonts w:ascii="Gotham" w:eastAsia="Arial" w:hAnsi="Gotham" w:cs="Arial"/>
                <w:color w:val="2B2B2D"/>
                <w:sz w:val="19"/>
                <w:szCs w:val="19"/>
              </w:rPr>
              <w:t xml:space="preserve">. </w:t>
            </w:r>
            <w:r w:rsidRPr="00BC4F77">
              <w:rPr>
                <w:rFonts w:ascii="Gotham" w:eastAsia="Arial" w:hAnsi="Gotham" w:cs="Arial"/>
                <w:color w:val="2B2B2D"/>
                <w:w w:val="85"/>
                <w:sz w:val="19"/>
                <w:szCs w:val="19"/>
              </w:rPr>
              <w:t>De</w:t>
            </w:r>
            <w:r w:rsidRPr="00BC4F77">
              <w:rPr>
                <w:rFonts w:ascii="Gotham" w:eastAsia="Arial" w:hAnsi="Gotham" w:cs="Arial"/>
                <w:color w:val="2B2B2D"/>
                <w:spacing w:val="11"/>
                <w:w w:val="85"/>
                <w:sz w:val="19"/>
                <w:szCs w:val="19"/>
              </w:rPr>
              <w:t xml:space="preserve"> </w:t>
            </w:r>
            <w:r w:rsidRPr="00BC4F77">
              <w:rPr>
                <w:rFonts w:ascii="Gotham" w:eastAsia="Arial" w:hAnsi="Gotham" w:cs="Arial"/>
                <w:color w:val="2B2B2D"/>
                <w:sz w:val="19"/>
                <w:szCs w:val="19"/>
              </w:rPr>
              <w:t>emplazars</w:t>
            </w:r>
            <w:r w:rsidRPr="00BC4F77">
              <w:rPr>
                <w:rFonts w:ascii="Gotham" w:eastAsia="Arial" w:hAnsi="Gotham" w:cs="Arial"/>
                <w:color w:val="2B2B2D"/>
                <w:spacing w:val="15"/>
                <w:sz w:val="19"/>
                <w:szCs w:val="19"/>
              </w:rPr>
              <w:t xml:space="preserve">e </w:t>
            </w:r>
            <w:r w:rsidRPr="00BC4F77">
              <w:rPr>
                <w:rFonts w:ascii="Gotham" w:eastAsia="Arial" w:hAnsi="Gotham" w:cs="Arial"/>
                <w:color w:val="2B2B2D"/>
                <w:sz w:val="19"/>
                <w:szCs w:val="19"/>
              </w:rPr>
              <w:t>el</w:t>
            </w:r>
            <w:r w:rsidRPr="00BC4F77">
              <w:rPr>
                <w:rFonts w:ascii="Gotham" w:eastAsia="Arial" w:hAnsi="Gotham" w:cs="Arial"/>
                <w:color w:val="2B2B2D"/>
                <w:spacing w:val="13"/>
                <w:sz w:val="19"/>
                <w:szCs w:val="19"/>
              </w:rPr>
              <w:t xml:space="preserve"> </w:t>
            </w:r>
            <w:r w:rsidRPr="00BC4F77">
              <w:rPr>
                <w:rFonts w:ascii="Gotham" w:eastAsia="Arial" w:hAnsi="Gotham" w:cs="Arial"/>
                <w:color w:val="2B2B2D"/>
                <w:sz w:val="19"/>
                <w:szCs w:val="19"/>
              </w:rPr>
              <w:t>proyecto</w:t>
            </w:r>
            <w:r w:rsidRPr="00BC4F77">
              <w:rPr>
                <w:rFonts w:ascii="Gotham" w:eastAsia="Arial" w:hAnsi="Gotham" w:cs="Arial"/>
                <w:color w:val="2B2B2D"/>
                <w:spacing w:val="17"/>
                <w:sz w:val="19"/>
                <w:szCs w:val="19"/>
              </w:rPr>
              <w:t xml:space="preserve"> </w:t>
            </w:r>
            <w:r w:rsidRPr="00BC4F77">
              <w:rPr>
                <w:rFonts w:ascii="Gotham" w:eastAsia="Arial" w:hAnsi="Gotham" w:cs="Arial"/>
                <w:color w:val="2B2B2D"/>
                <w:sz w:val="19"/>
                <w:szCs w:val="19"/>
              </w:rPr>
              <w:t>en</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una</w:t>
            </w:r>
            <w:r w:rsidRPr="00BC4F77">
              <w:rPr>
                <w:rFonts w:ascii="Gotham" w:eastAsia="Arial" w:hAnsi="Gotham" w:cs="Arial"/>
                <w:color w:val="2B2B2D"/>
                <w:spacing w:val="-25"/>
                <w:sz w:val="19"/>
                <w:szCs w:val="19"/>
              </w:rPr>
              <w:t xml:space="preserve"> </w:t>
            </w:r>
            <w:r w:rsidRPr="00BC4F77">
              <w:rPr>
                <w:rFonts w:ascii="Gotham" w:eastAsia="Arial" w:hAnsi="Gotham" w:cs="Arial"/>
                <w:color w:val="2B2B2D"/>
                <w:sz w:val="19"/>
                <w:szCs w:val="19"/>
              </w:rPr>
              <w:t>vialidad</w:t>
            </w:r>
            <w:r w:rsidRPr="00BC4F77">
              <w:rPr>
                <w:rFonts w:ascii="Gotham" w:eastAsia="Arial" w:hAnsi="Gotham" w:cs="Arial"/>
                <w:color w:val="2B2B2D"/>
                <w:spacing w:val="14"/>
                <w:sz w:val="19"/>
                <w:szCs w:val="19"/>
              </w:rPr>
              <w:t xml:space="preserve"> </w:t>
            </w:r>
            <w:r w:rsidRPr="00BC4F77">
              <w:rPr>
                <w:rFonts w:ascii="Gotham" w:eastAsia="Arial" w:hAnsi="Gotham" w:cs="Arial"/>
                <w:color w:val="2B2B2D"/>
                <w:sz w:val="19"/>
                <w:szCs w:val="19"/>
              </w:rPr>
              <w:t>de</w:t>
            </w:r>
            <w:r w:rsidRPr="00BC4F77">
              <w:rPr>
                <w:rFonts w:ascii="Gotham" w:eastAsia="Arial" w:hAnsi="Gotham" w:cs="Arial"/>
                <w:color w:val="2B2B2D"/>
                <w:spacing w:val="-3"/>
                <w:sz w:val="19"/>
                <w:szCs w:val="19"/>
              </w:rPr>
              <w:t xml:space="preserve"> </w:t>
            </w:r>
            <w:r w:rsidRPr="00BC4F77">
              <w:rPr>
                <w:rFonts w:ascii="Gotham" w:eastAsia="Arial" w:hAnsi="Gotham" w:cs="Arial"/>
                <w:color w:val="2B2B2D"/>
                <w:sz w:val="19"/>
                <w:szCs w:val="19"/>
              </w:rPr>
              <w:t>mayor</w:t>
            </w:r>
            <w:r w:rsidRPr="00BC4F77">
              <w:rPr>
                <w:rFonts w:ascii="Gotham" w:eastAsia="Arial" w:hAnsi="Gotham" w:cs="Arial"/>
                <w:color w:val="2B2B2D"/>
                <w:spacing w:val="-24"/>
                <w:sz w:val="19"/>
                <w:szCs w:val="19"/>
              </w:rPr>
              <w:t xml:space="preserve"> </w:t>
            </w:r>
            <w:r w:rsidRPr="00BC4F77">
              <w:rPr>
                <w:rFonts w:ascii="Gotham" w:eastAsia="Arial" w:hAnsi="Gotham" w:cs="Arial"/>
                <w:color w:val="2B2B2D"/>
                <w:sz w:val="19"/>
                <w:szCs w:val="19"/>
              </w:rPr>
              <w:t>jerarquía</w:t>
            </w:r>
            <w:r w:rsidRPr="00BC4F77">
              <w:rPr>
                <w:rFonts w:ascii="Gotham" w:eastAsia="Arial" w:hAnsi="Gotham" w:cs="Arial"/>
                <w:color w:val="2B2B2D"/>
                <w:spacing w:val="22"/>
                <w:sz w:val="19"/>
                <w:szCs w:val="19"/>
              </w:rPr>
              <w:t xml:space="preserve"> </w:t>
            </w:r>
            <w:r w:rsidRPr="00BC4F77">
              <w:rPr>
                <w:rFonts w:ascii="Gotham" w:eastAsia="Arial" w:hAnsi="Gotham" w:cs="Arial"/>
                <w:color w:val="2B2B2D"/>
                <w:w w:val="79"/>
                <w:sz w:val="19"/>
                <w:szCs w:val="19"/>
              </w:rPr>
              <w:t>a</w:t>
            </w:r>
            <w:r w:rsidRPr="00BC4F77">
              <w:rPr>
                <w:rFonts w:ascii="Gotham" w:eastAsia="Arial" w:hAnsi="Gotham" w:cs="Arial"/>
                <w:color w:val="2B2B2D"/>
                <w:spacing w:val="28"/>
                <w:w w:val="79"/>
                <w:sz w:val="19"/>
                <w:szCs w:val="19"/>
              </w:rPr>
              <w:t xml:space="preserve"> </w:t>
            </w:r>
            <w:r w:rsidRPr="00BC4F77">
              <w:rPr>
                <w:rFonts w:ascii="Gotham" w:eastAsia="Arial" w:hAnsi="Gotham" w:cs="Arial"/>
                <w:color w:val="2B2B2D"/>
                <w:sz w:val="19"/>
                <w:szCs w:val="19"/>
              </w:rPr>
              <w:t>la</w:t>
            </w:r>
            <w:r w:rsidRPr="00BC4F77">
              <w:rPr>
                <w:rFonts w:ascii="Gotham" w:eastAsia="Arial" w:hAnsi="Gotham" w:cs="Arial"/>
                <w:color w:val="2B2B2D"/>
                <w:spacing w:val="-16"/>
                <w:sz w:val="19"/>
                <w:szCs w:val="19"/>
              </w:rPr>
              <w:t xml:space="preserve"> </w:t>
            </w:r>
            <w:r w:rsidRPr="00BC4F77">
              <w:rPr>
                <w:rFonts w:ascii="Gotham" w:eastAsia="Arial" w:hAnsi="Gotham" w:cs="Arial"/>
                <w:color w:val="2B2B2D"/>
                <w:sz w:val="19"/>
                <w:szCs w:val="19"/>
              </w:rPr>
              <w:t>vialidad subcolectora,</w:t>
            </w:r>
            <w:r w:rsidRPr="00BC4F77">
              <w:rPr>
                <w:rFonts w:ascii="Gotham" w:eastAsia="Arial" w:hAnsi="Gotham" w:cs="Arial"/>
                <w:color w:val="2B2B2D"/>
                <w:spacing w:val="-15"/>
                <w:sz w:val="19"/>
                <w:szCs w:val="19"/>
              </w:rPr>
              <w:t xml:space="preserve"> </w:t>
            </w:r>
            <w:r w:rsidRPr="00BC4F77">
              <w:rPr>
                <w:rFonts w:ascii="Gotham" w:eastAsia="Arial" w:hAnsi="Gotham" w:cs="Arial"/>
                <w:color w:val="2B2B2D"/>
                <w:sz w:val="19"/>
                <w:szCs w:val="19"/>
              </w:rPr>
              <w:t>el</w:t>
            </w:r>
            <w:r w:rsidRPr="00BC4F77">
              <w:rPr>
                <w:rFonts w:ascii="Gotham" w:eastAsia="Arial" w:hAnsi="Gotham" w:cs="Arial"/>
                <w:color w:val="2B2B2D"/>
                <w:spacing w:val="-2"/>
                <w:sz w:val="19"/>
                <w:szCs w:val="19"/>
              </w:rPr>
              <w:t xml:space="preserve"> </w:t>
            </w:r>
            <w:r w:rsidRPr="00BC4F77">
              <w:rPr>
                <w:rFonts w:ascii="Gotham" w:eastAsia="Arial" w:hAnsi="Gotham" w:cs="Arial"/>
                <w:color w:val="2B2B2D"/>
                <w:sz w:val="19"/>
                <w:szCs w:val="19"/>
              </w:rPr>
              <w:t>uso</w:t>
            </w:r>
            <w:r w:rsidRPr="00BC4F77">
              <w:rPr>
                <w:rFonts w:ascii="Gotham" w:eastAsia="Arial" w:hAnsi="Gotham" w:cs="Arial"/>
                <w:color w:val="2B2B2D"/>
                <w:spacing w:val="-12"/>
                <w:sz w:val="19"/>
                <w:szCs w:val="19"/>
              </w:rPr>
              <w:t xml:space="preserve"> </w:t>
            </w:r>
            <w:r w:rsidRPr="00BC4F77">
              <w:rPr>
                <w:rFonts w:ascii="Gotham" w:eastAsia="Arial" w:hAnsi="Gotham" w:cs="Arial"/>
                <w:color w:val="2B2B2D"/>
                <w:sz w:val="19"/>
                <w:szCs w:val="19"/>
              </w:rPr>
              <w:t>comercial</w:t>
            </w:r>
            <w:r w:rsidRPr="00BC4F77">
              <w:rPr>
                <w:rFonts w:ascii="Gotham" w:eastAsia="Arial" w:hAnsi="Gotham" w:cs="Arial"/>
                <w:color w:val="2B2B2D"/>
                <w:spacing w:val="-8"/>
                <w:sz w:val="19"/>
                <w:szCs w:val="19"/>
              </w:rPr>
              <w:t xml:space="preserve"> </w:t>
            </w:r>
            <w:r w:rsidRPr="00BC4F77">
              <w:rPr>
                <w:rFonts w:ascii="Gotham" w:eastAsia="Arial" w:hAnsi="Gotham" w:cs="Arial"/>
                <w:color w:val="2B2B2D"/>
                <w:sz w:val="19"/>
                <w:szCs w:val="19"/>
              </w:rPr>
              <w:t>y</w:t>
            </w:r>
            <w:r w:rsidRPr="00BC4F77">
              <w:rPr>
                <w:rFonts w:ascii="Gotham" w:eastAsia="Arial" w:hAnsi="Gotham" w:cs="Arial"/>
                <w:color w:val="2B2B2D"/>
                <w:spacing w:val="2"/>
                <w:sz w:val="19"/>
                <w:szCs w:val="19"/>
              </w:rPr>
              <w:t xml:space="preserve"> </w:t>
            </w:r>
            <w:r w:rsidRPr="00BC4F77">
              <w:rPr>
                <w:rFonts w:ascii="Gotham" w:eastAsia="Arial" w:hAnsi="Gotham" w:cs="Arial"/>
                <w:color w:val="2B2B2D"/>
                <w:sz w:val="19"/>
                <w:szCs w:val="19"/>
              </w:rPr>
              <w:t>de</w:t>
            </w:r>
            <w:r w:rsidRPr="00BC4F77">
              <w:rPr>
                <w:rFonts w:ascii="Gotham" w:eastAsia="Arial" w:hAnsi="Gotham" w:cs="Arial"/>
                <w:color w:val="2B2B2D"/>
                <w:spacing w:val="-18"/>
                <w:sz w:val="19"/>
                <w:szCs w:val="19"/>
              </w:rPr>
              <w:t xml:space="preserve"> </w:t>
            </w:r>
            <w:r w:rsidRPr="00BC4F77">
              <w:rPr>
                <w:rFonts w:ascii="Gotham" w:eastAsia="Arial" w:hAnsi="Gotham" w:cs="Arial"/>
                <w:color w:val="2B2B2D"/>
                <w:sz w:val="19"/>
                <w:szCs w:val="19"/>
              </w:rPr>
              <w:t>servicios</w:t>
            </w:r>
            <w:r w:rsidRPr="00BC4F77">
              <w:rPr>
                <w:rFonts w:ascii="Gotham" w:eastAsia="Arial" w:hAnsi="Gotham" w:cs="Arial"/>
                <w:color w:val="2B2B2D"/>
                <w:spacing w:val="-24"/>
                <w:sz w:val="19"/>
                <w:szCs w:val="19"/>
              </w:rPr>
              <w:t xml:space="preserve"> </w:t>
            </w:r>
            <w:r w:rsidRPr="00BC4F77">
              <w:rPr>
                <w:rFonts w:ascii="Gotham" w:eastAsia="Arial" w:hAnsi="Gotham" w:cs="Arial"/>
                <w:color w:val="2B2B2D"/>
                <w:sz w:val="19"/>
                <w:szCs w:val="19"/>
              </w:rPr>
              <w:t>corresponderá</w:t>
            </w:r>
            <w:r w:rsidRPr="00BC4F77">
              <w:rPr>
                <w:rFonts w:ascii="Gotham" w:eastAsia="Arial" w:hAnsi="Gotham" w:cs="Arial"/>
                <w:color w:val="2B2B2D"/>
                <w:spacing w:val="4"/>
                <w:sz w:val="19"/>
                <w:szCs w:val="19"/>
              </w:rPr>
              <w:t xml:space="preserve"> </w:t>
            </w:r>
            <w:r w:rsidRPr="00BC4F77">
              <w:rPr>
                <w:rFonts w:ascii="Gotham" w:eastAsia="Arial" w:hAnsi="Gotham" w:cs="Arial"/>
                <w:color w:val="2B2B2D"/>
                <w:w w:val="79"/>
                <w:sz w:val="19"/>
                <w:szCs w:val="19"/>
              </w:rPr>
              <w:t>a</w:t>
            </w:r>
            <w:r w:rsidRPr="00BC4F77">
              <w:rPr>
                <w:rFonts w:ascii="Gotham" w:eastAsia="Arial" w:hAnsi="Gotham" w:cs="Arial"/>
                <w:color w:val="2B2B2D"/>
                <w:spacing w:val="28"/>
                <w:w w:val="79"/>
                <w:sz w:val="19"/>
                <w:szCs w:val="19"/>
              </w:rPr>
              <w:t xml:space="preserve"> </w:t>
            </w:r>
            <w:r w:rsidRPr="00BC4F77">
              <w:rPr>
                <w:rFonts w:ascii="Gotham" w:eastAsia="Arial" w:hAnsi="Gotham" w:cs="Arial"/>
                <w:color w:val="2B2B2D"/>
                <w:w w:val="79"/>
                <w:sz w:val="19"/>
                <w:szCs w:val="19"/>
              </w:rPr>
              <w:t>los</w:t>
            </w:r>
            <w:r w:rsidRPr="00BC4F77">
              <w:rPr>
                <w:rFonts w:ascii="Gotham" w:eastAsia="Arial" w:hAnsi="Gotham" w:cs="Arial"/>
                <w:color w:val="2B2B2D"/>
                <w:spacing w:val="-25"/>
                <w:w w:val="79"/>
                <w:sz w:val="19"/>
                <w:szCs w:val="19"/>
              </w:rPr>
              <w:t xml:space="preserve"> </w:t>
            </w:r>
            <w:r w:rsidRPr="00BC4F77">
              <w:rPr>
                <w:rFonts w:ascii="Gotham" w:eastAsia="Arial" w:hAnsi="Gotham" w:cs="Arial"/>
                <w:color w:val="2B2B2D"/>
                <w:sz w:val="19"/>
                <w:szCs w:val="19"/>
              </w:rPr>
              <w:t>usos</w:t>
            </w:r>
            <w:r w:rsidRPr="00BC4F77">
              <w:rPr>
                <w:rFonts w:ascii="Gotham" w:eastAsia="Arial" w:hAnsi="Gotham" w:cs="Arial"/>
                <w:color w:val="2B2B2D"/>
                <w:spacing w:val="-22"/>
                <w:sz w:val="19"/>
                <w:szCs w:val="19"/>
              </w:rPr>
              <w:t xml:space="preserve"> </w:t>
            </w:r>
            <w:r w:rsidRPr="00BC4F77">
              <w:rPr>
                <w:rFonts w:ascii="Gotham" w:eastAsia="Arial" w:hAnsi="Gotham" w:cs="Arial"/>
                <w:color w:val="2B2B2D"/>
                <w:sz w:val="19"/>
                <w:szCs w:val="19"/>
              </w:rPr>
              <w:t xml:space="preserve">recomendados </w:t>
            </w:r>
            <w:r w:rsidRPr="00BC4F77">
              <w:rPr>
                <w:rFonts w:ascii="Gotham" w:eastAsia="Arial" w:hAnsi="Gotham" w:cs="Arial"/>
                <w:color w:val="2B2B2D"/>
                <w:w w:val="82"/>
                <w:sz w:val="19"/>
                <w:szCs w:val="19"/>
              </w:rPr>
              <w:t>en</w:t>
            </w:r>
            <w:r w:rsidRPr="00BC4F77">
              <w:rPr>
                <w:rFonts w:ascii="Gotham" w:eastAsia="Arial" w:hAnsi="Gotham" w:cs="Arial"/>
                <w:color w:val="2B2B2D"/>
                <w:spacing w:val="23"/>
                <w:w w:val="82"/>
                <w:sz w:val="19"/>
                <w:szCs w:val="19"/>
              </w:rPr>
              <w:t xml:space="preserve"> </w:t>
            </w:r>
            <w:r w:rsidRPr="00BC4F77">
              <w:rPr>
                <w:rFonts w:ascii="Gotham" w:eastAsia="Arial" w:hAnsi="Gotham" w:cs="Arial"/>
                <w:color w:val="2B2B2D"/>
                <w:sz w:val="19"/>
                <w:szCs w:val="19"/>
              </w:rPr>
              <w:t>el</w:t>
            </w:r>
            <w:r w:rsidRPr="00BC4F77">
              <w:rPr>
                <w:rFonts w:ascii="Gotham" w:eastAsia="Arial" w:hAnsi="Gotham" w:cs="Arial"/>
                <w:color w:val="2B2B2D"/>
                <w:spacing w:val="-2"/>
                <w:sz w:val="19"/>
                <w:szCs w:val="19"/>
              </w:rPr>
              <w:t xml:space="preserve"> </w:t>
            </w:r>
            <w:r w:rsidRPr="00BC4F77">
              <w:rPr>
                <w:rFonts w:ascii="Gotham" w:eastAsia="Arial" w:hAnsi="Gotham" w:cs="Arial"/>
                <w:color w:val="2B2B2D"/>
                <w:sz w:val="19"/>
                <w:szCs w:val="19"/>
              </w:rPr>
              <w:t>cuadro</w:t>
            </w:r>
            <w:r w:rsidRPr="00BC4F77">
              <w:rPr>
                <w:rFonts w:ascii="Gotham" w:eastAsia="Arial" w:hAnsi="Gotham" w:cs="Arial"/>
                <w:color w:val="2B2B2D"/>
                <w:spacing w:val="-13"/>
                <w:sz w:val="19"/>
                <w:szCs w:val="19"/>
              </w:rPr>
              <w:t xml:space="preserve"> </w:t>
            </w:r>
            <w:r w:rsidRPr="00BC4F77">
              <w:rPr>
                <w:rFonts w:ascii="Gotham" w:hAnsi="Gotham" w:cs="Arial"/>
                <w:color w:val="2B2B2D"/>
                <w:sz w:val="19"/>
                <w:szCs w:val="19"/>
              </w:rPr>
              <w:t>47</w:t>
            </w:r>
            <w:r w:rsidRPr="00BC4F77">
              <w:rPr>
                <w:rFonts w:ascii="Gotham" w:hAnsi="Gotham" w:cs="Arial"/>
                <w:color w:val="2B2B2D"/>
                <w:spacing w:val="27"/>
                <w:sz w:val="19"/>
                <w:szCs w:val="19"/>
              </w:rPr>
              <w:t xml:space="preserve"> </w:t>
            </w:r>
            <w:r w:rsidRPr="00BC4F77">
              <w:rPr>
                <w:rFonts w:ascii="Gotham" w:eastAsia="Arial" w:hAnsi="Gotham" w:cs="Arial"/>
                <w:color w:val="2B2B2D"/>
                <w:sz w:val="19"/>
                <w:szCs w:val="19"/>
              </w:rPr>
              <w:t>del</w:t>
            </w:r>
            <w:r w:rsidRPr="00BC4F77">
              <w:rPr>
                <w:rFonts w:ascii="Gotham" w:eastAsia="Arial" w:hAnsi="Gotham" w:cs="Arial"/>
                <w:color w:val="2B2B2D"/>
                <w:spacing w:val="6"/>
                <w:sz w:val="19"/>
                <w:szCs w:val="19"/>
              </w:rPr>
              <w:t xml:space="preserve"> </w:t>
            </w:r>
            <w:r w:rsidRPr="00BC4F77">
              <w:rPr>
                <w:rFonts w:ascii="Gotham" w:eastAsia="Arial" w:hAnsi="Gotham" w:cs="Arial"/>
                <w:color w:val="2B2B2D"/>
                <w:sz w:val="19"/>
                <w:szCs w:val="19"/>
              </w:rPr>
              <w:t>Reglamento</w:t>
            </w:r>
            <w:r w:rsidRPr="00BC4F77">
              <w:rPr>
                <w:rFonts w:ascii="Gotham" w:eastAsia="Arial" w:hAnsi="Gotham" w:cs="Arial"/>
                <w:color w:val="2B2B2D"/>
                <w:spacing w:val="-8"/>
                <w:sz w:val="19"/>
                <w:szCs w:val="19"/>
              </w:rPr>
              <w:t xml:space="preserve"> </w:t>
            </w:r>
            <w:r w:rsidRPr="00BC4F77">
              <w:rPr>
                <w:rFonts w:ascii="Gotham" w:eastAsia="Arial" w:hAnsi="Gotham" w:cs="Arial"/>
                <w:color w:val="2B2B2D"/>
                <w:sz w:val="19"/>
                <w:szCs w:val="19"/>
              </w:rPr>
              <w:t>Estatal</w:t>
            </w:r>
            <w:r w:rsidRPr="00BC4F77">
              <w:rPr>
                <w:rFonts w:ascii="Gotham" w:eastAsia="Arial" w:hAnsi="Gotham" w:cs="Arial"/>
                <w:color w:val="2B2B2D"/>
                <w:spacing w:val="-27"/>
                <w:sz w:val="19"/>
                <w:szCs w:val="19"/>
              </w:rPr>
              <w:t xml:space="preserve"> </w:t>
            </w:r>
            <w:r w:rsidRPr="00BC4F77">
              <w:rPr>
                <w:rFonts w:ascii="Gotham" w:eastAsia="Arial" w:hAnsi="Gotham" w:cs="Arial"/>
                <w:color w:val="2B2B2D"/>
                <w:sz w:val="19"/>
                <w:szCs w:val="19"/>
              </w:rPr>
              <w:t>de</w:t>
            </w:r>
            <w:r w:rsidRPr="00BC4F77">
              <w:rPr>
                <w:rFonts w:ascii="Gotham" w:eastAsia="Arial" w:hAnsi="Gotham" w:cs="Arial"/>
                <w:color w:val="2B2B2D"/>
                <w:spacing w:val="-18"/>
                <w:sz w:val="19"/>
                <w:szCs w:val="19"/>
              </w:rPr>
              <w:t xml:space="preserve"> </w:t>
            </w:r>
            <w:r w:rsidRPr="00BC4F77">
              <w:rPr>
                <w:rFonts w:ascii="Gotham" w:eastAsia="Arial" w:hAnsi="Gotham" w:cs="Arial"/>
                <w:color w:val="2B2B2D"/>
                <w:sz w:val="19"/>
                <w:szCs w:val="19"/>
              </w:rPr>
              <w:t>Zonificación</w:t>
            </w:r>
            <w:r w:rsidRPr="00BC4F77">
              <w:rPr>
                <w:rFonts w:ascii="Gotham" w:eastAsia="Arial" w:hAnsi="Gotham" w:cs="Arial"/>
                <w:color w:val="2B2B2D"/>
                <w:spacing w:val="-10"/>
                <w:sz w:val="19"/>
                <w:szCs w:val="19"/>
              </w:rPr>
              <w:t xml:space="preserve"> </w:t>
            </w:r>
            <w:r w:rsidRPr="00BC4F77">
              <w:rPr>
                <w:rFonts w:ascii="Gotham" w:eastAsia="Arial" w:hAnsi="Gotham" w:cs="Arial"/>
                <w:color w:val="2B2B2D"/>
                <w:sz w:val="19"/>
                <w:szCs w:val="19"/>
              </w:rPr>
              <w:t>de</w:t>
            </w:r>
            <w:r w:rsidRPr="00BC4F77">
              <w:rPr>
                <w:rFonts w:ascii="Gotham" w:eastAsia="Arial" w:hAnsi="Gotham" w:cs="Arial"/>
                <w:color w:val="2B2B2D"/>
                <w:spacing w:val="-18"/>
                <w:sz w:val="19"/>
                <w:szCs w:val="19"/>
              </w:rPr>
              <w:t xml:space="preserve"> </w:t>
            </w:r>
            <w:r w:rsidRPr="00BC4F77">
              <w:rPr>
                <w:rFonts w:ascii="Gotham" w:eastAsia="Arial" w:hAnsi="Gotham" w:cs="Arial"/>
                <w:color w:val="2B2B2D"/>
                <w:sz w:val="19"/>
                <w:szCs w:val="19"/>
              </w:rPr>
              <w:t>Jalisco.</w:t>
            </w:r>
          </w:p>
        </w:tc>
      </w:tr>
    </w:tbl>
    <w:p w14:paraId="3A475F6F" w14:textId="77777777" w:rsidR="009B5E39" w:rsidRPr="004043F3" w:rsidRDefault="009B5E39" w:rsidP="009B5E39">
      <w:pPr>
        <w:ind w:left="284" w:right="283"/>
        <w:jc w:val="both"/>
        <w:rPr>
          <w:rFonts w:ascii="Gotham" w:hAnsi="Gotham" w:cs="Arial"/>
          <w:sz w:val="19"/>
          <w:szCs w:val="19"/>
        </w:rPr>
      </w:pPr>
    </w:p>
    <w:p w14:paraId="3A475F70"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15.</w:t>
      </w:r>
      <w:r w:rsidR="007C2F8D">
        <w:rPr>
          <w:rFonts w:ascii="Gotham" w:hAnsi="Gotham" w:cs="Arial"/>
          <w:sz w:val="19"/>
          <w:szCs w:val="19"/>
        </w:rPr>
        <w:t xml:space="preserve"> </w:t>
      </w:r>
      <w:r w:rsidRPr="004043F3">
        <w:rPr>
          <w:rFonts w:ascii="Gotham" w:hAnsi="Gotham" w:cs="Arial"/>
          <w:sz w:val="19"/>
          <w:szCs w:val="19"/>
        </w:rPr>
        <w:t xml:space="preserve">La modalidad de redensificación simple podrá desarrollarse sobre vialidades de jerarquía </w:t>
      </w:r>
      <w:r w:rsidRPr="004043F3">
        <w:rPr>
          <w:rFonts w:ascii="Gotham" w:hAnsi="Gotham" w:cs="Arial"/>
          <w:color w:val="2E74B5" w:themeColor="accent1" w:themeShade="BF"/>
          <w:sz w:val="19"/>
          <w:szCs w:val="19"/>
        </w:rPr>
        <w:t>colectora VC con sección mínima de quince metros o de jerarquía vial mayor.</w:t>
      </w:r>
    </w:p>
    <w:p w14:paraId="3A475F71" w14:textId="77777777" w:rsidR="009B5E39" w:rsidRPr="004043F3" w:rsidRDefault="009B5E39" w:rsidP="009B5E39">
      <w:pPr>
        <w:ind w:left="284" w:right="283"/>
        <w:jc w:val="both"/>
        <w:rPr>
          <w:rFonts w:ascii="Gotham" w:hAnsi="Gotham" w:cs="Arial"/>
          <w:sz w:val="19"/>
          <w:szCs w:val="19"/>
        </w:rPr>
      </w:pPr>
    </w:p>
    <w:p w14:paraId="3A475F72"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16.</w:t>
      </w:r>
      <w:r w:rsidR="007C2F8D">
        <w:rPr>
          <w:rFonts w:ascii="Gotham" w:hAnsi="Gotham" w:cs="Arial"/>
          <w:sz w:val="19"/>
          <w:szCs w:val="19"/>
        </w:rPr>
        <w:t xml:space="preserve"> </w:t>
      </w:r>
      <w:r w:rsidRPr="004043F3">
        <w:rPr>
          <w:rFonts w:ascii="Gotham" w:hAnsi="Gotham" w:cs="Arial"/>
          <w:sz w:val="19"/>
          <w:szCs w:val="19"/>
        </w:rPr>
        <w:t>Cualquier acción urbanística que pretenda apegarse a las presentes normas de redensificación, deberá contar con el visto bueno por parte de la Dirección de Movilidad municipal, según el tipo de estudio a presentar; además de acatar las estrategias de la estructura urbana propuesta en los Planes y Programas de Desarrollo Urbano vigentes en el Municipio.</w:t>
      </w:r>
    </w:p>
    <w:p w14:paraId="3A475F73" w14:textId="77777777" w:rsidR="009B5E39" w:rsidRPr="004043F3" w:rsidRDefault="009B5E39" w:rsidP="009B5E39">
      <w:pPr>
        <w:ind w:left="284" w:right="283"/>
        <w:jc w:val="both"/>
        <w:rPr>
          <w:rFonts w:ascii="Gotham" w:hAnsi="Gotham" w:cs="Arial"/>
          <w:sz w:val="19"/>
          <w:szCs w:val="19"/>
        </w:rPr>
      </w:pPr>
    </w:p>
    <w:p w14:paraId="3A475F74"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17.</w:t>
      </w:r>
      <w:r w:rsidRPr="004043F3">
        <w:rPr>
          <w:rFonts w:ascii="Gotham" w:hAnsi="Gotham" w:cs="Arial"/>
          <w:sz w:val="19"/>
          <w:szCs w:val="19"/>
        </w:rPr>
        <w:t xml:space="preserve"> Se limita la longitud máxima de manzana hasta ciento cincuenta metros, de manera que se fomente una correcta estructuración vial y peatonal; se podrán agrupar hasta dos manzanas cuando se contemple un ACD intermedia que facilite el cruce peatonal a través de ella y que en su conjunto no sea mayor de 400 metros de longitud.</w:t>
      </w:r>
    </w:p>
    <w:p w14:paraId="3A475F75" w14:textId="77777777" w:rsidR="009B5E39" w:rsidRPr="004043F3" w:rsidRDefault="009B5E39" w:rsidP="009B5E39">
      <w:pPr>
        <w:ind w:left="284" w:right="283"/>
        <w:jc w:val="both"/>
        <w:rPr>
          <w:rFonts w:ascii="Gotham" w:hAnsi="Gotham" w:cs="Arial"/>
          <w:b/>
          <w:sz w:val="19"/>
          <w:szCs w:val="19"/>
        </w:rPr>
      </w:pPr>
    </w:p>
    <w:p w14:paraId="3A475F76"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18</w:t>
      </w:r>
      <w:r w:rsidRPr="004043F3">
        <w:rPr>
          <w:rFonts w:ascii="Gotham" w:hAnsi="Gotham" w:cs="Arial"/>
          <w:sz w:val="19"/>
          <w:szCs w:val="19"/>
        </w:rPr>
        <w:t>. Cuando se edifiquen desarrollos con la modalidad de redensificación mixta, se podrá considerar la totalidad de las unidades para el uso habitacional, reponiendo las unidades correspondientes al 10% para comercios y servicios en uno o varios lotes independientes, tomando las siguientes consideraciones:</w:t>
      </w:r>
    </w:p>
    <w:p w14:paraId="3A475F77" w14:textId="77777777" w:rsidR="009B5E39" w:rsidRPr="004043F3" w:rsidRDefault="009B5E39" w:rsidP="009B5E39">
      <w:pPr>
        <w:ind w:left="284" w:right="283"/>
        <w:jc w:val="both"/>
        <w:rPr>
          <w:rFonts w:ascii="Gotham" w:hAnsi="Gotham" w:cs="Arial"/>
          <w:sz w:val="19"/>
          <w:szCs w:val="19"/>
        </w:rPr>
      </w:pPr>
    </w:p>
    <w:p w14:paraId="3A475F78"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 xml:space="preserve">Los módulos de comercios y servicios se situarán dentro del área de aplicación en un radio máximo de </w:t>
      </w:r>
      <w:r w:rsidRPr="004043F3">
        <w:rPr>
          <w:rFonts w:ascii="Gotham" w:hAnsi="Gotham" w:cs="Arial"/>
          <w:color w:val="2E74B5" w:themeColor="accent1" w:themeShade="BF"/>
          <w:sz w:val="19"/>
          <w:szCs w:val="19"/>
        </w:rPr>
        <w:t xml:space="preserve">500 metros </w:t>
      </w:r>
      <w:r w:rsidRPr="004043F3">
        <w:rPr>
          <w:rFonts w:ascii="Gotham" w:hAnsi="Gotham" w:cs="Arial"/>
          <w:sz w:val="19"/>
          <w:szCs w:val="19"/>
        </w:rPr>
        <w:t>con respecto a la vivienda más lejana.</w:t>
      </w:r>
    </w:p>
    <w:p w14:paraId="3A475F79"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 </w:t>
      </w:r>
      <w:r>
        <w:rPr>
          <w:rFonts w:ascii="Gotham" w:hAnsi="Gotham" w:cs="Arial"/>
          <w:sz w:val="19"/>
          <w:szCs w:val="19"/>
        </w:rPr>
        <w:tab/>
      </w:r>
      <w:r w:rsidRPr="004043F3">
        <w:rPr>
          <w:rFonts w:ascii="Gotham" w:hAnsi="Gotham" w:cs="Arial"/>
          <w:sz w:val="19"/>
          <w:szCs w:val="19"/>
        </w:rPr>
        <w:t>La superficie de uso comercial será la resultante de multiplicar el 10% de unidades de vivienda por 20.00 m</w:t>
      </w:r>
      <w:r w:rsidRPr="004043F3">
        <w:rPr>
          <w:rFonts w:ascii="Cambria" w:hAnsi="Cambria" w:cs="Cambria"/>
          <w:sz w:val="19"/>
          <w:szCs w:val="19"/>
        </w:rPr>
        <w:t>²</w:t>
      </w:r>
      <w:r w:rsidRPr="004043F3">
        <w:rPr>
          <w:rFonts w:ascii="Gotham" w:hAnsi="Gotham" w:cs="Arial"/>
          <w:sz w:val="19"/>
          <w:szCs w:val="19"/>
        </w:rPr>
        <w:t>, aplicado en uno o varios locales; cumpliendo las normas de control de la edificación de acuerdo con el nivel de servicio establecida en el Reglamento Estatal de Zonificación</w:t>
      </w:r>
      <w:r w:rsidR="007C2F8D">
        <w:rPr>
          <w:rFonts w:ascii="Gotham" w:hAnsi="Gotham" w:cs="Arial"/>
          <w:sz w:val="19"/>
          <w:szCs w:val="19"/>
        </w:rPr>
        <w:t xml:space="preserve"> </w:t>
      </w:r>
      <w:r w:rsidRPr="004043F3">
        <w:rPr>
          <w:rFonts w:ascii="Gotham" w:hAnsi="Gotham" w:cs="Arial"/>
          <w:sz w:val="19"/>
          <w:szCs w:val="19"/>
        </w:rPr>
        <w:t xml:space="preserve">de Jalisco y </w:t>
      </w:r>
      <w:r w:rsidRPr="004043F3">
        <w:rPr>
          <w:rFonts w:ascii="Gotham" w:hAnsi="Gotham" w:cs="Arial"/>
          <w:color w:val="2E74B5" w:themeColor="accent1" w:themeShade="BF"/>
          <w:sz w:val="19"/>
          <w:szCs w:val="19"/>
        </w:rPr>
        <w:t>en el Reglamento de Edificación de Tonalá, Jalisco.</w:t>
      </w:r>
    </w:p>
    <w:p w14:paraId="3A475F7A"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III. </w:t>
      </w:r>
      <w:r>
        <w:rPr>
          <w:rFonts w:ascii="Gotham" w:hAnsi="Gotham" w:cs="Arial"/>
          <w:sz w:val="19"/>
          <w:szCs w:val="19"/>
        </w:rPr>
        <w:tab/>
      </w:r>
      <w:r w:rsidRPr="004043F3">
        <w:rPr>
          <w:rFonts w:ascii="Gotham" w:hAnsi="Gotham" w:cs="Arial"/>
          <w:sz w:val="19"/>
          <w:szCs w:val="19"/>
        </w:rPr>
        <w:t>Los módulos de comercios y servicios deberán constituir su propio régimen de condominio independiente a las viviendas.</w:t>
      </w:r>
    </w:p>
    <w:p w14:paraId="3A475F7B"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IV. </w:t>
      </w:r>
      <w:r>
        <w:rPr>
          <w:rFonts w:ascii="Gotham" w:hAnsi="Gotham" w:cs="Arial"/>
          <w:sz w:val="19"/>
          <w:szCs w:val="19"/>
        </w:rPr>
        <w:tab/>
      </w:r>
      <w:r w:rsidRPr="004043F3">
        <w:rPr>
          <w:rFonts w:ascii="Gotham" w:hAnsi="Gotham" w:cs="Arial"/>
          <w:sz w:val="19"/>
          <w:szCs w:val="19"/>
        </w:rPr>
        <w:t>Las unidades de comercios y servicios deberán obtener simultáneamente con las viviendas la aprobación de su correspon</w:t>
      </w:r>
      <w:r w:rsidR="007C2F8D">
        <w:rPr>
          <w:rFonts w:ascii="Gotham" w:hAnsi="Gotham" w:cs="Arial"/>
          <w:sz w:val="19"/>
          <w:szCs w:val="19"/>
        </w:rPr>
        <w:t xml:space="preserve">diente certificado </w:t>
      </w:r>
      <w:r w:rsidRPr="004043F3">
        <w:rPr>
          <w:rFonts w:ascii="Gotham" w:hAnsi="Gotham" w:cs="Arial"/>
          <w:sz w:val="19"/>
          <w:szCs w:val="19"/>
        </w:rPr>
        <w:t>de habitabilidad.</w:t>
      </w:r>
    </w:p>
    <w:p w14:paraId="3A475F7C"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lastRenderedPageBreak/>
        <w:t xml:space="preserve">V. </w:t>
      </w:r>
      <w:r>
        <w:rPr>
          <w:rFonts w:ascii="Gotham" w:hAnsi="Gotham" w:cs="Arial"/>
          <w:sz w:val="19"/>
          <w:szCs w:val="19"/>
        </w:rPr>
        <w:tab/>
      </w:r>
      <w:r w:rsidRPr="004043F3">
        <w:rPr>
          <w:rFonts w:ascii="Gotham" w:hAnsi="Gotham" w:cs="Arial"/>
          <w:sz w:val="19"/>
          <w:szCs w:val="19"/>
        </w:rPr>
        <w:t>Además de los giros especificados en el cuadro 4 del Artículo 14 de las presentes normas integrales, se podrán considerar los giros y niveles de comercios y servicios que le permita la jerarquía de la vialidad de la cual se servirán como ingreso y salida, debiendo garantizar sus propios cajones de estacionamientos de acuerdo con lo señalado en el Título Quinto, Capítulo Quinto, “Estacionamientos" del Reglamento Estatal de Zonificación de Jalisco;</w:t>
      </w:r>
    </w:p>
    <w:p w14:paraId="3A475F7D"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VI. </w:t>
      </w:r>
      <w:r>
        <w:rPr>
          <w:rFonts w:ascii="Gotham" w:hAnsi="Gotham" w:cs="Arial"/>
          <w:sz w:val="19"/>
          <w:szCs w:val="19"/>
        </w:rPr>
        <w:tab/>
      </w:r>
      <w:r w:rsidRPr="004043F3">
        <w:rPr>
          <w:rFonts w:ascii="Gotham" w:hAnsi="Gotham" w:cs="Arial"/>
          <w:sz w:val="19"/>
          <w:szCs w:val="19"/>
        </w:rPr>
        <w:t>Las ACD se cuantificarán de acuerdo con el uso correspondiente según lo establecido en el Código Urbano para el Estado de Jalisco;</w:t>
      </w:r>
    </w:p>
    <w:p w14:paraId="3A475F7E" w14:textId="77777777" w:rsidR="009B5E39" w:rsidRPr="004043F3" w:rsidRDefault="009B5E39" w:rsidP="009B5E39">
      <w:pPr>
        <w:ind w:left="1134" w:right="283" w:hanging="850"/>
        <w:jc w:val="both"/>
        <w:rPr>
          <w:rFonts w:ascii="Gotham" w:hAnsi="Gotham" w:cs="Arial"/>
          <w:sz w:val="19"/>
          <w:szCs w:val="19"/>
        </w:rPr>
      </w:pPr>
      <w:r w:rsidRPr="004043F3">
        <w:rPr>
          <w:rFonts w:ascii="Gotham" w:hAnsi="Gotham" w:cs="Arial"/>
          <w:sz w:val="19"/>
          <w:szCs w:val="19"/>
        </w:rPr>
        <w:t xml:space="preserve">VII. </w:t>
      </w:r>
      <w:r>
        <w:rPr>
          <w:rFonts w:ascii="Gotham" w:hAnsi="Gotham" w:cs="Arial"/>
          <w:sz w:val="19"/>
          <w:szCs w:val="19"/>
        </w:rPr>
        <w:tab/>
      </w:r>
      <w:r w:rsidRPr="004043F3">
        <w:rPr>
          <w:rFonts w:ascii="Gotham" w:hAnsi="Gotham" w:cs="Arial"/>
          <w:sz w:val="19"/>
          <w:szCs w:val="19"/>
        </w:rPr>
        <w:t>Los cobros por conceptos municipales se cuantificarán de acuerdo con el uso correspondiente según lo señale la Ley de Ingresos Municipal.</w:t>
      </w:r>
    </w:p>
    <w:p w14:paraId="3A475F7F" w14:textId="77777777" w:rsidR="009B5E39" w:rsidRPr="004043F3" w:rsidRDefault="009B5E39" w:rsidP="009B5E39">
      <w:pPr>
        <w:ind w:left="284" w:right="283"/>
        <w:jc w:val="both"/>
        <w:rPr>
          <w:rFonts w:ascii="Gotham" w:hAnsi="Gotham" w:cs="Arial"/>
          <w:sz w:val="19"/>
          <w:szCs w:val="19"/>
        </w:rPr>
      </w:pPr>
    </w:p>
    <w:p w14:paraId="3A475F80" w14:textId="77777777" w:rsidR="009B5E39" w:rsidRPr="004043F3" w:rsidRDefault="009B5E39" w:rsidP="009B5E39">
      <w:pPr>
        <w:ind w:left="284" w:right="283"/>
        <w:jc w:val="both"/>
        <w:rPr>
          <w:rFonts w:ascii="Gotham" w:hAnsi="Gotham" w:cs="Arial"/>
          <w:sz w:val="19"/>
          <w:szCs w:val="19"/>
        </w:rPr>
      </w:pPr>
    </w:p>
    <w:p w14:paraId="3A475F81" w14:textId="77777777" w:rsidR="009B5E39" w:rsidRPr="004043F3" w:rsidRDefault="009B5E39" w:rsidP="009B5E39">
      <w:pPr>
        <w:ind w:left="284" w:right="283"/>
        <w:jc w:val="both"/>
        <w:rPr>
          <w:rFonts w:ascii="Gotham" w:hAnsi="Gotham" w:cs="Arial"/>
          <w:b/>
          <w:sz w:val="19"/>
          <w:szCs w:val="19"/>
        </w:rPr>
      </w:pPr>
      <w:r w:rsidRPr="004043F3">
        <w:rPr>
          <w:rFonts w:ascii="Gotham" w:hAnsi="Gotham" w:cs="Arial"/>
          <w:b/>
          <w:sz w:val="19"/>
          <w:szCs w:val="19"/>
        </w:rPr>
        <w:t>CAPITULO IV</w:t>
      </w:r>
    </w:p>
    <w:p w14:paraId="3A475F82" w14:textId="77777777" w:rsidR="009B5E39" w:rsidRPr="004043F3" w:rsidRDefault="009B5E39" w:rsidP="009B5E39">
      <w:pPr>
        <w:ind w:left="284" w:right="283"/>
        <w:jc w:val="both"/>
        <w:rPr>
          <w:rFonts w:ascii="Gotham" w:hAnsi="Gotham" w:cs="Arial"/>
          <w:b/>
          <w:sz w:val="19"/>
          <w:szCs w:val="19"/>
        </w:rPr>
      </w:pPr>
      <w:r w:rsidRPr="004043F3">
        <w:rPr>
          <w:rFonts w:ascii="Gotham" w:hAnsi="Gotham" w:cs="Arial"/>
          <w:b/>
          <w:sz w:val="19"/>
          <w:szCs w:val="19"/>
        </w:rPr>
        <w:t>EQUIPAMIENTO.</w:t>
      </w:r>
    </w:p>
    <w:p w14:paraId="3A475F83" w14:textId="77777777" w:rsidR="009B5E39" w:rsidRPr="004043F3" w:rsidRDefault="009B5E39" w:rsidP="009B5E39">
      <w:pPr>
        <w:ind w:left="284" w:right="283"/>
        <w:jc w:val="both"/>
        <w:rPr>
          <w:rFonts w:ascii="Gotham" w:hAnsi="Gotham" w:cs="Arial"/>
          <w:sz w:val="19"/>
          <w:szCs w:val="19"/>
        </w:rPr>
      </w:pPr>
    </w:p>
    <w:p w14:paraId="3A475F84"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19.</w:t>
      </w:r>
      <w:r w:rsidRPr="004043F3">
        <w:rPr>
          <w:rFonts w:ascii="Gotham" w:hAnsi="Gotham" w:cs="Arial"/>
          <w:sz w:val="19"/>
          <w:szCs w:val="19"/>
        </w:rPr>
        <w:t xml:space="preserve">  Para el diseño de los lotes asignados como ACD y el equipamiento construido, se deberá considerar en su Proyecto de Integración Urbana un Estudio de Gradualidad que contenga por lo menos:</w:t>
      </w:r>
    </w:p>
    <w:p w14:paraId="3A475F85" w14:textId="77777777" w:rsidR="009B5E39" w:rsidRPr="004043F3" w:rsidRDefault="009B5E39" w:rsidP="009B5E39">
      <w:pPr>
        <w:ind w:left="284" w:right="283"/>
        <w:jc w:val="both"/>
        <w:rPr>
          <w:rFonts w:ascii="Gotham" w:hAnsi="Gotham" w:cs="Arial"/>
          <w:sz w:val="19"/>
          <w:szCs w:val="19"/>
        </w:rPr>
      </w:pPr>
    </w:p>
    <w:p w14:paraId="3A475F86"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Descripción del equipamiento existente y en operación dentro del área de estudio;</w:t>
      </w:r>
    </w:p>
    <w:p w14:paraId="3A475F87" w14:textId="77777777" w:rsidR="009B5E39" w:rsidRPr="004043F3" w:rsidRDefault="009B5E39" w:rsidP="009B5E39">
      <w:pPr>
        <w:ind w:left="1134" w:right="283" w:hanging="850"/>
        <w:jc w:val="both"/>
        <w:rPr>
          <w:rFonts w:ascii="Gotham" w:hAnsi="Gotham" w:cs="Arial"/>
          <w:sz w:val="19"/>
          <w:szCs w:val="19"/>
        </w:rPr>
      </w:pPr>
      <w:r w:rsidRPr="004043F3">
        <w:rPr>
          <w:rFonts w:ascii="Gotham" w:hAnsi="Gotham" w:cs="Arial"/>
          <w:sz w:val="19"/>
          <w:szCs w:val="19"/>
        </w:rPr>
        <w:t xml:space="preserve">II. </w:t>
      </w:r>
      <w:r>
        <w:rPr>
          <w:rFonts w:ascii="Gotham" w:hAnsi="Gotham" w:cs="Arial"/>
          <w:sz w:val="19"/>
          <w:szCs w:val="19"/>
        </w:rPr>
        <w:tab/>
      </w:r>
      <w:r w:rsidRPr="004043F3">
        <w:rPr>
          <w:rFonts w:ascii="Gotham" w:hAnsi="Gotham" w:cs="Arial"/>
          <w:sz w:val="19"/>
          <w:szCs w:val="19"/>
        </w:rPr>
        <w:t>Radios de influencia de los equipamientos existentes de acuerdo con el siguiente cuadro:</w:t>
      </w:r>
    </w:p>
    <w:p w14:paraId="3A475F88" w14:textId="77777777" w:rsidR="009B5E39" w:rsidRPr="00193EA1" w:rsidRDefault="009B5E39" w:rsidP="009B5E39">
      <w:pPr>
        <w:jc w:val="both"/>
        <w:rPr>
          <w:rFonts w:ascii="Arial" w:hAnsi="Arial" w:cs="Arial"/>
        </w:rPr>
      </w:pPr>
      <w:r w:rsidRPr="00193EA1">
        <w:rPr>
          <w:rFonts w:ascii="Arial" w:hAnsi="Arial" w:cs="Arial"/>
        </w:rPr>
        <w:t xml:space="preserve">     </w:t>
      </w:r>
    </w:p>
    <w:tbl>
      <w:tblPr>
        <w:tblW w:w="9356" w:type="dxa"/>
        <w:jc w:val="center"/>
        <w:tblLayout w:type="fixed"/>
        <w:tblLook w:val="04A0" w:firstRow="1" w:lastRow="0" w:firstColumn="1" w:lastColumn="0" w:noHBand="0" w:noVBand="1"/>
      </w:tblPr>
      <w:tblGrid>
        <w:gridCol w:w="1980"/>
        <w:gridCol w:w="4961"/>
        <w:gridCol w:w="2415"/>
      </w:tblGrid>
      <w:tr w:rsidR="009B5E39" w:rsidRPr="004043F3" w14:paraId="3A475F8C" w14:textId="77777777" w:rsidTr="00190E4A">
        <w:trPr>
          <w:jc w:val="center"/>
        </w:trPr>
        <w:tc>
          <w:tcPr>
            <w:tcW w:w="1980" w:type="dxa"/>
            <w:vAlign w:val="center"/>
          </w:tcPr>
          <w:p w14:paraId="3A475F89" w14:textId="77777777" w:rsidR="009B5E39" w:rsidRPr="004043F3" w:rsidRDefault="009B5E39" w:rsidP="00190E4A">
            <w:pPr>
              <w:spacing w:before="40" w:after="40"/>
              <w:jc w:val="center"/>
              <w:rPr>
                <w:rFonts w:ascii="Gotham" w:hAnsi="Gotham" w:cs="Arial"/>
                <w:sz w:val="19"/>
                <w:szCs w:val="19"/>
              </w:rPr>
            </w:pPr>
            <w:r w:rsidRPr="004043F3">
              <w:rPr>
                <w:rFonts w:ascii="Gotham" w:eastAsia="Arial" w:hAnsi="Gotham" w:cs="Arial"/>
                <w:color w:val="2F2F2F"/>
                <w:sz w:val="19"/>
                <w:szCs w:val="19"/>
              </w:rPr>
              <w:t>Rubro</w:t>
            </w:r>
          </w:p>
        </w:tc>
        <w:tc>
          <w:tcPr>
            <w:tcW w:w="4961" w:type="dxa"/>
          </w:tcPr>
          <w:p w14:paraId="3A475F8A" w14:textId="77777777" w:rsidR="009B5E39" w:rsidRPr="004043F3" w:rsidRDefault="009B5E39" w:rsidP="00190E4A">
            <w:pPr>
              <w:spacing w:before="40" w:after="40"/>
              <w:ind w:right="34"/>
              <w:rPr>
                <w:rFonts w:ascii="Gotham" w:hAnsi="Gotham" w:cs="Arial"/>
                <w:sz w:val="19"/>
                <w:szCs w:val="19"/>
              </w:rPr>
            </w:pPr>
            <w:r w:rsidRPr="004043F3">
              <w:rPr>
                <w:rFonts w:ascii="Gotham" w:eastAsia="Arial" w:hAnsi="Gotham" w:cs="Arial"/>
                <w:color w:val="2F2F2F"/>
                <w:position w:val="1"/>
                <w:sz w:val="19"/>
                <w:szCs w:val="19"/>
              </w:rPr>
              <w:t>Ti</w:t>
            </w:r>
            <w:r w:rsidRPr="004043F3">
              <w:rPr>
                <w:rFonts w:ascii="Gotham" w:eastAsia="Arial" w:hAnsi="Gotham" w:cs="Arial"/>
                <w:color w:val="727272"/>
                <w:position w:val="1"/>
                <w:sz w:val="19"/>
                <w:szCs w:val="19"/>
              </w:rPr>
              <w:t>p</w:t>
            </w:r>
            <w:r w:rsidRPr="004043F3">
              <w:rPr>
                <w:rFonts w:ascii="Gotham" w:eastAsia="Arial" w:hAnsi="Gotham" w:cs="Arial"/>
                <w:color w:val="2F2F2F"/>
                <w:position w:val="1"/>
                <w:sz w:val="19"/>
                <w:szCs w:val="19"/>
              </w:rPr>
              <w:t xml:space="preserve">o de Equipamiento     </w:t>
            </w:r>
          </w:p>
        </w:tc>
        <w:tc>
          <w:tcPr>
            <w:tcW w:w="2415" w:type="dxa"/>
          </w:tcPr>
          <w:p w14:paraId="3A475F8B" w14:textId="77777777" w:rsidR="009B5E39" w:rsidRPr="004043F3" w:rsidRDefault="009B5E39" w:rsidP="00190E4A">
            <w:pPr>
              <w:spacing w:before="40" w:after="40"/>
              <w:rPr>
                <w:rFonts w:ascii="Gotham" w:hAnsi="Gotham" w:cs="Arial"/>
                <w:sz w:val="19"/>
                <w:szCs w:val="19"/>
              </w:rPr>
            </w:pPr>
            <w:r w:rsidRPr="004043F3">
              <w:rPr>
                <w:rFonts w:ascii="Gotham" w:eastAsia="Arial" w:hAnsi="Gotham" w:cs="Arial"/>
                <w:color w:val="2F2F2F"/>
                <w:position w:val="3"/>
                <w:sz w:val="19"/>
                <w:szCs w:val="19"/>
              </w:rPr>
              <w:t>Radio de servicio urbano recomendable</w:t>
            </w:r>
          </w:p>
        </w:tc>
      </w:tr>
      <w:tr w:rsidR="009B5E39" w:rsidRPr="004043F3" w14:paraId="3A475F90" w14:textId="77777777" w:rsidTr="00190E4A">
        <w:trPr>
          <w:jc w:val="center"/>
        </w:trPr>
        <w:tc>
          <w:tcPr>
            <w:tcW w:w="1980" w:type="dxa"/>
            <w:vMerge w:val="restart"/>
            <w:vAlign w:val="center"/>
          </w:tcPr>
          <w:p w14:paraId="3A475F8D" w14:textId="77777777" w:rsidR="009B5E39" w:rsidRPr="004043F3" w:rsidRDefault="009B5E39" w:rsidP="00190E4A">
            <w:pPr>
              <w:spacing w:before="40" w:after="40"/>
              <w:jc w:val="center"/>
              <w:rPr>
                <w:rFonts w:ascii="Gotham" w:hAnsi="Gotham" w:cs="Arial"/>
                <w:sz w:val="19"/>
                <w:szCs w:val="19"/>
              </w:rPr>
            </w:pPr>
            <w:r w:rsidRPr="004043F3">
              <w:rPr>
                <w:rFonts w:ascii="Gotham" w:hAnsi="Gotham" w:cs="Arial"/>
                <w:sz w:val="19"/>
                <w:szCs w:val="19"/>
              </w:rPr>
              <w:t>Educación y Cultura</w:t>
            </w:r>
          </w:p>
        </w:tc>
        <w:tc>
          <w:tcPr>
            <w:tcW w:w="4961" w:type="dxa"/>
          </w:tcPr>
          <w:p w14:paraId="3A475F8E" w14:textId="77777777" w:rsidR="009B5E39" w:rsidRPr="004043F3" w:rsidRDefault="009B5E39" w:rsidP="00190E4A">
            <w:pPr>
              <w:spacing w:before="40" w:after="40"/>
              <w:ind w:left="178" w:right="34"/>
              <w:rPr>
                <w:rFonts w:ascii="Gotham" w:hAnsi="Gotham" w:cs="Arial"/>
                <w:sz w:val="19"/>
                <w:szCs w:val="19"/>
              </w:rPr>
            </w:pPr>
            <w:r w:rsidRPr="004043F3">
              <w:rPr>
                <w:rFonts w:ascii="Gotham" w:hAnsi="Gotham" w:cs="Arial"/>
                <w:sz w:val="19"/>
                <w:szCs w:val="19"/>
              </w:rPr>
              <w:t xml:space="preserve">Jardín de Niños                                                                                                                                          </w:t>
            </w:r>
            <w:r>
              <w:rPr>
                <w:rFonts w:ascii="Gotham" w:hAnsi="Gotham" w:cs="Arial"/>
                <w:sz w:val="19"/>
                <w:szCs w:val="19"/>
              </w:rPr>
              <w:t xml:space="preserve">                              </w:t>
            </w:r>
            <w:r>
              <w:rPr>
                <w:rFonts w:ascii="Gotham" w:hAnsi="Gotham" w:cs="Arial"/>
                <w:sz w:val="19"/>
                <w:szCs w:val="19"/>
              </w:rPr>
              <w:tab/>
            </w:r>
          </w:p>
        </w:tc>
        <w:tc>
          <w:tcPr>
            <w:tcW w:w="2415" w:type="dxa"/>
          </w:tcPr>
          <w:p w14:paraId="3A475F8F" w14:textId="77777777" w:rsidR="009B5E39" w:rsidRPr="004043F3" w:rsidRDefault="009B5E39" w:rsidP="00190E4A">
            <w:pPr>
              <w:spacing w:before="40" w:after="40"/>
              <w:rPr>
                <w:rFonts w:ascii="Gotham" w:hAnsi="Gotham" w:cs="Arial"/>
                <w:sz w:val="19"/>
                <w:szCs w:val="19"/>
              </w:rPr>
            </w:pPr>
            <w:r w:rsidRPr="004043F3">
              <w:rPr>
                <w:rFonts w:ascii="Gotham" w:hAnsi="Gotham" w:cs="Arial"/>
                <w:sz w:val="19"/>
                <w:szCs w:val="19"/>
              </w:rPr>
              <w:t>750 metros</w:t>
            </w:r>
          </w:p>
        </w:tc>
      </w:tr>
      <w:tr w:rsidR="009B5E39" w:rsidRPr="004043F3" w14:paraId="3A475F94" w14:textId="77777777" w:rsidTr="00190E4A">
        <w:trPr>
          <w:jc w:val="center"/>
        </w:trPr>
        <w:tc>
          <w:tcPr>
            <w:tcW w:w="1980" w:type="dxa"/>
            <w:vMerge/>
            <w:vAlign w:val="center"/>
          </w:tcPr>
          <w:p w14:paraId="3A475F91"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92" w14:textId="77777777" w:rsidR="009B5E39" w:rsidRPr="004043F3" w:rsidRDefault="009B5E39" w:rsidP="00190E4A">
            <w:pPr>
              <w:spacing w:before="40" w:after="40"/>
              <w:ind w:left="178" w:right="34"/>
              <w:rPr>
                <w:rFonts w:ascii="Gotham" w:hAnsi="Gotham" w:cs="Arial"/>
                <w:sz w:val="19"/>
                <w:szCs w:val="19"/>
              </w:rPr>
            </w:pPr>
            <w:r w:rsidRPr="004043F3">
              <w:rPr>
                <w:rFonts w:ascii="Gotham" w:hAnsi="Gotham" w:cs="Arial"/>
                <w:sz w:val="19"/>
                <w:szCs w:val="19"/>
              </w:rPr>
              <w:t xml:space="preserve">Centro de desarrollo   infantil                                                </w:t>
            </w:r>
          </w:p>
        </w:tc>
        <w:tc>
          <w:tcPr>
            <w:tcW w:w="2415" w:type="dxa"/>
          </w:tcPr>
          <w:p w14:paraId="3A475F93" w14:textId="77777777" w:rsidR="009B5E39" w:rsidRPr="004043F3" w:rsidRDefault="009B5E39" w:rsidP="00190E4A">
            <w:pPr>
              <w:spacing w:before="40" w:after="40"/>
              <w:rPr>
                <w:rFonts w:ascii="Gotham" w:hAnsi="Gotham" w:cs="Arial"/>
                <w:sz w:val="19"/>
                <w:szCs w:val="19"/>
              </w:rPr>
            </w:pPr>
            <w:r w:rsidRPr="004043F3">
              <w:rPr>
                <w:rFonts w:ascii="Gotham" w:hAnsi="Gotham" w:cs="Arial"/>
                <w:sz w:val="19"/>
                <w:szCs w:val="19"/>
              </w:rPr>
              <w:t>4,000 metros</w:t>
            </w:r>
          </w:p>
        </w:tc>
      </w:tr>
      <w:tr w:rsidR="009B5E39" w:rsidRPr="004043F3" w14:paraId="3A475F98" w14:textId="77777777" w:rsidTr="00190E4A">
        <w:trPr>
          <w:jc w:val="center"/>
        </w:trPr>
        <w:tc>
          <w:tcPr>
            <w:tcW w:w="1980" w:type="dxa"/>
            <w:vMerge/>
            <w:vAlign w:val="center"/>
          </w:tcPr>
          <w:p w14:paraId="3A475F95"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96" w14:textId="77777777" w:rsidR="009B5E39" w:rsidRPr="004043F3" w:rsidRDefault="009B5E39" w:rsidP="00190E4A">
            <w:pPr>
              <w:spacing w:before="40" w:after="40"/>
              <w:ind w:left="178" w:right="34"/>
              <w:rPr>
                <w:rFonts w:ascii="Gotham" w:hAnsi="Gotham" w:cs="Arial"/>
                <w:sz w:val="19"/>
                <w:szCs w:val="19"/>
              </w:rPr>
            </w:pPr>
            <w:r w:rsidRPr="004043F3">
              <w:rPr>
                <w:rFonts w:ascii="Gotham" w:hAnsi="Gotham" w:cs="Arial"/>
                <w:sz w:val="19"/>
                <w:szCs w:val="19"/>
              </w:rPr>
              <w:t xml:space="preserve">Escuela especial para atípicos                                             </w:t>
            </w:r>
          </w:p>
        </w:tc>
        <w:tc>
          <w:tcPr>
            <w:tcW w:w="2415" w:type="dxa"/>
          </w:tcPr>
          <w:p w14:paraId="3A475F97" w14:textId="77777777" w:rsidR="009B5E39" w:rsidRPr="004043F3" w:rsidRDefault="009B5E39" w:rsidP="00190E4A">
            <w:pPr>
              <w:spacing w:before="40" w:after="40"/>
              <w:rPr>
                <w:rFonts w:ascii="Gotham" w:hAnsi="Gotham" w:cs="Arial"/>
                <w:sz w:val="19"/>
                <w:szCs w:val="19"/>
              </w:rPr>
            </w:pPr>
            <w:r w:rsidRPr="004043F3">
              <w:rPr>
                <w:rFonts w:ascii="Gotham" w:hAnsi="Gotham" w:cs="Arial"/>
                <w:sz w:val="19"/>
                <w:szCs w:val="19"/>
              </w:rPr>
              <w:t>2,500 metros</w:t>
            </w:r>
          </w:p>
        </w:tc>
      </w:tr>
      <w:tr w:rsidR="009B5E39" w:rsidRPr="004043F3" w14:paraId="3A475F9C" w14:textId="77777777" w:rsidTr="00190E4A">
        <w:trPr>
          <w:jc w:val="center"/>
        </w:trPr>
        <w:tc>
          <w:tcPr>
            <w:tcW w:w="1980" w:type="dxa"/>
            <w:vMerge/>
            <w:vAlign w:val="center"/>
          </w:tcPr>
          <w:p w14:paraId="3A475F99"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9A" w14:textId="77777777" w:rsidR="009B5E39" w:rsidRPr="004043F3" w:rsidRDefault="009B5E39" w:rsidP="00190E4A">
            <w:pPr>
              <w:spacing w:before="40" w:after="40"/>
              <w:ind w:left="178" w:right="34"/>
              <w:rPr>
                <w:rFonts w:ascii="Gotham" w:hAnsi="Gotham" w:cs="Arial"/>
                <w:sz w:val="19"/>
                <w:szCs w:val="19"/>
              </w:rPr>
            </w:pPr>
            <w:r w:rsidRPr="004043F3">
              <w:rPr>
                <w:rFonts w:ascii="Gotham" w:hAnsi="Gotham" w:cs="Arial"/>
                <w:sz w:val="19"/>
                <w:szCs w:val="19"/>
              </w:rPr>
              <w:t>Escuela primaria</w:t>
            </w:r>
          </w:p>
        </w:tc>
        <w:tc>
          <w:tcPr>
            <w:tcW w:w="2415" w:type="dxa"/>
          </w:tcPr>
          <w:p w14:paraId="3A475F9B" w14:textId="77777777" w:rsidR="009B5E39" w:rsidRPr="004043F3" w:rsidRDefault="009B5E39" w:rsidP="00190E4A">
            <w:pPr>
              <w:spacing w:before="40" w:after="40"/>
              <w:rPr>
                <w:rFonts w:ascii="Gotham" w:hAnsi="Gotham" w:cs="Arial"/>
                <w:sz w:val="19"/>
                <w:szCs w:val="19"/>
              </w:rPr>
            </w:pPr>
            <w:r w:rsidRPr="004043F3">
              <w:rPr>
                <w:rFonts w:ascii="Gotham" w:hAnsi="Gotham" w:cs="Arial"/>
                <w:sz w:val="19"/>
                <w:szCs w:val="19"/>
              </w:rPr>
              <w:t>500 metros</w:t>
            </w:r>
          </w:p>
        </w:tc>
      </w:tr>
      <w:tr w:rsidR="009B5E39" w:rsidRPr="004043F3" w14:paraId="3A475FA0" w14:textId="77777777" w:rsidTr="00190E4A">
        <w:trPr>
          <w:jc w:val="center"/>
        </w:trPr>
        <w:tc>
          <w:tcPr>
            <w:tcW w:w="1980" w:type="dxa"/>
            <w:vMerge/>
            <w:vAlign w:val="center"/>
          </w:tcPr>
          <w:p w14:paraId="3A475F9D"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9E" w14:textId="77777777" w:rsidR="009B5E39" w:rsidRPr="004043F3" w:rsidRDefault="009B5E39" w:rsidP="00190E4A">
            <w:pPr>
              <w:spacing w:before="40" w:after="40"/>
              <w:ind w:left="178" w:right="34"/>
              <w:rPr>
                <w:rFonts w:ascii="Gotham" w:hAnsi="Gotham" w:cs="Arial"/>
                <w:sz w:val="19"/>
                <w:szCs w:val="19"/>
              </w:rPr>
            </w:pPr>
            <w:r w:rsidRPr="004043F3">
              <w:rPr>
                <w:rFonts w:ascii="Gotham" w:hAnsi="Gotham" w:cs="Arial"/>
                <w:sz w:val="19"/>
                <w:szCs w:val="19"/>
              </w:rPr>
              <w:t xml:space="preserve">Centro de capacitación   para el trabajo    </w:t>
            </w:r>
          </w:p>
        </w:tc>
        <w:tc>
          <w:tcPr>
            <w:tcW w:w="2415" w:type="dxa"/>
          </w:tcPr>
          <w:p w14:paraId="3A475F9F" w14:textId="77777777" w:rsidR="009B5E39" w:rsidRPr="004043F3" w:rsidRDefault="009B5E39" w:rsidP="00190E4A">
            <w:pPr>
              <w:spacing w:before="40" w:after="40"/>
              <w:rPr>
                <w:rFonts w:ascii="Gotham" w:hAnsi="Gotham" w:cs="Arial"/>
                <w:sz w:val="19"/>
                <w:szCs w:val="19"/>
              </w:rPr>
            </w:pPr>
            <w:r w:rsidRPr="004043F3">
              <w:rPr>
                <w:rFonts w:ascii="Gotham" w:hAnsi="Gotham" w:cs="Arial"/>
                <w:sz w:val="19"/>
                <w:szCs w:val="19"/>
              </w:rPr>
              <w:t>2,000 metros</w:t>
            </w:r>
          </w:p>
        </w:tc>
      </w:tr>
      <w:tr w:rsidR="009B5E39" w:rsidRPr="004043F3" w14:paraId="3A475FA4" w14:textId="77777777" w:rsidTr="00190E4A">
        <w:trPr>
          <w:jc w:val="center"/>
        </w:trPr>
        <w:tc>
          <w:tcPr>
            <w:tcW w:w="1980" w:type="dxa"/>
            <w:vMerge/>
            <w:vAlign w:val="center"/>
          </w:tcPr>
          <w:p w14:paraId="3A475FA1"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A2" w14:textId="77777777" w:rsidR="009B5E39" w:rsidRPr="004043F3" w:rsidRDefault="009B5E39" w:rsidP="00190E4A">
            <w:pPr>
              <w:spacing w:before="40" w:after="40"/>
              <w:ind w:left="178" w:right="34"/>
              <w:rPr>
                <w:rFonts w:ascii="Gotham" w:hAnsi="Gotham" w:cs="Arial"/>
                <w:sz w:val="19"/>
                <w:szCs w:val="19"/>
              </w:rPr>
            </w:pPr>
            <w:r w:rsidRPr="004043F3">
              <w:rPr>
                <w:rFonts w:ascii="Gotham" w:hAnsi="Gotham" w:cs="Arial"/>
                <w:sz w:val="19"/>
                <w:szCs w:val="19"/>
              </w:rPr>
              <w:t>Secundaria</w:t>
            </w:r>
          </w:p>
        </w:tc>
        <w:tc>
          <w:tcPr>
            <w:tcW w:w="2415" w:type="dxa"/>
          </w:tcPr>
          <w:p w14:paraId="3A475FA3" w14:textId="77777777" w:rsidR="009B5E39" w:rsidRPr="004043F3" w:rsidRDefault="009B5E39" w:rsidP="00190E4A">
            <w:pPr>
              <w:spacing w:before="40" w:after="40"/>
              <w:rPr>
                <w:rFonts w:ascii="Gotham" w:hAnsi="Gotham" w:cs="Arial"/>
                <w:sz w:val="19"/>
                <w:szCs w:val="19"/>
              </w:rPr>
            </w:pPr>
            <w:r w:rsidRPr="004043F3">
              <w:rPr>
                <w:rFonts w:ascii="Gotham" w:hAnsi="Gotham" w:cs="Arial"/>
                <w:sz w:val="19"/>
                <w:szCs w:val="19"/>
              </w:rPr>
              <w:t>1,000 metros</w:t>
            </w:r>
          </w:p>
        </w:tc>
      </w:tr>
      <w:tr w:rsidR="009B5E39" w:rsidRPr="004043F3" w14:paraId="3A475FA8" w14:textId="77777777" w:rsidTr="00190E4A">
        <w:trPr>
          <w:jc w:val="center"/>
        </w:trPr>
        <w:tc>
          <w:tcPr>
            <w:tcW w:w="1980" w:type="dxa"/>
            <w:vMerge/>
            <w:vAlign w:val="center"/>
          </w:tcPr>
          <w:p w14:paraId="3A475FA5"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A6" w14:textId="77777777" w:rsidR="009B5E39" w:rsidRPr="004043F3" w:rsidRDefault="009B5E39" w:rsidP="00190E4A">
            <w:pPr>
              <w:spacing w:before="40" w:after="40"/>
              <w:ind w:left="178" w:right="34"/>
              <w:rPr>
                <w:rFonts w:ascii="Gotham" w:hAnsi="Gotham" w:cs="Arial"/>
                <w:sz w:val="19"/>
                <w:szCs w:val="19"/>
              </w:rPr>
            </w:pPr>
            <w:r w:rsidRPr="004043F3">
              <w:rPr>
                <w:rFonts w:ascii="Gotham" w:hAnsi="Gotham" w:cs="Arial"/>
                <w:sz w:val="19"/>
                <w:szCs w:val="19"/>
              </w:rPr>
              <w:t xml:space="preserve">Secundaria  técnica                                                                </w:t>
            </w:r>
          </w:p>
        </w:tc>
        <w:tc>
          <w:tcPr>
            <w:tcW w:w="2415" w:type="dxa"/>
          </w:tcPr>
          <w:p w14:paraId="3A475FA7" w14:textId="77777777" w:rsidR="009B5E39" w:rsidRPr="004043F3" w:rsidRDefault="009B5E39" w:rsidP="00190E4A">
            <w:pPr>
              <w:spacing w:before="40" w:after="40"/>
              <w:rPr>
                <w:rFonts w:ascii="Gotham" w:hAnsi="Gotham" w:cs="Arial"/>
                <w:sz w:val="19"/>
                <w:szCs w:val="19"/>
              </w:rPr>
            </w:pPr>
            <w:r w:rsidRPr="004043F3">
              <w:rPr>
                <w:rFonts w:ascii="Gotham" w:hAnsi="Gotham" w:cs="Arial"/>
                <w:sz w:val="19"/>
                <w:szCs w:val="19"/>
              </w:rPr>
              <w:t>1,500 metros</w:t>
            </w:r>
          </w:p>
        </w:tc>
      </w:tr>
      <w:tr w:rsidR="009B5E39" w:rsidRPr="004043F3" w14:paraId="3A475FAC" w14:textId="77777777" w:rsidTr="00190E4A">
        <w:trPr>
          <w:jc w:val="center"/>
        </w:trPr>
        <w:tc>
          <w:tcPr>
            <w:tcW w:w="1980" w:type="dxa"/>
            <w:vMerge/>
            <w:vAlign w:val="center"/>
          </w:tcPr>
          <w:p w14:paraId="3A475FA9"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AA" w14:textId="77777777" w:rsidR="009B5E39" w:rsidRPr="004043F3" w:rsidRDefault="009B5E39" w:rsidP="00190E4A">
            <w:pPr>
              <w:spacing w:before="40" w:after="40"/>
              <w:ind w:left="178" w:right="34"/>
              <w:rPr>
                <w:rFonts w:ascii="Gotham" w:hAnsi="Gotham" w:cs="Arial"/>
                <w:sz w:val="19"/>
                <w:szCs w:val="19"/>
              </w:rPr>
            </w:pPr>
            <w:r w:rsidRPr="004043F3">
              <w:rPr>
                <w:rFonts w:ascii="Gotham" w:hAnsi="Gotham" w:cs="Arial"/>
                <w:sz w:val="19"/>
                <w:szCs w:val="19"/>
              </w:rPr>
              <w:t xml:space="preserve">Preparatoria   o Bachillerato                                           </w:t>
            </w:r>
          </w:p>
        </w:tc>
        <w:tc>
          <w:tcPr>
            <w:tcW w:w="2415" w:type="dxa"/>
          </w:tcPr>
          <w:p w14:paraId="3A475FAB" w14:textId="77777777" w:rsidR="009B5E39" w:rsidRPr="004043F3" w:rsidRDefault="009B5E39" w:rsidP="00190E4A">
            <w:pPr>
              <w:spacing w:before="40" w:after="40"/>
              <w:rPr>
                <w:rFonts w:ascii="Gotham" w:hAnsi="Gotham" w:cs="Arial"/>
                <w:sz w:val="19"/>
                <w:szCs w:val="19"/>
              </w:rPr>
            </w:pPr>
            <w:r w:rsidRPr="004043F3">
              <w:rPr>
                <w:rFonts w:ascii="Gotham" w:hAnsi="Gotham" w:cs="Arial"/>
                <w:sz w:val="19"/>
                <w:szCs w:val="19"/>
              </w:rPr>
              <w:t>2,000 a 5,000 metros</w:t>
            </w:r>
          </w:p>
        </w:tc>
      </w:tr>
      <w:tr w:rsidR="009B5E39" w:rsidRPr="004043F3" w14:paraId="3A475FB0" w14:textId="77777777" w:rsidTr="00190E4A">
        <w:trPr>
          <w:jc w:val="center"/>
        </w:trPr>
        <w:tc>
          <w:tcPr>
            <w:tcW w:w="1980" w:type="dxa"/>
            <w:vMerge/>
            <w:vAlign w:val="center"/>
          </w:tcPr>
          <w:p w14:paraId="3A475FAD"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AE" w14:textId="77777777" w:rsidR="009B5E39" w:rsidRPr="004043F3" w:rsidRDefault="009B5E39" w:rsidP="00190E4A">
            <w:pPr>
              <w:spacing w:before="40" w:after="40"/>
              <w:ind w:left="178" w:right="34"/>
              <w:rPr>
                <w:rFonts w:ascii="Gotham" w:hAnsi="Gotham" w:cs="Arial"/>
                <w:sz w:val="19"/>
                <w:szCs w:val="19"/>
              </w:rPr>
            </w:pPr>
            <w:r w:rsidRPr="004043F3">
              <w:rPr>
                <w:rFonts w:ascii="Gotham" w:eastAsia="Arial" w:hAnsi="Gotham" w:cs="Arial"/>
                <w:color w:val="2F2F2F"/>
                <w:position w:val="-2"/>
                <w:sz w:val="19"/>
                <w:szCs w:val="19"/>
              </w:rPr>
              <w:t xml:space="preserve">Conalep                                                                         </w:t>
            </w:r>
            <w:r w:rsidRPr="004043F3">
              <w:rPr>
                <w:rFonts w:ascii="Gotham" w:eastAsia="Arial" w:hAnsi="Gotham" w:cs="Arial"/>
                <w:color w:val="2F2F2F"/>
                <w:spacing w:val="37"/>
                <w:position w:val="-2"/>
                <w:sz w:val="19"/>
                <w:szCs w:val="19"/>
              </w:rPr>
              <w:t xml:space="preserve"> </w:t>
            </w:r>
          </w:p>
        </w:tc>
        <w:tc>
          <w:tcPr>
            <w:tcW w:w="2415" w:type="dxa"/>
          </w:tcPr>
          <w:p w14:paraId="3A475FAF" w14:textId="77777777" w:rsidR="009B5E39" w:rsidRPr="004043F3" w:rsidRDefault="009B5E39" w:rsidP="00190E4A">
            <w:pPr>
              <w:spacing w:before="40" w:after="40"/>
              <w:rPr>
                <w:rFonts w:ascii="Gotham" w:hAnsi="Gotham" w:cs="Arial"/>
                <w:sz w:val="19"/>
                <w:szCs w:val="19"/>
              </w:rPr>
            </w:pPr>
            <w:r w:rsidRPr="004043F3">
              <w:rPr>
                <w:rFonts w:ascii="Gotham" w:eastAsia="Arial" w:hAnsi="Gotham" w:cs="Arial"/>
                <w:color w:val="2F2F2F"/>
                <w:sz w:val="19"/>
                <w:szCs w:val="19"/>
              </w:rPr>
              <w:t>5,000</w:t>
            </w:r>
            <w:r w:rsidRPr="004043F3">
              <w:rPr>
                <w:rFonts w:ascii="Gotham" w:eastAsia="Arial" w:hAnsi="Gotham" w:cs="Arial"/>
                <w:color w:val="2F2F2F"/>
                <w:spacing w:val="49"/>
                <w:sz w:val="19"/>
                <w:szCs w:val="19"/>
              </w:rPr>
              <w:t xml:space="preserve"> </w:t>
            </w:r>
            <w:r w:rsidRPr="004043F3">
              <w:rPr>
                <w:rFonts w:ascii="Gotham" w:eastAsia="Arial" w:hAnsi="Gotham" w:cs="Arial"/>
                <w:color w:val="2F2F2F"/>
                <w:w w:val="75"/>
                <w:sz w:val="19"/>
                <w:szCs w:val="19"/>
              </w:rPr>
              <w:t xml:space="preserve">a </w:t>
            </w:r>
            <w:r w:rsidRPr="004043F3">
              <w:rPr>
                <w:rFonts w:ascii="Gotham" w:eastAsia="Arial" w:hAnsi="Gotham" w:cs="Arial"/>
                <w:color w:val="2F2F2F"/>
                <w:spacing w:val="7"/>
                <w:w w:val="75"/>
                <w:sz w:val="19"/>
                <w:szCs w:val="19"/>
              </w:rPr>
              <w:t xml:space="preserve"> </w:t>
            </w:r>
            <w:r w:rsidRPr="004043F3">
              <w:rPr>
                <w:rFonts w:ascii="Gotham" w:eastAsia="Arial" w:hAnsi="Gotham" w:cs="Arial"/>
                <w:color w:val="2F2F2F"/>
                <w:sz w:val="19"/>
                <w:szCs w:val="19"/>
              </w:rPr>
              <w:t>10,000</w:t>
            </w:r>
            <w:r w:rsidRPr="004043F3">
              <w:rPr>
                <w:rFonts w:ascii="Gotham" w:eastAsia="Arial" w:hAnsi="Gotham" w:cs="Arial"/>
                <w:color w:val="2F2F2F"/>
                <w:spacing w:val="38"/>
                <w:sz w:val="19"/>
                <w:szCs w:val="19"/>
              </w:rPr>
              <w:t xml:space="preserve"> </w:t>
            </w:r>
            <w:r w:rsidRPr="004043F3">
              <w:rPr>
                <w:rFonts w:ascii="Gotham" w:eastAsia="Arial" w:hAnsi="Gotham" w:cs="Arial"/>
                <w:color w:val="2F2F2F"/>
                <w:sz w:val="19"/>
                <w:szCs w:val="19"/>
              </w:rPr>
              <w:t>metros</w:t>
            </w:r>
          </w:p>
        </w:tc>
      </w:tr>
      <w:tr w:rsidR="009B5E39" w:rsidRPr="004043F3" w14:paraId="3A475FB4" w14:textId="77777777" w:rsidTr="00190E4A">
        <w:trPr>
          <w:jc w:val="center"/>
        </w:trPr>
        <w:tc>
          <w:tcPr>
            <w:tcW w:w="1980" w:type="dxa"/>
            <w:vMerge/>
            <w:vAlign w:val="center"/>
          </w:tcPr>
          <w:p w14:paraId="3A475FB1"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B2" w14:textId="77777777" w:rsidR="009B5E39" w:rsidRPr="004043F3" w:rsidRDefault="009B5E39" w:rsidP="00190E4A">
            <w:pPr>
              <w:spacing w:before="40" w:after="40"/>
              <w:ind w:left="178" w:right="34"/>
              <w:rPr>
                <w:rFonts w:ascii="Gotham" w:hAnsi="Gotham" w:cs="Arial"/>
                <w:sz w:val="19"/>
                <w:szCs w:val="19"/>
              </w:rPr>
            </w:pPr>
            <w:r w:rsidRPr="004043F3">
              <w:rPr>
                <w:rFonts w:ascii="Gotham" w:eastAsia="Arial" w:hAnsi="Gotham" w:cs="Arial"/>
                <w:color w:val="2F2F2F"/>
                <w:position w:val="-2"/>
                <w:sz w:val="19"/>
                <w:szCs w:val="19"/>
              </w:rPr>
              <w:t xml:space="preserve">CBTIS                                                                            </w:t>
            </w:r>
            <w:r w:rsidRPr="004043F3">
              <w:rPr>
                <w:rFonts w:ascii="Gotham" w:eastAsia="Arial" w:hAnsi="Gotham" w:cs="Arial"/>
                <w:color w:val="2F2F2F"/>
                <w:spacing w:val="27"/>
                <w:position w:val="-2"/>
                <w:sz w:val="19"/>
                <w:szCs w:val="19"/>
              </w:rPr>
              <w:t xml:space="preserve"> </w:t>
            </w:r>
          </w:p>
        </w:tc>
        <w:tc>
          <w:tcPr>
            <w:tcW w:w="2415" w:type="dxa"/>
          </w:tcPr>
          <w:p w14:paraId="3A475FB3" w14:textId="77777777" w:rsidR="009B5E39" w:rsidRPr="004043F3" w:rsidRDefault="009B5E39" w:rsidP="00190E4A">
            <w:pPr>
              <w:spacing w:before="40" w:after="40"/>
              <w:rPr>
                <w:rFonts w:ascii="Gotham" w:hAnsi="Gotham" w:cs="Arial"/>
                <w:sz w:val="19"/>
                <w:szCs w:val="19"/>
              </w:rPr>
            </w:pPr>
            <w:r w:rsidRPr="004043F3">
              <w:rPr>
                <w:rFonts w:ascii="Gotham" w:eastAsia="Arial" w:hAnsi="Gotham" w:cs="Arial"/>
                <w:color w:val="2F2F2F"/>
                <w:sz w:val="19"/>
                <w:szCs w:val="19"/>
              </w:rPr>
              <w:t>5,000</w:t>
            </w:r>
            <w:r w:rsidRPr="004043F3">
              <w:rPr>
                <w:rFonts w:ascii="Gotham" w:eastAsia="Arial" w:hAnsi="Gotham" w:cs="Arial"/>
                <w:color w:val="2F2F2F"/>
                <w:spacing w:val="49"/>
                <w:sz w:val="19"/>
                <w:szCs w:val="19"/>
              </w:rPr>
              <w:t xml:space="preserve"> </w:t>
            </w:r>
            <w:r w:rsidRPr="004043F3">
              <w:rPr>
                <w:rFonts w:ascii="Gotham" w:eastAsia="Arial" w:hAnsi="Gotham" w:cs="Arial"/>
                <w:color w:val="2F2F2F"/>
                <w:w w:val="81"/>
                <w:sz w:val="19"/>
                <w:szCs w:val="19"/>
              </w:rPr>
              <w:t>a</w:t>
            </w:r>
            <w:r w:rsidRPr="004043F3">
              <w:rPr>
                <w:rFonts w:ascii="Gotham" w:eastAsia="Arial" w:hAnsi="Gotham" w:cs="Arial"/>
                <w:color w:val="2F2F2F"/>
                <w:spacing w:val="38"/>
                <w:w w:val="81"/>
                <w:sz w:val="19"/>
                <w:szCs w:val="19"/>
              </w:rPr>
              <w:t xml:space="preserve"> </w:t>
            </w:r>
            <w:r w:rsidRPr="004043F3">
              <w:rPr>
                <w:rFonts w:ascii="Gotham" w:eastAsia="Arial" w:hAnsi="Gotham" w:cs="Arial"/>
                <w:color w:val="2F2F2F"/>
                <w:sz w:val="19"/>
                <w:szCs w:val="19"/>
              </w:rPr>
              <w:t>10,000</w:t>
            </w:r>
            <w:r w:rsidRPr="004043F3">
              <w:rPr>
                <w:rFonts w:ascii="Gotham" w:eastAsia="Arial" w:hAnsi="Gotham" w:cs="Arial"/>
                <w:color w:val="2F2F2F"/>
                <w:spacing w:val="38"/>
                <w:sz w:val="19"/>
                <w:szCs w:val="19"/>
              </w:rPr>
              <w:t xml:space="preserve"> </w:t>
            </w:r>
            <w:r w:rsidRPr="004043F3">
              <w:rPr>
                <w:rFonts w:ascii="Gotham" w:eastAsia="Arial" w:hAnsi="Gotham" w:cs="Arial"/>
                <w:color w:val="2F2F2F"/>
                <w:sz w:val="19"/>
                <w:szCs w:val="19"/>
              </w:rPr>
              <w:t>metros</w:t>
            </w:r>
          </w:p>
        </w:tc>
      </w:tr>
      <w:tr w:rsidR="009B5E39" w:rsidRPr="004043F3" w14:paraId="3A475FB8" w14:textId="77777777" w:rsidTr="00190E4A">
        <w:trPr>
          <w:trHeight w:val="373"/>
          <w:jc w:val="center"/>
        </w:trPr>
        <w:tc>
          <w:tcPr>
            <w:tcW w:w="1980" w:type="dxa"/>
            <w:vMerge/>
            <w:vAlign w:val="center"/>
          </w:tcPr>
          <w:p w14:paraId="3A475FB5"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B6" w14:textId="77777777" w:rsidR="009B5E39" w:rsidRPr="004043F3" w:rsidRDefault="009B5E39" w:rsidP="00190E4A">
            <w:pPr>
              <w:spacing w:before="40" w:after="40"/>
              <w:ind w:left="178" w:right="34"/>
              <w:rPr>
                <w:rFonts w:ascii="Gotham" w:hAnsi="Gotham" w:cs="Arial"/>
                <w:sz w:val="19"/>
                <w:szCs w:val="19"/>
              </w:rPr>
            </w:pPr>
            <w:r w:rsidRPr="004043F3">
              <w:rPr>
                <w:rFonts w:ascii="Gotham" w:eastAsia="Arial" w:hAnsi="Gotham" w:cs="Arial"/>
                <w:color w:val="2F2F2F"/>
                <w:sz w:val="19"/>
                <w:szCs w:val="19"/>
              </w:rPr>
              <w:t>Institutos tecnológicos y universidades</w:t>
            </w:r>
          </w:p>
        </w:tc>
        <w:tc>
          <w:tcPr>
            <w:tcW w:w="2415" w:type="dxa"/>
          </w:tcPr>
          <w:p w14:paraId="3A475FB7" w14:textId="77777777" w:rsidR="009B5E39" w:rsidRPr="004043F3" w:rsidRDefault="009B5E39" w:rsidP="00190E4A">
            <w:pPr>
              <w:spacing w:before="40" w:after="40"/>
              <w:rPr>
                <w:rFonts w:ascii="Gotham" w:hAnsi="Gotham" w:cs="Arial"/>
                <w:sz w:val="19"/>
                <w:szCs w:val="19"/>
              </w:rPr>
            </w:pPr>
            <w:r w:rsidRPr="004043F3">
              <w:rPr>
                <w:rFonts w:ascii="Gotham" w:eastAsia="Arial" w:hAnsi="Gotham" w:cs="Arial"/>
                <w:color w:val="2F2F2F"/>
                <w:position w:val="1"/>
                <w:sz w:val="19"/>
                <w:szCs w:val="19"/>
              </w:rPr>
              <w:t>Centro de</w:t>
            </w:r>
            <w:r w:rsidRPr="004043F3">
              <w:rPr>
                <w:rFonts w:ascii="Gotham" w:eastAsia="Arial" w:hAnsi="Gotham" w:cs="Arial"/>
                <w:color w:val="2F2F2F"/>
                <w:spacing w:val="25"/>
                <w:position w:val="1"/>
                <w:sz w:val="19"/>
                <w:szCs w:val="19"/>
              </w:rPr>
              <w:t xml:space="preserve"> </w:t>
            </w:r>
            <w:r w:rsidRPr="004043F3">
              <w:rPr>
                <w:rFonts w:ascii="Gotham" w:eastAsia="Arial" w:hAnsi="Gotham" w:cs="Arial"/>
                <w:color w:val="2F2F2F"/>
                <w:position w:val="1"/>
                <w:sz w:val="19"/>
                <w:szCs w:val="19"/>
              </w:rPr>
              <w:t>población</w:t>
            </w:r>
          </w:p>
        </w:tc>
      </w:tr>
      <w:tr w:rsidR="009B5E39" w:rsidRPr="004043F3" w14:paraId="3A475FBC" w14:textId="77777777" w:rsidTr="00190E4A">
        <w:trPr>
          <w:jc w:val="center"/>
        </w:trPr>
        <w:tc>
          <w:tcPr>
            <w:tcW w:w="1980" w:type="dxa"/>
            <w:vMerge/>
            <w:vAlign w:val="center"/>
          </w:tcPr>
          <w:p w14:paraId="3A475FB9"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BA" w14:textId="77777777" w:rsidR="009B5E39" w:rsidRPr="004043F3" w:rsidRDefault="009B5E39" w:rsidP="00190E4A">
            <w:pPr>
              <w:spacing w:before="40" w:after="40"/>
              <w:ind w:left="178" w:right="34"/>
              <w:rPr>
                <w:rFonts w:ascii="Gotham" w:hAnsi="Gotham" w:cs="Arial"/>
                <w:sz w:val="19"/>
                <w:szCs w:val="19"/>
              </w:rPr>
            </w:pPr>
            <w:r w:rsidRPr="004043F3">
              <w:rPr>
                <w:rFonts w:ascii="Gotham" w:eastAsia="Arial" w:hAnsi="Gotham" w:cs="Arial"/>
                <w:color w:val="2F2F2F"/>
                <w:sz w:val="19"/>
                <w:szCs w:val="19"/>
              </w:rPr>
              <w:t xml:space="preserve">Biblioteca pública municipal                                               </w:t>
            </w:r>
            <w:r w:rsidRPr="004043F3">
              <w:rPr>
                <w:rFonts w:ascii="Gotham" w:eastAsia="Arial" w:hAnsi="Gotham" w:cs="Arial"/>
                <w:color w:val="2F2F2F"/>
                <w:spacing w:val="38"/>
                <w:sz w:val="19"/>
                <w:szCs w:val="19"/>
              </w:rPr>
              <w:t xml:space="preserve"> </w:t>
            </w:r>
          </w:p>
        </w:tc>
        <w:tc>
          <w:tcPr>
            <w:tcW w:w="2415" w:type="dxa"/>
          </w:tcPr>
          <w:p w14:paraId="3A475FBB" w14:textId="77777777" w:rsidR="009B5E39" w:rsidRPr="004043F3" w:rsidRDefault="009B5E39" w:rsidP="00190E4A">
            <w:pPr>
              <w:spacing w:before="40" w:after="40"/>
              <w:rPr>
                <w:rFonts w:ascii="Gotham" w:hAnsi="Gotham" w:cs="Arial"/>
                <w:sz w:val="19"/>
                <w:szCs w:val="19"/>
              </w:rPr>
            </w:pPr>
            <w:r w:rsidRPr="004043F3">
              <w:rPr>
                <w:rFonts w:ascii="Gotham" w:eastAsia="Arial" w:hAnsi="Gotham" w:cs="Arial"/>
                <w:color w:val="2F2F2F"/>
                <w:position w:val="1"/>
                <w:sz w:val="19"/>
                <w:szCs w:val="19"/>
              </w:rPr>
              <w:t>1,500</w:t>
            </w:r>
            <w:r w:rsidRPr="004043F3">
              <w:rPr>
                <w:rFonts w:ascii="Gotham" w:eastAsia="Arial" w:hAnsi="Gotham" w:cs="Arial"/>
                <w:color w:val="2F2F2F"/>
                <w:spacing w:val="34"/>
                <w:position w:val="1"/>
                <w:sz w:val="19"/>
                <w:szCs w:val="19"/>
              </w:rPr>
              <w:t xml:space="preserve"> </w:t>
            </w:r>
            <w:r w:rsidRPr="004043F3">
              <w:rPr>
                <w:rFonts w:ascii="Gotham" w:eastAsia="Arial" w:hAnsi="Gotham" w:cs="Arial"/>
                <w:color w:val="2F2F2F"/>
                <w:position w:val="1"/>
                <w:sz w:val="19"/>
                <w:szCs w:val="19"/>
              </w:rPr>
              <w:t>metros</w:t>
            </w:r>
          </w:p>
        </w:tc>
      </w:tr>
      <w:tr w:rsidR="009B5E39" w:rsidRPr="004043F3" w14:paraId="3A475FC0" w14:textId="77777777" w:rsidTr="00190E4A">
        <w:trPr>
          <w:jc w:val="center"/>
        </w:trPr>
        <w:tc>
          <w:tcPr>
            <w:tcW w:w="1980" w:type="dxa"/>
            <w:vMerge/>
            <w:vAlign w:val="center"/>
          </w:tcPr>
          <w:p w14:paraId="3A475FBD"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BE" w14:textId="77777777" w:rsidR="009B5E39" w:rsidRPr="004043F3" w:rsidRDefault="009B5E39" w:rsidP="00190E4A">
            <w:pPr>
              <w:spacing w:before="40" w:after="40"/>
              <w:ind w:left="178" w:right="34"/>
              <w:rPr>
                <w:rFonts w:ascii="Gotham" w:hAnsi="Gotham" w:cs="Arial"/>
                <w:sz w:val="19"/>
                <w:szCs w:val="19"/>
              </w:rPr>
            </w:pPr>
            <w:r w:rsidRPr="004043F3">
              <w:rPr>
                <w:rFonts w:ascii="Gotham" w:eastAsia="Arial" w:hAnsi="Gotham" w:cs="Arial"/>
                <w:color w:val="2F2F2F"/>
                <w:sz w:val="19"/>
                <w:szCs w:val="19"/>
              </w:rPr>
              <w:t xml:space="preserve">Biblioteca </w:t>
            </w:r>
            <w:r w:rsidRPr="004043F3">
              <w:rPr>
                <w:rFonts w:ascii="Gotham" w:eastAsia="Arial" w:hAnsi="Gotham" w:cs="Arial"/>
                <w:color w:val="2F2F2F"/>
                <w:spacing w:val="45"/>
                <w:sz w:val="19"/>
                <w:szCs w:val="19"/>
              </w:rPr>
              <w:t xml:space="preserve"> </w:t>
            </w:r>
            <w:r w:rsidRPr="004043F3">
              <w:rPr>
                <w:rFonts w:ascii="Gotham" w:eastAsia="Arial" w:hAnsi="Gotham" w:cs="Arial"/>
                <w:color w:val="2F2F2F"/>
                <w:sz w:val="19"/>
                <w:szCs w:val="19"/>
              </w:rPr>
              <w:t xml:space="preserve">pública </w:t>
            </w:r>
            <w:r w:rsidRPr="004043F3">
              <w:rPr>
                <w:rFonts w:ascii="Gotham" w:eastAsia="Arial" w:hAnsi="Gotham" w:cs="Arial"/>
                <w:color w:val="2F2F2F"/>
                <w:spacing w:val="19"/>
                <w:sz w:val="19"/>
                <w:szCs w:val="19"/>
              </w:rPr>
              <w:t xml:space="preserve"> </w:t>
            </w:r>
            <w:r w:rsidRPr="004043F3">
              <w:rPr>
                <w:rFonts w:ascii="Gotham" w:eastAsia="Arial" w:hAnsi="Gotham" w:cs="Arial"/>
                <w:color w:val="2F2F2F"/>
                <w:sz w:val="19"/>
                <w:szCs w:val="19"/>
              </w:rPr>
              <w:t xml:space="preserve">regional                                                 </w:t>
            </w:r>
            <w:r w:rsidRPr="004043F3">
              <w:rPr>
                <w:rFonts w:ascii="Gotham" w:eastAsia="Arial" w:hAnsi="Gotham" w:cs="Arial"/>
                <w:color w:val="2F2F2F"/>
                <w:spacing w:val="46"/>
                <w:sz w:val="19"/>
                <w:szCs w:val="19"/>
              </w:rPr>
              <w:t xml:space="preserve"> </w:t>
            </w:r>
          </w:p>
        </w:tc>
        <w:tc>
          <w:tcPr>
            <w:tcW w:w="2415" w:type="dxa"/>
          </w:tcPr>
          <w:p w14:paraId="3A475FBF" w14:textId="77777777" w:rsidR="009B5E39" w:rsidRPr="004043F3" w:rsidRDefault="009B5E39" w:rsidP="00190E4A">
            <w:pPr>
              <w:spacing w:before="40" w:after="40"/>
              <w:rPr>
                <w:rFonts w:ascii="Gotham" w:hAnsi="Gotham" w:cs="Arial"/>
                <w:sz w:val="19"/>
                <w:szCs w:val="19"/>
              </w:rPr>
            </w:pPr>
            <w:r w:rsidRPr="004043F3">
              <w:rPr>
                <w:rFonts w:ascii="Gotham" w:eastAsia="Arial" w:hAnsi="Gotham" w:cs="Arial"/>
                <w:color w:val="2F2F2F"/>
                <w:position w:val="1"/>
                <w:sz w:val="19"/>
                <w:szCs w:val="19"/>
              </w:rPr>
              <w:t>2,500</w:t>
            </w:r>
            <w:r w:rsidRPr="004043F3">
              <w:rPr>
                <w:rFonts w:ascii="Gotham" w:eastAsia="Arial" w:hAnsi="Gotham" w:cs="Arial"/>
                <w:color w:val="2F2F2F"/>
                <w:spacing w:val="49"/>
                <w:position w:val="1"/>
                <w:sz w:val="19"/>
                <w:szCs w:val="19"/>
              </w:rPr>
              <w:t xml:space="preserve"> </w:t>
            </w:r>
            <w:r w:rsidRPr="004043F3">
              <w:rPr>
                <w:rFonts w:ascii="Gotham" w:eastAsia="Arial" w:hAnsi="Gotham" w:cs="Arial"/>
                <w:color w:val="2F2F2F"/>
                <w:position w:val="1"/>
                <w:sz w:val="19"/>
                <w:szCs w:val="19"/>
              </w:rPr>
              <w:t>metros</w:t>
            </w:r>
          </w:p>
        </w:tc>
      </w:tr>
      <w:tr w:rsidR="009B5E39" w:rsidRPr="004043F3" w14:paraId="3A475FC4" w14:textId="77777777" w:rsidTr="00190E4A">
        <w:trPr>
          <w:jc w:val="center"/>
        </w:trPr>
        <w:tc>
          <w:tcPr>
            <w:tcW w:w="1980" w:type="dxa"/>
            <w:vMerge/>
            <w:vAlign w:val="center"/>
          </w:tcPr>
          <w:p w14:paraId="3A475FC1"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C2" w14:textId="77777777" w:rsidR="009B5E39" w:rsidRPr="004043F3" w:rsidRDefault="009B5E39" w:rsidP="00190E4A">
            <w:pPr>
              <w:spacing w:before="40" w:after="40"/>
              <w:ind w:left="178" w:right="34"/>
              <w:rPr>
                <w:rFonts w:ascii="Gotham" w:eastAsia="Arial" w:hAnsi="Gotham" w:cs="Arial"/>
                <w:color w:val="2F2F2F"/>
                <w:sz w:val="19"/>
                <w:szCs w:val="19"/>
              </w:rPr>
            </w:pPr>
            <w:r w:rsidRPr="004043F3">
              <w:rPr>
                <w:rFonts w:ascii="Gotham" w:eastAsia="Arial" w:hAnsi="Gotham" w:cs="Arial"/>
                <w:color w:val="2F2F2F"/>
                <w:sz w:val="19"/>
                <w:szCs w:val="19"/>
              </w:rPr>
              <w:t xml:space="preserve">Museos, </w:t>
            </w:r>
            <w:r w:rsidRPr="004043F3">
              <w:rPr>
                <w:rFonts w:ascii="Gotham" w:eastAsia="Arial" w:hAnsi="Gotham" w:cs="Arial"/>
                <w:color w:val="2F2F2F"/>
                <w:spacing w:val="12"/>
                <w:sz w:val="19"/>
                <w:szCs w:val="19"/>
              </w:rPr>
              <w:t>Casa</w:t>
            </w:r>
            <w:r w:rsidRPr="004043F3">
              <w:rPr>
                <w:rFonts w:ascii="Gotham" w:eastAsia="Arial" w:hAnsi="Gotham" w:cs="Arial"/>
                <w:color w:val="2F2F2F"/>
                <w:spacing w:val="-18"/>
                <w:sz w:val="19"/>
                <w:szCs w:val="19"/>
              </w:rPr>
              <w:t xml:space="preserve"> </w:t>
            </w:r>
            <w:r w:rsidRPr="004043F3">
              <w:rPr>
                <w:rFonts w:ascii="Gotham" w:eastAsia="Arial" w:hAnsi="Gotham" w:cs="Arial"/>
                <w:color w:val="2F2F2F"/>
                <w:sz w:val="19"/>
                <w:szCs w:val="19"/>
              </w:rPr>
              <w:t>de</w:t>
            </w:r>
            <w:r w:rsidRPr="004043F3">
              <w:rPr>
                <w:rFonts w:ascii="Gotham" w:eastAsia="Arial" w:hAnsi="Gotham" w:cs="Arial"/>
                <w:color w:val="2F2F2F"/>
                <w:spacing w:val="39"/>
                <w:sz w:val="19"/>
                <w:szCs w:val="19"/>
              </w:rPr>
              <w:t xml:space="preserve"> </w:t>
            </w:r>
            <w:r w:rsidRPr="004043F3">
              <w:rPr>
                <w:rFonts w:ascii="Gotham" w:eastAsia="Arial" w:hAnsi="Gotham" w:cs="Arial"/>
                <w:color w:val="2F2F2F"/>
                <w:sz w:val="19"/>
                <w:szCs w:val="19"/>
              </w:rPr>
              <w:t>la</w:t>
            </w:r>
            <w:r w:rsidRPr="004043F3">
              <w:rPr>
                <w:rFonts w:ascii="Gotham" w:eastAsia="Arial" w:hAnsi="Gotham" w:cs="Arial"/>
                <w:color w:val="2F2F2F"/>
                <w:spacing w:val="5"/>
                <w:sz w:val="19"/>
                <w:szCs w:val="19"/>
              </w:rPr>
              <w:t xml:space="preserve"> </w:t>
            </w:r>
            <w:r w:rsidRPr="004043F3">
              <w:rPr>
                <w:rFonts w:ascii="Gotham" w:eastAsia="Arial" w:hAnsi="Gotham" w:cs="Arial"/>
                <w:color w:val="2F2F2F"/>
                <w:sz w:val="19"/>
                <w:szCs w:val="19"/>
              </w:rPr>
              <w:t>Cultura,</w:t>
            </w:r>
            <w:r w:rsidRPr="004043F3">
              <w:rPr>
                <w:rFonts w:ascii="Gotham" w:eastAsia="Arial" w:hAnsi="Gotham" w:cs="Arial"/>
                <w:color w:val="2F2F2F"/>
                <w:spacing w:val="51"/>
                <w:sz w:val="19"/>
                <w:szCs w:val="19"/>
              </w:rPr>
              <w:t xml:space="preserve"> </w:t>
            </w:r>
            <w:r w:rsidRPr="004043F3">
              <w:rPr>
                <w:rFonts w:ascii="Gotham" w:eastAsia="Arial" w:hAnsi="Gotham" w:cs="Arial"/>
                <w:color w:val="2F2F2F"/>
                <w:sz w:val="19"/>
                <w:szCs w:val="19"/>
              </w:rPr>
              <w:t xml:space="preserve">Teatro                             </w:t>
            </w:r>
            <w:r w:rsidRPr="004043F3">
              <w:rPr>
                <w:rFonts w:ascii="Gotham" w:eastAsia="Arial" w:hAnsi="Gotham" w:cs="Arial"/>
                <w:color w:val="2F2F2F"/>
                <w:spacing w:val="21"/>
                <w:sz w:val="19"/>
                <w:szCs w:val="19"/>
              </w:rPr>
              <w:t xml:space="preserve"> </w:t>
            </w:r>
          </w:p>
        </w:tc>
        <w:tc>
          <w:tcPr>
            <w:tcW w:w="2415" w:type="dxa"/>
          </w:tcPr>
          <w:p w14:paraId="3A475FC3" w14:textId="77777777" w:rsidR="009B5E39" w:rsidRPr="004043F3" w:rsidRDefault="009B5E39" w:rsidP="00190E4A">
            <w:pPr>
              <w:spacing w:before="40" w:after="40"/>
              <w:rPr>
                <w:rFonts w:ascii="Gotham" w:eastAsia="Arial" w:hAnsi="Gotham" w:cs="Arial"/>
                <w:color w:val="2F2F2F"/>
                <w:position w:val="1"/>
                <w:sz w:val="19"/>
                <w:szCs w:val="19"/>
              </w:rPr>
            </w:pPr>
            <w:r w:rsidRPr="004043F3">
              <w:rPr>
                <w:rFonts w:ascii="Gotham" w:eastAsia="Arial" w:hAnsi="Gotham" w:cs="Arial"/>
                <w:color w:val="2F2F2F"/>
                <w:position w:val="1"/>
                <w:sz w:val="19"/>
                <w:szCs w:val="19"/>
              </w:rPr>
              <w:t>Centro</w:t>
            </w:r>
            <w:r w:rsidRPr="004043F3">
              <w:rPr>
                <w:rFonts w:ascii="Gotham" w:eastAsia="Arial" w:hAnsi="Gotham" w:cs="Arial"/>
                <w:color w:val="2F2F2F"/>
                <w:spacing w:val="50"/>
                <w:position w:val="1"/>
                <w:sz w:val="19"/>
                <w:szCs w:val="19"/>
              </w:rPr>
              <w:t xml:space="preserve"> </w:t>
            </w:r>
            <w:r w:rsidRPr="004043F3">
              <w:rPr>
                <w:rFonts w:ascii="Gotham" w:eastAsia="Arial" w:hAnsi="Gotham" w:cs="Arial"/>
                <w:color w:val="2F2F2F"/>
                <w:position w:val="1"/>
                <w:sz w:val="19"/>
                <w:szCs w:val="19"/>
              </w:rPr>
              <w:t>de</w:t>
            </w:r>
            <w:r w:rsidRPr="004043F3">
              <w:rPr>
                <w:rFonts w:ascii="Gotham" w:eastAsia="Arial" w:hAnsi="Gotham" w:cs="Arial"/>
                <w:color w:val="2F2F2F"/>
                <w:spacing w:val="25"/>
                <w:position w:val="1"/>
                <w:sz w:val="19"/>
                <w:szCs w:val="19"/>
              </w:rPr>
              <w:t xml:space="preserve"> </w:t>
            </w:r>
            <w:r w:rsidRPr="004043F3">
              <w:rPr>
                <w:rFonts w:ascii="Gotham" w:eastAsia="Arial" w:hAnsi="Gotham" w:cs="Arial"/>
                <w:color w:val="2F2F2F"/>
                <w:position w:val="1"/>
                <w:sz w:val="19"/>
                <w:szCs w:val="19"/>
              </w:rPr>
              <w:t>población</w:t>
            </w:r>
          </w:p>
        </w:tc>
      </w:tr>
      <w:tr w:rsidR="009B5E39" w:rsidRPr="004043F3" w14:paraId="3A475FC8" w14:textId="77777777" w:rsidTr="00190E4A">
        <w:trPr>
          <w:jc w:val="center"/>
        </w:trPr>
        <w:tc>
          <w:tcPr>
            <w:tcW w:w="1980" w:type="dxa"/>
            <w:vMerge/>
            <w:vAlign w:val="center"/>
          </w:tcPr>
          <w:p w14:paraId="3A475FC5"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C6" w14:textId="77777777" w:rsidR="009B5E39" w:rsidRPr="004043F3" w:rsidRDefault="009B5E39" w:rsidP="00190E4A">
            <w:pPr>
              <w:spacing w:before="40" w:after="40"/>
              <w:ind w:left="178" w:right="34"/>
              <w:rPr>
                <w:rFonts w:ascii="Gotham" w:eastAsia="Arial" w:hAnsi="Gotham" w:cs="Arial"/>
                <w:color w:val="2F2F2F"/>
                <w:sz w:val="19"/>
                <w:szCs w:val="19"/>
              </w:rPr>
            </w:pPr>
            <w:r w:rsidRPr="004043F3">
              <w:rPr>
                <w:rFonts w:ascii="Gotham" w:eastAsia="Arial" w:hAnsi="Gotham" w:cs="Arial"/>
                <w:color w:val="2F2F2F"/>
                <w:sz w:val="19"/>
                <w:szCs w:val="19"/>
              </w:rPr>
              <w:t>Escuela</w:t>
            </w:r>
            <w:r w:rsidRPr="004043F3">
              <w:rPr>
                <w:rFonts w:ascii="Gotham" w:eastAsia="Arial" w:hAnsi="Gotham" w:cs="Arial"/>
                <w:color w:val="2F2F2F"/>
                <w:spacing w:val="25"/>
                <w:sz w:val="19"/>
                <w:szCs w:val="19"/>
              </w:rPr>
              <w:t xml:space="preserve"> </w:t>
            </w:r>
            <w:r w:rsidRPr="004043F3">
              <w:rPr>
                <w:rFonts w:ascii="Gotham" w:eastAsia="Arial" w:hAnsi="Gotham" w:cs="Arial"/>
                <w:color w:val="2F2F2F"/>
                <w:sz w:val="19"/>
                <w:szCs w:val="19"/>
              </w:rPr>
              <w:t>integral de</w:t>
            </w:r>
            <w:r w:rsidRPr="004043F3">
              <w:rPr>
                <w:rFonts w:ascii="Gotham" w:eastAsia="Arial" w:hAnsi="Gotham" w:cs="Arial"/>
                <w:color w:val="2F2F2F"/>
                <w:spacing w:val="25"/>
                <w:sz w:val="19"/>
                <w:szCs w:val="19"/>
              </w:rPr>
              <w:t xml:space="preserve"> </w:t>
            </w:r>
            <w:r w:rsidRPr="004043F3">
              <w:rPr>
                <w:rFonts w:ascii="Gotham" w:eastAsia="Arial" w:hAnsi="Gotham" w:cs="Arial"/>
                <w:color w:val="2F2F2F"/>
                <w:sz w:val="19"/>
                <w:szCs w:val="19"/>
              </w:rPr>
              <w:t xml:space="preserve">artes                                              </w:t>
            </w:r>
            <w:r w:rsidRPr="004043F3">
              <w:rPr>
                <w:rFonts w:ascii="Gotham" w:eastAsia="Arial" w:hAnsi="Gotham" w:cs="Arial"/>
                <w:color w:val="2F2F2F"/>
                <w:spacing w:val="47"/>
                <w:sz w:val="19"/>
                <w:szCs w:val="19"/>
              </w:rPr>
              <w:t xml:space="preserve"> </w:t>
            </w:r>
          </w:p>
        </w:tc>
        <w:tc>
          <w:tcPr>
            <w:tcW w:w="2415" w:type="dxa"/>
          </w:tcPr>
          <w:p w14:paraId="3A475FC7" w14:textId="77777777" w:rsidR="009B5E39" w:rsidRPr="004043F3" w:rsidRDefault="009B5E39" w:rsidP="00190E4A">
            <w:pPr>
              <w:spacing w:before="40" w:after="40"/>
              <w:rPr>
                <w:rFonts w:ascii="Gotham" w:eastAsia="Arial" w:hAnsi="Gotham" w:cs="Arial"/>
                <w:color w:val="2F2F2F"/>
                <w:position w:val="1"/>
                <w:sz w:val="19"/>
                <w:szCs w:val="19"/>
              </w:rPr>
            </w:pPr>
            <w:r w:rsidRPr="004043F3">
              <w:rPr>
                <w:rFonts w:ascii="Gotham" w:eastAsia="Arial" w:hAnsi="Gotham" w:cs="Arial"/>
                <w:color w:val="2F2F2F"/>
                <w:position w:val="2"/>
                <w:sz w:val="19"/>
                <w:szCs w:val="19"/>
              </w:rPr>
              <w:t>Centro</w:t>
            </w:r>
            <w:r w:rsidRPr="004043F3">
              <w:rPr>
                <w:rFonts w:ascii="Gotham" w:eastAsia="Arial" w:hAnsi="Gotham" w:cs="Arial"/>
                <w:color w:val="2F2F2F"/>
                <w:spacing w:val="50"/>
                <w:position w:val="2"/>
                <w:sz w:val="19"/>
                <w:szCs w:val="19"/>
              </w:rPr>
              <w:t xml:space="preserve"> </w:t>
            </w:r>
            <w:r w:rsidRPr="004043F3">
              <w:rPr>
                <w:rFonts w:ascii="Gotham" w:eastAsia="Arial" w:hAnsi="Gotham" w:cs="Arial"/>
                <w:color w:val="2F2F2F"/>
                <w:position w:val="2"/>
                <w:sz w:val="19"/>
                <w:szCs w:val="19"/>
              </w:rPr>
              <w:t>de</w:t>
            </w:r>
            <w:r w:rsidRPr="004043F3">
              <w:rPr>
                <w:rFonts w:ascii="Gotham" w:eastAsia="Arial" w:hAnsi="Gotham" w:cs="Arial"/>
                <w:color w:val="2F2F2F"/>
                <w:spacing w:val="25"/>
                <w:position w:val="2"/>
                <w:sz w:val="19"/>
                <w:szCs w:val="19"/>
              </w:rPr>
              <w:t xml:space="preserve"> </w:t>
            </w:r>
            <w:r w:rsidRPr="004043F3">
              <w:rPr>
                <w:rFonts w:ascii="Gotham" w:eastAsia="Arial" w:hAnsi="Gotham" w:cs="Arial"/>
                <w:color w:val="2F2F2F"/>
                <w:position w:val="2"/>
                <w:sz w:val="19"/>
                <w:szCs w:val="19"/>
              </w:rPr>
              <w:t xml:space="preserve">población </w:t>
            </w:r>
          </w:p>
        </w:tc>
      </w:tr>
      <w:tr w:rsidR="009B5E39" w:rsidRPr="004043F3" w14:paraId="3A475FCC" w14:textId="77777777" w:rsidTr="00190E4A">
        <w:trPr>
          <w:jc w:val="center"/>
        </w:trPr>
        <w:tc>
          <w:tcPr>
            <w:tcW w:w="1980" w:type="dxa"/>
            <w:vMerge/>
            <w:vAlign w:val="center"/>
          </w:tcPr>
          <w:p w14:paraId="3A475FC9"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C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 xml:space="preserve">Centro social                                                                   </w:t>
            </w:r>
            <w:r w:rsidRPr="004043F3">
              <w:rPr>
                <w:rFonts w:ascii="Gotham" w:eastAsia="Arial" w:hAnsi="Gotham" w:cs="Arial"/>
                <w:color w:val="2F2F2F"/>
                <w:spacing w:val="27"/>
                <w:sz w:val="19"/>
                <w:szCs w:val="19"/>
              </w:rPr>
              <w:t xml:space="preserve"> </w:t>
            </w:r>
          </w:p>
        </w:tc>
        <w:tc>
          <w:tcPr>
            <w:tcW w:w="2415" w:type="dxa"/>
          </w:tcPr>
          <w:p w14:paraId="3A475FCB" w14:textId="77777777" w:rsidR="009B5E39" w:rsidRPr="004043F3" w:rsidRDefault="009B5E39" w:rsidP="00190E4A">
            <w:pPr>
              <w:spacing w:before="40" w:after="40"/>
              <w:rPr>
                <w:rFonts w:ascii="Gotham" w:eastAsia="Arial" w:hAnsi="Gotham" w:cs="Arial"/>
                <w:color w:val="2F2F2F"/>
                <w:position w:val="1"/>
                <w:sz w:val="19"/>
                <w:szCs w:val="19"/>
              </w:rPr>
            </w:pPr>
            <w:r w:rsidRPr="004043F3">
              <w:rPr>
                <w:rFonts w:ascii="Gotham" w:eastAsia="Arial" w:hAnsi="Gotham" w:cs="Arial"/>
                <w:color w:val="2F2F2F"/>
                <w:position w:val="1"/>
                <w:sz w:val="19"/>
                <w:szCs w:val="19"/>
              </w:rPr>
              <w:t>650 a 1,300 metros</w:t>
            </w:r>
          </w:p>
        </w:tc>
      </w:tr>
      <w:tr w:rsidR="009B5E39" w:rsidRPr="004043F3" w14:paraId="3A475FD0" w14:textId="77777777" w:rsidTr="00190E4A">
        <w:trPr>
          <w:jc w:val="center"/>
        </w:trPr>
        <w:tc>
          <w:tcPr>
            <w:tcW w:w="1980" w:type="dxa"/>
            <w:vMerge/>
            <w:vAlign w:val="center"/>
          </w:tcPr>
          <w:p w14:paraId="3A475FCD"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C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w w:val="110"/>
                <w:sz w:val="19"/>
                <w:szCs w:val="19"/>
              </w:rPr>
              <w:t xml:space="preserve">Auditorio </w:t>
            </w:r>
            <w:r w:rsidRPr="004043F3">
              <w:rPr>
                <w:rFonts w:ascii="Gotham" w:eastAsia="Arial" w:hAnsi="Gotham" w:cs="Arial"/>
                <w:color w:val="2F2F2F"/>
                <w:sz w:val="19"/>
                <w:szCs w:val="19"/>
              </w:rPr>
              <w:t xml:space="preserve">Municipal                                                      </w:t>
            </w:r>
            <w:r w:rsidRPr="004043F3">
              <w:rPr>
                <w:rFonts w:ascii="Gotham" w:eastAsia="Arial" w:hAnsi="Gotham" w:cs="Arial"/>
                <w:color w:val="2F2F2F"/>
                <w:spacing w:val="54"/>
                <w:sz w:val="19"/>
                <w:szCs w:val="19"/>
              </w:rPr>
              <w:t xml:space="preserve"> </w:t>
            </w:r>
          </w:p>
        </w:tc>
        <w:tc>
          <w:tcPr>
            <w:tcW w:w="2415" w:type="dxa"/>
          </w:tcPr>
          <w:p w14:paraId="3A475FCF" w14:textId="77777777" w:rsidR="009B5E39" w:rsidRPr="004043F3" w:rsidRDefault="009B5E39" w:rsidP="00190E4A">
            <w:pPr>
              <w:spacing w:before="40" w:after="40"/>
              <w:rPr>
                <w:rFonts w:ascii="Gotham" w:eastAsia="Arial" w:hAnsi="Gotham" w:cs="Arial"/>
                <w:color w:val="2F2F2F"/>
                <w:position w:val="1"/>
                <w:sz w:val="19"/>
                <w:szCs w:val="19"/>
              </w:rPr>
            </w:pPr>
            <w:r w:rsidRPr="004043F3">
              <w:rPr>
                <w:rFonts w:ascii="Gotham" w:eastAsia="Arial" w:hAnsi="Gotham" w:cs="Arial"/>
                <w:color w:val="2F2F2F"/>
                <w:position w:val="1"/>
                <w:sz w:val="19"/>
                <w:szCs w:val="19"/>
              </w:rPr>
              <w:t>1,300</w:t>
            </w:r>
            <w:r w:rsidRPr="004043F3">
              <w:rPr>
                <w:rFonts w:ascii="Gotham" w:eastAsia="Arial" w:hAnsi="Gotham" w:cs="Arial"/>
                <w:color w:val="2F2F2F"/>
                <w:spacing w:val="49"/>
                <w:position w:val="1"/>
                <w:sz w:val="19"/>
                <w:szCs w:val="19"/>
              </w:rPr>
              <w:t xml:space="preserve"> </w:t>
            </w:r>
            <w:r w:rsidRPr="004043F3">
              <w:rPr>
                <w:rFonts w:ascii="Gotham" w:eastAsia="Arial" w:hAnsi="Gotham" w:cs="Arial"/>
                <w:color w:val="2F2F2F"/>
                <w:w w:val="75"/>
                <w:position w:val="1"/>
                <w:sz w:val="19"/>
                <w:szCs w:val="19"/>
              </w:rPr>
              <w:t>a</w:t>
            </w:r>
            <w:r w:rsidRPr="004043F3">
              <w:rPr>
                <w:rFonts w:ascii="Gotham" w:eastAsia="Arial" w:hAnsi="Gotham" w:cs="Arial"/>
                <w:color w:val="2F2F2F"/>
                <w:spacing w:val="34"/>
                <w:w w:val="75"/>
                <w:position w:val="1"/>
                <w:sz w:val="19"/>
                <w:szCs w:val="19"/>
              </w:rPr>
              <w:t xml:space="preserve"> </w:t>
            </w:r>
            <w:r w:rsidRPr="004043F3">
              <w:rPr>
                <w:rFonts w:ascii="Gotham" w:eastAsia="Arial" w:hAnsi="Gotham" w:cs="Arial"/>
                <w:color w:val="2F2F2F"/>
                <w:position w:val="1"/>
                <w:sz w:val="19"/>
                <w:szCs w:val="19"/>
              </w:rPr>
              <w:t>2,300</w:t>
            </w:r>
            <w:r w:rsidRPr="004043F3">
              <w:rPr>
                <w:rFonts w:ascii="Gotham" w:eastAsia="Arial" w:hAnsi="Gotham" w:cs="Arial"/>
                <w:color w:val="2F2F2F"/>
                <w:spacing w:val="49"/>
                <w:position w:val="1"/>
                <w:sz w:val="19"/>
                <w:szCs w:val="19"/>
              </w:rPr>
              <w:t xml:space="preserve"> </w:t>
            </w:r>
            <w:r w:rsidRPr="004043F3">
              <w:rPr>
                <w:rFonts w:ascii="Gotham" w:eastAsia="Arial" w:hAnsi="Gotham" w:cs="Arial"/>
                <w:color w:val="2F2F2F"/>
                <w:position w:val="1"/>
                <w:sz w:val="19"/>
                <w:szCs w:val="19"/>
              </w:rPr>
              <w:t>metros</w:t>
            </w:r>
          </w:p>
        </w:tc>
      </w:tr>
      <w:tr w:rsidR="009B5E39" w:rsidRPr="004043F3" w14:paraId="3A475FD4" w14:textId="77777777" w:rsidTr="00190E4A">
        <w:trPr>
          <w:jc w:val="center"/>
        </w:trPr>
        <w:tc>
          <w:tcPr>
            <w:tcW w:w="1980" w:type="dxa"/>
            <w:vMerge w:val="restart"/>
            <w:vAlign w:val="center"/>
          </w:tcPr>
          <w:p w14:paraId="3A475FD1" w14:textId="77777777" w:rsidR="009B5E39" w:rsidRPr="004043F3" w:rsidRDefault="009B5E39" w:rsidP="00190E4A">
            <w:pPr>
              <w:spacing w:before="40" w:after="40"/>
              <w:jc w:val="center"/>
              <w:rPr>
                <w:rFonts w:ascii="Gotham" w:hAnsi="Gotham" w:cs="Arial"/>
                <w:sz w:val="19"/>
                <w:szCs w:val="19"/>
              </w:rPr>
            </w:pPr>
            <w:r w:rsidRPr="004043F3">
              <w:rPr>
                <w:rFonts w:ascii="Gotham" w:hAnsi="Gotham" w:cs="Arial"/>
                <w:sz w:val="19"/>
                <w:szCs w:val="19"/>
              </w:rPr>
              <w:t>Salud y asistencia social</w:t>
            </w:r>
          </w:p>
        </w:tc>
        <w:tc>
          <w:tcPr>
            <w:tcW w:w="4961" w:type="dxa"/>
          </w:tcPr>
          <w:p w14:paraId="3A475FD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Centro de</w:t>
            </w:r>
            <w:r w:rsidRPr="004043F3">
              <w:rPr>
                <w:rFonts w:ascii="Gotham" w:eastAsia="Arial" w:hAnsi="Gotham" w:cs="Arial"/>
                <w:color w:val="2F2F2F"/>
                <w:spacing w:val="25"/>
                <w:sz w:val="19"/>
                <w:szCs w:val="19"/>
              </w:rPr>
              <w:t xml:space="preserve"> </w:t>
            </w:r>
            <w:r w:rsidRPr="004043F3">
              <w:rPr>
                <w:rFonts w:ascii="Gotham" w:eastAsia="Arial" w:hAnsi="Gotham" w:cs="Arial"/>
                <w:color w:val="2F2F2F"/>
                <w:sz w:val="19"/>
                <w:szCs w:val="19"/>
              </w:rPr>
              <w:t xml:space="preserve">salud                                                                    </w:t>
            </w:r>
            <w:r w:rsidRPr="004043F3">
              <w:rPr>
                <w:rFonts w:ascii="Gotham" w:eastAsia="Arial" w:hAnsi="Gotham" w:cs="Arial"/>
                <w:color w:val="2F2F2F"/>
                <w:spacing w:val="5"/>
                <w:sz w:val="19"/>
                <w:szCs w:val="19"/>
              </w:rPr>
              <w:t xml:space="preserve"> </w:t>
            </w:r>
          </w:p>
        </w:tc>
        <w:tc>
          <w:tcPr>
            <w:tcW w:w="2415" w:type="dxa"/>
          </w:tcPr>
          <w:p w14:paraId="3A475FD3" w14:textId="77777777" w:rsidR="009B5E39" w:rsidRPr="004043F3" w:rsidRDefault="009B5E39" w:rsidP="00190E4A">
            <w:pPr>
              <w:spacing w:before="40" w:after="40"/>
              <w:rPr>
                <w:rFonts w:ascii="Gotham" w:eastAsia="Arial" w:hAnsi="Gotham" w:cs="Arial"/>
                <w:color w:val="2F2F2F"/>
                <w:position w:val="1"/>
                <w:sz w:val="19"/>
                <w:szCs w:val="19"/>
              </w:rPr>
            </w:pPr>
            <w:r w:rsidRPr="004043F3">
              <w:rPr>
                <w:rFonts w:ascii="Gotham" w:eastAsia="Arial" w:hAnsi="Gotham" w:cs="Arial"/>
                <w:color w:val="2F2F2F"/>
                <w:position w:val="1"/>
                <w:sz w:val="19"/>
                <w:szCs w:val="19"/>
              </w:rPr>
              <w:t>1,000</w:t>
            </w:r>
            <w:r w:rsidRPr="004043F3">
              <w:rPr>
                <w:rFonts w:ascii="Gotham" w:eastAsia="Arial" w:hAnsi="Gotham" w:cs="Arial"/>
                <w:color w:val="2F2F2F"/>
                <w:spacing w:val="34"/>
                <w:position w:val="1"/>
                <w:sz w:val="19"/>
                <w:szCs w:val="19"/>
              </w:rPr>
              <w:t xml:space="preserve"> </w:t>
            </w:r>
            <w:r w:rsidRPr="004043F3">
              <w:rPr>
                <w:rFonts w:ascii="Gotham" w:eastAsia="Arial" w:hAnsi="Gotham" w:cs="Arial"/>
                <w:color w:val="2F2F2F"/>
                <w:position w:val="1"/>
                <w:sz w:val="19"/>
                <w:szCs w:val="19"/>
              </w:rPr>
              <w:t>metros</w:t>
            </w:r>
          </w:p>
        </w:tc>
      </w:tr>
      <w:tr w:rsidR="009B5E39" w:rsidRPr="004043F3" w14:paraId="3A475FD8" w14:textId="77777777" w:rsidTr="00190E4A">
        <w:trPr>
          <w:jc w:val="center"/>
        </w:trPr>
        <w:tc>
          <w:tcPr>
            <w:tcW w:w="1980" w:type="dxa"/>
            <w:vMerge/>
            <w:vAlign w:val="center"/>
          </w:tcPr>
          <w:p w14:paraId="3A475FD5"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D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 xml:space="preserve">Centro </w:t>
            </w:r>
            <w:r w:rsidRPr="004043F3">
              <w:rPr>
                <w:rFonts w:ascii="Gotham" w:eastAsia="Arial" w:hAnsi="Gotham" w:cs="Arial"/>
                <w:color w:val="2F2F2F"/>
                <w:spacing w:val="24"/>
                <w:sz w:val="19"/>
                <w:szCs w:val="19"/>
              </w:rPr>
              <w:t>de</w:t>
            </w:r>
            <w:r w:rsidRPr="004043F3">
              <w:rPr>
                <w:rFonts w:ascii="Gotham" w:eastAsia="Arial" w:hAnsi="Gotham" w:cs="Arial"/>
                <w:color w:val="2F2F2F"/>
                <w:spacing w:val="10"/>
                <w:sz w:val="19"/>
                <w:szCs w:val="19"/>
              </w:rPr>
              <w:t xml:space="preserve"> </w:t>
            </w:r>
            <w:r w:rsidRPr="004043F3">
              <w:rPr>
                <w:rFonts w:ascii="Gotham" w:eastAsia="Arial" w:hAnsi="Gotham" w:cs="Arial"/>
                <w:color w:val="2F2F2F"/>
                <w:sz w:val="19"/>
                <w:szCs w:val="19"/>
              </w:rPr>
              <w:t>Salud</w:t>
            </w:r>
            <w:r w:rsidRPr="004043F3">
              <w:rPr>
                <w:rFonts w:ascii="Gotham" w:eastAsia="Arial" w:hAnsi="Gotham" w:cs="Arial"/>
                <w:color w:val="2F2F2F"/>
                <w:spacing w:val="24"/>
                <w:sz w:val="19"/>
                <w:szCs w:val="19"/>
              </w:rPr>
              <w:t xml:space="preserve"> </w:t>
            </w:r>
            <w:r w:rsidRPr="004043F3">
              <w:rPr>
                <w:rFonts w:ascii="Gotham" w:eastAsia="Arial" w:hAnsi="Gotham" w:cs="Arial"/>
                <w:color w:val="2F2F2F"/>
                <w:sz w:val="19"/>
                <w:szCs w:val="19"/>
              </w:rPr>
              <w:t>con</w:t>
            </w:r>
            <w:r w:rsidRPr="004043F3">
              <w:rPr>
                <w:rFonts w:ascii="Gotham" w:eastAsia="Arial" w:hAnsi="Gotham" w:cs="Arial"/>
                <w:color w:val="2F2F2F"/>
                <w:spacing w:val="39"/>
                <w:sz w:val="19"/>
                <w:szCs w:val="19"/>
              </w:rPr>
              <w:t xml:space="preserve"> </w:t>
            </w:r>
            <w:r w:rsidRPr="004043F3">
              <w:rPr>
                <w:rFonts w:ascii="Gotham" w:eastAsia="Arial" w:hAnsi="Gotham" w:cs="Arial"/>
                <w:color w:val="2F2F2F"/>
                <w:sz w:val="19"/>
                <w:szCs w:val="19"/>
              </w:rPr>
              <w:t xml:space="preserve">hospitalización                            </w:t>
            </w:r>
            <w:r w:rsidRPr="004043F3">
              <w:rPr>
                <w:rFonts w:ascii="Gotham" w:eastAsia="Arial" w:hAnsi="Gotham" w:cs="Arial"/>
                <w:color w:val="2F2F2F"/>
                <w:spacing w:val="34"/>
                <w:sz w:val="19"/>
                <w:szCs w:val="19"/>
              </w:rPr>
              <w:t xml:space="preserve"> </w:t>
            </w:r>
          </w:p>
        </w:tc>
        <w:tc>
          <w:tcPr>
            <w:tcW w:w="2415" w:type="dxa"/>
          </w:tcPr>
          <w:p w14:paraId="3A475FD7" w14:textId="77777777" w:rsidR="009B5E39" w:rsidRPr="004043F3" w:rsidRDefault="009B5E39" w:rsidP="00190E4A">
            <w:pPr>
              <w:spacing w:before="40" w:after="40"/>
              <w:rPr>
                <w:rFonts w:ascii="Gotham" w:eastAsia="Arial" w:hAnsi="Gotham" w:cs="Arial"/>
                <w:color w:val="2F2F2F"/>
                <w:position w:val="1"/>
                <w:sz w:val="19"/>
                <w:szCs w:val="19"/>
              </w:rPr>
            </w:pPr>
            <w:r w:rsidRPr="004043F3">
              <w:rPr>
                <w:rFonts w:ascii="Gotham" w:eastAsia="Arial" w:hAnsi="Gotham" w:cs="Arial"/>
                <w:color w:val="2F2F2F"/>
                <w:position w:val="1"/>
                <w:sz w:val="19"/>
                <w:szCs w:val="19"/>
              </w:rPr>
              <w:t xml:space="preserve">Centro </w:t>
            </w:r>
            <w:r w:rsidRPr="004043F3">
              <w:rPr>
                <w:rFonts w:ascii="Gotham" w:eastAsia="Arial" w:hAnsi="Gotham" w:cs="Arial"/>
                <w:color w:val="2F2F2F"/>
                <w:spacing w:val="9"/>
                <w:position w:val="1"/>
                <w:sz w:val="19"/>
                <w:szCs w:val="19"/>
              </w:rPr>
              <w:t>de</w:t>
            </w:r>
            <w:r w:rsidRPr="004043F3">
              <w:rPr>
                <w:rFonts w:ascii="Gotham" w:eastAsia="Arial" w:hAnsi="Gotham" w:cs="Arial"/>
                <w:color w:val="2F2F2F"/>
                <w:spacing w:val="25"/>
                <w:position w:val="1"/>
                <w:sz w:val="19"/>
                <w:szCs w:val="19"/>
              </w:rPr>
              <w:t xml:space="preserve"> </w:t>
            </w:r>
            <w:r w:rsidRPr="004043F3">
              <w:rPr>
                <w:rFonts w:ascii="Gotham" w:eastAsia="Arial" w:hAnsi="Gotham" w:cs="Arial"/>
                <w:color w:val="2F2F2F"/>
                <w:position w:val="1"/>
                <w:sz w:val="19"/>
                <w:szCs w:val="19"/>
              </w:rPr>
              <w:t>población</w:t>
            </w:r>
          </w:p>
        </w:tc>
      </w:tr>
      <w:tr w:rsidR="009B5E39" w:rsidRPr="004043F3" w14:paraId="3A475FDC" w14:textId="77777777" w:rsidTr="00190E4A">
        <w:trPr>
          <w:jc w:val="center"/>
        </w:trPr>
        <w:tc>
          <w:tcPr>
            <w:tcW w:w="1980" w:type="dxa"/>
            <w:vMerge/>
            <w:vAlign w:val="center"/>
          </w:tcPr>
          <w:p w14:paraId="3A475FD9"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D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 xml:space="preserve">Hospital general                                                             </w:t>
            </w:r>
            <w:r w:rsidRPr="004043F3">
              <w:rPr>
                <w:rFonts w:ascii="Gotham" w:eastAsia="Arial" w:hAnsi="Gotham" w:cs="Arial"/>
                <w:color w:val="2F2F2F"/>
                <w:spacing w:val="17"/>
                <w:sz w:val="19"/>
                <w:szCs w:val="19"/>
              </w:rPr>
              <w:t xml:space="preserve"> </w:t>
            </w:r>
          </w:p>
        </w:tc>
        <w:tc>
          <w:tcPr>
            <w:tcW w:w="2415" w:type="dxa"/>
          </w:tcPr>
          <w:p w14:paraId="3A475FDB" w14:textId="77777777" w:rsidR="009B5E39" w:rsidRPr="004043F3" w:rsidRDefault="009B5E39" w:rsidP="00190E4A">
            <w:pPr>
              <w:spacing w:before="40" w:after="40"/>
              <w:rPr>
                <w:rFonts w:ascii="Gotham" w:eastAsia="Arial" w:hAnsi="Gotham" w:cs="Arial"/>
                <w:color w:val="2F2F2F"/>
                <w:position w:val="1"/>
                <w:sz w:val="19"/>
                <w:szCs w:val="19"/>
              </w:rPr>
            </w:pPr>
            <w:r w:rsidRPr="004043F3">
              <w:rPr>
                <w:rFonts w:ascii="Gotham" w:eastAsia="Arial" w:hAnsi="Gotham" w:cs="Arial"/>
                <w:color w:val="2F2F2F"/>
                <w:sz w:val="19"/>
                <w:szCs w:val="19"/>
              </w:rPr>
              <w:t>Centro</w:t>
            </w:r>
            <w:r w:rsidRPr="004043F3">
              <w:rPr>
                <w:rFonts w:ascii="Gotham" w:eastAsia="Arial" w:hAnsi="Gotham" w:cs="Arial"/>
                <w:color w:val="2F2F2F"/>
                <w:spacing w:val="50"/>
                <w:sz w:val="19"/>
                <w:szCs w:val="19"/>
              </w:rPr>
              <w:t xml:space="preserve"> </w:t>
            </w:r>
            <w:r w:rsidRPr="004043F3">
              <w:rPr>
                <w:rFonts w:ascii="Gotham" w:eastAsia="Arial" w:hAnsi="Gotham" w:cs="Arial"/>
                <w:color w:val="2F2F2F"/>
                <w:sz w:val="19"/>
                <w:szCs w:val="19"/>
              </w:rPr>
              <w:t>de</w:t>
            </w:r>
            <w:r w:rsidRPr="004043F3">
              <w:rPr>
                <w:rFonts w:ascii="Gotham" w:eastAsia="Arial" w:hAnsi="Gotham" w:cs="Arial"/>
                <w:color w:val="2F2F2F"/>
                <w:spacing w:val="25"/>
                <w:sz w:val="19"/>
                <w:szCs w:val="19"/>
              </w:rPr>
              <w:t xml:space="preserve"> </w:t>
            </w:r>
            <w:r w:rsidRPr="004043F3">
              <w:rPr>
                <w:rFonts w:ascii="Gotham" w:eastAsia="Arial" w:hAnsi="Gotham" w:cs="Arial"/>
                <w:color w:val="2F2F2F"/>
                <w:sz w:val="19"/>
                <w:szCs w:val="19"/>
              </w:rPr>
              <w:t xml:space="preserve">población </w:t>
            </w:r>
            <w:r w:rsidRPr="004043F3">
              <w:rPr>
                <w:rFonts w:ascii="Gotham" w:eastAsia="Arial" w:hAnsi="Gotham" w:cs="Arial"/>
                <w:color w:val="2F2F2F"/>
                <w:spacing w:val="41"/>
                <w:sz w:val="19"/>
                <w:szCs w:val="19"/>
              </w:rPr>
              <w:t xml:space="preserve"> </w:t>
            </w:r>
          </w:p>
        </w:tc>
      </w:tr>
      <w:tr w:rsidR="009B5E39" w:rsidRPr="004043F3" w14:paraId="3A475FE0" w14:textId="77777777" w:rsidTr="00190E4A">
        <w:trPr>
          <w:jc w:val="center"/>
        </w:trPr>
        <w:tc>
          <w:tcPr>
            <w:tcW w:w="1980" w:type="dxa"/>
            <w:vMerge/>
            <w:vAlign w:val="center"/>
          </w:tcPr>
          <w:p w14:paraId="3A475FDD"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D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 xml:space="preserve">Unidad Médica familiar </w:t>
            </w:r>
          </w:p>
        </w:tc>
        <w:tc>
          <w:tcPr>
            <w:tcW w:w="2415" w:type="dxa"/>
          </w:tcPr>
          <w:p w14:paraId="3A475FD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 xml:space="preserve">5,000 metros </w:t>
            </w:r>
          </w:p>
        </w:tc>
      </w:tr>
      <w:tr w:rsidR="009B5E39" w:rsidRPr="004043F3" w14:paraId="3A475FE4" w14:textId="77777777" w:rsidTr="00190E4A">
        <w:trPr>
          <w:jc w:val="center"/>
        </w:trPr>
        <w:tc>
          <w:tcPr>
            <w:tcW w:w="1980" w:type="dxa"/>
            <w:vMerge/>
            <w:vAlign w:val="center"/>
          </w:tcPr>
          <w:p w14:paraId="3A475FE1"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E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Modulo resolutivo (unidad de urgencias)</w:t>
            </w:r>
          </w:p>
        </w:tc>
        <w:tc>
          <w:tcPr>
            <w:tcW w:w="2415" w:type="dxa"/>
          </w:tcPr>
          <w:p w14:paraId="3A475FE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 (30 mins máximo)</w:t>
            </w:r>
          </w:p>
        </w:tc>
      </w:tr>
      <w:tr w:rsidR="009B5E39" w:rsidRPr="004043F3" w14:paraId="3A475FE8" w14:textId="77777777" w:rsidTr="00190E4A">
        <w:trPr>
          <w:jc w:val="center"/>
        </w:trPr>
        <w:tc>
          <w:tcPr>
            <w:tcW w:w="1980" w:type="dxa"/>
            <w:vMerge/>
            <w:vAlign w:val="center"/>
          </w:tcPr>
          <w:p w14:paraId="3A475FE5"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E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Puesto de Socorro</w:t>
            </w:r>
          </w:p>
        </w:tc>
        <w:tc>
          <w:tcPr>
            <w:tcW w:w="2415" w:type="dxa"/>
          </w:tcPr>
          <w:p w14:paraId="3A475FE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10,000 metros</w:t>
            </w:r>
          </w:p>
        </w:tc>
      </w:tr>
      <w:tr w:rsidR="009B5E39" w:rsidRPr="004043F3" w14:paraId="3A475FEC" w14:textId="77777777" w:rsidTr="00190E4A">
        <w:trPr>
          <w:jc w:val="center"/>
        </w:trPr>
        <w:tc>
          <w:tcPr>
            <w:tcW w:w="1980" w:type="dxa"/>
            <w:vMerge/>
            <w:vAlign w:val="center"/>
          </w:tcPr>
          <w:p w14:paraId="3A475FE9"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E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Centro de urgencias</w:t>
            </w:r>
          </w:p>
        </w:tc>
        <w:tc>
          <w:tcPr>
            <w:tcW w:w="2415" w:type="dxa"/>
          </w:tcPr>
          <w:p w14:paraId="3A475FE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10,000 metros</w:t>
            </w:r>
          </w:p>
        </w:tc>
      </w:tr>
      <w:tr w:rsidR="009B5E39" w:rsidRPr="004043F3" w14:paraId="3A475FF0" w14:textId="77777777" w:rsidTr="00190E4A">
        <w:trPr>
          <w:jc w:val="center"/>
        </w:trPr>
        <w:tc>
          <w:tcPr>
            <w:tcW w:w="1980" w:type="dxa"/>
            <w:vMerge/>
            <w:vAlign w:val="center"/>
          </w:tcPr>
          <w:p w14:paraId="3A475FED"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E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 xml:space="preserve">Hospital de tercer nivel </w:t>
            </w:r>
          </w:p>
        </w:tc>
        <w:tc>
          <w:tcPr>
            <w:tcW w:w="2415" w:type="dxa"/>
          </w:tcPr>
          <w:p w14:paraId="3A475FE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5,000 a 50,000 metros</w:t>
            </w:r>
          </w:p>
        </w:tc>
      </w:tr>
      <w:tr w:rsidR="009B5E39" w:rsidRPr="004043F3" w14:paraId="3A475FF4" w14:textId="77777777" w:rsidTr="00190E4A">
        <w:trPr>
          <w:jc w:val="center"/>
        </w:trPr>
        <w:tc>
          <w:tcPr>
            <w:tcW w:w="1980" w:type="dxa"/>
            <w:vMerge/>
            <w:vAlign w:val="center"/>
          </w:tcPr>
          <w:p w14:paraId="3A475FF1"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F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Casa cuna</w:t>
            </w:r>
          </w:p>
        </w:tc>
        <w:tc>
          <w:tcPr>
            <w:tcW w:w="2415" w:type="dxa"/>
          </w:tcPr>
          <w:p w14:paraId="3A475FF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1,500 metros</w:t>
            </w:r>
          </w:p>
        </w:tc>
      </w:tr>
      <w:tr w:rsidR="009B5E39" w:rsidRPr="004043F3" w14:paraId="3A475FF8" w14:textId="77777777" w:rsidTr="00190E4A">
        <w:trPr>
          <w:jc w:val="center"/>
        </w:trPr>
        <w:tc>
          <w:tcPr>
            <w:tcW w:w="1980" w:type="dxa"/>
            <w:vMerge/>
            <w:vAlign w:val="center"/>
          </w:tcPr>
          <w:p w14:paraId="3A475FF5"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F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Casa hogar para menores</w:t>
            </w:r>
          </w:p>
        </w:tc>
        <w:tc>
          <w:tcPr>
            <w:tcW w:w="2415" w:type="dxa"/>
          </w:tcPr>
          <w:p w14:paraId="3A475FF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10,000 metros</w:t>
            </w:r>
          </w:p>
        </w:tc>
      </w:tr>
      <w:tr w:rsidR="009B5E39" w:rsidRPr="004043F3" w14:paraId="3A475FFC" w14:textId="77777777" w:rsidTr="00190E4A">
        <w:trPr>
          <w:jc w:val="center"/>
        </w:trPr>
        <w:tc>
          <w:tcPr>
            <w:tcW w:w="1980" w:type="dxa"/>
            <w:vMerge/>
            <w:vAlign w:val="center"/>
          </w:tcPr>
          <w:p w14:paraId="3A475FF9"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F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Casa hogar para ancianos</w:t>
            </w:r>
          </w:p>
        </w:tc>
        <w:tc>
          <w:tcPr>
            <w:tcW w:w="2415" w:type="dxa"/>
          </w:tcPr>
          <w:p w14:paraId="3A475FF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1,500 metros</w:t>
            </w:r>
          </w:p>
        </w:tc>
      </w:tr>
      <w:tr w:rsidR="009B5E39" w:rsidRPr="004043F3" w14:paraId="3A476000" w14:textId="77777777" w:rsidTr="00190E4A">
        <w:trPr>
          <w:jc w:val="center"/>
        </w:trPr>
        <w:tc>
          <w:tcPr>
            <w:tcW w:w="1980" w:type="dxa"/>
            <w:vMerge/>
            <w:vAlign w:val="center"/>
          </w:tcPr>
          <w:p w14:paraId="3A475FFD" w14:textId="77777777" w:rsidR="009B5E39" w:rsidRPr="004043F3" w:rsidRDefault="009B5E39" w:rsidP="00190E4A">
            <w:pPr>
              <w:spacing w:before="40" w:after="40"/>
              <w:jc w:val="center"/>
              <w:rPr>
                <w:rFonts w:ascii="Gotham" w:hAnsi="Gotham" w:cs="Arial"/>
                <w:sz w:val="19"/>
                <w:szCs w:val="19"/>
              </w:rPr>
            </w:pPr>
          </w:p>
        </w:tc>
        <w:tc>
          <w:tcPr>
            <w:tcW w:w="4961" w:type="dxa"/>
          </w:tcPr>
          <w:p w14:paraId="3A475FF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Centro de asistencia para desarrollo infantil</w:t>
            </w:r>
          </w:p>
        </w:tc>
        <w:tc>
          <w:tcPr>
            <w:tcW w:w="2415" w:type="dxa"/>
          </w:tcPr>
          <w:p w14:paraId="3A475FF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1,500 metros</w:t>
            </w:r>
          </w:p>
        </w:tc>
      </w:tr>
      <w:tr w:rsidR="009B5E39" w:rsidRPr="004043F3" w14:paraId="3A476004" w14:textId="77777777" w:rsidTr="00190E4A">
        <w:trPr>
          <w:jc w:val="center"/>
        </w:trPr>
        <w:tc>
          <w:tcPr>
            <w:tcW w:w="1980" w:type="dxa"/>
            <w:vMerge/>
            <w:vAlign w:val="center"/>
          </w:tcPr>
          <w:p w14:paraId="3A476001"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0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 xml:space="preserve">Centro de desarrollo comunitario </w:t>
            </w:r>
          </w:p>
        </w:tc>
        <w:tc>
          <w:tcPr>
            <w:tcW w:w="2415" w:type="dxa"/>
          </w:tcPr>
          <w:p w14:paraId="3A47600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700 metros</w:t>
            </w:r>
          </w:p>
        </w:tc>
      </w:tr>
      <w:tr w:rsidR="009B5E39" w:rsidRPr="004043F3" w14:paraId="3A476008" w14:textId="77777777" w:rsidTr="00190E4A">
        <w:trPr>
          <w:trHeight w:val="330"/>
          <w:jc w:val="center"/>
        </w:trPr>
        <w:tc>
          <w:tcPr>
            <w:tcW w:w="1980" w:type="dxa"/>
            <w:vMerge/>
            <w:vAlign w:val="center"/>
          </w:tcPr>
          <w:p w14:paraId="3A476005"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0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Centro de rehabilitación</w:t>
            </w:r>
          </w:p>
        </w:tc>
        <w:tc>
          <w:tcPr>
            <w:tcW w:w="2415" w:type="dxa"/>
          </w:tcPr>
          <w:p w14:paraId="3A476007" w14:textId="77777777" w:rsidR="009B5E39" w:rsidRPr="004043F3" w:rsidRDefault="009B5E39" w:rsidP="00190E4A">
            <w:pPr>
              <w:tabs>
                <w:tab w:val="left" w:pos="2013"/>
              </w:tabs>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0C" w14:textId="77777777" w:rsidTr="00190E4A">
        <w:trPr>
          <w:trHeight w:val="296"/>
          <w:jc w:val="center"/>
        </w:trPr>
        <w:tc>
          <w:tcPr>
            <w:tcW w:w="1980" w:type="dxa"/>
            <w:vMerge/>
            <w:vAlign w:val="center"/>
          </w:tcPr>
          <w:p w14:paraId="3A476009"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0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Centro de integración juvenil</w:t>
            </w:r>
            <w:r w:rsidRPr="004043F3">
              <w:rPr>
                <w:rFonts w:ascii="Gotham" w:eastAsia="Arial" w:hAnsi="Gotham" w:cs="Arial"/>
                <w:color w:val="2F2F2F"/>
                <w:sz w:val="19"/>
                <w:szCs w:val="19"/>
              </w:rPr>
              <w:tab/>
            </w:r>
          </w:p>
        </w:tc>
        <w:tc>
          <w:tcPr>
            <w:tcW w:w="2415" w:type="dxa"/>
          </w:tcPr>
          <w:p w14:paraId="3A47600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10" w14:textId="77777777" w:rsidTr="00190E4A">
        <w:trPr>
          <w:trHeight w:val="276"/>
          <w:jc w:val="center"/>
        </w:trPr>
        <w:tc>
          <w:tcPr>
            <w:tcW w:w="1980" w:type="dxa"/>
            <w:vMerge/>
            <w:vAlign w:val="center"/>
          </w:tcPr>
          <w:p w14:paraId="3A47600D"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0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Guardería</w:t>
            </w:r>
          </w:p>
        </w:tc>
        <w:tc>
          <w:tcPr>
            <w:tcW w:w="2415" w:type="dxa"/>
          </w:tcPr>
          <w:p w14:paraId="3A47600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2,000 metros</w:t>
            </w:r>
          </w:p>
        </w:tc>
      </w:tr>
      <w:tr w:rsidR="009B5E39" w:rsidRPr="004043F3" w14:paraId="3A476014" w14:textId="77777777" w:rsidTr="00190E4A">
        <w:trPr>
          <w:jc w:val="center"/>
        </w:trPr>
        <w:tc>
          <w:tcPr>
            <w:tcW w:w="1980" w:type="dxa"/>
            <w:vMerge/>
            <w:vAlign w:val="center"/>
          </w:tcPr>
          <w:p w14:paraId="3A476011"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1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Velatorio</w:t>
            </w:r>
            <w:r w:rsidRPr="004043F3">
              <w:rPr>
                <w:rFonts w:ascii="Gotham" w:eastAsia="Arial" w:hAnsi="Gotham" w:cs="Arial"/>
                <w:color w:val="2F2F2F"/>
                <w:sz w:val="19"/>
                <w:szCs w:val="19"/>
              </w:rPr>
              <w:tab/>
            </w:r>
          </w:p>
        </w:tc>
        <w:tc>
          <w:tcPr>
            <w:tcW w:w="2415" w:type="dxa"/>
          </w:tcPr>
          <w:p w14:paraId="3A47601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5,000 metros</w:t>
            </w:r>
          </w:p>
        </w:tc>
      </w:tr>
      <w:tr w:rsidR="009B5E39" w:rsidRPr="004043F3" w14:paraId="3A476018" w14:textId="77777777" w:rsidTr="00190E4A">
        <w:trPr>
          <w:jc w:val="center"/>
        </w:trPr>
        <w:tc>
          <w:tcPr>
            <w:tcW w:w="1980" w:type="dxa"/>
            <w:vMerge w:val="restart"/>
            <w:vAlign w:val="center"/>
          </w:tcPr>
          <w:p w14:paraId="3A476015" w14:textId="77777777" w:rsidR="009B5E39" w:rsidRPr="004043F3" w:rsidRDefault="009B5E39" w:rsidP="00190E4A">
            <w:pPr>
              <w:spacing w:before="40" w:after="40"/>
              <w:jc w:val="center"/>
              <w:rPr>
                <w:rFonts w:ascii="Gotham" w:hAnsi="Gotham" w:cs="Arial"/>
                <w:sz w:val="19"/>
                <w:szCs w:val="19"/>
              </w:rPr>
            </w:pPr>
            <w:r w:rsidRPr="004043F3">
              <w:rPr>
                <w:rFonts w:ascii="Gotham" w:hAnsi="Gotham" w:cs="Arial"/>
                <w:sz w:val="19"/>
                <w:szCs w:val="19"/>
              </w:rPr>
              <w:t>Comercio y abasto</w:t>
            </w:r>
          </w:p>
        </w:tc>
        <w:tc>
          <w:tcPr>
            <w:tcW w:w="4961" w:type="dxa"/>
          </w:tcPr>
          <w:p w14:paraId="3A47601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Plaza de usos múltiples</w:t>
            </w:r>
            <w:r w:rsidRPr="004043F3">
              <w:rPr>
                <w:rFonts w:ascii="Gotham" w:eastAsia="Arial" w:hAnsi="Gotham" w:cs="Arial"/>
                <w:color w:val="2F2F2F"/>
                <w:sz w:val="19"/>
                <w:szCs w:val="19"/>
              </w:rPr>
              <w:tab/>
            </w:r>
          </w:p>
        </w:tc>
        <w:tc>
          <w:tcPr>
            <w:tcW w:w="2415" w:type="dxa"/>
          </w:tcPr>
          <w:p w14:paraId="3A47601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750 a 1,000 metros</w:t>
            </w:r>
          </w:p>
        </w:tc>
      </w:tr>
      <w:tr w:rsidR="009B5E39" w:rsidRPr="004043F3" w14:paraId="3A47601C" w14:textId="77777777" w:rsidTr="00190E4A">
        <w:trPr>
          <w:jc w:val="center"/>
        </w:trPr>
        <w:tc>
          <w:tcPr>
            <w:tcW w:w="1980" w:type="dxa"/>
            <w:vMerge/>
            <w:vAlign w:val="center"/>
          </w:tcPr>
          <w:p w14:paraId="3A476019"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1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Mercado público</w:t>
            </w:r>
            <w:r w:rsidRPr="004043F3">
              <w:rPr>
                <w:rFonts w:ascii="Gotham" w:eastAsia="Arial" w:hAnsi="Gotham" w:cs="Arial"/>
                <w:color w:val="2F2F2F"/>
                <w:sz w:val="19"/>
                <w:szCs w:val="19"/>
              </w:rPr>
              <w:tab/>
            </w:r>
          </w:p>
        </w:tc>
        <w:tc>
          <w:tcPr>
            <w:tcW w:w="2415" w:type="dxa"/>
          </w:tcPr>
          <w:p w14:paraId="3A47601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750 metros</w:t>
            </w:r>
          </w:p>
        </w:tc>
      </w:tr>
      <w:tr w:rsidR="009B5E39" w:rsidRPr="004043F3" w14:paraId="3A476020" w14:textId="77777777" w:rsidTr="00190E4A">
        <w:trPr>
          <w:trHeight w:val="384"/>
          <w:jc w:val="center"/>
        </w:trPr>
        <w:tc>
          <w:tcPr>
            <w:tcW w:w="1980" w:type="dxa"/>
            <w:vMerge/>
            <w:vAlign w:val="center"/>
          </w:tcPr>
          <w:p w14:paraId="3A47601D"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1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Tienda o centro comercial (ISSSTE)</w:t>
            </w:r>
            <w:r w:rsidRPr="004043F3">
              <w:rPr>
                <w:rFonts w:ascii="Gotham" w:eastAsia="Arial" w:hAnsi="Gotham" w:cs="Arial"/>
                <w:color w:val="2F2F2F"/>
                <w:sz w:val="19"/>
                <w:szCs w:val="19"/>
              </w:rPr>
              <w:tab/>
            </w:r>
          </w:p>
        </w:tc>
        <w:tc>
          <w:tcPr>
            <w:tcW w:w="2415" w:type="dxa"/>
          </w:tcPr>
          <w:p w14:paraId="3A47601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500 a 1,500 metros</w:t>
            </w:r>
          </w:p>
        </w:tc>
      </w:tr>
      <w:tr w:rsidR="009B5E39" w:rsidRPr="004043F3" w14:paraId="3A476024" w14:textId="77777777" w:rsidTr="00190E4A">
        <w:trPr>
          <w:trHeight w:val="378"/>
          <w:jc w:val="center"/>
        </w:trPr>
        <w:tc>
          <w:tcPr>
            <w:tcW w:w="1980" w:type="dxa"/>
            <w:vMerge/>
            <w:vAlign w:val="center"/>
          </w:tcPr>
          <w:p w14:paraId="3A476021"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2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Unidad de abasto mayorista</w:t>
            </w:r>
          </w:p>
        </w:tc>
        <w:tc>
          <w:tcPr>
            <w:tcW w:w="2415" w:type="dxa"/>
          </w:tcPr>
          <w:p w14:paraId="3A47602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28" w14:textId="77777777" w:rsidTr="00190E4A">
        <w:trPr>
          <w:trHeight w:val="378"/>
          <w:jc w:val="center"/>
        </w:trPr>
        <w:tc>
          <w:tcPr>
            <w:tcW w:w="1980" w:type="dxa"/>
            <w:vMerge/>
            <w:vAlign w:val="center"/>
          </w:tcPr>
          <w:p w14:paraId="3A476025"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2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Rastro</w:t>
            </w:r>
            <w:r w:rsidRPr="004043F3">
              <w:rPr>
                <w:rFonts w:ascii="Gotham" w:eastAsia="Arial" w:hAnsi="Gotham" w:cs="Arial"/>
                <w:color w:val="2F2F2F"/>
                <w:sz w:val="19"/>
                <w:szCs w:val="19"/>
              </w:rPr>
              <w:tab/>
            </w:r>
          </w:p>
        </w:tc>
        <w:tc>
          <w:tcPr>
            <w:tcW w:w="2415" w:type="dxa"/>
          </w:tcPr>
          <w:p w14:paraId="3A47602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2C" w14:textId="77777777" w:rsidTr="00190E4A">
        <w:trPr>
          <w:trHeight w:val="378"/>
          <w:jc w:val="center"/>
        </w:trPr>
        <w:tc>
          <w:tcPr>
            <w:tcW w:w="1980" w:type="dxa"/>
            <w:vMerge w:val="restart"/>
            <w:vAlign w:val="center"/>
          </w:tcPr>
          <w:p w14:paraId="3A476029" w14:textId="77777777" w:rsidR="009B5E39" w:rsidRPr="004043F3" w:rsidRDefault="009B5E39" w:rsidP="00190E4A">
            <w:pPr>
              <w:spacing w:before="40" w:after="40"/>
              <w:jc w:val="center"/>
              <w:rPr>
                <w:rFonts w:ascii="Gotham" w:hAnsi="Gotham" w:cs="Arial"/>
                <w:sz w:val="19"/>
                <w:szCs w:val="19"/>
              </w:rPr>
            </w:pPr>
            <w:r w:rsidRPr="004043F3">
              <w:rPr>
                <w:rFonts w:ascii="Gotham" w:hAnsi="Gotham" w:cs="Arial"/>
                <w:sz w:val="19"/>
                <w:szCs w:val="19"/>
              </w:rPr>
              <w:t>Comunicaciones y transporte</w:t>
            </w:r>
          </w:p>
        </w:tc>
        <w:tc>
          <w:tcPr>
            <w:tcW w:w="4961" w:type="dxa"/>
          </w:tcPr>
          <w:p w14:paraId="3A47602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Sucursal de correos</w:t>
            </w:r>
            <w:r w:rsidRPr="004043F3">
              <w:rPr>
                <w:rFonts w:ascii="Gotham" w:eastAsia="Arial" w:hAnsi="Gotham" w:cs="Arial"/>
                <w:color w:val="2F2F2F"/>
                <w:sz w:val="19"/>
                <w:szCs w:val="19"/>
              </w:rPr>
              <w:tab/>
            </w:r>
          </w:p>
        </w:tc>
        <w:tc>
          <w:tcPr>
            <w:tcW w:w="2415" w:type="dxa"/>
          </w:tcPr>
          <w:p w14:paraId="3A47602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1,000 metros</w:t>
            </w:r>
          </w:p>
        </w:tc>
      </w:tr>
      <w:tr w:rsidR="009B5E39" w:rsidRPr="004043F3" w14:paraId="3A476030" w14:textId="77777777" w:rsidTr="00190E4A">
        <w:trPr>
          <w:trHeight w:val="378"/>
          <w:jc w:val="center"/>
        </w:trPr>
        <w:tc>
          <w:tcPr>
            <w:tcW w:w="1980" w:type="dxa"/>
            <w:vMerge/>
            <w:vAlign w:val="center"/>
          </w:tcPr>
          <w:p w14:paraId="3A47602D"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2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Central de autobuses de pasajeros</w:t>
            </w:r>
            <w:r w:rsidRPr="004043F3">
              <w:rPr>
                <w:rFonts w:ascii="Gotham" w:eastAsia="Arial" w:hAnsi="Gotham" w:cs="Arial"/>
                <w:color w:val="2F2F2F"/>
                <w:sz w:val="19"/>
                <w:szCs w:val="19"/>
              </w:rPr>
              <w:tab/>
            </w:r>
          </w:p>
        </w:tc>
        <w:tc>
          <w:tcPr>
            <w:tcW w:w="2415" w:type="dxa"/>
          </w:tcPr>
          <w:p w14:paraId="3A47602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34" w14:textId="77777777" w:rsidTr="00190E4A">
        <w:trPr>
          <w:trHeight w:val="378"/>
          <w:jc w:val="center"/>
        </w:trPr>
        <w:tc>
          <w:tcPr>
            <w:tcW w:w="1980" w:type="dxa"/>
            <w:vMerge/>
            <w:vAlign w:val="center"/>
          </w:tcPr>
          <w:p w14:paraId="3A476031"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3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Central de servicios de carga</w:t>
            </w:r>
          </w:p>
        </w:tc>
        <w:tc>
          <w:tcPr>
            <w:tcW w:w="2415" w:type="dxa"/>
          </w:tcPr>
          <w:p w14:paraId="3A47603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38" w14:textId="77777777" w:rsidTr="00190E4A">
        <w:trPr>
          <w:trHeight w:val="402"/>
          <w:jc w:val="center"/>
        </w:trPr>
        <w:tc>
          <w:tcPr>
            <w:tcW w:w="1980" w:type="dxa"/>
            <w:vMerge/>
            <w:vAlign w:val="center"/>
          </w:tcPr>
          <w:p w14:paraId="3A476035"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3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Aeropista/ Aeropuerto</w:t>
            </w:r>
          </w:p>
        </w:tc>
        <w:tc>
          <w:tcPr>
            <w:tcW w:w="2415" w:type="dxa"/>
          </w:tcPr>
          <w:p w14:paraId="3A47603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3C" w14:textId="77777777" w:rsidTr="00190E4A">
        <w:trPr>
          <w:trHeight w:val="378"/>
          <w:jc w:val="center"/>
        </w:trPr>
        <w:tc>
          <w:tcPr>
            <w:tcW w:w="1980" w:type="dxa"/>
            <w:vMerge w:val="restart"/>
            <w:vAlign w:val="center"/>
          </w:tcPr>
          <w:p w14:paraId="3A476039" w14:textId="77777777" w:rsidR="009B5E39" w:rsidRPr="004043F3" w:rsidRDefault="009B5E39" w:rsidP="00190E4A">
            <w:pPr>
              <w:spacing w:before="40" w:after="40"/>
              <w:jc w:val="center"/>
              <w:rPr>
                <w:rFonts w:ascii="Gotham" w:hAnsi="Gotham" w:cs="Arial"/>
                <w:sz w:val="19"/>
                <w:szCs w:val="19"/>
              </w:rPr>
            </w:pPr>
            <w:r w:rsidRPr="004043F3">
              <w:rPr>
                <w:rFonts w:ascii="Gotham" w:hAnsi="Gotham" w:cs="Arial"/>
                <w:sz w:val="19"/>
                <w:szCs w:val="19"/>
              </w:rPr>
              <w:t>Recreación y deporte</w:t>
            </w:r>
          </w:p>
        </w:tc>
        <w:tc>
          <w:tcPr>
            <w:tcW w:w="4961" w:type="dxa"/>
          </w:tcPr>
          <w:p w14:paraId="3A47603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Plaza cívica</w:t>
            </w:r>
            <w:r w:rsidRPr="004043F3">
              <w:rPr>
                <w:rFonts w:ascii="Gotham" w:eastAsia="Arial" w:hAnsi="Gotham" w:cs="Arial"/>
                <w:color w:val="2F2F2F"/>
                <w:sz w:val="19"/>
                <w:szCs w:val="19"/>
              </w:rPr>
              <w:tab/>
            </w:r>
          </w:p>
        </w:tc>
        <w:tc>
          <w:tcPr>
            <w:tcW w:w="2415" w:type="dxa"/>
          </w:tcPr>
          <w:p w14:paraId="3A47603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340 a 1,340 metros</w:t>
            </w:r>
          </w:p>
        </w:tc>
      </w:tr>
      <w:tr w:rsidR="009B5E39" w:rsidRPr="004043F3" w14:paraId="3A476040" w14:textId="77777777" w:rsidTr="00190E4A">
        <w:trPr>
          <w:trHeight w:val="378"/>
          <w:jc w:val="center"/>
        </w:trPr>
        <w:tc>
          <w:tcPr>
            <w:tcW w:w="1980" w:type="dxa"/>
            <w:vMerge/>
            <w:vAlign w:val="center"/>
          </w:tcPr>
          <w:p w14:paraId="3A47603D"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3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Juegos infantiles</w:t>
            </w:r>
            <w:r w:rsidRPr="004043F3">
              <w:rPr>
                <w:rFonts w:ascii="Gotham" w:eastAsia="Arial" w:hAnsi="Gotham" w:cs="Arial"/>
                <w:color w:val="2F2F2F"/>
                <w:sz w:val="19"/>
                <w:szCs w:val="19"/>
              </w:rPr>
              <w:tab/>
            </w:r>
          </w:p>
        </w:tc>
        <w:tc>
          <w:tcPr>
            <w:tcW w:w="2415" w:type="dxa"/>
          </w:tcPr>
          <w:p w14:paraId="3A47603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300 a 700 metros</w:t>
            </w:r>
          </w:p>
        </w:tc>
      </w:tr>
      <w:tr w:rsidR="009B5E39" w:rsidRPr="004043F3" w14:paraId="3A476044" w14:textId="77777777" w:rsidTr="00190E4A">
        <w:trPr>
          <w:trHeight w:val="378"/>
          <w:jc w:val="center"/>
        </w:trPr>
        <w:tc>
          <w:tcPr>
            <w:tcW w:w="1980" w:type="dxa"/>
            <w:vMerge/>
            <w:vAlign w:val="center"/>
          </w:tcPr>
          <w:p w14:paraId="3A476041"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4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Jardín vecinal</w:t>
            </w:r>
            <w:r w:rsidRPr="004043F3">
              <w:rPr>
                <w:rFonts w:ascii="Gotham" w:eastAsia="Arial" w:hAnsi="Gotham" w:cs="Arial"/>
                <w:color w:val="2F2F2F"/>
                <w:sz w:val="19"/>
                <w:szCs w:val="19"/>
              </w:rPr>
              <w:tab/>
            </w:r>
          </w:p>
        </w:tc>
        <w:tc>
          <w:tcPr>
            <w:tcW w:w="2415" w:type="dxa"/>
          </w:tcPr>
          <w:p w14:paraId="3A47604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350 metros</w:t>
            </w:r>
          </w:p>
        </w:tc>
      </w:tr>
      <w:tr w:rsidR="009B5E39" w:rsidRPr="004043F3" w14:paraId="3A476048" w14:textId="77777777" w:rsidTr="00190E4A">
        <w:trPr>
          <w:trHeight w:val="378"/>
          <w:jc w:val="center"/>
        </w:trPr>
        <w:tc>
          <w:tcPr>
            <w:tcW w:w="1980" w:type="dxa"/>
            <w:vMerge/>
            <w:vAlign w:val="center"/>
          </w:tcPr>
          <w:p w14:paraId="3A476045"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4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Parque de barrio</w:t>
            </w:r>
          </w:p>
        </w:tc>
        <w:tc>
          <w:tcPr>
            <w:tcW w:w="2415" w:type="dxa"/>
          </w:tcPr>
          <w:p w14:paraId="3A47604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670 metros</w:t>
            </w:r>
          </w:p>
        </w:tc>
      </w:tr>
      <w:tr w:rsidR="009B5E39" w:rsidRPr="004043F3" w14:paraId="3A47604C" w14:textId="77777777" w:rsidTr="00190E4A">
        <w:trPr>
          <w:trHeight w:val="378"/>
          <w:jc w:val="center"/>
        </w:trPr>
        <w:tc>
          <w:tcPr>
            <w:tcW w:w="1980" w:type="dxa"/>
            <w:vMerge/>
            <w:vAlign w:val="center"/>
          </w:tcPr>
          <w:p w14:paraId="3A476049"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4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Parque urbano</w:t>
            </w:r>
            <w:r w:rsidRPr="004043F3">
              <w:rPr>
                <w:rFonts w:ascii="Gotham" w:eastAsia="Arial" w:hAnsi="Gotham" w:cs="Arial"/>
                <w:color w:val="2F2F2F"/>
                <w:sz w:val="19"/>
                <w:szCs w:val="19"/>
              </w:rPr>
              <w:tab/>
            </w:r>
          </w:p>
        </w:tc>
        <w:tc>
          <w:tcPr>
            <w:tcW w:w="2415" w:type="dxa"/>
          </w:tcPr>
          <w:p w14:paraId="3A47604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50" w14:textId="77777777" w:rsidTr="00190E4A">
        <w:trPr>
          <w:trHeight w:val="378"/>
          <w:jc w:val="center"/>
        </w:trPr>
        <w:tc>
          <w:tcPr>
            <w:tcW w:w="1980" w:type="dxa"/>
            <w:vMerge/>
            <w:vAlign w:val="center"/>
          </w:tcPr>
          <w:p w14:paraId="3A47604D"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4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Área de ferias y exposiciones</w:t>
            </w:r>
            <w:r w:rsidRPr="004043F3">
              <w:rPr>
                <w:rFonts w:ascii="Gotham" w:eastAsia="Arial" w:hAnsi="Gotham" w:cs="Arial"/>
                <w:color w:val="2F2F2F"/>
                <w:sz w:val="19"/>
                <w:szCs w:val="19"/>
              </w:rPr>
              <w:tab/>
            </w:r>
          </w:p>
        </w:tc>
        <w:tc>
          <w:tcPr>
            <w:tcW w:w="2415" w:type="dxa"/>
          </w:tcPr>
          <w:p w14:paraId="3A47604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54" w14:textId="77777777" w:rsidTr="00190E4A">
        <w:trPr>
          <w:trHeight w:val="378"/>
          <w:jc w:val="center"/>
        </w:trPr>
        <w:tc>
          <w:tcPr>
            <w:tcW w:w="1980" w:type="dxa"/>
            <w:vMerge/>
            <w:vAlign w:val="center"/>
          </w:tcPr>
          <w:p w14:paraId="3A476051"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5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Espectáculos deportivos</w:t>
            </w:r>
            <w:r w:rsidRPr="004043F3">
              <w:rPr>
                <w:rFonts w:ascii="Gotham" w:eastAsia="Arial" w:hAnsi="Gotham" w:cs="Arial"/>
                <w:color w:val="2F2F2F"/>
                <w:sz w:val="19"/>
                <w:szCs w:val="19"/>
              </w:rPr>
              <w:tab/>
            </w:r>
          </w:p>
        </w:tc>
        <w:tc>
          <w:tcPr>
            <w:tcW w:w="2415" w:type="dxa"/>
          </w:tcPr>
          <w:p w14:paraId="3A47605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58" w14:textId="77777777" w:rsidTr="00190E4A">
        <w:trPr>
          <w:trHeight w:val="378"/>
          <w:jc w:val="center"/>
        </w:trPr>
        <w:tc>
          <w:tcPr>
            <w:tcW w:w="1980" w:type="dxa"/>
            <w:vMerge/>
            <w:vAlign w:val="center"/>
          </w:tcPr>
          <w:p w14:paraId="3A476055"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5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Módulo deportivo</w:t>
            </w:r>
            <w:r w:rsidRPr="004043F3">
              <w:rPr>
                <w:rFonts w:ascii="Gotham" w:eastAsia="Arial" w:hAnsi="Gotham" w:cs="Arial"/>
                <w:color w:val="2F2F2F"/>
                <w:sz w:val="19"/>
                <w:szCs w:val="19"/>
              </w:rPr>
              <w:tab/>
            </w:r>
          </w:p>
        </w:tc>
        <w:tc>
          <w:tcPr>
            <w:tcW w:w="2415" w:type="dxa"/>
          </w:tcPr>
          <w:p w14:paraId="3A47605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5C" w14:textId="77777777" w:rsidTr="00190E4A">
        <w:trPr>
          <w:trHeight w:val="378"/>
          <w:jc w:val="center"/>
        </w:trPr>
        <w:tc>
          <w:tcPr>
            <w:tcW w:w="1980" w:type="dxa"/>
            <w:vMerge/>
            <w:vAlign w:val="center"/>
          </w:tcPr>
          <w:p w14:paraId="3A476059"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5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Centro deportivo</w:t>
            </w:r>
            <w:r w:rsidRPr="004043F3">
              <w:rPr>
                <w:rFonts w:ascii="Gotham" w:eastAsia="Arial" w:hAnsi="Gotham" w:cs="Arial"/>
                <w:color w:val="2F2F2F"/>
                <w:sz w:val="19"/>
                <w:szCs w:val="19"/>
              </w:rPr>
              <w:tab/>
            </w:r>
          </w:p>
        </w:tc>
        <w:tc>
          <w:tcPr>
            <w:tcW w:w="2415" w:type="dxa"/>
          </w:tcPr>
          <w:p w14:paraId="3A47605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1,500 metros</w:t>
            </w:r>
          </w:p>
        </w:tc>
      </w:tr>
      <w:tr w:rsidR="009B5E39" w:rsidRPr="004043F3" w14:paraId="3A476060" w14:textId="77777777" w:rsidTr="00190E4A">
        <w:trPr>
          <w:trHeight w:val="378"/>
          <w:jc w:val="center"/>
        </w:trPr>
        <w:tc>
          <w:tcPr>
            <w:tcW w:w="1980" w:type="dxa"/>
            <w:vMerge/>
            <w:vAlign w:val="center"/>
          </w:tcPr>
          <w:p w14:paraId="3A47605D"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5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Unidad deportiva o ciudad deportiva</w:t>
            </w:r>
            <w:r w:rsidRPr="004043F3">
              <w:rPr>
                <w:rFonts w:ascii="Gotham" w:eastAsia="Arial" w:hAnsi="Gotham" w:cs="Arial"/>
                <w:color w:val="2F2F2F"/>
                <w:sz w:val="19"/>
                <w:szCs w:val="19"/>
              </w:rPr>
              <w:tab/>
            </w:r>
          </w:p>
        </w:tc>
        <w:tc>
          <w:tcPr>
            <w:tcW w:w="2415" w:type="dxa"/>
          </w:tcPr>
          <w:p w14:paraId="3A47605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64" w14:textId="77777777" w:rsidTr="00190E4A">
        <w:trPr>
          <w:trHeight w:val="378"/>
          <w:jc w:val="center"/>
        </w:trPr>
        <w:tc>
          <w:tcPr>
            <w:tcW w:w="1980" w:type="dxa"/>
            <w:vMerge/>
            <w:vAlign w:val="center"/>
          </w:tcPr>
          <w:p w14:paraId="3A476061"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6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Gimnasio, alberca o salón deportivo</w:t>
            </w:r>
            <w:r w:rsidRPr="004043F3">
              <w:rPr>
                <w:rFonts w:ascii="Gotham" w:eastAsia="Arial" w:hAnsi="Gotham" w:cs="Arial"/>
                <w:color w:val="2F2F2F"/>
                <w:sz w:val="19"/>
                <w:szCs w:val="19"/>
              </w:rPr>
              <w:tab/>
            </w:r>
          </w:p>
        </w:tc>
        <w:tc>
          <w:tcPr>
            <w:tcW w:w="2415" w:type="dxa"/>
          </w:tcPr>
          <w:p w14:paraId="3A47606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1,500 metros</w:t>
            </w:r>
          </w:p>
        </w:tc>
      </w:tr>
      <w:tr w:rsidR="009B5E39" w:rsidRPr="004043F3" w14:paraId="3A476068" w14:textId="77777777" w:rsidTr="00190E4A">
        <w:trPr>
          <w:trHeight w:val="378"/>
          <w:jc w:val="center"/>
        </w:trPr>
        <w:tc>
          <w:tcPr>
            <w:tcW w:w="1980" w:type="dxa"/>
            <w:vMerge w:val="restart"/>
            <w:vAlign w:val="center"/>
          </w:tcPr>
          <w:p w14:paraId="3A476065" w14:textId="77777777" w:rsidR="009B5E39" w:rsidRPr="004043F3" w:rsidRDefault="009B5E39" w:rsidP="00190E4A">
            <w:pPr>
              <w:spacing w:before="40" w:after="40"/>
              <w:jc w:val="center"/>
              <w:rPr>
                <w:rFonts w:ascii="Gotham" w:hAnsi="Gotham" w:cs="Arial"/>
                <w:sz w:val="19"/>
                <w:szCs w:val="19"/>
              </w:rPr>
            </w:pPr>
            <w:r w:rsidRPr="004043F3">
              <w:rPr>
                <w:rFonts w:ascii="Gotham" w:hAnsi="Gotham" w:cs="Arial"/>
                <w:sz w:val="19"/>
                <w:szCs w:val="19"/>
              </w:rPr>
              <w:t>Administración pública y servicios urbanos</w:t>
            </w:r>
          </w:p>
        </w:tc>
        <w:tc>
          <w:tcPr>
            <w:tcW w:w="4961" w:type="dxa"/>
          </w:tcPr>
          <w:p w14:paraId="3A47606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Administración local de recaudación fiscal</w:t>
            </w:r>
            <w:r w:rsidRPr="004043F3">
              <w:rPr>
                <w:rFonts w:ascii="Gotham" w:eastAsia="Arial" w:hAnsi="Gotham" w:cs="Arial"/>
                <w:color w:val="2F2F2F"/>
                <w:sz w:val="19"/>
                <w:szCs w:val="19"/>
              </w:rPr>
              <w:tab/>
            </w:r>
          </w:p>
        </w:tc>
        <w:tc>
          <w:tcPr>
            <w:tcW w:w="2415" w:type="dxa"/>
          </w:tcPr>
          <w:p w14:paraId="3A47606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6C" w14:textId="77777777" w:rsidTr="00190E4A">
        <w:trPr>
          <w:trHeight w:val="378"/>
          <w:jc w:val="center"/>
        </w:trPr>
        <w:tc>
          <w:tcPr>
            <w:tcW w:w="1980" w:type="dxa"/>
            <w:vMerge/>
            <w:vAlign w:val="center"/>
          </w:tcPr>
          <w:p w14:paraId="3A476069"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6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Delegación municipal</w:t>
            </w:r>
          </w:p>
        </w:tc>
        <w:tc>
          <w:tcPr>
            <w:tcW w:w="2415" w:type="dxa"/>
          </w:tcPr>
          <w:p w14:paraId="3A47606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70" w14:textId="77777777" w:rsidTr="00190E4A">
        <w:trPr>
          <w:trHeight w:val="378"/>
          <w:jc w:val="center"/>
        </w:trPr>
        <w:tc>
          <w:tcPr>
            <w:tcW w:w="1980" w:type="dxa"/>
            <w:vMerge/>
            <w:vAlign w:val="center"/>
          </w:tcPr>
          <w:p w14:paraId="3A47606D"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6E"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Cementerio</w:t>
            </w:r>
            <w:r w:rsidRPr="004043F3">
              <w:rPr>
                <w:rFonts w:ascii="Gotham" w:eastAsia="Arial" w:hAnsi="Gotham" w:cs="Arial"/>
                <w:color w:val="2F2F2F"/>
                <w:sz w:val="19"/>
                <w:szCs w:val="19"/>
              </w:rPr>
              <w:tab/>
            </w:r>
          </w:p>
        </w:tc>
        <w:tc>
          <w:tcPr>
            <w:tcW w:w="2415" w:type="dxa"/>
          </w:tcPr>
          <w:p w14:paraId="3A47606F"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74" w14:textId="77777777" w:rsidTr="00190E4A">
        <w:trPr>
          <w:trHeight w:val="378"/>
          <w:jc w:val="center"/>
        </w:trPr>
        <w:tc>
          <w:tcPr>
            <w:tcW w:w="1980" w:type="dxa"/>
            <w:vMerge/>
            <w:vAlign w:val="center"/>
          </w:tcPr>
          <w:p w14:paraId="3A476071"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72"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Central de bomberos</w:t>
            </w:r>
            <w:r w:rsidRPr="004043F3">
              <w:rPr>
                <w:rFonts w:ascii="Gotham" w:eastAsia="Arial" w:hAnsi="Gotham" w:cs="Arial"/>
                <w:color w:val="2F2F2F"/>
                <w:sz w:val="19"/>
                <w:szCs w:val="19"/>
              </w:rPr>
              <w:tab/>
            </w:r>
          </w:p>
        </w:tc>
        <w:tc>
          <w:tcPr>
            <w:tcW w:w="2415" w:type="dxa"/>
          </w:tcPr>
          <w:p w14:paraId="3A476073"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78" w14:textId="77777777" w:rsidTr="00190E4A">
        <w:trPr>
          <w:trHeight w:val="378"/>
          <w:jc w:val="center"/>
        </w:trPr>
        <w:tc>
          <w:tcPr>
            <w:tcW w:w="1980" w:type="dxa"/>
            <w:vMerge/>
            <w:vAlign w:val="center"/>
          </w:tcPr>
          <w:p w14:paraId="3A476075"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76"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Comandancia de policía</w:t>
            </w:r>
            <w:r w:rsidRPr="004043F3">
              <w:rPr>
                <w:rFonts w:ascii="Gotham" w:eastAsia="Arial" w:hAnsi="Gotham" w:cs="Arial"/>
                <w:color w:val="2F2F2F"/>
                <w:sz w:val="19"/>
                <w:szCs w:val="19"/>
              </w:rPr>
              <w:tab/>
            </w:r>
          </w:p>
        </w:tc>
        <w:tc>
          <w:tcPr>
            <w:tcW w:w="2415" w:type="dxa"/>
          </w:tcPr>
          <w:p w14:paraId="3A476077"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r w:rsidR="009B5E39" w:rsidRPr="004043F3" w14:paraId="3A47607C" w14:textId="77777777" w:rsidTr="00190E4A">
        <w:trPr>
          <w:trHeight w:val="378"/>
          <w:jc w:val="center"/>
        </w:trPr>
        <w:tc>
          <w:tcPr>
            <w:tcW w:w="1980" w:type="dxa"/>
            <w:vMerge/>
            <w:vAlign w:val="center"/>
          </w:tcPr>
          <w:p w14:paraId="3A476079" w14:textId="77777777" w:rsidR="009B5E39" w:rsidRPr="004043F3" w:rsidRDefault="009B5E39" w:rsidP="00190E4A">
            <w:pPr>
              <w:spacing w:before="40" w:after="40"/>
              <w:jc w:val="center"/>
              <w:rPr>
                <w:rFonts w:ascii="Gotham" w:hAnsi="Gotham" w:cs="Arial"/>
                <w:sz w:val="19"/>
                <w:szCs w:val="19"/>
              </w:rPr>
            </w:pPr>
          </w:p>
        </w:tc>
        <w:tc>
          <w:tcPr>
            <w:tcW w:w="4961" w:type="dxa"/>
          </w:tcPr>
          <w:p w14:paraId="3A47607A" w14:textId="77777777" w:rsidR="009B5E39" w:rsidRPr="004043F3" w:rsidRDefault="009B5E39" w:rsidP="00190E4A">
            <w:pPr>
              <w:spacing w:before="40" w:after="40"/>
              <w:ind w:left="144" w:right="34"/>
              <w:rPr>
                <w:rFonts w:ascii="Gotham" w:eastAsia="Arial" w:hAnsi="Gotham" w:cs="Arial"/>
                <w:color w:val="2F2F2F"/>
                <w:sz w:val="19"/>
                <w:szCs w:val="19"/>
              </w:rPr>
            </w:pPr>
            <w:r w:rsidRPr="004043F3">
              <w:rPr>
                <w:rFonts w:ascii="Gotham" w:eastAsia="Arial" w:hAnsi="Gotham" w:cs="Arial"/>
                <w:color w:val="2F2F2F"/>
                <w:sz w:val="19"/>
                <w:szCs w:val="19"/>
              </w:rPr>
              <w:t>Basurero municipal</w:t>
            </w:r>
          </w:p>
        </w:tc>
        <w:tc>
          <w:tcPr>
            <w:tcW w:w="2415" w:type="dxa"/>
          </w:tcPr>
          <w:p w14:paraId="3A47607B" w14:textId="77777777" w:rsidR="009B5E39" w:rsidRPr="004043F3" w:rsidRDefault="009B5E39" w:rsidP="00190E4A">
            <w:pPr>
              <w:spacing w:before="40" w:after="40"/>
              <w:rPr>
                <w:rFonts w:ascii="Gotham" w:eastAsia="Arial" w:hAnsi="Gotham" w:cs="Arial"/>
                <w:color w:val="2F2F2F"/>
                <w:sz w:val="19"/>
                <w:szCs w:val="19"/>
              </w:rPr>
            </w:pPr>
            <w:r w:rsidRPr="004043F3">
              <w:rPr>
                <w:rFonts w:ascii="Gotham" w:eastAsia="Arial" w:hAnsi="Gotham" w:cs="Arial"/>
                <w:color w:val="2F2F2F"/>
                <w:sz w:val="19"/>
                <w:szCs w:val="19"/>
              </w:rPr>
              <w:t>Centro de población</w:t>
            </w:r>
          </w:p>
        </w:tc>
      </w:tr>
    </w:tbl>
    <w:p w14:paraId="3A47607D" w14:textId="77777777" w:rsidR="009B5E39" w:rsidRPr="004043F3" w:rsidRDefault="009B5E39" w:rsidP="009B5E39">
      <w:pPr>
        <w:ind w:left="284" w:right="283"/>
        <w:jc w:val="both"/>
        <w:rPr>
          <w:rFonts w:ascii="Gotham" w:hAnsi="Gotham" w:cs="Arial"/>
          <w:sz w:val="19"/>
          <w:szCs w:val="19"/>
        </w:rPr>
      </w:pPr>
    </w:p>
    <w:p w14:paraId="3A47607E" w14:textId="77777777" w:rsidR="009B5E39" w:rsidRPr="004043F3" w:rsidRDefault="009B5E39" w:rsidP="009B5E39">
      <w:pPr>
        <w:ind w:left="1134" w:right="283" w:hanging="850"/>
        <w:jc w:val="both"/>
        <w:rPr>
          <w:rFonts w:ascii="Gotham" w:hAnsi="Gotham" w:cs="Arial"/>
          <w:sz w:val="19"/>
          <w:szCs w:val="19"/>
        </w:rPr>
      </w:pPr>
      <w:r w:rsidRPr="004043F3">
        <w:rPr>
          <w:rFonts w:ascii="Gotham" w:hAnsi="Gotham" w:cs="Arial"/>
          <w:sz w:val="19"/>
          <w:szCs w:val="19"/>
        </w:rPr>
        <w:t xml:space="preserve">III. </w:t>
      </w:r>
      <w:r>
        <w:rPr>
          <w:rFonts w:ascii="Gotham" w:hAnsi="Gotham" w:cs="Arial"/>
          <w:sz w:val="19"/>
          <w:szCs w:val="19"/>
        </w:rPr>
        <w:tab/>
      </w:r>
      <w:r w:rsidRPr="004043F3">
        <w:rPr>
          <w:rFonts w:ascii="Gotham" w:hAnsi="Gotham" w:cs="Arial"/>
          <w:sz w:val="19"/>
          <w:szCs w:val="19"/>
        </w:rPr>
        <w:t xml:space="preserve">La propuesta idónea para el equipamiento de acuerdo con las carencias de la zona. </w:t>
      </w:r>
    </w:p>
    <w:p w14:paraId="3A47607F" w14:textId="77777777" w:rsidR="009B5E39" w:rsidRDefault="009B5E39" w:rsidP="009B5E39">
      <w:pPr>
        <w:ind w:left="284" w:right="283"/>
        <w:jc w:val="both"/>
        <w:rPr>
          <w:rFonts w:ascii="Gotham" w:hAnsi="Gotham" w:cs="Arial"/>
          <w:b/>
          <w:sz w:val="19"/>
          <w:szCs w:val="19"/>
        </w:rPr>
      </w:pPr>
    </w:p>
    <w:p w14:paraId="3A476080"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20.</w:t>
      </w:r>
      <w:r w:rsidRPr="004043F3">
        <w:rPr>
          <w:rFonts w:ascii="Gotham" w:hAnsi="Gotham" w:cs="Arial"/>
          <w:sz w:val="19"/>
          <w:szCs w:val="19"/>
        </w:rPr>
        <w:t xml:space="preserve"> Para los predios que se designen como ACD, deberán observar las siguientes consideraciones:</w:t>
      </w:r>
    </w:p>
    <w:p w14:paraId="3A476081" w14:textId="77777777" w:rsidR="009B5E39" w:rsidRDefault="009B5E39" w:rsidP="009B5E39">
      <w:pPr>
        <w:ind w:left="284" w:right="283"/>
        <w:jc w:val="both"/>
        <w:rPr>
          <w:rFonts w:ascii="Gotham" w:hAnsi="Gotham" w:cs="Arial"/>
          <w:sz w:val="19"/>
          <w:szCs w:val="19"/>
        </w:rPr>
      </w:pPr>
    </w:p>
    <w:p w14:paraId="3A476082"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La dosificación, dimensiones y ubicación de las ACD obligadas se establecerán de acuerdo con las deficiencias de equipamiento de la zona, en función de lo identificado en el estudio de gradualidad. En caso de que el resultado del estudio de gradualidad del proyecto requiera de una superficie de ACD mayor a la obligada y que el proyecto colinde con área de reserva urbana, las ACD obligadas deberán proyectarse en dicha colindancia para que puedan ser complementadas, logrando entre ambas la superficie requerida para tal equipamiento.</w:t>
      </w:r>
    </w:p>
    <w:p w14:paraId="3A476083"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 </w:t>
      </w:r>
      <w:r>
        <w:rPr>
          <w:rFonts w:ascii="Gotham" w:hAnsi="Gotham" w:cs="Arial"/>
          <w:sz w:val="19"/>
          <w:szCs w:val="19"/>
        </w:rPr>
        <w:tab/>
      </w:r>
      <w:r w:rsidRPr="004043F3">
        <w:rPr>
          <w:rFonts w:ascii="Gotham" w:hAnsi="Gotham" w:cs="Arial"/>
          <w:sz w:val="19"/>
          <w:szCs w:val="19"/>
        </w:rPr>
        <w:t>Se deberán distribuir de manera equitativa dentro del desarrollo, procurando que la mayoría estén concentradas en zonas estratégicas para servicios de los habitantes del propio desarrollo y de los habitantes de la zona contextual.</w:t>
      </w:r>
    </w:p>
    <w:p w14:paraId="3A476084"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III. </w:t>
      </w:r>
      <w:r>
        <w:rPr>
          <w:rFonts w:ascii="Gotham" w:hAnsi="Gotham" w:cs="Arial"/>
          <w:sz w:val="19"/>
          <w:szCs w:val="19"/>
        </w:rPr>
        <w:tab/>
      </w:r>
      <w:r w:rsidRPr="004043F3">
        <w:rPr>
          <w:rFonts w:ascii="Gotham" w:hAnsi="Gotham" w:cs="Arial"/>
          <w:sz w:val="19"/>
          <w:szCs w:val="19"/>
        </w:rPr>
        <w:t>Por lo menos el 80% de cada lote de ACD deberá contar con una pendiente menor al 10%, y el 100% del lote deberá estar habilitado. En caso de espacios verdes, abiertos y recreativos, el desarrollo debe contar con los siguientes elementos:</w:t>
      </w:r>
    </w:p>
    <w:p w14:paraId="3A476085"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a.   </w:t>
      </w:r>
      <w:r>
        <w:rPr>
          <w:rFonts w:ascii="Gotham" w:hAnsi="Gotham" w:cs="Arial"/>
          <w:sz w:val="19"/>
          <w:szCs w:val="19"/>
        </w:rPr>
        <w:tab/>
      </w:r>
      <w:r w:rsidRPr="004043F3">
        <w:rPr>
          <w:rFonts w:ascii="Gotham" w:hAnsi="Gotham" w:cs="Arial"/>
          <w:sz w:val="19"/>
          <w:szCs w:val="19"/>
        </w:rPr>
        <w:t>Caminamientos;</w:t>
      </w:r>
    </w:p>
    <w:p w14:paraId="3A476086"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b.   </w:t>
      </w:r>
      <w:r>
        <w:rPr>
          <w:rFonts w:ascii="Gotham" w:hAnsi="Gotham" w:cs="Arial"/>
          <w:sz w:val="19"/>
          <w:szCs w:val="19"/>
        </w:rPr>
        <w:tab/>
      </w:r>
      <w:r w:rsidRPr="004043F3">
        <w:rPr>
          <w:rFonts w:ascii="Gotham" w:hAnsi="Gotham" w:cs="Arial"/>
          <w:sz w:val="19"/>
          <w:szCs w:val="19"/>
        </w:rPr>
        <w:t>Bancas;</w:t>
      </w:r>
    </w:p>
    <w:p w14:paraId="3A476087"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c.    </w:t>
      </w:r>
      <w:r>
        <w:rPr>
          <w:rFonts w:ascii="Gotham" w:hAnsi="Gotham" w:cs="Arial"/>
          <w:sz w:val="19"/>
          <w:szCs w:val="19"/>
        </w:rPr>
        <w:tab/>
      </w:r>
      <w:r w:rsidRPr="004043F3">
        <w:rPr>
          <w:rFonts w:ascii="Gotham" w:hAnsi="Gotham" w:cs="Arial"/>
          <w:sz w:val="19"/>
          <w:szCs w:val="19"/>
        </w:rPr>
        <w:t>Botes de basura;</w:t>
      </w:r>
    </w:p>
    <w:p w14:paraId="3A476088"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d.    </w:t>
      </w:r>
      <w:r>
        <w:rPr>
          <w:rFonts w:ascii="Gotham" w:hAnsi="Gotham" w:cs="Arial"/>
          <w:sz w:val="19"/>
          <w:szCs w:val="19"/>
        </w:rPr>
        <w:tab/>
      </w:r>
      <w:r w:rsidRPr="004043F3">
        <w:rPr>
          <w:rFonts w:ascii="Gotham" w:hAnsi="Gotham" w:cs="Arial"/>
          <w:sz w:val="19"/>
          <w:szCs w:val="19"/>
        </w:rPr>
        <w:t>Instalaciones hidráulicas, sanitarias y pluviales;</w:t>
      </w:r>
    </w:p>
    <w:p w14:paraId="3A476089"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e.    </w:t>
      </w:r>
      <w:r>
        <w:rPr>
          <w:rFonts w:ascii="Gotham" w:hAnsi="Gotham" w:cs="Arial"/>
          <w:sz w:val="19"/>
          <w:szCs w:val="19"/>
        </w:rPr>
        <w:tab/>
      </w:r>
      <w:r w:rsidRPr="004043F3">
        <w:rPr>
          <w:rFonts w:ascii="Gotham" w:hAnsi="Gotham" w:cs="Arial"/>
          <w:sz w:val="19"/>
          <w:szCs w:val="19"/>
        </w:rPr>
        <w:t>luminarias;</w:t>
      </w:r>
    </w:p>
    <w:p w14:paraId="3A47608A"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f.    </w:t>
      </w:r>
      <w:r>
        <w:rPr>
          <w:rFonts w:ascii="Gotham" w:hAnsi="Gotham" w:cs="Arial"/>
          <w:sz w:val="19"/>
          <w:szCs w:val="19"/>
        </w:rPr>
        <w:tab/>
      </w:r>
      <w:r w:rsidRPr="004043F3">
        <w:rPr>
          <w:rFonts w:ascii="Gotham" w:hAnsi="Gotham" w:cs="Arial"/>
          <w:sz w:val="19"/>
          <w:szCs w:val="19"/>
        </w:rPr>
        <w:t>Juegos infantiles;</w:t>
      </w:r>
    </w:p>
    <w:p w14:paraId="3A47608B"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g.   </w:t>
      </w:r>
      <w:r>
        <w:rPr>
          <w:rFonts w:ascii="Gotham" w:hAnsi="Gotham" w:cs="Arial"/>
          <w:sz w:val="19"/>
          <w:szCs w:val="19"/>
        </w:rPr>
        <w:tab/>
      </w:r>
      <w:r w:rsidRPr="004043F3">
        <w:rPr>
          <w:rFonts w:ascii="Gotham" w:hAnsi="Gotham" w:cs="Arial"/>
          <w:sz w:val="19"/>
          <w:szCs w:val="19"/>
        </w:rPr>
        <w:t>Gimnasios al aire libre;</w:t>
      </w:r>
    </w:p>
    <w:p w14:paraId="3A47608C"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h.   </w:t>
      </w:r>
      <w:r>
        <w:rPr>
          <w:rFonts w:ascii="Gotham" w:hAnsi="Gotham" w:cs="Arial"/>
          <w:sz w:val="19"/>
          <w:szCs w:val="19"/>
        </w:rPr>
        <w:tab/>
      </w:r>
      <w:r w:rsidRPr="004043F3">
        <w:rPr>
          <w:rFonts w:ascii="Gotham" w:hAnsi="Gotham" w:cs="Arial"/>
          <w:sz w:val="19"/>
          <w:szCs w:val="19"/>
        </w:rPr>
        <w:t xml:space="preserve">Estacionamientos </w:t>
      </w:r>
      <w:r w:rsidRPr="004043F3">
        <w:rPr>
          <w:rFonts w:ascii="Gotham" w:hAnsi="Gotham" w:cs="Arial"/>
          <w:color w:val="2E74B5" w:themeColor="accent1" w:themeShade="BF"/>
          <w:sz w:val="19"/>
          <w:szCs w:val="19"/>
        </w:rPr>
        <w:t>exclusivos para el uso del área de cesión;</w:t>
      </w:r>
    </w:p>
    <w:p w14:paraId="3A47608D" w14:textId="77777777" w:rsidR="009B5E39" w:rsidRPr="004043F3" w:rsidRDefault="009B5E39" w:rsidP="009B5E39">
      <w:pPr>
        <w:spacing w:after="80"/>
        <w:ind w:left="1701" w:right="283" w:hanging="567"/>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Ciclopuertos;</w:t>
      </w:r>
    </w:p>
    <w:p w14:paraId="3A47608E" w14:textId="77777777" w:rsidR="009B5E39" w:rsidRPr="004043F3" w:rsidRDefault="009B5E39" w:rsidP="009B5E39">
      <w:pPr>
        <w:ind w:left="1701" w:right="283" w:hanging="567"/>
        <w:jc w:val="both"/>
        <w:rPr>
          <w:rFonts w:ascii="Gotham" w:hAnsi="Gotham" w:cs="Arial"/>
          <w:sz w:val="19"/>
          <w:szCs w:val="19"/>
        </w:rPr>
      </w:pPr>
      <w:r w:rsidRPr="004043F3">
        <w:rPr>
          <w:rFonts w:ascii="Gotham" w:hAnsi="Gotham" w:cs="Arial"/>
          <w:sz w:val="19"/>
          <w:szCs w:val="19"/>
        </w:rPr>
        <w:t xml:space="preserve">j.     </w:t>
      </w:r>
      <w:r>
        <w:rPr>
          <w:rFonts w:ascii="Gotham" w:hAnsi="Gotham" w:cs="Arial"/>
          <w:sz w:val="19"/>
          <w:szCs w:val="19"/>
        </w:rPr>
        <w:tab/>
      </w:r>
      <w:r w:rsidRPr="004043F3">
        <w:rPr>
          <w:rFonts w:ascii="Gotham" w:hAnsi="Gotham" w:cs="Arial"/>
          <w:sz w:val="19"/>
          <w:szCs w:val="19"/>
        </w:rPr>
        <w:t>Jardinería y arbolado.</w:t>
      </w:r>
    </w:p>
    <w:p w14:paraId="3A47608F" w14:textId="77777777" w:rsidR="009B5E39" w:rsidRDefault="009B5E39" w:rsidP="009B5E39">
      <w:pPr>
        <w:ind w:left="284" w:right="283"/>
        <w:jc w:val="both"/>
        <w:rPr>
          <w:rFonts w:ascii="Gotham" w:hAnsi="Gotham" w:cs="Arial"/>
          <w:b/>
          <w:sz w:val="19"/>
          <w:szCs w:val="19"/>
        </w:rPr>
      </w:pPr>
    </w:p>
    <w:p w14:paraId="3A476090" w14:textId="77777777" w:rsidR="009B5E39" w:rsidRDefault="009B5E39" w:rsidP="009B5E39">
      <w:pPr>
        <w:ind w:left="284" w:right="283"/>
        <w:jc w:val="both"/>
        <w:rPr>
          <w:rFonts w:ascii="Gotham" w:hAnsi="Gotham" w:cs="Arial"/>
          <w:sz w:val="19"/>
          <w:szCs w:val="19"/>
        </w:rPr>
      </w:pPr>
      <w:r w:rsidRPr="004043F3">
        <w:rPr>
          <w:rFonts w:ascii="Gotham" w:hAnsi="Gotham" w:cs="Arial"/>
          <w:b/>
          <w:sz w:val="19"/>
          <w:szCs w:val="19"/>
        </w:rPr>
        <w:t>Artículo 21.</w:t>
      </w:r>
      <w:r w:rsidRPr="004043F3">
        <w:rPr>
          <w:rFonts w:ascii="Gotham" w:hAnsi="Gotham" w:cs="Arial"/>
          <w:sz w:val="19"/>
          <w:szCs w:val="19"/>
        </w:rPr>
        <w:t xml:space="preserve"> El equipamiento construido tendrá las siguientes consideraciones:</w:t>
      </w:r>
    </w:p>
    <w:p w14:paraId="3A476091" w14:textId="77777777" w:rsidR="009B5E39" w:rsidRPr="004043F3" w:rsidRDefault="009B5E39" w:rsidP="009B5E39">
      <w:pPr>
        <w:ind w:left="284" w:right="283"/>
        <w:jc w:val="both"/>
        <w:rPr>
          <w:rFonts w:ascii="Gotham" w:hAnsi="Gotham" w:cs="Arial"/>
          <w:sz w:val="19"/>
          <w:szCs w:val="19"/>
        </w:rPr>
      </w:pPr>
    </w:p>
    <w:p w14:paraId="3A476092"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Se cuantificará a razón de 1.00</w:t>
      </w:r>
      <w:r w:rsidRPr="004043F3">
        <w:rPr>
          <w:rFonts w:ascii="Gotham" w:eastAsia="Arial" w:hAnsi="Gotham" w:cs="Arial"/>
          <w:color w:val="2B2B2D"/>
          <w:sz w:val="19"/>
          <w:szCs w:val="19"/>
        </w:rPr>
        <w:t xml:space="preserve"> m</w:t>
      </w:r>
      <w:r w:rsidRPr="004043F3">
        <w:rPr>
          <w:rFonts w:ascii="Gotham" w:eastAsia="Arial" w:hAnsi="Gotham" w:cs="Arial"/>
          <w:color w:val="2B2B2D"/>
          <w:sz w:val="19"/>
          <w:szCs w:val="19"/>
          <w:vertAlign w:val="superscript"/>
        </w:rPr>
        <w:t>2</w:t>
      </w:r>
      <w:r w:rsidRPr="004043F3">
        <w:rPr>
          <w:rFonts w:ascii="Gotham" w:eastAsia="Arial" w:hAnsi="Gotham" w:cs="Arial"/>
          <w:color w:val="2B2B2D"/>
          <w:sz w:val="19"/>
          <w:szCs w:val="19"/>
        </w:rPr>
        <w:t xml:space="preserve"> </w:t>
      </w:r>
      <w:r w:rsidRPr="004043F3">
        <w:rPr>
          <w:rFonts w:ascii="Gotham" w:hAnsi="Gotham" w:cs="Arial"/>
          <w:sz w:val="19"/>
          <w:szCs w:val="19"/>
        </w:rPr>
        <w:t>por cada dos unidades de vivienda;</w:t>
      </w:r>
    </w:p>
    <w:p w14:paraId="3A476093"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color w:val="FF0000"/>
          <w:sz w:val="19"/>
          <w:szCs w:val="19"/>
        </w:rPr>
        <w:lastRenderedPageBreak/>
        <w:t xml:space="preserve">II. </w:t>
      </w:r>
      <w:r>
        <w:rPr>
          <w:rFonts w:ascii="Gotham" w:hAnsi="Gotham" w:cs="Arial"/>
          <w:color w:val="FF0000"/>
          <w:sz w:val="19"/>
          <w:szCs w:val="19"/>
        </w:rPr>
        <w:tab/>
      </w:r>
      <w:r w:rsidRPr="004043F3">
        <w:rPr>
          <w:rFonts w:ascii="Gotham" w:hAnsi="Gotham" w:cs="Arial"/>
          <w:color w:val="FF0000"/>
          <w:sz w:val="19"/>
          <w:szCs w:val="19"/>
        </w:rPr>
        <w:t>SE DEROGA</w:t>
      </w:r>
    </w:p>
    <w:p w14:paraId="3A476094"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III. </w:t>
      </w:r>
      <w:r>
        <w:rPr>
          <w:rFonts w:ascii="Gotham" w:hAnsi="Gotham" w:cs="Arial"/>
          <w:sz w:val="19"/>
          <w:szCs w:val="19"/>
        </w:rPr>
        <w:tab/>
      </w:r>
      <w:r w:rsidRPr="004043F3">
        <w:rPr>
          <w:rFonts w:ascii="Gotham" w:hAnsi="Gotham" w:cs="Arial"/>
          <w:sz w:val="19"/>
          <w:szCs w:val="19"/>
        </w:rPr>
        <w:t>No se podrá cuantificar para este lineamiento cubiertas ligeras a base de láminas, tejas, policarbonatos o similares, así como pergolados.</w:t>
      </w:r>
    </w:p>
    <w:p w14:paraId="3A476095"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IV. </w:t>
      </w:r>
      <w:r>
        <w:rPr>
          <w:rFonts w:ascii="Gotham" w:hAnsi="Gotham" w:cs="Arial"/>
          <w:sz w:val="19"/>
          <w:szCs w:val="19"/>
        </w:rPr>
        <w:tab/>
      </w:r>
      <w:r w:rsidRPr="004043F3">
        <w:rPr>
          <w:rFonts w:ascii="Gotham" w:hAnsi="Gotham" w:cs="Arial"/>
          <w:sz w:val="19"/>
          <w:szCs w:val="19"/>
        </w:rPr>
        <w:t>Cuando se proyecten canchas deportivas cubiertas con materiales ligeros a base de lámina, tejas, policarbonatos o similares, equipadas con el mobiliario correspondiente y que cuenten piso, base o plancha de concreto pulido, la superficie techada se cuantificará al 50% de su superficie;</w:t>
      </w:r>
    </w:p>
    <w:p w14:paraId="3A476096" w14:textId="77777777" w:rsidR="009B5E39" w:rsidRDefault="009B5E39" w:rsidP="009B5E39">
      <w:pPr>
        <w:ind w:left="1134" w:right="283" w:hanging="850"/>
        <w:jc w:val="both"/>
        <w:rPr>
          <w:rFonts w:ascii="Gotham" w:hAnsi="Gotham" w:cs="Arial"/>
          <w:sz w:val="19"/>
          <w:szCs w:val="19"/>
        </w:rPr>
      </w:pPr>
      <w:r w:rsidRPr="004043F3">
        <w:rPr>
          <w:rFonts w:ascii="Gotham" w:hAnsi="Gotham" w:cs="Arial"/>
          <w:sz w:val="19"/>
          <w:szCs w:val="19"/>
        </w:rPr>
        <w:t xml:space="preserve">V. </w:t>
      </w:r>
      <w:r>
        <w:rPr>
          <w:rFonts w:ascii="Gotham" w:hAnsi="Gotham" w:cs="Arial"/>
          <w:sz w:val="19"/>
          <w:szCs w:val="19"/>
        </w:rPr>
        <w:tab/>
      </w:r>
      <w:r w:rsidRPr="004043F3">
        <w:rPr>
          <w:rFonts w:ascii="Gotham" w:hAnsi="Gotham" w:cs="Arial"/>
          <w:sz w:val="19"/>
          <w:szCs w:val="19"/>
        </w:rPr>
        <w:t>Cuando se proyecten canchas deportivas descubiertas que estén equipadas con el mobiliario correspondiente y que cuenten con piso, base o plancha de concreto pulido, la superficie de la plancha se tomará al 10% de su superficie.</w:t>
      </w:r>
    </w:p>
    <w:p w14:paraId="3A476097" w14:textId="77777777" w:rsidR="009B5E39" w:rsidRDefault="009B5E39" w:rsidP="009B5E39">
      <w:pPr>
        <w:ind w:left="284" w:right="283"/>
        <w:jc w:val="both"/>
        <w:rPr>
          <w:rFonts w:ascii="Gotham" w:hAnsi="Gotham" w:cs="Arial"/>
          <w:sz w:val="19"/>
          <w:szCs w:val="19"/>
        </w:rPr>
      </w:pPr>
    </w:p>
    <w:p w14:paraId="3A476098" w14:textId="77777777" w:rsidR="009B5E39" w:rsidRPr="004043F3" w:rsidRDefault="009B5E39" w:rsidP="009B5E39">
      <w:pPr>
        <w:ind w:left="284" w:right="283"/>
        <w:jc w:val="both"/>
        <w:rPr>
          <w:rFonts w:ascii="Gotham" w:hAnsi="Gotham" w:cs="Arial"/>
          <w:sz w:val="19"/>
          <w:szCs w:val="19"/>
        </w:rPr>
      </w:pPr>
    </w:p>
    <w:p w14:paraId="3A476099"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CAPITULO V</w:t>
      </w:r>
    </w:p>
    <w:p w14:paraId="3A47609A"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INFRAESTRUCTURA.</w:t>
      </w:r>
    </w:p>
    <w:p w14:paraId="3A47609B" w14:textId="77777777" w:rsidR="009B5E39" w:rsidRDefault="009B5E39" w:rsidP="009B5E39">
      <w:pPr>
        <w:ind w:left="284" w:right="283"/>
        <w:jc w:val="both"/>
        <w:rPr>
          <w:rFonts w:ascii="Gotham" w:hAnsi="Gotham" w:cs="Arial"/>
          <w:b/>
          <w:sz w:val="19"/>
          <w:szCs w:val="19"/>
        </w:rPr>
      </w:pPr>
    </w:p>
    <w:p w14:paraId="3A47609C"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22.</w:t>
      </w:r>
      <w:r w:rsidRPr="004043F3">
        <w:rPr>
          <w:rFonts w:ascii="Gotham" w:hAnsi="Gotham" w:cs="Arial"/>
          <w:sz w:val="19"/>
          <w:szCs w:val="19"/>
        </w:rPr>
        <w:t xml:space="preserve"> Se ratifica la obligación de presentar, previo a la autorización de cualquiera de las modalidades de vivienda, las viabilidades o factibilidades de los servicios básicos: agua potable, disposición y tratamiento de las descargas sanitarias y pluviales, energía eléctrica y en su caso cualquier otra infraestructura requerida.</w:t>
      </w:r>
    </w:p>
    <w:p w14:paraId="3A47609D" w14:textId="77777777" w:rsidR="009B5E39" w:rsidRDefault="009B5E39" w:rsidP="009B5E39">
      <w:pPr>
        <w:ind w:left="284" w:right="283"/>
        <w:jc w:val="both"/>
        <w:rPr>
          <w:rFonts w:ascii="Gotham" w:hAnsi="Gotham" w:cs="Arial"/>
          <w:b/>
          <w:sz w:val="19"/>
          <w:szCs w:val="19"/>
        </w:rPr>
      </w:pPr>
    </w:p>
    <w:p w14:paraId="3A47609E"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23.</w:t>
      </w:r>
      <w:r w:rsidRPr="004043F3">
        <w:rPr>
          <w:rFonts w:ascii="Gotham" w:hAnsi="Gotham" w:cs="Arial"/>
          <w:sz w:val="19"/>
          <w:szCs w:val="19"/>
        </w:rPr>
        <w:t xml:space="preserve"> Las viabilidades o factibilidades señaladas en el punto anterior deberán ser otorgadas por los organismos operadores competentes y facultados.</w:t>
      </w:r>
    </w:p>
    <w:p w14:paraId="3A47609F" w14:textId="77777777" w:rsidR="009B5E39" w:rsidRDefault="009B5E39" w:rsidP="009B5E39">
      <w:pPr>
        <w:ind w:left="284" w:right="283"/>
        <w:jc w:val="both"/>
        <w:rPr>
          <w:rFonts w:ascii="Gotham" w:hAnsi="Gotham" w:cs="Arial"/>
          <w:sz w:val="19"/>
          <w:szCs w:val="19"/>
        </w:rPr>
      </w:pPr>
    </w:p>
    <w:p w14:paraId="3A4760A0"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En el caso del agua potable, drenaje sanitario y drenaje pluvial, así como la disposición final de las aguas residuales, se reconocerá única y exclusivamente al SIAPA como organismo operador;</w:t>
      </w:r>
    </w:p>
    <w:p w14:paraId="3A4760A1"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 </w:t>
      </w:r>
      <w:r>
        <w:rPr>
          <w:rFonts w:ascii="Gotham" w:hAnsi="Gotham" w:cs="Arial"/>
          <w:sz w:val="19"/>
          <w:szCs w:val="19"/>
        </w:rPr>
        <w:tab/>
      </w:r>
      <w:r w:rsidRPr="004043F3">
        <w:rPr>
          <w:rFonts w:ascii="Gotham" w:hAnsi="Gotham" w:cs="Arial"/>
          <w:sz w:val="19"/>
          <w:szCs w:val="19"/>
        </w:rPr>
        <w:t>La CONAGUA será la única encargada de demarcar y concesionar las restricciones por cuerpos de agua;</w:t>
      </w:r>
    </w:p>
    <w:p w14:paraId="3A4760A2"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III. </w:t>
      </w:r>
      <w:r>
        <w:rPr>
          <w:rFonts w:ascii="Gotham" w:hAnsi="Gotham" w:cs="Arial"/>
          <w:sz w:val="19"/>
          <w:szCs w:val="19"/>
        </w:rPr>
        <w:tab/>
      </w:r>
      <w:r w:rsidRPr="004043F3">
        <w:rPr>
          <w:rFonts w:ascii="Gotham" w:hAnsi="Gotham" w:cs="Arial"/>
          <w:sz w:val="19"/>
          <w:szCs w:val="19"/>
        </w:rPr>
        <w:t>La dirección de Gestión Ambiental, Cambio Climático y Sustentabilidad o las dependencias estatales medioambientales según corresponda serán las únicas encargadas de dictaminar los impactos al medio ambiente en los casos que así lo ameriten; y</w:t>
      </w:r>
    </w:p>
    <w:p w14:paraId="3A4760A3" w14:textId="77777777" w:rsidR="009B5E39" w:rsidRPr="004043F3" w:rsidRDefault="009B5E39" w:rsidP="009B5E39">
      <w:pPr>
        <w:ind w:left="1134" w:right="283" w:hanging="850"/>
        <w:jc w:val="both"/>
        <w:rPr>
          <w:rFonts w:ascii="Gotham" w:hAnsi="Gotham" w:cs="Arial"/>
          <w:sz w:val="19"/>
          <w:szCs w:val="19"/>
        </w:rPr>
      </w:pPr>
      <w:r w:rsidRPr="004043F3">
        <w:rPr>
          <w:rFonts w:ascii="Gotham" w:hAnsi="Gotham" w:cs="Arial"/>
          <w:sz w:val="19"/>
          <w:szCs w:val="19"/>
        </w:rPr>
        <w:t xml:space="preserve">IV. </w:t>
      </w:r>
      <w:r>
        <w:rPr>
          <w:rFonts w:ascii="Gotham" w:hAnsi="Gotham" w:cs="Arial"/>
          <w:sz w:val="19"/>
          <w:szCs w:val="19"/>
        </w:rPr>
        <w:tab/>
      </w:r>
      <w:r w:rsidRPr="004043F3">
        <w:rPr>
          <w:rFonts w:ascii="Gotham" w:hAnsi="Gotham" w:cs="Arial"/>
          <w:sz w:val="19"/>
          <w:szCs w:val="19"/>
        </w:rPr>
        <w:t xml:space="preserve">Cuando se realicen conjuntos de vivienda </w:t>
      </w:r>
      <w:r w:rsidRPr="004043F3">
        <w:rPr>
          <w:rFonts w:ascii="Gotham" w:hAnsi="Gotham" w:cs="Arial"/>
          <w:color w:val="2E74B5" w:themeColor="accent1" w:themeShade="BF"/>
          <w:sz w:val="19"/>
          <w:szCs w:val="19"/>
        </w:rPr>
        <w:t xml:space="preserve">de cuatro </w:t>
      </w:r>
      <w:r w:rsidRPr="004043F3">
        <w:rPr>
          <w:rFonts w:ascii="Gotham" w:hAnsi="Gotham" w:cs="Arial"/>
          <w:sz w:val="19"/>
          <w:szCs w:val="19"/>
        </w:rPr>
        <w:t>niveles en adelante, deberán presentar el visto bueno por parte de la Dirección de Protección Civil Municipal, relativo al análisis de riesgos.</w:t>
      </w:r>
    </w:p>
    <w:p w14:paraId="3A4760A4" w14:textId="77777777" w:rsidR="009B5E39" w:rsidRDefault="009B5E39" w:rsidP="009B5E39">
      <w:pPr>
        <w:ind w:left="284" w:right="283"/>
        <w:jc w:val="both"/>
        <w:rPr>
          <w:rFonts w:ascii="Gotham" w:hAnsi="Gotham" w:cs="Arial"/>
          <w:b/>
          <w:sz w:val="19"/>
          <w:szCs w:val="19"/>
        </w:rPr>
      </w:pPr>
    </w:p>
    <w:p w14:paraId="3A4760A5"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24.</w:t>
      </w:r>
      <w:r w:rsidR="007C2F8D">
        <w:rPr>
          <w:rFonts w:ascii="Gotham" w:hAnsi="Gotham" w:cs="Arial"/>
          <w:sz w:val="19"/>
          <w:szCs w:val="19"/>
        </w:rPr>
        <w:t xml:space="preserve"> </w:t>
      </w:r>
      <w:r w:rsidRPr="004043F3">
        <w:rPr>
          <w:rFonts w:ascii="Gotham" w:hAnsi="Gotham" w:cs="Arial"/>
          <w:sz w:val="19"/>
          <w:szCs w:val="19"/>
        </w:rPr>
        <w:t>Para los predios que necesiten llevar a cabo obras de infraestructura que afecten propiedad privada o ACD, el desarrollador deberá presentar las anuencias de los propietarios de los predios afectados por dichas obras, mediante convenios o contratos notariados, acreditando las propiedades correspondientes.</w:t>
      </w:r>
    </w:p>
    <w:p w14:paraId="3A4760A6" w14:textId="77777777" w:rsidR="009B5E39" w:rsidRDefault="009B5E39" w:rsidP="009B5E39">
      <w:pPr>
        <w:ind w:left="284" w:right="283"/>
        <w:jc w:val="both"/>
        <w:rPr>
          <w:rFonts w:ascii="Gotham" w:hAnsi="Gotham" w:cs="Arial"/>
          <w:b/>
          <w:sz w:val="19"/>
          <w:szCs w:val="19"/>
        </w:rPr>
      </w:pPr>
    </w:p>
    <w:p w14:paraId="3A4760A7"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25.</w:t>
      </w:r>
      <w:r w:rsidRPr="004043F3">
        <w:rPr>
          <w:rFonts w:ascii="Gotham" w:hAnsi="Gotham" w:cs="Arial"/>
          <w:sz w:val="19"/>
          <w:szCs w:val="19"/>
        </w:rPr>
        <w:t xml:space="preserve"> La validación de los planos de usos y destinos/ lotificación para su consecución ante los organismos operadores, no implica la autorización definitiva; en caso de que se requieran ajustes técnicos complementarios por alguna de las partes, se deberán realizar las modificaciones correspondientes y presentarlas para su valoración.</w:t>
      </w:r>
    </w:p>
    <w:p w14:paraId="3A4760A8" w14:textId="77777777" w:rsidR="009B5E39" w:rsidRDefault="009B5E39" w:rsidP="009B5E39">
      <w:pPr>
        <w:ind w:left="284" w:right="283"/>
        <w:jc w:val="both"/>
        <w:rPr>
          <w:rFonts w:ascii="Gotham" w:hAnsi="Gotham" w:cs="Arial"/>
          <w:b/>
          <w:sz w:val="19"/>
          <w:szCs w:val="19"/>
        </w:rPr>
      </w:pPr>
    </w:p>
    <w:p w14:paraId="3A4760A9" w14:textId="77777777" w:rsidR="009B5E39" w:rsidRDefault="009B5E39" w:rsidP="009B5E39">
      <w:pPr>
        <w:ind w:left="284" w:right="283"/>
        <w:jc w:val="both"/>
        <w:rPr>
          <w:rFonts w:ascii="Gotham" w:hAnsi="Gotham" w:cs="Arial"/>
          <w:b/>
          <w:sz w:val="19"/>
          <w:szCs w:val="19"/>
        </w:rPr>
      </w:pPr>
    </w:p>
    <w:p w14:paraId="3A4760AA"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CAPÍTULO VI</w:t>
      </w:r>
    </w:p>
    <w:p w14:paraId="3A4760AB"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MOVILIDAD.</w:t>
      </w:r>
    </w:p>
    <w:p w14:paraId="3A4760AC" w14:textId="77777777" w:rsidR="009B5E39" w:rsidRDefault="009B5E39" w:rsidP="009B5E39">
      <w:pPr>
        <w:ind w:left="284" w:right="283"/>
        <w:jc w:val="both"/>
        <w:rPr>
          <w:rFonts w:ascii="Gotham" w:hAnsi="Gotham" w:cs="Arial"/>
          <w:b/>
          <w:sz w:val="19"/>
          <w:szCs w:val="19"/>
        </w:rPr>
      </w:pPr>
    </w:p>
    <w:p w14:paraId="3A4760AD"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26.</w:t>
      </w:r>
      <w:r w:rsidR="007C2F8D">
        <w:rPr>
          <w:rFonts w:ascii="Gotham" w:hAnsi="Gotham" w:cs="Arial"/>
          <w:sz w:val="19"/>
          <w:szCs w:val="19"/>
        </w:rPr>
        <w:t xml:space="preserve"> </w:t>
      </w:r>
      <w:r w:rsidRPr="004043F3">
        <w:rPr>
          <w:rFonts w:ascii="Gotham" w:hAnsi="Gotham" w:cs="Arial"/>
          <w:sz w:val="19"/>
          <w:szCs w:val="19"/>
        </w:rPr>
        <w:t xml:space="preserve">Las vialidades propuestas de nueva creación podrán rediseñarse conforme a las características geométricas de distribución vial, siempre y cuando respeten las dimensiones mínimas establecidas en el Reglamento Estatal de Zonificación, de manera que puedan permitir la holgura de </w:t>
      </w:r>
      <w:r w:rsidRPr="004043F3">
        <w:rPr>
          <w:rFonts w:ascii="Gotham" w:hAnsi="Gotham" w:cs="Arial"/>
          <w:sz w:val="19"/>
          <w:szCs w:val="19"/>
        </w:rPr>
        <w:lastRenderedPageBreak/>
        <w:t xml:space="preserve">banquetas, ciclovías y rutas pedestres según las necesidades del proyecto, debiendo respetar la cantidad y características de los carriles de circulación. </w:t>
      </w:r>
      <w:r w:rsidRPr="004043F3">
        <w:rPr>
          <w:rFonts w:ascii="Gotham" w:hAnsi="Gotham" w:cs="Arial"/>
          <w:color w:val="2E74B5" w:themeColor="accent1" w:themeShade="BF"/>
          <w:sz w:val="19"/>
          <w:szCs w:val="19"/>
        </w:rPr>
        <w:t xml:space="preserve">Ninguna banqueta podrá tener una dimensión menor a 1.20 metros libres. Todas las instalaciones de infraestructura y redes </w:t>
      </w:r>
      <w:proofErr w:type="gramStart"/>
      <w:r w:rsidRPr="004043F3">
        <w:rPr>
          <w:rFonts w:ascii="Gotham" w:hAnsi="Gotham" w:cs="Arial"/>
          <w:color w:val="2E74B5" w:themeColor="accent1" w:themeShade="BF"/>
          <w:sz w:val="19"/>
          <w:szCs w:val="19"/>
        </w:rPr>
        <w:t>deberá</w:t>
      </w:r>
      <w:proofErr w:type="gramEnd"/>
      <w:r w:rsidRPr="004043F3">
        <w:rPr>
          <w:rFonts w:ascii="Gotham" w:hAnsi="Gotham" w:cs="Arial"/>
          <w:color w:val="2E74B5" w:themeColor="accent1" w:themeShade="BF"/>
          <w:sz w:val="19"/>
          <w:szCs w:val="19"/>
        </w:rPr>
        <w:t xml:space="preserve"> ser subterránea. </w:t>
      </w:r>
    </w:p>
    <w:p w14:paraId="3A4760AE" w14:textId="77777777" w:rsidR="009B5E39" w:rsidRDefault="009B5E39" w:rsidP="009B5E39">
      <w:pPr>
        <w:ind w:left="284" w:right="283"/>
        <w:jc w:val="both"/>
        <w:rPr>
          <w:rFonts w:ascii="Gotham" w:hAnsi="Gotham" w:cs="Arial"/>
          <w:b/>
          <w:sz w:val="19"/>
          <w:szCs w:val="19"/>
        </w:rPr>
      </w:pPr>
    </w:p>
    <w:p w14:paraId="3A4760AF"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27.</w:t>
      </w:r>
      <w:r w:rsidRPr="004043F3">
        <w:rPr>
          <w:rFonts w:ascii="Gotham" w:hAnsi="Gotham" w:cs="Arial"/>
          <w:sz w:val="19"/>
          <w:szCs w:val="19"/>
        </w:rPr>
        <w:t xml:space="preserve"> Todos los desarrollos deberán complementar el Proyecto de Integración Urbana con un análisis de proximidad al sistema de transporte público.</w:t>
      </w:r>
    </w:p>
    <w:p w14:paraId="3A4760B0" w14:textId="77777777" w:rsidR="009B5E39" w:rsidRDefault="009B5E39" w:rsidP="009B5E39">
      <w:pPr>
        <w:ind w:left="284" w:right="283"/>
        <w:jc w:val="both"/>
        <w:rPr>
          <w:rFonts w:ascii="Gotham" w:hAnsi="Gotham" w:cs="Arial"/>
          <w:b/>
          <w:sz w:val="19"/>
          <w:szCs w:val="19"/>
        </w:rPr>
      </w:pPr>
    </w:p>
    <w:p w14:paraId="3A4760B1"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28.</w:t>
      </w:r>
      <w:r w:rsidR="007C2F8D">
        <w:rPr>
          <w:rFonts w:ascii="Gotham" w:hAnsi="Gotham" w:cs="Arial"/>
          <w:sz w:val="19"/>
          <w:szCs w:val="19"/>
        </w:rPr>
        <w:t xml:space="preserve"> </w:t>
      </w:r>
      <w:r w:rsidRPr="004043F3">
        <w:rPr>
          <w:rFonts w:ascii="Gotham" w:hAnsi="Gotham" w:cs="Arial"/>
          <w:sz w:val="19"/>
          <w:szCs w:val="19"/>
        </w:rPr>
        <w:t>En concordancia con lo anterior, se deberán identificar y comprometer las acciones necesarias para mejorar la accesibilidad del desarrollo al sistema de transporte público en los siguientes aspectos:</w:t>
      </w:r>
    </w:p>
    <w:p w14:paraId="3A4760B2" w14:textId="77777777" w:rsidR="009B5E39" w:rsidRDefault="009B5E39" w:rsidP="009B5E39">
      <w:pPr>
        <w:ind w:left="284" w:right="283"/>
        <w:jc w:val="both"/>
        <w:rPr>
          <w:rFonts w:ascii="Gotham" w:hAnsi="Gotham" w:cs="Arial"/>
          <w:sz w:val="19"/>
          <w:szCs w:val="19"/>
        </w:rPr>
      </w:pPr>
    </w:p>
    <w:p w14:paraId="3A4760B3"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 xml:space="preserve">Mejora o construcción de banquetas, incluyendo las que se encuentran fuera del desarrollo, </w:t>
      </w:r>
      <w:r w:rsidRPr="004043F3">
        <w:rPr>
          <w:rFonts w:ascii="Gotham" w:hAnsi="Gotham" w:cs="Arial"/>
          <w:color w:val="2E74B5" w:themeColor="accent1" w:themeShade="BF"/>
          <w:sz w:val="19"/>
          <w:szCs w:val="19"/>
        </w:rPr>
        <w:t xml:space="preserve">incluyendo las rampas para personas con discapacidad </w:t>
      </w:r>
    </w:p>
    <w:p w14:paraId="3A4760B4"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 </w:t>
      </w:r>
      <w:r>
        <w:rPr>
          <w:rFonts w:ascii="Gotham" w:hAnsi="Gotham" w:cs="Arial"/>
          <w:sz w:val="19"/>
          <w:szCs w:val="19"/>
        </w:rPr>
        <w:tab/>
      </w:r>
      <w:r w:rsidRPr="004043F3">
        <w:rPr>
          <w:rFonts w:ascii="Gotham" w:hAnsi="Gotham" w:cs="Arial"/>
          <w:sz w:val="19"/>
          <w:szCs w:val="19"/>
        </w:rPr>
        <w:t>Mejora o provisión del sistema de alumbrado público en las vialidades que conecten el acceso del desarrollo al servicio de transporte público; y</w:t>
      </w:r>
    </w:p>
    <w:p w14:paraId="3A4760B5" w14:textId="77777777" w:rsidR="009B5E39" w:rsidRPr="004043F3" w:rsidRDefault="009B5E39" w:rsidP="009B5E39">
      <w:pPr>
        <w:ind w:left="1134" w:right="283" w:hanging="850"/>
        <w:jc w:val="both"/>
        <w:rPr>
          <w:rFonts w:ascii="Gotham" w:hAnsi="Gotham" w:cs="Arial"/>
          <w:sz w:val="19"/>
          <w:szCs w:val="19"/>
        </w:rPr>
      </w:pPr>
      <w:r w:rsidRPr="004043F3">
        <w:rPr>
          <w:rFonts w:ascii="Gotham" w:hAnsi="Gotham" w:cs="Arial"/>
          <w:sz w:val="19"/>
          <w:szCs w:val="19"/>
        </w:rPr>
        <w:t xml:space="preserve">III. </w:t>
      </w:r>
      <w:r>
        <w:rPr>
          <w:rFonts w:ascii="Gotham" w:hAnsi="Gotham" w:cs="Arial"/>
          <w:sz w:val="19"/>
          <w:szCs w:val="19"/>
        </w:rPr>
        <w:tab/>
      </w:r>
      <w:r w:rsidRPr="004043F3">
        <w:rPr>
          <w:rFonts w:ascii="Gotham" w:hAnsi="Gotham" w:cs="Arial"/>
          <w:sz w:val="19"/>
          <w:szCs w:val="19"/>
        </w:rPr>
        <w:t>Mejora o provisión de paradas de autobús de acuerdo con proyecto autorizado por la autoridad competente.</w:t>
      </w:r>
    </w:p>
    <w:p w14:paraId="3A4760B6" w14:textId="77777777" w:rsidR="009B5E39" w:rsidRDefault="009B5E39" w:rsidP="009B5E39">
      <w:pPr>
        <w:ind w:left="284" w:right="283"/>
        <w:jc w:val="both"/>
        <w:rPr>
          <w:rFonts w:ascii="Gotham" w:hAnsi="Gotham" w:cs="Arial"/>
          <w:b/>
          <w:sz w:val="19"/>
          <w:szCs w:val="19"/>
        </w:rPr>
      </w:pPr>
    </w:p>
    <w:p w14:paraId="3A4760B7"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29.</w:t>
      </w:r>
      <w:r w:rsidRPr="004043F3">
        <w:rPr>
          <w:rFonts w:ascii="Gotham" w:hAnsi="Gotham" w:cs="Arial"/>
          <w:sz w:val="19"/>
          <w:szCs w:val="19"/>
        </w:rPr>
        <w:t xml:space="preserve"> Todos los desarrollos deberán presentar ante la Dirección de Movilidad Municipal el estudio que corresponda de acuerdo con la cantidad de viviendas y usos complementarios a desarrollar.</w:t>
      </w:r>
    </w:p>
    <w:p w14:paraId="3A4760B8" w14:textId="77777777" w:rsidR="009B5E39" w:rsidRDefault="009B5E39" w:rsidP="009B5E39">
      <w:pPr>
        <w:ind w:left="284" w:right="283"/>
        <w:jc w:val="both"/>
        <w:rPr>
          <w:rFonts w:ascii="Gotham" w:hAnsi="Gotham" w:cs="Arial"/>
          <w:b/>
          <w:sz w:val="19"/>
          <w:szCs w:val="19"/>
        </w:rPr>
      </w:pPr>
    </w:p>
    <w:p w14:paraId="3A4760B9"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30.</w:t>
      </w:r>
      <w:r w:rsidRPr="004043F3">
        <w:rPr>
          <w:rFonts w:ascii="Gotham" w:hAnsi="Gotham" w:cs="Arial"/>
          <w:sz w:val="19"/>
          <w:szCs w:val="19"/>
        </w:rPr>
        <w:t xml:space="preserve"> Para los predios que se encuentren fuera de los perímetros de contención urbana, o que no se encuentren ligados a vialidades existentes, será indispensable que el desarrollador realice las obras necesarias para garantizar las vialidades faltantes, presentando las anuencias de los propietarios de los predios afectados por dichas obras, mediante convenios o contratos notariados y acreditando las propiedades correspondientes. Dichas vialidades deberán cumplir con los derechos de vía y las características geométricas de acuerdo con su jerarquía.</w:t>
      </w:r>
    </w:p>
    <w:p w14:paraId="3A4760BA" w14:textId="77777777" w:rsidR="009B5E39" w:rsidRDefault="009B5E39" w:rsidP="009B5E39">
      <w:pPr>
        <w:ind w:left="284" w:right="283"/>
        <w:jc w:val="both"/>
        <w:rPr>
          <w:rFonts w:ascii="Gotham" w:hAnsi="Gotham" w:cs="Arial"/>
          <w:color w:val="2E74B5" w:themeColor="accent1" w:themeShade="BF"/>
          <w:sz w:val="19"/>
          <w:szCs w:val="19"/>
        </w:rPr>
      </w:pPr>
    </w:p>
    <w:p w14:paraId="3A4760BB" w14:textId="77777777" w:rsidR="009B5E39" w:rsidRPr="004043F3" w:rsidRDefault="009B5E39" w:rsidP="009B5E39">
      <w:pPr>
        <w:ind w:left="284" w:right="283"/>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t>En todos los casos, además de las obligaciones de equipamiento e infraestructura dentro del área de aplicación, los propietarios y/o promotores de la acción urbanística deberán ejecutar obras de urbanización para mejorar las condiciones actuales de las áreas contextuales del terreno, aun estando fuera de sus límites de propiedad, de manera que se incentive la correcta estructuración de la zona. El promotor deberá acompañar a su solicitud ante la Dirección de Planeación y Desarrollo Urbano un proyecto de mejoras al entorno con su debido presupuesto; el monto a ejecutar para este concepto deberá ser equivalente al 10% del costo total de las obras de urbanización (en caso de solamente ejecutar obras de edificación sin urbanización, el presupuesto será en función costo total de las obras de edificación) del desarrollo en promoción. Tanto la propuesta de las obras a ejecutar como el presupuesto de las mismas serán avalados por la Dirección de Desarrollo Urbano y la Dirección de Obras Públicas, respectivamente. El proyecto de mejoras al entorno será ejecutado por el promotor.</w:t>
      </w:r>
    </w:p>
    <w:p w14:paraId="3A4760BC" w14:textId="77777777" w:rsidR="009B5E39" w:rsidRDefault="009B5E39" w:rsidP="009B5E39">
      <w:pPr>
        <w:ind w:left="284" w:right="283"/>
        <w:jc w:val="both"/>
        <w:rPr>
          <w:rFonts w:ascii="Gotham" w:hAnsi="Gotham" w:cs="Arial"/>
          <w:b/>
          <w:sz w:val="19"/>
          <w:szCs w:val="19"/>
        </w:rPr>
      </w:pPr>
    </w:p>
    <w:p w14:paraId="3A4760BD" w14:textId="77777777" w:rsidR="009B5E39" w:rsidRDefault="009B5E39" w:rsidP="009B5E39">
      <w:pPr>
        <w:ind w:left="284" w:right="283"/>
        <w:jc w:val="both"/>
        <w:rPr>
          <w:rFonts w:ascii="Gotham" w:hAnsi="Gotham" w:cs="Arial"/>
          <w:b/>
          <w:sz w:val="19"/>
          <w:szCs w:val="19"/>
        </w:rPr>
      </w:pPr>
    </w:p>
    <w:p w14:paraId="3A4760BE"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CAPÍTULO VII</w:t>
      </w:r>
    </w:p>
    <w:p w14:paraId="3A4760BF"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CONVIVENCIA CONDOMINAL.</w:t>
      </w:r>
    </w:p>
    <w:p w14:paraId="3A4760C0" w14:textId="77777777" w:rsidR="009B5E39" w:rsidRDefault="009B5E39" w:rsidP="009B5E39">
      <w:pPr>
        <w:ind w:left="284" w:right="283"/>
        <w:jc w:val="both"/>
        <w:rPr>
          <w:rFonts w:ascii="Gotham" w:hAnsi="Gotham" w:cs="Arial"/>
          <w:b/>
          <w:color w:val="2E74B5" w:themeColor="accent1" w:themeShade="BF"/>
          <w:sz w:val="19"/>
          <w:szCs w:val="19"/>
        </w:rPr>
      </w:pPr>
    </w:p>
    <w:p w14:paraId="3A4760C1" w14:textId="77777777" w:rsidR="009B5E39" w:rsidRPr="004043F3" w:rsidRDefault="009B5E39" w:rsidP="009B5E39">
      <w:pPr>
        <w:ind w:left="284" w:right="283"/>
        <w:jc w:val="both"/>
        <w:rPr>
          <w:rFonts w:ascii="Gotham" w:hAnsi="Gotham" w:cs="Arial"/>
          <w:color w:val="2E74B5" w:themeColor="accent1" w:themeShade="BF"/>
          <w:sz w:val="19"/>
          <w:szCs w:val="19"/>
        </w:rPr>
      </w:pPr>
      <w:r w:rsidRPr="004043F3">
        <w:rPr>
          <w:rFonts w:ascii="Gotham" w:hAnsi="Gotham" w:cs="Arial"/>
          <w:b/>
          <w:color w:val="2E74B5" w:themeColor="accent1" w:themeShade="BF"/>
          <w:sz w:val="19"/>
          <w:szCs w:val="19"/>
        </w:rPr>
        <w:t>Artículo 31.</w:t>
      </w:r>
      <w:r w:rsidRPr="004043F3">
        <w:rPr>
          <w:rFonts w:ascii="Gotham" w:hAnsi="Gotham" w:cs="Arial"/>
          <w:color w:val="2E74B5" w:themeColor="accent1" w:themeShade="BF"/>
          <w:sz w:val="19"/>
          <w:szCs w:val="19"/>
        </w:rPr>
        <w:t xml:space="preserve"> Previo a la entrega-recepción de las obras de urbanización y/o habitabilidad se deberá constituir la Asociación Civil de Vecinos que tendrán el control de las áreas comunes, debiendo presentar </w:t>
      </w:r>
      <w:r w:rsidRPr="004043F3">
        <w:rPr>
          <w:rFonts w:ascii="Gotham" w:hAnsi="Gotham" w:cs="Arial"/>
          <w:sz w:val="19"/>
          <w:szCs w:val="19"/>
        </w:rPr>
        <w:t>la propuesta de reglamento para el régimen de condominio previo a la constitución de este, considerando lo contenido en el Código Civil para el Estado de Jalisco, debiendo contar por lo menos con los siguientes puntos:</w:t>
      </w:r>
      <w:r w:rsidR="007C2F8D">
        <w:rPr>
          <w:rFonts w:ascii="Gotham" w:hAnsi="Gotham" w:cs="Arial"/>
          <w:sz w:val="19"/>
          <w:szCs w:val="19"/>
        </w:rPr>
        <w:t xml:space="preserve"> </w:t>
      </w:r>
    </w:p>
    <w:p w14:paraId="3A4760C2" w14:textId="77777777" w:rsidR="009B5E39" w:rsidRDefault="009B5E39" w:rsidP="009B5E39">
      <w:pPr>
        <w:ind w:left="284" w:right="283"/>
        <w:jc w:val="both"/>
        <w:rPr>
          <w:rFonts w:ascii="Gotham" w:hAnsi="Gotham" w:cs="Arial"/>
          <w:color w:val="2E74B5" w:themeColor="accent1" w:themeShade="BF"/>
          <w:sz w:val="19"/>
          <w:szCs w:val="19"/>
        </w:rPr>
      </w:pPr>
    </w:p>
    <w:p w14:paraId="3A4760C3" w14:textId="77777777" w:rsidR="009B5E39" w:rsidRPr="004043F3" w:rsidRDefault="009B5E39" w:rsidP="009B5E39">
      <w:pPr>
        <w:spacing w:after="120"/>
        <w:ind w:left="1134" w:right="283" w:hanging="850"/>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t xml:space="preserve">I. </w:t>
      </w:r>
      <w:r>
        <w:rPr>
          <w:rFonts w:ascii="Gotham" w:hAnsi="Gotham" w:cs="Arial"/>
          <w:color w:val="2E74B5" w:themeColor="accent1" w:themeShade="BF"/>
          <w:sz w:val="19"/>
          <w:szCs w:val="19"/>
        </w:rPr>
        <w:tab/>
      </w:r>
      <w:r w:rsidRPr="004043F3">
        <w:rPr>
          <w:rFonts w:ascii="Gotham" w:hAnsi="Gotham" w:cs="Arial"/>
          <w:color w:val="2E74B5" w:themeColor="accent1" w:themeShade="BF"/>
          <w:sz w:val="19"/>
          <w:szCs w:val="19"/>
        </w:rPr>
        <w:t>Descripción de las unidades privativas, áreas comunes y áreas de uso exclusivo (en su caso) que conforman el régimen de condominio señalando los usos;</w:t>
      </w:r>
    </w:p>
    <w:p w14:paraId="3A4760C4" w14:textId="77777777" w:rsidR="009B5E39" w:rsidRPr="004043F3" w:rsidRDefault="009B5E39" w:rsidP="009B5E39">
      <w:pPr>
        <w:spacing w:after="120"/>
        <w:ind w:left="1134" w:right="283" w:hanging="850"/>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lastRenderedPageBreak/>
        <w:t xml:space="preserve">II. </w:t>
      </w:r>
      <w:r>
        <w:rPr>
          <w:rFonts w:ascii="Gotham" w:hAnsi="Gotham" w:cs="Arial"/>
          <w:color w:val="2E74B5" w:themeColor="accent1" w:themeShade="BF"/>
          <w:sz w:val="19"/>
          <w:szCs w:val="19"/>
        </w:rPr>
        <w:tab/>
      </w:r>
      <w:r w:rsidRPr="004043F3">
        <w:rPr>
          <w:rFonts w:ascii="Gotham" w:hAnsi="Gotham" w:cs="Arial"/>
          <w:color w:val="2E74B5" w:themeColor="accent1" w:themeShade="BF"/>
          <w:sz w:val="19"/>
          <w:szCs w:val="19"/>
        </w:rPr>
        <w:t>Derechos y obligaciones de los condóminos;</w:t>
      </w:r>
    </w:p>
    <w:p w14:paraId="3A4760C5" w14:textId="77777777" w:rsidR="009B5E39" w:rsidRPr="004043F3" w:rsidRDefault="009B5E39" w:rsidP="009B5E39">
      <w:pPr>
        <w:spacing w:after="120"/>
        <w:ind w:left="1134" w:right="283" w:hanging="850"/>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t xml:space="preserve">III. </w:t>
      </w:r>
      <w:r>
        <w:rPr>
          <w:rFonts w:ascii="Gotham" w:hAnsi="Gotham" w:cs="Arial"/>
          <w:color w:val="2E74B5" w:themeColor="accent1" w:themeShade="BF"/>
          <w:sz w:val="19"/>
          <w:szCs w:val="19"/>
        </w:rPr>
        <w:tab/>
      </w:r>
      <w:r w:rsidRPr="004043F3">
        <w:rPr>
          <w:rFonts w:ascii="Gotham" w:hAnsi="Gotham" w:cs="Arial"/>
          <w:color w:val="2E74B5" w:themeColor="accent1" w:themeShade="BF"/>
          <w:sz w:val="19"/>
          <w:szCs w:val="19"/>
        </w:rPr>
        <w:t xml:space="preserve">Criterios de imagen urbana; </w:t>
      </w:r>
    </w:p>
    <w:p w14:paraId="3A4760C6" w14:textId="77777777" w:rsidR="009B5E39" w:rsidRPr="004043F3" w:rsidRDefault="009B5E39" w:rsidP="009B5E39">
      <w:pPr>
        <w:spacing w:after="120"/>
        <w:ind w:left="1134" w:right="283" w:hanging="850"/>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t xml:space="preserve">IV. </w:t>
      </w:r>
      <w:r>
        <w:rPr>
          <w:rFonts w:ascii="Gotham" w:hAnsi="Gotham" w:cs="Arial"/>
          <w:color w:val="2E74B5" w:themeColor="accent1" w:themeShade="BF"/>
          <w:sz w:val="19"/>
          <w:szCs w:val="19"/>
        </w:rPr>
        <w:tab/>
      </w:r>
      <w:r w:rsidRPr="004043F3">
        <w:rPr>
          <w:rFonts w:ascii="Gotham" w:hAnsi="Gotham" w:cs="Arial"/>
          <w:color w:val="2E74B5" w:themeColor="accent1" w:themeShade="BF"/>
          <w:sz w:val="19"/>
          <w:szCs w:val="19"/>
        </w:rPr>
        <w:t>Regulación de las cuotas de mantenimiento; y</w:t>
      </w:r>
    </w:p>
    <w:p w14:paraId="3A4760C7" w14:textId="77777777" w:rsidR="009B5E39" w:rsidRPr="004043F3" w:rsidRDefault="009B5E39" w:rsidP="009B5E39">
      <w:pPr>
        <w:spacing w:after="120"/>
        <w:ind w:left="1134" w:right="283" w:hanging="850"/>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t xml:space="preserve">V. </w:t>
      </w:r>
      <w:r>
        <w:rPr>
          <w:rFonts w:ascii="Gotham" w:hAnsi="Gotham" w:cs="Arial"/>
          <w:color w:val="2E74B5" w:themeColor="accent1" w:themeShade="BF"/>
          <w:sz w:val="19"/>
          <w:szCs w:val="19"/>
        </w:rPr>
        <w:tab/>
      </w:r>
      <w:r w:rsidRPr="004043F3">
        <w:rPr>
          <w:rFonts w:ascii="Gotham" w:hAnsi="Gotham" w:cs="Arial"/>
          <w:color w:val="2E74B5" w:themeColor="accent1" w:themeShade="BF"/>
          <w:sz w:val="19"/>
          <w:szCs w:val="19"/>
        </w:rPr>
        <w:t>Sanciones a los condóminos y resolución de controversias.</w:t>
      </w:r>
    </w:p>
    <w:p w14:paraId="3A4760C8" w14:textId="77777777" w:rsidR="009B5E39" w:rsidRPr="004043F3" w:rsidRDefault="009B5E39" w:rsidP="009B5E39">
      <w:pPr>
        <w:ind w:left="1134" w:right="283" w:hanging="850"/>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t xml:space="preserve">VI. </w:t>
      </w:r>
      <w:r>
        <w:rPr>
          <w:rFonts w:ascii="Gotham" w:hAnsi="Gotham" w:cs="Arial"/>
          <w:color w:val="2E74B5" w:themeColor="accent1" w:themeShade="BF"/>
          <w:sz w:val="19"/>
          <w:szCs w:val="19"/>
        </w:rPr>
        <w:tab/>
      </w:r>
      <w:r w:rsidRPr="004043F3">
        <w:rPr>
          <w:rFonts w:ascii="Gotham" w:hAnsi="Gotham" w:cs="Arial"/>
          <w:color w:val="2E74B5" w:themeColor="accent1" w:themeShade="BF"/>
          <w:sz w:val="19"/>
          <w:szCs w:val="19"/>
        </w:rPr>
        <w:t>En su caso, haber realizado el contrato de comodato de las áreas de cesión para destinos y/o vialidades públicas de las que pretendan hacer uso exclusivo o se hubiese limitado su acceso de algún modo.</w:t>
      </w:r>
    </w:p>
    <w:p w14:paraId="3A4760C9" w14:textId="77777777" w:rsidR="009B5E39" w:rsidRDefault="009B5E39" w:rsidP="009B5E39">
      <w:pPr>
        <w:ind w:left="284" w:right="283"/>
        <w:jc w:val="both"/>
        <w:rPr>
          <w:rFonts w:ascii="Gotham" w:hAnsi="Gotham" w:cs="Arial"/>
          <w:b/>
          <w:sz w:val="19"/>
          <w:szCs w:val="19"/>
        </w:rPr>
      </w:pPr>
    </w:p>
    <w:p w14:paraId="3A4760CA"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32.</w:t>
      </w:r>
      <w:r w:rsidRPr="004043F3">
        <w:rPr>
          <w:rFonts w:ascii="Gotham" w:hAnsi="Gotham" w:cs="Arial"/>
          <w:sz w:val="19"/>
          <w:szCs w:val="19"/>
        </w:rPr>
        <w:t xml:space="preserve"> El desarrollador deberá apoyar a los condóminos en la conformación de la mesa directiva y hacer entrega del condominio a ésta mediante acto protocolizado; debiendo entregar copia de dicha acta a la Dirección.</w:t>
      </w:r>
    </w:p>
    <w:p w14:paraId="3A4760CB" w14:textId="77777777" w:rsidR="009B5E39" w:rsidRDefault="009B5E39" w:rsidP="009B5E39">
      <w:pPr>
        <w:ind w:left="284" w:right="283"/>
        <w:jc w:val="both"/>
        <w:rPr>
          <w:rFonts w:ascii="Gotham" w:hAnsi="Gotham" w:cs="Arial"/>
          <w:b/>
          <w:sz w:val="19"/>
          <w:szCs w:val="19"/>
        </w:rPr>
      </w:pPr>
    </w:p>
    <w:p w14:paraId="3A4760CC" w14:textId="77777777" w:rsidR="009B5E39" w:rsidRDefault="009B5E39" w:rsidP="009B5E39">
      <w:pPr>
        <w:ind w:left="284" w:right="283"/>
        <w:jc w:val="both"/>
        <w:rPr>
          <w:rFonts w:ascii="Gotham" w:hAnsi="Gotham" w:cs="Arial"/>
          <w:b/>
          <w:sz w:val="19"/>
          <w:szCs w:val="19"/>
        </w:rPr>
      </w:pPr>
    </w:p>
    <w:p w14:paraId="3A4760CD"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CAPÍTULO VIII</w:t>
      </w:r>
    </w:p>
    <w:p w14:paraId="3A4760CE"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ACCESIBILIDAD UNIVERSAL.</w:t>
      </w:r>
    </w:p>
    <w:p w14:paraId="3A4760CF" w14:textId="77777777" w:rsidR="009B5E39" w:rsidRDefault="009B5E39" w:rsidP="009B5E39">
      <w:pPr>
        <w:ind w:left="284" w:right="283"/>
        <w:jc w:val="center"/>
        <w:rPr>
          <w:rFonts w:ascii="Gotham" w:hAnsi="Gotham" w:cs="Arial"/>
          <w:b/>
          <w:sz w:val="19"/>
          <w:szCs w:val="19"/>
        </w:rPr>
      </w:pPr>
    </w:p>
    <w:p w14:paraId="3A4760D0"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33.</w:t>
      </w:r>
      <w:r w:rsidRPr="004043F3">
        <w:rPr>
          <w:rFonts w:ascii="Gotham" w:hAnsi="Gotham" w:cs="Arial"/>
          <w:sz w:val="19"/>
          <w:szCs w:val="19"/>
        </w:rPr>
        <w:t xml:space="preserve"> En todos los proyectos deberán contemplarse lo establecido por el Título Tercero del Reglamento Estatal de Zonificación de Jalisco "Normas para el libre acceso de personas con discapacidad".</w:t>
      </w:r>
    </w:p>
    <w:p w14:paraId="3A4760D1" w14:textId="77777777" w:rsidR="009B5E39" w:rsidRDefault="009B5E39" w:rsidP="009B5E39">
      <w:pPr>
        <w:ind w:left="284" w:right="283"/>
        <w:jc w:val="both"/>
        <w:rPr>
          <w:rFonts w:ascii="Gotham" w:hAnsi="Gotham" w:cs="Arial"/>
          <w:b/>
          <w:sz w:val="19"/>
          <w:szCs w:val="19"/>
        </w:rPr>
      </w:pPr>
    </w:p>
    <w:p w14:paraId="3A4760D2"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34.</w:t>
      </w:r>
      <w:r w:rsidRPr="004043F3">
        <w:rPr>
          <w:rFonts w:ascii="Gotham" w:hAnsi="Gotham" w:cs="Arial"/>
          <w:sz w:val="19"/>
          <w:szCs w:val="19"/>
        </w:rPr>
        <w:t xml:space="preserve"> En desarrollos que generen vialidades, se diseñará una ruta pedestre sobre las banquetas que permita el tránsito de personas con discapacidad motriz, visual y auditiva, adultos impulsando carriolas o sillas de ruedas y personas de la tercera edad utilizando andaderas, dicha ruta deberá contar con las siguientes disposiciones:</w:t>
      </w:r>
    </w:p>
    <w:p w14:paraId="3A4760D3" w14:textId="77777777" w:rsidR="009B5E39" w:rsidRDefault="009B5E39" w:rsidP="009B5E39">
      <w:pPr>
        <w:ind w:left="284" w:right="283"/>
        <w:jc w:val="both"/>
        <w:rPr>
          <w:rFonts w:ascii="Gotham" w:hAnsi="Gotham" w:cs="Arial"/>
          <w:sz w:val="19"/>
          <w:szCs w:val="19"/>
        </w:rPr>
      </w:pPr>
    </w:p>
    <w:p w14:paraId="3A4760D4"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La ruta pedestre será obligatoria en las banquetas que interconecten por lo menos el ingreso del desarrollo, las áreas de cesión para destinos, los comercios y servicios;</w:t>
      </w:r>
    </w:p>
    <w:p w14:paraId="3A4760D5"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 </w:t>
      </w:r>
      <w:r>
        <w:rPr>
          <w:rFonts w:ascii="Gotham" w:hAnsi="Gotham" w:cs="Arial"/>
          <w:sz w:val="19"/>
          <w:szCs w:val="19"/>
        </w:rPr>
        <w:tab/>
      </w:r>
      <w:r w:rsidRPr="004043F3">
        <w:rPr>
          <w:rFonts w:ascii="Gotham" w:hAnsi="Gotham" w:cs="Arial"/>
          <w:sz w:val="19"/>
          <w:szCs w:val="19"/>
        </w:rPr>
        <w:t>Caminamientos libres de obstáculos sobre la banqueta con un ancho mínimo de 1.20 metros;</w:t>
      </w:r>
    </w:p>
    <w:p w14:paraId="3A4760D6"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III. </w:t>
      </w:r>
      <w:r>
        <w:rPr>
          <w:rFonts w:ascii="Gotham" w:hAnsi="Gotham" w:cs="Arial"/>
          <w:sz w:val="19"/>
          <w:szCs w:val="19"/>
        </w:rPr>
        <w:tab/>
      </w:r>
      <w:r w:rsidRPr="004043F3">
        <w:rPr>
          <w:rFonts w:ascii="Gotham" w:hAnsi="Gotham" w:cs="Arial"/>
          <w:sz w:val="19"/>
          <w:szCs w:val="19"/>
        </w:rPr>
        <w:t>Pendiente máxima del 5%;</w:t>
      </w:r>
    </w:p>
    <w:p w14:paraId="3A4760D7"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IV. </w:t>
      </w:r>
      <w:r>
        <w:rPr>
          <w:rFonts w:ascii="Gotham" w:hAnsi="Gotham" w:cs="Arial"/>
          <w:sz w:val="19"/>
          <w:szCs w:val="19"/>
        </w:rPr>
        <w:tab/>
      </w:r>
      <w:r w:rsidRPr="004043F3">
        <w:rPr>
          <w:rFonts w:ascii="Gotham" w:hAnsi="Gotham" w:cs="Arial"/>
          <w:sz w:val="19"/>
          <w:szCs w:val="19"/>
        </w:rPr>
        <w:t>Contar con guías podotáctiles en la ruta;</w:t>
      </w:r>
    </w:p>
    <w:p w14:paraId="3A4760D8"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V. </w:t>
      </w:r>
      <w:r>
        <w:rPr>
          <w:rFonts w:ascii="Gotham" w:hAnsi="Gotham" w:cs="Arial"/>
          <w:sz w:val="19"/>
          <w:szCs w:val="19"/>
        </w:rPr>
        <w:tab/>
      </w:r>
      <w:r w:rsidRPr="004043F3">
        <w:rPr>
          <w:rFonts w:ascii="Gotham" w:hAnsi="Gotham" w:cs="Arial"/>
          <w:sz w:val="19"/>
          <w:szCs w:val="19"/>
        </w:rPr>
        <w:t>No se permitirán adoquines, concretos o baldosas con texturas abruptas que se confundan con las guías podotáctiles; y</w:t>
      </w:r>
    </w:p>
    <w:p w14:paraId="3A4760D9" w14:textId="77777777" w:rsidR="009B5E39" w:rsidRPr="004043F3" w:rsidRDefault="009B5E39" w:rsidP="009B5E39">
      <w:pPr>
        <w:ind w:left="1134" w:right="283" w:hanging="850"/>
        <w:jc w:val="both"/>
        <w:rPr>
          <w:rFonts w:ascii="Gotham" w:hAnsi="Gotham" w:cs="Arial"/>
          <w:sz w:val="19"/>
          <w:szCs w:val="19"/>
        </w:rPr>
      </w:pPr>
      <w:r w:rsidRPr="004043F3">
        <w:rPr>
          <w:rFonts w:ascii="Gotham" w:hAnsi="Gotham" w:cs="Arial"/>
          <w:sz w:val="19"/>
          <w:szCs w:val="19"/>
        </w:rPr>
        <w:t xml:space="preserve">VI. </w:t>
      </w:r>
      <w:r>
        <w:rPr>
          <w:rFonts w:ascii="Gotham" w:hAnsi="Gotham" w:cs="Arial"/>
          <w:sz w:val="19"/>
          <w:szCs w:val="19"/>
        </w:rPr>
        <w:tab/>
      </w:r>
      <w:r w:rsidRPr="004043F3">
        <w:rPr>
          <w:rFonts w:ascii="Gotham" w:hAnsi="Gotham" w:cs="Arial"/>
          <w:sz w:val="19"/>
          <w:szCs w:val="19"/>
        </w:rPr>
        <w:t>En cruceros semaforizados se deberá contar con auxiliares auditivos para el uso de las personas con discapacidad visual; la orientación y la separación de las rejillas o bocas de tormenta no permitirán que se atasquen las ruedas de las carriolas o sillas.</w:t>
      </w:r>
    </w:p>
    <w:p w14:paraId="3A4760DA" w14:textId="77777777" w:rsidR="009B5E39" w:rsidRDefault="009B5E39" w:rsidP="009B5E39">
      <w:pPr>
        <w:ind w:left="284" w:right="283"/>
        <w:jc w:val="both"/>
        <w:rPr>
          <w:rFonts w:ascii="Gotham" w:hAnsi="Gotham" w:cs="Arial"/>
          <w:b/>
          <w:sz w:val="19"/>
          <w:szCs w:val="19"/>
        </w:rPr>
      </w:pPr>
    </w:p>
    <w:p w14:paraId="3A4760DB"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35.</w:t>
      </w:r>
      <w:r w:rsidRPr="004043F3">
        <w:rPr>
          <w:rFonts w:ascii="Gotham" w:hAnsi="Gotham" w:cs="Arial"/>
          <w:sz w:val="19"/>
          <w:szCs w:val="19"/>
        </w:rPr>
        <w:t xml:space="preserve"> Las rampas de acceso vehicular a las viviendas no podrán ocupar la banqueta.</w:t>
      </w:r>
    </w:p>
    <w:p w14:paraId="3A4760DC" w14:textId="77777777" w:rsidR="009B5E39" w:rsidRDefault="009B5E39" w:rsidP="009B5E39">
      <w:pPr>
        <w:ind w:left="284" w:right="283"/>
        <w:jc w:val="both"/>
        <w:rPr>
          <w:rFonts w:ascii="Gotham" w:hAnsi="Gotham" w:cs="Arial"/>
          <w:b/>
          <w:color w:val="9CC2E5" w:themeColor="accent1" w:themeTint="99"/>
          <w:sz w:val="19"/>
          <w:szCs w:val="19"/>
        </w:rPr>
      </w:pPr>
    </w:p>
    <w:p w14:paraId="3A4760DD" w14:textId="77777777" w:rsidR="009B5E39" w:rsidRPr="004043F3" w:rsidRDefault="009B5E39" w:rsidP="009B5E39">
      <w:pPr>
        <w:ind w:left="284" w:right="283"/>
        <w:jc w:val="both"/>
        <w:rPr>
          <w:rFonts w:ascii="Gotham" w:hAnsi="Gotham" w:cs="Arial"/>
          <w:b/>
          <w:color w:val="9CC2E5" w:themeColor="accent1" w:themeTint="99"/>
          <w:sz w:val="19"/>
          <w:szCs w:val="19"/>
        </w:rPr>
      </w:pPr>
    </w:p>
    <w:p w14:paraId="3A4760DE" w14:textId="77777777" w:rsidR="009B5E39" w:rsidRPr="004043F3" w:rsidRDefault="009B5E39" w:rsidP="009B5E39">
      <w:pPr>
        <w:ind w:left="284" w:right="283"/>
        <w:jc w:val="center"/>
        <w:rPr>
          <w:rFonts w:ascii="Gotham" w:hAnsi="Gotham" w:cs="Arial"/>
          <w:b/>
          <w:color w:val="2E74B5" w:themeColor="accent1" w:themeShade="BF"/>
          <w:sz w:val="19"/>
          <w:szCs w:val="19"/>
        </w:rPr>
      </w:pPr>
      <w:r w:rsidRPr="004043F3">
        <w:rPr>
          <w:rFonts w:ascii="Gotham" w:hAnsi="Gotham" w:cs="Arial"/>
          <w:b/>
          <w:color w:val="2E74B5" w:themeColor="accent1" w:themeShade="BF"/>
          <w:sz w:val="19"/>
          <w:szCs w:val="19"/>
        </w:rPr>
        <w:t>CAPÍTULO IX</w:t>
      </w:r>
    </w:p>
    <w:p w14:paraId="3A4760DF" w14:textId="77777777" w:rsidR="009B5E39" w:rsidRPr="004043F3" w:rsidRDefault="009B5E39" w:rsidP="009B5E39">
      <w:pPr>
        <w:ind w:left="284" w:right="283"/>
        <w:jc w:val="center"/>
        <w:rPr>
          <w:rFonts w:ascii="Gotham" w:hAnsi="Gotham" w:cs="Arial"/>
          <w:b/>
          <w:color w:val="2E74B5" w:themeColor="accent1" w:themeShade="BF"/>
          <w:sz w:val="19"/>
          <w:szCs w:val="19"/>
        </w:rPr>
      </w:pPr>
      <w:r w:rsidRPr="004043F3">
        <w:rPr>
          <w:rFonts w:ascii="Gotham" w:hAnsi="Gotham" w:cs="Arial"/>
          <w:b/>
          <w:color w:val="2E74B5" w:themeColor="accent1" w:themeShade="BF"/>
          <w:sz w:val="19"/>
          <w:szCs w:val="19"/>
        </w:rPr>
        <w:t>DE LA VIABILIDAD DEL PROYECTO</w:t>
      </w:r>
    </w:p>
    <w:p w14:paraId="3A4760E0" w14:textId="77777777" w:rsidR="009B5E39" w:rsidRDefault="009B5E39" w:rsidP="009B5E39">
      <w:pPr>
        <w:pStyle w:val="Default"/>
        <w:ind w:left="284" w:right="283"/>
        <w:jc w:val="both"/>
        <w:rPr>
          <w:rFonts w:ascii="Gotham" w:hAnsi="Gotham"/>
          <w:b/>
          <w:color w:val="2E74B5" w:themeColor="accent1" w:themeShade="BF"/>
          <w:sz w:val="19"/>
          <w:szCs w:val="19"/>
        </w:rPr>
      </w:pPr>
    </w:p>
    <w:p w14:paraId="3A4760E1" w14:textId="77777777" w:rsidR="009B5E39" w:rsidRPr="004043F3" w:rsidRDefault="009B5E39" w:rsidP="009B5E39">
      <w:pPr>
        <w:pStyle w:val="Default"/>
        <w:ind w:left="284" w:right="283"/>
        <w:jc w:val="both"/>
        <w:rPr>
          <w:rFonts w:ascii="Gotham" w:hAnsi="Gotham"/>
          <w:color w:val="2E74B5" w:themeColor="accent1" w:themeShade="BF"/>
          <w:sz w:val="19"/>
          <w:szCs w:val="19"/>
        </w:rPr>
      </w:pPr>
      <w:r w:rsidRPr="004043F3">
        <w:rPr>
          <w:rFonts w:ascii="Gotham" w:hAnsi="Gotham"/>
          <w:b/>
          <w:color w:val="2E74B5" w:themeColor="accent1" w:themeShade="BF"/>
          <w:sz w:val="19"/>
          <w:szCs w:val="19"/>
        </w:rPr>
        <w:t xml:space="preserve">Artículo 36. </w:t>
      </w:r>
      <w:r w:rsidRPr="004043F3">
        <w:rPr>
          <w:rFonts w:ascii="Gotham" w:hAnsi="Gotham"/>
          <w:color w:val="2E74B5" w:themeColor="accent1" w:themeShade="BF"/>
          <w:sz w:val="19"/>
          <w:szCs w:val="19"/>
        </w:rPr>
        <w:t>Para determinar la viabilidad del proyecto</w:t>
      </w:r>
      <w:r w:rsidR="007C2F8D">
        <w:rPr>
          <w:rFonts w:ascii="Gotham" w:hAnsi="Gotham"/>
          <w:b/>
          <w:color w:val="2E74B5" w:themeColor="accent1" w:themeShade="BF"/>
          <w:sz w:val="19"/>
          <w:szCs w:val="19"/>
        </w:rPr>
        <w:t xml:space="preserve"> </w:t>
      </w:r>
      <w:r w:rsidRPr="004043F3">
        <w:rPr>
          <w:rFonts w:ascii="Gotham" w:hAnsi="Gotham"/>
          <w:color w:val="2E74B5" w:themeColor="accent1" w:themeShade="BF"/>
          <w:sz w:val="19"/>
          <w:szCs w:val="19"/>
        </w:rPr>
        <w:t>se deberá presentar un estudio el cual deberá de contener lo siguiente:</w:t>
      </w:r>
    </w:p>
    <w:p w14:paraId="3A4760E2" w14:textId="77777777" w:rsidR="009B5E39" w:rsidRPr="004043F3" w:rsidRDefault="009B5E39" w:rsidP="009B5E39">
      <w:pPr>
        <w:pStyle w:val="Default"/>
        <w:ind w:left="284" w:right="283"/>
        <w:jc w:val="both"/>
        <w:rPr>
          <w:rFonts w:ascii="Gotham" w:hAnsi="Gotham"/>
          <w:color w:val="2E74B5" w:themeColor="accent1" w:themeShade="BF"/>
          <w:sz w:val="19"/>
          <w:szCs w:val="19"/>
        </w:rPr>
      </w:pPr>
    </w:p>
    <w:p w14:paraId="3A4760E3"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Datos generales del:</w:t>
      </w:r>
    </w:p>
    <w:p w14:paraId="3A4760E4"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a)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Titular o promovente; y</w:t>
      </w:r>
    </w:p>
    <w:p w14:paraId="3A4760E5"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b)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De los responsables del estudio;</w:t>
      </w:r>
    </w:p>
    <w:p w14:paraId="3A4760E6"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lastRenderedPageBreak/>
        <w:t xml:space="preserve">II.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El registro de Director Responsable de Proyecto de Obras de Urbanización o Edificación;</w:t>
      </w:r>
    </w:p>
    <w:p w14:paraId="3A4760E7"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III.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El documento en el que se acredite la propiedad del predio; y el documento con el que se acredite la personalidad jurídica del titular y promovente;</w:t>
      </w:r>
    </w:p>
    <w:p w14:paraId="3A4760E8"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IV.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El Dictamen de Trazo Usos y Destinos Específicos;</w:t>
      </w:r>
    </w:p>
    <w:p w14:paraId="3A4760E9"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V.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La delimitación del área de estudio en un plano de ubicación que lo sitúe dentro del sistema vial primario;</w:t>
      </w:r>
    </w:p>
    <w:p w14:paraId="3A4760EA"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VI.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La delimitación del área de aplicación;</w:t>
      </w:r>
    </w:p>
    <w:p w14:paraId="3A4760EB"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VII.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El Proyecto conceptual y memoria descriptiva, que incluirá:</w:t>
      </w:r>
    </w:p>
    <w:p w14:paraId="3A4760EC"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a)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Nombre especifico del proyecto;</w:t>
      </w:r>
    </w:p>
    <w:p w14:paraId="3A4760ED"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b)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Tipo de modalidad solicitada;</w:t>
      </w:r>
    </w:p>
    <w:p w14:paraId="3A4760EE"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c)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Memoria descriptiva de las características generales del proyecto conceptual, que incluya cuadro de áreas que especifique las superficies por cada uno de los usos propuestos, número de unidades, niveles y cajones de estacionamiento, COS y CUS propuesto; y</w:t>
      </w:r>
    </w:p>
    <w:p w14:paraId="3A4760EF"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d)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Descripción de los criterios de redes de agua potable, sanitaria, pluvial, eléctrica y alumbrado público;</w:t>
      </w:r>
    </w:p>
    <w:p w14:paraId="3A4760F0"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VIII.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El inventario de equipamiento urbano existente (</w:t>
      </w:r>
      <w:proofErr w:type="spellStart"/>
      <w:r w:rsidRPr="004043F3">
        <w:rPr>
          <w:rFonts w:ascii="Gotham" w:hAnsi="Gotham"/>
          <w:color w:val="2E74B5" w:themeColor="accent1" w:themeShade="BF"/>
          <w:sz w:val="19"/>
          <w:szCs w:val="19"/>
        </w:rPr>
        <w:t>publico</w:t>
      </w:r>
      <w:proofErr w:type="spellEnd"/>
      <w:r w:rsidRPr="004043F3">
        <w:rPr>
          <w:rFonts w:ascii="Gotham" w:hAnsi="Gotham"/>
          <w:color w:val="2E74B5" w:themeColor="accent1" w:themeShade="BF"/>
          <w:sz w:val="19"/>
          <w:szCs w:val="19"/>
        </w:rPr>
        <w:t xml:space="preserve"> o privado) de los siguientes sistemas:</w:t>
      </w:r>
    </w:p>
    <w:p w14:paraId="3A4760F1"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a)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Educación;</w:t>
      </w:r>
    </w:p>
    <w:p w14:paraId="3A4760F2"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b)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Salud; y</w:t>
      </w:r>
    </w:p>
    <w:p w14:paraId="3A4760F3"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c)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Espacios verdes abiertos y recreativos;</w:t>
      </w:r>
    </w:p>
    <w:p w14:paraId="3A4760F4"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IX.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 xml:space="preserve">Medio físico transformado del área de estudio: </w:t>
      </w:r>
    </w:p>
    <w:p w14:paraId="3A4760F5"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a)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Estructura urbana;</w:t>
      </w:r>
    </w:p>
    <w:p w14:paraId="3A4760F6"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b)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Vialidad;</w:t>
      </w:r>
    </w:p>
    <w:p w14:paraId="3A4760F7"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c)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Usos del suelo; y</w:t>
      </w:r>
    </w:p>
    <w:p w14:paraId="3A4760F8"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d)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Densidad;</w:t>
      </w:r>
    </w:p>
    <w:p w14:paraId="3A4760F9"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X.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Conclusiones;</w:t>
      </w:r>
    </w:p>
    <w:p w14:paraId="3A4760FA"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XI.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Anexos;</w:t>
      </w:r>
    </w:p>
    <w:p w14:paraId="3A4760FB"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a)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Viabilidades por los servicios que requiere el proyecto, abasto de agua, disposición de agua residual y pluvial, energía eléctrica; y</w:t>
      </w:r>
    </w:p>
    <w:p w14:paraId="3A4760FC" w14:textId="77777777" w:rsidR="009B5E39" w:rsidRPr="004043F3" w:rsidRDefault="009B5E39" w:rsidP="009B5E39">
      <w:pPr>
        <w:pStyle w:val="Default"/>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b)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En su caso el Estudio de Impacto al Transito o de ingresos y salida; y</w:t>
      </w:r>
    </w:p>
    <w:p w14:paraId="3A4760FD" w14:textId="77777777" w:rsidR="009B5E39" w:rsidRPr="004043F3" w:rsidRDefault="009B5E39" w:rsidP="009B5E39">
      <w:pPr>
        <w:pStyle w:val="Default"/>
        <w:ind w:left="284" w:right="283"/>
        <w:jc w:val="both"/>
        <w:rPr>
          <w:rFonts w:ascii="Gotham" w:hAnsi="Gotham"/>
          <w:color w:val="9CC2E5" w:themeColor="accent1" w:themeTint="99"/>
          <w:sz w:val="19"/>
          <w:szCs w:val="19"/>
        </w:rPr>
      </w:pPr>
    </w:p>
    <w:p w14:paraId="3A4760FE" w14:textId="77777777" w:rsidR="009B5E39" w:rsidRPr="004043F3" w:rsidRDefault="009B5E39" w:rsidP="009B5E39">
      <w:pPr>
        <w:ind w:left="284" w:right="283"/>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t>La Dirección en un plazo no mayor a cinco días hábiles siguiente a la recepción del estudio resolverá sobre su admisión, misma que establecerá los derechos correspondientes a la revisión del estudio, conforme a la Ley de Ingresos del Municipio.</w:t>
      </w:r>
    </w:p>
    <w:p w14:paraId="3A4760FF" w14:textId="77777777" w:rsidR="009B5E39" w:rsidRDefault="009B5E39" w:rsidP="009B5E39">
      <w:pPr>
        <w:tabs>
          <w:tab w:val="left" w:pos="10452"/>
        </w:tabs>
        <w:ind w:left="284" w:right="283"/>
        <w:jc w:val="both"/>
        <w:rPr>
          <w:rFonts w:ascii="Gotham" w:hAnsi="Gotham" w:cs="Arial"/>
          <w:color w:val="2E74B5" w:themeColor="accent1" w:themeShade="BF"/>
          <w:sz w:val="19"/>
          <w:szCs w:val="19"/>
        </w:rPr>
      </w:pPr>
    </w:p>
    <w:p w14:paraId="3A476100" w14:textId="77777777" w:rsidR="009B5E39" w:rsidRPr="004043F3" w:rsidRDefault="009B5E39" w:rsidP="009B5E39">
      <w:pPr>
        <w:tabs>
          <w:tab w:val="left" w:pos="10452"/>
        </w:tabs>
        <w:ind w:left="284" w:right="283"/>
        <w:jc w:val="both"/>
        <w:rPr>
          <w:rFonts w:ascii="Gotham" w:hAnsi="Gotham" w:cs="Arial"/>
          <w:color w:val="2E74B5" w:themeColor="accent1" w:themeShade="BF"/>
          <w:sz w:val="19"/>
          <w:szCs w:val="19"/>
        </w:rPr>
      </w:pPr>
      <w:r w:rsidRPr="004043F3">
        <w:rPr>
          <w:rFonts w:ascii="Gotham" w:hAnsi="Gotham" w:cs="Arial"/>
          <w:color w:val="2E74B5" w:themeColor="accent1" w:themeShade="BF"/>
          <w:sz w:val="19"/>
          <w:szCs w:val="19"/>
        </w:rPr>
        <w:t>Presentar el Proyecto Definitivo de Urbanización para cualquier acción urbanística, conforme lo establece el Artículo 257, Título Noveno del Código Urbano para el Estado de Jalisco, el cual deberá ser elaborado y presentado por un director responsable, registrado y vigente ante esta Dirección.</w:t>
      </w:r>
    </w:p>
    <w:p w14:paraId="3A476101" w14:textId="77777777" w:rsidR="009B5E39" w:rsidRPr="004043F3" w:rsidRDefault="009B5E39" w:rsidP="009B5E39">
      <w:pPr>
        <w:pStyle w:val="Default"/>
        <w:ind w:left="284" w:right="283"/>
        <w:jc w:val="both"/>
        <w:rPr>
          <w:rFonts w:ascii="Gotham" w:hAnsi="Gotham"/>
          <w:b/>
          <w:bCs/>
          <w:sz w:val="19"/>
          <w:szCs w:val="19"/>
        </w:rPr>
      </w:pPr>
    </w:p>
    <w:p w14:paraId="3A476102" w14:textId="77777777" w:rsidR="009B5E39" w:rsidRPr="004043F3" w:rsidRDefault="009B5E39" w:rsidP="009B5E39">
      <w:pPr>
        <w:pStyle w:val="Default"/>
        <w:ind w:left="284" w:right="283"/>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Artículo 37. </w:t>
      </w:r>
      <w:r w:rsidRPr="004043F3">
        <w:rPr>
          <w:rFonts w:ascii="Gotham" w:hAnsi="Gotham"/>
          <w:color w:val="2E74B5" w:themeColor="accent1" w:themeShade="BF"/>
          <w:sz w:val="19"/>
          <w:szCs w:val="19"/>
        </w:rPr>
        <w:t>La Dirección emitirá la resolución correspondiente de manera fundada y motivada en un plazo no mayor a veinte días hábiles, conforme a los siguientes supuestos:</w:t>
      </w:r>
    </w:p>
    <w:p w14:paraId="3A476103" w14:textId="77777777" w:rsidR="009B5E39" w:rsidRDefault="009B5E39" w:rsidP="009B5E39">
      <w:pPr>
        <w:pStyle w:val="Default"/>
        <w:ind w:left="284" w:right="283"/>
        <w:jc w:val="both"/>
        <w:rPr>
          <w:rFonts w:ascii="Gotham" w:hAnsi="Gotham"/>
          <w:b/>
          <w:bCs/>
          <w:color w:val="2E74B5" w:themeColor="accent1" w:themeShade="BF"/>
          <w:sz w:val="19"/>
          <w:szCs w:val="19"/>
        </w:rPr>
      </w:pPr>
    </w:p>
    <w:p w14:paraId="3A476104"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La procedencia del proyecto u obra de que se trate en los términos presentados;</w:t>
      </w:r>
    </w:p>
    <w:p w14:paraId="3A476105"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II.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La procedencia condicionada, deberá expresar de manera clara los términos que tendrán que cumplirse para autorizar el proyecto u obra de que se trate, en particular aquellos que aseguren que los impactos negativos se impidan, mitiguen o compensen;</w:t>
      </w:r>
    </w:p>
    <w:p w14:paraId="3A476106" w14:textId="77777777" w:rsidR="009B5E39" w:rsidRPr="004043F3" w:rsidRDefault="009B5E39" w:rsidP="009B5E39">
      <w:pPr>
        <w:pStyle w:val="Default"/>
        <w:spacing w:after="120"/>
        <w:ind w:left="1134" w:right="283" w:hanging="850"/>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III.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La improcedencia de la obra o proyecto será emitida cuando concurran uno o más de los siguientes supuestos:</w:t>
      </w:r>
    </w:p>
    <w:p w14:paraId="3A476107" w14:textId="77777777" w:rsidR="009B5E39" w:rsidRPr="004043F3" w:rsidRDefault="009B5E39" w:rsidP="009B5E39">
      <w:pPr>
        <w:pStyle w:val="Default"/>
        <w:spacing w:after="120"/>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a)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Los impactos o efectos negativos, no puedan ser atenuados a través de las medidas de mitigación y compensación propuesta; y</w:t>
      </w:r>
    </w:p>
    <w:p w14:paraId="3A476108" w14:textId="77777777" w:rsidR="009B5E39" w:rsidRPr="004043F3" w:rsidRDefault="009B5E39" w:rsidP="009B5E39">
      <w:pPr>
        <w:pStyle w:val="Default"/>
        <w:ind w:left="1701" w:right="283" w:hanging="567"/>
        <w:jc w:val="both"/>
        <w:rPr>
          <w:rFonts w:ascii="Gotham" w:hAnsi="Gotham"/>
          <w:color w:val="2E74B5" w:themeColor="accent1" w:themeShade="BF"/>
          <w:sz w:val="19"/>
          <w:szCs w:val="19"/>
        </w:rPr>
      </w:pPr>
      <w:r w:rsidRPr="004043F3">
        <w:rPr>
          <w:rFonts w:ascii="Gotham" w:hAnsi="Gotham"/>
          <w:b/>
          <w:bCs/>
          <w:color w:val="2E74B5" w:themeColor="accent1" w:themeShade="BF"/>
          <w:sz w:val="19"/>
          <w:szCs w:val="19"/>
        </w:rPr>
        <w:t xml:space="preserve">b) </w:t>
      </w:r>
      <w:r>
        <w:rPr>
          <w:rFonts w:ascii="Gotham" w:hAnsi="Gotham"/>
          <w:b/>
          <w:bCs/>
          <w:color w:val="2E74B5" w:themeColor="accent1" w:themeShade="BF"/>
          <w:sz w:val="19"/>
          <w:szCs w:val="19"/>
        </w:rPr>
        <w:tab/>
      </w:r>
      <w:r w:rsidRPr="004043F3">
        <w:rPr>
          <w:rFonts w:ascii="Gotham" w:hAnsi="Gotham"/>
          <w:color w:val="2E74B5" w:themeColor="accent1" w:themeShade="BF"/>
          <w:sz w:val="19"/>
          <w:szCs w:val="19"/>
        </w:rPr>
        <w:t>Se genere impacto negativo irreversible o irrecuperable al espacio público o privado, estructura vial, hidráulica, sanitaria, eléctrica, social y económica.</w:t>
      </w:r>
    </w:p>
    <w:p w14:paraId="3A476109" w14:textId="77777777" w:rsidR="009B5E39" w:rsidRPr="004043F3" w:rsidRDefault="009B5E39" w:rsidP="009B5E39">
      <w:pPr>
        <w:pStyle w:val="Default"/>
        <w:ind w:left="284" w:right="283"/>
        <w:jc w:val="both"/>
        <w:rPr>
          <w:rFonts w:ascii="Gotham" w:hAnsi="Gotham"/>
          <w:color w:val="2E74B5" w:themeColor="accent1" w:themeShade="BF"/>
          <w:sz w:val="19"/>
          <w:szCs w:val="19"/>
        </w:rPr>
      </w:pPr>
    </w:p>
    <w:p w14:paraId="3A47610A" w14:textId="77777777" w:rsidR="009B5E39" w:rsidRPr="004043F3" w:rsidRDefault="009B5E39" w:rsidP="009B5E39">
      <w:pPr>
        <w:ind w:left="284" w:right="283"/>
        <w:jc w:val="both"/>
        <w:rPr>
          <w:rFonts w:ascii="Gotham" w:hAnsi="Gotham" w:cs="Arial"/>
          <w:color w:val="2E74B5" w:themeColor="accent1" w:themeShade="BF"/>
          <w:sz w:val="19"/>
          <w:szCs w:val="19"/>
        </w:rPr>
      </w:pPr>
      <w:r w:rsidRPr="004043F3">
        <w:rPr>
          <w:rFonts w:ascii="Gotham" w:hAnsi="Gotham" w:cs="Arial"/>
          <w:b/>
          <w:bCs/>
          <w:color w:val="2E74B5" w:themeColor="accent1" w:themeShade="BF"/>
          <w:sz w:val="19"/>
          <w:szCs w:val="19"/>
        </w:rPr>
        <w:t xml:space="preserve">Artículo 38. </w:t>
      </w:r>
      <w:r w:rsidRPr="004043F3">
        <w:rPr>
          <w:rFonts w:ascii="Gotham" w:hAnsi="Gotham" w:cs="Arial"/>
          <w:color w:val="2E74B5" w:themeColor="accent1" w:themeShade="BF"/>
          <w:sz w:val="19"/>
          <w:szCs w:val="19"/>
        </w:rPr>
        <w:t>El interesado deberá aceptar y garantizar las obligaciones que deriven de la resolución de la Evaluación del Estudio que expida el Municipio a través de la Dirección, conforme a lo dispuesto en este Reglamento.</w:t>
      </w:r>
    </w:p>
    <w:p w14:paraId="3A47610B" w14:textId="77777777" w:rsidR="009B5E39" w:rsidRDefault="009B5E39" w:rsidP="009B5E39">
      <w:pPr>
        <w:ind w:left="284" w:right="283"/>
        <w:jc w:val="both"/>
        <w:rPr>
          <w:rFonts w:ascii="Gotham" w:hAnsi="Gotham" w:cs="Arial"/>
          <w:b/>
          <w:sz w:val="19"/>
          <w:szCs w:val="19"/>
        </w:rPr>
      </w:pPr>
    </w:p>
    <w:p w14:paraId="3A47610C" w14:textId="77777777" w:rsidR="009B5E39" w:rsidRDefault="009B5E39" w:rsidP="009B5E39">
      <w:pPr>
        <w:ind w:left="284" w:right="283"/>
        <w:jc w:val="both"/>
        <w:rPr>
          <w:rFonts w:ascii="Gotham" w:hAnsi="Gotham" w:cs="Arial"/>
          <w:b/>
          <w:sz w:val="19"/>
          <w:szCs w:val="19"/>
        </w:rPr>
      </w:pPr>
    </w:p>
    <w:p w14:paraId="3A47610D"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CAPITULO X</w:t>
      </w:r>
    </w:p>
    <w:p w14:paraId="3A47610E" w14:textId="77777777" w:rsidR="009B5E39" w:rsidRPr="004043F3" w:rsidRDefault="009B5E39" w:rsidP="009B5E39">
      <w:pPr>
        <w:ind w:left="284" w:right="283"/>
        <w:jc w:val="center"/>
        <w:rPr>
          <w:rFonts w:ascii="Gotham" w:hAnsi="Gotham" w:cs="Arial"/>
          <w:b/>
          <w:sz w:val="19"/>
          <w:szCs w:val="19"/>
        </w:rPr>
      </w:pPr>
      <w:r w:rsidRPr="004043F3">
        <w:rPr>
          <w:rFonts w:ascii="Gotham" w:hAnsi="Gotham" w:cs="Arial"/>
          <w:b/>
          <w:sz w:val="19"/>
          <w:szCs w:val="19"/>
        </w:rPr>
        <w:t>COORDINACIÓN INTERGUBERNAMENTAL.</w:t>
      </w:r>
    </w:p>
    <w:p w14:paraId="3A47610F" w14:textId="77777777" w:rsidR="009B5E39" w:rsidRDefault="009B5E39" w:rsidP="009B5E39">
      <w:pPr>
        <w:ind w:left="284" w:right="283"/>
        <w:jc w:val="both"/>
        <w:rPr>
          <w:rFonts w:ascii="Gotham" w:hAnsi="Gotham" w:cs="Arial"/>
          <w:b/>
          <w:sz w:val="19"/>
          <w:szCs w:val="19"/>
        </w:rPr>
      </w:pPr>
    </w:p>
    <w:p w14:paraId="3A476110"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Artículo 39.</w:t>
      </w:r>
      <w:r w:rsidRPr="004043F3">
        <w:rPr>
          <w:rFonts w:ascii="Gotham" w:hAnsi="Gotham" w:cs="Arial"/>
          <w:sz w:val="19"/>
          <w:szCs w:val="19"/>
        </w:rPr>
        <w:t xml:space="preserve"> El Ayuntamiento podrá gestionar con los Gobiernos Estatal y Federal el apoyo para:</w:t>
      </w:r>
    </w:p>
    <w:p w14:paraId="3A476111" w14:textId="77777777" w:rsidR="009B5E39" w:rsidRDefault="009B5E39" w:rsidP="009B5E39">
      <w:pPr>
        <w:ind w:left="284" w:right="283"/>
        <w:jc w:val="both"/>
        <w:rPr>
          <w:rFonts w:ascii="Gotham" w:hAnsi="Gotham" w:cs="Arial"/>
          <w:sz w:val="19"/>
          <w:szCs w:val="19"/>
        </w:rPr>
      </w:pPr>
    </w:p>
    <w:p w14:paraId="3A476112"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 </w:t>
      </w:r>
      <w:r>
        <w:rPr>
          <w:rFonts w:ascii="Gotham" w:hAnsi="Gotham" w:cs="Arial"/>
          <w:sz w:val="19"/>
          <w:szCs w:val="19"/>
        </w:rPr>
        <w:tab/>
      </w:r>
      <w:r w:rsidRPr="004043F3">
        <w:rPr>
          <w:rFonts w:ascii="Gotham" w:hAnsi="Gotham" w:cs="Arial"/>
          <w:sz w:val="19"/>
          <w:szCs w:val="19"/>
        </w:rPr>
        <w:t>La inserción de transporte público masivo que sirva al territorio municipal;</w:t>
      </w:r>
    </w:p>
    <w:p w14:paraId="3A476113"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 </w:t>
      </w:r>
      <w:r>
        <w:rPr>
          <w:rFonts w:ascii="Gotham" w:hAnsi="Gotham" w:cs="Arial"/>
          <w:sz w:val="19"/>
          <w:szCs w:val="19"/>
        </w:rPr>
        <w:tab/>
      </w:r>
      <w:r w:rsidR="007C2F8D">
        <w:rPr>
          <w:rFonts w:ascii="Gotham" w:hAnsi="Gotham" w:cs="Arial"/>
          <w:sz w:val="19"/>
          <w:szCs w:val="19"/>
        </w:rPr>
        <w:t xml:space="preserve">La revisión y mantenimiento </w:t>
      </w:r>
      <w:r w:rsidRPr="004043F3">
        <w:rPr>
          <w:rFonts w:ascii="Gotham" w:hAnsi="Gotham" w:cs="Arial"/>
          <w:sz w:val="19"/>
          <w:szCs w:val="19"/>
        </w:rPr>
        <w:t>de las infraestructuras hidráulicas, sanitarias y pluviales existentes, así como el desarrollo de nuevas redes;</w:t>
      </w:r>
    </w:p>
    <w:p w14:paraId="3A476114"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III. </w:t>
      </w:r>
      <w:r>
        <w:rPr>
          <w:rFonts w:ascii="Gotham" w:hAnsi="Gotham" w:cs="Arial"/>
          <w:sz w:val="19"/>
          <w:szCs w:val="19"/>
        </w:rPr>
        <w:tab/>
      </w:r>
      <w:r w:rsidRPr="004043F3">
        <w:rPr>
          <w:rFonts w:ascii="Gotham" w:hAnsi="Gotham" w:cs="Arial"/>
          <w:sz w:val="19"/>
          <w:szCs w:val="19"/>
        </w:rPr>
        <w:t>La consolidación y realización de la estructura vial intermunicipal;</w:t>
      </w:r>
    </w:p>
    <w:p w14:paraId="3A476115"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IV. </w:t>
      </w:r>
      <w:r>
        <w:rPr>
          <w:rFonts w:ascii="Gotham" w:hAnsi="Gotham" w:cs="Arial"/>
          <w:sz w:val="19"/>
          <w:szCs w:val="19"/>
        </w:rPr>
        <w:tab/>
      </w:r>
      <w:r w:rsidRPr="004043F3">
        <w:rPr>
          <w:rFonts w:ascii="Gotham" w:hAnsi="Gotham" w:cs="Arial"/>
          <w:sz w:val="19"/>
          <w:szCs w:val="19"/>
        </w:rPr>
        <w:t>El establecimiento de equipamientos institucionales en los diferentes distritos urbanos del territorio municipal;</w:t>
      </w:r>
    </w:p>
    <w:p w14:paraId="3A476116"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V. </w:t>
      </w:r>
      <w:r>
        <w:rPr>
          <w:rFonts w:ascii="Gotham" w:hAnsi="Gotham" w:cs="Arial"/>
          <w:sz w:val="19"/>
          <w:szCs w:val="19"/>
        </w:rPr>
        <w:tab/>
      </w:r>
      <w:r w:rsidRPr="004043F3">
        <w:rPr>
          <w:rFonts w:ascii="Gotham" w:hAnsi="Gotham" w:cs="Arial"/>
          <w:sz w:val="19"/>
          <w:szCs w:val="19"/>
        </w:rPr>
        <w:t>La actualización del Programa y Planes de Desarrollo Urbano de Centro de Población;</w:t>
      </w:r>
    </w:p>
    <w:p w14:paraId="3A476117" w14:textId="77777777" w:rsidR="009B5E39" w:rsidRPr="004043F3" w:rsidRDefault="009B5E39" w:rsidP="009B5E39">
      <w:pPr>
        <w:spacing w:after="120"/>
        <w:ind w:left="1134" w:right="283" w:hanging="850"/>
        <w:jc w:val="both"/>
        <w:rPr>
          <w:rFonts w:ascii="Gotham" w:hAnsi="Gotham" w:cs="Arial"/>
          <w:sz w:val="19"/>
          <w:szCs w:val="19"/>
        </w:rPr>
      </w:pPr>
      <w:r w:rsidRPr="004043F3">
        <w:rPr>
          <w:rFonts w:ascii="Gotham" w:hAnsi="Gotham" w:cs="Arial"/>
          <w:sz w:val="19"/>
          <w:szCs w:val="19"/>
        </w:rPr>
        <w:t xml:space="preserve">VI. </w:t>
      </w:r>
      <w:r>
        <w:rPr>
          <w:rFonts w:ascii="Gotham" w:hAnsi="Gotham" w:cs="Arial"/>
          <w:sz w:val="19"/>
          <w:szCs w:val="19"/>
        </w:rPr>
        <w:tab/>
      </w:r>
      <w:r w:rsidRPr="004043F3">
        <w:rPr>
          <w:rFonts w:ascii="Gotham" w:hAnsi="Gotham" w:cs="Arial"/>
          <w:sz w:val="19"/>
          <w:szCs w:val="19"/>
        </w:rPr>
        <w:t>La realización de los Planes Parciales de Desarrollo Urbano; y</w:t>
      </w:r>
    </w:p>
    <w:p w14:paraId="3A476118" w14:textId="77777777" w:rsidR="009B5E39" w:rsidRPr="004043F3" w:rsidRDefault="009B5E39" w:rsidP="009B5E39">
      <w:pPr>
        <w:ind w:left="1134" w:right="283" w:hanging="850"/>
        <w:jc w:val="both"/>
        <w:rPr>
          <w:rFonts w:ascii="Gotham" w:hAnsi="Gotham" w:cs="Arial"/>
          <w:sz w:val="19"/>
          <w:szCs w:val="19"/>
        </w:rPr>
      </w:pPr>
      <w:r w:rsidRPr="004043F3">
        <w:rPr>
          <w:rFonts w:ascii="Gotham" w:hAnsi="Gotham" w:cs="Arial"/>
          <w:sz w:val="19"/>
          <w:szCs w:val="19"/>
        </w:rPr>
        <w:t xml:space="preserve">VII. </w:t>
      </w:r>
      <w:r>
        <w:rPr>
          <w:rFonts w:ascii="Gotham" w:hAnsi="Gotham" w:cs="Arial"/>
          <w:sz w:val="19"/>
          <w:szCs w:val="19"/>
        </w:rPr>
        <w:tab/>
      </w:r>
      <w:r w:rsidRPr="004043F3">
        <w:rPr>
          <w:rFonts w:ascii="Gotham" w:hAnsi="Gotham" w:cs="Arial"/>
          <w:sz w:val="19"/>
          <w:szCs w:val="19"/>
        </w:rPr>
        <w:t>La gestión de información territorial.</w:t>
      </w:r>
    </w:p>
    <w:p w14:paraId="3A476119" w14:textId="77777777" w:rsidR="009B5E39" w:rsidRPr="005E526F" w:rsidRDefault="009B5E39" w:rsidP="009B5E39">
      <w:pPr>
        <w:ind w:left="284" w:right="283"/>
        <w:jc w:val="both"/>
        <w:rPr>
          <w:rFonts w:ascii="Gotham" w:hAnsi="Gotham" w:cs="Arial"/>
          <w:b/>
          <w:sz w:val="19"/>
          <w:szCs w:val="19"/>
        </w:rPr>
      </w:pPr>
      <w:bookmarkStart w:id="52" w:name="_Toc17816579"/>
    </w:p>
    <w:p w14:paraId="3A47611A" w14:textId="77777777" w:rsidR="009B5E39" w:rsidRPr="005E526F" w:rsidRDefault="009B5E39" w:rsidP="009B5E39">
      <w:pPr>
        <w:ind w:left="284" w:right="283"/>
        <w:jc w:val="both"/>
        <w:rPr>
          <w:rFonts w:ascii="Gotham" w:hAnsi="Gotham" w:cs="Arial"/>
          <w:b/>
          <w:sz w:val="19"/>
          <w:szCs w:val="19"/>
        </w:rPr>
      </w:pPr>
    </w:p>
    <w:p w14:paraId="3A47611B" w14:textId="77777777" w:rsidR="009B5E39" w:rsidRPr="004043F3" w:rsidRDefault="009B5E39" w:rsidP="009B5E39">
      <w:pPr>
        <w:pStyle w:val="Ttulo2"/>
        <w:ind w:left="284" w:right="283"/>
        <w:jc w:val="center"/>
        <w:rPr>
          <w:rFonts w:ascii="Gotham" w:hAnsi="Gotham" w:cs="Arial"/>
          <w:b w:val="0"/>
          <w:sz w:val="19"/>
          <w:szCs w:val="19"/>
          <w:lang w:val="es-MX"/>
        </w:rPr>
      </w:pPr>
      <w:r w:rsidRPr="004043F3">
        <w:rPr>
          <w:rFonts w:ascii="Gotham" w:hAnsi="Gotham" w:cs="Arial"/>
          <w:sz w:val="19"/>
          <w:szCs w:val="19"/>
          <w:lang w:val="es-MX"/>
        </w:rPr>
        <w:t>DISPOSICIONES TRANSITORIAS.</w:t>
      </w:r>
      <w:bookmarkEnd w:id="52"/>
    </w:p>
    <w:p w14:paraId="3A47611C" w14:textId="77777777" w:rsidR="009B5E39" w:rsidRPr="004043F3" w:rsidRDefault="009B5E39" w:rsidP="009B5E39">
      <w:pPr>
        <w:ind w:left="284" w:right="283"/>
        <w:jc w:val="both"/>
        <w:rPr>
          <w:rFonts w:ascii="Gotham" w:hAnsi="Gotham" w:cs="Arial"/>
          <w:sz w:val="19"/>
          <w:szCs w:val="19"/>
        </w:rPr>
      </w:pPr>
    </w:p>
    <w:p w14:paraId="3A47611D"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PRIMERO. -</w:t>
      </w:r>
      <w:r w:rsidRPr="004043F3">
        <w:rPr>
          <w:rFonts w:ascii="Gotham" w:hAnsi="Gotham" w:cs="Arial"/>
          <w:sz w:val="19"/>
          <w:szCs w:val="19"/>
        </w:rPr>
        <w:t xml:space="preserve"> Se abrogan las Normas Integrales de Redensificación Urbana para el Municipio de Tonalá, Jalisco, así como las demás disposiciones legales y reglamentarias que se opongan al presente ordenamiento.</w:t>
      </w:r>
    </w:p>
    <w:p w14:paraId="3A47611E" w14:textId="77777777" w:rsidR="009B5E39" w:rsidRPr="004043F3" w:rsidRDefault="009B5E39" w:rsidP="009B5E39">
      <w:pPr>
        <w:ind w:left="284" w:right="283"/>
        <w:jc w:val="both"/>
        <w:rPr>
          <w:rFonts w:ascii="Gotham" w:hAnsi="Gotham" w:cs="Arial"/>
          <w:sz w:val="19"/>
          <w:szCs w:val="19"/>
        </w:rPr>
      </w:pPr>
    </w:p>
    <w:p w14:paraId="3A47611F"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SEGUNDO. -</w:t>
      </w:r>
      <w:r w:rsidRPr="004043F3">
        <w:rPr>
          <w:rFonts w:ascii="Gotham" w:hAnsi="Gotham" w:cs="Arial"/>
          <w:sz w:val="19"/>
          <w:szCs w:val="19"/>
        </w:rPr>
        <w:t xml:space="preserve"> Se faculta al ciudadano Presidente Municipal, Síndico Municipal y Secretario General de este Ayuntamiento a suscribir la documentación inherente al presente ordenamiento.</w:t>
      </w:r>
    </w:p>
    <w:p w14:paraId="3A476120" w14:textId="77777777" w:rsidR="009B5E39" w:rsidRPr="004043F3" w:rsidRDefault="009B5E39" w:rsidP="009B5E39">
      <w:pPr>
        <w:ind w:left="284" w:right="283"/>
        <w:jc w:val="both"/>
        <w:rPr>
          <w:rFonts w:ascii="Gotham" w:hAnsi="Gotham" w:cs="Arial"/>
          <w:sz w:val="19"/>
          <w:szCs w:val="19"/>
        </w:rPr>
      </w:pPr>
    </w:p>
    <w:p w14:paraId="3A476121"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TERCERO. -</w:t>
      </w:r>
      <w:r w:rsidRPr="004043F3">
        <w:rPr>
          <w:rFonts w:ascii="Gotham" w:hAnsi="Gotham" w:cs="Arial"/>
          <w:sz w:val="19"/>
          <w:szCs w:val="19"/>
        </w:rPr>
        <w:t xml:space="preserve"> Las presentes Normas entrarán en vigor al día siguiente de su publicación en la Gaceta Municipal.</w:t>
      </w:r>
    </w:p>
    <w:p w14:paraId="3A476122" w14:textId="77777777" w:rsidR="009B5E39" w:rsidRPr="004043F3" w:rsidRDefault="009B5E39" w:rsidP="009B5E39">
      <w:pPr>
        <w:ind w:left="284" w:right="283"/>
        <w:jc w:val="both"/>
        <w:rPr>
          <w:rFonts w:ascii="Gotham" w:hAnsi="Gotham" w:cs="Arial"/>
          <w:b/>
          <w:sz w:val="19"/>
          <w:szCs w:val="19"/>
        </w:rPr>
      </w:pPr>
    </w:p>
    <w:p w14:paraId="3A476123"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t>CUARTO. -</w:t>
      </w:r>
      <w:r w:rsidRPr="004043F3">
        <w:rPr>
          <w:rFonts w:ascii="Gotham" w:hAnsi="Gotham" w:cs="Arial"/>
          <w:sz w:val="19"/>
          <w:szCs w:val="19"/>
        </w:rPr>
        <w:t xml:space="preserve"> Las acciones urbanísticas que, a la fecha de la entrada en vigor de las presentes Normas, se encuentren en cualquier etapa de autorización, seguirán regulándose por la normativa con la cual se iniciaron.</w:t>
      </w:r>
    </w:p>
    <w:p w14:paraId="3A476124" w14:textId="77777777" w:rsidR="009B5E39" w:rsidRPr="004043F3" w:rsidRDefault="009B5E39" w:rsidP="009B5E39">
      <w:pPr>
        <w:ind w:left="284" w:right="283"/>
        <w:jc w:val="both"/>
        <w:rPr>
          <w:rFonts w:ascii="Gotham" w:hAnsi="Gotham" w:cs="Arial"/>
          <w:sz w:val="19"/>
          <w:szCs w:val="19"/>
        </w:rPr>
      </w:pPr>
    </w:p>
    <w:p w14:paraId="3A476125" w14:textId="77777777" w:rsidR="009B5E39" w:rsidRPr="004043F3" w:rsidRDefault="009B5E39" w:rsidP="009B5E39">
      <w:pPr>
        <w:ind w:left="284" w:right="283"/>
        <w:jc w:val="both"/>
        <w:rPr>
          <w:rFonts w:ascii="Gotham" w:hAnsi="Gotham" w:cs="Arial"/>
          <w:sz w:val="19"/>
          <w:szCs w:val="19"/>
        </w:rPr>
      </w:pPr>
      <w:r w:rsidRPr="004043F3">
        <w:rPr>
          <w:rFonts w:ascii="Gotham" w:hAnsi="Gotham" w:cs="Arial"/>
          <w:b/>
          <w:sz w:val="19"/>
          <w:szCs w:val="19"/>
        </w:rPr>
        <w:lastRenderedPageBreak/>
        <w:t>QUINTO. -</w:t>
      </w:r>
      <w:r w:rsidRPr="004043F3">
        <w:rPr>
          <w:rFonts w:ascii="Gotham" w:hAnsi="Gotham" w:cs="Arial"/>
          <w:sz w:val="19"/>
          <w:szCs w:val="19"/>
        </w:rPr>
        <w:t xml:space="preserve"> Los urbanizadores que decidan y aprueben apegarse a las presentes Normas, deberán presentar una nueva solicitud manifestando expresamente tal consentimiento y renunciado a los derechos adquiridos que se contrapongan con los lineamientos contenidos en este ordenamiento.</w:t>
      </w:r>
    </w:p>
    <w:p w14:paraId="3A476126" w14:textId="77777777" w:rsidR="009B5E39" w:rsidRPr="008B0C3D" w:rsidRDefault="009B5E39" w:rsidP="009B5E39">
      <w:pPr>
        <w:jc w:val="both"/>
        <w:rPr>
          <w:rFonts w:ascii="Gotham" w:hAnsi="Gotham" w:cs="Arial"/>
          <w:sz w:val="20"/>
          <w:szCs w:val="20"/>
        </w:rPr>
      </w:pPr>
    </w:p>
    <w:p w14:paraId="3A476127" w14:textId="77777777" w:rsidR="009B5E39" w:rsidRPr="008B0C3D" w:rsidRDefault="009B5E39" w:rsidP="009B5E39">
      <w:pPr>
        <w:jc w:val="both"/>
        <w:rPr>
          <w:rFonts w:ascii="Gotham" w:hAnsi="Gotham" w:cs="Arial"/>
          <w:b/>
          <w:sz w:val="20"/>
          <w:szCs w:val="20"/>
        </w:rPr>
      </w:pPr>
      <w:r w:rsidRPr="008B0C3D">
        <w:rPr>
          <w:rFonts w:ascii="Gotham" w:hAnsi="Gotham" w:cs="Arial"/>
          <w:sz w:val="20"/>
          <w:szCs w:val="20"/>
        </w:rPr>
        <w:t xml:space="preserve">Por lo que respecta al </w:t>
      </w:r>
      <w:r w:rsidRPr="008B0C3D">
        <w:rPr>
          <w:rFonts w:ascii="Gotham" w:hAnsi="Gotham" w:cs="Arial"/>
          <w:b/>
          <w:sz w:val="20"/>
          <w:szCs w:val="20"/>
        </w:rPr>
        <w:t>CÓDIGO PARA LA PROTECCIÓN INTEGRAL DE LOS DERECHOS FUNDAMENTALES DE LA MUJER DEL MUNICIPIO DE TONALÁ, JALISCO, se proponen las siguientes modificaciones:</w:t>
      </w:r>
    </w:p>
    <w:p w14:paraId="3A476128" w14:textId="77777777" w:rsidR="009B5E39" w:rsidRPr="008B0C3D" w:rsidRDefault="009B5E39" w:rsidP="009B5E39">
      <w:pPr>
        <w:widowControl w:val="0"/>
        <w:pBdr>
          <w:top w:val="nil"/>
          <w:left w:val="nil"/>
          <w:bottom w:val="nil"/>
          <w:right w:val="nil"/>
          <w:between w:val="nil"/>
        </w:pBdr>
        <w:rPr>
          <w:rFonts w:ascii="Gotham" w:hAnsi="Gotham" w:cs="Arial"/>
          <w:sz w:val="20"/>
          <w:szCs w:val="20"/>
        </w:rPr>
      </w:pPr>
    </w:p>
    <w:tbl>
      <w:tblPr>
        <w:tblW w:w="9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8"/>
        <w:gridCol w:w="4899"/>
      </w:tblGrid>
      <w:tr w:rsidR="009B5E39" w:rsidRPr="001335C7" w14:paraId="3A47612B" w14:textId="77777777" w:rsidTr="00190E4A">
        <w:trPr>
          <w:trHeight w:val="283"/>
        </w:trPr>
        <w:tc>
          <w:tcPr>
            <w:tcW w:w="4898" w:type="dxa"/>
            <w:shd w:val="clear" w:color="auto" w:fill="7030A0"/>
            <w:vAlign w:val="center"/>
          </w:tcPr>
          <w:p w14:paraId="3A476129" w14:textId="77777777" w:rsidR="009B5E39" w:rsidRPr="001335C7" w:rsidRDefault="009B5E39" w:rsidP="00190E4A">
            <w:pPr>
              <w:jc w:val="center"/>
              <w:rPr>
                <w:rFonts w:ascii="Gotham" w:hAnsi="Gotham" w:cs="Arial"/>
                <w:b/>
                <w:sz w:val="18"/>
                <w:szCs w:val="18"/>
              </w:rPr>
            </w:pPr>
            <w:r w:rsidRPr="001335C7">
              <w:rPr>
                <w:rFonts w:ascii="Gotham" w:hAnsi="Gotham" w:cs="Arial"/>
                <w:b/>
                <w:color w:val="FFFFFF" w:themeColor="background1"/>
                <w:sz w:val="18"/>
                <w:szCs w:val="18"/>
              </w:rPr>
              <w:t>Vigente</w:t>
            </w:r>
          </w:p>
        </w:tc>
        <w:tc>
          <w:tcPr>
            <w:tcW w:w="4899" w:type="dxa"/>
            <w:shd w:val="clear" w:color="auto" w:fill="BF9DFD"/>
            <w:vAlign w:val="center"/>
          </w:tcPr>
          <w:p w14:paraId="3A47612A" w14:textId="77777777" w:rsidR="009B5E39" w:rsidRPr="001335C7" w:rsidRDefault="009B5E39" w:rsidP="00190E4A">
            <w:pPr>
              <w:jc w:val="center"/>
              <w:rPr>
                <w:rFonts w:ascii="Gotham" w:hAnsi="Gotham" w:cs="Arial"/>
                <w:b/>
                <w:sz w:val="18"/>
                <w:szCs w:val="18"/>
              </w:rPr>
            </w:pPr>
            <w:r w:rsidRPr="001335C7">
              <w:rPr>
                <w:rFonts w:ascii="Gotham" w:hAnsi="Gotham" w:cs="Arial"/>
                <w:b/>
                <w:sz w:val="18"/>
                <w:szCs w:val="18"/>
              </w:rPr>
              <w:t>Propuesta IMMT</w:t>
            </w:r>
          </w:p>
        </w:tc>
      </w:tr>
      <w:tr w:rsidR="009B5E39" w:rsidRPr="001335C7" w14:paraId="3A476130" w14:textId="77777777" w:rsidTr="00190E4A">
        <w:tc>
          <w:tcPr>
            <w:tcW w:w="4898" w:type="dxa"/>
            <w:tcBorders>
              <w:bottom w:val="single" w:sz="4" w:space="0" w:color="000000"/>
            </w:tcBorders>
          </w:tcPr>
          <w:p w14:paraId="3A47612C" w14:textId="77777777" w:rsidR="009B5E39" w:rsidRPr="001335C7" w:rsidRDefault="009B5E39" w:rsidP="00190E4A">
            <w:pPr>
              <w:jc w:val="center"/>
              <w:rPr>
                <w:rFonts w:ascii="Gotham" w:hAnsi="Gotham" w:cs="Arial"/>
                <w:b/>
                <w:sz w:val="18"/>
                <w:szCs w:val="18"/>
              </w:rPr>
            </w:pPr>
          </w:p>
          <w:p w14:paraId="3A47612D" w14:textId="77777777" w:rsidR="009B5E39" w:rsidRPr="001335C7" w:rsidRDefault="009B5E39" w:rsidP="00190E4A">
            <w:pPr>
              <w:jc w:val="center"/>
              <w:rPr>
                <w:rFonts w:ascii="Gotham" w:hAnsi="Gotham" w:cs="Arial"/>
                <w:sz w:val="18"/>
                <w:szCs w:val="18"/>
              </w:rPr>
            </w:pPr>
            <w:r w:rsidRPr="001335C7">
              <w:rPr>
                <w:rFonts w:ascii="Gotham" w:hAnsi="Gotham" w:cs="Arial"/>
                <w:b/>
                <w:sz w:val="18"/>
                <w:szCs w:val="18"/>
              </w:rPr>
              <w:t>CÓDIGO PARA LA PROTECCIÓN INTEGRAL DE LOS DERECHOS FUNDAMENTALES DE LA MUJER DEL MUNICIPIO DE TONALÁ, JALISCO.</w:t>
            </w:r>
          </w:p>
          <w:p w14:paraId="3A47612E" w14:textId="77777777" w:rsidR="009B5E39" w:rsidRPr="001335C7" w:rsidRDefault="009B5E39" w:rsidP="00190E4A">
            <w:pPr>
              <w:rPr>
                <w:rFonts w:ascii="Gotham" w:hAnsi="Gotham" w:cs="Arial"/>
                <w:sz w:val="18"/>
                <w:szCs w:val="18"/>
              </w:rPr>
            </w:pPr>
          </w:p>
        </w:tc>
        <w:tc>
          <w:tcPr>
            <w:tcW w:w="4899" w:type="dxa"/>
          </w:tcPr>
          <w:p w14:paraId="3A47612F" w14:textId="77777777" w:rsidR="009B5E39" w:rsidRPr="001335C7" w:rsidRDefault="009B5E39" w:rsidP="00190E4A">
            <w:pPr>
              <w:pBdr>
                <w:top w:val="nil"/>
                <w:left w:val="nil"/>
                <w:bottom w:val="nil"/>
                <w:right w:val="nil"/>
                <w:between w:val="nil"/>
              </w:pBdr>
              <w:spacing w:before="240" w:after="240"/>
              <w:jc w:val="both"/>
              <w:rPr>
                <w:rFonts w:ascii="Gotham" w:hAnsi="Gotham" w:cs="Arial"/>
                <w:sz w:val="18"/>
                <w:szCs w:val="18"/>
                <w:u w:val="single"/>
              </w:rPr>
            </w:pPr>
            <w:r w:rsidRPr="001335C7">
              <w:rPr>
                <w:rFonts w:ascii="Gotham" w:hAnsi="Gotham" w:cs="Arial"/>
                <w:sz w:val="18"/>
                <w:szCs w:val="18"/>
                <w:u w:val="single"/>
              </w:rPr>
              <w:t>Código para la Protección de los Derechos de las Mujeres para la Igualdad Sustantiva en Tonalá, Jalisco.</w:t>
            </w:r>
          </w:p>
        </w:tc>
      </w:tr>
      <w:tr w:rsidR="009B5E39" w:rsidRPr="001335C7" w14:paraId="3A476139" w14:textId="77777777" w:rsidTr="00190E4A">
        <w:tc>
          <w:tcPr>
            <w:tcW w:w="4898" w:type="dxa"/>
            <w:tcBorders>
              <w:top w:val="single" w:sz="4" w:space="0" w:color="000000"/>
              <w:left w:val="single" w:sz="4" w:space="0" w:color="000000"/>
              <w:bottom w:val="single" w:sz="4" w:space="0" w:color="000000"/>
              <w:right w:val="single" w:sz="4" w:space="0" w:color="000000"/>
            </w:tcBorders>
          </w:tcPr>
          <w:p w14:paraId="3A476131" w14:textId="77777777" w:rsidR="009B5E39" w:rsidRPr="001335C7" w:rsidRDefault="009B5E39" w:rsidP="00190E4A">
            <w:pPr>
              <w:rPr>
                <w:rFonts w:ascii="Gotham" w:hAnsi="Gotham" w:cs="Arial"/>
                <w:sz w:val="18"/>
                <w:szCs w:val="18"/>
              </w:rPr>
            </w:pPr>
          </w:p>
          <w:p w14:paraId="3A47613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 </w:t>
            </w:r>
            <w:r w:rsidRPr="001335C7">
              <w:rPr>
                <w:rFonts w:ascii="Gotham" w:hAnsi="Gotham" w:cs="Arial"/>
                <w:sz w:val="18"/>
                <w:szCs w:val="18"/>
              </w:rPr>
              <w:t>El presente código se expide con fundamento en lo dispuesto por los artículos 1, 4, 115 y 133 de la Constitución Política de los Estados Unidos Mexicanos; artículo 77 fracción ll de la Constitución Política del Estado de Jalisco y artículo 40 fracción ll de la Ley del Gobierno y la Administración Pública Municipal del Estado de Jalisco.</w:t>
            </w:r>
          </w:p>
          <w:p w14:paraId="3A476133" w14:textId="77777777" w:rsidR="009B5E39" w:rsidRPr="001335C7" w:rsidRDefault="009B5E39" w:rsidP="00190E4A">
            <w:pPr>
              <w:rPr>
                <w:rFonts w:ascii="Gotham" w:hAnsi="Gotham" w:cs="Arial"/>
                <w:sz w:val="18"/>
                <w:szCs w:val="18"/>
              </w:rPr>
            </w:pPr>
          </w:p>
        </w:tc>
        <w:tc>
          <w:tcPr>
            <w:tcW w:w="4899" w:type="dxa"/>
            <w:tcBorders>
              <w:left w:val="single" w:sz="4" w:space="0" w:color="000000"/>
              <w:bottom w:val="single" w:sz="4" w:space="0" w:color="000000"/>
            </w:tcBorders>
          </w:tcPr>
          <w:p w14:paraId="3A476134" w14:textId="77777777" w:rsidR="009B5E39" w:rsidRPr="001335C7" w:rsidRDefault="009B5E39" w:rsidP="00190E4A">
            <w:pPr>
              <w:rPr>
                <w:rFonts w:ascii="Gotham" w:hAnsi="Gotham" w:cs="Arial"/>
                <w:sz w:val="18"/>
                <w:szCs w:val="18"/>
              </w:rPr>
            </w:pPr>
          </w:p>
          <w:p w14:paraId="3A47613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 </w:t>
            </w:r>
            <w:r w:rsidRPr="001335C7">
              <w:rPr>
                <w:rFonts w:ascii="Gotham" w:hAnsi="Gotham" w:cs="Arial"/>
                <w:sz w:val="18"/>
                <w:szCs w:val="18"/>
              </w:rPr>
              <w:t xml:space="preserve">El presente código se expide con fundamento en lo dispuesto por los artículos 1, 4, 115 y 133 de la Constitución Política de los Estados Unidos Mexicanos; artículo </w:t>
            </w:r>
            <w:r w:rsidRPr="001335C7">
              <w:rPr>
                <w:rFonts w:ascii="Gotham" w:hAnsi="Gotham" w:cs="Arial"/>
                <w:sz w:val="18"/>
                <w:szCs w:val="18"/>
                <w:u w:val="single"/>
              </w:rPr>
              <w:t>73,</w:t>
            </w:r>
            <w:r w:rsidRPr="001335C7">
              <w:rPr>
                <w:rFonts w:ascii="Gotham" w:hAnsi="Gotham" w:cs="Arial"/>
                <w:sz w:val="18"/>
                <w:szCs w:val="18"/>
              </w:rPr>
              <w:t xml:space="preserve"> 77 fracción ll de la Constitución Política del Estado de Jalisco y artículo 40 fracción ll de la Ley del Gobierno y la Administración Pública Municipal del Estado de Jalisco.</w:t>
            </w:r>
          </w:p>
          <w:p w14:paraId="3A476136" w14:textId="77777777" w:rsidR="009B5E39" w:rsidRPr="001335C7" w:rsidRDefault="009B5E39" w:rsidP="00190E4A">
            <w:pPr>
              <w:rPr>
                <w:rFonts w:ascii="Gotham" w:hAnsi="Gotham" w:cs="Arial"/>
                <w:sz w:val="18"/>
                <w:szCs w:val="18"/>
              </w:rPr>
            </w:pPr>
          </w:p>
          <w:p w14:paraId="3A476137" w14:textId="77777777" w:rsidR="009B5E39" w:rsidRPr="001335C7" w:rsidRDefault="009B5E39" w:rsidP="00190E4A">
            <w:pPr>
              <w:rPr>
                <w:rFonts w:ascii="Gotham" w:hAnsi="Gotham" w:cs="Arial"/>
                <w:sz w:val="18"/>
                <w:szCs w:val="18"/>
              </w:rPr>
            </w:pPr>
            <w:r w:rsidRPr="001335C7">
              <w:rPr>
                <w:rFonts w:ascii="Gotham" w:hAnsi="Gotham" w:cs="Arial"/>
                <w:sz w:val="18"/>
                <w:szCs w:val="18"/>
              </w:rPr>
              <w:t>Fundamento: Artículos 37, 38 y 44 LGAPMEJ</w:t>
            </w:r>
          </w:p>
          <w:p w14:paraId="3A476138" w14:textId="77777777" w:rsidR="009B5E39" w:rsidRPr="001335C7" w:rsidRDefault="009B5E39" w:rsidP="00190E4A">
            <w:pPr>
              <w:rPr>
                <w:rFonts w:ascii="Gotham" w:hAnsi="Gotham" w:cs="Arial"/>
                <w:sz w:val="18"/>
                <w:szCs w:val="18"/>
              </w:rPr>
            </w:pPr>
          </w:p>
        </w:tc>
      </w:tr>
      <w:tr w:rsidR="009B5E39" w:rsidRPr="001335C7" w14:paraId="3A476140" w14:textId="77777777" w:rsidTr="00190E4A">
        <w:tc>
          <w:tcPr>
            <w:tcW w:w="4898" w:type="dxa"/>
            <w:tcBorders>
              <w:top w:val="single" w:sz="4" w:space="0" w:color="000000"/>
              <w:left w:val="single" w:sz="4" w:space="0" w:color="000000"/>
              <w:bottom w:val="single" w:sz="4" w:space="0" w:color="000000"/>
              <w:right w:val="single" w:sz="4" w:space="0" w:color="000000"/>
            </w:tcBorders>
          </w:tcPr>
          <w:p w14:paraId="3A47613A" w14:textId="77777777" w:rsidR="009B5E39" w:rsidRPr="001335C7" w:rsidRDefault="009B5E39" w:rsidP="00190E4A">
            <w:pPr>
              <w:pBdr>
                <w:left w:val="single" w:sz="4" w:space="4" w:color="000000"/>
                <w:right w:val="single" w:sz="4" w:space="4" w:color="000000"/>
              </w:pBdr>
              <w:jc w:val="both"/>
              <w:rPr>
                <w:rFonts w:ascii="Gotham" w:hAnsi="Gotham" w:cs="Arial"/>
                <w:b/>
                <w:sz w:val="18"/>
                <w:szCs w:val="18"/>
              </w:rPr>
            </w:pPr>
          </w:p>
          <w:p w14:paraId="3A47613B" w14:textId="77777777" w:rsidR="009B5E39" w:rsidRPr="001335C7" w:rsidRDefault="009B5E39" w:rsidP="00190E4A">
            <w:pPr>
              <w:pBdr>
                <w:left w:val="single" w:sz="4" w:space="4" w:color="000000"/>
                <w:right w:val="single" w:sz="4" w:space="4" w:color="000000"/>
              </w:pBdr>
              <w:jc w:val="both"/>
              <w:rPr>
                <w:rFonts w:ascii="Gotham" w:hAnsi="Gotham" w:cs="Arial"/>
                <w:sz w:val="18"/>
                <w:szCs w:val="18"/>
              </w:rPr>
            </w:pPr>
            <w:r w:rsidRPr="001335C7">
              <w:rPr>
                <w:rFonts w:ascii="Gotham" w:hAnsi="Gotham" w:cs="Arial"/>
                <w:b/>
                <w:sz w:val="18"/>
                <w:szCs w:val="18"/>
              </w:rPr>
              <w:t xml:space="preserve">Artículo 2.- </w:t>
            </w:r>
            <w:r w:rsidRPr="001335C7">
              <w:rPr>
                <w:rFonts w:ascii="Gotham" w:hAnsi="Gotham" w:cs="Arial"/>
                <w:sz w:val="18"/>
                <w:szCs w:val="18"/>
              </w:rPr>
              <w:t xml:space="preserve">El presente ordenamiento es de orden público, interés social y observancia general en el Municipio de Tonalá, Jalisco y tiene por objeto contribuir, desde la esfera municipal, a garantizar la protección integral de los derechos fundamentales de la mujer, reconociendo, promoviendo y respetando el derecho a la igualdad y la no discriminación </w:t>
            </w:r>
            <w:r w:rsidRPr="00E36357">
              <w:rPr>
                <w:rFonts w:ascii="Gotham" w:hAnsi="Gotham" w:cs="Arial"/>
                <w:sz w:val="18"/>
                <w:szCs w:val="18"/>
              </w:rPr>
              <w:t>entre mujeres y hombres</w:t>
            </w:r>
            <w:r w:rsidRPr="001335C7">
              <w:rPr>
                <w:rFonts w:ascii="Gotham" w:hAnsi="Gotham" w:cs="Arial"/>
                <w:sz w:val="18"/>
                <w:szCs w:val="18"/>
              </w:rPr>
              <w:t>, así como el acceso de las mujeres a una vida libre de violencia.</w:t>
            </w:r>
          </w:p>
          <w:p w14:paraId="3A47613C" w14:textId="77777777" w:rsidR="009B5E39" w:rsidRPr="001335C7" w:rsidRDefault="009B5E39" w:rsidP="00190E4A">
            <w:pPr>
              <w:rPr>
                <w:rFonts w:ascii="Gotham" w:hAnsi="Gotham" w:cs="Arial"/>
                <w:sz w:val="18"/>
                <w:szCs w:val="18"/>
              </w:rPr>
            </w:pPr>
          </w:p>
        </w:tc>
        <w:tc>
          <w:tcPr>
            <w:tcW w:w="4899" w:type="dxa"/>
            <w:tcBorders>
              <w:top w:val="single" w:sz="4" w:space="0" w:color="000000"/>
              <w:left w:val="single" w:sz="4" w:space="0" w:color="000000"/>
              <w:bottom w:val="single" w:sz="4" w:space="0" w:color="000000"/>
              <w:right w:val="single" w:sz="4" w:space="0" w:color="000000"/>
            </w:tcBorders>
          </w:tcPr>
          <w:p w14:paraId="3A47613D" w14:textId="77777777" w:rsidR="009B5E39" w:rsidRPr="001335C7" w:rsidRDefault="009B5E39" w:rsidP="00190E4A">
            <w:pPr>
              <w:jc w:val="both"/>
              <w:rPr>
                <w:rFonts w:ascii="Gotham" w:hAnsi="Gotham" w:cs="Arial"/>
                <w:b/>
                <w:sz w:val="18"/>
                <w:szCs w:val="18"/>
              </w:rPr>
            </w:pPr>
          </w:p>
          <w:p w14:paraId="3A47613E" w14:textId="77777777" w:rsidR="009B5E39" w:rsidRPr="001335C7" w:rsidRDefault="009B5E39" w:rsidP="00190E4A">
            <w:pPr>
              <w:jc w:val="both"/>
              <w:rPr>
                <w:rFonts w:ascii="Gotham" w:hAnsi="Gotham" w:cs="Arial"/>
                <w:strike/>
                <w:sz w:val="18"/>
                <w:szCs w:val="18"/>
              </w:rPr>
            </w:pPr>
            <w:r w:rsidRPr="001335C7">
              <w:rPr>
                <w:rFonts w:ascii="Gotham" w:hAnsi="Gotham" w:cs="Arial"/>
                <w:b/>
                <w:sz w:val="18"/>
                <w:szCs w:val="18"/>
              </w:rPr>
              <w:t xml:space="preserve">Artículo 2.- </w:t>
            </w:r>
            <w:r w:rsidRPr="001335C7">
              <w:rPr>
                <w:rFonts w:ascii="Gotham" w:hAnsi="Gotham" w:cs="Arial"/>
                <w:sz w:val="18"/>
                <w:szCs w:val="18"/>
              </w:rPr>
              <w:t>El presente ordenamiento es de orden público, interés social y observancia general en el Municipio de Tonalá, Jalisco y tiene por objeto contribuir, desde la esfera municipal, a garantizar la protección integral de los derechos fundamentales de la mujer, reconociendo, promoviendo y respetando el derecho a la igualdad y la no discriminación, así como el acceso de las mujeres a una vida libre de violencia.</w:t>
            </w:r>
          </w:p>
          <w:p w14:paraId="3A47613F" w14:textId="77777777" w:rsidR="009B5E39" w:rsidRPr="001335C7" w:rsidRDefault="009B5E39" w:rsidP="00190E4A">
            <w:pPr>
              <w:jc w:val="both"/>
              <w:rPr>
                <w:rFonts w:ascii="Gotham" w:hAnsi="Gotham" w:cs="Arial"/>
                <w:sz w:val="18"/>
                <w:szCs w:val="18"/>
              </w:rPr>
            </w:pPr>
          </w:p>
        </w:tc>
      </w:tr>
      <w:tr w:rsidR="009B5E39" w:rsidRPr="001335C7" w14:paraId="3A47614A" w14:textId="77777777" w:rsidTr="00190E4A">
        <w:tc>
          <w:tcPr>
            <w:tcW w:w="4898" w:type="dxa"/>
            <w:tcBorders>
              <w:top w:val="single" w:sz="4" w:space="0" w:color="000000"/>
              <w:left w:val="single" w:sz="4" w:space="0" w:color="000000"/>
              <w:bottom w:val="nil"/>
              <w:right w:val="single" w:sz="4" w:space="0" w:color="000000"/>
            </w:tcBorders>
          </w:tcPr>
          <w:p w14:paraId="3A476141" w14:textId="77777777" w:rsidR="009B5E39" w:rsidRPr="001335C7" w:rsidRDefault="009B5E39" w:rsidP="00190E4A">
            <w:pPr>
              <w:widowControl w:val="0"/>
              <w:jc w:val="both"/>
              <w:rPr>
                <w:rFonts w:ascii="Gotham" w:hAnsi="Gotham" w:cs="Arial"/>
                <w:b/>
                <w:sz w:val="18"/>
                <w:szCs w:val="18"/>
              </w:rPr>
            </w:pPr>
          </w:p>
          <w:p w14:paraId="3A476142" w14:textId="77777777" w:rsidR="009B5E39" w:rsidRPr="001335C7" w:rsidRDefault="009B5E39" w:rsidP="00190E4A">
            <w:pPr>
              <w:widowControl w:val="0"/>
              <w:jc w:val="both"/>
              <w:rPr>
                <w:rFonts w:ascii="Gotham" w:hAnsi="Gotham" w:cs="Arial"/>
                <w:b/>
                <w:sz w:val="18"/>
                <w:szCs w:val="18"/>
              </w:rPr>
            </w:pPr>
            <w:r w:rsidRPr="001335C7">
              <w:rPr>
                <w:rFonts w:ascii="Gotham" w:hAnsi="Gotham" w:cs="Arial"/>
                <w:b/>
                <w:sz w:val="18"/>
                <w:szCs w:val="18"/>
              </w:rPr>
              <w:t xml:space="preserve">Artículo 5: </w:t>
            </w:r>
            <w:r w:rsidRPr="001335C7">
              <w:rPr>
                <w:rFonts w:ascii="Gotham" w:hAnsi="Gotham" w:cs="Arial"/>
                <w:sz w:val="18"/>
                <w:szCs w:val="18"/>
              </w:rPr>
              <w:t>Para los efectos del presente código se entiende por:</w:t>
            </w:r>
          </w:p>
          <w:p w14:paraId="3A476143" w14:textId="77777777" w:rsidR="009B5E39" w:rsidRPr="001335C7" w:rsidRDefault="009B5E39" w:rsidP="00190E4A">
            <w:pPr>
              <w:widowControl w:val="0"/>
              <w:jc w:val="both"/>
              <w:rPr>
                <w:rFonts w:ascii="Gotham" w:hAnsi="Gotham" w:cs="Arial"/>
                <w:b/>
                <w:sz w:val="18"/>
                <w:szCs w:val="18"/>
              </w:rPr>
            </w:pPr>
          </w:p>
          <w:p w14:paraId="3A476144"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IX. Discriminación: </w:t>
            </w:r>
            <w:r w:rsidRPr="001335C7">
              <w:rPr>
                <w:rFonts w:ascii="Gotham" w:hAnsi="Gotham" w:cs="Arial"/>
                <w:sz w:val="18"/>
                <w:szCs w:val="18"/>
              </w:rPr>
              <w:t>Toda distinción, exclusión o restricción que, basada en el origen étnico o nacional, sexo, edad, discapacidad, condición social o económica, condiciones de salud, embarazo, lengua, religión, opiniones, preferencias sexuales, estado civil o cualquier otra, tenga por efecto impedir o anular el reconocimiento o el ejercicio de los derechos y la igualdad real de oportunidades de las personas;</w:t>
            </w:r>
          </w:p>
        </w:tc>
        <w:tc>
          <w:tcPr>
            <w:tcW w:w="4899" w:type="dxa"/>
            <w:tcBorders>
              <w:top w:val="single" w:sz="4" w:space="0" w:color="000000"/>
              <w:left w:val="single" w:sz="4" w:space="0" w:color="000000"/>
              <w:bottom w:val="nil"/>
              <w:right w:val="single" w:sz="4" w:space="0" w:color="000000"/>
            </w:tcBorders>
          </w:tcPr>
          <w:p w14:paraId="3A476145" w14:textId="77777777" w:rsidR="009B5E39" w:rsidRPr="001335C7" w:rsidRDefault="009B5E39" w:rsidP="00190E4A">
            <w:pPr>
              <w:rPr>
                <w:rFonts w:ascii="Gotham" w:hAnsi="Gotham" w:cs="Arial"/>
                <w:sz w:val="18"/>
                <w:szCs w:val="18"/>
              </w:rPr>
            </w:pPr>
          </w:p>
          <w:p w14:paraId="3A476146" w14:textId="77777777" w:rsidR="009B5E39" w:rsidRPr="001335C7" w:rsidRDefault="009B5E39" w:rsidP="00190E4A">
            <w:pPr>
              <w:rPr>
                <w:rFonts w:ascii="Gotham" w:hAnsi="Gotham" w:cs="Arial"/>
                <w:b/>
                <w:sz w:val="18"/>
                <w:szCs w:val="18"/>
              </w:rPr>
            </w:pPr>
            <w:r w:rsidRPr="001335C7">
              <w:rPr>
                <w:rFonts w:ascii="Gotham" w:hAnsi="Gotham" w:cs="Arial"/>
                <w:b/>
                <w:sz w:val="18"/>
                <w:szCs w:val="18"/>
              </w:rPr>
              <w:t>Artículo 5:</w:t>
            </w:r>
            <w:r w:rsidRPr="001335C7">
              <w:rPr>
                <w:rFonts w:ascii="Gotham" w:hAnsi="Gotham" w:cs="Arial"/>
                <w:sz w:val="18"/>
                <w:szCs w:val="18"/>
              </w:rPr>
              <w:t xml:space="preserve"> Para los efectos del presente código se entiende por:</w:t>
            </w:r>
          </w:p>
          <w:p w14:paraId="3A476147" w14:textId="77777777" w:rsidR="009B5E39" w:rsidRPr="001335C7" w:rsidRDefault="009B5E39" w:rsidP="00190E4A">
            <w:pPr>
              <w:rPr>
                <w:rFonts w:ascii="Gotham" w:hAnsi="Gotham" w:cs="Arial"/>
                <w:sz w:val="18"/>
                <w:szCs w:val="18"/>
              </w:rPr>
            </w:pPr>
          </w:p>
          <w:p w14:paraId="3A476148"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IX. Discriminación: </w:t>
            </w:r>
            <w:r w:rsidRPr="001335C7">
              <w:rPr>
                <w:rFonts w:ascii="Gotham" w:hAnsi="Gotham" w:cs="Arial"/>
                <w:sz w:val="18"/>
                <w:szCs w:val="18"/>
              </w:rPr>
              <w:t xml:space="preserve">Toda distinción, exclusión o restricción que, basada en el origen étnico o nacional, sexo, edad, discapacidad, condición social o económica, condiciones de salud, embarazo, lengua, religión, opiniones, </w:t>
            </w:r>
            <w:r w:rsidRPr="00E36357">
              <w:rPr>
                <w:rFonts w:ascii="Gotham" w:hAnsi="Gotham" w:cs="Arial"/>
                <w:sz w:val="18"/>
                <w:szCs w:val="18"/>
              </w:rPr>
              <w:t>identidad de género, orientación sexual</w:t>
            </w:r>
            <w:r w:rsidRPr="001335C7">
              <w:rPr>
                <w:rFonts w:ascii="Gotham" w:hAnsi="Gotham" w:cs="Arial"/>
                <w:sz w:val="18"/>
                <w:szCs w:val="18"/>
              </w:rPr>
              <w:t>, estado civil o cualquier otra, tenga por efecto impedir o anular el reconocimiento o el ejercicio de los derechos y la igualdad real de oportunidades de las personas;</w:t>
            </w:r>
          </w:p>
          <w:p w14:paraId="3A476149" w14:textId="77777777" w:rsidR="009B5E39" w:rsidRPr="001335C7" w:rsidRDefault="009B5E39" w:rsidP="00190E4A">
            <w:pPr>
              <w:jc w:val="both"/>
              <w:rPr>
                <w:rFonts w:ascii="Gotham" w:hAnsi="Gotham" w:cs="Arial"/>
                <w:sz w:val="18"/>
                <w:szCs w:val="18"/>
              </w:rPr>
            </w:pPr>
          </w:p>
        </w:tc>
      </w:tr>
      <w:tr w:rsidR="009B5E39" w:rsidRPr="001335C7" w14:paraId="3A476151" w14:textId="77777777" w:rsidTr="00190E4A">
        <w:tc>
          <w:tcPr>
            <w:tcW w:w="4898" w:type="dxa"/>
            <w:tcBorders>
              <w:top w:val="nil"/>
              <w:left w:val="single" w:sz="4" w:space="0" w:color="000000"/>
              <w:bottom w:val="nil"/>
              <w:right w:val="single" w:sz="4" w:space="0" w:color="000000"/>
            </w:tcBorders>
          </w:tcPr>
          <w:p w14:paraId="3A47614B" w14:textId="77777777" w:rsidR="009B5E39" w:rsidRPr="00E36357" w:rsidRDefault="009B5E39" w:rsidP="00190E4A">
            <w:pPr>
              <w:jc w:val="both"/>
              <w:rPr>
                <w:rFonts w:ascii="Gotham" w:hAnsi="Gotham" w:cs="Arial"/>
                <w:b/>
                <w:sz w:val="18"/>
                <w:szCs w:val="18"/>
              </w:rPr>
            </w:pPr>
          </w:p>
          <w:p w14:paraId="3A47614C" w14:textId="77777777" w:rsidR="009B5E39" w:rsidRPr="00E36357" w:rsidRDefault="009B5E39" w:rsidP="00190E4A">
            <w:pPr>
              <w:jc w:val="both"/>
              <w:rPr>
                <w:rFonts w:ascii="Gotham" w:hAnsi="Gotham" w:cs="Arial"/>
                <w:sz w:val="18"/>
                <w:szCs w:val="18"/>
              </w:rPr>
            </w:pPr>
            <w:r w:rsidRPr="00E36357">
              <w:rPr>
                <w:rFonts w:ascii="Gotham" w:hAnsi="Gotham" w:cs="Arial"/>
                <w:b/>
                <w:sz w:val="18"/>
                <w:szCs w:val="18"/>
              </w:rPr>
              <w:t xml:space="preserve">X. Discriminación contra la mujer: </w:t>
            </w:r>
            <w:r w:rsidRPr="00E36357">
              <w:rPr>
                <w:rFonts w:ascii="Gotham" w:hAnsi="Gotham" w:cs="Arial"/>
                <w:sz w:val="18"/>
                <w:szCs w:val="18"/>
              </w:rPr>
              <w:t xml:space="preserve">Toda distinción, exclusión o restricción basada en el sexo que tenga por objeto o por resultado menoscabar o anular el reconocimiento, goce o ejercicio por la mujer, </w:t>
            </w:r>
            <w:r w:rsidRPr="00E36357">
              <w:rPr>
                <w:rFonts w:ascii="Gotham" w:hAnsi="Gotham" w:cs="Arial"/>
                <w:sz w:val="18"/>
                <w:szCs w:val="18"/>
              </w:rPr>
              <w:lastRenderedPageBreak/>
              <w:t>independientemente de su estado civil, sobre la base de la igualdad del hombre y la mujer, de los derechos humanos y las libertades fundamentales en las esferas política, económica, social, cultural y civil o en cualquier otra esfera;</w:t>
            </w:r>
          </w:p>
          <w:p w14:paraId="3A47614D" w14:textId="77777777" w:rsidR="009B5E39" w:rsidRPr="00E36357" w:rsidRDefault="009B5E39" w:rsidP="00190E4A">
            <w:pPr>
              <w:rPr>
                <w:rFonts w:ascii="Gotham" w:hAnsi="Gotham" w:cs="Arial"/>
                <w:sz w:val="18"/>
                <w:szCs w:val="18"/>
              </w:rPr>
            </w:pPr>
          </w:p>
        </w:tc>
        <w:tc>
          <w:tcPr>
            <w:tcW w:w="4899" w:type="dxa"/>
            <w:tcBorders>
              <w:top w:val="nil"/>
              <w:left w:val="single" w:sz="4" w:space="0" w:color="000000"/>
              <w:bottom w:val="nil"/>
              <w:right w:val="single" w:sz="4" w:space="0" w:color="000000"/>
            </w:tcBorders>
          </w:tcPr>
          <w:p w14:paraId="3A47614E" w14:textId="77777777" w:rsidR="009B5E39" w:rsidRPr="00E36357" w:rsidRDefault="009B5E39" w:rsidP="00190E4A">
            <w:pPr>
              <w:rPr>
                <w:rFonts w:ascii="Gotham" w:hAnsi="Gotham" w:cs="Arial"/>
                <w:sz w:val="18"/>
                <w:szCs w:val="18"/>
              </w:rPr>
            </w:pPr>
          </w:p>
          <w:p w14:paraId="3A47614F" w14:textId="77777777" w:rsidR="009B5E39" w:rsidRPr="00E36357" w:rsidRDefault="009B5E39" w:rsidP="00190E4A">
            <w:pPr>
              <w:jc w:val="both"/>
              <w:rPr>
                <w:rFonts w:ascii="Gotham" w:hAnsi="Gotham" w:cs="Arial"/>
                <w:sz w:val="18"/>
                <w:szCs w:val="18"/>
              </w:rPr>
            </w:pPr>
            <w:r w:rsidRPr="00E36357">
              <w:rPr>
                <w:rFonts w:ascii="Gotham" w:hAnsi="Gotham" w:cs="Arial"/>
                <w:b/>
                <w:sz w:val="18"/>
                <w:szCs w:val="18"/>
              </w:rPr>
              <w:t xml:space="preserve">X. Discriminación contra la mujer: </w:t>
            </w:r>
            <w:r w:rsidRPr="00E36357">
              <w:rPr>
                <w:rFonts w:ascii="Gotham" w:hAnsi="Gotham" w:cs="Arial"/>
                <w:sz w:val="18"/>
                <w:szCs w:val="18"/>
              </w:rPr>
              <w:t xml:space="preserve">Toda distinción, exclusión o restricción basada en sexo </w:t>
            </w:r>
            <w:r w:rsidRPr="00E36357">
              <w:rPr>
                <w:rFonts w:ascii="Gotham" w:hAnsi="Gotham" w:cs="Arial"/>
                <w:sz w:val="18"/>
                <w:szCs w:val="18"/>
                <w:u w:val="single"/>
              </w:rPr>
              <w:t>y/o género</w:t>
            </w:r>
            <w:r w:rsidRPr="00E36357">
              <w:rPr>
                <w:rFonts w:ascii="Gotham" w:hAnsi="Gotham" w:cs="Arial"/>
                <w:sz w:val="18"/>
                <w:szCs w:val="18"/>
              </w:rPr>
              <w:t xml:space="preserve"> que tenga por objeto o por resultado menoscabar o anular el reconocimiento, goce o ejercicio por la </w:t>
            </w:r>
            <w:r w:rsidRPr="00E36357">
              <w:rPr>
                <w:rFonts w:ascii="Gotham" w:hAnsi="Gotham" w:cs="Arial"/>
                <w:sz w:val="18"/>
                <w:szCs w:val="18"/>
              </w:rPr>
              <w:lastRenderedPageBreak/>
              <w:t>mujer, independientemente de su estado civil, sobre la base de la igualdad del hombre y la mujer, de los derechos humanos y las libertades fundamentales en las esferas política, económica, social, cultural y civil o en cualquier otra esfera;</w:t>
            </w:r>
          </w:p>
          <w:p w14:paraId="3A476150" w14:textId="77777777" w:rsidR="009B5E39" w:rsidRPr="00E36357" w:rsidRDefault="009B5E39" w:rsidP="00190E4A">
            <w:pPr>
              <w:rPr>
                <w:rFonts w:ascii="Gotham" w:hAnsi="Gotham" w:cs="Arial"/>
                <w:sz w:val="18"/>
                <w:szCs w:val="18"/>
              </w:rPr>
            </w:pPr>
          </w:p>
        </w:tc>
      </w:tr>
      <w:tr w:rsidR="009B5E39" w:rsidRPr="001335C7" w14:paraId="3A476154" w14:textId="77777777" w:rsidTr="00190E4A">
        <w:tc>
          <w:tcPr>
            <w:tcW w:w="4898" w:type="dxa"/>
            <w:tcBorders>
              <w:top w:val="nil"/>
              <w:left w:val="single" w:sz="4" w:space="0" w:color="000000"/>
              <w:bottom w:val="nil"/>
              <w:right w:val="single" w:sz="4" w:space="0" w:color="000000"/>
            </w:tcBorders>
          </w:tcPr>
          <w:p w14:paraId="3A476152" w14:textId="77777777" w:rsidR="009B5E39" w:rsidRPr="001335C7" w:rsidRDefault="009B5E39" w:rsidP="00190E4A">
            <w:pPr>
              <w:widowControl w:val="0"/>
              <w:spacing w:after="200"/>
              <w:ind w:right="40"/>
              <w:rPr>
                <w:rFonts w:ascii="Gotham" w:hAnsi="Gotham" w:cs="Arial"/>
                <w:sz w:val="18"/>
                <w:szCs w:val="18"/>
              </w:rPr>
            </w:pPr>
          </w:p>
        </w:tc>
        <w:tc>
          <w:tcPr>
            <w:tcW w:w="4899" w:type="dxa"/>
            <w:tcBorders>
              <w:top w:val="nil"/>
              <w:left w:val="single" w:sz="4" w:space="0" w:color="000000"/>
              <w:bottom w:val="nil"/>
              <w:right w:val="single" w:sz="4" w:space="0" w:color="000000"/>
            </w:tcBorders>
          </w:tcPr>
          <w:p w14:paraId="3A476153" w14:textId="77777777" w:rsidR="009B5E39" w:rsidRPr="00E36357" w:rsidRDefault="00FD6743" w:rsidP="00190E4A">
            <w:pPr>
              <w:widowControl w:val="0"/>
              <w:spacing w:before="240" w:after="240"/>
              <w:jc w:val="both"/>
              <w:rPr>
                <w:rFonts w:ascii="Gotham" w:hAnsi="Gotham" w:cs="Arial"/>
                <w:sz w:val="18"/>
                <w:szCs w:val="18"/>
              </w:rPr>
            </w:pPr>
            <w:sdt>
              <w:sdtPr>
                <w:rPr>
                  <w:rFonts w:ascii="Gotham" w:hAnsi="Gotham" w:cs="Arial"/>
                  <w:sz w:val="18"/>
                  <w:szCs w:val="18"/>
                </w:rPr>
                <w:tag w:val="goog_rdk_0"/>
                <w:id w:val="1831018490"/>
              </w:sdtPr>
              <w:sdtEndPr/>
              <w:sdtContent/>
            </w:sdt>
            <w:r w:rsidR="009B5E39" w:rsidRPr="00E36357">
              <w:rPr>
                <w:rFonts w:ascii="Gotham" w:hAnsi="Gotham" w:cs="Arial"/>
                <w:b/>
                <w:sz w:val="18"/>
                <w:szCs w:val="18"/>
              </w:rPr>
              <w:t>Diversidad sexual</w:t>
            </w:r>
            <w:r w:rsidR="009B5E39" w:rsidRPr="00E36357">
              <w:rPr>
                <w:rFonts w:ascii="Gotham" w:hAnsi="Gotham" w:cs="Arial"/>
                <w:sz w:val="18"/>
                <w:szCs w:val="18"/>
              </w:rPr>
              <w:t>: Hace referencia a todas las posibilidades de expresar y vivir la sexualidad, así como de asumir identidades y orientaciones sexuales (distintas en cada cultura y persona).</w:t>
            </w:r>
          </w:p>
        </w:tc>
      </w:tr>
      <w:tr w:rsidR="009B5E39" w:rsidRPr="001335C7" w14:paraId="3A476159" w14:textId="77777777" w:rsidTr="00190E4A">
        <w:tc>
          <w:tcPr>
            <w:tcW w:w="4898" w:type="dxa"/>
            <w:tcBorders>
              <w:top w:val="nil"/>
              <w:left w:val="single" w:sz="4" w:space="0" w:color="000000"/>
              <w:bottom w:val="nil"/>
              <w:right w:val="single" w:sz="4" w:space="0" w:color="000000"/>
            </w:tcBorders>
          </w:tcPr>
          <w:p w14:paraId="3A476155" w14:textId="77777777" w:rsidR="009B5E39" w:rsidRPr="001335C7" w:rsidRDefault="009B5E39" w:rsidP="00190E4A">
            <w:pPr>
              <w:widowControl w:val="0"/>
              <w:ind w:right="40"/>
              <w:rPr>
                <w:rFonts w:ascii="Gotham" w:hAnsi="Gotham" w:cs="Arial"/>
                <w:b/>
                <w:sz w:val="18"/>
                <w:szCs w:val="18"/>
              </w:rPr>
            </w:pPr>
          </w:p>
          <w:p w14:paraId="3A476156" w14:textId="77777777" w:rsidR="009B5E39" w:rsidRPr="001335C7" w:rsidRDefault="009B5E39" w:rsidP="00190E4A">
            <w:pPr>
              <w:widowControl w:val="0"/>
              <w:spacing w:after="200"/>
              <w:ind w:right="40"/>
              <w:jc w:val="both"/>
              <w:rPr>
                <w:rFonts w:ascii="Gotham" w:hAnsi="Gotham" w:cs="Arial"/>
                <w:sz w:val="18"/>
                <w:szCs w:val="18"/>
              </w:rPr>
            </w:pPr>
            <w:r w:rsidRPr="001335C7">
              <w:rPr>
                <w:rFonts w:ascii="Gotham" w:hAnsi="Gotham" w:cs="Arial"/>
                <w:b/>
                <w:sz w:val="18"/>
                <w:szCs w:val="18"/>
              </w:rPr>
              <w:t xml:space="preserve">XII. Equidad de género: </w:t>
            </w:r>
            <w:r w:rsidRPr="001335C7">
              <w:rPr>
                <w:rFonts w:ascii="Gotham" w:hAnsi="Gotham" w:cs="Arial"/>
                <w:sz w:val="18"/>
                <w:szCs w:val="18"/>
              </w:rPr>
              <w:t>Concepto que refiere al principio conforme al cual mujeres y hombres acceden con justicia e igualdad al uso, control y beneficio de los bienes y servicios de la sociedad, incluyendo aquellos socialmente valorados, con la finalidad de lograr la participación equitativa de las mujeres en la toma de decisiones, oportunidades y beneficios del desarrollo en todos los ámbitos de la vida social, económica, política, educativa, cultural y familiar;</w:t>
            </w:r>
          </w:p>
        </w:tc>
        <w:tc>
          <w:tcPr>
            <w:tcW w:w="4899" w:type="dxa"/>
            <w:tcBorders>
              <w:top w:val="nil"/>
              <w:left w:val="single" w:sz="4" w:space="0" w:color="000000"/>
              <w:bottom w:val="nil"/>
              <w:right w:val="single" w:sz="4" w:space="0" w:color="000000"/>
            </w:tcBorders>
          </w:tcPr>
          <w:p w14:paraId="3A476157" w14:textId="77777777" w:rsidR="009B5E39" w:rsidRPr="00E36357" w:rsidRDefault="009B5E39" w:rsidP="00190E4A">
            <w:pPr>
              <w:widowControl w:val="0"/>
              <w:spacing w:before="240" w:after="240"/>
              <w:jc w:val="both"/>
              <w:rPr>
                <w:rFonts w:ascii="Gotham" w:hAnsi="Gotham" w:cs="Arial"/>
                <w:sz w:val="18"/>
                <w:szCs w:val="18"/>
                <w:u w:val="single"/>
              </w:rPr>
            </w:pPr>
            <w:r w:rsidRPr="00E36357">
              <w:rPr>
                <w:rFonts w:ascii="Gotham" w:hAnsi="Gotham" w:cs="Arial"/>
                <w:b/>
                <w:sz w:val="18"/>
                <w:szCs w:val="18"/>
              </w:rPr>
              <w:t xml:space="preserve">XII. </w:t>
            </w:r>
            <w:sdt>
              <w:sdtPr>
                <w:rPr>
                  <w:rFonts w:ascii="Gotham" w:hAnsi="Gotham" w:cs="Arial"/>
                  <w:sz w:val="18"/>
                  <w:szCs w:val="18"/>
                </w:rPr>
                <w:tag w:val="goog_rdk_2"/>
                <w:id w:val="-1713413038"/>
              </w:sdtPr>
              <w:sdtEndPr/>
              <w:sdtContent/>
            </w:sdt>
            <w:r w:rsidRPr="00E36357">
              <w:rPr>
                <w:rFonts w:ascii="Gotham" w:hAnsi="Gotham" w:cs="Arial"/>
                <w:b/>
                <w:sz w:val="18"/>
                <w:szCs w:val="18"/>
              </w:rPr>
              <w:t>Equidad de género:</w:t>
            </w:r>
            <w:r w:rsidRPr="00E36357">
              <w:rPr>
                <w:rFonts w:ascii="Gotham" w:hAnsi="Gotham" w:cs="Arial"/>
                <w:sz w:val="18"/>
                <w:szCs w:val="18"/>
              </w:rPr>
              <w:t xml:space="preserve"> </w:t>
            </w:r>
            <w:r w:rsidRPr="00E36357">
              <w:rPr>
                <w:rFonts w:ascii="Gotham" w:hAnsi="Gotham" w:cs="Arial"/>
                <w:sz w:val="18"/>
                <w:szCs w:val="18"/>
                <w:u w:val="single"/>
              </w:rPr>
              <w:t>desaparece por ser un término obsoleto.</w:t>
            </w:r>
          </w:p>
          <w:p w14:paraId="3A476158" w14:textId="77777777" w:rsidR="009B5E39" w:rsidRPr="00E36357" w:rsidRDefault="009B5E39" w:rsidP="00190E4A">
            <w:pPr>
              <w:rPr>
                <w:rFonts w:ascii="Gotham" w:hAnsi="Gotham" w:cs="Arial"/>
                <w:sz w:val="18"/>
                <w:szCs w:val="18"/>
              </w:rPr>
            </w:pPr>
          </w:p>
        </w:tc>
      </w:tr>
      <w:tr w:rsidR="009B5E39" w:rsidRPr="001335C7" w14:paraId="3A47615C" w14:textId="77777777" w:rsidTr="00190E4A">
        <w:tc>
          <w:tcPr>
            <w:tcW w:w="4898" w:type="dxa"/>
            <w:tcBorders>
              <w:top w:val="nil"/>
              <w:left w:val="single" w:sz="4" w:space="0" w:color="000000"/>
              <w:bottom w:val="nil"/>
              <w:right w:val="single" w:sz="4" w:space="0" w:color="000000"/>
            </w:tcBorders>
            <w:shd w:val="clear" w:color="auto" w:fill="auto"/>
          </w:tcPr>
          <w:p w14:paraId="3A47615A" w14:textId="77777777" w:rsidR="009B5E39" w:rsidRPr="001335C7" w:rsidRDefault="009B5E39" w:rsidP="00190E4A">
            <w:pPr>
              <w:widowControl w:val="0"/>
              <w:spacing w:before="240" w:after="240"/>
              <w:jc w:val="both"/>
              <w:rPr>
                <w:rFonts w:ascii="Gotham" w:hAnsi="Gotham" w:cs="Arial"/>
                <w:b/>
                <w:sz w:val="18"/>
                <w:szCs w:val="18"/>
              </w:rPr>
            </w:pPr>
          </w:p>
        </w:tc>
        <w:tc>
          <w:tcPr>
            <w:tcW w:w="4899" w:type="dxa"/>
            <w:tcBorders>
              <w:top w:val="nil"/>
              <w:left w:val="single" w:sz="4" w:space="0" w:color="000000"/>
              <w:bottom w:val="nil"/>
              <w:right w:val="single" w:sz="4" w:space="0" w:color="000000"/>
            </w:tcBorders>
            <w:shd w:val="clear" w:color="auto" w:fill="auto"/>
          </w:tcPr>
          <w:p w14:paraId="3A47615B" w14:textId="77777777" w:rsidR="009B5E39" w:rsidRPr="001335C7" w:rsidRDefault="009B5E39" w:rsidP="00190E4A">
            <w:pPr>
              <w:widowControl w:val="0"/>
              <w:spacing w:before="240" w:after="240"/>
              <w:ind w:right="40"/>
              <w:jc w:val="both"/>
              <w:rPr>
                <w:rFonts w:ascii="Gotham" w:hAnsi="Gotham" w:cs="Arial"/>
                <w:b/>
                <w:sz w:val="18"/>
                <w:szCs w:val="18"/>
              </w:rPr>
            </w:pPr>
            <w:r w:rsidRPr="001335C7">
              <w:rPr>
                <w:rFonts w:ascii="Gotham" w:hAnsi="Gotham" w:cs="Arial"/>
                <w:b/>
                <w:sz w:val="18"/>
                <w:szCs w:val="18"/>
              </w:rPr>
              <w:t>Grupos prioritarios:</w:t>
            </w:r>
          </w:p>
        </w:tc>
      </w:tr>
      <w:tr w:rsidR="009B5E39" w:rsidRPr="001335C7" w14:paraId="3A476160" w14:textId="77777777" w:rsidTr="00190E4A">
        <w:tc>
          <w:tcPr>
            <w:tcW w:w="4898" w:type="dxa"/>
            <w:tcBorders>
              <w:top w:val="nil"/>
              <w:left w:val="single" w:sz="4" w:space="0" w:color="000000"/>
              <w:bottom w:val="nil"/>
              <w:right w:val="single" w:sz="4" w:space="0" w:color="000000"/>
            </w:tcBorders>
            <w:shd w:val="clear" w:color="auto" w:fill="auto"/>
          </w:tcPr>
          <w:p w14:paraId="3A47615D"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 xml:space="preserve">XIV. Identidad de género: </w:t>
            </w:r>
            <w:r w:rsidRPr="001335C7">
              <w:rPr>
                <w:rFonts w:ascii="Gotham" w:hAnsi="Gotham" w:cs="Arial"/>
                <w:sz w:val="18"/>
                <w:szCs w:val="18"/>
              </w:rPr>
              <w:t>Concepto que se tiene de uno mismo como ser sexual que puede corresponder o no con el sexo asignado al nacer;</w:t>
            </w:r>
          </w:p>
          <w:p w14:paraId="3A47615E" w14:textId="77777777" w:rsidR="009B5E39" w:rsidRPr="001335C7" w:rsidRDefault="009B5E39" w:rsidP="00190E4A">
            <w:pPr>
              <w:rPr>
                <w:rFonts w:ascii="Gotham" w:hAnsi="Gotham" w:cs="Arial"/>
                <w:sz w:val="18"/>
                <w:szCs w:val="18"/>
              </w:rPr>
            </w:pPr>
          </w:p>
        </w:tc>
        <w:tc>
          <w:tcPr>
            <w:tcW w:w="4899" w:type="dxa"/>
            <w:tcBorders>
              <w:top w:val="nil"/>
              <w:left w:val="single" w:sz="4" w:space="0" w:color="000000"/>
              <w:bottom w:val="nil"/>
              <w:right w:val="single" w:sz="4" w:space="0" w:color="000000"/>
            </w:tcBorders>
            <w:shd w:val="clear" w:color="auto" w:fill="auto"/>
          </w:tcPr>
          <w:p w14:paraId="3A47615F" w14:textId="77777777" w:rsidR="009B5E39" w:rsidRPr="001335C7" w:rsidRDefault="009B5E39" w:rsidP="00190E4A">
            <w:pPr>
              <w:widowControl w:val="0"/>
              <w:spacing w:before="240" w:after="240"/>
              <w:ind w:right="40"/>
              <w:jc w:val="both"/>
              <w:rPr>
                <w:rFonts w:ascii="Gotham" w:hAnsi="Gotham" w:cs="Arial"/>
                <w:sz w:val="18"/>
                <w:szCs w:val="18"/>
                <w:u w:val="single"/>
              </w:rPr>
            </w:pPr>
            <w:r w:rsidRPr="001335C7">
              <w:rPr>
                <w:rFonts w:ascii="Gotham" w:hAnsi="Gotham" w:cs="Arial"/>
                <w:b/>
                <w:sz w:val="18"/>
                <w:szCs w:val="18"/>
              </w:rPr>
              <w:t>XIV. Identidad de género:</w:t>
            </w:r>
            <w:r w:rsidRPr="001335C7">
              <w:rPr>
                <w:rFonts w:ascii="Gotham" w:hAnsi="Gotham" w:cs="Arial"/>
                <w:sz w:val="18"/>
                <w:szCs w:val="18"/>
              </w:rPr>
              <w:t xml:space="preserve"> </w:t>
            </w:r>
            <w:r w:rsidRPr="001335C7">
              <w:rPr>
                <w:rFonts w:ascii="Gotham" w:hAnsi="Gotham" w:cs="Arial"/>
                <w:sz w:val="18"/>
                <w:szCs w:val="18"/>
                <w:highlight w:val="yellow"/>
              </w:rPr>
              <w:t>Vivencia interna e individual del género, tal como cada persona la vive, misma que puede corresponder o no con el sexo asignado al nacer</w:t>
            </w:r>
            <w:r w:rsidRPr="001335C7">
              <w:rPr>
                <w:rFonts w:ascii="Gotham" w:hAnsi="Gotham" w:cs="Arial"/>
                <w:sz w:val="18"/>
                <w:szCs w:val="18"/>
              </w:rPr>
              <w:t>;</w:t>
            </w:r>
          </w:p>
        </w:tc>
      </w:tr>
      <w:tr w:rsidR="009B5E39" w:rsidRPr="001335C7" w14:paraId="3A47616A" w14:textId="77777777" w:rsidTr="00190E4A">
        <w:tc>
          <w:tcPr>
            <w:tcW w:w="4898" w:type="dxa"/>
            <w:tcBorders>
              <w:top w:val="nil"/>
              <w:left w:val="single" w:sz="4" w:space="0" w:color="000000"/>
              <w:bottom w:val="nil"/>
              <w:right w:val="single" w:sz="4" w:space="0" w:color="000000"/>
            </w:tcBorders>
            <w:shd w:val="clear" w:color="auto" w:fill="auto"/>
          </w:tcPr>
          <w:p w14:paraId="3A476161" w14:textId="77777777" w:rsidR="009B5E39" w:rsidRPr="001335C7" w:rsidRDefault="009B5E39" w:rsidP="00190E4A">
            <w:pPr>
              <w:jc w:val="both"/>
              <w:rPr>
                <w:rFonts w:ascii="Gotham" w:hAnsi="Gotham" w:cs="Arial"/>
                <w:b/>
                <w:sz w:val="18"/>
                <w:szCs w:val="18"/>
              </w:rPr>
            </w:pPr>
          </w:p>
          <w:p w14:paraId="3A47616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XVI. Igualdad de género: </w:t>
            </w:r>
            <w:r w:rsidRPr="001335C7">
              <w:rPr>
                <w:rFonts w:ascii="Gotham" w:hAnsi="Gotham" w:cs="Arial"/>
                <w:sz w:val="18"/>
                <w:szCs w:val="18"/>
              </w:rPr>
              <w:t xml:space="preserve">Situación en la cual </w:t>
            </w:r>
            <w:r w:rsidRPr="001335C7">
              <w:rPr>
                <w:rFonts w:ascii="Gotham" w:hAnsi="Gotham" w:cs="Arial"/>
                <w:sz w:val="18"/>
                <w:szCs w:val="18"/>
                <w:highlight w:val="yellow"/>
              </w:rPr>
              <w:t>mujeres y hombres</w:t>
            </w:r>
            <w:r w:rsidRPr="001335C7">
              <w:rPr>
                <w:rFonts w:ascii="Gotham" w:hAnsi="Gotham" w:cs="Arial"/>
                <w:sz w:val="18"/>
                <w:szCs w:val="18"/>
              </w:rPr>
              <w:t xml:space="preserve"> acceden con las mismas posibilidades y oportunidades al uso, control y beneficio de bienes, servicios y recursos de la sociedad, así como a la toma de decisiones en todos los ámbitos de la vida social, económica, política, cultural y familiar;</w:t>
            </w:r>
          </w:p>
          <w:p w14:paraId="3A476163" w14:textId="77777777" w:rsidR="009B5E39" w:rsidRPr="001335C7" w:rsidRDefault="009B5E39" w:rsidP="00190E4A">
            <w:pPr>
              <w:jc w:val="both"/>
              <w:rPr>
                <w:rFonts w:ascii="Gotham" w:hAnsi="Gotham" w:cs="Arial"/>
                <w:sz w:val="18"/>
                <w:szCs w:val="18"/>
              </w:rPr>
            </w:pPr>
          </w:p>
        </w:tc>
        <w:tc>
          <w:tcPr>
            <w:tcW w:w="4899" w:type="dxa"/>
            <w:tcBorders>
              <w:top w:val="nil"/>
              <w:left w:val="single" w:sz="4" w:space="0" w:color="000000"/>
              <w:bottom w:val="nil"/>
              <w:right w:val="single" w:sz="4" w:space="0" w:color="000000"/>
            </w:tcBorders>
            <w:shd w:val="clear" w:color="auto" w:fill="auto"/>
          </w:tcPr>
          <w:p w14:paraId="3A476164" w14:textId="77777777" w:rsidR="009B5E39" w:rsidRPr="001335C7" w:rsidRDefault="009B5E39" w:rsidP="00190E4A">
            <w:pPr>
              <w:rPr>
                <w:rFonts w:ascii="Gotham" w:hAnsi="Gotham" w:cs="Arial"/>
                <w:sz w:val="18"/>
                <w:szCs w:val="18"/>
              </w:rPr>
            </w:pPr>
          </w:p>
          <w:p w14:paraId="3A47616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XVI. Igualdad de género: </w:t>
            </w:r>
            <w:r w:rsidRPr="001335C7">
              <w:rPr>
                <w:rFonts w:ascii="Gotham" w:hAnsi="Gotham" w:cs="Arial"/>
                <w:sz w:val="18"/>
                <w:szCs w:val="18"/>
              </w:rPr>
              <w:t xml:space="preserve">Situación en la cual </w:t>
            </w:r>
            <w:r w:rsidRPr="001335C7">
              <w:rPr>
                <w:rFonts w:ascii="Gotham" w:hAnsi="Gotham" w:cs="Arial"/>
                <w:sz w:val="18"/>
                <w:szCs w:val="18"/>
                <w:highlight w:val="cyan"/>
              </w:rPr>
              <w:t>las personas</w:t>
            </w:r>
            <w:r w:rsidRPr="001335C7">
              <w:rPr>
                <w:rFonts w:ascii="Gotham" w:hAnsi="Gotham" w:cs="Arial"/>
                <w:sz w:val="18"/>
                <w:szCs w:val="18"/>
              </w:rPr>
              <w:t xml:space="preserve"> acceden con las mismas posibilidades y oportunidades al uso, control y beneficio de bienes, servicios y recursos de la sociedad, así como a la toma de decisiones en todos los ámbitos de la vida social, económica, política, cultural y familiar, </w:t>
            </w:r>
            <w:r w:rsidRPr="001335C7">
              <w:rPr>
                <w:rFonts w:ascii="Gotham" w:hAnsi="Gotham" w:cs="Arial"/>
                <w:sz w:val="18"/>
                <w:szCs w:val="18"/>
                <w:highlight w:val="cyan"/>
              </w:rPr>
              <w:t>sin importar su género</w:t>
            </w:r>
            <w:r w:rsidRPr="001335C7">
              <w:rPr>
                <w:rFonts w:ascii="Gotham" w:hAnsi="Gotham" w:cs="Arial"/>
                <w:sz w:val="18"/>
                <w:szCs w:val="18"/>
              </w:rPr>
              <w:t>;</w:t>
            </w:r>
          </w:p>
          <w:p w14:paraId="3A476166" w14:textId="77777777" w:rsidR="009B5E39" w:rsidRPr="001335C7" w:rsidRDefault="009B5E39" w:rsidP="00190E4A">
            <w:pPr>
              <w:jc w:val="both"/>
              <w:rPr>
                <w:rFonts w:ascii="Gotham" w:hAnsi="Gotham" w:cs="Arial"/>
                <w:sz w:val="18"/>
                <w:szCs w:val="18"/>
              </w:rPr>
            </w:pPr>
          </w:p>
          <w:p w14:paraId="3A476167" w14:textId="77777777" w:rsidR="009B5E39" w:rsidRPr="001335C7" w:rsidRDefault="009B5E39" w:rsidP="00190E4A">
            <w:pPr>
              <w:jc w:val="both"/>
              <w:rPr>
                <w:rFonts w:ascii="Gotham" w:hAnsi="Gotham" w:cs="Arial"/>
                <w:b/>
                <w:sz w:val="18"/>
                <w:szCs w:val="18"/>
              </w:rPr>
            </w:pPr>
          </w:p>
          <w:p w14:paraId="3A476168"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Igualdad Sustantiva:</w:t>
            </w:r>
          </w:p>
          <w:p w14:paraId="3A476169" w14:textId="77777777" w:rsidR="009B5E39" w:rsidRPr="001335C7" w:rsidRDefault="009B5E39" w:rsidP="00190E4A">
            <w:pPr>
              <w:rPr>
                <w:rFonts w:ascii="Gotham" w:hAnsi="Gotham" w:cs="Arial"/>
                <w:sz w:val="18"/>
                <w:szCs w:val="18"/>
              </w:rPr>
            </w:pPr>
          </w:p>
        </w:tc>
      </w:tr>
      <w:tr w:rsidR="009B5E39" w:rsidRPr="001335C7" w14:paraId="3A47616F" w14:textId="77777777" w:rsidTr="00190E4A">
        <w:tc>
          <w:tcPr>
            <w:tcW w:w="4898" w:type="dxa"/>
            <w:tcBorders>
              <w:top w:val="nil"/>
              <w:left w:val="single" w:sz="4" w:space="0" w:color="000000"/>
              <w:bottom w:val="nil"/>
              <w:right w:val="single" w:sz="4" w:space="0" w:color="000000"/>
            </w:tcBorders>
            <w:shd w:val="clear" w:color="auto" w:fill="auto"/>
          </w:tcPr>
          <w:p w14:paraId="3A47616B"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 xml:space="preserve">Medidas especiales de carácter temporal: </w:t>
            </w:r>
            <w:r w:rsidRPr="001335C7">
              <w:rPr>
                <w:rFonts w:ascii="Gotham" w:hAnsi="Gotham" w:cs="Arial"/>
                <w:sz w:val="18"/>
                <w:szCs w:val="18"/>
              </w:rPr>
              <w:t xml:space="preserve">Medidas institucionales encaminadas a acelerar la igualdad sustantiva </w:t>
            </w:r>
            <w:r w:rsidRPr="001335C7">
              <w:rPr>
                <w:rFonts w:ascii="Gotham" w:hAnsi="Gotham" w:cs="Arial"/>
                <w:sz w:val="18"/>
                <w:szCs w:val="18"/>
                <w:highlight w:val="yellow"/>
              </w:rPr>
              <w:t>entre las mujeres y los hombres</w:t>
            </w:r>
            <w:r w:rsidRPr="001335C7">
              <w:rPr>
                <w:rFonts w:ascii="Gotham" w:hAnsi="Gotham" w:cs="Arial"/>
                <w:sz w:val="18"/>
                <w:szCs w:val="18"/>
              </w:rPr>
              <w:t>.</w:t>
            </w:r>
          </w:p>
        </w:tc>
        <w:tc>
          <w:tcPr>
            <w:tcW w:w="4899" w:type="dxa"/>
            <w:tcBorders>
              <w:top w:val="nil"/>
              <w:left w:val="single" w:sz="4" w:space="0" w:color="000000"/>
              <w:bottom w:val="nil"/>
              <w:right w:val="single" w:sz="4" w:space="0" w:color="000000"/>
            </w:tcBorders>
            <w:shd w:val="clear" w:color="auto" w:fill="auto"/>
          </w:tcPr>
          <w:p w14:paraId="3A47616C" w14:textId="77777777" w:rsidR="009B5E39" w:rsidRPr="001335C7" w:rsidRDefault="009B5E39" w:rsidP="00190E4A">
            <w:pPr>
              <w:rPr>
                <w:rFonts w:ascii="Gotham" w:hAnsi="Gotham" w:cs="Arial"/>
                <w:sz w:val="18"/>
                <w:szCs w:val="18"/>
              </w:rPr>
            </w:pPr>
          </w:p>
          <w:p w14:paraId="3A47616D" w14:textId="77777777" w:rsidR="009B5E39" w:rsidRPr="001335C7" w:rsidRDefault="009B5E39" w:rsidP="00190E4A">
            <w:pPr>
              <w:widowControl w:val="0"/>
              <w:pBdr>
                <w:top w:val="nil"/>
                <w:left w:val="nil"/>
                <w:bottom w:val="nil"/>
                <w:right w:val="nil"/>
                <w:between w:val="nil"/>
              </w:pBdr>
              <w:jc w:val="both"/>
              <w:rPr>
                <w:rFonts w:ascii="Gotham" w:hAnsi="Gotham" w:cs="Arial"/>
                <w:sz w:val="18"/>
                <w:szCs w:val="18"/>
              </w:rPr>
            </w:pPr>
            <w:r w:rsidRPr="001335C7">
              <w:rPr>
                <w:rFonts w:ascii="Gotham" w:hAnsi="Gotham" w:cs="Arial"/>
                <w:b/>
                <w:sz w:val="18"/>
                <w:szCs w:val="18"/>
              </w:rPr>
              <w:t xml:space="preserve">Medidas especiales de carácter temporal: </w:t>
            </w:r>
            <w:r w:rsidRPr="001335C7">
              <w:rPr>
                <w:rFonts w:ascii="Gotham" w:hAnsi="Gotham" w:cs="Arial"/>
                <w:sz w:val="18"/>
                <w:szCs w:val="18"/>
              </w:rPr>
              <w:t xml:space="preserve">Medidas institucionales encaminadas a acelerar la igualdad sustantiva. </w:t>
            </w:r>
          </w:p>
          <w:p w14:paraId="3A47616E" w14:textId="77777777" w:rsidR="009B5E39" w:rsidRPr="001335C7" w:rsidRDefault="009B5E39" w:rsidP="00190E4A">
            <w:pPr>
              <w:rPr>
                <w:rFonts w:ascii="Gotham" w:hAnsi="Gotham" w:cs="Arial"/>
                <w:sz w:val="18"/>
                <w:szCs w:val="18"/>
              </w:rPr>
            </w:pPr>
          </w:p>
        </w:tc>
      </w:tr>
      <w:tr w:rsidR="009B5E39" w:rsidRPr="001335C7" w14:paraId="3A476175" w14:textId="77777777" w:rsidTr="00190E4A">
        <w:tc>
          <w:tcPr>
            <w:tcW w:w="4898" w:type="dxa"/>
            <w:tcBorders>
              <w:top w:val="nil"/>
              <w:left w:val="single" w:sz="4" w:space="0" w:color="000000"/>
              <w:bottom w:val="nil"/>
              <w:right w:val="single" w:sz="4" w:space="0" w:color="000000"/>
            </w:tcBorders>
            <w:shd w:val="clear" w:color="auto" w:fill="auto"/>
          </w:tcPr>
          <w:p w14:paraId="3A476170" w14:textId="77777777" w:rsidR="009B5E39" w:rsidRPr="001335C7" w:rsidRDefault="009B5E39" w:rsidP="00190E4A">
            <w:pPr>
              <w:jc w:val="both"/>
              <w:rPr>
                <w:rFonts w:ascii="Gotham" w:hAnsi="Gotham" w:cs="Arial"/>
                <w:b/>
                <w:sz w:val="18"/>
                <w:szCs w:val="18"/>
              </w:rPr>
            </w:pPr>
          </w:p>
          <w:p w14:paraId="3A476171"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XXVI.</w:t>
            </w:r>
            <w:r w:rsidRPr="001335C7">
              <w:rPr>
                <w:rFonts w:ascii="Gotham" w:hAnsi="Gotham" w:cs="Arial"/>
                <w:sz w:val="18"/>
                <w:szCs w:val="18"/>
              </w:rPr>
              <w:t xml:space="preserve"> </w:t>
            </w:r>
            <w:r w:rsidRPr="001335C7">
              <w:rPr>
                <w:rFonts w:ascii="Gotham" w:hAnsi="Gotham" w:cs="Arial"/>
                <w:b/>
                <w:sz w:val="18"/>
                <w:szCs w:val="18"/>
                <w:highlight w:val="white"/>
              </w:rPr>
              <w:t xml:space="preserve">Orientación sexual: </w:t>
            </w:r>
            <w:r w:rsidRPr="001335C7">
              <w:rPr>
                <w:rFonts w:ascii="Gotham" w:hAnsi="Gotham" w:cs="Arial"/>
                <w:sz w:val="18"/>
                <w:szCs w:val="18"/>
                <w:highlight w:val="white"/>
              </w:rPr>
              <w:t>Preferencia de toda persona de sentir atracción erótico afectiva, así como mantener relaciones íntimas y sexuales con personas de un género igual o distinto al suyo;</w:t>
            </w:r>
          </w:p>
        </w:tc>
        <w:tc>
          <w:tcPr>
            <w:tcW w:w="4899" w:type="dxa"/>
            <w:tcBorders>
              <w:top w:val="nil"/>
              <w:left w:val="single" w:sz="4" w:space="0" w:color="000000"/>
              <w:bottom w:val="nil"/>
              <w:right w:val="single" w:sz="4" w:space="0" w:color="000000"/>
            </w:tcBorders>
            <w:shd w:val="clear" w:color="auto" w:fill="auto"/>
          </w:tcPr>
          <w:p w14:paraId="3A476172" w14:textId="77777777" w:rsidR="009B5E39" w:rsidRPr="001335C7" w:rsidRDefault="009B5E39" w:rsidP="00190E4A">
            <w:pPr>
              <w:widowControl w:val="0"/>
              <w:pBdr>
                <w:top w:val="nil"/>
                <w:left w:val="nil"/>
                <w:bottom w:val="nil"/>
                <w:right w:val="nil"/>
                <w:between w:val="nil"/>
              </w:pBdr>
              <w:jc w:val="both"/>
              <w:rPr>
                <w:rFonts w:ascii="Gotham" w:hAnsi="Gotham" w:cs="Arial"/>
                <w:b/>
                <w:sz w:val="18"/>
                <w:szCs w:val="18"/>
              </w:rPr>
            </w:pPr>
          </w:p>
          <w:p w14:paraId="3A476173" w14:textId="77777777" w:rsidR="009B5E39" w:rsidRPr="001335C7" w:rsidRDefault="009B5E39" w:rsidP="00190E4A">
            <w:pPr>
              <w:widowControl w:val="0"/>
              <w:pBdr>
                <w:top w:val="nil"/>
                <w:left w:val="nil"/>
                <w:bottom w:val="nil"/>
                <w:right w:val="nil"/>
                <w:between w:val="nil"/>
              </w:pBdr>
              <w:jc w:val="both"/>
              <w:rPr>
                <w:rFonts w:ascii="Gotham" w:hAnsi="Gotham" w:cs="Arial"/>
                <w:sz w:val="18"/>
                <w:szCs w:val="18"/>
                <w:u w:val="single"/>
              </w:rPr>
            </w:pPr>
            <w:r w:rsidRPr="001335C7">
              <w:rPr>
                <w:rFonts w:ascii="Gotham" w:hAnsi="Gotham" w:cs="Arial"/>
                <w:b/>
                <w:sz w:val="18"/>
                <w:szCs w:val="18"/>
              </w:rPr>
              <w:t xml:space="preserve">XXVI. Orientación sexual: </w:t>
            </w:r>
            <w:r w:rsidRPr="001335C7">
              <w:rPr>
                <w:rFonts w:ascii="Gotham" w:hAnsi="Gotham" w:cs="Arial"/>
                <w:sz w:val="18"/>
                <w:szCs w:val="18"/>
              </w:rPr>
              <w:t xml:space="preserve">Capacidad de cada persona de sentir una atracción erótica afectiva </w:t>
            </w:r>
            <w:r w:rsidRPr="001335C7">
              <w:rPr>
                <w:rFonts w:ascii="Gotham" w:hAnsi="Gotham" w:cs="Arial"/>
                <w:sz w:val="18"/>
                <w:szCs w:val="18"/>
                <w:highlight w:val="cyan"/>
              </w:rPr>
              <w:t>por personas de un género diferente al suyo, o de su mismo género, o de más de un género o de una identidad de género, así como la capacidad de</w:t>
            </w:r>
            <w:r w:rsidRPr="001335C7">
              <w:rPr>
                <w:rFonts w:ascii="Gotham" w:hAnsi="Gotham" w:cs="Arial"/>
                <w:sz w:val="18"/>
                <w:szCs w:val="18"/>
              </w:rPr>
              <w:t xml:space="preserve"> </w:t>
            </w:r>
            <w:r w:rsidRPr="001335C7">
              <w:rPr>
                <w:rFonts w:ascii="Gotham" w:hAnsi="Gotham" w:cs="Arial"/>
                <w:sz w:val="18"/>
                <w:szCs w:val="18"/>
              </w:rPr>
              <w:lastRenderedPageBreak/>
              <w:t>mantener relaciones íntimas y sexuales con estas personas.</w:t>
            </w:r>
          </w:p>
          <w:p w14:paraId="3A476174" w14:textId="77777777" w:rsidR="009B5E39" w:rsidRPr="001335C7" w:rsidRDefault="009B5E39" w:rsidP="00190E4A">
            <w:pPr>
              <w:rPr>
                <w:rFonts w:ascii="Gotham" w:hAnsi="Gotham" w:cs="Arial"/>
                <w:sz w:val="18"/>
                <w:szCs w:val="18"/>
              </w:rPr>
            </w:pPr>
          </w:p>
        </w:tc>
      </w:tr>
      <w:tr w:rsidR="009B5E39" w:rsidRPr="001335C7" w14:paraId="3A476179" w14:textId="77777777" w:rsidTr="00190E4A">
        <w:tc>
          <w:tcPr>
            <w:tcW w:w="4898" w:type="dxa"/>
            <w:tcBorders>
              <w:top w:val="nil"/>
              <w:left w:val="single" w:sz="4" w:space="0" w:color="000000"/>
              <w:bottom w:val="nil"/>
              <w:right w:val="single" w:sz="4" w:space="0" w:color="000000"/>
            </w:tcBorders>
            <w:shd w:val="clear" w:color="auto" w:fill="auto"/>
          </w:tcPr>
          <w:p w14:paraId="3A476176" w14:textId="77777777" w:rsidR="009B5E39" w:rsidRPr="001335C7" w:rsidRDefault="009B5E39" w:rsidP="00190E4A">
            <w:pPr>
              <w:widowControl w:val="0"/>
              <w:ind w:right="40"/>
              <w:jc w:val="both"/>
              <w:rPr>
                <w:rFonts w:ascii="Gotham" w:hAnsi="Gotham" w:cs="Arial"/>
                <w:sz w:val="18"/>
                <w:szCs w:val="18"/>
                <w:highlight w:val="white"/>
              </w:rPr>
            </w:pPr>
            <w:r w:rsidRPr="001335C7">
              <w:rPr>
                <w:rFonts w:ascii="Gotham" w:hAnsi="Gotham" w:cs="Arial"/>
                <w:b/>
                <w:sz w:val="18"/>
                <w:szCs w:val="18"/>
                <w:highlight w:val="white"/>
              </w:rPr>
              <w:lastRenderedPageBreak/>
              <w:t xml:space="preserve">XXVIII. Persona agresora: </w:t>
            </w:r>
            <w:r w:rsidRPr="001335C7">
              <w:rPr>
                <w:rFonts w:ascii="Gotham" w:hAnsi="Gotham" w:cs="Arial"/>
                <w:sz w:val="18"/>
                <w:szCs w:val="18"/>
                <w:highlight w:val="white"/>
              </w:rPr>
              <w:t>Quien ejerce cualquier tipo de violencia contra las mujeres;</w:t>
            </w:r>
          </w:p>
          <w:p w14:paraId="3A476177" w14:textId="77777777" w:rsidR="009B5E39" w:rsidRPr="001335C7" w:rsidRDefault="009B5E39" w:rsidP="00190E4A">
            <w:pPr>
              <w:tabs>
                <w:tab w:val="left" w:pos="3870"/>
              </w:tabs>
              <w:rPr>
                <w:rFonts w:ascii="Gotham" w:hAnsi="Gotham" w:cs="Arial"/>
                <w:sz w:val="18"/>
                <w:szCs w:val="18"/>
              </w:rPr>
            </w:pPr>
          </w:p>
        </w:tc>
        <w:tc>
          <w:tcPr>
            <w:tcW w:w="4899" w:type="dxa"/>
            <w:tcBorders>
              <w:top w:val="nil"/>
              <w:left w:val="single" w:sz="4" w:space="0" w:color="000000"/>
              <w:bottom w:val="nil"/>
              <w:right w:val="single" w:sz="4" w:space="0" w:color="000000"/>
            </w:tcBorders>
            <w:shd w:val="clear" w:color="auto" w:fill="auto"/>
          </w:tcPr>
          <w:p w14:paraId="3A476178"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highlight w:val="white"/>
              </w:rPr>
              <w:t xml:space="preserve">XXVIII. Persona agresora: </w:t>
            </w:r>
            <w:r w:rsidRPr="001335C7">
              <w:rPr>
                <w:rFonts w:ascii="Gotham" w:hAnsi="Gotham" w:cs="Arial"/>
                <w:sz w:val="18"/>
                <w:szCs w:val="18"/>
                <w:highlight w:val="white"/>
              </w:rPr>
              <w:t xml:space="preserve">Quien ejerce cualquier tipo de violencia contra las mujeres </w:t>
            </w:r>
            <w:r w:rsidRPr="001335C7">
              <w:rPr>
                <w:rFonts w:ascii="Gotham" w:hAnsi="Gotham" w:cs="Arial"/>
                <w:sz w:val="18"/>
                <w:szCs w:val="18"/>
                <w:highlight w:val="white"/>
                <w:u w:val="single"/>
              </w:rPr>
              <w:t xml:space="preserve">y </w:t>
            </w:r>
            <w:r w:rsidRPr="001335C7">
              <w:rPr>
                <w:rFonts w:ascii="Gotham" w:hAnsi="Gotham" w:cs="Arial"/>
                <w:sz w:val="18"/>
                <w:szCs w:val="18"/>
                <w:highlight w:val="cyan"/>
                <w:u w:val="single"/>
              </w:rPr>
              <w:t>grupos prioritarios</w:t>
            </w:r>
            <w:r w:rsidRPr="001335C7">
              <w:rPr>
                <w:rFonts w:ascii="Gotham" w:hAnsi="Gotham" w:cs="Arial"/>
                <w:sz w:val="18"/>
                <w:szCs w:val="18"/>
                <w:highlight w:val="cyan"/>
              </w:rPr>
              <w:t>;</w:t>
            </w:r>
          </w:p>
        </w:tc>
      </w:tr>
      <w:tr w:rsidR="009B5E39" w:rsidRPr="001335C7" w14:paraId="3A476183" w14:textId="77777777" w:rsidTr="00190E4A">
        <w:tc>
          <w:tcPr>
            <w:tcW w:w="4898" w:type="dxa"/>
            <w:tcBorders>
              <w:top w:val="nil"/>
              <w:left w:val="single" w:sz="4" w:space="0" w:color="000000"/>
              <w:bottom w:val="single" w:sz="4" w:space="0" w:color="000000"/>
              <w:right w:val="single" w:sz="4" w:space="0" w:color="000000"/>
            </w:tcBorders>
            <w:shd w:val="clear" w:color="auto" w:fill="auto"/>
          </w:tcPr>
          <w:p w14:paraId="3A47617A" w14:textId="77777777" w:rsidR="009B5E39" w:rsidRPr="001335C7" w:rsidRDefault="009B5E39" w:rsidP="00190E4A">
            <w:pPr>
              <w:widowControl w:val="0"/>
              <w:ind w:right="40"/>
              <w:jc w:val="both"/>
              <w:rPr>
                <w:rFonts w:ascii="Gotham" w:hAnsi="Gotham" w:cs="Arial"/>
                <w:sz w:val="18"/>
                <w:szCs w:val="18"/>
                <w:highlight w:val="white"/>
              </w:rPr>
            </w:pPr>
          </w:p>
          <w:p w14:paraId="3A47617B" w14:textId="77777777" w:rsidR="009B5E39" w:rsidRPr="001335C7" w:rsidRDefault="009B5E39" w:rsidP="00190E4A">
            <w:pPr>
              <w:widowControl w:val="0"/>
              <w:ind w:right="40"/>
              <w:jc w:val="both"/>
              <w:rPr>
                <w:rFonts w:ascii="Gotham" w:hAnsi="Gotham" w:cs="Arial"/>
                <w:sz w:val="18"/>
                <w:szCs w:val="18"/>
                <w:highlight w:val="white"/>
              </w:rPr>
            </w:pPr>
            <w:r w:rsidRPr="001335C7">
              <w:rPr>
                <w:rFonts w:ascii="Gotham" w:hAnsi="Gotham" w:cs="Arial"/>
                <w:b/>
                <w:sz w:val="18"/>
                <w:szCs w:val="18"/>
                <w:highlight w:val="white"/>
              </w:rPr>
              <w:t>XXXI. Transversalidad:</w:t>
            </w:r>
            <w:r w:rsidRPr="001335C7">
              <w:rPr>
                <w:rFonts w:ascii="Gotham" w:hAnsi="Gotham" w:cs="Arial"/>
                <w:sz w:val="18"/>
                <w:szCs w:val="18"/>
                <w:highlight w:val="white"/>
              </w:rPr>
              <w:t xml:space="preserve"> Es el proceso que permite garantizar la incorporación de la perspectiva de género con el objetivo de valorar las implicaciones que tiene </w:t>
            </w:r>
            <w:r w:rsidRPr="001335C7">
              <w:rPr>
                <w:rFonts w:ascii="Gotham" w:hAnsi="Gotham" w:cs="Arial"/>
                <w:sz w:val="18"/>
                <w:szCs w:val="18"/>
                <w:highlight w:val="yellow"/>
              </w:rPr>
              <w:t xml:space="preserve">para las mujeres y los hombres </w:t>
            </w:r>
            <w:r w:rsidRPr="001335C7">
              <w:rPr>
                <w:rFonts w:ascii="Gotham" w:hAnsi="Gotham" w:cs="Arial"/>
                <w:sz w:val="18"/>
                <w:szCs w:val="18"/>
                <w:highlight w:val="white"/>
              </w:rPr>
              <w:t>cualquier acción que se programe, tratándose de legislación, políticas públicas, actividades administrativas, económicas y culturales en las instituciones públicas y privadas;</w:t>
            </w:r>
          </w:p>
          <w:p w14:paraId="3A47617C" w14:textId="77777777" w:rsidR="009B5E39" w:rsidRPr="001335C7" w:rsidRDefault="009B5E39" w:rsidP="00190E4A">
            <w:pPr>
              <w:widowControl w:val="0"/>
              <w:ind w:right="40"/>
              <w:jc w:val="both"/>
              <w:rPr>
                <w:rFonts w:ascii="Gotham" w:hAnsi="Gotham" w:cs="Arial"/>
                <w:sz w:val="18"/>
                <w:szCs w:val="18"/>
              </w:rPr>
            </w:pPr>
          </w:p>
          <w:p w14:paraId="3A47617D" w14:textId="77777777" w:rsidR="009B5E39" w:rsidRPr="001335C7" w:rsidRDefault="009B5E39" w:rsidP="00190E4A">
            <w:pPr>
              <w:widowControl w:val="0"/>
              <w:ind w:right="40"/>
              <w:jc w:val="both"/>
              <w:rPr>
                <w:rFonts w:ascii="Gotham" w:hAnsi="Gotham" w:cs="Arial"/>
                <w:sz w:val="18"/>
                <w:szCs w:val="18"/>
                <w:highlight w:val="white"/>
              </w:rPr>
            </w:pPr>
          </w:p>
        </w:tc>
        <w:tc>
          <w:tcPr>
            <w:tcW w:w="4899" w:type="dxa"/>
            <w:tcBorders>
              <w:top w:val="nil"/>
              <w:left w:val="single" w:sz="4" w:space="0" w:color="000000"/>
              <w:bottom w:val="single" w:sz="4" w:space="0" w:color="000000"/>
              <w:right w:val="single" w:sz="4" w:space="0" w:color="000000"/>
            </w:tcBorders>
            <w:shd w:val="clear" w:color="auto" w:fill="auto"/>
          </w:tcPr>
          <w:p w14:paraId="3A47617E" w14:textId="77777777" w:rsidR="009B5E39" w:rsidRPr="001335C7" w:rsidRDefault="009B5E39" w:rsidP="00190E4A">
            <w:pPr>
              <w:jc w:val="both"/>
              <w:rPr>
                <w:rFonts w:ascii="Gotham" w:hAnsi="Gotham" w:cs="Arial"/>
                <w:sz w:val="18"/>
                <w:szCs w:val="18"/>
              </w:rPr>
            </w:pPr>
          </w:p>
          <w:p w14:paraId="3A47617F" w14:textId="77777777" w:rsidR="009B5E39" w:rsidRPr="001335C7" w:rsidRDefault="009B5E39" w:rsidP="00190E4A">
            <w:pPr>
              <w:jc w:val="both"/>
              <w:rPr>
                <w:rFonts w:ascii="Gotham" w:hAnsi="Gotham" w:cs="Arial"/>
                <w:sz w:val="18"/>
                <w:szCs w:val="18"/>
                <w:highlight w:val="white"/>
              </w:rPr>
            </w:pPr>
            <w:r w:rsidRPr="001335C7">
              <w:rPr>
                <w:rFonts w:ascii="Gotham" w:hAnsi="Gotham" w:cs="Arial"/>
                <w:b/>
                <w:sz w:val="18"/>
                <w:szCs w:val="18"/>
                <w:highlight w:val="white"/>
              </w:rPr>
              <w:t>XXXI. Transversalidad:</w:t>
            </w:r>
            <w:r w:rsidRPr="001335C7">
              <w:rPr>
                <w:rFonts w:ascii="Gotham" w:hAnsi="Gotham" w:cs="Arial"/>
                <w:sz w:val="18"/>
                <w:szCs w:val="18"/>
                <w:highlight w:val="white"/>
              </w:rPr>
              <w:t xml:space="preserve"> Es el proceso que permite garantizar la incorporación de la perspectiva de género con el objetivo de valorar las implicaciones que tiene </w:t>
            </w:r>
            <w:r w:rsidRPr="001335C7">
              <w:rPr>
                <w:rFonts w:ascii="Gotham" w:hAnsi="Gotham" w:cs="Arial"/>
                <w:sz w:val="18"/>
                <w:szCs w:val="18"/>
                <w:highlight w:val="cyan"/>
              </w:rPr>
              <w:t>para las personas</w:t>
            </w:r>
            <w:r w:rsidRPr="001335C7">
              <w:rPr>
                <w:rFonts w:ascii="Gotham" w:hAnsi="Gotham" w:cs="Arial"/>
                <w:sz w:val="18"/>
                <w:szCs w:val="18"/>
              </w:rPr>
              <w:t xml:space="preserve"> cualquier acción que se programe, tratándose</w:t>
            </w:r>
            <w:r w:rsidRPr="001335C7">
              <w:rPr>
                <w:rFonts w:ascii="Gotham" w:hAnsi="Gotham" w:cs="Arial"/>
                <w:sz w:val="18"/>
                <w:szCs w:val="18"/>
                <w:highlight w:val="white"/>
              </w:rPr>
              <w:t>, tratándose de legislación, políticas públicas, actividades administrativas, económicas y culturales en las instituciones públicas y privadas;</w:t>
            </w:r>
          </w:p>
          <w:p w14:paraId="3A476180" w14:textId="77777777" w:rsidR="009B5E39" w:rsidRPr="001335C7" w:rsidRDefault="009B5E39" w:rsidP="00190E4A">
            <w:pPr>
              <w:jc w:val="both"/>
              <w:rPr>
                <w:rFonts w:ascii="Gotham" w:hAnsi="Gotham" w:cs="Arial"/>
                <w:sz w:val="18"/>
                <w:szCs w:val="18"/>
                <w:highlight w:val="white"/>
              </w:rPr>
            </w:pPr>
          </w:p>
          <w:p w14:paraId="3A476181" w14:textId="50D7F154" w:rsidR="009B5E39" w:rsidRPr="001335C7" w:rsidRDefault="009B5E39" w:rsidP="00190E4A">
            <w:pPr>
              <w:jc w:val="both"/>
              <w:rPr>
                <w:rFonts w:ascii="Gotham" w:hAnsi="Gotham" w:cs="Arial"/>
                <w:b/>
                <w:sz w:val="18"/>
                <w:szCs w:val="18"/>
                <w:highlight w:val="white"/>
              </w:rPr>
            </w:pPr>
            <w:r w:rsidRPr="001335C7">
              <w:rPr>
                <w:rFonts w:ascii="Gotham" w:hAnsi="Gotham" w:cs="Arial"/>
                <w:b/>
                <w:sz w:val="18"/>
                <w:szCs w:val="18"/>
                <w:highlight w:val="white"/>
              </w:rPr>
              <w:t xml:space="preserve">Unidad de Género y No </w:t>
            </w:r>
            <w:r w:rsidR="00281C67" w:rsidRPr="001335C7">
              <w:rPr>
                <w:rFonts w:ascii="Gotham" w:hAnsi="Gotham" w:cs="Arial"/>
                <w:b/>
                <w:sz w:val="18"/>
                <w:szCs w:val="18"/>
                <w:highlight w:val="white"/>
              </w:rPr>
              <w:t>Discriminación</w:t>
            </w:r>
            <w:r w:rsidRPr="001335C7">
              <w:rPr>
                <w:rFonts w:ascii="Gotham" w:hAnsi="Gotham" w:cs="Arial"/>
                <w:b/>
                <w:sz w:val="18"/>
                <w:szCs w:val="18"/>
                <w:highlight w:val="white"/>
              </w:rPr>
              <w:t>:</w:t>
            </w:r>
          </w:p>
          <w:p w14:paraId="3A476182" w14:textId="77777777" w:rsidR="009B5E39" w:rsidRPr="001335C7" w:rsidRDefault="009B5E39" w:rsidP="00190E4A">
            <w:pPr>
              <w:jc w:val="both"/>
              <w:rPr>
                <w:rFonts w:ascii="Gotham" w:hAnsi="Gotham" w:cs="Arial"/>
                <w:sz w:val="18"/>
                <w:szCs w:val="18"/>
                <w:highlight w:val="white"/>
              </w:rPr>
            </w:pPr>
          </w:p>
        </w:tc>
      </w:tr>
      <w:tr w:rsidR="009B5E39" w:rsidRPr="001335C7" w14:paraId="3A47618E" w14:textId="77777777" w:rsidTr="00190E4A">
        <w:tc>
          <w:tcPr>
            <w:tcW w:w="4898" w:type="dxa"/>
            <w:tcBorders>
              <w:top w:val="single" w:sz="4" w:space="0" w:color="000000"/>
              <w:bottom w:val="single" w:sz="4" w:space="0" w:color="000000"/>
            </w:tcBorders>
            <w:shd w:val="clear" w:color="auto" w:fill="auto"/>
          </w:tcPr>
          <w:p w14:paraId="3A476184" w14:textId="77777777" w:rsidR="009B5E39" w:rsidRPr="001335C7" w:rsidRDefault="009B5E39" w:rsidP="00190E4A">
            <w:pPr>
              <w:widowControl w:val="0"/>
              <w:ind w:right="40"/>
              <w:jc w:val="both"/>
              <w:rPr>
                <w:rFonts w:ascii="Gotham" w:hAnsi="Gotham" w:cs="Arial"/>
                <w:sz w:val="18"/>
                <w:szCs w:val="18"/>
              </w:rPr>
            </w:pPr>
          </w:p>
          <w:p w14:paraId="3A476185" w14:textId="77777777" w:rsidR="009B5E39" w:rsidRPr="001335C7" w:rsidRDefault="009B5E39" w:rsidP="00190E4A">
            <w:pPr>
              <w:pBdr>
                <w:top w:val="nil"/>
                <w:left w:val="nil"/>
                <w:bottom w:val="nil"/>
                <w:right w:val="nil"/>
                <w:between w:val="nil"/>
              </w:pBdr>
              <w:jc w:val="both"/>
              <w:rPr>
                <w:rFonts w:ascii="Gotham" w:hAnsi="Gotham" w:cs="Arial"/>
                <w:sz w:val="18"/>
                <w:szCs w:val="18"/>
              </w:rPr>
            </w:pPr>
            <w:r w:rsidRPr="001335C7">
              <w:rPr>
                <w:rFonts w:ascii="Gotham" w:hAnsi="Gotham" w:cs="Arial"/>
                <w:b/>
                <w:sz w:val="18"/>
                <w:szCs w:val="18"/>
              </w:rPr>
              <w:t>Artículo 6.-</w:t>
            </w:r>
            <w:r w:rsidRPr="001335C7">
              <w:rPr>
                <w:rFonts w:ascii="Gotham" w:hAnsi="Gotham" w:cs="Arial"/>
                <w:sz w:val="18"/>
                <w:szCs w:val="18"/>
              </w:rPr>
              <w:t xml:space="preserve"> El presente código tiene por objeto lo siguiente:</w:t>
            </w:r>
          </w:p>
          <w:p w14:paraId="3A476186" w14:textId="77777777" w:rsidR="009B5E39" w:rsidRPr="001335C7" w:rsidRDefault="009B5E39" w:rsidP="00190E4A">
            <w:pPr>
              <w:pBdr>
                <w:top w:val="nil"/>
                <w:left w:val="nil"/>
                <w:bottom w:val="nil"/>
                <w:right w:val="nil"/>
                <w:between w:val="nil"/>
              </w:pBdr>
              <w:jc w:val="both"/>
              <w:rPr>
                <w:rFonts w:ascii="Gotham" w:hAnsi="Gotham" w:cs="Arial"/>
                <w:sz w:val="18"/>
                <w:szCs w:val="18"/>
              </w:rPr>
            </w:pPr>
          </w:p>
          <w:p w14:paraId="3A476187" w14:textId="77777777" w:rsidR="009B5E39" w:rsidRPr="001335C7" w:rsidRDefault="009B5E39" w:rsidP="00190E4A">
            <w:pPr>
              <w:pBdr>
                <w:top w:val="nil"/>
                <w:left w:val="nil"/>
                <w:bottom w:val="nil"/>
                <w:right w:val="nil"/>
                <w:between w:val="nil"/>
              </w:pBdr>
              <w:jc w:val="both"/>
              <w:rPr>
                <w:rFonts w:ascii="Gotham" w:hAnsi="Gotham" w:cs="Arial"/>
                <w:sz w:val="18"/>
                <w:szCs w:val="18"/>
              </w:rPr>
            </w:pPr>
            <w:r w:rsidRPr="001335C7">
              <w:rPr>
                <w:rFonts w:ascii="Gotham" w:hAnsi="Gotham" w:cs="Arial"/>
                <w:sz w:val="18"/>
                <w:szCs w:val="18"/>
              </w:rPr>
              <w:t xml:space="preserve">I. Regular, promover, proteger, respetar y garantizar la igualdad y la no discriminación </w:t>
            </w:r>
            <w:r w:rsidRPr="001335C7">
              <w:rPr>
                <w:rFonts w:ascii="Gotham" w:hAnsi="Gotham" w:cs="Arial"/>
                <w:sz w:val="18"/>
                <w:szCs w:val="18"/>
                <w:highlight w:val="yellow"/>
              </w:rPr>
              <w:t>entre mujeres y hombres</w:t>
            </w:r>
            <w:r w:rsidRPr="001335C7">
              <w:rPr>
                <w:rFonts w:ascii="Gotham" w:hAnsi="Gotham" w:cs="Arial"/>
                <w:sz w:val="18"/>
                <w:szCs w:val="18"/>
              </w:rPr>
              <w:t xml:space="preserve"> y proponer los lineamientos y mecanismos institucionales que orienten al Municipio hacia el cumplimiento de la igualdad sustantiva en los ámbitos público y privado; y</w:t>
            </w:r>
          </w:p>
          <w:p w14:paraId="3A476188" w14:textId="77777777" w:rsidR="009B5E39" w:rsidRPr="001335C7" w:rsidRDefault="009B5E39" w:rsidP="00190E4A">
            <w:pPr>
              <w:widowControl w:val="0"/>
              <w:ind w:right="40"/>
              <w:jc w:val="both"/>
              <w:rPr>
                <w:rFonts w:ascii="Gotham" w:hAnsi="Gotham" w:cs="Arial"/>
                <w:sz w:val="18"/>
                <w:szCs w:val="18"/>
                <w:highlight w:val="white"/>
              </w:rPr>
            </w:pPr>
          </w:p>
        </w:tc>
        <w:tc>
          <w:tcPr>
            <w:tcW w:w="4899" w:type="dxa"/>
            <w:tcBorders>
              <w:top w:val="single" w:sz="4" w:space="0" w:color="000000"/>
            </w:tcBorders>
            <w:shd w:val="clear" w:color="auto" w:fill="auto"/>
          </w:tcPr>
          <w:p w14:paraId="3A476189" w14:textId="77777777" w:rsidR="009B5E39" w:rsidRPr="001335C7" w:rsidRDefault="009B5E39" w:rsidP="00190E4A">
            <w:pPr>
              <w:jc w:val="both"/>
              <w:rPr>
                <w:rFonts w:ascii="Gotham" w:hAnsi="Gotham" w:cs="Arial"/>
                <w:sz w:val="18"/>
                <w:szCs w:val="18"/>
              </w:rPr>
            </w:pPr>
          </w:p>
          <w:p w14:paraId="3A47618A" w14:textId="77777777" w:rsidR="009B5E39" w:rsidRPr="001335C7" w:rsidRDefault="009B5E39" w:rsidP="00190E4A">
            <w:pPr>
              <w:pBdr>
                <w:top w:val="nil"/>
                <w:left w:val="nil"/>
                <w:bottom w:val="nil"/>
                <w:right w:val="nil"/>
                <w:between w:val="nil"/>
              </w:pBdr>
              <w:jc w:val="both"/>
              <w:rPr>
                <w:rFonts w:ascii="Gotham" w:hAnsi="Gotham" w:cs="Arial"/>
                <w:sz w:val="18"/>
                <w:szCs w:val="18"/>
              </w:rPr>
            </w:pPr>
            <w:r w:rsidRPr="001335C7">
              <w:rPr>
                <w:rFonts w:ascii="Gotham" w:hAnsi="Gotham" w:cs="Arial"/>
                <w:b/>
                <w:sz w:val="18"/>
                <w:szCs w:val="18"/>
              </w:rPr>
              <w:t>Artículo 6.-</w:t>
            </w:r>
            <w:r w:rsidRPr="001335C7">
              <w:rPr>
                <w:rFonts w:ascii="Gotham" w:hAnsi="Gotham" w:cs="Arial"/>
                <w:sz w:val="18"/>
                <w:szCs w:val="18"/>
              </w:rPr>
              <w:t xml:space="preserve"> El presente código tiene por objeto lo siguiente:</w:t>
            </w:r>
          </w:p>
          <w:p w14:paraId="3A47618B" w14:textId="77777777" w:rsidR="009B5E39" w:rsidRPr="001335C7" w:rsidRDefault="009B5E39" w:rsidP="00190E4A">
            <w:pPr>
              <w:pBdr>
                <w:top w:val="nil"/>
                <w:left w:val="nil"/>
                <w:bottom w:val="nil"/>
                <w:right w:val="nil"/>
                <w:between w:val="nil"/>
              </w:pBdr>
              <w:jc w:val="both"/>
              <w:rPr>
                <w:rFonts w:ascii="Gotham" w:hAnsi="Gotham" w:cs="Arial"/>
                <w:sz w:val="18"/>
                <w:szCs w:val="18"/>
              </w:rPr>
            </w:pPr>
          </w:p>
          <w:p w14:paraId="3A47618C" w14:textId="77777777" w:rsidR="009B5E39" w:rsidRPr="001335C7" w:rsidRDefault="009B5E39" w:rsidP="00190E4A">
            <w:pPr>
              <w:pBdr>
                <w:top w:val="nil"/>
                <w:left w:val="nil"/>
                <w:bottom w:val="nil"/>
                <w:right w:val="nil"/>
                <w:between w:val="nil"/>
              </w:pBdr>
              <w:jc w:val="both"/>
              <w:rPr>
                <w:rFonts w:ascii="Gotham" w:hAnsi="Gotham" w:cs="Arial"/>
                <w:sz w:val="18"/>
                <w:szCs w:val="18"/>
              </w:rPr>
            </w:pPr>
            <w:r w:rsidRPr="001335C7">
              <w:rPr>
                <w:rFonts w:ascii="Gotham" w:hAnsi="Gotham" w:cs="Arial"/>
                <w:sz w:val="18"/>
                <w:szCs w:val="18"/>
              </w:rPr>
              <w:t>I. Regular, promover, proteger, respetar y garantizar la igualdad y la no discriminación y proponer los lineamientos y mecanismos institucionales que orienten al Municipio hacia el cumplimiento de la igualdad sustantiva en los ámbitos público y privado; y</w:t>
            </w:r>
          </w:p>
          <w:p w14:paraId="3A47618D" w14:textId="77777777" w:rsidR="009B5E39" w:rsidRPr="001335C7" w:rsidRDefault="009B5E39" w:rsidP="00190E4A">
            <w:pPr>
              <w:jc w:val="both"/>
              <w:rPr>
                <w:rFonts w:ascii="Gotham" w:hAnsi="Gotham" w:cs="Arial"/>
                <w:sz w:val="18"/>
                <w:szCs w:val="18"/>
                <w:highlight w:val="white"/>
              </w:rPr>
            </w:pPr>
          </w:p>
        </w:tc>
      </w:tr>
      <w:tr w:rsidR="009B5E39" w:rsidRPr="001335C7" w14:paraId="3A476194" w14:textId="77777777" w:rsidTr="00190E4A">
        <w:tc>
          <w:tcPr>
            <w:tcW w:w="4898" w:type="dxa"/>
            <w:tcBorders>
              <w:top w:val="single" w:sz="4" w:space="0" w:color="000000"/>
              <w:bottom w:val="single" w:sz="4" w:space="0" w:color="000000"/>
            </w:tcBorders>
            <w:shd w:val="clear" w:color="auto" w:fill="auto"/>
          </w:tcPr>
          <w:p w14:paraId="3A47618F" w14:textId="77777777" w:rsidR="009B5E39" w:rsidRPr="001335C7" w:rsidRDefault="009B5E39" w:rsidP="00190E4A">
            <w:pPr>
              <w:jc w:val="both"/>
              <w:rPr>
                <w:rFonts w:ascii="Gotham" w:hAnsi="Gotham" w:cs="Arial"/>
                <w:b/>
                <w:sz w:val="18"/>
                <w:szCs w:val="18"/>
              </w:rPr>
            </w:pPr>
          </w:p>
          <w:p w14:paraId="3A476190" w14:textId="6FB65AA0"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9.</w:t>
            </w:r>
            <w:r w:rsidRPr="001335C7">
              <w:rPr>
                <w:rFonts w:ascii="Gotham" w:hAnsi="Gotham" w:cs="Arial"/>
                <w:sz w:val="18"/>
                <w:szCs w:val="18"/>
              </w:rPr>
              <w:t xml:space="preserve">- Para llevar a cabo sus funciones, el Instituto podrá auxiliarse de las dependencias del Gobierno Municipal a fin de lograr la </w:t>
            </w:r>
            <w:r w:rsidR="00281C67" w:rsidRPr="001335C7">
              <w:rPr>
                <w:rFonts w:ascii="Gotham" w:hAnsi="Gotham" w:cs="Arial"/>
                <w:sz w:val="18"/>
                <w:szCs w:val="18"/>
              </w:rPr>
              <w:t>transversalización</w:t>
            </w:r>
            <w:r w:rsidRPr="001335C7">
              <w:rPr>
                <w:rFonts w:ascii="Gotham" w:hAnsi="Gotham" w:cs="Arial"/>
                <w:sz w:val="18"/>
                <w:szCs w:val="18"/>
              </w:rPr>
              <w:t xml:space="preserve"> de la perspectiva de género y el pleno cumplimiento de sus atribuciones y objetivos a favor de las mujeres del Municipio.</w:t>
            </w:r>
          </w:p>
          <w:p w14:paraId="3A476191" w14:textId="77777777" w:rsidR="009B5E39" w:rsidRPr="001335C7" w:rsidRDefault="009B5E39" w:rsidP="00190E4A">
            <w:pPr>
              <w:jc w:val="both"/>
              <w:rPr>
                <w:rFonts w:ascii="Gotham" w:hAnsi="Gotham" w:cs="Arial"/>
                <w:sz w:val="18"/>
                <w:szCs w:val="18"/>
              </w:rPr>
            </w:pPr>
          </w:p>
        </w:tc>
        <w:tc>
          <w:tcPr>
            <w:tcW w:w="4899" w:type="dxa"/>
            <w:tcBorders>
              <w:top w:val="single" w:sz="4" w:space="0" w:color="000000"/>
            </w:tcBorders>
            <w:shd w:val="clear" w:color="auto" w:fill="auto"/>
          </w:tcPr>
          <w:p w14:paraId="3A476192" w14:textId="77777777" w:rsidR="009B5E39" w:rsidRPr="001335C7" w:rsidRDefault="009B5E39" w:rsidP="00190E4A">
            <w:pPr>
              <w:jc w:val="both"/>
              <w:rPr>
                <w:rFonts w:ascii="Gotham" w:hAnsi="Gotham" w:cs="Arial"/>
                <w:b/>
                <w:sz w:val="18"/>
                <w:szCs w:val="18"/>
              </w:rPr>
            </w:pPr>
          </w:p>
          <w:p w14:paraId="3A476193"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9.</w:t>
            </w:r>
            <w:r w:rsidRPr="001335C7">
              <w:rPr>
                <w:rFonts w:ascii="Gotham" w:hAnsi="Gotham" w:cs="Arial"/>
                <w:sz w:val="18"/>
                <w:szCs w:val="18"/>
              </w:rPr>
              <w:t xml:space="preserve">- Para llevar a cabo sus funciones, el Instituto podrá auxiliarse de las dependencias del Gobierno Municipal a fin de lograr la </w:t>
            </w:r>
            <w:r w:rsidRPr="001335C7">
              <w:rPr>
                <w:rFonts w:ascii="Gotham" w:hAnsi="Gotham" w:cs="Arial"/>
                <w:sz w:val="18"/>
                <w:szCs w:val="18"/>
                <w:u w:val="single"/>
              </w:rPr>
              <w:t>transversalización</w:t>
            </w:r>
            <w:r w:rsidRPr="001335C7">
              <w:rPr>
                <w:rFonts w:ascii="Gotham" w:hAnsi="Gotham" w:cs="Arial"/>
                <w:sz w:val="18"/>
                <w:szCs w:val="18"/>
              </w:rPr>
              <w:t xml:space="preserve"> de la perspectiva de género y el pleno cumplimiento de sus atribuciones y objetivos a favor de las mujeres del Municipio.</w:t>
            </w:r>
          </w:p>
        </w:tc>
      </w:tr>
      <w:tr w:rsidR="009B5E39" w:rsidRPr="001335C7" w14:paraId="3A47619A" w14:textId="77777777" w:rsidTr="00190E4A">
        <w:trPr>
          <w:trHeight w:val="314"/>
        </w:trPr>
        <w:tc>
          <w:tcPr>
            <w:tcW w:w="4898" w:type="dxa"/>
            <w:tcBorders>
              <w:bottom w:val="single" w:sz="4" w:space="0" w:color="000000"/>
            </w:tcBorders>
            <w:shd w:val="clear" w:color="auto" w:fill="auto"/>
          </w:tcPr>
          <w:p w14:paraId="3A476195" w14:textId="77777777" w:rsidR="009B5E39" w:rsidRPr="001335C7" w:rsidRDefault="009B5E39" w:rsidP="00190E4A">
            <w:pPr>
              <w:jc w:val="both"/>
              <w:rPr>
                <w:rFonts w:ascii="Gotham" w:hAnsi="Gotham" w:cs="Arial"/>
                <w:b/>
                <w:sz w:val="18"/>
                <w:szCs w:val="18"/>
              </w:rPr>
            </w:pPr>
          </w:p>
          <w:p w14:paraId="3A47619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10.- </w:t>
            </w:r>
            <w:r w:rsidRPr="001335C7">
              <w:rPr>
                <w:rFonts w:ascii="Gotham" w:hAnsi="Gotham" w:cs="Arial"/>
                <w:sz w:val="18"/>
                <w:szCs w:val="18"/>
              </w:rPr>
              <w:t>El Instituto tiene como objetivo general crear, promover, divulgar y ejecutar acciones, estrategias, medidas, mecanismos, proyectos y programas para garantizar el ejercicio pleno de los derechos de las mujeres</w:t>
            </w:r>
            <w:r w:rsidR="007C2F8D">
              <w:rPr>
                <w:rFonts w:ascii="Gotham" w:hAnsi="Gotham" w:cs="Arial"/>
                <w:sz w:val="18"/>
                <w:szCs w:val="18"/>
              </w:rPr>
              <w:t xml:space="preserve"> </w:t>
            </w:r>
            <w:r w:rsidRPr="001335C7">
              <w:rPr>
                <w:rFonts w:ascii="Gotham" w:hAnsi="Gotham" w:cs="Arial"/>
                <w:sz w:val="18"/>
                <w:szCs w:val="18"/>
              </w:rPr>
              <w:t>establecidos en la Constitución Política de los Estados Unidos Mexicanos, la Constitución Política del Estado de Jalisco, los tratados internacionales y convenciones y demás legislación vigente y aplicable en la materia.</w:t>
            </w:r>
          </w:p>
          <w:p w14:paraId="3A476197" w14:textId="77777777" w:rsidR="009B5E39" w:rsidRPr="001335C7" w:rsidRDefault="009B5E39" w:rsidP="00190E4A">
            <w:pPr>
              <w:jc w:val="both"/>
              <w:rPr>
                <w:rFonts w:ascii="Gotham" w:hAnsi="Gotham" w:cs="Arial"/>
                <w:b/>
                <w:sz w:val="18"/>
                <w:szCs w:val="18"/>
              </w:rPr>
            </w:pPr>
          </w:p>
        </w:tc>
        <w:tc>
          <w:tcPr>
            <w:tcW w:w="4899" w:type="dxa"/>
            <w:tcBorders>
              <w:bottom w:val="single" w:sz="4" w:space="0" w:color="000000"/>
            </w:tcBorders>
            <w:shd w:val="clear" w:color="auto" w:fill="auto"/>
          </w:tcPr>
          <w:p w14:paraId="3A476198" w14:textId="77777777" w:rsidR="009B5E39" w:rsidRPr="001335C7" w:rsidRDefault="009B5E39" w:rsidP="00190E4A">
            <w:pPr>
              <w:jc w:val="both"/>
              <w:rPr>
                <w:rFonts w:ascii="Gotham" w:hAnsi="Gotham" w:cs="Arial"/>
                <w:b/>
                <w:sz w:val="18"/>
                <w:szCs w:val="18"/>
              </w:rPr>
            </w:pPr>
          </w:p>
          <w:p w14:paraId="3A476199"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10.- </w:t>
            </w:r>
            <w:r w:rsidRPr="001335C7">
              <w:rPr>
                <w:rFonts w:ascii="Gotham" w:hAnsi="Gotham" w:cs="Arial"/>
                <w:sz w:val="18"/>
                <w:szCs w:val="18"/>
              </w:rPr>
              <w:t>El Instituto tiene como objetivo general crear, promover, divulgar y ejecutar acciones, estrategias, medidas, mecanismos, proyectos y programas para garantizar el ejercicio pleno de los derechos de las mujeres</w:t>
            </w:r>
            <w:r w:rsidRPr="001335C7">
              <w:rPr>
                <w:rFonts w:ascii="Gotham" w:hAnsi="Gotham" w:cs="Arial"/>
                <w:sz w:val="18"/>
                <w:szCs w:val="18"/>
                <w:highlight w:val="cyan"/>
                <w:u w:val="single"/>
              </w:rPr>
              <w:t xml:space="preserve"> y la igualdad sustantiva entre personas</w:t>
            </w:r>
            <w:r w:rsidR="007C2F8D">
              <w:rPr>
                <w:rFonts w:ascii="Gotham" w:hAnsi="Gotham" w:cs="Arial"/>
                <w:sz w:val="18"/>
                <w:szCs w:val="18"/>
                <w:highlight w:val="yellow"/>
              </w:rPr>
              <w:t xml:space="preserve"> </w:t>
            </w:r>
            <w:r w:rsidRPr="001335C7">
              <w:rPr>
                <w:rFonts w:ascii="Gotham" w:hAnsi="Gotham" w:cs="Arial"/>
                <w:sz w:val="18"/>
                <w:szCs w:val="18"/>
                <w:highlight w:val="cyan"/>
              </w:rPr>
              <w:t>contempladas</w:t>
            </w:r>
            <w:r w:rsidRPr="001335C7">
              <w:rPr>
                <w:rFonts w:ascii="Gotham" w:hAnsi="Gotham" w:cs="Arial"/>
                <w:sz w:val="18"/>
                <w:szCs w:val="18"/>
              </w:rPr>
              <w:t xml:space="preserve"> en la Constitución Política de los Estados Unidos Mexicanos, </w:t>
            </w:r>
            <w:r w:rsidRPr="001335C7">
              <w:rPr>
                <w:rFonts w:ascii="Gotham" w:hAnsi="Gotham" w:cs="Arial"/>
                <w:sz w:val="18"/>
                <w:szCs w:val="18"/>
                <w:highlight w:val="cyan"/>
                <w:u w:val="single"/>
              </w:rPr>
              <w:t xml:space="preserve">Tratados Internacionales, Convenciones, </w:t>
            </w:r>
            <w:r w:rsidRPr="001335C7">
              <w:rPr>
                <w:rFonts w:ascii="Gotham" w:hAnsi="Gotham" w:cs="Arial"/>
                <w:sz w:val="18"/>
                <w:szCs w:val="18"/>
              </w:rPr>
              <w:t xml:space="preserve">la Constitución Política del Estado de Jalisco y demás </w:t>
            </w:r>
            <w:r w:rsidRPr="001335C7">
              <w:rPr>
                <w:rFonts w:ascii="Gotham" w:hAnsi="Gotham" w:cs="Arial"/>
                <w:sz w:val="18"/>
                <w:szCs w:val="18"/>
                <w:u w:val="single"/>
              </w:rPr>
              <w:t>legislacion</w:t>
            </w:r>
            <w:r w:rsidRPr="001335C7">
              <w:rPr>
                <w:rFonts w:ascii="Gotham" w:hAnsi="Gotham" w:cs="Arial"/>
                <w:sz w:val="18"/>
                <w:szCs w:val="18"/>
                <w:highlight w:val="cyan"/>
                <w:u w:val="single"/>
              </w:rPr>
              <w:t>es vigentes</w:t>
            </w:r>
            <w:r w:rsidRPr="001335C7">
              <w:rPr>
                <w:rFonts w:ascii="Gotham" w:hAnsi="Gotham" w:cs="Arial"/>
                <w:sz w:val="18"/>
                <w:szCs w:val="18"/>
              </w:rPr>
              <w:t xml:space="preserve"> </w:t>
            </w:r>
            <w:r w:rsidRPr="001335C7">
              <w:rPr>
                <w:rFonts w:ascii="Gotham" w:hAnsi="Gotham" w:cs="Arial"/>
                <w:sz w:val="18"/>
                <w:szCs w:val="18"/>
                <w:u w:val="single"/>
              </w:rPr>
              <w:t>y aplicables</w:t>
            </w:r>
            <w:r w:rsidRPr="001335C7">
              <w:rPr>
                <w:rFonts w:ascii="Gotham" w:hAnsi="Gotham" w:cs="Arial"/>
                <w:sz w:val="18"/>
                <w:szCs w:val="18"/>
              </w:rPr>
              <w:t xml:space="preserve"> en la materia.</w:t>
            </w:r>
          </w:p>
        </w:tc>
      </w:tr>
      <w:tr w:rsidR="009B5E39" w:rsidRPr="001335C7" w14:paraId="3A4761B3" w14:textId="77777777" w:rsidTr="00190E4A">
        <w:tc>
          <w:tcPr>
            <w:tcW w:w="4898" w:type="dxa"/>
            <w:tcBorders>
              <w:bottom w:val="single" w:sz="4" w:space="0" w:color="000000"/>
            </w:tcBorders>
            <w:shd w:val="clear" w:color="auto" w:fill="auto"/>
          </w:tcPr>
          <w:p w14:paraId="3A47619B" w14:textId="77777777" w:rsidR="009B5E39" w:rsidRPr="001335C7" w:rsidRDefault="009B5E39" w:rsidP="00190E4A">
            <w:pPr>
              <w:jc w:val="both"/>
              <w:rPr>
                <w:rFonts w:ascii="Gotham" w:hAnsi="Gotham" w:cs="Arial"/>
                <w:b/>
                <w:sz w:val="18"/>
                <w:szCs w:val="18"/>
              </w:rPr>
            </w:pPr>
          </w:p>
          <w:p w14:paraId="3A47619C"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 </w:t>
            </w:r>
            <w:r w:rsidRPr="001335C7">
              <w:rPr>
                <w:rFonts w:ascii="Gotham" w:hAnsi="Gotham" w:cs="Arial"/>
                <w:sz w:val="18"/>
                <w:szCs w:val="18"/>
              </w:rPr>
              <w:t>El Instituto tiene como objetivos específicos los siguientes:</w:t>
            </w:r>
          </w:p>
          <w:p w14:paraId="3A47619D"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19E" w14:textId="77777777" w:rsidR="009B5E39" w:rsidRPr="001335C7" w:rsidRDefault="009B5E39" w:rsidP="00190E4A">
            <w:pPr>
              <w:jc w:val="both"/>
              <w:rPr>
                <w:rFonts w:ascii="Gotham" w:hAnsi="Gotham" w:cs="Arial"/>
                <w:sz w:val="18"/>
                <w:szCs w:val="18"/>
              </w:rPr>
            </w:pPr>
          </w:p>
          <w:p w14:paraId="3A47619F"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II. Definir y ejecutar el Plan Municipal de las Mujeres, estableciendo los programas específicos a implementar distinguiendo los que serán ejecutados por el Instituto y los que serán llevados a cabo en coordinación con otras dependencias, señalando los </w:t>
            </w:r>
            <w:r w:rsidRPr="001335C7">
              <w:rPr>
                <w:rFonts w:ascii="Gotham" w:hAnsi="Gotham" w:cs="Arial"/>
                <w:sz w:val="18"/>
                <w:szCs w:val="18"/>
              </w:rPr>
              <w:lastRenderedPageBreak/>
              <w:t>programas concretos, el tiempo de aplicación y las dependencias involucradas;</w:t>
            </w:r>
          </w:p>
          <w:p w14:paraId="3A4761A0" w14:textId="77777777" w:rsidR="009B5E39" w:rsidRPr="001335C7" w:rsidRDefault="009B5E39" w:rsidP="00190E4A">
            <w:pPr>
              <w:jc w:val="both"/>
              <w:rPr>
                <w:rFonts w:ascii="Gotham" w:hAnsi="Gotham" w:cs="Arial"/>
                <w:sz w:val="18"/>
                <w:szCs w:val="18"/>
              </w:rPr>
            </w:pPr>
          </w:p>
          <w:p w14:paraId="3A4761A1"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1A2" w14:textId="77777777" w:rsidR="009B5E39" w:rsidRPr="001335C7" w:rsidRDefault="009B5E39" w:rsidP="00190E4A">
            <w:pPr>
              <w:jc w:val="both"/>
              <w:rPr>
                <w:rFonts w:ascii="Gotham" w:hAnsi="Gotham" w:cs="Arial"/>
                <w:sz w:val="18"/>
                <w:szCs w:val="18"/>
              </w:rPr>
            </w:pPr>
          </w:p>
          <w:p w14:paraId="3A4761A3" w14:textId="77777777" w:rsidR="009B5E39" w:rsidRPr="001335C7" w:rsidRDefault="009B5E39" w:rsidP="00190E4A">
            <w:pPr>
              <w:jc w:val="both"/>
              <w:rPr>
                <w:rFonts w:ascii="Gotham" w:hAnsi="Gotham" w:cs="Arial"/>
                <w:b/>
                <w:sz w:val="18"/>
                <w:szCs w:val="18"/>
              </w:rPr>
            </w:pPr>
            <w:r w:rsidRPr="001335C7">
              <w:rPr>
                <w:rFonts w:ascii="Gotham" w:hAnsi="Gotham" w:cs="Arial"/>
                <w:sz w:val="18"/>
                <w:szCs w:val="18"/>
              </w:rPr>
              <w:t>x. Los demás que al respecto le señalen las disposiciones legales y reglamentarias en la materia.</w:t>
            </w:r>
          </w:p>
        </w:tc>
        <w:tc>
          <w:tcPr>
            <w:tcW w:w="4899" w:type="dxa"/>
            <w:tcBorders>
              <w:bottom w:val="single" w:sz="4" w:space="0" w:color="000000"/>
            </w:tcBorders>
            <w:shd w:val="clear" w:color="auto" w:fill="auto"/>
          </w:tcPr>
          <w:p w14:paraId="3A4761A4" w14:textId="77777777" w:rsidR="009B5E39" w:rsidRPr="001335C7" w:rsidRDefault="009B5E39" w:rsidP="00190E4A">
            <w:pPr>
              <w:jc w:val="both"/>
              <w:rPr>
                <w:rFonts w:ascii="Gotham" w:hAnsi="Gotham" w:cs="Arial"/>
                <w:b/>
                <w:sz w:val="18"/>
                <w:szCs w:val="18"/>
              </w:rPr>
            </w:pPr>
          </w:p>
          <w:p w14:paraId="3A4761A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 </w:t>
            </w:r>
            <w:r w:rsidRPr="001335C7">
              <w:rPr>
                <w:rFonts w:ascii="Gotham" w:hAnsi="Gotham" w:cs="Arial"/>
                <w:sz w:val="18"/>
                <w:szCs w:val="18"/>
              </w:rPr>
              <w:t>El Instituto tiene como objetivos específicos los siguientes:</w:t>
            </w:r>
          </w:p>
          <w:p w14:paraId="3A4761A6" w14:textId="77777777" w:rsidR="009B5E39" w:rsidRPr="001335C7" w:rsidRDefault="009B5E39" w:rsidP="00190E4A">
            <w:pPr>
              <w:jc w:val="both"/>
              <w:rPr>
                <w:rFonts w:ascii="Gotham" w:hAnsi="Gotham" w:cs="Arial"/>
                <w:sz w:val="18"/>
                <w:szCs w:val="18"/>
              </w:rPr>
            </w:pPr>
          </w:p>
          <w:p w14:paraId="3A4761A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 </w:t>
            </w:r>
          </w:p>
          <w:p w14:paraId="3A4761A8" w14:textId="77777777" w:rsidR="009B5E39" w:rsidRPr="001335C7" w:rsidRDefault="009B5E39" w:rsidP="00190E4A">
            <w:pPr>
              <w:jc w:val="both"/>
              <w:rPr>
                <w:rFonts w:ascii="Gotham" w:hAnsi="Gotham" w:cs="Arial"/>
                <w:sz w:val="18"/>
                <w:szCs w:val="18"/>
              </w:rPr>
            </w:pPr>
          </w:p>
          <w:p w14:paraId="3A4761A9"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II. Definir, ejecutar </w:t>
            </w:r>
            <w:r w:rsidRPr="001335C7">
              <w:rPr>
                <w:rFonts w:ascii="Gotham" w:hAnsi="Gotham" w:cs="Arial"/>
                <w:sz w:val="18"/>
                <w:szCs w:val="18"/>
                <w:highlight w:val="cyan"/>
              </w:rPr>
              <w:t>y dar seguimiento al</w:t>
            </w:r>
            <w:r w:rsidRPr="001335C7">
              <w:rPr>
                <w:rFonts w:ascii="Gotham" w:hAnsi="Gotham" w:cs="Arial"/>
                <w:sz w:val="18"/>
                <w:szCs w:val="18"/>
              </w:rPr>
              <w:t xml:space="preserve"> Plan Municipal de las Mujeres, estableciendo los programas específicos a implementar distinguiendo los que serán ejecutados por el Instituto y los que serán </w:t>
            </w:r>
            <w:r w:rsidRPr="001335C7">
              <w:rPr>
                <w:rFonts w:ascii="Gotham" w:hAnsi="Gotham" w:cs="Arial"/>
                <w:sz w:val="18"/>
                <w:szCs w:val="18"/>
              </w:rPr>
              <w:lastRenderedPageBreak/>
              <w:t>llevados a cabo en coordinación con otras dependencias, señalando los programas concretos, el tiempo de aplicación y las dependencias involucradas;</w:t>
            </w:r>
          </w:p>
          <w:p w14:paraId="3A4761AA" w14:textId="77777777" w:rsidR="009B5E39" w:rsidRPr="001335C7" w:rsidRDefault="009B5E39" w:rsidP="00190E4A">
            <w:pPr>
              <w:jc w:val="both"/>
              <w:rPr>
                <w:rFonts w:ascii="Gotham" w:hAnsi="Gotham" w:cs="Arial"/>
                <w:sz w:val="18"/>
                <w:szCs w:val="18"/>
              </w:rPr>
            </w:pPr>
          </w:p>
          <w:p w14:paraId="3A4761AB"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1AC" w14:textId="77777777" w:rsidR="009B5E39" w:rsidRPr="001335C7" w:rsidRDefault="009B5E39" w:rsidP="00190E4A">
            <w:pPr>
              <w:jc w:val="both"/>
              <w:rPr>
                <w:rFonts w:ascii="Gotham" w:hAnsi="Gotham" w:cs="Arial"/>
                <w:sz w:val="18"/>
                <w:szCs w:val="18"/>
              </w:rPr>
            </w:pPr>
          </w:p>
          <w:p w14:paraId="3A4761AD" w14:textId="77777777" w:rsidR="009B5E39" w:rsidRPr="001335C7" w:rsidRDefault="009B5E39" w:rsidP="00190E4A">
            <w:pPr>
              <w:jc w:val="both"/>
              <w:rPr>
                <w:rFonts w:ascii="Gotham" w:hAnsi="Gotham" w:cs="Arial"/>
                <w:sz w:val="18"/>
                <w:szCs w:val="18"/>
                <w:highlight w:val="yellow"/>
              </w:rPr>
            </w:pPr>
            <w:r w:rsidRPr="001335C7">
              <w:rPr>
                <w:rFonts w:ascii="Gotham" w:hAnsi="Gotham" w:cs="Arial"/>
                <w:sz w:val="18"/>
                <w:szCs w:val="18"/>
                <w:highlight w:val="yellow"/>
              </w:rPr>
              <w:t xml:space="preserve">X. Ser el ente rector, para la transversalización de la perspectiva de género y la política de igualdad sustantiva en el municipio. </w:t>
            </w:r>
          </w:p>
          <w:p w14:paraId="3A4761AE" w14:textId="77777777" w:rsidR="009B5E39" w:rsidRPr="001335C7" w:rsidRDefault="009B5E39" w:rsidP="00190E4A">
            <w:pPr>
              <w:jc w:val="both"/>
              <w:rPr>
                <w:rFonts w:ascii="Gotham" w:hAnsi="Gotham" w:cs="Arial"/>
                <w:sz w:val="18"/>
                <w:szCs w:val="18"/>
                <w:highlight w:val="yellow"/>
              </w:rPr>
            </w:pPr>
          </w:p>
          <w:p w14:paraId="3A4761AF" w14:textId="77777777" w:rsidR="009B5E39" w:rsidRPr="001335C7" w:rsidRDefault="009B5E39" w:rsidP="00190E4A">
            <w:pPr>
              <w:jc w:val="both"/>
              <w:rPr>
                <w:rFonts w:ascii="Gotham" w:hAnsi="Gotham" w:cs="Arial"/>
                <w:sz w:val="18"/>
                <w:szCs w:val="18"/>
                <w:highlight w:val="yellow"/>
              </w:rPr>
            </w:pPr>
            <w:r w:rsidRPr="001335C7">
              <w:rPr>
                <w:rFonts w:ascii="Gotham" w:hAnsi="Gotham" w:cs="Arial"/>
                <w:sz w:val="18"/>
                <w:szCs w:val="18"/>
                <w:highlight w:val="yellow"/>
              </w:rPr>
              <w:t>XI. Transversalizar los anteriores objetivos en beneficio de la</w:t>
            </w:r>
            <w:r w:rsidR="007C2F8D">
              <w:rPr>
                <w:rFonts w:ascii="Gotham" w:hAnsi="Gotham" w:cs="Arial"/>
                <w:sz w:val="18"/>
                <w:szCs w:val="18"/>
                <w:highlight w:val="yellow"/>
              </w:rPr>
              <w:t xml:space="preserve"> </w:t>
            </w:r>
            <w:r w:rsidRPr="001335C7">
              <w:rPr>
                <w:rFonts w:ascii="Gotham" w:hAnsi="Gotham" w:cs="Arial"/>
                <w:sz w:val="18"/>
                <w:szCs w:val="18"/>
                <w:highlight w:val="yellow"/>
              </w:rPr>
              <w:t xml:space="preserve">población LGBT+. </w:t>
            </w:r>
          </w:p>
          <w:p w14:paraId="3A4761B0" w14:textId="77777777" w:rsidR="009B5E39" w:rsidRPr="001335C7" w:rsidRDefault="009B5E39" w:rsidP="00190E4A">
            <w:pPr>
              <w:jc w:val="both"/>
              <w:rPr>
                <w:rFonts w:ascii="Gotham" w:hAnsi="Gotham" w:cs="Arial"/>
                <w:sz w:val="18"/>
                <w:szCs w:val="18"/>
              </w:rPr>
            </w:pPr>
          </w:p>
          <w:p w14:paraId="3A4761B1"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rPr>
              <w:t xml:space="preserve">XII. Los demás que al respecto le señalen las </w:t>
            </w:r>
            <w:r w:rsidRPr="001335C7">
              <w:rPr>
                <w:rFonts w:ascii="Gotham" w:hAnsi="Gotham" w:cs="Arial"/>
                <w:sz w:val="18"/>
                <w:szCs w:val="18"/>
                <w:highlight w:val="cyan"/>
              </w:rPr>
              <w:t xml:space="preserve">normativas aplicables en la materia. </w:t>
            </w:r>
          </w:p>
          <w:p w14:paraId="3A4761B2" w14:textId="77777777" w:rsidR="009B5E39" w:rsidRPr="001335C7" w:rsidRDefault="009B5E39" w:rsidP="00190E4A">
            <w:pPr>
              <w:jc w:val="both"/>
              <w:rPr>
                <w:rFonts w:ascii="Gotham" w:hAnsi="Gotham" w:cs="Arial"/>
                <w:sz w:val="18"/>
                <w:szCs w:val="18"/>
                <w:highlight w:val="cyan"/>
              </w:rPr>
            </w:pPr>
          </w:p>
        </w:tc>
      </w:tr>
      <w:tr w:rsidR="009B5E39" w:rsidRPr="001335C7" w14:paraId="3A4761C9" w14:textId="77777777" w:rsidTr="00190E4A">
        <w:tc>
          <w:tcPr>
            <w:tcW w:w="4898" w:type="dxa"/>
            <w:tcBorders>
              <w:bottom w:val="single" w:sz="4" w:space="0" w:color="000000"/>
            </w:tcBorders>
            <w:shd w:val="clear" w:color="auto" w:fill="auto"/>
          </w:tcPr>
          <w:p w14:paraId="3A4761B4" w14:textId="77777777" w:rsidR="009B5E39" w:rsidRPr="001335C7" w:rsidRDefault="009B5E39" w:rsidP="00190E4A">
            <w:pPr>
              <w:jc w:val="both"/>
              <w:rPr>
                <w:rFonts w:ascii="Gotham" w:hAnsi="Gotham" w:cs="Arial"/>
                <w:b/>
                <w:sz w:val="18"/>
                <w:szCs w:val="18"/>
              </w:rPr>
            </w:pPr>
          </w:p>
          <w:p w14:paraId="3A4761B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12.-</w:t>
            </w:r>
            <w:r w:rsidRPr="001335C7">
              <w:rPr>
                <w:rFonts w:ascii="Gotham" w:hAnsi="Gotham" w:cs="Arial"/>
                <w:sz w:val="18"/>
                <w:szCs w:val="18"/>
              </w:rPr>
              <w:t xml:space="preserve"> Para el efectivo cumplimiento de sus objetivos, el Instituto tendrá las siguientes atribuciones y responsabilidades:</w:t>
            </w:r>
          </w:p>
          <w:p w14:paraId="3A4761B6" w14:textId="77777777" w:rsidR="009B5E39" w:rsidRPr="001335C7" w:rsidRDefault="009B5E39" w:rsidP="00190E4A">
            <w:pPr>
              <w:widowControl w:val="0"/>
              <w:ind w:right="40"/>
              <w:jc w:val="both"/>
              <w:rPr>
                <w:rFonts w:ascii="Gotham" w:hAnsi="Gotham" w:cs="Arial"/>
                <w:sz w:val="18"/>
                <w:szCs w:val="18"/>
              </w:rPr>
            </w:pPr>
          </w:p>
          <w:p w14:paraId="3A4761B7"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w:t>
            </w:r>
          </w:p>
          <w:p w14:paraId="3A4761B8" w14:textId="77777777" w:rsidR="009B5E39" w:rsidRPr="001335C7" w:rsidRDefault="009B5E39" w:rsidP="00190E4A">
            <w:pPr>
              <w:widowControl w:val="0"/>
              <w:ind w:right="40"/>
              <w:jc w:val="both"/>
              <w:rPr>
                <w:rFonts w:ascii="Gotham" w:hAnsi="Gotham" w:cs="Arial"/>
                <w:sz w:val="18"/>
                <w:szCs w:val="18"/>
              </w:rPr>
            </w:pPr>
          </w:p>
          <w:p w14:paraId="3A4761B9"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III. Capacitar, asesorar, orientar y apoyar a las mujeres del Municipio para mejorar su condición social en un marco de igualdad, logrando su integración y participación total y efectiva en todos los ámbitos y órdenes;</w:t>
            </w:r>
          </w:p>
          <w:p w14:paraId="3A4761BA" w14:textId="77777777" w:rsidR="009B5E39" w:rsidRPr="001335C7" w:rsidRDefault="009B5E39" w:rsidP="00190E4A">
            <w:pPr>
              <w:jc w:val="both"/>
              <w:rPr>
                <w:rFonts w:ascii="Gotham" w:hAnsi="Gotham" w:cs="Arial"/>
                <w:sz w:val="18"/>
                <w:szCs w:val="18"/>
              </w:rPr>
            </w:pPr>
          </w:p>
          <w:p w14:paraId="3A4761BB" w14:textId="77777777" w:rsidR="009B5E39" w:rsidRPr="001335C7" w:rsidRDefault="009B5E39" w:rsidP="00190E4A">
            <w:pPr>
              <w:widowControl w:val="0"/>
              <w:ind w:right="40"/>
              <w:jc w:val="both"/>
              <w:rPr>
                <w:rFonts w:ascii="Gotham" w:hAnsi="Gotham" w:cs="Arial"/>
                <w:sz w:val="18"/>
                <w:szCs w:val="18"/>
                <w:highlight w:val="white"/>
              </w:rPr>
            </w:pPr>
          </w:p>
        </w:tc>
        <w:tc>
          <w:tcPr>
            <w:tcW w:w="4899" w:type="dxa"/>
            <w:tcBorders>
              <w:bottom w:val="single" w:sz="4" w:space="0" w:color="000000"/>
            </w:tcBorders>
            <w:shd w:val="clear" w:color="auto" w:fill="auto"/>
          </w:tcPr>
          <w:p w14:paraId="3A4761BC" w14:textId="77777777" w:rsidR="009B5E39" w:rsidRPr="001335C7" w:rsidRDefault="009B5E39" w:rsidP="00190E4A">
            <w:pPr>
              <w:jc w:val="both"/>
              <w:rPr>
                <w:rFonts w:ascii="Gotham" w:hAnsi="Gotham" w:cs="Arial"/>
                <w:sz w:val="18"/>
                <w:szCs w:val="18"/>
              </w:rPr>
            </w:pPr>
          </w:p>
          <w:p w14:paraId="3A4761BD"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12.-</w:t>
            </w:r>
            <w:r w:rsidRPr="001335C7">
              <w:rPr>
                <w:rFonts w:ascii="Gotham" w:hAnsi="Gotham" w:cs="Arial"/>
                <w:sz w:val="18"/>
                <w:szCs w:val="18"/>
              </w:rPr>
              <w:t xml:space="preserve"> Para el efectivo cumplimiento de sus objetivos, el Instituto tendrá las siguientes atribuciones y responsabilidades:</w:t>
            </w:r>
          </w:p>
          <w:p w14:paraId="3A4761BE" w14:textId="77777777" w:rsidR="009B5E39" w:rsidRPr="001335C7" w:rsidRDefault="009B5E39" w:rsidP="00190E4A">
            <w:pPr>
              <w:jc w:val="both"/>
              <w:rPr>
                <w:rFonts w:ascii="Gotham" w:hAnsi="Gotham" w:cs="Arial"/>
                <w:sz w:val="18"/>
                <w:szCs w:val="18"/>
              </w:rPr>
            </w:pPr>
          </w:p>
          <w:p w14:paraId="3A4761BF"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1C0" w14:textId="77777777" w:rsidR="009B5E39" w:rsidRPr="001335C7" w:rsidRDefault="009B5E39" w:rsidP="00190E4A">
            <w:pPr>
              <w:jc w:val="both"/>
              <w:rPr>
                <w:rFonts w:ascii="Gotham" w:hAnsi="Gotham" w:cs="Arial"/>
                <w:sz w:val="18"/>
                <w:szCs w:val="18"/>
              </w:rPr>
            </w:pPr>
          </w:p>
          <w:p w14:paraId="3A4761C1" w14:textId="77777777" w:rsidR="009B5E39" w:rsidRPr="001335C7" w:rsidRDefault="009B5E39" w:rsidP="00190E4A">
            <w:pPr>
              <w:jc w:val="both"/>
              <w:rPr>
                <w:rFonts w:ascii="Gotham" w:hAnsi="Gotham" w:cs="Arial"/>
                <w:sz w:val="18"/>
                <w:szCs w:val="18"/>
                <w:u w:val="single"/>
              </w:rPr>
            </w:pPr>
            <w:r w:rsidRPr="001335C7">
              <w:rPr>
                <w:rFonts w:ascii="Gotham" w:hAnsi="Gotham" w:cs="Arial"/>
                <w:sz w:val="18"/>
                <w:szCs w:val="18"/>
              </w:rPr>
              <w:t xml:space="preserve">III. Capacitar, asesorar, orientar y apoyar a las mujeres del Municipio para mejorar su condición social, </w:t>
            </w:r>
            <w:r w:rsidRPr="001335C7">
              <w:rPr>
                <w:rFonts w:ascii="Gotham" w:hAnsi="Gotham" w:cs="Arial"/>
                <w:sz w:val="18"/>
                <w:szCs w:val="18"/>
                <w:u w:val="single"/>
              </w:rPr>
              <w:t>económica y política;</w:t>
            </w:r>
          </w:p>
          <w:p w14:paraId="3A4761C2" w14:textId="77777777" w:rsidR="009B5E39" w:rsidRPr="001335C7" w:rsidRDefault="009B5E39" w:rsidP="00190E4A">
            <w:pPr>
              <w:jc w:val="both"/>
              <w:rPr>
                <w:rFonts w:ascii="Gotham" w:hAnsi="Gotham" w:cs="Arial"/>
                <w:sz w:val="18"/>
                <w:szCs w:val="18"/>
                <w:u w:val="single"/>
              </w:rPr>
            </w:pPr>
          </w:p>
          <w:p w14:paraId="3A4761C3" w14:textId="77777777" w:rsidR="009B5E39" w:rsidRPr="001335C7" w:rsidRDefault="009B5E39" w:rsidP="00190E4A">
            <w:pPr>
              <w:jc w:val="both"/>
              <w:rPr>
                <w:rFonts w:ascii="Gotham" w:hAnsi="Gotham" w:cs="Arial"/>
                <w:sz w:val="18"/>
                <w:szCs w:val="18"/>
                <w:u w:val="single"/>
              </w:rPr>
            </w:pPr>
            <w:r w:rsidRPr="001335C7">
              <w:rPr>
                <w:rFonts w:ascii="Gotham" w:hAnsi="Gotham" w:cs="Arial"/>
                <w:sz w:val="18"/>
                <w:szCs w:val="18"/>
                <w:u w:val="single"/>
              </w:rPr>
              <w:t>(...)</w:t>
            </w:r>
          </w:p>
          <w:p w14:paraId="3A4761C4" w14:textId="77777777" w:rsidR="009B5E39" w:rsidRPr="001335C7" w:rsidRDefault="009B5E39" w:rsidP="00190E4A">
            <w:pPr>
              <w:jc w:val="both"/>
              <w:rPr>
                <w:rFonts w:ascii="Gotham" w:hAnsi="Gotham" w:cs="Arial"/>
                <w:sz w:val="18"/>
                <w:szCs w:val="18"/>
                <w:u w:val="single"/>
              </w:rPr>
            </w:pPr>
          </w:p>
          <w:p w14:paraId="3A4761C5" w14:textId="6DDECB51" w:rsidR="009B5E39" w:rsidRPr="001335C7" w:rsidRDefault="009B5E39" w:rsidP="00190E4A">
            <w:pPr>
              <w:jc w:val="both"/>
              <w:rPr>
                <w:rFonts w:ascii="Gotham" w:hAnsi="Gotham" w:cs="Arial"/>
                <w:sz w:val="18"/>
                <w:szCs w:val="18"/>
                <w:highlight w:val="yellow"/>
              </w:rPr>
            </w:pPr>
            <w:r w:rsidRPr="001335C7">
              <w:rPr>
                <w:rFonts w:ascii="Gotham" w:hAnsi="Gotham" w:cs="Arial"/>
                <w:sz w:val="18"/>
                <w:szCs w:val="18"/>
                <w:highlight w:val="yellow"/>
              </w:rPr>
              <w:t xml:space="preserve">XIII. Transversalizar las anteriores </w:t>
            </w:r>
            <w:r w:rsidR="00281C67" w:rsidRPr="001335C7">
              <w:rPr>
                <w:rFonts w:ascii="Gotham" w:hAnsi="Gotham" w:cs="Arial"/>
                <w:sz w:val="18"/>
                <w:szCs w:val="18"/>
                <w:highlight w:val="yellow"/>
              </w:rPr>
              <w:t>atribuciones</w:t>
            </w:r>
            <w:r w:rsidRPr="001335C7">
              <w:rPr>
                <w:rFonts w:ascii="Gotham" w:hAnsi="Gotham" w:cs="Arial"/>
                <w:sz w:val="18"/>
                <w:szCs w:val="18"/>
                <w:highlight w:val="yellow"/>
              </w:rPr>
              <w:t xml:space="preserve"> en beneficio de la</w:t>
            </w:r>
            <w:r w:rsidR="007C2F8D">
              <w:rPr>
                <w:rFonts w:ascii="Gotham" w:hAnsi="Gotham" w:cs="Arial"/>
                <w:sz w:val="18"/>
                <w:szCs w:val="18"/>
                <w:highlight w:val="yellow"/>
              </w:rPr>
              <w:t xml:space="preserve"> </w:t>
            </w:r>
            <w:r w:rsidRPr="001335C7">
              <w:rPr>
                <w:rFonts w:ascii="Gotham" w:hAnsi="Gotham" w:cs="Arial"/>
                <w:sz w:val="18"/>
                <w:szCs w:val="18"/>
                <w:highlight w:val="yellow"/>
              </w:rPr>
              <w:t xml:space="preserve">población LGBT+. </w:t>
            </w:r>
          </w:p>
          <w:p w14:paraId="3A4761C6" w14:textId="77777777" w:rsidR="009B5E39" w:rsidRPr="001335C7" w:rsidRDefault="009B5E39" w:rsidP="00190E4A">
            <w:pPr>
              <w:jc w:val="both"/>
              <w:rPr>
                <w:rFonts w:ascii="Gotham" w:hAnsi="Gotham" w:cs="Arial"/>
                <w:sz w:val="18"/>
                <w:szCs w:val="18"/>
              </w:rPr>
            </w:pPr>
          </w:p>
          <w:p w14:paraId="3A4761C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XIV. Los demás que al respecto le señalen las </w:t>
            </w:r>
            <w:r w:rsidRPr="001335C7">
              <w:rPr>
                <w:rFonts w:ascii="Gotham" w:hAnsi="Gotham" w:cs="Arial"/>
                <w:sz w:val="18"/>
                <w:szCs w:val="18"/>
                <w:highlight w:val="cyan"/>
              </w:rPr>
              <w:t xml:space="preserve">normativas aplicables en la materia. </w:t>
            </w:r>
          </w:p>
          <w:p w14:paraId="3A4761C8" w14:textId="77777777" w:rsidR="009B5E39" w:rsidRPr="001335C7" w:rsidRDefault="009B5E39" w:rsidP="00190E4A">
            <w:pPr>
              <w:jc w:val="both"/>
              <w:rPr>
                <w:rFonts w:ascii="Gotham" w:hAnsi="Gotham" w:cs="Arial"/>
                <w:sz w:val="18"/>
                <w:szCs w:val="18"/>
                <w:u w:val="single"/>
              </w:rPr>
            </w:pPr>
          </w:p>
        </w:tc>
      </w:tr>
      <w:tr w:rsidR="009B5E39" w:rsidRPr="001335C7" w14:paraId="3A4761DB" w14:textId="77777777" w:rsidTr="00190E4A">
        <w:tc>
          <w:tcPr>
            <w:tcW w:w="4898" w:type="dxa"/>
            <w:tcBorders>
              <w:top w:val="single" w:sz="4" w:space="0" w:color="000000"/>
              <w:left w:val="single" w:sz="4" w:space="0" w:color="000000"/>
              <w:bottom w:val="nil"/>
              <w:right w:val="single" w:sz="4" w:space="0" w:color="000000"/>
            </w:tcBorders>
            <w:shd w:val="clear" w:color="auto" w:fill="auto"/>
          </w:tcPr>
          <w:p w14:paraId="3A4761CA" w14:textId="77777777" w:rsidR="009B5E39" w:rsidRPr="001335C7" w:rsidRDefault="009B5E39" w:rsidP="00190E4A">
            <w:pPr>
              <w:jc w:val="both"/>
              <w:rPr>
                <w:rFonts w:ascii="Gotham" w:hAnsi="Gotham" w:cs="Arial"/>
                <w:b/>
                <w:sz w:val="18"/>
                <w:szCs w:val="18"/>
              </w:rPr>
            </w:pPr>
          </w:p>
          <w:p w14:paraId="3A4761CB"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15.-</w:t>
            </w:r>
            <w:r w:rsidRPr="001335C7">
              <w:rPr>
                <w:rFonts w:ascii="Gotham" w:hAnsi="Gotham" w:cs="Arial"/>
                <w:sz w:val="18"/>
                <w:szCs w:val="18"/>
              </w:rPr>
              <w:t xml:space="preserve"> Para el cumplimiento de sus funciones, la Junta de Gobierno se integrará de la siguiente forma:</w:t>
            </w:r>
          </w:p>
          <w:p w14:paraId="3A4761CC" w14:textId="77777777" w:rsidR="009B5E39" w:rsidRPr="001335C7" w:rsidRDefault="009B5E39" w:rsidP="00190E4A">
            <w:pPr>
              <w:jc w:val="both"/>
              <w:rPr>
                <w:rFonts w:ascii="Gotham" w:hAnsi="Gotham" w:cs="Arial"/>
                <w:sz w:val="18"/>
                <w:szCs w:val="18"/>
              </w:rPr>
            </w:pPr>
          </w:p>
          <w:p w14:paraId="3A4761CD"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1CE" w14:textId="77777777" w:rsidR="009B5E39" w:rsidRPr="001335C7" w:rsidRDefault="009B5E39" w:rsidP="00190E4A">
            <w:pPr>
              <w:widowControl w:val="0"/>
              <w:ind w:right="40"/>
              <w:jc w:val="both"/>
              <w:rPr>
                <w:rFonts w:ascii="Gotham" w:hAnsi="Gotham" w:cs="Arial"/>
                <w:sz w:val="18"/>
                <w:szCs w:val="18"/>
              </w:rPr>
            </w:pPr>
          </w:p>
          <w:p w14:paraId="3A4761CF"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 xml:space="preserve">III. Regidora integrante de la Comisión Edilicia de Edilicia de </w:t>
            </w:r>
            <w:r w:rsidRPr="001335C7">
              <w:rPr>
                <w:rFonts w:ascii="Gotham" w:hAnsi="Gotham" w:cs="Arial"/>
                <w:sz w:val="18"/>
                <w:szCs w:val="18"/>
                <w:highlight w:val="yellow"/>
              </w:rPr>
              <w:t>Bienestar y Desarrollo Social, designada por acuerdo interno de la Comisión;</w:t>
            </w:r>
          </w:p>
          <w:p w14:paraId="3A4761D0" w14:textId="77777777" w:rsidR="009B5E39" w:rsidRPr="001335C7" w:rsidRDefault="009B5E39" w:rsidP="00190E4A">
            <w:pPr>
              <w:widowControl w:val="0"/>
              <w:ind w:right="40"/>
              <w:jc w:val="both"/>
              <w:rPr>
                <w:rFonts w:ascii="Gotham" w:hAnsi="Gotham" w:cs="Arial"/>
                <w:sz w:val="18"/>
                <w:szCs w:val="18"/>
              </w:rPr>
            </w:pPr>
          </w:p>
          <w:p w14:paraId="3A4761D1" w14:textId="77777777" w:rsidR="009B5E39" w:rsidRPr="001335C7" w:rsidRDefault="009B5E39" w:rsidP="00190E4A">
            <w:pPr>
              <w:widowControl w:val="0"/>
              <w:ind w:right="40"/>
              <w:jc w:val="both"/>
              <w:rPr>
                <w:rFonts w:ascii="Gotham" w:hAnsi="Gotham" w:cs="Arial"/>
                <w:sz w:val="18"/>
                <w:szCs w:val="18"/>
                <w:highlight w:val="white"/>
              </w:rPr>
            </w:pPr>
            <w:r w:rsidRPr="001335C7">
              <w:rPr>
                <w:rFonts w:ascii="Gotham" w:hAnsi="Gotham" w:cs="Arial"/>
                <w:sz w:val="18"/>
                <w:szCs w:val="18"/>
                <w:highlight w:val="white"/>
              </w:rPr>
              <w:t>(…)</w:t>
            </w:r>
          </w:p>
        </w:tc>
        <w:tc>
          <w:tcPr>
            <w:tcW w:w="4899" w:type="dxa"/>
            <w:tcBorders>
              <w:top w:val="single" w:sz="4" w:space="0" w:color="000000"/>
              <w:left w:val="single" w:sz="4" w:space="0" w:color="000000"/>
              <w:bottom w:val="nil"/>
              <w:right w:val="single" w:sz="4" w:space="0" w:color="000000"/>
            </w:tcBorders>
            <w:shd w:val="clear" w:color="auto" w:fill="auto"/>
          </w:tcPr>
          <w:p w14:paraId="3A4761D2" w14:textId="77777777" w:rsidR="009B5E39" w:rsidRPr="001335C7" w:rsidRDefault="009B5E39" w:rsidP="00190E4A">
            <w:pPr>
              <w:jc w:val="both"/>
              <w:rPr>
                <w:rFonts w:ascii="Gotham" w:hAnsi="Gotham" w:cs="Arial"/>
                <w:b/>
                <w:sz w:val="18"/>
                <w:szCs w:val="18"/>
              </w:rPr>
            </w:pPr>
          </w:p>
          <w:p w14:paraId="3A4761D3"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15.-</w:t>
            </w:r>
            <w:r w:rsidRPr="001335C7">
              <w:rPr>
                <w:rFonts w:ascii="Gotham" w:hAnsi="Gotham" w:cs="Arial"/>
                <w:sz w:val="18"/>
                <w:szCs w:val="18"/>
              </w:rPr>
              <w:t xml:space="preserve"> Para el cumplimiento de sus funciones, la Junta de Gobierno se integrará de la siguiente forma:</w:t>
            </w:r>
          </w:p>
          <w:p w14:paraId="3A4761D4" w14:textId="77777777" w:rsidR="009B5E39" w:rsidRPr="001335C7" w:rsidRDefault="009B5E39" w:rsidP="00190E4A">
            <w:pPr>
              <w:jc w:val="both"/>
              <w:rPr>
                <w:rFonts w:ascii="Gotham" w:hAnsi="Gotham" w:cs="Arial"/>
                <w:sz w:val="18"/>
                <w:szCs w:val="18"/>
              </w:rPr>
            </w:pPr>
          </w:p>
          <w:p w14:paraId="3A4761D5"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1D6" w14:textId="77777777" w:rsidR="009B5E39" w:rsidRPr="001335C7" w:rsidRDefault="009B5E39" w:rsidP="00190E4A">
            <w:pPr>
              <w:jc w:val="both"/>
              <w:rPr>
                <w:rFonts w:ascii="Gotham" w:hAnsi="Gotham" w:cs="Arial"/>
                <w:sz w:val="18"/>
                <w:szCs w:val="18"/>
              </w:rPr>
            </w:pPr>
          </w:p>
          <w:p w14:paraId="3A4761D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III. Regidora integrante de la Comisión Edilicia de </w:t>
            </w:r>
            <w:r w:rsidRPr="001335C7">
              <w:rPr>
                <w:rFonts w:ascii="Gotham" w:hAnsi="Gotham" w:cs="Arial"/>
                <w:sz w:val="18"/>
                <w:szCs w:val="18"/>
                <w:highlight w:val="cyan"/>
              </w:rPr>
              <w:t>Igualdad Sustantiva y Derechos Humanos, designada por acuerdo interno de la Comisión;</w:t>
            </w:r>
          </w:p>
          <w:p w14:paraId="3A4761D8" w14:textId="77777777" w:rsidR="009B5E39" w:rsidRPr="001335C7" w:rsidRDefault="009B5E39" w:rsidP="00190E4A">
            <w:pPr>
              <w:jc w:val="both"/>
              <w:rPr>
                <w:rFonts w:ascii="Gotham" w:hAnsi="Gotham" w:cs="Arial"/>
                <w:sz w:val="18"/>
                <w:szCs w:val="18"/>
              </w:rPr>
            </w:pPr>
          </w:p>
          <w:p w14:paraId="3A4761D9"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1DA" w14:textId="77777777" w:rsidR="009B5E39" w:rsidRPr="001335C7" w:rsidRDefault="009B5E39" w:rsidP="00190E4A">
            <w:pPr>
              <w:jc w:val="both"/>
              <w:rPr>
                <w:rFonts w:ascii="Gotham" w:hAnsi="Gotham" w:cs="Arial"/>
                <w:sz w:val="18"/>
                <w:szCs w:val="18"/>
                <w:highlight w:val="white"/>
              </w:rPr>
            </w:pPr>
          </w:p>
        </w:tc>
      </w:tr>
      <w:tr w:rsidR="009B5E39" w:rsidRPr="001335C7" w14:paraId="3A4761E2" w14:textId="77777777" w:rsidTr="00190E4A">
        <w:tc>
          <w:tcPr>
            <w:tcW w:w="4898" w:type="dxa"/>
            <w:tcBorders>
              <w:top w:val="nil"/>
              <w:left w:val="single" w:sz="4" w:space="0" w:color="000000"/>
              <w:bottom w:val="nil"/>
              <w:right w:val="single" w:sz="4" w:space="0" w:color="000000"/>
            </w:tcBorders>
            <w:shd w:val="clear" w:color="auto" w:fill="auto"/>
          </w:tcPr>
          <w:p w14:paraId="3A4761DC" w14:textId="77777777" w:rsidR="009B5E39" w:rsidRPr="001335C7" w:rsidRDefault="009B5E39" w:rsidP="00190E4A">
            <w:pPr>
              <w:widowControl w:val="0"/>
              <w:ind w:right="40"/>
              <w:jc w:val="both"/>
              <w:rPr>
                <w:rFonts w:ascii="Gotham" w:hAnsi="Gotham" w:cs="Arial"/>
                <w:sz w:val="18"/>
                <w:szCs w:val="18"/>
                <w:highlight w:val="yellow"/>
              </w:rPr>
            </w:pPr>
            <w:r w:rsidRPr="001335C7">
              <w:rPr>
                <w:rFonts w:ascii="Gotham" w:hAnsi="Gotham" w:cs="Arial"/>
                <w:sz w:val="18"/>
                <w:szCs w:val="18"/>
              </w:rPr>
              <w:t xml:space="preserve">VII. La o el titular de la </w:t>
            </w:r>
            <w:r w:rsidRPr="001335C7">
              <w:rPr>
                <w:rFonts w:ascii="Gotham" w:hAnsi="Gotham" w:cs="Arial"/>
                <w:sz w:val="18"/>
                <w:szCs w:val="18"/>
                <w:highlight w:val="yellow"/>
              </w:rPr>
              <w:t>Coordinación General de</w:t>
            </w:r>
          </w:p>
          <w:p w14:paraId="3A4761DD"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highlight w:val="yellow"/>
              </w:rPr>
              <w:t>Participación Ciudadana y Construcción de la Comunidad;</w:t>
            </w:r>
          </w:p>
          <w:p w14:paraId="3A4761DE" w14:textId="77777777" w:rsidR="009B5E39" w:rsidRPr="001335C7" w:rsidRDefault="009B5E39" w:rsidP="00190E4A">
            <w:pPr>
              <w:jc w:val="both"/>
              <w:rPr>
                <w:rFonts w:ascii="Gotham" w:hAnsi="Gotham" w:cs="Arial"/>
                <w:sz w:val="18"/>
                <w:szCs w:val="18"/>
              </w:rPr>
            </w:pPr>
          </w:p>
        </w:tc>
        <w:tc>
          <w:tcPr>
            <w:tcW w:w="4899" w:type="dxa"/>
            <w:tcBorders>
              <w:top w:val="nil"/>
              <w:left w:val="single" w:sz="4" w:space="0" w:color="000000"/>
              <w:bottom w:val="nil"/>
              <w:right w:val="single" w:sz="4" w:space="0" w:color="000000"/>
            </w:tcBorders>
            <w:shd w:val="clear" w:color="auto" w:fill="auto"/>
          </w:tcPr>
          <w:p w14:paraId="3A4761DF"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VIII. La o el titular de la </w:t>
            </w:r>
            <w:r w:rsidRPr="001335C7">
              <w:rPr>
                <w:rFonts w:ascii="Gotham" w:hAnsi="Gotham" w:cs="Arial"/>
                <w:sz w:val="18"/>
                <w:szCs w:val="18"/>
                <w:highlight w:val="cyan"/>
              </w:rPr>
              <w:t>Dirección General de Bienestar Social y como suplente la persona encargada del área de Participación Ciudadana</w:t>
            </w:r>
            <w:r w:rsidRPr="001335C7">
              <w:rPr>
                <w:rFonts w:ascii="Gotham" w:hAnsi="Gotham" w:cs="Arial"/>
                <w:sz w:val="18"/>
                <w:szCs w:val="18"/>
              </w:rPr>
              <w:t>;</w:t>
            </w:r>
          </w:p>
          <w:p w14:paraId="3A4761E0" w14:textId="77777777" w:rsidR="009B5E39" w:rsidRPr="001335C7" w:rsidRDefault="009B5E39" w:rsidP="00190E4A">
            <w:pPr>
              <w:jc w:val="both"/>
              <w:rPr>
                <w:rFonts w:ascii="Gotham" w:hAnsi="Gotham" w:cs="Arial"/>
                <w:sz w:val="18"/>
                <w:szCs w:val="18"/>
              </w:rPr>
            </w:pPr>
          </w:p>
          <w:p w14:paraId="3A4761E1" w14:textId="77777777" w:rsidR="009B5E39" w:rsidRPr="001335C7" w:rsidRDefault="009B5E39" w:rsidP="00190E4A">
            <w:pPr>
              <w:jc w:val="both"/>
              <w:rPr>
                <w:rFonts w:ascii="Gotham" w:hAnsi="Gotham" w:cs="Arial"/>
                <w:sz w:val="18"/>
                <w:szCs w:val="18"/>
              </w:rPr>
            </w:pPr>
          </w:p>
        </w:tc>
      </w:tr>
      <w:tr w:rsidR="009B5E39" w:rsidRPr="001335C7" w14:paraId="3A4761E9" w14:textId="77777777" w:rsidTr="00190E4A">
        <w:tc>
          <w:tcPr>
            <w:tcW w:w="4898" w:type="dxa"/>
            <w:tcBorders>
              <w:top w:val="nil"/>
              <w:left w:val="single" w:sz="4" w:space="0" w:color="000000"/>
              <w:bottom w:val="nil"/>
              <w:right w:val="single" w:sz="4" w:space="0" w:color="000000"/>
            </w:tcBorders>
            <w:shd w:val="clear" w:color="auto" w:fill="auto"/>
          </w:tcPr>
          <w:p w14:paraId="3A4761E3"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VIII. La o el titular de la Dirección de Servicios</w:t>
            </w:r>
          </w:p>
          <w:p w14:paraId="3A4761E4"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Médicos Municipales;</w:t>
            </w:r>
          </w:p>
          <w:p w14:paraId="3A4761E5" w14:textId="77777777" w:rsidR="009B5E39" w:rsidRPr="001335C7" w:rsidRDefault="009B5E39" w:rsidP="00190E4A">
            <w:pPr>
              <w:widowControl w:val="0"/>
              <w:ind w:right="40"/>
              <w:jc w:val="both"/>
              <w:rPr>
                <w:rFonts w:ascii="Gotham" w:hAnsi="Gotham" w:cs="Arial"/>
                <w:sz w:val="18"/>
                <w:szCs w:val="18"/>
              </w:rPr>
            </w:pPr>
          </w:p>
          <w:p w14:paraId="3A4761E6" w14:textId="77777777" w:rsidR="009B5E39" w:rsidRPr="001335C7" w:rsidRDefault="009B5E39" w:rsidP="00190E4A">
            <w:pPr>
              <w:jc w:val="both"/>
              <w:rPr>
                <w:rFonts w:ascii="Gotham" w:hAnsi="Gotham" w:cs="Arial"/>
                <w:sz w:val="18"/>
                <w:szCs w:val="18"/>
              </w:rPr>
            </w:pPr>
          </w:p>
        </w:tc>
        <w:tc>
          <w:tcPr>
            <w:tcW w:w="4899" w:type="dxa"/>
            <w:tcBorders>
              <w:top w:val="nil"/>
              <w:left w:val="single" w:sz="4" w:space="0" w:color="000000"/>
              <w:bottom w:val="nil"/>
              <w:right w:val="single" w:sz="4" w:space="0" w:color="000000"/>
            </w:tcBorders>
            <w:shd w:val="clear" w:color="auto" w:fill="auto"/>
          </w:tcPr>
          <w:p w14:paraId="3A4761E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La o el titular de la Dirección de Servicios Médicos Municipales </w:t>
            </w:r>
            <w:r w:rsidRPr="001335C7">
              <w:rPr>
                <w:rFonts w:ascii="Gotham" w:hAnsi="Gotham" w:cs="Arial"/>
                <w:sz w:val="18"/>
                <w:szCs w:val="18"/>
                <w:highlight w:val="cyan"/>
              </w:rPr>
              <w:t>y como suplente la persona encargada del área de Trabajo Social;</w:t>
            </w:r>
          </w:p>
          <w:p w14:paraId="3A4761E8" w14:textId="77777777" w:rsidR="009B5E39" w:rsidRPr="001335C7" w:rsidRDefault="009B5E39" w:rsidP="00190E4A">
            <w:pPr>
              <w:jc w:val="both"/>
              <w:rPr>
                <w:rFonts w:ascii="Gotham" w:hAnsi="Gotham" w:cs="Arial"/>
                <w:sz w:val="18"/>
                <w:szCs w:val="18"/>
              </w:rPr>
            </w:pPr>
          </w:p>
        </w:tc>
      </w:tr>
      <w:tr w:rsidR="009B5E39" w:rsidRPr="001335C7" w14:paraId="3A4761EF" w14:textId="77777777" w:rsidTr="00190E4A">
        <w:tc>
          <w:tcPr>
            <w:tcW w:w="4898" w:type="dxa"/>
            <w:tcBorders>
              <w:top w:val="nil"/>
              <w:left w:val="single" w:sz="4" w:space="0" w:color="000000"/>
              <w:bottom w:val="nil"/>
              <w:right w:val="single" w:sz="4" w:space="0" w:color="000000"/>
            </w:tcBorders>
            <w:shd w:val="clear" w:color="auto" w:fill="auto"/>
          </w:tcPr>
          <w:p w14:paraId="3A4761EA"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 xml:space="preserve">IX. La o el titular de la Dirección de Comunicación </w:t>
            </w:r>
            <w:r w:rsidRPr="001335C7">
              <w:rPr>
                <w:rFonts w:ascii="Gotham" w:hAnsi="Gotham" w:cs="Arial"/>
                <w:sz w:val="18"/>
                <w:szCs w:val="18"/>
              </w:rPr>
              <w:lastRenderedPageBreak/>
              <w:t>Social;</w:t>
            </w:r>
          </w:p>
          <w:p w14:paraId="3A4761EB" w14:textId="77777777" w:rsidR="009B5E39" w:rsidRPr="001335C7" w:rsidRDefault="009B5E39" w:rsidP="00190E4A">
            <w:pPr>
              <w:widowControl w:val="0"/>
              <w:ind w:right="40"/>
              <w:jc w:val="both"/>
              <w:rPr>
                <w:rFonts w:ascii="Gotham" w:hAnsi="Gotham" w:cs="Arial"/>
                <w:sz w:val="18"/>
                <w:szCs w:val="18"/>
              </w:rPr>
            </w:pPr>
          </w:p>
          <w:p w14:paraId="3A4761EC" w14:textId="77777777" w:rsidR="009B5E39" w:rsidRPr="001335C7" w:rsidRDefault="009B5E39" w:rsidP="00190E4A">
            <w:pPr>
              <w:jc w:val="both"/>
              <w:rPr>
                <w:rFonts w:ascii="Gotham" w:hAnsi="Gotham" w:cs="Arial"/>
                <w:sz w:val="18"/>
                <w:szCs w:val="18"/>
              </w:rPr>
            </w:pPr>
          </w:p>
        </w:tc>
        <w:tc>
          <w:tcPr>
            <w:tcW w:w="4899" w:type="dxa"/>
            <w:tcBorders>
              <w:top w:val="nil"/>
              <w:left w:val="single" w:sz="4" w:space="0" w:color="000000"/>
              <w:bottom w:val="nil"/>
              <w:right w:val="single" w:sz="4" w:space="0" w:color="000000"/>
            </w:tcBorders>
            <w:shd w:val="clear" w:color="auto" w:fill="auto"/>
          </w:tcPr>
          <w:p w14:paraId="3A4761ED"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lastRenderedPageBreak/>
              <w:t>La o el titular de la Dirección de Comunicación</w:t>
            </w:r>
          </w:p>
          <w:p w14:paraId="3A4761EE"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lastRenderedPageBreak/>
              <w:t>Social</w:t>
            </w:r>
          </w:p>
        </w:tc>
      </w:tr>
      <w:tr w:rsidR="009B5E39" w:rsidRPr="001335C7" w14:paraId="3A4761F5" w14:textId="77777777" w:rsidTr="00190E4A">
        <w:tc>
          <w:tcPr>
            <w:tcW w:w="4898" w:type="dxa"/>
            <w:tcBorders>
              <w:top w:val="nil"/>
              <w:left w:val="single" w:sz="4" w:space="0" w:color="000000"/>
              <w:bottom w:val="nil"/>
              <w:right w:val="single" w:sz="4" w:space="0" w:color="000000"/>
            </w:tcBorders>
            <w:shd w:val="clear" w:color="auto" w:fill="auto"/>
          </w:tcPr>
          <w:p w14:paraId="3A4761F0"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lastRenderedPageBreak/>
              <w:t>X. La o el titular del Sistema para el Desarrollo Integral de la Familia DIF Tonalá;</w:t>
            </w:r>
          </w:p>
          <w:p w14:paraId="3A4761F1" w14:textId="77777777" w:rsidR="009B5E39" w:rsidRPr="001335C7" w:rsidRDefault="009B5E39" w:rsidP="00190E4A">
            <w:pPr>
              <w:widowControl w:val="0"/>
              <w:ind w:right="40"/>
              <w:jc w:val="both"/>
              <w:rPr>
                <w:rFonts w:ascii="Gotham" w:hAnsi="Gotham" w:cs="Arial"/>
                <w:sz w:val="18"/>
                <w:szCs w:val="18"/>
              </w:rPr>
            </w:pPr>
          </w:p>
          <w:p w14:paraId="3A4761F2" w14:textId="77777777" w:rsidR="009B5E39" w:rsidRPr="001335C7" w:rsidRDefault="009B5E39" w:rsidP="00190E4A">
            <w:pPr>
              <w:jc w:val="both"/>
              <w:rPr>
                <w:rFonts w:ascii="Gotham" w:hAnsi="Gotham" w:cs="Arial"/>
                <w:sz w:val="18"/>
                <w:szCs w:val="18"/>
              </w:rPr>
            </w:pPr>
          </w:p>
        </w:tc>
        <w:tc>
          <w:tcPr>
            <w:tcW w:w="4899" w:type="dxa"/>
            <w:tcBorders>
              <w:top w:val="nil"/>
              <w:left w:val="single" w:sz="4" w:space="0" w:color="000000"/>
              <w:bottom w:val="nil"/>
              <w:right w:val="single" w:sz="4" w:space="0" w:color="000000"/>
            </w:tcBorders>
            <w:shd w:val="clear" w:color="auto" w:fill="auto"/>
          </w:tcPr>
          <w:p w14:paraId="3A4761F3"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La o el titular del Sistema para el Desarrollo Integral de la Familia DIF Tonalá </w:t>
            </w:r>
            <w:r w:rsidRPr="001335C7">
              <w:rPr>
                <w:rFonts w:ascii="Gotham" w:hAnsi="Gotham" w:cs="Arial"/>
                <w:sz w:val="18"/>
                <w:szCs w:val="18"/>
                <w:highlight w:val="cyan"/>
              </w:rPr>
              <w:t>y como suplente la persona encargada de la Unidad de Atención a la Violencia Intrafamiliar (UAVI);</w:t>
            </w:r>
          </w:p>
          <w:p w14:paraId="3A4761F4" w14:textId="77777777" w:rsidR="009B5E39" w:rsidRPr="001335C7" w:rsidRDefault="009B5E39" w:rsidP="00190E4A">
            <w:pPr>
              <w:jc w:val="both"/>
              <w:rPr>
                <w:rFonts w:ascii="Gotham" w:hAnsi="Gotham" w:cs="Arial"/>
                <w:sz w:val="18"/>
                <w:szCs w:val="18"/>
              </w:rPr>
            </w:pPr>
          </w:p>
        </w:tc>
      </w:tr>
      <w:tr w:rsidR="009B5E39" w:rsidRPr="001335C7" w14:paraId="3A47620A" w14:textId="77777777" w:rsidTr="00190E4A">
        <w:tc>
          <w:tcPr>
            <w:tcW w:w="4898" w:type="dxa"/>
            <w:tcBorders>
              <w:top w:val="nil"/>
              <w:left w:val="single" w:sz="4" w:space="0" w:color="000000"/>
              <w:bottom w:val="single" w:sz="4" w:space="0" w:color="000000"/>
              <w:right w:val="single" w:sz="4" w:space="0" w:color="000000"/>
            </w:tcBorders>
            <w:shd w:val="clear" w:color="auto" w:fill="auto"/>
          </w:tcPr>
          <w:p w14:paraId="3A4761F6"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XI. La o el titular de la Comisaría de la Policía Preventiva Municipal.</w:t>
            </w:r>
          </w:p>
          <w:p w14:paraId="3A4761F7" w14:textId="77777777" w:rsidR="009B5E39" w:rsidRPr="001335C7" w:rsidRDefault="009B5E39" w:rsidP="00190E4A">
            <w:pPr>
              <w:jc w:val="both"/>
              <w:rPr>
                <w:rFonts w:ascii="Gotham" w:hAnsi="Gotham" w:cs="Arial"/>
                <w:sz w:val="18"/>
                <w:szCs w:val="18"/>
              </w:rPr>
            </w:pPr>
          </w:p>
          <w:p w14:paraId="3A4761F8" w14:textId="77777777" w:rsidR="009B5E39" w:rsidRPr="001335C7" w:rsidRDefault="009B5E39" w:rsidP="00190E4A">
            <w:pPr>
              <w:jc w:val="both"/>
              <w:rPr>
                <w:rFonts w:ascii="Gotham" w:hAnsi="Gotham" w:cs="Arial"/>
                <w:sz w:val="18"/>
                <w:szCs w:val="18"/>
              </w:rPr>
            </w:pPr>
          </w:p>
          <w:p w14:paraId="3A4761F9" w14:textId="77777777" w:rsidR="009B5E39" w:rsidRPr="001335C7" w:rsidRDefault="009B5E39" w:rsidP="00190E4A">
            <w:pPr>
              <w:jc w:val="both"/>
              <w:rPr>
                <w:rFonts w:ascii="Gotham" w:hAnsi="Gotham" w:cs="Arial"/>
                <w:sz w:val="18"/>
                <w:szCs w:val="18"/>
              </w:rPr>
            </w:pPr>
          </w:p>
          <w:p w14:paraId="3A4761FA" w14:textId="77777777" w:rsidR="009B5E39" w:rsidRPr="001335C7" w:rsidRDefault="009B5E39" w:rsidP="00190E4A">
            <w:pPr>
              <w:jc w:val="both"/>
              <w:rPr>
                <w:rFonts w:ascii="Gotham" w:hAnsi="Gotham" w:cs="Arial"/>
                <w:sz w:val="18"/>
                <w:szCs w:val="18"/>
              </w:rPr>
            </w:pPr>
          </w:p>
          <w:p w14:paraId="3A4761FB" w14:textId="77777777" w:rsidR="009B5E39" w:rsidRPr="001335C7" w:rsidRDefault="009B5E39" w:rsidP="00190E4A">
            <w:pPr>
              <w:jc w:val="both"/>
              <w:rPr>
                <w:rFonts w:ascii="Gotham" w:hAnsi="Gotham" w:cs="Arial"/>
                <w:sz w:val="18"/>
                <w:szCs w:val="18"/>
              </w:rPr>
            </w:pPr>
          </w:p>
          <w:p w14:paraId="3A4761FC" w14:textId="77777777" w:rsidR="009B5E39" w:rsidRPr="001335C7" w:rsidRDefault="009B5E39" w:rsidP="00190E4A">
            <w:pPr>
              <w:jc w:val="both"/>
              <w:rPr>
                <w:rFonts w:ascii="Gotham" w:hAnsi="Gotham" w:cs="Arial"/>
                <w:sz w:val="18"/>
                <w:szCs w:val="18"/>
              </w:rPr>
            </w:pPr>
          </w:p>
          <w:p w14:paraId="3A4761FD"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Por cada uno de los integrantes de la Junta de Gobierno se deberá nombrar un suplente, dichos integrantes tendrán derecho a voz y voto, con excepción de la Secretaria Técnica quién sólo contará con derecho a voz. Estos nombramientos son de carácter honorífico y, por tanto, no remunerados.</w:t>
            </w:r>
          </w:p>
          <w:p w14:paraId="3A4761FE" w14:textId="77777777" w:rsidR="009B5E39" w:rsidRPr="001335C7" w:rsidRDefault="009B5E39" w:rsidP="00190E4A">
            <w:pPr>
              <w:jc w:val="both"/>
              <w:rPr>
                <w:rFonts w:ascii="Gotham" w:hAnsi="Gotham" w:cs="Arial"/>
                <w:sz w:val="18"/>
                <w:szCs w:val="18"/>
              </w:rPr>
            </w:pPr>
          </w:p>
          <w:p w14:paraId="3A4761FF"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Por instrucción de la Presidencia de la Junta de Gobierno podrá invitarse a titulares de otras dependencias ya sean de orden municipal, estatal o federal, instituciones públicas o privadas, académicos y demás personas especializadas en temas de la mujer, igualdad sustantiva, así como la no violencia hacia las mujeres y en cuyo caso, tendrán únicamente derecho a voz en las sesiones.</w:t>
            </w:r>
          </w:p>
          <w:p w14:paraId="3A476200" w14:textId="77777777" w:rsidR="009B5E39" w:rsidRPr="001335C7" w:rsidRDefault="009B5E39" w:rsidP="00190E4A">
            <w:pPr>
              <w:jc w:val="both"/>
              <w:rPr>
                <w:rFonts w:ascii="Gotham" w:hAnsi="Gotham" w:cs="Arial"/>
                <w:sz w:val="18"/>
                <w:szCs w:val="18"/>
              </w:rPr>
            </w:pPr>
          </w:p>
        </w:tc>
        <w:tc>
          <w:tcPr>
            <w:tcW w:w="4899" w:type="dxa"/>
            <w:tcBorders>
              <w:top w:val="nil"/>
              <w:left w:val="single" w:sz="4" w:space="0" w:color="000000"/>
              <w:bottom w:val="single" w:sz="4" w:space="0" w:color="000000"/>
              <w:right w:val="single" w:sz="4" w:space="0" w:color="000000"/>
            </w:tcBorders>
            <w:shd w:val="clear" w:color="auto" w:fill="auto"/>
          </w:tcPr>
          <w:p w14:paraId="3A476201"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rPr>
              <w:t xml:space="preserve">La o el titular de la Comisaría de la Policía Preventiva Municipal </w:t>
            </w:r>
            <w:r w:rsidRPr="001335C7">
              <w:rPr>
                <w:rFonts w:ascii="Gotham" w:hAnsi="Gotham" w:cs="Arial"/>
                <w:sz w:val="18"/>
                <w:szCs w:val="18"/>
                <w:highlight w:val="cyan"/>
              </w:rPr>
              <w:t>y como suplente la persona encargada del área de Prevención del Delito;</w:t>
            </w:r>
          </w:p>
          <w:p w14:paraId="3A476202" w14:textId="77777777" w:rsidR="009B5E39" w:rsidRPr="001335C7" w:rsidRDefault="009B5E39" w:rsidP="00190E4A">
            <w:pPr>
              <w:jc w:val="both"/>
              <w:rPr>
                <w:rFonts w:ascii="Gotham" w:hAnsi="Gotham" w:cs="Arial"/>
                <w:sz w:val="18"/>
                <w:szCs w:val="18"/>
                <w:highlight w:val="cyan"/>
              </w:rPr>
            </w:pPr>
          </w:p>
          <w:p w14:paraId="3A476203"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 xml:space="preserve">La o el titular de la unidad policial especializada de atención a mujeres víctimas de violencia. </w:t>
            </w:r>
          </w:p>
          <w:p w14:paraId="3A476204" w14:textId="77777777" w:rsidR="009B5E39" w:rsidRPr="001335C7" w:rsidRDefault="009B5E39" w:rsidP="00190E4A">
            <w:pPr>
              <w:jc w:val="both"/>
              <w:rPr>
                <w:rFonts w:ascii="Gotham" w:hAnsi="Gotham" w:cs="Arial"/>
                <w:sz w:val="18"/>
                <w:szCs w:val="18"/>
              </w:rPr>
            </w:pPr>
          </w:p>
          <w:p w14:paraId="3A476205" w14:textId="77777777" w:rsidR="009B5E39" w:rsidRPr="001335C7" w:rsidRDefault="009B5E39" w:rsidP="00190E4A">
            <w:pPr>
              <w:jc w:val="both"/>
              <w:rPr>
                <w:rFonts w:ascii="Gotham" w:hAnsi="Gotham" w:cs="Arial"/>
                <w:sz w:val="18"/>
                <w:szCs w:val="18"/>
              </w:rPr>
            </w:pPr>
          </w:p>
          <w:p w14:paraId="3A476206"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Por cada uno de los integrantes</w:t>
            </w:r>
            <w:r w:rsidR="007C2F8D">
              <w:rPr>
                <w:rFonts w:ascii="Gotham" w:hAnsi="Gotham" w:cs="Arial"/>
                <w:sz w:val="18"/>
                <w:szCs w:val="18"/>
              </w:rPr>
              <w:t xml:space="preserve"> </w:t>
            </w:r>
            <w:r w:rsidRPr="001335C7">
              <w:rPr>
                <w:rFonts w:ascii="Gotham" w:hAnsi="Gotham" w:cs="Arial"/>
                <w:sz w:val="18"/>
                <w:szCs w:val="18"/>
              </w:rPr>
              <w:t>de la Junta de Gobierno se deberá nombrar un suplente, dichos integrantes tendrán derecho a voz y voto, con excepción de la Secretaria Técnica quién sólo contará con derecho a voz. Estos nombramientos son de carácter honorífico y, por tanto, no remunerados.</w:t>
            </w:r>
          </w:p>
          <w:p w14:paraId="3A476207" w14:textId="77777777" w:rsidR="009B5E39" w:rsidRPr="001335C7" w:rsidRDefault="009B5E39" w:rsidP="00190E4A">
            <w:pPr>
              <w:jc w:val="both"/>
              <w:rPr>
                <w:rFonts w:ascii="Gotham" w:hAnsi="Gotham" w:cs="Arial"/>
                <w:sz w:val="18"/>
                <w:szCs w:val="18"/>
              </w:rPr>
            </w:pPr>
          </w:p>
          <w:p w14:paraId="3A476208" w14:textId="77777777" w:rsidR="009B5E39" w:rsidRDefault="009B5E39" w:rsidP="00190E4A">
            <w:pPr>
              <w:jc w:val="both"/>
              <w:rPr>
                <w:rFonts w:ascii="Gotham" w:hAnsi="Gotham" w:cs="Arial"/>
                <w:sz w:val="18"/>
                <w:szCs w:val="18"/>
              </w:rPr>
            </w:pPr>
            <w:r w:rsidRPr="001335C7">
              <w:rPr>
                <w:rFonts w:ascii="Gotham" w:hAnsi="Gotham" w:cs="Arial"/>
                <w:sz w:val="18"/>
                <w:szCs w:val="18"/>
              </w:rPr>
              <w:t>Por instrucción de la Presidencia de la Junta de Gobierno</w:t>
            </w:r>
            <w:r w:rsidRPr="001335C7">
              <w:rPr>
                <w:rFonts w:ascii="Gotham" w:hAnsi="Gotham" w:cs="Arial"/>
                <w:sz w:val="18"/>
                <w:szCs w:val="18"/>
                <w:highlight w:val="cyan"/>
              </w:rPr>
              <w:t xml:space="preserve"> o la secretaría técnica </w:t>
            </w:r>
            <w:r w:rsidRPr="001335C7">
              <w:rPr>
                <w:rFonts w:ascii="Gotham" w:hAnsi="Gotham" w:cs="Arial"/>
                <w:sz w:val="18"/>
                <w:szCs w:val="18"/>
              </w:rPr>
              <w:t>podrá invitarse a titulares de otras dependencias ya sean de orden municipal, estatal o federal, instituciones públicas o privadas, académicos y demás personas especializadas en temas de la mujer, igualdad sustantiva, así como la no violencia hacia las mujeres y en cuyo caso, tendrán únicamente derecho a voz en las sesiones.</w:t>
            </w:r>
          </w:p>
          <w:p w14:paraId="3A476209" w14:textId="77777777" w:rsidR="009B5E39" w:rsidRPr="001335C7" w:rsidRDefault="009B5E39" w:rsidP="00190E4A">
            <w:pPr>
              <w:jc w:val="both"/>
              <w:rPr>
                <w:rFonts w:ascii="Gotham" w:hAnsi="Gotham" w:cs="Arial"/>
                <w:sz w:val="18"/>
                <w:szCs w:val="18"/>
              </w:rPr>
            </w:pPr>
          </w:p>
        </w:tc>
      </w:tr>
      <w:tr w:rsidR="009B5E39" w:rsidRPr="001335C7" w14:paraId="3A47620F" w14:textId="77777777" w:rsidTr="00190E4A">
        <w:tc>
          <w:tcPr>
            <w:tcW w:w="4898" w:type="dxa"/>
            <w:tcBorders>
              <w:top w:val="single" w:sz="4" w:space="0" w:color="000000"/>
            </w:tcBorders>
            <w:shd w:val="clear" w:color="auto" w:fill="auto"/>
          </w:tcPr>
          <w:p w14:paraId="3A47620B" w14:textId="77777777" w:rsidR="009B5E39" w:rsidRPr="001335C7" w:rsidRDefault="009B5E39" w:rsidP="00190E4A">
            <w:pPr>
              <w:jc w:val="both"/>
              <w:rPr>
                <w:rFonts w:ascii="Gotham" w:hAnsi="Gotham" w:cs="Arial"/>
                <w:b/>
                <w:sz w:val="18"/>
                <w:szCs w:val="18"/>
              </w:rPr>
            </w:pPr>
          </w:p>
          <w:p w14:paraId="3A47620C"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16.-</w:t>
            </w:r>
            <w:r w:rsidRPr="001335C7">
              <w:rPr>
                <w:rFonts w:ascii="Gotham" w:hAnsi="Gotham" w:cs="Arial"/>
                <w:sz w:val="18"/>
                <w:szCs w:val="18"/>
              </w:rPr>
              <w:t xml:space="preserve"> La Junta de Gobierno sesionará, al menos, una vez cada </w:t>
            </w:r>
            <w:r w:rsidRPr="001335C7">
              <w:rPr>
                <w:rFonts w:ascii="Gotham" w:hAnsi="Gotham" w:cs="Arial"/>
                <w:sz w:val="18"/>
                <w:szCs w:val="18"/>
                <w:highlight w:val="yellow"/>
              </w:rPr>
              <w:t>trimestre</w:t>
            </w:r>
            <w:r w:rsidRPr="001335C7">
              <w:rPr>
                <w:rFonts w:ascii="Gotham" w:hAnsi="Gotham" w:cs="Arial"/>
                <w:sz w:val="18"/>
                <w:szCs w:val="18"/>
              </w:rPr>
              <w:t xml:space="preserve"> mediante convocatoria emitida por la Secretaria Técnica, previa instrucción de la Presidencia de la Junta de Gobierno, así como cuantas veces sea pertinente y necesario.</w:t>
            </w:r>
          </w:p>
          <w:p w14:paraId="3A47620D" w14:textId="77777777" w:rsidR="009B5E39" w:rsidRPr="001335C7" w:rsidRDefault="009B5E39" w:rsidP="00190E4A">
            <w:pPr>
              <w:jc w:val="both"/>
              <w:rPr>
                <w:rFonts w:ascii="Gotham" w:hAnsi="Gotham" w:cs="Arial"/>
                <w:sz w:val="18"/>
                <w:szCs w:val="18"/>
              </w:rPr>
            </w:pPr>
          </w:p>
        </w:tc>
        <w:tc>
          <w:tcPr>
            <w:tcW w:w="4899" w:type="dxa"/>
            <w:tcBorders>
              <w:top w:val="single" w:sz="4" w:space="0" w:color="000000"/>
            </w:tcBorders>
            <w:shd w:val="clear" w:color="auto" w:fill="auto"/>
          </w:tcPr>
          <w:p w14:paraId="3A47620E" w14:textId="77777777" w:rsidR="009B5E39" w:rsidRPr="001335C7" w:rsidRDefault="009B5E39" w:rsidP="00190E4A">
            <w:pPr>
              <w:jc w:val="both"/>
              <w:rPr>
                <w:rFonts w:ascii="Gotham" w:hAnsi="Gotham" w:cs="Arial"/>
                <w:sz w:val="18"/>
                <w:szCs w:val="18"/>
                <w:highlight w:val="white"/>
              </w:rPr>
            </w:pPr>
          </w:p>
        </w:tc>
      </w:tr>
      <w:tr w:rsidR="009B5E39" w:rsidRPr="001335C7" w14:paraId="3A47622D" w14:textId="77777777" w:rsidTr="00190E4A">
        <w:tc>
          <w:tcPr>
            <w:tcW w:w="4898" w:type="dxa"/>
            <w:tcBorders>
              <w:top w:val="single" w:sz="4" w:space="0" w:color="000000"/>
            </w:tcBorders>
            <w:shd w:val="clear" w:color="auto" w:fill="auto"/>
          </w:tcPr>
          <w:p w14:paraId="3A476210" w14:textId="77777777" w:rsidR="009B5E39" w:rsidRPr="001335C7" w:rsidRDefault="009B5E39" w:rsidP="00190E4A">
            <w:pPr>
              <w:jc w:val="both"/>
              <w:rPr>
                <w:rFonts w:ascii="Gotham" w:hAnsi="Gotham" w:cs="Arial"/>
                <w:b/>
                <w:sz w:val="18"/>
                <w:szCs w:val="18"/>
              </w:rPr>
            </w:pPr>
          </w:p>
          <w:p w14:paraId="3A476211"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24.- </w:t>
            </w:r>
            <w:r w:rsidRPr="001335C7">
              <w:rPr>
                <w:rFonts w:ascii="Gotham" w:hAnsi="Gotham" w:cs="Arial"/>
                <w:sz w:val="18"/>
                <w:szCs w:val="18"/>
              </w:rPr>
              <w:t>Para ser Directora del Instituto se deberán reunir los siguientes requisitos:</w:t>
            </w:r>
          </w:p>
          <w:p w14:paraId="3A476212" w14:textId="77777777" w:rsidR="009B5E39" w:rsidRPr="001335C7" w:rsidRDefault="009B5E39" w:rsidP="00190E4A">
            <w:pPr>
              <w:jc w:val="both"/>
              <w:rPr>
                <w:rFonts w:ascii="Gotham" w:hAnsi="Gotham" w:cs="Arial"/>
                <w:sz w:val="18"/>
                <w:szCs w:val="18"/>
              </w:rPr>
            </w:pPr>
          </w:p>
          <w:p w14:paraId="3A476213" w14:textId="77777777" w:rsidR="009B5E39" w:rsidRPr="001335C7" w:rsidRDefault="009B5E39" w:rsidP="00E5394F">
            <w:pPr>
              <w:numPr>
                <w:ilvl w:val="0"/>
                <w:numId w:val="264"/>
              </w:numPr>
              <w:ind w:left="426" w:hanging="437"/>
              <w:jc w:val="both"/>
              <w:rPr>
                <w:rFonts w:ascii="Gotham" w:hAnsi="Gotham" w:cs="Arial"/>
                <w:sz w:val="18"/>
                <w:szCs w:val="18"/>
              </w:rPr>
            </w:pPr>
            <w:r w:rsidRPr="001335C7">
              <w:rPr>
                <w:rFonts w:ascii="Gotham" w:hAnsi="Gotham" w:cs="Arial"/>
                <w:sz w:val="18"/>
                <w:szCs w:val="18"/>
              </w:rPr>
              <w:t>Ser mujer mayor de veintiún años en pleno goce y ejercicio de sus derechos civiles y políticos;</w:t>
            </w:r>
          </w:p>
          <w:p w14:paraId="3A476214" w14:textId="77777777" w:rsidR="009B5E39" w:rsidRPr="001335C7" w:rsidRDefault="009B5E39" w:rsidP="00190E4A">
            <w:pPr>
              <w:ind w:left="426" w:hanging="437"/>
              <w:jc w:val="both"/>
              <w:rPr>
                <w:rFonts w:ascii="Gotham" w:hAnsi="Gotham" w:cs="Arial"/>
                <w:sz w:val="18"/>
                <w:szCs w:val="18"/>
              </w:rPr>
            </w:pPr>
          </w:p>
          <w:p w14:paraId="3A476215" w14:textId="77777777" w:rsidR="009B5E39" w:rsidRPr="001335C7" w:rsidRDefault="009B5E39" w:rsidP="00E5394F">
            <w:pPr>
              <w:numPr>
                <w:ilvl w:val="0"/>
                <w:numId w:val="264"/>
              </w:numPr>
              <w:ind w:left="426" w:hanging="437"/>
              <w:jc w:val="both"/>
              <w:rPr>
                <w:rFonts w:ascii="Gotham" w:hAnsi="Gotham" w:cs="Arial"/>
                <w:sz w:val="18"/>
                <w:szCs w:val="18"/>
              </w:rPr>
            </w:pPr>
            <w:r w:rsidRPr="001335C7">
              <w:rPr>
                <w:rFonts w:ascii="Gotham" w:hAnsi="Gotham" w:cs="Arial"/>
                <w:sz w:val="18"/>
                <w:szCs w:val="18"/>
              </w:rPr>
              <w:t>Contar con título de licenciatura en materias afines al Instituto;</w:t>
            </w:r>
          </w:p>
          <w:p w14:paraId="3A476216" w14:textId="77777777" w:rsidR="009B5E39" w:rsidRPr="001335C7" w:rsidRDefault="009B5E39" w:rsidP="00190E4A">
            <w:pPr>
              <w:ind w:left="426" w:hanging="437"/>
              <w:jc w:val="both"/>
              <w:rPr>
                <w:rFonts w:ascii="Gotham" w:hAnsi="Gotham" w:cs="Arial"/>
                <w:sz w:val="18"/>
                <w:szCs w:val="18"/>
              </w:rPr>
            </w:pPr>
          </w:p>
          <w:p w14:paraId="3A476217" w14:textId="77777777" w:rsidR="009B5E39" w:rsidRPr="001335C7" w:rsidRDefault="009B5E39" w:rsidP="00E5394F">
            <w:pPr>
              <w:numPr>
                <w:ilvl w:val="0"/>
                <w:numId w:val="264"/>
              </w:numPr>
              <w:ind w:left="426" w:hanging="437"/>
              <w:jc w:val="both"/>
              <w:rPr>
                <w:rFonts w:ascii="Gotham" w:hAnsi="Gotham" w:cs="Arial"/>
                <w:sz w:val="18"/>
                <w:szCs w:val="18"/>
              </w:rPr>
            </w:pPr>
            <w:r w:rsidRPr="001335C7">
              <w:rPr>
                <w:rFonts w:ascii="Gotham" w:hAnsi="Gotham" w:cs="Arial"/>
                <w:sz w:val="18"/>
                <w:szCs w:val="18"/>
              </w:rPr>
              <w:t>Tener probada capacidad y honorabilidad;</w:t>
            </w:r>
          </w:p>
          <w:p w14:paraId="3A476218" w14:textId="77777777" w:rsidR="009B5E39" w:rsidRPr="001335C7" w:rsidRDefault="009B5E39" w:rsidP="00190E4A">
            <w:pPr>
              <w:ind w:left="426" w:hanging="437"/>
              <w:jc w:val="both"/>
              <w:rPr>
                <w:rFonts w:ascii="Gotham" w:hAnsi="Gotham" w:cs="Arial"/>
                <w:sz w:val="18"/>
                <w:szCs w:val="18"/>
              </w:rPr>
            </w:pPr>
          </w:p>
          <w:p w14:paraId="3A476219" w14:textId="77777777" w:rsidR="009B5E39" w:rsidRPr="001335C7" w:rsidRDefault="009B5E39" w:rsidP="00E5394F">
            <w:pPr>
              <w:numPr>
                <w:ilvl w:val="0"/>
                <w:numId w:val="264"/>
              </w:numPr>
              <w:ind w:left="426" w:hanging="437"/>
              <w:jc w:val="both"/>
              <w:rPr>
                <w:rFonts w:ascii="Gotham" w:hAnsi="Gotham" w:cs="Arial"/>
                <w:sz w:val="18"/>
                <w:szCs w:val="18"/>
              </w:rPr>
            </w:pPr>
            <w:r w:rsidRPr="001335C7">
              <w:rPr>
                <w:rFonts w:ascii="Gotham" w:hAnsi="Gotham" w:cs="Arial"/>
                <w:sz w:val="18"/>
                <w:szCs w:val="18"/>
              </w:rPr>
              <w:t>Contar, preferentemente, con experiencia laboral en temas de la defensa de los derechos humanos de las mujeres;</w:t>
            </w:r>
          </w:p>
          <w:p w14:paraId="3A47621A" w14:textId="77777777" w:rsidR="009B5E39" w:rsidRPr="001335C7" w:rsidRDefault="009B5E39" w:rsidP="00190E4A">
            <w:pPr>
              <w:ind w:left="426" w:hanging="437"/>
              <w:jc w:val="both"/>
              <w:rPr>
                <w:rFonts w:ascii="Gotham" w:hAnsi="Gotham" w:cs="Arial"/>
                <w:sz w:val="18"/>
                <w:szCs w:val="18"/>
              </w:rPr>
            </w:pPr>
          </w:p>
          <w:p w14:paraId="3A47621B" w14:textId="77777777" w:rsidR="009B5E39" w:rsidRPr="001335C7" w:rsidRDefault="009B5E39" w:rsidP="00E5394F">
            <w:pPr>
              <w:numPr>
                <w:ilvl w:val="0"/>
                <w:numId w:val="264"/>
              </w:numPr>
              <w:ind w:left="426" w:hanging="437"/>
              <w:jc w:val="both"/>
              <w:rPr>
                <w:rFonts w:ascii="Gotham" w:hAnsi="Gotham" w:cs="Arial"/>
                <w:sz w:val="18"/>
                <w:szCs w:val="18"/>
              </w:rPr>
            </w:pPr>
            <w:r w:rsidRPr="001335C7">
              <w:rPr>
                <w:rFonts w:ascii="Gotham" w:hAnsi="Gotham" w:cs="Arial"/>
                <w:sz w:val="18"/>
                <w:szCs w:val="18"/>
              </w:rPr>
              <w:lastRenderedPageBreak/>
              <w:t>No tener ningún cargo político partidista al momento de la designación; y</w:t>
            </w:r>
          </w:p>
          <w:p w14:paraId="3A47621C" w14:textId="77777777" w:rsidR="009B5E39" w:rsidRPr="001335C7" w:rsidRDefault="009B5E39" w:rsidP="00190E4A">
            <w:pPr>
              <w:ind w:left="426" w:hanging="437"/>
              <w:jc w:val="both"/>
              <w:rPr>
                <w:rFonts w:ascii="Gotham" w:hAnsi="Gotham" w:cs="Arial"/>
                <w:sz w:val="18"/>
                <w:szCs w:val="18"/>
              </w:rPr>
            </w:pPr>
          </w:p>
          <w:p w14:paraId="3A47621D" w14:textId="77777777" w:rsidR="009B5E39" w:rsidRPr="001335C7" w:rsidRDefault="009B5E39" w:rsidP="00E5394F">
            <w:pPr>
              <w:numPr>
                <w:ilvl w:val="0"/>
                <w:numId w:val="264"/>
              </w:numPr>
              <w:ind w:left="426" w:hanging="437"/>
              <w:jc w:val="both"/>
              <w:rPr>
                <w:rFonts w:ascii="Gotham" w:hAnsi="Gotham" w:cs="Arial"/>
                <w:sz w:val="18"/>
                <w:szCs w:val="18"/>
              </w:rPr>
            </w:pPr>
            <w:r w:rsidRPr="001335C7">
              <w:rPr>
                <w:rFonts w:ascii="Gotham" w:hAnsi="Gotham" w:cs="Arial"/>
                <w:sz w:val="18"/>
                <w:szCs w:val="18"/>
              </w:rPr>
              <w:t>Acreditar no tener antecedentes penales.</w:t>
            </w:r>
          </w:p>
        </w:tc>
        <w:tc>
          <w:tcPr>
            <w:tcW w:w="4899" w:type="dxa"/>
            <w:tcBorders>
              <w:top w:val="single" w:sz="4" w:space="0" w:color="000000"/>
            </w:tcBorders>
            <w:shd w:val="clear" w:color="auto" w:fill="auto"/>
          </w:tcPr>
          <w:p w14:paraId="3A47621E" w14:textId="77777777" w:rsidR="009B5E39" w:rsidRPr="001335C7" w:rsidRDefault="009B5E39" w:rsidP="00190E4A">
            <w:pPr>
              <w:jc w:val="both"/>
              <w:rPr>
                <w:rFonts w:ascii="Gotham" w:hAnsi="Gotham" w:cs="Arial"/>
                <w:b/>
                <w:sz w:val="18"/>
                <w:szCs w:val="18"/>
              </w:rPr>
            </w:pPr>
          </w:p>
          <w:p w14:paraId="3A47621F"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24.- </w:t>
            </w:r>
            <w:r w:rsidRPr="001335C7">
              <w:rPr>
                <w:rFonts w:ascii="Gotham" w:hAnsi="Gotham" w:cs="Arial"/>
                <w:sz w:val="18"/>
                <w:szCs w:val="18"/>
              </w:rPr>
              <w:t>Para ser Directora del Instituto se deberán reunir los siguientes requisitos:</w:t>
            </w:r>
          </w:p>
          <w:p w14:paraId="3A476220" w14:textId="77777777" w:rsidR="009B5E39" w:rsidRPr="001335C7" w:rsidRDefault="009B5E39" w:rsidP="00190E4A">
            <w:pPr>
              <w:jc w:val="both"/>
              <w:rPr>
                <w:rFonts w:ascii="Gotham" w:hAnsi="Gotham" w:cs="Arial"/>
                <w:sz w:val="18"/>
                <w:szCs w:val="18"/>
              </w:rPr>
            </w:pPr>
          </w:p>
          <w:p w14:paraId="3A476221" w14:textId="77777777" w:rsidR="009B5E39" w:rsidRPr="001335C7" w:rsidRDefault="009B5E39" w:rsidP="00E5394F">
            <w:pPr>
              <w:numPr>
                <w:ilvl w:val="0"/>
                <w:numId w:val="284"/>
              </w:numPr>
              <w:ind w:left="426" w:hanging="437"/>
              <w:jc w:val="both"/>
              <w:rPr>
                <w:rFonts w:ascii="Gotham" w:hAnsi="Gotham" w:cs="Arial"/>
                <w:sz w:val="18"/>
                <w:szCs w:val="18"/>
              </w:rPr>
            </w:pPr>
            <w:r w:rsidRPr="001335C7">
              <w:rPr>
                <w:rFonts w:ascii="Gotham" w:hAnsi="Gotham" w:cs="Arial"/>
                <w:sz w:val="18"/>
                <w:szCs w:val="18"/>
              </w:rPr>
              <w:t xml:space="preserve">Ser </w:t>
            </w:r>
            <w:r w:rsidRPr="001335C7">
              <w:rPr>
                <w:rFonts w:ascii="Gotham" w:hAnsi="Gotham" w:cs="Arial"/>
                <w:sz w:val="18"/>
                <w:szCs w:val="18"/>
                <w:highlight w:val="yellow"/>
              </w:rPr>
              <w:t>ciudadana mexicana</w:t>
            </w:r>
            <w:r w:rsidRPr="001335C7">
              <w:rPr>
                <w:rFonts w:ascii="Gotham" w:hAnsi="Gotham" w:cs="Arial"/>
                <w:sz w:val="18"/>
                <w:szCs w:val="18"/>
              </w:rPr>
              <w:t xml:space="preserve"> en pleno goce y ejercicio de sus derechos civiles y políticos;</w:t>
            </w:r>
          </w:p>
          <w:p w14:paraId="3A476222" w14:textId="77777777" w:rsidR="009B5E39" w:rsidRPr="001335C7" w:rsidRDefault="009B5E39" w:rsidP="00190E4A">
            <w:pPr>
              <w:ind w:left="426" w:hanging="437"/>
              <w:jc w:val="both"/>
              <w:rPr>
                <w:rFonts w:ascii="Gotham" w:hAnsi="Gotham" w:cs="Arial"/>
                <w:sz w:val="18"/>
                <w:szCs w:val="18"/>
              </w:rPr>
            </w:pPr>
          </w:p>
          <w:p w14:paraId="3A476223" w14:textId="77777777" w:rsidR="009B5E39" w:rsidRPr="001335C7" w:rsidRDefault="009B5E39" w:rsidP="00E5394F">
            <w:pPr>
              <w:numPr>
                <w:ilvl w:val="0"/>
                <w:numId w:val="284"/>
              </w:numPr>
              <w:ind w:left="426" w:hanging="437"/>
              <w:jc w:val="both"/>
              <w:rPr>
                <w:rFonts w:ascii="Gotham" w:hAnsi="Gotham" w:cs="Arial"/>
                <w:sz w:val="18"/>
                <w:szCs w:val="18"/>
              </w:rPr>
            </w:pPr>
            <w:r w:rsidRPr="001335C7">
              <w:rPr>
                <w:rFonts w:ascii="Gotham" w:hAnsi="Gotham" w:cs="Arial"/>
                <w:sz w:val="18"/>
                <w:szCs w:val="18"/>
              </w:rPr>
              <w:t>Contar con título de licenciatura en materias afines al Instituto;</w:t>
            </w:r>
          </w:p>
          <w:p w14:paraId="3A476224" w14:textId="77777777" w:rsidR="009B5E39" w:rsidRPr="001335C7" w:rsidRDefault="009B5E39" w:rsidP="00190E4A">
            <w:pPr>
              <w:ind w:left="426" w:hanging="437"/>
              <w:jc w:val="both"/>
              <w:rPr>
                <w:rFonts w:ascii="Gotham" w:hAnsi="Gotham" w:cs="Arial"/>
                <w:sz w:val="18"/>
                <w:szCs w:val="18"/>
              </w:rPr>
            </w:pPr>
          </w:p>
          <w:p w14:paraId="3A476225" w14:textId="77777777" w:rsidR="009B5E39" w:rsidRPr="001335C7" w:rsidRDefault="009B5E39" w:rsidP="00E5394F">
            <w:pPr>
              <w:numPr>
                <w:ilvl w:val="0"/>
                <w:numId w:val="284"/>
              </w:numPr>
              <w:ind w:left="426" w:hanging="437"/>
              <w:jc w:val="both"/>
              <w:rPr>
                <w:rFonts w:ascii="Gotham" w:hAnsi="Gotham" w:cs="Arial"/>
                <w:sz w:val="18"/>
                <w:szCs w:val="18"/>
              </w:rPr>
            </w:pPr>
            <w:r w:rsidRPr="001335C7">
              <w:rPr>
                <w:rFonts w:ascii="Gotham" w:hAnsi="Gotham" w:cs="Arial"/>
                <w:sz w:val="18"/>
                <w:szCs w:val="18"/>
              </w:rPr>
              <w:t>Tener probada capacidad y honorabilidad;</w:t>
            </w:r>
          </w:p>
          <w:p w14:paraId="3A476226" w14:textId="77777777" w:rsidR="009B5E39" w:rsidRPr="001335C7" w:rsidRDefault="009B5E39" w:rsidP="00190E4A">
            <w:pPr>
              <w:ind w:left="426" w:hanging="437"/>
              <w:jc w:val="both"/>
              <w:rPr>
                <w:rFonts w:ascii="Gotham" w:hAnsi="Gotham" w:cs="Arial"/>
                <w:sz w:val="18"/>
                <w:szCs w:val="18"/>
              </w:rPr>
            </w:pPr>
          </w:p>
          <w:p w14:paraId="3A476227" w14:textId="77777777" w:rsidR="009B5E39" w:rsidRPr="001335C7" w:rsidRDefault="009B5E39" w:rsidP="00E5394F">
            <w:pPr>
              <w:numPr>
                <w:ilvl w:val="0"/>
                <w:numId w:val="284"/>
              </w:numPr>
              <w:ind w:left="426" w:hanging="437"/>
              <w:jc w:val="both"/>
              <w:rPr>
                <w:rFonts w:ascii="Gotham" w:hAnsi="Gotham" w:cs="Arial"/>
                <w:sz w:val="18"/>
                <w:szCs w:val="18"/>
              </w:rPr>
            </w:pPr>
            <w:r w:rsidRPr="001335C7">
              <w:rPr>
                <w:rFonts w:ascii="Gotham" w:hAnsi="Gotham" w:cs="Arial"/>
                <w:sz w:val="18"/>
                <w:szCs w:val="18"/>
              </w:rPr>
              <w:t>Contar con experiencia laboral en temas de la defensa de los derechos humanos de las mujeres;</w:t>
            </w:r>
          </w:p>
          <w:p w14:paraId="3A476228" w14:textId="77777777" w:rsidR="009B5E39" w:rsidRPr="001335C7" w:rsidRDefault="009B5E39" w:rsidP="00190E4A">
            <w:pPr>
              <w:ind w:left="426" w:hanging="437"/>
              <w:jc w:val="both"/>
              <w:rPr>
                <w:rFonts w:ascii="Gotham" w:hAnsi="Gotham" w:cs="Arial"/>
                <w:sz w:val="18"/>
                <w:szCs w:val="18"/>
              </w:rPr>
            </w:pPr>
          </w:p>
          <w:p w14:paraId="3A476229" w14:textId="77777777" w:rsidR="009B5E39" w:rsidRPr="001335C7" w:rsidRDefault="009B5E39" w:rsidP="00E5394F">
            <w:pPr>
              <w:numPr>
                <w:ilvl w:val="0"/>
                <w:numId w:val="284"/>
              </w:numPr>
              <w:ind w:left="426" w:hanging="437"/>
              <w:jc w:val="both"/>
              <w:rPr>
                <w:rFonts w:ascii="Gotham" w:hAnsi="Gotham" w:cs="Arial"/>
                <w:sz w:val="18"/>
                <w:szCs w:val="18"/>
              </w:rPr>
            </w:pPr>
            <w:r w:rsidRPr="001335C7">
              <w:rPr>
                <w:rFonts w:ascii="Gotham" w:hAnsi="Gotham" w:cs="Arial"/>
                <w:sz w:val="18"/>
                <w:szCs w:val="18"/>
              </w:rPr>
              <w:lastRenderedPageBreak/>
              <w:t>No tener ningún cargo político partidista al momento de la designación,</w:t>
            </w:r>
            <w:r w:rsidRPr="001335C7">
              <w:rPr>
                <w:rFonts w:ascii="Gotham" w:hAnsi="Gotham" w:cs="Arial"/>
                <w:sz w:val="18"/>
                <w:szCs w:val="18"/>
                <w:highlight w:val="cyan"/>
              </w:rPr>
              <w:t xml:space="preserve"> que limite u obstruya el correcto desempeño de la responsabilidad</w:t>
            </w:r>
            <w:r w:rsidRPr="001335C7">
              <w:rPr>
                <w:rFonts w:ascii="Gotham" w:hAnsi="Gotham" w:cs="Arial"/>
                <w:sz w:val="18"/>
                <w:szCs w:val="18"/>
              </w:rPr>
              <w:t>; y</w:t>
            </w:r>
          </w:p>
          <w:p w14:paraId="3A47622A" w14:textId="77777777" w:rsidR="009B5E39" w:rsidRPr="001335C7" w:rsidRDefault="009B5E39" w:rsidP="00190E4A">
            <w:pPr>
              <w:ind w:left="426" w:hanging="437"/>
              <w:jc w:val="both"/>
              <w:rPr>
                <w:rFonts w:ascii="Gotham" w:hAnsi="Gotham" w:cs="Arial"/>
                <w:sz w:val="18"/>
                <w:szCs w:val="18"/>
              </w:rPr>
            </w:pPr>
          </w:p>
          <w:p w14:paraId="3A47622B" w14:textId="77777777" w:rsidR="009B5E39" w:rsidRPr="001335C7" w:rsidRDefault="009B5E39" w:rsidP="00E5394F">
            <w:pPr>
              <w:numPr>
                <w:ilvl w:val="0"/>
                <w:numId w:val="284"/>
              </w:numPr>
              <w:ind w:left="426" w:hanging="437"/>
              <w:jc w:val="both"/>
              <w:rPr>
                <w:rFonts w:ascii="Gotham" w:hAnsi="Gotham" w:cs="Arial"/>
                <w:sz w:val="18"/>
                <w:szCs w:val="18"/>
              </w:rPr>
            </w:pPr>
            <w:r w:rsidRPr="001335C7">
              <w:rPr>
                <w:rFonts w:ascii="Gotham" w:hAnsi="Gotham" w:cs="Arial"/>
                <w:sz w:val="18"/>
                <w:szCs w:val="18"/>
              </w:rPr>
              <w:t>Acreditar no tener antecedentes penales.</w:t>
            </w:r>
          </w:p>
          <w:p w14:paraId="3A47622C" w14:textId="77777777" w:rsidR="009B5E39" w:rsidRPr="001335C7" w:rsidRDefault="009B5E39" w:rsidP="00190E4A">
            <w:pPr>
              <w:ind w:left="426"/>
              <w:jc w:val="both"/>
              <w:rPr>
                <w:rFonts w:ascii="Gotham" w:hAnsi="Gotham" w:cs="Arial"/>
                <w:sz w:val="18"/>
                <w:szCs w:val="18"/>
              </w:rPr>
            </w:pPr>
          </w:p>
        </w:tc>
      </w:tr>
      <w:tr w:rsidR="009B5E39" w:rsidRPr="001335C7" w14:paraId="3A47623B" w14:textId="77777777" w:rsidTr="00190E4A">
        <w:trPr>
          <w:trHeight w:val="1837"/>
        </w:trPr>
        <w:tc>
          <w:tcPr>
            <w:tcW w:w="4898" w:type="dxa"/>
            <w:shd w:val="clear" w:color="auto" w:fill="auto"/>
          </w:tcPr>
          <w:p w14:paraId="3A47622E" w14:textId="77777777" w:rsidR="009B5E39" w:rsidRPr="001335C7" w:rsidRDefault="009B5E39" w:rsidP="00190E4A">
            <w:pPr>
              <w:jc w:val="center"/>
              <w:rPr>
                <w:rFonts w:ascii="Gotham" w:hAnsi="Gotham" w:cs="Arial"/>
                <w:sz w:val="18"/>
                <w:szCs w:val="18"/>
              </w:rPr>
            </w:pPr>
          </w:p>
          <w:p w14:paraId="3A47622F" w14:textId="77777777" w:rsidR="009B5E39" w:rsidRPr="001335C7" w:rsidRDefault="009B5E39" w:rsidP="00190E4A">
            <w:pPr>
              <w:jc w:val="center"/>
              <w:rPr>
                <w:rFonts w:ascii="Gotham" w:hAnsi="Gotham" w:cs="Arial"/>
                <w:sz w:val="18"/>
                <w:szCs w:val="18"/>
              </w:rPr>
            </w:pPr>
            <w:r w:rsidRPr="001335C7">
              <w:rPr>
                <w:rFonts w:ascii="Gotham" w:hAnsi="Gotham" w:cs="Arial"/>
                <w:sz w:val="18"/>
                <w:szCs w:val="18"/>
              </w:rPr>
              <w:t xml:space="preserve">CAPÍTULO </w:t>
            </w:r>
            <w:proofErr w:type="gramStart"/>
            <w:r w:rsidRPr="001335C7">
              <w:rPr>
                <w:rFonts w:ascii="Gotham" w:hAnsi="Gotham" w:cs="Arial"/>
                <w:sz w:val="18"/>
                <w:szCs w:val="18"/>
              </w:rPr>
              <w:t>IV .</w:t>
            </w:r>
            <w:proofErr w:type="gramEnd"/>
            <w:r w:rsidRPr="001335C7">
              <w:rPr>
                <w:rFonts w:ascii="Gotham" w:hAnsi="Gotham" w:cs="Arial"/>
                <w:sz w:val="18"/>
                <w:szCs w:val="18"/>
              </w:rPr>
              <w:br/>
              <w:t>DEL ÓRGANO DE CONTROL Y VIGILANCIA</w:t>
            </w:r>
          </w:p>
          <w:p w14:paraId="3A476230" w14:textId="77777777" w:rsidR="009B5E39" w:rsidRPr="001335C7" w:rsidRDefault="009B5E39" w:rsidP="00190E4A">
            <w:pPr>
              <w:jc w:val="both"/>
              <w:rPr>
                <w:rFonts w:ascii="Gotham" w:hAnsi="Gotham" w:cs="Arial"/>
                <w:sz w:val="18"/>
                <w:szCs w:val="18"/>
              </w:rPr>
            </w:pPr>
          </w:p>
          <w:p w14:paraId="3A476231"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26.- </w:t>
            </w:r>
            <w:r w:rsidRPr="001335C7">
              <w:rPr>
                <w:rFonts w:ascii="Gotham" w:hAnsi="Gotham" w:cs="Arial"/>
                <w:sz w:val="18"/>
                <w:szCs w:val="18"/>
              </w:rPr>
              <w:t>El órgano de control y vigilancia del Instituto está integrado por una auditora o auditor propietario y su respectivo suplente, ambos designados y dependientes de la Contraloría del Municipio.</w:t>
            </w:r>
          </w:p>
          <w:p w14:paraId="3A476232" w14:textId="77777777" w:rsidR="009B5E39" w:rsidRPr="001335C7" w:rsidRDefault="009B5E39" w:rsidP="00190E4A">
            <w:pPr>
              <w:jc w:val="both"/>
              <w:rPr>
                <w:rFonts w:ascii="Gotham" w:hAnsi="Gotham" w:cs="Arial"/>
                <w:sz w:val="18"/>
                <w:szCs w:val="18"/>
              </w:rPr>
            </w:pPr>
          </w:p>
          <w:p w14:paraId="3A476233"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27.- </w:t>
            </w:r>
            <w:r w:rsidRPr="001335C7">
              <w:rPr>
                <w:rFonts w:ascii="Gotham" w:hAnsi="Gotham" w:cs="Arial"/>
                <w:sz w:val="18"/>
                <w:szCs w:val="18"/>
              </w:rPr>
              <w:t>El Ayuntamiento podrá ordenar en cualquier momento la realización de auditorías al Instituto, así como la inspección de libros, inventarios y cualquier otro documento que obre en poder del mismo, lo cual podrá realizarse por conducto de la Contraloría Municipal.</w:t>
            </w:r>
          </w:p>
          <w:p w14:paraId="3A476234" w14:textId="77777777" w:rsidR="009B5E39" w:rsidRPr="001335C7" w:rsidRDefault="009B5E39" w:rsidP="00190E4A">
            <w:pPr>
              <w:jc w:val="both"/>
              <w:rPr>
                <w:rFonts w:ascii="Gotham" w:hAnsi="Gotham" w:cs="Arial"/>
                <w:b/>
                <w:sz w:val="18"/>
                <w:szCs w:val="18"/>
              </w:rPr>
            </w:pPr>
          </w:p>
        </w:tc>
        <w:tc>
          <w:tcPr>
            <w:tcW w:w="4899" w:type="dxa"/>
            <w:shd w:val="clear" w:color="auto" w:fill="auto"/>
          </w:tcPr>
          <w:p w14:paraId="3A476235" w14:textId="77777777" w:rsidR="009B5E39" w:rsidRPr="001335C7" w:rsidRDefault="009B5E39" w:rsidP="00190E4A">
            <w:pPr>
              <w:jc w:val="center"/>
              <w:rPr>
                <w:rFonts w:ascii="Gotham" w:hAnsi="Gotham" w:cs="Arial"/>
                <w:sz w:val="18"/>
                <w:szCs w:val="18"/>
              </w:rPr>
            </w:pPr>
          </w:p>
          <w:p w14:paraId="3A476236" w14:textId="77777777" w:rsidR="009B5E39" w:rsidRPr="001335C7" w:rsidRDefault="009B5E39" w:rsidP="00190E4A">
            <w:pPr>
              <w:jc w:val="center"/>
              <w:rPr>
                <w:rFonts w:ascii="Gotham" w:hAnsi="Gotham" w:cs="Arial"/>
                <w:sz w:val="18"/>
                <w:szCs w:val="18"/>
              </w:rPr>
            </w:pPr>
            <w:r w:rsidRPr="001335C7">
              <w:rPr>
                <w:rFonts w:ascii="Gotham" w:hAnsi="Gotham" w:cs="Arial"/>
                <w:sz w:val="18"/>
                <w:szCs w:val="18"/>
              </w:rPr>
              <w:t xml:space="preserve">CAPÍTULO </w:t>
            </w:r>
            <w:proofErr w:type="gramStart"/>
            <w:r w:rsidRPr="001335C7">
              <w:rPr>
                <w:rFonts w:ascii="Gotham" w:hAnsi="Gotham" w:cs="Arial"/>
                <w:sz w:val="18"/>
                <w:szCs w:val="18"/>
              </w:rPr>
              <w:t>IV .</w:t>
            </w:r>
            <w:proofErr w:type="gramEnd"/>
            <w:r w:rsidRPr="001335C7">
              <w:rPr>
                <w:rFonts w:ascii="Gotham" w:hAnsi="Gotham" w:cs="Arial"/>
                <w:sz w:val="18"/>
                <w:szCs w:val="18"/>
              </w:rPr>
              <w:br/>
              <w:t>DEL ÓRGANO DE CONTROL Y VIGILANCIA</w:t>
            </w:r>
          </w:p>
          <w:p w14:paraId="3A476237" w14:textId="77777777" w:rsidR="009B5E39" w:rsidRPr="001335C7" w:rsidRDefault="009B5E39" w:rsidP="00190E4A">
            <w:pPr>
              <w:jc w:val="both"/>
              <w:rPr>
                <w:rFonts w:ascii="Gotham" w:hAnsi="Gotham" w:cs="Arial"/>
                <w:sz w:val="18"/>
                <w:szCs w:val="18"/>
              </w:rPr>
            </w:pPr>
          </w:p>
          <w:p w14:paraId="3A476238" w14:textId="77777777" w:rsidR="009B5E39" w:rsidRPr="001335C7" w:rsidRDefault="009B5E39" w:rsidP="00190E4A">
            <w:pPr>
              <w:jc w:val="both"/>
              <w:rPr>
                <w:rFonts w:ascii="Gotham" w:hAnsi="Gotham" w:cs="Arial"/>
                <w:sz w:val="18"/>
                <w:szCs w:val="18"/>
                <w:highlight w:val="cyan"/>
              </w:rPr>
            </w:pPr>
            <w:r w:rsidRPr="001335C7">
              <w:rPr>
                <w:rFonts w:ascii="Gotham" w:hAnsi="Gotham" w:cs="Arial"/>
                <w:b/>
                <w:sz w:val="18"/>
                <w:szCs w:val="18"/>
              </w:rPr>
              <w:t xml:space="preserve">Artículo 26.- </w:t>
            </w:r>
            <w:r w:rsidRPr="001335C7">
              <w:rPr>
                <w:rFonts w:ascii="Gotham" w:hAnsi="Gotham" w:cs="Arial"/>
                <w:sz w:val="18"/>
                <w:szCs w:val="18"/>
              </w:rPr>
              <w:t xml:space="preserve">El órgano de control y vigilancia del Instituto está integrado por una auditora o auditor propietario y su respectivo suplente, ambos designados y dependientes </w:t>
            </w:r>
            <w:r w:rsidRPr="001335C7">
              <w:rPr>
                <w:rFonts w:ascii="Gotham" w:hAnsi="Gotham" w:cs="Arial"/>
                <w:sz w:val="18"/>
                <w:szCs w:val="18"/>
                <w:highlight w:val="cyan"/>
              </w:rPr>
              <w:t xml:space="preserve">del Órgano de Interno de Control del Municipio. </w:t>
            </w:r>
          </w:p>
          <w:p w14:paraId="3A476239" w14:textId="77777777" w:rsidR="009B5E39" w:rsidRPr="001335C7" w:rsidRDefault="009B5E39" w:rsidP="00190E4A">
            <w:pPr>
              <w:jc w:val="both"/>
              <w:rPr>
                <w:rFonts w:ascii="Gotham" w:hAnsi="Gotham" w:cs="Arial"/>
                <w:sz w:val="18"/>
                <w:szCs w:val="18"/>
              </w:rPr>
            </w:pPr>
          </w:p>
          <w:p w14:paraId="3A47623A"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27.- </w:t>
            </w:r>
            <w:r w:rsidRPr="001335C7">
              <w:rPr>
                <w:rFonts w:ascii="Gotham" w:hAnsi="Gotham" w:cs="Arial"/>
                <w:sz w:val="18"/>
                <w:szCs w:val="18"/>
              </w:rPr>
              <w:t xml:space="preserve">El Ayuntamiento podrá ordenar en cualquier momento la realización de auditorías al Instituto, así como la inspección de libros, inventarios y cualquier otro documento que obre en poder del mismo, lo cual podrá realizarse por conducto </w:t>
            </w:r>
            <w:r w:rsidRPr="001335C7">
              <w:rPr>
                <w:rFonts w:ascii="Gotham" w:hAnsi="Gotham" w:cs="Arial"/>
                <w:sz w:val="18"/>
                <w:szCs w:val="18"/>
                <w:highlight w:val="cyan"/>
              </w:rPr>
              <w:t xml:space="preserve">del Órgano de Interno de Control del Municipio. </w:t>
            </w:r>
          </w:p>
        </w:tc>
      </w:tr>
      <w:tr w:rsidR="009B5E39" w:rsidRPr="001335C7" w14:paraId="3A476251" w14:textId="77777777" w:rsidTr="00190E4A">
        <w:trPr>
          <w:trHeight w:val="1837"/>
        </w:trPr>
        <w:tc>
          <w:tcPr>
            <w:tcW w:w="4898" w:type="dxa"/>
            <w:shd w:val="clear" w:color="auto" w:fill="auto"/>
          </w:tcPr>
          <w:p w14:paraId="3A47623C" w14:textId="77777777" w:rsidR="009B5E39" w:rsidRPr="001335C7" w:rsidRDefault="009B5E39" w:rsidP="00190E4A">
            <w:pPr>
              <w:widowControl w:val="0"/>
              <w:ind w:right="40"/>
              <w:jc w:val="both"/>
              <w:rPr>
                <w:rFonts w:ascii="Gotham" w:hAnsi="Gotham" w:cs="Arial"/>
                <w:b/>
                <w:sz w:val="18"/>
                <w:szCs w:val="18"/>
              </w:rPr>
            </w:pPr>
          </w:p>
          <w:p w14:paraId="3A47623D"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b/>
                <w:sz w:val="18"/>
                <w:szCs w:val="18"/>
              </w:rPr>
              <w:t>Artículo 29.-</w:t>
            </w:r>
            <w:r w:rsidRPr="001335C7">
              <w:rPr>
                <w:rFonts w:ascii="Gotham" w:hAnsi="Gotham" w:cs="Arial"/>
                <w:sz w:val="18"/>
                <w:szCs w:val="18"/>
              </w:rPr>
              <w:t xml:space="preserve"> El Consejo Consultivo estará integrado de la siguiente forma:</w:t>
            </w:r>
          </w:p>
          <w:p w14:paraId="3A47623E" w14:textId="77777777" w:rsidR="009B5E39" w:rsidRPr="001335C7" w:rsidRDefault="009B5E39" w:rsidP="00190E4A">
            <w:pPr>
              <w:widowControl w:val="0"/>
              <w:ind w:right="40"/>
              <w:jc w:val="both"/>
              <w:rPr>
                <w:rFonts w:ascii="Gotham" w:hAnsi="Gotham" w:cs="Arial"/>
                <w:sz w:val="18"/>
                <w:szCs w:val="18"/>
              </w:rPr>
            </w:pPr>
          </w:p>
          <w:p w14:paraId="3A47623F"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I. Una Presidenta;</w:t>
            </w:r>
          </w:p>
          <w:p w14:paraId="3A476240" w14:textId="77777777" w:rsidR="009B5E39" w:rsidRPr="001335C7" w:rsidRDefault="009B5E39" w:rsidP="00190E4A">
            <w:pPr>
              <w:widowControl w:val="0"/>
              <w:ind w:right="40"/>
              <w:jc w:val="both"/>
              <w:rPr>
                <w:rFonts w:ascii="Gotham" w:hAnsi="Gotham" w:cs="Arial"/>
                <w:sz w:val="18"/>
                <w:szCs w:val="18"/>
              </w:rPr>
            </w:pPr>
          </w:p>
          <w:p w14:paraId="3A476241"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II. Una Secretaria o secretario; y</w:t>
            </w:r>
          </w:p>
          <w:p w14:paraId="3A476242" w14:textId="77777777" w:rsidR="009B5E39" w:rsidRPr="001335C7" w:rsidRDefault="009B5E39" w:rsidP="00190E4A">
            <w:pPr>
              <w:widowControl w:val="0"/>
              <w:ind w:right="40"/>
              <w:jc w:val="both"/>
              <w:rPr>
                <w:rFonts w:ascii="Gotham" w:hAnsi="Gotham" w:cs="Arial"/>
                <w:sz w:val="18"/>
                <w:szCs w:val="18"/>
              </w:rPr>
            </w:pPr>
          </w:p>
          <w:p w14:paraId="3A476243"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 xml:space="preserve">III. </w:t>
            </w:r>
            <w:r w:rsidRPr="001335C7">
              <w:rPr>
                <w:rFonts w:ascii="Gotham" w:hAnsi="Gotham" w:cs="Arial"/>
                <w:sz w:val="18"/>
                <w:szCs w:val="18"/>
                <w:highlight w:val="yellow"/>
              </w:rPr>
              <w:t>Dos Consejeras y un Consejero.</w:t>
            </w:r>
          </w:p>
          <w:p w14:paraId="3A476244" w14:textId="77777777" w:rsidR="009B5E39" w:rsidRPr="001335C7" w:rsidRDefault="009B5E39" w:rsidP="00190E4A">
            <w:pPr>
              <w:widowControl w:val="0"/>
              <w:ind w:right="40"/>
              <w:jc w:val="both"/>
              <w:rPr>
                <w:rFonts w:ascii="Gotham" w:hAnsi="Gotham" w:cs="Arial"/>
                <w:sz w:val="18"/>
                <w:szCs w:val="18"/>
              </w:rPr>
            </w:pPr>
          </w:p>
          <w:p w14:paraId="3A476245" w14:textId="77777777" w:rsidR="009B5E39" w:rsidRPr="001335C7" w:rsidRDefault="009B5E39" w:rsidP="00190E4A">
            <w:pPr>
              <w:widowControl w:val="0"/>
              <w:ind w:right="40"/>
              <w:jc w:val="both"/>
              <w:rPr>
                <w:rFonts w:ascii="Gotham" w:hAnsi="Gotham" w:cs="Arial"/>
                <w:sz w:val="18"/>
                <w:szCs w:val="18"/>
                <w:highlight w:val="white"/>
              </w:rPr>
            </w:pPr>
            <w:r w:rsidRPr="001335C7">
              <w:rPr>
                <w:rFonts w:ascii="Gotham" w:hAnsi="Gotham" w:cs="Arial"/>
                <w:sz w:val="18"/>
                <w:szCs w:val="18"/>
              </w:rPr>
              <w:t>(…)</w:t>
            </w:r>
          </w:p>
        </w:tc>
        <w:tc>
          <w:tcPr>
            <w:tcW w:w="4899" w:type="dxa"/>
            <w:shd w:val="clear" w:color="auto" w:fill="auto"/>
          </w:tcPr>
          <w:p w14:paraId="3A476246" w14:textId="77777777" w:rsidR="009B5E39" w:rsidRPr="001335C7" w:rsidRDefault="009B5E39" w:rsidP="00190E4A">
            <w:pPr>
              <w:jc w:val="both"/>
              <w:rPr>
                <w:rFonts w:ascii="Gotham" w:hAnsi="Gotham" w:cs="Arial"/>
                <w:b/>
                <w:sz w:val="18"/>
                <w:szCs w:val="18"/>
              </w:rPr>
            </w:pPr>
          </w:p>
          <w:p w14:paraId="3A476247"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29.-</w:t>
            </w:r>
            <w:r w:rsidRPr="001335C7">
              <w:rPr>
                <w:rFonts w:ascii="Gotham" w:hAnsi="Gotham" w:cs="Arial"/>
                <w:sz w:val="18"/>
                <w:szCs w:val="18"/>
              </w:rPr>
              <w:t xml:space="preserve"> El Consejo Consultivo estará integrado de la siguiente forma:</w:t>
            </w:r>
          </w:p>
          <w:p w14:paraId="3A476248" w14:textId="77777777" w:rsidR="009B5E39" w:rsidRPr="001335C7" w:rsidRDefault="009B5E39" w:rsidP="00190E4A">
            <w:pPr>
              <w:jc w:val="both"/>
              <w:rPr>
                <w:rFonts w:ascii="Gotham" w:hAnsi="Gotham" w:cs="Arial"/>
                <w:sz w:val="18"/>
                <w:szCs w:val="18"/>
              </w:rPr>
            </w:pPr>
          </w:p>
          <w:p w14:paraId="3A476249"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 Una Presidenta;</w:t>
            </w:r>
          </w:p>
          <w:p w14:paraId="3A47624A" w14:textId="77777777" w:rsidR="009B5E39" w:rsidRPr="001335C7" w:rsidRDefault="009B5E39" w:rsidP="00190E4A">
            <w:pPr>
              <w:jc w:val="both"/>
              <w:rPr>
                <w:rFonts w:ascii="Gotham" w:hAnsi="Gotham" w:cs="Arial"/>
                <w:sz w:val="18"/>
                <w:szCs w:val="18"/>
              </w:rPr>
            </w:pPr>
          </w:p>
          <w:p w14:paraId="3A47624B"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II. Una Secretaria o secretario; y</w:t>
            </w:r>
          </w:p>
          <w:p w14:paraId="3A47624C" w14:textId="77777777" w:rsidR="009B5E39" w:rsidRPr="001335C7" w:rsidRDefault="009B5E39" w:rsidP="00190E4A">
            <w:pPr>
              <w:jc w:val="both"/>
              <w:rPr>
                <w:rFonts w:ascii="Gotham" w:hAnsi="Gotham" w:cs="Arial"/>
                <w:sz w:val="18"/>
                <w:szCs w:val="18"/>
              </w:rPr>
            </w:pPr>
          </w:p>
          <w:p w14:paraId="3A47624D"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III. </w:t>
            </w:r>
            <w:r w:rsidRPr="001335C7">
              <w:rPr>
                <w:rFonts w:ascii="Gotham" w:hAnsi="Gotham" w:cs="Arial"/>
                <w:sz w:val="18"/>
                <w:szCs w:val="18"/>
                <w:highlight w:val="cyan"/>
              </w:rPr>
              <w:t>Dos mujeres y una persona de la diversidad como titulares del Consejo</w:t>
            </w:r>
          </w:p>
          <w:p w14:paraId="3A47624E" w14:textId="77777777" w:rsidR="009B5E39" w:rsidRPr="001335C7" w:rsidRDefault="009B5E39" w:rsidP="00190E4A">
            <w:pPr>
              <w:jc w:val="both"/>
              <w:rPr>
                <w:rFonts w:ascii="Gotham" w:hAnsi="Gotham" w:cs="Arial"/>
                <w:sz w:val="18"/>
                <w:szCs w:val="18"/>
                <w:highlight w:val="white"/>
              </w:rPr>
            </w:pPr>
          </w:p>
          <w:p w14:paraId="3A47624F" w14:textId="77777777" w:rsidR="009B5E39" w:rsidRPr="001335C7" w:rsidRDefault="009B5E39" w:rsidP="00190E4A">
            <w:pPr>
              <w:jc w:val="both"/>
              <w:rPr>
                <w:rFonts w:ascii="Gotham" w:hAnsi="Gotham" w:cs="Arial"/>
                <w:sz w:val="18"/>
                <w:szCs w:val="18"/>
                <w:highlight w:val="white"/>
              </w:rPr>
            </w:pPr>
            <w:r w:rsidRPr="001335C7">
              <w:rPr>
                <w:rFonts w:ascii="Gotham" w:hAnsi="Gotham" w:cs="Arial"/>
                <w:sz w:val="18"/>
                <w:szCs w:val="18"/>
                <w:highlight w:val="white"/>
              </w:rPr>
              <w:t>(…)</w:t>
            </w:r>
          </w:p>
          <w:p w14:paraId="3A476250" w14:textId="77777777" w:rsidR="009B5E39" w:rsidRPr="001335C7" w:rsidRDefault="009B5E39" w:rsidP="00190E4A">
            <w:pPr>
              <w:jc w:val="both"/>
              <w:rPr>
                <w:rFonts w:ascii="Gotham" w:hAnsi="Gotham" w:cs="Arial"/>
                <w:sz w:val="18"/>
                <w:szCs w:val="18"/>
                <w:highlight w:val="white"/>
              </w:rPr>
            </w:pPr>
          </w:p>
        </w:tc>
      </w:tr>
      <w:tr w:rsidR="009B5E39" w:rsidRPr="001335C7" w14:paraId="3A476260" w14:textId="77777777" w:rsidTr="00190E4A">
        <w:tc>
          <w:tcPr>
            <w:tcW w:w="4898" w:type="dxa"/>
            <w:shd w:val="clear" w:color="auto" w:fill="auto"/>
          </w:tcPr>
          <w:p w14:paraId="3A476252" w14:textId="77777777" w:rsidR="009B5E39" w:rsidRPr="001335C7" w:rsidRDefault="009B5E39" w:rsidP="00190E4A">
            <w:pPr>
              <w:jc w:val="both"/>
              <w:rPr>
                <w:rFonts w:ascii="Gotham" w:hAnsi="Gotham" w:cs="Arial"/>
                <w:b/>
                <w:sz w:val="18"/>
                <w:szCs w:val="18"/>
              </w:rPr>
            </w:pPr>
          </w:p>
          <w:p w14:paraId="3A476253"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30.- </w:t>
            </w:r>
            <w:r w:rsidRPr="001335C7">
              <w:rPr>
                <w:rFonts w:ascii="Gotham" w:hAnsi="Gotham" w:cs="Arial"/>
                <w:sz w:val="18"/>
                <w:szCs w:val="18"/>
              </w:rPr>
              <w:t>La Dirección, previa autorización de la Junta de Gobierno del Instituto, emitirá una convocatoria pública para la selección de las y los integrantes del Consejo Consultivo, misma que deberá publicarse dentro de los noventa días naturales posteriores a la fecha en que fue instalada la Junta de Gobierno.</w:t>
            </w:r>
          </w:p>
          <w:p w14:paraId="3A476254" w14:textId="77777777" w:rsidR="009B5E39" w:rsidRPr="001335C7" w:rsidRDefault="009B5E39" w:rsidP="00190E4A">
            <w:pPr>
              <w:jc w:val="both"/>
              <w:rPr>
                <w:rFonts w:ascii="Gotham" w:hAnsi="Gotham" w:cs="Arial"/>
                <w:sz w:val="18"/>
                <w:szCs w:val="18"/>
              </w:rPr>
            </w:pPr>
          </w:p>
          <w:p w14:paraId="3A476255"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Las y los integrantes de dicho Consejo serán propuestos por asociaciones representativas en la defensa de los derechos de las mujeres, así como por instituciones académicas.</w:t>
            </w:r>
          </w:p>
          <w:p w14:paraId="3A476256" w14:textId="77777777" w:rsidR="009B5E39" w:rsidRPr="001335C7" w:rsidRDefault="009B5E39" w:rsidP="00190E4A">
            <w:pPr>
              <w:jc w:val="both"/>
              <w:rPr>
                <w:rFonts w:ascii="Gotham" w:hAnsi="Gotham" w:cs="Arial"/>
                <w:sz w:val="18"/>
                <w:szCs w:val="18"/>
              </w:rPr>
            </w:pPr>
          </w:p>
          <w:p w14:paraId="3A47625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Una vez pasado el periodo de tiempo de la convocatoria y se tengan por recibidas formalmente las propuestas de las y los integrantes del Consejo, la Junta de Gobierno tendrá quince días naturales para realizar las designaciones, tomando en consideración los perfiles mejor evaluados conforme trayectoria </w:t>
            </w:r>
            <w:r w:rsidRPr="001335C7">
              <w:rPr>
                <w:rFonts w:ascii="Gotham" w:hAnsi="Gotham" w:cs="Arial"/>
                <w:sz w:val="18"/>
                <w:szCs w:val="18"/>
              </w:rPr>
              <w:lastRenderedPageBreak/>
              <w:t>académica, laboral, reconocimientos y aptitudes personales.</w:t>
            </w:r>
          </w:p>
          <w:p w14:paraId="3A476258" w14:textId="77777777" w:rsidR="009B5E39" w:rsidRPr="001335C7" w:rsidRDefault="009B5E39" w:rsidP="00190E4A">
            <w:pPr>
              <w:jc w:val="both"/>
              <w:rPr>
                <w:rFonts w:ascii="Gotham" w:hAnsi="Gotham" w:cs="Arial"/>
                <w:b/>
                <w:sz w:val="18"/>
                <w:szCs w:val="18"/>
              </w:rPr>
            </w:pPr>
          </w:p>
        </w:tc>
        <w:tc>
          <w:tcPr>
            <w:tcW w:w="4899" w:type="dxa"/>
            <w:shd w:val="clear" w:color="auto" w:fill="auto"/>
          </w:tcPr>
          <w:p w14:paraId="3A476259" w14:textId="77777777" w:rsidR="009B5E39" w:rsidRPr="001335C7" w:rsidRDefault="009B5E39" w:rsidP="00190E4A">
            <w:pPr>
              <w:jc w:val="both"/>
              <w:rPr>
                <w:rFonts w:ascii="Gotham" w:hAnsi="Gotham" w:cs="Arial"/>
                <w:b/>
                <w:sz w:val="18"/>
                <w:szCs w:val="18"/>
              </w:rPr>
            </w:pPr>
          </w:p>
          <w:p w14:paraId="3A47625A"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30.- </w:t>
            </w:r>
            <w:r w:rsidRPr="001335C7">
              <w:rPr>
                <w:rFonts w:ascii="Gotham" w:hAnsi="Gotham" w:cs="Arial"/>
                <w:sz w:val="18"/>
                <w:szCs w:val="18"/>
              </w:rPr>
              <w:t>La Dirección, previa autorización de la Junta de Gobierno del Instituto, emitirá una convocatoria pública para la selección de las y los integrantes del Consejo Consultivo, misma que deberá publicarse dentro de los noventa días naturales posteriores a la fecha en que fue instalada la Junta de Gobierno.</w:t>
            </w:r>
          </w:p>
          <w:p w14:paraId="3A47625B" w14:textId="77777777" w:rsidR="009B5E39" w:rsidRPr="001335C7" w:rsidRDefault="009B5E39" w:rsidP="00190E4A">
            <w:pPr>
              <w:jc w:val="both"/>
              <w:rPr>
                <w:rFonts w:ascii="Gotham" w:hAnsi="Gotham" w:cs="Arial"/>
                <w:sz w:val="18"/>
                <w:szCs w:val="18"/>
              </w:rPr>
            </w:pPr>
          </w:p>
          <w:p w14:paraId="3A47625C"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Las y los integrantes de dicho Consejo serán propuestos por asociaciones representativas en la defensa de los derechos de las mujeres, </w:t>
            </w:r>
            <w:r w:rsidRPr="001335C7">
              <w:rPr>
                <w:rFonts w:ascii="Gotham" w:hAnsi="Gotham" w:cs="Arial"/>
                <w:sz w:val="18"/>
                <w:szCs w:val="18"/>
                <w:highlight w:val="cyan"/>
              </w:rPr>
              <w:t>población LGBT+</w:t>
            </w:r>
            <w:r w:rsidRPr="001335C7">
              <w:rPr>
                <w:rFonts w:ascii="Gotham" w:hAnsi="Gotham" w:cs="Arial"/>
                <w:sz w:val="18"/>
                <w:szCs w:val="18"/>
              </w:rPr>
              <w:t>, así como por instituciones académicas.</w:t>
            </w:r>
          </w:p>
          <w:p w14:paraId="3A47625D" w14:textId="77777777" w:rsidR="009B5E39" w:rsidRPr="001335C7" w:rsidRDefault="009B5E39" w:rsidP="00190E4A">
            <w:pPr>
              <w:jc w:val="both"/>
              <w:rPr>
                <w:rFonts w:ascii="Gotham" w:hAnsi="Gotham" w:cs="Arial"/>
                <w:sz w:val="18"/>
                <w:szCs w:val="18"/>
              </w:rPr>
            </w:pPr>
          </w:p>
          <w:p w14:paraId="3A47625E"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Una vez pasado el periodo de tiempo de la convocatoria y se tengan por recibidas formalmente las propuestas de las y los integrantes del Consejo, la Junta de Gobierno tendrá quince días naturales para realizar las designaciones, tomando en consideración los perfiles mejor evaluados conforme trayectoria </w:t>
            </w:r>
            <w:r w:rsidRPr="001335C7">
              <w:rPr>
                <w:rFonts w:ascii="Gotham" w:hAnsi="Gotham" w:cs="Arial"/>
                <w:sz w:val="18"/>
                <w:szCs w:val="18"/>
              </w:rPr>
              <w:lastRenderedPageBreak/>
              <w:t>académica, laboral, reconocimientos y aptitudes personales.</w:t>
            </w:r>
          </w:p>
          <w:p w14:paraId="3A47625F" w14:textId="77777777" w:rsidR="009B5E39" w:rsidRPr="001335C7" w:rsidRDefault="009B5E39" w:rsidP="00190E4A">
            <w:pPr>
              <w:jc w:val="both"/>
              <w:rPr>
                <w:rFonts w:ascii="Gotham" w:hAnsi="Gotham" w:cs="Arial"/>
                <w:b/>
                <w:sz w:val="18"/>
                <w:szCs w:val="18"/>
              </w:rPr>
            </w:pPr>
          </w:p>
        </w:tc>
      </w:tr>
      <w:tr w:rsidR="009B5E39" w:rsidRPr="001335C7" w14:paraId="3A476270" w14:textId="77777777" w:rsidTr="00190E4A">
        <w:tc>
          <w:tcPr>
            <w:tcW w:w="4898" w:type="dxa"/>
            <w:shd w:val="clear" w:color="auto" w:fill="auto"/>
          </w:tcPr>
          <w:p w14:paraId="3A476261" w14:textId="77777777" w:rsidR="009B5E39" w:rsidRPr="001335C7" w:rsidRDefault="009B5E39" w:rsidP="00190E4A">
            <w:pPr>
              <w:widowControl w:val="0"/>
              <w:ind w:right="40"/>
              <w:jc w:val="both"/>
              <w:rPr>
                <w:rFonts w:ascii="Gotham" w:hAnsi="Gotham" w:cs="Arial"/>
                <w:b/>
                <w:sz w:val="18"/>
                <w:szCs w:val="18"/>
              </w:rPr>
            </w:pPr>
          </w:p>
          <w:p w14:paraId="3A476262"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b/>
                <w:sz w:val="18"/>
                <w:szCs w:val="18"/>
              </w:rPr>
              <w:t>Artículo 31.-</w:t>
            </w:r>
            <w:r w:rsidRPr="001335C7">
              <w:rPr>
                <w:rFonts w:ascii="Gotham" w:hAnsi="Gotham" w:cs="Arial"/>
                <w:sz w:val="18"/>
                <w:szCs w:val="18"/>
              </w:rPr>
              <w:t xml:space="preserve"> Las asociaciones</w:t>
            </w:r>
          </w:p>
          <w:p w14:paraId="3A476263" w14:textId="77777777" w:rsidR="009B5E39" w:rsidRPr="001335C7" w:rsidRDefault="009B5E39" w:rsidP="00190E4A">
            <w:pPr>
              <w:widowControl w:val="0"/>
              <w:ind w:right="40"/>
              <w:jc w:val="both"/>
              <w:rPr>
                <w:rFonts w:ascii="Gotham" w:hAnsi="Gotham" w:cs="Arial"/>
                <w:sz w:val="18"/>
                <w:szCs w:val="18"/>
              </w:rPr>
            </w:pPr>
          </w:p>
          <w:p w14:paraId="3A476264"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highlight w:val="yellow"/>
              </w:rPr>
              <w:t>I. Que se encuentren legalmente constituidas;</w:t>
            </w:r>
          </w:p>
          <w:p w14:paraId="3A476265" w14:textId="77777777" w:rsidR="009B5E39" w:rsidRPr="001335C7" w:rsidRDefault="009B5E39" w:rsidP="00190E4A">
            <w:pPr>
              <w:widowControl w:val="0"/>
              <w:ind w:right="40"/>
              <w:jc w:val="both"/>
              <w:rPr>
                <w:rFonts w:ascii="Gotham" w:hAnsi="Gotham" w:cs="Arial"/>
                <w:sz w:val="18"/>
                <w:szCs w:val="18"/>
              </w:rPr>
            </w:pPr>
          </w:p>
          <w:p w14:paraId="3A476266"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II. Que sus objetivos sean el desarrollo de actividades en defensa y promoción de los derechos y oportunidades de las mujeres;</w:t>
            </w:r>
          </w:p>
          <w:p w14:paraId="3A476267" w14:textId="77777777" w:rsidR="009B5E39" w:rsidRPr="001335C7" w:rsidRDefault="009B5E39" w:rsidP="00190E4A">
            <w:pPr>
              <w:widowControl w:val="0"/>
              <w:ind w:right="40"/>
              <w:jc w:val="both"/>
              <w:rPr>
                <w:rFonts w:ascii="Gotham" w:hAnsi="Gotham" w:cs="Arial"/>
                <w:sz w:val="18"/>
                <w:szCs w:val="18"/>
              </w:rPr>
            </w:pPr>
          </w:p>
          <w:p w14:paraId="3A476268"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w:t>
            </w:r>
          </w:p>
          <w:p w14:paraId="3A476269" w14:textId="77777777" w:rsidR="009B5E39" w:rsidRPr="001335C7" w:rsidRDefault="009B5E39" w:rsidP="00190E4A">
            <w:pPr>
              <w:widowControl w:val="0"/>
              <w:ind w:right="40"/>
              <w:jc w:val="both"/>
              <w:rPr>
                <w:rFonts w:ascii="Gotham" w:hAnsi="Gotham" w:cs="Arial"/>
                <w:sz w:val="18"/>
                <w:szCs w:val="18"/>
                <w:highlight w:val="white"/>
              </w:rPr>
            </w:pPr>
          </w:p>
        </w:tc>
        <w:tc>
          <w:tcPr>
            <w:tcW w:w="4899" w:type="dxa"/>
            <w:shd w:val="clear" w:color="auto" w:fill="auto"/>
          </w:tcPr>
          <w:p w14:paraId="3A47626A" w14:textId="77777777" w:rsidR="009B5E39" w:rsidRPr="001335C7" w:rsidRDefault="009B5E39" w:rsidP="00190E4A">
            <w:pPr>
              <w:jc w:val="both"/>
              <w:rPr>
                <w:rFonts w:ascii="Gotham" w:hAnsi="Gotham" w:cs="Arial"/>
                <w:b/>
                <w:sz w:val="18"/>
                <w:szCs w:val="18"/>
              </w:rPr>
            </w:pPr>
          </w:p>
          <w:p w14:paraId="3A47626B"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31.-</w:t>
            </w:r>
            <w:r w:rsidRPr="001335C7">
              <w:rPr>
                <w:rFonts w:ascii="Gotham" w:hAnsi="Gotham" w:cs="Arial"/>
                <w:sz w:val="18"/>
                <w:szCs w:val="18"/>
              </w:rPr>
              <w:t xml:space="preserve"> Las asociaciones</w:t>
            </w:r>
          </w:p>
          <w:p w14:paraId="3A47626C" w14:textId="77777777" w:rsidR="009B5E39" w:rsidRPr="001335C7" w:rsidRDefault="009B5E39" w:rsidP="00190E4A">
            <w:pPr>
              <w:jc w:val="both"/>
              <w:rPr>
                <w:rFonts w:ascii="Gotham" w:hAnsi="Gotham" w:cs="Arial"/>
                <w:sz w:val="18"/>
                <w:szCs w:val="18"/>
              </w:rPr>
            </w:pPr>
          </w:p>
          <w:p w14:paraId="3A47626D"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 Que sus objetivos sean el desarrollo de actividades en defensa y promoción de los derechos y oportunidades de las mujeres y </w:t>
            </w:r>
            <w:r w:rsidRPr="001335C7">
              <w:rPr>
                <w:rFonts w:ascii="Gotham" w:hAnsi="Gotham" w:cs="Arial"/>
                <w:sz w:val="18"/>
                <w:szCs w:val="18"/>
                <w:highlight w:val="cyan"/>
              </w:rPr>
              <w:t>la población LGBT+</w:t>
            </w:r>
            <w:r w:rsidRPr="001335C7">
              <w:rPr>
                <w:rFonts w:ascii="Gotham" w:hAnsi="Gotham" w:cs="Arial"/>
                <w:sz w:val="18"/>
                <w:szCs w:val="18"/>
              </w:rPr>
              <w:t>;</w:t>
            </w:r>
          </w:p>
          <w:p w14:paraId="3A47626E" w14:textId="77777777" w:rsidR="009B5E39" w:rsidRPr="001335C7" w:rsidRDefault="009B5E39" w:rsidP="00190E4A">
            <w:pPr>
              <w:jc w:val="both"/>
              <w:rPr>
                <w:rFonts w:ascii="Gotham" w:hAnsi="Gotham" w:cs="Arial"/>
                <w:sz w:val="18"/>
                <w:szCs w:val="18"/>
                <w:highlight w:val="white"/>
              </w:rPr>
            </w:pPr>
          </w:p>
          <w:p w14:paraId="3A47626F" w14:textId="77777777" w:rsidR="009B5E39" w:rsidRPr="001335C7" w:rsidRDefault="009B5E39" w:rsidP="00190E4A">
            <w:pPr>
              <w:jc w:val="both"/>
              <w:rPr>
                <w:rFonts w:ascii="Gotham" w:hAnsi="Gotham" w:cs="Arial"/>
                <w:sz w:val="18"/>
                <w:szCs w:val="18"/>
                <w:highlight w:val="white"/>
              </w:rPr>
            </w:pPr>
            <w:r w:rsidRPr="001335C7">
              <w:rPr>
                <w:rFonts w:ascii="Gotham" w:hAnsi="Gotham" w:cs="Arial"/>
                <w:sz w:val="18"/>
                <w:szCs w:val="18"/>
                <w:highlight w:val="white"/>
              </w:rPr>
              <w:t>(…)</w:t>
            </w:r>
          </w:p>
        </w:tc>
      </w:tr>
      <w:tr w:rsidR="009B5E39" w:rsidRPr="001335C7" w14:paraId="3A476288" w14:textId="77777777" w:rsidTr="00190E4A">
        <w:tc>
          <w:tcPr>
            <w:tcW w:w="4898" w:type="dxa"/>
            <w:shd w:val="clear" w:color="auto" w:fill="auto"/>
          </w:tcPr>
          <w:p w14:paraId="3A476271" w14:textId="77777777" w:rsidR="009B5E39" w:rsidRDefault="009B5E39" w:rsidP="00190E4A">
            <w:pPr>
              <w:jc w:val="both"/>
              <w:rPr>
                <w:rFonts w:ascii="Gotham" w:hAnsi="Gotham" w:cs="Arial"/>
                <w:b/>
                <w:sz w:val="18"/>
                <w:szCs w:val="18"/>
              </w:rPr>
            </w:pPr>
          </w:p>
          <w:p w14:paraId="3A47627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33.- </w:t>
            </w:r>
            <w:r w:rsidRPr="001335C7">
              <w:rPr>
                <w:rFonts w:ascii="Gotham" w:hAnsi="Gotham" w:cs="Arial"/>
                <w:sz w:val="18"/>
                <w:szCs w:val="18"/>
              </w:rPr>
              <w:t>Para su organización, el despacho de los asuntos de su competencia, el Instituto contará con las áreas siguientes:</w:t>
            </w:r>
          </w:p>
          <w:p w14:paraId="3A476273" w14:textId="77777777" w:rsidR="009B5E39" w:rsidRPr="001335C7" w:rsidRDefault="009B5E39" w:rsidP="00190E4A">
            <w:pPr>
              <w:jc w:val="both"/>
              <w:rPr>
                <w:rFonts w:ascii="Gotham" w:hAnsi="Gotham" w:cs="Arial"/>
                <w:sz w:val="18"/>
                <w:szCs w:val="18"/>
              </w:rPr>
            </w:pPr>
          </w:p>
          <w:p w14:paraId="3A476274" w14:textId="77777777" w:rsidR="009B5E39" w:rsidRPr="001335C7" w:rsidRDefault="009B5E39" w:rsidP="00E5394F">
            <w:pPr>
              <w:numPr>
                <w:ilvl w:val="0"/>
                <w:numId w:val="254"/>
              </w:numPr>
              <w:ind w:left="709"/>
              <w:jc w:val="both"/>
              <w:rPr>
                <w:rFonts w:ascii="Gotham" w:hAnsi="Gotham" w:cs="Arial"/>
                <w:sz w:val="18"/>
                <w:szCs w:val="18"/>
              </w:rPr>
            </w:pPr>
            <w:r w:rsidRPr="001335C7">
              <w:rPr>
                <w:rFonts w:ascii="Gotham" w:hAnsi="Gotham" w:cs="Arial"/>
                <w:sz w:val="18"/>
                <w:szCs w:val="18"/>
              </w:rPr>
              <w:t>La Dirección, misma que cuenta con las siguientes Jefaturas:</w:t>
            </w:r>
          </w:p>
          <w:p w14:paraId="3A476275" w14:textId="77777777" w:rsidR="009B5E39" w:rsidRPr="001335C7" w:rsidRDefault="009B5E39" w:rsidP="00190E4A">
            <w:pPr>
              <w:jc w:val="both"/>
              <w:rPr>
                <w:rFonts w:ascii="Gotham" w:hAnsi="Gotham" w:cs="Arial"/>
                <w:sz w:val="18"/>
                <w:szCs w:val="18"/>
              </w:rPr>
            </w:pPr>
          </w:p>
          <w:p w14:paraId="3A476276" w14:textId="77777777" w:rsidR="009B5E39" w:rsidRPr="001335C7" w:rsidRDefault="009B5E39" w:rsidP="00E5394F">
            <w:pPr>
              <w:numPr>
                <w:ilvl w:val="0"/>
                <w:numId w:val="279"/>
              </w:numPr>
              <w:jc w:val="both"/>
              <w:rPr>
                <w:rFonts w:ascii="Gotham" w:hAnsi="Gotham" w:cs="Arial"/>
                <w:sz w:val="18"/>
                <w:szCs w:val="18"/>
              </w:rPr>
            </w:pPr>
            <w:r w:rsidRPr="001335C7">
              <w:rPr>
                <w:rFonts w:ascii="Gotham" w:hAnsi="Gotham" w:cs="Arial"/>
                <w:sz w:val="18"/>
                <w:szCs w:val="18"/>
              </w:rPr>
              <w:t>La Jefatura de Atención y Fomento a los Derechos de la Mujer;</w:t>
            </w:r>
          </w:p>
          <w:p w14:paraId="3A476277" w14:textId="77777777" w:rsidR="009B5E39" w:rsidRPr="001335C7" w:rsidRDefault="009B5E39" w:rsidP="00190E4A">
            <w:pPr>
              <w:jc w:val="both"/>
              <w:rPr>
                <w:rFonts w:ascii="Gotham" w:hAnsi="Gotham" w:cs="Arial"/>
                <w:sz w:val="18"/>
                <w:szCs w:val="18"/>
              </w:rPr>
            </w:pPr>
          </w:p>
          <w:p w14:paraId="3A476278" w14:textId="77777777" w:rsidR="009B5E39" w:rsidRPr="001335C7" w:rsidRDefault="009B5E39" w:rsidP="00E5394F">
            <w:pPr>
              <w:numPr>
                <w:ilvl w:val="0"/>
                <w:numId w:val="279"/>
              </w:numPr>
              <w:jc w:val="both"/>
              <w:rPr>
                <w:rFonts w:ascii="Gotham" w:hAnsi="Gotham" w:cs="Arial"/>
                <w:sz w:val="18"/>
                <w:szCs w:val="18"/>
              </w:rPr>
            </w:pPr>
            <w:r w:rsidRPr="001335C7">
              <w:rPr>
                <w:rFonts w:ascii="Gotham" w:hAnsi="Gotham" w:cs="Arial"/>
                <w:sz w:val="18"/>
                <w:szCs w:val="18"/>
              </w:rPr>
              <w:t>La Jefatura de Promoción y Enlace; y</w:t>
            </w:r>
          </w:p>
          <w:p w14:paraId="3A476279" w14:textId="77777777" w:rsidR="009B5E39" w:rsidRPr="001335C7" w:rsidRDefault="009B5E39" w:rsidP="00190E4A">
            <w:pPr>
              <w:jc w:val="both"/>
              <w:rPr>
                <w:rFonts w:ascii="Gotham" w:hAnsi="Gotham" w:cs="Arial"/>
                <w:sz w:val="18"/>
                <w:szCs w:val="18"/>
              </w:rPr>
            </w:pPr>
          </w:p>
          <w:p w14:paraId="3A47627A" w14:textId="77777777" w:rsidR="009B5E39" w:rsidRPr="001335C7" w:rsidRDefault="009B5E39" w:rsidP="00E5394F">
            <w:pPr>
              <w:numPr>
                <w:ilvl w:val="0"/>
                <w:numId w:val="279"/>
              </w:numPr>
              <w:jc w:val="both"/>
              <w:rPr>
                <w:rFonts w:ascii="Gotham" w:hAnsi="Gotham" w:cs="Arial"/>
                <w:sz w:val="18"/>
                <w:szCs w:val="18"/>
              </w:rPr>
            </w:pPr>
            <w:r w:rsidRPr="001335C7">
              <w:rPr>
                <w:rFonts w:ascii="Gotham" w:hAnsi="Gotham" w:cs="Arial"/>
                <w:sz w:val="18"/>
                <w:szCs w:val="18"/>
              </w:rPr>
              <w:t>La Jefatura Administrativa.</w:t>
            </w:r>
          </w:p>
          <w:p w14:paraId="3A47627B" w14:textId="77777777" w:rsidR="009B5E39" w:rsidRPr="001335C7" w:rsidRDefault="009B5E39" w:rsidP="00190E4A">
            <w:pPr>
              <w:widowControl w:val="0"/>
              <w:ind w:right="40"/>
              <w:jc w:val="both"/>
              <w:rPr>
                <w:rFonts w:ascii="Gotham" w:hAnsi="Gotham" w:cs="Arial"/>
                <w:b/>
                <w:sz w:val="18"/>
                <w:szCs w:val="18"/>
              </w:rPr>
            </w:pPr>
          </w:p>
          <w:p w14:paraId="3A47627C" w14:textId="77777777" w:rsidR="009B5E39" w:rsidRPr="001335C7" w:rsidRDefault="009B5E39" w:rsidP="00190E4A">
            <w:pPr>
              <w:widowControl w:val="0"/>
              <w:ind w:right="40"/>
              <w:jc w:val="both"/>
              <w:rPr>
                <w:rFonts w:ascii="Gotham" w:hAnsi="Gotham" w:cs="Arial"/>
                <w:sz w:val="18"/>
                <w:szCs w:val="18"/>
                <w:highlight w:val="white"/>
              </w:rPr>
            </w:pPr>
          </w:p>
        </w:tc>
        <w:tc>
          <w:tcPr>
            <w:tcW w:w="4899" w:type="dxa"/>
            <w:shd w:val="clear" w:color="auto" w:fill="auto"/>
          </w:tcPr>
          <w:p w14:paraId="3A47627D" w14:textId="77777777" w:rsidR="009B5E39" w:rsidRDefault="009B5E39" w:rsidP="00190E4A">
            <w:pPr>
              <w:jc w:val="both"/>
              <w:rPr>
                <w:rFonts w:ascii="Gotham" w:hAnsi="Gotham" w:cs="Arial"/>
                <w:b/>
                <w:sz w:val="18"/>
                <w:szCs w:val="18"/>
              </w:rPr>
            </w:pPr>
          </w:p>
          <w:p w14:paraId="3A47627E"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33.- </w:t>
            </w:r>
            <w:r w:rsidRPr="001335C7">
              <w:rPr>
                <w:rFonts w:ascii="Gotham" w:hAnsi="Gotham" w:cs="Arial"/>
                <w:sz w:val="18"/>
                <w:szCs w:val="18"/>
              </w:rPr>
              <w:t>Para su organización, el despacho de los asuntos de su competencia, el Instituto contará con las áreas siguientes:</w:t>
            </w:r>
          </w:p>
          <w:p w14:paraId="3A47627F" w14:textId="77777777" w:rsidR="009B5E39" w:rsidRPr="001335C7" w:rsidRDefault="009B5E39" w:rsidP="00190E4A">
            <w:pPr>
              <w:jc w:val="both"/>
              <w:rPr>
                <w:rFonts w:ascii="Gotham" w:hAnsi="Gotham" w:cs="Arial"/>
                <w:sz w:val="18"/>
                <w:szCs w:val="18"/>
              </w:rPr>
            </w:pPr>
          </w:p>
          <w:p w14:paraId="3A476280" w14:textId="77777777" w:rsidR="009B5E39" w:rsidRPr="001335C7" w:rsidRDefault="009B5E39" w:rsidP="00E5394F">
            <w:pPr>
              <w:numPr>
                <w:ilvl w:val="0"/>
                <w:numId w:val="251"/>
              </w:numPr>
              <w:ind w:left="709"/>
              <w:jc w:val="both"/>
              <w:rPr>
                <w:rFonts w:ascii="Gotham" w:hAnsi="Gotham" w:cs="Arial"/>
                <w:sz w:val="18"/>
                <w:szCs w:val="18"/>
              </w:rPr>
            </w:pPr>
            <w:r w:rsidRPr="001335C7">
              <w:rPr>
                <w:rFonts w:ascii="Gotham" w:hAnsi="Gotham" w:cs="Arial"/>
                <w:sz w:val="18"/>
                <w:szCs w:val="18"/>
              </w:rPr>
              <w:t>La Dirección, misma que cuenta con las siguientes Jefaturas:</w:t>
            </w:r>
          </w:p>
          <w:p w14:paraId="3A476281" w14:textId="77777777" w:rsidR="009B5E39" w:rsidRPr="001335C7" w:rsidRDefault="009B5E39" w:rsidP="00190E4A">
            <w:pPr>
              <w:jc w:val="both"/>
              <w:rPr>
                <w:rFonts w:ascii="Gotham" w:hAnsi="Gotham" w:cs="Arial"/>
                <w:sz w:val="18"/>
                <w:szCs w:val="18"/>
              </w:rPr>
            </w:pPr>
          </w:p>
          <w:p w14:paraId="3A476282" w14:textId="77777777" w:rsidR="009B5E39" w:rsidRPr="001335C7" w:rsidRDefault="009B5E39" w:rsidP="00E5394F">
            <w:pPr>
              <w:numPr>
                <w:ilvl w:val="0"/>
                <w:numId w:val="277"/>
              </w:numPr>
              <w:jc w:val="both"/>
              <w:rPr>
                <w:rFonts w:ascii="Gotham" w:hAnsi="Gotham" w:cs="Arial"/>
                <w:sz w:val="18"/>
                <w:szCs w:val="18"/>
                <w:highlight w:val="cyan"/>
              </w:rPr>
            </w:pPr>
            <w:r w:rsidRPr="001335C7">
              <w:rPr>
                <w:rFonts w:ascii="Gotham" w:hAnsi="Gotham" w:cs="Arial"/>
                <w:sz w:val="18"/>
                <w:szCs w:val="18"/>
                <w:highlight w:val="cyan"/>
              </w:rPr>
              <w:t>La Jefatura de Igualdad Sustantiva,  Diversidad e Inclusión;</w:t>
            </w:r>
          </w:p>
          <w:p w14:paraId="3A476283" w14:textId="77777777" w:rsidR="009B5E39" w:rsidRPr="001335C7" w:rsidRDefault="009B5E39" w:rsidP="00190E4A">
            <w:pPr>
              <w:jc w:val="both"/>
              <w:rPr>
                <w:rFonts w:ascii="Gotham" w:hAnsi="Gotham" w:cs="Arial"/>
                <w:sz w:val="18"/>
                <w:szCs w:val="18"/>
              </w:rPr>
            </w:pPr>
          </w:p>
          <w:p w14:paraId="3A476284" w14:textId="77777777" w:rsidR="009B5E39" w:rsidRPr="001335C7" w:rsidRDefault="009B5E39" w:rsidP="00E5394F">
            <w:pPr>
              <w:numPr>
                <w:ilvl w:val="0"/>
                <w:numId w:val="277"/>
              </w:numPr>
              <w:jc w:val="both"/>
              <w:rPr>
                <w:rFonts w:ascii="Gotham" w:hAnsi="Gotham" w:cs="Arial"/>
                <w:sz w:val="18"/>
                <w:szCs w:val="18"/>
                <w:highlight w:val="cyan"/>
              </w:rPr>
            </w:pPr>
            <w:r w:rsidRPr="001335C7">
              <w:rPr>
                <w:rFonts w:ascii="Gotham" w:hAnsi="Gotham" w:cs="Arial"/>
                <w:sz w:val="18"/>
                <w:szCs w:val="18"/>
                <w:highlight w:val="cyan"/>
              </w:rPr>
              <w:t>La Jefatura de Prevención y Atención de la Violencia de Género; y</w:t>
            </w:r>
          </w:p>
          <w:p w14:paraId="3A476285" w14:textId="77777777" w:rsidR="009B5E39" w:rsidRPr="001335C7" w:rsidRDefault="009B5E39" w:rsidP="00190E4A">
            <w:pPr>
              <w:jc w:val="both"/>
              <w:rPr>
                <w:rFonts w:ascii="Gotham" w:hAnsi="Gotham" w:cs="Arial"/>
                <w:sz w:val="18"/>
                <w:szCs w:val="18"/>
              </w:rPr>
            </w:pPr>
          </w:p>
          <w:p w14:paraId="3A476286" w14:textId="77777777" w:rsidR="009B5E39" w:rsidRPr="001335C7" w:rsidRDefault="009B5E39" w:rsidP="00E5394F">
            <w:pPr>
              <w:numPr>
                <w:ilvl w:val="0"/>
                <w:numId w:val="277"/>
              </w:numPr>
              <w:jc w:val="both"/>
              <w:rPr>
                <w:rFonts w:ascii="Gotham" w:hAnsi="Gotham" w:cs="Arial"/>
                <w:sz w:val="18"/>
                <w:szCs w:val="18"/>
              </w:rPr>
            </w:pPr>
            <w:r w:rsidRPr="001335C7">
              <w:rPr>
                <w:rFonts w:ascii="Gotham" w:hAnsi="Gotham" w:cs="Arial"/>
                <w:sz w:val="18"/>
                <w:szCs w:val="18"/>
              </w:rPr>
              <w:t>La Jefatura Administrativa.</w:t>
            </w:r>
          </w:p>
          <w:p w14:paraId="3A476287" w14:textId="77777777" w:rsidR="009B5E39" w:rsidRPr="001335C7" w:rsidRDefault="009B5E39" w:rsidP="00190E4A">
            <w:pPr>
              <w:jc w:val="both"/>
              <w:rPr>
                <w:rFonts w:ascii="Gotham" w:hAnsi="Gotham" w:cs="Arial"/>
                <w:b/>
                <w:sz w:val="18"/>
                <w:szCs w:val="18"/>
              </w:rPr>
            </w:pPr>
          </w:p>
        </w:tc>
      </w:tr>
      <w:tr w:rsidR="009B5E39" w:rsidRPr="001335C7" w14:paraId="3A476297" w14:textId="77777777" w:rsidTr="00190E4A">
        <w:tc>
          <w:tcPr>
            <w:tcW w:w="4898" w:type="dxa"/>
            <w:shd w:val="clear" w:color="auto" w:fill="auto"/>
          </w:tcPr>
          <w:p w14:paraId="3A476289" w14:textId="77777777" w:rsidR="009B5E39" w:rsidRPr="001335C7" w:rsidRDefault="009B5E39" w:rsidP="00190E4A">
            <w:pPr>
              <w:widowControl w:val="0"/>
              <w:ind w:right="40"/>
              <w:jc w:val="both"/>
              <w:rPr>
                <w:rFonts w:ascii="Gotham" w:hAnsi="Gotham" w:cs="Arial"/>
                <w:b/>
                <w:sz w:val="18"/>
                <w:szCs w:val="18"/>
              </w:rPr>
            </w:pPr>
          </w:p>
          <w:p w14:paraId="3A47628A"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b/>
                <w:sz w:val="18"/>
                <w:szCs w:val="18"/>
              </w:rPr>
              <w:t>Artículo 45.-</w:t>
            </w:r>
            <w:r w:rsidRPr="001335C7">
              <w:rPr>
                <w:rFonts w:ascii="Gotham" w:hAnsi="Gotham" w:cs="Arial"/>
                <w:sz w:val="18"/>
                <w:szCs w:val="18"/>
              </w:rPr>
              <w:t xml:space="preserve"> El Ayuntamiento, a través del Instituto, podrá suscribir convenios o acuerdos de coordinación con la Secretaría de Igualdad Sustantiva entre Mujeres y Hombres, con el Instituto Nacional de las Mujeres, con la Comisión Estatal de los Derechos Humanos y la Comisión Nacional de los Derechos Humanos, entre otras entidades promotoras del derecho a la igualdad, con el objeto de:</w:t>
            </w:r>
          </w:p>
          <w:p w14:paraId="3A47628B" w14:textId="77777777" w:rsidR="009B5E39" w:rsidRPr="001335C7" w:rsidRDefault="009B5E39" w:rsidP="00190E4A">
            <w:pPr>
              <w:widowControl w:val="0"/>
              <w:ind w:right="40"/>
              <w:jc w:val="both"/>
              <w:rPr>
                <w:rFonts w:ascii="Gotham" w:hAnsi="Gotham" w:cs="Arial"/>
                <w:sz w:val="18"/>
                <w:szCs w:val="18"/>
              </w:rPr>
            </w:pPr>
          </w:p>
          <w:p w14:paraId="3A47628C"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w:t>
            </w:r>
          </w:p>
          <w:p w14:paraId="3A47628D" w14:textId="77777777" w:rsidR="009B5E39" w:rsidRPr="001335C7" w:rsidRDefault="009B5E39" w:rsidP="00190E4A">
            <w:pPr>
              <w:jc w:val="both"/>
              <w:rPr>
                <w:rFonts w:ascii="Gotham" w:hAnsi="Gotham" w:cs="Arial"/>
                <w:sz w:val="18"/>
                <w:szCs w:val="18"/>
              </w:rPr>
            </w:pPr>
          </w:p>
          <w:p w14:paraId="3A47628E" w14:textId="77777777" w:rsidR="009B5E39" w:rsidRPr="001335C7" w:rsidRDefault="009B5E39" w:rsidP="00190E4A">
            <w:pPr>
              <w:pBdr>
                <w:top w:val="nil"/>
                <w:left w:val="nil"/>
                <w:bottom w:val="nil"/>
                <w:right w:val="nil"/>
                <w:between w:val="nil"/>
              </w:pBdr>
              <w:jc w:val="both"/>
              <w:rPr>
                <w:rFonts w:ascii="Gotham" w:hAnsi="Gotham" w:cs="Arial"/>
                <w:sz w:val="18"/>
                <w:szCs w:val="18"/>
              </w:rPr>
            </w:pPr>
            <w:r w:rsidRPr="001335C7">
              <w:rPr>
                <w:rFonts w:ascii="Gotham" w:hAnsi="Gotham" w:cs="Arial"/>
                <w:sz w:val="18"/>
                <w:szCs w:val="18"/>
              </w:rPr>
              <w:t xml:space="preserve">V. Proponer iniciativas al bando de policía y buen gobierno y a toda aquella reglamentación municipal para garantizar la igualdad sustantiva </w:t>
            </w:r>
            <w:r w:rsidRPr="001335C7">
              <w:rPr>
                <w:rFonts w:ascii="Gotham" w:hAnsi="Gotham" w:cs="Arial"/>
                <w:sz w:val="18"/>
                <w:szCs w:val="18"/>
                <w:highlight w:val="yellow"/>
              </w:rPr>
              <w:t>entre mujeres y hombres.</w:t>
            </w:r>
          </w:p>
          <w:p w14:paraId="3A47628F" w14:textId="77777777" w:rsidR="009B5E39" w:rsidRPr="001335C7" w:rsidRDefault="009B5E39" w:rsidP="00190E4A">
            <w:pPr>
              <w:widowControl w:val="0"/>
              <w:ind w:right="40"/>
              <w:jc w:val="both"/>
              <w:rPr>
                <w:rFonts w:ascii="Gotham" w:hAnsi="Gotham" w:cs="Arial"/>
                <w:sz w:val="18"/>
                <w:szCs w:val="18"/>
                <w:highlight w:val="white"/>
              </w:rPr>
            </w:pPr>
          </w:p>
        </w:tc>
        <w:tc>
          <w:tcPr>
            <w:tcW w:w="4899" w:type="dxa"/>
            <w:shd w:val="clear" w:color="auto" w:fill="auto"/>
          </w:tcPr>
          <w:p w14:paraId="3A476290" w14:textId="77777777" w:rsidR="009B5E39" w:rsidRPr="001335C7" w:rsidRDefault="009B5E39" w:rsidP="00190E4A">
            <w:pPr>
              <w:widowControl w:val="0"/>
              <w:ind w:right="40"/>
              <w:jc w:val="both"/>
              <w:rPr>
                <w:rFonts w:ascii="Gotham" w:hAnsi="Gotham" w:cs="Arial"/>
                <w:b/>
                <w:sz w:val="18"/>
                <w:szCs w:val="18"/>
              </w:rPr>
            </w:pPr>
          </w:p>
          <w:p w14:paraId="3A476291"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b/>
                <w:sz w:val="18"/>
                <w:szCs w:val="18"/>
              </w:rPr>
              <w:t>Artículo 45.-</w:t>
            </w:r>
            <w:r w:rsidRPr="001335C7">
              <w:rPr>
                <w:rFonts w:ascii="Gotham" w:hAnsi="Gotham" w:cs="Arial"/>
                <w:sz w:val="18"/>
                <w:szCs w:val="18"/>
              </w:rPr>
              <w:t xml:space="preserve"> El Ayuntamiento, a través del Instituto, podrá suscribir convenios o acuerdos de coordinación con la Secretaría de Igualdad Sustantiva entre Mujeres y Hombres, con el Instituto Nacional de las Mujeres, con la Comisión Estatal de los Derechos Humanos y la Comisión Nacional de los Derechos Humanos, entre otras entidades promotoras del derecho a la igualdad, con el objeto de:</w:t>
            </w:r>
          </w:p>
          <w:p w14:paraId="3A476292" w14:textId="77777777" w:rsidR="009B5E39" w:rsidRPr="001335C7" w:rsidRDefault="009B5E39" w:rsidP="00190E4A">
            <w:pPr>
              <w:widowControl w:val="0"/>
              <w:ind w:right="40"/>
              <w:jc w:val="both"/>
              <w:rPr>
                <w:rFonts w:ascii="Gotham" w:hAnsi="Gotham" w:cs="Arial"/>
                <w:sz w:val="18"/>
                <w:szCs w:val="18"/>
              </w:rPr>
            </w:pPr>
          </w:p>
          <w:p w14:paraId="3A476293" w14:textId="77777777" w:rsidR="009B5E39" w:rsidRPr="001335C7" w:rsidRDefault="009B5E39" w:rsidP="00190E4A">
            <w:pPr>
              <w:widowControl w:val="0"/>
              <w:ind w:right="40"/>
              <w:jc w:val="both"/>
              <w:rPr>
                <w:rFonts w:ascii="Gotham" w:hAnsi="Gotham" w:cs="Arial"/>
                <w:sz w:val="18"/>
                <w:szCs w:val="18"/>
              </w:rPr>
            </w:pPr>
          </w:p>
          <w:p w14:paraId="3A476294" w14:textId="77777777" w:rsidR="009B5E39" w:rsidRPr="001335C7" w:rsidRDefault="009B5E39" w:rsidP="00190E4A">
            <w:pPr>
              <w:widowControl w:val="0"/>
              <w:ind w:right="40"/>
              <w:jc w:val="both"/>
              <w:rPr>
                <w:rFonts w:ascii="Gotham" w:hAnsi="Gotham" w:cs="Arial"/>
                <w:sz w:val="18"/>
                <w:szCs w:val="18"/>
              </w:rPr>
            </w:pPr>
          </w:p>
          <w:p w14:paraId="3A476295" w14:textId="77777777" w:rsidR="009B5E39" w:rsidRPr="001335C7" w:rsidRDefault="009B5E39" w:rsidP="00190E4A">
            <w:pPr>
              <w:pBdr>
                <w:top w:val="nil"/>
                <w:left w:val="nil"/>
                <w:bottom w:val="nil"/>
                <w:right w:val="nil"/>
                <w:between w:val="nil"/>
              </w:pBdr>
              <w:jc w:val="both"/>
              <w:rPr>
                <w:rFonts w:ascii="Gotham" w:hAnsi="Gotham" w:cs="Arial"/>
                <w:sz w:val="18"/>
                <w:szCs w:val="18"/>
              </w:rPr>
            </w:pPr>
            <w:r w:rsidRPr="001335C7">
              <w:rPr>
                <w:rFonts w:ascii="Gotham" w:hAnsi="Gotham" w:cs="Arial"/>
                <w:sz w:val="18"/>
                <w:szCs w:val="18"/>
              </w:rPr>
              <w:t>V. Proponer iniciativas al bando de policía y buen gobierno y a toda aquella reglamentación municipal para garantizar la igualdad sustantiva.</w:t>
            </w:r>
          </w:p>
          <w:p w14:paraId="3A476296" w14:textId="77777777" w:rsidR="009B5E39" w:rsidRPr="001335C7" w:rsidRDefault="009B5E39" w:rsidP="00190E4A">
            <w:pPr>
              <w:jc w:val="both"/>
              <w:rPr>
                <w:rFonts w:ascii="Gotham" w:hAnsi="Gotham" w:cs="Arial"/>
                <w:sz w:val="18"/>
                <w:szCs w:val="18"/>
              </w:rPr>
            </w:pPr>
          </w:p>
        </w:tc>
      </w:tr>
      <w:tr w:rsidR="009B5E39" w:rsidRPr="001335C7" w14:paraId="3A4762B1" w14:textId="77777777" w:rsidTr="00190E4A">
        <w:tc>
          <w:tcPr>
            <w:tcW w:w="4898" w:type="dxa"/>
            <w:shd w:val="clear" w:color="auto" w:fill="auto"/>
          </w:tcPr>
          <w:p w14:paraId="3A476298" w14:textId="77777777" w:rsidR="009B5E39" w:rsidRPr="001335C7" w:rsidRDefault="009B5E39" w:rsidP="00190E4A">
            <w:pPr>
              <w:jc w:val="both"/>
              <w:rPr>
                <w:rFonts w:ascii="Gotham" w:hAnsi="Gotham" w:cs="Arial"/>
                <w:b/>
                <w:sz w:val="18"/>
                <w:szCs w:val="18"/>
              </w:rPr>
            </w:pPr>
          </w:p>
          <w:p w14:paraId="3A476299"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46.-</w:t>
            </w:r>
            <w:r w:rsidRPr="001335C7">
              <w:rPr>
                <w:rFonts w:ascii="Gotham" w:hAnsi="Gotham" w:cs="Arial"/>
                <w:sz w:val="18"/>
                <w:szCs w:val="18"/>
              </w:rPr>
              <w:t xml:space="preserve"> Corresponde a las distintas áreas del gobierno municipal en materia de igualdad sustantiva lo siguiente:</w:t>
            </w:r>
          </w:p>
          <w:p w14:paraId="3A47629A" w14:textId="77777777" w:rsidR="009B5E39" w:rsidRPr="001335C7" w:rsidRDefault="009B5E39" w:rsidP="00190E4A">
            <w:pPr>
              <w:jc w:val="both"/>
              <w:rPr>
                <w:rFonts w:ascii="Gotham" w:hAnsi="Gotham" w:cs="Arial"/>
                <w:sz w:val="18"/>
                <w:szCs w:val="18"/>
              </w:rPr>
            </w:pPr>
          </w:p>
          <w:p w14:paraId="3A47629B"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29C" w14:textId="77777777" w:rsidR="009B5E39" w:rsidRPr="001335C7" w:rsidRDefault="009B5E39" w:rsidP="00190E4A">
            <w:pPr>
              <w:widowControl w:val="0"/>
              <w:ind w:right="40"/>
              <w:jc w:val="both"/>
              <w:rPr>
                <w:rFonts w:ascii="Gotham" w:hAnsi="Gotham" w:cs="Arial"/>
                <w:sz w:val="18"/>
                <w:szCs w:val="18"/>
              </w:rPr>
            </w:pPr>
          </w:p>
          <w:p w14:paraId="3A47629D"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 Fomentar la participación social, política y ciudadana dirigida a lograr la igualdad </w:t>
            </w:r>
            <w:r w:rsidRPr="001335C7">
              <w:rPr>
                <w:rFonts w:ascii="Gotham" w:hAnsi="Gotham" w:cs="Arial"/>
                <w:sz w:val="18"/>
                <w:szCs w:val="18"/>
                <w:highlight w:val="yellow"/>
              </w:rPr>
              <w:t>entre</w:t>
            </w:r>
            <w:r w:rsidRPr="001335C7">
              <w:rPr>
                <w:rFonts w:ascii="Gotham" w:hAnsi="Gotham" w:cs="Arial"/>
                <w:sz w:val="18"/>
                <w:szCs w:val="18"/>
              </w:rPr>
              <w:t xml:space="preserve"> </w:t>
            </w:r>
            <w:r w:rsidRPr="001335C7">
              <w:rPr>
                <w:rFonts w:ascii="Gotham" w:hAnsi="Gotham" w:cs="Arial"/>
                <w:sz w:val="18"/>
                <w:szCs w:val="18"/>
                <w:highlight w:val="yellow"/>
              </w:rPr>
              <w:t>mujeres y hombres</w:t>
            </w:r>
            <w:r w:rsidRPr="001335C7">
              <w:rPr>
                <w:rFonts w:ascii="Gotham" w:hAnsi="Gotham" w:cs="Arial"/>
                <w:sz w:val="18"/>
                <w:szCs w:val="18"/>
              </w:rPr>
              <w:t xml:space="preserve">, tanto en las áreas urbanas como en las </w:t>
            </w:r>
            <w:r w:rsidRPr="001335C7">
              <w:rPr>
                <w:rFonts w:ascii="Gotham" w:hAnsi="Gotham" w:cs="Arial"/>
                <w:sz w:val="18"/>
                <w:szCs w:val="18"/>
              </w:rPr>
              <w:lastRenderedPageBreak/>
              <w:t>rurales del Municipio, ya sea a través de acciones concretas desde el Ayuntamiento o la capacitación de las mujeres en los ejidos, en las integraciones de las delegaciones, gerencias, comunidades y presidencias de asociaciones vecinales;</w:t>
            </w:r>
          </w:p>
          <w:p w14:paraId="3A47629E" w14:textId="77777777" w:rsidR="009B5E39" w:rsidRPr="001335C7" w:rsidRDefault="009B5E39" w:rsidP="00190E4A">
            <w:pPr>
              <w:jc w:val="both"/>
              <w:rPr>
                <w:rFonts w:ascii="Gotham" w:hAnsi="Gotham" w:cs="Arial"/>
                <w:sz w:val="18"/>
                <w:szCs w:val="18"/>
              </w:rPr>
            </w:pPr>
          </w:p>
          <w:p w14:paraId="3A47629F"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XI. Promover y garantizar la igualdad sustantiva </w:t>
            </w:r>
            <w:r w:rsidRPr="001335C7">
              <w:rPr>
                <w:rFonts w:ascii="Gotham" w:hAnsi="Gotham" w:cs="Arial"/>
                <w:sz w:val="18"/>
                <w:szCs w:val="18"/>
                <w:highlight w:val="yellow"/>
              </w:rPr>
              <w:t>para las mujeres y hombre</w:t>
            </w:r>
            <w:r w:rsidRPr="001335C7">
              <w:rPr>
                <w:rFonts w:ascii="Gotham" w:hAnsi="Gotham" w:cs="Arial"/>
                <w:sz w:val="18"/>
                <w:szCs w:val="18"/>
              </w:rPr>
              <w:t xml:space="preserve">s, sin discriminación alguna por razón de género, sexo, identidad de género, orientación sexual, edad, estado de salud, embarazo, estado civil, profesión, cultura, origen étnico, condición social, </w:t>
            </w:r>
            <w:r w:rsidRPr="001335C7">
              <w:rPr>
                <w:rFonts w:ascii="Gotham" w:hAnsi="Gotham" w:cs="Arial"/>
                <w:sz w:val="18"/>
                <w:szCs w:val="18"/>
                <w:highlight w:val="yellow"/>
              </w:rPr>
              <w:t>salud</w:t>
            </w:r>
            <w:r w:rsidRPr="001335C7">
              <w:rPr>
                <w:rFonts w:ascii="Gotham" w:hAnsi="Gotham" w:cs="Arial"/>
                <w:sz w:val="18"/>
                <w:szCs w:val="18"/>
              </w:rPr>
              <w:t>, religión, opinión o discapacidad, o cualquier otra que le cause un daño o menoscabo en sus derechos;</w:t>
            </w:r>
          </w:p>
          <w:p w14:paraId="3A4762A0" w14:textId="77777777" w:rsidR="009B5E39" w:rsidRPr="001335C7" w:rsidRDefault="009B5E39" w:rsidP="00190E4A">
            <w:pPr>
              <w:jc w:val="both"/>
              <w:rPr>
                <w:rFonts w:ascii="Gotham" w:hAnsi="Gotham" w:cs="Arial"/>
                <w:sz w:val="18"/>
                <w:szCs w:val="18"/>
              </w:rPr>
            </w:pPr>
          </w:p>
          <w:p w14:paraId="3A4762A1"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XII. Implementar medidas especiales de carácter temporal que permitan brindar apoyo a las mujeres en general, con mayor énfasis en las áreas rurales y a los grupos que se encuentran en </w:t>
            </w:r>
            <w:r w:rsidRPr="001335C7">
              <w:rPr>
                <w:rFonts w:ascii="Gotham" w:hAnsi="Gotham" w:cs="Arial"/>
                <w:sz w:val="18"/>
                <w:szCs w:val="18"/>
                <w:highlight w:val="yellow"/>
              </w:rPr>
              <w:t>situación</w:t>
            </w:r>
            <w:r w:rsidRPr="001335C7">
              <w:rPr>
                <w:rFonts w:ascii="Gotham" w:hAnsi="Gotham" w:cs="Arial"/>
                <w:sz w:val="18"/>
                <w:szCs w:val="18"/>
              </w:rPr>
              <w:t xml:space="preserve"> estado de vulnerabilidad, para promover acciones para la igualdad de oportunidades que les permitan desarrollarse con independencia y plenitud;</w:t>
            </w:r>
          </w:p>
          <w:p w14:paraId="3A4762A2" w14:textId="77777777" w:rsidR="009B5E39" w:rsidRPr="001335C7" w:rsidRDefault="009B5E39" w:rsidP="00190E4A">
            <w:pPr>
              <w:widowControl w:val="0"/>
              <w:ind w:right="40"/>
              <w:jc w:val="both"/>
              <w:rPr>
                <w:rFonts w:ascii="Gotham" w:hAnsi="Gotham" w:cs="Arial"/>
                <w:sz w:val="18"/>
                <w:szCs w:val="18"/>
              </w:rPr>
            </w:pPr>
          </w:p>
          <w:p w14:paraId="3A4762A3" w14:textId="77777777" w:rsidR="009B5E39" w:rsidRPr="001335C7" w:rsidRDefault="009B5E39" w:rsidP="00190E4A">
            <w:pPr>
              <w:pBdr>
                <w:top w:val="nil"/>
                <w:left w:val="nil"/>
                <w:bottom w:val="nil"/>
                <w:right w:val="nil"/>
                <w:between w:val="nil"/>
              </w:pBdr>
              <w:jc w:val="both"/>
              <w:rPr>
                <w:rFonts w:ascii="Gotham" w:hAnsi="Gotham" w:cs="Arial"/>
                <w:b/>
                <w:sz w:val="18"/>
                <w:szCs w:val="18"/>
              </w:rPr>
            </w:pPr>
            <w:r w:rsidRPr="001335C7">
              <w:rPr>
                <w:rFonts w:ascii="Gotham" w:hAnsi="Gotham" w:cs="Arial"/>
                <w:b/>
                <w:sz w:val="18"/>
                <w:szCs w:val="18"/>
              </w:rPr>
              <w:t>(...)</w:t>
            </w:r>
          </w:p>
        </w:tc>
        <w:tc>
          <w:tcPr>
            <w:tcW w:w="4899" w:type="dxa"/>
            <w:shd w:val="clear" w:color="auto" w:fill="auto"/>
          </w:tcPr>
          <w:p w14:paraId="3A4762A4" w14:textId="77777777" w:rsidR="009B5E39" w:rsidRPr="001335C7" w:rsidRDefault="009B5E39" w:rsidP="00190E4A">
            <w:pPr>
              <w:jc w:val="both"/>
              <w:rPr>
                <w:rFonts w:ascii="Gotham" w:hAnsi="Gotham" w:cs="Arial"/>
                <w:b/>
                <w:sz w:val="18"/>
                <w:szCs w:val="18"/>
              </w:rPr>
            </w:pPr>
          </w:p>
          <w:p w14:paraId="3A4762A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46.-</w:t>
            </w:r>
            <w:r w:rsidRPr="001335C7">
              <w:rPr>
                <w:rFonts w:ascii="Gotham" w:hAnsi="Gotham" w:cs="Arial"/>
                <w:sz w:val="18"/>
                <w:szCs w:val="18"/>
              </w:rPr>
              <w:t xml:space="preserve"> Corresponde a las distintas áreas del gobierno municipal en materia de igualdad sustantiva lo siguiente:</w:t>
            </w:r>
          </w:p>
          <w:p w14:paraId="3A4762A6" w14:textId="77777777" w:rsidR="009B5E39" w:rsidRPr="001335C7" w:rsidRDefault="009B5E39" w:rsidP="00190E4A">
            <w:pPr>
              <w:jc w:val="both"/>
              <w:rPr>
                <w:rFonts w:ascii="Gotham" w:hAnsi="Gotham" w:cs="Arial"/>
                <w:sz w:val="18"/>
                <w:szCs w:val="18"/>
              </w:rPr>
            </w:pPr>
          </w:p>
          <w:p w14:paraId="3A4762A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2A8" w14:textId="77777777" w:rsidR="009B5E39" w:rsidRPr="001335C7" w:rsidRDefault="009B5E39" w:rsidP="00190E4A">
            <w:pPr>
              <w:jc w:val="both"/>
              <w:rPr>
                <w:rFonts w:ascii="Gotham" w:hAnsi="Gotham" w:cs="Arial"/>
                <w:b/>
                <w:sz w:val="18"/>
                <w:szCs w:val="18"/>
              </w:rPr>
            </w:pPr>
          </w:p>
          <w:p w14:paraId="3A4762A9"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 Fomentar la participación social, política y ciudadana dirigida a lograr la igualdad sustantiva, tanto en las áreas urbanas como en las rurales del </w:t>
            </w:r>
            <w:r w:rsidRPr="001335C7">
              <w:rPr>
                <w:rFonts w:ascii="Gotham" w:hAnsi="Gotham" w:cs="Arial"/>
                <w:sz w:val="18"/>
                <w:szCs w:val="18"/>
              </w:rPr>
              <w:lastRenderedPageBreak/>
              <w:t>Municipio, ya sea a través de acciones concretas desde el Ayuntamiento o la capacitación de las mujeres en los ejidos, en las integraciones de las delegaciones, gerencias, comunidades y presidencias de asociaciones vecinales;</w:t>
            </w:r>
          </w:p>
          <w:p w14:paraId="3A4762AA" w14:textId="77777777" w:rsidR="009B5E39" w:rsidRPr="001335C7" w:rsidRDefault="009B5E39" w:rsidP="00190E4A">
            <w:pPr>
              <w:jc w:val="both"/>
              <w:rPr>
                <w:rFonts w:ascii="Gotham" w:hAnsi="Gotham" w:cs="Arial"/>
                <w:sz w:val="18"/>
                <w:szCs w:val="18"/>
              </w:rPr>
            </w:pPr>
          </w:p>
          <w:p w14:paraId="3A4762AB"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XI. Promover y garantizar la igualdad sustantiva, sin discriminación alguna por razón de género, sexo, identidad de género, orientación sexual, edad, estado de salud, embarazo, estado civil, profesión, cultura, origen étnico, condición social, religión, opinión o discapacidad, o cualquier otra que le cause un daño o menoscabo en sus derechos;</w:t>
            </w:r>
          </w:p>
          <w:p w14:paraId="3A4762AC" w14:textId="77777777" w:rsidR="009B5E39" w:rsidRDefault="009B5E39" w:rsidP="00190E4A">
            <w:pPr>
              <w:jc w:val="both"/>
              <w:rPr>
                <w:rFonts w:ascii="Gotham" w:hAnsi="Gotham" w:cs="Arial"/>
                <w:sz w:val="18"/>
                <w:szCs w:val="18"/>
              </w:rPr>
            </w:pPr>
          </w:p>
          <w:p w14:paraId="3A4762AD" w14:textId="77777777" w:rsidR="009B5E39" w:rsidRPr="001335C7" w:rsidRDefault="009B5E39" w:rsidP="00190E4A">
            <w:pPr>
              <w:jc w:val="both"/>
              <w:rPr>
                <w:rFonts w:ascii="Gotham" w:hAnsi="Gotham" w:cs="Arial"/>
                <w:sz w:val="18"/>
                <w:szCs w:val="18"/>
              </w:rPr>
            </w:pPr>
          </w:p>
          <w:p w14:paraId="3A4762AE"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XII. Implementar medidas especiales de carácter temporal que permitan brindar apoyo a las mujeres en general, con mayor énfasis en las áreas rurales y a los grupos que se encuentran en estado de vulnerabilidad, para promover acciones para la igualdad de oportunidades que les permitan desarrollarse con independencia y plenitud;</w:t>
            </w:r>
          </w:p>
          <w:p w14:paraId="3A4762AF" w14:textId="77777777" w:rsidR="009B5E39" w:rsidRPr="001335C7" w:rsidRDefault="009B5E39" w:rsidP="00190E4A">
            <w:pPr>
              <w:widowControl w:val="0"/>
              <w:ind w:right="40"/>
              <w:jc w:val="both"/>
              <w:rPr>
                <w:rFonts w:ascii="Gotham" w:hAnsi="Gotham" w:cs="Arial"/>
                <w:sz w:val="18"/>
                <w:szCs w:val="18"/>
              </w:rPr>
            </w:pPr>
          </w:p>
          <w:p w14:paraId="3A4762B0"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w:t>
            </w:r>
          </w:p>
        </w:tc>
      </w:tr>
      <w:tr w:rsidR="009B5E39" w:rsidRPr="001335C7" w14:paraId="3A4762C5" w14:textId="77777777" w:rsidTr="00190E4A">
        <w:tc>
          <w:tcPr>
            <w:tcW w:w="4898" w:type="dxa"/>
            <w:shd w:val="clear" w:color="auto" w:fill="auto"/>
          </w:tcPr>
          <w:p w14:paraId="3A4762B2"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lastRenderedPageBreak/>
              <w:t>Artículo 47 Al Instituto Municipal de la Mujer para la Igualdad Sustantiva……</w:t>
            </w:r>
          </w:p>
          <w:p w14:paraId="3A4762B3" w14:textId="77777777" w:rsidR="009B5E39" w:rsidRPr="001335C7" w:rsidRDefault="009B5E39" w:rsidP="00190E4A">
            <w:pPr>
              <w:widowControl w:val="0"/>
              <w:ind w:right="40"/>
              <w:jc w:val="both"/>
              <w:rPr>
                <w:rFonts w:ascii="Gotham" w:hAnsi="Gotham" w:cs="Arial"/>
                <w:sz w:val="18"/>
                <w:szCs w:val="18"/>
              </w:rPr>
            </w:pPr>
          </w:p>
          <w:p w14:paraId="3A4762B4"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 xml:space="preserve"> (...)</w:t>
            </w:r>
          </w:p>
          <w:p w14:paraId="3A4762B5" w14:textId="77777777" w:rsidR="009B5E39" w:rsidRPr="001335C7" w:rsidRDefault="009B5E39" w:rsidP="00190E4A">
            <w:pPr>
              <w:widowControl w:val="0"/>
              <w:ind w:right="40"/>
              <w:jc w:val="both"/>
              <w:rPr>
                <w:rFonts w:ascii="Gotham" w:hAnsi="Gotham" w:cs="Arial"/>
                <w:sz w:val="18"/>
                <w:szCs w:val="18"/>
              </w:rPr>
            </w:pPr>
          </w:p>
          <w:p w14:paraId="3A4762B6" w14:textId="77777777" w:rsidR="009B5E39" w:rsidRPr="001335C7" w:rsidRDefault="009B5E39" w:rsidP="00190E4A">
            <w:pPr>
              <w:widowControl w:val="0"/>
              <w:ind w:right="40"/>
              <w:jc w:val="both"/>
              <w:rPr>
                <w:rFonts w:ascii="Gotham" w:hAnsi="Gotham" w:cs="Arial"/>
                <w:sz w:val="18"/>
                <w:szCs w:val="18"/>
                <w:highlight w:val="yellow"/>
              </w:rPr>
            </w:pPr>
            <w:r w:rsidRPr="001335C7">
              <w:rPr>
                <w:rFonts w:ascii="Gotham" w:hAnsi="Gotham" w:cs="Arial"/>
                <w:sz w:val="18"/>
                <w:szCs w:val="18"/>
              </w:rPr>
              <w:t>II. Fomentar que las políticas, programas, planes, proyectos y acciones municipales implementen una cultura de respeto a la igualdad sustantiva</w:t>
            </w:r>
            <w:r w:rsidRPr="001335C7">
              <w:rPr>
                <w:rFonts w:ascii="Gotham" w:hAnsi="Gotham" w:cs="Arial"/>
                <w:sz w:val="18"/>
                <w:szCs w:val="18"/>
                <w:highlight w:val="yellow"/>
              </w:rPr>
              <w:t xml:space="preserve"> entre mujeres y hombres; </w:t>
            </w:r>
          </w:p>
          <w:p w14:paraId="3A4762B7" w14:textId="77777777" w:rsidR="009B5E39" w:rsidRPr="001335C7" w:rsidRDefault="009B5E39" w:rsidP="00190E4A">
            <w:pPr>
              <w:widowControl w:val="0"/>
              <w:ind w:right="40"/>
              <w:jc w:val="both"/>
              <w:rPr>
                <w:rFonts w:ascii="Gotham" w:hAnsi="Gotham" w:cs="Arial"/>
                <w:sz w:val="18"/>
                <w:szCs w:val="18"/>
              </w:rPr>
            </w:pPr>
          </w:p>
          <w:p w14:paraId="3A4762B8"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 xml:space="preserve">IV. Llevar a cabo la evaluación y una metodología específica para determinar que los resultados de las políticas públicas y los programas estén realmente abonando a garantizar el derecho de igualdad sustantiva </w:t>
            </w:r>
            <w:r w:rsidRPr="001335C7">
              <w:rPr>
                <w:rFonts w:ascii="Gotham" w:hAnsi="Gotham" w:cs="Arial"/>
                <w:sz w:val="18"/>
                <w:szCs w:val="18"/>
                <w:highlight w:val="yellow"/>
              </w:rPr>
              <w:t>entre mujeres y hombres</w:t>
            </w:r>
            <w:r w:rsidRPr="001335C7">
              <w:rPr>
                <w:rFonts w:ascii="Gotham" w:hAnsi="Gotham" w:cs="Arial"/>
                <w:sz w:val="18"/>
                <w:szCs w:val="18"/>
              </w:rPr>
              <w:t>;</w:t>
            </w:r>
          </w:p>
          <w:p w14:paraId="3A4762B9" w14:textId="77777777" w:rsidR="009B5E39" w:rsidRPr="001335C7" w:rsidRDefault="009B5E39" w:rsidP="00190E4A">
            <w:pPr>
              <w:widowControl w:val="0"/>
              <w:ind w:right="40"/>
              <w:jc w:val="both"/>
              <w:rPr>
                <w:rFonts w:ascii="Gotham" w:hAnsi="Gotham" w:cs="Arial"/>
                <w:sz w:val="18"/>
                <w:szCs w:val="18"/>
              </w:rPr>
            </w:pPr>
          </w:p>
          <w:p w14:paraId="3A4762BA"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V. Establecer acciones de coordinación entre las dependencias y organismos municipales a fin de capacitar en materia de igualdad sustantiva, así como promover la impartición de cursos de formación sobre la igualdad de trato y oportunidades entre</w:t>
            </w:r>
            <w:r w:rsidRPr="001335C7">
              <w:rPr>
                <w:rFonts w:ascii="Gotham" w:hAnsi="Gotham" w:cs="Arial"/>
                <w:sz w:val="18"/>
                <w:szCs w:val="18"/>
                <w:highlight w:val="yellow"/>
              </w:rPr>
              <w:t xml:space="preserve"> mujeres y hombres</w:t>
            </w:r>
            <w:r w:rsidRPr="001335C7">
              <w:rPr>
                <w:rFonts w:ascii="Gotham" w:hAnsi="Gotham" w:cs="Arial"/>
                <w:sz w:val="18"/>
                <w:szCs w:val="18"/>
              </w:rPr>
              <w:t xml:space="preserve"> a la población en general;</w:t>
            </w:r>
          </w:p>
          <w:p w14:paraId="3A4762BB" w14:textId="77777777" w:rsidR="009B5E39" w:rsidRPr="001335C7" w:rsidRDefault="009B5E39" w:rsidP="00190E4A">
            <w:pPr>
              <w:widowControl w:val="0"/>
              <w:ind w:right="40"/>
              <w:jc w:val="both"/>
              <w:rPr>
                <w:rFonts w:ascii="Gotham" w:hAnsi="Gotham" w:cs="Arial"/>
                <w:b/>
                <w:sz w:val="18"/>
                <w:szCs w:val="18"/>
                <w:highlight w:val="cyan"/>
              </w:rPr>
            </w:pPr>
          </w:p>
          <w:p w14:paraId="3A4762BC" w14:textId="77777777" w:rsidR="009B5E39" w:rsidRPr="001335C7" w:rsidRDefault="009B5E39" w:rsidP="00190E4A">
            <w:pPr>
              <w:widowControl w:val="0"/>
              <w:ind w:right="40"/>
              <w:jc w:val="both"/>
              <w:rPr>
                <w:rFonts w:ascii="Gotham" w:hAnsi="Gotham" w:cs="Arial"/>
                <w:b/>
                <w:sz w:val="18"/>
                <w:szCs w:val="18"/>
              </w:rPr>
            </w:pPr>
            <w:r w:rsidRPr="001335C7">
              <w:rPr>
                <w:rFonts w:ascii="Gotham" w:hAnsi="Gotham" w:cs="Arial"/>
                <w:b/>
                <w:sz w:val="18"/>
                <w:szCs w:val="18"/>
              </w:rPr>
              <w:t>(...)</w:t>
            </w:r>
          </w:p>
          <w:p w14:paraId="3A4762BD" w14:textId="77777777" w:rsidR="009B5E39" w:rsidRPr="001335C7" w:rsidRDefault="009B5E39" w:rsidP="00190E4A">
            <w:pPr>
              <w:widowControl w:val="0"/>
              <w:ind w:right="40"/>
              <w:jc w:val="both"/>
              <w:rPr>
                <w:rFonts w:ascii="Gotham" w:hAnsi="Gotham" w:cs="Arial"/>
                <w:b/>
                <w:sz w:val="18"/>
                <w:szCs w:val="18"/>
                <w:highlight w:val="cyan"/>
              </w:rPr>
            </w:pPr>
          </w:p>
        </w:tc>
        <w:tc>
          <w:tcPr>
            <w:tcW w:w="4899" w:type="dxa"/>
            <w:shd w:val="clear" w:color="auto" w:fill="auto"/>
          </w:tcPr>
          <w:p w14:paraId="3A4762BE"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II. Fomentar que las políticas, programas, planes, proyectos y acciones municipales implementen una cultura de respeto a la igualdad sustantiva;</w:t>
            </w:r>
          </w:p>
          <w:p w14:paraId="3A4762BF" w14:textId="77777777" w:rsidR="009B5E39" w:rsidRPr="001335C7" w:rsidRDefault="009B5E39" w:rsidP="00190E4A">
            <w:pPr>
              <w:jc w:val="both"/>
              <w:rPr>
                <w:rFonts w:ascii="Gotham" w:hAnsi="Gotham" w:cs="Arial"/>
                <w:sz w:val="18"/>
                <w:szCs w:val="18"/>
              </w:rPr>
            </w:pPr>
          </w:p>
          <w:p w14:paraId="3A4762C0"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IV. Llevar a cabo la evaluación y una metodología específica para determinar que los resultados de las políticas públicas y los programas estén realmente abonando a garantizar el derecho de igualdad sustantiva;</w:t>
            </w:r>
          </w:p>
          <w:p w14:paraId="3A4762C1" w14:textId="77777777" w:rsidR="009B5E39" w:rsidRPr="001335C7" w:rsidRDefault="009B5E39" w:rsidP="00190E4A">
            <w:pPr>
              <w:jc w:val="both"/>
              <w:rPr>
                <w:rFonts w:ascii="Gotham" w:hAnsi="Gotham" w:cs="Arial"/>
                <w:sz w:val="18"/>
                <w:szCs w:val="18"/>
              </w:rPr>
            </w:pPr>
          </w:p>
          <w:p w14:paraId="3A4762C2"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V. Establecer acciones de coordinación entre las dependencias y organismos municipales a fin de capacitar en materia de igualdad sustantiva, así como promover la impartición de cursos de formación sobre la igualdad de trato y oportunidades entre </w:t>
            </w:r>
            <w:r w:rsidRPr="001335C7">
              <w:rPr>
                <w:rFonts w:ascii="Gotham" w:hAnsi="Gotham" w:cs="Arial"/>
                <w:sz w:val="18"/>
                <w:szCs w:val="18"/>
                <w:highlight w:val="cyan"/>
              </w:rPr>
              <w:t>personas,</w:t>
            </w:r>
            <w:r w:rsidRPr="001335C7">
              <w:rPr>
                <w:rFonts w:ascii="Gotham" w:hAnsi="Gotham" w:cs="Arial"/>
                <w:sz w:val="18"/>
                <w:szCs w:val="18"/>
              </w:rPr>
              <w:t xml:space="preserve"> a la población en general;</w:t>
            </w:r>
          </w:p>
          <w:p w14:paraId="3A4762C3" w14:textId="77777777" w:rsidR="009B5E39" w:rsidRPr="001335C7" w:rsidRDefault="009B5E39" w:rsidP="00190E4A">
            <w:pPr>
              <w:jc w:val="both"/>
              <w:rPr>
                <w:rFonts w:ascii="Gotham" w:hAnsi="Gotham" w:cs="Arial"/>
                <w:sz w:val="18"/>
                <w:szCs w:val="18"/>
              </w:rPr>
            </w:pPr>
          </w:p>
          <w:p w14:paraId="3A4762C4"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b/>
                <w:sz w:val="18"/>
                <w:szCs w:val="18"/>
              </w:rPr>
              <w:t>(...)</w:t>
            </w:r>
          </w:p>
        </w:tc>
      </w:tr>
      <w:tr w:rsidR="009B5E39" w:rsidRPr="001335C7" w14:paraId="3A4762CB" w14:textId="77777777" w:rsidTr="00190E4A">
        <w:tc>
          <w:tcPr>
            <w:tcW w:w="4898" w:type="dxa"/>
            <w:shd w:val="clear" w:color="auto" w:fill="auto"/>
          </w:tcPr>
          <w:p w14:paraId="3A4762C6" w14:textId="77777777" w:rsidR="009B5E39" w:rsidRPr="001335C7" w:rsidRDefault="009B5E39" w:rsidP="00190E4A">
            <w:pPr>
              <w:jc w:val="both"/>
              <w:rPr>
                <w:rFonts w:ascii="Gotham" w:hAnsi="Gotham" w:cs="Arial"/>
                <w:b/>
                <w:sz w:val="18"/>
                <w:szCs w:val="18"/>
              </w:rPr>
            </w:pPr>
          </w:p>
          <w:p w14:paraId="3A4762C7"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53.- </w:t>
            </w:r>
            <w:r w:rsidRPr="001335C7">
              <w:rPr>
                <w:rFonts w:ascii="Gotham" w:hAnsi="Gotham" w:cs="Arial"/>
                <w:sz w:val="18"/>
                <w:szCs w:val="18"/>
              </w:rPr>
              <w:t xml:space="preserve">El Sistema Municipal para la Igualdad Sustantiva entre Mujeres y Hombres es el conjunto articulado de estructuras, relaciones funcionales, métodos y procedimientos que establecen las dependencias y organismos de la Administración Pública Municipal con el objetivo de promover y </w:t>
            </w:r>
            <w:r w:rsidRPr="001335C7">
              <w:rPr>
                <w:rFonts w:ascii="Gotham" w:hAnsi="Gotham" w:cs="Arial"/>
                <w:sz w:val="18"/>
                <w:szCs w:val="18"/>
              </w:rPr>
              <w:lastRenderedPageBreak/>
              <w:t xml:space="preserve">procurar el derecho de igualdad </w:t>
            </w:r>
            <w:r w:rsidRPr="001335C7">
              <w:rPr>
                <w:rFonts w:ascii="Gotham" w:hAnsi="Gotham" w:cs="Arial"/>
                <w:sz w:val="18"/>
                <w:szCs w:val="18"/>
                <w:highlight w:val="yellow"/>
              </w:rPr>
              <w:t>entre mujeres y hombres</w:t>
            </w:r>
            <w:r w:rsidRPr="001335C7">
              <w:rPr>
                <w:rFonts w:ascii="Gotham" w:hAnsi="Gotham" w:cs="Arial"/>
                <w:sz w:val="18"/>
                <w:szCs w:val="18"/>
              </w:rPr>
              <w:t>.</w:t>
            </w:r>
          </w:p>
        </w:tc>
        <w:tc>
          <w:tcPr>
            <w:tcW w:w="4899" w:type="dxa"/>
            <w:shd w:val="clear" w:color="auto" w:fill="auto"/>
          </w:tcPr>
          <w:p w14:paraId="3A4762C8" w14:textId="77777777" w:rsidR="009B5E39" w:rsidRPr="001335C7" w:rsidRDefault="009B5E39" w:rsidP="00190E4A">
            <w:pPr>
              <w:jc w:val="both"/>
              <w:rPr>
                <w:rFonts w:ascii="Gotham" w:hAnsi="Gotham" w:cs="Arial"/>
                <w:b/>
                <w:sz w:val="18"/>
                <w:szCs w:val="18"/>
              </w:rPr>
            </w:pPr>
          </w:p>
          <w:p w14:paraId="3A4762C9" w14:textId="77777777" w:rsidR="009B5E39" w:rsidRPr="001335C7" w:rsidRDefault="009B5E39" w:rsidP="00190E4A">
            <w:pPr>
              <w:jc w:val="both"/>
              <w:rPr>
                <w:rFonts w:ascii="Gotham" w:hAnsi="Gotham" w:cs="Arial"/>
                <w:sz w:val="18"/>
                <w:szCs w:val="18"/>
                <w:highlight w:val="cyan"/>
              </w:rPr>
            </w:pPr>
            <w:r w:rsidRPr="001335C7">
              <w:rPr>
                <w:rFonts w:ascii="Gotham" w:hAnsi="Gotham" w:cs="Arial"/>
                <w:b/>
                <w:sz w:val="18"/>
                <w:szCs w:val="18"/>
              </w:rPr>
              <w:t xml:space="preserve">Artículo 53.- </w:t>
            </w:r>
            <w:r w:rsidRPr="001335C7">
              <w:rPr>
                <w:rFonts w:ascii="Gotham" w:hAnsi="Gotham" w:cs="Arial"/>
                <w:sz w:val="18"/>
                <w:szCs w:val="18"/>
              </w:rPr>
              <w:t xml:space="preserve">El Sistema Municipal para la Igualdad Sustantiva entre Mujeres y Hombres es el conjunto articulado de estructuras, relaciones funcionales, métodos y procedimientos que establecen las dependencias y organismos de la Administración Pública Municipal con el objetivo de promover y procurar el derecho </w:t>
            </w:r>
            <w:r w:rsidRPr="001335C7">
              <w:rPr>
                <w:rFonts w:ascii="Gotham" w:hAnsi="Gotham" w:cs="Arial"/>
                <w:sz w:val="18"/>
                <w:szCs w:val="18"/>
                <w:highlight w:val="cyan"/>
              </w:rPr>
              <w:t>a la</w:t>
            </w:r>
            <w:r w:rsidRPr="001335C7">
              <w:rPr>
                <w:rFonts w:ascii="Gotham" w:hAnsi="Gotham" w:cs="Arial"/>
                <w:sz w:val="18"/>
                <w:szCs w:val="18"/>
              </w:rPr>
              <w:t xml:space="preserve"> igualdad </w:t>
            </w:r>
            <w:r w:rsidRPr="001335C7">
              <w:rPr>
                <w:rFonts w:ascii="Gotham" w:hAnsi="Gotham" w:cs="Arial"/>
                <w:sz w:val="18"/>
                <w:szCs w:val="18"/>
                <w:highlight w:val="cyan"/>
              </w:rPr>
              <w:t>sustantiva</w:t>
            </w:r>
            <w:r w:rsidRPr="001335C7">
              <w:rPr>
                <w:rFonts w:ascii="Gotham" w:hAnsi="Gotham" w:cs="Arial"/>
                <w:sz w:val="18"/>
                <w:szCs w:val="18"/>
              </w:rPr>
              <w:t xml:space="preserve">. </w:t>
            </w:r>
          </w:p>
          <w:p w14:paraId="3A4762CA" w14:textId="77777777" w:rsidR="009B5E39" w:rsidRPr="001335C7" w:rsidRDefault="009B5E39" w:rsidP="00190E4A">
            <w:pPr>
              <w:jc w:val="both"/>
              <w:rPr>
                <w:rFonts w:ascii="Gotham" w:hAnsi="Gotham" w:cs="Arial"/>
                <w:b/>
                <w:sz w:val="18"/>
                <w:szCs w:val="18"/>
              </w:rPr>
            </w:pPr>
          </w:p>
        </w:tc>
      </w:tr>
      <w:tr w:rsidR="009B5E39" w:rsidRPr="001335C7" w14:paraId="3A476313" w14:textId="77777777" w:rsidTr="00190E4A">
        <w:tc>
          <w:tcPr>
            <w:tcW w:w="4898" w:type="dxa"/>
            <w:shd w:val="clear" w:color="auto" w:fill="auto"/>
          </w:tcPr>
          <w:p w14:paraId="3A4762CC" w14:textId="77777777" w:rsidR="009B5E39" w:rsidRPr="001335C7" w:rsidRDefault="009B5E39" w:rsidP="00190E4A">
            <w:pPr>
              <w:widowControl w:val="0"/>
              <w:ind w:right="40"/>
              <w:jc w:val="both"/>
              <w:rPr>
                <w:rFonts w:ascii="Gotham" w:hAnsi="Gotham" w:cs="Arial"/>
                <w:b/>
                <w:sz w:val="18"/>
                <w:szCs w:val="18"/>
              </w:rPr>
            </w:pPr>
          </w:p>
          <w:p w14:paraId="3A4762CD"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b/>
                <w:sz w:val="18"/>
                <w:szCs w:val="18"/>
              </w:rPr>
              <w:t>Artículo 54.-</w:t>
            </w:r>
            <w:r w:rsidRPr="001335C7">
              <w:rPr>
                <w:rFonts w:ascii="Gotham" w:hAnsi="Gotham" w:cs="Arial"/>
                <w:sz w:val="18"/>
                <w:szCs w:val="18"/>
              </w:rPr>
              <w:t xml:space="preserve"> El Sistema Municipal para la Igualdad Sustantiva entre Mujeres y Hombres estará integrado por las o los titulares de:</w:t>
            </w:r>
          </w:p>
          <w:p w14:paraId="3A4762CE" w14:textId="77777777" w:rsidR="009B5E39" w:rsidRPr="001335C7" w:rsidRDefault="009B5E39" w:rsidP="00190E4A">
            <w:pPr>
              <w:widowControl w:val="0"/>
              <w:ind w:right="40"/>
              <w:jc w:val="both"/>
              <w:rPr>
                <w:rFonts w:ascii="Gotham" w:hAnsi="Gotham" w:cs="Arial"/>
                <w:sz w:val="18"/>
                <w:szCs w:val="18"/>
              </w:rPr>
            </w:pPr>
          </w:p>
          <w:p w14:paraId="3A4762CF"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w:t>
            </w:r>
          </w:p>
          <w:p w14:paraId="3A4762D0" w14:textId="77777777" w:rsidR="009B5E39" w:rsidRPr="001335C7" w:rsidRDefault="009B5E39" w:rsidP="00190E4A">
            <w:pPr>
              <w:widowControl w:val="0"/>
              <w:ind w:right="40"/>
              <w:jc w:val="both"/>
              <w:rPr>
                <w:rFonts w:ascii="Gotham" w:hAnsi="Gotham" w:cs="Arial"/>
                <w:sz w:val="18"/>
                <w:szCs w:val="18"/>
              </w:rPr>
            </w:pPr>
          </w:p>
          <w:p w14:paraId="3A4762D1" w14:textId="77777777" w:rsidR="009B5E39" w:rsidRPr="001335C7" w:rsidRDefault="009B5E39" w:rsidP="00190E4A">
            <w:pPr>
              <w:widowControl w:val="0"/>
              <w:ind w:right="40"/>
              <w:jc w:val="both"/>
              <w:rPr>
                <w:rFonts w:ascii="Gotham" w:hAnsi="Gotham" w:cs="Arial"/>
                <w:sz w:val="18"/>
                <w:szCs w:val="18"/>
              </w:rPr>
            </w:pPr>
          </w:p>
          <w:p w14:paraId="3A4762D2"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IV. Regidora integrante de la Comisión Edilicia de Gobernación, designada por acuerdo interno de la Comisión;</w:t>
            </w:r>
          </w:p>
          <w:p w14:paraId="3A4762D3" w14:textId="77777777" w:rsidR="009B5E39" w:rsidRPr="001335C7" w:rsidRDefault="009B5E39" w:rsidP="00190E4A">
            <w:pPr>
              <w:widowControl w:val="0"/>
              <w:ind w:right="40"/>
              <w:jc w:val="both"/>
              <w:rPr>
                <w:rFonts w:ascii="Gotham" w:hAnsi="Gotham" w:cs="Arial"/>
                <w:sz w:val="18"/>
                <w:szCs w:val="18"/>
              </w:rPr>
            </w:pPr>
          </w:p>
          <w:p w14:paraId="3A4762D4" w14:textId="77777777" w:rsidR="009B5E39" w:rsidRPr="001335C7" w:rsidRDefault="009B5E39" w:rsidP="00190E4A">
            <w:pPr>
              <w:widowControl w:val="0"/>
              <w:ind w:right="40"/>
              <w:jc w:val="both"/>
              <w:rPr>
                <w:rFonts w:ascii="Gotham" w:hAnsi="Gotham" w:cs="Arial"/>
                <w:sz w:val="18"/>
                <w:szCs w:val="18"/>
              </w:rPr>
            </w:pPr>
          </w:p>
          <w:p w14:paraId="3A4762D5" w14:textId="77777777" w:rsidR="009B5E39" w:rsidRPr="001335C7" w:rsidRDefault="009B5E39" w:rsidP="00190E4A">
            <w:pPr>
              <w:widowControl w:val="0"/>
              <w:ind w:right="40"/>
              <w:jc w:val="both"/>
              <w:rPr>
                <w:rFonts w:ascii="Gotham" w:hAnsi="Gotham" w:cs="Arial"/>
                <w:sz w:val="18"/>
                <w:szCs w:val="18"/>
              </w:rPr>
            </w:pPr>
          </w:p>
          <w:p w14:paraId="3A4762D6"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V. Regidora integrante de la Comisión Edilicia de</w:t>
            </w:r>
          </w:p>
          <w:p w14:paraId="3A4762D7"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Bienestar y Desarrollo Social, designada por acuerdo interno de la Comisión;</w:t>
            </w:r>
          </w:p>
          <w:p w14:paraId="3A4762D8" w14:textId="77777777" w:rsidR="009B5E39" w:rsidRPr="001335C7" w:rsidRDefault="009B5E39" w:rsidP="00190E4A">
            <w:pPr>
              <w:widowControl w:val="0"/>
              <w:ind w:right="40"/>
              <w:jc w:val="both"/>
              <w:rPr>
                <w:rFonts w:ascii="Gotham" w:hAnsi="Gotham" w:cs="Arial"/>
                <w:sz w:val="18"/>
                <w:szCs w:val="18"/>
              </w:rPr>
            </w:pPr>
          </w:p>
          <w:p w14:paraId="3A4762D9" w14:textId="77777777" w:rsidR="009B5E39" w:rsidRPr="001335C7" w:rsidRDefault="009B5E39" w:rsidP="00190E4A">
            <w:pPr>
              <w:widowControl w:val="0"/>
              <w:ind w:right="40"/>
              <w:jc w:val="both"/>
              <w:rPr>
                <w:rFonts w:ascii="Gotham" w:hAnsi="Gotham" w:cs="Arial"/>
                <w:sz w:val="18"/>
                <w:szCs w:val="18"/>
              </w:rPr>
            </w:pPr>
          </w:p>
          <w:p w14:paraId="3A4762DA" w14:textId="77777777" w:rsidR="009B5E39" w:rsidRPr="001335C7" w:rsidRDefault="009B5E39" w:rsidP="00190E4A">
            <w:pPr>
              <w:widowControl w:val="0"/>
              <w:ind w:right="40"/>
              <w:jc w:val="both"/>
              <w:rPr>
                <w:rFonts w:ascii="Gotham" w:hAnsi="Gotham" w:cs="Arial"/>
                <w:sz w:val="18"/>
                <w:szCs w:val="18"/>
              </w:rPr>
            </w:pPr>
          </w:p>
          <w:p w14:paraId="3A4762DB"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VI. Regidora integrante de la Comisión Edilicia de Reglamentos y Puntos Constitucionales, designada por acuerdo interno de la Comisión;</w:t>
            </w:r>
          </w:p>
          <w:p w14:paraId="3A4762DC" w14:textId="77777777" w:rsidR="009B5E39" w:rsidRPr="001335C7" w:rsidRDefault="009B5E39" w:rsidP="00190E4A">
            <w:pPr>
              <w:widowControl w:val="0"/>
              <w:ind w:right="40"/>
              <w:jc w:val="both"/>
              <w:rPr>
                <w:rFonts w:ascii="Gotham" w:hAnsi="Gotham" w:cs="Arial"/>
                <w:sz w:val="18"/>
                <w:szCs w:val="18"/>
              </w:rPr>
            </w:pPr>
          </w:p>
          <w:p w14:paraId="3A4762DD" w14:textId="77777777" w:rsidR="009B5E39" w:rsidRPr="001335C7" w:rsidRDefault="009B5E39" w:rsidP="00190E4A">
            <w:pPr>
              <w:widowControl w:val="0"/>
              <w:ind w:right="40"/>
              <w:jc w:val="both"/>
              <w:rPr>
                <w:rFonts w:ascii="Gotham" w:hAnsi="Gotham" w:cs="Arial"/>
                <w:sz w:val="18"/>
                <w:szCs w:val="18"/>
              </w:rPr>
            </w:pPr>
          </w:p>
          <w:p w14:paraId="3A4762DE"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VII</w:t>
            </w:r>
            <w:r w:rsidRPr="001335C7">
              <w:rPr>
                <w:rFonts w:ascii="Gotham" w:hAnsi="Gotham" w:cs="Arial"/>
                <w:sz w:val="18"/>
                <w:szCs w:val="18"/>
                <w:highlight w:val="yellow"/>
              </w:rPr>
              <w:t>. La Coordinación General de Participación Ciudadana y Construcción de Comunidad</w:t>
            </w:r>
            <w:r w:rsidRPr="001335C7">
              <w:rPr>
                <w:rFonts w:ascii="Gotham" w:hAnsi="Gotham" w:cs="Arial"/>
                <w:sz w:val="18"/>
                <w:szCs w:val="18"/>
              </w:rPr>
              <w:t>;</w:t>
            </w:r>
          </w:p>
          <w:p w14:paraId="3A4762DF" w14:textId="77777777" w:rsidR="009B5E39" w:rsidRPr="001335C7" w:rsidRDefault="009B5E39" w:rsidP="00190E4A">
            <w:pPr>
              <w:widowControl w:val="0"/>
              <w:ind w:right="40"/>
              <w:jc w:val="both"/>
              <w:rPr>
                <w:rFonts w:ascii="Gotham" w:hAnsi="Gotham" w:cs="Arial"/>
                <w:sz w:val="18"/>
                <w:szCs w:val="18"/>
              </w:rPr>
            </w:pPr>
          </w:p>
          <w:p w14:paraId="3A4762E0" w14:textId="77777777" w:rsidR="009B5E39" w:rsidRPr="001335C7" w:rsidRDefault="009B5E39" w:rsidP="00190E4A">
            <w:pPr>
              <w:widowControl w:val="0"/>
              <w:ind w:right="40"/>
              <w:jc w:val="both"/>
              <w:rPr>
                <w:rFonts w:ascii="Gotham" w:hAnsi="Gotham" w:cs="Arial"/>
                <w:sz w:val="18"/>
                <w:szCs w:val="18"/>
              </w:rPr>
            </w:pPr>
          </w:p>
          <w:p w14:paraId="3A4762E1"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 xml:space="preserve">VIII. </w:t>
            </w:r>
            <w:r w:rsidRPr="001335C7">
              <w:rPr>
                <w:rFonts w:ascii="Gotham" w:hAnsi="Gotham" w:cs="Arial"/>
                <w:sz w:val="18"/>
                <w:szCs w:val="18"/>
                <w:highlight w:val="yellow"/>
              </w:rPr>
              <w:t>La Coordinación General de Desarrollo Económico y Combate a la Desigualdad;</w:t>
            </w:r>
          </w:p>
          <w:p w14:paraId="3A4762E2" w14:textId="77777777" w:rsidR="009B5E39" w:rsidRPr="001335C7" w:rsidRDefault="009B5E39" w:rsidP="00190E4A">
            <w:pPr>
              <w:widowControl w:val="0"/>
              <w:ind w:right="40"/>
              <w:jc w:val="both"/>
              <w:rPr>
                <w:rFonts w:ascii="Gotham" w:hAnsi="Gotham" w:cs="Arial"/>
                <w:sz w:val="18"/>
                <w:szCs w:val="18"/>
              </w:rPr>
            </w:pPr>
          </w:p>
          <w:p w14:paraId="3A4762E3"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 xml:space="preserve">IX. </w:t>
            </w:r>
            <w:r w:rsidRPr="001335C7">
              <w:rPr>
                <w:rFonts w:ascii="Gotham" w:hAnsi="Gotham" w:cs="Arial"/>
                <w:sz w:val="18"/>
                <w:szCs w:val="18"/>
                <w:highlight w:val="yellow"/>
              </w:rPr>
              <w:t>La Comisaría de la Policía Preventiva Municipal;</w:t>
            </w:r>
          </w:p>
          <w:p w14:paraId="3A4762E4" w14:textId="77777777" w:rsidR="009B5E39" w:rsidRPr="001335C7" w:rsidRDefault="009B5E39" w:rsidP="00190E4A">
            <w:pPr>
              <w:widowControl w:val="0"/>
              <w:ind w:right="40"/>
              <w:jc w:val="both"/>
              <w:rPr>
                <w:rFonts w:ascii="Gotham" w:hAnsi="Gotham" w:cs="Arial"/>
                <w:sz w:val="18"/>
                <w:szCs w:val="18"/>
              </w:rPr>
            </w:pPr>
          </w:p>
          <w:p w14:paraId="3A4762E5" w14:textId="77777777" w:rsidR="009B5E39" w:rsidRPr="001335C7" w:rsidRDefault="009B5E39" w:rsidP="00190E4A">
            <w:pPr>
              <w:widowControl w:val="0"/>
              <w:ind w:right="40"/>
              <w:jc w:val="both"/>
              <w:rPr>
                <w:rFonts w:ascii="Gotham" w:hAnsi="Gotham" w:cs="Arial"/>
                <w:sz w:val="18"/>
                <w:szCs w:val="18"/>
              </w:rPr>
            </w:pPr>
            <w:r w:rsidRPr="001335C7">
              <w:rPr>
                <w:rFonts w:ascii="Gotham" w:hAnsi="Gotham" w:cs="Arial"/>
                <w:sz w:val="18"/>
                <w:szCs w:val="18"/>
              </w:rPr>
              <w:t xml:space="preserve">X. </w:t>
            </w:r>
            <w:r w:rsidRPr="001335C7">
              <w:rPr>
                <w:rFonts w:ascii="Gotham" w:hAnsi="Gotham" w:cs="Arial"/>
                <w:sz w:val="18"/>
                <w:szCs w:val="18"/>
                <w:highlight w:val="yellow"/>
              </w:rPr>
              <w:t>La Tesorería Municipal; y</w:t>
            </w:r>
          </w:p>
          <w:p w14:paraId="3A4762E6" w14:textId="77777777" w:rsidR="009B5E39" w:rsidRPr="001335C7" w:rsidRDefault="009B5E39" w:rsidP="00190E4A">
            <w:pPr>
              <w:widowControl w:val="0"/>
              <w:ind w:right="40"/>
              <w:jc w:val="both"/>
              <w:rPr>
                <w:rFonts w:ascii="Gotham" w:hAnsi="Gotham" w:cs="Arial"/>
                <w:sz w:val="18"/>
                <w:szCs w:val="18"/>
              </w:rPr>
            </w:pPr>
          </w:p>
          <w:p w14:paraId="3A4762E7" w14:textId="77777777" w:rsidR="009B5E39" w:rsidRPr="001335C7" w:rsidRDefault="009B5E39" w:rsidP="00190E4A">
            <w:pPr>
              <w:widowControl w:val="0"/>
              <w:ind w:right="40"/>
              <w:jc w:val="both"/>
              <w:rPr>
                <w:rFonts w:ascii="Gotham" w:hAnsi="Gotham" w:cs="Arial"/>
                <w:sz w:val="18"/>
                <w:szCs w:val="18"/>
                <w:highlight w:val="yellow"/>
              </w:rPr>
            </w:pPr>
            <w:r w:rsidRPr="001335C7">
              <w:rPr>
                <w:rFonts w:ascii="Gotham" w:hAnsi="Gotham" w:cs="Arial"/>
                <w:sz w:val="18"/>
                <w:szCs w:val="18"/>
              </w:rPr>
              <w:t xml:space="preserve">XI. </w:t>
            </w:r>
            <w:r w:rsidRPr="001335C7">
              <w:rPr>
                <w:rFonts w:ascii="Gotham" w:hAnsi="Gotham" w:cs="Arial"/>
                <w:sz w:val="18"/>
                <w:szCs w:val="18"/>
                <w:highlight w:val="yellow"/>
              </w:rPr>
              <w:t>La Jefatura de Planeación y Desarrollo Institucional;</w:t>
            </w:r>
          </w:p>
          <w:p w14:paraId="3A4762E8" w14:textId="77777777" w:rsidR="009B5E39" w:rsidRPr="001335C7" w:rsidRDefault="009B5E39" w:rsidP="00190E4A">
            <w:pPr>
              <w:widowControl w:val="0"/>
              <w:ind w:right="40"/>
              <w:jc w:val="both"/>
              <w:rPr>
                <w:rFonts w:ascii="Gotham" w:hAnsi="Gotham" w:cs="Arial"/>
                <w:sz w:val="18"/>
                <w:szCs w:val="18"/>
                <w:highlight w:val="yellow"/>
              </w:rPr>
            </w:pPr>
          </w:p>
          <w:p w14:paraId="3A4762E9"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sz w:val="18"/>
                <w:szCs w:val="18"/>
              </w:rPr>
              <w:t xml:space="preserve">Por cada uno de los integrantes del Sistema Municipal para la Igualdad Sustantiva entre Mujeres y Hombres se deberá nombrar un suplente, dichos integrantes tendrán derecho a voz y voto, con excepción de la Secretaria Ejecutiva quién sólo contará con derecho a voz. Estos nombramientos son de carácter honorífico y, por tanto, no remunerados. </w:t>
            </w:r>
          </w:p>
          <w:p w14:paraId="3A4762EA"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sz w:val="18"/>
                <w:szCs w:val="18"/>
              </w:rPr>
              <w:t xml:space="preserve">Por instrucción de la Presidencia del Sistema Municipal para la Igualdad Sustantiva entre Mujeres y Hombres podrá invitarse a titulares de otras dependencias ya sean de orden municipal, estatal o federal, instituciones públicas o privadas, académicos y demás personas especializadas en temas de la mujer e igualdad sustantiva y en cuyo caso, tendrán </w:t>
            </w:r>
            <w:r w:rsidRPr="001335C7">
              <w:rPr>
                <w:rFonts w:ascii="Gotham" w:hAnsi="Gotham" w:cs="Arial"/>
                <w:sz w:val="18"/>
                <w:szCs w:val="18"/>
              </w:rPr>
              <w:lastRenderedPageBreak/>
              <w:t xml:space="preserve">únicamente derecho a voz en las sesiones. </w:t>
            </w:r>
          </w:p>
          <w:p w14:paraId="3A4762EB" w14:textId="77777777" w:rsidR="009B5E39" w:rsidRPr="001335C7" w:rsidRDefault="009B5E39" w:rsidP="00190E4A">
            <w:pPr>
              <w:widowControl w:val="0"/>
              <w:ind w:right="40"/>
              <w:jc w:val="both"/>
              <w:rPr>
                <w:rFonts w:ascii="Gotham" w:hAnsi="Gotham" w:cs="Arial"/>
                <w:sz w:val="18"/>
                <w:szCs w:val="18"/>
                <w:highlight w:val="yellow"/>
              </w:rPr>
            </w:pPr>
          </w:p>
        </w:tc>
        <w:tc>
          <w:tcPr>
            <w:tcW w:w="4899" w:type="dxa"/>
            <w:shd w:val="clear" w:color="auto" w:fill="auto"/>
          </w:tcPr>
          <w:p w14:paraId="3A4762EC" w14:textId="77777777" w:rsidR="009B5E39" w:rsidRPr="001335C7" w:rsidRDefault="009B5E39" w:rsidP="00190E4A">
            <w:pPr>
              <w:jc w:val="both"/>
              <w:rPr>
                <w:rFonts w:ascii="Gotham" w:hAnsi="Gotham" w:cs="Arial"/>
                <w:b/>
                <w:sz w:val="18"/>
                <w:szCs w:val="18"/>
              </w:rPr>
            </w:pPr>
          </w:p>
          <w:p w14:paraId="3A4762ED"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54.-</w:t>
            </w:r>
            <w:r w:rsidRPr="001335C7">
              <w:rPr>
                <w:rFonts w:ascii="Gotham" w:hAnsi="Gotham" w:cs="Arial"/>
                <w:sz w:val="18"/>
                <w:szCs w:val="18"/>
              </w:rPr>
              <w:t xml:space="preserve"> El Sistema Municipal para la Igualdad Sustantiva entre Mujeres y Hombres estará integrado por las o los titulares de:</w:t>
            </w:r>
          </w:p>
          <w:p w14:paraId="3A4762EE" w14:textId="77777777" w:rsidR="009B5E39" w:rsidRPr="001335C7" w:rsidRDefault="009B5E39" w:rsidP="00190E4A">
            <w:pPr>
              <w:jc w:val="both"/>
              <w:rPr>
                <w:rFonts w:ascii="Gotham" w:hAnsi="Gotham" w:cs="Arial"/>
                <w:sz w:val="18"/>
                <w:szCs w:val="18"/>
              </w:rPr>
            </w:pPr>
          </w:p>
          <w:p w14:paraId="3A4762EF"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2F0" w14:textId="77777777" w:rsidR="009B5E39" w:rsidRPr="001335C7" w:rsidRDefault="009B5E39" w:rsidP="00190E4A">
            <w:pPr>
              <w:jc w:val="both"/>
              <w:rPr>
                <w:rFonts w:ascii="Gotham" w:hAnsi="Gotham" w:cs="Arial"/>
                <w:sz w:val="18"/>
                <w:szCs w:val="18"/>
              </w:rPr>
            </w:pPr>
          </w:p>
          <w:p w14:paraId="3A4762F1" w14:textId="77777777" w:rsidR="009B5E39" w:rsidRPr="001335C7" w:rsidRDefault="009B5E39" w:rsidP="00190E4A">
            <w:pPr>
              <w:jc w:val="both"/>
              <w:rPr>
                <w:rFonts w:ascii="Gotham" w:hAnsi="Gotham" w:cs="Arial"/>
                <w:sz w:val="18"/>
                <w:szCs w:val="18"/>
              </w:rPr>
            </w:pPr>
          </w:p>
          <w:p w14:paraId="3A4762F2"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IV. Regidora integrante de la Comisión Edilicia de</w:t>
            </w:r>
          </w:p>
          <w:p w14:paraId="3A4762F3"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rPr>
              <w:t>Gobernación</w:t>
            </w:r>
            <w:r w:rsidRPr="001335C7">
              <w:rPr>
                <w:rFonts w:ascii="Gotham" w:hAnsi="Gotham" w:cs="Arial"/>
                <w:sz w:val="18"/>
                <w:szCs w:val="18"/>
                <w:highlight w:val="cyan"/>
              </w:rPr>
              <w:t>, Justicia, Asuntos Metropolitanos y</w:t>
            </w:r>
          </w:p>
          <w:p w14:paraId="3A4762F4"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Fortalecimiento Municipal</w:t>
            </w:r>
            <w:r w:rsidRPr="001335C7">
              <w:rPr>
                <w:rFonts w:ascii="Gotham" w:hAnsi="Gotham" w:cs="Arial"/>
                <w:sz w:val="18"/>
                <w:szCs w:val="18"/>
              </w:rPr>
              <w:t>, designada por acuerdo interno de la Comisión;</w:t>
            </w:r>
          </w:p>
          <w:p w14:paraId="3A4762F5" w14:textId="77777777" w:rsidR="009B5E39" w:rsidRPr="001335C7" w:rsidRDefault="009B5E39" w:rsidP="00190E4A">
            <w:pPr>
              <w:jc w:val="both"/>
              <w:rPr>
                <w:rFonts w:ascii="Gotham" w:hAnsi="Gotham" w:cs="Arial"/>
                <w:sz w:val="18"/>
                <w:szCs w:val="18"/>
              </w:rPr>
            </w:pPr>
          </w:p>
          <w:p w14:paraId="3A4762F6"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V. Regidora integrante de la Comisión Edilicia de</w:t>
            </w:r>
          </w:p>
          <w:p w14:paraId="3A4762F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Bienestar, Desarrollo, </w:t>
            </w:r>
            <w:r w:rsidRPr="001335C7">
              <w:rPr>
                <w:rFonts w:ascii="Gotham" w:hAnsi="Gotham" w:cs="Arial"/>
                <w:sz w:val="18"/>
                <w:szCs w:val="18"/>
                <w:highlight w:val="cyan"/>
              </w:rPr>
              <w:t>Asistencia Social y Familiar,</w:t>
            </w:r>
            <w:r w:rsidRPr="001335C7">
              <w:rPr>
                <w:rFonts w:ascii="Gotham" w:hAnsi="Gotham" w:cs="Arial"/>
                <w:sz w:val="18"/>
                <w:szCs w:val="18"/>
              </w:rPr>
              <w:t xml:space="preserve"> designada por acuerdo interno de la Comisión;</w:t>
            </w:r>
          </w:p>
          <w:p w14:paraId="3A4762F8" w14:textId="77777777" w:rsidR="009B5E39" w:rsidRPr="001335C7" w:rsidRDefault="009B5E39" w:rsidP="00190E4A">
            <w:pPr>
              <w:jc w:val="both"/>
              <w:rPr>
                <w:rFonts w:ascii="Gotham" w:hAnsi="Gotham" w:cs="Arial"/>
                <w:sz w:val="18"/>
                <w:szCs w:val="18"/>
              </w:rPr>
            </w:pPr>
          </w:p>
          <w:p w14:paraId="3A4762F9"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VI. Regidora integrante de la Comisión Edilicia de</w:t>
            </w:r>
          </w:p>
          <w:p w14:paraId="3A4762FA"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Reglamentos, Puntos Constitucionales, </w:t>
            </w:r>
            <w:r w:rsidRPr="001335C7">
              <w:rPr>
                <w:rFonts w:ascii="Gotham" w:hAnsi="Gotham" w:cs="Arial"/>
                <w:sz w:val="18"/>
                <w:szCs w:val="18"/>
                <w:highlight w:val="cyan"/>
              </w:rPr>
              <w:t>Administración y Planeación Legislativa</w:t>
            </w:r>
            <w:r w:rsidRPr="001335C7">
              <w:rPr>
                <w:rFonts w:ascii="Gotham" w:hAnsi="Gotham" w:cs="Arial"/>
                <w:sz w:val="18"/>
                <w:szCs w:val="18"/>
              </w:rPr>
              <w:t xml:space="preserve"> designada por acuerdo interno de la Comisión;</w:t>
            </w:r>
          </w:p>
          <w:p w14:paraId="3A4762FB" w14:textId="77777777" w:rsidR="009B5E39" w:rsidRPr="001335C7" w:rsidRDefault="009B5E39" w:rsidP="00190E4A">
            <w:pPr>
              <w:jc w:val="both"/>
              <w:rPr>
                <w:rFonts w:ascii="Gotham" w:hAnsi="Gotham" w:cs="Arial"/>
                <w:sz w:val="18"/>
                <w:szCs w:val="18"/>
              </w:rPr>
            </w:pPr>
          </w:p>
          <w:p w14:paraId="3A4762FC"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VII. Regidora integrante de la Comisión Edilicia de Igualdad Sustantiva y Derechos Humanos, designada por acuerdo interno de la Comisión;</w:t>
            </w:r>
          </w:p>
          <w:p w14:paraId="3A4762FD" w14:textId="77777777" w:rsidR="009B5E39" w:rsidRPr="001335C7" w:rsidRDefault="009B5E39" w:rsidP="00190E4A">
            <w:pPr>
              <w:jc w:val="both"/>
              <w:rPr>
                <w:rFonts w:ascii="Gotham" w:hAnsi="Gotham" w:cs="Arial"/>
                <w:sz w:val="18"/>
                <w:szCs w:val="18"/>
              </w:rPr>
            </w:pPr>
          </w:p>
          <w:p w14:paraId="3A4762FE"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rPr>
              <w:t xml:space="preserve">VIII. </w:t>
            </w:r>
            <w:r w:rsidRPr="001335C7">
              <w:rPr>
                <w:rFonts w:ascii="Gotham" w:hAnsi="Gotham" w:cs="Arial"/>
                <w:sz w:val="18"/>
                <w:szCs w:val="18"/>
                <w:highlight w:val="cyan"/>
              </w:rPr>
              <w:t>Dirección General de Bienestar Social;</w:t>
            </w:r>
          </w:p>
          <w:p w14:paraId="3A4762FF" w14:textId="77777777" w:rsidR="009B5E39" w:rsidRPr="001335C7" w:rsidRDefault="009B5E39" w:rsidP="00190E4A">
            <w:pPr>
              <w:jc w:val="both"/>
              <w:rPr>
                <w:rFonts w:ascii="Gotham" w:hAnsi="Gotham" w:cs="Arial"/>
                <w:sz w:val="18"/>
                <w:szCs w:val="18"/>
              </w:rPr>
            </w:pPr>
          </w:p>
          <w:p w14:paraId="3A476300"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IX. </w:t>
            </w:r>
            <w:r w:rsidRPr="001335C7">
              <w:rPr>
                <w:rFonts w:ascii="Gotham" w:hAnsi="Gotham" w:cs="Arial"/>
                <w:sz w:val="18"/>
                <w:szCs w:val="18"/>
                <w:highlight w:val="cyan"/>
              </w:rPr>
              <w:t>Dirección General de Atracción a la Inversión, o en su ausencia, como suplente la dirección de promoción económica;</w:t>
            </w:r>
          </w:p>
          <w:p w14:paraId="3A476301" w14:textId="77777777" w:rsidR="009B5E39" w:rsidRPr="001335C7" w:rsidRDefault="009B5E39" w:rsidP="00190E4A">
            <w:pPr>
              <w:jc w:val="both"/>
              <w:rPr>
                <w:rFonts w:ascii="Gotham" w:hAnsi="Gotham" w:cs="Arial"/>
                <w:sz w:val="18"/>
                <w:szCs w:val="18"/>
              </w:rPr>
            </w:pPr>
          </w:p>
          <w:p w14:paraId="3A476302"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 </w:t>
            </w:r>
            <w:r w:rsidRPr="001335C7">
              <w:rPr>
                <w:rFonts w:ascii="Gotham" w:hAnsi="Gotham" w:cs="Arial"/>
                <w:sz w:val="18"/>
                <w:szCs w:val="18"/>
                <w:highlight w:val="cyan"/>
              </w:rPr>
              <w:t>Coordinación del Gabinete de Seguridad, Prevención y Servicios de Emergencia, o en su ausencia, como suplente la dirección de prevención social del delito;</w:t>
            </w:r>
          </w:p>
          <w:p w14:paraId="3A476303" w14:textId="77777777" w:rsidR="009B5E39" w:rsidRPr="001335C7" w:rsidRDefault="009B5E39" w:rsidP="00190E4A">
            <w:pPr>
              <w:jc w:val="both"/>
              <w:rPr>
                <w:rFonts w:ascii="Gotham" w:hAnsi="Gotham" w:cs="Arial"/>
                <w:sz w:val="18"/>
                <w:szCs w:val="18"/>
              </w:rPr>
            </w:pPr>
          </w:p>
          <w:p w14:paraId="3A476304"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XI. </w:t>
            </w:r>
            <w:r w:rsidRPr="001335C7">
              <w:rPr>
                <w:rFonts w:ascii="Gotham" w:hAnsi="Gotham" w:cs="Arial"/>
                <w:sz w:val="18"/>
                <w:szCs w:val="18"/>
                <w:highlight w:val="cyan"/>
              </w:rPr>
              <w:t xml:space="preserve">Hacienda Municipal, o en su ausencia, como suplente la dirección de promoción y presupuesto; </w:t>
            </w:r>
          </w:p>
          <w:p w14:paraId="3A476305" w14:textId="77777777" w:rsidR="009B5E39" w:rsidRPr="001335C7" w:rsidRDefault="009B5E39" w:rsidP="00190E4A">
            <w:pPr>
              <w:jc w:val="both"/>
              <w:rPr>
                <w:rFonts w:ascii="Gotham" w:hAnsi="Gotham" w:cs="Arial"/>
                <w:sz w:val="18"/>
                <w:szCs w:val="18"/>
              </w:rPr>
            </w:pPr>
          </w:p>
          <w:p w14:paraId="3A476306"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rPr>
              <w:t xml:space="preserve">XII. </w:t>
            </w:r>
            <w:r w:rsidRPr="001335C7">
              <w:rPr>
                <w:rFonts w:ascii="Gotham" w:hAnsi="Gotham" w:cs="Arial"/>
                <w:sz w:val="18"/>
                <w:szCs w:val="18"/>
                <w:highlight w:val="cyan"/>
              </w:rPr>
              <w:t xml:space="preserve">Jefatura de la Agenda para el Desarrollo Municipal; </w:t>
            </w:r>
          </w:p>
          <w:p w14:paraId="3A476307" w14:textId="77777777" w:rsidR="009B5E39" w:rsidRPr="001335C7" w:rsidRDefault="009B5E39" w:rsidP="00190E4A">
            <w:pPr>
              <w:jc w:val="both"/>
              <w:rPr>
                <w:rFonts w:ascii="Gotham" w:hAnsi="Gotham" w:cs="Arial"/>
                <w:sz w:val="18"/>
                <w:szCs w:val="18"/>
                <w:highlight w:val="cyan"/>
              </w:rPr>
            </w:pPr>
          </w:p>
          <w:p w14:paraId="3A476308"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XIII. Dirección de Educación;</w:t>
            </w:r>
          </w:p>
          <w:p w14:paraId="3A476309" w14:textId="77777777" w:rsidR="009B5E39" w:rsidRPr="001335C7" w:rsidRDefault="009B5E39" w:rsidP="00190E4A">
            <w:pPr>
              <w:jc w:val="both"/>
              <w:rPr>
                <w:rFonts w:ascii="Gotham" w:hAnsi="Gotham" w:cs="Arial"/>
                <w:sz w:val="18"/>
                <w:szCs w:val="18"/>
                <w:highlight w:val="cyan"/>
              </w:rPr>
            </w:pPr>
          </w:p>
          <w:p w14:paraId="3A47630A"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XIV. Instituto Municipal de Alternativas para los Jóvenes;</w:t>
            </w:r>
          </w:p>
          <w:p w14:paraId="3A47630B" w14:textId="77777777" w:rsidR="009B5E39" w:rsidRPr="001335C7" w:rsidRDefault="009B5E39" w:rsidP="00190E4A">
            <w:pPr>
              <w:jc w:val="both"/>
              <w:rPr>
                <w:rFonts w:ascii="Gotham" w:hAnsi="Gotham" w:cs="Arial"/>
                <w:sz w:val="18"/>
                <w:szCs w:val="18"/>
                <w:highlight w:val="cyan"/>
              </w:rPr>
            </w:pPr>
          </w:p>
          <w:p w14:paraId="3A47630C"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XV. Dirección de Participación Ciudadana; y</w:t>
            </w:r>
          </w:p>
          <w:p w14:paraId="3A47630D" w14:textId="77777777" w:rsidR="009B5E39" w:rsidRPr="001335C7" w:rsidRDefault="009B5E39" w:rsidP="00190E4A">
            <w:pPr>
              <w:jc w:val="both"/>
              <w:rPr>
                <w:rFonts w:ascii="Gotham" w:hAnsi="Gotham" w:cs="Arial"/>
                <w:sz w:val="18"/>
                <w:szCs w:val="18"/>
                <w:highlight w:val="cyan"/>
              </w:rPr>
            </w:pPr>
          </w:p>
          <w:p w14:paraId="3A47630E"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 xml:space="preserve">XVI. Dirección de Servicios Médicos Municipales. </w:t>
            </w:r>
          </w:p>
          <w:p w14:paraId="3A47630F" w14:textId="77777777" w:rsidR="009B5E39" w:rsidRPr="001335C7" w:rsidRDefault="009B5E39" w:rsidP="00190E4A">
            <w:pPr>
              <w:jc w:val="both"/>
              <w:rPr>
                <w:rFonts w:ascii="Gotham" w:hAnsi="Gotham" w:cs="Arial"/>
                <w:sz w:val="18"/>
                <w:szCs w:val="18"/>
                <w:highlight w:val="cyan"/>
              </w:rPr>
            </w:pPr>
          </w:p>
          <w:p w14:paraId="3A476310"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XVII. Dirección General de Administración y Desarrollo Humano;</w:t>
            </w:r>
          </w:p>
          <w:p w14:paraId="3A476311"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sz w:val="18"/>
                <w:szCs w:val="18"/>
              </w:rPr>
              <w:t xml:space="preserve">Por cada uno de los integrantes del Sistema Municipal </w:t>
            </w:r>
            <w:r w:rsidRPr="001335C7">
              <w:rPr>
                <w:rFonts w:ascii="Gotham" w:hAnsi="Gotham" w:cs="Arial"/>
                <w:sz w:val="18"/>
                <w:szCs w:val="18"/>
              </w:rPr>
              <w:lastRenderedPageBreak/>
              <w:t xml:space="preserve">para la Igualdad Sustantiva entre Mujeres y Hombres se deberá nombrar un suplente, dichos integrantes tendrán derecho a voz y voto, con excepción de la Secretaría Ejecutiva quién sólo contará con derecho a voz. Estos nombramientos son de carácter honorífico y, por tanto, no remunerados. </w:t>
            </w:r>
          </w:p>
          <w:p w14:paraId="3A476312" w14:textId="77777777" w:rsidR="009B5E39" w:rsidRPr="001335C7" w:rsidRDefault="009B5E39" w:rsidP="00190E4A">
            <w:pPr>
              <w:widowControl w:val="0"/>
              <w:spacing w:before="240" w:after="240"/>
              <w:jc w:val="both"/>
              <w:rPr>
                <w:rFonts w:ascii="Gotham" w:hAnsi="Gotham" w:cs="Arial"/>
                <w:sz w:val="18"/>
                <w:szCs w:val="18"/>
                <w:highlight w:val="white"/>
              </w:rPr>
            </w:pPr>
            <w:r w:rsidRPr="001335C7">
              <w:rPr>
                <w:rFonts w:ascii="Gotham" w:hAnsi="Gotham" w:cs="Arial"/>
                <w:sz w:val="18"/>
                <w:szCs w:val="18"/>
              </w:rPr>
              <w:t xml:space="preserve">Por instrucción de la Presidencia o </w:t>
            </w:r>
            <w:r w:rsidRPr="001335C7">
              <w:rPr>
                <w:rFonts w:ascii="Gotham" w:hAnsi="Gotham" w:cs="Arial"/>
                <w:sz w:val="18"/>
                <w:szCs w:val="18"/>
                <w:highlight w:val="cyan"/>
              </w:rPr>
              <w:t xml:space="preserve">la Secretaria Ejecutiva </w:t>
            </w:r>
            <w:r w:rsidRPr="001335C7">
              <w:rPr>
                <w:rFonts w:ascii="Gotham" w:hAnsi="Gotham" w:cs="Arial"/>
                <w:sz w:val="18"/>
                <w:szCs w:val="18"/>
              </w:rPr>
              <w:t xml:space="preserve">del Sistema Municipal para la Igualdad Sustantiva entre Mujeres y Hombres podrá invitarse a titulares de otras dependencias ya sean de orden municipal, estatal o federal, instituciones públicas o privadas, académicos y demás personas especializadas en temas de la mujer e igualdad sustantiva y en cuyo caso, tendrán únicamente derecho a voz en las sesiones. </w:t>
            </w:r>
          </w:p>
        </w:tc>
      </w:tr>
      <w:tr w:rsidR="009B5E39" w:rsidRPr="001335C7" w14:paraId="3A47631C" w14:textId="77777777" w:rsidTr="00190E4A">
        <w:tc>
          <w:tcPr>
            <w:tcW w:w="4898" w:type="dxa"/>
            <w:shd w:val="clear" w:color="auto" w:fill="auto"/>
          </w:tcPr>
          <w:p w14:paraId="3A476314"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lastRenderedPageBreak/>
              <w:t>Artículo 60.-</w:t>
            </w:r>
            <w:r w:rsidRPr="001335C7">
              <w:rPr>
                <w:rFonts w:ascii="Gotham" w:hAnsi="Gotham" w:cs="Arial"/>
                <w:sz w:val="18"/>
                <w:szCs w:val="18"/>
              </w:rPr>
              <w:t xml:space="preserve"> El Sistema Municipal para la Igualdad Sustantiva entre Mujeres y Hombres se encuentra facultado para: </w:t>
            </w:r>
          </w:p>
          <w:p w14:paraId="3A476315"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IV.</w:t>
            </w:r>
            <w:r w:rsidRPr="001335C7">
              <w:rPr>
                <w:rFonts w:ascii="Gotham" w:hAnsi="Gotham" w:cs="Arial"/>
                <w:sz w:val="18"/>
                <w:szCs w:val="18"/>
              </w:rPr>
              <w:t xml:space="preserve"> Velar por la progresividad normativa en materia de igualdad </w:t>
            </w:r>
            <w:r w:rsidRPr="001335C7">
              <w:rPr>
                <w:rFonts w:ascii="Gotham" w:hAnsi="Gotham" w:cs="Arial"/>
                <w:sz w:val="18"/>
                <w:szCs w:val="18"/>
                <w:highlight w:val="yellow"/>
              </w:rPr>
              <w:t>entre mujeres y hombres</w:t>
            </w:r>
            <w:r w:rsidRPr="001335C7">
              <w:rPr>
                <w:rFonts w:ascii="Gotham" w:hAnsi="Gotham" w:cs="Arial"/>
                <w:sz w:val="18"/>
                <w:szCs w:val="18"/>
              </w:rPr>
              <w:t xml:space="preserve"> en la reglamentación municipal;</w:t>
            </w:r>
          </w:p>
          <w:p w14:paraId="3A476316"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sz w:val="18"/>
                <w:szCs w:val="18"/>
              </w:rPr>
              <w:t xml:space="preserve"> </w:t>
            </w:r>
            <w:r w:rsidRPr="001335C7">
              <w:rPr>
                <w:rFonts w:ascii="Gotham" w:hAnsi="Gotham" w:cs="Arial"/>
                <w:b/>
                <w:sz w:val="18"/>
                <w:szCs w:val="18"/>
              </w:rPr>
              <w:t>V.</w:t>
            </w:r>
            <w:r w:rsidRPr="001335C7">
              <w:rPr>
                <w:rFonts w:ascii="Gotham" w:hAnsi="Gotham" w:cs="Arial"/>
                <w:sz w:val="18"/>
                <w:szCs w:val="18"/>
              </w:rPr>
              <w:t xml:space="preserve"> Incluir la participación de la sociedad civil organizada en la promoción de la igualdad sustantiva </w:t>
            </w:r>
            <w:r w:rsidRPr="001335C7">
              <w:rPr>
                <w:rFonts w:ascii="Gotham" w:hAnsi="Gotham" w:cs="Arial"/>
                <w:sz w:val="18"/>
                <w:szCs w:val="18"/>
                <w:highlight w:val="yellow"/>
              </w:rPr>
              <w:t>entre mujeres y hombres</w:t>
            </w:r>
            <w:r w:rsidRPr="001335C7">
              <w:rPr>
                <w:rFonts w:ascii="Gotham" w:hAnsi="Gotham" w:cs="Arial"/>
                <w:sz w:val="18"/>
                <w:szCs w:val="18"/>
              </w:rPr>
              <w:t xml:space="preserve"> en las políticas públicas municipales; </w:t>
            </w:r>
          </w:p>
          <w:p w14:paraId="3A476317"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VI.</w:t>
            </w:r>
            <w:r w:rsidRPr="001335C7">
              <w:rPr>
                <w:rFonts w:ascii="Gotham" w:hAnsi="Gotham" w:cs="Arial"/>
                <w:sz w:val="18"/>
                <w:szCs w:val="18"/>
              </w:rPr>
              <w:t xml:space="preserve"> Establecer acciones de coordinación entre las dependencias y organismos de la Administración Pública Municipal para profesionalizar y capacitar a las servidoras y servidores públicos en materia de igualdad sustantiva </w:t>
            </w:r>
            <w:r w:rsidRPr="001335C7">
              <w:rPr>
                <w:rFonts w:ascii="Gotham" w:hAnsi="Gotham" w:cs="Arial"/>
                <w:sz w:val="18"/>
                <w:szCs w:val="18"/>
                <w:highlight w:val="yellow"/>
              </w:rPr>
              <w:t>entre mujeres y hombres</w:t>
            </w:r>
            <w:r w:rsidRPr="001335C7">
              <w:rPr>
                <w:rFonts w:ascii="Gotham" w:hAnsi="Gotham" w:cs="Arial"/>
                <w:sz w:val="18"/>
                <w:szCs w:val="18"/>
              </w:rPr>
              <w:t xml:space="preserve">, incluyendo la aplicación del lenguaje incluyente y no sexista; </w:t>
            </w:r>
          </w:p>
        </w:tc>
        <w:tc>
          <w:tcPr>
            <w:tcW w:w="4899" w:type="dxa"/>
            <w:shd w:val="clear" w:color="auto" w:fill="auto"/>
          </w:tcPr>
          <w:p w14:paraId="3A476318"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Artículo 60.-</w:t>
            </w:r>
            <w:r w:rsidRPr="001335C7">
              <w:rPr>
                <w:rFonts w:ascii="Gotham" w:hAnsi="Gotham" w:cs="Arial"/>
                <w:sz w:val="18"/>
                <w:szCs w:val="18"/>
              </w:rPr>
              <w:t xml:space="preserve"> El Sistema Municipal para la Igualdad Sustantiva entre Mujeres y Hombres se encuentra facultado para: </w:t>
            </w:r>
          </w:p>
          <w:p w14:paraId="3A476319"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IV.</w:t>
            </w:r>
            <w:r w:rsidRPr="001335C7">
              <w:rPr>
                <w:rFonts w:ascii="Gotham" w:hAnsi="Gotham" w:cs="Arial"/>
                <w:sz w:val="18"/>
                <w:szCs w:val="18"/>
              </w:rPr>
              <w:t xml:space="preserve"> Velar por la progresividad normativa en materia de igualdad sustantiva en la reglamentación municipal; </w:t>
            </w:r>
          </w:p>
          <w:p w14:paraId="3A47631A"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V.</w:t>
            </w:r>
            <w:r w:rsidRPr="001335C7">
              <w:rPr>
                <w:rFonts w:ascii="Gotham" w:hAnsi="Gotham" w:cs="Arial"/>
                <w:sz w:val="18"/>
                <w:szCs w:val="18"/>
              </w:rPr>
              <w:t xml:space="preserve"> Incluir la participación de la sociedad civil organizada en la promoción de la igualdad sustantiva en las políticas públicas municipales; </w:t>
            </w:r>
          </w:p>
          <w:p w14:paraId="3A47631B"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VI.</w:t>
            </w:r>
            <w:r w:rsidRPr="001335C7">
              <w:rPr>
                <w:rFonts w:ascii="Gotham" w:hAnsi="Gotham" w:cs="Arial"/>
                <w:sz w:val="18"/>
                <w:szCs w:val="18"/>
              </w:rPr>
              <w:t xml:space="preserve"> Establecer acciones de entre las dependencias y organismos de la Administración Pública Municipal para profesionalizar y capacitar a las servidoras y servidores públicos en materia de igualdad sustantiva, incluyendo la aplicación del lenguaje incluyente y no sexista; </w:t>
            </w:r>
          </w:p>
        </w:tc>
      </w:tr>
      <w:tr w:rsidR="009B5E39" w:rsidRPr="001335C7" w14:paraId="3A476323" w14:textId="77777777" w:rsidTr="00190E4A">
        <w:tc>
          <w:tcPr>
            <w:tcW w:w="4898" w:type="dxa"/>
            <w:shd w:val="clear" w:color="auto" w:fill="auto"/>
          </w:tcPr>
          <w:p w14:paraId="3A47631D"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Artículo 63.-</w:t>
            </w:r>
            <w:r w:rsidRPr="001335C7">
              <w:rPr>
                <w:rFonts w:ascii="Gotham" w:hAnsi="Gotham" w:cs="Arial"/>
                <w:sz w:val="18"/>
                <w:szCs w:val="18"/>
              </w:rPr>
              <w:t xml:space="preserve"> </w:t>
            </w:r>
          </w:p>
          <w:p w14:paraId="3A47631E"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sz w:val="18"/>
                <w:szCs w:val="18"/>
              </w:rPr>
              <w:t>(...)</w:t>
            </w:r>
          </w:p>
          <w:p w14:paraId="3A47631F"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sz w:val="18"/>
                <w:szCs w:val="18"/>
              </w:rPr>
              <w:t>El Programa Municipal debe considerar las necesidades y características propias del Municipio, como las particularidades de los diferentes grupos de mujeres que lo integran y que pudieran sufrir desigualdad o cualquier acto de discriminación.</w:t>
            </w:r>
          </w:p>
        </w:tc>
        <w:tc>
          <w:tcPr>
            <w:tcW w:w="4899" w:type="dxa"/>
            <w:shd w:val="clear" w:color="auto" w:fill="auto"/>
          </w:tcPr>
          <w:p w14:paraId="3A476320"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b/>
                <w:sz w:val="18"/>
                <w:szCs w:val="18"/>
              </w:rPr>
              <w:t>Artículo 63.-</w:t>
            </w:r>
            <w:r w:rsidRPr="001335C7">
              <w:rPr>
                <w:rFonts w:ascii="Gotham" w:hAnsi="Gotham" w:cs="Arial"/>
                <w:sz w:val="18"/>
                <w:szCs w:val="18"/>
              </w:rPr>
              <w:t xml:space="preserve"> </w:t>
            </w:r>
          </w:p>
          <w:p w14:paraId="3A476321"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sz w:val="18"/>
                <w:szCs w:val="18"/>
              </w:rPr>
              <w:t>(...)</w:t>
            </w:r>
          </w:p>
          <w:p w14:paraId="3A476322" w14:textId="77777777" w:rsidR="009B5E39" w:rsidRPr="001335C7" w:rsidRDefault="009B5E39" w:rsidP="00190E4A">
            <w:pPr>
              <w:widowControl w:val="0"/>
              <w:spacing w:before="240" w:after="240"/>
              <w:jc w:val="both"/>
              <w:rPr>
                <w:rFonts w:ascii="Gotham" w:hAnsi="Gotham" w:cs="Arial"/>
                <w:sz w:val="18"/>
                <w:szCs w:val="18"/>
              </w:rPr>
            </w:pPr>
            <w:r w:rsidRPr="001335C7">
              <w:rPr>
                <w:rFonts w:ascii="Gotham" w:hAnsi="Gotham" w:cs="Arial"/>
                <w:sz w:val="18"/>
                <w:szCs w:val="18"/>
              </w:rPr>
              <w:t xml:space="preserve">El Programa Municipal debe considerar las necesidades y características propias del Municipio, como las particularidades de los diferentes grupos de mujeres </w:t>
            </w:r>
            <w:r w:rsidRPr="001335C7">
              <w:rPr>
                <w:rFonts w:ascii="Gotham" w:hAnsi="Gotham" w:cs="Arial"/>
                <w:sz w:val="18"/>
                <w:szCs w:val="18"/>
                <w:highlight w:val="cyan"/>
              </w:rPr>
              <w:t>y de la</w:t>
            </w:r>
            <w:r w:rsidR="007C2F8D">
              <w:rPr>
                <w:rFonts w:ascii="Gotham" w:hAnsi="Gotham" w:cs="Arial"/>
                <w:sz w:val="18"/>
                <w:szCs w:val="18"/>
                <w:highlight w:val="cyan"/>
              </w:rPr>
              <w:t xml:space="preserve"> </w:t>
            </w:r>
            <w:r w:rsidRPr="001335C7">
              <w:rPr>
                <w:rFonts w:ascii="Gotham" w:hAnsi="Gotham" w:cs="Arial"/>
                <w:sz w:val="18"/>
                <w:szCs w:val="18"/>
                <w:highlight w:val="cyan"/>
              </w:rPr>
              <w:t>población LGBT+</w:t>
            </w:r>
            <w:r w:rsidRPr="001335C7">
              <w:rPr>
                <w:rFonts w:ascii="Gotham" w:hAnsi="Gotham" w:cs="Arial"/>
                <w:sz w:val="18"/>
                <w:szCs w:val="18"/>
              </w:rPr>
              <w:t xml:space="preserve"> que lo integran y que pudieran sufrir desigualdad o cualquier acto de discriminación.</w:t>
            </w:r>
          </w:p>
        </w:tc>
      </w:tr>
      <w:tr w:rsidR="009B5E39" w:rsidRPr="001335C7" w14:paraId="3A476326" w14:textId="77777777" w:rsidTr="00190E4A">
        <w:tc>
          <w:tcPr>
            <w:tcW w:w="4898" w:type="dxa"/>
            <w:shd w:val="clear" w:color="auto" w:fill="auto"/>
          </w:tcPr>
          <w:p w14:paraId="3A476324" w14:textId="77777777" w:rsidR="009B5E39" w:rsidRPr="001335C7" w:rsidRDefault="009B5E39" w:rsidP="00190E4A">
            <w:pPr>
              <w:widowControl w:val="0"/>
              <w:spacing w:before="240" w:after="240"/>
              <w:jc w:val="both"/>
              <w:rPr>
                <w:rFonts w:ascii="Gotham" w:hAnsi="Gotham" w:cs="Arial"/>
                <w:b/>
                <w:sz w:val="18"/>
                <w:szCs w:val="18"/>
              </w:rPr>
            </w:pPr>
            <w:r w:rsidRPr="001335C7">
              <w:rPr>
                <w:rFonts w:ascii="Gotham" w:hAnsi="Gotham" w:cs="Arial"/>
                <w:b/>
                <w:sz w:val="18"/>
                <w:szCs w:val="18"/>
              </w:rPr>
              <w:t>Artículo 64.-</w:t>
            </w:r>
            <w:r w:rsidRPr="001335C7">
              <w:rPr>
                <w:rFonts w:ascii="Gotham" w:hAnsi="Gotham" w:cs="Arial"/>
                <w:sz w:val="18"/>
                <w:szCs w:val="18"/>
              </w:rPr>
              <w:t xml:space="preserve"> Asimismo, el Programa Municipal deberá presentarse al Sistema Municipal para la Igualdad Sustantiva entre Mujeres y Hombres para </w:t>
            </w:r>
            <w:r w:rsidRPr="001335C7">
              <w:rPr>
                <w:rFonts w:ascii="Gotham" w:hAnsi="Gotham" w:cs="Arial"/>
                <w:sz w:val="18"/>
                <w:szCs w:val="18"/>
              </w:rPr>
              <w:lastRenderedPageBreak/>
              <w:t>ser analizado y aprobado en un plazo no mayor a 60 días naturales, contados a partir de su presentación y su vigencia será por el mismo tiempo de duración de la Administración Municipal.</w:t>
            </w:r>
          </w:p>
        </w:tc>
        <w:tc>
          <w:tcPr>
            <w:tcW w:w="4899" w:type="dxa"/>
            <w:shd w:val="clear" w:color="auto" w:fill="auto"/>
          </w:tcPr>
          <w:p w14:paraId="3A476325" w14:textId="77777777" w:rsidR="009B5E39" w:rsidRPr="001335C7" w:rsidRDefault="009B5E39" w:rsidP="00190E4A">
            <w:pPr>
              <w:widowControl w:val="0"/>
              <w:spacing w:before="240" w:after="240"/>
              <w:jc w:val="both"/>
              <w:rPr>
                <w:rFonts w:ascii="Gotham" w:hAnsi="Gotham" w:cs="Arial"/>
                <w:b/>
                <w:sz w:val="18"/>
                <w:szCs w:val="18"/>
              </w:rPr>
            </w:pPr>
            <w:r w:rsidRPr="001335C7">
              <w:rPr>
                <w:rFonts w:ascii="Gotham" w:hAnsi="Gotham" w:cs="Arial"/>
                <w:b/>
                <w:sz w:val="18"/>
                <w:szCs w:val="18"/>
              </w:rPr>
              <w:lastRenderedPageBreak/>
              <w:t>Artículo 64.-</w:t>
            </w:r>
            <w:r w:rsidRPr="001335C7">
              <w:rPr>
                <w:rFonts w:ascii="Gotham" w:hAnsi="Gotham" w:cs="Arial"/>
                <w:sz w:val="18"/>
                <w:szCs w:val="18"/>
              </w:rPr>
              <w:t xml:space="preserve"> Asimismo, el Programa Municipal deberá presentarse al Sistema Municipal para la Igualdad Sustantiva </w:t>
            </w:r>
            <w:r w:rsidRPr="001335C7">
              <w:rPr>
                <w:rFonts w:ascii="Gotham" w:hAnsi="Gotham" w:cs="Arial"/>
                <w:sz w:val="18"/>
                <w:szCs w:val="18"/>
                <w:highlight w:val="cyan"/>
              </w:rPr>
              <w:t>entre Mujeres y Hombres</w:t>
            </w:r>
            <w:r w:rsidRPr="001335C7">
              <w:rPr>
                <w:rFonts w:ascii="Gotham" w:hAnsi="Gotham" w:cs="Arial"/>
                <w:sz w:val="18"/>
                <w:szCs w:val="18"/>
              </w:rPr>
              <w:t xml:space="preserve"> para </w:t>
            </w:r>
            <w:r w:rsidRPr="001335C7">
              <w:rPr>
                <w:rFonts w:ascii="Gotham" w:hAnsi="Gotham" w:cs="Arial"/>
                <w:sz w:val="18"/>
                <w:szCs w:val="18"/>
              </w:rPr>
              <w:lastRenderedPageBreak/>
              <w:t xml:space="preserve">ser analizado y aprobado en un plazo no mayor a 60 días naturales, contados a partir de su presentación </w:t>
            </w:r>
            <w:r w:rsidRPr="001335C7">
              <w:rPr>
                <w:rFonts w:ascii="Gotham" w:hAnsi="Gotham" w:cs="Arial"/>
                <w:sz w:val="18"/>
                <w:szCs w:val="18"/>
                <w:highlight w:val="cyan"/>
              </w:rPr>
              <w:t>en la junta de gobierno,</w:t>
            </w:r>
            <w:r w:rsidRPr="001335C7">
              <w:rPr>
                <w:rFonts w:ascii="Gotham" w:hAnsi="Gotham" w:cs="Arial"/>
                <w:sz w:val="18"/>
                <w:szCs w:val="18"/>
              </w:rPr>
              <w:t xml:space="preserve"> y su vigencia será por el mismo tiempo de duración de la Administración Municipal.</w:t>
            </w:r>
          </w:p>
        </w:tc>
      </w:tr>
      <w:tr w:rsidR="009B5E39" w:rsidRPr="001335C7" w14:paraId="3A476338" w14:textId="77777777" w:rsidTr="00190E4A">
        <w:tc>
          <w:tcPr>
            <w:tcW w:w="4898" w:type="dxa"/>
            <w:shd w:val="clear" w:color="auto" w:fill="auto"/>
          </w:tcPr>
          <w:p w14:paraId="3A476327" w14:textId="77777777" w:rsidR="009B5E39" w:rsidRPr="001335C7" w:rsidRDefault="009B5E39" w:rsidP="00190E4A">
            <w:pPr>
              <w:jc w:val="both"/>
              <w:rPr>
                <w:rFonts w:ascii="Gotham" w:hAnsi="Gotham" w:cs="Arial"/>
                <w:b/>
                <w:sz w:val="18"/>
                <w:szCs w:val="18"/>
              </w:rPr>
            </w:pPr>
          </w:p>
          <w:p w14:paraId="3A476328"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66.- </w:t>
            </w:r>
            <w:r w:rsidRPr="001335C7">
              <w:rPr>
                <w:rFonts w:ascii="Gotham" w:hAnsi="Gotham" w:cs="Arial"/>
                <w:sz w:val="18"/>
                <w:szCs w:val="18"/>
              </w:rPr>
              <w:t>El Programa Municipal para la Igualdad Sustantiva entre Mujeres y Hombres deberá contener en su diseño y ejecución, de manera obligatoria, lo siguiente:</w:t>
            </w:r>
          </w:p>
          <w:p w14:paraId="3A476329" w14:textId="77777777" w:rsidR="009B5E39" w:rsidRPr="001335C7" w:rsidRDefault="009B5E39" w:rsidP="00190E4A">
            <w:pPr>
              <w:jc w:val="both"/>
              <w:rPr>
                <w:rFonts w:ascii="Gotham" w:hAnsi="Gotham" w:cs="Arial"/>
                <w:sz w:val="18"/>
                <w:szCs w:val="18"/>
              </w:rPr>
            </w:pPr>
          </w:p>
          <w:p w14:paraId="3A47632A" w14:textId="77777777" w:rsidR="009B5E39" w:rsidRPr="001335C7" w:rsidRDefault="009B5E39" w:rsidP="00E5394F">
            <w:pPr>
              <w:numPr>
                <w:ilvl w:val="0"/>
                <w:numId w:val="260"/>
              </w:numPr>
              <w:ind w:left="567" w:hanging="578"/>
              <w:jc w:val="both"/>
              <w:rPr>
                <w:rFonts w:ascii="Gotham" w:hAnsi="Gotham" w:cs="Arial"/>
                <w:sz w:val="18"/>
                <w:szCs w:val="18"/>
              </w:rPr>
            </w:pPr>
            <w:r w:rsidRPr="001335C7">
              <w:rPr>
                <w:rFonts w:ascii="Gotham" w:hAnsi="Gotham" w:cs="Arial"/>
                <w:sz w:val="18"/>
                <w:szCs w:val="18"/>
              </w:rPr>
              <w:t xml:space="preserve">El diagnóstico municipal de la situación actual sobre la desigualdad </w:t>
            </w:r>
            <w:r w:rsidRPr="001335C7">
              <w:rPr>
                <w:rFonts w:ascii="Gotham" w:hAnsi="Gotham" w:cs="Arial"/>
                <w:sz w:val="18"/>
                <w:szCs w:val="18"/>
                <w:highlight w:val="yellow"/>
              </w:rPr>
              <w:t>entre mujeres y hombres</w:t>
            </w:r>
            <w:r w:rsidRPr="001335C7">
              <w:rPr>
                <w:rFonts w:ascii="Gotham" w:hAnsi="Gotham" w:cs="Arial"/>
                <w:sz w:val="18"/>
                <w:szCs w:val="18"/>
              </w:rPr>
              <w:t>;</w:t>
            </w:r>
          </w:p>
          <w:p w14:paraId="3A47632B" w14:textId="77777777" w:rsidR="009B5E39" w:rsidRPr="001335C7" w:rsidRDefault="009B5E39" w:rsidP="00190E4A">
            <w:pPr>
              <w:ind w:left="567" w:hanging="578"/>
              <w:jc w:val="both"/>
              <w:rPr>
                <w:rFonts w:ascii="Gotham" w:hAnsi="Gotham" w:cs="Arial"/>
                <w:sz w:val="18"/>
                <w:szCs w:val="18"/>
              </w:rPr>
            </w:pPr>
          </w:p>
          <w:p w14:paraId="3A47632C" w14:textId="77777777" w:rsidR="009B5E39" w:rsidRPr="001335C7" w:rsidRDefault="009B5E39" w:rsidP="00E5394F">
            <w:pPr>
              <w:numPr>
                <w:ilvl w:val="0"/>
                <w:numId w:val="260"/>
              </w:numPr>
              <w:ind w:left="567" w:hanging="578"/>
              <w:jc w:val="both"/>
              <w:rPr>
                <w:rFonts w:ascii="Gotham" w:hAnsi="Gotham" w:cs="Arial"/>
                <w:sz w:val="18"/>
                <w:szCs w:val="18"/>
              </w:rPr>
            </w:pPr>
            <w:r w:rsidRPr="001335C7">
              <w:rPr>
                <w:rFonts w:ascii="Gotham" w:hAnsi="Gotham" w:cs="Arial"/>
                <w:sz w:val="18"/>
                <w:szCs w:val="18"/>
              </w:rPr>
              <w:t xml:space="preserve">Los objetivos generales y particulares para la igualdad sustantiva </w:t>
            </w:r>
            <w:r w:rsidRPr="001335C7">
              <w:rPr>
                <w:rFonts w:ascii="Gotham" w:hAnsi="Gotham" w:cs="Arial"/>
                <w:sz w:val="18"/>
                <w:szCs w:val="18"/>
                <w:highlight w:val="yellow"/>
              </w:rPr>
              <w:t>entre mujeres y hombres</w:t>
            </w:r>
            <w:r w:rsidRPr="001335C7">
              <w:rPr>
                <w:rFonts w:ascii="Gotham" w:hAnsi="Gotham" w:cs="Arial"/>
                <w:sz w:val="18"/>
                <w:szCs w:val="18"/>
              </w:rPr>
              <w:t>;</w:t>
            </w:r>
          </w:p>
          <w:p w14:paraId="3A47632D" w14:textId="77777777" w:rsidR="009B5E39" w:rsidRPr="001335C7" w:rsidRDefault="009B5E39" w:rsidP="00190E4A">
            <w:pPr>
              <w:ind w:left="567" w:hanging="578"/>
              <w:jc w:val="both"/>
              <w:rPr>
                <w:rFonts w:ascii="Gotham" w:hAnsi="Gotham" w:cs="Arial"/>
                <w:sz w:val="18"/>
                <w:szCs w:val="18"/>
              </w:rPr>
            </w:pPr>
          </w:p>
          <w:p w14:paraId="3A47632E"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32F"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330" w14:textId="77777777" w:rsidR="009B5E39" w:rsidRPr="001335C7" w:rsidRDefault="009B5E39" w:rsidP="00190E4A">
            <w:pPr>
              <w:jc w:val="both"/>
              <w:rPr>
                <w:rFonts w:ascii="Gotham" w:hAnsi="Gotham" w:cs="Arial"/>
                <w:b/>
                <w:sz w:val="18"/>
                <w:szCs w:val="18"/>
              </w:rPr>
            </w:pPr>
          </w:p>
          <w:p w14:paraId="3A476331"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66.- </w:t>
            </w:r>
            <w:r w:rsidRPr="001335C7">
              <w:rPr>
                <w:rFonts w:ascii="Gotham" w:hAnsi="Gotham" w:cs="Arial"/>
                <w:sz w:val="18"/>
                <w:szCs w:val="18"/>
              </w:rPr>
              <w:t>El Programa Municipal para la Igualdad Sustantiva entre Mujeres y Hombres deberá contener en su diseño y ejecución, de manera obligatoria, lo siguiente:</w:t>
            </w:r>
          </w:p>
          <w:p w14:paraId="3A476332" w14:textId="77777777" w:rsidR="009B5E39" w:rsidRPr="001335C7" w:rsidRDefault="009B5E39" w:rsidP="00190E4A">
            <w:pPr>
              <w:jc w:val="both"/>
              <w:rPr>
                <w:rFonts w:ascii="Gotham" w:hAnsi="Gotham" w:cs="Arial"/>
                <w:sz w:val="18"/>
                <w:szCs w:val="18"/>
              </w:rPr>
            </w:pPr>
          </w:p>
          <w:p w14:paraId="3A476333" w14:textId="77777777" w:rsidR="009B5E39" w:rsidRPr="001335C7" w:rsidRDefault="009B5E39" w:rsidP="00E5394F">
            <w:pPr>
              <w:numPr>
                <w:ilvl w:val="0"/>
                <w:numId w:val="274"/>
              </w:numPr>
              <w:ind w:left="567" w:hanging="578"/>
              <w:jc w:val="both"/>
              <w:rPr>
                <w:rFonts w:ascii="Gotham" w:hAnsi="Gotham" w:cs="Arial"/>
                <w:sz w:val="18"/>
                <w:szCs w:val="18"/>
              </w:rPr>
            </w:pPr>
            <w:r w:rsidRPr="001335C7">
              <w:rPr>
                <w:rFonts w:ascii="Gotham" w:hAnsi="Gotham" w:cs="Arial"/>
                <w:sz w:val="18"/>
                <w:szCs w:val="18"/>
              </w:rPr>
              <w:t>El diagnóstico municipal de la situación actual sobre la desigualdad;</w:t>
            </w:r>
          </w:p>
          <w:p w14:paraId="3A476334" w14:textId="77777777" w:rsidR="009B5E39" w:rsidRPr="001335C7" w:rsidRDefault="009B5E39" w:rsidP="00190E4A">
            <w:pPr>
              <w:ind w:left="567" w:hanging="578"/>
              <w:jc w:val="both"/>
              <w:rPr>
                <w:rFonts w:ascii="Gotham" w:hAnsi="Gotham" w:cs="Arial"/>
                <w:sz w:val="18"/>
                <w:szCs w:val="18"/>
              </w:rPr>
            </w:pPr>
          </w:p>
          <w:p w14:paraId="3A476335" w14:textId="77777777" w:rsidR="009B5E39" w:rsidRPr="001335C7" w:rsidRDefault="009B5E39" w:rsidP="00E5394F">
            <w:pPr>
              <w:numPr>
                <w:ilvl w:val="0"/>
                <w:numId w:val="274"/>
              </w:numPr>
              <w:ind w:left="567" w:hanging="578"/>
              <w:jc w:val="both"/>
              <w:rPr>
                <w:rFonts w:ascii="Gotham" w:hAnsi="Gotham" w:cs="Arial"/>
                <w:sz w:val="18"/>
                <w:szCs w:val="18"/>
              </w:rPr>
            </w:pPr>
            <w:r w:rsidRPr="001335C7">
              <w:rPr>
                <w:rFonts w:ascii="Gotham" w:hAnsi="Gotham" w:cs="Arial"/>
                <w:sz w:val="18"/>
                <w:szCs w:val="18"/>
              </w:rPr>
              <w:t>Los objetivos generales y particulares para la igualdad sustantiva;</w:t>
            </w:r>
          </w:p>
          <w:p w14:paraId="3A476336" w14:textId="77777777" w:rsidR="009B5E39" w:rsidRPr="001335C7" w:rsidRDefault="009B5E39" w:rsidP="00190E4A">
            <w:pPr>
              <w:ind w:left="567" w:hanging="578"/>
              <w:jc w:val="both"/>
              <w:rPr>
                <w:rFonts w:ascii="Gotham" w:hAnsi="Gotham" w:cs="Arial"/>
                <w:sz w:val="18"/>
                <w:szCs w:val="18"/>
              </w:rPr>
            </w:pPr>
          </w:p>
          <w:p w14:paraId="3A47633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tc>
      </w:tr>
      <w:tr w:rsidR="009B5E39" w:rsidRPr="001335C7" w14:paraId="3A47634E" w14:textId="77777777" w:rsidTr="00190E4A">
        <w:tc>
          <w:tcPr>
            <w:tcW w:w="4898" w:type="dxa"/>
            <w:shd w:val="clear" w:color="auto" w:fill="auto"/>
          </w:tcPr>
          <w:p w14:paraId="3A476339" w14:textId="77777777" w:rsidR="009B5E39" w:rsidRPr="001335C7" w:rsidRDefault="009B5E39" w:rsidP="00190E4A">
            <w:pPr>
              <w:jc w:val="both"/>
              <w:rPr>
                <w:rFonts w:ascii="Gotham" w:hAnsi="Gotham" w:cs="Arial"/>
                <w:b/>
                <w:sz w:val="18"/>
                <w:szCs w:val="18"/>
              </w:rPr>
            </w:pPr>
          </w:p>
          <w:p w14:paraId="3A47633A"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69.- </w:t>
            </w:r>
            <w:r w:rsidRPr="001335C7">
              <w:rPr>
                <w:rFonts w:ascii="Gotham" w:hAnsi="Gotham" w:cs="Arial"/>
                <w:sz w:val="18"/>
                <w:szCs w:val="18"/>
              </w:rPr>
              <w:t>Las áreas estratégicas y temáticas para la transversalización de la perspectiva de género del Programa Municipal a través del Sistema son las siguientes:</w:t>
            </w:r>
          </w:p>
          <w:p w14:paraId="3A47633B" w14:textId="77777777" w:rsidR="009B5E39" w:rsidRPr="001335C7" w:rsidRDefault="009B5E39" w:rsidP="00190E4A">
            <w:pPr>
              <w:jc w:val="both"/>
              <w:rPr>
                <w:rFonts w:ascii="Gotham" w:hAnsi="Gotham" w:cs="Arial"/>
                <w:sz w:val="18"/>
                <w:szCs w:val="18"/>
              </w:rPr>
            </w:pPr>
          </w:p>
          <w:p w14:paraId="3A47633C" w14:textId="77777777" w:rsidR="009B5E39" w:rsidRPr="001335C7" w:rsidRDefault="009B5E39" w:rsidP="00E5394F">
            <w:pPr>
              <w:numPr>
                <w:ilvl w:val="0"/>
                <w:numId w:val="253"/>
              </w:numPr>
              <w:ind w:left="567" w:hanging="578"/>
              <w:jc w:val="both"/>
              <w:rPr>
                <w:rFonts w:ascii="Gotham" w:hAnsi="Gotham" w:cs="Arial"/>
                <w:sz w:val="18"/>
                <w:szCs w:val="18"/>
              </w:rPr>
            </w:pPr>
            <w:r w:rsidRPr="001335C7">
              <w:rPr>
                <w:rFonts w:ascii="Gotham" w:hAnsi="Gotham" w:cs="Arial"/>
                <w:sz w:val="18"/>
                <w:szCs w:val="18"/>
              </w:rPr>
              <w:t>Planeación municipal;</w:t>
            </w:r>
          </w:p>
          <w:p w14:paraId="3A47633D" w14:textId="77777777" w:rsidR="009B5E39" w:rsidRPr="001335C7" w:rsidRDefault="009B5E39" w:rsidP="00190E4A">
            <w:pPr>
              <w:ind w:left="567" w:hanging="578"/>
              <w:jc w:val="both"/>
              <w:rPr>
                <w:rFonts w:ascii="Gotham" w:hAnsi="Gotham" w:cs="Arial"/>
                <w:sz w:val="18"/>
                <w:szCs w:val="18"/>
              </w:rPr>
            </w:pPr>
          </w:p>
          <w:p w14:paraId="3A47633E" w14:textId="77777777" w:rsidR="009B5E39" w:rsidRPr="001335C7" w:rsidRDefault="009B5E39" w:rsidP="00E5394F">
            <w:pPr>
              <w:numPr>
                <w:ilvl w:val="0"/>
                <w:numId w:val="253"/>
              </w:numPr>
              <w:ind w:left="567" w:hanging="578"/>
              <w:jc w:val="both"/>
              <w:rPr>
                <w:rFonts w:ascii="Gotham" w:hAnsi="Gotham" w:cs="Arial"/>
                <w:sz w:val="18"/>
                <w:szCs w:val="18"/>
              </w:rPr>
            </w:pPr>
            <w:r w:rsidRPr="001335C7">
              <w:rPr>
                <w:rFonts w:ascii="Gotham" w:hAnsi="Gotham" w:cs="Arial"/>
                <w:sz w:val="18"/>
                <w:szCs w:val="18"/>
              </w:rPr>
              <w:t>Presupuestación municipal;</w:t>
            </w:r>
          </w:p>
          <w:p w14:paraId="3A47633F" w14:textId="77777777" w:rsidR="009B5E39" w:rsidRPr="001335C7" w:rsidRDefault="009B5E39" w:rsidP="00190E4A">
            <w:pPr>
              <w:ind w:left="567" w:hanging="578"/>
              <w:jc w:val="both"/>
              <w:rPr>
                <w:rFonts w:ascii="Gotham" w:hAnsi="Gotham" w:cs="Arial"/>
                <w:sz w:val="18"/>
                <w:szCs w:val="18"/>
              </w:rPr>
            </w:pPr>
          </w:p>
          <w:p w14:paraId="3A476340" w14:textId="77777777" w:rsidR="009B5E39" w:rsidRPr="001335C7" w:rsidRDefault="009B5E39" w:rsidP="00E5394F">
            <w:pPr>
              <w:numPr>
                <w:ilvl w:val="0"/>
                <w:numId w:val="253"/>
              </w:numPr>
              <w:ind w:left="567" w:hanging="578"/>
              <w:jc w:val="both"/>
              <w:rPr>
                <w:rFonts w:ascii="Gotham" w:hAnsi="Gotham" w:cs="Arial"/>
                <w:sz w:val="18"/>
                <w:szCs w:val="18"/>
              </w:rPr>
            </w:pPr>
            <w:r w:rsidRPr="001335C7">
              <w:rPr>
                <w:rFonts w:ascii="Gotham" w:hAnsi="Gotham" w:cs="Arial"/>
                <w:sz w:val="18"/>
                <w:szCs w:val="18"/>
              </w:rPr>
              <w:t>Unidades de género; y</w:t>
            </w:r>
          </w:p>
          <w:p w14:paraId="3A476341" w14:textId="77777777" w:rsidR="009B5E39" w:rsidRPr="001335C7" w:rsidRDefault="009B5E39" w:rsidP="00190E4A">
            <w:pPr>
              <w:ind w:left="567" w:hanging="578"/>
              <w:jc w:val="both"/>
              <w:rPr>
                <w:rFonts w:ascii="Gotham" w:hAnsi="Gotham" w:cs="Arial"/>
                <w:sz w:val="18"/>
                <w:szCs w:val="18"/>
              </w:rPr>
            </w:pPr>
          </w:p>
          <w:p w14:paraId="3A476342" w14:textId="77777777" w:rsidR="009B5E39" w:rsidRPr="001335C7" w:rsidRDefault="009B5E39" w:rsidP="00E5394F">
            <w:pPr>
              <w:numPr>
                <w:ilvl w:val="0"/>
                <w:numId w:val="253"/>
              </w:numPr>
              <w:ind w:left="567" w:hanging="578"/>
              <w:jc w:val="both"/>
              <w:rPr>
                <w:rFonts w:ascii="Gotham" w:hAnsi="Gotham" w:cs="Arial"/>
                <w:sz w:val="18"/>
                <w:szCs w:val="18"/>
              </w:rPr>
            </w:pPr>
            <w:r w:rsidRPr="001335C7">
              <w:rPr>
                <w:rFonts w:ascii="Gotham" w:hAnsi="Gotham" w:cs="Arial"/>
                <w:sz w:val="18"/>
                <w:szCs w:val="18"/>
              </w:rPr>
              <w:t>Transversalización en las dependencias municipales.</w:t>
            </w:r>
          </w:p>
        </w:tc>
        <w:tc>
          <w:tcPr>
            <w:tcW w:w="4899" w:type="dxa"/>
            <w:shd w:val="clear" w:color="auto" w:fill="auto"/>
          </w:tcPr>
          <w:p w14:paraId="3A476343" w14:textId="77777777" w:rsidR="009B5E39" w:rsidRPr="001335C7" w:rsidRDefault="009B5E39" w:rsidP="00190E4A">
            <w:pPr>
              <w:jc w:val="both"/>
              <w:rPr>
                <w:rFonts w:ascii="Gotham" w:hAnsi="Gotham" w:cs="Arial"/>
                <w:b/>
                <w:sz w:val="18"/>
                <w:szCs w:val="18"/>
              </w:rPr>
            </w:pPr>
          </w:p>
          <w:p w14:paraId="3A476344"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69.- </w:t>
            </w:r>
            <w:r w:rsidRPr="001335C7">
              <w:rPr>
                <w:rFonts w:ascii="Gotham" w:hAnsi="Gotham" w:cs="Arial"/>
                <w:sz w:val="18"/>
                <w:szCs w:val="18"/>
              </w:rPr>
              <w:t>Las áreas estratégicas y temáticas para la transversalización de la perspectiva de género del Programa Municipal a través del Sistema son las siguientes:</w:t>
            </w:r>
          </w:p>
          <w:p w14:paraId="3A476345" w14:textId="77777777" w:rsidR="009B5E39" w:rsidRPr="001335C7" w:rsidRDefault="009B5E39" w:rsidP="00190E4A">
            <w:pPr>
              <w:jc w:val="both"/>
              <w:rPr>
                <w:rFonts w:ascii="Gotham" w:hAnsi="Gotham" w:cs="Arial"/>
                <w:sz w:val="18"/>
                <w:szCs w:val="18"/>
              </w:rPr>
            </w:pPr>
          </w:p>
          <w:p w14:paraId="3A476346" w14:textId="77777777" w:rsidR="009B5E39" w:rsidRPr="001335C7" w:rsidRDefault="009B5E39" w:rsidP="00E5394F">
            <w:pPr>
              <w:numPr>
                <w:ilvl w:val="0"/>
                <w:numId w:val="259"/>
              </w:numPr>
              <w:ind w:left="567" w:hanging="578"/>
              <w:jc w:val="both"/>
              <w:rPr>
                <w:rFonts w:ascii="Gotham" w:hAnsi="Gotham" w:cs="Arial"/>
                <w:sz w:val="18"/>
                <w:szCs w:val="18"/>
              </w:rPr>
            </w:pPr>
            <w:r w:rsidRPr="001335C7">
              <w:rPr>
                <w:rFonts w:ascii="Gotham" w:hAnsi="Gotham" w:cs="Arial"/>
                <w:sz w:val="18"/>
                <w:szCs w:val="18"/>
              </w:rPr>
              <w:t>Planeación municipal;</w:t>
            </w:r>
          </w:p>
          <w:p w14:paraId="3A476347" w14:textId="77777777" w:rsidR="009B5E39" w:rsidRPr="001335C7" w:rsidRDefault="009B5E39" w:rsidP="00190E4A">
            <w:pPr>
              <w:ind w:left="567" w:hanging="578"/>
              <w:jc w:val="both"/>
              <w:rPr>
                <w:rFonts w:ascii="Gotham" w:hAnsi="Gotham" w:cs="Arial"/>
                <w:sz w:val="18"/>
                <w:szCs w:val="18"/>
              </w:rPr>
            </w:pPr>
          </w:p>
          <w:p w14:paraId="3A476348" w14:textId="77777777" w:rsidR="009B5E39" w:rsidRPr="001335C7" w:rsidRDefault="009B5E39" w:rsidP="00E5394F">
            <w:pPr>
              <w:numPr>
                <w:ilvl w:val="0"/>
                <w:numId w:val="259"/>
              </w:numPr>
              <w:ind w:left="567" w:hanging="578"/>
              <w:jc w:val="both"/>
              <w:rPr>
                <w:rFonts w:ascii="Gotham" w:hAnsi="Gotham" w:cs="Arial"/>
                <w:sz w:val="18"/>
                <w:szCs w:val="18"/>
              </w:rPr>
            </w:pPr>
            <w:r w:rsidRPr="001335C7">
              <w:rPr>
                <w:rFonts w:ascii="Gotham" w:hAnsi="Gotham" w:cs="Arial"/>
                <w:sz w:val="18"/>
                <w:szCs w:val="18"/>
              </w:rPr>
              <w:t>Presupuestación municipal;</w:t>
            </w:r>
          </w:p>
          <w:p w14:paraId="3A476349" w14:textId="77777777" w:rsidR="009B5E39" w:rsidRPr="001335C7" w:rsidRDefault="009B5E39" w:rsidP="00190E4A">
            <w:pPr>
              <w:ind w:left="567" w:hanging="578"/>
              <w:jc w:val="both"/>
              <w:rPr>
                <w:rFonts w:ascii="Gotham" w:hAnsi="Gotham" w:cs="Arial"/>
                <w:sz w:val="18"/>
                <w:szCs w:val="18"/>
              </w:rPr>
            </w:pPr>
          </w:p>
          <w:p w14:paraId="3A47634A" w14:textId="77777777" w:rsidR="009B5E39" w:rsidRPr="001335C7" w:rsidRDefault="009B5E39" w:rsidP="00E5394F">
            <w:pPr>
              <w:numPr>
                <w:ilvl w:val="0"/>
                <w:numId w:val="259"/>
              </w:numPr>
              <w:ind w:left="567" w:hanging="578"/>
              <w:jc w:val="both"/>
              <w:rPr>
                <w:rFonts w:ascii="Gotham" w:hAnsi="Gotham" w:cs="Arial"/>
                <w:sz w:val="18"/>
                <w:szCs w:val="18"/>
              </w:rPr>
            </w:pPr>
            <w:r w:rsidRPr="001335C7">
              <w:rPr>
                <w:rFonts w:ascii="Gotham" w:hAnsi="Gotham" w:cs="Arial"/>
                <w:sz w:val="18"/>
                <w:szCs w:val="18"/>
              </w:rPr>
              <w:t xml:space="preserve">Unidades de género </w:t>
            </w:r>
            <w:r w:rsidRPr="001335C7">
              <w:rPr>
                <w:rFonts w:ascii="Gotham" w:hAnsi="Gotham" w:cs="Arial"/>
                <w:sz w:val="18"/>
                <w:szCs w:val="18"/>
                <w:highlight w:val="cyan"/>
              </w:rPr>
              <w:t>y no discriminación</w:t>
            </w:r>
            <w:r w:rsidRPr="001335C7">
              <w:rPr>
                <w:rFonts w:ascii="Gotham" w:hAnsi="Gotham" w:cs="Arial"/>
                <w:sz w:val="18"/>
                <w:szCs w:val="18"/>
              </w:rPr>
              <w:t>; y</w:t>
            </w:r>
          </w:p>
          <w:p w14:paraId="3A47634B" w14:textId="77777777" w:rsidR="009B5E39" w:rsidRPr="001335C7" w:rsidRDefault="009B5E39" w:rsidP="00190E4A">
            <w:pPr>
              <w:ind w:left="567" w:hanging="578"/>
              <w:jc w:val="both"/>
              <w:rPr>
                <w:rFonts w:ascii="Gotham" w:hAnsi="Gotham" w:cs="Arial"/>
                <w:sz w:val="18"/>
                <w:szCs w:val="18"/>
              </w:rPr>
            </w:pPr>
          </w:p>
          <w:p w14:paraId="3A47634C" w14:textId="77777777" w:rsidR="009B5E39" w:rsidRPr="001335C7" w:rsidRDefault="009B5E39" w:rsidP="00E5394F">
            <w:pPr>
              <w:numPr>
                <w:ilvl w:val="0"/>
                <w:numId w:val="259"/>
              </w:numPr>
              <w:ind w:left="567" w:hanging="578"/>
              <w:jc w:val="both"/>
              <w:rPr>
                <w:rFonts w:ascii="Gotham" w:hAnsi="Gotham" w:cs="Arial"/>
                <w:sz w:val="18"/>
                <w:szCs w:val="18"/>
              </w:rPr>
            </w:pPr>
            <w:r w:rsidRPr="001335C7">
              <w:rPr>
                <w:rFonts w:ascii="Gotham" w:hAnsi="Gotham" w:cs="Arial"/>
                <w:sz w:val="18"/>
                <w:szCs w:val="18"/>
              </w:rPr>
              <w:t>Transversalización en las dependencias municipales.</w:t>
            </w:r>
          </w:p>
          <w:p w14:paraId="3A47634D"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 </w:t>
            </w:r>
          </w:p>
        </w:tc>
      </w:tr>
      <w:tr w:rsidR="009B5E39" w:rsidRPr="001335C7" w14:paraId="3A476385" w14:textId="77777777" w:rsidTr="00190E4A">
        <w:tc>
          <w:tcPr>
            <w:tcW w:w="4898" w:type="dxa"/>
            <w:shd w:val="clear" w:color="auto" w:fill="auto"/>
          </w:tcPr>
          <w:p w14:paraId="3A47634F" w14:textId="77777777" w:rsidR="009B5E39" w:rsidRPr="001335C7" w:rsidRDefault="009B5E39" w:rsidP="00190E4A">
            <w:pPr>
              <w:jc w:val="center"/>
              <w:rPr>
                <w:rFonts w:ascii="Gotham" w:hAnsi="Gotham" w:cs="Arial"/>
                <w:sz w:val="18"/>
                <w:szCs w:val="18"/>
              </w:rPr>
            </w:pPr>
          </w:p>
          <w:p w14:paraId="3A476350" w14:textId="77777777" w:rsidR="009B5E39" w:rsidRPr="001335C7" w:rsidRDefault="009B5E39" w:rsidP="00190E4A">
            <w:pPr>
              <w:jc w:val="center"/>
              <w:rPr>
                <w:rFonts w:ascii="Gotham" w:hAnsi="Gotham" w:cs="Arial"/>
                <w:sz w:val="18"/>
                <w:szCs w:val="18"/>
              </w:rPr>
            </w:pPr>
            <w:r w:rsidRPr="001335C7">
              <w:rPr>
                <w:rFonts w:ascii="Gotham" w:hAnsi="Gotham" w:cs="Arial"/>
                <w:sz w:val="18"/>
                <w:szCs w:val="18"/>
              </w:rPr>
              <w:t xml:space="preserve">CAPÍTULO IV. </w:t>
            </w:r>
            <w:r w:rsidRPr="001335C7">
              <w:rPr>
                <w:rFonts w:ascii="Gotham" w:hAnsi="Gotham" w:cs="Arial"/>
                <w:sz w:val="18"/>
                <w:szCs w:val="18"/>
              </w:rPr>
              <w:br/>
              <w:t xml:space="preserve">DE LAS UNIDADES DE GÉNERO </w:t>
            </w:r>
          </w:p>
          <w:p w14:paraId="3A476351" w14:textId="77777777" w:rsidR="009B5E39" w:rsidRPr="001335C7" w:rsidRDefault="009B5E39" w:rsidP="00190E4A">
            <w:pPr>
              <w:jc w:val="both"/>
              <w:rPr>
                <w:rFonts w:ascii="Gotham" w:hAnsi="Gotham" w:cs="Arial"/>
                <w:b/>
                <w:sz w:val="18"/>
                <w:szCs w:val="18"/>
              </w:rPr>
            </w:pPr>
          </w:p>
          <w:p w14:paraId="3A476352" w14:textId="77777777" w:rsidR="009B5E39" w:rsidRPr="001335C7" w:rsidRDefault="009B5E39" w:rsidP="00190E4A">
            <w:pPr>
              <w:jc w:val="both"/>
              <w:rPr>
                <w:rFonts w:ascii="Gotham" w:hAnsi="Gotham" w:cs="Arial"/>
                <w:b/>
                <w:sz w:val="18"/>
                <w:szCs w:val="18"/>
              </w:rPr>
            </w:pPr>
          </w:p>
          <w:p w14:paraId="3A476353"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73.- </w:t>
            </w:r>
            <w:r w:rsidRPr="001335C7">
              <w:rPr>
                <w:rFonts w:ascii="Gotham" w:hAnsi="Gotham" w:cs="Arial"/>
                <w:sz w:val="18"/>
                <w:szCs w:val="18"/>
              </w:rPr>
              <w:t>Se procurará estar asignada una unidad de género en las siguientes dependencias municipales:</w:t>
            </w:r>
          </w:p>
          <w:p w14:paraId="3A476354" w14:textId="77777777" w:rsidR="009B5E39" w:rsidRPr="001335C7" w:rsidRDefault="009B5E39" w:rsidP="00190E4A">
            <w:pPr>
              <w:jc w:val="both"/>
              <w:rPr>
                <w:rFonts w:ascii="Gotham" w:hAnsi="Gotham" w:cs="Arial"/>
                <w:sz w:val="18"/>
                <w:szCs w:val="18"/>
              </w:rPr>
            </w:pPr>
          </w:p>
          <w:p w14:paraId="3A476355"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Coordinación General de Administración e Innovación Gubernamental;</w:t>
            </w:r>
          </w:p>
          <w:p w14:paraId="3A476356" w14:textId="77777777" w:rsidR="009B5E39" w:rsidRPr="001335C7" w:rsidRDefault="009B5E39" w:rsidP="00190E4A">
            <w:pPr>
              <w:ind w:left="567" w:hanging="578"/>
              <w:jc w:val="both"/>
              <w:rPr>
                <w:rFonts w:ascii="Gotham" w:hAnsi="Gotham" w:cs="Arial"/>
                <w:sz w:val="18"/>
                <w:szCs w:val="18"/>
              </w:rPr>
            </w:pPr>
          </w:p>
          <w:p w14:paraId="3A476357"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Coordinación General de Participación Ciudadana y Construcción de Comunidad;</w:t>
            </w:r>
          </w:p>
          <w:p w14:paraId="3A476358" w14:textId="77777777" w:rsidR="009B5E39" w:rsidRPr="001335C7" w:rsidRDefault="009B5E39" w:rsidP="00190E4A">
            <w:pPr>
              <w:jc w:val="both"/>
              <w:rPr>
                <w:rFonts w:ascii="Gotham" w:hAnsi="Gotham" w:cs="Arial"/>
                <w:sz w:val="18"/>
                <w:szCs w:val="18"/>
              </w:rPr>
            </w:pPr>
          </w:p>
          <w:p w14:paraId="3A476359"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Coordinación General de Desarrollo Económico y Combate a la Desigualdad;</w:t>
            </w:r>
          </w:p>
          <w:p w14:paraId="3A47635A" w14:textId="77777777" w:rsidR="009B5E39" w:rsidRPr="001335C7" w:rsidRDefault="009B5E39" w:rsidP="00190E4A">
            <w:pPr>
              <w:jc w:val="both"/>
              <w:rPr>
                <w:rFonts w:ascii="Gotham" w:hAnsi="Gotham" w:cs="Arial"/>
                <w:sz w:val="18"/>
                <w:szCs w:val="18"/>
              </w:rPr>
            </w:pPr>
          </w:p>
          <w:p w14:paraId="3A47635B"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Coordinación General de Servicios Municipales;</w:t>
            </w:r>
          </w:p>
          <w:p w14:paraId="3A47635C" w14:textId="77777777" w:rsidR="009B5E39" w:rsidRPr="001335C7" w:rsidRDefault="009B5E39" w:rsidP="00190E4A">
            <w:pPr>
              <w:jc w:val="both"/>
              <w:rPr>
                <w:rFonts w:ascii="Gotham" w:hAnsi="Gotham" w:cs="Arial"/>
                <w:sz w:val="18"/>
                <w:szCs w:val="18"/>
              </w:rPr>
            </w:pPr>
          </w:p>
          <w:p w14:paraId="3A47635D" w14:textId="77777777" w:rsidR="009B5E39" w:rsidRPr="001335C7" w:rsidRDefault="009B5E39" w:rsidP="00E5394F">
            <w:pPr>
              <w:numPr>
                <w:ilvl w:val="0"/>
                <w:numId w:val="267"/>
              </w:numPr>
              <w:ind w:left="567"/>
              <w:jc w:val="both"/>
              <w:rPr>
                <w:rFonts w:ascii="Gotham" w:hAnsi="Gotham" w:cs="Arial"/>
                <w:sz w:val="18"/>
                <w:szCs w:val="18"/>
              </w:rPr>
            </w:pPr>
            <w:r w:rsidRPr="001335C7">
              <w:rPr>
                <w:rFonts w:ascii="Gotham" w:hAnsi="Gotham" w:cs="Arial"/>
                <w:sz w:val="18"/>
                <w:szCs w:val="18"/>
              </w:rPr>
              <w:t>Comisaría de la Policía Preventiva Municipal;</w:t>
            </w:r>
          </w:p>
          <w:p w14:paraId="3A47635E" w14:textId="77777777" w:rsidR="009B5E39" w:rsidRPr="001335C7" w:rsidRDefault="009B5E39" w:rsidP="00190E4A">
            <w:pPr>
              <w:jc w:val="both"/>
              <w:rPr>
                <w:rFonts w:ascii="Gotham" w:hAnsi="Gotham" w:cs="Arial"/>
                <w:sz w:val="18"/>
                <w:szCs w:val="18"/>
              </w:rPr>
            </w:pPr>
          </w:p>
          <w:p w14:paraId="3A47635F"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lastRenderedPageBreak/>
              <w:t>Contraloría Municipal;</w:t>
            </w:r>
          </w:p>
          <w:p w14:paraId="3A476360" w14:textId="77777777" w:rsidR="009B5E39" w:rsidRPr="001335C7" w:rsidRDefault="009B5E39" w:rsidP="00190E4A">
            <w:pPr>
              <w:ind w:left="567" w:hanging="578"/>
              <w:jc w:val="both"/>
              <w:rPr>
                <w:rFonts w:ascii="Gotham" w:hAnsi="Gotham" w:cs="Arial"/>
                <w:sz w:val="18"/>
                <w:szCs w:val="18"/>
              </w:rPr>
            </w:pPr>
          </w:p>
          <w:p w14:paraId="3A476361"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Secretaría General;</w:t>
            </w:r>
          </w:p>
          <w:p w14:paraId="3A476362" w14:textId="77777777" w:rsidR="009B5E39" w:rsidRPr="001335C7" w:rsidRDefault="009B5E39" w:rsidP="00190E4A">
            <w:pPr>
              <w:ind w:left="567" w:hanging="578"/>
              <w:jc w:val="both"/>
              <w:rPr>
                <w:rFonts w:ascii="Gotham" w:hAnsi="Gotham" w:cs="Arial"/>
                <w:sz w:val="18"/>
                <w:szCs w:val="18"/>
              </w:rPr>
            </w:pPr>
          </w:p>
          <w:p w14:paraId="3A476363"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Sindicatura Municipal;</w:t>
            </w:r>
          </w:p>
          <w:p w14:paraId="3A476364" w14:textId="77777777" w:rsidR="009B5E39" w:rsidRPr="001335C7" w:rsidRDefault="009B5E39" w:rsidP="00190E4A">
            <w:pPr>
              <w:ind w:left="567" w:hanging="578"/>
              <w:jc w:val="both"/>
              <w:rPr>
                <w:rFonts w:ascii="Gotham" w:hAnsi="Gotham" w:cs="Arial"/>
                <w:sz w:val="18"/>
                <w:szCs w:val="18"/>
              </w:rPr>
            </w:pPr>
          </w:p>
          <w:p w14:paraId="3A476365"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Tesorería Municipal;</w:t>
            </w:r>
          </w:p>
          <w:p w14:paraId="3A476366" w14:textId="77777777" w:rsidR="009B5E39" w:rsidRPr="001335C7" w:rsidRDefault="009B5E39" w:rsidP="00190E4A">
            <w:pPr>
              <w:ind w:left="567" w:hanging="578"/>
              <w:jc w:val="both"/>
              <w:rPr>
                <w:rFonts w:ascii="Gotham" w:hAnsi="Gotham" w:cs="Arial"/>
                <w:sz w:val="18"/>
                <w:szCs w:val="18"/>
              </w:rPr>
            </w:pPr>
          </w:p>
          <w:p w14:paraId="3A476367"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Dirección General de Obras Públicas; y</w:t>
            </w:r>
          </w:p>
          <w:p w14:paraId="3A476368" w14:textId="77777777" w:rsidR="009B5E39" w:rsidRPr="001335C7" w:rsidRDefault="009B5E39" w:rsidP="00190E4A">
            <w:pPr>
              <w:ind w:left="567" w:hanging="578"/>
              <w:jc w:val="both"/>
              <w:rPr>
                <w:rFonts w:ascii="Gotham" w:hAnsi="Gotham" w:cs="Arial"/>
                <w:sz w:val="18"/>
                <w:szCs w:val="18"/>
              </w:rPr>
            </w:pPr>
          </w:p>
          <w:p w14:paraId="3A476369" w14:textId="77777777" w:rsidR="009B5E39" w:rsidRPr="001335C7" w:rsidRDefault="009B5E39" w:rsidP="00E5394F">
            <w:pPr>
              <w:numPr>
                <w:ilvl w:val="0"/>
                <w:numId w:val="267"/>
              </w:numPr>
              <w:ind w:left="567" w:hanging="578"/>
              <w:jc w:val="both"/>
              <w:rPr>
                <w:rFonts w:ascii="Gotham" w:hAnsi="Gotham" w:cs="Arial"/>
                <w:sz w:val="18"/>
                <w:szCs w:val="18"/>
              </w:rPr>
            </w:pPr>
            <w:r w:rsidRPr="001335C7">
              <w:rPr>
                <w:rFonts w:ascii="Gotham" w:hAnsi="Gotham" w:cs="Arial"/>
                <w:sz w:val="18"/>
                <w:szCs w:val="18"/>
              </w:rPr>
              <w:t>Dirección General de Ordenamiento Territorial.</w:t>
            </w:r>
          </w:p>
          <w:p w14:paraId="3A47636A" w14:textId="77777777" w:rsidR="009B5E39" w:rsidRPr="001335C7" w:rsidRDefault="009B5E39" w:rsidP="00190E4A">
            <w:pPr>
              <w:ind w:left="567"/>
              <w:jc w:val="both"/>
              <w:rPr>
                <w:rFonts w:ascii="Gotham" w:hAnsi="Gotham" w:cs="Arial"/>
                <w:sz w:val="18"/>
                <w:szCs w:val="18"/>
              </w:rPr>
            </w:pPr>
          </w:p>
        </w:tc>
        <w:tc>
          <w:tcPr>
            <w:tcW w:w="4899" w:type="dxa"/>
            <w:shd w:val="clear" w:color="auto" w:fill="auto"/>
          </w:tcPr>
          <w:p w14:paraId="3A47636B" w14:textId="77777777" w:rsidR="009B5E39" w:rsidRPr="001335C7" w:rsidRDefault="009B5E39" w:rsidP="00190E4A">
            <w:pPr>
              <w:jc w:val="center"/>
              <w:rPr>
                <w:rFonts w:ascii="Gotham" w:hAnsi="Gotham" w:cs="Arial"/>
                <w:sz w:val="18"/>
                <w:szCs w:val="18"/>
              </w:rPr>
            </w:pPr>
          </w:p>
          <w:p w14:paraId="3A47636C" w14:textId="77777777" w:rsidR="009B5E39" w:rsidRPr="001335C7" w:rsidRDefault="009B5E39" w:rsidP="00190E4A">
            <w:pPr>
              <w:jc w:val="center"/>
              <w:rPr>
                <w:rFonts w:ascii="Gotham" w:hAnsi="Gotham" w:cs="Arial"/>
                <w:sz w:val="18"/>
                <w:szCs w:val="18"/>
              </w:rPr>
            </w:pPr>
            <w:r w:rsidRPr="001335C7">
              <w:rPr>
                <w:rFonts w:ascii="Gotham" w:hAnsi="Gotham" w:cs="Arial"/>
                <w:sz w:val="18"/>
                <w:szCs w:val="18"/>
              </w:rPr>
              <w:t xml:space="preserve">CAPÍTULO IV. </w:t>
            </w:r>
            <w:r w:rsidRPr="001335C7">
              <w:rPr>
                <w:rFonts w:ascii="Gotham" w:hAnsi="Gotham" w:cs="Arial"/>
                <w:sz w:val="18"/>
                <w:szCs w:val="18"/>
              </w:rPr>
              <w:br/>
              <w:t xml:space="preserve">DE LAS UNIDADES DE GÉNERO </w:t>
            </w:r>
            <w:r w:rsidRPr="001335C7">
              <w:rPr>
                <w:rFonts w:ascii="Gotham" w:hAnsi="Gotham" w:cs="Arial"/>
                <w:sz w:val="18"/>
                <w:szCs w:val="18"/>
                <w:highlight w:val="cyan"/>
              </w:rPr>
              <w:t>Y  NO DISCRIMINACIÓN</w:t>
            </w:r>
          </w:p>
          <w:p w14:paraId="3A47636D" w14:textId="77777777" w:rsidR="009B5E39" w:rsidRPr="001335C7" w:rsidRDefault="009B5E39" w:rsidP="00190E4A">
            <w:pPr>
              <w:jc w:val="both"/>
              <w:rPr>
                <w:rFonts w:ascii="Gotham" w:hAnsi="Gotham" w:cs="Arial"/>
                <w:b/>
                <w:sz w:val="18"/>
                <w:szCs w:val="18"/>
              </w:rPr>
            </w:pPr>
          </w:p>
          <w:p w14:paraId="3A47636E"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73.- </w:t>
            </w:r>
            <w:r w:rsidRPr="001335C7">
              <w:rPr>
                <w:rFonts w:ascii="Gotham" w:hAnsi="Gotham" w:cs="Arial"/>
                <w:sz w:val="18"/>
                <w:szCs w:val="18"/>
              </w:rPr>
              <w:t xml:space="preserve">Se procurará estar asignada una unidad de género </w:t>
            </w:r>
            <w:r w:rsidRPr="001335C7">
              <w:rPr>
                <w:rFonts w:ascii="Gotham" w:hAnsi="Gotham" w:cs="Arial"/>
                <w:sz w:val="18"/>
                <w:szCs w:val="18"/>
                <w:highlight w:val="cyan"/>
              </w:rPr>
              <w:t>y no discriminación</w:t>
            </w:r>
            <w:r w:rsidRPr="001335C7">
              <w:rPr>
                <w:rFonts w:ascii="Gotham" w:hAnsi="Gotham" w:cs="Arial"/>
                <w:sz w:val="18"/>
                <w:szCs w:val="18"/>
              </w:rPr>
              <w:t xml:space="preserve"> en las siguientes dependencias municipales:</w:t>
            </w:r>
          </w:p>
          <w:p w14:paraId="3A47636F" w14:textId="77777777" w:rsidR="009B5E39" w:rsidRPr="001335C7" w:rsidRDefault="009B5E39" w:rsidP="00190E4A">
            <w:pPr>
              <w:jc w:val="both"/>
              <w:rPr>
                <w:rFonts w:ascii="Gotham" w:hAnsi="Gotham" w:cs="Arial"/>
                <w:sz w:val="18"/>
                <w:szCs w:val="18"/>
              </w:rPr>
            </w:pPr>
          </w:p>
          <w:p w14:paraId="3A476370" w14:textId="77777777" w:rsidR="009B5E39" w:rsidRPr="001335C7" w:rsidRDefault="009B5E39" w:rsidP="00E5394F">
            <w:pPr>
              <w:numPr>
                <w:ilvl w:val="0"/>
                <w:numId w:val="275"/>
              </w:numPr>
              <w:ind w:left="567" w:hanging="578"/>
              <w:jc w:val="both"/>
              <w:rPr>
                <w:rFonts w:ascii="Gotham" w:hAnsi="Gotham" w:cs="Arial"/>
                <w:sz w:val="18"/>
                <w:szCs w:val="18"/>
                <w:highlight w:val="cyan"/>
              </w:rPr>
            </w:pPr>
            <w:r w:rsidRPr="001335C7">
              <w:rPr>
                <w:rFonts w:ascii="Gotham" w:hAnsi="Gotham" w:cs="Arial"/>
                <w:sz w:val="18"/>
                <w:szCs w:val="18"/>
                <w:highlight w:val="cyan"/>
              </w:rPr>
              <w:t>Dirección General de Administración y Desarrollo Humano;</w:t>
            </w:r>
          </w:p>
          <w:p w14:paraId="3A476371" w14:textId="77777777" w:rsidR="009B5E39" w:rsidRPr="001335C7" w:rsidRDefault="009B5E39" w:rsidP="00190E4A">
            <w:pPr>
              <w:ind w:left="567" w:hanging="578"/>
              <w:jc w:val="both"/>
              <w:rPr>
                <w:rFonts w:ascii="Gotham" w:hAnsi="Gotham" w:cs="Arial"/>
                <w:sz w:val="18"/>
                <w:szCs w:val="18"/>
                <w:highlight w:val="cyan"/>
              </w:rPr>
            </w:pPr>
          </w:p>
          <w:p w14:paraId="3A476372" w14:textId="77777777" w:rsidR="009B5E39" w:rsidRPr="001335C7" w:rsidRDefault="009B5E39" w:rsidP="00E5394F">
            <w:pPr>
              <w:numPr>
                <w:ilvl w:val="0"/>
                <w:numId w:val="275"/>
              </w:numPr>
              <w:ind w:left="567" w:hanging="578"/>
              <w:jc w:val="both"/>
              <w:rPr>
                <w:rFonts w:ascii="Gotham" w:hAnsi="Gotham" w:cs="Arial"/>
                <w:sz w:val="18"/>
                <w:szCs w:val="18"/>
                <w:highlight w:val="cyan"/>
              </w:rPr>
            </w:pPr>
            <w:r w:rsidRPr="001335C7">
              <w:rPr>
                <w:rFonts w:ascii="Gotham" w:hAnsi="Gotham" w:cs="Arial"/>
                <w:sz w:val="18"/>
                <w:szCs w:val="18"/>
                <w:highlight w:val="cyan"/>
              </w:rPr>
              <w:t>Dirección General de Bienestar Social;</w:t>
            </w:r>
          </w:p>
          <w:p w14:paraId="3A476373" w14:textId="77777777" w:rsidR="009B5E39" w:rsidRPr="001335C7" w:rsidRDefault="009B5E39" w:rsidP="00190E4A">
            <w:pPr>
              <w:jc w:val="both"/>
              <w:rPr>
                <w:rFonts w:ascii="Gotham" w:hAnsi="Gotham" w:cs="Arial"/>
                <w:sz w:val="18"/>
                <w:szCs w:val="18"/>
              </w:rPr>
            </w:pPr>
          </w:p>
          <w:p w14:paraId="3A476374" w14:textId="77777777" w:rsidR="009B5E39" w:rsidRPr="001335C7" w:rsidRDefault="009B5E39" w:rsidP="00E5394F">
            <w:pPr>
              <w:numPr>
                <w:ilvl w:val="0"/>
                <w:numId w:val="275"/>
              </w:numPr>
              <w:ind w:left="567" w:hanging="578"/>
              <w:jc w:val="both"/>
              <w:rPr>
                <w:rFonts w:ascii="Gotham" w:hAnsi="Gotham" w:cs="Arial"/>
                <w:sz w:val="18"/>
                <w:szCs w:val="18"/>
                <w:highlight w:val="cyan"/>
              </w:rPr>
            </w:pPr>
            <w:r w:rsidRPr="001335C7">
              <w:rPr>
                <w:rFonts w:ascii="Gotham" w:hAnsi="Gotham" w:cs="Arial"/>
                <w:sz w:val="18"/>
                <w:szCs w:val="18"/>
                <w:highlight w:val="cyan"/>
              </w:rPr>
              <w:t>Dirección General de Atracción a la Inversión;</w:t>
            </w:r>
          </w:p>
          <w:p w14:paraId="3A476375" w14:textId="77777777" w:rsidR="009B5E39" w:rsidRPr="001335C7" w:rsidRDefault="009B5E39" w:rsidP="00190E4A">
            <w:pPr>
              <w:jc w:val="both"/>
              <w:rPr>
                <w:rFonts w:ascii="Gotham" w:hAnsi="Gotham" w:cs="Arial"/>
                <w:sz w:val="18"/>
                <w:szCs w:val="18"/>
                <w:highlight w:val="cyan"/>
              </w:rPr>
            </w:pPr>
          </w:p>
          <w:p w14:paraId="3A476376" w14:textId="77777777" w:rsidR="009B5E39" w:rsidRPr="001335C7" w:rsidRDefault="009B5E39" w:rsidP="00E5394F">
            <w:pPr>
              <w:numPr>
                <w:ilvl w:val="0"/>
                <w:numId w:val="275"/>
              </w:numPr>
              <w:ind w:left="567" w:hanging="578"/>
              <w:jc w:val="both"/>
              <w:rPr>
                <w:rFonts w:ascii="Gotham" w:hAnsi="Gotham" w:cs="Arial"/>
                <w:sz w:val="18"/>
                <w:szCs w:val="18"/>
                <w:highlight w:val="cyan"/>
              </w:rPr>
            </w:pPr>
            <w:r w:rsidRPr="001335C7">
              <w:rPr>
                <w:rFonts w:ascii="Gotham" w:hAnsi="Gotham" w:cs="Arial"/>
                <w:sz w:val="18"/>
                <w:szCs w:val="18"/>
                <w:highlight w:val="cyan"/>
              </w:rPr>
              <w:t>Dirección General de Servicios Públicos Municipales;</w:t>
            </w:r>
          </w:p>
          <w:p w14:paraId="3A476377" w14:textId="77777777" w:rsidR="009B5E39" w:rsidRPr="001335C7" w:rsidRDefault="009B5E39" w:rsidP="00190E4A">
            <w:pPr>
              <w:jc w:val="both"/>
              <w:rPr>
                <w:rFonts w:ascii="Gotham" w:hAnsi="Gotham" w:cs="Arial"/>
                <w:sz w:val="18"/>
                <w:szCs w:val="18"/>
                <w:highlight w:val="cyan"/>
              </w:rPr>
            </w:pPr>
          </w:p>
          <w:p w14:paraId="3A476378" w14:textId="77777777" w:rsidR="009B5E39" w:rsidRPr="001335C7" w:rsidRDefault="009B5E39" w:rsidP="00E5394F">
            <w:pPr>
              <w:numPr>
                <w:ilvl w:val="0"/>
                <w:numId w:val="275"/>
              </w:numPr>
              <w:ind w:left="567"/>
              <w:jc w:val="both"/>
              <w:rPr>
                <w:rFonts w:ascii="Gotham" w:hAnsi="Gotham" w:cs="Arial"/>
                <w:sz w:val="18"/>
                <w:szCs w:val="18"/>
                <w:highlight w:val="cyan"/>
              </w:rPr>
            </w:pPr>
            <w:r w:rsidRPr="001335C7">
              <w:rPr>
                <w:rFonts w:ascii="Gotham" w:hAnsi="Gotham" w:cs="Arial"/>
                <w:sz w:val="18"/>
                <w:szCs w:val="18"/>
                <w:highlight w:val="cyan"/>
              </w:rPr>
              <w:t>Coordinación del Gabinete de Seguridad, Prevención y Servicios de Emergencia;</w:t>
            </w:r>
          </w:p>
          <w:p w14:paraId="3A476379" w14:textId="77777777" w:rsidR="009B5E39" w:rsidRPr="001335C7" w:rsidRDefault="009B5E39" w:rsidP="00190E4A">
            <w:pPr>
              <w:jc w:val="both"/>
              <w:rPr>
                <w:rFonts w:ascii="Gotham" w:hAnsi="Gotham" w:cs="Arial"/>
                <w:sz w:val="18"/>
                <w:szCs w:val="18"/>
                <w:highlight w:val="cyan"/>
              </w:rPr>
            </w:pPr>
          </w:p>
          <w:p w14:paraId="3A47637A" w14:textId="77777777" w:rsidR="009B5E39" w:rsidRPr="001335C7" w:rsidRDefault="009B5E39" w:rsidP="00E5394F">
            <w:pPr>
              <w:numPr>
                <w:ilvl w:val="0"/>
                <w:numId w:val="275"/>
              </w:numPr>
              <w:ind w:left="567" w:hanging="578"/>
              <w:jc w:val="both"/>
              <w:rPr>
                <w:rFonts w:ascii="Gotham" w:hAnsi="Gotham" w:cs="Arial"/>
                <w:sz w:val="18"/>
                <w:szCs w:val="18"/>
                <w:highlight w:val="cyan"/>
              </w:rPr>
            </w:pPr>
            <w:r w:rsidRPr="001335C7">
              <w:rPr>
                <w:rFonts w:ascii="Gotham" w:hAnsi="Gotham" w:cs="Arial"/>
                <w:sz w:val="18"/>
                <w:szCs w:val="18"/>
                <w:highlight w:val="cyan"/>
              </w:rPr>
              <w:t>Órgano Interno de Control;</w:t>
            </w:r>
          </w:p>
          <w:p w14:paraId="3A47637B" w14:textId="77777777" w:rsidR="009B5E39" w:rsidRPr="001335C7" w:rsidRDefault="009B5E39" w:rsidP="00190E4A">
            <w:pPr>
              <w:ind w:left="567" w:hanging="578"/>
              <w:jc w:val="both"/>
              <w:rPr>
                <w:rFonts w:ascii="Gotham" w:hAnsi="Gotham" w:cs="Arial"/>
                <w:sz w:val="18"/>
                <w:szCs w:val="18"/>
              </w:rPr>
            </w:pPr>
          </w:p>
          <w:p w14:paraId="3A47637C" w14:textId="77777777" w:rsidR="009B5E39" w:rsidRPr="001335C7" w:rsidRDefault="009B5E39" w:rsidP="00E5394F">
            <w:pPr>
              <w:numPr>
                <w:ilvl w:val="0"/>
                <w:numId w:val="275"/>
              </w:numPr>
              <w:ind w:left="567" w:hanging="578"/>
              <w:jc w:val="both"/>
              <w:rPr>
                <w:rFonts w:ascii="Gotham" w:hAnsi="Gotham" w:cs="Arial"/>
                <w:sz w:val="18"/>
                <w:szCs w:val="18"/>
              </w:rPr>
            </w:pPr>
            <w:r w:rsidRPr="001335C7">
              <w:rPr>
                <w:rFonts w:ascii="Gotham" w:hAnsi="Gotham" w:cs="Arial"/>
                <w:sz w:val="18"/>
                <w:szCs w:val="18"/>
              </w:rPr>
              <w:t>Secretaría General;</w:t>
            </w:r>
          </w:p>
          <w:p w14:paraId="3A47637D" w14:textId="77777777" w:rsidR="009B5E39" w:rsidRPr="001335C7" w:rsidRDefault="009B5E39" w:rsidP="00190E4A">
            <w:pPr>
              <w:ind w:left="567" w:hanging="578"/>
              <w:jc w:val="both"/>
              <w:rPr>
                <w:rFonts w:ascii="Gotham" w:hAnsi="Gotham" w:cs="Arial"/>
                <w:sz w:val="18"/>
                <w:szCs w:val="18"/>
              </w:rPr>
            </w:pPr>
          </w:p>
          <w:p w14:paraId="3A47637E" w14:textId="77777777" w:rsidR="009B5E39" w:rsidRPr="001335C7" w:rsidRDefault="009B5E39" w:rsidP="00E5394F">
            <w:pPr>
              <w:numPr>
                <w:ilvl w:val="0"/>
                <w:numId w:val="275"/>
              </w:numPr>
              <w:ind w:left="567" w:hanging="578"/>
              <w:jc w:val="both"/>
              <w:rPr>
                <w:rFonts w:ascii="Gotham" w:hAnsi="Gotham" w:cs="Arial"/>
                <w:sz w:val="18"/>
                <w:szCs w:val="18"/>
              </w:rPr>
            </w:pPr>
            <w:r w:rsidRPr="001335C7">
              <w:rPr>
                <w:rFonts w:ascii="Gotham" w:hAnsi="Gotham" w:cs="Arial"/>
                <w:sz w:val="18"/>
                <w:szCs w:val="18"/>
              </w:rPr>
              <w:t>Sindicatura Municipal;</w:t>
            </w:r>
          </w:p>
          <w:p w14:paraId="3A47637F" w14:textId="77777777" w:rsidR="009B5E39" w:rsidRPr="001335C7" w:rsidRDefault="009B5E39" w:rsidP="00190E4A">
            <w:pPr>
              <w:ind w:left="567" w:hanging="578"/>
              <w:jc w:val="both"/>
              <w:rPr>
                <w:rFonts w:ascii="Gotham" w:hAnsi="Gotham" w:cs="Arial"/>
                <w:sz w:val="18"/>
                <w:szCs w:val="18"/>
                <w:highlight w:val="cyan"/>
              </w:rPr>
            </w:pPr>
          </w:p>
          <w:p w14:paraId="3A476380" w14:textId="77777777" w:rsidR="009B5E39" w:rsidRPr="001335C7" w:rsidRDefault="009B5E39" w:rsidP="00E5394F">
            <w:pPr>
              <w:numPr>
                <w:ilvl w:val="0"/>
                <w:numId w:val="275"/>
              </w:numPr>
              <w:ind w:left="567" w:hanging="578"/>
              <w:jc w:val="both"/>
              <w:rPr>
                <w:rFonts w:ascii="Gotham" w:hAnsi="Gotham" w:cs="Arial"/>
                <w:sz w:val="18"/>
                <w:szCs w:val="18"/>
                <w:highlight w:val="cyan"/>
              </w:rPr>
            </w:pPr>
            <w:r w:rsidRPr="001335C7">
              <w:rPr>
                <w:rFonts w:ascii="Gotham" w:hAnsi="Gotham" w:cs="Arial"/>
                <w:sz w:val="18"/>
                <w:szCs w:val="18"/>
                <w:highlight w:val="cyan"/>
              </w:rPr>
              <w:t>Hacienda Municipal;</w:t>
            </w:r>
          </w:p>
          <w:p w14:paraId="3A476381" w14:textId="77777777" w:rsidR="009B5E39" w:rsidRPr="001335C7" w:rsidRDefault="009B5E39" w:rsidP="00190E4A">
            <w:pPr>
              <w:ind w:left="567" w:hanging="578"/>
              <w:jc w:val="both"/>
              <w:rPr>
                <w:rFonts w:ascii="Gotham" w:hAnsi="Gotham" w:cs="Arial"/>
                <w:sz w:val="18"/>
                <w:szCs w:val="18"/>
              </w:rPr>
            </w:pPr>
          </w:p>
          <w:p w14:paraId="3A476382" w14:textId="77777777" w:rsidR="009B5E39" w:rsidRPr="001335C7" w:rsidRDefault="009B5E39" w:rsidP="00E5394F">
            <w:pPr>
              <w:numPr>
                <w:ilvl w:val="0"/>
                <w:numId w:val="275"/>
              </w:numPr>
              <w:ind w:left="567" w:hanging="578"/>
              <w:jc w:val="both"/>
              <w:rPr>
                <w:rFonts w:ascii="Gotham" w:hAnsi="Gotham" w:cs="Arial"/>
                <w:sz w:val="18"/>
                <w:szCs w:val="18"/>
              </w:rPr>
            </w:pPr>
            <w:r w:rsidRPr="001335C7">
              <w:rPr>
                <w:rFonts w:ascii="Gotham" w:hAnsi="Gotham" w:cs="Arial"/>
                <w:sz w:val="18"/>
                <w:szCs w:val="18"/>
              </w:rPr>
              <w:t>Dirección General de Obras Públicas; y</w:t>
            </w:r>
          </w:p>
          <w:p w14:paraId="3A476383" w14:textId="77777777" w:rsidR="009B5E39" w:rsidRPr="001335C7" w:rsidRDefault="009B5E39" w:rsidP="00190E4A">
            <w:pPr>
              <w:ind w:left="567" w:hanging="578"/>
              <w:jc w:val="both"/>
              <w:rPr>
                <w:rFonts w:ascii="Gotham" w:hAnsi="Gotham" w:cs="Arial"/>
                <w:sz w:val="18"/>
                <w:szCs w:val="18"/>
                <w:highlight w:val="cyan"/>
              </w:rPr>
            </w:pPr>
          </w:p>
          <w:p w14:paraId="3A476384" w14:textId="77777777" w:rsidR="009B5E39" w:rsidRPr="001335C7" w:rsidRDefault="009B5E39" w:rsidP="00E5394F">
            <w:pPr>
              <w:numPr>
                <w:ilvl w:val="0"/>
                <w:numId w:val="275"/>
              </w:numPr>
              <w:ind w:left="567" w:hanging="578"/>
              <w:jc w:val="both"/>
              <w:rPr>
                <w:rFonts w:ascii="Gotham" w:hAnsi="Gotham" w:cs="Arial"/>
                <w:sz w:val="18"/>
                <w:szCs w:val="18"/>
                <w:highlight w:val="cyan"/>
              </w:rPr>
            </w:pPr>
            <w:r w:rsidRPr="001335C7">
              <w:rPr>
                <w:rFonts w:ascii="Gotham" w:hAnsi="Gotham" w:cs="Arial"/>
                <w:sz w:val="18"/>
                <w:szCs w:val="18"/>
                <w:highlight w:val="cyan"/>
              </w:rPr>
              <w:t>Dirección General de Planeación y Desarrollo Urbano Sustentable.</w:t>
            </w:r>
          </w:p>
        </w:tc>
      </w:tr>
      <w:tr w:rsidR="009B5E39" w:rsidRPr="001335C7" w14:paraId="3A47638B" w14:textId="77777777" w:rsidTr="00190E4A">
        <w:tc>
          <w:tcPr>
            <w:tcW w:w="4898" w:type="dxa"/>
            <w:shd w:val="clear" w:color="auto" w:fill="auto"/>
          </w:tcPr>
          <w:p w14:paraId="3A476386" w14:textId="77777777" w:rsidR="009B5E39" w:rsidRPr="001335C7" w:rsidRDefault="009B5E39" w:rsidP="00190E4A">
            <w:pPr>
              <w:jc w:val="both"/>
              <w:rPr>
                <w:rFonts w:ascii="Gotham" w:hAnsi="Gotham" w:cs="Arial"/>
                <w:b/>
                <w:sz w:val="18"/>
                <w:szCs w:val="18"/>
              </w:rPr>
            </w:pPr>
          </w:p>
          <w:p w14:paraId="3A476387"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74.- </w:t>
            </w:r>
            <w:r w:rsidRPr="001335C7">
              <w:rPr>
                <w:rFonts w:ascii="Gotham" w:hAnsi="Gotham" w:cs="Arial"/>
                <w:sz w:val="18"/>
                <w:szCs w:val="18"/>
              </w:rPr>
              <w:t xml:space="preserve">La unidad de género estará conformada por una o un servidor público </w:t>
            </w:r>
            <w:r w:rsidRPr="001335C7">
              <w:rPr>
                <w:rFonts w:ascii="Gotham" w:hAnsi="Gotham" w:cs="Arial"/>
                <w:sz w:val="18"/>
                <w:szCs w:val="18"/>
                <w:highlight w:val="yellow"/>
              </w:rPr>
              <w:t>de nivel jerárquico superior, ya sea Dirección o Jefatura</w:t>
            </w:r>
            <w:r w:rsidRPr="001335C7">
              <w:rPr>
                <w:rFonts w:ascii="Gotham" w:hAnsi="Gotham" w:cs="Arial"/>
                <w:sz w:val="18"/>
                <w:szCs w:val="18"/>
              </w:rPr>
              <w:t xml:space="preserve"> y deberá </w:t>
            </w:r>
            <w:r w:rsidRPr="001335C7">
              <w:rPr>
                <w:rFonts w:ascii="Gotham" w:hAnsi="Gotham" w:cs="Arial"/>
                <w:sz w:val="18"/>
                <w:szCs w:val="18"/>
                <w:highlight w:val="yellow"/>
              </w:rPr>
              <w:t>conocer</w:t>
            </w:r>
            <w:r w:rsidRPr="001335C7">
              <w:rPr>
                <w:rFonts w:ascii="Gotham" w:hAnsi="Gotham" w:cs="Arial"/>
                <w:sz w:val="18"/>
                <w:szCs w:val="18"/>
              </w:rPr>
              <w:t xml:space="preserve"> la perspectiva de igualdad sustantiva e identificar la presencia de discriminaciones por razón de género.</w:t>
            </w:r>
            <w:r w:rsidRPr="001335C7">
              <w:rPr>
                <w:rFonts w:ascii="Gotham" w:hAnsi="Gotham" w:cs="Arial"/>
                <w:sz w:val="18"/>
                <w:szCs w:val="18"/>
              </w:rPr>
              <w:br/>
            </w:r>
          </w:p>
        </w:tc>
        <w:tc>
          <w:tcPr>
            <w:tcW w:w="4899" w:type="dxa"/>
            <w:shd w:val="clear" w:color="auto" w:fill="auto"/>
          </w:tcPr>
          <w:p w14:paraId="3A476388" w14:textId="77777777" w:rsidR="009B5E39" w:rsidRPr="001335C7" w:rsidRDefault="009B5E39" w:rsidP="00190E4A">
            <w:pPr>
              <w:ind w:left="1080"/>
              <w:jc w:val="both"/>
              <w:rPr>
                <w:rFonts w:ascii="Gotham" w:hAnsi="Gotham" w:cs="Arial"/>
                <w:b/>
                <w:sz w:val="18"/>
                <w:szCs w:val="18"/>
              </w:rPr>
            </w:pPr>
          </w:p>
          <w:p w14:paraId="3A476389"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74.- </w:t>
            </w:r>
            <w:r w:rsidRPr="001335C7">
              <w:rPr>
                <w:rFonts w:ascii="Gotham" w:hAnsi="Gotham" w:cs="Arial"/>
                <w:sz w:val="18"/>
                <w:szCs w:val="18"/>
              </w:rPr>
              <w:t xml:space="preserve">La unidad de género </w:t>
            </w:r>
            <w:r w:rsidRPr="001335C7">
              <w:rPr>
                <w:rFonts w:ascii="Gotham" w:hAnsi="Gotham" w:cs="Arial"/>
                <w:sz w:val="18"/>
                <w:szCs w:val="18"/>
                <w:highlight w:val="cyan"/>
              </w:rPr>
              <w:t>y no discriminación</w:t>
            </w:r>
            <w:r w:rsidRPr="001335C7">
              <w:rPr>
                <w:rFonts w:ascii="Gotham" w:hAnsi="Gotham" w:cs="Arial"/>
                <w:sz w:val="18"/>
                <w:szCs w:val="18"/>
              </w:rPr>
              <w:t xml:space="preserve"> estará conformada por una o un servidor público y deberá </w:t>
            </w:r>
            <w:r w:rsidRPr="001335C7">
              <w:rPr>
                <w:rFonts w:ascii="Gotham" w:hAnsi="Gotham" w:cs="Arial"/>
                <w:sz w:val="18"/>
                <w:szCs w:val="18"/>
                <w:highlight w:val="cyan"/>
              </w:rPr>
              <w:t>contar con experiencia y conocimientos probados en</w:t>
            </w:r>
            <w:r w:rsidRPr="001335C7">
              <w:rPr>
                <w:rFonts w:ascii="Gotham" w:hAnsi="Gotham" w:cs="Arial"/>
                <w:sz w:val="18"/>
                <w:szCs w:val="18"/>
              </w:rPr>
              <w:t xml:space="preserve"> la perspectiva </w:t>
            </w:r>
            <w:r w:rsidRPr="001335C7">
              <w:rPr>
                <w:rFonts w:ascii="Gotham" w:hAnsi="Gotham" w:cs="Arial"/>
                <w:sz w:val="18"/>
                <w:szCs w:val="18"/>
                <w:highlight w:val="cyan"/>
              </w:rPr>
              <w:t>de género e</w:t>
            </w:r>
            <w:r w:rsidRPr="001335C7">
              <w:rPr>
                <w:rFonts w:ascii="Gotham" w:hAnsi="Gotham" w:cs="Arial"/>
                <w:sz w:val="18"/>
                <w:szCs w:val="18"/>
              </w:rPr>
              <w:t xml:space="preserve"> igualdad sustantiva</w:t>
            </w:r>
            <w:r w:rsidRPr="001335C7">
              <w:rPr>
                <w:rFonts w:ascii="Gotham" w:hAnsi="Gotham" w:cs="Arial"/>
                <w:sz w:val="18"/>
                <w:szCs w:val="18"/>
                <w:highlight w:val="cyan"/>
              </w:rPr>
              <w:t>,</w:t>
            </w:r>
            <w:r w:rsidRPr="001335C7">
              <w:rPr>
                <w:rFonts w:ascii="Gotham" w:hAnsi="Gotham" w:cs="Arial"/>
                <w:sz w:val="18"/>
                <w:szCs w:val="18"/>
              </w:rPr>
              <w:t xml:space="preserve"> e identificar la presencia de discriminaciones por razón de género.</w:t>
            </w:r>
          </w:p>
          <w:p w14:paraId="3A47638A" w14:textId="77777777" w:rsidR="009B5E39" w:rsidRPr="001335C7" w:rsidRDefault="009B5E39" w:rsidP="00190E4A">
            <w:pPr>
              <w:jc w:val="both"/>
              <w:rPr>
                <w:rFonts w:ascii="Gotham" w:hAnsi="Gotham" w:cs="Arial"/>
                <w:sz w:val="18"/>
                <w:szCs w:val="18"/>
              </w:rPr>
            </w:pPr>
          </w:p>
        </w:tc>
      </w:tr>
      <w:tr w:rsidR="009B5E39" w:rsidRPr="001335C7" w14:paraId="3A476395" w14:textId="77777777" w:rsidTr="00190E4A">
        <w:tc>
          <w:tcPr>
            <w:tcW w:w="4898" w:type="dxa"/>
            <w:shd w:val="clear" w:color="auto" w:fill="auto"/>
          </w:tcPr>
          <w:p w14:paraId="3A47638C" w14:textId="77777777" w:rsidR="009B5E39" w:rsidRPr="001335C7" w:rsidRDefault="009B5E39" w:rsidP="00190E4A">
            <w:pPr>
              <w:jc w:val="both"/>
              <w:rPr>
                <w:rFonts w:ascii="Gotham" w:hAnsi="Gotham" w:cs="Arial"/>
                <w:b/>
                <w:sz w:val="18"/>
                <w:szCs w:val="18"/>
              </w:rPr>
            </w:pPr>
          </w:p>
          <w:p w14:paraId="3A47638D"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75.- </w:t>
            </w:r>
            <w:r w:rsidRPr="001335C7">
              <w:rPr>
                <w:rFonts w:ascii="Gotham" w:hAnsi="Gotham" w:cs="Arial"/>
                <w:sz w:val="18"/>
                <w:szCs w:val="18"/>
              </w:rPr>
              <w:t>Será la unidad de género</w:t>
            </w:r>
            <w:r w:rsidR="007C2F8D">
              <w:rPr>
                <w:rFonts w:ascii="Gotham" w:hAnsi="Gotham" w:cs="Arial"/>
                <w:sz w:val="18"/>
                <w:szCs w:val="18"/>
              </w:rPr>
              <w:t xml:space="preserve"> </w:t>
            </w:r>
            <w:r w:rsidRPr="001335C7">
              <w:rPr>
                <w:rFonts w:ascii="Gotham" w:hAnsi="Gotham" w:cs="Arial"/>
                <w:sz w:val="18"/>
                <w:szCs w:val="18"/>
              </w:rPr>
              <w:t>la que asuma como encomienda o comisión la de institucionalizar y transversalizar la perspectiva de género en relación a lo siguiente:</w:t>
            </w:r>
          </w:p>
          <w:p w14:paraId="3A47638E" w14:textId="77777777" w:rsidR="009B5E39" w:rsidRPr="001335C7" w:rsidRDefault="009B5E39" w:rsidP="00190E4A">
            <w:pPr>
              <w:jc w:val="both"/>
              <w:rPr>
                <w:rFonts w:ascii="Gotham" w:hAnsi="Gotham" w:cs="Arial"/>
                <w:sz w:val="18"/>
                <w:szCs w:val="18"/>
              </w:rPr>
            </w:pPr>
          </w:p>
          <w:p w14:paraId="3A47638F" w14:textId="77777777" w:rsidR="009B5E39" w:rsidRPr="001335C7" w:rsidRDefault="009B5E39" w:rsidP="00E5394F">
            <w:pPr>
              <w:numPr>
                <w:ilvl w:val="0"/>
                <w:numId w:val="252"/>
              </w:numPr>
              <w:ind w:left="567" w:hanging="578"/>
              <w:jc w:val="both"/>
              <w:rPr>
                <w:rFonts w:ascii="Gotham" w:hAnsi="Gotham" w:cs="Arial"/>
                <w:sz w:val="18"/>
                <w:szCs w:val="18"/>
              </w:rPr>
            </w:pPr>
            <w:r w:rsidRPr="001335C7">
              <w:rPr>
                <w:rFonts w:ascii="Gotham" w:hAnsi="Gotham" w:cs="Arial"/>
                <w:sz w:val="18"/>
                <w:szCs w:val="18"/>
              </w:rPr>
              <w:t xml:space="preserve">Una cultura institucional capaz de generar mecanismos, contenidos de difusión, reglamentos internos, manuales, normas, procesos de capacitación y sensibilización integrando la perspectiva de género y lenguaje incluyente con el propósito de gestionar la adecuación de los espacios con los principios de igualdad sustantiva </w:t>
            </w:r>
            <w:r w:rsidRPr="001335C7">
              <w:rPr>
                <w:rFonts w:ascii="Gotham" w:hAnsi="Gotham" w:cs="Arial"/>
                <w:sz w:val="18"/>
                <w:szCs w:val="18"/>
                <w:highlight w:val="yellow"/>
              </w:rPr>
              <w:t>entre mujeres y hombres</w:t>
            </w:r>
            <w:r w:rsidRPr="001335C7">
              <w:rPr>
                <w:rFonts w:ascii="Gotham" w:hAnsi="Gotham" w:cs="Arial"/>
                <w:sz w:val="18"/>
                <w:szCs w:val="18"/>
              </w:rPr>
              <w:t xml:space="preserve"> para promover relaciones igualitarias, corresponsabilidad y espacios libres de acoso sexual; y</w:t>
            </w:r>
          </w:p>
        </w:tc>
        <w:tc>
          <w:tcPr>
            <w:tcW w:w="4899" w:type="dxa"/>
            <w:shd w:val="clear" w:color="auto" w:fill="auto"/>
          </w:tcPr>
          <w:p w14:paraId="3A476390" w14:textId="77777777" w:rsidR="009B5E39" w:rsidRPr="001335C7" w:rsidRDefault="009B5E39" w:rsidP="00190E4A">
            <w:pPr>
              <w:jc w:val="both"/>
              <w:rPr>
                <w:rFonts w:ascii="Gotham" w:hAnsi="Gotham" w:cs="Arial"/>
                <w:b/>
                <w:sz w:val="18"/>
                <w:szCs w:val="18"/>
              </w:rPr>
            </w:pPr>
          </w:p>
          <w:p w14:paraId="3A476391"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75.- </w:t>
            </w:r>
            <w:r w:rsidRPr="001335C7">
              <w:rPr>
                <w:rFonts w:ascii="Gotham" w:hAnsi="Gotham" w:cs="Arial"/>
                <w:sz w:val="18"/>
                <w:szCs w:val="18"/>
              </w:rPr>
              <w:t xml:space="preserve">Será la unidad de género </w:t>
            </w:r>
            <w:r w:rsidRPr="001335C7">
              <w:rPr>
                <w:rFonts w:ascii="Gotham" w:hAnsi="Gotham" w:cs="Arial"/>
                <w:sz w:val="18"/>
                <w:szCs w:val="18"/>
                <w:highlight w:val="cyan"/>
              </w:rPr>
              <w:t>y no discriminación</w:t>
            </w:r>
            <w:r w:rsidR="007C2F8D">
              <w:rPr>
                <w:rFonts w:ascii="Gotham" w:hAnsi="Gotham" w:cs="Arial"/>
                <w:sz w:val="18"/>
                <w:szCs w:val="18"/>
              </w:rPr>
              <w:t xml:space="preserve"> </w:t>
            </w:r>
            <w:r w:rsidRPr="001335C7">
              <w:rPr>
                <w:rFonts w:ascii="Gotham" w:hAnsi="Gotham" w:cs="Arial"/>
                <w:sz w:val="18"/>
                <w:szCs w:val="18"/>
              </w:rPr>
              <w:t>la que asuma como encomienda o comisión la de institucionalizar y transversalizar la perspectiva de género en relación a lo siguiente:</w:t>
            </w:r>
          </w:p>
          <w:p w14:paraId="3A476392" w14:textId="77777777" w:rsidR="009B5E39" w:rsidRPr="001335C7" w:rsidRDefault="009B5E39" w:rsidP="00190E4A">
            <w:pPr>
              <w:ind w:left="1080"/>
              <w:jc w:val="both"/>
              <w:rPr>
                <w:rFonts w:ascii="Gotham" w:hAnsi="Gotham" w:cs="Arial"/>
                <w:sz w:val="18"/>
                <w:szCs w:val="18"/>
              </w:rPr>
            </w:pPr>
          </w:p>
          <w:p w14:paraId="3A476393" w14:textId="77777777" w:rsidR="009B5E39" w:rsidRPr="001335C7" w:rsidRDefault="009B5E39" w:rsidP="00E5394F">
            <w:pPr>
              <w:numPr>
                <w:ilvl w:val="0"/>
                <w:numId w:val="271"/>
              </w:numPr>
              <w:jc w:val="both"/>
              <w:rPr>
                <w:rFonts w:ascii="Gotham" w:hAnsi="Gotham" w:cs="Arial"/>
                <w:sz w:val="18"/>
                <w:szCs w:val="18"/>
              </w:rPr>
            </w:pPr>
            <w:r w:rsidRPr="001335C7">
              <w:rPr>
                <w:rFonts w:ascii="Gotham" w:hAnsi="Gotham" w:cs="Arial"/>
                <w:sz w:val="18"/>
                <w:szCs w:val="18"/>
              </w:rPr>
              <w:t>Una cultura institucional capaz de generar mecanismos, contenidos de difusión, reglamentos internos, manuales, normas, procesos de capacitación y sensibilización integrando la perspectiva de género y lenguaje incluyente con el propósito de gestionar la adecuación de los espacios con los principios de igualdad sustantiva para promover relaciones igualitarias, corresponsabilidad y espacios libres de acoso sexual; y</w:t>
            </w:r>
          </w:p>
          <w:p w14:paraId="3A476394" w14:textId="77777777" w:rsidR="009B5E39" w:rsidRPr="001335C7" w:rsidRDefault="009B5E39" w:rsidP="00190E4A">
            <w:pPr>
              <w:jc w:val="both"/>
              <w:rPr>
                <w:rFonts w:ascii="Gotham" w:hAnsi="Gotham" w:cs="Arial"/>
                <w:b/>
                <w:sz w:val="18"/>
                <w:szCs w:val="18"/>
              </w:rPr>
            </w:pPr>
          </w:p>
        </w:tc>
      </w:tr>
      <w:tr w:rsidR="009B5E39" w:rsidRPr="001335C7" w14:paraId="3A47639B" w14:textId="77777777" w:rsidTr="00190E4A">
        <w:tc>
          <w:tcPr>
            <w:tcW w:w="4898" w:type="dxa"/>
            <w:shd w:val="clear" w:color="auto" w:fill="auto"/>
          </w:tcPr>
          <w:p w14:paraId="3A476396" w14:textId="77777777" w:rsidR="009B5E39" w:rsidRPr="001335C7" w:rsidRDefault="009B5E39" w:rsidP="00190E4A">
            <w:pPr>
              <w:jc w:val="both"/>
              <w:rPr>
                <w:rFonts w:ascii="Gotham" w:hAnsi="Gotham" w:cs="Arial"/>
                <w:b/>
                <w:sz w:val="18"/>
                <w:szCs w:val="18"/>
              </w:rPr>
            </w:pPr>
          </w:p>
          <w:p w14:paraId="3A476397"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76.- </w:t>
            </w:r>
            <w:r w:rsidRPr="001335C7">
              <w:rPr>
                <w:rFonts w:ascii="Gotham" w:hAnsi="Gotham" w:cs="Arial"/>
                <w:sz w:val="18"/>
                <w:szCs w:val="18"/>
              </w:rPr>
              <w:t>La unidad de género podrá ser convocada por el Instituto con un término mínimo de cuarenta y ocho horas y generando una orden del día, a sesiones de trabajo y, en su caso, capacitación en materia de igualdad sustantiva.</w:t>
            </w:r>
          </w:p>
          <w:p w14:paraId="3A476398" w14:textId="77777777" w:rsidR="009B5E39" w:rsidRPr="001335C7" w:rsidRDefault="009B5E39" w:rsidP="00190E4A">
            <w:pPr>
              <w:widowControl w:val="0"/>
              <w:ind w:right="40"/>
              <w:jc w:val="both"/>
              <w:rPr>
                <w:rFonts w:ascii="Gotham" w:hAnsi="Gotham" w:cs="Arial"/>
                <w:b/>
                <w:sz w:val="18"/>
                <w:szCs w:val="18"/>
              </w:rPr>
            </w:pPr>
          </w:p>
        </w:tc>
        <w:tc>
          <w:tcPr>
            <w:tcW w:w="4899" w:type="dxa"/>
            <w:shd w:val="clear" w:color="auto" w:fill="auto"/>
          </w:tcPr>
          <w:p w14:paraId="3A476399" w14:textId="77777777" w:rsidR="009B5E39" w:rsidRPr="001335C7" w:rsidRDefault="009B5E39" w:rsidP="00190E4A">
            <w:pPr>
              <w:jc w:val="both"/>
              <w:rPr>
                <w:rFonts w:ascii="Gotham" w:hAnsi="Gotham" w:cs="Arial"/>
                <w:b/>
                <w:sz w:val="18"/>
                <w:szCs w:val="18"/>
              </w:rPr>
            </w:pPr>
          </w:p>
          <w:p w14:paraId="3A47639A"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76.- </w:t>
            </w:r>
            <w:r w:rsidRPr="001335C7">
              <w:rPr>
                <w:rFonts w:ascii="Gotham" w:hAnsi="Gotham" w:cs="Arial"/>
                <w:sz w:val="18"/>
                <w:szCs w:val="18"/>
              </w:rPr>
              <w:t xml:space="preserve">La unidad de género </w:t>
            </w:r>
            <w:r w:rsidRPr="001335C7">
              <w:rPr>
                <w:rFonts w:ascii="Gotham" w:hAnsi="Gotham" w:cs="Arial"/>
                <w:sz w:val="18"/>
                <w:szCs w:val="18"/>
                <w:highlight w:val="cyan"/>
              </w:rPr>
              <w:t>y no discriminación</w:t>
            </w:r>
            <w:r w:rsidRPr="001335C7">
              <w:rPr>
                <w:rFonts w:ascii="Gotham" w:hAnsi="Gotham" w:cs="Arial"/>
                <w:sz w:val="18"/>
                <w:szCs w:val="18"/>
              </w:rPr>
              <w:t xml:space="preserve"> podrá ser convocada por el Instituto con un término mínimo de cuarenta y ocho horas y generando una orden del día, a sesiones de trabajo y, en su caso, capacitación en materia de igualdad sustantiva.</w:t>
            </w:r>
          </w:p>
        </w:tc>
      </w:tr>
      <w:tr w:rsidR="009B5E39" w:rsidRPr="001335C7" w14:paraId="3A4763A2" w14:textId="77777777" w:rsidTr="00190E4A">
        <w:tc>
          <w:tcPr>
            <w:tcW w:w="4898" w:type="dxa"/>
            <w:shd w:val="clear" w:color="auto" w:fill="auto"/>
          </w:tcPr>
          <w:p w14:paraId="3A47639C" w14:textId="77777777" w:rsidR="009B5E39" w:rsidRPr="001335C7" w:rsidRDefault="009B5E39" w:rsidP="00190E4A">
            <w:pPr>
              <w:widowControl w:val="0"/>
              <w:ind w:right="40"/>
              <w:jc w:val="both"/>
              <w:rPr>
                <w:rFonts w:ascii="Gotham" w:hAnsi="Gotham" w:cs="Arial"/>
                <w:b/>
                <w:sz w:val="18"/>
                <w:szCs w:val="18"/>
              </w:rPr>
            </w:pPr>
          </w:p>
          <w:p w14:paraId="3A47639D"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77.- </w:t>
            </w:r>
            <w:r w:rsidRPr="001335C7">
              <w:rPr>
                <w:rFonts w:ascii="Gotham" w:hAnsi="Gotham" w:cs="Arial"/>
                <w:sz w:val="18"/>
                <w:szCs w:val="18"/>
              </w:rPr>
              <w:t>Cada unidad de género deberá presentar ante el Sistema, de forma semestral, un informe de trabajo y actividades donde se observe el avance sus programas, proyectos o acciones.</w:t>
            </w:r>
          </w:p>
          <w:p w14:paraId="3A47639E"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39F" w14:textId="77777777" w:rsidR="009B5E39" w:rsidRPr="001335C7" w:rsidRDefault="009B5E39" w:rsidP="00190E4A">
            <w:pPr>
              <w:widowControl w:val="0"/>
              <w:ind w:right="40"/>
              <w:jc w:val="both"/>
              <w:rPr>
                <w:rFonts w:ascii="Gotham" w:hAnsi="Gotham" w:cs="Arial"/>
                <w:b/>
                <w:sz w:val="18"/>
                <w:szCs w:val="18"/>
              </w:rPr>
            </w:pPr>
          </w:p>
          <w:p w14:paraId="3A4763A0"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77.- </w:t>
            </w:r>
            <w:r w:rsidRPr="001335C7">
              <w:rPr>
                <w:rFonts w:ascii="Gotham" w:hAnsi="Gotham" w:cs="Arial"/>
                <w:sz w:val="18"/>
                <w:szCs w:val="18"/>
              </w:rPr>
              <w:t xml:space="preserve">Cada unidad de género </w:t>
            </w:r>
            <w:r w:rsidRPr="001335C7">
              <w:rPr>
                <w:rFonts w:ascii="Gotham" w:hAnsi="Gotham" w:cs="Arial"/>
                <w:sz w:val="18"/>
                <w:szCs w:val="18"/>
                <w:highlight w:val="cyan"/>
              </w:rPr>
              <w:t>y no discriminación</w:t>
            </w:r>
            <w:r w:rsidRPr="001335C7">
              <w:rPr>
                <w:rFonts w:ascii="Gotham" w:hAnsi="Gotham" w:cs="Arial"/>
                <w:sz w:val="18"/>
                <w:szCs w:val="18"/>
              </w:rPr>
              <w:t xml:space="preserve"> deberá presentar ante el Sistema, de forma semestral, un informe de trabajo y actividades donde se observe el avance </w:t>
            </w:r>
            <w:r w:rsidRPr="001335C7">
              <w:rPr>
                <w:rFonts w:ascii="Gotham" w:hAnsi="Gotham" w:cs="Arial"/>
                <w:sz w:val="18"/>
                <w:szCs w:val="18"/>
                <w:highlight w:val="cyan"/>
              </w:rPr>
              <w:t>de</w:t>
            </w:r>
            <w:r w:rsidRPr="001335C7">
              <w:rPr>
                <w:rFonts w:ascii="Gotham" w:hAnsi="Gotham" w:cs="Arial"/>
                <w:sz w:val="18"/>
                <w:szCs w:val="18"/>
              </w:rPr>
              <w:t xml:space="preserve"> sus programas, proyectos o acciones.</w:t>
            </w:r>
          </w:p>
          <w:p w14:paraId="3A4763A1" w14:textId="77777777" w:rsidR="009B5E39" w:rsidRPr="001335C7" w:rsidRDefault="009B5E39" w:rsidP="00190E4A">
            <w:pPr>
              <w:jc w:val="both"/>
              <w:rPr>
                <w:rFonts w:ascii="Gotham" w:hAnsi="Gotham" w:cs="Arial"/>
                <w:b/>
                <w:sz w:val="18"/>
                <w:szCs w:val="18"/>
              </w:rPr>
            </w:pPr>
          </w:p>
        </w:tc>
      </w:tr>
      <w:tr w:rsidR="009B5E39" w:rsidRPr="001335C7" w14:paraId="3A4763A8" w14:textId="77777777" w:rsidTr="00190E4A">
        <w:tc>
          <w:tcPr>
            <w:tcW w:w="4898" w:type="dxa"/>
            <w:shd w:val="clear" w:color="auto" w:fill="auto"/>
          </w:tcPr>
          <w:p w14:paraId="3A4763A3" w14:textId="77777777" w:rsidR="009B5E39" w:rsidRPr="001335C7" w:rsidRDefault="009B5E39" w:rsidP="00190E4A">
            <w:pPr>
              <w:widowControl w:val="0"/>
              <w:ind w:right="40"/>
              <w:jc w:val="both"/>
              <w:rPr>
                <w:rFonts w:ascii="Gotham" w:hAnsi="Gotham" w:cs="Arial"/>
                <w:b/>
                <w:sz w:val="18"/>
                <w:szCs w:val="18"/>
              </w:rPr>
            </w:pPr>
          </w:p>
          <w:p w14:paraId="3A4763A4"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78.- </w:t>
            </w:r>
            <w:r w:rsidRPr="001335C7">
              <w:rPr>
                <w:rFonts w:ascii="Gotham" w:hAnsi="Gotham" w:cs="Arial"/>
                <w:sz w:val="18"/>
                <w:szCs w:val="18"/>
              </w:rPr>
              <w:t xml:space="preserve">Las políticas públicas y los programas públicos ejecutados por la Dirección de Servicios Médicos Municipales integrarán en su formulación, desarrollo y evaluación, las distintas necesidades de </w:t>
            </w:r>
            <w:r w:rsidRPr="001335C7">
              <w:rPr>
                <w:rFonts w:ascii="Gotham" w:hAnsi="Gotham" w:cs="Arial"/>
                <w:sz w:val="18"/>
                <w:szCs w:val="18"/>
                <w:highlight w:val="yellow"/>
              </w:rPr>
              <w:t>mujeres y hombres</w:t>
            </w:r>
            <w:r w:rsidRPr="001335C7">
              <w:rPr>
                <w:rFonts w:ascii="Gotham" w:hAnsi="Gotham" w:cs="Arial"/>
                <w:sz w:val="18"/>
                <w:szCs w:val="18"/>
              </w:rPr>
              <w:t xml:space="preserve"> en materia de salud, además de </w:t>
            </w:r>
            <w:r w:rsidRPr="001335C7">
              <w:rPr>
                <w:rFonts w:ascii="Gotham" w:hAnsi="Gotham" w:cs="Arial"/>
                <w:sz w:val="18"/>
                <w:szCs w:val="18"/>
              </w:rPr>
              <w:lastRenderedPageBreak/>
              <w:t>las correspondientes medidas para abordarlas adecuadamente.</w:t>
            </w:r>
          </w:p>
          <w:p w14:paraId="3A4763A5" w14:textId="77777777" w:rsidR="009B5E39" w:rsidRPr="001335C7" w:rsidRDefault="009B5E39" w:rsidP="00190E4A">
            <w:pPr>
              <w:widowControl w:val="0"/>
              <w:ind w:right="40"/>
              <w:jc w:val="both"/>
              <w:rPr>
                <w:rFonts w:ascii="Gotham" w:hAnsi="Gotham" w:cs="Arial"/>
                <w:b/>
                <w:sz w:val="18"/>
                <w:szCs w:val="18"/>
              </w:rPr>
            </w:pPr>
          </w:p>
        </w:tc>
        <w:tc>
          <w:tcPr>
            <w:tcW w:w="4899" w:type="dxa"/>
            <w:shd w:val="clear" w:color="auto" w:fill="auto"/>
          </w:tcPr>
          <w:p w14:paraId="3A4763A6" w14:textId="77777777" w:rsidR="009B5E39" w:rsidRPr="001335C7" w:rsidRDefault="009B5E39" w:rsidP="00190E4A">
            <w:pPr>
              <w:widowControl w:val="0"/>
              <w:ind w:right="40"/>
              <w:jc w:val="both"/>
              <w:rPr>
                <w:rFonts w:ascii="Gotham" w:hAnsi="Gotham" w:cs="Arial"/>
                <w:b/>
                <w:sz w:val="18"/>
                <w:szCs w:val="18"/>
              </w:rPr>
            </w:pPr>
          </w:p>
          <w:p w14:paraId="3A4763A7"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78.- </w:t>
            </w:r>
            <w:r w:rsidRPr="001335C7">
              <w:rPr>
                <w:rFonts w:ascii="Gotham" w:hAnsi="Gotham" w:cs="Arial"/>
                <w:sz w:val="18"/>
                <w:szCs w:val="18"/>
              </w:rPr>
              <w:t xml:space="preserve">Las políticas públicas y los programas públicos ejecutados por la Dirección de Servicios Médicos Municipales integrarán en su formulación, desarrollo y evaluación, las distintas necesidades de </w:t>
            </w:r>
            <w:r w:rsidRPr="001335C7">
              <w:rPr>
                <w:rFonts w:ascii="Gotham" w:hAnsi="Gotham" w:cs="Arial"/>
                <w:sz w:val="18"/>
                <w:szCs w:val="18"/>
                <w:highlight w:val="cyan"/>
              </w:rPr>
              <w:t>las personas con perspectiva de género,</w:t>
            </w:r>
            <w:r w:rsidRPr="001335C7">
              <w:rPr>
                <w:rFonts w:ascii="Gotham" w:hAnsi="Gotham" w:cs="Arial"/>
                <w:sz w:val="18"/>
                <w:szCs w:val="18"/>
              </w:rPr>
              <w:t xml:space="preserve"> en materia </w:t>
            </w:r>
            <w:r w:rsidRPr="001335C7">
              <w:rPr>
                <w:rFonts w:ascii="Gotham" w:hAnsi="Gotham" w:cs="Arial"/>
                <w:sz w:val="18"/>
                <w:szCs w:val="18"/>
              </w:rPr>
              <w:lastRenderedPageBreak/>
              <w:t>de salud, además de las correspondientes medidas para abordarlas adecuadamente.</w:t>
            </w:r>
          </w:p>
        </w:tc>
      </w:tr>
      <w:tr w:rsidR="009B5E39" w:rsidRPr="001335C7" w14:paraId="3A4763AE" w14:textId="77777777" w:rsidTr="00190E4A">
        <w:tc>
          <w:tcPr>
            <w:tcW w:w="4898" w:type="dxa"/>
            <w:shd w:val="clear" w:color="auto" w:fill="auto"/>
          </w:tcPr>
          <w:p w14:paraId="3A4763A9" w14:textId="77777777" w:rsidR="009B5E39" w:rsidRPr="001335C7" w:rsidRDefault="009B5E39" w:rsidP="00190E4A">
            <w:pPr>
              <w:widowControl w:val="0"/>
              <w:ind w:right="40"/>
              <w:jc w:val="both"/>
              <w:rPr>
                <w:rFonts w:ascii="Gotham" w:hAnsi="Gotham" w:cs="Arial"/>
                <w:b/>
                <w:sz w:val="18"/>
                <w:szCs w:val="18"/>
              </w:rPr>
            </w:pPr>
          </w:p>
          <w:p w14:paraId="3A4763AA" w14:textId="77777777" w:rsidR="009B5E39" w:rsidRPr="001335C7" w:rsidRDefault="009B5E39" w:rsidP="00190E4A">
            <w:pPr>
              <w:jc w:val="both"/>
              <w:rPr>
                <w:rFonts w:ascii="Gotham" w:hAnsi="Gotham" w:cs="Arial"/>
                <w:sz w:val="18"/>
                <w:szCs w:val="18"/>
                <w:highlight w:val="yellow"/>
              </w:rPr>
            </w:pPr>
            <w:r w:rsidRPr="001335C7">
              <w:rPr>
                <w:rFonts w:ascii="Gotham" w:hAnsi="Gotham" w:cs="Arial"/>
                <w:b/>
                <w:sz w:val="18"/>
                <w:szCs w:val="18"/>
              </w:rPr>
              <w:t xml:space="preserve">Artículo 79.- </w:t>
            </w:r>
            <w:r w:rsidRPr="001335C7">
              <w:rPr>
                <w:rFonts w:ascii="Gotham" w:hAnsi="Gotham" w:cs="Arial"/>
                <w:sz w:val="18"/>
                <w:szCs w:val="18"/>
              </w:rPr>
              <w:t xml:space="preserve">La Dirección de Servicios Médicos Municipales garantizará un derecho igualitario de la salud </w:t>
            </w:r>
            <w:r w:rsidRPr="001335C7">
              <w:rPr>
                <w:rFonts w:ascii="Gotham" w:hAnsi="Gotham" w:cs="Arial"/>
                <w:sz w:val="18"/>
                <w:szCs w:val="18"/>
                <w:highlight w:val="yellow"/>
              </w:rPr>
              <w:t>de mujeres y hombres</w:t>
            </w:r>
            <w:r w:rsidRPr="001335C7">
              <w:rPr>
                <w:rFonts w:ascii="Gotham" w:hAnsi="Gotham" w:cs="Arial"/>
                <w:sz w:val="18"/>
                <w:szCs w:val="18"/>
              </w:rPr>
              <w:t>, a través de los objetivos y las actuaciones de la política municipal de salud evitando que por diferencias biológicas o por los estereotipos sociales asociados, se produzca algún tipo de discriminación</w:t>
            </w:r>
            <w:r w:rsidRPr="001335C7">
              <w:rPr>
                <w:rFonts w:ascii="Gotham" w:hAnsi="Gotham" w:cs="Arial"/>
                <w:sz w:val="18"/>
                <w:szCs w:val="18"/>
                <w:highlight w:val="yellow"/>
              </w:rPr>
              <w:t xml:space="preserve"> entre mujeres y hombres.</w:t>
            </w:r>
          </w:p>
          <w:p w14:paraId="3A4763AB" w14:textId="77777777" w:rsidR="009B5E39" w:rsidRPr="001335C7" w:rsidRDefault="009B5E39" w:rsidP="00190E4A">
            <w:pPr>
              <w:widowControl w:val="0"/>
              <w:ind w:right="40"/>
              <w:jc w:val="both"/>
              <w:rPr>
                <w:rFonts w:ascii="Gotham" w:hAnsi="Gotham" w:cs="Arial"/>
                <w:b/>
                <w:sz w:val="18"/>
                <w:szCs w:val="18"/>
              </w:rPr>
            </w:pPr>
          </w:p>
        </w:tc>
        <w:tc>
          <w:tcPr>
            <w:tcW w:w="4899" w:type="dxa"/>
            <w:shd w:val="clear" w:color="auto" w:fill="auto"/>
          </w:tcPr>
          <w:p w14:paraId="3A4763AC" w14:textId="77777777" w:rsidR="009B5E39" w:rsidRPr="001335C7" w:rsidRDefault="009B5E39" w:rsidP="00190E4A">
            <w:pPr>
              <w:jc w:val="both"/>
              <w:rPr>
                <w:rFonts w:ascii="Gotham" w:hAnsi="Gotham" w:cs="Arial"/>
                <w:b/>
                <w:sz w:val="18"/>
                <w:szCs w:val="18"/>
              </w:rPr>
            </w:pPr>
          </w:p>
          <w:p w14:paraId="3A4763AD"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79.- </w:t>
            </w:r>
            <w:r w:rsidRPr="001335C7">
              <w:rPr>
                <w:rFonts w:ascii="Gotham" w:hAnsi="Gotham" w:cs="Arial"/>
                <w:sz w:val="18"/>
                <w:szCs w:val="18"/>
              </w:rPr>
              <w:t>La Dirección de Servicios Médicos Municipales garantizará un derecho igualitario de la salud, a través de los objetivos y las actuaciones de la política municipal de salud evitando que por diferencias biológicas o por los estereotipos sociales asociados, se produzca algún tipo de discriminación.</w:t>
            </w:r>
          </w:p>
        </w:tc>
      </w:tr>
      <w:tr w:rsidR="009B5E39" w:rsidRPr="001335C7" w14:paraId="3A4763C8" w14:textId="77777777" w:rsidTr="00190E4A">
        <w:tc>
          <w:tcPr>
            <w:tcW w:w="4898" w:type="dxa"/>
            <w:shd w:val="clear" w:color="auto" w:fill="auto"/>
          </w:tcPr>
          <w:p w14:paraId="3A4763AF" w14:textId="77777777" w:rsidR="009B5E39" w:rsidRPr="001335C7" w:rsidRDefault="009B5E39" w:rsidP="00190E4A">
            <w:pPr>
              <w:widowControl w:val="0"/>
              <w:ind w:right="40"/>
              <w:jc w:val="both"/>
              <w:rPr>
                <w:rFonts w:ascii="Gotham" w:hAnsi="Gotham" w:cs="Arial"/>
                <w:b/>
                <w:sz w:val="18"/>
                <w:szCs w:val="18"/>
              </w:rPr>
            </w:pPr>
          </w:p>
          <w:p w14:paraId="3A4763B0"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81.- </w:t>
            </w:r>
            <w:r w:rsidRPr="001335C7">
              <w:rPr>
                <w:rFonts w:ascii="Gotham" w:hAnsi="Gotham" w:cs="Arial"/>
                <w:sz w:val="18"/>
                <w:szCs w:val="18"/>
              </w:rPr>
              <w:t>En el ámbito de la vida económica y laboral, respecto de los permisos y licencias municipales se tendrán los siguientes objetivos prioritarios:</w:t>
            </w:r>
          </w:p>
          <w:p w14:paraId="3A4763B1" w14:textId="77777777" w:rsidR="009B5E39" w:rsidRPr="001335C7" w:rsidRDefault="009B5E39" w:rsidP="00190E4A">
            <w:pPr>
              <w:widowControl w:val="0"/>
              <w:ind w:right="40"/>
              <w:jc w:val="both"/>
              <w:rPr>
                <w:rFonts w:ascii="Gotham" w:hAnsi="Gotham" w:cs="Arial"/>
                <w:b/>
                <w:sz w:val="18"/>
                <w:szCs w:val="18"/>
              </w:rPr>
            </w:pPr>
          </w:p>
          <w:p w14:paraId="3A4763B2" w14:textId="77777777" w:rsidR="009B5E39" w:rsidRPr="001335C7" w:rsidRDefault="009B5E39" w:rsidP="00190E4A">
            <w:pPr>
              <w:widowControl w:val="0"/>
              <w:ind w:right="40"/>
              <w:jc w:val="both"/>
              <w:rPr>
                <w:rFonts w:ascii="Gotham" w:hAnsi="Gotham" w:cs="Arial"/>
                <w:b/>
                <w:sz w:val="18"/>
                <w:szCs w:val="18"/>
              </w:rPr>
            </w:pPr>
            <w:r w:rsidRPr="001335C7">
              <w:rPr>
                <w:rFonts w:ascii="Gotham" w:hAnsi="Gotham" w:cs="Arial"/>
                <w:b/>
                <w:sz w:val="18"/>
                <w:szCs w:val="18"/>
              </w:rPr>
              <w:t>(...)</w:t>
            </w:r>
          </w:p>
          <w:p w14:paraId="3A4763B3" w14:textId="77777777" w:rsidR="009B5E39" w:rsidRPr="001335C7" w:rsidRDefault="009B5E39" w:rsidP="00190E4A">
            <w:pPr>
              <w:widowControl w:val="0"/>
              <w:ind w:right="40"/>
              <w:jc w:val="both"/>
              <w:rPr>
                <w:rFonts w:ascii="Gotham" w:hAnsi="Gotham" w:cs="Arial"/>
                <w:b/>
                <w:sz w:val="18"/>
                <w:szCs w:val="18"/>
              </w:rPr>
            </w:pPr>
          </w:p>
          <w:p w14:paraId="3A4763B4"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III. Promover programas de formación y capacitación laboral </w:t>
            </w:r>
            <w:r w:rsidRPr="001335C7">
              <w:rPr>
                <w:rFonts w:ascii="Gotham" w:hAnsi="Gotham" w:cs="Arial"/>
                <w:sz w:val="18"/>
                <w:szCs w:val="18"/>
                <w:highlight w:val="yellow"/>
              </w:rPr>
              <w:t>para las mujeres y hombres del Municipio</w:t>
            </w:r>
            <w:r w:rsidRPr="001335C7">
              <w:rPr>
                <w:rFonts w:ascii="Gotham" w:hAnsi="Gotham" w:cs="Arial"/>
                <w:sz w:val="18"/>
                <w:szCs w:val="18"/>
              </w:rPr>
              <w:t xml:space="preserve">, erradicando los estereotipos sobre trabajos específicos para </w:t>
            </w:r>
            <w:r w:rsidRPr="001335C7">
              <w:rPr>
                <w:rFonts w:ascii="Gotham" w:hAnsi="Gotham" w:cs="Arial"/>
                <w:sz w:val="18"/>
                <w:szCs w:val="18"/>
                <w:highlight w:val="yellow"/>
              </w:rPr>
              <w:t>ellas</w:t>
            </w:r>
            <w:r w:rsidRPr="001335C7">
              <w:rPr>
                <w:rFonts w:ascii="Gotham" w:hAnsi="Gotham" w:cs="Arial"/>
                <w:sz w:val="18"/>
                <w:szCs w:val="18"/>
              </w:rPr>
              <w:t>;</w:t>
            </w:r>
          </w:p>
          <w:p w14:paraId="3A4763B5" w14:textId="77777777" w:rsidR="009B5E39" w:rsidRPr="001335C7" w:rsidRDefault="009B5E39" w:rsidP="00190E4A">
            <w:pPr>
              <w:jc w:val="both"/>
              <w:rPr>
                <w:rFonts w:ascii="Gotham" w:hAnsi="Gotham" w:cs="Arial"/>
                <w:sz w:val="18"/>
                <w:szCs w:val="18"/>
              </w:rPr>
            </w:pPr>
          </w:p>
          <w:p w14:paraId="3A4763B6"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IV. Elaborar indicadores estadísticos que contribuyan a un mejor conocimiento de las cuestiones relativas a la igualdad sustantiva </w:t>
            </w:r>
            <w:r w:rsidRPr="001335C7">
              <w:rPr>
                <w:rFonts w:ascii="Gotham" w:hAnsi="Gotham" w:cs="Arial"/>
                <w:sz w:val="18"/>
                <w:szCs w:val="18"/>
                <w:highlight w:val="yellow"/>
              </w:rPr>
              <w:t>entre mujeres y hombres</w:t>
            </w:r>
            <w:r w:rsidRPr="001335C7">
              <w:rPr>
                <w:rFonts w:ascii="Gotham" w:hAnsi="Gotham" w:cs="Arial"/>
                <w:sz w:val="18"/>
                <w:szCs w:val="18"/>
              </w:rPr>
              <w:t>;</w:t>
            </w:r>
          </w:p>
          <w:p w14:paraId="3A4763B7" w14:textId="77777777" w:rsidR="009B5E39" w:rsidRPr="001335C7" w:rsidRDefault="009B5E39" w:rsidP="00190E4A">
            <w:pPr>
              <w:jc w:val="both"/>
              <w:rPr>
                <w:rFonts w:ascii="Gotham" w:hAnsi="Gotham" w:cs="Arial"/>
                <w:sz w:val="18"/>
                <w:szCs w:val="18"/>
              </w:rPr>
            </w:pPr>
          </w:p>
          <w:p w14:paraId="3A4763B8"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V. Impulsar en el sector empresarial el diseño y la ejecución del Programa Municipal en materia de igualdad sustantiva; y</w:t>
            </w:r>
          </w:p>
          <w:p w14:paraId="3A4763B9" w14:textId="77777777" w:rsidR="009B5E39" w:rsidRPr="001335C7" w:rsidRDefault="009B5E39" w:rsidP="00190E4A">
            <w:pPr>
              <w:jc w:val="both"/>
              <w:rPr>
                <w:rFonts w:ascii="Gotham" w:hAnsi="Gotham" w:cs="Arial"/>
                <w:sz w:val="18"/>
                <w:szCs w:val="18"/>
              </w:rPr>
            </w:pPr>
          </w:p>
          <w:p w14:paraId="3A4763BA" w14:textId="77777777" w:rsidR="009B5E39" w:rsidRPr="001335C7" w:rsidRDefault="009B5E39" w:rsidP="00190E4A">
            <w:pPr>
              <w:jc w:val="both"/>
              <w:rPr>
                <w:rFonts w:ascii="Gotham" w:hAnsi="Gotham" w:cs="Arial"/>
                <w:sz w:val="18"/>
                <w:szCs w:val="18"/>
                <w:highlight w:val="yellow"/>
              </w:rPr>
            </w:pPr>
            <w:r w:rsidRPr="001335C7">
              <w:rPr>
                <w:rFonts w:ascii="Gotham" w:hAnsi="Gotham" w:cs="Arial"/>
                <w:sz w:val="18"/>
                <w:szCs w:val="18"/>
              </w:rPr>
              <w:t xml:space="preserve">VI. Promover el otorgamiento de estímulos municipales y reconocimientos, de conformidad a la capacidad presupuestaria del Ayuntamiento, a las empresas que hayan garantizado la igualdad sustantiva </w:t>
            </w:r>
            <w:r w:rsidRPr="001335C7">
              <w:rPr>
                <w:rFonts w:ascii="Gotham" w:hAnsi="Gotham" w:cs="Arial"/>
                <w:sz w:val="18"/>
                <w:szCs w:val="18"/>
                <w:highlight w:val="yellow"/>
              </w:rPr>
              <w:t>entre mujeres y hombres.</w:t>
            </w:r>
          </w:p>
          <w:p w14:paraId="3A4763BB"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3BC" w14:textId="77777777" w:rsidR="009B5E39" w:rsidRPr="001335C7" w:rsidRDefault="009B5E39" w:rsidP="00190E4A">
            <w:pPr>
              <w:jc w:val="both"/>
              <w:rPr>
                <w:rFonts w:ascii="Gotham" w:hAnsi="Gotham" w:cs="Arial"/>
                <w:b/>
                <w:sz w:val="18"/>
                <w:szCs w:val="18"/>
              </w:rPr>
            </w:pPr>
          </w:p>
          <w:p w14:paraId="3A4763BD"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81.- </w:t>
            </w:r>
            <w:r w:rsidRPr="001335C7">
              <w:rPr>
                <w:rFonts w:ascii="Gotham" w:hAnsi="Gotham" w:cs="Arial"/>
                <w:sz w:val="18"/>
                <w:szCs w:val="18"/>
              </w:rPr>
              <w:t>En el ámbito de la vida económica y laboral, respecto de los permisos y licencias municipales se tendrán los siguientes objetivos prioritarios:</w:t>
            </w:r>
          </w:p>
          <w:p w14:paraId="3A4763BE" w14:textId="77777777" w:rsidR="009B5E39" w:rsidRPr="001335C7" w:rsidRDefault="009B5E39" w:rsidP="00190E4A">
            <w:pPr>
              <w:widowControl w:val="0"/>
              <w:ind w:right="40"/>
              <w:jc w:val="both"/>
              <w:rPr>
                <w:rFonts w:ascii="Gotham" w:hAnsi="Gotham" w:cs="Arial"/>
                <w:b/>
                <w:sz w:val="18"/>
                <w:szCs w:val="18"/>
              </w:rPr>
            </w:pPr>
          </w:p>
          <w:p w14:paraId="3A4763BF" w14:textId="77777777" w:rsidR="009B5E39" w:rsidRPr="001335C7" w:rsidRDefault="009B5E39" w:rsidP="00190E4A">
            <w:pPr>
              <w:widowControl w:val="0"/>
              <w:ind w:right="40"/>
              <w:jc w:val="both"/>
              <w:rPr>
                <w:rFonts w:ascii="Gotham" w:hAnsi="Gotham" w:cs="Arial"/>
                <w:b/>
                <w:sz w:val="18"/>
                <w:szCs w:val="18"/>
              </w:rPr>
            </w:pPr>
            <w:r w:rsidRPr="001335C7">
              <w:rPr>
                <w:rFonts w:ascii="Gotham" w:hAnsi="Gotham" w:cs="Arial"/>
                <w:b/>
                <w:sz w:val="18"/>
                <w:szCs w:val="18"/>
              </w:rPr>
              <w:t>(...)</w:t>
            </w:r>
          </w:p>
          <w:p w14:paraId="3A4763C0" w14:textId="77777777" w:rsidR="009B5E39" w:rsidRPr="001335C7" w:rsidRDefault="009B5E39" w:rsidP="00190E4A">
            <w:pPr>
              <w:widowControl w:val="0"/>
              <w:ind w:right="40"/>
              <w:jc w:val="both"/>
              <w:rPr>
                <w:rFonts w:ascii="Gotham" w:hAnsi="Gotham" w:cs="Arial"/>
                <w:b/>
                <w:sz w:val="18"/>
                <w:szCs w:val="18"/>
              </w:rPr>
            </w:pPr>
          </w:p>
          <w:p w14:paraId="3A4763C1"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III. Promover programas de formación y capacitación laboral </w:t>
            </w:r>
            <w:r w:rsidRPr="001335C7">
              <w:rPr>
                <w:rFonts w:ascii="Gotham" w:hAnsi="Gotham" w:cs="Arial"/>
                <w:sz w:val="18"/>
                <w:szCs w:val="18"/>
                <w:highlight w:val="cyan"/>
              </w:rPr>
              <w:t>con perspectiva de género</w:t>
            </w:r>
            <w:r w:rsidRPr="001335C7">
              <w:rPr>
                <w:rFonts w:ascii="Gotham" w:hAnsi="Gotham" w:cs="Arial"/>
                <w:sz w:val="18"/>
                <w:szCs w:val="18"/>
              </w:rPr>
              <w:t xml:space="preserve">, erradicando los estereotipos sobre trabajos específicos para </w:t>
            </w:r>
            <w:r w:rsidRPr="001335C7">
              <w:rPr>
                <w:rFonts w:ascii="Gotham" w:hAnsi="Gotham" w:cs="Arial"/>
                <w:sz w:val="18"/>
                <w:szCs w:val="18"/>
                <w:highlight w:val="cyan"/>
              </w:rPr>
              <w:t>los género</w:t>
            </w:r>
            <w:r w:rsidRPr="001335C7">
              <w:rPr>
                <w:rFonts w:ascii="Gotham" w:hAnsi="Gotham" w:cs="Arial"/>
                <w:sz w:val="18"/>
                <w:szCs w:val="18"/>
              </w:rPr>
              <w:t>;</w:t>
            </w:r>
          </w:p>
          <w:p w14:paraId="3A4763C2" w14:textId="77777777" w:rsidR="009B5E39" w:rsidRPr="001335C7" w:rsidRDefault="009B5E39" w:rsidP="00190E4A">
            <w:pPr>
              <w:jc w:val="both"/>
              <w:rPr>
                <w:rFonts w:ascii="Gotham" w:hAnsi="Gotham" w:cs="Arial"/>
                <w:sz w:val="18"/>
                <w:szCs w:val="18"/>
              </w:rPr>
            </w:pPr>
          </w:p>
          <w:p w14:paraId="3A4763C3"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IV. Elaborar indicadores estadísticos que contribuyan a un mejor conocimiento de las cuestiones relativas a la igualdad sustantiva;</w:t>
            </w:r>
          </w:p>
          <w:p w14:paraId="3A4763C4" w14:textId="77777777" w:rsidR="009B5E39" w:rsidRPr="001335C7" w:rsidRDefault="009B5E39" w:rsidP="00190E4A">
            <w:pPr>
              <w:jc w:val="both"/>
              <w:rPr>
                <w:rFonts w:ascii="Gotham" w:hAnsi="Gotham" w:cs="Arial"/>
                <w:sz w:val="18"/>
                <w:szCs w:val="18"/>
              </w:rPr>
            </w:pPr>
          </w:p>
          <w:p w14:paraId="3A4763C5"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V. Impulsar en el sector empresarial el diseño y la ejecución del Programa Municipal en materia de igualdad sustantiva; y</w:t>
            </w:r>
          </w:p>
          <w:p w14:paraId="3A4763C6" w14:textId="77777777" w:rsidR="009B5E39" w:rsidRPr="001335C7" w:rsidRDefault="009B5E39" w:rsidP="00190E4A">
            <w:pPr>
              <w:jc w:val="both"/>
              <w:rPr>
                <w:rFonts w:ascii="Gotham" w:hAnsi="Gotham" w:cs="Arial"/>
                <w:sz w:val="18"/>
                <w:szCs w:val="18"/>
              </w:rPr>
            </w:pPr>
          </w:p>
          <w:p w14:paraId="3A4763C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VI. Promover el otorgamiento de estímulos municipales y reconocimientos, de conformidad a la capacidad presupuestaria del Ayuntamiento, a las empresas que hayan garantizado la igualdad sustantiva.</w:t>
            </w:r>
          </w:p>
        </w:tc>
      </w:tr>
      <w:tr w:rsidR="009B5E39" w:rsidRPr="001335C7" w14:paraId="3A4763CE" w14:textId="77777777" w:rsidTr="00190E4A">
        <w:tc>
          <w:tcPr>
            <w:tcW w:w="4898" w:type="dxa"/>
            <w:shd w:val="clear" w:color="auto" w:fill="auto"/>
          </w:tcPr>
          <w:p w14:paraId="3A4763C9" w14:textId="77777777" w:rsidR="009B5E39" w:rsidRPr="001335C7" w:rsidRDefault="009B5E39" w:rsidP="00190E4A">
            <w:pPr>
              <w:widowControl w:val="0"/>
              <w:ind w:right="40"/>
              <w:jc w:val="both"/>
              <w:rPr>
                <w:rFonts w:ascii="Gotham" w:hAnsi="Gotham" w:cs="Arial"/>
                <w:b/>
                <w:sz w:val="18"/>
                <w:szCs w:val="18"/>
              </w:rPr>
            </w:pPr>
          </w:p>
          <w:p w14:paraId="3A4763CA" w14:textId="77777777" w:rsidR="009B5E39" w:rsidRPr="001335C7" w:rsidRDefault="009B5E39" w:rsidP="00190E4A">
            <w:pPr>
              <w:jc w:val="both"/>
              <w:rPr>
                <w:rFonts w:ascii="Gotham" w:hAnsi="Gotham" w:cs="Arial"/>
                <w:b/>
                <w:sz w:val="18"/>
                <w:szCs w:val="18"/>
                <w:highlight w:val="yellow"/>
              </w:rPr>
            </w:pPr>
            <w:r w:rsidRPr="001335C7">
              <w:rPr>
                <w:rFonts w:ascii="Gotham" w:hAnsi="Gotham" w:cs="Arial"/>
                <w:b/>
                <w:sz w:val="18"/>
                <w:szCs w:val="18"/>
              </w:rPr>
              <w:t xml:space="preserve">Artículo 82.- </w:t>
            </w:r>
            <w:r w:rsidRPr="001335C7">
              <w:rPr>
                <w:rFonts w:ascii="Gotham" w:hAnsi="Gotham" w:cs="Arial"/>
                <w:sz w:val="18"/>
                <w:szCs w:val="18"/>
              </w:rPr>
              <w:t xml:space="preserve">La Administración Pública Municipal debe promover y fomentar, en el ámbito de su competencia, que las personas físicas, morales y jurídicas, titulares de empresas o establecimientos, generadores de empleo, den cumplimiento al presente código, para lo cual se deben aplicar medidas dirigidas a procurar el derecho a la igualdad sustantiva y pugnando por la erradicación de cualquier tipo de discriminación laboral </w:t>
            </w:r>
            <w:r w:rsidRPr="001335C7">
              <w:rPr>
                <w:rFonts w:ascii="Gotham" w:hAnsi="Gotham" w:cs="Arial"/>
                <w:sz w:val="18"/>
                <w:szCs w:val="18"/>
                <w:highlight w:val="yellow"/>
              </w:rPr>
              <w:t>entre mujeres y hombres.</w:t>
            </w:r>
          </w:p>
        </w:tc>
        <w:tc>
          <w:tcPr>
            <w:tcW w:w="4899" w:type="dxa"/>
            <w:shd w:val="clear" w:color="auto" w:fill="auto"/>
          </w:tcPr>
          <w:p w14:paraId="3A4763CB" w14:textId="77777777" w:rsidR="009B5E39" w:rsidRPr="001335C7" w:rsidRDefault="009B5E39" w:rsidP="00190E4A">
            <w:pPr>
              <w:jc w:val="both"/>
              <w:rPr>
                <w:rFonts w:ascii="Gotham" w:hAnsi="Gotham" w:cs="Arial"/>
                <w:b/>
                <w:sz w:val="18"/>
                <w:szCs w:val="18"/>
              </w:rPr>
            </w:pPr>
          </w:p>
          <w:p w14:paraId="3A4763CC" w14:textId="77777777" w:rsidR="009B5E39" w:rsidRPr="001335C7" w:rsidRDefault="009B5E39" w:rsidP="00190E4A">
            <w:pPr>
              <w:jc w:val="both"/>
              <w:rPr>
                <w:rFonts w:ascii="Gotham" w:hAnsi="Gotham" w:cs="Arial"/>
                <w:b/>
                <w:sz w:val="18"/>
                <w:szCs w:val="18"/>
                <w:highlight w:val="cyan"/>
              </w:rPr>
            </w:pPr>
            <w:r w:rsidRPr="001335C7">
              <w:rPr>
                <w:rFonts w:ascii="Gotham" w:hAnsi="Gotham" w:cs="Arial"/>
                <w:b/>
                <w:sz w:val="18"/>
                <w:szCs w:val="18"/>
              </w:rPr>
              <w:t xml:space="preserve">Artículo 82.- </w:t>
            </w:r>
            <w:r w:rsidRPr="001335C7">
              <w:rPr>
                <w:rFonts w:ascii="Gotham" w:hAnsi="Gotham" w:cs="Arial"/>
                <w:sz w:val="18"/>
                <w:szCs w:val="18"/>
              </w:rPr>
              <w:t xml:space="preserve">La Administración Pública Municipal debe promover y fomentar, en el ámbito de su competencia, que las personas físicas, morales y jurídicas, titulares de empresas o establecimientos, generadores de empleo, den cumplimiento al presente código, para lo cual se deben aplicar medidas dirigidas a procurar el derecho a la igualdad sustantiva y pugnando por la erradicación de cualquier tipo de discriminación laboral </w:t>
            </w:r>
            <w:r w:rsidRPr="001335C7">
              <w:rPr>
                <w:rFonts w:ascii="Gotham" w:hAnsi="Gotham" w:cs="Arial"/>
                <w:sz w:val="18"/>
                <w:szCs w:val="18"/>
                <w:highlight w:val="cyan"/>
              </w:rPr>
              <w:t>en razón de género.</w:t>
            </w:r>
          </w:p>
          <w:p w14:paraId="3A4763CD" w14:textId="77777777" w:rsidR="009B5E39" w:rsidRPr="001335C7" w:rsidRDefault="009B5E39" w:rsidP="00190E4A">
            <w:pPr>
              <w:jc w:val="both"/>
              <w:rPr>
                <w:rFonts w:ascii="Gotham" w:hAnsi="Gotham" w:cs="Arial"/>
                <w:b/>
                <w:sz w:val="18"/>
                <w:szCs w:val="18"/>
              </w:rPr>
            </w:pPr>
          </w:p>
        </w:tc>
      </w:tr>
      <w:tr w:rsidR="009B5E39" w:rsidRPr="001335C7" w14:paraId="3A4763D4" w14:textId="77777777" w:rsidTr="00190E4A">
        <w:tc>
          <w:tcPr>
            <w:tcW w:w="4898" w:type="dxa"/>
            <w:shd w:val="clear" w:color="auto" w:fill="auto"/>
          </w:tcPr>
          <w:p w14:paraId="3A4763CF" w14:textId="77777777" w:rsidR="009B5E39" w:rsidRPr="001335C7" w:rsidRDefault="009B5E39" w:rsidP="00190E4A">
            <w:pPr>
              <w:widowControl w:val="0"/>
              <w:ind w:right="40"/>
              <w:jc w:val="both"/>
              <w:rPr>
                <w:rFonts w:ascii="Gotham" w:hAnsi="Gotham" w:cs="Arial"/>
                <w:b/>
                <w:sz w:val="18"/>
                <w:szCs w:val="18"/>
              </w:rPr>
            </w:pPr>
          </w:p>
          <w:p w14:paraId="3A4763D0" w14:textId="77777777" w:rsidR="009B5E39" w:rsidRPr="001335C7" w:rsidRDefault="009B5E39" w:rsidP="00190E4A">
            <w:pPr>
              <w:jc w:val="both"/>
              <w:rPr>
                <w:rFonts w:ascii="Gotham" w:hAnsi="Gotham" w:cs="Arial"/>
                <w:sz w:val="18"/>
                <w:szCs w:val="18"/>
                <w:highlight w:val="yellow"/>
              </w:rPr>
            </w:pPr>
            <w:r w:rsidRPr="001335C7">
              <w:rPr>
                <w:rFonts w:ascii="Gotham" w:hAnsi="Gotham" w:cs="Arial"/>
                <w:b/>
                <w:sz w:val="18"/>
                <w:szCs w:val="18"/>
              </w:rPr>
              <w:t xml:space="preserve">Artículo 84.- </w:t>
            </w:r>
            <w:r w:rsidRPr="001335C7">
              <w:rPr>
                <w:rFonts w:ascii="Gotham" w:hAnsi="Gotham" w:cs="Arial"/>
                <w:sz w:val="18"/>
                <w:szCs w:val="18"/>
              </w:rPr>
              <w:t xml:space="preserve">El Consejo Municipal del Deporte diseñará programas específicos que promuevan el deporte y favorezcan la efectiva apertura de las disciplinas deportivas </w:t>
            </w:r>
            <w:r w:rsidRPr="001335C7">
              <w:rPr>
                <w:rFonts w:ascii="Gotham" w:hAnsi="Gotham" w:cs="Arial"/>
                <w:sz w:val="18"/>
                <w:szCs w:val="18"/>
                <w:highlight w:val="yellow"/>
              </w:rPr>
              <w:t>entre mujeres y hombres.</w:t>
            </w:r>
          </w:p>
          <w:p w14:paraId="3A4763D1"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3D2" w14:textId="77777777" w:rsidR="009B5E39" w:rsidRPr="001335C7" w:rsidRDefault="009B5E39" w:rsidP="00190E4A">
            <w:pPr>
              <w:jc w:val="both"/>
              <w:rPr>
                <w:rFonts w:ascii="Gotham" w:hAnsi="Gotham" w:cs="Arial"/>
                <w:b/>
                <w:sz w:val="18"/>
                <w:szCs w:val="18"/>
              </w:rPr>
            </w:pPr>
          </w:p>
          <w:p w14:paraId="3A4763D3" w14:textId="77777777" w:rsidR="009B5E39" w:rsidRPr="001335C7" w:rsidRDefault="009B5E39" w:rsidP="00190E4A">
            <w:pPr>
              <w:jc w:val="both"/>
              <w:rPr>
                <w:rFonts w:ascii="Gotham" w:hAnsi="Gotham" w:cs="Arial"/>
                <w:b/>
                <w:sz w:val="18"/>
                <w:szCs w:val="18"/>
                <w:highlight w:val="cyan"/>
              </w:rPr>
            </w:pPr>
            <w:r w:rsidRPr="001335C7">
              <w:rPr>
                <w:rFonts w:ascii="Gotham" w:hAnsi="Gotham" w:cs="Arial"/>
                <w:b/>
                <w:sz w:val="18"/>
                <w:szCs w:val="18"/>
              </w:rPr>
              <w:t xml:space="preserve">Artículo 84.- </w:t>
            </w:r>
            <w:r w:rsidRPr="001335C7">
              <w:rPr>
                <w:rFonts w:ascii="Gotham" w:hAnsi="Gotham" w:cs="Arial"/>
                <w:sz w:val="18"/>
                <w:szCs w:val="18"/>
              </w:rPr>
              <w:t>El Consejo Municipal del Deporte diseñará programas específicos que promuevan el deporte y favorezcan la efectiva apertura de las disciplinas deportivas</w:t>
            </w:r>
            <w:r w:rsidRPr="001335C7">
              <w:rPr>
                <w:rFonts w:ascii="Gotham" w:hAnsi="Gotham" w:cs="Arial"/>
                <w:sz w:val="18"/>
                <w:szCs w:val="18"/>
                <w:highlight w:val="cyan"/>
              </w:rPr>
              <w:t xml:space="preserve"> sin discriminación por género. </w:t>
            </w:r>
          </w:p>
        </w:tc>
      </w:tr>
      <w:tr w:rsidR="009B5E39" w:rsidRPr="001335C7" w14:paraId="3A4763DA" w14:textId="77777777" w:rsidTr="00190E4A">
        <w:tc>
          <w:tcPr>
            <w:tcW w:w="4898" w:type="dxa"/>
            <w:shd w:val="clear" w:color="auto" w:fill="auto"/>
          </w:tcPr>
          <w:p w14:paraId="3A4763D5" w14:textId="77777777" w:rsidR="009B5E39" w:rsidRPr="001335C7" w:rsidRDefault="009B5E39" w:rsidP="00190E4A">
            <w:pPr>
              <w:widowControl w:val="0"/>
              <w:ind w:right="40"/>
              <w:jc w:val="both"/>
              <w:rPr>
                <w:rFonts w:ascii="Gotham" w:hAnsi="Gotham" w:cs="Arial"/>
                <w:b/>
                <w:sz w:val="18"/>
                <w:szCs w:val="18"/>
              </w:rPr>
            </w:pPr>
          </w:p>
          <w:p w14:paraId="3A4763D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lastRenderedPageBreak/>
              <w:t xml:space="preserve">Artículo 85.- </w:t>
            </w:r>
            <w:r w:rsidRPr="001335C7">
              <w:rPr>
                <w:rFonts w:ascii="Gotham" w:hAnsi="Gotham" w:cs="Arial"/>
                <w:sz w:val="18"/>
                <w:szCs w:val="18"/>
              </w:rPr>
              <w:t xml:space="preserve">Todos los programas públicos de desarrollo del deporte incorporarán la efectiva consideración del principio de igualdad sustantiva </w:t>
            </w:r>
            <w:r w:rsidRPr="001335C7">
              <w:rPr>
                <w:rFonts w:ascii="Gotham" w:hAnsi="Gotham" w:cs="Arial"/>
                <w:sz w:val="18"/>
                <w:szCs w:val="18"/>
                <w:highlight w:val="yellow"/>
              </w:rPr>
              <w:t>entre mujeres y hombres</w:t>
            </w:r>
            <w:r w:rsidRPr="001335C7">
              <w:rPr>
                <w:rFonts w:ascii="Gotham" w:hAnsi="Gotham" w:cs="Arial"/>
                <w:sz w:val="18"/>
                <w:szCs w:val="18"/>
              </w:rPr>
              <w:t xml:space="preserve"> en su diseño y ejecución, propiciando la participación dinámica de </w:t>
            </w:r>
            <w:r w:rsidRPr="001335C7">
              <w:rPr>
                <w:rFonts w:ascii="Gotham" w:hAnsi="Gotham" w:cs="Arial"/>
                <w:sz w:val="18"/>
                <w:szCs w:val="18"/>
                <w:highlight w:val="yellow"/>
              </w:rPr>
              <w:t>mujeres y hombres</w:t>
            </w:r>
            <w:r w:rsidRPr="001335C7">
              <w:rPr>
                <w:rFonts w:ascii="Gotham" w:hAnsi="Gotham" w:cs="Arial"/>
                <w:sz w:val="18"/>
                <w:szCs w:val="18"/>
              </w:rPr>
              <w:t xml:space="preserve"> en los deportes, a fin de procurar la erradicación los estereotipos sobre los deportes asignados socialmente a cada sexo o género.</w:t>
            </w:r>
          </w:p>
          <w:p w14:paraId="3A4763D7"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3D8" w14:textId="77777777" w:rsidR="009B5E39" w:rsidRPr="001335C7" w:rsidRDefault="009B5E39" w:rsidP="00190E4A">
            <w:pPr>
              <w:jc w:val="both"/>
              <w:rPr>
                <w:rFonts w:ascii="Gotham" w:hAnsi="Gotham" w:cs="Arial"/>
                <w:b/>
                <w:sz w:val="18"/>
                <w:szCs w:val="18"/>
              </w:rPr>
            </w:pPr>
          </w:p>
          <w:p w14:paraId="3A4763D9"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lastRenderedPageBreak/>
              <w:t xml:space="preserve">Artículo 85.- </w:t>
            </w:r>
            <w:r w:rsidRPr="001335C7">
              <w:rPr>
                <w:rFonts w:ascii="Gotham" w:hAnsi="Gotham" w:cs="Arial"/>
                <w:sz w:val="18"/>
                <w:szCs w:val="18"/>
              </w:rPr>
              <w:t>Todos los programas públicos de desarrollo del deporte incorporarán la efectiva consideración del principio de igualdad sustantiva en su diseño y ejecución, propiciando la participación dinámica de todas las personas en los deportes, a fin de procurar la erradicación los estereotipos sobre los deportes asignados socialmente a cada sexo o género.</w:t>
            </w:r>
          </w:p>
        </w:tc>
      </w:tr>
      <w:tr w:rsidR="009B5E39" w:rsidRPr="001335C7" w14:paraId="3A4763EC" w14:textId="77777777" w:rsidTr="00190E4A">
        <w:tc>
          <w:tcPr>
            <w:tcW w:w="4898" w:type="dxa"/>
            <w:shd w:val="clear" w:color="auto" w:fill="auto"/>
          </w:tcPr>
          <w:p w14:paraId="3A4763DB" w14:textId="77777777" w:rsidR="009B5E39" w:rsidRPr="001335C7" w:rsidRDefault="009B5E39" w:rsidP="00190E4A">
            <w:pPr>
              <w:widowControl w:val="0"/>
              <w:ind w:right="40"/>
              <w:jc w:val="both"/>
              <w:rPr>
                <w:rFonts w:ascii="Gotham" w:hAnsi="Gotham" w:cs="Arial"/>
                <w:b/>
                <w:sz w:val="18"/>
                <w:szCs w:val="18"/>
              </w:rPr>
            </w:pPr>
          </w:p>
          <w:p w14:paraId="3A4763DC"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86.- </w:t>
            </w:r>
            <w:r w:rsidRPr="001335C7">
              <w:rPr>
                <w:rFonts w:ascii="Gotham" w:hAnsi="Gotham" w:cs="Arial"/>
                <w:sz w:val="18"/>
                <w:szCs w:val="18"/>
              </w:rPr>
              <w:t>La Dirección de Educación promoverá y fomentará lo siguiente:</w:t>
            </w:r>
          </w:p>
          <w:p w14:paraId="3A4763DD" w14:textId="77777777" w:rsidR="009B5E39" w:rsidRPr="001335C7" w:rsidRDefault="009B5E39" w:rsidP="00190E4A">
            <w:pPr>
              <w:jc w:val="both"/>
              <w:rPr>
                <w:rFonts w:ascii="Gotham" w:hAnsi="Gotham" w:cs="Arial"/>
                <w:sz w:val="18"/>
                <w:szCs w:val="18"/>
              </w:rPr>
            </w:pPr>
          </w:p>
          <w:p w14:paraId="3A4763DE" w14:textId="77777777" w:rsidR="009B5E39" w:rsidRPr="001335C7" w:rsidRDefault="009B5E39" w:rsidP="00E5394F">
            <w:pPr>
              <w:numPr>
                <w:ilvl w:val="0"/>
                <w:numId w:val="270"/>
              </w:numPr>
              <w:ind w:left="426" w:hanging="437"/>
              <w:jc w:val="both"/>
              <w:rPr>
                <w:rFonts w:ascii="Gotham" w:hAnsi="Gotham" w:cs="Arial"/>
                <w:sz w:val="18"/>
                <w:szCs w:val="18"/>
              </w:rPr>
            </w:pPr>
            <w:r w:rsidRPr="001335C7">
              <w:rPr>
                <w:rFonts w:ascii="Gotham" w:hAnsi="Gotham" w:cs="Arial"/>
                <w:sz w:val="18"/>
                <w:szCs w:val="18"/>
              </w:rPr>
              <w:t xml:space="preserve">El respeto de los derechos y libertades fundamentales y de la igualdad entre </w:t>
            </w:r>
            <w:r w:rsidRPr="001335C7">
              <w:rPr>
                <w:rFonts w:ascii="Gotham" w:hAnsi="Gotham" w:cs="Arial"/>
                <w:sz w:val="18"/>
                <w:szCs w:val="18"/>
                <w:highlight w:val="yellow"/>
              </w:rPr>
              <w:t>mujeres y hombres</w:t>
            </w:r>
            <w:r w:rsidRPr="001335C7">
              <w:rPr>
                <w:rFonts w:ascii="Gotham" w:hAnsi="Gotham" w:cs="Arial"/>
                <w:sz w:val="18"/>
                <w:szCs w:val="18"/>
              </w:rPr>
              <w:t>, así como en el ejercicio del respeto y de la libertad;</w:t>
            </w:r>
          </w:p>
          <w:p w14:paraId="3A4763DF" w14:textId="77777777" w:rsidR="009B5E39" w:rsidRPr="001335C7" w:rsidRDefault="009B5E39" w:rsidP="00190E4A">
            <w:pPr>
              <w:ind w:left="426" w:hanging="437"/>
              <w:jc w:val="both"/>
              <w:rPr>
                <w:rFonts w:ascii="Gotham" w:hAnsi="Gotham" w:cs="Arial"/>
                <w:sz w:val="18"/>
                <w:szCs w:val="18"/>
              </w:rPr>
            </w:pPr>
          </w:p>
          <w:p w14:paraId="3A4763E0" w14:textId="77777777" w:rsidR="009B5E39" w:rsidRPr="001335C7" w:rsidRDefault="009B5E39" w:rsidP="00E5394F">
            <w:pPr>
              <w:numPr>
                <w:ilvl w:val="0"/>
                <w:numId w:val="270"/>
              </w:numPr>
              <w:ind w:left="426" w:hanging="437"/>
              <w:jc w:val="both"/>
              <w:rPr>
                <w:rFonts w:ascii="Gotham" w:hAnsi="Gotham" w:cs="Arial"/>
                <w:sz w:val="18"/>
                <w:szCs w:val="18"/>
              </w:rPr>
            </w:pPr>
            <w:r w:rsidRPr="001335C7">
              <w:rPr>
                <w:rFonts w:ascii="Gotham" w:hAnsi="Gotham" w:cs="Arial"/>
                <w:sz w:val="18"/>
                <w:szCs w:val="18"/>
              </w:rPr>
              <w:t xml:space="preserve">La integración en los objetivos y programas educativos el principio de igualdad sustantiva, evitando que por comportamientos sexistas o por estereotipos sociales, se produzcan desigualdades </w:t>
            </w:r>
            <w:r w:rsidRPr="001335C7">
              <w:rPr>
                <w:rFonts w:ascii="Gotham" w:hAnsi="Gotham" w:cs="Arial"/>
                <w:sz w:val="18"/>
                <w:szCs w:val="18"/>
                <w:highlight w:val="yellow"/>
              </w:rPr>
              <w:t>entre mujeres y hombres</w:t>
            </w:r>
            <w:r w:rsidRPr="001335C7">
              <w:rPr>
                <w:rFonts w:ascii="Gotham" w:hAnsi="Gotham" w:cs="Arial"/>
                <w:sz w:val="18"/>
                <w:szCs w:val="18"/>
              </w:rPr>
              <w:t>;</w:t>
            </w:r>
          </w:p>
          <w:p w14:paraId="3A4763E1" w14:textId="77777777" w:rsidR="009B5E39" w:rsidRPr="001335C7" w:rsidRDefault="009B5E39" w:rsidP="00190E4A">
            <w:pPr>
              <w:jc w:val="both"/>
              <w:rPr>
                <w:rFonts w:ascii="Gotham" w:hAnsi="Gotham" w:cs="Arial"/>
                <w:sz w:val="18"/>
                <w:szCs w:val="18"/>
              </w:rPr>
            </w:pPr>
          </w:p>
          <w:p w14:paraId="3A4763E2" w14:textId="77777777" w:rsidR="009B5E39" w:rsidRPr="001335C7" w:rsidRDefault="009B5E39" w:rsidP="00E5394F">
            <w:pPr>
              <w:numPr>
                <w:ilvl w:val="0"/>
                <w:numId w:val="270"/>
              </w:numPr>
              <w:ind w:left="426" w:hanging="437"/>
              <w:jc w:val="both"/>
              <w:rPr>
                <w:rFonts w:ascii="Gotham" w:hAnsi="Gotham" w:cs="Arial"/>
                <w:sz w:val="18"/>
                <w:szCs w:val="18"/>
              </w:rPr>
            </w:pPr>
            <w:r w:rsidRPr="001335C7">
              <w:rPr>
                <w:rFonts w:ascii="Gotham" w:hAnsi="Gotham" w:cs="Arial"/>
                <w:sz w:val="18"/>
                <w:szCs w:val="18"/>
              </w:rPr>
              <w:t>El respeto a la igualdad sustantiva entre mujeres y hombres, el respeto a la dignidad de las personas y a la no discriminación, así como también la resolución pacífica de conflictos.</w:t>
            </w:r>
          </w:p>
          <w:p w14:paraId="3A4763E3" w14:textId="77777777" w:rsidR="009B5E39" w:rsidRPr="001335C7" w:rsidRDefault="009B5E39" w:rsidP="00190E4A">
            <w:pPr>
              <w:ind w:left="1080"/>
              <w:jc w:val="both"/>
              <w:rPr>
                <w:rFonts w:ascii="Gotham" w:hAnsi="Gotham" w:cs="Arial"/>
                <w:sz w:val="18"/>
                <w:szCs w:val="18"/>
              </w:rPr>
            </w:pPr>
          </w:p>
        </w:tc>
        <w:tc>
          <w:tcPr>
            <w:tcW w:w="4899" w:type="dxa"/>
            <w:shd w:val="clear" w:color="auto" w:fill="auto"/>
          </w:tcPr>
          <w:p w14:paraId="3A4763E4" w14:textId="77777777" w:rsidR="009B5E39" w:rsidRPr="001335C7" w:rsidRDefault="009B5E39" w:rsidP="00190E4A">
            <w:pPr>
              <w:jc w:val="both"/>
              <w:rPr>
                <w:rFonts w:ascii="Gotham" w:hAnsi="Gotham" w:cs="Arial"/>
                <w:b/>
                <w:sz w:val="18"/>
                <w:szCs w:val="18"/>
              </w:rPr>
            </w:pPr>
          </w:p>
          <w:p w14:paraId="3A4763E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86.- </w:t>
            </w:r>
            <w:r w:rsidRPr="001335C7">
              <w:rPr>
                <w:rFonts w:ascii="Gotham" w:hAnsi="Gotham" w:cs="Arial"/>
                <w:sz w:val="18"/>
                <w:szCs w:val="18"/>
              </w:rPr>
              <w:t>La Dirección de Educación promoverá y fomentará lo siguiente:</w:t>
            </w:r>
          </w:p>
          <w:p w14:paraId="3A4763E6" w14:textId="77777777" w:rsidR="009B5E39" w:rsidRPr="001335C7" w:rsidRDefault="009B5E39" w:rsidP="00190E4A">
            <w:pPr>
              <w:jc w:val="both"/>
              <w:rPr>
                <w:rFonts w:ascii="Gotham" w:hAnsi="Gotham" w:cs="Arial"/>
                <w:sz w:val="18"/>
                <w:szCs w:val="18"/>
              </w:rPr>
            </w:pPr>
          </w:p>
          <w:p w14:paraId="3A4763E7" w14:textId="77777777" w:rsidR="009B5E39" w:rsidRPr="001335C7" w:rsidRDefault="009B5E39" w:rsidP="00E5394F">
            <w:pPr>
              <w:numPr>
                <w:ilvl w:val="0"/>
                <w:numId w:val="263"/>
              </w:numPr>
              <w:ind w:left="426" w:hanging="437"/>
              <w:jc w:val="both"/>
              <w:rPr>
                <w:rFonts w:ascii="Gotham" w:hAnsi="Gotham" w:cs="Arial"/>
                <w:sz w:val="18"/>
                <w:szCs w:val="18"/>
              </w:rPr>
            </w:pPr>
            <w:r w:rsidRPr="001335C7">
              <w:rPr>
                <w:rFonts w:ascii="Gotham" w:hAnsi="Gotham" w:cs="Arial"/>
                <w:sz w:val="18"/>
                <w:szCs w:val="18"/>
              </w:rPr>
              <w:t xml:space="preserve">El respeto de los derechos y libertades fundamentales y de la igualdad entre </w:t>
            </w:r>
            <w:r w:rsidRPr="001335C7">
              <w:rPr>
                <w:rFonts w:ascii="Gotham" w:hAnsi="Gotham" w:cs="Arial"/>
                <w:sz w:val="18"/>
                <w:szCs w:val="18"/>
                <w:highlight w:val="cyan"/>
              </w:rPr>
              <w:t>personas</w:t>
            </w:r>
            <w:r w:rsidRPr="001335C7">
              <w:rPr>
                <w:rFonts w:ascii="Gotham" w:hAnsi="Gotham" w:cs="Arial"/>
                <w:sz w:val="18"/>
                <w:szCs w:val="18"/>
              </w:rPr>
              <w:t>, así como en el ejercicio del respeto y de la libertad;</w:t>
            </w:r>
          </w:p>
          <w:p w14:paraId="3A4763E8" w14:textId="77777777" w:rsidR="009B5E39" w:rsidRPr="001335C7" w:rsidRDefault="009B5E39" w:rsidP="00190E4A">
            <w:pPr>
              <w:ind w:left="426" w:hanging="437"/>
              <w:jc w:val="both"/>
              <w:rPr>
                <w:rFonts w:ascii="Gotham" w:hAnsi="Gotham" w:cs="Arial"/>
                <w:sz w:val="18"/>
                <w:szCs w:val="18"/>
              </w:rPr>
            </w:pPr>
          </w:p>
          <w:p w14:paraId="3A4763E9" w14:textId="77777777" w:rsidR="009B5E39" w:rsidRPr="001335C7" w:rsidRDefault="009B5E39" w:rsidP="00E5394F">
            <w:pPr>
              <w:numPr>
                <w:ilvl w:val="0"/>
                <w:numId w:val="263"/>
              </w:numPr>
              <w:ind w:left="426" w:hanging="437"/>
              <w:jc w:val="both"/>
              <w:rPr>
                <w:rFonts w:ascii="Gotham" w:hAnsi="Gotham" w:cs="Arial"/>
                <w:sz w:val="18"/>
                <w:szCs w:val="18"/>
              </w:rPr>
            </w:pPr>
            <w:r w:rsidRPr="001335C7">
              <w:rPr>
                <w:rFonts w:ascii="Gotham" w:hAnsi="Gotham" w:cs="Arial"/>
                <w:sz w:val="18"/>
                <w:szCs w:val="18"/>
              </w:rPr>
              <w:t>La integración en los objetivos y programas educativos el principio de igualdad sustantiva, evitando que por comportamientos sexistas o por estereotipos sociales, se produzcan desigualdades;</w:t>
            </w:r>
          </w:p>
          <w:p w14:paraId="3A4763EA" w14:textId="77777777" w:rsidR="009B5E39" w:rsidRPr="001335C7" w:rsidRDefault="009B5E39" w:rsidP="00190E4A">
            <w:pPr>
              <w:jc w:val="both"/>
              <w:rPr>
                <w:rFonts w:ascii="Gotham" w:hAnsi="Gotham" w:cs="Arial"/>
                <w:sz w:val="18"/>
                <w:szCs w:val="18"/>
              </w:rPr>
            </w:pPr>
          </w:p>
          <w:p w14:paraId="3A4763EB" w14:textId="77777777" w:rsidR="009B5E39" w:rsidRPr="001335C7" w:rsidRDefault="009B5E39" w:rsidP="00E5394F">
            <w:pPr>
              <w:numPr>
                <w:ilvl w:val="0"/>
                <w:numId w:val="263"/>
              </w:numPr>
              <w:ind w:left="426" w:hanging="437"/>
              <w:jc w:val="both"/>
              <w:rPr>
                <w:rFonts w:ascii="Gotham" w:hAnsi="Gotham" w:cs="Arial"/>
                <w:sz w:val="18"/>
                <w:szCs w:val="18"/>
              </w:rPr>
            </w:pPr>
            <w:r w:rsidRPr="001335C7">
              <w:rPr>
                <w:rFonts w:ascii="Gotham" w:hAnsi="Gotham" w:cs="Arial"/>
                <w:sz w:val="18"/>
                <w:szCs w:val="18"/>
              </w:rPr>
              <w:t>El respeto a la igualdad sustantiva entre mujeres y hombres, el respeto a la dignidad de las personas y a la no discriminación, así como también la resolución pacífica de conflictos.</w:t>
            </w:r>
          </w:p>
        </w:tc>
      </w:tr>
      <w:tr w:rsidR="009B5E39" w:rsidRPr="001335C7" w14:paraId="3A4763F2" w14:textId="77777777" w:rsidTr="00190E4A">
        <w:tc>
          <w:tcPr>
            <w:tcW w:w="4898" w:type="dxa"/>
            <w:shd w:val="clear" w:color="auto" w:fill="auto"/>
          </w:tcPr>
          <w:p w14:paraId="3A4763ED" w14:textId="77777777" w:rsidR="009B5E39" w:rsidRPr="001335C7" w:rsidRDefault="009B5E39" w:rsidP="00190E4A">
            <w:pPr>
              <w:widowControl w:val="0"/>
              <w:ind w:right="40"/>
              <w:jc w:val="both"/>
              <w:rPr>
                <w:rFonts w:ascii="Gotham" w:hAnsi="Gotham" w:cs="Arial"/>
                <w:b/>
                <w:sz w:val="18"/>
                <w:szCs w:val="18"/>
              </w:rPr>
            </w:pPr>
          </w:p>
          <w:p w14:paraId="3A4763EE"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87.- </w:t>
            </w:r>
            <w:r w:rsidRPr="001335C7">
              <w:rPr>
                <w:rFonts w:ascii="Gotham" w:hAnsi="Gotham" w:cs="Arial"/>
                <w:sz w:val="18"/>
                <w:szCs w:val="18"/>
              </w:rPr>
              <w:t xml:space="preserve">La Dirección de Comunicación Social, en el ámbito de su competencia, debe promover y difundir programas que contribuyan al fomento de representaciones igualitarias, plurales y sin estereotipos de </w:t>
            </w:r>
            <w:r w:rsidRPr="001335C7">
              <w:rPr>
                <w:rFonts w:ascii="Gotham" w:hAnsi="Gotham" w:cs="Arial"/>
                <w:sz w:val="18"/>
                <w:szCs w:val="18"/>
                <w:highlight w:val="yellow"/>
              </w:rPr>
              <w:t>mujeres y hombres</w:t>
            </w:r>
            <w:r w:rsidRPr="001335C7">
              <w:rPr>
                <w:rFonts w:ascii="Gotham" w:hAnsi="Gotham" w:cs="Arial"/>
                <w:sz w:val="18"/>
                <w:szCs w:val="18"/>
              </w:rPr>
              <w:t xml:space="preserve"> en la sociedad, que propicien el conocimiento y la difusión del principio de igualdad sustantiva </w:t>
            </w:r>
            <w:r w:rsidRPr="001335C7">
              <w:rPr>
                <w:rFonts w:ascii="Gotham" w:hAnsi="Gotham" w:cs="Arial"/>
                <w:sz w:val="18"/>
                <w:szCs w:val="18"/>
                <w:highlight w:val="yellow"/>
              </w:rPr>
              <w:t>entre mujeres y hombres</w:t>
            </w:r>
            <w:r w:rsidRPr="001335C7">
              <w:rPr>
                <w:rFonts w:ascii="Gotham" w:hAnsi="Gotham" w:cs="Arial"/>
                <w:sz w:val="18"/>
                <w:szCs w:val="18"/>
              </w:rPr>
              <w:t>.</w:t>
            </w:r>
          </w:p>
          <w:p w14:paraId="3A4763EF"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3F0" w14:textId="77777777" w:rsidR="009B5E39" w:rsidRPr="001335C7" w:rsidRDefault="009B5E39" w:rsidP="00190E4A">
            <w:pPr>
              <w:jc w:val="both"/>
              <w:rPr>
                <w:rFonts w:ascii="Gotham" w:hAnsi="Gotham" w:cs="Arial"/>
                <w:b/>
                <w:sz w:val="18"/>
                <w:szCs w:val="18"/>
              </w:rPr>
            </w:pPr>
          </w:p>
          <w:p w14:paraId="3A4763F1"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87.- </w:t>
            </w:r>
            <w:r w:rsidRPr="001335C7">
              <w:rPr>
                <w:rFonts w:ascii="Gotham" w:hAnsi="Gotham" w:cs="Arial"/>
                <w:sz w:val="18"/>
                <w:szCs w:val="18"/>
              </w:rPr>
              <w:t>La Dirección de Comunicación Social, en el ámbito de su competencia, debe promover y difundir programas que contribuyan al fomento de representaciones igualitarias, plurales y sin estereotipos de</w:t>
            </w:r>
            <w:r w:rsidRPr="001335C7">
              <w:rPr>
                <w:rFonts w:ascii="Gotham" w:hAnsi="Gotham" w:cs="Arial"/>
                <w:sz w:val="18"/>
                <w:szCs w:val="18"/>
                <w:highlight w:val="cyan"/>
              </w:rPr>
              <w:t xml:space="preserve"> género</w:t>
            </w:r>
            <w:r w:rsidR="007C2F8D">
              <w:rPr>
                <w:rFonts w:ascii="Gotham" w:hAnsi="Gotham" w:cs="Arial"/>
                <w:sz w:val="18"/>
                <w:szCs w:val="18"/>
                <w:highlight w:val="cyan"/>
              </w:rPr>
              <w:t xml:space="preserve"> </w:t>
            </w:r>
            <w:r w:rsidRPr="001335C7">
              <w:rPr>
                <w:rFonts w:ascii="Gotham" w:hAnsi="Gotham" w:cs="Arial"/>
                <w:sz w:val="18"/>
                <w:szCs w:val="18"/>
              </w:rPr>
              <w:t>en la sociedad, que propicien el conocimiento y la difusión del principio de igualdad sustantiva</w:t>
            </w:r>
            <w:proofErr w:type="gramStart"/>
            <w:r w:rsidRPr="001335C7">
              <w:rPr>
                <w:rFonts w:ascii="Gotham" w:hAnsi="Gotham" w:cs="Arial"/>
                <w:sz w:val="18"/>
                <w:szCs w:val="18"/>
              </w:rPr>
              <w:t>..</w:t>
            </w:r>
            <w:proofErr w:type="gramEnd"/>
          </w:p>
        </w:tc>
      </w:tr>
      <w:tr w:rsidR="009B5E39" w:rsidRPr="001335C7" w14:paraId="3A476410" w14:textId="77777777" w:rsidTr="00190E4A">
        <w:tc>
          <w:tcPr>
            <w:tcW w:w="4898" w:type="dxa"/>
            <w:shd w:val="clear" w:color="auto" w:fill="auto"/>
          </w:tcPr>
          <w:p w14:paraId="3A4763F3" w14:textId="77777777" w:rsidR="009B5E39" w:rsidRPr="001335C7" w:rsidRDefault="009B5E39" w:rsidP="00190E4A">
            <w:pPr>
              <w:widowControl w:val="0"/>
              <w:ind w:right="40"/>
              <w:jc w:val="both"/>
              <w:rPr>
                <w:rFonts w:ascii="Gotham" w:hAnsi="Gotham" w:cs="Arial"/>
                <w:b/>
                <w:sz w:val="18"/>
                <w:szCs w:val="18"/>
              </w:rPr>
            </w:pPr>
          </w:p>
          <w:p w14:paraId="3A4763F4"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88.- </w:t>
            </w:r>
            <w:r w:rsidRPr="001335C7">
              <w:rPr>
                <w:rFonts w:ascii="Gotham" w:hAnsi="Gotham" w:cs="Arial"/>
                <w:sz w:val="18"/>
                <w:szCs w:val="18"/>
              </w:rPr>
              <w:t>La Dirección de Comunicación Social, en el ejercicio de sus funciones, tiene los siguientes objetivos:</w:t>
            </w:r>
          </w:p>
          <w:p w14:paraId="3A4763F5" w14:textId="77777777" w:rsidR="009B5E39" w:rsidRPr="001335C7" w:rsidRDefault="009B5E39" w:rsidP="00190E4A">
            <w:pPr>
              <w:jc w:val="both"/>
              <w:rPr>
                <w:rFonts w:ascii="Gotham" w:hAnsi="Gotham" w:cs="Arial"/>
                <w:sz w:val="18"/>
                <w:szCs w:val="18"/>
              </w:rPr>
            </w:pPr>
          </w:p>
          <w:p w14:paraId="3A4763F6" w14:textId="77777777" w:rsidR="009B5E39" w:rsidRPr="001335C7" w:rsidRDefault="009B5E39" w:rsidP="00E5394F">
            <w:pPr>
              <w:numPr>
                <w:ilvl w:val="0"/>
                <w:numId w:val="282"/>
              </w:numPr>
              <w:ind w:left="426" w:hanging="437"/>
              <w:jc w:val="both"/>
              <w:rPr>
                <w:rFonts w:ascii="Gotham" w:hAnsi="Gotham" w:cs="Arial"/>
                <w:sz w:val="18"/>
                <w:szCs w:val="18"/>
              </w:rPr>
            </w:pPr>
            <w:r w:rsidRPr="001335C7">
              <w:rPr>
                <w:rFonts w:ascii="Gotham" w:hAnsi="Gotham" w:cs="Arial"/>
                <w:sz w:val="18"/>
                <w:szCs w:val="18"/>
              </w:rPr>
              <w:t>Integrar en su agenda prioritaria la difusión del Programa Municipal, el principio de igualdad sustantiva y los derechos humanos de las mujeres;</w:t>
            </w:r>
          </w:p>
          <w:p w14:paraId="3A4763F7" w14:textId="77777777" w:rsidR="009B5E39" w:rsidRPr="001335C7" w:rsidRDefault="009B5E39" w:rsidP="00190E4A">
            <w:pPr>
              <w:ind w:left="426" w:hanging="437"/>
              <w:jc w:val="both"/>
              <w:rPr>
                <w:rFonts w:ascii="Gotham" w:hAnsi="Gotham" w:cs="Arial"/>
                <w:sz w:val="18"/>
                <w:szCs w:val="18"/>
              </w:rPr>
            </w:pPr>
          </w:p>
          <w:p w14:paraId="3A4763F8" w14:textId="77777777" w:rsidR="009B5E39" w:rsidRPr="001335C7" w:rsidRDefault="009B5E39" w:rsidP="00E5394F">
            <w:pPr>
              <w:numPr>
                <w:ilvl w:val="0"/>
                <w:numId w:val="282"/>
              </w:numPr>
              <w:ind w:left="426" w:hanging="437"/>
              <w:jc w:val="both"/>
              <w:rPr>
                <w:rFonts w:ascii="Gotham" w:hAnsi="Gotham" w:cs="Arial"/>
                <w:sz w:val="18"/>
                <w:szCs w:val="18"/>
              </w:rPr>
            </w:pPr>
            <w:r w:rsidRPr="001335C7">
              <w:rPr>
                <w:rFonts w:ascii="Gotham" w:hAnsi="Gotham" w:cs="Arial"/>
                <w:sz w:val="18"/>
                <w:szCs w:val="18"/>
              </w:rPr>
              <w:t xml:space="preserve">Reflejar adecuadamente la presencia no estereotipada de </w:t>
            </w:r>
            <w:r w:rsidRPr="001335C7">
              <w:rPr>
                <w:rFonts w:ascii="Gotham" w:hAnsi="Gotham" w:cs="Arial"/>
                <w:sz w:val="18"/>
                <w:szCs w:val="18"/>
                <w:highlight w:val="yellow"/>
              </w:rPr>
              <w:t>mujeres y hombres</w:t>
            </w:r>
            <w:r w:rsidRPr="001335C7">
              <w:rPr>
                <w:rFonts w:ascii="Gotham" w:hAnsi="Gotham" w:cs="Arial"/>
                <w:sz w:val="18"/>
                <w:szCs w:val="18"/>
              </w:rPr>
              <w:t xml:space="preserve"> en los diversos ámbitos de la vida social;</w:t>
            </w:r>
          </w:p>
          <w:p w14:paraId="3A4763F9" w14:textId="77777777" w:rsidR="009B5E39" w:rsidRPr="001335C7" w:rsidRDefault="009B5E39" w:rsidP="00190E4A">
            <w:pPr>
              <w:ind w:left="426" w:hanging="437"/>
              <w:jc w:val="both"/>
              <w:rPr>
                <w:rFonts w:ascii="Gotham" w:hAnsi="Gotham" w:cs="Arial"/>
                <w:sz w:val="18"/>
                <w:szCs w:val="18"/>
              </w:rPr>
            </w:pPr>
          </w:p>
          <w:p w14:paraId="3A4763FA" w14:textId="77777777" w:rsidR="009B5E39" w:rsidRPr="001335C7" w:rsidRDefault="009B5E39" w:rsidP="00E5394F">
            <w:pPr>
              <w:numPr>
                <w:ilvl w:val="0"/>
                <w:numId w:val="282"/>
              </w:numPr>
              <w:ind w:left="426" w:hanging="437"/>
              <w:jc w:val="both"/>
              <w:rPr>
                <w:rFonts w:ascii="Gotham" w:hAnsi="Gotham" w:cs="Arial"/>
                <w:sz w:val="18"/>
                <w:szCs w:val="18"/>
              </w:rPr>
            </w:pPr>
            <w:r w:rsidRPr="001335C7">
              <w:rPr>
                <w:rFonts w:ascii="Gotham" w:hAnsi="Gotham" w:cs="Arial"/>
                <w:sz w:val="18"/>
                <w:szCs w:val="18"/>
              </w:rPr>
              <w:t>Utilizar el lenguaje incluyente y no sexista al interior de la Administración Pública Municipal y en cada uno de los servicios que otorgue;</w:t>
            </w:r>
          </w:p>
          <w:p w14:paraId="3A4763FB" w14:textId="77777777" w:rsidR="009B5E39" w:rsidRPr="001335C7" w:rsidRDefault="009B5E39" w:rsidP="00190E4A">
            <w:pPr>
              <w:jc w:val="both"/>
              <w:rPr>
                <w:rFonts w:ascii="Gotham" w:hAnsi="Gotham" w:cs="Arial"/>
                <w:sz w:val="18"/>
                <w:szCs w:val="18"/>
              </w:rPr>
            </w:pPr>
          </w:p>
          <w:p w14:paraId="3A4763FC" w14:textId="77777777" w:rsidR="009B5E39" w:rsidRPr="001335C7" w:rsidRDefault="009B5E39" w:rsidP="00E5394F">
            <w:pPr>
              <w:numPr>
                <w:ilvl w:val="0"/>
                <w:numId w:val="282"/>
              </w:numPr>
              <w:ind w:left="567" w:hanging="578"/>
              <w:jc w:val="both"/>
              <w:rPr>
                <w:rFonts w:ascii="Gotham" w:hAnsi="Gotham" w:cs="Arial"/>
                <w:sz w:val="18"/>
                <w:szCs w:val="18"/>
              </w:rPr>
            </w:pPr>
            <w:r w:rsidRPr="001335C7">
              <w:rPr>
                <w:rFonts w:ascii="Gotham" w:hAnsi="Gotham" w:cs="Arial"/>
                <w:sz w:val="18"/>
                <w:szCs w:val="18"/>
              </w:rPr>
              <w:lastRenderedPageBreak/>
              <w:t>Verificar, en conjunto con la Dirección de Padrón y Licencias, que los permisos que el Ayuntamiento otorgue en materia publicitaria, no reproduzca roles y estereotipos de género, ni apología de la violencia de género contra las mujeres, niñas y niños;</w:t>
            </w:r>
          </w:p>
          <w:p w14:paraId="3A4763FD" w14:textId="77777777" w:rsidR="009B5E39" w:rsidRPr="001335C7" w:rsidRDefault="009B5E39" w:rsidP="00190E4A">
            <w:pPr>
              <w:ind w:left="567" w:hanging="578"/>
              <w:jc w:val="both"/>
              <w:rPr>
                <w:rFonts w:ascii="Gotham" w:hAnsi="Gotham" w:cs="Arial"/>
                <w:sz w:val="18"/>
                <w:szCs w:val="18"/>
              </w:rPr>
            </w:pPr>
          </w:p>
          <w:p w14:paraId="3A4763FE" w14:textId="77777777" w:rsidR="009B5E39" w:rsidRPr="001335C7" w:rsidRDefault="009B5E39" w:rsidP="00E5394F">
            <w:pPr>
              <w:numPr>
                <w:ilvl w:val="0"/>
                <w:numId w:val="282"/>
              </w:numPr>
              <w:ind w:left="567" w:hanging="578"/>
              <w:jc w:val="both"/>
              <w:rPr>
                <w:rFonts w:ascii="Gotham" w:hAnsi="Gotham" w:cs="Arial"/>
                <w:sz w:val="18"/>
                <w:szCs w:val="18"/>
              </w:rPr>
            </w:pPr>
            <w:r w:rsidRPr="001335C7">
              <w:rPr>
                <w:rFonts w:ascii="Gotham" w:hAnsi="Gotham" w:cs="Arial"/>
                <w:sz w:val="18"/>
                <w:szCs w:val="18"/>
              </w:rPr>
              <w:t xml:space="preserve">Adoptar medidas que fomenten la transmisión del principio de igualdad </w:t>
            </w:r>
            <w:r w:rsidRPr="001335C7">
              <w:rPr>
                <w:rFonts w:ascii="Gotham" w:hAnsi="Gotham" w:cs="Arial"/>
                <w:sz w:val="18"/>
                <w:szCs w:val="18"/>
                <w:highlight w:val="yellow"/>
              </w:rPr>
              <w:t>entre mujeres y hombres</w:t>
            </w:r>
            <w:r w:rsidRPr="001335C7">
              <w:rPr>
                <w:rFonts w:ascii="Gotham" w:hAnsi="Gotham" w:cs="Arial"/>
                <w:sz w:val="18"/>
                <w:szCs w:val="18"/>
              </w:rPr>
              <w:t xml:space="preserve"> en su programación; y</w:t>
            </w:r>
          </w:p>
          <w:p w14:paraId="3A4763FF" w14:textId="77777777" w:rsidR="009B5E39" w:rsidRPr="001335C7" w:rsidRDefault="009B5E39" w:rsidP="00190E4A">
            <w:pPr>
              <w:ind w:left="567" w:hanging="578"/>
              <w:jc w:val="both"/>
              <w:rPr>
                <w:rFonts w:ascii="Gotham" w:hAnsi="Gotham" w:cs="Arial"/>
                <w:sz w:val="18"/>
                <w:szCs w:val="18"/>
              </w:rPr>
            </w:pPr>
          </w:p>
          <w:p w14:paraId="3A476400" w14:textId="77777777" w:rsidR="009B5E39" w:rsidRPr="001335C7" w:rsidRDefault="009B5E39" w:rsidP="00E5394F">
            <w:pPr>
              <w:numPr>
                <w:ilvl w:val="0"/>
                <w:numId w:val="282"/>
              </w:numPr>
              <w:ind w:left="567" w:hanging="578"/>
              <w:jc w:val="both"/>
              <w:rPr>
                <w:rFonts w:ascii="Gotham" w:hAnsi="Gotham" w:cs="Arial"/>
                <w:sz w:val="18"/>
                <w:szCs w:val="18"/>
              </w:rPr>
            </w:pPr>
            <w:r w:rsidRPr="001335C7">
              <w:rPr>
                <w:rFonts w:ascii="Gotham" w:hAnsi="Gotham" w:cs="Arial"/>
                <w:sz w:val="18"/>
                <w:szCs w:val="18"/>
              </w:rPr>
              <w:t xml:space="preserve">Colaborar con las dependencias y organismos de la Administración Pública Municipal, a fin de fomentar la igualdad </w:t>
            </w:r>
            <w:r w:rsidRPr="001335C7">
              <w:rPr>
                <w:rFonts w:ascii="Gotham" w:hAnsi="Gotham" w:cs="Arial"/>
                <w:sz w:val="18"/>
                <w:szCs w:val="18"/>
                <w:highlight w:val="yellow"/>
              </w:rPr>
              <w:t>entre mujeres y hombre</w:t>
            </w:r>
            <w:r w:rsidRPr="001335C7">
              <w:rPr>
                <w:rFonts w:ascii="Gotham" w:hAnsi="Gotham" w:cs="Arial"/>
                <w:sz w:val="18"/>
                <w:szCs w:val="18"/>
              </w:rPr>
              <w:t>s en sus contenidos específicos.</w:t>
            </w:r>
          </w:p>
          <w:p w14:paraId="3A476401"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02" w14:textId="77777777" w:rsidR="009B5E39" w:rsidRPr="001335C7" w:rsidRDefault="009B5E39" w:rsidP="00190E4A">
            <w:pPr>
              <w:jc w:val="both"/>
              <w:rPr>
                <w:rFonts w:ascii="Gotham" w:hAnsi="Gotham" w:cs="Arial"/>
                <w:b/>
                <w:sz w:val="18"/>
                <w:szCs w:val="18"/>
              </w:rPr>
            </w:pPr>
          </w:p>
          <w:p w14:paraId="3A476403"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88.- </w:t>
            </w:r>
            <w:r w:rsidRPr="001335C7">
              <w:rPr>
                <w:rFonts w:ascii="Gotham" w:hAnsi="Gotham" w:cs="Arial"/>
                <w:sz w:val="18"/>
                <w:szCs w:val="18"/>
              </w:rPr>
              <w:t>La Dirección de Comunicación Social, en el ejercicio de sus funciones, tiene los siguientes objetivos:</w:t>
            </w:r>
          </w:p>
          <w:p w14:paraId="3A476404" w14:textId="77777777" w:rsidR="009B5E39" w:rsidRPr="001335C7" w:rsidRDefault="009B5E39" w:rsidP="00190E4A">
            <w:pPr>
              <w:jc w:val="both"/>
              <w:rPr>
                <w:rFonts w:ascii="Gotham" w:hAnsi="Gotham" w:cs="Arial"/>
                <w:sz w:val="18"/>
                <w:szCs w:val="18"/>
              </w:rPr>
            </w:pPr>
          </w:p>
          <w:p w14:paraId="3A476405" w14:textId="77777777" w:rsidR="009B5E39" w:rsidRPr="001335C7" w:rsidRDefault="009B5E39" w:rsidP="00E5394F">
            <w:pPr>
              <w:numPr>
                <w:ilvl w:val="0"/>
                <w:numId w:val="256"/>
              </w:numPr>
              <w:ind w:left="426" w:hanging="437"/>
              <w:jc w:val="both"/>
              <w:rPr>
                <w:rFonts w:ascii="Gotham" w:hAnsi="Gotham" w:cs="Arial"/>
                <w:sz w:val="18"/>
                <w:szCs w:val="18"/>
              </w:rPr>
            </w:pPr>
            <w:r w:rsidRPr="001335C7">
              <w:rPr>
                <w:rFonts w:ascii="Gotham" w:hAnsi="Gotham" w:cs="Arial"/>
                <w:sz w:val="18"/>
                <w:szCs w:val="18"/>
              </w:rPr>
              <w:t>Integrar en su agenda prioritaria la difusión del Programa Municipal, el principio de igualdad sustantiva y los derechos humanos de las mujeres;</w:t>
            </w:r>
          </w:p>
          <w:p w14:paraId="3A476406" w14:textId="77777777" w:rsidR="009B5E39" w:rsidRPr="001335C7" w:rsidRDefault="009B5E39" w:rsidP="00190E4A">
            <w:pPr>
              <w:ind w:left="426" w:hanging="437"/>
              <w:jc w:val="both"/>
              <w:rPr>
                <w:rFonts w:ascii="Gotham" w:hAnsi="Gotham" w:cs="Arial"/>
                <w:sz w:val="18"/>
                <w:szCs w:val="18"/>
              </w:rPr>
            </w:pPr>
          </w:p>
          <w:p w14:paraId="3A476407" w14:textId="77777777" w:rsidR="009B5E39" w:rsidRPr="001335C7" w:rsidRDefault="009B5E39" w:rsidP="00E5394F">
            <w:pPr>
              <w:numPr>
                <w:ilvl w:val="0"/>
                <w:numId w:val="256"/>
              </w:numPr>
              <w:ind w:left="426" w:hanging="437"/>
              <w:jc w:val="both"/>
              <w:rPr>
                <w:rFonts w:ascii="Gotham" w:hAnsi="Gotham" w:cs="Arial"/>
                <w:sz w:val="18"/>
                <w:szCs w:val="18"/>
              </w:rPr>
            </w:pPr>
            <w:r w:rsidRPr="001335C7">
              <w:rPr>
                <w:rFonts w:ascii="Gotham" w:hAnsi="Gotham" w:cs="Arial"/>
                <w:sz w:val="18"/>
                <w:szCs w:val="18"/>
              </w:rPr>
              <w:t xml:space="preserve">Reflejar adecuadamente la presencia no estereotipada de </w:t>
            </w:r>
            <w:r w:rsidRPr="001335C7">
              <w:rPr>
                <w:rFonts w:ascii="Gotham" w:hAnsi="Gotham" w:cs="Arial"/>
                <w:sz w:val="18"/>
                <w:szCs w:val="18"/>
                <w:highlight w:val="cyan"/>
              </w:rPr>
              <w:t>personas</w:t>
            </w:r>
            <w:r w:rsidRPr="001335C7">
              <w:rPr>
                <w:rFonts w:ascii="Gotham" w:hAnsi="Gotham" w:cs="Arial"/>
                <w:sz w:val="18"/>
                <w:szCs w:val="18"/>
              </w:rPr>
              <w:t xml:space="preserve"> en los diversos ámbitos de la vida social;</w:t>
            </w:r>
          </w:p>
          <w:p w14:paraId="3A476408" w14:textId="77777777" w:rsidR="009B5E39" w:rsidRPr="001335C7" w:rsidRDefault="009B5E39" w:rsidP="00190E4A">
            <w:pPr>
              <w:ind w:left="426" w:hanging="437"/>
              <w:jc w:val="both"/>
              <w:rPr>
                <w:rFonts w:ascii="Gotham" w:hAnsi="Gotham" w:cs="Arial"/>
                <w:sz w:val="18"/>
                <w:szCs w:val="18"/>
              </w:rPr>
            </w:pPr>
          </w:p>
          <w:p w14:paraId="3A476409" w14:textId="77777777" w:rsidR="009B5E39" w:rsidRPr="001335C7" w:rsidRDefault="009B5E39" w:rsidP="00E5394F">
            <w:pPr>
              <w:numPr>
                <w:ilvl w:val="0"/>
                <w:numId w:val="256"/>
              </w:numPr>
              <w:ind w:left="426" w:hanging="437"/>
              <w:jc w:val="both"/>
              <w:rPr>
                <w:rFonts w:ascii="Gotham" w:hAnsi="Gotham" w:cs="Arial"/>
                <w:sz w:val="18"/>
                <w:szCs w:val="18"/>
              </w:rPr>
            </w:pPr>
            <w:r w:rsidRPr="001335C7">
              <w:rPr>
                <w:rFonts w:ascii="Gotham" w:hAnsi="Gotham" w:cs="Arial"/>
                <w:sz w:val="18"/>
                <w:szCs w:val="18"/>
              </w:rPr>
              <w:t>Utilizar el lenguaje incluyente y no sexista al interior de la Administración Pública Municipal y en cada uno de los servicios que otorgue;</w:t>
            </w:r>
          </w:p>
          <w:p w14:paraId="3A47640A" w14:textId="77777777" w:rsidR="009B5E39" w:rsidRPr="001335C7" w:rsidRDefault="009B5E39" w:rsidP="00190E4A">
            <w:pPr>
              <w:jc w:val="both"/>
              <w:rPr>
                <w:rFonts w:ascii="Gotham" w:hAnsi="Gotham" w:cs="Arial"/>
                <w:sz w:val="18"/>
                <w:szCs w:val="18"/>
              </w:rPr>
            </w:pPr>
          </w:p>
          <w:p w14:paraId="3A47640B" w14:textId="77777777" w:rsidR="009B5E39" w:rsidRPr="001335C7" w:rsidRDefault="009B5E39" w:rsidP="00E5394F">
            <w:pPr>
              <w:numPr>
                <w:ilvl w:val="0"/>
                <w:numId w:val="256"/>
              </w:numPr>
              <w:ind w:left="567" w:hanging="578"/>
              <w:jc w:val="both"/>
              <w:rPr>
                <w:rFonts w:ascii="Gotham" w:hAnsi="Gotham" w:cs="Arial"/>
                <w:sz w:val="18"/>
                <w:szCs w:val="18"/>
              </w:rPr>
            </w:pPr>
            <w:r w:rsidRPr="001335C7">
              <w:rPr>
                <w:rFonts w:ascii="Gotham" w:hAnsi="Gotham" w:cs="Arial"/>
                <w:sz w:val="18"/>
                <w:szCs w:val="18"/>
              </w:rPr>
              <w:lastRenderedPageBreak/>
              <w:t>Verificar, en conjunto con la Dirección de Padrón y Licencias, que los permisos que el Ayuntamiento otorgue en materia publicitaria, no reproduzca roles y estereotipos de género, ni apología de la violencia de género contra las mujeres, niñas y niños;</w:t>
            </w:r>
          </w:p>
          <w:p w14:paraId="3A47640C" w14:textId="77777777" w:rsidR="009B5E39" w:rsidRPr="001335C7" w:rsidRDefault="009B5E39" w:rsidP="00190E4A">
            <w:pPr>
              <w:ind w:left="567" w:hanging="578"/>
              <w:jc w:val="both"/>
              <w:rPr>
                <w:rFonts w:ascii="Gotham" w:hAnsi="Gotham" w:cs="Arial"/>
                <w:sz w:val="18"/>
                <w:szCs w:val="18"/>
              </w:rPr>
            </w:pPr>
          </w:p>
          <w:p w14:paraId="3A47640D" w14:textId="77777777" w:rsidR="009B5E39" w:rsidRPr="001335C7" w:rsidRDefault="009B5E39" w:rsidP="00E5394F">
            <w:pPr>
              <w:numPr>
                <w:ilvl w:val="0"/>
                <w:numId w:val="256"/>
              </w:numPr>
              <w:ind w:left="567" w:hanging="578"/>
              <w:jc w:val="both"/>
              <w:rPr>
                <w:rFonts w:ascii="Gotham" w:hAnsi="Gotham" w:cs="Arial"/>
                <w:sz w:val="18"/>
                <w:szCs w:val="18"/>
              </w:rPr>
            </w:pPr>
            <w:r w:rsidRPr="001335C7">
              <w:rPr>
                <w:rFonts w:ascii="Gotham" w:hAnsi="Gotham" w:cs="Arial"/>
                <w:sz w:val="18"/>
                <w:szCs w:val="18"/>
              </w:rPr>
              <w:t xml:space="preserve">Adoptar medidas que fomenten la transmisión del principio de igualdad </w:t>
            </w:r>
            <w:r w:rsidRPr="001335C7">
              <w:rPr>
                <w:rFonts w:ascii="Gotham" w:hAnsi="Gotham" w:cs="Arial"/>
                <w:sz w:val="18"/>
                <w:szCs w:val="18"/>
                <w:highlight w:val="cyan"/>
              </w:rPr>
              <w:t>sustantiva</w:t>
            </w:r>
            <w:r w:rsidRPr="001335C7">
              <w:rPr>
                <w:rFonts w:ascii="Gotham" w:hAnsi="Gotham" w:cs="Arial"/>
                <w:sz w:val="18"/>
                <w:szCs w:val="18"/>
              </w:rPr>
              <w:t xml:space="preserve"> en su programación; y</w:t>
            </w:r>
          </w:p>
          <w:p w14:paraId="3A47640E" w14:textId="77777777" w:rsidR="009B5E39" w:rsidRPr="001335C7" w:rsidRDefault="009B5E39" w:rsidP="00190E4A">
            <w:pPr>
              <w:ind w:left="567" w:hanging="578"/>
              <w:jc w:val="both"/>
              <w:rPr>
                <w:rFonts w:ascii="Gotham" w:hAnsi="Gotham" w:cs="Arial"/>
                <w:sz w:val="18"/>
                <w:szCs w:val="18"/>
              </w:rPr>
            </w:pPr>
          </w:p>
          <w:p w14:paraId="3A47640F" w14:textId="77777777" w:rsidR="009B5E39" w:rsidRPr="001335C7" w:rsidRDefault="009B5E39" w:rsidP="00E5394F">
            <w:pPr>
              <w:numPr>
                <w:ilvl w:val="0"/>
                <w:numId w:val="256"/>
              </w:numPr>
              <w:ind w:left="567" w:hanging="578"/>
              <w:jc w:val="both"/>
              <w:rPr>
                <w:rFonts w:ascii="Gotham" w:hAnsi="Gotham" w:cs="Arial"/>
                <w:sz w:val="18"/>
                <w:szCs w:val="18"/>
              </w:rPr>
            </w:pPr>
            <w:r w:rsidRPr="001335C7">
              <w:rPr>
                <w:rFonts w:ascii="Gotham" w:hAnsi="Gotham" w:cs="Arial"/>
                <w:sz w:val="18"/>
                <w:szCs w:val="18"/>
              </w:rPr>
              <w:t xml:space="preserve">Colaborar con las dependencias y organismos de la Administración Pública Municipal, a fin de fomentar la igualdad </w:t>
            </w:r>
            <w:r w:rsidRPr="001335C7">
              <w:rPr>
                <w:rFonts w:ascii="Gotham" w:hAnsi="Gotham" w:cs="Arial"/>
                <w:sz w:val="18"/>
                <w:szCs w:val="18"/>
                <w:highlight w:val="cyan"/>
              </w:rPr>
              <w:t>sustantiva</w:t>
            </w:r>
            <w:r w:rsidRPr="001335C7">
              <w:rPr>
                <w:rFonts w:ascii="Gotham" w:hAnsi="Gotham" w:cs="Arial"/>
                <w:sz w:val="18"/>
                <w:szCs w:val="18"/>
              </w:rPr>
              <w:t xml:space="preserve"> en sus contenidos específicos.</w:t>
            </w:r>
          </w:p>
        </w:tc>
      </w:tr>
      <w:tr w:rsidR="009B5E39" w:rsidRPr="001335C7" w14:paraId="3A476416" w14:textId="77777777" w:rsidTr="00190E4A">
        <w:tc>
          <w:tcPr>
            <w:tcW w:w="4898" w:type="dxa"/>
            <w:shd w:val="clear" w:color="auto" w:fill="auto"/>
          </w:tcPr>
          <w:p w14:paraId="3A476411" w14:textId="77777777" w:rsidR="009B5E39" w:rsidRPr="001335C7" w:rsidRDefault="009B5E39" w:rsidP="00190E4A">
            <w:pPr>
              <w:widowControl w:val="0"/>
              <w:ind w:right="40"/>
              <w:jc w:val="both"/>
              <w:rPr>
                <w:rFonts w:ascii="Gotham" w:hAnsi="Gotham" w:cs="Arial"/>
                <w:b/>
                <w:sz w:val="18"/>
                <w:szCs w:val="18"/>
              </w:rPr>
            </w:pPr>
          </w:p>
          <w:p w14:paraId="3A47641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90.- </w:t>
            </w:r>
            <w:r w:rsidRPr="001335C7">
              <w:rPr>
                <w:rFonts w:ascii="Gotham" w:hAnsi="Gotham" w:cs="Arial"/>
                <w:sz w:val="18"/>
                <w:szCs w:val="18"/>
              </w:rPr>
              <w:t xml:space="preserve">El Sistema Municipal, de acuerdo con sus atribuciones, promoverá la participación de la sociedad en la planeación, diseño, aplicación y evaluación de los programas e instrumentos de la política de igualdad sustantiva </w:t>
            </w:r>
            <w:r w:rsidRPr="001335C7">
              <w:rPr>
                <w:rFonts w:ascii="Gotham" w:hAnsi="Gotham" w:cs="Arial"/>
                <w:sz w:val="18"/>
                <w:szCs w:val="18"/>
                <w:highlight w:val="yellow"/>
              </w:rPr>
              <w:t>entre mujeres y hombres, a</w:t>
            </w:r>
            <w:r w:rsidRPr="001335C7">
              <w:rPr>
                <w:rFonts w:ascii="Gotham" w:hAnsi="Gotham" w:cs="Arial"/>
                <w:sz w:val="18"/>
                <w:szCs w:val="18"/>
              </w:rPr>
              <w:t xml:space="preserve"> que se refiere este ordenamiento.</w:t>
            </w:r>
          </w:p>
          <w:p w14:paraId="3A476413"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14" w14:textId="77777777" w:rsidR="009B5E39" w:rsidRPr="001335C7" w:rsidRDefault="009B5E39" w:rsidP="00190E4A">
            <w:pPr>
              <w:jc w:val="both"/>
              <w:rPr>
                <w:rFonts w:ascii="Gotham" w:hAnsi="Gotham" w:cs="Arial"/>
                <w:b/>
                <w:sz w:val="18"/>
                <w:szCs w:val="18"/>
              </w:rPr>
            </w:pPr>
          </w:p>
          <w:p w14:paraId="3A476415"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90.- </w:t>
            </w:r>
            <w:r w:rsidRPr="001335C7">
              <w:rPr>
                <w:rFonts w:ascii="Gotham" w:hAnsi="Gotham" w:cs="Arial"/>
                <w:sz w:val="18"/>
                <w:szCs w:val="18"/>
              </w:rPr>
              <w:t xml:space="preserve">El Sistema Municipal, de acuerdo con sus atribuciones, promoverá la participación de la sociedad en la planeación, diseño, aplicación y evaluación de los programas e instrumentos de la política de igualdad sustantiva, </w:t>
            </w:r>
            <w:r w:rsidRPr="001335C7">
              <w:rPr>
                <w:rFonts w:ascii="Gotham" w:hAnsi="Gotham" w:cs="Arial"/>
                <w:sz w:val="18"/>
                <w:szCs w:val="18"/>
                <w:highlight w:val="cyan"/>
              </w:rPr>
              <w:t>al</w:t>
            </w:r>
            <w:r w:rsidRPr="001335C7">
              <w:rPr>
                <w:rFonts w:ascii="Gotham" w:hAnsi="Gotham" w:cs="Arial"/>
                <w:sz w:val="18"/>
                <w:szCs w:val="18"/>
              </w:rPr>
              <w:t xml:space="preserve"> que se refiere este ordenamiento.</w:t>
            </w:r>
          </w:p>
        </w:tc>
      </w:tr>
      <w:tr w:rsidR="009B5E39" w:rsidRPr="001335C7" w14:paraId="3A47641C" w14:textId="77777777" w:rsidTr="00190E4A">
        <w:tc>
          <w:tcPr>
            <w:tcW w:w="4898" w:type="dxa"/>
            <w:shd w:val="clear" w:color="auto" w:fill="auto"/>
          </w:tcPr>
          <w:p w14:paraId="3A476417" w14:textId="77777777" w:rsidR="009B5E39" w:rsidRPr="001335C7" w:rsidRDefault="009B5E39" w:rsidP="00190E4A">
            <w:pPr>
              <w:widowControl w:val="0"/>
              <w:ind w:right="40"/>
              <w:jc w:val="both"/>
              <w:rPr>
                <w:rFonts w:ascii="Gotham" w:hAnsi="Gotham" w:cs="Arial"/>
                <w:b/>
                <w:sz w:val="18"/>
                <w:szCs w:val="18"/>
              </w:rPr>
            </w:pPr>
          </w:p>
          <w:p w14:paraId="3A476418"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91.- </w:t>
            </w:r>
            <w:r w:rsidRPr="001335C7">
              <w:rPr>
                <w:rFonts w:ascii="Gotham" w:hAnsi="Gotham" w:cs="Arial"/>
                <w:sz w:val="18"/>
                <w:szCs w:val="18"/>
              </w:rPr>
              <w:t xml:space="preserve">Las dependencias y organismos de la Administración Pública Municipal garantizarán la aplicación del principio de igualdad de trato y oportunidades entre </w:t>
            </w:r>
            <w:r w:rsidRPr="001335C7">
              <w:rPr>
                <w:rFonts w:ascii="Gotham" w:hAnsi="Gotham" w:cs="Arial"/>
                <w:sz w:val="18"/>
                <w:szCs w:val="18"/>
                <w:highlight w:val="yellow"/>
              </w:rPr>
              <w:t>mujeres y hombres</w:t>
            </w:r>
            <w:r w:rsidRPr="001335C7">
              <w:rPr>
                <w:rFonts w:ascii="Gotham" w:hAnsi="Gotham" w:cs="Arial"/>
                <w:sz w:val="18"/>
                <w:szCs w:val="18"/>
              </w:rPr>
              <w:t xml:space="preserve"> en el Municipio.</w:t>
            </w:r>
          </w:p>
          <w:p w14:paraId="3A476419"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1A" w14:textId="77777777" w:rsidR="009B5E39" w:rsidRPr="001335C7" w:rsidRDefault="009B5E39" w:rsidP="00190E4A">
            <w:pPr>
              <w:jc w:val="both"/>
              <w:rPr>
                <w:rFonts w:ascii="Gotham" w:hAnsi="Gotham" w:cs="Arial"/>
                <w:b/>
                <w:sz w:val="18"/>
                <w:szCs w:val="18"/>
              </w:rPr>
            </w:pPr>
          </w:p>
          <w:p w14:paraId="3A47641B"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91.- </w:t>
            </w:r>
            <w:r w:rsidRPr="001335C7">
              <w:rPr>
                <w:rFonts w:ascii="Gotham" w:hAnsi="Gotham" w:cs="Arial"/>
                <w:sz w:val="18"/>
                <w:szCs w:val="18"/>
              </w:rPr>
              <w:t xml:space="preserve">Las dependencias y organismos de la Administración Pública Municipal garantizarán la aplicación del principio de igualdad de trato y oportunidades entre </w:t>
            </w:r>
            <w:r w:rsidRPr="001335C7">
              <w:rPr>
                <w:rFonts w:ascii="Gotham" w:hAnsi="Gotham" w:cs="Arial"/>
                <w:sz w:val="18"/>
                <w:szCs w:val="18"/>
                <w:highlight w:val="cyan"/>
              </w:rPr>
              <w:t xml:space="preserve">personas </w:t>
            </w:r>
            <w:r w:rsidRPr="001335C7">
              <w:rPr>
                <w:rFonts w:ascii="Gotham" w:hAnsi="Gotham" w:cs="Arial"/>
                <w:sz w:val="18"/>
                <w:szCs w:val="18"/>
              </w:rPr>
              <w:t>en el Municipio.</w:t>
            </w:r>
          </w:p>
        </w:tc>
      </w:tr>
      <w:tr w:rsidR="009B5E39" w:rsidRPr="001335C7" w14:paraId="3A476422" w14:textId="77777777" w:rsidTr="00190E4A">
        <w:tc>
          <w:tcPr>
            <w:tcW w:w="4898" w:type="dxa"/>
            <w:shd w:val="clear" w:color="auto" w:fill="auto"/>
          </w:tcPr>
          <w:p w14:paraId="3A47641D" w14:textId="77777777" w:rsidR="009B5E39" w:rsidRPr="001335C7" w:rsidRDefault="009B5E39" w:rsidP="00190E4A">
            <w:pPr>
              <w:widowControl w:val="0"/>
              <w:ind w:right="40"/>
              <w:jc w:val="both"/>
              <w:rPr>
                <w:rFonts w:ascii="Gotham" w:hAnsi="Gotham" w:cs="Arial"/>
                <w:b/>
                <w:sz w:val="18"/>
                <w:szCs w:val="18"/>
              </w:rPr>
            </w:pPr>
          </w:p>
          <w:p w14:paraId="3A47641E"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93.- </w:t>
            </w:r>
            <w:r w:rsidRPr="001335C7">
              <w:rPr>
                <w:rFonts w:ascii="Gotham" w:hAnsi="Gotham" w:cs="Arial"/>
                <w:sz w:val="18"/>
                <w:szCs w:val="18"/>
              </w:rPr>
              <w:t xml:space="preserve">Todos los procedimientos llevados a cabo en materia de acceso al empleo público de la administración pública municipal, deben considerar el estudio y la aplicación del principio de </w:t>
            </w:r>
            <w:r w:rsidRPr="001335C7">
              <w:rPr>
                <w:rFonts w:ascii="Gotham" w:hAnsi="Gotham" w:cs="Arial"/>
                <w:sz w:val="18"/>
                <w:szCs w:val="18"/>
                <w:highlight w:val="yellow"/>
              </w:rPr>
              <w:t>igualad sustantiva entre mujeres y hombres</w:t>
            </w:r>
            <w:r w:rsidRPr="001335C7">
              <w:rPr>
                <w:rFonts w:ascii="Gotham" w:hAnsi="Gotham" w:cs="Arial"/>
                <w:sz w:val="18"/>
                <w:szCs w:val="18"/>
              </w:rPr>
              <w:t xml:space="preserve"> en los diversos ámbitos de la función pública.</w:t>
            </w:r>
          </w:p>
          <w:p w14:paraId="3A47641F"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20" w14:textId="77777777" w:rsidR="009B5E39" w:rsidRPr="001335C7" w:rsidRDefault="009B5E39" w:rsidP="00190E4A">
            <w:pPr>
              <w:jc w:val="both"/>
              <w:rPr>
                <w:rFonts w:ascii="Gotham" w:hAnsi="Gotham" w:cs="Arial"/>
                <w:b/>
                <w:sz w:val="18"/>
                <w:szCs w:val="18"/>
              </w:rPr>
            </w:pPr>
          </w:p>
          <w:p w14:paraId="3A476421"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93.- </w:t>
            </w:r>
            <w:r w:rsidRPr="001335C7">
              <w:rPr>
                <w:rFonts w:ascii="Gotham" w:hAnsi="Gotham" w:cs="Arial"/>
                <w:sz w:val="18"/>
                <w:szCs w:val="18"/>
              </w:rPr>
              <w:t xml:space="preserve">Todos los procedimientos llevados a cabo en materia de acceso al empleo público de la administración pública municipal, deben considerar el estudio y la aplicación del principio de </w:t>
            </w:r>
            <w:r w:rsidRPr="001335C7">
              <w:rPr>
                <w:rFonts w:ascii="Gotham" w:hAnsi="Gotham" w:cs="Arial"/>
                <w:sz w:val="18"/>
                <w:szCs w:val="18"/>
                <w:highlight w:val="cyan"/>
              </w:rPr>
              <w:t>igualdad sustantiva</w:t>
            </w:r>
            <w:r w:rsidRPr="001335C7">
              <w:rPr>
                <w:rFonts w:ascii="Gotham" w:hAnsi="Gotham" w:cs="Arial"/>
                <w:sz w:val="18"/>
                <w:szCs w:val="18"/>
              </w:rPr>
              <w:t xml:space="preserve"> en los diversos ámbitos de la función pública.</w:t>
            </w:r>
          </w:p>
        </w:tc>
      </w:tr>
      <w:tr w:rsidR="009B5E39" w:rsidRPr="001335C7" w14:paraId="3A476429" w14:textId="77777777" w:rsidTr="00190E4A">
        <w:tc>
          <w:tcPr>
            <w:tcW w:w="4898" w:type="dxa"/>
            <w:shd w:val="clear" w:color="auto" w:fill="auto"/>
          </w:tcPr>
          <w:p w14:paraId="3A476423" w14:textId="77777777" w:rsidR="009B5E39" w:rsidRPr="001335C7" w:rsidRDefault="009B5E39" w:rsidP="00190E4A">
            <w:pPr>
              <w:widowControl w:val="0"/>
              <w:ind w:right="40"/>
              <w:jc w:val="both"/>
              <w:rPr>
                <w:rFonts w:ascii="Gotham" w:hAnsi="Gotham" w:cs="Arial"/>
                <w:b/>
                <w:sz w:val="18"/>
                <w:szCs w:val="18"/>
              </w:rPr>
            </w:pPr>
          </w:p>
          <w:p w14:paraId="3A476424"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96.- </w:t>
            </w:r>
            <w:r w:rsidRPr="001335C7">
              <w:rPr>
                <w:rFonts w:ascii="Gotham" w:hAnsi="Gotham" w:cs="Arial"/>
                <w:sz w:val="18"/>
                <w:szCs w:val="18"/>
              </w:rPr>
              <w:t>El Programa Municipal deberá conciliarse con las tradiciones, normas y cultura de los pueblos, comunidades indígenas y los grupos étnicos o raciales existentes en el Municipio.</w:t>
            </w:r>
          </w:p>
          <w:p w14:paraId="3A476425"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26" w14:textId="77777777" w:rsidR="009B5E39" w:rsidRPr="001335C7" w:rsidRDefault="009B5E39" w:rsidP="00190E4A">
            <w:pPr>
              <w:jc w:val="both"/>
              <w:rPr>
                <w:rFonts w:ascii="Gotham" w:hAnsi="Gotham" w:cs="Arial"/>
                <w:b/>
                <w:sz w:val="18"/>
                <w:szCs w:val="18"/>
              </w:rPr>
            </w:pPr>
          </w:p>
          <w:p w14:paraId="3A476427"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96.- </w:t>
            </w:r>
            <w:r w:rsidRPr="001335C7">
              <w:rPr>
                <w:rFonts w:ascii="Gotham" w:hAnsi="Gotham" w:cs="Arial"/>
                <w:sz w:val="18"/>
                <w:szCs w:val="18"/>
              </w:rPr>
              <w:t xml:space="preserve">El Programa Municipal deberá conciliarse con las tradiciones, normas y cultura de los pueblos, comunidades indígenas y los grupos étnicos o raciales existentes en el Municipio, </w:t>
            </w:r>
            <w:r w:rsidRPr="001335C7">
              <w:rPr>
                <w:rFonts w:ascii="Gotham" w:hAnsi="Gotham" w:cs="Arial"/>
                <w:sz w:val="18"/>
                <w:szCs w:val="18"/>
                <w:highlight w:val="cyan"/>
              </w:rPr>
              <w:t>siempre y cuando estas no vulneren los derechos fundamentales de las mujeres.</w:t>
            </w:r>
            <w:r w:rsidRPr="001335C7">
              <w:rPr>
                <w:rFonts w:ascii="Gotham" w:hAnsi="Gotham" w:cs="Arial"/>
                <w:sz w:val="18"/>
                <w:szCs w:val="18"/>
              </w:rPr>
              <w:t xml:space="preserve"> </w:t>
            </w:r>
          </w:p>
          <w:p w14:paraId="3A476428" w14:textId="77777777" w:rsidR="009B5E39" w:rsidRPr="001335C7" w:rsidRDefault="009B5E39" w:rsidP="00190E4A">
            <w:pPr>
              <w:jc w:val="both"/>
              <w:rPr>
                <w:rFonts w:ascii="Gotham" w:hAnsi="Gotham" w:cs="Arial"/>
                <w:b/>
                <w:sz w:val="18"/>
                <w:szCs w:val="18"/>
              </w:rPr>
            </w:pPr>
          </w:p>
        </w:tc>
      </w:tr>
      <w:tr w:rsidR="009B5E39" w:rsidRPr="001335C7" w14:paraId="3A476448" w14:textId="77777777" w:rsidTr="00190E4A">
        <w:tc>
          <w:tcPr>
            <w:tcW w:w="4898" w:type="dxa"/>
            <w:shd w:val="clear" w:color="auto" w:fill="auto"/>
          </w:tcPr>
          <w:p w14:paraId="3A47642A" w14:textId="77777777" w:rsidR="009B5E39" w:rsidRPr="001335C7" w:rsidRDefault="009B5E39" w:rsidP="00190E4A">
            <w:pPr>
              <w:widowControl w:val="0"/>
              <w:ind w:right="40"/>
              <w:jc w:val="both"/>
              <w:rPr>
                <w:rFonts w:ascii="Gotham" w:hAnsi="Gotham" w:cs="Arial"/>
                <w:b/>
                <w:sz w:val="18"/>
                <w:szCs w:val="18"/>
              </w:rPr>
            </w:pPr>
          </w:p>
          <w:p w14:paraId="3A47642B"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98.- </w:t>
            </w:r>
            <w:r w:rsidRPr="001335C7">
              <w:rPr>
                <w:rFonts w:ascii="Gotham" w:hAnsi="Gotham" w:cs="Arial"/>
                <w:sz w:val="18"/>
                <w:szCs w:val="18"/>
              </w:rPr>
              <w:t xml:space="preserve">La observancia en materia de igualdad sustantiva </w:t>
            </w:r>
            <w:r w:rsidRPr="001335C7">
              <w:rPr>
                <w:rFonts w:ascii="Gotham" w:hAnsi="Gotham" w:cs="Arial"/>
                <w:sz w:val="18"/>
                <w:szCs w:val="18"/>
                <w:highlight w:val="yellow"/>
              </w:rPr>
              <w:t>entre mujeres y hombres</w:t>
            </w:r>
            <w:r w:rsidRPr="001335C7">
              <w:rPr>
                <w:rFonts w:ascii="Gotham" w:hAnsi="Gotham" w:cs="Arial"/>
                <w:sz w:val="18"/>
                <w:szCs w:val="18"/>
              </w:rPr>
              <w:t xml:space="preserve"> en la Administración Pública Municipal consistirá en:</w:t>
            </w:r>
          </w:p>
          <w:p w14:paraId="3A47642C" w14:textId="77777777" w:rsidR="009B5E39" w:rsidRPr="001335C7" w:rsidRDefault="009B5E39" w:rsidP="00190E4A">
            <w:pPr>
              <w:jc w:val="both"/>
              <w:rPr>
                <w:rFonts w:ascii="Gotham" w:hAnsi="Gotham" w:cs="Arial"/>
                <w:sz w:val="18"/>
                <w:szCs w:val="18"/>
              </w:rPr>
            </w:pPr>
          </w:p>
          <w:p w14:paraId="3A47642D" w14:textId="77777777" w:rsidR="009B5E39" w:rsidRPr="001335C7" w:rsidRDefault="009B5E39" w:rsidP="00E5394F">
            <w:pPr>
              <w:numPr>
                <w:ilvl w:val="0"/>
                <w:numId w:val="262"/>
              </w:numPr>
              <w:ind w:left="567" w:hanging="578"/>
              <w:jc w:val="both"/>
              <w:rPr>
                <w:rFonts w:ascii="Gotham" w:hAnsi="Gotham" w:cs="Arial"/>
                <w:sz w:val="18"/>
                <w:szCs w:val="18"/>
              </w:rPr>
            </w:pPr>
            <w:r w:rsidRPr="001335C7">
              <w:rPr>
                <w:rFonts w:ascii="Gotham" w:hAnsi="Gotham" w:cs="Arial"/>
                <w:sz w:val="18"/>
                <w:szCs w:val="18"/>
              </w:rPr>
              <w:t>Recibir información sobre medidas y actividades que ponga en marcha la administración pública Municipal en materia de igualdad</w:t>
            </w:r>
            <w:r w:rsidRPr="001335C7">
              <w:rPr>
                <w:rFonts w:ascii="Gotham" w:hAnsi="Gotham" w:cs="Arial"/>
                <w:sz w:val="18"/>
                <w:szCs w:val="18"/>
                <w:highlight w:val="yellow"/>
              </w:rPr>
              <w:t xml:space="preserve"> entre mujeres y hombres</w:t>
            </w:r>
            <w:r w:rsidRPr="001335C7">
              <w:rPr>
                <w:rFonts w:ascii="Gotham" w:hAnsi="Gotham" w:cs="Arial"/>
                <w:sz w:val="18"/>
                <w:szCs w:val="18"/>
              </w:rPr>
              <w:t>;</w:t>
            </w:r>
          </w:p>
          <w:p w14:paraId="3A47642E" w14:textId="77777777" w:rsidR="009B5E39" w:rsidRPr="001335C7" w:rsidRDefault="009B5E39" w:rsidP="00190E4A">
            <w:pPr>
              <w:jc w:val="both"/>
              <w:rPr>
                <w:rFonts w:ascii="Gotham" w:hAnsi="Gotham" w:cs="Arial"/>
                <w:sz w:val="18"/>
                <w:szCs w:val="18"/>
              </w:rPr>
            </w:pPr>
          </w:p>
          <w:p w14:paraId="3A47642F" w14:textId="77777777" w:rsidR="009B5E39" w:rsidRPr="001335C7" w:rsidRDefault="009B5E39" w:rsidP="00E5394F">
            <w:pPr>
              <w:numPr>
                <w:ilvl w:val="0"/>
                <w:numId w:val="262"/>
              </w:numPr>
              <w:ind w:left="567" w:hanging="578"/>
              <w:jc w:val="both"/>
              <w:rPr>
                <w:rFonts w:ascii="Gotham" w:hAnsi="Gotham" w:cs="Arial"/>
                <w:sz w:val="18"/>
                <w:szCs w:val="18"/>
              </w:rPr>
            </w:pPr>
            <w:r w:rsidRPr="001335C7">
              <w:rPr>
                <w:rFonts w:ascii="Gotham" w:hAnsi="Gotham" w:cs="Arial"/>
                <w:sz w:val="18"/>
                <w:szCs w:val="18"/>
              </w:rPr>
              <w:lastRenderedPageBreak/>
              <w:t xml:space="preserve">Evaluar el impacto en lo sociedad de las políticas y medidas que afecten a </w:t>
            </w:r>
            <w:r w:rsidRPr="001335C7">
              <w:rPr>
                <w:rFonts w:ascii="Gotham" w:hAnsi="Gotham" w:cs="Arial"/>
                <w:sz w:val="18"/>
                <w:szCs w:val="18"/>
                <w:highlight w:val="yellow"/>
              </w:rPr>
              <w:t>los hombres y a las mujeres</w:t>
            </w:r>
            <w:r w:rsidRPr="001335C7">
              <w:rPr>
                <w:rFonts w:ascii="Gotham" w:hAnsi="Gotham" w:cs="Arial"/>
                <w:sz w:val="18"/>
                <w:szCs w:val="18"/>
              </w:rPr>
              <w:t xml:space="preserve"> en materia de igualdad;</w:t>
            </w:r>
          </w:p>
          <w:p w14:paraId="3A476430" w14:textId="77777777" w:rsidR="009B5E39" w:rsidRPr="001335C7" w:rsidRDefault="009B5E39" w:rsidP="00190E4A">
            <w:pPr>
              <w:ind w:left="567" w:hanging="578"/>
              <w:jc w:val="both"/>
              <w:rPr>
                <w:rFonts w:ascii="Gotham" w:hAnsi="Gotham" w:cs="Arial"/>
                <w:sz w:val="18"/>
                <w:szCs w:val="18"/>
              </w:rPr>
            </w:pPr>
          </w:p>
          <w:p w14:paraId="3A476431" w14:textId="77777777" w:rsidR="009B5E39" w:rsidRPr="001335C7" w:rsidRDefault="009B5E39" w:rsidP="00E5394F">
            <w:pPr>
              <w:numPr>
                <w:ilvl w:val="0"/>
                <w:numId w:val="262"/>
              </w:numPr>
              <w:ind w:left="567" w:hanging="578"/>
              <w:jc w:val="both"/>
              <w:rPr>
                <w:rFonts w:ascii="Gotham" w:hAnsi="Gotham" w:cs="Arial"/>
                <w:sz w:val="18"/>
                <w:szCs w:val="18"/>
              </w:rPr>
            </w:pPr>
            <w:r w:rsidRPr="001335C7">
              <w:rPr>
                <w:rFonts w:ascii="Gotham" w:hAnsi="Gotham" w:cs="Arial"/>
                <w:sz w:val="18"/>
                <w:szCs w:val="18"/>
              </w:rPr>
              <w:t xml:space="preserve">Proponer la realización de estudios e informes técnicos de diagnóstico sobre la situación </w:t>
            </w:r>
            <w:r w:rsidRPr="001335C7">
              <w:rPr>
                <w:rFonts w:ascii="Gotham" w:hAnsi="Gotham" w:cs="Arial"/>
                <w:sz w:val="18"/>
                <w:szCs w:val="18"/>
                <w:highlight w:val="yellow"/>
              </w:rPr>
              <w:t>de las mujeres y hombres</w:t>
            </w:r>
            <w:r w:rsidRPr="001335C7">
              <w:rPr>
                <w:rFonts w:ascii="Gotham" w:hAnsi="Gotham" w:cs="Arial"/>
                <w:sz w:val="18"/>
                <w:szCs w:val="18"/>
              </w:rPr>
              <w:t xml:space="preserve"> en materia de igualdad;</w:t>
            </w:r>
          </w:p>
          <w:p w14:paraId="3A476432" w14:textId="77777777" w:rsidR="009B5E39" w:rsidRPr="001335C7" w:rsidRDefault="009B5E39" w:rsidP="00190E4A">
            <w:pPr>
              <w:ind w:left="567" w:hanging="578"/>
              <w:rPr>
                <w:rFonts w:ascii="Gotham" w:hAnsi="Gotham" w:cs="Arial"/>
                <w:sz w:val="18"/>
                <w:szCs w:val="18"/>
              </w:rPr>
            </w:pPr>
          </w:p>
          <w:p w14:paraId="3A476433" w14:textId="77777777" w:rsidR="009B5E39" w:rsidRPr="001335C7" w:rsidRDefault="009B5E39" w:rsidP="00E5394F">
            <w:pPr>
              <w:numPr>
                <w:ilvl w:val="0"/>
                <w:numId w:val="262"/>
              </w:numPr>
              <w:ind w:left="567" w:hanging="578"/>
              <w:jc w:val="both"/>
              <w:rPr>
                <w:rFonts w:ascii="Gotham" w:hAnsi="Gotham" w:cs="Arial"/>
                <w:sz w:val="18"/>
                <w:szCs w:val="18"/>
              </w:rPr>
            </w:pPr>
            <w:r w:rsidRPr="001335C7">
              <w:rPr>
                <w:rFonts w:ascii="Gotham" w:hAnsi="Gotham" w:cs="Arial"/>
                <w:sz w:val="18"/>
                <w:szCs w:val="18"/>
              </w:rPr>
              <w:t xml:space="preserve">Realizar recomendaciones de cumplimiento a los acuerdos del Sistema, al Programa y a la obligación de garantizar la igualdad </w:t>
            </w:r>
            <w:r w:rsidRPr="001335C7">
              <w:rPr>
                <w:rFonts w:ascii="Gotham" w:hAnsi="Gotham" w:cs="Arial"/>
                <w:sz w:val="18"/>
                <w:szCs w:val="18"/>
                <w:highlight w:val="yellow"/>
              </w:rPr>
              <w:t>entre mujeres y hombres;</w:t>
            </w:r>
          </w:p>
          <w:p w14:paraId="3A476434" w14:textId="77777777" w:rsidR="009B5E39" w:rsidRPr="001335C7" w:rsidRDefault="009B5E39" w:rsidP="00190E4A">
            <w:pPr>
              <w:jc w:val="both"/>
              <w:rPr>
                <w:rFonts w:ascii="Gotham" w:hAnsi="Gotham" w:cs="Arial"/>
                <w:sz w:val="18"/>
                <w:szCs w:val="18"/>
              </w:rPr>
            </w:pPr>
          </w:p>
          <w:p w14:paraId="3A476435" w14:textId="77777777" w:rsidR="009B5E39" w:rsidRPr="001335C7" w:rsidRDefault="009B5E39" w:rsidP="00E5394F">
            <w:pPr>
              <w:numPr>
                <w:ilvl w:val="0"/>
                <w:numId w:val="262"/>
              </w:numPr>
              <w:ind w:left="567" w:hanging="578"/>
              <w:jc w:val="both"/>
              <w:rPr>
                <w:rFonts w:ascii="Gotham" w:hAnsi="Gotham" w:cs="Arial"/>
                <w:sz w:val="18"/>
                <w:szCs w:val="18"/>
              </w:rPr>
            </w:pPr>
            <w:r w:rsidRPr="001335C7">
              <w:rPr>
                <w:rFonts w:ascii="Gotham" w:hAnsi="Gotham" w:cs="Arial"/>
                <w:sz w:val="18"/>
                <w:szCs w:val="18"/>
              </w:rPr>
              <w:t xml:space="preserve">Difundir información sobre los diversos aspectos relacionados con la igualdad </w:t>
            </w:r>
            <w:r w:rsidRPr="001335C7">
              <w:rPr>
                <w:rFonts w:ascii="Gotham" w:hAnsi="Gotham" w:cs="Arial"/>
                <w:sz w:val="18"/>
                <w:szCs w:val="18"/>
                <w:highlight w:val="yellow"/>
              </w:rPr>
              <w:t>entre mujeres y hombres</w:t>
            </w:r>
            <w:r w:rsidRPr="001335C7">
              <w:rPr>
                <w:rFonts w:ascii="Gotham" w:hAnsi="Gotham" w:cs="Arial"/>
                <w:sz w:val="18"/>
                <w:szCs w:val="18"/>
              </w:rPr>
              <w:t>; y</w:t>
            </w:r>
          </w:p>
          <w:p w14:paraId="3A476436" w14:textId="77777777" w:rsidR="009B5E39" w:rsidRPr="001335C7" w:rsidRDefault="009B5E39" w:rsidP="00190E4A">
            <w:pPr>
              <w:ind w:left="567" w:hanging="578"/>
              <w:jc w:val="both"/>
              <w:rPr>
                <w:rFonts w:ascii="Gotham" w:hAnsi="Gotham" w:cs="Arial"/>
                <w:sz w:val="18"/>
                <w:szCs w:val="18"/>
              </w:rPr>
            </w:pPr>
          </w:p>
          <w:p w14:paraId="3A476437" w14:textId="77777777" w:rsidR="009B5E39" w:rsidRPr="001335C7" w:rsidRDefault="009B5E39" w:rsidP="00E5394F">
            <w:pPr>
              <w:numPr>
                <w:ilvl w:val="0"/>
                <w:numId w:val="262"/>
              </w:numPr>
              <w:ind w:left="567" w:hanging="578"/>
              <w:jc w:val="both"/>
              <w:rPr>
                <w:rFonts w:ascii="Gotham" w:hAnsi="Gotham" w:cs="Arial"/>
                <w:sz w:val="18"/>
                <w:szCs w:val="18"/>
              </w:rPr>
            </w:pPr>
            <w:r w:rsidRPr="001335C7">
              <w:rPr>
                <w:rFonts w:ascii="Gotham" w:hAnsi="Gotham" w:cs="Arial"/>
                <w:sz w:val="18"/>
                <w:szCs w:val="18"/>
              </w:rPr>
              <w:t>Las demás que sean necesari</w:t>
            </w:r>
            <w:r w:rsidRPr="001335C7">
              <w:rPr>
                <w:rFonts w:ascii="Gotham" w:hAnsi="Gotham" w:cs="Arial"/>
                <w:sz w:val="18"/>
                <w:szCs w:val="18"/>
                <w:highlight w:val="yellow"/>
              </w:rPr>
              <w:t>o</w:t>
            </w:r>
            <w:r w:rsidRPr="001335C7">
              <w:rPr>
                <w:rFonts w:ascii="Gotham" w:hAnsi="Gotham" w:cs="Arial"/>
                <w:sz w:val="18"/>
                <w:szCs w:val="18"/>
              </w:rPr>
              <w:t>s para cumplir los objetivos de este código.</w:t>
            </w:r>
          </w:p>
          <w:p w14:paraId="3A476438" w14:textId="77777777" w:rsidR="009B5E39" w:rsidRPr="001335C7" w:rsidRDefault="009B5E39" w:rsidP="00190E4A">
            <w:pPr>
              <w:widowControl w:val="0"/>
              <w:ind w:right="40"/>
              <w:jc w:val="both"/>
              <w:rPr>
                <w:rFonts w:ascii="Gotham" w:hAnsi="Gotham" w:cs="Arial"/>
                <w:b/>
                <w:sz w:val="18"/>
                <w:szCs w:val="18"/>
              </w:rPr>
            </w:pPr>
          </w:p>
        </w:tc>
        <w:tc>
          <w:tcPr>
            <w:tcW w:w="4899" w:type="dxa"/>
            <w:shd w:val="clear" w:color="auto" w:fill="auto"/>
          </w:tcPr>
          <w:p w14:paraId="3A476439" w14:textId="77777777" w:rsidR="009B5E39" w:rsidRPr="001335C7" w:rsidRDefault="009B5E39" w:rsidP="00190E4A">
            <w:pPr>
              <w:jc w:val="both"/>
              <w:rPr>
                <w:rFonts w:ascii="Gotham" w:hAnsi="Gotham" w:cs="Arial"/>
                <w:b/>
                <w:sz w:val="18"/>
                <w:szCs w:val="18"/>
              </w:rPr>
            </w:pPr>
          </w:p>
          <w:p w14:paraId="3A47643A"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98.- </w:t>
            </w:r>
            <w:r w:rsidRPr="001335C7">
              <w:rPr>
                <w:rFonts w:ascii="Gotham" w:hAnsi="Gotham" w:cs="Arial"/>
                <w:sz w:val="18"/>
                <w:szCs w:val="18"/>
              </w:rPr>
              <w:t>La observancia en materia de igualdad sustantiva en la Administración Pública Municipal consistirá en:</w:t>
            </w:r>
          </w:p>
          <w:p w14:paraId="3A47643B" w14:textId="77777777" w:rsidR="009B5E39" w:rsidRPr="001335C7" w:rsidRDefault="009B5E39" w:rsidP="00190E4A">
            <w:pPr>
              <w:jc w:val="both"/>
              <w:rPr>
                <w:rFonts w:ascii="Gotham" w:hAnsi="Gotham" w:cs="Arial"/>
                <w:sz w:val="18"/>
                <w:szCs w:val="18"/>
              </w:rPr>
            </w:pPr>
          </w:p>
          <w:p w14:paraId="3A47643C" w14:textId="77777777" w:rsidR="009B5E39" w:rsidRPr="001335C7" w:rsidRDefault="009B5E39" w:rsidP="00E5394F">
            <w:pPr>
              <w:numPr>
                <w:ilvl w:val="0"/>
                <w:numId w:val="283"/>
              </w:numPr>
              <w:jc w:val="both"/>
              <w:rPr>
                <w:rFonts w:ascii="Gotham" w:hAnsi="Gotham" w:cs="Arial"/>
                <w:sz w:val="18"/>
                <w:szCs w:val="18"/>
              </w:rPr>
            </w:pPr>
            <w:r w:rsidRPr="001335C7">
              <w:rPr>
                <w:rFonts w:ascii="Gotham" w:hAnsi="Gotham" w:cs="Arial"/>
                <w:sz w:val="18"/>
                <w:szCs w:val="18"/>
              </w:rPr>
              <w:t xml:space="preserve">Recibir información sobre medidas y actividades que ponga en marcha la administración pública Municipal en materia de igualdad </w:t>
            </w:r>
            <w:r w:rsidRPr="001335C7">
              <w:rPr>
                <w:rFonts w:ascii="Gotham" w:hAnsi="Gotham" w:cs="Arial"/>
                <w:sz w:val="18"/>
                <w:szCs w:val="18"/>
                <w:highlight w:val="cyan"/>
              </w:rPr>
              <w:t>sustantiva</w:t>
            </w:r>
            <w:r w:rsidRPr="001335C7">
              <w:rPr>
                <w:rFonts w:ascii="Gotham" w:hAnsi="Gotham" w:cs="Arial"/>
                <w:sz w:val="18"/>
                <w:szCs w:val="18"/>
              </w:rPr>
              <w:t>;</w:t>
            </w:r>
          </w:p>
          <w:p w14:paraId="3A47643D" w14:textId="77777777" w:rsidR="009B5E39" w:rsidRPr="001335C7" w:rsidRDefault="009B5E39" w:rsidP="00190E4A">
            <w:pPr>
              <w:jc w:val="both"/>
              <w:rPr>
                <w:rFonts w:ascii="Gotham" w:hAnsi="Gotham" w:cs="Arial"/>
                <w:sz w:val="18"/>
                <w:szCs w:val="18"/>
              </w:rPr>
            </w:pPr>
          </w:p>
          <w:p w14:paraId="3A47643E" w14:textId="77777777" w:rsidR="009B5E39" w:rsidRPr="001335C7" w:rsidRDefault="009B5E39" w:rsidP="00E5394F">
            <w:pPr>
              <w:numPr>
                <w:ilvl w:val="0"/>
                <w:numId w:val="283"/>
              </w:numPr>
              <w:jc w:val="both"/>
              <w:rPr>
                <w:rFonts w:ascii="Gotham" w:hAnsi="Gotham" w:cs="Arial"/>
                <w:sz w:val="18"/>
                <w:szCs w:val="18"/>
              </w:rPr>
            </w:pPr>
            <w:r w:rsidRPr="001335C7">
              <w:rPr>
                <w:rFonts w:ascii="Gotham" w:hAnsi="Gotham" w:cs="Arial"/>
                <w:sz w:val="18"/>
                <w:szCs w:val="18"/>
              </w:rPr>
              <w:lastRenderedPageBreak/>
              <w:t>Evaluar el impacto en lo sociedad de las políticas y medidas que afecten a l</w:t>
            </w:r>
            <w:r w:rsidRPr="001335C7">
              <w:rPr>
                <w:rFonts w:ascii="Gotham" w:hAnsi="Gotham" w:cs="Arial"/>
                <w:sz w:val="18"/>
                <w:szCs w:val="18"/>
                <w:highlight w:val="cyan"/>
              </w:rPr>
              <w:t>as personas</w:t>
            </w:r>
            <w:r w:rsidR="007C2F8D">
              <w:rPr>
                <w:rFonts w:ascii="Gotham" w:hAnsi="Gotham" w:cs="Arial"/>
                <w:sz w:val="18"/>
                <w:szCs w:val="18"/>
              </w:rPr>
              <w:t xml:space="preserve"> </w:t>
            </w:r>
            <w:r w:rsidRPr="001335C7">
              <w:rPr>
                <w:rFonts w:ascii="Gotham" w:hAnsi="Gotham" w:cs="Arial"/>
                <w:sz w:val="18"/>
                <w:szCs w:val="18"/>
              </w:rPr>
              <w:t xml:space="preserve">en materia de igualdad </w:t>
            </w:r>
            <w:r w:rsidRPr="001335C7">
              <w:rPr>
                <w:rFonts w:ascii="Gotham" w:hAnsi="Gotham" w:cs="Arial"/>
                <w:sz w:val="18"/>
                <w:szCs w:val="18"/>
                <w:highlight w:val="cyan"/>
              </w:rPr>
              <w:t>de género</w:t>
            </w:r>
            <w:r w:rsidRPr="001335C7">
              <w:rPr>
                <w:rFonts w:ascii="Gotham" w:hAnsi="Gotham" w:cs="Arial"/>
                <w:sz w:val="18"/>
                <w:szCs w:val="18"/>
              </w:rPr>
              <w:t>;</w:t>
            </w:r>
          </w:p>
          <w:p w14:paraId="3A47643F" w14:textId="77777777" w:rsidR="009B5E39" w:rsidRPr="001335C7" w:rsidRDefault="009B5E39" w:rsidP="00190E4A">
            <w:pPr>
              <w:ind w:left="567" w:hanging="578"/>
              <w:jc w:val="both"/>
              <w:rPr>
                <w:rFonts w:ascii="Gotham" w:hAnsi="Gotham" w:cs="Arial"/>
                <w:sz w:val="18"/>
                <w:szCs w:val="18"/>
              </w:rPr>
            </w:pPr>
          </w:p>
          <w:p w14:paraId="3A476440" w14:textId="77777777" w:rsidR="009B5E39" w:rsidRPr="001335C7" w:rsidRDefault="009B5E39" w:rsidP="00E5394F">
            <w:pPr>
              <w:numPr>
                <w:ilvl w:val="0"/>
                <w:numId w:val="283"/>
              </w:numPr>
              <w:jc w:val="both"/>
              <w:rPr>
                <w:rFonts w:ascii="Gotham" w:hAnsi="Gotham" w:cs="Arial"/>
                <w:sz w:val="18"/>
                <w:szCs w:val="18"/>
              </w:rPr>
            </w:pPr>
            <w:r w:rsidRPr="001335C7">
              <w:rPr>
                <w:rFonts w:ascii="Gotham" w:hAnsi="Gotham" w:cs="Arial"/>
                <w:sz w:val="18"/>
                <w:szCs w:val="18"/>
              </w:rPr>
              <w:t xml:space="preserve">Proponer la realización de estudios e informes técnicos de diagnóstico sobre la situación, en materia de igualdad </w:t>
            </w:r>
            <w:r w:rsidRPr="001335C7">
              <w:rPr>
                <w:rFonts w:ascii="Gotham" w:hAnsi="Gotham" w:cs="Arial"/>
                <w:sz w:val="18"/>
                <w:szCs w:val="18"/>
                <w:highlight w:val="cyan"/>
              </w:rPr>
              <w:t>de género;</w:t>
            </w:r>
          </w:p>
          <w:p w14:paraId="3A476441" w14:textId="77777777" w:rsidR="009B5E39" w:rsidRPr="001335C7" w:rsidRDefault="009B5E39" w:rsidP="00190E4A">
            <w:pPr>
              <w:ind w:left="567" w:hanging="578"/>
              <w:rPr>
                <w:rFonts w:ascii="Gotham" w:hAnsi="Gotham" w:cs="Arial"/>
                <w:sz w:val="18"/>
                <w:szCs w:val="18"/>
              </w:rPr>
            </w:pPr>
          </w:p>
          <w:p w14:paraId="3A476442" w14:textId="77777777" w:rsidR="009B5E39" w:rsidRPr="001335C7" w:rsidRDefault="009B5E39" w:rsidP="00E5394F">
            <w:pPr>
              <w:numPr>
                <w:ilvl w:val="0"/>
                <w:numId w:val="283"/>
              </w:numPr>
              <w:jc w:val="both"/>
              <w:rPr>
                <w:rFonts w:ascii="Gotham" w:hAnsi="Gotham" w:cs="Arial"/>
                <w:sz w:val="18"/>
                <w:szCs w:val="18"/>
              </w:rPr>
            </w:pPr>
            <w:r w:rsidRPr="001335C7">
              <w:rPr>
                <w:rFonts w:ascii="Gotham" w:hAnsi="Gotham" w:cs="Arial"/>
                <w:sz w:val="18"/>
                <w:szCs w:val="18"/>
              </w:rPr>
              <w:t xml:space="preserve">Realizar recomendaciones de cumplimiento a los acuerdos del Sistema, al Programa y a la obligación de garantizar la igualdad </w:t>
            </w:r>
            <w:r w:rsidRPr="001335C7">
              <w:rPr>
                <w:rFonts w:ascii="Gotham" w:hAnsi="Gotham" w:cs="Arial"/>
                <w:sz w:val="18"/>
                <w:szCs w:val="18"/>
                <w:highlight w:val="cyan"/>
              </w:rPr>
              <w:t>sustantiva;</w:t>
            </w:r>
          </w:p>
          <w:p w14:paraId="3A476443" w14:textId="77777777" w:rsidR="009B5E39" w:rsidRPr="001335C7" w:rsidRDefault="009B5E39" w:rsidP="00190E4A">
            <w:pPr>
              <w:jc w:val="both"/>
              <w:rPr>
                <w:rFonts w:ascii="Gotham" w:hAnsi="Gotham" w:cs="Arial"/>
                <w:sz w:val="18"/>
                <w:szCs w:val="18"/>
              </w:rPr>
            </w:pPr>
          </w:p>
          <w:p w14:paraId="3A476444" w14:textId="77777777" w:rsidR="009B5E39" w:rsidRPr="001335C7" w:rsidRDefault="009B5E39" w:rsidP="00E5394F">
            <w:pPr>
              <w:numPr>
                <w:ilvl w:val="0"/>
                <w:numId w:val="283"/>
              </w:numPr>
              <w:jc w:val="both"/>
              <w:rPr>
                <w:rFonts w:ascii="Gotham" w:hAnsi="Gotham" w:cs="Arial"/>
                <w:sz w:val="18"/>
                <w:szCs w:val="18"/>
              </w:rPr>
            </w:pPr>
            <w:r w:rsidRPr="001335C7">
              <w:rPr>
                <w:rFonts w:ascii="Gotham" w:hAnsi="Gotham" w:cs="Arial"/>
                <w:sz w:val="18"/>
                <w:szCs w:val="18"/>
              </w:rPr>
              <w:t xml:space="preserve">Difundir información sobre los diversos aspectos relacionados con la igualdad </w:t>
            </w:r>
            <w:r w:rsidRPr="001335C7">
              <w:rPr>
                <w:rFonts w:ascii="Gotham" w:hAnsi="Gotham" w:cs="Arial"/>
                <w:sz w:val="18"/>
                <w:szCs w:val="18"/>
                <w:highlight w:val="cyan"/>
              </w:rPr>
              <w:t>de género</w:t>
            </w:r>
            <w:r w:rsidRPr="001335C7">
              <w:rPr>
                <w:rFonts w:ascii="Gotham" w:hAnsi="Gotham" w:cs="Arial"/>
                <w:sz w:val="18"/>
                <w:szCs w:val="18"/>
              </w:rPr>
              <w:t>; y</w:t>
            </w:r>
          </w:p>
          <w:p w14:paraId="3A476445" w14:textId="77777777" w:rsidR="009B5E39" w:rsidRPr="001335C7" w:rsidRDefault="009B5E39" w:rsidP="00190E4A">
            <w:pPr>
              <w:ind w:left="567" w:hanging="578"/>
              <w:jc w:val="both"/>
              <w:rPr>
                <w:rFonts w:ascii="Gotham" w:hAnsi="Gotham" w:cs="Arial"/>
                <w:sz w:val="18"/>
                <w:szCs w:val="18"/>
              </w:rPr>
            </w:pPr>
          </w:p>
          <w:p w14:paraId="3A476446" w14:textId="77777777" w:rsidR="009B5E39" w:rsidRPr="001335C7" w:rsidRDefault="009B5E39" w:rsidP="00E5394F">
            <w:pPr>
              <w:numPr>
                <w:ilvl w:val="0"/>
                <w:numId w:val="283"/>
              </w:numPr>
              <w:jc w:val="both"/>
              <w:rPr>
                <w:rFonts w:ascii="Gotham" w:hAnsi="Gotham" w:cs="Arial"/>
                <w:sz w:val="18"/>
                <w:szCs w:val="18"/>
              </w:rPr>
            </w:pPr>
            <w:r w:rsidRPr="001335C7">
              <w:rPr>
                <w:rFonts w:ascii="Gotham" w:hAnsi="Gotham" w:cs="Arial"/>
                <w:sz w:val="18"/>
                <w:szCs w:val="18"/>
              </w:rPr>
              <w:t>Las demás que sean necesarias para cumplir los objetivos de este código.</w:t>
            </w:r>
          </w:p>
          <w:p w14:paraId="3A476447" w14:textId="77777777" w:rsidR="009B5E39" w:rsidRPr="001335C7" w:rsidRDefault="009B5E39" w:rsidP="00190E4A">
            <w:pPr>
              <w:jc w:val="both"/>
              <w:rPr>
                <w:rFonts w:ascii="Gotham" w:hAnsi="Gotham" w:cs="Arial"/>
                <w:b/>
                <w:sz w:val="18"/>
                <w:szCs w:val="18"/>
              </w:rPr>
            </w:pPr>
          </w:p>
        </w:tc>
      </w:tr>
      <w:tr w:rsidR="009B5E39" w:rsidRPr="001335C7" w14:paraId="3A47644F" w14:textId="77777777" w:rsidTr="00190E4A">
        <w:tc>
          <w:tcPr>
            <w:tcW w:w="4898" w:type="dxa"/>
            <w:shd w:val="clear" w:color="auto" w:fill="auto"/>
          </w:tcPr>
          <w:p w14:paraId="3A476449" w14:textId="77777777" w:rsidR="009B5E39" w:rsidRPr="001335C7" w:rsidRDefault="009B5E39" w:rsidP="00190E4A">
            <w:pPr>
              <w:widowControl w:val="0"/>
              <w:ind w:right="40"/>
              <w:jc w:val="both"/>
              <w:rPr>
                <w:rFonts w:ascii="Gotham" w:hAnsi="Gotham" w:cs="Arial"/>
                <w:b/>
                <w:sz w:val="18"/>
                <w:szCs w:val="18"/>
              </w:rPr>
            </w:pPr>
          </w:p>
          <w:p w14:paraId="3A47644A"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99.- </w:t>
            </w:r>
            <w:r w:rsidRPr="001335C7">
              <w:rPr>
                <w:rFonts w:ascii="Gotham" w:hAnsi="Gotham" w:cs="Arial"/>
                <w:sz w:val="18"/>
                <w:szCs w:val="18"/>
              </w:rPr>
              <w:t xml:space="preserve">El Instituto, en coadyuvancia con el Consejo Consultivo y con base en lo dispuesto en el presente ordenamiento, debe llevar a cabo el seguimiento, evaluación y monitoreo de los avances en la agenda pública para la Igualdad Sustantiva </w:t>
            </w:r>
            <w:r w:rsidRPr="001335C7">
              <w:rPr>
                <w:rFonts w:ascii="Gotham" w:hAnsi="Gotham" w:cs="Arial"/>
                <w:sz w:val="18"/>
                <w:szCs w:val="18"/>
                <w:highlight w:val="yellow"/>
              </w:rPr>
              <w:t>entre mujeres y hombres</w:t>
            </w:r>
            <w:r w:rsidRPr="001335C7">
              <w:rPr>
                <w:rFonts w:ascii="Gotham" w:hAnsi="Gotham" w:cs="Arial"/>
                <w:sz w:val="18"/>
                <w:szCs w:val="18"/>
              </w:rPr>
              <w:t xml:space="preserve"> en el Municipio.</w:t>
            </w:r>
          </w:p>
          <w:p w14:paraId="3A47644B"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4C" w14:textId="77777777" w:rsidR="009B5E39" w:rsidRPr="001335C7" w:rsidRDefault="009B5E39" w:rsidP="00190E4A">
            <w:pPr>
              <w:jc w:val="both"/>
              <w:rPr>
                <w:rFonts w:ascii="Gotham" w:hAnsi="Gotham" w:cs="Arial"/>
                <w:b/>
                <w:sz w:val="18"/>
                <w:szCs w:val="18"/>
              </w:rPr>
            </w:pPr>
          </w:p>
          <w:p w14:paraId="3A47644D"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99.- </w:t>
            </w:r>
            <w:r w:rsidRPr="001335C7">
              <w:rPr>
                <w:rFonts w:ascii="Gotham" w:hAnsi="Gotham" w:cs="Arial"/>
                <w:sz w:val="18"/>
                <w:szCs w:val="18"/>
              </w:rPr>
              <w:t>El Instituto, en coadyuvancia con el Consejo Consultivo y con base en lo dispuesto en el presente ordenamiento, debe llevar a cabo el seguimiento, evaluación y monitoreo de los avances en la agenda pública para la Igualdad Sustantiva en el Municipio.</w:t>
            </w:r>
          </w:p>
          <w:p w14:paraId="3A47644E" w14:textId="77777777" w:rsidR="009B5E39" w:rsidRPr="001335C7" w:rsidRDefault="009B5E39" w:rsidP="00190E4A">
            <w:pPr>
              <w:jc w:val="both"/>
              <w:rPr>
                <w:rFonts w:ascii="Gotham" w:hAnsi="Gotham" w:cs="Arial"/>
                <w:b/>
                <w:sz w:val="18"/>
                <w:szCs w:val="18"/>
              </w:rPr>
            </w:pPr>
          </w:p>
        </w:tc>
      </w:tr>
      <w:tr w:rsidR="009B5E39" w:rsidRPr="001335C7" w14:paraId="3A476455" w14:textId="77777777" w:rsidTr="00190E4A">
        <w:tc>
          <w:tcPr>
            <w:tcW w:w="4898" w:type="dxa"/>
            <w:shd w:val="clear" w:color="auto" w:fill="auto"/>
          </w:tcPr>
          <w:p w14:paraId="3A476450" w14:textId="77777777" w:rsidR="009B5E39" w:rsidRPr="001335C7" w:rsidRDefault="009B5E39" w:rsidP="00190E4A">
            <w:pPr>
              <w:widowControl w:val="0"/>
              <w:ind w:right="40"/>
              <w:jc w:val="both"/>
              <w:rPr>
                <w:rFonts w:ascii="Gotham" w:hAnsi="Gotham" w:cs="Arial"/>
                <w:b/>
                <w:sz w:val="18"/>
                <w:szCs w:val="18"/>
              </w:rPr>
            </w:pPr>
          </w:p>
          <w:p w14:paraId="3A476451"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100.- </w:t>
            </w:r>
            <w:r w:rsidRPr="001335C7">
              <w:rPr>
                <w:rFonts w:ascii="Gotham" w:hAnsi="Gotham" w:cs="Arial"/>
                <w:sz w:val="18"/>
                <w:szCs w:val="18"/>
              </w:rPr>
              <w:t xml:space="preserve">El Instituto debe dar seguimiento al Programa Municipal, incluyendo los Indicadores de Género para conocer la situación que guarda la Igualdad Sustantiva </w:t>
            </w:r>
            <w:r w:rsidRPr="001335C7">
              <w:rPr>
                <w:rFonts w:ascii="Gotham" w:hAnsi="Gotham" w:cs="Arial"/>
                <w:sz w:val="18"/>
                <w:szCs w:val="18"/>
                <w:highlight w:val="yellow"/>
              </w:rPr>
              <w:t>entre mujeres y hombres</w:t>
            </w:r>
            <w:r w:rsidRPr="001335C7">
              <w:rPr>
                <w:rFonts w:ascii="Gotham" w:hAnsi="Gotham" w:cs="Arial"/>
                <w:sz w:val="18"/>
                <w:szCs w:val="18"/>
              </w:rPr>
              <w:t>, y el efecto de las políticas públicas aplicadas en esta materia.</w:t>
            </w:r>
          </w:p>
          <w:p w14:paraId="3A476452"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53" w14:textId="77777777" w:rsidR="009B5E39" w:rsidRPr="001335C7" w:rsidRDefault="009B5E39" w:rsidP="00190E4A">
            <w:pPr>
              <w:jc w:val="both"/>
              <w:rPr>
                <w:rFonts w:ascii="Gotham" w:hAnsi="Gotham" w:cs="Arial"/>
                <w:b/>
                <w:sz w:val="18"/>
                <w:szCs w:val="18"/>
              </w:rPr>
            </w:pPr>
          </w:p>
          <w:p w14:paraId="3A476454"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100.- </w:t>
            </w:r>
            <w:r w:rsidRPr="001335C7">
              <w:rPr>
                <w:rFonts w:ascii="Gotham" w:hAnsi="Gotham" w:cs="Arial"/>
                <w:sz w:val="18"/>
                <w:szCs w:val="18"/>
              </w:rPr>
              <w:t>El Instituto debe dar seguimiento al Programa Municipal, incluyendo los Indicadores de Género para conocer la situación que guarda la Igualdad Sustantiva, y el efecto de las políticas públicas aplicadas en esta materia.</w:t>
            </w:r>
          </w:p>
        </w:tc>
      </w:tr>
      <w:tr w:rsidR="009B5E39" w:rsidRPr="001335C7" w14:paraId="3A47646C" w14:textId="77777777" w:rsidTr="00190E4A">
        <w:tc>
          <w:tcPr>
            <w:tcW w:w="4898" w:type="dxa"/>
            <w:shd w:val="clear" w:color="auto" w:fill="auto"/>
          </w:tcPr>
          <w:p w14:paraId="3A476456" w14:textId="77777777" w:rsidR="009B5E39" w:rsidRPr="001335C7" w:rsidRDefault="009B5E39" w:rsidP="00190E4A">
            <w:pPr>
              <w:widowControl w:val="0"/>
              <w:ind w:right="40"/>
              <w:jc w:val="both"/>
              <w:rPr>
                <w:rFonts w:ascii="Gotham" w:hAnsi="Gotham" w:cs="Arial"/>
                <w:b/>
                <w:sz w:val="18"/>
                <w:szCs w:val="18"/>
              </w:rPr>
            </w:pPr>
          </w:p>
          <w:p w14:paraId="3A476457"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101.- </w:t>
            </w:r>
            <w:r w:rsidRPr="001335C7">
              <w:rPr>
                <w:rFonts w:ascii="Gotham" w:hAnsi="Gotham" w:cs="Arial"/>
                <w:sz w:val="18"/>
                <w:szCs w:val="18"/>
              </w:rPr>
              <w:t xml:space="preserve">El seguimiento en materia de Igualdad Sustantiva </w:t>
            </w:r>
            <w:r w:rsidRPr="001335C7">
              <w:rPr>
                <w:rFonts w:ascii="Gotham" w:hAnsi="Gotham" w:cs="Arial"/>
                <w:sz w:val="18"/>
                <w:szCs w:val="18"/>
                <w:highlight w:val="yellow"/>
              </w:rPr>
              <w:t>entre mujeres y hombres</w:t>
            </w:r>
            <w:r w:rsidRPr="001335C7">
              <w:rPr>
                <w:rFonts w:ascii="Gotham" w:hAnsi="Gotham" w:cs="Arial"/>
                <w:sz w:val="18"/>
                <w:szCs w:val="18"/>
              </w:rPr>
              <w:t xml:space="preserve"> debe consistir en:</w:t>
            </w:r>
          </w:p>
          <w:p w14:paraId="3A476458" w14:textId="77777777" w:rsidR="009B5E39" w:rsidRPr="001335C7" w:rsidRDefault="009B5E39" w:rsidP="00190E4A">
            <w:pPr>
              <w:jc w:val="both"/>
              <w:rPr>
                <w:rFonts w:ascii="Gotham" w:hAnsi="Gotham" w:cs="Arial"/>
                <w:sz w:val="18"/>
                <w:szCs w:val="18"/>
              </w:rPr>
            </w:pPr>
          </w:p>
          <w:p w14:paraId="3A476459" w14:textId="77777777" w:rsidR="009B5E39" w:rsidRPr="001335C7" w:rsidRDefault="009B5E39" w:rsidP="00E5394F">
            <w:pPr>
              <w:numPr>
                <w:ilvl w:val="0"/>
                <w:numId w:val="276"/>
              </w:numPr>
              <w:ind w:left="426" w:hanging="437"/>
              <w:jc w:val="both"/>
              <w:rPr>
                <w:rFonts w:ascii="Gotham" w:hAnsi="Gotham" w:cs="Arial"/>
                <w:sz w:val="18"/>
                <w:szCs w:val="18"/>
              </w:rPr>
            </w:pPr>
            <w:r w:rsidRPr="001335C7">
              <w:rPr>
                <w:rFonts w:ascii="Gotham" w:hAnsi="Gotham" w:cs="Arial"/>
                <w:sz w:val="18"/>
                <w:szCs w:val="18"/>
              </w:rPr>
              <w:t>Evaluar el impacto en la sociedad de las políticas y medidas que afecten a las mujeres y hombres en materia de igualdad sustantiva;</w:t>
            </w:r>
          </w:p>
          <w:p w14:paraId="3A47645A" w14:textId="77777777" w:rsidR="009B5E39" w:rsidRPr="001335C7" w:rsidRDefault="009B5E39" w:rsidP="00190E4A">
            <w:pPr>
              <w:ind w:left="426" w:hanging="437"/>
              <w:jc w:val="both"/>
              <w:rPr>
                <w:rFonts w:ascii="Gotham" w:hAnsi="Gotham" w:cs="Arial"/>
                <w:sz w:val="18"/>
                <w:szCs w:val="18"/>
              </w:rPr>
            </w:pPr>
          </w:p>
          <w:p w14:paraId="3A47645B" w14:textId="77777777" w:rsidR="009B5E39" w:rsidRPr="001335C7" w:rsidRDefault="009B5E39" w:rsidP="00E5394F">
            <w:pPr>
              <w:numPr>
                <w:ilvl w:val="0"/>
                <w:numId w:val="276"/>
              </w:numPr>
              <w:ind w:left="426" w:hanging="437"/>
              <w:jc w:val="both"/>
              <w:rPr>
                <w:rFonts w:ascii="Gotham" w:hAnsi="Gotham" w:cs="Arial"/>
                <w:sz w:val="18"/>
                <w:szCs w:val="18"/>
              </w:rPr>
            </w:pPr>
            <w:r w:rsidRPr="001335C7">
              <w:rPr>
                <w:rFonts w:ascii="Gotham" w:hAnsi="Gotham" w:cs="Arial"/>
                <w:sz w:val="18"/>
                <w:szCs w:val="18"/>
              </w:rPr>
              <w:t xml:space="preserve">Proponer la realización de estudios e informes técnicos de diagnóstico sobre la situación de las </w:t>
            </w:r>
            <w:r w:rsidRPr="001335C7">
              <w:rPr>
                <w:rFonts w:ascii="Gotham" w:hAnsi="Gotham" w:cs="Arial"/>
                <w:sz w:val="18"/>
                <w:szCs w:val="18"/>
                <w:highlight w:val="yellow"/>
              </w:rPr>
              <w:t>mujeres y hombres</w:t>
            </w:r>
            <w:r w:rsidRPr="001335C7">
              <w:rPr>
                <w:rFonts w:ascii="Gotham" w:hAnsi="Gotham" w:cs="Arial"/>
                <w:sz w:val="18"/>
                <w:szCs w:val="18"/>
              </w:rPr>
              <w:t xml:space="preserve"> en materia de igualdad sustantiva;</w:t>
            </w:r>
          </w:p>
          <w:p w14:paraId="3A47645C" w14:textId="77777777" w:rsidR="009B5E39" w:rsidRPr="001335C7" w:rsidRDefault="009B5E39" w:rsidP="00190E4A">
            <w:pPr>
              <w:ind w:left="426" w:hanging="437"/>
              <w:jc w:val="both"/>
              <w:rPr>
                <w:rFonts w:ascii="Gotham" w:hAnsi="Gotham" w:cs="Arial"/>
                <w:sz w:val="18"/>
                <w:szCs w:val="18"/>
              </w:rPr>
            </w:pPr>
          </w:p>
          <w:p w14:paraId="3A47645D" w14:textId="77777777" w:rsidR="009B5E39" w:rsidRPr="001335C7" w:rsidRDefault="009B5E39" w:rsidP="00E5394F">
            <w:pPr>
              <w:numPr>
                <w:ilvl w:val="0"/>
                <w:numId w:val="276"/>
              </w:numPr>
              <w:ind w:left="426" w:hanging="437"/>
              <w:jc w:val="both"/>
              <w:rPr>
                <w:rFonts w:ascii="Gotham" w:hAnsi="Gotham" w:cs="Arial"/>
                <w:sz w:val="18"/>
                <w:szCs w:val="18"/>
              </w:rPr>
            </w:pPr>
            <w:r w:rsidRPr="001335C7">
              <w:rPr>
                <w:rFonts w:ascii="Gotham" w:hAnsi="Gotham" w:cs="Arial"/>
                <w:sz w:val="18"/>
                <w:szCs w:val="18"/>
              </w:rPr>
              <w:t xml:space="preserve">Difundir la correspondiente información sobre los diversos temas relacionados con la igualdad sustantiva </w:t>
            </w:r>
            <w:r w:rsidRPr="001335C7">
              <w:rPr>
                <w:rFonts w:ascii="Gotham" w:hAnsi="Gotham" w:cs="Arial"/>
                <w:sz w:val="18"/>
                <w:szCs w:val="18"/>
                <w:highlight w:val="yellow"/>
              </w:rPr>
              <w:t>entre mujeres y hombres</w:t>
            </w:r>
            <w:r w:rsidRPr="001335C7">
              <w:rPr>
                <w:rFonts w:ascii="Gotham" w:hAnsi="Gotham" w:cs="Arial"/>
                <w:sz w:val="18"/>
                <w:szCs w:val="18"/>
              </w:rPr>
              <w:t>; y</w:t>
            </w:r>
          </w:p>
          <w:p w14:paraId="3A47645E" w14:textId="77777777" w:rsidR="009B5E39" w:rsidRPr="001335C7" w:rsidRDefault="009B5E39" w:rsidP="00190E4A">
            <w:pPr>
              <w:ind w:left="426" w:hanging="437"/>
              <w:jc w:val="both"/>
              <w:rPr>
                <w:rFonts w:ascii="Gotham" w:hAnsi="Gotham" w:cs="Arial"/>
                <w:sz w:val="18"/>
                <w:szCs w:val="18"/>
              </w:rPr>
            </w:pPr>
          </w:p>
          <w:p w14:paraId="3A47645F" w14:textId="77777777" w:rsidR="009B5E39" w:rsidRPr="001335C7" w:rsidRDefault="009B5E39" w:rsidP="00E5394F">
            <w:pPr>
              <w:numPr>
                <w:ilvl w:val="0"/>
                <w:numId w:val="276"/>
              </w:numPr>
              <w:ind w:left="426" w:hanging="437"/>
              <w:jc w:val="both"/>
              <w:rPr>
                <w:rFonts w:ascii="Gotham" w:hAnsi="Gotham" w:cs="Arial"/>
                <w:sz w:val="18"/>
                <w:szCs w:val="18"/>
              </w:rPr>
            </w:pPr>
            <w:r w:rsidRPr="001335C7">
              <w:rPr>
                <w:rFonts w:ascii="Gotham" w:hAnsi="Gotham" w:cs="Arial"/>
                <w:sz w:val="18"/>
                <w:szCs w:val="18"/>
              </w:rPr>
              <w:t>Las demás que sean necesarias para cumplir con los objetivos del presente código.</w:t>
            </w:r>
          </w:p>
          <w:p w14:paraId="3A476460" w14:textId="77777777" w:rsidR="009B5E39" w:rsidRPr="001335C7" w:rsidRDefault="009B5E39" w:rsidP="00190E4A">
            <w:pPr>
              <w:ind w:left="1080"/>
              <w:jc w:val="both"/>
              <w:rPr>
                <w:rFonts w:ascii="Gotham" w:hAnsi="Gotham" w:cs="Arial"/>
                <w:sz w:val="18"/>
                <w:szCs w:val="18"/>
              </w:rPr>
            </w:pPr>
          </w:p>
        </w:tc>
        <w:tc>
          <w:tcPr>
            <w:tcW w:w="4899" w:type="dxa"/>
            <w:shd w:val="clear" w:color="auto" w:fill="auto"/>
          </w:tcPr>
          <w:p w14:paraId="3A476461" w14:textId="77777777" w:rsidR="009B5E39" w:rsidRPr="001335C7" w:rsidRDefault="009B5E39" w:rsidP="00190E4A">
            <w:pPr>
              <w:jc w:val="both"/>
              <w:rPr>
                <w:rFonts w:ascii="Gotham" w:hAnsi="Gotham" w:cs="Arial"/>
                <w:b/>
                <w:sz w:val="18"/>
                <w:szCs w:val="18"/>
              </w:rPr>
            </w:pPr>
          </w:p>
          <w:p w14:paraId="3A47646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101.- </w:t>
            </w:r>
            <w:r w:rsidRPr="001335C7">
              <w:rPr>
                <w:rFonts w:ascii="Gotham" w:hAnsi="Gotham" w:cs="Arial"/>
                <w:sz w:val="18"/>
                <w:szCs w:val="18"/>
              </w:rPr>
              <w:t>El seguimiento en materia de Igualdad Sustantiva</w:t>
            </w:r>
            <w:r w:rsidR="007C2F8D">
              <w:rPr>
                <w:rFonts w:ascii="Gotham" w:hAnsi="Gotham" w:cs="Arial"/>
                <w:sz w:val="18"/>
                <w:szCs w:val="18"/>
              </w:rPr>
              <w:t xml:space="preserve"> </w:t>
            </w:r>
            <w:r w:rsidRPr="001335C7">
              <w:rPr>
                <w:rFonts w:ascii="Gotham" w:hAnsi="Gotham" w:cs="Arial"/>
                <w:sz w:val="18"/>
                <w:szCs w:val="18"/>
              </w:rPr>
              <w:t>debe consistir en:</w:t>
            </w:r>
          </w:p>
          <w:p w14:paraId="3A476463" w14:textId="77777777" w:rsidR="009B5E39" w:rsidRPr="001335C7" w:rsidRDefault="009B5E39" w:rsidP="00190E4A">
            <w:pPr>
              <w:jc w:val="both"/>
              <w:rPr>
                <w:rFonts w:ascii="Gotham" w:hAnsi="Gotham" w:cs="Arial"/>
                <w:sz w:val="18"/>
                <w:szCs w:val="18"/>
              </w:rPr>
            </w:pPr>
          </w:p>
          <w:p w14:paraId="3A476464" w14:textId="77777777" w:rsidR="009B5E39" w:rsidRPr="001335C7" w:rsidRDefault="009B5E39" w:rsidP="00E5394F">
            <w:pPr>
              <w:numPr>
                <w:ilvl w:val="0"/>
                <w:numId w:val="265"/>
              </w:numPr>
              <w:ind w:left="426" w:hanging="437"/>
              <w:jc w:val="both"/>
              <w:rPr>
                <w:rFonts w:ascii="Gotham" w:hAnsi="Gotham" w:cs="Arial"/>
                <w:sz w:val="18"/>
                <w:szCs w:val="18"/>
              </w:rPr>
            </w:pPr>
            <w:r w:rsidRPr="001335C7">
              <w:rPr>
                <w:rFonts w:ascii="Gotham" w:hAnsi="Gotham" w:cs="Arial"/>
                <w:sz w:val="18"/>
                <w:szCs w:val="18"/>
              </w:rPr>
              <w:t xml:space="preserve">Evaluar el impacto en la sociedad de las políticas y medidas que afecten a las mujeres y hombres, </w:t>
            </w:r>
            <w:r w:rsidRPr="001335C7">
              <w:rPr>
                <w:rFonts w:ascii="Gotham" w:hAnsi="Gotham" w:cs="Arial"/>
                <w:sz w:val="18"/>
                <w:szCs w:val="18"/>
                <w:highlight w:val="cyan"/>
              </w:rPr>
              <w:t>y población LGBT+</w:t>
            </w:r>
            <w:r w:rsidRPr="001335C7">
              <w:rPr>
                <w:rFonts w:ascii="Gotham" w:hAnsi="Gotham" w:cs="Arial"/>
                <w:sz w:val="18"/>
                <w:szCs w:val="18"/>
              </w:rPr>
              <w:t xml:space="preserve"> en materia de igualdad sustantiva;</w:t>
            </w:r>
          </w:p>
          <w:p w14:paraId="3A476465" w14:textId="77777777" w:rsidR="009B5E39" w:rsidRPr="001335C7" w:rsidRDefault="009B5E39" w:rsidP="00190E4A">
            <w:pPr>
              <w:ind w:left="426" w:hanging="437"/>
              <w:jc w:val="both"/>
              <w:rPr>
                <w:rFonts w:ascii="Gotham" w:hAnsi="Gotham" w:cs="Arial"/>
                <w:sz w:val="18"/>
                <w:szCs w:val="18"/>
              </w:rPr>
            </w:pPr>
          </w:p>
          <w:p w14:paraId="3A476466" w14:textId="77777777" w:rsidR="009B5E39" w:rsidRPr="001335C7" w:rsidRDefault="009B5E39" w:rsidP="00E5394F">
            <w:pPr>
              <w:numPr>
                <w:ilvl w:val="0"/>
                <w:numId w:val="265"/>
              </w:numPr>
              <w:ind w:left="426" w:hanging="437"/>
              <w:jc w:val="both"/>
              <w:rPr>
                <w:rFonts w:ascii="Gotham" w:hAnsi="Gotham" w:cs="Arial"/>
                <w:sz w:val="18"/>
                <w:szCs w:val="18"/>
              </w:rPr>
            </w:pPr>
            <w:r w:rsidRPr="001335C7">
              <w:rPr>
                <w:rFonts w:ascii="Gotham" w:hAnsi="Gotham" w:cs="Arial"/>
                <w:sz w:val="18"/>
                <w:szCs w:val="18"/>
              </w:rPr>
              <w:t xml:space="preserve">Proponer la realización de estudios e informes técnicos de diagnóstico sobre la situación de las </w:t>
            </w:r>
            <w:r w:rsidRPr="001335C7">
              <w:rPr>
                <w:rFonts w:ascii="Gotham" w:hAnsi="Gotham" w:cs="Arial"/>
                <w:sz w:val="18"/>
                <w:szCs w:val="18"/>
                <w:highlight w:val="cyan"/>
              </w:rPr>
              <w:t>personas</w:t>
            </w:r>
            <w:r w:rsidRPr="001335C7">
              <w:rPr>
                <w:rFonts w:ascii="Gotham" w:hAnsi="Gotham" w:cs="Arial"/>
                <w:sz w:val="18"/>
                <w:szCs w:val="18"/>
              </w:rPr>
              <w:t xml:space="preserve"> en materia de igualdad sustantiva;</w:t>
            </w:r>
          </w:p>
          <w:p w14:paraId="3A476467" w14:textId="77777777" w:rsidR="009B5E39" w:rsidRPr="001335C7" w:rsidRDefault="009B5E39" w:rsidP="00190E4A">
            <w:pPr>
              <w:ind w:left="426" w:hanging="437"/>
              <w:jc w:val="both"/>
              <w:rPr>
                <w:rFonts w:ascii="Gotham" w:hAnsi="Gotham" w:cs="Arial"/>
                <w:sz w:val="18"/>
                <w:szCs w:val="18"/>
              </w:rPr>
            </w:pPr>
          </w:p>
          <w:p w14:paraId="3A476468" w14:textId="77777777" w:rsidR="009B5E39" w:rsidRPr="001335C7" w:rsidRDefault="009B5E39" w:rsidP="00E5394F">
            <w:pPr>
              <w:numPr>
                <w:ilvl w:val="0"/>
                <w:numId w:val="265"/>
              </w:numPr>
              <w:ind w:left="426" w:hanging="437"/>
              <w:jc w:val="both"/>
              <w:rPr>
                <w:rFonts w:ascii="Gotham" w:hAnsi="Gotham" w:cs="Arial"/>
                <w:sz w:val="18"/>
                <w:szCs w:val="18"/>
              </w:rPr>
            </w:pPr>
            <w:r w:rsidRPr="001335C7">
              <w:rPr>
                <w:rFonts w:ascii="Gotham" w:hAnsi="Gotham" w:cs="Arial"/>
                <w:sz w:val="18"/>
                <w:szCs w:val="18"/>
              </w:rPr>
              <w:t>Difundir la correspondiente información sobre los diversos temas relacionados con la igualdad sustantiva; y</w:t>
            </w:r>
          </w:p>
          <w:p w14:paraId="3A476469" w14:textId="77777777" w:rsidR="009B5E39" w:rsidRPr="001335C7" w:rsidRDefault="009B5E39" w:rsidP="00190E4A">
            <w:pPr>
              <w:ind w:left="426" w:hanging="437"/>
              <w:jc w:val="both"/>
              <w:rPr>
                <w:rFonts w:ascii="Gotham" w:hAnsi="Gotham" w:cs="Arial"/>
                <w:sz w:val="18"/>
                <w:szCs w:val="18"/>
              </w:rPr>
            </w:pPr>
          </w:p>
          <w:p w14:paraId="3A47646A" w14:textId="77777777" w:rsidR="009B5E39" w:rsidRPr="001335C7" w:rsidRDefault="009B5E39" w:rsidP="00E5394F">
            <w:pPr>
              <w:numPr>
                <w:ilvl w:val="0"/>
                <w:numId w:val="265"/>
              </w:numPr>
              <w:ind w:left="426" w:hanging="437"/>
              <w:jc w:val="both"/>
              <w:rPr>
                <w:rFonts w:ascii="Gotham" w:hAnsi="Gotham" w:cs="Arial"/>
                <w:sz w:val="18"/>
                <w:szCs w:val="18"/>
              </w:rPr>
            </w:pPr>
            <w:r w:rsidRPr="001335C7">
              <w:rPr>
                <w:rFonts w:ascii="Gotham" w:hAnsi="Gotham" w:cs="Arial"/>
                <w:sz w:val="18"/>
                <w:szCs w:val="18"/>
              </w:rPr>
              <w:t>Las demás que sean necesarias para cumplir con los objetivos del presente código.</w:t>
            </w:r>
          </w:p>
          <w:p w14:paraId="3A47646B" w14:textId="77777777" w:rsidR="009B5E39" w:rsidRPr="001335C7" w:rsidRDefault="009B5E39" w:rsidP="00190E4A">
            <w:pPr>
              <w:jc w:val="both"/>
              <w:rPr>
                <w:rFonts w:ascii="Gotham" w:hAnsi="Gotham" w:cs="Arial"/>
                <w:b/>
                <w:sz w:val="18"/>
                <w:szCs w:val="18"/>
              </w:rPr>
            </w:pPr>
          </w:p>
        </w:tc>
      </w:tr>
      <w:tr w:rsidR="009B5E39" w:rsidRPr="001335C7" w14:paraId="3A47647C" w14:textId="77777777" w:rsidTr="00190E4A">
        <w:tc>
          <w:tcPr>
            <w:tcW w:w="4898" w:type="dxa"/>
            <w:shd w:val="clear" w:color="auto" w:fill="auto"/>
          </w:tcPr>
          <w:p w14:paraId="3A47646D" w14:textId="77777777" w:rsidR="009B5E39" w:rsidRPr="001335C7" w:rsidRDefault="009B5E39" w:rsidP="00190E4A">
            <w:pPr>
              <w:jc w:val="both"/>
              <w:rPr>
                <w:rFonts w:ascii="Gotham" w:hAnsi="Gotham" w:cs="Arial"/>
                <w:sz w:val="18"/>
                <w:szCs w:val="18"/>
                <w:u w:val="single"/>
              </w:rPr>
            </w:pPr>
          </w:p>
          <w:p w14:paraId="3A47646E" w14:textId="77777777" w:rsidR="009B5E39" w:rsidRPr="001335C7" w:rsidRDefault="009B5E39" w:rsidP="00190E4A">
            <w:pPr>
              <w:jc w:val="center"/>
              <w:rPr>
                <w:rFonts w:ascii="Gotham" w:hAnsi="Gotham" w:cs="Arial"/>
                <w:sz w:val="18"/>
                <w:szCs w:val="18"/>
              </w:rPr>
            </w:pPr>
            <w:r w:rsidRPr="001335C7">
              <w:rPr>
                <w:rFonts w:ascii="Gotham" w:hAnsi="Gotham" w:cs="Arial"/>
                <w:sz w:val="18"/>
                <w:szCs w:val="18"/>
              </w:rPr>
              <w:lastRenderedPageBreak/>
              <w:t xml:space="preserve">TÍTULO SEGUNDO </w:t>
            </w:r>
            <w:r w:rsidRPr="001335C7">
              <w:rPr>
                <w:rFonts w:ascii="Gotham" w:hAnsi="Gotham" w:cs="Arial"/>
                <w:sz w:val="18"/>
                <w:szCs w:val="18"/>
              </w:rPr>
              <w:br/>
              <w:t>DE</w:t>
            </w:r>
            <w:r w:rsidRPr="001335C7">
              <w:rPr>
                <w:rFonts w:ascii="Gotham" w:hAnsi="Gotham" w:cs="Arial"/>
                <w:sz w:val="18"/>
                <w:szCs w:val="18"/>
                <w:highlight w:val="yellow"/>
              </w:rPr>
              <w:t>L</w:t>
            </w:r>
            <w:r w:rsidRPr="001335C7">
              <w:rPr>
                <w:rFonts w:ascii="Gotham" w:hAnsi="Gotham" w:cs="Arial"/>
                <w:sz w:val="18"/>
                <w:szCs w:val="18"/>
              </w:rPr>
              <w:t xml:space="preserve"> LOS MECANISMOS MUNICIPALES PARA EL ACCESO DE LAS MUJERES A UNA VIDA LIBRE DE VIOLENCIA</w:t>
            </w:r>
          </w:p>
          <w:p w14:paraId="3A47646F" w14:textId="77777777" w:rsidR="009B5E39" w:rsidRPr="001335C7" w:rsidRDefault="009B5E39" w:rsidP="00190E4A">
            <w:pPr>
              <w:jc w:val="both"/>
              <w:rPr>
                <w:rFonts w:ascii="Gotham" w:hAnsi="Gotham" w:cs="Arial"/>
                <w:sz w:val="18"/>
                <w:szCs w:val="18"/>
              </w:rPr>
            </w:pPr>
          </w:p>
          <w:p w14:paraId="3A476470" w14:textId="77777777" w:rsidR="009B5E39" w:rsidRPr="001335C7" w:rsidRDefault="009B5E39" w:rsidP="00190E4A">
            <w:pPr>
              <w:jc w:val="center"/>
              <w:rPr>
                <w:rFonts w:ascii="Gotham" w:hAnsi="Gotham" w:cs="Arial"/>
                <w:sz w:val="18"/>
                <w:szCs w:val="18"/>
                <w:highlight w:val="yellow"/>
              </w:rPr>
            </w:pPr>
            <w:r w:rsidRPr="001335C7">
              <w:rPr>
                <w:rFonts w:ascii="Gotham" w:hAnsi="Gotham" w:cs="Arial"/>
                <w:sz w:val="18"/>
                <w:szCs w:val="18"/>
              </w:rPr>
              <w:t xml:space="preserve">CAPÍTULO I. </w:t>
            </w:r>
            <w:r w:rsidRPr="001335C7">
              <w:rPr>
                <w:rFonts w:ascii="Gotham" w:hAnsi="Gotham" w:cs="Arial"/>
                <w:sz w:val="18"/>
                <w:szCs w:val="18"/>
              </w:rPr>
              <w:br/>
              <w:t xml:space="preserve">DEL SISTEMA MUNICIPAL DE </w:t>
            </w:r>
            <w:r w:rsidRPr="001335C7">
              <w:rPr>
                <w:rFonts w:ascii="Gotham" w:hAnsi="Gotham" w:cs="Arial"/>
                <w:sz w:val="18"/>
                <w:szCs w:val="18"/>
                <w:highlight w:val="yellow"/>
              </w:rPr>
              <w:t>ACCESO DE LAS MUJERES A UNA VIDA LIBRE DE VIOLENCIA</w:t>
            </w:r>
          </w:p>
          <w:p w14:paraId="3A476471" w14:textId="77777777" w:rsidR="009B5E39" w:rsidRPr="001335C7" w:rsidRDefault="009B5E39" w:rsidP="00190E4A">
            <w:pPr>
              <w:jc w:val="both"/>
              <w:rPr>
                <w:rFonts w:ascii="Gotham" w:hAnsi="Gotham" w:cs="Arial"/>
                <w:sz w:val="18"/>
                <w:szCs w:val="18"/>
              </w:rPr>
            </w:pPr>
          </w:p>
          <w:p w14:paraId="3A47647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108.- </w:t>
            </w:r>
            <w:r w:rsidRPr="001335C7">
              <w:rPr>
                <w:rFonts w:ascii="Gotham" w:hAnsi="Gotham" w:cs="Arial"/>
                <w:sz w:val="18"/>
                <w:szCs w:val="18"/>
              </w:rPr>
              <w:t xml:space="preserve">El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 xml:space="preserve"> es la conjunción de esfuerzos, instrumentos, políticas públicas, servicios y acciones municipales coordinadas, congruentes, uniformes, ordenadas y transversales encaminadas a detectar, prevenir, atender, sancionar y erradicar la violencia contra las mujeres.</w:t>
            </w:r>
          </w:p>
          <w:p w14:paraId="3A476473" w14:textId="77777777" w:rsidR="009B5E39" w:rsidRPr="001335C7" w:rsidRDefault="009B5E39" w:rsidP="00190E4A">
            <w:pPr>
              <w:jc w:val="both"/>
              <w:rPr>
                <w:rFonts w:ascii="Gotham" w:hAnsi="Gotham" w:cs="Arial"/>
                <w:sz w:val="18"/>
                <w:szCs w:val="18"/>
              </w:rPr>
            </w:pPr>
          </w:p>
          <w:p w14:paraId="3A476474" w14:textId="77777777" w:rsidR="009B5E39" w:rsidRPr="001335C7" w:rsidRDefault="009B5E39" w:rsidP="00190E4A">
            <w:pPr>
              <w:widowControl w:val="0"/>
              <w:ind w:right="40"/>
              <w:jc w:val="both"/>
              <w:rPr>
                <w:rFonts w:ascii="Gotham" w:hAnsi="Gotham" w:cs="Arial"/>
                <w:b/>
                <w:sz w:val="18"/>
                <w:szCs w:val="18"/>
              </w:rPr>
            </w:pPr>
          </w:p>
        </w:tc>
        <w:tc>
          <w:tcPr>
            <w:tcW w:w="4899" w:type="dxa"/>
            <w:shd w:val="clear" w:color="auto" w:fill="auto"/>
          </w:tcPr>
          <w:p w14:paraId="3A476475" w14:textId="77777777" w:rsidR="009B5E39" w:rsidRPr="001335C7" w:rsidRDefault="009B5E39" w:rsidP="00190E4A">
            <w:pPr>
              <w:jc w:val="both"/>
              <w:rPr>
                <w:rFonts w:ascii="Gotham" w:hAnsi="Gotham" w:cs="Arial"/>
                <w:sz w:val="18"/>
                <w:szCs w:val="18"/>
                <w:u w:val="single"/>
              </w:rPr>
            </w:pPr>
          </w:p>
          <w:p w14:paraId="3A476476" w14:textId="77777777" w:rsidR="009B5E39" w:rsidRPr="001335C7" w:rsidRDefault="009B5E39" w:rsidP="00190E4A">
            <w:pPr>
              <w:jc w:val="center"/>
              <w:rPr>
                <w:rFonts w:ascii="Gotham" w:hAnsi="Gotham" w:cs="Arial"/>
                <w:sz w:val="18"/>
                <w:szCs w:val="18"/>
              </w:rPr>
            </w:pPr>
            <w:r w:rsidRPr="001335C7">
              <w:rPr>
                <w:rFonts w:ascii="Gotham" w:hAnsi="Gotham" w:cs="Arial"/>
                <w:sz w:val="18"/>
                <w:szCs w:val="18"/>
              </w:rPr>
              <w:lastRenderedPageBreak/>
              <w:t xml:space="preserve">TÍTULO SEGUNDO </w:t>
            </w:r>
            <w:r w:rsidRPr="001335C7">
              <w:rPr>
                <w:rFonts w:ascii="Gotham" w:hAnsi="Gotham" w:cs="Arial"/>
                <w:sz w:val="18"/>
                <w:szCs w:val="18"/>
              </w:rPr>
              <w:br/>
              <w:t>DE LOS MECANISMOS MUNICIPALES PARA EL ACCESO DE LAS MUJERES A UNA VIDA LIBRE DE VIOLENCIA</w:t>
            </w:r>
          </w:p>
          <w:p w14:paraId="3A476477" w14:textId="77777777" w:rsidR="009B5E39" w:rsidRPr="001335C7" w:rsidRDefault="009B5E39" w:rsidP="00190E4A">
            <w:pPr>
              <w:jc w:val="both"/>
              <w:rPr>
                <w:rFonts w:ascii="Gotham" w:hAnsi="Gotham" w:cs="Arial"/>
                <w:sz w:val="18"/>
                <w:szCs w:val="18"/>
              </w:rPr>
            </w:pPr>
          </w:p>
          <w:p w14:paraId="3A476478" w14:textId="77777777" w:rsidR="009B5E39" w:rsidRPr="001335C7" w:rsidRDefault="009B5E39" w:rsidP="00190E4A">
            <w:pPr>
              <w:jc w:val="center"/>
              <w:rPr>
                <w:rFonts w:ascii="Gotham" w:hAnsi="Gotham" w:cs="Arial"/>
                <w:sz w:val="18"/>
                <w:szCs w:val="18"/>
              </w:rPr>
            </w:pPr>
            <w:r w:rsidRPr="001335C7">
              <w:rPr>
                <w:rFonts w:ascii="Gotham" w:hAnsi="Gotham" w:cs="Arial"/>
                <w:sz w:val="18"/>
                <w:szCs w:val="18"/>
              </w:rPr>
              <w:t xml:space="preserve">CAPÍTULO I. </w:t>
            </w:r>
            <w:r w:rsidRPr="001335C7">
              <w:rPr>
                <w:rFonts w:ascii="Gotham" w:hAnsi="Gotham" w:cs="Arial"/>
                <w:sz w:val="18"/>
                <w:szCs w:val="18"/>
              </w:rPr>
              <w:br/>
              <w:t>DEL SISTEMA MUNICIPAL</w:t>
            </w:r>
            <w:r w:rsidRPr="001335C7">
              <w:rPr>
                <w:rFonts w:ascii="Gotham" w:hAnsi="Gotham" w:cs="Arial"/>
                <w:sz w:val="18"/>
                <w:szCs w:val="18"/>
                <w:highlight w:val="cyan"/>
              </w:rPr>
              <w:t xml:space="preserve"> PARA PREVENIR, ATENDER, SANCIONAR Y ERRADICAR LA VIOLENCIA CONTRA LAS MUJERES.</w:t>
            </w:r>
            <w:r w:rsidRPr="001335C7">
              <w:rPr>
                <w:rFonts w:ascii="Gotham" w:hAnsi="Gotham" w:cs="Arial"/>
                <w:sz w:val="18"/>
                <w:szCs w:val="18"/>
              </w:rPr>
              <w:t xml:space="preserve"> </w:t>
            </w:r>
          </w:p>
          <w:p w14:paraId="3A476479" w14:textId="77777777" w:rsidR="009B5E39" w:rsidRPr="001335C7" w:rsidRDefault="009B5E39" w:rsidP="00190E4A">
            <w:pPr>
              <w:jc w:val="both"/>
              <w:rPr>
                <w:rFonts w:ascii="Gotham" w:hAnsi="Gotham" w:cs="Arial"/>
                <w:sz w:val="18"/>
                <w:szCs w:val="18"/>
              </w:rPr>
            </w:pPr>
          </w:p>
          <w:p w14:paraId="3A47647A" w14:textId="77777777" w:rsidR="009B5E39" w:rsidRPr="001335C7" w:rsidRDefault="009B5E39" w:rsidP="00190E4A">
            <w:pPr>
              <w:jc w:val="both"/>
              <w:rPr>
                <w:rFonts w:ascii="Gotham" w:hAnsi="Gotham" w:cs="Arial"/>
                <w:sz w:val="18"/>
                <w:szCs w:val="18"/>
                <w:highlight w:val="cyan"/>
              </w:rPr>
            </w:pPr>
            <w:r w:rsidRPr="001335C7">
              <w:rPr>
                <w:rFonts w:ascii="Gotham" w:hAnsi="Gotham" w:cs="Arial"/>
                <w:b/>
                <w:sz w:val="18"/>
                <w:szCs w:val="18"/>
              </w:rPr>
              <w:t xml:space="preserve">Artículo 108.- </w:t>
            </w:r>
            <w:r w:rsidRPr="001335C7">
              <w:rPr>
                <w:rFonts w:ascii="Gotham" w:hAnsi="Gotham" w:cs="Arial"/>
                <w:sz w:val="18"/>
                <w:szCs w:val="18"/>
              </w:rPr>
              <w:t xml:space="preserve">El </w:t>
            </w:r>
            <w:r w:rsidRPr="001335C7">
              <w:rPr>
                <w:rFonts w:ascii="Gotham" w:hAnsi="Gotham" w:cs="Arial"/>
                <w:sz w:val="18"/>
                <w:szCs w:val="18"/>
                <w:highlight w:val="cyan"/>
              </w:rPr>
              <w:t>Sistema Municipal para Prevenir, Atender, Sancionar y Erradicar la Violencia Contra Las Mujeres</w:t>
            </w:r>
            <w:r w:rsidRPr="001335C7">
              <w:rPr>
                <w:rFonts w:ascii="Gotham" w:hAnsi="Gotham" w:cs="Arial"/>
                <w:sz w:val="18"/>
                <w:szCs w:val="18"/>
              </w:rPr>
              <w:t xml:space="preserve"> es la conjunción de esfuerzos, instrumentos, políticas públicas, servicios y acciones municipales coordinadas, congruentes, uniformes, ordenadas y transversales encaminadas a detectar, prevenir, atender, sancionar y erradicar la violencia contra las mujeres </w:t>
            </w:r>
            <w:r w:rsidRPr="001335C7">
              <w:rPr>
                <w:rFonts w:ascii="Gotham" w:hAnsi="Gotham" w:cs="Arial"/>
                <w:sz w:val="18"/>
                <w:szCs w:val="18"/>
                <w:highlight w:val="cyan"/>
              </w:rPr>
              <w:t>en el municipio de Tonalá, Jalisco.</w:t>
            </w:r>
          </w:p>
          <w:p w14:paraId="3A47647B" w14:textId="77777777" w:rsidR="009B5E39" w:rsidRPr="001335C7" w:rsidRDefault="009B5E39" w:rsidP="00190E4A">
            <w:pPr>
              <w:jc w:val="both"/>
              <w:rPr>
                <w:rFonts w:ascii="Gotham" w:hAnsi="Gotham" w:cs="Arial"/>
                <w:b/>
                <w:sz w:val="18"/>
                <w:szCs w:val="18"/>
              </w:rPr>
            </w:pPr>
          </w:p>
        </w:tc>
      </w:tr>
      <w:tr w:rsidR="009B5E39" w:rsidRPr="001335C7" w14:paraId="3A4764BC" w14:textId="77777777" w:rsidTr="00190E4A">
        <w:tc>
          <w:tcPr>
            <w:tcW w:w="4898" w:type="dxa"/>
            <w:shd w:val="clear" w:color="auto" w:fill="auto"/>
          </w:tcPr>
          <w:p w14:paraId="3A47647D" w14:textId="77777777" w:rsidR="009B5E39" w:rsidRPr="001335C7" w:rsidRDefault="009B5E39" w:rsidP="00190E4A">
            <w:pPr>
              <w:widowControl w:val="0"/>
              <w:ind w:right="40"/>
              <w:jc w:val="both"/>
              <w:rPr>
                <w:rFonts w:ascii="Gotham" w:hAnsi="Gotham" w:cs="Arial"/>
                <w:b/>
                <w:sz w:val="18"/>
                <w:szCs w:val="18"/>
              </w:rPr>
            </w:pPr>
          </w:p>
          <w:p w14:paraId="3A47647E"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110.- </w:t>
            </w:r>
            <w:r w:rsidRPr="001335C7">
              <w:rPr>
                <w:rFonts w:ascii="Gotham" w:hAnsi="Gotham" w:cs="Arial"/>
                <w:sz w:val="18"/>
                <w:szCs w:val="18"/>
              </w:rPr>
              <w:t xml:space="preserve">El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 xml:space="preserve"> estará integrado por las o los titulares de:</w:t>
            </w:r>
          </w:p>
          <w:p w14:paraId="3A47647F" w14:textId="77777777" w:rsidR="009B5E39" w:rsidRPr="001335C7" w:rsidRDefault="009B5E39" w:rsidP="00190E4A">
            <w:pPr>
              <w:jc w:val="both"/>
              <w:rPr>
                <w:rFonts w:ascii="Gotham" w:hAnsi="Gotham" w:cs="Arial"/>
                <w:sz w:val="18"/>
                <w:szCs w:val="18"/>
              </w:rPr>
            </w:pPr>
          </w:p>
          <w:p w14:paraId="3A476480" w14:textId="77777777" w:rsidR="009B5E39" w:rsidRPr="001335C7" w:rsidRDefault="009B5E39" w:rsidP="00E5394F">
            <w:pPr>
              <w:numPr>
                <w:ilvl w:val="0"/>
                <w:numId w:val="268"/>
              </w:numPr>
              <w:ind w:left="567" w:hanging="578"/>
              <w:jc w:val="both"/>
              <w:rPr>
                <w:rFonts w:ascii="Gotham" w:hAnsi="Gotham" w:cs="Arial"/>
                <w:sz w:val="18"/>
                <w:szCs w:val="18"/>
              </w:rPr>
            </w:pPr>
            <w:r w:rsidRPr="001335C7">
              <w:rPr>
                <w:rFonts w:ascii="Gotham" w:hAnsi="Gotham" w:cs="Arial"/>
                <w:sz w:val="18"/>
                <w:szCs w:val="18"/>
              </w:rPr>
              <w:t xml:space="preserve">La Presidencia Municipal, quien presidirá el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w:t>
            </w:r>
          </w:p>
          <w:p w14:paraId="3A476481" w14:textId="77777777" w:rsidR="009B5E39" w:rsidRPr="001335C7" w:rsidRDefault="009B5E39" w:rsidP="00190E4A">
            <w:pPr>
              <w:jc w:val="both"/>
              <w:rPr>
                <w:rFonts w:ascii="Gotham" w:hAnsi="Gotham" w:cs="Arial"/>
                <w:sz w:val="18"/>
                <w:szCs w:val="18"/>
              </w:rPr>
            </w:pPr>
          </w:p>
          <w:p w14:paraId="3A476482" w14:textId="77777777" w:rsidR="009B5E39" w:rsidRPr="001335C7" w:rsidRDefault="009B5E39" w:rsidP="00190E4A">
            <w:pPr>
              <w:jc w:val="both"/>
              <w:rPr>
                <w:rFonts w:ascii="Gotham" w:hAnsi="Gotham" w:cs="Arial"/>
                <w:sz w:val="18"/>
                <w:szCs w:val="18"/>
              </w:rPr>
            </w:pPr>
          </w:p>
          <w:p w14:paraId="3A476483"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484" w14:textId="77777777" w:rsidR="009B5E39" w:rsidRPr="001335C7" w:rsidRDefault="009B5E39" w:rsidP="00190E4A">
            <w:pPr>
              <w:jc w:val="both"/>
              <w:rPr>
                <w:rFonts w:ascii="Gotham" w:hAnsi="Gotham" w:cs="Arial"/>
                <w:sz w:val="18"/>
                <w:szCs w:val="18"/>
              </w:rPr>
            </w:pPr>
          </w:p>
          <w:p w14:paraId="3A476485"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III. Regidora integrante de la Comisión Edilicia de Gobernación, designada por acuerdo interno de la Comisión;</w:t>
            </w:r>
          </w:p>
          <w:p w14:paraId="3A476486" w14:textId="77777777" w:rsidR="009B5E39" w:rsidRPr="001335C7" w:rsidRDefault="009B5E39" w:rsidP="00190E4A">
            <w:pPr>
              <w:ind w:left="567" w:hanging="578"/>
              <w:jc w:val="both"/>
              <w:rPr>
                <w:rFonts w:ascii="Gotham" w:hAnsi="Gotham" w:cs="Arial"/>
                <w:sz w:val="18"/>
                <w:szCs w:val="18"/>
              </w:rPr>
            </w:pPr>
          </w:p>
          <w:p w14:paraId="3A476487" w14:textId="77777777" w:rsidR="009B5E39" w:rsidRPr="001335C7" w:rsidRDefault="009B5E39" w:rsidP="00190E4A">
            <w:pPr>
              <w:ind w:left="567" w:hanging="578"/>
              <w:jc w:val="both"/>
              <w:rPr>
                <w:rFonts w:ascii="Gotham" w:hAnsi="Gotham" w:cs="Arial"/>
                <w:sz w:val="18"/>
                <w:szCs w:val="18"/>
              </w:rPr>
            </w:pPr>
          </w:p>
          <w:p w14:paraId="3A476488"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IV. Regidora integrante de la Comisión Edilicia de Seguridad </w:t>
            </w:r>
            <w:r w:rsidRPr="001335C7">
              <w:rPr>
                <w:rFonts w:ascii="Gotham" w:hAnsi="Gotham" w:cs="Arial"/>
                <w:sz w:val="18"/>
                <w:szCs w:val="18"/>
                <w:highlight w:val="yellow"/>
              </w:rPr>
              <w:t xml:space="preserve">Ciudadana </w:t>
            </w:r>
            <w:r w:rsidRPr="001335C7">
              <w:rPr>
                <w:rFonts w:ascii="Gotham" w:hAnsi="Gotham" w:cs="Arial"/>
                <w:sz w:val="18"/>
                <w:szCs w:val="18"/>
              </w:rPr>
              <w:t xml:space="preserve">y Prevención </w:t>
            </w:r>
            <w:r w:rsidRPr="001335C7">
              <w:rPr>
                <w:rFonts w:ascii="Gotham" w:hAnsi="Gotham" w:cs="Arial"/>
                <w:sz w:val="18"/>
                <w:szCs w:val="18"/>
                <w:highlight w:val="yellow"/>
              </w:rPr>
              <w:t>Social</w:t>
            </w:r>
            <w:r w:rsidRPr="001335C7">
              <w:rPr>
                <w:rFonts w:ascii="Gotham" w:hAnsi="Gotham" w:cs="Arial"/>
                <w:sz w:val="18"/>
                <w:szCs w:val="18"/>
              </w:rPr>
              <w:t>, designada por acuerdo interno de la Comisión;</w:t>
            </w:r>
          </w:p>
          <w:p w14:paraId="3A476489" w14:textId="77777777" w:rsidR="009B5E39" w:rsidRPr="001335C7" w:rsidRDefault="009B5E39" w:rsidP="00190E4A">
            <w:pPr>
              <w:jc w:val="both"/>
              <w:rPr>
                <w:rFonts w:ascii="Gotham" w:hAnsi="Gotham" w:cs="Arial"/>
                <w:sz w:val="18"/>
                <w:szCs w:val="18"/>
              </w:rPr>
            </w:pPr>
          </w:p>
          <w:p w14:paraId="3A47648A"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V. La Sindicatura Municipal;</w:t>
            </w:r>
          </w:p>
          <w:p w14:paraId="3A47648B" w14:textId="77777777" w:rsidR="009B5E39" w:rsidRPr="001335C7" w:rsidRDefault="009B5E39" w:rsidP="00190E4A">
            <w:pPr>
              <w:jc w:val="both"/>
              <w:rPr>
                <w:rFonts w:ascii="Gotham" w:hAnsi="Gotham" w:cs="Arial"/>
                <w:sz w:val="18"/>
                <w:szCs w:val="18"/>
              </w:rPr>
            </w:pPr>
          </w:p>
          <w:p w14:paraId="3A47648C" w14:textId="77777777" w:rsidR="009B5E39" w:rsidRPr="001335C7" w:rsidRDefault="009B5E39" w:rsidP="00190E4A">
            <w:pPr>
              <w:jc w:val="both"/>
              <w:rPr>
                <w:rFonts w:ascii="Gotham" w:hAnsi="Gotham" w:cs="Arial"/>
                <w:sz w:val="18"/>
                <w:szCs w:val="18"/>
                <w:highlight w:val="yellow"/>
              </w:rPr>
            </w:pPr>
            <w:r w:rsidRPr="001335C7">
              <w:rPr>
                <w:rFonts w:ascii="Gotham" w:hAnsi="Gotham" w:cs="Arial"/>
                <w:sz w:val="18"/>
                <w:szCs w:val="18"/>
              </w:rPr>
              <w:t xml:space="preserve">VI. </w:t>
            </w:r>
            <w:r w:rsidRPr="001335C7">
              <w:rPr>
                <w:rFonts w:ascii="Gotham" w:hAnsi="Gotham" w:cs="Arial"/>
                <w:sz w:val="18"/>
                <w:szCs w:val="18"/>
                <w:highlight w:val="yellow"/>
              </w:rPr>
              <w:t>Coordinación General de Participación Ciudadana y Construcción de Comunidad;</w:t>
            </w:r>
          </w:p>
          <w:p w14:paraId="3A47648D" w14:textId="77777777" w:rsidR="009B5E39" w:rsidRPr="001335C7" w:rsidRDefault="009B5E39" w:rsidP="00190E4A">
            <w:pPr>
              <w:jc w:val="both"/>
              <w:rPr>
                <w:rFonts w:ascii="Gotham" w:hAnsi="Gotham" w:cs="Arial"/>
                <w:sz w:val="18"/>
                <w:szCs w:val="18"/>
              </w:rPr>
            </w:pPr>
          </w:p>
          <w:p w14:paraId="3A47648E"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VII. La </w:t>
            </w:r>
            <w:r w:rsidRPr="001335C7">
              <w:rPr>
                <w:rFonts w:ascii="Gotham" w:hAnsi="Gotham" w:cs="Arial"/>
                <w:sz w:val="18"/>
                <w:szCs w:val="18"/>
                <w:highlight w:val="yellow"/>
              </w:rPr>
              <w:t>Tesorería</w:t>
            </w:r>
            <w:r w:rsidRPr="001335C7">
              <w:rPr>
                <w:rFonts w:ascii="Gotham" w:hAnsi="Gotham" w:cs="Arial"/>
                <w:sz w:val="18"/>
                <w:szCs w:val="18"/>
              </w:rPr>
              <w:t xml:space="preserve"> Municipal;</w:t>
            </w:r>
          </w:p>
          <w:p w14:paraId="3A47648F" w14:textId="77777777" w:rsidR="009B5E39" w:rsidRPr="001335C7" w:rsidRDefault="009B5E39" w:rsidP="00190E4A">
            <w:pPr>
              <w:jc w:val="both"/>
              <w:rPr>
                <w:rFonts w:ascii="Gotham" w:hAnsi="Gotham" w:cs="Arial"/>
                <w:sz w:val="18"/>
                <w:szCs w:val="18"/>
              </w:rPr>
            </w:pPr>
          </w:p>
          <w:p w14:paraId="3A476490"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VIII. La Jefatura de Juzgados Municipales;</w:t>
            </w:r>
          </w:p>
          <w:p w14:paraId="3A476491" w14:textId="77777777" w:rsidR="009B5E39" w:rsidRPr="001335C7" w:rsidRDefault="009B5E39" w:rsidP="00190E4A">
            <w:pPr>
              <w:jc w:val="both"/>
              <w:rPr>
                <w:rFonts w:ascii="Gotham" w:hAnsi="Gotham" w:cs="Arial"/>
                <w:sz w:val="18"/>
                <w:szCs w:val="18"/>
              </w:rPr>
            </w:pPr>
          </w:p>
          <w:p w14:paraId="3A476492" w14:textId="77777777" w:rsidR="009B5E39" w:rsidRPr="001335C7" w:rsidRDefault="009B5E39" w:rsidP="00190E4A">
            <w:pPr>
              <w:jc w:val="both"/>
              <w:rPr>
                <w:rFonts w:ascii="Gotham" w:hAnsi="Gotham" w:cs="Arial"/>
                <w:sz w:val="18"/>
                <w:szCs w:val="18"/>
                <w:highlight w:val="yellow"/>
              </w:rPr>
            </w:pPr>
            <w:r w:rsidRPr="001335C7">
              <w:rPr>
                <w:rFonts w:ascii="Gotham" w:hAnsi="Gotham" w:cs="Arial"/>
                <w:sz w:val="18"/>
                <w:szCs w:val="18"/>
              </w:rPr>
              <w:t xml:space="preserve">IX. </w:t>
            </w:r>
            <w:r w:rsidRPr="001335C7">
              <w:rPr>
                <w:rFonts w:ascii="Gotham" w:hAnsi="Gotham" w:cs="Arial"/>
                <w:sz w:val="18"/>
                <w:szCs w:val="18"/>
                <w:highlight w:val="yellow"/>
              </w:rPr>
              <w:t>La Comisaría de la Policía Preventiva Municipal;</w:t>
            </w:r>
          </w:p>
          <w:p w14:paraId="3A476493" w14:textId="77777777" w:rsidR="009B5E39" w:rsidRPr="001335C7" w:rsidRDefault="009B5E39" w:rsidP="00190E4A">
            <w:pPr>
              <w:jc w:val="both"/>
              <w:rPr>
                <w:rFonts w:ascii="Gotham" w:hAnsi="Gotham" w:cs="Arial"/>
                <w:sz w:val="18"/>
                <w:szCs w:val="18"/>
              </w:rPr>
            </w:pPr>
          </w:p>
          <w:p w14:paraId="3A476494"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X. La Dirección de Servicios Médicos Municipales; y</w:t>
            </w:r>
          </w:p>
          <w:p w14:paraId="3A476495" w14:textId="77777777" w:rsidR="009B5E39" w:rsidRPr="001335C7" w:rsidRDefault="009B5E39" w:rsidP="00190E4A">
            <w:pPr>
              <w:jc w:val="both"/>
              <w:rPr>
                <w:rFonts w:ascii="Gotham" w:hAnsi="Gotham" w:cs="Arial"/>
                <w:sz w:val="18"/>
                <w:szCs w:val="18"/>
              </w:rPr>
            </w:pPr>
          </w:p>
          <w:p w14:paraId="3A476496"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XI. El Sistema para el Desarrollo Integral de la Familia, DIF Tonalá;</w:t>
            </w:r>
          </w:p>
          <w:p w14:paraId="3A476497" w14:textId="77777777" w:rsidR="009B5E39" w:rsidRPr="001335C7" w:rsidRDefault="009B5E39" w:rsidP="00190E4A">
            <w:pPr>
              <w:jc w:val="both"/>
              <w:rPr>
                <w:rFonts w:ascii="Gotham" w:hAnsi="Gotham" w:cs="Arial"/>
                <w:sz w:val="18"/>
                <w:szCs w:val="18"/>
              </w:rPr>
            </w:pPr>
          </w:p>
          <w:p w14:paraId="3A476498"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Por cada uno de los integrantes del Sistema Municipal </w:t>
            </w:r>
            <w:r w:rsidRPr="001335C7">
              <w:rPr>
                <w:rFonts w:ascii="Gotham" w:hAnsi="Gotham" w:cs="Arial"/>
                <w:sz w:val="18"/>
                <w:szCs w:val="18"/>
                <w:highlight w:val="yellow"/>
              </w:rPr>
              <w:t xml:space="preserve">de Acceso de las Mujeres a una Vida Libre de </w:t>
            </w:r>
            <w:r w:rsidRPr="001335C7">
              <w:rPr>
                <w:rFonts w:ascii="Gotham" w:hAnsi="Gotham" w:cs="Arial"/>
                <w:sz w:val="18"/>
                <w:szCs w:val="18"/>
                <w:highlight w:val="yellow"/>
              </w:rPr>
              <w:lastRenderedPageBreak/>
              <w:t>Violencia</w:t>
            </w:r>
            <w:r w:rsidRPr="001335C7">
              <w:rPr>
                <w:rFonts w:ascii="Gotham" w:hAnsi="Gotham" w:cs="Arial"/>
                <w:sz w:val="18"/>
                <w:szCs w:val="18"/>
              </w:rPr>
              <w:t xml:space="preserve"> se deberá nombrar un suplente, dichos integrantes tendrán derecho a voz y voto, con excepción de la Secretaria Ejecutiva quién sólo contará con derecho a voz. Estos nombramientos son de carácter honorífico y, por tanto, no remunerados.</w:t>
            </w:r>
          </w:p>
          <w:p w14:paraId="3A476499" w14:textId="77777777" w:rsidR="009B5E39" w:rsidRPr="001335C7" w:rsidRDefault="009B5E39" w:rsidP="00190E4A">
            <w:pPr>
              <w:jc w:val="both"/>
              <w:rPr>
                <w:rFonts w:ascii="Gotham" w:hAnsi="Gotham" w:cs="Arial"/>
                <w:sz w:val="18"/>
                <w:szCs w:val="18"/>
              </w:rPr>
            </w:pPr>
          </w:p>
          <w:p w14:paraId="3A47649A"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Por instrucción de la Presidencia del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 xml:space="preserve"> podrá invitarse a titulares de otras dependencias ya sean de orden municipal, estatal o federal, instituciones públicas o privadas, académicos y demás personas especializadas en temas de la mujer y una vida Libre de violencia y en cuyo caso, tendrán únicamente derecho a voz en las sesiones.</w:t>
            </w:r>
          </w:p>
        </w:tc>
        <w:tc>
          <w:tcPr>
            <w:tcW w:w="4899" w:type="dxa"/>
            <w:shd w:val="clear" w:color="auto" w:fill="auto"/>
          </w:tcPr>
          <w:p w14:paraId="3A47649B" w14:textId="77777777" w:rsidR="009B5E39" w:rsidRPr="001335C7" w:rsidRDefault="009B5E39" w:rsidP="00190E4A">
            <w:pPr>
              <w:jc w:val="both"/>
              <w:rPr>
                <w:rFonts w:ascii="Gotham" w:hAnsi="Gotham" w:cs="Arial"/>
                <w:b/>
                <w:sz w:val="18"/>
                <w:szCs w:val="18"/>
              </w:rPr>
            </w:pPr>
          </w:p>
          <w:p w14:paraId="3A47649C"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110.- </w:t>
            </w:r>
            <w:r w:rsidRPr="001335C7">
              <w:rPr>
                <w:rFonts w:ascii="Gotham" w:hAnsi="Gotham" w:cs="Arial"/>
                <w:sz w:val="18"/>
                <w:szCs w:val="18"/>
              </w:rPr>
              <w:t xml:space="preserve">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estará integrado por las o los titulares de:</w:t>
            </w:r>
          </w:p>
          <w:p w14:paraId="3A47649D" w14:textId="77777777" w:rsidR="009B5E39" w:rsidRPr="001335C7" w:rsidRDefault="009B5E39" w:rsidP="00190E4A">
            <w:pPr>
              <w:jc w:val="both"/>
              <w:rPr>
                <w:rFonts w:ascii="Gotham" w:hAnsi="Gotham" w:cs="Arial"/>
                <w:sz w:val="18"/>
                <w:szCs w:val="18"/>
              </w:rPr>
            </w:pPr>
          </w:p>
          <w:p w14:paraId="3A47649E" w14:textId="77777777" w:rsidR="009B5E39" w:rsidRPr="001335C7" w:rsidRDefault="009B5E39" w:rsidP="00E5394F">
            <w:pPr>
              <w:numPr>
                <w:ilvl w:val="0"/>
                <w:numId w:val="257"/>
              </w:numPr>
              <w:ind w:left="567" w:hanging="578"/>
              <w:jc w:val="both"/>
              <w:rPr>
                <w:rFonts w:ascii="Gotham" w:hAnsi="Gotham" w:cs="Arial"/>
                <w:sz w:val="18"/>
                <w:szCs w:val="18"/>
              </w:rPr>
            </w:pPr>
            <w:r w:rsidRPr="001335C7">
              <w:rPr>
                <w:rFonts w:ascii="Gotham" w:hAnsi="Gotham" w:cs="Arial"/>
                <w:sz w:val="18"/>
                <w:szCs w:val="18"/>
              </w:rPr>
              <w:t xml:space="preserve">La Presidencia Municipal, quien presidirá 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w:t>
            </w:r>
          </w:p>
          <w:p w14:paraId="3A47649F" w14:textId="77777777" w:rsidR="009B5E39" w:rsidRPr="001335C7" w:rsidRDefault="009B5E39" w:rsidP="00190E4A">
            <w:pPr>
              <w:ind w:left="1080"/>
              <w:jc w:val="both"/>
              <w:rPr>
                <w:rFonts w:ascii="Gotham" w:hAnsi="Gotham" w:cs="Arial"/>
                <w:sz w:val="18"/>
                <w:szCs w:val="18"/>
              </w:rPr>
            </w:pPr>
          </w:p>
          <w:p w14:paraId="3A4764A0"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4A1" w14:textId="77777777" w:rsidR="009B5E39" w:rsidRPr="001335C7" w:rsidRDefault="009B5E39" w:rsidP="00190E4A">
            <w:pPr>
              <w:jc w:val="both"/>
              <w:rPr>
                <w:rFonts w:ascii="Gotham" w:hAnsi="Gotham" w:cs="Arial"/>
                <w:sz w:val="18"/>
                <w:szCs w:val="18"/>
              </w:rPr>
            </w:pPr>
          </w:p>
          <w:p w14:paraId="3A4764A2"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III. Regidora integrante de la Comisión Edilicia de Gobernación, </w:t>
            </w:r>
            <w:r w:rsidRPr="001335C7">
              <w:rPr>
                <w:rFonts w:ascii="Gotham" w:hAnsi="Gotham" w:cs="Arial"/>
                <w:sz w:val="18"/>
                <w:szCs w:val="18"/>
                <w:highlight w:val="cyan"/>
              </w:rPr>
              <w:t>Justicia, Asuntos Metropolitanos Y Fortalecimiento Municipal</w:t>
            </w:r>
            <w:r w:rsidRPr="001335C7">
              <w:rPr>
                <w:rFonts w:ascii="Gotham" w:hAnsi="Gotham" w:cs="Arial"/>
                <w:sz w:val="18"/>
                <w:szCs w:val="18"/>
              </w:rPr>
              <w:t>, designada por acuerdo interno de la Comisión;</w:t>
            </w:r>
          </w:p>
          <w:p w14:paraId="3A4764A3" w14:textId="77777777" w:rsidR="009B5E39" w:rsidRPr="001335C7" w:rsidRDefault="009B5E39" w:rsidP="00190E4A">
            <w:pPr>
              <w:ind w:left="567" w:hanging="578"/>
              <w:jc w:val="both"/>
              <w:rPr>
                <w:rFonts w:ascii="Gotham" w:hAnsi="Gotham" w:cs="Arial"/>
                <w:sz w:val="18"/>
                <w:szCs w:val="18"/>
              </w:rPr>
            </w:pPr>
          </w:p>
          <w:p w14:paraId="3A4764A4"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IV. Regidora integrante de la Comisión Edilicia de Seguridad y Prevención </w:t>
            </w:r>
            <w:r w:rsidRPr="001335C7">
              <w:rPr>
                <w:rFonts w:ascii="Gotham" w:hAnsi="Gotham" w:cs="Arial"/>
                <w:sz w:val="18"/>
                <w:szCs w:val="18"/>
                <w:highlight w:val="cyan"/>
              </w:rPr>
              <w:t>Ciudadana</w:t>
            </w:r>
            <w:r w:rsidRPr="001335C7">
              <w:rPr>
                <w:rFonts w:ascii="Gotham" w:hAnsi="Gotham" w:cs="Arial"/>
                <w:sz w:val="18"/>
                <w:szCs w:val="18"/>
              </w:rPr>
              <w:t>, designada por acuerdo interno de la Comisión;</w:t>
            </w:r>
          </w:p>
          <w:p w14:paraId="3A4764A5" w14:textId="77777777" w:rsidR="009B5E39" w:rsidRPr="001335C7" w:rsidRDefault="009B5E39" w:rsidP="00190E4A">
            <w:pPr>
              <w:jc w:val="both"/>
              <w:rPr>
                <w:rFonts w:ascii="Gotham" w:hAnsi="Gotham" w:cs="Arial"/>
                <w:sz w:val="18"/>
                <w:szCs w:val="18"/>
              </w:rPr>
            </w:pPr>
          </w:p>
          <w:p w14:paraId="3A4764A6"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V. Regidora integrante de la Comisión Edilicia de Igualdad Sustantiva y Derechos Humanos, designada por acuerdo interno de la Comisión;</w:t>
            </w:r>
          </w:p>
          <w:p w14:paraId="3A4764A7" w14:textId="77777777" w:rsidR="009B5E39" w:rsidRPr="001335C7" w:rsidRDefault="009B5E39" w:rsidP="00190E4A">
            <w:pPr>
              <w:jc w:val="both"/>
              <w:rPr>
                <w:rFonts w:ascii="Gotham" w:hAnsi="Gotham" w:cs="Arial"/>
                <w:sz w:val="18"/>
                <w:szCs w:val="18"/>
                <w:highlight w:val="cyan"/>
              </w:rPr>
            </w:pPr>
          </w:p>
          <w:p w14:paraId="3A4764A8"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VI.</w:t>
            </w:r>
            <w:r w:rsidRPr="001335C7">
              <w:rPr>
                <w:rFonts w:ascii="Gotham" w:hAnsi="Gotham" w:cs="Arial"/>
                <w:sz w:val="18"/>
                <w:szCs w:val="18"/>
              </w:rPr>
              <w:t xml:space="preserve"> La Sindicatura Municipal;</w:t>
            </w:r>
          </w:p>
          <w:p w14:paraId="3A4764A9" w14:textId="77777777" w:rsidR="009B5E39" w:rsidRPr="001335C7" w:rsidRDefault="009B5E39" w:rsidP="00190E4A">
            <w:pPr>
              <w:jc w:val="both"/>
              <w:rPr>
                <w:rFonts w:ascii="Gotham" w:hAnsi="Gotham" w:cs="Arial"/>
                <w:sz w:val="18"/>
                <w:szCs w:val="18"/>
              </w:rPr>
            </w:pPr>
          </w:p>
          <w:p w14:paraId="3A4764AA"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VII.</w:t>
            </w:r>
            <w:r w:rsidRPr="001335C7">
              <w:rPr>
                <w:rFonts w:ascii="Gotham" w:hAnsi="Gotham" w:cs="Arial"/>
                <w:sz w:val="18"/>
                <w:szCs w:val="18"/>
              </w:rPr>
              <w:t xml:space="preserve"> </w:t>
            </w:r>
            <w:r w:rsidRPr="001335C7">
              <w:rPr>
                <w:rFonts w:ascii="Gotham" w:hAnsi="Gotham" w:cs="Arial"/>
                <w:sz w:val="18"/>
                <w:szCs w:val="18"/>
                <w:highlight w:val="cyan"/>
              </w:rPr>
              <w:t>Dirección General de Bienestar Social;</w:t>
            </w:r>
          </w:p>
          <w:p w14:paraId="3A4764AB" w14:textId="77777777" w:rsidR="009B5E39" w:rsidRPr="001335C7" w:rsidRDefault="009B5E39" w:rsidP="00190E4A">
            <w:pPr>
              <w:jc w:val="both"/>
              <w:rPr>
                <w:rFonts w:ascii="Gotham" w:hAnsi="Gotham" w:cs="Arial"/>
                <w:sz w:val="18"/>
                <w:szCs w:val="18"/>
              </w:rPr>
            </w:pPr>
          </w:p>
          <w:p w14:paraId="3A4764AC"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VIII.</w:t>
            </w:r>
            <w:r w:rsidRPr="001335C7">
              <w:rPr>
                <w:rFonts w:ascii="Gotham" w:hAnsi="Gotham" w:cs="Arial"/>
                <w:sz w:val="18"/>
                <w:szCs w:val="18"/>
              </w:rPr>
              <w:t xml:space="preserve"> La </w:t>
            </w:r>
            <w:r w:rsidRPr="001335C7">
              <w:rPr>
                <w:rFonts w:ascii="Gotham" w:hAnsi="Gotham" w:cs="Arial"/>
                <w:sz w:val="18"/>
                <w:szCs w:val="18"/>
                <w:highlight w:val="cyan"/>
              </w:rPr>
              <w:t>Hacienda</w:t>
            </w:r>
            <w:r w:rsidRPr="001335C7">
              <w:rPr>
                <w:rFonts w:ascii="Gotham" w:hAnsi="Gotham" w:cs="Arial"/>
                <w:sz w:val="18"/>
                <w:szCs w:val="18"/>
              </w:rPr>
              <w:t xml:space="preserve"> Municipal;</w:t>
            </w:r>
          </w:p>
          <w:p w14:paraId="3A4764AD" w14:textId="77777777" w:rsidR="009B5E39" w:rsidRPr="001335C7" w:rsidRDefault="009B5E39" w:rsidP="00190E4A">
            <w:pPr>
              <w:jc w:val="both"/>
              <w:rPr>
                <w:rFonts w:ascii="Gotham" w:hAnsi="Gotham" w:cs="Arial"/>
                <w:sz w:val="18"/>
                <w:szCs w:val="18"/>
              </w:rPr>
            </w:pPr>
          </w:p>
          <w:p w14:paraId="3A4764AE"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IX.</w:t>
            </w:r>
            <w:r w:rsidRPr="001335C7">
              <w:rPr>
                <w:rFonts w:ascii="Gotham" w:hAnsi="Gotham" w:cs="Arial"/>
                <w:sz w:val="18"/>
                <w:szCs w:val="18"/>
              </w:rPr>
              <w:t xml:space="preserve"> La Jefatura de Juzgados Municipales;</w:t>
            </w:r>
          </w:p>
          <w:p w14:paraId="3A4764AF" w14:textId="77777777" w:rsidR="009B5E39" w:rsidRPr="001335C7" w:rsidRDefault="009B5E39" w:rsidP="00190E4A">
            <w:pPr>
              <w:jc w:val="both"/>
              <w:rPr>
                <w:rFonts w:ascii="Gotham" w:hAnsi="Gotham" w:cs="Arial"/>
                <w:sz w:val="18"/>
                <w:szCs w:val="18"/>
              </w:rPr>
            </w:pPr>
          </w:p>
          <w:p w14:paraId="3A4764B0"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X.</w:t>
            </w:r>
            <w:r w:rsidRPr="001335C7">
              <w:rPr>
                <w:rFonts w:ascii="Gotham" w:hAnsi="Gotham" w:cs="Arial"/>
                <w:sz w:val="18"/>
                <w:szCs w:val="18"/>
              </w:rPr>
              <w:t xml:space="preserve"> </w:t>
            </w:r>
            <w:r w:rsidRPr="001335C7">
              <w:rPr>
                <w:rFonts w:ascii="Gotham" w:hAnsi="Gotham" w:cs="Arial"/>
                <w:sz w:val="18"/>
                <w:szCs w:val="18"/>
                <w:highlight w:val="cyan"/>
              </w:rPr>
              <w:t>La Dirección de Prevención Social del Delito</w:t>
            </w:r>
            <w:r w:rsidRPr="001335C7">
              <w:rPr>
                <w:rFonts w:ascii="Gotham" w:hAnsi="Gotham" w:cs="Arial"/>
                <w:sz w:val="18"/>
                <w:szCs w:val="18"/>
              </w:rPr>
              <w:t>;</w:t>
            </w:r>
          </w:p>
          <w:p w14:paraId="3A4764B1" w14:textId="77777777" w:rsidR="009B5E39" w:rsidRPr="001335C7" w:rsidRDefault="009B5E39" w:rsidP="00190E4A">
            <w:pPr>
              <w:jc w:val="both"/>
              <w:rPr>
                <w:rFonts w:ascii="Gotham" w:hAnsi="Gotham" w:cs="Arial"/>
                <w:sz w:val="18"/>
                <w:szCs w:val="18"/>
              </w:rPr>
            </w:pPr>
          </w:p>
          <w:p w14:paraId="3A4764B2"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XI. La Unidad Especializada Policial de Atención a Mujeres Víctimas de Violencia;</w:t>
            </w:r>
          </w:p>
          <w:p w14:paraId="3A4764B3" w14:textId="77777777" w:rsidR="009B5E39" w:rsidRPr="001335C7" w:rsidRDefault="009B5E39" w:rsidP="00190E4A">
            <w:pPr>
              <w:jc w:val="both"/>
              <w:rPr>
                <w:rFonts w:ascii="Gotham" w:hAnsi="Gotham" w:cs="Arial"/>
                <w:sz w:val="18"/>
                <w:szCs w:val="18"/>
              </w:rPr>
            </w:pPr>
          </w:p>
          <w:p w14:paraId="3A4764B4"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XII.</w:t>
            </w:r>
            <w:r w:rsidRPr="001335C7">
              <w:rPr>
                <w:rFonts w:ascii="Gotham" w:hAnsi="Gotham" w:cs="Arial"/>
                <w:sz w:val="18"/>
                <w:szCs w:val="18"/>
              </w:rPr>
              <w:t xml:space="preserve"> La Dirección de Servicios Médicos Municipales; y</w:t>
            </w:r>
          </w:p>
          <w:p w14:paraId="3A4764B5" w14:textId="77777777" w:rsidR="009B5E39" w:rsidRPr="001335C7" w:rsidRDefault="009B5E39" w:rsidP="00190E4A">
            <w:pPr>
              <w:jc w:val="both"/>
              <w:rPr>
                <w:rFonts w:ascii="Gotham" w:hAnsi="Gotham" w:cs="Arial"/>
                <w:sz w:val="18"/>
                <w:szCs w:val="18"/>
              </w:rPr>
            </w:pPr>
          </w:p>
          <w:p w14:paraId="3A4764B6"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XIII.</w:t>
            </w:r>
            <w:r w:rsidRPr="001335C7">
              <w:rPr>
                <w:rFonts w:ascii="Gotham" w:hAnsi="Gotham" w:cs="Arial"/>
                <w:sz w:val="18"/>
                <w:szCs w:val="18"/>
              </w:rPr>
              <w:t xml:space="preserve"> El Sistema para el Desarrollo Integral de la Familia, DIF Tonalá;</w:t>
            </w:r>
          </w:p>
          <w:p w14:paraId="3A4764B7" w14:textId="77777777" w:rsidR="009B5E39" w:rsidRPr="001335C7" w:rsidRDefault="009B5E39" w:rsidP="00190E4A">
            <w:pPr>
              <w:jc w:val="both"/>
              <w:rPr>
                <w:rFonts w:ascii="Gotham" w:hAnsi="Gotham" w:cs="Arial"/>
                <w:sz w:val="18"/>
                <w:szCs w:val="18"/>
              </w:rPr>
            </w:pPr>
          </w:p>
          <w:p w14:paraId="3A4764B8"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Por cada uno de los integrantes del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se deberá nombrar un suplente, dichos integrantes tendrán derecho a voz y voto, con excepción de la Secretaria Ejecutiva quién sólo contará con derecho a voz. Estos nombramientos son de carácter honorífico y, por tanto, no remunerados.</w:t>
            </w:r>
          </w:p>
          <w:p w14:paraId="3A4764B9" w14:textId="77777777" w:rsidR="009B5E39" w:rsidRPr="001335C7" w:rsidRDefault="009B5E39" w:rsidP="00190E4A">
            <w:pPr>
              <w:jc w:val="both"/>
              <w:rPr>
                <w:rFonts w:ascii="Gotham" w:hAnsi="Gotham" w:cs="Arial"/>
                <w:sz w:val="18"/>
                <w:szCs w:val="18"/>
              </w:rPr>
            </w:pPr>
          </w:p>
          <w:p w14:paraId="3A4764BA"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Por instrucción de la Presidencia </w:t>
            </w:r>
            <w:r w:rsidRPr="001335C7">
              <w:rPr>
                <w:rFonts w:ascii="Gotham" w:hAnsi="Gotham" w:cs="Arial"/>
                <w:sz w:val="18"/>
                <w:szCs w:val="18"/>
                <w:highlight w:val="cyan"/>
              </w:rPr>
              <w:t>o la Secretaria Ejecutiva</w:t>
            </w:r>
            <w:r w:rsidRPr="001335C7">
              <w:rPr>
                <w:rFonts w:ascii="Gotham" w:hAnsi="Gotham" w:cs="Arial"/>
                <w:sz w:val="18"/>
                <w:szCs w:val="18"/>
              </w:rPr>
              <w:t xml:space="preserve"> del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podrá invitarse a titulares de otras dependencias ya sean de orden municipal, estatal o federal, instituciones públicas o privadas, académicos y demás personas especializadas en temas de la mujer y una vida Libre de violencia y en cuyo caso, tendrán únicamente derecho a voz en las sesiones.</w:t>
            </w:r>
          </w:p>
          <w:p w14:paraId="3A4764BB" w14:textId="77777777" w:rsidR="009B5E39" w:rsidRPr="001335C7" w:rsidRDefault="009B5E39" w:rsidP="00190E4A">
            <w:pPr>
              <w:jc w:val="both"/>
              <w:rPr>
                <w:rFonts w:ascii="Gotham" w:hAnsi="Gotham" w:cs="Arial"/>
                <w:sz w:val="18"/>
                <w:szCs w:val="18"/>
              </w:rPr>
            </w:pPr>
          </w:p>
        </w:tc>
      </w:tr>
      <w:tr w:rsidR="009B5E39" w:rsidRPr="001335C7" w14:paraId="3A4764C3" w14:textId="77777777" w:rsidTr="00190E4A">
        <w:tc>
          <w:tcPr>
            <w:tcW w:w="4898" w:type="dxa"/>
            <w:shd w:val="clear" w:color="auto" w:fill="auto"/>
          </w:tcPr>
          <w:p w14:paraId="3A4764BD" w14:textId="77777777" w:rsidR="009B5E39" w:rsidRPr="001335C7" w:rsidRDefault="009B5E39" w:rsidP="00190E4A">
            <w:pPr>
              <w:widowControl w:val="0"/>
              <w:ind w:right="40"/>
              <w:jc w:val="both"/>
              <w:rPr>
                <w:rFonts w:ascii="Gotham" w:hAnsi="Gotham" w:cs="Arial"/>
                <w:b/>
                <w:sz w:val="18"/>
                <w:szCs w:val="18"/>
              </w:rPr>
            </w:pPr>
          </w:p>
          <w:p w14:paraId="3A4764BE"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111.- </w:t>
            </w:r>
            <w:r w:rsidRPr="001335C7">
              <w:rPr>
                <w:rFonts w:ascii="Gotham" w:hAnsi="Gotham" w:cs="Arial"/>
                <w:sz w:val="18"/>
                <w:szCs w:val="18"/>
              </w:rPr>
              <w:t>La Presidencia del Sistema Municipal</w:t>
            </w:r>
            <w:r w:rsidRPr="001335C7">
              <w:rPr>
                <w:rFonts w:ascii="Gotham" w:hAnsi="Gotham" w:cs="Arial"/>
                <w:sz w:val="18"/>
                <w:szCs w:val="18"/>
                <w:highlight w:val="yellow"/>
              </w:rPr>
              <w:t xml:space="preserve"> de Acceso de las Mujeres a una Vida Libre de Violencia</w:t>
            </w:r>
            <w:r w:rsidRPr="001335C7">
              <w:rPr>
                <w:rFonts w:ascii="Gotham" w:hAnsi="Gotham" w:cs="Arial"/>
                <w:sz w:val="18"/>
                <w:szCs w:val="18"/>
              </w:rPr>
              <w:t xml:space="preserve"> será la autoridad encargada de la instalación del mismo en la primera sesión a la que se convoque.</w:t>
            </w:r>
          </w:p>
          <w:p w14:paraId="3A4764BF"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C0" w14:textId="77777777" w:rsidR="009B5E39" w:rsidRPr="001335C7" w:rsidRDefault="009B5E39" w:rsidP="00190E4A">
            <w:pPr>
              <w:jc w:val="both"/>
              <w:rPr>
                <w:rFonts w:ascii="Gotham" w:hAnsi="Gotham" w:cs="Arial"/>
                <w:b/>
                <w:sz w:val="18"/>
                <w:szCs w:val="18"/>
              </w:rPr>
            </w:pPr>
          </w:p>
          <w:p w14:paraId="3A4764C1"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111.- </w:t>
            </w:r>
            <w:r w:rsidRPr="001335C7">
              <w:rPr>
                <w:rFonts w:ascii="Gotham" w:hAnsi="Gotham" w:cs="Arial"/>
                <w:sz w:val="18"/>
                <w:szCs w:val="18"/>
              </w:rPr>
              <w:t xml:space="preserve">La Presidencia del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será la autoridad encargada de la instalación del mismo en la primera sesión a la que se convoque.</w:t>
            </w:r>
          </w:p>
          <w:p w14:paraId="3A4764C2" w14:textId="77777777" w:rsidR="009B5E39" w:rsidRPr="001335C7" w:rsidRDefault="009B5E39" w:rsidP="00190E4A">
            <w:pPr>
              <w:jc w:val="both"/>
              <w:rPr>
                <w:rFonts w:ascii="Gotham" w:hAnsi="Gotham" w:cs="Arial"/>
                <w:b/>
                <w:sz w:val="18"/>
                <w:szCs w:val="18"/>
              </w:rPr>
            </w:pPr>
          </w:p>
        </w:tc>
      </w:tr>
      <w:tr w:rsidR="009B5E39" w:rsidRPr="001335C7" w14:paraId="3A4764CA" w14:textId="77777777" w:rsidTr="00190E4A">
        <w:tc>
          <w:tcPr>
            <w:tcW w:w="4898" w:type="dxa"/>
            <w:shd w:val="clear" w:color="auto" w:fill="auto"/>
          </w:tcPr>
          <w:p w14:paraId="3A4764C4" w14:textId="77777777" w:rsidR="009B5E39" w:rsidRPr="001335C7" w:rsidRDefault="009B5E39" w:rsidP="00190E4A">
            <w:pPr>
              <w:widowControl w:val="0"/>
              <w:ind w:right="40"/>
              <w:jc w:val="both"/>
              <w:rPr>
                <w:rFonts w:ascii="Gotham" w:hAnsi="Gotham" w:cs="Arial"/>
                <w:b/>
                <w:sz w:val="18"/>
                <w:szCs w:val="18"/>
              </w:rPr>
            </w:pPr>
          </w:p>
          <w:p w14:paraId="3A4764C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112.- </w:t>
            </w:r>
            <w:r w:rsidRPr="001335C7">
              <w:rPr>
                <w:rFonts w:ascii="Gotham" w:hAnsi="Gotham" w:cs="Arial"/>
                <w:sz w:val="18"/>
                <w:szCs w:val="18"/>
              </w:rPr>
              <w:t xml:space="preserve">El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 xml:space="preserve"> sesionará, al menos, una vez cada trimestre mediante convocatoria emitida por la Secretaria Ejecutiva, previa instrucción de la Presidencia del Sistema Municipal, así como cuantas veces sea pertinente y necesario.</w:t>
            </w:r>
          </w:p>
          <w:p w14:paraId="3A4764C6" w14:textId="77777777" w:rsidR="009B5E39" w:rsidRPr="001335C7" w:rsidRDefault="009B5E39" w:rsidP="00190E4A">
            <w:pPr>
              <w:widowControl w:val="0"/>
              <w:ind w:right="40"/>
              <w:jc w:val="both"/>
              <w:rPr>
                <w:rFonts w:ascii="Gotham" w:hAnsi="Gotham" w:cs="Arial"/>
                <w:b/>
                <w:sz w:val="18"/>
                <w:szCs w:val="18"/>
              </w:rPr>
            </w:pPr>
          </w:p>
        </w:tc>
        <w:tc>
          <w:tcPr>
            <w:tcW w:w="4899" w:type="dxa"/>
            <w:shd w:val="clear" w:color="auto" w:fill="auto"/>
          </w:tcPr>
          <w:p w14:paraId="3A4764C7" w14:textId="77777777" w:rsidR="009B5E39" w:rsidRPr="001335C7" w:rsidRDefault="009B5E39" w:rsidP="00190E4A">
            <w:pPr>
              <w:jc w:val="both"/>
              <w:rPr>
                <w:rFonts w:ascii="Gotham" w:hAnsi="Gotham" w:cs="Arial"/>
                <w:b/>
                <w:sz w:val="18"/>
                <w:szCs w:val="18"/>
              </w:rPr>
            </w:pPr>
          </w:p>
          <w:p w14:paraId="3A4764C8"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112.- </w:t>
            </w:r>
            <w:r w:rsidRPr="001335C7">
              <w:rPr>
                <w:rFonts w:ascii="Gotham" w:hAnsi="Gotham" w:cs="Arial"/>
                <w:sz w:val="18"/>
                <w:szCs w:val="18"/>
              </w:rPr>
              <w:t xml:space="preserve">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sesionará, al menos, una vez cada trimestre mediante convocatoria emitida por la Secretaria Ejecutiva, previa instrucción de la Presidencia del Sistema Municipal, así como cuantas veces sea pertinente y necesario.</w:t>
            </w:r>
          </w:p>
          <w:p w14:paraId="3A4764C9" w14:textId="77777777" w:rsidR="009B5E39" w:rsidRPr="001335C7" w:rsidRDefault="009B5E39" w:rsidP="00190E4A">
            <w:pPr>
              <w:jc w:val="both"/>
              <w:rPr>
                <w:rFonts w:ascii="Gotham" w:hAnsi="Gotham" w:cs="Arial"/>
                <w:sz w:val="18"/>
                <w:szCs w:val="18"/>
              </w:rPr>
            </w:pPr>
          </w:p>
        </w:tc>
      </w:tr>
      <w:tr w:rsidR="009B5E39" w:rsidRPr="001335C7" w14:paraId="3A4764D1" w14:textId="77777777" w:rsidTr="00190E4A">
        <w:tc>
          <w:tcPr>
            <w:tcW w:w="4898" w:type="dxa"/>
            <w:shd w:val="clear" w:color="auto" w:fill="auto"/>
          </w:tcPr>
          <w:p w14:paraId="3A4764CB" w14:textId="77777777" w:rsidR="009B5E39" w:rsidRPr="001335C7" w:rsidRDefault="009B5E39" w:rsidP="00190E4A">
            <w:pPr>
              <w:widowControl w:val="0"/>
              <w:ind w:right="40"/>
              <w:jc w:val="both"/>
              <w:rPr>
                <w:rFonts w:ascii="Gotham" w:hAnsi="Gotham" w:cs="Arial"/>
                <w:b/>
                <w:sz w:val="18"/>
                <w:szCs w:val="18"/>
              </w:rPr>
            </w:pPr>
          </w:p>
          <w:p w14:paraId="3A4764CC"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113.- </w:t>
            </w:r>
            <w:r w:rsidRPr="001335C7">
              <w:rPr>
                <w:rFonts w:ascii="Gotham" w:hAnsi="Gotham" w:cs="Arial"/>
                <w:sz w:val="18"/>
                <w:szCs w:val="18"/>
              </w:rPr>
              <w:t xml:space="preserve">El quórum requerido para la validez de las sesiones del Sistema Municipal </w:t>
            </w:r>
            <w:r w:rsidRPr="001335C7">
              <w:rPr>
                <w:rFonts w:ascii="Gotham" w:hAnsi="Gotham" w:cs="Arial"/>
                <w:sz w:val="18"/>
                <w:szCs w:val="18"/>
                <w:highlight w:val="yellow"/>
              </w:rPr>
              <w:t xml:space="preserve">de Acceso de las Mujeres a una Vida Libre de Violencia </w:t>
            </w:r>
            <w:r w:rsidRPr="001335C7">
              <w:rPr>
                <w:rFonts w:ascii="Gotham" w:hAnsi="Gotham" w:cs="Arial"/>
                <w:sz w:val="18"/>
                <w:szCs w:val="18"/>
              </w:rPr>
              <w:t>será de la mitad más uno de los integrantes del mismo.</w:t>
            </w:r>
          </w:p>
          <w:p w14:paraId="3A4764CD"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CE" w14:textId="77777777" w:rsidR="009B5E39" w:rsidRPr="001335C7" w:rsidRDefault="009B5E39" w:rsidP="00190E4A">
            <w:pPr>
              <w:jc w:val="both"/>
              <w:rPr>
                <w:rFonts w:ascii="Gotham" w:hAnsi="Gotham" w:cs="Arial"/>
                <w:b/>
                <w:sz w:val="18"/>
                <w:szCs w:val="18"/>
              </w:rPr>
            </w:pPr>
          </w:p>
          <w:p w14:paraId="3A4764CF" w14:textId="77777777" w:rsidR="009B5E39" w:rsidRDefault="009B5E39" w:rsidP="00190E4A">
            <w:pPr>
              <w:jc w:val="both"/>
              <w:rPr>
                <w:rFonts w:ascii="Gotham" w:hAnsi="Gotham" w:cs="Arial"/>
                <w:sz w:val="18"/>
                <w:szCs w:val="18"/>
              </w:rPr>
            </w:pPr>
            <w:r w:rsidRPr="001335C7">
              <w:rPr>
                <w:rFonts w:ascii="Gotham" w:hAnsi="Gotham" w:cs="Arial"/>
                <w:b/>
                <w:sz w:val="18"/>
                <w:szCs w:val="18"/>
              </w:rPr>
              <w:t xml:space="preserve">Artículo 113.- </w:t>
            </w:r>
            <w:r w:rsidRPr="001335C7">
              <w:rPr>
                <w:rFonts w:ascii="Gotham" w:hAnsi="Gotham" w:cs="Arial"/>
                <w:sz w:val="18"/>
                <w:szCs w:val="18"/>
              </w:rPr>
              <w:t xml:space="preserve">El quórum requerido para la validez de las sesiones del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será de la mitad más uno de los integrantes del mismo.</w:t>
            </w:r>
          </w:p>
          <w:p w14:paraId="3A4764D0" w14:textId="77777777" w:rsidR="009B5E39" w:rsidRPr="001335C7" w:rsidRDefault="009B5E39" w:rsidP="00190E4A">
            <w:pPr>
              <w:jc w:val="both"/>
              <w:rPr>
                <w:rFonts w:ascii="Gotham" w:hAnsi="Gotham" w:cs="Arial"/>
                <w:b/>
                <w:sz w:val="18"/>
                <w:szCs w:val="18"/>
              </w:rPr>
            </w:pPr>
          </w:p>
        </w:tc>
      </w:tr>
      <w:tr w:rsidR="009B5E39" w:rsidRPr="001335C7" w14:paraId="3A4764DD" w14:textId="77777777" w:rsidTr="00190E4A">
        <w:tc>
          <w:tcPr>
            <w:tcW w:w="4898" w:type="dxa"/>
            <w:shd w:val="clear" w:color="auto" w:fill="auto"/>
          </w:tcPr>
          <w:p w14:paraId="3A4764D2" w14:textId="77777777" w:rsidR="009B5E39" w:rsidRPr="001335C7" w:rsidRDefault="009B5E39" w:rsidP="00190E4A">
            <w:pPr>
              <w:widowControl w:val="0"/>
              <w:ind w:right="40"/>
              <w:jc w:val="both"/>
              <w:rPr>
                <w:rFonts w:ascii="Gotham" w:hAnsi="Gotham" w:cs="Arial"/>
                <w:b/>
                <w:sz w:val="18"/>
                <w:szCs w:val="18"/>
              </w:rPr>
            </w:pPr>
          </w:p>
          <w:p w14:paraId="3A4764D3"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114.- </w:t>
            </w:r>
            <w:r w:rsidRPr="001335C7">
              <w:rPr>
                <w:rFonts w:ascii="Gotham" w:hAnsi="Gotham" w:cs="Arial"/>
                <w:sz w:val="18"/>
                <w:szCs w:val="18"/>
              </w:rPr>
              <w:t xml:space="preserve">Las resoluciones del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 xml:space="preserve"> se tomarán por mayoría simple de votos de los integrantes presentes y, en caso de empate, la Presidencia tendrá voto de calidad.</w:t>
            </w:r>
          </w:p>
          <w:p w14:paraId="3A4764D4" w14:textId="77777777" w:rsidR="009B5E39" w:rsidRPr="001335C7" w:rsidRDefault="009B5E39" w:rsidP="00190E4A">
            <w:pPr>
              <w:jc w:val="both"/>
              <w:rPr>
                <w:rFonts w:ascii="Gotham" w:hAnsi="Gotham" w:cs="Arial"/>
                <w:sz w:val="18"/>
                <w:szCs w:val="18"/>
              </w:rPr>
            </w:pPr>
          </w:p>
          <w:p w14:paraId="3A4764D5"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Los acuerdos y resoluciones que se tomen en las sesiones de</w:t>
            </w:r>
            <w:r w:rsidRPr="001335C7">
              <w:rPr>
                <w:rFonts w:ascii="Gotham" w:hAnsi="Gotham" w:cs="Arial"/>
                <w:sz w:val="18"/>
                <w:szCs w:val="18"/>
                <w:highlight w:val="yellow"/>
              </w:rPr>
              <w:t xml:space="preserve"> la</w:t>
            </w:r>
            <w:r w:rsidRPr="001335C7">
              <w:rPr>
                <w:rFonts w:ascii="Gotham" w:hAnsi="Gotham" w:cs="Arial"/>
                <w:sz w:val="18"/>
                <w:szCs w:val="18"/>
              </w:rPr>
              <w:t xml:space="preserve"> Sistema Municipal quedarán asentados en el correspondiente libro de actas.</w:t>
            </w:r>
          </w:p>
          <w:p w14:paraId="3A4764D6" w14:textId="77777777" w:rsidR="009B5E39" w:rsidRPr="001335C7" w:rsidRDefault="009B5E39" w:rsidP="00190E4A">
            <w:pPr>
              <w:jc w:val="both"/>
              <w:rPr>
                <w:rFonts w:ascii="Gotham" w:hAnsi="Gotham" w:cs="Arial"/>
                <w:b/>
                <w:sz w:val="18"/>
                <w:szCs w:val="18"/>
              </w:rPr>
            </w:pPr>
          </w:p>
          <w:p w14:paraId="3A4764D7"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D8" w14:textId="77777777" w:rsidR="009B5E39" w:rsidRPr="001335C7" w:rsidRDefault="009B5E39" w:rsidP="00190E4A">
            <w:pPr>
              <w:jc w:val="both"/>
              <w:rPr>
                <w:rFonts w:ascii="Gotham" w:hAnsi="Gotham" w:cs="Arial"/>
                <w:b/>
                <w:sz w:val="18"/>
                <w:szCs w:val="18"/>
              </w:rPr>
            </w:pPr>
          </w:p>
          <w:p w14:paraId="3A4764D9"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114.- </w:t>
            </w:r>
            <w:r w:rsidRPr="001335C7">
              <w:rPr>
                <w:rFonts w:ascii="Gotham" w:hAnsi="Gotham" w:cs="Arial"/>
                <w:sz w:val="18"/>
                <w:szCs w:val="18"/>
              </w:rPr>
              <w:t xml:space="preserve">Las resoluciones del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se tomarán por mayoría simple de votos de los integrantes presentes y, en caso de empate, la Presidencia tendrá voto de calidad.</w:t>
            </w:r>
          </w:p>
          <w:p w14:paraId="3A4764DA" w14:textId="77777777" w:rsidR="009B5E39" w:rsidRPr="001335C7" w:rsidRDefault="009B5E39" w:rsidP="00190E4A">
            <w:pPr>
              <w:jc w:val="both"/>
              <w:rPr>
                <w:rFonts w:ascii="Gotham" w:hAnsi="Gotham" w:cs="Arial"/>
                <w:sz w:val="18"/>
                <w:szCs w:val="18"/>
              </w:rPr>
            </w:pPr>
          </w:p>
          <w:p w14:paraId="3A4764DB"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Los acuerdos y resoluciones que se tomen en las sesiones del Sistema Municipal quedarán asentados en el correspondiente libro de actas.</w:t>
            </w:r>
          </w:p>
          <w:p w14:paraId="3A4764DC" w14:textId="77777777" w:rsidR="009B5E39" w:rsidRPr="001335C7" w:rsidRDefault="009B5E39" w:rsidP="00190E4A">
            <w:pPr>
              <w:jc w:val="both"/>
              <w:rPr>
                <w:rFonts w:ascii="Gotham" w:hAnsi="Gotham" w:cs="Arial"/>
                <w:b/>
                <w:sz w:val="18"/>
                <w:szCs w:val="18"/>
              </w:rPr>
            </w:pPr>
          </w:p>
        </w:tc>
      </w:tr>
      <w:tr w:rsidR="009B5E39" w:rsidRPr="001335C7" w14:paraId="3A4764E4" w14:textId="77777777" w:rsidTr="00190E4A">
        <w:tc>
          <w:tcPr>
            <w:tcW w:w="4898" w:type="dxa"/>
            <w:shd w:val="clear" w:color="auto" w:fill="auto"/>
          </w:tcPr>
          <w:p w14:paraId="3A4764DE" w14:textId="77777777" w:rsidR="009B5E39" w:rsidRPr="001335C7" w:rsidRDefault="009B5E39" w:rsidP="00190E4A">
            <w:pPr>
              <w:widowControl w:val="0"/>
              <w:ind w:right="40"/>
              <w:jc w:val="both"/>
              <w:rPr>
                <w:rFonts w:ascii="Gotham" w:hAnsi="Gotham" w:cs="Arial"/>
                <w:b/>
                <w:sz w:val="18"/>
                <w:szCs w:val="18"/>
              </w:rPr>
            </w:pPr>
          </w:p>
          <w:p w14:paraId="3A4764DF"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115.- </w:t>
            </w:r>
            <w:r w:rsidRPr="001335C7">
              <w:rPr>
                <w:rFonts w:ascii="Gotham" w:hAnsi="Gotham" w:cs="Arial"/>
                <w:sz w:val="18"/>
                <w:szCs w:val="18"/>
              </w:rPr>
              <w:t xml:space="preserve">Para todo lo relacionado a las sesiones del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 xml:space="preserve"> se estará a lo dispuesto y establecido en el Reglamento para el Funcionamiento Interno de Sesiones del Ayuntamiento de Tonalá, Jalisco y demás reglamentación y legislación vigente y aplicable en la materia.</w:t>
            </w:r>
          </w:p>
          <w:p w14:paraId="3A4764E0"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E1" w14:textId="77777777" w:rsidR="009B5E39" w:rsidRPr="001335C7" w:rsidRDefault="009B5E39" w:rsidP="00190E4A">
            <w:pPr>
              <w:jc w:val="both"/>
              <w:rPr>
                <w:rFonts w:ascii="Gotham" w:hAnsi="Gotham" w:cs="Arial"/>
                <w:b/>
                <w:sz w:val="18"/>
                <w:szCs w:val="18"/>
              </w:rPr>
            </w:pPr>
          </w:p>
          <w:p w14:paraId="3A4764E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115.- </w:t>
            </w:r>
            <w:r w:rsidRPr="001335C7">
              <w:rPr>
                <w:rFonts w:ascii="Gotham" w:hAnsi="Gotham" w:cs="Arial"/>
                <w:sz w:val="18"/>
                <w:szCs w:val="18"/>
              </w:rPr>
              <w:t xml:space="preserve">Para todo lo relacionado a las sesiones del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se estará a lo dispuesto y establecido en el Reglamento para el Funcionamiento Interno de Sesiones del Ayuntamiento de Tonalá, Jalisco y demás reglamentación y legislación vigente y aplicable en la materia.</w:t>
            </w:r>
          </w:p>
          <w:p w14:paraId="3A4764E3" w14:textId="77777777" w:rsidR="009B5E39" w:rsidRPr="001335C7" w:rsidRDefault="009B5E39" w:rsidP="00190E4A">
            <w:pPr>
              <w:jc w:val="both"/>
              <w:rPr>
                <w:rFonts w:ascii="Gotham" w:hAnsi="Gotham" w:cs="Arial"/>
                <w:sz w:val="18"/>
                <w:szCs w:val="18"/>
              </w:rPr>
            </w:pPr>
          </w:p>
        </w:tc>
      </w:tr>
      <w:tr w:rsidR="009B5E39" w:rsidRPr="001335C7" w14:paraId="3A4764F4" w14:textId="77777777" w:rsidTr="00190E4A">
        <w:tc>
          <w:tcPr>
            <w:tcW w:w="4898" w:type="dxa"/>
            <w:shd w:val="clear" w:color="auto" w:fill="auto"/>
          </w:tcPr>
          <w:p w14:paraId="3A4764E5" w14:textId="77777777" w:rsidR="009B5E39" w:rsidRPr="001335C7" w:rsidRDefault="009B5E39" w:rsidP="00190E4A">
            <w:pPr>
              <w:widowControl w:val="0"/>
              <w:ind w:right="40"/>
              <w:jc w:val="both"/>
              <w:rPr>
                <w:rFonts w:ascii="Gotham" w:hAnsi="Gotham" w:cs="Arial"/>
                <w:b/>
                <w:sz w:val="18"/>
                <w:szCs w:val="18"/>
              </w:rPr>
            </w:pPr>
          </w:p>
          <w:p w14:paraId="3A4764E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116.- </w:t>
            </w:r>
            <w:r w:rsidRPr="001335C7">
              <w:rPr>
                <w:rFonts w:ascii="Gotham" w:hAnsi="Gotham" w:cs="Arial"/>
                <w:sz w:val="18"/>
                <w:szCs w:val="18"/>
              </w:rPr>
              <w:t xml:space="preserve">Para el cumplimiento de sus objetivos, el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 xml:space="preserve"> tiene las siguientes atribuciones y funciones:</w:t>
            </w:r>
          </w:p>
          <w:p w14:paraId="3A4764E7"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 </w:t>
            </w:r>
          </w:p>
          <w:p w14:paraId="3A4764E8"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4E9" w14:textId="77777777" w:rsidR="009B5E39" w:rsidRPr="001335C7" w:rsidRDefault="009B5E39" w:rsidP="00190E4A">
            <w:pPr>
              <w:jc w:val="both"/>
              <w:rPr>
                <w:rFonts w:ascii="Gotham" w:hAnsi="Gotham" w:cs="Arial"/>
                <w:sz w:val="18"/>
                <w:szCs w:val="18"/>
              </w:rPr>
            </w:pPr>
          </w:p>
          <w:p w14:paraId="3A4764EA"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 Las demás que se requieran para el cumplimiento de los objetivos del Sistema Municipal </w:t>
            </w:r>
            <w:r w:rsidRPr="001335C7">
              <w:rPr>
                <w:rFonts w:ascii="Gotham" w:hAnsi="Gotham" w:cs="Arial"/>
                <w:sz w:val="18"/>
                <w:szCs w:val="18"/>
                <w:highlight w:val="yellow"/>
              </w:rPr>
              <w:t>de Acceso de las Mujeres a una Vida Libre</w:t>
            </w:r>
            <w:r w:rsidRPr="001335C7">
              <w:rPr>
                <w:rFonts w:ascii="Gotham" w:hAnsi="Gotham" w:cs="Arial"/>
                <w:sz w:val="18"/>
                <w:szCs w:val="18"/>
              </w:rPr>
              <w:t xml:space="preserve"> de Violencia conforme las disposiciones reglamentarias y legales aplicables.</w:t>
            </w:r>
          </w:p>
          <w:p w14:paraId="3A4764EB" w14:textId="77777777" w:rsidR="009B5E39" w:rsidRPr="001335C7" w:rsidRDefault="009B5E39" w:rsidP="00190E4A">
            <w:pPr>
              <w:jc w:val="both"/>
              <w:rPr>
                <w:rFonts w:ascii="Gotham" w:hAnsi="Gotham" w:cs="Arial"/>
                <w:sz w:val="18"/>
                <w:szCs w:val="18"/>
              </w:rPr>
            </w:pPr>
          </w:p>
          <w:p w14:paraId="3A4764EC"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ED" w14:textId="77777777" w:rsidR="009B5E39" w:rsidRPr="001335C7" w:rsidRDefault="009B5E39" w:rsidP="00190E4A">
            <w:pPr>
              <w:jc w:val="both"/>
              <w:rPr>
                <w:rFonts w:ascii="Gotham" w:hAnsi="Gotham" w:cs="Arial"/>
                <w:b/>
                <w:sz w:val="18"/>
                <w:szCs w:val="18"/>
              </w:rPr>
            </w:pPr>
          </w:p>
          <w:p w14:paraId="3A4764EE"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116.- </w:t>
            </w:r>
            <w:r w:rsidRPr="001335C7">
              <w:rPr>
                <w:rFonts w:ascii="Gotham" w:hAnsi="Gotham" w:cs="Arial"/>
                <w:sz w:val="18"/>
                <w:szCs w:val="18"/>
              </w:rPr>
              <w:t xml:space="preserve">Para el cumplimiento de sus objetivos, 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tiene las siguientes atribuciones y funciones:</w:t>
            </w:r>
          </w:p>
          <w:p w14:paraId="3A4764EF" w14:textId="77777777" w:rsidR="009B5E39" w:rsidRPr="001335C7" w:rsidRDefault="009B5E39" w:rsidP="00190E4A">
            <w:pPr>
              <w:jc w:val="both"/>
              <w:rPr>
                <w:rFonts w:ascii="Gotham" w:hAnsi="Gotham" w:cs="Arial"/>
                <w:sz w:val="18"/>
                <w:szCs w:val="18"/>
              </w:rPr>
            </w:pPr>
          </w:p>
          <w:p w14:paraId="3A4764F0"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4F1" w14:textId="77777777" w:rsidR="009B5E39" w:rsidRPr="001335C7" w:rsidRDefault="009B5E39" w:rsidP="00190E4A">
            <w:pPr>
              <w:jc w:val="both"/>
              <w:rPr>
                <w:rFonts w:ascii="Gotham" w:hAnsi="Gotham" w:cs="Arial"/>
                <w:sz w:val="18"/>
                <w:szCs w:val="18"/>
              </w:rPr>
            </w:pPr>
          </w:p>
          <w:p w14:paraId="3A4764F2"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X. Las demás que se requieran para el cumplimiento de los objetivos del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conforme las disposiciones reglamentarias y legales aplicables.</w:t>
            </w:r>
          </w:p>
          <w:p w14:paraId="3A4764F3" w14:textId="77777777" w:rsidR="009B5E39" w:rsidRPr="001335C7" w:rsidRDefault="009B5E39" w:rsidP="00190E4A">
            <w:pPr>
              <w:jc w:val="both"/>
              <w:rPr>
                <w:rFonts w:ascii="Gotham" w:hAnsi="Gotham" w:cs="Arial"/>
                <w:sz w:val="18"/>
                <w:szCs w:val="18"/>
              </w:rPr>
            </w:pPr>
          </w:p>
        </w:tc>
      </w:tr>
      <w:tr w:rsidR="009B5E39" w:rsidRPr="001335C7" w14:paraId="3A4764FA" w14:textId="77777777" w:rsidTr="00190E4A">
        <w:tc>
          <w:tcPr>
            <w:tcW w:w="4898" w:type="dxa"/>
            <w:shd w:val="clear" w:color="auto" w:fill="auto"/>
          </w:tcPr>
          <w:p w14:paraId="3A4764F5" w14:textId="77777777" w:rsidR="009B5E39" w:rsidRPr="001335C7" w:rsidRDefault="009B5E39" w:rsidP="00190E4A">
            <w:pPr>
              <w:widowControl w:val="0"/>
              <w:ind w:right="40"/>
              <w:jc w:val="both"/>
              <w:rPr>
                <w:rFonts w:ascii="Gotham" w:hAnsi="Gotham" w:cs="Arial"/>
                <w:b/>
                <w:sz w:val="18"/>
                <w:szCs w:val="18"/>
              </w:rPr>
            </w:pPr>
          </w:p>
          <w:p w14:paraId="3A4764F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117.- </w:t>
            </w:r>
            <w:r w:rsidRPr="001335C7">
              <w:rPr>
                <w:rFonts w:ascii="Gotham" w:hAnsi="Gotham" w:cs="Arial"/>
                <w:sz w:val="18"/>
                <w:szCs w:val="18"/>
              </w:rPr>
              <w:t xml:space="preserve">La Presidencia del Sistema Municipal </w:t>
            </w:r>
            <w:r w:rsidRPr="001335C7">
              <w:rPr>
                <w:rFonts w:ascii="Gotham" w:hAnsi="Gotham" w:cs="Arial"/>
                <w:sz w:val="18"/>
                <w:szCs w:val="18"/>
                <w:highlight w:val="yellow"/>
              </w:rPr>
              <w:t>de Acceso de las Mujeres a una Vida Libre</w:t>
            </w:r>
            <w:r w:rsidRPr="001335C7">
              <w:rPr>
                <w:rFonts w:ascii="Gotham" w:hAnsi="Gotham" w:cs="Arial"/>
                <w:sz w:val="18"/>
                <w:szCs w:val="18"/>
              </w:rPr>
              <w:t xml:space="preserve"> de Violencia tendrá las siguientes atribuciones:</w:t>
            </w:r>
          </w:p>
          <w:p w14:paraId="3A4764F7"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4F8" w14:textId="77777777" w:rsidR="009B5E39" w:rsidRPr="001335C7" w:rsidRDefault="009B5E39" w:rsidP="00190E4A">
            <w:pPr>
              <w:jc w:val="both"/>
              <w:rPr>
                <w:rFonts w:ascii="Gotham" w:hAnsi="Gotham" w:cs="Arial"/>
                <w:b/>
                <w:sz w:val="18"/>
                <w:szCs w:val="18"/>
              </w:rPr>
            </w:pPr>
          </w:p>
          <w:p w14:paraId="3A4764F9"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117.- </w:t>
            </w:r>
            <w:r w:rsidRPr="001335C7">
              <w:rPr>
                <w:rFonts w:ascii="Gotham" w:hAnsi="Gotham" w:cs="Arial"/>
                <w:sz w:val="18"/>
                <w:szCs w:val="18"/>
              </w:rPr>
              <w:t xml:space="preserve">La Presidencia del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tendrá las siguientes atribuciones:</w:t>
            </w:r>
          </w:p>
        </w:tc>
      </w:tr>
      <w:tr w:rsidR="009B5E39" w:rsidRPr="001335C7" w14:paraId="3A476501" w14:textId="77777777" w:rsidTr="00190E4A">
        <w:tc>
          <w:tcPr>
            <w:tcW w:w="4898" w:type="dxa"/>
            <w:shd w:val="clear" w:color="auto" w:fill="auto"/>
          </w:tcPr>
          <w:p w14:paraId="3A4764FB" w14:textId="77777777" w:rsidR="009B5E39" w:rsidRPr="001335C7" w:rsidRDefault="009B5E39" w:rsidP="00190E4A">
            <w:pPr>
              <w:widowControl w:val="0"/>
              <w:ind w:right="40"/>
              <w:jc w:val="both"/>
              <w:rPr>
                <w:rFonts w:ascii="Gotham" w:hAnsi="Gotham" w:cs="Arial"/>
                <w:b/>
                <w:sz w:val="18"/>
                <w:szCs w:val="18"/>
              </w:rPr>
            </w:pPr>
          </w:p>
          <w:p w14:paraId="3A4764FC"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118.- </w:t>
            </w:r>
            <w:r w:rsidRPr="001335C7">
              <w:rPr>
                <w:rFonts w:ascii="Gotham" w:hAnsi="Gotham" w:cs="Arial"/>
                <w:sz w:val="18"/>
                <w:szCs w:val="18"/>
              </w:rPr>
              <w:t>La Secretaria Ejecutiva del Sistema Municipal de Acceso de las Mujeres a una Vida Libre de Violencia tendrá las siguientes obligaciones:</w:t>
            </w:r>
          </w:p>
          <w:p w14:paraId="3A4764FD" w14:textId="77777777" w:rsidR="009B5E39" w:rsidRPr="001335C7" w:rsidRDefault="009B5E39" w:rsidP="00190E4A">
            <w:pPr>
              <w:widowControl w:val="0"/>
              <w:ind w:right="40"/>
              <w:jc w:val="both"/>
              <w:rPr>
                <w:rFonts w:ascii="Gotham" w:hAnsi="Gotham" w:cs="Arial"/>
                <w:b/>
                <w:sz w:val="18"/>
                <w:szCs w:val="18"/>
              </w:rPr>
            </w:pPr>
          </w:p>
        </w:tc>
        <w:tc>
          <w:tcPr>
            <w:tcW w:w="4899" w:type="dxa"/>
            <w:shd w:val="clear" w:color="auto" w:fill="auto"/>
          </w:tcPr>
          <w:p w14:paraId="3A4764FE" w14:textId="77777777" w:rsidR="009B5E39" w:rsidRPr="001335C7" w:rsidRDefault="009B5E39" w:rsidP="00190E4A">
            <w:pPr>
              <w:jc w:val="both"/>
              <w:rPr>
                <w:rFonts w:ascii="Gotham" w:hAnsi="Gotham" w:cs="Arial"/>
                <w:b/>
                <w:sz w:val="18"/>
                <w:szCs w:val="18"/>
              </w:rPr>
            </w:pPr>
          </w:p>
          <w:p w14:paraId="3A4764FF" w14:textId="77777777" w:rsidR="009B5E39" w:rsidRDefault="009B5E39" w:rsidP="00190E4A">
            <w:pPr>
              <w:jc w:val="both"/>
              <w:rPr>
                <w:rFonts w:ascii="Gotham" w:hAnsi="Gotham" w:cs="Arial"/>
                <w:sz w:val="18"/>
                <w:szCs w:val="18"/>
              </w:rPr>
            </w:pPr>
            <w:r w:rsidRPr="001335C7">
              <w:rPr>
                <w:rFonts w:ascii="Gotham" w:hAnsi="Gotham" w:cs="Arial"/>
                <w:b/>
                <w:sz w:val="18"/>
                <w:szCs w:val="18"/>
              </w:rPr>
              <w:t xml:space="preserve">Artículo 118.- </w:t>
            </w:r>
            <w:r w:rsidRPr="001335C7">
              <w:rPr>
                <w:rFonts w:ascii="Gotham" w:hAnsi="Gotham" w:cs="Arial"/>
                <w:sz w:val="18"/>
                <w:szCs w:val="18"/>
              </w:rPr>
              <w:t xml:space="preserve">La Secretaria Ejecutiva del Sistema Municipal </w:t>
            </w:r>
            <w:r w:rsidRPr="001335C7">
              <w:rPr>
                <w:rFonts w:ascii="Gotham" w:hAnsi="Gotham" w:cs="Arial"/>
                <w:sz w:val="18"/>
                <w:szCs w:val="18"/>
                <w:highlight w:val="cyan"/>
              </w:rPr>
              <w:t>para Prevenir, Atender, Sancionar y Erradicar la Violencia contra las Mujeres</w:t>
            </w:r>
            <w:r w:rsidR="007C2F8D">
              <w:rPr>
                <w:rFonts w:ascii="Gotham" w:hAnsi="Gotham" w:cs="Arial"/>
                <w:sz w:val="18"/>
                <w:szCs w:val="18"/>
              </w:rPr>
              <w:t xml:space="preserve"> </w:t>
            </w:r>
            <w:r w:rsidRPr="001335C7">
              <w:rPr>
                <w:rFonts w:ascii="Gotham" w:hAnsi="Gotham" w:cs="Arial"/>
                <w:sz w:val="18"/>
                <w:szCs w:val="18"/>
              </w:rPr>
              <w:t>tendrá las siguientes obligaciones:</w:t>
            </w:r>
          </w:p>
          <w:p w14:paraId="3A476500" w14:textId="77777777" w:rsidR="009B5E39" w:rsidRPr="001335C7" w:rsidRDefault="009B5E39" w:rsidP="00190E4A">
            <w:pPr>
              <w:jc w:val="both"/>
              <w:rPr>
                <w:rFonts w:ascii="Gotham" w:hAnsi="Gotham" w:cs="Arial"/>
                <w:b/>
                <w:sz w:val="18"/>
                <w:szCs w:val="18"/>
              </w:rPr>
            </w:pPr>
          </w:p>
        </w:tc>
      </w:tr>
      <w:tr w:rsidR="009B5E39" w:rsidRPr="001335C7" w14:paraId="3A476508" w14:textId="77777777" w:rsidTr="00190E4A">
        <w:tc>
          <w:tcPr>
            <w:tcW w:w="4898" w:type="dxa"/>
            <w:shd w:val="clear" w:color="auto" w:fill="auto"/>
          </w:tcPr>
          <w:p w14:paraId="3A476502" w14:textId="77777777" w:rsidR="009B5E39" w:rsidRPr="001335C7" w:rsidRDefault="009B5E39" w:rsidP="00190E4A">
            <w:pPr>
              <w:widowControl w:val="0"/>
              <w:ind w:right="40"/>
              <w:jc w:val="both"/>
              <w:rPr>
                <w:rFonts w:ascii="Gotham" w:hAnsi="Gotham" w:cs="Arial"/>
                <w:b/>
                <w:sz w:val="18"/>
                <w:szCs w:val="18"/>
              </w:rPr>
            </w:pPr>
          </w:p>
          <w:p w14:paraId="3A476503"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121.- </w:t>
            </w:r>
            <w:r w:rsidRPr="001335C7">
              <w:rPr>
                <w:rFonts w:ascii="Gotham" w:hAnsi="Gotham" w:cs="Arial"/>
                <w:sz w:val="18"/>
                <w:szCs w:val="18"/>
              </w:rPr>
              <w:t xml:space="preserve">Asimismo, el Programa Integral Municipal deberá presentarse al Sistema Municipal </w:t>
            </w:r>
            <w:r w:rsidRPr="001335C7">
              <w:rPr>
                <w:rFonts w:ascii="Gotham" w:hAnsi="Gotham" w:cs="Arial"/>
                <w:sz w:val="18"/>
                <w:szCs w:val="18"/>
                <w:highlight w:val="yellow"/>
              </w:rPr>
              <w:t>de Acceso de las Mujeres a una Vida Libre de Violencia</w:t>
            </w:r>
            <w:r w:rsidRPr="001335C7">
              <w:rPr>
                <w:rFonts w:ascii="Gotham" w:hAnsi="Gotham" w:cs="Arial"/>
                <w:sz w:val="18"/>
                <w:szCs w:val="18"/>
              </w:rPr>
              <w:t xml:space="preserve"> para ser analizado y aprobado en un plazo no mayor a 60 días naturales, contados a partir de su presentación y su vigencia será por el mismo tiempo de duración de la Administración Municipal.</w:t>
            </w:r>
          </w:p>
          <w:p w14:paraId="3A476504" w14:textId="77777777" w:rsidR="009B5E39" w:rsidRPr="001335C7" w:rsidRDefault="009B5E39" w:rsidP="00190E4A">
            <w:pPr>
              <w:widowControl w:val="0"/>
              <w:ind w:right="40"/>
              <w:jc w:val="both"/>
              <w:rPr>
                <w:rFonts w:ascii="Gotham" w:hAnsi="Gotham" w:cs="Arial"/>
                <w:b/>
                <w:sz w:val="18"/>
                <w:szCs w:val="18"/>
              </w:rPr>
            </w:pPr>
          </w:p>
        </w:tc>
        <w:tc>
          <w:tcPr>
            <w:tcW w:w="4899" w:type="dxa"/>
            <w:shd w:val="clear" w:color="auto" w:fill="auto"/>
          </w:tcPr>
          <w:p w14:paraId="3A476505" w14:textId="77777777" w:rsidR="009B5E39" w:rsidRPr="001335C7" w:rsidRDefault="009B5E39" w:rsidP="00190E4A">
            <w:pPr>
              <w:jc w:val="both"/>
              <w:rPr>
                <w:rFonts w:ascii="Gotham" w:hAnsi="Gotham" w:cs="Arial"/>
                <w:b/>
                <w:sz w:val="18"/>
                <w:szCs w:val="18"/>
              </w:rPr>
            </w:pPr>
          </w:p>
          <w:p w14:paraId="3A47650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121.- </w:t>
            </w:r>
            <w:r w:rsidRPr="001335C7">
              <w:rPr>
                <w:rFonts w:ascii="Gotham" w:hAnsi="Gotham" w:cs="Arial"/>
                <w:sz w:val="18"/>
                <w:szCs w:val="18"/>
              </w:rPr>
              <w:t xml:space="preserve">Asimismo, el Programa Integral Municipal deberá presentarse al Sistema Municipal </w:t>
            </w:r>
            <w:r w:rsidRPr="001335C7">
              <w:rPr>
                <w:rFonts w:ascii="Gotham" w:hAnsi="Gotham" w:cs="Arial"/>
                <w:sz w:val="18"/>
                <w:szCs w:val="18"/>
                <w:highlight w:val="cyan"/>
              </w:rPr>
              <w:t>para Prevenir, Atender, Sancionar y Erradicar la Violencia contra las Mujeres</w:t>
            </w:r>
            <w:r w:rsidR="007C2F8D">
              <w:rPr>
                <w:rFonts w:ascii="Gotham" w:hAnsi="Gotham" w:cs="Arial"/>
                <w:sz w:val="18"/>
                <w:szCs w:val="18"/>
              </w:rPr>
              <w:t xml:space="preserve"> </w:t>
            </w:r>
            <w:r w:rsidRPr="001335C7">
              <w:rPr>
                <w:rFonts w:ascii="Gotham" w:hAnsi="Gotham" w:cs="Arial"/>
                <w:sz w:val="18"/>
                <w:szCs w:val="18"/>
              </w:rPr>
              <w:t>para ser analizado y aprobado en un plazo no mayor a 60 días naturales, contados a partir de su presentación y su vigencia será por el mismo tiempo de duración de la Administración Municipal.</w:t>
            </w:r>
          </w:p>
          <w:p w14:paraId="3A476507" w14:textId="77777777" w:rsidR="009B5E39" w:rsidRPr="001335C7" w:rsidRDefault="009B5E39" w:rsidP="00190E4A">
            <w:pPr>
              <w:jc w:val="both"/>
              <w:rPr>
                <w:rFonts w:ascii="Gotham" w:hAnsi="Gotham" w:cs="Arial"/>
                <w:b/>
                <w:sz w:val="18"/>
                <w:szCs w:val="18"/>
              </w:rPr>
            </w:pPr>
          </w:p>
        </w:tc>
      </w:tr>
      <w:tr w:rsidR="009B5E39" w:rsidRPr="001335C7" w14:paraId="3A47651E" w14:textId="77777777" w:rsidTr="00190E4A">
        <w:tc>
          <w:tcPr>
            <w:tcW w:w="4898" w:type="dxa"/>
            <w:shd w:val="clear" w:color="auto" w:fill="auto"/>
          </w:tcPr>
          <w:p w14:paraId="3A476509" w14:textId="77777777" w:rsidR="009B5E39" w:rsidRPr="001335C7" w:rsidRDefault="009B5E39" w:rsidP="00190E4A">
            <w:pPr>
              <w:widowControl w:val="0"/>
              <w:ind w:right="40"/>
              <w:jc w:val="both"/>
              <w:rPr>
                <w:rFonts w:ascii="Gotham" w:hAnsi="Gotham" w:cs="Arial"/>
                <w:b/>
                <w:sz w:val="18"/>
                <w:szCs w:val="18"/>
              </w:rPr>
            </w:pPr>
          </w:p>
          <w:p w14:paraId="3A47650A"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127.- </w:t>
            </w:r>
            <w:r w:rsidRPr="001335C7">
              <w:rPr>
                <w:rFonts w:ascii="Gotham" w:hAnsi="Gotham" w:cs="Arial"/>
                <w:sz w:val="18"/>
                <w:szCs w:val="18"/>
              </w:rPr>
              <w:t xml:space="preserve">Para la ejecución y mejor funcionamiento del Programa Integral Municipal </w:t>
            </w:r>
            <w:r w:rsidRPr="001335C7">
              <w:rPr>
                <w:rFonts w:ascii="Gotham" w:hAnsi="Gotham" w:cs="Arial"/>
                <w:sz w:val="18"/>
                <w:szCs w:val="18"/>
                <w:highlight w:val="yellow"/>
              </w:rPr>
              <w:t>deberán</w:t>
            </w:r>
            <w:r w:rsidRPr="001335C7">
              <w:rPr>
                <w:rFonts w:ascii="Gotham" w:hAnsi="Gotham" w:cs="Arial"/>
                <w:sz w:val="18"/>
                <w:szCs w:val="18"/>
              </w:rPr>
              <w:t xml:space="preserve"> considerarse la</w:t>
            </w:r>
            <w:r w:rsidRPr="001335C7">
              <w:rPr>
                <w:rFonts w:ascii="Gotham" w:hAnsi="Gotham" w:cs="Arial"/>
                <w:sz w:val="18"/>
                <w:szCs w:val="18"/>
                <w:highlight w:val="yellow"/>
              </w:rPr>
              <w:t>s</w:t>
            </w:r>
            <w:r w:rsidRPr="001335C7">
              <w:rPr>
                <w:rFonts w:ascii="Gotham" w:hAnsi="Gotham" w:cs="Arial"/>
                <w:sz w:val="18"/>
                <w:szCs w:val="18"/>
              </w:rPr>
              <w:t xml:space="preserve"> siguientes comisiones especiales:</w:t>
            </w:r>
          </w:p>
          <w:p w14:paraId="3A47650B" w14:textId="77777777" w:rsidR="009B5E39" w:rsidRPr="001335C7" w:rsidRDefault="009B5E39" w:rsidP="00190E4A">
            <w:pPr>
              <w:jc w:val="both"/>
              <w:rPr>
                <w:rFonts w:ascii="Gotham" w:hAnsi="Gotham" w:cs="Arial"/>
                <w:sz w:val="18"/>
                <w:szCs w:val="18"/>
              </w:rPr>
            </w:pPr>
          </w:p>
          <w:p w14:paraId="3A47650C" w14:textId="77777777" w:rsidR="009B5E39" w:rsidRPr="001335C7" w:rsidRDefault="009B5E39" w:rsidP="00E5394F">
            <w:pPr>
              <w:numPr>
                <w:ilvl w:val="0"/>
                <w:numId w:val="266"/>
              </w:numPr>
              <w:ind w:left="709"/>
              <w:jc w:val="both"/>
              <w:rPr>
                <w:rFonts w:ascii="Gotham" w:hAnsi="Gotham" w:cs="Arial"/>
                <w:sz w:val="18"/>
                <w:szCs w:val="18"/>
              </w:rPr>
            </w:pPr>
            <w:r w:rsidRPr="001335C7">
              <w:rPr>
                <w:rFonts w:ascii="Gotham" w:hAnsi="Gotham" w:cs="Arial"/>
                <w:sz w:val="18"/>
                <w:szCs w:val="18"/>
              </w:rPr>
              <w:t xml:space="preserve">Prevención y </w:t>
            </w:r>
            <w:r w:rsidRPr="001335C7">
              <w:rPr>
                <w:rFonts w:ascii="Gotham" w:hAnsi="Gotham" w:cs="Arial"/>
                <w:sz w:val="18"/>
                <w:szCs w:val="18"/>
                <w:highlight w:val="yellow"/>
              </w:rPr>
              <w:t>empoderamiento</w:t>
            </w:r>
            <w:r w:rsidRPr="001335C7">
              <w:rPr>
                <w:rFonts w:ascii="Gotham" w:hAnsi="Gotham" w:cs="Arial"/>
                <w:sz w:val="18"/>
                <w:szCs w:val="18"/>
              </w:rPr>
              <w:t>;</w:t>
            </w:r>
          </w:p>
          <w:p w14:paraId="3A47650D" w14:textId="77777777" w:rsidR="009B5E39" w:rsidRPr="001335C7" w:rsidRDefault="009B5E39" w:rsidP="00190E4A">
            <w:pPr>
              <w:ind w:left="709"/>
              <w:jc w:val="both"/>
              <w:rPr>
                <w:rFonts w:ascii="Gotham" w:hAnsi="Gotham" w:cs="Arial"/>
                <w:sz w:val="18"/>
                <w:szCs w:val="18"/>
              </w:rPr>
            </w:pPr>
          </w:p>
          <w:p w14:paraId="3A47650E" w14:textId="77777777" w:rsidR="009B5E39" w:rsidRPr="001335C7" w:rsidRDefault="009B5E39" w:rsidP="00E5394F">
            <w:pPr>
              <w:numPr>
                <w:ilvl w:val="0"/>
                <w:numId w:val="266"/>
              </w:numPr>
              <w:ind w:left="709"/>
              <w:jc w:val="both"/>
              <w:rPr>
                <w:rFonts w:ascii="Gotham" w:hAnsi="Gotham" w:cs="Arial"/>
                <w:sz w:val="18"/>
                <w:szCs w:val="18"/>
              </w:rPr>
            </w:pPr>
            <w:r w:rsidRPr="001335C7">
              <w:rPr>
                <w:rFonts w:ascii="Gotham" w:hAnsi="Gotham" w:cs="Arial"/>
                <w:sz w:val="18"/>
                <w:szCs w:val="18"/>
              </w:rPr>
              <w:t>Atención; y</w:t>
            </w:r>
          </w:p>
          <w:p w14:paraId="3A47650F" w14:textId="77777777" w:rsidR="009B5E39" w:rsidRPr="001335C7" w:rsidRDefault="009B5E39" w:rsidP="00190E4A">
            <w:pPr>
              <w:ind w:left="709"/>
              <w:jc w:val="both"/>
              <w:rPr>
                <w:rFonts w:ascii="Gotham" w:hAnsi="Gotham" w:cs="Arial"/>
                <w:sz w:val="18"/>
                <w:szCs w:val="18"/>
              </w:rPr>
            </w:pPr>
          </w:p>
          <w:p w14:paraId="3A476510" w14:textId="77777777" w:rsidR="009B5E39" w:rsidRPr="001335C7" w:rsidRDefault="009B5E39" w:rsidP="00E5394F">
            <w:pPr>
              <w:numPr>
                <w:ilvl w:val="0"/>
                <w:numId w:val="266"/>
              </w:numPr>
              <w:ind w:left="709"/>
              <w:jc w:val="both"/>
              <w:rPr>
                <w:rFonts w:ascii="Gotham" w:hAnsi="Gotham" w:cs="Arial"/>
                <w:sz w:val="18"/>
                <w:szCs w:val="18"/>
              </w:rPr>
            </w:pPr>
            <w:r w:rsidRPr="001335C7">
              <w:rPr>
                <w:rFonts w:ascii="Gotham" w:hAnsi="Gotham" w:cs="Arial"/>
                <w:sz w:val="18"/>
                <w:szCs w:val="18"/>
              </w:rPr>
              <w:t>Acceso a la justicia y sanción.</w:t>
            </w:r>
          </w:p>
          <w:p w14:paraId="3A476511" w14:textId="77777777" w:rsidR="009B5E39" w:rsidRPr="001335C7" w:rsidRDefault="009B5E39" w:rsidP="00190E4A">
            <w:pPr>
              <w:jc w:val="both"/>
              <w:rPr>
                <w:rFonts w:ascii="Gotham" w:hAnsi="Gotham" w:cs="Arial"/>
                <w:sz w:val="18"/>
                <w:szCs w:val="18"/>
              </w:rPr>
            </w:pPr>
          </w:p>
          <w:p w14:paraId="3A476512"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lastRenderedPageBreak/>
              <w:t>Estos nombramientos son de carácter honorífico y, por tanto, no remunerados.</w:t>
            </w:r>
          </w:p>
          <w:p w14:paraId="3A476513"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14" w14:textId="77777777" w:rsidR="009B5E39" w:rsidRPr="001335C7" w:rsidRDefault="009B5E39" w:rsidP="00190E4A">
            <w:pPr>
              <w:jc w:val="both"/>
              <w:rPr>
                <w:rFonts w:ascii="Gotham" w:hAnsi="Gotham" w:cs="Arial"/>
                <w:b/>
                <w:sz w:val="18"/>
                <w:szCs w:val="18"/>
              </w:rPr>
            </w:pPr>
          </w:p>
          <w:p w14:paraId="3A476515" w14:textId="77777777" w:rsidR="009B5E39" w:rsidRPr="001335C7" w:rsidRDefault="009B5E39" w:rsidP="00190E4A">
            <w:pPr>
              <w:jc w:val="both"/>
              <w:rPr>
                <w:rFonts w:ascii="Gotham" w:hAnsi="Gotham" w:cs="Arial"/>
                <w:sz w:val="18"/>
                <w:szCs w:val="18"/>
              </w:rPr>
            </w:pPr>
            <w:bookmarkStart w:id="53" w:name="_heading=h.2zbgiuw" w:colFirst="0" w:colLast="0"/>
            <w:bookmarkEnd w:id="53"/>
            <w:r w:rsidRPr="001335C7">
              <w:rPr>
                <w:rFonts w:ascii="Gotham" w:hAnsi="Gotham" w:cs="Arial"/>
                <w:b/>
                <w:sz w:val="18"/>
                <w:szCs w:val="18"/>
              </w:rPr>
              <w:t xml:space="preserve">Artículo 127.- </w:t>
            </w:r>
            <w:r w:rsidRPr="001335C7">
              <w:rPr>
                <w:rFonts w:ascii="Gotham" w:hAnsi="Gotham" w:cs="Arial"/>
                <w:sz w:val="18"/>
                <w:szCs w:val="18"/>
              </w:rPr>
              <w:t xml:space="preserve">Para la ejecución y mejor funcionamiento del Programa Integral Municipal </w:t>
            </w:r>
            <w:r w:rsidRPr="001335C7">
              <w:rPr>
                <w:rFonts w:ascii="Gotham" w:hAnsi="Gotham" w:cs="Arial"/>
                <w:sz w:val="18"/>
                <w:szCs w:val="18"/>
                <w:highlight w:val="cyan"/>
              </w:rPr>
              <w:t>podrán</w:t>
            </w:r>
            <w:r w:rsidRPr="001335C7">
              <w:rPr>
                <w:rFonts w:ascii="Gotham" w:hAnsi="Gotham" w:cs="Arial"/>
                <w:sz w:val="18"/>
                <w:szCs w:val="18"/>
              </w:rPr>
              <w:t xml:space="preserve"> considerarse la </w:t>
            </w:r>
            <w:r w:rsidRPr="001335C7">
              <w:rPr>
                <w:rFonts w:ascii="Gotham" w:hAnsi="Gotham" w:cs="Arial"/>
                <w:sz w:val="18"/>
                <w:szCs w:val="18"/>
                <w:highlight w:val="cyan"/>
              </w:rPr>
              <w:t>integración de las</w:t>
            </w:r>
            <w:r w:rsidRPr="001335C7">
              <w:rPr>
                <w:rFonts w:ascii="Gotham" w:hAnsi="Gotham" w:cs="Arial"/>
                <w:sz w:val="18"/>
                <w:szCs w:val="18"/>
              </w:rPr>
              <w:t xml:space="preserve"> siguientes comisiones especiales:</w:t>
            </w:r>
          </w:p>
          <w:p w14:paraId="3A476516" w14:textId="77777777" w:rsidR="009B5E39" w:rsidRPr="001335C7" w:rsidRDefault="009B5E39" w:rsidP="00190E4A">
            <w:pPr>
              <w:jc w:val="both"/>
              <w:rPr>
                <w:rFonts w:ascii="Gotham" w:hAnsi="Gotham" w:cs="Arial"/>
                <w:sz w:val="18"/>
                <w:szCs w:val="18"/>
              </w:rPr>
            </w:pPr>
          </w:p>
          <w:p w14:paraId="3A476517" w14:textId="77777777" w:rsidR="009B5E39" w:rsidRPr="001335C7" w:rsidRDefault="009B5E39" w:rsidP="00E5394F">
            <w:pPr>
              <w:numPr>
                <w:ilvl w:val="0"/>
                <w:numId w:val="255"/>
              </w:numPr>
              <w:ind w:left="709"/>
              <w:jc w:val="both"/>
              <w:rPr>
                <w:rFonts w:ascii="Gotham" w:hAnsi="Gotham" w:cs="Arial"/>
                <w:sz w:val="18"/>
                <w:szCs w:val="18"/>
              </w:rPr>
            </w:pPr>
            <w:r w:rsidRPr="001335C7">
              <w:rPr>
                <w:rFonts w:ascii="Gotham" w:hAnsi="Gotham" w:cs="Arial"/>
                <w:sz w:val="18"/>
                <w:szCs w:val="18"/>
              </w:rPr>
              <w:t xml:space="preserve">Prevención y </w:t>
            </w:r>
            <w:r w:rsidRPr="001335C7">
              <w:rPr>
                <w:rFonts w:ascii="Gotham" w:hAnsi="Gotham" w:cs="Arial"/>
                <w:sz w:val="18"/>
                <w:szCs w:val="18"/>
                <w:highlight w:val="cyan"/>
              </w:rPr>
              <w:t>autonomías</w:t>
            </w:r>
            <w:r w:rsidRPr="001335C7">
              <w:rPr>
                <w:rFonts w:ascii="Gotham" w:hAnsi="Gotham" w:cs="Arial"/>
                <w:sz w:val="18"/>
                <w:szCs w:val="18"/>
              </w:rPr>
              <w:t>;</w:t>
            </w:r>
          </w:p>
          <w:p w14:paraId="3A476518" w14:textId="77777777" w:rsidR="009B5E39" w:rsidRPr="001335C7" w:rsidRDefault="009B5E39" w:rsidP="00190E4A">
            <w:pPr>
              <w:ind w:left="709"/>
              <w:jc w:val="both"/>
              <w:rPr>
                <w:rFonts w:ascii="Gotham" w:hAnsi="Gotham" w:cs="Arial"/>
                <w:sz w:val="18"/>
                <w:szCs w:val="18"/>
              </w:rPr>
            </w:pPr>
          </w:p>
          <w:p w14:paraId="3A476519" w14:textId="77777777" w:rsidR="009B5E39" w:rsidRPr="001335C7" w:rsidRDefault="009B5E39" w:rsidP="00E5394F">
            <w:pPr>
              <w:numPr>
                <w:ilvl w:val="0"/>
                <w:numId w:val="255"/>
              </w:numPr>
              <w:ind w:left="709"/>
              <w:jc w:val="both"/>
              <w:rPr>
                <w:rFonts w:ascii="Gotham" w:hAnsi="Gotham" w:cs="Arial"/>
                <w:sz w:val="18"/>
                <w:szCs w:val="18"/>
              </w:rPr>
            </w:pPr>
            <w:r w:rsidRPr="001335C7">
              <w:rPr>
                <w:rFonts w:ascii="Gotham" w:hAnsi="Gotham" w:cs="Arial"/>
                <w:sz w:val="18"/>
                <w:szCs w:val="18"/>
              </w:rPr>
              <w:t>Atención; y</w:t>
            </w:r>
          </w:p>
          <w:p w14:paraId="3A47651A" w14:textId="77777777" w:rsidR="009B5E39" w:rsidRPr="001335C7" w:rsidRDefault="009B5E39" w:rsidP="00190E4A">
            <w:pPr>
              <w:ind w:left="709"/>
              <w:jc w:val="both"/>
              <w:rPr>
                <w:rFonts w:ascii="Gotham" w:hAnsi="Gotham" w:cs="Arial"/>
                <w:sz w:val="18"/>
                <w:szCs w:val="18"/>
              </w:rPr>
            </w:pPr>
          </w:p>
          <w:p w14:paraId="3A47651B" w14:textId="77777777" w:rsidR="009B5E39" w:rsidRPr="001335C7" w:rsidRDefault="009B5E39" w:rsidP="00E5394F">
            <w:pPr>
              <w:numPr>
                <w:ilvl w:val="0"/>
                <w:numId w:val="255"/>
              </w:numPr>
              <w:ind w:left="709"/>
              <w:jc w:val="both"/>
              <w:rPr>
                <w:rFonts w:ascii="Gotham" w:hAnsi="Gotham" w:cs="Arial"/>
                <w:sz w:val="18"/>
                <w:szCs w:val="18"/>
              </w:rPr>
            </w:pPr>
            <w:r w:rsidRPr="001335C7">
              <w:rPr>
                <w:rFonts w:ascii="Gotham" w:hAnsi="Gotham" w:cs="Arial"/>
                <w:sz w:val="18"/>
                <w:szCs w:val="18"/>
              </w:rPr>
              <w:t>Acceso a la justicia y sanción.</w:t>
            </w:r>
          </w:p>
          <w:p w14:paraId="3A47651C" w14:textId="77777777" w:rsidR="009B5E39" w:rsidRPr="001335C7" w:rsidRDefault="009B5E39" w:rsidP="00190E4A">
            <w:pPr>
              <w:jc w:val="both"/>
              <w:rPr>
                <w:rFonts w:ascii="Gotham" w:hAnsi="Gotham" w:cs="Arial"/>
                <w:sz w:val="18"/>
                <w:szCs w:val="18"/>
              </w:rPr>
            </w:pPr>
          </w:p>
          <w:p w14:paraId="3A47651D" w14:textId="77777777" w:rsidR="009B5E39" w:rsidRPr="001335C7" w:rsidRDefault="009B5E39" w:rsidP="00190E4A">
            <w:pPr>
              <w:jc w:val="both"/>
              <w:rPr>
                <w:rFonts w:ascii="Gotham" w:hAnsi="Gotham" w:cs="Arial"/>
                <w:b/>
                <w:sz w:val="18"/>
                <w:szCs w:val="18"/>
              </w:rPr>
            </w:pPr>
            <w:r w:rsidRPr="001335C7">
              <w:rPr>
                <w:rFonts w:ascii="Gotham" w:hAnsi="Gotham" w:cs="Arial"/>
                <w:sz w:val="18"/>
                <w:szCs w:val="18"/>
              </w:rPr>
              <w:lastRenderedPageBreak/>
              <w:t>Estos nombramientos son de carácter honorífico y, por tanto, no remunerados.</w:t>
            </w:r>
          </w:p>
        </w:tc>
      </w:tr>
      <w:tr w:rsidR="009B5E39" w:rsidRPr="001335C7" w14:paraId="3A47653E" w14:textId="77777777" w:rsidTr="00190E4A">
        <w:tc>
          <w:tcPr>
            <w:tcW w:w="4898" w:type="dxa"/>
            <w:shd w:val="clear" w:color="auto" w:fill="auto"/>
          </w:tcPr>
          <w:p w14:paraId="3A47651F" w14:textId="77777777" w:rsidR="009B5E39" w:rsidRPr="001335C7" w:rsidRDefault="009B5E39" w:rsidP="00190E4A">
            <w:pPr>
              <w:rPr>
                <w:rFonts w:ascii="Gotham" w:hAnsi="Gotham" w:cs="Arial"/>
                <w:sz w:val="18"/>
                <w:szCs w:val="18"/>
              </w:rPr>
            </w:pPr>
          </w:p>
          <w:p w14:paraId="3A476520" w14:textId="77777777" w:rsidR="009B5E39" w:rsidRPr="001335C7" w:rsidRDefault="009B5E39" w:rsidP="00190E4A">
            <w:pPr>
              <w:jc w:val="center"/>
              <w:rPr>
                <w:rFonts w:ascii="Gotham" w:hAnsi="Gotham" w:cs="Arial"/>
                <w:sz w:val="18"/>
                <w:szCs w:val="18"/>
                <w:highlight w:val="yellow"/>
              </w:rPr>
            </w:pPr>
            <w:r w:rsidRPr="001335C7">
              <w:rPr>
                <w:rFonts w:ascii="Gotham" w:hAnsi="Gotham" w:cs="Arial"/>
                <w:sz w:val="18"/>
                <w:szCs w:val="18"/>
              </w:rPr>
              <w:t xml:space="preserve">SECCIÓN PRIMERA </w:t>
            </w:r>
            <w:r w:rsidRPr="001335C7">
              <w:rPr>
                <w:rFonts w:ascii="Gotham" w:hAnsi="Gotham" w:cs="Arial"/>
                <w:sz w:val="18"/>
                <w:szCs w:val="18"/>
              </w:rPr>
              <w:br/>
              <w:t xml:space="preserve">DE LA COMISIÓN ESPECIAL DE PREVENCIÓN Y </w:t>
            </w:r>
            <w:r w:rsidRPr="001335C7">
              <w:rPr>
                <w:rFonts w:ascii="Gotham" w:hAnsi="Gotham" w:cs="Arial"/>
                <w:sz w:val="18"/>
                <w:szCs w:val="18"/>
                <w:highlight w:val="yellow"/>
              </w:rPr>
              <w:t>EMPODERAMIENTO</w:t>
            </w:r>
          </w:p>
          <w:p w14:paraId="3A476521" w14:textId="77777777" w:rsidR="009B5E39" w:rsidRPr="001335C7" w:rsidRDefault="009B5E39" w:rsidP="00190E4A">
            <w:pPr>
              <w:jc w:val="both"/>
              <w:rPr>
                <w:rFonts w:ascii="Gotham" w:hAnsi="Gotham" w:cs="Arial"/>
                <w:sz w:val="18"/>
                <w:szCs w:val="18"/>
              </w:rPr>
            </w:pPr>
          </w:p>
          <w:p w14:paraId="3A47652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130.- </w:t>
            </w:r>
            <w:r w:rsidRPr="001335C7">
              <w:rPr>
                <w:rFonts w:ascii="Gotham" w:hAnsi="Gotham" w:cs="Arial"/>
                <w:sz w:val="18"/>
                <w:szCs w:val="18"/>
              </w:rPr>
              <w:t xml:space="preserve">La comisión especial de prevención y </w:t>
            </w:r>
            <w:r w:rsidRPr="001335C7">
              <w:rPr>
                <w:rFonts w:ascii="Gotham" w:hAnsi="Gotham" w:cs="Arial"/>
                <w:sz w:val="18"/>
                <w:szCs w:val="18"/>
                <w:highlight w:val="yellow"/>
              </w:rPr>
              <w:t>empoderamiento</w:t>
            </w:r>
            <w:r w:rsidRPr="001335C7">
              <w:rPr>
                <w:rFonts w:ascii="Gotham" w:hAnsi="Gotham" w:cs="Arial"/>
                <w:sz w:val="18"/>
                <w:szCs w:val="18"/>
              </w:rPr>
              <w:t xml:space="preserve"> tiene como finalidad procurar reducir los factores de riesgo de violencia contra las mujeres en el Municipio y estará conformada por una representante de:</w:t>
            </w:r>
          </w:p>
          <w:p w14:paraId="3A476523" w14:textId="77777777" w:rsidR="009B5E39" w:rsidRPr="001335C7" w:rsidRDefault="009B5E39" w:rsidP="00190E4A">
            <w:pPr>
              <w:jc w:val="both"/>
              <w:rPr>
                <w:rFonts w:ascii="Gotham" w:hAnsi="Gotham" w:cs="Arial"/>
                <w:sz w:val="18"/>
                <w:szCs w:val="18"/>
              </w:rPr>
            </w:pPr>
          </w:p>
          <w:p w14:paraId="3A476524" w14:textId="77777777" w:rsidR="009B5E39" w:rsidRPr="001335C7" w:rsidRDefault="009B5E39" w:rsidP="00190E4A">
            <w:pPr>
              <w:jc w:val="both"/>
              <w:rPr>
                <w:rFonts w:ascii="Gotham" w:hAnsi="Gotham" w:cs="Arial"/>
                <w:sz w:val="18"/>
                <w:szCs w:val="18"/>
              </w:rPr>
            </w:pPr>
          </w:p>
          <w:p w14:paraId="3A476525" w14:textId="77777777" w:rsidR="009B5E39" w:rsidRPr="001335C7" w:rsidRDefault="009B5E39" w:rsidP="00E5394F">
            <w:pPr>
              <w:numPr>
                <w:ilvl w:val="0"/>
                <w:numId w:val="273"/>
              </w:numPr>
              <w:ind w:left="567" w:hanging="578"/>
              <w:jc w:val="both"/>
              <w:rPr>
                <w:rFonts w:ascii="Gotham" w:hAnsi="Gotham" w:cs="Arial"/>
                <w:sz w:val="18"/>
                <w:szCs w:val="18"/>
              </w:rPr>
            </w:pPr>
            <w:r w:rsidRPr="001335C7">
              <w:rPr>
                <w:rFonts w:ascii="Gotham" w:hAnsi="Gotham" w:cs="Arial"/>
                <w:sz w:val="18"/>
                <w:szCs w:val="18"/>
              </w:rPr>
              <w:t>El Instituto Municipal de la Mujer para la Igualdad Sustantiva en Tonalá, Jalisco;</w:t>
            </w:r>
          </w:p>
          <w:p w14:paraId="3A476526" w14:textId="77777777" w:rsidR="009B5E39" w:rsidRPr="001335C7" w:rsidRDefault="009B5E39" w:rsidP="00190E4A">
            <w:pPr>
              <w:ind w:left="567" w:hanging="578"/>
              <w:jc w:val="both"/>
              <w:rPr>
                <w:rFonts w:ascii="Gotham" w:hAnsi="Gotham" w:cs="Arial"/>
                <w:sz w:val="18"/>
                <w:szCs w:val="18"/>
              </w:rPr>
            </w:pPr>
          </w:p>
          <w:p w14:paraId="3A476527" w14:textId="77777777" w:rsidR="009B5E39" w:rsidRPr="001335C7" w:rsidRDefault="009B5E39" w:rsidP="00E5394F">
            <w:pPr>
              <w:numPr>
                <w:ilvl w:val="0"/>
                <w:numId w:val="273"/>
              </w:numPr>
              <w:ind w:left="567" w:hanging="578"/>
              <w:jc w:val="both"/>
              <w:rPr>
                <w:rFonts w:ascii="Gotham" w:hAnsi="Gotham" w:cs="Arial"/>
                <w:sz w:val="18"/>
                <w:szCs w:val="18"/>
              </w:rPr>
            </w:pPr>
            <w:r w:rsidRPr="001335C7">
              <w:rPr>
                <w:rFonts w:ascii="Gotham" w:hAnsi="Gotham" w:cs="Arial"/>
                <w:sz w:val="18"/>
                <w:szCs w:val="18"/>
              </w:rPr>
              <w:t>La Comisaría de la Policía Preventiva Municipal;</w:t>
            </w:r>
          </w:p>
          <w:p w14:paraId="3A476528" w14:textId="77777777" w:rsidR="009B5E39" w:rsidRPr="001335C7" w:rsidRDefault="009B5E39" w:rsidP="00190E4A">
            <w:pPr>
              <w:ind w:left="567" w:hanging="578"/>
              <w:jc w:val="both"/>
              <w:rPr>
                <w:rFonts w:ascii="Gotham" w:hAnsi="Gotham" w:cs="Arial"/>
                <w:sz w:val="18"/>
                <w:szCs w:val="18"/>
              </w:rPr>
            </w:pPr>
          </w:p>
          <w:p w14:paraId="3A476529" w14:textId="77777777" w:rsidR="009B5E39" w:rsidRPr="001335C7" w:rsidRDefault="009B5E39" w:rsidP="00E5394F">
            <w:pPr>
              <w:numPr>
                <w:ilvl w:val="0"/>
                <w:numId w:val="273"/>
              </w:numPr>
              <w:ind w:left="567" w:hanging="578"/>
              <w:jc w:val="both"/>
              <w:rPr>
                <w:rFonts w:ascii="Gotham" w:hAnsi="Gotham" w:cs="Arial"/>
                <w:sz w:val="18"/>
                <w:szCs w:val="18"/>
              </w:rPr>
            </w:pPr>
            <w:r w:rsidRPr="001335C7">
              <w:rPr>
                <w:rFonts w:ascii="Gotham" w:hAnsi="Gotham" w:cs="Arial"/>
                <w:sz w:val="18"/>
                <w:szCs w:val="18"/>
              </w:rPr>
              <w:t>La Coordinación General de Administración e Innovación Gubernamental;</w:t>
            </w:r>
          </w:p>
          <w:p w14:paraId="3A47652A" w14:textId="77777777" w:rsidR="009B5E39" w:rsidRPr="001335C7" w:rsidRDefault="009B5E39" w:rsidP="00190E4A">
            <w:pPr>
              <w:ind w:left="567" w:hanging="578"/>
              <w:jc w:val="both"/>
              <w:rPr>
                <w:rFonts w:ascii="Gotham" w:hAnsi="Gotham" w:cs="Arial"/>
                <w:sz w:val="18"/>
                <w:szCs w:val="18"/>
              </w:rPr>
            </w:pPr>
          </w:p>
          <w:p w14:paraId="3A47652B" w14:textId="77777777" w:rsidR="009B5E39" w:rsidRPr="001335C7" w:rsidRDefault="009B5E39" w:rsidP="00E5394F">
            <w:pPr>
              <w:numPr>
                <w:ilvl w:val="0"/>
                <w:numId w:val="273"/>
              </w:numPr>
              <w:ind w:left="567" w:hanging="578"/>
              <w:jc w:val="both"/>
              <w:rPr>
                <w:rFonts w:ascii="Gotham" w:hAnsi="Gotham" w:cs="Arial"/>
                <w:sz w:val="18"/>
                <w:szCs w:val="18"/>
              </w:rPr>
            </w:pPr>
            <w:r w:rsidRPr="001335C7">
              <w:rPr>
                <w:rFonts w:ascii="Gotham" w:hAnsi="Gotham" w:cs="Arial"/>
                <w:sz w:val="18"/>
                <w:szCs w:val="18"/>
              </w:rPr>
              <w:t>La Coordinación General de Participación Ciudadana y Construcción de la Comunidad; y</w:t>
            </w:r>
          </w:p>
          <w:p w14:paraId="3A47652C" w14:textId="77777777" w:rsidR="009B5E39" w:rsidRPr="001335C7" w:rsidRDefault="009B5E39" w:rsidP="00190E4A">
            <w:pPr>
              <w:jc w:val="both"/>
              <w:rPr>
                <w:rFonts w:ascii="Gotham" w:hAnsi="Gotham" w:cs="Arial"/>
                <w:sz w:val="18"/>
                <w:szCs w:val="18"/>
              </w:rPr>
            </w:pPr>
          </w:p>
          <w:p w14:paraId="3A47652D" w14:textId="77777777" w:rsidR="009B5E39" w:rsidRPr="001335C7" w:rsidRDefault="009B5E39" w:rsidP="00E5394F">
            <w:pPr>
              <w:numPr>
                <w:ilvl w:val="0"/>
                <w:numId w:val="273"/>
              </w:numPr>
              <w:ind w:left="567" w:hanging="578"/>
              <w:jc w:val="both"/>
              <w:rPr>
                <w:rFonts w:ascii="Gotham" w:hAnsi="Gotham" w:cs="Arial"/>
                <w:sz w:val="18"/>
                <w:szCs w:val="18"/>
              </w:rPr>
            </w:pPr>
            <w:r w:rsidRPr="001335C7">
              <w:rPr>
                <w:rFonts w:ascii="Gotham" w:hAnsi="Gotham" w:cs="Arial"/>
                <w:sz w:val="18"/>
                <w:szCs w:val="18"/>
              </w:rPr>
              <w:t>El Sistema para el Desarrollo Integral de la Familia, DIF Tonalá.</w:t>
            </w:r>
          </w:p>
          <w:p w14:paraId="3A47652E"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2F" w14:textId="77777777" w:rsidR="009B5E39" w:rsidRPr="001335C7" w:rsidRDefault="009B5E39" w:rsidP="00190E4A">
            <w:pPr>
              <w:jc w:val="center"/>
              <w:rPr>
                <w:rFonts w:ascii="Gotham" w:hAnsi="Gotham" w:cs="Arial"/>
                <w:sz w:val="18"/>
                <w:szCs w:val="18"/>
              </w:rPr>
            </w:pPr>
          </w:p>
          <w:p w14:paraId="3A476530" w14:textId="77777777" w:rsidR="009B5E39" w:rsidRPr="001335C7" w:rsidRDefault="009B5E39" w:rsidP="00190E4A">
            <w:pPr>
              <w:jc w:val="center"/>
              <w:rPr>
                <w:rFonts w:ascii="Gotham" w:hAnsi="Gotham" w:cs="Arial"/>
                <w:sz w:val="18"/>
                <w:szCs w:val="18"/>
                <w:highlight w:val="cyan"/>
              </w:rPr>
            </w:pPr>
            <w:r w:rsidRPr="001335C7">
              <w:rPr>
                <w:rFonts w:ascii="Gotham" w:hAnsi="Gotham" w:cs="Arial"/>
                <w:sz w:val="18"/>
                <w:szCs w:val="18"/>
              </w:rPr>
              <w:t xml:space="preserve">SECCIÓN PRIMERA </w:t>
            </w:r>
            <w:r w:rsidRPr="001335C7">
              <w:rPr>
                <w:rFonts w:ascii="Gotham" w:hAnsi="Gotham" w:cs="Arial"/>
                <w:sz w:val="18"/>
                <w:szCs w:val="18"/>
              </w:rPr>
              <w:br/>
              <w:t xml:space="preserve">DE LA COMISIÓN ESPECIAL DE PREVENCIÓN Y </w:t>
            </w:r>
            <w:r w:rsidRPr="001335C7">
              <w:rPr>
                <w:rFonts w:ascii="Gotham" w:hAnsi="Gotham" w:cs="Arial"/>
                <w:sz w:val="18"/>
                <w:szCs w:val="18"/>
                <w:highlight w:val="cyan"/>
              </w:rPr>
              <w:t>AUTONOMÍAS</w:t>
            </w:r>
          </w:p>
          <w:p w14:paraId="3A476531" w14:textId="77777777" w:rsidR="009B5E39" w:rsidRPr="001335C7" w:rsidRDefault="009B5E39" w:rsidP="00190E4A">
            <w:pPr>
              <w:jc w:val="both"/>
              <w:rPr>
                <w:rFonts w:ascii="Gotham" w:hAnsi="Gotham" w:cs="Arial"/>
                <w:sz w:val="18"/>
                <w:szCs w:val="18"/>
              </w:rPr>
            </w:pPr>
          </w:p>
          <w:p w14:paraId="3A47653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130.- </w:t>
            </w:r>
            <w:r w:rsidRPr="001335C7">
              <w:rPr>
                <w:rFonts w:ascii="Gotham" w:hAnsi="Gotham" w:cs="Arial"/>
                <w:sz w:val="18"/>
                <w:szCs w:val="18"/>
              </w:rPr>
              <w:t xml:space="preserve">La comisión especial de prevención y </w:t>
            </w:r>
            <w:r w:rsidRPr="001335C7">
              <w:rPr>
                <w:rFonts w:ascii="Gotham" w:hAnsi="Gotham" w:cs="Arial"/>
                <w:sz w:val="18"/>
                <w:szCs w:val="18"/>
                <w:highlight w:val="cyan"/>
              </w:rPr>
              <w:t>autonomías</w:t>
            </w:r>
            <w:r w:rsidRPr="001335C7">
              <w:rPr>
                <w:rFonts w:ascii="Gotham" w:hAnsi="Gotham" w:cs="Arial"/>
                <w:sz w:val="18"/>
                <w:szCs w:val="18"/>
              </w:rPr>
              <w:t xml:space="preserve"> tiene como finalidad procurar reducir los factores de riesgo de violencia contra las mujeres en el Municipio,</w:t>
            </w:r>
            <w:r w:rsidRPr="001335C7">
              <w:rPr>
                <w:rFonts w:ascii="Gotham" w:hAnsi="Gotham" w:cs="Arial"/>
                <w:sz w:val="18"/>
                <w:szCs w:val="18"/>
                <w:highlight w:val="cyan"/>
              </w:rPr>
              <w:t xml:space="preserve"> así como su integración social, política y económica a la vida </w:t>
            </w:r>
            <w:proofErr w:type="spellStart"/>
            <w:r w:rsidRPr="001335C7">
              <w:rPr>
                <w:rFonts w:ascii="Gotham" w:hAnsi="Gotham" w:cs="Arial"/>
                <w:sz w:val="18"/>
                <w:szCs w:val="18"/>
                <w:highlight w:val="cyan"/>
              </w:rPr>
              <w:t>publica</w:t>
            </w:r>
            <w:proofErr w:type="spellEnd"/>
            <w:r w:rsidRPr="001335C7">
              <w:rPr>
                <w:rFonts w:ascii="Gotham" w:hAnsi="Gotham" w:cs="Arial"/>
                <w:sz w:val="18"/>
                <w:szCs w:val="18"/>
                <w:highlight w:val="cyan"/>
              </w:rPr>
              <w:t xml:space="preserve"> y familiar,</w:t>
            </w:r>
            <w:r w:rsidRPr="001335C7">
              <w:rPr>
                <w:rFonts w:ascii="Gotham" w:hAnsi="Gotham" w:cs="Arial"/>
                <w:sz w:val="18"/>
                <w:szCs w:val="18"/>
              </w:rPr>
              <w:t xml:space="preserve"> y estará conformada por una representante de:</w:t>
            </w:r>
          </w:p>
          <w:p w14:paraId="3A476533" w14:textId="77777777" w:rsidR="009B5E39" w:rsidRPr="001335C7" w:rsidRDefault="009B5E39" w:rsidP="00190E4A">
            <w:pPr>
              <w:jc w:val="both"/>
              <w:rPr>
                <w:rFonts w:ascii="Gotham" w:hAnsi="Gotham" w:cs="Arial"/>
                <w:sz w:val="18"/>
                <w:szCs w:val="18"/>
              </w:rPr>
            </w:pPr>
          </w:p>
          <w:p w14:paraId="3A476534" w14:textId="77777777" w:rsidR="009B5E39" w:rsidRPr="001335C7" w:rsidRDefault="009B5E39" w:rsidP="00190E4A">
            <w:pPr>
              <w:jc w:val="both"/>
              <w:rPr>
                <w:rFonts w:ascii="Gotham" w:hAnsi="Gotham" w:cs="Arial"/>
                <w:sz w:val="18"/>
                <w:szCs w:val="18"/>
              </w:rPr>
            </w:pPr>
          </w:p>
          <w:p w14:paraId="3A476535" w14:textId="77777777" w:rsidR="009B5E39" w:rsidRPr="001335C7" w:rsidRDefault="009B5E39" w:rsidP="00E5394F">
            <w:pPr>
              <w:numPr>
                <w:ilvl w:val="0"/>
                <w:numId w:val="285"/>
              </w:numPr>
              <w:ind w:left="567" w:hanging="578"/>
              <w:jc w:val="both"/>
              <w:rPr>
                <w:rFonts w:ascii="Gotham" w:hAnsi="Gotham" w:cs="Arial"/>
                <w:sz w:val="18"/>
                <w:szCs w:val="18"/>
              </w:rPr>
            </w:pPr>
            <w:r w:rsidRPr="001335C7">
              <w:rPr>
                <w:rFonts w:ascii="Gotham" w:hAnsi="Gotham" w:cs="Arial"/>
                <w:sz w:val="18"/>
                <w:szCs w:val="18"/>
              </w:rPr>
              <w:t>El Instituto Municipal de la Mujer para la Igualdad Sustantiva en Tonalá, Jalisco;</w:t>
            </w:r>
          </w:p>
          <w:p w14:paraId="3A476536" w14:textId="77777777" w:rsidR="009B5E39" w:rsidRPr="001335C7" w:rsidRDefault="009B5E39" w:rsidP="00190E4A">
            <w:pPr>
              <w:ind w:left="567" w:hanging="578"/>
              <w:jc w:val="both"/>
              <w:rPr>
                <w:rFonts w:ascii="Gotham" w:hAnsi="Gotham" w:cs="Arial"/>
                <w:sz w:val="18"/>
                <w:szCs w:val="18"/>
              </w:rPr>
            </w:pPr>
          </w:p>
          <w:p w14:paraId="3A476537" w14:textId="77777777" w:rsidR="009B5E39" w:rsidRPr="001335C7" w:rsidRDefault="009B5E39" w:rsidP="00E5394F">
            <w:pPr>
              <w:numPr>
                <w:ilvl w:val="0"/>
                <w:numId w:val="285"/>
              </w:numPr>
              <w:ind w:left="567" w:hanging="578"/>
              <w:jc w:val="both"/>
              <w:rPr>
                <w:rFonts w:ascii="Gotham" w:hAnsi="Gotham" w:cs="Arial"/>
                <w:sz w:val="18"/>
                <w:szCs w:val="18"/>
              </w:rPr>
            </w:pPr>
            <w:r w:rsidRPr="001335C7">
              <w:rPr>
                <w:rFonts w:ascii="Gotham" w:hAnsi="Gotham" w:cs="Arial"/>
                <w:sz w:val="18"/>
                <w:szCs w:val="18"/>
                <w:highlight w:val="cyan"/>
              </w:rPr>
              <w:t>La Dirección de Prevención Social del Delito;</w:t>
            </w:r>
          </w:p>
          <w:p w14:paraId="3A476538" w14:textId="77777777" w:rsidR="009B5E39" w:rsidRPr="001335C7" w:rsidRDefault="009B5E39" w:rsidP="00190E4A">
            <w:pPr>
              <w:ind w:left="567" w:hanging="578"/>
              <w:jc w:val="both"/>
              <w:rPr>
                <w:rFonts w:ascii="Gotham" w:hAnsi="Gotham" w:cs="Arial"/>
                <w:sz w:val="18"/>
                <w:szCs w:val="18"/>
              </w:rPr>
            </w:pPr>
          </w:p>
          <w:p w14:paraId="3A476539" w14:textId="77777777" w:rsidR="009B5E39" w:rsidRPr="001335C7" w:rsidRDefault="009B5E39" w:rsidP="00E5394F">
            <w:pPr>
              <w:numPr>
                <w:ilvl w:val="0"/>
                <w:numId w:val="285"/>
              </w:numPr>
              <w:ind w:left="567" w:hanging="578"/>
              <w:jc w:val="both"/>
              <w:rPr>
                <w:rFonts w:ascii="Gotham" w:hAnsi="Gotham" w:cs="Arial"/>
                <w:sz w:val="18"/>
                <w:szCs w:val="18"/>
              </w:rPr>
            </w:pPr>
            <w:r w:rsidRPr="001335C7">
              <w:rPr>
                <w:rFonts w:ascii="Gotham" w:hAnsi="Gotham" w:cs="Arial"/>
                <w:sz w:val="18"/>
                <w:szCs w:val="18"/>
                <w:highlight w:val="cyan"/>
              </w:rPr>
              <w:t>La Dirección General de Administración y Desarrollo Humano;</w:t>
            </w:r>
          </w:p>
          <w:p w14:paraId="3A47653A" w14:textId="77777777" w:rsidR="009B5E39" w:rsidRPr="001335C7" w:rsidRDefault="009B5E39" w:rsidP="00190E4A">
            <w:pPr>
              <w:ind w:left="567" w:hanging="578"/>
              <w:jc w:val="both"/>
              <w:rPr>
                <w:rFonts w:ascii="Gotham" w:hAnsi="Gotham" w:cs="Arial"/>
                <w:sz w:val="18"/>
                <w:szCs w:val="18"/>
              </w:rPr>
            </w:pPr>
          </w:p>
          <w:p w14:paraId="3A47653B" w14:textId="77777777" w:rsidR="009B5E39" w:rsidRPr="001335C7" w:rsidRDefault="009B5E39" w:rsidP="00E5394F">
            <w:pPr>
              <w:numPr>
                <w:ilvl w:val="0"/>
                <w:numId w:val="285"/>
              </w:numPr>
              <w:ind w:left="567" w:hanging="578"/>
              <w:jc w:val="both"/>
              <w:rPr>
                <w:rFonts w:ascii="Gotham" w:hAnsi="Gotham" w:cs="Arial"/>
                <w:sz w:val="18"/>
                <w:szCs w:val="18"/>
              </w:rPr>
            </w:pPr>
            <w:r w:rsidRPr="001335C7">
              <w:rPr>
                <w:rFonts w:ascii="Gotham" w:hAnsi="Gotham" w:cs="Arial"/>
                <w:sz w:val="18"/>
                <w:szCs w:val="18"/>
                <w:highlight w:val="cyan"/>
              </w:rPr>
              <w:t>La Dirección General de Bienestar Social</w:t>
            </w:r>
            <w:r w:rsidRPr="001335C7">
              <w:rPr>
                <w:rFonts w:ascii="Gotham" w:hAnsi="Gotham" w:cs="Arial"/>
                <w:sz w:val="18"/>
                <w:szCs w:val="18"/>
              </w:rPr>
              <w:t>; y</w:t>
            </w:r>
          </w:p>
          <w:p w14:paraId="3A47653C" w14:textId="77777777" w:rsidR="009B5E39" w:rsidRPr="001335C7" w:rsidRDefault="009B5E39" w:rsidP="00190E4A">
            <w:pPr>
              <w:jc w:val="both"/>
              <w:rPr>
                <w:rFonts w:ascii="Gotham" w:hAnsi="Gotham" w:cs="Arial"/>
                <w:sz w:val="18"/>
                <w:szCs w:val="18"/>
              </w:rPr>
            </w:pPr>
          </w:p>
          <w:p w14:paraId="3A47653D" w14:textId="77777777" w:rsidR="009B5E39" w:rsidRPr="001335C7" w:rsidRDefault="009B5E39" w:rsidP="00E5394F">
            <w:pPr>
              <w:numPr>
                <w:ilvl w:val="0"/>
                <w:numId w:val="285"/>
              </w:numPr>
              <w:ind w:left="567" w:hanging="578"/>
              <w:jc w:val="both"/>
              <w:rPr>
                <w:rFonts w:ascii="Gotham" w:hAnsi="Gotham" w:cs="Arial"/>
                <w:sz w:val="18"/>
                <w:szCs w:val="18"/>
              </w:rPr>
            </w:pPr>
            <w:r w:rsidRPr="001335C7">
              <w:rPr>
                <w:rFonts w:ascii="Gotham" w:hAnsi="Gotham" w:cs="Arial"/>
                <w:sz w:val="18"/>
                <w:szCs w:val="18"/>
              </w:rPr>
              <w:t>El Sistema para el Desarrollo Integral de la Familia, DIF Tonalá.</w:t>
            </w:r>
          </w:p>
        </w:tc>
      </w:tr>
      <w:tr w:rsidR="009B5E39" w:rsidRPr="001335C7" w14:paraId="3A476544" w14:textId="77777777" w:rsidTr="00190E4A">
        <w:tc>
          <w:tcPr>
            <w:tcW w:w="4898" w:type="dxa"/>
            <w:shd w:val="clear" w:color="auto" w:fill="auto"/>
          </w:tcPr>
          <w:p w14:paraId="3A47653F" w14:textId="77777777" w:rsidR="009B5E39" w:rsidRPr="001335C7" w:rsidRDefault="009B5E39" w:rsidP="00190E4A">
            <w:pPr>
              <w:jc w:val="both"/>
              <w:rPr>
                <w:rFonts w:ascii="Gotham" w:hAnsi="Gotham" w:cs="Arial"/>
                <w:b/>
                <w:sz w:val="18"/>
                <w:szCs w:val="18"/>
              </w:rPr>
            </w:pPr>
          </w:p>
          <w:p w14:paraId="3A476540"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131.- </w:t>
            </w:r>
            <w:r w:rsidRPr="001335C7">
              <w:rPr>
                <w:rFonts w:ascii="Gotham" w:hAnsi="Gotham" w:cs="Arial"/>
                <w:sz w:val="18"/>
                <w:szCs w:val="18"/>
              </w:rPr>
              <w:t xml:space="preserve">La comisión especial de prevención y </w:t>
            </w:r>
            <w:r w:rsidRPr="001335C7">
              <w:rPr>
                <w:rFonts w:ascii="Gotham" w:hAnsi="Gotham" w:cs="Arial"/>
                <w:sz w:val="18"/>
                <w:szCs w:val="18"/>
                <w:highlight w:val="yellow"/>
              </w:rPr>
              <w:t>empoderamiento</w:t>
            </w:r>
            <w:r w:rsidRPr="001335C7">
              <w:rPr>
                <w:rFonts w:ascii="Gotham" w:hAnsi="Gotham" w:cs="Arial"/>
                <w:sz w:val="18"/>
                <w:szCs w:val="18"/>
              </w:rPr>
              <w:t xml:space="preserve"> procurará que, además de las acciones establecidas dentro del Programa Integral Municipal, se contemplen las siguientes:</w:t>
            </w:r>
          </w:p>
          <w:p w14:paraId="3A476541" w14:textId="77777777" w:rsidR="009B5E39" w:rsidRPr="001335C7" w:rsidRDefault="009B5E39" w:rsidP="00190E4A">
            <w:pPr>
              <w:jc w:val="both"/>
              <w:rPr>
                <w:rFonts w:ascii="Gotham" w:hAnsi="Gotham" w:cs="Arial"/>
                <w:sz w:val="18"/>
                <w:szCs w:val="18"/>
              </w:rPr>
            </w:pPr>
            <w:bookmarkStart w:id="54" w:name="_heading=h.u6m0thspbhk2" w:colFirst="0" w:colLast="0"/>
            <w:bookmarkEnd w:id="54"/>
          </w:p>
        </w:tc>
        <w:tc>
          <w:tcPr>
            <w:tcW w:w="4899" w:type="dxa"/>
            <w:shd w:val="clear" w:color="auto" w:fill="auto"/>
          </w:tcPr>
          <w:p w14:paraId="3A476542" w14:textId="77777777" w:rsidR="009B5E39" w:rsidRPr="001335C7" w:rsidRDefault="009B5E39" w:rsidP="00190E4A">
            <w:pPr>
              <w:jc w:val="both"/>
              <w:rPr>
                <w:rFonts w:ascii="Gotham" w:hAnsi="Gotham" w:cs="Arial"/>
                <w:b/>
                <w:sz w:val="18"/>
                <w:szCs w:val="18"/>
              </w:rPr>
            </w:pPr>
          </w:p>
          <w:p w14:paraId="3A476543" w14:textId="77777777" w:rsidR="009B5E39" w:rsidRPr="001335C7" w:rsidRDefault="009B5E39" w:rsidP="00190E4A">
            <w:pPr>
              <w:jc w:val="both"/>
              <w:rPr>
                <w:rFonts w:ascii="Gotham" w:hAnsi="Gotham" w:cs="Arial"/>
                <w:b/>
                <w:sz w:val="18"/>
                <w:szCs w:val="18"/>
              </w:rPr>
            </w:pPr>
            <w:bookmarkStart w:id="55" w:name="_heading=h.3ygebqi" w:colFirst="0" w:colLast="0"/>
            <w:bookmarkEnd w:id="55"/>
            <w:r w:rsidRPr="001335C7">
              <w:rPr>
                <w:rFonts w:ascii="Gotham" w:hAnsi="Gotham" w:cs="Arial"/>
                <w:b/>
                <w:sz w:val="18"/>
                <w:szCs w:val="18"/>
              </w:rPr>
              <w:t xml:space="preserve">Artículo 131.- </w:t>
            </w:r>
            <w:r w:rsidRPr="001335C7">
              <w:rPr>
                <w:rFonts w:ascii="Gotham" w:hAnsi="Gotham" w:cs="Arial"/>
                <w:sz w:val="18"/>
                <w:szCs w:val="18"/>
              </w:rPr>
              <w:t xml:space="preserve">La comisión especial de prevención y </w:t>
            </w:r>
            <w:r w:rsidRPr="001335C7">
              <w:rPr>
                <w:rFonts w:ascii="Gotham" w:hAnsi="Gotham" w:cs="Arial"/>
                <w:sz w:val="18"/>
                <w:szCs w:val="18"/>
                <w:highlight w:val="cyan"/>
              </w:rPr>
              <w:t>autonomías</w:t>
            </w:r>
            <w:r w:rsidRPr="001335C7">
              <w:rPr>
                <w:rFonts w:ascii="Gotham" w:hAnsi="Gotham" w:cs="Arial"/>
                <w:sz w:val="18"/>
                <w:szCs w:val="18"/>
              </w:rPr>
              <w:t xml:space="preserve"> procurará que, además de las acciones establecidas dentro del Programa Integral Municipal, se contemplen las siguientes:</w:t>
            </w:r>
          </w:p>
        </w:tc>
      </w:tr>
      <w:tr w:rsidR="009B5E39" w:rsidRPr="001335C7" w14:paraId="3A47654E" w14:textId="77777777" w:rsidTr="00190E4A">
        <w:tc>
          <w:tcPr>
            <w:tcW w:w="4898" w:type="dxa"/>
            <w:shd w:val="clear" w:color="auto" w:fill="auto"/>
          </w:tcPr>
          <w:p w14:paraId="3A476545" w14:textId="77777777" w:rsidR="009B5E39" w:rsidRPr="001335C7" w:rsidRDefault="009B5E39" w:rsidP="00190E4A">
            <w:pPr>
              <w:jc w:val="both"/>
              <w:rPr>
                <w:rFonts w:ascii="Gotham" w:hAnsi="Gotham" w:cs="Arial"/>
                <w:b/>
                <w:sz w:val="18"/>
                <w:szCs w:val="18"/>
              </w:rPr>
            </w:pPr>
            <w:bookmarkStart w:id="56" w:name="_heading=h.8e3rtfdhzxgv" w:colFirst="0" w:colLast="0"/>
            <w:bookmarkEnd w:id="56"/>
          </w:p>
          <w:p w14:paraId="3A47654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132.-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yellow"/>
              </w:rPr>
              <w:t>empoderamiento</w:t>
            </w:r>
            <w:r w:rsidRPr="001335C7">
              <w:rPr>
                <w:rFonts w:ascii="Gotham" w:hAnsi="Gotham" w:cs="Arial"/>
                <w:sz w:val="18"/>
                <w:szCs w:val="18"/>
              </w:rPr>
              <w:t>, le corresponde al Instituto lo siguiente:</w:t>
            </w:r>
          </w:p>
          <w:p w14:paraId="3A476547" w14:textId="77777777" w:rsidR="009B5E39" w:rsidRPr="001335C7" w:rsidRDefault="009B5E39" w:rsidP="00190E4A">
            <w:pPr>
              <w:jc w:val="both"/>
              <w:rPr>
                <w:rFonts w:ascii="Gotham" w:hAnsi="Gotham" w:cs="Arial"/>
                <w:sz w:val="18"/>
                <w:szCs w:val="18"/>
              </w:rPr>
            </w:pPr>
          </w:p>
          <w:p w14:paraId="3A476548" w14:textId="77777777" w:rsidR="009B5E39" w:rsidRPr="001335C7" w:rsidRDefault="009B5E39" w:rsidP="00E5394F">
            <w:pPr>
              <w:numPr>
                <w:ilvl w:val="0"/>
                <w:numId w:val="281"/>
              </w:numPr>
              <w:ind w:left="567" w:hanging="578"/>
              <w:jc w:val="both"/>
              <w:rPr>
                <w:rFonts w:ascii="Gotham" w:hAnsi="Gotham" w:cs="Arial"/>
                <w:sz w:val="18"/>
                <w:szCs w:val="18"/>
              </w:rPr>
            </w:pPr>
            <w:r w:rsidRPr="001335C7">
              <w:rPr>
                <w:rFonts w:ascii="Gotham" w:hAnsi="Gotham" w:cs="Arial"/>
                <w:sz w:val="18"/>
                <w:szCs w:val="18"/>
              </w:rPr>
              <w:t>Diseñar e implementar planes de trabajo e instrumentos de capacitación y especialización para los servidores públicos municipales en materia de acceso de las mujeres a una vida libre de violencia;</w:t>
            </w:r>
          </w:p>
          <w:p w14:paraId="3A476549" w14:textId="77777777" w:rsidR="009B5E39" w:rsidRPr="001335C7" w:rsidRDefault="009B5E39" w:rsidP="00190E4A">
            <w:pPr>
              <w:ind w:left="567"/>
              <w:jc w:val="both"/>
              <w:rPr>
                <w:rFonts w:ascii="Gotham" w:hAnsi="Gotham" w:cs="Arial"/>
                <w:sz w:val="18"/>
                <w:szCs w:val="18"/>
              </w:rPr>
            </w:pPr>
          </w:p>
        </w:tc>
        <w:tc>
          <w:tcPr>
            <w:tcW w:w="4899" w:type="dxa"/>
            <w:shd w:val="clear" w:color="auto" w:fill="auto"/>
          </w:tcPr>
          <w:p w14:paraId="3A47654A" w14:textId="77777777" w:rsidR="009B5E39" w:rsidRPr="001335C7" w:rsidRDefault="009B5E39" w:rsidP="00190E4A">
            <w:pPr>
              <w:jc w:val="both"/>
              <w:rPr>
                <w:rFonts w:ascii="Gotham" w:hAnsi="Gotham" w:cs="Arial"/>
                <w:b/>
                <w:sz w:val="18"/>
                <w:szCs w:val="18"/>
              </w:rPr>
            </w:pPr>
          </w:p>
          <w:p w14:paraId="3A47654B" w14:textId="77777777" w:rsidR="009B5E39" w:rsidRPr="001335C7" w:rsidRDefault="009B5E39" w:rsidP="00190E4A">
            <w:pPr>
              <w:jc w:val="both"/>
              <w:rPr>
                <w:rFonts w:ascii="Gotham" w:hAnsi="Gotham" w:cs="Arial"/>
                <w:sz w:val="18"/>
                <w:szCs w:val="18"/>
              </w:rPr>
            </w:pPr>
            <w:bookmarkStart w:id="57" w:name="_heading=h.6wtsva7l5om3" w:colFirst="0" w:colLast="0"/>
            <w:bookmarkEnd w:id="57"/>
            <w:r w:rsidRPr="001335C7">
              <w:rPr>
                <w:rFonts w:ascii="Gotham" w:hAnsi="Gotham" w:cs="Arial"/>
                <w:b/>
                <w:sz w:val="18"/>
                <w:szCs w:val="18"/>
              </w:rPr>
              <w:t xml:space="preserve">Artículo 132.-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cyan"/>
              </w:rPr>
              <w:t>autonomías</w:t>
            </w:r>
            <w:r w:rsidRPr="001335C7">
              <w:rPr>
                <w:rFonts w:ascii="Gotham" w:hAnsi="Gotham" w:cs="Arial"/>
                <w:sz w:val="18"/>
                <w:szCs w:val="18"/>
              </w:rPr>
              <w:t>, le corresponde al Instituto lo siguiente:</w:t>
            </w:r>
          </w:p>
          <w:p w14:paraId="3A47654C" w14:textId="77777777" w:rsidR="009B5E39" w:rsidRPr="001335C7" w:rsidRDefault="009B5E39" w:rsidP="00190E4A">
            <w:pPr>
              <w:jc w:val="both"/>
              <w:rPr>
                <w:rFonts w:ascii="Gotham" w:hAnsi="Gotham" w:cs="Arial"/>
                <w:sz w:val="18"/>
                <w:szCs w:val="18"/>
              </w:rPr>
            </w:pPr>
            <w:bookmarkStart w:id="58" w:name="_heading=h.oep97oiovsz0" w:colFirst="0" w:colLast="0"/>
            <w:bookmarkEnd w:id="58"/>
          </w:p>
          <w:p w14:paraId="3A47654D" w14:textId="77777777" w:rsidR="009B5E39" w:rsidRPr="001335C7" w:rsidRDefault="009B5E39" w:rsidP="00E5394F">
            <w:pPr>
              <w:numPr>
                <w:ilvl w:val="0"/>
                <w:numId w:val="280"/>
              </w:numPr>
              <w:jc w:val="both"/>
              <w:rPr>
                <w:rFonts w:ascii="Gotham" w:hAnsi="Gotham" w:cs="Arial"/>
                <w:sz w:val="18"/>
                <w:szCs w:val="18"/>
              </w:rPr>
            </w:pPr>
            <w:r w:rsidRPr="001335C7">
              <w:rPr>
                <w:rFonts w:ascii="Gotham" w:hAnsi="Gotham" w:cs="Arial"/>
                <w:sz w:val="18"/>
                <w:szCs w:val="18"/>
              </w:rPr>
              <w:t xml:space="preserve">Diseñar e implementar planes de trabajo e instrumentos de capacitación y especialización para </w:t>
            </w:r>
            <w:r w:rsidRPr="001335C7">
              <w:rPr>
                <w:rFonts w:ascii="Gotham" w:hAnsi="Gotham" w:cs="Arial"/>
                <w:sz w:val="18"/>
                <w:szCs w:val="18"/>
                <w:highlight w:val="cyan"/>
              </w:rPr>
              <w:t>las y</w:t>
            </w:r>
            <w:r w:rsidRPr="001335C7">
              <w:rPr>
                <w:rFonts w:ascii="Gotham" w:hAnsi="Gotham" w:cs="Arial"/>
                <w:sz w:val="18"/>
                <w:szCs w:val="18"/>
              </w:rPr>
              <w:t xml:space="preserve"> los servidores públicos municipales en materia de acceso de las mujeres a una vida libre de violencia;</w:t>
            </w:r>
          </w:p>
        </w:tc>
      </w:tr>
      <w:tr w:rsidR="009B5E39" w:rsidRPr="001335C7" w14:paraId="3A476554" w14:textId="77777777" w:rsidTr="00190E4A">
        <w:tc>
          <w:tcPr>
            <w:tcW w:w="4898" w:type="dxa"/>
            <w:shd w:val="clear" w:color="auto" w:fill="auto"/>
          </w:tcPr>
          <w:p w14:paraId="3A47654F" w14:textId="77777777" w:rsidR="009B5E39" w:rsidRPr="001335C7" w:rsidRDefault="009B5E39" w:rsidP="00190E4A">
            <w:pPr>
              <w:jc w:val="both"/>
              <w:rPr>
                <w:rFonts w:ascii="Gotham" w:hAnsi="Gotham" w:cs="Arial"/>
                <w:b/>
                <w:sz w:val="18"/>
                <w:szCs w:val="18"/>
              </w:rPr>
            </w:pPr>
            <w:bookmarkStart w:id="59" w:name="_heading=h.mkngxhx62uqp" w:colFirst="0" w:colLast="0"/>
            <w:bookmarkEnd w:id="59"/>
          </w:p>
          <w:p w14:paraId="3A476550"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133.-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yellow"/>
              </w:rPr>
              <w:t>empoderamiento</w:t>
            </w:r>
            <w:r w:rsidRPr="001335C7">
              <w:rPr>
                <w:rFonts w:ascii="Gotham" w:hAnsi="Gotham" w:cs="Arial"/>
                <w:sz w:val="18"/>
                <w:szCs w:val="18"/>
              </w:rPr>
              <w:t xml:space="preserve">, le corresponde a </w:t>
            </w:r>
            <w:r w:rsidRPr="001335C7">
              <w:rPr>
                <w:rFonts w:ascii="Gotham" w:hAnsi="Gotham" w:cs="Arial"/>
                <w:sz w:val="18"/>
                <w:szCs w:val="18"/>
                <w:highlight w:val="yellow"/>
              </w:rPr>
              <w:t>la Comisaría de la Policía Preventiva Municipal</w:t>
            </w:r>
            <w:r w:rsidRPr="001335C7">
              <w:rPr>
                <w:rFonts w:ascii="Gotham" w:hAnsi="Gotham" w:cs="Arial"/>
                <w:sz w:val="18"/>
                <w:szCs w:val="18"/>
              </w:rPr>
              <w:t xml:space="preserve"> lo siguiente:</w:t>
            </w:r>
          </w:p>
        </w:tc>
        <w:tc>
          <w:tcPr>
            <w:tcW w:w="4899" w:type="dxa"/>
            <w:shd w:val="clear" w:color="auto" w:fill="auto"/>
          </w:tcPr>
          <w:p w14:paraId="3A476551" w14:textId="77777777" w:rsidR="009B5E39" w:rsidRPr="001335C7" w:rsidRDefault="009B5E39" w:rsidP="00190E4A">
            <w:pPr>
              <w:jc w:val="both"/>
              <w:rPr>
                <w:rFonts w:ascii="Gotham" w:hAnsi="Gotham" w:cs="Arial"/>
                <w:b/>
                <w:sz w:val="18"/>
                <w:szCs w:val="18"/>
              </w:rPr>
            </w:pPr>
          </w:p>
          <w:p w14:paraId="3A476552"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133.-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cyan"/>
              </w:rPr>
              <w:t>autonomías</w:t>
            </w:r>
            <w:r w:rsidRPr="001335C7">
              <w:rPr>
                <w:rFonts w:ascii="Gotham" w:hAnsi="Gotham" w:cs="Arial"/>
                <w:sz w:val="18"/>
                <w:szCs w:val="18"/>
              </w:rPr>
              <w:t>, le corresponde a</w:t>
            </w:r>
            <w:r w:rsidR="007C2F8D">
              <w:rPr>
                <w:rFonts w:ascii="Gotham" w:hAnsi="Gotham" w:cs="Arial"/>
                <w:sz w:val="18"/>
                <w:szCs w:val="18"/>
              </w:rPr>
              <w:t xml:space="preserve"> </w:t>
            </w:r>
            <w:r w:rsidRPr="001335C7">
              <w:rPr>
                <w:rFonts w:ascii="Gotham" w:hAnsi="Gotham" w:cs="Arial"/>
                <w:sz w:val="18"/>
                <w:szCs w:val="18"/>
                <w:highlight w:val="cyan"/>
              </w:rPr>
              <w:t>la Dirección de Prevención Social del Delito</w:t>
            </w:r>
            <w:r w:rsidRPr="001335C7">
              <w:rPr>
                <w:rFonts w:ascii="Gotham" w:hAnsi="Gotham" w:cs="Arial"/>
                <w:sz w:val="18"/>
                <w:szCs w:val="18"/>
              </w:rPr>
              <w:t xml:space="preserve"> lo siguiente:</w:t>
            </w:r>
          </w:p>
          <w:p w14:paraId="3A476553" w14:textId="77777777" w:rsidR="009B5E39" w:rsidRPr="001335C7" w:rsidRDefault="009B5E39" w:rsidP="00190E4A">
            <w:pPr>
              <w:jc w:val="both"/>
              <w:rPr>
                <w:rFonts w:ascii="Gotham" w:hAnsi="Gotham" w:cs="Arial"/>
                <w:b/>
                <w:sz w:val="18"/>
                <w:szCs w:val="18"/>
              </w:rPr>
            </w:pPr>
          </w:p>
        </w:tc>
      </w:tr>
      <w:tr w:rsidR="009B5E39" w:rsidRPr="001335C7" w14:paraId="3A476567" w14:textId="77777777" w:rsidTr="00190E4A">
        <w:tc>
          <w:tcPr>
            <w:tcW w:w="4898" w:type="dxa"/>
            <w:shd w:val="clear" w:color="auto" w:fill="auto"/>
          </w:tcPr>
          <w:p w14:paraId="3A476555" w14:textId="77777777" w:rsidR="009B5E39" w:rsidRPr="001335C7" w:rsidRDefault="009B5E39" w:rsidP="00190E4A">
            <w:pPr>
              <w:jc w:val="both"/>
              <w:rPr>
                <w:rFonts w:ascii="Gotham" w:hAnsi="Gotham" w:cs="Arial"/>
                <w:b/>
                <w:sz w:val="18"/>
                <w:szCs w:val="18"/>
              </w:rPr>
            </w:pPr>
            <w:bookmarkStart w:id="60" w:name="_heading=h.75svv0xi6znz" w:colFirst="0" w:colLast="0"/>
            <w:bookmarkEnd w:id="60"/>
          </w:p>
          <w:p w14:paraId="3A47655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134.-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yellow"/>
              </w:rPr>
              <w:t>empoderamiento</w:t>
            </w:r>
            <w:r w:rsidRPr="001335C7">
              <w:rPr>
                <w:rFonts w:ascii="Gotham" w:hAnsi="Gotham" w:cs="Arial"/>
                <w:sz w:val="18"/>
                <w:szCs w:val="18"/>
              </w:rPr>
              <w:t xml:space="preserve">, le corresponde a la </w:t>
            </w:r>
            <w:r w:rsidRPr="001335C7">
              <w:rPr>
                <w:rFonts w:ascii="Gotham" w:hAnsi="Gotham" w:cs="Arial"/>
                <w:sz w:val="18"/>
                <w:szCs w:val="18"/>
                <w:highlight w:val="yellow"/>
              </w:rPr>
              <w:t>Coordinación General de Administración e Innovación Gubernamental</w:t>
            </w:r>
            <w:r w:rsidRPr="001335C7">
              <w:rPr>
                <w:rFonts w:ascii="Gotham" w:hAnsi="Gotham" w:cs="Arial"/>
                <w:sz w:val="18"/>
                <w:szCs w:val="18"/>
              </w:rPr>
              <w:t xml:space="preserve"> lo siguiente:</w:t>
            </w:r>
          </w:p>
          <w:p w14:paraId="3A476557" w14:textId="77777777" w:rsidR="009B5E39" w:rsidRPr="001335C7" w:rsidRDefault="009B5E39" w:rsidP="00190E4A">
            <w:pPr>
              <w:jc w:val="both"/>
              <w:rPr>
                <w:rFonts w:ascii="Gotham" w:hAnsi="Gotham" w:cs="Arial"/>
                <w:sz w:val="18"/>
                <w:szCs w:val="18"/>
              </w:rPr>
            </w:pPr>
          </w:p>
          <w:p w14:paraId="3A476558"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559" w14:textId="77777777" w:rsidR="009B5E39" w:rsidRPr="001335C7" w:rsidRDefault="009B5E39" w:rsidP="00190E4A">
            <w:pPr>
              <w:ind w:left="567" w:hanging="578"/>
              <w:jc w:val="both"/>
              <w:rPr>
                <w:rFonts w:ascii="Gotham" w:hAnsi="Gotham" w:cs="Arial"/>
                <w:sz w:val="18"/>
                <w:szCs w:val="18"/>
              </w:rPr>
            </w:pPr>
          </w:p>
          <w:p w14:paraId="3A47655A"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III. Velar por un ambiente laboral que evite cualquier tipo de violencia hacia la mujer; y</w:t>
            </w:r>
          </w:p>
          <w:p w14:paraId="3A47655B" w14:textId="77777777" w:rsidR="009B5E39" w:rsidRPr="001335C7" w:rsidRDefault="009B5E39" w:rsidP="00190E4A">
            <w:pPr>
              <w:ind w:left="567" w:hanging="578"/>
              <w:jc w:val="both"/>
              <w:rPr>
                <w:rFonts w:ascii="Gotham" w:hAnsi="Gotham" w:cs="Arial"/>
                <w:sz w:val="18"/>
                <w:szCs w:val="18"/>
              </w:rPr>
            </w:pPr>
          </w:p>
          <w:p w14:paraId="3A47655C"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55D"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5E" w14:textId="77777777" w:rsidR="009B5E39" w:rsidRPr="001335C7" w:rsidRDefault="009B5E39" w:rsidP="00190E4A">
            <w:pPr>
              <w:jc w:val="both"/>
              <w:rPr>
                <w:rFonts w:ascii="Gotham" w:hAnsi="Gotham" w:cs="Arial"/>
                <w:b/>
                <w:sz w:val="18"/>
                <w:szCs w:val="18"/>
              </w:rPr>
            </w:pPr>
          </w:p>
          <w:p w14:paraId="3A47655F"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134.-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cyan"/>
              </w:rPr>
              <w:t>autonomías</w:t>
            </w:r>
            <w:r w:rsidRPr="001335C7">
              <w:rPr>
                <w:rFonts w:ascii="Gotham" w:hAnsi="Gotham" w:cs="Arial"/>
                <w:sz w:val="18"/>
                <w:szCs w:val="18"/>
              </w:rPr>
              <w:t xml:space="preserve">, le corresponde a la </w:t>
            </w:r>
            <w:r w:rsidRPr="001335C7">
              <w:rPr>
                <w:rFonts w:ascii="Gotham" w:hAnsi="Gotham" w:cs="Arial"/>
                <w:sz w:val="18"/>
                <w:szCs w:val="18"/>
                <w:highlight w:val="cyan"/>
              </w:rPr>
              <w:t>Dirección General de Administración y Desarrollo Humano</w:t>
            </w:r>
            <w:r w:rsidRPr="001335C7">
              <w:rPr>
                <w:rFonts w:ascii="Gotham" w:hAnsi="Gotham" w:cs="Arial"/>
                <w:sz w:val="18"/>
                <w:szCs w:val="18"/>
              </w:rPr>
              <w:t xml:space="preserve"> lo siguiente:</w:t>
            </w:r>
          </w:p>
          <w:p w14:paraId="3A476560" w14:textId="77777777" w:rsidR="009B5E39" w:rsidRPr="001335C7" w:rsidRDefault="009B5E39" w:rsidP="00190E4A">
            <w:pPr>
              <w:jc w:val="both"/>
              <w:rPr>
                <w:rFonts w:ascii="Gotham" w:hAnsi="Gotham" w:cs="Arial"/>
                <w:sz w:val="18"/>
                <w:szCs w:val="18"/>
              </w:rPr>
            </w:pPr>
          </w:p>
          <w:p w14:paraId="3A476561"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lastRenderedPageBreak/>
              <w:t>(...)</w:t>
            </w:r>
          </w:p>
          <w:p w14:paraId="3A476562" w14:textId="77777777" w:rsidR="009B5E39" w:rsidRPr="001335C7" w:rsidRDefault="009B5E39" w:rsidP="00190E4A">
            <w:pPr>
              <w:ind w:left="567" w:hanging="578"/>
              <w:jc w:val="both"/>
              <w:rPr>
                <w:rFonts w:ascii="Gotham" w:hAnsi="Gotham" w:cs="Arial"/>
                <w:sz w:val="18"/>
                <w:szCs w:val="18"/>
              </w:rPr>
            </w:pPr>
          </w:p>
          <w:p w14:paraId="3A476563"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 xml:space="preserve">III. Velar por un ambiente laboral que evite cualquier tipo de violencia hacia la mujer </w:t>
            </w:r>
            <w:r w:rsidRPr="001335C7">
              <w:rPr>
                <w:rFonts w:ascii="Gotham" w:hAnsi="Gotham" w:cs="Arial"/>
                <w:sz w:val="18"/>
                <w:szCs w:val="18"/>
                <w:highlight w:val="cyan"/>
              </w:rPr>
              <w:t>u otro tipo de discriminación</w:t>
            </w:r>
            <w:r w:rsidRPr="001335C7">
              <w:rPr>
                <w:rFonts w:ascii="Gotham" w:hAnsi="Gotham" w:cs="Arial"/>
                <w:sz w:val="18"/>
                <w:szCs w:val="18"/>
              </w:rPr>
              <w:t>; y</w:t>
            </w:r>
          </w:p>
          <w:p w14:paraId="3A476564" w14:textId="77777777" w:rsidR="009B5E39" w:rsidRPr="001335C7" w:rsidRDefault="009B5E39" w:rsidP="00190E4A">
            <w:pPr>
              <w:ind w:left="567" w:hanging="578"/>
              <w:jc w:val="both"/>
              <w:rPr>
                <w:rFonts w:ascii="Gotham" w:hAnsi="Gotham" w:cs="Arial"/>
                <w:sz w:val="18"/>
                <w:szCs w:val="18"/>
              </w:rPr>
            </w:pPr>
          </w:p>
          <w:p w14:paraId="3A476565"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w:t>
            </w:r>
          </w:p>
          <w:p w14:paraId="3A476566" w14:textId="77777777" w:rsidR="009B5E39" w:rsidRPr="001335C7" w:rsidRDefault="009B5E39" w:rsidP="00190E4A">
            <w:pPr>
              <w:jc w:val="both"/>
              <w:rPr>
                <w:rFonts w:ascii="Gotham" w:hAnsi="Gotham" w:cs="Arial"/>
                <w:sz w:val="18"/>
                <w:szCs w:val="18"/>
              </w:rPr>
            </w:pPr>
          </w:p>
        </w:tc>
      </w:tr>
      <w:tr w:rsidR="009B5E39" w:rsidRPr="001335C7" w14:paraId="3A47656E" w14:textId="77777777" w:rsidTr="00190E4A">
        <w:tc>
          <w:tcPr>
            <w:tcW w:w="4898" w:type="dxa"/>
            <w:shd w:val="clear" w:color="auto" w:fill="auto"/>
          </w:tcPr>
          <w:p w14:paraId="3A476568" w14:textId="77777777" w:rsidR="009B5E39" w:rsidRPr="001335C7" w:rsidRDefault="009B5E39" w:rsidP="00190E4A">
            <w:pPr>
              <w:jc w:val="both"/>
              <w:rPr>
                <w:rFonts w:ascii="Gotham" w:hAnsi="Gotham" w:cs="Arial"/>
                <w:b/>
                <w:sz w:val="18"/>
                <w:szCs w:val="18"/>
              </w:rPr>
            </w:pPr>
          </w:p>
          <w:p w14:paraId="3A476569"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135.-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yellow"/>
              </w:rPr>
              <w:t>empoderamiento</w:t>
            </w:r>
            <w:r w:rsidRPr="001335C7">
              <w:rPr>
                <w:rFonts w:ascii="Gotham" w:hAnsi="Gotham" w:cs="Arial"/>
                <w:sz w:val="18"/>
                <w:szCs w:val="18"/>
              </w:rPr>
              <w:t xml:space="preserve">, le corresponde a la </w:t>
            </w:r>
            <w:r w:rsidRPr="001335C7">
              <w:rPr>
                <w:rFonts w:ascii="Gotham" w:hAnsi="Gotham" w:cs="Arial"/>
                <w:sz w:val="18"/>
                <w:szCs w:val="18"/>
                <w:highlight w:val="yellow"/>
              </w:rPr>
              <w:t>Coordinación General de Participación Ciudadana y Construcción de la Comunidad</w:t>
            </w:r>
            <w:r w:rsidRPr="001335C7">
              <w:rPr>
                <w:rFonts w:ascii="Gotham" w:hAnsi="Gotham" w:cs="Arial"/>
                <w:sz w:val="18"/>
                <w:szCs w:val="18"/>
              </w:rPr>
              <w:t xml:space="preserve"> lo siguiente:</w:t>
            </w:r>
          </w:p>
          <w:p w14:paraId="3A47656A"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6B" w14:textId="77777777" w:rsidR="009B5E39" w:rsidRPr="001335C7" w:rsidRDefault="009B5E39" w:rsidP="00190E4A">
            <w:pPr>
              <w:jc w:val="both"/>
              <w:rPr>
                <w:rFonts w:ascii="Gotham" w:hAnsi="Gotham" w:cs="Arial"/>
                <w:b/>
                <w:sz w:val="18"/>
                <w:szCs w:val="18"/>
              </w:rPr>
            </w:pPr>
          </w:p>
          <w:p w14:paraId="3A47656C"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135.-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cyan"/>
              </w:rPr>
              <w:t>autonomías</w:t>
            </w:r>
            <w:r w:rsidRPr="001335C7">
              <w:rPr>
                <w:rFonts w:ascii="Gotham" w:hAnsi="Gotham" w:cs="Arial"/>
                <w:sz w:val="18"/>
                <w:szCs w:val="18"/>
              </w:rPr>
              <w:t xml:space="preserve">, le corresponde a la </w:t>
            </w:r>
            <w:r w:rsidRPr="001335C7">
              <w:rPr>
                <w:rFonts w:ascii="Gotham" w:hAnsi="Gotham" w:cs="Arial"/>
                <w:sz w:val="18"/>
                <w:szCs w:val="18"/>
                <w:highlight w:val="cyan"/>
              </w:rPr>
              <w:t>Dirección General de Bienestar Social</w:t>
            </w:r>
            <w:r w:rsidRPr="001335C7">
              <w:rPr>
                <w:rFonts w:ascii="Gotham" w:hAnsi="Gotham" w:cs="Arial"/>
                <w:sz w:val="18"/>
                <w:szCs w:val="18"/>
              </w:rPr>
              <w:t xml:space="preserve"> lo siguiente:</w:t>
            </w:r>
          </w:p>
          <w:p w14:paraId="3A47656D" w14:textId="77777777" w:rsidR="009B5E39" w:rsidRPr="001335C7" w:rsidRDefault="009B5E39" w:rsidP="00190E4A">
            <w:pPr>
              <w:jc w:val="both"/>
              <w:rPr>
                <w:rFonts w:ascii="Gotham" w:hAnsi="Gotham" w:cs="Arial"/>
                <w:b/>
                <w:sz w:val="18"/>
                <w:szCs w:val="18"/>
              </w:rPr>
            </w:pPr>
          </w:p>
        </w:tc>
      </w:tr>
      <w:tr w:rsidR="009B5E39" w:rsidRPr="001335C7" w14:paraId="3A476574" w14:textId="77777777" w:rsidTr="00190E4A">
        <w:tc>
          <w:tcPr>
            <w:tcW w:w="4898" w:type="dxa"/>
            <w:shd w:val="clear" w:color="auto" w:fill="auto"/>
          </w:tcPr>
          <w:p w14:paraId="3A47656F" w14:textId="77777777" w:rsidR="009B5E39" w:rsidRPr="001335C7" w:rsidRDefault="009B5E39" w:rsidP="00190E4A">
            <w:pPr>
              <w:jc w:val="both"/>
              <w:rPr>
                <w:rFonts w:ascii="Gotham" w:hAnsi="Gotham" w:cs="Arial"/>
                <w:b/>
                <w:sz w:val="18"/>
                <w:szCs w:val="18"/>
              </w:rPr>
            </w:pPr>
            <w:bookmarkStart w:id="61" w:name="_heading=h.r0wa1aa5xifn" w:colFirst="0" w:colLast="0"/>
            <w:bookmarkEnd w:id="61"/>
          </w:p>
          <w:p w14:paraId="3A476570"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136.-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yellow"/>
              </w:rPr>
              <w:t>empoderamiento</w:t>
            </w:r>
            <w:r w:rsidRPr="001335C7">
              <w:rPr>
                <w:rFonts w:ascii="Gotham" w:hAnsi="Gotham" w:cs="Arial"/>
                <w:sz w:val="18"/>
                <w:szCs w:val="18"/>
              </w:rPr>
              <w:t>, le corresponde al Sistema para el Desarrollo Integral de la Familia, DIF Tonalá lo siguiente:</w:t>
            </w:r>
          </w:p>
          <w:p w14:paraId="3A476571" w14:textId="77777777" w:rsidR="009B5E39" w:rsidRPr="001335C7" w:rsidRDefault="009B5E39" w:rsidP="00190E4A">
            <w:pPr>
              <w:jc w:val="both"/>
              <w:rPr>
                <w:rFonts w:ascii="Gotham" w:hAnsi="Gotham" w:cs="Arial"/>
                <w:b/>
                <w:sz w:val="18"/>
                <w:szCs w:val="18"/>
              </w:rPr>
            </w:pPr>
          </w:p>
        </w:tc>
        <w:tc>
          <w:tcPr>
            <w:tcW w:w="4899" w:type="dxa"/>
            <w:shd w:val="clear" w:color="auto" w:fill="auto"/>
          </w:tcPr>
          <w:p w14:paraId="3A476572" w14:textId="77777777" w:rsidR="009B5E39" w:rsidRPr="001335C7" w:rsidRDefault="009B5E39" w:rsidP="00190E4A">
            <w:pPr>
              <w:jc w:val="both"/>
              <w:rPr>
                <w:rFonts w:ascii="Gotham" w:hAnsi="Gotham" w:cs="Arial"/>
                <w:b/>
                <w:sz w:val="18"/>
                <w:szCs w:val="18"/>
              </w:rPr>
            </w:pPr>
          </w:p>
          <w:p w14:paraId="3A476573"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136.- </w:t>
            </w:r>
            <w:r w:rsidRPr="001335C7">
              <w:rPr>
                <w:rFonts w:ascii="Gotham" w:hAnsi="Gotham" w:cs="Arial"/>
                <w:sz w:val="18"/>
                <w:szCs w:val="18"/>
              </w:rPr>
              <w:t xml:space="preserve">Como integrante de la comisión especial de prevención y </w:t>
            </w:r>
            <w:r w:rsidRPr="001335C7">
              <w:rPr>
                <w:rFonts w:ascii="Gotham" w:hAnsi="Gotham" w:cs="Arial"/>
                <w:sz w:val="18"/>
                <w:szCs w:val="18"/>
                <w:highlight w:val="cyan"/>
              </w:rPr>
              <w:t>autonomías</w:t>
            </w:r>
            <w:r w:rsidRPr="001335C7">
              <w:rPr>
                <w:rFonts w:ascii="Gotham" w:hAnsi="Gotham" w:cs="Arial"/>
                <w:sz w:val="18"/>
                <w:szCs w:val="18"/>
              </w:rPr>
              <w:t>, le corresponde al Sistema para el Desarrollo Integral de la Familia, DIF Tonalá lo siguiente:</w:t>
            </w:r>
          </w:p>
        </w:tc>
      </w:tr>
      <w:tr w:rsidR="009B5E39" w:rsidRPr="001335C7" w14:paraId="3A47657A" w14:textId="77777777" w:rsidTr="00190E4A">
        <w:tc>
          <w:tcPr>
            <w:tcW w:w="4898" w:type="dxa"/>
            <w:shd w:val="clear" w:color="auto" w:fill="auto"/>
          </w:tcPr>
          <w:p w14:paraId="3A476575" w14:textId="77777777" w:rsidR="009B5E39" w:rsidRPr="001335C7" w:rsidRDefault="009B5E39" w:rsidP="00190E4A">
            <w:pPr>
              <w:jc w:val="both"/>
              <w:rPr>
                <w:rFonts w:ascii="Gotham" w:hAnsi="Gotham" w:cs="Arial"/>
                <w:sz w:val="18"/>
                <w:szCs w:val="18"/>
              </w:rPr>
            </w:pPr>
          </w:p>
          <w:p w14:paraId="3A47657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140.- </w:t>
            </w:r>
            <w:r w:rsidRPr="001335C7">
              <w:rPr>
                <w:rFonts w:ascii="Gotham" w:hAnsi="Gotham" w:cs="Arial"/>
                <w:sz w:val="18"/>
                <w:szCs w:val="18"/>
              </w:rPr>
              <w:t xml:space="preserve">Se deberán prever mecanismos para monitorear y evaluar los servicios para el </w:t>
            </w:r>
            <w:r w:rsidRPr="001335C7">
              <w:rPr>
                <w:rFonts w:ascii="Gotham" w:hAnsi="Gotham" w:cs="Arial"/>
                <w:sz w:val="18"/>
                <w:szCs w:val="18"/>
                <w:highlight w:val="yellow"/>
              </w:rPr>
              <w:t>empoderamiento</w:t>
            </w:r>
            <w:r w:rsidRPr="001335C7">
              <w:rPr>
                <w:rFonts w:ascii="Gotham" w:hAnsi="Gotham" w:cs="Arial"/>
                <w:sz w:val="18"/>
                <w:szCs w:val="18"/>
              </w:rPr>
              <w:t xml:space="preserve"> de las mujeres y la reeducación de personas agresoras.</w:t>
            </w:r>
          </w:p>
          <w:p w14:paraId="3A476577"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78" w14:textId="77777777" w:rsidR="009B5E39" w:rsidRPr="001335C7" w:rsidRDefault="009B5E39" w:rsidP="00190E4A">
            <w:pPr>
              <w:jc w:val="both"/>
              <w:rPr>
                <w:rFonts w:ascii="Gotham" w:hAnsi="Gotham" w:cs="Arial"/>
                <w:b/>
                <w:sz w:val="18"/>
                <w:szCs w:val="18"/>
              </w:rPr>
            </w:pPr>
          </w:p>
          <w:p w14:paraId="3A476579"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140.- </w:t>
            </w:r>
            <w:r w:rsidRPr="001335C7">
              <w:rPr>
                <w:rFonts w:ascii="Gotham" w:hAnsi="Gotham" w:cs="Arial"/>
                <w:sz w:val="18"/>
                <w:szCs w:val="18"/>
              </w:rPr>
              <w:t xml:space="preserve">Se deberán prever mecanismos para monitorear y evaluar los servicios para el </w:t>
            </w:r>
            <w:r w:rsidRPr="001335C7">
              <w:rPr>
                <w:rFonts w:ascii="Gotham" w:hAnsi="Gotham" w:cs="Arial"/>
                <w:sz w:val="18"/>
                <w:szCs w:val="18"/>
                <w:highlight w:val="cyan"/>
              </w:rPr>
              <w:t>alcance de las autonomías</w:t>
            </w:r>
            <w:r w:rsidRPr="001335C7">
              <w:rPr>
                <w:rFonts w:ascii="Gotham" w:hAnsi="Gotham" w:cs="Arial"/>
                <w:sz w:val="18"/>
                <w:szCs w:val="18"/>
              </w:rPr>
              <w:t xml:space="preserve"> de las mujeres y la reeducación de personas agresoras.</w:t>
            </w:r>
          </w:p>
        </w:tc>
      </w:tr>
      <w:tr w:rsidR="009B5E39" w:rsidRPr="001335C7" w14:paraId="3A476580" w14:textId="77777777" w:rsidTr="00190E4A">
        <w:tc>
          <w:tcPr>
            <w:tcW w:w="4898" w:type="dxa"/>
            <w:shd w:val="clear" w:color="auto" w:fill="auto"/>
          </w:tcPr>
          <w:p w14:paraId="3A47657B" w14:textId="77777777" w:rsidR="009B5E39" w:rsidRPr="001335C7" w:rsidRDefault="009B5E39" w:rsidP="00190E4A">
            <w:pPr>
              <w:jc w:val="both"/>
              <w:rPr>
                <w:rFonts w:ascii="Gotham" w:hAnsi="Gotham" w:cs="Arial"/>
                <w:b/>
                <w:sz w:val="18"/>
                <w:szCs w:val="18"/>
              </w:rPr>
            </w:pPr>
            <w:bookmarkStart w:id="62" w:name="_heading=h.wjog20x9pad5" w:colFirst="0" w:colLast="0"/>
            <w:bookmarkEnd w:id="62"/>
          </w:p>
          <w:p w14:paraId="3A47657C"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142.- </w:t>
            </w:r>
            <w:r w:rsidRPr="001335C7">
              <w:rPr>
                <w:rFonts w:ascii="Gotham" w:hAnsi="Gotham" w:cs="Arial"/>
                <w:sz w:val="18"/>
                <w:szCs w:val="18"/>
              </w:rPr>
              <w:t>Los servidores públicos municipales que atienda a las mujeres víctimas de cualquier tipo de violencia deberán ser evaluados periódicamente, con la finalidad de que, en caso de ser necesario, reciban atención psicológica para disminuir el impacto emocional que pudieran sufrir con motivo de la problemática que atienden.</w:t>
            </w:r>
          </w:p>
          <w:p w14:paraId="3A47657D" w14:textId="77777777" w:rsidR="009B5E39" w:rsidRPr="001335C7" w:rsidRDefault="009B5E39" w:rsidP="00190E4A">
            <w:pPr>
              <w:jc w:val="both"/>
              <w:rPr>
                <w:rFonts w:ascii="Gotham" w:hAnsi="Gotham" w:cs="Arial"/>
                <w:b/>
                <w:sz w:val="18"/>
                <w:szCs w:val="18"/>
              </w:rPr>
            </w:pPr>
          </w:p>
        </w:tc>
        <w:tc>
          <w:tcPr>
            <w:tcW w:w="4899" w:type="dxa"/>
            <w:shd w:val="clear" w:color="auto" w:fill="auto"/>
          </w:tcPr>
          <w:p w14:paraId="3A47657E" w14:textId="77777777" w:rsidR="009B5E39" w:rsidRPr="001335C7" w:rsidRDefault="009B5E39" w:rsidP="00190E4A">
            <w:pPr>
              <w:jc w:val="both"/>
              <w:rPr>
                <w:rFonts w:ascii="Gotham" w:hAnsi="Gotham" w:cs="Arial"/>
                <w:b/>
                <w:sz w:val="18"/>
                <w:szCs w:val="18"/>
              </w:rPr>
            </w:pPr>
          </w:p>
          <w:p w14:paraId="3A47657F"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142.- </w:t>
            </w:r>
            <w:r w:rsidRPr="001335C7">
              <w:rPr>
                <w:rFonts w:ascii="Gotham" w:hAnsi="Gotham" w:cs="Arial"/>
                <w:sz w:val="18"/>
                <w:szCs w:val="18"/>
              </w:rPr>
              <w:t>Los servidores públicos municipales que atienda</w:t>
            </w:r>
            <w:r w:rsidRPr="001335C7">
              <w:rPr>
                <w:rFonts w:ascii="Gotham" w:hAnsi="Gotham" w:cs="Arial"/>
                <w:sz w:val="18"/>
                <w:szCs w:val="18"/>
                <w:highlight w:val="cyan"/>
              </w:rPr>
              <w:t>n</w:t>
            </w:r>
            <w:r w:rsidRPr="001335C7">
              <w:rPr>
                <w:rFonts w:ascii="Gotham" w:hAnsi="Gotham" w:cs="Arial"/>
                <w:sz w:val="18"/>
                <w:szCs w:val="18"/>
              </w:rPr>
              <w:t xml:space="preserve"> a las mujeres víctimas de cualquier tipo de violencia deberán ser evaluados periódicamente, con la finalidad de que, en caso de ser necesario, reciban atención psicológica para disminuir el impacto emocional que pudieran sufrir con motivo de la problemática que atienden.</w:t>
            </w:r>
          </w:p>
        </w:tc>
      </w:tr>
      <w:tr w:rsidR="009B5E39" w:rsidRPr="001335C7" w14:paraId="3A476586" w14:textId="77777777" w:rsidTr="00190E4A">
        <w:tc>
          <w:tcPr>
            <w:tcW w:w="4898" w:type="dxa"/>
            <w:shd w:val="clear" w:color="auto" w:fill="auto"/>
          </w:tcPr>
          <w:p w14:paraId="3A476581" w14:textId="77777777" w:rsidR="009B5E39" w:rsidRPr="001335C7" w:rsidRDefault="009B5E39" w:rsidP="00190E4A">
            <w:pPr>
              <w:jc w:val="both"/>
              <w:rPr>
                <w:rFonts w:ascii="Gotham" w:hAnsi="Gotham" w:cs="Arial"/>
                <w:b/>
                <w:sz w:val="18"/>
                <w:szCs w:val="18"/>
              </w:rPr>
            </w:pPr>
            <w:bookmarkStart w:id="63" w:name="_heading=h.9vwb3cf39ds" w:colFirst="0" w:colLast="0"/>
            <w:bookmarkEnd w:id="63"/>
          </w:p>
          <w:p w14:paraId="3A476582" w14:textId="77777777" w:rsidR="009B5E39" w:rsidRPr="001335C7" w:rsidRDefault="009B5E39" w:rsidP="00190E4A">
            <w:pPr>
              <w:widowControl w:val="0"/>
              <w:jc w:val="both"/>
              <w:rPr>
                <w:rFonts w:ascii="Gotham" w:hAnsi="Gotham" w:cs="Arial"/>
                <w:sz w:val="18"/>
                <w:szCs w:val="18"/>
              </w:rPr>
            </w:pPr>
            <w:r w:rsidRPr="001335C7">
              <w:rPr>
                <w:rFonts w:ascii="Gotham" w:hAnsi="Gotham" w:cs="Arial"/>
                <w:b/>
                <w:sz w:val="18"/>
                <w:szCs w:val="18"/>
              </w:rPr>
              <w:t xml:space="preserve">Artículo 143.- </w:t>
            </w:r>
            <w:r w:rsidRPr="001335C7">
              <w:rPr>
                <w:rFonts w:ascii="Gotham" w:hAnsi="Gotham" w:cs="Arial"/>
                <w:sz w:val="18"/>
                <w:szCs w:val="18"/>
              </w:rPr>
              <w:t xml:space="preserve">Todo servidor público municipal debe garantizar que se genere violencia institucional municipal, entendiéndose por </w:t>
            </w:r>
            <w:r w:rsidRPr="001335C7">
              <w:rPr>
                <w:rFonts w:ascii="Gotham" w:hAnsi="Gotham" w:cs="Arial"/>
                <w:sz w:val="18"/>
                <w:szCs w:val="18"/>
                <w:highlight w:val="yellow"/>
              </w:rPr>
              <w:t>e</w:t>
            </w:r>
            <w:r w:rsidRPr="001335C7">
              <w:rPr>
                <w:rFonts w:ascii="Gotham" w:hAnsi="Gotham" w:cs="Arial"/>
                <w:sz w:val="18"/>
                <w:szCs w:val="18"/>
              </w:rPr>
              <w:t>sta como los actos u omisiones mediante los cuales se discriminen o tengan como fin o resultado, dilatar, obstaculizar, impedir el goce o ejercicio de los derechos de las mujeres, o negarles las acciones destinadas a prevenir, atender, investigar y sancionar los diferentes tipos de violencia.</w:t>
            </w:r>
          </w:p>
          <w:p w14:paraId="3A476583" w14:textId="77777777" w:rsidR="009B5E39" w:rsidRPr="001335C7" w:rsidRDefault="009B5E39" w:rsidP="00190E4A">
            <w:pPr>
              <w:widowControl w:val="0"/>
              <w:jc w:val="both"/>
              <w:rPr>
                <w:rFonts w:ascii="Gotham" w:hAnsi="Gotham" w:cs="Arial"/>
                <w:sz w:val="18"/>
                <w:szCs w:val="18"/>
              </w:rPr>
            </w:pPr>
          </w:p>
        </w:tc>
        <w:tc>
          <w:tcPr>
            <w:tcW w:w="4899" w:type="dxa"/>
            <w:shd w:val="clear" w:color="auto" w:fill="auto"/>
          </w:tcPr>
          <w:p w14:paraId="3A476584" w14:textId="77777777" w:rsidR="009B5E39" w:rsidRPr="001335C7" w:rsidRDefault="009B5E39" w:rsidP="00190E4A">
            <w:pPr>
              <w:jc w:val="both"/>
              <w:rPr>
                <w:rFonts w:ascii="Gotham" w:hAnsi="Gotham" w:cs="Arial"/>
                <w:b/>
                <w:sz w:val="18"/>
                <w:szCs w:val="18"/>
              </w:rPr>
            </w:pPr>
          </w:p>
          <w:p w14:paraId="3A476585" w14:textId="77777777" w:rsidR="009B5E39" w:rsidRPr="001335C7" w:rsidRDefault="009B5E39" w:rsidP="00190E4A">
            <w:pPr>
              <w:widowControl w:val="0"/>
              <w:jc w:val="both"/>
              <w:rPr>
                <w:rFonts w:ascii="Gotham" w:hAnsi="Gotham" w:cs="Arial"/>
                <w:b/>
                <w:sz w:val="18"/>
                <w:szCs w:val="18"/>
              </w:rPr>
            </w:pPr>
            <w:r w:rsidRPr="001335C7">
              <w:rPr>
                <w:rFonts w:ascii="Gotham" w:hAnsi="Gotham" w:cs="Arial"/>
                <w:b/>
                <w:sz w:val="18"/>
                <w:szCs w:val="18"/>
              </w:rPr>
              <w:t xml:space="preserve">Artículo 143.- </w:t>
            </w:r>
            <w:r w:rsidRPr="001335C7">
              <w:rPr>
                <w:rFonts w:ascii="Gotham" w:hAnsi="Gotham" w:cs="Arial"/>
                <w:sz w:val="18"/>
                <w:szCs w:val="18"/>
              </w:rPr>
              <w:t xml:space="preserve">Todo servidor público municipal debe garantizar que </w:t>
            </w:r>
            <w:r w:rsidRPr="001335C7">
              <w:rPr>
                <w:rFonts w:ascii="Gotham" w:hAnsi="Gotham" w:cs="Arial"/>
                <w:sz w:val="18"/>
                <w:szCs w:val="18"/>
                <w:highlight w:val="cyan"/>
              </w:rPr>
              <w:t>no</w:t>
            </w:r>
            <w:r w:rsidRPr="001335C7">
              <w:rPr>
                <w:rFonts w:ascii="Gotham" w:hAnsi="Gotham" w:cs="Arial"/>
                <w:sz w:val="18"/>
                <w:szCs w:val="18"/>
              </w:rPr>
              <w:t xml:space="preserve"> se genere violencia institucional municipal, entendiéndose por </w:t>
            </w:r>
            <w:r w:rsidRPr="001335C7">
              <w:rPr>
                <w:rFonts w:ascii="Gotham" w:hAnsi="Gotham" w:cs="Arial"/>
                <w:sz w:val="18"/>
                <w:szCs w:val="18"/>
                <w:highlight w:val="cyan"/>
              </w:rPr>
              <w:t>é</w:t>
            </w:r>
            <w:r w:rsidRPr="001335C7">
              <w:rPr>
                <w:rFonts w:ascii="Gotham" w:hAnsi="Gotham" w:cs="Arial"/>
                <w:sz w:val="18"/>
                <w:szCs w:val="18"/>
              </w:rPr>
              <w:t>sta como los actos u omisiones mediante los cuales se discriminen o tengan como fin o resultado, dilatar, obstaculizar, impedir el goce o ejercicio de los derechos de las mujeres, o negarles las acciones destinadas a prevenir, atender, investigar y sancionar los diferentes tipos de violencia.</w:t>
            </w:r>
          </w:p>
        </w:tc>
      </w:tr>
      <w:tr w:rsidR="009B5E39" w:rsidRPr="001335C7" w14:paraId="3A4765A1" w14:textId="77777777" w:rsidTr="00190E4A">
        <w:tc>
          <w:tcPr>
            <w:tcW w:w="4898" w:type="dxa"/>
            <w:shd w:val="clear" w:color="auto" w:fill="auto"/>
          </w:tcPr>
          <w:p w14:paraId="3A476587" w14:textId="77777777" w:rsidR="009B5E39" w:rsidRPr="001335C7" w:rsidRDefault="009B5E39" w:rsidP="00190E4A">
            <w:pPr>
              <w:jc w:val="both"/>
              <w:rPr>
                <w:rFonts w:ascii="Gotham" w:hAnsi="Gotham" w:cs="Arial"/>
                <w:b/>
                <w:sz w:val="18"/>
                <w:szCs w:val="18"/>
              </w:rPr>
            </w:pPr>
          </w:p>
          <w:p w14:paraId="3A476588"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144.- </w:t>
            </w:r>
            <w:r w:rsidRPr="001335C7">
              <w:rPr>
                <w:rFonts w:ascii="Gotham" w:hAnsi="Gotham" w:cs="Arial"/>
                <w:sz w:val="18"/>
                <w:szCs w:val="18"/>
              </w:rPr>
              <w:t>La comisión especial de atención estará conformada por una representante de:</w:t>
            </w:r>
          </w:p>
          <w:p w14:paraId="3A476589" w14:textId="77777777" w:rsidR="009B5E39" w:rsidRPr="001335C7" w:rsidRDefault="009B5E39" w:rsidP="00190E4A">
            <w:pPr>
              <w:jc w:val="both"/>
              <w:rPr>
                <w:rFonts w:ascii="Gotham" w:hAnsi="Gotham" w:cs="Arial"/>
                <w:sz w:val="18"/>
                <w:szCs w:val="18"/>
              </w:rPr>
            </w:pPr>
          </w:p>
          <w:p w14:paraId="3A47658A" w14:textId="77777777" w:rsidR="009B5E39" w:rsidRPr="001335C7" w:rsidRDefault="009B5E39" w:rsidP="00E5394F">
            <w:pPr>
              <w:numPr>
                <w:ilvl w:val="0"/>
                <w:numId w:val="278"/>
              </w:numPr>
              <w:ind w:left="567" w:hanging="578"/>
              <w:jc w:val="both"/>
              <w:rPr>
                <w:rFonts w:ascii="Gotham" w:hAnsi="Gotham" w:cs="Arial"/>
                <w:sz w:val="18"/>
                <w:szCs w:val="18"/>
              </w:rPr>
            </w:pPr>
            <w:r w:rsidRPr="001335C7">
              <w:rPr>
                <w:rFonts w:ascii="Gotham" w:hAnsi="Gotham" w:cs="Arial"/>
                <w:sz w:val="18"/>
                <w:szCs w:val="18"/>
              </w:rPr>
              <w:t>El Instituto Municipal de la Mujer para la Igualdad Sustantiva en Tonalá, Jalisco;</w:t>
            </w:r>
          </w:p>
          <w:p w14:paraId="3A47658B" w14:textId="77777777" w:rsidR="009B5E39" w:rsidRPr="001335C7" w:rsidRDefault="009B5E39" w:rsidP="00190E4A">
            <w:pPr>
              <w:ind w:left="567" w:hanging="578"/>
              <w:jc w:val="both"/>
              <w:rPr>
                <w:rFonts w:ascii="Gotham" w:hAnsi="Gotham" w:cs="Arial"/>
                <w:sz w:val="18"/>
                <w:szCs w:val="18"/>
              </w:rPr>
            </w:pPr>
          </w:p>
          <w:p w14:paraId="3A47658C" w14:textId="77777777" w:rsidR="009B5E39" w:rsidRPr="001335C7" w:rsidRDefault="009B5E39" w:rsidP="00E5394F">
            <w:pPr>
              <w:numPr>
                <w:ilvl w:val="0"/>
                <w:numId w:val="278"/>
              </w:numPr>
              <w:ind w:left="567" w:hanging="578"/>
              <w:jc w:val="both"/>
              <w:rPr>
                <w:rFonts w:ascii="Gotham" w:hAnsi="Gotham" w:cs="Arial"/>
                <w:sz w:val="18"/>
                <w:szCs w:val="18"/>
              </w:rPr>
            </w:pPr>
            <w:r w:rsidRPr="001335C7">
              <w:rPr>
                <w:rFonts w:ascii="Gotham" w:hAnsi="Gotham" w:cs="Arial"/>
                <w:sz w:val="18"/>
                <w:szCs w:val="18"/>
              </w:rPr>
              <w:t>El Sistema para el Desarrollo Integral de la Familia, DIF Tonalá;</w:t>
            </w:r>
          </w:p>
          <w:p w14:paraId="3A47658D" w14:textId="77777777" w:rsidR="009B5E39" w:rsidRPr="001335C7" w:rsidRDefault="009B5E39" w:rsidP="00190E4A">
            <w:pPr>
              <w:ind w:left="567" w:hanging="578"/>
              <w:jc w:val="both"/>
              <w:rPr>
                <w:rFonts w:ascii="Gotham" w:hAnsi="Gotham" w:cs="Arial"/>
                <w:sz w:val="18"/>
                <w:szCs w:val="18"/>
              </w:rPr>
            </w:pPr>
          </w:p>
          <w:p w14:paraId="3A47658E" w14:textId="77777777" w:rsidR="009B5E39" w:rsidRPr="001335C7" w:rsidRDefault="009B5E39" w:rsidP="00E5394F">
            <w:pPr>
              <w:numPr>
                <w:ilvl w:val="0"/>
                <w:numId w:val="278"/>
              </w:numPr>
              <w:ind w:left="567" w:hanging="578"/>
              <w:jc w:val="both"/>
              <w:rPr>
                <w:rFonts w:ascii="Gotham" w:hAnsi="Gotham" w:cs="Arial"/>
                <w:sz w:val="18"/>
                <w:szCs w:val="18"/>
              </w:rPr>
            </w:pPr>
            <w:r w:rsidRPr="001335C7">
              <w:rPr>
                <w:rFonts w:ascii="Gotham" w:hAnsi="Gotham" w:cs="Arial"/>
                <w:sz w:val="18"/>
                <w:szCs w:val="18"/>
              </w:rPr>
              <w:t>La Dirección de Servicios Médicos Municipales;</w:t>
            </w:r>
          </w:p>
          <w:p w14:paraId="3A47658F" w14:textId="77777777" w:rsidR="009B5E39" w:rsidRPr="001335C7" w:rsidRDefault="009B5E39" w:rsidP="00190E4A">
            <w:pPr>
              <w:ind w:left="567" w:hanging="578"/>
              <w:jc w:val="both"/>
              <w:rPr>
                <w:rFonts w:ascii="Gotham" w:hAnsi="Gotham" w:cs="Arial"/>
                <w:sz w:val="18"/>
                <w:szCs w:val="18"/>
              </w:rPr>
            </w:pPr>
          </w:p>
          <w:p w14:paraId="3A476590" w14:textId="77777777" w:rsidR="009B5E39" w:rsidRPr="001335C7" w:rsidRDefault="009B5E39" w:rsidP="00E5394F">
            <w:pPr>
              <w:numPr>
                <w:ilvl w:val="0"/>
                <w:numId w:val="278"/>
              </w:numPr>
              <w:ind w:left="567" w:hanging="578"/>
              <w:jc w:val="both"/>
              <w:rPr>
                <w:rFonts w:ascii="Gotham" w:hAnsi="Gotham" w:cs="Arial"/>
                <w:sz w:val="18"/>
                <w:szCs w:val="18"/>
                <w:highlight w:val="yellow"/>
              </w:rPr>
            </w:pPr>
            <w:r w:rsidRPr="001335C7">
              <w:rPr>
                <w:rFonts w:ascii="Gotham" w:hAnsi="Gotham" w:cs="Arial"/>
                <w:sz w:val="18"/>
                <w:szCs w:val="18"/>
                <w:highlight w:val="yellow"/>
              </w:rPr>
              <w:t>La Comisaría de la Policía Preventiva Municipal; y</w:t>
            </w:r>
          </w:p>
          <w:p w14:paraId="3A476591" w14:textId="77777777" w:rsidR="009B5E39" w:rsidRPr="001335C7" w:rsidRDefault="009B5E39" w:rsidP="00190E4A">
            <w:pPr>
              <w:ind w:left="567" w:hanging="578"/>
              <w:jc w:val="both"/>
              <w:rPr>
                <w:rFonts w:ascii="Gotham" w:hAnsi="Gotham" w:cs="Arial"/>
                <w:sz w:val="18"/>
                <w:szCs w:val="18"/>
                <w:highlight w:val="yellow"/>
              </w:rPr>
            </w:pPr>
          </w:p>
          <w:p w14:paraId="3A476592" w14:textId="77777777" w:rsidR="009B5E39" w:rsidRPr="001335C7" w:rsidRDefault="009B5E39" w:rsidP="00E5394F">
            <w:pPr>
              <w:numPr>
                <w:ilvl w:val="0"/>
                <w:numId w:val="278"/>
              </w:numPr>
              <w:ind w:left="567" w:hanging="578"/>
              <w:jc w:val="both"/>
              <w:rPr>
                <w:rFonts w:ascii="Gotham" w:hAnsi="Gotham" w:cs="Arial"/>
                <w:sz w:val="18"/>
                <w:szCs w:val="18"/>
              </w:rPr>
            </w:pPr>
            <w:r w:rsidRPr="001335C7">
              <w:rPr>
                <w:rFonts w:ascii="Gotham" w:hAnsi="Gotham" w:cs="Arial"/>
                <w:sz w:val="18"/>
                <w:szCs w:val="18"/>
                <w:highlight w:val="yellow"/>
              </w:rPr>
              <w:t>La Dirección de Justicia Municipal</w:t>
            </w:r>
            <w:r w:rsidRPr="001335C7">
              <w:rPr>
                <w:rFonts w:ascii="Gotham" w:hAnsi="Gotham" w:cs="Arial"/>
                <w:sz w:val="18"/>
                <w:szCs w:val="18"/>
              </w:rPr>
              <w:t>.</w:t>
            </w:r>
          </w:p>
          <w:p w14:paraId="3A476593" w14:textId="77777777" w:rsidR="009B5E39" w:rsidRPr="001335C7" w:rsidRDefault="009B5E39" w:rsidP="00190E4A">
            <w:pPr>
              <w:jc w:val="both"/>
              <w:rPr>
                <w:rFonts w:ascii="Gotham" w:hAnsi="Gotham" w:cs="Arial"/>
                <w:b/>
                <w:sz w:val="18"/>
                <w:szCs w:val="18"/>
              </w:rPr>
            </w:pPr>
            <w:bookmarkStart w:id="64" w:name="_heading=h.j7owuwxtiqlx" w:colFirst="0" w:colLast="0"/>
            <w:bookmarkEnd w:id="64"/>
          </w:p>
        </w:tc>
        <w:tc>
          <w:tcPr>
            <w:tcW w:w="4899" w:type="dxa"/>
            <w:shd w:val="clear" w:color="auto" w:fill="auto"/>
          </w:tcPr>
          <w:p w14:paraId="3A476594" w14:textId="77777777" w:rsidR="009B5E39" w:rsidRPr="001335C7" w:rsidRDefault="009B5E39" w:rsidP="00190E4A">
            <w:pPr>
              <w:jc w:val="both"/>
              <w:rPr>
                <w:rFonts w:ascii="Gotham" w:hAnsi="Gotham" w:cs="Arial"/>
                <w:b/>
                <w:sz w:val="18"/>
                <w:szCs w:val="18"/>
              </w:rPr>
            </w:pPr>
          </w:p>
          <w:p w14:paraId="3A47659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144.- </w:t>
            </w:r>
            <w:r w:rsidRPr="001335C7">
              <w:rPr>
                <w:rFonts w:ascii="Gotham" w:hAnsi="Gotham" w:cs="Arial"/>
                <w:sz w:val="18"/>
                <w:szCs w:val="18"/>
              </w:rPr>
              <w:t>La comisión especial de atención estará conformada por una representante de:</w:t>
            </w:r>
          </w:p>
          <w:p w14:paraId="3A476596" w14:textId="77777777" w:rsidR="009B5E39" w:rsidRPr="001335C7" w:rsidRDefault="009B5E39" w:rsidP="00190E4A">
            <w:pPr>
              <w:jc w:val="both"/>
              <w:rPr>
                <w:rFonts w:ascii="Gotham" w:hAnsi="Gotham" w:cs="Arial"/>
                <w:sz w:val="18"/>
                <w:szCs w:val="18"/>
              </w:rPr>
            </w:pPr>
          </w:p>
          <w:p w14:paraId="3A476597" w14:textId="77777777" w:rsidR="009B5E39" w:rsidRPr="001335C7" w:rsidRDefault="009B5E39" w:rsidP="00E5394F">
            <w:pPr>
              <w:numPr>
                <w:ilvl w:val="0"/>
                <w:numId w:val="258"/>
              </w:numPr>
              <w:ind w:left="567" w:hanging="578"/>
              <w:jc w:val="both"/>
              <w:rPr>
                <w:rFonts w:ascii="Gotham" w:hAnsi="Gotham" w:cs="Arial"/>
                <w:sz w:val="18"/>
                <w:szCs w:val="18"/>
              </w:rPr>
            </w:pPr>
            <w:r w:rsidRPr="001335C7">
              <w:rPr>
                <w:rFonts w:ascii="Gotham" w:hAnsi="Gotham" w:cs="Arial"/>
                <w:sz w:val="18"/>
                <w:szCs w:val="18"/>
              </w:rPr>
              <w:t>El Instituto Municipal de la Mujer para la Igualdad Sustantiva en Tonalá, Jalisco;</w:t>
            </w:r>
          </w:p>
          <w:p w14:paraId="3A476598" w14:textId="77777777" w:rsidR="009B5E39" w:rsidRPr="001335C7" w:rsidRDefault="009B5E39" w:rsidP="00190E4A">
            <w:pPr>
              <w:ind w:left="567" w:hanging="578"/>
              <w:jc w:val="both"/>
              <w:rPr>
                <w:rFonts w:ascii="Gotham" w:hAnsi="Gotham" w:cs="Arial"/>
                <w:sz w:val="18"/>
                <w:szCs w:val="18"/>
              </w:rPr>
            </w:pPr>
          </w:p>
          <w:p w14:paraId="3A476599" w14:textId="77777777" w:rsidR="009B5E39" w:rsidRPr="001335C7" w:rsidRDefault="009B5E39" w:rsidP="00E5394F">
            <w:pPr>
              <w:numPr>
                <w:ilvl w:val="0"/>
                <w:numId w:val="258"/>
              </w:numPr>
              <w:ind w:left="567" w:hanging="578"/>
              <w:jc w:val="both"/>
              <w:rPr>
                <w:rFonts w:ascii="Gotham" w:hAnsi="Gotham" w:cs="Arial"/>
                <w:sz w:val="18"/>
                <w:szCs w:val="18"/>
              </w:rPr>
            </w:pPr>
            <w:r w:rsidRPr="001335C7">
              <w:rPr>
                <w:rFonts w:ascii="Gotham" w:hAnsi="Gotham" w:cs="Arial"/>
                <w:sz w:val="18"/>
                <w:szCs w:val="18"/>
              </w:rPr>
              <w:t>El Sistema para el Desarrollo Integral de la Familia, DIF Tonalá;</w:t>
            </w:r>
          </w:p>
          <w:p w14:paraId="3A47659A" w14:textId="77777777" w:rsidR="009B5E39" w:rsidRPr="001335C7" w:rsidRDefault="009B5E39" w:rsidP="00190E4A">
            <w:pPr>
              <w:ind w:left="567" w:hanging="578"/>
              <w:jc w:val="both"/>
              <w:rPr>
                <w:rFonts w:ascii="Gotham" w:hAnsi="Gotham" w:cs="Arial"/>
                <w:sz w:val="18"/>
                <w:szCs w:val="18"/>
              </w:rPr>
            </w:pPr>
          </w:p>
          <w:p w14:paraId="3A47659B" w14:textId="77777777" w:rsidR="009B5E39" w:rsidRPr="001335C7" w:rsidRDefault="009B5E39" w:rsidP="00E5394F">
            <w:pPr>
              <w:numPr>
                <w:ilvl w:val="0"/>
                <w:numId w:val="258"/>
              </w:numPr>
              <w:ind w:left="567" w:hanging="578"/>
              <w:jc w:val="both"/>
              <w:rPr>
                <w:rFonts w:ascii="Gotham" w:hAnsi="Gotham" w:cs="Arial"/>
                <w:sz w:val="18"/>
                <w:szCs w:val="18"/>
              </w:rPr>
            </w:pPr>
            <w:r w:rsidRPr="001335C7">
              <w:rPr>
                <w:rFonts w:ascii="Gotham" w:hAnsi="Gotham" w:cs="Arial"/>
                <w:sz w:val="18"/>
                <w:szCs w:val="18"/>
              </w:rPr>
              <w:t>La Dirección de Servicios Médicos Municipales;</w:t>
            </w:r>
          </w:p>
          <w:p w14:paraId="3A47659C" w14:textId="77777777" w:rsidR="009B5E39" w:rsidRPr="001335C7" w:rsidRDefault="009B5E39" w:rsidP="00190E4A">
            <w:pPr>
              <w:ind w:left="567" w:hanging="578"/>
              <w:jc w:val="both"/>
              <w:rPr>
                <w:rFonts w:ascii="Gotham" w:hAnsi="Gotham" w:cs="Arial"/>
                <w:sz w:val="18"/>
                <w:szCs w:val="18"/>
              </w:rPr>
            </w:pPr>
          </w:p>
          <w:p w14:paraId="3A47659D" w14:textId="77777777" w:rsidR="009B5E39" w:rsidRPr="001335C7" w:rsidRDefault="009B5E39" w:rsidP="00E5394F">
            <w:pPr>
              <w:numPr>
                <w:ilvl w:val="0"/>
                <w:numId w:val="258"/>
              </w:numPr>
              <w:ind w:left="567" w:hanging="578"/>
              <w:jc w:val="both"/>
              <w:rPr>
                <w:rFonts w:ascii="Gotham" w:eastAsia="Gotham" w:hAnsi="Gotham" w:cs="Arial"/>
                <w:sz w:val="18"/>
                <w:szCs w:val="18"/>
              </w:rPr>
            </w:pPr>
            <w:r w:rsidRPr="001335C7">
              <w:rPr>
                <w:rFonts w:ascii="Gotham" w:hAnsi="Gotham" w:cs="Arial"/>
                <w:sz w:val="18"/>
                <w:szCs w:val="18"/>
                <w:highlight w:val="cyan"/>
              </w:rPr>
              <w:t>La Dirección de Prevención Social del Delito</w:t>
            </w:r>
            <w:r w:rsidRPr="001335C7">
              <w:rPr>
                <w:rFonts w:ascii="Gotham" w:hAnsi="Gotham" w:cs="Arial"/>
                <w:sz w:val="18"/>
                <w:szCs w:val="18"/>
              </w:rPr>
              <w:t>; y</w:t>
            </w:r>
          </w:p>
          <w:p w14:paraId="3A47659E" w14:textId="77777777" w:rsidR="009B5E39" w:rsidRPr="001335C7" w:rsidRDefault="009B5E39" w:rsidP="00190E4A">
            <w:pPr>
              <w:ind w:left="567" w:hanging="578"/>
              <w:jc w:val="both"/>
              <w:rPr>
                <w:rFonts w:ascii="Gotham" w:hAnsi="Gotham" w:cs="Arial"/>
                <w:sz w:val="18"/>
                <w:szCs w:val="18"/>
              </w:rPr>
            </w:pPr>
          </w:p>
          <w:p w14:paraId="3A47659F" w14:textId="77777777" w:rsidR="009B5E39" w:rsidRPr="001335C7" w:rsidRDefault="009B5E39" w:rsidP="00E5394F">
            <w:pPr>
              <w:numPr>
                <w:ilvl w:val="0"/>
                <w:numId w:val="258"/>
              </w:numPr>
              <w:ind w:left="567" w:hanging="578"/>
              <w:jc w:val="both"/>
              <w:rPr>
                <w:rFonts w:ascii="Gotham" w:hAnsi="Gotham" w:cs="Arial"/>
                <w:sz w:val="18"/>
                <w:szCs w:val="18"/>
                <w:highlight w:val="cyan"/>
              </w:rPr>
            </w:pPr>
            <w:r w:rsidRPr="001335C7">
              <w:rPr>
                <w:rFonts w:ascii="Gotham" w:hAnsi="Gotham" w:cs="Arial"/>
                <w:sz w:val="18"/>
                <w:szCs w:val="18"/>
                <w:highlight w:val="cyan"/>
              </w:rPr>
              <w:t>La Jefatura de Juzgados Municipales.</w:t>
            </w:r>
          </w:p>
          <w:p w14:paraId="3A4765A0" w14:textId="77777777" w:rsidR="009B5E39" w:rsidRPr="001335C7" w:rsidRDefault="009B5E39" w:rsidP="00190E4A">
            <w:pPr>
              <w:jc w:val="both"/>
              <w:rPr>
                <w:rFonts w:ascii="Gotham" w:hAnsi="Gotham" w:cs="Arial"/>
                <w:sz w:val="18"/>
                <w:szCs w:val="18"/>
                <w:highlight w:val="cyan"/>
              </w:rPr>
            </w:pPr>
          </w:p>
        </w:tc>
      </w:tr>
      <w:tr w:rsidR="009B5E39" w:rsidRPr="001335C7" w14:paraId="3A4765A8" w14:textId="77777777" w:rsidTr="00190E4A">
        <w:tc>
          <w:tcPr>
            <w:tcW w:w="4898" w:type="dxa"/>
            <w:shd w:val="clear" w:color="auto" w:fill="auto"/>
          </w:tcPr>
          <w:p w14:paraId="3A4765A2" w14:textId="77777777" w:rsidR="009B5E39" w:rsidRPr="001335C7" w:rsidRDefault="009B5E39" w:rsidP="00190E4A">
            <w:pPr>
              <w:jc w:val="both"/>
              <w:rPr>
                <w:rFonts w:ascii="Gotham" w:hAnsi="Gotham" w:cs="Arial"/>
                <w:b/>
                <w:sz w:val="18"/>
                <w:szCs w:val="18"/>
              </w:rPr>
            </w:pPr>
          </w:p>
          <w:p w14:paraId="3A4765A3"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149.- </w:t>
            </w:r>
            <w:r w:rsidRPr="001335C7">
              <w:rPr>
                <w:rFonts w:ascii="Gotham" w:hAnsi="Gotham" w:cs="Arial"/>
                <w:sz w:val="18"/>
                <w:szCs w:val="18"/>
              </w:rPr>
              <w:t xml:space="preserve">Como integrante de la comisión especial de atención, le corresponde a </w:t>
            </w:r>
            <w:r w:rsidRPr="001335C7">
              <w:rPr>
                <w:rFonts w:ascii="Gotham" w:hAnsi="Gotham" w:cs="Arial"/>
                <w:sz w:val="18"/>
                <w:szCs w:val="18"/>
                <w:highlight w:val="yellow"/>
              </w:rPr>
              <w:t>la Comisaría de la Policía Preventiva Municipal</w:t>
            </w:r>
            <w:r w:rsidRPr="001335C7">
              <w:rPr>
                <w:rFonts w:ascii="Gotham" w:hAnsi="Gotham" w:cs="Arial"/>
                <w:sz w:val="18"/>
                <w:szCs w:val="18"/>
              </w:rPr>
              <w:t xml:space="preserve"> lo siguiente:</w:t>
            </w:r>
          </w:p>
          <w:p w14:paraId="3A4765A4" w14:textId="77777777" w:rsidR="009B5E39" w:rsidRPr="001335C7" w:rsidRDefault="009B5E39" w:rsidP="00190E4A">
            <w:pPr>
              <w:jc w:val="both"/>
              <w:rPr>
                <w:rFonts w:ascii="Gotham" w:hAnsi="Gotham" w:cs="Arial"/>
                <w:b/>
                <w:sz w:val="18"/>
                <w:szCs w:val="18"/>
              </w:rPr>
            </w:pPr>
            <w:bookmarkStart w:id="65" w:name="_heading=h.f6iebk5q6g20" w:colFirst="0" w:colLast="0"/>
            <w:bookmarkEnd w:id="65"/>
          </w:p>
        </w:tc>
        <w:tc>
          <w:tcPr>
            <w:tcW w:w="4899" w:type="dxa"/>
            <w:shd w:val="clear" w:color="auto" w:fill="auto"/>
          </w:tcPr>
          <w:p w14:paraId="3A4765A5" w14:textId="77777777" w:rsidR="009B5E39" w:rsidRPr="001335C7" w:rsidRDefault="009B5E39" w:rsidP="00190E4A">
            <w:pPr>
              <w:jc w:val="both"/>
              <w:rPr>
                <w:rFonts w:ascii="Gotham" w:hAnsi="Gotham" w:cs="Arial"/>
                <w:b/>
                <w:sz w:val="18"/>
                <w:szCs w:val="18"/>
              </w:rPr>
            </w:pPr>
          </w:p>
          <w:p w14:paraId="3A4765A6"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149.- </w:t>
            </w:r>
            <w:r w:rsidRPr="001335C7">
              <w:rPr>
                <w:rFonts w:ascii="Gotham" w:hAnsi="Gotham" w:cs="Arial"/>
                <w:sz w:val="18"/>
                <w:szCs w:val="18"/>
              </w:rPr>
              <w:t xml:space="preserve">Como integrante de la comisión especial de atención, le corresponde a </w:t>
            </w:r>
            <w:r w:rsidRPr="001335C7">
              <w:rPr>
                <w:rFonts w:ascii="Gotham" w:hAnsi="Gotham" w:cs="Arial"/>
                <w:sz w:val="18"/>
                <w:szCs w:val="18"/>
                <w:highlight w:val="cyan"/>
              </w:rPr>
              <w:t>la Dirección de Prevención Social del Delito</w:t>
            </w:r>
            <w:r w:rsidRPr="001335C7">
              <w:rPr>
                <w:rFonts w:ascii="Gotham" w:hAnsi="Gotham" w:cs="Arial"/>
                <w:sz w:val="18"/>
                <w:szCs w:val="18"/>
              </w:rPr>
              <w:t xml:space="preserve"> lo siguiente:</w:t>
            </w:r>
          </w:p>
          <w:p w14:paraId="3A4765A7" w14:textId="77777777" w:rsidR="009B5E39" w:rsidRPr="001335C7" w:rsidRDefault="009B5E39" w:rsidP="00190E4A">
            <w:pPr>
              <w:jc w:val="both"/>
              <w:rPr>
                <w:rFonts w:ascii="Gotham" w:hAnsi="Gotham" w:cs="Arial"/>
                <w:b/>
                <w:sz w:val="18"/>
                <w:szCs w:val="18"/>
              </w:rPr>
            </w:pPr>
          </w:p>
        </w:tc>
      </w:tr>
      <w:tr w:rsidR="009B5E39" w:rsidRPr="001335C7" w14:paraId="3A4765AE" w14:textId="77777777" w:rsidTr="00190E4A">
        <w:tc>
          <w:tcPr>
            <w:tcW w:w="4898" w:type="dxa"/>
            <w:shd w:val="clear" w:color="auto" w:fill="auto"/>
          </w:tcPr>
          <w:p w14:paraId="3A4765A9" w14:textId="77777777" w:rsidR="009B5E39" w:rsidRPr="001335C7" w:rsidRDefault="009B5E39" w:rsidP="00190E4A">
            <w:pPr>
              <w:jc w:val="both"/>
              <w:rPr>
                <w:rFonts w:ascii="Gotham" w:hAnsi="Gotham" w:cs="Arial"/>
                <w:b/>
                <w:sz w:val="18"/>
                <w:szCs w:val="18"/>
              </w:rPr>
            </w:pPr>
            <w:bookmarkStart w:id="66" w:name="_heading=h.fdkycsaq46o7" w:colFirst="0" w:colLast="0"/>
            <w:bookmarkEnd w:id="66"/>
          </w:p>
          <w:p w14:paraId="3A4765AA" w14:textId="77777777" w:rsidR="009B5E39" w:rsidRPr="001335C7" w:rsidRDefault="009B5E39" w:rsidP="00190E4A">
            <w:pPr>
              <w:jc w:val="both"/>
              <w:rPr>
                <w:rFonts w:ascii="Gotham" w:hAnsi="Gotham" w:cs="Arial"/>
                <w:b/>
                <w:sz w:val="18"/>
                <w:szCs w:val="18"/>
                <w:highlight w:val="yellow"/>
              </w:rPr>
            </w:pPr>
            <w:r w:rsidRPr="001335C7">
              <w:rPr>
                <w:rFonts w:ascii="Gotham" w:hAnsi="Gotham" w:cs="Arial"/>
                <w:b/>
                <w:sz w:val="18"/>
                <w:szCs w:val="18"/>
              </w:rPr>
              <w:t xml:space="preserve">Artículo 150.- </w:t>
            </w:r>
            <w:r w:rsidRPr="001335C7">
              <w:rPr>
                <w:rFonts w:ascii="Gotham" w:hAnsi="Gotham" w:cs="Arial"/>
                <w:sz w:val="18"/>
                <w:szCs w:val="18"/>
              </w:rPr>
              <w:t xml:space="preserve">Como integrante de la comisión especial de atención, le corresponde a </w:t>
            </w:r>
            <w:r w:rsidRPr="001335C7">
              <w:rPr>
                <w:rFonts w:ascii="Gotham" w:hAnsi="Gotham" w:cs="Arial"/>
                <w:sz w:val="18"/>
                <w:szCs w:val="18"/>
                <w:highlight w:val="yellow"/>
              </w:rPr>
              <w:t>la Dirección de Justicia Municipal lo siguiente:</w:t>
            </w:r>
          </w:p>
          <w:p w14:paraId="3A4765AB" w14:textId="77777777" w:rsidR="009B5E39" w:rsidRPr="001335C7" w:rsidRDefault="009B5E39" w:rsidP="00190E4A">
            <w:pPr>
              <w:jc w:val="both"/>
              <w:rPr>
                <w:rFonts w:ascii="Gotham" w:hAnsi="Gotham" w:cs="Arial"/>
                <w:b/>
                <w:sz w:val="18"/>
                <w:szCs w:val="18"/>
                <w:highlight w:val="yellow"/>
              </w:rPr>
            </w:pPr>
            <w:bookmarkStart w:id="67" w:name="_heading=h.6q3wy6vf988f" w:colFirst="0" w:colLast="0"/>
            <w:bookmarkEnd w:id="67"/>
          </w:p>
        </w:tc>
        <w:tc>
          <w:tcPr>
            <w:tcW w:w="4899" w:type="dxa"/>
            <w:shd w:val="clear" w:color="auto" w:fill="auto"/>
          </w:tcPr>
          <w:p w14:paraId="3A4765AC" w14:textId="77777777" w:rsidR="009B5E39" w:rsidRPr="001335C7" w:rsidRDefault="009B5E39" w:rsidP="00190E4A">
            <w:pPr>
              <w:jc w:val="both"/>
              <w:rPr>
                <w:rFonts w:ascii="Gotham" w:hAnsi="Gotham" w:cs="Arial"/>
                <w:b/>
                <w:sz w:val="18"/>
                <w:szCs w:val="18"/>
              </w:rPr>
            </w:pPr>
          </w:p>
          <w:p w14:paraId="3A4765AD"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150.- </w:t>
            </w:r>
            <w:r w:rsidRPr="001335C7">
              <w:rPr>
                <w:rFonts w:ascii="Gotham" w:hAnsi="Gotham" w:cs="Arial"/>
                <w:sz w:val="18"/>
                <w:szCs w:val="18"/>
              </w:rPr>
              <w:t xml:space="preserve">Como integrante de la comisión especial de atención, le corresponde a la </w:t>
            </w:r>
            <w:r w:rsidRPr="001335C7">
              <w:rPr>
                <w:rFonts w:ascii="Gotham" w:hAnsi="Gotham" w:cs="Arial"/>
                <w:sz w:val="18"/>
                <w:szCs w:val="18"/>
                <w:highlight w:val="cyan"/>
              </w:rPr>
              <w:t>Jefatura de Juzgados Municipales</w:t>
            </w:r>
            <w:r w:rsidRPr="001335C7">
              <w:rPr>
                <w:rFonts w:ascii="Gotham" w:hAnsi="Gotham" w:cs="Arial"/>
                <w:sz w:val="18"/>
                <w:szCs w:val="18"/>
              </w:rPr>
              <w:t xml:space="preserve"> lo siguiente:</w:t>
            </w:r>
          </w:p>
        </w:tc>
      </w:tr>
      <w:tr w:rsidR="009B5E39" w:rsidRPr="001335C7" w14:paraId="3A4765B4" w14:textId="77777777" w:rsidTr="00190E4A">
        <w:tc>
          <w:tcPr>
            <w:tcW w:w="4898" w:type="dxa"/>
            <w:shd w:val="clear" w:color="auto" w:fill="auto"/>
          </w:tcPr>
          <w:p w14:paraId="3A4765AF" w14:textId="77777777" w:rsidR="009B5E39" w:rsidRPr="001335C7" w:rsidRDefault="009B5E39" w:rsidP="00190E4A">
            <w:pPr>
              <w:jc w:val="both"/>
              <w:rPr>
                <w:rFonts w:ascii="Gotham" w:hAnsi="Gotham" w:cs="Arial"/>
                <w:b/>
                <w:sz w:val="18"/>
                <w:szCs w:val="18"/>
              </w:rPr>
            </w:pPr>
            <w:bookmarkStart w:id="68" w:name="_heading=h.mmhc6ix2z370" w:colFirst="0" w:colLast="0"/>
            <w:bookmarkEnd w:id="68"/>
          </w:p>
          <w:p w14:paraId="3A4765B0"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151.- </w:t>
            </w:r>
            <w:r w:rsidRPr="001335C7">
              <w:rPr>
                <w:rFonts w:ascii="Gotham" w:hAnsi="Gotham" w:cs="Arial"/>
                <w:sz w:val="18"/>
                <w:szCs w:val="18"/>
              </w:rPr>
              <w:t>El Sistema Municipal d</w:t>
            </w:r>
            <w:r w:rsidRPr="001335C7">
              <w:rPr>
                <w:rFonts w:ascii="Gotham" w:hAnsi="Gotham" w:cs="Arial"/>
                <w:sz w:val="18"/>
                <w:szCs w:val="18"/>
                <w:highlight w:val="yellow"/>
              </w:rPr>
              <w:t>e Acceso de las Mujeres a una Vida Libre de Violencia</w:t>
            </w:r>
            <w:r w:rsidRPr="001335C7">
              <w:rPr>
                <w:rFonts w:ascii="Gotham" w:hAnsi="Gotham" w:cs="Arial"/>
                <w:sz w:val="18"/>
                <w:szCs w:val="18"/>
              </w:rPr>
              <w:t xml:space="preserve"> podrá llevar a cabo las gestiones necesarias a fin de que el Municipio cuente con el correspondiente centro de refugio para mujeres, para lo cual podrá suscribir convenios, programas o proyectos para la obtención de recursos.</w:t>
            </w:r>
          </w:p>
          <w:p w14:paraId="3A4765B1"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B2" w14:textId="77777777" w:rsidR="009B5E39" w:rsidRPr="001335C7" w:rsidRDefault="009B5E39" w:rsidP="00190E4A">
            <w:pPr>
              <w:jc w:val="both"/>
              <w:rPr>
                <w:rFonts w:ascii="Gotham" w:hAnsi="Gotham" w:cs="Arial"/>
                <w:b/>
                <w:sz w:val="18"/>
                <w:szCs w:val="18"/>
              </w:rPr>
            </w:pPr>
          </w:p>
          <w:p w14:paraId="3A4765B3"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151.- </w:t>
            </w:r>
            <w:r w:rsidRPr="001335C7">
              <w:rPr>
                <w:rFonts w:ascii="Gotham" w:hAnsi="Gotham" w:cs="Arial"/>
                <w:sz w:val="18"/>
                <w:szCs w:val="18"/>
              </w:rPr>
              <w:t xml:space="preserve">El Sistema Municipal </w:t>
            </w:r>
            <w:r w:rsidRPr="001335C7">
              <w:rPr>
                <w:rFonts w:ascii="Gotham" w:hAnsi="Gotham" w:cs="Arial"/>
                <w:sz w:val="18"/>
                <w:szCs w:val="18"/>
                <w:highlight w:val="cyan"/>
              </w:rPr>
              <w:t>para Prevenir, Atender, Sancionar y Erradicar la Violencia Contra las Mujeres</w:t>
            </w:r>
            <w:r w:rsidRPr="001335C7">
              <w:rPr>
                <w:rFonts w:ascii="Gotham" w:hAnsi="Gotham" w:cs="Arial"/>
                <w:sz w:val="18"/>
                <w:szCs w:val="18"/>
              </w:rPr>
              <w:t xml:space="preserve"> podrá llevar a cabo las gestiones necesarias a fin de que el Municipio cuente con el correspondiente centro de refugio para mujeres, para lo cual podrá suscribir convenios, programas o proyectos para la obtención de recursos.</w:t>
            </w:r>
          </w:p>
        </w:tc>
      </w:tr>
      <w:tr w:rsidR="009B5E39" w:rsidRPr="001335C7" w14:paraId="3A4765BB" w14:textId="77777777" w:rsidTr="00190E4A">
        <w:tc>
          <w:tcPr>
            <w:tcW w:w="4898" w:type="dxa"/>
            <w:shd w:val="clear" w:color="auto" w:fill="auto"/>
          </w:tcPr>
          <w:p w14:paraId="3A4765B5" w14:textId="77777777" w:rsidR="009B5E39" w:rsidRPr="001335C7" w:rsidRDefault="009B5E39" w:rsidP="00190E4A">
            <w:pPr>
              <w:jc w:val="both"/>
              <w:rPr>
                <w:rFonts w:ascii="Gotham" w:hAnsi="Gotham" w:cs="Arial"/>
                <w:b/>
                <w:sz w:val="18"/>
                <w:szCs w:val="18"/>
              </w:rPr>
            </w:pPr>
            <w:bookmarkStart w:id="69" w:name="_heading=h.h4ry5rp7ry3a" w:colFirst="0" w:colLast="0"/>
            <w:bookmarkEnd w:id="69"/>
          </w:p>
          <w:p w14:paraId="3A4765B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153.- </w:t>
            </w:r>
            <w:r w:rsidRPr="001335C7">
              <w:rPr>
                <w:rFonts w:ascii="Gotham" w:hAnsi="Gotham" w:cs="Arial"/>
                <w:sz w:val="18"/>
                <w:szCs w:val="18"/>
              </w:rPr>
              <w:t>Las acciones de la comisión especial de acceso a la justicia y sanción se llevarán a cabo bajo un diagnóstico de las dependencias o instituciones del gobierno en sus tres órdenes y en materia de atención, procuración e impartición de justicia que, por razones competencia, resulten convenientes para atender, asesorar, proteger, investigar, representar o impartir justicia.</w:t>
            </w:r>
          </w:p>
          <w:p w14:paraId="3A4765B7"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B8" w14:textId="77777777" w:rsidR="009B5E39" w:rsidRPr="001335C7" w:rsidRDefault="009B5E39" w:rsidP="00190E4A">
            <w:pPr>
              <w:jc w:val="both"/>
              <w:rPr>
                <w:rFonts w:ascii="Gotham" w:hAnsi="Gotham" w:cs="Arial"/>
                <w:b/>
                <w:sz w:val="18"/>
                <w:szCs w:val="18"/>
              </w:rPr>
            </w:pPr>
          </w:p>
          <w:p w14:paraId="3A4765B9"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153.- </w:t>
            </w:r>
            <w:r w:rsidRPr="001335C7">
              <w:rPr>
                <w:rFonts w:ascii="Gotham" w:hAnsi="Gotham" w:cs="Arial"/>
                <w:sz w:val="18"/>
                <w:szCs w:val="18"/>
              </w:rPr>
              <w:t>Las acciones de la comisión especial de acceso a la justicia y sanción se llevarán a cabo bajo un diagnóstico de las dependencias o instituciones del gobierno en sus tres órdenes y en materia de atención, procuración e impartición de justicia que, por razones</w:t>
            </w:r>
            <w:r w:rsidRPr="001335C7">
              <w:rPr>
                <w:rFonts w:ascii="Gotham" w:hAnsi="Gotham" w:cs="Arial"/>
                <w:sz w:val="18"/>
                <w:szCs w:val="18"/>
                <w:highlight w:val="cyan"/>
              </w:rPr>
              <w:t xml:space="preserve"> de</w:t>
            </w:r>
            <w:r w:rsidRPr="001335C7">
              <w:rPr>
                <w:rFonts w:ascii="Gotham" w:hAnsi="Gotham" w:cs="Arial"/>
                <w:sz w:val="18"/>
                <w:szCs w:val="18"/>
              </w:rPr>
              <w:t xml:space="preserve"> competencia, resulten convenientes para atender, asesorar, proteger, investigar, representar o impartir justicia.</w:t>
            </w:r>
          </w:p>
          <w:p w14:paraId="3A4765BA" w14:textId="77777777" w:rsidR="009B5E39" w:rsidRPr="001335C7" w:rsidRDefault="009B5E39" w:rsidP="00190E4A">
            <w:pPr>
              <w:jc w:val="both"/>
              <w:rPr>
                <w:rFonts w:ascii="Gotham" w:hAnsi="Gotham" w:cs="Arial"/>
                <w:b/>
                <w:sz w:val="18"/>
                <w:szCs w:val="18"/>
              </w:rPr>
            </w:pPr>
          </w:p>
        </w:tc>
      </w:tr>
      <w:tr w:rsidR="009B5E39" w:rsidRPr="001335C7" w14:paraId="3A4765D4" w14:textId="77777777" w:rsidTr="00190E4A">
        <w:tc>
          <w:tcPr>
            <w:tcW w:w="4898" w:type="dxa"/>
            <w:shd w:val="clear" w:color="auto" w:fill="auto"/>
          </w:tcPr>
          <w:p w14:paraId="3A4765BC" w14:textId="77777777" w:rsidR="009B5E39" w:rsidRPr="001335C7" w:rsidRDefault="009B5E39" w:rsidP="00190E4A">
            <w:pPr>
              <w:jc w:val="both"/>
              <w:rPr>
                <w:rFonts w:ascii="Gotham" w:hAnsi="Gotham" w:cs="Arial"/>
                <w:b/>
                <w:sz w:val="18"/>
                <w:szCs w:val="18"/>
              </w:rPr>
            </w:pPr>
            <w:bookmarkStart w:id="70" w:name="_heading=h.s8h917rrosmy" w:colFirst="0" w:colLast="0"/>
            <w:bookmarkEnd w:id="70"/>
          </w:p>
          <w:p w14:paraId="3A4765BD"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157.- </w:t>
            </w:r>
            <w:r w:rsidRPr="001335C7">
              <w:rPr>
                <w:rFonts w:ascii="Gotham" w:hAnsi="Gotham" w:cs="Arial"/>
                <w:sz w:val="18"/>
                <w:szCs w:val="18"/>
              </w:rPr>
              <w:t>La comisión especial de acceso a la justicia y sanción estará conformada por una representante de:</w:t>
            </w:r>
          </w:p>
          <w:p w14:paraId="3A4765BE" w14:textId="77777777" w:rsidR="009B5E39" w:rsidRPr="001335C7" w:rsidRDefault="009B5E39" w:rsidP="00190E4A">
            <w:pPr>
              <w:jc w:val="both"/>
              <w:rPr>
                <w:rFonts w:ascii="Gotham" w:hAnsi="Gotham" w:cs="Arial"/>
                <w:sz w:val="18"/>
                <w:szCs w:val="18"/>
              </w:rPr>
            </w:pPr>
          </w:p>
          <w:p w14:paraId="3A4765BF" w14:textId="77777777" w:rsidR="009B5E39" w:rsidRPr="001335C7" w:rsidRDefault="009B5E39" w:rsidP="00E5394F">
            <w:pPr>
              <w:numPr>
                <w:ilvl w:val="0"/>
                <w:numId w:val="269"/>
              </w:numPr>
              <w:ind w:left="567" w:hanging="578"/>
              <w:jc w:val="both"/>
              <w:rPr>
                <w:rFonts w:ascii="Gotham" w:hAnsi="Gotham" w:cs="Arial"/>
                <w:sz w:val="18"/>
                <w:szCs w:val="18"/>
              </w:rPr>
            </w:pPr>
            <w:r w:rsidRPr="001335C7">
              <w:rPr>
                <w:rFonts w:ascii="Gotham" w:hAnsi="Gotham" w:cs="Arial"/>
                <w:sz w:val="18"/>
                <w:szCs w:val="18"/>
              </w:rPr>
              <w:t>El Instituto Municipal de la Mujer para la Igualdad Sustantiva en Tonalá, Jalisco;</w:t>
            </w:r>
          </w:p>
          <w:p w14:paraId="3A4765C0" w14:textId="77777777" w:rsidR="009B5E39" w:rsidRPr="001335C7" w:rsidRDefault="009B5E39" w:rsidP="00190E4A">
            <w:pPr>
              <w:ind w:left="567" w:hanging="578"/>
              <w:jc w:val="both"/>
              <w:rPr>
                <w:rFonts w:ascii="Gotham" w:hAnsi="Gotham" w:cs="Arial"/>
                <w:sz w:val="18"/>
                <w:szCs w:val="18"/>
              </w:rPr>
            </w:pPr>
          </w:p>
          <w:p w14:paraId="3A4765C1" w14:textId="77777777" w:rsidR="009B5E39" w:rsidRPr="001335C7" w:rsidRDefault="009B5E39" w:rsidP="00E5394F">
            <w:pPr>
              <w:numPr>
                <w:ilvl w:val="0"/>
                <w:numId w:val="269"/>
              </w:numPr>
              <w:ind w:left="567" w:hanging="578"/>
              <w:jc w:val="both"/>
              <w:rPr>
                <w:rFonts w:ascii="Gotham" w:hAnsi="Gotham" w:cs="Arial"/>
                <w:sz w:val="18"/>
                <w:szCs w:val="18"/>
              </w:rPr>
            </w:pPr>
            <w:r w:rsidRPr="001335C7">
              <w:rPr>
                <w:rFonts w:ascii="Gotham" w:hAnsi="Gotham" w:cs="Arial"/>
                <w:sz w:val="18"/>
                <w:szCs w:val="18"/>
              </w:rPr>
              <w:t>El Sistema para el Desarrollo Integral de la Familia, DIF Tonalá;</w:t>
            </w:r>
          </w:p>
          <w:p w14:paraId="3A4765C2" w14:textId="77777777" w:rsidR="009B5E39" w:rsidRPr="001335C7" w:rsidRDefault="009B5E39" w:rsidP="00190E4A">
            <w:pPr>
              <w:ind w:left="567" w:hanging="578"/>
              <w:jc w:val="both"/>
              <w:rPr>
                <w:rFonts w:ascii="Gotham" w:hAnsi="Gotham" w:cs="Arial"/>
                <w:sz w:val="18"/>
                <w:szCs w:val="18"/>
              </w:rPr>
            </w:pPr>
          </w:p>
          <w:p w14:paraId="3A4765C3" w14:textId="77777777" w:rsidR="009B5E39" w:rsidRPr="001335C7" w:rsidRDefault="009B5E39" w:rsidP="00E5394F">
            <w:pPr>
              <w:numPr>
                <w:ilvl w:val="0"/>
                <w:numId w:val="269"/>
              </w:numPr>
              <w:ind w:left="567" w:hanging="578"/>
              <w:jc w:val="both"/>
              <w:rPr>
                <w:rFonts w:ascii="Gotham" w:hAnsi="Gotham" w:cs="Arial"/>
                <w:sz w:val="18"/>
                <w:szCs w:val="18"/>
                <w:highlight w:val="yellow"/>
              </w:rPr>
            </w:pPr>
            <w:r w:rsidRPr="001335C7">
              <w:rPr>
                <w:rFonts w:ascii="Gotham" w:hAnsi="Gotham" w:cs="Arial"/>
                <w:sz w:val="18"/>
                <w:szCs w:val="18"/>
                <w:highlight w:val="yellow"/>
              </w:rPr>
              <w:t>La Comisaría de la Policía Preventiva Municipal; y</w:t>
            </w:r>
          </w:p>
          <w:p w14:paraId="3A4765C4" w14:textId="77777777" w:rsidR="009B5E39" w:rsidRPr="001335C7" w:rsidRDefault="009B5E39" w:rsidP="00190E4A">
            <w:pPr>
              <w:ind w:left="567" w:hanging="578"/>
              <w:jc w:val="both"/>
              <w:rPr>
                <w:rFonts w:ascii="Gotham" w:hAnsi="Gotham" w:cs="Arial"/>
                <w:sz w:val="18"/>
                <w:szCs w:val="18"/>
                <w:highlight w:val="yellow"/>
              </w:rPr>
            </w:pPr>
          </w:p>
          <w:p w14:paraId="3A4765C5" w14:textId="77777777" w:rsidR="009B5E39" w:rsidRPr="001335C7" w:rsidRDefault="009B5E39" w:rsidP="00E5394F">
            <w:pPr>
              <w:numPr>
                <w:ilvl w:val="0"/>
                <w:numId w:val="269"/>
              </w:numPr>
              <w:ind w:left="567" w:hanging="578"/>
              <w:jc w:val="both"/>
              <w:rPr>
                <w:rFonts w:ascii="Gotham" w:hAnsi="Gotham" w:cs="Arial"/>
                <w:sz w:val="18"/>
                <w:szCs w:val="18"/>
                <w:highlight w:val="yellow"/>
              </w:rPr>
            </w:pPr>
            <w:r w:rsidRPr="001335C7">
              <w:rPr>
                <w:rFonts w:ascii="Gotham" w:hAnsi="Gotham" w:cs="Arial"/>
                <w:sz w:val="18"/>
                <w:szCs w:val="18"/>
                <w:highlight w:val="yellow"/>
              </w:rPr>
              <w:t>La Dirección de Justicia Municipal.</w:t>
            </w:r>
          </w:p>
          <w:p w14:paraId="3A4765C6" w14:textId="77777777" w:rsidR="009B5E39" w:rsidRPr="001335C7" w:rsidRDefault="009B5E39" w:rsidP="00190E4A">
            <w:pPr>
              <w:ind w:left="1080"/>
              <w:jc w:val="both"/>
              <w:rPr>
                <w:rFonts w:ascii="Gotham" w:hAnsi="Gotham" w:cs="Arial"/>
                <w:sz w:val="18"/>
                <w:szCs w:val="18"/>
              </w:rPr>
            </w:pPr>
          </w:p>
        </w:tc>
        <w:tc>
          <w:tcPr>
            <w:tcW w:w="4899" w:type="dxa"/>
            <w:shd w:val="clear" w:color="auto" w:fill="auto"/>
          </w:tcPr>
          <w:p w14:paraId="3A4765C7" w14:textId="77777777" w:rsidR="009B5E39" w:rsidRPr="001335C7" w:rsidRDefault="009B5E39" w:rsidP="00190E4A">
            <w:pPr>
              <w:jc w:val="both"/>
              <w:rPr>
                <w:rFonts w:ascii="Gotham" w:hAnsi="Gotham" w:cs="Arial"/>
                <w:b/>
                <w:sz w:val="18"/>
                <w:szCs w:val="18"/>
              </w:rPr>
            </w:pPr>
          </w:p>
          <w:p w14:paraId="3A4765C8"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157.- </w:t>
            </w:r>
            <w:r w:rsidRPr="001335C7">
              <w:rPr>
                <w:rFonts w:ascii="Gotham" w:hAnsi="Gotham" w:cs="Arial"/>
                <w:sz w:val="18"/>
                <w:szCs w:val="18"/>
              </w:rPr>
              <w:t>La comisión especial de acceso a la justicia y sanción estará conformada por una representante de:</w:t>
            </w:r>
          </w:p>
          <w:p w14:paraId="3A4765C9" w14:textId="77777777" w:rsidR="009B5E39" w:rsidRPr="001335C7" w:rsidRDefault="009B5E39" w:rsidP="00190E4A">
            <w:pPr>
              <w:jc w:val="both"/>
              <w:rPr>
                <w:rFonts w:ascii="Gotham" w:hAnsi="Gotham" w:cs="Arial"/>
                <w:sz w:val="18"/>
                <w:szCs w:val="18"/>
              </w:rPr>
            </w:pPr>
          </w:p>
          <w:p w14:paraId="3A4765CA" w14:textId="77777777" w:rsidR="009B5E39" w:rsidRPr="001335C7" w:rsidRDefault="009B5E39" w:rsidP="00E5394F">
            <w:pPr>
              <w:numPr>
                <w:ilvl w:val="0"/>
                <w:numId w:val="261"/>
              </w:numPr>
              <w:ind w:left="567" w:hanging="578"/>
              <w:jc w:val="both"/>
              <w:rPr>
                <w:rFonts w:ascii="Gotham" w:hAnsi="Gotham" w:cs="Arial"/>
                <w:sz w:val="18"/>
                <w:szCs w:val="18"/>
              </w:rPr>
            </w:pPr>
            <w:r w:rsidRPr="001335C7">
              <w:rPr>
                <w:rFonts w:ascii="Gotham" w:hAnsi="Gotham" w:cs="Arial"/>
                <w:sz w:val="18"/>
                <w:szCs w:val="18"/>
              </w:rPr>
              <w:t>El Instituto Municipal de la Mujer para la Igualdad Sustantiva en Tonalá, Jalisco;</w:t>
            </w:r>
          </w:p>
          <w:p w14:paraId="3A4765CB" w14:textId="77777777" w:rsidR="009B5E39" w:rsidRPr="001335C7" w:rsidRDefault="009B5E39" w:rsidP="00190E4A">
            <w:pPr>
              <w:ind w:left="567" w:hanging="578"/>
              <w:jc w:val="both"/>
              <w:rPr>
                <w:rFonts w:ascii="Gotham" w:hAnsi="Gotham" w:cs="Arial"/>
                <w:sz w:val="18"/>
                <w:szCs w:val="18"/>
              </w:rPr>
            </w:pPr>
          </w:p>
          <w:p w14:paraId="3A4765CC" w14:textId="77777777" w:rsidR="009B5E39" w:rsidRPr="001335C7" w:rsidRDefault="009B5E39" w:rsidP="00E5394F">
            <w:pPr>
              <w:numPr>
                <w:ilvl w:val="0"/>
                <w:numId w:val="261"/>
              </w:numPr>
              <w:ind w:left="567" w:hanging="578"/>
              <w:jc w:val="both"/>
              <w:rPr>
                <w:rFonts w:ascii="Gotham" w:hAnsi="Gotham" w:cs="Arial"/>
                <w:sz w:val="18"/>
                <w:szCs w:val="18"/>
              </w:rPr>
            </w:pPr>
            <w:r w:rsidRPr="001335C7">
              <w:rPr>
                <w:rFonts w:ascii="Gotham" w:hAnsi="Gotham" w:cs="Arial"/>
                <w:sz w:val="18"/>
                <w:szCs w:val="18"/>
              </w:rPr>
              <w:t>El Sistema para el Desarrollo Integral de la Familia, DIF Tonalá;</w:t>
            </w:r>
          </w:p>
          <w:p w14:paraId="3A4765CD" w14:textId="77777777" w:rsidR="009B5E39" w:rsidRPr="001335C7" w:rsidRDefault="009B5E39" w:rsidP="00190E4A">
            <w:pPr>
              <w:ind w:left="-10"/>
              <w:jc w:val="both"/>
              <w:rPr>
                <w:rFonts w:ascii="Gotham" w:hAnsi="Gotham" w:cs="Arial"/>
                <w:sz w:val="18"/>
                <w:szCs w:val="18"/>
              </w:rPr>
            </w:pPr>
          </w:p>
          <w:p w14:paraId="3A4765CE"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highlight w:val="cyan"/>
              </w:rPr>
              <w:t xml:space="preserve">III. Comisaria de Seguridad Pública; </w:t>
            </w:r>
          </w:p>
          <w:p w14:paraId="3A4765CF" w14:textId="77777777" w:rsidR="009B5E39" w:rsidRPr="001335C7" w:rsidRDefault="009B5E39" w:rsidP="00190E4A">
            <w:pPr>
              <w:ind w:left="567" w:hanging="578"/>
              <w:jc w:val="both"/>
              <w:rPr>
                <w:rFonts w:ascii="Gotham" w:hAnsi="Gotham" w:cs="Arial"/>
                <w:sz w:val="18"/>
                <w:szCs w:val="18"/>
              </w:rPr>
            </w:pPr>
          </w:p>
          <w:p w14:paraId="3A4765D0" w14:textId="77777777" w:rsidR="009B5E39" w:rsidRPr="001335C7" w:rsidRDefault="009B5E39" w:rsidP="00190E4A">
            <w:pPr>
              <w:jc w:val="both"/>
              <w:rPr>
                <w:rFonts w:ascii="Gotham" w:hAnsi="Gotham" w:cs="Arial"/>
                <w:sz w:val="18"/>
                <w:szCs w:val="18"/>
                <w:highlight w:val="cyan"/>
              </w:rPr>
            </w:pPr>
            <w:r w:rsidRPr="001335C7">
              <w:rPr>
                <w:rFonts w:ascii="Gotham" w:hAnsi="Gotham" w:cs="Arial"/>
                <w:sz w:val="18"/>
                <w:szCs w:val="18"/>
                <w:highlight w:val="cyan"/>
              </w:rPr>
              <w:t>IV.</w:t>
            </w:r>
            <w:r w:rsidR="007C2F8D">
              <w:rPr>
                <w:rFonts w:ascii="Gotham" w:hAnsi="Gotham" w:cs="Arial"/>
                <w:sz w:val="18"/>
                <w:szCs w:val="18"/>
                <w:highlight w:val="cyan"/>
              </w:rPr>
              <w:t xml:space="preserve"> </w:t>
            </w:r>
            <w:r w:rsidRPr="001335C7">
              <w:rPr>
                <w:rFonts w:ascii="Gotham" w:hAnsi="Gotham" w:cs="Arial"/>
                <w:sz w:val="18"/>
                <w:szCs w:val="18"/>
                <w:highlight w:val="cyan"/>
              </w:rPr>
              <w:t xml:space="preserve">La Jefatura de Juzgados Municipales; y </w:t>
            </w:r>
          </w:p>
          <w:p w14:paraId="3A4765D1" w14:textId="77777777" w:rsidR="009B5E39" w:rsidRPr="001335C7" w:rsidRDefault="009B5E39" w:rsidP="00190E4A">
            <w:pPr>
              <w:jc w:val="both"/>
              <w:rPr>
                <w:rFonts w:ascii="Gotham" w:hAnsi="Gotham" w:cs="Arial"/>
                <w:sz w:val="18"/>
                <w:szCs w:val="18"/>
                <w:highlight w:val="cyan"/>
              </w:rPr>
            </w:pPr>
          </w:p>
          <w:p w14:paraId="3A4765D2"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t>V.</w:t>
            </w:r>
            <w:r w:rsidR="007C2F8D">
              <w:rPr>
                <w:rFonts w:ascii="Gotham" w:hAnsi="Gotham" w:cs="Arial"/>
                <w:sz w:val="18"/>
                <w:szCs w:val="18"/>
              </w:rPr>
              <w:t xml:space="preserve"> </w:t>
            </w:r>
            <w:r w:rsidRPr="001335C7">
              <w:rPr>
                <w:rFonts w:ascii="Gotham" w:hAnsi="Gotham" w:cs="Arial"/>
                <w:sz w:val="18"/>
                <w:szCs w:val="18"/>
              </w:rPr>
              <w:t xml:space="preserve">Unidad Especializada Policial de Atención a Mujeres Víctimas de Violencia. </w:t>
            </w:r>
          </w:p>
          <w:p w14:paraId="3A4765D3" w14:textId="77777777" w:rsidR="009B5E39" w:rsidRPr="001335C7" w:rsidRDefault="009B5E39" w:rsidP="00190E4A">
            <w:pPr>
              <w:jc w:val="both"/>
              <w:rPr>
                <w:rFonts w:ascii="Gotham" w:hAnsi="Gotham" w:cs="Arial"/>
                <w:sz w:val="18"/>
                <w:szCs w:val="18"/>
              </w:rPr>
            </w:pPr>
          </w:p>
        </w:tc>
      </w:tr>
      <w:tr w:rsidR="009B5E39" w:rsidRPr="001335C7" w14:paraId="3A4765E3" w14:textId="77777777" w:rsidTr="00190E4A">
        <w:tc>
          <w:tcPr>
            <w:tcW w:w="4898" w:type="dxa"/>
            <w:shd w:val="clear" w:color="auto" w:fill="auto"/>
          </w:tcPr>
          <w:p w14:paraId="3A4765D5" w14:textId="77777777" w:rsidR="009B5E39" w:rsidRPr="001335C7" w:rsidRDefault="009B5E39" w:rsidP="00190E4A">
            <w:pPr>
              <w:jc w:val="both"/>
              <w:rPr>
                <w:rFonts w:ascii="Gotham" w:hAnsi="Gotham" w:cs="Arial"/>
                <w:b/>
                <w:sz w:val="18"/>
                <w:szCs w:val="18"/>
              </w:rPr>
            </w:pPr>
            <w:bookmarkStart w:id="71" w:name="_heading=h.zfr71fk26dpn" w:colFirst="0" w:colLast="0"/>
            <w:bookmarkEnd w:id="71"/>
          </w:p>
          <w:p w14:paraId="3A4765D6"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159.- </w:t>
            </w:r>
            <w:r w:rsidRPr="001335C7">
              <w:rPr>
                <w:rFonts w:ascii="Gotham" w:hAnsi="Gotham" w:cs="Arial"/>
                <w:sz w:val="18"/>
                <w:szCs w:val="18"/>
              </w:rPr>
              <w:t>Como integrante de la comisión especial de acceso a la justicia y sanción, le corresponde al Instituto lo siguiente:</w:t>
            </w:r>
          </w:p>
          <w:p w14:paraId="3A4765D7" w14:textId="77777777" w:rsidR="009B5E39" w:rsidRPr="001335C7" w:rsidRDefault="009B5E39" w:rsidP="00190E4A">
            <w:pPr>
              <w:jc w:val="both"/>
              <w:rPr>
                <w:rFonts w:ascii="Gotham" w:hAnsi="Gotham" w:cs="Arial"/>
                <w:sz w:val="18"/>
                <w:szCs w:val="18"/>
              </w:rPr>
            </w:pPr>
          </w:p>
          <w:p w14:paraId="3A4765D8"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lastRenderedPageBreak/>
              <w:t xml:space="preserve">(...) </w:t>
            </w:r>
          </w:p>
          <w:p w14:paraId="3A4765D9" w14:textId="77777777" w:rsidR="009B5E39" w:rsidRPr="001335C7" w:rsidRDefault="009B5E39" w:rsidP="00190E4A">
            <w:pPr>
              <w:jc w:val="both"/>
              <w:rPr>
                <w:rFonts w:ascii="Gotham" w:hAnsi="Gotham" w:cs="Arial"/>
                <w:sz w:val="18"/>
                <w:szCs w:val="18"/>
              </w:rPr>
            </w:pPr>
          </w:p>
          <w:p w14:paraId="3A4765DA" w14:textId="77777777" w:rsidR="009B5E39" w:rsidRPr="001335C7" w:rsidRDefault="009B5E39" w:rsidP="00190E4A">
            <w:pPr>
              <w:jc w:val="both"/>
              <w:rPr>
                <w:rFonts w:ascii="Gotham" w:hAnsi="Gotham" w:cs="Arial"/>
                <w:b/>
                <w:sz w:val="18"/>
                <w:szCs w:val="18"/>
              </w:rPr>
            </w:pPr>
            <w:r w:rsidRPr="001335C7">
              <w:rPr>
                <w:rFonts w:ascii="Gotham" w:hAnsi="Gotham" w:cs="Arial"/>
                <w:sz w:val="18"/>
                <w:szCs w:val="18"/>
              </w:rPr>
              <w:t>II. Dar seguimiento a los procesos de atención integral de las mujeres víctimas de violencia en el Municipio y verificar que las dependencias municipales competentes las atiendan debidamente; y</w:t>
            </w:r>
          </w:p>
          <w:p w14:paraId="3A4765DB" w14:textId="77777777" w:rsidR="009B5E39" w:rsidRPr="001335C7" w:rsidRDefault="009B5E39" w:rsidP="00190E4A">
            <w:pPr>
              <w:jc w:val="both"/>
              <w:rPr>
                <w:rFonts w:ascii="Gotham" w:hAnsi="Gotham" w:cs="Arial"/>
                <w:b/>
                <w:sz w:val="18"/>
                <w:szCs w:val="18"/>
              </w:rPr>
            </w:pPr>
          </w:p>
        </w:tc>
        <w:tc>
          <w:tcPr>
            <w:tcW w:w="4899" w:type="dxa"/>
            <w:shd w:val="clear" w:color="auto" w:fill="auto"/>
          </w:tcPr>
          <w:p w14:paraId="3A4765DC" w14:textId="77777777" w:rsidR="009B5E39" w:rsidRPr="001335C7" w:rsidRDefault="009B5E39" w:rsidP="00190E4A">
            <w:pPr>
              <w:jc w:val="both"/>
              <w:rPr>
                <w:rFonts w:ascii="Gotham" w:hAnsi="Gotham" w:cs="Arial"/>
                <w:b/>
                <w:sz w:val="18"/>
                <w:szCs w:val="18"/>
              </w:rPr>
            </w:pPr>
          </w:p>
          <w:p w14:paraId="3A4765DD"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159.- </w:t>
            </w:r>
            <w:r w:rsidRPr="001335C7">
              <w:rPr>
                <w:rFonts w:ascii="Gotham" w:hAnsi="Gotham" w:cs="Arial"/>
                <w:sz w:val="18"/>
                <w:szCs w:val="18"/>
              </w:rPr>
              <w:t>Como integrante de la comisión especial de acceso a la justicia y sanción, le corresponde al Instituto lo siguiente:</w:t>
            </w:r>
          </w:p>
          <w:p w14:paraId="3A4765DE" w14:textId="77777777" w:rsidR="009B5E39" w:rsidRPr="001335C7" w:rsidRDefault="009B5E39" w:rsidP="00190E4A">
            <w:pPr>
              <w:jc w:val="both"/>
              <w:rPr>
                <w:rFonts w:ascii="Gotham" w:hAnsi="Gotham" w:cs="Arial"/>
                <w:sz w:val="18"/>
                <w:szCs w:val="18"/>
              </w:rPr>
            </w:pPr>
          </w:p>
          <w:p w14:paraId="3A4765DF" w14:textId="77777777" w:rsidR="009B5E39" w:rsidRPr="001335C7" w:rsidRDefault="009B5E39" w:rsidP="00190E4A">
            <w:pPr>
              <w:jc w:val="both"/>
              <w:rPr>
                <w:rFonts w:ascii="Gotham" w:hAnsi="Gotham" w:cs="Arial"/>
                <w:sz w:val="18"/>
                <w:szCs w:val="18"/>
              </w:rPr>
            </w:pPr>
            <w:r w:rsidRPr="001335C7">
              <w:rPr>
                <w:rFonts w:ascii="Gotham" w:hAnsi="Gotham" w:cs="Arial"/>
                <w:sz w:val="18"/>
                <w:szCs w:val="18"/>
              </w:rPr>
              <w:lastRenderedPageBreak/>
              <w:t xml:space="preserve">(...) </w:t>
            </w:r>
          </w:p>
          <w:p w14:paraId="3A4765E0" w14:textId="77777777" w:rsidR="009B5E39" w:rsidRPr="001335C7" w:rsidRDefault="009B5E39" w:rsidP="00190E4A">
            <w:pPr>
              <w:jc w:val="both"/>
              <w:rPr>
                <w:rFonts w:ascii="Gotham" w:hAnsi="Gotham" w:cs="Arial"/>
                <w:sz w:val="18"/>
                <w:szCs w:val="18"/>
              </w:rPr>
            </w:pPr>
          </w:p>
          <w:p w14:paraId="3A4765E1" w14:textId="77777777" w:rsidR="009B5E39" w:rsidRPr="001335C7" w:rsidRDefault="009B5E39" w:rsidP="00190E4A">
            <w:pPr>
              <w:jc w:val="both"/>
              <w:rPr>
                <w:rFonts w:ascii="Gotham" w:hAnsi="Gotham" w:cs="Arial"/>
                <w:b/>
                <w:sz w:val="18"/>
                <w:szCs w:val="18"/>
              </w:rPr>
            </w:pPr>
            <w:r w:rsidRPr="001335C7">
              <w:rPr>
                <w:rFonts w:ascii="Gotham" w:hAnsi="Gotham" w:cs="Arial"/>
                <w:sz w:val="18"/>
                <w:szCs w:val="18"/>
              </w:rPr>
              <w:t>II. Dar seguimiento a los procesos de atención integral de las mujeres víctimas de violencia en el Municipio y verificar que las dependencias municipales competentes las atiendan debidamente</w:t>
            </w:r>
            <w:r w:rsidRPr="001335C7">
              <w:rPr>
                <w:rFonts w:ascii="Gotham" w:hAnsi="Gotham" w:cs="Arial"/>
                <w:sz w:val="18"/>
                <w:szCs w:val="18"/>
                <w:highlight w:val="cyan"/>
              </w:rPr>
              <w:t xml:space="preserve"> y sin victimización secundaria</w:t>
            </w:r>
            <w:r w:rsidRPr="001335C7">
              <w:rPr>
                <w:rFonts w:ascii="Gotham" w:hAnsi="Gotham" w:cs="Arial"/>
                <w:sz w:val="18"/>
                <w:szCs w:val="18"/>
              </w:rPr>
              <w:t>; y</w:t>
            </w:r>
          </w:p>
          <w:p w14:paraId="3A4765E2" w14:textId="77777777" w:rsidR="009B5E39" w:rsidRPr="001335C7" w:rsidRDefault="009B5E39" w:rsidP="00190E4A">
            <w:pPr>
              <w:jc w:val="both"/>
              <w:rPr>
                <w:rFonts w:ascii="Gotham" w:hAnsi="Gotham" w:cs="Arial"/>
                <w:b/>
                <w:sz w:val="18"/>
                <w:szCs w:val="18"/>
              </w:rPr>
            </w:pPr>
          </w:p>
        </w:tc>
      </w:tr>
      <w:tr w:rsidR="009B5E39" w:rsidRPr="001335C7" w14:paraId="3A4765E9" w14:textId="77777777" w:rsidTr="00190E4A">
        <w:tc>
          <w:tcPr>
            <w:tcW w:w="4898" w:type="dxa"/>
            <w:shd w:val="clear" w:color="auto" w:fill="auto"/>
          </w:tcPr>
          <w:p w14:paraId="3A4765E4" w14:textId="77777777" w:rsidR="009B5E39" w:rsidRPr="001335C7" w:rsidRDefault="009B5E39" w:rsidP="00190E4A">
            <w:pPr>
              <w:jc w:val="both"/>
              <w:rPr>
                <w:rFonts w:ascii="Gotham" w:hAnsi="Gotham" w:cs="Arial"/>
                <w:b/>
                <w:sz w:val="18"/>
                <w:szCs w:val="18"/>
              </w:rPr>
            </w:pPr>
            <w:bookmarkStart w:id="72" w:name="_heading=h.35jm22xx43y3" w:colFirst="0" w:colLast="0"/>
            <w:bookmarkEnd w:id="72"/>
          </w:p>
          <w:p w14:paraId="3A4765E5"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161.- </w:t>
            </w:r>
            <w:r w:rsidRPr="001335C7">
              <w:rPr>
                <w:rFonts w:ascii="Gotham" w:hAnsi="Gotham" w:cs="Arial"/>
                <w:sz w:val="18"/>
                <w:szCs w:val="18"/>
              </w:rPr>
              <w:t>Como integrante de la comisión especial de acceso a la justicia y sanción, le corresponde a la Comisaría de l</w:t>
            </w:r>
            <w:r w:rsidRPr="001335C7">
              <w:rPr>
                <w:rFonts w:ascii="Gotham" w:hAnsi="Gotham" w:cs="Arial"/>
                <w:sz w:val="18"/>
                <w:szCs w:val="18"/>
                <w:highlight w:val="yellow"/>
              </w:rPr>
              <w:t>a Policía Preventiva Municipal</w:t>
            </w:r>
            <w:r w:rsidRPr="001335C7">
              <w:rPr>
                <w:rFonts w:ascii="Gotham" w:hAnsi="Gotham" w:cs="Arial"/>
                <w:sz w:val="18"/>
                <w:szCs w:val="18"/>
              </w:rPr>
              <w:t xml:space="preserve"> lo siguiente:</w:t>
            </w:r>
          </w:p>
          <w:p w14:paraId="3A4765E6"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E7" w14:textId="77777777" w:rsidR="009B5E39" w:rsidRPr="001335C7" w:rsidRDefault="009B5E39" w:rsidP="00190E4A">
            <w:pPr>
              <w:jc w:val="both"/>
              <w:rPr>
                <w:rFonts w:ascii="Gotham" w:hAnsi="Gotham" w:cs="Arial"/>
                <w:b/>
                <w:sz w:val="18"/>
                <w:szCs w:val="18"/>
              </w:rPr>
            </w:pPr>
          </w:p>
          <w:p w14:paraId="3A4765E8"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161.- </w:t>
            </w:r>
            <w:r w:rsidRPr="001335C7">
              <w:rPr>
                <w:rFonts w:ascii="Gotham" w:hAnsi="Gotham" w:cs="Arial"/>
                <w:sz w:val="18"/>
                <w:szCs w:val="18"/>
              </w:rPr>
              <w:t xml:space="preserve">Como integrante de la comisión especial de acceso a la justicia y sanción, le corresponde a la Comisaría de </w:t>
            </w:r>
            <w:r w:rsidRPr="001335C7">
              <w:rPr>
                <w:rFonts w:ascii="Gotham" w:hAnsi="Gotham" w:cs="Arial"/>
                <w:sz w:val="18"/>
                <w:szCs w:val="18"/>
                <w:highlight w:val="cyan"/>
              </w:rPr>
              <w:t>Seguridad Pública</w:t>
            </w:r>
            <w:r w:rsidRPr="001335C7">
              <w:rPr>
                <w:rFonts w:ascii="Gotham" w:hAnsi="Gotham" w:cs="Arial"/>
                <w:sz w:val="18"/>
                <w:szCs w:val="18"/>
              </w:rPr>
              <w:t xml:space="preserve"> lo siguiente:</w:t>
            </w:r>
          </w:p>
        </w:tc>
      </w:tr>
      <w:tr w:rsidR="009B5E39" w:rsidRPr="001335C7" w14:paraId="3A4765F0" w14:textId="77777777" w:rsidTr="00190E4A">
        <w:tc>
          <w:tcPr>
            <w:tcW w:w="4898" w:type="dxa"/>
            <w:shd w:val="clear" w:color="auto" w:fill="auto"/>
          </w:tcPr>
          <w:p w14:paraId="3A4765EA" w14:textId="77777777" w:rsidR="009B5E39" w:rsidRPr="001335C7" w:rsidRDefault="009B5E39" w:rsidP="00190E4A">
            <w:pPr>
              <w:jc w:val="both"/>
              <w:rPr>
                <w:rFonts w:ascii="Gotham" w:hAnsi="Gotham" w:cs="Arial"/>
                <w:b/>
                <w:sz w:val="18"/>
                <w:szCs w:val="18"/>
              </w:rPr>
            </w:pPr>
          </w:p>
          <w:p w14:paraId="3A4765EB"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162.- </w:t>
            </w:r>
            <w:r w:rsidRPr="001335C7">
              <w:rPr>
                <w:rFonts w:ascii="Gotham" w:hAnsi="Gotham" w:cs="Arial"/>
                <w:sz w:val="18"/>
                <w:szCs w:val="18"/>
              </w:rPr>
              <w:t xml:space="preserve">Como integrante de la comisión especial de acceso a la justicia y sanción, le corresponde a la </w:t>
            </w:r>
            <w:r w:rsidRPr="001335C7">
              <w:rPr>
                <w:rFonts w:ascii="Gotham" w:hAnsi="Gotham" w:cs="Arial"/>
                <w:sz w:val="18"/>
                <w:szCs w:val="18"/>
                <w:highlight w:val="yellow"/>
              </w:rPr>
              <w:t>Dirección de Justicia Municipal</w:t>
            </w:r>
            <w:r w:rsidRPr="001335C7">
              <w:rPr>
                <w:rFonts w:ascii="Gotham" w:hAnsi="Gotham" w:cs="Arial"/>
                <w:sz w:val="18"/>
                <w:szCs w:val="18"/>
              </w:rPr>
              <w:t xml:space="preserve"> lo siguiente:</w:t>
            </w:r>
          </w:p>
          <w:p w14:paraId="3A4765EC" w14:textId="77777777" w:rsidR="009B5E39" w:rsidRPr="001335C7" w:rsidRDefault="009B5E39" w:rsidP="00190E4A">
            <w:pPr>
              <w:jc w:val="both"/>
              <w:rPr>
                <w:rFonts w:ascii="Gotham" w:hAnsi="Gotham" w:cs="Arial"/>
                <w:sz w:val="18"/>
                <w:szCs w:val="18"/>
              </w:rPr>
            </w:pPr>
          </w:p>
        </w:tc>
        <w:tc>
          <w:tcPr>
            <w:tcW w:w="4899" w:type="dxa"/>
            <w:shd w:val="clear" w:color="auto" w:fill="auto"/>
          </w:tcPr>
          <w:p w14:paraId="3A4765ED" w14:textId="77777777" w:rsidR="009B5E39" w:rsidRPr="001335C7" w:rsidRDefault="009B5E39" w:rsidP="00190E4A">
            <w:pPr>
              <w:jc w:val="both"/>
              <w:rPr>
                <w:rFonts w:ascii="Gotham" w:hAnsi="Gotham" w:cs="Arial"/>
                <w:b/>
                <w:sz w:val="18"/>
                <w:szCs w:val="18"/>
              </w:rPr>
            </w:pPr>
            <w:bookmarkStart w:id="73" w:name="_heading=h.nqjonekgzefc" w:colFirst="0" w:colLast="0"/>
            <w:bookmarkEnd w:id="73"/>
          </w:p>
          <w:p w14:paraId="3A4765EE" w14:textId="77777777" w:rsidR="009B5E39" w:rsidRPr="001335C7" w:rsidRDefault="009B5E39" w:rsidP="00190E4A">
            <w:pPr>
              <w:jc w:val="both"/>
              <w:rPr>
                <w:rFonts w:ascii="Gotham" w:hAnsi="Gotham" w:cs="Arial"/>
                <w:b/>
                <w:sz w:val="18"/>
                <w:szCs w:val="18"/>
              </w:rPr>
            </w:pPr>
            <w:r w:rsidRPr="001335C7">
              <w:rPr>
                <w:rFonts w:ascii="Gotham" w:hAnsi="Gotham" w:cs="Arial"/>
                <w:b/>
                <w:sz w:val="18"/>
                <w:szCs w:val="18"/>
              </w:rPr>
              <w:t xml:space="preserve">Artículo 162.- </w:t>
            </w:r>
            <w:r w:rsidRPr="001335C7">
              <w:rPr>
                <w:rFonts w:ascii="Gotham" w:hAnsi="Gotham" w:cs="Arial"/>
                <w:sz w:val="18"/>
                <w:szCs w:val="18"/>
              </w:rPr>
              <w:t xml:space="preserve">Como integrante de la comisión especial de acceso a la justicia y sanción, le corresponde a </w:t>
            </w:r>
            <w:r w:rsidRPr="001335C7">
              <w:rPr>
                <w:rFonts w:ascii="Gotham" w:hAnsi="Gotham" w:cs="Arial"/>
                <w:sz w:val="18"/>
                <w:szCs w:val="18"/>
                <w:highlight w:val="cyan"/>
              </w:rPr>
              <w:t>la Jefatura de Juzgados Municipales</w:t>
            </w:r>
            <w:r w:rsidRPr="001335C7">
              <w:rPr>
                <w:rFonts w:ascii="Gotham" w:hAnsi="Gotham" w:cs="Arial"/>
                <w:sz w:val="18"/>
                <w:szCs w:val="18"/>
              </w:rPr>
              <w:t xml:space="preserve"> lo siguiente:</w:t>
            </w:r>
          </w:p>
          <w:p w14:paraId="3A4765EF" w14:textId="77777777" w:rsidR="009B5E39" w:rsidRPr="001335C7" w:rsidRDefault="009B5E39" w:rsidP="00190E4A">
            <w:pPr>
              <w:jc w:val="both"/>
              <w:rPr>
                <w:rFonts w:ascii="Gotham" w:hAnsi="Gotham" w:cs="Arial"/>
                <w:b/>
                <w:sz w:val="18"/>
                <w:szCs w:val="18"/>
              </w:rPr>
            </w:pPr>
          </w:p>
        </w:tc>
      </w:tr>
      <w:tr w:rsidR="009B5E39" w:rsidRPr="001335C7" w14:paraId="3A4765FE" w14:textId="77777777" w:rsidTr="00190E4A">
        <w:tc>
          <w:tcPr>
            <w:tcW w:w="4898" w:type="dxa"/>
            <w:shd w:val="clear" w:color="auto" w:fill="auto"/>
          </w:tcPr>
          <w:p w14:paraId="3A4765F1" w14:textId="77777777" w:rsidR="009B5E39" w:rsidRPr="001335C7" w:rsidRDefault="009B5E39" w:rsidP="00190E4A">
            <w:pPr>
              <w:jc w:val="both"/>
              <w:rPr>
                <w:rFonts w:ascii="Gotham" w:hAnsi="Gotham" w:cs="Arial"/>
                <w:b/>
                <w:sz w:val="18"/>
                <w:szCs w:val="18"/>
              </w:rPr>
            </w:pPr>
          </w:p>
          <w:p w14:paraId="3A4765F2" w14:textId="77777777" w:rsidR="009B5E39" w:rsidRPr="001335C7" w:rsidRDefault="009B5E39" w:rsidP="00190E4A">
            <w:pPr>
              <w:pStyle w:val="Ttulo3"/>
              <w:keepLines w:val="0"/>
              <w:spacing w:before="0" w:line="240" w:lineRule="auto"/>
              <w:jc w:val="center"/>
              <w:rPr>
                <w:rFonts w:ascii="Gotham" w:hAnsi="Gotham" w:cs="Arial"/>
                <w:sz w:val="18"/>
                <w:szCs w:val="18"/>
                <w:highlight w:val="yellow"/>
              </w:rPr>
            </w:pPr>
            <w:bookmarkStart w:id="74" w:name="_heading=h.3cqmetx" w:colFirst="0" w:colLast="0"/>
            <w:bookmarkEnd w:id="74"/>
            <w:r w:rsidRPr="001335C7">
              <w:rPr>
                <w:rFonts w:ascii="Gotham" w:hAnsi="Gotham" w:cs="Arial"/>
                <w:sz w:val="18"/>
                <w:szCs w:val="18"/>
                <w:highlight w:val="yellow"/>
              </w:rPr>
              <w:t xml:space="preserve">CAPÍTULO IV. </w:t>
            </w:r>
            <w:r w:rsidRPr="001335C7">
              <w:rPr>
                <w:rFonts w:ascii="Gotham" w:hAnsi="Gotham" w:cs="Arial"/>
                <w:sz w:val="18"/>
                <w:szCs w:val="18"/>
                <w:highlight w:val="yellow"/>
              </w:rPr>
              <w:br/>
              <w:t>DE LAS ÓRDENES DE PROTECCIÓN</w:t>
            </w:r>
          </w:p>
          <w:p w14:paraId="3A4765F3" w14:textId="77777777" w:rsidR="009B5E39" w:rsidRPr="001335C7" w:rsidRDefault="009B5E39" w:rsidP="00190E4A">
            <w:pPr>
              <w:jc w:val="both"/>
              <w:rPr>
                <w:rFonts w:ascii="Gotham" w:hAnsi="Gotham" w:cs="Arial"/>
                <w:sz w:val="18"/>
                <w:szCs w:val="18"/>
                <w:highlight w:val="yellow"/>
              </w:rPr>
            </w:pPr>
          </w:p>
          <w:p w14:paraId="3A4765F4" w14:textId="77777777" w:rsidR="009B5E39" w:rsidRPr="001335C7" w:rsidRDefault="009B5E39" w:rsidP="00190E4A">
            <w:pPr>
              <w:jc w:val="both"/>
              <w:rPr>
                <w:rFonts w:ascii="Gotham" w:hAnsi="Gotham" w:cs="Arial"/>
                <w:b/>
                <w:sz w:val="18"/>
                <w:szCs w:val="18"/>
                <w:highlight w:val="yellow"/>
              </w:rPr>
            </w:pPr>
            <w:r w:rsidRPr="001335C7">
              <w:rPr>
                <w:rFonts w:ascii="Gotham" w:hAnsi="Gotham" w:cs="Arial"/>
                <w:b/>
                <w:sz w:val="18"/>
                <w:szCs w:val="18"/>
                <w:highlight w:val="yellow"/>
              </w:rPr>
              <w:t xml:space="preserve">Artículo 163.- </w:t>
            </w:r>
            <w:r w:rsidRPr="001335C7">
              <w:rPr>
                <w:rFonts w:ascii="Gotham" w:hAnsi="Gotham" w:cs="Arial"/>
                <w:sz w:val="18"/>
                <w:szCs w:val="18"/>
                <w:highlight w:val="yellow"/>
              </w:rPr>
              <w:t>Para procurar la integridad y seguridad de las mujeres víctimas de violencia en el Municipio y con relación las órdenes de protección, se estará a lo establecido en el Reglamento de Justicia Cívica para el Municipio de Tonalá, Jalisco, el Reglamento de Policía y Buen Gobierno para el Municipio de Tonalá, Jalisco y demás legislación y normatividad vigente y aplicable en la materia.</w:t>
            </w:r>
          </w:p>
        </w:tc>
        <w:tc>
          <w:tcPr>
            <w:tcW w:w="4899" w:type="dxa"/>
            <w:shd w:val="clear" w:color="auto" w:fill="auto"/>
          </w:tcPr>
          <w:p w14:paraId="3A4765F5" w14:textId="77777777" w:rsidR="009B5E39" w:rsidRPr="001335C7" w:rsidRDefault="009B5E39" w:rsidP="00190E4A">
            <w:pPr>
              <w:jc w:val="both"/>
              <w:rPr>
                <w:rFonts w:ascii="Gotham" w:hAnsi="Gotham" w:cs="Arial"/>
                <w:b/>
                <w:sz w:val="18"/>
                <w:szCs w:val="18"/>
              </w:rPr>
            </w:pPr>
          </w:p>
          <w:p w14:paraId="3A4765F6" w14:textId="77777777" w:rsidR="009B5E39" w:rsidRPr="001335C7" w:rsidRDefault="009B5E39" w:rsidP="00190E4A">
            <w:pPr>
              <w:jc w:val="both"/>
              <w:rPr>
                <w:rFonts w:ascii="Gotham" w:hAnsi="Gotham" w:cs="Arial"/>
                <w:sz w:val="18"/>
                <w:szCs w:val="18"/>
                <w:highlight w:val="cyan"/>
              </w:rPr>
            </w:pPr>
            <w:r w:rsidRPr="001335C7">
              <w:rPr>
                <w:rFonts w:ascii="Gotham" w:hAnsi="Gotham" w:cs="Arial"/>
                <w:b/>
                <w:sz w:val="18"/>
                <w:szCs w:val="18"/>
                <w:highlight w:val="cyan"/>
              </w:rPr>
              <w:t xml:space="preserve">Artículo 163 .- </w:t>
            </w:r>
            <w:r w:rsidRPr="001335C7">
              <w:rPr>
                <w:rFonts w:ascii="Gotham" w:hAnsi="Gotham" w:cs="Arial"/>
                <w:sz w:val="18"/>
                <w:szCs w:val="18"/>
                <w:highlight w:val="cyan"/>
              </w:rPr>
              <w:t>Como integrante de la comisión especial de acceso a la justicia y sanción, le corresponde a la Unidad Especializada Policial de Atención a Mujeres Víctimas de Violencia lo siguiente:</w:t>
            </w:r>
          </w:p>
          <w:p w14:paraId="3A4765F7" w14:textId="77777777" w:rsidR="009B5E39" w:rsidRPr="001335C7" w:rsidRDefault="009B5E39" w:rsidP="00190E4A">
            <w:pPr>
              <w:jc w:val="both"/>
              <w:rPr>
                <w:rFonts w:ascii="Gotham" w:hAnsi="Gotham" w:cs="Arial"/>
                <w:sz w:val="18"/>
                <w:szCs w:val="18"/>
                <w:highlight w:val="cyan"/>
              </w:rPr>
            </w:pPr>
          </w:p>
          <w:p w14:paraId="3A4765F8" w14:textId="77777777" w:rsidR="009B5E39" w:rsidRPr="001335C7" w:rsidRDefault="009B5E39" w:rsidP="00E5394F">
            <w:pPr>
              <w:numPr>
                <w:ilvl w:val="0"/>
                <w:numId w:val="272"/>
              </w:numPr>
              <w:ind w:left="567" w:hanging="578"/>
              <w:jc w:val="both"/>
              <w:rPr>
                <w:rFonts w:ascii="Gotham" w:hAnsi="Gotham" w:cs="Arial"/>
                <w:sz w:val="18"/>
                <w:szCs w:val="18"/>
                <w:highlight w:val="cyan"/>
              </w:rPr>
            </w:pPr>
            <w:r w:rsidRPr="001335C7">
              <w:rPr>
                <w:rFonts w:ascii="Gotham" w:hAnsi="Gotham" w:cs="Arial"/>
                <w:sz w:val="18"/>
                <w:szCs w:val="18"/>
                <w:highlight w:val="cyan"/>
              </w:rPr>
              <w:t>Auxiliar en la realización de los diagnósticos mencionados en los artículos 153 y 154 del presente código a fin de coadyuvar en el fortalecimiento y atención integral de las mujeres en situación de violencia;</w:t>
            </w:r>
          </w:p>
          <w:p w14:paraId="3A4765F9" w14:textId="77777777" w:rsidR="009B5E39" w:rsidRPr="001335C7" w:rsidRDefault="009B5E39" w:rsidP="00190E4A">
            <w:pPr>
              <w:ind w:left="567" w:hanging="578"/>
              <w:jc w:val="both"/>
              <w:rPr>
                <w:rFonts w:ascii="Gotham" w:hAnsi="Gotham" w:cs="Arial"/>
                <w:sz w:val="18"/>
                <w:szCs w:val="18"/>
                <w:highlight w:val="cyan"/>
              </w:rPr>
            </w:pPr>
          </w:p>
          <w:p w14:paraId="3A4765FA" w14:textId="77777777" w:rsidR="009B5E39" w:rsidRPr="001335C7" w:rsidRDefault="009B5E39" w:rsidP="00E5394F">
            <w:pPr>
              <w:numPr>
                <w:ilvl w:val="0"/>
                <w:numId w:val="272"/>
              </w:numPr>
              <w:ind w:left="567" w:hanging="578"/>
              <w:jc w:val="both"/>
              <w:rPr>
                <w:rFonts w:ascii="Gotham" w:hAnsi="Gotham" w:cs="Arial"/>
                <w:sz w:val="18"/>
                <w:szCs w:val="18"/>
                <w:highlight w:val="cyan"/>
              </w:rPr>
            </w:pPr>
            <w:r w:rsidRPr="001335C7">
              <w:rPr>
                <w:rFonts w:ascii="Gotham" w:hAnsi="Gotham" w:cs="Arial"/>
                <w:sz w:val="18"/>
                <w:szCs w:val="18"/>
                <w:highlight w:val="cyan"/>
              </w:rPr>
              <w:t>Asesorar e informar sobre sus funciones relacionadas con las órdenes de protección que se otorgan a las mujeres víctimas de violencia en el Municipio; y</w:t>
            </w:r>
          </w:p>
          <w:p w14:paraId="3A4765FB" w14:textId="77777777" w:rsidR="009B5E39" w:rsidRPr="001335C7" w:rsidRDefault="009B5E39" w:rsidP="00190E4A">
            <w:pPr>
              <w:jc w:val="both"/>
              <w:rPr>
                <w:rFonts w:ascii="Gotham" w:hAnsi="Gotham" w:cs="Arial"/>
                <w:sz w:val="18"/>
                <w:szCs w:val="18"/>
                <w:highlight w:val="cyan"/>
              </w:rPr>
            </w:pPr>
          </w:p>
          <w:p w14:paraId="3A4765FC" w14:textId="77777777" w:rsidR="009B5E39" w:rsidRPr="001335C7" w:rsidRDefault="009B5E39" w:rsidP="00E5394F">
            <w:pPr>
              <w:numPr>
                <w:ilvl w:val="0"/>
                <w:numId w:val="272"/>
              </w:numPr>
              <w:ind w:left="567" w:hanging="578"/>
              <w:jc w:val="both"/>
              <w:rPr>
                <w:rFonts w:ascii="Gotham" w:hAnsi="Gotham" w:cs="Arial"/>
                <w:sz w:val="18"/>
                <w:szCs w:val="18"/>
                <w:highlight w:val="cyan"/>
              </w:rPr>
            </w:pPr>
            <w:r w:rsidRPr="001335C7">
              <w:rPr>
                <w:rFonts w:ascii="Gotham" w:hAnsi="Gotham" w:cs="Arial"/>
                <w:sz w:val="18"/>
                <w:szCs w:val="18"/>
                <w:highlight w:val="cyan"/>
              </w:rPr>
              <w:t>Las demás que se requieran con el propósito de procurar erradicar la violencia contra las mujeres en el Municipio.</w:t>
            </w:r>
          </w:p>
          <w:p w14:paraId="3A4765FD" w14:textId="77777777" w:rsidR="009B5E39" w:rsidRPr="001335C7" w:rsidRDefault="009B5E39" w:rsidP="00190E4A">
            <w:pPr>
              <w:ind w:left="1080"/>
              <w:jc w:val="both"/>
              <w:rPr>
                <w:rFonts w:ascii="Gotham" w:hAnsi="Gotham" w:cs="Arial"/>
                <w:sz w:val="18"/>
                <w:szCs w:val="18"/>
              </w:rPr>
            </w:pPr>
          </w:p>
        </w:tc>
      </w:tr>
      <w:tr w:rsidR="009B5E39" w:rsidRPr="001335C7" w14:paraId="3A476606" w14:textId="77777777" w:rsidTr="00190E4A">
        <w:tc>
          <w:tcPr>
            <w:tcW w:w="4898" w:type="dxa"/>
            <w:shd w:val="clear" w:color="auto" w:fill="auto"/>
          </w:tcPr>
          <w:p w14:paraId="3A4765FF" w14:textId="77777777" w:rsidR="009B5E39" w:rsidRPr="001335C7" w:rsidRDefault="009B5E39" w:rsidP="00190E4A">
            <w:pPr>
              <w:jc w:val="both"/>
              <w:rPr>
                <w:rFonts w:ascii="Gotham" w:hAnsi="Gotham" w:cs="Arial"/>
                <w:b/>
                <w:sz w:val="18"/>
                <w:szCs w:val="18"/>
              </w:rPr>
            </w:pPr>
          </w:p>
          <w:p w14:paraId="3A476600" w14:textId="77777777" w:rsidR="009B5E39" w:rsidRPr="001335C7" w:rsidRDefault="009B5E39" w:rsidP="00190E4A">
            <w:pPr>
              <w:jc w:val="both"/>
              <w:rPr>
                <w:rFonts w:ascii="Gotham" w:hAnsi="Gotham" w:cs="Arial"/>
                <w:b/>
                <w:sz w:val="18"/>
                <w:szCs w:val="18"/>
              </w:rPr>
            </w:pPr>
          </w:p>
        </w:tc>
        <w:tc>
          <w:tcPr>
            <w:tcW w:w="4899" w:type="dxa"/>
            <w:shd w:val="clear" w:color="auto" w:fill="auto"/>
          </w:tcPr>
          <w:p w14:paraId="3A476601" w14:textId="77777777" w:rsidR="009B5E39" w:rsidRPr="001335C7" w:rsidRDefault="009B5E39" w:rsidP="00190E4A">
            <w:pPr>
              <w:jc w:val="both"/>
              <w:rPr>
                <w:rFonts w:ascii="Gotham" w:hAnsi="Gotham" w:cs="Arial"/>
                <w:b/>
                <w:sz w:val="18"/>
                <w:szCs w:val="18"/>
              </w:rPr>
            </w:pPr>
          </w:p>
          <w:p w14:paraId="3A476602" w14:textId="77777777" w:rsidR="009B5E39" w:rsidRPr="001335C7" w:rsidRDefault="009B5E39" w:rsidP="00190E4A">
            <w:pPr>
              <w:pStyle w:val="Ttulo3"/>
              <w:keepLines w:val="0"/>
              <w:spacing w:before="0" w:line="240" w:lineRule="auto"/>
              <w:jc w:val="center"/>
              <w:rPr>
                <w:rFonts w:ascii="Gotham" w:hAnsi="Gotham" w:cs="Arial"/>
                <w:sz w:val="18"/>
                <w:szCs w:val="18"/>
              </w:rPr>
            </w:pPr>
            <w:bookmarkStart w:id="75" w:name="_heading=h.m2x2a8ysa2y7" w:colFirst="0" w:colLast="0"/>
            <w:bookmarkEnd w:id="75"/>
            <w:r w:rsidRPr="001335C7">
              <w:rPr>
                <w:rFonts w:ascii="Gotham" w:hAnsi="Gotham" w:cs="Arial"/>
                <w:sz w:val="18"/>
                <w:szCs w:val="18"/>
              </w:rPr>
              <w:t xml:space="preserve">CAPÍTULO IV. </w:t>
            </w:r>
            <w:r w:rsidRPr="001335C7">
              <w:rPr>
                <w:rFonts w:ascii="Gotham" w:hAnsi="Gotham" w:cs="Arial"/>
                <w:sz w:val="18"/>
                <w:szCs w:val="18"/>
              </w:rPr>
              <w:br/>
              <w:t>DE LAS ÓRDENES DE PROTECCIÓN</w:t>
            </w:r>
          </w:p>
          <w:p w14:paraId="3A476603" w14:textId="77777777" w:rsidR="009B5E39" w:rsidRPr="001335C7" w:rsidRDefault="009B5E39" w:rsidP="00190E4A">
            <w:pPr>
              <w:jc w:val="both"/>
              <w:rPr>
                <w:rFonts w:ascii="Gotham" w:hAnsi="Gotham" w:cs="Arial"/>
                <w:sz w:val="18"/>
                <w:szCs w:val="18"/>
              </w:rPr>
            </w:pPr>
          </w:p>
          <w:p w14:paraId="3A476604"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 xml:space="preserve">Artículo 164.- </w:t>
            </w:r>
            <w:r w:rsidRPr="001335C7">
              <w:rPr>
                <w:rFonts w:ascii="Gotham" w:hAnsi="Gotham" w:cs="Arial"/>
                <w:sz w:val="18"/>
                <w:szCs w:val="18"/>
              </w:rPr>
              <w:t>Para procurar la integridad y seguridad de las mujeres víctimas de violencia en el Municipio y con relación las órdenes de protección, se estará a lo establecido en el Reglamento de Justicia Cívica para el Municipio de Tonalá, Jalisco, el Reglamento de Policía y Buen Gobierno para el Municipio de Tonalá, Jalisco y demás legislación y normatividad vigente y aplicable en la materia.</w:t>
            </w:r>
          </w:p>
          <w:p w14:paraId="3A476605" w14:textId="77777777" w:rsidR="009B5E39" w:rsidRPr="001335C7" w:rsidRDefault="009B5E39" w:rsidP="00190E4A">
            <w:pPr>
              <w:jc w:val="both"/>
              <w:rPr>
                <w:rFonts w:ascii="Gotham" w:hAnsi="Gotham" w:cs="Arial"/>
                <w:sz w:val="18"/>
                <w:szCs w:val="18"/>
              </w:rPr>
            </w:pPr>
          </w:p>
        </w:tc>
      </w:tr>
      <w:tr w:rsidR="009B5E39" w:rsidRPr="001335C7" w14:paraId="3A47660E" w14:textId="77777777" w:rsidTr="00190E4A">
        <w:tc>
          <w:tcPr>
            <w:tcW w:w="4898" w:type="dxa"/>
            <w:shd w:val="clear" w:color="auto" w:fill="auto"/>
          </w:tcPr>
          <w:p w14:paraId="3A476607" w14:textId="77777777" w:rsidR="009B5E39" w:rsidRPr="001335C7" w:rsidRDefault="009B5E39" w:rsidP="00190E4A">
            <w:pPr>
              <w:jc w:val="both"/>
              <w:rPr>
                <w:rFonts w:ascii="Gotham" w:hAnsi="Gotham" w:cs="Arial"/>
                <w:b/>
                <w:sz w:val="18"/>
                <w:szCs w:val="18"/>
              </w:rPr>
            </w:pPr>
          </w:p>
        </w:tc>
        <w:tc>
          <w:tcPr>
            <w:tcW w:w="4899" w:type="dxa"/>
            <w:shd w:val="clear" w:color="auto" w:fill="auto"/>
          </w:tcPr>
          <w:p w14:paraId="3A476608" w14:textId="77777777" w:rsidR="009B5E39" w:rsidRPr="001335C7" w:rsidRDefault="009B5E39" w:rsidP="00190E4A">
            <w:pPr>
              <w:pStyle w:val="Ttulo1"/>
              <w:rPr>
                <w:rFonts w:ascii="Gotham" w:hAnsi="Gotham" w:cs="Arial"/>
                <w:sz w:val="18"/>
                <w:szCs w:val="18"/>
              </w:rPr>
            </w:pPr>
            <w:bookmarkStart w:id="76" w:name="_heading=h.28h4qwu" w:colFirst="0" w:colLast="0"/>
            <w:bookmarkEnd w:id="76"/>
            <w:r w:rsidRPr="001335C7">
              <w:rPr>
                <w:rFonts w:ascii="Gotham" w:hAnsi="Gotham" w:cs="Arial"/>
                <w:sz w:val="18"/>
                <w:szCs w:val="18"/>
              </w:rPr>
              <w:t>LIBRO QUINTO</w:t>
            </w:r>
            <w:r w:rsidRPr="001335C7">
              <w:rPr>
                <w:rFonts w:ascii="Gotham" w:hAnsi="Gotham" w:cs="Arial"/>
                <w:sz w:val="18"/>
                <w:szCs w:val="18"/>
              </w:rPr>
              <w:br/>
              <w:t>DE LA UNIDAD ESPECIALIZADA POLICIAL DE ATENCIÓN A MUJERES VÍCTIMAS DE VIOLENCIA</w:t>
            </w:r>
          </w:p>
          <w:p w14:paraId="3A476609" w14:textId="77777777" w:rsidR="009B5E39" w:rsidRPr="001335C7" w:rsidRDefault="009B5E39" w:rsidP="00190E4A">
            <w:pPr>
              <w:rPr>
                <w:rFonts w:ascii="Gotham" w:hAnsi="Gotham" w:cs="Arial"/>
                <w:sz w:val="18"/>
                <w:szCs w:val="18"/>
              </w:rPr>
            </w:pPr>
          </w:p>
          <w:p w14:paraId="3A47660A" w14:textId="77777777" w:rsidR="009B5E39" w:rsidRPr="001335C7" w:rsidRDefault="009B5E39" w:rsidP="00190E4A">
            <w:pPr>
              <w:pStyle w:val="Ttulo2"/>
              <w:rPr>
                <w:rFonts w:ascii="Gotham" w:hAnsi="Gotham" w:cs="Arial"/>
                <w:sz w:val="18"/>
                <w:szCs w:val="18"/>
              </w:rPr>
            </w:pPr>
            <w:bookmarkStart w:id="77" w:name="_heading=h.7mxt7ggqumms" w:colFirst="0" w:colLast="0"/>
            <w:bookmarkEnd w:id="77"/>
            <w:r w:rsidRPr="001335C7">
              <w:rPr>
                <w:rFonts w:ascii="Gotham" w:hAnsi="Gotham" w:cs="Arial"/>
                <w:sz w:val="18"/>
                <w:szCs w:val="18"/>
              </w:rPr>
              <w:t>TÍTULO PRIMERO DISPOSICIONES GENERALES</w:t>
            </w:r>
          </w:p>
          <w:p w14:paraId="3A47660B" w14:textId="77777777" w:rsidR="009B5E39" w:rsidRPr="001335C7" w:rsidRDefault="009B5E39" w:rsidP="00190E4A">
            <w:pPr>
              <w:rPr>
                <w:rFonts w:ascii="Gotham" w:hAnsi="Gotham" w:cs="Arial"/>
                <w:sz w:val="18"/>
                <w:szCs w:val="18"/>
              </w:rPr>
            </w:pPr>
          </w:p>
          <w:p w14:paraId="3A47660C" w14:textId="77777777" w:rsidR="009B5E39" w:rsidRPr="001335C7" w:rsidRDefault="009B5E39" w:rsidP="00190E4A">
            <w:pPr>
              <w:jc w:val="both"/>
              <w:rPr>
                <w:rFonts w:ascii="Gotham" w:hAnsi="Gotham" w:cs="Arial"/>
                <w:sz w:val="18"/>
                <w:szCs w:val="18"/>
              </w:rPr>
            </w:pPr>
            <w:r w:rsidRPr="001335C7">
              <w:rPr>
                <w:rFonts w:ascii="Gotham" w:hAnsi="Gotham" w:cs="Arial"/>
                <w:b/>
                <w:sz w:val="18"/>
                <w:szCs w:val="18"/>
              </w:rPr>
              <w:t>Artículo 165.</w:t>
            </w:r>
            <w:r w:rsidRPr="001335C7">
              <w:rPr>
                <w:rFonts w:ascii="Gotham" w:hAnsi="Gotham" w:cs="Arial"/>
                <w:sz w:val="18"/>
                <w:szCs w:val="18"/>
              </w:rPr>
              <w:t xml:space="preserve"> La Unidad Especializada Policial de Atención a Mujeres </w:t>
            </w:r>
            <w:proofErr w:type="spellStart"/>
            <w:r w:rsidRPr="001335C7">
              <w:rPr>
                <w:rFonts w:ascii="Gotham" w:hAnsi="Gotham" w:cs="Arial"/>
                <w:sz w:val="18"/>
                <w:szCs w:val="18"/>
              </w:rPr>
              <w:t>Victimas</w:t>
            </w:r>
            <w:proofErr w:type="spellEnd"/>
            <w:r w:rsidRPr="001335C7">
              <w:rPr>
                <w:rFonts w:ascii="Gotham" w:hAnsi="Gotham" w:cs="Arial"/>
                <w:sz w:val="18"/>
                <w:szCs w:val="18"/>
              </w:rPr>
              <w:t xml:space="preserve"> de Violencia es el área específica de prevención y atención de violencia de género, la cual trabaja de manera articulada con el Sistema Municipal para Prevenir, Atender, Sancionar y Erradicar la Violencia contra las Mujeres y el Instituto Municipal de las Mujeres en Guadalajara en la aplicación del Modelo Único de Atención Integral a Mujeres y Niñas Víctimas de Violencia. El cuerpo operativo que la conforma debe participar en la formación, capacitación, profesionalización y certificación para su continua actualización, así como en la contención emocional que les sea brindada, conforme a lo dispuesto en el Modelo Único de Atención Integral a Mujeres y Niñas Víctimas de Violencia. </w:t>
            </w:r>
          </w:p>
          <w:p w14:paraId="3A47660D" w14:textId="77777777" w:rsidR="009B5E39" w:rsidRPr="001335C7" w:rsidRDefault="009B5E39" w:rsidP="00190E4A">
            <w:pPr>
              <w:rPr>
                <w:rFonts w:ascii="Gotham" w:hAnsi="Gotham" w:cs="Arial"/>
                <w:sz w:val="18"/>
                <w:szCs w:val="18"/>
              </w:rPr>
            </w:pPr>
          </w:p>
        </w:tc>
      </w:tr>
    </w:tbl>
    <w:p w14:paraId="3A47660F" w14:textId="77777777" w:rsidR="009B5E39" w:rsidRPr="00183C42" w:rsidRDefault="009B5E39" w:rsidP="009B5E39">
      <w:pPr>
        <w:ind w:left="284" w:right="283"/>
        <w:rPr>
          <w:rFonts w:ascii="Gotham" w:hAnsi="Gotham" w:cs="Arial"/>
          <w:sz w:val="19"/>
          <w:szCs w:val="19"/>
        </w:rPr>
      </w:pPr>
    </w:p>
    <w:p w14:paraId="3A476610" w14:textId="77777777" w:rsidR="009B5E39" w:rsidRPr="00183C42" w:rsidRDefault="009B5E39" w:rsidP="009B5E39">
      <w:pPr>
        <w:ind w:left="284" w:right="283"/>
        <w:jc w:val="center"/>
        <w:rPr>
          <w:rFonts w:ascii="Gotham" w:hAnsi="Gotham" w:cs="Arial"/>
          <w:sz w:val="19"/>
          <w:szCs w:val="19"/>
        </w:rPr>
      </w:pPr>
      <w:r w:rsidRPr="00183C42">
        <w:rPr>
          <w:rFonts w:ascii="Gotham" w:hAnsi="Gotham" w:cs="Arial"/>
          <w:sz w:val="19"/>
          <w:szCs w:val="19"/>
        </w:rPr>
        <w:t>TRANSITORIOS</w:t>
      </w:r>
    </w:p>
    <w:p w14:paraId="3A476611" w14:textId="77777777" w:rsidR="009B5E39" w:rsidRPr="00183C42" w:rsidRDefault="009B5E39" w:rsidP="009B5E39">
      <w:pPr>
        <w:ind w:left="284" w:right="283"/>
        <w:jc w:val="center"/>
        <w:rPr>
          <w:rFonts w:ascii="Gotham" w:hAnsi="Gotham" w:cs="Arial"/>
          <w:sz w:val="19"/>
          <w:szCs w:val="19"/>
        </w:rPr>
      </w:pPr>
    </w:p>
    <w:p w14:paraId="3A476612" w14:textId="77777777" w:rsidR="009B5E39" w:rsidRPr="00183C42" w:rsidRDefault="009B5E39" w:rsidP="009B5E39">
      <w:pPr>
        <w:ind w:left="284" w:right="283"/>
        <w:jc w:val="both"/>
        <w:rPr>
          <w:rFonts w:ascii="Gotham" w:hAnsi="Gotham" w:cs="Arial"/>
          <w:sz w:val="19"/>
          <w:szCs w:val="19"/>
        </w:rPr>
      </w:pPr>
      <w:r w:rsidRPr="00183C42">
        <w:rPr>
          <w:rFonts w:ascii="Gotham" w:hAnsi="Gotham" w:cs="Arial"/>
          <w:sz w:val="19"/>
          <w:szCs w:val="19"/>
        </w:rPr>
        <w:t>PRIMERO. Las presentes reformas entrarán, en vigor una al día siguiente de su publicación en la gaceta Municipal Tlahtolli.</w:t>
      </w:r>
    </w:p>
    <w:p w14:paraId="3A476613" w14:textId="77777777" w:rsidR="009B5E39" w:rsidRPr="00183C42" w:rsidRDefault="009B5E39" w:rsidP="009B5E39">
      <w:pPr>
        <w:ind w:left="284" w:right="283"/>
        <w:jc w:val="both"/>
        <w:rPr>
          <w:rFonts w:ascii="Gotham" w:hAnsi="Gotham" w:cs="Arial"/>
          <w:sz w:val="19"/>
          <w:szCs w:val="19"/>
        </w:rPr>
      </w:pPr>
    </w:p>
    <w:p w14:paraId="3A476614" w14:textId="77777777" w:rsidR="009B5E39" w:rsidRPr="00183C42" w:rsidRDefault="009B5E39" w:rsidP="009B5E39">
      <w:pPr>
        <w:ind w:left="284" w:right="283"/>
        <w:jc w:val="both"/>
        <w:rPr>
          <w:rFonts w:ascii="Gotham" w:hAnsi="Gotham" w:cs="Arial"/>
          <w:sz w:val="19"/>
          <w:szCs w:val="19"/>
        </w:rPr>
      </w:pPr>
      <w:r w:rsidRPr="00183C42">
        <w:rPr>
          <w:rFonts w:ascii="Gotham" w:hAnsi="Gotham" w:cs="Arial"/>
          <w:sz w:val="19"/>
          <w:szCs w:val="19"/>
        </w:rPr>
        <w:t>SEGUNDO. Remítase el presente Reglamento al C. Presidente Municipal, para los efectos de su obligatoria promulgación y publicación, de conformidad con el artículo 42 fracción IV de la Ley del Gobierno y la Administración Pública Municipal del Estado de Jalisco.</w:t>
      </w:r>
      <w:r w:rsidR="007C2F8D">
        <w:rPr>
          <w:rFonts w:ascii="Gotham" w:hAnsi="Gotham" w:cs="Arial"/>
          <w:sz w:val="19"/>
          <w:szCs w:val="19"/>
        </w:rPr>
        <w:t xml:space="preserve">  </w:t>
      </w:r>
    </w:p>
    <w:p w14:paraId="3A476615" w14:textId="77777777" w:rsidR="009B5E39" w:rsidRPr="00C11D3F" w:rsidRDefault="009B5E39" w:rsidP="009B5E39">
      <w:pPr>
        <w:jc w:val="both"/>
        <w:rPr>
          <w:rFonts w:ascii="Gotham" w:hAnsi="Gotham" w:cs="Arial"/>
          <w:sz w:val="20"/>
          <w:szCs w:val="20"/>
        </w:rPr>
      </w:pPr>
    </w:p>
    <w:p w14:paraId="3A476616" w14:textId="77777777" w:rsidR="009B5E39" w:rsidRPr="00C11D3F" w:rsidRDefault="009B5E39" w:rsidP="009B5E39">
      <w:pPr>
        <w:jc w:val="both"/>
        <w:rPr>
          <w:rFonts w:ascii="Gotham" w:hAnsi="Gotham" w:cs="Arial"/>
          <w:b/>
          <w:sz w:val="20"/>
          <w:szCs w:val="20"/>
        </w:rPr>
      </w:pPr>
      <w:r w:rsidRPr="00C11D3F">
        <w:rPr>
          <w:rFonts w:ascii="Gotham" w:hAnsi="Gotham" w:cs="Arial"/>
          <w:b/>
          <w:sz w:val="20"/>
          <w:szCs w:val="20"/>
        </w:rPr>
        <w:t xml:space="preserve">Por lo que respecta, al REGLAMENTO DE PARTICIPACIÓN CIUDADANA </w:t>
      </w:r>
      <w:r w:rsidRPr="00C11D3F">
        <w:rPr>
          <w:rFonts w:ascii="Gotham" w:hAnsi="Gotham" w:cs="Arial"/>
          <w:b/>
          <w:bCs/>
          <w:sz w:val="20"/>
          <w:szCs w:val="20"/>
        </w:rPr>
        <w:t>PARA LA GOBERNANZA</w:t>
      </w:r>
      <w:r w:rsidRPr="00C11D3F">
        <w:rPr>
          <w:rFonts w:ascii="Gotham" w:hAnsi="Gotham" w:cs="Arial"/>
          <w:b/>
          <w:bCs/>
          <w:spacing w:val="-7"/>
          <w:sz w:val="20"/>
          <w:szCs w:val="20"/>
        </w:rPr>
        <w:t xml:space="preserve"> </w:t>
      </w:r>
      <w:r w:rsidRPr="00C11D3F">
        <w:rPr>
          <w:rFonts w:ascii="Gotham" w:hAnsi="Gotham" w:cs="Arial"/>
          <w:b/>
          <w:bCs/>
          <w:sz w:val="20"/>
          <w:szCs w:val="20"/>
        </w:rPr>
        <w:t>DEL</w:t>
      </w:r>
      <w:r w:rsidRPr="00C11D3F">
        <w:rPr>
          <w:rFonts w:ascii="Gotham" w:hAnsi="Gotham" w:cs="Arial"/>
          <w:b/>
          <w:bCs/>
          <w:spacing w:val="-52"/>
          <w:sz w:val="20"/>
          <w:szCs w:val="20"/>
        </w:rPr>
        <w:t xml:space="preserve"> </w:t>
      </w:r>
      <w:r w:rsidRPr="00C11D3F">
        <w:rPr>
          <w:rFonts w:ascii="Gotham" w:hAnsi="Gotham" w:cs="Arial"/>
          <w:b/>
          <w:bCs/>
          <w:sz w:val="20"/>
          <w:szCs w:val="20"/>
        </w:rPr>
        <w:t>MUNICIPIO DE</w:t>
      </w:r>
      <w:r w:rsidRPr="00C11D3F">
        <w:rPr>
          <w:rFonts w:ascii="Gotham" w:hAnsi="Gotham" w:cs="Arial"/>
          <w:b/>
          <w:bCs/>
          <w:spacing w:val="1"/>
          <w:sz w:val="20"/>
          <w:szCs w:val="20"/>
        </w:rPr>
        <w:t xml:space="preserve"> </w:t>
      </w:r>
      <w:r w:rsidRPr="00C11D3F">
        <w:rPr>
          <w:rFonts w:ascii="Gotham" w:hAnsi="Gotham" w:cs="Arial"/>
          <w:b/>
          <w:bCs/>
          <w:sz w:val="20"/>
          <w:szCs w:val="20"/>
        </w:rPr>
        <w:t>TONALÁ,</w:t>
      </w:r>
      <w:r w:rsidRPr="00C11D3F">
        <w:rPr>
          <w:rFonts w:ascii="Gotham" w:hAnsi="Gotham" w:cs="Arial"/>
          <w:b/>
          <w:bCs/>
          <w:spacing w:val="-3"/>
          <w:sz w:val="20"/>
          <w:szCs w:val="20"/>
        </w:rPr>
        <w:t xml:space="preserve"> </w:t>
      </w:r>
      <w:r w:rsidRPr="00C11D3F">
        <w:rPr>
          <w:rFonts w:ascii="Gotham" w:hAnsi="Gotham" w:cs="Arial"/>
          <w:b/>
          <w:bCs/>
          <w:sz w:val="20"/>
          <w:szCs w:val="20"/>
        </w:rPr>
        <w:t>JALISCO</w:t>
      </w:r>
      <w:r w:rsidRPr="00C11D3F">
        <w:rPr>
          <w:rFonts w:ascii="Gotham" w:hAnsi="Gotham" w:cs="Arial"/>
          <w:b/>
          <w:sz w:val="20"/>
          <w:szCs w:val="20"/>
        </w:rPr>
        <w:t xml:space="preserve">, se reforma para quedar como sigue: </w:t>
      </w:r>
    </w:p>
    <w:p w14:paraId="3A476617" w14:textId="77777777" w:rsidR="009B5E39" w:rsidRPr="00C11D3F" w:rsidRDefault="009B5E39" w:rsidP="009B5E39">
      <w:pPr>
        <w:jc w:val="both"/>
        <w:rPr>
          <w:rFonts w:ascii="Gotham" w:hAnsi="Gotham" w:cs="Arial"/>
          <w:b/>
          <w:bCs/>
          <w:sz w:val="20"/>
          <w:szCs w:val="20"/>
        </w:rPr>
      </w:pPr>
    </w:p>
    <w:tbl>
      <w:tblPr>
        <w:tblW w:w="9351" w:type="dxa"/>
        <w:jc w:val="center"/>
        <w:tblLook w:val="04A0" w:firstRow="1" w:lastRow="0" w:firstColumn="1" w:lastColumn="0" w:noHBand="0" w:noVBand="1"/>
      </w:tblPr>
      <w:tblGrid>
        <w:gridCol w:w="4673"/>
        <w:gridCol w:w="4678"/>
      </w:tblGrid>
      <w:tr w:rsidR="009B5E39" w:rsidRPr="00C11D3F" w14:paraId="3A47661A" w14:textId="77777777" w:rsidTr="00190E4A">
        <w:trPr>
          <w:trHeight w:val="283"/>
          <w:jc w:val="center"/>
        </w:trPr>
        <w:tc>
          <w:tcPr>
            <w:tcW w:w="4673" w:type="dxa"/>
            <w:vAlign w:val="center"/>
          </w:tcPr>
          <w:p w14:paraId="3A476618" w14:textId="77777777" w:rsidR="009B5E39" w:rsidRPr="00C11D3F" w:rsidRDefault="009B5E39" w:rsidP="00190E4A">
            <w:pPr>
              <w:jc w:val="center"/>
              <w:rPr>
                <w:rFonts w:ascii="Gotham" w:hAnsi="Gotham" w:cs="Arial"/>
                <w:b/>
                <w:bCs/>
                <w:sz w:val="18"/>
                <w:szCs w:val="18"/>
              </w:rPr>
            </w:pPr>
            <w:r w:rsidRPr="00C11D3F">
              <w:rPr>
                <w:rFonts w:ascii="Gotham" w:hAnsi="Gotham" w:cs="Arial"/>
                <w:b/>
                <w:bCs/>
                <w:sz w:val="18"/>
                <w:szCs w:val="18"/>
              </w:rPr>
              <w:t>DICE</w:t>
            </w:r>
          </w:p>
        </w:tc>
        <w:tc>
          <w:tcPr>
            <w:tcW w:w="4678" w:type="dxa"/>
            <w:vAlign w:val="center"/>
          </w:tcPr>
          <w:p w14:paraId="3A476619" w14:textId="77777777" w:rsidR="009B5E39" w:rsidRPr="00C11D3F" w:rsidRDefault="009B5E39" w:rsidP="00190E4A">
            <w:pPr>
              <w:jc w:val="center"/>
              <w:rPr>
                <w:rFonts w:ascii="Gotham" w:hAnsi="Gotham" w:cs="Arial"/>
                <w:b/>
                <w:bCs/>
                <w:sz w:val="18"/>
                <w:szCs w:val="18"/>
              </w:rPr>
            </w:pPr>
            <w:r w:rsidRPr="00C11D3F">
              <w:rPr>
                <w:rFonts w:ascii="Gotham" w:hAnsi="Gotham" w:cs="Arial"/>
                <w:b/>
                <w:bCs/>
                <w:sz w:val="18"/>
                <w:szCs w:val="18"/>
              </w:rPr>
              <w:t>DEBE DECIR</w:t>
            </w:r>
          </w:p>
        </w:tc>
      </w:tr>
      <w:tr w:rsidR="009B5E39" w:rsidRPr="00C11D3F" w14:paraId="3A47661F" w14:textId="77777777" w:rsidTr="00190E4A">
        <w:trPr>
          <w:jc w:val="center"/>
        </w:trPr>
        <w:tc>
          <w:tcPr>
            <w:tcW w:w="4673" w:type="dxa"/>
          </w:tcPr>
          <w:p w14:paraId="3A47661B" w14:textId="77777777" w:rsidR="009B5E39" w:rsidRDefault="009B5E39" w:rsidP="00190E4A">
            <w:pPr>
              <w:jc w:val="both"/>
              <w:rPr>
                <w:rFonts w:ascii="Gotham" w:hAnsi="Gotham" w:cs="Arial"/>
                <w:bCs/>
                <w:sz w:val="18"/>
                <w:szCs w:val="18"/>
              </w:rPr>
            </w:pPr>
          </w:p>
          <w:p w14:paraId="3A47661C" w14:textId="77777777" w:rsidR="009B5E39" w:rsidRPr="00C11D3F" w:rsidRDefault="009B5E39" w:rsidP="00190E4A">
            <w:pPr>
              <w:jc w:val="both"/>
              <w:rPr>
                <w:rFonts w:ascii="Gotham" w:hAnsi="Gotham" w:cs="Arial"/>
                <w:bCs/>
                <w:sz w:val="18"/>
                <w:szCs w:val="18"/>
              </w:rPr>
            </w:pPr>
            <w:r w:rsidRPr="00C11D3F">
              <w:rPr>
                <w:rFonts w:ascii="Gotham" w:hAnsi="Gotham" w:cs="Arial"/>
                <w:bCs/>
                <w:sz w:val="18"/>
                <w:szCs w:val="18"/>
              </w:rPr>
              <w:t>REGLAMENTO</w:t>
            </w:r>
            <w:r w:rsidRPr="00C11D3F">
              <w:rPr>
                <w:rFonts w:ascii="Gotham" w:hAnsi="Gotham" w:cs="Arial"/>
                <w:bCs/>
                <w:spacing w:val="-3"/>
                <w:sz w:val="18"/>
                <w:szCs w:val="18"/>
              </w:rPr>
              <w:t xml:space="preserve"> </w:t>
            </w:r>
            <w:r w:rsidRPr="00C11D3F">
              <w:rPr>
                <w:rFonts w:ascii="Gotham" w:hAnsi="Gotham" w:cs="Arial"/>
                <w:bCs/>
                <w:sz w:val="18"/>
                <w:szCs w:val="18"/>
              </w:rPr>
              <w:t>DE</w:t>
            </w:r>
            <w:r w:rsidRPr="00C11D3F">
              <w:rPr>
                <w:rFonts w:ascii="Gotham" w:hAnsi="Gotham" w:cs="Arial"/>
                <w:bCs/>
                <w:spacing w:val="-9"/>
                <w:sz w:val="18"/>
                <w:szCs w:val="18"/>
              </w:rPr>
              <w:t xml:space="preserve"> </w:t>
            </w:r>
            <w:r w:rsidRPr="00C11D3F">
              <w:rPr>
                <w:rFonts w:ascii="Gotham" w:hAnsi="Gotham" w:cs="Arial"/>
                <w:bCs/>
                <w:sz w:val="18"/>
                <w:szCs w:val="18"/>
              </w:rPr>
              <w:t>PARTICIPACIÓN</w:t>
            </w:r>
            <w:r w:rsidRPr="00C11D3F">
              <w:rPr>
                <w:rFonts w:ascii="Gotham" w:hAnsi="Gotham" w:cs="Arial"/>
                <w:bCs/>
                <w:spacing w:val="-3"/>
                <w:sz w:val="18"/>
                <w:szCs w:val="18"/>
              </w:rPr>
              <w:t xml:space="preserve"> </w:t>
            </w:r>
            <w:r w:rsidRPr="00C11D3F">
              <w:rPr>
                <w:rFonts w:ascii="Gotham" w:hAnsi="Gotham" w:cs="Arial"/>
                <w:bCs/>
                <w:sz w:val="18"/>
                <w:szCs w:val="18"/>
              </w:rPr>
              <w:t>CIUDADANA PARA LA GOBERNANZA</w:t>
            </w:r>
            <w:r w:rsidRPr="00C11D3F">
              <w:rPr>
                <w:rFonts w:ascii="Gotham" w:hAnsi="Gotham" w:cs="Arial"/>
                <w:bCs/>
                <w:spacing w:val="-7"/>
                <w:sz w:val="18"/>
                <w:szCs w:val="18"/>
              </w:rPr>
              <w:t xml:space="preserve"> </w:t>
            </w:r>
            <w:r w:rsidRPr="00C11D3F">
              <w:rPr>
                <w:rFonts w:ascii="Gotham" w:hAnsi="Gotham" w:cs="Arial"/>
                <w:bCs/>
                <w:sz w:val="18"/>
                <w:szCs w:val="18"/>
              </w:rPr>
              <w:t>DEL</w:t>
            </w:r>
            <w:r w:rsidRPr="00C11D3F">
              <w:rPr>
                <w:rFonts w:ascii="Gotham" w:hAnsi="Gotham" w:cs="Arial"/>
                <w:bCs/>
                <w:spacing w:val="-52"/>
                <w:sz w:val="18"/>
                <w:szCs w:val="18"/>
              </w:rPr>
              <w:t xml:space="preserve"> </w:t>
            </w:r>
            <w:r w:rsidRPr="00C11D3F">
              <w:rPr>
                <w:rFonts w:ascii="Gotham" w:hAnsi="Gotham" w:cs="Arial"/>
                <w:bCs/>
                <w:sz w:val="18"/>
                <w:szCs w:val="18"/>
              </w:rPr>
              <w:t>MUNICIPIO DE</w:t>
            </w:r>
            <w:r w:rsidRPr="00C11D3F">
              <w:rPr>
                <w:rFonts w:ascii="Gotham" w:hAnsi="Gotham" w:cs="Arial"/>
                <w:bCs/>
                <w:spacing w:val="1"/>
                <w:sz w:val="18"/>
                <w:szCs w:val="18"/>
              </w:rPr>
              <w:t xml:space="preserve"> </w:t>
            </w:r>
            <w:r w:rsidRPr="00C11D3F">
              <w:rPr>
                <w:rFonts w:ascii="Gotham" w:hAnsi="Gotham" w:cs="Arial"/>
                <w:bCs/>
                <w:sz w:val="18"/>
                <w:szCs w:val="18"/>
              </w:rPr>
              <w:t>TONALÁ,</w:t>
            </w:r>
            <w:r w:rsidRPr="00C11D3F">
              <w:rPr>
                <w:rFonts w:ascii="Gotham" w:hAnsi="Gotham" w:cs="Arial"/>
                <w:bCs/>
                <w:spacing w:val="-3"/>
                <w:sz w:val="18"/>
                <w:szCs w:val="18"/>
              </w:rPr>
              <w:t xml:space="preserve"> </w:t>
            </w:r>
            <w:r w:rsidRPr="00C11D3F">
              <w:rPr>
                <w:rFonts w:ascii="Gotham" w:hAnsi="Gotham" w:cs="Arial"/>
                <w:bCs/>
                <w:sz w:val="18"/>
                <w:szCs w:val="18"/>
              </w:rPr>
              <w:t>JALISCO.</w:t>
            </w:r>
          </w:p>
        </w:tc>
        <w:tc>
          <w:tcPr>
            <w:tcW w:w="4678" w:type="dxa"/>
          </w:tcPr>
          <w:p w14:paraId="3A47661D" w14:textId="77777777" w:rsidR="009B5E39" w:rsidRDefault="009B5E39" w:rsidP="00190E4A">
            <w:pPr>
              <w:jc w:val="both"/>
              <w:rPr>
                <w:rFonts w:ascii="Gotham" w:hAnsi="Gotham" w:cs="Arial"/>
                <w:bCs/>
                <w:sz w:val="18"/>
                <w:szCs w:val="18"/>
              </w:rPr>
            </w:pPr>
          </w:p>
          <w:p w14:paraId="3A47661E" w14:textId="77777777" w:rsidR="009B5E39" w:rsidRPr="00C11D3F" w:rsidRDefault="009B5E39" w:rsidP="00190E4A">
            <w:pPr>
              <w:jc w:val="both"/>
              <w:rPr>
                <w:rFonts w:ascii="Gotham" w:hAnsi="Gotham" w:cs="Arial"/>
                <w:sz w:val="18"/>
                <w:szCs w:val="18"/>
              </w:rPr>
            </w:pPr>
            <w:r w:rsidRPr="00C11D3F">
              <w:rPr>
                <w:rFonts w:ascii="Gotham" w:hAnsi="Gotham" w:cs="Arial"/>
                <w:bCs/>
                <w:sz w:val="18"/>
                <w:szCs w:val="18"/>
              </w:rPr>
              <w:t>REGLAMENTO</w:t>
            </w:r>
            <w:r w:rsidRPr="00C11D3F">
              <w:rPr>
                <w:rFonts w:ascii="Gotham" w:hAnsi="Gotham" w:cs="Arial"/>
                <w:bCs/>
                <w:spacing w:val="-3"/>
                <w:sz w:val="18"/>
                <w:szCs w:val="18"/>
              </w:rPr>
              <w:t xml:space="preserve"> </w:t>
            </w:r>
            <w:r w:rsidRPr="00C11D3F">
              <w:rPr>
                <w:rFonts w:ascii="Gotham" w:hAnsi="Gotham" w:cs="Arial"/>
                <w:bCs/>
                <w:sz w:val="18"/>
                <w:szCs w:val="18"/>
              </w:rPr>
              <w:t>DE</w:t>
            </w:r>
            <w:r w:rsidRPr="00C11D3F">
              <w:rPr>
                <w:rFonts w:ascii="Gotham" w:hAnsi="Gotham" w:cs="Arial"/>
                <w:b/>
                <w:spacing w:val="-9"/>
                <w:sz w:val="18"/>
                <w:szCs w:val="18"/>
              </w:rPr>
              <w:t xml:space="preserve"> PLANEACIÓN </w:t>
            </w:r>
            <w:r w:rsidRPr="00C11D3F">
              <w:rPr>
                <w:rFonts w:ascii="Gotham" w:hAnsi="Gotham" w:cs="Arial"/>
                <w:bCs/>
                <w:spacing w:val="-9"/>
                <w:sz w:val="18"/>
                <w:szCs w:val="18"/>
              </w:rPr>
              <w:t xml:space="preserve">Y </w:t>
            </w:r>
            <w:r w:rsidRPr="00C11D3F">
              <w:rPr>
                <w:rFonts w:ascii="Gotham" w:hAnsi="Gotham" w:cs="Arial"/>
                <w:bCs/>
                <w:sz w:val="18"/>
                <w:szCs w:val="18"/>
              </w:rPr>
              <w:t>PARTICIPACIÓN</w:t>
            </w:r>
            <w:r w:rsidRPr="00C11D3F">
              <w:rPr>
                <w:rFonts w:ascii="Gotham" w:hAnsi="Gotham" w:cs="Arial"/>
                <w:bCs/>
                <w:spacing w:val="-3"/>
                <w:sz w:val="18"/>
                <w:szCs w:val="18"/>
              </w:rPr>
              <w:t xml:space="preserve"> </w:t>
            </w:r>
            <w:r w:rsidRPr="00C11D3F">
              <w:rPr>
                <w:rFonts w:ascii="Gotham" w:hAnsi="Gotham" w:cs="Arial"/>
                <w:bCs/>
                <w:sz w:val="18"/>
                <w:szCs w:val="18"/>
              </w:rPr>
              <w:t>CIUDADANA PARA LA GOBERNANZA</w:t>
            </w:r>
            <w:r w:rsidRPr="00C11D3F">
              <w:rPr>
                <w:rFonts w:ascii="Gotham" w:hAnsi="Gotham" w:cs="Arial"/>
                <w:bCs/>
                <w:spacing w:val="-7"/>
                <w:sz w:val="18"/>
                <w:szCs w:val="18"/>
              </w:rPr>
              <w:t xml:space="preserve"> </w:t>
            </w:r>
            <w:r w:rsidRPr="00C11D3F">
              <w:rPr>
                <w:rFonts w:ascii="Gotham" w:hAnsi="Gotham" w:cs="Arial"/>
                <w:bCs/>
                <w:sz w:val="18"/>
                <w:szCs w:val="18"/>
              </w:rPr>
              <w:t>DEL</w:t>
            </w:r>
            <w:r w:rsidRPr="00C11D3F">
              <w:rPr>
                <w:rFonts w:ascii="Gotham" w:hAnsi="Gotham" w:cs="Arial"/>
                <w:bCs/>
                <w:spacing w:val="-52"/>
                <w:sz w:val="18"/>
                <w:szCs w:val="18"/>
              </w:rPr>
              <w:t xml:space="preserve"> </w:t>
            </w:r>
            <w:r w:rsidRPr="00C11D3F">
              <w:rPr>
                <w:rFonts w:ascii="Gotham" w:hAnsi="Gotham" w:cs="Arial"/>
                <w:bCs/>
                <w:sz w:val="18"/>
                <w:szCs w:val="18"/>
              </w:rPr>
              <w:t>MUNICIPIO DE</w:t>
            </w:r>
            <w:r w:rsidRPr="00C11D3F">
              <w:rPr>
                <w:rFonts w:ascii="Gotham" w:hAnsi="Gotham" w:cs="Arial"/>
                <w:bCs/>
                <w:spacing w:val="1"/>
                <w:sz w:val="18"/>
                <w:szCs w:val="18"/>
              </w:rPr>
              <w:t xml:space="preserve"> </w:t>
            </w:r>
            <w:r w:rsidRPr="00C11D3F">
              <w:rPr>
                <w:rFonts w:ascii="Gotham" w:hAnsi="Gotham" w:cs="Arial"/>
                <w:bCs/>
                <w:sz w:val="18"/>
                <w:szCs w:val="18"/>
              </w:rPr>
              <w:t>TONALÁ,</w:t>
            </w:r>
            <w:r w:rsidRPr="00C11D3F">
              <w:rPr>
                <w:rFonts w:ascii="Gotham" w:hAnsi="Gotham" w:cs="Arial"/>
                <w:bCs/>
                <w:spacing w:val="-3"/>
                <w:sz w:val="18"/>
                <w:szCs w:val="18"/>
              </w:rPr>
              <w:t xml:space="preserve"> </w:t>
            </w:r>
            <w:r w:rsidRPr="00C11D3F">
              <w:rPr>
                <w:rFonts w:ascii="Gotham" w:hAnsi="Gotham" w:cs="Arial"/>
                <w:bCs/>
                <w:sz w:val="18"/>
                <w:szCs w:val="18"/>
              </w:rPr>
              <w:t>JALISCO.</w:t>
            </w:r>
          </w:p>
        </w:tc>
      </w:tr>
      <w:tr w:rsidR="009B5E39" w:rsidRPr="00C11D3F" w14:paraId="3A476624" w14:textId="77777777" w:rsidTr="00190E4A">
        <w:trPr>
          <w:jc w:val="center"/>
        </w:trPr>
        <w:tc>
          <w:tcPr>
            <w:tcW w:w="4673" w:type="dxa"/>
          </w:tcPr>
          <w:p w14:paraId="3A476620" w14:textId="77777777" w:rsidR="009B5E39" w:rsidRDefault="009B5E39" w:rsidP="00190E4A">
            <w:pPr>
              <w:jc w:val="both"/>
              <w:rPr>
                <w:rFonts w:ascii="Gotham" w:hAnsi="Gotham" w:cs="Arial"/>
                <w:sz w:val="18"/>
                <w:szCs w:val="18"/>
              </w:rPr>
            </w:pPr>
          </w:p>
          <w:p w14:paraId="3A47662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1. Las disposiciones de este ordenamiento son de orden e interés público y tiene por objeto</w:t>
            </w:r>
            <w:r w:rsidRPr="00C11D3F">
              <w:rPr>
                <w:rFonts w:ascii="Gotham" w:hAnsi="Gotham" w:cs="Arial"/>
                <w:spacing w:val="1"/>
                <w:sz w:val="18"/>
                <w:szCs w:val="18"/>
              </w:rPr>
              <w:t xml:space="preserve"> </w:t>
            </w:r>
            <w:r w:rsidRPr="00C11D3F">
              <w:rPr>
                <w:rFonts w:ascii="Gotham" w:hAnsi="Gotham" w:cs="Arial"/>
                <w:sz w:val="18"/>
                <w:szCs w:val="18"/>
              </w:rPr>
              <w:t>promover</w:t>
            </w:r>
            <w:r w:rsidRPr="00C11D3F">
              <w:rPr>
                <w:rFonts w:ascii="Gotham" w:hAnsi="Gotham" w:cs="Arial"/>
                <w:spacing w:val="-8"/>
                <w:sz w:val="18"/>
                <w:szCs w:val="18"/>
              </w:rPr>
              <w:t xml:space="preserve"> </w:t>
            </w:r>
            <w:r w:rsidRPr="00C11D3F">
              <w:rPr>
                <w:rFonts w:ascii="Gotham" w:hAnsi="Gotham" w:cs="Arial"/>
                <w:sz w:val="18"/>
                <w:szCs w:val="18"/>
              </w:rPr>
              <w:t>la</w:t>
            </w:r>
            <w:r w:rsidRPr="00C11D3F">
              <w:rPr>
                <w:rFonts w:ascii="Gotham" w:hAnsi="Gotham" w:cs="Arial"/>
                <w:spacing w:val="-7"/>
                <w:sz w:val="18"/>
                <w:szCs w:val="18"/>
              </w:rPr>
              <w:t xml:space="preserve"> </w:t>
            </w:r>
            <w:r w:rsidRPr="00C11D3F">
              <w:rPr>
                <w:rFonts w:ascii="Gotham" w:hAnsi="Gotham" w:cs="Arial"/>
                <w:sz w:val="18"/>
                <w:szCs w:val="18"/>
              </w:rPr>
              <w:t>participación</w:t>
            </w:r>
            <w:r w:rsidRPr="00C11D3F">
              <w:rPr>
                <w:rFonts w:ascii="Gotham" w:hAnsi="Gotham" w:cs="Arial"/>
                <w:spacing w:val="-8"/>
                <w:sz w:val="18"/>
                <w:szCs w:val="18"/>
              </w:rPr>
              <w:t xml:space="preserve"> </w:t>
            </w:r>
            <w:r w:rsidRPr="00C11D3F">
              <w:rPr>
                <w:rFonts w:ascii="Gotham" w:hAnsi="Gotham" w:cs="Arial"/>
                <w:sz w:val="18"/>
                <w:szCs w:val="18"/>
              </w:rPr>
              <w:t>ciudadana</w:t>
            </w:r>
            <w:r w:rsidRPr="00C11D3F">
              <w:rPr>
                <w:rFonts w:ascii="Gotham" w:hAnsi="Gotham" w:cs="Arial"/>
                <w:spacing w:val="-7"/>
                <w:sz w:val="18"/>
                <w:szCs w:val="18"/>
              </w:rPr>
              <w:t xml:space="preserve"> </w:t>
            </w:r>
            <w:r w:rsidRPr="00C11D3F">
              <w:rPr>
                <w:rFonts w:ascii="Gotham" w:hAnsi="Gotham" w:cs="Arial"/>
                <w:sz w:val="18"/>
                <w:szCs w:val="18"/>
              </w:rPr>
              <w:t>en</w:t>
            </w:r>
            <w:r w:rsidRPr="00C11D3F">
              <w:rPr>
                <w:rFonts w:ascii="Gotham" w:hAnsi="Gotham" w:cs="Arial"/>
                <w:spacing w:val="-8"/>
                <w:sz w:val="18"/>
                <w:szCs w:val="18"/>
              </w:rPr>
              <w:t xml:space="preserve"> </w:t>
            </w:r>
            <w:r w:rsidRPr="00C11D3F">
              <w:rPr>
                <w:rFonts w:ascii="Gotham" w:hAnsi="Gotham" w:cs="Arial"/>
                <w:sz w:val="18"/>
                <w:szCs w:val="18"/>
              </w:rPr>
              <w:t>los</w:t>
            </w:r>
            <w:r w:rsidRPr="00C11D3F">
              <w:rPr>
                <w:rFonts w:ascii="Gotham" w:hAnsi="Gotham" w:cs="Arial"/>
                <w:spacing w:val="-7"/>
                <w:sz w:val="18"/>
                <w:szCs w:val="18"/>
              </w:rPr>
              <w:t xml:space="preserve"> </w:t>
            </w:r>
            <w:r w:rsidRPr="00C11D3F">
              <w:rPr>
                <w:rFonts w:ascii="Gotham" w:hAnsi="Gotham" w:cs="Arial"/>
                <w:sz w:val="18"/>
                <w:szCs w:val="18"/>
              </w:rPr>
              <w:t>programas,</w:t>
            </w:r>
            <w:r w:rsidRPr="00C11D3F">
              <w:rPr>
                <w:rFonts w:ascii="Gotham" w:hAnsi="Gotham" w:cs="Arial"/>
                <w:spacing w:val="-5"/>
                <w:sz w:val="18"/>
                <w:szCs w:val="18"/>
              </w:rPr>
              <w:t xml:space="preserve"> </w:t>
            </w:r>
            <w:r w:rsidRPr="00C11D3F">
              <w:rPr>
                <w:rFonts w:ascii="Gotham" w:hAnsi="Gotham" w:cs="Arial"/>
                <w:sz w:val="18"/>
                <w:szCs w:val="18"/>
              </w:rPr>
              <w:t>proyectos</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8"/>
                <w:sz w:val="18"/>
                <w:szCs w:val="18"/>
              </w:rPr>
              <w:t xml:space="preserve"> </w:t>
            </w:r>
            <w:r w:rsidRPr="00C11D3F">
              <w:rPr>
                <w:rFonts w:ascii="Gotham" w:hAnsi="Gotham" w:cs="Arial"/>
                <w:sz w:val="18"/>
                <w:szCs w:val="18"/>
              </w:rPr>
              <w:t>obligaciones</w:t>
            </w:r>
            <w:r w:rsidRPr="00C11D3F">
              <w:rPr>
                <w:rFonts w:ascii="Gotham" w:hAnsi="Gotham" w:cs="Arial"/>
                <w:spacing w:val="-7"/>
                <w:sz w:val="18"/>
                <w:szCs w:val="18"/>
              </w:rPr>
              <w:t xml:space="preserve"> </w:t>
            </w:r>
            <w:r w:rsidRPr="00C11D3F">
              <w:rPr>
                <w:rFonts w:ascii="Gotham" w:hAnsi="Gotham" w:cs="Arial"/>
                <w:sz w:val="18"/>
                <w:szCs w:val="18"/>
              </w:rPr>
              <w:t>que</w:t>
            </w:r>
            <w:r w:rsidRPr="00C11D3F">
              <w:rPr>
                <w:rFonts w:ascii="Gotham" w:hAnsi="Gotham" w:cs="Arial"/>
                <w:spacing w:val="-7"/>
                <w:sz w:val="18"/>
                <w:szCs w:val="18"/>
              </w:rPr>
              <w:t xml:space="preserve"> </w:t>
            </w:r>
            <w:r w:rsidRPr="00C11D3F">
              <w:rPr>
                <w:rFonts w:ascii="Gotham" w:hAnsi="Gotham" w:cs="Arial"/>
                <w:sz w:val="18"/>
                <w:szCs w:val="18"/>
              </w:rPr>
              <w:t>tiene</w:t>
            </w:r>
            <w:r w:rsidRPr="00C11D3F">
              <w:rPr>
                <w:rFonts w:ascii="Gotham" w:hAnsi="Gotham" w:cs="Arial"/>
                <w:spacing w:val="-7"/>
                <w:sz w:val="18"/>
                <w:szCs w:val="18"/>
              </w:rPr>
              <w:t xml:space="preserve"> </w:t>
            </w:r>
            <w:r w:rsidRPr="00C11D3F">
              <w:rPr>
                <w:rFonts w:ascii="Gotham" w:hAnsi="Gotham" w:cs="Arial"/>
                <w:sz w:val="18"/>
                <w:szCs w:val="18"/>
              </w:rPr>
              <w:t>a</w:t>
            </w:r>
            <w:r w:rsidRPr="00C11D3F">
              <w:rPr>
                <w:rFonts w:ascii="Gotham" w:hAnsi="Gotham" w:cs="Arial"/>
                <w:spacing w:val="1"/>
                <w:sz w:val="18"/>
                <w:szCs w:val="18"/>
              </w:rPr>
              <w:t xml:space="preserve"> </w:t>
            </w:r>
            <w:r w:rsidRPr="00C11D3F">
              <w:rPr>
                <w:rFonts w:ascii="Gotham" w:hAnsi="Gotham" w:cs="Arial"/>
                <w:sz w:val="18"/>
                <w:szCs w:val="18"/>
              </w:rPr>
              <w:t>su</w:t>
            </w:r>
            <w:r w:rsidRPr="00C11D3F">
              <w:rPr>
                <w:rFonts w:ascii="Gotham" w:hAnsi="Gotham" w:cs="Arial"/>
                <w:spacing w:val="-8"/>
                <w:sz w:val="18"/>
                <w:szCs w:val="18"/>
              </w:rPr>
              <w:t xml:space="preserve"> </w:t>
            </w:r>
            <w:r w:rsidRPr="00C11D3F">
              <w:rPr>
                <w:rFonts w:ascii="Gotham" w:hAnsi="Gotham" w:cs="Arial"/>
                <w:sz w:val="18"/>
                <w:szCs w:val="18"/>
              </w:rPr>
              <w:t>cargo</w:t>
            </w:r>
            <w:r w:rsidRPr="00C11D3F">
              <w:rPr>
                <w:rFonts w:ascii="Gotham" w:hAnsi="Gotham" w:cs="Arial"/>
                <w:spacing w:val="-53"/>
                <w:sz w:val="18"/>
                <w:szCs w:val="18"/>
              </w:rPr>
              <w:t xml:space="preserve"> </w:t>
            </w:r>
            <w:r w:rsidRPr="00C11D3F">
              <w:rPr>
                <w:rFonts w:ascii="Gotham" w:hAnsi="Gotham" w:cs="Arial"/>
                <w:sz w:val="18"/>
                <w:szCs w:val="18"/>
              </w:rPr>
              <w:t xml:space="preserve">el Ayuntamiento, pugnando </w:t>
            </w:r>
            <w:r w:rsidRPr="00C11D3F">
              <w:rPr>
                <w:rFonts w:ascii="Gotham" w:hAnsi="Gotham" w:cs="Arial"/>
                <w:color w:val="FF0000"/>
                <w:sz w:val="18"/>
                <w:szCs w:val="18"/>
              </w:rPr>
              <w:t>por que</w:t>
            </w:r>
            <w:r w:rsidRPr="00C11D3F">
              <w:rPr>
                <w:rFonts w:ascii="Gotham" w:hAnsi="Gotham" w:cs="Arial"/>
                <w:sz w:val="18"/>
                <w:szCs w:val="18"/>
              </w:rPr>
              <w:t xml:space="preserve"> los ciudadanos coadyuven en el cumplimiento de sus fines y</w:t>
            </w:r>
            <w:r w:rsidRPr="00C11D3F">
              <w:rPr>
                <w:rFonts w:ascii="Gotham" w:hAnsi="Gotham" w:cs="Arial"/>
                <w:spacing w:val="1"/>
                <w:sz w:val="18"/>
                <w:szCs w:val="18"/>
              </w:rPr>
              <w:t xml:space="preserve"> </w:t>
            </w:r>
            <w:r w:rsidRPr="00C11D3F">
              <w:rPr>
                <w:rFonts w:ascii="Gotham" w:hAnsi="Gotham" w:cs="Arial"/>
                <w:sz w:val="18"/>
                <w:szCs w:val="18"/>
              </w:rPr>
              <w:t>participen en el desarrollo y en el beneficio colectivo del Municipio, así como establecer las normas</w:t>
            </w:r>
            <w:r w:rsidRPr="00C11D3F">
              <w:rPr>
                <w:rFonts w:ascii="Gotham" w:hAnsi="Gotham" w:cs="Arial"/>
                <w:spacing w:val="-52"/>
                <w:sz w:val="18"/>
                <w:szCs w:val="18"/>
              </w:rPr>
              <w:t xml:space="preserve"> </w:t>
            </w:r>
            <w:r w:rsidRPr="00C11D3F">
              <w:rPr>
                <w:rFonts w:ascii="Gotham" w:hAnsi="Gotham" w:cs="Arial"/>
                <w:sz w:val="18"/>
                <w:szCs w:val="18"/>
              </w:rPr>
              <w:t>referentes</w:t>
            </w:r>
            <w:r w:rsidRPr="00C11D3F">
              <w:rPr>
                <w:rFonts w:ascii="Gotham" w:hAnsi="Gotham" w:cs="Arial"/>
                <w:spacing w:val="-2"/>
                <w:sz w:val="18"/>
                <w:szCs w:val="18"/>
              </w:rPr>
              <w:t xml:space="preserve"> </w:t>
            </w:r>
            <w:r w:rsidRPr="00C11D3F">
              <w:rPr>
                <w:rFonts w:ascii="Gotham" w:hAnsi="Gotham" w:cs="Arial"/>
                <w:sz w:val="18"/>
                <w:szCs w:val="18"/>
              </w:rPr>
              <w:t>a</w:t>
            </w:r>
            <w:r w:rsidRPr="00C11D3F">
              <w:rPr>
                <w:rFonts w:ascii="Gotham" w:hAnsi="Gotham" w:cs="Arial"/>
                <w:spacing w:val="-2"/>
                <w:sz w:val="18"/>
                <w:szCs w:val="18"/>
              </w:rPr>
              <w:t xml:space="preserve"> </w:t>
            </w:r>
            <w:r w:rsidRPr="00C11D3F">
              <w:rPr>
                <w:rFonts w:ascii="Gotham" w:hAnsi="Gotham" w:cs="Arial"/>
                <w:sz w:val="18"/>
                <w:szCs w:val="18"/>
              </w:rPr>
              <w:t>las</w:t>
            </w:r>
            <w:r w:rsidRPr="00C11D3F">
              <w:rPr>
                <w:rFonts w:ascii="Gotham" w:hAnsi="Gotham" w:cs="Arial"/>
                <w:spacing w:val="-2"/>
                <w:sz w:val="18"/>
                <w:szCs w:val="18"/>
              </w:rPr>
              <w:t xml:space="preserve"> </w:t>
            </w:r>
            <w:r w:rsidRPr="00C11D3F">
              <w:rPr>
                <w:rFonts w:ascii="Gotham" w:hAnsi="Gotham" w:cs="Arial"/>
                <w:sz w:val="18"/>
                <w:szCs w:val="18"/>
              </w:rPr>
              <w:t>formas, medios</w:t>
            </w:r>
            <w:r w:rsidRPr="00C11D3F">
              <w:rPr>
                <w:rFonts w:ascii="Gotham" w:hAnsi="Gotham" w:cs="Arial"/>
                <w:spacing w:val="-1"/>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procedimientos</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2"/>
                <w:sz w:val="18"/>
                <w:szCs w:val="18"/>
              </w:rPr>
              <w:t xml:space="preserve"> </w:t>
            </w:r>
            <w:r w:rsidRPr="00C11D3F">
              <w:rPr>
                <w:rFonts w:ascii="Gotham" w:hAnsi="Gotham" w:cs="Arial"/>
                <w:sz w:val="18"/>
                <w:szCs w:val="18"/>
              </w:rPr>
              <w:t>participación</w:t>
            </w:r>
            <w:r w:rsidRPr="00C11D3F">
              <w:rPr>
                <w:rFonts w:ascii="Gotham" w:hAnsi="Gotham" w:cs="Arial"/>
                <w:spacing w:val="-3"/>
                <w:sz w:val="18"/>
                <w:szCs w:val="18"/>
              </w:rPr>
              <w:t xml:space="preserve"> </w:t>
            </w:r>
            <w:r w:rsidRPr="00C11D3F">
              <w:rPr>
                <w:rFonts w:ascii="Gotham" w:hAnsi="Gotham" w:cs="Arial"/>
                <w:sz w:val="18"/>
                <w:szCs w:val="18"/>
              </w:rPr>
              <w:t>ciudadana.</w:t>
            </w:r>
          </w:p>
        </w:tc>
        <w:tc>
          <w:tcPr>
            <w:tcW w:w="4678" w:type="dxa"/>
          </w:tcPr>
          <w:p w14:paraId="3A476622" w14:textId="77777777" w:rsidR="009B5E39" w:rsidRDefault="009B5E39" w:rsidP="00190E4A">
            <w:pPr>
              <w:jc w:val="both"/>
              <w:rPr>
                <w:rFonts w:ascii="Gotham" w:hAnsi="Gotham" w:cs="Arial"/>
                <w:sz w:val="18"/>
                <w:szCs w:val="18"/>
              </w:rPr>
            </w:pPr>
          </w:p>
          <w:p w14:paraId="3A47662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1. Las disposiciones de este ordenamiento son de orden e interés público y tiene por objeto</w:t>
            </w:r>
            <w:r w:rsidRPr="00C11D3F">
              <w:rPr>
                <w:rFonts w:ascii="Gotham" w:hAnsi="Gotham" w:cs="Arial"/>
                <w:spacing w:val="1"/>
                <w:sz w:val="18"/>
                <w:szCs w:val="18"/>
              </w:rPr>
              <w:t xml:space="preserve"> </w:t>
            </w:r>
            <w:r w:rsidRPr="00C11D3F">
              <w:rPr>
                <w:rFonts w:ascii="Gotham" w:hAnsi="Gotham" w:cs="Arial"/>
                <w:sz w:val="18"/>
                <w:szCs w:val="18"/>
              </w:rPr>
              <w:t>promover</w:t>
            </w:r>
            <w:r w:rsidRPr="00C11D3F">
              <w:rPr>
                <w:rFonts w:ascii="Gotham" w:hAnsi="Gotham" w:cs="Arial"/>
                <w:spacing w:val="-8"/>
                <w:sz w:val="18"/>
                <w:szCs w:val="18"/>
              </w:rPr>
              <w:t xml:space="preserve"> </w:t>
            </w:r>
            <w:r w:rsidRPr="00C11D3F">
              <w:rPr>
                <w:rFonts w:ascii="Gotham" w:hAnsi="Gotham" w:cs="Arial"/>
                <w:sz w:val="18"/>
                <w:szCs w:val="18"/>
              </w:rPr>
              <w:t>la</w:t>
            </w:r>
            <w:r w:rsidRPr="00C11D3F">
              <w:rPr>
                <w:rFonts w:ascii="Gotham" w:hAnsi="Gotham" w:cs="Arial"/>
                <w:spacing w:val="-7"/>
                <w:sz w:val="18"/>
                <w:szCs w:val="18"/>
              </w:rPr>
              <w:t xml:space="preserve"> </w:t>
            </w:r>
            <w:r w:rsidRPr="00C11D3F">
              <w:rPr>
                <w:rFonts w:ascii="Gotham" w:hAnsi="Gotham" w:cs="Arial"/>
                <w:sz w:val="18"/>
                <w:szCs w:val="18"/>
              </w:rPr>
              <w:t>participación</w:t>
            </w:r>
            <w:r w:rsidRPr="00C11D3F">
              <w:rPr>
                <w:rFonts w:ascii="Gotham" w:hAnsi="Gotham" w:cs="Arial"/>
                <w:spacing w:val="-8"/>
                <w:sz w:val="18"/>
                <w:szCs w:val="18"/>
              </w:rPr>
              <w:t xml:space="preserve"> </w:t>
            </w:r>
            <w:r w:rsidRPr="00C11D3F">
              <w:rPr>
                <w:rFonts w:ascii="Gotham" w:hAnsi="Gotham" w:cs="Arial"/>
                <w:sz w:val="18"/>
                <w:szCs w:val="18"/>
              </w:rPr>
              <w:t>ciudadana</w:t>
            </w:r>
            <w:r w:rsidRPr="00C11D3F">
              <w:rPr>
                <w:rFonts w:ascii="Gotham" w:hAnsi="Gotham" w:cs="Arial"/>
                <w:spacing w:val="-7"/>
                <w:sz w:val="18"/>
                <w:szCs w:val="18"/>
              </w:rPr>
              <w:t xml:space="preserve"> </w:t>
            </w:r>
            <w:r w:rsidRPr="00C11D3F">
              <w:rPr>
                <w:rFonts w:ascii="Gotham" w:hAnsi="Gotham" w:cs="Arial"/>
                <w:sz w:val="18"/>
                <w:szCs w:val="18"/>
              </w:rPr>
              <w:t>en</w:t>
            </w:r>
            <w:r w:rsidRPr="00C11D3F">
              <w:rPr>
                <w:rFonts w:ascii="Gotham" w:hAnsi="Gotham" w:cs="Arial"/>
                <w:spacing w:val="-8"/>
                <w:sz w:val="18"/>
                <w:szCs w:val="18"/>
              </w:rPr>
              <w:t xml:space="preserve"> </w:t>
            </w:r>
            <w:r w:rsidRPr="00C11D3F">
              <w:rPr>
                <w:rFonts w:ascii="Gotham" w:hAnsi="Gotham" w:cs="Arial"/>
                <w:sz w:val="18"/>
                <w:szCs w:val="18"/>
              </w:rPr>
              <w:t>los</w:t>
            </w:r>
            <w:r w:rsidRPr="00C11D3F">
              <w:rPr>
                <w:rFonts w:ascii="Gotham" w:hAnsi="Gotham" w:cs="Arial"/>
                <w:spacing w:val="-7"/>
                <w:sz w:val="18"/>
                <w:szCs w:val="18"/>
              </w:rPr>
              <w:t xml:space="preserve"> </w:t>
            </w:r>
            <w:r w:rsidRPr="00C11D3F">
              <w:rPr>
                <w:rFonts w:ascii="Gotham" w:hAnsi="Gotham" w:cs="Arial"/>
                <w:sz w:val="18"/>
                <w:szCs w:val="18"/>
              </w:rPr>
              <w:t>programas,</w:t>
            </w:r>
            <w:r w:rsidRPr="00C11D3F">
              <w:rPr>
                <w:rFonts w:ascii="Gotham" w:hAnsi="Gotham" w:cs="Arial"/>
                <w:spacing w:val="-5"/>
                <w:sz w:val="18"/>
                <w:szCs w:val="18"/>
              </w:rPr>
              <w:t xml:space="preserve"> </w:t>
            </w:r>
            <w:r w:rsidRPr="00C11D3F">
              <w:rPr>
                <w:rFonts w:ascii="Gotham" w:hAnsi="Gotham" w:cs="Arial"/>
                <w:sz w:val="18"/>
                <w:szCs w:val="18"/>
              </w:rPr>
              <w:t>proyectos</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8"/>
                <w:sz w:val="18"/>
                <w:szCs w:val="18"/>
              </w:rPr>
              <w:t xml:space="preserve"> </w:t>
            </w:r>
            <w:r w:rsidRPr="00C11D3F">
              <w:rPr>
                <w:rFonts w:ascii="Gotham" w:hAnsi="Gotham" w:cs="Arial"/>
                <w:sz w:val="18"/>
                <w:szCs w:val="18"/>
              </w:rPr>
              <w:t>obligaciones</w:t>
            </w:r>
            <w:r w:rsidRPr="00C11D3F">
              <w:rPr>
                <w:rFonts w:ascii="Gotham" w:hAnsi="Gotham" w:cs="Arial"/>
                <w:spacing w:val="-7"/>
                <w:sz w:val="18"/>
                <w:szCs w:val="18"/>
              </w:rPr>
              <w:t xml:space="preserve"> </w:t>
            </w:r>
            <w:r w:rsidRPr="00C11D3F">
              <w:rPr>
                <w:rFonts w:ascii="Gotham" w:hAnsi="Gotham" w:cs="Arial"/>
                <w:sz w:val="18"/>
                <w:szCs w:val="18"/>
              </w:rPr>
              <w:t>que</w:t>
            </w:r>
            <w:r w:rsidRPr="00C11D3F">
              <w:rPr>
                <w:rFonts w:ascii="Gotham" w:hAnsi="Gotham" w:cs="Arial"/>
                <w:spacing w:val="-7"/>
                <w:sz w:val="18"/>
                <w:szCs w:val="18"/>
              </w:rPr>
              <w:t xml:space="preserve"> </w:t>
            </w:r>
            <w:r w:rsidRPr="00C11D3F">
              <w:rPr>
                <w:rFonts w:ascii="Gotham" w:hAnsi="Gotham" w:cs="Arial"/>
                <w:sz w:val="18"/>
                <w:szCs w:val="18"/>
              </w:rPr>
              <w:t>tiene</w:t>
            </w:r>
            <w:r w:rsidRPr="00C11D3F">
              <w:rPr>
                <w:rFonts w:ascii="Gotham" w:hAnsi="Gotham" w:cs="Arial"/>
                <w:spacing w:val="-7"/>
                <w:sz w:val="18"/>
                <w:szCs w:val="18"/>
              </w:rPr>
              <w:t xml:space="preserve"> </w:t>
            </w:r>
            <w:r w:rsidRPr="00C11D3F">
              <w:rPr>
                <w:rFonts w:ascii="Gotham" w:hAnsi="Gotham" w:cs="Arial"/>
                <w:sz w:val="18"/>
                <w:szCs w:val="18"/>
              </w:rPr>
              <w:t>a</w:t>
            </w:r>
            <w:r w:rsidRPr="00C11D3F">
              <w:rPr>
                <w:rFonts w:ascii="Gotham" w:hAnsi="Gotham" w:cs="Arial"/>
                <w:spacing w:val="1"/>
                <w:sz w:val="18"/>
                <w:szCs w:val="18"/>
              </w:rPr>
              <w:t xml:space="preserve"> </w:t>
            </w:r>
            <w:r w:rsidRPr="00C11D3F">
              <w:rPr>
                <w:rFonts w:ascii="Gotham" w:hAnsi="Gotham" w:cs="Arial"/>
                <w:sz w:val="18"/>
                <w:szCs w:val="18"/>
              </w:rPr>
              <w:t>su</w:t>
            </w:r>
            <w:r w:rsidRPr="00C11D3F">
              <w:rPr>
                <w:rFonts w:ascii="Gotham" w:hAnsi="Gotham" w:cs="Arial"/>
                <w:spacing w:val="-8"/>
                <w:sz w:val="18"/>
                <w:szCs w:val="18"/>
              </w:rPr>
              <w:t xml:space="preserve"> </w:t>
            </w:r>
            <w:r w:rsidRPr="00C11D3F">
              <w:rPr>
                <w:rFonts w:ascii="Gotham" w:hAnsi="Gotham" w:cs="Arial"/>
                <w:sz w:val="18"/>
                <w:szCs w:val="18"/>
              </w:rPr>
              <w:t>cargo</w:t>
            </w:r>
            <w:r w:rsidRPr="00C11D3F">
              <w:rPr>
                <w:rFonts w:ascii="Gotham" w:hAnsi="Gotham" w:cs="Arial"/>
                <w:spacing w:val="-53"/>
                <w:sz w:val="18"/>
                <w:szCs w:val="18"/>
              </w:rPr>
              <w:t xml:space="preserve"> </w:t>
            </w:r>
            <w:r w:rsidRPr="00C11D3F">
              <w:rPr>
                <w:rFonts w:ascii="Gotham" w:hAnsi="Gotham" w:cs="Arial"/>
                <w:sz w:val="18"/>
                <w:szCs w:val="18"/>
              </w:rPr>
              <w:t xml:space="preserve">el Ayuntamiento, pugnando </w:t>
            </w:r>
            <w:r w:rsidRPr="00C11D3F">
              <w:rPr>
                <w:rFonts w:ascii="Gotham" w:hAnsi="Gotham" w:cs="Arial"/>
                <w:b/>
                <w:bCs/>
                <w:sz w:val="18"/>
                <w:szCs w:val="18"/>
              </w:rPr>
              <w:t>para que</w:t>
            </w:r>
            <w:r w:rsidRPr="00C11D3F">
              <w:rPr>
                <w:rFonts w:ascii="Gotham" w:hAnsi="Gotham" w:cs="Arial"/>
                <w:sz w:val="18"/>
                <w:szCs w:val="18"/>
              </w:rPr>
              <w:t xml:space="preserve"> los ciudadanos coadyuven en el cumplimiento de sus fines y</w:t>
            </w:r>
            <w:r w:rsidRPr="00C11D3F">
              <w:rPr>
                <w:rFonts w:ascii="Gotham" w:hAnsi="Gotham" w:cs="Arial"/>
                <w:spacing w:val="1"/>
                <w:sz w:val="18"/>
                <w:szCs w:val="18"/>
              </w:rPr>
              <w:t xml:space="preserve"> </w:t>
            </w:r>
            <w:r w:rsidRPr="00C11D3F">
              <w:rPr>
                <w:rFonts w:ascii="Gotham" w:hAnsi="Gotham" w:cs="Arial"/>
                <w:sz w:val="18"/>
                <w:szCs w:val="18"/>
              </w:rPr>
              <w:t>participen en el desarrollo y en el beneficio colectivo del Municipio, así como establecer las normas</w:t>
            </w:r>
            <w:r w:rsidRPr="00C11D3F">
              <w:rPr>
                <w:rFonts w:ascii="Gotham" w:hAnsi="Gotham" w:cs="Arial"/>
                <w:spacing w:val="-52"/>
                <w:sz w:val="18"/>
                <w:szCs w:val="18"/>
              </w:rPr>
              <w:t xml:space="preserve"> </w:t>
            </w:r>
            <w:r w:rsidRPr="00C11D3F">
              <w:rPr>
                <w:rFonts w:ascii="Gotham" w:hAnsi="Gotham" w:cs="Arial"/>
                <w:sz w:val="18"/>
                <w:szCs w:val="18"/>
              </w:rPr>
              <w:t>referentes</w:t>
            </w:r>
            <w:r w:rsidRPr="00C11D3F">
              <w:rPr>
                <w:rFonts w:ascii="Gotham" w:hAnsi="Gotham" w:cs="Arial"/>
                <w:spacing w:val="-2"/>
                <w:sz w:val="18"/>
                <w:szCs w:val="18"/>
              </w:rPr>
              <w:t xml:space="preserve"> </w:t>
            </w:r>
            <w:r w:rsidRPr="00C11D3F">
              <w:rPr>
                <w:rFonts w:ascii="Gotham" w:hAnsi="Gotham" w:cs="Arial"/>
                <w:sz w:val="18"/>
                <w:szCs w:val="18"/>
              </w:rPr>
              <w:t>a</w:t>
            </w:r>
            <w:r w:rsidRPr="00C11D3F">
              <w:rPr>
                <w:rFonts w:ascii="Gotham" w:hAnsi="Gotham" w:cs="Arial"/>
                <w:spacing w:val="-2"/>
                <w:sz w:val="18"/>
                <w:szCs w:val="18"/>
              </w:rPr>
              <w:t xml:space="preserve"> </w:t>
            </w:r>
            <w:r w:rsidRPr="00C11D3F">
              <w:rPr>
                <w:rFonts w:ascii="Gotham" w:hAnsi="Gotham" w:cs="Arial"/>
                <w:sz w:val="18"/>
                <w:szCs w:val="18"/>
              </w:rPr>
              <w:t>las</w:t>
            </w:r>
            <w:r w:rsidRPr="00C11D3F">
              <w:rPr>
                <w:rFonts w:ascii="Gotham" w:hAnsi="Gotham" w:cs="Arial"/>
                <w:spacing w:val="-2"/>
                <w:sz w:val="18"/>
                <w:szCs w:val="18"/>
              </w:rPr>
              <w:t xml:space="preserve"> </w:t>
            </w:r>
            <w:r w:rsidRPr="00C11D3F">
              <w:rPr>
                <w:rFonts w:ascii="Gotham" w:hAnsi="Gotham" w:cs="Arial"/>
                <w:sz w:val="18"/>
                <w:szCs w:val="18"/>
              </w:rPr>
              <w:t>formas, medios</w:t>
            </w:r>
            <w:r w:rsidRPr="00C11D3F">
              <w:rPr>
                <w:rFonts w:ascii="Gotham" w:hAnsi="Gotham" w:cs="Arial"/>
                <w:spacing w:val="-1"/>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procedimientos</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2"/>
                <w:sz w:val="18"/>
                <w:szCs w:val="18"/>
              </w:rPr>
              <w:t xml:space="preserve"> </w:t>
            </w:r>
            <w:r w:rsidRPr="00C11D3F">
              <w:rPr>
                <w:rFonts w:ascii="Gotham" w:hAnsi="Gotham" w:cs="Arial"/>
                <w:sz w:val="18"/>
                <w:szCs w:val="18"/>
              </w:rPr>
              <w:t>participación</w:t>
            </w:r>
            <w:r w:rsidRPr="00C11D3F">
              <w:rPr>
                <w:rFonts w:ascii="Gotham" w:hAnsi="Gotham" w:cs="Arial"/>
                <w:spacing w:val="-3"/>
                <w:sz w:val="18"/>
                <w:szCs w:val="18"/>
              </w:rPr>
              <w:t xml:space="preserve"> </w:t>
            </w:r>
            <w:r w:rsidRPr="00C11D3F">
              <w:rPr>
                <w:rFonts w:ascii="Gotham" w:hAnsi="Gotham" w:cs="Arial"/>
                <w:sz w:val="18"/>
                <w:szCs w:val="18"/>
              </w:rPr>
              <w:t>ciudadana.</w:t>
            </w:r>
          </w:p>
        </w:tc>
      </w:tr>
      <w:tr w:rsidR="009B5E39" w:rsidRPr="00C11D3F" w14:paraId="3A476627" w14:textId="77777777" w:rsidTr="00190E4A">
        <w:trPr>
          <w:jc w:val="center"/>
        </w:trPr>
        <w:tc>
          <w:tcPr>
            <w:tcW w:w="4673" w:type="dxa"/>
          </w:tcPr>
          <w:p w14:paraId="3A47662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 xml:space="preserve">Artículo 2. Son principios básicos para la gobernanza, el desarrollo de la participación ciudadana </w:t>
            </w:r>
            <w:r w:rsidRPr="00C11D3F">
              <w:rPr>
                <w:rFonts w:ascii="Gotham" w:hAnsi="Gotham" w:cs="Arial"/>
                <w:color w:val="C00000"/>
                <w:sz w:val="18"/>
                <w:szCs w:val="18"/>
              </w:rPr>
              <w:t>y</w:t>
            </w:r>
            <w:r w:rsidRPr="00C11D3F">
              <w:rPr>
                <w:rFonts w:ascii="Gotham" w:hAnsi="Gotham" w:cs="Arial"/>
                <w:color w:val="C00000"/>
                <w:spacing w:val="1"/>
                <w:sz w:val="18"/>
                <w:szCs w:val="18"/>
              </w:rPr>
              <w:t xml:space="preserve"> </w:t>
            </w:r>
            <w:r w:rsidRPr="00C11D3F">
              <w:rPr>
                <w:rFonts w:ascii="Gotham" w:hAnsi="Gotham" w:cs="Arial"/>
                <w:color w:val="C00000"/>
                <w:sz w:val="18"/>
                <w:szCs w:val="18"/>
              </w:rPr>
              <w:t>sus</w:t>
            </w:r>
            <w:r w:rsidRPr="00C11D3F">
              <w:rPr>
                <w:rFonts w:ascii="Gotham" w:hAnsi="Gotham" w:cs="Arial"/>
                <w:color w:val="C00000"/>
                <w:spacing w:val="-2"/>
                <w:sz w:val="18"/>
                <w:szCs w:val="18"/>
              </w:rPr>
              <w:t xml:space="preserve"> </w:t>
            </w:r>
            <w:r w:rsidRPr="00C11D3F">
              <w:rPr>
                <w:rFonts w:ascii="Gotham" w:hAnsi="Gotham" w:cs="Arial"/>
                <w:color w:val="C00000"/>
                <w:sz w:val="18"/>
                <w:szCs w:val="18"/>
              </w:rPr>
              <w:t>procesos</w:t>
            </w:r>
            <w:r w:rsidRPr="00C11D3F">
              <w:rPr>
                <w:rFonts w:ascii="Gotham" w:hAnsi="Gotham" w:cs="Arial"/>
                <w:spacing w:val="-1"/>
                <w:sz w:val="18"/>
                <w:szCs w:val="18"/>
              </w:rPr>
              <w:t xml:space="preserve"> </w:t>
            </w:r>
            <w:r w:rsidRPr="00C11D3F">
              <w:rPr>
                <w:rFonts w:ascii="Gotham" w:hAnsi="Gotham" w:cs="Arial"/>
                <w:sz w:val="18"/>
                <w:szCs w:val="18"/>
              </w:rPr>
              <w:t>en</w:t>
            </w:r>
            <w:r w:rsidRPr="00C11D3F">
              <w:rPr>
                <w:rFonts w:ascii="Gotham" w:hAnsi="Gotham" w:cs="Arial"/>
                <w:spacing w:val="-2"/>
                <w:sz w:val="18"/>
                <w:szCs w:val="18"/>
              </w:rPr>
              <w:t xml:space="preserve"> </w:t>
            </w: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Municipio, los</w:t>
            </w:r>
            <w:r w:rsidRPr="00C11D3F">
              <w:rPr>
                <w:rFonts w:ascii="Gotham" w:hAnsi="Gotham" w:cs="Arial"/>
                <w:spacing w:val="-1"/>
                <w:sz w:val="18"/>
                <w:szCs w:val="18"/>
              </w:rPr>
              <w:t xml:space="preserve"> </w:t>
            </w:r>
            <w:r w:rsidRPr="00C11D3F">
              <w:rPr>
                <w:rFonts w:ascii="Gotham" w:hAnsi="Gotham" w:cs="Arial"/>
                <w:sz w:val="18"/>
                <w:szCs w:val="18"/>
              </w:rPr>
              <w:t>siguientes:</w:t>
            </w:r>
          </w:p>
        </w:tc>
        <w:tc>
          <w:tcPr>
            <w:tcW w:w="4678" w:type="dxa"/>
          </w:tcPr>
          <w:p w14:paraId="3A47662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2. Son principios básicos para la gobernanza, el desarrollo </w:t>
            </w:r>
            <w:r w:rsidRPr="00C11D3F">
              <w:rPr>
                <w:rFonts w:ascii="Gotham" w:hAnsi="Gotham" w:cs="Arial"/>
                <w:b/>
                <w:bCs/>
                <w:sz w:val="18"/>
                <w:szCs w:val="18"/>
              </w:rPr>
              <w:t>y los procesos</w:t>
            </w:r>
            <w:r w:rsidRPr="00C11D3F">
              <w:rPr>
                <w:rFonts w:ascii="Gotham" w:hAnsi="Gotham" w:cs="Arial"/>
                <w:color w:val="C00000"/>
                <w:sz w:val="18"/>
                <w:szCs w:val="18"/>
              </w:rPr>
              <w:t xml:space="preserve"> </w:t>
            </w:r>
            <w:r w:rsidRPr="00C11D3F">
              <w:rPr>
                <w:rFonts w:ascii="Gotham" w:hAnsi="Gotham" w:cs="Arial"/>
                <w:sz w:val="18"/>
                <w:szCs w:val="18"/>
              </w:rPr>
              <w:t>de la participación ciudadana en el Municipio, los siguientes:</w:t>
            </w:r>
          </w:p>
        </w:tc>
      </w:tr>
      <w:tr w:rsidR="009B5E39" w:rsidRPr="00C11D3F" w14:paraId="3A476632" w14:textId="77777777" w:rsidTr="00190E4A">
        <w:trPr>
          <w:jc w:val="center"/>
        </w:trPr>
        <w:tc>
          <w:tcPr>
            <w:tcW w:w="4673" w:type="dxa"/>
          </w:tcPr>
          <w:p w14:paraId="3A476628" w14:textId="77777777" w:rsidR="009B5E39" w:rsidRDefault="009B5E39" w:rsidP="00190E4A">
            <w:pPr>
              <w:jc w:val="both"/>
              <w:rPr>
                <w:rFonts w:ascii="Gotham" w:hAnsi="Gotham" w:cs="Arial"/>
                <w:sz w:val="18"/>
                <w:szCs w:val="18"/>
              </w:rPr>
            </w:pPr>
          </w:p>
          <w:p w14:paraId="3A47662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2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Fracción III. </w:t>
            </w:r>
          </w:p>
          <w:p w14:paraId="3A47662B" w14:textId="77777777" w:rsidR="009B5E39" w:rsidRDefault="009B5E39" w:rsidP="00190E4A">
            <w:pPr>
              <w:jc w:val="both"/>
              <w:rPr>
                <w:rFonts w:ascii="Gotham" w:hAnsi="Gotham" w:cs="Arial"/>
                <w:bCs/>
                <w:sz w:val="18"/>
                <w:szCs w:val="18"/>
              </w:rPr>
            </w:pPr>
          </w:p>
          <w:p w14:paraId="3A47662C" w14:textId="77777777" w:rsidR="009B5E39" w:rsidRPr="00C11D3F" w:rsidRDefault="009B5E39" w:rsidP="00190E4A">
            <w:pPr>
              <w:jc w:val="both"/>
              <w:rPr>
                <w:rFonts w:ascii="Gotham" w:hAnsi="Gotham" w:cs="Arial"/>
                <w:sz w:val="18"/>
                <w:szCs w:val="18"/>
              </w:rPr>
            </w:pPr>
            <w:r w:rsidRPr="00C11D3F">
              <w:rPr>
                <w:rFonts w:ascii="Gotham" w:hAnsi="Gotham" w:cs="Arial"/>
                <w:bCs/>
                <w:sz w:val="18"/>
                <w:szCs w:val="18"/>
              </w:rPr>
              <w:t>Comités</w:t>
            </w:r>
            <w:r w:rsidRPr="00C11D3F">
              <w:rPr>
                <w:rFonts w:ascii="Gotham" w:hAnsi="Gotham" w:cs="Arial"/>
                <w:bCs/>
                <w:spacing w:val="1"/>
                <w:sz w:val="18"/>
                <w:szCs w:val="18"/>
              </w:rPr>
              <w:t xml:space="preserve"> </w:t>
            </w:r>
            <w:r w:rsidRPr="00C11D3F">
              <w:rPr>
                <w:rFonts w:ascii="Gotham" w:hAnsi="Gotham" w:cs="Arial"/>
                <w:bCs/>
                <w:sz w:val="18"/>
                <w:szCs w:val="18"/>
                <w:shd w:val="clear" w:color="auto" w:fill="EDEDED" w:themeFill="accent3" w:themeFillTint="33"/>
              </w:rPr>
              <w:t>Sociales</w:t>
            </w:r>
            <w:r w:rsidRPr="00C11D3F">
              <w:rPr>
                <w:rFonts w:ascii="Gotham" w:hAnsi="Gotham" w:cs="Arial"/>
                <w:bCs/>
                <w:spacing w:val="1"/>
                <w:sz w:val="18"/>
                <w:szCs w:val="18"/>
                <w:shd w:val="clear" w:color="auto" w:fill="EDEDED" w:themeFill="accent3" w:themeFillTint="33"/>
              </w:rPr>
              <w:t xml:space="preserve"> </w:t>
            </w:r>
            <w:r w:rsidRPr="00C11D3F">
              <w:rPr>
                <w:rFonts w:ascii="Gotham" w:hAnsi="Gotham" w:cs="Arial"/>
                <w:bCs/>
                <w:sz w:val="18"/>
                <w:szCs w:val="18"/>
                <w:shd w:val="clear" w:color="auto" w:fill="EDEDED" w:themeFill="accent3" w:themeFillTint="33"/>
              </w:rPr>
              <w:t>de</w:t>
            </w:r>
            <w:r w:rsidRPr="00C11D3F">
              <w:rPr>
                <w:rFonts w:ascii="Gotham" w:hAnsi="Gotham" w:cs="Arial"/>
                <w:bCs/>
                <w:spacing w:val="1"/>
                <w:sz w:val="18"/>
                <w:szCs w:val="18"/>
                <w:shd w:val="clear" w:color="auto" w:fill="EDEDED" w:themeFill="accent3" w:themeFillTint="33"/>
              </w:rPr>
              <w:t xml:space="preserve"> </w:t>
            </w:r>
            <w:r w:rsidRPr="00C11D3F">
              <w:rPr>
                <w:rFonts w:ascii="Gotham" w:hAnsi="Gotham" w:cs="Arial"/>
                <w:bCs/>
                <w:sz w:val="18"/>
                <w:szCs w:val="18"/>
                <w:shd w:val="clear" w:color="auto" w:fill="EDEDED" w:themeFill="accent3" w:themeFillTint="33"/>
              </w:rPr>
              <w:t>Participación</w:t>
            </w:r>
            <w:r w:rsidRPr="00C11D3F">
              <w:rPr>
                <w:rFonts w:ascii="Gotham" w:hAnsi="Gotham" w:cs="Arial"/>
                <w:bCs/>
                <w:spacing w:val="1"/>
                <w:sz w:val="18"/>
                <w:szCs w:val="18"/>
                <w:shd w:val="clear" w:color="auto" w:fill="EDEDED" w:themeFill="accent3" w:themeFillTint="33"/>
              </w:rPr>
              <w:t xml:space="preserve"> </w:t>
            </w:r>
            <w:r w:rsidRPr="00C11D3F">
              <w:rPr>
                <w:rFonts w:ascii="Gotham" w:hAnsi="Gotham" w:cs="Arial"/>
                <w:bCs/>
                <w:sz w:val="18"/>
                <w:szCs w:val="18"/>
                <w:shd w:val="clear" w:color="auto" w:fill="EDEDED" w:themeFill="accent3" w:themeFillTint="33"/>
              </w:rPr>
              <w:t>Ciudadana</w:t>
            </w:r>
            <w:r w:rsidRPr="00C11D3F">
              <w:rPr>
                <w:rFonts w:ascii="Gotham" w:hAnsi="Gotham" w:cs="Arial"/>
                <w:bCs/>
                <w:sz w:val="18"/>
                <w:szCs w:val="18"/>
              </w:rPr>
              <w:t>:</w:t>
            </w:r>
            <w:r w:rsidRPr="00C11D3F">
              <w:rPr>
                <w:rFonts w:ascii="Gotham" w:hAnsi="Gotham" w:cs="Arial"/>
                <w:b/>
                <w:spacing w:val="1"/>
                <w:sz w:val="18"/>
                <w:szCs w:val="18"/>
              </w:rPr>
              <w:t xml:space="preserve"> </w:t>
            </w:r>
            <w:r w:rsidRPr="00C11D3F">
              <w:rPr>
                <w:rFonts w:ascii="Gotham" w:hAnsi="Gotham" w:cs="Arial"/>
                <w:color w:val="C00000"/>
                <w:sz w:val="18"/>
                <w:szCs w:val="18"/>
              </w:rPr>
              <w:t>La</w:t>
            </w:r>
            <w:r w:rsidRPr="00C11D3F">
              <w:rPr>
                <w:rFonts w:ascii="Gotham" w:hAnsi="Gotham" w:cs="Arial"/>
                <w:color w:val="C00000"/>
                <w:spacing w:val="1"/>
                <w:sz w:val="18"/>
                <w:szCs w:val="18"/>
              </w:rPr>
              <w:t xml:space="preserve"> </w:t>
            </w:r>
            <w:r w:rsidRPr="00C11D3F">
              <w:rPr>
                <w:rFonts w:ascii="Gotham" w:hAnsi="Gotham" w:cs="Arial"/>
                <w:color w:val="C00000"/>
                <w:sz w:val="18"/>
                <w:szCs w:val="18"/>
              </w:rPr>
              <w:t>forma</w:t>
            </w:r>
            <w:r w:rsidRPr="00C11D3F">
              <w:rPr>
                <w:rFonts w:ascii="Gotham" w:hAnsi="Gotham" w:cs="Arial"/>
                <w:color w:val="C00000"/>
                <w:spacing w:val="1"/>
                <w:sz w:val="18"/>
                <w:szCs w:val="18"/>
              </w:rPr>
              <w:t xml:space="preserve"> </w:t>
            </w:r>
            <w:r w:rsidRPr="00C11D3F">
              <w:rPr>
                <w:rFonts w:ascii="Gotham" w:hAnsi="Gotham" w:cs="Arial"/>
                <w:color w:val="C00000"/>
                <w:sz w:val="18"/>
                <w:szCs w:val="18"/>
              </w:rPr>
              <w:t>de</w:t>
            </w:r>
            <w:r w:rsidRPr="00C11D3F">
              <w:rPr>
                <w:rFonts w:ascii="Gotham" w:hAnsi="Gotham" w:cs="Arial"/>
                <w:color w:val="C00000"/>
                <w:spacing w:val="1"/>
                <w:sz w:val="18"/>
                <w:szCs w:val="18"/>
              </w:rPr>
              <w:t xml:space="preserve"> </w:t>
            </w:r>
            <w:r w:rsidRPr="00C11D3F">
              <w:rPr>
                <w:rFonts w:ascii="Gotham" w:hAnsi="Gotham" w:cs="Arial"/>
                <w:color w:val="C00000"/>
                <w:sz w:val="18"/>
                <w:szCs w:val="18"/>
              </w:rPr>
              <w:t>organización</w:t>
            </w:r>
            <w:r w:rsidRPr="00C11D3F">
              <w:rPr>
                <w:rFonts w:ascii="Gotham" w:hAnsi="Gotham" w:cs="Arial"/>
                <w:color w:val="C00000"/>
                <w:spacing w:val="1"/>
                <w:sz w:val="18"/>
                <w:szCs w:val="18"/>
              </w:rPr>
              <w:t xml:space="preserve"> </w:t>
            </w:r>
            <w:r w:rsidRPr="00C11D3F">
              <w:rPr>
                <w:rFonts w:ascii="Gotham" w:hAnsi="Gotham" w:cs="Arial"/>
                <w:color w:val="C00000"/>
                <w:sz w:val="18"/>
                <w:szCs w:val="18"/>
              </w:rPr>
              <w:t>ciudadana</w:t>
            </w:r>
            <w:r w:rsidRPr="00C11D3F">
              <w:rPr>
                <w:rFonts w:ascii="Gotham" w:hAnsi="Gotham" w:cs="Arial"/>
                <w:spacing w:val="1"/>
                <w:sz w:val="18"/>
                <w:szCs w:val="18"/>
              </w:rPr>
              <w:t xml:space="preserve"> </w:t>
            </w:r>
            <w:r w:rsidRPr="00C11D3F">
              <w:rPr>
                <w:rFonts w:ascii="Gotham" w:hAnsi="Gotham" w:cs="Arial"/>
                <w:sz w:val="18"/>
                <w:szCs w:val="18"/>
              </w:rPr>
              <w:t>conformad</w:t>
            </w:r>
            <w:r w:rsidRPr="00C11D3F">
              <w:rPr>
                <w:rFonts w:ascii="Gotham" w:hAnsi="Gotham" w:cs="Arial"/>
                <w:color w:val="C00000"/>
                <w:sz w:val="18"/>
                <w:szCs w:val="18"/>
              </w:rPr>
              <w:t>a</w:t>
            </w:r>
            <w:r w:rsidRPr="00C11D3F">
              <w:rPr>
                <w:rFonts w:ascii="Gotham" w:hAnsi="Gotham" w:cs="Arial"/>
                <w:spacing w:val="-6"/>
                <w:sz w:val="18"/>
                <w:szCs w:val="18"/>
              </w:rPr>
              <w:t xml:space="preserve"> </w:t>
            </w:r>
            <w:r w:rsidRPr="00C11D3F">
              <w:rPr>
                <w:rFonts w:ascii="Gotham" w:hAnsi="Gotham" w:cs="Arial"/>
                <w:sz w:val="18"/>
                <w:szCs w:val="18"/>
              </w:rPr>
              <w:t>por</w:t>
            </w:r>
            <w:r w:rsidRPr="00C11D3F">
              <w:rPr>
                <w:rFonts w:ascii="Gotham" w:hAnsi="Gotham" w:cs="Arial"/>
                <w:spacing w:val="-6"/>
                <w:sz w:val="18"/>
                <w:szCs w:val="18"/>
              </w:rPr>
              <w:t xml:space="preserve"> </w:t>
            </w:r>
            <w:r w:rsidRPr="00C11D3F">
              <w:rPr>
                <w:rFonts w:ascii="Gotham" w:hAnsi="Gotham" w:cs="Arial"/>
                <w:sz w:val="18"/>
                <w:szCs w:val="18"/>
              </w:rPr>
              <w:t>representantes</w:t>
            </w:r>
            <w:r w:rsidRPr="00C11D3F">
              <w:rPr>
                <w:rFonts w:ascii="Gotham" w:hAnsi="Gotham" w:cs="Arial"/>
                <w:spacing w:val="-5"/>
                <w:sz w:val="18"/>
                <w:szCs w:val="18"/>
              </w:rPr>
              <w:t xml:space="preserve"> </w:t>
            </w:r>
            <w:r w:rsidRPr="00C11D3F">
              <w:rPr>
                <w:rFonts w:ascii="Gotham" w:hAnsi="Gotham" w:cs="Arial"/>
                <w:sz w:val="18"/>
                <w:szCs w:val="18"/>
              </w:rPr>
              <w:t>de</w:t>
            </w:r>
            <w:r w:rsidRPr="00C11D3F">
              <w:rPr>
                <w:rFonts w:ascii="Gotham" w:hAnsi="Gotham" w:cs="Arial"/>
                <w:spacing w:val="-6"/>
                <w:sz w:val="18"/>
                <w:szCs w:val="18"/>
              </w:rPr>
              <w:t xml:space="preserve"> </w:t>
            </w:r>
            <w:r w:rsidRPr="00C11D3F">
              <w:rPr>
                <w:rFonts w:ascii="Gotham" w:hAnsi="Gotham" w:cs="Arial"/>
                <w:sz w:val="18"/>
                <w:szCs w:val="18"/>
              </w:rPr>
              <w:t>las</w:t>
            </w:r>
            <w:r w:rsidRPr="00C11D3F">
              <w:rPr>
                <w:rFonts w:ascii="Gotham" w:hAnsi="Gotham" w:cs="Arial"/>
                <w:color w:val="FF0000"/>
                <w:spacing w:val="-6"/>
                <w:sz w:val="18"/>
                <w:szCs w:val="18"/>
              </w:rPr>
              <w:t xml:space="preserve"> </w:t>
            </w:r>
            <w:bookmarkStart w:id="78" w:name="_Hlk172499304"/>
            <w:r w:rsidRPr="00C11D3F">
              <w:rPr>
                <w:rFonts w:ascii="Gotham" w:hAnsi="Gotham" w:cs="Arial"/>
                <w:sz w:val="18"/>
                <w:szCs w:val="18"/>
              </w:rPr>
              <w:t>organizaciones</w:t>
            </w:r>
            <w:r w:rsidRPr="00C11D3F">
              <w:rPr>
                <w:rFonts w:ascii="Gotham" w:hAnsi="Gotham" w:cs="Arial"/>
                <w:spacing w:val="-5"/>
                <w:sz w:val="18"/>
                <w:szCs w:val="18"/>
              </w:rPr>
              <w:t xml:space="preserve"> </w:t>
            </w:r>
            <w:r w:rsidRPr="00C11D3F">
              <w:rPr>
                <w:rFonts w:ascii="Gotham" w:hAnsi="Gotham" w:cs="Arial"/>
                <w:sz w:val="18"/>
                <w:szCs w:val="18"/>
              </w:rPr>
              <w:t>ciudadanas</w:t>
            </w:r>
            <w:bookmarkEnd w:id="78"/>
            <w:r w:rsidRPr="00C11D3F">
              <w:rPr>
                <w:rFonts w:ascii="Gotham" w:hAnsi="Gotham" w:cs="Arial"/>
                <w:sz w:val="18"/>
                <w:szCs w:val="18"/>
              </w:rPr>
              <w:t xml:space="preserve"> y</w:t>
            </w:r>
            <w:r w:rsidRPr="00C11D3F">
              <w:rPr>
                <w:rFonts w:ascii="Gotham" w:hAnsi="Gotham" w:cs="Arial"/>
                <w:spacing w:val="-6"/>
                <w:sz w:val="18"/>
                <w:szCs w:val="18"/>
              </w:rPr>
              <w:t xml:space="preserve"> </w:t>
            </w:r>
            <w:r w:rsidRPr="00C11D3F">
              <w:rPr>
                <w:rFonts w:ascii="Gotham" w:hAnsi="Gotham" w:cs="Arial"/>
                <w:sz w:val="18"/>
                <w:szCs w:val="18"/>
              </w:rPr>
              <w:t>liderazgos</w:t>
            </w:r>
            <w:r w:rsidRPr="00C11D3F">
              <w:rPr>
                <w:rFonts w:ascii="Gotham" w:hAnsi="Gotham" w:cs="Arial"/>
                <w:spacing w:val="-6"/>
                <w:sz w:val="18"/>
                <w:szCs w:val="18"/>
              </w:rPr>
              <w:t xml:space="preserve"> </w:t>
            </w:r>
            <w:r w:rsidRPr="00C11D3F">
              <w:rPr>
                <w:rFonts w:ascii="Gotham" w:hAnsi="Gotham" w:cs="Arial"/>
                <w:sz w:val="18"/>
                <w:szCs w:val="18"/>
              </w:rPr>
              <w:t>sociales</w:t>
            </w:r>
            <w:r w:rsidRPr="00C11D3F">
              <w:rPr>
                <w:rFonts w:ascii="Gotham" w:hAnsi="Gotham" w:cs="Arial"/>
                <w:spacing w:val="-6"/>
                <w:sz w:val="18"/>
                <w:szCs w:val="18"/>
              </w:rPr>
              <w:t xml:space="preserve"> </w:t>
            </w:r>
            <w:r w:rsidRPr="00C11D3F">
              <w:rPr>
                <w:rFonts w:ascii="Gotham" w:hAnsi="Gotham" w:cs="Arial"/>
                <w:color w:val="C00000"/>
                <w:sz w:val="18"/>
                <w:szCs w:val="18"/>
              </w:rPr>
              <w:t>del</w:t>
            </w:r>
            <w:r w:rsidRPr="00C11D3F">
              <w:rPr>
                <w:rFonts w:ascii="Gotham" w:hAnsi="Gotham" w:cs="Arial"/>
                <w:color w:val="C00000"/>
                <w:spacing w:val="-5"/>
                <w:sz w:val="18"/>
                <w:szCs w:val="18"/>
              </w:rPr>
              <w:t xml:space="preserve"> </w:t>
            </w:r>
            <w:r w:rsidRPr="00C11D3F">
              <w:rPr>
                <w:rFonts w:ascii="Gotham" w:hAnsi="Gotham" w:cs="Arial"/>
                <w:color w:val="C00000"/>
                <w:sz w:val="18"/>
                <w:szCs w:val="18"/>
              </w:rPr>
              <w:t>Municipio</w:t>
            </w:r>
            <w:r w:rsidRPr="00C11D3F">
              <w:rPr>
                <w:rFonts w:ascii="Gotham" w:hAnsi="Gotham" w:cs="Arial"/>
                <w:color w:val="C00000"/>
                <w:spacing w:val="-53"/>
                <w:sz w:val="18"/>
                <w:szCs w:val="18"/>
              </w:rPr>
              <w:t xml:space="preserve"> </w:t>
            </w:r>
            <w:r w:rsidRPr="00C11D3F">
              <w:rPr>
                <w:rFonts w:ascii="Gotham" w:hAnsi="Gotham" w:cs="Arial"/>
                <w:sz w:val="18"/>
                <w:szCs w:val="18"/>
              </w:rPr>
              <w:t xml:space="preserve">y la ciudadanía en general que se integran en la </w:t>
            </w:r>
            <w:r w:rsidRPr="00C11D3F">
              <w:rPr>
                <w:rFonts w:ascii="Gotham" w:hAnsi="Gotham" w:cs="Arial"/>
                <w:sz w:val="18"/>
                <w:szCs w:val="18"/>
                <w:shd w:val="clear" w:color="auto" w:fill="EDEDED" w:themeFill="accent3" w:themeFillTint="33"/>
              </w:rPr>
              <w:t xml:space="preserve">delimitación territorial que </w:t>
            </w:r>
            <w:r w:rsidRPr="00C11D3F">
              <w:rPr>
                <w:rFonts w:ascii="Gotham" w:hAnsi="Gotham" w:cs="Arial"/>
                <w:color w:val="FF0000"/>
                <w:sz w:val="18"/>
                <w:szCs w:val="18"/>
                <w:shd w:val="clear" w:color="auto" w:fill="EDEDED" w:themeFill="accent3" w:themeFillTint="33"/>
              </w:rPr>
              <w:t>determine el Consejo</w:t>
            </w:r>
            <w:r w:rsidRPr="00C11D3F">
              <w:rPr>
                <w:rFonts w:ascii="Gotham" w:hAnsi="Gotham" w:cs="Arial"/>
                <w:color w:val="FF0000"/>
                <w:spacing w:val="1"/>
                <w:sz w:val="18"/>
                <w:szCs w:val="18"/>
                <w:shd w:val="clear" w:color="auto" w:fill="EDEDED" w:themeFill="accent3" w:themeFillTint="33"/>
              </w:rPr>
              <w:t xml:space="preserve"> </w:t>
            </w:r>
            <w:r w:rsidRPr="00C11D3F">
              <w:rPr>
                <w:rFonts w:ascii="Gotham" w:hAnsi="Gotham" w:cs="Arial"/>
                <w:color w:val="FF0000"/>
                <w:sz w:val="18"/>
                <w:szCs w:val="18"/>
                <w:shd w:val="clear" w:color="auto" w:fill="EDEDED" w:themeFill="accent3" w:themeFillTint="33"/>
              </w:rPr>
              <w:t xml:space="preserve">Municipal de Participación Ciudadana </w:t>
            </w:r>
            <w:r w:rsidRPr="00C11D3F">
              <w:rPr>
                <w:rFonts w:ascii="Gotham" w:hAnsi="Gotham" w:cs="Arial"/>
                <w:sz w:val="18"/>
                <w:szCs w:val="18"/>
              </w:rPr>
              <w:t>por colonia para el desempeño de funciones prácticas y</w:t>
            </w:r>
            <w:r w:rsidRPr="00C11D3F">
              <w:rPr>
                <w:rFonts w:ascii="Gotham" w:hAnsi="Gotham" w:cs="Arial"/>
                <w:spacing w:val="1"/>
                <w:sz w:val="18"/>
                <w:szCs w:val="18"/>
              </w:rPr>
              <w:t xml:space="preserve"> </w:t>
            </w:r>
            <w:r w:rsidRPr="00C11D3F">
              <w:rPr>
                <w:rFonts w:ascii="Gotham" w:hAnsi="Gotham" w:cs="Arial"/>
                <w:sz w:val="18"/>
                <w:szCs w:val="18"/>
              </w:rPr>
              <w:t>benéficas</w:t>
            </w:r>
            <w:r w:rsidRPr="00C11D3F">
              <w:rPr>
                <w:rFonts w:ascii="Gotham" w:hAnsi="Gotham" w:cs="Arial"/>
                <w:spacing w:val="-3"/>
                <w:sz w:val="18"/>
                <w:szCs w:val="18"/>
              </w:rPr>
              <w:t xml:space="preserve"> </w:t>
            </w:r>
            <w:r w:rsidRPr="00C11D3F">
              <w:rPr>
                <w:rFonts w:ascii="Gotham" w:hAnsi="Gotham" w:cs="Arial"/>
                <w:sz w:val="18"/>
                <w:szCs w:val="18"/>
              </w:rPr>
              <w:t>para</w:t>
            </w:r>
            <w:r w:rsidRPr="00C11D3F">
              <w:rPr>
                <w:rFonts w:ascii="Gotham" w:hAnsi="Gotham" w:cs="Arial"/>
                <w:spacing w:val="-2"/>
                <w:sz w:val="18"/>
                <w:szCs w:val="18"/>
              </w:rPr>
              <w:t xml:space="preserve"> </w:t>
            </w:r>
            <w:r w:rsidRPr="00C11D3F">
              <w:rPr>
                <w:rFonts w:ascii="Gotham" w:hAnsi="Gotham" w:cs="Arial"/>
                <w:sz w:val="18"/>
                <w:szCs w:val="18"/>
              </w:rPr>
              <w:t>una</w:t>
            </w:r>
            <w:r w:rsidRPr="00C11D3F">
              <w:rPr>
                <w:rFonts w:ascii="Gotham" w:hAnsi="Gotham" w:cs="Arial"/>
                <w:spacing w:val="-2"/>
                <w:sz w:val="18"/>
                <w:szCs w:val="18"/>
              </w:rPr>
              <w:t xml:space="preserve"> </w:t>
            </w:r>
            <w:r w:rsidRPr="00C11D3F">
              <w:rPr>
                <w:rFonts w:ascii="Gotham" w:hAnsi="Gotham" w:cs="Arial"/>
                <w:sz w:val="18"/>
                <w:szCs w:val="18"/>
              </w:rPr>
              <w:t>comunidad,</w:t>
            </w:r>
            <w:r w:rsidRPr="00C11D3F">
              <w:rPr>
                <w:rFonts w:ascii="Gotham" w:hAnsi="Gotham" w:cs="Arial"/>
                <w:spacing w:val="-1"/>
                <w:sz w:val="18"/>
                <w:szCs w:val="18"/>
              </w:rPr>
              <w:t xml:space="preserve"> </w:t>
            </w:r>
            <w:r w:rsidRPr="00C11D3F">
              <w:rPr>
                <w:rFonts w:ascii="Gotham" w:hAnsi="Gotham" w:cs="Arial"/>
                <w:sz w:val="18"/>
                <w:szCs w:val="18"/>
              </w:rPr>
              <w:t>donde</w:t>
            </w:r>
            <w:r w:rsidRPr="00C11D3F">
              <w:rPr>
                <w:rFonts w:ascii="Gotham" w:hAnsi="Gotham" w:cs="Arial"/>
                <w:spacing w:val="-2"/>
                <w:sz w:val="18"/>
                <w:szCs w:val="18"/>
              </w:rPr>
              <w:t xml:space="preserve"> </w:t>
            </w:r>
            <w:r w:rsidRPr="00C11D3F">
              <w:rPr>
                <w:rFonts w:ascii="Gotham" w:hAnsi="Gotham" w:cs="Arial"/>
                <w:sz w:val="18"/>
                <w:szCs w:val="18"/>
              </w:rPr>
              <w:t>se</w:t>
            </w:r>
            <w:r w:rsidRPr="00C11D3F">
              <w:rPr>
                <w:rFonts w:ascii="Gotham" w:hAnsi="Gotham" w:cs="Arial"/>
                <w:spacing w:val="-2"/>
                <w:sz w:val="18"/>
                <w:szCs w:val="18"/>
              </w:rPr>
              <w:t xml:space="preserve"> </w:t>
            </w:r>
            <w:r w:rsidRPr="00C11D3F">
              <w:rPr>
                <w:rFonts w:ascii="Gotham" w:hAnsi="Gotham" w:cs="Arial"/>
                <w:sz w:val="18"/>
                <w:szCs w:val="18"/>
              </w:rPr>
              <w:t>desarrolle</w:t>
            </w:r>
            <w:r w:rsidRPr="00C11D3F">
              <w:rPr>
                <w:rFonts w:ascii="Gotham" w:hAnsi="Gotham" w:cs="Arial"/>
                <w:spacing w:val="-2"/>
                <w:sz w:val="18"/>
                <w:szCs w:val="18"/>
              </w:rPr>
              <w:t xml:space="preserve"> </w:t>
            </w:r>
            <w:r w:rsidRPr="00C11D3F">
              <w:rPr>
                <w:rFonts w:ascii="Gotham" w:hAnsi="Gotham" w:cs="Arial"/>
                <w:sz w:val="18"/>
                <w:szCs w:val="18"/>
              </w:rPr>
              <w:t>y</w:t>
            </w:r>
            <w:r w:rsidRPr="00C11D3F">
              <w:rPr>
                <w:rFonts w:ascii="Gotham" w:hAnsi="Gotham" w:cs="Arial"/>
                <w:spacing w:val="-4"/>
                <w:sz w:val="18"/>
                <w:szCs w:val="18"/>
              </w:rPr>
              <w:t xml:space="preserve"> </w:t>
            </w:r>
            <w:r w:rsidRPr="00C11D3F">
              <w:rPr>
                <w:rFonts w:ascii="Gotham" w:hAnsi="Gotham" w:cs="Arial"/>
                <w:sz w:val="18"/>
                <w:szCs w:val="18"/>
              </w:rPr>
              <w:t>fomente</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2"/>
                <w:sz w:val="18"/>
                <w:szCs w:val="18"/>
              </w:rPr>
              <w:t xml:space="preserve"> </w:t>
            </w:r>
            <w:r w:rsidRPr="00C11D3F">
              <w:rPr>
                <w:rFonts w:ascii="Gotham" w:hAnsi="Gotham" w:cs="Arial"/>
                <w:sz w:val="18"/>
                <w:szCs w:val="18"/>
              </w:rPr>
              <w:t>participación</w:t>
            </w:r>
            <w:r w:rsidRPr="00C11D3F">
              <w:rPr>
                <w:rFonts w:ascii="Gotham" w:hAnsi="Gotham" w:cs="Arial"/>
                <w:spacing w:val="-3"/>
                <w:sz w:val="18"/>
                <w:szCs w:val="18"/>
              </w:rPr>
              <w:t xml:space="preserve"> </w:t>
            </w:r>
            <w:r w:rsidRPr="00C11D3F">
              <w:rPr>
                <w:rFonts w:ascii="Gotham" w:hAnsi="Gotham" w:cs="Arial"/>
                <w:sz w:val="18"/>
                <w:szCs w:val="18"/>
              </w:rPr>
              <w:t>ciudadana.</w:t>
            </w:r>
          </w:p>
        </w:tc>
        <w:tc>
          <w:tcPr>
            <w:tcW w:w="4678" w:type="dxa"/>
          </w:tcPr>
          <w:p w14:paraId="3A47662D" w14:textId="77777777" w:rsidR="009B5E39" w:rsidRDefault="009B5E39" w:rsidP="00190E4A">
            <w:pPr>
              <w:jc w:val="both"/>
              <w:rPr>
                <w:rFonts w:ascii="Gotham" w:hAnsi="Gotham" w:cs="Arial"/>
                <w:sz w:val="18"/>
                <w:szCs w:val="18"/>
              </w:rPr>
            </w:pPr>
          </w:p>
          <w:p w14:paraId="3A47662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2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Fracción III. </w:t>
            </w:r>
          </w:p>
          <w:p w14:paraId="3A476630" w14:textId="77777777" w:rsidR="009B5E39" w:rsidRDefault="009B5E39" w:rsidP="00190E4A">
            <w:pPr>
              <w:jc w:val="both"/>
              <w:rPr>
                <w:rFonts w:ascii="Gotham" w:hAnsi="Gotham" w:cs="Arial"/>
                <w:sz w:val="18"/>
                <w:szCs w:val="18"/>
              </w:rPr>
            </w:pPr>
          </w:p>
          <w:p w14:paraId="3A47663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Comités Sociales de Participación Ciudadana: </w:t>
            </w:r>
            <w:r w:rsidRPr="00C11D3F">
              <w:rPr>
                <w:rFonts w:ascii="Gotham" w:hAnsi="Gotham" w:cs="Arial"/>
                <w:b/>
                <w:bCs/>
                <w:sz w:val="18"/>
                <w:szCs w:val="18"/>
              </w:rPr>
              <w:t>El mecanismo de participación</w:t>
            </w:r>
            <w:r w:rsidRPr="00C11D3F">
              <w:rPr>
                <w:rFonts w:ascii="Gotham" w:hAnsi="Gotham" w:cs="Arial"/>
                <w:sz w:val="18"/>
                <w:szCs w:val="18"/>
              </w:rPr>
              <w:t xml:space="preserve"> conformado por representantes de las organizaciones ciudadanas, liderazgos sociales, </w:t>
            </w:r>
            <w:r w:rsidRPr="00C11D3F">
              <w:rPr>
                <w:rFonts w:ascii="Gotham" w:hAnsi="Gotham" w:cs="Arial"/>
                <w:b/>
                <w:bCs/>
                <w:sz w:val="18"/>
                <w:szCs w:val="18"/>
              </w:rPr>
              <w:t>así como la ciudadanía en general del Municipio</w:t>
            </w:r>
            <w:r w:rsidRPr="00C11D3F">
              <w:rPr>
                <w:rFonts w:ascii="Gotham" w:hAnsi="Gotham" w:cs="Arial"/>
                <w:sz w:val="18"/>
                <w:szCs w:val="18"/>
              </w:rPr>
              <w:t xml:space="preserve"> que se integran en la delimitación territorial por colonia para el desempeño de funciones prácticas y benéficas para una comunidad, donde se desarrolle y fomente la participación ciudadana.</w:t>
            </w:r>
          </w:p>
        </w:tc>
      </w:tr>
      <w:tr w:rsidR="009B5E39" w:rsidRPr="00C11D3F" w14:paraId="3A47663D" w14:textId="77777777" w:rsidTr="00190E4A">
        <w:trPr>
          <w:jc w:val="center"/>
        </w:trPr>
        <w:tc>
          <w:tcPr>
            <w:tcW w:w="4673" w:type="dxa"/>
          </w:tcPr>
          <w:p w14:paraId="3A476633" w14:textId="77777777" w:rsidR="009B5E39" w:rsidRDefault="009B5E39" w:rsidP="00190E4A">
            <w:pPr>
              <w:jc w:val="both"/>
              <w:rPr>
                <w:rFonts w:ascii="Gotham" w:hAnsi="Gotham" w:cs="Arial"/>
                <w:sz w:val="18"/>
                <w:szCs w:val="18"/>
              </w:rPr>
            </w:pPr>
          </w:p>
          <w:p w14:paraId="3A47663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3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IV.</w:t>
            </w:r>
          </w:p>
          <w:p w14:paraId="3A476636" w14:textId="77777777" w:rsidR="009B5E39" w:rsidRDefault="009B5E39" w:rsidP="00190E4A">
            <w:pPr>
              <w:jc w:val="both"/>
              <w:rPr>
                <w:rFonts w:ascii="Gotham" w:hAnsi="Gotham" w:cs="Arial"/>
                <w:bCs/>
                <w:sz w:val="18"/>
                <w:szCs w:val="18"/>
              </w:rPr>
            </w:pPr>
          </w:p>
          <w:p w14:paraId="3A476637" w14:textId="77777777" w:rsidR="009B5E39" w:rsidRPr="00C11D3F" w:rsidRDefault="009B5E39" w:rsidP="00190E4A">
            <w:pPr>
              <w:jc w:val="both"/>
              <w:rPr>
                <w:rFonts w:ascii="Gotham" w:hAnsi="Gotham" w:cs="Arial"/>
                <w:sz w:val="18"/>
                <w:szCs w:val="18"/>
              </w:rPr>
            </w:pPr>
            <w:r w:rsidRPr="00C11D3F">
              <w:rPr>
                <w:rFonts w:ascii="Gotham" w:hAnsi="Gotham" w:cs="Arial"/>
                <w:bCs/>
                <w:sz w:val="18"/>
                <w:szCs w:val="18"/>
              </w:rPr>
              <w:t>Comparecencia pública:</w:t>
            </w:r>
            <w:r w:rsidRPr="00C11D3F">
              <w:rPr>
                <w:rFonts w:ascii="Gotham" w:hAnsi="Gotham" w:cs="Arial"/>
                <w:b/>
                <w:sz w:val="18"/>
                <w:szCs w:val="18"/>
              </w:rPr>
              <w:t xml:space="preserve"> </w:t>
            </w:r>
            <w:r w:rsidRPr="00C11D3F">
              <w:rPr>
                <w:rFonts w:ascii="Gotham" w:hAnsi="Gotham" w:cs="Arial"/>
                <w:color w:val="C00000"/>
                <w:sz w:val="18"/>
                <w:szCs w:val="18"/>
              </w:rPr>
              <w:t>E</w:t>
            </w:r>
            <w:r w:rsidRPr="00C11D3F">
              <w:rPr>
                <w:rFonts w:ascii="Gotham" w:hAnsi="Gotham" w:cs="Arial"/>
                <w:sz w:val="18"/>
                <w:szCs w:val="18"/>
              </w:rPr>
              <w:t xml:space="preserve"> mecanismo de participación y democracia deliberativa mediante el</w:t>
            </w:r>
            <w:r w:rsidRPr="00C11D3F">
              <w:rPr>
                <w:rFonts w:ascii="Gotham" w:hAnsi="Gotham" w:cs="Arial"/>
                <w:spacing w:val="1"/>
                <w:sz w:val="18"/>
                <w:szCs w:val="18"/>
              </w:rPr>
              <w:t xml:space="preserve"> </w:t>
            </w:r>
            <w:r w:rsidRPr="00C11D3F">
              <w:rPr>
                <w:rFonts w:ascii="Gotham" w:hAnsi="Gotham" w:cs="Arial"/>
                <w:sz w:val="18"/>
                <w:szCs w:val="18"/>
              </w:rPr>
              <w:t>cual los habitantes del Municipio dialogan y debaten con los funcionarios públicos del Estado o los</w:t>
            </w:r>
            <w:r w:rsidRPr="00C11D3F">
              <w:rPr>
                <w:rFonts w:ascii="Gotham" w:hAnsi="Gotham" w:cs="Arial"/>
                <w:spacing w:val="1"/>
                <w:sz w:val="18"/>
                <w:szCs w:val="18"/>
              </w:rPr>
              <w:t xml:space="preserve"> </w:t>
            </w:r>
            <w:r w:rsidRPr="00C11D3F">
              <w:rPr>
                <w:rFonts w:ascii="Gotham" w:hAnsi="Gotham" w:cs="Arial"/>
                <w:sz w:val="18"/>
                <w:szCs w:val="18"/>
              </w:rPr>
              <w:t>municipios</w:t>
            </w:r>
            <w:r w:rsidRPr="00C11D3F">
              <w:rPr>
                <w:rFonts w:ascii="Gotham" w:hAnsi="Gotham" w:cs="Arial"/>
                <w:spacing w:val="-13"/>
                <w:sz w:val="18"/>
                <w:szCs w:val="18"/>
              </w:rPr>
              <w:t xml:space="preserve"> </w:t>
            </w:r>
            <w:r w:rsidRPr="00C11D3F">
              <w:rPr>
                <w:rFonts w:ascii="Gotham" w:hAnsi="Gotham" w:cs="Arial"/>
                <w:sz w:val="18"/>
                <w:szCs w:val="18"/>
              </w:rPr>
              <w:t>para</w:t>
            </w:r>
            <w:r w:rsidRPr="00C11D3F">
              <w:rPr>
                <w:rFonts w:ascii="Gotham" w:hAnsi="Gotham" w:cs="Arial"/>
                <w:spacing w:val="-12"/>
                <w:sz w:val="18"/>
                <w:szCs w:val="18"/>
              </w:rPr>
              <w:t xml:space="preserve"> </w:t>
            </w:r>
            <w:r w:rsidRPr="00C11D3F">
              <w:rPr>
                <w:rFonts w:ascii="Gotham" w:hAnsi="Gotham" w:cs="Arial"/>
                <w:sz w:val="18"/>
                <w:szCs w:val="18"/>
              </w:rPr>
              <w:t>solicitarles</w:t>
            </w:r>
            <w:r w:rsidRPr="00C11D3F">
              <w:rPr>
                <w:rFonts w:ascii="Gotham" w:hAnsi="Gotham" w:cs="Arial"/>
                <w:spacing w:val="-12"/>
                <w:sz w:val="18"/>
                <w:szCs w:val="18"/>
              </w:rPr>
              <w:t xml:space="preserve"> </w:t>
            </w:r>
            <w:r w:rsidRPr="00C11D3F">
              <w:rPr>
                <w:rFonts w:ascii="Gotham" w:hAnsi="Gotham" w:cs="Arial"/>
                <w:sz w:val="18"/>
                <w:szCs w:val="18"/>
              </w:rPr>
              <w:t>la</w:t>
            </w:r>
            <w:r w:rsidRPr="00C11D3F">
              <w:rPr>
                <w:rFonts w:ascii="Gotham" w:hAnsi="Gotham" w:cs="Arial"/>
                <w:spacing w:val="-12"/>
                <w:sz w:val="18"/>
                <w:szCs w:val="18"/>
              </w:rPr>
              <w:t xml:space="preserve"> </w:t>
            </w:r>
            <w:r w:rsidRPr="00C11D3F">
              <w:rPr>
                <w:rFonts w:ascii="Gotham" w:hAnsi="Gotham" w:cs="Arial"/>
                <w:sz w:val="18"/>
                <w:szCs w:val="18"/>
              </w:rPr>
              <w:t>rendición</w:t>
            </w:r>
            <w:r w:rsidRPr="00C11D3F">
              <w:rPr>
                <w:rFonts w:ascii="Gotham" w:hAnsi="Gotham" w:cs="Arial"/>
                <w:spacing w:val="-13"/>
                <w:sz w:val="18"/>
                <w:szCs w:val="18"/>
              </w:rPr>
              <w:t xml:space="preserve"> </w:t>
            </w:r>
            <w:r w:rsidRPr="00C11D3F">
              <w:rPr>
                <w:rFonts w:ascii="Gotham" w:hAnsi="Gotham" w:cs="Arial"/>
                <w:sz w:val="18"/>
                <w:szCs w:val="18"/>
              </w:rPr>
              <w:t>de</w:t>
            </w:r>
            <w:r w:rsidRPr="00C11D3F">
              <w:rPr>
                <w:rFonts w:ascii="Gotham" w:hAnsi="Gotham" w:cs="Arial"/>
                <w:spacing w:val="-8"/>
                <w:sz w:val="18"/>
                <w:szCs w:val="18"/>
              </w:rPr>
              <w:t xml:space="preserve"> </w:t>
            </w:r>
            <w:r w:rsidRPr="00C11D3F">
              <w:rPr>
                <w:rFonts w:ascii="Gotham" w:hAnsi="Gotham" w:cs="Arial"/>
                <w:sz w:val="18"/>
                <w:szCs w:val="18"/>
              </w:rPr>
              <w:t>cuentas,</w:t>
            </w:r>
            <w:r w:rsidRPr="00C11D3F">
              <w:rPr>
                <w:rFonts w:ascii="Gotham" w:hAnsi="Gotham" w:cs="Arial"/>
                <w:spacing w:val="-10"/>
                <w:sz w:val="18"/>
                <w:szCs w:val="18"/>
              </w:rPr>
              <w:t xml:space="preserve"> </w:t>
            </w:r>
            <w:r w:rsidRPr="00C11D3F">
              <w:rPr>
                <w:rFonts w:ascii="Gotham" w:hAnsi="Gotham" w:cs="Arial"/>
                <w:sz w:val="18"/>
                <w:szCs w:val="18"/>
              </w:rPr>
              <w:t>pedir</w:t>
            </w:r>
            <w:r w:rsidRPr="00C11D3F">
              <w:rPr>
                <w:rFonts w:ascii="Gotham" w:hAnsi="Gotham" w:cs="Arial"/>
                <w:spacing w:val="-12"/>
                <w:sz w:val="18"/>
                <w:szCs w:val="18"/>
              </w:rPr>
              <w:t xml:space="preserve"> </w:t>
            </w:r>
            <w:r w:rsidRPr="00C11D3F">
              <w:rPr>
                <w:rFonts w:ascii="Gotham" w:hAnsi="Gotham" w:cs="Arial"/>
                <w:sz w:val="18"/>
                <w:szCs w:val="18"/>
              </w:rPr>
              <w:t>información,</w:t>
            </w:r>
            <w:r w:rsidRPr="00C11D3F">
              <w:rPr>
                <w:rFonts w:ascii="Gotham" w:hAnsi="Gotham" w:cs="Arial"/>
                <w:spacing w:val="-10"/>
                <w:sz w:val="18"/>
                <w:szCs w:val="18"/>
              </w:rPr>
              <w:t xml:space="preserve"> </w:t>
            </w:r>
            <w:r w:rsidRPr="00C11D3F">
              <w:rPr>
                <w:rFonts w:ascii="Gotham" w:hAnsi="Gotham" w:cs="Arial"/>
                <w:sz w:val="18"/>
                <w:szCs w:val="18"/>
              </w:rPr>
              <w:t>proponer</w:t>
            </w:r>
            <w:r w:rsidRPr="00C11D3F">
              <w:rPr>
                <w:rFonts w:ascii="Gotham" w:hAnsi="Gotham" w:cs="Arial"/>
                <w:spacing w:val="-12"/>
                <w:sz w:val="18"/>
                <w:szCs w:val="18"/>
              </w:rPr>
              <w:t xml:space="preserve"> </w:t>
            </w:r>
            <w:r w:rsidRPr="00C11D3F">
              <w:rPr>
                <w:rFonts w:ascii="Gotham" w:hAnsi="Gotham" w:cs="Arial"/>
                <w:sz w:val="18"/>
                <w:szCs w:val="18"/>
              </w:rPr>
              <w:t>acciones,</w:t>
            </w:r>
            <w:r w:rsidRPr="00C11D3F">
              <w:rPr>
                <w:rFonts w:ascii="Gotham" w:hAnsi="Gotham" w:cs="Arial"/>
                <w:spacing w:val="-10"/>
                <w:sz w:val="18"/>
                <w:szCs w:val="18"/>
              </w:rPr>
              <w:t xml:space="preserve"> </w:t>
            </w:r>
            <w:r w:rsidRPr="00C11D3F">
              <w:rPr>
                <w:rFonts w:ascii="Gotham" w:hAnsi="Gotham" w:cs="Arial"/>
                <w:sz w:val="18"/>
                <w:szCs w:val="18"/>
              </w:rPr>
              <w:t>cuestionar</w:t>
            </w:r>
            <w:r w:rsidRPr="00C11D3F">
              <w:rPr>
                <w:rFonts w:ascii="Gotham" w:hAnsi="Gotham" w:cs="Arial"/>
                <w:spacing w:val="-53"/>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solicitar</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realización</w:t>
            </w:r>
            <w:r w:rsidRPr="00C11D3F">
              <w:rPr>
                <w:rFonts w:ascii="Gotham" w:hAnsi="Gotham" w:cs="Arial"/>
                <w:spacing w:val="-3"/>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determinados</w:t>
            </w:r>
            <w:r w:rsidRPr="00C11D3F">
              <w:rPr>
                <w:rFonts w:ascii="Gotham" w:hAnsi="Gotham" w:cs="Arial"/>
                <w:spacing w:val="-2"/>
                <w:sz w:val="18"/>
                <w:szCs w:val="18"/>
              </w:rPr>
              <w:t xml:space="preserve"> </w:t>
            </w:r>
            <w:r w:rsidRPr="00C11D3F">
              <w:rPr>
                <w:rFonts w:ascii="Gotham" w:hAnsi="Gotham" w:cs="Arial"/>
                <w:sz w:val="18"/>
                <w:szCs w:val="18"/>
              </w:rPr>
              <w:t>actos</w:t>
            </w:r>
            <w:r w:rsidRPr="00C11D3F">
              <w:rPr>
                <w:rFonts w:ascii="Gotham" w:hAnsi="Gotham" w:cs="Arial"/>
                <w:spacing w:val="-2"/>
                <w:sz w:val="18"/>
                <w:szCs w:val="18"/>
              </w:rPr>
              <w:t xml:space="preserve"> </w:t>
            </w:r>
            <w:r w:rsidRPr="00C11D3F">
              <w:rPr>
                <w:rFonts w:ascii="Gotham" w:hAnsi="Gotham" w:cs="Arial"/>
                <w:sz w:val="18"/>
                <w:szCs w:val="18"/>
              </w:rPr>
              <w:t>o</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2"/>
                <w:sz w:val="18"/>
                <w:szCs w:val="18"/>
              </w:rPr>
              <w:t xml:space="preserve"> </w:t>
            </w:r>
            <w:r w:rsidRPr="00C11D3F">
              <w:rPr>
                <w:rFonts w:ascii="Gotham" w:hAnsi="Gotham" w:cs="Arial"/>
                <w:sz w:val="18"/>
                <w:szCs w:val="18"/>
              </w:rPr>
              <w:t>adopción</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2"/>
                <w:sz w:val="18"/>
                <w:szCs w:val="18"/>
              </w:rPr>
              <w:t xml:space="preserve"> </w:t>
            </w:r>
            <w:r w:rsidRPr="00C11D3F">
              <w:rPr>
                <w:rFonts w:ascii="Gotham" w:hAnsi="Gotham" w:cs="Arial"/>
                <w:sz w:val="18"/>
                <w:szCs w:val="18"/>
              </w:rPr>
              <w:t>acuerdos</w:t>
            </w:r>
          </w:p>
        </w:tc>
        <w:tc>
          <w:tcPr>
            <w:tcW w:w="4678" w:type="dxa"/>
          </w:tcPr>
          <w:p w14:paraId="3A476638" w14:textId="77777777" w:rsidR="009B5E39" w:rsidRDefault="009B5E39" w:rsidP="00190E4A">
            <w:pPr>
              <w:jc w:val="both"/>
              <w:rPr>
                <w:rFonts w:ascii="Gotham" w:hAnsi="Gotham" w:cs="Arial"/>
                <w:sz w:val="18"/>
                <w:szCs w:val="18"/>
              </w:rPr>
            </w:pPr>
          </w:p>
          <w:p w14:paraId="3A47663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3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IV.</w:t>
            </w:r>
          </w:p>
          <w:p w14:paraId="3A47663B" w14:textId="77777777" w:rsidR="009B5E39" w:rsidRDefault="009B5E39" w:rsidP="00190E4A">
            <w:pPr>
              <w:jc w:val="both"/>
              <w:rPr>
                <w:rFonts w:ascii="Gotham" w:hAnsi="Gotham" w:cs="Arial"/>
                <w:bCs/>
                <w:sz w:val="18"/>
                <w:szCs w:val="18"/>
              </w:rPr>
            </w:pPr>
          </w:p>
          <w:p w14:paraId="3A47663C" w14:textId="77777777" w:rsidR="009B5E39" w:rsidRPr="00C11D3F" w:rsidRDefault="009B5E39" w:rsidP="00190E4A">
            <w:pPr>
              <w:jc w:val="both"/>
              <w:rPr>
                <w:rFonts w:ascii="Gotham" w:hAnsi="Gotham" w:cs="Arial"/>
                <w:sz w:val="18"/>
                <w:szCs w:val="18"/>
              </w:rPr>
            </w:pPr>
            <w:r w:rsidRPr="00C11D3F">
              <w:rPr>
                <w:rFonts w:ascii="Gotham" w:hAnsi="Gotham" w:cs="Arial"/>
                <w:bCs/>
                <w:sz w:val="18"/>
                <w:szCs w:val="18"/>
              </w:rPr>
              <w:t>Comparecencia pública:</w:t>
            </w:r>
            <w:r w:rsidRPr="00C11D3F">
              <w:rPr>
                <w:rFonts w:ascii="Gotham" w:hAnsi="Gotham" w:cs="Arial"/>
                <w:b/>
                <w:sz w:val="18"/>
                <w:szCs w:val="18"/>
              </w:rPr>
              <w:t xml:space="preserve"> </w:t>
            </w:r>
            <w:r w:rsidRPr="00C11D3F">
              <w:rPr>
                <w:rFonts w:ascii="Gotham" w:hAnsi="Gotham" w:cs="Arial"/>
                <w:b/>
                <w:bCs/>
                <w:sz w:val="18"/>
                <w:szCs w:val="18"/>
              </w:rPr>
              <w:t>El</w:t>
            </w:r>
            <w:r w:rsidRPr="00C11D3F">
              <w:rPr>
                <w:rFonts w:ascii="Gotham" w:hAnsi="Gotham" w:cs="Arial"/>
                <w:sz w:val="18"/>
                <w:szCs w:val="18"/>
              </w:rPr>
              <w:t xml:space="preserve"> mecanismo de participación y democracia deliberativa mediante el</w:t>
            </w:r>
            <w:r w:rsidRPr="00C11D3F">
              <w:rPr>
                <w:rFonts w:ascii="Gotham" w:hAnsi="Gotham" w:cs="Arial"/>
                <w:spacing w:val="1"/>
                <w:sz w:val="18"/>
                <w:szCs w:val="18"/>
              </w:rPr>
              <w:t xml:space="preserve"> </w:t>
            </w:r>
            <w:r w:rsidRPr="00C11D3F">
              <w:rPr>
                <w:rFonts w:ascii="Gotham" w:hAnsi="Gotham" w:cs="Arial"/>
                <w:sz w:val="18"/>
                <w:szCs w:val="18"/>
              </w:rPr>
              <w:t>cual los habitantes del Municipio dialogan y debaten con los funcionarios públicos del Estado o los</w:t>
            </w:r>
            <w:r w:rsidRPr="00C11D3F">
              <w:rPr>
                <w:rFonts w:ascii="Gotham" w:hAnsi="Gotham" w:cs="Arial"/>
                <w:spacing w:val="1"/>
                <w:sz w:val="18"/>
                <w:szCs w:val="18"/>
              </w:rPr>
              <w:t xml:space="preserve"> </w:t>
            </w:r>
            <w:r w:rsidRPr="00C11D3F">
              <w:rPr>
                <w:rFonts w:ascii="Gotham" w:hAnsi="Gotham" w:cs="Arial"/>
                <w:sz w:val="18"/>
                <w:szCs w:val="18"/>
              </w:rPr>
              <w:t>municipios</w:t>
            </w:r>
            <w:r w:rsidRPr="00C11D3F">
              <w:rPr>
                <w:rFonts w:ascii="Gotham" w:hAnsi="Gotham" w:cs="Arial"/>
                <w:spacing w:val="-13"/>
                <w:sz w:val="18"/>
                <w:szCs w:val="18"/>
              </w:rPr>
              <w:t xml:space="preserve"> </w:t>
            </w:r>
            <w:r w:rsidRPr="00C11D3F">
              <w:rPr>
                <w:rFonts w:ascii="Gotham" w:hAnsi="Gotham" w:cs="Arial"/>
                <w:sz w:val="18"/>
                <w:szCs w:val="18"/>
              </w:rPr>
              <w:t>para</w:t>
            </w:r>
            <w:r w:rsidRPr="00C11D3F">
              <w:rPr>
                <w:rFonts w:ascii="Gotham" w:hAnsi="Gotham" w:cs="Arial"/>
                <w:spacing w:val="-12"/>
                <w:sz w:val="18"/>
                <w:szCs w:val="18"/>
              </w:rPr>
              <w:t xml:space="preserve"> </w:t>
            </w:r>
            <w:r w:rsidRPr="00C11D3F">
              <w:rPr>
                <w:rFonts w:ascii="Gotham" w:hAnsi="Gotham" w:cs="Arial"/>
                <w:sz w:val="18"/>
                <w:szCs w:val="18"/>
              </w:rPr>
              <w:t>solicitarles</w:t>
            </w:r>
            <w:r w:rsidRPr="00C11D3F">
              <w:rPr>
                <w:rFonts w:ascii="Gotham" w:hAnsi="Gotham" w:cs="Arial"/>
                <w:spacing w:val="-12"/>
                <w:sz w:val="18"/>
                <w:szCs w:val="18"/>
              </w:rPr>
              <w:t xml:space="preserve"> </w:t>
            </w:r>
            <w:r w:rsidRPr="00C11D3F">
              <w:rPr>
                <w:rFonts w:ascii="Gotham" w:hAnsi="Gotham" w:cs="Arial"/>
                <w:sz w:val="18"/>
                <w:szCs w:val="18"/>
              </w:rPr>
              <w:t>la</w:t>
            </w:r>
            <w:r w:rsidRPr="00C11D3F">
              <w:rPr>
                <w:rFonts w:ascii="Gotham" w:hAnsi="Gotham" w:cs="Arial"/>
                <w:spacing w:val="-12"/>
                <w:sz w:val="18"/>
                <w:szCs w:val="18"/>
              </w:rPr>
              <w:t xml:space="preserve"> </w:t>
            </w:r>
            <w:r w:rsidRPr="00C11D3F">
              <w:rPr>
                <w:rFonts w:ascii="Gotham" w:hAnsi="Gotham" w:cs="Arial"/>
                <w:sz w:val="18"/>
                <w:szCs w:val="18"/>
              </w:rPr>
              <w:t>rendición</w:t>
            </w:r>
            <w:r w:rsidRPr="00C11D3F">
              <w:rPr>
                <w:rFonts w:ascii="Gotham" w:hAnsi="Gotham" w:cs="Arial"/>
                <w:spacing w:val="-13"/>
                <w:sz w:val="18"/>
                <w:szCs w:val="18"/>
              </w:rPr>
              <w:t xml:space="preserve"> </w:t>
            </w:r>
            <w:r w:rsidRPr="00C11D3F">
              <w:rPr>
                <w:rFonts w:ascii="Gotham" w:hAnsi="Gotham" w:cs="Arial"/>
                <w:sz w:val="18"/>
                <w:szCs w:val="18"/>
              </w:rPr>
              <w:t>de</w:t>
            </w:r>
            <w:r w:rsidRPr="00C11D3F">
              <w:rPr>
                <w:rFonts w:ascii="Gotham" w:hAnsi="Gotham" w:cs="Arial"/>
                <w:spacing w:val="-8"/>
                <w:sz w:val="18"/>
                <w:szCs w:val="18"/>
              </w:rPr>
              <w:t xml:space="preserve"> </w:t>
            </w:r>
            <w:r w:rsidRPr="00C11D3F">
              <w:rPr>
                <w:rFonts w:ascii="Gotham" w:hAnsi="Gotham" w:cs="Arial"/>
                <w:sz w:val="18"/>
                <w:szCs w:val="18"/>
              </w:rPr>
              <w:t>cuentas,</w:t>
            </w:r>
            <w:r w:rsidRPr="00C11D3F">
              <w:rPr>
                <w:rFonts w:ascii="Gotham" w:hAnsi="Gotham" w:cs="Arial"/>
                <w:spacing w:val="-10"/>
                <w:sz w:val="18"/>
                <w:szCs w:val="18"/>
              </w:rPr>
              <w:t xml:space="preserve"> </w:t>
            </w:r>
            <w:r w:rsidRPr="00C11D3F">
              <w:rPr>
                <w:rFonts w:ascii="Gotham" w:hAnsi="Gotham" w:cs="Arial"/>
                <w:sz w:val="18"/>
                <w:szCs w:val="18"/>
              </w:rPr>
              <w:t>pedir</w:t>
            </w:r>
            <w:r w:rsidRPr="00C11D3F">
              <w:rPr>
                <w:rFonts w:ascii="Gotham" w:hAnsi="Gotham" w:cs="Arial"/>
                <w:spacing w:val="-12"/>
                <w:sz w:val="18"/>
                <w:szCs w:val="18"/>
              </w:rPr>
              <w:t xml:space="preserve"> </w:t>
            </w:r>
            <w:r w:rsidRPr="00C11D3F">
              <w:rPr>
                <w:rFonts w:ascii="Gotham" w:hAnsi="Gotham" w:cs="Arial"/>
                <w:sz w:val="18"/>
                <w:szCs w:val="18"/>
              </w:rPr>
              <w:t>información,</w:t>
            </w:r>
            <w:r w:rsidRPr="00C11D3F">
              <w:rPr>
                <w:rFonts w:ascii="Gotham" w:hAnsi="Gotham" w:cs="Arial"/>
                <w:spacing w:val="-10"/>
                <w:sz w:val="18"/>
                <w:szCs w:val="18"/>
              </w:rPr>
              <w:t xml:space="preserve"> </w:t>
            </w:r>
            <w:r w:rsidRPr="00C11D3F">
              <w:rPr>
                <w:rFonts w:ascii="Gotham" w:hAnsi="Gotham" w:cs="Arial"/>
                <w:sz w:val="18"/>
                <w:szCs w:val="18"/>
              </w:rPr>
              <w:t>proponer</w:t>
            </w:r>
            <w:r w:rsidRPr="00C11D3F">
              <w:rPr>
                <w:rFonts w:ascii="Gotham" w:hAnsi="Gotham" w:cs="Arial"/>
                <w:spacing w:val="-12"/>
                <w:sz w:val="18"/>
                <w:szCs w:val="18"/>
              </w:rPr>
              <w:t xml:space="preserve"> </w:t>
            </w:r>
            <w:r w:rsidRPr="00C11D3F">
              <w:rPr>
                <w:rFonts w:ascii="Gotham" w:hAnsi="Gotham" w:cs="Arial"/>
                <w:sz w:val="18"/>
                <w:szCs w:val="18"/>
              </w:rPr>
              <w:t>acciones,</w:t>
            </w:r>
            <w:r w:rsidRPr="00C11D3F">
              <w:rPr>
                <w:rFonts w:ascii="Gotham" w:hAnsi="Gotham" w:cs="Arial"/>
                <w:spacing w:val="-10"/>
                <w:sz w:val="18"/>
                <w:szCs w:val="18"/>
              </w:rPr>
              <w:t xml:space="preserve"> </w:t>
            </w:r>
            <w:r w:rsidRPr="00C11D3F">
              <w:rPr>
                <w:rFonts w:ascii="Gotham" w:hAnsi="Gotham" w:cs="Arial"/>
                <w:sz w:val="18"/>
                <w:szCs w:val="18"/>
              </w:rPr>
              <w:t>cuestionar</w:t>
            </w:r>
            <w:r w:rsidRPr="00C11D3F">
              <w:rPr>
                <w:rFonts w:ascii="Gotham" w:hAnsi="Gotham" w:cs="Arial"/>
                <w:spacing w:val="-53"/>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solicitar</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realización</w:t>
            </w:r>
            <w:r w:rsidRPr="00C11D3F">
              <w:rPr>
                <w:rFonts w:ascii="Gotham" w:hAnsi="Gotham" w:cs="Arial"/>
                <w:spacing w:val="-3"/>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determinados</w:t>
            </w:r>
            <w:r w:rsidRPr="00C11D3F">
              <w:rPr>
                <w:rFonts w:ascii="Gotham" w:hAnsi="Gotham" w:cs="Arial"/>
                <w:spacing w:val="-2"/>
                <w:sz w:val="18"/>
                <w:szCs w:val="18"/>
              </w:rPr>
              <w:t xml:space="preserve"> </w:t>
            </w:r>
            <w:r w:rsidRPr="00C11D3F">
              <w:rPr>
                <w:rFonts w:ascii="Gotham" w:hAnsi="Gotham" w:cs="Arial"/>
                <w:sz w:val="18"/>
                <w:szCs w:val="18"/>
              </w:rPr>
              <w:t>actos</w:t>
            </w:r>
            <w:r w:rsidRPr="00C11D3F">
              <w:rPr>
                <w:rFonts w:ascii="Gotham" w:hAnsi="Gotham" w:cs="Arial"/>
                <w:spacing w:val="-2"/>
                <w:sz w:val="18"/>
                <w:szCs w:val="18"/>
              </w:rPr>
              <w:t xml:space="preserve"> </w:t>
            </w:r>
            <w:r w:rsidRPr="00C11D3F">
              <w:rPr>
                <w:rFonts w:ascii="Gotham" w:hAnsi="Gotham" w:cs="Arial"/>
                <w:sz w:val="18"/>
                <w:szCs w:val="18"/>
              </w:rPr>
              <w:t>o</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2"/>
                <w:sz w:val="18"/>
                <w:szCs w:val="18"/>
              </w:rPr>
              <w:t xml:space="preserve"> </w:t>
            </w:r>
            <w:r w:rsidRPr="00C11D3F">
              <w:rPr>
                <w:rFonts w:ascii="Gotham" w:hAnsi="Gotham" w:cs="Arial"/>
                <w:sz w:val="18"/>
                <w:szCs w:val="18"/>
              </w:rPr>
              <w:t>adopción</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2"/>
                <w:sz w:val="18"/>
                <w:szCs w:val="18"/>
              </w:rPr>
              <w:t xml:space="preserve"> </w:t>
            </w:r>
            <w:r w:rsidRPr="00C11D3F">
              <w:rPr>
                <w:rFonts w:ascii="Gotham" w:hAnsi="Gotham" w:cs="Arial"/>
                <w:sz w:val="18"/>
                <w:szCs w:val="18"/>
              </w:rPr>
              <w:t>acuerdos</w:t>
            </w:r>
          </w:p>
        </w:tc>
      </w:tr>
      <w:tr w:rsidR="009B5E39" w:rsidRPr="00C11D3F" w14:paraId="3A476648" w14:textId="77777777" w:rsidTr="00190E4A">
        <w:trPr>
          <w:jc w:val="center"/>
        </w:trPr>
        <w:tc>
          <w:tcPr>
            <w:tcW w:w="4673" w:type="dxa"/>
          </w:tcPr>
          <w:p w14:paraId="3A47663E" w14:textId="77777777" w:rsidR="009B5E39" w:rsidRDefault="009B5E39" w:rsidP="00190E4A">
            <w:pPr>
              <w:jc w:val="both"/>
              <w:rPr>
                <w:rFonts w:ascii="Gotham" w:hAnsi="Gotham" w:cs="Arial"/>
                <w:sz w:val="18"/>
                <w:szCs w:val="18"/>
              </w:rPr>
            </w:pPr>
          </w:p>
          <w:p w14:paraId="3A47663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4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V.</w:t>
            </w:r>
          </w:p>
          <w:p w14:paraId="3A476641" w14:textId="77777777" w:rsidR="009B5E39" w:rsidRDefault="009B5E39" w:rsidP="00190E4A">
            <w:pPr>
              <w:jc w:val="both"/>
              <w:rPr>
                <w:rFonts w:ascii="Gotham" w:hAnsi="Gotham" w:cs="Arial"/>
                <w:b/>
                <w:sz w:val="18"/>
                <w:szCs w:val="18"/>
                <w:shd w:val="clear" w:color="auto" w:fill="EDEDED" w:themeFill="accent3" w:themeFillTint="33"/>
              </w:rPr>
            </w:pPr>
          </w:p>
          <w:p w14:paraId="3A476642" w14:textId="77777777" w:rsidR="009B5E39" w:rsidRPr="00C11D3F" w:rsidRDefault="009B5E39" w:rsidP="00190E4A">
            <w:pPr>
              <w:jc w:val="both"/>
              <w:rPr>
                <w:rFonts w:ascii="Gotham" w:hAnsi="Gotham" w:cs="Arial"/>
                <w:sz w:val="18"/>
                <w:szCs w:val="18"/>
              </w:rPr>
            </w:pPr>
            <w:r w:rsidRPr="00C11D3F">
              <w:rPr>
                <w:rFonts w:ascii="Gotham" w:hAnsi="Gotham" w:cs="Arial"/>
                <w:b/>
                <w:sz w:val="18"/>
                <w:szCs w:val="18"/>
                <w:shd w:val="clear" w:color="auto" w:fill="EDEDED" w:themeFill="accent3" w:themeFillTint="33"/>
              </w:rPr>
              <w:t>Consejo</w:t>
            </w:r>
            <w:r w:rsidRPr="00C11D3F">
              <w:rPr>
                <w:rFonts w:ascii="Gotham" w:hAnsi="Gotham" w:cs="Arial"/>
                <w:b/>
                <w:spacing w:val="1"/>
                <w:sz w:val="18"/>
                <w:szCs w:val="18"/>
              </w:rPr>
              <w:t xml:space="preserve"> </w:t>
            </w:r>
            <w:r w:rsidRPr="00C11D3F">
              <w:rPr>
                <w:rFonts w:ascii="Gotham" w:hAnsi="Gotham" w:cs="Arial"/>
                <w:b/>
                <w:sz w:val="18"/>
                <w:szCs w:val="18"/>
              </w:rPr>
              <w:t>Municipal</w:t>
            </w:r>
            <w:r w:rsidRPr="00C11D3F">
              <w:rPr>
                <w:rFonts w:ascii="Gotham" w:hAnsi="Gotham" w:cs="Arial"/>
                <w:b/>
                <w:spacing w:val="1"/>
                <w:sz w:val="18"/>
                <w:szCs w:val="18"/>
              </w:rPr>
              <w:t xml:space="preserve"> </w:t>
            </w:r>
            <w:r w:rsidRPr="00C11D3F">
              <w:rPr>
                <w:rFonts w:ascii="Gotham" w:hAnsi="Gotham" w:cs="Arial"/>
                <w:b/>
                <w:sz w:val="18"/>
                <w:szCs w:val="18"/>
              </w:rPr>
              <w:t>de</w:t>
            </w:r>
            <w:r w:rsidRPr="00C11D3F">
              <w:rPr>
                <w:rFonts w:ascii="Gotham" w:hAnsi="Gotham" w:cs="Arial"/>
                <w:b/>
                <w:spacing w:val="1"/>
                <w:sz w:val="18"/>
                <w:szCs w:val="18"/>
              </w:rPr>
              <w:t xml:space="preserve"> </w:t>
            </w:r>
            <w:r w:rsidRPr="00C11D3F">
              <w:rPr>
                <w:rFonts w:ascii="Gotham" w:hAnsi="Gotham" w:cs="Arial"/>
                <w:b/>
                <w:sz w:val="18"/>
                <w:szCs w:val="18"/>
              </w:rPr>
              <w:t>Participación</w:t>
            </w:r>
            <w:r w:rsidRPr="00C11D3F">
              <w:rPr>
                <w:rFonts w:ascii="Gotham" w:hAnsi="Gotham" w:cs="Arial"/>
                <w:b/>
                <w:spacing w:val="1"/>
                <w:sz w:val="18"/>
                <w:szCs w:val="18"/>
              </w:rPr>
              <w:t xml:space="preserve"> </w:t>
            </w:r>
            <w:r w:rsidRPr="00C11D3F">
              <w:rPr>
                <w:rFonts w:ascii="Gotham" w:hAnsi="Gotham" w:cs="Arial"/>
                <w:b/>
                <w:sz w:val="18"/>
                <w:szCs w:val="18"/>
              </w:rPr>
              <w:t>Ciudadana:</w:t>
            </w:r>
            <w:r w:rsidRPr="00C11D3F">
              <w:rPr>
                <w:rFonts w:ascii="Gotham" w:hAnsi="Gotham" w:cs="Arial"/>
                <w:b/>
                <w:spacing w:val="1"/>
                <w:sz w:val="18"/>
                <w:szCs w:val="18"/>
              </w:rPr>
              <w:t xml:space="preserve"> </w:t>
            </w:r>
          </w:p>
        </w:tc>
        <w:tc>
          <w:tcPr>
            <w:tcW w:w="4678" w:type="dxa"/>
          </w:tcPr>
          <w:p w14:paraId="3A476643" w14:textId="77777777" w:rsidR="009B5E39" w:rsidRDefault="009B5E39" w:rsidP="00190E4A">
            <w:pPr>
              <w:jc w:val="both"/>
              <w:rPr>
                <w:rFonts w:ascii="Gotham" w:hAnsi="Gotham" w:cs="Arial"/>
                <w:sz w:val="18"/>
                <w:szCs w:val="18"/>
              </w:rPr>
            </w:pPr>
          </w:p>
          <w:p w14:paraId="3A47664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4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V.</w:t>
            </w:r>
          </w:p>
          <w:p w14:paraId="3A476646" w14:textId="77777777" w:rsidR="009B5E39" w:rsidRDefault="009B5E39" w:rsidP="00190E4A">
            <w:pPr>
              <w:jc w:val="both"/>
              <w:rPr>
                <w:rFonts w:ascii="Gotham" w:hAnsi="Gotham" w:cs="Arial"/>
                <w:b/>
                <w:bCs/>
                <w:sz w:val="18"/>
                <w:szCs w:val="18"/>
              </w:rPr>
            </w:pPr>
          </w:p>
          <w:p w14:paraId="3A476647" w14:textId="77777777" w:rsidR="009B5E39" w:rsidRPr="00C11D3F" w:rsidRDefault="009B5E39" w:rsidP="00190E4A">
            <w:pPr>
              <w:jc w:val="both"/>
              <w:rPr>
                <w:rFonts w:ascii="Gotham" w:hAnsi="Gotham" w:cs="Arial"/>
                <w:b/>
                <w:bCs/>
                <w:sz w:val="18"/>
                <w:szCs w:val="18"/>
              </w:rPr>
            </w:pPr>
            <w:r w:rsidRPr="00C11D3F">
              <w:rPr>
                <w:rFonts w:ascii="Gotham" w:hAnsi="Gotham" w:cs="Arial"/>
                <w:b/>
                <w:bCs/>
                <w:sz w:val="18"/>
                <w:szCs w:val="18"/>
              </w:rPr>
              <w:t>Consejo Municipal de Participación Ciudadana y Popular</w:t>
            </w:r>
          </w:p>
        </w:tc>
      </w:tr>
      <w:tr w:rsidR="009B5E39" w:rsidRPr="00C11D3F" w14:paraId="3A476653" w14:textId="77777777" w:rsidTr="00190E4A">
        <w:trPr>
          <w:jc w:val="center"/>
        </w:trPr>
        <w:tc>
          <w:tcPr>
            <w:tcW w:w="4673" w:type="dxa"/>
          </w:tcPr>
          <w:p w14:paraId="3A476649" w14:textId="77777777" w:rsidR="009B5E39" w:rsidRDefault="009B5E39" w:rsidP="00190E4A">
            <w:pPr>
              <w:jc w:val="both"/>
              <w:rPr>
                <w:rFonts w:ascii="Gotham" w:hAnsi="Gotham" w:cs="Arial"/>
                <w:sz w:val="18"/>
                <w:szCs w:val="18"/>
              </w:rPr>
            </w:pPr>
          </w:p>
          <w:p w14:paraId="3A47664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4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VI.</w:t>
            </w:r>
          </w:p>
          <w:p w14:paraId="3A47664C" w14:textId="77777777" w:rsidR="009B5E39" w:rsidRDefault="009B5E39" w:rsidP="00190E4A">
            <w:pPr>
              <w:jc w:val="both"/>
              <w:rPr>
                <w:rFonts w:ascii="Gotham" w:hAnsi="Gotham" w:cs="Arial"/>
                <w:bCs/>
                <w:sz w:val="18"/>
                <w:szCs w:val="18"/>
              </w:rPr>
            </w:pPr>
          </w:p>
          <w:p w14:paraId="3A47664D" w14:textId="77777777" w:rsidR="009B5E39" w:rsidRPr="00C11D3F" w:rsidRDefault="009B5E39" w:rsidP="00190E4A">
            <w:pPr>
              <w:jc w:val="both"/>
              <w:rPr>
                <w:rFonts w:ascii="Gotham" w:hAnsi="Gotham" w:cs="Arial"/>
                <w:sz w:val="18"/>
                <w:szCs w:val="18"/>
              </w:rPr>
            </w:pPr>
            <w:r w:rsidRPr="00C11D3F">
              <w:rPr>
                <w:rFonts w:ascii="Gotham" w:hAnsi="Gotham" w:cs="Arial"/>
                <w:bCs/>
                <w:sz w:val="18"/>
                <w:szCs w:val="18"/>
              </w:rPr>
              <w:t>Colaboración Popular:</w:t>
            </w:r>
            <w:r w:rsidRPr="00C11D3F">
              <w:rPr>
                <w:rFonts w:ascii="Gotham" w:hAnsi="Gotham" w:cs="Arial"/>
                <w:b/>
                <w:sz w:val="18"/>
                <w:szCs w:val="18"/>
              </w:rPr>
              <w:t xml:space="preserve"> </w:t>
            </w:r>
            <w:r w:rsidRPr="00C11D3F">
              <w:rPr>
                <w:rFonts w:ascii="Gotham" w:hAnsi="Gotham" w:cs="Arial"/>
                <w:sz w:val="18"/>
                <w:szCs w:val="18"/>
              </w:rPr>
              <w:t>El mecanismo de participación, mediante el cual los habitantes del</w:t>
            </w:r>
            <w:r w:rsidRPr="00C11D3F">
              <w:rPr>
                <w:rFonts w:ascii="Gotham" w:hAnsi="Gotham" w:cs="Arial"/>
                <w:spacing w:val="1"/>
                <w:sz w:val="18"/>
                <w:szCs w:val="18"/>
              </w:rPr>
              <w:t xml:space="preserve"> </w:t>
            </w:r>
            <w:r w:rsidRPr="00C11D3F">
              <w:rPr>
                <w:rFonts w:ascii="Gotham" w:hAnsi="Gotham" w:cs="Arial"/>
                <w:sz w:val="18"/>
                <w:szCs w:val="18"/>
              </w:rPr>
              <w:t xml:space="preserve">municipio, participan en la </w:t>
            </w:r>
            <w:r w:rsidRPr="00C11D3F">
              <w:rPr>
                <w:rFonts w:ascii="Gotham" w:hAnsi="Gotham" w:cs="Arial"/>
                <w:color w:val="C00000"/>
                <w:sz w:val="18"/>
                <w:szCs w:val="18"/>
              </w:rPr>
              <w:t xml:space="preserve">ejecución de una obra </w:t>
            </w:r>
            <w:r w:rsidRPr="00C11D3F">
              <w:rPr>
                <w:rFonts w:ascii="Gotham" w:hAnsi="Gotham" w:cs="Arial"/>
                <w:sz w:val="18"/>
                <w:szCs w:val="18"/>
              </w:rPr>
              <w:t>o prestan un servicio existente, aportando recursos</w:t>
            </w:r>
            <w:r w:rsidRPr="00C11D3F">
              <w:rPr>
                <w:rFonts w:ascii="Gotham" w:hAnsi="Gotham" w:cs="Arial"/>
                <w:spacing w:val="-52"/>
                <w:sz w:val="18"/>
                <w:szCs w:val="18"/>
              </w:rPr>
              <w:t xml:space="preserve"> </w:t>
            </w:r>
            <w:r w:rsidRPr="00C11D3F">
              <w:rPr>
                <w:rFonts w:ascii="Gotham" w:hAnsi="Gotham" w:cs="Arial"/>
                <w:sz w:val="18"/>
                <w:szCs w:val="18"/>
              </w:rPr>
              <w:t>económicos,</w:t>
            </w:r>
            <w:r w:rsidRPr="00C11D3F">
              <w:rPr>
                <w:rFonts w:ascii="Gotham" w:hAnsi="Gotham" w:cs="Arial"/>
                <w:spacing w:val="-1"/>
                <w:sz w:val="18"/>
                <w:szCs w:val="18"/>
              </w:rPr>
              <w:t xml:space="preserve"> </w:t>
            </w:r>
            <w:r w:rsidRPr="00C11D3F">
              <w:rPr>
                <w:rFonts w:ascii="Gotham" w:hAnsi="Gotham" w:cs="Arial"/>
                <w:sz w:val="18"/>
                <w:szCs w:val="18"/>
              </w:rPr>
              <w:t>materiales</w:t>
            </w:r>
            <w:r w:rsidRPr="00C11D3F">
              <w:rPr>
                <w:rFonts w:ascii="Gotham" w:hAnsi="Gotham" w:cs="Arial"/>
                <w:spacing w:val="-3"/>
                <w:sz w:val="18"/>
                <w:szCs w:val="18"/>
              </w:rPr>
              <w:t xml:space="preserve"> </w:t>
            </w:r>
            <w:r w:rsidRPr="00C11D3F">
              <w:rPr>
                <w:rFonts w:ascii="Gotham" w:hAnsi="Gotham" w:cs="Arial"/>
                <w:sz w:val="18"/>
                <w:szCs w:val="18"/>
              </w:rPr>
              <w:t>o</w:t>
            </w:r>
            <w:r w:rsidRPr="00C11D3F">
              <w:rPr>
                <w:rFonts w:ascii="Gotham" w:hAnsi="Gotham" w:cs="Arial"/>
                <w:spacing w:val="1"/>
                <w:sz w:val="18"/>
                <w:szCs w:val="18"/>
              </w:rPr>
              <w:t xml:space="preserve"> </w:t>
            </w:r>
            <w:r w:rsidRPr="00C11D3F">
              <w:rPr>
                <w:rFonts w:ascii="Gotham" w:hAnsi="Gotham" w:cs="Arial"/>
                <w:sz w:val="18"/>
                <w:szCs w:val="18"/>
              </w:rPr>
              <w:t>trabajo personal</w:t>
            </w:r>
            <w:r w:rsidRPr="00C11D3F">
              <w:rPr>
                <w:rFonts w:ascii="Gotham" w:hAnsi="Gotham" w:cs="Arial"/>
                <w:spacing w:val="-2"/>
                <w:sz w:val="18"/>
                <w:szCs w:val="18"/>
              </w:rPr>
              <w:t xml:space="preserve"> </w:t>
            </w:r>
            <w:r w:rsidRPr="00C11D3F">
              <w:rPr>
                <w:rFonts w:ascii="Gotham" w:hAnsi="Gotham" w:cs="Arial"/>
                <w:sz w:val="18"/>
                <w:szCs w:val="18"/>
              </w:rPr>
              <w:t>en</w:t>
            </w:r>
            <w:r w:rsidRPr="00C11D3F">
              <w:rPr>
                <w:rFonts w:ascii="Gotham" w:hAnsi="Gotham" w:cs="Arial"/>
                <w:spacing w:val="-4"/>
                <w:sz w:val="18"/>
                <w:szCs w:val="18"/>
              </w:rPr>
              <w:t xml:space="preserve"> </w:t>
            </w:r>
            <w:r w:rsidRPr="00C11D3F">
              <w:rPr>
                <w:rFonts w:ascii="Gotham" w:hAnsi="Gotham" w:cs="Arial"/>
                <w:sz w:val="18"/>
                <w:szCs w:val="18"/>
              </w:rPr>
              <w:t>coordinación</w:t>
            </w:r>
            <w:r w:rsidRPr="00C11D3F">
              <w:rPr>
                <w:rFonts w:ascii="Gotham" w:hAnsi="Gotham" w:cs="Arial"/>
                <w:spacing w:val="-3"/>
                <w:sz w:val="18"/>
                <w:szCs w:val="18"/>
              </w:rPr>
              <w:t xml:space="preserve"> </w:t>
            </w:r>
            <w:r w:rsidRPr="00C11D3F">
              <w:rPr>
                <w:rFonts w:ascii="Gotham" w:hAnsi="Gotham" w:cs="Arial"/>
                <w:sz w:val="18"/>
                <w:szCs w:val="18"/>
              </w:rPr>
              <w:t>con</w:t>
            </w:r>
            <w:r w:rsidRPr="00C11D3F">
              <w:rPr>
                <w:rFonts w:ascii="Gotham" w:hAnsi="Gotham" w:cs="Arial"/>
                <w:spacing w:val="-4"/>
                <w:sz w:val="18"/>
                <w:szCs w:val="18"/>
              </w:rPr>
              <w:t xml:space="preserve"> </w:t>
            </w:r>
            <w:r w:rsidRPr="00C11D3F">
              <w:rPr>
                <w:rFonts w:ascii="Gotham" w:hAnsi="Gotham" w:cs="Arial"/>
                <w:sz w:val="18"/>
                <w:szCs w:val="18"/>
              </w:rPr>
              <w:t>el</w:t>
            </w:r>
            <w:r w:rsidRPr="00C11D3F">
              <w:rPr>
                <w:rFonts w:ascii="Gotham" w:hAnsi="Gotham" w:cs="Arial"/>
                <w:spacing w:val="-2"/>
                <w:sz w:val="18"/>
                <w:szCs w:val="18"/>
              </w:rPr>
              <w:t xml:space="preserve"> </w:t>
            </w:r>
            <w:r w:rsidRPr="00C11D3F">
              <w:rPr>
                <w:rFonts w:ascii="Gotham" w:hAnsi="Gotham" w:cs="Arial"/>
                <w:sz w:val="18"/>
                <w:szCs w:val="18"/>
              </w:rPr>
              <w:t>gobierno municipal;</w:t>
            </w:r>
          </w:p>
        </w:tc>
        <w:tc>
          <w:tcPr>
            <w:tcW w:w="4678" w:type="dxa"/>
          </w:tcPr>
          <w:p w14:paraId="3A47664E" w14:textId="77777777" w:rsidR="009B5E39" w:rsidRDefault="009B5E39" w:rsidP="00190E4A">
            <w:pPr>
              <w:jc w:val="both"/>
              <w:rPr>
                <w:rFonts w:ascii="Gotham" w:hAnsi="Gotham" w:cs="Arial"/>
                <w:sz w:val="18"/>
                <w:szCs w:val="18"/>
              </w:rPr>
            </w:pPr>
          </w:p>
          <w:p w14:paraId="3A47664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5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VI.</w:t>
            </w:r>
          </w:p>
          <w:p w14:paraId="3A476651" w14:textId="77777777" w:rsidR="009B5E39" w:rsidRDefault="009B5E39" w:rsidP="00190E4A">
            <w:pPr>
              <w:jc w:val="both"/>
              <w:rPr>
                <w:rFonts w:ascii="Gotham" w:hAnsi="Gotham" w:cs="Arial"/>
                <w:sz w:val="18"/>
                <w:szCs w:val="18"/>
              </w:rPr>
            </w:pPr>
          </w:p>
          <w:p w14:paraId="3A47665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Colaboración Popular: El mecanismo de participación, mediante el cual los habitantes del municipio </w:t>
            </w:r>
            <w:r w:rsidRPr="00C11D3F">
              <w:rPr>
                <w:rFonts w:ascii="Gotham" w:hAnsi="Gotham" w:cs="Arial"/>
                <w:b/>
                <w:bCs/>
                <w:sz w:val="18"/>
                <w:szCs w:val="18"/>
              </w:rPr>
              <w:t>colaboren socialmente a través de proyectos concretos que tienen por objetivo conseguir cambios a beneficio de la comunidad,</w:t>
            </w:r>
            <w:r w:rsidRPr="00C11D3F">
              <w:rPr>
                <w:rFonts w:ascii="Gotham" w:hAnsi="Gotham" w:cs="Arial"/>
                <w:sz w:val="18"/>
                <w:szCs w:val="18"/>
              </w:rPr>
              <w:t xml:space="preserve"> aportando recursos económicos, materiales o trabajo personal en coordinación con el gobierno municipal;</w:t>
            </w:r>
          </w:p>
        </w:tc>
      </w:tr>
      <w:tr w:rsidR="009B5E39" w:rsidRPr="00C11D3F" w14:paraId="3A47665E" w14:textId="77777777" w:rsidTr="00190E4A">
        <w:trPr>
          <w:jc w:val="center"/>
        </w:trPr>
        <w:tc>
          <w:tcPr>
            <w:tcW w:w="4673" w:type="dxa"/>
          </w:tcPr>
          <w:p w14:paraId="3A476654" w14:textId="77777777" w:rsidR="009B5E39" w:rsidRDefault="009B5E39" w:rsidP="00190E4A">
            <w:pPr>
              <w:jc w:val="both"/>
              <w:rPr>
                <w:rFonts w:ascii="Gotham" w:hAnsi="Gotham" w:cs="Arial"/>
                <w:sz w:val="18"/>
                <w:szCs w:val="18"/>
              </w:rPr>
            </w:pPr>
          </w:p>
          <w:p w14:paraId="3A47665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5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XII.</w:t>
            </w:r>
          </w:p>
          <w:p w14:paraId="3A476657" w14:textId="77777777" w:rsidR="009B5E39" w:rsidRDefault="009B5E39" w:rsidP="00190E4A">
            <w:pPr>
              <w:jc w:val="both"/>
              <w:rPr>
                <w:rFonts w:ascii="Gotham" w:hAnsi="Gotham" w:cs="Arial"/>
                <w:bCs/>
                <w:sz w:val="18"/>
                <w:szCs w:val="18"/>
              </w:rPr>
            </w:pPr>
          </w:p>
          <w:p w14:paraId="3A476658" w14:textId="77777777" w:rsidR="009B5E39" w:rsidRPr="00C11D3F" w:rsidRDefault="009B5E39" w:rsidP="00190E4A">
            <w:pPr>
              <w:jc w:val="both"/>
              <w:rPr>
                <w:rFonts w:ascii="Gotham" w:hAnsi="Gotham" w:cs="Arial"/>
                <w:sz w:val="18"/>
                <w:szCs w:val="18"/>
              </w:rPr>
            </w:pPr>
            <w:r w:rsidRPr="00C11D3F">
              <w:rPr>
                <w:rFonts w:ascii="Gotham" w:hAnsi="Gotham" w:cs="Arial"/>
                <w:bCs/>
                <w:sz w:val="18"/>
                <w:szCs w:val="18"/>
              </w:rPr>
              <w:t>Organismos</w:t>
            </w:r>
            <w:r w:rsidRPr="00C11D3F">
              <w:rPr>
                <w:rFonts w:ascii="Gotham" w:hAnsi="Gotham" w:cs="Arial"/>
                <w:bCs/>
                <w:spacing w:val="1"/>
                <w:sz w:val="18"/>
                <w:szCs w:val="18"/>
              </w:rPr>
              <w:t xml:space="preserve"> </w:t>
            </w:r>
            <w:r w:rsidRPr="00C11D3F">
              <w:rPr>
                <w:rFonts w:ascii="Gotham" w:hAnsi="Gotham" w:cs="Arial"/>
                <w:bCs/>
                <w:sz w:val="18"/>
                <w:szCs w:val="18"/>
              </w:rPr>
              <w:t>para</w:t>
            </w:r>
            <w:r w:rsidRPr="00C11D3F">
              <w:rPr>
                <w:rFonts w:ascii="Gotham" w:hAnsi="Gotham" w:cs="Arial"/>
                <w:bCs/>
                <w:spacing w:val="1"/>
                <w:sz w:val="18"/>
                <w:szCs w:val="18"/>
              </w:rPr>
              <w:t xml:space="preserve"> </w:t>
            </w:r>
            <w:r w:rsidRPr="00C11D3F">
              <w:rPr>
                <w:rFonts w:ascii="Gotham" w:hAnsi="Gotham" w:cs="Arial"/>
                <w:bCs/>
                <w:sz w:val="18"/>
                <w:szCs w:val="18"/>
              </w:rPr>
              <w:t>la</w:t>
            </w:r>
            <w:r w:rsidRPr="00C11D3F">
              <w:rPr>
                <w:rFonts w:ascii="Gotham" w:hAnsi="Gotham" w:cs="Arial"/>
                <w:bCs/>
                <w:spacing w:val="1"/>
                <w:sz w:val="18"/>
                <w:szCs w:val="18"/>
              </w:rPr>
              <w:t xml:space="preserve"> </w:t>
            </w:r>
            <w:r w:rsidRPr="00C11D3F">
              <w:rPr>
                <w:rFonts w:ascii="Gotham" w:hAnsi="Gotham" w:cs="Arial"/>
                <w:bCs/>
                <w:sz w:val="18"/>
                <w:szCs w:val="18"/>
              </w:rPr>
              <w:t>participación</w:t>
            </w:r>
            <w:r w:rsidRPr="00C11D3F">
              <w:rPr>
                <w:rFonts w:ascii="Gotham" w:hAnsi="Gotham" w:cs="Arial"/>
                <w:bCs/>
                <w:spacing w:val="1"/>
                <w:sz w:val="18"/>
                <w:szCs w:val="18"/>
              </w:rPr>
              <w:t xml:space="preserve"> </w:t>
            </w:r>
            <w:r w:rsidRPr="00C11D3F">
              <w:rPr>
                <w:rFonts w:ascii="Gotham" w:hAnsi="Gotham" w:cs="Arial"/>
                <w:bCs/>
                <w:sz w:val="18"/>
                <w:szCs w:val="18"/>
              </w:rPr>
              <w:t>ciudadana:</w:t>
            </w:r>
            <w:r w:rsidRPr="00C11D3F">
              <w:rPr>
                <w:rFonts w:ascii="Gotham" w:hAnsi="Gotham" w:cs="Arial"/>
                <w:b/>
                <w:spacing w:val="1"/>
                <w:sz w:val="18"/>
                <w:szCs w:val="18"/>
              </w:rPr>
              <w:t xml:space="preserve"> </w:t>
            </w: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Consejo</w:t>
            </w:r>
            <w:r w:rsidRPr="00C11D3F">
              <w:rPr>
                <w:rFonts w:ascii="Gotham" w:hAnsi="Gotham" w:cs="Arial"/>
                <w:spacing w:val="1"/>
                <w:sz w:val="18"/>
                <w:szCs w:val="18"/>
              </w:rPr>
              <w:t xml:space="preserve"> </w:t>
            </w:r>
            <w:r w:rsidRPr="00C11D3F">
              <w:rPr>
                <w:rFonts w:ascii="Gotham" w:hAnsi="Gotham" w:cs="Arial"/>
                <w:sz w:val="18"/>
                <w:szCs w:val="18"/>
              </w:rPr>
              <w:t>Municipal</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Participación</w:t>
            </w:r>
            <w:r w:rsidRPr="00C11D3F">
              <w:rPr>
                <w:rFonts w:ascii="Gotham" w:hAnsi="Gotham" w:cs="Arial"/>
                <w:spacing w:val="1"/>
                <w:sz w:val="18"/>
                <w:szCs w:val="18"/>
              </w:rPr>
              <w:t xml:space="preserve"> </w:t>
            </w:r>
            <w:r w:rsidRPr="00C11D3F">
              <w:rPr>
                <w:rFonts w:ascii="Gotham" w:hAnsi="Gotham" w:cs="Arial"/>
                <w:sz w:val="18"/>
                <w:szCs w:val="18"/>
              </w:rPr>
              <w:t>Ciudadana</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Popular</w:t>
            </w:r>
            <w:r w:rsidRPr="00C11D3F">
              <w:rPr>
                <w:rFonts w:ascii="Gotham" w:hAnsi="Gotham" w:cs="Arial"/>
                <w:spacing w:val="-3"/>
                <w:sz w:val="18"/>
                <w:szCs w:val="18"/>
              </w:rPr>
              <w:t xml:space="preserve"> </w:t>
            </w:r>
            <w:r w:rsidRPr="00C11D3F">
              <w:rPr>
                <w:rFonts w:ascii="Gotham" w:hAnsi="Gotham" w:cs="Arial"/>
                <w:color w:val="C00000"/>
                <w:sz w:val="18"/>
                <w:szCs w:val="18"/>
              </w:rPr>
              <w:t>para</w:t>
            </w:r>
            <w:r w:rsidRPr="00C11D3F">
              <w:rPr>
                <w:rFonts w:ascii="Gotham" w:hAnsi="Gotham" w:cs="Arial"/>
                <w:color w:val="C00000"/>
                <w:spacing w:val="-2"/>
                <w:sz w:val="18"/>
                <w:szCs w:val="18"/>
              </w:rPr>
              <w:t xml:space="preserve"> </w:t>
            </w:r>
            <w:r w:rsidRPr="00C11D3F">
              <w:rPr>
                <w:rFonts w:ascii="Gotham" w:hAnsi="Gotham" w:cs="Arial"/>
                <w:color w:val="C00000"/>
                <w:sz w:val="18"/>
                <w:szCs w:val="18"/>
              </w:rPr>
              <w:t>la</w:t>
            </w:r>
            <w:r w:rsidRPr="00C11D3F">
              <w:rPr>
                <w:rFonts w:ascii="Gotham" w:hAnsi="Gotham" w:cs="Arial"/>
                <w:color w:val="C00000"/>
                <w:spacing w:val="-2"/>
                <w:sz w:val="18"/>
                <w:szCs w:val="18"/>
              </w:rPr>
              <w:t xml:space="preserve"> </w:t>
            </w:r>
            <w:r w:rsidRPr="00C11D3F">
              <w:rPr>
                <w:rFonts w:ascii="Gotham" w:hAnsi="Gotham" w:cs="Arial"/>
                <w:color w:val="C00000"/>
                <w:sz w:val="18"/>
                <w:szCs w:val="18"/>
              </w:rPr>
              <w:t>Gobernanza</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los</w:t>
            </w:r>
            <w:r w:rsidRPr="00C11D3F">
              <w:rPr>
                <w:rFonts w:ascii="Gotham" w:hAnsi="Gotham" w:cs="Arial"/>
                <w:spacing w:val="1"/>
                <w:sz w:val="18"/>
                <w:szCs w:val="18"/>
              </w:rPr>
              <w:t xml:space="preserve"> </w:t>
            </w:r>
            <w:r w:rsidRPr="00C11D3F">
              <w:rPr>
                <w:rFonts w:ascii="Gotham" w:hAnsi="Gotham" w:cs="Arial"/>
                <w:sz w:val="18"/>
                <w:szCs w:val="18"/>
              </w:rPr>
              <w:t>Comités</w:t>
            </w:r>
            <w:r w:rsidRPr="00C11D3F">
              <w:rPr>
                <w:rFonts w:ascii="Gotham" w:hAnsi="Gotham" w:cs="Arial"/>
                <w:spacing w:val="-2"/>
                <w:sz w:val="18"/>
                <w:szCs w:val="18"/>
              </w:rPr>
              <w:t xml:space="preserve"> </w:t>
            </w:r>
            <w:r w:rsidRPr="00C11D3F">
              <w:rPr>
                <w:rFonts w:ascii="Gotham" w:hAnsi="Gotham" w:cs="Arial"/>
                <w:sz w:val="18"/>
                <w:szCs w:val="18"/>
              </w:rPr>
              <w:t>Sociales</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3"/>
                <w:sz w:val="18"/>
                <w:szCs w:val="18"/>
              </w:rPr>
              <w:t xml:space="preserve"> </w:t>
            </w:r>
            <w:r w:rsidRPr="00C11D3F">
              <w:rPr>
                <w:rFonts w:ascii="Gotham" w:hAnsi="Gotham" w:cs="Arial"/>
                <w:sz w:val="18"/>
                <w:szCs w:val="18"/>
              </w:rPr>
              <w:t>Participación</w:t>
            </w:r>
            <w:r w:rsidRPr="00C11D3F">
              <w:rPr>
                <w:rFonts w:ascii="Gotham" w:hAnsi="Gotham" w:cs="Arial"/>
                <w:spacing w:val="-3"/>
                <w:sz w:val="18"/>
                <w:szCs w:val="18"/>
              </w:rPr>
              <w:t xml:space="preserve"> </w:t>
            </w:r>
            <w:r w:rsidRPr="00C11D3F">
              <w:rPr>
                <w:rFonts w:ascii="Gotham" w:hAnsi="Gotham" w:cs="Arial"/>
                <w:sz w:val="18"/>
                <w:szCs w:val="18"/>
              </w:rPr>
              <w:t>Ciudadana;</w:t>
            </w:r>
          </w:p>
        </w:tc>
        <w:tc>
          <w:tcPr>
            <w:tcW w:w="4678" w:type="dxa"/>
          </w:tcPr>
          <w:p w14:paraId="3A476659" w14:textId="77777777" w:rsidR="009B5E39" w:rsidRDefault="009B5E39" w:rsidP="00190E4A">
            <w:pPr>
              <w:jc w:val="both"/>
              <w:rPr>
                <w:rFonts w:ascii="Gotham" w:hAnsi="Gotham" w:cs="Arial"/>
                <w:sz w:val="18"/>
                <w:szCs w:val="18"/>
              </w:rPr>
            </w:pPr>
          </w:p>
          <w:p w14:paraId="3A47665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5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XII.</w:t>
            </w:r>
          </w:p>
          <w:p w14:paraId="3A47665C" w14:textId="77777777" w:rsidR="009B5E39" w:rsidRDefault="009B5E39" w:rsidP="00190E4A">
            <w:pPr>
              <w:jc w:val="both"/>
              <w:rPr>
                <w:rFonts w:ascii="Gotham" w:hAnsi="Gotham" w:cs="Arial"/>
                <w:sz w:val="18"/>
                <w:szCs w:val="18"/>
              </w:rPr>
            </w:pPr>
          </w:p>
          <w:p w14:paraId="3A47665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Consejo</w:t>
            </w:r>
            <w:r w:rsidRPr="00C11D3F">
              <w:rPr>
                <w:rFonts w:ascii="Gotham" w:hAnsi="Gotham" w:cs="Arial"/>
                <w:spacing w:val="1"/>
                <w:sz w:val="18"/>
                <w:szCs w:val="18"/>
              </w:rPr>
              <w:t xml:space="preserve"> </w:t>
            </w:r>
            <w:r w:rsidRPr="00C11D3F">
              <w:rPr>
                <w:rFonts w:ascii="Gotham" w:hAnsi="Gotham" w:cs="Arial"/>
                <w:sz w:val="18"/>
                <w:szCs w:val="18"/>
              </w:rPr>
              <w:t>Municipal</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Participación</w:t>
            </w:r>
            <w:r w:rsidRPr="00C11D3F">
              <w:rPr>
                <w:rFonts w:ascii="Gotham" w:hAnsi="Gotham" w:cs="Arial"/>
                <w:spacing w:val="1"/>
                <w:sz w:val="18"/>
                <w:szCs w:val="18"/>
              </w:rPr>
              <w:t xml:space="preserve"> </w:t>
            </w:r>
            <w:r w:rsidRPr="00C11D3F">
              <w:rPr>
                <w:rFonts w:ascii="Gotham" w:hAnsi="Gotham" w:cs="Arial"/>
                <w:sz w:val="18"/>
                <w:szCs w:val="18"/>
              </w:rPr>
              <w:t>Ciudadana</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Popular</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los</w:t>
            </w:r>
            <w:r w:rsidRPr="00C11D3F">
              <w:rPr>
                <w:rFonts w:ascii="Gotham" w:hAnsi="Gotham" w:cs="Arial"/>
                <w:spacing w:val="1"/>
                <w:sz w:val="18"/>
                <w:szCs w:val="18"/>
              </w:rPr>
              <w:t xml:space="preserve"> </w:t>
            </w:r>
            <w:r w:rsidRPr="00C11D3F">
              <w:rPr>
                <w:rFonts w:ascii="Gotham" w:hAnsi="Gotham" w:cs="Arial"/>
                <w:sz w:val="18"/>
                <w:szCs w:val="18"/>
              </w:rPr>
              <w:t>Comités</w:t>
            </w:r>
            <w:r w:rsidRPr="00C11D3F">
              <w:rPr>
                <w:rFonts w:ascii="Gotham" w:hAnsi="Gotham" w:cs="Arial"/>
                <w:spacing w:val="-2"/>
                <w:sz w:val="18"/>
                <w:szCs w:val="18"/>
              </w:rPr>
              <w:t xml:space="preserve"> </w:t>
            </w:r>
            <w:r w:rsidRPr="00C11D3F">
              <w:rPr>
                <w:rFonts w:ascii="Gotham" w:hAnsi="Gotham" w:cs="Arial"/>
                <w:sz w:val="18"/>
                <w:szCs w:val="18"/>
              </w:rPr>
              <w:t>Sociales</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3"/>
                <w:sz w:val="18"/>
                <w:szCs w:val="18"/>
              </w:rPr>
              <w:t xml:space="preserve"> </w:t>
            </w:r>
            <w:r w:rsidRPr="00C11D3F">
              <w:rPr>
                <w:rFonts w:ascii="Gotham" w:hAnsi="Gotham" w:cs="Arial"/>
                <w:sz w:val="18"/>
                <w:szCs w:val="18"/>
              </w:rPr>
              <w:t>Participación</w:t>
            </w:r>
            <w:r w:rsidRPr="00C11D3F">
              <w:rPr>
                <w:rFonts w:ascii="Gotham" w:hAnsi="Gotham" w:cs="Arial"/>
                <w:spacing w:val="-3"/>
                <w:sz w:val="18"/>
                <w:szCs w:val="18"/>
              </w:rPr>
              <w:t xml:space="preserve"> </w:t>
            </w:r>
            <w:r w:rsidRPr="00C11D3F">
              <w:rPr>
                <w:rFonts w:ascii="Gotham" w:hAnsi="Gotham" w:cs="Arial"/>
                <w:sz w:val="18"/>
                <w:szCs w:val="18"/>
              </w:rPr>
              <w:t>Ciudadana;</w:t>
            </w:r>
          </w:p>
        </w:tc>
      </w:tr>
      <w:tr w:rsidR="009B5E39" w:rsidRPr="00C11D3F" w14:paraId="3A476669" w14:textId="77777777" w:rsidTr="00190E4A">
        <w:trPr>
          <w:jc w:val="center"/>
        </w:trPr>
        <w:tc>
          <w:tcPr>
            <w:tcW w:w="4673" w:type="dxa"/>
          </w:tcPr>
          <w:p w14:paraId="3A47665F" w14:textId="77777777" w:rsidR="009B5E39" w:rsidRDefault="009B5E39" w:rsidP="00190E4A">
            <w:pPr>
              <w:jc w:val="both"/>
              <w:rPr>
                <w:rFonts w:ascii="Gotham" w:hAnsi="Gotham" w:cs="Arial"/>
                <w:sz w:val="18"/>
                <w:szCs w:val="18"/>
              </w:rPr>
            </w:pPr>
          </w:p>
          <w:p w14:paraId="3A47666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6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Fracción XV.</w:t>
            </w:r>
          </w:p>
          <w:p w14:paraId="3A476662" w14:textId="77777777" w:rsidR="009B5E39" w:rsidRDefault="009B5E39" w:rsidP="00190E4A">
            <w:pPr>
              <w:jc w:val="both"/>
              <w:rPr>
                <w:rFonts w:ascii="Gotham" w:hAnsi="Gotham" w:cs="Arial"/>
                <w:sz w:val="18"/>
                <w:szCs w:val="18"/>
              </w:rPr>
            </w:pPr>
          </w:p>
          <w:p w14:paraId="3A47666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Proyecto social: El mecanismo de participación popular, mediante el cual los habitantes del municipio colaboran, cooperan y trabajan en conjunto con el </w:t>
            </w:r>
            <w:r w:rsidRPr="00C11D3F">
              <w:rPr>
                <w:rFonts w:ascii="Gotham" w:hAnsi="Gotham" w:cs="Arial"/>
                <w:color w:val="C00000"/>
                <w:sz w:val="18"/>
                <w:szCs w:val="18"/>
              </w:rPr>
              <w:t>a</w:t>
            </w:r>
            <w:r w:rsidRPr="00C11D3F">
              <w:rPr>
                <w:rFonts w:ascii="Gotham" w:hAnsi="Gotham" w:cs="Arial"/>
                <w:sz w:val="18"/>
                <w:szCs w:val="18"/>
              </w:rPr>
              <w:t>yuntamiento para la solución de una necesidad o problemática existente en los barrios, fraccionamientos y colonias municipales; y</w:t>
            </w:r>
          </w:p>
        </w:tc>
        <w:tc>
          <w:tcPr>
            <w:tcW w:w="4678" w:type="dxa"/>
          </w:tcPr>
          <w:p w14:paraId="3A476664" w14:textId="77777777" w:rsidR="009B5E39" w:rsidRDefault="009B5E39" w:rsidP="00190E4A">
            <w:pPr>
              <w:jc w:val="both"/>
              <w:rPr>
                <w:rFonts w:ascii="Gotham" w:hAnsi="Gotham" w:cs="Arial"/>
                <w:sz w:val="18"/>
                <w:szCs w:val="18"/>
              </w:rPr>
            </w:pPr>
          </w:p>
          <w:p w14:paraId="3A47666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w:t>
            </w:r>
          </w:p>
          <w:p w14:paraId="3A47666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Fracción XV</w:t>
            </w:r>
          </w:p>
          <w:p w14:paraId="3A476667" w14:textId="77777777" w:rsidR="009B5E39" w:rsidRDefault="009B5E39" w:rsidP="00190E4A">
            <w:pPr>
              <w:jc w:val="both"/>
              <w:rPr>
                <w:rFonts w:ascii="Gotham" w:hAnsi="Gotham" w:cs="Arial"/>
                <w:sz w:val="18"/>
                <w:szCs w:val="18"/>
              </w:rPr>
            </w:pPr>
          </w:p>
          <w:p w14:paraId="3A47666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Proyecto social: El mecanismo de participación popular, mediante el cual los habitantes del municipio colaboran, cooperan y trabajan en conjunto con el Ayuntamiento para la solución de una necesidad o problemática existente en los barrios, fraccionamientos y colonias municipales; y</w:t>
            </w:r>
          </w:p>
        </w:tc>
      </w:tr>
      <w:tr w:rsidR="009B5E39" w:rsidRPr="00C11D3F" w14:paraId="3A476674" w14:textId="77777777" w:rsidTr="00190E4A">
        <w:trPr>
          <w:jc w:val="center"/>
        </w:trPr>
        <w:tc>
          <w:tcPr>
            <w:tcW w:w="4673" w:type="dxa"/>
          </w:tcPr>
          <w:p w14:paraId="3A47666A" w14:textId="77777777" w:rsidR="009B5E39" w:rsidRDefault="009B5E39" w:rsidP="00190E4A">
            <w:pPr>
              <w:jc w:val="both"/>
              <w:rPr>
                <w:rFonts w:ascii="Gotham" w:hAnsi="Gotham" w:cs="Arial"/>
                <w:sz w:val="18"/>
                <w:szCs w:val="18"/>
              </w:rPr>
            </w:pPr>
          </w:p>
          <w:p w14:paraId="3A47666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4 </w:t>
            </w:r>
          </w:p>
          <w:p w14:paraId="3A47666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w:t>
            </w:r>
          </w:p>
          <w:p w14:paraId="3A47666D" w14:textId="77777777" w:rsidR="009B5E39" w:rsidRDefault="009B5E39" w:rsidP="00190E4A">
            <w:pPr>
              <w:jc w:val="both"/>
              <w:rPr>
                <w:rFonts w:ascii="Gotham" w:hAnsi="Gotham" w:cs="Arial"/>
                <w:sz w:val="18"/>
                <w:szCs w:val="18"/>
              </w:rPr>
            </w:pPr>
          </w:p>
          <w:p w14:paraId="3A47666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Fomentar, facilitar y promover la participación ciudadana y dar las condiciones necesarias para</w:t>
            </w:r>
            <w:r w:rsidRPr="00C11D3F">
              <w:rPr>
                <w:rFonts w:ascii="Gotham" w:hAnsi="Gotham" w:cs="Arial"/>
                <w:spacing w:val="1"/>
                <w:sz w:val="18"/>
                <w:szCs w:val="18"/>
              </w:rPr>
              <w:t xml:space="preserve"> </w:t>
            </w:r>
            <w:r w:rsidRPr="00C11D3F">
              <w:rPr>
                <w:rFonts w:ascii="Gotham" w:hAnsi="Gotham" w:cs="Arial"/>
                <w:sz w:val="18"/>
                <w:szCs w:val="18"/>
              </w:rPr>
              <w:t>la organización ciudadana y asociaciones que los agrupan para la gestión municipal, de la población</w:t>
            </w:r>
            <w:r w:rsidRPr="00C11D3F">
              <w:rPr>
                <w:rFonts w:ascii="Gotham" w:hAnsi="Gotham" w:cs="Arial"/>
                <w:spacing w:val="-52"/>
                <w:sz w:val="18"/>
                <w:szCs w:val="18"/>
              </w:rPr>
              <w:t xml:space="preserve"> </w:t>
            </w:r>
            <w:r w:rsidRPr="00C11D3F">
              <w:rPr>
                <w:rFonts w:ascii="Gotham" w:hAnsi="Gotham" w:cs="Arial"/>
                <w:sz w:val="18"/>
                <w:szCs w:val="18"/>
              </w:rPr>
              <w:t>del Municipio y con respeto total a las facultades de decisión de los órganos municipales, en los</w:t>
            </w:r>
            <w:r w:rsidRPr="00C11D3F">
              <w:rPr>
                <w:rFonts w:ascii="Gotham" w:hAnsi="Gotham" w:cs="Arial"/>
                <w:spacing w:val="1"/>
                <w:sz w:val="18"/>
                <w:szCs w:val="18"/>
              </w:rPr>
              <w:t xml:space="preserve"> </w:t>
            </w:r>
            <w:r w:rsidRPr="00C11D3F">
              <w:rPr>
                <w:rFonts w:ascii="Gotham" w:hAnsi="Gotham" w:cs="Arial"/>
                <w:sz w:val="18"/>
                <w:szCs w:val="18"/>
              </w:rPr>
              <w:t>términos</w:t>
            </w:r>
            <w:r w:rsidRPr="00C11D3F">
              <w:rPr>
                <w:rFonts w:ascii="Gotham" w:hAnsi="Gotham" w:cs="Arial"/>
                <w:spacing w:val="-2"/>
                <w:sz w:val="18"/>
                <w:szCs w:val="18"/>
              </w:rPr>
              <w:t xml:space="preserve"> </w:t>
            </w:r>
            <w:r w:rsidRPr="00C11D3F">
              <w:rPr>
                <w:rFonts w:ascii="Gotham" w:hAnsi="Gotham" w:cs="Arial"/>
                <w:sz w:val="18"/>
                <w:szCs w:val="18"/>
              </w:rPr>
              <w:t>establecidos</w:t>
            </w:r>
            <w:r w:rsidRPr="00C11D3F">
              <w:rPr>
                <w:rFonts w:ascii="Gotham" w:hAnsi="Gotham" w:cs="Arial"/>
                <w:spacing w:val="-1"/>
                <w:sz w:val="18"/>
                <w:szCs w:val="18"/>
              </w:rPr>
              <w:t xml:space="preserve"> </w:t>
            </w:r>
            <w:r w:rsidRPr="00C11D3F">
              <w:rPr>
                <w:rFonts w:ascii="Gotham" w:hAnsi="Gotham" w:cs="Arial"/>
                <w:sz w:val="18"/>
                <w:szCs w:val="18"/>
              </w:rPr>
              <w:t>por</w:t>
            </w:r>
            <w:r w:rsidRPr="00C11D3F">
              <w:rPr>
                <w:rFonts w:ascii="Gotham" w:hAnsi="Gotham" w:cs="Arial"/>
                <w:spacing w:val="-2"/>
                <w:sz w:val="18"/>
                <w:szCs w:val="18"/>
              </w:rPr>
              <w:t xml:space="preserve"> </w:t>
            </w:r>
            <w:r w:rsidRPr="00C11D3F">
              <w:rPr>
                <w:rFonts w:ascii="Gotham" w:hAnsi="Gotham" w:cs="Arial"/>
                <w:sz w:val="18"/>
                <w:szCs w:val="18"/>
              </w:rPr>
              <w:t>normatividad</w:t>
            </w:r>
            <w:r w:rsidRPr="00C11D3F">
              <w:rPr>
                <w:rFonts w:ascii="Gotham" w:hAnsi="Gotham" w:cs="Arial"/>
                <w:spacing w:val="2"/>
                <w:sz w:val="18"/>
                <w:szCs w:val="18"/>
              </w:rPr>
              <w:t xml:space="preserve"> </w:t>
            </w:r>
            <w:r w:rsidRPr="00C11D3F">
              <w:rPr>
                <w:rFonts w:ascii="Gotham" w:hAnsi="Gotham" w:cs="Arial"/>
                <w:sz w:val="18"/>
                <w:szCs w:val="18"/>
              </w:rPr>
              <w:t>aplicable;</w:t>
            </w:r>
          </w:p>
        </w:tc>
        <w:tc>
          <w:tcPr>
            <w:tcW w:w="4678" w:type="dxa"/>
          </w:tcPr>
          <w:p w14:paraId="3A47666F" w14:textId="77777777" w:rsidR="009B5E39" w:rsidRDefault="009B5E39" w:rsidP="00190E4A">
            <w:pPr>
              <w:jc w:val="both"/>
              <w:rPr>
                <w:rFonts w:ascii="Gotham" w:hAnsi="Gotham" w:cs="Arial"/>
                <w:sz w:val="18"/>
                <w:szCs w:val="18"/>
              </w:rPr>
            </w:pPr>
          </w:p>
          <w:p w14:paraId="3A47667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4 </w:t>
            </w:r>
          </w:p>
          <w:p w14:paraId="3A47667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w:t>
            </w:r>
          </w:p>
          <w:p w14:paraId="3A476672" w14:textId="77777777" w:rsidR="009B5E39" w:rsidRDefault="009B5E39" w:rsidP="00190E4A">
            <w:pPr>
              <w:jc w:val="both"/>
              <w:rPr>
                <w:rFonts w:ascii="Gotham" w:hAnsi="Gotham" w:cs="Arial"/>
                <w:sz w:val="18"/>
                <w:szCs w:val="18"/>
              </w:rPr>
            </w:pPr>
          </w:p>
          <w:p w14:paraId="3A47667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Fomentar, facilitar y promover la participación ciudadana y dar las condiciones necesarias para la organización ciudadana y asociaciones que los agrupan para la gestión municipal, de la población del Municipio y con respeto total a las facultades de decisión de los órganos municipales, en los términos establecidos por </w:t>
            </w:r>
            <w:r w:rsidRPr="00C11D3F">
              <w:rPr>
                <w:rFonts w:ascii="Gotham" w:hAnsi="Gotham" w:cs="Arial"/>
                <w:b/>
                <w:bCs/>
                <w:sz w:val="18"/>
                <w:szCs w:val="18"/>
              </w:rPr>
              <w:t>la</w:t>
            </w:r>
            <w:r w:rsidRPr="00C11D3F">
              <w:rPr>
                <w:rFonts w:ascii="Gotham" w:hAnsi="Gotham" w:cs="Arial"/>
                <w:sz w:val="18"/>
                <w:szCs w:val="18"/>
              </w:rPr>
              <w:t xml:space="preserve"> normatividad aplicable;</w:t>
            </w:r>
          </w:p>
        </w:tc>
      </w:tr>
      <w:tr w:rsidR="009B5E39" w:rsidRPr="00C11D3F" w14:paraId="3A47667F" w14:textId="77777777" w:rsidTr="00190E4A">
        <w:trPr>
          <w:jc w:val="center"/>
        </w:trPr>
        <w:tc>
          <w:tcPr>
            <w:tcW w:w="4673" w:type="dxa"/>
          </w:tcPr>
          <w:p w14:paraId="3A476675" w14:textId="77777777" w:rsidR="009B5E39" w:rsidRDefault="009B5E39" w:rsidP="00190E4A">
            <w:pPr>
              <w:jc w:val="both"/>
              <w:rPr>
                <w:rFonts w:ascii="Gotham" w:hAnsi="Gotham" w:cs="Arial"/>
                <w:sz w:val="18"/>
                <w:szCs w:val="18"/>
              </w:rPr>
            </w:pPr>
          </w:p>
          <w:p w14:paraId="3A47667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4 </w:t>
            </w:r>
          </w:p>
          <w:p w14:paraId="3A47667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XVI</w:t>
            </w:r>
          </w:p>
          <w:p w14:paraId="3A476678" w14:textId="77777777" w:rsidR="009B5E39" w:rsidRDefault="009B5E39" w:rsidP="00190E4A">
            <w:pPr>
              <w:jc w:val="both"/>
              <w:rPr>
                <w:rFonts w:ascii="Gotham" w:hAnsi="Gotham" w:cs="Arial"/>
                <w:sz w:val="18"/>
                <w:szCs w:val="18"/>
              </w:rPr>
            </w:pPr>
          </w:p>
          <w:p w14:paraId="3A47667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Establecer</w:t>
            </w:r>
            <w:r w:rsidRPr="00C11D3F">
              <w:rPr>
                <w:rFonts w:ascii="Gotham" w:hAnsi="Gotham" w:cs="Arial"/>
                <w:spacing w:val="1"/>
                <w:sz w:val="18"/>
                <w:szCs w:val="18"/>
              </w:rPr>
              <w:t xml:space="preserve"> </w:t>
            </w:r>
            <w:r w:rsidRPr="00C11D3F">
              <w:rPr>
                <w:rFonts w:ascii="Gotham" w:hAnsi="Gotham" w:cs="Arial"/>
                <w:sz w:val="18"/>
                <w:szCs w:val="18"/>
              </w:rPr>
              <w:t>las</w:t>
            </w:r>
            <w:r w:rsidRPr="00C11D3F">
              <w:rPr>
                <w:rFonts w:ascii="Gotham" w:hAnsi="Gotham" w:cs="Arial"/>
                <w:spacing w:val="1"/>
                <w:sz w:val="18"/>
                <w:szCs w:val="18"/>
              </w:rPr>
              <w:t xml:space="preserve"> </w:t>
            </w:r>
            <w:r w:rsidRPr="00C11D3F">
              <w:rPr>
                <w:rFonts w:ascii="Gotham" w:hAnsi="Gotham" w:cs="Arial"/>
                <w:sz w:val="18"/>
                <w:szCs w:val="18"/>
              </w:rPr>
              <w:t>formas</w:t>
            </w:r>
            <w:r w:rsidRPr="00C11D3F">
              <w:rPr>
                <w:rFonts w:ascii="Gotham" w:hAnsi="Gotham" w:cs="Arial"/>
                <w:spacing w:val="1"/>
                <w:sz w:val="18"/>
                <w:szCs w:val="18"/>
              </w:rPr>
              <w:t xml:space="preserve"> </w:t>
            </w:r>
            <w:r w:rsidRPr="00C11D3F">
              <w:rPr>
                <w:rFonts w:ascii="Gotham" w:hAnsi="Gotham" w:cs="Arial"/>
                <w:sz w:val="18"/>
                <w:szCs w:val="18"/>
              </w:rPr>
              <w:t>y</w:t>
            </w:r>
            <w:r w:rsidRPr="00C11D3F">
              <w:rPr>
                <w:rFonts w:ascii="Gotham" w:hAnsi="Gotham" w:cs="Arial"/>
                <w:spacing w:val="1"/>
                <w:sz w:val="18"/>
                <w:szCs w:val="18"/>
              </w:rPr>
              <w:t xml:space="preserve"> </w:t>
            </w:r>
            <w:r w:rsidRPr="00C11D3F">
              <w:rPr>
                <w:rFonts w:ascii="Gotham" w:hAnsi="Gotham" w:cs="Arial"/>
                <w:sz w:val="18"/>
                <w:szCs w:val="18"/>
              </w:rPr>
              <w:t>procedimientos</w:t>
            </w:r>
            <w:r w:rsidRPr="00C11D3F">
              <w:rPr>
                <w:rFonts w:ascii="Gotham" w:hAnsi="Gotham" w:cs="Arial"/>
                <w:spacing w:val="1"/>
                <w:sz w:val="18"/>
                <w:szCs w:val="18"/>
              </w:rPr>
              <w:t xml:space="preserve"> </w:t>
            </w:r>
            <w:r w:rsidRPr="00C11D3F">
              <w:rPr>
                <w:rFonts w:ascii="Gotham" w:hAnsi="Gotham" w:cs="Arial"/>
                <w:sz w:val="18"/>
                <w:szCs w:val="18"/>
              </w:rPr>
              <w:t>para</w:t>
            </w:r>
            <w:r w:rsidRPr="00C11D3F">
              <w:rPr>
                <w:rFonts w:ascii="Gotham" w:hAnsi="Gotham" w:cs="Arial"/>
                <w:spacing w:val="1"/>
                <w:sz w:val="18"/>
                <w:szCs w:val="18"/>
              </w:rPr>
              <w:t xml:space="preserve"> </w:t>
            </w: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reconocimiento</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las</w:t>
            </w:r>
            <w:r w:rsidRPr="00C11D3F">
              <w:rPr>
                <w:rFonts w:ascii="Gotham" w:hAnsi="Gotham" w:cs="Arial"/>
                <w:spacing w:val="1"/>
                <w:sz w:val="18"/>
                <w:szCs w:val="18"/>
              </w:rPr>
              <w:t xml:space="preserve"> </w:t>
            </w:r>
            <w:r w:rsidRPr="00C11D3F">
              <w:rPr>
                <w:rFonts w:ascii="Gotham" w:hAnsi="Gotham" w:cs="Arial"/>
                <w:sz w:val="18"/>
                <w:szCs w:val="18"/>
              </w:rPr>
              <w:t>organizaciones</w:t>
            </w:r>
            <w:r w:rsidRPr="00C11D3F">
              <w:rPr>
                <w:rFonts w:ascii="Gotham" w:hAnsi="Gotham" w:cs="Arial"/>
                <w:spacing w:val="1"/>
                <w:sz w:val="18"/>
                <w:szCs w:val="18"/>
              </w:rPr>
              <w:t xml:space="preserve"> </w:t>
            </w:r>
            <w:r w:rsidRPr="00C11D3F">
              <w:rPr>
                <w:rFonts w:ascii="Gotham" w:hAnsi="Gotham" w:cs="Arial"/>
                <w:spacing w:val="-1"/>
                <w:sz w:val="18"/>
                <w:szCs w:val="18"/>
              </w:rPr>
              <w:t>ciudadanas</w:t>
            </w:r>
            <w:r w:rsidRPr="00C11D3F">
              <w:rPr>
                <w:rFonts w:ascii="Gotham" w:hAnsi="Gotham" w:cs="Arial"/>
                <w:spacing w:val="-13"/>
                <w:sz w:val="18"/>
                <w:szCs w:val="18"/>
              </w:rPr>
              <w:t xml:space="preserve"> </w:t>
            </w:r>
            <w:r w:rsidRPr="00C11D3F">
              <w:rPr>
                <w:rFonts w:ascii="Gotham" w:hAnsi="Gotham" w:cs="Arial"/>
                <w:sz w:val="18"/>
                <w:szCs w:val="18"/>
              </w:rPr>
              <w:t>en</w:t>
            </w:r>
            <w:r w:rsidRPr="00C11D3F">
              <w:rPr>
                <w:rFonts w:ascii="Gotham" w:hAnsi="Gotham" w:cs="Arial"/>
                <w:spacing w:val="-13"/>
                <w:sz w:val="18"/>
                <w:szCs w:val="18"/>
              </w:rPr>
              <w:t xml:space="preserve"> </w:t>
            </w:r>
            <w:r w:rsidRPr="00C11D3F">
              <w:rPr>
                <w:rFonts w:ascii="Gotham" w:hAnsi="Gotham" w:cs="Arial"/>
                <w:sz w:val="18"/>
                <w:szCs w:val="18"/>
              </w:rPr>
              <w:t>general,</w:t>
            </w:r>
            <w:r w:rsidRPr="00C11D3F">
              <w:rPr>
                <w:rFonts w:ascii="Gotham" w:hAnsi="Gotham" w:cs="Arial"/>
                <w:spacing w:val="-10"/>
                <w:sz w:val="18"/>
                <w:szCs w:val="18"/>
              </w:rPr>
              <w:t xml:space="preserve"> </w:t>
            </w:r>
            <w:r w:rsidRPr="00C11D3F">
              <w:rPr>
                <w:rFonts w:ascii="Gotham" w:hAnsi="Gotham" w:cs="Arial"/>
                <w:sz w:val="18"/>
                <w:szCs w:val="18"/>
              </w:rPr>
              <w:t>promoviendo</w:t>
            </w:r>
            <w:r w:rsidRPr="00C11D3F">
              <w:rPr>
                <w:rFonts w:ascii="Gotham" w:hAnsi="Gotham" w:cs="Arial"/>
                <w:spacing w:val="-10"/>
                <w:sz w:val="18"/>
                <w:szCs w:val="18"/>
              </w:rPr>
              <w:t xml:space="preserve"> </w:t>
            </w:r>
            <w:r w:rsidRPr="00C11D3F">
              <w:rPr>
                <w:rFonts w:ascii="Gotham" w:hAnsi="Gotham" w:cs="Arial"/>
                <w:sz w:val="18"/>
                <w:szCs w:val="18"/>
              </w:rPr>
              <w:t>el</w:t>
            </w:r>
            <w:r w:rsidRPr="00C11D3F">
              <w:rPr>
                <w:rFonts w:ascii="Gotham" w:hAnsi="Gotham" w:cs="Arial"/>
                <w:spacing w:val="-12"/>
                <w:sz w:val="18"/>
                <w:szCs w:val="18"/>
              </w:rPr>
              <w:t xml:space="preserve"> </w:t>
            </w:r>
            <w:r w:rsidRPr="00C11D3F">
              <w:rPr>
                <w:rFonts w:ascii="Gotham" w:hAnsi="Gotham" w:cs="Arial"/>
                <w:sz w:val="18"/>
                <w:szCs w:val="18"/>
              </w:rPr>
              <w:t>establecimiento</w:t>
            </w:r>
            <w:r w:rsidRPr="00C11D3F">
              <w:rPr>
                <w:rFonts w:ascii="Gotham" w:hAnsi="Gotham" w:cs="Arial"/>
                <w:spacing w:val="-10"/>
                <w:sz w:val="18"/>
                <w:szCs w:val="18"/>
              </w:rPr>
              <w:t xml:space="preserve"> </w:t>
            </w:r>
            <w:r w:rsidRPr="00C11D3F">
              <w:rPr>
                <w:rFonts w:ascii="Gotham" w:hAnsi="Gotham" w:cs="Arial"/>
                <w:sz w:val="18"/>
                <w:szCs w:val="18"/>
              </w:rPr>
              <w:t>de</w:t>
            </w:r>
            <w:r w:rsidRPr="00C11D3F">
              <w:rPr>
                <w:rFonts w:ascii="Gotham" w:hAnsi="Gotham" w:cs="Arial"/>
                <w:spacing w:val="-12"/>
                <w:sz w:val="18"/>
                <w:szCs w:val="18"/>
              </w:rPr>
              <w:t xml:space="preserve"> </w:t>
            </w:r>
            <w:r w:rsidRPr="00C11D3F">
              <w:rPr>
                <w:rFonts w:ascii="Gotham" w:hAnsi="Gotham" w:cs="Arial"/>
                <w:sz w:val="18"/>
                <w:szCs w:val="18"/>
              </w:rPr>
              <w:t>las</w:t>
            </w:r>
            <w:r w:rsidRPr="00C11D3F">
              <w:rPr>
                <w:rFonts w:ascii="Gotham" w:hAnsi="Gotham" w:cs="Arial"/>
                <w:spacing w:val="-12"/>
                <w:sz w:val="18"/>
                <w:szCs w:val="18"/>
              </w:rPr>
              <w:t xml:space="preserve"> </w:t>
            </w:r>
            <w:r w:rsidRPr="00C11D3F">
              <w:rPr>
                <w:rFonts w:ascii="Gotham" w:hAnsi="Gotham" w:cs="Arial"/>
                <w:sz w:val="18"/>
                <w:szCs w:val="18"/>
              </w:rPr>
              <w:t>bases</w:t>
            </w:r>
            <w:r w:rsidRPr="00C11D3F">
              <w:rPr>
                <w:rFonts w:ascii="Gotham" w:hAnsi="Gotham" w:cs="Arial"/>
                <w:spacing w:val="-12"/>
                <w:sz w:val="18"/>
                <w:szCs w:val="18"/>
              </w:rPr>
              <w:t xml:space="preserve"> </w:t>
            </w:r>
            <w:r w:rsidRPr="00C11D3F">
              <w:rPr>
                <w:rFonts w:ascii="Gotham" w:hAnsi="Gotham" w:cs="Arial"/>
                <w:sz w:val="18"/>
                <w:szCs w:val="18"/>
              </w:rPr>
              <w:t>mínimas</w:t>
            </w:r>
            <w:r w:rsidRPr="00C11D3F">
              <w:rPr>
                <w:rFonts w:ascii="Gotham" w:hAnsi="Gotham" w:cs="Arial"/>
                <w:spacing w:val="-13"/>
                <w:sz w:val="18"/>
                <w:szCs w:val="18"/>
              </w:rPr>
              <w:t xml:space="preserve"> </w:t>
            </w:r>
            <w:r w:rsidRPr="00C11D3F">
              <w:rPr>
                <w:rFonts w:ascii="Gotham" w:hAnsi="Gotham" w:cs="Arial"/>
                <w:sz w:val="18"/>
                <w:szCs w:val="18"/>
              </w:rPr>
              <w:t>de</w:t>
            </w:r>
            <w:r w:rsidRPr="00C11D3F">
              <w:rPr>
                <w:rFonts w:ascii="Gotham" w:hAnsi="Gotham" w:cs="Arial"/>
                <w:spacing w:val="-12"/>
                <w:sz w:val="18"/>
                <w:szCs w:val="18"/>
              </w:rPr>
              <w:t xml:space="preserve"> </w:t>
            </w:r>
            <w:r w:rsidRPr="00C11D3F">
              <w:rPr>
                <w:rFonts w:ascii="Gotham" w:hAnsi="Gotham" w:cs="Arial"/>
                <w:sz w:val="18"/>
                <w:szCs w:val="18"/>
              </w:rPr>
              <w:t>sus</w:t>
            </w:r>
            <w:r w:rsidRPr="00C11D3F">
              <w:rPr>
                <w:rFonts w:ascii="Gotham" w:hAnsi="Gotham" w:cs="Arial"/>
                <w:spacing w:val="-12"/>
                <w:sz w:val="18"/>
                <w:szCs w:val="18"/>
              </w:rPr>
              <w:t xml:space="preserve"> </w:t>
            </w:r>
            <w:r w:rsidRPr="00C11D3F">
              <w:rPr>
                <w:rFonts w:ascii="Gotham" w:hAnsi="Gotham" w:cs="Arial"/>
                <w:sz w:val="18"/>
                <w:szCs w:val="18"/>
              </w:rPr>
              <w:t>estatutos</w:t>
            </w:r>
            <w:r w:rsidRPr="00C11D3F">
              <w:rPr>
                <w:rFonts w:ascii="Gotham" w:hAnsi="Gotham" w:cs="Arial"/>
                <w:spacing w:val="-9"/>
                <w:sz w:val="18"/>
                <w:szCs w:val="18"/>
              </w:rPr>
              <w:t xml:space="preserve"> </w:t>
            </w:r>
            <w:r w:rsidRPr="00C11D3F">
              <w:rPr>
                <w:rFonts w:ascii="Gotham" w:hAnsi="Gotham" w:cs="Arial"/>
                <w:sz w:val="18"/>
                <w:szCs w:val="18"/>
              </w:rPr>
              <w:t>sociales</w:t>
            </w:r>
            <w:r w:rsidRPr="00C11D3F">
              <w:rPr>
                <w:rFonts w:ascii="Gotham" w:hAnsi="Gotham" w:cs="Arial"/>
                <w:spacing w:val="-52"/>
                <w:sz w:val="18"/>
                <w:szCs w:val="18"/>
              </w:rPr>
              <w:t xml:space="preserve"> </w:t>
            </w:r>
            <w:r w:rsidRPr="00C11D3F">
              <w:rPr>
                <w:rFonts w:ascii="Gotham" w:hAnsi="Gotham" w:cs="Arial"/>
                <w:sz w:val="18"/>
                <w:szCs w:val="18"/>
              </w:rPr>
              <w:t>y funcionamiento, facilitando a las agrupaciones de ciudadanos y demás personas jurídicas con</w:t>
            </w:r>
            <w:r w:rsidRPr="00C11D3F">
              <w:rPr>
                <w:rFonts w:ascii="Gotham" w:hAnsi="Gotham" w:cs="Arial"/>
                <w:spacing w:val="1"/>
                <w:sz w:val="18"/>
                <w:szCs w:val="18"/>
              </w:rPr>
              <w:t xml:space="preserve"> </w:t>
            </w:r>
            <w:r w:rsidRPr="00C11D3F">
              <w:rPr>
                <w:rFonts w:ascii="Gotham" w:hAnsi="Gotham" w:cs="Arial"/>
                <w:sz w:val="18"/>
                <w:szCs w:val="18"/>
              </w:rPr>
              <w:t xml:space="preserve">funciones de representación </w:t>
            </w:r>
            <w:r w:rsidRPr="00C11D3F">
              <w:rPr>
                <w:rFonts w:ascii="Gotham" w:hAnsi="Gotham" w:cs="Arial"/>
                <w:color w:val="FF0000"/>
                <w:sz w:val="18"/>
                <w:szCs w:val="18"/>
              </w:rPr>
              <w:t xml:space="preserve">ciudadana y ciudadana, </w:t>
            </w:r>
            <w:r w:rsidRPr="00C11D3F">
              <w:rPr>
                <w:rFonts w:ascii="Gotham" w:hAnsi="Gotham" w:cs="Arial"/>
                <w:sz w:val="18"/>
                <w:szCs w:val="18"/>
              </w:rPr>
              <w:t>la información acerca de las actividades, obras,</w:t>
            </w:r>
            <w:r w:rsidRPr="00C11D3F">
              <w:rPr>
                <w:rFonts w:ascii="Gotham" w:hAnsi="Gotham" w:cs="Arial"/>
                <w:spacing w:val="1"/>
                <w:sz w:val="18"/>
                <w:szCs w:val="18"/>
              </w:rPr>
              <w:t xml:space="preserve"> </w:t>
            </w:r>
            <w:r w:rsidRPr="00C11D3F">
              <w:rPr>
                <w:rFonts w:ascii="Gotham" w:hAnsi="Gotham" w:cs="Arial"/>
                <w:sz w:val="18"/>
                <w:szCs w:val="18"/>
              </w:rPr>
              <w:t>servicios, proyectos</w:t>
            </w:r>
            <w:r w:rsidRPr="00C11D3F">
              <w:rPr>
                <w:rFonts w:ascii="Gotham" w:hAnsi="Gotham" w:cs="Arial"/>
                <w:spacing w:val="-2"/>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programas</w:t>
            </w:r>
            <w:r w:rsidRPr="00C11D3F">
              <w:rPr>
                <w:rFonts w:ascii="Gotham" w:hAnsi="Gotham" w:cs="Arial"/>
                <w:spacing w:val="-2"/>
                <w:sz w:val="18"/>
                <w:szCs w:val="18"/>
              </w:rPr>
              <w:t xml:space="preserve"> </w:t>
            </w:r>
            <w:r w:rsidRPr="00C11D3F">
              <w:rPr>
                <w:rFonts w:ascii="Gotham" w:hAnsi="Gotham" w:cs="Arial"/>
                <w:sz w:val="18"/>
                <w:szCs w:val="18"/>
              </w:rPr>
              <w:t>emprendidos</w:t>
            </w:r>
            <w:r w:rsidRPr="00C11D3F">
              <w:rPr>
                <w:rFonts w:ascii="Gotham" w:hAnsi="Gotham" w:cs="Arial"/>
                <w:spacing w:val="-2"/>
                <w:sz w:val="18"/>
                <w:szCs w:val="18"/>
              </w:rPr>
              <w:t xml:space="preserve"> </w:t>
            </w:r>
            <w:r w:rsidRPr="00C11D3F">
              <w:rPr>
                <w:rFonts w:ascii="Gotham" w:hAnsi="Gotham" w:cs="Arial"/>
                <w:sz w:val="18"/>
                <w:szCs w:val="18"/>
              </w:rPr>
              <w:t>por</w:t>
            </w:r>
            <w:r w:rsidRPr="00C11D3F">
              <w:rPr>
                <w:rFonts w:ascii="Gotham" w:hAnsi="Gotham" w:cs="Arial"/>
                <w:spacing w:val="-2"/>
                <w:sz w:val="18"/>
                <w:szCs w:val="18"/>
              </w:rPr>
              <w:t xml:space="preserve"> </w:t>
            </w:r>
            <w:r w:rsidRPr="00C11D3F">
              <w:rPr>
                <w:rFonts w:ascii="Gotham" w:hAnsi="Gotham" w:cs="Arial"/>
                <w:sz w:val="18"/>
                <w:szCs w:val="18"/>
              </w:rPr>
              <w:t>las</w:t>
            </w:r>
            <w:r w:rsidRPr="00C11D3F">
              <w:rPr>
                <w:rFonts w:ascii="Gotham" w:hAnsi="Gotham" w:cs="Arial"/>
                <w:spacing w:val="-2"/>
                <w:sz w:val="18"/>
                <w:szCs w:val="18"/>
              </w:rPr>
              <w:t xml:space="preserve"> </w:t>
            </w:r>
            <w:r w:rsidRPr="00C11D3F">
              <w:rPr>
                <w:rFonts w:ascii="Gotham" w:hAnsi="Gotham" w:cs="Arial"/>
                <w:sz w:val="18"/>
                <w:szCs w:val="18"/>
              </w:rPr>
              <w:t>dependencias</w:t>
            </w:r>
            <w:r w:rsidRPr="00C11D3F">
              <w:rPr>
                <w:rFonts w:ascii="Gotham" w:hAnsi="Gotham" w:cs="Arial"/>
                <w:spacing w:val="-2"/>
                <w:sz w:val="18"/>
                <w:szCs w:val="18"/>
              </w:rPr>
              <w:t xml:space="preserve"> </w:t>
            </w:r>
            <w:r w:rsidRPr="00C11D3F">
              <w:rPr>
                <w:rFonts w:ascii="Gotham" w:hAnsi="Gotham" w:cs="Arial"/>
                <w:sz w:val="18"/>
                <w:szCs w:val="18"/>
              </w:rPr>
              <w:t>municipales;</w:t>
            </w:r>
          </w:p>
        </w:tc>
        <w:tc>
          <w:tcPr>
            <w:tcW w:w="4678" w:type="dxa"/>
          </w:tcPr>
          <w:p w14:paraId="3A47667A" w14:textId="77777777" w:rsidR="009B5E39" w:rsidRDefault="009B5E39" w:rsidP="00190E4A">
            <w:pPr>
              <w:jc w:val="both"/>
              <w:rPr>
                <w:rFonts w:ascii="Gotham" w:hAnsi="Gotham" w:cs="Arial"/>
                <w:sz w:val="18"/>
                <w:szCs w:val="18"/>
              </w:rPr>
            </w:pPr>
          </w:p>
          <w:p w14:paraId="3A47667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4 </w:t>
            </w:r>
          </w:p>
          <w:p w14:paraId="3A47667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XVI</w:t>
            </w:r>
          </w:p>
          <w:p w14:paraId="3A47667D" w14:textId="77777777" w:rsidR="009B5E39" w:rsidRDefault="009B5E39" w:rsidP="00190E4A">
            <w:pPr>
              <w:jc w:val="both"/>
              <w:rPr>
                <w:rFonts w:ascii="Gotham" w:hAnsi="Gotham" w:cs="Arial"/>
                <w:sz w:val="18"/>
                <w:szCs w:val="18"/>
              </w:rPr>
            </w:pPr>
          </w:p>
          <w:p w14:paraId="3A47667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Establecer</w:t>
            </w:r>
            <w:r w:rsidRPr="00C11D3F">
              <w:rPr>
                <w:rFonts w:ascii="Gotham" w:hAnsi="Gotham" w:cs="Arial"/>
                <w:spacing w:val="1"/>
                <w:sz w:val="18"/>
                <w:szCs w:val="18"/>
              </w:rPr>
              <w:t xml:space="preserve"> </w:t>
            </w:r>
            <w:r w:rsidRPr="00C11D3F">
              <w:rPr>
                <w:rFonts w:ascii="Gotham" w:hAnsi="Gotham" w:cs="Arial"/>
                <w:sz w:val="18"/>
                <w:szCs w:val="18"/>
              </w:rPr>
              <w:t>las</w:t>
            </w:r>
            <w:r w:rsidRPr="00C11D3F">
              <w:rPr>
                <w:rFonts w:ascii="Gotham" w:hAnsi="Gotham" w:cs="Arial"/>
                <w:spacing w:val="1"/>
                <w:sz w:val="18"/>
                <w:szCs w:val="18"/>
              </w:rPr>
              <w:t xml:space="preserve"> </w:t>
            </w:r>
            <w:r w:rsidRPr="00C11D3F">
              <w:rPr>
                <w:rFonts w:ascii="Gotham" w:hAnsi="Gotham" w:cs="Arial"/>
                <w:sz w:val="18"/>
                <w:szCs w:val="18"/>
              </w:rPr>
              <w:t>formas</w:t>
            </w:r>
            <w:r w:rsidRPr="00C11D3F">
              <w:rPr>
                <w:rFonts w:ascii="Gotham" w:hAnsi="Gotham" w:cs="Arial"/>
                <w:spacing w:val="1"/>
                <w:sz w:val="18"/>
                <w:szCs w:val="18"/>
              </w:rPr>
              <w:t xml:space="preserve"> </w:t>
            </w:r>
            <w:r w:rsidRPr="00C11D3F">
              <w:rPr>
                <w:rFonts w:ascii="Gotham" w:hAnsi="Gotham" w:cs="Arial"/>
                <w:sz w:val="18"/>
                <w:szCs w:val="18"/>
              </w:rPr>
              <w:t>y</w:t>
            </w:r>
            <w:r w:rsidRPr="00C11D3F">
              <w:rPr>
                <w:rFonts w:ascii="Gotham" w:hAnsi="Gotham" w:cs="Arial"/>
                <w:spacing w:val="1"/>
                <w:sz w:val="18"/>
                <w:szCs w:val="18"/>
              </w:rPr>
              <w:t xml:space="preserve"> </w:t>
            </w:r>
            <w:r w:rsidRPr="00C11D3F">
              <w:rPr>
                <w:rFonts w:ascii="Gotham" w:hAnsi="Gotham" w:cs="Arial"/>
                <w:sz w:val="18"/>
                <w:szCs w:val="18"/>
              </w:rPr>
              <w:t>procedimientos</w:t>
            </w:r>
            <w:r w:rsidRPr="00C11D3F">
              <w:rPr>
                <w:rFonts w:ascii="Gotham" w:hAnsi="Gotham" w:cs="Arial"/>
                <w:spacing w:val="1"/>
                <w:sz w:val="18"/>
                <w:szCs w:val="18"/>
              </w:rPr>
              <w:t xml:space="preserve"> </w:t>
            </w:r>
            <w:r w:rsidRPr="00C11D3F">
              <w:rPr>
                <w:rFonts w:ascii="Gotham" w:hAnsi="Gotham" w:cs="Arial"/>
                <w:sz w:val="18"/>
                <w:szCs w:val="18"/>
              </w:rPr>
              <w:t>para</w:t>
            </w:r>
            <w:r w:rsidRPr="00C11D3F">
              <w:rPr>
                <w:rFonts w:ascii="Gotham" w:hAnsi="Gotham" w:cs="Arial"/>
                <w:spacing w:val="1"/>
                <w:sz w:val="18"/>
                <w:szCs w:val="18"/>
              </w:rPr>
              <w:t xml:space="preserve"> </w:t>
            </w: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reconocimiento</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las</w:t>
            </w:r>
            <w:r w:rsidRPr="00C11D3F">
              <w:rPr>
                <w:rFonts w:ascii="Gotham" w:hAnsi="Gotham" w:cs="Arial"/>
                <w:spacing w:val="1"/>
                <w:sz w:val="18"/>
                <w:szCs w:val="18"/>
              </w:rPr>
              <w:t xml:space="preserve"> </w:t>
            </w:r>
            <w:r w:rsidRPr="00C11D3F">
              <w:rPr>
                <w:rFonts w:ascii="Gotham" w:hAnsi="Gotham" w:cs="Arial"/>
                <w:sz w:val="18"/>
                <w:szCs w:val="18"/>
              </w:rPr>
              <w:t>organizaciones</w:t>
            </w:r>
            <w:r w:rsidRPr="00C11D3F">
              <w:rPr>
                <w:rFonts w:ascii="Gotham" w:hAnsi="Gotham" w:cs="Arial"/>
                <w:spacing w:val="1"/>
                <w:sz w:val="18"/>
                <w:szCs w:val="18"/>
              </w:rPr>
              <w:t xml:space="preserve"> </w:t>
            </w:r>
            <w:r w:rsidRPr="00C11D3F">
              <w:rPr>
                <w:rFonts w:ascii="Gotham" w:hAnsi="Gotham" w:cs="Arial"/>
                <w:spacing w:val="-1"/>
                <w:sz w:val="18"/>
                <w:szCs w:val="18"/>
              </w:rPr>
              <w:t>ciudadanas</w:t>
            </w:r>
            <w:r w:rsidRPr="00C11D3F">
              <w:rPr>
                <w:rFonts w:ascii="Gotham" w:hAnsi="Gotham" w:cs="Arial"/>
                <w:spacing w:val="-13"/>
                <w:sz w:val="18"/>
                <w:szCs w:val="18"/>
              </w:rPr>
              <w:t xml:space="preserve"> </w:t>
            </w:r>
            <w:r w:rsidRPr="00C11D3F">
              <w:rPr>
                <w:rFonts w:ascii="Gotham" w:hAnsi="Gotham" w:cs="Arial"/>
                <w:sz w:val="18"/>
                <w:szCs w:val="18"/>
              </w:rPr>
              <w:t>en</w:t>
            </w:r>
            <w:r w:rsidRPr="00C11D3F">
              <w:rPr>
                <w:rFonts w:ascii="Gotham" w:hAnsi="Gotham" w:cs="Arial"/>
                <w:spacing w:val="-13"/>
                <w:sz w:val="18"/>
                <w:szCs w:val="18"/>
              </w:rPr>
              <w:t xml:space="preserve"> </w:t>
            </w:r>
            <w:r w:rsidRPr="00C11D3F">
              <w:rPr>
                <w:rFonts w:ascii="Gotham" w:hAnsi="Gotham" w:cs="Arial"/>
                <w:sz w:val="18"/>
                <w:szCs w:val="18"/>
              </w:rPr>
              <w:t>general,</w:t>
            </w:r>
            <w:r w:rsidRPr="00C11D3F">
              <w:rPr>
                <w:rFonts w:ascii="Gotham" w:hAnsi="Gotham" w:cs="Arial"/>
                <w:spacing w:val="-10"/>
                <w:sz w:val="18"/>
                <w:szCs w:val="18"/>
              </w:rPr>
              <w:t xml:space="preserve"> </w:t>
            </w:r>
            <w:r w:rsidRPr="00C11D3F">
              <w:rPr>
                <w:rFonts w:ascii="Gotham" w:hAnsi="Gotham" w:cs="Arial"/>
                <w:sz w:val="18"/>
                <w:szCs w:val="18"/>
              </w:rPr>
              <w:t>promoviendo</w:t>
            </w:r>
            <w:r w:rsidRPr="00C11D3F">
              <w:rPr>
                <w:rFonts w:ascii="Gotham" w:hAnsi="Gotham" w:cs="Arial"/>
                <w:spacing w:val="-10"/>
                <w:sz w:val="18"/>
                <w:szCs w:val="18"/>
              </w:rPr>
              <w:t xml:space="preserve"> </w:t>
            </w:r>
            <w:r w:rsidRPr="00C11D3F">
              <w:rPr>
                <w:rFonts w:ascii="Gotham" w:hAnsi="Gotham" w:cs="Arial"/>
                <w:sz w:val="18"/>
                <w:szCs w:val="18"/>
              </w:rPr>
              <w:t>el</w:t>
            </w:r>
            <w:r w:rsidRPr="00C11D3F">
              <w:rPr>
                <w:rFonts w:ascii="Gotham" w:hAnsi="Gotham" w:cs="Arial"/>
                <w:spacing w:val="-12"/>
                <w:sz w:val="18"/>
                <w:szCs w:val="18"/>
              </w:rPr>
              <w:t xml:space="preserve"> </w:t>
            </w:r>
            <w:r w:rsidRPr="00C11D3F">
              <w:rPr>
                <w:rFonts w:ascii="Gotham" w:hAnsi="Gotham" w:cs="Arial"/>
                <w:sz w:val="18"/>
                <w:szCs w:val="18"/>
              </w:rPr>
              <w:t>establecimiento</w:t>
            </w:r>
            <w:r w:rsidRPr="00C11D3F">
              <w:rPr>
                <w:rFonts w:ascii="Gotham" w:hAnsi="Gotham" w:cs="Arial"/>
                <w:spacing w:val="-10"/>
                <w:sz w:val="18"/>
                <w:szCs w:val="18"/>
              </w:rPr>
              <w:t xml:space="preserve"> </w:t>
            </w:r>
            <w:r w:rsidRPr="00C11D3F">
              <w:rPr>
                <w:rFonts w:ascii="Gotham" w:hAnsi="Gotham" w:cs="Arial"/>
                <w:sz w:val="18"/>
                <w:szCs w:val="18"/>
              </w:rPr>
              <w:t>de</w:t>
            </w:r>
            <w:r w:rsidRPr="00C11D3F">
              <w:rPr>
                <w:rFonts w:ascii="Gotham" w:hAnsi="Gotham" w:cs="Arial"/>
                <w:spacing w:val="-12"/>
                <w:sz w:val="18"/>
                <w:szCs w:val="18"/>
              </w:rPr>
              <w:t xml:space="preserve"> </w:t>
            </w:r>
            <w:r w:rsidRPr="00C11D3F">
              <w:rPr>
                <w:rFonts w:ascii="Gotham" w:hAnsi="Gotham" w:cs="Arial"/>
                <w:sz w:val="18"/>
                <w:szCs w:val="18"/>
              </w:rPr>
              <w:t>las</w:t>
            </w:r>
            <w:r w:rsidRPr="00C11D3F">
              <w:rPr>
                <w:rFonts w:ascii="Gotham" w:hAnsi="Gotham" w:cs="Arial"/>
                <w:spacing w:val="-12"/>
                <w:sz w:val="18"/>
                <w:szCs w:val="18"/>
              </w:rPr>
              <w:t xml:space="preserve"> </w:t>
            </w:r>
            <w:r w:rsidRPr="00C11D3F">
              <w:rPr>
                <w:rFonts w:ascii="Gotham" w:hAnsi="Gotham" w:cs="Arial"/>
                <w:sz w:val="18"/>
                <w:szCs w:val="18"/>
              </w:rPr>
              <w:t>bases</w:t>
            </w:r>
            <w:r w:rsidRPr="00C11D3F">
              <w:rPr>
                <w:rFonts w:ascii="Gotham" w:hAnsi="Gotham" w:cs="Arial"/>
                <w:spacing w:val="-12"/>
                <w:sz w:val="18"/>
                <w:szCs w:val="18"/>
              </w:rPr>
              <w:t xml:space="preserve"> </w:t>
            </w:r>
            <w:r w:rsidRPr="00C11D3F">
              <w:rPr>
                <w:rFonts w:ascii="Gotham" w:hAnsi="Gotham" w:cs="Arial"/>
                <w:sz w:val="18"/>
                <w:szCs w:val="18"/>
              </w:rPr>
              <w:t>mínimas</w:t>
            </w:r>
            <w:r w:rsidRPr="00C11D3F">
              <w:rPr>
                <w:rFonts w:ascii="Gotham" w:hAnsi="Gotham" w:cs="Arial"/>
                <w:spacing w:val="-13"/>
                <w:sz w:val="18"/>
                <w:szCs w:val="18"/>
              </w:rPr>
              <w:t xml:space="preserve"> </w:t>
            </w:r>
            <w:r w:rsidRPr="00C11D3F">
              <w:rPr>
                <w:rFonts w:ascii="Gotham" w:hAnsi="Gotham" w:cs="Arial"/>
                <w:sz w:val="18"/>
                <w:szCs w:val="18"/>
              </w:rPr>
              <w:t>de</w:t>
            </w:r>
            <w:r w:rsidRPr="00C11D3F">
              <w:rPr>
                <w:rFonts w:ascii="Gotham" w:hAnsi="Gotham" w:cs="Arial"/>
                <w:spacing w:val="-12"/>
                <w:sz w:val="18"/>
                <w:szCs w:val="18"/>
              </w:rPr>
              <w:t xml:space="preserve"> </w:t>
            </w:r>
            <w:r w:rsidRPr="00C11D3F">
              <w:rPr>
                <w:rFonts w:ascii="Gotham" w:hAnsi="Gotham" w:cs="Arial"/>
                <w:sz w:val="18"/>
                <w:szCs w:val="18"/>
              </w:rPr>
              <w:t>sus</w:t>
            </w:r>
            <w:r w:rsidRPr="00C11D3F">
              <w:rPr>
                <w:rFonts w:ascii="Gotham" w:hAnsi="Gotham" w:cs="Arial"/>
                <w:spacing w:val="-12"/>
                <w:sz w:val="18"/>
                <w:szCs w:val="18"/>
              </w:rPr>
              <w:t xml:space="preserve"> </w:t>
            </w:r>
            <w:r w:rsidRPr="00C11D3F">
              <w:rPr>
                <w:rFonts w:ascii="Gotham" w:hAnsi="Gotham" w:cs="Arial"/>
                <w:sz w:val="18"/>
                <w:szCs w:val="18"/>
              </w:rPr>
              <w:t>estatutos</w:t>
            </w:r>
            <w:r w:rsidRPr="00C11D3F">
              <w:rPr>
                <w:rFonts w:ascii="Gotham" w:hAnsi="Gotham" w:cs="Arial"/>
                <w:spacing w:val="-9"/>
                <w:sz w:val="18"/>
                <w:szCs w:val="18"/>
              </w:rPr>
              <w:t xml:space="preserve"> </w:t>
            </w:r>
            <w:r w:rsidRPr="00C11D3F">
              <w:rPr>
                <w:rFonts w:ascii="Gotham" w:hAnsi="Gotham" w:cs="Arial"/>
                <w:sz w:val="18"/>
                <w:szCs w:val="18"/>
              </w:rPr>
              <w:t>sociales</w:t>
            </w:r>
            <w:r w:rsidRPr="00C11D3F">
              <w:rPr>
                <w:rFonts w:ascii="Gotham" w:hAnsi="Gotham" w:cs="Arial"/>
                <w:spacing w:val="-52"/>
                <w:sz w:val="18"/>
                <w:szCs w:val="18"/>
              </w:rPr>
              <w:t xml:space="preserve"> </w:t>
            </w:r>
            <w:r w:rsidRPr="00C11D3F">
              <w:rPr>
                <w:rFonts w:ascii="Gotham" w:hAnsi="Gotham" w:cs="Arial"/>
                <w:sz w:val="18"/>
                <w:szCs w:val="18"/>
              </w:rPr>
              <w:t>y funcionamiento, facilitando a las agrupaciones de ciudadanos y demás personas jurídicas con</w:t>
            </w:r>
            <w:r w:rsidRPr="00C11D3F">
              <w:rPr>
                <w:rFonts w:ascii="Gotham" w:hAnsi="Gotham" w:cs="Arial"/>
                <w:spacing w:val="1"/>
                <w:sz w:val="18"/>
                <w:szCs w:val="18"/>
              </w:rPr>
              <w:t xml:space="preserve"> </w:t>
            </w:r>
            <w:r w:rsidRPr="00C11D3F">
              <w:rPr>
                <w:rFonts w:ascii="Gotham" w:hAnsi="Gotham" w:cs="Arial"/>
                <w:sz w:val="18"/>
                <w:szCs w:val="18"/>
              </w:rPr>
              <w:t xml:space="preserve">funciones de representación </w:t>
            </w:r>
            <w:r w:rsidRPr="00C11D3F">
              <w:rPr>
                <w:rFonts w:ascii="Gotham" w:hAnsi="Gotham" w:cs="Arial"/>
                <w:b/>
                <w:bCs/>
                <w:sz w:val="18"/>
                <w:szCs w:val="18"/>
              </w:rPr>
              <w:t>ciudadana,</w:t>
            </w:r>
            <w:r w:rsidRPr="00C11D3F">
              <w:rPr>
                <w:rFonts w:ascii="Gotham" w:hAnsi="Gotham" w:cs="Arial"/>
                <w:color w:val="FF0000"/>
                <w:sz w:val="18"/>
                <w:szCs w:val="18"/>
              </w:rPr>
              <w:t xml:space="preserve"> </w:t>
            </w:r>
            <w:r w:rsidRPr="00C11D3F">
              <w:rPr>
                <w:rFonts w:ascii="Gotham" w:hAnsi="Gotham" w:cs="Arial"/>
                <w:sz w:val="18"/>
                <w:szCs w:val="18"/>
              </w:rPr>
              <w:t>la información acerca de las actividades, obras,</w:t>
            </w:r>
            <w:r w:rsidRPr="00C11D3F">
              <w:rPr>
                <w:rFonts w:ascii="Gotham" w:hAnsi="Gotham" w:cs="Arial"/>
                <w:spacing w:val="1"/>
                <w:sz w:val="18"/>
                <w:szCs w:val="18"/>
              </w:rPr>
              <w:t xml:space="preserve"> </w:t>
            </w:r>
            <w:r w:rsidRPr="00C11D3F">
              <w:rPr>
                <w:rFonts w:ascii="Gotham" w:hAnsi="Gotham" w:cs="Arial"/>
                <w:sz w:val="18"/>
                <w:szCs w:val="18"/>
              </w:rPr>
              <w:t>servicios, proyectos</w:t>
            </w:r>
            <w:r w:rsidRPr="00C11D3F">
              <w:rPr>
                <w:rFonts w:ascii="Gotham" w:hAnsi="Gotham" w:cs="Arial"/>
                <w:spacing w:val="-2"/>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programas</w:t>
            </w:r>
            <w:r w:rsidRPr="00C11D3F">
              <w:rPr>
                <w:rFonts w:ascii="Gotham" w:hAnsi="Gotham" w:cs="Arial"/>
                <w:spacing w:val="-2"/>
                <w:sz w:val="18"/>
                <w:szCs w:val="18"/>
              </w:rPr>
              <w:t xml:space="preserve"> </w:t>
            </w:r>
            <w:r w:rsidRPr="00C11D3F">
              <w:rPr>
                <w:rFonts w:ascii="Gotham" w:hAnsi="Gotham" w:cs="Arial"/>
                <w:sz w:val="18"/>
                <w:szCs w:val="18"/>
              </w:rPr>
              <w:t>emprendidos</w:t>
            </w:r>
            <w:r w:rsidRPr="00C11D3F">
              <w:rPr>
                <w:rFonts w:ascii="Gotham" w:hAnsi="Gotham" w:cs="Arial"/>
                <w:spacing w:val="-2"/>
                <w:sz w:val="18"/>
                <w:szCs w:val="18"/>
              </w:rPr>
              <w:t xml:space="preserve"> </w:t>
            </w:r>
            <w:r w:rsidRPr="00C11D3F">
              <w:rPr>
                <w:rFonts w:ascii="Gotham" w:hAnsi="Gotham" w:cs="Arial"/>
                <w:sz w:val="18"/>
                <w:szCs w:val="18"/>
              </w:rPr>
              <w:t>por</w:t>
            </w:r>
            <w:r w:rsidRPr="00C11D3F">
              <w:rPr>
                <w:rFonts w:ascii="Gotham" w:hAnsi="Gotham" w:cs="Arial"/>
                <w:spacing w:val="-2"/>
                <w:sz w:val="18"/>
                <w:szCs w:val="18"/>
              </w:rPr>
              <w:t xml:space="preserve"> </w:t>
            </w:r>
            <w:r w:rsidRPr="00C11D3F">
              <w:rPr>
                <w:rFonts w:ascii="Gotham" w:hAnsi="Gotham" w:cs="Arial"/>
                <w:sz w:val="18"/>
                <w:szCs w:val="18"/>
              </w:rPr>
              <w:t>las</w:t>
            </w:r>
            <w:r w:rsidRPr="00C11D3F">
              <w:rPr>
                <w:rFonts w:ascii="Gotham" w:hAnsi="Gotham" w:cs="Arial"/>
                <w:spacing w:val="-2"/>
                <w:sz w:val="18"/>
                <w:szCs w:val="18"/>
              </w:rPr>
              <w:t xml:space="preserve"> </w:t>
            </w:r>
            <w:r w:rsidRPr="00C11D3F">
              <w:rPr>
                <w:rFonts w:ascii="Gotham" w:hAnsi="Gotham" w:cs="Arial"/>
                <w:sz w:val="18"/>
                <w:szCs w:val="18"/>
              </w:rPr>
              <w:t>dependencias</w:t>
            </w:r>
            <w:r w:rsidRPr="00C11D3F">
              <w:rPr>
                <w:rFonts w:ascii="Gotham" w:hAnsi="Gotham" w:cs="Arial"/>
                <w:spacing w:val="-2"/>
                <w:sz w:val="18"/>
                <w:szCs w:val="18"/>
              </w:rPr>
              <w:t xml:space="preserve"> </w:t>
            </w:r>
            <w:r w:rsidRPr="00C11D3F">
              <w:rPr>
                <w:rFonts w:ascii="Gotham" w:hAnsi="Gotham" w:cs="Arial"/>
                <w:sz w:val="18"/>
                <w:szCs w:val="18"/>
              </w:rPr>
              <w:t>municipales;</w:t>
            </w:r>
          </w:p>
        </w:tc>
      </w:tr>
      <w:tr w:rsidR="009B5E39" w:rsidRPr="00C11D3F" w14:paraId="3A476689" w14:textId="77777777" w:rsidTr="00190E4A">
        <w:trPr>
          <w:jc w:val="center"/>
        </w:trPr>
        <w:tc>
          <w:tcPr>
            <w:tcW w:w="4673" w:type="dxa"/>
          </w:tcPr>
          <w:p w14:paraId="3A476680" w14:textId="77777777" w:rsidR="009B5E39" w:rsidRDefault="009B5E39" w:rsidP="00190E4A">
            <w:pPr>
              <w:jc w:val="both"/>
              <w:rPr>
                <w:rFonts w:ascii="Gotham" w:hAnsi="Gotham" w:cs="Arial"/>
                <w:sz w:val="18"/>
                <w:szCs w:val="18"/>
              </w:rPr>
            </w:pPr>
          </w:p>
          <w:p w14:paraId="3A47668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5</w:t>
            </w:r>
          </w:p>
          <w:p w14:paraId="3A47668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683" w14:textId="77777777" w:rsidR="009B5E39" w:rsidRDefault="009B5E39" w:rsidP="00190E4A">
            <w:pPr>
              <w:jc w:val="both"/>
              <w:rPr>
                <w:rFonts w:ascii="Gotham" w:hAnsi="Gotham" w:cs="Arial"/>
                <w:sz w:val="18"/>
                <w:szCs w:val="18"/>
              </w:rPr>
            </w:pPr>
          </w:p>
          <w:p w14:paraId="3A47668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w:t>
            </w:r>
            <w:r w:rsidRPr="00C11D3F">
              <w:rPr>
                <w:rFonts w:ascii="Gotham" w:hAnsi="Gotham" w:cs="Arial"/>
                <w:color w:val="FF0000"/>
                <w:spacing w:val="11"/>
                <w:sz w:val="18"/>
                <w:szCs w:val="18"/>
              </w:rPr>
              <w:t xml:space="preserve"> </w:t>
            </w:r>
            <w:r w:rsidRPr="00C11D3F">
              <w:rPr>
                <w:rFonts w:ascii="Gotham" w:hAnsi="Gotham" w:cs="Arial"/>
                <w:color w:val="E40000"/>
                <w:sz w:val="18"/>
                <w:szCs w:val="18"/>
              </w:rPr>
              <w:t>S</w:t>
            </w:r>
            <w:r w:rsidRPr="00C11D3F">
              <w:rPr>
                <w:rFonts w:ascii="Gotham" w:hAnsi="Gotham" w:cs="Arial"/>
                <w:sz w:val="18"/>
                <w:szCs w:val="18"/>
              </w:rPr>
              <w:t>er</w:t>
            </w:r>
            <w:r w:rsidRPr="00C11D3F">
              <w:rPr>
                <w:rFonts w:ascii="Gotham" w:hAnsi="Gotham" w:cs="Arial"/>
                <w:color w:val="FF0000"/>
                <w:spacing w:val="13"/>
                <w:sz w:val="18"/>
                <w:szCs w:val="18"/>
              </w:rPr>
              <w:t xml:space="preserve"> </w:t>
            </w:r>
            <w:r w:rsidRPr="00C11D3F">
              <w:rPr>
                <w:rFonts w:ascii="Gotham" w:hAnsi="Gotham" w:cs="Arial"/>
                <w:sz w:val="18"/>
                <w:szCs w:val="18"/>
              </w:rPr>
              <w:t>tratado</w:t>
            </w:r>
            <w:r w:rsidRPr="00C11D3F">
              <w:rPr>
                <w:rFonts w:ascii="Gotham" w:hAnsi="Gotham" w:cs="Arial"/>
                <w:spacing w:val="12"/>
                <w:sz w:val="18"/>
                <w:szCs w:val="18"/>
              </w:rPr>
              <w:t xml:space="preserve"> </w:t>
            </w:r>
            <w:r w:rsidRPr="00C11D3F">
              <w:rPr>
                <w:rFonts w:ascii="Gotham" w:hAnsi="Gotham" w:cs="Arial"/>
                <w:sz w:val="18"/>
                <w:szCs w:val="18"/>
              </w:rPr>
              <w:t>con</w:t>
            </w:r>
            <w:r w:rsidRPr="00C11D3F">
              <w:rPr>
                <w:rFonts w:ascii="Gotham" w:hAnsi="Gotham" w:cs="Arial"/>
                <w:spacing w:val="9"/>
                <w:sz w:val="18"/>
                <w:szCs w:val="18"/>
              </w:rPr>
              <w:t xml:space="preserve"> </w:t>
            </w:r>
            <w:r w:rsidRPr="00C11D3F">
              <w:rPr>
                <w:rFonts w:ascii="Gotham" w:hAnsi="Gotham" w:cs="Arial"/>
                <w:sz w:val="18"/>
                <w:szCs w:val="18"/>
              </w:rPr>
              <w:t>respeto</w:t>
            </w:r>
            <w:r w:rsidRPr="00C11D3F">
              <w:rPr>
                <w:rFonts w:ascii="Gotham" w:hAnsi="Gotham" w:cs="Arial"/>
                <w:spacing w:val="12"/>
                <w:sz w:val="18"/>
                <w:szCs w:val="18"/>
              </w:rPr>
              <w:t xml:space="preserve"> </w:t>
            </w:r>
            <w:r w:rsidRPr="00C11D3F">
              <w:rPr>
                <w:rFonts w:ascii="Gotham" w:hAnsi="Gotham" w:cs="Arial"/>
                <w:sz w:val="18"/>
                <w:szCs w:val="18"/>
              </w:rPr>
              <w:t>y</w:t>
            </w:r>
            <w:r w:rsidRPr="00C11D3F">
              <w:rPr>
                <w:rFonts w:ascii="Gotham" w:hAnsi="Gotham" w:cs="Arial"/>
                <w:spacing w:val="8"/>
                <w:sz w:val="18"/>
                <w:szCs w:val="18"/>
              </w:rPr>
              <w:t xml:space="preserve"> </w:t>
            </w:r>
            <w:r w:rsidRPr="00C11D3F">
              <w:rPr>
                <w:rFonts w:ascii="Gotham" w:hAnsi="Gotham" w:cs="Arial"/>
                <w:sz w:val="18"/>
                <w:szCs w:val="18"/>
              </w:rPr>
              <w:t>dignidad</w:t>
            </w:r>
            <w:r w:rsidRPr="00C11D3F">
              <w:rPr>
                <w:rFonts w:ascii="Gotham" w:hAnsi="Gotham" w:cs="Arial"/>
                <w:spacing w:val="12"/>
                <w:sz w:val="18"/>
                <w:szCs w:val="18"/>
              </w:rPr>
              <w:t xml:space="preserve"> </w:t>
            </w:r>
            <w:r w:rsidRPr="00C11D3F">
              <w:rPr>
                <w:rFonts w:ascii="Gotham" w:hAnsi="Gotham" w:cs="Arial"/>
                <w:sz w:val="18"/>
                <w:szCs w:val="18"/>
              </w:rPr>
              <w:t>por</w:t>
            </w:r>
            <w:r w:rsidRPr="00C11D3F">
              <w:rPr>
                <w:rFonts w:ascii="Gotham" w:hAnsi="Gotham" w:cs="Arial"/>
                <w:spacing w:val="10"/>
                <w:sz w:val="18"/>
                <w:szCs w:val="18"/>
              </w:rPr>
              <w:t xml:space="preserve"> </w:t>
            </w:r>
            <w:r w:rsidRPr="00C11D3F">
              <w:rPr>
                <w:rFonts w:ascii="Gotham" w:hAnsi="Gotham" w:cs="Arial"/>
                <w:sz w:val="18"/>
                <w:szCs w:val="18"/>
              </w:rPr>
              <w:t>parte</w:t>
            </w:r>
            <w:r w:rsidRPr="00C11D3F">
              <w:rPr>
                <w:rFonts w:ascii="Gotham" w:hAnsi="Gotham" w:cs="Arial"/>
                <w:spacing w:val="9"/>
                <w:sz w:val="18"/>
                <w:szCs w:val="18"/>
              </w:rPr>
              <w:t xml:space="preserve"> </w:t>
            </w:r>
            <w:r w:rsidRPr="00C11D3F">
              <w:rPr>
                <w:rFonts w:ascii="Gotham" w:hAnsi="Gotham" w:cs="Arial"/>
                <w:sz w:val="18"/>
                <w:szCs w:val="18"/>
              </w:rPr>
              <w:t>de</w:t>
            </w:r>
            <w:r w:rsidRPr="00C11D3F">
              <w:rPr>
                <w:rFonts w:ascii="Gotham" w:hAnsi="Gotham" w:cs="Arial"/>
                <w:spacing w:val="12"/>
                <w:sz w:val="18"/>
                <w:szCs w:val="18"/>
              </w:rPr>
              <w:t xml:space="preserve"> </w:t>
            </w:r>
            <w:r w:rsidRPr="00C11D3F">
              <w:rPr>
                <w:rFonts w:ascii="Gotham" w:hAnsi="Gotham" w:cs="Arial"/>
                <w:sz w:val="18"/>
                <w:szCs w:val="18"/>
              </w:rPr>
              <w:t>los</w:t>
            </w:r>
            <w:r w:rsidRPr="00C11D3F">
              <w:rPr>
                <w:rFonts w:ascii="Gotham" w:hAnsi="Gotham" w:cs="Arial"/>
                <w:spacing w:val="9"/>
                <w:sz w:val="18"/>
                <w:szCs w:val="18"/>
              </w:rPr>
              <w:t xml:space="preserve"> </w:t>
            </w:r>
            <w:r w:rsidRPr="00C11D3F">
              <w:rPr>
                <w:rFonts w:ascii="Gotham" w:hAnsi="Gotham" w:cs="Arial"/>
                <w:sz w:val="18"/>
                <w:szCs w:val="18"/>
              </w:rPr>
              <w:t>funcionarios</w:t>
            </w:r>
            <w:r w:rsidRPr="00C11D3F">
              <w:rPr>
                <w:rFonts w:ascii="Gotham" w:hAnsi="Gotham" w:cs="Arial"/>
                <w:spacing w:val="10"/>
                <w:sz w:val="18"/>
                <w:szCs w:val="18"/>
              </w:rPr>
              <w:t xml:space="preserve"> </w:t>
            </w:r>
            <w:r w:rsidRPr="00C11D3F">
              <w:rPr>
                <w:rFonts w:ascii="Gotham" w:hAnsi="Gotham" w:cs="Arial"/>
                <w:sz w:val="18"/>
                <w:szCs w:val="18"/>
              </w:rPr>
              <w:t>y</w:t>
            </w:r>
            <w:r w:rsidRPr="00C11D3F">
              <w:rPr>
                <w:rFonts w:ascii="Gotham" w:hAnsi="Gotham" w:cs="Arial"/>
                <w:spacing w:val="12"/>
                <w:sz w:val="18"/>
                <w:szCs w:val="18"/>
              </w:rPr>
              <w:t xml:space="preserve"> </w:t>
            </w:r>
            <w:r w:rsidRPr="00C11D3F">
              <w:rPr>
                <w:rFonts w:ascii="Gotham" w:hAnsi="Gotham" w:cs="Arial"/>
                <w:sz w:val="18"/>
                <w:szCs w:val="18"/>
              </w:rPr>
              <w:t>servidores</w:t>
            </w:r>
            <w:r w:rsidRPr="00C11D3F">
              <w:rPr>
                <w:rFonts w:ascii="Gotham" w:hAnsi="Gotham" w:cs="Arial"/>
                <w:spacing w:val="9"/>
                <w:sz w:val="18"/>
                <w:szCs w:val="18"/>
              </w:rPr>
              <w:t xml:space="preserve"> </w:t>
            </w:r>
            <w:r w:rsidRPr="00C11D3F">
              <w:rPr>
                <w:rFonts w:ascii="Gotham" w:hAnsi="Gotham" w:cs="Arial"/>
                <w:sz w:val="18"/>
                <w:szCs w:val="18"/>
              </w:rPr>
              <w:t>públicos,</w:t>
            </w:r>
            <w:r w:rsidRPr="00C11D3F">
              <w:rPr>
                <w:rFonts w:ascii="Gotham" w:hAnsi="Gotham" w:cs="Arial"/>
                <w:spacing w:val="11"/>
                <w:sz w:val="18"/>
                <w:szCs w:val="18"/>
              </w:rPr>
              <w:t xml:space="preserve"> </w:t>
            </w:r>
            <w:r w:rsidRPr="00C11D3F">
              <w:rPr>
                <w:rFonts w:ascii="Gotham" w:hAnsi="Gotham" w:cs="Arial"/>
                <w:sz w:val="18"/>
                <w:szCs w:val="18"/>
              </w:rPr>
              <w:t>y</w:t>
            </w:r>
            <w:r w:rsidRPr="00C11D3F">
              <w:rPr>
                <w:rFonts w:ascii="Gotham" w:hAnsi="Gotham" w:cs="Arial"/>
                <w:spacing w:val="8"/>
                <w:sz w:val="18"/>
                <w:szCs w:val="18"/>
              </w:rPr>
              <w:t xml:space="preserve"> </w:t>
            </w:r>
            <w:r w:rsidRPr="00C11D3F">
              <w:rPr>
                <w:rFonts w:ascii="Gotham" w:hAnsi="Gotham" w:cs="Arial"/>
                <w:sz w:val="18"/>
                <w:szCs w:val="18"/>
              </w:rPr>
              <w:t>en</w:t>
            </w:r>
            <w:r w:rsidRPr="00C11D3F">
              <w:rPr>
                <w:rFonts w:ascii="Gotham" w:hAnsi="Gotham" w:cs="Arial"/>
                <w:spacing w:val="-52"/>
                <w:sz w:val="18"/>
                <w:szCs w:val="18"/>
              </w:rPr>
              <w:t xml:space="preserve"> </w:t>
            </w:r>
            <w:r w:rsidRPr="00C11D3F">
              <w:rPr>
                <w:rFonts w:ascii="Gotham" w:hAnsi="Gotham" w:cs="Arial"/>
                <w:sz w:val="18"/>
                <w:szCs w:val="18"/>
              </w:rPr>
              <w:t>caso</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4"/>
                <w:sz w:val="18"/>
                <w:szCs w:val="18"/>
              </w:rPr>
              <w:t xml:space="preserve"> </w:t>
            </w:r>
            <w:r w:rsidRPr="00C11D3F">
              <w:rPr>
                <w:rFonts w:ascii="Gotham" w:hAnsi="Gotham" w:cs="Arial"/>
                <w:sz w:val="18"/>
                <w:szCs w:val="18"/>
              </w:rPr>
              <w:t>pertenecer</w:t>
            </w:r>
            <w:r w:rsidRPr="00C11D3F">
              <w:rPr>
                <w:rFonts w:ascii="Gotham" w:hAnsi="Gotham" w:cs="Arial"/>
                <w:spacing w:val="-3"/>
                <w:sz w:val="18"/>
                <w:szCs w:val="18"/>
              </w:rPr>
              <w:t xml:space="preserve"> </w:t>
            </w:r>
            <w:r w:rsidRPr="00C11D3F">
              <w:rPr>
                <w:rFonts w:ascii="Gotham" w:hAnsi="Gotham" w:cs="Arial"/>
                <w:sz w:val="18"/>
                <w:szCs w:val="18"/>
              </w:rPr>
              <w:t>a un</w:t>
            </w:r>
            <w:r w:rsidRPr="00C11D3F">
              <w:rPr>
                <w:rFonts w:ascii="Gotham" w:hAnsi="Gotham" w:cs="Arial"/>
                <w:spacing w:val="-5"/>
                <w:sz w:val="18"/>
                <w:szCs w:val="18"/>
              </w:rPr>
              <w:t xml:space="preserve"> </w:t>
            </w:r>
            <w:r w:rsidRPr="00C11D3F">
              <w:rPr>
                <w:rFonts w:ascii="Gotham" w:hAnsi="Gotham" w:cs="Arial"/>
                <w:sz w:val="18"/>
                <w:szCs w:val="18"/>
              </w:rPr>
              <w:t>grupo</w:t>
            </w:r>
            <w:r w:rsidRPr="00C11D3F">
              <w:rPr>
                <w:rFonts w:ascii="Gotham" w:hAnsi="Gotham" w:cs="Arial"/>
                <w:spacing w:val="-1"/>
                <w:sz w:val="18"/>
                <w:szCs w:val="18"/>
              </w:rPr>
              <w:t xml:space="preserve"> </w:t>
            </w:r>
            <w:r w:rsidRPr="00C11D3F">
              <w:rPr>
                <w:rFonts w:ascii="Gotham" w:hAnsi="Gotham" w:cs="Arial"/>
                <w:sz w:val="18"/>
                <w:szCs w:val="18"/>
              </w:rPr>
              <w:t>en</w:t>
            </w:r>
            <w:r w:rsidRPr="00C11D3F">
              <w:rPr>
                <w:rFonts w:ascii="Gotham" w:hAnsi="Gotham" w:cs="Arial"/>
                <w:spacing w:val="-4"/>
                <w:sz w:val="18"/>
                <w:szCs w:val="18"/>
              </w:rPr>
              <w:t xml:space="preserve"> </w:t>
            </w:r>
            <w:r w:rsidRPr="00C11D3F">
              <w:rPr>
                <w:rFonts w:ascii="Gotham" w:hAnsi="Gotham" w:cs="Arial"/>
                <w:sz w:val="18"/>
                <w:szCs w:val="18"/>
              </w:rPr>
              <w:t>situación</w:t>
            </w:r>
            <w:r w:rsidRPr="00C11D3F">
              <w:rPr>
                <w:rFonts w:ascii="Gotham" w:hAnsi="Gotham" w:cs="Arial"/>
                <w:spacing w:val="-5"/>
                <w:sz w:val="18"/>
                <w:szCs w:val="18"/>
              </w:rPr>
              <w:t xml:space="preserve"> </w:t>
            </w:r>
            <w:r w:rsidRPr="00C11D3F">
              <w:rPr>
                <w:rFonts w:ascii="Gotham" w:hAnsi="Gotham" w:cs="Arial"/>
                <w:sz w:val="18"/>
                <w:szCs w:val="18"/>
              </w:rPr>
              <w:t>de</w:t>
            </w:r>
            <w:r w:rsidRPr="00C11D3F">
              <w:rPr>
                <w:rFonts w:ascii="Gotham" w:hAnsi="Gotham" w:cs="Arial"/>
                <w:spacing w:val="-3"/>
                <w:sz w:val="18"/>
                <w:szCs w:val="18"/>
              </w:rPr>
              <w:t xml:space="preserve"> </w:t>
            </w:r>
            <w:r w:rsidRPr="00C11D3F">
              <w:rPr>
                <w:rFonts w:ascii="Gotham" w:hAnsi="Gotham" w:cs="Arial"/>
                <w:sz w:val="18"/>
                <w:szCs w:val="18"/>
              </w:rPr>
              <w:t>vulnerabilidad,</w:t>
            </w:r>
            <w:r w:rsidRPr="00C11D3F">
              <w:rPr>
                <w:rFonts w:ascii="Gotham" w:hAnsi="Gotham" w:cs="Arial"/>
                <w:spacing w:val="-2"/>
                <w:sz w:val="18"/>
                <w:szCs w:val="18"/>
              </w:rPr>
              <w:t xml:space="preserve"> </w:t>
            </w:r>
            <w:r w:rsidRPr="00C11D3F">
              <w:rPr>
                <w:rFonts w:ascii="Gotham" w:hAnsi="Gotham" w:cs="Arial"/>
                <w:sz w:val="18"/>
                <w:szCs w:val="18"/>
              </w:rPr>
              <w:t>recibir</w:t>
            </w:r>
            <w:r w:rsidRPr="00C11D3F">
              <w:rPr>
                <w:rFonts w:ascii="Gotham" w:hAnsi="Gotham" w:cs="Arial"/>
                <w:spacing w:val="-4"/>
                <w:sz w:val="18"/>
                <w:szCs w:val="18"/>
              </w:rPr>
              <w:t xml:space="preserve"> </w:t>
            </w:r>
            <w:r w:rsidRPr="00C11D3F">
              <w:rPr>
                <w:rFonts w:ascii="Gotham" w:hAnsi="Gotham" w:cs="Arial"/>
                <w:sz w:val="18"/>
                <w:szCs w:val="18"/>
              </w:rPr>
              <w:t>las</w:t>
            </w:r>
            <w:r w:rsidRPr="00C11D3F">
              <w:rPr>
                <w:rFonts w:ascii="Gotham" w:hAnsi="Gotham" w:cs="Arial"/>
                <w:spacing w:val="-3"/>
                <w:sz w:val="18"/>
                <w:szCs w:val="18"/>
              </w:rPr>
              <w:t xml:space="preserve"> </w:t>
            </w:r>
            <w:r w:rsidRPr="00C11D3F">
              <w:rPr>
                <w:rFonts w:ascii="Gotham" w:hAnsi="Gotham" w:cs="Arial"/>
                <w:sz w:val="18"/>
                <w:szCs w:val="18"/>
              </w:rPr>
              <w:t>consideraciones</w:t>
            </w:r>
            <w:r w:rsidRPr="00C11D3F">
              <w:rPr>
                <w:rFonts w:ascii="Gotham" w:hAnsi="Gotham" w:cs="Arial"/>
                <w:spacing w:val="-4"/>
                <w:sz w:val="18"/>
                <w:szCs w:val="18"/>
              </w:rPr>
              <w:t xml:space="preserve"> </w:t>
            </w:r>
            <w:r w:rsidRPr="00C11D3F">
              <w:rPr>
                <w:rFonts w:ascii="Gotham" w:hAnsi="Gotham" w:cs="Arial"/>
                <w:sz w:val="18"/>
                <w:szCs w:val="18"/>
              </w:rPr>
              <w:t>del</w:t>
            </w:r>
            <w:r w:rsidRPr="00C11D3F">
              <w:rPr>
                <w:rFonts w:ascii="Gotham" w:hAnsi="Gotham" w:cs="Arial"/>
                <w:spacing w:val="-3"/>
                <w:sz w:val="18"/>
                <w:szCs w:val="18"/>
              </w:rPr>
              <w:t xml:space="preserve"> </w:t>
            </w:r>
            <w:r w:rsidRPr="00C11D3F">
              <w:rPr>
                <w:rFonts w:ascii="Gotham" w:hAnsi="Gotham" w:cs="Arial"/>
                <w:sz w:val="18"/>
                <w:szCs w:val="18"/>
              </w:rPr>
              <w:t>caso;</w:t>
            </w:r>
          </w:p>
        </w:tc>
        <w:tc>
          <w:tcPr>
            <w:tcW w:w="4678" w:type="dxa"/>
          </w:tcPr>
          <w:p w14:paraId="3A47668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5</w:t>
            </w:r>
          </w:p>
          <w:p w14:paraId="3A47668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687" w14:textId="77777777" w:rsidR="009B5E39" w:rsidRDefault="009B5E39" w:rsidP="00190E4A">
            <w:pPr>
              <w:jc w:val="both"/>
              <w:rPr>
                <w:rFonts w:ascii="Gotham" w:hAnsi="Gotham" w:cs="Arial"/>
                <w:sz w:val="18"/>
                <w:szCs w:val="18"/>
              </w:rPr>
            </w:pPr>
          </w:p>
          <w:p w14:paraId="3A47668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w:t>
            </w:r>
            <w:r w:rsidRPr="00C11D3F">
              <w:rPr>
                <w:rFonts w:ascii="Gotham" w:hAnsi="Gotham" w:cs="Arial"/>
                <w:color w:val="FF0000"/>
                <w:spacing w:val="11"/>
                <w:sz w:val="18"/>
                <w:szCs w:val="18"/>
              </w:rPr>
              <w:t xml:space="preserve"> </w:t>
            </w:r>
            <w:r w:rsidRPr="00C11D3F">
              <w:rPr>
                <w:rFonts w:ascii="Gotham" w:hAnsi="Gotham" w:cs="Arial"/>
                <w:b/>
                <w:bCs/>
                <w:sz w:val="18"/>
                <w:szCs w:val="18"/>
              </w:rPr>
              <w:t>s</w:t>
            </w:r>
            <w:r w:rsidRPr="00C11D3F">
              <w:rPr>
                <w:rFonts w:ascii="Gotham" w:hAnsi="Gotham" w:cs="Arial"/>
                <w:sz w:val="18"/>
                <w:szCs w:val="18"/>
              </w:rPr>
              <w:t>er</w:t>
            </w:r>
            <w:r w:rsidRPr="00C11D3F">
              <w:rPr>
                <w:rFonts w:ascii="Gotham" w:hAnsi="Gotham" w:cs="Arial"/>
                <w:color w:val="FF0000"/>
                <w:spacing w:val="13"/>
                <w:sz w:val="18"/>
                <w:szCs w:val="18"/>
              </w:rPr>
              <w:t xml:space="preserve"> </w:t>
            </w:r>
            <w:r w:rsidRPr="00C11D3F">
              <w:rPr>
                <w:rFonts w:ascii="Gotham" w:hAnsi="Gotham" w:cs="Arial"/>
                <w:sz w:val="18"/>
                <w:szCs w:val="18"/>
              </w:rPr>
              <w:t>tratado</w:t>
            </w:r>
            <w:r w:rsidRPr="00C11D3F">
              <w:rPr>
                <w:rFonts w:ascii="Gotham" w:hAnsi="Gotham" w:cs="Arial"/>
                <w:spacing w:val="12"/>
                <w:sz w:val="18"/>
                <w:szCs w:val="18"/>
              </w:rPr>
              <w:t xml:space="preserve"> </w:t>
            </w:r>
            <w:r w:rsidRPr="00C11D3F">
              <w:rPr>
                <w:rFonts w:ascii="Gotham" w:hAnsi="Gotham" w:cs="Arial"/>
                <w:sz w:val="18"/>
                <w:szCs w:val="18"/>
              </w:rPr>
              <w:t>con</w:t>
            </w:r>
            <w:r w:rsidRPr="00C11D3F">
              <w:rPr>
                <w:rFonts w:ascii="Gotham" w:hAnsi="Gotham" w:cs="Arial"/>
                <w:spacing w:val="9"/>
                <w:sz w:val="18"/>
                <w:szCs w:val="18"/>
              </w:rPr>
              <w:t xml:space="preserve"> </w:t>
            </w:r>
            <w:r w:rsidRPr="00C11D3F">
              <w:rPr>
                <w:rFonts w:ascii="Gotham" w:hAnsi="Gotham" w:cs="Arial"/>
                <w:sz w:val="18"/>
                <w:szCs w:val="18"/>
              </w:rPr>
              <w:t>respeto</w:t>
            </w:r>
            <w:r w:rsidRPr="00C11D3F">
              <w:rPr>
                <w:rFonts w:ascii="Gotham" w:hAnsi="Gotham" w:cs="Arial"/>
                <w:spacing w:val="12"/>
                <w:sz w:val="18"/>
                <w:szCs w:val="18"/>
              </w:rPr>
              <w:t xml:space="preserve"> </w:t>
            </w:r>
            <w:r w:rsidRPr="00C11D3F">
              <w:rPr>
                <w:rFonts w:ascii="Gotham" w:hAnsi="Gotham" w:cs="Arial"/>
                <w:sz w:val="18"/>
                <w:szCs w:val="18"/>
              </w:rPr>
              <w:t>y</w:t>
            </w:r>
            <w:r w:rsidRPr="00C11D3F">
              <w:rPr>
                <w:rFonts w:ascii="Gotham" w:hAnsi="Gotham" w:cs="Arial"/>
                <w:spacing w:val="8"/>
                <w:sz w:val="18"/>
                <w:szCs w:val="18"/>
              </w:rPr>
              <w:t xml:space="preserve"> </w:t>
            </w:r>
            <w:r w:rsidRPr="00C11D3F">
              <w:rPr>
                <w:rFonts w:ascii="Gotham" w:hAnsi="Gotham" w:cs="Arial"/>
                <w:sz w:val="18"/>
                <w:szCs w:val="18"/>
              </w:rPr>
              <w:t>dignidad</w:t>
            </w:r>
            <w:r w:rsidRPr="00C11D3F">
              <w:rPr>
                <w:rFonts w:ascii="Gotham" w:hAnsi="Gotham" w:cs="Arial"/>
                <w:spacing w:val="12"/>
                <w:sz w:val="18"/>
                <w:szCs w:val="18"/>
              </w:rPr>
              <w:t xml:space="preserve"> </w:t>
            </w:r>
            <w:r w:rsidRPr="00C11D3F">
              <w:rPr>
                <w:rFonts w:ascii="Gotham" w:hAnsi="Gotham" w:cs="Arial"/>
                <w:sz w:val="18"/>
                <w:szCs w:val="18"/>
              </w:rPr>
              <w:t>por</w:t>
            </w:r>
            <w:r w:rsidRPr="00C11D3F">
              <w:rPr>
                <w:rFonts w:ascii="Gotham" w:hAnsi="Gotham" w:cs="Arial"/>
                <w:spacing w:val="10"/>
                <w:sz w:val="18"/>
                <w:szCs w:val="18"/>
              </w:rPr>
              <w:t xml:space="preserve"> </w:t>
            </w:r>
            <w:r w:rsidRPr="00C11D3F">
              <w:rPr>
                <w:rFonts w:ascii="Gotham" w:hAnsi="Gotham" w:cs="Arial"/>
                <w:sz w:val="18"/>
                <w:szCs w:val="18"/>
              </w:rPr>
              <w:t>parte</w:t>
            </w:r>
            <w:r w:rsidRPr="00C11D3F">
              <w:rPr>
                <w:rFonts w:ascii="Gotham" w:hAnsi="Gotham" w:cs="Arial"/>
                <w:spacing w:val="9"/>
                <w:sz w:val="18"/>
                <w:szCs w:val="18"/>
              </w:rPr>
              <w:t xml:space="preserve"> </w:t>
            </w:r>
            <w:r w:rsidRPr="00C11D3F">
              <w:rPr>
                <w:rFonts w:ascii="Gotham" w:hAnsi="Gotham" w:cs="Arial"/>
                <w:sz w:val="18"/>
                <w:szCs w:val="18"/>
              </w:rPr>
              <w:t>de</w:t>
            </w:r>
            <w:r w:rsidRPr="00C11D3F">
              <w:rPr>
                <w:rFonts w:ascii="Gotham" w:hAnsi="Gotham" w:cs="Arial"/>
                <w:spacing w:val="12"/>
                <w:sz w:val="18"/>
                <w:szCs w:val="18"/>
              </w:rPr>
              <w:t xml:space="preserve"> </w:t>
            </w:r>
            <w:r w:rsidRPr="00C11D3F">
              <w:rPr>
                <w:rFonts w:ascii="Gotham" w:hAnsi="Gotham" w:cs="Arial"/>
                <w:sz w:val="18"/>
                <w:szCs w:val="18"/>
              </w:rPr>
              <w:t>los</w:t>
            </w:r>
            <w:r w:rsidRPr="00C11D3F">
              <w:rPr>
                <w:rFonts w:ascii="Gotham" w:hAnsi="Gotham" w:cs="Arial"/>
                <w:spacing w:val="9"/>
                <w:sz w:val="18"/>
                <w:szCs w:val="18"/>
              </w:rPr>
              <w:t xml:space="preserve"> </w:t>
            </w:r>
            <w:r w:rsidRPr="00C11D3F">
              <w:rPr>
                <w:rFonts w:ascii="Gotham" w:hAnsi="Gotham" w:cs="Arial"/>
                <w:sz w:val="18"/>
                <w:szCs w:val="18"/>
              </w:rPr>
              <w:t>funcionarios</w:t>
            </w:r>
            <w:r w:rsidRPr="00C11D3F">
              <w:rPr>
                <w:rFonts w:ascii="Gotham" w:hAnsi="Gotham" w:cs="Arial"/>
                <w:spacing w:val="10"/>
                <w:sz w:val="18"/>
                <w:szCs w:val="18"/>
              </w:rPr>
              <w:t xml:space="preserve"> </w:t>
            </w:r>
            <w:r w:rsidRPr="00C11D3F">
              <w:rPr>
                <w:rFonts w:ascii="Gotham" w:hAnsi="Gotham" w:cs="Arial"/>
                <w:sz w:val="18"/>
                <w:szCs w:val="18"/>
              </w:rPr>
              <w:t>y</w:t>
            </w:r>
            <w:r w:rsidRPr="00C11D3F">
              <w:rPr>
                <w:rFonts w:ascii="Gotham" w:hAnsi="Gotham" w:cs="Arial"/>
                <w:spacing w:val="12"/>
                <w:sz w:val="18"/>
                <w:szCs w:val="18"/>
              </w:rPr>
              <w:t xml:space="preserve"> </w:t>
            </w:r>
            <w:r w:rsidRPr="00C11D3F">
              <w:rPr>
                <w:rFonts w:ascii="Gotham" w:hAnsi="Gotham" w:cs="Arial"/>
                <w:sz w:val="18"/>
                <w:szCs w:val="18"/>
              </w:rPr>
              <w:t>servidores</w:t>
            </w:r>
            <w:r w:rsidRPr="00C11D3F">
              <w:rPr>
                <w:rFonts w:ascii="Gotham" w:hAnsi="Gotham" w:cs="Arial"/>
                <w:spacing w:val="9"/>
                <w:sz w:val="18"/>
                <w:szCs w:val="18"/>
              </w:rPr>
              <w:t xml:space="preserve"> </w:t>
            </w:r>
            <w:r w:rsidRPr="00C11D3F">
              <w:rPr>
                <w:rFonts w:ascii="Gotham" w:hAnsi="Gotham" w:cs="Arial"/>
                <w:sz w:val="18"/>
                <w:szCs w:val="18"/>
              </w:rPr>
              <w:t>públicos,</w:t>
            </w:r>
            <w:r w:rsidRPr="00C11D3F">
              <w:rPr>
                <w:rFonts w:ascii="Gotham" w:hAnsi="Gotham" w:cs="Arial"/>
                <w:spacing w:val="11"/>
                <w:sz w:val="18"/>
                <w:szCs w:val="18"/>
              </w:rPr>
              <w:t xml:space="preserve"> </w:t>
            </w:r>
            <w:r w:rsidRPr="00C11D3F">
              <w:rPr>
                <w:rFonts w:ascii="Gotham" w:hAnsi="Gotham" w:cs="Arial"/>
                <w:sz w:val="18"/>
                <w:szCs w:val="18"/>
              </w:rPr>
              <w:t>y</w:t>
            </w:r>
            <w:r w:rsidRPr="00C11D3F">
              <w:rPr>
                <w:rFonts w:ascii="Gotham" w:hAnsi="Gotham" w:cs="Arial"/>
                <w:spacing w:val="8"/>
                <w:sz w:val="18"/>
                <w:szCs w:val="18"/>
              </w:rPr>
              <w:t xml:space="preserve"> </w:t>
            </w:r>
            <w:r w:rsidRPr="00C11D3F">
              <w:rPr>
                <w:rFonts w:ascii="Gotham" w:hAnsi="Gotham" w:cs="Arial"/>
                <w:sz w:val="18"/>
                <w:szCs w:val="18"/>
              </w:rPr>
              <w:t>en</w:t>
            </w:r>
            <w:r w:rsidRPr="00C11D3F">
              <w:rPr>
                <w:rFonts w:ascii="Gotham" w:hAnsi="Gotham" w:cs="Arial"/>
                <w:spacing w:val="-52"/>
                <w:sz w:val="18"/>
                <w:szCs w:val="18"/>
              </w:rPr>
              <w:t xml:space="preserve"> </w:t>
            </w:r>
            <w:r w:rsidRPr="00C11D3F">
              <w:rPr>
                <w:rFonts w:ascii="Gotham" w:hAnsi="Gotham" w:cs="Arial"/>
                <w:sz w:val="18"/>
                <w:szCs w:val="18"/>
              </w:rPr>
              <w:t>caso</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4"/>
                <w:sz w:val="18"/>
                <w:szCs w:val="18"/>
              </w:rPr>
              <w:t xml:space="preserve"> </w:t>
            </w:r>
            <w:r w:rsidRPr="00C11D3F">
              <w:rPr>
                <w:rFonts w:ascii="Gotham" w:hAnsi="Gotham" w:cs="Arial"/>
                <w:sz w:val="18"/>
                <w:szCs w:val="18"/>
              </w:rPr>
              <w:t>pertenecer</w:t>
            </w:r>
            <w:r w:rsidRPr="00C11D3F">
              <w:rPr>
                <w:rFonts w:ascii="Gotham" w:hAnsi="Gotham" w:cs="Arial"/>
                <w:spacing w:val="-3"/>
                <w:sz w:val="18"/>
                <w:szCs w:val="18"/>
              </w:rPr>
              <w:t xml:space="preserve"> </w:t>
            </w:r>
            <w:r w:rsidRPr="00C11D3F">
              <w:rPr>
                <w:rFonts w:ascii="Gotham" w:hAnsi="Gotham" w:cs="Arial"/>
                <w:sz w:val="18"/>
                <w:szCs w:val="18"/>
              </w:rPr>
              <w:t>a un</w:t>
            </w:r>
            <w:r w:rsidRPr="00C11D3F">
              <w:rPr>
                <w:rFonts w:ascii="Gotham" w:hAnsi="Gotham" w:cs="Arial"/>
                <w:spacing w:val="-5"/>
                <w:sz w:val="18"/>
                <w:szCs w:val="18"/>
              </w:rPr>
              <w:t xml:space="preserve"> </w:t>
            </w:r>
            <w:r w:rsidRPr="00C11D3F">
              <w:rPr>
                <w:rFonts w:ascii="Gotham" w:hAnsi="Gotham" w:cs="Arial"/>
                <w:sz w:val="18"/>
                <w:szCs w:val="18"/>
              </w:rPr>
              <w:t>grupo</w:t>
            </w:r>
            <w:r w:rsidRPr="00C11D3F">
              <w:rPr>
                <w:rFonts w:ascii="Gotham" w:hAnsi="Gotham" w:cs="Arial"/>
                <w:spacing w:val="-1"/>
                <w:sz w:val="18"/>
                <w:szCs w:val="18"/>
              </w:rPr>
              <w:t xml:space="preserve"> </w:t>
            </w:r>
            <w:r w:rsidRPr="00C11D3F">
              <w:rPr>
                <w:rFonts w:ascii="Gotham" w:hAnsi="Gotham" w:cs="Arial"/>
                <w:sz w:val="18"/>
                <w:szCs w:val="18"/>
              </w:rPr>
              <w:t>en</w:t>
            </w:r>
            <w:r w:rsidRPr="00C11D3F">
              <w:rPr>
                <w:rFonts w:ascii="Gotham" w:hAnsi="Gotham" w:cs="Arial"/>
                <w:spacing w:val="-4"/>
                <w:sz w:val="18"/>
                <w:szCs w:val="18"/>
              </w:rPr>
              <w:t xml:space="preserve"> </w:t>
            </w:r>
            <w:r w:rsidRPr="00C11D3F">
              <w:rPr>
                <w:rFonts w:ascii="Gotham" w:hAnsi="Gotham" w:cs="Arial"/>
                <w:sz w:val="18"/>
                <w:szCs w:val="18"/>
              </w:rPr>
              <w:t>situación</w:t>
            </w:r>
            <w:r w:rsidRPr="00C11D3F">
              <w:rPr>
                <w:rFonts w:ascii="Gotham" w:hAnsi="Gotham" w:cs="Arial"/>
                <w:spacing w:val="-5"/>
                <w:sz w:val="18"/>
                <w:szCs w:val="18"/>
              </w:rPr>
              <w:t xml:space="preserve"> </w:t>
            </w:r>
            <w:r w:rsidRPr="00C11D3F">
              <w:rPr>
                <w:rFonts w:ascii="Gotham" w:hAnsi="Gotham" w:cs="Arial"/>
                <w:sz w:val="18"/>
                <w:szCs w:val="18"/>
              </w:rPr>
              <w:t>de</w:t>
            </w:r>
            <w:r w:rsidRPr="00C11D3F">
              <w:rPr>
                <w:rFonts w:ascii="Gotham" w:hAnsi="Gotham" w:cs="Arial"/>
                <w:spacing w:val="-3"/>
                <w:sz w:val="18"/>
                <w:szCs w:val="18"/>
              </w:rPr>
              <w:t xml:space="preserve"> </w:t>
            </w:r>
            <w:r w:rsidRPr="00C11D3F">
              <w:rPr>
                <w:rFonts w:ascii="Gotham" w:hAnsi="Gotham" w:cs="Arial"/>
                <w:sz w:val="18"/>
                <w:szCs w:val="18"/>
              </w:rPr>
              <w:t>vulnerabilidad,</w:t>
            </w:r>
            <w:r w:rsidRPr="00C11D3F">
              <w:rPr>
                <w:rFonts w:ascii="Gotham" w:hAnsi="Gotham" w:cs="Arial"/>
                <w:spacing w:val="-2"/>
                <w:sz w:val="18"/>
                <w:szCs w:val="18"/>
              </w:rPr>
              <w:t xml:space="preserve"> </w:t>
            </w:r>
            <w:r w:rsidRPr="00C11D3F">
              <w:rPr>
                <w:rFonts w:ascii="Gotham" w:hAnsi="Gotham" w:cs="Arial"/>
                <w:sz w:val="18"/>
                <w:szCs w:val="18"/>
              </w:rPr>
              <w:t>recibir</w:t>
            </w:r>
            <w:r w:rsidRPr="00C11D3F">
              <w:rPr>
                <w:rFonts w:ascii="Gotham" w:hAnsi="Gotham" w:cs="Arial"/>
                <w:spacing w:val="-4"/>
                <w:sz w:val="18"/>
                <w:szCs w:val="18"/>
              </w:rPr>
              <w:t xml:space="preserve"> </w:t>
            </w:r>
            <w:r w:rsidRPr="00C11D3F">
              <w:rPr>
                <w:rFonts w:ascii="Gotham" w:hAnsi="Gotham" w:cs="Arial"/>
                <w:sz w:val="18"/>
                <w:szCs w:val="18"/>
              </w:rPr>
              <w:t>las</w:t>
            </w:r>
            <w:r w:rsidRPr="00C11D3F">
              <w:rPr>
                <w:rFonts w:ascii="Gotham" w:hAnsi="Gotham" w:cs="Arial"/>
                <w:spacing w:val="-3"/>
                <w:sz w:val="18"/>
                <w:szCs w:val="18"/>
              </w:rPr>
              <w:t xml:space="preserve"> </w:t>
            </w:r>
            <w:r w:rsidRPr="00C11D3F">
              <w:rPr>
                <w:rFonts w:ascii="Gotham" w:hAnsi="Gotham" w:cs="Arial"/>
                <w:sz w:val="18"/>
                <w:szCs w:val="18"/>
              </w:rPr>
              <w:t>consideraciones</w:t>
            </w:r>
            <w:r w:rsidRPr="00C11D3F">
              <w:rPr>
                <w:rFonts w:ascii="Gotham" w:hAnsi="Gotham" w:cs="Arial"/>
                <w:spacing w:val="-4"/>
                <w:sz w:val="18"/>
                <w:szCs w:val="18"/>
              </w:rPr>
              <w:t xml:space="preserve"> </w:t>
            </w:r>
            <w:r w:rsidRPr="00C11D3F">
              <w:rPr>
                <w:rFonts w:ascii="Gotham" w:hAnsi="Gotham" w:cs="Arial"/>
                <w:sz w:val="18"/>
                <w:szCs w:val="18"/>
              </w:rPr>
              <w:t>del</w:t>
            </w:r>
            <w:r w:rsidRPr="00C11D3F">
              <w:rPr>
                <w:rFonts w:ascii="Gotham" w:hAnsi="Gotham" w:cs="Arial"/>
                <w:spacing w:val="-3"/>
                <w:sz w:val="18"/>
                <w:szCs w:val="18"/>
              </w:rPr>
              <w:t xml:space="preserve"> </w:t>
            </w:r>
            <w:r w:rsidRPr="00C11D3F">
              <w:rPr>
                <w:rFonts w:ascii="Gotham" w:hAnsi="Gotham" w:cs="Arial"/>
                <w:sz w:val="18"/>
                <w:szCs w:val="18"/>
              </w:rPr>
              <w:t>caso;</w:t>
            </w:r>
          </w:p>
        </w:tc>
      </w:tr>
      <w:tr w:rsidR="009B5E39" w:rsidRPr="00C11D3F" w14:paraId="3A476694" w14:textId="77777777" w:rsidTr="00190E4A">
        <w:trPr>
          <w:jc w:val="center"/>
        </w:trPr>
        <w:tc>
          <w:tcPr>
            <w:tcW w:w="4673" w:type="dxa"/>
          </w:tcPr>
          <w:p w14:paraId="3A47668A" w14:textId="77777777" w:rsidR="009B5E39" w:rsidRDefault="009B5E39" w:rsidP="00190E4A">
            <w:pPr>
              <w:jc w:val="both"/>
              <w:rPr>
                <w:rFonts w:ascii="Gotham" w:hAnsi="Gotham" w:cs="Arial"/>
                <w:sz w:val="18"/>
                <w:szCs w:val="18"/>
              </w:rPr>
            </w:pPr>
          </w:p>
          <w:p w14:paraId="3A47668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5</w:t>
            </w:r>
          </w:p>
          <w:p w14:paraId="3A47668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68D" w14:textId="77777777" w:rsidR="009B5E39" w:rsidRDefault="009B5E39" w:rsidP="00190E4A">
            <w:pPr>
              <w:jc w:val="both"/>
              <w:rPr>
                <w:rFonts w:ascii="Gotham" w:hAnsi="Gotham" w:cs="Arial"/>
                <w:color w:val="E40000"/>
                <w:sz w:val="18"/>
                <w:szCs w:val="18"/>
              </w:rPr>
            </w:pPr>
          </w:p>
          <w:p w14:paraId="3A47668E" w14:textId="77777777" w:rsidR="009B5E39" w:rsidRPr="00C11D3F" w:rsidRDefault="009B5E39" w:rsidP="00190E4A">
            <w:pPr>
              <w:jc w:val="both"/>
              <w:rPr>
                <w:rFonts w:ascii="Gotham" w:hAnsi="Gotham" w:cs="Arial"/>
                <w:sz w:val="18"/>
                <w:szCs w:val="18"/>
              </w:rPr>
            </w:pPr>
            <w:r w:rsidRPr="00C11D3F">
              <w:rPr>
                <w:rFonts w:ascii="Gotham" w:hAnsi="Gotham" w:cs="Arial"/>
                <w:color w:val="E40000"/>
                <w:sz w:val="18"/>
                <w:szCs w:val="18"/>
              </w:rPr>
              <w:t>Los Coordinadores Generales,</w:t>
            </w:r>
            <w:r w:rsidRPr="00C11D3F">
              <w:rPr>
                <w:rFonts w:ascii="Gotham" w:hAnsi="Gotham" w:cs="Arial"/>
                <w:sz w:val="18"/>
                <w:szCs w:val="18"/>
              </w:rPr>
              <w:t xml:space="preserve"> Directores Generales, Directores y Jefes de Departamento de</w:t>
            </w:r>
            <w:r w:rsidRPr="00C11D3F">
              <w:rPr>
                <w:rFonts w:ascii="Gotham" w:hAnsi="Gotham" w:cs="Arial"/>
                <w:spacing w:val="1"/>
                <w:sz w:val="18"/>
                <w:szCs w:val="18"/>
              </w:rPr>
              <w:t xml:space="preserve"> </w:t>
            </w:r>
            <w:r w:rsidRPr="00C11D3F">
              <w:rPr>
                <w:rFonts w:ascii="Gotham" w:hAnsi="Gotham" w:cs="Arial"/>
                <w:sz w:val="18"/>
                <w:szCs w:val="18"/>
              </w:rPr>
              <w:t>las</w:t>
            </w:r>
            <w:r w:rsidRPr="00C11D3F">
              <w:rPr>
                <w:rFonts w:ascii="Gotham" w:hAnsi="Gotham" w:cs="Arial"/>
                <w:spacing w:val="-3"/>
                <w:sz w:val="18"/>
                <w:szCs w:val="18"/>
              </w:rPr>
              <w:t xml:space="preserve"> </w:t>
            </w:r>
            <w:r w:rsidRPr="00C11D3F">
              <w:rPr>
                <w:rFonts w:ascii="Gotham" w:hAnsi="Gotham" w:cs="Arial"/>
                <w:sz w:val="18"/>
                <w:szCs w:val="18"/>
              </w:rPr>
              <w:t>dependencias</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3"/>
                <w:sz w:val="18"/>
                <w:szCs w:val="18"/>
              </w:rPr>
              <w:t xml:space="preserve"> </w:t>
            </w:r>
            <w:r w:rsidRPr="00C11D3F">
              <w:rPr>
                <w:rFonts w:ascii="Gotham" w:hAnsi="Gotham" w:cs="Arial"/>
                <w:sz w:val="18"/>
                <w:szCs w:val="18"/>
              </w:rPr>
              <w:t>la</w:t>
            </w:r>
            <w:r w:rsidRPr="00C11D3F">
              <w:rPr>
                <w:rFonts w:ascii="Gotham" w:hAnsi="Gotham" w:cs="Arial"/>
                <w:spacing w:val="-2"/>
                <w:sz w:val="18"/>
                <w:szCs w:val="18"/>
              </w:rPr>
              <w:t xml:space="preserve"> </w:t>
            </w:r>
            <w:r w:rsidRPr="00C11D3F">
              <w:rPr>
                <w:rFonts w:ascii="Gotham" w:hAnsi="Gotham" w:cs="Arial"/>
                <w:sz w:val="18"/>
                <w:szCs w:val="18"/>
              </w:rPr>
              <w:t>administración</w:t>
            </w:r>
            <w:r w:rsidRPr="00C11D3F">
              <w:rPr>
                <w:rFonts w:ascii="Gotham" w:hAnsi="Gotham" w:cs="Arial"/>
                <w:spacing w:val="-4"/>
                <w:sz w:val="18"/>
                <w:szCs w:val="18"/>
              </w:rPr>
              <w:t xml:space="preserve"> </w:t>
            </w:r>
            <w:r w:rsidRPr="00C11D3F">
              <w:rPr>
                <w:rFonts w:ascii="Gotham" w:hAnsi="Gotham" w:cs="Arial"/>
                <w:sz w:val="18"/>
                <w:szCs w:val="18"/>
              </w:rPr>
              <w:t>pública</w:t>
            </w:r>
            <w:r w:rsidRPr="00C11D3F">
              <w:rPr>
                <w:rFonts w:ascii="Gotham" w:hAnsi="Gotham" w:cs="Arial"/>
                <w:spacing w:val="-2"/>
                <w:sz w:val="18"/>
                <w:szCs w:val="18"/>
              </w:rPr>
              <w:t xml:space="preserve"> </w:t>
            </w:r>
            <w:r w:rsidRPr="00C11D3F">
              <w:rPr>
                <w:rFonts w:ascii="Gotham" w:hAnsi="Gotham" w:cs="Arial"/>
                <w:sz w:val="18"/>
                <w:szCs w:val="18"/>
              </w:rPr>
              <w:t>municipal</w:t>
            </w:r>
            <w:r w:rsidRPr="00C11D3F">
              <w:rPr>
                <w:rFonts w:ascii="Gotham" w:hAnsi="Gotham" w:cs="Arial"/>
                <w:spacing w:val="-3"/>
                <w:sz w:val="18"/>
                <w:szCs w:val="18"/>
              </w:rPr>
              <w:t xml:space="preserve"> </w:t>
            </w:r>
            <w:r w:rsidRPr="00C11D3F">
              <w:rPr>
                <w:rFonts w:ascii="Gotham" w:hAnsi="Gotham" w:cs="Arial"/>
                <w:sz w:val="18"/>
                <w:szCs w:val="18"/>
              </w:rPr>
              <w:t>centralizada</w:t>
            </w:r>
            <w:r w:rsidRPr="00C11D3F">
              <w:rPr>
                <w:rFonts w:ascii="Gotham" w:hAnsi="Gotham" w:cs="Arial"/>
                <w:spacing w:val="-2"/>
                <w:sz w:val="18"/>
                <w:szCs w:val="18"/>
              </w:rPr>
              <w:t xml:space="preserve"> </w:t>
            </w:r>
            <w:r w:rsidRPr="00C11D3F">
              <w:rPr>
                <w:rFonts w:ascii="Gotham" w:hAnsi="Gotham" w:cs="Arial"/>
                <w:sz w:val="18"/>
                <w:szCs w:val="18"/>
              </w:rPr>
              <w:t>o paramunicipal;</w:t>
            </w:r>
            <w:r w:rsidRPr="00C11D3F">
              <w:rPr>
                <w:rFonts w:ascii="Gotham" w:hAnsi="Gotham" w:cs="Arial"/>
                <w:spacing w:val="-2"/>
                <w:sz w:val="18"/>
                <w:szCs w:val="18"/>
              </w:rPr>
              <w:t xml:space="preserve"> </w:t>
            </w:r>
            <w:r w:rsidRPr="00C11D3F">
              <w:rPr>
                <w:rFonts w:ascii="Gotham" w:hAnsi="Gotham" w:cs="Arial"/>
                <w:sz w:val="18"/>
                <w:szCs w:val="18"/>
              </w:rPr>
              <w:t>y</w:t>
            </w:r>
          </w:p>
        </w:tc>
        <w:tc>
          <w:tcPr>
            <w:tcW w:w="4678" w:type="dxa"/>
          </w:tcPr>
          <w:p w14:paraId="3A47668F" w14:textId="77777777" w:rsidR="009B5E39" w:rsidRDefault="009B5E39" w:rsidP="00190E4A">
            <w:pPr>
              <w:jc w:val="both"/>
              <w:rPr>
                <w:rFonts w:ascii="Gotham" w:hAnsi="Gotham" w:cs="Arial"/>
                <w:sz w:val="18"/>
                <w:szCs w:val="18"/>
              </w:rPr>
            </w:pPr>
          </w:p>
          <w:p w14:paraId="3A47669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5</w:t>
            </w:r>
          </w:p>
          <w:p w14:paraId="3A47669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692" w14:textId="77777777" w:rsidR="009B5E39" w:rsidRDefault="009B5E39" w:rsidP="00190E4A">
            <w:pPr>
              <w:jc w:val="both"/>
              <w:rPr>
                <w:rFonts w:ascii="Gotham" w:hAnsi="Gotham" w:cs="Arial"/>
                <w:b/>
                <w:bCs/>
                <w:sz w:val="18"/>
                <w:szCs w:val="18"/>
              </w:rPr>
            </w:pPr>
          </w:p>
          <w:p w14:paraId="3A476693" w14:textId="77777777" w:rsidR="009B5E39" w:rsidRPr="00C11D3F" w:rsidRDefault="009B5E39" w:rsidP="00190E4A">
            <w:pPr>
              <w:jc w:val="both"/>
              <w:rPr>
                <w:rFonts w:ascii="Gotham" w:hAnsi="Gotham" w:cs="Arial"/>
                <w:sz w:val="18"/>
                <w:szCs w:val="18"/>
              </w:rPr>
            </w:pPr>
            <w:r w:rsidRPr="00C11D3F">
              <w:rPr>
                <w:rFonts w:ascii="Gotham" w:hAnsi="Gotham" w:cs="Arial"/>
                <w:b/>
                <w:bCs/>
                <w:sz w:val="18"/>
                <w:szCs w:val="18"/>
              </w:rPr>
              <w:t>Los</w:t>
            </w:r>
            <w:r w:rsidRPr="00C11D3F">
              <w:rPr>
                <w:rFonts w:ascii="Gotham" w:hAnsi="Gotham" w:cs="Arial"/>
                <w:color w:val="E40000"/>
                <w:sz w:val="18"/>
                <w:szCs w:val="18"/>
              </w:rPr>
              <w:t xml:space="preserve"> </w:t>
            </w:r>
            <w:r w:rsidRPr="00C11D3F">
              <w:rPr>
                <w:rFonts w:ascii="Gotham" w:hAnsi="Gotham" w:cs="Arial"/>
                <w:sz w:val="18"/>
                <w:szCs w:val="18"/>
              </w:rPr>
              <w:t>Directores Generales, Directores y Jefes de Departamento de</w:t>
            </w:r>
            <w:r w:rsidRPr="00C11D3F">
              <w:rPr>
                <w:rFonts w:ascii="Gotham" w:hAnsi="Gotham" w:cs="Arial"/>
                <w:spacing w:val="1"/>
                <w:sz w:val="18"/>
                <w:szCs w:val="18"/>
              </w:rPr>
              <w:t xml:space="preserve"> </w:t>
            </w:r>
            <w:r w:rsidRPr="00C11D3F">
              <w:rPr>
                <w:rFonts w:ascii="Gotham" w:hAnsi="Gotham" w:cs="Arial"/>
                <w:sz w:val="18"/>
                <w:szCs w:val="18"/>
              </w:rPr>
              <w:t>las</w:t>
            </w:r>
            <w:r w:rsidRPr="00C11D3F">
              <w:rPr>
                <w:rFonts w:ascii="Gotham" w:hAnsi="Gotham" w:cs="Arial"/>
                <w:spacing w:val="-3"/>
                <w:sz w:val="18"/>
                <w:szCs w:val="18"/>
              </w:rPr>
              <w:t xml:space="preserve"> </w:t>
            </w:r>
            <w:r w:rsidRPr="00C11D3F">
              <w:rPr>
                <w:rFonts w:ascii="Gotham" w:hAnsi="Gotham" w:cs="Arial"/>
                <w:sz w:val="18"/>
                <w:szCs w:val="18"/>
              </w:rPr>
              <w:t>dependencias</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3"/>
                <w:sz w:val="18"/>
                <w:szCs w:val="18"/>
              </w:rPr>
              <w:t xml:space="preserve"> </w:t>
            </w:r>
            <w:r w:rsidRPr="00C11D3F">
              <w:rPr>
                <w:rFonts w:ascii="Gotham" w:hAnsi="Gotham" w:cs="Arial"/>
                <w:sz w:val="18"/>
                <w:szCs w:val="18"/>
              </w:rPr>
              <w:t>la</w:t>
            </w:r>
            <w:r w:rsidRPr="00C11D3F">
              <w:rPr>
                <w:rFonts w:ascii="Gotham" w:hAnsi="Gotham" w:cs="Arial"/>
                <w:spacing w:val="-2"/>
                <w:sz w:val="18"/>
                <w:szCs w:val="18"/>
              </w:rPr>
              <w:t xml:space="preserve"> </w:t>
            </w:r>
            <w:r w:rsidRPr="00C11D3F">
              <w:rPr>
                <w:rFonts w:ascii="Gotham" w:hAnsi="Gotham" w:cs="Arial"/>
                <w:sz w:val="18"/>
                <w:szCs w:val="18"/>
              </w:rPr>
              <w:t>administración</w:t>
            </w:r>
            <w:r w:rsidRPr="00C11D3F">
              <w:rPr>
                <w:rFonts w:ascii="Gotham" w:hAnsi="Gotham" w:cs="Arial"/>
                <w:spacing w:val="-4"/>
                <w:sz w:val="18"/>
                <w:szCs w:val="18"/>
              </w:rPr>
              <w:t xml:space="preserve"> </w:t>
            </w:r>
            <w:r w:rsidRPr="00C11D3F">
              <w:rPr>
                <w:rFonts w:ascii="Gotham" w:hAnsi="Gotham" w:cs="Arial"/>
                <w:sz w:val="18"/>
                <w:szCs w:val="18"/>
              </w:rPr>
              <w:t>pública</w:t>
            </w:r>
            <w:r w:rsidRPr="00C11D3F">
              <w:rPr>
                <w:rFonts w:ascii="Gotham" w:hAnsi="Gotham" w:cs="Arial"/>
                <w:spacing w:val="-2"/>
                <w:sz w:val="18"/>
                <w:szCs w:val="18"/>
              </w:rPr>
              <w:t xml:space="preserve"> </w:t>
            </w:r>
            <w:r w:rsidRPr="00C11D3F">
              <w:rPr>
                <w:rFonts w:ascii="Gotham" w:hAnsi="Gotham" w:cs="Arial"/>
                <w:sz w:val="18"/>
                <w:szCs w:val="18"/>
              </w:rPr>
              <w:t>municipal</w:t>
            </w:r>
            <w:r w:rsidRPr="00C11D3F">
              <w:rPr>
                <w:rFonts w:ascii="Gotham" w:hAnsi="Gotham" w:cs="Arial"/>
                <w:spacing w:val="-3"/>
                <w:sz w:val="18"/>
                <w:szCs w:val="18"/>
              </w:rPr>
              <w:t xml:space="preserve"> </w:t>
            </w:r>
            <w:r w:rsidRPr="00C11D3F">
              <w:rPr>
                <w:rFonts w:ascii="Gotham" w:hAnsi="Gotham" w:cs="Arial"/>
                <w:sz w:val="18"/>
                <w:szCs w:val="18"/>
              </w:rPr>
              <w:t>centralizada</w:t>
            </w:r>
            <w:r w:rsidRPr="00C11D3F">
              <w:rPr>
                <w:rFonts w:ascii="Gotham" w:hAnsi="Gotham" w:cs="Arial"/>
                <w:spacing w:val="-2"/>
                <w:sz w:val="18"/>
                <w:szCs w:val="18"/>
              </w:rPr>
              <w:t xml:space="preserve"> </w:t>
            </w:r>
            <w:r w:rsidRPr="00C11D3F">
              <w:rPr>
                <w:rFonts w:ascii="Gotham" w:hAnsi="Gotham" w:cs="Arial"/>
                <w:sz w:val="18"/>
                <w:szCs w:val="18"/>
              </w:rPr>
              <w:t>o paramunicipal;</w:t>
            </w:r>
            <w:r w:rsidRPr="00C11D3F">
              <w:rPr>
                <w:rFonts w:ascii="Gotham" w:hAnsi="Gotham" w:cs="Arial"/>
                <w:spacing w:val="-2"/>
                <w:sz w:val="18"/>
                <w:szCs w:val="18"/>
              </w:rPr>
              <w:t xml:space="preserve"> </w:t>
            </w:r>
            <w:r w:rsidRPr="00C11D3F">
              <w:rPr>
                <w:rFonts w:ascii="Gotham" w:hAnsi="Gotham" w:cs="Arial"/>
                <w:sz w:val="18"/>
                <w:szCs w:val="18"/>
              </w:rPr>
              <w:t>y</w:t>
            </w:r>
          </w:p>
        </w:tc>
      </w:tr>
      <w:tr w:rsidR="009B5E39" w:rsidRPr="00C11D3F" w14:paraId="3A47669F" w14:textId="77777777" w:rsidTr="00190E4A">
        <w:trPr>
          <w:jc w:val="center"/>
        </w:trPr>
        <w:tc>
          <w:tcPr>
            <w:tcW w:w="4673" w:type="dxa"/>
          </w:tcPr>
          <w:p w14:paraId="3A476695" w14:textId="77777777" w:rsidR="009B5E39" w:rsidRDefault="009B5E39" w:rsidP="00190E4A">
            <w:pPr>
              <w:jc w:val="both"/>
              <w:rPr>
                <w:rFonts w:ascii="Gotham" w:hAnsi="Gotham" w:cs="Arial"/>
                <w:sz w:val="18"/>
                <w:szCs w:val="18"/>
              </w:rPr>
            </w:pPr>
          </w:p>
          <w:p w14:paraId="3A47669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9. </w:t>
            </w:r>
          </w:p>
          <w:p w14:paraId="3A47669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w:t>
            </w:r>
          </w:p>
          <w:p w14:paraId="3A476698" w14:textId="77777777" w:rsidR="009B5E39" w:rsidRDefault="009B5E39" w:rsidP="00190E4A">
            <w:pPr>
              <w:jc w:val="both"/>
              <w:rPr>
                <w:rFonts w:ascii="Gotham" w:hAnsi="Gotham" w:cs="Arial"/>
                <w:sz w:val="18"/>
                <w:szCs w:val="18"/>
              </w:rPr>
            </w:pPr>
          </w:p>
          <w:p w14:paraId="3A47669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Previo acuerdo del mismo, someter sus iniciativas o decisiones al escrutinio de la </w:t>
            </w:r>
            <w:r w:rsidRPr="00C11D3F">
              <w:rPr>
                <w:rFonts w:ascii="Gotham" w:hAnsi="Gotham" w:cs="Arial"/>
                <w:color w:val="ED0000"/>
                <w:sz w:val="18"/>
                <w:szCs w:val="18"/>
              </w:rPr>
              <w:t>ciudadana</w:t>
            </w:r>
            <w:r w:rsidRPr="00C11D3F">
              <w:rPr>
                <w:rFonts w:ascii="Gotham" w:hAnsi="Gotham" w:cs="Arial"/>
                <w:sz w:val="18"/>
                <w:szCs w:val="18"/>
              </w:rPr>
              <w:t xml:space="preserve">, a través de los mecanismos de participación ciudadana </w:t>
            </w:r>
            <w:r w:rsidRPr="00C11D3F">
              <w:rPr>
                <w:rFonts w:ascii="Gotham" w:hAnsi="Gotham" w:cs="Arial"/>
                <w:sz w:val="18"/>
                <w:szCs w:val="18"/>
              </w:rPr>
              <w:lastRenderedPageBreak/>
              <w:t>establecidos en el presente Reglamento, salvo las excepciones consideradas en la normatividad aplicable;</w:t>
            </w:r>
          </w:p>
        </w:tc>
        <w:tc>
          <w:tcPr>
            <w:tcW w:w="4678" w:type="dxa"/>
          </w:tcPr>
          <w:p w14:paraId="3A47669A" w14:textId="77777777" w:rsidR="009B5E39" w:rsidRDefault="009B5E39" w:rsidP="00190E4A">
            <w:pPr>
              <w:jc w:val="both"/>
              <w:rPr>
                <w:rFonts w:ascii="Gotham" w:hAnsi="Gotham" w:cs="Arial"/>
                <w:sz w:val="18"/>
                <w:szCs w:val="18"/>
              </w:rPr>
            </w:pPr>
          </w:p>
          <w:p w14:paraId="3A47669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9. </w:t>
            </w:r>
          </w:p>
          <w:p w14:paraId="3A47669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w:t>
            </w:r>
          </w:p>
          <w:p w14:paraId="3A47669D" w14:textId="77777777" w:rsidR="009B5E39" w:rsidRDefault="009B5E39" w:rsidP="00190E4A">
            <w:pPr>
              <w:jc w:val="both"/>
              <w:rPr>
                <w:rFonts w:ascii="Gotham" w:hAnsi="Gotham" w:cs="Arial"/>
                <w:sz w:val="18"/>
                <w:szCs w:val="18"/>
              </w:rPr>
            </w:pPr>
          </w:p>
          <w:p w14:paraId="3A47669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Previo acuerdo del mismo, someter sus iniciativas o decisiones al escrutinio de la </w:t>
            </w:r>
            <w:r w:rsidRPr="00C11D3F">
              <w:rPr>
                <w:rFonts w:ascii="Gotham" w:hAnsi="Gotham" w:cs="Arial"/>
                <w:b/>
                <w:bCs/>
                <w:sz w:val="18"/>
                <w:szCs w:val="18"/>
              </w:rPr>
              <w:t>ciudadanía</w:t>
            </w:r>
            <w:r w:rsidRPr="00C11D3F">
              <w:rPr>
                <w:rFonts w:ascii="Gotham" w:hAnsi="Gotham" w:cs="Arial"/>
                <w:sz w:val="18"/>
                <w:szCs w:val="18"/>
              </w:rPr>
              <w:t xml:space="preserve">, a través de los mecanismos de participación ciudadana </w:t>
            </w:r>
            <w:r w:rsidRPr="00C11D3F">
              <w:rPr>
                <w:rFonts w:ascii="Gotham" w:hAnsi="Gotham" w:cs="Arial"/>
                <w:sz w:val="18"/>
                <w:szCs w:val="18"/>
              </w:rPr>
              <w:lastRenderedPageBreak/>
              <w:t xml:space="preserve">establecidos en el presente Reglamento, salvo </w:t>
            </w:r>
            <w:r w:rsidRPr="00C11D3F">
              <w:rPr>
                <w:rFonts w:ascii="Gotham" w:hAnsi="Gotham" w:cs="Arial"/>
                <w:noProof/>
                <w:sz w:val="18"/>
                <w:szCs w:val="18"/>
                <w:lang w:val="es-MX" w:eastAsia="es-MX"/>
              </w:rPr>
              <mc:AlternateContent>
                <mc:Choice Requires="wpg">
                  <w:drawing>
                    <wp:anchor distT="0" distB="0" distL="114300" distR="114300" simplePos="0" relativeHeight="251666432" behindDoc="0" locked="0" layoutInCell="1" allowOverlap="1" wp14:anchorId="3A4768A8" wp14:editId="3A4768A9">
                      <wp:simplePos x="0" y="0"/>
                      <wp:positionH relativeFrom="page">
                        <wp:posOffset>0</wp:posOffset>
                      </wp:positionH>
                      <wp:positionV relativeFrom="page">
                        <wp:posOffset>8875395</wp:posOffset>
                      </wp:positionV>
                      <wp:extent cx="7767320" cy="1183005"/>
                      <wp:effectExtent l="0" t="0" r="0" b="0"/>
                      <wp:wrapNone/>
                      <wp:docPr id="53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320" cy="1183005"/>
                                <a:chOff x="0" y="13977"/>
                                <a:chExt cx="12232" cy="1863"/>
                              </a:xfrm>
                            </wpg:grpSpPr>
                            <wps:wsp>
                              <wps:cNvPr id="540" name="Freeform 235"/>
                              <wps:cNvSpPr>
                                <a:spLocks/>
                              </wps:cNvSpPr>
                              <wps:spPr bwMode="auto">
                                <a:xfrm>
                                  <a:off x="0" y="15092"/>
                                  <a:ext cx="12232" cy="296"/>
                                </a:xfrm>
                                <a:custGeom>
                                  <a:avLst/>
                                  <a:gdLst>
                                    <a:gd name="T0" fmla="*/ 5216 w 12232"/>
                                    <a:gd name="T1" fmla="+- 0 15092 15092"/>
                                    <a:gd name="T2" fmla="*/ 15092 h 296"/>
                                    <a:gd name="T3" fmla="*/ 0 w 12232"/>
                                    <a:gd name="T4" fmla="+- 0 15092 15092"/>
                                    <a:gd name="T5" fmla="*/ 15092 h 296"/>
                                    <a:gd name="T6" fmla="*/ 0 w 12232"/>
                                    <a:gd name="T7" fmla="+- 0 15388 15092"/>
                                    <a:gd name="T8" fmla="*/ 15388 h 296"/>
                                    <a:gd name="T9" fmla="*/ 12232 w 12232"/>
                                    <a:gd name="T10" fmla="+- 0 15388 15092"/>
                                    <a:gd name="T11" fmla="*/ 15388 h 296"/>
                                    <a:gd name="T12" fmla="*/ 12232 w 12232"/>
                                    <a:gd name="T13" fmla="+- 0 15272 15092"/>
                                    <a:gd name="T14" fmla="*/ 15272 h 296"/>
                                    <a:gd name="T15" fmla="*/ 5675 w 12232"/>
                                    <a:gd name="T16" fmla="+- 0 15272 15092"/>
                                    <a:gd name="T17" fmla="*/ 15272 h 296"/>
                                    <a:gd name="T18" fmla="*/ 5216 w 12232"/>
                                    <a:gd name="T19" fmla="+- 0 15092 15092"/>
                                    <a:gd name="T20" fmla="*/ 15092 h 296"/>
                                  </a:gdLst>
                                  <a:ahLst/>
                                  <a:cxnLst>
                                    <a:cxn ang="0">
                                      <a:pos x="T0" y="T2"/>
                                    </a:cxn>
                                    <a:cxn ang="0">
                                      <a:pos x="T3" y="T5"/>
                                    </a:cxn>
                                    <a:cxn ang="0">
                                      <a:pos x="T6" y="T8"/>
                                    </a:cxn>
                                    <a:cxn ang="0">
                                      <a:pos x="T9" y="T11"/>
                                    </a:cxn>
                                    <a:cxn ang="0">
                                      <a:pos x="T12" y="T14"/>
                                    </a:cxn>
                                    <a:cxn ang="0">
                                      <a:pos x="T15" y="T17"/>
                                    </a:cxn>
                                    <a:cxn ang="0">
                                      <a:pos x="T18" y="T20"/>
                                    </a:cxn>
                                  </a:cxnLst>
                                  <a:rect l="0" t="0" r="r" b="b"/>
                                  <a:pathLst>
                                    <a:path w="12232" h="296">
                                      <a:moveTo>
                                        <a:pt x="5216" y="0"/>
                                      </a:moveTo>
                                      <a:lnTo>
                                        <a:pt x="0" y="0"/>
                                      </a:lnTo>
                                      <a:lnTo>
                                        <a:pt x="0" y="296"/>
                                      </a:lnTo>
                                      <a:lnTo>
                                        <a:pt x="12232" y="296"/>
                                      </a:lnTo>
                                      <a:lnTo>
                                        <a:pt x="12232" y="180"/>
                                      </a:lnTo>
                                      <a:lnTo>
                                        <a:pt x="5675" y="180"/>
                                      </a:lnTo>
                                      <a:lnTo>
                                        <a:pt x="5216" y="0"/>
                                      </a:lnTo>
                                      <a:close/>
                                    </a:path>
                                  </a:pathLst>
                                </a:custGeom>
                                <a:solidFill>
                                  <a:srgbClr val="C59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5226"/>
                                  <a:ext cx="12232" cy="614"/>
                                </a:xfrm>
                                <a:prstGeom prst="rect">
                                  <a:avLst/>
                                </a:prstGeom>
                                <a:noFill/>
                                <a:extLst>
                                  <a:ext uri="{909E8E84-426E-40DD-AFC4-6F175D3DCCD1}">
                                    <a14:hiddenFill xmlns:a14="http://schemas.microsoft.com/office/drawing/2010/main">
                                      <a:solidFill>
                                        <a:srgbClr val="FFFFFF"/>
                                      </a:solidFill>
                                    </a14:hiddenFill>
                                  </a:ext>
                                </a:extLst>
                              </pic:spPr>
                            </pic:pic>
                            <wps:wsp>
                              <wps:cNvPr id="542" name="Rectangle 233"/>
                              <wps:cNvSpPr>
                                <a:spLocks noChangeArrowheads="1"/>
                              </wps:cNvSpPr>
                              <wps:spPr bwMode="auto">
                                <a:xfrm>
                                  <a:off x="0" y="15389"/>
                                  <a:ext cx="12232" cy="451"/>
                                </a:xfrm>
                                <a:prstGeom prst="rect">
                                  <a:avLst/>
                                </a:prstGeom>
                                <a:solidFill>
                                  <a:srgbClr val="802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1" y="15510"/>
                                  <a:ext cx="1599"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2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27" y="15187"/>
                                  <a:ext cx="2608"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2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3977"/>
                                  <a:ext cx="2619" cy="18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9F516C" id="Group 229" o:spid="_x0000_s1026" style="position:absolute;margin-left:0;margin-top:698.85pt;width:611.6pt;height:93.15pt;z-index:251666432;mso-position-horizontal-relative:page;mso-position-vertical-relative:page" coordorigin=",13977" coordsize="12232,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">
                      <v:shape id="Freeform 235" o:spid="_x0000_s1027" style="position:absolute;top:15092;width:12232;height:296;visibility:visible;mso-wrap-style:square;v-text-anchor:top" coordsize="1223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Y68AA&#10;AADcAAAADwAAAGRycy9kb3ducmV2LnhtbERPy4rCMBTdC/5DuII7TXzMILVRRBBkduqALi/NtS1t&#10;btomav37yUKY5eG8021va/GkzpeONcymCgRx5kzJuYbfy2GyAuEDssHaMWl4k4ftZjhIMTHuxSd6&#10;nkMuYgj7BDUUITSJlD4ryKKfuoY4cnfXWQwRdrk0Hb5iuK3lXKlvabHk2FBgQ/uCsur8sBqOl75V&#10;qr3e3vN2Wf3c20WZy6vW41G/W4MI1Id/8cd9NBq+ln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SY68AAAADcAAAADwAAAAAAAAAAAAAAAACYAgAAZHJzL2Rvd25y&#10;ZXYueG1sUEsFBgAAAAAEAAQA9QAAAIUDAAAAAA==&#10;" path="m5216,l,,,296r12232,l12232,180r-6557,l5216,xe" fillcolor="#c5965a" stroked="f">
                        <v:path arrowok="t" o:connecttype="custom" o:connectlocs="5216,15092;0,15092;0,15388;12232,15388;12232,15272;5675,15272;5216,15092"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28" type="#_x0000_t75" style="position:absolute;top:15226;width:12232;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bqHEAAAA3AAAAA8AAABkcnMvZG93bnJldi54bWxEj0FrwkAUhO8F/8PyhN7qJqWxIbqKVAq9&#10;Vit4fGSf2WD2bZJdk7S/vlsoeBxm5htmvZ1sIwbqfe1YQbpIQBCXTtdcKfg6vj/lIHxA1tg4JgXf&#10;5GG7mT2ssdBu5E8aDqESEcK+QAUmhLaQ0peGLPqFa4mjd3G9xRBlX0nd4xjhtpHPSbKUFmuOCwZb&#10;ejNUXg83qyA/Z5Nzr/v00unUdAFPP/nypNTjfNqtQASawj383/7QCrKXFP7O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CbqHEAAAA3AAAAA8AAAAAAAAAAAAAAAAA&#10;nwIAAGRycy9kb3ducmV2LnhtbFBLBQYAAAAABAAEAPcAAACQAwAAAAA=&#10;">
                        <v:imagedata r:id="rId27" o:title=""/>
                      </v:shape>
                      <v:rect id="Rectangle 233" o:spid="_x0000_s1029" style="position:absolute;top:15389;width:1223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IS8QA&#10;AADcAAAADwAAAGRycy9kb3ducmV2LnhtbESPT2vCQBTE7wW/w/IEb3Wj2CLRVfxXKHiqRvT4yD6T&#10;aPZtyK5J+u3dQsHjMDO/YebLzpSiodoVlhWMhhEI4tTqgjMFyfHrfQrCeWSNpWVS8EsOlove2xxj&#10;bVv+oebgMxEg7GJUkHtfxVK6NCeDbmgr4uBdbW3QB1lnUtfYBrgp5TiKPqXBgsNCjhVtckrvh4dR&#10;cNr55vRYn+0+csXutk0u9zaxSg363WoGwlPnX+H/9rdW8DEZw9+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CEvEAAAA3AAAAA8AAAAAAAAAAAAAAAAAmAIAAGRycy9k&#10;b3ducmV2LnhtbFBLBQYAAAAABAAEAPUAAACJAwAAAAA=&#10;" fillcolor="#802428" stroked="f"/>
                      <v:shape id="Picture 232" o:spid="_x0000_s1030" type="#_x0000_t75" style="position:absolute;left:5131;top:15510;width:159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SFDGAAAA3AAAAA8AAABkcnMvZG93bnJldi54bWxEj0trwzAQhO+F/gexgVxKI6dtQuNGNqWh&#10;0JBLHs59sba2ibUyluLHv68ChRyHmfmGWaeDqUVHrassK5jPIhDEudUVFwqy0/fzOwjnkTXWlknB&#10;SA7S5PFhjbG2PR+oO/pCBAi7GBWU3jexlC4vyaCb2YY4eL+2NeiDbAupW+wD3NTyJYqW0mDFYaHE&#10;hr5Kyi/Hq1Gwyw9+teyvm9MuexrGLJpvs/1Zqelk+PwA4Wnw9/B/+0crWLy9wu1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15IUMYAAADcAAAADwAAAAAAAAAAAAAA&#10;AACfAgAAZHJzL2Rvd25yZXYueG1sUEsFBgAAAAAEAAQA9wAAAJIDAAAAAA==&#10;">
                        <v:imagedata r:id="rId28" o:title=""/>
                      </v:shape>
                      <v:shape id="Picture 231" o:spid="_x0000_s1031" type="#_x0000_t75" style="position:absolute;left:2627;top:15187;width:2608;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pJi/HAAAA3AAAAA8AAABkcnMvZG93bnJldi54bWxEj0FLAzEQhe9C/0OYgjc3a2ndsjYt7YJQ&#10;Ch6sHjyOm3Gzuplsk7Td+uuNUPD4ePO+N2+xGmwnTuRD61jBfZaDIK6dbrlR8Pb6dDcHESKyxs4x&#10;KbhQgNVydLPAUrszv9BpHxuRIBxKVGBi7EspQ23IYshcT5y8T+ctxiR9I7XHc4LbTk7y/EFabDk1&#10;GOypMlR/7482vbFx1aH4eX+ORVvMq69d5c3HRanb8bB+BBFpiP/H1/RWK5hNp/A3JhF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pJi/HAAAA3AAAAA8AAAAAAAAAAAAA&#10;AAAAnwIAAGRycy9kb3ducmV2LnhtbFBLBQYAAAAABAAEAPcAAACTAwAAAAA=&#10;">
                        <v:imagedata r:id="rId29" o:title=""/>
                      </v:shape>
                      <v:shape id="Picture 230" o:spid="_x0000_s1032" type="#_x0000_t75" style="position:absolute;top:13977;width:2619;height:1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jifGAAAA3AAAAA8AAABkcnMvZG93bnJldi54bWxEj09rAjEUxO+C3yG8Qm81a6tFVqNIofUP&#10;bcHVi7fH5nWzuHnZJqmu374pFDwOM/MbZrbobCPO5EPtWMFwkIEgLp2uuVJw2L8+TECEiKyxcUwK&#10;rhRgMe/3Zphrd+EdnYtYiQThkKMCE2ObSxlKQxbDwLXEyfty3mJM0ldSe7wkuG3kY5Y9S4s1pwWD&#10;Lb0YKk/Fj1XAW/O0eVv579Vw+0nV8aM4hfdaqfu7bjkFEamLt/B/e60VjEdj+DuTj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WOJ8YAAADcAAAADwAAAAAAAAAAAAAA&#10;AACfAgAAZHJzL2Rvd25yZXYueG1sUEsFBgAAAAAEAAQA9wAAAJIDAAAAAA==&#10;">
                        <v:imagedata r:id="rId30" o:title=""/>
                      </v:shape>
                      <w10:wrap anchorx="page" anchory="page"/>
                    </v:group>
                  </w:pict>
                </mc:Fallback>
              </mc:AlternateContent>
            </w:r>
            <w:r w:rsidRPr="00C11D3F">
              <w:rPr>
                <w:rFonts w:ascii="Gotham" w:hAnsi="Gotham" w:cs="Arial"/>
                <w:sz w:val="18"/>
                <w:szCs w:val="18"/>
              </w:rPr>
              <w:t>las excepciones consideradas en la normatividad aplicable;</w:t>
            </w:r>
          </w:p>
        </w:tc>
      </w:tr>
      <w:tr w:rsidR="009B5E39" w:rsidRPr="00C11D3F" w14:paraId="3A4766AB" w14:textId="77777777" w:rsidTr="00190E4A">
        <w:trPr>
          <w:jc w:val="center"/>
        </w:trPr>
        <w:tc>
          <w:tcPr>
            <w:tcW w:w="4673" w:type="dxa"/>
          </w:tcPr>
          <w:p w14:paraId="3A4766A0" w14:textId="77777777" w:rsidR="009B5E39" w:rsidRDefault="009B5E39" w:rsidP="00190E4A">
            <w:pPr>
              <w:jc w:val="both"/>
              <w:rPr>
                <w:rFonts w:ascii="Gotham" w:hAnsi="Gotham" w:cs="Arial"/>
                <w:sz w:val="18"/>
                <w:szCs w:val="18"/>
              </w:rPr>
            </w:pPr>
          </w:p>
          <w:p w14:paraId="3A4766A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9. </w:t>
            </w:r>
          </w:p>
          <w:p w14:paraId="3A4766A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6A3" w14:textId="77777777" w:rsidR="009B5E39" w:rsidRDefault="009B5E39" w:rsidP="00190E4A">
            <w:pPr>
              <w:jc w:val="both"/>
              <w:rPr>
                <w:rFonts w:ascii="Gotham" w:hAnsi="Gotham" w:cs="Arial"/>
                <w:sz w:val="18"/>
                <w:szCs w:val="18"/>
              </w:rPr>
            </w:pPr>
          </w:p>
          <w:p w14:paraId="3A4766A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Considerar la pertinencia establecer en el Presupuesto de Egresos una partida que contenga los</w:t>
            </w:r>
            <w:r w:rsidRPr="00C11D3F">
              <w:rPr>
                <w:rFonts w:ascii="Gotham" w:hAnsi="Gotham" w:cs="Arial"/>
                <w:spacing w:val="1"/>
                <w:sz w:val="18"/>
                <w:szCs w:val="18"/>
              </w:rPr>
              <w:t xml:space="preserve"> </w:t>
            </w:r>
            <w:r w:rsidRPr="00C11D3F">
              <w:rPr>
                <w:rFonts w:ascii="Gotham" w:hAnsi="Gotham" w:cs="Arial"/>
                <w:sz w:val="18"/>
                <w:szCs w:val="18"/>
              </w:rPr>
              <w:t>recursos financieros destinados para las obras públicas que se realizarán para el siguiente ejercicio</w:t>
            </w:r>
            <w:r w:rsidRPr="00C11D3F">
              <w:rPr>
                <w:rFonts w:ascii="Gotham" w:hAnsi="Gotham" w:cs="Arial"/>
                <w:spacing w:val="1"/>
                <w:sz w:val="18"/>
                <w:szCs w:val="18"/>
              </w:rPr>
              <w:t xml:space="preserve"> </w:t>
            </w:r>
            <w:r w:rsidRPr="00C11D3F">
              <w:rPr>
                <w:rFonts w:ascii="Gotham" w:hAnsi="Gotham" w:cs="Arial"/>
                <w:sz w:val="18"/>
                <w:szCs w:val="18"/>
              </w:rPr>
              <w:t>fiscal, de cuando menos el equivalente al diez por ciento del monto definido en la estimación del</w:t>
            </w:r>
            <w:r w:rsidRPr="00C11D3F">
              <w:rPr>
                <w:rFonts w:ascii="Gotham" w:hAnsi="Gotham" w:cs="Arial"/>
                <w:spacing w:val="1"/>
                <w:sz w:val="18"/>
                <w:szCs w:val="18"/>
              </w:rPr>
              <w:t xml:space="preserve"> </w:t>
            </w:r>
            <w:r w:rsidRPr="00C11D3F">
              <w:rPr>
                <w:rFonts w:ascii="Gotham" w:hAnsi="Gotham" w:cs="Arial"/>
                <w:sz w:val="18"/>
                <w:szCs w:val="18"/>
              </w:rPr>
              <w:t>ingreso</w:t>
            </w:r>
            <w:r w:rsidRPr="00C11D3F">
              <w:rPr>
                <w:rFonts w:ascii="Gotham" w:hAnsi="Gotham" w:cs="Arial"/>
                <w:spacing w:val="1"/>
                <w:sz w:val="18"/>
                <w:szCs w:val="18"/>
              </w:rPr>
              <w:t xml:space="preserve"> </w:t>
            </w:r>
            <w:r w:rsidRPr="00C11D3F">
              <w:rPr>
                <w:rFonts w:ascii="Gotham" w:hAnsi="Gotham" w:cs="Arial"/>
                <w:sz w:val="18"/>
                <w:szCs w:val="18"/>
              </w:rPr>
              <w:t>respecto</w:t>
            </w:r>
            <w:r w:rsidRPr="00C11D3F">
              <w:rPr>
                <w:rFonts w:ascii="Gotham" w:hAnsi="Gotham" w:cs="Arial"/>
                <w:spacing w:val="1"/>
                <w:sz w:val="18"/>
                <w:szCs w:val="18"/>
              </w:rPr>
              <w:t xml:space="preserve"> </w:t>
            </w:r>
            <w:r w:rsidRPr="00C11D3F">
              <w:rPr>
                <w:rFonts w:ascii="Gotham" w:hAnsi="Gotham" w:cs="Arial"/>
                <w:sz w:val="18"/>
                <w:szCs w:val="18"/>
              </w:rPr>
              <w:t>a</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recaudación</w:t>
            </w:r>
            <w:r w:rsidRPr="00C11D3F">
              <w:rPr>
                <w:rFonts w:ascii="Gotham" w:hAnsi="Gotham" w:cs="Arial"/>
                <w:spacing w:val="1"/>
                <w:sz w:val="18"/>
                <w:szCs w:val="18"/>
              </w:rPr>
              <w:t xml:space="preserve"> </w:t>
            </w:r>
            <w:r w:rsidRPr="00C11D3F">
              <w:rPr>
                <w:rFonts w:ascii="Gotham" w:hAnsi="Gotham" w:cs="Arial"/>
                <w:sz w:val="18"/>
                <w:szCs w:val="18"/>
              </w:rPr>
              <w:t>del</w:t>
            </w:r>
            <w:r w:rsidRPr="00C11D3F">
              <w:rPr>
                <w:rFonts w:ascii="Gotham" w:hAnsi="Gotham" w:cs="Arial"/>
                <w:spacing w:val="1"/>
                <w:sz w:val="18"/>
                <w:szCs w:val="18"/>
              </w:rPr>
              <w:t xml:space="preserve"> </w:t>
            </w:r>
            <w:r w:rsidRPr="00C11D3F">
              <w:rPr>
                <w:rFonts w:ascii="Gotham" w:hAnsi="Gotham" w:cs="Arial"/>
                <w:sz w:val="18"/>
                <w:szCs w:val="18"/>
              </w:rPr>
              <w:t>pago</w:t>
            </w:r>
            <w:r w:rsidRPr="00C11D3F">
              <w:rPr>
                <w:rFonts w:ascii="Gotham" w:hAnsi="Gotham" w:cs="Arial"/>
                <w:spacing w:val="1"/>
                <w:sz w:val="18"/>
                <w:szCs w:val="18"/>
              </w:rPr>
              <w:t xml:space="preserve"> </w:t>
            </w:r>
            <w:r w:rsidRPr="00C11D3F">
              <w:rPr>
                <w:rFonts w:ascii="Gotham" w:hAnsi="Gotham" w:cs="Arial"/>
                <w:sz w:val="18"/>
                <w:szCs w:val="18"/>
              </w:rPr>
              <w:t>del</w:t>
            </w:r>
            <w:r w:rsidRPr="00C11D3F">
              <w:rPr>
                <w:rFonts w:ascii="Gotham" w:hAnsi="Gotham" w:cs="Arial"/>
                <w:spacing w:val="1"/>
                <w:sz w:val="18"/>
                <w:szCs w:val="18"/>
              </w:rPr>
              <w:t xml:space="preserve"> </w:t>
            </w:r>
            <w:r w:rsidRPr="00C11D3F">
              <w:rPr>
                <w:rFonts w:ascii="Gotham" w:hAnsi="Gotham" w:cs="Arial"/>
                <w:sz w:val="18"/>
                <w:szCs w:val="18"/>
              </w:rPr>
              <w:t>impuesto</w:t>
            </w:r>
            <w:r w:rsidRPr="00C11D3F">
              <w:rPr>
                <w:rFonts w:ascii="Gotham" w:hAnsi="Gotham" w:cs="Arial"/>
                <w:spacing w:val="1"/>
                <w:sz w:val="18"/>
                <w:szCs w:val="18"/>
              </w:rPr>
              <w:t xml:space="preserve"> </w:t>
            </w:r>
            <w:r w:rsidRPr="00C11D3F">
              <w:rPr>
                <w:rFonts w:ascii="Gotham" w:hAnsi="Gotham" w:cs="Arial"/>
                <w:sz w:val="18"/>
                <w:szCs w:val="18"/>
              </w:rPr>
              <w:t>predial,</w:t>
            </w:r>
            <w:r w:rsidRPr="00C11D3F">
              <w:rPr>
                <w:rFonts w:ascii="Gotham" w:hAnsi="Gotham" w:cs="Arial"/>
                <w:spacing w:val="1"/>
                <w:sz w:val="18"/>
                <w:szCs w:val="18"/>
              </w:rPr>
              <w:t xml:space="preserve"> </w:t>
            </w:r>
            <w:r w:rsidRPr="00C11D3F">
              <w:rPr>
                <w:rFonts w:ascii="Gotham" w:hAnsi="Gotham" w:cs="Arial"/>
                <w:sz w:val="18"/>
                <w:szCs w:val="18"/>
              </w:rPr>
              <w:t>producto</w:t>
            </w:r>
            <w:r w:rsidRPr="00C11D3F">
              <w:rPr>
                <w:rFonts w:ascii="Gotham" w:hAnsi="Gotham" w:cs="Arial"/>
                <w:spacing w:val="1"/>
                <w:sz w:val="18"/>
                <w:szCs w:val="18"/>
              </w:rPr>
              <w:t xml:space="preserve"> </w:t>
            </w:r>
            <w:r w:rsidRPr="00C11D3F">
              <w:rPr>
                <w:rFonts w:ascii="Gotham" w:hAnsi="Gotham" w:cs="Arial"/>
                <w:sz w:val="18"/>
                <w:szCs w:val="18"/>
              </w:rPr>
              <w:t>del</w:t>
            </w:r>
            <w:r w:rsidRPr="00C11D3F">
              <w:rPr>
                <w:rFonts w:ascii="Gotham" w:hAnsi="Gotham" w:cs="Arial"/>
                <w:spacing w:val="1"/>
                <w:sz w:val="18"/>
                <w:szCs w:val="18"/>
              </w:rPr>
              <w:t xml:space="preserve"> </w:t>
            </w:r>
            <w:r w:rsidRPr="00C11D3F">
              <w:rPr>
                <w:rFonts w:ascii="Gotham" w:hAnsi="Gotham" w:cs="Arial"/>
                <w:sz w:val="18"/>
                <w:szCs w:val="18"/>
              </w:rPr>
              <w:t>ejercicio</w:t>
            </w:r>
            <w:r w:rsidRPr="00C11D3F">
              <w:rPr>
                <w:rFonts w:ascii="Gotham" w:hAnsi="Gotham" w:cs="Arial"/>
                <w:spacing w:val="1"/>
                <w:sz w:val="18"/>
                <w:szCs w:val="18"/>
              </w:rPr>
              <w:t xml:space="preserve"> </w:t>
            </w:r>
            <w:r w:rsidRPr="00C11D3F">
              <w:rPr>
                <w:rFonts w:ascii="Gotham" w:hAnsi="Gotham" w:cs="Arial"/>
                <w:sz w:val="18"/>
                <w:szCs w:val="18"/>
              </w:rPr>
              <w:t>del</w:t>
            </w:r>
            <w:r w:rsidRPr="00C11D3F">
              <w:rPr>
                <w:rFonts w:ascii="Gotham" w:hAnsi="Gotham" w:cs="Arial"/>
                <w:spacing w:val="1"/>
                <w:sz w:val="18"/>
                <w:szCs w:val="18"/>
              </w:rPr>
              <w:t xml:space="preserve"> </w:t>
            </w:r>
            <w:r w:rsidRPr="00C11D3F">
              <w:rPr>
                <w:rFonts w:ascii="Gotham" w:hAnsi="Gotham" w:cs="Arial"/>
                <w:sz w:val="18"/>
                <w:szCs w:val="18"/>
              </w:rPr>
              <w:t>presupuesto</w:t>
            </w:r>
            <w:r w:rsidRPr="00C11D3F">
              <w:rPr>
                <w:rFonts w:ascii="Gotham" w:hAnsi="Gotham" w:cs="Arial"/>
                <w:spacing w:val="1"/>
                <w:sz w:val="18"/>
                <w:szCs w:val="18"/>
              </w:rPr>
              <w:t xml:space="preserve"> </w:t>
            </w:r>
            <w:r w:rsidRPr="00C11D3F">
              <w:rPr>
                <w:rFonts w:ascii="Gotham" w:hAnsi="Gotham" w:cs="Arial"/>
                <w:sz w:val="18"/>
                <w:szCs w:val="18"/>
              </w:rPr>
              <w:t>participativo;</w:t>
            </w:r>
          </w:p>
          <w:p w14:paraId="3A4766A5" w14:textId="77777777" w:rsidR="009B5E39" w:rsidRPr="00C11D3F" w:rsidRDefault="009B5E39" w:rsidP="00190E4A">
            <w:pPr>
              <w:tabs>
                <w:tab w:val="left" w:pos="3270"/>
              </w:tabs>
              <w:jc w:val="both"/>
              <w:rPr>
                <w:rFonts w:ascii="Gotham" w:hAnsi="Gotham" w:cs="Arial"/>
                <w:sz w:val="18"/>
                <w:szCs w:val="18"/>
              </w:rPr>
            </w:pPr>
            <w:r w:rsidRPr="00C11D3F">
              <w:rPr>
                <w:rFonts w:ascii="Gotham" w:hAnsi="Gotham" w:cs="Arial"/>
                <w:sz w:val="18"/>
                <w:szCs w:val="18"/>
              </w:rPr>
              <w:tab/>
            </w:r>
          </w:p>
        </w:tc>
        <w:tc>
          <w:tcPr>
            <w:tcW w:w="4678" w:type="dxa"/>
          </w:tcPr>
          <w:p w14:paraId="3A4766A6" w14:textId="77777777" w:rsidR="009B5E39" w:rsidRDefault="009B5E39" w:rsidP="00190E4A">
            <w:pPr>
              <w:jc w:val="both"/>
              <w:rPr>
                <w:rFonts w:ascii="Gotham" w:hAnsi="Gotham" w:cs="Arial"/>
                <w:sz w:val="18"/>
                <w:szCs w:val="18"/>
              </w:rPr>
            </w:pPr>
          </w:p>
          <w:p w14:paraId="3A4766A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9. </w:t>
            </w:r>
          </w:p>
          <w:p w14:paraId="3A4766A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6A9" w14:textId="77777777" w:rsidR="009B5E39" w:rsidRDefault="009B5E39" w:rsidP="00190E4A">
            <w:pPr>
              <w:jc w:val="both"/>
              <w:rPr>
                <w:rFonts w:ascii="Gotham" w:hAnsi="Gotham" w:cs="Arial"/>
                <w:sz w:val="18"/>
                <w:szCs w:val="18"/>
              </w:rPr>
            </w:pPr>
          </w:p>
          <w:p w14:paraId="3A4766A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Considerar la pertinencia </w:t>
            </w:r>
            <w:r w:rsidRPr="00C11D3F">
              <w:rPr>
                <w:rFonts w:ascii="Gotham" w:hAnsi="Gotham" w:cs="Arial"/>
                <w:b/>
                <w:bCs/>
                <w:sz w:val="18"/>
                <w:szCs w:val="18"/>
              </w:rPr>
              <w:t>de</w:t>
            </w:r>
            <w:r w:rsidRPr="00C11D3F">
              <w:rPr>
                <w:rFonts w:ascii="Gotham" w:hAnsi="Gotham" w:cs="Arial"/>
                <w:sz w:val="18"/>
                <w:szCs w:val="18"/>
              </w:rPr>
              <w:t xml:space="preserve"> establecer en el Presupuesto de Egresos una partida que contenga los recursos financieros destinados para las obras públicas que se realizarán para el siguiente ejercicio fiscal, de cuando menos el equivalente al diez por ciento del monto definido en la estimación del ingreso respecto a la recaudación del pago del impuesto predial, producto del ejercicio del presupuesto participativo;</w:t>
            </w:r>
          </w:p>
        </w:tc>
      </w:tr>
      <w:tr w:rsidR="009B5E39" w:rsidRPr="00C11D3F" w14:paraId="3A4766B4" w14:textId="77777777" w:rsidTr="00190E4A">
        <w:trPr>
          <w:jc w:val="center"/>
        </w:trPr>
        <w:tc>
          <w:tcPr>
            <w:tcW w:w="4673" w:type="dxa"/>
          </w:tcPr>
          <w:p w14:paraId="3A4766A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11. </w:t>
            </w:r>
          </w:p>
          <w:p w14:paraId="3A4766A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IV.</w:t>
            </w:r>
          </w:p>
          <w:p w14:paraId="3A4766AE" w14:textId="77777777" w:rsidR="009B5E39" w:rsidRDefault="009B5E39" w:rsidP="00190E4A">
            <w:pPr>
              <w:jc w:val="both"/>
              <w:rPr>
                <w:rFonts w:ascii="Gotham" w:hAnsi="Gotham" w:cs="Arial"/>
                <w:sz w:val="18"/>
                <w:szCs w:val="18"/>
              </w:rPr>
            </w:pPr>
          </w:p>
          <w:p w14:paraId="3A4766A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Crear</w:t>
            </w:r>
            <w:r w:rsidRPr="00C11D3F">
              <w:rPr>
                <w:rFonts w:ascii="Gotham" w:hAnsi="Gotham" w:cs="Arial"/>
                <w:spacing w:val="-5"/>
                <w:sz w:val="18"/>
                <w:szCs w:val="18"/>
              </w:rPr>
              <w:t xml:space="preserve"> </w:t>
            </w:r>
            <w:r w:rsidRPr="00C11D3F">
              <w:rPr>
                <w:rFonts w:ascii="Gotham" w:hAnsi="Gotham" w:cs="Arial"/>
                <w:sz w:val="18"/>
                <w:szCs w:val="18"/>
              </w:rPr>
              <w:t>una</w:t>
            </w:r>
            <w:r w:rsidRPr="00C11D3F">
              <w:rPr>
                <w:rFonts w:ascii="Gotham" w:hAnsi="Gotham" w:cs="Arial"/>
                <w:spacing w:val="-5"/>
                <w:sz w:val="18"/>
                <w:szCs w:val="18"/>
              </w:rPr>
              <w:t xml:space="preserve"> </w:t>
            </w:r>
            <w:r w:rsidRPr="00C11D3F">
              <w:rPr>
                <w:rFonts w:ascii="Gotham" w:hAnsi="Gotham" w:cs="Arial"/>
                <w:sz w:val="18"/>
                <w:szCs w:val="18"/>
              </w:rPr>
              <w:t>estructura</w:t>
            </w:r>
            <w:r w:rsidRPr="00C11D3F">
              <w:rPr>
                <w:rFonts w:ascii="Gotham" w:hAnsi="Gotham" w:cs="Arial"/>
                <w:spacing w:val="-4"/>
                <w:sz w:val="18"/>
                <w:szCs w:val="18"/>
              </w:rPr>
              <w:t xml:space="preserve"> </w:t>
            </w:r>
            <w:r w:rsidRPr="00C11D3F">
              <w:rPr>
                <w:rFonts w:ascii="Gotham" w:hAnsi="Gotham" w:cs="Arial"/>
                <w:sz w:val="18"/>
                <w:szCs w:val="18"/>
              </w:rPr>
              <w:t>de</w:t>
            </w:r>
            <w:r w:rsidRPr="00C11D3F">
              <w:rPr>
                <w:rFonts w:ascii="Gotham" w:hAnsi="Gotham" w:cs="Arial"/>
                <w:spacing w:val="-5"/>
                <w:sz w:val="18"/>
                <w:szCs w:val="18"/>
              </w:rPr>
              <w:t xml:space="preserve"> </w:t>
            </w:r>
            <w:r w:rsidRPr="00C11D3F">
              <w:rPr>
                <w:rFonts w:ascii="Gotham" w:hAnsi="Gotham" w:cs="Arial"/>
                <w:sz w:val="18"/>
                <w:szCs w:val="18"/>
              </w:rPr>
              <w:t>personal</w:t>
            </w:r>
            <w:r w:rsidRPr="00C11D3F">
              <w:rPr>
                <w:rFonts w:ascii="Gotham" w:hAnsi="Gotham" w:cs="Arial"/>
                <w:spacing w:val="-5"/>
                <w:sz w:val="18"/>
                <w:szCs w:val="18"/>
              </w:rPr>
              <w:t xml:space="preserve"> </w:t>
            </w:r>
            <w:r w:rsidRPr="00C11D3F">
              <w:rPr>
                <w:rFonts w:ascii="Gotham" w:hAnsi="Gotham" w:cs="Arial"/>
                <w:sz w:val="18"/>
                <w:szCs w:val="18"/>
              </w:rPr>
              <w:t>operativo,</w:t>
            </w:r>
            <w:r w:rsidRPr="00C11D3F">
              <w:rPr>
                <w:rFonts w:ascii="Gotham" w:hAnsi="Gotham" w:cs="Arial"/>
                <w:spacing w:val="-3"/>
                <w:sz w:val="18"/>
                <w:szCs w:val="18"/>
              </w:rPr>
              <w:t xml:space="preserve"> </w:t>
            </w:r>
            <w:r w:rsidRPr="00C11D3F">
              <w:rPr>
                <w:rFonts w:ascii="Gotham" w:hAnsi="Gotham" w:cs="Arial"/>
                <w:sz w:val="18"/>
                <w:szCs w:val="18"/>
              </w:rPr>
              <w:t>como</w:t>
            </w:r>
            <w:r w:rsidRPr="00C11D3F">
              <w:rPr>
                <w:rFonts w:ascii="Gotham" w:hAnsi="Gotham" w:cs="Arial"/>
                <w:spacing w:val="-6"/>
                <w:sz w:val="18"/>
                <w:szCs w:val="18"/>
              </w:rPr>
              <w:t xml:space="preserve"> </w:t>
            </w:r>
            <w:r w:rsidRPr="00C11D3F">
              <w:rPr>
                <w:rFonts w:ascii="Gotham" w:hAnsi="Gotham" w:cs="Arial"/>
                <w:sz w:val="18"/>
                <w:szCs w:val="18"/>
              </w:rPr>
              <w:t>apoyo</w:t>
            </w:r>
            <w:r w:rsidRPr="00C11D3F">
              <w:rPr>
                <w:rFonts w:ascii="Gotham" w:hAnsi="Gotham" w:cs="Arial"/>
                <w:spacing w:val="-5"/>
                <w:sz w:val="18"/>
                <w:szCs w:val="18"/>
              </w:rPr>
              <w:t xml:space="preserve"> </w:t>
            </w:r>
            <w:r w:rsidRPr="00C11D3F">
              <w:rPr>
                <w:rFonts w:ascii="Gotham" w:hAnsi="Gotham" w:cs="Arial"/>
                <w:sz w:val="18"/>
                <w:szCs w:val="18"/>
              </w:rPr>
              <w:t>a</w:t>
            </w:r>
            <w:r w:rsidRPr="00C11D3F">
              <w:rPr>
                <w:rFonts w:ascii="Gotham" w:hAnsi="Gotham" w:cs="Arial"/>
                <w:spacing w:val="-5"/>
                <w:sz w:val="18"/>
                <w:szCs w:val="18"/>
              </w:rPr>
              <w:t xml:space="preserve"> </w:t>
            </w:r>
            <w:r w:rsidRPr="00C11D3F">
              <w:rPr>
                <w:rFonts w:ascii="Gotham" w:hAnsi="Gotham" w:cs="Arial"/>
                <w:sz w:val="18"/>
                <w:szCs w:val="18"/>
              </w:rPr>
              <w:t>los</w:t>
            </w:r>
            <w:r w:rsidRPr="00C11D3F">
              <w:rPr>
                <w:rFonts w:ascii="Gotham" w:hAnsi="Gotham" w:cs="Arial"/>
                <w:spacing w:val="-8"/>
                <w:sz w:val="18"/>
                <w:szCs w:val="18"/>
              </w:rPr>
              <w:t xml:space="preserve"> </w:t>
            </w:r>
            <w:r w:rsidRPr="00C11D3F">
              <w:rPr>
                <w:rFonts w:ascii="Gotham" w:hAnsi="Gotham" w:cs="Arial"/>
                <w:sz w:val="18"/>
                <w:szCs w:val="18"/>
              </w:rPr>
              <w:t>Comités</w:t>
            </w:r>
            <w:r w:rsidRPr="00C11D3F">
              <w:rPr>
                <w:rFonts w:ascii="Gotham" w:hAnsi="Gotham" w:cs="Arial"/>
                <w:spacing w:val="-5"/>
                <w:sz w:val="18"/>
                <w:szCs w:val="18"/>
              </w:rPr>
              <w:t xml:space="preserve"> </w:t>
            </w:r>
            <w:r w:rsidRPr="00C11D3F">
              <w:rPr>
                <w:rFonts w:ascii="Gotham" w:hAnsi="Gotham" w:cs="Arial"/>
                <w:sz w:val="18"/>
                <w:szCs w:val="18"/>
              </w:rPr>
              <w:t>Sociales</w:t>
            </w:r>
            <w:r w:rsidRPr="00C11D3F">
              <w:rPr>
                <w:rFonts w:ascii="Gotham" w:hAnsi="Gotham" w:cs="Arial"/>
                <w:spacing w:val="-5"/>
                <w:sz w:val="18"/>
                <w:szCs w:val="18"/>
              </w:rPr>
              <w:t xml:space="preserve"> </w:t>
            </w:r>
            <w:r w:rsidRPr="00C11D3F">
              <w:rPr>
                <w:rFonts w:ascii="Gotham" w:hAnsi="Gotham" w:cs="Arial"/>
                <w:sz w:val="18"/>
                <w:szCs w:val="18"/>
              </w:rPr>
              <w:t>de</w:t>
            </w:r>
            <w:r w:rsidRPr="00C11D3F">
              <w:rPr>
                <w:rFonts w:ascii="Gotham" w:hAnsi="Gotham" w:cs="Arial"/>
                <w:spacing w:val="-5"/>
                <w:sz w:val="18"/>
                <w:szCs w:val="18"/>
              </w:rPr>
              <w:t xml:space="preserve"> </w:t>
            </w:r>
            <w:r w:rsidRPr="00C11D3F">
              <w:rPr>
                <w:rFonts w:ascii="Gotham" w:hAnsi="Gotham" w:cs="Arial"/>
                <w:sz w:val="18"/>
                <w:szCs w:val="18"/>
              </w:rPr>
              <w:t>Participación Ciudadana, la cual fungirá como enlace para la gestión de programas de los distintos niveles de</w:t>
            </w:r>
            <w:r w:rsidRPr="00C11D3F">
              <w:rPr>
                <w:rFonts w:ascii="Gotham" w:hAnsi="Gotham" w:cs="Arial"/>
                <w:spacing w:val="1"/>
                <w:sz w:val="18"/>
                <w:szCs w:val="18"/>
              </w:rPr>
              <w:t xml:space="preserve"> </w:t>
            </w:r>
            <w:r w:rsidRPr="00C11D3F">
              <w:rPr>
                <w:rFonts w:ascii="Gotham" w:hAnsi="Gotham" w:cs="Arial"/>
                <w:sz w:val="18"/>
                <w:szCs w:val="18"/>
              </w:rPr>
              <w:t>gobierno en beneficio de grupos en situación de vulnerabilidad y de la ciudadanía Tonalteca que lo</w:t>
            </w:r>
            <w:r w:rsidRPr="00C11D3F">
              <w:rPr>
                <w:rFonts w:ascii="Gotham" w:hAnsi="Gotham" w:cs="Arial"/>
                <w:spacing w:val="1"/>
                <w:sz w:val="18"/>
                <w:szCs w:val="18"/>
              </w:rPr>
              <w:t xml:space="preserve"> </w:t>
            </w:r>
            <w:r w:rsidRPr="00C11D3F">
              <w:rPr>
                <w:rFonts w:ascii="Gotham" w:hAnsi="Gotham" w:cs="Arial"/>
                <w:sz w:val="18"/>
                <w:szCs w:val="18"/>
              </w:rPr>
              <w:t xml:space="preserve">requiera, </w:t>
            </w:r>
            <w:r w:rsidRPr="00C11D3F">
              <w:rPr>
                <w:rFonts w:ascii="Gotham" w:hAnsi="Gotham" w:cs="Arial"/>
                <w:sz w:val="18"/>
                <w:szCs w:val="18"/>
                <w:shd w:val="clear" w:color="auto" w:fill="EDEDED" w:themeFill="accent3" w:themeFillTint="33"/>
              </w:rPr>
              <w:t>la Dirección</w:t>
            </w:r>
            <w:r w:rsidRPr="00C11D3F">
              <w:rPr>
                <w:rFonts w:ascii="Gotham" w:hAnsi="Gotham" w:cs="Arial"/>
                <w:sz w:val="18"/>
                <w:szCs w:val="18"/>
              </w:rPr>
              <w:t xml:space="preserve"> determinará la mejor forma de organización para la operación de la estructura</w:t>
            </w:r>
            <w:r w:rsidRPr="00C11D3F">
              <w:rPr>
                <w:rFonts w:ascii="Gotham" w:hAnsi="Gotham" w:cs="Arial"/>
                <w:spacing w:val="-52"/>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se</w:t>
            </w:r>
            <w:r w:rsidRPr="00C11D3F">
              <w:rPr>
                <w:rFonts w:ascii="Gotham" w:hAnsi="Gotham" w:cs="Arial"/>
                <w:spacing w:val="-2"/>
                <w:sz w:val="18"/>
                <w:szCs w:val="18"/>
              </w:rPr>
              <w:t xml:space="preserve"> </w:t>
            </w:r>
            <w:r w:rsidRPr="00C11D3F">
              <w:rPr>
                <w:rFonts w:ascii="Gotham" w:hAnsi="Gotham" w:cs="Arial"/>
                <w:sz w:val="18"/>
                <w:szCs w:val="18"/>
              </w:rPr>
              <w:t>ajustará</w:t>
            </w:r>
            <w:r w:rsidRPr="00C11D3F">
              <w:rPr>
                <w:rFonts w:ascii="Gotham" w:hAnsi="Gotham" w:cs="Arial"/>
                <w:spacing w:val="-1"/>
                <w:sz w:val="18"/>
                <w:szCs w:val="18"/>
              </w:rPr>
              <w:t xml:space="preserve"> </w:t>
            </w:r>
            <w:r w:rsidRPr="00C11D3F">
              <w:rPr>
                <w:rFonts w:ascii="Gotham" w:hAnsi="Gotham" w:cs="Arial"/>
                <w:sz w:val="18"/>
                <w:szCs w:val="18"/>
              </w:rPr>
              <w:t>a</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disponibilidad</w:t>
            </w:r>
            <w:r w:rsidRPr="00C11D3F">
              <w:rPr>
                <w:rFonts w:ascii="Gotham" w:hAnsi="Gotham" w:cs="Arial"/>
                <w:spacing w:val="1"/>
                <w:sz w:val="18"/>
                <w:szCs w:val="18"/>
              </w:rPr>
              <w:t xml:space="preserve"> </w:t>
            </w:r>
            <w:r w:rsidRPr="00C11D3F">
              <w:rPr>
                <w:rFonts w:ascii="Gotham" w:hAnsi="Gotham" w:cs="Arial"/>
                <w:sz w:val="18"/>
                <w:szCs w:val="18"/>
              </w:rPr>
              <w:t>presupuestaria</w:t>
            </w:r>
            <w:r w:rsidRPr="00C11D3F">
              <w:rPr>
                <w:rFonts w:ascii="Gotham" w:hAnsi="Gotham" w:cs="Arial"/>
                <w:spacing w:val="2"/>
                <w:sz w:val="18"/>
                <w:szCs w:val="18"/>
              </w:rPr>
              <w:t xml:space="preserve"> </w:t>
            </w:r>
            <w:r w:rsidRPr="00C11D3F">
              <w:rPr>
                <w:rFonts w:ascii="Gotham" w:hAnsi="Gotham" w:cs="Arial"/>
                <w:sz w:val="18"/>
                <w:szCs w:val="18"/>
              </w:rPr>
              <w:t>con</w:t>
            </w:r>
            <w:r w:rsidRPr="00C11D3F">
              <w:rPr>
                <w:rFonts w:ascii="Gotham" w:hAnsi="Gotham" w:cs="Arial"/>
                <w:spacing w:val="-3"/>
                <w:sz w:val="18"/>
                <w:szCs w:val="18"/>
              </w:rPr>
              <w:t xml:space="preserve"> </w:t>
            </w:r>
            <w:r w:rsidRPr="00C11D3F">
              <w:rPr>
                <w:rFonts w:ascii="Gotham" w:hAnsi="Gotham" w:cs="Arial"/>
                <w:sz w:val="18"/>
                <w:szCs w:val="18"/>
              </w:rPr>
              <w:t>que</w:t>
            </w:r>
            <w:r w:rsidRPr="00C11D3F">
              <w:rPr>
                <w:rFonts w:ascii="Gotham" w:hAnsi="Gotham" w:cs="Arial"/>
                <w:spacing w:val="-2"/>
                <w:sz w:val="18"/>
                <w:szCs w:val="18"/>
              </w:rPr>
              <w:t xml:space="preserve"> </w:t>
            </w:r>
            <w:r w:rsidRPr="00C11D3F">
              <w:rPr>
                <w:rFonts w:ascii="Gotham" w:hAnsi="Gotham" w:cs="Arial"/>
                <w:sz w:val="18"/>
                <w:szCs w:val="18"/>
              </w:rPr>
              <w:t>cuente</w:t>
            </w:r>
            <w:r w:rsidRPr="00C11D3F">
              <w:rPr>
                <w:rFonts w:ascii="Gotham" w:hAnsi="Gotham" w:cs="Arial"/>
                <w:spacing w:val="-1"/>
                <w:sz w:val="18"/>
                <w:szCs w:val="18"/>
              </w:rPr>
              <w:t xml:space="preserve"> </w:t>
            </w:r>
            <w:r w:rsidRPr="00C11D3F">
              <w:rPr>
                <w:rFonts w:ascii="Gotham" w:hAnsi="Gotham" w:cs="Arial"/>
                <w:sz w:val="18"/>
                <w:szCs w:val="18"/>
              </w:rPr>
              <w:t>el</w:t>
            </w:r>
            <w:r w:rsidRPr="00C11D3F">
              <w:rPr>
                <w:rFonts w:ascii="Gotham" w:hAnsi="Gotham" w:cs="Arial"/>
                <w:spacing w:val="-2"/>
                <w:sz w:val="18"/>
                <w:szCs w:val="18"/>
              </w:rPr>
              <w:t xml:space="preserve"> </w:t>
            </w:r>
            <w:r w:rsidRPr="00C11D3F">
              <w:rPr>
                <w:rFonts w:ascii="Gotham" w:hAnsi="Gotham" w:cs="Arial"/>
                <w:color w:val="E40000"/>
                <w:sz w:val="18"/>
                <w:szCs w:val="18"/>
              </w:rPr>
              <w:t>a</w:t>
            </w:r>
            <w:r w:rsidRPr="00C11D3F">
              <w:rPr>
                <w:rFonts w:ascii="Gotham" w:hAnsi="Gotham" w:cs="Arial"/>
                <w:sz w:val="18"/>
                <w:szCs w:val="18"/>
              </w:rPr>
              <w:t>yuntamiento;</w:t>
            </w:r>
          </w:p>
        </w:tc>
        <w:tc>
          <w:tcPr>
            <w:tcW w:w="4678" w:type="dxa"/>
          </w:tcPr>
          <w:p w14:paraId="3A4766B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11. </w:t>
            </w:r>
          </w:p>
          <w:p w14:paraId="3A4766B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IV.</w:t>
            </w:r>
          </w:p>
          <w:p w14:paraId="3A4766B2" w14:textId="77777777" w:rsidR="009B5E39" w:rsidRDefault="009B5E39" w:rsidP="00190E4A">
            <w:pPr>
              <w:jc w:val="both"/>
              <w:rPr>
                <w:rFonts w:ascii="Gotham" w:hAnsi="Gotham" w:cs="Arial"/>
                <w:sz w:val="18"/>
                <w:szCs w:val="18"/>
              </w:rPr>
            </w:pPr>
          </w:p>
          <w:p w14:paraId="3A4766B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Crear</w:t>
            </w:r>
            <w:r w:rsidRPr="00C11D3F">
              <w:rPr>
                <w:rFonts w:ascii="Gotham" w:hAnsi="Gotham" w:cs="Arial"/>
                <w:spacing w:val="-5"/>
                <w:sz w:val="18"/>
                <w:szCs w:val="18"/>
              </w:rPr>
              <w:t xml:space="preserve"> </w:t>
            </w:r>
            <w:r w:rsidRPr="00C11D3F">
              <w:rPr>
                <w:rFonts w:ascii="Gotham" w:hAnsi="Gotham" w:cs="Arial"/>
                <w:sz w:val="18"/>
                <w:szCs w:val="18"/>
              </w:rPr>
              <w:t>una</w:t>
            </w:r>
            <w:r w:rsidRPr="00C11D3F">
              <w:rPr>
                <w:rFonts w:ascii="Gotham" w:hAnsi="Gotham" w:cs="Arial"/>
                <w:spacing w:val="-5"/>
                <w:sz w:val="18"/>
                <w:szCs w:val="18"/>
              </w:rPr>
              <w:t xml:space="preserve"> </w:t>
            </w:r>
            <w:r w:rsidRPr="00C11D3F">
              <w:rPr>
                <w:rFonts w:ascii="Gotham" w:hAnsi="Gotham" w:cs="Arial"/>
                <w:sz w:val="18"/>
                <w:szCs w:val="18"/>
              </w:rPr>
              <w:t>estructura</w:t>
            </w:r>
            <w:r w:rsidRPr="00C11D3F">
              <w:rPr>
                <w:rFonts w:ascii="Gotham" w:hAnsi="Gotham" w:cs="Arial"/>
                <w:spacing w:val="-4"/>
                <w:sz w:val="18"/>
                <w:szCs w:val="18"/>
              </w:rPr>
              <w:t xml:space="preserve"> </w:t>
            </w:r>
            <w:r w:rsidRPr="00C11D3F">
              <w:rPr>
                <w:rFonts w:ascii="Gotham" w:hAnsi="Gotham" w:cs="Arial"/>
                <w:sz w:val="18"/>
                <w:szCs w:val="18"/>
              </w:rPr>
              <w:t>de</w:t>
            </w:r>
            <w:r w:rsidRPr="00C11D3F">
              <w:rPr>
                <w:rFonts w:ascii="Gotham" w:hAnsi="Gotham" w:cs="Arial"/>
                <w:spacing w:val="-5"/>
                <w:sz w:val="18"/>
                <w:szCs w:val="18"/>
              </w:rPr>
              <w:t xml:space="preserve"> </w:t>
            </w:r>
            <w:r w:rsidRPr="00C11D3F">
              <w:rPr>
                <w:rFonts w:ascii="Gotham" w:hAnsi="Gotham" w:cs="Arial"/>
                <w:sz w:val="18"/>
                <w:szCs w:val="18"/>
              </w:rPr>
              <w:t>personal</w:t>
            </w:r>
            <w:r w:rsidRPr="00C11D3F">
              <w:rPr>
                <w:rFonts w:ascii="Gotham" w:hAnsi="Gotham" w:cs="Arial"/>
                <w:spacing w:val="-5"/>
                <w:sz w:val="18"/>
                <w:szCs w:val="18"/>
              </w:rPr>
              <w:t xml:space="preserve"> </w:t>
            </w:r>
            <w:r w:rsidRPr="00C11D3F">
              <w:rPr>
                <w:rFonts w:ascii="Gotham" w:hAnsi="Gotham" w:cs="Arial"/>
                <w:sz w:val="18"/>
                <w:szCs w:val="18"/>
              </w:rPr>
              <w:t>operativo,</w:t>
            </w:r>
            <w:r w:rsidRPr="00C11D3F">
              <w:rPr>
                <w:rFonts w:ascii="Gotham" w:hAnsi="Gotham" w:cs="Arial"/>
                <w:spacing w:val="-3"/>
                <w:sz w:val="18"/>
                <w:szCs w:val="18"/>
              </w:rPr>
              <w:t xml:space="preserve"> </w:t>
            </w:r>
            <w:r w:rsidRPr="00C11D3F">
              <w:rPr>
                <w:rFonts w:ascii="Gotham" w:hAnsi="Gotham" w:cs="Arial"/>
                <w:sz w:val="18"/>
                <w:szCs w:val="18"/>
              </w:rPr>
              <w:t>como</w:t>
            </w:r>
            <w:r w:rsidRPr="00C11D3F">
              <w:rPr>
                <w:rFonts w:ascii="Gotham" w:hAnsi="Gotham" w:cs="Arial"/>
                <w:spacing w:val="-6"/>
                <w:sz w:val="18"/>
                <w:szCs w:val="18"/>
              </w:rPr>
              <w:t xml:space="preserve"> </w:t>
            </w:r>
            <w:r w:rsidRPr="00C11D3F">
              <w:rPr>
                <w:rFonts w:ascii="Gotham" w:hAnsi="Gotham" w:cs="Arial"/>
                <w:sz w:val="18"/>
                <w:szCs w:val="18"/>
              </w:rPr>
              <w:t>apoyo</w:t>
            </w:r>
            <w:r w:rsidRPr="00C11D3F">
              <w:rPr>
                <w:rFonts w:ascii="Gotham" w:hAnsi="Gotham" w:cs="Arial"/>
                <w:spacing w:val="-5"/>
                <w:sz w:val="18"/>
                <w:szCs w:val="18"/>
              </w:rPr>
              <w:t xml:space="preserve"> </w:t>
            </w:r>
            <w:r w:rsidRPr="00C11D3F">
              <w:rPr>
                <w:rFonts w:ascii="Gotham" w:hAnsi="Gotham" w:cs="Arial"/>
                <w:sz w:val="18"/>
                <w:szCs w:val="18"/>
              </w:rPr>
              <w:t>a</w:t>
            </w:r>
            <w:r w:rsidRPr="00C11D3F">
              <w:rPr>
                <w:rFonts w:ascii="Gotham" w:hAnsi="Gotham" w:cs="Arial"/>
                <w:spacing w:val="-5"/>
                <w:sz w:val="18"/>
                <w:szCs w:val="18"/>
              </w:rPr>
              <w:t xml:space="preserve"> </w:t>
            </w:r>
            <w:r w:rsidRPr="00C11D3F">
              <w:rPr>
                <w:rFonts w:ascii="Gotham" w:hAnsi="Gotham" w:cs="Arial"/>
                <w:sz w:val="18"/>
                <w:szCs w:val="18"/>
              </w:rPr>
              <w:t>los</w:t>
            </w:r>
            <w:r w:rsidRPr="00C11D3F">
              <w:rPr>
                <w:rFonts w:ascii="Gotham" w:hAnsi="Gotham" w:cs="Arial"/>
                <w:spacing w:val="-8"/>
                <w:sz w:val="18"/>
                <w:szCs w:val="18"/>
              </w:rPr>
              <w:t xml:space="preserve"> </w:t>
            </w:r>
            <w:r w:rsidRPr="00C11D3F">
              <w:rPr>
                <w:rFonts w:ascii="Gotham" w:hAnsi="Gotham" w:cs="Arial"/>
                <w:sz w:val="18"/>
                <w:szCs w:val="18"/>
              </w:rPr>
              <w:t>Comités</w:t>
            </w:r>
            <w:r w:rsidRPr="00C11D3F">
              <w:rPr>
                <w:rFonts w:ascii="Gotham" w:hAnsi="Gotham" w:cs="Arial"/>
                <w:spacing w:val="-5"/>
                <w:sz w:val="18"/>
                <w:szCs w:val="18"/>
              </w:rPr>
              <w:t xml:space="preserve"> </w:t>
            </w:r>
            <w:r w:rsidRPr="00C11D3F">
              <w:rPr>
                <w:rFonts w:ascii="Gotham" w:hAnsi="Gotham" w:cs="Arial"/>
                <w:sz w:val="18"/>
                <w:szCs w:val="18"/>
              </w:rPr>
              <w:t>Sociales</w:t>
            </w:r>
            <w:r w:rsidRPr="00C11D3F">
              <w:rPr>
                <w:rFonts w:ascii="Gotham" w:hAnsi="Gotham" w:cs="Arial"/>
                <w:spacing w:val="-5"/>
                <w:sz w:val="18"/>
                <w:szCs w:val="18"/>
              </w:rPr>
              <w:t xml:space="preserve"> </w:t>
            </w:r>
            <w:r w:rsidRPr="00C11D3F">
              <w:rPr>
                <w:rFonts w:ascii="Gotham" w:hAnsi="Gotham" w:cs="Arial"/>
                <w:sz w:val="18"/>
                <w:szCs w:val="18"/>
              </w:rPr>
              <w:t>de</w:t>
            </w:r>
            <w:r w:rsidRPr="00C11D3F">
              <w:rPr>
                <w:rFonts w:ascii="Gotham" w:hAnsi="Gotham" w:cs="Arial"/>
                <w:spacing w:val="-5"/>
                <w:sz w:val="18"/>
                <w:szCs w:val="18"/>
              </w:rPr>
              <w:t xml:space="preserve"> </w:t>
            </w:r>
            <w:r w:rsidRPr="00C11D3F">
              <w:rPr>
                <w:rFonts w:ascii="Gotham" w:hAnsi="Gotham" w:cs="Arial"/>
                <w:sz w:val="18"/>
                <w:szCs w:val="18"/>
              </w:rPr>
              <w:t>Participación Ciudadana, la cual fungirá como enlace para la gestión de programas de los distintos niveles de</w:t>
            </w:r>
            <w:r w:rsidRPr="00C11D3F">
              <w:rPr>
                <w:rFonts w:ascii="Gotham" w:hAnsi="Gotham" w:cs="Arial"/>
                <w:spacing w:val="1"/>
                <w:sz w:val="18"/>
                <w:szCs w:val="18"/>
              </w:rPr>
              <w:t xml:space="preserve"> </w:t>
            </w:r>
            <w:r w:rsidRPr="00C11D3F">
              <w:rPr>
                <w:rFonts w:ascii="Gotham" w:hAnsi="Gotham" w:cs="Arial"/>
                <w:sz w:val="18"/>
                <w:szCs w:val="18"/>
              </w:rPr>
              <w:t>gobierno en beneficio de grupos en situación de vulnerabilidad y de la ciudadanía Tonalteca que lo</w:t>
            </w:r>
            <w:r w:rsidRPr="00C11D3F">
              <w:rPr>
                <w:rFonts w:ascii="Gotham" w:hAnsi="Gotham" w:cs="Arial"/>
                <w:spacing w:val="1"/>
                <w:sz w:val="18"/>
                <w:szCs w:val="18"/>
              </w:rPr>
              <w:t xml:space="preserve"> </w:t>
            </w:r>
            <w:r w:rsidRPr="00C11D3F">
              <w:rPr>
                <w:rFonts w:ascii="Gotham" w:hAnsi="Gotham" w:cs="Arial"/>
                <w:sz w:val="18"/>
                <w:szCs w:val="18"/>
              </w:rPr>
              <w:t xml:space="preserve">requiera, </w:t>
            </w:r>
            <w:r w:rsidRPr="00C11D3F">
              <w:rPr>
                <w:rFonts w:ascii="Gotham" w:hAnsi="Gotham" w:cs="Arial"/>
                <w:sz w:val="18"/>
                <w:szCs w:val="18"/>
                <w:shd w:val="clear" w:color="auto" w:fill="EDEDED" w:themeFill="accent3" w:themeFillTint="33"/>
              </w:rPr>
              <w:t>la Dirección</w:t>
            </w:r>
            <w:r w:rsidRPr="00C11D3F">
              <w:rPr>
                <w:rFonts w:ascii="Gotham" w:hAnsi="Gotham" w:cs="Arial"/>
                <w:sz w:val="18"/>
                <w:szCs w:val="18"/>
              </w:rPr>
              <w:t xml:space="preserve"> determinará la mejor forma de organización para la operación de la estructura</w:t>
            </w:r>
            <w:r w:rsidRPr="00C11D3F">
              <w:rPr>
                <w:rFonts w:ascii="Gotham" w:hAnsi="Gotham" w:cs="Arial"/>
                <w:spacing w:val="-52"/>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se</w:t>
            </w:r>
            <w:r w:rsidRPr="00C11D3F">
              <w:rPr>
                <w:rFonts w:ascii="Gotham" w:hAnsi="Gotham" w:cs="Arial"/>
                <w:spacing w:val="-2"/>
                <w:sz w:val="18"/>
                <w:szCs w:val="18"/>
              </w:rPr>
              <w:t xml:space="preserve"> </w:t>
            </w:r>
            <w:r w:rsidRPr="00C11D3F">
              <w:rPr>
                <w:rFonts w:ascii="Gotham" w:hAnsi="Gotham" w:cs="Arial"/>
                <w:sz w:val="18"/>
                <w:szCs w:val="18"/>
              </w:rPr>
              <w:t>ajustará</w:t>
            </w:r>
            <w:r w:rsidRPr="00C11D3F">
              <w:rPr>
                <w:rFonts w:ascii="Gotham" w:hAnsi="Gotham" w:cs="Arial"/>
                <w:spacing w:val="-1"/>
                <w:sz w:val="18"/>
                <w:szCs w:val="18"/>
              </w:rPr>
              <w:t xml:space="preserve"> </w:t>
            </w:r>
            <w:r w:rsidRPr="00C11D3F">
              <w:rPr>
                <w:rFonts w:ascii="Gotham" w:hAnsi="Gotham" w:cs="Arial"/>
                <w:sz w:val="18"/>
                <w:szCs w:val="18"/>
              </w:rPr>
              <w:t>a</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disponibilidad</w:t>
            </w:r>
            <w:r w:rsidRPr="00C11D3F">
              <w:rPr>
                <w:rFonts w:ascii="Gotham" w:hAnsi="Gotham" w:cs="Arial"/>
                <w:spacing w:val="1"/>
                <w:sz w:val="18"/>
                <w:szCs w:val="18"/>
              </w:rPr>
              <w:t xml:space="preserve"> </w:t>
            </w:r>
            <w:r w:rsidRPr="00C11D3F">
              <w:rPr>
                <w:rFonts w:ascii="Gotham" w:hAnsi="Gotham" w:cs="Arial"/>
                <w:sz w:val="18"/>
                <w:szCs w:val="18"/>
              </w:rPr>
              <w:t>presupuestaria</w:t>
            </w:r>
            <w:r w:rsidRPr="00C11D3F">
              <w:rPr>
                <w:rFonts w:ascii="Gotham" w:hAnsi="Gotham" w:cs="Arial"/>
                <w:spacing w:val="2"/>
                <w:sz w:val="18"/>
                <w:szCs w:val="18"/>
              </w:rPr>
              <w:t xml:space="preserve"> </w:t>
            </w:r>
            <w:r w:rsidRPr="00C11D3F">
              <w:rPr>
                <w:rFonts w:ascii="Gotham" w:hAnsi="Gotham" w:cs="Arial"/>
                <w:sz w:val="18"/>
                <w:szCs w:val="18"/>
              </w:rPr>
              <w:t>con</w:t>
            </w:r>
            <w:r w:rsidRPr="00C11D3F">
              <w:rPr>
                <w:rFonts w:ascii="Gotham" w:hAnsi="Gotham" w:cs="Arial"/>
                <w:spacing w:val="-3"/>
                <w:sz w:val="18"/>
                <w:szCs w:val="18"/>
              </w:rPr>
              <w:t xml:space="preserve"> </w:t>
            </w:r>
            <w:r w:rsidRPr="00C11D3F">
              <w:rPr>
                <w:rFonts w:ascii="Gotham" w:hAnsi="Gotham" w:cs="Arial"/>
                <w:sz w:val="18"/>
                <w:szCs w:val="18"/>
              </w:rPr>
              <w:t>que</w:t>
            </w:r>
            <w:r w:rsidRPr="00C11D3F">
              <w:rPr>
                <w:rFonts w:ascii="Gotham" w:hAnsi="Gotham" w:cs="Arial"/>
                <w:spacing w:val="-2"/>
                <w:sz w:val="18"/>
                <w:szCs w:val="18"/>
              </w:rPr>
              <w:t xml:space="preserve"> </w:t>
            </w:r>
            <w:r w:rsidRPr="00C11D3F">
              <w:rPr>
                <w:rFonts w:ascii="Gotham" w:hAnsi="Gotham" w:cs="Arial"/>
                <w:sz w:val="18"/>
                <w:szCs w:val="18"/>
              </w:rPr>
              <w:t>cuente</w:t>
            </w:r>
            <w:r w:rsidRPr="00C11D3F">
              <w:rPr>
                <w:rFonts w:ascii="Gotham" w:hAnsi="Gotham" w:cs="Arial"/>
                <w:spacing w:val="-1"/>
                <w:sz w:val="18"/>
                <w:szCs w:val="18"/>
              </w:rPr>
              <w:t xml:space="preserve"> </w:t>
            </w:r>
            <w:r w:rsidRPr="00C11D3F">
              <w:rPr>
                <w:rFonts w:ascii="Gotham" w:hAnsi="Gotham" w:cs="Arial"/>
                <w:sz w:val="18"/>
                <w:szCs w:val="18"/>
              </w:rPr>
              <w:t>el</w:t>
            </w:r>
            <w:r w:rsidRPr="00C11D3F">
              <w:rPr>
                <w:rFonts w:ascii="Gotham" w:hAnsi="Gotham" w:cs="Arial"/>
                <w:spacing w:val="-2"/>
                <w:sz w:val="18"/>
                <w:szCs w:val="18"/>
              </w:rPr>
              <w:t xml:space="preserve"> </w:t>
            </w:r>
            <w:r w:rsidRPr="00C11D3F">
              <w:rPr>
                <w:rFonts w:ascii="Gotham" w:hAnsi="Gotham" w:cs="Arial"/>
                <w:b/>
                <w:bCs/>
                <w:sz w:val="18"/>
                <w:szCs w:val="18"/>
              </w:rPr>
              <w:t>A</w:t>
            </w:r>
            <w:r w:rsidRPr="00C11D3F">
              <w:rPr>
                <w:rFonts w:ascii="Gotham" w:hAnsi="Gotham" w:cs="Arial"/>
                <w:sz w:val="18"/>
                <w:szCs w:val="18"/>
              </w:rPr>
              <w:t>yuntamiento;</w:t>
            </w:r>
          </w:p>
        </w:tc>
      </w:tr>
      <w:tr w:rsidR="009B5E39" w:rsidRPr="00C11D3F" w14:paraId="3A4766BF" w14:textId="77777777" w:rsidTr="00190E4A">
        <w:trPr>
          <w:jc w:val="center"/>
        </w:trPr>
        <w:tc>
          <w:tcPr>
            <w:tcW w:w="4673" w:type="dxa"/>
          </w:tcPr>
          <w:p w14:paraId="3A4766B5" w14:textId="77777777" w:rsidR="009B5E39" w:rsidRDefault="009B5E39" w:rsidP="00190E4A">
            <w:pPr>
              <w:jc w:val="both"/>
              <w:rPr>
                <w:rFonts w:ascii="Gotham" w:hAnsi="Gotham" w:cs="Arial"/>
                <w:sz w:val="18"/>
                <w:szCs w:val="18"/>
              </w:rPr>
            </w:pPr>
          </w:p>
          <w:p w14:paraId="3A4766B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11. </w:t>
            </w:r>
          </w:p>
          <w:p w14:paraId="3A4766B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IX.</w:t>
            </w:r>
          </w:p>
          <w:p w14:paraId="3A4766B8" w14:textId="77777777" w:rsidR="009B5E39" w:rsidRDefault="009B5E39" w:rsidP="00190E4A">
            <w:pPr>
              <w:jc w:val="both"/>
              <w:rPr>
                <w:rFonts w:ascii="Gotham" w:hAnsi="Gotham" w:cs="Arial"/>
                <w:sz w:val="18"/>
                <w:szCs w:val="18"/>
              </w:rPr>
            </w:pPr>
          </w:p>
          <w:p w14:paraId="3A4766B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Facilitar y promover la organización ciudadana, así como las relaciones con los OSC para </w:t>
            </w:r>
            <w:r w:rsidRPr="00C11D3F">
              <w:rPr>
                <w:rFonts w:ascii="Gotham" w:hAnsi="Gotham" w:cs="Arial"/>
                <w:b/>
                <w:bCs/>
                <w:sz w:val="18"/>
                <w:szCs w:val="18"/>
              </w:rPr>
              <w:t>la</w:t>
            </w:r>
            <w:r w:rsidRPr="00C11D3F">
              <w:rPr>
                <w:rFonts w:ascii="Gotham" w:hAnsi="Gotham" w:cs="Arial"/>
                <w:b/>
                <w:bCs/>
                <w:spacing w:val="1"/>
                <w:sz w:val="18"/>
                <w:szCs w:val="18"/>
              </w:rPr>
              <w:t xml:space="preserve"> </w:t>
            </w:r>
            <w:r w:rsidRPr="00C11D3F">
              <w:rPr>
                <w:rFonts w:ascii="Gotham" w:hAnsi="Gotham" w:cs="Arial"/>
                <w:b/>
                <w:bCs/>
                <w:sz w:val="18"/>
                <w:szCs w:val="18"/>
              </w:rPr>
              <w:t>consecución</w:t>
            </w:r>
            <w:r w:rsidRPr="00C11D3F">
              <w:rPr>
                <w:rFonts w:ascii="Gotham" w:hAnsi="Gotham" w:cs="Arial"/>
                <w:spacing w:val="-3"/>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sus</w:t>
            </w:r>
            <w:r w:rsidRPr="00C11D3F">
              <w:rPr>
                <w:rFonts w:ascii="Gotham" w:hAnsi="Gotham" w:cs="Arial"/>
                <w:spacing w:val="-1"/>
                <w:sz w:val="18"/>
                <w:szCs w:val="18"/>
              </w:rPr>
              <w:t xml:space="preserve"> </w:t>
            </w:r>
            <w:r w:rsidRPr="00C11D3F">
              <w:rPr>
                <w:rFonts w:ascii="Gotham" w:hAnsi="Gotham" w:cs="Arial"/>
                <w:sz w:val="18"/>
                <w:szCs w:val="18"/>
              </w:rPr>
              <w:t>fines;</w:t>
            </w:r>
          </w:p>
        </w:tc>
        <w:tc>
          <w:tcPr>
            <w:tcW w:w="4678" w:type="dxa"/>
          </w:tcPr>
          <w:p w14:paraId="3A4766BA" w14:textId="77777777" w:rsidR="009B5E39" w:rsidRDefault="009B5E39" w:rsidP="00190E4A">
            <w:pPr>
              <w:jc w:val="both"/>
              <w:rPr>
                <w:rFonts w:ascii="Gotham" w:hAnsi="Gotham" w:cs="Arial"/>
                <w:sz w:val="18"/>
                <w:szCs w:val="18"/>
              </w:rPr>
            </w:pPr>
          </w:p>
          <w:p w14:paraId="3A4766B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11. </w:t>
            </w:r>
          </w:p>
          <w:p w14:paraId="3A4766B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IX.</w:t>
            </w:r>
          </w:p>
          <w:p w14:paraId="3A4766BD" w14:textId="77777777" w:rsidR="009B5E39" w:rsidRDefault="009B5E39" w:rsidP="00190E4A">
            <w:pPr>
              <w:jc w:val="both"/>
              <w:rPr>
                <w:rFonts w:ascii="Gotham" w:hAnsi="Gotham" w:cs="Arial"/>
                <w:sz w:val="18"/>
                <w:szCs w:val="18"/>
              </w:rPr>
            </w:pPr>
          </w:p>
          <w:p w14:paraId="3A4766B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Facilitar y promover la organización ciudadana, así como las relaciones con las Organizaciones de la Sociedad Civil para </w:t>
            </w:r>
            <w:r w:rsidRPr="00C11D3F">
              <w:rPr>
                <w:rFonts w:ascii="Gotham" w:hAnsi="Gotham" w:cs="Arial"/>
                <w:b/>
                <w:bCs/>
                <w:sz w:val="18"/>
                <w:szCs w:val="18"/>
              </w:rPr>
              <w:t>lograr</w:t>
            </w:r>
            <w:r w:rsidRPr="00C11D3F">
              <w:rPr>
                <w:rFonts w:ascii="Gotham" w:hAnsi="Gotham" w:cs="Arial"/>
                <w:sz w:val="18"/>
                <w:szCs w:val="18"/>
              </w:rPr>
              <w:t xml:space="preserve"> sus fines;</w:t>
            </w:r>
          </w:p>
        </w:tc>
      </w:tr>
      <w:tr w:rsidR="009B5E39" w:rsidRPr="00C11D3F" w14:paraId="3A4766CA" w14:textId="77777777" w:rsidTr="00190E4A">
        <w:trPr>
          <w:jc w:val="center"/>
        </w:trPr>
        <w:tc>
          <w:tcPr>
            <w:tcW w:w="4673" w:type="dxa"/>
          </w:tcPr>
          <w:p w14:paraId="3A4766C0" w14:textId="77777777" w:rsidR="009B5E39" w:rsidRDefault="009B5E39" w:rsidP="00190E4A">
            <w:pPr>
              <w:jc w:val="both"/>
              <w:rPr>
                <w:rFonts w:ascii="Gotham" w:hAnsi="Gotham" w:cs="Arial"/>
                <w:sz w:val="18"/>
                <w:szCs w:val="18"/>
              </w:rPr>
            </w:pPr>
          </w:p>
          <w:p w14:paraId="3A4766C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TÍTULO SEGUNDO</w:t>
            </w:r>
          </w:p>
          <w:p w14:paraId="3A4766C2" w14:textId="77777777" w:rsidR="009B5E39" w:rsidRDefault="009B5E39" w:rsidP="00190E4A">
            <w:pPr>
              <w:jc w:val="both"/>
              <w:rPr>
                <w:rFonts w:ascii="Gotham" w:hAnsi="Gotham" w:cs="Arial"/>
                <w:sz w:val="18"/>
                <w:szCs w:val="18"/>
              </w:rPr>
            </w:pPr>
          </w:p>
          <w:p w14:paraId="3A4766C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CAPÍTULO I</w:t>
            </w:r>
          </w:p>
          <w:p w14:paraId="3A4766C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Del</w:t>
            </w:r>
            <w:r w:rsidRPr="00C11D3F">
              <w:rPr>
                <w:rFonts w:ascii="Gotham" w:hAnsi="Gotham" w:cs="Arial"/>
                <w:spacing w:val="-4"/>
                <w:sz w:val="18"/>
                <w:szCs w:val="18"/>
              </w:rPr>
              <w:t xml:space="preserve"> </w:t>
            </w:r>
            <w:r w:rsidRPr="00C11D3F">
              <w:rPr>
                <w:rFonts w:ascii="Gotham" w:hAnsi="Gotham" w:cs="Arial"/>
                <w:sz w:val="18"/>
                <w:szCs w:val="18"/>
              </w:rPr>
              <w:t>Acceso</w:t>
            </w:r>
            <w:r w:rsidRPr="00C11D3F">
              <w:rPr>
                <w:rFonts w:ascii="Gotham" w:hAnsi="Gotham" w:cs="Arial"/>
                <w:spacing w:val="-9"/>
                <w:sz w:val="18"/>
                <w:szCs w:val="18"/>
              </w:rPr>
              <w:t xml:space="preserve"> </w:t>
            </w:r>
            <w:r w:rsidRPr="00C11D3F">
              <w:rPr>
                <w:rFonts w:ascii="Gotham" w:hAnsi="Gotham" w:cs="Arial"/>
                <w:sz w:val="18"/>
                <w:szCs w:val="18"/>
              </w:rPr>
              <w:t>a</w:t>
            </w:r>
            <w:r w:rsidRPr="00C11D3F">
              <w:rPr>
                <w:rFonts w:ascii="Gotham" w:hAnsi="Gotham" w:cs="Arial"/>
                <w:spacing w:val="-4"/>
                <w:sz w:val="18"/>
                <w:szCs w:val="18"/>
              </w:rPr>
              <w:t xml:space="preserve"> </w:t>
            </w:r>
            <w:r w:rsidRPr="00C11D3F">
              <w:rPr>
                <w:rFonts w:ascii="Gotham" w:hAnsi="Gotham" w:cs="Arial"/>
                <w:sz w:val="18"/>
                <w:szCs w:val="18"/>
              </w:rPr>
              <w:t>la</w:t>
            </w:r>
            <w:r w:rsidRPr="00C11D3F">
              <w:rPr>
                <w:rFonts w:ascii="Gotham" w:hAnsi="Gotham" w:cs="Arial"/>
                <w:spacing w:val="-4"/>
                <w:sz w:val="18"/>
                <w:szCs w:val="18"/>
              </w:rPr>
              <w:t xml:space="preserve"> </w:t>
            </w:r>
            <w:r w:rsidRPr="00C11D3F">
              <w:rPr>
                <w:rFonts w:ascii="Gotham" w:hAnsi="Gotham" w:cs="Arial"/>
                <w:sz w:val="18"/>
                <w:szCs w:val="18"/>
              </w:rPr>
              <w:t>Información</w:t>
            </w:r>
            <w:r w:rsidRPr="00C11D3F">
              <w:rPr>
                <w:rFonts w:ascii="Gotham" w:hAnsi="Gotham" w:cs="Arial"/>
                <w:spacing w:val="-2"/>
                <w:sz w:val="18"/>
                <w:szCs w:val="18"/>
              </w:rPr>
              <w:t xml:space="preserve"> </w:t>
            </w:r>
            <w:r w:rsidRPr="00C11D3F">
              <w:rPr>
                <w:rFonts w:ascii="Gotham" w:hAnsi="Gotham" w:cs="Arial"/>
                <w:sz w:val="18"/>
                <w:szCs w:val="18"/>
              </w:rPr>
              <w:t>Registro</w:t>
            </w:r>
            <w:r w:rsidRPr="00C11D3F">
              <w:rPr>
                <w:rFonts w:ascii="Gotham" w:hAnsi="Gotham" w:cs="Arial"/>
                <w:spacing w:val="-5"/>
                <w:sz w:val="18"/>
                <w:szCs w:val="18"/>
              </w:rPr>
              <w:t xml:space="preserve"> </w:t>
            </w:r>
            <w:r w:rsidRPr="00C11D3F">
              <w:rPr>
                <w:rFonts w:ascii="Gotham" w:hAnsi="Gotham" w:cs="Arial"/>
                <w:sz w:val="18"/>
                <w:szCs w:val="18"/>
              </w:rPr>
              <w:t>municipal de</w:t>
            </w:r>
            <w:r w:rsidRPr="00C11D3F">
              <w:rPr>
                <w:rFonts w:ascii="Gotham" w:hAnsi="Gotham" w:cs="Arial"/>
                <w:spacing w:val="1"/>
                <w:sz w:val="18"/>
                <w:szCs w:val="18"/>
              </w:rPr>
              <w:t xml:space="preserve"> </w:t>
            </w:r>
            <w:r w:rsidRPr="00C11D3F">
              <w:rPr>
                <w:rFonts w:ascii="Gotham" w:hAnsi="Gotham" w:cs="Arial"/>
                <w:sz w:val="18"/>
                <w:szCs w:val="18"/>
              </w:rPr>
              <w:t>participación</w:t>
            </w:r>
            <w:r w:rsidRPr="00C11D3F">
              <w:rPr>
                <w:rFonts w:ascii="Gotham" w:hAnsi="Gotham" w:cs="Arial"/>
                <w:spacing w:val="-6"/>
                <w:sz w:val="18"/>
                <w:szCs w:val="18"/>
              </w:rPr>
              <w:t xml:space="preserve"> </w:t>
            </w:r>
            <w:r w:rsidRPr="00C11D3F">
              <w:rPr>
                <w:rFonts w:ascii="Gotham" w:hAnsi="Gotham" w:cs="Arial"/>
                <w:sz w:val="18"/>
                <w:szCs w:val="18"/>
              </w:rPr>
              <w:t>ciudadana</w:t>
            </w:r>
          </w:p>
        </w:tc>
        <w:tc>
          <w:tcPr>
            <w:tcW w:w="4678" w:type="dxa"/>
          </w:tcPr>
          <w:p w14:paraId="3A4766C5" w14:textId="77777777" w:rsidR="009B5E39" w:rsidRDefault="009B5E39" w:rsidP="00190E4A">
            <w:pPr>
              <w:jc w:val="both"/>
              <w:rPr>
                <w:rFonts w:ascii="Gotham" w:hAnsi="Gotham" w:cs="Arial"/>
                <w:sz w:val="18"/>
                <w:szCs w:val="18"/>
              </w:rPr>
            </w:pPr>
          </w:p>
          <w:p w14:paraId="3A4766C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TÍTULO SEGUNDO</w:t>
            </w:r>
          </w:p>
          <w:p w14:paraId="3A4766C7" w14:textId="77777777" w:rsidR="009B5E39" w:rsidRDefault="009B5E39" w:rsidP="00190E4A">
            <w:pPr>
              <w:jc w:val="both"/>
              <w:rPr>
                <w:rFonts w:ascii="Gotham" w:hAnsi="Gotham" w:cs="Arial"/>
                <w:sz w:val="18"/>
                <w:szCs w:val="18"/>
              </w:rPr>
            </w:pPr>
          </w:p>
          <w:p w14:paraId="3A4766C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CAPÍTULO I</w:t>
            </w:r>
          </w:p>
          <w:p w14:paraId="3A4766C9" w14:textId="77777777" w:rsidR="009B5E39" w:rsidRPr="00C11D3F" w:rsidRDefault="009B5E39" w:rsidP="00190E4A">
            <w:pPr>
              <w:jc w:val="both"/>
              <w:rPr>
                <w:rFonts w:ascii="Gotham" w:hAnsi="Gotham" w:cs="Arial"/>
                <w:b/>
                <w:bCs/>
                <w:sz w:val="18"/>
                <w:szCs w:val="18"/>
              </w:rPr>
            </w:pPr>
            <w:r w:rsidRPr="00C11D3F">
              <w:rPr>
                <w:rFonts w:ascii="Gotham" w:hAnsi="Gotham" w:cs="Arial"/>
                <w:b/>
                <w:bCs/>
                <w:sz w:val="18"/>
                <w:szCs w:val="18"/>
              </w:rPr>
              <w:t>Del Registro Municipal de Participación Ciudadana</w:t>
            </w:r>
          </w:p>
        </w:tc>
      </w:tr>
      <w:tr w:rsidR="009B5E39" w:rsidRPr="00C11D3F" w14:paraId="3A4766CF" w14:textId="77777777" w:rsidTr="00190E4A">
        <w:trPr>
          <w:jc w:val="center"/>
        </w:trPr>
        <w:tc>
          <w:tcPr>
            <w:tcW w:w="4673" w:type="dxa"/>
          </w:tcPr>
          <w:p w14:paraId="3A4766CB" w14:textId="77777777" w:rsidR="009B5E39" w:rsidRDefault="009B5E39" w:rsidP="00190E4A">
            <w:pPr>
              <w:jc w:val="both"/>
              <w:rPr>
                <w:rFonts w:ascii="Gotham" w:hAnsi="Gotham" w:cs="Arial"/>
                <w:sz w:val="18"/>
                <w:szCs w:val="18"/>
              </w:rPr>
            </w:pPr>
          </w:p>
          <w:p w14:paraId="3A4766C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5"/>
                <w:sz w:val="18"/>
                <w:szCs w:val="18"/>
              </w:rPr>
              <w:t xml:space="preserve"> </w:t>
            </w:r>
            <w:r w:rsidRPr="00C11D3F">
              <w:rPr>
                <w:rFonts w:ascii="Gotham" w:hAnsi="Gotham" w:cs="Arial"/>
                <w:sz w:val="18"/>
                <w:szCs w:val="18"/>
              </w:rPr>
              <w:t>forma</w:t>
            </w:r>
            <w:r w:rsidRPr="00C11D3F">
              <w:rPr>
                <w:rFonts w:ascii="Gotham" w:hAnsi="Gotham" w:cs="Arial"/>
                <w:spacing w:val="-4"/>
                <w:sz w:val="18"/>
                <w:szCs w:val="18"/>
              </w:rPr>
              <w:t xml:space="preserve"> </w:t>
            </w:r>
            <w:r w:rsidRPr="00C11D3F">
              <w:rPr>
                <w:rFonts w:ascii="Gotham" w:hAnsi="Gotham" w:cs="Arial"/>
                <w:sz w:val="18"/>
                <w:szCs w:val="18"/>
              </w:rPr>
              <w:t>para</w:t>
            </w:r>
            <w:r w:rsidRPr="00C11D3F">
              <w:rPr>
                <w:rFonts w:ascii="Gotham" w:hAnsi="Gotham" w:cs="Arial"/>
                <w:spacing w:val="-4"/>
                <w:sz w:val="18"/>
                <w:szCs w:val="18"/>
              </w:rPr>
              <w:t xml:space="preserve"> </w:t>
            </w:r>
            <w:r w:rsidRPr="00C11D3F">
              <w:rPr>
                <w:rFonts w:ascii="Gotham" w:hAnsi="Gotham" w:cs="Arial"/>
                <w:sz w:val="18"/>
                <w:szCs w:val="18"/>
              </w:rPr>
              <w:t>establecer</w:t>
            </w:r>
            <w:r w:rsidRPr="00C11D3F">
              <w:rPr>
                <w:rFonts w:ascii="Gotham" w:hAnsi="Gotham" w:cs="Arial"/>
                <w:spacing w:val="-5"/>
                <w:sz w:val="18"/>
                <w:szCs w:val="18"/>
              </w:rPr>
              <w:t xml:space="preserve"> </w:t>
            </w:r>
            <w:r w:rsidRPr="00C11D3F">
              <w:rPr>
                <w:rFonts w:ascii="Gotham" w:hAnsi="Gotham" w:cs="Arial"/>
                <w:sz w:val="18"/>
                <w:szCs w:val="18"/>
              </w:rPr>
              <w:t>un</w:t>
            </w:r>
            <w:r w:rsidRPr="00C11D3F">
              <w:rPr>
                <w:rFonts w:ascii="Gotham" w:hAnsi="Gotham" w:cs="Arial"/>
                <w:spacing w:val="-5"/>
                <w:sz w:val="18"/>
                <w:szCs w:val="18"/>
              </w:rPr>
              <w:t xml:space="preserve"> </w:t>
            </w:r>
            <w:r w:rsidRPr="00C11D3F">
              <w:rPr>
                <w:rFonts w:ascii="Gotham" w:hAnsi="Gotham" w:cs="Arial"/>
                <w:sz w:val="18"/>
                <w:szCs w:val="18"/>
              </w:rPr>
              <w:t>registro</w:t>
            </w:r>
            <w:r w:rsidRPr="00C11D3F">
              <w:rPr>
                <w:rFonts w:ascii="Gotham" w:hAnsi="Gotham" w:cs="Arial"/>
                <w:spacing w:val="-2"/>
                <w:sz w:val="18"/>
                <w:szCs w:val="18"/>
              </w:rPr>
              <w:t xml:space="preserve"> </w:t>
            </w:r>
            <w:r w:rsidRPr="00C11D3F">
              <w:rPr>
                <w:rFonts w:ascii="Gotham" w:hAnsi="Gotham" w:cs="Arial"/>
                <w:sz w:val="18"/>
                <w:szCs w:val="18"/>
              </w:rPr>
              <w:t>será</w:t>
            </w:r>
            <w:r w:rsidRPr="00C11D3F">
              <w:rPr>
                <w:rFonts w:ascii="Gotham" w:hAnsi="Gotham" w:cs="Arial"/>
                <w:spacing w:val="-4"/>
                <w:sz w:val="18"/>
                <w:szCs w:val="18"/>
              </w:rPr>
              <w:t xml:space="preserve"> </w:t>
            </w:r>
            <w:r w:rsidRPr="00C11D3F">
              <w:rPr>
                <w:rFonts w:ascii="Gotham" w:hAnsi="Gotham" w:cs="Arial"/>
                <w:sz w:val="18"/>
                <w:szCs w:val="18"/>
              </w:rPr>
              <w:t>la</w:t>
            </w:r>
            <w:r w:rsidRPr="00C11D3F">
              <w:rPr>
                <w:rFonts w:ascii="Gotham" w:hAnsi="Gotham" w:cs="Arial"/>
                <w:spacing w:val="-4"/>
                <w:sz w:val="18"/>
                <w:szCs w:val="18"/>
              </w:rPr>
              <w:t xml:space="preserve"> </w:t>
            </w:r>
            <w:r w:rsidRPr="00C11D3F">
              <w:rPr>
                <w:rFonts w:ascii="Gotham" w:hAnsi="Gotham" w:cs="Arial"/>
                <w:sz w:val="18"/>
                <w:szCs w:val="18"/>
              </w:rPr>
              <w:t>siguiente:</w:t>
            </w:r>
          </w:p>
        </w:tc>
        <w:tc>
          <w:tcPr>
            <w:tcW w:w="4678" w:type="dxa"/>
          </w:tcPr>
          <w:p w14:paraId="3A4766CD" w14:textId="77777777" w:rsidR="009B5E39" w:rsidRDefault="009B5E39" w:rsidP="00190E4A">
            <w:pPr>
              <w:jc w:val="both"/>
              <w:rPr>
                <w:rFonts w:ascii="Gotham" w:hAnsi="Gotham" w:cs="Arial"/>
                <w:sz w:val="18"/>
                <w:szCs w:val="18"/>
              </w:rPr>
            </w:pPr>
          </w:p>
          <w:p w14:paraId="3A4766C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16. La forma para establecer un </w:t>
            </w:r>
            <w:r w:rsidRPr="00C11D3F">
              <w:rPr>
                <w:rFonts w:ascii="Gotham" w:hAnsi="Gotham" w:cs="Arial"/>
                <w:b/>
                <w:bCs/>
                <w:sz w:val="18"/>
                <w:szCs w:val="18"/>
              </w:rPr>
              <w:t>Registro Municipal de Participación Ciudadana</w:t>
            </w:r>
            <w:r w:rsidRPr="00C11D3F">
              <w:rPr>
                <w:rFonts w:ascii="Gotham" w:hAnsi="Gotham" w:cs="Arial"/>
                <w:sz w:val="18"/>
                <w:szCs w:val="18"/>
              </w:rPr>
              <w:t xml:space="preserve"> será la siguiente:</w:t>
            </w:r>
          </w:p>
        </w:tc>
      </w:tr>
      <w:tr w:rsidR="009B5E39" w:rsidRPr="00C11D3F" w14:paraId="3A4766DA" w14:textId="77777777" w:rsidTr="00190E4A">
        <w:trPr>
          <w:jc w:val="center"/>
        </w:trPr>
        <w:tc>
          <w:tcPr>
            <w:tcW w:w="4673" w:type="dxa"/>
          </w:tcPr>
          <w:p w14:paraId="3A4766D0" w14:textId="77777777" w:rsidR="009B5E39" w:rsidRDefault="009B5E39" w:rsidP="00190E4A">
            <w:pPr>
              <w:jc w:val="both"/>
              <w:rPr>
                <w:rFonts w:ascii="Gotham" w:hAnsi="Gotham" w:cs="Arial"/>
                <w:sz w:val="18"/>
                <w:szCs w:val="18"/>
              </w:rPr>
            </w:pPr>
          </w:p>
          <w:p w14:paraId="3A4766D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p>
          <w:p w14:paraId="3A4766D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w:t>
            </w:r>
          </w:p>
          <w:p w14:paraId="3A4766D3" w14:textId="77777777" w:rsidR="009B5E39" w:rsidRDefault="009B5E39" w:rsidP="00190E4A">
            <w:pPr>
              <w:jc w:val="both"/>
              <w:rPr>
                <w:rFonts w:ascii="Gotham" w:hAnsi="Gotham" w:cs="Arial"/>
                <w:sz w:val="18"/>
                <w:szCs w:val="18"/>
              </w:rPr>
            </w:pPr>
          </w:p>
          <w:p w14:paraId="3A4766D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 inscripción en el </w:t>
            </w:r>
            <w:r w:rsidRPr="00C11D3F">
              <w:rPr>
                <w:rFonts w:ascii="Gotham" w:hAnsi="Gotham" w:cs="Arial"/>
                <w:sz w:val="18"/>
                <w:szCs w:val="18"/>
                <w:shd w:val="clear" w:color="auto" w:fill="EDEDED" w:themeFill="accent3" w:themeFillTint="33"/>
              </w:rPr>
              <w:t xml:space="preserve">Registro </w:t>
            </w:r>
            <w:r w:rsidRPr="00C11D3F">
              <w:rPr>
                <w:rFonts w:ascii="Gotham" w:hAnsi="Gotham" w:cs="Arial"/>
                <w:sz w:val="18"/>
                <w:szCs w:val="18"/>
              </w:rPr>
              <w:t>se hace a petición de parte interesada, quien debe cumplir con los</w:t>
            </w:r>
            <w:r w:rsidRPr="00C11D3F">
              <w:rPr>
                <w:rFonts w:ascii="Gotham" w:hAnsi="Gotham" w:cs="Arial"/>
                <w:spacing w:val="1"/>
                <w:sz w:val="18"/>
                <w:szCs w:val="18"/>
              </w:rPr>
              <w:t xml:space="preserve"> </w:t>
            </w:r>
            <w:r w:rsidRPr="00C11D3F">
              <w:rPr>
                <w:rFonts w:ascii="Gotham" w:hAnsi="Gotham" w:cs="Arial"/>
                <w:sz w:val="18"/>
                <w:szCs w:val="18"/>
              </w:rPr>
              <w:t xml:space="preserve">requisitos y acompañar la documentación  </w:t>
            </w:r>
            <w:r w:rsidRPr="00C11D3F">
              <w:rPr>
                <w:rFonts w:ascii="Gotham" w:hAnsi="Gotham" w:cs="Arial"/>
                <w:color w:val="ED0000"/>
                <w:sz w:val="18"/>
                <w:szCs w:val="18"/>
              </w:rPr>
              <w:t>que se señalan en este reglamento</w:t>
            </w:r>
            <w:r w:rsidRPr="00C11D3F">
              <w:rPr>
                <w:rFonts w:ascii="Gotham" w:hAnsi="Gotham" w:cs="Arial"/>
                <w:sz w:val="18"/>
                <w:szCs w:val="18"/>
              </w:rPr>
              <w:t xml:space="preserve"> y entregarla a la</w:t>
            </w:r>
            <w:r w:rsidRPr="00C11D3F">
              <w:rPr>
                <w:rFonts w:ascii="Gotham" w:hAnsi="Gotham" w:cs="Arial"/>
                <w:spacing w:val="1"/>
                <w:sz w:val="18"/>
                <w:szCs w:val="18"/>
              </w:rPr>
              <w:t xml:space="preserve"> </w:t>
            </w:r>
            <w:r w:rsidRPr="00C11D3F">
              <w:rPr>
                <w:rFonts w:ascii="Gotham" w:hAnsi="Gotham" w:cs="Arial"/>
                <w:sz w:val="18"/>
                <w:szCs w:val="18"/>
              </w:rPr>
              <w:t>Dirección de Participación Ciudadana, quien revisa que</w:t>
            </w:r>
            <w:r w:rsidRPr="00C11D3F">
              <w:rPr>
                <w:rFonts w:ascii="Gotham" w:hAnsi="Gotham" w:cs="Arial"/>
                <w:spacing w:val="1"/>
                <w:sz w:val="18"/>
                <w:szCs w:val="18"/>
              </w:rPr>
              <w:t xml:space="preserve"> </w:t>
            </w:r>
            <w:r w:rsidRPr="00C11D3F">
              <w:rPr>
                <w:rFonts w:ascii="Gotham" w:hAnsi="Gotham" w:cs="Arial"/>
                <w:sz w:val="18"/>
                <w:szCs w:val="18"/>
              </w:rPr>
              <w:t>contenga la totalidad de los documentos</w:t>
            </w:r>
            <w:r w:rsidRPr="00C11D3F">
              <w:rPr>
                <w:rFonts w:ascii="Gotham" w:hAnsi="Gotham" w:cs="Arial"/>
                <w:spacing w:val="1"/>
                <w:sz w:val="18"/>
                <w:szCs w:val="18"/>
              </w:rPr>
              <w:t xml:space="preserve"> </w:t>
            </w:r>
            <w:r w:rsidRPr="00C11D3F">
              <w:rPr>
                <w:rFonts w:ascii="Gotham" w:hAnsi="Gotham" w:cs="Arial"/>
                <w:sz w:val="18"/>
                <w:szCs w:val="18"/>
              </w:rPr>
              <w:t xml:space="preserve">referidos, en caso de faltar o presentarse alguna </w:t>
            </w:r>
            <w:r w:rsidRPr="00C11D3F">
              <w:rPr>
                <w:rFonts w:ascii="Gotham" w:hAnsi="Gotham" w:cs="Arial"/>
                <w:sz w:val="18"/>
                <w:szCs w:val="18"/>
              </w:rPr>
              <w:lastRenderedPageBreak/>
              <w:t>documentación con carencias o imprecisiones, se</w:t>
            </w:r>
            <w:r w:rsidRPr="00C11D3F">
              <w:rPr>
                <w:rFonts w:ascii="Gotham" w:hAnsi="Gotham" w:cs="Arial"/>
                <w:spacing w:val="1"/>
                <w:sz w:val="18"/>
                <w:szCs w:val="18"/>
              </w:rPr>
              <w:t xml:space="preserve"> </w:t>
            </w:r>
            <w:r w:rsidRPr="00C11D3F">
              <w:rPr>
                <w:rFonts w:ascii="Gotham" w:hAnsi="Gotham" w:cs="Arial"/>
                <w:sz w:val="18"/>
                <w:szCs w:val="18"/>
              </w:rPr>
              <w:t xml:space="preserve">notifica tal situación a dicha asociación, para que en un plazo </w:t>
            </w:r>
            <w:r w:rsidRPr="00C11D3F">
              <w:rPr>
                <w:rFonts w:ascii="Gotham" w:hAnsi="Gotham" w:cs="Arial"/>
                <w:color w:val="E40000"/>
                <w:sz w:val="18"/>
                <w:szCs w:val="18"/>
              </w:rPr>
              <w:t>improrrogable de</w:t>
            </w:r>
            <w:r w:rsidRPr="00C11D3F">
              <w:rPr>
                <w:rFonts w:ascii="Gotham" w:hAnsi="Gotham" w:cs="Arial"/>
                <w:sz w:val="18"/>
                <w:szCs w:val="18"/>
              </w:rPr>
              <w:t xml:space="preserve"> cinco días hábiles lo</w:t>
            </w:r>
            <w:r w:rsidRPr="00C11D3F">
              <w:rPr>
                <w:rFonts w:ascii="Gotham" w:hAnsi="Gotham" w:cs="Arial"/>
                <w:spacing w:val="-52"/>
                <w:sz w:val="18"/>
                <w:szCs w:val="18"/>
              </w:rPr>
              <w:t xml:space="preserve"> </w:t>
            </w:r>
            <w:r w:rsidRPr="00C11D3F">
              <w:rPr>
                <w:rFonts w:ascii="Gotham" w:hAnsi="Gotham" w:cs="Arial"/>
                <w:sz w:val="18"/>
                <w:szCs w:val="18"/>
              </w:rPr>
              <w:t>subsane, si la asociación incumpliere con tal requerimiento se tiene por no presentada la petición de</w:t>
            </w:r>
            <w:r w:rsidRPr="00C11D3F">
              <w:rPr>
                <w:rFonts w:ascii="Gotham" w:hAnsi="Gotham" w:cs="Arial"/>
                <w:spacing w:val="1"/>
                <w:sz w:val="18"/>
                <w:szCs w:val="18"/>
              </w:rPr>
              <w:t xml:space="preserve"> </w:t>
            </w:r>
            <w:r w:rsidRPr="00C11D3F">
              <w:rPr>
                <w:rFonts w:ascii="Gotham" w:hAnsi="Gotham" w:cs="Arial"/>
                <w:sz w:val="18"/>
                <w:szCs w:val="18"/>
              </w:rPr>
              <w:t>registro;</w:t>
            </w:r>
          </w:p>
        </w:tc>
        <w:tc>
          <w:tcPr>
            <w:tcW w:w="4678" w:type="dxa"/>
          </w:tcPr>
          <w:p w14:paraId="3A4766D5" w14:textId="77777777" w:rsidR="009B5E39" w:rsidRDefault="009B5E39" w:rsidP="00190E4A">
            <w:pPr>
              <w:jc w:val="both"/>
              <w:rPr>
                <w:rFonts w:ascii="Gotham" w:hAnsi="Gotham" w:cs="Arial"/>
                <w:sz w:val="18"/>
                <w:szCs w:val="18"/>
              </w:rPr>
            </w:pPr>
          </w:p>
          <w:p w14:paraId="3A4766D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p>
          <w:p w14:paraId="3A4766D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w:t>
            </w:r>
          </w:p>
          <w:p w14:paraId="3A4766D8" w14:textId="77777777" w:rsidR="009B5E39" w:rsidRDefault="009B5E39" w:rsidP="00190E4A">
            <w:pPr>
              <w:jc w:val="both"/>
              <w:rPr>
                <w:rFonts w:ascii="Gotham" w:hAnsi="Gotham" w:cs="Arial"/>
                <w:sz w:val="18"/>
                <w:szCs w:val="18"/>
              </w:rPr>
            </w:pPr>
          </w:p>
          <w:p w14:paraId="3A4766D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 inscripción en el </w:t>
            </w:r>
            <w:r w:rsidRPr="00C11D3F">
              <w:rPr>
                <w:rFonts w:ascii="Gotham" w:hAnsi="Gotham" w:cs="Arial"/>
                <w:sz w:val="18"/>
                <w:szCs w:val="18"/>
                <w:shd w:val="clear" w:color="auto" w:fill="EDEDED" w:themeFill="accent3" w:themeFillTint="33"/>
              </w:rPr>
              <w:t xml:space="preserve">Registro </w:t>
            </w:r>
            <w:r w:rsidRPr="00C11D3F">
              <w:rPr>
                <w:rFonts w:ascii="Gotham" w:hAnsi="Gotham" w:cs="Arial"/>
                <w:sz w:val="18"/>
                <w:szCs w:val="18"/>
              </w:rPr>
              <w:t>se hace a petición de parte interesada, quien debe cumplir con los</w:t>
            </w:r>
            <w:r w:rsidRPr="00C11D3F">
              <w:rPr>
                <w:rFonts w:ascii="Gotham" w:hAnsi="Gotham" w:cs="Arial"/>
                <w:spacing w:val="1"/>
                <w:sz w:val="18"/>
                <w:szCs w:val="18"/>
              </w:rPr>
              <w:t xml:space="preserve"> </w:t>
            </w:r>
            <w:r w:rsidRPr="00C11D3F">
              <w:rPr>
                <w:rFonts w:ascii="Gotham" w:hAnsi="Gotham" w:cs="Arial"/>
                <w:sz w:val="18"/>
                <w:szCs w:val="18"/>
              </w:rPr>
              <w:t xml:space="preserve">requisitos y acompañar la documentación que </w:t>
            </w:r>
            <w:r w:rsidRPr="00C11D3F">
              <w:rPr>
                <w:rFonts w:ascii="Gotham" w:hAnsi="Gotham" w:cs="Arial"/>
                <w:b/>
                <w:bCs/>
                <w:sz w:val="18"/>
                <w:szCs w:val="18"/>
              </w:rPr>
              <w:t>solicite</w:t>
            </w:r>
            <w:r w:rsidRPr="00C11D3F">
              <w:rPr>
                <w:rFonts w:ascii="Gotham" w:hAnsi="Gotham" w:cs="Arial"/>
                <w:sz w:val="18"/>
                <w:szCs w:val="18"/>
              </w:rPr>
              <w:t xml:space="preserve"> y entregarla a la</w:t>
            </w:r>
            <w:r w:rsidRPr="00C11D3F">
              <w:rPr>
                <w:rFonts w:ascii="Gotham" w:hAnsi="Gotham" w:cs="Arial"/>
                <w:spacing w:val="1"/>
                <w:sz w:val="18"/>
                <w:szCs w:val="18"/>
              </w:rPr>
              <w:t xml:space="preserve"> </w:t>
            </w:r>
            <w:r w:rsidRPr="00C11D3F">
              <w:rPr>
                <w:rFonts w:ascii="Gotham" w:hAnsi="Gotham" w:cs="Arial"/>
                <w:sz w:val="18"/>
                <w:szCs w:val="18"/>
              </w:rPr>
              <w:t>Dirección de Participación Ciudadana, quien revisa que</w:t>
            </w:r>
            <w:r w:rsidRPr="00C11D3F">
              <w:rPr>
                <w:rFonts w:ascii="Gotham" w:hAnsi="Gotham" w:cs="Arial"/>
                <w:spacing w:val="1"/>
                <w:sz w:val="18"/>
                <w:szCs w:val="18"/>
              </w:rPr>
              <w:t xml:space="preserve"> </w:t>
            </w:r>
            <w:r w:rsidRPr="00C11D3F">
              <w:rPr>
                <w:rFonts w:ascii="Gotham" w:hAnsi="Gotham" w:cs="Arial"/>
                <w:sz w:val="18"/>
                <w:szCs w:val="18"/>
              </w:rPr>
              <w:t>contenga la totalidad de los documentos</w:t>
            </w:r>
            <w:r w:rsidRPr="00C11D3F">
              <w:rPr>
                <w:rFonts w:ascii="Gotham" w:hAnsi="Gotham" w:cs="Arial"/>
                <w:spacing w:val="1"/>
                <w:sz w:val="18"/>
                <w:szCs w:val="18"/>
              </w:rPr>
              <w:t xml:space="preserve"> </w:t>
            </w:r>
            <w:r w:rsidRPr="00C11D3F">
              <w:rPr>
                <w:rFonts w:ascii="Gotham" w:hAnsi="Gotham" w:cs="Arial"/>
                <w:sz w:val="18"/>
                <w:szCs w:val="18"/>
              </w:rPr>
              <w:t xml:space="preserve">referidos, en caso de faltar o presentarse alguna documentación con carencias </w:t>
            </w:r>
            <w:r w:rsidRPr="00C11D3F">
              <w:rPr>
                <w:rFonts w:ascii="Gotham" w:hAnsi="Gotham" w:cs="Arial"/>
                <w:sz w:val="18"/>
                <w:szCs w:val="18"/>
              </w:rPr>
              <w:lastRenderedPageBreak/>
              <w:t>o imprecisiones, se</w:t>
            </w:r>
            <w:r w:rsidRPr="00C11D3F">
              <w:rPr>
                <w:rFonts w:ascii="Gotham" w:hAnsi="Gotham" w:cs="Arial"/>
                <w:spacing w:val="1"/>
                <w:sz w:val="18"/>
                <w:szCs w:val="18"/>
              </w:rPr>
              <w:t xml:space="preserve"> </w:t>
            </w:r>
            <w:r w:rsidRPr="00C11D3F">
              <w:rPr>
                <w:rFonts w:ascii="Gotham" w:hAnsi="Gotham" w:cs="Arial"/>
                <w:sz w:val="18"/>
                <w:szCs w:val="18"/>
              </w:rPr>
              <w:t xml:space="preserve">notifica tal situación a dicha asociación, para que en un plazo </w:t>
            </w:r>
            <w:r w:rsidRPr="00C11D3F">
              <w:rPr>
                <w:rFonts w:ascii="Gotham" w:hAnsi="Gotham" w:cs="Arial"/>
                <w:b/>
                <w:bCs/>
                <w:sz w:val="18"/>
                <w:szCs w:val="18"/>
              </w:rPr>
              <w:t>no mayor a</w:t>
            </w:r>
            <w:r w:rsidRPr="00C11D3F">
              <w:rPr>
                <w:rFonts w:ascii="Gotham" w:hAnsi="Gotham" w:cs="Arial"/>
                <w:sz w:val="18"/>
                <w:szCs w:val="18"/>
              </w:rPr>
              <w:t xml:space="preserve"> cinco días hábiles lo</w:t>
            </w:r>
            <w:r w:rsidRPr="00C11D3F">
              <w:rPr>
                <w:rFonts w:ascii="Gotham" w:hAnsi="Gotham" w:cs="Arial"/>
                <w:spacing w:val="-52"/>
                <w:sz w:val="18"/>
                <w:szCs w:val="18"/>
              </w:rPr>
              <w:t xml:space="preserve"> </w:t>
            </w:r>
            <w:r w:rsidRPr="00C11D3F">
              <w:rPr>
                <w:rFonts w:ascii="Gotham" w:hAnsi="Gotham" w:cs="Arial"/>
                <w:sz w:val="18"/>
                <w:szCs w:val="18"/>
              </w:rPr>
              <w:t>subsane, si la asociación incumpliere con tal requerimiento se tiene por no presentada la petición de</w:t>
            </w:r>
            <w:r w:rsidRPr="00C11D3F">
              <w:rPr>
                <w:rFonts w:ascii="Gotham" w:hAnsi="Gotham" w:cs="Arial"/>
                <w:spacing w:val="1"/>
                <w:sz w:val="18"/>
                <w:szCs w:val="18"/>
              </w:rPr>
              <w:t xml:space="preserve"> </w:t>
            </w:r>
            <w:r w:rsidRPr="00C11D3F">
              <w:rPr>
                <w:rFonts w:ascii="Gotham" w:hAnsi="Gotham" w:cs="Arial"/>
                <w:sz w:val="18"/>
                <w:szCs w:val="18"/>
              </w:rPr>
              <w:t>registro;</w:t>
            </w:r>
          </w:p>
        </w:tc>
      </w:tr>
      <w:tr w:rsidR="009B5E39" w:rsidRPr="00C11D3F" w14:paraId="3A4766E5" w14:textId="77777777" w:rsidTr="00190E4A">
        <w:trPr>
          <w:jc w:val="center"/>
        </w:trPr>
        <w:tc>
          <w:tcPr>
            <w:tcW w:w="4673" w:type="dxa"/>
          </w:tcPr>
          <w:p w14:paraId="3A4766DB" w14:textId="77777777" w:rsidR="009B5E39" w:rsidRDefault="009B5E39" w:rsidP="00190E4A">
            <w:pPr>
              <w:jc w:val="both"/>
              <w:rPr>
                <w:rFonts w:ascii="Gotham" w:hAnsi="Gotham" w:cs="Arial"/>
                <w:sz w:val="18"/>
                <w:szCs w:val="18"/>
              </w:rPr>
            </w:pPr>
          </w:p>
          <w:p w14:paraId="3A4766D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p>
          <w:p w14:paraId="3A4766D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w:t>
            </w:r>
          </w:p>
          <w:p w14:paraId="3A4766DE" w14:textId="77777777" w:rsidR="009B5E39" w:rsidRDefault="009B5E39" w:rsidP="00190E4A">
            <w:pPr>
              <w:jc w:val="both"/>
              <w:rPr>
                <w:rFonts w:ascii="Gotham" w:hAnsi="Gotham" w:cs="Arial"/>
                <w:sz w:val="18"/>
                <w:szCs w:val="18"/>
              </w:rPr>
            </w:pPr>
          </w:p>
          <w:p w14:paraId="3A4766D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 Dirección de Participación Ciudadana </w:t>
            </w:r>
            <w:r w:rsidRPr="00C11D3F">
              <w:rPr>
                <w:rFonts w:ascii="Gotham" w:hAnsi="Gotham" w:cs="Arial"/>
                <w:color w:val="ED0000"/>
                <w:sz w:val="18"/>
                <w:szCs w:val="18"/>
              </w:rPr>
              <w:t>revisara la</w:t>
            </w:r>
            <w:r w:rsidRPr="00C11D3F">
              <w:rPr>
                <w:rFonts w:ascii="Gotham" w:hAnsi="Gotham" w:cs="Arial"/>
                <w:color w:val="ED0000"/>
                <w:spacing w:val="1"/>
                <w:sz w:val="18"/>
                <w:szCs w:val="18"/>
              </w:rPr>
              <w:t xml:space="preserve"> </w:t>
            </w:r>
            <w:r w:rsidRPr="00C11D3F">
              <w:rPr>
                <w:rFonts w:ascii="Gotham" w:hAnsi="Gotham" w:cs="Arial"/>
                <w:color w:val="ED0000"/>
                <w:sz w:val="18"/>
                <w:szCs w:val="18"/>
              </w:rPr>
              <w:t>solicitud y documentación completa, esta última integra el expediente respectivo y realiza el estudio</w:t>
            </w:r>
            <w:r w:rsidRPr="00C11D3F">
              <w:rPr>
                <w:rFonts w:ascii="Gotham" w:hAnsi="Gotham" w:cs="Arial"/>
                <w:color w:val="ED0000"/>
                <w:spacing w:val="-52"/>
                <w:sz w:val="18"/>
                <w:szCs w:val="18"/>
              </w:rPr>
              <w:t xml:space="preserve"> </w:t>
            </w:r>
            <w:r w:rsidRPr="00C11D3F">
              <w:rPr>
                <w:rFonts w:ascii="Gotham" w:hAnsi="Gotham" w:cs="Arial"/>
                <w:color w:val="ED0000"/>
                <w:sz w:val="18"/>
                <w:szCs w:val="18"/>
              </w:rPr>
              <w:t>y análisis de la solicitud de los Comités</w:t>
            </w:r>
            <w:r w:rsidRPr="00C11D3F">
              <w:rPr>
                <w:rFonts w:ascii="Gotham" w:hAnsi="Gotham" w:cs="Arial"/>
                <w:sz w:val="18"/>
                <w:szCs w:val="18"/>
              </w:rPr>
              <w:t xml:space="preserve"> a efecto de emitir el registro correspondiente en caso de que</w:t>
            </w:r>
            <w:r w:rsidRPr="00C11D3F">
              <w:rPr>
                <w:rFonts w:ascii="Gotham" w:hAnsi="Gotham" w:cs="Arial"/>
                <w:spacing w:val="-52"/>
                <w:sz w:val="18"/>
                <w:szCs w:val="18"/>
              </w:rPr>
              <w:t xml:space="preserve"> </w:t>
            </w:r>
            <w:r w:rsidRPr="00C11D3F">
              <w:rPr>
                <w:rFonts w:ascii="Gotham" w:hAnsi="Gotham" w:cs="Arial"/>
                <w:sz w:val="18"/>
                <w:szCs w:val="18"/>
              </w:rPr>
              <w:t>resulte</w:t>
            </w:r>
            <w:r w:rsidRPr="00C11D3F">
              <w:rPr>
                <w:rFonts w:ascii="Gotham" w:hAnsi="Gotham" w:cs="Arial"/>
                <w:spacing w:val="-2"/>
                <w:sz w:val="18"/>
                <w:szCs w:val="18"/>
              </w:rPr>
              <w:t xml:space="preserve"> </w:t>
            </w:r>
            <w:r w:rsidRPr="00C11D3F">
              <w:rPr>
                <w:rFonts w:ascii="Gotham" w:hAnsi="Gotham" w:cs="Arial"/>
                <w:sz w:val="18"/>
                <w:szCs w:val="18"/>
              </w:rPr>
              <w:t>procedente;</w:t>
            </w:r>
          </w:p>
        </w:tc>
        <w:tc>
          <w:tcPr>
            <w:tcW w:w="4678" w:type="dxa"/>
          </w:tcPr>
          <w:p w14:paraId="3A4766E0" w14:textId="77777777" w:rsidR="009B5E39" w:rsidRDefault="009B5E39" w:rsidP="00190E4A">
            <w:pPr>
              <w:jc w:val="both"/>
              <w:rPr>
                <w:rFonts w:ascii="Gotham" w:hAnsi="Gotham" w:cs="Arial"/>
                <w:sz w:val="18"/>
                <w:szCs w:val="18"/>
              </w:rPr>
            </w:pPr>
          </w:p>
          <w:p w14:paraId="3A4766E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p>
          <w:p w14:paraId="3A4766E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w:t>
            </w:r>
          </w:p>
          <w:p w14:paraId="3A4766E3" w14:textId="77777777" w:rsidR="009B5E39" w:rsidRDefault="009B5E39" w:rsidP="00190E4A">
            <w:pPr>
              <w:jc w:val="both"/>
              <w:rPr>
                <w:rFonts w:ascii="Gotham" w:hAnsi="Gotham" w:cs="Arial"/>
                <w:sz w:val="18"/>
                <w:szCs w:val="18"/>
              </w:rPr>
            </w:pPr>
          </w:p>
          <w:p w14:paraId="3A4766E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 Dirección de Participación Ciudadana </w:t>
            </w:r>
            <w:r w:rsidRPr="00C11D3F">
              <w:rPr>
                <w:rFonts w:ascii="Gotham" w:hAnsi="Gotham" w:cs="Arial"/>
                <w:b/>
                <w:bCs/>
                <w:sz w:val="18"/>
                <w:szCs w:val="18"/>
              </w:rPr>
              <w:t>entregará a la Secretaría General del Ayuntamiento, la solicitud y documentación completa</w:t>
            </w:r>
            <w:r w:rsidRPr="00C11D3F">
              <w:rPr>
                <w:rFonts w:ascii="Gotham" w:hAnsi="Gotham" w:cs="Arial"/>
                <w:sz w:val="18"/>
                <w:szCs w:val="18"/>
              </w:rPr>
              <w:t xml:space="preserve"> a efecto de remitir el registro y su certificación</w:t>
            </w:r>
          </w:p>
        </w:tc>
      </w:tr>
      <w:tr w:rsidR="009B5E39" w:rsidRPr="00C11D3F" w14:paraId="3A4766F0" w14:textId="77777777" w:rsidTr="00190E4A">
        <w:trPr>
          <w:jc w:val="center"/>
        </w:trPr>
        <w:tc>
          <w:tcPr>
            <w:tcW w:w="4673" w:type="dxa"/>
          </w:tcPr>
          <w:p w14:paraId="3A4766E6" w14:textId="77777777" w:rsidR="009B5E39" w:rsidRDefault="009B5E39" w:rsidP="00190E4A">
            <w:pPr>
              <w:jc w:val="both"/>
              <w:rPr>
                <w:rFonts w:ascii="Gotham" w:hAnsi="Gotham" w:cs="Arial"/>
                <w:sz w:val="18"/>
                <w:szCs w:val="18"/>
              </w:rPr>
            </w:pPr>
          </w:p>
          <w:p w14:paraId="3A4766E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p>
          <w:p w14:paraId="3A4766E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6E9" w14:textId="77777777" w:rsidR="009B5E39" w:rsidRDefault="009B5E39" w:rsidP="00190E4A">
            <w:pPr>
              <w:jc w:val="both"/>
              <w:rPr>
                <w:rFonts w:ascii="Gotham" w:hAnsi="Gotham" w:cs="Arial"/>
                <w:sz w:val="18"/>
                <w:szCs w:val="18"/>
              </w:rPr>
            </w:pPr>
          </w:p>
          <w:p w14:paraId="3A4766E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En caso de que la Secretaría General requiera mayores informes para realizar </w:t>
            </w:r>
            <w:r w:rsidRPr="00C11D3F">
              <w:rPr>
                <w:rFonts w:ascii="Gotham" w:hAnsi="Gotham" w:cs="Arial"/>
                <w:color w:val="ED0000"/>
                <w:sz w:val="18"/>
                <w:szCs w:val="18"/>
              </w:rPr>
              <w:t>el estudio de la</w:t>
            </w:r>
            <w:r w:rsidRPr="00C11D3F">
              <w:rPr>
                <w:rFonts w:ascii="Gotham" w:hAnsi="Gotham" w:cs="Arial"/>
                <w:color w:val="ED0000"/>
                <w:spacing w:val="1"/>
                <w:sz w:val="18"/>
                <w:szCs w:val="18"/>
              </w:rPr>
              <w:t xml:space="preserve"> </w:t>
            </w:r>
            <w:r w:rsidRPr="00C11D3F">
              <w:rPr>
                <w:rFonts w:ascii="Gotham" w:hAnsi="Gotham" w:cs="Arial"/>
                <w:color w:val="ED0000"/>
                <w:sz w:val="18"/>
                <w:szCs w:val="18"/>
              </w:rPr>
              <w:t>solicitud,</w:t>
            </w:r>
            <w:r w:rsidRPr="00C11D3F">
              <w:rPr>
                <w:rFonts w:ascii="Gotham" w:hAnsi="Gotham" w:cs="Arial"/>
                <w:sz w:val="18"/>
                <w:szCs w:val="18"/>
              </w:rPr>
              <w:t xml:space="preserve"> podrá</w:t>
            </w:r>
            <w:r w:rsidRPr="00C11D3F">
              <w:rPr>
                <w:rFonts w:ascii="Gotham" w:hAnsi="Gotham" w:cs="Arial"/>
                <w:spacing w:val="-2"/>
                <w:sz w:val="18"/>
                <w:szCs w:val="18"/>
              </w:rPr>
              <w:t xml:space="preserve"> </w:t>
            </w:r>
            <w:r w:rsidRPr="00C11D3F">
              <w:rPr>
                <w:rFonts w:ascii="Gotham" w:hAnsi="Gotham" w:cs="Arial"/>
                <w:sz w:val="18"/>
                <w:szCs w:val="18"/>
              </w:rPr>
              <w:t>solicitar</w:t>
            </w:r>
            <w:r w:rsidRPr="00C11D3F">
              <w:rPr>
                <w:rFonts w:ascii="Gotham" w:hAnsi="Gotham" w:cs="Arial"/>
                <w:spacing w:val="-2"/>
                <w:sz w:val="18"/>
                <w:szCs w:val="18"/>
              </w:rPr>
              <w:t xml:space="preserve"> </w:t>
            </w:r>
            <w:r w:rsidRPr="00C11D3F">
              <w:rPr>
                <w:rFonts w:ascii="Gotham" w:hAnsi="Gotham" w:cs="Arial"/>
                <w:sz w:val="18"/>
                <w:szCs w:val="18"/>
              </w:rPr>
              <w:t>información</w:t>
            </w:r>
            <w:r w:rsidRPr="00C11D3F">
              <w:rPr>
                <w:rFonts w:ascii="Gotham" w:hAnsi="Gotham" w:cs="Arial"/>
                <w:spacing w:val="-3"/>
                <w:sz w:val="18"/>
                <w:szCs w:val="18"/>
              </w:rPr>
              <w:t xml:space="preserve"> </w:t>
            </w:r>
            <w:r w:rsidRPr="00C11D3F">
              <w:rPr>
                <w:rFonts w:ascii="Gotham" w:hAnsi="Gotham" w:cs="Arial"/>
                <w:sz w:val="18"/>
                <w:szCs w:val="18"/>
              </w:rPr>
              <w:t>adicional</w:t>
            </w:r>
            <w:r w:rsidRPr="00C11D3F">
              <w:rPr>
                <w:rFonts w:ascii="Gotham" w:hAnsi="Gotham" w:cs="Arial"/>
                <w:spacing w:val="-1"/>
                <w:sz w:val="18"/>
                <w:szCs w:val="18"/>
              </w:rPr>
              <w:t xml:space="preserve"> </w:t>
            </w:r>
            <w:r w:rsidRPr="00C11D3F">
              <w:rPr>
                <w:rFonts w:ascii="Gotham" w:hAnsi="Gotham" w:cs="Arial"/>
                <w:sz w:val="18"/>
                <w:szCs w:val="18"/>
              </w:rPr>
              <w:t>al</w:t>
            </w:r>
            <w:r w:rsidRPr="00C11D3F">
              <w:rPr>
                <w:rFonts w:ascii="Gotham" w:hAnsi="Gotham" w:cs="Arial"/>
                <w:spacing w:val="-2"/>
                <w:sz w:val="18"/>
                <w:szCs w:val="18"/>
              </w:rPr>
              <w:t xml:space="preserve"> </w:t>
            </w:r>
            <w:r w:rsidRPr="00C11D3F">
              <w:rPr>
                <w:rFonts w:ascii="Gotham" w:hAnsi="Gotham" w:cs="Arial"/>
                <w:sz w:val="18"/>
                <w:szCs w:val="18"/>
              </w:rPr>
              <w:t>área</w:t>
            </w:r>
            <w:r w:rsidRPr="00C11D3F">
              <w:rPr>
                <w:rFonts w:ascii="Gotham" w:hAnsi="Gotham" w:cs="Arial"/>
                <w:spacing w:val="-2"/>
                <w:sz w:val="18"/>
                <w:szCs w:val="18"/>
              </w:rPr>
              <w:t xml:space="preserve"> </w:t>
            </w:r>
            <w:r w:rsidRPr="00C11D3F">
              <w:rPr>
                <w:rFonts w:ascii="Gotham" w:hAnsi="Gotham" w:cs="Arial"/>
                <w:sz w:val="18"/>
                <w:szCs w:val="18"/>
              </w:rPr>
              <w:t>correspondiente;</w:t>
            </w:r>
            <w:r w:rsidRPr="00C11D3F">
              <w:rPr>
                <w:rFonts w:ascii="Gotham" w:hAnsi="Gotham" w:cs="Arial"/>
                <w:spacing w:val="12"/>
                <w:sz w:val="18"/>
                <w:szCs w:val="18"/>
              </w:rPr>
              <w:t xml:space="preserve"> </w:t>
            </w:r>
            <w:r w:rsidRPr="00C11D3F">
              <w:rPr>
                <w:rFonts w:ascii="Gotham" w:hAnsi="Gotham" w:cs="Arial"/>
                <w:sz w:val="18"/>
                <w:szCs w:val="18"/>
              </w:rPr>
              <w:t>y</w:t>
            </w:r>
          </w:p>
        </w:tc>
        <w:tc>
          <w:tcPr>
            <w:tcW w:w="4678" w:type="dxa"/>
          </w:tcPr>
          <w:p w14:paraId="3A4766EB" w14:textId="77777777" w:rsidR="009B5E39" w:rsidRDefault="009B5E39" w:rsidP="00190E4A">
            <w:pPr>
              <w:jc w:val="both"/>
              <w:rPr>
                <w:rFonts w:ascii="Gotham" w:hAnsi="Gotham" w:cs="Arial"/>
                <w:sz w:val="18"/>
                <w:szCs w:val="18"/>
              </w:rPr>
            </w:pPr>
          </w:p>
          <w:p w14:paraId="3A4766E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p>
          <w:p w14:paraId="3A4766E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6EE" w14:textId="77777777" w:rsidR="009B5E39" w:rsidRDefault="009B5E39" w:rsidP="00190E4A">
            <w:pPr>
              <w:jc w:val="both"/>
              <w:rPr>
                <w:rFonts w:ascii="Gotham" w:hAnsi="Gotham" w:cs="Arial"/>
                <w:sz w:val="18"/>
                <w:szCs w:val="18"/>
              </w:rPr>
            </w:pPr>
          </w:p>
          <w:p w14:paraId="3A4766E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En caso de que la Secretaría General requiera mayores informes para realizar </w:t>
            </w:r>
            <w:r w:rsidRPr="00C11D3F">
              <w:rPr>
                <w:rFonts w:ascii="Gotham" w:hAnsi="Gotham" w:cs="Arial"/>
                <w:b/>
                <w:bCs/>
                <w:sz w:val="18"/>
                <w:szCs w:val="18"/>
              </w:rPr>
              <w:t>la Certificación</w:t>
            </w:r>
            <w:r w:rsidRPr="00C11D3F">
              <w:rPr>
                <w:rFonts w:ascii="Gotham" w:hAnsi="Gotham" w:cs="Arial"/>
                <w:sz w:val="18"/>
                <w:szCs w:val="18"/>
              </w:rPr>
              <w:t>, podrá solicitar información adicional al área correspondiente; y</w:t>
            </w:r>
          </w:p>
        </w:tc>
      </w:tr>
      <w:tr w:rsidR="009B5E39" w:rsidRPr="00C11D3F" w14:paraId="3A4766FB" w14:textId="77777777" w:rsidTr="00190E4A">
        <w:trPr>
          <w:jc w:val="center"/>
        </w:trPr>
        <w:tc>
          <w:tcPr>
            <w:tcW w:w="4673" w:type="dxa"/>
          </w:tcPr>
          <w:p w14:paraId="3A4766F1" w14:textId="77777777" w:rsidR="009B5E39" w:rsidRDefault="009B5E39" w:rsidP="00190E4A">
            <w:pPr>
              <w:jc w:val="both"/>
              <w:rPr>
                <w:rFonts w:ascii="Gotham" w:hAnsi="Gotham" w:cs="Arial"/>
                <w:sz w:val="18"/>
                <w:szCs w:val="18"/>
              </w:rPr>
            </w:pPr>
          </w:p>
          <w:p w14:paraId="3A4766F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p>
          <w:p w14:paraId="3A4766F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IV.</w:t>
            </w:r>
          </w:p>
          <w:p w14:paraId="3A4766F4" w14:textId="77777777" w:rsidR="009B5E39" w:rsidRDefault="009B5E39" w:rsidP="00190E4A">
            <w:pPr>
              <w:jc w:val="both"/>
              <w:rPr>
                <w:rFonts w:ascii="Gotham" w:hAnsi="Gotham" w:cs="Arial"/>
                <w:sz w:val="18"/>
                <w:szCs w:val="18"/>
              </w:rPr>
            </w:pPr>
          </w:p>
          <w:p w14:paraId="3A4766F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La información del Registro Municipal es de carácter públic</w:t>
            </w:r>
            <w:r w:rsidRPr="00C11D3F">
              <w:rPr>
                <w:rFonts w:ascii="Gotham" w:hAnsi="Gotham" w:cs="Arial"/>
                <w:color w:val="ED0000"/>
                <w:sz w:val="18"/>
                <w:szCs w:val="18"/>
              </w:rPr>
              <w:t>a</w:t>
            </w:r>
            <w:r w:rsidRPr="00C11D3F">
              <w:rPr>
                <w:rFonts w:ascii="Gotham" w:hAnsi="Gotham" w:cs="Arial"/>
                <w:sz w:val="18"/>
                <w:szCs w:val="18"/>
              </w:rPr>
              <w:t xml:space="preserve"> y puede ser consultado por los</w:t>
            </w:r>
            <w:r w:rsidRPr="00C11D3F">
              <w:rPr>
                <w:rFonts w:ascii="Gotham" w:hAnsi="Gotham" w:cs="Arial"/>
                <w:spacing w:val="1"/>
                <w:sz w:val="18"/>
                <w:szCs w:val="18"/>
              </w:rPr>
              <w:t xml:space="preserve"> </w:t>
            </w:r>
            <w:r w:rsidRPr="00C11D3F">
              <w:rPr>
                <w:rFonts w:ascii="Gotham" w:hAnsi="Gotham" w:cs="Arial"/>
                <w:sz w:val="18"/>
                <w:szCs w:val="18"/>
              </w:rPr>
              <w:t>ciudadanos</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manera</w:t>
            </w:r>
            <w:r w:rsidRPr="00C11D3F">
              <w:rPr>
                <w:rFonts w:ascii="Gotham" w:hAnsi="Gotham" w:cs="Arial"/>
                <w:spacing w:val="-1"/>
                <w:sz w:val="18"/>
                <w:szCs w:val="18"/>
              </w:rPr>
              <w:t xml:space="preserve"> </w:t>
            </w:r>
            <w:r w:rsidRPr="00C11D3F">
              <w:rPr>
                <w:rFonts w:ascii="Gotham" w:hAnsi="Gotham" w:cs="Arial"/>
                <w:sz w:val="18"/>
                <w:szCs w:val="18"/>
              </w:rPr>
              <w:t>presencial</w:t>
            </w:r>
            <w:r w:rsidRPr="00C11D3F">
              <w:rPr>
                <w:rFonts w:ascii="Gotham" w:hAnsi="Gotham" w:cs="Arial"/>
                <w:spacing w:val="3"/>
                <w:sz w:val="18"/>
                <w:szCs w:val="18"/>
              </w:rPr>
              <w:t xml:space="preserve"> </w:t>
            </w:r>
            <w:r w:rsidRPr="00C11D3F">
              <w:rPr>
                <w:rFonts w:ascii="Gotham" w:hAnsi="Gotham" w:cs="Arial"/>
                <w:color w:val="ED0000"/>
                <w:spacing w:val="3"/>
                <w:sz w:val="18"/>
                <w:szCs w:val="18"/>
              </w:rPr>
              <w:t>y</w:t>
            </w:r>
            <w:r w:rsidRPr="00C11D3F">
              <w:rPr>
                <w:rFonts w:ascii="Gotham" w:hAnsi="Gotham" w:cs="Arial"/>
                <w:spacing w:val="3"/>
                <w:sz w:val="18"/>
                <w:szCs w:val="18"/>
              </w:rPr>
              <w:t xml:space="preserve"> </w:t>
            </w:r>
            <w:r w:rsidRPr="00C11D3F">
              <w:rPr>
                <w:rFonts w:ascii="Gotham" w:hAnsi="Gotham" w:cs="Arial"/>
                <w:sz w:val="18"/>
                <w:szCs w:val="18"/>
              </w:rPr>
              <w:t>virtual.</w:t>
            </w:r>
          </w:p>
        </w:tc>
        <w:tc>
          <w:tcPr>
            <w:tcW w:w="4678" w:type="dxa"/>
          </w:tcPr>
          <w:p w14:paraId="3A4766F6" w14:textId="77777777" w:rsidR="009B5E39" w:rsidRDefault="009B5E39" w:rsidP="00190E4A">
            <w:pPr>
              <w:jc w:val="both"/>
              <w:rPr>
                <w:rFonts w:ascii="Gotham" w:hAnsi="Gotham" w:cs="Arial"/>
                <w:sz w:val="18"/>
                <w:szCs w:val="18"/>
              </w:rPr>
            </w:pPr>
          </w:p>
          <w:p w14:paraId="3A4766F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16.</w:t>
            </w:r>
          </w:p>
          <w:p w14:paraId="3A4766F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IV.</w:t>
            </w:r>
          </w:p>
          <w:p w14:paraId="3A4766F9" w14:textId="77777777" w:rsidR="009B5E39" w:rsidRDefault="009B5E39" w:rsidP="00190E4A">
            <w:pPr>
              <w:jc w:val="both"/>
              <w:rPr>
                <w:rFonts w:ascii="Gotham" w:hAnsi="Gotham" w:cs="Arial"/>
                <w:sz w:val="18"/>
                <w:szCs w:val="18"/>
              </w:rPr>
            </w:pPr>
          </w:p>
          <w:p w14:paraId="3A4766F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La información del Registro Municipal es de carácter públic</w:t>
            </w:r>
            <w:r w:rsidRPr="00C11D3F">
              <w:rPr>
                <w:rFonts w:ascii="Gotham" w:hAnsi="Gotham" w:cs="Arial"/>
                <w:b/>
                <w:bCs/>
                <w:sz w:val="18"/>
                <w:szCs w:val="18"/>
              </w:rPr>
              <w:t>o</w:t>
            </w:r>
            <w:r w:rsidRPr="00C11D3F">
              <w:rPr>
                <w:rFonts w:ascii="Gotham" w:hAnsi="Gotham" w:cs="Arial"/>
                <w:sz w:val="18"/>
                <w:szCs w:val="18"/>
              </w:rPr>
              <w:t xml:space="preserve"> y puede ser consultado por los</w:t>
            </w:r>
            <w:r w:rsidRPr="00C11D3F">
              <w:rPr>
                <w:rFonts w:ascii="Gotham" w:hAnsi="Gotham" w:cs="Arial"/>
                <w:spacing w:val="1"/>
                <w:sz w:val="18"/>
                <w:szCs w:val="18"/>
              </w:rPr>
              <w:t xml:space="preserve"> </w:t>
            </w:r>
            <w:r w:rsidRPr="00C11D3F">
              <w:rPr>
                <w:rFonts w:ascii="Gotham" w:hAnsi="Gotham" w:cs="Arial"/>
                <w:sz w:val="18"/>
                <w:szCs w:val="18"/>
              </w:rPr>
              <w:t>ciudadanos</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manera</w:t>
            </w:r>
            <w:r w:rsidRPr="00C11D3F">
              <w:rPr>
                <w:rFonts w:ascii="Gotham" w:hAnsi="Gotham" w:cs="Arial"/>
                <w:spacing w:val="-1"/>
                <w:sz w:val="18"/>
                <w:szCs w:val="18"/>
              </w:rPr>
              <w:t xml:space="preserve"> </w:t>
            </w:r>
            <w:r w:rsidRPr="00C11D3F">
              <w:rPr>
                <w:rFonts w:ascii="Gotham" w:hAnsi="Gotham" w:cs="Arial"/>
                <w:sz w:val="18"/>
                <w:szCs w:val="18"/>
              </w:rPr>
              <w:t>presencial</w:t>
            </w:r>
            <w:r w:rsidRPr="00C11D3F">
              <w:rPr>
                <w:rFonts w:ascii="Gotham" w:hAnsi="Gotham" w:cs="Arial"/>
                <w:spacing w:val="3"/>
                <w:sz w:val="18"/>
                <w:szCs w:val="18"/>
              </w:rPr>
              <w:t xml:space="preserve"> </w:t>
            </w:r>
            <w:r w:rsidRPr="00C11D3F">
              <w:rPr>
                <w:rFonts w:ascii="Gotham" w:hAnsi="Gotham" w:cs="Arial"/>
                <w:b/>
                <w:bCs/>
                <w:spacing w:val="3"/>
                <w:sz w:val="18"/>
                <w:szCs w:val="18"/>
              </w:rPr>
              <w:t>o</w:t>
            </w:r>
            <w:r w:rsidRPr="00C11D3F">
              <w:rPr>
                <w:rFonts w:ascii="Gotham" w:hAnsi="Gotham" w:cs="Arial"/>
                <w:spacing w:val="-3"/>
                <w:sz w:val="18"/>
                <w:szCs w:val="18"/>
              </w:rPr>
              <w:t xml:space="preserve"> </w:t>
            </w:r>
            <w:r w:rsidRPr="00C11D3F">
              <w:rPr>
                <w:rFonts w:ascii="Gotham" w:hAnsi="Gotham" w:cs="Arial"/>
                <w:sz w:val="18"/>
                <w:szCs w:val="18"/>
              </w:rPr>
              <w:t>virtual.</w:t>
            </w:r>
          </w:p>
        </w:tc>
      </w:tr>
      <w:tr w:rsidR="009B5E39" w:rsidRPr="00C11D3F" w14:paraId="3A476706" w14:textId="77777777" w:rsidTr="00190E4A">
        <w:trPr>
          <w:jc w:val="center"/>
        </w:trPr>
        <w:tc>
          <w:tcPr>
            <w:tcW w:w="4673" w:type="dxa"/>
          </w:tcPr>
          <w:p w14:paraId="3A4766FC" w14:textId="77777777" w:rsidR="009B5E39" w:rsidRDefault="009B5E39" w:rsidP="00190E4A">
            <w:pPr>
              <w:jc w:val="both"/>
              <w:rPr>
                <w:rFonts w:ascii="Gotham" w:hAnsi="Gotham" w:cs="Arial"/>
                <w:sz w:val="18"/>
                <w:szCs w:val="18"/>
              </w:rPr>
            </w:pPr>
          </w:p>
          <w:p w14:paraId="3A4766F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18.</w:t>
            </w:r>
          </w:p>
          <w:p w14:paraId="3A4766F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w:t>
            </w:r>
          </w:p>
          <w:p w14:paraId="3A4766FF" w14:textId="77777777" w:rsidR="009B5E39" w:rsidRDefault="009B5E39" w:rsidP="00190E4A">
            <w:pPr>
              <w:jc w:val="both"/>
              <w:rPr>
                <w:rFonts w:ascii="Gotham" w:hAnsi="Gotham" w:cs="Arial"/>
                <w:sz w:val="18"/>
                <w:szCs w:val="18"/>
              </w:rPr>
            </w:pPr>
          </w:p>
          <w:p w14:paraId="3A47670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Informará a la población de su gestión, así como la de la administración pública municipal que le</w:t>
            </w:r>
            <w:r w:rsidRPr="00C11D3F">
              <w:rPr>
                <w:rFonts w:ascii="Gotham" w:hAnsi="Gotham" w:cs="Arial"/>
                <w:spacing w:val="1"/>
                <w:sz w:val="18"/>
                <w:szCs w:val="18"/>
              </w:rPr>
              <w:t xml:space="preserve"> </w:t>
            </w:r>
            <w:r w:rsidRPr="00C11D3F">
              <w:rPr>
                <w:rFonts w:ascii="Gotham" w:hAnsi="Gotham" w:cs="Arial"/>
                <w:sz w:val="18"/>
                <w:szCs w:val="18"/>
              </w:rPr>
              <w:t>deriva a través de los medios de comunicación social, boletines, revistas y folletos, asimismo podrá</w:t>
            </w:r>
            <w:r w:rsidRPr="00C11D3F">
              <w:rPr>
                <w:rFonts w:ascii="Gotham" w:hAnsi="Gotham" w:cs="Arial"/>
                <w:spacing w:val="1"/>
                <w:sz w:val="18"/>
                <w:szCs w:val="18"/>
              </w:rPr>
              <w:t xml:space="preserve"> </w:t>
            </w:r>
            <w:r w:rsidRPr="00C11D3F">
              <w:rPr>
                <w:rFonts w:ascii="Gotham" w:hAnsi="Gotham" w:cs="Arial"/>
                <w:sz w:val="18"/>
                <w:szCs w:val="18"/>
              </w:rPr>
              <w:t>auxiliarse</w:t>
            </w:r>
            <w:r w:rsidRPr="00C11D3F">
              <w:rPr>
                <w:rFonts w:ascii="Gotham" w:hAnsi="Gotham" w:cs="Arial"/>
                <w:spacing w:val="-3"/>
                <w:sz w:val="18"/>
                <w:szCs w:val="18"/>
              </w:rPr>
              <w:t xml:space="preserve"> </w:t>
            </w:r>
            <w:r w:rsidRPr="00C11D3F">
              <w:rPr>
                <w:rFonts w:ascii="Gotham" w:hAnsi="Gotham" w:cs="Arial"/>
                <w:sz w:val="18"/>
                <w:szCs w:val="18"/>
              </w:rPr>
              <w:t>de</w:t>
            </w:r>
            <w:r w:rsidRPr="00C11D3F">
              <w:rPr>
                <w:rFonts w:ascii="Gotham" w:hAnsi="Gotham" w:cs="Arial"/>
                <w:spacing w:val="-3"/>
                <w:sz w:val="18"/>
                <w:szCs w:val="18"/>
              </w:rPr>
              <w:t xml:space="preserve"> </w:t>
            </w:r>
            <w:r w:rsidRPr="00C11D3F">
              <w:rPr>
                <w:rFonts w:ascii="Gotham" w:hAnsi="Gotham" w:cs="Arial"/>
                <w:sz w:val="18"/>
                <w:szCs w:val="18"/>
              </w:rPr>
              <w:t>la</w:t>
            </w:r>
            <w:r w:rsidRPr="00C11D3F">
              <w:rPr>
                <w:rFonts w:ascii="Gotham" w:hAnsi="Gotham" w:cs="Arial"/>
                <w:spacing w:val="-3"/>
                <w:sz w:val="18"/>
                <w:szCs w:val="18"/>
              </w:rPr>
              <w:t xml:space="preserve"> </w:t>
            </w:r>
            <w:r w:rsidRPr="00C11D3F">
              <w:rPr>
                <w:rFonts w:ascii="Gotham" w:hAnsi="Gotham" w:cs="Arial"/>
                <w:sz w:val="18"/>
                <w:szCs w:val="18"/>
              </w:rPr>
              <w:t>estructura</w:t>
            </w:r>
            <w:r w:rsidRPr="00C11D3F">
              <w:rPr>
                <w:rFonts w:ascii="Gotham" w:hAnsi="Gotham" w:cs="Arial"/>
                <w:spacing w:val="1"/>
                <w:sz w:val="18"/>
                <w:szCs w:val="18"/>
              </w:rPr>
              <w:t xml:space="preserve"> </w:t>
            </w:r>
            <w:r w:rsidRPr="00C11D3F">
              <w:rPr>
                <w:rFonts w:ascii="Gotham" w:hAnsi="Gotham" w:cs="Arial"/>
                <w:sz w:val="18"/>
                <w:szCs w:val="18"/>
              </w:rPr>
              <w:t>a</w:t>
            </w:r>
            <w:r w:rsidRPr="00C11D3F">
              <w:rPr>
                <w:rFonts w:ascii="Gotham" w:hAnsi="Gotham" w:cs="Arial"/>
                <w:spacing w:val="-3"/>
                <w:sz w:val="18"/>
                <w:szCs w:val="18"/>
              </w:rPr>
              <w:t xml:space="preserve"> </w:t>
            </w:r>
            <w:r w:rsidRPr="00C11D3F">
              <w:rPr>
                <w:rFonts w:ascii="Gotham" w:hAnsi="Gotham" w:cs="Arial"/>
                <w:sz w:val="18"/>
                <w:szCs w:val="18"/>
              </w:rPr>
              <w:t>la</w:t>
            </w:r>
            <w:r w:rsidRPr="00C11D3F">
              <w:rPr>
                <w:rFonts w:ascii="Gotham" w:hAnsi="Gotham" w:cs="Arial"/>
                <w:spacing w:val="-2"/>
                <w:sz w:val="18"/>
                <w:szCs w:val="18"/>
              </w:rPr>
              <w:t xml:space="preserve"> </w:t>
            </w:r>
            <w:r w:rsidRPr="00C11D3F">
              <w:rPr>
                <w:rFonts w:ascii="Gotham" w:hAnsi="Gotham" w:cs="Arial"/>
                <w:sz w:val="18"/>
                <w:szCs w:val="18"/>
              </w:rPr>
              <w:t>que</w:t>
            </w:r>
            <w:r w:rsidRPr="00C11D3F">
              <w:rPr>
                <w:rFonts w:ascii="Gotham" w:hAnsi="Gotham" w:cs="Arial"/>
                <w:spacing w:val="-3"/>
                <w:sz w:val="18"/>
                <w:szCs w:val="18"/>
              </w:rPr>
              <w:t xml:space="preserve"> </w:t>
            </w:r>
            <w:r w:rsidRPr="00C11D3F">
              <w:rPr>
                <w:rFonts w:ascii="Gotham" w:hAnsi="Gotham" w:cs="Arial"/>
                <w:sz w:val="18"/>
                <w:szCs w:val="18"/>
              </w:rPr>
              <w:t>se</w:t>
            </w:r>
            <w:r w:rsidRPr="00C11D3F">
              <w:rPr>
                <w:rFonts w:ascii="Gotham" w:hAnsi="Gotham" w:cs="Arial"/>
                <w:spacing w:val="-3"/>
                <w:sz w:val="18"/>
                <w:szCs w:val="18"/>
              </w:rPr>
              <w:t xml:space="preserve"> </w:t>
            </w:r>
            <w:r w:rsidRPr="00C11D3F">
              <w:rPr>
                <w:rFonts w:ascii="Gotham" w:hAnsi="Gotham" w:cs="Arial"/>
                <w:sz w:val="18"/>
                <w:szCs w:val="18"/>
              </w:rPr>
              <w:t>refiere</w:t>
            </w:r>
            <w:r w:rsidRPr="00C11D3F">
              <w:rPr>
                <w:rFonts w:ascii="Gotham" w:hAnsi="Gotham" w:cs="Arial"/>
                <w:spacing w:val="-3"/>
                <w:sz w:val="18"/>
                <w:szCs w:val="18"/>
              </w:rPr>
              <w:t xml:space="preserve"> </w:t>
            </w: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 xml:space="preserve">artículo </w:t>
            </w:r>
            <w:r w:rsidRPr="00C11D3F">
              <w:rPr>
                <w:rFonts w:ascii="Gotham" w:hAnsi="Gotham" w:cs="Arial"/>
                <w:color w:val="FF0000"/>
                <w:sz w:val="18"/>
                <w:szCs w:val="18"/>
              </w:rPr>
              <w:t xml:space="preserve">9 </w:t>
            </w:r>
            <w:r w:rsidRPr="00C11D3F">
              <w:rPr>
                <w:rFonts w:ascii="Gotham" w:hAnsi="Gotham" w:cs="Arial"/>
                <w:sz w:val="18"/>
                <w:szCs w:val="18"/>
              </w:rPr>
              <w:t>fracción IV del</w:t>
            </w:r>
            <w:r w:rsidRPr="00C11D3F">
              <w:rPr>
                <w:rFonts w:ascii="Gotham" w:hAnsi="Gotham" w:cs="Arial"/>
                <w:spacing w:val="-3"/>
                <w:sz w:val="18"/>
                <w:szCs w:val="18"/>
              </w:rPr>
              <w:t xml:space="preserve"> </w:t>
            </w:r>
            <w:r w:rsidRPr="00C11D3F">
              <w:rPr>
                <w:rFonts w:ascii="Gotham" w:hAnsi="Gotham" w:cs="Arial"/>
                <w:sz w:val="18"/>
                <w:szCs w:val="18"/>
              </w:rPr>
              <w:t>presente reglamento;</w:t>
            </w:r>
          </w:p>
        </w:tc>
        <w:tc>
          <w:tcPr>
            <w:tcW w:w="4678" w:type="dxa"/>
          </w:tcPr>
          <w:p w14:paraId="3A476701" w14:textId="77777777" w:rsidR="009B5E39" w:rsidRDefault="009B5E39" w:rsidP="00190E4A">
            <w:pPr>
              <w:jc w:val="both"/>
              <w:rPr>
                <w:rFonts w:ascii="Gotham" w:hAnsi="Gotham" w:cs="Arial"/>
                <w:sz w:val="18"/>
                <w:szCs w:val="18"/>
              </w:rPr>
            </w:pPr>
          </w:p>
          <w:p w14:paraId="3A47670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2"/>
                <w:sz w:val="18"/>
                <w:szCs w:val="18"/>
              </w:rPr>
              <w:t xml:space="preserve"> </w:t>
            </w:r>
            <w:r w:rsidRPr="00C11D3F">
              <w:rPr>
                <w:rFonts w:ascii="Gotham" w:hAnsi="Gotham" w:cs="Arial"/>
                <w:sz w:val="18"/>
                <w:szCs w:val="18"/>
              </w:rPr>
              <w:t>18.</w:t>
            </w:r>
          </w:p>
          <w:p w14:paraId="3A47670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w:t>
            </w:r>
          </w:p>
          <w:p w14:paraId="3A476704" w14:textId="77777777" w:rsidR="009B5E39" w:rsidRDefault="009B5E39" w:rsidP="00190E4A">
            <w:pPr>
              <w:jc w:val="both"/>
              <w:rPr>
                <w:rFonts w:ascii="Gotham" w:hAnsi="Gotham" w:cs="Arial"/>
                <w:sz w:val="18"/>
                <w:szCs w:val="18"/>
              </w:rPr>
            </w:pPr>
          </w:p>
          <w:p w14:paraId="3A47670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Informará a la población de su gestión, así como la de la administración pública municipal que le deriva a través de los medios de comunicación social, boletines, revistas y folletos, asimismo podrá auxiliarse de la estructura a la que se refiere el artículo </w:t>
            </w:r>
            <w:r w:rsidRPr="00C11D3F">
              <w:rPr>
                <w:rFonts w:ascii="Gotham" w:hAnsi="Gotham" w:cs="Arial"/>
                <w:b/>
                <w:bCs/>
                <w:sz w:val="18"/>
                <w:szCs w:val="18"/>
              </w:rPr>
              <w:t>11</w:t>
            </w:r>
            <w:r w:rsidRPr="00C11D3F">
              <w:rPr>
                <w:rFonts w:ascii="Gotham" w:hAnsi="Gotham" w:cs="Arial"/>
                <w:sz w:val="18"/>
                <w:szCs w:val="18"/>
              </w:rPr>
              <w:t xml:space="preserve"> fracción IV del presente reglamento;</w:t>
            </w:r>
          </w:p>
        </w:tc>
      </w:tr>
      <w:tr w:rsidR="009B5E39" w:rsidRPr="00C11D3F" w14:paraId="3A47670F" w14:textId="77777777" w:rsidTr="00190E4A">
        <w:trPr>
          <w:jc w:val="center"/>
        </w:trPr>
        <w:tc>
          <w:tcPr>
            <w:tcW w:w="4673" w:type="dxa"/>
          </w:tcPr>
          <w:p w14:paraId="3A476707" w14:textId="77777777" w:rsidR="009B5E39" w:rsidRDefault="009B5E39" w:rsidP="00190E4A">
            <w:pPr>
              <w:jc w:val="both"/>
              <w:rPr>
                <w:rFonts w:ascii="Gotham" w:hAnsi="Gotham" w:cs="Arial"/>
                <w:sz w:val="18"/>
                <w:szCs w:val="18"/>
              </w:rPr>
            </w:pPr>
          </w:p>
          <w:p w14:paraId="3A47670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21. Los integrantes de los Organismos de Participación Ciudadana recibirán capacitación, para lo cual se establecerán los programas y convenios necesarios con las autoridades electorales, universidades, OSC y demás organizaciones, para que se generen los programas, cursos o seminarios dirigidos a sus integrantes, así como a las entidades gubernamentales, a los miembros de las organizaciones ciudadanas y a la población en general.</w:t>
            </w:r>
          </w:p>
          <w:p w14:paraId="3A476709" w14:textId="77777777" w:rsidR="009B5E39" w:rsidRDefault="009B5E39" w:rsidP="00190E4A">
            <w:pPr>
              <w:jc w:val="both"/>
              <w:rPr>
                <w:rFonts w:ascii="Gotham" w:hAnsi="Gotham" w:cs="Arial"/>
                <w:sz w:val="18"/>
                <w:szCs w:val="18"/>
              </w:rPr>
            </w:pPr>
          </w:p>
          <w:p w14:paraId="3A47670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En la capacitación que se imparta se procurará incluir temas de Cultura de la Paz, Derechos Humanos, Gobernanza, </w:t>
            </w:r>
            <w:r w:rsidRPr="00C11D3F">
              <w:rPr>
                <w:rFonts w:ascii="Gotham" w:hAnsi="Gotham" w:cs="Arial"/>
                <w:color w:val="ED0000"/>
                <w:sz w:val="18"/>
                <w:szCs w:val="18"/>
              </w:rPr>
              <w:t>Refundación</w:t>
            </w:r>
            <w:r w:rsidRPr="00C11D3F">
              <w:rPr>
                <w:rFonts w:ascii="Gotham" w:hAnsi="Gotham" w:cs="Arial"/>
                <w:sz w:val="18"/>
                <w:szCs w:val="18"/>
              </w:rPr>
              <w:t xml:space="preserve">, mecanismos </w:t>
            </w:r>
            <w:r w:rsidRPr="00C11D3F">
              <w:rPr>
                <w:rFonts w:ascii="Gotham" w:hAnsi="Gotham" w:cs="Arial"/>
                <w:sz w:val="18"/>
                <w:szCs w:val="18"/>
              </w:rPr>
              <w:lastRenderedPageBreak/>
              <w:t>de participación ciudadana y los pertinentes a la construcción de ciudadanía.</w:t>
            </w:r>
          </w:p>
        </w:tc>
        <w:tc>
          <w:tcPr>
            <w:tcW w:w="4678" w:type="dxa"/>
          </w:tcPr>
          <w:p w14:paraId="3A47670B" w14:textId="77777777" w:rsidR="009B5E39" w:rsidRDefault="009B5E39" w:rsidP="00190E4A">
            <w:pPr>
              <w:jc w:val="both"/>
              <w:rPr>
                <w:rFonts w:ascii="Gotham" w:hAnsi="Gotham" w:cs="Arial"/>
                <w:sz w:val="18"/>
                <w:szCs w:val="18"/>
              </w:rPr>
            </w:pPr>
          </w:p>
          <w:p w14:paraId="3A47670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21. Los integrantes de los Organismos de Participación Ciudadana recibirán capacitación, para lo cual se establecerán los programas y convenios necesarios con las autoridades electorales, universidades, OSC y demás organizaciones, para que se generen los programas, cursos o seminarios dirigidos a sus integrantes, así como a las entidades gubernamentales, a los miembros de las organizaciones ciudadanas y a la población en general.</w:t>
            </w:r>
          </w:p>
          <w:p w14:paraId="3A47670D" w14:textId="77777777" w:rsidR="009B5E39" w:rsidRDefault="009B5E39" w:rsidP="00190E4A">
            <w:pPr>
              <w:jc w:val="both"/>
              <w:rPr>
                <w:rFonts w:ascii="Gotham" w:hAnsi="Gotham" w:cs="Arial"/>
                <w:sz w:val="18"/>
                <w:szCs w:val="18"/>
              </w:rPr>
            </w:pPr>
          </w:p>
          <w:p w14:paraId="3A47670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En la capacitación que se imparta se procurará incluir temas de Cultura de la Paz, Derechos Humanos, Gobernanza, mecanismos de </w:t>
            </w:r>
            <w:r w:rsidRPr="00C11D3F">
              <w:rPr>
                <w:rFonts w:ascii="Gotham" w:hAnsi="Gotham" w:cs="Arial"/>
                <w:sz w:val="18"/>
                <w:szCs w:val="18"/>
              </w:rPr>
              <w:lastRenderedPageBreak/>
              <w:t>participación ciudadana y los pertinentes a la construcción de ciudadanía.</w:t>
            </w:r>
          </w:p>
        </w:tc>
      </w:tr>
      <w:tr w:rsidR="009B5E39" w:rsidRPr="00C11D3F" w14:paraId="3A476718" w14:textId="77777777" w:rsidTr="00190E4A">
        <w:trPr>
          <w:jc w:val="center"/>
        </w:trPr>
        <w:tc>
          <w:tcPr>
            <w:tcW w:w="4673" w:type="dxa"/>
          </w:tcPr>
          <w:p w14:paraId="3A476710" w14:textId="77777777" w:rsidR="009B5E39" w:rsidRDefault="009B5E39" w:rsidP="00190E4A">
            <w:pPr>
              <w:jc w:val="both"/>
              <w:rPr>
                <w:rFonts w:ascii="Gotham" w:hAnsi="Gotham" w:cs="Arial"/>
                <w:sz w:val="18"/>
                <w:szCs w:val="18"/>
              </w:rPr>
            </w:pPr>
          </w:p>
          <w:p w14:paraId="3A47671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27. Los Comités Sociales de Participación Ciudadana se establecen con el objeto de representar organizadamente a sus comunidades ante la autoridad municipal, a razón de un Comité Social por colonia con las atribuciones y obligaciones consignadas en este Reglamento y demás disposiciones que resulten aplicables.</w:t>
            </w:r>
          </w:p>
          <w:p w14:paraId="3A476712" w14:textId="77777777" w:rsidR="009B5E39" w:rsidRDefault="009B5E39" w:rsidP="00190E4A">
            <w:pPr>
              <w:jc w:val="both"/>
              <w:rPr>
                <w:rFonts w:ascii="Gotham" w:hAnsi="Gotham" w:cs="Arial"/>
                <w:sz w:val="18"/>
                <w:szCs w:val="18"/>
              </w:rPr>
            </w:pPr>
          </w:p>
          <w:p w14:paraId="3A47671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La Dirección de Participación Ciudadana podrá solicitar el registro y validación de más de un Comité Social por colonia cuando considere que es pertinente en virtud de la extensión territorial de determinadas colonias.</w:t>
            </w:r>
          </w:p>
        </w:tc>
        <w:tc>
          <w:tcPr>
            <w:tcW w:w="4678" w:type="dxa"/>
          </w:tcPr>
          <w:p w14:paraId="3A476714" w14:textId="77777777" w:rsidR="009B5E39" w:rsidRDefault="009B5E39" w:rsidP="00190E4A">
            <w:pPr>
              <w:jc w:val="both"/>
              <w:rPr>
                <w:rFonts w:ascii="Gotham" w:hAnsi="Gotham" w:cs="Arial"/>
                <w:sz w:val="18"/>
                <w:szCs w:val="18"/>
              </w:rPr>
            </w:pPr>
          </w:p>
          <w:p w14:paraId="3A47671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27. Los Comités Sociales de Participación Ciudadana se establecen con el objeto de representar organizadamente a sus comunidades ante la autoridad municipal, a razón de un Comité Social por colonia con las atribuciones y obligaciones consignadas en este Reglamento y demás disposiciones que resulten aplicables.</w:t>
            </w:r>
          </w:p>
          <w:p w14:paraId="3A476716" w14:textId="77777777" w:rsidR="009B5E39" w:rsidRDefault="009B5E39" w:rsidP="00190E4A">
            <w:pPr>
              <w:jc w:val="both"/>
              <w:rPr>
                <w:rFonts w:ascii="Gotham" w:hAnsi="Gotham" w:cs="Arial"/>
                <w:sz w:val="18"/>
                <w:szCs w:val="18"/>
              </w:rPr>
            </w:pPr>
          </w:p>
          <w:p w14:paraId="3A47671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 Dirección de Participación Ciudadana podrá solicitar el registro y validación de más de un Comité Social por colonia cuando considere que es pertinente en virtud de la extensión territorial de determinadas colonias, </w:t>
            </w:r>
            <w:r w:rsidRPr="00C11D3F">
              <w:rPr>
                <w:rFonts w:ascii="Gotham" w:hAnsi="Gotham" w:cs="Arial"/>
                <w:b/>
                <w:bCs/>
                <w:sz w:val="18"/>
                <w:szCs w:val="18"/>
              </w:rPr>
              <w:t>cuidando en todo momento el respeto, la unidad vecinal y la paz social</w:t>
            </w:r>
          </w:p>
        </w:tc>
      </w:tr>
      <w:tr w:rsidR="009B5E39" w:rsidRPr="00C11D3F" w14:paraId="3A476725" w14:textId="77777777" w:rsidTr="00190E4A">
        <w:trPr>
          <w:jc w:val="center"/>
        </w:trPr>
        <w:tc>
          <w:tcPr>
            <w:tcW w:w="4673" w:type="dxa"/>
          </w:tcPr>
          <w:p w14:paraId="3A476719" w14:textId="77777777" w:rsidR="009B5E39" w:rsidRDefault="009B5E39" w:rsidP="00190E4A">
            <w:pPr>
              <w:jc w:val="both"/>
              <w:rPr>
                <w:rFonts w:ascii="Gotham" w:hAnsi="Gotham" w:cs="Arial"/>
                <w:sz w:val="18"/>
                <w:szCs w:val="18"/>
              </w:rPr>
            </w:pPr>
          </w:p>
          <w:p w14:paraId="3A47671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32.</w:t>
            </w:r>
          </w:p>
          <w:p w14:paraId="3A47671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w:t>
            </w:r>
          </w:p>
          <w:p w14:paraId="3A47671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Inciso b)</w:t>
            </w:r>
          </w:p>
          <w:p w14:paraId="3A47671D" w14:textId="77777777" w:rsidR="009B5E39" w:rsidRDefault="009B5E39" w:rsidP="00190E4A">
            <w:pPr>
              <w:jc w:val="both"/>
              <w:rPr>
                <w:rFonts w:ascii="Gotham" w:hAnsi="Gotham" w:cs="Arial"/>
                <w:sz w:val="18"/>
                <w:szCs w:val="18"/>
              </w:rPr>
            </w:pPr>
          </w:p>
          <w:p w14:paraId="3A47671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Las consejerías ciudadanas A se </w:t>
            </w:r>
            <w:r w:rsidRPr="00C11D3F">
              <w:rPr>
                <w:rFonts w:ascii="Gotham" w:hAnsi="Gotham" w:cs="Arial"/>
                <w:color w:val="ED0000"/>
                <w:sz w:val="18"/>
                <w:szCs w:val="18"/>
              </w:rPr>
              <w:t>renovaran dieciocho meses después</w:t>
            </w:r>
            <w:r w:rsidRPr="00C11D3F">
              <w:rPr>
                <w:rFonts w:ascii="Gotham" w:hAnsi="Gotham" w:cs="Arial"/>
                <w:sz w:val="18"/>
                <w:szCs w:val="18"/>
              </w:rPr>
              <w:t xml:space="preserve"> </w:t>
            </w:r>
            <w:r w:rsidRPr="00C11D3F">
              <w:rPr>
                <w:rFonts w:ascii="Gotham" w:hAnsi="Gotham" w:cs="Arial"/>
                <w:color w:val="ED0000"/>
                <w:sz w:val="18"/>
                <w:szCs w:val="18"/>
              </w:rPr>
              <w:t>en que</w:t>
            </w:r>
            <w:r w:rsidRPr="00C11D3F">
              <w:rPr>
                <w:rFonts w:ascii="Gotham" w:hAnsi="Gotham" w:cs="Arial"/>
                <w:spacing w:val="1"/>
                <w:sz w:val="18"/>
                <w:szCs w:val="18"/>
              </w:rPr>
              <w:t xml:space="preserve"> </w:t>
            </w:r>
            <w:r w:rsidRPr="00C11D3F">
              <w:rPr>
                <w:rFonts w:ascii="Gotham" w:hAnsi="Gotham" w:cs="Arial"/>
                <w:sz w:val="18"/>
                <w:szCs w:val="18"/>
              </w:rPr>
              <w:t>haya</w:t>
            </w:r>
            <w:r w:rsidRPr="00C11D3F">
              <w:rPr>
                <w:rFonts w:ascii="Gotham" w:hAnsi="Gotham" w:cs="Arial"/>
                <w:spacing w:val="-2"/>
                <w:sz w:val="18"/>
                <w:szCs w:val="18"/>
              </w:rPr>
              <w:t xml:space="preserve"> </w:t>
            </w:r>
            <w:r w:rsidRPr="00C11D3F">
              <w:rPr>
                <w:rFonts w:ascii="Gotham" w:hAnsi="Gotham" w:cs="Arial"/>
                <w:sz w:val="18"/>
                <w:szCs w:val="18"/>
              </w:rPr>
              <w:t>iniciado</w:t>
            </w:r>
            <w:r w:rsidRPr="00C11D3F">
              <w:rPr>
                <w:rFonts w:ascii="Gotham" w:hAnsi="Gotham" w:cs="Arial"/>
                <w:spacing w:val="2"/>
                <w:sz w:val="18"/>
                <w:szCs w:val="18"/>
              </w:rPr>
              <w:t xml:space="preserve"> </w:t>
            </w: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periodo</w:t>
            </w:r>
            <w:r w:rsidRPr="00C11D3F">
              <w:rPr>
                <w:rFonts w:ascii="Gotham" w:hAnsi="Gotham" w:cs="Arial"/>
                <w:spacing w:val="-3"/>
                <w:sz w:val="18"/>
                <w:szCs w:val="18"/>
              </w:rPr>
              <w:t xml:space="preserve"> </w:t>
            </w:r>
            <w:r w:rsidRPr="00C11D3F">
              <w:rPr>
                <w:rFonts w:ascii="Gotham" w:hAnsi="Gotham" w:cs="Arial"/>
                <w:sz w:val="18"/>
                <w:szCs w:val="18"/>
              </w:rPr>
              <w:t>del</w:t>
            </w:r>
            <w:r w:rsidRPr="00C11D3F">
              <w:rPr>
                <w:rFonts w:ascii="Gotham" w:hAnsi="Gotham" w:cs="Arial"/>
                <w:spacing w:val="-1"/>
                <w:sz w:val="18"/>
                <w:szCs w:val="18"/>
              </w:rPr>
              <w:t xml:space="preserve"> </w:t>
            </w:r>
            <w:r w:rsidRPr="00C11D3F">
              <w:rPr>
                <w:rFonts w:ascii="Gotham" w:hAnsi="Gotham" w:cs="Arial"/>
                <w:sz w:val="18"/>
                <w:szCs w:val="18"/>
              </w:rPr>
              <w:t>Gobierno</w:t>
            </w:r>
            <w:r w:rsidRPr="00C11D3F">
              <w:rPr>
                <w:rFonts w:ascii="Gotham" w:hAnsi="Gotham" w:cs="Arial"/>
                <w:spacing w:val="2"/>
                <w:sz w:val="18"/>
                <w:szCs w:val="18"/>
              </w:rPr>
              <w:t xml:space="preserve"> </w:t>
            </w:r>
            <w:r w:rsidRPr="00C11D3F">
              <w:rPr>
                <w:rFonts w:ascii="Gotham" w:hAnsi="Gotham" w:cs="Arial"/>
                <w:sz w:val="18"/>
                <w:szCs w:val="18"/>
              </w:rPr>
              <w:t>Municipal;</w:t>
            </w:r>
          </w:p>
        </w:tc>
        <w:tc>
          <w:tcPr>
            <w:tcW w:w="4678" w:type="dxa"/>
          </w:tcPr>
          <w:p w14:paraId="3A47671F" w14:textId="77777777" w:rsidR="009B5E39" w:rsidRDefault="009B5E39" w:rsidP="00190E4A">
            <w:pPr>
              <w:jc w:val="both"/>
              <w:rPr>
                <w:rFonts w:ascii="Gotham" w:hAnsi="Gotham" w:cs="Arial"/>
                <w:sz w:val="18"/>
                <w:szCs w:val="18"/>
              </w:rPr>
            </w:pPr>
          </w:p>
          <w:p w14:paraId="3A47672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32.</w:t>
            </w:r>
          </w:p>
          <w:p w14:paraId="3A47672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w:t>
            </w:r>
          </w:p>
          <w:p w14:paraId="3A47672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Inciso b)</w:t>
            </w:r>
          </w:p>
          <w:p w14:paraId="3A476723" w14:textId="77777777" w:rsidR="009B5E39" w:rsidRDefault="009B5E39" w:rsidP="00190E4A">
            <w:pPr>
              <w:jc w:val="both"/>
              <w:rPr>
                <w:rFonts w:ascii="Gotham" w:hAnsi="Gotham" w:cs="Arial"/>
                <w:sz w:val="18"/>
                <w:szCs w:val="18"/>
              </w:rPr>
            </w:pPr>
          </w:p>
          <w:p w14:paraId="3A47672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Las consejerías ciudadanas A se </w:t>
            </w:r>
            <w:r w:rsidRPr="00C11D3F">
              <w:rPr>
                <w:rFonts w:ascii="Gotham" w:hAnsi="Gotham" w:cs="Arial"/>
                <w:b/>
                <w:bCs/>
                <w:sz w:val="18"/>
                <w:szCs w:val="18"/>
              </w:rPr>
              <w:t>renovarán</w:t>
            </w:r>
            <w:r w:rsidRPr="00C11D3F">
              <w:rPr>
                <w:rFonts w:ascii="Gotham" w:hAnsi="Gotham" w:cs="Arial"/>
                <w:sz w:val="18"/>
                <w:szCs w:val="18"/>
              </w:rPr>
              <w:t xml:space="preserve"> </w:t>
            </w:r>
            <w:r w:rsidRPr="00C11D3F">
              <w:rPr>
                <w:rFonts w:ascii="Gotham" w:hAnsi="Gotham" w:cs="Arial"/>
                <w:b/>
                <w:bCs/>
                <w:sz w:val="18"/>
                <w:szCs w:val="18"/>
              </w:rPr>
              <w:t>en el mes de julio del año siguiente</w:t>
            </w:r>
            <w:r w:rsidRPr="00C11D3F">
              <w:rPr>
                <w:rFonts w:ascii="Gotham" w:hAnsi="Gotham" w:cs="Arial"/>
                <w:sz w:val="18"/>
                <w:szCs w:val="18"/>
              </w:rPr>
              <w:t xml:space="preserve"> </w:t>
            </w:r>
            <w:r w:rsidRPr="00C11D3F">
              <w:rPr>
                <w:rFonts w:ascii="Gotham" w:hAnsi="Gotham" w:cs="Arial"/>
                <w:b/>
                <w:bCs/>
                <w:sz w:val="18"/>
                <w:szCs w:val="18"/>
              </w:rPr>
              <w:t>a aquel</w:t>
            </w:r>
            <w:r w:rsidRPr="00C11D3F">
              <w:rPr>
                <w:rFonts w:ascii="Gotham" w:hAnsi="Gotham" w:cs="Arial"/>
                <w:sz w:val="18"/>
                <w:szCs w:val="18"/>
              </w:rPr>
              <w:t xml:space="preserve"> en que haya iniciado el periodo del Gobierno Municipal</w:t>
            </w:r>
          </w:p>
        </w:tc>
      </w:tr>
      <w:tr w:rsidR="009B5E39" w:rsidRPr="00C11D3F" w14:paraId="3A47672C" w14:textId="77777777" w:rsidTr="00190E4A">
        <w:trPr>
          <w:jc w:val="center"/>
        </w:trPr>
        <w:tc>
          <w:tcPr>
            <w:tcW w:w="4673" w:type="dxa"/>
          </w:tcPr>
          <w:p w14:paraId="3A476726" w14:textId="77777777" w:rsidR="009B5E39" w:rsidRDefault="009B5E39" w:rsidP="00190E4A">
            <w:pPr>
              <w:jc w:val="both"/>
              <w:rPr>
                <w:rFonts w:ascii="Gotham" w:hAnsi="Gotham" w:cs="Arial"/>
                <w:sz w:val="18"/>
                <w:szCs w:val="18"/>
              </w:rPr>
            </w:pPr>
          </w:p>
          <w:p w14:paraId="3A47672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Capítulo III</w:t>
            </w:r>
          </w:p>
          <w:p w14:paraId="3A47672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shd w:val="clear" w:color="auto" w:fill="EDEDED" w:themeFill="accent3" w:themeFillTint="33"/>
              </w:rPr>
              <w:t>Del</w:t>
            </w:r>
            <w:r w:rsidRPr="00C11D3F">
              <w:rPr>
                <w:rFonts w:ascii="Gotham" w:hAnsi="Gotham" w:cs="Arial"/>
                <w:spacing w:val="-4"/>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Consejo</w:t>
            </w:r>
            <w:r w:rsidRPr="00C11D3F">
              <w:rPr>
                <w:rFonts w:ascii="Gotham" w:hAnsi="Gotham" w:cs="Arial"/>
                <w:spacing w:val="-7"/>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Municipal</w:t>
            </w:r>
            <w:r w:rsidRPr="00C11D3F">
              <w:rPr>
                <w:rFonts w:ascii="Gotham" w:hAnsi="Gotham" w:cs="Arial"/>
                <w:spacing w:val="1"/>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de</w:t>
            </w:r>
            <w:r w:rsidRPr="00C11D3F">
              <w:rPr>
                <w:rFonts w:ascii="Gotham" w:hAnsi="Gotham" w:cs="Arial"/>
                <w:spacing w:val="-3"/>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Participación</w:t>
            </w:r>
            <w:r w:rsidRPr="00C11D3F">
              <w:rPr>
                <w:rFonts w:ascii="Gotham" w:hAnsi="Gotham" w:cs="Arial"/>
                <w:spacing w:val="-5"/>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Ciudadana</w:t>
            </w:r>
            <w:r w:rsidRPr="00C11D3F">
              <w:rPr>
                <w:rFonts w:ascii="Gotham" w:hAnsi="Gotham" w:cs="Arial"/>
                <w:spacing w:val="-3"/>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y</w:t>
            </w:r>
            <w:r w:rsidRPr="00C11D3F">
              <w:rPr>
                <w:rFonts w:ascii="Gotham" w:hAnsi="Gotham" w:cs="Arial"/>
                <w:spacing w:val="-1"/>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Popular</w:t>
            </w:r>
            <w:r w:rsidRPr="00C11D3F">
              <w:rPr>
                <w:rFonts w:ascii="Gotham" w:hAnsi="Gotham" w:cs="Arial"/>
                <w:spacing w:val="2"/>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para</w:t>
            </w:r>
            <w:r w:rsidRPr="00C11D3F">
              <w:rPr>
                <w:rFonts w:ascii="Gotham" w:hAnsi="Gotham" w:cs="Arial"/>
                <w:spacing w:val="-4"/>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la</w:t>
            </w:r>
            <w:r w:rsidRPr="00C11D3F">
              <w:rPr>
                <w:rFonts w:ascii="Gotham" w:hAnsi="Gotham" w:cs="Arial"/>
                <w:spacing w:val="-3"/>
                <w:sz w:val="18"/>
                <w:szCs w:val="18"/>
                <w:shd w:val="clear" w:color="auto" w:fill="EDEDED" w:themeFill="accent3" w:themeFillTint="33"/>
              </w:rPr>
              <w:t xml:space="preserve"> </w:t>
            </w:r>
            <w:r w:rsidRPr="00C11D3F">
              <w:rPr>
                <w:rFonts w:ascii="Gotham" w:hAnsi="Gotham" w:cs="Arial"/>
                <w:sz w:val="18"/>
                <w:szCs w:val="18"/>
                <w:shd w:val="clear" w:color="auto" w:fill="EDEDED" w:themeFill="accent3" w:themeFillTint="33"/>
              </w:rPr>
              <w:t>Gobernanza</w:t>
            </w:r>
          </w:p>
        </w:tc>
        <w:tc>
          <w:tcPr>
            <w:tcW w:w="4678" w:type="dxa"/>
          </w:tcPr>
          <w:p w14:paraId="3A476729" w14:textId="77777777" w:rsidR="009B5E39" w:rsidRDefault="009B5E39" w:rsidP="00190E4A">
            <w:pPr>
              <w:jc w:val="both"/>
              <w:rPr>
                <w:rFonts w:ascii="Gotham" w:hAnsi="Gotham" w:cs="Arial"/>
                <w:sz w:val="18"/>
                <w:szCs w:val="18"/>
              </w:rPr>
            </w:pPr>
          </w:p>
          <w:p w14:paraId="3A47672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Capítulo III</w:t>
            </w:r>
          </w:p>
          <w:p w14:paraId="3A47672B" w14:textId="77777777" w:rsidR="009B5E39" w:rsidRPr="00C11D3F" w:rsidRDefault="009B5E39" w:rsidP="00190E4A">
            <w:pPr>
              <w:jc w:val="both"/>
              <w:rPr>
                <w:rFonts w:ascii="Gotham" w:hAnsi="Gotham" w:cs="Arial"/>
                <w:b/>
                <w:bCs/>
                <w:sz w:val="18"/>
                <w:szCs w:val="18"/>
              </w:rPr>
            </w:pPr>
            <w:r w:rsidRPr="00C11D3F">
              <w:rPr>
                <w:rFonts w:ascii="Gotham" w:hAnsi="Gotham" w:cs="Arial"/>
                <w:b/>
                <w:bCs/>
                <w:sz w:val="18"/>
                <w:szCs w:val="18"/>
              </w:rPr>
              <w:t>Del Consejo Municipal de Participación Ciudadana y Popular</w:t>
            </w:r>
          </w:p>
        </w:tc>
      </w:tr>
      <w:tr w:rsidR="009B5E39" w:rsidRPr="00C11D3F" w14:paraId="3A476731" w14:textId="77777777" w:rsidTr="00190E4A">
        <w:trPr>
          <w:jc w:val="center"/>
        </w:trPr>
        <w:tc>
          <w:tcPr>
            <w:tcW w:w="4673" w:type="dxa"/>
          </w:tcPr>
          <w:p w14:paraId="3A47672D" w14:textId="77777777" w:rsidR="009B5E39" w:rsidRDefault="009B5E39" w:rsidP="00190E4A">
            <w:pPr>
              <w:jc w:val="both"/>
              <w:rPr>
                <w:rFonts w:ascii="Gotham" w:hAnsi="Gotham" w:cs="Arial"/>
                <w:sz w:val="18"/>
                <w:szCs w:val="18"/>
              </w:rPr>
            </w:pPr>
          </w:p>
          <w:p w14:paraId="3A47672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33. El Consejo Municipal de Participación Ciudadana y Popular </w:t>
            </w:r>
            <w:r w:rsidRPr="00C11D3F">
              <w:rPr>
                <w:rFonts w:ascii="Gotham" w:hAnsi="Gotham" w:cs="Arial"/>
                <w:color w:val="ED0000"/>
                <w:sz w:val="18"/>
                <w:szCs w:val="18"/>
              </w:rPr>
              <w:t>para la Gobernanza</w:t>
            </w:r>
            <w:r w:rsidRPr="00C11D3F">
              <w:rPr>
                <w:rFonts w:ascii="Gotham" w:hAnsi="Gotham" w:cs="Arial"/>
                <w:sz w:val="18"/>
                <w:szCs w:val="18"/>
              </w:rPr>
              <w:t xml:space="preserve"> es el</w:t>
            </w:r>
            <w:r w:rsidRPr="00C11D3F">
              <w:rPr>
                <w:rFonts w:ascii="Gotham" w:hAnsi="Gotham" w:cs="Arial"/>
                <w:spacing w:val="1"/>
                <w:sz w:val="18"/>
                <w:szCs w:val="18"/>
              </w:rPr>
              <w:t xml:space="preserve"> </w:t>
            </w:r>
            <w:r w:rsidRPr="00C11D3F">
              <w:rPr>
                <w:rFonts w:ascii="Gotham" w:hAnsi="Gotham" w:cs="Arial"/>
                <w:sz w:val="18"/>
                <w:szCs w:val="18"/>
              </w:rPr>
              <w:t>órgano</w:t>
            </w:r>
            <w:r w:rsidRPr="00C11D3F">
              <w:rPr>
                <w:rFonts w:ascii="Gotham" w:hAnsi="Gotham" w:cs="Arial"/>
                <w:spacing w:val="1"/>
                <w:sz w:val="18"/>
                <w:szCs w:val="18"/>
              </w:rPr>
              <w:t xml:space="preserve"> </w:t>
            </w:r>
            <w:r w:rsidRPr="00C11D3F">
              <w:rPr>
                <w:rFonts w:ascii="Gotham" w:hAnsi="Gotham" w:cs="Arial"/>
                <w:sz w:val="18"/>
                <w:szCs w:val="18"/>
              </w:rPr>
              <w:t>garante</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participación</w:t>
            </w:r>
            <w:r w:rsidRPr="00C11D3F">
              <w:rPr>
                <w:rFonts w:ascii="Gotham" w:hAnsi="Gotham" w:cs="Arial"/>
                <w:spacing w:val="1"/>
                <w:sz w:val="18"/>
                <w:szCs w:val="18"/>
              </w:rPr>
              <w:t xml:space="preserve"> </w:t>
            </w:r>
            <w:r w:rsidRPr="00C11D3F">
              <w:rPr>
                <w:rFonts w:ascii="Gotham" w:hAnsi="Gotham" w:cs="Arial"/>
                <w:sz w:val="18"/>
                <w:szCs w:val="18"/>
              </w:rPr>
              <w:t>ciudadana</w:t>
            </w:r>
            <w:r w:rsidRPr="00C11D3F">
              <w:rPr>
                <w:rFonts w:ascii="Gotham" w:hAnsi="Gotham" w:cs="Arial"/>
                <w:spacing w:val="1"/>
                <w:sz w:val="18"/>
                <w:szCs w:val="18"/>
              </w:rPr>
              <w:t xml:space="preserve"> </w:t>
            </w:r>
            <w:r w:rsidRPr="00C11D3F">
              <w:rPr>
                <w:rFonts w:ascii="Gotham" w:hAnsi="Gotham" w:cs="Arial"/>
                <w:sz w:val="18"/>
                <w:szCs w:val="18"/>
              </w:rPr>
              <w:t>en</w:t>
            </w:r>
            <w:r w:rsidRPr="00C11D3F">
              <w:rPr>
                <w:rFonts w:ascii="Gotham" w:hAnsi="Gotham" w:cs="Arial"/>
                <w:spacing w:val="1"/>
                <w:sz w:val="18"/>
                <w:szCs w:val="18"/>
              </w:rPr>
              <w:t xml:space="preserve"> </w:t>
            </w: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Municipio,</w:t>
            </w:r>
            <w:r w:rsidRPr="00C11D3F">
              <w:rPr>
                <w:rFonts w:ascii="Gotham" w:hAnsi="Gotham" w:cs="Arial"/>
                <w:spacing w:val="1"/>
                <w:sz w:val="18"/>
                <w:szCs w:val="18"/>
              </w:rPr>
              <w:t xml:space="preserve"> </w:t>
            </w:r>
            <w:r w:rsidRPr="00C11D3F">
              <w:rPr>
                <w:rFonts w:ascii="Gotham" w:hAnsi="Gotham" w:cs="Arial"/>
                <w:sz w:val="18"/>
                <w:szCs w:val="18"/>
              </w:rPr>
              <w:t>con</w:t>
            </w:r>
            <w:r w:rsidRPr="00C11D3F">
              <w:rPr>
                <w:rFonts w:ascii="Gotham" w:hAnsi="Gotham" w:cs="Arial"/>
                <w:spacing w:val="1"/>
                <w:sz w:val="18"/>
                <w:szCs w:val="18"/>
              </w:rPr>
              <w:t xml:space="preserve"> </w:t>
            </w:r>
            <w:r w:rsidRPr="00C11D3F">
              <w:rPr>
                <w:rFonts w:ascii="Gotham" w:hAnsi="Gotham" w:cs="Arial"/>
                <w:sz w:val="18"/>
                <w:szCs w:val="18"/>
              </w:rPr>
              <w:t>funciones</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gestión</w:t>
            </w:r>
            <w:r w:rsidRPr="00C11D3F">
              <w:rPr>
                <w:rFonts w:ascii="Gotham" w:hAnsi="Gotham" w:cs="Arial"/>
                <w:spacing w:val="1"/>
                <w:sz w:val="18"/>
                <w:szCs w:val="18"/>
              </w:rPr>
              <w:t xml:space="preserve"> </w:t>
            </w:r>
            <w:r w:rsidRPr="00C11D3F">
              <w:rPr>
                <w:rFonts w:ascii="Gotham" w:hAnsi="Gotham" w:cs="Arial"/>
                <w:sz w:val="18"/>
                <w:szCs w:val="18"/>
              </w:rPr>
              <w:t>y</w:t>
            </w:r>
            <w:r w:rsidRPr="00C11D3F">
              <w:rPr>
                <w:rFonts w:ascii="Gotham" w:hAnsi="Gotham" w:cs="Arial"/>
                <w:spacing w:val="1"/>
                <w:sz w:val="18"/>
                <w:szCs w:val="18"/>
              </w:rPr>
              <w:t xml:space="preserve"> </w:t>
            </w:r>
            <w:r w:rsidRPr="00C11D3F">
              <w:rPr>
                <w:rFonts w:ascii="Gotham" w:hAnsi="Gotham" w:cs="Arial"/>
                <w:sz w:val="18"/>
                <w:szCs w:val="18"/>
              </w:rPr>
              <w:t>representación</w:t>
            </w:r>
            <w:r w:rsidRPr="00C11D3F">
              <w:rPr>
                <w:rFonts w:ascii="Gotham" w:hAnsi="Gotham" w:cs="Arial"/>
                <w:spacing w:val="-14"/>
                <w:sz w:val="18"/>
                <w:szCs w:val="18"/>
              </w:rPr>
              <w:t xml:space="preserve"> </w:t>
            </w:r>
            <w:r w:rsidRPr="00C11D3F">
              <w:rPr>
                <w:rFonts w:ascii="Gotham" w:hAnsi="Gotham" w:cs="Arial"/>
                <w:sz w:val="18"/>
                <w:szCs w:val="18"/>
              </w:rPr>
              <w:t>ciudadana,</w:t>
            </w:r>
            <w:r w:rsidRPr="00C11D3F">
              <w:rPr>
                <w:rFonts w:ascii="Gotham" w:hAnsi="Gotham" w:cs="Arial"/>
                <w:spacing w:val="-10"/>
                <w:sz w:val="18"/>
                <w:szCs w:val="18"/>
              </w:rPr>
              <w:t xml:space="preserve"> </w:t>
            </w:r>
            <w:r w:rsidRPr="00C11D3F">
              <w:rPr>
                <w:rFonts w:ascii="Gotham" w:hAnsi="Gotham" w:cs="Arial"/>
                <w:sz w:val="18"/>
                <w:szCs w:val="18"/>
              </w:rPr>
              <w:t>colaborando</w:t>
            </w:r>
            <w:r w:rsidRPr="00C11D3F">
              <w:rPr>
                <w:rFonts w:ascii="Gotham" w:hAnsi="Gotham" w:cs="Arial"/>
                <w:spacing w:val="-10"/>
                <w:sz w:val="18"/>
                <w:szCs w:val="18"/>
              </w:rPr>
              <w:t xml:space="preserve"> </w:t>
            </w:r>
            <w:r w:rsidRPr="00C11D3F">
              <w:rPr>
                <w:rFonts w:ascii="Gotham" w:hAnsi="Gotham" w:cs="Arial"/>
                <w:sz w:val="18"/>
                <w:szCs w:val="18"/>
              </w:rPr>
              <w:t>con</w:t>
            </w:r>
            <w:r w:rsidRPr="00C11D3F">
              <w:rPr>
                <w:rFonts w:ascii="Gotham" w:hAnsi="Gotham" w:cs="Arial"/>
                <w:spacing w:val="-13"/>
                <w:sz w:val="18"/>
                <w:szCs w:val="18"/>
              </w:rPr>
              <w:t xml:space="preserve"> </w:t>
            </w:r>
            <w:r w:rsidRPr="00C11D3F">
              <w:rPr>
                <w:rFonts w:ascii="Gotham" w:hAnsi="Gotham" w:cs="Arial"/>
                <w:sz w:val="18"/>
                <w:szCs w:val="18"/>
              </w:rPr>
              <w:t>el</w:t>
            </w:r>
            <w:r w:rsidRPr="00C11D3F">
              <w:rPr>
                <w:rFonts w:ascii="Gotham" w:hAnsi="Gotham" w:cs="Arial"/>
                <w:spacing w:val="-9"/>
                <w:sz w:val="18"/>
                <w:szCs w:val="18"/>
              </w:rPr>
              <w:t xml:space="preserve"> </w:t>
            </w:r>
            <w:r w:rsidRPr="00C11D3F">
              <w:rPr>
                <w:rFonts w:ascii="Gotham" w:hAnsi="Gotham" w:cs="Arial"/>
                <w:sz w:val="18"/>
                <w:szCs w:val="18"/>
              </w:rPr>
              <w:t>Ayuntamiento</w:t>
            </w:r>
            <w:r w:rsidRPr="00C11D3F">
              <w:rPr>
                <w:rFonts w:ascii="Gotham" w:hAnsi="Gotham" w:cs="Arial"/>
                <w:spacing w:val="-10"/>
                <w:sz w:val="18"/>
                <w:szCs w:val="18"/>
              </w:rPr>
              <w:t xml:space="preserve"> </w:t>
            </w:r>
            <w:r w:rsidRPr="00C11D3F">
              <w:rPr>
                <w:rFonts w:ascii="Gotham" w:hAnsi="Gotham" w:cs="Arial"/>
                <w:sz w:val="18"/>
                <w:szCs w:val="18"/>
              </w:rPr>
              <w:t>en</w:t>
            </w:r>
            <w:r w:rsidRPr="00C11D3F">
              <w:rPr>
                <w:rFonts w:ascii="Gotham" w:hAnsi="Gotham" w:cs="Arial"/>
                <w:spacing w:val="-13"/>
                <w:sz w:val="18"/>
                <w:szCs w:val="18"/>
              </w:rPr>
              <w:t xml:space="preserve"> </w:t>
            </w:r>
            <w:r w:rsidRPr="00C11D3F">
              <w:rPr>
                <w:rFonts w:ascii="Gotham" w:hAnsi="Gotham" w:cs="Arial"/>
                <w:sz w:val="18"/>
                <w:szCs w:val="18"/>
              </w:rPr>
              <w:t>la</w:t>
            </w:r>
            <w:r w:rsidRPr="00C11D3F">
              <w:rPr>
                <w:rFonts w:ascii="Gotham" w:hAnsi="Gotham" w:cs="Arial"/>
                <w:spacing w:val="-12"/>
                <w:sz w:val="18"/>
                <w:szCs w:val="18"/>
              </w:rPr>
              <w:t xml:space="preserve"> </w:t>
            </w:r>
            <w:r w:rsidRPr="00C11D3F">
              <w:rPr>
                <w:rFonts w:ascii="Gotham" w:hAnsi="Gotham" w:cs="Arial"/>
                <w:sz w:val="18"/>
                <w:szCs w:val="18"/>
              </w:rPr>
              <w:t>transformación</w:t>
            </w:r>
            <w:r w:rsidRPr="00C11D3F">
              <w:rPr>
                <w:rFonts w:ascii="Gotham" w:hAnsi="Gotham" w:cs="Arial"/>
                <w:spacing w:val="-14"/>
                <w:sz w:val="18"/>
                <w:szCs w:val="18"/>
              </w:rPr>
              <w:t xml:space="preserve"> </w:t>
            </w:r>
            <w:r w:rsidRPr="00C11D3F">
              <w:rPr>
                <w:rFonts w:ascii="Gotham" w:hAnsi="Gotham" w:cs="Arial"/>
                <w:sz w:val="18"/>
                <w:szCs w:val="18"/>
              </w:rPr>
              <w:t>de</w:t>
            </w:r>
            <w:r w:rsidRPr="00C11D3F">
              <w:rPr>
                <w:rFonts w:ascii="Gotham" w:hAnsi="Gotham" w:cs="Arial"/>
                <w:spacing w:val="-12"/>
                <w:sz w:val="18"/>
                <w:szCs w:val="18"/>
              </w:rPr>
              <w:t xml:space="preserve"> </w:t>
            </w:r>
            <w:r w:rsidRPr="00C11D3F">
              <w:rPr>
                <w:rFonts w:ascii="Gotham" w:hAnsi="Gotham" w:cs="Arial"/>
                <w:sz w:val="18"/>
                <w:szCs w:val="18"/>
              </w:rPr>
              <w:t>la</w:t>
            </w:r>
            <w:r w:rsidRPr="00C11D3F">
              <w:rPr>
                <w:rFonts w:ascii="Gotham" w:hAnsi="Gotham" w:cs="Arial"/>
                <w:spacing w:val="-12"/>
                <w:sz w:val="18"/>
                <w:szCs w:val="18"/>
              </w:rPr>
              <w:t xml:space="preserve"> </w:t>
            </w:r>
            <w:r w:rsidRPr="00C11D3F">
              <w:rPr>
                <w:rFonts w:ascii="Gotham" w:hAnsi="Gotham" w:cs="Arial"/>
                <w:sz w:val="18"/>
                <w:szCs w:val="18"/>
              </w:rPr>
              <w:t>relación</w:t>
            </w:r>
            <w:r w:rsidRPr="00C11D3F">
              <w:rPr>
                <w:rFonts w:ascii="Gotham" w:hAnsi="Gotham" w:cs="Arial"/>
                <w:spacing w:val="-14"/>
                <w:sz w:val="18"/>
                <w:szCs w:val="18"/>
              </w:rPr>
              <w:t xml:space="preserve"> </w:t>
            </w:r>
            <w:r w:rsidRPr="00C11D3F">
              <w:rPr>
                <w:rFonts w:ascii="Gotham" w:hAnsi="Gotham" w:cs="Arial"/>
                <w:sz w:val="18"/>
                <w:szCs w:val="18"/>
              </w:rPr>
              <w:t>entre</w:t>
            </w:r>
            <w:r w:rsidRPr="00C11D3F">
              <w:rPr>
                <w:rFonts w:ascii="Gotham" w:hAnsi="Gotham" w:cs="Arial"/>
                <w:spacing w:val="1"/>
                <w:sz w:val="18"/>
                <w:szCs w:val="18"/>
              </w:rPr>
              <w:t xml:space="preserve"> </w:t>
            </w:r>
            <w:r w:rsidRPr="00C11D3F">
              <w:rPr>
                <w:rFonts w:ascii="Gotham" w:hAnsi="Gotham" w:cs="Arial"/>
                <w:sz w:val="18"/>
                <w:szCs w:val="18"/>
              </w:rPr>
              <w:t>las</w:t>
            </w:r>
            <w:r w:rsidRPr="00C11D3F">
              <w:rPr>
                <w:rFonts w:ascii="Gotham" w:hAnsi="Gotham" w:cs="Arial"/>
                <w:spacing w:val="8"/>
                <w:sz w:val="18"/>
                <w:szCs w:val="18"/>
              </w:rPr>
              <w:t xml:space="preserve"> </w:t>
            </w:r>
            <w:r w:rsidRPr="00C11D3F">
              <w:rPr>
                <w:rFonts w:ascii="Gotham" w:hAnsi="Gotham" w:cs="Arial"/>
                <w:sz w:val="18"/>
                <w:szCs w:val="18"/>
              </w:rPr>
              <w:t>entidades</w:t>
            </w:r>
            <w:r w:rsidRPr="00C11D3F">
              <w:rPr>
                <w:rFonts w:ascii="Gotham" w:hAnsi="Gotham" w:cs="Arial"/>
                <w:spacing w:val="5"/>
                <w:sz w:val="18"/>
                <w:szCs w:val="18"/>
              </w:rPr>
              <w:t xml:space="preserve"> </w:t>
            </w:r>
            <w:r w:rsidRPr="00C11D3F">
              <w:rPr>
                <w:rFonts w:ascii="Gotham" w:hAnsi="Gotham" w:cs="Arial"/>
                <w:sz w:val="18"/>
                <w:szCs w:val="18"/>
              </w:rPr>
              <w:t>gubernamentales</w:t>
            </w:r>
            <w:r w:rsidRPr="00C11D3F">
              <w:rPr>
                <w:rFonts w:ascii="Gotham" w:hAnsi="Gotham" w:cs="Arial"/>
                <w:spacing w:val="4"/>
                <w:sz w:val="18"/>
                <w:szCs w:val="18"/>
              </w:rPr>
              <w:t xml:space="preserve"> </w:t>
            </w:r>
            <w:r w:rsidRPr="00C11D3F">
              <w:rPr>
                <w:rFonts w:ascii="Gotham" w:hAnsi="Gotham" w:cs="Arial"/>
                <w:sz w:val="18"/>
                <w:szCs w:val="18"/>
              </w:rPr>
              <w:t>y</w:t>
            </w:r>
            <w:r w:rsidRPr="00C11D3F">
              <w:rPr>
                <w:rFonts w:ascii="Gotham" w:hAnsi="Gotham" w:cs="Arial"/>
                <w:spacing w:val="4"/>
                <w:sz w:val="18"/>
                <w:szCs w:val="18"/>
              </w:rPr>
              <w:t xml:space="preserve"> </w:t>
            </w:r>
            <w:r w:rsidRPr="00C11D3F">
              <w:rPr>
                <w:rFonts w:ascii="Gotham" w:hAnsi="Gotham" w:cs="Arial"/>
                <w:sz w:val="18"/>
                <w:szCs w:val="18"/>
              </w:rPr>
              <w:t>los</w:t>
            </w:r>
            <w:r w:rsidRPr="00C11D3F">
              <w:rPr>
                <w:rFonts w:ascii="Gotham" w:hAnsi="Gotham" w:cs="Arial"/>
                <w:spacing w:val="8"/>
                <w:sz w:val="18"/>
                <w:szCs w:val="18"/>
              </w:rPr>
              <w:t xml:space="preserve"> </w:t>
            </w:r>
            <w:r w:rsidRPr="00C11D3F">
              <w:rPr>
                <w:rFonts w:ascii="Gotham" w:hAnsi="Gotham" w:cs="Arial"/>
                <w:sz w:val="18"/>
                <w:szCs w:val="18"/>
              </w:rPr>
              <w:t>ciudadanos,</w:t>
            </w:r>
            <w:r w:rsidRPr="00C11D3F">
              <w:rPr>
                <w:rFonts w:ascii="Gotham" w:hAnsi="Gotham" w:cs="Arial"/>
                <w:spacing w:val="7"/>
                <w:sz w:val="18"/>
                <w:szCs w:val="18"/>
              </w:rPr>
              <w:t xml:space="preserve"> </w:t>
            </w:r>
            <w:r w:rsidRPr="00C11D3F">
              <w:rPr>
                <w:rFonts w:ascii="Gotham" w:hAnsi="Gotham" w:cs="Arial"/>
                <w:sz w:val="18"/>
                <w:szCs w:val="18"/>
              </w:rPr>
              <w:t>cuyas</w:t>
            </w:r>
            <w:r w:rsidRPr="00C11D3F">
              <w:rPr>
                <w:rFonts w:ascii="Gotham" w:hAnsi="Gotham" w:cs="Arial"/>
                <w:spacing w:val="5"/>
                <w:sz w:val="18"/>
                <w:szCs w:val="18"/>
              </w:rPr>
              <w:t xml:space="preserve"> </w:t>
            </w:r>
            <w:r w:rsidRPr="00C11D3F">
              <w:rPr>
                <w:rFonts w:ascii="Gotham" w:hAnsi="Gotham" w:cs="Arial"/>
                <w:sz w:val="18"/>
                <w:szCs w:val="18"/>
              </w:rPr>
              <w:t>determinaciones</w:t>
            </w:r>
            <w:r w:rsidRPr="00C11D3F">
              <w:rPr>
                <w:rFonts w:ascii="Gotham" w:hAnsi="Gotham" w:cs="Arial"/>
                <w:spacing w:val="4"/>
                <w:sz w:val="18"/>
                <w:szCs w:val="18"/>
              </w:rPr>
              <w:t xml:space="preserve"> </w:t>
            </w:r>
            <w:r w:rsidRPr="00C11D3F">
              <w:rPr>
                <w:rFonts w:ascii="Gotham" w:hAnsi="Gotham" w:cs="Arial"/>
                <w:sz w:val="18"/>
                <w:szCs w:val="18"/>
              </w:rPr>
              <w:t>podrán</w:t>
            </w:r>
            <w:r w:rsidRPr="00C11D3F">
              <w:rPr>
                <w:rFonts w:ascii="Gotham" w:hAnsi="Gotham" w:cs="Arial"/>
                <w:spacing w:val="8"/>
                <w:sz w:val="18"/>
                <w:szCs w:val="18"/>
              </w:rPr>
              <w:t xml:space="preserve"> </w:t>
            </w:r>
            <w:r w:rsidRPr="00C11D3F">
              <w:rPr>
                <w:rFonts w:ascii="Gotham" w:hAnsi="Gotham" w:cs="Arial"/>
                <w:sz w:val="18"/>
                <w:szCs w:val="18"/>
              </w:rPr>
              <w:t>ser</w:t>
            </w:r>
            <w:r w:rsidRPr="00C11D3F">
              <w:rPr>
                <w:rFonts w:ascii="Gotham" w:hAnsi="Gotham" w:cs="Arial"/>
                <w:spacing w:val="8"/>
                <w:sz w:val="18"/>
                <w:szCs w:val="18"/>
              </w:rPr>
              <w:t xml:space="preserve"> </w:t>
            </w:r>
            <w:r w:rsidRPr="00C11D3F">
              <w:rPr>
                <w:rFonts w:ascii="Gotham" w:hAnsi="Gotham" w:cs="Arial"/>
                <w:sz w:val="18"/>
                <w:szCs w:val="18"/>
              </w:rPr>
              <w:t>vinculatorias</w:t>
            </w:r>
            <w:r w:rsidRPr="00C11D3F">
              <w:rPr>
                <w:rFonts w:ascii="Gotham" w:hAnsi="Gotham" w:cs="Arial"/>
                <w:spacing w:val="5"/>
                <w:sz w:val="18"/>
                <w:szCs w:val="18"/>
              </w:rPr>
              <w:t xml:space="preserve"> </w:t>
            </w:r>
            <w:r w:rsidRPr="00C11D3F">
              <w:rPr>
                <w:rFonts w:ascii="Gotham" w:hAnsi="Gotham" w:cs="Arial"/>
                <w:sz w:val="18"/>
                <w:szCs w:val="18"/>
              </w:rPr>
              <w:t>en los</w:t>
            </w:r>
            <w:r w:rsidRPr="00C11D3F">
              <w:rPr>
                <w:rFonts w:ascii="Gotham" w:hAnsi="Gotham" w:cs="Arial"/>
                <w:spacing w:val="-4"/>
                <w:sz w:val="18"/>
                <w:szCs w:val="18"/>
              </w:rPr>
              <w:t xml:space="preserve"> </w:t>
            </w:r>
            <w:r w:rsidRPr="00C11D3F">
              <w:rPr>
                <w:rFonts w:ascii="Gotham" w:hAnsi="Gotham" w:cs="Arial"/>
                <w:sz w:val="18"/>
                <w:szCs w:val="18"/>
              </w:rPr>
              <w:t>términos</w:t>
            </w:r>
            <w:r w:rsidRPr="00C11D3F">
              <w:rPr>
                <w:rFonts w:ascii="Gotham" w:hAnsi="Gotham" w:cs="Arial"/>
                <w:spacing w:val="-4"/>
                <w:sz w:val="18"/>
                <w:szCs w:val="18"/>
              </w:rPr>
              <w:t xml:space="preserve"> </w:t>
            </w:r>
            <w:r w:rsidRPr="00C11D3F">
              <w:rPr>
                <w:rFonts w:ascii="Gotham" w:hAnsi="Gotham" w:cs="Arial"/>
                <w:sz w:val="18"/>
                <w:szCs w:val="18"/>
              </w:rPr>
              <w:t>que</w:t>
            </w:r>
            <w:r w:rsidRPr="00C11D3F">
              <w:rPr>
                <w:rFonts w:ascii="Gotham" w:hAnsi="Gotham" w:cs="Arial"/>
                <w:spacing w:val="-4"/>
                <w:sz w:val="18"/>
                <w:szCs w:val="18"/>
              </w:rPr>
              <w:t xml:space="preserve"> </w:t>
            </w:r>
            <w:r w:rsidRPr="00C11D3F">
              <w:rPr>
                <w:rFonts w:ascii="Gotham" w:hAnsi="Gotham" w:cs="Arial"/>
                <w:sz w:val="18"/>
                <w:szCs w:val="18"/>
              </w:rPr>
              <w:t>establece</w:t>
            </w:r>
            <w:r w:rsidRPr="00C11D3F">
              <w:rPr>
                <w:rFonts w:ascii="Gotham" w:hAnsi="Gotham" w:cs="Arial"/>
                <w:spacing w:val="-4"/>
                <w:sz w:val="18"/>
                <w:szCs w:val="18"/>
              </w:rPr>
              <w:t xml:space="preserve"> </w:t>
            </w:r>
            <w:r w:rsidRPr="00C11D3F">
              <w:rPr>
                <w:rFonts w:ascii="Gotham" w:hAnsi="Gotham" w:cs="Arial"/>
                <w:sz w:val="18"/>
                <w:szCs w:val="18"/>
              </w:rPr>
              <w:t>el</w:t>
            </w:r>
            <w:r w:rsidRPr="00C11D3F">
              <w:rPr>
                <w:rFonts w:ascii="Gotham" w:hAnsi="Gotham" w:cs="Arial"/>
                <w:spacing w:val="-4"/>
                <w:sz w:val="18"/>
                <w:szCs w:val="18"/>
              </w:rPr>
              <w:t xml:space="preserve"> </w:t>
            </w:r>
            <w:r w:rsidRPr="00C11D3F">
              <w:rPr>
                <w:rFonts w:ascii="Gotham" w:hAnsi="Gotham" w:cs="Arial"/>
                <w:sz w:val="18"/>
                <w:szCs w:val="18"/>
              </w:rPr>
              <w:t>presente</w:t>
            </w:r>
            <w:r w:rsidRPr="00C11D3F">
              <w:rPr>
                <w:rFonts w:ascii="Gotham" w:hAnsi="Gotham" w:cs="Arial"/>
                <w:spacing w:val="-4"/>
                <w:sz w:val="18"/>
                <w:szCs w:val="18"/>
              </w:rPr>
              <w:t xml:space="preserve"> </w:t>
            </w:r>
            <w:r w:rsidRPr="00C11D3F">
              <w:rPr>
                <w:rFonts w:ascii="Gotham" w:hAnsi="Gotham" w:cs="Arial"/>
                <w:sz w:val="18"/>
                <w:szCs w:val="18"/>
              </w:rPr>
              <w:t>Reglamento.</w:t>
            </w:r>
          </w:p>
        </w:tc>
        <w:tc>
          <w:tcPr>
            <w:tcW w:w="4678" w:type="dxa"/>
          </w:tcPr>
          <w:p w14:paraId="3A47672F" w14:textId="77777777" w:rsidR="009B5E39" w:rsidRDefault="009B5E39" w:rsidP="00190E4A">
            <w:pPr>
              <w:jc w:val="both"/>
              <w:rPr>
                <w:rFonts w:ascii="Gotham" w:hAnsi="Gotham" w:cs="Arial"/>
                <w:sz w:val="18"/>
                <w:szCs w:val="18"/>
              </w:rPr>
            </w:pPr>
          </w:p>
          <w:p w14:paraId="3A47673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33. El Consejo Municipal de Participación Ciudadana y Popular es el</w:t>
            </w:r>
            <w:r w:rsidRPr="00C11D3F">
              <w:rPr>
                <w:rFonts w:ascii="Gotham" w:hAnsi="Gotham" w:cs="Arial"/>
                <w:spacing w:val="1"/>
                <w:sz w:val="18"/>
                <w:szCs w:val="18"/>
              </w:rPr>
              <w:t xml:space="preserve"> </w:t>
            </w:r>
            <w:r w:rsidRPr="00C11D3F">
              <w:rPr>
                <w:rFonts w:ascii="Gotham" w:hAnsi="Gotham" w:cs="Arial"/>
                <w:sz w:val="18"/>
                <w:szCs w:val="18"/>
              </w:rPr>
              <w:t>órgano</w:t>
            </w:r>
            <w:r w:rsidRPr="00C11D3F">
              <w:rPr>
                <w:rFonts w:ascii="Gotham" w:hAnsi="Gotham" w:cs="Arial"/>
                <w:spacing w:val="1"/>
                <w:sz w:val="18"/>
                <w:szCs w:val="18"/>
              </w:rPr>
              <w:t xml:space="preserve"> </w:t>
            </w:r>
            <w:r w:rsidRPr="00C11D3F">
              <w:rPr>
                <w:rFonts w:ascii="Gotham" w:hAnsi="Gotham" w:cs="Arial"/>
                <w:sz w:val="18"/>
                <w:szCs w:val="18"/>
              </w:rPr>
              <w:t>garante</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participación</w:t>
            </w:r>
            <w:r w:rsidRPr="00C11D3F">
              <w:rPr>
                <w:rFonts w:ascii="Gotham" w:hAnsi="Gotham" w:cs="Arial"/>
                <w:spacing w:val="1"/>
                <w:sz w:val="18"/>
                <w:szCs w:val="18"/>
              </w:rPr>
              <w:t xml:space="preserve"> </w:t>
            </w:r>
            <w:r w:rsidRPr="00C11D3F">
              <w:rPr>
                <w:rFonts w:ascii="Gotham" w:hAnsi="Gotham" w:cs="Arial"/>
                <w:sz w:val="18"/>
                <w:szCs w:val="18"/>
              </w:rPr>
              <w:t>ciudadana</w:t>
            </w:r>
            <w:r w:rsidRPr="00C11D3F">
              <w:rPr>
                <w:rFonts w:ascii="Gotham" w:hAnsi="Gotham" w:cs="Arial"/>
                <w:spacing w:val="1"/>
                <w:sz w:val="18"/>
                <w:szCs w:val="18"/>
              </w:rPr>
              <w:t xml:space="preserve"> </w:t>
            </w:r>
            <w:r w:rsidRPr="00C11D3F">
              <w:rPr>
                <w:rFonts w:ascii="Gotham" w:hAnsi="Gotham" w:cs="Arial"/>
                <w:sz w:val="18"/>
                <w:szCs w:val="18"/>
              </w:rPr>
              <w:t>en</w:t>
            </w:r>
            <w:r w:rsidRPr="00C11D3F">
              <w:rPr>
                <w:rFonts w:ascii="Gotham" w:hAnsi="Gotham" w:cs="Arial"/>
                <w:spacing w:val="1"/>
                <w:sz w:val="18"/>
                <w:szCs w:val="18"/>
              </w:rPr>
              <w:t xml:space="preserve"> </w:t>
            </w: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Municipio,</w:t>
            </w:r>
            <w:r w:rsidRPr="00C11D3F">
              <w:rPr>
                <w:rFonts w:ascii="Gotham" w:hAnsi="Gotham" w:cs="Arial"/>
                <w:spacing w:val="1"/>
                <w:sz w:val="18"/>
                <w:szCs w:val="18"/>
              </w:rPr>
              <w:t xml:space="preserve"> </w:t>
            </w:r>
            <w:r w:rsidRPr="00C11D3F">
              <w:rPr>
                <w:rFonts w:ascii="Gotham" w:hAnsi="Gotham" w:cs="Arial"/>
                <w:sz w:val="18"/>
                <w:szCs w:val="18"/>
              </w:rPr>
              <w:t>con</w:t>
            </w:r>
            <w:r w:rsidRPr="00C11D3F">
              <w:rPr>
                <w:rFonts w:ascii="Gotham" w:hAnsi="Gotham" w:cs="Arial"/>
                <w:spacing w:val="1"/>
                <w:sz w:val="18"/>
                <w:szCs w:val="18"/>
              </w:rPr>
              <w:t xml:space="preserve"> </w:t>
            </w:r>
            <w:r w:rsidRPr="00C11D3F">
              <w:rPr>
                <w:rFonts w:ascii="Gotham" w:hAnsi="Gotham" w:cs="Arial"/>
                <w:sz w:val="18"/>
                <w:szCs w:val="18"/>
              </w:rPr>
              <w:t>funciones</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gestión</w:t>
            </w:r>
            <w:r w:rsidRPr="00C11D3F">
              <w:rPr>
                <w:rFonts w:ascii="Gotham" w:hAnsi="Gotham" w:cs="Arial"/>
                <w:spacing w:val="1"/>
                <w:sz w:val="18"/>
                <w:szCs w:val="18"/>
              </w:rPr>
              <w:t xml:space="preserve"> </w:t>
            </w:r>
            <w:r w:rsidRPr="00C11D3F">
              <w:rPr>
                <w:rFonts w:ascii="Gotham" w:hAnsi="Gotham" w:cs="Arial"/>
                <w:sz w:val="18"/>
                <w:szCs w:val="18"/>
              </w:rPr>
              <w:t>y</w:t>
            </w:r>
            <w:r w:rsidRPr="00C11D3F">
              <w:rPr>
                <w:rFonts w:ascii="Gotham" w:hAnsi="Gotham" w:cs="Arial"/>
                <w:spacing w:val="1"/>
                <w:sz w:val="18"/>
                <w:szCs w:val="18"/>
              </w:rPr>
              <w:t xml:space="preserve"> </w:t>
            </w:r>
            <w:r w:rsidRPr="00C11D3F">
              <w:rPr>
                <w:rFonts w:ascii="Gotham" w:hAnsi="Gotham" w:cs="Arial"/>
                <w:sz w:val="18"/>
                <w:szCs w:val="18"/>
              </w:rPr>
              <w:t>representación</w:t>
            </w:r>
            <w:r w:rsidRPr="00C11D3F">
              <w:rPr>
                <w:rFonts w:ascii="Gotham" w:hAnsi="Gotham" w:cs="Arial"/>
                <w:spacing w:val="-14"/>
                <w:sz w:val="18"/>
                <w:szCs w:val="18"/>
              </w:rPr>
              <w:t xml:space="preserve"> </w:t>
            </w:r>
            <w:r w:rsidRPr="00C11D3F">
              <w:rPr>
                <w:rFonts w:ascii="Gotham" w:hAnsi="Gotham" w:cs="Arial"/>
                <w:sz w:val="18"/>
                <w:szCs w:val="18"/>
              </w:rPr>
              <w:t>ciudadana,</w:t>
            </w:r>
            <w:r w:rsidRPr="00C11D3F">
              <w:rPr>
                <w:rFonts w:ascii="Gotham" w:hAnsi="Gotham" w:cs="Arial"/>
                <w:spacing w:val="-10"/>
                <w:sz w:val="18"/>
                <w:szCs w:val="18"/>
              </w:rPr>
              <w:t xml:space="preserve"> </w:t>
            </w:r>
            <w:r w:rsidRPr="00C11D3F">
              <w:rPr>
                <w:rFonts w:ascii="Gotham" w:hAnsi="Gotham" w:cs="Arial"/>
                <w:sz w:val="18"/>
                <w:szCs w:val="18"/>
              </w:rPr>
              <w:t>colaborando</w:t>
            </w:r>
            <w:r w:rsidRPr="00C11D3F">
              <w:rPr>
                <w:rFonts w:ascii="Gotham" w:hAnsi="Gotham" w:cs="Arial"/>
                <w:spacing w:val="-10"/>
                <w:sz w:val="18"/>
                <w:szCs w:val="18"/>
              </w:rPr>
              <w:t xml:space="preserve"> </w:t>
            </w:r>
            <w:r w:rsidRPr="00C11D3F">
              <w:rPr>
                <w:rFonts w:ascii="Gotham" w:hAnsi="Gotham" w:cs="Arial"/>
                <w:sz w:val="18"/>
                <w:szCs w:val="18"/>
              </w:rPr>
              <w:t>con</w:t>
            </w:r>
            <w:r w:rsidRPr="00C11D3F">
              <w:rPr>
                <w:rFonts w:ascii="Gotham" w:hAnsi="Gotham" w:cs="Arial"/>
                <w:spacing w:val="-13"/>
                <w:sz w:val="18"/>
                <w:szCs w:val="18"/>
              </w:rPr>
              <w:t xml:space="preserve"> </w:t>
            </w:r>
            <w:r w:rsidRPr="00C11D3F">
              <w:rPr>
                <w:rFonts w:ascii="Gotham" w:hAnsi="Gotham" w:cs="Arial"/>
                <w:sz w:val="18"/>
                <w:szCs w:val="18"/>
              </w:rPr>
              <w:t>el</w:t>
            </w:r>
            <w:r w:rsidRPr="00C11D3F">
              <w:rPr>
                <w:rFonts w:ascii="Gotham" w:hAnsi="Gotham" w:cs="Arial"/>
                <w:spacing w:val="-9"/>
                <w:sz w:val="18"/>
                <w:szCs w:val="18"/>
              </w:rPr>
              <w:t xml:space="preserve"> </w:t>
            </w:r>
            <w:r w:rsidRPr="00C11D3F">
              <w:rPr>
                <w:rFonts w:ascii="Gotham" w:hAnsi="Gotham" w:cs="Arial"/>
                <w:sz w:val="18"/>
                <w:szCs w:val="18"/>
              </w:rPr>
              <w:t>Ayuntamiento</w:t>
            </w:r>
            <w:r w:rsidRPr="00C11D3F">
              <w:rPr>
                <w:rFonts w:ascii="Gotham" w:hAnsi="Gotham" w:cs="Arial"/>
                <w:spacing w:val="-10"/>
                <w:sz w:val="18"/>
                <w:szCs w:val="18"/>
              </w:rPr>
              <w:t xml:space="preserve"> </w:t>
            </w:r>
            <w:r w:rsidRPr="00C11D3F">
              <w:rPr>
                <w:rFonts w:ascii="Gotham" w:hAnsi="Gotham" w:cs="Arial"/>
                <w:sz w:val="18"/>
                <w:szCs w:val="18"/>
              </w:rPr>
              <w:t>en</w:t>
            </w:r>
            <w:r w:rsidRPr="00C11D3F">
              <w:rPr>
                <w:rFonts w:ascii="Gotham" w:hAnsi="Gotham" w:cs="Arial"/>
                <w:spacing w:val="-13"/>
                <w:sz w:val="18"/>
                <w:szCs w:val="18"/>
              </w:rPr>
              <w:t xml:space="preserve"> </w:t>
            </w:r>
            <w:r w:rsidRPr="00C11D3F">
              <w:rPr>
                <w:rFonts w:ascii="Gotham" w:hAnsi="Gotham" w:cs="Arial"/>
                <w:sz w:val="18"/>
                <w:szCs w:val="18"/>
              </w:rPr>
              <w:t>la</w:t>
            </w:r>
            <w:r w:rsidRPr="00C11D3F">
              <w:rPr>
                <w:rFonts w:ascii="Gotham" w:hAnsi="Gotham" w:cs="Arial"/>
                <w:spacing w:val="-12"/>
                <w:sz w:val="18"/>
                <w:szCs w:val="18"/>
              </w:rPr>
              <w:t xml:space="preserve"> </w:t>
            </w:r>
            <w:r w:rsidRPr="00C11D3F">
              <w:rPr>
                <w:rFonts w:ascii="Gotham" w:hAnsi="Gotham" w:cs="Arial"/>
                <w:sz w:val="18"/>
                <w:szCs w:val="18"/>
              </w:rPr>
              <w:t>transformación</w:t>
            </w:r>
            <w:r w:rsidRPr="00C11D3F">
              <w:rPr>
                <w:rFonts w:ascii="Gotham" w:hAnsi="Gotham" w:cs="Arial"/>
                <w:spacing w:val="-14"/>
                <w:sz w:val="18"/>
                <w:szCs w:val="18"/>
              </w:rPr>
              <w:t xml:space="preserve"> </w:t>
            </w:r>
            <w:r w:rsidRPr="00C11D3F">
              <w:rPr>
                <w:rFonts w:ascii="Gotham" w:hAnsi="Gotham" w:cs="Arial"/>
                <w:sz w:val="18"/>
                <w:szCs w:val="18"/>
              </w:rPr>
              <w:t>de</w:t>
            </w:r>
            <w:r w:rsidRPr="00C11D3F">
              <w:rPr>
                <w:rFonts w:ascii="Gotham" w:hAnsi="Gotham" w:cs="Arial"/>
                <w:spacing w:val="-12"/>
                <w:sz w:val="18"/>
                <w:szCs w:val="18"/>
              </w:rPr>
              <w:t xml:space="preserve"> </w:t>
            </w:r>
            <w:r w:rsidRPr="00C11D3F">
              <w:rPr>
                <w:rFonts w:ascii="Gotham" w:hAnsi="Gotham" w:cs="Arial"/>
                <w:sz w:val="18"/>
                <w:szCs w:val="18"/>
              </w:rPr>
              <w:t>la</w:t>
            </w:r>
            <w:r w:rsidRPr="00C11D3F">
              <w:rPr>
                <w:rFonts w:ascii="Gotham" w:hAnsi="Gotham" w:cs="Arial"/>
                <w:spacing w:val="-12"/>
                <w:sz w:val="18"/>
                <w:szCs w:val="18"/>
              </w:rPr>
              <w:t xml:space="preserve"> </w:t>
            </w:r>
            <w:r w:rsidRPr="00C11D3F">
              <w:rPr>
                <w:rFonts w:ascii="Gotham" w:hAnsi="Gotham" w:cs="Arial"/>
                <w:sz w:val="18"/>
                <w:szCs w:val="18"/>
              </w:rPr>
              <w:t>relación</w:t>
            </w:r>
            <w:r w:rsidRPr="00C11D3F">
              <w:rPr>
                <w:rFonts w:ascii="Gotham" w:hAnsi="Gotham" w:cs="Arial"/>
                <w:spacing w:val="-14"/>
                <w:sz w:val="18"/>
                <w:szCs w:val="18"/>
              </w:rPr>
              <w:t xml:space="preserve"> </w:t>
            </w:r>
            <w:r w:rsidRPr="00C11D3F">
              <w:rPr>
                <w:rFonts w:ascii="Gotham" w:hAnsi="Gotham" w:cs="Arial"/>
                <w:sz w:val="18"/>
                <w:szCs w:val="18"/>
              </w:rPr>
              <w:t>entre</w:t>
            </w:r>
            <w:r w:rsidRPr="00C11D3F">
              <w:rPr>
                <w:rFonts w:ascii="Gotham" w:hAnsi="Gotham" w:cs="Arial"/>
                <w:spacing w:val="1"/>
                <w:sz w:val="18"/>
                <w:szCs w:val="18"/>
              </w:rPr>
              <w:t xml:space="preserve"> </w:t>
            </w:r>
            <w:r w:rsidRPr="00C11D3F">
              <w:rPr>
                <w:rFonts w:ascii="Gotham" w:hAnsi="Gotham" w:cs="Arial"/>
                <w:sz w:val="18"/>
                <w:szCs w:val="18"/>
              </w:rPr>
              <w:t>las</w:t>
            </w:r>
            <w:r w:rsidRPr="00C11D3F">
              <w:rPr>
                <w:rFonts w:ascii="Gotham" w:hAnsi="Gotham" w:cs="Arial"/>
                <w:spacing w:val="8"/>
                <w:sz w:val="18"/>
                <w:szCs w:val="18"/>
              </w:rPr>
              <w:t xml:space="preserve"> </w:t>
            </w:r>
            <w:r w:rsidRPr="00C11D3F">
              <w:rPr>
                <w:rFonts w:ascii="Gotham" w:hAnsi="Gotham" w:cs="Arial"/>
                <w:sz w:val="18"/>
                <w:szCs w:val="18"/>
              </w:rPr>
              <w:t>entidades</w:t>
            </w:r>
            <w:r w:rsidRPr="00C11D3F">
              <w:rPr>
                <w:rFonts w:ascii="Gotham" w:hAnsi="Gotham" w:cs="Arial"/>
                <w:spacing w:val="5"/>
                <w:sz w:val="18"/>
                <w:szCs w:val="18"/>
              </w:rPr>
              <w:t xml:space="preserve"> </w:t>
            </w:r>
            <w:r w:rsidRPr="00C11D3F">
              <w:rPr>
                <w:rFonts w:ascii="Gotham" w:hAnsi="Gotham" w:cs="Arial"/>
                <w:sz w:val="18"/>
                <w:szCs w:val="18"/>
              </w:rPr>
              <w:t>gubernamentales</w:t>
            </w:r>
            <w:r w:rsidRPr="00C11D3F">
              <w:rPr>
                <w:rFonts w:ascii="Gotham" w:hAnsi="Gotham" w:cs="Arial"/>
                <w:spacing w:val="4"/>
                <w:sz w:val="18"/>
                <w:szCs w:val="18"/>
              </w:rPr>
              <w:t xml:space="preserve"> </w:t>
            </w:r>
            <w:r w:rsidRPr="00C11D3F">
              <w:rPr>
                <w:rFonts w:ascii="Gotham" w:hAnsi="Gotham" w:cs="Arial"/>
                <w:sz w:val="18"/>
                <w:szCs w:val="18"/>
              </w:rPr>
              <w:t>y</w:t>
            </w:r>
            <w:r w:rsidRPr="00C11D3F">
              <w:rPr>
                <w:rFonts w:ascii="Gotham" w:hAnsi="Gotham" w:cs="Arial"/>
                <w:spacing w:val="4"/>
                <w:sz w:val="18"/>
                <w:szCs w:val="18"/>
              </w:rPr>
              <w:t xml:space="preserve"> </w:t>
            </w:r>
            <w:r w:rsidRPr="00C11D3F">
              <w:rPr>
                <w:rFonts w:ascii="Gotham" w:hAnsi="Gotham" w:cs="Arial"/>
                <w:sz w:val="18"/>
                <w:szCs w:val="18"/>
              </w:rPr>
              <w:t>los</w:t>
            </w:r>
            <w:r w:rsidRPr="00C11D3F">
              <w:rPr>
                <w:rFonts w:ascii="Gotham" w:hAnsi="Gotham" w:cs="Arial"/>
                <w:spacing w:val="8"/>
                <w:sz w:val="18"/>
                <w:szCs w:val="18"/>
              </w:rPr>
              <w:t xml:space="preserve"> </w:t>
            </w:r>
            <w:r w:rsidRPr="00C11D3F">
              <w:rPr>
                <w:rFonts w:ascii="Gotham" w:hAnsi="Gotham" w:cs="Arial"/>
                <w:sz w:val="18"/>
                <w:szCs w:val="18"/>
              </w:rPr>
              <w:t>ciudadanos,</w:t>
            </w:r>
            <w:r w:rsidRPr="00C11D3F">
              <w:rPr>
                <w:rFonts w:ascii="Gotham" w:hAnsi="Gotham" w:cs="Arial"/>
                <w:spacing w:val="7"/>
                <w:sz w:val="18"/>
                <w:szCs w:val="18"/>
              </w:rPr>
              <w:t xml:space="preserve"> </w:t>
            </w:r>
            <w:r w:rsidRPr="00C11D3F">
              <w:rPr>
                <w:rFonts w:ascii="Gotham" w:hAnsi="Gotham" w:cs="Arial"/>
                <w:sz w:val="18"/>
                <w:szCs w:val="18"/>
              </w:rPr>
              <w:t>cuyas</w:t>
            </w:r>
            <w:r w:rsidRPr="00C11D3F">
              <w:rPr>
                <w:rFonts w:ascii="Gotham" w:hAnsi="Gotham" w:cs="Arial"/>
                <w:spacing w:val="5"/>
                <w:sz w:val="18"/>
                <w:szCs w:val="18"/>
              </w:rPr>
              <w:t xml:space="preserve"> </w:t>
            </w:r>
            <w:r w:rsidRPr="00C11D3F">
              <w:rPr>
                <w:rFonts w:ascii="Gotham" w:hAnsi="Gotham" w:cs="Arial"/>
                <w:sz w:val="18"/>
                <w:szCs w:val="18"/>
              </w:rPr>
              <w:t>determinaciones</w:t>
            </w:r>
            <w:r w:rsidRPr="00C11D3F">
              <w:rPr>
                <w:rFonts w:ascii="Gotham" w:hAnsi="Gotham" w:cs="Arial"/>
                <w:spacing w:val="4"/>
                <w:sz w:val="18"/>
                <w:szCs w:val="18"/>
              </w:rPr>
              <w:t xml:space="preserve"> </w:t>
            </w:r>
            <w:r w:rsidRPr="00C11D3F">
              <w:rPr>
                <w:rFonts w:ascii="Gotham" w:hAnsi="Gotham" w:cs="Arial"/>
                <w:sz w:val="18"/>
                <w:szCs w:val="18"/>
              </w:rPr>
              <w:t>podrán</w:t>
            </w:r>
            <w:r w:rsidRPr="00C11D3F">
              <w:rPr>
                <w:rFonts w:ascii="Gotham" w:hAnsi="Gotham" w:cs="Arial"/>
                <w:spacing w:val="8"/>
                <w:sz w:val="18"/>
                <w:szCs w:val="18"/>
              </w:rPr>
              <w:t xml:space="preserve"> </w:t>
            </w:r>
            <w:r w:rsidRPr="00C11D3F">
              <w:rPr>
                <w:rFonts w:ascii="Gotham" w:hAnsi="Gotham" w:cs="Arial"/>
                <w:sz w:val="18"/>
                <w:szCs w:val="18"/>
              </w:rPr>
              <w:t>ser</w:t>
            </w:r>
            <w:r w:rsidRPr="00C11D3F">
              <w:rPr>
                <w:rFonts w:ascii="Gotham" w:hAnsi="Gotham" w:cs="Arial"/>
                <w:spacing w:val="8"/>
                <w:sz w:val="18"/>
                <w:szCs w:val="18"/>
              </w:rPr>
              <w:t xml:space="preserve"> </w:t>
            </w:r>
            <w:r w:rsidRPr="00C11D3F">
              <w:rPr>
                <w:rFonts w:ascii="Gotham" w:hAnsi="Gotham" w:cs="Arial"/>
                <w:sz w:val="18"/>
                <w:szCs w:val="18"/>
              </w:rPr>
              <w:t>vinculatorias</w:t>
            </w:r>
            <w:r w:rsidRPr="00C11D3F">
              <w:rPr>
                <w:rFonts w:ascii="Gotham" w:hAnsi="Gotham" w:cs="Arial"/>
                <w:spacing w:val="5"/>
                <w:sz w:val="18"/>
                <w:szCs w:val="18"/>
              </w:rPr>
              <w:t xml:space="preserve"> </w:t>
            </w:r>
            <w:r w:rsidRPr="00C11D3F">
              <w:rPr>
                <w:rFonts w:ascii="Gotham" w:hAnsi="Gotham" w:cs="Arial"/>
                <w:sz w:val="18"/>
                <w:szCs w:val="18"/>
              </w:rPr>
              <w:t>en los</w:t>
            </w:r>
            <w:r w:rsidRPr="00C11D3F">
              <w:rPr>
                <w:rFonts w:ascii="Gotham" w:hAnsi="Gotham" w:cs="Arial"/>
                <w:spacing w:val="-4"/>
                <w:sz w:val="18"/>
                <w:szCs w:val="18"/>
              </w:rPr>
              <w:t xml:space="preserve"> </w:t>
            </w:r>
            <w:r w:rsidRPr="00C11D3F">
              <w:rPr>
                <w:rFonts w:ascii="Gotham" w:hAnsi="Gotham" w:cs="Arial"/>
                <w:sz w:val="18"/>
                <w:szCs w:val="18"/>
              </w:rPr>
              <w:t>términos</w:t>
            </w:r>
            <w:r w:rsidRPr="00C11D3F">
              <w:rPr>
                <w:rFonts w:ascii="Gotham" w:hAnsi="Gotham" w:cs="Arial"/>
                <w:spacing w:val="-4"/>
                <w:sz w:val="18"/>
                <w:szCs w:val="18"/>
              </w:rPr>
              <w:t xml:space="preserve"> </w:t>
            </w:r>
            <w:r w:rsidRPr="00C11D3F">
              <w:rPr>
                <w:rFonts w:ascii="Gotham" w:hAnsi="Gotham" w:cs="Arial"/>
                <w:sz w:val="18"/>
                <w:szCs w:val="18"/>
              </w:rPr>
              <w:t>que</w:t>
            </w:r>
            <w:r w:rsidRPr="00C11D3F">
              <w:rPr>
                <w:rFonts w:ascii="Gotham" w:hAnsi="Gotham" w:cs="Arial"/>
                <w:spacing w:val="-4"/>
                <w:sz w:val="18"/>
                <w:szCs w:val="18"/>
              </w:rPr>
              <w:t xml:space="preserve"> </w:t>
            </w:r>
            <w:r w:rsidRPr="00C11D3F">
              <w:rPr>
                <w:rFonts w:ascii="Gotham" w:hAnsi="Gotham" w:cs="Arial"/>
                <w:sz w:val="18"/>
                <w:szCs w:val="18"/>
              </w:rPr>
              <w:t>establece</w:t>
            </w:r>
            <w:r w:rsidRPr="00C11D3F">
              <w:rPr>
                <w:rFonts w:ascii="Gotham" w:hAnsi="Gotham" w:cs="Arial"/>
                <w:spacing w:val="-4"/>
                <w:sz w:val="18"/>
                <w:szCs w:val="18"/>
              </w:rPr>
              <w:t xml:space="preserve"> </w:t>
            </w:r>
            <w:r w:rsidRPr="00C11D3F">
              <w:rPr>
                <w:rFonts w:ascii="Gotham" w:hAnsi="Gotham" w:cs="Arial"/>
                <w:sz w:val="18"/>
                <w:szCs w:val="18"/>
              </w:rPr>
              <w:t>el</w:t>
            </w:r>
            <w:r w:rsidRPr="00C11D3F">
              <w:rPr>
                <w:rFonts w:ascii="Gotham" w:hAnsi="Gotham" w:cs="Arial"/>
                <w:spacing w:val="-4"/>
                <w:sz w:val="18"/>
                <w:szCs w:val="18"/>
              </w:rPr>
              <w:t xml:space="preserve"> </w:t>
            </w:r>
            <w:r w:rsidRPr="00C11D3F">
              <w:rPr>
                <w:rFonts w:ascii="Gotham" w:hAnsi="Gotham" w:cs="Arial"/>
                <w:sz w:val="18"/>
                <w:szCs w:val="18"/>
              </w:rPr>
              <w:t>presente</w:t>
            </w:r>
            <w:r w:rsidRPr="00C11D3F">
              <w:rPr>
                <w:rFonts w:ascii="Gotham" w:hAnsi="Gotham" w:cs="Arial"/>
                <w:spacing w:val="-4"/>
                <w:sz w:val="18"/>
                <w:szCs w:val="18"/>
              </w:rPr>
              <w:t xml:space="preserve"> </w:t>
            </w:r>
            <w:r w:rsidRPr="00C11D3F">
              <w:rPr>
                <w:rFonts w:ascii="Gotham" w:hAnsi="Gotham" w:cs="Arial"/>
                <w:sz w:val="18"/>
                <w:szCs w:val="18"/>
              </w:rPr>
              <w:t>Reglamento.</w:t>
            </w:r>
          </w:p>
        </w:tc>
      </w:tr>
      <w:tr w:rsidR="009B5E39" w:rsidRPr="00C11D3F" w14:paraId="3A476736" w14:textId="77777777" w:rsidTr="00190E4A">
        <w:trPr>
          <w:jc w:val="center"/>
        </w:trPr>
        <w:tc>
          <w:tcPr>
            <w:tcW w:w="4673" w:type="dxa"/>
          </w:tcPr>
          <w:p w14:paraId="3A476732" w14:textId="77777777" w:rsidR="009B5E39" w:rsidRDefault="009B5E39" w:rsidP="00190E4A">
            <w:pPr>
              <w:jc w:val="both"/>
              <w:rPr>
                <w:rFonts w:ascii="Gotham" w:hAnsi="Gotham" w:cs="Arial"/>
                <w:sz w:val="18"/>
                <w:szCs w:val="18"/>
              </w:rPr>
            </w:pPr>
          </w:p>
          <w:p w14:paraId="3A47673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34. El Consejo Municipal de Participación Ciudadana y Popular </w:t>
            </w:r>
            <w:r w:rsidRPr="00C11D3F">
              <w:rPr>
                <w:rFonts w:ascii="Gotham" w:hAnsi="Gotham" w:cs="Arial"/>
                <w:color w:val="ED0000"/>
                <w:sz w:val="18"/>
                <w:szCs w:val="18"/>
              </w:rPr>
              <w:t>para la Gobernanza</w:t>
            </w:r>
            <w:r w:rsidRPr="00C11D3F">
              <w:rPr>
                <w:rFonts w:ascii="Gotham" w:hAnsi="Gotham" w:cs="Arial"/>
                <w:sz w:val="18"/>
                <w:szCs w:val="18"/>
              </w:rPr>
              <w:t xml:space="preserve"> se</w:t>
            </w:r>
            <w:r w:rsidRPr="00C11D3F">
              <w:rPr>
                <w:rFonts w:ascii="Gotham" w:hAnsi="Gotham" w:cs="Arial"/>
                <w:spacing w:val="1"/>
                <w:sz w:val="18"/>
                <w:szCs w:val="18"/>
              </w:rPr>
              <w:t xml:space="preserve"> </w:t>
            </w:r>
            <w:r w:rsidRPr="00C11D3F">
              <w:rPr>
                <w:rFonts w:ascii="Gotham" w:hAnsi="Gotham" w:cs="Arial"/>
                <w:sz w:val="18"/>
                <w:szCs w:val="18"/>
              </w:rPr>
              <w:t>integra</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siguiente</w:t>
            </w:r>
            <w:r w:rsidRPr="00C11D3F">
              <w:rPr>
                <w:rFonts w:ascii="Gotham" w:hAnsi="Gotham" w:cs="Arial"/>
                <w:spacing w:val="-1"/>
                <w:sz w:val="18"/>
                <w:szCs w:val="18"/>
              </w:rPr>
              <w:t xml:space="preserve"> </w:t>
            </w:r>
            <w:r w:rsidRPr="00C11D3F">
              <w:rPr>
                <w:rFonts w:ascii="Gotham" w:hAnsi="Gotham" w:cs="Arial"/>
                <w:sz w:val="18"/>
                <w:szCs w:val="18"/>
              </w:rPr>
              <w:t>manera:</w:t>
            </w:r>
          </w:p>
        </w:tc>
        <w:tc>
          <w:tcPr>
            <w:tcW w:w="4678" w:type="dxa"/>
          </w:tcPr>
          <w:p w14:paraId="3A476734" w14:textId="77777777" w:rsidR="009B5E39" w:rsidRDefault="009B5E39" w:rsidP="00190E4A">
            <w:pPr>
              <w:jc w:val="both"/>
              <w:rPr>
                <w:rFonts w:ascii="Gotham" w:hAnsi="Gotham" w:cs="Arial"/>
                <w:sz w:val="18"/>
                <w:szCs w:val="18"/>
              </w:rPr>
            </w:pPr>
          </w:p>
          <w:p w14:paraId="3A47673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34. El Consejo Municipal de Participación Ciudadana y Popular se</w:t>
            </w:r>
            <w:r w:rsidRPr="00C11D3F">
              <w:rPr>
                <w:rFonts w:ascii="Gotham" w:hAnsi="Gotham" w:cs="Arial"/>
                <w:spacing w:val="1"/>
                <w:sz w:val="18"/>
                <w:szCs w:val="18"/>
              </w:rPr>
              <w:t xml:space="preserve"> </w:t>
            </w:r>
            <w:r w:rsidRPr="00C11D3F">
              <w:rPr>
                <w:rFonts w:ascii="Gotham" w:hAnsi="Gotham" w:cs="Arial"/>
                <w:sz w:val="18"/>
                <w:szCs w:val="18"/>
              </w:rPr>
              <w:t>integra</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siguiente</w:t>
            </w:r>
            <w:r w:rsidRPr="00C11D3F">
              <w:rPr>
                <w:rFonts w:ascii="Gotham" w:hAnsi="Gotham" w:cs="Arial"/>
                <w:spacing w:val="-1"/>
                <w:sz w:val="18"/>
                <w:szCs w:val="18"/>
              </w:rPr>
              <w:t xml:space="preserve"> </w:t>
            </w:r>
            <w:r w:rsidRPr="00C11D3F">
              <w:rPr>
                <w:rFonts w:ascii="Gotham" w:hAnsi="Gotham" w:cs="Arial"/>
                <w:sz w:val="18"/>
                <w:szCs w:val="18"/>
              </w:rPr>
              <w:t>manera:</w:t>
            </w:r>
          </w:p>
        </w:tc>
      </w:tr>
      <w:tr w:rsidR="009B5E39" w:rsidRPr="00C11D3F" w14:paraId="3A476742" w14:textId="77777777" w:rsidTr="00190E4A">
        <w:trPr>
          <w:jc w:val="center"/>
        </w:trPr>
        <w:tc>
          <w:tcPr>
            <w:tcW w:w="4673" w:type="dxa"/>
          </w:tcPr>
          <w:p w14:paraId="3A476737" w14:textId="77777777" w:rsidR="009B5E39" w:rsidRDefault="009B5E39" w:rsidP="00190E4A">
            <w:pPr>
              <w:jc w:val="both"/>
              <w:rPr>
                <w:rFonts w:ascii="Gotham" w:hAnsi="Gotham" w:cs="Arial"/>
                <w:sz w:val="18"/>
                <w:szCs w:val="18"/>
              </w:rPr>
            </w:pPr>
          </w:p>
          <w:p w14:paraId="3A47673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34.</w:t>
            </w:r>
          </w:p>
          <w:p w14:paraId="3A47673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73A" w14:textId="77777777" w:rsidR="009B5E39" w:rsidRDefault="009B5E39" w:rsidP="00190E4A">
            <w:pPr>
              <w:jc w:val="both"/>
              <w:rPr>
                <w:rFonts w:ascii="Gotham" w:hAnsi="Gotham" w:cs="Arial"/>
                <w:sz w:val="18"/>
                <w:szCs w:val="18"/>
              </w:rPr>
            </w:pPr>
          </w:p>
          <w:p w14:paraId="3A47673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titular</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Dirección</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Participación</w:t>
            </w:r>
            <w:r w:rsidRPr="00C11D3F">
              <w:rPr>
                <w:rFonts w:ascii="Gotham" w:hAnsi="Gotham" w:cs="Arial"/>
                <w:spacing w:val="1"/>
                <w:sz w:val="18"/>
                <w:szCs w:val="18"/>
              </w:rPr>
              <w:t xml:space="preserve"> </w:t>
            </w:r>
            <w:r w:rsidRPr="00C11D3F">
              <w:rPr>
                <w:rFonts w:ascii="Gotham" w:hAnsi="Gotham" w:cs="Arial"/>
                <w:sz w:val="18"/>
                <w:szCs w:val="18"/>
              </w:rPr>
              <w:t>Ciudadana,</w:t>
            </w:r>
            <w:r w:rsidRPr="00C11D3F">
              <w:rPr>
                <w:rFonts w:ascii="Gotham" w:hAnsi="Gotham" w:cs="Arial"/>
                <w:spacing w:val="1"/>
                <w:sz w:val="18"/>
                <w:szCs w:val="18"/>
              </w:rPr>
              <w:t xml:space="preserve"> </w:t>
            </w:r>
            <w:r w:rsidRPr="00C11D3F">
              <w:rPr>
                <w:rFonts w:ascii="Gotham" w:hAnsi="Gotham" w:cs="Arial"/>
                <w:color w:val="ED0000"/>
                <w:sz w:val="18"/>
                <w:szCs w:val="18"/>
              </w:rPr>
              <w:t>o</w:t>
            </w:r>
            <w:r w:rsidRPr="00C11D3F">
              <w:rPr>
                <w:rFonts w:ascii="Gotham" w:hAnsi="Gotham" w:cs="Arial"/>
                <w:color w:val="ED0000"/>
                <w:spacing w:val="1"/>
                <w:sz w:val="18"/>
                <w:szCs w:val="18"/>
              </w:rPr>
              <w:t xml:space="preserve"> </w:t>
            </w:r>
            <w:r w:rsidRPr="00C11D3F">
              <w:rPr>
                <w:rFonts w:ascii="Gotham" w:hAnsi="Gotham" w:cs="Arial"/>
                <w:color w:val="ED0000"/>
                <w:sz w:val="18"/>
                <w:szCs w:val="18"/>
              </w:rPr>
              <w:t>el</w:t>
            </w:r>
            <w:r w:rsidRPr="00C11D3F">
              <w:rPr>
                <w:rFonts w:ascii="Gotham" w:hAnsi="Gotham" w:cs="Arial"/>
                <w:color w:val="ED0000"/>
                <w:spacing w:val="1"/>
                <w:sz w:val="18"/>
                <w:szCs w:val="18"/>
              </w:rPr>
              <w:t xml:space="preserve"> </w:t>
            </w:r>
            <w:r w:rsidRPr="00C11D3F">
              <w:rPr>
                <w:rFonts w:ascii="Gotham" w:hAnsi="Gotham" w:cs="Arial"/>
                <w:color w:val="ED0000"/>
                <w:sz w:val="18"/>
                <w:szCs w:val="18"/>
              </w:rPr>
              <w:t>funcionario</w:t>
            </w:r>
            <w:r w:rsidRPr="00C11D3F">
              <w:rPr>
                <w:rFonts w:ascii="Gotham" w:hAnsi="Gotham" w:cs="Arial"/>
                <w:color w:val="ED0000"/>
                <w:spacing w:val="1"/>
                <w:sz w:val="18"/>
                <w:szCs w:val="18"/>
              </w:rPr>
              <w:t xml:space="preserve"> </w:t>
            </w:r>
            <w:r w:rsidRPr="00C11D3F">
              <w:rPr>
                <w:rFonts w:ascii="Gotham" w:hAnsi="Gotham" w:cs="Arial"/>
                <w:color w:val="ED0000"/>
                <w:sz w:val="18"/>
                <w:szCs w:val="18"/>
              </w:rPr>
              <w:t>público</w:t>
            </w:r>
            <w:r w:rsidRPr="00C11D3F">
              <w:rPr>
                <w:rFonts w:ascii="Gotham" w:hAnsi="Gotham" w:cs="Arial"/>
                <w:color w:val="ED0000"/>
                <w:spacing w:val="1"/>
                <w:sz w:val="18"/>
                <w:szCs w:val="18"/>
              </w:rPr>
              <w:t xml:space="preserve"> </w:t>
            </w:r>
            <w:r w:rsidRPr="00C11D3F">
              <w:rPr>
                <w:rFonts w:ascii="Gotham" w:hAnsi="Gotham" w:cs="Arial"/>
                <w:color w:val="ED0000"/>
                <w:sz w:val="18"/>
                <w:szCs w:val="18"/>
              </w:rPr>
              <w:t>municipal</w:t>
            </w:r>
            <w:r w:rsidRPr="00C11D3F">
              <w:rPr>
                <w:rFonts w:ascii="Gotham" w:hAnsi="Gotham" w:cs="Arial"/>
                <w:color w:val="ED0000"/>
                <w:spacing w:val="-1"/>
                <w:sz w:val="18"/>
                <w:szCs w:val="18"/>
              </w:rPr>
              <w:t xml:space="preserve"> </w:t>
            </w:r>
            <w:r w:rsidRPr="00C11D3F">
              <w:rPr>
                <w:rFonts w:ascii="Gotham" w:hAnsi="Gotham" w:cs="Arial"/>
                <w:color w:val="ED0000"/>
                <w:sz w:val="18"/>
                <w:szCs w:val="18"/>
              </w:rPr>
              <w:t>que</w:t>
            </w:r>
            <w:r w:rsidRPr="00C11D3F">
              <w:rPr>
                <w:rFonts w:ascii="Gotham" w:hAnsi="Gotham" w:cs="Arial"/>
                <w:color w:val="ED0000"/>
                <w:spacing w:val="-3"/>
                <w:sz w:val="18"/>
                <w:szCs w:val="18"/>
              </w:rPr>
              <w:t xml:space="preserve"> </w:t>
            </w:r>
            <w:r w:rsidRPr="00C11D3F">
              <w:rPr>
                <w:rFonts w:ascii="Gotham" w:hAnsi="Gotham" w:cs="Arial"/>
                <w:color w:val="ED0000"/>
                <w:sz w:val="18"/>
                <w:szCs w:val="18"/>
              </w:rPr>
              <w:t>este</w:t>
            </w:r>
            <w:r w:rsidRPr="00C11D3F">
              <w:rPr>
                <w:rFonts w:ascii="Gotham" w:hAnsi="Gotham" w:cs="Arial"/>
                <w:color w:val="ED0000"/>
                <w:spacing w:val="1"/>
                <w:sz w:val="18"/>
                <w:szCs w:val="18"/>
              </w:rPr>
              <w:t xml:space="preserve"> </w:t>
            </w:r>
            <w:r w:rsidRPr="00C11D3F">
              <w:rPr>
                <w:rFonts w:ascii="Gotham" w:hAnsi="Gotham" w:cs="Arial"/>
                <w:color w:val="ED0000"/>
                <w:sz w:val="18"/>
                <w:szCs w:val="18"/>
              </w:rPr>
              <w:t>designe</w:t>
            </w:r>
            <w:r w:rsidRPr="00C11D3F">
              <w:rPr>
                <w:rFonts w:ascii="Gotham" w:hAnsi="Gotham" w:cs="Arial"/>
                <w:sz w:val="18"/>
                <w:szCs w:val="18"/>
              </w:rPr>
              <w:t xml:space="preserve">; </w:t>
            </w:r>
          </w:p>
          <w:p w14:paraId="3A47673C" w14:textId="77777777" w:rsidR="009B5E39" w:rsidRPr="00C11D3F" w:rsidRDefault="009B5E39" w:rsidP="00190E4A">
            <w:pPr>
              <w:jc w:val="both"/>
              <w:rPr>
                <w:rFonts w:ascii="Gotham" w:hAnsi="Gotham" w:cs="Arial"/>
                <w:sz w:val="18"/>
                <w:szCs w:val="18"/>
              </w:rPr>
            </w:pPr>
          </w:p>
        </w:tc>
        <w:tc>
          <w:tcPr>
            <w:tcW w:w="4678" w:type="dxa"/>
          </w:tcPr>
          <w:p w14:paraId="3A47673D" w14:textId="77777777" w:rsidR="009B5E39" w:rsidRDefault="009B5E39" w:rsidP="00190E4A">
            <w:pPr>
              <w:jc w:val="both"/>
              <w:rPr>
                <w:rFonts w:ascii="Gotham" w:hAnsi="Gotham" w:cs="Arial"/>
                <w:sz w:val="18"/>
                <w:szCs w:val="18"/>
              </w:rPr>
            </w:pPr>
          </w:p>
          <w:p w14:paraId="3A47673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34.</w:t>
            </w:r>
          </w:p>
          <w:p w14:paraId="3A47673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740" w14:textId="77777777" w:rsidR="009B5E39" w:rsidRDefault="009B5E39" w:rsidP="00190E4A">
            <w:pPr>
              <w:jc w:val="both"/>
              <w:rPr>
                <w:rFonts w:ascii="Gotham" w:hAnsi="Gotham" w:cs="Arial"/>
                <w:sz w:val="18"/>
                <w:szCs w:val="18"/>
              </w:rPr>
            </w:pPr>
          </w:p>
          <w:p w14:paraId="3A47674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El</w:t>
            </w:r>
            <w:r w:rsidRPr="00C11D3F">
              <w:rPr>
                <w:rFonts w:ascii="Gotham" w:hAnsi="Gotham" w:cs="Arial"/>
                <w:spacing w:val="1"/>
                <w:sz w:val="18"/>
                <w:szCs w:val="18"/>
              </w:rPr>
              <w:t xml:space="preserve"> </w:t>
            </w:r>
            <w:r w:rsidRPr="00C11D3F">
              <w:rPr>
                <w:rFonts w:ascii="Gotham" w:hAnsi="Gotham" w:cs="Arial"/>
                <w:sz w:val="18"/>
                <w:szCs w:val="18"/>
              </w:rPr>
              <w:t>titular</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Dirección</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1"/>
                <w:sz w:val="18"/>
                <w:szCs w:val="18"/>
              </w:rPr>
              <w:t xml:space="preserve"> </w:t>
            </w:r>
            <w:r w:rsidRPr="00C11D3F">
              <w:rPr>
                <w:rFonts w:ascii="Gotham" w:hAnsi="Gotham" w:cs="Arial"/>
                <w:sz w:val="18"/>
                <w:szCs w:val="18"/>
              </w:rPr>
              <w:t>Participación</w:t>
            </w:r>
            <w:r w:rsidRPr="00C11D3F">
              <w:rPr>
                <w:rFonts w:ascii="Gotham" w:hAnsi="Gotham" w:cs="Arial"/>
                <w:spacing w:val="1"/>
                <w:sz w:val="18"/>
                <w:szCs w:val="18"/>
              </w:rPr>
              <w:t xml:space="preserve"> </w:t>
            </w:r>
            <w:r w:rsidRPr="00C11D3F">
              <w:rPr>
                <w:rFonts w:ascii="Gotham" w:hAnsi="Gotham" w:cs="Arial"/>
                <w:sz w:val="18"/>
                <w:szCs w:val="18"/>
              </w:rPr>
              <w:t xml:space="preserve">Ciudadana; </w:t>
            </w:r>
            <w:r w:rsidRPr="00C11D3F">
              <w:rPr>
                <w:rFonts w:ascii="Gotham" w:hAnsi="Gotham" w:cs="Arial"/>
                <w:b/>
                <w:bCs/>
                <w:sz w:val="18"/>
                <w:szCs w:val="18"/>
              </w:rPr>
              <w:t xml:space="preserve">quien fungirá como Secretario Técnico del Consejo Municipal. </w:t>
            </w:r>
          </w:p>
        </w:tc>
      </w:tr>
      <w:tr w:rsidR="009B5E39" w:rsidRPr="00C11D3F" w14:paraId="3A476752" w14:textId="77777777" w:rsidTr="00190E4A">
        <w:trPr>
          <w:jc w:val="center"/>
        </w:trPr>
        <w:tc>
          <w:tcPr>
            <w:tcW w:w="4673" w:type="dxa"/>
          </w:tcPr>
          <w:p w14:paraId="3A47674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Artículo 35.- </w:t>
            </w:r>
          </w:p>
          <w:p w14:paraId="3A476744" w14:textId="77777777" w:rsidR="009B5E39" w:rsidRDefault="009B5E39" w:rsidP="00190E4A">
            <w:pPr>
              <w:jc w:val="both"/>
              <w:rPr>
                <w:rFonts w:ascii="Gotham" w:hAnsi="Gotham" w:cs="Arial"/>
                <w:sz w:val="18"/>
                <w:szCs w:val="18"/>
              </w:rPr>
            </w:pPr>
          </w:p>
          <w:p w14:paraId="3A47674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w:t>
            </w:r>
          </w:p>
          <w:p w14:paraId="3A47674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w:t>
            </w:r>
          </w:p>
          <w:p w14:paraId="3A47674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La</w:t>
            </w:r>
            <w:r w:rsidRPr="00C11D3F">
              <w:rPr>
                <w:rFonts w:ascii="Gotham" w:hAnsi="Gotham" w:cs="Arial"/>
                <w:spacing w:val="-9"/>
                <w:sz w:val="18"/>
                <w:szCs w:val="18"/>
              </w:rPr>
              <w:t xml:space="preserve"> </w:t>
            </w:r>
            <w:r w:rsidRPr="00C11D3F">
              <w:rPr>
                <w:rFonts w:ascii="Gotham" w:hAnsi="Gotham" w:cs="Arial"/>
                <w:sz w:val="18"/>
                <w:szCs w:val="18"/>
              </w:rPr>
              <w:t>duración</w:t>
            </w:r>
            <w:r w:rsidRPr="00C11D3F">
              <w:rPr>
                <w:rFonts w:ascii="Gotham" w:hAnsi="Gotham" w:cs="Arial"/>
                <w:spacing w:val="-10"/>
                <w:sz w:val="18"/>
                <w:szCs w:val="18"/>
              </w:rPr>
              <w:t xml:space="preserve"> </w:t>
            </w:r>
            <w:r w:rsidRPr="00C11D3F">
              <w:rPr>
                <w:rFonts w:ascii="Gotham" w:hAnsi="Gotham" w:cs="Arial"/>
                <w:sz w:val="18"/>
                <w:szCs w:val="18"/>
              </w:rPr>
              <w:t>del</w:t>
            </w:r>
            <w:r w:rsidRPr="00C11D3F">
              <w:rPr>
                <w:rFonts w:ascii="Gotham" w:hAnsi="Gotham" w:cs="Arial"/>
                <w:spacing w:val="-8"/>
                <w:sz w:val="18"/>
                <w:szCs w:val="18"/>
              </w:rPr>
              <w:t xml:space="preserve"> </w:t>
            </w:r>
            <w:r w:rsidRPr="00C11D3F">
              <w:rPr>
                <w:rFonts w:ascii="Gotham" w:hAnsi="Gotham" w:cs="Arial"/>
                <w:sz w:val="18"/>
                <w:szCs w:val="18"/>
              </w:rPr>
              <w:t>cargo</w:t>
            </w:r>
            <w:r w:rsidRPr="00C11D3F">
              <w:rPr>
                <w:rFonts w:ascii="Gotham" w:hAnsi="Gotham" w:cs="Arial"/>
                <w:spacing w:val="-6"/>
                <w:sz w:val="18"/>
                <w:szCs w:val="18"/>
              </w:rPr>
              <w:t xml:space="preserve"> </w:t>
            </w:r>
            <w:r w:rsidRPr="00C11D3F">
              <w:rPr>
                <w:rFonts w:ascii="Gotham" w:hAnsi="Gotham" w:cs="Arial"/>
                <w:sz w:val="18"/>
                <w:szCs w:val="18"/>
              </w:rPr>
              <w:t>de</w:t>
            </w:r>
            <w:r w:rsidRPr="00C11D3F">
              <w:rPr>
                <w:rFonts w:ascii="Gotham" w:hAnsi="Gotham" w:cs="Arial"/>
                <w:spacing w:val="-9"/>
                <w:sz w:val="18"/>
                <w:szCs w:val="18"/>
              </w:rPr>
              <w:t xml:space="preserve"> </w:t>
            </w:r>
            <w:r w:rsidRPr="00C11D3F">
              <w:rPr>
                <w:rFonts w:ascii="Gotham" w:hAnsi="Gotham" w:cs="Arial"/>
                <w:sz w:val="18"/>
                <w:szCs w:val="18"/>
              </w:rPr>
              <w:t>los</w:t>
            </w:r>
            <w:r w:rsidRPr="00C11D3F">
              <w:rPr>
                <w:rFonts w:ascii="Gotham" w:hAnsi="Gotham" w:cs="Arial"/>
                <w:spacing w:val="-9"/>
                <w:sz w:val="18"/>
                <w:szCs w:val="18"/>
              </w:rPr>
              <w:t xml:space="preserve"> </w:t>
            </w:r>
            <w:r w:rsidRPr="00C11D3F">
              <w:rPr>
                <w:rFonts w:ascii="Gotham" w:hAnsi="Gotham" w:cs="Arial"/>
                <w:sz w:val="18"/>
                <w:szCs w:val="18"/>
              </w:rPr>
              <w:t>Integrantes</w:t>
            </w:r>
            <w:r w:rsidRPr="00C11D3F">
              <w:rPr>
                <w:rFonts w:ascii="Gotham" w:hAnsi="Gotham" w:cs="Arial"/>
                <w:spacing w:val="-8"/>
                <w:sz w:val="18"/>
                <w:szCs w:val="18"/>
              </w:rPr>
              <w:t xml:space="preserve"> </w:t>
            </w:r>
            <w:r w:rsidRPr="00C11D3F">
              <w:rPr>
                <w:rFonts w:ascii="Gotham" w:hAnsi="Gotham" w:cs="Arial"/>
                <w:sz w:val="18"/>
                <w:szCs w:val="18"/>
              </w:rPr>
              <w:t>del</w:t>
            </w:r>
            <w:r w:rsidRPr="00C11D3F">
              <w:rPr>
                <w:rFonts w:ascii="Gotham" w:hAnsi="Gotham" w:cs="Arial"/>
                <w:spacing w:val="-9"/>
                <w:sz w:val="18"/>
                <w:szCs w:val="18"/>
              </w:rPr>
              <w:t xml:space="preserve"> </w:t>
            </w:r>
            <w:r w:rsidRPr="00C11D3F">
              <w:rPr>
                <w:rFonts w:ascii="Gotham" w:hAnsi="Gotham" w:cs="Arial"/>
                <w:sz w:val="18"/>
                <w:szCs w:val="18"/>
              </w:rPr>
              <w:t>Consejo</w:t>
            </w:r>
            <w:r w:rsidRPr="00C11D3F">
              <w:rPr>
                <w:rFonts w:ascii="Gotham" w:hAnsi="Gotham" w:cs="Arial"/>
                <w:spacing w:val="-6"/>
                <w:sz w:val="18"/>
                <w:szCs w:val="18"/>
              </w:rPr>
              <w:t xml:space="preserve"> </w:t>
            </w:r>
            <w:r w:rsidRPr="00C11D3F">
              <w:rPr>
                <w:rFonts w:ascii="Gotham" w:hAnsi="Gotham" w:cs="Arial"/>
                <w:sz w:val="18"/>
                <w:szCs w:val="18"/>
              </w:rPr>
              <w:t>que</w:t>
            </w:r>
            <w:r w:rsidRPr="00C11D3F">
              <w:rPr>
                <w:rFonts w:ascii="Gotham" w:hAnsi="Gotham" w:cs="Arial"/>
                <w:spacing w:val="-3"/>
                <w:sz w:val="18"/>
                <w:szCs w:val="18"/>
              </w:rPr>
              <w:t xml:space="preserve"> </w:t>
            </w:r>
            <w:r w:rsidRPr="00C11D3F">
              <w:rPr>
                <w:rFonts w:ascii="Gotham" w:hAnsi="Gotham" w:cs="Arial"/>
                <w:sz w:val="18"/>
                <w:szCs w:val="18"/>
              </w:rPr>
              <w:t>sea</w:t>
            </w:r>
            <w:r w:rsidRPr="00C11D3F">
              <w:rPr>
                <w:rFonts w:ascii="Gotham" w:hAnsi="Gotham" w:cs="Arial"/>
                <w:spacing w:val="-9"/>
                <w:sz w:val="18"/>
                <w:szCs w:val="18"/>
              </w:rPr>
              <w:t xml:space="preserve"> F</w:t>
            </w:r>
            <w:r w:rsidRPr="00C11D3F">
              <w:rPr>
                <w:rFonts w:ascii="Gotham" w:hAnsi="Gotham" w:cs="Arial"/>
                <w:sz w:val="18"/>
                <w:szCs w:val="18"/>
              </w:rPr>
              <w:t>uncionarios</w:t>
            </w:r>
            <w:r w:rsidRPr="00C11D3F">
              <w:rPr>
                <w:rFonts w:ascii="Gotham" w:hAnsi="Gotham" w:cs="Arial"/>
                <w:spacing w:val="-8"/>
                <w:sz w:val="18"/>
                <w:szCs w:val="18"/>
              </w:rPr>
              <w:t xml:space="preserve"> </w:t>
            </w:r>
            <w:r w:rsidRPr="00C11D3F">
              <w:rPr>
                <w:rFonts w:ascii="Gotham" w:hAnsi="Gotham" w:cs="Arial"/>
                <w:sz w:val="18"/>
                <w:szCs w:val="18"/>
              </w:rPr>
              <w:t>o</w:t>
            </w:r>
            <w:r w:rsidRPr="00C11D3F">
              <w:rPr>
                <w:rFonts w:ascii="Gotham" w:hAnsi="Gotham" w:cs="Arial"/>
                <w:spacing w:val="-6"/>
                <w:sz w:val="18"/>
                <w:szCs w:val="18"/>
              </w:rPr>
              <w:t xml:space="preserve"> </w:t>
            </w:r>
            <w:r w:rsidRPr="00C11D3F">
              <w:rPr>
                <w:rFonts w:ascii="Gotham" w:hAnsi="Gotham" w:cs="Arial"/>
                <w:sz w:val="18"/>
                <w:szCs w:val="18"/>
              </w:rPr>
              <w:t>Servidores</w:t>
            </w:r>
            <w:r w:rsidRPr="00C11D3F">
              <w:rPr>
                <w:rFonts w:ascii="Gotham" w:hAnsi="Gotham" w:cs="Arial"/>
                <w:spacing w:val="-9"/>
                <w:sz w:val="18"/>
                <w:szCs w:val="18"/>
              </w:rPr>
              <w:t xml:space="preserve"> </w:t>
            </w:r>
            <w:r w:rsidRPr="00C11D3F">
              <w:rPr>
                <w:rFonts w:ascii="Gotham" w:hAnsi="Gotham" w:cs="Arial"/>
                <w:sz w:val="18"/>
                <w:szCs w:val="18"/>
              </w:rPr>
              <w:t>públicos</w:t>
            </w:r>
            <w:r w:rsidRPr="00C11D3F">
              <w:rPr>
                <w:rFonts w:ascii="Gotham" w:hAnsi="Gotham" w:cs="Arial"/>
                <w:spacing w:val="-9"/>
                <w:sz w:val="18"/>
                <w:szCs w:val="18"/>
              </w:rPr>
              <w:t xml:space="preserve"> </w:t>
            </w:r>
            <w:r w:rsidRPr="00C11D3F">
              <w:rPr>
                <w:rFonts w:ascii="Gotham" w:hAnsi="Gotham" w:cs="Arial"/>
                <w:sz w:val="18"/>
                <w:szCs w:val="18"/>
              </w:rPr>
              <w:t>será</w:t>
            </w:r>
            <w:r w:rsidRPr="00C11D3F">
              <w:rPr>
                <w:rFonts w:ascii="Gotham" w:hAnsi="Gotham" w:cs="Arial"/>
                <w:spacing w:val="-52"/>
                <w:sz w:val="18"/>
                <w:szCs w:val="18"/>
              </w:rPr>
              <w:t xml:space="preserve"> </w:t>
            </w:r>
            <w:r w:rsidRPr="00C11D3F">
              <w:rPr>
                <w:rFonts w:ascii="Gotham" w:hAnsi="Gotham" w:cs="Arial"/>
                <w:spacing w:val="-1"/>
                <w:sz w:val="18"/>
                <w:szCs w:val="18"/>
              </w:rPr>
              <w:t>el</w:t>
            </w:r>
            <w:r w:rsidRPr="00C11D3F">
              <w:rPr>
                <w:rFonts w:ascii="Gotham" w:hAnsi="Gotham" w:cs="Arial"/>
                <w:spacing w:val="-13"/>
                <w:sz w:val="18"/>
                <w:szCs w:val="18"/>
              </w:rPr>
              <w:t xml:space="preserve"> </w:t>
            </w:r>
            <w:r w:rsidRPr="00C11D3F">
              <w:rPr>
                <w:rFonts w:ascii="Gotham" w:hAnsi="Gotham" w:cs="Arial"/>
                <w:spacing w:val="-1"/>
                <w:sz w:val="18"/>
                <w:szCs w:val="18"/>
              </w:rPr>
              <w:t>correspondiente</w:t>
            </w:r>
            <w:r w:rsidRPr="00C11D3F">
              <w:rPr>
                <w:rFonts w:ascii="Gotham" w:hAnsi="Gotham" w:cs="Arial"/>
                <w:spacing w:val="-13"/>
                <w:sz w:val="18"/>
                <w:szCs w:val="18"/>
              </w:rPr>
              <w:t xml:space="preserve"> </w:t>
            </w:r>
            <w:r w:rsidRPr="00C11D3F">
              <w:rPr>
                <w:rFonts w:ascii="Gotham" w:hAnsi="Gotham" w:cs="Arial"/>
                <w:spacing w:val="-1"/>
                <w:sz w:val="18"/>
                <w:szCs w:val="18"/>
              </w:rPr>
              <w:t>al</w:t>
            </w:r>
            <w:r w:rsidRPr="00C11D3F">
              <w:rPr>
                <w:rFonts w:ascii="Gotham" w:hAnsi="Gotham" w:cs="Arial"/>
                <w:spacing w:val="-13"/>
                <w:sz w:val="18"/>
                <w:szCs w:val="18"/>
              </w:rPr>
              <w:t xml:space="preserve"> </w:t>
            </w:r>
            <w:r w:rsidRPr="00C11D3F">
              <w:rPr>
                <w:rFonts w:ascii="Gotham" w:hAnsi="Gotham" w:cs="Arial"/>
                <w:spacing w:val="-1"/>
                <w:sz w:val="18"/>
                <w:szCs w:val="18"/>
              </w:rPr>
              <w:t>periodo</w:t>
            </w:r>
            <w:r w:rsidRPr="00C11D3F">
              <w:rPr>
                <w:rFonts w:ascii="Gotham" w:hAnsi="Gotham" w:cs="Arial"/>
                <w:spacing w:val="-10"/>
                <w:sz w:val="18"/>
                <w:szCs w:val="18"/>
              </w:rPr>
              <w:t xml:space="preserve"> </w:t>
            </w:r>
            <w:r w:rsidRPr="00C11D3F">
              <w:rPr>
                <w:rFonts w:ascii="Gotham" w:hAnsi="Gotham" w:cs="Arial"/>
                <w:spacing w:val="-1"/>
                <w:sz w:val="18"/>
                <w:szCs w:val="18"/>
              </w:rPr>
              <w:t>de</w:t>
            </w:r>
            <w:r w:rsidRPr="00C11D3F">
              <w:rPr>
                <w:rFonts w:ascii="Gotham" w:hAnsi="Gotham" w:cs="Arial"/>
                <w:spacing w:val="-17"/>
                <w:sz w:val="18"/>
                <w:szCs w:val="18"/>
              </w:rPr>
              <w:t xml:space="preserve"> </w:t>
            </w:r>
            <w:r w:rsidRPr="00C11D3F">
              <w:rPr>
                <w:rFonts w:ascii="Gotham" w:hAnsi="Gotham" w:cs="Arial"/>
                <w:spacing w:val="-1"/>
                <w:sz w:val="18"/>
                <w:szCs w:val="18"/>
              </w:rPr>
              <w:t>la</w:t>
            </w:r>
            <w:r w:rsidRPr="00C11D3F">
              <w:rPr>
                <w:rFonts w:ascii="Gotham" w:hAnsi="Gotham" w:cs="Arial"/>
                <w:spacing w:val="-13"/>
                <w:sz w:val="18"/>
                <w:szCs w:val="18"/>
              </w:rPr>
              <w:t xml:space="preserve"> </w:t>
            </w:r>
            <w:r w:rsidRPr="00C11D3F">
              <w:rPr>
                <w:rFonts w:ascii="Gotham" w:hAnsi="Gotham" w:cs="Arial"/>
                <w:spacing w:val="-1"/>
                <w:sz w:val="18"/>
                <w:szCs w:val="18"/>
              </w:rPr>
              <w:t>administración</w:t>
            </w:r>
            <w:r w:rsidRPr="00C11D3F">
              <w:rPr>
                <w:rFonts w:ascii="Gotham" w:hAnsi="Gotham" w:cs="Arial"/>
                <w:spacing w:val="-13"/>
                <w:sz w:val="18"/>
                <w:szCs w:val="18"/>
              </w:rPr>
              <w:t xml:space="preserve"> </w:t>
            </w:r>
            <w:r w:rsidRPr="00C11D3F">
              <w:rPr>
                <w:rFonts w:ascii="Gotham" w:hAnsi="Gotham" w:cs="Arial"/>
                <w:spacing w:val="-1"/>
                <w:sz w:val="18"/>
                <w:szCs w:val="18"/>
              </w:rPr>
              <w:t>pública</w:t>
            </w:r>
            <w:r w:rsidRPr="00C11D3F">
              <w:rPr>
                <w:rFonts w:ascii="Gotham" w:hAnsi="Gotham" w:cs="Arial"/>
                <w:spacing w:val="-13"/>
                <w:sz w:val="18"/>
                <w:szCs w:val="18"/>
              </w:rPr>
              <w:t xml:space="preserve"> </w:t>
            </w:r>
            <w:r w:rsidRPr="00C11D3F">
              <w:rPr>
                <w:rFonts w:ascii="Gotham" w:hAnsi="Gotham" w:cs="Arial"/>
                <w:spacing w:val="-1"/>
                <w:sz w:val="18"/>
                <w:szCs w:val="18"/>
              </w:rPr>
              <w:t>municipal</w:t>
            </w:r>
            <w:r w:rsidRPr="00C11D3F">
              <w:rPr>
                <w:rFonts w:ascii="Gotham" w:hAnsi="Gotham" w:cs="Arial"/>
                <w:spacing w:val="-13"/>
                <w:sz w:val="18"/>
                <w:szCs w:val="18"/>
              </w:rPr>
              <w:t xml:space="preserve"> </w:t>
            </w:r>
            <w:r w:rsidRPr="00C11D3F">
              <w:rPr>
                <w:rFonts w:ascii="Gotham" w:hAnsi="Gotham" w:cs="Arial"/>
                <w:spacing w:val="-1"/>
                <w:sz w:val="18"/>
                <w:szCs w:val="18"/>
              </w:rPr>
              <w:t>en</w:t>
            </w:r>
            <w:r w:rsidRPr="00C11D3F">
              <w:rPr>
                <w:rFonts w:ascii="Gotham" w:hAnsi="Gotham" w:cs="Arial"/>
                <w:spacing w:val="-13"/>
                <w:sz w:val="18"/>
                <w:szCs w:val="18"/>
              </w:rPr>
              <w:t xml:space="preserve"> </w:t>
            </w:r>
            <w:r w:rsidRPr="00C11D3F">
              <w:rPr>
                <w:rFonts w:ascii="Gotham" w:hAnsi="Gotham" w:cs="Arial"/>
                <w:sz w:val="18"/>
                <w:szCs w:val="18"/>
              </w:rPr>
              <w:t>turno</w:t>
            </w:r>
            <w:r w:rsidRPr="00C11D3F">
              <w:rPr>
                <w:rFonts w:ascii="Gotham" w:hAnsi="Gotham" w:cs="Arial"/>
                <w:spacing w:val="-10"/>
                <w:sz w:val="18"/>
                <w:szCs w:val="18"/>
              </w:rPr>
              <w:t xml:space="preserve"> </w:t>
            </w:r>
            <w:r w:rsidRPr="00C11D3F">
              <w:rPr>
                <w:rFonts w:ascii="Gotham" w:hAnsi="Gotham" w:cs="Arial"/>
                <w:color w:val="ED0000"/>
                <w:sz w:val="18"/>
                <w:szCs w:val="18"/>
              </w:rPr>
              <w:t>3</w:t>
            </w:r>
            <w:r w:rsidRPr="00C11D3F">
              <w:rPr>
                <w:rFonts w:ascii="Gotham" w:hAnsi="Gotham" w:cs="Arial"/>
                <w:color w:val="ED0000"/>
                <w:spacing w:val="-10"/>
                <w:sz w:val="18"/>
                <w:szCs w:val="18"/>
              </w:rPr>
              <w:t xml:space="preserve"> </w:t>
            </w:r>
            <w:r w:rsidRPr="00C11D3F">
              <w:rPr>
                <w:rFonts w:ascii="Gotham" w:hAnsi="Gotham" w:cs="Arial"/>
                <w:color w:val="ED0000"/>
                <w:sz w:val="18"/>
                <w:szCs w:val="18"/>
              </w:rPr>
              <w:t>años</w:t>
            </w:r>
            <w:r w:rsidRPr="00C11D3F">
              <w:rPr>
                <w:rFonts w:ascii="Gotham" w:hAnsi="Gotham" w:cs="Arial"/>
                <w:sz w:val="18"/>
                <w:szCs w:val="18"/>
              </w:rPr>
              <w:t xml:space="preserve"> (quitar)</w:t>
            </w:r>
            <w:r w:rsidRPr="00C11D3F">
              <w:rPr>
                <w:rFonts w:ascii="Gotham" w:hAnsi="Gotham" w:cs="Arial"/>
                <w:spacing w:val="-13"/>
                <w:sz w:val="18"/>
                <w:szCs w:val="18"/>
              </w:rPr>
              <w:t xml:space="preserve"> </w:t>
            </w:r>
            <w:r w:rsidRPr="00C11D3F">
              <w:rPr>
                <w:rFonts w:ascii="Gotham" w:hAnsi="Gotham" w:cs="Arial"/>
                <w:sz w:val="18"/>
                <w:szCs w:val="18"/>
              </w:rPr>
              <w:t>o</w:t>
            </w:r>
            <w:r w:rsidRPr="00C11D3F">
              <w:rPr>
                <w:rFonts w:ascii="Gotham" w:hAnsi="Gotham" w:cs="Arial"/>
                <w:spacing w:val="-17"/>
                <w:sz w:val="18"/>
                <w:szCs w:val="18"/>
              </w:rPr>
              <w:t xml:space="preserve"> </w:t>
            </w:r>
            <w:r w:rsidRPr="00C11D3F">
              <w:rPr>
                <w:rFonts w:ascii="Gotham" w:hAnsi="Gotham" w:cs="Arial"/>
                <w:sz w:val="18"/>
                <w:szCs w:val="18"/>
              </w:rPr>
              <w:t>que</w:t>
            </w:r>
            <w:r w:rsidRPr="00C11D3F">
              <w:rPr>
                <w:rFonts w:ascii="Gotham" w:hAnsi="Gotham" w:cs="Arial"/>
                <w:spacing w:val="-13"/>
                <w:sz w:val="18"/>
                <w:szCs w:val="18"/>
              </w:rPr>
              <w:t xml:space="preserve"> </w:t>
            </w:r>
            <w:r w:rsidRPr="00C11D3F">
              <w:rPr>
                <w:rFonts w:ascii="Gotham" w:hAnsi="Gotham" w:cs="Arial"/>
                <w:sz w:val="18"/>
                <w:szCs w:val="18"/>
              </w:rPr>
              <w:t>por</w:t>
            </w:r>
            <w:r w:rsidRPr="00C11D3F">
              <w:rPr>
                <w:rFonts w:ascii="Gotham" w:hAnsi="Gotham" w:cs="Arial"/>
                <w:spacing w:val="-17"/>
                <w:sz w:val="18"/>
                <w:szCs w:val="18"/>
              </w:rPr>
              <w:t xml:space="preserve"> </w:t>
            </w:r>
            <w:r w:rsidRPr="00C11D3F">
              <w:rPr>
                <w:rFonts w:ascii="Gotham" w:hAnsi="Gotham" w:cs="Arial"/>
                <w:sz w:val="18"/>
                <w:szCs w:val="18"/>
              </w:rPr>
              <w:t>razones</w:t>
            </w:r>
            <w:r w:rsidRPr="00C11D3F">
              <w:rPr>
                <w:rFonts w:ascii="Gotham" w:hAnsi="Gotham" w:cs="Arial"/>
                <w:spacing w:val="1"/>
                <w:sz w:val="18"/>
                <w:szCs w:val="18"/>
              </w:rPr>
              <w:t xml:space="preserve"> </w:t>
            </w:r>
            <w:r w:rsidRPr="00C11D3F">
              <w:rPr>
                <w:rFonts w:ascii="Gotham" w:hAnsi="Gotham" w:cs="Arial"/>
                <w:sz w:val="18"/>
                <w:szCs w:val="18"/>
              </w:rPr>
              <w:t>de su nombramiento concluyan antes de dicho plazo. El cargo de Integrante del Consejo será</w:t>
            </w:r>
            <w:r w:rsidRPr="00C11D3F">
              <w:rPr>
                <w:rFonts w:ascii="Gotham" w:hAnsi="Gotham" w:cs="Arial"/>
                <w:spacing w:val="1"/>
                <w:sz w:val="18"/>
                <w:szCs w:val="18"/>
              </w:rPr>
              <w:t xml:space="preserve"> </w:t>
            </w:r>
            <w:r w:rsidRPr="00C11D3F">
              <w:rPr>
                <w:rFonts w:ascii="Gotham" w:hAnsi="Gotham" w:cs="Arial"/>
                <w:sz w:val="18"/>
                <w:szCs w:val="18"/>
              </w:rPr>
              <w:t>honorífico, en</w:t>
            </w:r>
            <w:r w:rsidRPr="00C11D3F">
              <w:rPr>
                <w:rFonts w:ascii="Gotham" w:hAnsi="Gotham" w:cs="Arial"/>
                <w:spacing w:val="-2"/>
                <w:sz w:val="18"/>
                <w:szCs w:val="18"/>
              </w:rPr>
              <w:t xml:space="preserve"> </w:t>
            </w:r>
            <w:r w:rsidRPr="00C11D3F">
              <w:rPr>
                <w:rFonts w:ascii="Gotham" w:hAnsi="Gotham" w:cs="Arial"/>
                <w:sz w:val="18"/>
                <w:szCs w:val="18"/>
              </w:rPr>
              <w:t>consecuencia,</w:t>
            </w:r>
            <w:r w:rsidRPr="00C11D3F">
              <w:rPr>
                <w:rFonts w:ascii="Gotham" w:hAnsi="Gotham" w:cs="Arial"/>
                <w:spacing w:val="1"/>
                <w:sz w:val="18"/>
                <w:szCs w:val="18"/>
              </w:rPr>
              <w:t xml:space="preserve"> </w:t>
            </w:r>
            <w:r w:rsidRPr="00C11D3F">
              <w:rPr>
                <w:rFonts w:ascii="Gotham" w:hAnsi="Gotham" w:cs="Arial"/>
                <w:sz w:val="18"/>
                <w:szCs w:val="18"/>
              </w:rPr>
              <w:t>no</w:t>
            </w:r>
            <w:r w:rsidRPr="00C11D3F">
              <w:rPr>
                <w:rFonts w:ascii="Gotham" w:hAnsi="Gotham" w:cs="Arial"/>
                <w:spacing w:val="1"/>
                <w:sz w:val="18"/>
                <w:szCs w:val="18"/>
              </w:rPr>
              <w:t xml:space="preserve"> </w:t>
            </w:r>
            <w:r w:rsidRPr="00C11D3F">
              <w:rPr>
                <w:rFonts w:ascii="Gotham" w:hAnsi="Gotham" w:cs="Arial"/>
                <w:sz w:val="18"/>
                <w:szCs w:val="18"/>
              </w:rPr>
              <w:t>remunerado.</w:t>
            </w:r>
          </w:p>
          <w:p w14:paraId="3A476748" w14:textId="77777777" w:rsidR="009B5E39" w:rsidRPr="00C11D3F" w:rsidRDefault="009B5E39" w:rsidP="00190E4A">
            <w:pPr>
              <w:jc w:val="both"/>
              <w:rPr>
                <w:rFonts w:ascii="Gotham" w:hAnsi="Gotham" w:cs="Arial"/>
                <w:sz w:val="18"/>
                <w:szCs w:val="18"/>
              </w:rPr>
            </w:pPr>
          </w:p>
          <w:p w14:paraId="3A47674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Los integrantes del Consejo que devengan de las comisiones edilicias o de áreas administrativas,</w:t>
            </w:r>
            <w:r w:rsidRPr="00C11D3F">
              <w:rPr>
                <w:rFonts w:ascii="Gotham" w:hAnsi="Gotham" w:cs="Arial"/>
                <w:spacing w:val="1"/>
                <w:sz w:val="18"/>
                <w:szCs w:val="18"/>
              </w:rPr>
              <w:t xml:space="preserve"> </w:t>
            </w:r>
            <w:r w:rsidRPr="00C11D3F">
              <w:rPr>
                <w:rFonts w:ascii="Gotham" w:hAnsi="Gotham" w:cs="Arial"/>
                <w:sz w:val="18"/>
                <w:szCs w:val="18"/>
              </w:rPr>
              <w:t>cuando por reformas a los reglamentos tenga denominaciones distintas sea aplicaran conforme al</w:t>
            </w:r>
            <w:r w:rsidRPr="00C11D3F">
              <w:rPr>
                <w:rFonts w:ascii="Gotham" w:hAnsi="Gotham" w:cs="Arial"/>
                <w:spacing w:val="1"/>
                <w:sz w:val="18"/>
                <w:szCs w:val="18"/>
              </w:rPr>
              <w:t xml:space="preserve"> </w:t>
            </w:r>
            <w:r w:rsidRPr="00C11D3F">
              <w:rPr>
                <w:rFonts w:ascii="Gotham" w:hAnsi="Gotham" w:cs="Arial"/>
                <w:sz w:val="18"/>
                <w:szCs w:val="18"/>
              </w:rPr>
              <w:t>reglamento</w:t>
            </w:r>
            <w:r w:rsidRPr="00C11D3F">
              <w:rPr>
                <w:rFonts w:ascii="Gotham" w:hAnsi="Gotham" w:cs="Arial"/>
                <w:spacing w:val="1"/>
                <w:sz w:val="18"/>
                <w:szCs w:val="18"/>
              </w:rPr>
              <w:t xml:space="preserve"> </w:t>
            </w:r>
            <w:r w:rsidRPr="00C11D3F">
              <w:rPr>
                <w:rFonts w:ascii="Gotham" w:hAnsi="Gotham" w:cs="Arial"/>
                <w:color w:val="ED0000"/>
                <w:sz w:val="18"/>
                <w:szCs w:val="18"/>
              </w:rPr>
              <w:t>orgánico</w:t>
            </w:r>
            <w:r w:rsidRPr="00C11D3F">
              <w:rPr>
                <w:rFonts w:ascii="Gotham" w:hAnsi="Gotham" w:cs="Arial"/>
                <w:spacing w:val="1"/>
                <w:sz w:val="18"/>
                <w:szCs w:val="18"/>
              </w:rPr>
              <w:t xml:space="preserve"> </w:t>
            </w:r>
            <w:r w:rsidRPr="00C11D3F">
              <w:rPr>
                <w:rFonts w:ascii="Gotham" w:hAnsi="Gotham" w:cs="Arial"/>
                <w:sz w:val="18"/>
                <w:szCs w:val="18"/>
              </w:rPr>
              <w:t>de</w:t>
            </w:r>
            <w:r w:rsidRPr="00C11D3F">
              <w:rPr>
                <w:rFonts w:ascii="Gotham" w:hAnsi="Gotham" w:cs="Arial"/>
                <w:spacing w:val="-2"/>
                <w:sz w:val="18"/>
                <w:szCs w:val="18"/>
              </w:rPr>
              <w:t xml:space="preserve"> </w:t>
            </w:r>
            <w:r w:rsidRPr="00C11D3F">
              <w:rPr>
                <w:rFonts w:ascii="Gotham" w:hAnsi="Gotham" w:cs="Arial"/>
                <w:sz w:val="18"/>
                <w:szCs w:val="18"/>
              </w:rPr>
              <w:t>la</w:t>
            </w:r>
            <w:r w:rsidRPr="00C11D3F">
              <w:rPr>
                <w:rFonts w:ascii="Gotham" w:hAnsi="Gotham" w:cs="Arial"/>
                <w:spacing w:val="-1"/>
                <w:sz w:val="18"/>
                <w:szCs w:val="18"/>
              </w:rPr>
              <w:t xml:space="preserve"> </w:t>
            </w:r>
            <w:r w:rsidRPr="00C11D3F">
              <w:rPr>
                <w:rFonts w:ascii="Gotham" w:hAnsi="Gotham" w:cs="Arial"/>
                <w:sz w:val="18"/>
                <w:szCs w:val="18"/>
              </w:rPr>
              <w:t>administración</w:t>
            </w:r>
            <w:r w:rsidRPr="00C11D3F">
              <w:rPr>
                <w:rFonts w:ascii="Gotham" w:hAnsi="Gotham" w:cs="Arial"/>
                <w:spacing w:val="-3"/>
                <w:sz w:val="18"/>
                <w:szCs w:val="18"/>
              </w:rPr>
              <w:t xml:space="preserve"> </w:t>
            </w:r>
            <w:r w:rsidRPr="00C11D3F">
              <w:rPr>
                <w:rFonts w:ascii="Gotham" w:hAnsi="Gotham" w:cs="Arial"/>
                <w:sz w:val="18"/>
                <w:szCs w:val="18"/>
              </w:rPr>
              <w:t>pública</w:t>
            </w:r>
            <w:r w:rsidRPr="00C11D3F">
              <w:rPr>
                <w:rFonts w:ascii="Gotham" w:hAnsi="Gotham" w:cs="Arial"/>
                <w:spacing w:val="-1"/>
                <w:sz w:val="18"/>
                <w:szCs w:val="18"/>
              </w:rPr>
              <w:t xml:space="preserve"> </w:t>
            </w:r>
            <w:r w:rsidRPr="00C11D3F">
              <w:rPr>
                <w:rFonts w:ascii="Gotham" w:hAnsi="Gotham" w:cs="Arial"/>
                <w:sz w:val="18"/>
                <w:szCs w:val="18"/>
              </w:rPr>
              <w:t>municipal</w:t>
            </w:r>
            <w:r w:rsidRPr="00C11D3F">
              <w:rPr>
                <w:rFonts w:ascii="Gotham" w:hAnsi="Gotham" w:cs="Arial"/>
                <w:spacing w:val="-2"/>
                <w:sz w:val="18"/>
                <w:szCs w:val="18"/>
              </w:rPr>
              <w:t xml:space="preserve"> </w:t>
            </w:r>
            <w:r w:rsidRPr="00C11D3F">
              <w:rPr>
                <w:rFonts w:ascii="Gotham" w:hAnsi="Gotham" w:cs="Arial"/>
                <w:sz w:val="18"/>
                <w:szCs w:val="18"/>
              </w:rPr>
              <w:t>vigente.</w:t>
            </w:r>
          </w:p>
        </w:tc>
        <w:tc>
          <w:tcPr>
            <w:tcW w:w="4678" w:type="dxa"/>
          </w:tcPr>
          <w:p w14:paraId="3A47674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 xml:space="preserve">Artículo 35.- </w:t>
            </w:r>
          </w:p>
          <w:p w14:paraId="3A47674B" w14:textId="77777777" w:rsidR="009B5E39" w:rsidRDefault="009B5E39" w:rsidP="00190E4A">
            <w:pPr>
              <w:jc w:val="both"/>
              <w:rPr>
                <w:rFonts w:ascii="Gotham" w:hAnsi="Gotham" w:cs="Arial"/>
                <w:sz w:val="18"/>
                <w:szCs w:val="18"/>
              </w:rPr>
            </w:pPr>
          </w:p>
          <w:p w14:paraId="3A47674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w:t>
            </w:r>
          </w:p>
          <w:p w14:paraId="3A47674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w:t>
            </w:r>
          </w:p>
          <w:p w14:paraId="3A47674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La</w:t>
            </w:r>
            <w:r w:rsidRPr="00C11D3F">
              <w:rPr>
                <w:rFonts w:ascii="Gotham" w:hAnsi="Gotham" w:cs="Arial"/>
                <w:spacing w:val="-9"/>
                <w:sz w:val="18"/>
                <w:szCs w:val="18"/>
              </w:rPr>
              <w:t xml:space="preserve"> </w:t>
            </w:r>
            <w:r w:rsidRPr="00C11D3F">
              <w:rPr>
                <w:rFonts w:ascii="Gotham" w:hAnsi="Gotham" w:cs="Arial"/>
                <w:sz w:val="18"/>
                <w:szCs w:val="18"/>
              </w:rPr>
              <w:t>duración</w:t>
            </w:r>
            <w:r w:rsidRPr="00C11D3F">
              <w:rPr>
                <w:rFonts w:ascii="Gotham" w:hAnsi="Gotham" w:cs="Arial"/>
                <w:spacing w:val="-10"/>
                <w:sz w:val="18"/>
                <w:szCs w:val="18"/>
              </w:rPr>
              <w:t xml:space="preserve"> </w:t>
            </w:r>
            <w:r w:rsidRPr="00C11D3F">
              <w:rPr>
                <w:rFonts w:ascii="Gotham" w:hAnsi="Gotham" w:cs="Arial"/>
                <w:sz w:val="18"/>
                <w:szCs w:val="18"/>
              </w:rPr>
              <w:t>del</w:t>
            </w:r>
            <w:r w:rsidRPr="00C11D3F">
              <w:rPr>
                <w:rFonts w:ascii="Gotham" w:hAnsi="Gotham" w:cs="Arial"/>
                <w:spacing w:val="-8"/>
                <w:sz w:val="18"/>
                <w:szCs w:val="18"/>
              </w:rPr>
              <w:t xml:space="preserve"> </w:t>
            </w:r>
            <w:r w:rsidRPr="00C11D3F">
              <w:rPr>
                <w:rFonts w:ascii="Gotham" w:hAnsi="Gotham" w:cs="Arial"/>
                <w:sz w:val="18"/>
                <w:szCs w:val="18"/>
              </w:rPr>
              <w:t>cargo</w:t>
            </w:r>
            <w:r w:rsidRPr="00C11D3F">
              <w:rPr>
                <w:rFonts w:ascii="Gotham" w:hAnsi="Gotham" w:cs="Arial"/>
                <w:spacing w:val="-6"/>
                <w:sz w:val="18"/>
                <w:szCs w:val="18"/>
              </w:rPr>
              <w:t xml:space="preserve"> </w:t>
            </w:r>
            <w:r w:rsidRPr="00C11D3F">
              <w:rPr>
                <w:rFonts w:ascii="Gotham" w:hAnsi="Gotham" w:cs="Arial"/>
                <w:sz w:val="18"/>
                <w:szCs w:val="18"/>
              </w:rPr>
              <w:t>de</w:t>
            </w:r>
            <w:r w:rsidRPr="00C11D3F">
              <w:rPr>
                <w:rFonts w:ascii="Gotham" w:hAnsi="Gotham" w:cs="Arial"/>
                <w:spacing w:val="-9"/>
                <w:sz w:val="18"/>
                <w:szCs w:val="18"/>
              </w:rPr>
              <w:t xml:space="preserve"> </w:t>
            </w:r>
            <w:r w:rsidRPr="00C11D3F">
              <w:rPr>
                <w:rFonts w:ascii="Gotham" w:hAnsi="Gotham" w:cs="Arial"/>
                <w:sz w:val="18"/>
                <w:szCs w:val="18"/>
              </w:rPr>
              <w:t>los</w:t>
            </w:r>
            <w:r w:rsidRPr="00C11D3F">
              <w:rPr>
                <w:rFonts w:ascii="Gotham" w:hAnsi="Gotham" w:cs="Arial"/>
                <w:spacing w:val="-9"/>
                <w:sz w:val="18"/>
                <w:szCs w:val="18"/>
              </w:rPr>
              <w:t xml:space="preserve"> </w:t>
            </w:r>
            <w:r w:rsidRPr="00C11D3F">
              <w:rPr>
                <w:rFonts w:ascii="Gotham" w:hAnsi="Gotham" w:cs="Arial"/>
                <w:sz w:val="18"/>
                <w:szCs w:val="18"/>
              </w:rPr>
              <w:t>Integrantes</w:t>
            </w:r>
            <w:r w:rsidRPr="00C11D3F">
              <w:rPr>
                <w:rFonts w:ascii="Gotham" w:hAnsi="Gotham" w:cs="Arial"/>
                <w:spacing w:val="-8"/>
                <w:sz w:val="18"/>
                <w:szCs w:val="18"/>
              </w:rPr>
              <w:t xml:space="preserve"> </w:t>
            </w:r>
            <w:r w:rsidRPr="00C11D3F">
              <w:rPr>
                <w:rFonts w:ascii="Gotham" w:hAnsi="Gotham" w:cs="Arial"/>
                <w:sz w:val="18"/>
                <w:szCs w:val="18"/>
              </w:rPr>
              <w:t>del</w:t>
            </w:r>
            <w:r w:rsidRPr="00C11D3F">
              <w:rPr>
                <w:rFonts w:ascii="Gotham" w:hAnsi="Gotham" w:cs="Arial"/>
                <w:spacing w:val="-9"/>
                <w:sz w:val="18"/>
                <w:szCs w:val="18"/>
              </w:rPr>
              <w:t xml:space="preserve"> </w:t>
            </w:r>
            <w:r w:rsidRPr="00C11D3F">
              <w:rPr>
                <w:rFonts w:ascii="Gotham" w:hAnsi="Gotham" w:cs="Arial"/>
                <w:sz w:val="18"/>
                <w:szCs w:val="18"/>
              </w:rPr>
              <w:t>Consejo</w:t>
            </w:r>
            <w:r w:rsidRPr="00C11D3F">
              <w:rPr>
                <w:rFonts w:ascii="Gotham" w:hAnsi="Gotham" w:cs="Arial"/>
                <w:spacing w:val="-6"/>
                <w:sz w:val="18"/>
                <w:szCs w:val="18"/>
              </w:rPr>
              <w:t xml:space="preserve"> </w:t>
            </w:r>
            <w:r w:rsidRPr="00C11D3F">
              <w:rPr>
                <w:rFonts w:ascii="Gotham" w:hAnsi="Gotham" w:cs="Arial"/>
                <w:sz w:val="18"/>
                <w:szCs w:val="18"/>
              </w:rPr>
              <w:t>que</w:t>
            </w:r>
            <w:r w:rsidRPr="00C11D3F">
              <w:rPr>
                <w:rFonts w:ascii="Gotham" w:hAnsi="Gotham" w:cs="Arial"/>
                <w:spacing w:val="-3"/>
                <w:sz w:val="18"/>
                <w:szCs w:val="18"/>
              </w:rPr>
              <w:t xml:space="preserve"> </w:t>
            </w:r>
            <w:r w:rsidRPr="00C11D3F">
              <w:rPr>
                <w:rFonts w:ascii="Gotham" w:hAnsi="Gotham" w:cs="Arial"/>
                <w:sz w:val="18"/>
                <w:szCs w:val="18"/>
              </w:rPr>
              <w:t>sea</w:t>
            </w:r>
            <w:r w:rsidRPr="00C11D3F">
              <w:rPr>
                <w:rFonts w:ascii="Gotham" w:hAnsi="Gotham" w:cs="Arial"/>
                <w:b/>
                <w:bCs/>
                <w:sz w:val="18"/>
                <w:szCs w:val="18"/>
              </w:rPr>
              <w:t>n</w:t>
            </w:r>
            <w:r w:rsidRPr="00C11D3F">
              <w:rPr>
                <w:rFonts w:ascii="Gotham" w:hAnsi="Gotham" w:cs="Arial"/>
                <w:spacing w:val="-9"/>
                <w:sz w:val="18"/>
                <w:szCs w:val="18"/>
              </w:rPr>
              <w:t xml:space="preserve"> </w:t>
            </w:r>
            <w:r w:rsidRPr="00C11D3F">
              <w:rPr>
                <w:rFonts w:ascii="Gotham" w:hAnsi="Gotham" w:cs="Arial"/>
                <w:b/>
                <w:bCs/>
                <w:spacing w:val="-9"/>
                <w:sz w:val="18"/>
                <w:szCs w:val="18"/>
              </w:rPr>
              <w:t>f</w:t>
            </w:r>
            <w:r w:rsidRPr="00C11D3F">
              <w:rPr>
                <w:rFonts w:ascii="Gotham" w:hAnsi="Gotham" w:cs="Arial"/>
                <w:sz w:val="18"/>
                <w:szCs w:val="18"/>
              </w:rPr>
              <w:t>uncionarios</w:t>
            </w:r>
            <w:r w:rsidRPr="00C11D3F">
              <w:rPr>
                <w:rFonts w:ascii="Gotham" w:hAnsi="Gotham" w:cs="Arial"/>
                <w:spacing w:val="-8"/>
                <w:sz w:val="18"/>
                <w:szCs w:val="18"/>
              </w:rPr>
              <w:t xml:space="preserve"> </w:t>
            </w:r>
            <w:r w:rsidRPr="00C11D3F">
              <w:rPr>
                <w:rFonts w:ascii="Gotham" w:hAnsi="Gotham" w:cs="Arial"/>
                <w:sz w:val="18"/>
                <w:szCs w:val="18"/>
              </w:rPr>
              <w:t>o</w:t>
            </w:r>
            <w:r w:rsidRPr="00C11D3F">
              <w:rPr>
                <w:rFonts w:ascii="Gotham" w:hAnsi="Gotham" w:cs="Arial"/>
                <w:spacing w:val="-6"/>
                <w:sz w:val="18"/>
                <w:szCs w:val="18"/>
              </w:rPr>
              <w:t xml:space="preserve"> </w:t>
            </w:r>
            <w:r w:rsidRPr="00C11D3F">
              <w:rPr>
                <w:rFonts w:ascii="Gotham" w:hAnsi="Gotham" w:cs="Arial"/>
                <w:b/>
                <w:bCs/>
                <w:spacing w:val="-6"/>
                <w:sz w:val="18"/>
                <w:szCs w:val="18"/>
              </w:rPr>
              <w:t>s</w:t>
            </w:r>
            <w:r w:rsidRPr="00C11D3F">
              <w:rPr>
                <w:rFonts w:ascii="Gotham" w:hAnsi="Gotham" w:cs="Arial"/>
                <w:sz w:val="18"/>
                <w:szCs w:val="18"/>
              </w:rPr>
              <w:t>ervidores</w:t>
            </w:r>
            <w:r w:rsidRPr="00C11D3F">
              <w:rPr>
                <w:rFonts w:ascii="Gotham" w:hAnsi="Gotham" w:cs="Arial"/>
                <w:spacing w:val="-9"/>
                <w:sz w:val="18"/>
                <w:szCs w:val="18"/>
              </w:rPr>
              <w:t xml:space="preserve"> </w:t>
            </w:r>
            <w:r w:rsidRPr="00C11D3F">
              <w:rPr>
                <w:rFonts w:ascii="Gotham" w:hAnsi="Gotham" w:cs="Arial"/>
                <w:sz w:val="18"/>
                <w:szCs w:val="18"/>
              </w:rPr>
              <w:t>públicos</w:t>
            </w:r>
            <w:r w:rsidRPr="00C11D3F">
              <w:rPr>
                <w:rFonts w:ascii="Gotham" w:hAnsi="Gotham" w:cs="Arial"/>
                <w:spacing w:val="-9"/>
                <w:sz w:val="18"/>
                <w:szCs w:val="18"/>
              </w:rPr>
              <w:t xml:space="preserve"> </w:t>
            </w:r>
            <w:r w:rsidRPr="00C11D3F">
              <w:rPr>
                <w:rFonts w:ascii="Gotham" w:hAnsi="Gotham" w:cs="Arial"/>
                <w:sz w:val="18"/>
                <w:szCs w:val="18"/>
              </w:rPr>
              <w:t>será</w:t>
            </w:r>
            <w:r w:rsidRPr="00C11D3F">
              <w:rPr>
                <w:rFonts w:ascii="Gotham" w:hAnsi="Gotham" w:cs="Arial"/>
                <w:spacing w:val="-52"/>
                <w:sz w:val="18"/>
                <w:szCs w:val="18"/>
              </w:rPr>
              <w:t xml:space="preserve"> </w:t>
            </w:r>
            <w:r w:rsidRPr="00C11D3F">
              <w:rPr>
                <w:rFonts w:ascii="Gotham" w:hAnsi="Gotham" w:cs="Arial"/>
                <w:spacing w:val="-1"/>
                <w:sz w:val="18"/>
                <w:szCs w:val="18"/>
              </w:rPr>
              <w:t>el</w:t>
            </w:r>
            <w:r w:rsidRPr="00C11D3F">
              <w:rPr>
                <w:rFonts w:ascii="Gotham" w:hAnsi="Gotham" w:cs="Arial"/>
                <w:spacing w:val="-13"/>
                <w:sz w:val="18"/>
                <w:szCs w:val="18"/>
              </w:rPr>
              <w:t xml:space="preserve"> </w:t>
            </w:r>
            <w:r w:rsidRPr="00C11D3F">
              <w:rPr>
                <w:rFonts w:ascii="Gotham" w:hAnsi="Gotham" w:cs="Arial"/>
                <w:spacing w:val="-1"/>
                <w:sz w:val="18"/>
                <w:szCs w:val="18"/>
              </w:rPr>
              <w:t>correspondiente</w:t>
            </w:r>
            <w:r w:rsidRPr="00C11D3F">
              <w:rPr>
                <w:rFonts w:ascii="Gotham" w:hAnsi="Gotham" w:cs="Arial"/>
                <w:spacing w:val="-13"/>
                <w:sz w:val="18"/>
                <w:szCs w:val="18"/>
              </w:rPr>
              <w:t xml:space="preserve"> </w:t>
            </w:r>
            <w:r w:rsidRPr="00C11D3F">
              <w:rPr>
                <w:rFonts w:ascii="Gotham" w:hAnsi="Gotham" w:cs="Arial"/>
                <w:spacing w:val="-1"/>
                <w:sz w:val="18"/>
                <w:szCs w:val="18"/>
              </w:rPr>
              <w:t>al</w:t>
            </w:r>
            <w:r w:rsidRPr="00C11D3F">
              <w:rPr>
                <w:rFonts w:ascii="Gotham" w:hAnsi="Gotham" w:cs="Arial"/>
                <w:spacing w:val="-13"/>
                <w:sz w:val="18"/>
                <w:szCs w:val="18"/>
              </w:rPr>
              <w:t xml:space="preserve"> </w:t>
            </w:r>
            <w:r w:rsidRPr="00C11D3F">
              <w:rPr>
                <w:rFonts w:ascii="Gotham" w:hAnsi="Gotham" w:cs="Arial"/>
                <w:spacing w:val="-1"/>
                <w:sz w:val="18"/>
                <w:szCs w:val="18"/>
              </w:rPr>
              <w:t>periodo</w:t>
            </w:r>
            <w:r w:rsidRPr="00C11D3F">
              <w:rPr>
                <w:rFonts w:ascii="Gotham" w:hAnsi="Gotham" w:cs="Arial"/>
                <w:spacing w:val="-10"/>
                <w:sz w:val="18"/>
                <w:szCs w:val="18"/>
              </w:rPr>
              <w:t xml:space="preserve"> </w:t>
            </w:r>
            <w:r w:rsidRPr="00C11D3F">
              <w:rPr>
                <w:rFonts w:ascii="Gotham" w:hAnsi="Gotham" w:cs="Arial"/>
                <w:spacing w:val="-1"/>
                <w:sz w:val="18"/>
                <w:szCs w:val="18"/>
              </w:rPr>
              <w:t>de</w:t>
            </w:r>
            <w:r w:rsidRPr="00C11D3F">
              <w:rPr>
                <w:rFonts w:ascii="Gotham" w:hAnsi="Gotham" w:cs="Arial"/>
                <w:spacing w:val="-17"/>
                <w:sz w:val="18"/>
                <w:szCs w:val="18"/>
              </w:rPr>
              <w:t xml:space="preserve"> </w:t>
            </w:r>
            <w:r w:rsidRPr="00C11D3F">
              <w:rPr>
                <w:rFonts w:ascii="Gotham" w:hAnsi="Gotham" w:cs="Arial"/>
                <w:spacing w:val="-1"/>
                <w:sz w:val="18"/>
                <w:szCs w:val="18"/>
              </w:rPr>
              <w:t>la</w:t>
            </w:r>
            <w:r w:rsidRPr="00C11D3F">
              <w:rPr>
                <w:rFonts w:ascii="Gotham" w:hAnsi="Gotham" w:cs="Arial"/>
                <w:spacing w:val="-13"/>
                <w:sz w:val="18"/>
                <w:szCs w:val="18"/>
              </w:rPr>
              <w:t xml:space="preserve"> </w:t>
            </w:r>
            <w:r w:rsidRPr="00C11D3F">
              <w:rPr>
                <w:rFonts w:ascii="Gotham" w:hAnsi="Gotham" w:cs="Arial"/>
                <w:spacing w:val="-1"/>
                <w:sz w:val="18"/>
                <w:szCs w:val="18"/>
              </w:rPr>
              <w:t>administración</w:t>
            </w:r>
            <w:r w:rsidRPr="00C11D3F">
              <w:rPr>
                <w:rFonts w:ascii="Gotham" w:hAnsi="Gotham" w:cs="Arial"/>
                <w:spacing w:val="-13"/>
                <w:sz w:val="18"/>
                <w:szCs w:val="18"/>
              </w:rPr>
              <w:t xml:space="preserve"> </w:t>
            </w:r>
            <w:r w:rsidRPr="00C11D3F">
              <w:rPr>
                <w:rFonts w:ascii="Gotham" w:hAnsi="Gotham" w:cs="Arial"/>
                <w:spacing w:val="-1"/>
                <w:sz w:val="18"/>
                <w:szCs w:val="18"/>
              </w:rPr>
              <w:t>pública</w:t>
            </w:r>
            <w:r w:rsidRPr="00C11D3F">
              <w:rPr>
                <w:rFonts w:ascii="Gotham" w:hAnsi="Gotham" w:cs="Arial"/>
                <w:spacing w:val="-13"/>
                <w:sz w:val="18"/>
                <w:szCs w:val="18"/>
              </w:rPr>
              <w:t xml:space="preserve"> </w:t>
            </w:r>
            <w:r w:rsidRPr="00C11D3F">
              <w:rPr>
                <w:rFonts w:ascii="Gotham" w:hAnsi="Gotham" w:cs="Arial"/>
                <w:spacing w:val="-1"/>
                <w:sz w:val="18"/>
                <w:szCs w:val="18"/>
              </w:rPr>
              <w:t>municipal</w:t>
            </w:r>
            <w:r w:rsidRPr="00C11D3F">
              <w:rPr>
                <w:rFonts w:ascii="Gotham" w:hAnsi="Gotham" w:cs="Arial"/>
                <w:spacing w:val="-13"/>
                <w:sz w:val="18"/>
                <w:szCs w:val="18"/>
              </w:rPr>
              <w:t xml:space="preserve"> </w:t>
            </w:r>
            <w:r w:rsidRPr="00C11D3F">
              <w:rPr>
                <w:rFonts w:ascii="Gotham" w:hAnsi="Gotham" w:cs="Arial"/>
                <w:spacing w:val="-1"/>
                <w:sz w:val="18"/>
                <w:szCs w:val="18"/>
              </w:rPr>
              <w:t>en</w:t>
            </w:r>
            <w:r w:rsidRPr="00C11D3F">
              <w:rPr>
                <w:rFonts w:ascii="Gotham" w:hAnsi="Gotham" w:cs="Arial"/>
                <w:spacing w:val="-13"/>
                <w:sz w:val="18"/>
                <w:szCs w:val="18"/>
              </w:rPr>
              <w:t xml:space="preserve"> </w:t>
            </w:r>
            <w:r w:rsidRPr="00C11D3F">
              <w:rPr>
                <w:rFonts w:ascii="Gotham" w:hAnsi="Gotham" w:cs="Arial"/>
                <w:sz w:val="18"/>
                <w:szCs w:val="18"/>
              </w:rPr>
              <w:t>turno, o</w:t>
            </w:r>
            <w:r w:rsidRPr="00C11D3F">
              <w:rPr>
                <w:rFonts w:ascii="Gotham" w:hAnsi="Gotham" w:cs="Arial"/>
                <w:spacing w:val="-17"/>
                <w:sz w:val="18"/>
                <w:szCs w:val="18"/>
              </w:rPr>
              <w:t xml:space="preserve"> </w:t>
            </w:r>
            <w:r w:rsidRPr="00C11D3F">
              <w:rPr>
                <w:rFonts w:ascii="Gotham" w:hAnsi="Gotham" w:cs="Arial"/>
                <w:sz w:val="18"/>
                <w:szCs w:val="18"/>
              </w:rPr>
              <w:t>que</w:t>
            </w:r>
            <w:r w:rsidRPr="00C11D3F">
              <w:rPr>
                <w:rFonts w:ascii="Gotham" w:hAnsi="Gotham" w:cs="Arial"/>
                <w:spacing w:val="-13"/>
                <w:sz w:val="18"/>
                <w:szCs w:val="18"/>
              </w:rPr>
              <w:t xml:space="preserve"> </w:t>
            </w:r>
            <w:r w:rsidRPr="00C11D3F">
              <w:rPr>
                <w:rFonts w:ascii="Gotham" w:hAnsi="Gotham" w:cs="Arial"/>
                <w:sz w:val="18"/>
                <w:szCs w:val="18"/>
              </w:rPr>
              <w:t>por</w:t>
            </w:r>
            <w:r w:rsidRPr="00C11D3F">
              <w:rPr>
                <w:rFonts w:ascii="Gotham" w:hAnsi="Gotham" w:cs="Arial"/>
                <w:spacing w:val="-17"/>
                <w:sz w:val="18"/>
                <w:szCs w:val="18"/>
              </w:rPr>
              <w:t xml:space="preserve"> </w:t>
            </w:r>
            <w:r w:rsidRPr="00C11D3F">
              <w:rPr>
                <w:rFonts w:ascii="Gotham" w:hAnsi="Gotham" w:cs="Arial"/>
                <w:sz w:val="18"/>
                <w:szCs w:val="18"/>
              </w:rPr>
              <w:t>razones</w:t>
            </w:r>
            <w:r w:rsidRPr="00C11D3F">
              <w:rPr>
                <w:rFonts w:ascii="Gotham" w:hAnsi="Gotham" w:cs="Arial"/>
                <w:spacing w:val="1"/>
                <w:sz w:val="18"/>
                <w:szCs w:val="18"/>
              </w:rPr>
              <w:t xml:space="preserve"> </w:t>
            </w:r>
            <w:r w:rsidRPr="00C11D3F">
              <w:rPr>
                <w:rFonts w:ascii="Gotham" w:hAnsi="Gotham" w:cs="Arial"/>
                <w:sz w:val="18"/>
                <w:szCs w:val="18"/>
              </w:rPr>
              <w:t>de su nombramiento concluyan antes de dicho plazo. El cargo de Integrante del Consejo será</w:t>
            </w:r>
            <w:r w:rsidRPr="00C11D3F">
              <w:rPr>
                <w:rFonts w:ascii="Gotham" w:hAnsi="Gotham" w:cs="Arial"/>
                <w:spacing w:val="1"/>
                <w:sz w:val="18"/>
                <w:szCs w:val="18"/>
              </w:rPr>
              <w:t xml:space="preserve"> </w:t>
            </w:r>
            <w:r w:rsidRPr="00C11D3F">
              <w:rPr>
                <w:rFonts w:ascii="Gotham" w:hAnsi="Gotham" w:cs="Arial"/>
                <w:sz w:val="18"/>
                <w:szCs w:val="18"/>
              </w:rPr>
              <w:t>honorífico, en</w:t>
            </w:r>
            <w:r w:rsidRPr="00C11D3F">
              <w:rPr>
                <w:rFonts w:ascii="Gotham" w:hAnsi="Gotham" w:cs="Arial"/>
                <w:spacing w:val="-2"/>
                <w:sz w:val="18"/>
                <w:szCs w:val="18"/>
              </w:rPr>
              <w:t xml:space="preserve"> </w:t>
            </w:r>
            <w:r w:rsidRPr="00C11D3F">
              <w:rPr>
                <w:rFonts w:ascii="Gotham" w:hAnsi="Gotham" w:cs="Arial"/>
                <w:sz w:val="18"/>
                <w:szCs w:val="18"/>
              </w:rPr>
              <w:t>consecuencia,</w:t>
            </w:r>
            <w:r w:rsidRPr="00C11D3F">
              <w:rPr>
                <w:rFonts w:ascii="Gotham" w:hAnsi="Gotham" w:cs="Arial"/>
                <w:spacing w:val="1"/>
                <w:sz w:val="18"/>
                <w:szCs w:val="18"/>
              </w:rPr>
              <w:t xml:space="preserve"> </w:t>
            </w:r>
            <w:r w:rsidRPr="00C11D3F">
              <w:rPr>
                <w:rFonts w:ascii="Gotham" w:hAnsi="Gotham" w:cs="Arial"/>
                <w:sz w:val="18"/>
                <w:szCs w:val="18"/>
              </w:rPr>
              <w:t>no</w:t>
            </w:r>
            <w:r w:rsidRPr="00C11D3F">
              <w:rPr>
                <w:rFonts w:ascii="Gotham" w:hAnsi="Gotham" w:cs="Arial"/>
                <w:spacing w:val="1"/>
                <w:sz w:val="18"/>
                <w:szCs w:val="18"/>
              </w:rPr>
              <w:t xml:space="preserve"> </w:t>
            </w:r>
            <w:r w:rsidRPr="00C11D3F">
              <w:rPr>
                <w:rFonts w:ascii="Gotham" w:hAnsi="Gotham" w:cs="Arial"/>
                <w:sz w:val="18"/>
                <w:szCs w:val="18"/>
              </w:rPr>
              <w:t>remunerado.</w:t>
            </w:r>
          </w:p>
          <w:p w14:paraId="3A47674F" w14:textId="77777777" w:rsidR="009B5E39" w:rsidRDefault="009B5E39" w:rsidP="00190E4A">
            <w:pPr>
              <w:jc w:val="both"/>
              <w:rPr>
                <w:rFonts w:ascii="Gotham" w:hAnsi="Gotham" w:cs="Arial"/>
                <w:sz w:val="18"/>
                <w:szCs w:val="18"/>
              </w:rPr>
            </w:pPr>
          </w:p>
          <w:p w14:paraId="3A476750" w14:textId="77777777" w:rsidR="009B5E39" w:rsidRPr="00C11D3F" w:rsidRDefault="009B5E39" w:rsidP="00190E4A">
            <w:pPr>
              <w:jc w:val="both"/>
              <w:rPr>
                <w:rFonts w:ascii="Gotham" w:hAnsi="Gotham" w:cs="Arial"/>
                <w:sz w:val="18"/>
                <w:szCs w:val="18"/>
              </w:rPr>
            </w:pPr>
          </w:p>
          <w:p w14:paraId="3A47675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Los integrantes del Consejo que devengan de las comisiones edilicias o de áreas administrativas,</w:t>
            </w:r>
            <w:r w:rsidRPr="00C11D3F">
              <w:rPr>
                <w:rFonts w:ascii="Gotham" w:hAnsi="Gotham" w:cs="Arial"/>
                <w:spacing w:val="1"/>
                <w:sz w:val="18"/>
                <w:szCs w:val="18"/>
              </w:rPr>
              <w:t xml:space="preserve"> </w:t>
            </w:r>
            <w:r w:rsidRPr="00C11D3F">
              <w:rPr>
                <w:rFonts w:ascii="Gotham" w:hAnsi="Gotham" w:cs="Arial"/>
                <w:sz w:val="18"/>
                <w:szCs w:val="18"/>
              </w:rPr>
              <w:t>cuando por reformas a los reglamentos tenga denominaciones distintas sea aplicaran conforme al</w:t>
            </w:r>
            <w:r w:rsidRPr="00C11D3F">
              <w:rPr>
                <w:rFonts w:ascii="Gotham" w:hAnsi="Gotham" w:cs="Arial"/>
                <w:spacing w:val="1"/>
                <w:sz w:val="18"/>
                <w:szCs w:val="18"/>
              </w:rPr>
              <w:t xml:space="preserve"> </w:t>
            </w:r>
            <w:r w:rsidRPr="00C11D3F">
              <w:rPr>
                <w:rFonts w:ascii="Gotham" w:hAnsi="Gotham" w:cs="Arial"/>
                <w:b/>
                <w:bCs/>
                <w:sz w:val="18"/>
                <w:szCs w:val="18"/>
              </w:rPr>
              <w:t>Reglamento del Gobierno y</w:t>
            </w:r>
            <w:r w:rsidRPr="00C11D3F">
              <w:rPr>
                <w:rFonts w:ascii="Gotham" w:hAnsi="Gotham" w:cs="Arial"/>
                <w:b/>
                <w:bCs/>
                <w:spacing w:val="-2"/>
                <w:sz w:val="18"/>
                <w:szCs w:val="18"/>
              </w:rPr>
              <w:t xml:space="preserve"> </w:t>
            </w:r>
            <w:r w:rsidRPr="00C11D3F">
              <w:rPr>
                <w:rFonts w:ascii="Gotham" w:hAnsi="Gotham" w:cs="Arial"/>
                <w:b/>
                <w:bCs/>
                <w:sz w:val="18"/>
                <w:szCs w:val="18"/>
              </w:rPr>
              <w:t>la</w:t>
            </w:r>
            <w:r w:rsidRPr="00C11D3F">
              <w:rPr>
                <w:rFonts w:ascii="Gotham" w:hAnsi="Gotham" w:cs="Arial"/>
                <w:b/>
                <w:bCs/>
                <w:spacing w:val="-1"/>
                <w:sz w:val="18"/>
                <w:szCs w:val="18"/>
              </w:rPr>
              <w:t xml:space="preserve"> </w:t>
            </w:r>
            <w:r w:rsidRPr="00C11D3F">
              <w:rPr>
                <w:rFonts w:ascii="Gotham" w:hAnsi="Gotham" w:cs="Arial"/>
                <w:b/>
                <w:bCs/>
                <w:sz w:val="18"/>
                <w:szCs w:val="18"/>
              </w:rPr>
              <w:t>administración</w:t>
            </w:r>
            <w:r w:rsidRPr="00C11D3F">
              <w:rPr>
                <w:rFonts w:ascii="Gotham" w:hAnsi="Gotham" w:cs="Arial"/>
                <w:b/>
                <w:bCs/>
                <w:spacing w:val="-3"/>
                <w:sz w:val="18"/>
                <w:szCs w:val="18"/>
              </w:rPr>
              <w:t xml:space="preserve"> </w:t>
            </w:r>
            <w:r w:rsidRPr="00C11D3F">
              <w:rPr>
                <w:rFonts w:ascii="Gotham" w:hAnsi="Gotham" w:cs="Arial"/>
                <w:b/>
                <w:bCs/>
                <w:sz w:val="18"/>
                <w:szCs w:val="18"/>
              </w:rPr>
              <w:t>pública del Municipio de Tonalá, Jalisco,</w:t>
            </w:r>
            <w:r w:rsidRPr="00C11D3F">
              <w:rPr>
                <w:rFonts w:ascii="Gotham" w:hAnsi="Gotham" w:cs="Arial"/>
                <w:b/>
                <w:bCs/>
                <w:spacing w:val="-2"/>
                <w:sz w:val="18"/>
                <w:szCs w:val="18"/>
              </w:rPr>
              <w:t xml:space="preserve"> </w:t>
            </w:r>
            <w:r w:rsidRPr="00C11D3F">
              <w:rPr>
                <w:rFonts w:ascii="Gotham" w:hAnsi="Gotham" w:cs="Arial"/>
                <w:b/>
                <w:bCs/>
                <w:sz w:val="18"/>
                <w:szCs w:val="18"/>
              </w:rPr>
              <w:t>vigente.</w:t>
            </w:r>
          </w:p>
        </w:tc>
      </w:tr>
      <w:tr w:rsidR="009B5E39" w:rsidRPr="00C11D3F" w14:paraId="3A476757" w14:textId="77777777" w:rsidTr="00190E4A">
        <w:trPr>
          <w:jc w:val="center"/>
        </w:trPr>
        <w:tc>
          <w:tcPr>
            <w:tcW w:w="4673" w:type="dxa"/>
          </w:tcPr>
          <w:p w14:paraId="3A476753" w14:textId="77777777" w:rsidR="009B5E39" w:rsidRDefault="009B5E39" w:rsidP="00190E4A">
            <w:pPr>
              <w:jc w:val="both"/>
              <w:rPr>
                <w:rFonts w:ascii="Gotham" w:hAnsi="Gotham" w:cs="Arial"/>
                <w:sz w:val="18"/>
                <w:szCs w:val="18"/>
              </w:rPr>
            </w:pPr>
          </w:p>
          <w:p w14:paraId="3A47675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19"/>
                <w:sz w:val="18"/>
                <w:szCs w:val="18"/>
              </w:rPr>
              <w:t xml:space="preserve"> </w:t>
            </w:r>
            <w:r w:rsidRPr="00C11D3F">
              <w:rPr>
                <w:rFonts w:ascii="Gotham" w:hAnsi="Gotham" w:cs="Arial"/>
                <w:sz w:val="18"/>
                <w:szCs w:val="18"/>
              </w:rPr>
              <w:t>36.-</w:t>
            </w:r>
            <w:r w:rsidRPr="00C11D3F">
              <w:rPr>
                <w:rFonts w:ascii="Gotham" w:hAnsi="Gotham" w:cs="Arial"/>
                <w:spacing w:val="17"/>
                <w:sz w:val="18"/>
                <w:szCs w:val="18"/>
              </w:rPr>
              <w:t xml:space="preserve"> </w:t>
            </w:r>
            <w:r w:rsidRPr="00C11D3F">
              <w:rPr>
                <w:rFonts w:ascii="Gotham" w:hAnsi="Gotham" w:cs="Arial"/>
                <w:sz w:val="18"/>
                <w:szCs w:val="18"/>
              </w:rPr>
              <w:t>Son</w:t>
            </w:r>
            <w:r w:rsidRPr="00C11D3F">
              <w:rPr>
                <w:rFonts w:ascii="Gotham" w:hAnsi="Gotham" w:cs="Arial"/>
                <w:spacing w:val="16"/>
                <w:sz w:val="18"/>
                <w:szCs w:val="18"/>
              </w:rPr>
              <w:t xml:space="preserve"> </w:t>
            </w:r>
            <w:r w:rsidRPr="00C11D3F">
              <w:rPr>
                <w:rFonts w:ascii="Gotham" w:hAnsi="Gotham" w:cs="Arial"/>
                <w:sz w:val="18"/>
                <w:szCs w:val="18"/>
              </w:rPr>
              <w:t>facultades</w:t>
            </w:r>
            <w:r w:rsidRPr="00C11D3F">
              <w:rPr>
                <w:rFonts w:ascii="Gotham" w:hAnsi="Gotham" w:cs="Arial"/>
                <w:spacing w:val="17"/>
                <w:sz w:val="18"/>
                <w:szCs w:val="18"/>
              </w:rPr>
              <w:t xml:space="preserve"> </w:t>
            </w:r>
            <w:r w:rsidRPr="00C11D3F">
              <w:rPr>
                <w:rFonts w:ascii="Gotham" w:hAnsi="Gotham" w:cs="Arial"/>
                <w:sz w:val="18"/>
                <w:szCs w:val="18"/>
              </w:rPr>
              <w:t>del</w:t>
            </w:r>
            <w:r w:rsidRPr="00C11D3F">
              <w:rPr>
                <w:rFonts w:ascii="Gotham" w:hAnsi="Gotham" w:cs="Arial"/>
                <w:spacing w:val="17"/>
                <w:sz w:val="18"/>
                <w:szCs w:val="18"/>
              </w:rPr>
              <w:t xml:space="preserve"> </w:t>
            </w:r>
            <w:r w:rsidRPr="00C11D3F">
              <w:rPr>
                <w:rFonts w:ascii="Gotham" w:hAnsi="Gotham" w:cs="Arial"/>
                <w:sz w:val="18"/>
                <w:szCs w:val="18"/>
              </w:rPr>
              <w:t>Consejo</w:t>
            </w:r>
            <w:r w:rsidRPr="00C11D3F">
              <w:rPr>
                <w:rFonts w:ascii="Gotham" w:hAnsi="Gotham" w:cs="Arial"/>
                <w:spacing w:val="20"/>
                <w:sz w:val="18"/>
                <w:szCs w:val="18"/>
              </w:rPr>
              <w:t xml:space="preserve"> </w:t>
            </w:r>
            <w:r w:rsidRPr="00C11D3F">
              <w:rPr>
                <w:rFonts w:ascii="Gotham" w:hAnsi="Gotham" w:cs="Arial"/>
                <w:sz w:val="18"/>
                <w:szCs w:val="18"/>
              </w:rPr>
              <w:t>Municipal</w:t>
            </w:r>
            <w:r w:rsidRPr="00C11D3F">
              <w:rPr>
                <w:rFonts w:ascii="Gotham" w:hAnsi="Gotham" w:cs="Arial"/>
                <w:spacing w:val="17"/>
                <w:sz w:val="18"/>
                <w:szCs w:val="18"/>
              </w:rPr>
              <w:t xml:space="preserve"> </w:t>
            </w:r>
            <w:r w:rsidRPr="00C11D3F">
              <w:rPr>
                <w:rFonts w:ascii="Gotham" w:hAnsi="Gotham" w:cs="Arial"/>
                <w:sz w:val="18"/>
                <w:szCs w:val="18"/>
              </w:rPr>
              <w:t>de</w:t>
            </w:r>
            <w:r w:rsidRPr="00C11D3F">
              <w:rPr>
                <w:rFonts w:ascii="Gotham" w:hAnsi="Gotham" w:cs="Arial"/>
                <w:spacing w:val="16"/>
                <w:sz w:val="18"/>
                <w:szCs w:val="18"/>
              </w:rPr>
              <w:t xml:space="preserve"> </w:t>
            </w:r>
            <w:r w:rsidRPr="00C11D3F">
              <w:rPr>
                <w:rFonts w:ascii="Gotham" w:hAnsi="Gotham" w:cs="Arial"/>
                <w:sz w:val="18"/>
                <w:szCs w:val="18"/>
              </w:rPr>
              <w:t>Participación</w:t>
            </w:r>
            <w:r w:rsidRPr="00C11D3F">
              <w:rPr>
                <w:rFonts w:ascii="Gotham" w:hAnsi="Gotham" w:cs="Arial"/>
                <w:spacing w:val="16"/>
                <w:sz w:val="18"/>
                <w:szCs w:val="18"/>
              </w:rPr>
              <w:t xml:space="preserve"> </w:t>
            </w:r>
            <w:r w:rsidRPr="00C11D3F">
              <w:rPr>
                <w:rFonts w:ascii="Gotham" w:hAnsi="Gotham" w:cs="Arial"/>
                <w:sz w:val="18"/>
                <w:szCs w:val="18"/>
              </w:rPr>
              <w:t>Ciudadana</w:t>
            </w:r>
            <w:r w:rsidRPr="00C11D3F">
              <w:rPr>
                <w:rFonts w:ascii="Gotham" w:hAnsi="Gotham" w:cs="Arial"/>
                <w:spacing w:val="16"/>
                <w:sz w:val="18"/>
                <w:szCs w:val="18"/>
              </w:rPr>
              <w:t xml:space="preserve"> </w:t>
            </w:r>
            <w:r w:rsidRPr="00C11D3F">
              <w:rPr>
                <w:rFonts w:ascii="Gotham" w:hAnsi="Gotham" w:cs="Arial"/>
                <w:sz w:val="18"/>
                <w:szCs w:val="18"/>
              </w:rPr>
              <w:t>y</w:t>
            </w:r>
            <w:r w:rsidRPr="00C11D3F">
              <w:rPr>
                <w:rFonts w:ascii="Gotham" w:hAnsi="Gotham" w:cs="Arial"/>
                <w:spacing w:val="16"/>
                <w:sz w:val="18"/>
                <w:szCs w:val="18"/>
              </w:rPr>
              <w:t xml:space="preserve"> </w:t>
            </w:r>
            <w:r w:rsidRPr="00C11D3F">
              <w:rPr>
                <w:rFonts w:ascii="Gotham" w:hAnsi="Gotham" w:cs="Arial"/>
                <w:sz w:val="18"/>
                <w:szCs w:val="18"/>
              </w:rPr>
              <w:t>Popular</w:t>
            </w:r>
            <w:r w:rsidRPr="00C11D3F">
              <w:rPr>
                <w:rFonts w:ascii="Gotham" w:hAnsi="Gotham" w:cs="Arial"/>
                <w:spacing w:val="20"/>
                <w:sz w:val="18"/>
                <w:szCs w:val="18"/>
              </w:rPr>
              <w:t xml:space="preserve"> </w:t>
            </w:r>
            <w:r w:rsidRPr="00C11D3F">
              <w:rPr>
                <w:rFonts w:ascii="Gotham" w:hAnsi="Gotham" w:cs="Arial"/>
                <w:color w:val="ED0000"/>
                <w:sz w:val="18"/>
                <w:szCs w:val="18"/>
              </w:rPr>
              <w:t>para</w:t>
            </w:r>
            <w:r w:rsidRPr="00C11D3F">
              <w:rPr>
                <w:rFonts w:ascii="Gotham" w:hAnsi="Gotham" w:cs="Arial"/>
                <w:color w:val="ED0000"/>
                <w:spacing w:val="16"/>
                <w:sz w:val="18"/>
                <w:szCs w:val="18"/>
              </w:rPr>
              <w:t xml:space="preserve"> </w:t>
            </w:r>
            <w:r w:rsidRPr="00C11D3F">
              <w:rPr>
                <w:rFonts w:ascii="Gotham" w:hAnsi="Gotham" w:cs="Arial"/>
                <w:color w:val="ED0000"/>
                <w:sz w:val="18"/>
                <w:szCs w:val="18"/>
              </w:rPr>
              <w:t>la Gobernanza</w:t>
            </w:r>
            <w:r w:rsidRPr="00C11D3F">
              <w:rPr>
                <w:rFonts w:ascii="Gotham" w:hAnsi="Gotham" w:cs="Arial"/>
                <w:spacing w:val="-5"/>
                <w:sz w:val="18"/>
                <w:szCs w:val="18"/>
              </w:rPr>
              <w:t xml:space="preserve"> </w:t>
            </w:r>
            <w:r w:rsidRPr="00C11D3F">
              <w:rPr>
                <w:rFonts w:ascii="Gotham" w:hAnsi="Gotham" w:cs="Arial"/>
                <w:sz w:val="18"/>
                <w:szCs w:val="18"/>
              </w:rPr>
              <w:t>las</w:t>
            </w:r>
            <w:r w:rsidRPr="00C11D3F">
              <w:rPr>
                <w:rFonts w:ascii="Gotham" w:hAnsi="Gotham" w:cs="Arial"/>
                <w:spacing w:val="-4"/>
                <w:sz w:val="18"/>
                <w:szCs w:val="18"/>
              </w:rPr>
              <w:t xml:space="preserve"> </w:t>
            </w:r>
            <w:r w:rsidRPr="00C11D3F">
              <w:rPr>
                <w:rFonts w:ascii="Gotham" w:hAnsi="Gotham" w:cs="Arial"/>
                <w:sz w:val="18"/>
                <w:szCs w:val="18"/>
              </w:rPr>
              <w:t>siguientes:</w:t>
            </w:r>
          </w:p>
        </w:tc>
        <w:tc>
          <w:tcPr>
            <w:tcW w:w="4678" w:type="dxa"/>
          </w:tcPr>
          <w:p w14:paraId="3A476755" w14:textId="77777777" w:rsidR="009B5E39" w:rsidRDefault="009B5E39" w:rsidP="00190E4A">
            <w:pPr>
              <w:jc w:val="both"/>
              <w:rPr>
                <w:rFonts w:ascii="Gotham" w:hAnsi="Gotham" w:cs="Arial"/>
                <w:sz w:val="18"/>
                <w:szCs w:val="18"/>
              </w:rPr>
            </w:pPr>
          </w:p>
          <w:p w14:paraId="3A47675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19"/>
                <w:sz w:val="18"/>
                <w:szCs w:val="18"/>
              </w:rPr>
              <w:t xml:space="preserve"> </w:t>
            </w:r>
            <w:r w:rsidRPr="00C11D3F">
              <w:rPr>
                <w:rFonts w:ascii="Gotham" w:hAnsi="Gotham" w:cs="Arial"/>
                <w:sz w:val="18"/>
                <w:szCs w:val="18"/>
              </w:rPr>
              <w:t>36.-</w:t>
            </w:r>
            <w:r w:rsidRPr="00C11D3F">
              <w:rPr>
                <w:rFonts w:ascii="Gotham" w:hAnsi="Gotham" w:cs="Arial"/>
                <w:spacing w:val="17"/>
                <w:sz w:val="18"/>
                <w:szCs w:val="18"/>
              </w:rPr>
              <w:t xml:space="preserve"> </w:t>
            </w:r>
            <w:r w:rsidRPr="00C11D3F">
              <w:rPr>
                <w:rFonts w:ascii="Gotham" w:hAnsi="Gotham" w:cs="Arial"/>
                <w:sz w:val="18"/>
                <w:szCs w:val="18"/>
              </w:rPr>
              <w:t>Son</w:t>
            </w:r>
            <w:r w:rsidRPr="00C11D3F">
              <w:rPr>
                <w:rFonts w:ascii="Gotham" w:hAnsi="Gotham" w:cs="Arial"/>
                <w:spacing w:val="16"/>
                <w:sz w:val="18"/>
                <w:szCs w:val="18"/>
              </w:rPr>
              <w:t xml:space="preserve"> </w:t>
            </w:r>
            <w:r w:rsidRPr="00C11D3F">
              <w:rPr>
                <w:rFonts w:ascii="Gotham" w:hAnsi="Gotham" w:cs="Arial"/>
                <w:sz w:val="18"/>
                <w:szCs w:val="18"/>
              </w:rPr>
              <w:t>facultades</w:t>
            </w:r>
            <w:r w:rsidRPr="00C11D3F">
              <w:rPr>
                <w:rFonts w:ascii="Gotham" w:hAnsi="Gotham" w:cs="Arial"/>
                <w:spacing w:val="17"/>
                <w:sz w:val="18"/>
                <w:szCs w:val="18"/>
              </w:rPr>
              <w:t xml:space="preserve"> </w:t>
            </w:r>
            <w:r w:rsidRPr="00C11D3F">
              <w:rPr>
                <w:rFonts w:ascii="Gotham" w:hAnsi="Gotham" w:cs="Arial"/>
                <w:sz w:val="18"/>
                <w:szCs w:val="18"/>
              </w:rPr>
              <w:t>del</w:t>
            </w:r>
            <w:r w:rsidRPr="00C11D3F">
              <w:rPr>
                <w:rFonts w:ascii="Gotham" w:hAnsi="Gotham" w:cs="Arial"/>
                <w:spacing w:val="17"/>
                <w:sz w:val="18"/>
                <w:szCs w:val="18"/>
              </w:rPr>
              <w:t xml:space="preserve"> </w:t>
            </w:r>
            <w:r w:rsidRPr="00C11D3F">
              <w:rPr>
                <w:rFonts w:ascii="Gotham" w:hAnsi="Gotham" w:cs="Arial"/>
                <w:sz w:val="18"/>
                <w:szCs w:val="18"/>
              </w:rPr>
              <w:t>Consejo</w:t>
            </w:r>
            <w:r w:rsidRPr="00C11D3F">
              <w:rPr>
                <w:rFonts w:ascii="Gotham" w:hAnsi="Gotham" w:cs="Arial"/>
                <w:spacing w:val="20"/>
                <w:sz w:val="18"/>
                <w:szCs w:val="18"/>
              </w:rPr>
              <w:t xml:space="preserve"> </w:t>
            </w:r>
            <w:r w:rsidRPr="00C11D3F">
              <w:rPr>
                <w:rFonts w:ascii="Gotham" w:hAnsi="Gotham" w:cs="Arial"/>
                <w:sz w:val="18"/>
                <w:szCs w:val="18"/>
              </w:rPr>
              <w:t>Municipal</w:t>
            </w:r>
            <w:r w:rsidRPr="00C11D3F">
              <w:rPr>
                <w:rFonts w:ascii="Gotham" w:hAnsi="Gotham" w:cs="Arial"/>
                <w:spacing w:val="17"/>
                <w:sz w:val="18"/>
                <w:szCs w:val="18"/>
              </w:rPr>
              <w:t xml:space="preserve"> </w:t>
            </w:r>
            <w:r w:rsidRPr="00C11D3F">
              <w:rPr>
                <w:rFonts w:ascii="Gotham" w:hAnsi="Gotham" w:cs="Arial"/>
                <w:sz w:val="18"/>
                <w:szCs w:val="18"/>
              </w:rPr>
              <w:t>de</w:t>
            </w:r>
            <w:r w:rsidRPr="00C11D3F">
              <w:rPr>
                <w:rFonts w:ascii="Gotham" w:hAnsi="Gotham" w:cs="Arial"/>
                <w:spacing w:val="16"/>
                <w:sz w:val="18"/>
                <w:szCs w:val="18"/>
              </w:rPr>
              <w:t xml:space="preserve"> </w:t>
            </w:r>
            <w:r w:rsidRPr="00C11D3F">
              <w:rPr>
                <w:rFonts w:ascii="Gotham" w:hAnsi="Gotham" w:cs="Arial"/>
                <w:sz w:val="18"/>
                <w:szCs w:val="18"/>
              </w:rPr>
              <w:t>Participación</w:t>
            </w:r>
            <w:r w:rsidRPr="00C11D3F">
              <w:rPr>
                <w:rFonts w:ascii="Gotham" w:hAnsi="Gotham" w:cs="Arial"/>
                <w:spacing w:val="16"/>
                <w:sz w:val="18"/>
                <w:szCs w:val="18"/>
              </w:rPr>
              <w:t xml:space="preserve"> </w:t>
            </w:r>
            <w:r w:rsidRPr="00C11D3F">
              <w:rPr>
                <w:rFonts w:ascii="Gotham" w:hAnsi="Gotham" w:cs="Arial"/>
                <w:sz w:val="18"/>
                <w:szCs w:val="18"/>
              </w:rPr>
              <w:t>Ciudadana</w:t>
            </w:r>
            <w:r w:rsidRPr="00C11D3F">
              <w:rPr>
                <w:rFonts w:ascii="Gotham" w:hAnsi="Gotham" w:cs="Arial"/>
                <w:spacing w:val="16"/>
                <w:sz w:val="18"/>
                <w:szCs w:val="18"/>
              </w:rPr>
              <w:t xml:space="preserve"> </w:t>
            </w:r>
            <w:r w:rsidRPr="00C11D3F">
              <w:rPr>
                <w:rFonts w:ascii="Gotham" w:hAnsi="Gotham" w:cs="Arial"/>
                <w:sz w:val="18"/>
                <w:szCs w:val="18"/>
              </w:rPr>
              <w:t>y</w:t>
            </w:r>
            <w:r w:rsidRPr="00C11D3F">
              <w:rPr>
                <w:rFonts w:ascii="Gotham" w:hAnsi="Gotham" w:cs="Arial"/>
                <w:spacing w:val="16"/>
                <w:sz w:val="18"/>
                <w:szCs w:val="18"/>
              </w:rPr>
              <w:t xml:space="preserve"> </w:t>
            </w:r>
            <w:r w:rsidRPr="00C11D3F">
              <w:rPr>
                <w:rFonts w:ascii="Gotham" w:hAnsi="Gotham" w:cs="Arial"/>
                <w:sz w:val="18"/>
                <w:szCs w:val="18"/>
              </w:rPr>
              <w:t>Popular</w:t>
            </w:r>
            <w:r w:rsidRPr="00C11D3F">
              <w:rPr>
                <w:rFonts w:ascii="Gotham" w:hAnsi="Gotham" w:cs="Arial"/>
                <w:spacing w:val="20"/>
                <w:sz w:val="18"/>
                <w:szCs w:val="18"/>
              </w:rPr>
              <w:t xml:space="preserve"> </w:t>
            </w:r>
            <w:r w:rsidRPr="00C11D3F">
              <w:rPr>
                <w:rFonts w:ascii="Gotham" w:hAnsi="Gotham" w:cs="Arial"/>
                <w:sz w:val="18"/>
                <w:szCs w:val="18"/>
              </w:rPr>
              <w:t>las</w:t>
            </w:r>
            <w:r w:rsidRPr="00C11D3F">
              <w:rPr>
                <w:rFonts w:ascii="Gotham" w:hAnsi="Gotham" w:cs="Arial"/>
                <w:spacing w:val="-4"/>
                <w:sz w:val="18"/>
                <w:szCs w:val="18"/>
              </w:rPr>
              <w:t xml:space="preserve"> </w:t>
            </w:r>
            <w:r w:rsidRPr="00C11D3F">
              <w:rPr>
                <w:rFonts w:ascii="Gotham" w:hAnsi="Gotham" w:cs="Arial"/>
                <w:sz w:val="18"/>
                <w:szCs w:val="18"/>
              </w:rPr>
              <w:t>siguientes:</w:t>
            </w:r>
          </w:p>
        </w:tc>
      </w:tr>
      <w:tr w:rsidR="009B5E39" w:rsidRPr="00C11D3F" w14:paraId="3A476763" w14:textId="77777777" w:rsidTr="00190E4A">
        <w:trPr>
          <w:jc w:val="center"/>
        </w:trPr>
        <w:tc>
          <w:tcPr>
            <w:tcW w:w="4673" w:type="dxa"/>
          </w:tcPr>
          <w:p w14:paraId="3A476758" w14:textId="77777777" w:rsidR="009B5E39" w:rsidRDefault="009B5E39" w:rsidP="00190E4A">
            <w:pPr>
              <w:jc w:val="both"/>
              <w:rPr>
                <w:rFonts w:ascii="Gotham" w:hAnsi="Gotham" w:cs="Arial"/>
                <w:sz w:val="18"/>
                <w:szCs w:val="18"/>
              </w:rPr>
            </w:pPr>
          </w:p>
          <w:p w14:paraId="3A47675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19"/>
                <w:sz w:val="18"/>
                <w:szCs w:val="18"/>
              </w:rPr>
              <w:t xml:space="preserve"> </w:t>
            </w:r>
            <w:r w:rsidRPr="00C11D3F">
              <w:rPr>
                <w:rFonts w:ascii="Gotham" w:hAnsi="Gotham" w:cs="Arial"/>
                <w:sz w:val="18"/>
                <w:szCs w:val="18"/>
              </w:rPr>
              <w:t>36.-</w:t>
            </w:r>
          </w:p>
          <w:p w14:paraId="3A47675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XX</w:t>
            </w:r>
          </w:p>
          <w:p w14:paraId="3A47675B" w14:textId="77777777" w:rsidR="009B5E39" w:rsidRDefault="009B5E39" w:rsidP="00190E4A">
            <w:pPr>
              <w:jc w:val="both"/>
              <w:rPr>
                <w:rFonts w:ascii="Gotham" w:hAnsi="Gotham" w:cs="Arial"/>
                <w:color w:val="FF0000"/>
                <w:sz w:val="18"/>
                <w:szCs w:val="18"/>
              </w:rPr>
            </w:pPr>
          </w:p>
          <w:p w14:paraId="3A47675C" w14:textId="77777777" w:rsidR="009B5E39" w:rsidRPr="00C11D3F" w:rsidRDefault="009B5E39" w:rsidP="00190E4A">
            <w:pPr>
              <w:jc w:val="both"/>
              <w:rPr>
                <w:rFonts w:ascii="Gotham" w:hAnsi="Gotham" w:cs="Arial"/>
                <w:sz w:val="18"/>
                <w:szCs w:val="18"/>
              </w:rPr>
            </w:pPr>
            <w:r w:rsidRPr="00C11D3F">
              <w:rPr>
                <w:rFonts w:ascii="Gotham" w:hAnsi="Gotham" w:cs="Arial"/>
                <w:color w:val="FF0000"/>
                <w:sz w:val="18"/>
                <w:szCs w:val="18"/>
              </w:rPr>
              <w:t>XX.- Revisar la delimitación territorial asignada a los organismos sociales y las organizaciones</w:t>
            </w:r>
            <w:r w:rsidRPr="00C11D3F">
              <w:rPr>
                <w:rFonts w:ascii="Gotham" w:hAnsi="Gotham" w:cs="Arial"/>
                <w:color w:val="FF0000"/>
                <w:spacing w:val="1"/>
                <w:sz w:val="18"/>
                <w:szCs w:val="18"/>
              </w:rPr>
              <w:t xml:space="preserve"> </w:t>
            </w:r>
            <w:r w:rsidRPr="00C11D3F">
              <w:rPr>
                <w:rFonts w:ascii="Gotham" w:hAnsi="Gotham" w:cs="Arial"/>
                <w:color w:val="FF0000"/>
                <w:sz w:val="18"/>
                <w:szCs w:val="18"/>
              </w:rPr>
              <w:t>ciudadanas,</w:t>
            </w:r>
            <w:r w:rsidRPr="00C11D3F">
              <w:rPr>
                <w:rFonts w:ascii="Gotham" w:hAnsi="Gotham" w:cs="Arial"/>
                <w:color w:val="FF0000"/>
                <w:spacing w:val="-3"/>
                <w:sz w:val="18"/>
                <w:szCs w:val="18"/>
              </w:rPr>
              <w:t xml:space="preserve"> </w:t>
            </w:r>
            <w:r w:rsidRPr="00C11D3F">
              <w:rPr>
                <w:rFonts w:ascii="Gotham" w:hAnsi="Gotham" w:cs="Arial"/>
                <w:color w:val="FF0000"/>
                <w:sz w:val="18"/>
                <w:szCs w:val="18"/>
              </w:rPr>
              <w:t>así</w:t>
            </w:r>
            <w:r w:rsidRPr="00C11D3F">
              <w:rPr>
                <w:rFonts w:ascii="Gotham" w:hAnsi="Gotham" w:cs="Arial"/>
                <w:color w:val="FF0000"/>
                <w:spacing w:val="-5"/>
                <w:sz w:val="18"/>
                <w:szCs w:val="18"/>
              </w:rPr>
              <w:t xml:space="preserve"> </w:t>
            </w:r>
            <w:r w:rsidRPr="00C11D3F">
              <w:rPr>
                <w:rFonts w:ascii="Gotham" w:hAnsi="Gotham" w:cs="Arial"/>
                <w:color w:val="FF0000"/>
                <w:sz w:val="18"/>
                <w:szCs w:val="18"/>
              </w:rPr>
              <w:t>como</w:t>
            </w:r>
            <w:r w:rsidRPr="00C11D3F">
              <w:rPr>
                <w:rFonts w:ascii="Gotham" w:hAnsi="Gotham" w:cs="Arial"/>
                <w:color w:val="FF0000"/>
                <w:spacing w:val="-2"/>
                <w:sz w:val="18"/>
                <w:szCs w:val="18"/>
              </w:rPr>
              <w:t xml:space="preserve"> </w:t>
            </w:r>
            <w:r w:rsidRPr="00C11D3F">
              <w:rPr>
                <w:rFonts w:ascii="Gotham" w:hAnsi="Gotham" w:cs="Arial"/>
                <w:color w:val="FF0000"/>
                <w:sz w:val="18"/>
                <w:szCs w:val="18"/>
              </w:rPr>
              <w:t>resolver</w:t>
            </w:r>
            <w:r w:rsidRPr="00C11D3F">
              <w:rPr>
                <w:rFonts w:ascii="Gotham" w:hAnsi="Gotham" w:cs="Arial"/>
                <w:color w:val="FF0000"/>
                <w:spacing w:val="-1"/>
                <w:sz w:val="18"/>
                <w:szCs w:val="18"/>
              </w:rPr>
              <w:t xml:space="preserve"> </w:t>
            </w:r>
            <w:r w:rsidRPr="00C11D3F">
              <w:rPr>
                <w:rFonts w:ascii="Gotham" w:hAnsi="Gotham" w:cs="Arial"/>
                <w:color w:val="FF0000"/>
                <w:sz w:val="18"/>
                <w:szCs w:val="18"/>
              </w:rPr>
              <w:t>las</w:t>
            </w:r>
            <w:r w:rsidRPr="00C11D3F">
              <w:rPr>
                <w:rFonts w:ascii="Gotham" w:hAnsi="Gotham" w:cs="Arial"/>
                <w:color w:val="FF0000"/>
                <w:spacing w:val="-5"/>
                <w:sz w:val="18"/>
                <w:szCs w:val="18"/>
              </w:rPr>
              <w:t xml:space="preserve"> </w:t>
            </w:r>
            <w:r w:rsidRPr="00C11D3F">
              <w:rPr>
                <w:rFonts w:ascii="Gotham" w:hAnsi="Gotham" w:cs="Arial"/>
                <w:color w:val="FF0000"/>
                <w:sz w:val="18"/>
                <w:szCs w:val="18"/>
              </w:rPr>
              <w:t>solicitudes</w:t>
            </w:r>
            <w:r w:rsidRPr="00C11D3F">
              <w:rPr>
                <w:rFonts w:ascii="Gotham" w:hAnsi="Gotham" w:cs="Arial"/>
                <w:color w:val="FF0000"/>
                <w:spacing w:val="-1"/>
                <w:sz w:val="18"/>
                <w:szCs w:val="18"/>
              </w:rPr>
              <w:t xml:space="preserve"> </w:t>
            </w:r>
            <w:r w:rsidRPr="00C11D3F">
              <w:rPr>
                <w:rFonts w:ascii="Gotham" w:hAnsi="Gotham" w:cs="Arial"/>
                <w:color w:val="FF0000"/>
                <w:sz w:val="18"/>
                <w:szCs w:val="18"/>
              </w:rPr>
              <w:t>que</w:t>
            </w:r>
            <w:r w:rsidRPr="00C11D3F">
              <w:rPr>
                <w:rFonts w:ascii="Gotham" w:hAnsi="Gotham" w:cs="Arial"/>
                <w:color w:val="FF0000"/>
                <w:spacing w:val="-4"/>
                <w:sz w:val="18"/>
                <w:szCs w:val="18"/>
              </w:rPr>
              <w:t xml:space="preserve"> </w:t>
            </w:r>
            <w:r w:rsidRPr="00C11D3F">
              <w:rPr>
                <w:rFonts w:ascii="Gotham" w:hAnsi="Gotham" w:cs="Arial"/>
                <w:color w:val="FF0000"/>
                <w:sz w:val="18"/>
                <w:szCs w:val="18"/>
              </w:rPr>
              <w:t>éstas</w:t>
            </w:r>
            <w:r w:rsidRPr="00C11D3F">
              <w:rPr>
                <w:rFonts w:ascii="Gotham" w:hAnsi="Gotham" w:cs="Arial"/>
                <w:color w:val="FF0000"/>
                <w:spacing w:val="-5"/>
                <w:sz w:val="18"/>
                <w:szCs w:val="18"/>
              </w:rPr>
              <w:t xml:space="preserve"> </w:t>
            </w:r>
            <w:r w:rsidRPr="00C11D3F">
              <w:rPr>
                <w:rFonts w:ascii="Gotham" w:hAnsi="Gotham" w:cs="Arial"/>
                <w:color w:val="FF0000"/>
                <w:sz w:val="18"/>
                <w:szCs w:val="18"/>
              </w:rPr>
              <w:t>presenten</w:t>
            </w:r>
            <w:r w:rsidRPr="00C11D3F">
              <w:rPr>
                <w:rFonts w:ascii="Gotham" w:hAnsi="Gotham" w:cs="Arial"/>
                <w:color w:val="FF0000"/>
                <w:spacing w:val="-6"/>
                <w:sz w:val="18"/>
                <w:szCs w:val="18"/>
              </w:rPr>
              <w:t xml:space="preserve"> </w:t>
            </w:r>
            <w:r w:rsidRPr="00C11D3F">
              <w:rPr>
                <w:rFonts w:ascii="Gotham" w:hAnsi="Gotham" w:cs="Arial"/>
                <w:color w:val="FF0000"/>
                <w:sz w:val="18"/>
                <w:szCs w:val="18"/>
              </w:rPr>
              <w:t>para</w:t>
            </w:r>
            <w:r w:rsidRPr="00C11D3F">
              <w:rPr>
                <w:rFonts w:ascii="Gotham" w:hAnsi="Gotham" w:cs="Arial"/>
                <w:color w:val="FF0000"/>
                <w:spacing w:val="-4"/>
                <w:sz w:val="18"/>
                <w:szCs w:val="18"/>
              </w:rPr>
              <w:t xml:space="preserve"> </w:t>
            </w:r>
            <w:r w:rsidRPr="00C11D3F">
              <w:rPr>
                <w:rFonts w:ascii="Gotham" w:hAnsi="Gotham" w:cs="Arial"/>
                <w:color w:val="FF0000"/>
                <w:sz w:val="18"/>
                <w:szCs w:val="18"/>
              </w:rPr>
              <w:t>su</w:t>
            </w:r>
            <w:r w:rsidRPr="00C11D3F">
              <w:rPr>
                <w:rFonts w:ascii="Gotham" w:hAnsi="Gotham" w:cs="Arial"/>
                <w:color w:val="FF0000"/>
                <w:spacing w:val="-6"/>
                <w:sz w:val="18"/>
                <w:szCs w:val="18"/>
              </w:rPr>
              <w:t xml:space="preserve"> </w:t>
            </w:r>
            <w:r w:rsidRPr="00C11D3F">
              <w:rPr>
                <w:rFonts w:ascii="Gotham" w:hAnsi="Gotham" w:cs="Arial"/>
                <w:color w:val="FF0000"/>
                <w:sz w:val="18"/>
                <w:szCs w:val="18"/>
              </w:rPr>
              <w:t>modificación,</w:t>
            </w:r>
            <w:r w:rsidRPr="00C11D3F">
              <w:rPr>
                <w:rFonts w:ascii="Gotham" w:hAnsi="Gotham" w:cs="Arial"/>
                <w:color w:val="FF0000"/>
                <w:spacing w:val="-3"/>
                <w:sz w:val="18"/>
                <w:szCs w:val="18"/>
              </w:rPr>
              <w:t xml:space="preserve"> </w:t>
            </w:r>
            <w:r w:rsidRPr="00C11D3F">
              <w:rPr>
                <w:rFonts w:ascii="Gotham" w:hAnsi="Gotham" w:cs="Arial"/>
                <w:color w:val="FF0000"/>
                <w:sz w:val="18"/>
                <w:szCs w:val="18"/>
              </w:rPr>
              <w:t>garantizando</w:t>
            </w:r>
            <w:r w:rsidRPr="00C11D3F">
              <w:rPr>
                <w:rFonts w:ascii="Gotham" w:hAnsi="Gotham" w:cs="Arial"/>
                <w:color w:val="FF0000"/>
                <w:spacing w:val="-52"/>
                <w:sz w:val="18"/>
                <w:szCs w:val="18"/>
              </w:rPr>
              <w:t xml:space="preserve"> </w:t>
            </w:r>
            <w:r w:rsidRPr="00C11D3F">
              <w:rPr>
                <w:rFonts w:ascii="Gotham" w:hAnsi="Gotham" w:cs="Arial"/>
                <w:color w:val="FF0000"/>
                <w:sz w:val="18"/>
                <w:szCs w:val="18"/>
              </w:rPr>
              <w:t>el</w:t>
            </w:r>
            <w:r w:rsidRPr="00C11D3F">
              <w:rPr>
                <w:rFonts w:ascii="Gotham" w:hAnsi="Gotham" w:cs="Arial"/>
                <w:color w:val="FF0000"/>
                <w:spacing w:val="-3"/>
                <w:sz w:val="18"/>
                <w:szCs w:val="18"/>
              </w:rPr>
              <w:t xml:space="preserve"> </w:t>
            </w:r>
            <w:r w:rsidRPr="00C11D3F">
              <w:rPr>
                <w:rFonts w:ascii="Gotham" w:hAnsi="Gotham" w:cs="Arial"/>
                <w:color w:val="FF0000"/>
                <w:sz w:val="18"/>
                <w:szCs w:val="18"/>
              </w:rPr>
              <w:t>derecho</w:t>
            </w:r>
            <w:r w:rsidRPr="00C11D3F">
              <w:rPr>
                <w:rFonts w:ascii="Gotham" w:hAnsi="Gotham" w:cs="Arial"/>
                <w:color w:val="FF0000"/>
                <w:spacing w:val="1"/>
                <w:sz w:val="18"/>
                <w:szCs w:val="18"/>
              </w:rPr>
              <w:t xml:space="preserve"> </w:t>
            </w:r>
            <w:r w:rsidRPr="00C11D3F">
              <w:rPr>
                <w:rFonts w:ascii="Gotham" w:hAnsi="Gotham" w:cs="Arial"/>
                <w:color w:val="FF0000"/>
                <w:sz w:val="18"/>
                <w:szCs w:val="18"/>
              </w:rPr>
              <w:t>de</w:t>
            </w:r>
            <w:r w:rsidRPr="00C11D3F">
              <w:rPr>
                <w:rFonts w:ascii="Gotham" w:hAnsi="Gotham" w:cs="Arial"/>
                <w:color w:val="FF0000"/>
                <w:spacing w:val="-2"/>
                <w:sz w:val="18"/>
                <w:szCs w:val="18"/>
              </w:rPr>
              <w:t xml:space="preserve"> </w:t>
            </w:r>
            <w:r w:rsidRPr="00C11D3F">
              <w:rPr>
                <w:rFonts w:ascii="Gotham" w:hAnsi="Gotham" w:cs="Arial"/>
                <w:color w:val="FF0000"/>
                <w:sz w:val="18"/>
                <w:szCs w:val="18"/>
              </w:rPr>
              <w:t>audiencia</w:t>
            </w:r>
            <w:r w:rsidRPr="00C11D3F">
              <w:rPr>
                <w:rFonts w:ascii="Gotham" w:hAnsi="Gotham" w:cs="Arial"/>
                <w:color w:val="FF0000"/>
                <w:spacing w:val="-2"/>
                <w:sz w:val="18"/>
                <w:szCs w:val="18"/>
              </w:rPr>
              <w:t xml:space="preserve"> </w:t>
            </w:r>
            <w:r w:rsidRPr="00C11D3F">
              <w:rPr>
                <w:rFonts w:ascii="Gotham" w:hAnsi="Gotham" w:cs="Arial"/>
                <w:color w:val="FF0000"/>
                <w:sz w:val="18"/>
                <w:szCs w:val="18"/>
              </w:rPr>
              <w:t>de</w:t>
            </w:r>
            <w:r w:rsidRPr="00C11D3F">
              <w:rPr>
                <w:rFonts w:ascii="Gotham" w:hAnsi="Gotham" w:cs="Arial"/>
                <w:color w:val="FF0000"/>
                <w:spacing w:val="-3"/>
                <w:sz w:val="18"/>
                <w:szCs w:val="18"/>
              </w:rPr>
              <w:t xml:space="preserve"> </w:t>
            </w:r>
            <w:r w:rsidRPr="00C11D3F">
              <w:rPr>
                <w:rFonts w:ascii="Gotham" w:hAnsi="Gotham" w:cs="Arial"/>
                <w:color w:val="FF0000"/>
                <w:sz w:val="18"/>
                <w:szCs w:val="18"/>
              </w:rPr>
              <w:t>los</w:t>
            </w:r>
            <w:r w:rsidRPr="00C11D3F">
              <w:rPr>
                <w:rFonts w:ascii="Gotham" w:hAnsi="Gotham" w:cs="Arial"/>
                <w:color w:val="FF0000"/>
                <w:spacing w:val="-2"/>
                <w:sz w:val="18"/>
                <w:szCs w:val="18"/>
              </w:rPr>
              <w:t xml:space="preserve"> </w:t>
            </w:r>
            <w:r w:rsidRPr="00C11D3F">
              <w:rPr>
                <w:rFonts w:ascii="Gotham" w:hAnsi="Gotham" w:cs="Arial"/>
                <w:color w:val="FF0000"/>
                <w:sz w:val="18"/>
                <w:szCs w:val="18"/>
              </w:rPr>
              <w:t>organismos</w:t>
            </w:r>
            <w:r w:rsidRPr="00C11D3F">
              <w:rPr>
                <w:rFonts w:ascii="Gotham" w:hAnsi="Gotham" w:cs="Arial"/>
                <w:color w:val="FF0000"/>
                <w:spacing w:val="-2"/>
                <w:sz w:val="18"/>
                <w:szCs w:val="18"/>
              </w:rPr>
              <w:t xml:space="preserve"> </w:t>
            </w:r>
            <w:r w:rsidRPr="00C11D3F">
              <w:rPr>
                <w:rFonts w:ascii="Gotham" w:hAnsi="Gotham" w:cs="Arial"/>
                <w:color w:val="FF0000"/>
                <w:sz w:val="18"/>
                <w:szCs w:val="18"/>
              </w:rPr>
              <w:t>o</w:t>
            </w:r>
            <w:r w:rsidRPr="00C11D3F">
              <w:rPr>
                <w:rFonts w:ascii="Gotham" w:hAnsi="Gotham" w:cs="Arial"/>
                <w:color w:val="FF0000"/>
                <w:spacing w:val="1"/>
                <w:sz w:val="18"/>
                <w:szCs w:val="18"/>
              </w:rPr>
              <w:t xml:space="preserve"> </w:t>
            </w:r>
            <w:r w:rsidRPr="00C11D3F">
              <w:rPr>
                <w:rFonts w:ascii="Gotham" w:hAnsi="Gotham" w:cs="Arial"/>
                <w:color w:val="FF0000"/>
                <w:sz w:val="18"/>
                <w:szCs w:val="18"/>
              </w:rPr>
              <w:t>las</w:t>
            </w:r>
            <w:r w:rsidRPr="00C11D3F">
              <w:rPr>
                <w:rFonts w:ascii="Gotham" w:hAnsi="Gotham" w:cs="Arial"/>
                <w:color w:val="FF0000"/>
                <w:spacing w:val="-3"/>
                <w:sz w:val="18"/>
                <w:szCs w:val="18"/>
              </w:rPr>
              <w:t xml:space="preserve"> </w:t>
            </w:r>
            <w:r w:rsidRPr="00C11D3F">
              <w:rPr>
                <w:rFonts w:ascii="Gotham" w:hAnsi="Gotham" w:cs="Arial"/>
                <w:color w:val="FF0000"/>
                <w:sz w:val="18"/>
                <w:szCs w:val="18"/>
              </w:rPr>
              <w:t>organizaciones</w:t>
            </w:r>
            <w:r w:rsidRPr="00C11D3F">
              <w:rPr>
                <w:rFonts w:ascii="Gotham" w:hAnsi="Gotham" w:cs="Arial"/>
                <w:color w:val="FF0000"/>
                <w:spacing w:val="-2"/>
                <w:sz w:val="18"/>
                <w:szCs w:val="18"/>
              </w:rPr>
              <w:t xml:space="preserve"> </w:t>
            </w:r>
            <w:r w:rsidRPr="00C11D3F">
              <w:rPr>
                <w:rFonts w:ascii="Gotham" w:hAnsi="Gotham" w:cs="Arial"/>
                <w:color w:val="FF0000"/>
                <w:sz w:val="18"/>
                <w:szCs w:val="18"/>
              </w:rPr>
              <w:t>ciudadanas</w:t>
            </w:r>
            <w:r w:rsidRPr="00C11D3F">
              <w:rPr>
                <w:rFonts w:ascii="Gotham" w:hAnsi="Gotham" w:cs="Arial"/>
                <w:color w:val="FF0000"/>
                <w:spacing w:val="-2"/>
                <w:sz w:val="18"/>
                <w:szCs w:val="18"/>
              </w:rPr>
              <w:t xml:space="preserve"> </w:t>
            </w:r>
            <w:r w:rsidRPr="00C11D3F">
              <w:rPr>
                <w:rFonts w:ascii="Gotham" w:hAnsi="Gotham" w:cs="Arial"/>
                <w:color w:val="FF0000"/>
                <w:sz w:val="18"/>
                <w:szCs w:val="18"/>
              </w:rPr>
              <w:t>colindantes;</w:t>
            </w:r>
          </w:p>
        </w:tc>
        <w:tc>
          <w:tcPr>
            <w:tcW w:w="4678" w:type="dxa"/>
          </w:tcPr>
          <w:p w14:paraId="3A47675D" w14:textId="77777777" w:rsidR="009B5E39" w:rsidRDefault="009B5E39" w:rsidP="00190E4A">
            <w:pPr>
              <w:jc w:val="both"/>
              <w:rPr>
                <w:rFonts w:ascii="Gotham" w:hAnsi="Gotham" w:cs="Arial"/>
                <w:sz w:val="18"/>
                <w:szCs w:val="18"/>
              </w:rPr>
            </w:pPr>
          </w:p>
          <w:p w14:paraId="3A47675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19"/>
                <w:sz w:val="18"/>
                <w:szCs w:val="18"/>
              </w:rPr>
              <w:t xml:space="preserve"> </w:t>
            </w:r>
            <w:r w:rsidRPr="00C11D3F">
              <w:rPr>
                <w:rFonts w:ascii="Gotham" w:hAnsi="Gotham" w:cs="Arial"/>
                <w:sz w:val="18"/>
                <w:szCs w:val="18"/>
              </w:rPr>
              <w:t>36.-</w:t>
            </w:r>
          </w:p>
          <w:p w14:paraId="3A47675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XX</w:t>
            </w:r>
          </w:p>
          <w:p w14:paraId="3A476760" w14:textId="77777777" w:rsidR="009B5E39" w:rsidRPr="00C11D3F" w:rsidRDefault="009B5E39" w:rsidP="00190E4A">
            <w:pPr>
              <w:jc w:val="both"/>
              <w:rPr>
                <w:rFonts w:ascii="Gotham" w:hAnsi="Gotham" w:cs="Arial"/>
                <w:sz w:val="18"/>
                <w:szCs w:val="18"/>
              </w:rPr>
            </w:pPr>
          </w:p>
          <w:p w14:paraId="3A476761" w14:textId="77777777" w:rsidR="009B5E39" w:rsidRPr="00C11D3F" w:rsidRDefault="009B5E39" w:rsidP="00190E4A">
            <w:pPr>
              <w:jc w:val="both"/>
              <w:rPr>
                <w:rFonts w:ascii="Gotham" w:hAnsi="Gotham" w:cs="Arial"/>
                <w:b/>
                <w:bCs/>
                <w:sz w:val="18"/>
                <w:szCs w:val="18"/>
              </w:rPr>
            </w:pPr>
            <w:r w:rsidRPr="00C11D3F">
              <w:rPr>
                <w:rFonts w:ascii="Gotham" w:hAnsi="Gotham" w:cs="Arial"/>
                <w:b/>
                <w:bCs/>
                <w:sz w:val="18"/>
                <w:szCs w:val="18"/>
              </w:rPr>
              <w:t>SE DEROGA</w:t>
            </w:r>
          </w:p>
          <w:p w14:paraId="3A476762" w14:textId="77777777" w:rsidR="009B5E39" w:rsidRPr="00C11D3F" w:rsidRDefault="009B5E39" w:rsidP="00190E4A">
            <w:pPr>
              <w:jc w:val="both"/>
              <w:rPr>
                <w:rFonts w:ascii="Gotham" w:hAnsi="Gotham" w:cs="Arial"/>
                <w:sz w:val="18"/>
                <w:szCs w:val="18"/>
              </w:rPr>
            </w:pPr>
          </w:p>
        </w:tc>
      </w:tr>
      <w:tr w:rsidR="009B5E39" w:rsidRPr="00C11D3F" w14:paraId="3A476770" w14:textId="77777777" w:rsidTr="00190E4A">
        <w:trPr>
          <w:jc w:val="center"/>
        </w:trPr>
        <w:tc>
          <w:tcPr>
            <w:tcW w:w="4673" w:type="dxa"/>
          </w:tcPr>
          <w:p w14:paraId="3A476764" w14:textId="77777777" w:rsidR="009B5E39" w:rsidRDefault="009B5E39" w:rsidP="00190E4A">
            <w:pPr>
              <w:jc w:val="both"/>
              <w:rPr>
                <w:rFonts w:ascii="Gotham" w:hAnsi="Gotham" w:cs="Arial"/>
                <w:sz w:val="18"/>
                <w:szCs w:val="18"/>
              </w:rPr>
            </w:pPr>
          </w:p>
          <w:p w14:paraId="3A47676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19"/>
                <w:sz w:val="18"/>
                <w:szCs w:val="18"/>
              </w:rPr>
              <w:t xml:space="preserve"> </w:t>
            </w:r>
            <w:r w:rsidRPr="00C11D3F">
              <w:rPr>
                <w:rFonts w:ascii="Gotham" w:hAnsi="Gotham" w:cs="Arial"/>
                <w:sz w:val="18"/>
                <w:szCs w:val="18"/>
              </w:rPr>
              <w:t>38.-</w:t>
            </w:r>
          </w:p>
          <w:p w14:paraId="3A476766" w14:textId="77777777" w:rsidR="009B5E39" w:rsidRDefault="009B5E39" w:rsidP="00190E4A">
            <w:pPr>
              <w:jc w:val="both"/>
              <w:rPr>
                <w:rFonts w:ascii="Gotham" w:hAnsi="Gotham" w:cs="Arial"/>
                <w:sz w:val="18"/>
                <w:szCs w:val="18"/>
              </w:rPr>
            </w:pPr>
          </w:p>
          <w:p w14:paraId="3A47676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w:t>
            </w:r>
          </w:p>
          <w:p w14:paraId="3A47676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w:t>
            </w:r>
          </w:p>
          <w:p w14:paraId="3A47676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Las Ordinarias se verificar una vez </w:t>
            </w:r>
            <w:r w:rsidRPr="00C11D3F">
              <w:rPr>
                <w:rFonts w:ascii="Gotham" w:hAnsi="Gotham" w:cs="Arial"/>
                <w:color w:val="ED0000"/>
                <w:sz w:val="18"/>
                <w:szCs w:val="18"/>
              </w:rPr>
              <w:t>al mes</w:t>
            </w:r>
            <w:r w:rsidRPr="00C11D3F">
              <w:rPr>
                <w:rFonts w:ascii="Gotham" w:hAnsi="Gotham" w:cs="Arial"/>
                <w:sz w:val="18"/>
                <w:szCs w:val="18"/>
              </w:rPr>
              <w:t xml:space="preserve"> y las extraordinarias tendrán verificativo cuando así lo</w:t>
            </w:r>
            <w:r w:rsidRPr="00C11D3F">
              <w:rPr>
                <w:rFonts w:ascii="Gotham" w:hAnsi="Gotham" w:cs="Arial"/>
                <w:spacing w:val="1"/>
                <w:sz w:val="18"/>
                <w:szCs w:val="18"/>
              </w:rPr>
              <w:t xml:space="preserve"> </w:t>
            </w:r>
            <w:r w:rsidRPr="00C11D3F">
              <w:rPr>
                <w:rFonts w:ascii="Gotham" w:hAnsi="Gotham" w:cs="Arial"/>
                <w:sz w:val="18"/>
                <w:szCs w:val="18"/>
              </w:rPr>
              <w:t>determine</w:t>
            </w:r>
            <w:r w:rsidRPr="00C11D3F">
              <w:rPr>
                <w:rFonts w:ascii="Gotham" w:hAnsi="Gotham" w:cs="Arial"/>
                <w:spacing w:val="-3"/>
                <w:sz w:val="18"/>
                <w:szCs w:val="18"/>
              </w:rPr>
              <w:t xml:space="preserve"> </w:t>
            </w:r>
            <w:r w:rsidRPr="00C11D3F">
              <w:rPr>
                <w:rFonts w:ascii="Gotham" w:hAnsi="Gotham" w:cs="Arial"/>
                <w:sz w:val="18"/>
                <w:szCs w:val="18"/>
              </w:rPr>
              <w:t>el</w:t>
            </w:r>
            <w:r w:rsidRPr="00C11D3F">
              <w:rPr>
                <w:rFonts w:ascii="Gotham" w:hAnsi="Gotham" w:cs="Arial"/>
                <w:spacing w:val="-2"/>
                <w:sz w:val="18"/>
                <w:szCs w:val="18"/>
              </w:rPr>
              <w:t xml:space="preserve"> </w:t>
            </w:r>
            <w:r w:rsidRPr="00C11D3F">
              <w:rPr>
                <w:rFonts w:ascii="Gotham" w:hAnsi="Gotham" w:cs="Arial"/>
                <w:sz w:val="18"/>
                <w:szCs w:val="18"/>
              </w:rPr>
              <w:t>Presidente</w:t>
            </w:r>
            <w:r w:rsidRPr="00C11D3F">
              <w:rPr>
                <w:rFonts w:ascii="Gotham" w:hAnsi="Gotham" w:cs="Arial"/>
                <w:spacing w:val="-3"/>
                <w:sz w:val="18"/>
                <w:szCs w:val="18"/>
              </w:rPr>
              <w:t xml:space="preserve"> </w:t>
            </w:r>
            <w:r w:rsidRPr="00C11D3F">
              <w:rPr>
                <w:rFonts w:ascii="Gotham" w:hAnsi="Gotham" w:cs="Arial"/>
                <w:sz w:val="18"/>
                <w:szCs w:val="18"/>
              </w:rPr>
              <w:t>del</w:t>
            </w:r>
            <w:r w:rsidRPr="00C11D3F">
              <w:rPr>
                <w:rFonts w:ascii="Gotham" w:hAnsi="Gotham" w:cs="Arial"/>
                <w:spacing w:val="-2"/>
                <w:sz w:val="18"/>
                <w:szCs w:val="18"/>
              </w:rPr>
              <w:t xml:space="preserve"> </w:t>
            </w:r>
            <w:r w:rsidRPr="00C11D3F">
              <w:rPr>
                <w:rFonts w:ascii="Gotham" w:hAnsi="Gotham" w:cs="Arial"/>
                <w:sz w:val="18"/>
                <w:szCs w:val="18"/>
              </w:rPr>
              <w:t>Consejo</w:t>
            </w:r>
            <w:r w:rsidRPr="00C11D3F">
              <w:rPr>
                <w:rFonts w:ascii="Gotham" w:hAnsi="Gotham" w:cs="Arial"/>
                <w:spacing w:val="1"/>
                <w:sz w:val="18"/>
                <w:szCs w:val="18"/>
              </w:rPr>
              <w:t xml:space="preserve"> </w:t>
            </w:r>
            <w:r w:rsidRPr="00C11D3F">
              <w:rPr>
                <w:rFonts w:ascii="Gotham" w:hAnsi="Gotham" w:cs="Arial"/>
                <w:sz w:val="18"/>
                <w:szCs w:val="18"/>
              </w:rPr>
              <w:t>o en</w:t>
            </w:r>
            <w:r w:rsidRPr="00C11D3F">
              <w:rPr>
                <w:rFonts w:ascii="Gotham" w:hAnsi="Gotham" w:cs="Arial"/>
                <w:spacing w:val="-3"/>
                <w:sz w:val="18"/>
                <w:szCs w:val="18"/>
              </w:rPr>
              <w:t xml:space="preserve"> </w:t>
            </w:r>
            <w:r w:rsidRPr="00C11D3F">
              <w:rPr>
                <w:rFonts w:ascii="Gotham" w:hAnsi="Gotham" w:cs="Arial"/>
                <w:sz w:val="18"/>
                <w:szCs w:val="18"/>
              </w:rPr>
              <w:t>su</w:t>
            </w:r>
            <w:r w:rsidRPr="00C11D3F">
              <w:rPr>
                <w:rFonts w:ascii="Gotham" w:hAnsi="Gotham" w:cs="Arial"/>
                <w:spacing w:val="-4"/>
                <w:sz w:val="18"/>
                <w:szCs w:val="18"/>
              </w:rPr>
              <w:t xml:space="preserve"> </w:t>
            </w:r>
            <w:r w:rsidRPr="00C11D3F">
              <w:rPr>
                <w:rFonts w:ascii="Gotham" w:hAnsi="Gotham" w:cs="Arial"/>
                <w:sz w:val="18"/>
                <w:szCs w:val="18"/>
              </w:rPr>
              <w:t>caso</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3"/>
                <w:sz w:val="18"/>
                <w:szCs w:val="18"/>
              </w:rPr>
              <w:t xml:space="preserve"> </w:t>
            </w:r>
            <w:r w:rsidRPr="00C11D3F">
              <w:rPr>
                <w:rFonts w:ascii="Gotham" w:hAnsi="Gotham" w:cs="Arial"/>
                <w:sz w:val="18"/>
                <w:szCs w:val="18"/>
              </w:rPr>
              <w:t>mayoría</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2"/>
                <w:sz w:val="18"/>
                <w:szCs w:val="18"/>
              </w:rPr>
              <w:t xml:space="preserve"> </w:t>
            </w:r>
            <w:r w:rsidRPr="00C11D3F">
              <w:rPr>
                <w:rFonts w:ascii="Gotham" w:hAnsi="Gotham" w:cs="Arial"/>
                <w:sz w:val="18"/>
                <w:szCs w:val="18"/>
              </w:rPr>
              <w:t>los</w:t>
            </w:r>
            <w:r w:rsidRPr="00C11D3F">
              <w:rPr>
                <w:rFonts w:ascii="Gotham" w:hAnsi="Gotham" w:cs="Arial"/>
                <w:spacing w:val="-3"/>
                <w:sz w:val="18"/>
                <w:szCs w:val="18"/>
              </w:rPr>
              <w:t xml:space="preserve"> </w:t>
            </w:r>
            <w:r w:rsidRPr="00C11D3F">
              <w:rPr>
                <w:rFonts w:ascii="Gotham" w:hAnsi="Gotham" w:cs="Arial"/>
                <w:sz w:val="18"/>
                <w:szCs w:val="18"/>
              </w:rPr>
              <w:t>representantes</w:t>
            </w:r>
            <w:r w:rsidRPr="00C11D3F">
              <w:rPr>
                <w:rFonts w:ascii="Gotham" w:hAnsi="Gotham" w:cs="Arial"/>
                <w:spacing w:val="-2"/>
                <w:sz w:val="18"/>
                <w:szCs w:val="18"/>
              </w:rPr>
              <w:t xml:space="preserve"> </w:t>
            </w:r>
            <w:r w:rsidRPr="00C11D3F">
              <w:rPr>
                <w:rFonts w:ascii="Gotham" w:hAnsi="Gotham" w:cs="Arial"/>
                <w:sz w:val="18"/>
                <w:szCs w:val="18"/>
              </w:rPr>
              <w:t>del</w:t>
            </w:r>
            <w:r w:rsidRPr="00C11D3F">
              <w:rPr>
                <w:rFonts w:ascii="Gotham" w:hAnsi="Gotham" w:cs="Arial"/>
                <w:spacing w:val="-2"/>
                <w:sz w:val="18"/>
                <w:szCs w:val="18"/>
              </w:rPr>
              <w:t xml:space="preserve"> </w:t>
            </w:r>
            <w:r w:rsidRPr="00C11D3F">
              <w:rPr>
                <w:rFonts w:ascii="Gotham" w:hAnsi="Gotham" w:cs="Arial"/>
                <w:sz w:val="18"/>
                <w:szCs w:val="18"/>
              </w:rPr>
              <w:t>mismo.</w:t>
            </w:r>
          </w:p>
        </w:tc>
        <w:tc>
          <w:tcPr>
            <w:tcW w:w="4678" w:type="dxa"/>
          </w:tcPr>
          <w:p w14:paraId="3A47676A" w14:textId="77777777" w:rsidR="009B5E39" w:rsidRDefault="009B5E39" w:rsidP="00190E4A">
            <w:pPr>
              <w:jc w:val="both"/>
              <w:rPr>
                <w:rFonts w:ascii="Gotham" w:hAnsi="Gotham" w:cs="Arial"/>
                <w:sz w:val="18"/>
                <w:szCs w:val="18"/>
              </w:rPr>
            </w:pPr>
          </w:p>
          <w:p w14:paraId="3A47676B"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19"/>
                <w:sz w:val="18"/>
                <w:szCs w:val="18"/>
              </w:rPr>
              <w:t xml:space="preserve"> </w:t>
            </w:r>
            <w:r w:rsidRPr="00C11D3F">
              <w:rPr>
                <w:rFonts w:ascii="Gotham" w:hAnsi="Gotham" w:cs="Arial"/>
                <w:sz w:val="18"/>
                <w:szCs w:val="18"/>
              </w:rPr>
              <w:t>38.-</w:t>
            </w:r>
          </w:p>
          <w:p w14:paraId="3A47676C" w14:textId="77777777" w:rsidR="009B5E39" w:rsidRDefault="009B5E39" w:rsidP="00190E4A">
            <w:pPr>
              <w:jc w:val="both"/>
              <w:rPr>
                <w:rFonts w:ascii="Gotham" w:hAnsi="Gotham" w:cs="Arial"/>
                <w:sz w:val="18"/>
                <w:szCs w:val="18"/>
              </w:rPr>
            </w:pPr>
          </w:p>
          <w:p w14:paraId="3A47676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w:t>
            </w:r>
          </w:p>
          <w:p w14:paraId="3A47676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w:t>
            </w:r>
          </w:p>
          <w:p w14:paraId="3A47676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Las Ordinarias se verificar una vez </w:t>
            </w:r>
            <w:r w:rsidRPr="00C11D3F">
              <w:rPr>
                <w:rFonts w:ascii="Gotham" w:hAnsi="Gotham" w:cs="Arial"/>
                <w:b/>
                <w:bCs/>
                <w:sz w:val="18"/>
                <w:szCs w:val="18"/>
              </w:rPr>
              <w:t>cada dos meses</w:t>
            </w:r>
            <w:r w:rsidRPr="00C11D3F">
              <w:rPr>
                <w:rFonts w:ascii="Gotham" w:hAnsi="Gotham" w:cs="Arial"/>
                <w:sz w:val="18"/>
                <w:szCs w:val="18"/>
              </w:rPr>
              <w:t xml:space="preserve"> y las extraordinarias tendrán verificativo cuando así lo</w:t>
            </w:r>
            <w:r w:rsidRPr="00C11D3F">
              <w:rPr>
                <w:rFonts w:ascii="Gotham" w:hAnsi="Gotham" w:cs="Arial"/>
                <w:spacing w:val="1"/>
                <w:sz w:val="18"/>
                <w:szCs w:val="18"/>
              </w:rPr>
              <w:t xml:space="preserve"> </w:t>
            </w:r>
            <w:r w:rsidRPr="00C11D3F">
              <w:rPr>
                <w:rFonts w:ascii="Gotham" w:hAnsi="Gotham" w:cs="Arial"/>
                <w:sz w:val="18"/>
                <w:szCs w:val="18"/>
              </w:rPr>
              <w:t>determine</w:t>
            </w:r>
            <w:r w:rsidRPr="00C11D3F">
              <w:rPr>
                <w:rFonts w:ascii="Gotham" w:hAnsi="Gotham" w:cs="Arial"/>
                <w:spacing w:val="-3"/>
                <w:sz w:val="18"/>
                <w:szCs w:val="18"/>
              </w:rPr>
              <w:t xml:space="preserve"> </w:t>
            </w:r>
            <w:r w:rsidRPr="00C11D3F">
              <w:rPr>
                <w:rFonts w:ascii="Gotham" w:hAnsi="Gotham" w:cs="Arial"/>
                <w:sz w:val="18"/>
                <w:szCs w:val="18"/>
              </w:rPr>
              <w:t>el</w:t>
            </w:r>
            <w:r w:rsidRPr="00C11D3F">
              <w:rPr>
                <w:rFonts w:ascii="Gotham" w:hAnsi="Gotham" w:cs="Arial"/>
                <w:spacing w:val="-2"/>
                <w:sz w:val="18"/>
                <w:szCs w:val="18"/>
              </w:rPr>
              <w:t xml:space="preserve"> </w:t>
            </w:r>
            <w:r w:rsidRPr="00C11D3F">
              <w:rPr>
                <w:rFonts w:ascii="Gotham" w:hAnsi="Gotham" w:cs="Arial"/>
                <w:sz w:val="18"/>
                <w:szCs w:val="18"/>
              </w:rPr>
              <w:t>Presidente</w:t>
            </w:r>
            <w:r w:rsidRPr="00C11D3F">
              <w:rPr>
                <w:rFonts w:ascii="Gotham" w:hAnsi="Gotham" w:cs="Arial"/>
                <w:spacing w:val="-3"/>
                <w:sz w:val="18"/>
                <w:szCs w:val="18"/>
              </w:rPr>
              <w:t xml:space="preserve"> </w:t>
            </w:r>
            <w:r w:rsidRPr="00C11D3F">
              <w:rPr>
                <w:rFonts w:ascii="Gotham" w:hAnsi="Gotham" w:cs="Arial"/>
                <w:sz w:val="18"/>
                <w:szCs w:val="18"/>
              </w:rPr>
              <w:t>del</w:t>
            </w:r>
            <w:r w:rsidRPr="00C11D3F">
              <w:rPr>
                <w:rFonts w:ascii="Gotham" w:hAnsi="Gotham" w:cs="Arial"/>
                <w:spacing w:val="-2"/>
                <w:sz w:val="18"/>
                <w:szCs w:val="18"/>
              </w:rPr>
              <w:t xml:space="preserve"> </w:t>
            </w:r>
            <w:r w:rsidRPr="00C11D3F">
              <w:rPr>
                <w:rFonts w:ascii="Gotham" w:hAnsi="Gotham" w:cs="Arial"/>
                <w:sz w:val="18"/>
                <w:szCs w:val="18"/>
              </w:rPr>
              <w:t>Consejo</w:t>
            </w:r>
            <w:r w:rsidRPr="00C11D3F">
              <w:rPr>
                <w:rFonts w:ascii="Gotham" w:hAnsi="Gotham" w:cs="Arial"/>
                <w:spacing w:val="1"/>
                <w:sz w:val="18"/>
                <w:szCs w:val="18"/>
              </w:rPr>
              <w:t xml:space="preserve"> </w:t>
            </w:r>
            <w:r w:rsidRPr="00C11D3F">
              <w:rPr>
                <w:rFonts w:ascii="Gotham" w:hAnsi="Gotham" w:cs="Arial"/>
                <w:sz w:val="18"/>
                <w:szCs w:val="18"/>
              </w:rPr>
              <w:t>o en</w:t>
            </w:r>
            <w:r w:rsidRPr="00C11D3F">
              <w:rPr>
                <w:rFonts w:ascii="Gotham" w:hAnsi="Gotham" w:cs="Arial"/>
                <w:spacing w:val="-3"/>
                <w:sz w:val="18"/>
                <w:szCs w:val="18"/>
              </w:rPr>
              <w:t xml:space="preserve"> </w:t>
            </w:r>
            <w:r w:rsidRPr="00C11D3F">
              <w:rPr>
                <w:rFonts w:ascii="Gotham" w:hAnsi="Gotham" w:cs="Arial"/>
                <w:sz w:val="18"/>
                <w:szCs w:val="18"/>
              </w:rPr>
              <w:t>su</w:t>
            </w:r>
            <w:r w:rsidRPr="00C11D3F">
              <w:rPr>
                <w:rFonts w:ascii="Gotham" w:hAnsi="Gotham" w:cs="Arial"/>
                <w:spacing w:val="-4"/>
                <w:sz w:val="18"/>
                <w:szCs w:val="18"/>
              </w:rPr>
              <w:t xml:space="preserve"> </w:t>
            </w:r>
            <w:r w:rsidRPr="00C11D3F">
              <w:rPr>
                <w:rFonts w:ascii="Gotham" w:hAnsi="Gotham" w:cs="Arial"/>
                <w:sz w:val="18"/>
                <w:szCs w:val="18"/>
              </w:rPr>
              <w:t>caso</w:t>
            </w:r>
            <w:r w:rsidRPr="00C11D3F">
              <w:rPr>
                <w:rFonts w:ascii="Gotham" w:hAnsi="Gotham" w:cs="Arial"/>
                <w:spacing w:val="1"/>
                <w:sz w:val="18"/>
                <w:szCs w:val="18"/>
              </w:rPr>
              <w:t xml:space="preserve"> </w:t>
            </w:r>
            <w:r w:rsidRPr="00C11D3F">
              <w:rPr>
                <w:rFonts w:ascii="Gotham" w:hAnsi="Gotham" w:cs="Arial"/>
                <w:sz w:val="18"/>
                <w:szCs w:val="18"/>
              </w:rPr>
              <w:t>la</w:t>
            </w:r>
            <w:r w:rsidRPr="00C11D3F">
              <w:rPr>
                <w:rFonts w:ascii="Gotham" w:hAnsi="Gotham" w:cs="Arial"/>
                <w:spacing w:val="-3"/>
                <w:sz w:val="18"/>
                <w:szCs w:val="18"/>
              </w:rPr>
              <w:t xml:space="preserve"> </w:t>
            </w:r>
            <w:r w:rsidRPr="00C11D3F">
              <w:rPr>
                <w:rFonts w:ascii="Gotham" w:hAnsi="Gotham" w:cs="Arial"/>
                <w:sz w:val="18"/>
                <w:szCs w:val="18"/>
              </w:rPr>
              <w:t>mayoría</w:t>
            </w:r>
            <w:r w:rsidRPr="00C11D3F">
              <w:rPr>
                <w:rFonts w:ascii="Gotham" w:hAnsi="Gotham" w:cs="Arial"/>
                <w:spacing w:val="-2"/>
                <w:sz w:val="18"/>
                <w:szCs w:val="18"/>
              </w:rPr>
              <w:t xml:space="preserve"> </w:t>
            </w:r>
            <w:r w:rsidRPr="00C11D3F">
              <w:rPr>
                <w:rFonts w:ascii="Gotham" w:hAnsi="Gotham" w:cs="Arial"/>
                <w:sz w:val="18"/>
                <w:szCs w:val="18"/>
              </w:rPr>
              <w:t>de</w:t>
            </w:r>
            <w:r w:rsidRPr="00C11D3F">
              <w:rPr>
                <w:rFonts w:ascii="Gotham" w:hAnsi="Gotham" w:cs="Arial"/>
                <w:spacing w:val="-2"/>
                <w:sz w:val="18"/>
                <w:szCs w:val="18"/>
              </w:rPr>
              <w:t xml:space="preserve"> </w:t>
            </w:r>
            <w:r w:rsidRPr="00C11D3F">
              <w:rPr>
                <w:rFonts w:ascii="Gotham" w:hAnsi="Gotham" w:cs="Arial"/>
                <w:sz w:val="18"/>
                <w:szCs w:val="18"/>
              </w:rPr>
              <w:t>los</w:t>
            </w:r>
            <w:r w:rsidRPr="00C11D3F">
              <w:rPr>
                <w:rFonts w:ascii="Gotham" w:hAnsi="Gotham" w:cs="Arial"/>
                <w:spacing w:val="-3"/>
                <w:sz w:val="18"/>
                <w:szCs w:val="18"/>
              </w:rPr>
              <w:t xml:space="preserve"> </w:t>
            </w:r>
            <w:r w:rsidRPr="00C11D3F">
              <w:rPr>
                <w:rFonts w:ascii="Gotham" w:hAnsi="Gotham" w:cs="Arial"/>
                <w:sz w:val="18"/>
                <w:szCs w:val="18"/>
              </w:rPr>
              <w:t>representantes</w:t>
            </w:r>
            <w:r w:rsidRPr="00C11D3F">
              <w:rPr>
                <w:rFonts w:ascii="Gotham" w:hAnsi="Gotham" w:cs="Arial"/>
                <w:spacing w:val="-2"/>
                <w:sz w:val="18"/>
                <w:szCs w:val="18"/>
              </w:rPr>
              <w:t xml:space="preserve"> </w:t>
            </w:r>
            <w:r w:rsidRPr="00C11D3F">
              <w:rPr>
                <w:rFonts w:ascii="Gotham" w:hAnsi="Gotham" w:cs="Arial"/>
                <w:sz w:val="18"/>
                <w:szCs w:val="18"/>
              </w:rPr>
              <w:t>del</w:t>
            </w:r>
            <w:r w:rsidRPr="00C11D3F">
              <w:rPr>
                <w:rFonts w:ascii="Gotham" w:hAnsi="Gotham" w:cs="Arial"/>
                <w:spacing w:val="-2"/>
                <w:sz w:val="18"/>
                <w:szCs w:val="18"/>
              </w:rPr>
              <w:t xml:space="preserve"> </w:t>
            </w:r>
            <w:r w:rsidRPr="00C11D3F">
              <w:rPr>
                <w:rFonts w:ascii="Gotham" w:hAnsi="Gotham" w:cs="Arial"/>
                <w:sz w:val="18"/>
                <w:szCs w:val="18"/>
              </w:rPr>
              <w:t>mismo.</w:t>
            </w:r>
          </w:p>
        </w:tc>
      </w:tr>
      <w:tr w:rsidR="009B5E39" w:rsidRPr="00C11D3F" w14:paraId="3A47677B" w14:textId="77777777" w:rsidTr="00190E4A">
        <w:trPr>
          <w:jc w:val="center"/>
        </w:trPr>
        <w:tc>
          <w:tcPr>
            <w:tcW w:w="4673" w:type="dxa"/>
          </w:tcPr>
          <w:p w14:paraId="3A476771" w14:textId="77777777" w:rsidR="009B5E39" w:rsidRDefault="009B5E39" w:rsidP="00190E4A">
            <w:pPr>
              <w:jc w:val="both"/>
              <w:rPr>
                <w:rFonts w:ascii="Gotham" w:hAnsi="Gotham" w:cs="Arial"/>
                <w:sz w:val="18"/>
                <w:szCs w:val="18"/>
              </w:rPr>
            </w:pPr>
          </w:p>
          <w:p w14:paraId="3A47677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19"/>
                <w:sz w:val="18"/>
                <w:szCs w:val="18"/>
              </w:rPr>
              <w:t xml:space="preserve"> </w:t>
            </w:r>
            <w:r w:rsidRPr="00C11D3F">
              <w:rPr>
                <w:rFonts w:ascii="Gotham" w:hAnsi="Gotham" w:cs="Arial"/>
                <w:sz w:val="18"/>
                <w:szCs w:val="18"/>
              </w:rPr>
              <w:t>39.-</w:t>
            </w:r>
          </w:p>
          <w:p w14:paraId="3A47677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w:t>
            </w:r>
          </w:p>
          <w:p w14:paraId="3A476774" w14:textId="77777777" w:rsidR="009B5E39" w:rsidRDefault="009B5E39" w:rsidP="00190E4A">
            <w:pPr>
              <w:jc w:val="both"/>
              <w:rPr>
                <w:rFonts w:ascii="Gotham" w:hAnsi="Gotham" w:cs="Arial"/>
                <w:spacing w:val="-1"/>
                <w:sz w:val="18"/>
                <w:szCs w:val="18"/>
              </w:rPr>
            </w:pPr>
          </w:p>
          <w:p w14:paraId="3A476775" w14:textId="77777777" w:rsidR="009B5E39" w:rsidRPr="00C11D3F" w:rsidRDefault="009B5E39" w:rsidP="00190E4A">
            <w:pPr>
              <w:jc w:val="both"/>
              <w:rPr>
                <w:rFonts w:ascii="Gotham" w:hAnsi="Gotham" w:cs="Arial"/>
                <w:sz w:val="18"/>
                <w:szCs w:val="18"/>
              </w:rPr>
            </w:pPr>
            <w:r w:rsidRPr="00C11D3F">
              <w:rPr>
                <w:rFonts w:ascii="Gotham" w:hAnsi="Gotham" w:cs="Arial"/>
                <w:spacing w:val="-1"/>
                <w:sz w:val="18"/>
                <w:szCs w:val="18"/>
              </w:rPr>
              <w:t>Las</w:t>
            </w:r>
            <w:r w:rsidRPr="00C11D3F">
              <w:rPr>
                <w:rFonts w:ascii="Gotham" w:hAnsi="Gotham" w:cs="Arial"/>
                <w:spacing w:val="-14"/>
                <w:sz w:val="18"/>
                <w:szCs w:val="18"/>
              </w:rPr>
              <w:t xml:space="preserve"> </w:t>
            </w:r>
            <w:r w:rsidRPr="00C11D3F">
              <w:rPr>
                <w:rFonts w:ascii="Gotham" w:hAnsi="Gotham" w:cs="Arial"/>
                <w:spacing w:val="-1"/>
                <w:sz w:val="18"/>
                <w:szCs w:val="18"/>
              </w:rPr>
              <w:t>propuestas</w:t>
            </w:r>
            <w:r w:rsidRPr="00C11D3F">
              <w:rPr>
                <w:rFonts w:ascii="Gotham" w:hAnsi="Gotham" w:cs="Arial"/>
                <w:spacing w:val="-14"/>
                <w:sz w:val="18"/>
                <w:szCs w:val="18"/>
              </w:rPr>
              <w:t xml:space="preserve"> </w:t>
            </w:r>
            <w:r w:rsidRPr="00C11D3F">
              <w:rPr>
                <w:rFonts w:ascii="Gotham" w:hAnsi="Gotham" w:cs="Arial"/>
                <w:spacing w:val="-1"/>
                <w:sz w:val="18"/>
                <w:szCs w:val="18"/>
              </w:rPr>
              <w:t>de</w:t>
            </w:r>
            <w:r w:rsidRPr="00C11D3F">
              <w:rPr>
                <w:rFonts w:ascii="Gotham" w:hAnsi="Gotham" w:cs="Arial"/>
                <w:spacing w:val="-10"/>
                <w:sz w:val="18"/>
                <w:szCs w:val="18"/>
              </w:rPr>
              <w:t xml:space="preserve"> </w:t>
            </w:r>
            <w:r w:rsidRPr="00C11D3F">
              <w:rPr>
                <w:rFonts w:ascii="Gotham" w:hAnsi="Gotham" w:cs="Arial"/>
                <w:spacing w:val="-1"/>
                <w:sz w:val="18"/>
                <w:szCs w:val="18"/>
              </w:rPr>
              <w:t>los</w:t>
            </w:r>
            <w:r w:rsidRPr="00C11D3F">
              <w:rPr>
                <w:rFonts w:ascii="Gotham" w:hAnsi="Gotham" w:cs="Arial"/>
                <w:spacing w:val="-14"/>
                <w:sz w:val="18"/>
                <w:szCs w:val="18"/>
              </w:rPr>
              <w:t xml:space="preserve"> </w:t>
            </w:r>
            <w:r w:rsidRPr="00C11D3F">
              <w:rPr>
                <w:rFonts w:ascii="Gotham" w:hAnsi="Gotham" w:cs="Arial"/>
                <w:spacing w:val="-1"/>
                <w:sz w:val="18"/>
                <w:szCs w:val="18"/>
              </w:rPr>
              <w:t>aspirantes</w:t>
            </w:r>
            <w:r w:rsidRPr="00C11D3F">
              <w:rPr>
                <w:rFonts w:ascii="Gotham" w:hAnsi="Gotham" w:cs="Arial"/>
                <w:spacing w:val="-13"/>
                <w:sz w:val="18"/>
                <w:szCs w:val="18"/>
              </w:rPr>
              <w:t xml:space="preserve"> </w:t>
            </w:r>
            <w:r w:rsidRPr="00C11D3F">
              <w:rPr>
                <w:rFonts w:ascii="Gotham" w:hAnsi="Gotham" w:cs="Arial"/>
                <w:sz w:val="18"/>
                <w:szCs w:val="18"/>
              </w:rPr>
              <w:t>a</w:t>
            </w:r>
            <w:r w:rsidRPr="00C11D3F">
              <w:rPr>
                <w:rFonts w:ascii="Gotham" w:hAnsi="Gotham" w:cs="Arial"/>
                <w:spacing w:val="-11"/>
                <w:sz w:val="18"/>
                <w:szCs w:val="18"/>
              </w:rPr>
              <w:t xml:space="preserve"> </w:t>
            </w:r>
            <w:r w:rsidRPr="00C11D3F">
              <w:rPr>
                <w:rFonts w:ascii="Gotham" w:hAnsi="Gotham" w:cs="Arial"/>
                <w:sz w:val="18"/>
                <w:szCs w:val="18"/>
              </w:rPr>
              <w:t>integrar</w:t>
            </w:r>
            <w:r w:rsidRPr="00C11D3F">
              <w:rPr>
                <w:rFonts w:ascii="Gotham" w:hAnsi="Gotham" w:cs="Arial"/>
                <w:spacing w:val="-16"/>
                <w:sz w:val="18"/>
                <w:szCs w:val="18"/>
              </w:rPr>
              <w:t xml:space="preserve"> </w:t>
            </w:r>
            <w:r w:rsidRPr="00C11D3F">
              <w:rPr>
                <w:rFonts w:ascii="Gotham" w:hAnsi="Gotham" w:cs="Arial"/>
                <w:sz w:val="18"/>
                <w:szCs w:val="18"/>
              </w:rPr>
              <w:t>el</w:t>
            </w:r>
            <w:r w:rsidRPr="00C11D3F">
              <w:rPr>
                <w:rFonts w:ascii="Gotham" w:hAnsi="Gotham" w:cs="Arial"/>
                <w:spacing w:val="-11"/>
                <w:sz w:val="18"/>
                <w:szCs w:val="18"/>
              </w:rPr>
              <w:t xml:space="preserve"> </w:t>
            </w:r>
            <w:r w:rsidRPr="00C11D3F">
              <w:rPr>
                <w:rFonts w:ascii="Gotham" w:hAnsi="Gotham" w:cs="Arial"/>
                <w:sz w:val="18"/>
                <w:szCs w:val="18"/>
              </w:rPr>
              <w:t>Consejo</w:t>
            </w:r>
            <w:r w:rsidRPr="00C11D3F">
              <w:rPr>
                <w:rFonts w:ascii="Gotham" w:hAnsi="Gotham" w:cs="Arial"/>
                <w:spacing w:val="-12"/>
                <w:sz w:val="18"/>
                <w:szCs w:val="18"/>
              </w:rPr>
              <w:t xml:space="preserve"> </w:t>
            </w:r>
            <w:r w:rsidRPr="00C11D3F">
              <w:rPr>
                <w:rFonts w:ascii="Gotham" w:hAnsi="Gotham" w:cs="Arial"/>
                <w:sz w:val="18"/>
                <w:szCs w:val="18"/>
              </w:rPr>
              <w:t>deben</w:t>
            </w:r>
            <w:r w:rsidRPr="00C11D3F">
              <w:rPr>
                <w:rFonts w:ascii="Gotham" w:hAnsi="Gotham" w:cs="Arial"/>
                <w:spacing w:val="-11"/>
                <w:sz w:val="18"/>
                <w:szCs w:val="18"/>
              </w:rPr>
              <w:t xml:space="preserve"> </w:t>
            </w:r>
            <w:r w:rsidRPr="00C11D3F">
              <w:rPr>
                <w:rFonts w:ascii="Gotham" w:hAnsi="Gotham" w:cs="Arial"/>
                <w:sz w:val="18"/>
                <w:szCs w:val="18"/>
              </w:rPr>
              <w:t>entregarse por</w:t>
            </w:r>
            <w:r w:rsidRPr="00C11D3F">
              <w:rPr>
                <w:rFonts w:ascii="Gotham" w:hAnsi="Gotham" w:cs="Arial"/>
                <w:spacing w:val="-11"/>
                <w:sz w:val="18"/>
                <w:szCs w:val="18"/>
              </w:rPr>
              <w:t xml:space="preserve"> </w:t>
            </w:r>
            <w:r w:rsidRPr="00C11D3F">
              <w:rPr>
                <w:rFonts w:ascii="Gotham" w:hAnsi="Gotham" w:cs="Arial"/>
                <w:sz w:val="18"/>
                <w:szCs w:val="18"/>
              </w:rPr>
              <w:t>escrito,</w:t>
            </w:r>
            <w:r w:rsidRPr="00C11D3F">
              <w:rPr>
                <w:rFonts w:ascii="Gotham" w:hAnsi="Gotham" w:cs="Arial"/>
                <w:spacing w:val="-12"/>
                <w:sz w:val="18"/>
                <w:szCs w:val="18"/>
              </w:rPr>
              <w:t xml:space="preserve"> </w:t>
            </w:r>
            <w:r w:rsidRPr="00C11D3F">
              <w:rPr>
                <w:rFonts w:ascii="Gotham" w:hAnsi="Gotham" w:cs="Arial"/>
                <w:sz w:val="18"/>
                <w:szCs w:val="18"/>
              </w:rPr>
              <w:t>para</w:t>
            </w:r>
            <w:r w:rsidRPr="00C11D3F">
              <w:rPr>
                <w:rFonts w:ascii="Gotham" w:hAnsi="Gotham" w:cs="Arial"/>
                <w:spacing w:val="-58"/>
                <w:sz w:val="18"/>
                <w:szCs w:val="18"/>
              </w:rPr>
              <w:t xml:space="preserve"> </w:t>
            </w:r>
            <w:r w:rsidRPr="00C11D3F">
              <w:rPr>
                <w:rFonts w:ascii="Gotham" w:hAnsi="Gotham" w:cs="Arial"/>
                <w:sz w:val="18"/>
                <w:szCs w:val="18"/>
              </w:rPr>
              <w:t>tal efecto los aspirantes deberán señalar con precisión su interés por participar para</w:t>
            </w:r>
            <w:r w:rsidRPr="00C11D3F">
              <w:rPr>
                <w:rFonts w:ascii="Gotham" w:hAnsi="Gotham" w:cs="Arial"/>
                <w:spacing w:val="1"/>
                <w:sz w:val="18"/>
                <w:szCs w:val="18"/>
              </w:rPr>
              <w:t xml:space="preserve"> </w:t>
            </w:r>
            <w:r w:rsidRPr="00C11D3F">
              <w:rPr>
                <w:rFonts w:ascii="Gotham" w:hAnsi="Gotham" w:cs="Arial"/>
                <w:sz w:val="18"/>
                <w:szCs w:val="18"/>
              </w:rPr>
              <w:t>representar</w:t>
            </w:r>
            <w:r w:rsidRPr="00C11D3F">
              <w:rPr>
                <w:rFonts w:ascii="Gotham" w:hAnsi="Gotham" w:cs="Arial"/>
                <w:spacing w:val="-1"/>
                <w:sz w:val="18"/>
                <w:szCs w:val="18"/>
              </w:rPr>
              <w:t xml:space="preserve"> </w:t>
            </w:r>
            <w:r w:rsidRPr="00C11D3F">
              <w:rPr>
                <w:rFonts w:ascii="Gotham" w:hAnsi="Gotham" w:cs="Arial"/>
                <w:sz w:val="18"/>
                <w:szCs w:val="18"/>
              </w:rPr>
              <w:t>al</w:t>
            </w:r>
            <w:r w:rsidRPr="00C11D3F">
              <w:rPr>
                <w:rFonts w:ascii="Gotham" w:hAnsi="Gotham" w:cs="Arial"/>
                <w:spacing w:val="-4"/>
                <w:sz w:val="18"/>
                <w:szCs w:val="18"/>
              </w:rPr>
              <w:t xml:space="preserve"> </w:t>
            </w:r>
            <w:r w:rsidRPr="00C11D3F">
              <w:rPr>
                <w:rFonts w:ascii="Gotham" w:hAnsi="Gotham" w:cs="Arial"/>
                <w:sz w:val="18"/>
                <w:szCs w:val="18"/>
              </w:rPr>
              <w:t>centro de</w:t>
            </w:r>
            <w:r w:rsidRPr="00C11D3F">
              <w:rPr>
                <w:rFonts w:ascii="Gotham" w:hAnsi="Gotham" w:cs="Arial"/>
                <w:spacing w:val="1"/>
                <w:sz w:val="18"/>
                <w:szCs w:val="18"/>
              </w:rPr>
              <w:t xml:space="preserve"> </w:t>
            </w:r>
            <w:r w:rsidRPr="00C11D3F">
              <w:rPr>
                <w:rFonts w:ascii="Gotham" w:hAnsi="Gotham" w:cs="Arial"/>
                <w:sz w:val="18"/>
                <w:szCs w:val="18"/>
              </w:rPr>
              <w:t>población correspondiente;</w:t>
            </w:r>
          </w:p>
        </w:tc>
        <w:tc>
          <w:tcPr>
            <w:tcW w:w="4678" w:type="dxa"/>
          </w:tcPr>
          <w:p w14:paraId="3A476776" w14:textId="77777777" w:rsidR="009B5E39" w:rsidRDefault="009B5E39" w:rsidP="00190E4A">
            <w:pPr>
              <w:jc w:val="both"/>
              <w:rPr>
                <w:rFonts w:ascii="Gotham" w:hAnsi="Gotham" w:cs="Arial"/>
                <w:sz w:val="18"/>
                <w:szCs w:val="18"/>
              </w:rPr>
            </w:pPr>
          </w:p>
          <w:p w14:paraId="3A47677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w:t>
            </w:r>
            <w:r w:rsidRPr="00C11D3F">
              <w:rPr>
                <w:rFonts w:ascii="Gotham" w:hAnsi="Gotham" w:cs="Arial"/>
                <w:spacing w:val="19"/>
                <w:sz w:val="18"/>
                <w:szCs w:val="18"/>
              </w:rPr>
              <w:t xml:space="preserve"> </w:t>
            </w:r>
            <w:r w:rsidRPr="00C11D3F">
              <w:rPr>
                <w:rFonts w:ascii="Gotham" w:hAnsi="Gotham" w:cs="Arial"/>
                <w:sz w:val="18"/>
                <w:szCs w:val="18"/>
              </w:rPr>
              <w:t>39.-</w:t>
            </w:r>
          </w:p>
          <w:p w14:paraId="3A47677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w:t>
            </w:r>
          </w:p>
          <w:p w14:paraId="3A476779" w14:textId="77777777" w:rsidR="009B5E39" w:rsidRDefault="009B5E39" w:rsidP="00190E4A">
            <w:pPr>
              <w:jc w:val="both"/>
              <w:rPr>
                <w:rFonts w:ascii="Gotham" w:hAnsi="Gotham" w:cs="Arial"/>
                <w:sz w:val="18"/>
                <w:szCs w:val="18"/>
              </w:rPr>
            </w:pPr>
          </w:p>
          <w:p w14:paraId="3A47677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Las propuestas de los aspirantes a integrar el Consejo deben entregarse por escrito </w:t>
            </w:r>
            <w:r w:rsidRPr="00C11D3F">
              <w:rPr>
                <w:rFonts w:ascii="Gotham" w:hAnsi="Gotham" w:cs="Arial"/>
                <w:b/>
                <w:bCs/>
                <w:sz w:val="18"/>
                <w:szCs w:val="18"/>
              </w:rPr>
              <w:t>a la Dirección de Participación Ciudadana</w:t>
            </w:r>
            <w:r w:rsidRPr="00C11D3F">
              <w:rPr>
                <w:rFonts w:ascii="Gotham" w:hAnsi="Gotham" w:cs="Arial"/>
                <w:sz w:val="18"/>
                <w:szCs w:val="18"/>
              </w:rPr>
              <w:t>, para tal efecto los aspirantes deberán señalar con precisión su interés por participar para representar al centro de población correspondiente;</w:t>
            </w:r>
          </w:p>
        </w:tc>
      </w:tr>
      <w:tr w:rsidR="009B5E39" w:rsidRPr="00C11D3F" w14:paraId="3A47679B" w14:textId="77777777" w:rsidTr="00190E4A">
        <w:trPr>
          <w:jc w:val="center"/>
        </w:trPr>
        <w:tc>
          <w:tcPr>
            <w:tcW w:w="4673" w:type="dxa"/>
          </w:tcPr>
          <w:p w14:paraId="3A47677C" w14:textId="77777777" w:rsidR="009B5E39" w:rsidRDefault="009B5E39" w:rsidP="00190E4A">
            <w:pPr>
              <w:jc w:val="both"/>
              <w:rPr>
                <w:rFonts w:ascii="Gotham" w:hAnsi="Gotham" w:cs="Arial"/>
                <w:sz w:val="18"/>
                <w:szCs w:val="18"/>
              </w:rPr>
            </w:pPr>
          </w:p>
          <w:p w14:paraId="3A47677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41.- Los Comités Sociales de Participación Ciudadana funcionarán de forma independiente</w:t>
            </w:r>
            <w:r w:rsidRPr="00C11D3F">
              <w:rPr>
                <w:rFonts w:ascii="Gotham" w:hAnsi="Gotham" w:cs="Arial"/>
                <w:spacing w:val="1"/>
                <w:sz w:val="18"/>
                <w:szCs w:val="18"/>
              </w:rPr>
              <w:t xml:space="preserve"> </w:t>
            </w:r>
            <w:r w:rsidRPr="00C11D3F">
              <w:rPr>
                <w:rFonts w:ascii="Gotham" w:hAnsi="Gotham" w:cs="Arial"/>
                <w:sz w:val="18"/>
                <w:szCs w:val="18"/>
              </w:rPr>
              <w:t>al</w:t>
            </w:r>
            <w:r w:rsidRPr="00C11D3F">
              <w:rPr>
                <w:rFonts w:ascii="Gotham" w:hAnsi="Gotham" w:cs="Arial"/>
                <w:spacing w:val="-2"/>
                <w:sz w:val="18"/>
                <w:szCs w:val="18"/>
              </w:rPr>
              <w:t xml:space="preserve"> </w:t>
            </w:r>
            <w:r w:rsidRPr="00C11D3F">
              <w:rPr>
                <w:rFonts w:ascii="Gotham" w:hAnsi="Gotham" w:cs="Arial"/>
                <w:sz w:val="18"/>
                <w:szCs w:val="18"/>
              </w:rPr>
              <w:t>gobierno</w:t>
            </w:r>
            <w:r w:rsidRPr="00C11D3F">
              <w:rPr>
                <w:rFonts w:ascii="Gotham" w:hAnsi="Gotham" w:cs="Arial"/>
                <w:spacing w:val="1"/>
                <w:sz w:val="18"/>
                <w:szCs w:val="18"/>
              </w:rPr>
              <w:t xml:space="preserve"> </w:t>
            </w:r>
            <w:r w:rsidRPr="00C11D3F">
              <w:rPr>
                <w:rFonts w:ascii="Gotham" w:hAnsi="Gotham" w:cs="Arial"/>
                <w:sz w:val="18"/>
                <w:szCs w:val="18"/>
              </w:rPr>
              <w:t>municipal</w:t>
            </w:r>
            <w:r w:rsidRPr="00C11D3F">
              <w:rPr>
                <w:rFonts w:ascii="Gotham" w:hAnsi="Gotham" w:cs="Arial"/>
                <w:spacing w:val="-1"/>
                <w:sz w:val="18"/>
                <w:szCs w:val="18"/>
              </w:rPr>
              <w:t xml:space="preserve"> </w:t>
            </w:r>
            <w:r w:rsidRPr="00C11D3F">
              <w:rPr>
                <w:rFonts w:ascii="Gotham" w:hAnsi="Gotham" w:cs="Arial"/>
                <w:sz w:val="18"/>
                <w:szCs w:val="18"/>
              </w:rPr>
              <w:t>y</w:t>
            </w:r>
            <w:r w:rsidRPr="00C11D3F">
              <w:rPr>
                <w:rFonts w:ascii="Gotham" w:hAnsi="Gotham" w:cs="Arial"/>
                <w:spacing w:val="-3"/>
                <w:sz w:val="18"/>
                <w:szCs w:val="18"/>
              </w:rPr>
              <w:t xml:space="preserve"> </w:t>
            </w:r>
            <w:r w:rsidRPr="00C11D3F">
              <w:rPr>
                <w:rFonts w:ascii="Gotham" w:hAnsi="Gotham" w:cs="Arial"/>
                <w:sz w:val="18"/>
                <w:szCs w:val="18"/>
              </w:rPr>
              <w:t>se</w:t>
            </w:r>
            <w:r w:rsidRPr="00C11D3F">
              <w:rPr>
                <w:rFonts w:ascii="Gotham" w:hAnsi="Gotham" w:cs="Arial"/>
                <w:spacing w:val="-1"/>
                <w:sz w:val="18"/>
                <w:szCs w:val="18"/>
              </w:rPr>
              <w:t xml:space="preserve"> </w:t>
            </w:r>
            <w:r w:rsidRPr="00C11D3F">
              <w:rPr>
                <w:rFonts w:ascii="Gotham" w:hAnsi="Gotham" w:cs="Arial"/>
                <w:sz w:val="18"/>
                <w:szCs w:val="18"/>
              </w:rPr>
              <w:t>integrarán</w:t>
            </w:r>
            <w:r w:rsidRPr="00C11D3F">
              <w:rPr>
                <w:rFonts w:ascii="Gotham" w:hAnsi="Gotham" w:cs="Arial"/>
                <w:spacing w:val="-2"/>
                <w:sz w:val="18"/>
                <w:szCs w:val="18"/>
              </w:rPr>
              <w:t xml:space="preserve"> </w:t>
            </w:r>
            <w:r w:rsidRPr="00C11D3F">
              <w:rPr>
                <w:rFonts w:ascii="Gotham" w:hAnsi="Gotham" w:cs="Arial"/>
                <w:sz w:val="18"/>
                <w:szCs w:val="18"/>
              </w:rPr>
              <w:t>por</w:t>
            </w:r>
            <w:r w:rsidRPr="00C11D3F">
              <w:rPr>
                <w:rFonts w:ascii="Gotham" w:hAnsi="Gotham" w:cs="Arial"/>
                <w:spacing w:val="-2"/>
                <w:sz w:val="18"/>
                <w:szCs w:val="18"/>
              </w:rPr>
              <w:t xml:space="preserve"> </w:t>
            </w:r>
            <w:r w:rsidRPr="00C11D3F">
              <w:rPr>
                <w:rFonts w:ascii="Gotham" w:hAnsi="Gotham" w:cs="Arial"/>
                <w:sz w:val="18"/>
                <w:szCs w:val="18"/>
              </w:rPr>
              <w:t>los</w:t>
            </w:r>
            <w:r w:rsidRPr="00C11D3F">
              <w:rPr>
                <w:rFonts w:ascii="Gotham" w:hAnsi="Gotham" w:cs="Arial"/>
                <w:spacing w:val="-1"/>
                <w:sz w:val="18"/>
                <w:szCs w:val="18"/>
              </w:rPr>
              <w:t xml:space="preserve"> </w:t>
            </w:r>
            <w:r w:rsidRPr="00C11D3F">
              <w:rPr>
                <w:rFonts w:ascii="Gotham" w:hAnsi="Gotham" w:cs="Arial"/>
                <w:sz w:val="18"/>
                <w:szCs w:val="18"/>
              </w:rPr>
              <w:t>siguientes</w:t>
            </w:r>
            <w:r w:rsidRPr="00C11D3F">
              <w:rPr>
                <w:rFonts w:ascii="Gotham" w:hAnsi="Gotham" w:cs="Arial"/>
                <w:spacing w:val="-2"/>
                <w:sz w:val="18"/>
                <w:szCs w:val="18"/>
              </w:rPr>
              <w:t xml:space="preserve"> </w:t>
            </w:r>
            <w:r w:rsidRPr="00C11D3F">
              <w:rPr>
                <w:rFonts w:ascii="Gotham" w:hAnsi="Gotham" w:cs="Arial"/>
                <w:sz w:val="18"/>
                <w:szCs w:val="18"/>
              </w:rPr>
              <w:t>miembros:</w:t>
            </w:r>
          </w:p>
          <w:p w14:paraId="3A47677E" w14:textId="77777777" w:rsidR="009B5E39" w:rsidRPr="00C11D3F" w:rsidRDefault="009B5E39" w:rsidP="00190E4A">
            <w:pPr>
              <w:jc w:val="both"/>
              <w:rPr>
                <w:rFonts w:ascii="Gotham" w:hAnsi="Gotham" w:cs="Arial"/>
                <w:sz w:val="18"/>
                <w:szCs w:val="18"/>
              </w:rPr>
            </w:pPr>
          </w:p>
          <w:p w14:paraId="3A47677F"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I Un</w:t>
            </w:r>
            <w:r w:rsidRPr="00C11D3F">
              <w:rPr>
                <w:rFonts w:ascii="Gotham" w:hAnsi="Gotham" w:cs="Arial"/>
                <w:spacing w:val="-5"/>
                <w:sz w:val="18"/>
                <w:szCs w:val="18"/>
              </w:rPr>
              <w:t xml:space="preserve"> </w:t>
            </w:r>
            <w:r w:rsidRPr="00C11D3F">
              <w:rPr>
                <w:rFonts w:ascii="Gotham" w:hAnsi="Gotham" w:cs="Arial"/>
                <w:sz w:val="18"/>
                <w:szCs w:val="18"/>
              </w:rPr>
              <w:t>Consejero</w:t>
            </w:r>
            <w:r w:rsidRPr="00C11D3F">
              <w:rPr>
                <w:rFonts w:ascii="Gotham" w:hAnsi="Gotham" w:cs="Arial"/>
                <w:spacing w:val="-1"/>
                <w:sz w:val="18"/>
                <w:szCs w:val="18"/>
              </w:rPr>
              <w:t xml:space="preserve"> </w:t>
            </w:r>
            <w:r w:rsidRPr="00C11D3F">
              <w:rPr>
                <w:rFonts w:ascii="Gotham" w:hAnsi="Gotham" w:cs="Arial"/>
                <w:sz w:val="18"/>
                <w:szCs w:val="18"/>
              </w:rPr>
              <w:t>propietario</w:t>
            </w:r>
            <w:r w:rsidRPr="00C11D3F">
              <w:rPr>
                <w:rFonts w:ascii="Gotham" w:hAnsi="Gotham" w:cs="Arial"/>
                <w:spacing w:val="-1"/>
                <w:sz w:val="18"/>
                <w:szCs w:val="18"/>
              </w:rPr>
              <w:t xml:space="preserve"> </w:t>
            </w:r>
            <w:r w:rsidRPr="00C11D3F">
              <w:rPr>
                <w:rFonts w:ascii="Gotham" w:hAnsi="Gotham" w:cs="Arial"/>
                <w:sz w:val="18"/>
                <w:szCs w:val="18"/>
              </w:rPr>
              <w:t>Presidente,</w:t>
            </w:r>
            <w:r w:rsidRPr="00C11D3F">
              <w:rPr>
                <w:rFonts w:ascii="Gotham" w:hAnsi="Gotham" w:cs="Arial"/>
                <w:spacing w:val="-2"/>
                <w:sz w:val="18"/>
                <w:szCs w:val="18"/>
              </w:rPr>
              <w:t xml:space="preserve"> </w:t>
            </w:r>
            <w:r w:rsidRPr="00C11D3F">
              <w:rPr>
                <w:rFonts w:ascii="Gotham" w:hAnsi="Gotham" w:cs="Arial"/>
                <w:sz w:val="18"/>
                <w:szCs w:val="18"/>
              </w:rPr>
              <w:t>con</w:t>
            </w:r>
            <w:r w:rsidRPr="00C11D3F">
              <w:rPr>
                <w:rFonts w:ascii="Gotham" w:hAnsi="Gotham" w:cs="Arial"/>
                <w:spacing w:val="-4"/>
                <w:sz w:val="18"/>
                <w:szCs w:val="18"/>
              </w:rPr>
              <w:t xml:space="preserve"> </w:t>
            </w:r>
            <w:r w:rsidRPr="00C11D3F">
              <w:rPr>
                <w:rFonts w:ascii="Gotham" w:hAnsi="Gotham" w:cs="Arial"/>
                <w:sz w:val="18"/>
                <w:szCs w:val="18"/>
              </w:rPr>
              <w:t>derecho</w:t>
            </w:r>
            <w:r w:rsidRPr="00C11D3F">
              <w:rPr>
                <w:rFonts w:ascii="Gotham" w:hAnsi="Gotham" w:cs="Arial"/>
                <w:spacing w:val="-1"/>
                <w:sz w:val="18"/>
                <w:szCs w:val="18"/>
              </w:rPr>
              <w:t xml:space="preserve"> </w:t>
            </w:r>
            <w:r w:rsidRPr="00C11D3F">
              <w:rPr>
                <w:rFonts w:ascii="Gotham" w:hAnsi="Gotham" w:cs="Arial"/>
                <w:sz w:val="18"/>
                <w:szCs w:val="18"/>
              </w:rPr>
              <w:t>a</w:t>
            </w:r>
            <w:r w:rsidRPr="00C11D3F">
              <w:rPr>
                <w:rFonts w:ascii="Gotham" w:hAnsi="Gotham" w:cs="Arial"/>
                <w:spacing w:val="-4"/>
                <w:sz w:val="18"/>
                <w:szCs w:val="18"/>
              </w:rPr>
              <w:t xml:space="preserve"> </w:t>
            </w:r>
            <w:r w:rsidRPr="00C11D3F">
              <w:rPr>
                <w:rFonts w:ascii="Gotham" w:hAnsi="Gotham" w:cs="Arial"/>
                <w:sz w:val="18"/>
                <w:szCs w:val="18"/>
              </w:rPr>
              <w:t>voz</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5"/>
                <w:sz w:val="18"/>
                <w:szCs w:val="18"/>
              </w:rPr>
              <w:t xml:space="preserve"> </w:t>
            </w:r>
            <w:r w:rsidRPr="00C11D3F">
              <w:rPr>
                <w:rFonts w:ascii="Gotham" w:hAnsi="Gotham" w:cs="Arial"/>
                <w:sz w:val="18"/>
                <w:szCs w:val="18"/>
              </w:rPr>
              <w:t>voto;</w:t>
            </w:r>
          </w:p>
          <w:p w14:paraId="3A476780" w14:textId="77777777" w:rsidR="009B5E39" w:rsidRPr="00C11D3F" w:rsidRDefault="009B5E39" w:rsidP="00190E4A">
            <w:pPr>
              <w:jc w:val="both"/>
              <w:rPr>
                <w:rFonts w:ascii="Gotham" w:hAnsi="Gotham" w:cs="Arial"/>
                <w:sz w:val="18"/>
                <w:szCs w:val="18"/>
              </w:rPr>
            </w:pPr>
          </w:p>
          <w:p w14:paraId="3A47678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II Cuatro Consejeros propietarios Vocales, con derecho a voz y voto, de entre los cuales, ya instalado formalmente el Comité y en el supuesto de que administren recursos económicos, los integrantes por mayoría simple y a propuesta del Presidente podrán designar un tesorero;</w:t>
            </w:r>
          </w:p>
          <w:p w14:paraId="3A476782" w14:textId="77777777" w:rsidR="009B5E39" w:rsidRPr="00C11D3F" w:rsidRDefault="009B5E39" w:rsidP="00190E4A">
            <w:pPr>
              <w:jc w:val="both"/>
              <w:rPr>
                <w:rFonts w:ascii="Gotham" w:hAnsi="Gotham" w:cs="Arial"/>
                <w:sz w:val="18"/>
                <w:szCs w:val="18"/>
              </w:rPr>
            </w:pPr>
          </w:p>
          <w:p w14:paraId="3A476783" w14:textId="77777777" w:rsidR="009B5E39" w:rsidRPr="00C11D3F" w:rsidRDefault="009B5E39" w:rsidP="00190E4A">
            <w:pPr>
              <w:jc w:val="both"/>
              <w:rPr>
                <w:rFonts w:ascii="Gotham" w:hAnsi="Gotham" w:cs="Arial"/>
                <w:sz w:val="18"/>
                <w:szCs w:val="18"/>
              </w:rPr>
            </w:pPr>
          </w:p>
          <w:p w14:paraId="3A476784" w14:textId="77777777" w:rsidR="009B5E39" w:rsidRPr="00C11D3F" w:rsidRDefault="009B5E39" w:rsidP="00190E4A">
            <w:pPr>
              <w:jc w:val="both"/>
              <w:rPr>
                <w:rFonts w:ascii="Gotham" w:hAnsi="Gotham" w:cs="Arial"/>
                <w:sz w:val="18"/>
                <w:szCs w:val="18"/>
              </w:rPr>
            </w:pPr>
          </w:p>
          <w:p w14:paraId="3A476785" w14:textId="77777777" w:rsidR="009B5E39" w:rsidRDefault="009B5E39" w:rsidP="00190E4A">
            <w:pPr>
              <w:jc w:val="both"/>
              <w:rPr>
                <w:rFonts w:ascii="Gotham" w:hAnsi="Gotham" w:cs="Arial"/>
                <w:sz w:val="18"/>
                <w:szCs w:val="18"/>
              </w:rPr>
            </w:pPr>
          </w:p>
          <w:p w14:paraId="3A476786" w14:textId="77777777" w:rsidR="009B5E39" w:rsidRPr="00C11D3F" w:rsidRDefault="009B5E39" w:rsidP="00190E4A">
            <w:pPr>
              <w:jc w:val="both"/>
              <w:rPr>
                <w:rFonts w:ascii="Gotham" w:hAnsi="Gotham" w:cs="Arial"/>
                <w:sz w:val="18"/>
                <w:szCs w:val="18"/>
              </w:rPr>
            </w:pPr>
          </w:p>
          <w:p w14:paraId="3A476787" w14:textId="77777777" w:rsidR="009B5E39" w:rsidRPr="00C11D3F" w:rsidRDefault="009B5E39" w:rsidP="00190E4A">
            <w:pPr>
              <w:jc w:val="both"/>
              <w:rPr>
                <w:rFonts w:ascii="Gotham" w:hAnsi="Gotham" w:cs="Arial"/>
                <w:sz w:val="18"/>
                <w:szCs w:val="18"/>
              </w:rPr>
            </w:pPr>
          </w:p>
          <w:p w14:paraId="3A47678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III Cinco Consejeros Suplentes, estos podrán participar en las sesiones de los Comités como Coadyuvantes solo con derecho a voz. En algún momento de entre ellos saldrá la sustitución de algunos de los Consejeros Propietarios que por razón alguna haya renunciado a su cargo; y</w:t>
            </w:r>
          </w:p>
          <w:p w14:paraId="3A476789" w14:textId="77777777" w:rsidR="009B5E39" w:rsidRPr="00C11D3F" w:rsidRDefault="009B5E39" w:rsidP="00190E4A">
            <w:pPr>
              <w:jc w:val="both"/>
              <w:rPr>
                <w:rFonts w:ascii="Gotham" w:hAnsi="Gotham" w:cs="Arial"/>
                <w:sz w:val="18"/>
                <w:szCs w:val="18"/>
              </w:rPr>
            </w:pPr>
          </w:p>
          <w:p w14:paraId="3A47678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V. Secretario Técnico, será un funcionario público propuesto por la autoridad municipal, solo con voz, que servirá de apoyo y enlace entre los Comités y el Ayuntamiento, en términos de la fracción IV del artículo 11 del presente ordenamiento.</w:t>
            </w:r>
          </w:p>
          <w:p w14:paraId="3A47678B" w14:textId="77777777" w:rsidR="009B5E39" w:rsidRPr="00C11D3F" w:rsidRDefault="009B5E39" w:rsidP="00190E4A">
            <w:pPr>
              <w:jc w:val="both"/>
              <w:rPr>
                <w:rFonts w:ascii="Gotham" w:hAnsi="Gotham" w:cs="Arial"/>
                <w:sz w:val="18"/>
                <w:szCs w:val="18"/>
              </w:rPr>
            </w:pPr>
          </w:p>
        </w:tc>
        <w:tc>
          <w:tcPr>
            <w:tcW w:w="4678" w:type="dxa"/>
          </w:tcPr>
          <w:p w14:paraId="3A47678C" w14:textId="77777777" w:rsidR="009B5E39" w:rsidRDefault="009B5E39" w:rsidP="00190E4A">
            <w:pPr>
              <w:jc w:val="both"/>
              <w:rPr>
                <w:rFonts w:ascii="Gotham" w:hAnsi="Gotham" w:cs="Arial"/>
                <w:sz w:val="18"/>
                <w:szCs w:val="18"/>
              </w:rPr>
            </w:pPr>
          </w:p>
          <w:p w14:paraId="3A47678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41.- …</w:t>
            </w:r>
            <w:proofErr w:type="gramStart"/>
            <w:r w:rsidRPr="00C11D3F">
              <w:rPr>
                <w:rFonts w:ascii="Gotham" w:hAnsi="Gotham" w:cs="Arial"/>
                <w:sz w:val="18"/>
                <w:szCs w:val="18"/>
              </w:rPr>
              <w:t>..</w:t>
            </w:r>
            <w:proofErr w:type="gramEnd"/>
          </w:p>
          <w:p w14:paraId="3A47678E" w14:textId="77777777" w:rsidR="009B5E39" w:rsidRPr="00C11D3F" w:rsidRDefault="009B5E39" w:rsidP="00190E4A">
            <w:pPr>
              <w:jc w:val="both"/>
              <w:rPr>
                <w:rFonts w:ascii="Gotham" w:hAnsi="Gotham" w:cs="Arial"/>
                <w:sz w:val="18"/>
                <w:szCs w:val="18"/>
              </w:rPr>
            </w:pPr>
          </w:p>
          <w:p w14:paraId="3A47678F" w14:textId="77777777" w:rsidR="009B5E39" w:rsidRPr="00C11D3F" w:rsidRDefault="009B5E39" w:rsidP="00190E4A">
            <w:pPr>
              <w:jc w:val="both"/>
              <w:rPr>
                <w:rFonts w:ascii="Gotham" w:hAnsi="Gotham" w:cs="Arial"/>
                <w:sz w:val="18"/>
                <w:szCs w:val="18"/>
              </w:rPr>
            </w:pPr>
          </w:p>
          <w:p w14:paraId="3A476790" w14:textId="77777777" w:rsidR="009B5E39" w:rsidRPr="00C11D3F" w:rsidRDefault="009B5E39" w:rsidP="00190E4A">
            <w:pPr>
              <w:jc w:val="both"/>
              <w:rPr>
                <w:rFonts w:ascii="Gotham" w:hAnsi="Gotham" w:cs="Arial"/>
                <w:sz w:val="18"/>
                <w:szCs w:val="18"/>
              </w:rPr>
            </w:pPr>
          </w:p>
          <w:p w14:paraId="3A476791" w14:textId="77777777" w:rsidR="009B5E39" w:rsidRPr="00C11D3F" w:rsidRDefault="009B5E39" w:rsidP="00190E4A">
            <w:pPr>
              <w:jc w:val="both"/>
              <w:rPr>
                <w:rFonts w:ascii="Gotham" w:hAnsi="Gotham" w:cs="Arial"/>
                <w:sz w:val="18"/>
                <w:szCs w:val="18"/>
              </w:rPr>
            </w:pPr>
          </w:p>
          <w:p w14:paraId="3A476792"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I …</w:t>
            </w:r>
            <w:proofErr w:type="gramStart"/>
            <w:r w:rsidRPr="00C11D3F">
              <w:rPr>
                <w:rFonts w:ascii="Gotham" w:hAnsi="Gotham" w:cs="Arial"/>
                <w:sz w:val="18"/>
                <w:szCs w:val="18"/>
              </w:rPr>
              <w:t>..</w:t>
            </w:r>
            <w:proofErr w:type="gramEnd"/>
          </w:p>
          <w:p w14:paraId="3A476793" w14:textId="77777777" w:rsidR="009B5E39" w:rsidRPr="00C11D3F" w:rsidRDefault="009B5E39" w:rsidP="00190E4A">
            <w:pPr>
              <w:jc w:val="both"/>
              <w:rPr>
                <w:rFonts w:ascii="Gotham" w:hAnsi="Gotham" w:cs="Arial"/>
                <w:sz w:val="18"/>
                <w:szCs w:val="18"/>
              </w:rPr>
            </w:pPr>
          </w:p>
          <w:p w14:paraId="3A476794" w14:textId="77777777" w:rsidR="009B5E39" w:rsidRPr="00C11D3F" w:rsidRDefault="009B5E39" w:rsidP="00190E4A">
            <w:pPr>
              <w:jc w:val="both"/>
              <w:rPr>
                <w:rFonts w:ascii="Gotham" w:hAnsi="Gotham" w:cs="Arial"/>
                <w:sz w:val="18"/>
                <w:szCs w:val="18"/>
              </w:rPr>
            </w:pPr>
          </w:p>
          <w:p w14:paraId="3A476795"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 xml:space="preserve">II Cuatro Consejeros propietarios vocales, con derecho a voz y voto, de entre los cuales, ya instalado formalmente el Comité y en el supuesto de que administren recursos económicos, los integrantes por mayoría simple y a propuesta del Presidente podrán designar un tesorero </w:t>
            </w:r>
            <w:r w:rsidRPr="00C11D3F">
              <w:rPr>
                <w:rFonts w:ascii="Gotham" w:hAnsi="Gotham" w:cs="Arial"/>
                <w:b/>
                <w:bCs/>
                <w:sz w:val="18"/>
                <w:szCs w:val="18"/>
              </w:rPr>
              <w:t>únicamente para acciones en veneficio de su comité social y su entorno y su delimitación territorial en todo momento se le tendrá por informado a la Dirección de Participación Ciudadana;</w:t>
            </w:r>
          </w:p>
          <w:p w14:paraId="3A476796" w14:textId="77777777" w:rsidR="009B5E39" w:rsidRPr="00C11D3F" w:rsidRDefault="009B5E39" w:rsidP="00190E4A">
            <w:pPr>
              <w:jc w:val="both"/>
              <w:rPr>
                <w:rFonts w:ascii="Gotham" w:hAnsi="Gotham" w:cs="Arial"/>
                <w:sz w:val="18"/>
                <w:szCs w:val="18"/>
              </w:rPr>
            </w:pPr>
          </w:p>
          <w:p w14:paraId="3A47679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III </w:t>
            </w:r>
            <w:r w:rsidRPr="00C11D3F">
              <w:rPr>
                <w:rFonts w:ascii="Gotham" w:hAnsi="Gotham" w:cs="Arial"/>
                <w:b/>
                <w:bCs/>
                <w:sz w:val="18"/>
                <w:szCs w:val="18"/>
              </w:rPr>
              <w:t>Cuatro</w:t>
            </w:r>
            <w:r w:rsidRPr="00C11D3F">
              <w:rPr>
                <w:rFonts w:ascii="Gotham" w:hAnsi="Gotham" w:cs="Arial"/>
                <w:sz w:val="18"/>
                <w:szCs w:val="18"/>
              </w:rPr>
              <w:t xml:space="preserve"> Consejeros Suplentes, estos podrán participar en las sesiones de los Comités como Coadyuvantes solo con derecho a voz. En algún momento de entre ellos saldrá la sustitución de algunos de los Consejeros Propietarios que por razón alguna haya renunciado a su cargo; y</w:t>
            </w:r>
          </w:p>
          <w:p w14:paraId="3A476798" w14:textId="77777777" w:rsidR="009B5E39" w:rsidRPr="00C11D3F" w:rsidRDefault="009B5E39" w:rsidP="00190E4A">
            <w:pPr>
              <w:jc w:val="both"/>
              <w:rPr>
                <w:rFonts w:ascii="Gotham" w:hAnsi="Gotham" w:cs="Arial"/>
                <w:sz w:val="18"/>
                <w:szCs w:val="18"/>
              </w:rPr>
            </w:pPr>
          </w:p>
          <w:p w14:paraId="3A476799"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V.</w:t>
            </w:r>
            <w:r w:rsidR="007C2F8D">
              <w:rPr>
                <w:rFonts w:ascii="Gotham" w:hAnsi="Gotham" w:cs="Arial"/>
                <w:sz w:val="18"/>
                <w:szCs w:val="18"/>
              </w:rPr>
              <w:t xml:space="preserve"> </w:t>
            </w:r>
            <w:r w:rsidRPr="00C11D3F">
              <w:rPr>
                <w:rFonts w:ascii="Gotham" w:hAnsi="Gotham" w:cs="Arial"/>
                <w:sz w:val="18"/>
                <w:szCs w:val="18"/>
              </w:rPr>
              <w:t xml:space="preserve">Secretario Técnico, será </w:t>
            </w:r>
            <w:r w:rsidRPr="00C11D3F">
              <w:rPr>
                <w:rFonts w:ascii="Gotham" w:hAnsi="Gotham" w:cs="Arial"/>
                <w:b/>
                <w:bCs/>
                <w:sz w:val="18"/>
                <w:szCs w:val="18"/>
              </w:rPr>
              <w:t>un funcionario público de la Dirección de Participación Ciudadana propuesto por la autoridad municipal,</w:t>
            </w:r>
            <w:r w:rsidRPr="00C11D3F">
              <w:rPr>
                <w:rFonts w:ascii="Gotham" w:hAnsi="Gotham" w:cs="Arial"/>
                <w:sz w:val="18"/>
                <w:szCs w:val="18"/>
              </w:rPr>
              <w:t xml:space="preserve"> </w:t>
            </w:r>
            <w:r w:rsidRPr="00C11D3F">
              <w:rPr>
                <w:rFonts w:ascii="Gotham" w:hAnsi="Gotham" w:cs="Arial"/>
                <w:b/>
                <w:bCs/>
                <w:sz w:val="18"/>
                <w:szCs w:val="18"/>
              </w:rPr>
              <w:t>solo con voz, quién servirá de apoyo y enlace entre los Comités y el Ayuntamiento para realización de acuerdos, peticiones, solicitudes, seguimientos, lista de asistencias y las demás necesidades que tenga el comité social</w:t>
            </w:r>
            <w:r w:rsidRPr="00C11D3F">
              <w:rPr>
                <w:rFonts w:ascii="Gotham" w:hAnsi="Gotham" w:cs="Arial"/>
                <w:sz w:val="18"/>
                <w:szCs w:val="18"/>
              </w:rPr>
              <w:t xml:space="preserve"> en términos de la fracción IV del artículo 11 del presente ordenamiento.</w:t>
            </w:r>
          </w:p>
          <w:p w14:paraId="3A47679A" w14:textId="77777777" w:rsidR="009B5E39" w:rsidRPr="00C11D3F" w:rsidRDefault="009B5E39" w:rsidP="00190E4A">
            <w:pPr>
              <w:jc w:val="both"/>
              <w:rPr>
                <w:rFonts w:ascii="Gotham" w:hAnsi="Gotham" w:cs="Arial"/>
                <w:sz w:val="18"/>
                <w:szCs w:val="18"/>
              </w:rPr>
            </w:pPr>
          </w:p>
        </w:tc>
      </w:tr>
      <w:tr w:rsidR="009B5E39" w:rsidRPr="00C11D3F" w14:paraId="3A4767A5" w14:textId="77777777" w:rsidTr="00190E4A">
        <w:trPr>
          <w:jc w:val="center"/>
        </w:trPr>
        <w:tc>
          <w:tcPr>
            <w:tcW w:w="4673" w:type="dxa"/>
          </w:tcPr>
          <w:p w14:paraId="3A47679C"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Artículo 42.-</w:t>
            </w:r>
          </w:p>
          <w:p w14:paraId="3A47679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79E" w14:textId="77777777" w:rsidR="009B5E39" w:rsidRDefault="009B5E39" w:rsidP="00190E4A">
            <w:pPr>
              <w:jc w:val="both"/>
              <w:rPr>
                <w:rFonts w:ascii="Gotham" w:hAnsi="Gotham" w:cs="Arial"/>
                <w:sz w:val="18"/>
                <w:szCs w:val="18"/>
              </w:rPr>
            </w:pPr>
          </w:p>
          <w:p w14:paraId="3A47679F" w14:textId="77777777" w:rsidR="009B5E39" w:rsidRPr="00C11D3F" w:rsidRDefault="009B5E39" w:rsidP="00190E4A">
            <w:pPr>
              <w:jc w:val="both"/>
              <w:rPr>
                <w:rFonts w:ascii="Gotham" w:hAnsi="Gotham" w:cs="Arial"/>
                <w:b/>
                <w:bCs/>
                <w:sz w:val="18"/>
                <w:szCs w:val="18"/>
              </w:rPr>
            </w:pPr>
            <w:r w:rsidRPr="00C11D3F">
              <w:rPr>
                <w:rFonts w:ascii="Gotham" w:hAnsi="Gotham" w:cs="Arial"/>
                <w:sz w:val="18"/>
                <w:szCs w:val="18"/>
              </w:rPr>
              <w:t>Se encuentran impedidos para ser integrantes quienes desempeñen cargos de elección popular, funcionarios o servidores públicos de cualquier orden de gobierno, organismo público o entidad gubernamental durante el tiempo que desempeñen su encargo o comisión. Para los efectos de la presente fracción, podrán ser consejeros ciudadanos aquellos maestros o profesores de instituciones educativas públicas, siempre cuando se encuentren libres de desempeñar otro cargo o empleo público;</w:t>
            </w:r>
          </w:p>
        </w:tc>
        <w:tc>
          <w:tcPr>
            <w:tcW w:w="4678" w:type="dxa"/>
          </w:tcPr>
          <w:p w14:paraId="3A4767A0"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42.-</w:t>
            </w:r>
          </w:p>
          <w:p w14:paraId="3A4767A1"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III.</w:t>
            </w:r>
          </w:p>
          <w:p w14:paraId="3A4767A2" w14:textId="77777777" w:rsidR="009B5E39" w:rsidRDefault="009B5E39" w:rsidP="00190E4A">
            <w:pPr>
              <w:jc w:val="both"/>
              <w:rPr>
                <w:rFonts w:ascii="Gotham" w:hAnsi="Gotham" w:cs="Arial"/>
                <w:sz w:val="18"/>
                <w:szCs w:val="18"/>
              </w:rPr>
            </w:pPr>
          </w:p>
          <w:p w14:paraId="3A4767A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 xml:space="preserve">Se encuentran impedidos para ser integrantes quienes desempeñen cargos de elección popular, funcionarios o servidores públicos de cualquier orden de gobierno, </w:t>
            </w:r>
            <w:r w:rsidRPr="00C11D3F">
              <w:rPr>
                <w:rFonts w:ascii="Gotham" w:hAnsi="Gotham" w:cs="Arial"/>
                <w:b/>
                <w:bCs/>
                <w:sz w:val="18"/>
                <w:szCs w:val="18"/>
              </w:rPr>
              <w:t xml:space="preserve">que formen parte de </w:t>
            </w:r>
            <w:r w:rsidRPr="00C11D3F">
              <w:rPr>
                <w:rFonts w:ascii="Gotham" w:hAnsi="Gotham" w:cs="Arial"/>
                <w:sz w:val="18"/>
                <w:szCs w:val="18"/>
              </w:rPr>
              <w:t>organismo</w:t>
            </w:r>
            <w:r w:rsidRPr="00C11D3F">
              <w:rPr>
                <w:rFonts w:ascii="Gotham" w:hAnsi="Gotham" w:cs="Arial"/>
                <w:b/>
                <w:bCs/>
                <w:sz w:val="18"/>
                <w:szCs w:val="18"/>
              </w:rPr>
              <w:t>s</w:t>
            </w:r>
            <w:r w:rsidRPr="00C11D3F">
              <w:rPr>
                <w:rFonts w:ascii="Gotham" w:hAnsi="Gotham" w:cs="Arial"/>
                <w:sz w:val="18"/>
                <w:szCs w:val="18"/>
              </w:rPr>
              <w:t xml:space="preserve"> público</w:t>
            </w:r>
            <w:r w:rsidRPr="00C11D3F">
              <w:rPr>
                <w:rFonts w:ascii="Gotham" w:hAnsi="Gotham" w:cs="Arial"/>
                <w:b/>
                <w:bCs/>
                <w:sz w:val="18"/>
                <w:szCs w:val="18"/>
              </w:rPr>
              <w:t>s</w:t>
            </w:r>
            <w:r w:rsidRPr="00C11D3F">
              <w:rPr>
                <w:rFonts w:ascii="Gotham" w:hAnsi="Gotham" w:cs="Arial"/>
                <w:sz w:val="18"/>
                <w:szCs w:val="18"/>
              </w:rPr>
              <w:t xml:space="preserve"> o entidad</w:t>
            </w:r>
            <w:r w:rsidRPr="00C11D3F">
              <w:rPr>
                <w:rFonts w:ascii="Gotham" w:hAnsi="Gotham" w:cs="Arial"/>
                <w:b/>
                <w:bCs/>
                <w:sz w:val="18"/>
                <w:szCs w:val="18"/>
              </w:rPr>
              <w:t>es</w:t>
            </w:r>
            <w:r w:rsidRPr="00C11D3F">
              <w:rPr>
                <w:rFonts w:ascii="Gotham" w:hAnsi="Gotham" w:cs="Arial"/>
                <w:sz w:val="18"/>
                <w:szCs w:val="18"/>
              </w:rPr>
              <w:t xml:space="preserve"> gubernamental</w:t>
            </w:r>
            <w:r w:rsidRPr="00C11D3F">
              <w:rPr>
                <w:rFonts w:ascii="Gotham" w:hAnsi="Gotham" w:cs="Arial"/>
                <w:b/>
                <w:bCs/>
                <w:sz w:val="18"/>
                <w:szCs w:val="18"/>
              </w:rPr>
              <w:t>es</w:t>
            </w:r>
            <w:r w:rsidRPr="00C11D3F">
              <w:rPr>
                <w:rFonts w:ascii="Gotham" w:hAnsi="Gotham" w:cs="Arial"/>
                <w:sz w:val="18"/>
                <w:szCs w:val="18"/>
              </w:rPr>
              <w:t xml:space="preserve"> durante el tiempo que desempeñen su encargo o comisión. </w:t>
            </w:r>
          </w:p>
          <w:p w14:paraId="3A4767A4" w14:textId="77777777" w:rsidR="009B5E39" w:rsidRPr="00C11D3F" w:rsidRDefault="009B5E39" w:rsidP="00190E4A">
            <w:pPr>
              <w:jc w:val="both"/>
              <w:rPr>
                <w:rFonts w:ascii="Gotham" w:hAnsi="Gotham" w:cs="Arial"/>
                <w:sz w:val="18"/>
                <w:szCs w:val="18"/>
              </w:rPr>
            </w:pPr>
            <w:r w:rsidRPr="00C11D3F">
              <w:rPr>
                <w:rFonts w:ascii="Gotham" w:hAnsi="Gotham" w:cs="Arial"/>
                <w:b/>
                <w:bCs/>
                <w:sz w:val="18"/>
                <w:szCs w:val="18"/>
              </w:rPr>
              <w:t xml:space="preserve">Sera la Dirección de Participación Ciudadana la encargada de vigilar el buen desempeño de los integrantes del comité, si eso ocurriera, la Dirección de Participación Ciudadana inmediatamente tendrá que llevar </w:t>
            </w:r>
            <w:proofErr w:type="spellStart"/>
            <w:r w:rsidRPr="00C11D3F">
              <w:rPr>
                <w:rFonts w:ascii="Gotham" w:hAnsi="Gotham" w:cs="Arial"/>
                <w:b/>
                <w:bCs/>
                <w:sz w:val="18"/>
                <w:szCs w:val="18"/>
              </w:rPr>
              <w:t>acabo</w:t>
            </w:r>
            <w:proofErr w:type="spellEnd"/>
            <w:r w:rsidRPr="00C11D3F">
              <w:rPr>
                <w:rFonts w:ascii="Gotham" w:hAnsi="Gotham" w:cs="Arial"/>
                <w:b/>
                <w:bCs/>
                <w:sz w:val="18"/>
                <w:szCs w:val="18"/>
              </w:rPr>
              <w:t xml:space="preserve"> el proceso de destitución de quien haya obtenido un trabajo publico gubernamental del comité, para los efectos de la presente fracción, podrán ser consejeros ciudadanos aquellos maestros o profesores de instituciones educativas públicas, siempre y cuando se encuentren libres de desempeñar otro cargo o empleo público;</w:t>
            </w:r>
          </w:p>
        </w:tc>
      </w:tr>
      <w:tr w:rsidR="009B5E39" w:rsidRPr="00C11D3F" w14:paraId="3A4767B2" w14:textId="77777777" w:rsidTr="00190E4A">
        <w:trPr>
          <w:jc w:val="center"/>
        </w:trPr>
        <w:tc>
          <w:tcPr>
            <w:tcW w:w="4673" w:type="dxa"/>
          </w:tcPr>
          <w:p w14:paraId="3A4767A6" w14:textId="77777777" w:rsidR="009B5E39" w:rsidRDefault="009B5E39" w:rsidP="00190E4A">
            <w:pPr>
              <w:jc w:val="both"/>
              <w:rPr>
                <w:rFonts w:ascii="Gotham" w:hAnsi="Gotham" w:cs="Arial"/>
                <w:sz w:val="18"/>
                <w:szCs w:val="18"/>
              </w:rPr>
            </w:pPr>
          </w:p>
          <w:p w14:paraId="3A4767A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48.-</w:t>
            </w:r>
          </w:p>
          <w:p w14:paraId="3A4767A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XII</w:t>
            </w:r>
          </w:p>
          <w:p w14:paraId="3A4767A9" w14:textId="77777777" w:rsidR="009B5E39" w:rsidRDefault="009B5E39" w:rsidP="00190E4A">
            <w:pPr>
              <w:jc w:val="both"/>
              <w:rPr>
                <w:rFonts w:ascii="Gotham" w:hAnsi="Gotham" w:cs="Arial"/>
                <w:spacing w:val="-1"/>
                <w:sz w:val="18"/>
                <w:szCs w:val="18"/>
              </w:rPr>
            </w:pPr>
          </w:p>
          <w:p w14:paraId="3A4767AA" w14:textId="77777777" w:rsidR="009B5E39" w:rsidRPr="00C11D3F" w:rsidRDefault="009B5E39" w:rsidP="00190E4A">
            <w:pPr>
              <w:jc w:val="both"/>
              <w:rPr>
                <w:rFonts w:ascii="Gotham" w:hAnsi="Gotham" w:cs="Arial"/>
                <w:sz w:val="18"/>
                <w:szCs w:val="18"/>
              </w:rPr>
            </w:pPr>
            <w:r w:rsidRPr="00C11D3F">
              <w:rPr>
                <w:rFonts w:ascii="Gotham" w:hAnsi="Gotham" w:cs="Arial"/>
                <w:spacing w:val="-1"/>
                <w:sz w:val="18"/>
                <w:szCs w:val="18"/>
              </w:rPr>
              <w:t>Dar</w:t>
            </w:r>
            <w:r w:rsidRPr="00C11D3F">
              <w:rPr>
                <w:rFonts w:ascii="Gotham" w:hAnsi="Gotham" w:cs="Arial"/>
                <w:spacing w:val="-13"/>
                <w:sz w:val="18"/>
                <w:szCs w:val="18"/>
              </w:rPr>
              <w:t xml:space="preserve"> </w:t>
            </w:r>
            <w:r w:rsidRPr="00C11D3F">
              <w:rPr>
                <w:rFonts w:ascii="Gotham" w:hAnsi="Gotham" w:cs="Arial"/>
                <w:spacing w:val="-1"/>
                <w:sz w:val="18"/>
                <w:szCs w:val="18"/>
              </w:rPr>
              <w:t>seguimiento</w:t>
            </w:r>
            <w:r w:rsidRPr="00C11D3F">
              <w:rPr>
                <w:rFonts w:ascii="Gotham" w:hAnsi="Gotham" w:cs="Arial"/>
                <w:spacing w:val="-10"/>
                <w:sz w:val="18"/>
                <w:szCs w:val="18"/>
              </w:rPr>
              <w:t xml:space="preserve"> </w:t>
            </w:r>
            <w:r w:rsidRPr="00C11D3F">
              <w:rPr>
                <w:rFonts w:ascii="Gotham" w:hAnsi="Gotham" w:cs="Arial"/>
                <w:spacing w:val="-1"/>
                <w:sz w:val="18"/>
                <w:szCs w:val="18"/>
              </w:rPr>
              <w:t>y</w:t>
            </w:r>
            <w:r w:rsidRPr="00C11D3F">
              <w:rPr>
                <w:rFonts w:ascii="Gotham" w:hAnsi="Gotham" w:cs="Arial"/>
                <w:spacing w:val="-10"/>
                <w:sz w:val="18"/>
                <w:szCs w:val="18"/>
              </w:rPr>
              <w:t xml:space="preserve"> </w:t>
            </w:r>
            <w:r w:rsidRPr="00C11D3F">
              <w:rPr>
                <w:rFonts w:ascii="Gotham" w:hAnsi="Gotham" w:cs="Arial"/>
                <w:spacing w:val="-1"/>
                <w:sz w:val="18"/>
                <w:szCs w:val="18"/>
              </w:rPr>
              <w:t>fomentar</w:t>
            </w:r>
            <w:r w:rsidRPr="00C11D3F">
              <w:rPr>
                <w:rFonts w:ascii="Gotham" w:hAnsi="Gotham" w:cs="Arial"/>
                <w:spacing w:val="-13"/>
                <w:sz w:val="18"/>
                <w:szCs w:val="18"/>
              </w:rPr>
              <w:t xml:space="preserve"> </w:t>
            </w:r>
            <w:r w:rsidRPr="00C11D3F">
              <w:rPr>
                <w:rFonts w:ascii="Gotham" w:hAnsi="Gotham" w:cs="Arial"/>
                <w:spacing w:val="-1"/>
                <w:sz w:val="18"/>
                <w:szCs w:val="18"/>
              </w:rPr>
              <w:t>la</w:t>
            </w:r>
            <w:r w:rsidRPr="00C11D3F">
              <w:rPr>
                <w:rFonts w:ascii="Gotham" w:hAnsi="Gotham" w:cs="Arial"/>
                <w:spacing w:val="-12"/>
                <w:sz w:val="18"/>
                <w:szCs w:val="18"/>
              </w:rPr>
              <w:t xml:space="preserve"> </w:t>
            </w:r>
            <w:r w:rsidRPr="00C11D3F">
              <w:rPr>
                <w:rFonts w:ascii="Gotham" w:hAnsi="Gotham" w:cs="Arial"/>
                <w:spacing w:val="-1"/>
                <w:sz w:val="18"/>
                <w:szCs w:val="18"/>
              </w:rPr>
              <w:t>organización</w:t>
            </w:r>
            <w:r w:rsidRPr="00C11D3F">
              <w:rPr>
                <w:rFonts w:ascii="Gotham" w:hAnsi="Gotham" w:cs="Arial"/>
                <w:spacing w:val="-13"/>
                <w:sz w:val="18"/>
                <w:szCs w:val="18"/>
              </w:rPr>
              <w:t xml:space="preserve"> </w:t>
            </w:r>
            <w:r w:rsidRPr="00C11D3F">
              <w:rPr>
                <w:rFonts w:ascii="Gotham" w:hAnsi="Gotham" w:cs="Arial"/>
                <w:spacing w:val="-1"/>
                <w:sz w:val="18"/>
                <w:szCs w:val="18"/>
              </w:rPr>
              <w:t>de</w:t>
            </w:r>
            <w:r w:rsidRPr="00C11D3F">
              <w:rPr>
                <w:rFonts w:ascii="Gotham" w:hAnsi="Gotham" w:cs="Arial"/>
                <w:spacing w:val="-13"/>
                <w:sz w:val="18"/>
                <w:szCs w:val="18"/>
              </w:rPr>
              <w:t xml:space="preserve"> </w:t>
            </w:r>
            <w:r w:rsidRPr="00C11D3F">
              <w:rPr>
                <w:rFonts w:ascii="Gotham" w:hAnsi="Gotham" w:cs="Arial"/>
                <w:spacing w:val="-1"/>
                <w:sz w:val="18"/>
                <w:szCs w:val="18"/>
              </w:rPr>
              <w:t>los</w:t>
            </w:r>
            <w:r w:rsidRPr="00C11D3F">
              <w:rPr>
                <w:rFonts w:ascii="Gotham" w:hAnsi="Gotham" w:cs="Arial"/>
                <w:spacing w:val="-13"/>
                <w:sz w:val="18"/>
                <w:szCs w:val="18"/>
              </w:rPr>
              <w:t xml:space="preserve"> </w:t>
            </w:r>
            <w:r w:rsidRPr="00C11D3F">
              <w:rPr>
                <w:rFonts w:ascii="Gotham" w:hAnsi="Gotham" w:cs="Arial"/>
                <w:color w:val="ED0000"/>
                <w:sz w:val="18"/>
                <w:szCs w:val="18"/>
              </w:rPr>
              <w:t>comités</w:t>
            </w:r>
            <w:r w:rsidRPr="00C11D3F">
              <w:rPr>
                <w:rFonts w:ascii="Gotham" w:hAnsi="Gotham" w:cs="Arial"/>
                <w:color w:val="ED0000"/>
                <w:spacing w:val="-1"/>
                <w:sz w:val="18"/>
                <w:szCs w:val="18"/>
              </w:rPr>
              <w:t xml:space="preserve"> </w:t>
            </w:r>
            <w:r w:rsidRPr="00C11D3F">
              <w:rPr>
                <w:rFonts w:ascii="Gotham" w:hAnsi="Gotham" w:cs="Arial"/>
                <w:color w:val="ED0000"/>
                <w:sz w:val="18"/>
                <w:szCs w:val="18"/>
              </w:rPr>
              <w:t>sociales</w:t>
            </w:r>
            <w:r w:rsidRPr="00C11D3F">
              <w:rPr>
                <w:rFonts w:ascii="Gotham" w:hAnsi="Gotham" w:cs="Arial"/>
                <w:spacing w:val="-13"/>
                <w:sz w:val="18"/>
                <w:szCs w:val="18"/>
              </w:rPr>
              <w:t xml:space="preserve"> </w:t>
            </w:r>
            <w:r w:rsidRPr="00C11D3F">
              <w:rPr>
                <w:rFonts w:ascii="Gotham" w:hAnsi="Gotham" w:cs="Arial"/>
                <w:sz w:val="18"/>
                <w:szCs w:val="18"/>
              </w:rPr>
              <w:t>dentro</w:t>
            </w:r>
            <w:r w:rsidRPr="00C11D3F">
              <w:rPr>
                <w:rFonts w:ascii="Gotham" w:hAnsi="Gotham" w:cs="Arial"/>
                <w:spacing w:val="-9"/>
                <w:sz w:val="18"/>
                <w:szCs w:val="18"/>
              </w:rPr>
              <w:t xml:space="preserve"> </w:t>
            </w:r>
            <w:r w:rsidRPr="00C11D3F">
              <w:rPr>
                <w:rFonts w:ascii="Gotham" w:hAnsi="Gotham" w:cs="Arial"/>
                <w:sz w:val="18"/>
                <w:szCs w:val="18"/>
              </w:rPr>
              <w:t>de</w:t>
            </w:r>
            <w:r w:rsidRPr="00C11D3F">
              <w:rPr>
                <w:rFonts w:ascii="Gotham" w:hAnsi="Gotham" w:cs="Arial"/>
                <w:spacing w:val="-13"/>
                <w:sz w:val="18"/>
                <w:szCs w:val="18"/>
              </w:rPr>
              <w:t xml:space="preserve"> </w:t>
            </w:r>
            <w:r w:rsidRPr="00C11D3F">
              <w:rPr>
                <w:rFonts w:ascii="Gotham" w:hAnsi="Gotham" w:cs="Arial"/>
                <w:sz w:val="18"/>
                <w:szCs w:val="18"/>
              </w:rPr>
              <w:t>sus</w:t>
            </w:r>
            <w:r w:rsidRPr="00C11D3F">
              <w:rPr>
                <w:rFonts w:ascii="Gotham" w:hAnsi="Gotham" w:cs="Arial"/>
                <w:spacing w:val="-13"/>
                <w:sz w:val="18"/>
                <w:szCs w:val="18"/>
              </w:rPr>
              <w:t xml:space="preserve"> </w:t>
            </w:r>
            <w:r w:rsidRPr="00C11D3F">
              <w:rPr>
                <w:rFonts w:ascii="Gotham" w:hAnsi="Gotham" w:cs="Arial"/>
                <w:sz w:val="18"/>
                <w:szCs w:val="18"/>
              </w:rPr>
              <w:t>delimitaciones</w:t>
            </w:r>
            <w:r w:rsidRPr="00C11D3F">
              <w:rPr>
                <w:rFonts w:ascii="Gotham" w:hAnsi="Gotham" w:cs="Arial"/>
                <w:spacing w:val="-53"/>
                <w:sz w:val="18"/>
                <w:szCs w:val="18"/>
              </w:rPr>
              <w:t xml:space="preserve"> </w:t>
            </w:r>
            <w:r w:rsidRPr="00C11D3F">
              <w:rPr>
                <w:rFonts w:ascii="Gotham" w:hAnsi="Gotham" w:cs="Arial"/>
                <w:sz w:val="18"/>
                <w:szCs w:val="18"/>
              </w:rPr>
              <w:t>territoriales;</w:t>
            </w:r>
          </w:p>
          <w:p w14:paraId="3A4767AB" w14:textId="77777777" w:rsidR="009B5E39" w:rsidRPr="00C11D3F" w:rsidRDefault="009B5E39" w:rsidP="00190E4A">
            <w:pPr>
              <w:jc w:val="both"/>
              <w:rPr>
                <w:rFonts w:ascii="Gotham" w:hAnsi="Gotham" w:cs="Arial"/>
                <w:sz w:val="18"/>
                <w:szCs w:val="18"/>
              </w:rPr>
            </w:pPr>
          </w:p>
        </w:tc>
        <w:tc>
          <w:tcPr>
            <w:tcW w:w="4678" w:type="dxa"/>
          </w:tcPr>
          <w:p w14:paraId="3A4767AC" w14:textId="77777777" w:rsidR="009B5E39" w:rsidRDefault="009B5E39" w:rsidP="00190E4A">
            <w:pPr>
              <w:jc w:val="both"/>
              <w:rPr>
                <w:rFonts w:ascii="Gotham" w:hAnsi="Gotham" w:cs="Arial"/>
                <w:sz w:val="18"/>
                <w:szCs w:val="18"/>
              </w:rPr>
            </w:pPr>
          </w:p>
          <w:p w14:paraId="3A4767AD"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48.-</w:t>
            </w:r>
          </w:p>
          <w:p w14:paraId="3A4767AE"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XII</w:t>
            </w:r>
          </w:p>
          <w:p w14:paraId="3A4767AF" w14:textId="77777777" w:rsidR="009B5E39" w:rsidRDefault="009B5E39" w:rsidP="00190E4A">
            <w:pPr>
              <w:jc w:val="both"/>
              <w:rPr>
                <w:rFonts w:ascii="Gotham" w:hAnsi="Gotham" w:cs="Arial"/>
                <w:spacing w:val="-1"/>
                <w:sz w:val="18"/>
                <w:szCs w:val="18"/>
              </w:rPr>
            </w:pPr>
          </w:p>
          <w:p w14:paraId="3A4767B0" w14:textId="77777777" w:rsidR="009B5E39" w:rsidRPr="00C11D3F" w:rsidRDefault="009B5E39" w:rsidP="00190E4A">
            <w:pPr>
              <w:jc w:val="both"/>
              <w:rPr>
                <w:rFonts w:ascii="Gotham" w:hAnsi="Gotham" w:cs="Arial"/>
                <w:sz w:val="18"/>
                <w:szCs w:val="18"/>
              </w:rPr>
            </w:pPr>
            <w:r w:rsidRPr="00C11D3F">
              <w:rPr>
                <w:rFonts w:ascii="Gotham" w:hAnsi="Gotham" w:cs="Arial"/>
                <w:spacing w:val="-1"/>
                <w:sz w:val="18"/>
                <w:szCs w:val="18"/>
              </w:rPr>
              <w:t>Dar</w:t>
            </w:r>
            <w:r w:rsidRPr="00C11D3F">
              <w:rPr>
                <w:rFonts w:ascii="Gotham" w:hAnsi="Gotham" w:cs="Arial"/>
                <w:spacing w:val="-13"/>
                <w:sz w:val="18"/>
                <w:szCs w:val="18"/>
              </w:rPr>
              <w:t xml:space="preserve"> </w:t>
            </w:r>
            <w:r w:rsidRPr="00C11D3F">
              <w:rPr>
                <w:rFonts w:ascii="Gotham" w:hAnsi="Gotham" w:cs="Arial"/>
                <w:spacing w:val="-1"/>
                <w:sz w:val="18"/>
                <w:szCs w:val="18"/>
              </w:rPr>
              <w:t>seguimiento</w:t>
            </w:r>
            <w:r w:rsidRPr="00C11D3F">
              <w:rPr>
                <w:rFonts w:ascii="Gotham" w:hAnsi="Gotham" w:cs="Arial"/>
                <w:spacing w:val="-10"/>
                <w:sz w:val="18"/>
                <w:szCs w:val="18"/>
              </w:rPr>
              <w:t xml:space="preserve"> </w:t>
            </w:r>
            <w:r w:rsidRPr="00C11D3F">
              <w:rPr>
                <w:rFonts w:ascii="Gotham" w:hAnsi="Gotham" w:cs="Arial"/>
                <w:spacing w:val="-1"/>
                <w:sz w:val="18"/>
                <w:szCs w:val="18"/>
              </w:rPr>
              <w:t>y</w:t>
            </w:r>
            <w:r w:rsidRPr="00C11D3F">
              <w:rPr>
                <w:rFonts w:ascii="Gotham" w:hAnsi="Gotham" w:cs="Arial"/>
                <w:spacing w:val="-10"/>
                <w:sz w:val="18"/>
                <w:szCs w:val="18"/>
              </w:rPr>
              <w:t xml:space="preserve"> </w:t>
            </w:r>
            <w:r w:rsidRPr="00C11D3F">
              <w:rPr>
                <w:rFonts w:ascii="Gotham" w:hAnsi="Gotham" w:cs="Arial"/>
                <w:spacing w:val="-1"/>
                <w:sz w:val="18"/>
                <w:szCs w:val="18"/>
              </w:rPr>
              <w:t>fomentar</w:t>
            </w:r>
            <w:r w:rsidRPr="00C11D3F">
              <w:rPr>
                <w:rFonts w:ascii="Gotham" w:hAnsi="Gotham" w:cs="Arial"/>
                <w:spacing w:val="-13"/>
                <w:sz w:val="18"/>
                <w:szCs w:val="18"/>
              </w:rPr>
              <w:t xml:space="preserve"> </w:t>
            </w:r>
            <w:r w:rsidRPr="00C11D3F">
              <w:rPr>
                <w:rFonts w:ascii="Gotham" w:hAnsi="Gotham" w:cs="Arial"/>
                <w:spacing w:val="-1"/>
                <w:sz w:val="18"/>
                <w:szCs w:val="18"/>
              </w:rPr>
              <w:t>la</w:t>
            </w:r>
            <w:r w:rsidRPr="00C11D3F">
              <w:rPr>
                <w:rFonts w:ascii="Gotham" w:hAnsi="Gotham" w:cs="Arial"/>
                <w:spacing w:val="-12"/>
                <w:sz w:val="18"/>
                <w:szCs w:val="18"/>
              </w:rPr>
              <w:t xml:space="preserve"> </w:t>
            </w:r>
            <w:r w:rsidRPr="00C11D3F">
              <w:rPr>
                <w:rFonts w:ascii="Gotham" w:hAnsi="Gotham" w:cs="Arial"/>
                <w:spacing w:val="-1"/>
                <w:sz w:val="18"/>
                <w:szCs w:val="18"/>
              </w:rPr>
              <w:t>organización</w:t>
            </w:r>
            <w:r w:rsidRPr="00C11D3F">
              <w:rPr>
                <w:rFonts w:ascii="Gotham" w:hAnsi="Gotham" w:cs="Arial"/>
                <w:spacing w:val="-13"/>
                <w:sz w:val="18"/>
                <w:szCs w:val="18"/>
              </w:rPr>
              <w:t xml:space="preserve"> </w:t>
            </w:r>
            <w:r w:rsidRPr="00C11D3F">
              <w:rPr>
                <w:rFonts w:ascii="Gotham" w:hAnsi="Gotham" w:cs="Arial"/>
                <w:spacing w:val="-1"/>
                <w:sz w:val="18"/>
                <w:szCs w:val="18"/>
              </w:rPr>
              <w:t>de</w:t>
            </w:r>
            <w:r w:rsidRPr="00C11D3F">
              <w:rPr>
                <w:rFonts w:ascii="Gotham" w:hAnsi="Gotham" w:cs="Arial"/>
                <w:spacing w:val="-13"/>
                <w:sz w:val="18"/>
                <w:szCs w:val="18"/>
              </w:rPr>
              <w:t xml:space="preserve"> </w:t>
            </w:r>
            <w:r w:rsidRPr="00C11D3F">
              <w:rPr>
                <w:rFonts w:ascii="Gotham" w:hAnsi="Gotham" w:cs="Arial"/>
                <w:spacing w:val="-1"/>
                <w:sz w:val="18"/>
                <w:szCs w:val="18"/>
              </w:rPr>
              <w:t>los</w:t>
            </w:r>
            <w:r w:rsidRPr="00C11D3F">
              <w:rPr>
                <w:rFonts w:ascii="Gotham" w:hAnsi="Gotham" w:cs="Arial"/>
                <w:spacing w:val="-13"/>
                <w:sz w:val="18"/>
                <w:szCs w:val="18"/>
              </w:rPr>
              <w:t xml:space="preserve"> </w:t>
            </w:r>
            <w:r w:rsidRPr="00C11D3F">
              <w:rPr>
                <w:rFonts w:ascii="Gotham" w:hAnsi="Gotham" w:cs="Arial"/>
                <w:b/>
                <w:bCs/>
                <w:spacing w:val="-13"/>
                <w:sz w:val="18"/>
                <w:szCs w:val="18"/>
              </w:rPr>
              <w:t>C</w:t>
            </w:r>
            <w:r w:rsidRPr="00C11D3F">
              <w:rPr>
                <w:rFonts w:ascii="Gotham" w:hAnsi="Gotham" w:cs="Arial"/>
                <w:b/>
                <w:bCs/>
                <w:sz w:val="18"/>
                <w:szCs w:val="18"/>
              </w:rPr>
              <w:t>omités</w:t>
            </w:r>
            <w:r w:rsidRPr="00C11D3F">
              <w:rPr>
                <w:rFonts w:ascii="Gotham" w:hAnsi="Gotham" w:cs="Arial"/>
                <w:b/>
                <w:bCs/>
                <w:spacing w:val="-1"/>
                <w:sz w:val="18"/>
                <w:szCs w:val="18"/>
              </w:rPr>
              <w:t xml:space="preserve"> S</w:t>
            </w:r>
            <w:r w:rsidRPr="00C11D3F">
              <w:rPr>
                <w:rFonts w:ascii="Gotham" w:hAnsi="Gotham" w:cs="Arial"/>
                <w:b/>
                <w:bCs/>
                <w:sz w:val="18"/>
                <w:szCs w:val="18"/>
              </w:rPr>
              <w:t>ociales</w:t>
            </w:r>
            <w:r w:rsidRPr="00C11D3F">
              <w:rPr>
                <w:rFonts w:ascii="Gotham" w:hAnsi="Gotham" w:cs="Arial"/>
                <w:spacing w:val="-13"/>
                <w:sz w:val="18"/>
                <w:szCs w:val="18"/>
              </w:rPr>
              <w:t xml:space="preserve"> </w:t>
            </w:r>
            <w:r w:rsidRPr="00C11D3F">
              <w:rPr>
                <w:rFonts w:ascii="Gotham" w:hAnsi="Gotham" w:cs="Arial"/>
                <w:sz w:val="18"/>
                <w:szCs w:val="18"/>
              </w:rPr>
              <w:t>dentro</w:t>
            </w:r>
            <w:r w:rsidRPr="00C11D3F">
              <w:rPr>
                <w:rFonts w:ascii="Gotham" w:hAnsi="Gotham" w:cs="Arial"/>
                <w:spacing w:val="-9"/>
                <w:sz w:val="18"/>
                <w:szCs w:val="18"/>
              </w:rPr>
              <w:t xml:space="preserve"> </w:t>
            </w:r>
            <w:r w:rsidRPr="00C11D3F">
              <w:rPr>
                <w:rFonts w:ascii="Gotham" w:hAnsi="Gotham" w:cs="Arial"/>
                <w:sz w:val="18"/>
                <w:szCs w:val="18"/>
              </w:rPr>
              <w:t>de</w:t>
            </w:r>
            <w:r w:rsidRPr="00C11D3F">
              <w:rPr>
                <w:rFonts w:ascii="Gotham" w:hAnsi="Gotham" w:cs="Arial"/>
                <w:spacing w:val="-13"/>
                <w:sz w:val="18"/>
                <w:szCs w:val="18"/>
              </w:rPr>
              <w:t xml:space="preserve"> </w:t>
            </w:r>
            <w:r w:rsidRPr="00C11D3F">
              <w:rPr>
                <w:rFonts w:ascii="Gotham" w:hAnsi="Gotham" w:cs="Arial"/>
                <w:sz w:val="18"/>
                <w:szCs w:val="18"/>
              </w:rPr>
              <w:t>sus</w:t>
            </w:r>
            <w:r w:rsidRPr="00C11D3F">
              <w:rPr>
                <w:rFonts w:ascii="Gotham" w:hAnsi="Gotham" w:cs="Arial"/>
                <w:spacing w:val="-13"/>
                <w:sz w:val="18"/>
                <w:szCs w:val="18"/>
              </w:rPr>
              <w:t xml:space="preserve"> </w:t>
            </w:r>
            <w:r w:rsidRPr="00C11D3F">
              <w:rPr>
                <w:rFonts w:ascii="Gotham" w:hAnsi="Gotham" w:cs="Arial"/>
                <w:sz w:val="18"/>
                <w:szCs w:val="18"/>
              </w:rPr>
              <w:t>delimitaciones</w:t>
            </w:r>
            <w:r w:rsidRPr="00C11D3F">
              <w:rPr>
                <w:rFonts w:ascii="Gotham" w:hAnsi="Gotham" w:cs="Arial"/>
                <w:spacing w:val="-53"/>
                <w:sz w:val="18"/>
                <w:szCs w:val="18"/>
              </w:rPr>
              <w:t xml:space="preserve"> </w:t>
            </w:r>
            <w:r w:rsidRPr="00C11D3F">
              <w:rPr>
                <w:rFonts w:ascii="Gotham" w:hAnsi="Gotham" w:cs="Arial"/>
                <w:sz w:val="18"/>
                <w:szCs w:val="18"/>
              </w:rPr>
              <w:t>territoriales;</w:t>
            </w:r>
          </w:p>
          <w:p w14:paraId="3A4767B1" w14:textId="77777777" w:rsidR="009B5E39" w:rsidRPr="00C11D3F" w:rsidRDefault="009B5E39" w:rsidP="00190E4A">
            <w:pPr>
              <w:jc w:val="both"/>
              <w:rPr>
                <w:rFonts w:ascii="Gotham" w:hAnsi="Gotham" w:cs="Arial"/>
                <w:sz w:val="18"/>
                <w:szCs w:val="18"/>
              </w:rPr>
            </w:pPr>
          </w:p>
        </w:tc>
      </w:tr>
      <w:tr w:rsidR="009B5E39" w:rsidRPr="00C11D3F" w14:paraId="3A4767BB" w14:textId="77777777" w:rsidTr="00190E4A">
        <w:trPr>
          <w:jc w:val="center"/>
        </w:trPr>
        <w:tc>
          <w:tcPr>
            <w:tcW w:w="4673" w:type="dxa"/>
          </w:tcPr>
          <w:p w14:paraId="3A4767B3"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lastRenderedPageBreak/>
              <w:t>Artículo 52.-</w:t>
            </w:r>
          </w:p>
          <w:p w14:paraId="3A4767B4"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IV.</w:t>
            </w:r>
          </w:p>
          <w:p w14:paraId="3A4767B5" w14:textId="77777777" w:rsidR="009B5E39" w:rsidRDefault="009B5E39" w:rsidP="00190E4A">
            <w:pPr>
              <w:jc w:val="both"/>
              <w:rPr>
                <w:rFonts w:ascii="Gotham" w:hAnsi="Gotham" w:cs="Arial"/>
                <w:sz w:val="18"/>
                <w:szCs w:val="18"/>
              </w:rPr>
            </w:pPr>
          </w:p>
          <w:p w14:paraId="3A4767B6"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Proponer</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4"/>
                <w:sz w:val="18"/>
                <w:szCs w:val="18"/>
              </w:rPr>
              <w:t xml:space="preserve"> </w:t>
            </w:r>
            <w:r w:rsidRPr="00C11D3F">
              <w:rPr>
                <w:rFonts w:ascii="Gotham" w:hAnsi="Gotham" w:cs="Arial"/>
                <w:sz w:val="18"/>
                <w:szCs w:val="18"/>
              </w:rPr>
              <w:t>someter</w:t>
            </w:r>
            <w:r w:rsidRPr="00C11D3F">
              <w:rPr>
                <w:rFonts w:ascii="Gotham" w:hAnsi="Gotham" w:cs="Arial"/>
                <w:spacing w:val="-4"/>
                <w:sz w:val="18"/>
                <w:szCs w:val="18"/>
              </w:rPr>
              <w:t xml:space="preserve"> </w:t>
            </w:r>
            <w:r w:rsidRPr="00C11D3F">
              <w:rPr>
                <w:rFonts w:ascii="Gotham" w:hAnsi="Gotham" w:cs="Arial"/>
                <w:sz w:val="18"/>
                <w:szCs w:val="18"/>
              </w:rPr>
              <w:t>a</w:t>
            </w:r>
            <w:r w:rsidRPr="00C11D3F">
              <w:rPr>
                <w:rFonts w:ascii="Gotham" w:hAnsi="Gotham" w:cs="Arial"/>
                <w:spacing w:val="-3"/>
                <w:sz w:val="18"/>
                <w:szCs w:val="18"/>
              </w:rPr>
              <w:t xml:space="preserve"> </w:t>
            </w:r>
            <w:r w:rsidRPr="00C11D3F">
              <w:rPr>
                <w:rFonts w:ascii="Gotham" w:hAnsi="Gotham" w:cs="Arial"/>
                <w:sz w:val="18"/>
                <w:szCs w:val="18"/>
              </w:rPr>
              <w:t>votación la modificación</w:t>
            </w:r>
            <w:r w:rsidRPr="00C11D3F">
              <w:rPr>
                <w:rFonts w:ascii="Gotham" w:hAnsi="Gotham" w:cs="Arial"/>
                <w:spacing w:val="-4"/>
                <w:sz w:val="18"/>
                <w:szCs w:val="18"/>
              </w:rPr>
              <w:t xml:space="preserve"> </w:t>
            </w:r>
            <w:r w:rsidRPr="00C11D3F">
              <w:rPr>
                <w:rFonts w:ascii="Gotham" w:hAnsi="Gotham" w:cs="Arial"/>
                <w:sz w:val="18"/>
                <w:szCs w:val="18"/>
              </w:rPr>
              <w:t>retiro de</w:t>
            </w:r>
            <w:r w:rsidRPr="00C11D3F">
              <w:rPr>
                <w:rFonts w:ascii="Gotham" w:hAnsi="Gotham" w:cs="Arial"/>
                <w:spacing w:val="-4"/>
                <w:sz w:val="18"/>
                <w:szCs w:val="18"/>
              </w:rPr>
              <w:t xml:space="preserve"> </w:t>
            </w:r>
            <w:r w:rsidRPr="00C11D3F">
              <w:rPr>
                <w:rFonts w:ascii="Gotham" w:hAnsi="Gotham" w:cs="Arial"/>
                <w:sz w:val="18"/>
                <w:szCs w:val="18"/>
              </w:rPr>
              <w:t>algún</w:t>
            </w:r>
            <w:r w:rsidRPr="00C11D3F">
              <w:rPr>
                <w:rFonts w:ascii="Gotham" w:hAnsi="Gotham" w:cs="Arial"/>
                <w:spacing w:val="-4"/>
                <w:sz w:val="18"/>
                <w:szCs w:val="18"/>
              </w:rPr>
              <w:t xml:space="preserve"> </w:t>
            </w:r>
            <w:r w:rsidRPr="00C11D3F">
              <w:rPr>
                <w:rFonts w:ascii="Gotham" w:hAnsi="Gotham" w:cs="Arial"/>
                <w:sz w:val="18"/>
                <w:szCs w:val="18"/>
              </w:rPr>
              <w:t>punto agendado</w:t>
            </w:r>
            <w:r w:rsidRPr="00C11D3F">
              <w:rPr>
                <w:rFonts w:ascii="Gotham" w:hAnsi="Gotham" w:cs="Arial"/>
                <w:spacing w:val="-1"/>
                <w:sz w:val="18"/>
                <w:szCs w:val="18"/>
              </w:rPr>
              <w:t xml:space="preserve"> </w:t>
            </w:r>
            <w:r w:rsidRPr="00C11D3F">
              <w:rPr>
                <w:rFonts w:ascii="Gotham" w:hAnsi="Gotham" w:cs="Arial"/>
                <w:sz w:val="18"/>
                <w:szCs w:val="18"/>
              </w:rPr>
              <w:t>en</w:t>
            </w:r>
            <w:r w:rsidRPr="00C11D3F">
              <w:rPr>
                <w:rFonts w:ascii="Gotham" w:hAnsi="Gotham" w:cs="Arial"/>
                <w:spacing w:val="5"/>
                <w:sz w:val="18"/>
                <w:szCs w:val="18"/>
              </w:rPr>
              <w:t xml:space="preserve"> </w:t>
            </w:r>
            <w:r w:rsidRPr="00C11D3F">
              <w:rPr>
                <w:rFonts w:ascii="Gotham" w:hAnsi="Gotham" w:cs="Arial"/>
                <w:sz w:val="18"/>
                <w:szCs w:val="18"/>
              </w:rPr>
              <w:t>el</w:t>
            </w:r>
            <w:r w:rsidRPr="00C11D3F">
              <w:rPr>
                <w:rFonts w:ascii="Gotham" w:hAnsi="Gotham" w:cs="Arial"/>
                <w:spacing w:val="-4"/>
                <w:sz w:val="18"/>
                <w:szCs w:val="18"/>
              </w:rPr>
              <w:t xml:space="preserve"> </w:t>
            </w:r>
            <w:r w:rsidRPr="00C11D3F">
              <w:rPr>
                <w:rFonts w:ascii="Gotham" w:hAnsi="Gotham" w:cs="Arial"/>
                <w:sz w:val="18"/>
                <w:szCs w:val="18"/>
              </w:rPr>
              <w:t>orden</w:t>
            </w:r>
            <w:r w:rsidRPr="00C11D3F">
              <w:rPr>
                <w:rFonts w:ascii="Gotham" w:hAnsi="Gotham" w:cs="Arial"/>
                <w:spacing w:val="-4"/>
                <w:sz w:val="18"/>
                <w:szCs w:val="18"/>
              </w:rPr>
              <w:t xml:space="preserve"> </w:t>
            </w:r>
            <w:r w:rsidRPr="00C11D3F">
              <w:rPr>
                <w:rFonts w:ascii="Gotham" w:hAnsi="Gotham" w:cs="Arial"/>
                <w:sz w:val="18"/>
                <w:szCs w:val="18"/>
              </w:rPr>
              <w:t>del</w:t>
            </w:r>
            <w:r w:rsidRPr="00C11D3F">
              <w:rPr>
                <w:rFonts w:ascii="Gotham" w:hAnsi="Gotham" w:cs="Arial"/>
                <w:spacing w:val="-3"/>
                <w:sz w:val="18"/>
                <w:szCs w:val="18"/>
              </w:rPr>
              <w:t xml:space="preserve"> </w:t>
            </w:r>
            <w:r w:rsidRPr="00C11D3F">
              <w:rPr>
                <w:rFonts w:ascii="Gotham" w:hAnsi="Gotham" w:cs="Arial"/>
                <w:sz w:val="18"/>
                <w:szCs w:val="18"/>
              </w:rPr>
              <w:t>día;</w:t>
            </w:r>
          </w:p>
        </w:tc>
        <w:tc>
          <w:tcPr>
            <w:tcW w:w="4678" w:type="dxa"/>
          </w:tcPr>
          <w:p w14:paraId="3A4767B7"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Artículo 52.-</w:t>
            </w:r>
          </w:p>
          <w:p w14:paraId="3A4767B8"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Fracción IV.</w:t>
            </w:r>
          </w:p>
          <w:p w14:paraId="3A4767B9" w14:textId="77777777" w:rsidR="009B5E39" w:rsidRDefault="009B5E39" w:rsidP="00190E4A">
            <w:pPr>
              <w:jc w:val="both"/>
              <w:rPr>
                <w:rFonts w:ascii="Gotham" w:hAnsi="Gotham" w:cs="Arial"/>
                <w:sz w:val="18"/>
                <w:szCs w:val="18"/>
              </w:rPr>
            </w:pPr>
          </w:p>
          <w:p w14:paraId="3A4767BA" w14:textId="77777777" w:rsidR="009B5E39" w:rsidRPr="00C11D3F" w:rsidRDefault="009B5E39" w:rsidP="00190E4A">
            <w:pPr>
              <w:jc w:val="both"/>
              <w:rPr>
                <w:rFonts w:ascii="Gotham" w:hAnsi="Gotham" w:cs="Arial"/>
                <w:sz w:val="18"/>
                <w:szCs w:val="18"/>
              </w:rPr>
            </w:pPr>
            <w:r w:rsidRPr="00C11D3F">
              <w:rPr>
                <w:rFonts w:ascii="Gotham" w:hAnsi="Gotham" w:cs="Arial"/>
                <w:sz w:val="18"/>
                <w:szCs w:val="18"/>
              </w:rPr>
              <w:t>Proponer</w:t>
            </w:r>
            <w:r w:rsidRPr="00C11D3F">
              <w:rPr>
                <w:rFonts w:ascii="Gotham" w:hAnsi="Gotham" w:cs="Arial"/>
                <w:spacing w:val="-3"/>
                <w:sz w:val="18"/>
                <w:szCs w:val="18"/>
              </w:rPr>
              <w:t xml:space="preserve"> </w:t>
            </w:r>
            <w:r w:rsidRPr="00C11D3F">
              <w:rPr>
                <w:rFonts w:ascii="Gotham" w:hAnsi="Gotham" w:cs="Arial"/>
                <w:sz w:val="18"/>
                <w:szCs w:val="18"/>
              </w:rPr>
              <w:t>y</w:t>
            </w:r>
            <w:r w:rsidRPr="00C11D3F">
              <w:rPr>
                <w:rFonts w:ascii="Gotham" w:hAnsi="Gotham" w:cs="Arial"/>
                <w:spacing w:val="-4"/>
                <w:sz w:val="18"/>
                <w:szCs w:val="18"/>
              </w:rPr>
              <w:t xml:space="preserve"> </w:t>
            </w:r>
            <w:r w:rsidRPr="00C11D3F">
              <w:rPr>
                <w:rFonts w:ascii="Gotham" w:hAnsi="Gotham" w:cs="Arial"/>
                <w:sz w:val="18"/>
                <w:szCs w:val="18"/>
              </w:rPr>
              <w:t>someter</w:t>
            </w:r>
            <w:r w:rsidRPr="00C11D3F">
              <w:rPr>
                <w:rFonts w:ascii="Gotham" w:hAnsi="Gotham" w:cs="Arial"/>
                <w:spacing w:val="-4"/>
                <w:sz w:val="18"/>
                <w:szCs w:val="18"/>
              </w:rPr>
              <w:t xml:space="preserve"> </w:t>
            </w:r>
            <w:r w:rsidRPr="00C11D3F">
              <w:rPr>
                <w:rFonts w:ascii="Gotham" w:hAnsi="Gotham" w:cs="Arial"/>
                <w:sz w:val="18"/>
                <w:szCs w:val="18"/>
              </w:rPr>
              <w:t>a</w:t>
            </w:r>
            <w:r w:rsidRPr="00C11D3F">
              <w:rPr>
                <w:rFonts w:ascii="Gotham" w:hAnsi="Gotham" w:cs="Arial"/>
                <w:spacing w:val="-3"/>
                <w:sz w:val="18"/>
                <w:szCs w:val="18"/>
              </w:rPr>
              <w:t xml:space="preserve"> </w:t>
            </w:r>
            <w:r w:rsidRPr="00C11D3F">
              <w:rPr>
                <w:rFonts w:ascii="Gotham" w:hAnsi="Gotham" w:cs="Arial"/>
                <w:sz w:val="18"/>
                <w:szCs w:val="18"/>
              </w:rPr>
              <w:t xml:space="preserve">votación </w:t>
            </w:r>
            <w:r w:rsidRPr="00C11D3F">
              <w:rPr>
                <w:rFonts w:ascii="Gotham" w:hAnsi="Gotham" w:cs="Arial"/>
                <w:b/>
                <w:bCs/>
                <w:sz w:val="18"/>
                <w:szCs w:val="18"/>
              </w:rPr>
              <w:t>la adición, modificación o</w:t>
            </w:r>
            <w:r w:rsidRPr="00C11D3F">
              <w:rPr>
                <w:rFonts w:ascii="Gotham" w:hAnsi="Gotham" w:cs="Arial"/>
                <w:spacing w:val="-4"/>
                <w:sz w:val="18"/>
                <w:szCs w:val="18"/>
              </w:rPr>
              <w:t xml:space="preserve"> </w:t>
            </w:r>
            <w:r w:rsidRPr="00C11D3F">
              <w:rPr>
                <w:rFonts w:ascii="Gotham" w:hAnsi="Gotham" w:cs="Arial"/>
                <w:sz w:val="18"/>
                <w:szCs w:val="18"/>
              </w:rPr>
              <w:t>retiro de</w:t>
            </w:r>
            <w:r w:rsidRPr="00C11D3F">
              <w:rPr>
                <w:rFonts w:ascii="Gotham" w:hAnsi="Gotham" w:cs="Arial"/>
                <w:spacing w:val="-4"/>
                <w:sz w:val="18"/>
                <w:szCs w:val="18"/>
              </w:rPr>
              <w:t xml:space="preserve"> </w:t>
            </w:r>
            <w:r w:rsidRPr="00C11D3F">
              <w:rPr>
                <w:rFonts w:ascii="Gotham" w:hAnsi="Gotham" w:cs="Arial"/>
                <w:sz w:val="18"/>
                <w:szCs w:val="18"/>
              </w:rPr>
              <w:t>algún</w:t>
            </w:r>
            <w:r w:rsidRPr="00C11D3F">
              <w:rPr>
                <w:rFonts w:ascii="Gotham" w:hAnsi="Gotham" w:cs="Arial"/>
                <w:spacing w:val="-4"/>
                <w:sz w:val="18"/>
                <w:szCs w:val="18"/>
              </w:rPr>
              <w:t xml:space="preserve"> </w:t>
            </w:r>
            <w:r w:rsidRPr="00C11D3F">
              <w:rPr>
                <w:rFonts w:ascii="Gotham" w:hAnsi="Gotham" w:cs="Arial"/>
                <w:sz w:val="18"/>
                <w:szCs w:val="18"/>
              </w:rPr>
              <w:t>punto agendado</w:t>
            </w:r>
            <w:r w:rsidRPr="00C11D3F">
              <w:rPr>
                <w:rFonts w:ascii="Gotham" w:hAnsi="Gotham" w:cs="Arial"/>
                <w:spacing w:val="-1"/>
                <w:sz w:val="18"/>
                <w:szCs w:val="18"/>
              </w:rPr>
              <w:t xml:space="preserve"> </w:t>
            </w:r>
            <w:r w:rsidRPr="00C11D3F">
              <w:rPr>
                <w:rFonts w:ascii="Gotham" w:hAnsi="Gotham" w:cs="Arial"/>
                <w:sz w:val="18"/>
                <w:szCs w:val="18"/>
              </w:rPr>
              <w:t>en</w:t>
            </w:r>
            <w:r w:rsidRPr="00C11D3F">
              <w:rPr>
                <w:rFonts w:ascii="Gotham" w:hAnsi="Gotham" w:cs="Arial"/>
                <w:spacing w:val="5"/>
                <w:sz w:val="18"/>
                <w:szCs w:val="18"/>
              </w:rPr>
              <w:t xml:space="preserve"> </w:t>
            </w:r>
            <w:r w:rsidRPr="00C11D3F">
              <w:rPr>
                <w:rFonts w:ascii="Gotham" w:hAnsi="Gotham" w:cs="Arial"/>
                <w:sz w:val="18"/>
                <w:szCs w:val="18"/>
              </w:rPr>
              <w:t>el</w:t>
            </w:r>
            <w:r w:rsidRPr="00C11D3F">
              <w:rPr>
                <w:rFonts w:ascii="Gotham" w:hAnsi="Gotham" w:cs="Arial"/>
                <w:spacing w:val="-4"/>
                <w:sz w:val="18"/>
                <w:szCs w:val="18"/>
              </w:rPr>
              <w:t xml:space="preserve"> </w:t>
            </w:r>
            <w:r w:rsidRPr="00C11D3F">
              <w:rPr>
                <w:rFonts w:ascii="Gotham" w:hAnsi="Gotham" w:cs="Arial"/>
                <w:sz w:val="18"/>
                <w:szCs w:val="18"/>
              </w:rPr>
              <w:t>orden</w:t>
            </w:r>
            <w:r w:rsidRPr="00C11D3F">
              <w:rPr>
                <w:rFonts w:ascii="Gotham" w:hAnsi="Gotham" w:cs="Arial"/>
                <w:spacing w:val="-4"/>
                <w:sz w:val="18"/>
                <w:szCs w:val="18"/>
              </w:rPr>
              <w:t xml:space="preserve"> </w:t>
            </w:r>
            <w:r w:rsidRPr="00C11D3F">
              <w:rPr>
                <w:rFonts w:ascii="Gotham" w:hAnsi="Gotham" w:cs="Arial"/>
                <w:sz w:val="18"/>
                <w:szCs w:val="18"/>
              </w:rPr>
              <w:t>del</w:t>
            </w:r>
            <w:r w:rsidRPr="00C11D3F">
              <w:rPr>
                <w:rFonts w:ascii="Gotham" w:hAnsi="Gotham" w:cs="Arial"/>
                <w:spacing w:val="-3"/>
                <w:sz w:val="18"/>
                <w:szCs w:val="18"/>
              </w:rPr>
              <w:t xml:space="preserve"> </w:t>
            </w:r>
            <w:r w:rsidRPr="00C11D3F">
              <w:rPr>
                <w:rFonts w:ascii="Gotham" w:hAnsi="Gotham" w:cs="Arial"/>
                <w:sz w:val="18"/>
                <w:szCs w:val="18"/>
              </w:rPr>
              <w:t>día;</w:t>
            </w:r>
          </w:p>
        </w:tc>
      </w:tr>
    </w:tbl>
    <w:p w14:paraId="3A4767BC" w14:textId="77777777" w:rsidR="009B5E39" w:rsidRPr="00731480" w:rsidRDefault="009B5E39" w:rsidP="009B5E39">
      <w:pPr>
        <w:ind w:left="284" w:right="283"/>
        <w:rPr>
          <w:rFonts w:ascii="Gotham" w:hAnsi="Gotham" w:cs="Arial"/>
          <w:sz w:val="19"/>
          <w:szCs w:val="19"/>
        </w:rPr>
      </w:pPr>
    </w:p>
    <w:p w14:paraId="3A4767BD" w14:textId="77777777" w:rsidR="009B5E39" w:rsidRPr="00731480" w:rsidRDefault="009B5E39" w:rsidP="009B5E39">
      <w:pPr>
        <w:ind w:left="284" w:right="283"/>
        <w:jc w:val="center"/>
        <w:rPr>
          <w:rFonts w:ascii="Gotham" w:hAnsi="Gotham" w:cs="Arial"/>
          <w:sz w:val="19"/>
          <w:szCs w:val="19"/>
        </w:rPr>
      </w:pPr>
      <w:r w:rsidRPr="00731480">
        <w:rPr>
          <w:rFonts w:ascii="Gotham" w:hAnsi="Gotham" w:cs="Arial"/>
          <w:sz w:val="19"/>
          <w:szCs w:val="19"/>
        </w:rPr>
        <w:t>TRANSITORIOS</w:t>
      </w:r>
    </w:p>
    <w:p w14:paraId="3A4767BE" w14:textId="77777777" w:rsidR="009B5E39" w:rsidRPr="00731480" w:rsidRDefault="009B5E39" w:rsidP="009B5E39">
      <w:pPr>
        <w:ind w:left="284" w:right="283"/>
        <w:jc w:val="both"/>
        <w:rPr>
          <w:rFonts w:ascii="Gotham" w:hAnsi="Gotham" w:cs="Arial"/>
          <w:sz w:val="19"/>
          <w:szCs w:val="19"/>
        </w:rPr>
      </w:pPr>
    </w:p>
    <w:p w14:paraId="3A4767BF" w14:textId="77777777" w:rsidR="009B5E39" w:rsidRPr="00731480" w:rsidRDefault="009B5E39" w:rsidP="009B5E39">
      <w:pPr>
        <w:ind w:left="284" w:right="283"/>
        <w:jc w:val="both"/>
        <w:rPr>
          <w:rFonts w:ascii="Gotham" w:hAnsi="Gotham" w:cs="Arial"/>
          <w:sz w:val="19"/>
          <w:szCs w:val="19"/>
        </w:rPr>
      </w:pPr>
      <w:r w:rsidRPr="00731480">
        <w:rPr>
          <w:rFonts w:ascii="Gotham" w:hAnsi="Gotham" w:cs="Arial"/>
          <w:sz w:val="19"/>
          <w:szCs w:val="19"/>
        </w:rPr>
        <w:t>PRIMERO. Las presentes reformas entrarán, en vigor una al día siguiente de su publicación en la gaceta Municipal Tlahtolli.</w:t>
      </w:r>
    </w:p>
    <w:p w14:paraId="3A4767C0" w14:textId="77777777" w:rsidR="009B5E39" w:rsidRPr="00731480" w:rsidRDefault="009B5E39" w:rsidP="009B5E39">
      <w:pPr>
        <w:ind w:left="284" w:right="283"/>
        <w:jc w:val="both"/>
        <w:rPr>
          <w:rFonts w:ascii="Gotham" w:hAnsi="Gotham" w:cs="Arial"/>
          <w:sz w:val="19"/>
          <w:szCs w:val="19"/>
        </w:rPr>
      </w:pPr>
    </w:p>
    <w:p w14:paraId="3A4767C1" w14:textId="77777777" w:rsidR="009B5E39" w:rsidRPr="00731480" w:rsidRDefault="009B5E39" w:rsidP="009B5E39">
      <w:pPr>
        <w:ind w:left="284" w:right="283"/>
        <w:rPr>
          <w:rFonts w:ascii="Gotham" w:hAnsi="Gotham" w:cs="Arial"/>
          <w:sz w:val="19"/>
          <w:szCs w:val="19"/>
        </w:rPr>
      </w:pPr>
      <w:r w:rsidRPr="00731480">
        <w:rPr>
          <w:rFonts w:ascii="Gotham" w:hAnsi="Gotham" w:cs="Arial"/>
          <w:sz w:val="19"/>
          <w:szCs w:val="19"/>
        </w:rPr>
        <w:t>SEGUNDO. Remítase el presente Reglamento al C. Presidente Municipal, para los efectos de su obligatoria promulgación y publicación, de conformidad con el artículo 42 fracción IV de la Ley del Gobierno y la Administración Pública Municipal del Estado de Jalisco.</w:t>
      </w:r>
      <w:r w:rsidR="007C2F8D">
        <w:rPr>
          <w:rFonts w:ascii="Gotham" w:hAnsi="Gotham" w:cs="Arial"/>
          <w:sz w:val="19"/>
          <w:szCs w:val="19"/>
        </w:rPr>
        <w:t xml:space="preserve"> </w:t>
      </w:r>
      <w:r w:rsidRPr="00731480">
        <w:rPr>
          <w:rFonts w:ascii="Gotham" w:hAnsi="Gotham" w:cs="Arial"/>
          <w:sz w:val="19"/>
          <w:szCs w:val="19"/>
        </w:rPr>
        <w:t xml:space="preserve"> </w:t>
      </w:r>
    </w:p>
    <w:p w14:paraId="3A4767C2" w14:textId="77777777" w:rsidR="009B5E39" w:rsidRPr="00731480" w:rsidRDefault="009B5E39" w:rsidP="009B5E39">
      <w:pPr>
        <w:rPr>
          <w:rFonts w:ascii="Gotham" w:hAnsi="Gotham" w:cs="Arial"/>
          <w:sz w:val="20"/>
          <w:szCs w:val="20"/>
        </w:rPr>
      </w:pPr>
    </w:p>
    <w:p w14:paraId="3A4767C3" w14:textId="77777777" w:rsidR="009B5E39" w:rsidRPr="00731480" w:rsidRDefault="009B5E39" w:rsidP="009B5E39">
      <w:pPr>
        <w:jc w:val="both"/>
        <w:rPr>
          <w:rFonts w:ascii="Gotham" w:hAnsi="Gotham" w:cs="Arial"/>
          <w:sz w:val="20"/>
          <w:szCs w:val="20"/>
        </w:rPr>
      </w:pPr>
      <w:r w:rsidRPr="00731480">
        <w:rPr>
          <w:rFonts w:ascii="Gotham" w:hAnsi="Gotham" w:cs="Arial"/>
          <w:sz w:val="20"/>
          <w:szCs w:val="20"/>
        </w:rPr>
        <w:t xml:space="preserve">Por lo que respecta al Reglamento del </w:t>
      </w:r>
      <w:r w:rsidRPr="00731480">
        <w:rPr>
          <w:rFonts w:ascii="Gotham" w:hAnsi="Gotham" w:cs="Arial"/>
          <w:b/>
          <w:sz w:val="20"/>
          <w:szCs w:val="20"/>
        </w:rPr>
        <w:t xml:space="preserve">ORGANISMO PÚBLICO DESCENTRALIZADO INSTITUTO TONALTECA DE LAS ARTESANIAS (INTONAR) DEL MUNICIPIO DE TONALÁ JALISCO; </w:t>
      </w:r>
      <w:r w:rsidRPr="00731480">
        <w:rPr>
          <w:rFonts w:ascii="Gotham" w:hAnsi="Gotham" w:cs="Arial"/>
          <w:sz w:val="20"/>
          <w:szCs w:val="20"/>
        </w:rPr>
        <w:t>se sugiere hacer las siguientes reformas:</w:t>
      </w:r>
    </w:p>
    <w:p w14:paraId="3A4767C4" w14:textId="77777777" w:rsidR="009B5E39" w:rsidRPr="00731480" w:rsidRDefault="009B5E39" w:rsidP="009B5E39">
      <w:pPr>
        <w:pStyle w:val="Cuerpo"/>
        <w:rPr>
          <w:rStyle w:val="Ninguno"/>
          <w:rFonts w:ascii="Gotham" w:hAnsi="Gotham"/>
          <w:sz w:val="20"/>
          <w:szCs w:val="20"/>
        </w:rPr>
      </w:pPr>
    </w:p>
    <w:tbl>
      <w:tblPr>
        <w:tblW w:w="94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06"/>
        <w:gridCol w:w="4706"/>
      </w:tblGrid>
      <w:tr w:rsidR="009B5E39" w:rsidRPr="00731480" w14:paraId="3A4767C7" w14:textId="77777777" w:rsidTr="00190E4A">
        <w:trPr>
          <w:trHeight w:val="227"/>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14:paraId="3A4767C5" w14:textId="77777777" w:rsidR="009B5E39" w:rsidRPr="00731480" w:rsidRDefault="009B5E39" w:rsidP="00190E4A">
            <w:pPr>
              <w:pStyle w:val="Cuerpo"/>
              <w:jc w:val="center"/>
              <w:rPr>
                <w:rFonts w:ascii="Gotham" w:hAnsi="Gotham"/>
                <w:b/>
                <w:color w:val="F2F2F2" w:themeColor="background1" w:themeShade="F2"/>
                <w:sz w:val="18"/>
                <w:szCs w:val="18"/>
              </w:rPr>
            </w:pPr>
            <w:r w:rsidRPr="00731480">
              <w:rPr>
                <w:rFonts w:ascii="Gotham" w:hAnsi="Gotham"/>
                <w:b/>
                <w:color w:val="F2F2F2" w:themeColor="background1" w:themeShade="F2"/>
                <w:sz w:val="18"/>
                <w:szCs w:val="18"/>
              </w:rPr>
              <w:t>Dice:</w:t>
            </w:r>
          </w:p>
        </w:tc>
        <w:tc>
          <w:tcPr>
            <w:tcW w:w="4706"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14:paraId="3A4767C6" w14:textId="77777777" w:rsidR="009B5E39" w:rsidRPr="00731480" w:rsidRDefault="009B5E39" w:rsidP="00190E4A">
            <w:pPr>
              <w:pStyle w:val="Cuerpo"/>
              <w:jc w:val="center"/>
              <w:rPr>
                <w:rFonts w:ascii="Gotham" w:hAnsi="Gotham"/>
                <w:b/>
                <w:sz w:val="18"/>
                <w:szCs w:val="18"/>
              </w:rPr>
            </w:pPr>
            <w:r w:rsidRPr="00731480">
              <w:rPr>
                <w:rStyle w:val="Ninguno"/>
                <w:rFonts w:ascii="Gotham" w:hAnsi="Gotham"/>
                <w:b/>
                <w:color w:val="D9D9D9"/>
                <w:sz w:val="18"/>
                <w:szCs w:val="18"/>
                <w:u w:color="D9D9D9"/>
              </w:rPr>
              <w:t>Propuesta</w:t>
            </w:r>
          </w:p>
        </w:tc>
      </w:tr>
      <w:tr w:rsidR="009B5E39" w:rsidRPr="00731480" w14:paraId="3A4767CC"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C8"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t>Articulo 4</w:t>
            </w:r>
          </w:p>
          <w:p w14:paraId="3A4767C9"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II.-</w:t>
            </w:r>
            <w:r w:rsidRPr="00731480">
              <w:rPr>
                <w:rStyle w:val="Ninguno"/>
                <w:rFonts w:ascii="Gotham" w:hAnsi="Gotham"/>
                <w:sz w:val="18"/>
                <w:szCs w:val="18"/>
              </w:rPr>
              <w:tab/>
              <w:t>Promover la exhibición y venta de artesanías, montaje de ferias, y exposiciones para realizarse en el Instituto Tonalteca de las Artesanías del municipio de Tonalá, Jalisco o en cualquier otro lugar de la geografía tanto nacional como internacional</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CA"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t>Articulo 4</w:t>
            </w:r>
          </w:p>
          <w:p w14:paraId="3A4767CB" w14:textId="610905E5"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II.-</w:t>
            </w:r>
            <w:r w:rsidRPr="00731480">
              <w:rPr>
                <w:rStyle w:val="Ninguno"/>
                <w:rFonts w:ascii="Gotham" w:hAnsi="Gotham"/>
                <w:sz w:val="18"/>
                <w:szCs w:val="18"/>
              </w:rPr>
              <w:tab/>
              <w:t xml:space="preserve">Promover la exhibición y venta de artesanías, montaje de ferias, y </w:t>
            </w:r>
            <w:r w:rsidRPr="00731480">
              <w:rPr>
                <w:rStyle w:val="Ninguno"/>
                <w:rFonts w:ascii="Gotham" w:hAnsi="Gotham"/>
                <w:color w:val="C00000"/>
                <w:sz w:val="18"/>
                <w:szCs w:val="18"/>
                <w:u w:color="C00000"/>
              </w:rPr>
              <w:t xml:space="preserve">crear las condiciones para su exhibición en medios digitales, tiendas de comercio </w:t>
            </w:r>
            <w:r w:rsidR="00281C67" w:rsidRPr="00731480">
              <w:rPr>
                <w:rStyle w:val="Ninguno"/>
                <w:rFonts w:ascii="Gotham" w:hAnsi="Gotham"/>
                <w:color w:val="C00000"/>
                <w:sz w:val="18"/>
                <w:szCs w:val="18"/>
                <w:u w:color="C00000"/>
              </w:rPr>
              <w:t>electrónico</w:t>
            </w:r>
            <w:r w:rsidRPr="00731480">
              <w:rPr>
                <w:rStyle w:val="Ninguno"/>
                <w:rFonts w:ascii="Gotham" w:hAnsi="Gotham"/>
                <w:sz w:val="18"/>
                <w:szCs w:val="18"/>
              </w:rPr>
              <w:t>, y exposiciones para realizarse en el Instituto Tonalteca de las Artesanías del municipio de Tonalá, Jalisco o en cualquier otro lugar de la geografía tanto nacional como internacional</w:t>
            </w:r>
          </w:p>
        </w:tc>
      </w:tr>
      <w:tr w:rsidR="009B5E39" w:rsidRPr="00731480" w14:paraId="3A4767CF"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CD"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Artículo 7.- En el caso de que el Ayuntamiento declare la extinción de este organismo público descentralizado municipal, su patrimonio regresará al patrimonio del Municipio, como bienes de dominio público, dentro del proceso del procedimiento de liquidación correspondiente.</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CE"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Artículo 7.- En el caso de que el Ayuntamiento declare la extinción de este organismo público descentralizado municipal, su patrimonio regresará al patrimonio del Municipio, incluyendo</w:t>
            </w:r>
            <w:r w:rsidRPr="00731480">
              <w:rPr>
                <w:rStyle w:val="Ninguno"/>
                <w:rFonts w:ascii="Gotham" w:hAnsi="Gotham"/>
                <w:color w:val="C00000"/>
                <w:sz w:val="18"/>
                <w:szCs w:val="18"/>
                <w:u w:color="C00000"/>
              </w:rPr>
              <w:t xml:space="preserve"> bienes materiales, inmuebles e inmateriales como pueden ser los derechos intelectuales o digitales</w:t>
            </w:r>
            <w:r w:rsidRPr="00731480">
              <w:rPr>
                <w:rStyle w:val="Ninguno"/>
                <w:rFonts w:ascii="Gotham" w:hAnsi="Gotham"/>
                <w:sz w:val="18"/>
                <w:szCs w:val="18"/>
              </w:rPr>
              <w:t>, como bienes de dominio público, dentro del proceso del procedimiento de liquidación correspondiente.</w:t>
            </w:r>
          </w:p>
        </w:tc>
      </w:tr>
      <w:tr w:rsidR="009B5E39" w:rsidRPr="00731480" w14:paraId="3A4767D4"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D0"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t>Articulo 12</w:t>
            </w:r>
          </w:p>
          <w:p w14:paraId="3A4767D1"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II.- Un Secretario Técnico, que será el Director General del OPD Instituto Tonalteca de las Artesanías.</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D2"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t>Articulo 12</w:t>
            </w:r>
          </w:p>
          <w:p w14:paraId="3A4767D3"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II.- Un Secretario Técnico, que será el Director General del OPD Instituto Tonalteca de las Artesanías.</w:t>
            </w:r>
          </w:p>
        </w:tc>
      </w:tr>
      <w:tr w:rsidR="009B5E39" w:rsidRPr="00731480" w14:paraId="3A4767D8"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D5" w14:textId="77777777" w:rsidR="009B5E39" w:rsidRPr="00731480" w:rsidRDefault="009B5E39" w:rsidP="00190E4A">
            <w:pPr>
              <w:spacing w:before="60" w:after="60"/>
              <w:jc w:val="both"/>
              <w:rPr>
                <w:rFonts w:ascii="Gotham" w:hAnsi="Gotham"/>
                <w:sz w:val="18"/>
                <w:szCs w:val="18"/>
              </w:rPr>
            </w:pP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D6"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t>Articulo 18</w:t>
            </w:r>
          </w:p>
          <w:p w14:paraId="3A4767D7" w14:textId="3FC6D88A"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 xml:space="preserve">Autorizar, con sujeción a las disposiciones legales aplicables, los </w:t>
            </w:r>
            <w:r w:rsidR="00281C67" w:rsidRPr="00731480">
              <w:rPr>
                <w:rStyle w:val="Ninguno"/>
                <w:rFonts w:ascii="Gotham" w:hAnsi="Gotham"/>
                <w:sz w:val="18"/>
                <w:szCs w:val="18"/>
              </w:rPr>
              <w:t>viáticos</w:t>
            </w:r>
            <w:r w:rsidRPr="00731480">
              <w:rPr>
                <w:rStyle w:val="Ninguno"/>
                <w:rFonts w:ascii="Gotham" w:hAnsi="Gotham"/>
                <w:sz w:val="18"/>
                <w:szCs w:val="18"/>
              </w:rPr>
              <w:t xml:space="preserve">, salidas y donativos que este OPD necesite </w:t>
            </w:r>
            <w:r w:rsidR="005402E6" w:rsidRPr="00731480">
              <w:rPr>
                <w:rStyle w:val="Ninguno"/>
                <w:rFonts w:ascii="Gotham" w:hAnsi="Gotham"/>
                <w:sz w:val="18"/>
                <w:szCs w:val="18"/>
              </w:rPr>
              <w:t>ejecutar</w:t>
            </w:r>
            <w:r w:rsidRPr="00731480">
              <w:rPr>
                <w:rStyle w:val="Ninguno"/>
                <w:rFonts w:ascii="Gotham" w:hAnsi="Gotham"/>
                <w:sz w:val="18"/>
                <w:szCs w:val="18"/>
              </w:rPr>
              <w:t xml:space="preserve">, previa revisión </w:t>
            </w:r>
            <w:r w:rsidR="00771C08" w:rsidRPr="00731480">
              <w:rPr>
                <w:rStyle w:val="Ninguno"/>
                <w:rFonts w:ascii="Gotham" w:hAnsi="Gotham"/>
                <w:sz w:val="18"/>
                <w:szCs w:val="18"/>
              </w:rPr>
              <w:t>presupuestaria</w:t>
            </w:r>
            <w:r w:rsidRPr="00731480">
              <w:rPr>
                <w:rStyle w:val="Ninguno"/>
                <w:rFonts w:ascii="Gotham" w:hAnsi="Gotham"/>
                <w:sz w:val="18"/>
                <w:szCs w:val="18"/>
              </w:rPr>
              <w:t xml:space="preserve"> en esta junta.</w:t>
            </w:r>
            <w:r w:rsidR="007C2F8D">
              <w:rPr>
                <w:rStyle w:val="Ninguno"/>
                <w:rFonts w:ascii="Gotham" w:hAnsi="Gotham"/>
                <w:sz w:val="18"/>
                <w:szCs w:val="18"/>
              </w:rPr>
              <w:t xml:space="preserve"> </w:t>
            </w:r>
          </w:p>
        </w:tc>
      </w:tr>
      <w:tr w:rsidR="009B5E39" w:rsidRPr="00731480" w14:paraId="3A4767DD"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D9"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lastRenderedPageBreak/>
              <w:t>Articulo 38</w:t>
            </w:r>
          </w:p>
          <w:p w14:paraId="3A4767DA"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II.-</w:t>
            </w:r>
            <w:r w:rsidRPr="00731480">
              <w:rPr>
                <w:rStyle w:val="Ninguno"/>
                <w:rFonts w:ascii="Gotham" w:hAnsi="Gotham"/>
                <w:sz w:val="18"/>
                <w:szCs w:val="18"/>
              </w:rPr>
              <w:tab/>
              <w:t>Representar legalmente al Organismo Público Descentralizado Instituto Tonalteca de las Artesanías del municipio de Tonalá, Jalisco</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DB"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t>Articulo 38</w:t>
            </w:r>
          </w:p>
          <w:p w14:paraId="3A4767DC"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b/>
                <w:bCs/>
                <w:sz w:val="18"/>
                <w:szCs w:val="18"/>
              </w:rPr>
              <w:t>Confirmar si es el General o el Administrativo</w:t>
            </w:r>
          </w:p>
        </w:tc>
      </w:tr>
      <w:tr w:rsidR="009B5E39" w:rsidRPr="00731480" w14:paraId="3A4767E2"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DE" w14:textId="77777777" w:rsidR="009B5E39" w:rsidRPr="00731480" w:rsidRDefault="009B5E39" w:rsidP="00190E4A">
            <w:pPr>
              <w:spacing w:before="60" w:after="60"/>
              <w:jc w:val="both"/>
              <w:rPr>
                <w:rFonts w:ascii="Gotham" w:hAnsi="Gotham"/>
                <w:sz w:val="18"/>
                <w:szCs w:val="18"/>
              </w:rPr>
            </w:pP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DF"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t>Título III</w:t>
            </w:r>
          </w:p>
          <w:p w14:paraId="3A4767E0" w14:textId="77777777" w:rsidR="009B5E39" w:rsidRPr="00731480" w:rsidRDefault="009B5E39" w:rsidP="00190E4A">
            <w:pPr>
              <w:pStyle w:val="Cuerpo"/>
              <w:spacing w:before="60" w:after="60"/>
              <w:jc w:val="both"/>
              <w:rPr>
                <w:rStyle w:val="Ninguno"/>
                <w:rFonts w:ascii="Gotham" w:hAnsi="Gotham"/>
                <w:b/>
                <w:bCs/>
                <w:sz w:val="18"/>
                <w:szCs w:val="18"/>
              </w:rPr>
            </w:pPr>
            <w:r w:rsidRPr="00731480">
              <w:rPr>
                <w:rStyle w:val="Ninguno"/>
                <w:rFonts w:ascii="Gotham" w:hAnsi="Gotham"/>
                <w:b/>
                <w:bCs/>
                <w:sz w:val="18"/>
                <w:szCs w:val="18"/>
              </w:rPr>
              <w:t>Crear capítulo de la Dirección Administrativa</w:t>
            </w:r>
          </w:p>
          <w:p w14:paraId="3A4767E1"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b/>
                <w:bCs/>
                <w:sz w:val="18"/>
                <w:szCs w:val="18"/>
              </w:rPr>
              <w:t>Revisar previas atribuciones de la junta de gobierno.</w:t>
            </w:r>
          </w:p>
        </w:tc>
      </w:tr>
      <w:tr w:rsidR="009B5E39" w:rsidRPr="00731480" w14:paraId="3A4767E7"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E3" w14:textId="77777777" w:rsidR="009B5E39" w:rsidRPr="00731480" w:rsidRDefault="009B5E39" w:rsidP="00190E4A">
            <w:pPr>
              <w:tabs>
                <w:tab w:val="left" w:pos="720"/>
                <w:tab w:val="left" w:pos="1440"/>
                <w:tab w:val="left" w:pos="2160"/>
                <w:tab w:val="left" w:pos="2880"/>
                <w:tab w:val="left" w:pos="3600"/>
                <w:tab w:val="left" w:pos="4320"/>
                <w:tab w:val="left" w:pos="5040"/>
                <w:tab w:val="left" w:pos="5760"/>
              </w:tabs>
              <w:spacing w:before="60"/>
              <w:jc w:val="both"/>
              <w:rPr>
                <w:rFonts w:ascii="Gotham" w:hAnsi="Gotham"/>
                <w:sz w:val="18"/>
                <w:szCs w:val="18"/>
              </w:rPr>
            </w:pPr>
            <w:r w:rsidRPr="00731480">
              <w:rPr>
                <w:rFonts w:ascii="Gotham" w:hAnsi="Gotham" w:cs="Arial Unicode MS"/>
                <w:kern w:val="2"/>
                <w:sz w:val="18"/>
                <w:szCs w:val="18"/>
                <w:u w:color="000000"/>
              </w:rPr>
              <w:t>Artículo 42.- El Fondo de Apoyo para Artesanas y Artesanos del Municipio de Tonalá, será subsidiado mediante las aportaciones económicas y/o en especie del sector privado artesanal, así como las aportaciones económicas del Organismo Público descentralizado “Instituto Tonalteca de las Artesanías del municipio de Tonalá, Jalisco” de acuerdo con la suficiencia presupuestal.</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E4" w14:textId="77777777" w:rsidR="009B5E39" w:rsidRPr="00731480" w:rsidRDefault="009B5E39" w:rsidP="00190E4A">
            <w:pPr>
              <w:tabs>
                <w:tab w:val="left" w:pos="720"/>
                <w:tab w:val="left" w:pos="1440"/>
                <w:tab w:val="left" w:pos="2160"/>
                <w:tab w:val="left" w:pos="2880"/>
                <w:tab w:val="left" w:pos="3600"/>
                <w:tab w:val="left" w:pos="4320"/>
                <w:tab w:val="left" w:pos="5040"/>
                <w:tab w:val="left" w:pos="5760"/>
                <w:tab w:val="left" w:pos="6480"/>
              </w:tabs>
              <w:spacing w:before="60"/>
              <w:jc w:val="both"/>
              <w:rPr>
                <w:rFonts w:ascii="Gotham" w:eastAsia="Arial" w:hAnsi="Gotham" w:cs="Arial"/>
                <w:kern w:val="2"/>
                <w:sz w:val="18"/>
                <w:szCs w:val="18"/>
                <w:u w:color="000000"/>
              </w:rPr>
            </w:pPr>
            <w:r w:rsidRPr="00731480">
              <w:rPr>
                <w:rStyle w:val="Ninguno"/>
                <w:rFonts w:ascii="Gotham" w:eastAsiaTheme="majorEastAsia" w:hAnsi="Gotham" w:cs="Arial Unicode MS"/>
                <w:b/>
                <w:bCs/>
                <w:sz w:val="18"/>
                <w:szCs w:val="18"/>
                <w:u w:color="000000"/>
              </w:rPr>
              <w:t>Artí</w:t>
            </w:r>
            <w:r w:rsidRPr="00731480">
              <w:rPr>
                <w:rStyle w:val="Ninguno"/>
                <w:rFonts w:ascii="Gotham" w:eastAsiaTheme="majorEastAsia" w:hAnsi="Gotham" w:cs="Arial Unicode MS"/>
                <w:b/>
                <w:bCs/>
                <w:sz w:val="18"/>
                <w:szCs w:val="18"/>
                <w:u w:color="000000"/>
                <w:lang w:val="pt-PT"/>
              </w:rPr>
              <w:t>culo 42</w:t>
            </w:r>
            <w:r w:rsidRPr="00731480">
              <w:rPr>
                <w:rFonts w:ascii="Gotham" w:hAnsi="Gotham" w:cs="Arial Unicode MS"/>
                <w:kern w:val="2"/>
                <w:sz w:val="18"/>
                <w:szCs w:val="18"/>
                <w:u w:color="000000"/>
                <w:lang w:val="es-ES_tradnl"/>
              </w:rPr>
              <w:t>.- El Fondo de Apoyo para Artesanas y Artesanos del Municipio de Tonal</w:t>
            </w:r>
            <w:r w:rsidRPr="00731480">
              <w:rPr>
                <w:rFonts w:ascii="Gotham" w:hAnsi="Gotham" w:cs="Arial Unicode MS"/>
                <w:kern w:val="2"/>
                <w:sz w:val="18"/>
                <w:szCs w:val="18"/>
                <w:u w:color="000000"/>
              </w:rPr>
              <w:t>á, ser</w:t>
            </w:r>
            <w:r w:rsidRPr="00731480">
              <w:rPr>
                <w:rFonts w:ascii="Gotham" w:hAnsi="Gotham" w:cs="Arial Unicode MS"/>
                <w:kern w:val="2"/>
                <w:sz w:val="18"/>
                <w:szCs w:val="18"/>
                <w:u w:color="000000"/>
                <w:lang w:val="pt-PT"/>
              </w:rPr>
              <w:t xml:space="preserve">á </w:t>
            </w:r>
            <w:r w:rsidRPr="00731480">
              <w:rPr>
                <w:rFonts w:ascii="Gotham" w:hAnsi="Gotham" w:cs="Arial Unicode MS"/>
                <w:kern w:val="2"/>
                <w:sz w:val="18"/>
                <w:szCs w:val="18"/>
                <w:u w:color="000000"/>
                <w:lang w:val="es-ES_tradnl"/>
              </w:rPr>
              <w:t>subsidiado mediante las aportaciones econ</w:t>
            </w:r>
            <w:r w:rsidRPr="00731480">
              <w:rPr>
                <w:rFonts w:ascii="Gotham" w:hAnsi="Gotham" w:cs="Arial Unicode MS"/>
                <w:kern w:val="2"/>
                <w:sz w:val="18"/>
                <w:szCs w:val="18"/>
                <w:u w:color="000000"/>
              </w:rPr>
              <w:t>ó</w:t>
            </w:r>
            <w:r w:rsidRPr="00731480">
              <w:rPr>
                <w:rFonts w:ascii="Gotham" w:hAnsi="Gotham" w:cs="Arial Unicode MS"/>
                <w:kern w:val="2"/>
                <w:sz w:val="18"/>
                <w:szCs w:val="18"/>
                <w:u w:color="000000"/>
                <w:lang w:val="es-ES_tradnl"/>
              </w:rPr>
              <w:t>micas y/o en especie del sector privado artesanal, as</w:t>
            </w:r>
            <w:r w:rsidRPr="00731480">
              <w:rPr>
                <w:rFonts w:ascii="Gotham" w:hAnsi="Gotham" w:cs="Arial Unicode MS"/>
                <w:kern w:val="2"/>
                <w:sz w:val="18"/>
                <w:szCs w:val="18"/>
                <w:u w:color="000000"/>
              </w:rPr>
              <w:t xml:space="preserve">í </w:t>
            </w:r>
            <w:r w:rsidRPr="00731480">
              <w:rPr>
                <w:rFonts w:ascii="Gotham" w:hAnsi="Gotham" w:cs="Arial Unicode MS"/>
                <w:kern w:val="2"/>
                <w:sz w:val="18"/>
                <w:szCs w:val="18"/>
                <w:u w:color="000000"/>
                <w:lang w:val="es-ES_tradnl"/>
              </w:rPr>
              <w:t>como las aportaciones econ</w:t>
            </w:r>
            <w:r w:rsidRPr="00731480">
              <w:rPr>
                <w:rFonts w:ascii="Gotham" w:hAnsi="Gotham" w:cs="Arial Unicode MS"/>
                <w:kern w:val="2"/>
                <w:sz w:val="18"/>
                <w:szCs w:val="18"/>
                <w:u w:color="000000"/>
              </w:rPr>
              <w:t>ó</w:t>
            </w:r>
            <w:r w:rsidRPr="00731480">
              <w:rPr>
                <w:rFonts w:ascii="Gotham" w:hAnsi="Gotham" w:cs="Arial Unicode MS"/>
                <w:kern w:val="2"/>
                <w:sz w:val="18"/>
                <w:szCs w:val="18"/>
                <w:u w:color="000000"/>
                <w:lang w:val="es-ES_tradnl"/>
              </w:rPr>
              <w:t>micas del Organismo P</w:t>
            </w:r>
            <w:r w:rsidRPr="00731480">
              <w:rPr>
                <w:rFonts w:ascii="Gotham" w:hAnsi="Gotham" w:cs="Arial Unicode MS"/>
                <w:kern w:val="2"/>
                <w:sz w:val="18"/>
                <w:szCs w:val="18"/>
                <w:u w:color="000000"/>
              </w:rPr>
              <w:t>ú</w:t>
            </w:r>
            <w:r w:rsidRPr="00731480">
              <w:rPr>
                <w:rFonts w:ascii="Gotham" w:hAnsi="Gotham" w:cs="Arial Unicode MS"/>
                <w:kern w:val="2"/>
                <w:sz w:val="18"/>
                <w:szCs w:val="18"/>
                <w:u w:color="000000"/>
                <w:lang w:val="pt-PT"/>
              </w:rPr>
              <w:t xml:space="preserve">blico descentralizado </w:t>
            </w:r>
            <w:r w:rsidRPr="00731480">
              <w:rPr>
                <w:rFonts w:ascii="Gotham" w:hAnsi="Gotham" w:cs="Arial Unicode MS"/>
                <w:kern w:val="2"/>
                <w:sz w:val="18"/>
                <w:szCs w:val="18"/>
                <w:u w:color="000000"/>
                <w:rtl/>
                <w:lang w:val="ar-SA"/>
              </w:rPr>
              <w:t>“</w:t>
            </w:r>
            <w:r w:rsidRPr="00731480">
              <w:rPr>
                <w:rFonts w:ascii="Gotham" w:hAnsi="Gotham" w:cs="Arial Unicode MS"/>
                <w:kern w:val="2"/>
                <w:sz w:val="18"/>
                <w:szCs w:val="18"/>
                <w:u w:color="000000"/>
                <w:lang w:val="es-ES_tradnl"/>
              </w:rPr>
              <w:t>Instituto Tonalteca de las Artesan</w:t>
            </w:r>
            <w:r w:rsidRPr="00731480">
              <w:rPr>
                <w:rFonts w:ascii="Gotham" w:hAnsi="Gotham" w:cs="Arial Unicode MS"/>
                <w:kern w:val="2"/>
                <w:sz w:val="18"/>
                <w:szCs w:val="18"/>
                <w:u w:color="000000"/>
              </w:rPr>
              <w:t>í</w:t>
            </w:r>
            <w:r w:rsidRPr="00731480">
              <w:rPr>
                <w:rFonts w:ascii="Gotham" w:hAnsi="Gotham" w:cs="Arial Unicode MS"/>
                <w:kern w:val="2"/>
                <w:sz w:val="18"/>
                <w:szCs w:val="18"/>
                <w:u w:color="000000"/>
                <w:lang w:val="es-ES_tradnl"/>
              </w:rPr>
              <w:t>as del municipio de Tonal</w:t>
            </w:r>
            <w:r w:rsidRPr="00731480">
              <w:rPr>
                <w:rFonts w:ascii="Gotham" w:hAnsi="Gotham" w:cs="Arial Unicode MS"/>
                <w:kern w:val="2"/>
                <w:sz w:val="18"/>
                <w:szCs w:val="18"/>
                <w:u w:color="000000"/>
              </w:rPr>
              <w:t>á</w:t>
            </w:r>
            <w:r w:rsidRPr="00731480">
              <w:rPr>
                <w:rFonts w:ascii="Gotham" w:hAnsi="Gotham" w:cs="Arial Unicode MS"/>
                <w:kern w:val="2"/>
                <w:sz w:val="18"/>
                <w:szCs w:val="18"/>
                <w:u w:color="000000"/>
                <w:lang w:val="nl-NL"/>
              </w:rPr>
              <w:t>, Jalisco</w:t>
            </w:r>
            <w:r w:rsidRPr="00731480">
              <w:rPr>
                <w:rFonts w:ascii="Gotham" w:hAnsi="Gotham" w:cs="Arial Unicode MS"/>
                <w:kern w:val="2"/>
                <w:sz w:val="18"/>
                <w:szCs w:val="18"/>
                <w:u w:color="000000"/>
              </w:rPr>
              <w:t xml:space="preserve">” </w:t>
            </w:r>
            <w:r w:rsidRPr="00731480">
              <w:rPr>
                <w:rFonts w:ascii="Gotham" w:hAnsi="Gotham" w:cs="Arial Unicode MS"/>
                <w:kern w:val="2"/>
                <w:sz w:val="18"/>
                <w:szCs w:val="18"/>
                <w:u w:color="000000"/>
                <w:lang w:val="es-ES_tradnl"/>
              </w:rPr>
              <w:t>de acuerdo con la suficiencia presupuestal.</w:t>
            </w:r>
          </w:p>
          <w:p w14:paraId="3A4767E5" w14:textId="77777777" w:rsidR="009B5E39" w:rsidRPr="00731480" w:rsidRDefault="009B5E39" w:rsidP="00190E4A">
            <w:pPr>
              <w:tabs>
                <w:tab w:val="left" w:pos="720"/>
                <w:tab w:val="left" w:pos="1440"/>
                <w:tab w:val="left" w:pos="2160"/>
                <w:tab w:val="left" w:pos="2880"/>
                <w:tab w:val="left" w:pos="3600"/>
                <w:tab w:val="left" w:pos="4320"/>
                <w:tab w:val="left" w:pos="5040"/>
                <w:tab w:val="left" w:pos="5760"/>
                <w:tab w:val="left" w:pos="6480"/>
              </w:tabs>
              <w:jc w:val="both"/>
              <w:rPr>
                <w:rFonts w:ascii="Gotham" w:eastAsia="Arial" w:hAnsi="Gotham" w:cs="Arial"/>
                <w:kern w:val="2"/>
                <w:sz w:val="18"/>
                <w:szCs w:val="18"/>
                <w:u w:color="000000"/>
              </w:rPr>
            </w:pPr>
          </w:p>
          <w:p w14:paraId="3A4767E6" w14:textId="77777777" w:rsidR="009B5E39" w:rsidRPr="00731480" w:rsidRDefault="009B5E39" w:rsidP="00190E4A">
            <w:pPr>
              <w:tabs>
                <w:tab w:val="left" w:pos="720"/>
                <w:tab w:val="left" w:pos="1440"/>
                <w:tab w:val="left" w:pos="2160"/>
                <w:tab w:val="left" w:pos="2880"/>
                <w:tab w:val="left" w:pos="3600"/>
                <w:tab w:val="left" w:pos="4320"/>
                <w:tab w:val="left" w:pos="5040"/>
                <w:tab w:val="left" w:pos="5760"/>
                <w:tab w:val="left" w:pos="6480"/>
              </w:tabs>
              <w:spacing w:after="60"/>
              <w:jc w:val="both"/>
              <w:rPr>
                <w:rFonts w:ascii="Gotham" w:hAnsi="Gotham"/>
                <w:sz w:val="18"/>
                <w:szCs w:val="18"/>
              </w:rPr>
            </w:pPr>
            <w:r w:rsidRPr="00731480">
              <w:rPr>
                <w:rStyle w:val="Ninguno"/>
                <w:rFonts w:ascii="Gotham" w:eastAsiaTheme="majorEastAsia" w:hAnsi="Gotham" w:cs="Arial Unicode MS"/>
                <w:color w:val="B51A00"/>
                <w:sz w:val="18"/>
                <w:szCs w:val="18"/>
                <w:u w:color="000000"/>
              </w:rPr>
              <w:t>42.1 El OPD Instituto Tonalteca de las Artesanías podrá recibir donativos de terceros, previa autorización de la Junta de Gobierno, previa asignación del recurso de esos donativos</w:t>
            </w:r>
            <w:r w:rsidRPr="00731480">
              <w:rPr>
                <w:rFonts w:ascii="Gotham" w:hAnsi="Gotham" w:cs="Arial Unicode MS"/>
                <w:kern w:val="2"/>
                <w:sz w:val="18"/>
                <w:szCs w:val="18"/>
                <w:u w:color="000000"/>
                <w:lang w:val="es-ES_tradnl"/>
              </w:rPr>
              <w:t xml:space="preserve">. </w:t>
            </w:r>
          </w:p>
        </w:tc>
      </w:tr>
      <w:tr w:rsidR="009B5E39" w:rsidRPr="00731480" w14:paraId="3A4767EA"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E8"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Artículo 43.- El Fondo de Apoyo deberá de ser utilizado para cubrir gastos de traslado, generados por la participación en exposiciones artesanales fuera del territorio Municipal.</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E9" w14:textId="77777777" w:rsidR="009B5E39" w:rsidRPr="00731480" w:rsidRDefault="009B5E39" w:rsidP="00190E4A">
            <w:pPr>
              <w:pStyle w:val="Cuerpo"/>
              <w:spacing w:before="60" w:after="60"/>
              <w:jc w:val="both"/>
              <w:rPr>
                <w:rFonts w:ascii="Gotham" w:hAnsi="Gotham"/>
                <w:sz w:val="18"/>
                <w:szCs w:val="18"/>
              </w:rPr>
            </w:pPr>
            <w:r w:rsidRPr="00731480">
              <w:rPr>
                <w:rStyle w:val="Ninguno"/>
                <w:rFonts w:ascii="Gotham" w:hAnsi="Gotham"/>
                <w:sz w:val="18"/>
                <w:szCs w:val="18"/>
              </w:rPr>
              <w:t xml:space="preserve">Artículo 43.- El Fondo de Apoyo deberá de ser utilizado para cubrir gastos </w:t>
            </w:r>
            <w:r w:rsidRPr="00731480">
              <w:rPr>
                <w:rStyle w:val="Ninguno"/>
                <w:rFonts w:ascii="Gotham" w:hAnsi="Gotham"/>
                <w:color w:val="C00000"/>
                <w:sz w:val="18"/>
                <w:szCs w:val="18"/>
                <w:u w:color="C00000"/>
              </w:rPr>
              <w:t>de traslado, hospeda y alimentos</w:t>
            </w:r>
            <w:r w:rsidRPr="00731480">
              <w:rPr>
                <w:rStyle w:val="Ninguno"/>
                <w:rFonts w:ascii="Gotham" w:hAnsi="Gotham"/>
                <w:sz w:val="18"/>
                <w:szCs w:val="18"/>
              </w:rPr>
              <w:t xml:space="preserve"> generados por la participación en exposiciones artesanales fuera del territorio Municipal.</w:t>
            </w:r>
          </w:p>
        </w:tc>
      </w:tr>
      <w:tr w:rsidR="009B5E39" w:rsidRPr="00731480" w14:paraId="3A4767F5"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EB" w14:textId="2DD0CEAB"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Artí</w:t>
            </w:r>
            <w:r w:rsidRPr="00731480">
              <w:rPr>
                <w:rFonts w:ascii="Gotham" w:hAnsi="Gotham"/>
                <w:sz w:val="18"/>
                <w:szCs w:val="18"/>
                <w:lang w:val="es-ES_tradnl"/>
              </w:rPr>
              <w:t>culo 44.- El Fondo de Apoyo para exposiciones for</w:t>
            </w:r>
            <w:r w:rsidRPr="00731480">
              <w:rPr>
                <w:rFonts w:ascii="Gotham" w:hAnsi="Gotham"/>
                <w:sz w:val="18"/>
                <w:szCs w:val="18"/>
              </w:rPr>
              <w:t>á</w:t>
            </w:r>
            <w:r w:rsidRPr="00731480">
              <w:rPr>
                <w:rFonts w:ascii="Gotham" w:hAnsi="Gotham"/>
                <w:sz w:val="18"/>
                <w:szCs w:val="18"/>
                <w:lang w:val="es-ES_tradnl"/>
              </w:rPr>
              <w:t>neas a las artesanas y artesanos ser</w:t>
            </w:r>
            <w:r w:rsidRPr="00731480">
              <w:rPr>
                <w:rFonts w:ascii="Gotham" w:hAnsi="Gotham"/>
                <w:sz w:val="18"/>
                <w:szCs w:val="18"/>
                <w:lang w:val="pt-PT"/>
              </w:rPr>
              <w:t xml:space="preserve">á </w:t>
            </w:r>
            <w:r w:rsidRPr="00731480">
              <w:rPr>
                <w:rFonts w:ascii="Gotham" w:hAnsi="Gotham"/>
                <w:sz w:val="18"/>
                <w:szCs w:val="18"/>
                <w:lang w:val="es-ES_tradnl"/>
              </w:rPr>
              <w:t xml:space="preserve">administrado por un </w:t>
            </w:r>
            <w:r w:rsidR="005402E6" w:rsidRPr="00731480">
              <w:rPr>
                <w:rFonts w:ascii="Gotham" w:hAnsi="Gotham"/>
                <w:sz w:val="18"/>
                <w:szCs w:val="18"/>
                <w:lang w:val="es-ES_tradnl"/>
              </w:rPr>
              <w:t>Comité</w:t>
            </w:r>
            <w:r w:rsidR="005402E6">
              <w:rPr>
                <w:rFonts w:ascii="Gotham" w:hAnsi="Gotham"/>
                <w:sz w:val="18"/>
                <w:szCs w:val="18"/>
                <w:lang w:val="fr-FR"/>
              </w:rPr>
              <w:t xml:space="preserve"> </w:t>
            </w:r>
            <w:r w:rsidRPr="00731480">
              <w:rPr>
                <w:rFonts w:ascii="Gotham" w:hAnsi="Gotham"/>
                <w:sz w:val="18"/>
                <w:szCs w:val="18"/>
                <w:lang w:val="es-ES_tradnl"/>
              </w:rPr>
              <w:t>de Administraci</w:t>
            </w:r>
            <w:r w:rsidRPr="00731480">
              <w:rPr>
                <w:rFonts w:ascii="Gotham" w:hAnsi="Gotham"/>
                <w:sz w:val="18"/>
                <w:szCs w:val="18"/>
              </w:rPr>
              <w:t>ó</w:t>
            </w:r>
            <w:r w:rsidRPr="00731480">
              <w:rPr>
                <w:rFonts w:ascii="Gotham" w:hAnsi="Gotham"/>
                <w:sz w:val="18"/>
                <w:szCs w:val="18"/>
                <w:lang w:val="es-ES_tradnl"/>
              </w:rPr>
              <w:t>n del Fondo de Apoyo, integrado de la siguiente manera:</w:t>
            </w:r>
          </w:p>
          <w:p w14:paraId="3A4767EC"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a)</w:t>
            </w:r>
            <w:r w:rsidR="007C2F8D">
              <w:rPr>
                <w:rFonts w:ascii="Gotham" w:hAnsi="Gotham"/>
                <w:sz w:val="18"/>
                <w:szCs w:val="18"/>
              </w:rPr>
              <w:t xml:space="preserve"> </w:t>
            </w:r>
            <w:r w:rsidRPr="00731480">
              <w:rPr>
                <w:rFonts w:ascii="Gotham" w:hAnsi="Gotham"/>
                <w:sz w:val="18"/>
                <w:szCs w:val="18"/>
                <w:lang w:val="es-ES_tradnl"/>
              </w:rPr>
              <w:t>El titular del Organismo P</w:t>
            </w:r>
            <w:r w:rsidRPr="00731480">
              <w:rPr>
                <w:rFonts w:ascii="Gotham" w:hAnsi="Gotham"/>
                <w:sz w:val="18"/>
                <w:szCs w:val="18"/>
              </w:rPr>
              <w:t>ú</w:t>
            </w:r>
            <w:r w:rsidRPr="00731480">
              <w:rPr>
                <w:rFonts w:ascii="Gotham" w:hAnsi="Gotham"/>
                <w:sz w:val="18"/>
                <w:szCs w:val="18"/>
                <w:lang w:val="es-ES_tradnl"/>
              </w:rPr>
              <w:t>blico Descentralizado del Instituto Tonalteca de las Artesan</w:t>
            </w:r>
            <w:r w:rsidRPr="00731480">
              <w:rPr>
                <w:rFonts w:ascii="Gotham" w:hAnsi="Gotham"/>
                <w:sz w:val="18"/>
                <w:szCs w:val="18"/>
              </w:rPr>
              <w:t>í</w:t>
            </w:r>
            <w:r w:rsidRPr="00731480">
              <w:rPr>
                <w:rFonts w:ascii="Gotham" w:hAnsi="Gotham"/>
                <w:sz w:val="18"/>
                <w:szCs w:val="18"/>
                <w:lang w:val="es-ES_tradnl"/>
              </w:rPr>
              <w:t>as del municipio de Tonal</w:t>
            </w:r>
            <w:r w:rsidRPr="00731480">
              <w:rPr>
                <w:rFonts w:ascii="Gotham" w:hAnsi="Gotham"/>
                <w:sz w:val="18"/>
                <w:szCs w:val="18"/>
              </w:rPr>
              <w:t>á</w:t>
            </w:r>
            <w:r w:rsidRPr="00731480">
              <w:rPr>
                <w:rFonts w:ascii="Gotham" w:hAnsi="Gotham"/>
                <w:sz w:val="18"/>
                <w:szCs w:val="18"/>
                <w:lang w:val="pt-PT"/>
              </w:rPr>
              <w:t>, Jalisco, que presidirá dicho Comit</w:t>
            </w:r>
            <w:r w:rsidRPr="00731480">
              <w:rPr>
                <w:rFonts w:ascii="Gotham" w:hAnsi="Gotham"/>
                <w:sz w:val="18"/>
                <w:szCs w:val="18"/>
                <w:lang w:val="fr-FR"/>
              </w:rPr>
              <w:t xml:space="preserve">é </w:t>
            </w:r>
            <w:r w:rsidRPr="00731480">
              <w:rPr>
                <w:rFonts w:ascii="Gotham" w:hAnsi="Gotham"/>
                <w:sz w:val="18"/>
                <w:szCs w:val="18"/>
                <w:lang w:val="es-ES_tradnl"/>
              </w:rPr>
              <w:t>o quien el designe.</w:t>
            </w:r>
          </w:p>
          <w:p w14:paraId="3A4767ED"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b)</w:t>
            </w:r>
            <w:r w:rsidR="007C2F8D">
              <w:rPr>
                <w:rFonts w:ascii="Gotham" w:hAnsi="Gotham"/>
                <w:sz w:val="18"/>
                <w:szCs w:val="18"/>
              </w:rPr>
              <w:t xml:space="preserve"> </w:t>
            </w:r>
            <w:r w:rsidRPr="00731480">
              <w:rPr>
                <w:rFonts w:ascii="Gotham" w:hAnsi="Gotham"/>
                <w:sz w:val="18"/>
                <w:szCs w:val="18"/>
                <w:lang w:val="es-ES_tradnl"/>
              </w:rPr>
              <w:t>Regidor Presidente de la Comisi</w:t>
            </w:r>
            <w:r w:rsidRPr="00731480">
              <w:rPr>
                <w:rFonts w:ascii="Gotham" w:hAnsi="Gotham"/>
                <w:sz w:val="18"/>
                <w:szCs w:val="18"/>
              </w:rPr>
              <w:t>ó</w:t>
            </w:r>
            <w:r w:rsidRPr="00731480">
              <w:rPr>
                <w:rFonts w:ascii="Gotham" w:hAnsi="Gotham"/>
                <w:sz w:val="18"/>
                <w:szCs w:val="18"/>
                <w:lang w:val="es-ES_tradnl"/>
              </w:rPr>
              <w:t>n Edilicia de Fomento Artesanal, Turismo y Desarrollo Econ</w:t>
            </w:r>
            <w:r w:rsidRPr="00731480">
              <w:rPr>
                <w:rFonts w:ascii="Gotham" w:hAnsi="Gotham"/>
                <w:sz w:val="18"/>
                <w:szCs w:val="18"/>
              </w:rPr>
              <w:t>ó</w:t>
            </w:r>
            <w:r w:rsidRPr="00731480">
              <w:rPr>
                <w:rFonts w:ascii="Gotham" w:hAnsi="Gotham"/>
                <w:sz w:val="18"/>
                <w:szCs w:val="18"/>
                <w:lang w:val="it-IT"/>
              </w:rPr>
              <w:t>mico.</w:t>
            </w:r>
          </w:p>
          <w:p w14:paraId="3A4767EE"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c)</w:t>
            </w:r>
            <w:r w:rsidR="007C2F8D">
              <w:rPr>
                <w:rFonts w:ascii="Gotham" w:hAnsi="Gotham"/>
                <w:sz w:val="18"/>
                <w:szCs w:val="18"/>
              </w:rPr>
              <w:t xml:space="preserve"> </w:t>
            </w:r>
            <w:r w:rsidRPr="00731480">
              <w:rPr>
                <w:rFonts w:ascii="Gotham" w:hAnsi="Gotham"/>
                <w:sz w:val="18"/>
                <w:szCs w:val="18"/>
                <w:lang w:val="es-ES_tradnl"/>
              </w:rPr>
              <w:t>Regidor Presidente de la Comisi</w:t>
            </w:r>
            <w:r w:rsidRPr="00731480">
              <w:rPr>
                <w:rFonts w:ascii="Gotham" w:hAnsi="Gotham"/>
                <w:sz w:val="18"/>
                <w:szCs w:val="18"/>
              </w:rPr>
              <w:t>ó</w:t>
            </w:r>
            <w:r w:rsidRPr="00731480">
              <w:rPr>
                <w:rFonts w:ascii="Gotham" w:hAnsi="Gotham"/>
                <w:sz w:val="18"/>
                <w:szCs w:val="18"/>
                <w:lang w:val="es-ES_tradnl"/>
              </w:rPr>
              <w:t xml:space="preserve">n Edilicia de Hacienda Municipal y Presupuestos. </w:t>
            </w:r>
            <w:r w:rsidRPr="00731480">
              <w:rPr>
                <w:rStyle w:val="Ninguno"/>
                <w:rFonts w:ascii="Gotham" w:hAnsi="Gotham"/>
                <w:i/>
                <w:iCs/>
                <w:sz w:val="18"/>
                <w:szCs w:val="18"/>
              </w:rPr>
              <w:t>(Reforma, acuerdo 756, Sesión Ordinaria 29 junio de 2023)</w:t>
            </w:r>
          </w:p>
          <w:p w14:paraId="3A4767EF"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d)</w:t>
            </w:r>
            <w:r w:rsidR="007C2F8D">
              <w:rPr>
                <w:rFonts w:ascii="Gotham" w:hAnsi="Gotham"/>
                <w:sz w:val="18"/>
                <w:szCs w:val="18"/>
              </w:rPr>
              <w:t xml:space="preserve"> </w:t>
            </w:r>
            <w:r w:rsidRPr="00731480">
              <w:rPr>
                <w:rFonts w:ascii="Gotham" w:hAnsi="Gotham"/>
                <w:sz w:val="18"/>
                <w:szCs w:val="18"/>
                <w:lang w:val="es-ES_tradnl"/>
              </w:rPr>
              <w:t>Dos representantes de las y los Artesanos Tonaltecas, observando el principio de paridad.</w:t>
            </w:r>
          </w:p>
          <w:p w14:paraId="3A4767F0"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e)</w:t>
            </w:r>
            <w:r w:rsidR="007C2F8D">
              <w:rPr>
                <w:rFonts w:ascii="Gotham" w:hAnsi="Gotham"/>
                <w:sz w:val="18"/>
                <w:szCs w:val="18"/>
              </w:rPr>
              <w:t xml:space="preserve"> </w:t>
            </w:r>
            <w:r w:rsidRPr="00731480">
              <w:rPr>
                <w:rFonts w:ascii="Gotham" w:hAnsi="Gotham"/>
                <w:sz w:val="18"/>
                <w:szCs w:val="18"/>
                <w:lang w:val="es-ES_tradnl"/>
              </w:rPr>
              <w:t>Un representante de la Tesorer</w:t>
            </w:r>
            <w:r w:rsidRPr="00731480">
              <w:rPr>
                <w:rFonts w:ascii="Gotham" w:hAnsi="Gotham"/>
                <w:sz w:val="18"/>
                <w:szCs w:val="18"/>
              </w:rPr>
              <w:t>í</w:t>
            </w:r>
            <w:r w:rsidRPr="00731480">
              <w:rPr>
                <w:rFonts w:ascii="Gotham" w:hAnsi="Gotham"/>
                <w:sz w:val="18"/>
                <w:szCs w:val="18"/>
                <w:lang w:val="pt-PT"/>
              </w:rPr>
              <w:t>a Municipal.</w:t>
            </w:r>
          </w:p>
          <w:p w14:paraId="3A4767F1"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f)</w:t>
            </w:r>
            <w:r w:rsidR="007C2F8D">
              <w:rPr>
                <w:rFonts w:ascii="Gotham" w:hAnsi="Gotham"/>
                <w:sz w:val="18"/>
                <w:szCs w:val="18"/>
              </w:rPr>
              <w:t xml:space="preserve"> </w:t>
            </w:r>
            <w:r w:rsidRPr="00731480">
              <w:rPr>
                <w:rFonts w:ascii="Gotham" w:hAnsi="Gotham"/>
                <w:sz w:val="18"/>
                <w:szCs w:val="18"/>
                <w:lang w:val="es-ES_tradnl"/>
              </w:rPr>
              <w:t>Un representante de CANACO Tonal</w:t>
            </w:r>
            <w:r w:rsidRPr="00731480">
              <w:rPr>
                <w:rFonts w:ascii="Gotham" w:hAnsi="Gotham"/>
                <w:sz w:val="18"/>
                <w:szCs w:val="18"/>
              </w:rPr>
              <w:t>á.</w:t>
            </w:r>
          </w:p>
          <w:p w14:paraId="3A4767F2"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60" w:line="240" w:lineRule="auto"/>
              <w:jc w:val="both"/>
              <w:rPr>
                <w:rFonts w:ascii="Gotham" w:hAnsi="Gotham"/>
                <w:sz w:val="18"/>
                <w:szCs w:val="18"/>
              </w:rPr>
            </w:pPr>
            <w:r w:rsidRPr="00731480">
              <w:rPr>
                <w:rFonts w:ascii="Gotham" w:hAnsi="Gotham"/>
                <w:sz w:val="18"/>
                <w:szCs w:val="18"/>
                <w:lang w:val="es-ES_tradnl"/>
              </w:rPr>
              <w:t xml:space="preserve">Cada integrante del fondo de Apoyo para </w:t>
            </w:r>
            <w:r w:rsidRPr="00731480">
              <w:rPr>
                <w:rFonts w:ascii="Gotham" w:hAnsi="Gotham"/>
                <w:sz w:val="18"/>
                <w:szCs w:val="18"/>
                <w:lang w:val="es-ES_tradnl"/>
              </w:rPr>
              <w:lastRenderedPageBreak/>
              <w:t>exposiciones for</w:t>
            </w:r>
            <w:r w:rsidRPr="00731480">
              <w:rPr>
                <w:rFonts w:ascii="Gotham" w:hAnsi="Gotham"/>
                <w:sz w:val="18"/>
                <w:szCs w:val="18"/>
              </w:rPr>
              <w:t>á</w:t>
            </w:r>
            <w:r w:rsidRPr="00731480">
              <w:rPr>
                <w:rFonts w:ascii="Gotham" w:hAnsi="Gotham"/>
                <w:sz w:val="18"/>
                <w:szCs w:val="18"/>
                <w:lang w:val="es-ES_tradnl"/>
              </w:rPr>
              <w:t>neas a las y las artesanos, podr</w:t>
            </w:r>
            <w:r w:rsidRPr="00731480">
              <w:rPr>
                <w:rFonts w:ascii="Gotham" w:hAnsi="Gotham"/>
                <w:sz w:val="18"/>
                <w:szCs w:val="18"/>
                <w:lang w:val="pt-PT"/>
              </w:rPr>
              <w:t xml:space="preserve">á </w:t>
            </w:r>
            <w:r w:rsidRPr="00731480">
              <w:rPr>
                <w:rFonts w:ascii="Gotham" w:hAnsi="Gotham"/>
                <w:sz w:val="18"/>
                <w:szCs w:val="18"/>
                <w:lang w:val="es-ES_tradnl"/>
              </w:rPr>
              <w:t>designar bajo su m</w:t>
            </w:r>
            <w:r w:rsidRPr="00731480">
              <w:rPr>
                <w:rFonts w:ascii="Gotham" w:hAnsi="Gotham"/>
                <w:sz w:val="18"/>
                <w:szCs w:val="18"/>
              </w:rPr>
              <w:t>á</w:t>
            </w:r>
            <w:r w:rsidRPr="00731480">
              <w:rPr>
                <w:rFonts w:ascii="Gotham" w:hAnsi="Gotham"/>
                <w:sz w:val="18"/>
                <w:szCs w:val="18"/>
                <w:lang w:val="es-ES_tradnl"/>
              </w:rPr>
              <w:t>s estricta responsabilidad a un solo servidor p</w:t>
            </w:r>
            <w:r w:rsidRPr="00731480">
              <w:rPr>
                <w:rFonts w:ascii="Gotham" w:hAnsi="Gotham"/>
                <w:sz w:val="18"/>
                <w:szCs w:val="18"/>
              </w:rPr>
              <w:t>ú</w:t>
            </w:r>
            <w:r w:rsidRPr="00731480">
              <w:rPr>
                <w:rFonts w:ascii="Gotham" w:hAnsi="Gotham"/>
                <w:sz w:val="18"/>
                <w:szCs w:val="18"/>
                <w:lang w:val="es-ES_tradnl"/>
              </w:rPr>
              <w:t>blico para que lo sustituya en sus funciones. Este cargo ser</w:t>
            </w:r>
            <w:r w:rsidRPr="00731480">
              <w:rPr>
                <w:rFonts w:ascii="Gotham" w:hAnsi="Gotham"/>
                <w:sz w:val="18"/>
                <w:szCs w:val="18"/>
                <w:lang w:val="pt-PT"/>
              </w:rPr>
              <w:t xml:space="preserve">á </w:t>
            </w:r>
            <w:r w:rsidRPr="00731480">
              <w:rPr>
                <w:rFonts w:ascii="Gotham" w:hAnsi="Gotham"/>
                <w:sz w:val="18"/>
                <w:szCs w:val="18"/>
                <w:lang w:val="es-ES_tradnl"/>
              </w:rPr>
              <w:t>honorario y solo durar</w:t>
            </w:r>
            <w:r w:rsidRPr="00731480">
              <w:rPr>
                <w:rFonts w:ascii="Gotham" w:hAnsi="Gotham"/>
                <w:sz w:val="18"/>
                <w:szCs w:val="18"/>
                <w:lang w:val="pt-PT"/>
              </w:rPr>
              <w:t xml:space="preserve">á </w:t>
            </w:r>
            <w:r w:rsidRPr="00731480">
              <w:rPr>
                <w:rFonts w:ascii="Gotham" w:hAnsi="Gotham"/>
                <w:sz w:val="18"/>
                <w:szCs w:val="18"/>
                <w:lang w:val="es-ES_tradnl"/>
              </w:rPr>
              <w:t>el tiempo de la administraci</w:t>
            </w:r>
            <w:r w:rsidRPr="00731480">
              <w:rPr>
                <w:rFonts w:ascii="Gotham" w:hAnsi="Gotham"/>
                <w:sz w:val="18"/>
                <w:szCs w:val="18"/>
              </w:rPr>
              <w:t>ó</w:t>
            </w:r>
            <w:r w:rsidRPr="00731480">
              <w:rPr>
                <w:rFonts w:ascii="Gotham" w:hAnsi="Gotham"/>
                <w:sz w:val="18"/>
                <w:szCs w:val="18"/>
                <w:lang w:val="pt-PT"/>
              </w:rPr>
              <w:t>n en que seandesignados.</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F3"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Style w:val="Ninguno"/>
                <w:rFonts w:ascii="Gotham" w:eastAsia="Times New Roman" w:hAnsi="Gotham" w:cs="Times New Roman"/>
                <w:color w:val="B51A00"/>
                <w:sz w:val="18"/>
                <w:szCs w:val="18"/>
              </w:rPr>
            </w:pPr>
            <w:r w:rsidRPr="00731480">
              <w:rPr>
                <w:rFonts w:ascii="Gotham" w:hAnsi="Gotham"/>
                <w:sz w:val="18"/>
                <w:szCs w:val="18"/>
              </w:rPr>
              <w:lastRenderedPageBreak/>
              <w:t>Artí</w:t>
            </w:r>
            <w:r w:rsidRPr="00731480">
              <w:rPr>
                <w:rFonts w:ascii="Gotham" w:hAnsi="Gotham"/>
                <w:sz w:val="18"/>
                <w:szCs w:val="18"/>
                <w:lang w:val="es-ES_tradnl"/>
              </w:rPr>
              <w:t>culo 44.- El Fondo de Apoyo para exposiciones for</w:t>
            </w:r>
            <w:r w:rsidRPr="00731480">
              <w:rPr>
                <w:rFonts w:ascii="Gotham" w:hAnsi="Gotham"/>
                <w:sz w:val="18"/>
                <w:szCs w:val="18"/>
              </w:rPr>
              <w:t>á</w:t>
            </w:r>
            <w:r w:rsidRPr="00731480">
              <w:rPr>
                <w:rFonts w:ascii="Gotham" w:hAnsi="Gotham"/>
                <w:sz w:val="18"/>
                <w:szCs w:val="18"/>
                <w:lang w:val="es-ES_tradnl"/>
              </w:rPr>
              <w:t>neas a las artesanas y artesanos ser</w:t>
            </w:r>
            <w:r w:rsidRPr="00731480">
              <w:rPr>
                <w:rFonts w:ascii="Gotham" w:hAnsi="Gotham"/>
                <w:sz w:val="18"/>
                <w:szCs w:val="18"/>
                <w:lang w:val="pt-PT"/>
              </w:rPr>
              <w:t>á administrado por</w:t>
            </w:r>
            <w:r w:rsidRPr="00731480">
              <w:rPr>
                <w:rFonts w:ascii="Gotham" w:hAnsi="Gotham"/>
                <w:sz w:val="18"/>
                <w:szCs w:val="18"/>
                <w:lang w:val="es-ES_tradnl"/>
              </w:rPr>
              <w:t xml:space="preserve"> al dirección administrativa y supervisado y aprobado por los </w:t>
            </w:r>
            <w:r w:rsidRPr="00731480">
              <w:rPr>
                <w:rStyle w:val="Ninguno"/>
                <w:rFonts w:ascii="Gotham" w:hAnsi="Gotham"/>
                <w:color w:val="B51A00"/>
                <w:sz w:val="18"/>
                <w:szCs w:val="18"/>
              </w:rPr>
              <w:t>miembros de la Junta de Gobierno</w:t>
            </w:r>
          </w:p>
          <w:p w14:paraId="3A4767F4"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60" w:line="240" w:lineRule="auto"/>
              <w:jc w:val="both"/>
              <w:rPr>
                <w:rFonts w:ascii="Gotham" w:hAnsi="Gotham"/>
                <w:sz w:val="18"/>
                <w:szCs w:val="18"/>
              </w:rPr>
            </w:pPr>
            <w:r w:rsidRPr="00731480">
              <w:rPr>
                <w:rFonts w:ascii="Gotham" w:hAnsi="Gotham"/>
                <w:sz w:val="18"/>
                <w:szCs w:val="18"/>
                <w:lang w:val="es-ES_tradnl"/>
              </w:rPr>
              <w:t>Cada integrante del fondo de Apoyo para exposiciones for</w:t>
            </w:r>
            <w:r w:rsidRPr="00731480">
              <w:rPr>
                <w:rFonts w:ascii="Gotham" w:hAnsi="Gotham"/>
                <w:sz w:val="18"/>
                <w:szCs w:val="18"/>
              </w:rPr>
              <w:t>á</w:t>
            </w:r>
            <w:r w:rsidRPr="00731480">
              <w:rPr>
                <w:rFonts w:ascii="Gotham" w:hAnsi="Gotham"/>
                <w:sz w:val="18"/>
                <w:szCs w:val="18"/>
                <w:lang w:val="es-ES_tradnl"/>
              </w:rPr>
              <w:t>neas a las y las artesanos, podr</w:t>
            </w:r>
            <w:r w:rsidRPr="00731480">
              <w:rPr>
                <w:rFonts w:ascii="Gotham" w:hAnsi="Gotham"/>
                <w:sz w:val="18"/>
                <w:szCs w:val="18"/>
                <w:lang w:val="pt-PT"/>
              </w:rPr>
              <w:t xml:space="preserve">á </w:t>
            </w:r>
            <w:r w:rsidRPr="00731480">
              <w:rPr>
                <w:rFonts w:ascii="Gotham" w:hAnsi="Gotham"/>
                <w:sz w:val="18"/>
                <w:szCs w:val="18"/>
                <w:lang w:val="es-ES_tradnl"/>
              </w:rPr>
              <w:t>designar bajo su m</w:t>
            </w:r>
            <w:r w:rsidRPr="00731480">
              <w:rPr>
                <w:rFonts w:ascii="Gotham" w:hAnsi="Gotham"/>
                <w:sz w:val="18"/>
                <w:szCs w:val="18"/>
              </w:rPr>
              <w:t>á</w:t>
            </w:r>
            <w:r w:rsidRPr="00731480">
              <w:rPr>
                <w:rFonts w:ascii="Gotham" w:hAnsi="Gotham"/>
                <w:sz w:val="18"/>
                <w:szCs w:val="18"/>
                <w:lang w:val="es-ES_tradnl"/>
              </w:rPr>
              <w:t>s estricta responsabilidad a un solo servidor p</w:t>
            </w:r>
            <w:r w:rsidRPr="00731480">
              <w:rPr>
                <w:rFonts w:ascii="Gotham" w:hAnsi="Gotham"/>
                <w:sz w:val="18"/>
                <w:szCs w:val="18"/>
              </w:rPr>
              <w:t>ú</w:t>
            </w:r>
            <w:r w:rsidRPr="00731480">
              <w:rPr>
                <w:rFonts w:ascii="Gotham" w:hAnsi="Gotham"/>
                <w:sz w:val="18"/>
                <w:szCs w:val="18"/>
                <w:lang w:val="es-ES_tradnl"/>
              </w:rPr>
              <w:t>blico para que lo sustituya en sus funciones. Este cargo ser</w:t>
            </w:r>
            <w:r w:rsidRPr="00731480">
              <w:rPr>
                <w:rFonts w:ascii="Gotham" w:hAnsi="Gotham"/>
                <w:sz w:val="18"/>
                <w:szCs w:val="18"/>
                <w:lang w:val="pt-PT"/>
              </w:rPr>
              <w:t xml:space="preserve">á </w:t>
            </w:r>
            <w:r w:rsidRPr="00731480">
              <w:rPr>
                <w:rFonts w:ascii="Gotham" w:hAnsi="Gotham"/>
                <w:sz w:val="18"/>
                <w:szCs w:val="18"/>
                <w:lang w:val="es-ES_tradnl"/>
              </w:rPr>
              <w:t>honorario y solo durar</w:t>
            </w:r>
            <w:r w:rsidRPr="00731480">
              <w:rPr>
                <w:rFonts w:ascii="Gotham" w:hAnsi="Gotham"/>
                <w:sz w:val="18"/>
                <w:szCs w:val="18"/>
                <w:lang w:val="pt-PT"/>
              </w:rPr>
              <w:t xml:space="preserve">á </w:t>
            </w:r>
            <w:r w:rsidRPr="00731480">
              <w:rPr>
                <w:rFonts w:ascii="Gotham" w:hAnsi="Gotham"/>
                <w:sz w:val="18"/>
                <w:szCs w:val="18"/>
                <w:lang w:val="es-ES_tradnl"/>
              </w:rPr>
              <w:t>el tiempo de la administraci</w:t>
            </w:r>
            <w:r w:rsidRPr="00731480">
              <w:rPr>
                <w:rFonts w:ascii="Gotham" w:hAnsi="Gotham"/>
                <w:sz w:val="18"/>
                <w:szCs w:val="18"/>
              </w:rPr>
              <w:t>ó</w:t>
            </w:r>
            <w:r w:rsidRPr="00731480">
              <w:rPr>
                <w:rFonts w:ascii="Gotham" w:hAnsi="Gotham"/>
                <w:sz w:val="18"/>
                <w:szCs w:val="18"/>
                <w:lang w:val="es-ES_tradnl"/>
              </w:rPr>
              <w:t xml:space="preserve">n en que sean </w:t>
            </w:r>
            <w:r w:rsidRPr="00731480">
              <w:rPr>
                <w:rFonts w:ascii="Gotham" w:hAnsi="Gotham"/>
                <w:sz w:val="18"/>
                <w:szCs w:val="18"/>
                <w:lang w:val="pt-PT"/>
              </w:rPr>
              <w:t>designados.</w:t>
            </w:r>
          </w:p>
        </w:tc>
      </w:tr>
      <w:tr w:rsidR="009B5E39" w:rsidRPr="00731480" w14:paraId="3A4767FE"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F6"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lastRenderedPageBreak/>
              <w:t>Artí</w:t>
            </w:r>
            <w:r w:rsidRPr="00731480">
              <w:rPr>
                <w:rFonts w:ascii="Gotham" w:hAnsi="Gotham"/>
                <w:sz w:val="18"/>
                <w:szCs w:val="18"/>
                <w:lang w:val="pt-PT"/>
              </w:rPr>
              <w:t>culo 45.- Se presentar</w:t>
            </w:r>
            <w:r w:rsidRPr="00731480">
              <w:rPr>
                <w:rFonts w:ascii="Gotham" w:hAnsi="Gotham"/>
                <w:sz w:val="18"/>
                <w:szCs w:val="18"/>
              </w:rPr>
              <w:t>á</w:t>
            </w:r>
            <w:r w:rsidRPr="00731480">
              <w:rPr>
                <w:rFonts w:ascii="Gotham" w:hAnsi="Gotham"/>
                <w:sz w:val="18"/>
                <w:szCs w:val="18"/>
                <w:lang w:val="es-ES_tradnl"/>
              </w:rPr>
              <w:t>n los siguientes criterios de elegibilidad para que los artesanos puedan acceder al Fondo de Apoyo:</w:t>
            </w:r>
          </w:p>
          <w:p w14:paraId="3A4767F7"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Style w:val="Ninguno"/>
                <w:rFonts w:ascii="Gotham" w:hAnsi="Gotham"/>
                <w:sz w:val="18"/>
                <w:szCs w:val="18"/>
              </w:rPr>
              <w:t>a)</w:t>
            </w:r>
            <w:r w:rsidR="007C2F8D">
              <w:rPr>
                <w:rStyle w:val="Ninguno"/>
                <w:rFonts w:ascii="Gotham" w:hAnsi="Gotham"/>
                <w:sz w:val="18"/>
                <w:szCs w:val="18"/>
              </w:rPr>
              <w:t xml:space="preserve"> </w:t>
            </w:r>
            <w:r w:rsidRPr="00731480">
              <w:rPr>
                <w:rStyle w:val="Ninguno"/>
                <w:rFonts w:ascii="Gotham" w:hAnsi="Gotham"/>
                <w:sz w:val="18"/>
                <w:szCs w:val="18"/>
              </w:rPr>
              <w:t xml:space="preserve">Estar registrado en el padrón de artesanos del municipio </w:t>
            </w:r>
            <w:r w:rsidRPr="00731480">
              <w:rPr>
                <w:rFonts w:ascii="Gotham" w:hAnsi="Gotham"/>
                <w:i/>
                <w:iCs/>
                <w:sz w:val="18"/>
                <w:szCs w:val="18"/>
                <w:lang w:val="es-ES_tradnl"/>
              </w:rPr>
              <w:t>(Reforma, acuerdo 824, Sesi</w:t>
            </w:r>
            <w:r w:rsidRPr="00731480">
              <w:rPr>
                <w:rFonts w:ascii="Gotham" w:hAnsi="Gotham"/>
                <w:i/>
                <w:iCs/>
                <w:sz w:val="18"/>
                <w:szCs w:val="18"/>
              </w:rPr>
              <w:t>ó</w:t>
            </w:r>
            <w:r w:rsidRPr="00731480">
              <w:rPr>
                <w:rFonts w:ascii="Gotham" w:hAnsi="Gotham"/>
                <w:i/>
                <w:iCs/>
                <w:sz w:val="18"/>
                <w:szCs w:val="18"/>
                <w:lang w:val="pt-PT"/>
              </w:rPr>
              <w:t>n Ordinaria 24 agosto de 2023)</w:t>
            </w:r>
          </w:p>
          <w:p w14:paraId="3A4767F8"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b)</w:t>
            </w:r>
            <w:r w:rsidR="007C2F8D">
              <w:rPr>
                <w:rFonts w:ascii="Gotham" w:hAnsi="Gotham"/>
                <w:sz w:val="18"/>
                <w:szCs w:val="18"/>
              </w:rPr>
              <w:t xml:space="preserve"> </w:t>
            </w:r>
            <w:r w:rsidRPr="00731480">
              <w:rPr>
                <w:rFonts w:ascii="Gotham" w:hAnsi="Gotham"/>
                <w:sz w:val="18"/>
                <w:szCs w:val="18"/>
                <w:lang w:val="es-ES_tradnl"/>
              </w:rPr>
              <w:t>Solo se otorgar</w:t>
            </w:r>
            <w:r w:rsidRPr="00731480">
              <w:rPr>
                <w:rFonts w:ascii="Gotham" w:hAnsi="Gotham"/>
                <w:sz w:val="18"/>
                <w:szCs w:val="18"/>
                <w:lang w:val="pt-PT"/>
              </w:rPr>
              <w:t xml:space="preserve">á </w:t>
            </w:r>
            <w:r w:rsidRPr="00731480">
              <w:rPr>
                <w:rFonts w:ascii="Gotham" w:hAnsi="Gotham"/>
                <w:sz w:val="18"/>
                <w:szCs w:val="18"/>
                <w:lang w:val="es-ES_tradnl"/>
              </w:rPr>
              <w:t xml:space="preserve">un apoyo a cada artesano solicitante por evento al que pretenda participar, por </w:t>
            </w:r>
            <w:r w:rsidRPr="00731480">
              <w:rPr>
                <w:rFonts w:ascii="Gotham" w:hAnsi="Gotham"/>
                <w:sz w:val="18"/>
                <w:szCs w:val="18"/>
              </w:rPr>
              <w:t>ú</w:t>
            </w:r>
            <w:r w:rsidRPr="00731480">
              <w:rPr>
                <w:rFonts w:ascii="Gotham" w:hAnsi="Gotham"/>
                <w:sz w:val="18"/>
                <w:szCs w:val="18"/>
                <w:lang w:val="es-ES_tradnl"/>
              </w:rPr>
              <w:t>nica ocasi</w:t>
            </w:r>
            <w:r w:rsidRPr="00731480">
              <w:rPr>
                <w:rFonts w:ascii="Gotham" w:hAnsi="Gotham"/>
                <w:sz w:val="18"/>
                <w:szCs w:val="18"/>
              </w:rPr>
              <w:t>ón</w:t>
            </w:r>
          </w:p>
          <w:p w14:paraId="3A4767F9"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60" w:line="240" w:lineRule="auto"/>
              <w:jc w:val="both"/>
              <w:rPr>
                <w:rFonts w:ascii="Gotham" w:hAnsi="Gotham"/>
                <w:sz w:val="18"/>
                <w:szCs w:val="18"/>
              </w:rPr>
            </w:pPr>
            <w:r w:rsidRPr="00731480">
              <w:rPr>
                <w:rFonts w:ascii="Gotham" w:hAnsi="Gotham"/>
                <w:sz w:val="18"/>
                <w:szCs w:val="18"/>
              </w:rPr>
              <w:t>c)</w:t>
            </w:r>
            <w:r w:rsidR="007C2F8D">
              <w:rPr>
                <w:rFonts w:ascii="Gotham" w:hAnsi="Gotham"/>
                <w:sz w:val="18"/>
                <w:szCs w:val="18"/>
              </w:rPr>
              <w:t xml:space="preserve"> </w:t>
            </w:r>
            <w:r w:rsidRPr="00731480">
              <w:rPr>
                <w:rFonts w:ascii="Gotham" w:hAnsi="Gotham"/>
                <w:sz w:val="18"/>
                <w:szCs w:val="18"/>
                <w:lang w:val="pt-PT"/>
              </w:rPr>
              <w:t xml:space="preserve">Se excluirá </w:t>
            </w:r>
            <w:r w:rsidRPr="00731480">
              <w:rPr>
                <w:rFonts w:ascii="Gotham" w:hAnsi="Gotham"/>
                <w:sz w:val="18"/>
                <w:szCs w:val="18"/>
                <w:lang w:val="es-ES_tradnl"/>
              </w:rPr>
              <w:t>a Juicio de la representaci</w:t>
            </w:r>
            <w:r w:rsidRPr="00731480">
              <w:rPr>
                <w:rFonts w:ascii="Gotham" w:hAnsi="Gotham"/>
                <w:sz w:val="18"/>
                <w:szCs w:val="18"/>
              </w:rPr>
              <w:t>ó</w:t>
            </w:r>
            <w:r w:rsidRPr="00731480">
              <w:rPr>
                <w:rFonts w:ascii="Gotham" w:hAnsi="Gotham"/>
                <w:sz w:val="18"/>
                <w:szCs w:val="18"/>
                <w:lang w:val="es-ES_tradnl"/>
              </w:rPr>
              <w:t>n del fondo a los solicitantes con antecedentes negativos relacionados con la actividad artesanal.</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FA"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Artí</w:t>
            </w:r>
            <w:r w:rsidRPr="00731480">
              <w:rPr>
                <w:rFonts w:ascii="Gotham" w:hAnsi="Gotham"/>
                <w:sz w:val="18"/>
                <w:szCs w:val="18"/>
                <w:lang w:val="pt-PT"/>
              </w:rPr>
              <w:t>culo 45.- Se presentar</w:t>
            </w:r>
            <w:r w:rsidRPr="00731480">
              <w:rPr>
                <w:rFonts w:ascii="Gotham" w:hAnsi="Gotham"/>
                <w:sz w:val="18"/>
                <w:szCs w:val="18"/>
              </w:rPr>
              <w:t>á</w:t>
            </w:r>
            <w:r w:rsidRPr="00731480">
              <w:rPr>
                <w:rFonts w:ascii="Gotham" w:hAnsi="Gotham"/>
                <w:sz w:val="18"/>
                <w:szCs w:val="18"/>
                <w:lang w:val="es-ES_tradnl"/>
              </w:rPr>
              <w:t>n los siguientes criterios de elegibilidad para que los artesanos puedan acceder al Fondo de Apoyo:</w:t>
            </w:r>
          </w:p>
          <w:p w14:paraId="3A4767FB"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Style w:val="Ninguno"/>
                <w:rFonts w:ascii="Gotham" w:eastAsia="Times New Roman" w:hAnsi="Gotham" w:cs="Times New Roman"/>
                <w:sz w:val="18"/>
                <w:szCs w:val="18"/>
              </w:rPr>
            </w:pPr>
            <w:r w:rsidRPr="00731480">
              <w:rPr>
                <w:rStyle w:val="Ninguno"/>
                <w:rFonts w:ascii="Gotham" w:hAnsi="Gotham"/>
                <w:sz w:val="18"/>
                <w:szCs w:val="18"/>
              </w:rPr>
              <w:t>a)</w:t>
            </w:r>
            <w:r w:rsidR="007C2F8D">
              <w:rPr>
                <w:rStyle w:val="Ninguno"/>
                <w:rFonts w:ascii="Gotham" w:hAnsi="Gotham"/>
                <w:sz w:val="18"/>
                <w:szCs w:val="18"/>
              </w:rPr>
              <w:t xml:space="preserve"> </w:t>
            </w:r>
            <w:r w:rsidRPr="00731480">
              <w:rPr>
                <w:rStyle w:val="Ninguno"/>
                <w:rFonts w:ascii="Gotham" w:hAnsi="Gotham"/>
                <w:sz w:val="18"/>
                <w:szCs w:val="18"/>
              </w:rPr>
              <w:t xml:space="preserve">Estar registrado en el padrón de artesanos del municipio </w:t>
            </w:r>
            <w:r w:rsidRPr="00731480">
              <w:rPr>
                <w:rFonts w:ascii="Gotham" w:hAnsi="Gotham"/>
                <w:i/>
                <w:iCs/>
                <w:sz w:val="18"/>
                <w:szCs w:val="18"/>
                <w:lang w:val="es-ES_tradnl"/>
              </w:rPr>
              <w:t>(Reforma, acuerdo 824, Sesi</w:t>
            </w:r>
            <w:r w:rsidRPr="00731480">
              <w:rPr>
                <w:rFonts w:ascii="Gotham" w:hAnsi="Gotham"/>
                <w:i/>
                <w:iCs/>
                <w:sz w:val="18"/>
                <w:szCs w:val="18"/>
              </w:rPr>
              <w:t>ó</w:t>
            </w:r>
            <w:r w:rsidRPr="00731480">
              <w:rPr>
                <w:rFonts w:ascii="Gotham" w:hAnsi="Gotham"/>
                <w:i/>
                <w:iCs/>
                <w:sz w:val="18"/>
                <w:szCs w:val="18"/>
                <w:lang w:val="pt-PT"/>
              </w:rPr>
              <w:t>n Ordinaria 24 agosto de 2023)</w:t>
            </w:r>
          </w:p>
          <w:p w14:paraId="3A4767FC"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b)</w:t>
            </w:r>
            <w:r w:rsidR="007C2F8D">
              <w:rPr>
                <w:rFonts w:ascii="Gotham" w:hAnsi="Gotham"/>
                <w:sz w:val="18"/>
                <w:szCs w:val="18"/>
              </w:rPr>
              <w:t xml:space="preserve"> </w:t>
            </w:r>
            <w:r w:rsidRPr="00731480">
              <w:rPr>
                <w:rFonts w:ascii="Gotham" w:hAnsi="Gotham"/>
                <w:sz w:val="18"/>
                <w:szCs w:val="18"/>
                <w:lang w:val="es-ES_tradnl"/>
              </w:rPr>
              <w:t>Solo se otorgar</w:t>
            </w:r>
            <w:r w:rsidRPr="00731480">
              <w:rPr>
                <w:rFonts w:ascii="Gotham" w:hAnsi="Gotham"/>
                <w:sz w:val="18"/>
                <w:szCs w:val="18"/>
                <w:lang w:val="pt-PT"/>
              </w:rPr>
              <w:t xml:space="preserve">á </w:t>
            </w:r>
            <w:r w:rsidRPr="00731480">
              <w:rPr>
                <w:rFonts w:ascii="Gotham" w:hAnsi="Gotham"/>
                <w:sz w:val="18"/>
                <w:szCs w:val="18"/>
                <w:lang w:val="es-ES_tradnl"/>
              </w:rPr>
              <w:t xml:space="preserve">un apoyo a cada artesano solicitante por evento al que pretenda participar, por </w:t>
            </w:r>
            <w:r w:rsidRPr="00731480">
              <w:rPr>
                <w:rFonts w:ascii="Gotham" w:hAnsi="Gotham"/>
                <w:sz w:val="18"/>
                <w:szCs w:val="18"/>
              </w:rPr>
              <w:t>ú</w:t>
            </w:r>
            <w:r w:rsidRPr="00731480">
              <w:rPr>
                <w:rFonts w:ascii="Gotham" w:hAnsi="Gotham"/>
                <w:sz w:val="18"/>
                <w:szCs w:val="18"/>
                <w:lang w:val="es-ES_tradnl"/>
              </w:rPr>
              <w:t>nica ocasi</w:t>
            </w:r>
            <w:r w:rsidRPr="00731480">
              <w:rPr>
                <w:rFonts w:ascii="Gotham" w:hAnsi="Gotham"/>
                <w:sz w:val="18"/>
                <w:szCs w:val="18"/>
              </w:rPr>
              <w:t>ón</w:t>
            </w:r>
            <w:r w:rsidRPr="00731480">
              <w:rPr>
                <w:rStyle w:val="Ninguno"/>
                <w:rFonts w:ascii="Gotham" w:hAnsi="Gotham"/>
                <w:color w:val="B51A00"/>
                <w:sz w:val="18"/>
                <w:szCs w:val="18"/>
              </w:rPr>
              <w:t xml:space="preserve"> y solo si no ha sido beneficiado por otro evento similar en el mismo año.</w:t>
            </w:r>
          </w:p>
          <w:p w14:paraId="3A4767FD"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60" w:line="240" w:lineRule="auto"/>
              <w:jc w:val="both"/>
              <w:rPr>
                <w:rFonts w:ascii="Gotham" w:hAnsi="Gotham"/>
                <w:sz w:val="18"/>
                <w:szCs w:val="18"/>
              </w:rPr>
            </w:pPr>
            <w:r w:rsidRPr="00731480">
              <w:rPr>
                <w:rFonts w:ascii="Gotham" w:hAnsi="Gotham"/>
                <w:sz w:val="18"/>
                <w:szCs w:val="18"/>
              </w:rPr>
              <w:t>c)</w:t>
            </w:r>
            <w:r w:rsidR="007C2F8D">
              <w:rPr>
                <w:rFonts w:ascii="Gotham" w:hAnsi="Gotham"/>
                <w:sz w:val="18"/>
                <w:szCs w:val="18"/>
              </w:rPr>
              <w:t xml:space="preserve"> </w:t>
            </w:r>
            <w:r w:rsidRPr="00731480">
              <w:rPr>
                <w:rFonts w:ascii="Gotham" w:hAnsi="Gotham"/>
                <w:sz w:val="18"/>
                <w:szCs w:val="18"/>
                <w:lang w:val="pt-PT"/>
              </w:rPr>
              <w:t xml:space="preserve">Se excluirá </w:t>
            </w:r>
            <w:r w:rsidRPr="00731480">
              <w:rPr>
                <w:rFonts w:ascii="Gotham" w:hAnsi="Gotham"/>
                <w:sz w:val="18"/>
                <w:szCs w:val="18"/>
                <w:lang w:val="es-ES_tradnl"/>
              </w:rPr>
              <w:t xml:space="preserve">a Juicio de la </w:t>
            </w:r>
            <w:r w:rsidRPr="00731480">
              <w:rPr>
                <w:rStyle w:val="Ninguno"/>
                <w:rFonts w:ascii="Gotham" w:hAnsi="Gotham"/>
                <w:color w:val="B51A00"/>
                <w:sz w:val="18"/>
                <w:szCs w:val="18"/>
              </w:rPr>
              <w:t xml:space="preserve">Junta de Gobierno </w:t>
            </w:r>
            <w:r w:rsidRPr="00731480">
              <w:rPr>
                <w:rFonts w:ascii="Gotham" w:hAnsi="Gotham"/>
                <w:sz w:val="18"/>
                <w:szCs w:val="18"/>
                <w:lang w:val="es-ES_tradnl"/>
              </w:rPr>
              <w:t>a los solicitantes con antecedentes negativos relacionados con la actividad artesanal.</w:t>
            </w:r>
          </w:p>
        </w:tc>
      </w:tr>
      <w:tr w:rsidR="009B5E39" w:rsidRPr="00731480" w14:paraId="3A47680A"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7FF"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Artí</w:t>
            </w:r>
            <w:r w:rsidRPr="00731480">
              <w:rPr>
                <w:rFonts w:ascii="Gotham" w:hAnsi="Gotham"/>
                <w:sz w:val="18"/>
                <w:szCs w:val="18"/>
                <w:lang w:val="es-ES_tradnl"/>
              </w:rPr>
              <w:t>culo 46.- Requisitos para la inscripci</w:t>
            </w:r>
            <w:r w:rsidRPr="00731480">
              <w:rPr>
                <w:rFonts w:ascii="Gotham" w:hAnsi="Gotham"/>
                <w:sz w:val="18"/>
                <w:szCs w:val="18"/>
              </w:rPr>
              <w:t>ó</w:t>
            </w:r>
            <w:r w:rsidRPr="00731480">
              <w:rPr>
                <w:rFonts w:ascii="Gotham" w:hAnsi="Gotham"/>
                <w:sz w:val="18"/>
                <w:szCs w:val="18"/>
                <w:lang w:val="es-ES_tradnl"/>
              </w:rPr>
              <w:t>n de apoyos a eventos programados:</w:t>
            </w:r>
          </w:p>
          <w:p w14:paraId="3A476800"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a)</w:t>
            </w:r>
            <w:r w:rsidR="007C2F8D">
              <w:rPr>
                <w:rFonts w:ascii="Gotham" w:hAnsi="Gotham"/>
                <w:sz w:val="18"/>
                <w:szCs w:val="18"/>
              </w:rPr>
              <w:t xml:space="preserve"> </w:t>
            </w:r>
            <w:r w:rsidRPr="00731480">
              <w:rPr>
                <w:rFonts w:ascii="Gotham" w:hAnsi="Gotham"/>
                <w:sz w:val="18"/>
                <w:szCs w:val="18"/>
                <w:lang w:val="es-ES_tradnl"/>
              </w:rPr>
              <w:t>Elaborar la solicitud para el evento programado la cual deber</w:t>
            </w:r>
            <w:r w:rsidRPr="00731480">
              <w:rPr>
                <w:rFonts w:ascii="Gotham" w:hAnsi="Gotham"/>
                <w:sz w:val="18"/>
                <w:szCs w:val="18"/>
                <w:lang w:val="pt-PT"/>
              </w:rPr>
              <w:t xml:space="preserve">á </w:t>
            </w:r>
            <w:r w:rsidRPr="00731480">
              <w:rPr>
                <w:rFonts w:ascii="Gotham" w:hAnsi="Gotham"/>
                <w:sz w:val="18"/>
                <w:szCs w:val="18"/>
                <w:lang w:val="es-ES_tradnl"/>
              </w:rPr>
              <w:t>ser presentada ante esteOrganismo, narrando brevemente, en modo de semblanza, la t</w:t>
            </w:r>
            <w:r w:rsidRPr="00731480">
              <w:rPr>
                <w:rFonts w:ascii="Gotham" w:hAnsi="Gotham"/>
                <w:sz w:val="18"/>
                <w:szCs w:val="18"/>
                <w:lang w:val="fr-FR"/>
              </w:rPr>
              <w:t>é</w:t>
            </w:r>
            <w:r w:rsidRPr="00731480">
              <w:rPr>
                <w:rFonts w:ascii="Gotham" w:hAnsi="Gotham"/>
                <w:sz w:val="18"/>
                <w:szCs w:val="18"/>
                <w:lang w:val="es-ES_tradnl"/>
              </w:rPr>
              <w:t>cnica que se utiliza para la creaci</w:t>
            </w:r>
            <w:r w:rsidRPr="00731480">
              <w:rPr>
                <w:rFonts w:ascii="Gotham" w:hAnsi="Gotham"/>
                <w:sz w:val="18"/>
                <w:szCs w:val="18"/>
              </w:rPr>
              <w:t>ó</w:t>
            </w:r>
            <w:r w:rsidRPr="00731480">
              <w:rPr>
                <w:rFonts w:ascii="Gotham" w:hAnsi="Gotham"/>
                <w:sz w:val="18"/>
                <w:szCs w:val="18"/>
                <w:lang w:val="es-ES_tradnl"/>
              </w:rPr>
              <w:t>n de sus artesan</w:t>
            </w:r>
            <w:r w:rsidRPr="00731480">
              <w:rPr>
                <w:rFonts w:ascii="Gotham" w:hAnsi="Gotham"/>
                <w:sz w:val="18"/>
                <w:szCs w:val="18"/>
              </w:rPr>
              <w:t>í</w:t>
            </w:r>
            <w:r w:rsidRPr="00731480">
              <w:rPr>
                <w:rFonts w:ascii="Gotham" w:hAnsi="Gotham"/>
                <w:sz w:val="18"/>
                <w:szCs w:val="18"/>
                <w:lang w:val="pt-PT"/>
              </w:rPr>
              <w:t>as.</w:t>
            </w:r>
          </w:p>
          <w:p w14:paraId="3A476801"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b)</w:t>
            </w:r>
            <w:r w:rsidR="007C2F8D">
              <w:rPr>
                <w:rFonts w:ascii="Gotham" w:hAnsi="Gotham"/>
                <w:sz w:val="18"/>
                <w:szCs w:val="18"/>
              </w:rPr>
              <w:t xml:space="preserve"> </w:t>
            </w:r>
            <w:r w:rsidRPr="00731480">
              <w:rPr>
                <w:rFonts w:ascii="Gotham" w:hAnsi="Gotham"/>
                <w:sz w:val="18"/>
                <w:szCs w:val="18"/>
                <w:lang w:val="es-ES_tradnl"/>
              </w:rPr>
              <w:t>Copia de identificaci</w:t>
            </w:r>
            <w:r w:rsidRPr="00731480">
              <w:rPr>
                <w:rFonts w:ascii="Gotham" w:hAnsi="Gotham"/>
                <w:sz w:val="18"/>
                <w:szCs w:val="18"/>
              </w:rPr>
              <w:t>ó</w:t>
            </w:r>
            <w:r w:rsidRPr="00731480">
              <w:rPr>
                <w:rFonts w:ascii="Gotham" w:hAnsi="Gotham"/>
                <w:sz w:val="18"/>
                <w:szCs w:val="18"/>
                <w:lang w:val="it-IT"/>
              </w:rPr>
              <w:t>n oficial con fotograf</w:t>
            </w:r>
            <w:r w:rsidRPr="00731480">
              <w:rPr>
                <w:rFonts w:ascii="Gotham" w:hAnsi="Gotham"/>
                <w:sz w:val="18"/>
                <w:szCs w:val="18"/>
              </w:rPr>
              <w:t>ía.</w:t>
            </w:r>
          </w:p>
          <w:p w14:paraId="3A476802"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c)</w:t>
            </w:r>
            <w:r w:rsidR="007C2F8D">
              <w:rPr>
                <w:rFonts w:ascii="Gotham" w:hAnsi="Gotham"/>
                <w:sz w:val="18"/>
                <w:szCs w:val="18"/>
              </w:rPr>
              <w:t xml:space="preserve"> </w:t>
            </w:r>
            <w:r w:rsidRPr="00731480">
              <w:rPr>
                <w:rFonts w:ascii="Gotham" w:hAnsi="Gotham"/>
                <w:sz w:val="18"/>
                <w:szCs w:val="18"/>
                <w:lang w:val="es-ES_tradnl"/>
              </w:rPr>
              <w:t>Copia de la credencial de Artesanos vigente expedida por este Organismo.</w:t>
            </w:r>
          </w:p>
          <w:p w14:paraId="3A476803"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60" w:line="240" w:lineRule="auto"/>
              <w:jc w:val="both"/>
              <w:rPr>
                <w:rFonts w:ascii="Gotham" w:hAnsi="Gotham"/>
                <w:sz w:val="18"/>
                <w:szCs w:val="18"/>
              </w:rPr>
            </w:pPr>
            <w:r w:rsidRPr="00731480">
              <w:rPr>
                <w:rFonts w:ascii="Gotham" w:hAnsi="Gotham"/>
                <w:sz w:val="18"/>
                <w:szCs w:val="18"/>
              </w:rPr>
              <w:t>d)</w:t>
            </w:r>
            <w:r w:rsidR="007C2F8D">
              <w:rPr>
                <w:rFonts w:ascii="Gotham" w:hAnsi="Gotham"/>
                <w:sz w:val="18"/>
                <w:szCs w:val="18"/>
              </w:rPr>
              <w:t xml:space="preserve"> </w:t>
            </w:r>
            <w:r w:rsidRPr="00731480">
              <w:rPr>
                <w:rFonts w:ascii="Gotham" w:hAnsi="Gotham"/>
                <w:sz w:val="18"/>
                <w:szCs w:val="18"/>
                <w:lang w:val="es-ES_tradnl"/>
              </w:rPr>
              <w:t>Convocatoria y/o programa por parte del organizador de la exposici</w:t>
            </w:r>
            <w:r w:rsidRPr="00731480">
              <w:rPr>
                <w:rFonts w:ascii="Gotham" w:hAnsi="Gotham"/>
                <w:sz w:val="18"/>
                <w:szCs w:val="18"/>
              </w:rPr>
              <w:t>ó</w:t>
            </w:r>
            <w:r w:rsidRPr="00731480">
              <w:rPr>
                <w:rFonts w:ascii="Gotham" w:hAnsi="Gotham"/>
                <w:sz w:val="18"/>
                <w:szCs w:val="18"/>
                <w:lang w:val="it-IT"/>
              </w:rPr>
              <w:t>n artesanal.</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804"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Artí</w:t>
            </w:r>
            <w:r w:rsidRPr="00731480">
              <w:rPr>
                <w:rFonts w:ascii="Gotham" w:hAnsi="Gotham"/>
                <w:sz w:val="18"/>
                <w:szCs w:val="18"/>
                <w:lang w:val="es-ES_tradnl"/>
              </w:rPr>
              <w:t>culo 46.- Requisitos para la inscripci</w:t>
            </w:r>
            <w:r w:rsidRPr="00731480">
              <w:rPr>
                <w:rFonts w:ascii="Gotham" w:hAnsi="Gotham"/>
                <w:sz w:val="18"/>
                <w:szCs w:val="18"/>
              </w:rPr>
              <w:t>ó</w:t>
            </w:r>
            <w:r w:rsidRPr="00731480">
              <w:rPr>
                <w:rFonts w:ascii="Gotham" w:hAnsi="Gotham"/>
                <w:sz w:val="18"/>
                <w:szCs w:val="18"/>
                <w:lang w:val="es-ES_tradnl"/>
              </w:rPr>
              <w:t>n de apoyos a eventos programados:</w:t>
            </w:r>
          </w:p>
          <w:p w14:paraId="3A476805"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a)</w:t>
            </w:r>
            <w:r w:rsidR="007C2F8D">
              <w:rPr>
                <w:rFonts w:ascii="Gotham" w:hAnsi="Gotham"/>
                <w:sz w:val="18"/>
                <w:szCs w:val="18"/>
              </w:rPr>
              <w:t xml:space="preserve"> </w:t>
            </w:r>
            <w:r w:rsidRPr="00731480">
              <w:rPr>
                <w:rFonts w:ascii="Gotham" w:hAnsi="Gotham"/>
                <w:sz w:val="18"/>
                <w:szCs w:val="18"/>
                <w:lang w:val="es-ES_tradnl"/>
              </w:rPr>
              <w:t>Elaborar la solicitud para el evento programado la cual deber</w:t>
            </w:r>
            <w:r w:rsidRPr="00731480">
              <w:rPr>
                <w:rFonts w:ascii="Gotham" w:hAnsi="Gotham"/>
                <w:sz w:val="18"/>
                <w:szCs w:val="18"/>
                <w:lang w:val="pt-PT"/>
              </w:rPr>
              <w:t xml:space="preserve">á </w:t>
            </w:r>
            <w:r w:rsidRPr="00731480">
              <w:rPr>
                <w:rFonts w:ascii="Gotham" w:hAnsi="Gotham"/>
                <w:sz w:val="18"/>
                <w:szCs w:val="18"/>
                <w:lang w:val="es-ES_tradnl"/>
              </w:rPr>
              <w:t xml:space="preserve">ser presentada ante este </w:t>
            </w:r>
            <w:r w:rsidRPr="00731480">
              <w:rPr>
                <w:rFonts w:ascii="Gotham" w:hAnsi="Gotham"/>
                <w:sz w:val="18"/>
                <w:szCs w:val="18"/>
                <w:lang w:val="it-IT"/>
              </w:rPr>
              <w:t>Organismo, narrando brevemente, en modo de semblanza, la t</w:t>
            </w:r>
            <w:r w:rsidRPr="00731480">
              <w:rPr>
                <w:rFonts w:ascii="Gotham" w:hAnsi="Gotham"/>
                <w:sz w:val="18"/>
                <w:szCs w:val="18"/>
                <w:lang w:val="fr-FR"/>
              </w:rPr>
              <w:t>é</w:t>
            </w:r>
            <w:r w:rsidRPr="00731480">
              <w:rPr>
                <w:rFonts w:ascii="Gotham" w:hAnsi="Gotham"/>
                <w:sz w:val="18"/>
                <w:szCs w:val="18"/>
                <w:lang w:val="es-ES_tradnl"/>
              </w:rPr>
              <w:t>cnica que se utiliza para la creaci</w:t>
            </w:r>
            <w:r w:rsidRPr="00731480">
              <w:rPr>
                <w:rFonts w:ascii="Gotham" w:hAnsi="Gotham"/>
                <w:sz w:val="18"/>
                <w:szCs w:val="18"/>
              </w:rPr>
              <w:t>ó</w:t>
            </w:r>
            <w:r w:rsidRPr="00731480">
              <w:rPr>
                <w:rFonts w:ascii="Gotham" w:hAnsi="Gotham"/>
                <w:sz w:val="18"/>
                <w:szCs w:val="18"/>
                <w:lang w:val="es-ES_tradnl"/>
              </w:rPr>
              <w:t>n de sus artesan</w:t>
            </w:r>
            <w:r w:rsidRPr="00731480">
              <w:rPr>
                <w:rFonts w:ascii="Gotham" w:hAnsi="Gotham"/>
                <w:sz w:val="18"/>
                <w:szCs w:val="18"/>
              </w:rPr>
              <w:t>ías</w:t>
            </w:r>
            <w:r w:rsidRPr="00731480">
              <w:rPr>
                <w:rFonts w:ascii="Gotham" w:hAnsi="Gotham"/>
                <w:sz w:val="18"/>
                <w:szCs w:val="18"/>
                <w:lang w:val="es-ES_tradnl"/>
              </w:rPr>
              <w:t>.</w:t>
            </w:r>
          </w:p>
          <w:p w14:paraId="3A476806"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b)</w:t>
            </w:r>
            <w:r w:rsidR="007C2F8D">
              <w:rPr>
                <w:rFonts w:ascii="Gotham" w:hAnsi="Gotham"/>
                <w:sz w:val="18"/>
                <w:szCs w:val="18"/>
              </w:rPr>
              <w:t xml:space="preserve"> </w:t>
            </w:r>
            <w:r w:rsidRPr="00731480">
              <w:rPr>
                <w:rFonts w:ascii="Gotham" w:hAnsi="Gotham"/>
                <w:sz w:val="18"/>
                <w:szCs w:val="18"/>
                <w:lang w:val="es-ES_tradnl"/>
              </w:rPr>
              <w:t>Copia de identificaci</w:t>
            </w:r>
            <w:r w:rsidRPr="00731480">
              <w:rPr>
                <w:rFonts w:ascii="Gotham" w:hAnsi="Gotham"/>
                <w:sz w:val="18"/>
                <w:szCs w:val="18"/>
              </w:rPr>
              <w:t>ó</w:t>
            </w:r>
            <w:r w:rsidRPr="00731480">
              <w:rPr>
                <w:rFonts w:ascii="Gotham" w:hAnsi="Gotham"/>
                <w:sz w:val="18"/>
                <w:szCs w:val="18"/>
                <w:lang w:val="it-IT"/>
              </w:rPr>
              <w:t>n oficial con fotograf</w:t>
            </w:r>
            <w:r w:rsidRPr="00731480">
              <w:rPr>
                <w:rFonts w:ascii="Gotham" w:hAnsi="Gotham"/>
                <w:sz w:val="18"/>
                <w:szCs w:val="18"/>
              </w:rPr>
              <w:t>ía.</w:t>
            </w:r>
          </w:p>
          <w:p w14:paraId="3A476807"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Style w:val="Ninguno"/>
                <w:rFonts w:ascii="Gotham" w:eastAsia="Times New Roman" w:hAnsi="Gotham" w:cs="Times New Roman"/>
                <w:sz w:val="18"/>
                <w:szCs w:val="18"/>
              </w:rPr>
            </w:pPr>
            <w:r w:rsidRPr="00731480">
              <w:rPr>
                <w:rFonts w:ascii="Gotham" w:hAnsi="Gotham"/>
                <w:sz w:val="18"/>
                <w:szCs w:val="18"/>
              </w:rPr>
              <w:t>c)</w:t>
            </w:r>
            <w:r w:rsidR="007C2F8D">
              <w:rPr>
                <w:rFonts w:ascii="Gotham" w:hAnsi="Gotham"/>
                <w:sz w:val="18"/>
                <w:szCs w:val="18"/>
              </w:rPr>
              <w:t xml:space="preserve"> </w:t>
            </w:r>
            <w:r w:rsidRPr="00731480">
              <w:rPr>
                <w:rFonts w:ascii="Gotham" w:hAnsi="Gotham"/>
                <w:sz w:val="18"/>
                <w:szCs w:val="18"/>
                <w:lang w:val="es-ES_tradnl"/>
              </w:rPr>
              <w:t>Copia de la credencial de Artesanos vigente expedida por este Organismo.</w:t>
            </w:r>
          </w:p>
          <w:p w14:paraId="3A476808"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120" w:line="240" w:lineRule="auto"/>
              <w:jc w:val="both"/>
              <w:rPr>
                <w:rFonts w:ascii="Gotham" w:eastAsia="Arial" w:hAnsi="Gotham" w:cs="Arial"/>
                <w:sz w:val="18"/>
                <w:szCs w:val="18"/>
              </w:rPr>
            </w:pPr>
            <w:r w:rsidRPr="00731480">
              <w:rPr>
                <w:rFonts w:ascii="Gotham" w:hAnsi="Gotham"/>
                <w:sz w:val="18"/>
                <w:szCs w:val="18"/>
              </w:rPr>
              <w:t>d)</w:t>
            </w:r>
            <w:r w:rsidR="007C2F8D">
              <w:rPr>
                <w:rFonts w:ascii="Gotham" w:hAnsi="Gotham"/>
                <w:sz w:val="18"/>
                <w:szCs w:val="18"/>
              </w:rPr>
              <w:t xml:space="preserve"> </w:t>
            </w:r>
            <w:r w:rsidRPr="00731480">
              <w:rPr>
                <w:rFonts w:ascii="Gotham" w:hAnsi="Gotham"/>
                <w:sz w:val="18"/>
                <w:szCs w:val="18"/>
                <w:lang w:val="es-ES_tradnl"/>
              </w:rPr>
              <w:t>Convocatoria y/o programa por parte del organizador de la exposici</w:t>
            </w:r>
            <w:r w:rsidRPr="00731480">
              <w:rPr>
                <w:rFonts w:ascii="Gotham" w:hAnsi="Gotham"/>
                <w:sz w:val="18"/>
                <w:szCs w:val="18"/>
              </w:rPr>
              <w:t>ó</w:t>
            </w:r>
            <w:r w:rsidRPr="00731480">
              <w:rPr>
                <w:rFonts w:ascii="Gotham" w:hAnsi="Gotham"/>
                <w:sz w:val="18"/>
                <w:szCs w:val="18"/>
                <w:lang w:val="it-IT"/>
              </w:rPr>
              <w:t>n artesanal.</w:t>
            </w:r>
          </w:p>
          <w:p w14:paraId="3A476809"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60" w:line="240" w:lineRule="auto"/>
              <w:jc w:val="both"/>
              <w:rPr>
                <w:rFonts w:ascii="Gotham" w:hAnsi="Gotham"/>
                <w:sz w:val="18"/>
                <w:szCs w:val="18"/>
              </w:rPr>
            </w:pPr>
            <w:r w:rsidRPr="00731480">
              <w:rPr>
                <w:rFonts w:ascii="Gotham" w:hAnsi="Gotham"/>
                <w:color w:val="B51A00"/>
                <w:sz w:val="18"/>
                <w:szCs w:val="18"/>
                <w:lang w:val="es-ES_tradnl"/>
              </w:rPr>
              <w:t>e) Si es en el extranjero, presentar pasaporte y VISA en caso de que el país anfitrión la solicite.</w:t>
            </w:r>
          </w:p>
        </w:tc>
      </w:tr>
      <w:tr w:rsidR="009B5E39" w:rsidRPr="00731480" w14:paraId="3A47680D"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80B"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60" w:line="240" w:lineRule="auto"/>
              <w:jc w:val="both"/>
              <w:rPr>
                <w:rFonts w:ascii="Gotham" w:hAnsi="Gotham"/>
                <w:sz w:val="18"/>
                <w:szCs w:val="18"/>
              </w:rPr>
            </w:pPr>
            <w:r w:rsidRPr="00731480">
              <w:rPr>
                <w:rFonts w:ascii="Gotham" w:hAnsi="Gotham"/>
                <w:sz w:val="18"/>
                <w:szCs w:val="18"/>
              </w:rPr>
              <w:t>Artículo 47.- Las solicitudes para los apoyos deberán ser entregadas junto con los documentos al menos 15 días hábiles antes del inicio de la exposición artesanal, en el edificio del Organismo de del Instituto Tonalteca de las Artesanías del municipio de Tonalá, Jalisco.</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80C"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60" w:line="240" w:lineRule="auto"/>
              <w:jc w:val="both"/>
              <w:rPr>
                <w:rFonts w:ascii="Gotham" w:hAnsi="Gotham"/>
                <w:sz w:val="18"/>
                <w:szCs w:val="18"/>
              </w:rPr>
            </w:pPr>
            <w:r w:rsidRPr="00731480">
              <w:rPr>
                <w:rFonts w:ascii="Gotham" w:hAnsi="Gotham"/>
                <w:sz w:val="18"/>
                <w:szCs w:val="18"/>
              </w:rPr>
              <w:t>Artí</w:t>
            </w:r>
            <w:r w:rsidRPr="00731480">
              <w:rPr>
                <w:rFonts w:ascii="Gotham" w:hAnsi="Gotham"/>
                <w:sz w:val="18"/>
                <w:szCs w:val="18"/>
                <w:lang w:val="es-ES_tradnl"/>
              </w:rPr>
              <w:t>culo 47.- Las solicitudes para los apoyos deber</w:t>
            </w:r>
            <w:r w:rsidRPr="00731480">
              <w:rPr>
                <w:rFonts w:ascii="Gotham" w:hAnsi="Gotham"/>
                <w:sz w:val="18"/>
                <w:szCs w:val="18"/>
              </w:rPr>
              <w:t>á</w:t>
            </w:r>
            <w:r w:rsidRPr="00731480">
              <w:rPr>
                <w:rFonts w:ascii="Gotham" w:hAnsi="Gotham"/>
                <w:sz w:val="18"/>
                <w:szCs w:val="18"/>
                <w:lang w:val="es-ES_tradnl"/>
              </w:rPr>
              <w:t xml:space="preserve">n ser entregadas junto con los documentos </w:t>
            </w:r>
            <w:r w:rsidRPr="00731480">
              <w:rPr>
                <w:rStyle w:val="Ninguno"/>
                <w:rFonts w:ascii="Gotham" w:hAnsi="Gotham"/>
                <w:color w:val="B51A00"/>
                <w:sz w:val="18"/>
                <w:szCs w:val="18"/>
              </w:rPr>
              <w:t>al menos 30 días há</w:t>
            </w:r>
            <w:r w:rsidRPr="00731480">
              <w:rPr>
                <w:rStyle w:val="Ninguno"/>
                <w:rFonts w:ascii="Gotham" w:hAnsi="Gotham"/>
                <w:color w:val="B51A00"/>
                <w:sz w:val="18"/>
                <w:szCs w:val="18"/>
                <w:lang w:val="it-IT"/>
              </w:rPr>
              <w:t>biles</w:t>
            </w:r>
            <w:r w:rsidRPr="00731480">
              <w:rPr>
                <w:rFonts w:ascii="Gotham" w:hAnsi="Gotham"/>
                <w:sz w:val="18"/>
                <w:szCs w:val="18"/>
                <w:lang w:val="es-ES_tradnl"/>
              </w:rPr>
              <w:t xml:space="preserve"> antes del inicio de la exposici</w:t>
            </w:r>
            <w:r w:rsidRPr="00731480">
              <w:rPr>
                <w:rFonts w:ascii="Gotham" w:hAnsi="Gotham"/>
                <w:sz w:val="18"/>
                <w:szCs w:val="18"/>
              </w:rPr>
              <w:t>ó</w:t>
            </w:r>
            <w:r w:rsidRPr="00731480">
              <w:rPr>
                <w:rFonts w:ascii="Gotham" w:hAnsi="Gotham"/>
                <w:sz w:val="18"/>
                <w:szCs w:val="18"/>
                <w:lang w:val="es-ES_tradnl"/>
              </w:rPr>
              <w:t>n artesanal, en el edificio del Organismo de del Instituto Tonalteca de las Artesan</w:t>
            </w:r>
            <w:r w:rsidRPr="00731480">
              <w:rPr>
                <w:rFonts w:ascii="Gotham" w:hAnsi="Gotham"/>
                <w:sz w:val="18"/>
                <w:szCs w:val="18"/>
              </w:rPr>
              <w:t>í</w:t>
            </w:r>
            <w:r w:rsidRPr="00731480">
              <w:rPr>
                <w:rFonts w:ascii="Gotham" w:hAnsi="Gotham"/>
                <w:sz w:val="18"/>
                <w:szCs w:val="18"/>
                <w:lang w:val="es-ES_tradnl"/>
              </w:rPr>
              <w:t>as del municipio de Tonal</w:t>
            </w:r>
            <w:r w:rsidRPr="00731480">
              <w:rPr>
                <w:rFonts w:ascii="Gotham" w:hAnsi="Gotham"/>
                <w:sz w:val="18"/>
                <w:szCs w:val="18"/>
              </w:rPr>
              <w:t>á</w:t>
            </w:r>
            <w:r w:rsidRPr="00731480">
              <w:rPr>
                <w:rFonts w:ascii="Gotham" w:hAnsi="Gotham"/>
                <w:sz w:val="18"/>
                <w:szCs w:val="18"/>
                <w:lang w:val="it-IT"/>
              </w:rPr>
              <w:t>, Jalisco.</w:t>
            </w:r>
          </w:p>
        </w:tc>
      </w:tr>
      <w:tr w:rsidR="009B5E39" w:rsidRPr="00731480" w14:paraId="3A476810"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80E"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s>
              <w:spacing w:before="60" w:after="60" w:line="240" w:lineRule="auto"/>
              <w:jc w:val="both"/>
              <w:rPr>
                <w:rFonts w:ascii="Gotham" w:hAnsi="Gotham"/>
                <w:sz w:val="18"/>
                <w:szCs w:val="18"/>
              </w:rPr>
            </w:pPr>
            <w:r w:rsidRPr="00731480">
              <w:rPr>
                <w:rFonts w:ascii="Gotham" w:hAnsi="Gotham"/>
                <w:sz w:val="18"/>
                <w:szCs w:val="18"/>
              </w:rPr>
              <w:t xml:space="preserve">Artículo 48.- El Director General del Instituto Tonalteca de las Artesanías del municipio de Tonalá, Jalisco, emitirá las convocatorias de eventos o programas de los que sea parte organizadora, previa aprobación de la Junta de Gobierno, para los apoyos del fondo de Apoyo, para Artesanas y Artesanos, así como las reglas de operación, </w:t>
            </w:r>
            <w:r w:rsidRPr="00731480">
              <w:rPr>
                <w:rFonts w:ascii="Gotham" w:hAnsi="Gotham"/>
                <w:sz w:val="18"/>
                <w:szCs w:val="18"/>
              </w:rPr>
              <w:lastRenderedPageBreak/>
              <w:t>mismas que deberán ser publicadas por los medios digitales, en los estrados de la presidencia Municipal y en los estrados de este Organismo.</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80F"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60" w:line="240" w:lineRule="auto"/>
              <w:jc w:val="both"/>
              <w:rPr>
                <w:rFonts w:ascii="Gotham" w:hAnsi="Gotham"/>
                <w:sz w:val="18"/>
                <w:szCs w:val="18"/>
              </w:rPr>
            </w:pPr>
            <w:r w:rsidRPr="00731480">
              <w:rPr>
                <w:rFonts w:ascii="Gotham" w:hAnsi="Gotham"/>
                <w:sz w:val="18"/>
                <w:szCs w:val="18"/>
              </w:rPr>
              <w:lastRenderedPageBreak/>
              <w:t>Artí</w:t>
            </w:r>
            <w:r w:rsidRPr="00731480">
              <w:rPr>
                <w:rFonts w:ascii="Gotham" w:hAnsi="Gotham"/>
                <w:sz w:val="18"/>
                <w:szCs w:val="18"/>
                <w:lang w:val="es-ES_tradnl"/>
              </w:rPr>
              <w:t>culo 48.- El Director General del Instituto Tonalteca de las Artesan</w:t>
            </w:r>
            <w:r w:rsidRPr="00731480">
              <w:rPr>
                <w:rFonts w:ascii="Gotham" w:hAnsi="Gotham"/>
                <w:sz w:val="18"/>
                <w:szCs w:val="18"/>
              </w:rPr>
              <w:t>í</w:t>
            </w:r>
            <w:r w:rsidRPr="00731480">
              <w:rPr>
                <w:rFonts w:ascii="Gotham" w:hAnsi="Gotham"/>
                <w:sz w:val="18"/>
                <w:szCs w:val="18"/>
                <w:lang w:val="es-ES_tradnl"/>
              </w:rPr>
              <w:t>as del municipio de Tonal</w:t>
            </w:r>
            <w:r w:rsidRPr="00731480">
              <w:rPr>
                <w:rFonts w:ascii="Gotham" w:hAnsi="Gotham"/>
                <w:sz w:val="18"/>
                <w:szCs w:val="18"/>
              </w:rPr>
              <w:t>á</w:t>
            </w:r>
            <w:r w:rsidRPr="00731480">
              <w:rPr>
                <w:rFonts w:ascii="Gotham" w:hAnsi="Gotham"/>
                <w:sz w:val="18"/>
                <w:szCs w:val="18"/>
                <w:lang w:val="pt-PT"/>
              </w:rPr>
              <w:t xml:space="preserve">, Jalisco, emitirá </w:t>
            </w:r>
            <w:r w:rsidRPr="00731480">
              <w:rPr>
                <w:rFonts w:ascii="Gotham" w:hAnsi="Gotham"/>
                <w:sz w:val="18"/>
                <w:szCs w:val="18"/>
                <w:lang w:val="es-ES_tradnl"/>
              </w:rPr>
              <w:t>las convocatorias de eventos o programas de los que sea parte organizadora, previa aprobaci</w:t>
            </w:r>
            <w:r w:rsidRPr="00731480">
              <w:rPr>
                <w:rFonts w:ascii="Gotham" w:hAnsi="Gotham"/>
                <w:sz w:val="18"/>
                <w:szCs w:val="18"/>
              </w:rPr>
              <w:t>ó</w:t>
            </w:r>
            <w:r w:rsidRPr="00731480">
              <w:rPr>
                <w:rFonts w:ascii="Gotham" w:hAnsi="Gotham"/>
                <w:sz w:val="18"/>
                <w:szCs w:val="18"/>
                <w:lang w:val="es-ES_tradnl"/>
              </w:rPr>
              <w:t>n de la Junta de Gobierno, para los apoyos del fondo de Apoyo, para Artesanas y Artesanos, as</w:t>
            </w:r>
            <w:r w:rsidRPr="00731480">
              <w:rPr>
                <w:rFonts w:ascii="Gotham" w:hAnsi="Gotham"/>
                <w:sz w:val="18"/>
                <w:szCs w:val="18"/>
              </w:rPr>
              <w:t xml:space="preserve">í </w:t>
            </w:r>
            <w:r w:rsidRPr="00731480">
              <w:rPr>
                <w:rFonts w:ascii="Gotham" w:hAnsi="Gotham"/>
                <w:sz w:val="18"/>
                <w:szCs w:val="18"/>
                <w:lang w:val="es-ES_tradnl"/>
              </w:rPr>
              <w:t>como las reglas de operaci</w:t>
            </w:r>
            <w:r w:rsidRPr="00731480">
              <w:rPr>
                <w:rFonts w:ascii="Gotham" w:hAnsi="Gotham"/>
                <w:sz w:val="18"/>
                <w:szCs w:val="18"/>
              </w:rPr>
              <w:t>ó</w:t>
            </w:r>
            <w:r w:rsidRPr="00731480">
              <w:rPr>
                <w:rFonts w:ascii="Gotham" w:hAnsi="Gotham"/>
                <w:sz w:val="18"/>
                <w:szCs w:val="18"/>
                <w:lang w:val="es-ES_tradnl"/>
              </w:rPr>
              <w:t xml:space="preserve">n, </w:t>
            </w:r>
            <w:r w:rsidRPr="00731480">
              <w:rPr>
                <w:rFonts w:ascii="Gotham" w:hAnsi="Gotham"/>
                <w:sz w:val="18"/>
                <w:szCs w:val="18"/>
                <w:lang w:val="es-ES_tradnl"/>
              </w:rPr>
              <w:lastRenderedPageBreak/>
              <w:t>mismas que deber</w:t>
            </w:r>
            <w:r w:rsidRPr="00731480">
              <w:rPr>
                <w:rFonts w:ascii="Gotham" w:hAnsi="Gotham"/>
                <w:sz w:val="18"/>
                <w:szCs w:val="18"/>
              </w:rPr>
              <w:t>á</w:t>
            </w:r>
            <w:r w:rsidRPr="00731480">
              <w:rPr>
                <w:rFonts w:ascii="Gotham" w:hAnsi="Gotham"/>
                <w:sz w:val="18"/>
                <w:szCs w:val="18"/>
                <w:lang w:val="es-ES_tradnl"/>
              </w:rPr>
              <w:t xml:space="preserve">n ser publicadas por los medios digitales, </w:t>
            </w:r>
            <w:r w:rsidRPr="00731480">
              <w:rPr>
                <w:rStyle w:val="Ninguno"/>
                <w:rFonts w:ascii="Gotham" w:hAnsi="Gotham"/>
                <w:color w:val="B51A00"/>
                <w:sz w:val="18"/>
                <w:szCs w:val="18"/>
              </w:rPr>
              <w:t>sitio web del OPD</w:t>
            </w:r>
            <w:r w:rsidRPr="00731480">
              <w:rPr>
                <w:rFonts w:ascii="Gotham" w:hAnsi="Gotham"/>
                <w:sz w:val="18"/>
                <w:szCs w:val="18"/>
                <w:lang w:val="es-ES_tradnl"/>
              </w:rPr>
              <w:t>, en los estrados de la presidencia Municipal y en los estrados de este Organismo.</w:t>
            </w:r>
          </w:p>
        </w:tc>
      </w:tr>
      <w:tr w:rsidR="009B5E39" w:rsidRPr="00731480" w14:paraId="3A476815" w14:textId="77777777" w:rsidTr="00190E4A">
        <w:trPr>
          <w:trHeight w:val="20"/>
          <w:jc w:val="center"/>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811" w14:textId="77777777" w:rsidR="009B5E39" w:rsidRPr="00731480" w:rsidRDefault="009B5E39" w:rsidP="00190E4A">
            <w:pPr>
              <w:tabs>
                <w:tab w:val="left" w:pos="720"/>
                <w:tab w:val="left" w:pos="1440"/>
                <w:tab w:val="left" w:pos="2160"/>
                <w:tab w:val="left" w:pos="2880"/>
                <w:tab w:val="left" w:pos="3600"/>
                <w:tab w:val="left" w:pos="4320"/>
                <w:tab w:val="left" w:pos="5040"/>
                <w:tab w:val="left" w:pos="5760"/>
              </w:tabs>
              <w:spacing w:before="60" w:after="60"/>
              <w:jc w:val="both"/>
              <w:rPr>
                <w:rFonts w:ascii="Gotham" w:hAnsi="Gotham"/>
                <w:sz w:val="18"/>
                <w:szCs w:val="18"/>
              </w:rPr>
            </w:pPr>
            <w:r w:rsidRPr="00731480">
              <w:rPr>
                <w:rFonts w:ascii="Gotham" w:hAnsi="Gotham" w:cs="Arial Unicode MS"/>
                <w:kern w:val="2"/>
                <w:sz w:val="18"/>
                <w:szCs w:val="18"/>
                <w:u w:color="000000"/>
              </w:rPr>
              <w:lastRenderedPageBreak/>
              <w:t>TRANSITORIOS</w:t>
            </w:r>
          </w:p>
          <w:p w14:paraId="3A476812" w14:textId="77777777" w:rsidR="009B5E39" w:rsidRPr="00731480" w:rsidRDefault="009B5E39" w:rsidP="00190E4A">
            <w:pPr>
              <w:tabs>
                <w:tab w:val="left" w:pos="720"/>
                <w:tab w:val="left" w:pos="1440"/>
                <w:tab w:val="left" w:pos="2160"/>
                <w:tab w:val="left" w:pos="2880"/>
                <w:tab w:val="left" w:pos="3600"/>
                <w:tab w:val="left" w:pos="4320"/>
                <w:tab w:val="left" w:pos="5040"/>
                <w:tab w:val="left" w:pos="5760"/>
              </w:tabs>
              <w:spacing w:before="60" w:after="60"/>
              <w:jc w:val="both"/>
              <w:rPr>
                <w:rFonts w:ascii="Gotham" w:hAnsi="Gotham"/>
                <w:sz w:val="18"/>
                <w:szCs w:val="18"/>
              </w:rPr>
            </w:pPr>
            <w:r w:rsidRPr="00731480">
              <w:rPr>
                <w:rFonts w:ascii="Gotham" w:hAnsi="Gotham" w:cs="Arial Unicode MS"/>
                <w:kern w:val="2"/>
                <w:sz w:val="18"/>
                <w:szCs w:val="18"/>
                <w:u w:color="000000"/>
              </w:rPr>
              <w:t xml:space="preserve">TERCERO.- Por la entrada en vigor del presente ordenamiento no se deben ver afectados los derechos y las obligaciones que </w:t>
            </w:r>
            <w:proofErr w:type="gramStart"/>
            <w:r w:rsidRPr="00731480">
              <w:rPr>
                <w:rFonts w:ascii="Gotham" w:hAnsi="Gotham" w:cs="Arial Unicode MS"/>
                <w:kern w:val="2"/>
                <w:sz w:val="18"/>
                <w:szCs w:val="18"/>
                <w:u w:color="000000"/>
              </w:rPr>
              <w:t>ostenta</w:t>
            </w:r>
            <w:proofErr w:type="gramEnd"/>
            <w:r w:rsidRPr="00731480">
              <w:rPr>
                <w:rFonts w:ascii="Gotham" w:hAnsi="Gotham" w:cs="Arial Unicode MS"/>
                <w:kern w:val="2"/>
                <w:sz w:val="18"/>
                <w:szCs w:val="18"/>
                <w:u w:color="000000"/>
              </w:rPr>
              <w:t xml:space="preserve"> actualmente la Dirección conocida como Casa de los Artesanos ni los derechos laborales del personal adscrito.</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6813" w14:textId="77777777" w:rsidR="009B5E39" w:rsidRPr="00731480" w:rsidRDefault="009B5E39" w:rsidP="00190E4A">
            <w:pPr>
              <w:spacing w:before="60" w:after="60"/>
              <w:jc w:val="both"/>
              <w:rPr>
                <w:rFonts w:ascii="Gotham" w:eastAsia="Calibri" w:hAnsi="Gotham" w:cs="Calibri"/>
                <w:color w:val="B51A00"/>
                <w:kern w:val="2"/>
                <w:sz w:val="18"/>
                <w:szCs w:val="18"/>
                <w:u w:color="000000"/>
              </w:rPr>
            </w:pPr>
            <w:r w:rsidRPr="00731480">
              <w:rPr>
                <w:rFonts w:ascii="Gotham" w:hAnsi="Gotham" w:cs="Arial Unicode MS"/>
                <w:color w:val="B51A00"/>
                <w:kern w:val="2"/>
                <w:sz w:val="18"/>
                <w:szCs w:val="18"/>
                <w:u w:color="000000"/>
                <w:lang w:val="es-ES_tradnl"/>
              </w:rPr>
              <w:t>TRANSITORIOS</w:t>
            </w:r>
          </w:p>
          <w:p w14:paraId="3A476814" w14:textId="77777777" w:rsidR="009B5E39" w:rsidRPr="00731480" w:rsidRDefault="009B5E39" w:rsidP="00190E4A">
            <w:pPr>
              <w:pStyle w:val="Predeterminado"/>
              <w:tabs>
                <w:tab w:val="clear" w:pos="709"/>
                <w:tab w:val="left" w:pos="720"/>
                <w:tab w:val="left" w:pos="1440"/>
                <w:tab w:val="left" w:pos="2160"/>
                <w:tab w:val="left" w:pos="2880"/>
                <w:tab w:val="left" w:pos="3600"/>
                <w:tab w:val="left" w:pos="4320"/>
                <w:tab w:val="left" w:pos="5040"/>
                <w:tab w:val="left" w:pos="5760"/>
                <w:tab w:val="left" w:pos="6480"/>
              </w:tabs>
              <w:spacing w:before="60" w:after="60" w:line="240" w:lineRule="auto"/>
              <w:jc w:val="both"/>
              <w:rPr>
                <w:rFonts w:ascii="Gotham" w:hAnsi="Gotham"/>
                <w:sz w:val="18"/>
                <w:szCs w:val="18"/>
              </w:rPr>
            </w:pPr>
            <w:r w:rsidRPr="00731480">
              <w:rPr>
                <w:rStyle w:val="Ninguno"/>
                <w:rFonts w:ascii="Gotham" w:hAnsi="Gotham"/>
                <w:color w:val="B51A00"/>
                <w:sz w:val="18"/>
                <w:szCs w:val="18"/>
              </w:rPr>
              <w:t>TERCERO.- la entrada en vigor del presente ordenamiento abroga el actual reglamento de la Dirección Casa de los Artesanos, no afectando sus anteriores obligaciones, hasta ates de la publicación de esta reforma.</w:t>
            </w:r>
            <w:r w:rsidRPr="00731480">
              <w:rPr>
                <w:rFonts w:ascii="Gotham" w:hAnsi="Gotham"/>
                <w:sz w:val="18"/>
                <w:szCs w:val="18"/>
                <w:lang w:val="es-ES_tradnl"/>
              </w:rPr>
              <w:t xml:space="preserve"> </w:t>
            </w:r>
          </w:p>
        </w:tc>
      </w:tr>
    </w:tbl>
    <w:p w14:paraId="3A476816" w14:textId="77777777" w:rsidR="009B5E39" w:rsidRPr="00B22052" w:rsidRDefault="009B5E39" w:rsidP="009B5E39">
      <w:pPr>
        <w:jc w:val="both"/>
        <w:rPr>
          <w:rFonts w:ascii="Gotham" w:hAnsi="Gotham"/>
          <w:sz w:val="20"/>
          <w:szCs w:val="20"/>
        </w:rPr>
      </w:pPr>
    </w:p>
    <w:p w14:paraId="3A476817" w14:textId="77777777" w:rsidR="009B5E39" w:rsidRPr="00B22052" w:rsidRDefault="009B5E39" w:rsidP="009B5E39">
      <w:pPr>
        <w:jc w:val="both"/>
        <w:rPr>
          <w:rFonts w:ascii="Gotham" w:hAnsi="Gotham"/>
          <w:sz w:val="20"/>
          <w:szCs w:val="20"/>
        </w:rPr>
      </w:pPr>
      <w:r w:rsidRPr="00B22052">
        <w:rPr>
          <w:rFonts w:ascii="Gotham" w:hAnsi="Gotham"/>
          <w:sz w:val="20"/>
          <w:szCs w:val="20"/>
        </w:rPr>
        <w:t>De lo anteriormente expuesto, fundado y motivado, de conformidad a lo establecido por el artículo 41</w:t>
      </w:r>
      <w:r>
        <w:rPr>
          <w:rFonts w:ascii="Gotham" w:hAnsi="Gotham"/>
          <w:sz w:val="20"/>
          <w:szCs w:val="20"/>
        </w:rPr>
        <w:t>,</w:t>
      </w:r>
      <w:r w:rsidRPr="00B22052">
        <w:rPr>
          <w:rFonts w:ascii="Gotham" w:hAnsi="Gotham"/>
          <w:sz w:val="20"/>
          <w:szCs w:val="20"/>
        </w:rPr>
        <w:t xml:space="preserve"> fracción I</w:t>
      </w:r>
      <w:r>
        <w:rPr>
          <w:rFonts w:ascii="Gotham" w:hAnsi="Gotham"/>
          <w:sz w:val="20"/>
          <w:szCs w:val="20"/>
        </w:rPr>
        <w:t>,</w:t>
      </w:r>
      <w:r w:rsidRPr="00B22052">
        <w:rPr>
          <w:rFonts w:ascii="Gotham" w:hAnsi="Gotham"/>
          <w:sz w:val="20"/>
          <w:szCs w:val="20"/>
        </w:rPr>
        <w:t xml:space="preserve"> de la Ley del Gobierno y la Administración Pública </w:t>
      </w:r>
      <w:r>
        <w:rPr>
          <w:rFonts w:ascii="Gotham" w:hAnsi="Gotham"/>
          <w:sz w:val="20"/>
          <w:szCs w:val="20"/>
        </w:rPr>
        <w:t>Municipal del Estado de Jalisco;</w:t>
      </w:r>
      <w:r w:rsidRPr="00B22052">
        <w:rPr>
          <w:rFonts w:ascii="Gotham" w:hAnsi="Gotham"/>
          <w:sz w:val="20"/>
          <w:szCs w:val="20"/>
        </w:rPr>
        <w:t xml:space="preserve"> así como el artículo 56 fracción I del Reglamento del Gobierno y la Administración Pública del </w:t>
      </w:r>
      <w:r>
        <w:rPr>
          <w:rFonts w:ascii="Gotham" w:hAnsi="Gotham"/>
          <w:sz w:val="20"/>
          <w:szCs w:val="20"/>
        </w:rPr>
        <w:t>Ayuntamiento de Tonalá, Jalisco;</w:t>
      </w:r>
      <w:r w:rsidRPr="00B22052">
        <w:rPr>
          <w:rFonts w:ascii="Gotham" w:hAnsi="Gotham"/>
          <w:sz w:val="20"/>
          <w:szCs w:val="20"/>
        </w:rPr>
        <w:t xml:space="preserve"> 82</w:t>
      </w:r>
      <w:r>
        <w:rPr>
          <w:rFonts w:ascii="Gotham" w:hAnsi="Gotham"/>
          <w:sz w:val="20"/>
          <w:szCs w:val="20"/>
        </w:rPr>
        <w:t>,</w:t>
      </w:r>
      <w:r w:rsidRPr="00B22052">
        <w:rPr>
          <w:rFonts w:ascii="Gotham" w:hAnsi="Gotham"/>
          <w:sz w:val="20"/>
          <w:szCs w:val="20"/>
        </w:rPr>
        <w:t xml:space="preserve"> fracción I</w:t>
      </w:r>
      <w:r>
        <w:rPr>
          <w:rFonts w:ascii="Gotham" w:hAnsi="Gotham"/>
          <w:sz w:val="20"/>
          <w:szCs w:val="20"/>
        </w:rPr>
        <w:t>;</w:t>
      </w:r>
      <w:r w:rsidRPr="00B22052">
        <w:rPr>
          <w:rFonts w:ascii="Gotham" w:hAnsi="Gotham"/>
          <w:sz w:val="20"/>
          <w:szCs w:val="20"/>
        </w:rPr>
        <w:t xml:space="preserve"> y 83 del Reglamento para el Funcionamiento Interno de Sesiones del Ayuntamiento Constitucional de Tonalá, Jalisco, someto a su consideración el siguiente punto de acuerdo:</w:t>
      </w:r>
    </w:p>
    <w:p w14:paraId="3A476818" w14:textId="77777777" w:rsidR="009B5E39" w:rsidRPr="00B22052" w:rsidRDefault="009B5E39" w:rsidP="009B5E39">
      <w:pPr>
        <w:jc w:val="both"/>
        <w:rPr>
          <w:rFonts w:ascii="Gotham" w:hAnsi="Gotham"/>
          <w:sz w:val="20"/>
          <w:szCs w:val="20"/>
        </w:rPr>
      </w:pPr>
    </w:p>
    <w:p w14:paraId="3A476819" w14:textId="77777777" w:rsidR="009B5E39" w:rsidRPr="00B22052" w:rsidRDefault="009B5E39" w:rsidP="009B5E39">
      <w:pPr>
        <w:jc w:val="center"/>
        <w:rPr>
          <w:rFonts w:ascii="Gotham" w:hAnsi="Gotham"/>
          <w:sz w:val="20"/>
          <w:szCs w:val="20"/>
        </w:rPr>
      </w:pPr>
      <w:r w:rsidRPr="00B22052">
        <w:rPr>
          <w:rFonts w:ascii="Gotham" w:hAnsi="Gotham"/>
          <w:sz w:val="20"/>
          <w:szCs w:val="20"/>
        </w:rPr>
        <w:t>ACUERDO</w:t>
      </w:r>
    </w:p>
    <w:p w14:paraId="3A47681A" w14:textId="77777777" w:rsidR="009B5E39" w:rsidRPr="004846D9" w:rsidRDefault="009B5E39" w:rsidP="009B5E39">
      <w:pPr>
        <w:jc w:val="both"/>
        <w:rPr>
          <w:rFonts w:ascii="Gotham" w:hAnsi="Gotham"/>
          <w:b/>
          <w:sz w:val="20"/>
          <w:szCs w:val="20"/>
        </w:rPr>
      </w:pPr>
    </w:p>
    <w:p w14:paraId="3A47681B" w14:textId="77777777" w:rsidR="009B5E39" w:rsidRPr="00274E67" w:rsidRDefault="009B5E39" w:rsidP="009B5E39">
      <w:pPr>
        <w:jc w:val="both"/>
        <w:rPr>
          <w:rFonts w:ascii="Gotham" w:hAnsi="Gotham"/>
          <w:b/>
          <w:sz w:val="20"/>
          <w:szCs w:val="20"/>
        </w:rPr>
      </w:pPr>
      <w:r w:rsidRPr="004846D9">
        <w:rPr>
          <w:rFonts w:ascii="Gotham" w:hAnsi="Gotham"/>
          <w:b/>
          <w:sz w:val="20"/>
          <w:szCs w:val="20"/>
        </w:rPr>
        <w:t>PRIMERO</w:t>
      </w:r>
      <w:r w:rsidRPr="00B22052">
        <w:rPr>
          <w:rFonts w:ascii="Gotham" w:hAnsi="Gotham"/>
          <w:sz w:val="20"/>
          <w:szCs w:val="20"/>
        </w:rPr>
        <w:t xml:space="preserve">. </w:t>
      </w:r>
      <w:r w:rsidRPr="00274E67">
        <w:rPr>
          <w:rFonts w:ascii="Gotham" w:hAnsi="Gotham"/>
          <w:b/>
          <w:sz w:val="20"/>
          <w:szCs w:val="20"/>
        </w:rPr>
        <w:t>Se apruebe turnar la presente iniciativa a</w:t>
      </w:r>
      <w:r>
        <w:rPr>
          <w:rFonts w:ascii="Gotham" w:hAnsi="Gotham"/>
          <w:b/>
          <w:sz w:val="20"/>
          <w:szCs w:val="20"/>
        </w:rPr>
        <w:t xml:space="preserve"> la Comisión </w:t>
      </w:r>
      <w:r w:rsidRPr="00274E67">
        <w:rPr>
          <w:rFonts w:ascii="Gotham" w:hAnsi="Gotham"/>
          <w:b/>
          <w:sz w:val="20"/>
          <w:szCs w:val="20"/>
        </w:rPr>
        <w:t>Edilicia de Reglamentos, Puntos Constitucionales, Administración y Planeación Legislativa</w:t>
      </w:r>
      <w:r>
        <w:rPr>
          <w:rFonts w:ascii="Gotham" w:hAnsi="Gotham"/>
          <w:b/>
          <w:sz w:val="20"/>
          <w:szCs w:val="20"/>
        </w:rPr>
        <w:t xml:space="preserve"> </w:t>
      </w:r>
      <w:r w:rsidRPr="00274E67">
        <w:rPr>
          <w:rFonts w:ascii="Gotham" w:hAnsi="Gotham"/>
          <w:b/>
          <w:sz w:val="20"/>
          <w:szCs w:val="20"/>
        </w:rPr>
        <w:t xml:space="preserve">para su estudio, análisis y dictamen final correspondiente. </w:t>
      </w:r>
    </w:p>
    <w:p w14:paraId="3A47681C" w14:textId="77777777" w:rsidR="009B5E39" w:rsidRPr="00274E67" w:rsidRDefault="009B5E39" w:rsidP="009B5E39">
      <w:pPr>
        <w:jc w:val="both"/>
        <w:rPr>
          <w:rFonts w:ascii="Gotham" w:hAnsi="Gotham"/>
          <w:b/>
          <w:sz w:val="20"/>
          <w:szCs w:val="20"/>
        </w:rPr>
      </w:pPr>
    </w:p>
    <w:p w14:paraId="3A47681D" w14:textId="77777777" w:rsidR="009B5E39" w:rsidRPr="00B22052" w:rsidRDefault="009B5E39" w:rsidP="009B5E39">
      <w:pPr>
        <w:jc w:val="both"/>
        <w:rPr>
          <w:rFonts w:ascii="Gotham" w:hAnsi="Gotham"/>
          <w:sz w:val="20"/>
          <w:szCs w:val="20"/>
        </w:rPr>
      </w:pPr>
      <w:r w:rsidRPr="004846D9">
        <w:rPr>
          <w:rFonts w:ascii="Gotham" w:hAnsi="Gotham"/>
          <w:b/>
          <w:sz w:val="20"/>
          <w:szCs w:val="20"/>
        </w:rPr>
        <w:t>SEGUNDO</w:t>
      </w:r>
      <w:r w:rsidRPr="00B22052">
        <w:rPr>
          <w:rFonts w:ascii="Gotham" w:hAnsi="Gotham"/>
          <w:sz w:val="20"/>
          <w:szCs w:val="20"/>
        </w:rPr>
        <w:t xml:space="preserve">. Se solicita dictamen de viabilidad financiera de </w:t>
      </w:r>
      <w:r>
        <w:rPr>
          <w:rFonts w:ascii="Gotham" w:hAnsi="Gotham"/>
          <w:sz w:val="20"/>
          <w:szCs w:val="20"/>
        </w:rPr>
        <w:t>T</w:t>
      </w:r>
      <w:r w:rsidRPr="00B22052">
        <w:rPr>
          <w:rFonts w:ascii="Gotham" w:hAnsi="Gotham"/>
          <w:sz w:val="20"/>
          <w:szCs w:val="20"/>
        </w:rPr>
        <w:t>esorería</w:t>
      </w:r>
      <w:r>
        <w:rPr>
          <w:rFonts w:ascii="Gotham" w:hAnsi="Gotham"/>
          <w:sz w:val="20"/>
          <w:szCs w:val="20"/>
        </w:rPr>
        <w:t>,</w:t>
      </w:r>
      <w:r w:rsidRPr="00B22052">
        <w:rPr>
          <w:rFonts w:ascii="Gotham" w:hAnsi="Gotham"/>
          <w:sz w:val="20"/>
          <w:szCs w:val="20"/>
        </w:rPr>
        <w:t xml:space="preserve"> así como procedencia por parte de la dirección competente.</w:t>
      </w:r>
    </w:p>
    <w:p w14:paraId="3A47681E" w14:textId="77777777" w:rsidR="009B5E39" w:rsidRPr="00B22052" w:rsidRDefault="009B5E39" w:rsidP="009B5E39">
      <w:pPr>
        <w:jc w:val="both"/>
        <w:rPr>
          <w:rFonts w:ascii="Gotham" w:hAnsi="Gotham"/>
          <w:sz w:val="20"/>
          <w:szCs w:val="20"/>
        </w:rPr>
      </w:pPr>
    </w:p>
    <w:p w14:paraId="3A47681F" w14:textId="77777777" w:rsidR="009B5E39" w:rsidRPr="00CD0531" w:rsidRDefault="009B5E39" w:rsidP="009B5E39">
      <w:pPr>
        <w:jc w:val="both"/>
        <w:rPr>
          <w:rFonts w:ascii="Gotham" w:hAnsi="Gotham" w:cs="Arial"/>
          <w:sz w:val="20"/>
          <w:szCs w:val="20"/>
        </w:rPr>
      </w:pPr>
      <w:r>
        <w:rPr>
          <w:rFonts w:ascii="Gotham" w:hAnsi="Gotham"/>
          <w:sz w:val="20"/>
          <w:szCs w:val="20"/>
        </w:rPr>
        <w:t xml:space="preserve">Continuando con el uso de la voz, el Presidente Municipal, Sergio Armando Chávez Dávalos, agrega que, </w:t>
      </w:r>
      <w:r w:rsidRPr="00AC1F06">
        <w:rPr>
          <w:rFonts w:ascii="Gotham" w:hAnsi="Gotham" w:cs="Arial"/>
          <w:color w:val="000000"/>
          <w:sz w:val="20"/>
          <w:szCs w:val="20"/>
          <w:lang w:eastAsia="es-MX"/>
        </w:rPr>
        <w:t>como autoridad municipal tenemos la obligación de c</w:t>
      </w:r>
      <w:r>
        <w:rPr>
          <w:rFonts w:ascii="Gotham" w:hAnsi="Gotham" w:cs="Arial"/>
          <w:color w:val="000000"/>
          <w:sz w:val="20"/>
          <w:szCs w:val="20"/>
          <w:lang w:eastAsia="es-MX"/>
        </w:rPr>
        <w:t>rear y aplicar los reglamentos que</w:t>
      </w:r>
      <w:r w:rsidRPr="00AC1F06">
        <w:rPr>
          <w:rFonts w:ascii="Gotham" w:hAnsi="Gotham" w:cs="Arial"/>
          <w:color w:val="000000"/>
          <w:sz w:val="20"/>
          <w:szCs w:val="20"/>
          <w:lang w:eastAsia="es-MX"/>
        </w:rPr>
        <w:t xml:space="preserve"> aseguren el orden y la tranquilidad de la comunidad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regulen el desarrollo de todos sus sentidos y aplicación de los servicios públicos como principio de generalidad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igualdad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regularidad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continuidad y obligatoriedad</w:t>
      </w:r>
      <w:r>
        <w:rPr>
          <w:rFonts w:ascii="Gotham" w:hAnsi="Gotham" w:cs="Arial"/>
          <w:color w:val="000000"/>
          <w:sz w:val="20"/>
          <w:szCs w:val="20"/>
          <w:lang w:eastAsia="es-MX"/>
        </w:rPr>
        <w:t xml:space="preserve">. Los </w:t>
      </w:r>
      <w:r w:rsidRPr="00AC1F06">
        <w:rPr>
          <w:rFonts w:ascii="Gotham" w:hAnsi="Gotham" w:cs="Arial"/>
          <w:color w:val="000000"/>
          <w:sz w:val="20"/>
          <w:szCs w:val="20"/>
          <w:lang w:eastAsia="es-MX"/>
        </w:rPr>
        <w:t>reglamentos deben de ser adaptables a los cambios sociales y económicos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en nuestro caso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c</w:t>
      </w:r>
      <w:r w:rsidRPr="00AC1F06">
        <w:rPr>
          <w:rFonts w:ascii="Gotham" w:hAnsi="Gotham" w:cs="Arial"/>
          <w:color w:val="000000"/>
          <w:sz w:val="20"/>
          <w:szCs w:val="20"/>
          <w:lang w:eastAsia="es-MX"/>
        </w:rPr>
        <w:t>ontamos con reglamentos vigentes obsoletos</w:t>
      </w:r>
      <w:r>
        <w:rPr>
          <w:rFonts w:ascii="Gotham" w:hAnsi="Gotham" w:cs="Arial"/>
          <w:color w:val="000000"/>
          <w:sz w:val="20"/>
          <w:szCs w:val="20"/>
          <w:lang w:eastAsia="es-MX"/>
        </w:rPr>
        <w:t xml:space="preserve"> que es necesario modernizar</w:t>
      </w:r>
      <w:r w:rsidRPr="00AC1F06">
        <w:rPr>
          <w:rFonts w:ascii="Gotham" w:hAnsi="Gotham" w:cs="Arial"/>
          <w:color w:val="000000"/>
          <w:sz w:val="20"/>
          <w:szCs w:val="20"/>
          <w:lang w:eastAsia="es-MX"/>
        </w:rPr>
        <w:t xml:space="preserve"> para estar acordes con </w:t>
      </w:r>
      <w:r>
        <w:rPr>
          <w:rFonts w:ascii="Gotham" w:hAnsi="Gotham" w:cs="Arial"/>
          <w:color w:val="000000"/>
          <w:sz w:val="20"/>
          <w:szCs w:val="20"/>
          <w:lang w:eastAsia="es-MX"/>
        </w:rPr>
        <w:t xml:space="preserve">el marco normativo que regula a </w:t>
      </w:r>
      <w:r w:rsidRPr="00AC1F06">
        <w:rPr>
          <w:rFonts w:ascii="Gotham" w:hAnsi="Gotham" w:cs="Arial"/>
          <w:color w:val="000000"/>
          <w:sz w:val="20"/>
          <w:szCs w:val="20"/>
          <w:lang w:eastAsia="es-MX"/>
        </w:rPr>
        <w:t>los municipios de la zona metropolitana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no podemos estar nosotros atrás como municipio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El</w:t>
      </w:r>
      <w:r>
        <w:rPr>
          <w:rFonts w:ascii="Gotham" w:hAnsi="Gotham" w:cs="Arial"/>
          <w:color w:val="000000"/>
          <w:sz w:val="20"/>
          <w:szCs w:val="20"/>
          <w:lang w:eastAsia="es-MX"/>
        </w:rPr>
        <w:t xml:space="preserve"> </w:t>
      </w:r>
      <w:r w:rsidRPr="00AC1F06">
        <w:rPr>
          <w:rFonts w:ascii="Gotham" w:hAnsi="Gotham" w:cs="Arial"/>
          <w:color w:val="000000"/>
          <w:sz w:val="20"/>
          <w:szCs w:val="20"/>
          <w:lang w:eastAsia="es-MX"/>
        </w:rPr>
        <w:t>municipio cuenta con 88 reglamentos vigentes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los cuales estaremos reformando y </w:t>
      </w:r>
      <w:r>
        <w:rPr>
          <w:rFonts w:ascii="Gotham" w:hAnsi="Gotham" w:cs="Arial"/>
          <w:color w:val="000000"/>
          <w:sz w:val="20"/>
          <w:szCs w:val="20"/>
          <w:lang w:eastAsia="es-MX"/>
        </w:rPr>
        <w:t>adicionando 35 en la primera</w:t>
      </w:r>
      <w:r w:rsidRPr="00AC1F06">
        <w:rPr>
          <w:rFonts w:ascii="Gotham" w:hAnsi="Gotham" w:cs="Arial"/>
          <w:color w:val="000000"/>
          <w:sz w:val="20"/>
          <w:szCs w:val="20"/>
          <w:lang w:eastAsia="es-MX"/>
        </w:rPr>
        <w:t xml:space="preserve"> etapa y crearemos 50 nuevos que son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eglamento de </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rchivos del </w:t>
      </w:r>
      <w:r>
        <w:rPr>
          <w:rFonts w:ascii="Gotham" w:hAnsi="Gotham" w:cs="Arial"/>
          <w:color w:val="000000"/>
          <w:sz w:val="20"/>
          <w:szCs w:val="20"/>
          <w:lang w:eastAsia="es-MX"/>
        </w:rPr>
        <w:t>M</w:t>
      </w:r>
      <w:r w:rsidRPr="00AC1F06">
        <w:rPr>
          <w:rFonts w:ascii="Gotham" w:hAnsi="Gotham" w:cs="Arial"/>
          <w:color w:val="000000"/>
          <w:sz w:val="20"/>
          <w:szCs w:val="20"/>
          <w:lang w:eastAsia="es-MX"/>
        </w:rPr>
        <w:t xml:space="preserve">unicipio de Tonalá y del </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rchivo </w:t>
      </w:r>
      <w:r>
        <w:rPr>
          <w:rFonts w:ascii="Gotham" w:hAnsi="Gotham" w:cs="Arial"/>
          <w:color w:val="000000"/>
          <w:sz w:val="20"/>
          <w:szCs w:val="20"/>
          <w:lang w:eastAsia="es-MX"/>
        </w:rPr>
        <w:t>G</w:t>
      </w:r>
      <w:r w:rsidRPr="00AC1F06">
        <w:rPr>
          <w:rFonts w:ascii="Gotham" w:hAnsi="Gotham" w:cs="Arial"/>
          <w:color w:val="000000"/>
          <w:sz w:val="20"/>
          <w:szCs w:val="20"/>
          <w:lang w:eastAsia="es-MX"/>
        </w:rPr>
        <w:t xml:space="preserve">eneral </w:t>
      </w:r>
      <w:r>
        <w:rPr>
          <w:rFonts w:ascii="Gotham" w:hAnsi="Gotham" w:cs="Arial"/>
          <w:color w:val="000000"/>
          <w:sz w:val="20"/>
          <w:szCs w:val="20"/>
          <w:lang w:eastAsia="es-MX"/>
        </w:rPr>
        <w:t>M</w:t>
      </w:r>
      <w:r w:rsidRPr="00AC1F06">
        <w:rPr>
          <w:rFonts w:ascii="Gotham" w:hAnsi="Gotham" w:cs="Arial"/>
          <w:color w:val="000000"/>
          <w:sz w:val="20"/>
          <w:szCs w:val="20"/>
          <w:lang w:eastAsia="es-MX"/>
        </w:rPr>
        <w:t>unicipal</w:t>
      </w:r>
      <w:r>
        <w:rPr>
          <w:rFonts w:ascii="Gotham" w:hAnsi="Gotham" w:cs="Arial"/>
          <w:color w:val="000000"/>
          <w:sz w:val="20"/>
          <w:szCs w:val="20"/>
          <w:lang w:eastAsia="es-MX"/>
        </w:rPr>
        <w:t>; R</w:t>
      </w:r>
      <w:r w:rsidRPr="00AC1F06">
        <w:rPr>
          <w:rFonts w:ascii="Gotham" w:hAnsi="Gotham" w:cs="Arial"/>
          <w:color w:val="000000"/>
          <w:sz w:val="20"/>
          <w:szCs w:val="20"/>
          <w:lang w:eastAsia="es-MX"/>
        </w:rPr>
        <w:t xml:space="preserve">eglamento de </w:t>
      </w:r>
      <w:r>
        <w:rPr>
          <w:rFonts w:ascii="Gotham" w:hAnsi="Gotham" w:cs="Arial"/>
          <w:color w:val="000000"/>
          <w:sz w:val="20"/>
          <w:szCs w:val="20"/>
          <w:lang w:eastAsia="es-MX"/>
        </w:rPr>
        <w:t>N</w:t>
      </w:r>
      <w:r w:rsidRPr="00AC1F06">
        <w:rPr>
          <w:rFonts w:ascii="Gotham" w:hAnsi="Gotham" w:cs="Arial"/>
          <w:color w:val="000000"/>
          <w:sz w:val="20"/>
          <w:szCs w:val="20"/>
          <w:lang w:eastAsia="es-MX"/>
        </w:rPr>
        <w:t>omenclatura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w:t>
      </w:r>
      <w:r>
        <w:rPr>
          <w:rFonts w:ascii="Gotham" w:hAnsi="Gotham" w:cs="Arial"/>
          <w:color w:val="000000"/>
          <w:sz w:val="20"/>
          <w:szCs w:val="20"/>
          <w:lang w:eastAsia="es-MX"/>
        </w:rPr>
        <w:t>V</w:t>
      </w:r>
      <w:r w:rsidRPr="00AC1F06">
        <w:rPr>
          <w:rFonts w:ascii="Gotham" w:hAnsi="Gotham" w:cs="Arial"/>
          <w:color w:val="000000"/>
          <w:sz w:val="20"/>
          <w:szCs w:val="20"/>
          <w:lang w:eastAsia="es-MX"/>
        </w:rPr>
        <w:t xml:space="preserve">ías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úblicas y </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spacios </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biertos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úblicos del </w:t>
      </w:r>
      <w:r>
        <w:rPr>
          <w:rFonts w:ascii="Gotham" w:hAnsi="Gotham" w:cs="Arial"/>
          <w:color w:val="000000"/>
          <w:sz w:val="20"/>
          <w:szCs w:val="20"/>
          <w:lang w:eastAsia="es-MX"/>
        </w:rPr>
        <w:t>M</w:t>
      </w:r>
      <w:r w:rsidRPr="00AC1F06">
        <w:rPr>
          <w:rFonts w:ascii="Gotham" w:hAnsi="Gotham" w:cs="Arial"/>
          <w:color w:val="000000"/>
          <w:sz w:val="20"/>
          <w:szCs w:val="20"/>
          <w:lang w:eastAsia="es-MX"/>
        </w:rPr>
        <w:t>unicipio</w:t>
      </w:r>
      <w:r>
        <w:rPr>
          <w:rFonts w:ascii="Gotham" w:hAnsi="Gotham" w:cs="Arial"/>
          <w:color w:val="000000"/>
          <w:sz w:val="20"/>
          <w:szCs w:val="20"/>
          <w:lang w:eastAsia="es-MX"/>
        </w:rPr>
        <w:t>; R</w:t>
      </w:r>
      <w:r w:rsidRPr="00AC1F06">
        <w:rPr>
          <w:rFonts w:ascii="Gotham" w:hAnsi="Gotham" w:cs="Arial"/>
          <w:color w:val="000000"/>
          <w:sz w:val="20"/>
          <w:szCs w:val="20"/>
          <w:lang w:eastAsia="es-MX"/>
        </w:rPr>
        <w:t xml:space="preserve">eglamento de </w:t>
      </w:r>
      <w:r>
        <w:rPr>
          <w:rFonts w:ascii="Gotham" w:hAnsi="Gotham" w:cs="Arial"/>
          <w:color w:val="000000"/>
          <w:sz w:val="20"/>
          <w:szCs w:val="20"/>
          <w:lang w:eastAsia="es-MX"/>
        </w:rPr>
        <w:t>Parques,</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J</w:t>
      </w:r>
      <w:r w:rsidRPr="00AC1F06">
        <w:rPr>
          <w:rFonts w:ascii="Gotham" w:hAnsi="Gotham" w:cs="Arial"/>
          <w:color w:val="000000"/>
          <w:sz w:val="20"/>
          <w:szCs w:val="20"/>
          <w:lang w:eastAsia="es-MX"/>
        </w:rPr>
        <w:t xml:space="preserve">ardines </w:t>
      </w:r>
      <w:r>
        <w:rPr>
          <w:rFonts w:ascii="Gotham" w:hAnsi="Gotham" w:cs="Arial"/>
          <w:color w:val="000000"/>
          <w:sz w:val="20"/>
          <w:szCs w:val="20"/>
          <w:lang w:eastAsia="es-MX"/>
        </w:rPr>
        <w:t>y Recursos F</w:t>
      </w:r>
      <w:r w:rsidRPr="00AC1F06">
        <w:rPr>
          <w:rFonts w:ascii="Gotham" w:hAnsi="Gotham" w:cs="Arial"/>
          <w:color w:val="000000"/>
          <w:sz w:val="20"/>
          <w:szCs w:val="20"/>
          <w:lang w:eastAsia="es-MX"/>
        </w:rPr>
        <w:t xml:space="preserve">orestales para el </w:t>
      </w:r>
      <w:r>
        <w:rPr>
          <w:rFonts w:ascii="Gotham" w:hAnsi="Gotham" w:cs="Arial"/>
          <w:color w:val="000000"/>
          <w:sz w:val="20"/>
          <w:szCs w:val="20"/>
          <w:lang w:eastAsia="es-MX"/>
        </w:rPr>
        <w:t>M</w:t>
      </w:r>
      <w:r w:rsidRPr="00AC1F06">
        <w:rPr>
          <w:rFonts w:ascii="Gotham" w:hAnsi="Gotham" w:cs="Arial"/>
          <w:color w:val="000000"/>
          <w:sz w:val="20"/>
          <w:szCs w:val="20"/>
          <w:lang w:eastAsia="es-MX"/>
        </w:rPr>
        <w:t>unicipio de Tonalá</w:t>
      </w:r>
      <w:r>
        <w:rPr>
          <w:rFonts w:ascii="Gotham" w:hAnsi="Gotham" w:cs="Arial"/>
          <w:color w:val="000000"/>
          <w:sz w:val="20"/>
          <w:szCs w:val="20"/>
          <w:lang w:eastAsia="es-MX"/>
        </w:rPr>
        <w:t>; Reglamento de anuncios y P</w:t>
      </w:r>
      <w:r w:rsidRPr="00AC1F06">
        <w:rPr>
          <w:rFonts w:ascii="Gotham" w:hAnsi="Gotham" w:cs="Arial"/>
          <w:color w:val="000000"/>
          <w:sz w:val="20"/>
          <w:szCs w:val="20"/>
          <w:lang w:eastAsia="es-MX"/>
        </w:rPr>
        <w:t xml:space="preserve">ublicidad </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xterior para el </w:t>
      </w:r>
      <w:r>
        <w:rPr>
          <w:rFonts w:ascii="Gotham" w:hAnsi="Gotham" w:cs="Arial"/>
          <w:color w:val="000000"/>
          <w:sz w:val="20"/>
          <w:szCs w:val="20"/>
          <w:lang w:eastAsia="es-MX"/>
        </w:rPr>
        <w:t>M</w:t>
      </w:r>
      <w:r w:rsidRPr="00AC1F06">
        <w:rPr>
          <w:rFonts w:ascii="Gotham" w:hAnsi="Gotham" w:cs="Arial"/>
          <w:color w:val="000000"/>
          <w:sz w:val="20"/>
          <w:szCs w:val="20"/>
          <w:lang w:eastAsia="es-MX"/>
        </w:rPr>
        <w:t>unicipio</w:t>
      </w:r>
      <w:r>
        <w:rPr>
          <w:rFonts w:ascii="Gotham" w:hAnsi="Gotham" w:cs="Arial"/>
          <w:color w:val="000000"/>
          <w:sz w:val="20"/>
          <w:szCs w:val="20"/>
          <w:lang w:eastAsia="es-MX"/>
        </w:rPr>
        <w:t>; R</w:t>
      </w:r>
      <w:r w:rsidRPr="00AC1F06">
        <w:rPr>
          <w:rFonts w:ascii="Gotham" w:hAnsi="Gotham" w:cs="Arial"/>
          <w:color w:val="000000"/>
          <w:sz w:val="20"/>
          <w:szCs w:val="20"/>
          <w:lang w:eastAsia="es-MX"/>
        </w:rPr>
        <w:t xml:space="preserve">eglamento para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revenir y </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liminar la </w:t>
      </w:r>
      <w:r>
        <w:rPr>
          <w:rFonts w:ascii="Gotham" w:hAnsi="Gotham" w:cs="Arial"/>
          <w:color w:val="000000"/>
          <w:sz w:val="20"/>
          <w:szCs w:val="20"/>
          <w:lang w:eastAsia="es-MX"/>
        </w:rPr>
        <w:t>D</w:t>
      </w:r>
      <w:r w:rsidRPr="00AC1F06">
        <w:rPr>
          <w:rFonts w:ascii="Gotham" w:hAnsi="Gotham" w:cs="Arial"/>
          <w:color w:val="000000"/>
          <w:sz w:val="20"/>
          <w:szCs w:val="20"/>
          <w:lang w:eastAsia="es-MX"/>
        </w:rPr>
        <w:t xml:space="preserve">iscriminación para el </w:t>
      </w:r>
      <w:r>
        <w:rPr>
          <w:rFonts w:ascii="Gotham" w:hAnsi="Gotham" w:cs="Arial"/>
          <w:color w:val="000000"/>
          <w:sz w:val="20"/>
          <w:szCs w:val="20"/>
          <w:lang w:eastAsia="es-MX"/>
        </w:rPr>
        <w:t>M</w:t>
      </w:r>
      <w:r w:rsidRPr="00AC1F06">
        <w:rPr>
          <w:rFonts w:ascii="Gotham" w:hAnsi="Gotham" w:cs="Arial"/>
          <w:color w:val="000000"/>
          <w:sz w:val="20"/>
          <w:szCs w:val="20"/>
          <w:lang w:eastAsia="es-MX"/>
        </w:rPr>
        <w:t xml:space="preserve">unicipio </w:t>
      </w:r>
      <w:r>
        <w:rPr>
          <w:rFonts w:ascii="Gotham" w:hAnsi="Gotham" w:cs="Arial"/>
          <w:color w:val="000000"/>
          <w:sz w:val="20"/>
          <w:szCs w:val="20"/>
          <w:lang w:eastAsia="es-MX"/>
        </w:rPr>
        <w:t>O</w:t>
      </w:r>
      <w:r w:rsidRPr="00AC1F06">
        <w:rPr>
          <w:rFonts w:ascii="Gotham" w:hAnsi="Gotham" w:cs="Arial"/>
          <w:color w:val="000000"/>
          <w:sz w:val="20"/>
          <w:szCs w:val="20"/>
          <w:lang w:eastAsia="es-MX"/>
        </w:rPr>
        <w:t>tra clave para establecer un reglamento municipal eficaz es la participación ciudadana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las opiniones de los ciudadanos deben de ser tomadas en cuenta para establecer los reglamentos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sto se debe a que </w:t>
      </w:r>
      <w:r>
        <w:rPr>
          <w:rFonts w:ascii="Gotham" w:hAnsi="Gotham" w:cs="Arial"/>
          <w:color w:val="000000"/>
          <w:sz w:val="20"/>
          <w:szCs w:val="20"/>
          <w:lang w:eastAsia="es-MX"/>
        </w:rPr>
        <w:t xml:space="preserve">los </w:t>
      </w:r>
      <w:r w:rsidRPr="00AC1F06">
        <w:rPr>
          <w:rFonts w:ascii="Gotham" w:hAnsi="Gotham" w:cs="Arial"/>
          <w:color w:val="000000"/>
          <w:sz w:val="20"/>
          <w:szCs w:val="20"/>
          <w:lang w:eastAsia="es-MX"/>
        </w:rPr>
        <w:t>reglamentos debe</w:t>
      </w:r>
      <w:r>
        <w:rPr>
          <w:rFonts w:ascii="Gotham" w:hAnsi="Gotham" w:cs="Arial"/>
          <w:color w:val="000000"/>
          <w:sz w:val="20"/>
          <w:szCs w:val="20"/>
          <w:lang w:eastAsia="es-MX"/>
        </w:rPr>
        <w:t>n</w:t>
      </w:r>
      <w:r w:rsidRPr="00AC1F06">
        <w:rPr>
          <w:rFonts w:ascii="Gotham" w:hAnsi="Gotham" w:cs="Arial"/>
          <w:color w:val="000000"/>
          <w:sz w:val="20"/>
          <w:szCs w:val="20"/>
          <w:lang w:eastAsia="es-MX"/>
        </w:rPr>
        <w:t xml:space="preserve"> reflejar la opinión de </w:t>
      </w:r>
      <w:r>
        <w:rPr>
          <w:rFonts w:ascii="Gotham" w:hAnsi="Gotham" w:cs="Arial"/>
          <w:color w:val="000000"/>
          <w:sz w:val="20"/>
          <w:szCs w:val="20"/>
          <w:lang w:eastAsia="es-MX"/>
        </w:rPr>
        <w:t xml:space="preserve">la </w:t>
      </w:r>
      <w:r w:rsidRPr="00AC1F06">
        <w:rPr>
          <w:rFonts w:ascii="Gotham" w:hAnsi="Gotham" w:cs="Arial"/>
          <w:color w:val="000000"/>
          <w:sz w:val="20"/>
          <w:szCs w:val="20"/>
          <w:lang w:eastAsia="es-MX"/>
        </w:rPr>
        <w:t>comunidad sobre cómo se debe</w:t>
      </w:r>
      <w:r>
        <w:rPr>
          <w:rFonts w:ascii="Gotham" w:hAnsi="Gotham" w:cs="Arial"/>
          <w:color w:val="000000"/>
          <w:sz w:val="20"/>
          <w:szCs w:val="20"/>
          <w:lang w:eastAsia="es-MX"/>
        </w:rPr>
        <w:t>n</w:t>
      </w:r>
      <w:r w:rsidRPr="00AC1F06">
        <w:rPr>
          <w:rFonts w:ascii="Gotham" w:hAnsi="Gotham" w:cs="Arial"/>
          <w:color w:val="000000"/>
          <w:sz w:val="20"/>
          <w:szCs w:val="20"/>
          <w:lang w:eastAsia="es-MX"/>
        </w:rPr>
        <w:t xml:space="preserve"> regular los asuntos municipales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además el reglamento debe respetar la diversidad cultural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esto significa que </w:t>
      </w:r>
      <w:r>
        <w:rPr>
          <w:rFonts w:ascii="Gotham" w:hAnsi="Gotham" w:cs="Arial"/>
          <w:color w:val="000000"/>
          <w:sz w:val="20"/>
          <w:szCs w:val="20"/>
          <w:lang w:eastAsia="es-MX"/>
        </w:rPr>
        <w:t>l</w:t>
      </w:r>
      <w:r w:rsidRPr="00AC1F06">
        <w:rPr>
          <w:rFonts w:ascii="Gotham" w:hAnsi="Gotham" w:cs="Arial"/>
          <w:color w:val="000000"/>
          <w:sz w:val="20"/>
          <w:szCs w:val="20"/>
          <w:lang w:eastAsia="es-MX"/>
        </w:rPr>
        <w:t xml:space="preserve">a regulación debe aceptar </w:t>
      </w:r>
      <w:r>
        <w:rPr>
          <w:rFonts w:ascii="Gotham" w:hAnsi="Gotham" w:cs="Arial"/>
          <w:color w:val="000000"/>
          <w:sz w:val="20"/>
          <w:szCs w:val="20"/>
          <w:lang w:eastAsia="es-MX"/>
        </w:rPr>
        <w:t>y</w:t>
      </w:r>
      <w:r w:rsidRPr="00AC1F06">
        <w:rPr>
          <w:rFonts w:ascii="Gotham" w:hAnsi="Gotham" w:cs="Arial"/>
          <w:color w:val="000000"/>
          <w:sz w:val="20"/>
          <w:szCs w:val="20"/>
          <w:lang w:eastAsia="es-MX"/>
        </w:rPr>
        <w:t xml:space="preserve"> respetar las diversas culturas y tradiciones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esto ayudará a asegurar que la regularización refleje los valores de la comunidad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F</w:t>
      </w:r>
      <w:r w:rsidRPr="00AC1F06">
        <w:rPr>
          <w:rFonts w:ascii="Gotham" w:hAnsi="Gotham" w:cs="Arial"/>
          <w:color w:val="000000"/>
          <w:sz w:val="20"/>
          <w:szCs w:val="20"/>
          <w:lang w:eastAsia="es-MX"/>
        </w:rPr>
        <w:t>inalmente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los reglamentos debe</w:t>
      </w:r>
      <w:r>
        <w:rPr>
          <w:rFonts w:ascii="Gotham" w:hAnsi="Gotham" w:cs="Arial"/>
          <w:color w:val="000000"/>
          <w:sz w:val="20"/>
          <w:szCs w:val="20"/>
          <w:lang w:eastAsia="es-MX"/>
        </w:rPr>
        <w:t>n</w:t>
      </w:r>
      <w:r w:rsidRPr="00AC1F06">
        <w:rPr>
          <w:rFonts w:ascii="Gotham" w:hAnsi="Gotham" w:cs="Arial"/>
          <w:color w:val="000000"/>
          <w:sz w:val="20"/>
          <w:szCs w:val="20"/>
          <w:lang w:eastAsia="es-MX"/>
        </w:rPr>
        <w:t xml:space="preserve"> de ser claros y fáciles de entender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esto garantizará que </w:t>
      </w:r>
      <w:r>
        <w:rPr>
          <w:rFonts w:ascii="Gotham" w:hAnsi="Gotham" w:cs="Arial"/>
          <w:color w:val="000000"/>
          <w:sz w:val="20"/>
          <w:szCs w:val="20"/>
          <w:lang w:eastAsia="es-MX"/>
        </w:rPr>
        <w:t>la regularización sea entendida</w:t>
      </w:r>
      <w:r w:rsidRPr="00AC1F06">
        <w:rPr>
          <w:rFonts w:ascii="Gotham" w:hAnsi="Gotham" w:cs="Arial"/>
          <w:color w:val="000000"/>
          <w:sz w:val="20"/>
          <w:szCs w:val="20"/>
          <w:lang w:eastAsia="es-MX"/>
        </w:rPr>
        <w:t xml:space="preserve"> y respetada por todos los habitantes del municipio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estas claves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si se aplican correctamente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pueden ayudar a las autoridades municipales a crear </w:t>
      </w:r>
      <w:r>
        <w:rPr>
          <w:rFonts w:ascii="Gotham" w:hAnsi="Gotham" w:cs="Arial"/>
          <w:color w:val="000000"/>
          <w:sz w:val="20"/>
          <w:szCs w:val="20"/>
          <w:lang w:eastAsia="es-MX"/>
        </w:rPr>
        <w:t>un reglamento municipal eficaz que</w:t>
      </w:r>
      <w:r w:rsidRPr="00AC1F06">
        <w:rPr>
          <w:rFonts w:ascii="Gotham" w:hAnsi="Gotham" w:cs="Arial"/>
          <w:color w:val="000000"/>
          <w:sz w:val="20"/>
          <w:szCs w:val="20"/>
          <w:lang w:eastAsia="es-MX"/>
        </w:rPr>
        <w:t xml:space="preserve"> refleje los deseos de la comunidad y respete la diversidad cultural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esto asegurará que la regularización sea justa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equitativa y eficaz</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L</w:t>
      </w:r>
      <w:r w:rsidRPr="00AC1F06">
        <w:rPr>
          <w:rFonts w:ascii="Gotham" w:hAnsi="Gotham" w:cs="Arial"/>
          <w:color w:val="000000"/>
          <w:sz w:val="20"/>
          <w:szCs w:val="20"/>
          <w:lang w:eastAsia="es-MX"/>
        </w:rPr>
        <w:t xml:space="preserve">a iniciativa </w:t>
      </w:r>
      <w:r>
        <w:rPr>
          <w:rFonts w:ascii="Gotham" w:hAnsi="Gotham" w:cs="Arial"/>
          <w:color w:val="000000"/>
          <w:sz w:val="20"/>
          <w:szCs w:val="20"/>
          <w:lang w:eastAsia="es-MX"/>
        </w:rPr>
        <w:lastRenderedPageBreak/>
        <w:t>contempla reformas integrale</w:t>
      </w:r>
      <w:r w:rsidRPr="00AC1F06">
        <w:rPr>
          <w:rFonts w:ascii="Gotham" w:hAnsi="Gotham" w:cs="Arial"/>
          <w:color w:val="000000"/>
          <w:sz w:val="20"/>
          <w:szCs w:val="20"/>
          <w:lang w:eastAsia="es-MX"/>
        </w:rPr>
        <w:t>s de largo alcance que transformarán de fondo la ruta para que los servicios públicos estén al alcance de la mayoría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sobre todo los grupos más vulnerables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personas adultas mayores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mujeres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personas con discapacidad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niña</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niños y adolescentes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bajo este orden de ideas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este </w:t>
      </w:r>
      <w:r>
        <w:rPr>
          <w:rFonts w:ascii="Gotham" w:hAnsi="Gotham" w:cs="Arial"/>
          <w:color w:val="000000"/>
          <w:sz w:val="20"/>
          <w:szCs w:val="20"/>
          <w:lang w:eastAsia="es-MX"/>
        </w:rPr>
        <w:t>A</w:t>
      </w:r>
      <w:r w:rsidRPr="00AC1F06">
        <w:rPr>
          <w:rFonts w:ascii="Gotham" w:hAnsi="Gotham" w:cs="Arial"/>
          <w:color w:val="000000"/>
          <w:sz w:val="20"/>
          <w:szCs w:val="20"/>
          <w:lang w:eastAsia="es-MX"/>
        </w:rPr>
        <w:t>yuntamiento tiene el compromiso institucional de procurar la modernización de los reglamentos con el propósito de contar con normas que propician la simplificac</w:t>
      </w:r>
      <w:r>
        <w:rPr>
          <w:rFonts w:ascii="Gotham" w:hAnsi="Gotham" w:cs="Arial"/>
          <w:color w:val="000000"/>
          <w:sz w:val="20"/>
          <w:szCs w:val="20"/>
          <w:lang w:eastAsia="es-MX"/>
        </w:rPr>
        <w:t>ión administrativa que incentive</w:t>
      </w:r>
      <w:r w:rsidRPr="00AC1F06">
        <w:rPr>
          <w:rFonts w:ascii="Gotham" w:hAnsi="Gotham" w:cs="Arial"/>
          <w:color w:val="000000"/>
          <w:sz w:val="20"/>
          <w:szCs w:val="20"/>
          <w:lang w:eastAsia="es-MX"/>
        </w:rPr>
        <w:t xml:space="preserve"> la participación ciudadana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sobre todo fortalecer el estado de derecho de nuestro municipio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N</w:t>
      </w:r>
      <w:r w:rsidRPr="00AC1F06">
        <w:rPr>
          <w:rFonts w:ascii="Gotham" w:hAnsi="Gotham" w:cs="Arial"/>
          <w:color w:val="000000"/>
          <w:sz w:val="20"/>
          <w:szCs w:val="20"/>
          <w:lang w:eastAsia="es-MX"/>
        </w:rPr>
        <w:t>uestro país vive un momento histórico y decisivo que trazará la ruta institucional para el devenir de los próximos años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 ello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ante los grandes retos que se avecinan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resulta </w:t>
      </w:r>
      <w:r>
        <w:rPr>
          <w:rFonts w:ascii="Gotham" w:hAnsi="Gotham" w:cs="Arial"/>
          <w:color w:val="000000"/>
          <w:sz w:val="20"/>
          <w:szCs w:val="20"/>
          <w:lang w:eastAsia="es-MX"/>
        </w:rPr>
        <w:t>necesario</w:t>
      </w:r>
      <w:r w:rsidRPr="00AC1F06">
        <w:rPr>
          <w:rFonts w:ascii="Gotham" w:hAnsi="Gotham" w:cs="Arial"/>
          <w:color w:val="000000"/>
          <w:sz w:val="20"/>
          <w:szCs w:val="20"/>
          <w:lang w:eastAsia="es-MX"/>
        </w:rPr>
        <w:t xml:space="preserve"> la creación de nuevo</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reglamentos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reformas y adiciones a diversos artículos que corresponden </w:t>
      </w:r>
      <w:r>
        <w:rPr>
          <w:rFonts w:ascii="Gotham" w:hAnsi="Gotham" w:cs="Arial"/>
          <w:color w:val="000000"/>
          <w:sz w:val="20"/>
          <w:szCs w:val="20"/>
          <w:lang w:eastAsia="es-MX"/>
        </w:rPr>
        <w:t xml:space="preserve">a </w:t>
      </w:r>
      <w:r w:rsidRPr="00AC1F06">
        <w:rPr>
          <w:rFonts w:ascii="Gotham" w:hAnsi="Gotham" w:cs="Arial"/>
          <w:color w:val="000000"/>
          <w:sz w:val="20"/>
          <w:szCs w:val="20"/>
          <w:lang w:eastAsia="es-MX"/>
        </w:rPr>
        <w:t>las exigencias ciudadanas y que estén a la altura de las circunstancias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la actualización de los reglamentos continuaremos siendo un gobierno ordenado y eficiente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que</w:t>
      </w:r>
      <w:r w:rsidRPr="00AC1F06">
        <w:rPr>
          <w:rFonts w:ascii="Gotham" w:hAnsi="Gotham" w:cs="Arial"/>
          <w:color w:val="000000"/>
          <w:sz w:val="20"/>
          <w:szCs w:val="20"/>
          <w:lang w:eastAsia="es-MX"/>
        </w:rPr>
        <w:t xml:space="preserve"> atendamos las necesidades y causas sociales de esta gran metrópoli</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si bien es cierto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estamos todos conscientes </w:t>
      </w:r>
      <w:r>
        <w:rPr>
          <w:rFonts w:ascii="Gotham" w:hAnsi="Gotham" w:cs="Arial"/>
          <w:color w:val="000000"/>
          <w:sz w:val="20"/>
          <w:szCs w:val="20"/>
          <w:lang w:eastAsia="es-MX"/>
        </w:rPr>
        <w:t>R</w:t>
      </w:r>
      <w:r w:rsidRPr="00AC1F06">
        <w:rPr>
          <w:rFonts w:ascii="Gotham" w:hAnsi="Gotham" w:cs="Arial"/>
          <w:color w:val="000000"/>
          <w:sz w:val="20"/>
          <w:szCs w:val="20"/>
          <w:lang w:eastAsia="es-MX"/>
        </w:rPr>
        <w:t>egidora</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R</w:t>
      </w:r>
      <w:r w:rsidRPr="00AC1F06">
        <w:rPr>
          <w:rFonts w:ascii="Gotham" w:hAnsi="Gotham" w:cs="Arial"/>
          <w:color w:val="000000"/>
          <w:sz w:val="20"/>
          <w:szCs w:val="20"/>
          <w:lang w:eastAsia="es-MX"/>
        </w:rPr>
        <w:t>egidores</w:t>
      </w:r>
      <w:r>
        <w:rPr>
          <w:rFonts w:ascii="Gotham" w:hAnsi="Gotham" w:cs="Arial"/>
          <w:color w:val="000000"/>
          <w:sz w:val="20"/>
          <w:szCs w:val="20"/>
          <w:lang w:eastAsia="es-MX"/>
        </w:rPr>
        <w:t>, de que tenemos que ir más m</w:t>
      </w:r>
      <w:r w:rsidRPr="00AC1F06">
        <w:rPr>
          <w:rFonts w:ascii="Gotham" w:hAnsi="Gotham" w:cs="Arial"/>
          <w:color w:val="000000"/>
          <w:sz w:val="20"/>
          <w:szCs w:val="20"/>
          <w:lang w:eastAsia="es-MX"/>
        </w:rPr>
        <w:t>ás allá de lo que ha venido sucediendo en el tema legislativo municipal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gran parte de los problemas que sufre nuestro municipio es porque desde un inspector de calle hasta un director general y coordinador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no puede ejercer el reglamento porque está obsoleto </w:t>
      </w:r>
      <w:r>
        <w:rPr>
          <w:rFonts w:ascii="Gotham" w:hAnsi="Gotham" w:cs="Arial"/>
          <w:color w:val="000000"/>
          <w:sz w:val="20"/>
          <w:szCs w:val="20"/>
          <w:lang w:eastAsia="es-MX"/>
        </w:rPr>
        <w:t xml:space="preserve">o </w:t>
      </w:r>
      <w:r w:rsidRPr="00AC1F06">
        <w:rPr>
          <w:rFonts w:ascii="Gotham" w:hAnsi="Gotham" w:cs="Arial"/>
          <w:color w:val="000000"/>
          <w:sz w:val="20"/>
          <w:szCs w:val="20"/>
          <w:lang w:eastAsia="es-MX"/>
        </w:rPr>
        <w:t>no está acomodado en base a las circunstancias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ahorita lo que platicaba o</w:t>
      </w:r>
      <w:r>
        <w:rPr>
          <w:rFonts w:ascii="Gotham" w:hAnsi="Gotham" w:cs="Arial"/>
          <w:color w:val="000000"/>
          <w:sz w:val="20"/>
          <w:szCs w:val="20"/>
          <w:lang w:eastAsia="es-MX"/>
        </w:rPr>
        <w:t xml:space="preserve"> </w:t>
      </w:r>
      <w:r w:rsidRPr="00AC1F06">
        <w:rPr>
          <w:rFonts w:ascii="Gotham" w:hAnsi="Gotham" w:cs="Arial"/>
          <w:color w:val="000000"/>
          <w:sz w:val="20"/>
          <w:szCs w:val="20"/>
          <w:lang w:eastAsia="es-MX"/>
        </w:rPr>
        <w:t>pe</w:t>
      </w:r>
      <w:r>
        <w:rPr>
          <w:rFonts w:ascii="Gotham" w:hAnsi="Gotham" w:cs="Arial"/>
          <w:color w:val="000000"/>
          <w:sz w:val="20"/>
          <w:szCs w:val="20"/>
          <w:lang w:eastAsia="es-MX"/>
        </w:rPr>
        <w:t>d</w:t>
      </w:r>
      <w:r w:rsidRPr="00AC1F06">
        <w:rPr>
          <w:rFonts w:ascii="Gotham" w:hAnsi="Gotham" w:cs="Arial"/>
          <w:color w:val="000000"/>
          <w:sz w:val="20"/>
          <w:szCs w:val="20"/>
          <w:lang w:eastAsia="es-MX"/>
        </w:rPr>
        <w:t xml:space="preserve">ía la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egidora </w:t>
      </w:r>
      <w:r>
        <w:rPr>
          <w:rFonts w:ascii="Gotham" w:hAnsi="Gotham" w:cs="Arial"/>
          <w:color w:val="000000"/>
          <w:sz w:val="20"/>
          <w:szCs w:val="20"/>
          <w:lang w:eastAsia="es-MX"/>
        </w:rPr>
        <w:t>Ac</w:t>
      </w:r>
      <w:r w:rsidRPr="00AC1F06">
        <w:rPr>
          <w:rFonts w:ascii="Gotham" w:hAnsi="Gotham" w:cs="Arial"/>
          <w:color w:val="000000"/>
          <w:sz w:val="20"/>
          <w:szCs w:val="20"/>
          <w:lang w:eastAsia="es-MX"/>
        </w:rPr>
        <w:t>osta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 que comentaba la </w:t>
      </w:r>
      <w:r>
        <w:rPr>
          <w:rFonts w:ascii="Gotham" w:hAnsi="Gotham" w:cs="Arial"/>
          <w:color w:val="000000"/>
          <w:sz w:val="20"/>
          <w:szCs w:val="20"/>
          <w:lang w:eastAsia="es-MX"/>
        </w:rPr>
        <w:t>R</w:t>
      </w:r>
      <w:r w:rsidRPr="00AC1F06">
        <w:rPr>
          <w:rFonts w:ascii="Gotham" w:hAnsi="Gotham" w:cs="Arial"/>
          <w:color w:val="000000"/>
          <w:sz w:val="20"/>
          <w:szCs w:val="20"/>
          <w:lang w:eastAsia="es-MX"/>
        </w:rPr>
        <w:t>egidora Dávalos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el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egidor </w:t>
      </w:r>
      <w:r>
        <w:rPr>
          <w:rFonts w:ascii="Gotham" w:hAnsi="Gotham" w:cs="Arial"/>
          <w:color w:val="000000"/>
          <w:sz w:val="20"/>
          <w:szCs w:val="20"/>
          <w:lang w:eastAsia="es-MX"/>
        </w:rPr>
        <w:t>B</w:t>
      </w:r>
      <w:r w:rsidRPr="00AC1F06">
        <w:rPr>
          <w:rFonts w:ascii="Gotham" w:hAnsi="Gotham" w:cs="Arial"/>
          <w:color w:val="000000"/>
          <w:sz w:val="20"/>
          <w:szCs w:val="20"/>
          <w:lang w:eastAsia="es-MX"/>
        </w:rPr>
        <w:t>añales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lo mismo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esto lo debemos de entender y lo estamos entendiendo la sociedad junto con este cuerpo edilicio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al tener reglamento</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modernos de una ciudad de más de medio millón de habitantes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seguramente vamos a combatir de mayor relevancia </w:t>
      </w:r>
      <w:r>
        <w:rPr>
          <w:rFonts w:ascii="Gotham" w:hAnsi="Gotham" w:cs="Arial"/>
          <w:color w:val="000000"/>
          <w:sz w:val="20"/>
          <w:szCs w:val="20"/>
          <w:lang w:eastAsia="es-MX"/>
        </w:rPr>
        <w:t xml:space="preserve">e </w:t>
      </w:r>
      <w:r w:rsidRPr="00AC1F06">
        <w:rPr>
          <w:rFonts w:ascii="Gotham" w:hAnsi="Gotham" w:cs="Arial"/>
          <w:color w:val="000000"/>
          <w:sz w:val="20"/>
          <w:szCs w:val="20"/>
          <w:lang w:eastAsia="es-MX"/>
        </w:rPr>
        <w:t>importancia el tema de la corrupción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orque cuando hay lagunas en reglamentos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ues muchas veces se presta para esa </w:t>
      </w:r>
      <w:r w:rsidRPr="00253D90">
        <w:rPr>
          <w:rFonts w:ascii="Gotham" w:hAnsi="Gotham" w:cs="Arial"/>
          <w:color w:val="000000"/>
          <w:sz w:val="20"/>
          <w:szCs w:val="20"/>
          <w:lang w:eastAsia="es-MX"/>
        </w:rPr>
        <w:t>cultura latina desgraciadamente que tenemos los latinos</w:t>
      </w:r>
      <w:r w:rsidRPr="00AC1F06">
        <w:rPr>
          <w:rFonts w:ascii="Gotham" w:hAnsi="Gotham" w:cs="Arial"/>
          <w:color w:val="000000"/>
          <w:sz w:val="20"/>
          <w:szCs w:val="20"/>
          <w:lang w:eastAsia="es-MX"/>
        </w:rPr>
        <w:t xml:space="preserve"> de poder arreglarlo de otra forma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son palabras fuertes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s</w:t>
      </w:r>
      <w:r w:rsidRPr="00AC1F06">
        <w:rPr>
          <w:rFonts w:ascii="Gotham" w:hAnsi="Gotham" w:cs="Arial"/>
          <w:color w:val="000000"/>
          <w:sz w:val="20"/>
          <w:szCs w:val="20"/>
          <w:lang w:eastAsia="es-MX"/>
        </w:rPr>
        <w:t>í</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es una realidad y yo creo que los que estamos aquí en este salón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los que somos </w:t>
      </w:r>
      <w:r>
        <w:rPr>
          <w:rFonts w:ascii="Gotham" w:hAnsi="Gotham" w:cs="Arial"/>
          <w:color w:val="000000"/>
          <w:sz w:val="20"/>
          <w:szCs w:val="20"/>
          <w:lang w:eastAsia="es-MX"/>
        </w:rPr>
        <w:t>R</w:t>
      </w:r>
      <w:r w:rsidRPr="00AC1F06">
        <w:rPr>
          <w:rFonts w:ascii="Gotham" w:hAnsi="Gotham" w:cs="Arial"/>
          <w:color w:val="000000"/>
          <w:sz w:val="20"/>
          <w:szCs w:val="20"/>
          <w:lang w:eastAsia="es-MX"/>
        </w:rPr>
        <w:t>egidora</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R</w:t>
      </w:r>
      <w:r w:rsidRPr="00AC1F06">
        <w:rPr>
          <w:rFonts w:ascii="Gotham" w:hAnsi="Gotham" w:cs="Arial"/>
          <w:color w:val="000000"/>
          <w:sz w:val="20"/>
          <w:szCs w:val="20"/>
          <w:lang w:eastAsia="es-MX"/>
        </w:rPr>
        <w:t>egidores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l</w:t>
      </w:r>
      <w:r w:rsidRPr="00AC1F06">
        <w:rPr>
          <w:rFonts w:ascii="Gotham" w:hAnsi="Gotham" w:cs="Arial"/>
          <w:color w:val="000000"/>
          <w:sz w:val="20"/>
          <w:szCs w:val="20"/>
          <w:lang w:eastAsia="es-MX"/>
        </w:rPr>
        <w:t>o acabamos de vivir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los que anduvimos pidiendo el voto en las calles </w:t>
      </w:r>
      <w:r>
        <w:rPr>
          <w:rFonts w:ascii="Gotham" w:hAnsi="Gotham" w:cs="Arial"/>
          <w:color w:val="000000"/>
          <w:sz w:val="20"/>
          <w:szCs w:val="20"/>
          <w:lang w:eastAsia="es-MX"/>
        </w:rPr>
        <w:t>d</w:t>
      </w:r>
      <w:r w:rsidRPr="00AC1F06">
        <w:rPr>
          <w:rFonts w:ascii="Gotham" w:hAnsi="Gotham" w:cs="Arial"/>
          <w:color w:val="000000"/>
          <w:sz w:val="20"/>
          <w:szCs w:val="20"/>
          <w:lang w:eastAsia="es-MX"/>
        </w:rPr>
        <w:t>onde había sentimientos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d</w:t>
      </w:r>
      <w:r w:rsidRPr="00AC1F06">
        <w:rPr>
          <w:rFonts w:ascii="Gotham" w:hAnsi="Gotham" w:cs="Arial"/>
          <w:color w:val="000000"/>
          <w:sz w:val="20"/>
          <w:szCs w:val="20"/>
          <w:lang w:eastAsia="es-MX"/>
        </w:rPr>
        <w:t>onde había señalamientos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d</w:t>
      </w:r>
      <w:r w:rsidRPr="00AC1F06">
        <w:rPr>
          <w:rFonts w:ascii="Gotham" w:hAnsi="Gotham" w:cs="Arial"/>
          <w:color w:val="000000"/>
          <w:sz w:val="20"/>
          <w:szCs w:val="20"/>
          <w:lang w:eastAsia="es-MX"/>
        </w:rPr>
        <w:t>onde había vacíos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hoy esta ciudad está creciendo muchísimo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este crecimiento sostenido </w:t>
      </w:r>
      <w:r>
        <w:rPr>
          <w:rFonts w:ascii="Gotham" w:hAnsi="Gotham" w:cs="Arial"/>
          <w:color w:val="000000"/>
          <w:sz w:val="20"/>
          <w:szCs w:val="20"/>
          <w:lang w:eastAsia="es-MX"/>
        </w:rPr>
        <w:t xml:space="preserve">de más de 5.5 de crecimiento poblacional </w:t>
      </w:r>
      <w:r w:rsidRPr="00AC1F06">
        <w:rPr>
          <w:rFonts w:ascii="Gotham" w:hAnsi="Gotham" w:cs="Arial"/>
          <w:color w:val="000000"/>
          <w:sz w:val="20"/>
          <w:szCs w:val="20"/>
          <w:lang w:eastAsia="es-MX"/>
        </w:rPr>
        <w:t>anual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que seguramente vamos a cerrar es</w:t>
      </w:r>
      <w:r>
        <w:rPr>
          <w:rFonts w:ascii="Gotham" w:hAnsi="Gotham" w:cs="Arial"/>
          <w:color w:val="000000"/>
          <w:sz w:val="20"/>
          <w:szCs w:val="20"/>
          <w:lang w:eastAsia="es-MX"/>
        </w:rPr>
        <w:t>t</w:t>
      </w:r>
      <w:r w:rsidRPr="00AC1F06">
        <w:rPr>
          <w:rFonts w:ascii="Gotham" w:hAnsi="Gotham" w:cs="Arial"/>
          <w:color w:val="000000"/>
          <w:sz w:val="20"/>
          <w:szCs w:val="20"/>
          <w:lang w:eastAsia="es-MX"/>
        </w:rPr>
        <w:t xml:space="preserve">e 2024 con </w:t>
      </w:r>
      <w:r>
        <w:rPr>
          <w:rFonts w:ascii="Gotham" w:hAnsi="Gotham" w:cs="Arial"/>
          <w:color w:val="000000"/>
          <w:sz w:val="20"/>
          <w:szCs w:val="20"/>
          <w:lang w:eastAsia="es-MX"/>
        </w:rPr>
        <w:t>1</w:t>
      </w:r>
      <w:r w:rsidRPr="00AC1F06">
        <w:rPr>
          <w:rFonts w:ascii="Gotham" w:hAnsi="Gotham" w:cs="Arial"/>
          <w:color w:val="000000"/>
          <w:sz w:val="20"/>
          <w:szCs w:val="20"/>
          <w:lang w:eastAsia="es-MX"/>
        </w:rPr>
        <w:t>8</w:t>
      </w:r>
      <w:r>
        <w:rPr>
          <w:rFonts w:ascii="Gotham" w:hAnsi="Gotham" w:cs="Arial"/>
          <w:color w:val="000000"/>
          <w:sz w:val="20"/>
          <w:szCs w:val="20"/>
          <w:lang w:eastAsia="es-MX"/>
        </w:rPr>
        <w:t xml:space="preserve"> mil </w:t>
      </w:r>
      <w:r w:rsidRPr="00AC1F06">
        <w:rPr>
          <w:rFonts w:ascii="Gotham" w:hAnsi="Gotham" w:cs="Arial"/>
          <w:color w:val="000000"/>
          <w:sz w:val="20"/>
          <w:szCs w:val="20"/>
          <w:lang w:eastAsia="es-MX"/>
        </w:rPr>
        <w:t>nuevos habitantes en el municipio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nos obliga a que migremos en esa parte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aquí hay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egidoras y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egidores que se </w:t>
      </w:r>
      <w:r>
        <w:rPr>
          <w:rFonts w:ascii="Gotham" w:hAnsi="Gotham" w:cs="Arial"/>
          <w:color w:val="000000"/>
          <w:sz w:val="20"/>
          <w:szCs w:val="20"/>
          <w:lang w:eastAsia="es-MX"/>
        </w:rPr>
        <w:t>re</w:t>
      </w:r>
      <w:r w:rsidRPr="00AC1F06">
        <w:rPr>
          <w:rFonts w:ascii="Gotham" w:hAnsi="Gotham" w:cs="Arial"/>
          <w:color w:val="000000"/>
          <w:sz w:val="20"/>
          <w:szCs w:val="20"/>
          <w:lang w:eastAsia="es-MX"/>
        </w:rPr>
        <w:t>eligieron y continuaremos otros tres años más</w:t>
      </w:r>
      <w:r>
        <w:rPr>
          <w:rFonts w:ascii="Gotham" w:hAnsi="Gotham" w:cs="Arial"/>
          <w:color w:val="000000"/>
          <w:sz w:val="20"/>
          <w:szCs w:val="20"/>
          <w:lang w:eastAsia="es-MX"/>
        </w:rPr>
        <w:t>, hay quie</w:t>
      </w:r>
      <w:r w:rsidRPr="00AC1F06">
        <w:rPr>
          <w:rFonts w:ascii="Gotham" w:hAnsi="Gotham" w:cs="Arial"/>
          <w:color w:val="000000"/>
          <w:sz w:val="20"/>
          <w:szCs w:val="20"/>
          <w:lang w:eastAsia="es-MX"/>
        </w:rPr>
        <w:t>n</w:t>
      </w:r>
      <w:r>
        <w:rPr>
          <w:rFonts w:ascii="Gotham" w:hAnsi="Gotham" w:cs="Arial"/>
          <w:color w:val="000000"/>
          <w:sz w:val="20"/>
          <w:szCs w:val="20"/>
          <w:lang w:eastAsia="es-MX"/>
        </w:rPr>
        <w:t>es</w:t>
      </w:r>
      <w:r w:rsidRPr="00AC1F06">
        <w:rPr>
          <w:rFonts w:ascii="Gotham" w:hAnsi="Gotham" w:cs="Arial"/>
          <w:color w:val="000000"/>
          <w:sz w:val="20"/>
          <w:szCs w:val="20"/>
          <w:lang w:eastAsia="es-MX"/>
        </w:rPr>
        <w:t xml:space="preserve"> ya no le siguen en la regiduría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ero sí yo creo que es algo importante para que este par de meses que le restan a esta administración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pode</w:t>
      </w:r>
      <w:r>
        <w:rPr>
          <w:rFonts w:ascii="Gotham" w:hAnsi="Gotham" w:cs="Arial"/>
          <w:color w:val="000000"/>
          <w:sz w:val="20"/>
          <w:szCs w:val="20"/>
          <w:lang w:eastAsia="es-MX"/>
        </w:rPr>
        <w:t>rn</w:t>
      </w:r>
      <w:r w:rsidRPr="00AC1F06">
        <w:rPr>
          <w:rFonts w:ascii="Gotham" w:hAnsi="Gotham" w:cs="Arial"/>
          <w:color w:val="000000"/>
          <w:sz w:val="20"/>
          <w:szCs w:val="20"/>
          <w:lang w:eastAsia="es-MX"/>
        </w:rPr>
        <w:t>os meter entre todos y esto es el llamado respetuoso a todas y cada un</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 de las expresiones políticas que forman parte </w:t>
      </w:r>
      <w:r>
        <w:rPr>
          <w:rFonts w:ascii="Gotham" w:hAnsi="Gotham" w:cs="Arial"/>
          <w:color w:val="000000"/>
          <w:sz w:val="20"/>
          <w:szCs w:val="20"/>
          <w:lang w:eastAsia="es-MX"/>
        </w:rPr>
        <w:t xml:space="preserve">de </w:t>
      </w:r>
      <w:r w:rsidRPr="00AC1F06">
        <w:rPr>
          <w:rFonts w:ascii="Gotham" w:hAnsi="Gotham" w:cs="Arial"/>
          <w:color w:val="000000"/>
          <w:sz w:val="20"/>
          <w:szCs w:val="20"/>
          <w:lang w:eastAsia="es-MX"/>
        </w:rPr>
        <w:t>este Cabildo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que nos podamos concentrar a partir del día de mañana con nuestros equipos de asesores para poder facilitar y poder estar entregando </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ste primer paquete de reformas en la siguiente sesión de </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yuntamiento y poderlos estar votando para poderlos publicar y que la siguiente administración esté </w:t>
      </w:r>
      <w:r>
        <w:rPr>
          <w:rFonts w:ascii="Gotham" w:hAnsi="Gotham" w:cs="Arial"/>
          <w:color w:val="000000"/>
          <w:sz w:val="20"/>
          <w:szCs w:val="20"/>
          <w:lang w:eastAsia="es-MX"/>
        </w:rPr>
        <w:t>a</w:t>
      </w:r>
      <w:r w:rsidRPr="00AC1F06">
        <w:rPr>
          <w:rFonts w:ascii="Gotham" w:hAnsi="Gotham" w:cs="Arial"/>
          <w:color w:val="000000"/>
          <w:sz w:val="20"/>
          <w:szCs w:val="20"/>
          <w:lang w:eastAsia="es-MX"/>
        </w:rPr>
        <w:t>l mismo nivel de otros municipios que nos rodean en esta metrópoli</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se los pido primeramente como tonalteca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segundamente como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residente </w:t>
      </w:r>
      <w:r>
        <w:rPr>
          <w:rFonts w:ascii="Gotham" w:hAnsi="Gotham" w:cs="Arial"/>
          <w:color w:val="000000"/>
          <w:sz w:val="20"/>
          <w:szCs w:val="20"/>
          <w:lang w:eastAsia="es-MX"/>
        </w:rPr>
        <w:t>M</w:t>
      </w:r>
      <w:r w:rsidRPr="00AC1F06">
        <w:rPr>
          <w:rFonts w:ascii="Gotham" w:hAnsi="Gotham" w:cs="Arial"/>
          <w:color w:val="000000"/>
          <w:sz w:val="20"/>
          <w:szCs w:val="20"/>
          <w:lang w:eastAsia="es-MX"/>
        </w:rPr>
        <w:t>unicipal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pongamos ese empeño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nos den ideas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porque también no muchas veces nos vamos por la propuesta del </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jecutivo </w:t>
      </w:r>
      <w:r>
        <w:rPr>
          <w:rFonts w:ascii="Gotham" w:hAnsi="Gotham" w:cs="Arial"/>
          <w:color w:val="000000"/>
          <w:sz w:val="20"/>
          <w:szCs w:val="20"/>
          <w:lang w:eastAsia="es-MX"/>
        </w:rPr>
        <w:t>M</w:t>
      </w:r>
      <w:r w:rsidRPr="00AC1F06">
        <w:rPr>
          <w:rFonts w:ascii="Gotham" w:hAnsi="Gotham" w:cs="Arial"/>
          <w:color w:val="000000"/>
          <w:sz w:val="20"/>
          <w:szCs w:val="20"/>
          <w:lang w:eastAsia="es-MX"/>
        </w:rPr>
        <w:t>unicipal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o la propuesta del </w:t>
      </w:r>
      <w:r>
        <w:rPr>
          <w:rFonts w:ascii="Gotham" w:hAnsi="Gotham" w:cs="Arial"/>
          <w:color w:val="000000"/>
          <w:sz w:val="20"/>
          <w:szCs w:val="20"/>
          <w:lang w:eastAsia="es-MX"/>
        </w:rPr>
        <w:t>J</w:t>
      </w:r>
      <w:r w:rsidRPr="00AC1F06">
        <w:rPr>
          <w:rFonts w:ascii="Gotham" w:hAnsi="Gotham" w:cs="Arial"/>
          <w:color w:val="000000"/>
          <w:sz w:val="20"/>
          <w:szCs w:val="20"/>
          <w:lang w:eastAsia="es-MX"/>
        </w:rPr>
        <w:t xml:space="preserve">efe de </w:t>
      </w:r>
      <w:r>
        <w:rPr>
          <w:rFonts w:ascii="Gotham" w:hAnsi="Gotham" w:cs="Arial"/>
          <w:color w:val="000000"/>
          <w:sz w:val="20"/>
          <w:szCs w:val="20"/>
          <w:lang w:eastAsia="es-MX"/>
        </w:rPr>
        <w:t>G</w:t>
      </w:r>
      <w:r w:rsidRPr="00AC1F06">
        <w:rPr>
          <w:rFonts w:ascii="Gotham" w:hAnsi="Gotham" w:cs="Arial"/>
          <w:color w:val="000000"/>
          <w:sz w:val="20"/>
          <w:szCs w:val="20"/>
          <w:lang w:eastAsia="es-MX"/>
        </w:rPr>
        <w:t>abinete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la </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ecretaría </w:t>
      </w:r>
      <w:r>
        <w:rPr>
          <w:rFonts w:ascii="Gotham" w:hAnsi="Gotham" w:cs="Arial"/>
          <w:color w:val="000000"/>
          <w:sz w:val="20"/>
          <w:szCs w:val="20"/>
          <w:lang w:eastAsia="es-MX"/>
        </w:rPr>
        <w:t>G</w:t>
      </w:r>
      <w:r w:rsidRPr="00AC1F06">
        <w:rPr>
          <w:rFonts w:ascii="Gotham" w:hAnsi="Gotham" w:cs="Arial"/>
          <w:color w:val="000000"/>
          <w:sz w:val="20"/>
          <w:szCs w:val="20"/>
          <w:lang w:eastAsia="es-MX"/>
        </w:rPr>
        <w:t>eneral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del área de </w:t>
      </w:r>
      <w:r>
        <w:rPr>
          <w:rFonts w:ascii="Gotham" w:hAnsi="Gotham" w:cs="Arial"/>
          <w:color w:val="000000"/>
          <w:sz w:val="20"/>
          <w:szCs w:val="20"/>
          <w:lang w:eastAsia="es-MX"/>
        </w:rPr>
        <w:t>S</w:t>
      </w:r>
      <w:r w:rsidRPr="00AC1F06">
        <w:rPr>
          <w:rFonts w:ascii="Gotham" w:hAnsi="Gotham" w:cs="Arial"/>
          <w:color w:val="000000"/>
          <w:sz w:val="20"/>
          <w:szCs w:val="20"/>
          <w:lang w:eastAsia="es-MX"/>
        </w:rPr>
        <w:t>indicatura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que generemos ideas</w:t>
      </w:r>
      <w:r>
        <w:rPr>
          <w:rFonts w:ascii="Gotham" w:hAnsi="Gotham" w:cs="Arial"/>
          <w:color w:val="000000"/>
          <w:sz w:val="20"/>
          <w:szCs w:val="20"/>
          <w:lang w:eastAsia="es-MX"/>
        </w:rPr>
        <w:t>, a</w:t>
      </w:r>
      <w:r w:rsidRPr="00AC1F06">
        <w:rPr>
          <w:rFonts w:ascii="Gotham" w:hAnsi="Gotham" w:cs="Arial"/>
          <w:color w:val="000000"/>
          <w:sz w:val="20"/>
          <w:szCs w:val="20"/>
          <w:lang w:eastAsia="es-MX"/>
        </w:rPr>
        <w:t xml:space="preserve"> todos y cada uno de los reglamentos hay algo que aportarle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también hay algo que derogar que ya no está acorde en esa parte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les pediría por favor que apoyen esta gran iniciativa de este paquete de reformas a reglamentos y poder cerrar esta administración con un buen sabor de bocas y</w:t>
      </w:r>
      <w:r>
        <w:rPr>
          <w:rFonts w:ascii="Gotham" w:hAnsi="Gotham" w:cs="Arial"/>
          <w:color w:val="000000"/>
          <w:sz w:val="20"/>
          <w:szCs w:val="20"/>
          <w:lang w:eastAsia="es-MX"/>
        </w:rPr>
        <w:t xml:space="preserve"> poder seguir caminando con el M</w:t>
      </w:r>
      <w:r w:rsidRPr="00AC1F06">
        <w:rPr>
          <w:rFonts w:ascii="Gotham" w:hAnsi="Gotham" w:cs="Arial"/>
          <w:color w:val="000000"/>
          <w:sz w:val="20"/>
          <w:szCs w:val="20"/>
          <w:lang w:eastAsia="es-MX"/>
        </w:rPr>
        <w:t>unicipio de Tonalá como nos lo demandaron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nada más y nada menos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este proceso electoral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es lo que piden los ciudadanos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les voy a agradecer mucho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insisto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como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residente </w:t>
      </w:r>
      <w:r>
        <w:rPr>
          <w:rFonts w:ascii="Gotham" w:hAnsi="Gotham" w:cs="Arial"/>
          <w:color w:val="000000"/>
          <w:sz w:val="20"/>
          <w:szCs w:val="20"/>
          <w:lang w:eastAsia="es-MX"/>
        </w:rPr>
        <w:t>M</w:t>
      </w:r>
      <w:r w:rsidRPr="00AC1F06">
        <w:rPr>
          <w:rFonts w:ascii="Gotham" w:hAnsi="Gotham" w:cs="Arial"/>
          <w:color w:val="000000"/>
          <w:sz w:val="20"/>
          <w:szCs w:val="20"/>
          <w:lang w:eastAsia="es-MX"/>
        </w:rPr>
        <w:t>unicipal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se propone su turno a las comisiones edilicias mencionadas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quienes estén por la afirmativa sírvanse </w:t>
      </w:r>
      <w:r>
        <w:rPr>
          <w:rFonts w:ascii="Gotham" w:hAnsi="Gotham" w:cs="Arial"/>
          <w:color w:val="000000"/>
          <w:sz w:val="20"/>
          <w:szCs w:val="20"/>
          <w:lang w:eastAsia="es-MX"/>
        </w:rPr>
        <w:t xml:space="preserve">manifestarlo levantando su mano; </w:t>
      </w:r>
      <w:r w:rsidRPr="00CD0531">
        <w:rPr>
          <w:rFonts w:ascii="Gotham" w:hAnsi="Gotham" w:cs="Arial"/>
          <w:sz w:val="20"/>
          <w:szCs w:val="20"/>
        </w:rPr>
        <w:t>instruyendo a la Secretaria General para que contabilice los votos y nos informe del resultado.</w:t>
      </w:r>
    </w:p>
    <w:p w14:paraId="3A476820" w14:textId="77777777" w:rsidR="009B5E39" w:rsidRPr="00CD0531" w:rsidRDefault="009B5E39" w:rsidP="009B5E39">
      <w:pPr>
        <w:jc w:val="both"/>
        <w:rPr>
          <w:rFonts w:ascii="Gotham" w:hAnsi="Gotham" w:cs="Arial"/>
          <w:sz w:val="20"/>
          <w:szCs w:val="20"/>
        </w:rPr>
      </w:pPr>
    </w:p>
    <w:p w14:paraId="3A476821" w14:textId="77777777" w:rsidR="009B5E39" w:rsidRPr="00CD0531" w:rsidRDefault="009B5E39" w:rsidP="009B5E39">
      <w:pPr>
        <w:jc w:val="both"/>
        <w:rPr>
          <w:rFonts w:ascii="Gotham" w:hAnsi="Gotham" w:cs="Arial"/>
          <w:sz w:val="20"/>
          <w:szCs w:val="20"/>
        </w:rPr>
      </w:pPr>
      <w:r w:rsidRPr="00CD0531">
        <w:rPr>
          <w:rFonts w:ascii="Gotham" w:hAnsi="Gotham" w:cs="Arial"/>
          <w:sz w:val="20"/>
          <w:szCs w:val="20"/>
        </w:rPr>
        <w:t xml:space="preserve">En uso de la voz informativa, la Secretaria General, Celia Isabel Gauna Ruíz de León, menciona que, como lo indica señor Presidente, le informo que se registraron un total de </w:t>
      </w:r>
      <w:r w:rsidRPr="000C7FF8">
        <w:rPr>
          <w:rFonts w:ascii="Gotham" w:hAnsi="Gotham" w:cs="Arial"/>
          <w:sz w:val="20"/>
          <w:szCs w:val="20"/>
        </w:rPr>
        <w:t>18 votos a favor</w:t>
      </w:r>
      <w:r w:rsidRPr="00CD0531">
        <w:rPr>
          <w:rFonts w:ascii="Gotham" w:hAnsi="Gotham" w:cs="Arial"/>
          <w:sz w:val="20"/>
          <w:szCs w:val="20"/>
        </w:rPr>
        <w:t>.</w:t>
      </w:r>
    </w:p>
    <w:p w14:paraId="3A476822" w14:textId="77777777" w:rsidR="009B5E39" w:rsidRPr="00CD0531" w:rsidRDefault="009B5E39" w:rsidP="009B5E39">
      <w:pPr>
        <w:jc w:val="both"/>
        <w:rPr>
          <w:rFonts w:ascii="Gotham" w:hAnsi="Gotham" w:cs="Arial"/>
          <w:sz w:val="20"/>
          <w:szCs w:val="20"/>
        </w:rPr>
      </w:pPr>
    </w:p>
    <w:p w14:paraId="3A476823" w14:textId="77777777" w:rsidR="009B5E39" w:rsidRPr="00B701BD" w:rsidRDefault="009B5E39" w:rsidP="009B5E39">
      <w:pPr>
        <w:jc w:val="both"/>
        <w:rPr>
          <w:rFonts w:ascii="Gotham" w:hAnsi="Gotham"/>
          <w:i/>
          <w:sz w:val="14"/>
          <w:szCs w:val="14"/>
        </w:rPr>
      </w:pPr>
      <w:r w:rsidRPr="00CD0531">
        <w:rPr>
          <w:rFonts w:ascii="Gotham" w:hAnsi="Gotham" w:cs="Arial"/>
          <w:sz w:val="20"/>
          <w:szCs w:val="20"/>
        </w:rPr>
        <w:t xml:space="preserve">En uso de la voz el Presidente Municipal, Sergio Armando Chávez Dávalos, señala que, gracias Secretaria; </w:t>
      </w:r>
      <w:r>
        <w:rPr>
          <w:rFonts w:ascii="Gotham" w:hAnsi="Gotham" w:cs="Arial"/>
          <w:sz w:val="20"/>
          <w:szCs w:val="20"/>
        </w:rPr>
        <w:t xml:space="preserve">queda </w:t>
      </w:r>
      <w:r w:rsidRPr="00CD0531">
        <w:rPr>
          <w:rFonts w:ascii="Gotham" w:hAnsi="Gotham" w:cs="Arial"/>
          <w:sz w:val="20"/>
          <w:szCs w:val="20"/>
        </w:rPr>
        <w:t>aprobado.</w:t>
      </w:r>
    </w:p>
    <w:p w14:paraId="3A476824" w14:textId="77777777" w:rsidR="009B5E39" w:rsidRPr="00622008" w:rsidRDefault="009B5E39" w:rsidP="009B5E39">
      <w:pPr>
        <w:jc w:val="both"/>
        <w:rPr>
          <w:rFonts w:ascii="Gotham" w:hAnsi="Gotham"/>
          <w:sz w:val="20"/>
          <w:szCs w:val="20"/>
        </w:rPr>
      </w:pPr>
    </w:p>
    <w:p w14:paraId="3A476825" w14:textId="77777777" w:rsidR="009B5E39" w:rsidRPr="00B22052" w:rsidRDefault="009B5E39" w:rsidP="009B5E39">
      <w:pPr>
        <w:jc w:val="both"/>
        <w:rPr>
          <w:rFonts w:ascii="Gotham" w:hAnsi="Gotham"/>
          <w:sz w:val="20"/>
          <w:szCs w:val="20"/>
        </w:rPr>
      </w:pPr>
    </w:p>
    <w:p w14:paraId="3A476826" w14:textId="77777777" w:rsidR="009B5E39" w:rsidRDefault="009B5E39" w:rsidP="009B5E39">
      <w:pPr>
        <w:jc w:val="both"/>
        <w:rPr>
          <w:rFonts w:ascii="Gotham" w:hAnsi="Gotham" w:cs="Arial"/>
          <w:color w:val="000000"/>
          <w:sz w:val="20"/>
          <w:szCs w:val="20"/>
          <w:lang w:eastAsia="es-MX"/>
        </w:rPr>
      </w:pPr>
      <w:r>
        <w:rPr>
          <w:rFonts w:ascii="Gotham" w:hAnsi="Gotham"/>
          <w:b/>
          <w:smallCaps/>
          <w:sz w:val="20"/>
          <w:szCs w:val="20"/>
        </w:rPr>
        <w:t>Octavo</w:t>
      </w:r>
      <w:r w:rsidRPr="008C2CA2">
        <w:rPr>
          <w:rFonts w:ascii="Gotham" w:hAnsi="Gotham"/>
          <w:b/>
          <w:smallCaps/>
          <w:sz w:val="20"/>
          <w:szCs w:val="20"/>
        </w:rPr>
        <w:t xml:space="preserve"> Asunto Vario</w:t>
      </w:r>
      <w:r w:rsidRPr="008C2CA2">
        <w:rPr>
          <w:rFonts w:ascii="Gotham" w:hAnsi="Gotham"/>
          <w:b/>
          <w:sz w:val="20"/>
          <w:szCs w:val="20"/>
        </w:rPr>
        <w:t>.-</w:t>
      </w:r>
      <w:r w:rsidRPr="008C2CA2">
        <w:rPr>
          <w:rFonts w:ascii="Gotham" w:hAnsi="Gotham"/>
          <w:sz w:val="20"/>
          <w:szCs w:val="20"/>
        </w:rPr>
        <w:t xml:space="preserve"> </w:t>
      </w:r>
      <w:r>
        <w:rPr>
          <w:rFonts w:ascii="Gotham" w:hAnsi="Gotham"/>
          <w:sz w:val="20"/>
          <w:szCs w:val="20"/>
        </w:rPr>
        <w:t>En uso de la voz la Regidora Dulce Yunuen García Venegas,</w:t>
      </w:r>
      <w:r w:rsidRPr="00AC0C2A">
        <w:rPr>
          <w:rFonts w:ascii="Gotham" w:hAnsi="Gotham" w:cs="Arial"/>
          <w:sz w:val="20"/>
          <w:szCs w:val="20"/>
        </w:rPr>
        <w:t xml:space="preserve"> señala que, </w:t>
      </w:r>
      <w:r>
        <w:rPr>
          <w:rFonts w:ascii="Gotham" w:hAnsi="Gotham" w:cs="Arial"/>
          <w:sz w:val="20"/>
          <w:szCs w:val="20"/>
        </w:rPr>
        <w:t>nada más como o</w:t>
      </w:r>
      <w:r w:rsidRPr="00AC1F06">
        <w:rPr>
          <w:rFonts w:ascii="Gotham" w:hAnsi="Gotham" w:cs="Arial"/>
          <w:color w:val="000000"/>
          <w:sz w:val="20"/>
          <w:szCs w:val="20"/>
          <w:lang w:eastAsia="es-MX"/>
        </w:rPr>
        <w:t>bservación y con el mismo afán de lo que comentaba de seguir colaborando y construyendo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el día de hoy se aprobó pasar a </w:t>
      </w:r>
      <w:r>
        <w:rPr>
          <w:rFonts w:ascii="Gotham" w:hAnsi="Gotham" w:cs="Arial"/>
          <w:color w:val="000000"/>
          <w:sz w:val="20"/>
          <w:szCs w:val="20"/>
          <w:lang w:eastAsia="es-MX"/>
        </w:rPr>
        <w:t>turno lo de la discusión de la L</w:t>
      </w:r>
      <w:r w:rsidRPr="00AC1F06">
        <w:rPr>
          <w:rFonts w:ascii="Gotham" w:hAnsi="Gotham" w:cs="Arial"/>
          <w:color w:val="000000"/>
          <w:sz w:val="20"/>
          <w:szCs w:val="20"/>
          <w:lang w:eastAsia="es-MX"/>
        </w:rPr>
        <w:t xml:space="preserve">ey de </w:t>
      </w:r>
      <w:r>
        <w:rPr>
          <w:rFonts w:ascii="Gotham" w:hAnsi="Gotham" w:cs="Arial"/>
          <w:color w:val="000000"/>
          <w:sz w:val="20"/>
          <w:szCs w:val="20"/>
          <w:lang w:eastAsia="es-MX"/>
        </w:rPr>
        <w:t>I</w:t>
      </w:r>
      <w:r w:rsidRPr="00AC1F06">
        <w:rPr>
          <w:rFonts w:ascii="Gotham" w:hAnsi="Gotham" w:cs="Arial"/>
          <w:color w:val="000000"/>
          <w:sz w:val="20"/>
          <w:szCs w:val="20"/>
          <w:lang w:eastAsia="es-MX"/>
        </w:rPr>
        <w:t>ngresos pero creo que con respecto a otros años vamos un poquito a destiempo con las mesas de trabajo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sobre todo con las iniciativas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 lo personal tengo iniciativas </w:t>
      </w:r>
      <w:r>
        <w:rPr>
          <w:rFonts w:ascii="Gotham" w:hAnsi="Gotham" w:cs="Arial"/>
          <w:color w:val="000000"/>
          <w:sz w:val="20"/>
          <w:szCs w:val="20"/>
          <w:lang w:eastAsia="es-MX"/>
        </w:rPr>
        <w:t xml:space="preserve">que me interesa que </w:t>
      </w:r>
      <w:r w:rsidRPr="00AC1F06">
        <w:rPr>
          <w:rFonts w:ascii="Gotham" w:hAnsi="Gotham" w:cs="Arial"/>
          <w:color w:val="000000"/>
          <w:sz w:val="20"/>
          <w:szCs w:val="20"/>
          <w:lang w:eastAsia="es-MX"/>
        </w:rPr>
        <w:t xml:space="preserve">se </w:t>
      </w:r>
      <w:r>
        <w:rPr>
          <w:rFonts w:ascii="Gotham" w:hAnsi="Gotham" w:cs="Arial"/>
          <w:color w:val="000000"/>
          <w:sz w:val="20"/>
          <w:szCs w:val="20"/>
          <w:lang w:eastAsia="es-MX"/>
        </w:rPr>
        <w:t xml:space="preserve">contemplen en esta ley y pues solicitar que se </w:t>
      </w:r>
      <w:r w:rsidRPr="00AC1F06">
        <w:rPr>
          <w:rFonts w:ascii="Gotham" w:hAnsi="Gotham" w:cs="Arial"/>
          <w:color w:val="000000"/>
          <w:sz w:val="20"/>
          <w:szCs w:val="20"/>
          <w:lang w:eastAsia="es-MX"/>
        </w:rPr>
        <w:t>lleven a cabo lo antes posible</w:t>
      </w:r>
      <w:r>
        <w:rPr>
          <w:rFonts w:ascii="Gotham" w:hAnsi="Gotham" w:cs="Arial"/>
          <w:color w:val="000000"/>
          <w:sz w:val="20"/>
          <w:szCs w:val="20"/>
          <w:lang w:eastAsia="es-MX"/>
        </w:rPr>
        <w:t>.</w:t>
      </w:r>
    </w:p>
    <w:p w14:paraId="3A476827" w14:textId="77777777" w:rsidR="009B5E39" w:rsidRDefault="009B5E39" w:rsidP="009B5E39">
      <w:pPr>
        <w:jc w:val="both"/>
        <w:rPr>
          <w:rFonts w:ascii="Gotham" w:hAnsi="Gotham" w:cs="Arial"/>
          <w:color w:val="000000"/>
          <w:sz w:val="20"/>
          <w:szCs w:val="20"/>
          <w:lang w:eastAsia="es-MX"/>
        </w:rPr>
      </w:pPr>
    </w:p>
    <w:p w14:paraId="3A476828"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Presidente Municipal, Sergio Armando Chávez Dávalos, expresa que, sí Regidora gracias,</w:t>
      </w:r>
      <w:r w:rsidRPr="00AC1F06">
        <w:rPr>
          <w:rFonts w:ascii="Gotham" w:hAnsi="Gotham" w:cs="Arial"/>
          <w:color w:val="000000"/>
          <w:sz w:val="20"/>
          <w:szCs w:val="20"/>
          <w:lang w:eastAsia="es-MX"/>
        </w:rPr>
        <w:t xml:space="preserve"> con el mismo tema del presupuesto</w:t>
      </w:r>
      <w:r>
        <w:rPr>
          <w:rFonts w:ascii="Gotham" w:hAnsi="Gotham" w:cs="Arial"/>
          <w:color w:val="000000"/>
          <w:sz w:val="20"/>
          <w:szCs w:val="20"/>
          <w:lang w:eastAsia="es-MX"/>
        </w:rPr>
        <w:t>, nada más para antes Regidora, viene mucha chamba, entre este paquete</w:t>
      </w:r>
      <w:r w:rsidRPr="00AC1F06">
        <w:rPr>
          <w:rFonts w:ascii="Gotham" w:hAnsi="Gotham" w:cs="Arial"/>
          <w:color w:val="000000"/>
          <w:sz w:val="20"/>
          <w:szCs w:val="20"/>
          <w:lang w:eastAsia="es-MX"/>
        </w:rPr>
        <w:t xml:space="preserve"> nos toca mucho legislar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este paquete de reformas a reglamentos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la </w:t>
      </w:r>
      <w:r>
        <w:rPr>
          <w:rFonts w:ascii="Gotham" w:hAnsi="Gotham" w:cs="Arial"/>
          <w:color w:val="000000"/>
          <w:sz w:val="20"/>
          <w:szCs w:val="20"/>
          <w:lang w:eastAsia="es-MX"/>
        </w:rPr>
        <w:t>L</w:t>
      </w:r>
      <w:r w:rsidRPr="00AC1F06">
        <w:rPr>
          <w:rFonts w:ascii="Gotham" w:hAnsi="Gotham" w:cs="Arial"/>
          <w:color w:val="000000"/>
          <w:sz w:val="20"/>
          <w:szCs w:val="20"/>
          <w:lang w:eastAsia="es-MX"/>
        </w:rPr>
        <w:t xml:space="preserve">ey de </w:t>
      </w:r>
      <w:r>
        <w:rPr>
          <w:rFonts w:ascii="Gotham" w:hAnsi="Gotham" w:cs="Arial"/>
          <w:color w:val="000000"/>
          <w:sz w:val="20"/>
          <w:szCs w:val="20"/>
          <w:lang w:eastAsia="es-MX"/>
        </w:rPr>
        <w:t>I</w:t>
      </w:r>
      <w:r w:rsidRPr="00AC1F06">
        <w:rPr>
          <w:rFonts w:ascii="Gotham" w:hAnsi="Gotham" w:cs="Arial"/>
          <w:color w:val="000000"/>
          <w:sz w:val="20"/>
          <w:szCs w:val="20"/>
          <w:lang w:eastAsia="es-MX"/>
        </w:rPr>
        <w:t>ngresos que está también ya corriendo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el presupuesto que algunas</w:t>
      </w:r>
      <w:r>
        <w:rPr>
          <w:rFonts w:ascii="Gotham" w:hAnsi="Gotham" w:cs="Arial"/>
          <w:color w:val="000000"/>
          <w:sz w:val="20"/>
          <w:szCs w:val="20"/>
          <w:lang w:eastAsia="es-MX"/>
        </w:rPr>
        <w:t xml:space="preserve"> y</w:t>
      </w:r>
      <w:r w:rsidRPr="00AC1F06">
        <w:rPr>
          <w:rFonts w:ascii="Gotham" w:hAnsi="Gotham" w:cs="Arial"/>
          <w:color w:val="000000"/>
          <w:sz w:val="20"/>
          <w:szCs w:val="20"/>
          <w:lang w:eastAsia="es-MX"/>
        </w:rPr>
        <w:t xml:space="preserve"> algunos no lo estarán votando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sí estarán participando para poder dejar esto ya apuntalado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estos dos meses que nos restan pedirles concentrarnos nuevamente en esa parte y por supuesto reconocerle el trabajo de la </w:t>
      </w:r>
      <w:r>
        <w:rPr>
          <w:rFonts w:ascii="Gotham" w:hAnsi="Gotham" w:cs="Arial"/>
          <w:color w:val="000000"/>
          <w:sz w:val="20"/>
          <w:szCs w:val="20"/>
          <w:lang w:eastAsia="es-MX"/>
        </w:rPr>
        <w:t>R</w:t>
      </w:r>
      <w:r w:rsidRPr="00AC1F06">
        <w:rPr>
          <w:rFonts w:ascii="Gotham" w:hAnsi="Gotham" w:cs="Arial"/>
          <w:color w:val="000000"/>
          <w:sz w:val="20"/>
          <w:szCs w:val="20"/>
          <w:lang w:eastAsia="es-MX"/>
        </w:rPr>
        <w:t>egidora Serrano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 que ha hecho y lo que viene en estos temas financieros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adelante </w:t>
      </w:r>
      <w:r>
        <w:rPr>
          <w:rFonts w:ascii="Gotham" w:hAnsi="Gotham" w:cs="Arial"/>
          <w:color w:val="000000"/>
          <w:sz w:val="20"/>
          <w:szCs w:val="20"/>
          <w:lang w:eastAsia="es-MX"/>
        </w:rPr>
        <w:t>R</w:t>
      </w:r>
      <w:r w:rsidRPr="00AC1F06">
        <w:rPr>
          <w:rFonts w:ascii="Gotham" w:hAnsi="Gotham" w:cs="Arial"/>
          <w:color w:val="000000"/>
          <w:sz w:val="20"/>
          <w:szCs w:val="20"/>
          <w:lang w:eastAsia="es-MX"/>
        </w:rPr>
        <w:t>egidora por favor</w:t>
      </w:r>
      <w:r>
        <w:rPr>
          <w:rFonts w:ascii="Gotham" w:hAnsi="Gotham" w:cs="Arial"/>
          <w:color w:val="000000"/>
          <w:sz w:val="20"/>
          <w:szCs w:val="20"/>
          <w:lang w:eastAsia="es-MX"/>
        </w:rPr>
        <w:t>.</w:t>
      </w:r>
    </w:p>
    <w:p w14:paraId="3A476829" w14:textId="77777777" w:rsidR="009B5E39" w:rsidRDefault="009B5E39" w:rsidP="009B5E39">
      <w:pPr>
        <w:jc w:val="both"/>
        <w:rPr>
          <w:rFonts w:ascii="Gotham" w:hAnsi="Gotham" w:cs="Arial"/>
          <w:color w:val="000000"/>
          <w:sz w:val="20"/>
          <w:szCs w:val="20"/>
          <w:lang w:eastAsia="es-MX"/>
        </w:rPr>
      </w:pPr>
    </w:p>
    <w:p w14:paraId="3A47682A"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la Regidora Celia Guadalupe Serrano Villagómez, manifiesta que, gracias Presidente, nada más, igual que los demás años, se van a estar realizando las mesas de trabajo</w:t>
      </w:r>
      <w:r w:rsidRPr="00AC1F06">
        <w:rPr>
          <w:rFonts w:ascii="Gotham" w:hAnsi="Gotham" w:cs="Arial"/>
          <w:color w:val="000000"/>
          <w:sz w:val="20"/>
          <w:szCs w:val="20"/>
          <w:lang w:eastAsia="es-MX"/>
        </w:rPr>
        <w:t xml:space="preserve"> d</w:t>
      </w:r>
      <w:r>
        <w:rPr>
          <w:rFonts w:ascii="Gotham" w:hAnsi="Gotham" w:cs="Arial"/>
          <w:color w:val="000000"/>
          <w:sz w:val="20"/>
          <w:szCs w:val="20"/>
          <w:lang w:eastAsia="es-MX"/>
        </w:rPr>
        <w:t>o</w:t>
      </w:r>
      <w:r w:rsidRPr="00AC1F06">
        <w:rPr>
          <w:rFonts w:ascii="Gotham" w:hAnsi="Gotham" w:cs="Arial"/>
          <w:color w:val="000000"/>
          <w:sz w:val="20"/>
          <w:szCs w:val="20"/>
          <w:lang w:eastAsia="es-MX"/>
        </w:rPr>
        <w:t xml:space="preserve">nde vamos a convocar a todos los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egidores que quieran participar para hacer el análisis de las propuestas </w:t>
      </w:r>
      <w:r>
        <w:rPr>
          <w:rFonts w:ascii="Gotham" w:hAnsi="Gotham" w:cs="Arial"/>
          <w:color w:val="000000"/>
          <w:sz w:val="20"/>
          <w:szCs w:val="20"/>
          <w:lang w:eastAsia="es-MX"/>
        </w:rPr>
        <w:t>del</w:t>
      </w:r>
      <w:r w:rsidRPr="00AC1F06">
        <w:rPr>
          <w:rFonts w:ascii="Gotham" w:hAnsi="Gotham" w:cs="Arial"/>
          <w:color w:val="000000"/>
          <w:sz w:val="20"/>
          <w:szCs w:val="20"/>
          <w:lang w:eastAsia="es-MX"/>
        </w:rPr>
        <w:t xml:space="preserve"> anteproyecto</w:t>
      </w:r>
      <w:r>
        <w:rPr>
          <w:rFonts w:ascii="Gotham" w:hAnsi="Gotham" w:cs="Arial"/>
          <w:color w:val="000000"/>
          <w:sz w:val="20"/>
          <w:szCs w:val="20"/>
          <w:lang w:eastAsia="es-MX"/>
        </w:rPr>
        <w:t>, en t</w:t>
      </w:r>
      <w:r w:rsidRPr="00AC1F06">
        <w:rPr>
          <w:rFonts w:ascii="Gotham" w:hAnsi="Gotham" w:cs="Arial"/>
          <w:color w:val="000000"/>
          <w:sz w:val="20"/>
          <w:szCs w:val="20"/>
          <w:lang w:eastAsia="es-MX"/>
        </w:rPr>
        <w:t xml:space="preserve">ablas </w:t>
      </w:r>
      <w:r>
        <w:rPr>
          <w:rFonts w:ascii="Gotham" w:hAnsi="Gotham" w:cs="Arial"/>
          <w:color w:val="000000"/>
          <w:sz w:val="20"/>
          <w:szCs w:val="20"/>
          <w:lang w:eastAsia="es-MX"/>
        </w:rPr>
        <w:t>de v</w:t>
      </w:r>
      <w:r w:rsidRPr="00AC1F06">
        <w:rPr>
          <w:rFonts w:ascii="Gotham" w:hAnsi="Gotham" w:cs="Arial"/>
          <w:color w:val="000000"/>
          <w:sz w:val="20"/>
          <w:szCs w:val="20"/>
          <w:lang w:eastAsia="es-MX"/>
        </w:rPr>
        <w:t xml:space="preserve">alores vamos ya muy avanzados y pues decirles </w:t>
      </w:r>
      <w:r>
        <w:rPr>
          <w:rFonts w:ascii="Gotham" w:hAnsi="Gotham" w:cs="Arial"/>
          <w:color w:val="000000"/>
          <w:sz w:val="20"/>
          <w:szCs w:val="20"/>
          <w:lang w:eastAsia="es-MX"/>
        </w:rPr>
        <w:t xml:space="preserve">que </w:t>
      </w:r>
      <w:r w:rsidRPr="00AC1F06">
        <w:rPr>
          <w:rFonts w:ascii="Gotham" w:hAnsi="Gotham" w:cs="Arial"/>
          <w:color w:val="000000"/>
          <w:sz w:val="20"/>
          <w:szCs w:val="20"/>
          <w:lang w:eastAsia="es-MX"/>
        </w:rPr>
        <w:t>con tiempo se les va</w:t>
      </w:r>
      <w:r>
        <w:rPr>
          <w:rFonts w:ascii="Gotham" w:hAnsi="Gotham" w:cs="Arial"/>
          <w:color w:val="000000"/>
          <w:sz w:val="20"/>
          <w:szCs w:val="20"/>
          <w:lang w:eastAsia="es-MX"/>
        </w:rPr>
        <w:t>n</w:t>
      </w:r>
      <w:r w:rsidRPr="00AC1F06">
        <w:rPr>
          <w:rFonts w:ascii="Gotham" w:hAnsi="Gotham" w:cs="Arial"/>
          <w:color w:val="000000"/>
          <w:sz w:val="20"/>
          <w:szCs w:val="20"/>
          <w:lang w:eastAsia="es-MX"/>
        </w:rPr>
        <w:t xml:space="preserve"> a girar los oficios para que tengan conocimiento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estamos analizando las propuestas de la</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R</w:t>
      </w:r>
      <w:r w:rsidRPr="00AC1F06">
        <w:rPr>
          <w:rFonts w:ascii="Gotham" w:hAnsi="Gotham" w:cs="Arial"/>
          <w:color w:val="000000"/>
          <w:sz w:val="20"/>
          <w:szCs w:val="20"/>
          <w:lang w:eastAsia="es-MX"/>
        </w:rPr>
        <w:t>egidora</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se están estudiando también</w:t>
      </w:r>
      <w:r>
        <w:rPr>
          <w:rFonts w:ascii="Gotham" w:hAnsi="Gotham" w:cs="Arial"/>
          <w:color w:val="000000"/>
          <w:sz w:val="20"/>
          <w:szCs w:val="20"/>
          <w:lang w:eastAsia="es-MX"/>
        </w:rPr>
        <w:t xml:space="preserve">, también </w:t>
      </w:r>
      <w:r w:rsidRPr="00AC1F06">
        <w:rPr>
          <w:rFonts w:ascii="Gotham" w:hAnsi="Gotham" w:cs="Arial"/>
          <w:color w:val="000000"/>
          <w:sz w:val="20"/>
          <w:szCs w:val="20"/>
          <w:lang w:eastAsia="es-MX"/>
        </w:rPr>
        <w:t>se va</w:t>
      </w:r>
      <w:r>
        <w:rPr>
          <w:rFonts w:ascii="Gotham" w:hAnsi="Gotham" w:cs="Arial"/>
          <w:color w:val="000000"/>
          <w:sz w:val="20"/>
          <w:szCs w:val="20"/>
          <w:lang w:eastAsia="es-MX"/>
        </w:rPr>
        <w:t>n</w:t>
      </w:r>
      <w:r w:rsidRPr="00AC1F06">
        <w:rPr>
          <w:rFonts w:ascii="Gotham" w:hAnsi="Gotham" w:cs="Arial"/>
          <w:color w:val="000000"/>
          <w:sz w:val="20"/>
          <w:szCs w:val="20"/>
          <w:lang w:eastAsia="es-MX"/>
        </w:rPr>
        <w:t xml:space="preserve"> a dar unas contrapropuestas de las mismas y estaremos ya sobre el calendario la siguiente semana para empezar con los trabajos que ya se vienen realizando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igual que los demás años escuchando las opiniones de cada uno y analizando para que sean viables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sobre todo saber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residente que la </w:t>
      </w:r>
      <w:r>
        <w:rPr>
          <w:rFonts w:ascii="Gotham" w:hAnsi="Gotham" w:cs="Arial"/>
          <w:color w:val="000000"/>
          <w:sz w:val="20"/>
          <w:szCs w:val="20"/>
          <w:lang w:eastAsia="es-MX"/>
        </w:rPr>
        <w:t>L</w:t>
      </w:r>
      <w:r w:rsidRPr="00AC1F06">
        <w:rPr>
          <w:rFonts w:ascii="Gotham" w:hAnsi="Gotham" w:cs="Arial"/>
          <w:color w:val="000000"/>
          <w:sz w:val="20"/>
          <w:szCs w:val="20"/>
          <w:lang w:eastAsia="es-MX"/>
        </w:rPr>
        <w:t xml:space="preserve">ey de </w:t>
      </w:r>
      <w:r>
        <w:rPr>
          <w:rFonts w:ascii="Gotham" w:hAnsi="Gotham" w:cs="Arial"/>
          <w:color w:val="000000"/>
          <w:sz w:val="20"/>
          <w:szCs w:val="20"/>
          <w:lang w:eastAsia="es-MX"/>
        </w:rPr>
        <w:t>I</w:t>
      </w:r>
      <w:r w:rsidRPr="00AC1F06">
        <w:rPr>
          <w:rFonts w:ascii="Gotham" w:hAnsi="Gotham" w:cs="Arial"/>
          <w:color w:val="000000"/>
          <w:sz w:val="20"/>
          <w:szCs w:val="20"/>
          <w:lang w:eastAsia="es-MX"/>
        </w:rPr>
        <w:t xml:space="preserve">ngresos es la base </w:t>
      </w:r>
      <w:r>
        <w:rPr>
          <w:rFonts w:ascii="Gotham" w:hAnsi="Gotham" w:cs="Arial"/>
          <w:color w:val="000000"/>
          <w:sz w:val="20"/>
          <w:szCs w:val="20"/>
          <w:lang w:eastAsia="es-MX"/>
        </w:rPr>
        <w:t>fundamental para que camine el A</w:t>
      </w:r>
      <w:r w:rsidRPr="00AC1F06">
        <w:rPr>
          <w:rFonts w:ascii="Gotham" w:hAnsi="Gotham" w:cs="Arial"/>
          <w:color w:val="000000"/>
          <w:sz w:val="20"/>
          <w:szCs w:val="20"/>
          <w:lang w:eastAsia="es-MX"/>
        </w:rPr>
        <w:t>yuntamiento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seamos muy conscientes de lo que vamos a probar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lo que vamos a estudiar y lo que vamos a analizar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porque esto es la base de que el </w:t>
      </w:r>
      <w:r>
        <w:rPr>
          <w:rFonts w:ascii="Gotham" w:hAnsi="Gotham" w:cs="Arial"/>
          <w:color w:val="000000"/>
          <w:sz w:val="20"/>
          <w:szCs w:val="20"/>
          <w:lang w:eastAsia="es-MX"/>
        </w:rPr>
        <w:t>A</w:t>
      </w:r>
      <w:r w:rsidRPr="00AC1F06">
        <w:rPr>
          <w:rFonts w:ascii="Gotham" w:hAnsi="Gotham" w:cs="Arial"/>
          <w:color w:val="000000"/>
          <w:sz w:val="20"/>
          <w:szCs w:val="20"/>
          <w:lang w:eastAsia="es-MX"/>
        </w:rPr>
        <w:t>yuntamiento pueda caminar y tener los recursos necesarios para que se cumplan todos esos compromisos que hemos realizado</w:t>
      </w:r>
      <w:r>
        <w:rPr>
          <w:rFonts w:ascii="Gotham" w:hAnsi="Gotham" w:cs="Arial"/>
          <w:color w:val="000000"/>
          <w:sz w:val="20"/>
          <w:szCs w:val="20"/>
          <w:lang w:eastAsia="es-MX"/>
        </w:rPr>
        <w:t xml:space="preserve">; es </w:t>
      </w:r>
      <w:proofErr w:type="spellStart"/>
      <w:r>
        <w:rPr>
          <w:rFonts w:ascii="Gotham" w:hAnsi="Gotham" w:cs="Arial"/>
          <w:color w:val="000000"/>
          <w:sz w:val="20"/>
          <w:szCs w:val="20"/>
          <w:lang w:eastAsia="es-MX"/>
        </w:rPr>
        <w:t>cua</w:t>
      </w:r>
      <w:r w:rsidRPr="00AC1F06">
        <w:rPr>
          <w:rFonts w:ascii="Gotham" w:hAnsi="Gotham" w:cs="Arial"/>
          <w:color w:val="000000"/>
          <w:sz w:val="20"/>
          <w:szCs w:val="20"/>
          <w:lang w:eastAsia="es-MX"/>
        </w:rPr>
        <w:t>nto</w:t>
      </w:r>
      <w:proofErr w:type="spellEnd"/>
      <w:r>
        <w:rPr>
          <w:rFonts w:ascii="Gotham" w:hAnsi="Gotham" w:cs="Arial"/>
          <w:color w:val="000000"/>
          <w:sz w:val="20"/>
          <w:szCs w:val="20"/>
          <w:lang w:eastAsia="es-MX"/>
        </w:rPr>
        <w:t>.</w:t>
      </w:r>
    </w:p>
    <w:p w14:paraId="3A47682B" w14:textId="77777777" w:rsidR="009B5E39" w:rsidRDefault="009B5E39" w:rsidP="009B5E39">
      <w:pPr>
        <w:jc w:val="both"/>
        <w:rPr>
          <w:rFonts w:ascii="Gotham" w:hAnsi="Gotham" w:cs="Arial"/>
          <w:color w:val="000000"/>
          <w:sz w:val="20"/>
          <w:szCs w:val="20"/>
          <w:lang w:eastAsia="es-MX"/>
        </w:rPr>
      </w:pPr>
    </w:p>
    <w:p w14:paraId="3A47682C"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Presidente Municipal, Sergio Armando Chávez Dávalos, expresa que, m</w:t>
      </w:r>
      <w:r w:rsidRPr="00AC1F06">
        <w:rPr>
          <w:rFonts w:ascii="Gotham" w:hAnsi="Gotham" w:cs="Arial"/>
          <w:color w:val="000000"/>
          <w:sz w:val="20"/>
          <w:szCs w:val="20"/>
          <w:lang w:eastAsia="es-MX"/>
        </w:rPr>
        <w:t>uy bien</w:t>
      </w:r>
      <w:r>
        <w:rPr>
          <w:rFonts w:ascii="Gotham" w:hAnsi="Gotham" w:cs="Arial"/>
          <w:color w:val="000000"/>
          <w:sz w:val="20"/>
          <w:szCs w:val="20"/>
          <w:lang w:eastAsia="es-MX"/>
        </w:rPr>
        <w:t xml:space="preserve">, </w:t>
      </w:r>
      <w:r w:rsidRPr="00AC1F06">
        <w:rPr>
          <w:rFonts w:ascii="Gotham" w:hAnsi="Gotham" w:cs="Arial"/>
          <w:color w:val="000000"/>
          <w:sz w:val="20"/>
          <w:szCs w:val="20"/>
          <w:lang w:eastAsia="es-MX"/>
        </w:rPr>
        <w:t xml:space="preserve">gracias </w:t>
      </w:r>
      <w:r>
        <w:rPr>
          <w:rFonts w:ascii="Gotham" w:hAnsi="Gotham" w:cs="Arial"/>
          <w:color w:val="000000"/>
          <w:sz w:val="20"/>
          <w:szCs w:val="20"/>
          <w:lang w:eastAsia="es-MX"/>
        </w:rPr>
        <w:t>R</w:t>
      </w:r>
      <w:r w:rsidRPr="00AC1F06">
        <w:rPr>
          <w:rFonts w:ascii="Gotham" w:hAnsi="Gotham" w:cs="Arial"/>
          <w:color w:val="000000"/>
          <w:sz w:val="20"/>
          <w:szCs w:val="20"/>
          <w:lang w:eastAsia="es-MX"/>
        </w:rPr>
        <w:t>egidora</w:t>
      </w:r>
      <w:r>
        <w:rPr>
          <w:rFonts w:ascii="Gotham" w:hAnsi="Gotham" w:cs="Arial"/>
          <w:color w:val="000000"/>
          <w:sz w:val="20"/>
          <w:szCs w:val="20"/>
          <w:lang w:eastAsia="es-MX"/>
        </w:rPr>
        <w:t>; adelante</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 xml:space="preserve">Regidor </w:t>
      </w:r>
      <w:r w:rsidRPr="00AC1F06">
        <w:rPr>
          <w:rFonts w:ascii="Gotham" w:hAnsi="Gotham" w:cs="Arial"/>
          <w:color w:val="000000"/>
          <w:sz w:val="20"/>
          <w:szCs w:val="20"/>
          <w:lang w:eastAsia="es-MX"/>
        </w:rPr>
        <w:t>Nájera por favor</w:t>
      </w:r>
      <w:r>
        <w:rPr>
          <w:rFonts w:ascii="Gotham" w:hAnsi="Gotham" w:cs="Arial"/>
          <w:color w:val="000000"/>
          <w:sz w:val="20"/>
          <w:szCs w:val="20"/>
          <w:lang w:eastAsia="es-MX"/>
        </w:rPr>
        <w:t>.</w:t>
      </w:r>
    </w:p>
    <w:p w14:paraId="3A47682D" w14:textId="77777777" w:rsidR="009B5E39" w:rsidRDefault="009B5E39" w:rsidP="009B5E39">
      <w:pPr>
        <w:jc w:val="both"/>
        <w:rPr>
          <w:rFonts w:ascii="Gotham" w:hAnsi="Gotham" w:cs="Arial"/>
          <w:color w:val="000000"/>
          <w:sz w:val="20"/>
          <w:szCs w:val="20"/>
          <w:lang w:eastAsia="es-MX"/>
        </w:rPr>
      </w:pPr>
    </w:p>
    <w:p w14:paraId="3A47682E"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Regidor Manuel Nájera Martínez, menciona que,</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g</w:t>
      </w:r>
      <w:r w:rsidRPr="00AC1F06">
        <w:rPr>
          <w:rFonts w:ascii="Gotham" w:hAnsi="Gotham" w:cs="Arial"/>
          <w:color w:val="000000"/>
          <w:sz w:val="20"/>
          <w:szCs w:val="20"/>
          <w:lang w:eastAsia="es-MX"/>
        </w:rPr>
        <w:t xml:space="preserve">racias </w:t>
      </w:r>
      <w:r>
        <w:rPr>
          <w:rFonts w:ascii="Gotham" w:hAnsi="Gotham" w:cs="Arial"/>
          <w:color w:val="000000"/>
          <w:sz w:val="20"/>
          <w:szCs w:val="20"/>
          <w:lang w:eastAsia="es-MX"/>
        </w:rPr>
        <w:t>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agradezco esta serie de reglamentaciones que se están dando y te felicito la verdad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ello quiero decirte </w:t>
      </w:r>
      <w:r>
        <w:rPr>
          <w:rFonts w:ascii="Gotham" w:hAnsi="Gotham" w:cs="Arial"/>
          <w:color w:val="000000"/>
          <w:sz w:val="20"/>
          <w:szCs w:val="20"/>
          <w:lang w:eastAsia="es-MX"/>
        </w:rPr>
        <w:t>que t</w:t>
      </w:r>
      <w:r w:rsidRPr="00AC1F06">
        <w:rPr>
          <w:rFonts w:ascii="Gotham" w:hAnsi="Gotham" w:cs="Arial"/>
          <w:color w:val="000000"/>
          <w:sz w:val="20"/>
          <w:szCs w:val="20"/>
          <w:lang w:eastAsia="es-MX"/>
        </w:rPr>
        <w:t>e felicito por tu triunfo electoral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me siento tranquilo en ese sentido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verdad con esta implementación pues vamos a evitar la corrupción en muchos sentidos porque tenemos que seguir como una ciudad pujante sin necesidad de mandar inspectores a la dádiva y con ello poder de alguna manera progresar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en esos reglamentos no podamos tener contratos chuecos que lesionan a la ciudad que de la antigüedad primero están los bolsillos </w:t>
      </w:r>
      <w:r>
        <w:rPr>
          <w:rFonts w:ascii="Gotham" w:hAnsi="Gotham" w:cs="Arial"/>
          <w:color w:val="000000"/>
          <w:sz w:val="20"/>
          <w:szCs w:val="20"/>
          <w:lang w:eastAsia="es-MX"/>
        </w:rPr>
        <w:t>y</w:t>
      </w:r>
      <w:r w:rsidRPr="00AC1F06">
        <w:rPr>
          <w:rFonts w:ascii="Gotham" w:hAnsi="Gotham" w:cs="Arial"/>
          <w:color w:val="000000"/>
          <w:sz w:val="20"/>
          <w:szCs w:val="20"/>
          <w:lang w:eastAsia="es-MX"/>
        </w:rPr>
        <w:t xml:space="preserve"> luego el deber ciudadano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estamos endeudados hasta el 2034 en esta gran ciudad de más de medio millón de habitantes y que podamos hacer un esfuerzo con el trabajo de nuestra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residenta de la </w:t>
      </w:r>
      <w:r>
        <w:rPr>
          <w:rFonts w:ascii="Gotham" w:hAnsi="Gotham" w:cs="Arial"/>
          <w:color w:val="000000"/>
          <w:sz w:val="20"/>
          <w:szCs w:val="20"/>
          <w:lang w:eastAsia="es-MX"/>
        </w:rPr>
        <w:t>C</w:t>
      </w:r>
      <w:r w:rsidRPr="00AC1F06">
        <w:rPr>
          <w:rFonts w:ascii="Gotham" w:hAnsi="Gotham" w:cs="Arial"/>
          <w:color w:val="000000"/>
          <w:sz w:val="20"/>
          <w:szCs w:val="20"/>
          <w:lang w:eastAsia="es-MX"/>
        </w:rPr>
        <w:t>omisión de Hacienda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l</w:t>
      </w:r>
      <w:r>
        <w:rPr>
          <w:rFonts w:ascii="Gotham" w:hAnsi="Gotham" w:cs="Arial"/>
          <w:color w:val="000000"/>
          <w:sz w:val="20"/>
          <w:szCs w:val="20"/>
          <w:lang w:eastAsia="es-MX"/>
        </w:rPr>
        <w:t>a</w:t>
      </w:r>
      <w:r w:rsidRPr="00AC1F06">
        <w:rPr>
          <w:rFonts w:ascii="Gotham" w:hAnsi="Gotham" w:cs="Arial"/>
          <w:color w:val="000000"/>
          <w:sz w:val="20"/>
          <w:szCs w:val="20"/>
          <w:lang w:eastAsia="es-MX"/>
        </w:rPr>
        <w:t xml:space="preserve"> felicito por su excelente trabajo y a ti que podamos llegar a 2200 millones de pesos este año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podamos tener más solvencia económica para los retos que vienen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junto con ello pues evitar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viene</w:t>
      </w:r>
      <w:r>
        <w:rPr>
          <w:rFonts w:ascii="Gotham" w:hAnsi="Gotham" w:cs="Arial"/>
          <w:color w:val="000000"/>
          <w:sz w:val="20"/>
          <w:szCs w:val="20"/>
          <w:lang w:eastAsia="es-MX"/>
        </w:rPr>
        <w:t xml:space="preserve"> u</w:t>
      </w:r>
      <w:r w:rsidRPr="00AC1F06">
        <w:rPr>
          <w:rFonts w:ascii="Gotham" w:hAnsi="Gotham" w:cs="Arial"/>
          <w:color w:val="000000"/>
          <w:sz w:val="20"/>
          <w:szCs w:val="20"/>
          <w:lang w:eastAsia="es-MX"/>
        </w:rPr>
        <w:t xml:space="preserve">n contrato de </w:t>
      </w:r>
      <w:r>
        <w:rPr>
          <w:rFonts w:ascii="Gotham" w:hAnsi="Gotham" w:cs="Arial"/>
          <w:color w:val="000000"/>
          <w:sz w:val="20"/>
          <w:szCs w:val="20"/>
          <w:lang w:eastAsia="es-MX"/>
        </w:rPr>
        <w:t>CAABSA,</w:t>
      </w:r>
      <w:r w:rsidRPr="00AC1F06">
        <w:rPr>
          <w:rFonts w:ascii="Gotham" w:hAnsi="Gotham" w:cs="Arial"/>
          <w:color w:val="000000"/>
          <w:sz w:val="20"/>
          <w:szCs w:val="20"/>
          <w:lang w:eastAsia="es-MX"/>
        </w:rPr>
        <w:t xml:space="preserve"> se nos termina en mayo del 2025</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y</w:t>
      </w:r>
      <w:r w:rsidRPr="00AC1F06">
        <w:rPr>
          <w:rFonts w:ascii="Gotham" w:hAnsi="Gotham" w:cs="Arial"/>
          <w:color w:val="000000"/>
          <w:sz w:val="20"/>
          <w:szCs w:val="20"/>
          <w:lang w:eastAsia="es-MX"/>
        </w:rPr>
        <w:t xml:space="preserve"> créeme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era una situación </w:t>
      </w:r>
      <w:r>
        <w:rPr>
          <w:rFonts w:ascii="Gotham" w:hAnsi="Gotham" w:cs="Arial"/>
          <w:color w:val="000000"/>
          <w:sz w:val="20"/>
          <w:szCs w:val="20"/>
          <w:lang w:eastAsia="es-MX"/>
        </w:rPr>
        <w:t xml:space="preserve">que a mí </w:t>
      </w:r>
      <w:r w:rsidRPr="00AC1F06">
        <w:rPr>
          <w:rFonts w:ascii="Gotham" w:hAnsi="Gotham" w:cs="Arial"/>
          <w:color w:val="000000"/>
          <w:sz w:val="20"/>
          <w:szCs w:val="20"/>
          <w:lang w:eastAsia="es-MX"/>
        </w:rPr>
        <w:t xml:space="preserve">no me dejaba dormir porque yo no sabía quién iba a ganar y </w:t>
      </w:r>
      <w:r>
        <w:rPr>
          <w:rFonts w:ascii="Gotham" w:hAnsi="Gotham" w:cs="Arial"/>
          <w:color w:val="000000"/>
          <w:sz w:val="20"/>
          <w:szCs w:val="20"/>
          <w:lang w:eastAsia="es-MX"/>
        </w:rPr>
        <w:t>qué le</w:t>
      </w:r>
      <w:r w:rsidRPr="00AC1F06">
        <w:rPr>
          <w:rFonts w:ascii="Gotham" w:hAnsi="Gotham" w:cs="Arial"/>
          <w:color w:val="000000"/>
          <w:sz w:val="20"/>
          <w:szCs w:val="20"/>
          <w:lang w:eastAsia="es-MX"/>
        </w:rPr>
        <w:t xml:space="preserve"> iban a dar para que el contrato de </w:t>
      </w:r>
      <w:r>
        <w:rPr>
          <w:rFonts w:ascii="Gotham" w:hAnsi="Gotham" w:cs="Arial"/>
          <w:color w:val="000000"/>
          <w:sz w:val="20"/>
          <w:szCs w:val="20"/>
          <w:lang w:eastAsia="es-MX"/>
        </w:rPr>
        <w:t>CAABSA</w:t>
      </w:r>
      <w:r w:rsidRPr="00AC1F06">
        <w:rPr>
          <w:rFonts w:ascii="Gotham" w:hAnsi="Gotham" w:cs="Arial"/>
          <w:color w:val="000000"/>
          <w:sz w:val="20"/>
          <w:szCs w:val="20"/>
          <w:lang w:eastAsia="es-MX"/>
        </w:rPr>
        <w:t xml:space="preserve"> se pudiera renovar 20 años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todo respeto que me merecen todos ustedes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sidRPr="00FF6913">
        <w:rPr>
          <w:rFonts w:ascii="Gotham" w:hAnsi="Gotham" w:cs="Arial"/>
          <w:color w:val="000000"/>
          <w:sz w:val="20"/>
          <w:szCs w:val="20"/>
          <w:lang w:eastAsia="es-MX"/>
        </w:rPr>
        <w:t>nos lleve la chingada</w:t>
      </w:r>
      <w:r>
        <w:rPr>
          <w:rFonts w:ascii="Gotham" w:hAnsi="Gotham" w:cs="Arial"/>
          <w:color w:val="000000"/>
          <w:sz w:val="20"/>
          <w:szCs w:val="20"/>
          <w:lang w:eastAsia="es-MX"/>
        </w:rPr>
        <w:t xml:space="preserve"> otros</w:t>
      </w:r>
      <w:r w:rsidRPr="00AC1F06">
        <w:rPr>
          <w:rFonts w:ascii="Gotham" w:hAnsi="Gotham" w:cs="Arial"/>
          <w:color w:val="000000"/>
          <w:sz w:val="20"/>
          <w:szCs w:val="20"/>
          <w:lang w:eastAsia="es-MX"/>
        </w:rPr>
        <w:t xml:space="preserve"> 20 años más en ese sentido</w:t>
      </w:r>
      <w:r>
        <w:rPr>
          <w:rFonts w:ascii="Gotham" w:hAnsi="Gotham" w:cs="Arial"/>
          <w:color w:val="000000"/>
          <w:sz w:val="20"/>
          <w:szCs w:val="20"/>
          <w:lang w:eastAsia="es-MX"/>
        </w:rPr>
        <w:t>, e</w:t>
      </w:r>
      <w:r w:rsidRPr="00AC1F06">
        <w:rPr>
          <w:rFonts w:ascii="Gotham" w:hAnsi="Gotham" w:cs="Arial"/>
          <w:color w:val="000000"/>
          <w:sz w:val="20"/>
          <w:szCs w:val="20"/>
          <w:lang w:eastAsia="es-MX"/>
        </w:rPr>
        <w:t>ntonces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tenemos que evitar ese tipo de situaciones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t</w:t>
      </w:r>
      <w:r w:rsidRPr="00AC1F06">
        <w:rPr>
          <w:rFonts w:ascii="Gotham" w:hAnsi="Gotham" w:cs="Arial"/>
          <w:color w:val="000000"/>
          <w:sz w:val="20"/>
          <w:szCs w:val="20"/>
          <w:lang w:eastAsia="es-MX"/>
        </w:rPr>
        <w:t>e felicito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corazón lo </w:t>
      </w:r>
      <w:r>
        <w:rPr>
          <w:rFonts w:ascii="Gotham" w:hAnsi="Gotham" w:cs="Arial"/>
          <w:color w:val="000000"/>
          <w:sz w:val="20"/>
          <w:szCs w:val="20"/>
          <w:lang w:eastAsia="es-MX"/>
        </w:rPr>
        <w:t>hag</w:t>
      </w:r>
      <w:r w:rsidRPr="00AC1F06">
        <w:rPr>
          <w:rFonts w:ascii="Gotham" w:hAnsi="Gotham" w:cs="Arial"/>
          <w:color w:val="000000"/>
          <w:sz w:val="20"/>
          <w:szCs w:val="20"/>
          <w:lang w:eastAsia="es-MX"/>
        </w:rPr>
        <w: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lo hago a todos mis compañeros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para que podamos desarrollar los mejores criterios entre ellos va y </w:t>
      </w:r>
      <w:r>
        <w:rPr>
          <w:rFonts w:ascii="Gotham" w:hAnsi="Gotham" w:cs="Arial"/>
          <w:color w:val="000000"/>
          <w:sz w:val="20"/>
          <w:szCs w:val="20"/>
          <w:lang w:eastAsia="es-MX"/>
        </w:rPr>
        <w:t>me</w:t>
      </w:r>
      <w:r w:rsidRPr="00AC1F06">
        <w:rPr>
          <w:rFonts w:ascii="Gotham" w:hAnsi="Gotham" w:cs="Arial"/>
          <w:color w:val="000000"/>
          <w:sz w:val="20"/>
          <w:szCs w:val="20"/>
          <w:lang w:eastAsia="es-MX"/>
        </w:rPr>
        <w:t xml:space="preserve"> voy a permitir que </w:t>
      </w:r>
      <w:r>
        <w:rPr>
          <w:rFonts w:ascii="Gotham" w:hAnsi="Gotham" w:cs="Arial"/>
          <w:color w:val="000000"/>
          <w:sz w:val="20"/>
          <w:szCs w:val="20"/>
          <w:lang w:eastAsia="es-MX"/>
        </w:rPr>
        <w:t xml:space="preserve">me </w:t>
      </w:r>
      <w:r w:rsidRPr="00AC1F06">
        <w:rPr>
          <w:rFonts w:ascii="Gotham" w:hAnsi="Gotham" w:cs="Arial"/>
          <w:color w:val="000000"/>
          <w:sz w:val="20"/>
          <w:szCs w:val="20"/>
          <w:lang w:eastAsia="es-MX"/>
        </w:rPr>
        <w:t xml:space="preserve">des la oportunidad de encabezar la reglamentación de los centros de rehabilitación para evitar las corruptelas que hay en ese tipo de </w:t>
      </w:r>
      <w:r w:rsidRPr="00AC1F06">
        <w:rPr>
          <w:rFonts w:ascii="Gotham" w:hAnsi="Gotham" w:cs="Arial"/>
          <w:color w:val="000000"/>
          <w:sz w:val="20"/>
          <w:szCs w:val="20"/>
          <w:lang w:eastAsia="es-MX"/>
        </w:rPr>
        <w:lastRenderedPageBreak/>
        <w:t>situaciones e instituciones y que ellos puedan también de una manera caminar de la mano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s decir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estamos atrasados en reglamentaciones que eran para el bolsillo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hoy por hoy tenemos una nueva oportunidad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tres años más para que Tonalá pueda seguir progresando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m</w:t>
      </w:r>
      <w:r w:rsidRPr="00AC1F06">
        <w:rPr>
          <w:rFonts w:ascii="Gotham" w:hAnsi="Gotham" w:cs="Arial"/>
          <w:color w:val="000000"/>
          <w:sz w:val="20"/>
          <w:szCs w:val="20"/>
          <w:lang w:eastAsia="es-MX"/>
        </w:rPr>
        <w:t xml:space="preserve">uchas gracias </w:t>
      </w:r>
      <w:r>
        <w:rPr>
          <w:rFonts w:ascii="Gotham" w:hAnsi="Gotham" w:cs="Arial"/>
          <w:color w:val="000000"/>
          <w:sz w:val="20"/>
          <w:szCs w:val="20"/>
          <w:lang w:eastAsia="es-MX"/>
        </w:rPr>
        <w:t>P</w:t>
      </w:r>
      <w:r w:rsidRPr="00AC1F06">
        <w:rPr>
          <w:rFonts w:ascii="Gotham" w:hAnsi="Gotham" w:cs="Arial"/>
          <w:color w:val="000000"/>
          <w:sz w:val="20"/>
          <w:szCs w:val="20"/>
          <w:lang w:eastAsia="es-MX"/>
        </w:rPr>
        <w:t>residente y vamos con ello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es </w:t>
      </w:r>
      <w:proofErr w:type="spellStart"/>
      <w:r w:rsidRPr="00AC1F06">
        <w:rPr>
          <w:rFonts w:ascii="Gotham" w:hAnsi="Gotham" w:cs="Arial"/>
          <w:color w:val="000000"/>
          <w:sz w:val="20"/>
          <w:szCs w:val="20"/>
          <w:lang w:eastAsia="es-MX"/>
        </w:rPr>
        <w:t>cu</w:t>
      </w:r>
      <w:r>
        <w:rPr>
          <w:rFonts w:ascii="Gotham" w:hAnsi="Gotham" w:cs="Arial"/>
          <w:color w:val="000000"/>
          <w:sz w:val="20"/>
          <w:szCs w:val="20"/>
          <w:lang w:eastAsia="es-MX"/>
        </w:rPr>
        <w:t>a</w:t>
      </w:r>
      <w:r w:rsidRPr="00AC1F06">
        <w:rPr>
          <w:rFonts w:ascii="Gotham" w:hAnsi="Gotham" w:cs="Arial"/>
          <w:color w:val="000000"/>
          <w:sz w:val="20"/>
          <w:szCs w:val="20"/>
          <w:lang w:eastAsia="es-MX"/>
        </w:rPr>
        <w:t>nto</w:t>
      </w:r>
      <w:proofErr w:type="spellEnd"/>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p>
    <w:p w14:paraId="3A47682F" w14:textId="77777777" w:rsidR="009B5E39" w:rsidRDefault="009B5E39" w:rsidP="009B5E39">
      <w:pPr>
        <w:jc w:val="both"/>
        <w:rPr>
          <w:rFonts w:ascii="Gotham" w:hAnsi="Gotham" w:cs="Arial"/>
          <w:color w:val="000000"/>
          <w:sz w:val="20"/>
          <w:szCs w:val="20"/>
          <w:lang w:eastAsia="es-MX"/>
        </w:rPr>
      </w:pPr>
    </w:p>
    <w:p w14:paraId="3A476830"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Presidente Municipal, Sergio Armando Chávez Dávalos, expresa que, g</w:t>
      </w:r>
      <w:r w:rsidRPr="00AC1F06">
        <w:rPr>
          <w:rFonts w:ascii="Gotham" w:hAnsi="Gotham" w:cs="Arial"/>
          <w:color w:val="000000"/>
          <w:sz w:val="20"/>
          <w:szCs w:val="20"/>
          <w:lang w:eastAsia="es-MX"/>
        </w:rPr>
        <w:t xml:space="preserve">racias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egidor </w:t>
      </w:r>
      <w:r>
        <w:rPr>
          <w:rFonts w:ascii="Gotham" w:hAnsi="Gotham" w:cs="Arial"/>
          <w:color w:val="000000"/>
          <w:sz w:val="20"/>
          <w:szCs w:val="20"/>
          <w:lang w:eastAsia="es-MX"/>
        </w:rPr>
        <w:t xml:space="preserve">Nájera, y es </w:t>
      </w:r>
      <w:r w:rsidRPr="00AC1F06">
        <w:rPr>
          <w:rFonts w:ascii="Gotham" w:hAnsi="Gotham" w:cs="Arial"/>
          <w:color w:val="000000"/>
          <w:sz w:val="20"/>
          <w:szCs w:val="20"/>
          <w:lang w:eastAsia="es-MX"/>
        </w:rPr>
        <w:t>todo un tema el tema de estos centros de rehabilitación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yo no sé si algún municipio en el país hay un reglamento para la instalación de estos centros de rehabilitación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sabemos que es un tema de la actualidad</w:t>
      </w:r>
      <w:r>
        <w:rPr>
          <w:rFonts w:ascii="Gotham" w:hAnsi="Gotham" w:cs="Arial"/>
          <w:color w:val="000000"/>
          <w:sz w:val="20"/>
          <w:szCs w:val="20"/>
          <w:lang w:eastAsia="es-MX"/>
        </w:rPr>
        <w:t>, que por la crisis esta</w:t>
      </w:r>
      <w:r w:rsidRPr="00AC1F06">
        <w:rPr>
          <w:rFonts w:ascii="Gotham" w:hAnsi="Gotham" w:cs="Arial"/>
          <w:color w:val="000000"/>
          <w:sz w:val="20"/>
          <w:szCs w:val="20"/>
          <w:lang w:eastAsia="es-MX"/>
        </w:rPr>
        <w:t xml:space="preserve"> de las drogas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ntonces es parte </w:t>
      </w:r>
      <w:r>
        <w:rPr>
          <w:rFonts w:ascii="Gotham" w:hAnsi="Gotham" w:cs="Arial"/>
          <w:color w:val="000000"/>
          <w:sz w:val="20"/>
          <w:szCs w:val="20"/>
          <w:lang w:eastAsia="es-MX"/>
        </w:rPr>
        <w:t>y</w:t>
      </w:r>
      <w:r w:rsidRPr="00AC1F06">
        <w:rPr>
          <w:rFonts w:ascii="Gotham" w:hAnsi="Gotham" w:cs="Arial"/>
          <w:color w:val="000000"/>
          <w:sz w:val="20"/>
          <w:szCs w:val="20"/>
          <w:lang w:eastAsia="es-MX"/>
        </w:rPr>
        <w:t xml:space="preserve"> es el momento de poderlo manejar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lejos de estar muchas veces que los inspectores o la gente se queja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llegan </w:t>
      </w:r>
      <w:r>
        <w:rPr>
          <w:rFonts w:ascii="Gotham" w:hAnsi="Gotham" w:cs="Arial"/>
          <w:color w:val="000000"/>
          <w:sz w:val="20"/>
          <w:szCs w:val="20"/>
          <w:lang w:eastAsia="es-MX"/>
        </w:rPr>
        <w:t xml:space="preserve">y </w:t>
      </w:r>
      <w:r w:rsidRPr="00AC1F06">
        <w:rPr>
          <w:rFonts w:ascii="Gotham" w:hAnsi="Gotham" w:cs="Arial"/>
          <w:color w:val="000000"/>
          <w:sz w:val="20"/>
          <w:szCs w:val="20"/>
          <w:lang w:eastAsia="es-MX"/>
        </w:rPr>
        <w:t>levantan una infracción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no tiene argumento porque no hay un reglamento</w:t>
      </w:r>
      <w:r>
        <w:rPr>
          <w:rFonts w:ascii="Gotham" w:hAnsi="Gotham" w:cs="Arial"/>
          <w:color w:val="000000"/>
          <w:sz w:val="20"/>
          <w:szCs w:val="20"/>
          <w:lang w:eastAsia="es-MX"/>
        </w:rPr>
        <w:t xml:space="preserve">, pues es parte de generar las ideas </w:t>
      </w:r>
      <w:r w:rsidRPr="00AC1F06">
        <w:rPr>
          <w:rFonts w:ascii="Gotham" w:hAnsi="Gotham" w:cs="Arial"/>
          <w:color w:val="000000"/>
          <w:sz w:val="20"/>
          <w:szCs w:val="20"/>
          <w:lang w:eastAsia="es-MX"/>
        </w:rPr>
        <w:t xml:space="preserve">y el tema ahí si tú nos presentas un proyecto </w:t>
      </w:r>
      <w:r>
        <w:rPr>
          <w:rFonts w:ascii="Gotham" w:hAnsi="Gotham" w:cs="Arial"/>
          <w:color w:val="000000"/>
          <w:sz w:val="20"/>
          <w:szCs w:val="20"/>
          <w:lang w:eastAsia="es-MX"/>
        </w:rPr>
        <w:t xml:space="preserve">o </w:t>
      </w:r>
      <w:r w:rsidRPr="00AC1F06">
        <w:rPr>
          <w:rFonts w:ascii="Gotham" w:hAnsi="Gotham" w:cs="Arial"/>
          <w:color w:val="000000"/>
          <w:sz w:val="20"/>
          <w:szCs w:val="20"/>
          <w:lang w:eastAsia="es-MX"/>
        </w:rPr>
        <w:t>anteproyecto de un reglamento para estos llamados anexos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seguramente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Tlaquepaque </w:t>
      </w:r>
      <w:r>
        <w:rPr>
          <w:rFonts w:ascii="Gotham" w:hAnsi="Gotham" w:cs="Arial"/>
          <w:color w:val="000000"/>
          <w:sz w:val="20"/>
          <w:szCs w:val="20"/>
          <w:lang w:eastAsia="es-MX"/>
        </w:rPr>
        <w:t>c</w:t>
      </w:r>
      <w:r w:rsidRPr="00AC1F06">
        <w:rPr>
          <w:rFonts w:ascii="Gotham" w:hAnsi="Gotham" w:cs="Arial"/>
          <w:color w:val="000000"/>
          <w:sz w:val="20"/>
          <w:szCs w:val="20"/>
          <w:lang w:eastAsia="es-MX"/>
        </w:rPr>
        <w:t>reo que lo tiene</w:t>
      </w:r>
      <w:r>
        <w:rPr>
          <w:rFonts w:ascii="Gotham" w:hAnsi="Gotham" w:cs="Arial"/>
          <w:color w:val="000000"/>
          <w:sz w:val="20"/>
          <w:szCs w:val="20"/>
          <w:lang w:eastAsia="es-MX"/>
        </w:rPr>
        <w:t>.</w:t>
      </w:r>
    </w:p>
    <w:p w14:paraId="3A476831" w14:textId="77777777" w:rsidR="009B5E39" w:rsidRDefault="009B5E39" w:rsidP="009B5E39">
      <w:pPr>
        <w:jc w:val="both"/>
        <w:rPr>
          <w:rFonts w:ascii="Gotham" w:hAnsi="Gotham" w:cs="Arial"/>
          <w:color w:val="000000"/>
          <w:sz w:val="20"/>
          <w:szCs w:val="20"/>
          <w:lang w:eastAsia="es-MX"/>
        </w:rPr>
      </w:pPr>
    </w:p>
    <w:p w14:paraId="3A476832"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Regidor Manuel Nájera Martínez, menciona que, Tlaquepaque sí lo tiene.</w:t>
      </w:r>
    </w:p>
    <w:p w14:paraId="3A476833" w14:textId="77777777" w:rsidR="009B5E39" w:rsidRDefault="009B5E39" w:rsidP="009B5E39">
      <w:pPr>
        <w:jc w:val="both"/>
        <w:rPr>
          <w:rFonts w:ascii="Gotham" w:hAnsi="Gotham" w:cs="Arial"/>
          <w:color w:val="000000"/>
          <w:sz w:val="20"/>
          <w:szCs w:val="20"/>
          <w:lang w:eastAsia="es-MX"/>
        </w:rPr>
      </w:pPr>
    </w:p>
    <w:p w14:paraId="3A476834"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 xml:space="preserve">En uso de la voz el Presidente Municipal, Sergio Armando Chávez Dávalos, manifiesta que, entonces </w:t>
      </w:r>
      <w:r w:rsidRPr="00AC1F06">
        <w:rPr>
          <w:rFonts w:ascii="Gotham" w:hAnsi="Gotham" w:cs="Arial"/>
          <w:color w:val="000000"/>
          <w:sz w:val="20"/>
          <w:szCs w:val="20"/>
          <w:lang w:eastAsia="es-MX"/>
        </w:rPr>
        <w:t>vámos</w:t>
      </w:r>
      <w:r>
        <w:rPr>
          <w:rFonts w:ascii="Gotham" w:hAnsi="Gotham" w:cs="Arial"/>
          <w:color w:val="000000"/>
          <w:sz w:val="20"/>
          <w:szCs w:val="20"/>
          <w:lang w:eastAsia="es-MX"/>
        </w:rPr>
        <w:t>lo</w:t>
      </w:r>
      <w:r w:rsidRPr="00AC1F06">
        <w:rPr>
          <w:rFonts w:ascii="Gotham" w:hAnsi="Gotham" w:cs="Arial"/>
          <w:color w:val="000000"/>
          <w:sz w:val="20"/>
          <w:szCs w:val="20"/>
          <w:lang w:eastAsia="es-MX"/>
        </w:rPr>
        <w:t xml:space="preserve"> revisando y muy completo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S</w:t>
      </w:r>
      <w:r w:rsidRPr="00AC1F06">
        <w:rPr>
          <w:rFonts w:ascii="Gotham" w:hAnsi="Gotham" w:cs="Arial"/>
          <w:color w:val="000000"/>
          <w:sz w:val="20"/>
          <w:szCs w:val="20"/>
          <w:lang w:eastAsia="es-MX"/>
        </w:rPr>
        <w:t>índico por favor</w:t>
      </w:r>
      <w:r>
        <w:rPr>
          <w:rFonts w:ascii="Gotham" w:hAnsi="Gotham" w:cs="Arial"/>
          <w:color w:val="000000"/>
          <w:sz w:val="20"/>
          <w:szCs w:val="20"/>
          <w:lang w:eastAsia="es-MX"/>
        </w:rPr>
        <w:t>.</w:t>
      </w:r>
    </w:p>
    <w:p w14:paraId="3A476835" w14:textId="77777777" w:rsidR="009B5E39" w:rsidRDefault="009B5E39" w:rsidP="009B5E39">
      <w:pPr>
        <w:jc w:val="both"/>
        <w:rPr>
          <w:rFonts w:ascii="Gotham" w:hAnsi="Gotham" w:cs="Arial"/>
          <w:color w:val="000000"/>
          <w:sz w:val="20"/>
          <w:szCs w:val="20"/>
          <w:lang w:eastAsia="es-MX"/>
        </w:rPr>
      </w:pPr>
    </w:p>
    <w:p w14:paraId="3A476836"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Síndico, Nicolás Maestro Landeros, menciona que,</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w:t>
      </w:r>
      <w:r>
        <w:rPr>
          <w:rFonts w:ascii="Gotham" w:hAnsi="Gotham" w:cs="Arial"/>
          <w:color w:val="000000"/>
          <w:sz w:val="20"/>
          <w:szCs w:val="20"/>
          <w:lang w:eastAsia="es-MX"/>
        </w:rPr>
        <w:t>ó</w:t>
      </w:r>
      <w:r w:rsidRPr="00AC1F06">
        <w:rPr>
          <w:rFonts w:ascii="Gotham" w:hAnsi="Gotham" w:cs="Arial"/>
          <w:color w:val="000000"/>
          <w:sz w:val="20"/>
          <w:szCs w:val="20"/>
          <w:lang w:eastAsia="es-MX"/>
        </w:rPr>
        <w:t>lo felicitarte porque pues sí en la actualidad se requiere no s</w:t>
      </w:r>
      <w:r>
        <w:rPr>
          <w:rFonts w:ascii="Gotham" w:hAnsi="Gotham" w:cs="Arial"/>
          <w:color w:val="000000"/>
          <w:sz w:val="20"/>
          <w:szCs w:val="20"/>
          <w:lang w:eastAsia="es-MX"/>
        </w:rPr>
        <w:t>ó</w:t>
      </w:r>
      <w:r w:rsidRPr="00AC1F06">
        <w:rPr>
          <w:rFonts w:ascii="Gotham" w:hAnsi="Gotham" w:cs="Arial"/>
          <w:color w:val="000000"/>
          <w:sz w:val="20"/>
          <w:szCs w:val="20"/>
          <w:lang w:eastAsia="es-MX"/>
        </w:rPr>
        <w:t>lo la revisión sino la actualización de varios reglamentos y</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vaya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porque por experiencia propia y como presidente de la comisión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ues sí hemos estado revisando mucho</w:t>
      </w:r>
      <w:r>
        <w:rPr>
          <w:rFonts w:ascii="Gotham" w:hAnsi="Gotham" w:cs="Arial"/>
          <w:color w:val="000000"/>
          <w:sz w:val="20"/>
          <w:szCs w:val="20"/>
          <w:lang w:eastAsia="es-MX"/>
        </w:rPr>
        <w:t>s</w:t>
      </w:r>
      <w:r w:rsidRPr="00AC1F06">
        <w:rPr>
          <w:rFonts w:ascii="Gotham" w:hAnsi="Gotham" w:cs="Arial"/>
          <w:color w:val="000000"/>
          <w:sz w:val="20"/>
          <w:szCs w:val="20"/>
          <w:lang w:eastAsia="es-MX"/>
        </w:rPr>
        <w:t xml:space="preserve"> reglamentos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adecuando a la realidad social</w:t>
      </w:r>
      <w:r>
        <w:rPr>
          <w:rFonts w:ascii="Gotham" w:hAnsi="Gotham" w:cs="Arial"/>
          <w:color w:val="000000"/>
          <w:sz w:val="20"/>
          <w:szCs w:val="20"/>
          <w:lang w:eastAsia="es-MX"/>
        </w:rPr>
        <w:t>, sobre todo que atienda p</w:t>
      </w:r>
      <w:r w:rsidRPr="00AC1F06">
        <w:rPr>
          <w:rFonts w:ascii="Gotham" w:hAnsi="Gotham" w:cs="Arial"/>
          <w:color w:val="000000"/>
          <w:sz w:val="20"/>
          <w:szCs w:val="20"/>
          <w:lang w:eastAsia="es-MX"/>
        </w:rPr>
        <w:t>ues el desarrollo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armonización</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la convivencia de los habitantes de Tonalá</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no s</w:t>
      </w:r>
      <w:r>
        <w:rPr>
          <w:rFonts w:ascii="Gotham" w:hAnsi="Gotham" w:cs="Arial"/>
          <w:color w:val="000000"/>
          <w:sz w:val="20"/>
          <w:szCs w:val="20"/>
          <w:lang w:eastAsia="es-MX"/>
        </w:rPr>
        <w:t>ó</w:t>
      </w:r>
      <w:r w:rsidRPr="00AC1F06">
        <w:rPr>
          <w:rFonts w:ascii="Gotham" w:hAnsi="Gotham" w:cs="Arial"/>
          <w:color w:val="000000"/>
          <w:sz w:val="20"/>
          <w:szCs w:val="20"/>
          <w:lang w:eastAsia="es-MX"/>
        </w:rPr>
        <w:t xml:space="preserve">lo </w:t>
      </w:r>
      <w:r>
        <w:rPr>
          <w:rFonts w:ascii="Gotham" w:hAnsi="Gotham" w:cs="Arial"/>
          <w:color w:val="000000"/>
          <w:sz w:val="20"/>
          <w:szCs w:val="20"/>
          <w:lang w:eastAsia="es-MX"/>
        </w:rPr>
        <w:t xml:space="preserve">en </w:t>
      </w:r>
      <w:r w:rsidRPr="00AC1F06">
        <w:rPr>
          <w:rFonts w:ascii="Gotham" w:hAnsi="Gotham" w:cs="Arial"/>
          <w:color w:val="000000"/>
          <w:sz w:val="20"/>
          <w:szCs w:val="20"/>
          <w:lang w:eastAsia="es-MX"/>
        </w:rPr>
        <w:t xml:space="preserve">el tema comercial sino </w:t>
      </w:r>
      <w:r>
        <w:rPr>
          <w:rFonts w:ascii="Gotham" w:hAnsi="Gotham" w:cs="Arial"/>
          <w:color w:val="000000"/>
          <w:sz w:val="20"/>
          <w:szCs w:val="20"/>
          <w:lang w:eastAsia="es-MX"/>
        </w:rPr>
        <w:t xml:space="preserve">en </w:t>
      </w:r>
      <w:r w:rsidRPr="00AC1F06">
        <w:rPr>
          <w:rFonts w:ascii="Gotham" w:hAnsi="Gotham" w:cs="Arial"/>
          <w:color w:val="000000"/>
          <w:sz w:val="20"/>
          <w:szCs w:val="20"/>
          <w:lang w:eastAsia="es-MX"/>
        </w:rPr>
        <w:t>el tema peatonal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v</w:t>
      </w:r>
      <w:r w:rsidRPr="00AC1F06">
        <w:rPr>
          <w:rFonts w:ascii="Gotham" w:hAnsi="Gotham" w:cs="Arial"/>
          <w:color w:val="000000"/>
          <w:sz w:val="20"/>
          <w:szCs w:val="20"/>
          <w:lang w:eastAsia="es-MX"/>
        </w:rPr>
        <w:t>ial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sobre todo lo que comenta la </w:t>
      </w:r>
      <w:r>
        <w:rPr>
          <w:rFonts w:ascii="Gotham" w:hAnsi="Gotham" w:cs="Arial"/>
          <w:color w:val="000000"/>
          <w:sz w:val="20"/>
          <w:szCs w:val="20"/>
          <w:lang w:eastAsia="es-MX"/>
        </w:rPr>
        <w:t>R</w:t>
      </w:r>
      <w:r w:rsidRPr="00AC1F06">
        <w:rPr>
          <w:rFonts w:ascii="Gotham" w:hAnsi="Gotham" w:cs="Arial"/>
          <w:color w:val="000000"/>
          <w:sz w:val="20"/>
          <w:szCs w:val="20"/>
          <w:lang w:eastAsia="es-MX"/>
        </w:rPr>
        <w:t xml:space="preserve">egidora </w:t>
      </w:r>
      <w:r>
        <w:rPr>
          <w:rFonts w:ascii="Gotham" w:hAnsi="Gotham" w:cs="Arial"/>
          <w:color w:val="000000"/>
          <w:sz w:val="20"/>
          <w:szCs w:val="20"/>
          <w:lang w:eastAsia="es-MX"/>
        </w:rPr>
        <w:t>p</w:t>
      </w:r>
      <w:r w:rsidRPr="00AC1F06">
        <w:rPr>
          <w:rFonts w:ascii="Gotham" w:hAnsi="Gotham" w:cs="Arial"/>
          <w:color w:val="000000"/>
          <w:sz w:val="20"/>
          <w:szCs w:val="20"/>
          <w:lang w:eastAsia="es-MX"/>
        </w:rPr>
        <w:t>ues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el comercio en vía pública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debemos de anteponer la libertad de tránsito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tanto peatonal como </w:t>
      </w:r>
      <w:r>
        <w:rPr>
          <w:rFonts w:ascii="Gotham" w:hAnsi="Gotham" w:cs="Arial"/>
          <w:color w:val="000000"/>
          <w:sz w:val="20"/>
          <w:szCs w:val="20"/>
          <w:lang w:eastAsia="es-MX"/>
        </w:rPr>
        <w:t>v</w:t>
      </w:r>
      <w:r w:rsidRPr="00AC1F06">
        <w:rPr>
          <w:rFonts w:ascii="Gotham" w:hAnsi="Gotham" w:cs="Arial"/>
          <w:color w:val="000000"/>
          <w:sz w:val="20"/>
          <w:szCs w:val="20"/>
          <w:lang w:eastAsia="es-MX"/>
        </w:rPr>
        <w:t>ial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no ponga en riesgo a los comensales o a las personas que adquieren algún producto en un comercio </w:t>
      </w:r>
      <w:r>
        <w:rPr>
          <w:rFonts w:ascii="Gotham" w:hAnsi="Gotham" w:cs="Arial"/>
          <w:color w:val="000000"/>
          <w:sz w:val="20"/>
          <w:szCs w:val="20"/>
          <w:lang w:eastAsia="es-MX"/>
        </w:rPr>
        <w:t xml:space="preserve">en </w:t>
      </w:r>
      <w:r w:rsidRPr="00AC1F06">
        <w:rPr>
          <w:rFonts w:ascii="Gotham" w:hAnsi="Gotham" w:cs="Arial"/>
          <w:color w:val="000000"/>
          <w:sz w:val="20"/>
          <w:szCs w:val="20"/>
          <w:lang w:eastAsia="es-MX"/>
        </w:rPr>
        <w:t>vía pública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sabemos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ues que el municipio y su desarrollo ha </w:t>
      </w:r>
      <w:r>
        <w:rPr>
          <w:rFonts w:ascii="Gotham" w:hAnsi="Gotham" w:cs="Arial"/>
          <w:color w:val="000000"/>
          <w:sz w:val="20"/>
          <w:szCs w:val="20"/>
          <w:lang w:eastAsia="es-MX"/>
        </w:rPr>
        <w:t>sido a través del comercio no só</w:t>
      </w:r>
      <w:r w:rsidRPr="00AC1F06">
        <w:rPr>
          <w:rFonts w:ascii="Gotham" w:hAnsi="Gotham" w:cs="Arial"/>
          <w:color w:val="000000"/>
          <w:sz w:val="20"/>
          <w:szCs w:val="20"/>
          <w:lang w:eastAsia="es-MX"/>
        </w:rPr>
        <w:t xml:space="preserve">lo establecido sino también </w:t>
      </w:r>
      <w:r>
        <w:rPr>
          <w:rFonts w:ascii="Gotham" w:hAnsi="Gotham" w:cs="Arial"/>
          <w:color w:val="000000"/>
          <w:sz w:val="20"/>
          <w:szCs w:val="20"/>
          <w:lang w:eastAsia="es-MX"/>
        </w:rPr>
        <w:t>a través de los t</w:t>
      </w:r>
      <w:r w:rsidRPr="00AC1F06">
        <w:rPr>
          <w:rFonts w:ascii="Gotham" w:hAnsi="Gotham" w:cs="Arial"/>
          <w:color w:val="000000"/>
          <w:sz w:val="20"/>
          <w:szCs w:val="20"/>
          <w:lang w:eastAsia="es-MX"/>
        </w:rPr>
        <w:t>ianguis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 través de los mercados y a través del comercio</w:t>
      </w:r>
      <w:r>
        <w:rPr>
          <w:rFonts w:ascii="Gotham" w:hAnsi="Gotham" w:cs="Arial"/>
          <w:color w:val="000000"/>
          <w:sz w:val="20"/>
          <w:szCs w:val="20"/>
          <w:lang w:eastAsia="es-MX"/>
        </w:rPr>
        <w:t xml:space="preserve"> en</w:t>
      </w:r>
      <w:r w:rsidRPr="00AC1F06">
        <w:rPr>
          <w:rFonts w:ascii="Gotham" w:hAnsi="Gotham" w:cs="Arial"/>
          <w:color w:val="000000"/>
          <w:sz w:val="20"/>
          <w:szCs w:val="20"/>
          <w:lang w:eastAsia="es-MX"/>
        </w:rPr>
        <w:t xml:space="preserve"> vía pública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pero sí es importante </w:t>
      </w:r>
      <w:r>
        <w:rPr>
          <w:rFonts w:ascii="Gotham" w:hAnsi="Gotham" w:cs="Arial"/>
          <w:color w:val="000000"/>
          <w:sz w:val="20"/>
          <w:szCs w:val="20"/>
          <w:lang w:eastAsia="es-MX"/>
        </w:rPr>
        <w:t>l</w:t>
      </w:r>
      <w:r w:rsidRPr="00AC1F06">
        <w:rPr>
          <w:rFonts w:ascii="Gotham" w:hAnsi="Gotham" w:cs="Arial"/>
          <w:color w:val="000000"/>
          <w:sz w:val="20"/>
          <w:szCs w:val="20"/>
          <w:lang w:eastAsia="es-MX"/>
        </w:rPr>
        <w:t>a regulación para no caer en una anarquía ni comercial ni peatonal</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porque también ha ido creciendo </w:t>
      </w:r>
      <w:r>
        <w:rPr>
          <w:rFonts w:ascii="Gotham" w:hAnsi="Gotham" w:cs="Arial"/>
          <w:color w:val="000000"/>
          <w:sz w:val="20"/>
          <w:szCs w:val="20"/>
          <w:lang w:eastAsia="es-MX"/>
        </w:rPr>
        <w:t xml:space="preserve">el número de </w:t>
      </w:r>
      <w:r w:rsidRPr="00AC1F06">
        <w:rPr>
          <w:rFonts w:ascii="Gotham" w:hAnsi="Gotham" w:cs="Arial"/>
          <w:color w:val="000000"/>
          <w:sz w:val="20"/>
          <w:szCs w:val="20"/>
          <w:lang w:eastAsia="es-MX"/>
        </w:rPr>
        <w:t>habitantes de Tonalá</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incluso viene a mi mente que en algunas de las comunidades hoy en el trabajo posterior de y el desarrollo de una campaña en muchas de las comunidades</w:t>
      </w:r>
      <w:r>
        <w:rPr>
          <w:rFonts w:ascii="Gotham" w:hAnsi="Gotham" w:cs="Arial"/>
          <w:color w:val="000000"/>
          <w:sz w:val="20"/>
          <w:szCs w:val="20"/>
          <w:lang w:eastAsia="es-MX"/>
        </w:rPr>
        <w:t>, hoy en el trabajo posterior y el desarrollo de una campaña, en muchas de las comunidades</w:t>
      </w:r>
      <w:r w:rsidRPr="00AC1F06">
        <w:rPr>
          <w:rFonts w:ascii="Gotham" w:hAnsi="Gotham" w:cs="Arial"/>
          <w:color w:val="000000"/>
          <w:sz w:val="20"/>
          <w:szCs w:val="20"/>
          <w:lang w:eastAsia="es-MX"/>
        </w:rPr>
        <w:t xml:space="preserve"> nos han solicitado los temas de pisos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porque las colonias que hoy tienen 30 a 40 años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lle</w:t>
      </w:r>
      <w:r>
        <w:rPr>
          <w:rFonts w:ascii="Gotham" w:hAnsi="Gotham" w:cs="Arial"/>
          <w:color w:val="000000"/>
          <w:sz w:val="20"/>
          <w:szCs w:val="20"/>
          <w:lang w:eastAsia="es-MX"/>
        </w:rPr>
        <w:t>gó</w:t>
      </w:r>
      <w:r w:rsidRPr="00AC1F06">
        <w:rPr>
          <w:rFonts w:ascii="Gotham" w:hAnsi="Gotham" w:cs="Arial"/>
          <w:color w:val="000000"/>
          <w:sz w:val="20"/>
          <w:szCs w:val="20"/>
          <w:lang w:eastAsia="es-MX"/>
        </w:rPr>
        <w:t xml:space="preserve"> gente joven pero que hoy hay mucha gente grande que nos piden baquetas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vía pública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que muchas de las veces están invadidas por comercio y</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digo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no estoy en contra del comercio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simplemente </w:t>
      </w:r>
      <w:r>
        <w:rPr>
          <w:rFonts w:ascii="Gotham" w:hAnsi="Gotham" w:cs="Arial"/>
          <w:color w:val="000000"/>
          <w:sz w:val="20"/>
          <w:szCs w:val="20"/>
          <w:lang w:eastAsia="es-MX"/>
        </w:rPr>
        <w:t>l</w:t>
      </w:r>
      <w:r w:rsidRPr="00AC1F06">
        <w:rPr>
          <w:rFonts w:ascii="Gotham" w:hAnsi="Gotham" w:cs="Arial"/>
          <w:color w:val="000000"/>
          <w:sz w:val="20"/>
          <w:szCs w:val="20"/>
          <w:lang w:eastAsia="es-MX"/>
        </w:rPr>
        <w:t>a regulación para no poner en riesgo a quienes tengan la necesidad de transitar por una banque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incluso p</w:t>
      </w:r>
      <w:r w:rsidRPr="00AC1F06">
        <w:rPr>
          <w:rFonts w:ascii="Gotham" w:hAnsi="Gotham" w:cs="Arial"/>
          <w:color w:val="000000"/>
          <w:sz w:val="20"/>
          <w:szCs w:val="20"/>
          <w:lang w:eastAsia="es-MX"/>
        </w:rPr>
        <w:t xml:space="preserve">ues habrá también </w:t>
      </w:r>
      <w:r>
        <w:rPr>
          <w:rFonts w:ascii="Gotham" w:hAnsi="Gotham" w:cs="Arial"/>
          <w:color w:val="000000"/>
          <w:sz w:val="20"/>
          <w:szCs w:val="20"/>
          <w:lang w:eastAsia="es-MX"/>
        </w:rPr>
        <w:t xml:space="preserve">que </w:t>
      </w:r>
      <w:r w:rsidRPr="00AC1F06">
        <w:rPr>
          <w:rFonts w:ascii="Gotham" w:hAnsi="Gotham" w:cs="Arial"/>
          <w:color w:val="000000"/>
          <w:sz w:val="20"/>
          <w:szCs w:val="20"/>
          <w:lang w:eastAsia="es-MX"/>
        </w:rPr>
        <w:t>revisar para adecuarlas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orque mucha gente transita ya </w:t>
      </w:r>
      <w:r>
        <w:rPr>
          <w:rFonts w:ascii="Gotham" w:hAnsi="Gotham" w:cs="Arial"/>
          <w:color w:val="000000"/>
          <w:sz w:val="20"/>
          <w:szCs w:val="20"/>
          <w:lang w:eastAsia="es-MX"/>
        </w:rPr>
        <w:t>con</w:t>
      </w:r>
      <w:r w:rsidRPr="00AC1F06">
        <w:rPr>
          <w:rFonts w:ascii="Gotham" w:hAnsi="Gotham" w:cs="Arial"/>
          <w:color w:val="000000"/>
          <w:sz w:val="20"/>
          <w:szCs w:val="20"/>
          <w:lang w:eastAsia="es-MX"/>
        </w:rPr>
        <w:t xml:space="preserve"> silla de ruedas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andaderas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que sí por derecho humano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t</w:t>
      </w:r>
      <w:r w:rsidRPr="00AC1F06">
        <w:rPr>
          <w:rFonts w:ascii="Gotham" w:hAnsi="Gotham" w:cs="Arial"/>
          <w:color w:val="000000"/>
          <w:sz w:val="20"/>
          <w:szCs w:val="20"/>
          <w:lang w:eastAsia="es-MX"/>
        </w:rPr>
        <w:t>enemos también que revisar esa parte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w:t>
      </w:r>
      <w:r>
        <w:rPr>
          <w:rFonts w:ascii="Gotham" w:hAnsi="Gotham" w:cs="Arial"/>
          <w:color w:val="000000"/>
          <w:sz w:val="20"/>
          <w:szCs w:val="20"/>
          <w:lang w:eastAsia="es-MX"/>
        </w:rPr>
        <w:t>b</w:t>
      </w:r>
      <w:r w:rsidRPr="00AC1F06">
        <w:rPr>
          <w:rFonts w:ascii="Gotham" w:hAnsi="Gotham" w:cs="Arial"/>
          <w:color w:val="000000"/>
          <w:sz w:val="20"/>
          <w:szCs w:val="20"/>
          <w:lang w:eastAsia="es-MX"/>
        </w:rPr>
        <w:t>ueno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pues más trabajo que nos va a venir como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residente de la </w:t>
      </w:r>
      <w:r>
        <w:rPr>
          <w:rFonts w:ascii="Gotham" w:hAnsi="Gotham" w:cs="Arial"/>
          <w:color w:val="000000"/>
          <w:sz w:val="20"/>
          <w:szCs w:val="20"/>
          <w:lang w:eastAsia="es-MX"/>
        </w:rPr>
        <w:t>C</w:t>
      </w:r>
      <w:r w:rsidRPr="00AC1F06">
        <w:rPr>
          <w:rFonts w:ascii="Gotham" w:hAnsi="Gotham" w:cs="Arial"/>
          <w:color w:val="000000"/>
          <w:sz w:val="20"/>
          <w:szCs w:val="20"/>
          <w:lang w:eastAsia="es-MX"/>
        </w:rPr>
        <w:t xml:space="preserve">omisión de </w:t>
      </w:r>
      <w:r>
        <w:rPr>
          <w:rFonts w:ascii="Gotham" w:hAnsi="Gotham" w:cs="Arial"/>
          <w:color w:val="000000"/>
          <w:sz w:val="20"/>
          <w:szCs w:val="20"/>
          <w:lang w:eastAsia="es-MX"/>
        </w:rPr>
        <w:t>R</w:t>
      </w:r>
      <w:r w:rsidRPr="00AC1F06">
        <w:rPr>
          <w:rFonts w:ascii="Gotham" w:hAnsi="Gotham" w:cs="Arial"/>
          <w:color w:val="000000"/>
          <w:sz w:val="20"/>
          <w:szCs w:val="20"/>
          <w:lang w:eastAsia="es-MX"/>
        </w:rPr>
        <w:t>eglamentos y que tenemos ese compromiso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insisto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actualizarlos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que atienda la realidad social de nuestra comunidad en el municipio y pensar en un corto plazo hasta en un compendio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lo mencioné hace un momento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hasta en un código municipal que tal vez sea a través de un compendio de reglamentos para qu</w:t>
      </w:r>
      <w:r>
        <w:rPr>
          <w:rFonts w:ascii="Gotham" w:hAnsi="Gotham" w:cs="Arial"/>
          <w:color w:val="000000"/>
          <w:sz w:val="20"/>
          <w:szCs w:val="20"/>
          <w:lang w:eastAsia="es-MX"/>
        </w:rPr>
        <w:t>e</w:t>
      </w:r>
      <w:r w:rsidRPr="00AC1F06">
        <w:rPr>
          <w:rFonts w:ascii="Gotham" w:hAnsi="Gotham" w:cs="Arial"/>
          <w:color w:val="000000"/>
          <w:sz w:val="20"/>
          <w:szCs w:val="20"/>
          <w:lang w:eastAsia="es-MX"/>
        </w:rPr>
        <w:t xml:space="preserve"> muchos de estos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con toda </w:t>
      </w:r>
      <w:r>
        <w:rPr>
          <w:rFonts w:ascii="Gotham" w:hAnsi="Gotham" w:cs="Arial"/>
          <w:color w:val="000000"/>
          <w:sz w:val="20"/>
          <w:szCs w:val="20"/>
          <w:lang w:eastAsia="es-MX"/>
        </w:rPr>
        <w:t>c</w:t>
      </w:r>
      <w:r w:rsidRPr="00AC1F06">
        <w:rPr>
          <w:rFonts w:ascii="Gotham" w:hAnsi="Gotham" w:cs="Arial"/>
          <w:color w:val="000000"/>
          <w:sz w:val="20"/>
          <w:szCs w:val="20"/>
          <w:lang w:eastAsia="es-MX"/>
        </w:rPr>
        <w:t>laridad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tenga que ver con qué áreas del municipio tengan que trabajar de manera coordinada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transversalmente</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para poder atender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porque muchas se entrelazan las funciones de comercio</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de movilidad</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y tienen que estar ahora sí que bien coordinados para poder atender de manera clara la realidad social </w:t>
      </w:r>
      <w:r>
        <w:rPr>
          <w:rFonts w:ascii="Gotham" w:hAnsi="Gotham" w:cs="Arial"/>
          <w:color w:val="000000"/>
          <w:sz w:val="20"/>
          <w:szCs w:val="20"/>
          <w:lang w:eastAsia="es-MX"/>
        </w:rPr>
        <w:t>y</w:t>
      </w:r>
      <w:r w:rsidRPr="00AC1F06">
        <w:rPr>
          <w:rFonts w:ascii="Gotham" w:hAnsi="Gotham" w:cs="Arial"/>
          <w:color w:val="000000"/>
          <w:sz w:val="20"/>
          <w:szCs w:val="20"/>
          <w:lang w:eastAsia="es-MX"/>
        </w:rPr>
        <w:t xml:space="preserve"> atender al ciudadano de nuestro municipio</w:t>
      </w:r>
      <w:r>
        <w:rPr>
          <w:rFonts w:ascii="Gotham" w:hAnsi="Gotham" w:cs="Arial"/>
          <w:color w:val="000000"/>
          <w:sz w:val="20"/>
          <w:szCs w:val="20"/>
          <w:lang w:eastAsia="es-MX"/>
        </w:rPr>
        <w:t>; es cuanto P</w:t>
      </w:r>
      <w:r w:rsidRPr="00AC1F06">
        <w:rPr>
          <w:rFonts w:ascii="Gotham" w:hAnsi="Gotham" w:cs="Arial"/>
          <w:color w:val="000000"/>
          <w:sz w:val="20"/>
          <w:szCs w:val="20"/>
          <w:lang w:eastAsia="es-MX"/>
        </w:rPr>
        <w:t>residente</w:t>
      </w:r>
      <w:r>
        <w:rPr>
          <w:rFonts w:ascii="Gotham" w:hAnsi="Gotham" w:cs="Arial"/>
          <w:color w:val="000000"/>
          <w:sz w:val="20"/>
          <w:szCs w:val="20"/>
          <w:lang w:eastAsia="es-MX"/>
        </w:rPr>
        <w:t>.</w:t>
      </w:r>
    </w:p>
    <w:p w14:paraId="3A476837" w14:textId="77777777" w:rsidR="009B5E39" w:rsidRDefault="009B5E39" w:rsidP="009B5E39">
      <w:pPr>
        <w:jc w:val="both"/>
        <w:rPr>
          <w:rFonts w:ascii="Gotham" w:hAnsi="Gotham" w:cs="Arial"/>
          <w:color w:val="000000"/>
          <w:sz w:val="20"/>
          <w:szCs w:val="20"/>
          <w:lang w:eastAsia="es-MX"/>
        </w:rPr>
      </w:pPr>
    </w:p>
    <w:p w14:paraId="3A476838" w14:textId="77777777" w:rsidR="009B5E39" w:rsidRPr="00AC1F06" w:rsidRDefault="009B5E39" w:rsidP="009B5E39">
      <w:pPr>
        <w:jc w:val="both"/>
        <w:rPr>
          <w:rFonts w:ascii="Gotham" w:hAnsi="Gotham" w:cs="Arial"/>
          <w:color w:val="222222"/>
          <w:sz w:val="20"/>
          <w:szCs w:val="20"/>
          <w:lang w:eastAsia="es-MX"/>
        </w:rPr>
      </w:pPr>
      <w:r>
        <w:rPr>
          <w:rFonts w:ascii="Gotham" w:hAnsi="Gotham" w:cs="Arial"/>
          <w:color w:val="000000"/>
          <w:sz w:val="20"/>
          <w:szCs w:val="20"/>
          <w:lang w:eastAsia="es-MX"/>
        </w:rPr>
        <w:t>En uso de la voz el Presidente Municipal, Sergio Armando Chávez Dávalos, expresa que,</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muchas gracias Síndico.</w:t>
      </w:r>
    </w:p>
    <w:p w14:paraId="3A476839" w14:textId="77777777" w:rsidR="009B5E39" w:rsidRDefault="009B5E39" w:rsidP="009B5E39">
      <w:pPr>
        <w:jc w:val="both"/>
        <w:rPr>
          <w:rFonts w:ascii="Gotham" w:hAnsi="Gotham" w:cs="Arial"/>
          <w:sz w:val="20"/>
          <w:szCs w:val="20"/>
        </w:rPr>
      </w:pPr>
    </w:p>
    <w:p w14:paraId="3A47683A" w14:textId="77777777" w:rsidR="009B5E39" w:rsidRPr="00272D60" w:rsidRDefault="009B5E39" w:rsidP="009B5E39">
      <w:pPr>
        <w:jc w:val="both"/>
        <w:rPr>
          <w:rFonts w:ascii="Gotham" w:hAnsi="Gotham" w:cs="Arial"/>
          <w:sz w:val="20"/>
          <w:szCs w:val="20"/>
        </w:rPr>
      </w:pPr>
    </w:p>
    <w:p w14:paraId="3A47683B" w14:textId="77777777" w:rsidR="009B5E39" w:rsidRDefault="009B5E39" w:rsidP="009B5E39">
      <w:pPr>
        <w:jc w:val="both"/>
        <w:rPr>
          <w:rFonts w:ascii="Gotham" w:hAnsi="Gotham" w:cs="Arial"/>
          <w:color w:val="000000"/>
          <w:sz w:val="20"/>
          <w:szCs w:val="20"/>
          <w:lang w:eastAsia="es-MX"/>
        </w:rPr>
      </w:pPr>
      <w:r>
        <w:rPr>
          <w:rFonts w:ascii="Gotham" w:hAnsi="Gotham"/>
          <w:b/>
          <w:smallCaps/>
          <w:sz w:val="20"/>
          <w:szCs w:val="20"/>
        </w:rPr>
        <w:lastRenderedPageBreak/>
        <w:t>Noveno</w:t>
      </w:r>
      <w:r w:rsidRPr="008E1C0E">
        <w:rPr>
          <w:rFonts w:ascii="Gotham" w:hAnsi="Gotham"/>
          <w:b/>
          <w:smallCaps/>
          <w:sz w:val="20"/>
          <w:szCs w:val="20"/>
        </w:rPr>
        <w:t xml:space="preserve"> Asunto Vario.-</w:t>
      </w:r>
      <w:r w:rsidRPr="00FE4C2B">
        <w:rPr>
          <w:rFonts w:ascii="Gotham" w:hAnsi="Gotham" w:cs="Arial"/>
          <w:sz w:val="20"/>
          <w:szCs w:val="20"/>
        </w:rPr>
        <w:t xml:space="preserve"> </w:t>
      </w:r>
      <w:r>
        <w:rPr>
          <w:rFonts w:ascii="Gotham" w:hAnsi="Gotham" w:cs="Arial"/>
          <w:sz w:val="20"/>
          <w:szCs w:val="20"/>
        </w:rPr>
        <w:t xml:space="preserve">En uso de la voz el Regidor Francisco Javier Reyes Ruiz, </w:t>
      </w:r>
      <w:r w:rsidRPr="008A2E88">
        <w:rPr>
          <w:rFonts w:ascii="Gotham" w:hAnsi="Gotham" w:cs="Arial"/>
          <w:sz w:val="20"/>
          <w:szCs w:val="20"/>
        </w:rPr>
        <w:t xml:space="preserve">menciona que, </w:t>
      </w:r>
      <w:r>
        <w:rPr>
          <w:rFonts w:ascii="Gotham" w:hAnsi="Gotham" w:cs="Arial"/>
          <w:color w:val="000000"/>
          <w:sz w:val="20"/>
          <w:szCs w:val="20"/>
          <w:lang w:eastAsia="es-MX"/>
        </w:rPr>
        <w:t xml:space="preserve">si me permite Presidente, el uso de la voz, nada más para agradecerte públicamente el gran honor que me dejaste </w:t>
      </w:r>
      <w:r w:rsidRPr="00AC1F06">
        <w:rPr>
          <w:rFonts w:ascii="Gotham" w:hAnsi="Gotham" w:cs="Arial"/>
          <w:color w:val="000000"/>
          <w:sz w:val="20"/>
          <w:szCs w:val="20"/>
          <w:lang w:eastAsia="es-MX"/>
        </w:rPr>
        <w:t xml:space="preserve">desarrollar como </w:t>
      </w:r>
      <w:r>
        <w:rPr>
          <w:rFonts w:ascii="Gotham" w:hAnsi="Gotham" w:cs="Arial"/>
          <w:color w:val="000000"/>
          <w:sz w:val="20"/>
          <w:szCs w:val="20"/>
          <w:lang w:eastAsia="es-MX"/>
        </w:rPr>
        <w:t>P</w:t>
      </w:r>
      <w:r w:rsidRPr="00AC1F06">
        <w:rPr>
          <w:rFonts w:ascii="Gotham" w:hAnsi="Gotham" w:cs="Arial"/>
          <w:color w:val="000000"/>
          <w:sz w:val="20"/>
          <w:szCs w:val="20"/>
          <w:lang w:eastAsia="es-MX"/>
        </w:rPr>
        <w:t xml:space="preserve">residente </w:t>
      </w:r>
      <w:r>
        <w:rPr>
          <w:rFonts w:ascii="Gotham" w:hAnsi="Gotham" w:cs="Arial"/>
          <w:color w:val="000000"/>
          <w:sz w:val="20"/>
          <w:szCs w:val="20"/>
          <w:lang w:eastAsia="es-MX"/>
        </w:rPr>
        <w:t>I</w:t>
      </w:r>
      <w:r w:rsidRPr="00AC1F06">
        <w:rPr>
          <w:rFonts w:ascii="Gotham" w:hAnsi="Gotham" w:cs="Arial"/>
          <w:color w:val="000000"/>
          <w:sz w:val="20"/>
          <w:szCs w:val="20"/>
          <w:lang w:eastAsia="es-MX"/>
        </w:rPr>
        <w:t>nterino y a la vez agradecerles a todos m</w:t>
      </w:r>
      <w:r>
        <w:rPr>
          <w:rFonts w:ascii="Gotham" w:hAnsi="Gotham" w:cs="Arial"/>
          <w:color w:val="000000"/>
          <w:sz w:val="20"/>
          <w:szCs w:val="20"/>
          <w:lang w:eastAsia="es-MX"/>
        </w:rPr>
        <w:t>is compañeros su apoyo durante cuatro</w:t>
      </w:r>
      <w:r w:rsidRPr="00AC1F06">
        <w:rPr>
          <w:rFonts w:ascii="Gotham" w:hAnsi="Gotham" w:cs="Arial"/>
          <w:color w:val="000000"/>
          <w:sz w:val="20"/>
          <w:szCs w:val="20"/>
          <w:lang w:eastAsia="es-MX"/>
        </w:rPr>
        <w:t xml:space="preserve"> meses y decirles que estamos de pie y para seguir adelante</w:t>
      </w:r>
      <w:r>
        <w:rPr>
          <w:rFonts w:ascii="Gotham" w:hAnsi="Gotham" w:cs="Arial"/>
          <w:color w:val="000000"/>
          <w:sz w:val="20"/>
          <w:szCs w:val="20"/>
          <w:lang w:eastAsia="es-MX"/>
        </w:rPr>
        <w:t>; m</w:t>
      </w:r>
      <w:r w:rsidRPr="00AC1F06">
        <w:rPr>
          <w:rFonts w:ascii="Gotham" w:hAnsi="Gotham" w:cs="Arial"/>
          <w:color w:val="000000"/>
          <w:sz w:val="20"/>
          <w:szCs w:val="20"/>
          <w:lang w:eastAsia="es-MX"/>
        </w:rPr>
        <w:t>uchas gracias</w:t>
      </w:r>
      <w:r>
        <w:rPr>
          <w:rFonts w:ascii="Gotham" w:hAnsi="Gotham" w:cs="Arial"/>
          <w:color w:val="000000"/>
          <w:sz w:val="20"/>
          <w:szCs w:val="20"/>
          <w:lang w:eastAsia="es-MX"/>
        </w:rPr>
        <w:t>.</w:t>
      </w:r>
    </w:p>
    <w:p w14:paraId="3A47683C" w14:textId="77777777" w:rsidR="009B5E39" w:rsidRDefault="009B5E39" w:rsidP="009B5E39">
      <w:pPr>
        <w:jc w:val="both"/>
        <w:rPr>
          <w:rFonts w:ascii="Gotham" w:hAnsi="Gotham" w:cs="Arial"/>
          <w:color w:val="000000"/>
          <w:sz w:val="20"/>
          <w:szCs w:val="20"/>
          <w:lang w:eastAsia="es-MX"/>
        </w:rPr>
      </w:pPr>
    </w:p>
    <w:p w14:paraId="3A47683D" w14:textId="77777777" w:rsidR="009B5E39" w:rsidRDefault="009B5E39" w:rsidP="009B5E39">
      <w:pPr>
        <w:jc w:val="both"/>
        <w:rPr>
          <w:rFonts w:ascii="Gotham" w:hAnsi="Gotham" w:cs="Arial"/>
          <w:color w:val="000000"/>
          <w:sz w:val="20"/>
          <w:szCs w:val="20"/>
          <w:lang w:eastAsia="es-MX"/>
        </w:rPr>
      </w:pPr>
      <w:r>
        <w:rPr>
          <w:rFonts w:ascii="Gotham" w:hAnsi="Gotham" w:cs="Arial"/>
          <w:color w:val="000000"/>
          <w:sz w:val="20"/>
          <w:szCs w:val="20"/>
          <w:lang w:eastAsia="es-MX"/>
        </w:rPr>
        <w:t>En uso de la voz el Presidente Municipal, Sergio Armando Chávez Dávalos, expresa que, g</w:t>
      </w:r>
      <w:r w:rsidRPr="00AC1F06">
        <w:rPr>
          <w:rFonts w:ascii="Gotham" w:hAnsi="Gotham" w:cs="Arial"/>
          <w:color w:val="000000"/>
          <w:sz w:val="20"/>
          <w:szCs w:val="20"/>
          <w:lang w:eastAsia="es-MX"/>
        </w:rPr>
        <w:t>racias Javier</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igual aprovecho para agradecerte el compromiso y </w:t>
      </w:r>
      <w:r>
        <w:rPr>
          <w:rFonts w:ascii="Gotham" w:hAnsi="Gotham" w:cs="Arial"/>
          <w:color w:val="000000"/>
          <w:sz w:val="20"/>
          <w:szCs w:val="20"/>
          <w:lang w:eastAsia="es-MX"/>
        </w:rPr>
        <w:t xml:space="preserve">el </w:t>
      </w:r>
      <w:r w:rsidRPr="00AC1F06">
        <w:rPr>
          <w:rFonts w:ascii="Gotham" w:hAnsi="Gotham" w:cs="Arial"/>
          <w:color w:val="000000"/>
          <w:sz w:val="20"/>
          <w:szCs w:val="20"/>
          <w:lang w:eastAsia="es-MX"/>
        </w:rPr>
        <w:t>estar aquí al pendiente de la alcaldía y felicitarte porque también ya pasas al cuadro de ahí</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a la historia</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 xml:space="preserve">próximamente pondremos tu cuadro ahí en la galería </w:t>
      </w:r>
      <w:r w:rsidRPr="00AC1F06">
        <w:rPr>
          <w:rFonts w:ascii="Gotham" w:hAnsi="Gotham" w:cs="Arial"/>
          <w:color w:val="000000"/>
          <w:sz w:val="20"/>
          <w:szCs w:val="20"/>
          <w:lang w:eastAsia="es-MX"/>
        </w:rPr>
        <w:t xml:space="preserve">de </w:t>
      </w:r>
      <w:r>
        <w:rPr>
          <w:rFonts w:ascii="Gotham" w:hAnsi="Gotham" w:cs="Arial"/>
          <w:color w:val="000000"/>
          <w:sz w:val="20"/>
          <w:szCs w:val="20"/>
          <w:lang w:eastAsia="es-MX"/>
        </w:rPr>
        <w:t xml:space="preserve">ex </w:t>
      </w:r>
      <w:r w:rsidRPr="00AC1F06">
        <w:rPr>
          <w:rFonts w:ascii="Gotham" w:hAnsi="Gotham" w:cs="Arial"/>
          <w:color w:val="000000"/>
          <w:sz w:val="20"/>
          <w:szCs w:val="20"/>
          <w:lang w:eastAsia="es-MX"/>
        </w:rPr>
        <w:t>presidentes</w:t>
      </w:r>
      <w:r>
        <w:rPr>
          <w:rFonts w:ascii="Gotham" w:hAnsi="Gotham" w:cs="Arial"/>
          <w:color w:val="000000"/>
          <w:sz w:val="20"/>
          <w:szCs w:val="20"/>
          <w:lang w:eastAsia="es-MX"/>
        </w:rPr>
        <w:t>,</w:t>
      </w:r>
      <w:r w:rsidRPr="00AC1F06">
        <w:rPr>
          <w:rFonts w:ascii="Gotham" w:hAnsi="Gotham" w:cs="Arial"/>
          <w:color w:val="000000"/>
          <w:sz w:val="20"/>
          <w:szCs w:val="20"/>
          <w:lang w:eastAsia="es-MX"/>
        </w:rPr>
        <w:t xml:space="preserve"> </w:t>
      </w:r>
      <w:r>
        <w:rPr>
          <w:rFonts w:ascii="Gotham" w:hAnsi="Gotham" w:cs="Arial"/>
          <w:color w:val="000000"/>
          <w:sz w:val="20"/>
          <w:szCs w:val="20"/>
          <w:lang w:eastAsia="es-MX"/>
        </w:rPr>
        <w:t>g</w:t>
      </w:r>
      <w:r w:rsidRPr="00AC1F06">
        <w:rPr>
          <w:rFonts w:ascii="Gotham" w:hAnsi="Gotham" w:cs="Arial"/>
          <w:color w:val="000000"/>
          <w:sz w:val="20"/>
          <w:szCs w:val="20"/>
          <w:lang w:eastAsia="es-MX"/>
        </w:rPr>
        <w:t>racias</w:t>
      </w:r>
      <w:r>
        <w:rPr>
          <w:rFonts w:ascii="Gotham" w:hAnsi="Gotham" w:cs="Arial"/>
          <w:color w:val="000000"/>
          <w:sz w:val="20"/>
          <w:szCs w:val="20"/>
          <w:lang w:eastAsia="es-MX"/>
        </w:rPr>
        <w:t>.</w:t>
      </w:r>
    </w:p>
    <w:p w14:paraId="3A47683E" w14:textId="77777777" w:rsidR="009B5E39" w:rsidRDefault="009B5E39" w:rsidP="009B5E39">
      <w:pPr>
        <w:jc w:val="both"/>
        <w:rPr>
          <w:rFonts w:ascii="Gotham" w:hAnsi="Gotham" w:cs="Arial"/>
          <w:color w:val="000000"/>
          <w:sz w:val="20"/>
          <w:szCs w:val="20"/>
          <w:lang w:eastAsia="es-MX"/>
        </w:rPr>
      </w:pPr>
    </w:p>
    <w:p w14:paraId="3A47683F" w14:textId="77777777" w:rsidR="009B5E39" w:rsidRDefault="009B5E39" w:rsidP="009B5E39">
      <w:pPr>
        <w:jc w:val="both"/>
        <w:rPr>
          <w:rFonts w:ascii="Gotham" w:hAnsi="Gotham"/>
          <w:sz w:val="20"/>
          <w:szCs w:val="20"/>
        </w:rPr>
      </w:pPr>
    </w:p>
    <w:p w14:paraId="3A476840" w14:textId="77777777" w:rsidR="009B5E39" w:rsidRPr="00D60C9E" w:rsidRDefault="009B5E39" w:rsidP="009B5E39">
      <w:pPr>
        <w:ind w:firstLine="708"/>
        <w:jc w:val="both"/>
        <w:rPr>
          <w:rFonts w:ascii="Gotham" w:hAnsi="Gotham"/>
          <w:sz w:val="20"/>
          <w:szCs w:val="20"/>
        </w:rPr>
      </w:pPr>
      <w:r w:rsidRPr="00D60C9E">
        <w:rPr>
          <w:rFonts w:ascii="Gotham" w:hAnsi="Gotham"/>
          <w:sz w:val="20"/>
          <w:szCs w:val="20"/>
        </w:rPr>
        <w:t>En uso de la voz el Presidente Municipal, Sergio Armando Chávez Dávalos, menciona que, en cumplimiento al octavo punto establecido en el orden del día, referente al señalamiento del día y hora de la próxima sesión, se hace de su conocimiento que en tiempo y forma recibirán el citatorio correspondiente a la siguiente Sesión Ordinaria de Ayuntamiento.</w:t>
      </w:r>
    </w:p>
    <w:p w14:paraId="3A476841" w14:textId="77777777" w:rsidR="009B5E39" w:rsidRPr="00D60C9E" w:rsidRDefault="009B5E39" w:rsidP="009B5E39">
      <w:pPr>
        <w:jc w:val="both"/>
        <w:rPr>
          <w:rFonts w:ascii="Gotham" w:hAnsi="Gotham"/>
          <w:sz w:val="20"/>
          <w:szCs w:val="20"/>
        </w:rPr>
      </w:pPr>
    </w:p>
    <w:p w14:paraId="3A476842" w14:textId="77777777" w:rsidR="009B5E39" w:rsidRPr="00D60C9E" w:rsidRDefault="009B5E39" w:rsidP="009B5E39">
      <w:pPr>
        <w:jc w:val="both"/>
        <w:rPr>
          <w:rFonts w:ascii="Gotham" w:hAnsi="Gotham"/>
          <w:sz w:val="20"/>
          <w:szCs w:val="20"/>
        </w:rPr>
      </w:pPr>
    </w:p>
    <w:p w14:paraId="3A476843" w14:textId="77777777" w:rsidR="009B5E39" w:rsidRPr="00D60C9E" w:rsidRDefault="009B5E39" w:rsidP="009B5E39">
      <w:pPr>
        <w:ind w:firstLine="708"/>
        <w:jc w:val="both"/>
        <w:rPr>
          <w:rFonts w:ascii="Gotham" w:hAnsi="Gotham"/>
          <w:sz w:val="20"/>
          <w:szCs w:val="20"/>
        </w:rPr>
      </w:pPr>
      <w:r w:rsidRPr="00D60C9E">
        <w:rPr>
          <w:rFonts w:ascii="Gotham" w:hAnsi="Gotham"/>
          <w:sz w:val="20"/>
          <w:szCs w:val="20"/>
        </w:rPr>
        <w:t xml:space="preserve">En relación al noveno y último punto del orden del día, siendo las </w:t>
      </w:r>
      <w:r w:rsidRPr="00DD358A">
        <w:rPr>
          <w:rFonts w:ascii="Gotham" w:hAnsi="Gotham"/>
          <w:sz w:val="20"/>
          <w:szCs w:val="20"/>
        </w:rPr>
        <w:t>17 horas con 13 minutos</w:t>
      </w:r>
      <w:r w:rsidRPr="00D60C9E">
        <w:rPr>
          <w:rFonts w:ascii="Gotham" w:hAnsi="Gotham"/>
          <w:sz w:val="20"/>
          <w:szCs w:val="20"/>
        </w:rPr>
        <w:t xml:space="preserve"> del día de hoy, jueves </w:t>
      </w:r>
      <w:r>
        <w:rPr>
          <w:rFonts w:ascii="Gotham" w:hAnsi="Gotham"/>
          <w:sz w:val="20"/>
          <w:szCs w:val="20"/>
        </w:rPr>
        <w:t>24</w:t>
      </w:r>
      <w:r w:rsidRPr="00D60C9E">
        <w:rPr>
          <w:rFonts w:ascii="Gotham" w:hAnsi="Gotham"/>
          <w:sz w:val="20"/>
          <w:szCs w:val="20"/>
        </w:rPr>
        <w:t xml:space="preserve"> de </w:t>
      </w:r>
      <w:r>
        <w:rPr>
          <w:rFonts w:ascii="Gotham" w:hAnsi="Gotham"/>
          <w:sz w:val="20"/>
          <w:szCs w:val="20"/>
        </w:rPr>
        <w:t xml:space="preserve">julio </w:t>
      </w:r>
      <w:r w:rsidRPr="00D60C9E">
        <w:rPr>
          <w:rFonts w:ascii="Gotham" w:hAnsi="Gotham"/>
          <w:sz w:val="20"/>
          <w:szCs w:val="20"/>
        </w:rPr>
        <w:t>del año 202</w:t>
      </w:r>
      <w:r>
        <w:rPr>
          <w:rFonts w:ascii="Gotham" w:hAnsi="Gotham"/>
          <w:sz w:val="20"/>
          <w:szCs w:val="20"/>
        </w:rPr>
        <w:t>4</w:t>
      </w:r>
      <w:r w:rsidRPr="00D60C9E">
        <w:rPr>
          <w:rFonts w:ascii="Gotham" w:hAnsi="Gotham"/>
          <w:sz w:val="20"/>
          <w:szCs w:val="20"/>
        </w:rPr>
        <w:t xml:space="preserve">, se da por concluida y clausurada la </w:t>
      </w:r>
      <w:r>
        <w:rPr>
          <w:rFonts w:ascii="Gotham" w:hAnsi="Gotham"/>
          <w:sz w:val="20"/>
          <w:szCs w:val="20"/>
        </w:rPr>
        <w:t xml:space="preserve">trigésimo cuarta </w:t>
      </w:r>
      <w:r w:rsidRPr="00D60C9E">
        <w:rPr>
          <w:rFonts w:ascii="Gotham" w:hAnsi="Gotham"/>
          <w:sz w:val="20"/>
          <w:szCs w:val="20"/>
        </w:rPr>
        <w:t>Sesión Ordinaria del Ayuntamiento Constitucional de Tonalá, Jalisco, para el periodo 2021–2024; muchas gracias a todos por su presencia.</w:t>
      </w:r>
    </w:p>
    <w:p w14:paraId="3A476844" w14:textId="77777777" w:rsidR="009B5E39" w:rsidRPr="00A52F47" w:rsidRDefault="009B5E39" w:rsidP="009B5E39">
      <w:pPr>
        <w:jc w:val="both"/>
        <w:rPr>
          <w:rFonts w:ascii="Gotham" w:hAnsi="Gotham"/>
          <w:sz w:val="20"/>
          <w:szCs w:val="20"/>
        </w:rPr>
      </w:pPr>
    </w:p>
    <w:p w14:paraId="3A476845" w14:textId="77777777" w:rsidR="009B5E39" w:rsidRPr="00113831" w:rsidRDefault="009B5E39" w:rsidP="009B5E39">
      <w:pPr>
        <w:jc w:val="both"/>
        <w:rPr>
          <w:rFonts w:ascii="Gotham" w:hAnsi="Gotham"/>
          <w:sz w:val="20"/>
          <w:szCs w:val="20"/>
        </w:rPr>
      </w:pPr>
      <w:r w:rsidRPr="00113831">
        <w:rPr>
          <w:rFonts w:ascii="Gotham" w:hAnsi="Gotham"/>
          <w:sz w:val="20"/>
          <w:szCs w:val="20"/>
        </w:rPr>
        <w:t>Firmando para constancia los que en ella participaron y quisieron hacerlo. QUE CONSTE--------</w:t>
      </w:r>
      <w:r>
        <w:rPr>
          <w:rFonts w:ascii="Gotham" w:hAnsi="Gotham"/>
          <w:sz w:val="20"/>
          <w:szCs w:val="20"/>
        </w:rPr>
        <w:t>-</w:t>
      </w:r>
      <w:r w:rsidRPr="00113831">
        <w:rPr>
          <w:rFonts w:ascii="Gotham" w:hAnsi="Gotham"/>
          <w:sz w:val="20"/>
          <w:szCs w:val="20"/>
        </w:rPr>
        <w:t>------</w:t>
      </w:r>
    </w:p>
    <w:p w14:paraId="3A476846" w14:textId="77777777" w:rsidR="009B5E39" w:rsidRDefault="009B5E39" w:rsidP="009B5E39">
      <w:pPr>
        <w:pStyle w:val="Textoindependiente2"/>
        <w:spacing w:after="0" w:line="240" w:lineRule="auto"/>
        <w:jc w:val="both"/>
        <w:rPr>
          <w:rFonts w:ascii="Gotham" w:hAnsi="Gotham"/>
          <w:color w:val="0070C0"/>
          <w:sz w:val="20"/>
          <w:szCs w:val="20"/>
        </w:rPr>
      </w:pPr>
    </w:p>
    <w:p w14:paraId="3A476847" w14:textId="77777777" w:rsidR="009B5E39" w:rsidRDefault="009B5E39" w:rsidP="009B5E39">
      <w:pPr>
        <w:pStyle w:val="Textoindependiente2"/>
        <w:spacing w:after="0" w:line="240" w:lineRule="auto"/>
        <w:jc w:val="both"/>
        <w:rPr>
          <w:rFonts w:ascii="Gotham" w:hAnsi="Gotham"/>
          <w:color w:val="0070C0"/>
          <w:sz w:val="20"/>
          <w:szCs w:val="20"/>
        </w:rPr>
      </w:pPr>
    </w:p>
    <w:p w14:paraId="3A476848" w14:textId="77777777" w:rsidR="009B5E39" w:rsidRDefault="009B5E39" w:rsidP="009B5E39">
      <w:pPr>
        <w:pStyle w:val="Textoindependiente2"/>
        <w:spacing w:after="0" w:line="240" w:lineRule="auto"/>
        <w:jc w:val="both"/>
        <w:rPr>
          <w:rFonts w:ascii="Gotham" w:hAnsi="Gotham"/>
          <w:color w:val="0070C0"/>
          <w:sz w:val="20"/>
          <w:szCs w:val="20"/>
        </w:rPr>
      </w:pPr>
    </w:p>
    <w:p w14:paraId="3A476849" w14:textId="77777777" w:rsidR="009B5E39" w:rsidRDefault="009B5E39" w:rsidP="009B5E39">
      <w:pPr>
        <w:pStyle w:val="Textoindependiente2"/>
        <w:spacing w:after="0" w:line="240" w:lineRule="auto"/>
        <w:jc w:val="both"/>
        <w:rPr>
          <w:rFonts w:ascii="Gotham" w:hAnsi="Gotham"/>
          <w:color w:val="0070C0"/>
          <w:sz w:val="20"/>
          <w:szCs w:val="20"/>
        </w:rPr>
      </w:pPr>
    </w:p>
    <w:p w14:paraId="3A47684A" w14:textId="77777777" w:rsidR="009B5E39" w:rsidRDefault="009B5E39" w:rsidP="009B5E39">
      <w:pPr>
        <w:pStyle w:val="Textoindependiente2"/>
        <w:spacing w:after="0" w:line="240" w:lineRule="auto"/>
        <w:jc w:val="both"/>
        <w:rPr>
          <w:rFonts w:ascii="Gotham" w:hAnsi="Gotham"/>
          <w:color w:val="0070C0"/>
          <w:sz w:val="20"/>
          <w:szCs w:val="20"/>
        </w:rPr>
      </w:pPr>
    </w:p>
    <w:p w14:paraId="3A47684B" w14:textId="77777777" w:rsidR="009B5E39" w:rsidRDefault="009B5E39" w:rsidP="009B5E39">
      <w:pPr>
        <w:rPr>
          <w:rFonts w:ascii="Gotham" w:hAnsi="Gotham"/>
          <w:color w:val="0070C0"/>
          <w:sz w:val="20"/>
          <w:szCs w:val="20"/>
        </w:rPr>
      </w:pPr>
    </w:p>
    <w:p w14:paraId="3A47684C" w14:textId="77777777" w:rsidR="009B5E39" w:rsidRDefault="009B5E39" w:rsidP="009B5E39">
      <w:pPr>
        <w:jc w:val="center"/>
        <w:rPr>
          <w:rFonts w:ascii="Gotham" w:hAnsi="Gotham"/>
          <w:smallCaps/>
          <w:sz w:val="19"/>
          <w:szCs w:val="19"/>
        </w:rPr>
      </w:pPr>
      <w:r>
        <w:rPr>
          <w:rFonts w:ascii="Gotham" w:hAnsi="Gotham"/>
          <w:smallCaps/>
          <w:sz w:val="19"/>
          <w:szCs w:val="19"/>
        </w:rPr>
        <w:t>Sergio Armando Chávez Dávalos</w:t>
      </w:r>
    </w:p>
    <w:p w14:paraId="3A47684D" w14:textId="77777777" w:rsidR="009B5E39" w:rsidRDefault="009B5E39" w:rsidP="009B5E39">
      <w:pPr>
        <w:jc w:val="center"/>
        <w:rPr>
          <w:rFonts w:ascii="Gotham" w:hAnsi="Gotham"/>
          <w:smallCaps/>
          <w:sz w:val="19"/>
          <w:szCs w:val="19"/>
        </w:rPr>
      </w:pPr>
      <w:r>
        <w:rPr>
          <w:rFonts w:ascii="Gotham" w:hAnsi="Gotham"/>
          <w:smallCaps/>
          <w:sz w:val="19"/>
          <w:szCs w:val="19"/>
        </w:rPr>
        <w:t>Presidente Municipal</w:t>
      </w:r>
    </w:p>
    <w:p w14:paraId="3A47684E" w14:textId="77777777" w:rsidR="009B5E39" w:rsidRDefault="009B5E39" w:rsidP="009B5E39">
      <w:pPr>
        <w:rPr>
          <w:rFonts w:ascii="Gotham" w:hAnsi="Gotham"/>
          <w:smallCaps/>
          <w:sz w:val="19"/>
          <w:szCs w:val="19"/>
        </w:rPr>
      </w:pPr>
    </w:p>
    <w:p w14:paraId="3A47684F" w14:textId="77777777" w:rsidR="009B5E39" w:rsidRDefault="009B5E39" w:rsidP="009B5E39">
      <w:pPr>
        <w:rPr>
          <w:rFonts w:ascii="Gotham" w:hAnsi="Gotham"/>
          <w:smallCaps/>
          <w:sz w:val="19"/>
          <w:szCs w:val="19"/>
        </w:rPr>
      </w:pPr>
    </w:p>
    <w:p w14:paraId="3A476850" w14:textId="77777777" w:rsidR="009B5E39" w:rsidRDefault="009B5E39" w:rsidP="009B5E39">
      <w:pPr>
        <w:rPr>
          <w:rFonts w:ascii="Gotham" w:hAnsi="Gotham"/>
          <w:smallCaps/>
          <w:sz w:val="19"/>
          <w:szCs w:val="19"/>
        </w:rPr>
      </w:pPr>
    </w:p>
    <w:p w14:paraId="3A476851" w14:textId="77777777" w:rsidR="009B5E39" w:rsidRDefault="009B5E39" w:rsidP="009B5E39">
      <w:pPr>
        <w:rPr>
          <w:rFonts w:ascii="Gotham" w:hAnsi="Gotham"/>
          <w:smallCaps/>
          <w:sz w:val="19"/>
          <w:szCs w:val="19"/>
        </w:rPr>
      </w:pPr>
    </w:p>
    <w:p w14:paraId="3A476852" w14:textId="77777777" w:rsidR="009B5E39" w:rsidRDefault="009B5E39" w:rsidP="009B5E39">
      <w:pPr>
        <w:rPr>
          <w:rFonts w:ascii="Gotham" w:hAnsi="Gotham"/>
          <w:smallCaps/>
          <w:sz w:val="19"/>
          <w:szCs w:val="19"/>
        </w:rPr>
      </w:pPr>
    </w:p>
    <w:p w14:paraId="3A476853" w14:textId="77777777" w:rsidR="009B5E39" w:rsidRDefault="009B5E39" w:rsidP="00744127">
      <w:pPr>
        <w:spacing w:line="408" w:lineRule="auto"/>
        <w:rPr>
          <w:rFonts w:ascii="Gotham" w:hAnsi="Gotham"/>
          <w:smallCaps/>
          <w:sz w:val="19"/>
          <w:szCs w:val="19"/>
        </w:rPr>
      </w:pPr>
      <w:r>
        <w:rPr>
          <w:rFonts w:ascii="Gotham" w:hAnsi="Gotham"/>
          <w:smallCaps/>
          <w:sz w:val="19"/>
          <w:szCs w:val="19"/>
        </w:rPr>
        <w:t xml:space="preserve">Síndico, Nicolás Maestro Landeros </w:t>
      </w:r>
    </w:p>
    <w:p w14:paraId="3A476854" w14:textId="77777777" w:rsidR="009B5E39" w:rsidRDefault="009B5E39" w:rsidP="00744127">
      <w:pPr>
        <w:spacing w:line="408" w:lineRule="auto"/>
        <w:rPr>
          <w:rFonts w:ascii="Gotham" w:hAnsi="Gotham"/>
          <w:smallCaps/>
          <w:sz w:val="19"/>
          <w:szCs w:val="19"/>
        </w:rPr>
      </w:pPr>
    </w:p>
    <w:p w14:paraId="3A476855" w14:textId="77777777" w:rsidR="009B5E39" w:rsidRDefault="009B5E39" w:rsidP="00744127">
      <w:pPr>
        <w:spacing w:line="408" w:lineRule="auto"/>
        <w:jc w:val="right"/>
        <w:rPr>
          <w:rFonts w:ascii="Gotham" w:hAnsi="Gotham"/>
          <w:smallCaps/>
          <w:sz w:val="19"/>
          <w:szCs w:val="19"/>
        </w:rPr>
      </w:pPr>
      <w:r>
        <w:rPr>
          <w:rFonts w:ascii="Gotham" w:hAnsi="Gotham"/>
          <w:smallCaps/>
          <w:sz w:val="19"/>
          <w:szCs w:val="19"/>
        </w:rPr>
        <w:t>Regidora Laura Liliana Olea Frías</w:t>
      </w:r>
    </w:p>
    <w:p w14:paraId="3A476856" w14:textId="77777777" w:rsidR="009B5E39" w:rsidRDefault="009B5E39" w:rsidP="00744127">
      <w:pPr>
        <w:spacing w:line="408" w:lineRule="auto"/>
        <w:rPr>
          <w:rFonts w:ascii="Gotham" w:hAnsi="Gotham"/>
          <w:smallCaps/>
          <w:sz w:val="19"/>
          <w:szCs w:val="19"/>
        </w:rPr>
      </w:pPr>
    </w:p>
    <w:p w14:paraId="3A476857" w14:textId="77777777" w:rsidR="009B5E39" w:rsidRDefault="009B5E39" w:rsidP="00744127">
      <w:pPr>
        <w:spacing w:line="408" w:lineRule="auto"/>
        <w:rPr>
          <w:rFonts w:ascii="Gotham" w:hAnsi="Gotham"/>
          <w:smallCaps/>
          <w:sz w:val="19"/>
          <w:szCs w:val="19"/>
        </w:rPr>
      </w:pPr>
      <w:r>
        <w:rPr>
          <w:rFonts w:ascii="Gotham" w:hAnsi="Gotham"/>
          <w:smallCaps/>
          <w:sz w:val="19"/>
          <w:szCs w:val="19"/>
        </w:rPr>
        <w:t>Regidor Ramón López Mena</w:t>
      </w:r>
    </w:p>
    <w:p w14:paraId="3A476858" w14:textId="77777777" w:rsidR="009B5E39" w:rsidRDefault="009B5E39" w:rsidP="00744127">
      <w:pPr>
        <w:spacing w:line="408" w:lineRule="auto"/>
        <w:jc w:val="right"/>
        <w:rPr>
          <w:rFonts w:ascii="Gotham" w:hAnsi="Gotham"/>
          <w:smallCaps/>
          <w:sz w:val="19"/>
          <w:szCs w:val="19"/>
        </w:rPr>
      </w:pPr>
    </w:p>
    <w:p w14:paraId="3A476859" w14:textId="77777777" w:rsidR="009B5E39" w:rsidRDefault="009B5E39" w:rsidP="00744127">
      <w:pPr>
        <w:spacing w:line="408" w:lineRule="auto"/>
        <w:jc w:val="right"/>
        <w:rPr>
          <w:rFonts w:ascii="Gotham" w:hAnsi="Gotham"/>
          <w:smallCaps/>
          <w:sz w:val="19"/>
          <w:szCs w:val="19"/>
        </w:rPr>
      </w:pPr>
      <w:r>
        <w:rPr>
          <w:rFonts w:ascii="Gotham" w:hAnsi="Gotham"/>
          <w:smallCaps/>
          <w:sz w:val="19"/>
          <w:szCs w:val="19"/>
        </w:rPr>
        <w:t>Regidora Celia Guadalupe Serrano Villagómez</w:t>
      </w:r>
    </w:p>
    <w:p w14:paraId="3A47685A" w14:textId="77777777" w:rsidR="009B5E39" w:rsidRDefault="009B5E39" w:rsidP="00744127">
      <w:pPr>
        <w:spacing w:line="408" w:lineRule="auto"/>
        <w:rPr>
          <w:rFonts w:ascii="Gotham" w:hAnsi="Gotham"/>
          <w:smallCaps/>
          <w:sz w:val="19"/>
          <w:szCs w:val="19"/>
        </w:rPr>
      </w:pPr>
    </w:p>
    <w:p w14:paraId="3A47685B" w14:textId="77777777" w:rsidR="009B5E39" w:rsidRDefault="009B5E39" w:rsidP="00744127">
      <w:pPr>
        <w:spacing w:line="408" w:lineRule="auto"/>
        <w:rPr>
          <w:rFonts w:ascii="Gotham" w:hAnsi="Gotham"/>
          <w:smallCaps/>
          <w:sz w:val="19"/>
          <w:szCs w:val="19"/>
        </w:rPr>
      </w:pPr>
      <w:r>
        <w:rPr>
          <w:rFonts w:ascii="Gotham" w:hAnsi="Gotham"/>
          <w:smallCaps/>
          <w:sz w:val="19"/>
          <w:szCs w:val="19"/>
        </w:rPr>
        <w:t>Regidora Karen Yesenia Dávalos Hernández</w:t>
      </w:r>
    </w:p>
    <w:p w14:paraId="3A47685C" w14:textId="77777777" w:rsidR="009B5E39" w:rsidRDefault="009B5E39" w:rsidP="00744127">
      <w:pPr>
        <w:spacing w:line="408" w:lineRule="auto"/>
        <w:rPr>
          <w:rFonts w:ascii="Gotham" w:hAnsi="Gotham"/>
          <w:smallCaps/>
          <w:sz w:val="19"/>
          <w:szCs w:val="19"/>
        </w:rPr>
      </w:pPr>
    </w:p>
    <w:p w14:paraId="3A47685D" w14:textId="77777777" w:rsidR="009B5E39" w:rsidRDefault="009B5E39" w:rsidP="00744127">
      <w:pPr>
        <w:spacing w:line="408" w:lineRule="auto"/>
        <w:jc w:val="right"/>
        <w:rPr>
          <w:rFonts w:ascii="Gotham" w:hAnsi="Gotham"/>
          <w:smallCaps/>
          <w:sz w:val="19"/>
          <w:szCs w:val="19"/>
        </w:rPr>
      </w:pPr>
      <w:r>
        <w:rPr>
          <w:rFonts w:ascii="Gotham" w:hAnsi="Gotham"/>
          <w:smallCaps/>
          <w:sz w:val="19"/>
          <w:szCs w:val="19"/>
        </w:rPr>
        <w:t>Regidor Alejandro Buenrostro Hernández</w:t>
      </w:r>
    </w:p>
    <w:p w14:paraId="3A47685E" w14:textId="77777777" w:rsidR="009B5E39" w:rsidRDefault="009B5E39" w:rsidP="00744127">
      <w:pPr>
        <w:spacing w:line="480" w:lineRule="auto"/>
        <w:rPr>
          <w:rFonts w:ascii="Gotham" w:hAnsi="Gotham"/>
          <w:smallCaps/>
          <w:sz w:val="19"/>
          <w:szCs w:val="19"/>
        </w:rPr>
      </w:pPr>
      <w:r>
        <w:rPr>
          <w:rFonts w:ascii="Gotham" w:hAnsi="Gotham"/>
          <w:smallCaps/>
          <w:sz w:val="19"/>
          <w:szCs w:val="19"/>
        </w:rPr>
        <w:lastRenderedPageBreak/>
        <w:t>Regidora Marta Estela Arizmendi Fombona</w:t>
      </w:r>
    </w:p>
    <w:p w14:paraId="3A47685F" w14:textId="77777777" w:rsidR="009B5E39" w:rsidRDefault="009B5E39" w:rsidP="00744127">
      <w:pPr>
        <w:spacing w:line="480" w:lineRule="auto"/>
        <w:rPr>
          <w:rFonts w:ascii="Gotham" w:hAnsi="Gotham"/>
          <w:smallCaps/>
          <w:sz w:val="19"/>
          <w:szCs w:val="19"/>
        </w:rPr>
      </w:pPr>
    </w:p>
    <w:p w14:paraId="3A476860" w14:textId="77777777" w:rsidR="009B5E39" w:rsidRDefault="009B5E39" w:rsidP="00744127">
      <w:pPr>
        <w:spacing w:line="480" w:lineRule="auto"/>
        <w:jc w:val="right"/>
        <w:rPr>
          <w:rFonts w:ascii="Gotham" w:hAnsi="Gotham"/>
          <w:smallCaps/>
          <w:sz w:val="19"/>
          <w:szCs w:val="19"/>
        </w:rPr>
      </w:pPr>
      <w:r>
        <w:rPr>
          <w:rFonts w:ascii="Gotham" w:hAnsi="Gotham"/>
          <w:smallCaps/>
          <w:sz w:val="19"/>
          <w:szCs w:val="19"/>
        </w:rPr>
        <w:t>Regidor Francisco Javier Reyes Ruiz</w:t>
      </w:r>
    </w:p>
    <w:p w14:paraId="3A476861" w14:textId="77777777" w:rsidR="009B5E39" w:rsidRDefault="009B5E39" w:rsidP="00744127">
      <w:pPr>
        <w:spacing w:line="480" w:lineRule="auto"/>
        <w:rPr>
          <w:rFonts w:ascii="Gotham" w:hAnsi="Gotham"/>
          <w:smallCaps/>
          <w:sz w:val="19"/>
          <w:szCs w:val="19"/>
        </w:rPr>
      </w:pPr>
    </w:p>
    <w:p w14:paraId="3A476862" w14:textId="77777777" w:rsidR="009B5E39" w:rsidRDefault="009B5E39" w:rsidP="00744127">
      <w:pPr>
        <w:spacing w:line="480" w:lineRule="auto"/>
        <w:rPr>
          <w:rFonts w:ascii="Gotham" w:hAnsi="Gotham"/>
          <w:smallCaps/>
          <w:sz w:val="19"/>
          <w:szCs w:val="19"/>
        </w:rPr>
      </w:pPr>
      <w:r>
        <w:rPr>
          <w:rFonts w:ascii="Gotham" w:hAnsi="Gotham"/>
          <w:smallCaps/>
          <w:sz w:val="19"/>
          <w:szCs w:val="19"/>
        </w:rPr>
        <w:t>Regidor Guadalupe Villaseñor Fonseca</w:t>
      </w:r>
    </w:p>
    <w:p w14:paraId="3A476863" w14:textId="77777777" w:rsidR="009B5E39" w:rsidRDefault="009B5E39" w:rsidP="00744127">
      <w:pPr>
        <w:spacing w:line="480" w:lineRule="auto"/>
        <w:rPr>
          <w:rFonts w:ascii="Gotham" w:hAnsi="Gotham"/>
          <w:smallCaps/>
          <w:sz w:val="19"/>
          <w:szCs w:val="19"/>
        </w:rPr>
      </w:pPr>
    </w:p>
    <w:p w14:paraId="3A476864" w14:textId="77777777" w:rsidR="009B5E39" w:rsidRDefault="009B5E39" w:rsidP="00744127">
      <w:pPr>
        <w:spacing w:line="480" w:lineRule="auto"/>
        <w:jc w:val="right"/>
        <w:rPr>
          <w:rFonts w:ascii="Gotham" w:hAnsi="Gotham"/>
          <w:smallCaps/>
          <w:sz w:val="19"/>
          <w:szCs w:val="19"/>
        </w:rPr>
      </w:pPr>
      <w:r>
        <w:rPr>
          <w:rFonts w:ascii="Gotham" w:hAnsi="Gotham"/>
          <w:smallCaps/>
          <w:sz w:val="19"/>
          <w:szCs w:val="19"/>
        </w:rPr>
        <w:t>Regidor José Amado Rodríguez Garza</w:t>
      </w:r>
    </w:p>
    <w:p w14:paraId="3A476865" w14:textId="77777777" w:rsidR="009B5E39" w:rsidRDefault="009B5E39" w:rsidP="00744127">
      <w:pPr>
        <w:spacing w:line="480" w:lineRule="auto"/>
        <w:rPr>
          <w:rFonts w:ascii="Gotham" w:hAnsi="Gotham"/>
          <w:smallCaps/>
          <w:sz w:val="19"/>
          <w:szCs w:val="19"/>
        </w:rPr>
      </w:pPr>
    </w:p>
    <w:p w14:paraId="3A476866" w14:textId="77777777" w:rsidR="009B5E39" w:rsidRDefault="009B5E39" w:rsidP="00744127">
      <w:pPr>
        <w:spacing w:line="480" w:lineRule="auto"/>
        <w:rPr>
          <w:rFonts w:ascii="Gotham" w:hAnsi="Gotham"/>
          <w:smallCaps/>
          <w:sz w:val="19"/>
          <w:szCs w:val="19"/>
        </w:rPr>
      </w:pPr>
      <w:r>
        <w:rPr>
          <w:rFonts w:ascii="Gotham" w:hAnsi="Gotham"/>
          <w:smallCaps/>
          <w:sz w:val="19"/>
          <w:szCs w:val="19"/>
        </w:rPr>
        <w:t>Regidora María Esther Ayala Alba</w:t>
      </w:r>
    </w:p>
    <w:p w14:paraId="3A476867" w14:textId="77777777" w:rsidR="009B5E39" w:rsidRDefault="009B5E39" w:rsidP="00744127">
      <w:pPr>
        <w:spacing w:line="480" w:lineRule="auto"/>
        <w:rPr>
          <w:rFonts w:ascii="Gotham" w:hAnsi="Gotham"/>
          <w:smallCaps/>
          <w:sz w:val="19"/>
          <w:szCs w:val="19"/>
        </w:rPr>
      </w:pPr>
    </w:p>
    <w:p w14:paraId="3A476868" w14:textId="77777777" w:rsidR="009B5E39" w:rsidRDefault="009B5E39" w:rsidP="00744127">
      <w:pPr>
        <w:spacing w:line="480" w:lineRule="auto"/>
        <w:jc w:val="right"/>
        <w:rPr>
          <w:rFonts w:ascii="Gotham" w:hAnsi="Gotham"/>
          <w:smallCaps/>
          <w:sz w:val="19"/>
          <w:szCs w:val="19"/>
        </w:rPr>
      </w:pPr>
      <w:r>
        <w:rPr>
          <w:rFonts w:ascii="Gotham" w:hAnsi="Gotham"/>
          <w:smallCaps/>
          <w:sz w:val="19"/>
          <w:szCs w:val="19"/>
        </w:rPr>
        <w:t>Regidora Ana Priscila González García</w:t>
      </w:r>
    </w:p>
    <w:p w14:paraId="3A476869" w14:textId="77777777" w:rsidR="009B5E39" w:rsidRDefault="009B5E39" w:rsidP="00744127">
      <w:pPr>
        <w:spacing w:line="480" w:lineRule="auto"/>
        <w:rPr>
          <w:rFonts w:ascii="Gotham" w:hAnsi="Gotham"/>
          <w:smallCaps/>
          <w:sz w:val="19"/>
          <w:szCs w:val="19"/>
        </w:rPr>
      </w:pPr>
    </w:p>
    <w:p w14:paraId="3A47686A" w14:textId="77777777" w:rsidR="009B5E39" w:rsidRDefault="009B5E39" w:rsidP="00744127">
      <w:pPr>
        <w:spacing w:line="480" w:lineRule="auto"/>
        <w:rPr>
          <w:rFonts w:ascii="Gotham" w:hAnsi="Gotham"/>
          <w:smallCaps/>
          <w:sz w:val="19"/>
          <w:szCs w:val="19"/>
        </w:rPr>
      </w:pPr>
      <w:r>
        <w:rPr>
          <w:rFonts w:ascii="Gotham" w:hAnsi="Gotham"/>
          <w:smallCaps/>
          <w:sz w:val="19"/>
          <w:szCs w:val="19"/>
        </w:rPr>
        <w:t xml:space="preserve">Regidor </w:t>
      </w:r>
      <w:r w:rsidRPr="009C52DE">
        <w:rPr>
          <w:rFonts w:ascii="Gotham" w:hAnsi="Gotham"/>
          <w:smallCaps/>
          <w:sz w:val="19"/>
          <w:szCs w:val="19"/>
        </w:rPr>
        <w:t>Verónica Isela Murillo Martínez</w:t>
      </w:r>
    </w:p>
    <w:p w14:paraId="3A47686B" w14:textId="77777777" w:rsidR="009B5E39" w:rsidRDefault="009B5E39" w:rsidP="00744127">
      <w:pPr>
        <w:spacing w:line="480" w:lineRule="auto"/>
        <w:rPr>
          <w:rFonts w:ascii="Gotham" w:hAnsi="Gotham"/>
          <w:smallCaps/>
          <w:sz w:val="19"/>
          <w:szCs w:val="19"/>
        </w:rPr>
      </w:pPr>
    </w:p>
    <w:p w14:paraId="3A47686C" w14:textId="77777777" w:rsidR="009B5E39" w:rsidRDefault="009B5E39" w:rsidP="00744127">
      <w:pPr>
        <w:spacing w:line="480" w:lineRule="auto"/>
        <w:jc w:val="right"/>
        <w:rPr>
          <w:rFonts w:ascii="Gotham" w:hAnsi="Gotham"/>
          <w:smallCaps/>
          <w:sz w:val="19"/>
          <w:szCs w:val="19"/>
        </w:rPr>
      </w:pPr>
      <w:r>
        <w:rPr>
          <w:rFonts w:ascii="Gotham" w:hAnsi="Gotham"/>
          <w:smallCaps/>
          <w:sz w:val="19"/>
          <w:szCs w:val="19"/>
        </w:rPr>
        <w:t>Regidor Edgar Oswaldo Bañales Orozco</w:t>
      </w:r>
    </w:p>
    <w:p w14:paraId="3A47686D" w14:textId="77777777" w:rsidR="009B5E39" w:rsidRDefault="009B5E39" w:rsidP="00744127">
      <w:pPr>
        <w:spacing w:line="480" w:lineRule="auto"/>
        <w:rPr>
          <w:rFonts w:ascii="Gotham" w:hAnsi="Gotham"/>
          <w:smallCaps/>
          <w:sz w:val="19"/>
          <w:szCs w:val="19"/>
        </w:rPr>
      </w:pPr>
    </w:p>
    <w:p w14:paraId="3A47686E" w14:textId="77777777" w:rsidR="009B5E39" w:rsidRDefault="009B5E39" w:rsidP="00744127">
      <w:pPr>
        <w:spacing w:line="480" w:lineRule="auto"/>
        <w:rPr>
          <w:rFonts w:ascii="Gotham" w:hAnsi="Gotham"/>
          <w:smallCaps/>
          <w:sz w:val="19"/>
          <w:szCs w:val="19"/>
        </w:rPr>
      </w:pPr>
      <w:r>
        <w:rPr>
          <w:rFonts w:ascii="Gotham" w:hAnsi="Gotham"/>
          <w:smallCaps/>
          <w:sz w:val="19"/>
          <w:szCs w:val="19"/>
        </w:rPr>
        <w:t>Regidora Dulce Yunuen García Venegas</w:t>
      </w:r>
    </w:p>
    <w:p w14:paraId="3A47686F" w14:textId="77777777" w:rsidR="009B5E39" w:rsidRDefault="009B5E39" w:rsidP="00744127">
      <w:pPr>
        <w:spacing w:line="480" w:lineRule="auto"/>
        <w:rPr>
          <w:rFonts w:ascii="Gotham" w:hAnsi="Gotham"/>
          <w:smallCaps/>
          <w:sz w:val="19"/>
          <w:szCs w:val="19"/>
        </w:rPr>
      </w:pPr>
    </w:p>
    <w:p w14:paraId="3A476870" w14:textId="77777777" w:rsidR="009B5E39" w:rsidRDefault="009B5E39" w:rsidP="00744127">
      <w:pPr>
        <w:spacing w:line="480" w:lineRule="auto"/>
        <w:jc w:val="right"/>
        <w:rPr>
          <w:rFonts w:ascii="Gotham" w:hAnsi="Gotham"/>
          <w:smallCaps/>
          <w:sz w:val="19"/>
          <w:szCs w:val="19"/>
        </w:rPr>
      </w:pPr>
      <w:r>
        <w:rPr>
          <w:rFonts w:ascii="Gotham" w:hAnsi="Gotham"/>
          <w:smallCaps/>
          <w:sz w:val="19"/>
          <w:szCs w:val="19"/>
        </w:rPr>
        <w:t>Regidora Rocío Acosta Cervantes</w:t>
      </w:r>
    </w:p>
    <w:p w14:paraId="3A476871" w14:textId="77777777" w:rsidR="009B5E39" w:rsidRDefault="009B5E39" w:rsidP="00744127">
      <w:pPr>
        <w:spacing w:line="480" w:lineRule="auto"/>
        <w:rPr>
          <w:rFonts w:ascii="Gotham" w:hAnsi="Gotham"/>
          <w:smallCaps/>
          <w:sz w:val="19"/>
          <w:szCs w:val="19"/>
        </w:rPr>
      </w:pPr>
    </w:p>
    <w:p w14:paraId="3A476872" w14:textId="77777777" w:rsidR="009B5E39" w:rsidRDefault="009B5E39" w:rsidP="00744127">
      <w:pPr>
        <w:spacing w:line="480" w:lineRule="auto"/>
        <w:rPr>
          <w:rFonts w:ascii="Gotham" w:hAnsi="Gotham"/>
          <w:smallCaps/>
          <w:sz w:val="19"/>
          <w:szCs w:val="19"/>
        </w:rPr>
      </w:pPr>
      <w:r>
        <w:rPr>
          <w:rFonts w:ascii="Gotham" w:hAnsi="Gotham"/>
          <w:smallCaps/>
          <w:sz w:val="19"/>
          <w:szCs w:val="19"/>
        </w:rPr>
        <w:t>Regidor Juan Carlos Villarreal Salazar</w:t>
      </w:r>
    </w:p>
    <w:p w14:paraId="3A476873" w14:textId="77777777" w:rsidR="009B5E39" w:rsidRDefault="009B5E39" w:rsidP="00744127">
      <w:pPr>
        <w:spacing w:line="480" w:lineRule="auto"/>
        <w:rPr>
          <w:rFonts w:ascii="Gotham" w:hAnsi="Gotham"/>
          <w:smallCaps/>
          <w:sz w:val="19"/>
          <w:szCs w:val="19"/>
        </w:rPr>
      </w:pPr>
    </w:p>
    <w:p w14:paraId="3A476874" w14:textId="77777777" w:rsidR="009B5E39" w:rsidRDefault="009B5E39" w:rsidP="00744127">
      <w:pPr>
        <w:spacing w:line="480" w:lineRule="auto"/>
        <w:jc w:val="right"/>
        <w:rPr>
          <w:rFonts w:ascii="Gotham" w:hAnsi="Gotham"/>
          <w:smallCaps/>
          <w:sz w:val="19"/>
          <w:szCs w:val="19"/>
        </w:rPr>
      </w:pPr>
      <w:r>
        <w:rPr>
          <w:rFonts w:ascii="Gotham" w:hAnsi="Gotham"/>
          <w:smallCaps/>
          <w:sz w:val="19"/>
          <w:szCs w:val="19"/>
        </w:rPr>
        <w:t>Regidor Manuel Nájera Martínez</w:t>
      </w:r>
    </w:p>
    <w:p w14:paraId="3A476875" w14:textId="77777777" w:rsidR="009B5E39" w:rsidRDefault="009B5E39" w:rsidP="009B5E39">
      <w:pPr>
        <w:rPr>
          <w:rFonts w:ascii="Gotham" w:hAnsi="Gotham"/>
          <w:smallCaps/>
          <w:color w:val="0070C0"/>
          <w:sz w:val="18"/>
          <w:szCs w:val="18"/>
        </w:rPr>
      </w:pPr>
    </w:p>
    <w:p w14:paraId="3A476876" w14:textId="77777777" w:rsidR="009B5E39" w:rsidRDefault="009B5E39" w:rsidP="009B5E39">
      <w:pPr>
        <w:rPr>
          <w:rFonts w:ascii="Gotham" w:hAnsi="Gotham"/>
          <w:smallCaps/>
          <w:sz w:val="18"/>
          <w:szCs w:val="18"/>
        </w:rPr>
      </w:pPr>
    </w:p>
    <w:p w14:paraId="3A476877" w14:textId="77777777" w:rsidR="009B5E39" w:rsidRDefault="009B5E39" w:rsidP="009B5E39">
      <w:pPr>
        <w:rPr>
          <w:rFonts w:ascii="Gotham" w:hAnsi="Gotham"/>
          <w:smallCaps/>
          <w:sz w:val="18"/>
          <w:szCs w:val="18"/>
        </w:rPr>
      </w:pPr>
    </w:p>
    <w:p w14:paraId="3A476878" w14:textId="77777777" w:rsidR="009B5E39" w:rsidRDefault="009B5E39" w:rsidP="009B5E39">
      <w:pPr>
        <w:jc w:val="center"/>
        <w:rPr>
          <w:rFonts w:ascii="Gotham" w:hAnsi="Gotham"/>
          <w:smallCaps/>
          <w:sz w:val="18"/>
          <w:szCs w:val="18"/>
        </w:rPr>
      </w:pPr>
      <w:r>
        <w:rPr>
          <w:rFonts w:ascii="Gotham" w:hAnsi="Gotham"/>
          <w:smallCaps/>
          <w:sz w:val="18"/>
          <w:szCs w:val="18"/>
        </w:rPr>
        <w:t>Mtra. Celia Isabel Gauna Ruíz de León</w:t>
      </w:r>
    </w:p>
    <w:p w14:paraId="3A476879" w14:textId="77777777" w:rsidR="009B5E39" w:rsidRDefault="009B5E39" w:rsidP="009B5E39">
      <w:pPr>
        <w:jc w:val="center"/>
        <w:rPr>
          <w:rFonts w:ascii="Gotham" w:hAnsi="Gotham"/>
          <w:smallCaps/>
          <w:sz w:val="18"/>
          <w:szCs w:val="18"/>
        </w:rPr>
      </w:pPr>
      <w:r>
        <w:rPr>
          <w:rFonts w:ascii="Gotham" w:hAnsi="Gotham"/>
          <w:smallCaps/>
          <w:sz w:val="18"/>
          <w:szCs w:val="18"/>
        </w:rPr>
        <w:t>Secretaria General</w:t>
      </w:r>
    </w:p>
    <w:p w14:paraId="3A47687A" w14:textId="77777777" w:rsidR="009B5E39" w:rsidRDefault="009B5E39" w:rsidP="009B5E39">
      <w:pPr>
        <w:rPr>
          <w:rFonts w:ascii="Gotham" w:hAnsi="Gotham"/>
          <w:smallCaps/>
          <w:color w:val="0070C0"/>
          <w:sz w:val="16"/>
          <w:szCs w:val="16"/>
        </w:rPr>
      </w:pPr>
    </w:p>
    <w:p w14:paraId="3A47687B" w14:textId="77777777" w:rsidR="009B5E39" w:rsidRDefault="009B5E39" w:rsidP="009B5E39">
      <w:pPr>
        <w:rPr>
          <w:rFonts w:ascii="Gotham" w:hAnsi="Gotham"/>
          <w:smallCaps/>
          <w:color w:val="0070C0"/>
          <w:sz w:val="16"/>
          <w:szCs w:val="16"/>
        </w:rPr>
      </w:pPr>
    </w:p>
    <w:p w14:paraId="3A47687C" w14:textId="77777777" w:rsidR="009B5E39" w:rsidRDefault="009B5E39" w:rsidP="009B5E39">
      <w:pPr>
        <w:jc w:val="both"/>
        <w:rPr>
          <w:rFonts w:ascii="Gotham" w:hAnsi="Gotham"/>
          <w:smallCaps/>
          <w:color w:val="0070C0"/>
          <w:sz w:val="16"/>
          <w:szCs w:val="16"/>
        </w:rPr>
      </w:pPr>
    </w:p>
    <w:p w14:paraId="3A47687D" w14:textId="7BE3F2A5" w:rsidR="009B5E39" w:rsidRPr="00016FE1" w:rsidRDefault="009B5E39" w:rsidP="009B5E39">
      <w:pPr>
        <w:pStyle w:val="Piedepgina"/>
        <w:tabs>
          <w:tab w:val="left" w:pos="708"/>
        </w:tabs>
        <w:jc w:val="both"/>
        <w:rPr>
          <w:rFonts w:ascii="Gotham" w:hAnsi="Gotham"/>
          <w:sz w:val="20"/>
          <w:szCs w:val="20"/>
        </w:rPr>
      </w:pPr>
      <w:r>
        <w:rPr>
          <w:rFonts w:ascii="Gotham" w:hAnsi="Gotham"/>
          <w:i/>
          <w:sz w:val="14"/>
          <w:szCs w:val="14"/>
        </w:rPr>
        <w:t xml:space="preserve">La presente hoja de firmas forma parte integrante del Acta de la Sesión Ordinaria de Ayuntamiento celebrada el día 24 de julio del 2024, en el Salón de Sesiones “Tonaltecas Ilustres” del Palacio Municipal de Tonalá, Jalisco; la cual consta de </w:t>
      </w:r>
      <w:r w:rsidR="001A7715">
        <w:rPr>
          <w:rFonts w:ascii="Gotham" w:hAnsi="Gotham"/>
          <w:i/>
          <w:sz w:val="14"/>
          <w:szCs w:val="14"/>
        </w:rPr>
        <w:t>495</w:t>
      </w:r>
      <w:r w:rsidRPr="00744127">
        <w:rPr>
          <w:rFonts w:ascii="Gotham" w:hAnsi="Gotham"/>
          <w:i/>
          <w:sz w:val="14"/>
          <w:szCs w:val="14"/>
        </w:rPr>
        <w:t xml:space="preserve"> (</w:t>
      </w:r>
      <w:r w:rsidR="001A7715">
        <w:rPr>
          <w:rFonts w:ascii="Gotham" w:hAnsi="Gotham"/>
          <w:i/>
          <w:sz w:val="14"/>
          <w:szCs w:val="14"/>
        </w:rPr>
        <w:t>cuatrocientos noventa y cinco</w:t>
      </w:r>
      <w:r>
        <w:rPr>
          <w:rFonts w:ascii="Gotham" w:hAnsi="Gotham"/>
          <w:i/>
          <w:sz w:val="14"/>
          <w:szCs w:val="14"/>
        </w:rPr>
        <w:t>) hojas con leyenda por uno solo de sus lados. Administración Pública Municipal Tonalá, Jalisco, 2021-2024.------------------------------------------------------------</w:t>
      </w:r>
      <w:bookmarkStart w:id="79" w:name="_GoBack"/>
      <w:bookmarkEnd w:id="79"/>
    </w:p>
    <w:sectPr w:rsidR="009B5E39" w:rsidRPr="00016FE1" w:rsidSect="008A6466">
      <w:headerReference w:type="default" r:id="rId31"/>
      <w:footerReference w:type="default" r:id="rId32"/>
      <w:pgSz w:w="12240" w:h="15840" w:code="1"/>
      <w:pgMar w:top="3062" w:right="1134" w:bottom="1531"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F3FEC" w14:textId="77777777" w:rsidR="00FD6743" w:rsidRDefault="00FD6743" w:rsidP="00016FE1">
      <w:r>
        <w:separator/>
      </w:r>
    </w:p>
  </w:endnote>
  <w:endnote w:type="continuationSeparator" w:id="0">
    <w:p w14:paraId="0D4FA754" w14:textId="77777777" w:rsidR="00FD6743" w:rsidRDefault="00FD6743" w:rsidP="00016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w:panose1 w:val="02000604040000020004"/>
    <w:charset w:val="00"/>
    <w:family w:val="auto"/>
    <w:pitch w:val="variable"/>
    <w:sig w:usb0="00000083" w:usb1="00000000" w:usb2="00000000" w:usb3="00000000" w:csb0="00000009" w:csb1="00000000"/>
  </w:font>
  <w:font w:name="Montserrat Medium">
    <w:altName w:val="Courier New"/>
    <w:charset w:val="4D"/>
    <w:family w:val="auto"/>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ouvenir Lt BT">
    <w:altName w:val="Times New Roman"/>
    <w:panose1 w:val="00000000000000000000"/>
    <w:charset w:val="00"/>
    <w:family w:val="roman"/>
    <w:notTrueType/>
    <w:pitch w:val="default"/>
  </w:font>
  <w:font w:name="Albertus Extra Bold">
    <w:panose1 w:val="020E08020403040202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DejaVu Sans">
    <w:charset w:val="00"/>
    <w:family w:val="swiss"/>
    <w:pitch w:val="variable"/>
    <w:sig w:usb0="E7000EFF" w:usb1="5200FDFF" w:usb2="0A042021" w:usb3="00000000" w:csb0="000001BF"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Next">
    <w:altName w:val="Avenir Next"/>
    <w:charset w:val="00"/>
    <w:family w:val="swiss"/>
    <w:pitch w:val="variable"/>
    <w:sig w:usb0="8000002F" w:usb1="5000204A" w:usb2="00000000" w:usb3="00000000" w:csb0="0000009B" w:csb1="00000000"/>
  </w:font>
  <w:font w:name="Gill Sans MT Pro Boo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ヒラギノ角ゴ Pro W3">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Gotham Black">
    <w:panose1 w:val="00000000000000000000"/>
    <w:charset w:val="00"/>
    <w:family w:val="modern"/>
    <w:notTrueType/>
    <w:pitch w:val="variable"/>
    <w:sig w:usb0="A00000AF" w:usb1="50000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Montserrat">
    <w:altName w:val="Courier New"/>
    <w:charset w:val="4D"/>
    <w:family w:val="auto"/>
    <w:pitch w:val="variable"/>
    <w:sig w:usb0="00000001" w:usb1="00000003" w:usb2="00000000" w:usb3="00000000" w:csb0="00000197" w:csb1="00000000"/>
  </w:font>
  <w:font w:name="Century">
    <w:panose1 w:val="02040604050505020304"/>
    <w:charset w:val="00"/>
    <w:family w:val="roman"/>
    <w:pitch w:val="variable"/>
    <w:sig w:usb0="00000287" w:usb1="00000000"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ndara">
    <w:panose1 w:val="020E0502030303020204"/>
    <w:charset w:val="00"/>
    <w:family w:val="swiss"/>
    <w:pitch w:val="variable"/>
    <w:sig w:usb0="A00002EF" w:usb1="4000A44B" w:usb2="00000000" w:usb3="00000000" w:csb0="0000019F" w:csb1="00000000"/>
  </w:font>
  <w:font w:name="ITC Bookman Light">
    <w:panose1 w:val="020506040505050202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650307"/>
      <w:docPartObj>
        <w:docPartGallery w:val="Page Numbers (Bottom of Page)"/>
        <w:docPartUnique/>
      </w:docPartObj>
    </w:sdtPr>
    <w:sdtEndPr/>
    <w:sdtContent>
      <w:p w14:paraId="3A4768B2" w14:textId="77777777" w:rsidR="00190E4A" w:rsidRDefault="00190E4A">
        <w:pPr>
          <w:pStyle w:val="Piedepgina"/>
          <w:jc w:val="right"/>
        </w:pPr>
        <w:r w:rsidRPr="00F11CCD">
          <w:rPr>
            <w:rFonts w:ascii="Gotham" w:hAnsi="Gotham"/>
            <w:sz w:val="16"/>
            <w:szCs w:val="16"/>
          </w:rPr>
          <w:fldChar w:fldCharType="begin"/>
        </w:r>
        <w:r w:rsidRPr="00F11CCD">
          <w:rPr>
            <w:rFonts w:ascii="Gotham" w:hAnsi="Gotham"/>
            <w:sz w:val="16"/>
            <w:szCs w:val="16"/>
          </w:rPr>
          <w:instrText>PAGE   \* MERGEFORMAT</w:instrText>
        </w:r>
        <w:r w:rsidRPr="00F11CCD">
          <w:rPr>
            <w:rFonts w:ascii="Gotham" w:hAnsi="Gotham"/>
            <w:sz w:val="16"/>
            <w:szCs w:val="16"/>
          </w:rPr>
          <w:fldChar w:fldCharType="separate"/>
        </w:r>
        <w:r w:rsidR="00CE1528">
          <w:rPr>
            <w:rFonts w:ascii="Gotham" w:hAnsi="Gotham"/>
            <w:noProof/>
            <w:sz w:val="16"/>
            <w:szCs w:val="16"/>
          </w:rPr>
          <w:t>494</w:t>
        </w:r>
        <w:r w:rsidRPr="00F11CCD">
          <w:rPr>
            <w:rFonts w:ascii="Gotham" w:hAnsi="Gotham"/>
            <w:sz w:val="16"/>
            <w:szCs w:val="16"/>
          </w:rPr>
          <w:fldChar w:fldCharType="end"/>
        </w:r>
      </w:p>
    </w:sdtContent>
  </w:sdt>
  <w:p w14:paraId="3A4768B3" w14:textId="77777777" w:rsidR="00190E4A" w:rsidRDefault="00190E4A" w:rsidP="00AD51C5">
    <w:pPr>
      <w:pStyle w:val="Piedepgina"/>
      <w:tabs>
        <w:tab w:val="clear" w:pos="4419"/>
        <w:tab w:val="clear" w:pos="8838"/>
      </w:tabs>
      <w:jc w:val="center"/>
    </w:pPr>
  </w:p>
  <w:p w14:paraId="3A4768B4" w14:textId="77777777" w:rsidR="00190E4A" w:rsidRDefault="00190E4A"/>
  <w:p w14:paraId="3A4768B5" w14:textId="77777777" w:rsidR="00190E4A" w:rsidRDefault="00190E4A"/>
  <w:p w14:paraId="3A4768B6" w14:textId="77777777" w:rsidR="00190E4A" w:rsidRDefault="00190E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297D8" w14:textId="77777777" w:rsidR="00FD6743" w:rsidRDefault="00FD6743" w:rsidP="00016FE1">
      <w:r>
        <w:separator/>
      </w:r>
    </w:p>
  </w:footnote>
  <w:footnote w:type="continuationSeparator" w:id="0">
    <w:p w14:paraId="69435DA7" w14:textId="77777777" w:rsidR="00FD6743" w:rsidRDefault="00FD6743" w:rsidP="00016FE1">
      <w:r>
        <w:continuationSeparator/>
      </w:r>
    </w:p>
  </w:footnote>
  <w:footnote w:id="1">
    <w:p w14:paraId="3A4768B8" w14:textId="77777777" w:rsidR="00190E4A" w:rsidRPr="008A758C" w:rsidRDefault="00190E4A" w:rsidP="00016FE1">
      <w:pPr>
        <w:pStyle w:val="Default"/>
        <w:rPr>
          <w:rFonts w:ascii="Albertus Medium" w:hAnsi="Albertus Medium" w:cs="Century"/>
          <w:color w:val="auto"/>
          <w:sz w:val="14"/>
          <w:szCs w:val="14"/>
        </w:rPr>
      </w:pPr>
      <w:r w:rsidRPr="008A758C">
        <w:rPr>
          <w:rStyle w:val="Refdenotaalpie"/>
          <w:rFonts w:ascii="Albertus Medium" w:hAnsi="Albertus Medium"/>
          <w:color w:val="auto"/>
          <w:sz w:val="14"/>
          <w:szCs w:val="14"/>
        </w:rPr>
        <w:footnoteRef/>
      </w:r>
      <w:r w:rsidRPr="008A758C">
        <w:rPr>
          <w:rFonts w:ascii="Albertus Medium" w:hAnsi="Albertus Medium"/>
          <w:color w:val="auto"/>
          <w:sz w:val="14"/>
          <w:szCs w:val="14"/>
        </w:rPr>
        <w:t xml:space="preserve"> </w:t>
      </w:r>
      <w:r w:rsidRPr="008A758C">
        <w:rPr>
          <w:rFonts w:ascii="Albertus Medium" w:hAnsi="Albertus Medium" w:cs="Candara"/>
          <w:color w:val="auto"/>
          <w:sz w:val="14"/>
          <w:szCs w:val="14"/>
        </w:rPr>
        <w:t xml:space="preserve"> Secretaría de Salud, Gobierno Federal. (2018, Marzo 21). Guía de Acciones Municipales de Promoción de la Salud para la Prevención y Control del Dengue. Revisado el 8 de junio, 2023, encontrado en: http://www.invedem.gob.mx/wp-content/uploads/sites/26/2018/03/21GuiaAccionesMunicipales-2014.pdf  </w:t>
      </w:r>
    </w:p>
  </w:footnote>
  <w:footnote w:id="2">
    <w:p w14:paraId="3A4768B9" w14:textId="77777777" w:rsidR="00190E4A" w:rsidRPr="008A758C" w:rsidRDefault="00190E4A" w:rsidP="00016FE1">
      <w:pPr>
        <w:pStyle w:val="Default"/>
        <w:rPr>
          <w:rFonts w:ascii="Albertus Medium" w:hAnsi="Albertus Medium"/>
          <w:color w:val="auto"/>
          <w:sz w:val="14"/>
          <w:szCs w:val="14"/>
        </w:rPr>
      </w:pPr>
      <w:r w:rsidRPr="008A758C">
        <w:rPr>
          <w:rStyle w:val="Refdenotaalpie"/>
          <w:rFonts w:ascii="Albertus Medium" w:hAnsi="Albertus Medium"/>
          <w:color w:val="auto"/>
          <w:sz w:val="14"/>
          <w:szCs w:val="14"/>
        </w:rPr>
        <w:footnoteRef/>
      </w:r>
      <w:r w:rsidRPr="008A758C">
        <w:rPr>
          <w:rFonts w:ascii="Albertus Medium" w:hAnsi="Albertus Medium"/>
          <w:color w:val="auto"/>
          <w:sz w:val="14"/>
          <w:szCs w:val="14"/>
        </w:rPr>
        <w:t xml:space="preserve"> </w:t>
      </w:r>
      <w:r w:rsidRPr="008A758C">
        <w:rPr>
          <w:rFonts w:ascii="Albertus Medium" w:hAnsi="Albertus Medium" w:cs="Candara"/>
          <w:color w:val="auto"/>
          <w:sz w:val="14"/>
          <w:szCs w:val="14"/>
        </w:rPr>
        <w:t xml:space="preserve">Secretaría de Salud, Gobierno Federal. (2018, Marzo 21). Guía de Acciones Municipales de Promoción de la Salud para la Prevención y Control del Dengue. Revisado el 8 de junio, 2023, encontrado en: http://www.invedem.gob.mx/wp-content/uploads/sites/26/2018/03/21GuiaAccionesMunicipales-2014.pdf  </w:t>
      </w:r>
    </w:p>
  </w:footnote>
  <w:footnote w:id="3">
    <w:p w14:paraId="3A4768BA" w14:textId="77777777" w:rsidR="00190E4A" w:rsidRPr="008A758C" w:rsidRDefault="00190E4A" w:rsidP="00016FE1">
      <w:pPr>
        <w:pStyle w:val="Default"/>
        <w:rPr>
          <w:rFonts w:ascii="Albertus Medium" w:hAnsi="Albertus Medium"/>
          <w:color w:val="auto"/>
          <w:sz w:val="14"/>
          <w:szCs w:val="14"/>
        </w:rPr>
      </w:pPr>
      <w:r w:rsidRPr="008A758C">
        <w:rPr>
          <w:rStyle w:val="Refdenotaalpie"/>
          <w:rFonts w:ascii="Albertus Medium" w:hAnsi="Albertus Medium"/>
          <w:color w:val="auto"/>
          <w:sz w:val="14"/>
          <w:szCs w:val="14"/>
        </w:rPr>
        <w:footnoteRef/>
      </w:r>
      <w:r w:rsidRPr="008A758C">
        <w:rPr>
          <w:rFonts w:ascii="Albertus Medium" w:hAnsi="Albertus Medium"/>
          <w:color w:val="auto"/>
          <w:sz w:val="14"/>
          <w:szCs w:val="14"/>
        </w:rPr>
        <w:t xml:space="preserve"> </w:t>
      </w:r>
      <w:r w:rsidRPr="008A758C">
        <w:rPr>
          <w:rFonts w:ascii="Albertus Medium" w:hAnsi="Albertus Medium" w:cs="Candara"/>
          <w:color w:val="auto"/>
          <w:sz w:val="14"/>
          <w:szCs w:val="14"/>
        </w:rPr>
        <w:t xml:space="preserve"> Secretaría de Salud, Gobierno Federal. (2018, Marzo 21). Guía de Acciones Municipales de Promoción de la Salud para la Prevención y Control del Dengue. Revisado el 8 de junio, 2023, encontrado en: http://www.invedem.gob.mx/wp-content/uploads/sites/26/2018/03/21GuiaAccionesMunicipales-2014.pdf  </w:t>
      </w:r>
    </w:p>
  </w:footnote>
  <w:footnote w:id="4">
    <w:p w14:paraId="3A4768BB" w14:textId="77777777" w:rsidR="00190E4A" w:rsidRPr="008A758C" w:rsidRDefault="00190E4A" w:rsidP="00016FE1">
      <w:pPr>
        <w:pStyle w:val="Textonotapie"/>
        <w:rPr>
          <w:rFonts w:ascii="Albertus Medium" w:hAnsi="Albertus Medium"/>
          <w:sz w:val="14"/>
          <w:szCs w:val="14"/>
        </w:rPr>
      </w:pPr>
      <w:r w:rsidRPr="008A758C">
        <w:rPr>
          <w:rStyle w:val="Refdenotaalpie"/>
          <w:rFonts w:ascii="Albertus Medium" w:hAnsi="Albertus Medium"/>
          <w:sz w:val="14"/>
          <w:szCs w:val="14"/>
        </w:rPr>
        <w:footnoteRef/>
      </w:r>
      <w:r w:rsidRPr="008A758C">
        <w:rPr>
          <w:rFonts w:ascii="Albertus Medium" w:hAnsi="Albertus Medium"/>
          <w:sz w:val="14"/>
          <w:szCs w:val="14"/>
        </w:rPr>
        <w:t xml:space="preserve"> Secretaría de Salud, Gobierno Federal. (2018, Marzo 21). Guía de Acciones Municipales de Promoción de la Salud para la Prevención y Control del Dengue. Revisado el 8 de junio, 2023, encontrado en: http://www.invedem.gob.mx/wp-content/uploads/sites/26/2018/03/21GuiaAccionesMunicipales-2014.pdf  </w:t>
      </w:r>
    </w:p>
  </w:footnote>
  <w:footnote w:id="5">
    <w:p w14:paraId="3A4768BC" w14:textId="77777777" w:rsidR="00190E4A" w:rsidRPr="00A8064C" w:rsidRDefault="00190E4A" w:rsidP="00016FE1">
      <w:pPr>
        <w:pStyle w:val="Textonotapie"/>
        <w:rPr>
          <w:lang w:val="es-MX"/>
        </w:rPr>
      </w:pPr>
      <w:r>
        <w:rPr>
          <w:rStyle w:val="Refdenotaalpie"/>
        </w:rPr>
        <w:footnoteRef/>
      </w:r>
      <w:r>
        <w:t xml:space="preserve"> </w:t>
      </w:r>
      <w:hyperlink r:id="rId1" w:history="1">
        <w:r w:rsidRPr="00A8064C">
          <w:rPr>
            <w:rFonts w:ascii="Albertus Medium" w:hAnsi="Albertus Medium" w:cs="Arial"/>
            <w:iCs/>
            <w:sz w:val="14"/>
            <w:szCs w:val="14"/>
          </w:rPr>
          <w:t>http://www.conapred.org.mx/documentos_cedoc/Glosario_TDSyG_WEB.pdf</w:t>
        </w:r>
      </w:hyperlink>
    </w:p>
  </w:footnote>
  <w:footnote w:id="6">
    <w:p w14:paraId="3A4768BD" w14:textId="77777777" w:rsidR="00190E4A" w:rsidRPr="00A8064C" w:rsidRDefault="00190E4A" w:rsidP="00016FE1">
      <w:pPr>
        <w:pStyle w:val="Textonotapie"/>
        <w:rPr>
          <w:rFonts w:ascii="Albertus Medium" w:hAnsi="Albertus Medium"/>
          <w:sz w:val="14"/>
          <w:szCs w:val="14"/>
          <w:lang w:val="es-MX"/>
        </w:rPr>
      </w:pPr>
      <w:r w:rsidRPr="00A8064C">
        <w:rPr>
          <w:rStyle w:val="Refdenotaalpie"/>
          <w:rFonts w:ascii="Albertus Medium" w:hAnsi="Albertus Medium"/>
          <w:sz w:val="14"/>
          <w:szCs w:val="14"/>
        </w:rPr>
        <w:footnoteRef/>
      </w:r>
      <w:r w:rsidRPr="00A8064C">
        <w:rPr>
          <w:rFonts w:ascii="Albertus Medium" w:hAnsi="Albertus Medium"/>
          <w:sz w:val="14"/>
          <w:szCs w:val="14"/>
        </w:rPr>
        <w:t xml:space="preserve"> </w:t>
      </w:r>
      <w:r w:rsidRPr="00A8064C">
        <w:rPr>
          <w:rFonts w:ascii="Albertus Medium" w:hAnsi="Albertus Medium"/>
          <w:i/>
          <w:sz w:val="14"/>
          <w:szCs w:val="14"/>
          <w:shd w:val="clear" w:color="auto" w:fill="FFFFFF"/>
        </w:rPr>
        <w:t>Guía</w:t>
      </w:r>
      <w:r w:rsidRPr="00A8064C">
        <w:rPr>
          <w:rFonts w:ascii="Albertus Medium" w:hAnsi="Albertus Medium"/>
          <w:i/>
          <w:spacing w:val="-4"/>
          <w:sz w:val="14"/>
          <w:szCs w:val="14"/>
          <w:shd w:val="clear" w:color="auto" w:fill="FFFFFF"/>
        </w:rPr>
        <w:t xml:space="preserve"> </w:t>
      </w:r>
      <w:r w:rsidRPr="00A8064C">
        <w:rPr>
          <w:rFonts w:ascii="Albertus Medium" w:hAnsi="Albertus Medium"/>
          <w:i/>
          <w:sz w:val="14"/>
          <w:szCs w:val="14"/>
          <w:shd w:val="clear" w:color="auto" w:fill="FFFFFF"/>
        </w:rPr>
        <w:t>para</w:t>
      </w:r>
      <w:r w:rsidRPr="00A8064C">
        <w:rPr>
          <w:rFonts w:ascii="Albertus Medium" w:hAnsi="Albertus Medium"/>
          <w:i/>
          <w:spacing w:val="-3"/>
          <w:sz w:val="14"/>
          <w:szCs w:val="14"/>
          <w:shd w:val="clear" w:color="auto" w:fill="FFFFFF"/>
        </w:rPr>
        <w:t xml:space="preserve"> </w:t>
      </w:r>
      <w:r w:rsidRPr="00A8064C">
        <w:rPr>
          <w:rFonts w:ascii="Albertus Medium" w:hAnsi="Albertus Medium"/>
          <w:i/>
          <w:sz w:val="14"/>
          <w:szCs w:val="14"/>
          <w:shd w:val="clear" w:color="auto" w:fill="FFFFFF"/>
        </w:rPr>
        <w:t>la</w:t>
      </w:r>
      <w:r w:rsidRPr="00A8064C">
        <w:rPr>
          <w:rFonts w:ascii="Albertus Medium" w:hAnsi="Albertus Medium"/>
          <w:i/>
          <w:spacing w:val="-4"/>
          <w:sz w:val="14"/>
          <w:szCs w:val="14"/>
          <w:shd w:val="clear" w:color="auto" w:fill="FFFFFF"/>
        </w:rPr>
        <w:t xml:space="preserve"> </w:t>
      </w:r>
      <w:r w:rsidRPr="00A8064C">
        <w:rPr>
          <w:rFonts w:ascii="Albertus Medium" w:hAnsi="Albertus Medium"/>
          <w:i/>
          <w:sz w:val="14"/>
          <w:szCs w:val="14"/>
          <w:shd w:val="clear" w:color="auto" w:fill="FFFFFF"/>
        </w:rPr>
        <w:t>acción</w:t>
      </w:r>
      <w:r w:rsidRPr="00A8064C">
        <w:rPr>
          <w:rFonts w:ascii="Albertus Medium" w:hAnsi="Albertus Medium"/>
          <w:i/>
          <w:spacing w:val="-4"/>
          <w:sz w:val="14"/>
          <w:szCs w:val="14"/>
          <w:shd w:val="clear" w:color="auto" w:fill="FFFFFF"/>
        </w:rPr>
        <w:t xml:space="preserve"> </w:t>
      </w:r>
      <w:r w:rsidRPr="00A8064C">
        <w:rPr>
          <w:rFonts w:ascii="Albertus Medium" w:hAnsi="Albertus Medium"/>
          <w:i/>
          <w:sz w:val="14"/>
          <w:szCs w:val="14"/>
          <w:shd w:val="clear" w:color="auto" w:fill="FFFFFF"/>
        </w:rPr>
        <w:t>pública</w:t>
      </w:r>
      <w:r w:rsidRPr="00A8064C">
        <w:rPr>
          <w:rFonts w:ascii="Albertus Medium" w:hAnsi="Albertus Medium"/>
          <w:i/>
          <w:spacing w:val="-4"/>
          <w:sz w:val="14"/>
          <w:szCs w:val="14"/>
          <w:shd w:val="clear" w:color="auto" w:fill="FFFFFF"/>
        </w:rPr>
        <w:t xml:space="preserve"> </w:t>
      </w:r>
      <w:r w:rsidRPr="00A8064C">
        <w:rPr>
          <w:rFonts w:ascii="Albertus Medium" w:hAnsi="Albertus Medium"/>
          <w:i/>
          <w:sz w:val="14"/>
          <w:szCs w:val="14"/>
          <w:shd w:val="clear" w:color="auto" w:fill="FFFFFF"/>
        </w:rPr>
        <w:t>contra</w:t>
      </w:r>
      <w:r w:rsidRPr="00A8064C">
        <w:rPr>
          <w:rFonts w:ascii="Albertus Medium" w:hAnsi="Albertus Medium"/>
          <w:i/>
          <w:spacing w:val="-3"/>
          <w:sz w:val="14"/>
          <w:szCs w:val="14"/>
          <w:shd w:val="clear" w:color="auto" w:fill="FFFFFF"/>
        </w:rPr>
        <w:t xml:space="preserve"> </w:t>
      </w:r>
      <w:r w:rsidRPr="00A8064C">
        <w:rPr>
          <w:rFonts w:ascii="Albertus Medium" w:hAnsi="Albertus Medium"/>
          <w:i/>
          <w:sz w:val="14"/>
          <w:szCs w:val="14"/>
          <w:shd w:val="clear" w:color="auto" w:fill="FFFFFF"/>
        </w:rPr>
        <w:t>la</w:t>
      </w:r>
      <w:r w:rsidRPr="00A8064C">
        <w:rPr>
          <w:rFonts w:ascii="Albertus Medium" w:hAnsi="Albertus Medium"/>
          <w:i/>
          <w:spacing w:val="-4"/>
          <w:sz w:val="14"/>
          <w:szCs w:val="14"/>
          <w:shd w:val="clear" w:color="auto" w:fill="FFFFFF"/>
        </w:rPr>
        <w:t xml:space="preserve"> </w:t>
      </w:r>
      <w:r w:rsidRPr="00A8064C">
        <w:rPr>
          <w:rFonts w:ascii="Albertus Medium" w:hAnsi="Albertus Medium"/>
          <w:i/>
          <w:sz w:val="14"/>
          <w:szCs w:val="14"/>
          <w:shd w:val="clear" w:color="auto" w:fill="FFFFFF"/>
        </w:rPr>
        <w:t>homofobia.</w:t>
      </w:r>
      <w:r w:rsidRPr="00A8064C">
        <w:rPr>
          <w:rFonts w:ascii="Albertus Medium" w:hAnsi="Albertus Medium"/>
          <w:i/>
          <w:spacing w:val="-5"/>
          <w:sz w:val="14"/>
          <w:szCs w:val="14"/>
          <w:shd w:val="clear" w:color="auto" w:fill="FFFFFF"/>
        </w:rPr>
        <w:t xml:space="preserve"> </w:t>
      </w:r>
      <w:r w:rsidRPr="00A8064C">
        <w:rPr>
          <w:rFonts w:ascii="Albertus Medium" w:hAnsi="Albertus Medium"/>
          <w:i/>
          <w:sz w:val="14"/>
          <w:szCs w:val="14"/>
          <w:shd w:val="clear" w:color="auto" w:fill="FFFFFF"/>
        </w:rPr>
        <w:t>México,</w:t>
      </w:r>
      <w:r w:rsidRPr="00A8064C">
        <w:rPr>
          <w:rFonts w:ascii="Albertus Medium" w:hAnsi="Albertus Medium"/>
          <w:i/>
          <w:spacing w:val="-4"/>
          <w:sz w:val="14"/>
          <w:szCs w:val="14"/>
          <w:shd w:val="clear" w:color="auto" w:fill="FFFFFF"/>
        </w:rPr>
        <w:t xml:space="preserve"> </w:t>
      </w:r>
      <w:r w:rsidRPr="00A8064C">
        <w:rPr>
          <w:rFonts w:ascii="Albertus Medium" w:hAnsi="Albertus Medium"/>
          <w:i/>
          <w:sz w:val="14"/>
          <w:szCs w:val="14"/>
          <w:shd w:val="clear" w:color="auto" w:fill="FFFFFF"/>
        </w:rPr>
        <w:t>Conapred,</w:t>
      </w:r>
      <w:r w:rsidRPr="00A8064C">
        <w:rPr>
          <w:rFonts w:ascii="Albertus Medium" w:hAnsi="Albertus Medium"/>
          <w:i/>
          <w:spacing w:val="-5"/>
          <w:sz w:val="14"/>
          <w:szCs w:val="14"/>
          <w:shd w:val="clear" w:color="auto" w:fill="FFFFFF"/>
        </w:rPr>
        <w:t xml:space="preserve"> </w:t>
      </w:r>
      <w:r w:rsidRPr="00A8064C">
        <w:rPr>
          <w:rFonts w:ascii="Albertus Medium" w:hAnsi="Albertus Medium"/>
          <w:i/>
          <w:sz w:val="14"/>
          <w:szCs w:val="14"/>
          <w:shd w:val="clear" w:color="auto" w:fill="FFFFFF"/>
        </w:rPr>
        <w:t>2012,</w:t>
      </w:r>
      <w:r w:rsidRPr="00A8064C">
        <w:rPr>
          <w:rFonts w:ascii="Albertus Medium" w:hAnsi="Albertus Medium"/>
          <w:i/>
          <w:spacing w:val="-5"/>
          <w:sz w:val="14"/>
          <w:szCs w:val="14"/>
          <w:shd w:val="clear" w:color="auto" w:fill="FFFFFF"/>
        </w:rPr>
        <w:t xml:space="preserve"> </w:t>
      </w:r>
      <w:r w:rsidRPr="00A8064C">
        <w:rPr>
          <w:rFonts w:ascii="Albertus Medium" w:hAnsi="Albertus Medium"/>
          <w:i/>
          <w:sz w:val="14"/>
          <w:szCs w:val="14"/>
          <w:shd w:val="clear" w:color="auto" w:fill="FFFFFF"/>
        </w:rPr>
        <w:t>p.</w:t>
      </w:r>
      <w:r w:rsidRPr="00A8064C">
        <w:rPr>
          <w:rFonts w:ascii="Albertus Medium" w:hAnsi="Albertus Medium"/>
          <w:i/>
          <w:spacing w:val="-4"/>
          <w:sz w:val="14"/>
          <w:szCs w:val="14"/>
          <w:shd w:val="clear" w:color="auto" w:fill="FFFFFF"/>
        </w:rPr>
        <w:t xml:space="preserve"> </w:t>
      </w:r>
      <w:r w:rsidRPr="00A8064C">
        <w:rPr>
          <w:rFonts w:ascii="Albertus Medium" w:hAnsi="Albertus Medium"/>
          <w:i/>
          <w:sz w:val="14"/>
          <w:szCs w:val="14"/>
          <w:shd w:val="clear" w:color="auto" w:fill="FFFFFF"/>
        </w:rPr>
        <w:t>15</w:t>
      </w:r>
      <w:r w:rsidRPr="00A8064C">
        <w:rPr>
          <w:rFonts w:ascii="Albertus Medium" w:hAnsi="Albertus Medium"/>
          <w:i/>
          <w:sz w:val="14"/>
          <w:szCs w:val="14"/>
        </w:rPr>
        <w:t>.</w:t>
      </w:r>
    </w:p>
  </w:footnote>
  <w:footnote w:id="7">
    <w:p w14:paraId="3A4768BE" w14:textId="77777777" w:rsidR="00190E4A" w:rsidRPr="00A8064C" w:rsidRDefault="00190E4A" w:rsidP="00016FE1">
      <w:pPr>
        <w:pStyle w:val="Textonotapie"/>
        <w:rPr>
          <w:rFonts w:ascii="Albertus Medium" w:hAnsi="Albertus Medium" w:cs="Arial"/>
          <w:iCs/>
          <w:sz w:val="14"/>
          <w:szCs w:val="14"/>
        </w:rPr>
      </w:pPr>
      <w:r>
        <w:rPr>
          <w:rStyle w:val="Refdenotaalpie"/>
        </w:rPr>
        <w:footnoteRef/>
      </w:r>
      <w:r>
        <w:t xml:space="preserve"> </w:t>
      </w:r>
      <w:r w:rsidRPr="00A8064C">
        <w:rPr>
          <w:rFonts w:ascii="Albertus Medium" w:hAnsi="Albertus Medium" w:cs="Arial"/>
          <w:iCs/>
          <w:sz w:val="14"/>
          <w:szCs w:val="14"/>
        </w:rPr>
        <w:t>https://</w:t>
      </w:r>
      <w:hyperlink r:id="rId2" w:anchor="%3A~%3Atext%3DEncuesta%20Nacional%20sobre%20Diversidad%20Sexual%20y%20de%20G%C3%A9" w:history="1">
        <w:r w:rsidRPr="00A8064C">
          <w:rPr>
            <w:rFonts w:ascii="Albertus Medium" w:hAnsi="Albertus Medium" w:cs="Arial"/>
            <w:iCs/>
            <w:sz w:val="14"/>
            <w:szCs w:val="14"/>
          </w:rPr>
          <w:t>www.inegi.org.mx/tablerosestadisticos/lgbti/#:~:text=Encuesta%20Nacional%20sobre%20Diversidad%20Sexual%20y%20de%20G%C3%A9</w:t>
        </w:r>
      </w:hyperlink>
    </w:p>
    <w:p w14:paraId="3A4768BF" w14:textId="77777777" w:rsidR="00190E4A" w:rsidRPr="00A8064C" w:rsidRDefault="00190E4A" w:rsidP="00016FE1">
      <w:pPr>
        <w:pStyle w:val="Textonotapie"/>
        <w:rPr>
          <w:rFonts w:ascii="Albertus Medium" w:hAnsi="Albertus Medium" w:cs="Arial"/>
          <w:iCs/>
          <w:sz w:val="14"/>
          <w:szCs w:val="14"/>
        </w:rPr>
      </w:pPr>
      <w:r w:rsidRPr="00A8064C">
        <w:rPr>
          <w:rFonts w:ascii="Albertus Medium" w:hAnsi="Albertus Medium" w:cs="Arial"/>
          <w:iCs/>
          <w:sz w:val="14"/>
          <w:szCs w:val="14"/>
        </w:rPr>
        <w:t>nero%20(ENDISEG)%202021.&amp;text=De%20las%20personas%20que%20se,34.8%20%25%20es%20transg%C3%A9nero%20o%20transexual</w:t>
      </w:r>
    </w:p>
    <w:p w14:paraId="3A4768C0" w14:textId="77777777" w:rsidR="00190E4A" w:rsidRPr="00A8064C" w:rsidRDefault="00190E4A" w:rsidP="00016FE1">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768AE" w14:textId="77777777" w:rsidR="00190E4A" w:rsidRDefault="00FD6743" w:rsidP="00AD51C5">
    <w:pPr>
      <w:pStyle w:val="Encabezado"/>
      <w:tabs>
        <w:tab w:val="clear" w:pos="4419"/>
        <w:tab w:val="clear" w:pos="8838"/>
        <w:tab w:val="left" w:pos="8749"/>
      </w:tabs>
    </w:pPr>
    <w:r>
      <w:rPr>
        <w:noProof/>
        <w:lang w:val="es-MX" w:eastAsia="es-MX"/>
      </w:rPr>
      <w:pict w14:anchorId="3A476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666627" o:spid="_x0000_s2049" type="#_x0000_t75" style="position:absolute;margin-left:-57.5pt;margin-top:-152.55pt;width:612pt;height:11in;z-index:-251658752;mso-position-horizontal-relative:margin;mso-position-vertical-relative:margin" o:allowincell="f">
          <v:imagedata r:id="rId1" o:title="hoja membretada_Gob_Tonala (1)_page-0001"/>
          <w10:wrap anchorx="margin" anchory="margin"/>
        </v:shape>
      </w:pict>
    </w:r>
    <w:r w:rsidR="00190E4A">
      <w:tab/>
    </w:r>
  </w:p>
  <w:p w14:paraId="3A4768AF" w14:textId="77777777" w:rsidR="00190E4A" w:rsidRDefault="00190E4A"/>
  <w:p w14:paraId="3A4768B0" w14:textId="77777777" w:rsidR="00190E4A" w:rsidRDefault="00190E4A"/>
  <w:p w14:paraId="3A4768B1" w14:textId="77777777" w:rsidR="00190E4A" w:rsidRDefault="00190E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6C294AA"/>
    <w:lvl w:ilvl="0">
      <w:start w:val="1"/>
      <w:numFmt w:val="bullet"/>
      <w:pStyle w:val="Listaconvietas2"/>
      <w:lvlText w:val=""/>
      <w:lvlJc w:val="left"/>
      <w:pPr>
        <w:tabs>
          <w:tab w:val="num" w:pos="658"/>
        </w:tabs>
        <w:ind w:left="658" w:hanging="360"/>
      </w:pPr>
      <w:rPr>
        <w:rFonts w:ascii="Symbol" w:hAnsi="Symbol" w:hint="default"/>
      </w:rPr>
    </w:lvl>
  </w:abstractNum>
  <w:abstractNum w:abstractNumId="1">
    <w:nsid w:val="007A7D66"/>
    <w:multiLevelType w:val="hybridMultilevel"/>
    <w:tmpl w:val="EB7C8708"/>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2D47FA"/>
    <w:multiLevelType w:val="hybridMultilevel"/>
    <w:tmpl w:val="D392169E"/>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13A2C09"/>
    <w:multiLevelType w:val="hybridMultilevel"/>
    <w:tmpl w:val="98DE2AE4"/>
    <w:lvl w:ilvl="0" w:tplc="D8F247C4">
      <w:start w:val="1"/>
      <w:numFmt w:val="lowerLetter"/>
      <w:lvlText w:val="%1)"/>
      <w:lvlJc w:val="left"/>
      <w:pPr>
        <w:ind w:left="720" w:hanging="360"/>
      </w:pPr>
      <w:rPr>
        <w:rFonts w:hint="default"/>
        <w:b w:val="0"/>
      </w:rPr>
    </w:lvl>
    <w:lvl w:ilvl="1" w:tplc="EC1EE2F4">
      <w:start w:val="1"/>
      <w:numFmt w:val="upperRoman"/>
      <w:lvlText w:val="%2."/>
      <w:lvlJc w:val="left"/>
      <w:pPr>
        <w:ind w:left="1800" w:hanging="72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1F4263D"/>
    <w:multiLevelType w:val="hybridMultilevel"/>
    <w:tmpl w:val="AB8CCA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22278E9"/>
    <w:multiLevelType w:val="hybridMultilevel"/>
    <w:tmpl w:val="ABEE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2AA55BA"/>
    <w:multiLevelType w:val="hybridMultilevel"/>
    <w:tmpl w:val="1180D124"/>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3022158"/>
    <w:multiLevelType w:val="hybridMultilevel"/>
    <w:tmpl w:val="BECADF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03354336"/>
    <w:multiLevelType w:val="hybridMultilevel"/>
    <w:tmpl w:val="7C124D28"/>
    <w:lvl w:ilvl="0" w:tplc="080A0001">
      <w:start w:val="1"/>
      <w:numFmt w:val="bullet"/>
      <w:lvlText w:val=""/>
      <w:lvlJc w:val="left"/>
      <w:pPr>
        <w:ind w:left="720" w:hanging="360"/>
      </w:pPr>
      <w:rPr>
        <w:rFonts w:ascii="Symbol" w:hAnsi="Symbol" w:hint="default"/>
      </w:rPr>
    </w:lvl>
    <w:lvl w:ilvl="1" w:tplc="90D6CFC8">
      <w:start w:val="1"/>
      <w:numFmt w:val="bullet"/>
      <w:lvlText w:val="o"/>
      <w:lvlJc w:val="left"/>
      <w:pPr>
        <w:ind w:left="1440" w:hanging="360"/>
      </w:pPr>
      <w:rPr>
        <w:rFonts w:ascii="Montserrat Medium" w:hAnsi="Montserrat Medium" w:cs="Courier New" w:hint="default"/>
        <w:b w:val="0"/>
        <w:sz w:val="18"/>
      </w:rPr>
    </w:lvl>
    <w:lvl w:ilvl="2" w:tplc="651A309C">
      <w:start w:val="1"/>
      <w:numFmt w:val="lowerLetter"/>
      <w:lvlText w:val="%3)"/>
      <w:lvlJc w:val="left"/>
      <w:pPr>
        <w:ind w:left="2160" w:hanging="360"/>
      </w:pPr>
      <w:rPr>
        <w:sz w:val="18"/>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nsid w:val="054D1C37"/>
    <w:multiLevelType w:val="multilevel"/>
    <w:tmpl w:val="3AE61C54"/>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64C493B"/>
    <w:multiLevelType w:val="multilevel"/>
    <w:tmpl w:val="4992D73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693765C"/>
    <w:multiLevelType w:val="hybridMultilevel"/>
    <w:tmpl w:val="32960E90"/>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6F45C4E"/>
    <w:multiLevelType w:val="multilevel"/>
    <w:tmpl w:val="B8BCB7A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7F02F07"/>
    <w:multiLevelType w:val="multilevel"/>
    <w:tmpl w:val="C6CE43B2"/>
    <w:styleLink w:val="WW8Num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07F7316F"/>
    <w:multiLevelType w:val="multilevel"/>
    <w:tmpl w:val="DF80E7EE"/>
    <w:styleLink w:val="WW8Num29"/>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08234686"/>
    <w:multiLevelType w:val="multilevel"/>
    <w:tmpl w:val="2FD41F4E"/>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08CE7CAE"/>
    <w:multiLevelType w:val="hybridMultilevel"/>
    <w:tmpl w:val="A0742270"/>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0B612A8A"/>
    <w:multiLevelType w:val="hybridMultilevel"/>
    <w:tmpl w:val="8AF42CE2"/>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0E382730"/>
    <w:multiLevelType w:val="hybridMultilevel"/>
    <w:tmpl w:val="CBE6E7BC"/>
    <w:lvl w:ilvl="0" w:tplc="A8680C4C">
      <w:start w:val="1"/>
      <w:numFmt w:val="upperRoman"/>
      <w:lvlText w:val="%1."/>
      <w:lvlJc w:val="left"/>
      <w:pPr>
        <w:ind w:left="1080" w:hanging="720"/>
      </w:pPr>
      <w:rPr>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0F4617BE"/>
    <w:multiLevelType w:val="multilevel"/>
    <w:tmpl w:val="B97EA45C"/>
    <w:styleLink w:val="WW8Num30"/>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F486086"/>
    <w:multiLevelType w:val="hybridMultilevel"/>
    <w:tmpl w:val="BB3EAC62"/>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00B3A46"/>
    <w:multiLevelType w:val="multilevel"/>
    <w:tmpl w:val="C082F0F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nsid w:val="106F2964"/>
    <w:multiLevelType w:val="hybridMultilevel"/>
    <w:tmpl w:val="E662C82E"/>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0C51B2F"/>
    <w:multiLevelType w:val="hybridMultilevel"/>
    <w:tmpl w:val="F43EB976"/>
    <w:lvl w:ilvl="0" w:tplc="A0FEA5B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11AE7FE3"/>
    <w:multiLevelType w:val="multilevel"/>
    <w:tmpl w:val="9C18CC24"/>
    <w:styleLink w:val="WW8Num11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11D00221"/>
    <w:multiLevelType w:val="multilevel"/>
    <w:tmpl w:val="B9208BD6"/>
    <w:styleLink w:val="WW8Num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13E730CD"/>
    <w:multiLevelType w:val="multilevel"/>
    <w:tmpl w:val="B1A2273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3F832B2"/>
    <w:multiLevelType w:val="hybridMultilevel"/>
    <w:tmpl w:val="9134FEB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8AF42128">
      <w:start w:val="1"/>
      <w:numFmt w:val="upperRoman"/>
      <w:lvlText w:val="%3."/>
      <w:lvlJc w:val="left"/>
      <w:pPr>
        <w:ind w:left="1146" w:hanging="720"/>
      </w:pPr>
      <w:rPr>
        <w:rFonts w:ascii="Gotham" w:hAnsi="Gotham" w:hint="default"/>
        <w:b w:val="0"/>
        <w:i w:val="0"/>
        <w:color w:val="auto"/>
        <w:sz w:val="19"/>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432651E"/>
    <w:multiLevelType w:val="hybridMultilevel"/>
    <w:tmpl w:val="9154D2FE"/>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148441AB"/>
    <w:multiLevelType w:val="hybridMultilevel"/>
    <w:tmpl w:val="109C7756"/>
    <w:lvl w:ilvl="0" w:tplc="3B2C94EE">
      <w:start w:val="1"/>
      <w:numFmt w:val="upperRoman"/>
      <w:lvlText w:val="%1."/>
      <w:lvlJc w:val="left"/>
      <w:pPr>
        <w:ind w:left="2226" w:hanging="720"/>
      </w:pPr>
      <w:rPr>
        <w:rFonts w:hint="default"/>
      </w:r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38">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14DF694E"/>
    <w:multiLevelType w:val="multilevel"/>
    <w:tmpl w:val="334C6D1C"/>
    <w:styleLink w:val="WW8Num8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nsid w:val="15E2233F"/>
    <w:multiLevelType w:val="multilevel"/>
    <w:tmpl w:val="C78C02A2"/>
    <w:styleLink w:val="WW8Num10"/>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16670FFB"/>
    <w:multiLevelType w:val="hybridMultilevel"/>
    <w:tmpl w:val="279CF282"/>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D10C6004">
      <w:start w:val="1"/>
      <w:numFmt w:val="lowerLetter"/>
      <w:lvlText w:val="%3)"/>
      <w:lvlJc w:val="left"/>
      <w:pPr>
        <w:ind w:left="2340" w:hanging="360"/>
      </w:pPr>
      <w:rPr>
        <w:rFonts w:hint="default"/>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69C1B03"/>
    <w:multiLevelType w:val="multilevel"/>
    <w:tmpl w:val="D9F2BFA8"/>
    <w:styleLink w:val="WW8Num7"/>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1787554E"/>
    <w:multiLevelType w:val="hybridMultilevel"/>
    <w:tmpl w:val="CAE67E6C"/>
    <w:lvl w:ilvl="0" w:tplc="080A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19F27EEC"/>
    <w:multiLevelType w:val="multilevel"/>
    <w:tmpl w:val="D16E0386"/>
    <w:styleLink w:val="WW8Num2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19F86784"/>
    <w:multiLevelType w:val="hybridMultilevel"/>
    <w:tmpl w:val="484CE64C"/>
    <w:lvl w:ilvl="0" w:tplc="9518396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9">
    <w:nsid w:val="1A3B77EB"/>
    <w:multiLevelType w:val="hybridMultilevel"/>
    <w:tmpl w:val="20DE2624"/>
    <w:lvl w:ilvl="0" w:tplc="D6A63C40">
      <w:start w:val="1"/>
      <w:numFmt w:val="lowerLetter"/>
      <w:lvlText w:val="%1)"/>
      <w:lvlJc w:val="left"/>
      <w:pPr>
        <w:ind w:left="720" w:hanging="360"/>
      </w:pPr>
      <w:rPr>
        <w:rFonts w:hint="default"/>
      </w:rPr>
    </w:lvl>
    <w:lvl w:ilvl="1" w:tplc="4244BFF6">
      <w:start w:val="1"/>
      <w:numFmt w:val="upperRoman"/>
      <w:lvlText w:val="%2."/>
      <w:lvlJc w:val="left"/>
      <w:pPr>
        <w:ind w:left="1800" w:hanging="720"/>
      </w:pPr>
      <w:rPr>
        <w:rFonts w:hint="default"/>
        <w:b/>
      </w:rPr>
    </w:lvl>
    <w:lvl w:ilvl="2" w:tplc="D6A63C40">
      <w:start w:val="1"/>
      <w:numFmt w:val="lowerLetter"/>
      <w:lvlText w:val="%3)"/>
      <w:lvlJc w:val="left"/>
      <w:pPr>
        <w:ind w:left="2160" w:hanging="180"/>
      </w:pPr>
      <w:rPr>
        <w:rFonts w:hint="default"/>
      </w:rPr>
    </w:lvl>
    <w:lvl w:ilvl="3" w:tplc="782251E0">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A5B50BC"/>
    <w:multiLevelType w:val="multilevel"/>
    <w:tmpl w:val="311C6E8A"/>
    <w:styleLink w:val="WW8Num6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1AA143C3"/>
    <w:multiLevelType w:val="multilevel"/>
    <w:tmpl w:val="A8EAA9A8"/>
    <w:styleLink w:val="WW8Num3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1ACE7FC8"/>
    <w:multiLevelType w:val="hybridMultilevel"/>
    <w:tmpl w:val="31A27F44"/>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AFC58D5"/>
    <w:multiLevelType w:val="hybridMultilevel"/>
    <w:tmpl w:val="43487B94"/>
    <w:lvl w:ilvl="0" w:tplc="B3D8F1BC">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nsid w:val="1B036FD9"/>
    <w:multiLevelType w:val="multilevel"/>
    <w:tmpl w:val="7580091C"/>
    <w:styleLink w:val="WW8Num10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1C581090"/>
    <w:multiLevelType w:val="hybridMultilevel"/>
    <w:tmpl w:val="90A6B258"/>
    <w:lvl w:ilvl="0" w:tplc="448C2B5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1D6971A6"/>
    <w:multiLevelType w:val="multilevel"/>
    <w:tmpl w:val="69BAA340"/>
    <w:styleLink w:val="WW8Num2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3">
    <w:nsid w:val="202568F9"/>
    <w:multiLevelType w:val="hybridMultilevel"/>
    <w:tmpl w:val="8A369B1E"/>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203D7311"/>
    <w:multiLevelType w:val="multilevel"/>
    <w:tmpl w:val="60C4B0E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20510870"/>
    <w:multiLevelType w:val="hybridMultilevel"/>
    <w:tmpl w:val="539E3838"/>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2059293C"/>
    <w:multiLevelType w:val="hybridMultilevel"/>
    <w:tmpl w:val="50344790"/>
    <w:lvl w:ilvl="0" w:tplc="49A25286">
      <w:start w:val="1"/>
      <w:numFmt w:val="upperRoman"/>
      <w:lvlText w:val="%1."/>
      <w:lvlJc w:val="left"/>
      <w:pPr>
        <w:ind w:left="2226" w:hanging="720"/>
      </w:pPr>
      <w:rPr>
        <w:rFonts w:hint="default"/>
      </w:r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67">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nsid w:val="2082404E"/>
    <w:multiLevelType w:val="multilevel"/>
    <w:tmpl w:val="572A5888"/>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21BF42C5"/>
    <w:multiLevelType w:val="hybridMultilevel"/>
    <w:tmpl w:val="B1CC73A6"/>
    <w:lvl w:ilvl="0" w:tplc="12E4F0E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1C254C5"/>
    <w:multiLevelType w:val="hybridMultilevel"/>
    <w:tmpl w:val="C7AC8930"/>
    <w:lvl w:ilvl="0" w:tplc="91A02EAE">
      <w:start w:val="1"/>
      <w:numFmt w:val="upperRoman"/>
      <w:lvlText w:val="%1."/>
      <w:lvlJc w:val="left"/>
      <w:pPr>
        <w:ind w:left="1004" w:hanging="360"/>
      </w:pPr>
      <w:rPr>
        <w:rFonts w:ascii="Gotham" w:hAnsi="Gotham" w:hint="default"/>
        <w:b/>
        <w:i w:val="0"/>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1CA7F09"/>
    <w:multiLevelType w:val="hybridMultilevel"/>
    <w:tmpl w:val="92984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257C31F0"/>
    <w:multiLevelType w:val="multilevel"/>
    <w:tmpl w:val="E0C68AF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25BB3EDB"/>
    <w:multiLevelType w:val="multilevel"/>
    <w:tmpl w:val="20B6609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nsid w:val="26787505"/>
    <w:multiLevelType w:val="hybridMultilevel"/>
    <w:tmpl w:val="71462366"/>
    <w:lvl w:ilvl="0" w:tplc="0C0A000F">
      <w:start w:val="1"/>
      <w:numFmt w:val="decimal"/>
      <w:lvlText w:val="%1."/>
      <w:lvlJc w:val="left"/>
      <w:pPr>
        <w:ind w:left="5747" w:hanging="360"/>
      </w:pPr>
    </w:lvl>
    <w:lvl w:ilvl="1" w:tplc="0C0A0019">
      <w:start w:val="1"/>
      <w:numFmt w:val="lowerLetter"/>
      <w:lvlText w:val="%2."/>
      <w:lvlJc w:val="left"/>
      <w:pPr>
        <w:ind w:left="6467" w:hanging="360"/>
      </w:pPr>
    </w:lvl>
    <w:lvl w:ilvl="2" w:tplc="0C0A001B" w:tentative="1">
      <w:start w:val="1"/>
      <w:numFmt w:val="lowerRoman"/>
      <w:lvlText w:val="%3."/>
      <w:lvlJc w:val="right"/>
      <w:pPr>
        <w:ind w:left="7187" w:hanging="180"/>
      </w:pPr>
    </w:lvl>
    <w:lvl w:ilvl="3" w:tplc="0C0A000F" w:tentative="1">
      <w:start w:val="1"/>
      <w:numFmt w:val="decimal"/>
      <w:lvlText w:val="%4."/>
      <w:lvlJc w:val="left"/>
      <w:pPr>
        <w:ind w:left="7907" w:hanging="360"/>
      </w:pPr>
    </w:lvl>
    <w:lvl w:ilvl="4" w:tplc="0C0A0019" w:tentative="1">
      <w:start w:val="1"/>
      <w:numFmt w:val="lowerLetter"/>
      <w:lvlText w:val="%5."/>
      <w:lvlJc w:val="left"/>
      <w:pPr>
        <w:ind w:left="8627" w:hanging="360"/>
      </w:pPr>
    </w:lvl>
    <w:lvl w:ilvl="5" w:tplc="0C0A001B" w:tentative="1">
      <w:start w:val="1"/>
      <w:numFmt w:val="lowerRoman"/>
      <w:lvlText w:val="%6."/>
      <w:lvlJc w:val="right"/>
      <w:pPr>
        <w:ind w:left="9347" w:hanging="180"/>
      </w:pPr>
    </w:lvl>
    <w:lvl w:ilvl="6" w:tplc="0C0A000F" w:tentative="1">
      <w:start w:val="1"/>
      <w:numFmt w:val="decimal"/>
      <w:lvlText w:val="%7."/>
      <w:lvlJc w:val="left"/>
      <w:pPr>
        <w:ind w:left="10067" w:hanging="360"/>
      </w:pPr>
    </w:lvl>
    <w:lvl w:ilvl="7" w:tplc="0C0A0019" w:tentative="1">
      <w:start w:val="1"/>
      <w:numFmt w:val="lowerLetter"/>
      <w:lvlText w:val="%8."/>
      <w:lvlJc w:val="left"/>
      <w:pPr>
        <w:ind w:left="10787" w:hanging="360"/>
      </w:pPr>
    </w:lvl>
    <w:lvl w:ilvl="8" w:tplc="0C0A001B" w:tentative="1">
      <w:start w:val="1"/>
      <w:numFmt w:val="lowerRoman"/>
      <w:lvlText w:val="%9."/>
      <w:lvlJc w:val="right"/>
      <w:pPr>
        <w:ind w:left="11507" w:hanging="180"/>
      </w:pPr>
    </w:lvl>
  </w:abstractNum>
  <w:abstractNum w:abstractNumId="82">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26B82B29"/>
    <w:multiLevelType w:val="multilevel"/>
    <w:tmpl w:val="1A660D0A"/>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nsid w:val="27800CDE"/>
    <w:multiLevelType w:val="hybridMultilevel"/>
    <w:tmpl w:val="EB3E5C70"/>
    <w:lvl w:ilvl="0" w:tplc="8AF42128">
      <w:start w:val="1"/>
      <w:numFmt w:val="upperRoman"/>
      <w:lvlText w:val="%1."/>
      <w:lvlJc w:val="left"/>
      <w:pPr>
        <w:ind w:left="720" w:hanging="360"/>
      </w:pPr>
      <w:rPr>
        <w:rFonts w:ascii="Gotham" w:hAnsi="Gotham" w:hint="default"/>
        <w:b w:val="0"/>
        <w:i w:val="0"/>
        <w:color w:val="auto"/>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8CD0157"/>
    <w:multiLevelType w:val="hybridMultilevel"/>
    <w:tmpl w:val="351606CC"/>
    <w:lvl w:ilvl="0" w:tplc="7C985A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298041CD"/>
    <w:multiLevelType w:val="hybridMultilevel"/>
    <w:tmpl w:val="1CF08DE2"/>
    <w:lvl w:ilvl="0" w:tplc="41909C50">
      <w:start w:val="1"/>
      <w:numFmt w:val="upperRoman"/>
      <w:lvlText w:val="%1."/>
      <w:lvlJc w:val="left"/>
      <w:pPr>
        <w:ind w:left="720" w:hanging="360"/>
      </w:pPr>
      <w:rPr>
        <w:rFonts w:cs="Arial,Bold"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2A897578"/>
    <w:multiLevelType w:val="hybridMultilevel"/>
    <w:tmpl w:val="54B4ED48"/>
    <w:lvl w:ilvl="0" w:tplc="D8E420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2BE5306E"/>
    <w:multiLevelType w:val="hybridMultilevel"/>
    <w:tmpl w:val="2D12536E"/>
    <w:lvl w:ilvl="0" w:tplc="AA8E82EE">
      <w:start w:val="1"/>
      <w:numFmt w:val="lowerLetter"/>
      <w:lvlText w:val="%1)"/>
      <w:lvlJc w:val="left"/>
      <w:pPr>
        <w:ind w:left="1146" w:hanging="360"/>
      </w:pPr>
      <w:rPr>
        <w:b w:val="0"/>
      </w:rPr>
    </w:lvl>
    <w:lvl w:ilvl="1" w:tplc="8AF42128">
      <w:start w:val="1"/>
      <w:numFmt w:val="upperRoman"/>
      <w:lvlText w:val="%2."/>
      <w:lvlJc w:val="left"/>
      <w:pPr>
        <w:ind w:left="2226" w:hanging="720"/>
      </w:pPr>
      <w:rPr>
        <w:rFonts w:ascii="Gotham" w:hAnsi="Gotham" w:hint="default"/>
        <w:b w:val="0"/>
        <w:i w:val="0"/>
        <w:color w:val="auto"/>
        <w:sz w:val="19"/>
      </w:r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2">
    <w:nsid w:val="2CAB5BB3"/>
    <w:multiLevelType w:val="multilevel"/>
    <w:tmpl w:val="3D5C675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2CE93430"/>
    <w:multiLevelType w:val="hybridMultilevel"/>
    <w:tmpl w:val="28908750"/>
    <w:lvl w:ilvl="0" w:tplc="102CE3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CF443D8"/>
    <w:multiLevelType w:val="hybridMultilevel"/>
    <w:tmpl w:val="5F9664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5">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2ED30647"/>
    <w:multiLevelType w:val="hybridMultilevel"/>
    <w:tmpl w:val="930CABA8"/>
    <w:lvl w:ilvl="0" w:tplc="EA7AF5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2F3C52A4"/>
    <w:multiLevelType w:val="hybridMultilevel"/>
    <w:tmpl w:val="20164EDE"/>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48CABB90">
      <w:start w:val="1"/>
      <w:numFmt w:val="lowerLetter"/>
      <w:lvlText w:val="%3)"/>
      <w:lvlJc w:val="left"/>
      <w:pPr>
        <w:ind w:left="2340"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nsid w:val="302D6FEF"/>
    <w:multiLevelType w:val="hybridMultilevel"/>
    <w:tmpl w:val="6C427AF4"/>
    <w:lvl w:ilvl="0" w:tplc="3AFAE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09E6A74"/>
    <w:multiLevelType w:val="multilevel"/>
    <w:tmpl w:val="CCB8392C"/>
    <w:styleLink w:val="WW8Num19"/>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nsid w:val="30FB4813"/>
    <w:multiLevelType w:val="hybridMultilevel"/>
    <w:tmpl w:val="72B2B7EA"/>
    <w:lvl w:ilvl="0" w:tplc="6E204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31B935E9"/>
    <w:multiLevelType w:val="multilevel"/>
    <w:tmpl w:val="F57640D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3249571F"/>
    <w:multiLevelType w:val="multilevel"/>
    <w:tmpl w:val="035881EC"/>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336A3066"/>
    <w:multiLevelType w:val="multilevel"/>
    <w:tmpl w:val="D35888A2"/>
    <w:styleLink w:val="WW8Num38"/>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33F90E62"/>
    <w:multiLevelType w:val="multilevel"/>
    <w:tmpl w:val="E8D4CAF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344D1C5F"/>
    <w:multiLevelType w:val="multilevel"/>
    <w:tmpl w:val="084E1C44"/>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0">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35792E8E"/>
    <w:multiLevelType w:val="hybridMultilevel"/>
    <w:tmpl w:val="8B9EC1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2">
    <w:nsid w:val="364D5D74"/>
    <w:multiLevelType w:val="hybridMultilevel"/>
    <w:tmpl w:val="3EA0031C"/>
    <w:lvl w:ilvl="0" w:tplc="86B425F8">
      <w:start w:val="1"/>
      <w:numFmt w:val="decimal"/>
      <w:lvlText w:val="%1."/>
      <w:lvlJc w:val="left"/>
      <w:pPr>
        <w:ind w:left="1800" w:hanging="360"/>
      </w:pPr>
      <w:rPr>
        <w:rFonts w:ascii="Gotham" w:hAnsi="Gotham" w:cstheme="minorBidi" w:hint="default"/>
        <w:b w:val="0"/>
        <w:i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36AA4B4C"/>
    <w:multiLevelType w:val="hybridMultilevel"/>
    <w:tmpl w:val="AEC8D5CA"/>
    <w:lvl w:ilvl="0" w:tplc="3B942160">
      <w:start w:val="1"/>
      <w:numFmt w:val="upperRoman"/>
      <w:lvlText w:val="%1."/>
      <w:lvlJc w:val="left"/>
      <w:pPr>
        <w:ind w:left="1800" w:hanging="72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5">
    <w:nsid w:val="36BC7C48"/>
    <w:multiLevelType w:val="hybridMultilevel"/>
    <w:tmpl w:val="3942F976"/>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374F1BE7"/>
    <w:multiLevelType w:val="hybridMultilevel"/>
    <w:tmpl w:val="E48C781E"/>
    <w:lvl w:ilvl="0" w:tplc="9DA0862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37557122"/>
    <w:multiLevelType w:val="hybridMultilevel"/>
    <w:tmpl w:val="E712449E"/>
    <w:lvl w:ilvl="0" w:tplc="EA7E7E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378947B9"/>
    <w:multiLevelType w:val="hybridMultilevel"/>
    <w:tmpl w:val="DA20BF24"/>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37CE1C44"/>
    <w:multiLevelType w:val="hybridMultilevel"/>
    <w:tmpl w:val="0E2CEC3A"/>
    <w:lvl w:ilvl="0" w:tplc="C76E4B0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3946601B"/>
    <w:multiLevelType w:val="hybridMultilevel"/>
    <w:tmpl w:val="757A6CB2"/>
    <w:lvl w:ilvl="0" w:tplc="8AF42128">
      <w:start w:val="1"/>
      <w:numFmt w:val="upperRoman"/>
      <w:lvlText w:val="%1."/>
      <w:lvlJc w:val="left"/>
      <w:pPr>
        <w:ind w:left="360" w:hanging="360"/>
      </w:pPr>
      <w:rPr>
        <w:rFonts w:ascii="Gotham" w:hAnsi="Gotham" w:hint="default"/>
        <w:b w:val="0"/>
        <w:i w:val="0"/>
        <w:color w:val="auto"/>
        <w:sz w:val="19"/>
      </w:rPr>
    </w:lvl>
    <w:lvl w:ilvl="1" w:tplc="7E226E1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3A081084"/>
    <w:multiLevelType w:val="hybridMultilevel"/>
    <w:tmpl w:val="08AC25CA"/>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3A417DF6"/>
    <w:multiLevelType w:val="hybridMultilevel"/>
    <w:tmpl w:val="D5B28410"/>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3A7C648A"/>
    <w:multiLevelType w:val="hybridMultilevel"/>
    <w:tmpl w:val="779631C4"/>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3ABD2429"/>
    <w:multiLevelType w:val="multilevel"/>
    <w:tmpl w:val="C854CA9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nsid w:val="3BA20743"/>
    <w:multiLevelType w:val="hybridMultilevel"/>
    <w:tmpl w:val="CBE6E7BC"/>
    <w:lvl w:ilvl="0" w:tplc="A8680C4C">
      <w:start w:val="1"/>
      <w:numFmt w:val="upperRoman"/>
      <w:lvlText w:val="%1."/>
      <w:lvlJc w:val="left"/>
      <w:pPr>
        <w:ind w:left="1080" w:hanging="720"/>
      </w:pPr>
      <w:rPr>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1">
    <w:nsid w:val="3E0C25E0"/>
    <w:multiLevelType w:val="hybridMultilevel"/>
    <w:tmpl w:val="E4588764"/>
    <w:lvl w:ilvl="0" w:tplc="A4802D30">
      <w:start w:val="1"/>
      <w:numFmt w:val="upperRoman"/>
      <w:lvlText w:val="%1."/>
      <w:lvlJc w:val="left"/>
      <w:pPr>
        <w:ind w:left="1854" w:hanging="360"/>
      </w:pPr>
      <w:rPr>
        <w:rFonts w:ascii="Gotham" w:hAnsi="Gotham" w:hint="default"/>
        <w:b w:val="0"/>
        <w:i/>
        <w:sz w:val="18"/>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32">
    <w:nsid w:val="3E71402D"/>
    <w:multiLevelType w:val="multilevel"/>
    <w:tmpl w:val="A022DDF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3F0551EC"/>
    <w:multiLevelType w:val="hybridMultilevel"/>
    <w:tmpl w:val="CBE6E7BC"/>
    <w:lvl w:ilvl="0" w:tplc="A8680C4C">
      <w:start w:val="1"/>
      <w:numFmt w:val="upperRoman"/>
      <w:lvlText w:val="%1."/>
      <w:lvlJc w:val="left"/>
      <w:pPr>
        <w:ind w:left="1080" w:hanging="720"/>
      </w:pPr>
      <w:rPr>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14E0B42"/>
    <w:multiLevelType w:val="multilevel"/>
    <w:tmpl w:val="A762F9BC"/>
    <w:styleLink w:val="WW8Num23"/>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1EA70AB"/>
    <w:multiLevelType w:val="hybridMultilevel"/>
    <w:tmpl w:val="75E0B0D0"/>
    <w:lvl w:ilvl="0" w:tplc="080A0017">
      <w:start w:val="1"/>
      <w:numFmt w:val="lowerLetter"/>
      <w:lvlText w:val="%1)"/>
      <w:lvlJc w:val="left"/>
      <w:pPr>
        <w:ind w:left="720" w:hanging="360"/>
      </w:pPr>
    </w:lvl>
    <w:lvl w:ilvl="1" w:tplc="8AF42128">
      <w:start w:val="1"/>
      <w:numFmt w:val="upperRoman"/>
      <w:lvlText w:val="%2."/>
      <w:lvlJc w:val="left"/>
      <w:pPr>
        <w:ind w:left="1800" w:hanging="72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437510D4"/>
    <w:multiLevelType w:val="hybridMultilevel"/>
    <w:tmpl w:val="7E8411C0"/>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43CD4978"/>
    <w:multiLevelType w:val="multilevel"/>
    <w:tmpl w:val="6430133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2">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45B97F05"/>
    <w:multiLevelType w:val="multilevel"/>
    <w:tmpl w:val="97CAA8EE"/>
    <w:styleLink w:val="WW8Num1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46032569"/>
    <w:multiLevelType w:val="multilevel"/>
    <w:tmpl w:val="C5947382"/>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46502AFB"/>
    <w:multiLevelType w:val="multilevel"/>
    <w:tmpl w:val="9B6AB164"/>
    <w:styleLink w:val="WW8Num47"/>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6">
    <w:nsid w:val="46851826"/>
    <w:multiLevelType w:val="hybridMultilevel"/>
    <w:tmpl w:val="7220C770"/>
    <w:lvl w:ilvl="0" w:tplc="91FACE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nsid w:val="468E7D6C"/>
    <w:multiLevelType w:val="hybridMultilevel"/>
    <w:tmpl w:val="F184F5AC"/>
    <w:lvl w:ilvl="0" w:tplc="8E20FDA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46B43210"/>
    <w:multiLevelType w:val="hybridMultilevel"/>
    <w:tmpl w:val="616CE01E"/>
    <w:lvl w:ilvl="0" w:tplc="52A88F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48D72B94"/>
    <w:multiLevelType w:val="multilevel"/>
    <w:tmpl w:val="28D2734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nsid w:val="49685926"/>
    <w:multiLevelType w:val="hybridMultilevel"/>
    <w:tmpl w:val="524CA2D6"/>
    <w:lvl w:ilvl="0" w:tplc="72744F8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4">
    <w:nsid w:val="49935BEA"/>
    <w:multiLevelType w:val="multilevel"/>
    <w:tmpl w:val="F0A20C0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7">
    <w:nsid w:val="4B3156B4"/>
    <w:multiLevelType w:val="hybridMultilevel"/>
    <w:tmpl w:val="C1C095F2"/>
    <w:lvl w:ilvl="0" w:tplc="D7E02442">
      <w:start w:val="1"/>
      <w:numFmt w:val="decimal"/>
      <w:lvlText w:val="%1)"/>
      <w:lvlJc w:val="left"/>
      <w:pPr>
        <w:ind w:left="644" w:hanging="360"/>
      </w:pPr>
      <w:rPr>
        <w:rFonts w:ascii="Montserrat Medium" w:eastAsiaTheme="minorHAnsi" w:hAnsi="Montserrat Medium" w:cs="Times New Roman"/>
      </w:rPr>
    </w:lvl>
    <w:lvl w:ilvl="1" w:tplc="080A0017">
      <w:start w:val="1"/>
      <w:numFmt w:val="lowerLetter"/>
      <w:lvlText w:val="%2)"/>
      <w:lvlJc w:val="left"/>
      <w:pPr>
        <w:ind w:left="3780" w:hanging="720"/>
      </w:pPr>
      <w:rPr>
        <w:rFonts w:hint="default"/>
        <w:b w:val="0"/>
      </w:r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158">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4B703C1A"/>
    <w:multiLevelType w:val="multilevel"/>
    <w:tmpl w:val="DF7878F4"/>
    <w:styleLink w:val="WW8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0">
    <w:nsid w:val="4BC348D9"/>
    <w:multiLevelType w:val="hybridMultilevel"/>
    <w:tmpl w:val="CE4CE34A"/>
    <w:lvl w:ilvl="0" w:tplc="080A0017">
      <w:start w:val="1"/>
      <w:numFmt w:val="lowerLetter"/>
      <w:lvlText w:val="%1)"/>
      <w:lvlJc w:val="left"/>
      <w:pPr>
        <w:ind w:left="720" w:hanging="360"/>
      </w:pPr>
    </w:lvl>
    <w:lvl w:ilvl="1" w:tplc="519E8E06">
      <w:start w:val="1"/>
      <w:numFmt w:val="upperRoman"/>
      <w:lvlText w:val="%2."/>
      <w:lvlJc w:val="left"/>
      <w:pPr>
        <w:ind w:left="1800" w:hanging="72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4C274623"/>
    <w:multiLevelType w:val="multilevel"/>
    <w:tmpl w:val="D194A33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nsid w:val="4C7444FD"/>
    <w:multiLevelType w:val="hybridMultilevel"/>
    <w:tmpl w:val="AE7EAC66"/>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4CC56C75"/>
    <w:multiLevelType w:val="hybridMultilevel"/>
    <w:tmpl w:val="4A480262"/>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nsid w:val="4D7556B0"/>
    <w:multiLevelType w:val="multilevel"/>
    <w:tmpl w:val="C2E09EE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nsid w:val="4DF85CB1"/>
    <w:multiLevelType w:val="multilevel"/>
    <w:tmpl w:val="72080BC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nsid w:val="4E1B25AC"/>
    <w:multiLevelType w:val="hybridMultilevel"/>
    <w:tmpl w:val="C6927152"/>
    <w:styleLink w:val="Estiloimportado1"/>
    <w:lvl w:ilvl="0" w:tplc="B232CA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3E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CDEB0">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EC696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0CCA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20A5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674DF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42DE3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CF9C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4E7B0DF2"/>
    <w:multiLevelType w:val="hybridMultilevel"/>
    <w:tmpl w:val="4D02979C"/>
    <w:lvl w:ilvl="0" w:tplc="D47E7DCA">
      <w:start w:val="1"/>
      <w:numFmt w:val="upperRoman"/>
      <w:lvlText w:val="%1."/>
      <w:lvlJc w:val="left"/>
      <w:pPr>
        <w:ind w:left="1854" w:hanging="360"/>
      </w:pPr>
      <w:rPr>
        <w:rFonts w:ascii="Gotham" w:hAnsi="Gotham" w:hint="default"/>
        <w:b w:val="0"/>
        <w:i/>
        <w:sz w:val="18"/>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9">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0">
    <w:nsid w:val="4EDB7786"/>
    <w:multiLevelType w:val="hybridMultilevel"/>
    <w:tmpl w:val="71C27D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D6A63C40">
      <w:start w:val="1"/>
      <w:numFmt w:val="lowerLetter"/>
      <w:lvlText w:val="%3)"/>
      <w:lvlJc w:val="left"/>
      <w:pPr>
        <w:ind w:left="2160" w:hanging="180"/>
      </w:pPr>
      <w:rPr>
        <w:rFonts w:hint="default"/>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4F1F0E84"/>
    <w:multiLevelType w:val="multilevel"/>
    <w:tmpl w:val="21B805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4F6C2548"/>
    <w:multiLevelType w:val="hybridMultilevel"/>
    <w:tmpl w:val="D59C389A"/>
    <w:lvl w:ilvl="0" w:tplc="C76E4B0C">
      <w:start w:val="1"/>
      <w:numFmt w:val="upperRoman"/>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73">
    <w:nsid w:val="4F983D10"/>
    <w:multiLevelType w:val="hybridMultilevel"/>
    <w:tmpl w:val="C2E0B652"/>
    <w:lvl w:ilvl="0" w:tplc="41909C50">
      <w:start w:val="1"/>
      <w:numFmt w:val="upperRoman"/>
      <w:lvlText w:val="%1."/>
      <w:lvlJc w:val="left"/>
      <w:pPr>
        <w:ind w:left="720" w:hanging="360"/>
      </w:pPr>
      <w:rPr>
        <w:rFonts w:cs="Arial,Bold"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4FA82F62"/>
    <w:multiLevelType w:val="multilevel"/>
    <w:tmpl w:val="DA708244"/>
    <w:styleLink w:val="WW8Num4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6">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502B4ED9"/>
    <w:multiLevelType w:val="multilevel"/>
    <w:tmpl w:val="F0802586"/>
    <w:styleLink w:val="WW8Num11"/>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8">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0">
    <w:nsid w:val="51D6357B"/>
    <w:multiLevelType w:val="multilevel"/>
    <w:tmpl w:val="04046F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1">
    <w:nsid w:val="5307705D"/>
    <w:multiLevelType w:val="hybridMultilevel"/>
    <w:tmpl w:val="9716A3B8"/>
    <w:lvl w:ilvl="0" w:tplc="89FAD288">
      <w:start w:val="1"/>
      <w:numFmt w:val="lowerLetter"/>
      <w:lvlText w:val="%1)"/>
      <w:lvlJc w:val="left"/>
      <w:pPr>
        <w:ind w:left="720" w:hanging="360"/>
      </w:pPr>
      <w:rPr>
        <w:rFonts w:hint="default"/>
        <w:b w:val="0"/>
      </w:rPr>
    </w:lvl>
    <w:lvl w:ilvl="1" w:tplc="64489938">
      <w:start w:val="1"/>
      <w:numFmt w:val="upperRoman"/>
      <w:lvlText w:val="%2."/>
      <w:lvlJc w:val="left"/>
      <w:pPr>
        <w:ind w:left="1800" w:hanging="720"/>
      </w:pPr>
      <w:rPr>
        <w:rFonts w:ascii="Gotham" w:hAnsi="Gotham" w:hint="default"/>
        <w:b/>
        <w:i w:val="0"/>
        <w:color w:val="auto"/>
        <w:sz w:val="19"/>
        <w:szCs w:val="20"/>
      </w:rPr>
    </w:lvl>
    <w:lvl w:ilvl="2" w:tplc="C5DADC8E">
      <w:start w:val="1"/>
      <w:numFmt w:val="decimal"/>
      <w:lvlText w:val="%3."/>
      <w:lvlJc w:val="left"/>
      <w:pPr>
        <w:ind w:left="2340" w:hanging="360"/>
      </w:pPr>
      <w:rPr>
        <w:rFonts w:ascii="Arial,Bold" w:hAnsi="Arial,Bold" w:cs="Arial,Bold"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537F6A80"/>
    <w:multiLevelType w:val="hybridMultilevel"/>
    <w:tmpl w:val="807A29A0"/>
    <w:lvl w:ilvl="0" w:tplc="313C52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451684F"/>
    <w:multiLevelType w:val="hybridMultilevel"/>
    <w:tmpl w:val="55E80D6E"/>
    <w:lvl w:ilvl="0" w:tplc="BB2863B2">
      <w:start w:val="1"/>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55927A87"/>
    <w:multiLevelType w:val="multilevel"/>
    <w:tmpl w:val="D5C80CF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56A25078"/>
    <w:multiLevelType w:val="multilevel"/>
    <w:tmpl w:val="892A907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nsid w:val="57797C3E"/>
    <w:multiLevelType w:val="multilevel"/>
    <w:tmpl w:val="D1C64778"/>
    <w:styleLink w:val="WW8Num1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578A0D08"/>
    <w:multiLevelType w:val="hybridMultilevel"/>
    <w:tmpl w:val="0130F1E0"/>
    <w:lvl w:ilvl="0" w:tplc="6E204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8D3672B"/>
    <w:multiLevelType w:val="multilevel"/>
    <w:tmpl w:val="5EA68BE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nsid w:val="59E15AE6"/>
    <w:multiLevelType w:val="hybridMultilevel"/>
    <w:tmpl w:val="2402D45A"/>
    <w:lvl w:ilvl="0" w:tplc="8036050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2">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3">
    <w:nsid w:val="59F7216D"/>
    <w:multiLevelType w:val="multilevel"/>
    <w:tmpl w:val="C9FC5960"/>
    <w:styleLink w:val="WW8Num1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4">
    <w:nsid w:val="5A2D2F20"/>
    <w:multiLevelType w:val="multilevel"/>
    <w:tmpl w:val="32288E5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nsid w:val="5A3277FB"/>
    <w:multiLevelType w:val="multilevel"/>
    <w:tmpl w:val="708AFBD6"/>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5B076B1D"/>
    <w:multiLevelType w:val="multilevel"/>
    <w:tmpl w:val="2B7ED65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7">
    <w:nsid w:val="5BBA3D73"/>
    <w:multiLevelType w:val="multilevel"/>
    <w:tmpl w:val="549686C8"/>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8">
    <w:nsid w:val="5C50336B"/>
    <w:multiLevelType w:val="multilevel"/>
    <w:tmpl w:val="137CD18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nsid w:val="5CC00B0D"/>
    <w:multiLevelType w:val="hybridMultilevel"/>
    <w:tmpl w:val="8A008184"/>
    <w:lvl w:ilvl="0" w:tplc="F658205A">
      <w:start w:val="1"/>
      <w:numFmt w:val="upperRoman"/>
      <w:lvlText w:val="%1."/>
      <w:lvlJc w:val="left"/>
      <w:pPr>
        <w:ind w:left="1854" w:hanging="720"/>
      </w:pPr>
      <w:rPr>
        <w:rFonts w:ascii="Gotham" w:hAnsi="Gotham" w:hint="default"/>
        <w:b w:val="0"/>
        <w:i/>
        <w:sz w:val="18"/>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00">
    <w:nsid w:val="5CC40BC4"/>
    <w:multiLevelType w:val="multilevel"/>
    <w:tmpl w:val="188E7AA4"/>
    <w:styleLink w:val="WW8Num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201">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2">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3">
    <w:nsid w:val="5E2E61DA"/>
    <w:multiLevelType w:val="multilevel"/>
    <w:tmpl w:val="3E106F04"/>
    <w:styleLink w:val="WW8Num5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4">
    <w:nsid w:val="5E6060EC"/>
    <w:multiLevelType w:val="multilevel"/>
    <w:tmpl w:val="7132E912"/>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5">
    <w:nsid w:val="5EBE7125"/>
    <w:multiLevelType w:val="hybridMultilevel"/>
    <w:tmpl w:val="C43494A6"/>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7">
    <w:nsid w:val="5F883489"/>
    <w:multiLevelType w:val="multilevel"/>
    <w:tmpl w:val="0FF8016C"/>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8">
    <w:nsid w:val="605912A3"/>
    <w:multiLevelType w:val="hybridMultilevel"/>
    <w:tmpl w:val="1C8EB5D8"/>
    <w:lvl w:ilvl="0" w:tplc="D22447E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0">
    <w:nsid w:val="60B41951"/>
    <w:multiLevelType w:val="hybridMultilevel"/>
    <w:tmpl w:val="0F48BB28"/>
    <w:lvl w:ilvl="0" w:tplc="8AF42128">
      <w:start w:val="1"/>
      <w:numFmt w:val="upperRoman"/>
      <w:lvlText w:val="%1."/>
      <w:lvlJc w:val="left"/>
      <w:pPr>
        <w:ind w:left="720" w:hanging="360"/>
      </w:pPr>
      <w:rPr>
        <w:rFonts w:ascii="Gotham" w:hAnsi="Gotham" w:hint="default"/>
        <w:b w:val="0"/>
        <w:i w:val="0"/>
        <w:color w:val="auto"/>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4DF0F30"/>
    <w:multiLevelType w:val="hybridMultilevel"/>
    <w:tmpl w:val="B25E6CCE"/>
    <w:lvl w:ilvl="0" w:tplc="080A0011">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2">
    <w:nsid w:val="65C455BF"/>
    <w:multiLevelType w:val="multilevel"/>
    <w:tmpl w:val="A54A9470"/>
    <w:styleLink w:val="WW8Num2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3">
    <w:nsid w:val="673952AA"/>
    <w:multiLevelType w:val="multilevel"/>
    <w:tmpl w:val="18BC4622"/>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4">
    <w:nsid w:val="67796436"/>
    <w:multiLevelType w:val="hybridMultilevel"/>
    <w:tmpl w:val="4C9666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67E20516"/>
    <w:multiLevelType w:val="hybridMultilevel"/>
    <w:tmpl w:val="6F765AAC"/>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nsid w:val="68167200"/>
    <w:multiLevelType w:val="multilevel"/>
    <w:tmpl w:val="7B1A06C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nsid w:val="685C4C78"/>
    <w:multiLevelType w:val="hybridMultilevel"/>
    <w:tmpl w:val="21F416D0"/>
    <w:lvl w:ilvl="0" w:tplc="38A464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8A71CDC"/>
    <w:multiLevelType w:val="hybridMultilevel"/>
    <w:tmpl w:val="1EEC8C94"/>
    <w:lvl w:ilvl="0" w:tplc="080A001B">
      <w:start w:val="1"/>
      <w:numFmt w:val="low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0">
    <w:nsid w:val="69327FF9"/>
    <w:multiLevelType w:val="hybridMultilevel"/>
    <w:tmpl w:val="80EAF7F0"/>
    <w:lvl w:ilvl="0" w:tplc="080A0017">
      <w:start w:val="1"/>
      <w:numFmt w:val="lowerLetter"/>
      <w:lvlText w:val="%1)"/>
      <w:lvlJc w:val="left"/>
      <w:pPr>
        <w:ind w:left="720" w:hanging="360"/>
      </w:pPr>
    </w:lvl>
    <w:lvl w:ilvl="1" w:tplc="04090019">
      <w:start w:val="1"/>
      <w:numFmt w:val="lowerLetter"/>
      <w:lvlText w:val="%2."/>
      <w:lvlJc w:val="left"/>
      <w:pPr>
        <w:ind w:left="1440" w:hanging="360"/>
      </w:pPr>
    </w:lvl>
    <w:lvl w:ilvl="2" w:tplc="7D521248">
      <w:start w:val="1"/>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nsid w:val="699C4A09"/>
    <w:multiLevelType w:val="multilevel"/>
    <w:tmpl w:val="E9ECB42C"/>
    <w:styleLink w:val="WW8Num3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2">
    <w:nsid w:val="69C924B6"/>
    <w:multiLevelType w:val="multilevel"/>
    <w:tmpl w:val="7AA46AFE"/>
    <w:styleLink w:val="WW8Num1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3">
    <w:nsid w:val="6A4D5C5B"/>
    <w:multiLevelType w:val="multilevel"/>
    <w:tmpl w:val="C46288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nsid w:val="6AA203FB"/>
    <w:multiLevelType w:val="multilevel"/>
    <w:tmpl w:val="C9A2FEDC"/>
    <w:styleLink w:val="WW8Num45"/>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5">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6">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7">
    <w:nsid w:val="6C1669C5"/>
    <w:multiLevelType w:val="hybridMultilevel"/>
    <w:tmpl w:val="0E6A7322"/>
    <w:lvl w:ilvl="0" w:tplc="4A4498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229">
    <w:nsid w:val="6E76039E"/>
    <w:multiLevelType w:val="multilevel"/>
    <w:tmpl w:val="D88E7704"/>
    <w:styleLink w:val="WW8Num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0">
    <w:nsid w:val="6EBB3F55"/>
    <w:multiLevelType w:val="multilevel"/>
    <w:tmpl w:val="A68E0BE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nsid w:val="6F446513"/>
    <w:multiLevelType w:val="hybridMultilevel"/>
    <w:tmpl w:val="9D705C02"/>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619E4B1C">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3">
    <w:nsid w:val="6FEE415D"/>
    <w:multiLevelType w:val="multilevel"/>
    <w:tmpl w:val="B2FE66E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4">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5">
    <w:nsid w:val="7066434F"/>
    <w:multiLevelType w:val="multilevel"/>
    <w:tmpl w:val="DEF861B6"/>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6">
    <w:nsid w:val="70750B68"/>
    <w:multiLevelType w:val="multilevel"/>
    <w:tmpl w:val="E6BC5D34"/>
    <w:styleLink w:val="WW8Num4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7">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8">
    <w:nsid w:val="7145316B"/>
    <w:multiLevelType w:val="multilevel"/>
    <w:tmpl w:val="07DCDEA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0">
    <w:nsid w:val="71B03752"/>
    <w:multiLevelType w:val="multilevel"/>
    <w:tmpl w:val="0F0C843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nsid w:val="71D83345"/>
    <w:multiLevelType w:val="multilevel"/>
    <w:tmpl w:val="CDCA7D76"/>
    <w:styleLink w:val="WW8Num4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2">
    <w:nsid w:val="71E35B83"/>
    <w:multiLevelType w:val="hybridMultilevel"/>
    <w:tmpl w:val="9A58940C"/>
    <w:lvl w:ilvl="0" w:tplc="940CFDB8">
      <w:start w:val="1"/>
      <w:numFmt w:val="lowerLetter"/>
      <w:lvlText w:val="%1)"/>
      <w:lvlJc w:val="left"/>
      <w:pPr>
        <w:ind w:left="1866" w:hanging="360"/>
      </w:pPr>
      <w:rPr>
        <w:b w:val="0"/>
      </w:rPr>
    </w:lvl>
    <w:lvl w:ilvl="1" w:tplc="8AF42128">
      <w:start w:val="1"/>
      <w:numFmt w:val="upperRoman"/>
      <w:lvlText w:val="%2."/>
      <w:lvlJc w:val="left"/>
      <w:pPr>
        <w:ind w:left="2946" w:hanging="720"/>
      </w:pPr>
      <w:rPr>
        <w:rFonts w:ascii="Gotham" w:hAnsi="Gotham" w:hint="default"/>
        <w:b w:val="0"/>
        <w:i w:val="0"/>
        <w:color w:val="auto"/>
        <w:sz w:val="19"/>
      </w:r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243">
    <w:nsid w:val="739D3056"/>
    <w:multiLevelType w:val="multilevel"/>
    <w:tmpl w:val="471A38B0"/>
    <w:styleLink w:val="WW8Num2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4">
    <w:nsid w:val="73CA597E"/>
    <w:multiLevelType w:val="hybridMultilevel"/>
    <w:tmpl w:val="DBBE9234"/>
    <w:lvl w:ilvl="0" w:tplc="C76E4B0C">
      <w:start w:val="1"/>
      <w:numFmt w:val="upperRoman"/>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45">
    <w:nsid w:val="73CB7D76"/>
    <w:multiLevelType w:val="hybridMultilevel"/>
    <w:tmpl w:val="7A4C4858"/>
    <w:lvl w:ilvl="0" w:tplc="74D24094">
      <w:start w:val="1"/>
      <w:numFmt w:val="upperRoman"/>
      <w:lvlText w:val="%1."/>
      <w:lvlJc w:val="left"/>
      <w:pPr>
        <w:ind w:left="1440" w:hanging="720"/>
      </w:pPr>
      <w:rPr>
        <w:rFonts w:hint="default"/>
      </w:rPr>
    </w:lvl>
    <w:lvl w:ilvl="1" w:tplc="D6A63C40">
      <w:start w:val="1"/>
      <w:numFmt w:val="lowerLetter"/>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6">
    <w:nsid w:val="742E6C78"/>
    <w:multiLevelType w:val="hybridMultilevel"/>
    <w:tmpl w:val="A6EE7D74"/>
    <w:lvl w:ilvl="0" w:tplc="2DDE04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nsid w:val="745244B4"/>
    <w:multiLevelType w:val="hybridMultilevel"/>
    <w:tmpl w:val="ECF63CF0"/>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nsid w:val="74536A25"/>
    <w:multiLevelType w:val="hybridMultilevel"/>
    <w:tmpl w:val="5228527A"/>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nsid w:val="745E0605"/>
    <w:multiLevelType w:val="multilevel"/>
    <w:tmpl w:val="500403D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nsid w:val="74F3629A"/>
    <w:multiLevelType w:val="multilevel"/>
    <w:tmpl w:val="DAF45CB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nsid w:val="757D0656"/>
    <w:multiLevelType w:val="hybridMultilevel"/>
    <w:tmpl w:val="952E6F96"/>
    <w:lvl w:ilvl="0" w:tplc="4F3AD2F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nsid w:val="75B457CF"/>
    <w:multiLevelType w:val="hybridMultilevel"/>
    <w:tmpl w:val="B1860142"/>
    <w:lvl w:ilvl="0" w:tplc="E4C4B42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3">
    <w:nsid w:val="763D4E9F"/>
    <w:multiLevelType w:val="hybridMultilevel"/>
    <w:tmpl w:val="43DEEE82"/>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nsid w:val="76416BAF"/>
    <w:multiLevelType w:val="multilevel"/>
    <w:tmpl w:val="F85C9B42"/>
    <w:styleLink w:val="WW8Num5"/>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5">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6">
    <w:nsid w:val="77C87369"/>
    <w:multiLevelType w:val="multilevel"/>
    <w:tmpl w:val="967A4048"/>
    <w:styleLink w:val="WW8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7">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8">
    <w:nsid w:val="77EC681C"/>
    <w:multiLevelType w:val="hybridMultilevel"/>
    <w:tmpl w:val="E94CA100"/>
    <w:lvl w:ilvl="0" w:tplc="41909C50">
      <w:start w:val="1"/>
      <w:numFmt w:val="upperRoman"/>
      <w:lvlText w:val="%1."/>
      <w:lvlJc w:val="left"/>
      <w:pPr>
        <w:ind w:left="1080" w:hanging="720"/>
      </w:pPr>
      <w:rPr>
        <w:rFonts w:cs="Arial,Bold" w:hint="default"/>
        <w:b w:val="0"/>
      </w:rPr>
    </w:lvl>
    <w:lvl w:ilvl="1" w:tplc="20E2E9C8">
      <w:start w:val="1"/>
      <w:numFmt w:val="lowerLetter"/>
      <w:lvlText w:val="%2)"/>
      <w:lvlJc w:val="left"/>
      <w:pPr>
        <w:ind w:left="1440" w:hanging="360"/>
      </w:pPr>
      <w:rPr>
        <w:rFonts w:cs="Arial,Bold" w:hint="default"/>
        <w:b/>
      </w:rPr>
    </w:lvl>
    <w:lvl w:ilvl="2" w:tplc="181A011E">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nsid w:val="781F21EB"/>
    <w:multiLevelType w:val="hybridMultilevel"/>
    <w:tmpl w:val="3300FF28"/>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nsid w:val="79587291"/>
    <w:multiLevelType w:val="hybridMultilevel"/>
    <w:tmpl w:val="4AF87088"/>
    <w:lvl w:ilvl="0" w:tplc="6CF6978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nsid w:val="7963263B"/>
    <w:multiLevelType w:val="hybridMultilevel"/>
    <w:tmpl w:val="D0062ECA"/>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nsid w:val="7ACD4BB8"/>
    <w:multiLevelType w:val="hybridMultilevel"/>
    <w:tmpl w:val="A42C96FA"/>
    <w:lvl w:ilvl="0" w:tplc="6E204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B292144"/>
    <w:multiLevelType w:val="multilevel"/>
    <w:tmpl w:val="D8364C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nsid w:val="7B2B0181"/>
    <w:multiLevelType w:val="multilevel"/>
    <w:tmpl w:val="2C6226AA"/>
    <w:styleLink w:val="WW8Num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5">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6">
    <w:nsid w:val="7B542209"/>
    <w:multiLevelType w:val="multilevel"/>
    <w:tmpl w:val="D3B0BE4A"/>
    <w:styleLink w:val="WW8Num4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7">
    <w:nsid w:val="7BD27C3C"/>
    <w:multiLevelType w:val="hybridMultilevel"/>
    <w:tmpl w:val="FD765E50"/>
    <w:lvl w:ilvl="0" w:tplc="080A001B">
      <w:start w:val="1"/>
      <w:numFmt w:val="low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nsid w:val="7C036360"/>
    <w:multiLevelType w:val="multilevel"/>
    <w:tmpl w:val="7178933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nsid w:val="7C3837E5"/>
    <w:multiLevelType w:val="multilevel"/>
    <w:tmpl w:val="016246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nsid w:val="7CA46D13"/>
    <w:multiLevelType w:val="hybridMultilevel"/>
    <w:tmpl w:val="DAB28A68"/>
    <w:lvl w:ilvl="0" w:tplc="0CFA54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nsid w:val="7D0B701D"/>
    <w:multiLevelType w:val="hybridMultilevel"/>
    <w:tmpl w:val="776C047C"/>
    <w:lvl w:ilvl="0" w:tplc="6E20445E">
      <w:start w:val="1"/>
      <w:numFmt w:val="upperRoman"/>
      <w:lvlText w:val="%1."/>
      <w:lvlJc w:val="left"/>
      <w:pPr>
        <w:ind w:left="72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2">
    <w:nsid w:val="7D2B28E8"/>
    <w:multiLevelType w:val="hybridMultilevel"/>
    <w:tmpl w:val="E5F8E302"/>
    <w:lvl w:ilvl="0" w:tplc="4A4498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D487632"/>
    <w:multiLevelType w:val="hybridMultilevel"/>
    <w:tmpl w:val="A19A26FC"/>
    <w:lvl w:ilvl="0" w:tplc="080A001B">
      <w:start w:val="1"/>
      <w:numFmt w:val="low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nsid w:val="7DA62F85"/>
    <w:multiLevelType w:val="hybridMultilevel"/>
    <w:tmpl w:val="ED649C66"/>
    <w:lvl w:ilvl="0" w:tplc="080A0013">
      <w:start w:val="1"/>
      <w:numFmt w:val="upperRoman"/>
      <w:lvlText w:val="%1."/>
      <w:lvlJc w:val="right"/>
      <w:pPr>
        <w:ind w:left="720" w:hanging="360"/>
      </w:pPr>
    </w:lvl>
    <w:lvl w:ilvl="1" w:tplc="8AF42128">
      <w:start w:val="1"/>
      <w:numFmt w:val="upperRoman"/>
      <w:lvlText w:val="%2."/>
      <w:lvlJc w:val="left"/>
      <w:pPr>
        <w:ind w:left="1440" w:hanging="360"/>
      </w:pPr>
      <w:rPr>
        <w:rFonts w:ascii="Gotham" w:hAnsi="Gotham" w:hint="default"/>
        <w:b w:val="0"/>
        <w:i w:val="0"/>
        <w:color w:val="auto"/>
        <w:sz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nsid w:val="7DD93A2B"/>
    <w:multiLevelType w:val="hybridMultilevel"/>
    <w:tmpl w:val="44EEF450"/>
    <w:lvl w:ilvl="0" w:tplc="8AF42128">
      <w:start w:val="1"/>
      <w:numFmt w:val="upperRoman"/>
      <w:lvlText w:val="%1."/>
      <w:lvlJc w:val="left"/>
      <w:pPr>
        <w:ind w:left="720" w:hanging="36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7">
    <w:nsid w:val="7E0F62B4"/>
    <w:multiLevelType w:val="hybridMultilevel"/>
    <w:tmpl w:val="3DB805AE"/>
    <w:lvl w:ilvl="0" w:tplc="8AF42128">
      <w:start w:val="1"/>
      <w:numFmt w:val="upperRoman"/>
      <w:lvlText w:val="%1."/>
      <w:lvlJc w:val="left"/>
      <w:pPr>
        <w:ind w:left="1080" w:hanging="720"/>
      </w:pPr>
      <w:rPr>
        <w:rFonts w:ascii="Gotham" w:hAnsi="Gotham" w:hint="default"/>
        <w:b w:val="0"/>
        <w:i w:val="0"/>
        <w:color w:val="auto"/>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9">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0">
    <w:nsid w:val="7F397321"/>
    <w:multiLevelType w:val="multilevel"/>
    <w:tmpl w:val="EF7A9EF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nsid w:val="7F540245"/>
    <w:multiLevelType w:val="multilevel"/>
    <w:tmpl w:val="6846D07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3">
    <w:nsid w:val="7FE014A8"/>
    <w:multiLevelType w:val="hybridMultilevel"/>
    <w:tmpl w:val="A804261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5B7E7F36">
      <w:start w:val="1"/>
      <w:numFmt w:val="upperRoman"/>
      <w:lvlText w:val="%3."/>
      <w:lvlJc w:val="left"/>
      <w:pPr>
        <w:ind w:left="2700" w:hanging="720"/>
      </w:pPr>
      <w:rPr>
        <w:rFonts w:cs="Arial,Bold" w:hint="default"/>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nsid w:val="7FEC4474"/>
    <w:multiLevelType w:val="hybridMultilevel"/>
    <w:tmpl w:val="BD5612F8"/>
    <w:lvl w:ilvl="0" w:tplc="080A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6"/>
  </w:num>
  <w:num w:numId="3">
    <w:abstractNumId w:val="0"/>
  </w:num>
  <w:num w:numId="4">
    <w:abstractNumId w:val="11"/>
  </w:num>
  <w:num w:numId="5">
    <w:abstractNumId w:val="56"/>
  </w:num>
  <w:num w:numId="6">
    <w:abstractNumId w:val="125"/>
  </w:num>
  <w:num w:numId="7">
    <w:abstractNumId w:val="38"/>
  </w:num>
  <w:num w:numId="8">
    <w:abstractNumId w:val="140"/>
  </w:num>
  <w:num w:numId="9">
    <w:abstractNumId w:val="229"/>
  </w:num>
  <w:num w:numId="10">
    <w:abstractNumId w:val="46"/>
  </w:num>
  <w:num w:numId="11">
    <w:abstractNumId w:val="82"/>
  </w:num>
  <w:num w:numId="12">
    <w:abstractNumId w:val="47"/>
  </w:num>
  <w:num w:numId="13">
    <w:abstractNumId w:val="113"/>
  </w:num>
  <w:num w:numId="14">
    <w:abstractNumId w:val="62"/>
  </w:num>
  <w:num w:numId="15">
    <w:abstractNumId w:val="76"/>
  </w:num>
  <w:num w:numId="16">
    <w:abstractNumId w:val="256"/>
  </w:num>
  <w:num w:numId="17">
    <w:abstractNumId w:val="137"/>
  </w:num>
  <w:num w:numId="18">
    <w:abstractNumId w:val="60"/>
  </w:num>
  <w:num w:numId="19">
    <w:abstractNumId w:val="98"/>
  </w:num>
  <w:num w:numId="20">
    <w:abstractNumId w:val="59"/>
  </w:num>
  <w:num w:numId="21">
    <w:abstractNumId w:val="39"/>
  </w:num>
  <w:num w:numId="22">
    <w:abstractNumId w:val="43"/>
  </w:num>
  <w:num w:numId="23">
    <w:abstractNumId w:val="159"/>
  </w:num>
  <w:num w:numId="24">
    <w:abstractNumId w:val="206"/>
  </w:num>
  <w:num w:numId="25">
    <w:abstractNumId w:val="156"/>
  </w:num>
  <w:num w:numId="26">
    <w:abstractNumId w:val="33"/>
  </w:num>
  <w:num w:numId="27">
    <w:abstractNumId w:val="22"/>
  </w:num>
  <w:num w:numId="28">
    <w:abstractNumId w:val="68"/>
  </w:num>
  <w:num w:numId="29">
    <w:abstractNumId w:val="195"/>
  </w:num>
  <w:num w:numId="30">
    <w:abstractNumId w:val="213"/>
  </w:num>
  <w:num w:numId="31">
    <w:abstractNumId w:val="10"/>
  </w:num>
  <w:num w:numId="32">
    <w:abstractNumId w:val="123"/>
  </w:num>
  <w:num w:numId="33">
    <w:abstractNumId w:val="42"/>
  </w:num>
  <w:num w:numId="34">
    <w:abstractNumId w:val="73"/>
  </w:num>
  <w:num w:numId="35">
    <w:abstractNumId w:val="221"/>
  </w:num>
  <w:num w:numId="36">
    <w:abstractNumId w:val="209"/>
  </w:num>
  <w:num w:numId="37">
    <w:abstractNumId w:val="45"/>
  </w:num>
  <w:num w:numId="38">
    <w:abstractNumId w:val="179"/>
  </w:num>
  <w:num w:numId="39">
    <w:abstractNumId w:val="222"/>
  </w:num>
  <w:num w:numId="40">
    <w:abstractNumId w:val="192"/>
  </w:num>
  <w:num w:numId="41">
    <w:abstractNumId w:val="89"/>
  </w:num>
  <w:num w:numId="42">
    <w:abstractNumId w:val="51"/>
  </w:num>
  <w:num w:numId="43">
    <w:abstractNumId w:val="20"/>
  </w:num>
  <w:num w:numId="44">
    <w:abstractNumId w:val="58"/>
  </w:num>
  <w:num w:numId="45">
    <w:abstractNumId w:val="119"/>
  </w:num>
  <w:num w:numId="46">
    <w:abstractNumId w:val="16"/>
  </w:num>
  <w:num w:numId="47">
    <w:abstractNumId w:val="105"/>
  </w:num>
  <w:num w:numId="48">
    <w:abstractNumId w:val="55"/>
  </w:num>
  <w:num w:numId="49">
    <w:abstractNumId w:val="264"/>
  </w:num>
  <w:num w:numId="50">
    <w:abstractNumId w:val="8"/>
  </w:num>
  <w:num w:numId="51">
    <w:abstractNumId w:val="61"/>
  </w:num>
  <w:num w:numId="52">
    <w:abstractNumId w:val="167"/>
  </w:num>
  <w:num w:numId="53">
    <w:abstractNumId w:val="212"/>
  </w:num>
  <w:num w:numId="54">
    <w:abstractNumId w:val="207"/>
  </w:num>
  <w:num w:numId="55">
    <w:abstractNumId w:val="228"/>
  </w:num>
  <w:num w:numId="56">
    <w:abstractNumId w:val="197"/>
  </w:num>
  <w:num w:numId="57">
    <w:abstractNumId w:val="83"/>
  </w:num>
  <w:num w:numId="58">
    <w:abstractNumId w:val="200"/>
  </w:num>
  <w:num w:numId="59">
    <w:abstractNumId w:val="144"/>
  </w:num>
  <w:num w:numId="60">
    <w:abstractNumId w:val="17"/>
  </w:num>
  <w:num w:numId="61">
    <w:abstractNumId w:val="18"/>
  </w:num>
  <w:num w:numId="62">
    <w:abstractNumId w:val="24"/>
  </w:num>
  <w:num w:numId="63">
    <w:abstractNumId w:val="27"/>
  </w:num>
  <w:num w:numId="64">
    <w:abstractNumId w:val="30"/>
  </w:num>
  <w:num w:numId="65">
    <w:abstractNumId w:val="31"/>
  </w:num>
  <w:num w:numId="66">
    <w:abstractNumId w:val="32"/>
  </w:num>
  <w:num w:numId="67">
    <w:abstractNumId w:val="40"/>
  </w:num>
  <w:num w:numId="68">
    <w:abstractNumId w:val="50"/>
  </w:num>
  <w:num w:numId="69">
    <w:abstractNumId w:val="53"/>
  </w:num>
  <w:num w:numId="70">
    <w:abstractNumId w:val="67"/>
  </w:num>
  <w:num w:numId="71">
    <w:abstractNumId w:val="69"/>
  </w:num>
  <w:num w:numId="72">
    <w:abstractNumId w:val="74"/>
  </w:num>
  <w:num w:numId="73">
    <w:abstractNumId w:val="75"/>
  </w:num>
  <w:num w:numId="74">
    <w:abstractNumId w:val="77"/>
  </w:num>
  <w:num w:numId="75">
    <w:abstractNumId w:val="80"/>
  </w:num>
  <w:num w:numId="76">
    <w:abstractNumId w:val="88"/>
  </w:num>
  <w:num w:numId="77">
    <w:abstractNumId w:val="90"/>
  </w:num>
  <w:num w:numId="78">
    <w:abstractNumId w:val="95"/>
  </w:num>
  <w:num w:numId="79">
    <w:abstractNumId w:val="100"/>
  </w:num>
  <w:num w:numId="80">
    <w:abstractNumId w:val="101"/>
  </w:num>
  <w:num w:numId="81">
    <w:abstractNumId w:val="103"/>
  </w:num>
  <w:num w:numId="82">
    <w:abstractNumId w:val="106"/>
  </w:num>
  <w:num w:numId="83">
    <w:abstractNumId w:val="108"/>
  </w:num>
  <w:num w:numId="84">
    <w:abstractNumId w:val="109"/>
  </w:num>
  <w:num w:numId="85">
    <w:abstractNumId w:val="110"/>
  </w:num>
  <w:num w:numId="86">
    <w:abstractNumId w:val="122"/>
  </w:num>
  <w:num w:numId="87">
    <w:abstractNumId w:val="124"/>
  </w:num>
  <w:num w:numId="88">
    <w:abstractNumId w:val="134"/>
  </w:num>
  <w:num w:numId="89">
    <w:abstractNumId w:val="135"/>
  </w:num>
  <w:num w:numId="90">
    <w:abstractNumId w:val="141"/>
  </w:num>
  <w:num w:numId="91">
    <w:abstractNumId w:val="142"/>
  </w:num>
  <w:num w:numId="92">
    <w:abstractNumId w:val="143"/>
  </w:num>
  <w:num w:numId="93">
    <w:abstractNumId w:val="145"/>
  </w:num>
  <w:num w:numId="94">
    <w:abstractNumId w:val="150"/>
  </w:num>
  <w:num w:numId="95">
    <w:abstractNumId w:val="151"/>
  </w:num>
  <w:num w:numId="96">
    <w:abstractNumId w:val="153"/>
  </w:num>
  <w:num w:numId="97">
    <w:abstractNumId w:val="155"/>
  </w:num>
  <w:num w:numId="98">
    <w:abstractNumId w:val="158"/>
  </w:num>
  <w:num w:numId="99">
    <w:abstractNumId w:val="169"/>
  </w:num>
  <w:num w:numId="100">
    <w:abstractNumId w:val="174"/>
  </w:num>
  <w:num w:numId="101">
    <w:abstractNumId w:val="175"/>
  </w:num>
  <w:num w:numId="102">
    <w:abstractNumId w:val="176"/>
  </w:num>
  <w:num w:numId="103">
    <w:abstractNumId w:val="177"/>
  </w:num>
  <w:num w:numId="104">
    <w:abstractNumId w:val="178"/>
  </w:num>
  <w:num w:numId="105">
    <w:abstractNumId w:val="184"/>
  </w:num>
  <w:num w:numId="106">
    <w:abstractNumId w:val="186"/>
  </w:num>
  <w:num w:numId="107">
    <w:abstractNumId w:val="188"/>
  </w:num>
  <w:num w:numId="108">
    <w:abstractNumId w:val="193"/>
  </w:num>
  <w:num w:numId="109">
    <w:abstractNumId w:val="198"/>
  </w:num>
  <w:num w:numId="110">
    <w:abstractNumId w:val="201"/>
  </w:num>
  <w:num w:numId="111">
    <w:abstractNumId w:val="202"/>
  </w:num>
  <w:num w:numId="112">
    <w:abstractNumId w:val="203"/>
  </w:num>
  <w:num w:numId="113">
    <w:abstractNumId w:val="204"/>
  </w:num>
  <w:num w:numId="114">
    <w:abstractNumId w:val="219"/>
  </w:num>
  <w:num w:numId="115">
    <w:abstractNumId w:val="224"/>
  </w:num>
  <w:num w:numId="116">
    <w:abstractNumId w:val="225"/>
  </w:num>
  <w:num w:numId="117">
    <w:abstractNumId w:val="226"/>
  </w:num>
  <w:num w:numId="118">
    <w:abstractNumId w:val="232"/>
  </w:num>
  <w:num w:numId="119">
    <w:abstractNumId w:val="234"/>
  </w:num>
  <w:num w:numId="120">
    <w:abstractNumId w:val="236"/>
  </w:num>
  <w:num w:numId="121">
    <w:abstractNumId w:val="237"/>
  </w:num>
  <w:num w:numId="122">
    <w:abstractNumId w:val="239"/>
  </w:num>
  <w:num w:numId="123">
    <w:abstractNumId w:val="241"/>
  </w:num>
  <w:num w:numId="124">
    <w:abstractNumId w:val="243"/>
  </w:num>
  <w:num w:numId="125">
    <w:abstractNumId w:val="254"/>
  </w:num>
  <w:num w:numId="126">
    <w:abstractNumId w:val="255"/>
  </w:num>
  <w:num w:numId="127">
    <w:abstractNumId w:val="257"/>
  </w:num>
  <w:num w:numId="128">
    <w:abstractNumId w:val="265"/>
  </w:num>
  <w:num w:numId="129">
    <w:abstractNumId w:val="266"/>
  </w:num>
  <w:num w:numId="130">
    <w:abstractNumId w:val="276"/>
  </w:num>
  <w:num w:numId="131">
    <w:abstractNumId w:val="278"/>
  </w:num>
  <w:num w:numId="132">
    <w:abstractNumId w:val="279"/>
  </w:num>
  <w:num w:numId="133">
    <w:abstractNumId w:val="282"/>
  </w:num>
  <w:num w:numId="134">
    <w:abstractNumId w:val="12"/>
  </w:num>
  <w:num w:numId="135">
    <w:abstractNumId w:val="235"/>
  </w:num>
  <w:num w:numId="136">
    <w:abstractNumId w:val="146"/>
  </w:num>
  <w:num w:numId="137">
    <w:abstractNumId w:val="96"/>
  </w:num>
  <w:num w:numId="138">
    <w:abstractNumId w:val="147"/>
  </w:num>
  <w:num w:numId="139">
    <w:abstractNumId w:val="270"/>
  </w:num>
  <w:num w:numId="140">
    <w:abstractNumId w:val="246"/>
  </w:num>
  <w:num w:numId="141">
    <w:abstractNumId w:val="99"/>
  </w:num>
  <w:num w:numId="142">
    <w:abstractNumId w:val="116"/>
  </w:num>
  <w:num w:numId="143">
    <w:abstractNumId w:val="208"/>
  </w:num>
  <w:num w:numId="144">
    <w:abstractNumId w:val="251"/>
  </w:num>
  <w:num w:numId="145">
    <w:abstractNumId w:val="70"/>
  </w:num>
  <w:num w:numId="146">
    <w:abstractNumId w:val="152"/>
  </w:num>
  <w:num w:numId="147">
    <w:abstractNumId w:val="120"/>
  </w:num>
  <w:num w:numId="148">
    <w:abstractNumId w:val="260"/>
  </w:num>
  <w:num w:numId="149">
    <w:abstractNumId w:val="117"/>
  </w:num>
  <w:num w:numId="150">
    <w:abstractNumId w:val="71"/>
  </w:num>
  <w:num w:numId="151">
    <w:abstractNumId w:val="85"/>
  </w:num>
  <w:num w:numId="152">
    <w:abstractNumId w:val="172"/>
  </w:num>
  <w:num w:numId="153">
    <w:abstractNumId w:val="244"/>
  </w:num>
  <w:num w:numId="154">
    <w:abstractNumId w:val="4"/>
  </w:num>
  <w:num w:numId="155">
    <w:abstractNumId w:val="5"/>
  </w:num>
  <w:num w:numId="156">
    <w:abstractNumId w:val="72"/>
  </w:num>
  <w:num w:numId="1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4"/>
  </w:num>
  <w:num w:numId="16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
    <w:lvlOverride w:ilvl="0"/>
    <w:lvlOverride w:ilvl="1"/>
    <w:lvlOverride w:ilvl="2">
      <w:startOverride w:val="1"/>
    </w:lvlOverride>
    <w:lvlOverride w:ilvl="3"/>
    <w:lvlOverride w:ilvl="4"/>
    <w:lvlOverride w:ilvl="5"/>
    <w:lvlOverride w:ilvl="6"/>
    <w:lvlOverride w:ilvl="7"/>
    <w:lvlOverride w:ilvl="8"/>
  </w:num>
  <w:num w:numId="16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1"/>
  </w:num>
  <w:num w:numId="1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99"/>
  </w:num>
  <w:num w:numId="170">
    <w:abstractNumId w:val="168"/>
  </w:num>
  <w:num w:numId="171">
    <w:abstractNumId w:val="131"/>
  </w:num>
  <w:num w:numId="1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52"/>
  </w:num>
  <w:num w:numId="174">
    <w:abstractNumId w:val="29"/>
  </w:num>
  <w:num w:numId="175">
    <w:abstractNumId w:val="245"/>
  </w:num>
  <w:num w:numId="176">
    <w:abstractNumId w:val="35"/>
  </w:num>
  <w:num w:numId="177">
    <w:abstractNumId w:val="3"/>
  </w:num>
  <w:num w:numId="178">
    <w:abstractNumId w:val="121"/>
  </w:num>
  <w:num w:numId="179">
    <w:abstractNumId w:val="41"/>
  </w:num>
  <w:num w:numId="180">
    <w:abstractNumId w:val="181"/>
  </w:num>
  <w:num w:numId="181">
    <w:abstractNumId w:val="231"/>
  </w:num>
  <w:num w:numId="182">
    <w:abstractNumId w:val="180"/>
  </w:num>
  <w:num w:numId="183">
    <w:abstractNumId w:val="91"/>
  </w:num>
  <w:num w:numId="184">
    <w:abstractNumId w:val="136"/>
  </w:num>
  <w:num w:numId="185">
    <w:abstractNumId w:val="160"/>
  </w:num>
  <w:num w:numId="186">
    <w:abstractNumId w:val="114"/>
  </w:num>
  <w:num w:numId="187">
    <w:abstractNumId w:val="157"/>
  </w:num>
  <w:num w:numId="188">
    <w:abstractNumId w:val="218"/>
  </w:num>
  <w:num w:numId="189">
    <w:abstractNumId w:val="52"/>
  </w:num>
  <w:num w:numId="190">
    <w:abstractNumId w:val="162"/>
  </w:num>
  <w:num w:numId="191">
    <w:abstractNumId w:val="97"/>
  </w:num>
  <w:num w:numId="192">
    <w:abstractNumId w:val="274"/>
  </w:num>
  <w:num w:numId="193">
    <w:abstractNumId w:val="19"/>
  </w:num>
  <w:num w:numId="194">
    <w:abstractNumId w:val="205"/>
  </w:num>
  <w:num w:numId="195">
    <w:abstractNumId w:val="49"/>
  </w:num>
  <w:num w:numId="196">
    <w:abstractNumId w:val="170"/>
  </w:num>
  <w:num w:numId="197">
    <w:abstractNumId w:val="273"/>
  </w:num>
  <w:num w:numId="198">
    <w:abstractNumId w:val="247"/>
  </w:num>
  <w:num w:numId="199">
    <w:abstractNumId w:val="248"/>
  </w:num>
  <w:num w:numId="200">
    <w:abstractNumId w:val="36"/>
  </w:num>
  <w:num w:numId="201">
    <w:abstractNumId w:val="118"/>
  </w:num>
  <w:num w:numId="202">
    <w:abstractNumId w:val="14"/>
  </w:num>
  <w:num w:numId="203">
    <w:abstractNumId w:val="253"/>
  </w:num>
  <w:num w:numId="204">
    <w:abstractNumId w:val="138"/>
  </w:num>
  <w:num w:numId="205">
    <w:abstractNumId w:val="128"/>
  </w:num>
  <w:num w:numId="206">
    <w:abstractNumId w:val="259"/>
  </w:num>
  <w:num w:numId="207">
    <w:abstractNumId w:val="115"/>
  </w:num>
  <w:num w:numId="208">
    <w:abstractNumId w:val="163"/>
  </w:num>
  <w:num w:numId="209">
    <w:abstractNumId w:val="242"/>
  </w:num>
  <w:num w:numId="210">
    <w:abstractNumId w:val="25"/>
  </w:num>
  <w:num w:numId="211">
    <w:abstractNumId w:val="127"/>
  </w:num>
  <w:num w:numId="212">
    <w:abstractNumId w:val="28"/>
  </w:num>
  <w:num w:numId="213">
    <w:abstractNumId w:val="7"/>
  </w:num>
  <w:num w:numId="214">
    <w:abstractNumId w:val="267"/>
  </w:num>
  <w:num w:numId="215">
    <w:abstractNumId w:val="2"/>
  </w:num>
  <w:num w:numId="216">
    <w:abstractNumId w:val="275"/>
  </w:num>
  <w:num w:numId="217">
    <w:abstractNumId w:val="277"/>
  </w:num>
  <w:num w:numId="218">
    <w:abstractNumId w:val="66"/>
  </w:num>
  <w:num w:numId="219">
    <w:abstractNumId w:val="37"/>
  </w:num>
  <w:num w:numId="220">
    <w:abstractNumId w:val="63"/>
  </w:num>
  <w:num w:numId="221">
    <w:abstractNumId w:val="211"/>
  </w:num>
  <w:num w:numId="222">
    <w:abstractNumId w:val="261"/>
  </w:num>
  <w:num w:numId="223">
    <w:abstractNumId w:val="1"/>
  </w:num>
  <w:num w:numId="224">
    <w:abstractNumId w:val="183"/>
  </w:num>
  <w:num w:numId="225">
    <w:abstractNumId w:val="182"/>
  </w:num>
  <w:num w:numId="226">
    <w:abstractNumId w:val="217"/>
  </w:num>
  <w:num w:numId="227">
    <w:abstractNumId w:val="272"/>
  </w:num>
  <w:num w:numId="228">
    <w:abstractNumId w:val="93"/>
  </w:num>
  <w:num w:numId="229">
    <w:abstractNumId w:val="262"/>
  </w:num>
  <w:num w:numId="230">
    <w:abstractNumId w:val="189"/>
  </w:num>
  <w:num w:numId="231">
    <w:abstractNumId w:val="284"/>
  </w:num>
  <w:num w:numId="232">
    <w:abstractNumId w:val="196"/>
  </w:num>
  <w:num w:numId="233">
    <w:abstractNumId w:val="220"/>
  </w:num>
  <w:num w:numId="234">
    <w:abstractNumId w:val="102"/>
  </w:num>
  <w:num w:numId="235">
    <w:abstractNumId w:val="227"/>
  </w:num>
  <w:num w:numId="236">
    <w:abstractNumId w:val="271"/>
  </w:num>
  <w:num w:numId="237">
    <w:abstractNumId w:val="44"/>
  </w:num>
  <w:num w:numId="238">
    <w:abstractNumId w:val="258"/>
  </w:num>
  <w:num w:numId="239">
    <w:abstractNumId w:val="283"/>
  </w:num>
  <w:num w:numId="240">
    <w:abstractNumId w:val="6"/>
  </w:num>
  <w:num w:numId="241">
    <w:abstractNumId w:val="215"/>
  </w:num>
  <w:num w:numId="242">
    <w:abstractNumId w:val="148"/>
  </w:num>
  <w:num w:numId="243">
    <w:abstractNumId w:val="87"/>
  </w:num>
  <w:num w:numId="244">
    <w:abstractNumId w:val="210"/>
  </w:num>
  <w:num w:numId="245">
    <w:abstractNumId w:val="126"/>
  </w:num>
  <w:num w:numId="246">
    <w:abstractNumId w:val="84"/>
  </w:num>
  <w:num w:numId="247">
    <w:abstractNumId w:val="173"/>
  </w:num>
  <w:num w:numId="248">
    <w:abstractNumId w:val="86"/>
  </w:num>
  <w:num w:numId="249">
    <w:abstractNumId w:val="21"/>
  </w:num>
  <w:num w:numId="250">
    <w:abstractNumId w:val="65"/>
  </w:num>
  <w:num w:numId="251">
    <w:abstractNumId w:val="92"/>
  </w:num>
  <w:num w:numId="252">
    <w:abstractNumId w:val="15"/>
  </w:num>
  <w:num w:numId="253">
    <w:abstractNumId w:val="34"/>
  </w:num>
  <w:num w:numId="254">
    <w:abstractNumId w:val="194"/>
  </w:num>
  <w:num w:numId="255">
    <w:abstractNumId w:val="250"/>
  </w:num>
  <w:num w:numId="256">
    <w:abstractNumId w:val="79"/>
  </w:num>
  <w:num w:numId="257">
    <w:abstractNumId w:val="26"/>
  </w:num>
  <w:num w:numId="258">
    <w:abstractNumId w:val="281"/>
  </w:num>
  <w:num w:numId="259">
    <w:abstractNumId w:val="187"/>
  </w:num>
  <w:num w:numId="260">
    <w:abstractNumId w:val="268"/>
  </w:num>
  <w:num w:numId="261">
    <w:abstractNumId w:val="64"/>
  </w:num>
  <w:num w:numId="262">
    <w:abstractNumId w:val="249"/>
  </w:num>
  <w:num w:numId="263">
    <w:abstractNumId w:val="161"/>
  </w:num>
  <w:num w:numId="264">
    <w:abstractNumId w:val="240"/>
  </w:num>
  <w:num w:numId="265">
    <w:abstractNumId w:val="13"/>
  </w:num>
  <w:num w:numId="266">
    <w:abstractNumId w:val="129"/>
  </w:num>
  <w:num w:numId="267">
    <w:abstractNumId w:val="216"/>
  </w:num>
  <w:num w:numId="268">
    <w:abstractNumId w:val="104"/>
  </w:num>
  <w:num w:numId="269">
    <w:abstractNumId w:val="185"/>
  </w:num>
  <w:num w:numId="270">
    <w:abstractNumId w:val="280"/>
  </w:num>
  <w:num w:numId="271">
    <w:abstractNumId w:val="233"/>
  </w:num>
  <w:num w:numId="272">
    <w:abstractNumId w:val="78"/>
  </w:num>
  <w:num w:numId="273">
    <w:abstractNumId w:val="230"/>
  </w:num>
  <w:num w:numId="274">
    <w:abstractNumId w:val="238"/>
  </w:num>
  <w:num w:numId="275">
    <w:abstractNumId w:val="107"/>
  </w:num>
  <w:num w:numId="276">
    <w:abstractNumId w:val="190"/>
  </w:num>
  <w:num w:numId="277">
    <w:abstractNumId w:val="269"/>
  </w:num>
  <w:num w:numId="278">
    <w:abstractNumId w:val="164"/>
  </w:num>
  <w:num w:numId="279">
    <w:abstractNumId w:val="263"/>
  </w:num>
  <w:num w:numId="280">
    <w:abstractNumId w:val="149"/>
  </w:num>
  <w:num w:numId="281">
    <w:abstractNumId w:val="132"/>
  </w:num>
  <w:num w:numId="282">
    <w:abstractNumId w:val="154"/>
  </w:num>
  <w:num w:numId="283">
    <w:abstractNumId w:val="223"/>
  </w:num>
  <w:num w:numId="284">
    <w:abstractNumId w:val="139"/>
  </w:num>
  <w:num w:numId="285">
    <w:abstractNumId w:val="165"/>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5F"/>
    <w:rsid w:val="00016FE1"/>
    <w:rsid w:val="0007387E"/>
    <w:rsid w:val="00093554"/>
    <w:rsid w:val="000B21EB"/>
    <w:rsid w:val="000C5D3A"/>
    <w:rsid w:val="000F59BA"/>
    <w:rsid w:val="001077DF"/>
    <w:rsid w:val="0015568D"/>
    <w:rsid w:val="00190E4A"/>
    <w:rsid w:val="001A7715"/>
    <w:rsid w:val="001B0195"/>
    <w:rsid w:val="001B4161"/>
    <w:rsid w:val="00281155"/>
    <w:rsid w:val="00281C67"/>
    <w:rsid w:val="00286B00"/>
    <w:rsid w:val="002A0E91"/>
    <w:rsid w:val="002B6227"/>
    <w:rsid w:val="002D5E45"/>
    <w:rsid w:val="002D6ABF"/>
    <w:rsid w:val="002F5182"/>
    <w:rsid w:val="00301B4D"/>
    <w:rsid w:val="00332708"/>
    <w:rsid w:val="00345875"/>
    <w:rsid w:val="003B30D3"/>
    <w:rsid w:val="0041199B"/>
    <w:rsid w:val="00484656"/>
    <w:rsid w:val="004B3F6B"/>
    <w:rsid w:val="005402E6"/>
    <w:rsid w:val="0059526C"/>
    <w:rsid w:val="005B6B9E"/>
    <w:rsid w:val="00605E68"/>
    <w:rsid w:val="00634BAE"/>
    <w:rsid w:val="00674FB9"/>
    <w:rsid w:val="006A02BE"/>
    <w:rsid w:val="006C0D36"/>
    <w:rsid w:val="00744127"/>
    <w:rsid w:val="0077058C"/>
    <w:rsid w:val="00771C08"/>
    <w:rsid w:val="007A13DA"/>
    <w:rsid w:val="007C2F8D"/>
    <w:rsid w:val="008344BF"/>
    <w:rsid w:val="008402EC"/>
    <w:rsid w:val="0084186B"/>
    <w:rsid w:val="00865062"/>
    <w:rsid w:val="00883EC2"/>
    <w:rsid w:val="008A612D"/>
    <w:rsid w:val="008A6466"/>
    <w:rsid w:val="008B2E87"/>
    <w:rsid w:val="008D196A"/>
    <w:rsid w:val="008D22E5"/>
    <w:rsid w:val="008E0101"/>
    <w:rsid w:val="008E4DCD"/>
    <w:rsid w:val="009251B4"/>
    <w:rsid w:val="009771E8"/>
    <w:rsid w:val="00985F61"/>
    <w:rsid w:val="009B3266"/>
    <w:rsid w:val="009B4DA0"/>
    <w:rsid w:val="009B5ABA"/>
    <w:rsid w:val="009B5E39"/>
    <w:rsid w:val="009F075D"/>
    <w:rsid w:val="00A31D38"/>
    <w:rsid w:val="00AD51C5"/>
    <w:rsid w:val="00AD6342"/>
    <w:rsid w:val="00B66F55"/>
    <w:rsid w:val="00B76E88"/>
    <w:rsid w:val="00B90F89"/>
    <w:rsid w:val="00C02DA6"/>
    <w:rsid w:val="00C07033"/>
    <w:rsid w:val="00C13AD6"/>
    <w:rsid w:val="00C80840"/>
    <w:rsid w:val="00C87797"/>
    <w:rsid w:val="00C9405B"/>
    <w:rsid w:val="00CE1528"/>
    <w:rsid w:val="00DB42E2"/>
    <w:rsid w:val="00DE3045"/>
    <w:rsid w:val="00DF15EC"/>
    <w:rsid w:val="00E5394F"/>
    <w:rsid w:val="00E9195F"/>
    <w:rsid w:val="00EB535D"/>
    <w:rsid w:val="00EF238A"/>
    <w:rsid w:val="00F06BE5"/>
    <w:rsid w:val="00F605A1"/>
    <w:rsid w:val="00FD0530"/>
    <w:rsid w:val="00FD6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47311A"/>
  <w15:chartTrackingRefBased/>
  <w15:docId w15:val="{BC711D4D-8382-4307-967F-A9C014EE2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95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016FE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qFormat/>
    <w:rsid w:val="00016FE1"/>
    <w:pPr>
      <w:keepNext/>
      <w:jc w:val="both"/>
      <w:outlineLvl w:val="1"/>
    </w:pPr>
    <w:rPr>
      <w:b/>
      <w:sz w:val="20"/>
      <w:szCs w:val="20"/>
      <w:lang w:val="es-ES_tradnl"/>
    </w:rPr>
  </w:style>
  <w:style w:type="paragraph" w:styleId="Ttulo3">
    <w:name w:val="heading 3"/>
    <w:basedOn w:val="Normal"/>
    <w:next w:val="Normal"/>
    <w:link w:val="Ttulo3Car"/>
    <w:unhideWhenUsed/>
    <w:qFormat/>
    <w:rsid w:val="00016FE1"/>
    <w:pPr>
      <w:keepNext/>
      <w:keepLines/>
      <w:spacing w:before="280" w:after="80" w:line="256" w:lineRule="auto"/>
      <w:outlineLvl w:val="2"/>
    </w:pPr>
    <w:rPr>
      <w:rFonts w:ascii="Calibri" w:hAnsi="Calibri" w:cs="Calibri"/>
      <w:b/>
      <w:sz w:val="28"/>
      <w:szCs w:val="28"/>
      <w:lang w:val="es-MX" w:eastAsia="es-MX"/>
    </w:rPr>
  </w:style>
  <w:style w:type="paragraph" w:styleId="Ttulo4">
    <w:name w:val="heading 4"/>
    <w:basedOn w:val="Normal"/>
    <w:next w:val="Normal"/>
    <w:link w:val="Ttulo4Car"/>
    <w:unhideWhenUsed/>
    <w:qFormat/>
    <w:rsid w:val="00016FE1"/>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016FE1"/>
    <w:pPr>
      <w:keepNext/>
      <w:keepLines/>
      <w:spacing w:before="220" w:after="40" w:line="256" w:lineRule="auto"/>
      <w:outlineLvl w:val="4"/>
    </w:pPr>
    <w:rPr>
      <w:rFonts w:ascii="Calibri" w:hAnsi="Calibri" w:cs="Calibri"/>
      <w:b/>
      <w:sz w:val="22"/>
      <w:szCs w:val="22"/>
      <w:lang w:val="es-MX" w:eastAsia="es-MX"/>
    </w:rPr>
  </w:style>
  <w:style w:type="paragraph" w:styleId="Ttulo6">
    <w:name w:val="heading 6"/>
    <w:basedOn w:val="Normal"/>
    <w:next w:val="Normal"/>
    <w:link w:val="Ttulo6Car"/>
    <w:unhideWhenUsed/>
    <w:qFormat/>
    <w:rsid w:val="00016FE1"/>
    <w:pPr>
      <w:keepNext/>
      <w:keepLines/>
      <w:spacing w:before="200" w:after="40" w:line="256" w:lineRule="auto"/>
      <w:outlineLvl w:val="5"/>
    </w:pPr>
    <w:rPr>
      <w:rFonts w:ascii="Calibri" w:hAnsi="Calibri" w:cs="Calibri"/>
      <w:b/>
      <w:sz w:val="20"/>
      <w:szCs w:val="20"/>
      <w:lang w:val="es-MX" w:eastAsia="es-MX"/>
    </w:rPr>
  </w:style>
  <w:style w:type="paragraph" w:styleId="Ttulo7">
    <w:name w:val="heading 7"/>
    <w:basedOn w:val="Normal"/>
    <w:next w:val="Normal"/>
    <w:link w:val="Ttulo7Car"/>
    <w:uiPriority w:val="9"/>
    <w:unhideWhenUsed/>
    <w:qFormat/>
    <w:rsid w:val="00016FE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016FE1"/>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unhideWhenUsed/>
    <w:qFormat/>
    <w:rsid w:val="00016FE1"/>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95F"/>
    <w:pPr>
      <w:tabs>
        <w:tab w:val="center" w:pos="4419"/>
        <w:tab w:val="right" w:pos="8838"/>
      </w:tabs>
    </w:pPr>
  </w:style>
  <w:style w:type="character" w:customStyle="1" w:styleId="EncabezadoCar">
    <w:name w:val="Encabezado Car"/>
    <w:basedOn w:val="Fuentedeprrafopredeter"/>
    <w:link w:val="Encabezado"/>
    <w:uiPriority w:val="99"/>
    <w:rsid w:val="00E9195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9195F"/>
    <w:pPr>
      <w:tabs>
        <w:tab w:val="center" w:pos="4419"/>
        <w:tab w:val="right" w:pos="8838"/>
      </w:tabs>
    </w:pPr>
  </w:style>
  <w:style w:type="character" w:customStyle="1" w:styleId="PiedepginaCar">
    <w:name w:val="Pie de página Car"/>
    <w:basedOn w:val="Fuentedeprrafopredeter"/>
    <w:link w:val="Piedepgina"/>
    <w:uiPriority w:val="99"/>
    <w:rsid w:val="00E9195F"/>
    <w:rPr>
      <w:rFonts w:ascii="Times New Roman" w:eastAsia="Times New Roman" w:hAnsi="Times New Roman" w:cs="Times New Roman"/>
      <w:sz w:val="24"/>
      <w:szCs w:val="24"/>
      <w:lang w:val="es-ES" w:eastAsia="es-ES"/>
    </w:rPr>
  </w:style>
  <w:style w:type="paragraph" w:customStyle="1" w:styleId="western">
    <w:name w:val="western"/>
    <w:basedOn w:val="Normal"/>
    <w:uiPriority w:val="99"/>
    <w:rsid w:val="00E9195F"/>
    <w:pPr>
      <w:spacing w:before="100" w:beforeAutospacing="1"/>
    </w:pPr>
    <w:rPr>
      <w:rFonts w:ascii="Souvenir Lt BT" w:hAnsi="Souvenir Lt BT"/>
      <w:sz w:val="28"/>
      <w:szCs w:val="28"/>
      <w:lang w:val="es-MX" w:eastAsia="es-MX"/>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E9195F"/>
    <w:pPr>
      <w:ind w:left="720"/>
      <w:contextualSpacing/>
    </w:pPr>
  </w:style>
  <w:style w:type="paragraph" w:styleId="Textoindependiente">
    <w:name w:val="Body Text"/>
    <w:basedOn w:val="Normal"/>
    <w:link w:val="TextoindependienteCar"/>
    <w:uiPriority w:val="99"/>
    <w:unhideWhenUsed/>
    <w:qFormat/>
    <w:rsid w:val="00E9195F"/>
    <w:pPr>
      <w:spacing w:after="120"/>
    </w:pPr>
  </w:style>
  <w:style w:type="character" w:customStyle="1" w:styleId="TextoindependienteCar">
    <w:name w:val="Texto independiente Car"/>
    <w:basedOn w:val="Fuentedeprrafopredeter"/>
    <w:link w:val="Textoindependiente"/>
    <w:uiPriority w:val="99"/>
    <w:rsid w:val="00E9195F"/>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E9195F"/>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016FE1"/>
    <w:rPr>
      <w:rFonts w:ascii="Calibri" w:eastAsia="Times New Roman" w:hAnsi="Calibri" w:cs="Times New Roman"/>
      <w:b/>
      <w:bCs/>
      <w:sz w:val="28"/>
      <w:szCs w:val="28"/>
      <w:lang w:val="es-ES" w:eastAsia="es-ES"/>
    </w:rPr>
  </w:style>
  <w:style w:type="character" w:customStyle="1" w:styleId="Ttulo1Car">
    <w:name w:val="Título 1 Car"/>
    <w:basedOn w:val="Fuentedeprrafopredeter"/>
    <w:link w:val="Ttulo1"/>
    <w:uiPriority w:val="1"/>
    <w:rsid w:val="00016FE1"/>
    <w:rPr>
      <w:rFonts w:asciiTheme="majorHAnsi" w:eastAsiaTheme="majorEastAsia" w:hAnsiTheme="majorHAnsi" w:cstheme="majorBidi"/>
      <w:b/>
      <w:bCs/>
      <w:color w:val="2E74B5" w:themeColor="accent1" w:themeShade="BF"/>
      <w:sz w:val="28"/>
      <w:szCs w:val="28"/>
      <w:lang w:val="es-ES" w:eastAsia="es-ES"/>
    </w:rPr>
  </w:style>
  <w:style w:type="character" w:customStyle="1" w:styleId="Ttulo2Car">
    <w:name w:val="Título 2 Car"/>
    <w:basedOn w:val="Fuentedeprrafopredeter"/>
    <w:link w:val="Ttulo2"/>
    <w:uiPriority w:val="9"/>
    <w:rsid w:val="00016FE1"/>
    <w:rPr>
      <w:rFonts w:ascii="Times New Roman" w:eastAsia="Times New Roman" w:hAnsi="Times New Roman" w:cs="Times New Roman"/>
      <w:b/>
      <w:sz w:val="20"/>
      <w:szCs w:val="20"/>
      <w:lang w:val="es-ES_tradnl" w:eastAsia="es-ES"/>
    </w:rPr>
  </w:style>
  <w:style w:type="character" w:customStyle="1" w:styleId="Ttulo3Car">
    <w:name w:val="Título 3 Car"/>
    <w:basedOn w:val="Fuentedeprrafopredeter"/>
    <w:link w:val="Ttulo3"/>
    <w:rsid w:val="00016FE1"/>
    <w:rPr>
      <w:rFonts w:ascii="Calibri" w:eastAsia="Times New Roman" w:hAnsi="Calibri" w:cs="Calibri"/>
      <w:b/>
      <w:sz w:val="28"/>
      <w:szCs w:val="28"/>
      <w:lang w:eastAsia="es-MX"/>
    </w:rPr>
  </w:style>
  <w:style w:type="character" w:customStyle="1" w:styleId="Ttulo5Car">
    <w:name w:val="Título 5 Car"/>
    <w:basedOn w:val="Fuentedeprrafopredeter"/>
    <w:link w:val="Ttulo5"/>
    <w:rsid w:val="00016FE1"/>
    <w:rPr>
      <w:rFonts w:ascii="Calibri" w:eastAsia="Times New Roman" w:hAnsi="Calibri" w:cs="Calibri"/>
      <w:b/>
      <w:lang w:eastAsia="es-MX"/>
    </w:rPr>
  </w:style>
  <w:style w:type="character" w:customStyle="1" w:styleId="Ttulo6Car">
    <w:name w:val="Título 6 Car"/>
    <w:basedOn w:val="Fuentedeprrafopredeter"/>
    <w:link w:val="Ttulo6"/>
    <w:rsid w:val="00016FE1"/>
    <w:rPr>
      <w:rFonts w:ascii="Calibri" w:eastAsia="Times New Roman" w:hAnsi="Calibri" w:cs="Calibri"/>
      <w:b/>
      <w:sz w:val="20"/>
      <w:szCs w:val="20"/>
      <w:lang w:eastAsia="es-MX"/>
    </w:rPr>
  </w:style>
  <w:style w:type="character" w:customStyle="1" w:styleId="Ttulo7Car">
    <w:name w:val="Título 7 Car"/>
    <w:basedOn w:val="Fuentedeprrafopredeter"/>
    <w:link w:val="Ttulo7"/>
    <w:uiPriority w:val="9"/>
    <w:rsid w:val="00016FE1"/>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rsid w:val="00016FE1"/>
    <w:rPr>
      <w:rFonts w:eastAsiaTheme="minorEastAsia"/>
      <w:i/>
      <w:iCs/>
      <w:sz w:val="24"/>
      <w:szCs w:val="24"/>
      <w:lang w:val="en-US"/>
    </w:rPr>
  </w:style>
  <w:style w:type="character" w:customStyle="1" w:styleId="Ttulo9Car">
    <w:name w:val="Título 9 Car"/>
    <w:basedOn w:val="Fuentedeprrafopredeter"/>
    <w:link w:val="Ttulo9"/>
    <w:uiPriority w:val="9"/>
    <w:rsid w:val="00016FE1"/>
    <w:rPr>
      <w:rFonts w:asciiTheme="majorHAnsi" w:eastAsiaTheme="majorEastAsia" w:hAnsiTheme="majorHAnsi" w:cstheme="majorBidi"/>
      <w:lang w:val="en-US"/>
    </w:rPr>
  </w:style>
  <w:style w:type="table" w:styleId="Tablaconcuadrcula">
    <w:name w:val="Table Grid"/>
    <w:basedOn w:val="Tablanormal"/>
    <w:uiPriority w:val="39"/>
    <w:rsid w:val="00016F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merodepgina">
    <w:name w:val="page number"/>
    <w:basedOn w:val="Fuentedeprrafopredeter"/>
    <w:rsid w:val="00016FE1"/>
  </w:style>
  <w:style w:type="paragraph" w:styleId="Puesto">
    <w:name w:val="Title"/>
    <w:basedOn w:val="Normal"/>
    <w:link w:val="PuestoCar"/>
    <w:qFormat/>
    <w:rsid w:val="00016FE1"/>
    <w:pPr>
      <w:jc w:val="center"/>
    </w:pPr>
    <w:rPr>
      <w:rFonts w:ascii="Albertus Extra Bold" w:hAnsi="Albertus Extra Bold"/>
      <w:sz w:val="34"/>
      <w:lang w:val="es-MX"/>
    </w:rPr>
  </w:style>
  <w:style w:type="character" w:customStyle="1" w:styleId="PuestoCar">
    <w:name w:val="Puesto Car"/>
    <w:basedOn w:val="Fuentedeprrafopredeter"/>
    <w:link w:val="Puesto"/>
    <w:rsid w:val="00016FE1"/>
    <w:rPr>
      <w:rFonts w:ascii="Albertus Extra Bold" w:eastAsia="Times New Roman" w:hAnsi="Albertus Extra Bold" w:cs="Times New Roman"/>
      <w:sz w:val="34"/>
      <w:szCs w:val="24"/>
      <w:lang w:eastAsia="es-ES"/>
    </w:rPr>
  </w:style>
  <w:style w:type="paragraph" w:styleId="NormalWeb">
    <w:name w:val="Normal (Web)"/>
    <w:basedOn w:val="Normal"/>
    <w:uiPriority w:val="99"/>
    <w:unhideWhenUsed/>
    <w:rsid w:val="00016FE1"/>
    <w:pPr>
      <w:spacing w:before="100" w:beforeAutospacing="1" w:after="119"/>
    </w:pPr>
  </w:style>
  <w:style w:type="paragraph" w:styleId="Sangradetextonormal">
    <w:name w:val="Body Text Indent"/>
    <w:basedOn w:val="Normal"/>
    <w:link w:val="SangradetextonormalCar"/>
    <w:uiPriority w:val="99"/>
    <w:unhideWhenUsed/>
    <w:rsid w:val="00016FE1"/>
    <w:pPr>
      <w:spacing w:after="120"/>
      <w:ind w:left="283"/>
    </w:pPr>
  </w:style>
  <w:style w:type="character" w:customStyle="1" w:styleId="SangradetextonormalCar">
    <w:name w:val="Sangría de texto normal Car"/>
    <w:basedOn w:val="Fuentedeprrafopredeter"/>
    <w:link w:val="Sangradetextonormal"/>
    <w:uiPriority w:val="99"/>
    <w:rsid w:val="00016FE1"/>
    <w:rPr>
      <w:rFonts w:ascii="Times New Roman" w:eastAsia="Times New Roman" w:hAnsi="Times New Roman" w:cs="Times New Roman"/>
      <w:sz w:val="24"/>
      <w:szCs w:val="24"/>
      <w:lang w:val="es-ES" w:eastAsia="es-ES"/>
    </w:rPr>
  </w:style>
  <w:style w:type="paragraph" w:customStyle="1" w:styleId="NormalArial">
    <w:name w:val="Normal + Arial"/>
    <w:basedOn w:val="Normal"/>
    <w:uiPriority w:val="99"/>
    <w:rsid w:val="00016FE1"/>
    <w:pPr>
      <w:jc w:val="both"/>
    </w:pPr>
    <w:rPr>
      <w:rFonts w:ascii="Arial" w:hAnsi="Arial"/>
    </w:rPr>
  </w:style>
  <w:style w:type="paragraph" w:styleId="Sinespaciado">
    <w:name w:val="No Spacing"/>
    <w:link w:val="SinespaciadoCar"/>
    <w:uiPriority w:val="1"/>
    <w:qFormat/>
    <w:rsid w:val="00016FE1"/>
    <w:pPr>
      <w:spacing w:after="0" w:line="240" w:lineRule="auto"/>
    </w:pPr>
    <w:rPr>
      <w:noProof/>
    </w:rPr>
  </w:style>
  <w:style w:type="character" w:customStyle="1" w:styleId="SinespaciadoCar">
    <w:name w:val="Sin espaciado Car"/>
    <w:link w:val="Sinespaciado"/>
    <w:uiPriority w:val="1"/>
    <w:rsid w:val="00016FE1"/>
    <w:rPr>
      <w:noProof/>
    </w:rPr>
  </w:style>
  <w:style w:type="character" w:styleId="Hipervnculo">
    <w:name w:val="Hyperlink"/>
    <w:basedOn w:val="Fuentedeprrafopredeter"/>
    <w:uiPriority w:val="99"/>
    <w:unhideWhenUsed/>
    <w:rsid w:val="00016FE1"/>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16FE1"/>
    <w:rPr>
      <w:rFonts w:ascii="Times New Roman" w:eastAsia="Times New Roman"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
    <w:basedOn w:val="Normal"/>
    <w:link w:val="TextonotapieCar"/>
    <w:uiPriority w:val="99"/>
    <w:unhideWhenUsed/>
    <w:rsid w:val="00016FE1"/>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16FE1"/>
    <w:rPr>
      <w:rFonts w:ascii="Times New Roman" w:eastAsia="Times New Roman" w:hAnsi="Times New Roman" w:cs="Times New Roman"/>
      <w:sz w:val="20"/>
      <w:szCs w:val="20"/>
      <w:lang w:val="es-ES" w:eastAsia="es-ES"/>
    </w:rPr>
  </w:style>
  <w:style w:type="character" w:customStyle="1" w:styleId="texto1">
    <w:name w:val="texto1"/>
    <w:basedOn w:val="Fuentedeprrafopredeter"/>
    <w:rsid w:val="00016FE1"/>
    <w:rPr>
      <w:rFonts w:ascii="Arial" w:hAnsi="Arial" w:cs="Arial" w:hint="default"/>
      <w:strike w:val="0"/>
      <w:dstrike w:val="0"/>
      <w:sz w:val="18"/>
      <w:szCs w:val="18"/>
      <w:u w:val="none"/>
      <w:effect w:val="none"/>
    </w:rPr>
  </w:style>
  <w:style w:type="paragraph" w:customStyle="1" w:styleId="expandido">
    <w:name w:val="expandido"/>
    <w:basedOn w:val="1"/>
    <w:autoRedefine/>
    <w:uiPriority w:val="99"/>
    <w:rsid w:val="00016FE1"/>
    <w:pPr>
      <w:ind w:firstLine="0"/>
      <w:jc w:val="center"/>
    </w:pPr>
    <w:rPr>
      <w:b/>
      <w:smallCaps/>
      <w:spacing w:val="50"/>
    </w:rPr>
  </w:style>
  <w:style w:type="paragraph" w:customStyle="1" w:styleId="1">
    <w:name w:val="1"/>
    <w:basedOn w:val="Normal"/>
    <w:link w:val="1Car"/>
    <w:rsid w:val="00016FE1"/>
    <w:pPr>
      <w:tabs>
        <w:tab w:val="left" w:pos="1260"/>
      </w:tabs>
      <w:spacing w:line="360" w:lineRule="atLeast"/>
      <w:ind w:firstLine="720"/>
      <w:jc w:val="both"/>
    </w:pPr>
    <w:rPr>
      <w:rFonts w:ascii="Times" w:hAnsi="Times"/>
      <w:szCs w:val="20"/>
      <w:lang w:val="es-ES_tradnl"/>
    </w:rPr>
  </w:style>
  <w:style w:type="character" w:customStyle="1" w:styleId="TextonotaalfinalCar">
    <w:name w:val="Texto nota al final Car"/>
    <w:basedOn w:val="Fuentedeprrafopredeter"/>
    <w:link w:val="Textonotaalfinal"/>
    <w:uiPriority w:val="99"/>
    <w:semiHidden/>
    <w:rsid w:val="00016FE1"/>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16FE1"/>
    <w:rPr>
      <w:sz w:val="20"/>
      <w:szCs w:val="20"/>
    </w:rPr>
  </w:style>
  <w:style w:type="character" w:customStyle="1" w:styleId="TextonotaalfinalCar1">
    <w:name w:val="Texto nota al final Car1"/>
    <w:basedOn w:val="Fuentedeprrafopredeter"/>
    <w:uiPriority w:val="99"/>
    <w:semiHidden/>
    <w:rsid w:val="00016FE1"/>
    <w:rPr>
      <w:rFonts w:ascii="Times New Roman" w:eastAsia="Times New Roman" w:hAnsi="Times New Roman" w:cs="Times New Roman"/>
      <w:sz w:val="20"/>
      <w:szCs w:val="20"/>
      <w:lang w:val="es-ES" w:eastAsia="es-ES"/>
    </w:rPr>
  </w:style>
  <w:style w:type="paragraph" w:customStyle="1" w:styleId="Default">
    <w:name w:val="Default"/>
    <w:rsid w:val="00016FE1"/>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Ttulodellibro">
    <w:name w:val="Book Title"/>
    <w:basedOn w:val="Fuentedeprrafopredeter"/>
    <w:uiPriority w:val="33"/>
    <w:qFormat/>
    <w:rsid w:val="00016FE1"/>
    <w:rPr>
      <w:b/>
      <w:bCs/>
      <w:smallCaps/>
      <w:spacing w:val="5"/>
    </w:rPr>
  </w:style>
  <w:style w:type="paragraph" w:styleId="Textoindependiente3">
    <w:name w:val="Body Text 3"/>
    <w:basedOn w:val="Normal"/>
    <w:link w:val="Textoindependiente3Car"/>
    <w:uiPriority w:val="99"/>
    <w:unhideWhenUsed/>
    <w:rsid w:val="00016FE1"/>
    <w:pPr>
      <w:widowControl w:val="0"/>
      <w:overflowPunct w:val="0"/>
      <w:adjustRightInd w:val="0"/>
      <w:spacing w:after="120"/>
    </w:pPr>
    <w:rPr>
      <w:kern w:val="28"/>
      <w:sz w:val="16"/>
      <w:szCs w:val="16"/>
      <w:lang w:eastAsia="es-MX"/>
    </w:rPr>
  </w:style>
  <w:style w:type="character" w:customStyle="1" w:styleId="Textoindependiente3Car">
    <w:name w:val="Texto independiente 3 Car"/>
    <w:basedOn w:val="Fuentedeprrafopredeter"/>
    <w:link w:val="Textoindependiente3"/>
    <w:uiPriority w:val="99"/>
    <w:rsid w:val="00016FE1"/>
    <w:rPr>
      <w:rFonts w:ascii="Times New Roman" w:eastAsia="Times New Roman" w:hAnsi="Times New Roman" w:cs="Times New Roman"/>
      <w:kern w:val="28"/>
      <w:sz w:val="16"/>
      <w:szCs w:val="16"/>
      <w:lang w:val="es-ES" w:eastAsia="es-MX"/>
    </w:rPr>
  </w:style>
  <w:style w:type="character" w:customStyle="1" w:styleId="TextosinformatoCar">
    <w:name w:val="Texto sin formato Car"/>
    <w:basedOn w:val="Fuentedeprrafopredeter"/>
    <w:link w:val="Textosinformato"/>
    <w:uiPriority w:val="99"/>
    <w:rsid w:val="00016FE1"/>
    <w:rPr>
      <w:rFonts w:ascii="Courier New" w:eastAsia="Times New Roman" w:hAnsi="Courier New" w:cs="Times New Roman"/>
      <w:sz w:val="20"/>
      <w:szCs w:val="20"/>
      <w:lang w:val="es-ES" w:eastAsia="es-ES"/>
    </w:rPr>
  </w:style>
  <w:style w:type="paragraph" w:styleId="Textosinformato">
    <w:name w:val="Plain Text"/>
    <w:basedOn w:val="Normal"/>
    <w:link w:val="TextosinformatoCar"/>
    <w:uiPriority w:val="99"/>
    <w:rsid w:val="00016FE1"/>
    <w:rPr>
      <w:rFonts w:ascii="Courier New" w:hAnsi="Courier New"/>
      <w:sz w:val="20"/>
      <w:szCs w:val="20"/>
    </w:rPr>
  </w:style>
  <w:style w:type="character" w:customStyle="1" w:styleId="TextosinformatoCar1">
    <w:name w:val="Texto sin formato Car1"/>
    <w:basedOn w:val="Fuentedeprrafopredeter"/>
    <w:uiPriority w:val="99"/>
    <w:semiHidden/>
    <w:rsid w:val="00016FE1"/>
    <w:rPr>
      <w:rFonts w:ascii="Consolas" w:eastAsia="Times New Roman" w:hAnsi="Consolas" w:cs="Times New Roman"/>
      <w:sz w:val="21"/>
      <w:szCs w:val="21"/>
      <w:lang w:val="es-ES" w:eastAsia="es-ES"/>
    </w:rPr>
  </w:style>
  <w:style w:type="character" w:customStyle="1" w:styleId="TextodegloboCar">
    <w:name w:val="Texto de globo Car"/>
    <w:basedOn w:val="Fuentedeprrafopredeter"/>
    <w:link w:val="Textodeglobo"/>
    <w:uiPriority w:val="99"/>
    <w:rsid w:val="00016FE1"/>
    <w:rPr>
      <w:rFonts w:ascii="Tahoma" w:eastAsia="Times New Roman" w:hAnsi="Tahoma" w:cs="Tahoma"/>
      <w:sz w:val="16"/>
      <w:szCs w:val="16"/>
      <w:lang w:val="es-ES" w:eastAsia="es-ES"/>
    </w:rPr>
  </w:style>
  <w:style w:type="paragraph" w:styleId="Textodeglobo">
    <w:name w:val="Balloon Text"/>
    <w:basedOn w:val="Normal"/>
    <w:link w:val="TextodegloboCar"/>
    <w:uiPriority w:val="99"/>
    <w:unhideWhenUsed/>
    <w:rsid w:val="00016FE1"/>
    <w:rPr>
      <w:rFonts w:ascii="Tahoma" w:hAnsi="Tahoma" w:cs="Tahoma"/>
      <w:sz w:val="16"/>
      <w:szCs w:val="16"/>
    </w:rPr>
  </w:style>
  <w:style w:type="character" w:customStyle="1" w:styleId="TextodegloboCar1">
    <w:name w:val="Texto de globo Car1"/>
    <w:basedOn w:val="Fuentedeprrafopredeter"/>
    <w:uiPriority w:val="99"/>
    <w:semiHidden/>
    <w:rsid w:val="00016FE1"/>
    <w:rPr>
      <w:rFonts w:ascii="Segoe UI" w:eastAsia="Times New Roman" w:hAnsi="Segoe UI" w:cs="Segoe UI"/>
      <w:sz w:val="18"/>
      <w:szCs w:val="18"/>
      <w:lang w:val="es-ES" w:eastAsia="es-ES"/>
    </w:rPr>
  </w:style>
  <w:style w:type="character" w:styleId="nfasis">
    <w:name w:val="Emphasis"/>
    <w:basedOn w:val="Fuentedeprrafopredeter"/>
    <w:uiPriority w:val="20"/>
    <w:qFormat/>
    <w:rsid w:val="00016FE1"/>
    <w:rPr>
      <w:i/>
      <w:iCs/>
    </w:rPr>
  </w:style>
  <w:style w:type="character" w:customStyle="1" w:styleId="apple-style-span">
    <w:name w:val="apple-style-span"/>
    <w:basedOn w:val="Fuentedeprrafopredeter"/>
    <w:rsid w:val="00016FE1"/>
  </w:style>
  <w:style w:type="character" w:customStyle="1" w:styleId="apple-converted-space">
    <w:name w:val="apple-converted-space"/>
    <w:basedOn w:val="Fuentedeprrafopredeter"/>
    <w:rsid w:val="00016FE1"/>
  </w:style>
  <w:style w:type="character" w:customStyle="1" w:styleId="style21">
    <w:name w:val="style21"/>
    <w:basedOn w:val="Fuentedeprrafopredeter"/>
    <w:rsid w:val="00016FE1"/>
    <w:rPr>
      <w:rFonts w:ascii="Arial" w:hAnsi="Arial" w:cs="Arial" w:hint="default"/>
      <w:sz w:val="18"/>
      <w:szCs w:val="18"/>
    </w:rPr>
  </w:style>
  <w:style w:type="character" w:styleId="Textoennegrita">
    <w:name w:val="Strong"/>
    <w:basedOn w:val="Fuentedeprrafopredeter"/>
    <w:uiPriority w:val="22"/>
    <w:qFormat/>
    <w:rsid w:val="00016FE1"/>
    <w:rPr>
      <w:b/>
      <w:bCs/>
    </w:rPr>
  </w:style>
  <w:style w:type="paragraph" w:customStyle="1" w:styleId="Texto">
    <w:name w:val="Texto"/>
    <w:basedOn w:val="Normal"/>
    <w:link w:val="TextoCar"/>
    <w:rsid w:val="00016FE1"/>
    <w:pPr>
      <w:spacing w:after="101" w:line="216" w:lineRule="exact"/>
      <w:ind w:firstLine="288"/>
      <w:jc w:val="both"/>
    </w:pPr>
    <w:rPr>
      <w:rFonts w:ascii="Arial" w:hAnsi="Arial" w:cs="Arial"/>
      <w:sz w:val="18"/>
      <w:szCs w:val="20"/>
    </w:rPr>
  </w:style>
  <w:style w:type="character" w:customStyle="1" w:styleId="TextoCar">
    <w:name w:val="Texto Car"/>
    <w:basedOn w:val="Fuentedeprrafopredeter"/>
    <w:link w:val="Texto"/>
    <w:rsid w:val="00016FE1"/>
    <w:rPr>
      <w:rFonts w:ascii="Arial" w:eastAsia="Times New Roman" w:hAnsi="Arial" w:cs="Arial"/>
      <w:sz w:val="18"/>
      <w:szCs w:val="20"/>
      <w:lang w:val="es-ES" w:eastAsia="es-ES"/>
    </w:rPr>
  </w:style>
  <w:style w:type="paragraph" w:styleId="Textoindependiente2">
    <w:name w:val="Body Text 2"/>
    <w:basedOn w:val="Normal"/>
    <w:link w:val="Textoindependiente2Car"/>
    <w:uiPriority w:val="99"/>
    <w:unhideWhenUsed/>
    <w:rsid w:val="00016FE1"/>
    <w:pPr>
      <w:spacing w:after="120" w:line="480" w:lineRule="auto"/>
    </w:pPr>
    <w:rPr>
      <w:rFonts w:asciiTheme="minorHAnsi" w:eastAsiaTheme="minorHAnsi" w:hAnsiTheme="minorHAnsi" w:cstheme="minorBidi"/>
      <w:sz w:val="22"/>
      <w:szCs w:val="22"/>
      <w:lang w:eastAsia="en-US"/>
    </w:rPr>
  </w:style>
  <w:style w:type="character" w:customStyle="1" w:styleId="Textoindependiente2Car">
    <w:name w:val="Texto independiente 2 Car"/>
    <w:basedOn w:val="Fuentedeprrafopredeter"/>
    <w:link w:val="Textoindependiente2"/>
    <w:uiPriority w:val="99"/>
    <w:rsid w:val="00016FE1"/>
    <w:rPr>
      <w:lang w:val="es-ES"/>
    </w:rPr>
  </w:style>
  <w:style w:type="character" w:customStyle="1" w:styleId="Sangra3detindependienteCar">
    <w:name w:val="Sangría 3 de t. independiente Car"/>
    <w:basedOn w:val="Fuentedeprrafopredeter"/>
    <w:link w:val="Sangra3detindependiente"/>
    <w:uiPriority w:val="99"/>
    <w:rsid w:val="00016FE1"/>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uiPriority w:val="99"/>
    <w:unhideWhenUsed/>
    <w:rsid w:val="00016FE1"/>
    <w:pPr>
      <w:spacing w:after="120"/>
      <w:ind w:left="283"/>
    </w:pPr>
    <w:rPr>
      <w:sz w:val="16"/>
      <w:szCs w:val="16"/>
    </w:rPr>
  </w:style>
  <w:style w:type="character" w:customStyle="1" w:styleId="Sangra3detindependienteCar1">
    <w:name w:val="Sangría 3 de t. independiente Car1"/>
    <w:basedOn w:val="Fuentedeprrafopredeter"/>
    <w:uiPriority w:val="99"/>
    <w:semiHidden/>
    <w:rsid w:val="00016FE1"/>
    <w:rPr>
      <w:rFonts w:ascii="Times New Roman" w:eastAsia="Times New Roman" w:hAnsi="Times New Roman" w:cs="Times New Roman"/>
      <w:sz w:val="16"/>
      <w:szCs w:val="16"/>
      <w:lang w:val="es-ES" w:eastAsia="es-ES"/>
    </w:rPr>
  </w:style>
  <w:style w:type="character" w:customStyle="1" w:styleId="otro1">
    <w:name w:val="otro1"/>
    <w:basedOn w:val="Fuentedeprrafopredeter"/>
    <w:rsid w:val="00016FE1"/>
    <w:rPr>
      <w:rFonts w:ascii="Verdana" w:hAnsi="Verdana" w:hint="default"/>
      <w:color w:val="000000"/>
      <w:sz w:val="30"/>
      <w:szCs w:val="30"/>
    </w:rPr>
  </w:style>
  <w:style w:type="paragraph" w:customStyle="1" w:styleId="texto0">
    <w:name w:val="texto"/>
    <w:basedOn w:val="Normal"/>
    <w:rsid w:val="00016FE1"/>
    <w:pPr>
      <w:spacing w:after="101" w:line="216" w:lineRule="atLeast"/>
      <w:ind w:firstLine="288"/>
      <w:jc w:val="both"/>
    </w:pPr>
    <w:rPr>
      <w:rFonts w:ascii="Arial" w:hAnsi="Arial"/>
      <w:sz w:val="18"/>
      <w:szCs w:val="20"/>
      <w:lang w:val="es-ES_tradnl"/>
    </w:rPr>
  </w:style>
  <w:style w:type="paragraph" w:customStyle="1" w:styleId="ladillo">
    <w:name w:val="ladillo"/>
    <w:basedOn w:val="Normal"/>
    <w:uiPriority w:val="99"/>
    <w:rsid w:val="00016FE1"/>
    <w:pPr>
      <w:spacing w:before="100" w:beforeAutospacing="1" w:after="100" w:afterAutospacing="1"/>
    </w:pPr>
    <w:rPr>
      <w:lang w:val="es-MX" w:eastAsia="es-MX"/>
    </w:rPr>
  </w:style>
  <w:style w:type="paragraph" w:customStyle="1" w:styleId="cetneg">
    <w:name w:val="cetneg"/>
    <w:basedOn w:val="texto0"/>
    <w:uiPriority w:val="99"/>
    <w:rsid w:val="00016FE1"/>
    <w:rPr>
      <w:lang w:val="es-MX"/>
    </w:rPr>
  </w:style>
  <w:style w:type="paragraph" w:customStyle="1" w:styleId="Prrafodelista1">
    <w:name w:val="Párrafo de lista1"/>
    <w:basedOn w:val="Normal"/>
    <w:uiPriority w:val="99"/>
    <w:qFormat/>
    <w:rsid w:val="00016FE1"/>
    <w:pPr>
      <w:ind w:left="720"/>
    </w:pPr>
    <w:rPr>
      <w:rFonts w:eastAsia="Calibri"/>
    </w:rPr>
  </w:style>
  <w:style w:type="paragraph" w:styleId="Sangra2detindependiente">
    <w:name w:val="Body Text Indent 2"/>
    <w:basedOn w:val="Normal"/>
    <w:link w:val="Sangra2detindependienteCar"/>
    <w:unhideWhenUsed/>
    <w:rsid w:val="00016FE1"/>
    <w:pPr>
      <w:spacing w:after="120" w:line="480" w:lineRule="auto"/>
      <w:ind w:left="283"/>
    </w:pPr>
  </w:style>
  <w:style w:type="character" w:customStyle="1" w:styleId="Sangra2detindependienteCar">
    <w:name w:val="Sangría 2 de t. independiente Car"/>
    <w:basedOn w:val="Fuentedeprrafopredeter"/>
    <w:link w:val="Sangra2detindependiente"/>
    <w:rsid w:val="00016FE1"/>
    <w:rPr>
      <w:rFonts w:ascii="Times New Roman" w:eastAsia="Times New Roman" w:hAnsi="Times New Roman" w:cs="Times New Roman"/>
      <w:sz w:val="24"/>
      <w:szCs w:val="24"/>
      <w:lang w:val="es-ES" w:eastAsia="es-ES"/>
    </w:rPr>
  </w:style>
  <w:style w:type="paragraph" w:customStyle="1" w:styleId="ecxmsonormal">
    <w:name w:val="ecxmsonormal"/>
    <w:basedOn w:val="Normal"/>
    <w:uiPriority w:val="99"/>
    <w:rsid w:val="00016FE1"/>
    <w:pPr>
      <w:spacing w:after="324"/>
    </w:pPr>
    <w:rPr>
      <w:lang w:val="es-MX" w:eastAsia="es-MX"/>
    </w:rPr>
  </w:style>
  <w:style w:type="paragraph" w:customStyle="1" w:styleId="ecxwestern">
    <w:name w:val="ecxwestern"/>
    <w:basedOn w:val="Normal"/>
    <w:uiPriority w:val="99"/>
    <w:rsid w:val="00016FE1"/>
    <w:pPr>
      <w:spacing w:after="324"/>
    </w:pPr>
    <w:rPr>
      <w:lang w:val="es-MX" w:eastAsia="es-MX"/>
    </w:rPr>
  </w:style>
  <w:style w:type="character" w:customStyle="1" w:styleId="A1">
    <w:name w:val="A1"/>
    <w:uiPriority w:val="99"/>
    <w:rsid w:val="00016FE1"/>
    <w:rPr>
      <w:rFonts w:cs="Minion Pro"/>
      <w:color w:val="000000"/>
      <w:sz w:val="27"/>
      <w:szCs w:val="27"/>
    </w:rPr>
  </w:style>
  <w:style w:type="paragraph" w:customStyle="1" w:styleId="Pa1">
    <w:name w:val="Pa1"/>
    <w:basedOn w:val="Default"/>
    <w:next w:val="Default"/>
    <w:uiPriority w:val="99"/>
    <w:rsid w:val="00016FE1"/>
    <w:pPr>
      <w:spacing w:line="241" w:lineRule="atLeast"/>
    </w:pPr>
    <w:rPr>
      <w:rFonts w:ascii="Minion Pro" w:eastAsiaTheme="minorHAnsi" w:hAnsi="Minion Pro" w:cstheme="minorBidi"/>
      <w:color w:val="auto"/>
      <w:lang w:eastAsia="en-US"/>
    </w:rPr>
  </w:style>
  <w:style w:type="paragraph" w:customStyle="1" w:styleId="davidromas">
    <w:name w:val="david romas"/>
    <w:basedOn w:val="Normal"/>
    <w:uiPriority w:val="99"/>
    <w:rsid w:val="00016FE1"/>
    <w:pPr>
      <w:spacing w:after="101" w:line="216" w:lineRule="atLeast"/>
      <w:ind w:left="1620" w:hanging="1350"/>
      <w:jc w:val="both"/>
    </w:pPr>
    <w:rPr>
      <w:rFonts w:ascii="Arial" w:hAnsi="Arial"/>
      <w:sz w:val="18"/>
      <w:szCs w:val="20"/>
      <w:lang w:val="es-ES_tradnl"/>
    </w:rPr>
  </w:style>
  <w:style w:type="character" w:customStyle="1" w:styleId="CharacterStyle1">
    <w:name w:val="Character Style 1"/>
    <w:rsid w:val="00016FE1"/>
    <w:rPr>
      <w:sz w:val="20"/>
      <w:szCs w:val="20"/>
    </w:rPr>
  </w:style>
  <w:style w:type="paragraph" w:customStyle="1" w:styleId="Estilo">
    <w:name w:val="Estilo"/>
    <w:link w:val="EstiloCar"/>
    <w:qFormat/>
    <w:rsid w:val="00016FE1"/>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EstiloCar">
    <w:name w:val="Estilo Car"/>
    <w:basedOn w:val="Fuentedeprrafopredeter"/>
    <w:link w:val="Estilo"/>
    <w:rsid w:val="00016FE1"/>
    <w:rPr>
      <w:rFonts w:ascii="Arial" w:eastAsia="Times New Roman" w:hAnsi="Arial" w:cs="Arial"/>
      <w:sz w:val="24"/>
      <w:szCs w:val="24"/>
      <w:lang w:val="es-ES" w:eastAsia="es-ES"/>
    </w:rPr>
  </w:style>
  <w:style w:type="paragraph" w:customStyle="1" w:styleId="Standard">
    <w:name w:val="Standard"/>
    <w:link w:val="StandardCar"/>
    <w:rsid w:val="00016FE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sid w:val="00016FE1"/>
    <w:rPr>
      <w:rFonts w:ascii="Times New Roman" w:eastAsia="SimSun" w:hAnsi="Times New Roman" w:cs="Mangal"/>
      <w:kern w:val="3"/>
      <w:sz w:val="24"/>
      <w:szCs w:val="24"/>
      <w:lang w:eastAsia="zh-CN" w:bidi="hi-IN"/>
    </w:rPr>
  </w:style>
  <w:style w:type="paragraph" w:customStyle="1" w:styleId="Predeterminado">
    <w:name w:val="Predeterminado"/>
    <w:rsid w:val="00016FE1"/>
    <w:pPr>
      <w:widowControl w:val="0"/>
      <w:tabs>
        <w:tab w:val="left" w:pos="709"/>
      </w:tabs>
      <w:suppressAutoHyphens/>
      <w:spacing w:after="200" w:line="276" w:lineRule="auto"/>
    </w:pPr>
    <w:rPr>
      <w:rFonts w:ascii="Times New Roman" w:eastAsia="Arial Unicode MS" w:hAnsi="Times New Roman" w:cs="Mangal"/>
      <w:sz w:val="24"/>
      <w:szCs w:val="24"/>
      <w:lang w:eastAsia="zh-CN" w:bidi="hi-IN"/>
    </w:rPr>
  </w:style>
  <w:style w:type="character" w:styleId="Refdenotaalpie">
    <w:name w:val="footnote reference"/>
    <w:basedOn w:val="Fuentedeprrafopredeter"/>
    <w:uiPriority w:val="99"/>
    <w:unhideWhenUsed/>
    <w:rsid w:val="00016FE1"/>
    <w:rPr>
      <w:vertAlign w:val="superscript"/>
    </w:rPr>
  </w:style>
  <w:style w:type="paragraph" w:customStyle="1" w:styleId="aligncenter">
    <w:name w:val="aligncenter"/>
    <w:basedOn w:val="Normal"/>
    <w:uiPriority w:val="99"/>
    <w:rsid w:val="00016FE1"/>
    <w:pPr>
      <w:spacing w:before="100" w:beforeAutospacing="1" w:after="100" w:afterAutospacing="1"/>
    </w:pPr>
    <w:rPr>
      <w:lang w:val="es-MX" w:eastAsia="es-MX"/>
    </w:rPr>
  </w:style>
  <w:style w:type="character" w:customStyle="1" w:styleId="TextocomentarioCar">
    <w:name w:val="Texto comentario Car"/>
    <w:basedOn w:val="Fuentedeprrafopredeter"/>
    <w:link w:val="Textocomentario"/>
    <w:uiPriority w:val="99"/>
    <w:rsid w:val="00016FE1"/>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016FE1"/>
    <w:rPr>
      <w:sz w:val="20"/>
      <w:szCs w:val="20"/>
    </w:rPr>
  </w:style>
  <w:style w:type="character" w:customStyle="1" w:styleId="TextocomentarioCar1">
    <w:name w:val="Texto comentario Car1"/>
    <w:basedOn w:val="Fuentedeprrafopredeter"/>
    <w:uiPriority w:val="99"/>
    <w:rsid w:val="00016FE1"/>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016FE1"/>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16FE1"/>
    <w:rPr>
      <w:b/>
      <w:bCs/>
    </w:rPr>
  </w:style>
  <w:style w:type="character" w:customStyle="1" w:styleId="AsuntodelcomentarioCar1">
    <w:name w:val="Asunto del comentario Car1"/>
    <w:basedOn w:val="TextocomentarioCar1"/>
    <w:uiPriority w:val="99"/>
    <w:semiHidden/>
    <w:rsid w:val="00016FE1"/>
    <w:rPr>
      <w:rFonts w:ascii="Times New Roman" w:eastAsia="Times New Roman" w:hAnsi="Times New Roman" w:cs="Times New Roman"/>
      <w:b/>
      <w:bCs/>
      <w:sz w:val="20"/>
      <w:szCs w:val="20"/>
      <w:lang w:val="es-ES" w:eastAsia="es-ES"/>
    </w:rPr>
  </w:style>
  <w:style w:type="character" w:customStyle="1" w:styleId="Ninguno">
    <w:name w:val="Ninguno"/>
    <w:rsid w:val="00016FE1"/>
    <w:rPr>
      <w:lang w:val="es-ES_tradnl"/>
    </w:rPr>
  </w:style>
  <w:style w:type="character" w:customStyle="1" w:styleId="articulojustificado">
    <w:name w:val="articulojustificado"/>
    <w:basedOn w:val="Fuentedeprrafopredeter"/>
    <w:rsid w:val="00016FE1"/>
  </w:style>
  <w:style w:type="paragraph" w:customStyle="1" w:styleId="TableParagraph">
    <w:name w:val="Table Paragraph"/>
    <w:basedOn w:val="Normal"/>
    <w:uiPriority w:val="1"/>
    <w:qFormat/>
    <w:rsid w:val="00016FE1"/>
    <w:pPr>
      <w:widowControl w:val="0"/>
      <w:autoSpaceDE w:val="0"/>
      <w:autoSpaceDN w:val="0"/>
    </w:pPr>
    <w:rPr>
      <w:rFonts w:ascii="Arial MT" w:eastAsia="Arial MT" w:hAnsi="Arial MT" w:cs="Arial MT"/>
      <w:sz w:val="22"/>
      <w:szCs w:val="22"/>
      <w:lang w:eastAsia="en-US"/>
    </w:rPr>
  </w:style>
  <w:style w:type="paragraph" w:customStyle="1" w:styleId="footnotedescription">
    <w:name w:val="footnote description"/>
    <w:next w:val="Normal"/>
    <w:link w:val="footnotedescriptionChar"/>
    <w:hidden/>
    <w:rsid w:val="00016FE1"/>
    <w:pPr>
      <w:spacing w:after="0"/>
    </w:pPr>
    <w:rPr>
      <w:rFonts w:ascii="Times New Roman" w:eastAsia="Times New Roman" w:hAnsi="Times New Roman" w:cs="Times New Roman"/>
      <w:color w:val="000000"/>
      <w:sz w:val="20"/>
      <w:lang w:eastAsia="es-MX"/>
    </w:rPr>
  </w:style>
  <w:style w:type="character" w:customStyle="1" w:styleId="footnotedescriptionChar">
    <w:name w:val="footnote description Char"/>
    <w:link w:val="footnotedescription"/>
    <w:rsid w:val="00016FE1"/>
    <w:rPr>
      <w:rFonts w:ascii="Times New Roman" w:eastAsia="Times New Roman" w:hAnsi="Times New Roman" w:cs="Times New Roman"/>
      <w:color w:val="000000"/>
      <w:sz w:val="20"/>
      <w:lang w:eastAsia="es-MX"/>
    </w:rPr>
  </w:style>
  <w:style w:type="character" w:customStyle="1" w:styleId="footnotemark">
    <w:name w:val="footnote mark"/>
    <w:hidden/>
    <w:rsid w:val="00016FE1"/>
    <w:rPr>
      <w:rFonts w:ascii="Times New Roman" w:eastAsia="Times New Roman" w:hAnsi="Times New Roman" w:cs="Times New Roman"/>
      <w:color w:val="000000"/>
      <w:sz w:val="20"/>
      <w:vertAlign w:val="superscript"/>
    </w:rPr>
  </w:style>
  <w:style w:type="paragraph" w:customStyle="1" w:styleId="ROMANOS">
    <w:name w:val="ROMANOS"/>
    <w:basedOn w:val="Normal"/>
    <w:link w:val="ROMANOSCar"/>
    <w:rsid w:val="00016FE1"/>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016FE1"/>
    <w:rPr>
      <w:rFonts w:ascii="Arial" w:eastAsia="Times New Roman" w:hAnsi="Arial" w:cs="Arial"/>
      <w:sz w:val="18"/>
      <w:szCs w:val="18"/>
      <w:lang w:val="es-ES" w:eastAsia="es-ES"/>
    </w:rPr>
  </w:style>
  <w:style w:type="paragraph" w:customStyle="1" w:styleId="ANOTACION">
    <w:name w:val="ANOTACION"/>
    <w:basedOn w:val="Normal"/>
    <w:link w:val="ANOTACIONCar"/>
    <w:rsid w:val="00016FE1"/>
    <w:pPr>
      <w:spacing w:before="101" w:after="101" w:line="216" w:lineRule="atLeast"/>
      <w:jc w:val="center"/>
    </w:pPr>
    <w:rPr>
      <w:b/>
      <w:sz w:val="18"/>
      <w:szCs w:val="20"/>
      <w:lang w:val="es-ES_tradnl"/>
    </w:rPr>
  </w:style>
  <w:style w:type="character" w:customStyle="1" w:styleId="ANOTACIONCar">
    <w:name w:val="ANOTACION Car"/>
    <w:link w:val="ANOTACION"/>
    <w:locked/>
    <w:rsid w:val="00016FE1"/>
    <w:rPr>
      <w:rFonts w:ascii="Times New Roman" w:eastAsia="Times New Roman" w:hAnsi="Times New Roman" w:cs="Times New Roman"/>
      <w:b/>
      <w:sz w:val="18"/>
      <w:szCs w:val="20"/>
      <w:lang w:val="es-ES_tradnl" w:eastAsia="es-ES"/>
    </w:rPr>
  </w:style>
  <w:style w:type="paragraph" w:customStyle="1" w:styleId="Titulo1">
    <w:name w:val="Titulo 1"/>
    <w:basedOn w:val="Texto"/>
    <w:rsid w:val="00016FE1"/>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msonormal0">
    <w:name w:val="msonormal"/>
    <w:basedOn w:val="Normal"/>
    <w:rsid w:val="00016FE1"/>
    <w:pPr>
      <w:spacing w:before="100" w:beforeAutospacing="1" w:after="100" w:afterAutospacing="1"/>
    </w:pPr>
    <w:rPr>
      <w:lang w:val="es-MX" w:eastAsia="es-MX"/>
    </w:rPr>
  </w:style>
  <w:style w:type="paragraph" w:styleId="Subttulo">
    <w:name w:val="Subtitle"/>
    <w:basedOn w:val="Normal"/>
    <w:next w:val="Normal"/>
    <w:link w:val="SubttuloCar"/>
    <w:qFormat/>
    <w:rsid w:val="00016FE1"/>
    <w:pPr>
      <w:keepNext/>
      <w:keepLines/>
      <w:spacing w:before="360" w:after="80" w:line="256" w:lineRule="auto"/>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016FE1"/>
    <w:rPr>
      <w:rFonts w:ascii="Georgia" w:eastAsia="Georgia" w:hAnsi="Georgia" w:cs="Georgia"/>
      <w:i/>
      <w:color w:val="666666"/>
      <w:sz w:val="48"/>
      <w:szCs w:val="48"/>
      <w:lang w:eastAsia="es-MX"/>
    </w:rPr>
  </w:style>
  <w:style w:type="paragraph" w:customStyle="1" w:styleId="bodytext">
    <w:name w:val="bodytext"/>
    <w:basedOn w:val="Normal"/>
    <w:uiPriority w:val="99"/>
    <w:rsid w:val="00016FE1"/>
    <w:pPr>
      <w:spacing w:before="100" w:beforeAutospacing="1" w:after="100" w:afterAutospacing="1"/>
    </w:pPr>
    <w:rPr>
      <w:lang w:val="es-MX" w:eastAsia="es-MX"/>
    </w:rPr>
  </w:style>
  <w:style w:type="paragraph" w:customStyle="1" w:styleId="Normal1">
    <w:name w:val="Normal1"/>
    <w:rsid w:val="00016FE1"/>
    <w:pPr>
      <w:spacing w:after="0" w:line="276" w:lineRule="auto"/>
      <w:contextualSpacing/>
    </w:pPr>
    <w:rPr>
      <w:rFonts w:ascii="Arial" w:eastAsia="Arial" w:hAnsi="Arial" w:cs="Arial"/>
      <w:lang w:eastAsia="es-MX"/>
    </w:rPr>
  </w:style>
  <w:style w:type="paragraph" w:customStyle="1" w:styleId="Cuerpo">
    <w:name w:val="Cuerpo"/>
    <w:rsid w:val="00016FE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MX"/>
    </w:rPr>
  </w:style>
  <w:style w:type="numbering" w:customStyle="1" w:styleId="Estiloimportado1">
    <w:name w:val="Estilo importado 1"/>
    <w:rsid w:val="00016FE1"/>
    <w:pPr>
      <w:numPr>
        <w:numId w:val="2"/>
      </w:numPr>
    </w:pPr>
  </w:style>
  <w:style w:type="paragraph" w:customStyle="1" w:styleId="yiv258642512msonormal">
    <w:name w:val="yiv258642512msonormal"/>
    <w:basedOn w:val="Normal"/>
    <w:rsid w:val="00016FE1"/>
    <w:pPr>
      <w:spacing w:before="100" w:beforeAutospacing="1" w:after="100" w:afterAutospacing="1"/>
    </w:pPr>
  </w:style>
  <w:style w:type="paragraph" w:customStyle="1" w:styleId="Sinespaciado2">
    <w:name w:val="Sin espaciado2"/>
    <w:link w:val="NoSpacingChar1"/>
    <w:uiPriority w:val="99"/>
    <w:rsid w:val="00016FE1"/>
    <w:pPr>
      <w:spacing w:after="0" w:line="240" w:lineRule="auto"/>
    </w:pPr>
    <w:rPr>
      <w:rFonts w:ascii="Calibri" w:eastAsia="Calibri" w:hAnsi="Calibri" w:cs="Times New Roman"/>
      <w:lang w:val="es-ES" w:eastAsia="es-MX"/>
    </w:rPr>
  </w:style>
  <w:style w:type="character" w:customStyle="1" w:styleId="NoSpacingChar1">
    <w:name w:val="No Spacing Char1"/>
    <w:link w:val="Sinespaciado2"/>
    <w:uiPriority w:val="99"/>
    <w:locked/>
    <w:rsid w:val="00016FE1"/>
    <w:rPr>
      <w:rFonts w:ascii="Calibri" w:eastAsia="Calibri" w:hAnsi="Calibri" w:cs="Times New Roman"/>
      <w:lang w:val="es-ES" w:eastAsia="es-MX"/>
    </w:rPr>
  </w:style>
  <w:style w:type="paragraph" w:customStyle="1" w:styleId="Car">
    <w:name w:val="Car"/>
    <w:basedOn w:val="Normal"/>
    <w:rsid w:val="00016FE1"/>
    <w:pPr>
      <w:spacing w:after="160" w:line="240" w:lineRule="exact"/>
    </w:pPr>
    <w:rPr>
      <w:rFonts w:ascii="Tahoma" w:hAnsi="Tahoma"/>
      <w:sz w:val="20"/>
      <w:szCs w:val="20"/>
      <w:lang w:eastAsia="en-US"/>
    </w:rPr>
  </w:style>
  <w:style w:type="paragraph" w:customStyle="1" w:styleId="pcstexto">
    <w:name w:val="pcstexto"/>
    <w:basedOn w:val="Normal"/>
    <w:rsid w:val="00016FE1"/>
    <w:pPr>
      <w:spacing w:line="240" w:lineRule="exact"/>
      <w:ind w:firstLine="270"/>
      <w:jc w:val="both"/>
    </w:pPr>
    <w:rPr>
      <w:rFonts w:ascii="Helv" w:hAnsi="Helv"/>
      <w:sz w:val="18"/>
      <w:szCs w:val="20"/>
      <w:lang w:val="es-MX" w:eastAsia="es-MX"/>
    </w:rPr>
  </w:style>
  <w:style w:type="paragraph" w:styleId="Textoindependienteprimerasangra2">
    <w:name w:val="Body Text First Indent 2"/>
    <w:basedOn w:val="Sangradetextonormal"/>
    <w:link w:val="Textoindependienteprimerasangra2Car"/>
    <w:uiPriority w:val="99"/>
    <w:unhideWhenUsed/>
    <w:rsid w:val="00016FE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16FE1"/>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016F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016FE1"/>
    <w:rPr>
      <w:sz w:val="16"/>
      <w:szCs w:val="16"/>
    </w:rPr>
  </w:style>
  <w:style w:type="character" w:customStyle="1" w:styleId="Puesto1">
    <w:name w:val="Puesto1"/>
    <w:basedOn w:val="Fuentedeprrafopredeter"/>
    <w:rsid w:val="00016FE1"/>
  </w:style>
  <w:style w:type="character" w:customStyle="1" w:styleId="TtuloCar">
    <w:name w:val="Título Car"/>
    <w:basedOn w:val="Fuentedeprrafopredeter"/>
    <w:link w:val="Ttulo10"/>
    <w:uiPriority w:val="1"/>
    <w:rsid w:val="00016FE1"/>
    <w:rPr>
      <w:rFonts w:asciiTheme="majorHAnsi" w:eastAsiaTheme="majorEastAsia" w:hAnsiTheme="majorHAnsi" w:cstheme="majorBidi"/>
      <w:spacing w:val="-10"/>
      <w:kern w:val="28"/>
      <w:sz w:val="56"/>
      <w:szCs w:val="56"/>
    </w:rPr>
  </w:style>
  <w:style w:type="paragraph" w:styleId="Listaconvietas">
    <w:name w:val="List Bullet"/>
    <w:basedOn w:val="Normal"/>
    <w:autoRedefine/>
    <w:uiPriority w:val="99"/>
    <w:rsid w:val="00016FE1"/>
    <w:pPr>
      <w:jc w:val="both"/>
    </w:pPr>
    <w:rPr>
      <w:rFonts w:ascii="Arial" w:hAnsi="Arial"/>
    </w:rPr>
  </w:style>
  <w:style w:type="paragraph" w:styleId="TtulodeTDC">
    <w:name w:val="TOC Heading"/>
    <w:basedOn w:val="Ttulo1"/>
    <w:next w:val="Normal"/>
    <w:uiPriority w:val="39"/>
    <w:unhideWhenUsed/>
    <w:qFormat/>
    <w:rsid w:val="00016FE1"/>
    <w:pPr>
      <w:spacing w:before="240" w:line="259" w:lineRule="auto"/>
      <w:outlineLvl w:val="9"/>
    </w:pPr>
    <w:rPr>
      <w:b w:val="0"/>
      <w:bCs w:val="0"/>
      <w:sz w:val="32"/>
      <w:szCs w:val="32"/>
      <w:lang w:val="es-MX" w:eastAsia="es-MX"/>
    </w:rPr>
  </w:style>
  <w:style w:type="paragraph" w:styleId="TDC2">
    <w:name w:val="toc 2"/>
    <w:basedOn w:val="Normal"/>
    <w:next w:val="Normal"/>
    <w:autoRedefine/>
    <w:uiPriority w:val="39"/>
    <w:unhideWhenUsed/>
    <w:qFormat/>
    <w:rsid w:val="00016FE1"/>
    <w:pPr>
      <w:spacing w:after="100" w:line="259" w:lineRule="auto"/>
      <w:ind w:left="220"/>
    </w:pPr>
    <w:rPr>
      <w:rFonts w:asciiTheme="minorHAnsi" w:eastAsiaTheme="minorEastAsia" w:hAnsiTheme="minorHAnsi"/>
      <w:sz w:val="22"/>
      <w:szCs w:val="22"/>
      <w:lang w:val="es-MX" w:eastAsia="es-MX"/>
    </w:rPr>
  </w:style>
  <w:style w:type="paragraph" w:styleId="TDC1">
    <w:name w:val="toc 1"/>
    <w:basedOn w:val="Normal"/>
    <w:next w:val="Normal"/>
    <w:autoRedefine/>
    <w:uiPriority w:val="39"/>
    <w:unhideWhenUsed/>
    <w:qFormat/>
    <w:rsid w:val="00016FE1"/>
    <w:pPr>
      <w:spacing w:after="100" w:line="259" w:lineRule="auto"/>
    </w:pPr>
    <w:rPr>
      <w:rFonts w:asciiTheme="minorHAnsi" w:eastAsiaTheme="minorEastAsia" w:hAnsiTheme="minorHAnsi"/>
      <w:sz w:val="22"/>
      <w:szCs w:val="22"/>
      <w:lang w:val="es-MX" w:eastAsia="es-MX"/>
    </w:rPr>
  </w:style>
  <w:style w:type="paragraph" w:styleId="TDC3">
    <w:name w:val="toc 3"/>
    <w:basedOn w:val="Normal"/>
    <w:next w:val="Normal"/>
    <w:autoRedefine/>
    <w:uiPriority w:val="39"/>
    <w:unhideWhenUsed/>
    <w:qFormat/>
    <w:rsid w:val="00016FE1"/>
    <w:pPr>
      <w:spacing w:after="100" w:line="259" w:lineRule="auto"/>
      <w:ind w:left="440"/>
    </w:pPr>
    <w:rPr>
      <w:rFonts w:asciiTheme="minorHAnsi" w:eastAsiaTheme="minorEastAsia" w:hAnsiTheme="minorHAnsi"/>
      <w:sz w:val="22"/>
      <w:szCs w:val="22"/>
      <w:lang w:val="es-MX" w:eastAsia="es-MX"/>
    </w:rPr>
  </w:style>
  <w:style w:type="paragraph" w:customStyle="1" w:styleId="Sinespaciado1">
    <w:name w:val="Sin espaciado1"/>
    <w:uiPriority w:val="99"/>
    <w:qFormat/>
    <w:rsid w:val="00016FE1"/>
    <w:pPr>
      <w:suppressAutoHyphens/>
      <w:spacing w:after="0" w:line="240" w:lineRule="auto"/>
    </w:pPr>
    <w:rPr>
      <w:rFonts w:ascii="Times New Roman" w:eastAsia="MS Mincho" w:hAnsi="Times New Roman" w:cs="Times New Roman"/>
      <w:sz w:val="24"/>
      <w:szCs w:val="24"/>
      <w:lang w:val="es-ES" w:eastAsia="ar-SA"/>
    </w:rPr>
  </w:style>
  <w:style w:type="character" w:customStyle="1" w:styleId="highlight">
    <w:name w:val="highlight"/>
    <w:basedOn w:val="Fuentedeprrafopredeter"/>
    <w:rsid w:val="00016FE1"/>
  </w:style>
  <w:style w:type="character" w:customStyle="1" w:styleId="Cuerpodeltexto2">
    <w:name w:val="Cuerpo del texto (2)_"/>
    <w:basedOn w:val="Fuentedeprrafopredeter"/>
    <w:link w:val="Cuerpodeltexto20"/>
    <w:rsid w:val="00016FE1"/>
    <w:rPr>
      <w:rFonts w:ascii="Times New Roman" w:eastAsia="Times New Roman" w:hAnsi="Times New Roman"/>
      <w:sz w:val="21"/>
      <w:szCs w:val="21"/>
      <w:shd w:val="clear" w:color="auto" w:fill="FFFFFF"/>
    </w:rPr>
  </w:style>
  <w:style w:type="paragraph" w:customStyle="1" w:styleId="Cuerpodeltexto20">
    <w:name w:val="Cuerpo del texto (2)"/>
    <w:basedOn w:val="Normal"/>
    <w:link w:val="Cuerpodeltexto2"/>
    <w:rsid w:val="00016FE1"/>
    <w:pPr>
      <w:widowControl w:val="0"/>
      <w:shd w:val="clear" w:color="auto" w:fill="FFFFFF"/>
      <w:spacing w:before="180" w:after="480" w:line="250" w:lineRule="exact"/>
      <w:ind w:hanging="720"/>
      <w:jc w:val="both"/>
    </w:pPr>
    <w:rPr>
      <w:rFonts w:cstheme="minorBidi"/>
      <w:sz w:val="21"/>
      <w:szCs w:val="21"/>
      <w:lang w:val="es-MX" w:eastAsia="en-US"/>
    </w:rPr>
  </w:style>
  <w:style w:type="paragraph" w:styleId="Lista">
    <w:name w:val="List"/>
    <w:basedOn w:val="Normal"/>
    <w:unhideWhenUsed/>
    <w:rsid w:val="00016FE1"/>
    <w:pPr>
      <w:ind w:left="283" w:hanging="283"/>
      <w:contextualSpacing/>
    </w:pPr>
  </w:style>
  <w:style w:type="paragraph" w:styleId="Lista2">
    <w:name w:val="List 2"/>
    <w:basedOn w:val="Normal"/>
    <w:uiPriority w:val="99"/>
    <w:unhideWhenUsed/>
    <w:rsid w:val="00016FE1"/>
    <w:pPr>
      <w:ind w:left="566" w:hanging="283"/>
      <w:contextualSpacing/>
    </w:pPr>
  </w:style>
  <w:style w:type="paragraph" w:styleId="Textoindependienteprimerasangra">
    <w:name w:val="Body Text First Indent"/>
    <w:basedOn w:val="Textoindependiente"/>
    <w:link w:val="TextoindependienteprimerasangraCar"/>
    <w:unhideWhenUsed/>
    <w:rsid w:val="00016FE1"/>
    <w:pPr>
      <w:spacing w:after="0"/>
      <w:ind w:firstLine="360"/>
    </w:pPr>
  </w:style>
  <w:style w:type="character" w:customStyle="1" w:styleId="TextoindependienteprimerasangraCar">
    <w:name w:val="Texto independiente primera sangría Car"/>
    <w:basedOn w:val="TextoindependienteCar"/>
    <w:link w:val="Textoindependienteprimerasangra"/>
    <w:rsid w:val="00016FE1"/>
    <w:rPr>
      <w:rFonts w:ascii="Times New Roman" w:eastAsia="Times New Roman" w:hAnsi="Times New Roman" w:cs="Times New Roman"/>
      <w:sz w:val="24"/>
      <w:szCs w:val="24"/>
      <w:lang w:val="es-ES" w:eastAsia="es-ES"/>
    </w:rPr>
  </w:style>
  <w:style w:type="paragraph" w:styleId="Fecha">
    <w:name w:val="Date"/>
    <w:basedOn w:val="Normal"/>
    <w:next w:val="Normal"/>
    <w:link w:val="FechaCar"/>
    <w:uiPriority w:val="99"/>
    <w:semiHidden/>
    <w:unhideWhenUsed/>
    <w:rsid w:val="00016FE1"/>
  </w:style>
  <w:style w:type="character" w:customStyle="1" w:styleId="FechaCar">
    <w:name w:val="Fecha Car"/>
    <w:basedOn w:val="Fuentedeprrafopredeter"/>
    <w:link w:val="Fecha"/>
    <w:uiPriority w:val="99"/>
    <w:semiHidden/>
    <w:rsid w:val="00016FE1"/>
    <w:rPr>
      <w:rFonts w:ascii="Times New Roman" w:eastAsia="Times New Roman" w:hAnsi="Times New Roman" w:cs="Times New Roman"/>
      <w:sz w:val="24"/>
      <w:szCs w:val="24"/>
      <w:lang w:val="es-ES" w:eastAsia="es-ES"/>
    </w:rPr>
  </w:style>
  <w:style w:type="paragraph" w:customStyle="1" w:styleId="Textopreformateado">
    <w:name w:val="Texto preformateado"/>
    <w:basedOn w:val="Normal"/>
    <w:qFormat/>
    <w:rsid w:val="00016FE1"/>
    <w:pPr>
      <w:widowControl w:val="0"/>
    </w:pPr>
    <w:rPr>
      <w:rFonts w:ascii="Liberation Mono" w:eastAsia="NSimSun" w:hAnsi="Liberation Mono" w:cs="Liberation Mono"/>
      <w:sz w:val="20"/>
      <w:szCs w:val="20"/>
      <w:lang w:val="es-MX" w:eastAsia="zh-CN" w:bidi="hi-IN"/>
    </w:rPr>
  </w:style>
  <w:style w:type="paragraph" w:customStyle="1" w:styleId="xmsonormal">
    <w:name w:val="x_msonormal"/>
    <w:basedOn w:val="Normal"/>
    <w:rsid w:val="00016FE1"/>
    <w:pPr>
      <w:spacing w:before="100" w:beforeAutospacing="1" w:after="100" w:afterAutospacing="1"/>
    </w:pPr>
    <w:rPr>
      <w:lang w:val="es-MX" w:eastAsia="es-MX"/>
    </w:rPr>
  </w:style>
  <w:style w:type="paragraph" w:customStyle="1" w:styleId="xgmail-msolistparagraph">
    <w:name w:val="x_gmail-msolistparagraph"/>
    <w:basedOn w:val="Normal"/>
    <w:rsid w:val="00016FE1"/>
    <w:pPr>
      <w:spacing w:before="100" w:beforeAutospacing="1" w:after="100" w:afterAutospacing="1"/>
    </w:pPr>
    <w:rPr>
      <w:lang w:val="es-MX" w:eastAsia="es-MX"/>
    </w:rPr>
  </w:style>
  <w:style w:type="character" w:styleId="Hipervnculovisitado">
    <w:name w:val="FollowedHyperlink"/>
    <w:basedOn w:val="Fuentedeprrafopredeter"/>
    <w:uiPriority w:val="99"/>
    <w:semiHidden/>
    <w:unhideWhenUsed/>
    <w:rsid w:val="00016FE1"/>
    <w:rPr>
      <w:color w:val="954F72" w:themeColor="followedHyperlink"/>
      <w:u w:val="single"/>
    </w:rPr>
  </w:style>
  <w:style w:type="character" w:customStyle="1" w:styleId="red">
    <w:name w:val="red"/>
    <w:basedOn w:val="Fuentedeprrafopredeter"/>
    <w:rsid w:val="00016FE1"/>
  </w:style>
  <w:style w:type="paragraph" w:customStyle="1" w:styleId="francesa">
    <w:name w:val="francesa"/>
    <w:basedOn w:val="Normal"/>
    <w:rsid w:val="00016FE1"/>
    <w:pPr>
      <w:spacing w:before="100" w:beforeAutospacing="1" w:after="100" w:afterAutospacing="1"/>
    </w:pPr>
    <w:rPr>
      <w:lang w:val="es-MX" w:eastAsia="es-MX"/>
    </w:rPr>
  </w:style>
  <w:style w:type="paragraph" w:styleId="Lista3">
    <w:name w:val="List 3"/>
    <w:basedOn w:val="Normal"/>
    <w:uiPriority w:val="99"/>
    <w:unhideWhenUsed/>
    <w:rsid w:val="00016FE1"/>
    <w:pPr>
      <w:ind w:left="849" w:hanging="283"/>
      <w:contextualSpacing/>
    </w:pPr>
  </w:style>
  <w:style w:type="paragraph" w:styleId="Listaconvietas2">
    <w:name w:val="List Bullet 2"/>
    <w:basedOn w:val="Normal"/>
    <w:unhideWhenUsed/>
    <w:rsid w:val="00016FE1"/>
    <w:pPr>
      <w:numPr>
        <w:numId w:val="3"/>
      </w:numPr>
      <w:contextualSpacing/>
    </w:pPr>
  </w:style>
  <w:style w:type="paragraph" w:styleId="Lista4">
    <w:name w:val="List 4"/>
    <w:basedOn w:val="Normal"/>
    <w:uiPriority w:val="99"/>
    <w:unhideWhenUsed/>
    <w:rsid w:val="00016FE1"/>
    <w:pPr>
      <w:ind w:left="1132" w:hanging="283"/>
      <w:contextualSpacing/>
    </w:pPr>
  </w:style>
  <w:style w:type="paragraph" w:styleId="Lista5">
    <w:name w:val="List 5"/>
    <w:basedOn w:val="Normal"/>
    <w:uiPriority w:val="99"/>
    <w:unhideWhenUsed/>
    <w:rsid w:val="00016FE1"/>
    <w:pPr>
      <w:ind w:left="1415" w:hanging="283"/>
      <w:contextualSpacing/>
    </w:pPr>
  </w:style>
  <w:style w:type="paragraph" w:styleId="Continuarlista">
    <w:name w:val="List Continue"/>
    <w:basedOn w:val="Normal"/>
    <w:uiPriority w:val="99"/>
    <w:unhideWhenUsed/>
    <w:rsid w:val="00016FE1"/>
    <w:pPr>
      <w:spacing w:after="120"/>
      <w:ind w:left="283"/>
      <w:contextualSpacing/>
    </w:pPr>
  </w:style>
  <w:style w:type="paragraph" w:styleId="Continuarlista2">
    <w:name w:val="List Continue 2"/>
    <w:basedOn w:val="Normal"/>
    <w:uiPriority w:val="99"/>
    <w:unhideWhenUsed/>
    <w:rsid w:val="00016FE1"/>
    <w:pPr>
      <w:spacing w:after="120"/>
      <w:ind w:left="566"/>
      <w:contextualSpacing/>
    </w:pPr>
  </w:style>
  <w:style w:type="paragraph" w:customStyle="1" w:styleId="p10">
    <w:name w:val="p10"/>
    <w:basedOn w:val="Normal"/>
    <w:rsid w:val="00016FE1"/>
    <w:pPr>
      <w:spacing w:before="100" w:beforeAutospacing="1" w:after="100" w:afterAutospacing="1"/>
    </w:pPr>
    <w:rPr>
      <w:lang w:val="es-MX" w:eastAsia="es-MX"/>
    </w:rPr>
  </w:style>
  <w:style w:type="character" w:styleId="CitaHTML">
    <w:name w:val="HTML Cite"/>
    <w:uiPriority w:val="99"/>
    <w:semiHidden/>
    <w:unhideWhenUsed/>
    <w:rsid w:val="00016FE1"/>
    <w:rPr>
      <w:i/>
      <w:iCs/>
    </w:rPr>
  </w:style>
  <w:style w:type="paragraph" w:customStyle="1" w:styleId="Heading">
    <w:name w:val="Heading"/>
    <w:basedOn w:val="Standard"/>
    <w:next w:val="Textbody"/>
    <w:rsid w:val="00016FE1"/>
    <w:pPr>
      <w:keepNext/>
      <w:spacing w:before="240" w:after="120"/>
    </w:pPr>
    <w:rPr>
      <w:rFonts w:ascii="Arial" w:eastAsia="Microsoft YaHei" w:hAnsi="Arial"/>
      <w:sz w:val="28"/>
      <w:szCs w:val="28"/>
    </w:rPr>
  </w:style>
  <w:style w:type="paragraph" w:customStyle="1" w:styleId="Textbody">
    <w:name w:val="Text body"/>
    <w:basedOn w:val="Standard"/>
    <w:rsid w:val="00016FE1"/>
    <w:pPr>
      <w:spacing w:after="120"/>
    </w:pPr>
  </w:style>
  <w:style w:type="paragraph" w:customStyle="1" w:styleId="Epgrafe1">
    <w:name w:val="Epígrafe1"/>
    <w:basedOn w:val="Standard"/>
    <w:uiPriority w:val="35"/>
    <w:qFormat/>
    <w:rsid w:val="00016FE1"/>
    <w:pPr>
      <w:suppressLineNumbers/>
      <w:spacing w:before="120" w:after="120"/>
    </w:pPr>
    <w:rPr>
      <w:i/>
      <w:iCs/>
    </w:rPr>
  </w:style>
  <w:style w:type="paragraph" w:customStyle="1" w:styleId="Index">
    <w:name w:val="Index"/>
    <w:basedOn w:val="Standard"/>
    <w:rsid w:val="00016FE1"/>
    <w:pPr>
      <w:suppressLineNumbers/>
    </w:pPr>
  </w:style>
  <w:style w:type="paragraph" w:customStyle="1" w:styleId="Contents1">
    <w:name w:val="Contents 1"/>
    <w:basedOn w:val="Standard"/>
    <w:next w:val="Standard"/>
    <w:rsid w:val="00016FE1"/>
    <w:pPr>
      <w:spacing w:before="120"/>
      <w:ind w:left="567" w:hanging="567"/>
    </w:pPr>
    <w:rPr>
      <w:rFonts w:ascii="Arial" w:hAnsi="Arial" w:cs="Arial"/>
      <w:b/>
    </w:rPr>
  </w:style>
  <w:style w:type="paragraph" w:customStyle="1" w:styleId="Contents2">
    <w:name w:val="Contents 2"/>
    <w:basedOn w:val="Standard"/>
    <w:next w:val="Standard"/>
    <w:rsid w:val="00016FE1"/>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rsid w:val="00016FE1"/>
    <w:pPr>
      <w:tabs>
        <w:tab w:val="right" w:leader="dot" w:pos="5589"/>
      </w:tabs>
      <w:ind w:left="993" w:hanging="993"/>
    </w:pPr>
    <w:rPr>
      <w:rFonts w:ascii="Arial" w:hAnsi="Arial" w:cs="Arial"/>
      <w:sz w:val="18"/>
      <w:szCs w:val="18"/>
    </w:rPr>
  </w:style>
  <w:style w:type="paragraph" w:customStyle="1" w:styleId="Textbodyindent">
    <w:name w:val="Text body indent"/>
    <w:basedOn w:val="Standard"/>
    <w:rsid w:val="00016FE1"/>
    <w:rPr>
      <w:rFonts w:ascii="Arial" w:eastAsia="Times New Roman" w:hAnsi="Arial" w:cs="Arial"/>
      <w:szCs w:val="20"/>
      <w:lang w:val="es-ES"/>
    </w:rPr>
  </w:style>
  <w:style w:type="paragraph" w:customStyle="1" w:styleId="WW-Predeterminado">
    <w:name w:val="WW-Predeterminado"/>
    <w:rsid w:val="00016FE1"/>
    <w:pPr>
      <w:widowControl w:val="0"/>
      <w:tabs>
        <w:tab w:val="left" w:pos="709"/>
      </w:tabs>
      <w:suppressAutoHyphens/>
      <w:autoSpaceDN w:val="0"/>
      <w:spacing w:after="200" w:line="276" w:lineRule="auto"/>
      <w:textAlignment w:val="baseline"/>
    </w:pPr>
    <w:rPr>
      <w:rFonts w:ascii="Times New Roman" w:eastAsia="Arial Unicode MS" w:hAnsi="Times New Roman" w:cs="Mangal"/>
      <w:kern w:val="3"/>
      <w:sz w:val="24"/>
      <w:szCs w:val="24"/>
      <w:lang w:eastAsia="zh-CN" w:bidi="hi-IN"/>
    </w:rPr>
  </w:style>
  <w:style w:type="paragraph" w:customStyle="1" w:styleId="WW-Cuerpodetexto">
    <w:name w:val="WW-Cuerpo de texto"/>
    <w:basedOn w:val="WW-Predeterminado"/>
    <w:rsid w:val="00016FE1"/>
    <w:pPr>
      <w:spacing w:after="120"/>
    </w:pPr>
  </w:style>
  <w:style w:type="paragraph" w:customStyle="1" w:styleId="Standarduser">
    <w:name w:val="Standard (user)"/>
    <w:rsid w:val="00016FE1"/>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Ttulo4Subinciso">
    <w:name w:val="Título 4.Subinciso"/>
    <w:basedOn w:val="Standard"/>
    <w:rsid w:val="00016FE1"/>
    <w:pPr>
      <w:spacing w:before="60"/>
    </w:pPr>
    <w:rPr>
      <w:rFonts w:ascii="Arial" w:eastAsia="Times New Roman" w:hAnsi="Arial" w:cs="Times New Roman"/>
      <w:szCs w:val="20"/>
      <w:lang w:val="es-ES"/>
    </w:rPr>
  </w:style>
  <w:style w:type="paragraph" w:customStyle="1" w:styleId="Framecontents">
    <w:name w:val="Frame contents"/>
    <w:basedOn w:val="Textbody"/>
    <w:rsid w:val="00016FE1"/>
  </w:style>
  <w:style w:type="paragraph" w:customStyle="1" w:styleId="TableContents">
    <w:name w:val="Table Contents"/>
    <w:basedOn w:val="Standard"/>
    <w:rsid w:val="00016FE1"/>
    <w:pPr>
      <w:suppressLineNumbers/>
    </w:pPr>
  </w:style>
  <w:style w:type="character" w:customStyle="1" w:styleId="Internetlink">
    <w:name w:val="Internet link"/>
    <w:rsid w:val="00016FE1"/>
    <w:rPr>
      <w:color w:val="000080"/>
      <w:u w:val="single"/>
    </w:rPr>
  </w:style>
  <w:style w:type="character" w:customStyle="1" w:styleId="BulletSymbols">
    <w:name w:val="Bullet Symbols"/>
    <w:rsid w:val="00016FE1"/>
    <w:rPr>
      <w:rFonts w:ascii="OpenSymbol" w:eastAsia="OpenSymbol" w:hAnsi="OpenSymbol" w:cs="OpenSymbol"/>
    </w:rPr>
  </w:style>
  <w:style w:type="character" w:customStyle="1" w:styleId="NumberingSymbols">
    <w:name w:val="Numbering Symbols"/>
    <w:rsid w:val="00016FE1"/>
    <w:rPr>
      <w:b/>
      <w:bCs/>
    </w:rPr>
  </w:style>
  <w:style w:type="numbering" w:customStyle="1" w:styleId="WW8Num57">
    <w:name w:val="WW8Num57"/>
    <w:basedOn w:val="Sinlista"/>
    <w:rsid w:val="00016FE1"/>
    <w:pPr>
      <w:numPr>
        <w:numId w:val="4"/>
      </w:numPr>
    </w:pPr>
  </w:style>
  <w:style w:type="numbering" w:customStyle="1" w:styleId="WW8Num87">
    <w:name w:val="WW8Num87"/>
    <w:basedOn w:val="Sinlista"/>
    <w:rsid w:val="00016FE1"/>
    <w:pPr>
      <w:numPr>
        <w:numId w:val="5"/>
      </w:numPr>
    </w:pPr>
  </w:style>
  <w:style w:type="numbering" w:customStyle="1" w:styleId="WW8Num79">
    <w:name w:val="WW8Num79"/>
    <w:basedOn w:val="Sinlista"/>
    <w:rsid w:val="00016FE1"/>
    <w:pPr>
      <w:numPr>
        <w:numId w:val="6"/>
      </w:numPr>
    </w:pPr>
  </w:style>
  <w:style w:type="numbering" w:customStyle="1" w:styleId="WW8Num146">
    <w:name w:val="WW8Num146"/>
    <w:basedOn w:val="Sinlista"/>
    <w:rsid w:val="00016FE1"/>
    <w:pPr>
      <w:numPr>
        <w:numId w:val="7"/>
      </w:numPr>
    </w:pPr>
  </w:style>
  <w:style w:type="numbering" w:customStyle="1" w:styleId="WW8Num55">
    <w:name w:val="WW8Num55"/>
    <w:basedOn w:val="Sinlista"/>
    <w:rsid w:val="00016FE1"/>
    <w:pPr>
      <w:numPr>
        <w:numId w:val="117"/>
      </w:numPr>
    </w:pPr>
  </w:style>
  <w:style w:type="numbering" w:customStyle="1" w:styleId="WW8Num114">
    <w:name w:val="WW8Num114"/>
    <w:basedOn w:val="Sinlista"/>
    <w:rsid w:val="00016FE1"/>
    <w:pPr>
      <w:numPr>
        <w:numId w:val="133"/>
      </w:numPr>
    </w:pPr>
  </w:style>
  <w:style w:type="numbering" w:customStyle="1" w:styleId="WW8Num120">
    <w:name w:val="WW8Num120"/>
    <w:basedOn w:val="Sinlista"/>
    <w:rsid w:val="00016FE1"/>
    <w:pPr>
      <w:numPr>
        <w:numId w:val="8"/>
      </w:numPr>
    </w:pPr>
  </w:style>
  <w:style w:type="numbering" w:customStyle="1" w:styleId="WW8Num58">
    <w:name w:val="WW8Num58"/>
    <w:basedOn w:val="Sinlista"/>
    <w:rsid w:val="00016FE1"/>
    <w:pPr>
      <w:numPr>
        <w:numId w:val="130"/>
      </w:numPr>
    </w:pPr>
  </w:style>
  <w:style w:type="numbering" w:customStyle="1" w:styleId="WW8Num21">
    <w:name w:val="WW8Num21"/>
    <w:basedOn w:val="Sinlista"/>
    <w:rsid w:val="00016FE1"/>
    <w:pPr>
      <w:numPr>
        <w:numId w:val="9"/>
      </w:numPr>
    </w:pPr>
  </w:style>
  <w:style w:type="numbering" w:customStyle="1" w:styleId="WW8Num111">
    <w:name w:val="WW8Num111"/>
    <w:basedOn w:val="Sinlista"/>
    <w:rsid w:val="00016FE1"/>
    <w:pPr>
      <w:numPr>
        <w:numId w:val="10"/>
      </w:numPr>
    </w:pPr>
  </w:style>
  <w:style w:type="numbering" w:customStyle="1" w:styleId="WW8Num80">
    <w:name w:val="WW8Num80"/>
    <w:basedOn w:val="Sinlista"/>
    <w:rsid w:val="00016FE1"/>
    <w:pPr>
      <w:numPr>
        <w:numId w:val="11"/>
      </w:numPr>
    </w:pPr>
  </w:style>
  <w:style w:type="numbering" w:customStyle="1" w:styleId="WW8Num25">
    <w:name w:val="WW8Num25"/>
    <w:basedOn w:val="Sinlista"/>
    <w:rsid w:val="00016FE1"/>
    <w:pPr>
      <w:numPr>
        <w:numId w:val="12"/>
      </w:numPr>
    </w:pPr>
  </w:style>
  <w:style w:type="numbering" w:customStyle="1" w:styleId="WW8Num50">
    <w:name w:val="WW8Num50"/>
    <w:basedOn w:val="Sinlista"/>
    <w:rsid w:val="00016FE1"/>
    <w:pPr>
      <w:numPr>
        <w:numId w:val="13"/>
      </w:numPr>
    </w:pPr>
  </w:style>
  <w:style w:type="numbering" w:customStyle="1" w:styleId="WW8Num75">
    <w:name w:val="WW8Num75"/>
    <w:basedOn w:val="Sinlista"/>
    <w:rsid w:val="00016FE1"/>
    <w:pPr>
      <w:numPr>
        <w:numId w:val="14"/>
      </w:numPr>
    </w:pPr>
  </w:style>
  <w:style w:type="numbering" w:customStyle="1" w:styleId="WW8Num65">
    <w:name w:val="WW8Num65"/>
    <w:basedOn w:val="Sinlista"/>
    <w:rsid w:val="00016FE1"/>
    <w:pPr>
      <w:numPr>
        <w:numId w:val="15"/>
      </w:numPr>
    </w:pPr>
  </w:style>
  <w:style w:type="numbering" w:customStyle="1" w:styleId="WW8Num8">
    <w:name w:val="WW8Num8"/>
    <w:basedOn w:val="Sinlista"/>
    <w:rsid w:val="00016FE1"/>
    <w:pPr>
      <w:numPr>
        <w:numId w:val="16"/>
      </w:numPr>
    </w:pPr>
  </w:style>
  <w:style w:type="numbering" w:customStyle="1" w:styleId="WW8Num127">
    <w:name w:val="WW8Num127"/>
    <w:basedOn w:val="Sinlista"/>
    <w:rsid w:val="00016FE1"/>
    <w:pPr>
      <w:numPr>
        <w:numId w:val="17"/>
      </w:numPr>
    </w:pPr>
  </w:style>
  <w:style w:type="numbering" w:customStyle="1" w:styleId="WW8Num138">
    <w:name w:val="WW8Num138"/>
    <w:basedOn w:val="Sinlista"/>
    <w:rsid w:val="00016FE1"/>
    <w:pPr>
      <w:numPr>
        <w:numId w:val="18"/>
      </w:numPr>
    </w:pPr>
  </w:style>
  <w:style w:type="numbering" w:customStyle="1" w:styleId="WW8Num89">
    <w:name w:val="WW8Num89"/>
    <w:basedOn w:val="Sinlista"/>
    <w:rsid w:val="00016FE1"/>
    <w:pPr>
      <w:numPr>
        <w:numId w:val="19"/>
      </w:numPr>
    </w:pPr>
  </w:style>
  <w:style w:type="numbering" w:customStyle="1" w:styleId="WW8Num59">
    <w:name w:val="WW8Num59"/>
    <w:basedOn w:val="Sinlista"/>
    <w:rsid w:val="00016FE1"/>
    <w:pPr>
      <w:numPr>
        <w:numId w:val="114"/>
      </w:numPr>
    </w:pPr>
  </w:style>
  <w:style w:type="numbering" w:customStyle="1" w:styleId="WW8Num129">
    <w:name w:val="WW8Num129"/>
    <w:basedOn w:val="Sinlista"/>
    <w:rsid w:val="00016FE1"/>
    <w:pPr>
      <w:numPr>
        <w:numId w:val="20"/>
      </w:numPr>
    </w:pPr>
  </w:style>
  <w:style w:type="numbering" w:customStyle="1" w:styleId="WW8Num81">
    <w:name w:val="WW8Num81"/>
    <w:basedOn w:val="Sinlista"/>
    <w:rsid w:val="00016FE1"/>
    <w:pPr>
      <w:numPr>
        <w:numId w:val="21"/>
      </w:numPr>
    </w:pPr>
  </w:style>
  <w:style w:type="numbering" w:customStyle="1" w:styleId="WW8Num83">
    <w:name w:val="WW8Num83"/>
    <w:basedOn w:val="Sinlista"/>
    <w:rsid w:val="00016FE1"/>
    <w:pPr>
      <w:numPr>
        <w:numId w:val="22"/>
      </w:numPr>
    </w:pPr>
  </w:style>
  <w:style w:type="numbering" w:customStyle="1" w:styleId="WW8Num20">
    <w:name w:val="WW8Num20"/>
    <w:basedOn w:val="Sinlista"/>
    <w:rsid w:val="00016FE1"/>
    <w:pPr>
      <w:numPr>
        <w:numId w:val="23"/>
      </w:numPr>
    </w:pPr>
  </w:style>
  <w:style w:type="numbering" w:customStyle="1" w:styleId="WW8Num110">
    <w:name w:val="WW8Num110"/>
    <w:basedOn w:val="Sinlista"/>
    <w:rsid w:val="00016FE1"/>
    <w:pPr>
      <w:numPr>
        <w:numId w:val="24"/>
      </w:numPr>
    </w:pPr>
  </w:style>
  <w:style w:type="numbering" w:customStyle="1" w:styleId="WW8Num27">
    <w:name w:val="WW8Num27"/>
    <w:basedOn w:val="Sinlista"/>
    <w:rsid w:val="00016FE1"/>
    <w:pPr>
      <w:numPr>
        <w:numId w:val="25"/>
      </w:numPr>
    </w:pPr>
  </w:style>
  <w:style w:type="numbering" w:customStyle="1" w:styleId="WW8Num51">
    <w:name w:val="WW8Num51"/>
    <w:basedOn w:val="Sinlista"/>
    <w:rsid w:val="00016FE1"/>
    <w:pPr>
      <w:numPr>
        <w:numId w:val="26"/>
      </w:numPr>
    </w:pPr>
  </w:style>
  <w:style w:type="numbering" w:customStyle="1" w:styleId="WW8Num69">
    <w:name w:val="WW8Num69"/>
    <w:basedOn w:val="Sinlista"/>
    <w:rsid w:val="00016FE1"/>
    <w:pPr>
      <w:numPr>
        <w:numId w:val="27"/>
      </w:numPr>
    </w:pPr>
  </w:style>
  <w:style w:type="numbering" w:customStyle="1" w:styleId="WW8Num33">
    <w:name w:val="WW8Num33"/>
    <w:basedOn w:val="Sinlista"/>
    <w:rsid w:val="00016FE1"/>
    <w:pPr>
      <w:numPr>
        <w:numId w:val="28"/>
      </w:numPr>
    </w:pPr>
  </w:style>
  <w:style w:type="numbering" w:customStyle="1" w:styleId="WW8Num35">
    <w:name w:val="WW8Num35"/>
    <w:basedOn w:val="Sinlista"/>
    <w:rsid w:val="00016FE1"/>
    <w:pPr>
      <w:numPr>
        <w:numId w:val="29"/>
      </w:numPr>
    </w:pPr>
  </w:style>
  <w:style w:type="numbering" w:customStyle="1" w:styleId="WW8Num17">
    <w:name w:val="WW8Num17"/>
    <w:basedOn w:val="Sinlista"/>
    <w:rsid w:val="00016FE1"/>
    <w:pPr>
      <w:numPr>
        <w:numId w:val="30"/>
      </w:numPr>
    </w:pPr>
  </w:style>
  <w:style w:type="numbering" w:customStyle="1" w:styleId="WW8Num54">
    <w:name w:val="WW8Num54"/>
    <w:basedOn w:val="Sinlista"/>
    <w:rsid w:val="00016FE1"/>
    <w:pPr>
      <w:numPr>
        <w:numId w:val="31"/>
      </w:numPr>
    </w:pPr>
  </w:style>
  <w:style w:type="numbering" w:customStyle="1" w:styleId="WW8Num119">
    <w:name w:val="WW8Num119"/>
    <w:basedOn w:val="Sinlista"/>
    <w:rsid w:val="00016FE1"/>
    <w:pPr>
      <w:numPr>
        <w:numId w:val="32"/>
      </w:numPr>
    </w:pPr>
  </w:style>
  <w:style w:type="numbering" w:customStyle="1" w:styleId="WW8Num7">
    <w:name w:val="WW8Num7"/>
    <w:basedOn w:val="Sinlista"/>
    <w:rsid w:val="00016FE1"/>
    <w:pPr>
      <w:numPr>
        <w:numId w:val="33"/>
      </w:numPr>
    </w:pPr>
  </w:style>
  <w:style w:type="numbering" w:customStyle="1" w:styleId="WW8Num72">
    <w:name w:val="WW8Num72"/>
    <w:basedOn w:val="Sinlista"/>
    <w:rsid w:val="00016FE1"/>
    <w:pPr>
      <w:numPr>
        <w:numId w:val="75"/>
      </w:numPr>
    </w:pPr>
  </w:style>
  <w:style w:type="numbering" w:customStyle="1" w:styleId="WW8Num143">
    <w:name w:val="WW8Num143"/>
    <w:basedOn w:val="Sinlista"/>
    <w:rsid w:val="00016FE1"/>
    <w:pPr>
      <w:numPr>
        <w:numId w:val="74"/>
      </w:numPr>
    </w:pPr>
  </w:style>
  <w:style w:type="numbering" w:customStyle="1" w:styleId="WW8Num63">
    <w:name w:val="WW8Num63"/>
    <w:basedOn w:val="Sinlista"/>
    <w:rsid w:val="00016FE1"/>
    <w:pPr>
      <w:numPr>
        <w:numId w:val="34"/>
      </w:numPr>
    </w:pPr>
  </w:style>
  <w:style w:type="numbering" w:customStyle="1" w:styleId="WW8Num11">
    <w:name w:val="WW8Num11"/>
    <w:basedOn w:val="Sinlista"/>
    <w:rsid w:val="00016FE1"/>
    <w:pPr>
      <w:numPr>
        <w:numId w:val="103"/>
      </w:numPr>
    </w:pPr>
  </w:style>
  <w:style w:type="numbering" w:customStyle="1" w:styleId="WW8Num124">
    <w:name w:val="WW8Num124"/>
    <w:basedOn w:val="Sinlista"/>
    <w:rsid w:val="00016FE1"/>
    <w:pPr>
      <w:numPr>
        <w:numId w:val="80"/>
      </w:numPr>
    </w:pPr>
  </w:style>
  <w:style w:type="numbering" w:customStyle="1" w:styleId="WW8Num61">
    <w:name w:val="WW8Num61"/>
    <w:basedOn w:val="Sinlista"/>
    <w:rsid w:val="00016FE1"/>
    <w:pPr>
      <w:numPr>
        <w:numId w:val="109"/>
      </w:numPr>
    </w:pPr>
  </w:style>
  <w:style w:type="numbering" w:customStyle="1" w:styleId="WW8Num19">
    <w:name w:val="WW8Num19"/>
    <w:basedOn w:val="Sinlista"/>
    <w:rsid w:val="00016FE1"/>
    <w:pPr>
      <w:numPr>
        <w:numId w:val="79"/>
      </w:numPr>
    </w:pPr>
  </w:style>
  <w:style w:type="numbering" w:customStyle="1" w:styleId="WW8Num32">
    <w:name w:val="WW8Num32"/>
    <w:basedOn w:val="Sinlista"/>
    <w:rsid w:val="00016FE1"/>
    <w:pPr>
      <w:numPr>
        <w:numId w:val="35"/>
      </w:numPr>
    </w:pPr>
  </w:style>
  <w:style w:type="numbering" w:customStyle="1" w:styleId="WW8Num135">
    <w:name w:val="WW8Num135"/>
    <w:basedOn w:val="Sinlista"/>
    <w:rsid w:val="00016FE1"/>
    <w:pPr>
      <w:numPr>
        <w:numId w:val="95"/>
      </w:numPr>
    </w:pPr>
  </w:style>
  <w:style w:type="numbering" w:customStyle="1" w:styleId="WW8Num30">
    <w:name w:val="WW8Num30"/>
    <w:basedOn w:val="Sinlista"/>
    <w:rsid w:val="00016FE1"/>
    <w:pPr>
      <w:numPr>
        <w:numId w:val="62"/>
      </w:numPr>
    </w:pPr>
  </w:style>
  <w:style w:type="numbering" w:customStyle="1" w:styleId="WW8Num45">
    <w:name w:val="WW8Num45"/>
    <w:basedOn w:val="Sinlista"/>
    <w:rsid w:val="00016FE1"/>
    <w:pPr>
      <w:numPr>
        <w:numId w:val="115"/>
      </w:numPr>
    </w:pPr>
  </w:style>
  <w:style w:type="numbering" w:customStyle="1" w:styleId="WW8Num6">
    <w:name w:val="WW8Num6"/>
    <w:basedOn w:val="Sinlista"/>
    <w:rsid w:val="00016FE1"/>
    <w:pPr>
      <w:numPr>
        <w:numId w:val="84"/>
      </w:numPr>
    </w:pPr>
  </w:style>
  <w:style w:type="numbering" w:customStyle="1" w:styleId="WW8Num133">
    <w:name w:val="WW8Num133"/>
    <w:basedOn w:val="Sinlista"/>
    <w:rsid w:val="00016FE1"/>
    <w:pPr>
      <w:numPr>
        <w:numId w:val="127"/>
      </w:numPr>
    </w:pPr>
  </w:style>
  <w:style w:type="numbering" w:customStyle="1" w:styleId="WW8Num91">
    <w:name w:val="WW8Num91"/>
    <w:basedOn w:val="Sinlista"/>
    <w:rsid w:val="00016FE1"/>
    <w:pPr>
      <w:numPr>
        <w:numId w:val="94"/>
      </w:numPr>
    </w:pPr>
  </w:style>
  <w:style w:type="numbering" w:customStyle="1" w:styleId="WW8Num78">
    <w:name w:val="WW8Num78"/>
    <w:basedOn w:val="Sinlista"/>
    <w:rsid w:val="00016FE1"/>
    <w:pPr>
      <w:numPr>
        <w:numId w:val="119"/>
      </w:numPr>
    </w:pPr>
  </w:style>
  <w:style w:type="numbering" w:customStyle="1" w:styleId="WW8Num56">
    <w:name w:val="WW8Num56"/>
    <w:basedOn w:val="Sinlista"/>
    <w:rsid w:val="00016FE1"/>
    <w:pPr>
      <w:numPr>
        <w:numId w:val="77"/>
      </w:numPr>
    </w:pPr>
  </w:style>
  <w:style w:type="numbering" w:customStyle="1" w:styleId="WW8Num132">
    <w:name w:val="WW8Num132"/>
    <w:basedOn w:val="Sinlista"/>
    <w:rsid w:val="00016FE1"/>
    <w:pPr>
      <w:numPr>
        <w:numId w:val="111"/>
      </w:numPr>
    </w:pPr>
  </w:style>
  <w:style w:type="numbering" w:customStyle="1" w:styleId="WW8Num85">
    <w:name w:val="WW8Num85"/>
    <w:basedOn w:val="Sinlista"/>
    <w:rsid w:val="00016FE1"/>
    <w:pPr>
      <w:numPr>
        <w:numId w:val="99"/>
      </w:numPr>
    </w:pPr>
  </w:style>
  <w:style w:type="numbering" w:customStyle="1" w:styleId="WW8Num10">
    <w:name w:val="WW8Num10"/>
    <w:basedOn w:val="Sinlista"/>
    <w:rsid w:val="00016FE1"/>
    <w:pPr>
      <w:numPr>
        <w:numId w:val="67"/>
      </w:numPr>
    </w:pPr>
  </w:style>
  <w:style w:type="numbering" w:customStyle="1" w:styleId="WW8Num29">
    <w:name w:val="WW8Num29"/>
    <w:basedOn w:val="Sinlista"/>
    <w:rsid w:val="00016FE1"/>
    <w:pPr>
      <w:numPr>
        <w:numId w:val="60"/>
      </w:numPr>
    </w:pPr>
  </w:style>
  <w:style w:type="numbering" w:customStyle="1" w:styleId="WW8Num5">
    <w:name w:val="WW8Num5"/>
    <w:basedOn w:val="Sinlista"/>
    <w:rsid w:val="00016FE1"/>
    <w:pPr>
      <w:numPr>
        <w:numId w:val="125"/>
      </w:numPr>
    </w:pPr>
  </w:style>
  <w:style w:type="numbering" w:customStyle="1" w:styleId="WW8Num130">
    <w:name w:val="WW8Num130"/>
    <w:basedOn w:val="Sinlista"/>
    <w:rsid w:val="00016FE1"/>
    <w:pPr>
      <w:numPr>
        <w:numId w:val="36"/>
      </w:numPr>
    </w:pPr>
  </w:style>
  <w:style w:type="numbering" w:customStyle="1" w:styleId="WW8Num88">
    <w:name w:val="WW8Num88"/>
    <w:basedOn w:val="Sinlista"/>
    <w:rsid w:val="00016FE1"/>
    <w:pPr>
      <w:numPr>
        <w:numId w:val="37"/>
      </w:numPr>
    </w:pPr>
  </w:style>
  <w:style w:type="numbering" w:customStyle="1" w:styleId="WW8Num128">
    <w:name w:val="WW8Num128"/>
    <w:basedOn w:val="Sinlista"/>
    <w:rsid w:val="00016FE1"/>
    <w:pPr>
      <w:numPr>
        <w:numId w:val="38"/>
      </w:numPr>
    </w:pPr>
  </w:style>
  <w:style w:type="numbering" w:customStyle="1" w:styleId="WW8Num47">
    <w:name w:val="WW8Num47"/>
    <w:basedOn w:val="Sinlista"/>
    <w:rsid w:val="00016FE1"/>
    <w:pPr>
      <w:numPr>
        <w:numId w:val="93"/>
      </w:numPr>
    </w:pPr>
  </w:style>
  <w:style w:type="numbering" w:customStyle="1" w:styleId="WW8Num52">
    <w:name w:val="WW8Num52"/>
    <w:basedOn w:val="Sinlista"/>
    <w:rsid w:val="00016FE1"/>
    <w:pPr>
      <w:numPr>
        <w:numId w:val="112"/>
      </w:numPr>
    </w:pPr>
  </w:style>
  <w:style w:type="numbering" w:customStyle="1" w:styleId="WW8Num14">
    <w:name w:val="WW8Num14"/>
    <w:basedOn w:val="Sinlista"/>
    <w:rsid w:val="00016FE1"/>
    <w:pPr>
      <w:numPr>
        <w:numId w:val="39"/>
      </w:numPr>
    </w:pPr>
  </w:style>
  <w:style w:type="numbering" w:customStyle="1" w:styleId="WW8Num66">
    <w:name w:val="WW8Num66"/>
    <w:basedOn w:val="Sinlista"/>
    <w:rsid w:val="00016FE1"/>
    <w:pPr>
      <w:numPr>
        <w:numId w:val="40"/>
      </w:numPr>
    </w:pPr>
  </w:style>
  <w:style w:type="numbering" w:customStyle="1" w:styleId="WW8Num134">
    <w:name w:val="WW8Num134"/>
    <w:basedOn w:val="Sinlista"/>
    <w:rsid w:val="00016FE1"/>
    <w:pPr>
      <w:numPr>
        <w:numId w:val="41"/>
      </w:numPr>
    </w:pPr>
  </w:style>
  <w:style w:type="numbering" w:customStyle="1" w:styleId="WW8Num39">
    <w:name w:val="WW8Num39"/>
    <w:basedOn w:val="Sinlista"/>
    <w:rsid w:val="00016FE1"/>
    <w:pPr>
      <w:numPr>
        <w:numId w:val="42"/>
      </w:numPr>
    </w:pPr>
  </w:style>
  <w:style w:type="numbering" w:customStyle="1" w:styleId="WW8Num115">
    <w:name w:val="WW8Num115"/>
    <w:basedOn w:val="Sinlista"/>
    <w:rsid w:val="00016FE1"/>
    <w:pPr>
      <w:numPr>
        <w:numId w:val="43"/>
      </w:numPr>
    </w:pPr>
  </w:style>
  <w:style w:type="numbering" w:customStyle="1" w:styleId="WW8Num24">
    <w:name w:val="WW8Num24"/>
    <w:basedOn w:val="Sinlista"/>
    <w:rsid w:val="00016FE1"/>
    <w:pPr>
      <w:numPr>
        <w:numId w:val="44"/>
      </w:numPr>
    </w:pPr>
  </w:style>
  <w:style w:type="numbering" w:customStyle="1" w:styleId="WW8Num144">
    <w:name w:val="WW8Num144"/>
    <w:basedOn w:val="Sinlista"/>
    <w:rsid w:val="00016FE1"/>
    <w:pPr>
      <w:numPr>
        <w:numId w:val="45"/>
      </w:numPr>
    </w:pPr>
  </w:style>
  <w:style w:type="numbering" w:customStyle="1" w:styleId="WW8Num18">
    <w:name w:val="WW8Num18"/>
    <w:basedOn w:val="Sinlista"/>
    <w:rsid w:val="00016FE1"/>
    <w:pPr>
      <w:numPr>
        <w:numId w:val="46"/>
      </w:numPr>
    </w:pPr>
  </w:style>
  <w:style w:type="numbering" w:customStyle="1" w:styleId="WW8Num141">
    <w:name w:val="WW8Num141"/>
    <w:basedOn w:val="Sinlista"/>
    <w:rsid w:val="00016FE1"/>
    <w:pPr>
      <w:numPr>
        <w:numId w:val="47"/>
      </w:numPr>
    </w:pPr>
  </w:style>
  <w:style w:type="numbering" w:customStyle="1" w:styleId="WW8Num74">
    <w:name w:val="WW8Num74"/>
    <w:basedOn w:val="Sinlista"/>
    <w:rsid w:val="00016FE1"/>
    <w:pPr>
      <w:numPr>
        <w:numId w:val="100"/>
      </w:numPr>
    </w:pPr>
  </w:style>
  <w:style w:type="numbering" w:customStyle="1" w:styleId="WW8Num139">
    <w:name w:val="WW8Num139"/>
    <w:basedOn w:val="Sinlista"/>
    <w:rsid w:val="00016FE1"/>
    <w:pPr>
      <w:numPr>
        <w:numId w:val="121"/>
      </w:numPr>
    </w:pPr>
  </w:style>
  <w:style w:type="numbering" w:customStyle="1" w:styleId="WW8Num101">
    <w:name w:val="WW8Num101"/>
    <w:basedOn w:val="Sinlista"/>
    <w:rsid w:val="00016FE1"/>
    <w:pPr>
      <w:numPr>
        <w:numId w:val="48"/>
      </w:numPr>
    </w:pPr>
  </w:style>
  <w:style w:type="numbering" w:customStyle="1" w:styleId="WW8Num9">
    <w:name w:val="WW8Num9"/>
    <w:basedOn w:val="Sinlista"/>
    <w:rsid w:val="00016FE1"/>
    <w:pPr>
      <w:numPr>
        <w:numId w:val="49"/>
      </w:numPr>
    </w:pPr>
  </w:style>
  <w:style w:type="numbering" w:customStyle="1" w:styleId="WW8Num108">
    <w:name w:val="WW8Num108"/>
    <w:basedOn w:val="Sinlista"/>
    <w:rsid w:val="00016FE1"/>
    <w:pPr>
      <w:numPr>
        <w:numId w:val="50"/>
      </w:numPr>
    </w:pPr>
  </w:style>
  <w:style w:type="numbering" w:customStyle="1" w:styleId="WW8Num46">
    <w:name w:val="WW8Num46"/>
    <w:basedOn w:val="Sinlista"/>
    <w:rsid w:val="00016FE1"/>
    <w:pPr>
      <w:numPr>
        <w:numId w:val="123"/>
      </w:numPr>
    </w:pPr>
  </w:style>
  <w:style w:type="numbering" w:customStyle="1" w:styleId="WW8Num82">
    <w:name w:val="WW8Num82"/>
    <w:basedOn w:val="Sinlista"/>
    <w:rsid w:val="00016FE1"/>
    <w:pPr>
      <w:numPr>
        <w:numId w:val="72"/>
      </w:numPr>
    </w:pPr>
  </w:style>
  <w:style w:type="numbering" w:customStyle="1" w:styleId="WW8Num90">
    <w:name w:val="WW8Num90"/>
    <w:basedOn w:val="Sinlista"/>
    <w:rsid w:val="00016FE1"/>
    <w:pPr>
      <w:numPr>
        <w:numId w:val="81"/>
      </w:numPr>
    </w:pPr>
  </w:style>
  <w:style w:type="numbering" w:customStyle="1" w:styleId="WW8Num48">
    <w:name w:val="WW8Num48"/>
    <w:basedOn w:val="Sinlista"/>
    <w:rsid w:val="00016FE1"/>
    <w:pPr>
      <w:numPr>
        <w:numId w:val="120"/>
      </w:numPr>
    </w:pPr>
  </w:style>
  <w:style w:type="numbering" w:customStyle="1" w:styleId="WW8Num12">
    <w:name w:val="WW8Num12"/>
    <w:basedOn w:val="Sinlista"/>
    <w:rsid w:val="00016FE1"/>
    <w:pPr>
      <w:numPr>
        <w:numId w:val="108"/>
      </w:numPr>
    </w:pPr>
  </w:style>
  <w:style w:type="numbering" w:customStyle="1" w:styleId="WW8Num109">
    <w:name w:val="WW8Num109"/>
    <w:basedOn w:val="Sinlista"/>
    <w:rsid w:val="00016FE1"/>
    <w:pPr>
      <w:numPr>
        <w:numId w:val="97"/>
      </w:numPr>
    </w:pPr>
  </w:style>
  <w:style w:type="numbering" w:customStyle="1" w:styleId="WW8Num121">
    <w:name w:val="WW8Num121"/>
    <w:basedOn w:val="Sinlista"/>
    <w:rsid w:val="00016FE1"/>
    <w:pPr>
      <w:numPr>
        <w:numId w:val="107"/>
      </w:numPr>
    </w:pPr>
  </w:style>
  <w:style w:type="numbering" w:customStyle="1" w:styleId="WW8Num84">
    <w:name w:val="WW8Num84"/>
    <w:basedOn w:val="Sinlista"/>
    <w:rsid w:val="00016FE1"/>
    <w:pPr>
      <w:numPr>
        <w:numId w:val="102"/>
      </w:numPr>
    </w:pPr>
  </w:style>
  <w:style w:type="numbering" w:customStyle="1" w:styleId="WW8Num125">
    <w:name w:val="WW8Num125"/>
    <w:basedOn w:val="Sinlista"/>
    <w:rsid w:val="00016FE1"/>
    <w:pPr>
      <w:numPr>
        <w:numId w:val="87"/>
      </w:numPr>
    </w:pPr>
  </w:style>
  <w:style w:type="numbering" w:customStyle="1" w:styleId="WW8Num68">
    <w:name w:val="WW8Num68"/>
    <w:basedOn w:val="Sinlista"/>
    <w:rsid w:val="00016FE1"/>
    <w:pPr>
      <w:numPr>
        <w:numId w:val="83"/>
      </w:numPr>
    </w:pPr>
  </w:style>
  <w:style w:type="numbering" w:customStyle="1" w:styleId="WW8Num122">
    <w:name w:val="WW8Num122"/>
    <w:basedOn w:val="Sinlista"/>
    <w:rsid w:val="00016FE1"/>
    <w:pPr>
      <w:numPr>
        <w:numId w:val="122"/>
      </w:numPr>
    </w:pPr>
  </w:style>
  <w:style w:type="numbering" w:customStyle="1" w:styleId="WW8Num98">
    <w:name w:val="WW8Num98"/>
    <w:basedOn w:val="Sinlista"/>
    <w:rsid w:val="00016FE1"/>
    <w:pPr>
      <w:numPr>
        <w:numId w:val="71"/>
      </w:numPr>
    </w:pPr>
  </w:style>
  <w:style w:type="numbering" w:customStyle="1" w:styleId="WW8Num62">
    <w:name w:val="WW8Num62"/>
    <w:basedOn w:val="Sinlista"/>
    <w:rsid w:val="00016FE1"/>
    <w:pPr>
      <w:numPr>
        <w:numId w:val="68"/>
      </w:numPr>
    </w:pPr>
  </w:style>
  <w:style w:type="numbering" w:customStyle="1" w:styleId="WW8Num118">
    <w:name w:val="WW8Num118"/>
    <w:basedOn w:val="Sinlista"/>
    <w:rsid w:val="00016FE1"/>
    <w:pPr>
      <w:numPr>
        <w:numId w:val="51"/>
      </w:numPr>
    </w:pPr>
  </w:style>
  <w:style w:type="numbering" w:customStyle="1" w:styleId="WW8Num73">
    <w:name w:val="WW8Num73"/>
    <w:basedOn w:val="Sinlista"/>
    <w:rsid w:val="00016FE1"/>
    <w:pPr>
      <w:numPr>
        <w:numId w:val="131"/>
      </w:numPr>
    </w:pPr>
  </w:style>
  <w:style w:type="numbering" w:customStyle="1" w:styleId="WW8Num147">
    <w:name w:val="WW8Num147"/>
    <w:basedOn w:val="Sinlista"/>
    <w:rsid w:val="00016FE1"/>
    <w:pPr>
      <w:numPr>
        <w:numId w:val="73"/>
      </w:numPr>
    </w:pPr>
  </w:style>
  <w:style w:type="numbering" w:customStyle="1" w:styleId="WW8Num102">
    <w:name w:val="WW8Num102"/>
    <w:basedOn w:val="Sinlista"/>
    <w:rsid w:val="00016FE1"/>
    <w:pPr>
      <w:numPr>
        <w:numId w:val="110"/>
      </w:numPr>
    </w:pPr>
  </w:style>
  <w:style w:type="numbering" w:customStyle="1" w:styleId="WW8Num64">
    <w:name w:val="WW8Num64"/>
    <w:basedOn w:val="Sinlista"/>
    <w:rsid w:val="00016FE1"/>
    <w:pPr>
      <w:numPr>
        <w:numId w:val="106"/>
      </w:numPr>
    </w:pPr>
  </w:style>
  <w:style w:type="numbering" w:customStyle="1" w:styleId="WW8Num43">
    <w:name w:val="WW8Num43"/>
    <w:basedOn w:val="Sinlista"/>
    <w:rsid w:val="00016FE1"/>
    <w:pPr>
      <w:numPr>
        <w:numId w:val="61"/>
      </w:numPr>
    </w:pPr>
  </w:style>
  <w:style w:type="numbering" w:customStyle="1" w:styleId="WW8Num104">
    <w:name w:val="WW8Num104"/>
    <w:basedOn w:val="Sinlista"/>
    <w:rsid w:val="00016FE1"/>
    <w:pPr>
      <w:numPr>
        <w:numId w:val="88"/>
      </w:numPr>
    </w:pPr>
  </w:style>
  <w:style w:type="numbering" w:customStyle="1" w:styleId="WW8Num94">
    <w:name w:val="WW8Num94"/>
    <w:basedOn w:val="Sinlista"/>
    <w:rsid w:val="00016FE1"/>
    <w:pPr>
      <w:numPr>
        <w:numId w:val="118"/>
      </w:numPr>
    </w:pPr>
  </w:style>
  <w:style w:type="numbering" w:customStyle="1" w:styleId="WW8Num95">
    <w:name w:val="WW8Num95"/>
    <w:basedOn w:val="Sinlista"/>
    <w:rsid w:val="00016FE1"/>
    <w:pPr>
      <w:numPr>
        <w:numId w:val="63"/>
      </w:numPr>
    </w:pPr>
  </w:style>
  <w:style w:type="numbering" w:customStyle="1" w:styleId="WW8Num70">
    <w:name w:val="WW8Num70"/>
    <w:basedOn w:val="Sinlista"/>
    <w:rsid w:val="00016FE1"/>
    <w:pPr>
      <w:numPr>
        <w:numId w:val="126"/>
      </w:numPr>
    </w:pPr>
  </w:style>
  <w:style w:type="numbering" w:customStyle="1" w:styleId="WW8Num136">
    <w:name w:val="WW8Num136"/>
    <w:basedOn w:val="Sinlista"/>
    <w:rsid w:val="00016FE1"/>
    <w:pPr>
      <w:numPr>
        <w:numId w:val="104"/>
      </w:numPr>
    </w:pPr>
  </w:style>
  <w:style w:type="numbering" w:customStyle="1" w:styleId="WW8Num15">
    <w:name w:val="WW8Num15"/>
    <w:basedOn w:val="Sinlista"/>
    <w:rsid w:val="00016FE1"/>
    <w:pPr>
      <w:numPr>
        <w:numId w:val="92"/>
      </w:numPr>
    </w:pPr>
  </w:style>
  <w:style w:type="numbering" w:customStyle="1" w:styleId="WW8Num22">
    <w:name w:val="WW8Num22"/>
    <w:basedOn w:val="Sinlista"/>
    <w:rsid w:val="00016FE1"/>
    <w:pPr>
      <w:numPr>
        <w:numId w:val="124"/>
      </w:numPr>
    </w:pPr>
  </w:style>
  <w:style w:type="numbering" w:customStyle="1" w:styleId="WW8Num112">
    <w:name w:val="WW8Num112"/>
    <w:basedOn w:val="Sinlista"/>
    <w:rsid w:val="00016FE1"/>
    <w:pPr>
      <w:numPr>
        <w:numId w:val="65"/>
      </w:numPr>
    </w:pPr>
  </w:style>
  <w:style w:type="numbering" w:customStyle="1" w:styleId="WW8Num99">
    <w:name w:val="WW8Num99"/>
    <w:basedOn w:val="Sinlista"/>
    <w:rsid w:val="00016FE1"/>
    <w:pPr>
      <w:numPr>
        <w:numId w:val="52"/>
      </w:numPr>
    </w:pPr>
  </w:style>
  <w:style w:type="numbering" w:customStyle="1" w:styleId="WW8Num28">
    <w:name w:val="WW8Num28"/>
    <w:basedOn w:val="Sinlista"/>
    <w:rsid w:val="00016FE1"/>
    <w:pPr>
      <w:numPr>
        <w:numId w:val="53"/>
      </w:numPr>
    </w:pPr>
  </w:style>
  <w:style w:type="numbering" w:customStyle="1" w:styleId="WW8Num41">
    <w:name w:val="WW8Num41"/>
    <w:basedOn w:val="Sinlista"/>
    <w:rsid w:val="00016FE1"/>
    <w:pPr>
      <w:numPr>
        <w:numId w:val="129"/>
      </w:numPr>
    </w:pPr>
  </w:style>
  <w:style w:type="numbering" w:customStyle="1" w:styleId="WW8Num67">
    <w:name w:val="WW8Num67"/>
    <w:basedOn w:val="Sinlista"/>
    <w:rsid w:val="00016FE1"/>
    <w:pPr>
      <w:numPr>
        <w:numId w:val="76"/>
      </w:numPr>
    </w:pPr>
  </w:style>
  <w:style w:type="numbering" w:customStyle="1" w:styleId="WW8Num26">
    <w:name w:val="WW8Num26"/>
    <w:basedOn w:val="Sinlista"/>
    <w:rsid w:val="00016FE1"/>
    <w:pPr>
      <w:numPr>
        <w:numId w:val="116"/>
      </w:numPr>
    </w:pPr>
  </w:style>
  <w:style w:type="numbering" w:customStyle="1" w:styleId="WW8Num60">
    <w:name w:val="WW8Num60"/>
    <w:basedOn w:val="Sinlista"/>
    <w:rsid w:val="00016FE1"/>
    <w:pPr>
      <w:numPr>
        <w:numId w:val="70"/>
      </w:numPr>
    </w:pPr>
  </w:style>
  <w:style w:type="numbering" w:customStyle="1" w:styleId="WW8Num145">
    <w:name w:val="WW8Num145"/>
    <w:basedOn w:val="Sinlista"/>
    <w:rsid w:val="00016FE1"/>
    <w:pPr>
      <w:numPr>
        <w:numId w:val="64"/>
      </w:numPr>
    </w:pPr>
  </w:style>
  <w:style w:type="numbering" w:customStyle="1" w:styleId="WW8Num137">
    <w:name w:val="WW8Num137"/>
    <w:basedOn w:val="Sinlista"/>
    <w:rsid w:val="00016FE1"/>
    <w:pPr>
      <w:numPr>
        <w:numId w:val="91"/>
      </w:numPr>
    </w:pPr>
  </w:style>
  <w:style w:type="numbering" w:customStyle="1" w:styleId="WW8Num100">
    <w:name w:val="WW8Num100"/>
    <w:basedOn w:val="Sinlista"/>
    <w:rsid w:val="00016FE1"/>
    <w:pPr>
      <w:numPr>
        <w:numId w:val="105"/>
      </w:numPr>
    </w:pPr>
  </w:style>
  <w:style w:type="numbering" w:customStyle="1" w:styleId="WW8Num86">
    <w:name w:val="WW8Num86"/>
    <w:basedOn w:val="Sinlista"/>
    <w:rsid w:val="00016FE1"/>
    <w:pPr>
      <w:numPr>
        <w:numId w:val="69"/>
      </w:numPr>
    </w:pPr>
  </w:style>
  <w:style w:type="numbering" w:customStyle="1" w:styleId="WW8Num77">
    <w:name w:val="WW8Num77"/>
    <w:basedOn w:val="Sinlista"/>
    <w:rsid w:val="00016FE1"/>
    <w:pPr>
      <w:numPr>
        <w:numId w:val="128"/>
      </w:numPr>
    </w:pPr>
  </w:style>
  <w:style w:type="numbering" w:customStyle="1" w:styleId="WW8Num38">
    <w:name w:val="WW8Num38"/>
    <w:basedOn w:val="Sinlista"/>
    <w:rsid w:val="00016FE1"/>
    <w:pPr>
      <w:numPr>
        <w:numId w:val="82"/>
      </w:numPr>
    </w:pPr>
  </w:style>
  <w:style w:type="numbering" w:customStyle="1" w:styleId="WW8Num23">
    <w:name w:val="WW8Num23"/>
    <w:basedOn w:val="Sinlista"/>
    <w:rsid w:val="00016FE1"/>
    <w:pPr>
      <w:numPr>
        <w:numId w:val="89"/>
      </w:numPr>
    </w:pPr>
  </w:style>
  <w:style w:type="numbering" w:customStyle="1" w:styleId="WW8Num105">
    <w:name w:val="WW8Num105"/>
    <w:basedOn w:val="Sinlista"/>
    <w:rsid w:val="00016FE1"/>
    <w:pPr>
      <w:numPr>
        <w:numId w:val="90"/>
      </w:numPr>
    </w:pPr>
  </w:style>
  <w:style w:type="numbering" w:customStyle="1" w:styleId="WW8Num123">
    <w:name w:val="WW8Num123"/>
    <w:basedOn w:val="Sinlista"/>
    <w:rsid w:val="00016FE1"/>
    <w:pPr>
      <w:numPr>
        <w:numId w:val="86"/>
      </w:numPr>
    </w:pPr>
  </w:style>
  <w:style w:type="numbering" w:customStyle="1" w:styleId="WW8Num44">
    <w:name w:val="WW8Num44"/>
    <w:basedOn w:val="Sinlista"/>
    <w:rsid w:val="00016FE1"/>
    <w:pPr>
      <w:numPr>
        <w:numId w:val="101"/>
      </w:numPr>
    </w:pPr>
  </w:style>
  <w:style w:type="numbering" w:customStyle="1" w:styleId="WW8Num131">
    <w:name w:val="WW8Num131"/>
    <w:basedOn w:val="Sinlista"/>
    <w:rsid w:val="00016FE1"/>
    <w:pPr>
      <w:numPr>
        <w:numId w:val="78"/>
      </w:numPr>
    </w:pPr>
  </w:style>
  <w:style w:type="numbering" w:customStyle="1" w:styleId="WW8Num37">
    <w:name w:val="WW8Num37"/>
    <w:basedOn w:val="Sinlista"/>
    <w:rsid w:val="00016FE1"/>
    <w:pPr>
      <w:numPr>
        <w:numId w:val="113"/>
      </w:numPr>
    </w:pPr>
  </w:style>
  <w:style w:type="numbering" w:customStyle="1" w:styleId="WW8Num92">
    <w:name w:val="WW8Num92"/>
    <w:basedOn w:val="Sinlista"/>
    <w:rsid w:val="00016FE1"/>
    <w:pPr>
      <w:numPr>
        <w:numId w:val="54"/>
      </w:numPr>
    </w:pPr>
  </w:style>
  <w:style w:type="numbering" w:customStyle="1" w:styleId="WW8Num93">
    <w:name w:val="WW8Num93"/>
    <w:basedOn w:val="Sinlista"/>
    <w:rsid w:val="00016FE1"/>
    <w:pPr>
      <w:numPr>
        <w:numId w:val="85"/>
      </w:numPr>
    </w:pPr>
  </w:style>
  <w:style w:type="numbering" w:customStyle="1" w:styleId="WW8Num117">
    <w:name w:val="WW8Num117"/>
    <w:basedOn w:val="Sinlista"/>
    <w:rsid w:val="00016FE1"/>
    <w:pPr>
      <w:numPr>
        <w:numId w:val="132"/>
      </w:numPr>
    </w:pPr>
  </w:style>
  <w:style w:type="numbering" w:customStyle="1" w:styleId="WW8Num71">
    <w:name w:val="WW8Num71"/>
    <w:basedOn w:val="Sinlista"/>
    <w:rsid w:val="00016FE1"/>
    <w:pPr>
      <w:numPr>
        <w:numId w:val="66"/>
      </w:numPr>
    </w:pPr>
  </w:style>
  <w:style w:type="numbering" w:customStyle="1" w:styleId="WW8Num53">
    <w:name w:val="WW8Num53"/>
    <w:basedOn w:val="Sinlista"/>
    <w:rsid w:val="00016FE1"/>
    <w:pPr>
      <w:numPr>
        <w:numId w:val="96"/>
      </w:numPr>
    </w:pPr>
  </w:style>
  <w:style w:type="numbering" w:customStyle="1" w:styleId="WW8Num106">
    <w:name w:val="WW8Num106"/>
    <w:basedOn w:val="Sinlista"/>
    <w:rsid w:val="00016FE1"/>
    <w:pPr>
      <w:numPr>
        <w:numId w:val="98"/>
      </w:numPr>
    </w:pPr>
  </w:style>
  <w:style w:type="paragraph" w:customStyle="1" w:styleId="Ttulo1Art">
    <w:name w:val="Título 1.Art."/>
    <w:basedOn w:val="Normal"/>
    <w:rsid w:val="00016FE1"/>
    <w:pPr>
      <w:tabs>
        <w:tab w:val="left" w:pos="851"/>
      </w:tabs>
      <w:spacing w:before="200" w:after="60"/>
      <w:jc w:val="both"/>
      <w:outlineLvl w:val="0"/>
    </w:pPr>
    <w:rPr>
      <w:rFonts w:ascii="Arial" w:hAnsi="Arial"/>
      <w:kern w:val="22"/>
      <w:szCs w:val="20"/>
      <w:lang w:val="es-ES_tradnl"/>
    </w:rPr>
  </w:style>
  <w:style w:type="paragraph" w:customStyle="1" w:styleId="Ttulo3Inciso">
    <w:name w:val="Título 3.Inciso"/>
    <w:basedOn w:val="Normal"/>
    <w:rsid w:val="00016FE1"/>
    <w:pPr>
      <w:spacing w:before="60"/>
      <w:jc w:val="both"/>
      <w:outlineLvl w:val="2"/>
    </w:pPr>
    <w:rPr>
      <w:rFonts w:ascii="Arial" w:hAnsi="Arial"/>
      <w:kern w:val="22"/>
      <w:szCs w:val="20"/>
      <w:lang w:val="es-ES_tradnl"/>
    </w:rPr>
  </w:style>
  <w:style w:type="paragraph" w:customStyle="1" w:styleId="Ttulo2Fracc">
    <w:name w:val="Título 2.Fracc."/>
    <w:basedOn w:val="Normal"/>
    <w:rsid w:val="00016FE1"/>
    <w:pPr>
      <w:tabs>
        <w:tab w:val="left" w:pos="567"/>
      </w:tabs>
      <w:jc w:val="both"/>
      <w:outlineLvl w:val="1"/>
    </w:pPr>
    <w:rPr>
      <w:rFonts w:ascii="Arial" w:hAnsi="Arial"/>
      <w:kern w:val="22"/>
      <w:sz w:val="20"/>
      <w:szCs w:val="20"/>
      <w:lang w:val="es-ES_tradnl"/>
    </w:rPr>
  </w:style>
  <w:style w:type="paragraph" w:customStyle="1" w:styleId="Captulo">
    <w:name w:val="Capítulo"/>
    <w:rsid w:val="00016FE1"/>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rsid w:val="00016FE1"/>
    <w:pPr>
      <w:ind w:left="-70" w:right="1"/>
      <w:jc w:val="both"/>
    </w:pPr>
    <w:rPr>
      <w:rFonts w:ascii="Arial" w:hAnsi="Arial"/>
      <w:b/>
      <w:sz w:val="16"/>
      <w:szCs w:val="20"/>
    </w:rPr>
  </w:style>
  <w:style w:type="paragraph" w:customStyle="1" w:styleId="Ttulo10">
    <w:name w:val="Título1"/>
    <w:basedOn w:val="Normal"/>
    <w:link w:val="TtuloCar"/>
    <w:qFormat/>
    <w:rsid w:val="00016FE1"/>
    <w:pPr>
      <w:jc w:val="center"/>
    </w:pPr>
    <w:rPr>
      <w:rFonts w:asciiTheme="majorHAnsi" w:eastAsiaTheme="majorEastAsia" w:hAnsiTheme="majorHAnsi" w:cstheme="majorBidi"/>
      <w:spacing w:val="-10"/>
      <w:kern w:val="28"/>
      <w:sz w:val="56"/>
      <w:szCs w:val="56"/>
      <w:lang w:val="es-MX" w:eastAsia="en-US"/>
    </w:rPr>
  </w:style>
  <w:style w:type="paragraph" w:customStyle="1" w:styleId="Textocapit">
    <w:name w:val="Texto_capit"/>
    <w:basedOn w:val="Normal"/>
    <w:rsid w:val="00016FE1"/>
    <w:pPr>
      <w:numPr>
        <w:numId w:val="55"/>
      </w:numPr>
      <w:spacing w:after="60"/>
      <w:jc w:val="both"/>
    </w:pPr>
    <w:rPr>
      <w:rFonts w:ascii="Arial" w:hAnsi="Arial"/>
      <w:sz w:val="48"/>
      <w:szCs w:val="20"/>
      <w:lang w:val="es-MX"/>
    </w:rPr>
  </w:style>
  <w:style w:type="paragraph" w:customStyle="1" w:styleId="TextoFracc">
    <w:name w:val="Texto Fracc."/>
    <w:rsid w:val="00016FE1"/>
    <w:pPr>
      <w:spacing w:after="0" w:line="240" w:lineRule="auto"/>
      <w:ind w:left="1247"/>
      <w:jc w:val="both"/>
    </w:pPr>
    <w:rPr>
      <w:rFonts w:ascii="Times New Roman" w:eastAsia="Times New Roman" w:hAnsi="Times New Roman" w:cs="Times New Roman"/>
      <w:szCs w:val="20"/>
      <w:lang w:val="es-ES_tradnl" w:eastAsia="es-ES"/>
    </w:rPr>
  </w:style>
  <w:style w:type="paragraph" w:styleId="TDC4">
    <w:name w:val="toc 4"/>
    <w:basedOn w:val="Normal"/>
    <w:next w:val="Normal"/>
    <w:autoRedefine/>
    <w:uiPriority w:val="39"/>
    <w:unhideWhenUsed/>
    <w:rsid w:val="00016FE1"/>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016FE1"/>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016FE1"/>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016FE1"/>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016FE1"/>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016FE1"/>
    <w:pPr>
      <w:spacing w:after="100" w:line="276" w:lineRule="auto"/>
      <w:ind w:left="1760"/>
    </w:pPr>
    <w:rPr>
      <w:rFonts w:ascii="Calibri" w:hAnsi="Calibri"/>
      <w:sz w:val="22"/>
      <w:szCs w:val="22"/>
      <w:lang w:val="es-MX" w:eastAsia="es-MX"/>
    </w:rPr>
  </w:style>
  <w:style w:type="numbering" w:customStyle="1" w:styleId="WW8Num1">
    <w:name w:val="WW8Num1"/>
    <w:basedOn w:val="Sinlista"/>
    <w:rsid w:val="00016FE1"/>
    <w:pPr>
      <w:numPr>
        <w:numId w:val="56"/>
      </w:numPr>
    </w:pPr>
  </w:style>
  <w:style w:type="numbering" w:customStyle="1" w:styleId="WW8Num3">
    <w:name w:val="WW8Num3"/>
    <w:basedOn w:val="Sinlista"/>
    <w:rsid w:val="00016FE1"/>
    <w:pPr>
      <w:numPr>
        <w:numId w:val="57"/>
      </w:numPr>
    </w:pPr>
  </w:style>
  <w:style w:type="numbering" w:customStyle="1" w:styleId="WW8Num2">
    <w:name w:val="WW8Num2"/>
    <w:basedOn w:val="Sinlista"/>
    <w:rsid w:val="00016FE1"/>
    <w:pPr>
      <w:numPr>
        <w:numId w:val="58"/>
      </w:numPr>
    </w:pPr>
  </w:style>
  <w:style w:type="numbering" w:customStyle="1" w:styleId="WW8Num4">
    <w:name w:val="WW8Num4"/>
    <w:basedOn w:val="Sinlista"/>
    <w:rsid w:val="00016FE1"/>
    <w:pPr>
      <w:numPr>
        <w:numId w:val="59"/>
      </w:numPr>
    </w:pPr>
  </w:style>
  <w:style w:type="paragraph" w:customStyle="1" w:styleId="Cuerpodetexto">
    <w:name w:val="Cuerpo de texto"/>
    <w:basedOn w:val="Predeterminado"/>
    <w:rsid w:val="00016FE1"/>
    <w:pPr>
      <w:spacing w:after="120"/>
    </w:pPr>
  </w:style>
  <w:style w:type="paragraph" w:styleId="Revisin">
    <w:name w:val="Revision"/>
    <w:hidden/>
    <w:uiPriority w:val="99"/>
    <w:semiHidden/>
    <w:rsid w:val="00016FE1"/>
    <w:pPr>
      <w:spacing w:after="0" w:line="240" w:lineRule="auto"/>
    </w:pPr>
    <w:rPr>
      <w:rFonts w:ascii="Calibri" w:eastAsia="Calibri" w:hAnsi="Calibri" w:cs="Times New Roman"/>
    </w:rPr>
  </w:style>
  <w:style w:type="paragraph" w:styleId="Mapadeldocumento">
    <w:name w:val="Document Map"/>
    <w:basedOn w:val="Normal"/>
    <w:link w:val="MapadeldocumentoCar"/>
    <w:uiPriority w:val="99"/>
    <w:semiHidden/>
    <w:unhideWhenUsed/>
    <w:rsid w:val="00016FE1"/>
    <w:pPr>
      <w:jc w:val="both"/>
    </w:pPr>
    <w:rPr>
      <w:rFonts w:ascii="Tahoma" w:eastAsia="Calibri" w:hAnsi="Tahoma"/>
      <w:sz w:val="16"/>
      <w:szCs w:val="16"/>
    </w:rPr>
  </w:style>
  <w:style w:type="character" w:customStyle="1" w:styleId="MapadeldocumentoCar">
    <w:name w:val="Mapa del documento Car"/>
    <w:basedOn w:val="Fuentedeprrafopredeter"/>
    <w:link w:val="Mapadeldocumento"/>
    <w:uiPriority w:val="99"/>
    <w:semiHidden/>
    <w:rsid w:val="00016FE1"/>
    <w:rPr>
      <w:rFonts w:ascii="Tahoma" w:eastAsia="Calibri" w:hAnsi="Tahoma" w:cs="Times New Roman"/>
      <w:sz w:val="16"/>
      <w:szCs w:val="16"/>
      <w:lang w:val="es-ES" w:eastAsia="es-ES"/>
    </w:rPr>
  </w:style>
  <w:style w:type="character" w:styleId="Textodelmarcadordeposicin">
    <w:name w:val="Placeholder Text"/>
    <w:uiPriority w:val="99"/>
    <w:semiHidden/>
    <w:rsid w:val="00016FE1"/>
    <w:rPr>
      <w:color w:val="808080"/>
    </w:rPr>
  </w:style>
  <w:style w:type="character" w:customStyle="1" w:styleId="Fuentedeprrafopredeter1">
    <w:name w:val="Fuente de párrafo predeter.1"/>
    <w:rsid w:val="00016FE1"/>
  </w:style>
  <w:style w:type="character" w:customStyle="1" w:styleId="Fuentedeprrafopredeter2">
    <w:name w:val="Fuente de párrafo predeter.2"/>
    <w:rsid w:val="00016FE1"/>
  </w:style>
  <w:style w:type="paragraph" w:customStyle="1" w:styleId="Descripcin1">
    <w:name w:val="Descripción1"/>
    <w:basedOn w:val="Standard"/>
    <w:rsid w:val="00016FE1"/>
    <w:pPr>
      <w:widowControl/>
      <w:suppressLineNumbers/>
      <w:spacing w:before="120" w:after="120"/>
    </w:pPr>
    <w:rPr>
      <w:rFonts w:eastAsia="Times New Roman"/>
      <w:i/>
      <w:iCs/>
      <w:lang w:val="es-ES" w:bidi="ar-SA"/>
    </w:rPr>
  </w:style>
  <w:style w:type="paragraph" w:customStyle="1" w:styleId="NormalText">
    <w:name w:val="Normal Text"/>
    <w:rsid w:val="00016FE1"/>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1">
    <w:name w:val="Encabezado1"/>
    <w:basedOn w:val="Standard"/>
    <w:rsid w:val="00016FE1"/>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rsid w:val="00016FE1"/>
    <w:pPr>
      <w:widowControl/>
      <w:tabs>
        <w:tab w:val="center" w:pos="4252"/>
        <w:tab w:val="right" w:pos="8504"/>
      </w:tabs>
    </w:pPr>
    <w:rPr>
      <w:rFonts w:eastAsia="Times New Roman" w:cs="Times New Roman"/>
      <w:lang w:val="es-ES" w:bidi="ar-SA"/>
    </w:rPr>
  </w:style>
  <w:style w:type="paragraph" w:customStyle="1" w:styleId="TableHeading">
    <w:name w:val="Table Heading"/>
    <w:basedOn w:val="TableContents"/>
    <w:rsid w:val="00016FE1"/>
    <w:pPr>
      <w:widowControl/>
      <w:jc w:val="center"/>
    </w:pPr>
    <w:rPr>
      <w:rFonts w:eastAsia="Times New Roman" w:cs="Times New Roman"/>
      <w:b/>
      <w:bCs/>
      <w:lang w:val="es-ES" w:bidi="ar-SA"/>
    </w:rPr>
  </w:style>
  <w:style w:type="character" w:customStyle="1" w:styleId="WW8Num2z0">
    <w:name w:val="WW8Num2z0"/>
    <w:rsid w:val="00016FE1"/>
    <w:rPr>
      <w:b w:val="0"/>
    </w:rPr>
  </w:style>
  <w:style w:type="character" w:customStyle="1" w:styleId="WW8Num9z0">
    <w:name w:val="WW8Num9z0"/>
    <w:rsid w:val="00016FE1"/>
    <w:rPr>
      <w:b w:val="0"/>
    </w:rPr>
  </w:style>
  <w:style w:type="character" w:customStyle="1" w:styleId="Absatz-Standardschriftart">
    <w:name w:val="Absatz-Standardschriftart"/>
    <w:rsid w:val="00016FE1"/>
  </w:style>
  <w:style w:type="character" w:customStyle="1" w:styleId="WW-Absatz-Standardschriftart">
    <w:name w:val="WW-Absatz-Standardschriftart"/>
    <w:rsid w:val="00016FE1"/>
  </w:style>
  <w:style w:type="character" w:customStyle="1" w:styleId="WW8Num10z0">
    <w:name w:val="WW8Num10z0"/>
    <w:rsid w:val="00016FE1"/>
    <w:rPr>
      <w:b w:val="0"/>
    </w:rPr>
  </w:style>
  <w:style w:type="character" w:customStyle="1" w:styleId="WW-Absatz-Standardschriftart1">
    <w:name w:val="WW-Absatz-Standardschriftart1"/>
    <w:rsid w:val="00016FE1"/>
  </w:style>
  <w:style w:type="character" w:customStyle="1" w:styleId="WW-Absatz-Standardschriftart11">
    <w:name w:val="WW-Absatz-Standardschriftart11"/>
    <w:rsid w:val="00016FE1"/>
  </w:style>
  <w:style w:type="character" w:customStyle="1" w:styleId="WW-Absatz-Standardschriftart111">
    <w:name w:val="WW-Absatz-Standardschriftart111"/>
    <w:rsid w:val="00016FE1"/>
  </w:style>
  <w:style w:type="character" w:customStyle="1" w:styleId="WW-Absatz-Standardschriftart1111">
    <w:name w:val="WW-Absatz-Standardschriftart1111"/>
    <w:rsid w:val="00016FE1"/>
  </w:style>
  <w:style w:type="character" w:customStyle="1" w:styleId="WW8Num3z0">
    <w:name w:val="WW8Num3z0"/>
    <w:rsid w:val="00016FE1"/>
    <w:rPr>
      <w:b w:val="0"/>
    </w:rPr>
  </w:style>
  <w:style w:type="character" w:customStyle="1" w:styleId="WW8Num12z0">
    <w:name w:val="WW8Num12z0"/>
    <w:rsid w:val="00016FE1"/>
    <w:rPr>
      <w:b w:val="0"/>
    </w:rPr>
  </w:style>
  <w:style w:type="character" w:customStyle="1" w:styleId="WW-Absatz-Standardschriftart11111">
    <w:name w:val="WW-Absatz-Standardschriftart11111"/>
    <w:rsid w:val="00016FE1"/>
  </w:style>
  <w:style w:type="character" w:customStyle="1" w:styleId="WW8Num13z0">
    <w:name w:val="WW8Num13z0"/>
    <w:rsid w:val="00016FE1"/>
    <w:rPr>
      <w:b w:val="0"/>
    </w:rPr>
  </w:style>
  <w:style w:type="character" w:customStyle="1" w:styleId="WW8Num17z0">
    <w:name w:val="WW8Num17z0"/>
    <w:rsid w:val="00016FE1"/>
    <w:rPr>
      <w:b/>
    </w:rPr>
  </w:style>
  <w:style w:type="character" w:customStyle="1" w:styleId="A6">
    <w:name w:val="A6"/>
    <w:rsid w:val="00016FE1"/>
    <w:rPr>
      <w:color w:val="000000"/>
      <w:sz w:val="18"/>
      <w:szCs w:val="18"/>
    </w:rPr>
  </w:style>
  <w:style w:type="numbering" w:customStyle="1" w:styleId="WW8Num13">
    <w:name w:val="WW8Num13"/>
    <w:basedOn w:val="Sinlista"/>
    <w:rsid w:val="00016FE1"/>
    <w:pPr>
      <w:numPr>
        <w:numId w:val="134"/>
      </w:numPr>
    </w:pPr>
  </w:style>
  <w:style w:type="numbering" w:customStyle="1" w:styleId="WW8Num16">
    <w:name w:val="WW8Num16"/>
    <w:basedOn w:val="Sinlista"/>
    <w:rsid w:val="00016FE1"/>
    <w:pPr>
      <w:numPr>
        <w:numId w:val="135"/>
      </w:numPr>
    </w:pPr>
  </w:style>
  <w:style w:type="character" w:customStyle="1" w:styleId="PiedepginaCar1">
    <w:name w:val="Pie de página Car1"/>
    <w:uiPriority w:val="99"/>
    <w:semiHidden/>
    <w:rsid w:val="00016FE1"/>
    <w:rPr>
      <w:rFonts w:ascii="Arial" w:eastAsia="Times New Roman" w:hAnsi="Arial" w:cs="Arial"/>
      <w:color w:val="000000"/>
      <w:kern w:val="3"/>
      <w:sz w:val="24"/>
      <w:szCs w:val="24"/>
      <w:lang w:val="es-ES" w:eastAsia="zh-CN"/>
    </w:rPr>
  </w:style>
  <w:style w:type="character" w:customStyle="1" w:styleId="TextoindependienteCar1">
    <w:name w:val="Texto independiente Car1"/>
    <w:uiPriority w:val="99"/>
    <w:semiHidden/>
    <w:rsid w:val="00016FE1"/>
    <w:rPr>
      <w:rFonts w:ascii="Arial" w:eastAsia="Times New Roman" w:hAnsi="Arial" w:cs="Arial"/>
      <w:color w:val="000000"/>
      <w:kern w:val="3"/>
      <w:sz w:val="24"/>
      <w:szCs w:val="24"/>
      <w:lang w:val="es-ES" w:eastAsia="zh-CN"/>
    </w:rPr>
  </w:style>
  <w:style w:type="paragraph" w:customStyle="1" w:styleId="Normal2">
    <w:name w:val="Normal2"/>
    <w:rsid w:val="00016FE1"/>
    <w:pPr>
      <w:spacing w:after="200" w:line="240" w:lineRule="auto"/>
    </w:pPr>
    <w:rPr>
      <w:rFonts w:ascii="Cambria" w:eastAsia="Cambria" w:hAnsi="Cambria" w:cs="Cambria"/>
      <w:color w:val="000000"/>
      <w:sz w:val="24"/>
      <w:szCs w:val="24"/>
      <w:lang w:val="en-US"/>
    </w:rPr>
  </w:style>
  <w:style w:type="paragraph" w:customStyle="1" w:styleId="Encabezamiento">
    <w:name w:val="Encabezamiento"/>
    <w:basedOn w:val="Normal"/>
    <w:rsid w:val="00016FE1"/>
    <w:pPr>
      <w:suppressLineNumbers/>
      <w:tabs>
        <w:tab w:val="left" w:pos="708"/>
        <w:tab w:val="center" w:pos="4419"/>
        <w:tab w:val="right" w:pos="8838"/>
      </w:tabs>
      <w:suppressAutoHyphens/>
      <w:spacing w:line="100" w:lineRule="atLeast"/>
    </w:pPr>
    <w:rPr>
      <w:lang w:eastAsia="zh-CN" w:bidi="hi-IN"/>
    </w:rPr>
  </w:style>
  <w:style w:type="character" w:customStyle="1" w:styleId="A9">
    <w:name w:val="A9"/>
    <w:rsid w:val="00016FE1"/>
    <w:rPr>
      <w:rFonts w:cs="Avenir Next"/>
      <w:color w:val="000000"/>
      <w:sz w:val="16"/>
      <w:szCs w:val="16"/>
    </w:rPr>
  </w:style>
  <w:style w:type="paragraph" w:customStyle="1" w:styleId="Funte">
    <w:name w:val="Funte"/>
    <w:basedOn w:val="Textonotapie"/>
    <w:autoRedefine/>
    <w:qFormat/>
    <w:rsid w:val="00016FE1"/>
    <w:pPr>
      <w:spacing w:after="200" w:line="276" w:lineRule="auto"/>
      <w:jc w:val="both"/>
    </w:pPr>
    <w:rPr>
      <w:rFonts w:ascii="Cambria" w:eastAsia="MS Mincho" w:hAnsi="Cambria"/>
      <w:i/>
      <w:sz w:val="16"/>
      <w:szCs w:val="24"/>
    </w:rPr>
  </w:style>
  <w:style w:type="table" w:customStyle="1" w:styleId="TableGrid">
    <w:name w:val="TableGrid"/>
    <w:rsid w:val="00016FE1"/>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markedcontent">
    <w:name w:val="markedcontent"/>
    <w:basedOn w:val="Fuentedeprrafopredeter"/>
    <w:rsid w:val="00016FE1"/>
  </w:style>
  <w:style w:type="numbering" w:customStyle="1" w:styleId="Sinlista1">
    <w:name w:val="Sin lista1"/>
    <w:next w:val="Sinlista"/>
    <w:uiPriority w:val="99"/>
    <w:semiHidden/>
    <w:unhideWhenUsed/>
    <w:rsid w:val="00016FE1"/>
  </w:style>
  <w:style w:type="table" w:customStyle="1" w:styleId="Tablaconcuadrcula11">
    <w:name w:val="Tabla con cuadrícula11"/>
    <w:basedOn w:val="Tablanormal"/>
    <w:next w:val="Tablaconcuadrcula"/>
    <w:uiPriority w:val="59"/>
    <w:rsid w:val="00016FE1"/>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A4"/>
    <w:uiPriority w:val="99"/>
    <w:rsid w:val="00016FE1"/>
    <w:rPr>
      <w:rFonts w:cs="Gill Sans MT Pro Book"/>
      <w:color w:val="000000"/>
      <w:sz w:val="22"/>
      <w:szCs w:val="22"/>
    </w:rPr>
  </w:style>
  <w:style w:type="paragraph" w:customStyle="1" w:styleId="Pa12">
    <w:name w:val="Pa12"/>
    <w:basedOn w:val="Default"/>
    <w:next w:val="Default"/>
    <w:uiPriority w:val="99"/>
    <w:rsid w:val="00016FE1"/>
    <w:pPr>
      <w:spacing w:line="241" w:lineRule="atLeast"/>
    </w:pPr>
    <w:rPr>
      <w:rFonts w:ascii="Gill Sans MT Pro Book" w:eastAsia="Calibri" w:hAnsi="Gill Sans MT Pro Book" w:cs="Times New Roman"/>
      <w:color w:val="auto"/>
    </w:rPr>
  </w:style>
  <w:style w:type="paragraph" w:customStyle="1" w:styleId="Pa18">
    <w:name w:val="Pa18"/>
    <w:basedOn w:val="Default"/>
    <w:next w:val="Default"/>
    <w:uiPriority w:val="99"/>
    <w:rsid w:val="00016FE1"/>
    <w:pPr>
      <w:spacing w:line="241" w:lineRule="atLeast"/>
    </w:pPr>
    <w:rPr>
      <w:rFonts w:ascii="Gill Sans MT Pro Book" w:eastAsia="Calibri" w:hAnsi="Gill Sans MT Pro Book" w:cs="Times New Roman"/>
      <w:color w:val="auto"/>
    </w:rPr>
  </w:style>
  <w:style w:type="paragraph" w:customStyle="1" w:styleId="Pa4">
    <w:name w:val="Pa4"/>
    <w:basedOn w:val="Default"/>
    <w:next w:val="Default"/>
    <w:uiPriority w:val="99"/>
    <w:rsid w:val="00016FE1"/>
    <w:pPr>
      <w:spacing w:line="241" w:lineRule="atLeast"/>
    </w:pPr>
    <w:rPr>
      <w:rFonts w:ascii="Gill Sans MT Pro Book" w:eastAsia="Calibri" w:hAnsi="Gill Sans MT Pro Book" w:cs="Times New Roman"/>
      <w:color w:val="auto"/>
    </w:rPr>
  </w:style>
  <w:style w:type="table" w:customStyle="1" w:styleId="TableNormal">
    <w:name w:val="Table Normal"/>
    <w:unhideWhenUsed/>
    <w:qFormat/>
    <w:rsid w:val="00016FE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Estilo2">
    <w:name w:val="Estilo2"/>
    <w:basedOn w:val="Tablaweb1"/>
    <w:uiPriority w:val="99"/>
    <w:rsid w:val="00016FE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016FE1"/>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textrun1">
    <w:name w:val="normaltextrun1"/>
    <w:basedOn w:val="Fuentedeprrafopredeter"/>
    <w:rsid w:val="00016FE1"/>
  </w:style>
  <w:style w:type="character" w:customStyle="1" w:styleId="styleswordwithsynonyms8m9z7">
    <w:name w:val="styles_wordwithsynonyms__8m9z7"/>
    <w:basedOn w:val="Fuentedeprrafopredeter"/>
    <w:rsid w:val="00016FE1"/>
  </w:style>
  <w:style w:type="character" w:styleId="Refdenotaalfinal">
    <w:name w:val="endnote reference"/>
    <w:basedOn w:val="Fuentedeprrafopredeter"/>
    <w:uiPriority w:val="99"/>
    <w:semiHidden/>
    <w:unhideWhenUsed/>
    <w:rsid w:val="00016FE1"/>
    <w:rPr>
      <w:vertAlign w:val="superscript"/>
    </w:rPr>
  </w:style>
  <w:style w:type="paragraph" w:customStyle="1" w:styleId="CuerpoA">
    <w:name w:val="Cuerpo A"/>
    <w:rsid w:val="00016FE1"/>
    <w:pPr>
      <w:spacing w:after="0" w:line="240" w:lineRule="auto"/>
    </w:pPr>
    <w:rPr>
      <w:rFonts w:ascii="Helvetica" w:eastAsia="ヒラギノ角ゴ Pro W3" w:hAnsi="Helvetica" w:cs="Times New Roman"/>
      <w:color w:val="000000"/>
      <w:sz w:val="24"/>
      <w:szCs w:val="24"/>
      <w:lang w:val="es-ES_tradnl" w:eastAsia="es-ES"/>
    </w:rPr>
  </w:style>
  <w:style w:type="character" w:customStyle="1" w:styleId="SaludoCar">
    <w:name w:val="Saludo Car"/>
    <w:basedOn w:val="Fuentedeprrafopredeter"/>
    <w:link w:val="Saludo"/>
    <w:uiPriority w:val="99"/>
    <w:rsid w:val="00016FE1"/>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rsid w:val="00016FE1"/>
  </w:style>
  <w:style w:type="character" w:customStyle="1" w:styleId="SaludoCar1">
    <w:name w:val="Saludo Car1"/>
    <w:basedOn w:val="Fuentedeprrafopredeter"/>
    <w:uiPriority w:val="99"/>
    <w:semiHidden/>
    <w:rsid w:val="00016FE1"/>
    <w:rPr>
      <w:rFonts w:ascii="Times New Roman" w:eastAsia="Times New Roman" w:hAnsi="Times New Roman" w:cs="Times New Roman"/>
      <w:sz w:val="24"/>
      <w:szCs w:val="24"/>
      <w:lang w:val="es-ES" w:eastAsia="es-ES"/>
    </w:rPr>
  </w:style>
  <w:style w:type="paragraph" w:customStyle="1" w:styleId="ecxmsolistparagraph">
    <w:name w:val="ecxmsolistparagraph"/>
    <w:basedOn w:val="Normal"/>
    <w:uiPriority w:val="99"/>
    <w:rsid w:val="00016FE1"/>
    <w:pPr>
      <w:spacing w:after="324"/>
    </w:pPr>
    <w:rPr>
      <w:lang w:val="es-MX" w:eastAsia="es-MX"/>
    </w:rPr>
  </w:style>
  <w:style w:type="paragraph" w:customStyle="1" w:styleId="c13">
    <w:name w:val="c13"/>
    <w:basedOn w:val="Normal"/>
    <w:uiPriority w:val="99"/>
    <w:rsid w:val="00016FE1"/>
    <w:pPr>
      <w:widowControl w:val="0"/>
      <w:spacing w:line="240" w:lineRule="atLeast"/>
      <w:jc w:val="center"/>
    </w:pPr>
    <w:rPr>
      <w:snapToGrid w:val="0"/>
      <w:szCs w:val="20"/>
      <w:lang w:val="es-ES_tradnl"/>
    </w:rPr>
  </w:style>
  <w:style w:type="paragraph" w:customStyle="1" w:styleId="francesa1">
    <w:name w:val="francesa1"/>
    <w:basedOn w:val="Normal"/>
    <w:uiPriority w:val="99"/>
    <w:rsid w:val="00016FE1"/>
    <w:pPr>
      <w:jc w:val="both"/>
    </w:pPr>
    <w:rPr>
      <w:color w:val="444444"/>
    </w:rPr>
  </w:style>
  <w:style w:type="character" w:customStyle="1" w:styleId="1Car">
    <w:name w:val="1 Car"/>
    <w:link w:val="1"/>
    <w:rsid w:val="00016FE1"/>
    <w:rPr>
      <w:rFonts w:ascii="Times" w:eastAsia="Times New Roman" w:hAnsi="Times" w:cs="Times New Roman"/>
      <w:sz w:val="24"/>
      <w:szCs w:val="20"/>
      <w:lang w:val="es-ES_tradnl" w:eastAsia="es-ES"/>
    </w:rPr>
  </w:style>
  <w:style w:type="paragraph" w:customStyle="1" w:styleId="Contenidodelatabla">
    <w:name w:val="Contenido de la tabla"/>
    <w:basedOn w:val="Normal"/>
    <w:uiPriority w:val="99"/>
    <w:rsid w:val="00016FE1"/>
    <w:pPr>
      <w:widowControl w:val="0"/>
      <w:suppressLineNumbers/>
      <w:suppressAutoHyphens/>
    </w:pPr>
    <w:rPr>
      <w:rFonts w:eastAsia="Lucida Sans Unicode"/>
      <w:kern w:val="1"/>
      <w:lang w:val="es-MX" w:eastAsia="ar-SA"/>
    </w:rPr>
  </w:style>
  <w:style w:type="paragraph" w:customStyle="1" w:styleId="Instruccionesenvocorreo">
    <w:name w:val="Instrucciones envío correo"/>
    <w:basedOn w:val="Normal"/>
    <w:uiPriority w:val="99"/>
    <w:rsid w:val="00016FE1"/>
    <w:rPr>
      <w:sz w:val="20"/>
      <w:szCs w:val="20"/>
    </w:rPr>
  </w:style>
  <w:style w:type="character" w:customStyle="1" w:styleId="FontStyle15">
    <w:name w:val="Font Style15"/>
    <w:basedOn w:val="Fuentedeprrafopredeter"/>
    <w:uiPriority w:val="99"/>
    <w:rsid w:val="00016FE1"/>
    <w:rPr>
      <w:rFonts w:ascii="Palatino Linotype" w:hAnsi="Palatino Linotype" w:cs="Palatino Linotype"/>
      <w:sz w:val="18"/>
      <w:szCs w:val="18"/>
    </w:rPr>
  </w:style>
  <w:style w:type="paragraph" w:customStyle="1" w:styleId="Sinespaciado3">
    <w:name w:val="Sin espaciado3"/>
    <w:uiPriority w:val="99"/>
    <w:rsid w:val="00016FE1"/>
    <w:pPr>
      <w:spacing w:after="0" w:line="240" w:lineRule="auto"/>
    </w:pPr>
    <w:rPr>
      <w:rFonts w:ascii="Calibri" w:eastAsia="Times New Roman" w:hAnsi="Calibri" w:cs="Times New Roman"/>
    </w:rPr>
  </w:style>
  <w:style w:type="character" w:customStyle="1" w:styleId="articulo1">
    <w:name w:val="articulo1"/>
    <w:rsid w:val="00016FE1"/>
    <w:rPr>
      <w:b/>
      <w:color w:val="000000"/>
      <w:sz w:val="22"/>
    </w:rPr>
  </w:style>
  <w:style w:type="paragraph" w:customStyle="1" w:styleId="Sinespaciado4">
    <w:name w:val="Sin espaciado4"/>
    <w:uiPriority w:val="99"/>
    <w:rsid w:val="00016FE1"/>
    <w:pPr>
      <w:spacing w:after="0" w:line="240" w:lineRule="auto"/>
    </w:pPr>
    <w:rPr>
      <w:rFonts w:ascii="Calibri" w:eastAsia="Times New Roman" w:hAnsi="Calibri" w:cs="Times New Roman"/>
    </w:rPr>
  </w:style>
  <w:style w:type="character" w:customStyle="1" w:styleId="Cuerpodeltexto">
    <w:name w:val="Cuerpo del texto_"/>
    <w:basedOn w:val="Fuentedeprrafopredeter"/>
    <w:link w:val="Cuerpodeltexto0"/>
    <w:locked/>
    <w:rsid w:val="00016FE1"/>
    <w:rPr>
      <w:rFonts w:ascii="Verdana" w:eastAsia="Verdana" w:hAnsi="Verdana" w:cs="Verdana"/>
      <w:sz w:val="20"/>
      <w:szCs w:val="20"/>
      <w:shd w:val="clear" w:color="auto" w:fill="FFFFFF"/>
    </w:rPr>
  </w:style>
  <w:style w:type="paragraph" w:customStyle="1" w:styleId="Cuerpodeltexto0">
    <w:name w:val="Cuerpo del texto"/>
    <w:basedOn w:val="Normal"/>
    <w:link w:val="Cuerpodeltexto"/>
    <w:rsid w:val="00016FE1"/>
    <w:pPr>
      <w:widowControl w:val="0"/>
      <w:shd w:val="clear" w:color="auto" w:fill="FFFFFF"/>
      <w:spacing w:before="180" w:after="300" w:line="264" w:lineRule="exact"/>
      <w:jc w:val="both"/>
    </w:pPr>
    <w:rPr>
      <w:rFonts w:ascii="Verdana" w:eastAsia="Verdana" w:hAnsi="Verdana" w:cs="Verdana"/>
      <w:sz w:val="20"/>
      <w:szCs w:val="20"/>
      <w:lang w:val="es-MX" w:eastAsia="en-US"/>
    </w:rPr>
  </w:style>
  <w:style w:type="paragraph" w:customStyle="1" w:styleId="Sinespaciado5">
    <w:name w:val="Sin espaciado5"/>
    <w:uiPriority w:val="99"/>
    <w:rsid w:val="00016FE1"/>
    <w:pPr>
      <w:spacing w:after="0" w:line="240" w:lineRule="auto"/>
    </w:pPr>
    <w:rPr>
      <w:rFonts w:ascii="Calibri" w:eastAsia="Times New Roman" w:hAnsi="Calibri" w:cs="Times New Roman"/>
    </w:rPr>
  </w:style>
  <w:style w:type="paragraph" w:customStyle="1" w:styleId="Sinespaciado6">
    <w:name w:val="Sin espaciado6"/>
    <w:uiPriority w:val="99"/>
    <w:rsid w:val="00016FE1"/>
    <w:pPr>
      <w:spacing w:after="0" w:line="240" w:lineRule="auto"/>
    </w:pPr>
    <w:rPr>
      <w:rFonts w:ascii="Calibri" w:eastAsia="Times New Roman" w:hAnsi="Calibri" w:cs="Times New Roman"/>
    </w:rPr>
  </w:style>
  <w:style w:type="paragraph" w:customStyle="1" w:styleId="Sinespaciado7">
    <w:name w:val="Sin espaciado7"/>
    <w:uiPriority w:val="99"/>
    <w:rsid w:val="00016FE1"/>
    <w:pPr>
      <w:spacing w:after="0" w:line="240" w:lineRule="auto"/>
    </w:pPr>
    <w:rPr>
      <w:rFonts w:ascii="Calibri" w:eastAsia="Times New Roman" w:hAnsi="Calibri" w:cs="Times New Roman"/>
    </w:rPr>
  </w:style>
  <w:style w:type="paragraph" w:customStyle="1" w:styleId="Artculo">
    <w:name w:val="Artículo"/>
    <w:basedOn w:val="Normal"/>
    <w:uiPriority w:val="99"/>
    <w:rsid w:val="00016FE1"/>
    <w:pPr>
      <w:tabs>
        <w:tab w:val="left" w:pos="709"/>
      </w:tabs>
      <w:ind w:firstLine="709"/>
      <w:jc w:val="both"/>
    </w:pPr>
    <w:rPr>
      <w:rFonts w:ascii="Arial" w:hAnsi="Arial"/>
      <w:sz w:val="22"/>
      <w:szCs w:val="20"/>
      <w:lang w:val="es-ES_tradnl"/>
    </w:rPr>
  </w:style>
  <w:style w:type="paragraph" w:customStyle="1" w:styleId="Prrafodelista2">
    <w:name w:val="Párrafo de lista2"/>
    <w:basedOn w:val="Normal"/>
    <w:uiPriority w:val="99"/>
    <w:rsid w:val="00016FE1"/>
    <w:pPr>
      <w:ind w:left="720"/>
      <w:jc w:val="both"/>
    </w:pPr>
    <w:rPr>
      <w:rFonts w:ascii="Calibri" w:hAnsi="Calibri"/>
      <w:sz w:val="22"/>
      <w:szCs w:val="22"/>
      <w:lang w:val="es-MX" w:eastAsia="en-US"/>
    </w:rPr>
  </w:style>
  <w:style w:type="paragraph" w:customStyle="1" w:styleId="Estilo1">
    <w:name w:val="Estilo1"/>
    <w:basedOn w:val="Textoindependiente2"/>
    <w:uiPriority w:val="99"/>
    <w:rsid w:val="00016FE1"/>
    <w:pPr>
      <w:spacing w:after="0" w:line="240" w:lineRule="auto"/>
      <w:jc w:val="both"/>
    </w:pPr>
    <w:rPr>
      <w:rFonts w:ascii="Lucida Bright" w:eastAsia="Times New Roman" w:hAnsi="Lucida Bright" w:cs="Times New Roman"/>
      <w:lang w:eastAsia="es-ES"/>
    </w:rPr>
  </w:style>
  <w:style w:type="character" w:customStyle="1" w:styleId="tgc">
    <w:name w:val="_tgc"/>
    <w:rsid w:val="00016FE1"/>
  </w:style>
  <w:style w:type="character" w:customStyle="1" w:styleId="Bodytext10">
    <w:name w:val="Body text (10)"/>
    <w:link w:val="Bodytext101"/>
    <w:uiPriority w:val="99"/>
    <w:rsid w:val="00016FE1"/>
    <w:rPr>
      <w:rFonts w:ascii="Arial" w:hAnsi="Arial" w:cs="Arial"/>
      <w:i/>
      <w:iCs/>
      <w:sz w:val="24"/>
      <w:szCs w:val="24"/>
      <w:shd w:val="clear" w:color="auto" w:fill="FFFFFF"/>
    </w:rPr>
  </w:style>
  <w:style w:type="paragraph" w:customStyle="1" w:styleId="Bodytext101">
    <w:name w:val="Body text (10)1"/>
    <w:basedOn w:val="Normal"/>
    <w:link w:val="Bodytext10"/>
    <w:uiPriority w:val="99"/>
    <w:rsid w:val="00016FE1"/>
    <w:pPr>
      <w:shd w:val="clear" w:color="auto" w:fill="FFFFFF"/>
      <w:spacing w:after="240" w:line="414" w:lineRule="exact"/>
      <w:jc w:val="both"/>
    </w:pPr>
    <w:rPr>
      <w:rFonts w:ascii="Arial" w:eastAsiaTheme="minorHAnsi" w:hAnsi="Arial" w:cs="Arial"/>
      <w:i/>
      <w:iCs/>
      <w:lang w:val="es-MX" w:eastAsia="en-US"/>
    </w:rPr>
  </w:style>
  <w:style w:type="character" w:customStyle="1" w:styleId="Bodytext10NotItalic">
    <w:name w:val="Body text (10) + Not Italic"/>
    <w:uiPriority w:val="99"/>
    <w:rsid w:val="00016FE1"/>
  </w:style>
  <w:style w:type="character" w:customStyle="1" w:styleId="Bodytext10Bold">
    <w:name w:val="Body text (10) + Bold"/>
    <w:aliases w:val="Not Italic"/>
    <w:uiPriority w:val="99"/>
    <w:rsid w:val="00016FE1"/>
    <w:rPr>
      <w:rFonts w:ascii="Arial" w:hAnsi="Arial" w:cs="Arial"/>
      <w:b/>
      <w:bCs/>
      <w:i/>
      <w:iCs/>
      <w:sz w:val="24"/>
      <w:szCs w:val="24"/>
      <w:shd w:val="clear" w:color="auto" w:fill="FFFFFF"/>
    </w:rPr>
  </w:style>
  <w:style w:type="character" w:customStyle="1" w:styleId="Textoindependiente1">
    <w:name w:val="Texto independiente1"/>
    <w:link w:val="Bodytext1"/>
    <w:uiPriority w:val="99"/>
    <w:rsid w:val="00016FE1"/>
    <w:rPr>
      <w:rFonts w:ascii="Arial" w:hAnsi="Arial" w:cs="Arial"/>
      <w:sz w:val="24"/>
      <w:szCs w:val="24"/>
      <w:shd w:val="clear" w:color="auto" w:fill="FFFFFF"/>
    </w:rPr>
  </w:style>
  <w:style w:type="paragraph" w:customStyle="1" w:styleId="Bodytext1">
    <w:name w:val="Body text1"/>
    <w:basedOn w:val="Normal"/>
    <w:link w:val="Textoindependiente1"/>
    <w:uiPriority w:val="99"/>
    <w:rsid w:val="00016FE1"/>
    <w:pPr>
      <w:shd w:val="clear" w:color="auto" w:fill="FFFFFF"/>
      <w:spacing w:before="420" w:after="120" w:line="418" w:lineRule="exact"/>
      <w:ind w:firstLine="720"/>
      <w:jc w:val="both"/>
    </w:pPr>
    <w:rPr>
      <w:rFonts w:ascii="Arial" w:eastAsiaTheme="minorHAnsi" w:hAnsi="Arial" w:cs="Arial"/>
      <w:lang w:val="es-MX" w:eastAsia="en-US"/>
    </w:rPr>
  </w:style>
  <w:style w:type="paragraph" w:customStyle="1" w:styleId="Sinespaciado8">
    <w:name w:val="Sin espaciado8"/>
    <w:uiPriority w:val="99"/>
    <w:rsid w:val="00016FE1"/>
    <w:pPr>
      <w:spacing w:after="0" w:line="240" w:lineRule="auto"/>
      <w:jc w:val="both"/>
    </w:pPr>
    <w:rPr>
      <w:rFonts w:ascii="Calibri" w:eastAsia="Times New Roman" w:hAnsi="Calibri" w:cs="Times New Roman"/>
    </w:rPr>
  </w:style>
  <w:style w:type="paragraph" w:customStyle="1" w:styleId="Sinespaciado9">
    <w:name w:val="Sin espaciado9"/>
    <w:uiPriority w:val="99"/>
    <w:rsid w:val="00016FE1"/>
    <w:pPr>
      <w:spacing w:after="0" w:line="240" w:lineRule="auto"/>
      <w:jc w:val="both"/>
    </w:pPr>
    <w:rPr>
      <w:rFonts w:ascii="Calibri" w:eastAsia="Times New Roman" w:hAnsi="Calibri" w:cs="Times New Roman"/>
    </w:rPr>
  </w:style>
  <w:style w:type="character" w:customStyle="1" w:styleId="field-content">
    <w:name w:val="field-content"/>
    <w:basedOn w:val="Fuentedeprrafopredeter"/>
    <w:rsid w:val="00016FE1"/>
  </w:style>
  <w:style w:type="paragraph" w:styleId="Citadestacada">
    <w:name w:val="Intense Quote"/>
    <w:basedOn w:val="Normal"/>
    <w:next w:val="Normal"/>
    <w:link w:val="CitadestacadaCar"/>
    <w:uiPriority w:val="30"/>
    <w:qFormat/>
    <w:rsid w:val="00016FE1"/>
    <w:pPr>
      <w:pBdr>
        <w:bottom w:val="single" w:sz="4" w:space="4" w:color="4F81BD"/>
      </w:pBdr>
      <w:spacing w:before="200" w:beforeAutospacing="1" w:after="280"/>
      <w:ind w:left="936" w:right="936"/>
      <w:jc w:val="both"/>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016FE1"/>
    <w:rPr>
      <w:rFonts w:ascii="Calibri" w:eastAsia="Calibri" w:hAnsi="Calibri" w:cs="Times New Roman"/>
      <w:b/>
      <w:bCs/>
      <w:i/>
      <w:iCs/>
      <w:color w:val="4F81BD"/>
      <w:lang w:val="es-ES"/>
    </w:rPr>
  </w:style>
  <w:style w:type="character" w:customStyle="1" w:styleId="e24kjd">
    <w:name w:val="e24kjd"/>
    <w:basedOn w:val="Fuentedeprrafopredeter"/>
    <w:rsid w:val="00016FE1"/>
  </w:style>
  <w:style w:type="character" w:customStyle="1" w:styleId="s1">
    <w:name w:val="s1"/>
    <w:basedOn w:val="Fuentedeprrafopredeter"/>
    <w:rsid w:val="00016FE1"/>
  </w:style>
  <w:style w:type="character" w:customStyle="1" w:styleId="ui-dialog-title">
    <w:name w:val="ui-dialog-title"/>
    <w:basedOn w:val="Fuentedeprrafopredeter"/>
    <w:rsid w:val="00016FE1"/>
  </w:style>
  <w:style w:type="character" w:customStyle="1" w:styleId="ui-icon">
    <w:name w:val="ui-icon"/>
    <w:basedOn w:val="Fuentedeprrafopredeter"/>
    <w:rsid w:val="00016FE1"/>
  </w:style>
  <w:style w:type="paragraph" w:customStyle="1" w:styleId="Estilodetabla1">
    <w:name w:val="Estilo de tabla 1"/>
    <w:rsid w:val="00016FE1"/>
    <w:pPr>
      <w:spacing w:after="0" w:line="240" w:lineRule="auto"/>
    </w:pPr>
    <w:rPr>
      <w:rFonts w:ascii="Helvetica Neue" w:eastAsia="Arial Unicode MS" w:hAnsi="Helvetica Neue" w:cs="Arial Unicode MS"/>
      <w:b/>
      <w:bCs/>
      <w:color w:val="000000"/>
      <w:sz w:val="20"/>
      <w:szCs w:val="20"/>
      <w:u w:color="000000"/>
      <w:lang w:val="fr-FR" w:eastAsia="es-ES"/>
    </w:rPr>
  </w:style>
  <w:style w:type="paragraph" w:customStyle="1" w:styleId="Estilodetabla2">
    <w:name w:val="Estilo de tabla 2"/>
    <w:rsid w:val="00016FE1"/>
    <w:pPr>
      <w:spacing w:after="0" w:line="240" w:lineRule="auto"/>
    </w:pPr>
    <w:rPr>
      <w:rFonts w:ascii="Helvetica Neue" w:eastAsia="Arial Unicode MS" w:hAnsi="Helvetica Neue" w:cs="Arial Unicode MS"/>
      <w:color w:val="000000"/>
      <w:sz w:val="20"/>
      <w:szCs w:val="20"/>
      <w:u w:color="000000"/>
      <w:lang w:val="it-IT" w:eastAsia="es-ES"/>
    </w:rPr>
  </w:style>
  <w:style w:type="paragraph" w:customStyle="1" w:styleId="paragraph">
    <w:name w:val="paragraph"/>
    <w:basedOn w:val="Normal"/>
    <w:uiPriority w:val="99"/>
    <w:rsid w:val="00016FE1"/>
    <w:pPr>
      <w:spacing w:before="100" w:beforeAutospacing="1" w:after="100" w:afterAutospacing="1"/>
    </w:pPr>
    <w:rPr>
      <w:lang w:val="es-MX" w:eastAsia="es-MX"/>
    </w:rPr>
  </w:style>
  <w:style w:type="paragraph" w:styleId="HTMLconformatoprevio">
    <w:name w:val="HTML Preformatted"/>
    <w:basedOn w:val="Normal"/>
    <w:link w:val="HTMLconformatoprevioCar"/>
    <w:semiHidden/>
    <w:unhideWhenUsed/>
    <w:rsid w:val="00016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conformatoprevioCar">
    <w:name w:val="HTML con formato previo Car"/>
    <w:basedOn w:val="Fuentedeprrafopredeter"/>
    <w:link w:val="HTMLconformatoprevio"/>
    <w:semiHidden/>
    <w:rsid w:val="00016FE1"/>
    <w:rPr>
      <w:rFonts w:ascii="Courier New" w:eastAsia="Times New Roman" w:hAnsi="Courier New" w:cs="Courier New"/>
      <w:color w:val="000000"/>
      <w:sz w:val="20"/>
      <w:szCs w:val="20"/>
      <w:lang w:val="es-ES" w:eastAsia="es-ES"/>
    </w:rPr>
  </w:style>
  <w:style w:type="character" w:customStyle="1" w:styleId="HTMLconformatoprevioCar1">
    <w:name w:val="HTML con formato previo Car1"/>
    <w:basedOn w:val="Fuentedeprrafopredeter"/>
    <w:uiPriority w:val="99"/>
    <w:semiHidden/>
    <w:rsid w:val="00016FE1"/>
    <w:rPr>
      <w:rFonts w:ascii="Consolas" w:eastAsia="Times New Roman" w:hAnsi="Consolas" w:cs="Consolas" w:hint="default"/>
      <w:sz w:val="20"/>
      <w:szCs w:val="20"/>
      <w:lang w:val="es-ES" w:eastAsia="es-ES"/>
    </w:rPr>
  </w:style>
  <w:style w:type="character" w:customStyle="1" w:styleId="color1">
    <w:name w:val="color_1"/>
    <w:basedOn w:val="Fuentedeprrafopredeter"/>
    <w:rsid w:val="00016FE1"/>
  </w:style>
  <w:style w:type="character" w:customStyle="1" w:styleId="fontstyle01">
    <w:name w:val="fontstyle01"/>
    <w:basedOn w:val="Fuentedeprrafopredeter"/>
    <w:rsid w:val="00016FE1"/>
    <w:rPr>
      <w:rFonts w:ascii="Arial" w:hAnsi="Arial" w:cs="Arial" w:hint="default"/>
      <w:b w:val="0"/>
      <w:bCs w:val="0"/>
      <w:i w:val="0"/>
      <w:iCs w:val="0"/>
      <w:color w:val="000000"/>
      <w:sz w:val="22"/>
      <w:szCs w:val="22"/>
    </w:rPr>
  </w:style>
  <w:style w:type="character" w:customStyle="1" w:styleId="lbl-encabezado-negro">
    <w:name w:val="lbl-encabezado-negro"/>
    <w:basedOn w:val="Fuentedeprrafopredeter"/>
    <w:rsid w:val="00016FE1"/>
  </w:style>
  <w:style w:type="paragraph" w:customStyle="1" w:styleId="CuerpoB">
    <w:name w:val="Cuerpo B"/>
    <w:rsid w:val="00016FE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Lneadeasunto">
    <w:name w:val="Línea de asunto"/>
    <w:basedOn w:val="Normal"/>
    <w:rsid w:val="00016FE1"/>
  </w:style>
  <w:style w:type="character" w:customStyle="1" w:styleId="normaltextrun">
    <w:name w:val="normaltextrun"/>
    <w:basedOn w:val="Fuentedeprrafopredeter"/>
    <w:rsid w:val="00016FE1"/>
  </w:style>
  <w:style w:type="character" w:customStyle="1" w:styleId="eop">
    <w:name w:val="eop"/>
    <w:basedOn w:val="Fuentedeprrafopredeter"/>
    <w:rsid w:val="00016FE1"/>
  </w:style>
  <w:style w:type="paragraph" w:customStyle="1" w:styleId="xl64">
    <w:name w:val="xl64"/>
    <w:basedOn w:val="Normal"/>
    <w:rsid w:val="00016FE1"/>
    <w:pPr>
      <w:pBdr>
        <w:top w:val="single" w:sz="4" w:space="0" w:color="auto"/>
        <w:left w:val="single" w:sz="4" w:space="0" w:color="auto"/>
        <w:bottom w:val="single" w:sz="4" w:space="0" w:color="auto"/>
      </w:pBdr>
      <w:spacing w:before="100" w:beforeAutospacing="1" w:after="100" w:afterAutospacing="1"/>
    </w:pPr>
    <w:rPr>
      <w:b/>
      <w:bCs/>
      <w:sz w:val="32"/>
      <w:szCs w:val="32"/>
      <w:lang w:val="es-MX" w:eastAsia="es-MX"/>
    </w:rPr>
  </w:style>
  <w:style w:type="paragraph" w:customStyle="1" w:styleId="xl65">
    <w:name w:val="xl65"/>
    <w:basedOn w:val="Normal"/>
    <w:rsid w:val="00016FE1"/>
    <w:pPr>
      <w:pBdr>
        <w:top w:val="single" w:sz="4" w:space="0" w:color="auto"/>
        <w:bottom w:val="single" w:sz="4" w:space="0" w:color="auto"/>
      </w:pBdr>
      <w:spacing w:before="100" w:beforeAutospacing="1" w:after="100" w:afterAutospacing="1"/>
    </w:pPr>
    <w:rPr>
      <w:b/>
      <w:bCs/>
      <w:sz w:val="32"/>
      <w:szCs w:val="32"/>
      <w:lang w:val="es-MX" w:eastAsia="es-MX"/>
    </w:rPr>
  </w:style>
  <w:style w:type="paragraph" w:customStyle="1" w:styleId="xl66">
    <w:name w:val="xl66"/>
    <w:basedOn w:val="Normal"/>
    <w:rsid w:val="00016FE1"/>
    <w:pPr>
      <w:pBdr>
        <w:left w:val="single" w:sz="8" w:space="0" w:color="808080"/>
      </w:pBdr>
      <w:spacing w:before="100" w:beforeAutospacing="1" w:after="100" w:afterAutospacing="1"/>
      <w:jc w:val="center"/>
      <w:textAlignment w:val="center"/>
    </w:pPr>
    <w:rPr>
      <w:b/>
      <w:bCs/>
      <w:lang w:val="es-MX" w:eastAsia="es-MX"/>
    </w:rPr>
  </w:style>
  <w:style w:type="paragraph" w:customStyle="1" w:styleId="xl67">
    <w:name w:val="xl67"/>
    <w:basedOn w:val="Normal"/>
    <w:rsid w:val="00016FE1"/>
    <w:pPr>
      <w:spacing w:before="100" w:beforeAutospacing="1" w:after="100" w:afterAutospacing="1"/>
      <w:jc w:val="center"/>
      <w:textAlignment w:val="center"/>
    </w:pPr>
    <w:rPr>
      <w:b/>
      <w:bCs/>
      <w:lang w:val="es-MX" w:eastAsia="es-MX"/>
    </w:rPr>
  </w:style>
  <w:style w:type="paragraph" w:customStyle="1" w:styleId="xl68">
    <w:name w:val="xl68"/>
    <w:basedOn w:val="Normal"/>
    <w:rsid w:val="00016FE1"/>
    <w:pPr>
      <w:spacing w:before="100" w:beforeAutospacing="1" w:after="100" w:afterAutospacing="1"/>
      <w:jc w:val="center"/>
      <w:textAlignment w:val="center"/>
    </w:pPr>
    <w:rPr>
      <w:b/>
      <w:bCs/>
      <w:lang w:val="es-MX" w:eastAsia="es-MX"/>
    </w:rPr>
  </w:style>
  <w:style w:type="paragraph" w:customStyle="1" w:styleId="xl69">
    <w:name w:val="xl69"/>
    <w:basedOn w:val="Normal"/>
    <w:rsid w:val="00016FE1"/>
    <w:pPr>
      <w:pBdr>
        <w:top w:val="single" w:sz="4" w:space="0" w:color="808080"/>
        <w:left w:val="single" w:sz="8" w:space="0" w:color="808080"/>
        <w:bottom w:val="single" w:sz="4" w:space="0" w:color="808080"/>
        <w:right w:val="single" w:sz="4" w:space="0" w:color="808080"/>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70">
    <w:name w:val="xl70"/>
    <w:basedOn w:val="Normal"/>
    <w:rsid w:val="00016FE1"/>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b/>
      <w:bCs/>
      <w:color w:val="FFFFFF"/>
      <w:lang w:val="es-MX" w:eastAsia="es-MX"/>
    </w:rPr>
  </w:style>
  <w:style w:type="paragraph" w:customStyle="1" w:styleId="xl71">
    <w:name w:val="xl71"/>
    <w:basedOn w:val="Normal"/>
    <w:rsid w:val="00016FE1"/>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jc w:val="right"/>
      <w:textAlignment w:val="center"/>
    </w:pPr>
    <w:rPr>
      <w:b/>
      <w:bCs/>
      <w:color w:val="FFFFFF"/>
      <w:sz w:val="20"/>
      <w:szCs w:val="20"/>
      <w:lang w:val="es-MX" w:eastAsia="es-MX"/>
    </w:rPr>
  </w:style>
  <w:style w:type="paragraph" w:customStyle="1" w:styleId="xl72">
    <w:name w:val="xl72"/>
    <w:basedOn w:val="Normal"/>
    <w:rsid w:val="00016FE1"/>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b/>
      <w:bCs/>
      <w:lang w:val="es-MX" w:eastAsia="es-MX"/>
    </w:rPr>
  </w:style>
  <w:style w:type="paragraph" w:customStyle="1" w:styleId="xl73">
    <w:name w:val="xl73"/>
    <w:basedOn w:val="Normal"/>
    <w:rsid w:val="00016FE1"/>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b/>
      <w:bCs/>
      <w:lang w:val="es-MX" w:eastAsia="es-MX"/>
    </w:rPr>
  </w:style>
  <w:style w:type="paragraph" w:customStyle="1" w:styleId="xl74">
    <w:name w:val="xl74"/>
    <w:basedOn w:val="Normal"/>
    <w:rsid w:val="00016FE1"/>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b/>
      <w:bCs/>
      <w:sz w:val="20"/>
      <w:szCs w:val="20"/>
      <w:lang w:val="es-MX" w:eastAsia="es-MX"/>
    </w:rPr>
  </w:style>
  <w:style w:type="paragraph" w:customStyle="1" w:styleId="xl75">
    <w:name w:val="xl75"/>
    <w:basedOn w:val="Normal"/>
    <w:rsid w:val="00016FE1"/>
    <w:pPr>
      <w:pBdr>
        <w:top w:val="single" w:sz="4" w:space="0" w:color="808080"/>
        <w:left w:val="single" w:sz="8" w:space="0" w:color="808080"/>
        <w:bottom w:val="single" w:sz="4" w:space="0" w:color="808080"/>
        <w:right w:val="single" w:sz="4" w:space="0" w:color="808080"/>
      </w:pBdr>
      <w:spacing w:before="100" w:beforeAutospacing="1" w:after="100" w:afterAutospacing="1"/>
      <w:jc w:val="center"/>
      <w:textAlignment w:val="center"/>
    </w:pPr>
    <w:rPr>
      <w:sz w:val="20"/>
      <w:szCs w:val="20"/>
      <w:lang w:val="es-MX" w:eastAsia="es-MX"/>
    </w:rPr>
  </w:style>
  <w:style w:type="paragraph" w:customStyle="1" w:styleId="xl76">
    <w:name w:val="xl76"/>
    <w:basedOn w:val="Normal"/>
    <w:rsid w:val="00016FE1"/>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sz w:val="20"/>
      <w:szCs w:val="20"/>
      <w:lang w:val="es-MX" w:eastAsia="es-MX"/>
    </w:rPr>
  </w:style>
  <w:style w:type="paragraph" w:customStyle="1" w:styleId="xl77">
    <w:name w:val="xl77"/>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sz w:val="20"/>
      <w:szCs w:val="20"/>
      <w:lang w:val="es-MX" w:eastAsia="es-MX"/>
    </w:rPr>
  </w:style>
  <w:style w:type="paragraph" w:customStyle="1" w:styleId="xl78">
    <w:name w:val="xl78"/>
    <w:basedOn w:val="Normal"/>
    <w:rsid w:val="00016FE1"/>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b/>
      <w:bCs/>
      <w:lang w:val="es-MX" w:eastAsia="es-MX"/>
    </w:rPr>
  </w:style>
  <w:style w:type="paragraph" w:customStyle="1" w:styleId="xl79">
    <w:name w:val="xl79"/>
    <w:basedOn w:val="Normal"/>
    <w:rsid w:val="00016FE1"/>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b/>
      <w:bCs/>
      <w:lang w:val="es-MX" w:eastAsia="es-MX"/>
    </w:rPr>
  </w:style>
  <w:style w:type="paragraph" w:customStyle="1" w:styleId="xl80">
    <w:name w:val="xl80"/>
    <w:basedOn w:val="Normal"/>
    <w:rsid w:val="00016FE1"/>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b/>
      <w:bCs/>
      <w:sz w:val="20"/>
      <w:szCs w:val="20"/>
      <w:lang w:val="es-MX" w:eastAsia="es-MX"/>
    </w:rPr>
  </w:style>
  <w:style w:type="paragraph" w:customStyle="1" w:styleId="xl81">
    <w:name w:val="xl81"/>
    <w:basedOn w:val="Normal"/>
    <w:rsid w:val="00016FE1"/>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lang w:val="es-MX" w:eastAsia="es-MX"/>
    </w:rPr>
  </w:style>
  <w:style w:type="paragraph" w:customStyle="1" w:styleId="xl82">
    <w:name w:val="xl82"/>
    <w:basedOn w:val="Normal"/>
    <w:rsid w:val="00016FE1"/>
    <w:pPr>
      <w:pBdr>
        <w:top w:val="single" w:sz="4" w:space="0" w:color="808080"/>
        <w:left w:val="single" w:sz="8" w:space="0" w:color="808080"/>
        <w:bottom w:val="single" w:sz="4" w:space="0" w:color="808080"/>
        <w:right w:val="single" w:sz="4" w:space="0" w:color="808080"/>
      </w:pBdr>
      <w:spacing w:before="100" w:beforeAutospacing="1" w:after="100" w:afterAutospacing="1"/>
      <w:jc w:val="center"/>
      <w:textAlignment w:val="center"/>
    </w:pPr>
    <w:rPr>
      <w:lang w:val="es-MX" w:eastAsia="es-MX"/>
    </w:rPr>
  </w:style>
  <w:style w:type="paragraph" w:customStyle="1" w:styleId="xl83">
    <w:name w:val="xl83"/>
    <w:basedOn w:val="Normal"/>
    <w:rsid w:val="00016FE1"/>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lang w:val="es-MX" w:eastAsia="es-MX"/>
    </w:rPr>
  </w:style>
  <w:style w:type="paragraph" w:customStyle="1" w:styleId="xl84">
    <w:name w:val="xl84"/>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lang w:val="es-MX" w:eastAsia="es-MX"/>
    </w:rPr>
  </w:style>
  <w:style w:type="paragraph" w:customStyle="1" w:styleId="xl85">
    <w:name w:val="xl85"/>
    <w:basedOn w:val="Normal"/>
    <w:rsid w:val="00016FE1"/>
    <w:pPr>
      <w:pBdr>
        <w:top w:val="single" w:sz="4" w:space="0" w:color="808080"/>
        <w:left w:val="single" w:sz="8" w:space="0" w:color="808080"/>
        <w:right w:val="single" w:sz="4" w:space="0" w:color="808080"/>
      </w:pBdr>
      <w:spacing w:before="100" w:beforeAutospacing="1" w:after="100" w:afterAutospacing="1"/>
      <w:jc w:val="center"/>
      <w:textAlignment w:val="center"/>
    </w:pPr>
    <w:rPr>
      <w:sz w:val="20"/>
      <w:szCs w:val="20"/>
      <w:lang w:val="es-MX" w:eastAsia="es-MX"/>
    </w:rPr>
  </w:style>
  <w:style w:type="paragraph" w:customStyle="1" w:styleId="xl86">
    <w:name w:val="xl86"/>
    <w:basedOn w:val="Normal"/>
    <w:rsid w:val="00016FE1"/>
    <w:pPr>
      <w:pBdr>
        <w:top w:val="single" w:sz="4" w:space="0" w:color="808080"/>
        <w:left w:val="single" w:sz="4" w:space="0" w:color="808080"/>
        <w:right w:val="single" w:sz="4" w:space="0" w:color="808080"/>
      </w:pBdr>
      <w:spacing w:before="100" w:beforeAutospacing="1" w:after="100" w:afterAutospacing="1"/>
      <w:textAlignment w:val="center"/>
    </w:pPr>
    <w:rPr>
      <w:sz w:val="20"/>
      <w:szCs w:val="20"/>
      <w:lang w:val="es-MX" w:eastAsia="es-MX"/>
    </w:rPr>
  </w:style>
  <w:style w:type="paragraph" w:customStyle="1" w:styleId="xl87">
    <w:name w:val="xl87"/>
    <w:basedOn w:val="Normal"/>
    <w:rsid w:val="00016FE1"/>
    <w:pPr>
      <w:pBdr>
        <w:top w:val="single" w:sz="4" w:space="0" w:color="808080"/>
        <w:left w:val="single" w:sz="4" w:space="0" w:color="808080"/>
        <w:right w:val="single" w:sz="4" w:space="0" w:color="808080"/>
      </w:pBdr>
      <w:shd w:val="clear" w:color="000000" w:fill="FFE6CB"/>
      <w:spacing w:before="100" w:beforeAutospacing="1" w:after="100" w:afterAutospacing="1"/>
      <w:jc w:val="right"/>
      <w:textAlignment w:val="center"/>
    </w:pPr>
    <w:rPr>
      <w:sz w:val="20"/>
      <w:szCs w:val="20"/>
      <w:lang w:val="es-MX" w:eastAsia="es-MX"/>
    </w:rPr>
  </w:style>
  <w:style w:type="paragraph" w:customStyle="1" w:styleId="xl88">
    <w:name w:val="xl88"/>
    <w:basedOn w:val="Normal"/>
    <w:rsid w:val="00016FE1"/>
    <w:pPr>
      <w:pBdr>
        <w:top w:val="single" w:sz="4" w:space="0" w:color="808080"/>
        <w:left w:val="single" w:sz="8" w:space="0" w:color="808080"/>
        <w:bottom w:val="single" w:sz="8" w:space="0" w:color="808080"/>
        <w:right w:val="single" w:sz="4" w:space="0" w:color="808080"/>
      </w:pBdr>
      <w:shd w:val="clear" w:color="000000" w:fill="00A79D"/>
      <w:spacing w:before="100" w:beforeAutospacing="1" w:after="100" w:afterAutospacing="1"/>
      <w:textAlignment w:val="center"/>
    </w:pPr>
    <w:rPr>
      <w:b/>
      <w:bCs/>
      <w:i/>
      <w:iCs/>
      <w:color w:val="FFFFFF"/>
      <w:lang w:val="es-MX" w:eastAsia="es-MX"/>
    </w:rPr>
  </w:style>
  <w:style w:type="paragraph" w:customStyle="1" w:styleId="xl89">
    <w:name w:val="xl89"/>
    <w:basedOn w:val="Normal"/>
    <w:rsid w:val="00016FE1"/>
    <w:pPr>
      <w:pBdr>
        <w:top w:val="single" w:sz="4" w:space="0" w:color="808080"/>
        <w:left w:val="single" w:sz="4" w:space="0" w:color="808080"/>
        <w:bottom w:val="single" w:sz="8" w:space="0" w:color="808080"/>
        <w:right w:val="single" w:sz="4" w:space="0" w:color="808080"/>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90">
    <w:name w:val="xl90"/>
    <w:basedOn w:val="Normal"/>
    <w:rsid w:val="00016FE1"/>
    <w:pPr>
      <w:pBdr>
        <w:top w:val="single" w:sz="4" w:space="0" w:color="808080"/>
        <w:left w:val="single" w:sz="4" w:space="0" w:color="808080"/>
        <w:bottom w:val="single" w:sz="8" w:space="0" w:color="808080"/>
        <w:right w:val="single" w:sz="4" w:space="0" w:color="808080"/>
      </w:pBdr>
      <w:shd w:val="clear" w:color="000000" w:fill="00A79D"/>
      <w:spacing w:before="100" w:beforeAutospacing="1" w:after="100" w:afterAutospacing="1"/>
      <w:jc w:val="right"/>
      <w:textAlignment w:val="center"/>
    </w:pPr>
    <w:rPr>
      <w:b/>
      <w:bCs/>
      <w:color w:val="FFFFFF"/>
      <w:lang w:val="es-MX" w:eastAsia="es-MX"/>
    </w:rPr>
  </w:style>
  <w:style w:type="paragraph" w:customStyle="1" w:styleId="xl91">
    <w:name w:val="xl91"/>
    <w:basedOn w:val="Normal"/>
    <w:rsid w:val="00016FE1"/>
    <w:pPr>
      <w:spacing w:before="100" w:beforeAutospacing="1" w:after="100" w:afterAutospacing="1"/>
    </w:pPr>
    <w:rPr>
      <w:lang w:val="es-MX" w:eastAsia="es-MX"/>
    </w:rPr>
  </w:style>
  <w:style w:type="paragraph" w:customStyle="1" w:styleId="xl92">
    <w:name w:val="xl92"/>
    <w:basedOn w:val="Normal"/>
    <w:rsid w:val="00016FE1"/>
    <w:pPr>
      <w:pBdr>
        <w:left w:val="single" w:sz="4" w:space="0" w:color="D9E1F2"/>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93">
    <w:name w:val="xl93"/>
    <w:basedOn w:val="Normal"/>
    <w:rsid w:val="00016FE1"/>
    <w:pPr>
      <w:pBdr>
        <w:top w:val="single" w:sz="8" w:space="0" w:color="808080"/>
        <w:left w:val="single" w:sz="8" w:space="0" w:color="808080"/>
        <w:bottom w:val="single" w:sz="4" w:space="0" w:color="auto"/>
      </w:pBdr>
      <w:spacing w:before="100" w:beforeAutospacing="1" w:after="100" w:afterAutospacing="1"/>
      <w:jc w:val="center"/>
      <w:textAlignment w:val="top"/>
    </w:pPr>
    <w:rPr>
      <w:b/>
      <w:bCs/>
      <w:sz w:val="40"/>
      <w:szCs w:val="40"/>
      <w:lang w:val="es-MX" w:eastAsia="es-MX"/>
    </w:rPr>
  </w:style>
  <w:style w:type="paragraph" w:customStyle="1" w:styleId="xl94">
    <w:name w:val="xl94"/>
    <w:basedOn w:val="Normal"/>
    <w:rsid w:val="00016FE1"/>
    <w:pPr>
      <w:pBdr>
        <w:top w:val="single" w:sz="8" w:space="0" w:color="808080"/>
        <w:bottom w:val="single" w:sz="4" w:space="0" w:color="auto"/>
      </w:pBdr>
      <w:spacing w:before="100" w:beforeAutospacing="1" w:after="100" w:afterAutospacing="1"/>
      <w:jc w:val="center"/>
      <w:textAlignment w:val="top"/>
    </w:pPr>
    <w:rPr>
      <w:b/>
      <w:bCs/>
      <w:sz w:val="40"/>
      <w:szCs w:val="40"/>
      <w:lang w:val="es-MX" w:eastAsia="es-MX"/>
    </w:rPr>
  </w:style>
  <w:style w:type="paragraph" w:customStyle="1" w:styleId="xl95">
    <w:name w:val="xl95"/>
    <w:basedOn w:val="Normal"/>
    <w:rsid w:val="00016FE1"/>
    <w:pPr>
      <w:pBdr>
        <w:left w:val="single" w:sz="8" w:space="0" w:color="808080"/>
        <w:bottom w:val="single" w:sz="4" w:space="0" w:color="D9E1F2"/>
        <w:right w:val="single" w:sz="4" w:space="0" w:color="D9E1F2"/>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96">
    <w:name w:val="xl96"/>
    <w:basedOn w:val="Normal"/>
    <w:rsid w:val="00016FE1"/>
    <w:pPr>
      <w:pBdr>
        <w:top w:val="single" w:sz="4" w:space="0" w:color="D9E1F2"/>
        <w:left w:val="single" w:sz="8" w:space="0" w:color="808080"/>
        <w:right w:val="single" w:sz="4" w:space="0" w:color="D9E1F2"/>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97">
    <w:name w:val="xl97"/>
    <w:basedOn w:val="Normal"/>
    <w:rsid w:val="00016FE1"/>
    <w:pPr>
      <w:pBdr>
        <w:left w:val="single" w:sz="4" w:space="0" w:color="D9E1F2"/>
        <w:bottom w:val="single" w:sz="4" w:space="0" w:color="D9E1F2"/>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98">
    <w:name w:val="xl98"/>
    <w:basedOn w:val="Normal"/>
    <w:rsid w:val="00016FE1"/>
    <w:pPr>
      <w:pBdr>
        <w:top w:val="single" w:sz="4" w:space="0" w:color="D9E1F2"/>
        <w:left w:val="single" w:sz="4" w:space="0" w:color="D9E1F2"/>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99">
    <w:name w:val="xl99"/>
    <w:basedOn w:val="Normal"/>
    <w:rsid w:val="00016FE1"/>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b/>
      <w:bCs/>
      <w:color w:val="000000"/>
      <w:sz w:val="20"/>
      <w:szCs w:val="20"/>
      <w:lang w:val="es-MX" w:eastAsia="es-MX"/>
    </w:rPr>
  </w:style>
  <w:style w:type="paragraph" w:customStyle="1" w:styleId="xl100">
    <w:name w:val="xl100"/>
    <w:basedOn w:val="Normal"/>
    <w:rsid w:val="00016FE1"/>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b/>
      <w:bCs/>
      <w:color w:val="000000"/>
      <w:lang w:val="es-MX" w:eastAsia="es-MX"/>
    </w:rPr>
  </w:style>
  <w:style w:type="paragraph" w:customStyle="1" w:styleId="xl101">
    <w:name w:val="xl101"/>
    <w:basedOn w:val="Normal"/>
    <w:rsid w:val="00016FE1"/>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b/>
      <w:bCs/>
      <w:color w:val="000000"/>
      <w:lang w:val="es-MX" w:eastAsia="es-MX"/>
    </w:rPr>
  </w:style>
  <w:style w:type="paragraph" w:customStyle="1" w:styleId="xl102">
    <w:name w:val="xl102"/>
    <w:basedOn w:val="Normal"/>
    <w:rsid w:val="00016FE1"/>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b/>
      <w:bCs/>
      <w:lang w:val="es-MX" w:eastAsia="es-MX"/>
    </w:rPr>
  </w:style>
  <w:style w:type="paragraph" w:customStyle="1" w:styleId="xl103">
    <w:name w:val="xl103"/>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color w:val="000000"/>
      <w:sz w:val="18"/>
      <w:szCs w:val="18"/>
      <w:lang w:val="es-MX" w:eastAsia="es-MX"/>
    </w:rPr>
  </w:style>
  <w:style w:type="paragraph" w:customStyle="1" w:styleId="xl104">
    <w:name w:val="xl104"/>
    <w:basedOn w:val="Normal"/>
    <w:rsid w:val="00016FE1"/>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b/>
      <w:bCs/>
      <w:color w:val="000000"/>
      <w:lang w:val="es-MX" w:eastAsia="es-MX"/>
    </w:rPr>
  </w:style>
  <w:style w:type="paragraph" w:customStyle="1" w:styleId="xl105">
    <w:name w:val="xl105"/>
    <w:basedOn w:val="Normal"/>
    <w:rsid w:val="00016FE1"/>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b/>
      <w:bCs/>
      <w:color w:val="FFFFFF"/>
      <w:lang w:val="es-MX" w:eastAsia="es-MX"/>
    </w:rPr>
  </w:style>
  <w:style w:type="paragraph" w:customStyle="1" w:styleId="xl106">
    <w:name w:val="xl106"/>
    <w:basedOn w:val="Normal"/>
    <w:rsid w:val="00016FE1"/>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b/>
      <w:bCs/>
      <w:color w:val="000000"/>
      <w:lang w:val="es-MX" w:eastAsia="es-MX"/>
    </w:rPr>
  </w:style>
  <w:style w:type="paragraph" w:customStyle="1" w:styleId="xl107">
    <w:name w:val="xl107"/>
    <w:basedOn w:val="Normal"/>
    <w:rsid w:val="00016FE1"/>
    <w:pPr>
      <w:pBdr>
        <w:top w:val="single" w:sz="4" w:space="0" w:color="808080"/>
        <w:left w:val="single" w:sz="4" w:space="0" w:color="auto"/>
        <w:right w:val="single" w:sz="4" w:space="0" w:color="808080"/>
      </w:pBdr>
      <w:spacing w:before="100" w:beforeAutospacing="1" w:after="100" w:afterAutospacing="1"/>
      <w:jc w:val="center"/>
      <w:textAlignment w:val="center"/>
    </w:pPr>
    <w:rPr>
      <w:b/>
      <w:bCs/>
      <w:color w:val="FFFFFF"/>
      <w:lang w:val="es-MX" w:eastAsia="es-MX"/>
    </w:rPr>
  </w:style>
  <w:style w:type="paragraph" w:customStyle="1" w:styleId="xl108">
    <w:name w:val="xl108"/>
    <w:basedOn w:val="Normal"/>
    <w:rsid w:val="00016FE1"/>
    <w:pPr>
      <w:pBdr>
        <w:top w:val="single" w:sz="4" w:space="0" w:color="808080"/>
        <w:left w:val="single" w:sz="4" w:space="0" w:color="808080"/>
        <w:right w:val="single" w:sz="4" w:space="0" w:color="808080"/>
      </w:pBdr>
      <w:spacing w:before="100" w:beforeAutospacing="1" w:after="100" w:afterAutospacing="1"/>
      <w:textAlignment w:val="center"/>
    </w:pPr>
    <w:rPr>
      <w:b/>
      <w:bCs/>
      <w:color w:val="FFFFFF"/>
      <w:lang w:val="es-MX" w:eastAsia="es-MX"/>
    </w:rPr>
  </w:style>
  <w:style w:type="paragraph" w:customStyle="1" w:styleId="xl109">
    <w:name w:val="xl109"/>
    <w:basedOn w:val="Normal"/>
    <w:rsid w:val="00016FE1"/>
    <w:pPr>
      <w:pBdr>
        <w:top w:val="single" w:sz="4" w:space="0" w:color="808080"/>
        <w:left w:val="single" w:sz="4" w:space="0" w:color="808080"/>
        <w:right w:val="single" w:sz="4" w:space="0" w:color="auto"/>
      </w:pBdr>
      <w:spacing w:before="100" w:beforeAutospacing="1" w:after="100" w:afterAutospacing="1"/>
      <w:jc w:val="right"/>
      <w:textAlignment w:val="center"/>
    </w:pPr>
    <w:rPr>
      <w:b/>
      <w:bCs/>
      <w:color w:val="FFFFFF"/>
      <w:lang w:val="es-MX" w:eastAsia="es-MX"/>
    </w:rPr>
  </w:style>
  <w:style w:type="paragraph" w:customStyle="1" w:styleId="xl110">
    <w:name w:val="xl110"/>
    <w:basedOn w:val="Normal"/>
    <w:rsid w:val="00016FE1"/>
    <w:pPr>
      <w:pBdr>
        <w:top w:val="single" w:sz="4" w:space="0" w:color="808080"/>
        <w:left w:val="single" w:sz="4" w:space="0" w:color="808080"/>
        <w:bottom w:val="single" w:sz="4" w:space="0" w:color="auto"/>
        <w:right w:val="single" w:sz="4" w:space="0" w:color="auto"/>
      </w:pBdr>
      <w:shd w:val="clear" w:color="000000" w:fill="00A79D"/>
      <w:spacing w:before="100" w:beforeAutospacing="1" w:after="100" w:afterAutospacing="1"/>
      <w:jc w:val="right"/>
      <w:textAlignment w:val="center"/>
    </w:pPr>
    <w:rPr>
      <w:b/>
      <w:bCs/>
      <w:color w:val="FFFFFF"/>
      <w:lang w:val="es-MX" w:eastAsia="es-MX"/>
    </w:rPr>
  </w:style>
  <w:style w:type="paragraph" w:customStyle="1" w:styleId="xl111">
    <w:name w:val="xl111"/>
    <w:basedOn w:val="Normal"/>
    <w:rsid w:val="00016FE1"/>
    <w:pPr>
      <w:pBdr>
        <w:top w:val="single" w:sz="4" w:space="0" w:color="808080"/>
        <w:left w:val="single" w:sz="4" w:space="0" w:color="auto"/>
        <w:bottom w:val="single" w:sz="4" w:space="0" w:color="auto"/>
        <w:right w:val="single" w:sz="4" w:space="0" w:color="808080"/>
      </w:pBdr>
      <w:shd w:val="clear" w:color="000000" w:fill="00A79D"/>
      <w:spacing w:before="100" w:beforeAutospacing="1" w:after="100" w:afterAutospacing="1"/>
      <w:jc w:val="right"/>
      <w:textAlignment w:val="center"/>
    </w:pPr>
    <w:rPr>
      <w:b/>
      <w:bCs/>
      <w:color w:val="FFFFFF"/>
      <w:lang w:val="es-MX" w:eastAsia="es-MX"/>
    </w:rPr>
  </w:style>
  <w:style w:type="paragraph" w:customStyle="1" w:styleId="xl112">
    <w:name w:val="xl112"/>
    <w:basedOn w:val="Normal"/>
    <w:rsid w:val="00016FE1"/>
    <w:pPr>
      <w:pBdr>
        <w:top w:val="single" w:sz="4" w:space="0" w:color="808080"/>
        <w:left w:val="single" w:sz="4" w:space="0" w:color="808080"/>
        <w:bottom w:val="single" w:sz="4" w:space="0" w:color="auto"/>
        <w:right w:val="single" w:sz="4" w:space="0" w:color="808080"/>
      </w:pBdr>
      <w:shd w:val="clear" w:color="000000" w:fill="00A79D"/>
      <w:spacing w:before="100" w:beforeAutospacing="1" w:after="100" w:afterAutospacing="1"/>
      <w:jc w:val="right"/>
      <w:textAlignment w:val="center"/>
    </w:pPr>
    <w:rPr>
      <w:b/>
      <w:bCs/>
      <w:color w:val="FFFFFF"/>
      <w:lang w:val="es-MX" w:eastAsia="es-MX"/>
    </w:rPr>
  </w:style>
  <w:style w:type="paragraph" w:customStyle="1" w:styleId="xl113">
    <w:name w:val="xl113"/>
    <w:basedOn w:val="Normal"/>
    <w:rsid w:val="00016FE1"/>
    <w:pPr>
      <w:pBdr>
        <w:top w:val="single" w:sz="8" w:space="0" w:color="FFFFFF"/>
        <w:left w:val="single" w:sz="8" w:space="0" w:color="FFFFFF"/>
        <w:bottom w:val="single" w:sz="4" w:space="0" w:color="auto"/>
      </w:pBdr>
      <w:spacing w:before="100" w:beforeAutospacing="1" w:after="100" w:afterAutospacing="1"/>
      <w:jc w:val="center"/>
      <w:textAlignment w:val="center"/>
    </w:pPr>
    <w:rPr>
      <w:b/>
      <w:bCs/>
      <w:sz w:val="36"/>
      <w:szCs w:val="36"/>
      <w:lang w:val="es-MX" w:eastAsia="es-MX"/>
    </w:rPr>
  </w:style>
  <w:style w:type="paragraph" w:customStyle="1" w:styleId="xl114">
    <w:name w:val="xl114"/>
    <w:basedOn w:val="Normal"/>
    <w:rsid w:val="00016FE1"/>
    <w:pPr>
      <w:pBdr>
        <w:top w:val="single" w:sz="8" w:space="0" w:color="FFFFFF"/>
        <w:bottom w:val="single" w:sz="4" w:space="0" w:color="auto"/>
      </w:pBdr>
      <w:spacing w:before="100" w:beforeAutospacing="1" w:after="100" w:afterAutospacing="1"/>
      <w:jc w:val="center"/>
      <w:textAlignment w:val="center"/>
    </w:pPr>
    <w:rPr>
      <w:b/>
      <w:bCs/>
      <w:sz w:val="36"/>
      <w:szCs w:val="36"/>
      <w:lang w:val="es-MX" w:eastAsia="es-MX"/>
    </w:rPr>
  </w:style>
  <w:style w:type="paragraph" w:customStyle="1" w:styleId="xl115">
    <w:name w:val="xl115"/>
    <w:basedOn w:val="Normal"/>
    <w:rsid w:val="00016FE1"/>
    <w:pPr>
      <w:pBdr>
        <w:top w:val="single" w:sz="8" w:space="0" w:color="FFFFFF"/>
        <w:bottom w:val="single" w:sz="4" w:space="0" w:color="auto"/>
        <w:right w:val="single" w:sz="4" w:space="0" w:color="D9E1F2"/>
      </w:pBdr>
      <w:spacing w:before="100" w:beforeAutospacing="1" w:after="100" w:afterAutospacing="1"/>
      <w:jc w:val="center"/>
      <w:textAlignment w:val="center"/>
    </w:pPr>
    <w:rPr>
      <w:b/>
      <w:bCs/>
      <w:sz w:val="36"/>
      <w:szCs w:val="36"/>
      <w:lang w:val="es-MX" w:eastAsia="es-MX"/>
    </w:rPr>
  </w:style>
  <w:style w:type="paragraph" w:customStyle="1" w:styleId="xl116">
    <w:name w:val="xl116"/>
    <w:basedOn w:val="Normal"/>
    <w:rsid w:val="00016FE1"/>
    <w:pPr>
      <w:pBdr>
        <w:top w:val="single" w:sz="4" w:space="0" w:color="auto"/>
        <w:left w:val="single" w:sz="4" w:space="0" w:color="auto"/>
        <w:bottom w:val="single" w:sz="4" w:space="0" w:color="auto"/>
      </w:pBdr>
      <w:spacing w:before="100" w:beforeAutospacing="1" w:after="100" w:afterAutospacing="1"/>
      <w:textAlignment w:val="top"/>
    </w:pPr>
    <w:rPr>
      <w:b/>
      <w:bCs/>
      <w:sz w:val="32"/>
      <w:szCs w:val="32"/>
      <w:lang w:val="es-MX" w:eastAsia="es-MX"/>
    </w:rPr>
  </w:style>
  <w:style w:type="paragraph" w:customStyle="1" w:styleId="xl117">
    <w:name w:val="xl117"/>
    <w:basedOn w:val="Normal"/>
    <w:rsid w:val="00016FE1"/>
    <w:pPr>
      <w:pBdr>
        <w:top w:val="single" w:sz="4" w:space="0" w:color="auto"/>
        <w:bottom w:val="single" w:sz="4" w:space="0" w:color="auto"/>
      </w:pBdr>
      <w:spacing w:before="100" w:beforeAutospacing="1" w:after="100" w:afterAutospacing="1"/>
      <w:textAlignment w:val="top"/>
    </w:pPr>
    <w:rPr>
      <w:b/>
      <w:bCs/>
      <w:sz w:val="32"/>
      <w:szCs w:val="32"/>
      <w:lang w:val="es-MX" w:eastAsia="es-MX"/>
    </w:rPr>
  </w:style>
  <w:style w:type="paragraph" w:customStyle="1" w:styleId="xl118">
    <w:name w:val="xl118"/>
    <w:basedOn w:val="Normal"/>
    <w:rsid w:val="00016FE1"/>
    <w:pPr>
      <w:pBdr>
        <w:top w:val="single" w:sz="4" w:space="0" w:color="auto"/>
        <w:bottom w:val="single" w:sz="4" w:space="0" w:color="auto"/>
        <w:right w:val="single" w:sz="4" w:space="0" w:color="auto"/>
      </w:pBdr>
      <w:spacing w:before="100" w:beforeAutospacing="1" w:after="100" w:afterAutospacing="1"/>
      <w:textAlignment w:val="top"/>
    </w:pPr>
    <w:rPr>
      <w:b/>
      <w:bCs/>
      <w:sz w:val="32"/>
      <w:szCs w:val="32"/>
      <w:lang w:val="es-MX" w:eastAsia="es-MX"/>
    </w:rPr>
  </w:style>
  <w:style w:type="paragraph" w:customStyle="1" w:styleId="xl119">
    <w:name w:val="xl119"/>
    <w:basedOn w:val="Normal"/>
    <w:rsid w:val="00016FE1"/>
    <w:pPr>
      <w:pBdr>
        <w:top w:val="single" w:sz="4" w:space="0" w:color="auto"/>
        <w:left w:val="single" w:sz="4" w:space="0" w:color="auto"/>
        <w:bottom w:val="single" w:sz="4" w:space="0" w:color="808080"/>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120">
    <w:name w:val="xl120"/>
    <w:basedOn w:val="Normal"/>
    <w:rsid w:val="00016FE1"/>
    <w:pPr>
      <w:pBdr>
        <w:top w:val="single" w:sz="4" w:space="0" w:color="808080"/>
        <w:left w:val="single" w:sz="4" w:space="0" w:color="auto"/>
        <w:bottom w:val="single" w:sz="4" w:space="0" w:color="808080"/>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121">
    <w:name w:val="xl121"/>
    <w:basedOn w:val="Normal"/>
    <w:rsid w:val="00016FE1"/>
    <w:pPr>
      <w:pBdr>
        <w:top w:val="single" w:sz="4" w:space="0" w:color="auto"/>
        <w:left w:val="single" w:sz="4" w:space="0" w:color="FFFFFF"/>
        <w:bottom w:val="single" w:sz="4" w:space="0" w:color="808080"/>
        <w:right w:val="single" w:sz="4" w:space="0" w:color="FFFFFF"/>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122">
    <w:name w:val="xl122"/>
    <w:basedOn w:val="Normal"/>
    <w:rsid w:val="00016FE1"/>
    <w:pPr>
      <w:pBdr>
        <w:top w:val="single" w:sz="4" w:space="0" w:color="808080"/>
        <w:left w:val="single" w:sz="4" w:space="0" w:color="FFFFFF"/>
        <w:bottom w:val="single" w:sz="4" w:space="0" w:color="808080"/>
        <w:right w:val="single" w:sz="4" w:space="0" w:color="FFFFFF"/>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123">
    <w:name w:val="xl123"/>
    <w:basedOn w:val="Normal"/>
    <w:rsid w:val="00016FE1"/>
    <w:pPr>
      <w:pBdr>
        <w:top w:val="single" w:sz="4" w:space="0" w:color="auto"/>
        <w:bottom w:val="single" w:sz="4" w:space="0" w:color="808080"/>
        <w:right w:val="single" w:sz="4" w:space="0" w:color="auto"/>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124">
    <w:name w:val="xl124"/>
    <w:basedOn w:val="Normal"/>
    <w:rsid w:val="00016FE1"/>
    <w:pPr>
      <w:pBdr>
        <w:top w:val="single" w:sz="4" w:space="0" w:color="808080"/>
        <w:bottom w:val="single" w:sz="4" w:space="0" w:color="808080"/>
        <w:right w:val="single" w:sz="4" w:space="0" w:color="auto"/>
      </w:pBdr>
      <w:shd w:val="clear" w:color="000000" w:fill="00A79D"/>
      <w:spacing w:before="100" w:beforeAutospacing="1" w:after="100" w:afterAutospacing="1"/>
      <w:jc w:val="center"/>
      <w:textAlignment w:val="center"/>
    </w:pPr>
    <w:rPr>
      <w:b/>
      <w:bCs/>
      <w:color w:val="FFFFFF"/>
      <w:lang w:val="es-MX" w:eastAsia="es-MX"/>
    </w:rPr>
  </w:style>
  <w:style w:type="paragraph" w:customStyle="1" w:styleId="cmparagraph">
    <w:name w:val="cmparagraph"/>
    <w:basedOn w:val="Normal"/>
    <w:rsid w:val="00016FE1"/>
    <w:pPr>
      <w:spacing w:before="100" w:beforeAutospacing="1" w:after="100" w:afterAutospacing="1"/>
    </w:pPr>
    <w:rPr>
      <w:lang w:val="es-MX" w:eastAsia="es-MX"/>
    </w:rPr>
  </w:style>
  <w:style w:type="character" w:customStyle="1" w:styleId="EncabezadoCar1">
    <w:name w:val="Encabezado Car1"/>
    <w:basedOn w:val="Fuentedeprrafopredeter"/>
    <w:uiPriority w:val="99"/>
    <w:semiHidden/>
    <w:rsid w:val="00016FE1"/>
  </w:style>
  <w:style w:type="character" w:customStyle="1" w:styleId="Estilo2Car">
    <w:name w:val="Estilo2 Car"/>
    <w:basedOn w:val="EstiloCar"/>
    <w:rsid w:val="00016FE1"/>
    <w:rPr>
      <w:rFonts w:ascii="Arial" w:eastAsia="Times New Roman" w:hAnsi="Arial" w:cs="Arial"/>
      <w:sz w:val="24"/>
      <w:szCs w:val="24"/>
      <w:lang w:val="es-ES" w:eastAsia="es-ES"/>
    </w:rPr>
  </w:style>
  <w:style w:type="paragraph" w:customStyle="1" w:styleId="font5">
    <w:name w:val="font5"/>
    <w:basedOn w:val="Normal"/>
    <w:rsid w:val="00016FE1"/>
    <w:pPr>
      <w:spacing w:before="100" w:beforeAutospacing="1" w:after="100" w:afterAutospacing="1"/>
    </w:pPr>
    <w:rPr>
      <w:rFonts w:ascii="Tahoma" w:hAnsi="Tahoma" w:cs="Tahoma"/>
      <w:color w:val="000000"/>
      <w:sz w:val="20"/>
      <w:szCs w:val="20"/>
      <w:lang w:val="es-MX" w:eastAsia="es-MX"/>
    </w:rPr>
  </w:style>
  <w:style w:type="paragraph" w:customStyle="1" w:styleId="font6">
    <w:name w:val="font6"/>
    <w:basedOn w:val="Normal"/>
    <w:rsid w:val="00016FE1"/>
    <w:pPr>
      <w:spacing w:before="100" w:beforeAutospacing="1" w:after="100" w:afterAutospacing="1"/>
    </w:pPr>
    <w:rPr>
      <w:rFonts w:ascii="Arial" w:hAnsi="Arial" w:cs="Arial"/>
      <w:b/>
      <w:bCs/>
      <w:color w:val="000000"/>
      <w:lang w:val="es-MX" w:eastAsia="es-MX"/>
    </w:rPr>
  </w:style>
  <w:style w:type="paragraph" w:customStyle="1" w:styleId="font7">
    <w:name w:val="font7"/>
    <w:basedOn w:val="Normal"/>
    <w:rsid w:val="00016FE1"/>
    <w:pPr>
      <w:spacing w:before="100" w:beforeAutospacing="1" w:after="100" w:afterAutospacing="1"/>
    </w:pPr>
    <w:rPr>
      <w:rFonts w:ascii="Arial" w:hAnsi="Arial" w:cs="Arial"/>
      <w:color w:val="000000"/>
      <w:lang w:val="es-MX" w:eastAsia="es-MX"/>
    </w:rPr>
  </w:style>
  <w:style w:type="paragraph" w:customStyle="1" w:styleId="font8">
    <w:name w:val="font8"/>
    <w:basedOn w:val="Normal"/>
    <w:rsid w:val="00016FE1"/>
    <w:pPr>
      <w:spacing w:before="100" w:beforeAutospacing="1" w:after="100" w:afterAutospacing="1"/>
    </w:pPr>
    <w:rPr>
      <w:rFonts w:ascii="Tahoma" w:hAnsi="Tahoma" w:cs="Tahoma"/>
      <w:color w:val="000000"/>
      <w:sz w:val="16"/>
      <w:szCs w:val="16"/>
      <w:lang w:val="es-MX" w:eastAsia="es-MX"/>
    </w:rPr>
  </w:style>
  <w:style w:type="paragraph" w:customStyle="1" w:styleId="font9">
    <w:name w:val="font9"/>
    <w:basedOn w:val="Normal"/>
    <w:rsid w:val="00016FE1"/>
    <w:pPr>
      <w:spacing w:before="100" w:beforeAutospacing="1" w:after="100" w:afterAutospacing="1"/>
    </w:pPr>
    <w:rPr>
      <w:rFonts w:ascii="Arial" w:hAnsi="Arial" w:cs="Arial"/>
      <w:color w:val="000000"/>
      <w:sz w:val="16"/>
      <w:szCs w:val="16"/>
      <w:lang w:val="es-MX" w:eastAsia="es-MX"/>
    </w:rPr>
  </w:style>
  <w:style w:type="paragraph" w:customStyle="1" w:styleId="font10">
    <w:name w:val="font10"/>
    <w:basedOn w:val="Normal"/>
    <w:rsid w:val="00016FE1"/>
    <w:pPr>
      <w:spacing w:before="100" w:beforeAutospacing="1" w:after="100" w:afterAutospacing="1"/>
    </w:pPr>
    <w:rPr>
      <w:rFonts w:ascii="Arial" w:hAnsi="Arial" w:cs="Arial"/>
      <w:b/>
      <w:bCs/>
      <w:color w:val="000000"/>
      <w:sz w:val="16"/>
      <w:szCs w:val="16"/>
      <w:lang w:val="es-MX" w:eastAsia="es-MX"/>
    </w:rPr>
  </w:style>
  <w:style w:type="paragraph" w:customStyle="1" w:styleId="font11">
    <w:name w:val="font11"/>
    <w:basedOn w:val="Normal"/>
    <w:rsid w:val="00016FE1"/>
    <w:pPr>
      <w:spacing w:before="100" w:beforeAutospacing="1" w:after="100" w:afterAutospacing="1"/>
    </w:pPr>
    <w:rPr>
      <w:rFonts w:ascii="Tahoma" w:hAnsi="Tahoma" w:cs="Tahoma"/>
      <w:b/>
      <w:bCs/>
      <w:color w:val="000000"/>
      <w:sz w:val="18"/>
      <w:szCs w:val="18"/>
      <w:lang w:val="es-MX" w:eastAsia="es-MX"/>
    </w:rPr>
  </w:style>
  <w:style w:type="paragraph" w:customStyle="1" w:styleId="font12">
    <w:name w:val="font12"/>
    <w:basedOn w:val="Normal"/>
    <w:rsid w:val="00016FE1"/>
    <w:pPr>
      <w:spacing w:before="100" w:beforeAutospacing="1" w:after="100" w:afterAutospacing="1"/>
    </w:pPr>
    <w:rPr>
      <w:rFonts w:ascii="Tahoma" w:hAnsi="Tahoma" w:cs="Tahoma"/>
      <w:b/>
      <w:bCs/>
      <w:color w:val="000000"/>
      <w:sz w:val="22"/>
      <w:szCs w:val="22"/>
      <w:lang w:val="es-MX" w:eastAsia="es-MX"/>
    </w:rPr>
  </w:style>
  <w:style w:type="paragraph" w:customStyle="1" w:styleId="font13">
    <w:name w:val="font13"/>
    <w:basedOn w:val="Normal"/>
    <w:rsid w:val="00016FE1"/>
    <w:pPr>
      <w:spacing w:before="100" w:beforeAutospacing="1" w:after="100" w:afterAutospacing="1"/>
    </w:pPr>
    <w:rPr>
      <w:rFonts w:ascii="Tahoma" w:hAnsi="Tahoma" w:cs="Tahoma"/>
      <w:color w:val="000000"/>
      <w:sz w:val="22"/>
      <w:szCs w:val="22"/>
      <w:lang w:val="es-MX" w:eastAsia="es-MX"/>
    </w:rPr>
  </w:style>
  <w:style w:type="paragraph" w:customStyle="1" w:styleId="xl125">
    <w:name w:val="xl125"/>
    <w:basedOn w:val="Normal"/>
    <w:rsid w:val="00016FE1"/>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b/>
      <w:bCs/>
      <w:color w:val="000000"/>
      <w:lang w:val="es-MX" w:eastAsia="es-MX"/>
    </w:rPr>
  </w:style>
  <w:style w:type="paragraph" w:customStyle="1" w:styleId="xl126">
    <w:name w:val="xl126"/>
    <w:basedOn w:val="Normal"/>
    <w:rsid w:val="00016FE1"/>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b/>
      <w:bCs/>
      <w:color w:val="000000"/>
      <w:lang w:val="es-MX" w:eastAsia="es-MX"/>
    </w:rPr>
  </w:style>
  <w:style w:type="paragraph" w:customStyle="1" w:styleId="xl127">
    <w:name w:val="xl127"/>
    <w:basedOn w:val="Normal"/>
    <w:rsid w:val="00016FE1"/>
    <w:pPr>
      <w:pBdr>
        <w:top w:val="single" w:sz="4" w:space="0" w:color="808080"/>
        <w:bottom w:val="single" w:sz="4" w:space="0" w:color="808080"/>
        <w:right w:val="single" w:sz="4" w:space="0" w:color="808080"/>
      </w:pBdr>
      <w:spacing w:before="100" w:beforeAutospacing="1" w:after="100" w:afterAutospacing="1"/>
      <w:jc w:val="right"/>
      <w:textAlignment w:val="center"/>
    </w:pPr>
    <w:rPr>
      <w:b/>
      <w:bCs/>
      <w:color w:val="000000"/>
      <w:lang w:val="es-MX" w:eastAsia="es-MX"/>
    </w:rPr>
  </w:style>
  <w:style w:type="paragraph" w:customStyle="1" w:styleId="xl128">
    <w:name w:val="xl128"/>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b/>
      <w:bCs/>
      <w:color w:val="000000"/>
      <w:lang w:val="es-MX" w:eastAsia="es-MX"/>
    </w:rPr>
  </w:style>
  <w:style w:type="paragraph" w:customStyle="1" w:styleId="xl129">
    <w:name w:val="xl129"/>
    <w:basedOn w:val="Normal"/>
    <w:rsid w:val="00016FE1"/>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b/>
      <w:bCs/>
      <w:lang w:val="es-MX" w:eastAsia="es-MX"/>
    </w:rPr>
  </w:style>
  <w:style w:type="paragraph" w:customStyle="1" w:styleId="xl130">
    <w:name w:val="xl130"/>
    <w:basedOn w:val="Normal"/>
    <w:rsid w:val="00016FE1"/>
    <w:pPr>
      <w:pBdr>
        <w:top w:val="single" w:sz="4" w:space="0" w:color="808080"/>
        <w:bottom w:val="single" w:sz="4" w:space="0" w:color="808080"/>
        <w:right w:val="single" w:sz="4" w:space="0" w:color="808080"/>
      </w:pBdr>
      <w:spacing w:before="100" w:beforeAutospacing="1" w:after="100" w:afterAutospacing="1"/>
      <w:jc w:val="right"/>
      <w:textAlignment w:val="center"/>
    </w:pPr>
    <w:rPr>
      <w:b/>
      <w:bCs/>
      <w:color w:val="000000"/>
      <w:lang w:val="es-MX" w:eastAsia="es-MX"/>
    </w:rPr>
  </w:style>
  <w:style w:type="paragraph" w:customStyle="1" w:styleId="xl131">
    <w:name w:val="xl131"/>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b/>
      <w:bCs/>
      <w:color w:val="000000"/>
      <w:lang w:val="es-MX" w:eastAsia="es-MX"/>
    </w:rPr>
  </w:style>
  <w:style w:type="paragraph" w:customStyle="1" w:styleId="xl132">
    <w:name w:val="xl132"/>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color w:val="000000"/>
      <w:sz w:val="18"/>
      <w:szCs w:val="18"/>
      <w:lang w:val="es-MX" w:eastAsia="es-MX"/>
    </w:rPr>
  </w:style>
  <w:style w:type="paragraph" w:customStyle="1" w:styleId="xl133">
    <w:name w:val="xl133"/>
    <w:basedOn w:val="Normal"/>
    <w:rsid w:val="00016FE1"/>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b/>
      <w:bCs/>
      <w:color w:val="000000"/>
      <w:lang w:val="es-MX" w:eastAsia="es-MX"/>
    </w:rPr>
  </w:style>
  <w:style w:type="paragraph" w:customStyle="1" w:styleId="xl134">
    <w:name w:val="xl134"/>
    <w:basedOn w:val="Normal"/>
    <w:rsid w:val="00016FE1"/>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b/>
      <w:bCs/>
      <w:color w:val="FFFFFF"/>
      <w:lang w:val="es-MX" w:eastAsia="es-MX"/>
    </w:rPr>
  </w:style>
  <w:style w:type="paragraph" w:customStyle="1" w:styleId="xl135">
    <w:name w:val="xl135"/>
    <w:basedOn w:val="Normal"/>
    <w:rsid w:val="00016FE1"/>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b/>
      <w:bCs/>
      <w:color w:val="000000"/>
      <w:lang w:val="es-MX" w:eastAsia="es-MX"/>
    </w:rPr>
  </w:style>
  <w:style w:type="paragraph" w:customStyle="1" w:styleId="xl136">
    <w:name w:val="xl136"/>
    <w:basedOn w:val="Normal"/>
    <w:rsid w:val="00016FE1"/>
    <w:pPr>
      <w:pBdr>
        <w:top w:val="single" w:sz="4" w:space="0" w:color="808080"/>
        <w:bottom w:val="single" w:sz="4" w:space="0" w:color="808080"/>
        <w:right w:val="single" w:sz="4" w:space="0" w:color="808080"/>
      </w:pBdr>
      <w:spacing w:before="100" w:beforeAutospacing="1" w:after="100" w:afterAutospacing="1"/>
      <w:jc w:val="right"/>
      <w:textAlignment w:val="center"/>
    </w:pPr>
    <w:rPr>
      <w:color w:val="000000"/>
      <w:lang w:val="es-MX" w:eastAsia="es-MX"/>
    </w:rPr>
  </w:style>
  <w:style w:type="paragraph" w:customStyle="1" w:styleId="xl137">
    <w:name w:val="xl137"/>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color w:val="000000"/>
      <w:lang w:val="es-MX" w:eastAsia="es-MX"/>
    </w:rPr>
  </w:style>
  <w:style w:type="paragraph" w:customStyle="1" w:styleId="xl138">
    <w:name w:val="xl138"/>
    <w:basedOn w:val="Normal"/>
    <w:rsid w:val="00016FE1"/>
    <w:pPr>
      <w:pBdr>
        <w:top w:val="single" w:sz="4" w:space="0" w:color="808080"/>
        <w:bottom w:val="single" w:sz="4" w:space="0" w:color="808080"/>
        <w:right w:val="single" w:sz="4" w:space="0" w:color="808080"/>
      </w:pBdr>
      <w:spacing w:before="100" w:beforeAutospacing="1" w:after="100" w:afterAutospacing="1"/>
      <w:jc w:val="right"/>
      <w:textAlignment w:val="center"/>
    </w:pPr>
    <w:rPr>
      <w:b/>
      <w:bCs/>
      <w:color w:val="000000"/>
      <w:lang w:val="es-MX" w:eastAsia="es-MX"/>
    </w:rPr>
  </w:style>
  <w:style w:type="paragraph" w:customStyle="1" w:styleId="xl139">
    <w:name w:val="xl139"/>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b/>
      <w:bCs/>
      <w:color w:val="000000"/>
      <w:lang w:val="es-MX" w:eastAsia="es-MX"/>
    </w:rPr>
  </w:style>
  <w:style w:type="paragraph" w:customStyle="1" w:styleId="xl140">
    <w:name w:val="xl140"/>
    <w:basedOn w:val="Normal"/>
    <w:rsid w:val="00016FE1"/>
    <w:pPr>
      <w:pBdr>
        <w:top w:val="single" w:sz="4" w:space="0" w:color="808080"/>
        <w:left w:val="single" w:sz="4" w:space="0" w:color="auto"/>
        <w:right w:val="single" w:sz="4" w:space="0" w:color="808080"/>
      </w:pBdr>
      <w:spacing w:before="100" w:beforeAutospacing="1" w:after="100" w:afterAutospacing="1"/>
      <w:jc w:val="center"/>
      <w:textAlignment w:val="center"/>
    </w:pPr>
    <w:rPr>
      <w:b/>
      <w:bCs/>
      <w:color w:val="FFFFFF"/>
      <w:lang w:val="es-MX" w:eastAsia="es-MX"/>
    </w:rPr>
  </w:style>
  <w:style w:type="paragraph" w:customStyle="1" w:styleId="xl141">
    <w:name w:val="xl141"/>
    <w:basedOn w:val="Normal"/>
    <w:rsid w:val="00016FE1"/>
    <w:pPr>
      <w:pBdr>
        <w:top w:val="single" w:sz="4" w:space="0" w:color="808080"/>
        <w:left w:val="single" w:sz="4" w:space="0" w:color="808080"/>
        <w:right w:val="single" w:sz="4" w:space="0" w:color="808080"/>
      </w:pBdr>
      <w:spacing w:before="100" w:beforeAutospacing="1" w:after="100" w:afterAutospacing="1"/>
      <w:textAlignment w:val="center"/>
    </w:pPr>
    <w:rPr>
      <w:b/>
      <w:bCs/>
      <w:color w:val="FFFFFF"/>
      <w:lang w:val="es-MX" w:eastAsia="es-MX"/>
    </w:rPr>
  </w:style>
  <w:style w:type="paragraph" w:customStyle="1" w:styleId="xl142">
    <w:name w:val="xl142"/>
    <w:basedOn w:val="Normal"/>
    <w:rsid w:val="00016FE1"/>
    <w:pPr>
      <w:pBdr>
        <w:top w:val="single" w:sz="4" w:space="0" w:color="808080"/>
        <w:left w:val="single" w:sz="4" w:space="0" w:color="808080"/>
        <w:right w:val="single" w:sz="4" w:space="0" w:color="auto"/>
      </w:pBdr>
      <w:spacing w:before="100" w:beforeAutospacing="1" w:after="100" w:afterAutospacing="1"/>
      <w:jc w:val="right"/>
      <w:textAlignment w:val="center"/>
    </w:pPr>
    <w:rPr>
      <w:b/>
      <w:bCs/>
      <w:color w:val="FFFFFF"/>
      <w:lang w:val="es-MX" w:eastAsia="es-MX"/>
    </w:rPr>
  </w:style>
  <w:style w:type="paragraph" w:customStyle="1" w:styleId="xl143">
    <w:name w:val="xl143"/>
    <w:basedOn w:val="Normal"/>
    <w:rsid w:val="00016FE1"/>
    <w:pPr>
      <w:pBdr>
        <w:top w:val="single" w:sz="4" w:space="0" w:color="808080"/>
        <w:left w:val="single" w:sz="4" w:space="0" w:color="808080"/>
        <w:bottom w:val="single" w:sz="4" w:space="0" w:color="auto"/>
        <w:right w:val="single" w:sz="4" w:space="0" w:color="auto"/>
      </w:pBdr>
      <w:shd w:val="clear" w:color="000000" w:fill="00A79D"/>
      <w:spacing w:before="100" w:beforeAutospacing="1" w:after="100" w:afterAutospacing="1"/>
      <w:jc w:val="right"/>
      <w:textAlignment w:val="center"/>
    </w:pPr>
    <w:rPr>
      <w:b/>
      <w:bCs/>
      <w:color w:val="FFFFFF"/>
      <w:lang w:val="es-MX" w:eastAsia="es-MX"/>
    </w:rPr>
  </w:style>
  <w:style w:type="paragraph" w:customStyle="1" w:styleId="xl144">
    <w:name w:val="xl144"/>
    <w:basedOn w:val="Normal"/>
    <w:rsid w:val="00016FE1"/>
    <w:pPr>
      <w:pBdr>
        <w:top w:val="single" w:sz="4" w:space="0" w:color="808080"/>
        <w:bottom w:val="single" w:sz="4" w:space="0" w:color="808080"/>
        <w:right w:val="single" w:sz="4" w:space="0" w:color="808080"/>
      </w:pBdr>
      <w:spacing w:before="100" w:beforeAutospacing="1" w:after="100" w:afterAutospacing="1"/>
      <w:jc w:val="right"/>
    </w:pPr>
    <w:rPr>
      <w:b/>
      <w:bCs/>
      <w:lang w:val="es-MX" w:eastAsia="es-MX"/>
    </w:rPr>
  </w:style>
  <w:style w:type="paragraph" w:customStyle="1" w:styleId="xl145">
    <w:name w:val="xl145"/>
    <w:basedOn w:val="Normal"/>
    <w:rsid w:val="00016FE1"/>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b/>
      <w:bCs/>
      <w:lang w:val="es-MX" w:eastAsia="es-MX"/>
    </w:rPr>
  </w:style>
  <w:style w:type="paragraph" w:customStyle="1" w:styleId="xl146">
    <w:name w:val="xl146"/>
    <w:basedOn w:val="Normal"/>
    <w:rsid w:val="00016FE1"/>
    <w:pPr>
      <w:pBdr>
        <w:top w:val="single" w:sz="4" w:space="0" w:color="D9E1F2"/>
        <w:left w:val="single" w:sz="4" w:space="0" w:color="D9E1F2"/>
        <w:bottom w:val="single" w:sz="4" w:space="0" w:color="D9E1F2"/>
        <w:right w:val="single" w:sz="4" w:space="0" w:color="D9E1F2"/>
      </w:pBdr>
      <w:spacing w:before="100" w:beforeAutospacing="1" w:after="100" w:afterAutospacing="1"/>
      <w:jc w:val="center"/>
      <w:textAlignment w:val="center"/>
    </w:pPr>
    <w:rPr>
      <w:sz w:val="20"/>
      <w:szCs w:val="20"/>
      <w:lang w:val="es-MX" w:eastAsia="es-MX"/>
    </w:rPr>
  </w:style>
  <w:style w:type="paragraph" w:customStyle="1" w:styleId="xl147">
    <w:name w:val="xl147"/>
    <w:basedOn w:val="Normal"/>
    <w:rsid w:val="00016FE1"/>
    <w:pPr>
      <w:pBdr>
        <w:top w:val="single" w:sz="4" w:space="0" w:color="D9E1F2"/>
        <w:left w:val="single" w:sz="4" w:space="0" w:color="D9E1F2"/>
        <w:bottom w:val="single" w:sz="4" w:space="0" w:color="D9E1F2"/>
        <w:right w:val="single" w:sz="4" w:space="0" w:color="D9E1F2"/>
      </w:pBdr>
      <w:spacing w:before="100" w:beforeAutospacing="1" w:after="100" w:afterAutospacing="1"/>
    </w:pPr>
    <w:rPr>
      <w:sz w:val="20"/>
      <w:szCs w:val="20"/>
      <w:lang w:val="es-MX" w:eastAsia="es-MX"/>
    </w:rPr>
  </w:style>
  <w:style w:type="paragraph" w:customStyle="1" w:styleId="xl148">
    <w:name w:val="xl148"/>
    <w:basedOn w:val="Normal"/>
    <w:rsid w:val="00016FE1"/>
    <w:pPr>
      <w:pBdr>
        <w:top w:val="single" w:sz="4" w:space="0" w:color="D9E1F2"/>
        <w:left w:val="single" w:sz="4" w:space="0" w:color="D9E1F2"/>
        <w:bottom w:val="single" w:sz="4" w:space="0" w:color="D9E1F2"/>
        <w:right w:val="single" w:sz="4" w:space="0" w:color="D9E1F2"/>
      </w:pBdr>
      <w:spacing w:before="100" w:beforeAutospacing="1" w:after="100" w:afterAutospacing="1"/>
    </w:pPr>
    <w:rPr>
      <w:lang w:val="es-MX" w:eastAsia="es-MX"/>
    </w:rPr>
  </w:style>
  <w:style w:type="paragraph" w:customStyle="1" w:styleId="xl149">
    <w:name w:val="xl149"/>
    <w:basedOn w:val="Normal"/>
    <w:rsid w:val="00016FE1"/>
    <w:pPr>
      <w:pBdr>
        <w:top w:val="single" w:sz="4" w:space="0" w:color="D9E1F2"/>
        <w:left w:val="single" w:sz="4" w:space="0" w:color="D9E1F2"/>
        <w:bottom w:val="single" w:sz="4" w:space="0" w:color="D9E1F2"/>
        <w:right w:val="single" w:sz="4" w:space="0" w:color="D9E1F2"/>
      </w:pBdr>
      <w:spacing w:before="100" w:beforeAutospacing="1" w:after="100" w:afterAutospacing="1"/>
    </w:pPr>
    <w:rPr>
      <w:lang w:val="es-MX" w:eastAsia="es-MX"/>
    </w:rPr>
  </w:style>
  <w:style w:type="paragraph" w:customStyle="1" w:styleId="xl150">
    <w:name w:val="xl150"/>
    <w:basedOn w:val="Normal"/>
    <w:rsid w:val="00016FE1"/>
    <w:pPr>
      <w:pBdr>
        <w:top w:val="single" w:sz="4" w:space="0" w:color="808080"/>
        <w:left w:val="single" w:sz="4" w:space="0" w:color="auto"/>
        <w:bottom w:val="single" w:sz="4" w:space="0" w:color="auto"/>
        <w:right w:val="single" w:sz="4" w:space="0" w:color="808080"/>
      </w:pBdr>
      <w:shd w:val="clear" w:color="000000" w:fill="00A79D"/>
      <w:spacing w:before="100" w:beforeAutospacing="1" w:after="100" w:afterAutospacing="1"/>
      <w:jc w:val="right"/>
      <w:textAlignment w:val="center"/>
    </w:pPr>
    <w:rPr>
      <w:b/>
      <w:bCs/>
      <w:color w:val="FFFFFF"/>
      <w:lang w:val="es-MX" w:eastAsia="es-MX"/>
    </w:rPr>
  </w:style>
  <w:style w:type="paragraph" w:customStyle="1" w:styleId="xl151">
    <w:name w:val="xl151"/>
    <w:basedOn w:val="Normal"/>
    <w:rsid w:val="00016FE1"/>
    <w:pPr>
      <w:pBdr>
        <w:top w:val="single" w:sz="4" w:space="0" w:color="808080"/>
        <w:left w:val="single" w:sz="4" w:space="0" w:color="808080"/>
        <w:bottom w:val="single" w:sz="4" w:space="0" w:color="auto"/>
        <w:right w:val="single" w:sz="4" w:space="0" w:color="808080"/>
      </w:pBdr>
      <w:shd w:val="clear" w:color="000000" w:fill="00A79D"/>
      <w:spacing w:before="100" w:beforeAutospacing="1" w:after="100" w:afterAutospacing="1"/>
      <w:jc w:val="right"/>
      <w:textAlignment w:val="center"/>
    </w:pPr>
    <w:rPr>
      <w:b/>
      <w:bCs/>
      <w:color w:val="FFFFFF"/>
      <w:lang w:val="es-MX" w:eastAsia="es-MX"/>
    </w:rPr>
  </w:style>
  <w:style w:type="paragraph" w:customStyle="1" w:styleId="xl152">
    <w:name w:val="xl152"/>
    <w:basedOn w:val="Normal"/>
    <w:rsid w:val="00016FE1"/>
    <w:pPr>
      <w:pBdr>
        <w:top w:val="single" w:sz="4" w:space="0" w:color="auto"/>
        <w:bottom w:val="single" w:sz="4" w:space="0" w:color="808080"/>
        <w:right w:val="single" w:sz="4" w:space="0" w:color="auto"/>
      </w:pBdr>
      <w:shd w:val="clear" w:color="000000" w:fill="00A79D"/>
      <w:spacing w:before="100" w:beforeAutospacing="1" w:after="100" w:afterAutospacing="1"/>
      <w:jc w:val="center"/>
      <w:textAlignment w:val="center"/>
    </w:pPr>
    <w:rPr>
      <w:b/>
      <w:bCs/>
      <w:color w:val="FFFFFF"/>
      <w:lang w:val="es-MX" w:eastAsia="es-MX"/>
    </w:rPr>
  </w:style>
  <w:style w:type="paragraph" w:customStyle="1" w:styleId="xl153">
    <w:name w:val="xl153"/>
    <w:basedOn w:val="Normal"/>
    <w:rsid w:val="00016FE1"/>
    <w:pPr>
      <w:pBdr>
        <w:top w:val="single" w:sz="4" w:space="0" w:color="808080"/>
        <w:bottom w:val="single" w:sz="4" w:space="0" w:color="808080"/>
        <w:right w:val="single" w:sz="4" w:space="0" w:color="auto"/>
      </w:pBdr>
      <w:shd w:val="clear" w:color="000000" w:fill="00A79D"/>
      <w:spacing w:before="100" w:beforeAutospacing="1" w:after="100" w:afterAutospacing="1"/>
      <w:jc w:val="center"/>
      <w:textAlignment w:val="center"/>
    </w:pPr>
    <w:rPr>
      <w:b/>
      <w:bCs/>
      <w:color w:val="FFFFFF"/>
      <w:lang w:val="es-MX" w:eastAsia="es-MX"/>
    </w:rPr>
  </w:style>
  <w:style w:type="table" w:styleId="Listaclara-nfasis5">
    <w:name w:val="Light List Accent 5"/>
    <w:basedOn w:val="Tablanormal"/>
    <w:uiPriority w:val="61"/>
    <w:rsid w:val="00016FE1"/>
    <w:pPr>
      <w:spacing w:after="0" w:line="240" w:lineRule="auto"/>
    </w:pPr>
    <w:rPr>
      <w:rFonts w:eastAsiaTheme="minorEastAsia"/>
      <w:lang w:eastAsia="es-MX"/>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Cuadrculadetablaclara1">
    <w:name w:val="Cuadrícula de tabla clara1"/>
    <w:basedOn w:val="Tablanormal"/>
    <w:uiPriority w:val="40"/>
    <w:rsid w:val="00016FE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16F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016FE1"/>
  </w:style>
  <w:style w:type="paragraph" w:customStyle="1" w:styleId="PreformattedText">
    <w:name w:val="Preformatted Text"/>
    <w:basedOn w:val="Normal"/>
    <w:qFormat/>
    <w:rsid w:val="00016FE1"/>
    <w:pPr>
      <w:widowControl w:val="0"/>
      <w:suppressAutoHyphens/>
    </w:pPr>
    <w:rPr>
      <w:rFonts w:ascii="Liberation Mono" w:eastAsia="Liberation Mono" w:hAnsi="Liberation Mono" w:cs="Liberation Mono"/>
      <w:sz w:val="20"/>
      <w:szCs w:val="20"/>
      <w:lang w:val="en-US" w:eastAsia="zh-CN" w:bidi="hi-IN"/>
    </w:rPr>
  </w:style>
  <w:style w:type="paragraph" w:customStyle="1" w:styleId="sangria">
    <w:name w:val="sangria"/>
    <w:basedOn w:val="Normal"/>
    <w:rsid w:val="00016FE1"/>
    <w:pPr>
      <w:spacing w:before="100" w:beforeAutospacing="1" w:after="100" w:afterAutospacing="1"/>
    </w:pPr>
    <w:rPr>
      <w:rFonts w:eastAsia="Calibri"/>
      <w:lang w:val="es-MX" w:eastAsia="es-MX"/>
    </w:rPr>
  </w:style>
  <w:style w:type="table" w:styleId="Sombreadoclaro">
    <w:name w:val="Light Shading"/>
    <w:basedOn w:val="Tablanormal"/>
    <w:uiPriority w:val="60"/>
    <w:semiHidden/>
    <w:unhideWhenUsed/>
    <w:rsid w:val="00016F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1">
    <w:name w:val="Body 1"/>
    <w:uiPriority w:val="99"/>
    <w:rsid w:val="009B5E39"/>
    <w:pPr>
      <w:spacing w:after="200" w:line="276" w:lineRule="auto"/>
      <w:outlineLvl w:val="0"/>
    </w:pPr>
    <w:rPr>
      <w:rFonts w:ascii="Helvetica" w:eastAsia="Times New Roman" w:hAnsi="Helvetica" w:cs="Times New Roman"/>
      <w:color w:val="000000"/>
      <w:u w:color="000000"/>
      <w:lang w:eastAsia="es-MX"/>
    </w:rPr>
  </w:style>
  <w:style w:type="paragraph" w:styleId="Cita">
    <w:name w:val="Quote"/>
    <w:basedOn w:val="Normal"/>
    <w:next w:val="Normal"/>
    <w:link w:val="CitaCar"/>
    <w:uiPriority w:val="29"/>
    <w:qFormat/>
    <w:rsid w:val="009B5E39"/>
    <w:pPr>
      <w:spacing w:before="160" w:after="160" w:line="278" w:lineRule="auto"/>
      <w:jc w:val="center"/>
    </w:pPr>
    <w:rPr>
      <w:rFonts w:asciiTheme="minorHAnsi" w:eastAsiaTheme="minorHAnsi" w:hAnsiTheme="minorHAnsi" w:cstheme="minorBidi"/>
      <w:i/>
      <w:iCs/>
      <w:color w:val="404040" w:themeColor="text1" w:themeTint="BF"/>
      <w:kern w:val="2"/>
      <w:lang w:val="es-MX" w:eastAsia="en-US"/>
      <w14:ligatures w14:val="standardContextual"/>
    </w:rPr>
  </w:style>
  <w:style w:type="character" w:customStyle="1" w:styleId="CitaCar">
    <w:name w:val="Cita Car"/>
    <w:basedOn w:val="Fuentedeprrafopredeter"/>
    <w:link w:val="Cita"/>
    <w:uiPriority w:val="29"/>
    <w:rsid w:val="009B5E39"/>
    <w:rPr>
      <w:i/>
      <w:iCs/>
      <w:color w:val="404040" w:themeColor="text1" w:themeTint="BF"/>
      <w:kern w:val="2"/>
      <w:sz w:val="24"/>
      <w:szCs w:val="24"/>
      <w14:ligatures w14:val="standardContextual"/>
    </w:rPr>
  </w:style>
  <w:style w:type="character" w:styleId="nfasisintenso">
    <w:name w:val="Intense Emphasis"/>
    <w:basedOn w:val="Fuentedeprrafopredeter"/>
    <w:uiPriority w:val="21"/>
    <w:qFormat/>
    <w:rsid w:val="009B5E39"/>
    <w:rPr>
      <w:i/>
      <w:iCs/>
      <w:color w:val="2E74B5" w:themeColor="accent1" w:themeShade="BF"/>
    </w:rPr>
  </w:style>
  <w:style w:type="character" w:styleId="Referenciaintensa">
    <w:name w:val="Intense Reference"/>
    <w:basedOn w:val="Fuentedeprrafopredeter"/>
    <w:uiPriority w:val="32"/>
    <w:qFormat/>
    <w:rsid w:val="009B5E39"/>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www.inegi.org.mx/tablerosestadisticos/lgbti/" TargetMode="External"/><Relationship Id="rId1" Type="http://schemas.openxmlformats.org/officeDocument/2006/relationships/hyperlink" Target="http://www.conapred.org.mx/documentos_cedoc/Glosario_TDSyG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495</Pages>
  <Words>233601</Words>
  <Characters>1284809</Characters>
  <Application>Microsoft Office Word</Application>
  <DocSecurity>0</DocSecurity>
  <Lines>10706</Lines>
  <Paragraphs>3030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75</cp:revision>
  <dcterms:created xsi:type="dcterms:W3CDTF">2024-08-07T16:33:00Z</dcterms:created>
  <dcterms:modified xsi:type="dcterms:W3CDTF">2024-08-29T23:12:00Z</dcterms:modified>
</cp:coreProperties>
</file>